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67D6F" w14:textId="13B7542B" w:rsidR="00C63058" w:rsidRPr="00B63657" w:rsidRDefault="00C63058" w:rsidP="006B2C02">
      <w:pPr>
        <w:spacing w:after="0" w:line="240" w:lineRule="auto"/>
        <w:jc w:val="both"/>
        <w:rPr>
          <w:rFonts w:ascii="Verdana" w:eastAsia="Calibri" w:hAnsi="Verdana" w:cs="Arial"/>
          <w:b/>
          <w:bCs/>
          <w:color w:val="000000" w:themeColor="text1"/>
          <w:sz w:val="20"/>
          <w:szCs w:val="20"/>
          <w:lang w:val="es-ES"/>
        </w:rPr>
      </w:pPr>
      <w:bookmarkStart w:id="0" w:name="_Hlk209714638"/>
      <w:r w:rsidRPr="00B63657">
        <w:rPr>
          <w:rFonts w:ascii="Verdana" w:eastAsia="Calibri" w:hAnsi="Verdana" w:cs="Arial"/>
          <w:b/>
          <w:bCs/>
          <w:color w:val="000000" w:themeColor="text1"/>
          <w:sz w:val="20"/>
          <w:szCs w:val="20"/>
          <w:lang w:val="es-ES"/>
        </w:rPr>
        <w:t xml:space="preserve">REQUISITOS HABILITANTES – Concepto - CRITERIOS DE EVALUACIÓN </w:t>
      </w:r>
      <w:r>
        <w:rPr>
          <w:rFonts w:ascii="Verdana" w:eastAsia="Calibri" w:hAnsi="Verdana" w:cs="Arial"/>
          <w:b/>
          <w:bCs/>
          <w:color w:val="000000" w:themeColor="text1"/>
          <w:sz w:val="20"/>
          <w:szCs w:val="20"/>
          <w:lang w:val="es-ES"/>
        </w:rPr>
        <w:t>–</w:t>
      </w:r>
      <w:r w:rsidRPr="00B63657">
        <w:rPr>
          <w:rFonts w:ascii="Verdana" w:eastAsia="Calibri" w:hAnsi="Verdana" w:cs="Arial"/>
          <w:b/>
          <w:bCs/>
          <w:color w:val="000000" w:themeColor="text1"/>
          <w:sz w:val="20"/>
          <w:szCs w:val="20"/>
          <w:lang w:val="es-ES"/>
        </w:rPr>
        <w:t xml:space="preserve"> Concepto</w:t>
      </w:r>
      <w:r>
        <w:rPr>
          <w:rFonts w:ascii="Verdana" w:eastAsia="Calibri" w:hAnsi="Verdana" w:cs="Arial"/>
          <w:b/>
          <w:bCs/>
          <w:color w:val="000000" w:themeColor="text1"/>
          <w:sz w:val="20"/>
          <w:szCs w:val="20"/>
          <w:lang w:val="es-ES"/>
        </w:rPr>
        <w:t xml:space="preserve"> </w:t>
      </w:r>
    </w:p>
    <w:p w14:paraId="2A170815" w14:textId="77777777" w:rsidR="00C63058" w:rsidRPr="00B63657" w:rsidRDefault="00C63058" w:rsidP="00C63058">
      <w:pPr>
        <w:spacing w:after="0" w:line="240" w:lineRule="auto"/>
        <w:jc w:val="both"/>
        <w:rPr>
          <w:rFonts w:ascii="Verdana" w:eastAsia="Calibri" w:hAnsi="Verdana" w:cs="Arial"/>
          <w:color w:val="000000" w:themeColor="text1"/>
          <w:sz w:val="20"/>
          <w:szCs w:val="20"/>
          <w:lang w:val="es-ES"/>
        </w:rPr>
      </w:pPr>
    </w:p>
    <w:p w14:paraId="509DD1BD" w14:textId="77777777" w:rsidR="00C63058" w:rsidRPr="00B63657" w:rsidRDefault="00C63058" w:rsidP="00C63058">
      <w:pPr>
        <w:spacing w:after="0" w:line="240" w:lineRule="auto"/>
        <w:jc w:val="both"/>
        <w:rPr>
          <w:rFonts w:ascii="Verdana" w:eastAsia="Calibri" w:hAnsi="Verdana" w:cs="Arial"/>
          <w:color w:val="000000" w:themeColor="text1"/>
          <w:sz w:val="20"/>
          <w:szCs w:val="20"/>
          <w:lang w:val="es-ES"/>
        </w:rPr>
      </w:pPr>
      <w:r w:rsidRPr="00B63657">
        <w:rPr>
          <w:rFonts w:ascii="Verdana" w:eastAsia="Calibri" w:hAnsi="Verdana" w:cs="Arial"/>
          <w:color w:val="000000" w:themeColor="text1"/>
          <w:sz w:val="20"/>
          <w:szCs w:val="20"/>
          <w:lang w:val="es-ES"/>
        </w:rPr>
        <w:t xml:space="preserve">Los </w:t>
      </w:r>
      <w:r w:rsidRPr="00B63657">
        <w:rPr>
          <w:rFonts w:ascii="Verdana" w:eastAsia="Calibri" w:hAnsi="Verdana" w:cs="Arial"/>
          <w:i/>
          <w:iCs/>
          <w:color w:val="000000" w:themeColor="text1"/>
          <w:sz w:val="20"/>
          <w:szCs w:val="20"/>
          <w:lang w:val="es-ES"/>
        </w:rPr>
        <w:t>requisitos habilitantes</w:t>
      </w:r>
      <w:r w:rsidRPr="00B63657">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B63657">
        <w:rPr>
          <w:rFonts w:ascii="Verdana" w:eastAsia="Calibri" w:hAnsi="Verdana" w:cs="Arial"/>
          <w:i/>
          <w:iCs/>
          <w:color w:val="000000" w:themeColor="text1"/>
          <w:sz w:val="20"/>
          <w:szCs w:val="20"/>
          <w:lang w:val="es-ES"/>
        </w:rPr>
        <w:t>criterios de evaluación</w:t>
      </w:r>
      <w:r w:rsidRPr="00B63657">
        <w:rPr>
          <w:rFonts w:ascii="Verdana" w:eastAsia="Calibri" w:hAnsi="Verdana" w:cs="Arial"/>
          <w:color w:val="000000" w:themeColor="text1"/>
          <w:sz w:val="20"/>
          <w:szCs w:val="20"/>
          <w:lang w:val="es-ES"/>
        </w:rPr>
        <w:t xml:space="preserve"> –también conocidos como </w:t>
      </w:r>
      <w:r w:rsidRPr="00B63657">
        <w:rPr>
          <w:rFonts w:ascii="Verdana" w:eastAsia="Calibri" w:hAnsi="Verdana" w:cs="Arial"/>
          <w:i/>
          <w:iCs/>
          <w:color w:val="000000" w:themeColor="text1"/>
          <w:sz w:val="20"/>
          <w:szCs w:val="20"/>
          <w:lang w:val="es-ES"/>
        </w:rPr>
        <w:t>criterios de calificación</w:t>
      </w:r>
      <w:r w:rsidRPr="00B63657">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51841DC5" w14:textId="77777777" w:rsidR="00C63058" w:rsidRDefault="00C63058" w:rsidP="00C63058">
      <w:pPr>
        <w:spacing w:after="0" w:line="240" w:lineRule="auto"/>
        <w:jc w:val="both"/>
        <w:rPr>
          <w:rFonts w:ascii="Verdana" w:eastAsia="Calibri" w:hAnsi="Verdana" w:cs="Arial"/>
          <w:color w:val="000000" w:themeColor="text1"/>
          <w:sz w:val="20"/>
          <w:szCs w:val="20"/>
          <w:lang w:val="es-ES"/>
        </w:rPr>
      </w:pPr>
    </w:p>
    <w:p w14:paraId="5476EDCD" w14:textId="77777777" w:rsidR="00C63058" w:rsidRDefault="00C63058" w:rsidP="00C63058">
      <w:pPr>
        <w:spacing w:after="0" w:line="240" w:lineRule="auto"/>
        <w:jc w:val="both"/>
        <w:rPr>
          <w:rFonts w:ascii="Verdana" w:eastAsia="Calibri" w:hAnsi="Verdana" w:cs="Arial"/>
          <w:color w:val="000000" w:themeColor="text1"/>
          <w:sz w:val="20"/>
          <w:szCs w:val="20"/>
          <w:lang w:val="es-ES"/>
        </w:rPr>
      </w:pPr>
      <w:r w:rsidRPr="00B63657">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718DA624" w14:textId="77777777" w:rsidR="00C63058" w:rsidRDefault="00C63058" w:rsidP="00C63058">
      <w:pPr>
        <w:spacing w:after="0" w:line="240" w:lineRule="auto"/>
        <w:jc w:val="both"/>
        <w:rPr>
          <w:rFonts w:ascii="Verdana" w:eastAsia="Calibri" w:hAnsi="Verdana" w:cs="Arial"/>
          <w:color w:val="000000" w:themeColor="text1"/>
          <w:sz w:val="20"/>
          <w:szCs w:val="20"/>
          <w:lang w:val="es-ES"/>
        </w:rPr>
      </w:pPr>
    </w:p>
    <w:p w14:paraId="622B96A8" w14:textId="77777777" w:rsidR="00C63058" w:rsidRPr="00B63657" w:rsidRDefault="00C63058" w:rsidP="00C63058">
      <w:pPr>
        <w:spacing w:after="0" w:line="240" w:lineRule="auto"/>
        <w:jc w:val="both"/>
        <w:rPr>
          <w:rFonts w:ascii="Verdana" w:eastAsia="Calibri" w:hAnsi="Verdana" w:cs="Arial"/>
          <w:color w:val="000000" w:themeColor="text1"/>
          <w:sz w:val="20"/>
          <w:szCs w:val="20"/>
          <w:lang w:val="es-ES"/>
        </w:rPr>
      </w:pPr>
      <w:r w:rsidRPr="00B63657">
        <w:rPr>
          <w:rFonts w:ascii="Verdana" w:eastAsia="Calibri" w:hAnsi="Verdana" w:cs="Arial"/>
          <w:b/>
          <w:bCs/>
          <w:sz w:val="20"/>
          <w:szCs w:val="20"/>
          <w:lang w:val="es-ES"/>
        </w:rPr>
        <w:t xml:space="preserve">EXPERIENCIA – Requisito habilitante – Concepto </w:t>
      </w:r>
      <w:r>
        <w:rPr>
          <w:rFonts w:ascii="Verdana" w:eastAsia="Calibri" w:hAnsi="Verdana" w:cs="Arial"/>
          <w:b/>
          <w:bCs/>
          <w:sz w:val="20"/>
          <w:szCs w:val="20"/>
          <w:lang w:val="es-ES"/>
        </w:rPr>
        <w:t xml:space="preserve">– EXPERIENCIA – Singularidad – Proponentes plurales – EXPERIENCIA - Evaluación de la experiencia – Proponente plural </w:t>
      </w:r>
    </w:p>
    <w:p w14:paraId="3D3F944E" w14:textId="77777777" w:rsidR="00C63058" w:rsidRDefault="00C63058" w:rsidP="00C63058">
      <w:pPr>
        <w:spacing w:after="0" w:line="240" w:lineRule="auto"/>
        <w:jc w:val="both"/>
        <w:rPr>
          <w:rFonts w:ascii="Verdana" w:eastAsia="Calibri" w:hAnsi="Verdana" w:cs="Arial"/>
          <w:color w:val="000000"/>
          <w:sz w:val="20"/>
          <w:szCs w:val="20"/>
          <w:lang w:val="es-ES" w:eastAsia="es-ES_tradnl"/>
        </w:rPr>
      </w:pPr>
    </w:p>
    <w:p w14:paraId="4B29560B" w14:textId="77777777" w:rsidR="00C63058" w:rsidRDefault="00C63058" w:rsidP="00C63058">
      <w:pPr>
        <w:spacing w:after="0" w:line="240" w:lineRule="auto"/>
        <w:jc w:val="both"/>
        <w:rPr>
          <w:rFonts w:ascii="Verdana" w:eastAsia="Calibri" w:hAnsi="Verdana" w:cs="Arial"/>
          <w:sz w:val="20"/>
          <w:szCs w:val="20"/>
          <w:lang w:eastAsia="es-CO"/>
        </w:rPr>
      </w:pPr>
      <w:r w:rsidRPr="00B63657">
        <w:rPr>
          <w:rFonts w:ascii="Verdana" w:eastAsia="Calibri" w:hAnsi="Verdana" w:cs="Arial"/>
          <w:color w:val="000000"/>
          <w:sz w:val="20"/>
          <w:szCs w:val="20"/>
          <w:lang w:val="es-ES" w:eastAsia="es-ES_tradnl"/>
        </w:rPr>
        <w:t xml:space="preserve">La </w:t>
      </w:r>
      <w:r w:rsidRPr="00B63657">
        <w:rPr>
          <w:rFonts w:ascii="Verdana" w:eastAsia="Calibri" w:hAnsi="Verdana" w:cs="Arial"/>
          <w:sz w:val="20"/>
          <w:szCs w:val="20"/>
          <w:lang w:eastAsia="es-CO"/>
        </w:rPr>
        <w:t xml:space="preserve">experiencia debe ser entendida como el conocimiento del proponente derivado de su participación previa en actividades iguales o similares a las previstas en el objeto del contrato con contratantes públicos, privados, nacionales o extranjeros. </w:t>
      </w:r>
    </w:p>
    <w:p w14:paraId="0BD6B872" w14:textId="77777777" w:rsidR="00C63058" w:rsidRDefault="00C63058" w:rsidP="00C63058">
      <w:pPr>
        <w:spacing w:after="0" w:line="240" w:lineRule="auto"/>
        <w:jc w:val="both"/>
        <w:rPr>
          <w:rFonts w:ascii="Verdana" w:eastAsia="Calibri" w:hAnsi="Verdana" w:cs="Arial"/>
          <w:lang w:eastAsia="es-CO"/>
        </w:rPr>
      </w:pPr>
    </w:p>
    <w:p w14:paraId="476E95BA" w14:textId="77777777" w:rsidR="00C63058" w:rsidRDefault="00C63058" w:rsidP="00C63058">
      <w:pPr>
        <w:spacing w:after="0" w:line="240" w:lineRule="auto"/>
        <w:jc w:val="both"/>
        <w:rPr>
          <w:rFonts w:ascii="Verdana" w:eastAsia="Calibri" w:hAnsi="Verdana" w:cs="Arial"/>
          <w:sz w:val="20"/>
          <w:szCs w:val="20"/>
          <w:lang w:eastAsia="es-CO"/>
        </w:rPr>
      </w:pPr>
      <w:r w:rsidRPr="00D24420">
        <w:rPr>
          <w:rFonts w:ascii="Verdana" w:eastAsia="Calibri" w:hAnsi="Verdana" w:cs="Arial"/>
          <w:sz w:val="20"/>
          <w:szCs w:val="20"/>
          <w:lang w:eastAsia="es-CO"/>
        </w:rPr>
        <w:t xml:space="preserve">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w:t>
      </w:r>
    </w:p>
    <w:p w14:paraId="7872CFC4" w14:textId="77777777" w:rsidR="00C63058" w:rsidRDefault="00C63058" w:rsidP="00C63058">
      <w:pPr>
        <w:spacing w:after="0" w:line="240" w:lineRule="auto"/>
        <w:jc w:val="both"/>
        <w:rPr>
          <w:rFonts w:ascii="Verdana" w:eastAsia="Calibri" w:hAnsi="Verdana" w:cs="Arial"/>
          <w:sz w:val="20"/>
          <w:szCs w:val="20"/>
          <w:lang w:eastAsia="es-CO"/>
        </w:rPr>
      </w:pPr>
    </w:p>
    <w:p w14:paraId="6799922E" w14:textId="77777777" w:rsidR="00C63058" w:rsidRPr="003F7C63" w:rsidRDefault="00C63058" w:rsidP="00C63058">
      <w:pPr>
        <w:spacing w:after="0" w:line="240" w:lineRule="auto"/>
        <w:jc w:val="both"/>
        <w:rPr>
          <w:rFonts w:ascii="Verdana" w:hAnsi="Verdana"/>
          <w:b/>
          <w:bCs/>
          <w:color w:val="000000" w:themeColor="text1"/>
          <w:sz w:val="20"/>
          <w:szCs w:val="20"/>
          <w:lang w:val="es-ES"/>
        </w:rPr>
      </w:pPr>
      <w:r w:rsidRPr="003F7C63">
        <w:rPr>
          <w:rFonts w:ascii="Verdana" w:hAnsi="Verdana"/>
          <w:b/>
          <w:bCs/>
          <w:color w:val="000000" w:themeColor="text1"/>
          <w:sz w:val="20"/>
          <w:szCs w:val="20"/>
          <w:lang w:val="es-ES"/>
        </w:rPr>
        <w:t xml:space="preserve">PROPONENTES PLURALES </w:t>
      </w:r>
      <w:r>
        <w:rPr>
          <w:rFonts w:ascii="Verdana" w:hAnsi="Verdana"/>
          <w:b/>
          <w:bCs/>
          <w:color w:val="000000" w:themeColor="text1"/>
          <w:sz w:val="20"/>
          <w:szCs w:val="20"/>
          <w:lang w:val="es-ES"/>
        </w:rPr>
        <w:t>–</w:t>
      </w:r>
      <w:r w:rsidRPr="003F7C63">
        <w:rPr>
          <w:rFonts w:ascii="Verdana" w:hAnsi="Verdana"/>
          <w:b/>
          <w:bCs/>
          <w:color w:val="000000" w:themeColor="text1"/>
          <w:sz w:val="20"/>
          <w:szCs w:val="20"/>
          <w:lang w:val="es-ES"/>
        </w:rPr>
        <w:t xml:space="preserve"> </w:t>
      </w:r>
      <w:r>
        <w:rPr>
          <w:rFonts w:ascii="Verdana" w:hAnsi="Verdana"/>
          <w:b/>
          <w:bCs/>
          <w:color w:val="000000" w:themeColor="text1"/>
          <w:sz w:val="20"/>
          <w:szCs w:val="20"/>
          <w:lang w:val="es-ES"/>
        </w:rPr>
        <w:t>Ley 80 de 1993 – Consorcio – Unión temporal - Concepto</w:t>
      </w:r>
    </w:p>
    <w:p w14:paraId="0989D1D8" w14:textId="77777777" w:rsidR="00C63058" w:rsidRPr="003F7C63" w:rsidRDefault="00C63058" w:rsidP="00C63058">
      <w:pPr>
        <w:spacing w:after="0" w:line="240" w:lineRule="auto"/>
        <w:jc w:val="both"/>
        <w:rPr>
          <w:rFonts w:ascii="Verdana" w:hAnsi="Verdana"/>
          <w:b/>
          <w:bCs/>
          <w:color w:val="000000" w:themeColor="text1"/>
          <w:sz w:val="20"/>
          <w:szCs w:val="20"/>
          <w:lang w:val="es-ES"/>
        </w:rPr>
      </w:pPr>
    </w:p>
    <w:p w14:paraId="07440ADD" w14:textId="77777777" w:rsidR="00C63058" w:rsidRPr="00D24420" w:rsidRDefault="00C63058" w:rsidP="00C63058">
      <w:pPr>
        <w:spacing w:after="0" w:line="240" w:lineRule="auto"/>
        <w:jc w:val="both"/>
        <w:rPr>
          <w:rFonts w:ascii="Verdana" w:eastAsia="Calibri" w:hAnsi="Verdana" w:cs="Arial"/>
          <w:color w:val="000000" w:themeColor="text1"/>
          <w:sz w:val="20"/>
          <w:szCs w:val="20"/>
          <w:lang w:val="es-ES"/>
        </w:rPr>
      </w:pPr>
      <w:r w:rsidRPr="00D24420">
        <w:rPr>
          <w:rFonts w:ascii="Verdana" w:hAnsi="Verdana"/>
          <w:color w:val="000000" w:themeColor="text1"/>
          <w:sz w:val="20"/>
          <w:szCs w:val="20"/>
          <w:lang w:val="es-ES"/>
        </w:rPr>
        <w:t xml:space="preserve">El artículo 7 de la Ley 80 de 1993 define a los proponentes plurales como la unión de dos o más personas que presentan la misma propuesta para la adjudicación, celebración y ejecución de un contrato, pero cuya responsabilidad por las obligaciones derivadas de la propuesta y el contrato es diferente. En efecto, </w:t>
      </w:r>
      <w:r w:rsidRPr="00D24420">
        <w:rPr>
          <w:rFonts w:ascii="Verdana" w:eastAsia="Calibri" w:hAnsi="Verdana" w:cs="Arial"/>
          <w:color w:val="000000" w:themeColor="text1"/>
          <w:sz w:val="20"/>
          <w:szCs w:val="20"/>
          <w:lang w:val="es-ES"/>
        </w:rPr>
        <w:t>los consorcios y las uniones temporales son mecanismos de asociación fundamentados en la colaboración empresarial, mediante los cuales sus integrantes se unen y organizan en forma conjunta para lograr con mayor eficacia la obtención del derecho a ser adjudicatarios de un contrato estatal, compartiendo recursos de toda índole para su ejecución, así como las utilidades y los riesgos.</w:t>
      </w:r>
    </w:p>
    <w:p w14:paraId="03208F78" w14:textId="77777777" w:rsidR="00A800B4" w:rsidRDefault="00A800B4" w:rsidP="00C63058">
      <w:pPr>
        <w:spacing w:after="0" w:line="240" w:lineRule="auto"/>
        <w:jc w:val="both"/>
        <w:rPr>
          <w:rFonts w:ascii="Verdana" w:eastAsia="Calibri" w:hAnsi="Verdana" w:cs="Arial"/>
          <w:b/>
          <w:bCs/>
          <w:color w:val="000000" w:themeColor="text1"/>
          <w:sz w:val="20"/>
          <w:szCs w:val="20"/>
          <w:lang w:val="es-ES"/>
        </w:rPr>
      </w:pPr>
    </w:p>
    <w:p w14:paraId="0F9093F1" w14:textId="77777777" w:rsidR="00C63058" w:rsidRPr="003F7C63" w:rsidRDefault="00C63058" w:rsidP="00C63058">
      <w:pPr>
        <w:spacing w:after="0" w:line="240" w:lineRule="auto"/>
        <w:jc w:val="both"/>
        <w:rPr>
          <w:rFonts w:ascii="Verdana" w:eastAsia="Calibri" w:hAnsi="Verdana" w:cs="Arial"/>
          <w:b/>
          <w:bCs/>
          <w:color w:val="000000" w:themeColor="text1"/>
          <w:sz w:val="20"/>
          <w:szCs w:val="20"/>
          <w:lang w:val="es-ES"/>
        </w:rPr>
      </w:pPr>
    </w:p>
    <w:p w14:paraId="3888412B" w14:textId="77777777" w:rsidR="00C63058" w:rsidRPr="003F7C63" w:rsidRDefault="00C63058" w:rsidP="00C63058">
      <w:pPr>
        <w:spacing w:after="0" w:line="240" w:lineRule="auto"/>
        <w:jc w:val="both"/>
        <w:rPr>
          <w:rFonts w:ascii="Verdana" w:eastAsia="Calibri" w:hAnsi="Verdana" w:cs="Arial"/>
          <w:b/>
          <w:bCs/>
          <w:color w:val="000000" w:themeColor="text1"/>
          <w:sz w:val="20"/>
          <w:szCs w:val="20"/>
          <w:lang w:val="es-ES"/>
        </w:rPr>
      </w:pPr>
      <w:r w:rsidRPr="003F7C63">
        <w:rPr>
          <w:rFonts w:ascii="Verdana" w:eastAsia="Calibri" w:hAnsi="Verdana" w:cs="Arial"/>
          <w:b/>
          <w:bCs/>
          <w:color w:val="000000" w:themeColor="text1"/>
          <w:sz w:val="20"/>
          <w:szCs w:val="20"/>
          <w:lang w:val="es-ES"/>
        </w:rPr>
        <w:lastRenderedPageBreak/>
        <w:t xml:space="preserve">PROPONENTE PLURAL – Unión temporal – Finalidad </w:t>
      </w:r>
    </w:p>
    <w:p w14:paraId="5E38E66F" w14:textId="77777777" w:rsidR="00C63058" w:rsidRPr="003F7C63" w:rsidRDefault="00C63058" w:rsidP="00C63058">
      <w:pPr>
        <w:spacing w:after="0" w:line="240" w:lineRule="auto"/>
        <w:jc w:val="both"/>
        <w:rPr>
          <w:rFonts w:ascii="Verdana" w:eastAsia="Calibri" w:hAnsi="Verdana" w:cs="Arial"/>
          <w:color w:val="000000" w:themeColor="text1"/>
          <w:sz w:val="20"/>
          <w:szCs w:val="20"/>
          <w:lang w:val="es-ES"/>
        </w:rPr>
      </w:pPr>
    </w:p>
    <w:p w14:paraId="47ED2C08" w14:textId="77777777" w:rsidR="00C63058" w:rsidRPr="00F9120E" w:rsidRDefault="00C63058" w:rsidP="00C63058">
      <w:pPr>
        <w:spacing w:after="0" w:line="240" w:lineRule="auto"/>
        <w:jc w:val="both"/>
        <w:rPr>
          <w:rFonts w:ascii="Verdana" w:eastAsia="Calibri" w:hAnsi="Verdana" w:cs="Arial"/>
          <w:color w:val="000000" w:themeColor="text1"/>
          <w:lang w:val="es-ES"/>
        </w:rPr>
      </w:pPr>
      <w:r w:rsidRPr="003F7C63">
        <w:rPr>
          <w:rFonts w:ascii="Verdana" w:eastAsia="Calibri" w:hAnsi="Verdana" w:cs="Arial"/>
          <w:color w:val="000000" w:themeColor="text1"/>
          <w:sz w:val="20"/>
          <w:szCs w:val="20"/>
          <w:lang w:val="es-ES"/>
        </w:rPr>
        <w:t xml:space="preserve">Por otra parte, según el artículo 7 de la Ley 80 de 1993, las uniones temporales se refieren a las situaciones en que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imponen de acuerdo con la participación en la ejecución de </w:t>
      </w:r>
      <w:r w:rsidRPr="003F7C63">
        <w:rPr>
          <w:rFonts w:ascii="Verdana" w:eastAsia="Calibri" w:hAnsi="Verdana" w:cs="Arial"/>
          <w:i/>
          <w:iCs/>
          <w:color w:val="000000" w:themeColor="text1"/>
          <w:sz w:val="20"/>
          <w:szCs w:val="20"/>
          <w:lang w:val="es-ES"/>
        </w:rPr>
        <w:t>cada uno de los miembros</w:t>
      </w:r>
      <w:r w:rsidRPr="003F7C63">
        <w:rPr>
          <w:rFonts w:ascii="Verdana" w:eastAsia="Calibri" w:hAnsi="Verdana" w:cs="Arial"/>
          <w:color w:val="000000" w:themeColor="text1"/>
          <w:sz w:val="20"/>
          <w:szCs w:val="20"/>
          <w:lang w:val="es-ES"/>
        </w:rPr>
        <w:t xml:space="preserve"> de la unión temporal</w:t>
      </w:r>
      <w:r w:rsidRPr="00F9120E">
        <w:rPr>
          <w:rFonts w:ascii="Verdana" w:eastAsia="Calibri" w:hAnsi="Verdana" w:cs="Arial"/>
          <w:color w:val="000000" w:themeColor="text1"/>
          <w:lang w:val="es-ES"/>
        </w:rPr>
        <w:t>.  </w:t>
      </w:r>
    </w:p>
    <w:p w14:paraId="70BF0479" w14:textId="77777777" w:rsidR="00C63058" w:rsidRDefault="00C63058" w:rsidP="00C63058">
      <w:pPr>
        <w:spacing w:after="0" w:line="240" w:lineRule="auto"/>
        <w:jc w:val="both"/>
        <w:rPr>
          <w:rFonts w:ascii="Verdana" w:eastAsia="Calibri" w:hAnsi="Verdana" w:cs="Arial"/>
          <w:b/>
          <w:bCs/>
          <w:lang w:val="es-ES"/>
        </w:rPr>
      </w:pPr>
    </w:p>
    <w:p w14:paraId="6B1B806E" w14:textId="77777777" w:rsidR="00C63058" w:rsidRPr="00574AEB" w:rsidRDefault="00C63058" w:rsidP="00C63058">
      <w:pPr>
        <w:spacing w:after="0" w:line="240" w:lineRule="auto"/>
        <w:jc w:val="both"/>
        <w:rPr>
          <w:rFonts w:ascii="Verdana" w:eastAsia="Calibri" w:hAnsi="Verdana" w:cs="Arial"/>
          <w:b/>
          <w:bCs/>
          <w:sz w:val="20"/>
          <w:szCs w:val="20"/>
          <w:lang w:val="es-ES"/>
        </w:rPr>
      </w:pPr>
      <w:r w:rsidRPr="00574AEB">
        <w:rPr>
          <w:rFonts w:ascii="Verdana" w:eastAsia="Calibri" w:hAnsi="Verdana" w:cs="Arial"/>
          <w:b/>
          <w:bCs/>
          <w:sz w:val="20"/>
          <w:szCs w:val="20"/>
          <w:lang w:val="es-ES"/>
        </w:rPr>
        <w:t xml:space="preserve">PROPONENTE PLURAL – Acreditación de experiencia – Acreditación respecto de cada miembro – RUP  </w:t>
      </w:r>
    </w:p>
    <w:p w14:paraId="191ADA26" w14:textId="77777777" w:rsidR="00C63058" w:rsidRPr="00574AEB" w:rsidRDefault="00C63058" w:rsidP="00C63058">
      <w:pPr>
        <w:spacing w:after="0" w:line="240" w:lineRule="auto"/>
        <w:jc w:val="both"/>
        <w:rPr>
          <w:rFonts w:ascii="Verdana" w:eastAsia="Calibri" w:hAnsi="Verdana" w:cs="Arial"/>
          <w:sz w:val="20"/>
          <w:szCs w:val="20"/>
          <w:lang w:val="es-ES"/>
        </w:rPr>
      </w:pPr>
    </w:p>
    <w:p w14:paraId="362FA3B8" w14:textId="77777777" w:rsidR="00C63058" w:rsidRPr="00574AEB" w:rsidRDefault="00C63058" w:rsidP="00C63058">
      <w:pPr>
        <w:spacing w:after="0" w:line="240" w:lineRule="auto"/>
        <w:jc w:val="both"/>
        <w:rPr>
          <w:rFonts w:ascii="Verdana" w:hAnsi="Verdana"/>
          <w:color w:val="000000" w:themeColor="text1"/>
          <w:sz w:val="20"/>
          <w:szCs w:val="20"/>
          <w:lang w:val="es-ES"/>
        </w:rPr>
      </w:pPr>
      <w:r w:rsidRPr="00574AEB">
        <w:rPr>
          <w:rFonts w:ascii="Verdana" w:eastAsia="Calibri" w:hAnsi="Verdana" w:cs="Arial"/>
          <w:sz w:val="20"/>
          <w:szCs w:val="20"/>
          <w:lang w:val="es-ES"/>
        </w:rPr>
        <w:t xml:space="preserve">De lo anterior se deriva que el Estatuto General de Contratación de la Administración Pública contempla la participación de los proponentes plurales </w:t>
      </w:r>
      <w:r w:rsidRPr="00574AEB">
        <w:rPr>
          <w:rFonts w:ascii="Verdana" w:eastAsia="Calibri" w:hAnsi="Verdana" w:cs="Arial"/>
          <w:i/>
          <w:iCs/>
          <w:sz w:val="20"/>
          <w:szCs w:val="20"/>
          <w:lang w:val="es-ES"/>
        </w:rPr>
        <w:t>conservando en todo caso su individualidad jurídica</w:t>
      </w:r>
      <w:r w:rsidRPr="00574AEB">
        <w:rPr>
          <w:rFonts w:ascii="Verdana" w:eastAsia="Calibri" w:hAnsi="Verdana" w:cs="Arial"/>
          <w:sz w:val="20"/>
          <w:szCs w:val="20"/>
          <w:lang w:val="es-ES"/>
        </w:rPr>
        <w:t xml:space="preserve">, de modo que el proponente plural no constituye una persona en sí misma. Como resultado de lo anterior, los requisitos habilitantes de los proponentes plurales deben ser evaluados respecto </w:t>
      </w:r>
      <w:r w:rsidRPr="00574AEB">
        <w:rPr>
          <w:rFonts w:ascii="Verdana" w:eastAsia="Calibri" w:hAnsi="Verdana" w:cs="Arial"/>
          <w:i/>
          <w:iCs/>
          <w:sz w:val="20"/>
          <w:szCs w:val="20"/>
          <w:lang w:val="es-ES"/>
        </w:rPr>
        <w:t>de cada miembro</w:t>
      </w:r>
      <w:r w:rsidRPr="00574AEB">
        <w:rPr>
          <w:rFonts w:ascii="Verdana" w:eastAsia="Calibri" w:hAnsi="Verdana" w:cs="Arial"/>
          <w:sz w:val="20"/>
          <w:szCs w:val="20"/>
          <w:lang w:val="es-ES"/>
        </w:rPr>
        <w:t>, sin que ello desconozca la finalidad de esta figura, que es unir esfuerzos.</w:t>
      </w:r>
      <w:r w:rsidRPr="00574AEB">
        <w:rPr>
          <w:rFonts w:ascii="Verdana" w:hAnsi="Verdana"/>
          <w:color w:val="000000" w:themeColor="text1"/>
          <w:sz w:val="20"/>
          <w:szCs w:val="20"/>
          <w:lang w:val="es-ES"/>
        </w:rPr>
        <w:t xml:space="preserve"> Así pues, la naturaleza jurídica de los consorcios supone que requisitos habilitantes como la experiencia deba ser evaluada con respecto a cada uno de sus integrantes, de acuerdo con lo registrado en su RUP.</w:t>
      </w:r>
    </w:p>
    <w:p w14:paraId="5CA8A15C" w14:textId="77777777" w:rsidR="00C63058" w:rsidRDefault="00C63058" w:rsidP="00C63058">
      <w:pPr>
        <w:spacing w:after="0" w:line="240" w:lineRule="auto"/>
        <w:jc w:val="both"/>
        <w:rPr>
          <w:rFonts w:ascii="Verdana" w:eastAsia="Calibri" w:hAnsi="Verdana" w:cs="Arial"/>
          <w:lang w:val="es-ES"/>
        </w:rPr>
      </w:pPr>
    </w:p>
    <w:p w14:paraId="4C432641" w14:textId="77777777" w:rsidR="00C63058" w:rsidRPr="00B85EBE" w:rsidRDefault="00C63058" w:rsidP="00C63058">
      <w:pPr>
        <w:spacing w:after="0" w:line="240" w:lineRule="auto"/>
        <w:jc w:val="both"/>
        <w:rPr>
          <w:rFonts w:ascii="Verdana" w:eastAsia="Calibri" w:hAnsi="Verdana" w:cs="Arial"/>
          <w:b/>
          <w:bCs/>
          <w:sz w:val="20"/>
          <w:szCs w:val="20"/>
          <w:lang w:val="es-ES"/>
        </w:rPr>
      </w:pPr>
      <w:r w:rsidRPr="00B85EBE">
        <w:rPr>
          <w:rFonts w:ascii="Verdana" w:eastAsia="Calibri" w:hAnsi="Verdana" w:cs="Arial"/>
          <w:b/>
          <w:bCs/>
          <w:sz w:val="20"/>
          <w:szCs w:val="20"/>
          <w:lang w:val="es-ES"/>
        </w:rPr>
        <w:t xml:space="preserve">EXPERIENCIA – Acreditación en proponentes plurales – Acreditación - Sumatoria de experiencia de los integrantes del proponente plural – Acreditado individual por cada uno de los integrantes del proponte plural </w:t>
      </w:r>
    </w:p>
    <w:p w14:paraId="471F71AA" w14:textId="77777777" w:rsidR="00C63058" w:rsidRDefault="00C63058" w:rsidP="00C63058">
      <w:pPr>
        <w:spacing w:after="0" w:line="240" w:lineRule="auto"/>
        <w:jc w:val="both"/>
        <w:rPr>
          <w:rFonts w:ascii="Verdana" w:eastAsia="Calibri" w:hAnsi="Verdana" w:cs="Arial"/>
          <w:sz w:val="20"/>
          <w:szCs w:val="20"/>
          <w:lang w:val="es-ES"/>
        </w:rPr>
      </w:pPr>
    </w:p>
    <w:p w14:paraId="1C586FBC" w14:textId="77777777" w:rsidR="00C63058" w:rsidRDefault="00C63058" w:rsidP="00C63058">
      <w:pPr>
        <w:spacing w:after="0" w:line="240" w:lineRule="auto"/>
        <w:jc w:val="both"/>
        <w:rPr>
          <w:rFonts w:ascii="Verdana" w:eastAsia="Calibri" w:hAnsi="Verdana" w:cs="Arial"/>
          <w:sz w:val="20"/>
          <w:szCs w:val="20"/>
          <w:lang w:val="es-ES"/>
        </w:rPr>
      </w:pPr>
      <w:r w:rsidRPr="00B85EBE">
        <w:rPr>
          <w:rFonts w:ascii="Verdana" w:eastAsia="Calibri" w:hAnsi="Verdana" w:cs="Arial"/>
          <w:sz w:val="20"/>
          <w:szCs w:val="20"/>
          <w:lang w:val="es-ES"/>
        </w:rPr>
        <w:t>[…] los proponentes plurales deberán aportar el acta de conformación consorcial o el acta de conformación de unión temporal indicando claramente la individualización de la persona natural o jurídica, el porcentaje de participación y demás compromisos entre las partes según con lo previsto en los pliegos de condiciones y anexos del proceso contractual. Ahora bien, nada obsta para que la entidad estatal contratante en relación con la experiencia de los proponentes plurales indique que aquella se acreditará con la sumatoria de la experiencia demostrada por cada miembro del consorcio o de la unión temporal o que cada miembro del proponente plural deba acreditar la experiencia requerida en el procedimiento.</w:t>
      </w:r>
    </w:p>
    <w:p w14:paraId="4755A2D1" w14:textId="77777777" w:rsidR="006B2C02" w:rsidRDefault="006B2C02" w:rsidP="00103B90">
      <w:pPr>
        <w:spacing w:after="0" w:line="240" w:lineRule="auto"/>
        <w:rPr>
          <w:rFonts w:ascii="Verdana" w:hAnsi="Verdana"/>
        </w:rPr>
      </w:pPr>
      <w:bookmarkStart w:id="1" w:name="_Hlk181166130"/>
    </w:p>
    <w:p w14:paraId="20824C7B" w14:textId="77777777" w:rsidR="006B2C02" w:rsidRDefault="006B2C02" w:rsidP="00103B90">
      <w:pPr>
        <w:spacing w:after="0" w:line="240" w:lineRule="auto"/>
        <w:rPr>
          <w:rFonts w:ascii="Verdana" w:hAnsi="Verdana"/>
        </w:rPr>
      </w:pPr>
    </w:p>
    <w:p w14:paraId="056CC7CE" w14:textId="77777777" w:rsidR="006B2C02" w:rsidRDefault="006B2C02" w:rsidP="00103B90">
      <w:pPr>
        <w:spacing w:after="0" w:line="240" w:lineRule="auto"/>
        <w:rPr>
          <w:rFonts w:ascii="Verdana" w:hAnsi="Verdana"/>
        </w:rPr>
      </w:pPr>
    </w:p>
    <w:p w14:paraId="7CD7CD20" w14:textId="77777777" w:rsidR="006B2C02" w:rsidRDefault="006B2C02" w:rsidP="00103B90">
      <w:pPr>
        <w:spacing w:after="0" w:line="240" w:lineRule="auto"/>
        <w:rPr>
          <w:rFonts w:ascii="Verdana" w:hAnsi="Verdana"/>
        </w:rPr>
      </w:pPr>
    </w:p>
    <w:p w14:paraId="6096BEDD" w14:textId="77777777" w:rsidR="006B2C02" w:rsidRDefault="006B2C02" w:rsidP="00103B90">
      <w:pPr>
        <w:spacing w:after="0" w:line="240" w:lineRule="auto"/>
        <w:rPr>
          <w:rFonts w:ascii="Verdana" w:hAnsi="Verdana"/>
        </w:rPr>
      </w:pPr>
    </w:p>
    <w:p w14:paraId="31DF5028" w14:textId="77777777" w:rsidR="006B2C02" w:rsidRDefault="006B2C02" w:rsidP="00103B90">
      <w:pPr>
        <w:spacing w:after="0" w:line="240" w:lineRule="auto"/>
        <w:rPr>
          <w:rFonts w:ascii="Verdana" w:hAnsi="Verdana"/>
        </w:rPr>
      </w:pPr>
    </w:p>
    <w:p w14:paraId="73ED903B" w14:textId="77777777" w:rsidR="006B2C02" w:rsidRDefault="006B2C02" w:rsidP="00103B90">
      <w:pPr>
        <w:spacing w:after="0" w:line="240" w:lineRule="auto"/>
        <w:rPr>
          <w:rFonts w:ascii="Verdana" w:hAnsi="Verdana"/>
        </w:rPr>
      </w:pPr>
    </w:p>
    <w:p w14:paraId="091966DD" w14:textId="77777777" w:rsidR="006B2C02" w:rsidRDefault="006B2C02" w:rsidP="00103B90">
      <w:pPr>
        <w:spacing w:after="0" w:line="240" w:lineRule="auto"/>
        <w:rPr>
          <w:rFonts w:ascii="Verdana" w:hAnsi="Verdana"/>
        </w:rPr>
      </w:pPr>
    </w:p>
    <w:p w14:paraId="44BE2869" w14:textId="77777777" w:rsidR="006B2C02" w:rsidRDefault="006B2C02" w:rsidP="00103B90">
      <w:pPr>
        <w:spacing w:after="0" w:line="240" w:lineRule="auto"/>
        <w:rPr>
          <w:rFonts w:ascii="Verdana" w:hAnsi="Verdana"/>
        </w:rPr>
      </w:pPr>
    </w:p>
    <w:p w14:paraId="6970C83B" w14:textId="77777777" w:rsidR="006B2C02" w:rsidRDefault="006B2C02" w:rsidP="00103B90">
      <w:pPr>
        <w:spacing w:after="0" w:line="240" w:lineRule="auto"/>
        <w:rPr>
          <w:rFonts w:ascii="Verdana" w:hAnsi="Verdana"/>
        </w:rPr>
      </w:pPr>
    </w:p>
    <w:p w14:paraId="73A0F3FD" w14:textId="77777777" w:rsidR="006B2C02" w:rsidRDefault="006B2C02" w:rsidP="00103B90">
      <w:pPr>
        <w:spacing w:after="0" w:line="240" w:lineRule="auto"/>
        <w:rPr>
          <w:rFonts w:ascii="Verdana" w:hAnsi="Verdana"/>
        </w:rPr>
      </w:pPr>
    </w:p>
    <w:p w14:paraId="753A3578" w14:textId="77777777" w:rsidR="006B2C02" w:rsidRDefault="006B2C02" w:rsidP="00103B90">
      <w:pPr>
        <w:spacing w:after="0" w:line="240" w:lineRule="auto"/>
        <w:rPr>
          <w:rFonts w:ascii="Verdana" w:hAnsi="Verdana"/>
        </w:rPr>
      </w:pPr>
    </w:p>
    <w:p w14:paraId="734BF481" w14:textId="10CC6637" w:rsidR="00A64017" w:rsidRDefault="00A800B4" w:rsidP="00103B90">
      <w:pPr>
        <w:spacing w:after="0" w:line="240" w:lineRule="auto"/>
        <w:rPr>
          <w:rFonts w:ascii="Verdana" w:hAnsi="Verdana"/>
        </w:rPr>
      </w:pPr>
      <w:r>
        <w:rPr>
          <w:rFonts w:ascii="Verdana" w:hAnsi="Verdana"/>
        </w:rPr>
        <w:lastRenderedPageBreak/>
        <w:t>B</w:t>
      </w:r>
      <w:r w:rsidR="00A64017" w:rsidRPr="0044528D">
        <w:rPr>
          <w:rFonts w:ascii="Verdana" w:hAnsi="Verdana"/>
        </w:rPr>
        <w:t xml:space="preserve">ogotá D.C., </w:t>
      </w:r>
      <w:r w:rsidR="00331CD0">
        <w:rPr>
          <w:rFonts w:ascii="Verdana" w:hAnsi="Verdana"/>
        </w:rPr>
        <w:t>29</w:t>
      </w:r>
      <w:r w:rsidR="00324E0B">
        <w:rPr>
          <w:rFonts w:ascii="Verdana" w:hAnsi="Verdana"/>
        </w:rPr>
        <w:t xml:space="preserve"> </w:t>
      </w:r>
      <w:r w:rsidR="00763E4A">
        <w:rPr>
          <w:rFonts w:ascii="Verdana" w:hAnsi="Verdana"/>
        </w:rPr>
        <w:t xml:space="preserve">de </w:t>
      </w:r>
      <w:r w:rsidR="00331CD0">
        <w:rPr>
          <w:rFonts w:ascii="Verdana" w:hAnsi="Verdana"/>
        </w:rPr>
        <w:t>septiembre</w:t>
      </w:r>
      <w:r w:rsidR="00763E4A">
        <w:rPr>
          <w:rFonts w:ascii="Verdana" w:hAnsi="Verdana"/>
        </w:rPr>
        <w:t xml:space="preserve"> de </w:t>
      </w:r>
      <w:r w:rsidR="00331CD0">
        <w:rPr>
          <w:rFonts w:ascii="Verdana" w:hAnsi="Verdana"/>
        </w:rPr>
        <w:t>2025</w:t>
      </w:r>
      <w:r w:rsidR="00763E4A">
        <w:rPr>
          <w:rFonts w:ascii="Verdana" w:hAnsi="Verdana"/>
        </w:rPr>
        <w:t>.</w:t>
      </w:r>
    </w:p>
    <w:bookmarkEnd w:id="1"/>
    <w:p w14:paraId="43EFFE03" w14:textId="77777777" w:rsidR="00A64017" w:rsidRDefault="00A64017" w:rsidP="00103B90">
      <w:pPr>
        <w:spacing w:after="0" w:line="240" w:lineRule="auto"/>
        <w:rPr>
          <w:rFonts w:ascii="Verdana" w:hAnsi="Verdana"/>
        </w:rPr>
      </w:pPr>
    </w:p>
    <w:p w14:paraId="68F08A63" w14:textId="77777777" w:rsidR="00A64017" w:rsidRDefault="00A64017" w:rsidP="00103B90">
      <w:pPr>
        <w:spacing w:after="0" w:line="240" w:lineRule="auto"/>
        <w:rPr>
          <w:rFonts w:ascii="Verdana" w:hAnsi="Verdana"/>
        </w:rPr>
      </w:pPr>
    </w:p>
    <w:p w14:paraId="24B08334" w14:textId="5F97B8FB" w:rsidR="00331CD0" w:rsidRDefault="00331CD0" w:rsidP="00331CD0">
      <w:pPr>
        <w:spacing w:after="0" w:line="240" w:lineRule="auto"/>
        <w:jc w:val="right"/>
        <w:rPr>
          <w:rFonts w:ascii="Verdana" w:hAnsi="Verdana"/>
        </w:rPr>
      </w:pPr>
      <w:r>
        <w:rPr>
          <w:rFonts w:ascii="Verdana" w:hAnsi="Verdana"/>
          <w:noProof/>
        </w:rPr>
        <w:drawing>
          <wp:inline distT="0" distB="0" distL="0" distR="0" wp14:anchorId="4894F4AE" wp14:editId="0C462C61">
            <wp:extent cx="3087480" cy="1009650"/>
            <wp:effectExtent l="0" t="0" r="0" b="0"/>
            <wp:docPr id="18417968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88943" cy="1010128"/>
                    </a:xfrm>
                    <a:prstGeom prst="rect">
                      <a:avLst/>
                    </a:prstGeom>
                    <a:noFill/>
                    <a:ln>
                      <a:noFill/>
                    </a:ln>
                  </pic:spPr>
                </pic:pic>
              </a:graphicData>
            </a:graphic>
          </wp:inline>
        </w:drawing>
      </w:r>
    </w:p>
    <w:p w14:paraId="5CA7B99D" w14:textId="77777777" w:rsidR="00331CD0" w:rsidRDefault="00331CD0" w:rsidP="00103B90">
      <w:pPr>
        <w:spacing w:after="0" w:line="240" w:lineRule="auto"/>
        <w:rPr>
          <w:rFonts w:ascii="Verdana" w:hAnsi="Verdana"/>
        </w:rPr>
      </w:pPr>
    </w:p>
    <w:p w14:paraId="6EF9D4E0" w14:textId="5C93F0C8"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FA3CFE">
        <w:rPr>
          <w:rFonts w:ascii="Verdana" w:eastAsia="Calibri" w:hAnsi="Verdana" w:cs="Arial"/>
          <w:lang w:eastAsia="es-ES"/>
        </w:rPr>
        <w:t>a</w:t>
      </w:r>
      <w:r w:rsidRPr="00631045">
        <w:rPr>
          <w:rFonts w:ascii="Verdana" w:eastAsia="Calibri" w:hAnsi="Verdana" w:cs="Arial"/>
          <w:lang w:eastAsia="es-ES"/>
        </w:rPr>
        <w:tab/>
      </w:r>
    </w:p>
    <w:p w14:paraId="200679A4" w14:textId="77777777" w:rsidR="00FA3CFE" w:rsidRDefault="00FA3CFE" w:rsidP="00A64017">
      <w:pPr>
        <w:spacing w:after="0" w:line="240" w:lineRule="auto"/>
        <w:rPr>
          <w:rFonts w:ascii="Verdana" w:eastAsia="Calibri" w:hAnsi="Verdana" w:cs="Arial"/>
          <w:b/>
          <w:bCs/>
          <w:lang w:eastAsia="es-ES"/>
        </w:rPr>
      </w:pPr>
      <w:r w:rsidRPr="00FA3CFE">
        <w:rPr>
          <w:rFonts w:ascii="Verdana" w:eastAsia="Calibri" w:hAnsi="Verdana" w:cs="Arial"/>
          <w:b/>
          <w:bCs/>
          <w:lang w:eastAsia="es-ES"/>
        </w:rPr>
        <w:t>MARIA BETULIA ALTUZARRA REYES</w:t>
      </w:r>
    </w:p>
    <w:p w14:paraId="1FD85336" w14:textId="1A8DB9D0" w:rsidR="00A64017" w:rsidRPr="00631045" w:rsidRDefault="00FA3CFE" w:rsidP="00A64017">
      <w:pPr>
        <w:spacing w:after="0" w:line="240" w:lineRule="auto"/>
        <w:rPr>
          <w:rFonts w:ascii="Verdana" w:hAnsi="Verdana"/>
        </w:rPr>
      </w:pPr>
      <w:hyperlink r:id="rId11" w:history="1">
        <w:r w:rsidRPr="005A2044">
          <w:rPr>
            <w:rStyle w:val="Hipervnculo"/>
            <w:rFonts w:ascii="Verdana" w:hAnsi="Verdana"/>
          </w:rPr>
          <w:t>mabare22@gmail.com</w:t>
        </w:r>
      </w:hyperlink>
      <w:r w:rsidR="00631045">
        <w:rPr>
          <w:rFonts w:ascii="Verdana" w:hAnsi="Verdana"/>
        </w:rPr>
        <w:t xml:space="preserve"> </w:t>
      </w:r>
    </w:p>
    <w:p w14:paraId="48FCFCCF" w14:textId="1E7E7F55" w:rsidR="00A64017" w:rsidRDefault="00631045" w:rsidP="00A64017">
      <w:pPr>
        <w:spacing w:after="0" w:line="240" w:lineRule="auto"/>
        <w:rPr>
          <w:rFonts w:ascii="Verdana" w:hAnsi="Verdana"/>
        </w:rPr>
      </w:pPr>
      <w:r>
        <w:rPr>
          <w:rFonts w:ascii="Verdana" w:hAnsi="Verdana"/>
        </w:rPr>
        <w:t>Bogotá D.C.</w:t>
      </w:r>
      <w:r w:rsidR="00324E0B" w:rsidRPr="00631045">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0B64B9B2"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324E0B">
              <w:rPr>
                <w:rFonts w:ascii="Verdana" w:eastAsia="Calibri" w:hAnsi="Verdana" w:cs="Arial"/>
                <w:b/>
                <w:bCs/>
                <w:lang w:val="es-ES" w:eastAsia="es-ES"/>
              </w:rPr>
              <w:t>1</w:t>
            </w:r>
            <w:r w:rsidR="00916515">
              <w:rPr>
                <w:rFonts w:ascii="Verdana" w:eastAsia="Calibri" w:hAnsi="Verdana" w:cs="Arial"/>
                <w:b/>
                <w:bCs/>
                <w:lang w:val="es-ES" w:eastAsia="es-ES"/>
              </w:rPr>
              <w:t>159</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00B841B2" w14:textId="3F57EEFD" w:rsidR="00A800B4" w:rsidRPr="003F7C63" w:rsidRDefault="00C84124" w:rsidP="00A800B4">
            <w:pPr>
              <w:jc w:val="both"/>
              <w:rPr>
                <w:rFonts w:ascii="Verdana" w:hAnsi="Verdana"/>
                <w:b/>
                <w:bCs/>
                <w:color w:val="000000" w:themeColor="text1"/>
                <w:sz w:val="20"/>
                <w:szCs w:val="20"/>
                <w:lang w:val="es-ES"/>
              </w:rPr>
            </w:pPr>
            <w:r w:rsidRPr="00C84124">
              <w:rPr>
                <w:rFonts w:ascii="Verdana" w:eastAsia="Calibri" w:hAnsi="Verdana" w:cs="Arial"/>
                <w:color w:val="000000" w:themeColor="text1"/>
                <w:lang w:val="es-ES"/>
              </w:rPr>
              <w:t xml:space="preserve">REQUISITOS HABILITANTES – Concepto - CRITERIOS DE EVALUACIÓN – Concepto </w:t>
            </w:r>
            <w:r>
              <w:rPr>
                <w:rFonts w:ascii="Verdana" w:eastAsia="Calibri" w:hAnsi="Verdana" w:cs="Arial"/>
                <w:color w:val="000000" w:themeColor="text1"/>
                <w:lang w:val="es-ES"/>
              </w:rPr>
              <w:t xml:space="preserve">/ </w:t>
            </w:r>
            <w:r w:rsidRPr="00C84124">
              <w:rPr>
                <w:rFonts w:ascii="Verdana" w:eastAsia="Calibri" w:hAnsi="Verdana" w:cs="Arial"/>
                <w:color w:val="000000" w:themeColor="text1"/>
                <w:lang w:val="es-ES"/>
              </w:rPr>
              <w:t>EXPERIENCIA – Requisito habilitante – Concepto – EXPERIENCIA – Singularidad – Proponentes plurales – EXPERIENCIA - Evaluación de la experiencia – Proponente plural</w:t>
            </w:r>
            <w:r>
              <w:rPr>
                <w:rFonts w:ascii="Verdana" w:eastAsia="Calibri" w:hAnsi="Verdana" w:cs="Arial"/>
                <w:color w:val="000000" w:themeColor="text1"/>
                <w:lang w:val="es-ES"/>
              </w:rPr>
              <w:t xml:space="preserve"> / </w:t>
            </w:r>
            <w:r w:rsidRPr="00C84124">
              <w:rPr>
                <w:rFonts w:ascii="Verdana" w:eastAsia="Calibri" w:hAnsi="Verdana" w:cs="Arial"/>
                <w:color w:val="000000" w:themeColor="text1"/>
                <w:lang w:val="es-ES"/>
              </w:rPr>
              <w:t xml:space="preserve">PROPONENTES PLURALES – Ley 80 de 1993 – Unión temporal </w:t>
            </w:r>
            <w:r>
              <w:rPr>
                <w:rFonts w:ascii="Verdana" w:eastAsia="Calibri" w:hAnsi="Verdana" w:cs="Arial"/>
                <w:color w:val="000000" w:themeColor="text1"/>
                <w:lang w:val="es-ES"/>
              </w:rPr>
              <w:t>–</w:t>
            </w:r>
            <w:r w:rsidRPr="00C84124">
              <w:rPr>
                <w:rFonts w:ascii="Verdana" w:eastAsia="Calibri" w:hAnsi="Verdana" w:cs="Arial"/>
                <w:color w:val="000000" w:themeColor="text1"/>
                <w:lang w:val="es-ES"/>
              </w:rPr>
              <w:t xml:space="preserve"> Concepto</w:t>
            </w:r>
            <w:r>
              <w:rPr>
                <w:rFonts w:ascii="Verdana" w:eastAsia="Calibri" w:hAnsi="Verdana" w:cs="Arial"/>
                <w:color w:val="000000" w:themeColor="text1"/>
                <w:lang w:val="es-ES"/>
              </w:rPr>
              <w:t xml:space="preserve"> / </w:t>
            </w:r>
            <w:r w:rsidRPr="00C84124">
              <w:rPr>
                <w:rFonts w:ascii="Verdana" w:eastAsia="Calibri" w:hAnsi="Verdana" w:cs="Arial"/>
                <w:color w:val="000000" w:themeColor="text1"/>
                <w:lang w:val="es-ES"/>
              </w:rPr>
              <w:t>EXPERIENCIA – Acreditación en proponentes plurales – Acreditación - Sumatoria de experiencia de los integrantes del proponente plural – Acreditado individual por cada uno de los integrantes del proponte plural</w:t>
            </w:r>
            <w:r w:rsidR="00FC6FA1">
              <w:rPr>
                <w:rFonts w:ascii="Verdana" w:eastAsia="Calibri" w:hAnsi="Verdana" w:cs="Arial"/>
                <w:color w:val="000000" w:themeColor="text1"/>
                <w:lang w:val="es-ES"/>
              </w:rPr>
              <w:t>.</w:t>
            </w: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1B64FE1A"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bookmarkStart w:id="2" w:name="_Hlk209714632"/>
            <w:r w:rsidR="00FA3CFE" w:rsidRPr="00FA3CFE">
              <w:rPr>
                <w:rFonts w:ascii="Verdana" w:eastAsia="Calibri" w:hAnsi="Verdana" w:cs="Arial"/>
                <w:lang w:val="es-ES_tradnl" w:eastAsia="es-ES_tradnl"/>
              </w:rPr>
              <w:t>1_2025_08_19_008700</w:t>
            </w:r>
            <w:bookmarkEnd w:id="2"/>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4EB8A4FF"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FA3CFE">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FA3CFE">
        <w:rPr>
          <w:rFonts w:ascii="Verdana" w:eastAsia="Calibri" w:hAnsi="Verdana" w:cs="Arial"/>
          <w:lang w:val="es-ES" w:eastAsia="es-ES"/>
        </w:rPr>
        <w:t>a</w:t>
      </w:r>
      <w:r>
        <w:rPr>
          <w:rFonts w:ascii="Verdana" w:eastAsia="Calibri" w:hAnsi="Verdana" w:cs="Arial"/>
          <w:lang w:val="es-ES" w:eastAsia="es-ES"/>
        </w:rPr>
        <w:t xml:space="preserve"> </w:t>
      </w:r>
      <w:r w:rsidR="00FA3CFE">
        <w:rPr>
          <w:rFonts w:ascii="Verdana" w:eastAsia="Calibri" w:hAnsi="Verdana" w:cs="Arial"/>
          <w:lang w:val="es-ES" w:eastAsia="es-ES"/>
        </w:rPr>
        <w:t>Altuzarra</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0D17B29F"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sidR="00631045">
        <w:rPr>
          <w:rFonts w:ascii="Verdana" w:eastAsia="Calibri" w:hAnsi="Verdana" w:cs="Arial"/>
          <w:lang w:val="es-ES" w:eastAsia="es-ES"/>
        </w:rPr>
        <w:t>01</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631045">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3" w:name="_Hlk95313578"/>
    </w:p>
    <w:bookmarkEnd w:id="3"/>
    <w:p w14:paraId="11D516E0" w14:textId="1BA20C2B" w:rsidR="00A64017" w:rsidRPr="00EA70F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7D69F9FA" w14:textId="77777777" w:rsidR="00A800B4" w:rsidRDefault="00A800B4" w:rsidP="00FA3CFE">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93E4346" w14:textId="0D5127A1" w:rsidR="00631045" w:rsidRDefault="00FA3CFE" w:rsidP="00FA3CFE">
      <w:pPr>
        <w:tabs>
          <w:tab w:val="left" w:pos="142"/>
          <w:tab w:val="left" w:pos="567"/>
        </w:tabs>
        <w:spacing w:after="0" w:line="240" w:lineRule="auto"/>
        <w:ind w:left="709" w:right="709"/>
        <w:jc w:val="both"/>
        <w:rPr>
          <w:rFonts w:ascii="Verdana" w:eastAsia="Century Gothic" w:hAnsi="Verdana" w:cs="Century Gothic"/>
          <w:i/>
          <w:iCs/>
          <w:sz w:val="20"/>
          <w:szCs w:val="20"/>
        </w:rPr>
      </w:pPr>
      <w:r w:rsidRPr="00FA3CFE">
        <w:rPr>
          <w:rFonts w:ascii="Verdana" w:eastAsia="Century Gothic" w:hAnsi="Verdana" w:cs="Century Gothic"/>
          <w:i/>
          <w:iCs/>
          <w:sz w:val="20"/>
          <w:szCs w:val="20"/>
        </w:rPr>
        <w:t>Agradezco su amable ayuda con el fin de responder la siguiente inquietud: En un</w:t>
      </w:r>
      <w:r>
        <w:rPr>
          <w:rFonts w:ascii="Verdana" w:eastAsia="Century Gothic" w:hAnsi="Verdana" w:cs="Century Gothic"/>
          <w:i/>
          <w:iCs/>
          <w:sz w:val="20"/>
          <w:szCs w:val="20"/>
        </w:rPr>
        <w:t xml:space="preserve"> </w:t>
      </w:r>
      <w:r w:rsidRPr="00FA3CFE">
        <w:rPr>
          <w:rFonts w:ascii="Verdana" w:eastAsia="Century Gothic" w:hAnsi="Verdana" w:cs="Century Gothic"/>
          <w:i/>
          <w:iCs/>
          <w:sz w:val="20"/>
          <w:szCs w:val="20"/>
        </w:rPr>
        <w:t xml:space="preserve">proceso licitatorio o de invitación directa, una UNIÓN TEMPORAL </w:t>
      </w:r>
      <w:r w:rsidRPr="00FA3CFE">
        <w:rPr>
          <w:rFonts w:ascii="Verdana" w:eastAsia="Century Gothic" w:hAnsi="Verdana" w:cs="Century Gothic"/>
          <w:i/>
          <w:iCs/>
          <w:sz w:val="20"/>
          <w:szCs w:val="20"/>
        </w:rPr>
        <w:lastRenderedPageBreak/>
        <w:t>puede demostrar</w:t>
      </w:r>
      <w:r>
        <w:rPr>
          <w:rFonts w:ascii="Verdana" w:eastAsia="Century Gothic" w:hAnsi="Verdana" w:cs="Century Gothic"/>
          <w:i/>
          <w:iCs/>
          <w:sz w:val="20"/>
          <w:szCs w:val="20"/>
        </w:rPr>
        <w:t xml:space="preserve"> </w:t>
      </w:r>
      <w:r w:rsidRPr="00FA3CFE">
        <w:rPr>
          <w:rFonts w:ascii="Verdana" w:eastAsia="Century Gothic" w:hAnsi="Verdana" w:cs="Century Gothic"/>
          <w:i/>
          <w:iCs/>
          <w:sz w:val="20"/>
          <w:szCs w:val="20"/>
        </w:rPr>
        <w:t>la experiencia requerida por la ENTIDAD CONTRATANTE, ¿con certificaciones de las entidades que la conforman? existe alguna norma que lo permita o lo prohíba</w:t>
      </w:r>
    </w:p>
    <w:p w14:paraId="2CDDC996" w14:textId="7748961D" w:rsidR="00A64017" w:rsidRPr="00EA70F7" w:rsidRDefault="00A64017"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204DE520" w14:textId="68FDDD1D" w:rsidR="006D7121" w:rsidRPr="00DF7E02" w:rsidRDefault="00A64017" w:rsidP="006D7121">
      <w:pPr>
        <w:spacing w:after="0" w:line="276" w:lineRule="auto"/>
        <w:jc w:val="both"/>
        <w:rPr>
          <w:rFonts w:ascii="Verdana" w:eastAsia="Calibri" w:hAnsi="Verdana" w:cs="Arial"/>
          <w:color w:val="7030A0"/>
          <w:lang w:val="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4" w:name="_Hlk196737317"/>
      <w:r>
        <w:rPr>
          <w:rFonts w:ascii="Verdana" w:eastAsia="Calibri" w:hAnsi="Verdana" w:cs="Arial"/>
          <w:lang w:eastAsia="es-ES"/>
        </w:rPr>
        <w:t xml:space="preserve"> </w:t>
      </w:r>
      <w:r w:rsidR="00B23BA1" w:rsidRPr="00B23BA1">
        <w:rPr>
          <w:rFonts w:ascii="Verdana" w:eastAsia="Century Gothic" w:hAnsi="Verdana" w:cs="Century Gothic"/>
        </w:rPr>
        <w:t>¿</w:t>
      </w:r>
      <w:r w:rsidR="006D7121" w:rsidRPr="417FE97F">
        <w:rPr>
          <w:rFonts w:ascii="Verdana" w:eastAsia="Century Gothic" w:hAnsi="Verdana" w:cs="Century Gothic"/>
        </w:rPr>
        <w:t>Cómo se acredita la experiencia</w:t>
      </w:r>
      <w:r w:rsidR="006D7121">
        <w:rPr>
          <w:rFonts w:ascii="Verdana" w:eastAsia="Century Gothic" w:hAnsi="Verdana" w:cs="Century Gothic"/>
        </w:rPr>
        <w:t xml:space="preserve"> </w:t>
      </w:r>
      <w:r w:rsidR="006D7121" w:rsidRPr="417FE97F">
        <w:rPr>
          <w:rFonts w:ascii="Verdana" w:eastAsia="Century Gothic" w:hAnsi="Verdana" w:cs="Century Gothic"/>
        </w:rPr>
        <w:t>de un proponente plural en un proceso de contratación estatal?</w:t>
      </w:r>
    </w:p>
    <w:p w14:paraId="7D015B67" w14:textId="77777777" w:rsidR="00B23BA1" w:rsidRDefault="00B23BA1" w:rsidP="00B23BA1">
      <w:pPr>
        <w:spacing w:after="0" w:line="276" w:lineRule="auto"/>
        <w:jc w:val="both"/>
        <w:rPr>
          <w:rFonts w:ascii="Verdana" w:eastAsia="Century Gothic" w:hAnsi="Verdana" w:cs="Century Gothic"/>
        </w:rPr>
      </w:pPr>
    </w:p>
    <w:bookmarkEnd w:id="4"/>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18DEAB4E" w14:textId="3DEF286D" w:rsidR="006D7121" w:rsidRDefault="006D7121" w:rsidP="006D7121">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 </w:t>
            </w:r>
            <w:r w:rsidRPr="30FCA46D">
              <w:rPr>
                <w:rFonts w:ascii="Verdana" w:eastAsia="Calibri" w:hAnsi="Verdana" w:cs="Arial"/>
                <w:color w:val="000000" w:themeColor="text1"/>
                <w:lang w:val="es-ES"/>
              </w:rPr>
              <w:t xml:space="preserve">Los </w:t>
            </w:r>
            <w:r w:rsidRPr="30FCA46D">
              <w:rPr>
                <w:rFonts w:ascii="Verdana" w:eastAsia="Calibri" w:hAnsi="Verdana" w:cs="Arial"/>
                <w:i/>
                <w:iCs/>
                <w:color w:val="000000" w:themeColor="text1"/>
                <w:lang w:val="es-ES"/>
              </w:rPr>
              <w:t>requisitos habilitantes</w:t>
            </w:r>
            <w:r w:rsidRPr="30FCA46D">
              <w:rPr>
                <w:rFonts w:ascii="Verdana" w:eastAsia="Calibri" w:hAnsi="Verdana" w:cs="Arial"/>
                <w:color w:val="000000" w:themeColor="text1"/>
                <w:lang w:val="es-ES"/>
              </w:rPr>
              <w:t xml:space="preserve"> se entienden como exigencias de obligatorio cumplimiento para participar en los procedimientos de selección acorde con las disposiciones normativas, de carácter legal o reglamentario, o contenidas en el acto administrativo que regula las reglas de la convocatoria, es decir, en el pliego de condiciones o su documento equivalente. </w:t>
            </w:r>
          </w:p>
          <w:p w14:paraId="315E819D" w14:textId="77777777" w:rsidR="006D7121" w:rsidRDefault="006D7121" w:rsidP="006D7121">
            <w:pPr>
              <w:widowControl w:val="0"/>
              <w:autoSpaceDE w:val="0"/>
              <w:autoSpaceDN w:val="0"/>
              <w:spacing w:before="120" w:after="120" w:line="276" w:lineRule="auto"/>
              <w:ind w:firstLine="709"/>
              <w:jc w:val="both"/>
              <w:rPr>
                <w:rFonts w:ascii="Verdana" w:eastAsia="Calibri" w:hAnsi="Verdana" w:cs="Arial"/>
                <w:color w:val="000000" w:themeColor="text1"/>
                <w:lang w:val="es-ES"/>
              </w:rPr>
            </w:pPr>
            <w:r w:rsidRPr="30FCA46D">
              <w:rPr>
                <w:rFonts w:ascii="Verdana" w:eastAsia="Calibri" w:hAnsi="Verdana" w:cs="Arial"/>
                <w:color w:val="000000" w:themeColor="text1"/>
                <w:lang w:val="es-ES"/>
              </w:rPr>
              <w:lastRenderedPageBreak/>
              <w:t xml:space="preserve">En consecuencia, corresponde a las Entidades Estatales durante la etapa de planeación, estudiar y determinar los requisitos habilitantes que establecerán en los pliegos de condiciones, los cuales deben fijarse de forma adecuada y proporcional. Según el artículo 2.2.1.1.1.6.2 del Decreto 1082 de 2015, las citadas entidades deben revisar estos criterios acordes con la naturaleza, el valor del contrato, la forma de pago, los riesgos asociados, el plazo y la complejidad de ejecución del objeto. Esta facultad, además implica que las entidades deben establecer la forma en que los proponentes acreditarán estos requisitos y la manera en que la entidad verificará su cumplimiento. </w:t>
            </w:r>
          </w:p>
          <w:p w14:paraId="119F394F" w14:textId="77777777" w:rsidR="006D7121" w:rsidRDefault="006D7121" w:rsidP="006D7121">
            <w:pPr>
              <w:widowControl w:val="0"/>
              <w:autoSpaceDE w:val="0"/>
              <w:autoSpaceDN w:val="0"/>
              <w:spacing w:before="120" w:after="120" w:line="276" w:lineRule="auto"/>
              <w:ind w:firstLine="709"/>
              <w:jc w:val="both"/>
              <w:rPr>
                <w:rFonts w:ascii="Verdana" w:eastAsia="Calibri" w:hAnsi="Verdana" w:cs="Arial"/>
                <w:color w:val="000000" w:themeColor="text1"/>
                <w:lang w:val="es-ES" w:eastAsia="es-ES"/>
              </w:rPr>
            </w:pPr>
            <w:r w:rsidRPr="30FCA46D">
              <w:rPr>
                <w:rFonts w:ascii="Verdana" w:eastAsia="Calibri" w:hAnsi="Verdana" w:cs="Arial"/>
                <w:color w:val="000000" w:themeColor="text1"/>
                <w:lang w:val="es-ES" w:eastAsia="es-ES"/>
              </w:rPr>
              <w:t>Ahora bien, dentro de los requisitos habilitantes se destaca el relacionado con la experiencia</w:t>
            </w:r>
            <w:r w:rsidRPr="30FCA46D">
              <w:rPr>
                <w:rFonts w:ascii="Verdana" w:eastAsia="Calibri" w:hAnsi="Verdana" w:cs="Arial"/>
                <w:lang w:val="es-ES"/>
              </w:rPr>
              <w:t xml:space="preserve">. Como lo indica </w:t>
            </w:r>
            <w:r w:rsidRPr="30FCA46D">
              <w:rPr>
                <w:rFonts w:ascii="Verdana" w:eastAsia="Calibri" w:hAnsi="Verdana" w:cs="Arial"/>
                <w:lang w:eastAsia="es-CO"/>
              </w:rPr>
              <w:t>el “</w:t>
            </w:r>
            <w:r w:rsidRPr="30FCA46D">
              <w:rPr>
                <w:rFonts w:ascii="Verdana" w:eastAsia="Calibri" w:hAnsi="Verdana" w:cs="Arial"/>
                <w:i/>
                <w:iCs/>
                <w:lang w:eastAsia="es-CO"/>
              </w:rPr>
              <w:t>Manual para determinar y verificar requisitos habilitantes en los procesos de contratación,</w:t>
            </w:r>
            <w:r w:rsidRPr="30FCA46D">
              <w:rPr>
                <w:rFonts w:ascii="Verdana" w:eastAsia="Calibri" w:hAnsi="Verdana" w:cs="Arial"/>
                <w:lang w:eastAsia="es-CO"/>
              </w:rPr>
              <w:t xml:space="preserve"> </w:t>
            </w:r>
            <w:r>
              <w:rPr>
                <w:rFonts w:ascii="Verdana" w:eastAsia="Calibri" w:hAnsi="Verdana" w:cs="Arial"/>
                <w:lang w:eastAsia="es-CO"/>
              </w:rPr>
              <w:t xml:space="preserve">expedido por la Agencia Nacional de Contratación Pública, </w:t>
            </w:r>
            <w:r w:rsidRPr="30FCA46D">
              <w:rPr>
                <w:rFonts w:ascii="Verdana" w:eastAsia="Calibri" w:hAnsi="Verdana" w:cs="Arial"/>
                <w:lang w:eastAsia="es-CO"/>
              </w:rPr>
              <w:t>la experiencia debe ser entendida como el conocimiento del proponente derivado de su participación previa en actividades iguales o similares a las previstas en el objeto del contrato con contratantes públicos, privados, nacionales o extranjeros.</w:t>
            </w:r>
          </w:p>
          <w:p w14:paraId="246633F0" w14:textId="77777777" w:rsidR="006D7121" w:rsidRDefault="006D7121" w:rsidP="006D7121">
            <w:pPr>
              <w:widowControl w:val="0"/>
              <w:autoSpaceDE w:val="0"/>
              <w:autoSpaceDN w:val="0"/>
              <w:spacing w:before="120" w:after="120" w:line="276" w:lineRule="auto"/>
              <w:ind w:firstLine="709"/>
              <w:jc w:val="both"/>
              <w:rPr>
                <w:rFonts w:ascii="Verdana" w:eastAsia="Calibri" w:hAnsi="Verdana" w:cs="Arial"/>
                <w:color w:val="000000"/>
                <w:lang w:val="es-ES" w:eastAsia="es-ES"/>
              </w:rPr>
            </w:pPr>
            <w:r w:rsidRPr="30FCA46D">
              <w:rPr>
                <w:rFonts w:ascii="Verdana" w:eastAsia="Calibri" w:hAnsi="Verdana" w:cs="Arial"/>
                <w:lang w:eastAsia="es-CO"/>
              </w:rPr>
              <w:t xml:space="preserve">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y según se haya establecido en el correspondiente pliego de condiciones. </w:t>
            </w:r>
            <w:r w:rsidRPr="30FCA46D">
              <w:rPr>
                <w:rFonts w:ascii="Verdana" w:eastAsia="Calibri" w:hAnsi="Verdana" w:cs="Arial"/>
                <w:color w:val="000000" w:themeColor="text1"/>
                <w:lang w:val="es-ES" w:eastAsia="es-ES"/>
              </w:rPr>
              <w:t>Para este fin, la Entidad Estatal, como responsable de estructurar el procedimiento de selección, es autónoma para determinar los requisitos para acreditar la experiencia de acuerdo con el objeto contractual que pretende satisfacer. No obstante, en atención a lo dispuesto en el artículo 2.2.1.1.1.6.2 del Decreto 1082 de 2015, debe establecerla con sustento en el estudio del sector y sus componentes, teniendo en cuenta entre otros factores, la identificación de riesgos, el mercado y precio del bien, obra o servicio a contratar.</w:t>
            </w:r>
          </w:p>
          <w:p w14:paraId="7FE3466A" w14:textId="77777777" w:rsidR="006D7121" w:rsidRDefault="006D7121" w:rsidP="006D7121">
            <w:pPr>
              <w:spacing w:before="120" w:after="120" w:line="276" w:lineRule="auto"/>
              <w:ind w:firstLine="708"/>
              <w:jc w:val="both"/>
              <w:rPr>
                <w:rFonts w:ascii="Verdana" w:hAnsi="Verdana"/>
                <w:color w:val="000000" w:themeColor="text1"/>
                <w:lang w:val="es-ES"/>
              </w:rPr>
            </w:pPr>
            <w:r w:rsidRPr="30FCA46D">
              <w:rPr>
                <w:rFonts w:ascii="Verdana" w:eastAsia="Calibri" w:hAnsi="Verdana" w:cs="Arial"/>
                <w:lang w:val="es-ES"/>
              </w:rPr>
              <w:t xml:space="preserve">El Estatuto General de Contratación de la Administración Pública contempla la participación de los proponentes plurales </w:t>
            </w:r>
            <w:r w:rsidRPr="30FCA46D">
              <w:rPr>
                <w:rFonts w:ascii="Verdana" w:eastAsia="Calibri" w:hAnsi="Verdana" w:cs="Arial"/>
                <w:i/>
                <w:iCs/>
                <w:lang w:val="es-ES"/>
              </w:rPr>
              <w:t>conservando en todo caso su individualidad jurídica</w:t>
            </w:r>
            <w:r w:rsidRPr="30FCA46D">
              <w:rPr>
                <w:rFonts w:ascii="Verdana" w:eastAsia="Calibri" w:hAnsi="Verdana" w:cs="Arial"/>
                <w:lang w:val="es-ES"/>
              </w:rPr>
              <w:t xml:space="preserve">, de modo que el proponente plural no constituye una persona en sí misma. Como resultado de lo anterior, los requisitos habilitantes de los proponentes plurales deben ser evaluados respecto </w:t>
            </w:r>
            <w:r w:rsidRPr="30FCA46D">
              <w:rPr>
                <w:rFonts w:ascii="Verdana" w:eastAsia="Calibri" w:hAnsi="Verdana" w:cs="Arial"/>
                <w:i/>
                <w:iCs/>
                <w:lang w:val="es-ES"/>
              </w:rPr>
              <w:t>de cada miembro</w:t>
            </w:r>
            <w:r w:rsidRPr="30FCA46D">
              <w:rPr>
                <w:rFonts w:ascii="Verdana" w:eastAsia="Calibri" w:hAnsi="Verdana" w:cs="Arial"/>
                <w:lang w:val="es-ES"/>
              </w:rPr>
              <w:t xml:space="preserve">, y conforme a los requisitos previstos en el correspondiente pliego </w:t>
            </w:r>
            <w:r w:rsidRPr="30FCA46D">
              <w:rPr>
                <w:rFonts w:ascii="Verdana" w:eastAsia="Calibri" w:hAnsi="Verdana" w:cs="Arial"/>
                <w:lang w:val="es-ES"/>
              </w:rPr>
              <w:lastRenderedPageBreak/>
              <w:t>de condiciones.</w:t>
            </w:r>
            <w:r w:rsidRPr="30FCA46D">
              <w:rPr>
                <w:rFonts w:ascii="Verdana" w:hAnsi="Verdana"/>
                <w:color w:val="000000" w:themeColor="text1"/>
                <w:lang w:val="es-ES"/>
              </w:rPr>
              <w:t xml:space="preserve"> Así pues, la naturaleza jurídica de los proponentes plurales supone</w:t>
            </w:r>
            <w:r w:rsidRPr="081E2AC1">
              <w:rPr>
                <w:rFonts w:ascii="Verdana" w:hAnsi="Verdana"/>
                <w:color w:val="000000" w:themeColor="text1"/>
                <w:lang w:val="es-ES"/>
              </w:rPr>
              <w:t>, cuales</w:t>
            </w:r>
            <w:r w:rsidRPr="30FCA46D">
              <w:rPr>
                <w:rFonts w:ascii="Verdana" w:hAnsi="Verdana"/>
                <w:color w:val="000000" w:themeColor="text1"/>
                <w:lang w:val="es-ES"/>
              </w:rPr>
              <w:t xml:space="preserve"> requisitos habilitantes como la experiencia </w:t>
            </w:r>
            <w:r w:rsidRPr="081E2AC1">
              <w:rPr>
                <w:rFonts w:ascii="Verdana" w:hAnsi="Verdana"/>
                <w:color w:val="000000" w:themeColor="text1"/>
                <w:lang w:val="es-ES"/>
              </w:rPr>
              <w:t>debe</w:t>
            </w:r>
            <w:r w:rsidRPr="30FCA46D">
              <w:rPr>
                <w:rFonts w:ascii="Verdana" w:hAnsi="Verdana"/>
                <w:color w:val="000000" w:themeColor="text1"/>
                <w:lang w:val="es-ES"/>
              </w:rPr>
              <w:t xml:space="preserve"> ser evaluada con respecto </w:t>
            </w:r>
            <w:r w:rsidRPr="081E2AC1">
              <w:rPr>
                <w:rFonts w:ascii="Verdana" w:hAnsi="Verdana"/>
                <w:color w:val="000000" w:themeColor="text1"/>
                <w:lang w:val="es-ES"/>
              </w:rPr>
              <w:t>de</w:t>
            </w:r>
            <w:r w:rsidRPr="30FCA46D">
              <w:rPr>
                <w:rFonts w:ascii="Verdana" w:hAnsi="Verdana"/>
                <w:color w:val="000000" w:themeColor="text1"/>
                <w:lang w:val="es-ES"/>
              </w:rPr>
              <w:t xml:space="preserve"> cada uno de sus integrantes, de acuerdo con lo registrado en su RUP.</w:t>
            </w:r>
          </w:p>
          <w:p w14:paraId="4D11549B" w14:textId="77777777" w:rsidR="006D7121" w:rsidRDefault="006D7121" w:rsidP="006D7121">
            <w:pPr>
              <w:spacing w:before="120" w:after="120" w:line="276" w:lineRule="auto"/>
              <w:ind w:firstLine="709"/>
              <w:jc w:val="both"/>
              <w:rPr>
                <w:rFonts w:ascii="Verdana" w:eastAsia="Calibri" w:hAnsi="Verdana" w:cs="Arial"/>
                <w:lang w:val="es-ES"/>
              </w:rPr>
            </w:pPr>
            <w:r w:rsidRPr="30FCA46D">
              <w:rPr>
                <w:rFonts w:ascii="Verdana" w:eastAsia="Calibri" w:hAnsi="Verdana" w:cs="Arial"/>
                <w:lang w:val="es-ES"/>
              </w:rPr>
              <w:t xml:space="preserve">Por lo tanto, la forma de acreditación de los requisitos habilitantes para los integrantes de proponentes plurales debe ser la establecida por la Entidad Estatal en los estudios previos y pliegos de condiciones de acuerdo con la necesidad a contratar. </w:t>
            </w:r>
          </w:p>
          <w:p w14:paraId="2CE7A124" w14:textId="77777777" w:rsidR="006D7121" w:rsidRDefault="006D7121" w:rsidP="006D7121">
            <w:pPr>
              <w:spacing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w:t>
            </w:r>
            <w:r w:rsidRPr="00E15BAA">
              <w:rPr>
                <w:rFonts w:ascii="Verdana" w:eastAsia="Calibri" w:hAnsi="Verdana" w:cs="Arial"/>
                <w:lang w:val="es-ES"/>
              </w:rPr>
              <w:t xml:space="preserve">los proponentes plurales deberán aportar el acta de conformación consorcial o el acta de conformación de unión temporal indicando claramente la individualización de la persona natural o jurídica, el porcentaje de participación y demás compromisos entre las partes </w:t>
            </w:r>
            <w:r w:rsidRPr="081E2AC1">
              <w:rPr>
                <w:rFonts w:ascii="Verdana" w:eastAsia="Calibri" w:hAnsi="Verdana" w:cs="Arial"/>
                <w:lang w:val="es-ES"/>
              </w:rPr>
              <w:t>seg</w:t>
            </w:r>
            <w:r>
              <w:rPr>
                <w:rFonts w:ascii="Verdana" w:eastAsia="Calibri" w:hAnsi="Verdana" w:cs="Arial"/>
                <w:lang w:val="es-ES"/>
              </w:rPr>
              <w:t>ú</w:t>
            </w:r>
            <w:r w:rsidRPr="081E2AC1">
              <w:rPr>
                <w:rFonts w:ascii="Verdana" w:eastAsia="Calibri" w:hAnsi="Verdana" w:cs="Arial"/>
                <w:lang w:val="es-ES"/>
              </w:rPr>
              <w:t xml:space="preserve">n con lo previsto </w:t>
            </w:r>
            <w:r w:rsidRPr="00E15BAA">
              <w:rPr>
                <w:rFonts w:ascii="Verdana" w:eastAsia="Calibri" w:hAnsi="Verdana" w:cs="Arial"/>
                <w:lang w:val="es-ES"/>
              </w:rPr>
              <w:t>en los pliegos de condiciones y anexos del proceso contractual.</w:t>
            </w:r>
          </w:p>
          <w:p w14:paraId="4D1DABF5" w14:textId="77777777" w:rsidR="006D7121" w:rsidRDefault="006D7121" w:rsidP="006D7121">
            <w:pPr>
              <w:ind w:firstLine="709"/>
              <w:jc w:val="both"/>
              <w:rPr>
                <w:rFonts w:ascii="Verdana" w:eastAsia="Calibri" w:hAnsi="Verdana" w:cs="Arial"/>
                <w:lang w:val="es-ES"/>
              </w:rPr>
            </w:pPr>
          </w:p>
          <w:p w14:paraId="4DA8A340" w14:textId="4534E672" w:rsidR="001D1756" w:rsidRDefault="006D7121" w:rsidP="006D7121">
            <w:pPr>
              <w:spacing w:after="120" w:line="276" w:lineRule="auto"/>
              <w:jc w:val="both"/>
              <w:rPr>
                <w:rFonts w:ascii="Verdana" w:eastAsia="Calibri" w:hAnsi="Verdana" w:cs="Arial"/>
                <w:bCs/>
                <w:lang w:val="es-ES_tradnl" w:eastAsia="es-ES_tradnl"/>
              </w:rPr>
            </w:pPr>
            <w:r>
              <w:rPr>
                <w:rFonts w:ascii="Verdana" w:eastAsia="Calibri" w:hAnsi="Verdana" w:cs="Arial"/>
                <w:lang w:val="es-ES"/>
              </w:rPr>
              <w:t xml:space="preserve">       Ahora bien, nada obsta para que la entidad estatal contratante </w:t>
            </w:r>
            <w:r w:rsidRPr="00E15BAA">
              <w:rPr>
                <w:rFonts w:ascii="Verdana" w:eastAsia="Calibri" w:hAnsi="Verdana" w:cs="Arial"/>
                <w:lang w:val="es-ES"/>
              </w:rPr>
              <w:t xml:space="preserve">en relación con la experiencia de los proponentes plurales </w:t>
            </w:r>
            <w:r>
              <w:rPr>
                <w:rFonts w:ascii="Verdana" w:eastAsia="Calibri" w:hAnsi="Verdana" w:cs="Arial"/>
                <w:lang w:val="es-ES"/>
              </w:rPr>
              <w:t xml:space="preserve">indique que aquella se acreditará con la </w:t>
            </w:r>
            <w:r w:rsidRPr="00E15BAA">
              <w:rPr>
                <w:rFonts w:ascii="Verdana" w:eastAsia="Calibri" w:hAnsi="Verdana" w:cs="Arial"/>
                <w:lang w:val="es-ES"/>
              </w:rPr>
              <w:t>suma</w:t>
            </w:r>
            <w:r>
              <w:rPr>
                <w:rFonts w:ascii="Verdana" w:eastAsia="Calibri" w:hAnsi="Verdana" w:cs="Arial"/>
                <w:lang w:val="es-ES"/>
              </w:rPr>
              <w:t xml:space="preserve">toria de la experiencia demostrada </w:t>
            </w:r>
            <w:r w:rsidRPr="00E15BAA">
              <w:rPr>
                <w:rFonts w:ascii="Verdana" w:eastAsia="Calibri" w:hAnsi="Verdana" w:cs="Arial"/>
                <w:lang w:val="es-ES"/>
              </w:rPr>
              <w:t>por cada miembro del consorcio o de la unión temporal</w:t>
            </w:r>
            <w:r>
              <w:rPr>
                <w:rFonts w:ascii="Verdana" w:eastAsia="Calibri" w:hAnsi="Verdana" w:cs="Arial"/>
                <w:lang w:val="es-ES"/>
              </w:rPr>
              <w:t xml:space="preserve"> o</w:t>
            </w:r>
            <w:r w:rsidRPr="00E15BAA">
              <w:rPr>
                <w:rFonts w:ascii="Verdana" w:eastAsia="Calibri" w:hAnsi="Verdana" w:cs="Arial"/>
                <w:lang w:val="es-ES"/>
              </w:rPr>
              <w:t xml:space="preserve"> que cada miembro del proponente plural deba acreditar la experiencia requerida en el procedimiento</w:t>
            </w:r>
            <w:r w:rsidR="00675FED" w:rsidRPr="00C661E5">
              <w:rPr>
                <w:rFonts w:ascii="Verdana" w:eastAsia="Calibri" w:hAnsi="Verdana" w:cs="Arial"/>
                <w:bCs/>
                <w:lang w:val="es-ES_tradnl" w:eastAsia="es-ES_tradnl"/>
              </w:rPr>
              <w:t xml:space="preserve"> </w:t>
            </w:r>
          </w:p>
          <w:p w14:paraId="4FED5380" w14:textId="77777777"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20382D53" w14:textId="77777777" w:rsidR="00A51CB5" w:rsidRDefault="00A51CB5" w:rsidP="00A64017">
      <w:pPr>
        <w:tabs>
          <w:tab w:val="left" w:pos="142"/>
          <w:tab w:val="left" w:pos="284"/>
        </w:tabs>
        <w:spacing w:after="0" w:line="276" w:lineRule="auto"/>
        <w:jc w:val="both"/>
        <w:rPr>
          <w:rFonts w:ascii="Verdana" w:eastAsia="Century Gothic" w:hAnsi="Verdana" w:cs="Century Gothic"/>
          <w:b/>
          <w:bCs/>
          <w:lang w:val="es-ES"/>
        </w:rPr>
      </w:pPr>
    </w:p>
    <w:p w14:paraId="065FC314" w14:textId="77777777" w:rsidR="00A51CB5" w:rsidRDefault="00A51CB5" w:rsidP="00A64017">
      <w:pPr>
        <w:tabs>
          <w:tab w:val="left" w:pos="142"/>
          <w:tab w:val="left" w:pos="284"/>
        </w:tabs>
        <w:spacing w:after="0" w:line="276" w:lineRule="auto"/>
        <w:jc w:val="both"/>
        <w:rPr>
          <w:rFonts w:ascii="Verdana" w:eastAsia="Century Gothic" w:hAnsi="Verdana" w:cs="Century Gothic"/>
          <w:b/>
          <w:bCs/>
          <w:lang w:val="es-ES"/>
        </w:rPr>
      </w:pPr>
    </w:p>
    <w:p w14:paraId="75D78B09" w14:textId="77777777" w:rsidR="00A51CB5" w:rsidRDefault="00A51CB5"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1DBA35AF" w14:textId="77777777" w:rsidR="00C91AF4" w:rsidRPr="00F9120E" w:rsidRDefault="00C91AF4" w:rsidP="00C91AF4">
      <w:pPr>
        <w:spacing w:before="120" w:after="120" w:line="276" w:lineRule="auto"/>
        <w:ind w:firstLine="709"/>
        <w:jc w:val="both"/>
        <w:rPr>
          <w:rFonts w:ascii="Verdana" w:eastAsia="Calibri" w:hAnsi="Verdana" w:cs="Arial"/>
          <w:color w:val="000000" w:themeColor="text1"/>
          <w:lang w:val="es-ES"/>
        </w:rPr>
      </w:pPr>
      <w:bookmarkStart w:id="5" w:name="_Hlk108519028"/>
      <w:r w:rsidRPr="00F9120E">
        <w:rPr>
          <w:rFonts w:ascii="Verdana" w:eastAsia="Calibri" w:hAnsi="Verdana" w:cs="Arial"/>
          <w:color w:val="000000" w:themeColor="text1"/>
          <w:lang w:val="es-ES"/>
        </w:rPr>
        <w:t xml:space="preserve">Los </w:t>
      </w:r>
      <w:r w:rsidRPr="00F9120E">
        <w:rPr>
          <w:rFonts w:ascii="Verdana" w:eastAsia="Calibri" w:hAnsi="Verdana" w:cs="Arial"/>
          <w:i/>
          <w:iCs/>
          <w:color w:val="000000" w:themeColor="text1"/>
          <w:lang w:val="es-ES"/>
        </w:rPr>
        <w:t>requisitos habilitantes</w:t>
      </w:r>
      <w:r w:rsidRPr="00F9120E">
        <w:rPr>
          <w:rFonts w:ascii="Verdana" w:eastAsia="Calibri" w:hAnsi="Verdana" w:cs="Arial"/>
          <w:color w:val="000000" w:themeColor="text1"/>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F9120E">
        <w:rPr>
          <w:rFonts w:ascii="Verdana" w:eastAsia="Calibri" w:hAnsi="Verdana" w:cs="Arial"/>
          <w:i/>
          <w:iCs/>
          <w:color w:val="000000" w:themeColor="text1"/>
          <w:lang w:val="es-ES"/>
        </w:rPr>
        <w:t>criterios de evaluación</w:t>
      </w:r>
      <w:r w:rsidRPr="00F9120E">
        <w:rPr>
          <w:rFonts w:ascii="Verdana" w:eastAsia="Calibri" w:hAnsi="Verdana" w:cs="Arial"/>
          <w:color w:val="000000" w:themeColor="text1"/>
          <w:lang w:val="es-ES"/>
        </w:rPr>
        <w:t xml:space="preserve"> –también conocidos como </w:t>
      </w:r>
      <w:r w:rsidRPr="00F9120E">
        <w:rPr>
          <w:rFonts w:ascii="Verdana" w:eastAsia="Calibri" w:hAnsi="Verdana" w:cs="Arial"/>
          <w:i/>
          <w:iCs/>
          <w:color w:val="000000" w:themeColor="text1"/>
          <w:lang w:val="es-ES"/>
        </w:rPr>
        <w:t>criterios de calificación</w:t>
      </w:r>
      <w:r w:rsidRPr="00F9120E">
        <w:rPr>
          <w:rFonts w:ascii="Verdana" w:eastAsia="Calibri" w:hAnsi="Verdana" w:cs="Arial"/>
          <w:color w:val="000000" w:themeColor="text1"/>
          <w:lang w:val="es-ES"/>
        </w:rPr>
        <w:t xml:space="preserve">– en que la Entidad Estatal define estos factores para la asignación de puntaje en la comparación de las ofertas con el fin de establecer el orden de elegibilidad y la propuesta ganadora. </w:t>
      </w:r>
    </w:p>
    <w:p w14:paraId="0BAA48A7" w14:textId="77777777" w:rsidR="00C91AF4" w:rsidRPr="00F9120E" w:rsidRDefault="00C91AF4" w:rsidP="00C91AF4">
      <w:pPr>
        <w:spacing w:before="120"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1EB1EC7C" w14:textId="77777777" w:rsidR="00C91AF4" w:rsidRPr="00F9120E" w:rsidRDefault="00C91AF4" w:rsidP="00C91AF4">
      <w:pPr>
        <w:spacing w:before="120"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lang w:val="es-ES"/>
        </w:rPr>
        <w:t xml:space="preserve">Al respecto, el inciso primero del artículo 5 de la Ley 1150 de 2007 dispone los factores de escogencia y calificación que deben indicarse en los pliegos de condiciones. Además, </w:t>
      </w:r>
      <w:r w:rsidRPr="00F9120E">
        <w:rPr>
          <w:rFonts w:ascii="Verdana" w:eastAsia="Calibri" w:hAnsi="Verdana" w:cs="Arial"/>
          <w:color w:val="000000" w:themeColor="text1"/>
          <w:lang w:val="es-ES"/>
        </w:rPr>
        <w:t xml:space="preserve">el mencionado artículo señala que es </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 xml:space="preserve">. De este modo, los factores de que establezcan las entidades en los pliegos de condiciones o sus documentos equivalentes deberán tener en cuenta, entre otras cuestiones, lo </w:t>
      </w:r>
      <w:r>
        <w:rPr>
          <w:rFonts w:ascii="Verdana" w:eastAsia="Calibri" w:hAnsi="Verdana" w:cs="Arial"/>
          <w:color w:val="000000" w:themeColor="text1"/>
          <w:lang w:val="es-ES"/>
        </w:rPr>
        <w:t xml:space="preserve">dispuesto </w:t>
      </w:r>
      <w:r w:rsidRPr="00F9120E">
        <w:rPr>
          <w:rFonts w:ascii="Verdana" w:eastAsia="Calibri" w:hAnsi="Verdana" w:cs="Arial"/>
          <w:color w:val="000000" w:themeColor="text1"/>
          <w:lang w:val="es-ES"/>
        </w:rPr>
        <w:t xml:space="preserve">en esta norma. </w:t>
      </w:r>
    </w:p>
    <w:p w14:paraId="2ACA2545" w14:textId="77777777" w:rsidR="00C91AF4" w:rsidRPr="00F9120E" w:rsidRDefault="00C91AF4" w:rsidP="00C91AF4">
      <w:pPr>
        <w:spacing w:before="120"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El numeral 1º del artículo referido establece que en los procesos de selección de contratistas serán objeto de verificación, como requisitos habilitantes, </w:t>
      </w:r>
      <w:r w:rsidRPr="00652279">
        <w:rPr>
          <w:rFonts w:ascii="Verdana" w:eastAsia="Calibri" w:hAnsi="Verdana" w:cs="Arial"/>
          <w:color w:val="000000" w:themeColor="text1"/>
          <w:lang w:val="es-ES"/>
        </w:rPr>
        <w:t>entre otros</w:t>
      </w:r>
      <w:r w:rsidRPr="00F9120E">
        <w:rPr>
          <w:rFonts w:ascii="Verdana" w:eastAsia="Calibri" w:hAnsi="Verdana" w:cs="Arial"/>
          <w:color w:val="000000" w:themeColor="text1"/>
          <w:lang w:val="es-ES"/>
        </w:rPr>
        <w:t xml:space="preserve">, los siguientes: (i) la capacidad jurídica, (ii) la </w:t>
      </w:r>
      <w:r w:rsidRPr="00F9120E">
        <w:rPr>
          <w:rFonts w:ascii="Verdana" w:eastAsia="Calibri" w:hAnsi="Verdana" w:cs="Arial"/>
          <w:color w:val="000000" w:themeColor="text1"/>
          <w:lang w:val="es-ES"/>
        </w:rPr>
        <w:lastRenderedPageBreak/>
        <w:t xml:space="preserve">experiencia, (iii) la capacidad financiera y (iv) la capacidad de organización. Al respecto, la norma citada dispone: </w:t>
      </w:r>
    </w:p>
    <w:p w14:paraId="280481D7" w14:textId="77777777" w:rsidR="00C91AF4" w:rsidRPr="00F9120E" w:rsidRDefault="00C91AF4" w:rsidP="00C91AF4">
      <w:pPr>
        <w:spacing w:line="240" w:lineRule="auto"/>
        <w:ind w:left="709" w:right="709"/>
        <w:jc w:val="both"/>
        <w:rPr>
          <w:rFonts w:ascii="Verdana" w:eastAsia="Calibri" w:hAnsi="Verdana" w:cs="Arial"/>
          <w:color w:val="000000" w:themeColor="text1"/>
          <w:sz w:val="21"/>
          <w:szCs w:val="21"/>
          <w:lang w:val="es-ES"/>
        </w:rPr>
      </w:pPr>
      <w:r w:rsidRPr="00F9120E">
        <w:rPr>
          <w:rFonts w:ascii="Verdana" w:eastAsia="Calibri" w:hAnsi="Verdana" w:cs="Arial"/>
          <w:color w:val="000000" w:themeColor="text1"/>
          <w:sz w:val="21"/>
          <w:szCs w:val="21"/>
          <w:lang w:val="es-ES"/>
        </w:rPr>
        <w:t xml:space="preserve">“Artículo 5. De la Selección Objetiva. </w:t>
      </w:r>
    </w:p>
    <w:p w14:paraId="4FF5CA4E" w14:textId="77777777" w:rsidR="00C91AF4" w:rsidRPr="00F9120E" w:rsidRDefault="00C91AF4" w:rsidP="00C91AF4">
      <w:pPr>
        <w:spacing w:after="120" w:line="240" w:lineRule="auto"/>
        <w:ind w:left="709" w:right="709"/>
        <w:jc w:val="both"/>
        <w:rPr>
          <w:rFonts w:ascii="Verdana" w:eastAsia="Calibri" w:hAnsi="Verdana" w:cs="Arial"/>
          <w:color w:val="000000" w:themeColor="text1"/>
          <w:sz w:val="21"/>
          <w:szCs w:val="21"/>
          <w:lang w:val="es-ES"/>
        </w:rPr>
      </w:pPr>
      <w:r w:rsidRPr="00F9120E">
        <w:rPr>
          <w:rFonts w:ascii="Verdana" w:eastAsia="Calibri" w:hAnsi="Verdana" w:cs="Arial"/>
          <w:color w:val="000000" w:themeColor="text1"/>
          <w:sz w:val="21"/>
          <w:szCs w:val="21"/>
          <w:lang w:val="es-ES"/>
        </w:rPr>
        <w:t>[…]</w:t>
      </w:r>
    </w:p>
    <w:p w14:paraId="235EEAD4" w14:textId="77777777" w:rsidR="00C91AF4" w:rsidRPr="00F9120E" w:rsidRDefault="00C91AF4" w:rsidP="00C91AF4">
      <w:pPr>
        <w:spacing w:after="120" w:line="240" w:lineRule="auto"/>
        <w:ind w:left="709" w:right="709"/>
        <w:jc w:val="both"/>
        <w:rPr>
          <w:rFonts w:ascii="Verdana" w:eastAsia="Calibri" w:hAnsi="Verdana" w:cs="Arial"/>
          <w:color w:val="000000" w:themeColor="text1"/>
          <w:sz w:val="21"/>
          <w:szCs w:val="21"/>
          <w:lang w:val="es-ES"/>
        </w:rPr>
      </w:pPr>
      <w:r w:rsidRPr="00F9120E">
        <w:rPr>
          <w:rFonts w:ascii="Verdana" w:eastAsia="Calibri" w:hAnsi="Verdana" w:cs="Arial"/>
          <w:color w:val="000000" w:themeColor="text1"/>
          <w:sz w:val="21"/>
          <w:szCs w:val="21"/>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0B638E5A" w14:textId="77777777" w:rsidR="00C91AF4" w:rsidRPr="00F9120E" w:rsidRDefault="00C91AF4" w:rsidP="00C91AF4">
      <w:pPr>
        <w:spacing w:before="120"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Conforme lo ha sostenido esta Agencia en distintos conceptos, los requisitos habilitantes establecidos en el artículo 5, numeral 1, de la Ley 1150 de 2007 son de carácter </w:t>
      </w:r>
      <w:r w:rsidRPr="00F9120E">
        <w:rPr>
          <w:rFonts w:ascii="Verdana" w:eastAsia="Calibri" w:hAnsi="Verdana" w:cs="Arial"/>
          <w:i/>
          <w:iCs/>
          <w:color w:val="000000" w:themeColor="text1"/>
          <w:lang w:val="es-ES"/>
        </w:rPr>
        <w:t xml:space="preserve">enunciativo </w:t>
      </w:r>
      <w:r w:rsidRPr="00F9120E">
        <w:rPr>
          <w:rFonts w:ascii="Verdana" w:eastAsia="Calibri" w:hAnsi="Verdana" w:cs="Arial"/>
          <w:color w:val="000000" w:themeColor="text1"/>
          <w:lang w:val="es-ES"/>
        </w:rPr>
        <w:t xml:space="preserve">y no taxativo. Esta interpretación legal se resume en los siguientes argumentos: por un lado, esta norma no contiene una expresión como “únicamente” o “solo” al referirse a los requisitos habilitantes, sino que señala de forma </w:t>
      </w:r>
      <w:r>
        <w:rPr>
          <w:rFonts w:ascii="Verdana" w:eastAsia="Calibri" w:hAnsi="Verdana" w:cs="Arial"/>
          <w:color w:val="000000" w:themeColor="text1"/>
          <w:lang w:val="es-ES"/>
        </w:rPr>
        <w:t>enunciativa</w:t>
      </w:r>
      <w:r w:rsidRPr="00F9120E">
        <w:rPr>
          <w:rFonts w:ascii="Verdana" w:eastAsia="Calibri" w:hAnsi="Verdana" w:cs="Arial"/>
          <w:color w:val="000000" w:themeColor="text1"/>
          <w:lang w:val="es-ES"/>
        </w:rPr>
        <w:t xml:space="preserve"> que el listado puede comprender los requisitos enunciados “entre otros”; por otra parte, una lectura integral de las normas que regulan la contratación estatal</w:t>
      </w:r>
      <w:r>
        <w:rPr>
          <w:rFonts w:ascii="Verdana" w:eastAsia="Calibri" w:hAnsi="Verdana" w:cs="Arial"/>
          <w:color w:val="000000" w:themeColor="text1"/>
          <w:lang w:val="es-ES"/>
        </w:rPr>
        <w:t>,</w:t>
      </w:r>
      <w:r w:rsidRPr="00F9120E">
        <w:rPr>
          <w:rFonts w:ascii="Verdana" w:eastAsia="Calibri" w:hAnsi="Verdana" w:cs="Arial"/>
          <w:color w:val="000000" w:themeColor="text1"/>
          <w:lang w:val="es-ES"/>
        </w:rPr>
        <w:t xml:space="preserve"> permite concluir que existen otras condiciones que los proponentes deben cumplir para la contratación con una Entidad Estatal, como es el caso de la capacidad residual a la que se refiere el artículo 6º de la Ley 1150 de 2007</w:t>
      </w:r>
      <w:r w:rsidRPr="00F9120E">
        <w:rPr>
          <w:rStyle w:val="Refdenotaalpie"/>
          <w:rFonts w:ascii="Verdana" w:eastAsia="Calibri" w:hAnsi="Verdana" w:cs="Arial"/>
          <w:color w:val="000000" w:themeColor="text1"/>
          <w:lang w:val="es-ES"/>
        </w:rPr>
        <w:footnoteReference w:id="1"/>
      </w:r>
      <w:r w:rsidRPr="00F9120E">
        <w:rPr>
          <w:rFonts w:ascii="Verdana" w:eastAsia="Calibri" w:hAnsi="Verdana" w:cs="Arial"/>
          <w:color w:val="000000" w:themeColor="text1"/>
          <w:lang w:val="es-ES"/>
        </w:rPr>
        <w:t>.</w:t>
      </w:r>
    </w:p>
    <w:p w14:paraId="0558C32E" w14:textId="77777777" w:rsidR="00C91AF4" w:rsidRPr="00F9120E" w:rsidRDefault="00C91AF4" w:rsidP="00C91AF4">
      <w:pPr>
        <w:widowControl w:val="0"/>
        <w:autoSpaceDE w:val="0"/>
        <w:autoSpaceDN w:val="0"/>
        <w:spacing w:before="120"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w:t>
      </w:r>
      <w:r>
        <w:rPr>
          <w:rFonts w:ascii="Verdana" w:eastAsia="Calibri" w:hAnsi="Verdana" w:cs="Arial"/>
          <w:color w:val="000000" w:themeColor="text1"/>
          <w:lang w:val="es-ES"/>
        </w:rPr>
        <w:t>,</w:t>
      </w:r>
      <w:r w:rsidRPr="00F9120E">
        <w:rPr>
          <w:rFonts w:ascii="Verdana" w:eastAsia="Calibri" w:hAnsi="Verdana" w:cs="Arial"/>
          <w:color w:val="000000" w:themeColor="text1"/>
          <w:lang w:val="es-ES"/>
        </w:rPr>
        <w:t xml:space="preserve"> de acuerdo </w:t>
      </w:r>
      <w:bookmarkStart w:id="6" w:name="_Hlk182863897"/>
      <w:r w:rsidRPr="00F9120E">
        <w:rPr>
          <w:rFonts w:ascii="Verdana" w:eastAsia="Calibri" w:hAnsi="Verdana" w:cs="Arial"/>
          <w:color w:val="000000" w:themeColor="text1"/>
          <w:lang w:val="es-ES"/>
        </w:rPr>
        <w:t xml:space="preserve">con la naturaleza, el valor del contrato, la forma de pago, los riesgos asociados, el plazo y la </w:t>
      </w:r>
      <w:r w:rsidRPr="00F9120E">
        <w:rPr>
          <w:rFonts w:ascii="Verdana" w:eastAsia="Calibri" w:hAnsi="Verdana" w:cs="Arial"/>
          <w:color w:val="000000" w:themeColor="text1"/>
          <w:lang w:val="es-ES"/>
        </w:rPr>
        <w:lastRenderedPageBreak/>
        <w:t>complejidad de ejecución del objeto</w:t>
      </w:r>
      <w:r w:rsidRPr="00F9120E">
        <w:rPr>
          <w:rStyle w:val="Refdenotaalpie"/>
          <w:rFonts w:ascii="Verdana" w:eastAsia="Calibri" w:hAnsi="Verdana" w:cs="Arial"/>
          <w:color w:val="000000" w:themeColor="text1"/>
          <w:lang w:val="es-ES"/>
        </w:rPr>
        <w:footnoteReference w:id="2"/>
      </w:r>
      <w:r w:rsidRPr="00F9120E">
        <w:rPr>
          <w:rFonts w:ascii="Verdana" w:eastAsia="Calibri" w:hAnsi="Verdana" w:cs="Arial"/>
          <w:color w:val="000000" w:themeColor="text1"/>
          <w:lang w:val="es-ES"/>
        </w:rPr>
        <w:t>.</w:t>
      </w:r>
      <w:bookmarkEnd w:id="6"/>
      <w:r w:rsidRPr="00F9120E">
        <w:rPr>
          <w:rFonts w:ascii="Verdana" w:eastAsia="Calibri" w:hAnsi="Verdana" w:cs="Arial"/>
          <w:color w:val="000000" w:themeColor="text1"/>
          <w:lang w:val="es-ES"/>
        </w:rPr>
        <w:t xml:space="preserve"> Esta facultad, además implica que las entidades deben establecer </w:t>
      </w:r>
      <w:r w:rsidRPr="00392359">
        <w:rPr>
          <w:rFonts w:ascii="Verdana" w:eastAsia="Calibri" w:hAnsi="Verdana" w:cs="Arial"/>
          <w:color w:val="000000" w:themeColor="text1"/>
          <w:lang w:val="es-ES"/>
        </w:rPr>
        <w:t>la forma</w:t>
      </w:r>
      <w:r w:rsidRPr="00F9120E">
        <w:rPr>
          <w:rFonts w:ascii="Verdana" w:eastAsia="Calibri" w:hAnsi="Verdana" w:cs="Arial"/>
          <w:color w:val="000000" w:themeColor="text1"/>
          <w:lang w:val="es-ES"/>
        </w:rPr>
        <w:t xml:space="preserve"> en que los proponentes acreditarán estos requisitos y la manera en que la entidad verificará su cumplimiento. </w:t>
      </w:r>
    </w:p>
    <w:p w14:paraId="39445CD4" w14:textId="77777777" w:rsidR="00C91AF4" w:rsidRDefault="00C91AF4" w:rsidP="00C91AF4">
      <w:pPr>
        <w:spacing w:before="120" w:after="120" w:line="276" w:lineRule="auto"/>
        <w:ind w:firstLine="709"/>
        <w:jc w:val="both"/>
        <w:rPr>
          <w:rFonts w:ascii="Verdana" w:eastAsia="Calibri" w:hAnsi="Verdana" w:cs="Arial"/>
          <w:lang w:eastAsia="es-CO"/>
        </w:rPr>
      </w:pPr>
      <w:r w:rsidRPr="00F9120E">
        <w:rPr>
          <w:rFonts w:ascii="Verdana" w:eastAsia="Calibri" w:hAnsi="Verdana" w:cs="Arial"/>
          <w:color w:val="000000"/>
          <w:lang w:val="es-ES" w:eastAsia="es-ES_tradnl"/>
        </w:rPr>
        <w:t xml:space="preserve">Ahora bien, dentro de los requisitos habilitantes se destaca la </w:t>
      </w:r>
      <w:r>
        <w:rPr>
          <w:rFonts w:ascii="Verdana" w:eastAsia="Calibri" w:hAnsi="Verdana" w:cs="Arial"/>
          <w:color w:val="000000"/>
          <w:lang w:val="es-ES" w:eastAsia="es-ES_tradnl"/>
        </w:rPr>
        <w:t>experiencia</w:t>
      </w:r>
      <w:r w:rsidRPr="00F9120E">
        <w:rPr>
          <w:rFonts w:ascii="Verdana" w:eastAsia="Calibri" w:hAnsi="Verdana" w:cs="Arial"/>
          <w:lang w:val="es-ES"/>
        </w:rPr>
        <w:t xml:space="preserve">. </w:t>
      </w:r>
      <w:r>
        <w:rPr>
          <w:rFonts w:ascii="Verdana" w:eastAsia="Calibri" w:hAnsi="Verdana" w:cs="Arial"/>
          <w:lang w:val="es-ES"/>
        </w:rPr>
        <w:t xml:space="preserve">Como lo indica </w:t>
      </w:r>
      <w:r w:rsidRPr="00574EF1">
        <w:rPr>
          <w:rFonts w:ascii="Verdana" w:eastAsia="Calibri" w:hAnsi="Verdana" w:cs="Arial"/>
          <w:lang w:eastAsia="es-CO"/>
        </w:rPr>
        <w:t>el “</w:t>
      </w:r>
      <w:r w:rsidRPr="00574EF1">
        <w:rPr>
          <w:rFonts w:ascii="Verdana" w:eastAsia="Calibri" w:hAnsi="Verdana" w:cs="Arial"/>
          <w:i/>
          <w:iCs/>
          <w:lang w:eastAsia="es-CO"/>
        </w:rPr>
        <w:t>Manual para determinar y verificar requisitos habilitantes en los procesos de contratación”</w:t>
      </w:r>
      <w:r>
        <w:rPr>
          <w:rStyle w:val="Refdenotaalpie"/>
          <w:rFonts w:ascii="Verdana" w:eastAsia="Calibri" w:hAnsi="Verdana" w:cs="Arial"/>
          <w:i/>
          <w:iCs/>
          <w:lang w:eastAsia="es-CO"/>
        </w:rPr>
        <w:footnoteReference w:id="3"/>
      </w:r>
      <w:r w:rsidRPr="00574EF1">
        <w:rPr>
          <w:rFonts w:ascii="Verdana" w:eastAsia="Calibri" w:hAnsi="Verdana" w:cs="Arial"/>
          <w:i/>
          <w:iCs/>
          <w:lang w:eastAsia="es-CO"/>
        </w:rPr>
        <w:t>,</w:t>
      </w:r>
      <w:r w:rsidRPr="00574EF1">
        <w:rPr>
          <w:rFonts w:ascii="Verdana" w:eastAsia="Calibri" w:hAnsi="Verdana" w:cs="Arial"/>
          <w:lang w:eastAsia="es-CO"/>
        </w:rPr>
        <w:t xml:space="preserve"> </w:t>
      </w:r>
      <w:r>
        <w:rPr>
          <w:rFonts w:ascii="Verdana" w:eastAsia="Calibri" w:hAnsi="Verdana" w:cs="Arial"/>
          <w:lang w:eastAsia="es-CO"/>
        </w:rPr>
        <w:t xml:space="preserve">expedido por la Agencia Nacional de Contratación Pública, </w:t>
      </w:r>
      <w:r w:rsidRPr="00574EF1">
        <w:rPr>
          <w:rFonts w:ascii="Verdana" w:eastAsia="Calibri" w:hAnsi="Verdana" w:cs="Arial"/>
          <w:lang w:eastAsia="es-CO"/>
        </w:rPr>
        <w:t>la experiencia</w:t>
      </w:r>
      <w:r>
        <w:rPr>
          <w:rFonts w:ascii="Verdana" w:eastAsia="Calibri" w:hAnsi="Verdana" w:cs="Arial"/>
          <w:lang w:eastAsia="es-CO"/>
        </w:rPr>
        <w:t xml:space="preserve"> </w:t>
      </w:r>
      <w:r w:rsidRPr="005E6288">
        <w:rPr>
          <w:rFonts w:ascii="Verdana" w:eastAsia="Calibri" w:hAnsi="Verdana" w:cs="Arial"/>
          <w:lang w:eastAsia="es-CO"/>
        </w:rPr>
        <w:t xml:space="preserve">debe ser entendida como el conocimiento del proponente derivado de su participación previa en actividades iguales o similares a las previstas en el objeto del contrato con contratantes públicos, privados, nacionales o extranjeros. </w:t>
      </w:r>
    </w:p>
    <w:p w14:paraId="0EAA15CC" w14:textId="77777777" w:rsidR="00C91AF4" w:rsidRPr="00FC7C3B" w:rsidRDefault="00C91AF4" w:rsidP="00C91AF4">
      <w:pPr>
        <w:spacing w:before="120" w:after="120" w:line="276" w:lineRule="auto"/>
        <w:ind w:firstLine="709"/>
        <w:jc w:val="both"/>
        <w:rPr>
          <w:rFonts w:ascii="Verdana" w:eastAsia="Calibri" w:hAnsi="Verdana" w:cs="Arial"/>
          <w:lang w:eastAsia="es-CO"/>
        </w:rPr>
      </w:pPr>
      <w:r w:rsidRPr="005E6288">
        <w:rPr>
          <w:rFonts w:ascii="Verdana" w:eastAsia="Calibri" w:hAnsi="Verdana" w:cs="Arial"/>
          <w:lang w:eastAsia="es-CO"/>
        </w:rPr>
        <w:t>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sidRPr="00574EF1">
        <w:rPr>
          <w:rFonts w:ascii="Verdana" w:eastAsia="Calibri" w:hAnsi="Verdana" w:cs="Arial"/>
          <w:vertAlign w:val="superscript"/>
          <w:lang w:eastAsia="es-CO"/>
        </w:rPr>
        <w:footnoteReference w:id="4"/>
      </w:r>
      <w:r w:rsidRPr="00574EF1">
        <w:rPr>
          <w:rFonts w:ascii="Verdana" w:eastAsia="Calibri" w:hAnsi="Verdana" w:cs="Arial"/>
          <w:lang w:eastAsia="es-CO"/>
        </w:rPr>
        <w:t>.</w:t>
      </w:r>
      <w:r>
        <w:rPr>
          <w:rFonts w:ascii="Verdana" w:eastAsia="Calibri" w:hAnsi="Verdana" w:cs="Arial"/>
          <w:lang w:eastAsia="es-CO"/>
        </w:rPr>
        <w:t xml:space="preserve"> </w:t>
      </w:r>
      <w:r w:rsidRPr="00F9120E">
        <w:rPr>
          <w:rFonts w:ascii="Verdana" w:eastAsia="Calibri" w:hAnsi="Verdana" w:cs="Arial"/>
          <w:color w:val="000000"/>
          <w:lang w:val="es-ES" w:eastAsia="es-ES_tradnl"/>
        </w:rPr>
        <w:t xml:space="preserve">Para este fin, la Entidad Estatal, como responsable de la estructuración de su procedimiento de selección, es autónoma para determinar </w:t>
      </w:r>
      <w:r>
        <w:rPr>
          <w:rFonts w:ascii="Verdana" w:eastAsia="Calibri" w:hAnsi="Verdana" w:cs="Arial"/>
          <w:color w:val="000000"/>
          <w:lang w:val="es-ES" w:eastAsia="es-ES_tradnl"/>
        </w:rPr>
        <w:t xml:space="preserve">los requisitos para acreditar la experiencia </w:t>
      </w:r>
      <w:r w:rsidRPr="00F9120E">
        <w:rPr>
          <w:rFonts w:ascii="Verdana" w:eastAsia="Calibri" w:hAnsi="Verdana" w:cs="Arial"/>
          <w:color w:val="000000"/>
          <w:lang w:val="es-ES" w:eastAsia="es-ES_tradnl"/>
        </w:rPr>
        <w:t>de acuerdo con el objeto contractual que pretende satisfacer. No obstante, en atención a lo dispuesto en el artículo 2.2.1.1.1.6.2 del Decreto 1082 de 2015, debe establecerla con sustento en el estudio del sector</w:t>
      </w:r>
      <w:r w:rsidRPr="00F9120E">
        <w:rPr>
          <w:rFonts w:ascii="Verdana" w:hAnsi="Verdana" w:cs="Arial"/>
          <w:color w:val="000000"/>
          <w:vertAlign w:val="superscript"/>
          <w:lang w:val="es-ES" w:eastAsia="es-ES_tradnl"/>
        </w:rPr>
        <w:footnoteReference w:id="5"/>
      </w:r>
      <w:r w:rsidRPr="00F9120E">
        <w:rPr>
          <w:rFonts w:ascii="Verdana" w:eastAsia="Calibri" w:hAnsi="Verdana" w:cs="Arial"/>
          <w:color w:val="000000"/>
          <w:lang w:val="es-ES" w:eastAsia="es-ES_tradnl"/>
        </w:rPr>
        <w:t xml:space="preserve"> y sus componentes, </w:t>
      </w:r>
      <w:r w:rsidRPr="00F9120E">
        <w:rPr>
          <w:rFonts w:ascii="Verdana" w:eastAsia="Calibri" w:hAnsi="Verdana" w:cs="Arial"/>
          <w:color w:val="000000"/>
          <w:lang w:val="es-ES" w:eastAsia="es-ES_tradnl"/>
        </w:rPr>
        <w:lastRenderedPageBreak/>
        <w:t>como la identificación de riesgos, el mercado y precio del bien, obra o servicio a contratar</w:t>
      </w:r>
      <w:r w:rsidRPr="00F9120E">
        <w:rPr>
          <w:rFonts w:ascii="Verdana" w:hAnsi="Verdana" w:cs="Arial"/>
          <w:color w:val="000000"/>
          <w:vertAlign w:val="superscript"/>
          <w:lang w:val="es-ES" w:eastAsia="es-ES_tradnl"/>
        </w:rPr>
        <w:footnoteReference w:id="6"/>
      </w:r>
      <w:r w:rsidRPr="00F9120E">
        <w:rPr>
          <w:rFonts w:ascii="Verdana" w:eastAsia="Calibri" w:hAnsi="Verdana" w:cs="Arial"/>
          <w:color w:val="000000"/>
          <w:lang w:val="es-ES" w:eastAsia="es-ES_tradnl"/>
        </w:rPr>
        <w:t>.</w:t>
      </w:r>
    </w:p>
    <w:p w14:paraId="2E12F25A" w14:textId="77777777" w:rsidR="00C91AF4" w:rsidRPr="00F9120E" w:rsidRDefault="00C91AF4" w:rsidP="00C91AF4">
      <w:pPr>
        <w:spacing w:before="120" w:after="120" w:line="276" w:lineRule="auto"/>
        <w:ind w:firstLine="709"/>
        <w:jc w:val="both"/>
        <w:rPr>
          <w:rFonts w:ascii="Verdana" w:hAnsi="Verdana"/>
          <w:color w:val="000000" w:themeColor="text1"/>
          <w:lang w:val="es-ES"/>
        </w:rPr>
      </w:pPr>
      <w:r w:rsidRPr="00F9120E">
        <w:rPr>
          <w:rFonts w:ascii="Verdana" w:hAnsi="Verdana"/>
          <w:color w:val="000000" w:themeColor="text1"/>
          <w:lang w:val="es-ES"/>
        </w:rPr>
        <w:t>Ahora bien, teniendo en cuenta que su pregunta está relacionada con</w:t>
      </w:r>
      <w:r>
        <w:rPr>
          <w:rFonts w:ascii="Verdana" w:hAnsi="Verdana"/>
          <w:color w:val="000000" w:themeColor="text1"/>
          <w:lang w:val="es-ES"/>
        </w:rPr>
        <w:t xml:space="preserve"> la experiencia de los miembros que integran un proponente plural</w:t>
      </w:r>
      <w:r w:rsidRPr="00F9120E">
        <w:rPr>
          <w:rFonts w:ascii="Verdana" w:hAnsi="Verdana"/>
          <w:color w:val="000000" w:themeColor="text1"/>
          <w:lang w:val="es-ES"/>
        </w:rPr>
        <w:t xml:space="preserve">, como los consorcios y uniones temporales, así como la forma en la que las entidades verifican </w:t>
      </w:r>
      <w:r>
        <w:rPr>
          <w:rFonts w:ascii="Verdana" w:hAnsi="Verdana"/>
          <w:color w:val="000000" w:themeColor="text1"/>
          <w:lang w:val="es-ES"/>
        </w:rPr>
        <w:t>la experiencia</w:t>
      </w:r>
      <w:r w:rsidRPr="00F9120E">
        <w:rPr>
          <w:rFonts w:ascii="Verdana" w:hAnsi="Verdana"/>
          <w:color w:val="000000" w:themeColor="text1"/>
          <w:lang w:val="es-ES"/>
        </w:rPr>
        <w:t xml:space="preserve">, es necesario definir esas figuras asociativas y determinar los lineamientos expedidos por esta Agencia </w:t>
      </w:r>
      <w:r>
        <w:rPr>
          <w:rFonts w:ascii="Verdana" w:hAnsi="Verdana"/>
          <w:color w:val="000000" w:themeColor="text1"/>
          <w:lang w:val="es-ES"/>
        </w:rPr>
        <w:t xml:space="preserve">con </w:t>
      </w:r>
      <w:r w:rsidRPr="00F9120E">
        <w:rPr>
          <w:rFonts w:ascii="Verdana" w:hAnsi="Verdana"/>
          <w:color w:val="000000" w:themeColor="text1"/>
          <w:lang w:val="es-ES"/>
        </w:rPr>
        <w:t xml:space="preserve">respecto a este requisito habilitante. </w:t>
      </w:r>
    </w:p>
    <w:p w14:paraId="27E825DD" w14:textId="77777777" w:rsidR="00C91AF4" w:rsidRPr="00F9120E" w:rsidRDefault="00C91AF4" w:rsidP="00C91AF4">
      <w:pPr>
        <w:spacing w:before="120" w:after="120" w:line="276" w:lineRule="auto"/>
        <w:ind w:firstLine="708"/>
        <w:jc w:val="both"/>
        <w:rPr>
          <w:rFonts w:ascii="Verdana" w:eastAsia="Calibri" w:hAnsi="Verdana" w:cs="Arial"/>
          <w:color w:val="000000" w:themeColor="text1"/>
          <w:lang w:val="es-ES"/>
        </w:rPr>
      </w:pPr>
      <w:r w:rsidRPr="00F9120E">
        <w:rPr>
          <w:rFonts w:ascii="Verdana" w:hAnsi="Verdana"/>
          <w:color w:val="000000" w:themeColor="text1"/>
          <w:lang w:val="es-ES"/>
        </w:rPr>
        <w:t>El artículo 7 de la Ley 80 de 1993 define a los proponentes plurales como la unión de dos o más personas que presentan la misma propuesta para la adjudicación, celebración y ejecución de un contrato, pero cuya responsabilidad por las obligaciones derivadas de la propuesta y el contrato es diferente</w:t>
      </w:r>
      <w:r w:rsidRPr="00F9120E">
        <w:rPr>
          <w:rStyle w:val="Refdenotaalpie"/>
          <w:rFonts w:ascii="Verdana" w:hAnsi="Verdana"/>
          <w:color w:val="000000" w:themeColor="text1"/>
          <w:lang w:val="es-ES"/>
        </w:rPr>
        <w:footnoteReference w:id="7"/>
      </w:r>
      <w:r w:rsidRPr="00F9120E">
        <w:rPr>
          <w:rFonts w:ascii="Verdana" w:hAnsi="Verdana"/>
          <w:color w:val="000000" w:themeColor="text1"/>
          <w:lang w:val="es-ES"/>
        </w:rPr>
        <w:t xml:space="preserve">. En efecto, </w:t>
      </w:r>
      <w:r w:rsidRPr="00F9120E">
        <w:rPr>
          <w:rFonts w:ascii="Verdana" w:eastAsia="Calibri" w:hAnsi="Verdana" w:cs="Arial"/>
          <w:color w:val="000000" w:themeColor="text1"/>
          <w:lang w:val="es-ES"/>
        </w:rPr>
        <w:t>los consorcios y las uniones temporales son mecanismos de asociación fundamentados en la colaboración empresarial, mediante los cuales sus integrantes se unen y organizan en forma conjunta para lograr con mayor eficacia la obtención del derecho a ser adjudicatarios de un contrato estatal, compartiendo recursos de toda índole para su ejecución, así como las utilidades y los riesgos.</w:t>
      </w:r>
    </w:p>
    <w:p w14:paraId="1001477C" w14:textId="77777777" w:rsidR="00C91AF4" w:rsidRPr="00F9120E" w:rsidRDefault="00C91AF4" w:rsidP="00C91AF4">
      <w:pPr>
        <w:spacing w:before="120" w:after="120" w:line="276" w:lineRule="auto"/>
        <w:ind w:firstLine="708"/>
        <w:jc w:val="both"/>
        <w:rPr>
          <w:rFonts w:ascii="Verdana" w:hAnsi="Verdana"/>
          <w:color w:val="000000" w:themeColor="text1"/>
          <w:lang w:val="es-ES"/>
        </w:rPr>
      </w:pPr>
      <w:r w:rsidRPr="00F9120E">
        <w:rPr>
          <w:rFonts w:ascii="Verdana" w:eastAsia="Calibri" w:hAnsi="Verdana" w:cs="Arial"/>
          <w:color w:val="000000" w:themeColor="text1"/>
          <w:lang w:val="es-ES"/>
        </w:rPr>
        <w:t xml:space="preserve">En efecto, los proponentes plurales pueden participar en los procesos de contratación por medio de uniones temporales y consorcios. Los consorcios se refieren a las situaciones en que dos o más personas en forma conjunta </w:t>
      </w:r>
      <w:r w:rsidRPr="00F9120E">
        <w:rPr>
          <w:rFonts w:ascii="Verdana" w:eastAsia="Calibri" w:hAnsi="Verdana" w:cs="Arial"/>
          <w:color w:val="000000" w:themeColor="text1"/>
          <w:lang w:val="es-ES"/>
        </w:rPr>
        <w:lastRenderedPageBreak/>
        <w:t>presentan una misma propuesta para la adjudicación, celebración y ejecución de un contrato, respondiendo solidariamente</w:t>
      </w:r>
      <w:r w:rsidRPr="00F9120E">
        <w:rPr>
          <w:rFonts w:ascii="Verdana" w:eastAsia="Calibri" w:hAnsi="Verdana" w:cs="Arial"/>
          <w:i/>
          <w:iCs/>
          <w:color w:val="000000" w:themeColor="text1"/>
          <w:lang w:val="es-ES"/>
        </w:rPr>
        <w:t xml:space="preserve"> </w:t>
      </w:r>
      <w:r w:rsidRPr="00F9120E">
        <w:rPr>
          <w:rFonts w:ascii="Verdana" w:eastAsia="Calibri" w:hAnsi="Verdana" w:cs="Arial"/>
          <w:color w:val="000000" w:themeColor="text1"/>
          <w:lang w:val="es-ES"/>
        </w:rPr>
        <w:t xml:space="preserve">por todas y cada una de las obligaciones derivadas de la propuesta y del contrato. En atención dicha solidaridad, las actuaciones, hechos y omisiones que se presenten </w:t>
      </w:r>
      <w:r w:rsidRPr="00F9120E">
        <w:rPr>
          <w:rFonts w:ascii="Verdana" w:eastAsia="Calibri" w:hAnsi="Verdana" w:cs="Arial"/>
          <w:i/>
          <w:iCs/>
          <w:color w:val="000000" w:themeColor="text1"/>
          <w:lang w:val="es-ES"/>
        </w:rPr>
        <w:t>en desarrollo de la propuesta y del contrato</w:t>
      </w:r>
      <w:r w:rsidRPr="00F9120E">
        <w:rPr>
          <w:rFonts w:ascii="Verdana" w:eastAsia="Calibri" w:hAnsi="Verdana" w:cs="Arial"/>
          <w:color w:val="000000" w:themeColor="text1"/>
          <w:lang w:val="es-ES"/>
        </w:rPr>
        <w:t xml:space="preserve">, afectarán </w:t>
      </w:r>
      <w:r w:rsidRPr="00F9120E">
        <w:rPr>
          <w:rFonts w:ascii="Verdana" w:eastAsia="Calibri" w:hAnsi="Verdana" w:cs="Arial"/>
          <w:i/>
          <w:iCs/>
          <w:color w:val="000000" w:themeColor="text1"/>
          <w:lang w:val="es-ES"/>
        </w:rPr>
        <w:t>a todos</w:t>
      </w:r>
      <w:r w:rsidRPr="00F9120E">
        <w:rPr>
          <w:rFonts w:ascii="Verdana" w:eastAsia="Calibri" w:hAnsi="Verdana" w:cs="Arial"/>
          <w:color w:val="000000" w:themeColor="text1"/>
          <w:lang w:val="es-ES"/>
        </w:rPr>
        <w:t xml:space="preserve"> los integrantes del Consorcio.</w:t>
      </w:r>
      <w:r w:rsidRPr="00F9120E">
        <w:rPr>
          <w:rFonts w:ascii="Verdana" w:hAnsi="Verdana"/>
          <w:color w:val="000000" w:themeColor="text1"/>
          <w:lang w:val="es-ES"/>
        </w:rPr>
        <w:t xml:space="preserve"> </w:t>
      </w:r>
      <w:r>
        <w:rPr>
          <w:rFonts w:ascii="Verdana" w:hAnsi="Verdana"/>
          <w:color w:val="000000" w:themeColor="text1"/>
          <w:lang w:val="es-ES"/>
        </w:rPr>
        <w:t>L</w:t>
      </w:r>
      <w:r w:rsidRPr="00F9120E">
        <w:rPr>
          <w:rFonts w:ascii="Verdana" w:hAnsi="Verdana"/>
          <w:color w:val="000000" w:themeColor="text1"/>
          <w:lang w:val="es-ES"/>
        </w:rPr>
        <w:t>a Corte Constitucional, en la sentencia C-414 del 22 de septiembre de 1994 señaló que el consorcio es una figura propia del derecho privado, utilizado como un instrumento de cooperación entre empresas, que les permita unir esfuerzos para la celebración y ejecución de un contrato con el Estado, sin que por ello pierdan su individualidad</w:t>
      </w:r>
      <w:r w:rsidRPr="00F9120E">
        <w:rPr>
          <w:rFonts w:ascii="Verdana" w:hAnsi="Verdana"/>
          <w:color w:val="000000" w:themeColor="text1"/>
          <w:spacing w:val="-6"/>
          <w:lang w:val="es-ES"/>
        </w:rPr>
        <w:t xml:space="preserve"> </w:t>
      </w:r>
      <w:r w:rsidRPr="00F9120E">
        <w:rPr>
          <w:rFonts w:ascii="Verdana" w:hAnsi="Verdana"/>
          <w:color w:val="000000" w:themeColor="text1"/>
          <w:lang w:val="es-ES"/>
        </w:rPr>
        <w:t>jurídica</w:t>
      </w:r>
      <w:r w:rsidRPr="00F9120E">
        <w:rPr>
          <w:rStyle w:val="Refdenotaalpie"/>
          <w:rFonts w:ascii="Verdana" w:hAnsi="Verdana"/>
          <w:color w:val="000000" w:themeColor="text1"/>
          <w:lang w:val="es-ES"/>
        </w:rPr>
        <w:footnoteReference w:id="8"/>
      </w:r>
      <w:r w:rsidRPr="00F9120E">
        <w:rPr>
          <w:rFonts w:ascii="Verdana" w:hAnsi="Verdana"/>
          <w:color w:val="000000" w:themeColor="text1"/>
          <w:lang w:val="es-ES"/>
        </w:rPr>
        <w:t>.</w:t>
      </w:r>
    </w:p>
    <w:p w14:paraId="1C201C5E" w14:textId="77777777" w:rsidR="00C91AF4" w:rsidRPr="00F9120E" w:rsidRDefault="00C91AF4" w:rsidP="00C91AF4">
      <w:pPr>
        <w:spacing w:before="120"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Por otra parte, según el artículo 7 de la Ley 80 de 1993, las uniones temporales se refieren a las situaciones en que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imponen de acuerdo con la participación en la ejecución de </w:t>
      </w:r>
      <w:r w:rsidRPr="00F9120E">
        <w:rPr>
          <w:rFonts w:ascii="Verdana" w:eastAsia="Calibri" w:hAnsi="Verdana" w:cs="Arial"/>
          <w:i/>
          <w:iCs/>
          <w:color w:val="000000" w:themeColor="text1"/>
          <w:lang w:val="es-ES"/>
        </w:rPr>
        <w:t>cada uno de los miembros</w:t>
      </w:r>
      <w:r w:rsidRPr="00F9120E">
        <w:rPr>
          <w:rFonts w:ascii="Verdana" w:eastAsia="Calibri" w:hAnsi="Verdana" w:cs="Arial"/>
          <w:color w:val="000000" w:themeColor="text1"/>
          <w:lang w:val="es-ES"/>
        </w:rPr>
        <w:t xml:space="preserve"> de la unión temporal.  </w:t>
      </w:r>
    </w:p>
    <w:p w14:paraId="16ECFE18" w14:textId="77777777" w:rsidR="00C91AF4" w:rsidRPr="00F9120E" w:rsidRDefault="00C91AF4" w:rsidP="00C91AF4">
      <w:pPr>
        <w:spacing w:before="120" w:after="120" w:line="276" w:lineRule="auto"/>
        <w:ind w:firstLine="709"/>
        <w:jc w:val="both"/>
        <w:rPr>
          <w:rFonts w:ascii="Verdana" w:eastAsia="Calibri" w:hAnsi="Verdana" w:cs="Arial"/>
          <w:color w:val="000000" w:themeColor="text1"/>
          <w:lang w:val="es-ES"/>
        </w:rPr>
      </w:pPr>
      <w:r w:rsidRPr="00F9120E">
        <w:rPr>
          <w:rFonts w:ascii="Verdana" w:hAnsi="Verdana"/>
          <w:color w:val="000000" w:themeColor="text1"/>
          <w:lang w:val="es-ES"/>
        </w:rPr>
        <w:t xml:space="preserve">De esta manera, la Ley 80 de 1993 permite que dos o más personas naturales o jurídicas se agrupen para la presentación de una propuesta y la celebración de un contrato con una entidad estatal. En esto, los miembros del consorcio o la unión temporal conservan su individualidad jurídica, pues el proponente plural no genera una persona jurídica distinta a sus integrantes. </w:t>
      </w:r>
      <w:r w:rsidRPr="00F9120E">
        <w:rPr>
          <w:rFonts w:ascii="Verdana" w:eastAsia="Calibri" w:hAnsi="Verdana" w:cs="Arial"/>
          <w:color w:val="000000" w:themeColor="text1"/>
          <w:lang w:val="es-ES"/>
        </w:rPr>
        <w:t xml:space="preserve">Sin embargo, aunque no son personas jurídicas, son sujetos con capacidad para contratar, para ejecutar las obligaciones y recibir los derechos que emanan del contrato y para interrelacionarse con la Entidad Estatal contratante en todo lo relacionado con el objeto del contrato y su desarrollo. </w:t>
      </w:r>
    </w:p>
    <w:p w14:paraId="1CDC9E2F" w14:textId="77777777" w:rsidR="00C91AF4" w:rsidRDefault="00C91AF4" w:rsidP="00C91AF4">
      <w:pPr>
        <w:spacing w:before="120" w:after="120" w:line="276" w:lineRule="auto"/>
        <w:ind w:firstLine="708"/>
        <w:jc w:val="both"/>
        <w:rPr>
          <w:rFonts w:ascii="Verdana" w:hAnsi="Verdana"/>
          <w:color w:val="000000" w:themeColor="text1"/>
          <w:lang w:val="es-ES"/>
        </w:rPr>
      </w:pPr>
      <w:r w:rsidRPr="00F9120E">
        <w:rPr>
          <w:rFonts w:ascii="Verdana" w:eastAsia="Calibri" w:hAnsi="Verdana" w:cs="Arial"/>
          <w:lang w:val="es-ES"/>
        </w:rPr>
        <w:lastRenderedPageBreak/>
        <w:t xml:space="preserve">De lo anterior se deriva que el Estatuto General de Contratación de la Administración Pública contempla la participación de los proponentes plurales </w:t>
      </w:r>
      <w:r w:rsidRPr="00F9120E">
        <w:rPr>
          <w:rFonts w:ascii="Verdana" w:eastAsia="Calibri" w:hAnsi="Verdana" w:cs="Arial"/>
          <w:i/>
          <w:iCs/>
          <w:lang w:val="es-ES"/>
        </w:rPr>
        <w:t>conservando en todo caso su individualidad jurídica</w:t>
      </w:r>
      <w:r w:rsidRPr="00F9120E">
        <w:rPr>
          <w:rFonts w:ascii="Verdana" w:eastAsia="Calibri" w:hAnsi="Verdana" w:cs="Arial"/>
          <w:lang w:val="es-ES"/>
        </w:rPr>
        <w:t xml:space="preserve">, de modo que el proponente plural no constituye una persona en sí misma. Como resultado de lo anterior, los requisitos habilitantes de los proponentes plurales deben ser evaluados respecto </w:t>
      </w:r>
      <w:r w:rsidRPr="00F9120E">
        <w:rPr>
          <w:rFonts w:ascii="Verdana" w:eastAsia="Calibri" w:hAnsi="Verdana" w:cs="Arial"/>
          <w:i/>
          <w:iCs/>
          <w:lang w:val="es-ES"/>
        </w:rPr>
        <w:t>de cada miembro</w:t>
      </w:r>
      <w:r w:rsidRPr="00F9120E">
        <w:rPr>
          <w:rFonts w:ascii="Verdana" w:eastAsia="Calibri" w:hAnsi="Verdana" w:cs="Arial"/>
          <w:lang w:val="es-ES"/>
        </w:rPr>
        <w:t>, sin que ello desconozca la finalidad de esta figura, que es unir esfuerzos.</w:t>
      </w:r>
      <w:r w:rsidRPr="00F9120E">
        <w:rPr>
          <w:rFonts w:ascii="Verdana" w:hAnsi="Verdana"/>
          <w:color w:val="000000" w:themeColor="text1"/>
          <w:lang w:val="es-ES"/>
        </w:rPr>
        <w:t xml:space="preserve"> Así pues, la naturaleza jurídica de los consorcios supone que requisitos habilitantes como la </w:t>
      </w:r>
      <w:r>
        <w:rPr>
          <w:rFonts w:ascii="Verdana" w:hAnsi="Verdana"/>
          <w:color w:val="000000" w:themeColor="text1"/>
          <w:lang w:val="es-ES"/>
        </w:rPr>
        <w:t>experiencia</w:t>
      </w:r>
      <w:r w:rsidRPr="00F9120E">
        <w:rPr>
          <w:rFonts w:ascii="Verdana" w:hAnsi="Verdana"/>
          <w:color w:val="000000" w:themeColor="text1"/>
          <w:lang w:val="es-ES"/>
        </w:rPr>
        <w:t xml:space="preserve"> deba ser evaluada con respecto a cada uno de sus integrantes, de acuerdo con lo registrado en su RUP.</w:t>
      </w:r>
    </w:p>
    <w:p w14:paraId="56AD4525" w14:textId="77777777" w:rsidR="00C91AF4" w:rsidRPr="00F9120E" w:rsidRDefault="00C91AF4" w:rsidP="00C91AF4">
      <w:pPr>
        <w:spacing w:before="120"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De cualquier modo, tal como lo señala esta Agencia en el “Manual </w:t>
      </w:r>
      <w:r w:rsidRPr="00F9120E">
        <w:rPr>
          <w:rFonts w:ascii="Verdana" w:eastAsia="Calibri" w:hAnsi="Verdana" w:cs="Arial"/>
          <w:lang w:val="es-ES"/>
        </w:rPr>
        <w:t>para determinar y verificar los requisitos habilitantes en los procesos de contratación”</w:t>
      </w:r>
      <w:r>
        <w:rPr>
          <w:rStyle w:val="Refdenotaalpie"/>
          <w:rFonts w:ascii="Verdana" w:eastAsia="Calibri" w:hAnsi="Verdana" w:cs="Arial"/>
          <w:lang w:val="es-ES"/>
        </w:rPr>
        <w:footnoteReference w:id="9"/>
      </w:r>
      <w:r w:rsidRPr="00F9120E">
        <w:rPr>
          <w:rFonts w:ascii="Verdana" w:eastAsia="Calibri" w:hAnsi="Verdana" w:cs="Arial"/>
          <w:lang w:val="es-ES"/>
        </w:rPr>
        <w:t xml:space="preserve">, </w:t>
      </w:r>
      <w:r>
        <w:rPr>
          <w:rFonts w:ascii="Verdana" w:eastAsia="Calibri" w:hAnsi="Verdana" w:cs="Arial"/>
          <w:color w:val="000000" w:themeColor="text1"/>
        </w:rPr>
        <w:t>l</w:t>
      </w:r>
      <w:r w:rsidRPr="00FC7C3B">
        <w:rPr>
          <w:rFonts w:ascii="Verdana" w:eastAsia="Calibri" w:hAnsi="Verdana" w:cs="Arial"/>
          <w:color w:val="000000" w:themeColor="text1"/>
        </w:rPr>
        <w:t>as Entidades Estatales contratantes, como responsables de la estructuración de los Procesos de Contratación, son autónomas para establecer los requisitos habilitantes de experiencia, de acuerdo con el estudio realizado en marco del análisis del sector</w:t>
      </w:r>
      <w:r w:rsidRPr="00F9120E">
        <w:rPr>
          <w:rStyle w:val="Refdenotaalpie"/>
          <w:rFonts w:ascii="Verdana" w:eastAsia="Calibri" w:hAnsi="Verdana" w:cs="Arial"/>
          <w:color w:val="000000" w:themeColor="text1"/>
          <w:lang w:val="es-ES"/>
        </w:rPr>
        <w:footnoteReference w:id="10"/>
      </w:r>
      <w:r w:rsidRPr="00F9120E">
        <w:rPr>
          <w:rFonts w:ascii="Verdana" w:eastAsia="Calibri" w:hAnsi="Verdana" w:cs="Arial"/>
          <w:color w:val="000000" w:themeColor="text1"/>
          <w:lang w:val="es-ES"/>
        </w:rPr>
        <w:t xml:space="preserve">. En este aspecto, </w:t>
      </w:r>
      <w:r w:rsidRPr="00F9120E">
        <w:rPr>
          <w:rFonts w:ascii="Verdana" w:eastAsia="Calibri" w:hAnsi="Verdana" w:cs="Arial"/>
          <w:lang w:val="es-ES"/>
        </w:rPr>
        <w:t>las Entidades Estatales gozan de total autonomía para fijar las condiciones habilitantes y las reglas, cuidando en todo caso que no se limiten los principios de participación, libre competencia y concurrencia. Sin embargo, el uso de esta potestad debe quedar reflejada en los pliegos de condiciones o documentos equivalentes, en los cuales las Entidades Estatales deben manifestar con claridad l</w:t>
      </w:r>
      <w:r>
        <w:rPr>
          <w:rFonts w:ascii="Verdana" w:eastAsia="Calibri" w:hAnsi="Verdana" w:cs="Arial"/>
          <w:lang w:val="es-ES"/>
        </w:rPr>
        <w:t xml:space="preserve">as exigencias relativas a la experiencia </w:t>
      </w:r>
      <w:r w:rsidRPr="00F9120E">
        <w:rPr>
          <w:rFonts w:ascii="Verdana" w:eastAsia="Calibri" w:hAnsi="Verdana" w:cs="Arial"/>
          <w:lang w:val="es-ES"/>
        </w:rPr>
        <w:t>que deben acreditar los proponentes plurales, y la metodología para verificarlos con respecto a cada integrante.</w:t>
      </w:r>
    </w:p>
    <w:p w14:paraId="50426EA3" w14:textId="77777777" w:rsidR="00C91AF4" w:rsidRDefault="00C91AF4" w:rsidP="00C91AF4">
      <w:pPr>
        <w:spacing w:before="120" w:after="120" w:line="276" w:lineRule="auto"/>
        <w:ind w:firstLine="709"/>
        <w:jc w:val="both"/>
        <w:rPr>
          <w:rFonts w:ascii="Verdana" w:eastAsia="Calibri" w:hAnsi="Verdana" w:cs="Arial"/>
          <w:lang w:val="es-ES"/>
        </w:rPr>
      </w:pPr>
      <w:r>
        <w:rPr>
          <w:rFonts w:ascii="Verdana" w:eastAsia="Calibri" w:hAnsi="Verdana" w:cs="Arial"/>
          <w:lang w:val="es-ES"/>
        </w:rPr>
        <w:t>Por lo tanto</w:t>
      </w:r>
      <w:r w:rsidRPr="00F9120E">
        <w:rPr>
          <w:rFonts w:ascii="Verdana" w:eastAsia="Calibri" w:hAnsi="Verdana" w:cs="Arial"/>
          <w:lang w:val="es-ES"/>
        </w:rPr>
        <w:t xml:space="preserve">, la forma de acreditación </w:t>
      </w:r>
      <w:r>
        <w:rPr>
          <w:rFonts w:ascii="Verdana" w:eastAsia="Calibri" w:hAnsi="Verdana" w:cs="Arial"/>
          <w:lang w:val="es-ES"/>
        </w:rPr>
        <w:t xml:space="preserve">de </w:t>
      </w:r>
      <w:r w:rsidRPr="00F9120E">
        <w:rPr>
          <w:rFonts w:ascii="Verdana" w:eastAsia="Calibri" w:hAnsi="Verdana" w:cs="Arial"/>
          <w:lang w:val="es-ES"/>
        </w:rPr>
        <w:t>los requisitos habilitantes para los integrantes de proponentes plurales debe ser la establecida por la Entidad Estatal en los estudios previos y pliegos de condiciones</w:t>
      </w:r>
      <w:r>
        <w:rPr>
          <w:rFonts w:ascii="Verdana" w:eastAsia="Calibri" w:hAnsi="Verdana" w:cs="Arial"/>
          <w:lang w:val="es-ES"/>
        </w:rPr>
        <w:t>,</w:t>
      </w:r>
      <w:r w:rsidRPr="00F9120E">
        <w:rPr>
          <w:rFonts w:ascii="Verdana" w:eastAsia="Calibri" w:hAnsi="Verdana" w:cs="Arial"/>
          <w:lang w:val="es-ES"/>
        </w:rPr>
        <w:t xml:space="preserve"> de acuerdo con la necesidad a contratar. El Decreto 1082 de 2015 en su artículo 2.2.1.1.1.6.1 señala el deber de las Entidades Estatales de realizar durante la etapa de planeación el análisis necesario para conocer el sector relativo al objeto del Proceso de Contratación desde la perspectiva legal, comercial, </w:t>
      </w:r>
      <w:r w:rsidRPr="00FA6BF2">
        <w:rPr>
          <w:rFonts w:ascii="Verdana" w:eastAsia="Calibri" w:hAnsi="Verdana" w:cs="Arial"/>
          <w:lang w:val="es-ES"/>
        </w:rPr>
        <w:t>financiera,</w:t>
      </w:r>
      <w:r w:rsidRPr="00F9120E">
        <w:rPr>
          <w:rFonts w:ascii="Verdana" w:eastAsia="Calibri" w:hAnsi="Verdana" w:cs="Arial"/>
          <w:lang w:val="es-ES"/>
        </w:rPr>
        <w:t xml:space="preserve"> organizacional, técnica, y de análisis de Riesgo, dejando constancia de este análisis en los Documentos del Proceso, por lo cual la determinación y las </w:t>
      </w:r>
      <w:r w:rsidRPr="00F9120E">
        <w:rPr>
          <w:rFonts w:ascii="Verdana" w:eastAsia="Calibri" w:hAnsi="Verdana" w:cs="Arial"/>
          <w:lang w:val="es-ES"/>
        </w:rPr>
        <w:lastRenderedPageBreak/>
        <w:t xml:space="preserve">condiciones exigidas para </w:t>
      </w:r>
      <w:r>
        <w:rPr>
          <w:rFonts w:ascii="Verdana" w:eastAsia="Calibri" w:hAnsi="Verdana" w:cs="Arial"/>
          <w:lang w:val="es-ES"/>
        </w:rPr>
        <w:t xml:space="preserve">determinar </w:t>
      </w:r>
      <w:r w:rsidRPr="00F9120E">
        <w:rPr>
          <w:rFonts w:ascii="Verdana" w:eastAsia="Calibri" w:hAnsi="Verdana" w:cs="Arial"/>
          <w:lang w:val="es-ES"/>
        </w:rPr>
        <w:t xml:space="preserve">la </w:t>
      </w:r>
      <w:r>
        <w:rPr>
          <w:rFonts w:ascii="Verdana" w:eastAsia="Calibri" w:hAnsi="Verdana" w:cs="Arial"/>
          <w:lang w:val="es-ES"/>
        </w:rPr>
        <w:t>experiencia</w:t>
      </w:r>
      <w:r w:rsidRPr="00F9120E">
        <w:rPr>
          <w:rFonts w:ascii="Verdana" w:eastAsia="Calibri" w:hAnsi="Verdana" w:cs="Arial"/>
          <w:lang w:val="es-ES"/>
        </w:rPr>
        <w:t xml:space="preserve"> se encuentra a cargo de la entidad contratante. </w:t>
      </w:r>
    </w:p>
    <w:p w14:paraId="1F9B4706" w14:textId="77777777" w:rsidR="00C91AF4" w:rsidRDefault="00C91AF4" w:rsidP="00C91AF4">
      <w:pPr>
        <w:spacing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w:t>
      </w:r>
      <w:r w:rsidRPr="00E15BAA">
        <w:rPr>
          <w:rFonts w:ascii="Verdana" w:eastAsia="Calibri" w:hAnsi="Verdana" w:cs="Arial"/>
          <w:lang w:val="es-ES"/>
        </w:rPr>
        <w:t xml:space="preserve">los proponentes plurales deberán aportar el acta de conformación consorcial o el acta de conformación de unión temporal indicando claramente la individualización de la persona natural o jurídica, el porcentaje de participación y demás compromisos entre las partes </w:t>
      </w:r>
      <w:r w:rsidRPr="081E2AC1">
        <w:rPr>
          <w:rFonts w:ascii="Verdana" w:eastAsia="Calibri" w:hAnsi="Verdana" w:cs="Arial"/>
          <w:lang w:val="es-ES"/>
        </w:rPr>
        <w:t>seg</w:t>
      </w:r>
      <w:r>
        <w:rPr>
          <w:rFonts w:ascii="Verdana" w:eastAsia="Calibri" w:hAnsi="Verdana" w:cs="Arial"/>
          <w:lang w:val="es-ES"/>
        </w:rPr>
        <w:t>ú</w:t>
      </w:r>
      <w:r w:rsidRPr="081E2AC1">
        <w:rPr>
          <w:rFonts w:ascii="Verdana" w:eastAsia="Calibri" w:hAnsi="Verdana" w:cs="Arial"/>
          <w:lang w:val="es-ES"/>
        </w:rPr>
        <w:t xml:space="preserve">n con lo previsto </w:t>
      </w:r>
      <w:r w:rsidRPr="00E15BAA">
        <w:rPr>
          <w:rFonts w:ascii="Verdana" w:eastAsia="Calibri" w:hAnsi="Verdana" w:cs="Arial"/>
          <w:lang w:val="es-ES"/>
        </w:rPr>
        <w:t>en los pliegos de condiciones y anexos del proceso contractual.</w:t>
      </w:r>
      <w:r>
        <w:rPr>
          <w:rFonts w:ascii="Verdana" w:eastAsia="Calibri" w:hAnsi="Verdana" w:cs="Arial"/>
          <w:lang w:val="es-ES"/>
        </w:rPr>
        <w:t xml:space="preserve"> Ahora bien, nada obsta para que la entidad estatal contratante </w:t>
      </w:r>
      <w:r w:rsidRPr="00E15BAA">
        <w:rPr>
          <w:rFonts w:ascii="Verdana" w:eastAsia="Calibri" w:hAnsi="Verdana" w:cs="Arial"/>
          <w:lang w:val="es-ES"/>
        </w:rPr>
        <w:t xml:space="preserve">en relación con la experiencia de los proponentes plurales </w:t>
      </w:r>
      <w:r>
        <w:rPr>
          <w:rFonts w:ascii="Verdana" w:eastAsia="Calibri" w:hAnsi="Verdana" w:cs="Arial"/>
          <w:lang w:val="es-ES"/>
        </w:rPr>
        <w:t xml:space="preserve">indique que aquella se acreditará con la </w:t>
      </w:r>
      <w:r w:rsidRPr="00E15BAA">
        <w:rPr>
          <w:rFonts w:ascii="Verdana" w:eastAsia="Calibri" w:hAnsi="Verdana" w:cs="Arial"/>
          <w:lang w:val="es-ES"/>
        </w:rPr>
        <w:t>suma</w:t>
      </w:r>
      <w:r>
        <w:rPr>
          <w:rFonts w:ascii="Verdana" w:eastAsia="Calibri" w:hAnsi="Verdana" w:cs="Arial"/>
          <w:lang w:val="es-ES"/>
        </w:rPr>
        <w:t xml:space="preserve">toria de la experiencia demostrada </w:t>
      </w:r>
      <w:r w:rsidRPr="00E15BAA">
        <w:rPr>
          <w:rFonts w:ascii="Verdana" w:eastAsia="Calibri" w:hAnsi="Verdana" w:cs="Arial"/>
          <w:lang w:val="es-ES"/>
        </w:rPr>
        <w:t>por cada miembro del consorcio o de la unión temporal</w:t>
      </w:r>
      <w:r>
        <w:rPr>
          <w:rFonts w:ascii="Verdana" w:eastAsia="Calibri" w:hAnsi="Verdana" w:cs="Arial"/>
          <w:lang w:val="es-ES"/>
        </w:rPr>
        <w:t xml:space="preserve"> o</w:t>
      </w:r>
      <w:r w:rsidRPr="00E15BAA">
        <w:rPr>
          <w:rFonts w:ascii="Verdana" w:eastAsia="Calibri" w:hAnsi="Verdana" w:cs="Arial"/>
          <w:lang w:val="es-ES"/>
        </w:rPr>
        <w:t xml:space="preserve"> que cada miembro del proponente plural deba acreditar la experiencia requerida en el procedimiento</w:t>
      </w:r>
      <w:r>
        <w:rPr>
          <w:rFonts w:ascii="Verdana" w:eastAsia="Calibri" w:hAnsi="Verdana" w:cs="Arial"/>
          <w:lang w:val="es-ES"/>
        </w:rPr>
        <w:t>.</w:t>
      </w:r>
    </w:p>
    <w:bookmarkEnd w:id="5"/>
    <w:p w14:paraId="1569DA98" w14:textId="77777777"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0D55BA2F" w14:textId="77777777" w:rsidR="00C91AF4" w:rsidRPr="009D304E" w:rsidRDefault="00C91AF4" w:rsidP="00C91AF4">
            <w:pPr>
              <w:pStyle w:val="Prrafodelista"/>
              <w:widowControl w:val="0"/>
              <w:numPr>
                <w:ilvl w:val="0"/>
                <w:numId w:val="17"/>
              </w:numPr>
              <w:autoSpaceDE w:val="0"/>
              <w:autoSpaceDN w:val="0"/>
              <w:jc w:val="both"/>
              <w:rPr>
                <w:rFonts w:ascii="Verdana" w:hAnsi="Verdana" w:cs="Arial"/>
              </w:rPr>
            </w:pPr>
            <w:r>
              <w:rPr>
                <w:rFonts w:ascii="Verdana" w:hAnsi="Verdana" w:cs="Arial"/>
              </w:rPr>
              <w:t xml:space="preserve">Decreto 1082 de 2015. Artículos: </w:t>
            </w:r>
            <w:r w:rsidRPr="00F9120E">
              <w:rPr>
                <w:rFonts w:ascii="Verdana" w:eastAsia="Calibri" w:hAnsi="Verdana" w:cs="Arial"/>
              </w:rPr>
              <w:t>2.2.1.1.1.6.1</w:t>
            </w:r>
            <w:r>
              <w:rPr>
                <w:rFonts w:ascii="Verdana" w:eastAsia="Calibri" w:hAnsi="Verdana" w:cs="Arial"/>
              </w:rPr>
              <w:t>,</w:t>
            </w:r>
            <w:r w:rsidRPr="00F9120E">
              <w:rPr>
                <w:rFonts w:ascii="Verdana" w:eastAsia="Calibri" w:hAnsi="Verdana" w:cs="Arial"/>
              </w:rPr>
              <w:t xml:space="preserve"> </w:t>
            </w:r>
            <w:r w:rsidRPr="00F9120E">
              <w:rPr>
                <w:rFonts w:ascii="Verdana" w:eastAsia="Calibri" w:hAnsi="Verdana" w:cs="Arial"/>
                <w:color w:val="000000" w:themeColor="text1"/>
              </w:rPr>
              <w:t>2.2.1.1.1.6.2</w:t>
            </w:r>
            <w:r>
              <w:rPr>
                <w:rFonts w:ascii="Verdana" w:eastAsia="Calibri" w:hAnsi="Verdana" w:cs="Arial"/>
                <w:color w:val="000000" w:themeColor="text1"/>
              </w:rPr>
              <w:t>.</w:t>
            </w:r>
          </w:p>
          <w:p w14:paraId="2CD44FE1" w14:textId="77777777" w:rsidR="00C91AF4" w:rsidRPr="009D304E" w:rsidRDefault="00C91AF4" w:rsidP="00C91AF4">
            <w:pPr>
              <w:widowControl w:val="0"/>
              <w:autoSpaceDE w:val="0"/>
              <w:autoSpaceDN w:val="0"/>
              <w:jc w:val="both"/>
              <w:rPr>
                <w:rFonts w:ascii="Verdana" w:hAnsi="Verdana" w:cs="Arial"/>
              </w:rPr>
            </w:pPr>
          </w:p>
          <w:p w14:paraId="6809240E" w14:textId="77777777" w:rsidR="00C91AF4" w:rsidRPr="006E65CC" w:rsidRDefault="00C91AF4" w:rsidP="00C91AF4">
            <w:pPr>
              <w:pStyle w:val="Prrafodelista"/>
              <w:widowControl w:val="0"/>
              <w:numPr>
                <w:ilvl w:val="0"/>
                <w:numId w:val="17"/>
              </w:numPr>
              <w:autoSpaceDE w:val="0"/>
              <w:autoSpaceDN w:val="0"/>
              <w:jc w:val="both"/>
              <w:rPr>
                <w:rFonts w:ascii="Verdana" w:hAnsi="Verdana" w:cs="Arial"/>
              </w:rPr>
            </w:pPr>
            <w:r>
              <w:rPr>
                <w:rFonts w:ascii="Verdana" w:eastAsia="Calibri" w:hAnsi="Verdana" w:cs="Arial"/>
                <w:color w:val="000000" w:themeColor="text1"/>
              </w:rPr>
              <w:t xml:space="preserve">Ley 80 de 1993. Artículo: 7. </w:t>
            </w:r>
          </w:p>
          <w:p w14:paraId="41B92B91" w14:textId="77777777" w:rsidR="00C91AF4" w:rsidRPr="006E65CC" w:rsidRDefault="00C91AF4" w:rsidP="00C91AF4">
            <w:pPr>
              <w:pStyle w:val="Prrafodelista"/>
              <w:widowControl w:val="0"/>
              <w:autoSpaceDE w:val="0"/>
              <w:autoSpaceDN w:val="0"/>
              <w:ind w:left="714"/>
              <w:jc w:val="both"/>
              <w:rPr>
                <w:rFonts w:ascii="Verdana" w:hAnsi="Verdana" w:cs="Arial"/>
              </w:rPr>
            </w:pPr>
          </w:p>
          <w:p w14:paraId="77C92487" w14:textId="77777777" w:rsidR="00C91AF4" w:rsidRDefault="00C91AF4" w:rsidP="00C91AF4">
            <w:pPr>
              <w:pStyle w:val="Prrafodelista"/>
              <w:widowControl w:val="0"/>
              <w:numPr>
                <w:ilvl w:val="0"/>
                <w:numId w:val="17"/>
              </w:numPr>
              <w:autoSpaceDE w:val="0"/>
              <w:autoSpaceDN w:val="0"/>
              <w:jc w:val="both"/>
              <w:rPr>
                <w:rFonts w:ascii="Verdana" w:hAnsi="Verdana" w:cs="Arial"/>
              </w:rPr>
            </w:pPr>
            <w:r w:rsidRPr="006E65CC">
              <w:rPr>
                <w:rFonts w:ascii="Verdana" w:hAnsi="Verdana" w:cs="Arial"/>
              </w:rPr>
              <w:t>Corte Constitucional, sentencia C-414 del 22 de septiembre de 1996, M.P. Antonio Barrera Carbonell</w:t>
            </w:r>
            <w:r>
              <w:rPr>
                <w:rFonts w:ascii="Verdana" w:hAnsi="Verdana" w:cs="Arial"/>
              </w:rPr>
              <w:t>.</w:t>
            </w:r>
          </w:p>
          <w:p w14:paraId="7A8B3A7D" w14:textId="77777777" w:rsidR="00C91AF4" w:rsidRPr="006E65CC" w:rsidRDefault="00C91AF4" w:rsidP="00C91AF4">
            <w:pPr>
              <w:widowControl w:val="0"/>
              <w:autoSpaceDE w:val="0"/>
              <w:autoSpaceDN w:val="0"/>
              <w:jc w:val="both"/>
              <w:rPr>
                <w:rFonts w:ascii="Verdana" w:hAnsi="Verdana" w:cs="Arial"/>
              </w:rPr>
            </w:pPr>
          </w:p>
          <w:p w14:paraId="4A4FB988" w14:textId="77777777" w:rsidR="00C91AF4" w:rsidRDefault="00C91AF4" w:rsidP="00C91AF4">
            <w:pPr>
              <w:pStyle w:val="Prrafodelista"/>
              <w:widowControl w:val="0"/>
              <w:numPr>
                <w:ilvl w:val="0"/>
                <w:numId w:val="17"/>
              </w:numPr>
              <w:autoSpaceDE w:val="0"/>
              <w:autoSpaceDN w:val="0"/>
              <w:jc w:val="both"/>
              <w:rPr>
                <w:rFonts w:ascii="Verdana" w:hAnsi="Verdana" w:cs="Arial"/>
              </w:rPr>
            </w:pPr>
            <w:r w:rsidRPr="00F9120E">
              <w:rPr>
                <w:rFonts w:ascii="Verdana" w:eastAsia="Calibri" w:hAnsi="Verdana" w:cs="Arial"/>
                <w:color w:val="000000" w:themeColor="text1"/>
              </w:rPr>
              <w:t xml:space="preserve">Manual </w:t>
            </w:r>
            <w:r w:rsidRPr="00F9120E">
              <w:rPr>
                <w:rFonts w:ascii="Verdana" w:eastAsia="Calibri" w:hAnsi="Verdana" w:cs="Arial"/>
              </w:rPr>
              <w:t>para determinar y verificar los requisitos habilitantes en los procesos de contratación</w:t>
            </w:r>
            <w:r>
              <w:rPr>
                <w:rFonts w:ascii="Verdana" w:hAnsi="Verdana" w:cs="Arial"/>
              </w:rPr>
              <w:t xml:space="preserve"> en: </w:t>
            </w:r>
            <w:hyperlink r:id="rId12" w:history="1">
              <w:r w:rsidRPr="00C0107F">
                <w:rPr>
                  <w:rStyle w:val="Hipervnculo"/>
                  <w:rFonts w:ascii="Verdana" w:hAnsi="Verdana" w:cs="Arial"/>
                </w:rPr>
                <w:t>https://www.colombiacompra.gov.co/wp-content/uploads/2024/08/cce-eicp-ma-04._manual_requisitos_habilitantes_v3_29-09-2023.pdf</w:t>
              </w:r>
            </w:hyperlink>
          </w:p>
          <w:p w14:paraId="60CC6EC9" w14:textId="7684FF4C" w:rsidR="00A64017" w:rsidRPr="00332677" w:rsidRDefault="00A64017" w:rsidP="00C91AF4">
            <w:pPr>
              <w:pStyle w:val="Prrafodelista"/>
              <w:widowControl w:val="0"/>
              <w:autoSpaceDE w:val="0"/>
              <w:autoSpaceDN w:val="0"/>
              <w:spacing w:after="120" w:line="276" w:lineRule="auto"/>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1A0F049E" w:rsidR="00A64017" w:rsidRPr="00AE7E03" w:rsidRDefault="00C91AF4" w:rsidP="00A64017">
      <w:pPr>
        <w:widowControl w:val="0"/>
        <w:autoSpaceDE w:val="0"/>
        <w:autoSpaceDN w:val="0"/>
        <w:spacing w:after="0" w:line="276" w:lineRule="auto"/>
        <w:jc w:val="both"/>
        <w:rPr>
          <w:rFonts w:ascii="Verdana" w:eastAsia="Arial" w:hAnsi="Verdana" w:cs="Arial"/>
          <w:lang w:val="es-MX" w:eastAsia="es-ES"/>
        </w:rPr>
      </w:pPr>
      <w:r w:rsidRPr="001C48C8">
        <w:rPr>
          <w:rFonts w:ascii="Verdana" w:hAnsi="Verdana" w:cs="Arial"/>
          <w:bCs/>
          <w:shd w:val="clear" w:color="auto" w:fill="FFFFFF"/>
        </w:rPr>
        <w:t xml:space="preserve">Sobre la acreditación de experiencia por parte de integrantes de proponentes plurales, esta Subdirección se ha pronunciado en los conceptos </w:t>
      </w:r>
      <w:r w:rsidRPr="001C48C8">
        <w:rPr>
          <w:rFonts w:ascii="Verdana" w:hAnsi="Verdana"/>
          <w:lang w:val="es-ES"/>
        </w:rPr>
        <w:t xml:space="preserve">C- 124 del 12 de mayo de 2023, C-167 del 5 de junio de 2023, </w:t>
      </w:r>
      <w:r w:rsidRPr="001C48C8">
        <w:rPr>
          <w:rFonts w:ascii="Verdana" w:hAnsi="Verdana" w:cs="Arial"/>
          <w:bCs/>
          <w:shd w:val="clear" w:color="auto" w:fill="FFFFFF"/>
        </w:rPr>
        <w:t xml:space="preserve">C-648 del 6 de noviembre de 2024, C-1002 del 30 de enero de 2025, </w:t>
      </w:r>
      <w:r>
        <w:rPr>
          <w:rFonts w:ascii="Verdana" w:hAnsi="Verdana" w:cs="Arial"/>
          <w:bCs/>
          <w:shd w:val="clear" w:color="auto" w:fill="FFFFFF"/>
        </w:rPr>
        <w:t xml:space="preserve">C-128 del 26 de junio de 2025, </w:t>
      </w:r>
      <w:r w:rsidRPr="001C48C8">
        <w:rPr>
          <w:rFonts w:ascii="Verdana" w:hAnsi="Verdana" w:cs="Arial"/>
          <w:bCs/>
          <w:shd w:val="clear" w:color="auto" w:fill="FFFFFF"/>
        </w:rPr>
        <w:t>C-568 del 24 de junio de 2025</w:t>
      </w:r>
      <w:r w:rsidR="009552F8">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C-698 del 14 de julio de 2025, </w:t>
      </w:r>
      <w:r w:rsidR="001D1756">
        <w:rPr>
          <w:rStyle w:val="normaltextrun"/>
          <w:rFonts w:ascii="Verdana" w:hAnsi="Verdana" w:cs="Arial"/>
          <w:shd w:val="clear" w:color="auto" w:fill="FFFFFF"/>
          <w:lang w:val="es-ES"/>
        </w:rPr>
        <w:t>entre otros.</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2089FEE9" w:rsidR="0073141C" w:rsidRDefault="0073141C" w:rsidP="00A64017">
      <w:pPr>
        <w:spacing w:line="276" w:lineRule="auto"/>
        <w:jc w:val="center"/>
        <w:rPr>
          <w:noProof/>
        </w:rPr>
      </w:pPr>
    </w:p>
    <w:p w14:paraId="7FC0DC1D" w14:textId="77777777" w:rsidR="00331CD0" w:rsidRDefault="00331CD0" w:rsidP="00A64017">
      <w:pPr>
        <w:spacing w:line="276" w:lineRule="auto"/>
        <w:jc w:val="center"/>
        <w:rPr>
          <w:noProof/>
        </w:rPr>
      </w:pPr>
    </w:p>
    <w:p w14:paraId="586D0410" w14:textId="77777777" w:rsidR="00331CD0" w:rsidRDefault="00331CD0" w:rsidP="00A64017">
      <w:pPr>
        <w:spacing w:line="276" w:lineRule="auto"/>
        <w:jc w:val="center"/>
        <w:rPr>
          <w:noProof/>
        </w:rPr>
      </w:pPr>
    </w:p>
    <w:p w14:paraId="1D168B7C" w14:textId="4DF6DAD6" w:rsidR="00331CD0" w:rsidRDefault="00331CD0" w:rsidP="00A64017">
      <w:pPr>
        <w:spacing w:line="276" w:lineRule="auto"/>
        <w:jc w:val="center"/>
        <w:rPr>
          <w:noProof/>
        </w:rPr>
      </w:pPr>
      <w:r>
        <w:rPr>
          <w:noProof/>
        </w:rPr>
        <w:drawing>
          <wp:inline distT="0" distB="0" distL="0" distR="0" wp14:anchorId="422353A4" wp14:editId="3A5FBD2A">
            <wp:extent cx="3469005" cy="1489184"/>
            <wp:effectExtent l="0" t="0" r="0" b="0"/>
            <wp:docPr id="3868093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90806" cy="1498543"/>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72D93B" w14:textId="0AF32DE6" w:rsidR="00A64017" w:rsidRDefault="00A64017" w:rsidP="00A15B1F">
            <w:pPr>
              <w:spacing w:line="276" w:lineRule="auto"/>
              <w:contextualSpacing/>
              <w:jc w:val="both"/>
              <w:rPr>
                <w:rFonts w:ascii="Verdana" w:hAnsi="Verdana"/>
                <w:sz w:val="16"/>
                <w:szCs w:val="16"/>
              </w:rPr>
            </w:pPr>
            <w:r>
              <w:rPr>
                <w:rFonts w:ascii="Verdana" w:hAnsi="Verdana"/>
                <w:sz w:val="16"/>
                <w:szCs w:val="16"/>
              </w:rPr>
              <w:t>Diana Lucia Saavedra</w:t>
            </w:r>
            <w:r w:rsidR="00E25A6A">
              <w:rPr>
                <w:rFonts w:ascii="Verdana" w:hAnsi="Verdana"/>
                <w:sz w:val="16"/>
                <w:szCs w:val="16"/>
              </w:rPr>
              <w:t xml:space="preserve"> Castañeda</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0"/>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EE849" w14:textId="77777777" w:rsidR="00361698" w:rsidRDefault="00361698" w:rsidP="004A1847">
      <w:pPr>
        <w:spacing w:after="0" w:line="240" w:lineRule="auto"/>
      </w:pPr>
      <w:r>
        <w:separator/>
      </w:r>
    </w:p>
  </w:endnote>
  <w:endnote w:type="continuationSeparator" w:id="0">
    <w:p w14:paraId="084AED2C" w14:textId="77777777" w:rsidR="00361698" w:rsidRDefault="0036169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D4161" w14:textId="77777777" w:rsidR="00361698" w:rsidRDefault="00361698" w:rsidP="004A1847">
      <w:pPr>
        <w:spacing w:after="0" w:line="240" w:lineRule="auto"/>
      </w:pPr>
      <w:r>
        <w:separator/>
      </w:r>
    </w:p>
  </w:footnote>
  <w:footnote w:type="continuationSeparator" w:id="0">
    <w:p w14:paraId="2C3BE1AA" w14:textId="77777777" w:rsidR="00361698" w:rsidRDefault="00361698" w:rsidP="004A1847">
      <w:pPr>
        <w:spacing w:after="0" w:line="240" w:lineRule="auto"/>
      </w:pPr>
      <w:r>
        <w:continuationSeparator/>
      </w:r>
    </w:p>
  </w:footnote>
  <w:footnote w:id="1">
    <w:p w14:paraId="2300628F" w14:textId="77777777" w:rsidR="00C91AF4" w:rsidRPr="00C91AF4" w:rsidRDefault="00C91AF4" w:rsidP="00C91AF4">
      <w:pPr>
        <w:pStyle w:val="Textonotapie"/>
        <w:ind w:firstLine="709"/>
        <w:contextualSpacing/>
        <w:jc w:val="both"/>
        <w:rPr>
          <w:rFonts w:ascii="Verdana" w:hAnsi="Verdana"/>
          <w:sz w:val="16"/>
          <w:szCs w:val="16"/>
          <w:lang w:val="es-CO"/>
        </w:rPr>
      </w:pPr>
      <w:r w:rsidRPr="00C91AF4">
        <w:rPr>
          <w:rStyle w:val="Refdenotaalpie"/>
          <w:rFonts w:ascii="Verdana" w:hAnsi="Verdana"/>
          <w:sz w:val="16"/>
          <w:szCs w:val="16"/>
        </w:rPr>
        <w:footnoteRef/>
      </w:r>
      <w:r w:rsidRPr="00C91AF4">
        <w:rPr>
          <w:rFonts w:ascii="Verdana" w:hAnsi="Verdana"/>
          <w:sz w:val="16"/>
          <w:szCs w:val="16"/>
        </w:rPr>
        <w:t xml:space="preserve"> </w:t>
      </w:r>
      <w:r w:rsidRPr="00C91AF4">
        <w:rPr>
          <w:rFonts w:ascii="Verdana" w:hAnsi="Verdana"/>
          <w:sz w:val="16"/>
          <w:szCs w:val="16"/>
          <w:lang w:val="es-ES"/>
        </w:rPr>
        <w:t>“</w:t>
      </w:r>
      <w:r w:rsidRPr="00C91AF4">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60D1D653" w14:textId="77777777" w:rsidR="00C91AF4" w:rsidRPr="00C91AF4" w:rsidRDefault="00C91AF4" w:rsidP="00C91AF4">
      <w:pPr>
        <w:pStyle w:val="Textonotapie"/>
        <w:contextualSpacing/>
        <w:jc w:val="both"/>
        <w:rPr>
          <w:rFonts w:ascii="Verdana" w:hAnsi="Verdana"/>
          <w:sz w:val="16"/>
          <w:szCs w:val="16"/>
          <w:lang w:val="es-CO"/>
        </w:rPr>
      </w:pPr>
      <w:r w:rsidRPr="00C91AF4">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6D1807D7" w14:textId="77777777" w:rsidR="00C91AF4" w:rsidRPr="00C91AF4" w:rsidRDefault="00C91AF4" w:rsidP="00C91AF4">
      <w:pPr>
        <w:pStyle w:val="Textonotapie"/>
        <w:contextualSpacing/>
        <w:jc w:val="both"/>
        <w:rPr>
          <w:rFonts w:ascii="Verdana" w:hAnsi="Verdana"/>
          <w:sz w:val="16"/>
          <w:szCs w:val="16"/>
          <w:lang w:val="es-CO"/>
        </w:rPr>
      </w:pPr>
    </w:p>
  </w:footnote>
  <w:footnote w:id="2">
    <w:p w14:paraId="4DF1AD34" w14:textId="77777777" w:rsidR="00C91AF4" w:rsidRPr="00C91AF4" w:rsidRDefault="00C91AF4" w:rsidP="00C91AF4">
      <w:pPr>
        <w:pStyle w:val="Textonotapie"/>
        <w:ind w:firstLine="709"/>
        <w:contextualSpacing/>
        <w:jc w:val="both"/>
        <w:rPr>
          <w:rFonts w:ascii="Verdana" w:hAnsi="Verdana"/>
          <w:sz w:val="16"/>
          <w:szCs w:val="16"/>
        </w:rPr>
      </w:pPr>
      <w:r w:rsidRPr="00C91AF4">
        <w:rPr>
          <w:rStyle w:val="Refdenotaalpie"/>
          <w:rFonts w:ascii="Verdana" w:hAnsi="Verdana"/>
          <w:sz w:val="16"/>
          <w:szCs w:val="16"/>
        </w:rPr>
        <w:footnoteRef/>
      </w:r>
      <w:r w:rsidRPr="00C91AF4">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4B8E8586" w14:textId="77777777" w:rsidR="00C91AF4" w:rsidRPr="00C91AF4" w:rsidRDefault="00C91AF4" w:rsidP="00C91AF4">
      <w:pPr>
        <w:pStyle w:val="Textonotapie"/>
        <w:ind w:firstLine="567"/>
        <w:contextualSpacing/>
        <w:jc w:val="both"/>
        <w:rPr>
          <w:rFonts w:ascii="Verdana" w:hAnsi="Verdana"/>
          <w:sz w:val="16"/>
          <w:szCs w:val="16"/>
          <w:lang w:val="es-CO"/>
        </w:rPr>
      </w:pPr>
    </w:p>
  </w:footnote>
  <w:footnote w:id="3">
    <w:p w14:paraId="35A53328" w14:textId="77777777" w:rsidR="00C91AF4" w:rsidRPr="00C91AF4" w:rsidRDefault="00C91AF4" w:rsidP="00C91AF4">
      <w:pPr>
        <w:pStyle w:val="Textonotapie"/>
        <w:ind w:firstLine="709"/>
        <w:rPr>
          <w:rFonts w:ascii="Verdana" w:hAnsi="Verdana"/>
          <w:sz w:val="16"/>
          <w:szCs w:val="16"/>
        </w:rPr>
      </w:pPr>
      <w:r w:rsidRPr="00C91AF4">
        <w:rPr>
          <w:rStyle w:val="Refdenotaalpie"/>
          <w:rFonts w:ascii="Verdana" w:hAnsi="Verdana"/>
          <w:sz w:val="16"/>
          <w:szCs w:val="16"/>
        </w:rPr>
        <w:footnoteRef/>
      </w:r>
      <w:r w:rsidRPr="00C91AF4">
        <w:rPr>
          <w:rFonts w:ascii="Verdana" w:hAnsi="Verdana"/>
          <w:sz w:val="16"/>
          <w:szCs w:val="16"/>
        </w:rPr>
        <w:t xml:space="preserve"> En </w:t>
      </w:r>
      <w:hyperlink r:id="rId1" w:history="1">
        <w:r w:rsidRPr="00C91AF4">
          <w:rPr>
            <w:rStyle w:val="Hipervnculo"/>
            <w:rFonts w:ascii="Verdana" w:hAnsi="Verdana"/>
            <w:sz w:val="16"/>
            <w:szCs w:val="16"/>
            <w:lang w:val="es-CO"/>
          </w:rPr>
          <w:t>cce-eicp-ma-04._manual_requisitos_habilitantes_v3_29-09-2023.pdf</w:t>
        </w:r>
      </w:hyperlink>
    </w:p>
    <w:p w14:paraId="1DA85854" w14:textId="77777777" w:rsidR="00C91AF4" w:rsidRPr="00C91AF4" w:rsidRDefault="00C91AF4" w:rsidP="00C91AF4">
      <w:pPr>
        <w:pStyle w:val="Textonotapie"/>
        <w:ind w:firstLine="709"/>
        <w:rPr>
          <w:rFonts w:ascii="Verdana" w:hAnsi="Verdana"/>
          <w:sz w:val="16"/>
          <w:szCs w:val="16"/>
        </w:rPr>
      </w:pPr>
    </w:p>
  </w:footnote>
  <w:footnote w:id="4">
    <w:p w14:paraId="5E515D57" w14:textId="77777777" w:rsidR="00C91AF4" w:rsidRPr="00C91AF4" w:rsidRDefault="00C91AF4" w:rsidP="00C91AF4">
      <w:pPr>
        <w:pStyle w:val="Textonotapie"/>
        <w:ind w:firstLine="708"/>
        <w:jc w:val="both"/>
        <w:rPr>
          <w:rFonts w:ascii="Verdana" w:hAnsi="Verdana" w:cs="Arial"/>
          <w:sz w:val="16"/>
          <w:szCs w:val="16"/>
        </w:rPr>
      </w:pPr>
      <w:r w:rsidRPr="00C91AF4">
        <w:rPr>
          <w:rStyle w:val="Refdenotaalpie"/>
          <w:rFonts w:ascii="Verdana" w:hAnsi="Verdana" w:cs="Arial"/>
          <w:sz w:val="16"/>
          <w:szCs w:val="16"/>
        </w:rPr>
        <w:footnoteRef/>
      </w:r>
      <w:r w:rsidRPr="00C91AF4">
        <w:rPr>
          <w:rFonts w:ascii="Verdana" w:hAnsi="Verdana" w:cs="Arial"/>
          <w:sz w:val="16"/>
          <w:szCs w:val="16"/>
        </w:rPr>
        <w:t xml:space="preserve"> Colombia Compra Eficiente, Manual para determinar y verificar requisitos habilitantes en los procesos de contratación: </w:t>
      </w:r>
    </w:p>
    <w:p w14:paraId="7276AFBD" w14:textId="77777777" w:rsidR="00C91AF4" w:rsidRPr="00C91AF4" w:rsidRDefault="00C91AF4" w:rsidP="00C91AF4">
      <w:pPr>
        <w:pStyle w:val="Textonotapie"/>
        <w:ind w:firstLine="708"/>
        <w:jc w:val="both"/>
        <w:rPr>
          <w:rFonts w:ascii="Verdana" w:hAnsi="Verdana" w:cs="Arial"/>
          <w:sz w:val="16"/>
          <w:szCs w:val="16"/>
        </w:rPr>
      </w:pPr>
      <w:r w:rsidRPr="00C91AF4">
        <w:rPr>
          <w:rFonts w:ascii="Verdana" w:hAnsi="Verdana" w:cs="Arial"/>
          <w:sz w:val="16"/>
          <w:szCs w:val="16"/>
        </w:rPr>
        <w:t>[...]</w:t>
      </w:r>
    </w:p>
    <w:p w14:paraId="4E40DD65" w14:textId="77777777" w:rsidR="00C91AF4" w:rsidRPr="00C91AF4" w:rsidRDefault="00C91AF4" w:rsidP="00C91AF4">
      <w:pPr>
        <w:pStyle w:val="Textonotapie"/>
        <w:ind w:firstLine="708"/>
        <w:jc w:val="both"/>
        <w:rPr>
          <w:rFonts w:ascii="Verdana" w:hAnsi="Verdana" w:cs="Arial"/>
          <w:sz w:val="16"/>
          <w:szCs w:val="16"/>
        </w:rPr>
      </w:pPr>
      <w:r w:rsidRPr="00C91AF4">
        <w:rPr>
          <w:rFonts w:ascii="Verdana" w:hAnsi="Verdana" w:cs="Arial"/>
          <w:sz w:val="16"/>
          <w:szCs w:val="16"/>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297A4FB9" w14:textId="77777777" w:rsidR="00C91AF4" w:rsidRPr="00C91AF4" w:rsidRDefault="00C91AF4" w:rsidP="00C91AF4">
      <w:pPr>
        <w:pStyle w:val="Textonotapie"/>
        <w:ind w:firstLine="708"/>
        <w:jc w:val="both"/>
        <w:rPr>
          <w:rFonts w:ascii="Verdana" w:hAnsi="Verdana" w:cs="Arial"/>
          <w:sz w:val="16"/>
          <w:szCs w:val="16"/>
        </w:rPr>
      </w:pPr>
      <w:r w:rsidRPr="00C91AF4">
        <w:rPr>
          <w:rFonts w:ascii="Verdana" w:hAnsi="Verdana" w:cs="Arial"/>
          <w:sz w:val="16"/>
          <w:szCs w:val="16"/>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5451327D" w14:textId="77777777" w:rsidR="00C91AF4" w:rsidRPr="00C91AF4" w:rsidRDefault="00C91AF4" w:rsidP="00C91AF4">
      <w:pPr>
        <w:pStyle w:val="Textonotapie"/>
        <w:ind w:firstLine="708"/>
        <w:jc w:val="both"/>
        <w:rPr>
          <w:rFonts w:ascii="Verdana" w:hAnsi="Verdana" w:cs="Arial"/>
          <w:sz w:val="16"/>
          <w:szCs w:val="16"/>
        </w:rPr>
      </w:pPr>
      <w:r w:rsidRPr="00C91AF4">
        <w:rPr>
          <w:rFonts w:ascii="Verdana" w:hAnsi="Verdana" w:cs="Arial"/>
          <w:sz w:val="16"/>
          <w:szCs w:val="16"/>
        </w:rPr>
        <w:t>[...]”.</w:t>
      </w:r>
    </w:p>
    <w:p w14:paraId="4A0ACDC9" w14:textId="77777777" w:rsidR="00C91AF4" w:rsidRPr="00C91AF4" w:rsidRDefault="00C91AF4" w:rsidP="00C91AF4">
      <w:pPr>
        <w:pStyle w:val="Textonotapie"/>
        <w:ind w:firstLine="708"/>
        <w:jc w:val="both"/>
        <w:rPr>
          <w:rFonts w:ascii="Verdana" w:hAnsi="Verdana" w:cs="Arial"/>
          <w:sz w:val="16"/>
          <w:szCs w:val="16"/>
        </w:rPr>
      </w:pPr>
    </w:p>
  </w:footnote>
  <w:footnote w:id="5">
    <w:p w14:paraId="1B8572D6" w14:textId="77777777" w:rsidR="00C91AF4" w:rsidRPr="00C91AF4" w:rsidRDefault="00C91AF4" w:rsidP="00C91AF4">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vertAlign w:val="superscript"/>
          <w:lang w:val="es-ES_tradnl" w:eastAsia="es-ES_tradnl"/>
        </w:rPr>
        <w:t xml:space="preserve"> </w:t>
      </w:r>
      <w:r w:rsidRPr="00C91AF4">
        <w:rPr>
          <w:rFonts w:ascii="Verdana" w:eastAsia="Calibri" w:hAnsi="Verdana" w:cs="Arial"/>
          <w:color w:val="000000"/>
          <w:sz w:val="16"/>
          <w:szCs w:val="16"/>
          <w:lang w:val="es-ES_tradnl" w:eastAsia="es-ES_tradnl"/>
        </w:rPr>
        <w:t>Para la realización de los respectivos análisis del sector de los Procesos de Contratación, esta Agencia recomienda tener en cuenta la última modificación de la “Guía de Elaboración de Estudios del Sector”, que puede ser consultada en el siguiente enlace:</w:t>
      </w:r>
      <w:r w:rsidRPr="00C91AF4">
        <w:rPr>
          <w:rFonts w:ascii="Verdana" w:hAnsi="Verdana"/>
          <w:sz w:val="16"/>
          <w:szCs w:val="16"/>
        </w:rPr>
        <w:t xml:space="preserve"> </w:t>
      </w:r>
      <w:hyperlink r:id="rId2" w:history="1">
        <w:r w:rsidRPr="00C91AF4">
          <w:rPr>
            <w:rStyle w:val="Hipervnculo"/>
            <w:rFonts w:ascii="Verdana" w:eastAsia="Calibri" w:hAnsi="Verdana" w:cs="Arial"/>
            <w:sz w:val="16"/>
            <w:szCs w:val="16"/>
            <w:lang w:val="es-ES_tradnl" w:eastAsia="es-ES_tradnl"/>
          </w:rPr>
          <w:t>https://www.colombiacompra.gov.co/manuales-guias-y-pliegos-tipo/manuales-y-guias</w:t>
        </w:r>
      </w:hyperlink>
      <w:r w:rsidRPr="00C91AF4">
        <w:rPr>
          <w:rFonts w:ascii="Verdana" w:eastAsia="Calibri" w:hAnsi="Verdana" w:cs="Arial"/>
          <w:color w:val="000000"/>
          <w:sz w:val="16"/>
          <w:szCs w:val="16"/>
          <w:lang w:val="es-ES_tradnl" w:eastAsia="es-ES_tradnl"/>
        </w:rPr>
        <w:t>.</w:t>
      </w:r>
    </w:p>
    <w:p w14:paraId="699334E9" w14:textId="77777777" w:rsidR="00C91AF4" w:rsidRPr="00C91AF4" w:rsidRDefault="00C91AF4" w:rsidP="00C91AF4">
      <w:pPr>
        <w:pStyle w:val="Textonotapie"/>
        <w:ind w:firstLine="709"/>
        <w:contextualSpacing/>
        <w:jc w:val="both"/>
        <w:rPr>
          <w:rFonts w:ascii="Verdana" w:eastAsia="Calibri" w:hAnsi="Verdana" w:cs="Arial"/>
          <w:color w:val="000000"/>
          <w:sz w:val="16"/>
          <w:szCs w:val="16"/>
          <w:lang w:val="es-ES_tradnl" w:eastAsia="es-ES_tradnl"/>
        </w:rPr>
      </w:pPr>
    </w:p>
  </w:footnote>
  <w:footnote w:id="6">
    <w:p w14:paraId="4F61BF30" w14:textId="77777777" w:rsidR="00C91AF4" w:rsidRPr="00C91AF4" w:rsidRDefault="00C91AF4" w:rsidP="00C91AF4">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73F06788" w14:textId="77777777" w:rsidR="00C91AF4" w:rsidRPr="00C91AF4" w:rsidRDefault="00C91AF4" w:rsidP="00C91AF4">
      <w:pPr>
        <w:pStyle w:val="Textonotapie"/>
        <w:ind w:firstLine="709"/>
        <w:contextualSpacing/>
        <w:jc w:val="both"/>
        <w:rPr>
          <w:rFonts w:ascii="Verdana" w:eastAsia="Calibri" w:hAnsi="Verdana" w:cs="Arial"/>
          <w:color w:val="000000"/>
          <w:sz w:val="16"/>
          <w:szCs w:val="16"/>
          <w:lang w:val="es-ES_tradnl" w:eastAsia="es-ES_tradnl"/>
        </w:rPr>
      </w:pPr>
    </w:p>
  </w:footnote>
  <w:footnote w:id="7">
    <w:p w14:paraId="68C0B71A" w14:textId="77777777" w:rsidR="00C91AF4" w:rsidRPr="00C91AF4" w:rsidRDefault="00C91AF4" w:rsidP="00C91AF4">
      <w:pPr>
        <w:pStyle w:val="Textoindependiente"/>
        <w:ind w:right="49" w:firstLine="709"/>
        <w:contextualSpacing/>
        <w:jc w:val="both"/>
        <w:rPr>
          <w:rFonts w:ascii="Verdana" w:hAnsi="Verdana"/>
          <w:color w:val="000000" w:themeColor="text1"/>
          <w:sz w:val="16"/>
          <w:szCs w:val="16"/>
        </w:rPr>
      </w:pPr>
      <w:r w:rsidRPr="00C91AF4">
        <w:rPr>
          <w:rStyle w:val="Refdenotaalpie"/>
          <w:rFonts w:ascii="Verdana" w:hAnsi="Verdana"/>
          <w:sz w:val="16"/>
          <w:szCs w:val="16"/>
        </w:rPr>
        <w:footnoteRef/>
      </w:r>
      <w:r w:rsidRPr="00C91AF4">
        <w:rPr>
          <w:rFonts w:ascii="Verdana" w:hAnsi="Verdana"/>
          <w:sz w:val="16"/>
          <w:szCs w:val="16"/>
        </w:rPr>
        <w:t xml:space="preserve"> </w:t>
      </w:r>
      <w:r w:rsidRPr="00C91AF4">
        <w:rPr>
          <w:rFonts w:ascii="Verdana" w:hAnsi="Verdana"/>
          <w:color w:val="000000" w:themeColor="text1"/>
          <w:sz w:val="16"/>
          <w:szCs w:val="16"/>
        </w:rPr>
        <w:t>Ley 80 de 1993: “Artículo 7. De los consorcios y uniones temporales. Para los efectos de esta ley se entiende por: […]</w:t>
      </w:r>
    </w:p>
    <w:p w14:paraId="443D5376" w14:textId="77777777" w:rsidR="00C91AF4" w:rsidRPr="00C91AF4" w:rsidRDefault="00C91AF4" w:rsidP="00C91AF4">
      <w:pPr>
        <w:pStyle w:val="Textoindependiente"/>
        <w:ind w:right="49" w:firstLine="709"/>
        <w:contextualSpacing/>
        <w:jc w:val="both"/>
        <w:rPr>
          <w:rFonts w:ascii="Verdana" w:hAnsi="Verdana"/>
          <w:color w:val="000000" w:themeColor="text1"/>
          <w:sz w:val="16"/>
          <w:szCs w:val="16"/>
        </w:rPr>
      </w:pPr>
      <w:r w:rsidRPr="00C91AF4">
        <w:rPr>
          <w:rFonts w:ascii="Verdana" w:hAnsi="Verdana"/>
          <w:color w:val="000000" w:themeColor="text1"/>
          <w:sz w:val="16"/>
          <w:szCs w:val="16"/>
        </w:rPr>
        <w:t>1.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7FB7A8BC" w14:textId="77777777" w:rsidR="00C91AF4" w:rsidRPr="00C91AF4" w:rsidRDefault="00C91AF4" w:rsidP="00C91AF4">
      <w:pPr>
        <w:pStyle w:val="Textoindependiente"/>
        <w:ind w:right="49" w:firstLine="709"/>
        <w:contextualSpacing/>
        <w:jc w:val="both"/>
        <w:rPr>
          <w:rFonts w:ascii="Verdana" w:hAnsi="Verdana"/>
          <w:color w:val="000000" w:themeColor="text1"/>
          <w:sz w:val="16"/>
          <w:szCs w:val="16"/>
        </w:rPr>
      </w:pPr>
      <w:r w:rsidRPr="00C91AF4">
        <w:rPr>
          <w:rFonts w:ascii="Verdana" w:hAnsi="Verdana"/>
          <w:color w:val="000000" w:themeColor="text1"/>
          <w:sz w:val="16"/>
          <w:szCs w:val="16"/>
        </w:rPr>
        <w:t>2.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p w14:paraId="43D13074" w14:textId="77777777" w:rsidR="00C91AF4" w:rsidRPr="00C91AF4" w:rsidRDefault="00C91AF4" w:rsidP="00C91AF4">
      <w:pPr>
        <w:pStyle w:val="Textoindependiente"/>
        <w:ind w:right="49" w:firstLine="709"/>
        <w:contextualSpacing/>
        <w:jc w:val="both"/>
        <w:rPr>
          <w:rFonts w:ascii="Verdana" w:hAnsi="Verdana"/>
          <w:color w:val="000000" w:themeColor="text1"/>
          <w:sz w:val="16"/>
          <w:szCs w:val="16"/>
        </w:rPr>
      </w:pPr>
    </w:p>
  </w:footnote>
  <w:footnote w:id="8">
    <w:p w14:paraId="4B3CAB3B" w14:textId="77777777" w:rsidR="00C91AF4" w:rsidRPr="00C91AF4" w:rsidRDefault="00C91AF4" w:rsidP="00C91AF4">
      <w:pPr>
        <w:pStyle w:val="Textoindependiente"/>
        <w:ind w:right="51" w:firstLine="709"/>
        <w:contextualSpacing/>
        <w:jc w:val="both"/>
        <w:rPr>
          <w:rFonts w:ascii="Verdana" w:hAnsi="Verdana"/>
          <w:color w:val="000000" w:themeColor="text1"/>
          <w:sz w:val="16"/>
          <w:szCs w:val="16"/>
        </w:rPr>
      </w:pPr>
      <w:r w:rsidRPr="00C91AF4">
        <w:rPr>
          <w:rStyle w:val="Refdenotaalpie"/>
          <w:rFonts w:ascii="Verdana" w:hAnsi="Verdana"/>
          <w:sz w:val="16"/>
          <w:szCs w:val="16"/>
        </w:rPr>
        <w:footnoteRef/>
      </w:r>
      <w:r w:rsidRPr="00C91AF4">
        <w:rPr>
          <w:rFonts w:ascii="Verdana" w:hAnsi="Verdana"/>
          <w:sz w:val="16"/>
          <w:szCs w:val="16"/>
        </w:rPr>
        <w:t xml:space="preserve"> </w:t>
      </w:r>
      <w:r w:rsidRPr="00C91AF4">
        <w:rPr>
          <w:rFonts w:ascii="Verdana" w:hAnsi="Verdana"/>
          <w:color w:val="000000" w:themeColor="text1"/>
          <w:sz w:val="16"/>
          <w:szCs w:val="16"/>
        </w:rPr>
        <w:t>Corte Constitucional, sentencia C-414 del 22 de septiembre de 1996, M.P. Antonio Barrera Carbonell: “El consorcio es una figura propia del derecho privado, utilizado ordinariamente como un instrumento de cooperación entre empresas, cuando requieren asumir una tarea económica particularmente importante, que les permita distribuirse de algún modo los riesgos que pueda implicar la actividad que se acomete, aunar recursos financieros y tecnológicos, y mejorar la disponibilidad de equipos, según el caso, pero conservando los consorciados su independencia jurídica.</w:t>
      </w:r>
    </w:p>
    <w:p w14:paraId="7181CF25" w14:textId="77777777" w:rsidR="00C91AF4" w:rsidRPr="00C91AF4" w:rsidRDefault="00C91AF4" w:rsidP="00C91AF4">
      <w:pPr>
        <w:pStyle w:val="Textoindependiente"/>
        <w:ind w:right="49"/>
        <w:contextualSpacing/>
        <w:jc w:val="both"/>
        <w:rPr>
          <w:rFonts w:ascii="Verdana" w:hAnsi="Verdana"/>
          <w:color w:val="000000" w:themeColor="text1"/>
          <w:sz w:val="16"/>
          <w:szCs w:val="16"/>
        </w:rPr>
      </w:pPr>
      <w:r w:rsidRPr="00C91AF4">
        <w:rPr>
          <w:rFonts w:ascii="Verdana" w:hAnsi="Verdana"/>
          <w:color w:val="000000" w:themeColor="text1"/>
          <w:sz w:val="16"/>
          <w:szCs w:val="16"/>
        </w:rPr>
        <w:t>El artículo 7o. de la mencionada ley se refiere al consorcio, pero en lugar de definir su contenido esencial, ofrece una relación descriptiva de la figura señalando los elementos instrumentales y vinculantes que lo conforman; según la ley,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w:t>
      </w:r>
      <w:r w:rsidRPr="00C91AF4">
        <w:rPr>
          <w:rFonts w:ascii="Verdana" w:hAnsi="Verdana"/>
          <w:color w:val="000000" w:themeColor="text1"/>
          <w:spacing w:val="-6"/>
          <w:sz w:val="16"/>
          <w:szCs w:val="16"/>
        </w:rPr>
        <w:t xml:space="preserve"> </w:t>
      </w:r>
      <w:r w:rsidRPr="00C91AF4">
        <w:rPr>
          <w:rFonts w:ascii="Verdana" w:hAnsi="Verdana"/>
          <w:color w:val="000000" w:themeColor="text1"/>
          <w:sz w:val="16"/>
          <w:szCs w:val="16"/>
        </w:rPr>
        <w:t>contractuales”.</w:t>
      </w:r>
    </w:p>
  </w:footnote>
  <w:footnote w:id="9">
    <w:p w14:paraId="1BF4C10B" w14:textId="77777777" w:rsidR="00C91AF4" w:rsidRPr="00C91AF4" w:rsidRDefault="00C91AF4" w:rsidP="00C91AF4">
      <w:pPr>
        <w:pStyle w:val="Textonotapie"/>
        <w:ind w:firstLine="709"/>
        <w:rPr>
          <w:rFonts w:ascii="Verdana" w:hAnsi="Verdana"/>
          <w:sz w:val="16"/>
          <w:szCs w:val="16"/>
        </w:rPr>
      </w:pPr>
      <w:r w:rsidRPr="00C91AF4">
        <w:rPr>
          <w:rStyle w:val="Refdenotaalpie"/>
          <w:rFonts w:ascii="Verdana" w:hAnsi="Verdana"/>
          <w:sz w:val="16"/>
          <w:szCs w:val="16"/>
        </w:rPr>
        <w:footnoteRef/>
      </w:r>
      <w:r w:rsidRPr="00C91AF4">
        <w:rPr>
          <w:rFonts w:ascii="Verdana" w:hAnsi="Verdana"/>
          <w:sz w:val="16"/>
          <w:szCs w:val="16"/>
        </w:rPr>
        <w:t xml:space="preserve"> En </w:t>
      </w:r>
      <w:hyperlink r:id="rId3" w:history="1">
        <w:r w:rsidRPr="00C91AF4">
          <w:rPr>
            <w:rStyle w:val="Hipervnculo"/>
            <w:rFonts w:ascii="Verdana" w:hAnsi="Verdana"/>
            <w:sz w:val="16"/>
            <w:szCs w:val="16"/>
            <w:lang w:val="es-CO"/>
          </w:rPr>
          <w:t>cce-eicp-ma-04._manual_requisitos_habilitantes_v3_29-09-2023.pdf</w:t>
        </w:r>
      </w:hyperlink>
    </w:p>
    <w:p w14:paraId="179E8D8D" w14:textId="77777777" w:rsidR="00C91AF4" w:rsidRPr="00C91AF4" w:rsidRDefault="00C91AF4" w:rsidP="00C91AF4">
      <w:pPr>
        <w:pStyle w:val="Textonotapie"/>
        <w:rPr>
          <w:rFonts w:ascii="Verdana" w:hAnsi="Verdana"/>
          <w:sz w:val="16"/>
          <w:szCs w:val="16"/>
        </w:rPr>
      </w:pPr>
    </w:p>
  </w:footnote>
  <w:footnote w:id="10">
    <w:p w14:paraId="38A929CC" w14:textId="77777777" w:rsidR="00C91AF4" w:rsidRPr="00AE683E" w:rsidRDefault="00C91AF4" w:rsidP="00C91AF4">
      <w:pPr>
        <w:pStyle w:val="Textonotapie"/>
        <w:ind w:firstLine="708"/>
        <w:contextualSpacing/>
        <w:jc w:val="both"/>
        <w:rPr>
          <w:rFonts w:ascii="Verdana" w:hAnsi="Verdana"/>
          <w:sz w:val="14"/>
          <w:szCs w:val="14"/>
          <w:lang w:val="es-ES"/>
        </w:rPr>
      </w:pPr>
      <w:r w:rsidRPr="00C91AF4">
        <w:rPr>
          <w:rStyle w:val="Refdenotaalpie"/>
          <w:rFonts w:ascii="Verdana" w:hAnsi="Verdana"/>
          <w:sz w:val="16"/>
          <w:szCs w:val="16"/>
        </w:rPr>
        <w:footnoteRef/>
      </w:r>
      <w:r w:rsidRPr="00C91AF4">
        <w:rPr>
          <w:rFonts w:ascii="Verdana" w:hAnsi="Verdana"/>
          <w:sz w:val="16"/>
          <w:szCs w:val="16"/>
        </w:rPr>
        <w:t xml:space="preserve"> Agencia Nacional de Contratación Pública – Colombia Compra Eficiente, </w:t>
      </w:r>
      <w:r w:rsidRPr="00C91AF4">
        <w:rPr>
          <w:rFonts w:ascii="Verdana" w:hAnsi="Verdana"/>
          <w:sz w:val="16"/>
          <w:szCs w:val="16"/>
          <w:lang w:val="es-CO"/>
        </w:rPr>
        <w:t xml:space="preserve">Manual para determinar y verificar los requisitos habilitantes en los procesos de contratación, Disponible en: </w:t>
      </w:r>
      <w:hyperlink r:id="rId4" w:history="1">
        <w:r w:rsidRPr="00C91AF4">
          <w:rPr>
            <w:rStyle w:val="Hipervnculo"/>
            <w:rFonts w:ascii="Verdana" w:hAnsi="Verdana"/>
            <w:sz w:val="16"/>
            <w:szCs w:val="16"/>
          </w:rPr>
          <w:t>https://www.colombiacompra.gov.co/wp-content/uploads/2024/08/cce-eicp-ma-04._manual_requisitos_habilitantes_v3_29-09-2023.pdf</w:t>
        </w:r>
      </w:hyperlink>
      <w:r w:rsidRPr="00AE683E">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380713882">
    <w:abstractNumId w:val="0"/>
  </w:num>
  <w:num w:numId="17" w16cid:durableId="691802391">
    <w:abstractNumId w:val="11"/>
  </w:num>
  <w:num w:numId="18" w16cid:durableId="1290623316">
    <w:abstractNumId w:val="3"/>
  </w:num>
  <w:num w:numId="19" w16cid:durableId="5623273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82362"/>
    <w:rsid w:val="000A683E"/>
    <w:rsid w:val="000B19B9"/>
    <w:rsid w:val="000B4FA5"/>
    <w:rsid w:val="000D0334"/>
    <w:rsid w:val="000F2222"/>
    <w:rsid w:val="000F6486"/>
    <w:rsid w:val="00103B90"/>
    <w:rsid w:val="00125105"/>
    <w:rsid w:val="00127233"/>
    <w:rsid w:val="001511A0"/>
    <w:rsid w:val="00194937"/>
    <w:rsid w:val="001D1756"/>
    <w:rsid w:val="001E4177"/>
    <w:rsid w:val="001F663F"/>
    <w:rsid w:val="001F7DC6"/>
    <w:rsid w:val="00203E0B"/>
    <w:rsid w:val="00205479"/>
    <w:rsid w:val="00215206"/>
    <w:rsid w:val="002421BB"/>
    <w:rsid w:val="00242FED"/>
    <w:rsid w:val="0025796E"/>
    <w:rsid w:val="002707A2"/>
    <w:rsid w:val="002951A0"/>
    <w:rsid w:val="002962BC"/>
    <w:rsid w:val="002A093D"/>
    <w:rsid w:val="002A0DD0"/>
    <w:rsid w:val="002A49AC"/>
    <w:rsid w:val="002A64FD"/>
    <w:rsid w:val="002A7DD8"/>
    <w:rsid w:val="002C0393"/>
    <w:rsid w:val="002C7A84"/>
    <w:rsid w:val="002E4FD9"/>
    <w:rsid w:val="00302C65"/>
    <w:rsid w:val="00310DA4"/>
    <w:rsid w:val="00322A85"/>
    <w:rsid w:val="00323054"/>
    <w:rsid w:val="00324168"/>
    <w:rsid w:val="00324E0B"/>
    <w:rsid w:val="00331CD0"/>
    <w:rsid w:val="003448F4"/>
    <w:rsid w:val="00361698"/>
    <w:rsid w:val="003639A5"/>
    <w:rsid w:val="00374F5E"/>
    <w:rsid w:val="00377E3E"/>
    <w:rsid w:val="00380918"/>
    <w:rsid w:val="003A2E2D"/>
    <w:rsid w:val="003A779E"/>
    <w:rsid w:val="003D0F4D"/>
    <w:rsid w:val="003D5B0D"/>
    <w:rsid w:val="003E0499"/>
    <w:rsid w:val="003E2F6B"/>
    <w:rsid w:val="003F3941"/>
    <w:rsid w:val="00406575"/>
    <w:rsid w:val="004138FA"/>
    <w:rsid w:val="00414C74"/>
    <w:rsid w:val="0042722E"/>
    <w:rsid w:val="0044528D"/>
    <w:rsid w:val="00487F18"/>
    <w:rsid w:val="0049089A"/>
    <w:rsid w:val="00493AF3"/>
    <w:rsid w:val="004A1847"/>
    <w:rsid w:val="004A305D"/>
    <w:rsid w:val="004B50C2"/>
    <w:rsid w:val="004C63BA"/>
    <w:rsid w:val="004F21C4"/>
    <w:rsid w:val="004F685F"/>
    <w:rsid w:val="005566E8"/>
    <w:rsid w:val="00567040"/>
    <w:rsid w:val="00574867"/>
    <w:rsid w:val="005806A6"/>
    <w:rsid w:val="00591460"/>
    <w:rsid w:val="005B3816"/>
    <w:rsid w:val="005B65F1"/>
    <w:rsid w:val="005C3777"/>
    <w:rsid w:val="005C5CDC"/>
    <w:rsid w:val="005C7DAB"/>
    <w:rsid w:val="005D476C"/>
    <w:rsid w:val="0061329B"/>
    <w:rsid w:val="006219F8"/>
    <w:rsid w:val="00631045"/>
    <w:rsid w:val="00637BBF"/>
    <w:rsid w:val="00665D70"/>
    <w:rsid w:val="00675FED"/>
    <w:rsid w:val="006900D9"/>
    <w:rsid w:val="006B2C02"/>
    <w:rsid w:val="006D7121"/>
    <w:rsid w:val="00706C16"/>
    <w:rsid w:val="0072552A"/>
    <w:rsid w:val="0073141C"/>
    <w:rsid w:val="00756841"/>
    <w:rsid w:val="00763E4A"/>
    <w:rsid w:val="007649AB"/>
    <w:rsid w:val="00771D0C"/>
    <w:rsid w:val="007733E9"/>
    <w:rsid w:val="007833AC"/>
    <w:rsid w:val="007B268C"/>
    <w:rsid w:val="007B7171"/>
    <w:rsid w:val="007C0C0F"/>
    <w:rsid w:val="007C3DC2"/>
    <w:rsid w:val="007E5497"/>
    <w:rsid w:val="00806F5F"/>
    <w:rsid w:val="00820278"/>
    <w:rsid w:val="00826A46"/>
    <w:rsid w:val="00836334"/>
    <w:rsid w:val="00867F95"/>
    <w:rsid w:val="008843B6"/>
    <w:rsid w:val="00891928"/>
    <w:rsid w:val="008A30DF"/>
    <w:rsid w:val="008A446D"/>
    <w:rsid w:val="008B22D4"/>
    <w:rsid w:val="008B5BD4"/>
    <w:rsid w:val="008D180B"/>
    <w:rsid w:val="008E2432"/>
    <w:rsid w:val="008F0EA7"/>
    <w:rsid w:val="00916515"/>
    <w:rsid w:val="00923EEF"/>
    <w:rsid w:val="009419F9"/>
    <w:rsid w:val="009552F8"/>
    <w:rsid w:val="0095685E"/>
    <w:rsid w:val="00961B09"/>
    <w:rsid w:val="00965334"/>
    <w:rsid w:val="0097093E"/>
    <w:rsid w:val="00986AC5"/>
    <w:rsid w:val="009A0DFA"/>
    <w:rsid w:val="009A2609"/>
    <w:rsid w:val="009B2D26"/>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800B4"/>
    <w:rsid w:val="00AA1AB8"/>
    <w:rsid w:val="00AB0ADB"/>
    <w:rsid w:val="00AC19F6"/>
    <w:rsid w:val="00AD1D1F"/>
    <w:rsid w:val="00B01B1A"/>
    <w:rsid w:val="00B023E1"/>
    <w:rsid w:val="00B0429C"/>
    <w:rsid w:val="00B23BA1"/>
    <w:rsid w:val="00B2560E"/>
    <w:rsid w:val="00B403F3"/>
    <w:rsid w:val="00B41E30"/>
    <w:rsid w:val="00B45CE8"/>
    <w:rsid w:val="00B66319"/>
    <w:rsid w:val="00B72CD3"/>
    <w:rsid w:val="00B72FFF"/>
    <w:rsid w:val="00B74C13"/>
    <w:rsid w:val="00BA7AA4"/>
    <w:rsid w:val="00BB5A06"/>
    <w:rsid w:val="00BC3D36"/>
    <w:rsid w:val="00BD7F72"/>
    <w:rsid w:val="00BE36F8"/>
    <w:rsid w:val="00C04FB3"/>
    <w:rsid w:val="00C203C3"/>
    <w:rsid w:val="00C330EB"/>
    <w:rsid w:val="00C41061"/>
    <w:rsid w:val="00C63058"/>
    <w:rsid w:val="00C754BE"/>
    <w:rsid w:val="00C76B1C"/>
    <w:rsid w:val="00C84124"/>
    <w:rsid w:val="00C8467B"/>
    <w:rsid w:val="00C90C14"/>
    <w:rsid w:val="00C91AF4"/>
    <w:rsid w:val="00C9219A"/>
    <w:rsid w:val="00CA01D8"/>
    <w:rsid w:val="00CB6357"/>
    <w:rsid w:val="00CC1B26"/>
    <w:rsid w:val="00CE429E"/>
    <w:rsid w:val="00D423A2"/>
    <w:rsid w:val="00D520D8"/>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AFE"/>
    <w:rsid w:val="00E75C92"/>
    <w:rsid w:val="00E771DC"/>
    <w:rsid w:val="00E8182D"/>
    <w:rsid w:val="00E8772A"/>
    <w:rsid w:val="00E90F6B"/>
    <w:rsid w:val="00E92C27"/>
    <w:rsid w:val="00EA0E3D"/>
    <w:rsid w:val="00EA70F7"/>
    <w:rsid w:val="00EC197C"/>
    <w:rsid w:val="00EC38A7"/>
    <w:rsid w:val="00ED706A"/>
    <w:rsid w:val="00ED7384"/>
    <w:rsid w:val="00EE1AA8"/>
    <w:rsid w:val="00EF736C"/>
    <w:rsid w:val="00F30C63"/>
    <w:rsid w:val="00F31EDC"/>
    <w:rsid w:val="00F462B3"/>
    <w:rsid w:val="00F5664F"/>
    <w:rsid w:val="00F666C4"/>
    <w:rsid w:val="00F76AFC"/>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bare22@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ce-eicp-ma-04._manual_requisitos_habilitantes_v3_29-09-2023.pdf" TargetMode="External"/><Relationship Id="rId2" Type="http://schemas.openxmlformats.org/officeDocument/2006/relationships/hyperlink" Target="https://www.colombiacompra.gov.co/manuales-guias-y-pliegos-tipo/manuales-y-guias" TargetMode="External"/><Relationship Id="rId1" Type="http://schemas.openxmlformats.org/officeDocument/2006/relationships/hyperlink" Target="https://www.colombiacompra.gov.co/wp-content/uploads/2024/08/cce-eicp-ma-04._manual_requisitos_habilitantes_v3_29-09-2023.pdf" TargetMode="External"/><Relationship Id="rId4" Type="http://schemas.openxmlformats.org/officeDocument/2006/relationships/hyperlink" Target="https://www.colombiacompra.gov.co/wp-content/uploads/2024/08/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5724EB-9812-4D9D-B3EC-AD5B75C83F61}"/>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15</Pages>
  <Words>4662</Words>
  <Characters>26112</Characters>
  <Application>Microsoft Office Word</Application>
  <DocSecurity>0</DocSecurity>
  <Lines>522</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20</cp:revision>
  <cp:lastPrinted>2023-01-10T21:18:00Z</cp:lastPrinted>
  <dcterms:created xsi:type="dcterms:W3CDTF">2025-08-19T14:54:00Z</dcterms:created>
  <dcterms:modified xsi:type="dcterms:W3CDTF">2025-10-02T13:44:00Z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