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935F1" w14:textId="77777777" w:rsidR="001B2F1A" w:rsidRPr="00642C6A" w:rsidRDefault="001B2F1A" w:rsidP="001B2F1A">
      <w:pPr>
        <w:tabs>
          <w:tab w:val="left" w:pos="6551"/>
        </w:tabs>
        <w:spacing w:after="0" w:line="240" w:lineRule="auto"/>
        <w:jc w:val="both"/>
        <w:rPr>
          <w:rFonts w:ascii="Verdana" w:eastAsia="Times New Roman" w:hAnsi="Verdana" w:cs="Arial"/>
          <w:b/>
          <w:bCs/>
          <w:color w:val="000000"/>
          <w:lang w:eastAsia="es-ES_tradnl"/>
        </w:rPr>
      </w:pPr>
      <w:bookmarkStart w:id="0" w:name="_Hlk181166130"/>
      <w:bookmarkStart w:id="1" w:name="_Hlk209714638"/>
      <w:r w:rsidRPr="00642C6A">
        <w:rPr>
          <w:rFonts w:ascii="Verdana" w:eastAsia="Times New Roman" w:hAnsi="Verdana" w:cs="Arial"/>
          <w:b/>
          <w:bCs/>
          <w:color w:val="000000"/>
          <w:lang w:eastAsia="es-ES_tradnl"/>
        </w:rPr>
        <w:t xml:space="preserve">DECRETO 1860 DE 2021 – Convocatorias limitadas a MiPymes Nacionales – Requisitos </w:t>
      </w:r>
    </w:p>
    <w:p w14:paraId="7FB744A3" w14:textId="77777777" w:rsidR="001B2F1A" w:rsidRPr="00642C6A" w:rsidRDefault="001B2F1A" w:rsidP="001B2F1A">
      <w:pPr>
        <w:tabs>
          <w:tab w:val="left" w:pos="6551"/>
        </w:tabs>
        <w:spacing w:after="0" w:line="240" w:lineRule="auto"/>
        <w:jc w:val="both"/>
        <w:rPr>
          <w:rFonts w:ascii="Verdana" w:eastAsia="Times New Roman" w:hAnsi="Verdana" w:cs="Arial"/>
          <w:b/>
          <w:bCs/>
          <w:color w:val="000000"/>
          <w:lang w:eastAsia="es-ES_tradnl"/>
        </w:rPr>
      </w:pPr>
    </w:p>
    <w:p w14:paraId="34D120E5" w14:textId="77777777" w:rsidR="001B2F1A" w:rsidRPr="00D40E8D" w:rsidRDefault="001B2F1A" w:rsidP="001B2F1A">
      <w:pPr>
        <w:spacing w:after="0" w:line="240" w:lineRule="auto"/>
        <w:jc w:val="both"/>
        <w:rPr>
          <w:rFonts w:ascii="Verdana" w:eastAsia="Arial" w:hAnsi="Verdana" w:cs="Arial"/>
          <w:color w:val="000000"/>
          <w:sz w:val="20"/>
          <w:szCs w:val="20"/>
          <w:lang w:val="es-ES_tradnl"/>
        </w:rPr>
      </w:pPr>
      <w:r w:rsidRPr="00D40E8D">
        <w:rPr>
          <w:rFonts w:ascii="Verdana" w:eastAsia="Arial" w:hAnsi="Verdana" w:cs="Arial"/>
          <w:color w:val="000000"/>
          <w:sz w:val="20"/>
          <w:szCs w:val="20"/>
        </w:rPr>
        <w:t xml:space="preserve">El artículo 2.2.1.2.4.2.2. del Decreto 1082 de 2015 –modificado por el 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 Según se evidencia, el numeral primero limita cuantitativamente los procesos contractuales en los que se puede hacer esa convocatoria limitada a Mipyme, en la medida en que el valor del proceso de contratación tendrá que ser “menor a ciento veinticinco mil dólares de los Estados Unidos de América”. 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w:t>
      </w:r>
      <w:r w:rsidRPr="00D40E8D">
        <w:rPr>
          <w:rFonts w:ascii="Verdana" w:eastAsia="Arial" w:hAnsi="Verdana" w:cs="Arial"/>
          <w:color w:val="000000"/>
          <w:sz w:val="20"/>
          <w:szCs w:val="20"/>
          <w:lang w:val="es-ES_tradnl"/>
        </w:rPr>
        <w:t>o el que haga sus veces de acuerdo con la normativa aplicable a cada proceso de contratación</w:t>
      </w:r>
      <w:r w:rsidRPr="00D40E8D">
        <w:rPr>
          <w:rFonts w:ascii="Verdana" w:eastAsia="Arial" w:hAnsi="Verdana" w:cs="Arial"/>
          <w:color w:val="000000"/>
          <w:sz w:val="20"/>
          <w:szCs w:val="20"/>
        </w:rPr>
        <w:t xml:space="preserve">. Además, la norma señala que, </w:t>
      </w:r>
      <w:r w:rsidRPr="00D40E8D">
        <w:rPr>
          <w:rFonts w:ascii="Verdana" w:eastAsia="Arial" w:hAnsi="Verdana" w:cs="Arial"/>
          <w:color w:val="000000"/>
          <w:sz w:val="20"/>
          <w:szCs w:val="20"/>
          <w:lang w:val="es-ES_tradnl"/>
        </w:rPr>
        <w:t xml:space="preserve">tratándose de personas jurídicas, las solicitudes solo las podrán realizar Mipymes,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Mipymes, siempre que estas cumplan con las condiciones señaladas en el artículo. </w:t>
      </w:r>
    </w:p>
    <w:p w14:paraId="55E7B872" w14:textId="77777777" w:rsidR="001B2F1A" w:rsidRPr="00642C6A" w:rsidRDefault="001B2F1A" w:rsidP="001B2F1A">
      <w:pPr>
        <w:spacing w:after="0" w:line="240" w:lineRule="auto"/>
        <w:jc w:val="both"/>
        <w:rPr>
          <w:rFonts w:ascii="Verdana" w:eastAsia="Arial" w:hAnsi="Verdana" w:cs="Arial"/>
          <w:color w:val="000000"/>
          <w:lang w:val="es-ES_tradnl"/>
        </w:rPr>
      </w:pPr>
    </w:p>
    <w:p w14:paraId="359BE3A7" w14:textId="77777777" w:rsidR="001B2F1A" w:rsidRPr="00642C6A" w:rsidRDefault="001B2F1A" w:rsidP="001B2F1A">
      <w:pPr>
        <w:spacing w:after="0" w:line="240" w:lineRule="auto"/>
        <w:jc w:val="both"/>
        <w:rPr>
          <w:rFonts w:ascii="Verdana" w:hAnsi="Verdana" w:cs="Arial"/>
          <w:color w:val="000000"/>
          <w:shd w:val="clear" w:color="auto" w:fill="FFFFFF"/>
        </w:rPr>
      </w:pPr>
      <w:r w:rsidRPr="00642C6A">
        <w:rPr>
          <w:rFonts w:ascii="Verdana" w:eastAsia="Century Gothic" w:hAnsi="Verdana" w:cs="Century Gothic"/>
          <w:b/>
        </w:rPr>
        <w:t xml:space="preserve">CONVOCATORIAS LIMITADAS A MIPYMES EN EL ÁMBITO TERRITORIAL – Limitación territorial – Facultad discrecional </w:t>
      </w:r>
    </w:p>
    <w:p w14:paraId="38794945" w14:textId="77777777" w:rsidR="001B2F1A" w:rsidRPr="00642C6A" w:rsidRDefault="001B2F1A" w:rsidP="001B2F1A">
      <w:pPr>
        <w:spacing w:after="0"/>
        <w:rPr>
          <w:rFonts w:ascii="Verdana" w:hAnsi="Verdana"/>
        </w:rPr>
      </w:pPr>
    </w:p>
    <w:p w14:paraId="1FFCC079" w14:textId="77777777" w:rsidR="001B2F1A" w:rsidRPr="00D40E8D" w:rsidRDefault="001B2F1A" w:rsidP="001B2F1A">
      <w:pPr>
        <w:spacing w:after="0" w:line="240" w:lineRule="auto"/>
        <w:jc w:val="both"/>
        <w:rPr>
          <w:rFonts w:ascii="Verdana" w:eastAsia="Arial" w:hAnsi="Verdana" w:cs="Arial"/>
          <w:color w:val="000000"/>
          <w:sz w:val="20"/>
          <w:szCs w:val="20"/>
          <w:lang w:val="es-ES"/>
        </w:rPr>
      </w:pPr>
      <w:r w:rsidRPr="00D40E8D">
        <w:rPr>
          <w:rFonts w:ascii="Verdana" w:eastAsia="Arial" w:hAnsi="Verdana" w:cs="Arial"/>
          <w:color w:val="000000" w:themeColor="text1"/>
          <w:sz w:val="20"/>
          <w:szCs w:val="20"/>
          <w:lang w:val="es-ES"/>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previsto en la norma únicamente aplica en el lugar de ejecución del contratado en el que la Mipymes tiene su “domicilio”, y no en donde tiene sucursales. </w:t>
      </w:r>
    </w:p>
    <w:p w14:paraId="3E70A4B8" w14:textId="77777777" w:rsidR="001B2F1A" w:rsidRPr="00D40E8D" w:rsidRDefault="001B2F1A" w:rsidP="001B2F1A">
      <w:pPr>
        <w:spacing w:after="0" w:line="240" w:lineRule="auto"/>
        <w:jc w:val="both"/>
        <w:rPr>
          <w:rFonts w:ascii="Verdana" w:eastAsia="Arial" w:hAnsi="Verdana" w:cs="Arial"/>
          <w:color w:val="000000"/>
          <w:sz w:val="20"/>
          <w:szCs w:val="20"/>
          <w:lang w:val="es-ES"/>
        </w:rPr>
      </w:pPr>
    </w:p>
    <w:p w14:paraId="026BFA9E" w14:textId="77777777" w:rsidR="001B2F1A" w:rsidRPr="00D40E8D" w:rsidRDefault="001B2F1A" w:rsidP="001B2F1A">
      <w:pPr>
        <w:spacing w:after="0" w:line="240" w:lineRule="auto"/>
        <w:jc w:val="both"/>
        <w:rPr>
          <w:rFonts w:ascii="Verdana" w:eastAsia="Arial" w:hAnsi="Verdana" w:cs="Arial"/>
          <w:color w:val="000000"/>
          <w:sz w:val="20"/>
          <w:szCs w:val="20"/>
          <w:lang w:val="es-ES"/>
        </w:rPr>
      </w:pPr>
      <w:r w:rsidRPr="00D40E8D">
        <w:rPr>
          <w:rFonts w:ascii="Verdana" w:eastAsia="Arial" w:hAnsi="Verdana" w:cs="Arial"/>
          <w:color w:val="000000"/>
          <w:sz w:val="20"/>
          <w:szCs w:val="20"/>
          <w:lang w:val="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w:t>
      </w:r>
      <w:r w:rsidRPr="00D40E8D">
        <w:rPr>
          <w:rFonts w:ascii="Verdana" w:eastAsia="Arial" w:hAnsi="Verdana" w:cs="Arial"/>
          <w:i/>
          <w:color w:val="000000"/>
          <w:sz w:val="20"/>
          <w:szCs w:val="20"/>
          <w:lang w:val="es-ES"/>
        </w:rPr>
        <w:t xml:space="preserve">motu proprio </w:t>
      </w:r>
      <w:r w:rsidRPr="00D40E8D">
        <w:rPr>
          <w:rFonts w:ascii="Verdana" w:eastAsia="Arial" w:hAnsi="Verdana" w:cs="Arial"/>
          <w:color w:val="000000"/>
          <w:sz w:val="20"/>
          <w:szCs w:val="2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037A35BA" w14:textId="77777777" w:rsidR="001B2F1A" w:rsidRPr="00D40E8D" w:rsidRDefault="001B2F1A" w:rsidP="001B2F1A">
      <w:pPr>
        <w:spacing w:after="0" w:line="240" w:lineRule="auto"/>
        <w:rPr>
          <w:rFonts w:ascii="Verdana" w:hAnsi="Verdana"/>
          <w:sz w:val="20"/>
          <w:szCs w:val="20"/>
          <w:lang w:val="es-ES"/>
        </w:rPr>
      </w:pPr>
    </w:p>
    <w:p w14:paraId="026BC824" w14:textId="77777777" w:rsidR="001B2F1A" w:rsidRPr="00D40E8D" w:rsidRDefault="001B2F1A" w:rsidP="001B2F1A">
      <w:pPr>
        <w:spacing w:after="0" w:line="240" w:lineRule="auto"/>
        <w:jc w:val="both"/>
        <w:rPr>
          <w:rFonts w:ascii="Verdana" w:eastAsia="Calibri" w:hAnsi="Verdana" w:cs="Arial"/>
          <w:color w:val="000000" w:themeColor="text1"/>
          <w:sz w:val="20"/>
          <w:szCs w:val="20"/>
        </w:rPr>
      </w:pPr>
      <w:r w:rsidRPr="00D40E8D">
        <w:rPr>
          <w:rFonts w:ascii="Verdana" w:eastAsia="Calibri" w:hAnsi="Verdana" w:cs="Arial"/>
          <w:color w:val="000000" w:themeColor="text1"/>
          <w:sz w:val="20"/>
          <w:szCs w:val="20"/>
        </w:rPr>
        <w:lastRenderedPageBreak/>
        <w:t>Colombia Compra Eficiente ha sostenido que la decisión de limitar territorialmente un</w:t>
      </w:r>
      <w:r w:rsidRPr="00D40E8D">
        <w:rPr>
          <w:rFonts w:ascii="Verdana" w:hAnsi="Verdana" w:cs="Arial"/>
          <w:color w:val="000000" w:themeColor="text1"/>
          <w:sz w:val="20"/>
          <w:szCs w:val="20"/>
        </w:rPr>
        <w:t xml:space="preserve">a convocatoria a MiPymes </w:t>
      </w:r>
      <w:r w:rsidRPr="00D40E8D">
        <w:rPr>
          <w:rFonts w:ascii="Verdana" w:eastAsia="Calibri" w:hAnsi="Verdana" w:cs="Arial"/>
          <w:color w:val="000000" w:themeColor="text1"/>
          <w:sz w:val="20"/>
          <w:szCs w:val="20"/>
        </w:rPr>
        <w:t xml:space="preserve">es discrecional de la entidad, sin embargo, la decisión debe estar justificada en los correspondientes “estudios del sector”. Lo anterior por cuanto el </w:t>
      </w:r>
      <w:r w:rsidRPr="00D40E8D">
        <w:rPr>
          <w:rFonts w:ascii="Verdana" w:hAnsi="Verdana" w:cs="Arial"/>
          <w:color w:val="000000" w:themeColor="text1"/>
          <w:sz w:val="20"/>
          <w:szCs w:val="20"/>
        </w:rPr>
        <w:t>artículo 2.2.1.2.4.2.3. del Decreto 1082 de 2015, indicó que las Mipymes</w:t>
      </w:r>
      <w:r w:rsidRPr="00D40E8D">
        <w:rPr>
          <w:rFonts w:ascii="Verdana" w:eastAsia="Calibri" w:hAnsi="Verdana" w:cs="Arial"/>
          <w:color w:val="000000" w:themeColor="text1"/>
          <w:sz w:val="20"/>
          <w:szCs w:val="20"/>
        </w:rPr>
        <w:t xml:space="preserve"> beneficiadas deben tener su domicilio principal en el municipio o departamento donde se ejecutará el contrato para poder participar en una convocatoria limitada territorialmente.</w:t>
      </w:r>
      <w:r w:rsidRPr="00D40E8D">
        <w:rPr>
          <w:rFonts w:ascii="Verdana" w:hAnsi="Verdana" w:cs="Arial"/>
          <w:color w:val="000000" w:themeColor="text1"/>
          <w:sz w:val="20"/>
          <w:szCs w:val="20"/>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7BE9AD96" w14:textId="77777777" w:rsidR="001B2F1A" w:rsidRPr="00642C6A" w:rsidRDefault="001B2F1A" w:rsidP="001B2F1A">
      <w:pPr>
        <w:spacing w:after="0" w:line="240" w:lineRule="auto"/>
        <w:jc w:val="both"/>
        <w:rPr>
          <w:rFonts w:ascii="Verdana" w:eastAsia="Arial" w:hAnsi="Verdana" w:cs="Arial"/>
          <w:color w:val="000000"/>
        </w:rPr>
      </w:pPr>
    </w:p>
    <w:p w14:paraId="4EB53DFF" w14:textId="77777777" w:rsidR="001B2F1A" w:rsidRPr="00642C6A" w:rsidRDefault="001B2F1A" w:rsidP="001B2F1A">
      <w:pPr>
        <w:jc w:val="both"/>
        <w:rPr>
          <w:rFonts w:ascii="Verdana" w:hAnsi="Verdana"/>
          <w:lang w:val="es-ES"/>
        </w:rPr>
      </w:pPr>
      <w:r w:rsidRPr="00642C6A">
        <w:rPr>
          <w:rFonts w:ascii="Verdana" w:hAnsi="Verdana"/>
          <w:b/>
          <w:bCs/>
          <w:lang w:val="es-ES"/>
        </w:rPr>
        <w:t>CONVOCATORIAS LIMITADAS A MIPYME – Limitación territorial – Decreto 1860 de 2021</w:t>
      </w:r>
      <w:r w:rsidRPr="00642C6A">
        <w:rPr>
          <w:rFonts w:ascii="Verdana" w:hAnsi="Verdana"/>
          <w:lang w:val="es-ES"/>
        </w:rPr>
        <w:t xml:space="preserve"> </w:t>
      </w:r>
    </w:p>
    <w:p w14:paraId="1A1835E2" w14:textId="77777777" w:rsidR="001B2F1A" w:rsidRPr="00D40E8D" w:rsidRDefault="001B2F1A" w:rsidP="001B2F1A">
      <w:pPr>
        <w:jc w:val="both"/>
        <w:rPr>
          <w:rFonts w:ascii="Verdana" w:hAnsi="Verdana"/>
          <w:sz w:val="20"/>
          <w:szCs w:val="20"/>
        </w:rPr>
      </w:pPr>
      <w:r w:rsidRPr="00D40E8D">
        <w:rPr>
          <w:rFonts w:ascii="Verdana" w:hAnsi="Verdana"/>
          <w:sz w:val="20"/>
          <w:szCs w:val="20"/>
        </w:rPr>
        <w:t xml:space="preserve">[…] lo que debe adoptarse obligatoriamente es la limitación a MiPymes colombianas siempre que se cumplan las condiciones del artículo 2.2.1.2.4.2.2 del Decreto 1082 de 2015, pero no la “limitación territorial” referida en el artículo 2.2.1.2.4.2.3 Ibidem, pues esta es facultativa para la entidad. Las únicas exigencias son que la convocatoria esté limitada a las MiPymes colombianas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14:paraId="2DD7D534" w14:textId="77777777" w:rsidR="001B2F1A" w:rsidRPr="00D40E8D" w:rsidRDefault="001B2F1A" w:rsidP="001B2F1A">
      <w:pPr>
        <w:jc w:val="both"/>
        <w:rPr>
          <w:rFonts w:ascii="Verdana" w:hAnsi="Verdana"/>
          <w:sz w:val="20"/>
          <w:szCs w:val="20"/>
        </w:rPr>
      </w:pPr>
      <w:r w:rsidRPr="00D40E8D">
        <w:rPr>
          <w:rFonts w:ascii="Verdana" w:hAnsi="Verdana"/>
          <w:sz w:val="20"/>
          <w:szCs w:val="20"/>
        </w:rPr>
        <w:t>En resumen, la decisión de limitar o no territorialmente una convocatoria limitada a MiPymes nacionales es una facultad discrecional, de manera que la entidad contratante valorará si es oportuno y conveniente adoptarla.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w:t>
      </w:r>
    </w:p>
    <w:p w14:paraId="4C1AE4E9" w14:textId="77777777" w:rsidR="001B2F1A" w:rsidRDefault="001B2F1A" w:rsidP="001B2F1A">
      <w:pPr>
        <w:tabs>
          <w:tab w:val="left" w:pos="6551"/>
        </w:tabs>
        <w:spacing w:after="0" w:line="240" w:lineRule="auto"/>
        <w:jc w:val="both"/>
        <w:rPr>
          <w:rFonts w:ascii="Verdana" w:eastAsia="Arial" w:hAnsi="Verdana" w:cs="Arial"/>
          <w:color w:val="000000"/>
          <w:sz w:val="20"/>
          <w:szCs w:val="20"/>
        </w:rPr>
      </w:pPr>
    </w:p>
    <w:p w14:paraId="3ECCA140" w14:textId="77777777" w:rsidR="001B2F1A" w:rsidRDefault="001B2F1A" w:rsidP="001B2F1A">
      <w:pPr>
        <w:tabs>
          <w:tab w:val="left" w:pos="6551"/>
        </w:tabs>
        <w:spacing w:after="0" w:line="240" w:lineRule="auto"/>
        <w:jc w:val="both"/>
        <w:rPr>
          <w:rFonts w:ascii="Verdana" w:eastAsia="Arial" w:hAnsi="Verdana" w:cs="Arial"/>
          <w:color w:val="000000"/>
          <w:sz w:val="20"/>
          <w:szCs w:val="20"/>
        </w:rPr>
      </w:pPr>
    </w:p>
    <w:p w14:paraId="4B52EF96" w14:textId="77777777" w:rsidR="001B2F1A" w:rsidRPr="00C75BA7" w:rsidRDefault="001B2F1A" w:rsidP="001B2F1A">
      <w:pPr>
        <w:tabs>
          <w:tab w:val="left" w:pos="6551"/>
        </w:tabs>
        <w:spacing w:after="0" w:line="240" w:lineRule="auto"/>
        <w:jc w:val="both"/>
        <w:rPr>
          <w:rFonts w:ascii="Verdana" w:eastAsia="Times New Roman" w:hAnsi="Verdana" w:cs="Arial"/>
          <w:b/>
          <w:bCs/>
          <w:color w:val="000000"/>
          <w:sz w:val="20"/>
          <w:szCs w:val="20"/>
          <w:lang w:val="es-ES" w:eastAsia="es-ES_tradnl"/>
        </w:rPr>
      </w:pPr>
    </w:p>
    <w:p w14:paraId="47BE3771" w14:textId="77777777" w:rsidR="001B2F1A" w:rsidRDefault="001B2F1A" w:rsidP="001B2F1A">
      <w:pPr>
        <w:tabs>
          <w:tab w:val="left" w:pos="6551"/>
        </w:tabs>
        <w:spacing w:after="0" w:line="240" w:lineRule="auto"/>
        <w:jc w:val="both"/>
        <w:rPr>
          <w:rFonts w:ascii="Verdana" w:eastAsia="Calibri" w:hAnsi="Verdana" w:cs="Arial"/>
          <w:b/>
          <w:color w:val="000000"/>
          <w:sz w:val="20"/>
          <w:szCs w:val="20"/>
          <w:lang w:val="es-ES_tradnl" w:eastAsia="es-ES_tradnl"/>
        </w:rPr>
      </w:pPr>
    </w:p>
    <w:p w14:paraId="6761BDBE" w14:textId="77777777" w:rsidR="001B2F1A" w:rsidRDefault="001B2F1A" w:rsidP="001B2F1A">
      <w:pPr>
        <w:tabs>
          <w:tab w:val="left" w:pos="6551"/>
        </w:tabs>
        <w:spacing w:after="0" w:line="240" w:lineRule="auto"/>
        <w:jc w:val="both"/>
        <w:rPr>
          <w:rFonts w:ascii="Verdana" w:eastAsia="Calibri" w:hAnsi="Verdana" w:cs="Arial"/>
          <w:b/>
          <w:color w:val="000000"/>
          <w:sz w:val="20"/>
          <w:szCs w:val="20"/>
          <w:lang w:val="es-ES_tradnl" w:eastAsia="es-ES_tradnl"/>
        </w:rPr>
      </w:pPr>
    </w:p>
    <w:p w14:paraId="2BB91E1B" w14:textId="77777777" w:rsidR="001B2F1A" w:rsidRDefault="001B2F1A" w:rsidP="001B2F1A">
      <w:pPr>
        <w:tabs>
          <w:tab w:val="left" w:pos="6551"/>
        </w:tabs>
        <w:spacing w:after="0" w:line="240" w:lineRule="auto"/>
        <w:jc w:val="both"/>
        <w:rPr>
          <w:rFonts w:ascii="Verdana" w:eastAsia="Calibri" w:hAnsi="Verdana" w:cs="Arial"/>
          <w:b/>
          <w:color w:val="000000"/>
          <w:sz w:val="20"/>
          <w:szCs w:val="20"/>
          <w:lang w:val="es-ES_tradnl" w:eastAsia="es-ES_tradnl"/>
        </w:rPr>
      </w:pPr>
    </w:p>
    <w:p w14:paraId="77C4C3DA" w14:textId="77777777" w:rsidR="001B2F1A" w:rsidRDefault="001B2F1A" w:rsidP="001B2F1A">
      <w:pPr>
        <w:tabs>
          <w:tab w:val="left" w:pos="6551"/>
        </w:tabs>
        <w:spacing w:after="0" w:line="240" w:lineRule="auto"/>
        <w:jc w:val="both"/>
        <w:rPr>
          <w:rFonts w:ascii="Verdana" w:eastAsia="Calibri" w:hAnsi="Verdana" w:cs="Arial"/>
          <w:b/>
          <w:color w:val="000000"/>
          <w:sz w:val="20"/>
          <w:szCs w:val="20"/>
          <w:lang w:val="es-ES_tradnl" w:eastAsia="es-ES_tradnl"/>
        </w:rPr>
      </w:pPr>
    </w:p>
    <w:p w14:paraId="529A7E6D" w14:textId="77777777" w:rsidR="001B2F1A" w:rsidRDefault="001B2F1A" w:rsidP="001B2F1A">
      <w:pPr>
        <w:spacing w:after="0" w:line="240" w:lineRule="auto"/>
        <w:rPr>
          <w:rFonts w:ascii="Verdana" w:hAnsi="Verdana"/>
        </w:rPr>
      </w:pPr>
    </w:p>
    <w:p w14:paraId="227B775D" w14:textId="77777777" w:rsidR="00D40E8D" w:rsidRDefault="00D40E8D" w:rsidP="001B2F1A">
      <w:pPr>
        <w:spacing w:after="0" w:line="240" w:lineRule="auto"/>
        <w:rPr>
          <w:rFonts w:ascii="Verdana" w:hAnsi="Verdana"/>
        </w:rPr>
      </w:pPr>
    </w:p>
    <w:p w14:paraId="6C20323B" w14:textId="77777777" w:rsidR="00D40E8D" w:rsidRDefault="00D40E8D" w:rsidP="001B2F1A">
      <w:pPr>
        <w:spacing w:after="0" w:line="240" w:lineRule="auto"/>
        <w:rPr>
          <w:rFonts w:ascii="Verdana" w:hAnsi="Verdana"/>
        </w:rPr>
      </w:pPr>
    </w:p>
    <w:p w14:paraId="39C61E97" w14:textId="759EE766" w:rsidR="001B2F1A" w:rsidRPr="00D926DB" w:rsidRDefault="006F15CA" w:rsidP="001B2F1A">
      <w:pPr>
        <w:spacing w:after="0" w:line="240" w:lineRule="auto"/>
        <w:rPr>
          <w:rFonts w:ascii="Verdana" w:hAnsi="Verdana"/>
        </w:rPr>
      </w:pPr>
      <w:r w:rsidRPr="006F15CA">
        <w:rPr>
          <w:rFonts w:ascii="Verdana" w:hAnsi="Verdana"/>
        </w:rPr>
        <w:lastRenderedPageBreak/>
        <w:t>Bogotá D.C., 30 de septiembre de 2025.</w:t>
      </w:r>
      <w:r>
        <w:rPr>
          <w:rFonts w:ascii="Verdana" w:hAnsi="Verdana"/>
        </w:rPr>
        <w:t xml:space="preserve"> </w:t>
      </w:r>
    </w:p>
    <w:bookmarkEnd w:id="0"/>
    <w:p w14:paraId="3CD7A9FA" w14:textId="1673DCA9" w:rsidR="001B2F1A" w:rsidRDefault="006F15CA" w:rsidP="001B2F1A">
      <w:pPr>
        <w:spacing w:after="0" w:line="240" w:lineRule="auto"/>
        <w:rPr>
          <w:rFonts w:ascii="Verdana" w:hAnsi="Verdana"/>
        </w:rPr>
      </w:pPr>
      <w:r w:rsidRPr="006F15CA">
        <w:rPr>
          <w:rFonts w:ascii="Verdana" w:hAnsi="Verdana"/>
          <w:noProof/>
        </w:rPr>
        <w:drawing>
          <wp:anchor distT="0" distB="0" distL="114300" distR="114300" simplePos="0" relativeHeight="251658240" behindDoc="1" locked="0" layoutInCell="1" allowOverlap="1" wp14:anchorId="7E079D83" wp14:editId="0A5DFA8B">
            <wp:simplePos x="0" y="0"/>
            <wp:positionH relativeFrom="column">
              <wp:posOffset>3425190</wp:posOffset>
            </wp:positionH>
            <wp:positionV relativeFrom="paragraph">
              <wp:posOffset>172720</wp:posOffset>
            </wp:positionV>
            <wp:extent cx="2543175" cy="771525"/>
            <wp:effectExtent l="0" t="0" r="9525" b="9525"/>
            <wp:wrapTight wrapText="bothSides">
              <wp:wrapPolygon edited="0">
                <wp:start x="0" y="0"/>
                <wp:lineTo x="0" y="21333"/>
                <wp:lineTo x="21519" y="21333"/>
                <wp:lineTo x="21519" y="0"/>
                <wp:lineTo x="0" y="0"/>
              </wp:wrapPolygon>
            </wp:wrapTight>
            <wp:docPr id="55259757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597571"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543175" cy="771525"/>
                    </a:xfrm>
                    <a:prstGeom prst="rect">
                      <a:avLst/>
                    </a:prstGeom>
                  </pic:spPr>
                </pic:pic>
              </a:graphicData>
            </a:graphic>
          </wp:anchor>
        </w:drawing>
      </w:r>
    </w:p>
    <w:p w14:paraId="07FDB238" w14:textId="6681A3C0" w:rsidR="006F15CA" w:rsidRDefault="006F15CA" w:rsidP="001B2F1A">
      <w:pPr>
        <w:spacing w:after="0" w:line="240" w:lineRule="auto"/>
        <w:rPr>
          <w:rFonts w:ascii="Verdana" w:hAnsi="Verdana"/>
        </w:rPr>
      </w:pPr>
    </w:p>
    <w:p w14:paraId="73C927BC" w14:textId="77777777" w:rsidR="006F15CA" w:rsidRPr="00D926DB" w:rsidRDefault="006F15CA" w:rsidP="001B2F1A">
      <w:pPr>
        <w:spacing w:after="0" w:line="240" w:lineRule="auto"/>
        <w:rPr>
          <w:rFonts w:ascii="Verdana" w:hAnsi="Verdana"/>
        </w:rPr>
      </w:pPr>
    </w:p>
    <w:p w14:paraId="38A0A879" w14:textId="4C649146" w:rsidR="001B2F1A" w:rsidRPr="006F15CA" w:rsidRDefault="001B2F1A" w:rsidP="001B2F1A">
      <w:pPr>
        <w:spacing w:after="0" w:line="240" w:lineRule="auto"/>
        <w:jc w:val="both"/>
        <w:rPr>
          <w:rFonts w:ascii="Verdana" w:eastAsia="Calibri" w:hAnsi="Verdana" w:cs="Arial"/>
          <w:lang w:val="en-US" w:eastAsia="es-ES"/>
        </w:rPr>
      </w:pPr>
      <w:r w:rsidRPr="006F15CA">
        <w:rPr>
          <w:rFonts w:ascii="Verdana" w:eastAsia="Calibri" w:hAnsi="Verdana" w:cs="Arial"/>
          <w:lang w:val="en-US" w:eastAsia="es-ES"/>
        </w:rPr>
        <w:t>Señor</w:t>
      </w:r>
      <w:r w:rsidRPr="006F15CA">
        <w:rPr>
          <w:rFonts w:ascii="Verdana" w:eastAsia="Calibri" w:hAnsi="Verdana" w:cs="Arial"/>
          <w:lang w:val="en-US" w:eastAsia="es-ES"/>
        </w:rPr>
        <w:tab/>
      </w:r>
    </w:p>
    <w:p w14:paraId="066C084C" w14:textId="2308FAF7" w:rsidR="001B2F1A" w:rsidRPr="006F15CA" w:rsidRDefault="00D926DB" w:rsidP="001B2F1A">
      <w:pPr>
        <w:spacing w:after="0" w:line="240" w:lineRule="auto"/>
        <w:rPr>
          <w:rFonts w:ascii="Verdana" w:eastAsia="Calibri" w:hAnsi="Verdana" w:cs="Arial"/>
          <w:b/>
          <w:bCs/>
          <w:lang w:val="en-US" w:eastAsia="es-ES"/>
        </w:rPr>
      </w:pPr>
      <w:r w:rsidRPr="006F15CA">
        <w:rPr>
          <w:rFonts w:ascii="Verdana" w:eastAsia="Calibri" w:hAnsi="Verdana" w:cs="Arial"/>
          <w:b/>
          <w:bCs/>
          <w:lang w:val="en-US" w:eastAsia="es-ES"/>
        </w:rPr>
        <w:t xml:space="preserve">William Sneyder </w:t>
      </w:r>
      <w:bookmarkStart w:id="2" w:name="_Hlk210032883"/>
      <w:r w:rsidRPr="006F15CA">
        <w:rPr>
          <w:rFonts w:ascii="Verdana" w:eastAsia="Calibri" w:hAnsi="Verdana" w:cs="Arial"/>
          <w:b/>
          <w:bCs/>
          <w:lang w:val="en-US" w:eastAsia="es-ES"/>
        </w:rPr>
        <w:t>Montealegre</w:t>
      </w:r>
      <w:bookmarkEnd w:id="2"/>
      <w:r w:rsidRPr="006F15CA">
        <w:rPr>
          <w:rFonts w:ascii="Verdana" w:eastAsia="Calibri" w:hAnsi="Verdana" w:cs="Arial"/>
          <w:b/>
          <w:bCs/>
          <w:lang w:val="en-US" w:eastAsia="es-ES"/>
        </w:rPr>
        <w:t xml:space="preserve"> Rojas</w:t>
      </w:r>
    </w:p>
    <w:p w14:paraId="7986F305" w14:textId="77777777" w:rsidR="001B2F1A" w:rsidRPr="006F15CA" w:rsidRDefault="001B2F1A" w:rsidP="001B2F1A">
      <w:pPr>
        <w:spacing w:after="0" w:line="240" w:lineRule="auto"/>
        <w:rPr>
          <w:rFonts w:ascii="Verdana" w:hAnsi="Verdana"/>
          <w:lang w:val="en-US"/>
        </w:rPr>
      </w:pPr>
      <w:hyperlink r:id="rId12" w:history="1">
        <w:r w:rsidRPr="006F15CA">
          <w:rPr>
            <w:rStyle w:val="Hipervnculo"/>
            <w:rFonts w:ascii="Verdana" w:hAnsi="Verdana"/>
            <w:lang w:val="en-US"/>
          </w:rPr>
          <w:t>william.ingamb@gmail.com</w:t>
        </w:r>
      </w:hyperlink>
      <w:r w:rsidRPr="006F15CA">
        <w:rPr>
          <w:rFonts w:ascii="Verdana" w:hAnsi="Verdana"/>
          <w:lang w:val="en-US"/>
        </w:rPr>
        <w:t xml:space="preserve"> </w:t>
      </w:r>
    </w:p>
    <w:p w14:paraId="4925F57C" w14:textId="77777777" w:rsidR="001B2F1A" w:rsidRPr="00D926DB" w:rsidRDefault="001B2F1A" w:rsidP="001B2F1A">
      <w:pPr>
        <w:spacing w:after="0" w:line="240" w:lineRule="auto"/>
        <w:rPr>
          <w:rFonts w:ascii="Verdana" w:hAnsi="Verdana"/>
        </w:rPr>
      </w:pPr>
      <w:r w:rsidRPr="00D926DB">
        <w:rPr>
          <w:rFonts w:ascii="Verdana" w:hAnsi="Verdana"/>
        </w:rPr>
        <w:t>Pitalito (Huila)</w:t>
      </w:r>
    </w:p>
    <w:p w14:paraId="50477AD3" w14:textId="77777777" w:rsidR="001B2F1A" w:rsidRPr="00D926DB" w:rsidRDefault="001B2F1A" w:rsidP="001B2F1A">
      <w:pPr>
        <w:spacing w:after="0" w:line="240" w:lineRule="auto"/>
        <w:rPr>
          <w:rFonts w:ascii="Verdana" w:eastAsia="Calibri" w:hAnsi="Verdana" w:cs="Arial"/>
          <w:color w:val="000000"/>
          <w:lang w:val="es-ES_tradnl" w:eastAsia="es-ES_tradnl"/>
        </w:rPr>
      </w:pPr>
    </w:p>
    <w:p w14:paraId="06A47FA7" w14:textId="77777777" w:rsidR="00D926DB" w:rsidRPr="00D926DB" w:rsidRDefault="00D926DB" w:rsidP="001B2F1A">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1B2F1A" w:rsidRPr="00593A5F" w14:paraId="6645CFE5" w14:textId="77777777" w:rsidTr="00E11A84">
        <w:trPr>
          <w:trHeight w:val="273"/>
        </w:trPr>
        <w:tc>
          <w:tcPr>
            <w:tcW w:w="2295" w:type="dxa"/>
          </w:tcPr>
          <w:p w14:paraId="613FD641" w14:textId="77777777" w:rsidR="001B2F1A" w:rsidRPr="00D926DB" w:rsidRDefault="001B2F1A" w:rsidP="00E11A84">
            <w:pPr>
              <w:jc w:val="both"/>
              <w:rPr>
                <w:rFonts w:ascii="Verdana" w:eastAsia="Calibri" w:hAnsi="Verdana" w:cs="Arial"/>
                <w:b/>
                <w:bCs/>
                <w:color w:val="7030A0"/>
                <w:lang w:val="es-ES_tradnl" w:eastAsia="es-ES_tradnl"/>
              </w:rPr>
            </w:pPr>
          </w:p>
        </w:tc>
        <w:tc>
          <w:tcPr>
            <w:tcW w:w="6481" w:type="dxa"/>
            <w:gridSpan w:val="2"/>
          </w:tcPr>
          <w:p w14:paraId="690B6124" w14:textId="77777777" w:rsidR="001B2F1A" w:rsidRPr="00D926DB" w:rsidRDefault="001B2F1A" w:rsidP="00E11A84">
            <w:pPr>
              <w:jc w:val="both"/>
              <w:rPr>
                <w:rFonts w:ascii="Verdana" w:eastAsia="Calibri" w:hAnsi="Verdana" w:cs="Arial"/>
                <w:b/>
                <w:bCs/>
                <w:lang w:val="es-ES" w:eastAsia="es-ES"/>
              </w:rPr>
            </w:pPr>
            <w:r w:rsidRPr="00D926DB">
              <w:rPr>
                <w:rFonts w:ascii="Verdana" w:eastAsia="Calibri" w:hAnsi="Verdana" w:cs="Arial"/>
                <w:b/>
                <w:bCs/>
                <w:lang w:val="es-ES" w:eastAsia="es-ES"/>
              </w:rPr>
              <w:t>Concepto C- 1161 de 2025</w:t>
            </w:r>
          </w:p>
          <w:p w14:paraId="749A80A2" w14:textId="77777777" w:rsidR="001B2F1A" w:rsidRPr="00D926DB" w:rsidRDefault="001B2F1A" w:rsidP="00E11A84">
            <w:pPr>
              <w:jc w:val="both"/>
              <w:rPr>
                <w:rFonts w:ascii="Verdana" w:eastAsia="Calibri" w:hAnsi="Verdana" w:cs="Arial"/>
                <w:b/>
                <w:bCs/>
                <w:color w:val="7030A0"/>
                <w:lang w:val="es-ES" w:eastAsia="es-ES"/>
              </w:rPr>
            </w:pPr>
          </w:p>
        </w:tc>
      </w:tr>
      <w:tr w:rsidR="001B2F1A" w:rsidRPr="00280D79" w14:paraId="096B334C" w14:textId="77777777" w:rsidTr="00E11A84">
        <w:trPr>
          <w:trHeight w:val="1583"/>
        </w:trPr>
        <w:tc>
          <w:tcPr>
            <w:tcW w:w="2295" w:type="dxa"/>
          </w:tcPr>
          <w:p w14:paraId="1F456693" w14:textId="77777777" w:rsidR="001B2F1A" w:rsidRPr="00D926DB" w:rsidRDefault="001B2F1A" w:rsidP="00E11A84">
            <w:pPr>
              <w:jc w:val="both"/>
              <w:rPr>
                <w:rFonts w:ascii="Verdana" w:eastAsia="Calibri" w:hAnsi="Verdana" w:cs="Arial"/>
                <w:color w:val="000000"/>
                <w:lang w:val="es-ES_tradnl" w:eastAsia="es-ES_tradnl"/>
              </w:rPr>
            </w:pPr>
            <w:r w:rsidRPr="00D926DB">
              <w:rPr>
                <w:rFonts w:ascii="Verdana" w:eastAsia="Calibri" w:hAnsi="Verdana" w:cs="Arial"/>
                <w:b/>
                <w:color w:val="000000"/>
                <w:lang w:val="es-ES_tradnl" w:eastAsia="es-ES_tradnl"/>
              </w:rPr>
              <w:t>Temas:</w:t>
            </w:r>
            <w:r w:rsidRPr="00D926DB">
              <w:rPr>
                <w:rFonts w:ascii="Verdana" w:eastAsia="Calibri" w:hAnsi="Verdana" w:cs="Arial"/>
                <w:color w:val="000000"/>
                <w:lang w:val="es-ES_tradnl" w:eastAsia="es-ES_tradnl"/>
              </w:rPr>
              <w:t xml:space="preserve">                   </w:t>
            </w:r>
          </w:p>
        </w:tc>
        <w:tc>
          <w:tcPr>
            <w:tcW w:w="6481" w:type="dxa"/>
            <w:gridSpan w:val="2"/>
          </w:tcPr>
          <w:p w14:paraId="447CDBD6" w14:textId="4925F655" w:rsidR="001B2F1A" w:rsidRPr="00D926DB" w:rsidRDefault="001B2F1A" w:rsidP="00E11A84">
            <w:pPr>
              <w:jc w:val="both"/>
              <w:rPr>
                <w:rFonts w:ascii="Verdana" w:hAnsi="Verdana"/>
              </w:rPr>
            </w:pPr>
            <w:r w:rsidRPr="00D926DB">
              <w:rPr>
                <w:rFonts w:ascii="Verdana" w:hAnsi="Verdana"/>
              </w:rPr>
              <w:t>CONVOCATORIAS LIMITADAS A MIPYMES NACIONALES – Requisitos / CONVOCATORIAS LIMITADAS A MIPYMES EN EL ÁMBITO TERRITORIAL – Limitación territorial – Facultad discrecional / CONVOCATORIAS LIMITADAS A MIPYME – Limitación territorial – Decreto 1860 de 2021</w:t>
            </w:r>
          </w:p>
          <w:p w14:paraId="7C9208DE" w14:textId="77777777" w:rsidR="001B2F1A" w:rsidRPr="00D926DB" w:rsidRDefault="001B2F1A" w:rsidP="00E11A84">
            <w:pPr>
              <w:jc w:val="both"/>
              <w:rPr>
                <w:rFonts w:ascii="Verdana" w:eastAsia="Calibri" w:hAnsi="Verdana" w:cs="Arial"/>
                <w:b/>
                <w:highlight w:val="yellow"/>
                <w:lang w:val="es-ES" w:eastAsia="es-ES"/>
              </w:rPr>
            </w:pPr>
          </w:p>
        </w:tc>
      </w:tr>
      <w:tr w:rsidR="001B2F1A" w:rsidRPr="00593A5F" w14:paraId="79E6C72F" w14:textId="77777777" w:rsidTr="00E11A84">
        <w:trPr>
          <w:trHeight w:val="545"/>
        </w:trPr>
        <w:tc>
          <w:tcPr>
            <w:tcW w:w="2295" w:type="dxa"/>
          </w:tcPr>
          <w:p w14:paraId="709BADD1" w14:textId="77777777" w:rsidR="001B2F1A" w:rsidRPr="00D926DB" w:rsidRDefault="001B2F1A" w:rsidP="00E11A84">
            <w:pPr>
              <w:jc w:val="both"/>
              <w:rPr>
                <w:rFonts w:ascii="Verdana" w:eastAsia="Calibri" w:hAnsi="Verdana" w:cs="Arial"/>
                <w:b/>
                <w:lang w:val="es-ES_tradnl" w:eastAsia="es-ES_tradnl"/>
              </w:rPr>
            </w:pPr>
            <w:r w:rsidRPr="00D926DB">
              <w:rPr>
                <w:rFonts w:ascii="Verdana" w:eastAsia="Calibri" w:hAnsi="Verdana" w:cs="Arial"/>
                <w:b/>
                <w:lang w:val="es-ES_tradnl" w:eastAsia="es-ES_tradnl"/>
              </w:rPr>
              <w:t>Radicación:</w:t>
            </w:r>
            <w:r w:rsidRPr="00D926DB">
              <w:rPr>
                <w:rFonts w:ascii="Verdana" w:eastAsia="Calibri" w:hAnsi="Verdana" w:cs="Arial"/>
                <w:lang w:val="es-ES_tradnl" w:eastAsia="es-ES_tradnl"/>
              </w:rPr>
              <w:t xml:space="preserve">               </w:t>
            </w:r>
          </w:p>
        </w:tc>
        <w:tc>
          <w:tcPr>
            <w:tcW w:w="6481" w:type="dxa"/>
            <w:gridSpan w:val="2"/>
          </w:tcPr>
          <w:p w14:paraId="1F682882" w14:textId="77777777" w:rsidR="001B2F1A" w:rsidRPr="00D926DB" w:rsidRDefault="001B2F1A" w:rsidP="00E11A84">
            <w:pPr>
              <w:jc w:val="both"/>
              <w:rPr>
                <w:rFonts w:ascii="Verdana" w:eastAsia="Calibri" w:hAnsi="Verdana" w:cs="Arial"/>
                <w:lang w:val="es-ES_tradnl" w:eastAsia="es-ES_tradnl"/>
              </w:rPr>
            </w:pPr>
            <w:r w:rsidRPr="00D926DB">
              <w:rPr>
                <w:rFonts w:ascii="Verdana" w:eastAsia="Calibri" w:hAnsi="Verdana" w:cs="Arial"/>
                <w:lang w:val="es-ES_tradnl" w:eastAsia="es-ES_tradnl"/>
              </w:rPr>
              <w:t>Respuesta a consulta con radicado No. 1_2025_08_20_008705</w:t>
            </w:r>
          </w:p>
        </w:tc>
      </w:tr>
      <w:tr w:rsidR="001B2F1A" w:rsidRPr="00DB23D2" w14:paraId="79ABE44B" w14:textId="77777777" w:rsidTr="00E11A84">
        <w:trPr>
          <w:gridAfter w:val="1"/>
          <w:wAfter w:w="319" w:type="dxa"/>
          <w:trHeight w:val="242"/>
        </w:trPr>
        <w:tc>
          <w:tcPr>
            <w:tcW w:w="8457" w:type="dxa"/>
            <w:gridSpan w:val="2"/>
          </w:tcPr>
          <w:p w14:paraId="4EED92F8" w14:textId="77777777" w:rsidR="001B2F1A" w:rsidRDefault="001B2F1A" w:rsidP="00D926DB">
            <w:pPr>
              <w:spacing w:line="276" w:lineRule="auto"/>
              <w:jc w:val="both"/>
              <w:rPr>
                <w:rFonts w:ascii="Verdana" w:eastAsia="Calibri" w:hAnsi="Verdana" w:cs="Arial"/>
                <w:lang w:val="es-ES_tradnl" w:eastAsia="es-ES"/>
              </w:rPr>
            </w:pPr>
          </w:p>
          <w:p w14:paraId="25744C9D" w14:textId="77777777" w:rsidR="00D926DB" w:rsidRPr="00DB23D2" w:rsidRDefault="00D926DB" w:rsidP="00D926DB">
            <w:pPr>
              <w:spacing w:line="276" w:lineRule="auto"/>
              <w:jc w:val="both"/>
              <w:rPr>
                <w:rFonts w:ascii="Verdana" w:eastAsia="Calibri" w:hAnsi="Verdana" w:cs="Arial"/>
                <w:lang w:val="es-ES_tradnl" w:eastAsia="es-ES"/>
              </w:rPr>
            </w:pPr>
          </w:p>
        </w:tc>
      </w:tr>
    </w:tbl>
    <w:p w14:paraId="52621977" w14:textId="77777777" w:rsidR="001B2F1A" w:rsidRPr="006730E9" w:rsidRDefault="001B2F1A" w:rsidP="00D926D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Pr="003007B5">
        <w:rPr>
          <w:rFonts w:ascii="Verdana" w:eastAsia="Calibri" w:hAnsi="Verdana" w:cs="Arial"/>
          <w:lang w:val="es-ES" w:eastAsia="es-ES"/>
        </w:rPr>
        <w:t>Montealegre</w:t>
      </w:r>
      <w:r>
        <w:rPr>
          <w:rFonts w:ascii="Verdana" w:eastAsia="Calibri" w:hAnsi="Verdana" w:cs="Arial"/>
          <w:lang w:val="es-ES" w:eastAsia="es-ES"/>
        </w:rPr>
        <w:t>;</w:t>
      </w:r>
    </w:p>
    <w:p w14:paraId="1877CCC4" w14:textId="77777777" w:rsidR="001B2F1A" w:rsidRDefault="001B2F1A" w:rsidP="00D926D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F72936" w14:textId="77777777" w:rsidR="001B2F1A" w:rsidRPr="006730E9" w:rsidRDefault="001B2F1A" w:rsidP="00D926D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sidRPr="00656A22">
        <w:rPr>
          <w:rFonts w:ascii="Verdana" w:eastAsia="Calibri" w:hAnsi="Verdana" w:cs="Arial"/>
          <w:lang w:val="es-ES" w:eastAsia="es-ES"/>
        </w:rPr>
        <w:t>20 de agosto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12F4C454" w14:textId="77777777" w:rsidR="001B2F1A" w:rsidRPr="00326382" w:rsidRDefault="001B2F1A" w:rsidP="00D926DB">
      <w:pPr>
        <w:spacing w:after="0" w:line="276" w:lineRule="auto"/>
        <w:ind w:left="709" w:right="474"/>
        <w:jc w:val="both"/>
        <w:rPr>
          <w:rFonts w:ascii="Verdana" w:hAnsi="Verdana" w:cs="Arial"/>
          <w:sz w:val="20"/>
          <w:szCs w:val="20"/>
          <w:shd w:val="clear" w:color="auto" w:fill="FFFFFF"/>
        </w:rPr>
      </w:pPr>
      <w:bookmarkStart w:id="3" w:name="_Hlk95313578"/>
    </w:p>
    <w:bookmarkEnd w:id="3"/>
    <w:p w14:paraId="531C7779" w14:textId="77777777" w:rsidR="001B2F1A" w:rsidRPr="00A467B8" w:rsidRDefault="001B2F1A" w:rsidP="001B2F1A">
      <w:pPr>
        <w:tabs>
          <w:tab w:val="left" w:pos="142"/>
          <w:tab w:val="left" w:pos="567"/>
        </w:tabs>
        <w:spacing w:after="0" w:line="240" w:lineRule="auto"/>
        <w:ind w:left="709" w:right="709"/>
        <w:jc w:val="both"/>
        <w:rPr>
          <w:rFonts w:ascii="Verdana" w:eastAsia="Century Gothic" w:hAnsi="Verdana" w:cs="Century Gothic"/>
          <w:sz w:val="20"/>
          <w:szCs w:val="20"/>
        </w:rPr>
      </w:pPr>
      <w:r w:rsidRPr="00A467B8">
        <w:rPr>
          <w:rFonts w:ascii="Verdana" w:eastAsia="Century Gothic" w:hAnsi="Verdana" w:cs="Century Gothic"/>
          <w:sz w:val="20"/>
          <w:szCs w:val="20"/>
        </w:rPr>
        <w:t xml:space="preserve">“(…) </w:t>
      </w:r>
    </w:p>
    <w:p w14:paraId="06203633" w14:textId="77777777" w:rsidR="001B2F1A" w:rsidRPr="00A467B8" w:rsidRDefault="001B2F1A" w:rsidP="001B2F1A">
      <w:pPr>
        <w:tabs>
          <w:tab w:val="left" w:pos="142"/>
          <w:tab w:val="left" w:pos="567"/>
        </w:tabs>
        <w:spacing w:after="0" w:line="240" w:lineRule="auto"/>
        <w:ind w:left="709" w:right="709"/>
        <w:jc w:val="both"/>
        <w:rPr>
          <w:rFonts w:ascii="Verdana" w:eastAsia="Century Gothic" w:hAnsi="Verdana" w:cs="Century Gothic"/>
          <w:sz w:val="20"/>
          <w:szCs w:val="20"/>
        </w:rPr>
      </w:pPr>
    </w:p>
    <w:p w14:paraId="1CCC02D1" w14:textId="77777777" w:rsidR="001B2F1A" w:rsidRPr="00A467B8" w:rsidRDefault="001B2F1A" w:rsidP="001B2F1A">
      <w:pPr>
        <w:tabs>
          <w:tab w:val="left" w:pos="142"/>
          <w:tab w:val="left" w:pos="567"/>
        </w:tabs>
        <w:spacing w:after="0" w:line="240" w:lineRule="auto"/>
        <w:ind w:left="709" w:right="709"/>
        <w:jc w:val="both"/>
        <w:rPr>
          <w:rFonts w:ascii="Verdana" w:eastAsia="Century Gothic" w:hAnsi="Verdana" w:cs="Century Gothic"/>
          <w:sz w:val="20"/>
          <w:szCs w:val="20"/>
        </w:rPr>
      </w:pPr>
      <w:r w:rsidRPr="00A467B8">
        <w:rPr>
          <w:rFonts w:ascii="Verdana" w:eastAsia="Century Gothic" w:hAnsi="Verdana" w:cs="Century Gothic"/>
          <w:sz w:val="20"/>
          <w:szCs w:val="20"/>
        </w:rPr>
        <w:t xml:space="preserve">Cordial saludo, quisiera consultar si una entidad pública, luego de haber realizado y avisado la limitación territorial de un proceso de selección abreviada por subasta inversa a MIPYMES NACIONALES con domicilio en el municipio de ejecución, pueden modificar mediante adenda la limitación, cambiando a limitación a MIPYMES NACIONALES, sin limitación territorial. (…)”. </w:t>
      </w:r>
    </w:p>
    <w:p w14:paraId="5994DFEB" w14:textId="77777777" w:rsidR="001B2F1A" w:rsidRDefault="001B2F1A" w:rsidP="00D926DB">
      <w:pPr>
        <w:spacing w:after="0" w:line="276" w:lineRule="auto"/>
        <w:ind w:firstLine="709"/>
        <w:jc w:val="both"/>
        <w:rPr>
          <w:rFonts w:ascii="Verdana" w:eastAsia="Calibri" w:hAnsi="Verdana" w:cs="Arial"/>
          <w:lang w:val="es-ES" w:eastAsia="es-ES"/>
        </w:rPr>
      </w:pPr>
    </w:p>
    <w:p w14:paraId="3F5F2BF6" w14:textId="77777777" w:rsidR="001B2F1A" w:rsidRPr="00AA3B9F" w:rsidRDefault="001B2F1A" w:rsidP="00D926DB">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AA3B9F">
        <w:rPr>
          <w:rFonts w:ascii="Verdana" w:eastAsia="Calibri" w:hAnsi="Verdana" w:cs="Arial"/>
          <w:lang w:val="es-ES" w:eastAsia="es-ES"/>
        </w:rPr>
        <w:lastRenderedPageBreak/>
        <w:t xml:space="preserve">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4126644B" w14:textId="3B7C2E5F" w:rsidR="001B2F1A" w:rsidRPr="00AA3B9F" w:rsidRDefault="001B2F1A" w:rsidP="00D926DB">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w:t>
      </w:r>
      <w:r w:rsidR="00D926DB">
        <w:rPr>
          <w:rFonts w:ascii="Verdana" w:eastAsia="Calibri" w:hAnsi="Verdana" w:cs="Arial"/>
          <w:lang w:val="es-ES" w:eastAsia="es-ES"/>
        </w:rPr>
        <w:t>e</w:t>
      </w:r>
      <w:r w:rsidRPr="00AA3B9F">
        <w:rPr>
          <w:rFonts w:ascii="Verdana" w:eastAsia="Calibri" w:hAnsi="Verdana" w:cs="Arial"/>
          <w:lang w:val="es-ES" w:eastAsia="es-ES"/>
        </w:rPr>
        <w:t>l problema jurídico</w:t>
      </w:r>
      <w:r w:rsidRPr="00AA3B9F" w:rsidDel="00086A8B">
        <w:rPr>
          <w:rFonts w:ascii="Verdana" w:eastAsia="Calibri" w:hAnsi="Verdana" w:cs="Arial"/>
          <w:lang w:val="es-ES" w:eastAsia="es-ES"/>
        </w:rPr>
        <w:t xml:space="preserve"> </w:t>
      </w:r>
      <w:r w:rsidRPr="00AA3B9F">
        <w:rPr>
          <w:rFonts w:ascii="Verdana" w:eastAsia="Calibri" w:hAnsi="Verdana" w:cs="Arial"/>
          <w:lang w:val="es-ES" w:eastAsia="es-ES"/>
        </w:rPr>
        <w:t>de su consulta.</w:t>
      </w:r>
      <w:r w:rsidRPr="00E21BD1">
        <w:t xml:space="preserve"> </w:t>
      </w:r>
    </w:p>
    <w:p w14:paraId="78E2689C" w14:textId="77777777" w:rsidR="001B2F1A" w:rsidRDefault="001B2F1A" w:rsidP="00A467B8">
      <w:pPr>
        <w:pStyle w:val="Prrafodelista"/>
        <w:tabs>
          <w:tab w:val="left" w:pos="142"/>
          <w:tab w:val="left" w:pos="284"/>
        </w:tabs>
        <w:spacing w:after="0" w:line="276" w:lineRule="auto"/>
        <w:ind w:left="425" w:right="1185"/>
        <w:contextualSpacing w:val="0"/>
        <w:jc w:val="both"/>
        <w:rPr>
          <w:rFonts w:ascii="Verdana" w:eastAsia="Century Gothic" w:hAnsi="Verdana" w:cs="Century Gothic"/>
          <w:i/>
          <w:iCs/>
          <w:lang w:val="es-CO"/>
        </w:rPr>
      </w:pPr>
    </w:p>
    <w:p w14:paraId="20D420EF" w14:textId="77777777" w:rsidR="001B2F1A" w:rsidRDefault="001B2F1A" w:rsidP="003D397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50038D6" w14:textId="77777777" w:rsidR="001B2F1A" w:rsidRDefault="001B2F1A" w:rsidP="003D397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4910C35" w14:textId="079D4BB9" w:rsidR="001B2F1A" w:rsidRDefault="001B2F1A" w:rsidP="003D397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3D397B">
        <w:rPr>
          <w:rFonts w:ascii="Verdana" w:eastAsia="Calibri" w:hAnsi="Verdana" w:cs="Arial"/>
          <w:lang w:eastAsia="es-ES"/>
        </w:rPr>
        <w:t>e</w:t>
      </w:r>
      <w:r>
        <w:rPr>
          <w:rFonts w:ascii="Verdana" w:eastAsia="Calibri" w:hAnsi="Verdana" w:cs="Arial"/>
          <w:lang w:eastAsia="es-ES"/>
        </w:rPr>
        <w:t xml:space="preserve">l </w:t>
      </w:r>
      <w:r w:rsidRPr="00E21BD1">
        <w:rPr>
          <w:rFonts w:ascii="Verdana" w:eastAsia="Calibri" w:hAnsi="Verdana" w:cs="Arial"/>
          <w:lang w:eastAsia="es-ES"/>
        </w:rPr>
        <w:t>siguiente problema jurídico:</w:t>
      </w:r>
      <w:bookmarkStart w:id="4" w:name="_Hlk196737317"/>
      <w:r>
        <w:rPr>
          <w:rFonts w:ascii="Verdana" w:eastAsia="Calibri" w:hAnsi="Verdana" w:cs="Arial"/>
          <w:lang w:eastAsia="es-ES"/>
        </w:rPr>
        <w:t xml:space="preserve"> </w:t>
      </w:r>
      <w:r w:rsidRPr="00B0362B">
        <w:rPr>
          <w:rFonts w:ascii="Verdana" w:eastAsia="Century Gothic" w:hAnsi="Verdana" w:cs="Century Gothic"/>
        </w:rPr>
        <w:t xml:space="preserve">¿Puede una entidad pública, mediante adenda, eliminar la limitación territorial inicialmente prevista en un proceso de selección abreviada por subasta inversa para </w:t>
      </w:r>
      <w:r w:rsidR="00086A8B" w:rsidRPr="00B0362B">
        <w:rPr>
          <w:rFonts w:ascii="Verdana" w:eastAsia="Century Gothic" w:hAnsi="Verdana" w:cs="Century Gothic"/>
        </w:rPr>
        <w:t xml:space="preserve">Mipymes </w:t>
      </w:r>
      <w:r w:rsidRPr="00B0362B">
        <w:rPr>
          <w:rFonts w:ascii="Verdana" w:eastAsia="Century Gothic" w:hAnsi="Verdana" w:cs="Century Gothic"/>
        </w:rPr>
        <w:t>nacionales, permitiendo así la participación de estas sin restricción geográfica?</w:t>
      </w:r>
    </w:p>
    <w:p w14:paraId="7B8E3C5F" w14:textId="77777777" w:rsidR="001B2F1A" w:rsidRDefault="001B2F1A" w:rsidP="003D397B">
      <w:pPr>
        <w:spacing w:after="0" w:line="276" w:lineRule="auto"/>
        <w:jc w:val="both"/>
        <w:rPr>
          <w:rFonts w:ascii="Verdana" w:eastAsia="Century Gothic" w:hAnsi="Verdana" w:cs="Century Gothic"/>
        </w:rPr>
      </w:pPr>
    </w:p>
    <w:bookmarkEnd w:id="4"/>
    <w:p w14:paraId="1AAEF0BD" w14:textId="77777777" w:rsidR="001B2F1A" w:rsidRDefault="001B2F1A" w:rsidP="003D397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4564F9D" w14:textId="77777777" w:rsidR="001B2F1A" w:rsidRPr="00593A5F" w:rsidRDefault="001B2F1A" w:rsidP="003D397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2F1A" w:rsidRPr="00593A5F" w14:paraId="735FCE26" w14:textId="77777777" w:rsidTr="00E11A84">
        <w:tc>
          <w:tcPr>
            <w:tcW w:w="8828" w:type="dxa"/>
          </w:tcPr>
          <w:p w14:paraId="3E39026B" w14:textId="386E9A00" w:rsidR="001B2F1A" w:rsidRDefault="001B2F1A" w:rsidP="00E11A84">
            <w:pPr>
              <w:spacing w:after="120" w:line="276" w:lineRule="auto"/>
              <w:jc w:val="both"/>
              <w:rPr>
                <w:rFonts w:ascii="Verdana" w:eastAsia="Calibri" w:hAnsi="Verdana" w:cs="Arial"/>
                <w:color w:val="7030A0"/>
              </w:rPr>
            </w:pPr>
            <w:r w:rsidRPr="00B46F7E">
              <w:rPr>
                <w:rFonts w:ascii="Verdana" w:eastAsia="Arial" w:hAnsi="Verdana" w:cs="Arial"/>
                <w:color w:val="000000"/>
              </w:rPr>
              <w:t xml:space="preserve">Frente </w:t>
            </w:r>
            <w:r w:rsidRPr="00177B54">
              <w:rPr>
                <w:rFonts w:ascii="Verdana" w:eastAsia="Arial" w:hAnsi="Verdana" w:cs="Arial"/>
                <w:color w:val="000000"/>
              </w:rPr>
              <w:t>a</w:t>
            </w:r>
            <w:r w:rsidRPr="00515ACC">
              <w:rPr>
                <w:rFonts w:ascii="Verdana" w:eastAsia="Arial" w:hAnsi="Verdana" w:cs="Arial"/>
                <w:color w:val="000000"/>
              </w:rPr>
              <w:t>l</w:t>
            </w:r>
            <w:r>
              <w:rPr>
                <w:rFonts w:ascii="Verdana" w:eastAsia="Arial" w:hAnsi="Verdana" w:cs="Arial"/>
                <w:color w:val="000000"/>
              </w:rPr>
              <w:t xml:space="preserve"> problema jurídico planteado</w:t>
            </w:r>
            <w:r w:rsidRPr="00177B54">
              <w:rPr>
                <w:rFonts w:ascii="Verdana" w:eastAsia="Arial" w:hAnsi="Verdana" w:cs="Arial"/>
                <w:color w:val="000000"/>
              </w:rPr>
              <w:t xml:space="preserve">, es preciso indicar que el artículo 2.2.1.2.4.2.2 del Decreto 1082 de 2015 —modificado por el artículo 5 del Decreto 1860 de 2021— </w:t>
            </w:r>
            <w:r w:rsidRPr="00B46F7E">
              <w:rPr>
                <w:rFonts w:ascii="Verdana" w:eastAsia="Arial" w:hAnsi="Verdana" w:cs="Arial"/>
                <w:color w:val="000000"/>
              </w:rPr>
              <w:t xml:space="preserve">señala que </w:t>
            </w:r>
            <w:r w:rsidRPr="00CB53DA">
              <w:rPr>
                <w:rFonts w:ascii="Verdana" w:eastAsia="Arial" w:hAnsi="Verdana" w:cs="Arial"/>
                <w:i/>
                <w:iCs/>
                <w:color w:val="000000"/>
              </w:rPr>
              <w:t>“</w:t>
            </w:r>
            <w:r w:rsidRPr="00CB53DA">
              <w:rPr>
                <w:rFonts w:ascii="Verdana" w:eastAsia="Calibri" w:hAnsi="Verdana" w:cs="Arial"/>
                <w:i/>
                <w:iCs/>
                <w:color w:val="000000"/>
                <w:lang w:val="es-ES" w:eastAsia="es-ES"/>
              </w:rPr>
              <w:t>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w:t>
            </w:r>
            <w:r w:rsidRPr="00177B54">
              <w:rPr>
                <w:rFonts w:ascii="Verdana" w:eastAsia="Calibri" w:hAnsi="Verdana" w:cs="Arial"/>
              </w:rPr>
              <w:t xml:space="preserve"> siempre que se cumplan los siguientes requisitos concurrentes:</w:t>
            </w:r>
            <w:r w:rsidRPr="00B46F7E">
              <w:rPr>
                <w:rFonts w:ascii="Verdana" w:eastAsia="Calibri" w:hAnsi="Verdana" w:cs="Arial"/>
              </w:rPr>
              <w:t xml:space="preserve"> 1.</w:t>
            </w:r>
            <w:r w:rsidRPr="00177B54">
              <w:rPr>
                <w:rFonts w:ascii="Verdana" w:eastAsia="Calibri" w:hAnsi="Verdana" w:cs="Arial"/>
              </w:rPr>
              <w:t xml:space="preserve">Que el valor del proceso de contratación sea menor a ciento veinticinco mil dólares (USD 125.000) de los Estados Unidos de </w:t>
            </w:r>
            <w:r w:rsidRPr="00177B54">
              <w:rPr>
                <w:rFonts w:ascii="Verdana" w:eastAsia="Calibri" w:hAnsi="Verdana" w:cs="Arial"/>
              </w:rPr>
              <w:lastRenderedPageBreak/>
              <w:t>América</w:t>
            </w:r>
            <w:r w:rsidRPr="00B46F7E">
              <w:rPr>
                <w:rFonts w:ascii="Verdana" w:eastAsia="Calibri" w:hAnsi="Verdana" w:cs="Arial"/>
              </w:rPr>
              <w:t xml:space="preserve">; 2) </w:t>
            </w:r>
            <w:r w:rsidRPr="00177B54">
              <w:rPr>
                <w:rFonts w:ascii="Verdana" w:eastAsia="Calibri" w:hAnsi="Verdana" w:cs="Arial"/>
              </w:rPr>
              <w:t>Que al menos dos (2) Mipymes colombianas presenten a la entidad una solicitud expresa de limitación del proceso contractual</w:t>
            </w:r>
            <w:r w:rsidRPr="00B46F7E">
              <w:rPr>
                <w:rFonts w:ascii="Verdana" w:eastAsia="Calibri" w:hAnsi="Verdana" w:cs="Arial"/>
              </w:rPr>
              <w:t xml:space="preserve">; 3) </w:t>
            </w:r>
            <w:r w:rsidRPr="00177B54">
              <w:rPr>
                <w:rFonts w:ascii="Verdana" w:eastAsia="Calibri" w:hAnsi="Verdana" w:cs="Arial"/>
              </w:rPr>
              <w:t xml:space="preserve">Que dicha solicitud se presente con al menos un (1) día hábil de antelación a la expedición del acto administrativo de apertura del </w:t>
            </w:r>
            <w:r w:rsidRPr="00515ACC">
              <w:rPr>
                <w:rFonts w:ascii="Verdana" w:eastAsia="Calibri" w:hAnsi="Verdana" w:cs="Arial"/>
              </w:rPr>
              <w:t>Proceso</w:t>
            </w:r>
            <w:r w:rsidRPr="00177B54">
              <w:rPr>
                <w:rFonts w:ascii="Verdana" w:eastAsia="Calibri" w:hAnsi="Verdana" w:cs="Arial"/>
              </w:rPr>
              <w:t xml:space="preserve"> de </w:t>
            </w:r>
            <w:r w:rsidRPr="00515ACC">
              <w:rPr>
                <w:rFonts w:ascii="Verdana" w:eastAsia="Calibri" w:hAnsi="Verdana" w:cs="Arial"/>
              </w:rPr>
              <w:t>Contratación</w:t>
            </w:r>
            <w:r w:rsidRPr="00B46F7E">
              <w:rPr>
                <w:rFonts w:ascii="Verdana" w:eastAsia="Calibri" w:hAnsi="Verdana" w:cs="Arial"/>
              </w:rPr>
              <w:t>; 4) Que</w:t>
            </w:r>
            <w:r w:rsidRPr="00177B54">
              <w:rPr>
                <w:rFonts w:ascii="Verdana" w:eastAsia="Calibri" w:hAnsi="Verdana" w:cs="Arial"/>
              </w:rPr>
              <w:t xml:space="preserve"> las Mipymes solicitantes cuenten con </w:t>
            </w:r>
            <w:r w:rsidRPr="00CB53DA">
              <w:rPr>
                <w:rFonts w:ascii="Verdana" w:eastAsia="Calibri" w:hAnsi="Verdana" w:cs="Arial"/>
              </w:rPr>
              <w:t>mínimo un (1) año de existencia legal</w:t>
            </w:r>
            <w:r w:rsidRPr="00177B54">
              <w:rPr>
                <w:rFonts w:ascii="Verdana" w:eastAsia="Calibri" w:hAnsi="Verdana" w:cs="Arial"/>
              </w:rPr>
              <w:t xml:space="preserve"> al momento de presentar la solicitud</w:t>
            </w:r>
            <w:r w:rsidRPr="00177B54">
              <w:rPr>
                <w:rFonts w:ascii="Verdana" w:eastAsia="Calibri" w:hAnsi="Verdana" w:cs="Arial"/>
                <w:color w:val="7030A0"/>
              </w:rPr>
              <w:t>.</w:t>
            </w:r>
          </w:p>
          <w:p w14:paraId="2C1E882E" w14:textId="77777777" w:rsidR="001B2F1A" w:rsidRPr="00515ACC" w:rsidRDefault="001B2F1A" w:rsidP="00E11A84">
            <w:pPr>
              <w:spacing w:after="120" w:line="276" w:lineRule="auto"/>
              <w:ind w:firstLine="708"/>
              <w:jc w:val="both"/>
              <w:rPr>
                <w:rFonts w:ascii="Verdana" w:eastAsia="Calibri" w:hAnsi="Verdana" w:cs="Arial"/>
              </w:rPr>
            </w:pPr>
            <w:r w:rsidRPr="00515ACC">
              <w:rPr>
                <w:rFonts w:ascii="Verdana" w:eastAsia="Calibri" w:hAnsi="Verdana" w:cs="Arial"/>
              </w:rPr>
              <w:t xml:space="preserve">Ahora bien, </w:t>
            </w:r>
            <w:r w:rsidRPr="00515ACC">
              <w:rPr>
                <w:rFonts w:ascii="Verdana" w:eastAsia="Calibri" w:hAnsi="Verdana" w:cs="Arial"/>
                <w:lang w:val="es-ES_tradnl"/>
              </w:rPr>
              <w:t xml:space="preserve">el parágrafo 1 del artículo 34 de la Ley 2069 de 2020 contempla la posibilidad de limitar convocatorias a MiPymes con domicilio en dos tipos de entidades territoriales. Según el referido artículo “En los procesos de selección que se desarrollen con base en el primer inciso, las entidades </w:t>
            </w:r>
            <w:r w:rsidRPr="0014114E">
              <w:rPr>
                <w:rFonts w:ascii="Verdana" w:eastAsia="Calibri" w:hAnsi="Verdana" w:cs="Arial"/>
                <w:i/>
                <w:iCs/>
                <w:lang w:val="es-ES_tradnl"/>
              </w:rPr>
              <w:t>podrán</w:t>
            </w:r>
            <w:r w:rsidRPr="00515ACC">
              <w:rPr>
                <w:rFonts w:ascii="Verdana" w:eastAsia="Calibri" w:hAnsi="Verdana" w:cs="Arial"/>
                <w:lang w:val="es-ES_tradnl"/>
              </w:rPr>
              <w:t xml:space="preserve"> realizar las convocatorias limitadas que beneficien a las MiPymes del ámbito municipal o departamental correspondiente al de la ejecución del contrato”.  </w:t>
            </w:r>
          </w:p>
          <w:p w14:paraId="2A5B273A" w14:textId="77777777" w:rsidR="001B2F1A" w:rsidRPr="00515ACC" w:rsidRDefault="001B2F1A" w:rsidP="00E11A84">
            <w:pPr>
              <w:spacing w:after="120" w:line="276" w:lineRule="auto"/>
              <w:ind w:firstLine="708"/>
              <w:jc w:val="both"/>
              <w:rPr>
                <w:rFonts w:ascii="Verdana" w:eastAsia="Calibri" w:hAnsi="Verdana" w:cs="Arial"/>
                <w:lang w:val="es-ES"/>
              </w:rPr>
            </w:pPr>
            <w:r>
              <w:rPr>
                <w:rFonts w:ascii="Verdana" w:eastAsia="Calibri" w:hAnsi="Verdana" w:cs="Arial"/>
                <w:lang w:val="es-ES"/>
              </w:rPr>
              <w:t>Así las cosas, c</w:t>
            </w:r>
            <w:r w:rsidRPr="00515ACC">
              <w:rPr>
                <w:rFonts w:ascii="Verdana" w:eastAsia="Calibri" w:hAnsi="Verdana" w:cs="Arial"/>
                <w:lang w:val="es-ES"/>
              </w:rPr>
              <w:t>umplidos los dos requisitos del artículo 2</w:t>
            </w:r>
            <w:r w:rsidRPr="00515ACC">
              <w:rPr>
                <w:rFonts w:ascii="Verdana" w:eastAsia="Calibri" w:hAnsi="Verdana" w:cs="Arial"/>
              </w:rPr>
              <w:t xml:space="preserve">.2.1.2.4.2.2. </w:t>
            </w:r>
            <w:r w:rsidRPr="00515ACC">
              <w:rPr>
                <w:rFonts w:ascii="Verdana" w:eastAsia="Calibri" w:hAnsi="Verdana" w:cs="Arial"/>
                <w:i/>
                <w:iCs/>
              </w:rPr>
              <w:t>ibidem</w:t>
            </w:r>
            <w:r w:rsidRPr="00515ACC">
              <w:rPr>
                <w:rFonts w:ascii="Verdana" w:eastAsia="Calibri" w:hAnsi="Verdana" w:cs="Arial"/>
                <w:lang w:val="es-ES"/>
              </w:rPr>
              <w:t>, la entidad</w:t>
            </w:r>
            <w:r w:rsidRPr="00515ACC">
              <w:rPr>
                <w:rFonts w:ascii="Verdana" w:eastAsia="Calibri" w:hAnsi="Verdana" w:cs="Arial"/>
              </w:rPr>
              <w:t xml:space="preserve"> puede ─no tiene que─ decidir si limita la convocatoria a las Mipymes nacionales domiciliadas en el municipio o departamento en el que se ejecutará el contrato. Esto de acuerdo con lo establecido en artículo 2.2.1.2.4.2.3. del Decreto 1082 de 2015, norma que se refiere a la facultad de la administración con el verbo infinitivo “poder”, no “deber”. </w:t>
            </w:r>
            <w:r>
              <w:rPr>
                <w:rFonts w:ascii="Verdana" w:eastAsia="Calibri" w:hAnsi="Verdana" w:cs="Arial"/>
              </w:rPr>
              <w:t xml:space="preserve"> </w:t>
            </w:r>
            <w:r w:rsidRPr="00515ACC">
              <w:rPr>
                <w:rFonts w:ascii="Verdana" w:eastAsia="Calibri" w:hAnsi="Verdana" w:cs="Arial"/>
                <w:lang w:val="es-ES"/>
              </w:rPr>
              <w:t>En ese sentido, los artículos 2.2.1.2.4.2.2 y 2.2.1.2.4.2.3 deben ser interpretados de manera armónica, comoquiera que para proceder a hacer una limitación territorial es indispensable que se cumplan, no solo los presupuestos establecidos en el artículo 2.2.1.2.4.2.3 –domicilio en el municipio o departamento de ejecución del contrato–, sino también los establecidos en el artículo 2.2.1.2.4.2.2 –valor del proceso de contratación en el rango indicado y solicitudes de al menos dos (2) Mipymes presentadas oportunamente de limitar la convocatoria a este tipo de proponentes.</w:t>
            </w:r>
          </w:p>
          <w:p w14:paraId="05FC9FBC" w14:textId="77777777" w:rsidR="001B2F1A" w:rsidRDefault="001B2F1A" w:rsidP="00E11A84">
            <w:pPr>
              <w:spacing w:before="120" w:after="120" w:line="276" w:lineRule="auto"/>
              <w:ind w:firstLine="709"/>
              <w:jc w:val="both"/>
              <w:rPr>
                <w:rFonts w:ascii="Verdana" w:eastAsia="Calibri" w:hAnsi="Verdana" w:cs="Arial"/>
                <w:lang w:val="es-ES"/>
              </w:rPr>
            </w:pPr>
            <w:r>
              <w:rPr>
                <w:rFonts w:ascii="Verdana" w:hAnsi="Verdana" w:cs="Arial"/>
                <w:color w:val="000000" w:themeColor="text1"/>
              </w:rPr>
              <w:t>De esta manera</w:t>
            </w:r>
            <w:r w:rsidRPr="00515ACC">
              <w:rPr>
                <w:rFonts w:ascii="Verdana" w:hAnsi="Verdana" w:cs="Arial"/>
                <w:color w:val="000000" w:themeColor="text1"/>
              </w:rPr>
              <w:t xml:space="preserve">, </w:t>
            </w:r>
            <w:r w:rsidRPr="00515ACC">
              <w:rPr>
                <w:rFonts w:ascii="Verdana" w:eastAsia="Calibri" w:hAnsi="Verdana" w:cs="Arial"/>
                <w:color w:val="000000" w:themeColor="text1"/>
              </w:rPr>
              <w:t>lo que debe adoptarse obligatoriamente es la</w:t>
            </w:r>
            <w:r w:rsidRPr="00515ACC">
              <w:rPr>
                <w:rFonts w:ascii="Verdana" w:hAnsi="Verdana" w:cs="Arial"/>
                <w:color w:val="000000" w:themeColor="text1"/>
              </w:rPr>
              <w:t xml:space="preserve"> limitación a Mipymes colombianas</w:t>
            </w:r>
            <w:r w:rsidRPr="00515ACC">
              <w:rPr>
                <w:rFonts w:ascii="Verdana" w:eastAsia="Calibri" w:hAnsi="Verdana" w:cs="Arial"/>
                <w:color w:val="000000" w:themeColor="text1"/>
              </w:rPr>
              <w:t xml:space="preserve"> siempre que se cumplan las condiciones del artículo 2.2.1.2.4.2.2 del Decreto 1082 de 2015, </w:t>
            </w:r>
            <w:r w:rsidRPr="00515ACC">
              <w:rPr>
                <w:rFonts w:ascii="Verdana" w:eastAsia="Calibri" w:hAnsi="Verdana" w:cs="Arial"/>
                <w:lang w:val="es-ES"/>
              </w:rPr>
              <w:t xml:space="preserve">pero no la “limitación territorial” referida en el artículo 2.2.1.2.4.2.3 ibidem, pues esta, como ya se dijo, es facultativa para la entidad. Las únicas exigencias son que la convocatoria esté limitada a las Mipyme nacionales “domiciliadas en los departamentos o municipios en donde se va a ejecutar el contrato” y que la entidad justifique su decisión en los “estudios del sector”. No es procedente, entonces, que sean </w:t>
            </w:r>
            <w:r w:rsidRPr="00515ACC">
              <w:rPr>
                <w:rFonts w:ascii="Verdana" w:eastAsia="Calibri" w:hAnsi="Verdana" w:cs="Arial"/>
                <w:lang w:val="es-ES"/>
              </w:rPr>
              <w:lastRenderedPageBreak/>
              <w:t>las Mipymes las que soliciten la “limitación territorial” a la que se refiere el artículo 2.2.1.2.4.2.3. del Decreto 1082 de 2015</w:t>
            </w:r>
            <w:r>
              <w:rPr>
                <w:rFonts w:ascii="Verdana" w:eastAsia="Calibri" w:hAnsi="Verdana" w:cs="Arial"/>
                <w:lang w:val="es-ES"/>
              </w:rPr>
              <w:t>.</w:t>
            </w:r>
          </w:p>
          <w:p w14:paraId="0D9537FA" w14:textId="2EEF51F6" w:rsidR="005A1E16" w:rsidRPr="0033740A" w:rsidRDefault="005A1E16" w:rsidP="005A1E16">
            <w:pPr>
              <w:spacing w:after="120" w:line="276" w:lineRule="auto"/>
              <w:ind w:firstLine="708"/>
              <w:jc w:val="both"/>
              <w:rPr>
                <w:rFonts w:ascii="Verdana" w:hAnsi="Verdana"/>
              </w:rPr>
            </w:pPr>
            <w:r w:rsidRPr="0033740A">
              <w:rPr>
                <w:rFonts w:ascii="Verdana" w:eastAsia="Arial" w:hAnsi="Verdana" w:cs="Arial"/>
              </w:rPr>
              <w:t xml:space="preserve">Frente al problema jurídico relacionado con si en una Entidad revertir una limitación a Mipyme esta Agencia ha sostenido, en conceptos como el C-213 de 2022 que, el procedimiento contractual que debe agotarse para contratar los bienes y servicios que se requieren en un caso determinado es reglado. </w:t>
            </w:r>
            <w:r>
              <w:rPr>
                <w:rFonts w:ascii="Verdana" w:eastAsia="Arial" w:hAnsi="Verdana" w:cs="Arial"/>
              </w:rPr>
              <w:t>Por lo anterior</w:t>
            </w:r>
            <w:r w:rsidRPr="0033740A">
              <w:rPr>
                <w:rFonts w:ascii="Verdana" w:eastAsia="Arial" w:hAnsi="Verdana" w:cs="Arial"/>
              </w:rPr>
              <w:t>, las entidades públicas deben aplicar las etapas y trámites expresamente previstos en las normas para el efecto. En este sentido, la regulación contenida en las disposiciones legales contenidas en el Estatuto General de Contratación de la Administración Pública y las normas reglamentarias en la materia no consagran un procedimiento especial que permita revertir la decisión de limitar un proceso de selección a Mipyme.</w:t>
            </w:r>
          </w:p>
          <w:p w14:paraId="30913C3A" w14:textId="77777777" w:rsidR="005A1E16" w:rsidRPr="0033740A" w:rsidRDefault="005A1E16" w:rsidP="005A1E16">
            <w:pPr>
              <w:spacing w:line="276" w:lineRule="auto"/>
              <w:ind w:firstLine="709"/>
              <w:jc w:val="both"/>
              <w:rPr>
                <w:rFonts w:ascii="Verdana" w:hAnsi="Verdana"/>
              </w:rPr>
            </w:pPr>
            <w:r>
              <w:rPr>
                <w:rFonts w:ascii="Verdana" w:eastAsia="Arial" w:hAnsi="Verdana" w:cs="Arial"/>
              </w:rPr>
              <w:t>E</w:t>
            </w:r>
            <w:r w:rsidRPr="0033740A">
              <w:rPr>
                <w:rFonts w:ascii="Verdana" w:eastAsia="Arial" w:hAnsi="Verdana" w:cs="Arial"/>
              </w:rPr>
              <w:t>s importante tener en cuenta que la decisión de limitar el proceso de selección a Mipyme se adopta mediante el acto de apertura del respectivo proceso de selección, el cual se somete a las reglas fijadas en el CPACA para su revocatoria directa, ante la ausencia de regulación sobre el particular en el Decreto 1082 del 2015. De manera que, en el evento que se advierta la concurrencia de alguna de las causales consagradas en el artículo 93 del CPACA</w:t>
            </w:r>
            <w:r w:rsidRPr="0033740A">
              <w:rPr>
                <w:rFonts w:ascii="Verdana" w:eastAsia="Arial" w:hAnsi="Verdana" w:cs="Arial"/>
                <w:vertAlign w:val="superscript"/>
              </w:rPr>
              <w:footnoteReference w:id="2"/>
            </w:r>
            <w:r w:rsidRPr="0033740A">
              <w:rPr>
                <w:rFonts w:ascii="Verdana" w:eastAsia="Arial" w:hAnsi="Verdana" w:cs="Arial"/>
              </w:rPr>
              <w:t>, la respectiva entidad podrá acudir a esta figura, previo análisis y motivación del caso. Sin embargo, el análisis concreto respecto a la forma como la entidad actúa frente a estos eventos corresponde realizarlo a cada una de ellas, teniendo en cuenta, además, las precisiones realizadas en este concepto respecto a los requisitos para que procedan las convocatorias limitadas a Mipymes.</w:t>
            </w:r>
          </w:p>
          <w:p w14:paraId="7C88DFC9" w14:textId="77777777" w:rsidR="00F85CD6" w:rsidRPr="0033740A" w:rsidRDefault="00F85CD6" w:rsidP="005A1E16">
            <w:pPr>
              <w:spacing w:line="276" w:lineRule="auto"/>
              <w:ind w:firstLine="709"/>
              <w:jc w:val="both"/>
              <w:rPr>
                <w:rFonts w:ascii="Verdana" w:hAnsi="Verdana"/>
              </w:rPr>
            </w:pPr>
          </w:p>
          <w:p w14:paraId="6D091521" w14:textId="77777777" w:rsidR="001B2F1A" w:rsidRPr="00C71956" w:rsidRDefault="001B2F1A" w:rsidP="00E11A84">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DB4737">
              <w:rPr>
                <w:rFonts w:ascii="Verdana" w:eastAsia="Calibri" w:hAnsi="Verdana" w:cs="Times New Roman"/>
              </w:rPr>
              <w:lastRenderedPageBreak/>
              <w:t>interesados de adoptar la decisión y, en caso de conflicto, a las autoridades judiciales, fiscales y disciplinarias.</w:t>
            </w:r>
            <w:r>
              <w:t xml:space="preserve"> </w:t>
            </w:r>
          </w:p>
          <w:p w14:paraId="15081D7C" w14:textId="4076D03C" w:rsidR="001B2F1A" w:rsidRPr="00E529C2" w:rsidRDefault="001B2F1A" w:rsidP="00E11A84">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57C7C9F6" w14:textId="77777777" w:rsidR="001B2F1A" w:rsidRDefault="001B2F1A" w:rsidP="001B2F1A">
      <w:pPr>
        <w:tabs>
          <w:tab w:val="left" w:pos="142"/>
          <w:tab w:val="left" w:pos="284"/>
        </w:tabs>
        <w:spacing w:after="0" w:line="276" w:lineRule="auto"/>
        <w:jc w:val="both"/>
        <w:rPr>
          <w:rFonts w:ascii="Verdana" w:eastAsia="Century Gothic" w:hAnsi="Verdana" w:cs="Century Gothic"/>
          <w:b/>
          <w:bCs/>
          <w:lang w:val="es-ES"/>
        </w:rPr>
      </w:pPr>
    </w:p>
    <w:p w14:paraId="269BD562" w14:textId="77777777" w:rsidR="001B2F1A" w:rsidRPr="00593A5F" w:rsidRDefault="001B2F1A" w:rsidP="001B2F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0A6207C" w14:textId="77777777" w:rsidR="00F40DEB" w:rsidRDefault="00F40DEB" w:rsidP="001B2F1A">
      <w:pPr>
        <w:spacing w:after="0" w:line="276" w:lineRule="auto"/>
        <w:ind w:firstLine="708"/>
        <w:jc w:val="both"/>
        <w:rPr>
          <w:rFonts w:ascii="Verdana" w:eastAsia="Calibri" w:hAnsi="Verdana" w:cs="Arial"/>
          <w:color w:val="000000" w:themeColor="text1"/>
        </w:rPr>
      </w:pPr>
    </w:p>
    <w:p w14:paraId="51046EC0" w14:textId="4912B07F" w:rsidR="001B2F1A" w:rsidRPr="00B7766F" w:rsidRDefault="001B2F1A" w:rsidP="008E58F7">
      <w:pPr>
        <w:spacing w:after="120" w:line="276" w:lineRule="auto"/>
        <w:jc w:val="both"/>
        <w:rPr>
          <w:rFonts w:ascii="Verdana" w:eastAsia="Calibri" w:hAnsi="Verdana" w:cs="Arial"/>
          <w:lang w:val="es-ES"/>
        </w:rPr>
      </w:pPr>
      <w:bookmarkStart w:id="5" w:name="_Hlk108519028"/>
      <w:r w:rsidRPr="00B7766F">
        <w:rPr>
          <w:rFonts w:ascii="Verdana" w:hAnsi="Verdana" w:cs="Arial"/>
          <w:color w:val="000000" w:themeColor="text1"/>
          <w:lang w:val="es-ES"/>
        </w:rPr>
        <w:t xml:space="preserve">Respecto a las convocatorias limitadas a Mpymes,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321994C4" w14:textId="45C75E85" w:rsidR="001B2F1A" w:rsidRDefault="001B2F1A" w:rsidP="008E58F7">
      <w:pPr>
        <w:spacing w:after="120" w:line="276" w:lineRule="auto"/>
        <w:ind w:firstLine="708"/>
        <w:jc w:val="both"/>
        <w:rPr>
          <w:rFonts w:ascii="Verdana" w:eastAsia="Calibri" w:hAnsi="Verdana" w:cs="Arial"/>
          <w:lang w:val="es-ES"/>
        </w:rPr>
      </w:pPr>
      <w:r w:rsidRPr="471B8680">
        <w:rPr>
          <w:rFonts w:ascii="Verdana" w:hAnsi="Verdana" w:cs="Arial"/>
          <w:color w:val="000000" w:themeColor="text1"/>
          <w:lang w:val="es-ES"/>
        </w:rPr>
        <w:t xml:space="preserve">En desarrollo de esta finalidad, se establecen medidas de apoyo para las Mipymes, mediante la racionalización y simplificación de los trámites y tarifas, así como incentivos a favor de aquellas dentro del </w:t>
      </w:r>
      <w:r w:rsidR="00350FA7" w:rsidRPr="471B8680">
        <w:rPr>
          <w:rFonts w:ascii="Verdana" w:hAnsi="Verdana" w:cs="Arial"/>
          <w:color w:val="000000" w:themeColor="text1"/>
          <w:lang w:val="es-ES"/>
        </w:rPr>
        <w:t xml:space="preserve">Sistema </w:t>
      </w:r>
      <w:r w:rsidRPr="471B8680">
        <w:rPr>
          <w:rFonts w:ascii="Verdana" w:hAnsi="Verdana" w:cs="Arial"/>
          <w:color w:val="000000" w:themeColor="text1"/>
          <w:lang w:val="es-ES"/>
        </w:rPr>
        <w:t xml:space="preserve">de </w:t>
      </w:r>
      <w:r w:rsidR="00350FA7" w:rsidRPr="471B8680">
        <w:rPr>
          <w:rFonts w:ascii="Verdana" w:hAnsi="Verdana" w:cs="Arial"/>
          <w:color w:val="000000" w:themeColor="text1"/>
          <w:lang w:val="es-ES"/>
        </w:rPr>
        <w:t xml:space="preserve">Compras </w:t>
      </w:r>
      <w:r w:rsidRPr="471B8680">
        <w:rPr>
          <w:rFonts w:ascii="Verdana" w:hAnsi="Verdana" w:cs="Arial"/>
          <w:color w:val="000000" w:themeColor="text1"/>
          <w:lang w:val="es-ES"/>
        </w:rPr>
        <w:t xml:space="preserve">y </w:t>
      </w:r>
      <w:r w:rsidR="00350FA7" w:rsidRPr="471B8680">
        <w:rPr>
          <w:rFonts w:ascii="Verdana" w:hAnsi="Verdana" w:cs="Arial"/>
          <w:color w:val="000000" w:themeColor="text1"/>
          <w:lang w:val="es-ES"/>
        </w:rPr>
        <w:t>Contratación Pública</w:t>
      </w:r>
      <w:r w:rsidRPr="471B8680">
        <w:rPr>
          <w:rFonts w:ascii="Verdana" w:hAnsi="Verdana" w:cs="Arial"/>
          <w:color w:val="000000" w:themeColor="text1"/>
          <w:lang w:val="es-ES"/>
        </w:rPr>
        <w:t>. De igual forma, en la citada Ley se consagró mecanismos para fortalecer y promover los distintos sectores de la economía y se prevén para ello medidas de educación para el emprendimiento y la innovación.</w:t>
      </w:r>
    </w:p>
    <w:p w14:paraId="1A6CF4F4" w14:textId="77777777" w:rsidR="001B2F1A" w:rsidRDefault="001B2F1A" w:rsidP="008E58F7">
      <w:pPr>
        <w:spacing w:after="120" w:line="276" w:lineRule="auto"/>
        <w:ind w:firstLine="708"/>
        <w:jc w:val="both"/>
        <w:rPr>
          <w:rFonts w:ascii="Verdana" w:eastAsia="Calibri" w:hAnsi="Verdana" w:cs="Arial"/>
        </w:rPr>
      </w:pPr>
      <w:r w:rsidRPr="00D55A06">
        <w:rPr>
          <w:rFonts w:ascii="Verdana" w:eastAsia="Calibri" w:hAnsi="Verdana" w:cs="Arial"/>
        </w:rPr>
        <w:t>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Mi</w:t>
      </w:r>
      <w:r>
        <w:rPr>
          <w:rFonts w:ascii="Verdana" w:eastAsia="Calibri" w:hAnsi="Verdana" w:cs="Arial"/>
        </w:rPr>
        <w:t>p</w:t>
      </w:r>
      <w:r w:rsidRPr="00D55A06">
        <w:rPr>
          <w:rFonts w:ascii="Verdana" w:eastAsia="Calibri" w:hAnsi="Verdana" w:cs="Arial"/>
        </w:rPr>
        <w:t>ymes, a continuación de se estudiará el contenido y alcance del artículo 34.</w:t>
      </w:r>
    </w:p>
    <w:p w14:paraId="60FDEEA2" w14:textId="6D09C22A" w:rsidR="001B2F1A" w:rsidRDefault="001B2F1A" w:rsidP="008E58F7">
      <w:pPr>
        <w:spacing w:after="120" w:line="276" w:lineRule="auto"/>
        <w:ind w:firstLine="708"/>
        <w:jc w:val="both"/>
        <w:rPr>
          <w:rFonts w:ascii="Verdana" w:eastAsia="Calibri" w:hAnsi="Verdana" w:cs="Arial"/>
          <w:lang w:val="es-ES"/>
        </w:rPr>
      </w:pPr>
      <w:r w:rsidRPr="00D55A06">
        <w:rPr>
          <w:rFonts w:ascii="Verdana" w:eastAsia="Calibri" w:hAnsi="Verdana" w:cs="Arial"/>
        </w:rPr>
        <w:t xml:space="preserve">El artículo 34 de la Ley 2069 de 2020 modificó el artículo 12 de la Ley 1150 de 2007, el cual regula la promoción del desarrollo en la contratación pública, cambiando </w:t>
      </w:r>
      <w:r w:rsidRPr="00D55A06">
        <w:rPr>
          <w:rFonts w:ascii="Verdana" w:eastAsia="Calibri" w:hAnsi="Verdana" w:cs="Arial"/>
          <w:bdr w:val="none" w:sz="0" w:space="0" w:color="auto" w:frame="1"/>
        </w:rPr>
        <w:t xml:space="preserve">los requisitos esenciales para que procedan las </w:t>
      </w:r>
      <w:r w:rsidRPr="00D55A06">
        <w:rPr>
          <w:rFonts w:ascii="Verdana" w:eastAsia="Calibri" w:hAnsi="Verdana" w:cs="Arial"/>
          <w:bdr w:val="none" w:sz="0" w:space="0" w:color="auto" w:frame="1"/>
        </w:rPr>
        <w:lastRenderedPageBreak/>
        <w:t>convocatorias limitadas a Mi</w:t>
      </w:r>
      <w:r>
        <w:rPr>
          <w:rFonts w:ascii="Verdana" w:eastAsia="Calibri" w:hAnsi="Verdana" w:cs="Arial"/>
          <w:bdr w:val="none" w:sz="0" w:space="0" w:color="auto" w:frame="1"/>
        </w:rPr>
        <w:t>p</w:t>
      </w:r>
      <w:r w:rsidRPr="00D55A06">
        <w:rPr>
          <w:rFonts w:ascii="Verdana" w:eastAsia="Calibri" w:hAnsi="Verdana" w:cs="Arial"/>
          <w:bdr w:val="none" w:sz="0" w:space="0" w:color="auto" w:frame="1"/>
        </w:rPr>
        <w:t>ymes, de la siguiente forma: i) estableció que estas deben desarrollarse independientemente del régimen de contratación de la Entidad Estatal –es decir, también deben efectuarlas las Entidades Estatales exceptuadas del EGCAP o que se rigen por derecho privado–; ii) señaló que los patrimonios autónomos constituidos por Entidades Estatales y los particulares que ejecuten recursos públicos también son destinatarios de esta exigencia</w:t>
      </w:r>
      <w:r w:rsidR="00811E4E" w:rsidRPr="00811E4E">
        <w:rPr>
          <w:rFonts w:ascii="Verdana" w:eastAsia="Calibri" w:hAnsi="Verdana" w:cs="Arial"/>
          <w:bdr w:val="none" w:sz="0" w:space="0" w:color="auto" w:frame="1"/>
        </w:rPr>
        <w:t xml:space="preserve"> </w:t>
      </w:r>
      <w:r w:rsidR="00811E4E" w:rsidRPr="00D55A06">
        <w:rPr>
          <w:rFonts w:ascii="Verdana" w:eastAsia="Calibri" w:hAnsi="Verdana" w:cs="Arial"/>
          <w:bdr w:val="none" w:sz="0" w:space="0" w:color="auto" w:frame="1"/>
        </w:rPr>
        <w:t>y</w:t>
      </w:r>
      <w:r w:rsidRPr="00D55A06">
        <w:rPr>
          <w:rFonts w:ascii="Verdana" w:eastAsia="Calibri" w:hAnsi="Verdana" w:cs="Arial"/>
          <w:bdr w:val="none" w:sz="0" w:space="0" w:color="auto" w:frame="1"/>
        </w:rPr>
        <w:t>;</w:t>
      </w:r>
      <w:r w:rsidRPr="00D55A06" w:rsidDel="00811E4E">
        <w:rPr>
          <w:rFonts w:ascii="Verdana" w:eastAsia="Calibri" w:hAnsi="Verdana" w:cs="Arial"/>
          <w:bdr w:val="none" w:sz="0" w:space="0" w:color="auto" w:frame="1"/>
        </w:rPr>
        <w:t xml:space="preserve"> </w:t>
      </w:r>
      <w:r w:rsidRPr="00D55A06">
        <w:rPr>
          <w:rFonts w:ascii="Verdana" w:eastAsia="Calibri" w:hAnsi="Verdana" w:cs="Arial"/>
          <w:bdr w:val="none" w:sz="0" w:space="0" w:color="auto" w:frame="1"/>
        </w:rPr>
        <w:t xml:space="preserve"> iii) indicó que para que pueda haber convocatorias limitadas a Mipymes, dos (2) de ellas deben manifestar su interés. </w:t>
      </w:r>
    </w:p>
    <w:p w14:paraId="08B8AD53" w14:textId="5A0CB54E" w:rsidR="001B2F1A" w:rsidRDefault="001B2F1A" w:rsidP="008E58F7">
      <w:pPr>
        <w:spacing w:after="120" w:line="276" w:lineRule="auto"/>
        <w:ind w:firstLine="708"/>
        <w:jc w:val="both"/>
        <w:rPr>
          <w:rFonts w:ascii="Verdana" w:hAnsi="Verdana" w:cs="Arial"/>
        </w:rPr>
      </w:pPr>
      <w:r w:rsidRPr="00177B54">
        <w:rPr>
          <w:rFonts w:ascii="Verdana" w:eastAsia="Calibri" w:hAnsi="Verdana" w:cs="Arial"/>
          <w:color w:val="000000"/>
          <w:lang w:val="es-ES" w:eastAsia="es-ES"/>
        </w:rPr>
        <w:t>El artículo 2.2.1.2.4.2.2. del Decreto 1082 de 2015 -modificado por el Decreto 1860 de 2021- establece los requisitos que se deben acreditar en la</w:t>
      </w:r>
      <w:r>
        <w:rPr>
          <w:rFonts w:ascii="Verdana" w:eastAsia="Calibri" w:hAnsi="Verdana" w:cs="Arial"/>
          <w:color w:val="000000"/>
          <w:lang w:val="es-ES" w:eastAsia="es-ES"/>
        </w:rPr>
        <w:t xml:space="preserve">s </w:t>
      </w:r>
      <w:r w:rsidRPr="00177B54">
        <w:rPr>
          <w:rFonts w:ascii="Verdana" w:eastAsia="Calibri" w:hAnsi="Verdana" w:cs="Arial"/>
          <w:color w:val="000000"/>
          <w:lang w:val="es-ES" w:eastAsia="es-ES"/>
        </w:rPr>
        <w:t xml:space="preserve">“convocatorias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 </w:t>
      </w:r>
      <w:r w:rsidRPr="00AB76F7">
        <w:rPr>
          <w:rFonts w:ascii="Verdana" w:hAnsi="Verdana" w:cs="Arial"/>
        </w:rPr>
        <w:t xml:space="preserve">Esta redacción obedece a un cambio introducido por el Decreto 1860 de 2021, </w:t>
      </w:r>
      <w:r>
        <w:rPr>
          <w:rFonts w:ascii="Verdana" w:hAnsi="Verdana" w:cs="Arial"/>
        </w:rPr>
        <w:t xml:space="preserve">pues antes </w:t>
      </w:r>
      <w:r w:rsidRPr="00AB76F7">
        <w:rPr>
          <w:rFonts w:ascii="Verdana" w:hAnsi="Verdana" w:cs="Arial"/>
        </w:rPr>
        <w:t>solo</w:t>
      </w:r>
      <w:r>
        <w:rPr>
          <w:rFonts w:ascii="Verdana" w:hAnsi="Verdana" w:cs="Arial"/>
        </w:rPr>
        <w:t xml:space="preserve"> se</w:t>
      </w:r>
      <w:r w:rsidRPr="00AB76F7">
        <w:rPr>
          <w:rFonts w:ascii="Verdana" w:hAnsi="Verdana" w:cs="Arial"/>
        </w:rPr>
        <w:t xml:space="preserve"> permitía la limitación a Mipymes nacionales en los procedimientos de licitación pública, selección abreviada y concurso de méritos.</w:t>
      </w:r>
      <w:r>
        <w:rPr>
          <w:rFonts w:ascii="Verdana" w:hAnsi="Verdana" w:cs="Arial"/>
        </w:rPr>
        <w:t xml:space="preserve"> </w:t>
      </w:r>
    </w:p>
    <w:p w14:paraId="2FDDEEEB" w14:textId="77777777" w:rsidR="001B2F1A" w:rsidRPr="00177B54" w:rsidRDefault="001B2F1A" w:rsidP="001B2F1A">
      <w:pPr>
        <w:spacing w:after="0" w:line="276" w:lineRule="auto"/>
        <w:ind w:firstLine="708"/>
        <w:jc w:val="both"/>
        <w:rPr>
          <w:rFonts w:ascii="Verdana" w:eastAsia="Calibri" w:hAnsi="Verdana" w:cs="Arial"/>
          <w:color w:val="000000"/>
          <w:lang w:val="es-ES" w:eastAsia="es-ES"/>
        </w:rPr>
      </w:pPr>
      <w:r>
        <w:rPr>
          <w:rFonts w:ascii="Verdana" w:eastAsia="Calibri" w:hAnsi="Verdana" w:cs="Arial"/>
          <w:color w:val="000000"/>
          <w:lang w:val="es-ES" w:eastAsia="es-ES"/>
        </w:rPr>
        <w:t>R</w:t>
      </w:r>
      <w:r w:rsidRPr="00177B54">
        <w:rPr>
          <w:rFonts w:ascii="Verdana" w:eastAsia="Calibri" w:hAnsi="Verdana" w:cs="Arial"/>
          <w:color w:val="000000"/>
          <w:lang w:val="es-ES" w:eastAsia="es-ES"/>
        </w:rPr>
        <w:t>especto</w:t>
      </w:r>
      <w:r>
        <w:rPr>
          <w:rFonts w:ascii="Verdana" w:eastAsia="Calibri" w:hAnsi="Verdana" w:cs="Arial"/>
          <w:color w:val="000000"/>
          <w:lang w:val="es-ES" w:eastAsia="es-ES"/>
        </w:rPr>
        <w:t xml:space="preserve"> de los requisitos para su procedencia, el artículo precitado </w:t>
      </w:r>
      <w:r w:rsidRPr="00177B54">
        <w:rPr>
          <w:rFonts w:ascii="Verdana" w:eastAsia="Calibri" w:hAnsi="Verdana" w:cs="Arial"/>
          <w:color w:val="000000"/>
          <w:lang w:val="es-ES" w:eastAsia="es-ES"/>
        </w:rPr>
        <w:t>indica lo siguiente:</w:t>
      </w:r>
    </w:p>
    <w:p w14:paraId="702375D3" w14:textId="77777777" w:rsidR="001B2F1A" w:rsidRPr="00177B54" w:rsidRDefault="001B2F1A" w:rsidP="001B2F1A">
      <w:pPr>
        <w:spacing w:after="0" w:line="276" w:lineRule="auto"/>
        <w:ind w:firstLine="709"/>
        <w:jc w:val="both"/>
        <w:rPr>
          <w:rFonts w:ascii="Verdana" w:eastAsia="Calibri" w:hAnsi="Verdana" w:cs="Arial"/>
          <w:color w:val="000000"/>
          <w:lang w:val="es-ES" w:eastAsia="es-ES"/>
        </w:rPr>
      </w:pPr>
    </w:p>
    <w:p w14:paraId="1B6C124C" w14:textId="77777777" w:rsidR="001B2F1A" w:rsidRDefault="001B2F1A" w:rsidP="001B2F1A">
      <w:pPr>
        <w:spacing w:after="0" w:line="240" w:lineRule="auto"/>
        <w:ind w:left="709" w:right="709"/>
        <w:jc w:val="both"/>
        <w:rPr>
          <w:rFonts w:ascii="Verdana" w:eastAsia="Calibri" w:hAnsi="Verdana" w:cs="Arial"/>
          <w:i/>
          <w:color w:val="000000"/>
          <w:sz w:val="20"/>
          <w:szCs w:val="20"/>
          <w:lang w:val="es-ES" w:eastAsia="es-ES"/>
        </w:rPr>
      </w:pPr>
      <w:r w:rsidRPr="00CB53DA">
        <w:rPr>
          <w:rFonts w:ascii="Verdana" w:eastAsia="Calibri" w:hAnsi="Verdana" w:cs="Arial"/>
          <w:i/>
          <w:color w:val="000000"/>
          <w:sz w:val="20"/>
          <w:szCs w:val="20"/>
          <w:lang w:val="es-ES" w:eastAsia="es-ES"/>
        </w:rPr>
        <w:t>“Artículo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1C069DCA" w14:textId="77777777" w:rsidR="001B2F1A" w:rsidRPr="00CB53DA" w:rsidRDefault="001B2F1A" w:rsidP="001B2F1A">
      <w:pPr>
        <w:spacing w:after="0" w:line="240" w:lineRule="auto"/>
        <w:ind w:left="709" w:right="709"/>
        <w:jc w:val="both"/>
        <w:rPr>
          <w:rFonts w:ascii="Verdana" w:eastAsia="Calibri" w:hAnsi="Verdana" w:cs="Arial"/>
          <w:i/>
          <w:iCs/>
          <w:color w:val="000000"/>
          <w:sz w:val="20"/>
          <w:szCs w:val="20"/>
          <w:lang w:val="es-ES" w:eastAsia="es-ES"/>
        </w:rPr>
      </w:pPr>
    </w:p>
    <w:p w14:paraId="44E0205B" w14:textId="77777777" w:rsidR="001B2F1A" w:rsidRDefault="001B2F1A" w:rsidP="001B2F1A">
      <w:pPr>
        <w:pStyle w:val="Prrafodelista"/>
        <w:numPr>
          <w:ilvl w:val="0"/>
          <w:numId w:val="18"/>
        </w:numPr>
        <w:spacing w:after="0" w:line="240" w:lineRule="auto"/>
        <w:ind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El valor del Proceso de Contratación sea menor a ciento veinticinco mil dólares de los Estados Unidos de América (US$125.000), liquidados con la tasa de cambio que para el efecto determina cada dos años el Ministerio de Comercio, Industria y Turismo.</w:t>
      </w:r>
    </w:p>
    <w:p w14:paraId="654611F5" w14:textId="77777777" w:rsidR="001B2F1A" w:rsidRPr="00CB53DA" w:rsidRDefault="001B2F1A" w:rsidP="001B2F1A">
      <w:pPr>
        <w:pStyle w:val="Prrafodelista"/>
        <w:spacing w:after="0" w:line="240" w:lineRule="auto"/>
        <w:ind w:left="1069" w:right="709"/>
        <w:contextualSpacing w:val="0"/>
        <w:jc w:val="both"/>
        <w:rPr>
          <w:rFonts w:ascii="Verdana" w:eastAsia="Calibri" w:hAnsi="Verdana" w:cs="Arial"/>
          <w:i/>
          <w:iCs/>
          <w:color w:val="000000"/>
          <w:sz w:val="20"/>
          <w:szCs w:val="20"/>
          <w:lang w:eastAsia="es-ES"/>
        </w:rPr>
      </w:pPr>
    </w:p>
    <w:p w14:paraId="4C2BC81C" w14:textId="77777777" w:rsidR="001B2F1A" w:rsidRPr="00CB53DA" w:rsidRDefault="001B2F1A" w:rsidP="001B2F1A">
      <w:pPr>
        <w:pStyle w:val="Prrafodelista"/>
        <w:numPr>
          <w:ilvl w:val="0"/>
          <w:numId w:val="18"/>
        </w:numPr>
        <w:spacing w:after="0" w:line="240" w:lineRule="auto"/>
        <w:ind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 xml:space="preserve">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w:t>
      </w:r>
      <w:r w:rsidRPr="00CB53DA">
        <w:rPr>
          <w:rFonts w:ascii="Verdana" w:eastAsia="Calibri" w:hAnsi="Verdana" w:cs="Arial"/>
          <w:i/>
          <w:color w:val="000000"/>
          <w:sz w:val="20"/>
          <w:szCs w:val="20"/>
          <w:lang w:eastAsia="es-ES"/>
        </w:rPr>
        <w:lastRenderedPageBreak/>
        <w:t>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w:t>
      </w:r>
    </w:p>
    <w:p w14:paraId="46A8A76C" w14:textId="77777777" w:rsidR="001B2F1A" w:rsidRPr="00CB53DA" w:rsidRDefault="001B2F1A" w:rsidP="001B2F1A">
      <w:pPr>
        <w:pStyle w:val="Prrafodelista"/>
        <w:spacing w:after="0" w:line="240" w:lineRule="auto"/>
        <w:ind w:left="1069" w:right="709"/>
        <w:contextualSpacing w:val="0"/>
        <w:jc w:val="both"/>
        <w:rPr>
          <w:rFonts w:ascii="Verdana" w:eastAsia="Calibri" w:hAnsi="Verdana" w:cs="Arial"/>
          <w:i/>
          <w:color w:val="000000"/>
          <w:sz w:val="20"/>
          <w:szCs w:val="20"/>
          <w:lang w:eastAsia="es-ES"/>
        </w:rPr>
      </w:pPr>
    </w:p>
    <w:p w14:paraId="4F2BBE7D" w14:textId="77777777" w:rsidR="001B2F1A" w:rsidRPr="00CB53DA" w:rsidRDefault="001B2F1A" w:rsidP="001B2F1A">
      <w:pPr>
        <w:pStyle w:val="Prrafodelista"/>
        <w:spacing w:after="0" w:line="240" w:lineRule="auto"/>
        <w:ind w:left="1069"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Parágrafo. Las cooperativas y demás entidades de economía solidaria, siempre que tengan la calidad de Mipyme, podrán solicitar y participar en las convocatorias limitadas en las mismas condiciones dispuestas en el presente artículo”.</w:t>
      </w:r>
    </w:p>
    <w:p w14:paraId="5C379C99" w14:textId="77777777" w:rsidR="001B2F1A" w:rsidRDefault="001B2F1A" w:rsidP="001B2F1A">
      <w:pPr>
        <w:spacing w:after="0" w:line="276" w:lineRule="auto"/>
        <w:jc w:val="both"/>
        <w:rPr>
          <w:rFonts w:ascii="Verdana" w:eastAsia="Calibri" w:hAnsi="Verdana" w:cs="Arial"/>
          <w:color w:val="000000"/>
          <w:lang w:val="es-ES" w:eastAsia="es-ES"/>
        </w:rPr>
      </w:pPr>
    </w:p>
    <w:p w14:paraId="5C7F7598" w14:textId="77777777" w:rsidR="001B2F1A" w:rsidRPr="0033740A" w:rsidRDefault="001B2F1A" w:rsidP="001B2F1A">
      <w:pPr>
        <w:spacing w:after="120" w:line="276" w:lineRule="auto"/>
        <w:ind w:firstLine="708"/>
        <w:jc w:val="both"/>
        <w:rPr>
          <w:rFonts w:ascii="Verdana" w:eastAsia="Calibri" w:hAnsi="Verdana" w:cs="Arial"/>
        </w:rPr>
      </w:pPr>
      <w:r w:rsidRPr="0033740A">
        <w:rPr>
          <w:rFonts w:ascii="Verdana" w:eastAsia="Calibri" w:hAnsi="Verdana" w:cs="Arial"/>
        </w:rPr>
        <w:t xml:space="preserve">Así las cosas, el numeral primero del </w:t>
      </w:r>
      <w:r w:rsidRPr="0033740A">
        <w:rPr>
          <w:rFonts w:ascii="Verdana" w:eastAsia="Calibri" w:hAnsi="Verdana" w:cs="Arial"/>
          <w:lang w:val="es-ES_tradnl"/>
        </w:rPr>
        <w:t xml:space="preserve">artículo 2.2.1.2.4.2.2 del Decreto 1082 de 2015 </w:t>
      </w:r>
      <w:r w:rsidRPr="0033740A">
        <w:rPr>
          <w:rFonts w:ascii="Verdana" w:eastAsia="Calibri" w:hAnsi="Verdana" w:cs="Arial"/>
        </w:rPr>
        <w:t xml:space="preserve">limita cuantitativamente los procesos contractuales para las convocatorias limitadas a Mipyme, puesto que el valor del Proceso de Contratación debe ser “menor a ciento veinticinco mil dólares de los Estados Unidos de América”. Esto de acuerdo con la tasa que determine cada dos años el Ministerio de Comercio, Industria y Turismo. </w:t>
      </w:r>
    </w:p>
    <w:p w14:paraId="3829E955" w14:textId="77777777" w:rsidR="005C0F3D" w:rsidRDefault="001B2F1A" w:rsidP="001B2F1A">
      <w:pPr>
        <w:spacing w:after="120" w:line="276" w:lineRule="auto"/>
        <w:ind w:firstLine="708"/>
        <w:jc w:val="both"/>
        <w:rPr>
          <w:rFonts w:ascii="Verdana" w:eastAsia="Calibri" w:hAnsi="Verdana" w:cs="Arial"/>
        </w:rPr>
      </w:pPr>
      <w:r w:rsidRPr="0033740A">
        <w:rPr>
          <w:rFonts w:ascii="Verdana" w:eastAsia="Calibri" w:hAnsi="Verdana" w:cs="Arial"/>
        </w:rPr>
        <w:t xml:space="preserve">Por su parte, el numeral segundo establece que al menos dos (2) </w:t>
      </w:r>
      <w:r w:rsidR="00CF3168" w:rsidRPr="0033740A">
        <w:rPr>
          <w:rFonts w:ascii="Verdana" w:eastAsia="Calibri" w:hAnsi="Verdana" w:cs="Arial"/>
        </w:rPr>
        <w:t xml:space="preserve">Mipymes </w:t>
      </w:r>
      <w:r w:rsidRPr="0033740A">
        <w:rPr>
          <w:rFonts w:ascii="Verdana" w:eastAsia="Calibri" w:hAnsi="Verdana" w:cs="Arial"/>
        </w:rPr>
        <w:t xml:space="preserve">colombianas presenten a la entidad la solicitud de limitar el proceso contractual. Adicionalmente, exige que hagan la solicitud por lo menos un día (1) hábil antes de la expedición del acto administrativo de apertura o el que haga sus veces de acuerdo con la normativa aplicable a cada Proceso de Contratación. </w:t>
      </w:r>
    </w:p>
    <w:p w14:paraId="45AAE780" w14:textId="0E961C66" w:rsidR="001B2F1A" w:rsidRPr="0033740A" w:rsidRDefault="001B2F1A" w:rsidP="001B2F1A">
      <w:pPr>
        <w:spacing w:after="120" w:line="276" w:lineRule="auto"/>
        <w:ind w:firstLine="708"/>
        <w:jc w:val="both"/>
        <w:rPr>
          <w:rFonts w:ascii="Verdana" w:eastAsia="Calibri" w:hAnsi="Verdana" w:cs="Arial"/>
        </w:rPr>
      </w:pPr>
      <w:r w:rsidRPr="0033740A">
        <w:rPr>
          <w:rFonts w:ascii="Verdana" w:eastAsia="Calibri" w:hAnsi="Verdana" w:cs="Arial"/>
        </w:rPr>
        <w:t>Asimismo, la norma señala que, tratándose de personas jurídicas, las solicitudes solo las podrán realizar la Mipyme,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Mipyme, siempre que estas cumplan con las condiciones señaladas en el artículo.</w:t>
      </w:r>
    </w:p>
    <w:p w14:paraId="487FF297" w14:textId="043B51C8" w:rsidR="001B2F1A" w:rsidRDefault="001B2F1A" w:rsidP="001B2F1A">
      <w:pPr>
        <w:spacing w:after="120" w:line="276" w:lineRule="auto"/>
        <w:ind w:firstLine="708"/>
        <w:jc w:val="both"/>
        <w:rPr>
          <w:rFonts w:ascii="Verdana" w:eastAsia="Calibri" w:hAnsi="Verdana" w:cs="Arial"/>
          <w:lang w:val="es-ES_tradnl"/>
        </w:rPr>
      </w:pPr>
      <w:r w:rsidRPr="00177B54">
        <w:rPr>
          <w:rFonts w:ascii="Verdana" w:eastAsia="Calibri" w:hAnsi="Verdana" w:cs="Arial"/>
          <w:color w:val="000000"/>
          <w:lang w:val="es-ES" w:eastAsia="es-ES"/>
        </w:rPr>
        <w:t xml:space="preserve">Ahora bien, </w:t>
      </w:r>
      <w:r w:rsidRPr="0033740A">
        <w:rPr>
          <w:rFonts w:ascii="Verdana" w:eastAsia="Calibri" w:hAnsi="Verdana" w:cs="Arial"/>
          <w:lang w:val="es-ES_tradnl"/>
        </w:rPr>
        <w:t>el parágrafo 1 del artículo 34 de la Ley 2069 de 2020 contempla la posibilidad de limitar convocatorias a Mipymes con domicilio en dos tipos de entidades territoriales. Según el referido artículo</w:t>
      </w:r>
      <w:r w:rsidR="00451021">
        <w:rPr>
          <w:rFonts w:ascii="Verdana" w:eastAsia="Calibri" w:hAnsi="Verdana" w:cs="Arial"/>
          <w:lang w:val="es-ES_tradnl"/>
        </w:rPr>
        <w:t>:</w:t>
      </w:r>
      <w:r w:rsidRPr="0033740A">
        <w:rPr>
          <w:rFonts w:ascii="Verdana" w:eastAsia="Calibri" w:hAnsi="Verdana" w:cs="Arial"/>
          <w:lang w:val="es-ES_tradnl"/>
        </w:rPr>
        <w:t xml:space="preserve"> “En los procesos de selección que se desarrollen con base en el primer inciso, las entidades podrán realizar las convocatorias limitadas que beneficien a las MiPymes del ámbito municipal o departamental correspondiente al de la ejecución del contrato”.</w:t>
      </w:r>
      <w:r>
        <w:rPr>
          <w:rFonts w:ascii="Verdana" w:eastAsia="Calibri" w:hAnsi="Verdana" w:cs="Arial"/>
          <w:lang w:val="es-ES_tradnl"/>
        </w:rPr>
        <w:t xml:space="preserve"> </w:t>
      </w:r>
    </w:p>
    <w:p w14:paraId="6F8A6391" w14:textId="77777777" w:rsidR="001B2F1A" w:rsidRPr="00CB53DA" w:rsidRDefault="001B2F1A" w:rsidP="001B2F1A">
      <w:pPr>
        <w:spacing w:after="0" w:line="276" w:lineRule="auto"/>
        <w:ind w:firstLine="708"/>
        <w:jc w:val="both"/>
        <w:rPr>
          <w:rFonts w:ascii="Verdana" w:eastAsia="Calibri" w:hAnsi="Verdana" w:cs="Arial"/>
        </w:rPr>
      </w:pPr>
      <w:r>
        <w:rPr>
          <w:rFonts w:ascii="Verdana" w:eastAsia="Calibri" w:hAnsi="Verdana" w:cs="Arial"/>
          <w:lang w:val="es-ES_tradnl"/>
        </w:rPr>
        <w:t>R</w:t>
      </w:r>
      <w:r w:rsidRPr="00177B54">
        <w:rPr>
          <w:rFonts w:ascii="Verdana" w:eastAsia="Calibri" w:hAnsi="Verdana" w:cs="Arial"/>
          <w:color w:val="000000"/>
          <w:lang w:val="es-ES" w:eastAsia="es-ES"/>
        </w:rPr>
        <w:t xml:space="preserve">especto del domicilio de las Mipymes en el departamento o municipio donde se ejecuta el contrato, la reglamentación </w:t>
      </w:r>
      <w:r>
        <w:rPr>
          <w:rFonts w:ascii="Verdana" w:eastAsia="Calibri" w:hAnsi="Verdana" w:cs="Arial"/>
          <w:color w:val="000000"/>
          <w:lang w:val="es-ES" w:eastAsia="es-ES"/>
        </w:rPr>
        <w:t>dispone lo siguiente</w:t>
      </w:r>
      <w:r w:rsidRPr="00177B54">
        <w:rPr>
          <w:rFonts w:ascii="Verdana" w:eastAsia="Calibri" w:hAnsi="Verdana" w:cs="Arial"/>
          <w:color w:val="000000"/>
          <w:lang w:val="es-ES" w:eastAsia="es-ES"/>
        </w:rPr>
        <w:t>:</w:t>
      </w:r>
    </w:p>
    <w:p w14:paraId="2B1AB447" w14:textId="77777777" w:rsidR="001B2F1A" w:rsidRDefault="001B2F1A" w:rsidP="001B2F1A">
      <w:pPr>
        <w:spacing w:after="0" w:line="276" w:lineRule="auto"/>
        <w:ind w:left="709" w:right="709"/>
        <w:jc w:val="both"/>
        <w:rPr>
          <w:i/>
          <w:iCs/>
          <w:sz w:val="20"/>
        </w:rPr>
      </w:pPr>
    </w:p>
    <w:p w14:paraId="3A82D259" w14:textId="2F4E53CB" w:rsidR="001B2F1A" w:rsidRDefault="001B2F1A" w:rsidP="001B2F1A">
      <w:pPr>
        <w:spacing w:after="0" w:line="240" w:lineRule="auto"/>
        <w:ind w:left="709" w:right="709"/>
        <w:jc w:val="both"/>
        <w:rPr>
          <w:rFonts w:ascii="Verdana" w:eastAsia="Calibri" w:hAnsi="Verdana" w:cs="Arial"/>
          <w:color w:val="000000"/>
          <w:sz w:val="20"/>
          <w:szCs w:val="20"/>
          <w:lang w:val="es-ES" w:eastAsia="es-ES"/>
        </w:rPr>
      </w:pPr>
      <w:r w:rsidRPr="00CB53DA">
        <w:rPr>
          <w:rFonts w:ascii="Verdana" w:hAnsi="Verdana"/>
          <w:sz w:val="20"/>
          <w:szCs w:val="20"/>
        </w:rPr>
        <w:t>“</w:t>
      </w:r>
      <w:r w:rsidR="00451021" w:rsidRPr="00CB53DA">
        <w:rPr>
          <w:rFonts w:ascii="Verdana" w:eastAsia="Calibri" w:hAnsi="Verdana" w:cs="Arial"/>
          <w:color w:val="000000"/>
          <w:sz w:val="20"/>
          <w:szCs w:val="20"/>
          <w:lang w:val="es-ES" w:eastAsia="es-ES"/>
        </w:rPr>
        <w:t xml:space="preserve">Artículo </w:t>
      </w:r>
      <w:r w:rsidRPr="00CB53DA">
        <w:rPr>
          <w:rFonts w:ascii="Verdana" w:eastAsia="Calibri" w:hAnsi="Verdana" w:cs="Arial"/>
          <w:color w:val="000000"/>
          <w:sz w:val="20"/>
          <w:szCs w:val="20"/>
          <w:lang w:val="es-ES" w:eastAsia="es-ES"/>
        </w:rPr>
        <w:t>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47CC6FE8" w14:textId="77777777" w:rsidR="001B2F1A" w:rsidRPr="00CB53DA" w:rsidRDefault="001B2F1A" w:rsidP="001B2F1A">
      <w:pPr>
        <w:spacing w:after="0" w:line="240" w:lineRule="auto"/>
        <w:ind w:left="709" w:right="709"/>
        <w:jc w:val="both"/>
        <w:rPr>
          <w:rFonts w:ascii="Verdana" w:eastAsia="Calibri" w:hAnsi="Verdana" w:cs="Arial"/>
          <w:color w:val="000000"/>
          <w:sz w:val="20"/>
          <w:szCs w:val="20"/>
          <w:lang w:val="es-ES" w:eastAsia="es-ES"/>
        </w:rPr>
      </w:pPr>
    </w:p>
    <w:p w14:paraId="08EDED61" w14:textId="77777777" w:rsidR="001B2F1A" w:rsidRPr="00CB53DA" w:rsidRDefault="001B2F1A" w:rsidP="001B2F1A">
      <w:pPr>
        <w:spacing w:after="0" w:line="240" w:lineRule="auto"/>
        <w:ind w:left="709" w:right="709"/>
        <w:jc w:val="both"/>
        <w:rPr>
          <w:rFonts w:ascii="Verdana" w:eastAsia="Calibri" w:hAnsi="Verdana" w:cs="Arial"/>
          <w:color w:val="000000"/>
          <w:sz w:val="20"/>
          <w:szCs w:val="20"/>
          <w:lang w:val="es-ES" w:eastAsia="es-ES"/>
        </w:rPr>
      </w:pPr>
      <w:r w:rsidRPr="00CB53DA">
        <w:rPr>
          <w:rFonts w:ascii="Verdana" w:eastAsia="Calibri" w:hAnsi="Verdana" w:cs="Arial"/>
          <w:color w:val="000000"/>
          <w:sz w:val="20"/>
          <w:szCs w:val="20"/>
          <w:lang w:val="es-ES" w:eastAsia="es-ES"/>
        </w:rPr>
        <w:t>(…)</w:t>
      </w:r>
      <w:r>
        <w:rPr>
          <w:rFonts w:ascii="Verdana" w:eastAsia="Calibri" w:hAnsi="Verdana" w:cs="Arial"/>
          <w:color w:val="000000"/>
          <w:sz w:val="20"/>
          <w:szCs w:val="20"/>
          <w:lang w:val="es-ES" w:eastAsia="es-ES"/>
        </w:rPr>
        <w:t xml:space="preserve"> </w:t>
      </w:r>
      <w:r w:rsidRPr="00CB53DA">
        <w:rPr>
          <w:rFonts w:ascii="Verdana" w:eastAsia="Calibri" w:hAnsi="Verdana" w:cs="Arial"/>
          <w:color w:val="000000"/>
          <w:sz w:val="20"/>
          <w:szCs w:val="20"/>
          <w:lang w:val="es-ES" w:eastAsia="es-ES"/>
        </w:rPr>
        <w:t>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p w14:paraId="2AB84A67" w14:textId="77777777" w:rsidR="001B2F1A" w:rsidRPr="00CB53DA" w:rsidRDefault="001B2F1A" w:rsidP="001B2F1A">
      <w:pPr>
        <w:spacing w:after="0" w:line="276" w:lineRule="auto"/>
        <w:jc w:val="both"/>
        <w:rPr>
          <w:rFonts w:ascii="Verdana" w:eastAsia="Calibri" w:hAnsi="Verdana" w:cs="Arial"/>
          <w:i/>
          <w:color w:val="000000"/>
          <w:lang w:val="es-ES" w:eastAsia="es-ES"/>
        </w:rPr>
      </w:pPr>
    </w:p>
    <w:p w14:paraId="7B0B12AD" w14:textId="77777777" w:rsidR="001B2F1A" w:rsidRPr="007733B6" w:rsidRDefault="001B2F1A" w:rsidP="00B678ED">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La norma reglamentaria coincide con la redacción del parágrafo 1º del artículo 34 de la Ley 2069 de 2020, según el cual sí es posible limitar convocatorias a la participación de Mipymes “(…) del ámbito municipal o departamental correspondiente al de la ejecución del contrato”. En tales términos, la norma citada sólo contempla la posibilidad de limitar convocatorias a Mipymes con domicilio en esos dos tipos de entidades territoriales.</w:t>
      </w:r>
    </w:p>
    <w:p w14:paraId="72D87F11" w14:textId="2E75A9EC" w:rsidR="001B2F1A" w:rsidRPr="007733B6" w:rsidRDefault="001B2F1A" w:rsidP="00B678E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E</w:t>
      </w:r>
      <w:r w:rsidRPr="007733B6">
        <w:rPr>
          <w:rFonts w:ascii="Verdana" w:eastAsia="Calibri" w:hAnsi="Verdana" w:cs="Arial"/>
          <w:color w:val="000000"/>
          <w:lang w:val="es-ES" w:eastAsia="es-ES"/>
        </w:rPr>
        <w:t>l artículo 2.2.1.2.4.2.3. del Decreto 1082 de 2015, modificado por el artículo 5 del Decreto 1860 de 2021</w:t>
      </w:r>
      <w:r w:rsidR="004F5862">
        <w:rPr>
          <w:rFonts w:ascii="Verdana" w:eastAsia="Calibri" w:hAnsi="Verdana" w:cs="Arial"/>
          <w:color w:val="000000"/>
          <w:lang w:val="es-ES" w:eastAsia="es-ES"/>
        </w:rPr>
        <w:t>,</w:t>
      </w:r>
      <w:r w:rsidRPr="007733B6">
        <w:rPr>
          <w:rFonts w:ascii="Verdana" w:eastAsia="Calibri" w:hAnsi="Verdana" w:cs="Arial"/>
          <w:color w:val="000000"/>
          <w:lang w:val="es-ES" w:eastAsia="es-ES"/>
        </w:rPr>
        <w:t xml:space="preserve"> se refiere a las “MiPyme colombianas que tengan domicilio en los departamentos o municipios en donde se va a ejecutar el contrato”. Esta precisión es importante, pues el incentivo previsto en la norma únicamente aplica en el lugar de ejecución del contrato en el que la Mipyme tiene su “domicilio” y no en donde tiene sucursales, agencias o establecimientos de comercio.</w:t>
      </w:r>
    </w:p>
    <w:p w14:paraId="768F91B4" w14:textId="77777777" w:rsidR="001B2F1A" w:rsidRDefault="001B2F1A" w:rsidP="00B678ED">
      <w:pPr>
        <w:spacing w:after="120" w:line="276" w:lineRule="auto"/>
        <w:ind w:firstLine="708"/>
        <w:jc w:val="both"/>
        <w:rPr>
          <w:rFonts w:ascii="Verdana" w:eastAsia="Calibri" w:hAnsi="Verdana" w:cs="Arial"/>
        </w:rPr>
      </w:pPr>
      <w:r>
        <w:rPr>
          <w:rFonts w:ascii="Verdana" w:eastAsia="Calibri" w:hAnsi="Verdana" w:cs="Arial"/>
          <w:lang w:val="es-ES"/>
        </w:rPr>
        <w:t>Conforme a lo expuesto, c</w:t>
      </w:r>
      <w:r w:rsidRPr="00FC4E33">
        <w:rPr>
          <w:rFonts w:ascii="Verdana" w:eastAsia="Calibri" w:hAnsi="Verdana" w:cs="Arial"/>
          <w:lang w:val="es-ES"/>
        </w:rPr>
        <w:t>umplidos los dos requisitos del artículo 2</w:t>
      </w:r>
      <w:r w:rsidRPr="00FC4E33">
        <w:rPr>
          <w:rFonts w:ascii="Verdana" w:eastAsia="Calibri" w:hAnsi="Verdana" w:cs="Arial"/>
        </w:rPr>
        <w:t xml:space="preserve">.2.1.2.4.2.2. </w:t>
      </w:r>
      <w:r w:rsidRPr="00FC4E33">
        <w:rPr>
          <w:rFonts w:ascii="Verdana" w:eastAsia="Calibri" w:hAnsi="Verdana" w:cs="Arial"/>
          <w:i/>
          <w:iCs/>
        </w:rPr>
        <w:t>ibidem</w:t>
      </w:r>
      <w:r w:rsidRPr="00FC4E33">
        <w:rPr>
          <w:rFonts w:ascii="Verdana" w:eastAsia="Calibri" w:hAnsi="Verdana" w:cs="Arial"/>
          <w:lang w:val="es-ES"/>
        </w:rPr>
        <w:t>, la entidad</w:t>
      </w:r>
      <w:r w:rsidRPr="00FC4E33">
        <w:rPr>
          <w:rFonts w:ascii="Verdana" w:eastAsia="Calibri" w:hAnsi="Verdana" w:cs="Arial"/>
        </w:rPr>
        <w:t xml:space="preserve"> puede ─no tiene que─ decidir si limita la convocatoria a las Mipymes nacionales domiciliadas en el municipio o departamento en el que se ejecutará el contrato</w:t>
      </w:r>
      <w:r w:rsidRPr="00FA09A1">
        <w:rPr>
          <w:rFonts w:ascii="Verdana" w:eastAsia="Calibri" w:hAnsi="Verdana" w:cs="Arial"/>
        </w:rPr>
        <w:t>.</w:t>
      </w:r>
      <w:r w:rsidRPr="00FC4E33">
        <w:rPr>
          <w:rFonts w:ascii="Verdana" w:eastAsia="Calibri" w:hAnsi="Verdana" w:cs="Arial"/>
        </w:rPr>
        <w:t xml:space="preserve"> Esto de acuerdo con lo establecido en artículo 2.2.1.2.4.2.3. del Decreto 1082 de 2015, norma que se refiere a la facultad de la administración con el verbo infinitivo “poder”, no “deber”. </w:t>
      </w:r>
      <w:r>
        <w:rPr>
          <w:rFonts w:ascii="Verdana" w:eastAsia="Calibri" w:hAnsi="Verdana" w:cs="Arial"/>
        </w:rPr>
        <w:t xml:space="preserve"> </w:t>
      </w:r>
    </w:p>
    <w:p w14:paraId="7CD5A132" w14:textId="77777777" w:rsidR="001B2F1A" w:rsidRDefault="001B2F1A" w:rsidP="00B678ED">
      <w:pPr>
        <w:spacing w:after="120" w:line="276" w:lineRule="auto"/>
        <w:ind w:firstLine="708"/>
        <w:jc w:val="both"/>
        <w:rPr>
          <w:rFonts w:ascii="Verdana" w:eastAsia="Calibri" w:hAnsi="Verdana" w:cs="Arial"/>
          <w:lang w:val="es-ES"/>
        </w:rPr>
      </w:pPr>
      <w:r w:rsidRPr="0033740A">
        <w:rPr>
          <w:rFonts w:ascii="Verdana" w:hAnsi="Verdana" w:cs="Arial"/>
          <w:color w:val="000000" w:themeColor="text1"/>
        </w:rPr>
        <w:lastRenderedPageBreak/>
        <w:t xml:space="preserve">En tal sentido, </w:t>
      </w:r>
      <w:r w:rsidRPr="0033740A">
        <w:rPr>
          <w:rFonts w:ascii="Verdana" w:eastAsia="Calibri" w:hAnsi="Verdana" w:cs="Arial"/>
          <w:color w:val="000000" w:themeColor="text1"/>
        </w:rPr>
        <w:t>lo que debe adoptarse obligatoriamente es la</w:t>
      </w:r>
      <w:r w:rsidRPr="0033740A">
        <w:rPr>
          <w:rFonts w:ascii="Verdana" w:hAnsi="Verdana" w:cs="Arial"/>
          <w:color w:val="000000" w:themeColor="text1"/>
        </w:rPr>
        <w:t xml:space="preserve"> limitación a Mipymes colombianas</w:t>
      </w:r>
      <w:r w:rsidRPr="0033740A">
        <w:rPr>
          <w:rFonts w:ascii="Verdana" w:eastAsia="Calibri" w:hAnsi="Verdana" w:cs="Arial"/>
          <w:color w:val="000000" w:themeColor="text1"/>
        </w:rPr>
        <w:t xml:space="preserve"> siempre que se cumplan las condiciones del artículo 2.2.1.2.4.2.2 del Decreto 1082 de 2015, </w:t>
      </w:r>
      <w:bookmarkStart w:id="6" w:name="_Hlk205824878"/>
      <w:r w:rsidRPr="00FA09A1">
        <w:rPr>
          <w:rFonts w:ascii="Verdana" w:eastAsia="Calibri" w:hAnsi="Verdana" w:cs="Arial"/>
          <w:lang w:val="es-ES"/>
        </w:rPr>
        <w:t xml:space="preserve">pero no la “limitación territorial” referida en el artículo 2.2.1.2.4.2.3 ibidem, pues esta, como ya se dijo, es facultativa para la entidad. Las únicas exigencias son que la convocatoria esté limitada a las Mipyme nacionales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w:t>
      </w:r>
      <w:r w:rsidRPr="00F04B75">
        <w:rPr>
          <w:rFonts w:ascii="Verdana" w:eastAsia="Calibri" w:hAnsi="Verdana" w:cs="Arial"/>
          <w:lang w:val="es-ES"/>
        </w:rPr>
        <w:t>1082 de 2015.</w:t>
      </w:r>
      <w:bookmarkEnd w:id="6"/>
    </w:p>
    <w:p w14:paraId="2A95F047" w14:textId="77777777" w:rsidR="001B2F1A" w:rsidRDefault="001B2F1A" w:rsidP="00B678ED">
      <w:pPr>
        <w:spacing w:after="120" w:line="276" w:lineRule="auto"/>
        <w:ind w:firstLine="708"/>
        <w:jc w:val="both"/>
        <w:rPr>
          <w:rFonts w:ascii="Verdana" w:eastAsia="Calibri" w:hAnsi="Verdana" w:cs="Arial"/>
        </w:rPr>
      </w:pPr>
      <w:r w:rsidRPr="00FC4E33">
        <w:rPr>
          <w:rFonts w:ascii="Verdana" w:eastAsia="Calibri" w:hAnsi="Verdana" w:cs="Arial"/>
        </w:rPr>
        <w:t xml:space="preserve">En cualquier caso, </w:t>
      </w:r>
      <w:r>
        <w:rPr>
          <w:rFonts w:ascii="Verdana" w:eastAsia="Calibri" w:hAnsi="Verdana" w:cs="Arial"/>
        </w:rPr>
        <w:t>l</w:t>
      </w:r>
      <w:r w:rsidRPr="00212FD7">
        <w:rPr>
          <w:rFonts w:ascii="Verdana" w:eastAsia="Calibri" w:hAnsi="Verdana" w:cs="Arial"/>
        </w:rPr>
        <w:t>a Agencia Nacional de Contratación Pública – Colombia Compra Eficiente ha sostenido que la decisión de limitar territorialmente una convocatoria a Mi</w:t>
      </w:r>
      <w:r>
        <w:rPr>
          <w:rFonts w:ascii="Verdana" w:eastAsia="Calibri" w:hAnsi="Verdana" w:cs="Arial"/>
        </w:rPr>
        <w:t>p</w:t>
      </w:r>
      <w:r w:rsidRPr="00212FD7">
        <w:rPr>
          <w:rFonts w:ascii="Verdana" w:eastAsia="Calibri" w:hAnsi="Verdana" w:cs="Arial"/>
        </w:rPr>
        <w:t xml:space="preserve">ymes es discrecional, y ha precisado que, de todos modos, esta debe justificarse con fundamento en los correspondientes “estudios del sector”, como se puede encontrar detalladamente en la </w:t>
      </w:r>
      <w:r>
        <w:rPr>
          <w:rFonts w:ascii="Verdana" w:eastAsia="Calibri" w:hAnsi="Verdana" w:cs="Arial"/>
        </w:rPr>
        <w:t>“</w:t>
      </w:r>
      <w:r w:rsidRPr="00212FD7">
        <w:rPr>
          <w:rFonts w:ascii="Verdana" w:eastAsia="Calibri" w:hAnsi="Verdana" w:cs="Arial"/>
        </w:rPr>
        <w:t>Guía para promover</w:t>
      </w:r>
      <w:r>
        <w:rPr>
          <w:rFonts w:ascii="Verdana" w:eastAsia="Calibri" w:hAnsi="Verdana" w:cs="Arial"/>
        </w:rPr>
        <w:t xml:space="preserve"> </w:t>
      </w:r>
      <w:r w:rsidRPr="00212FD7">
        <w:rPr>
          <w:rFonts w:ascii="Verdana" w:eastAsia="Calibri" w:hAnsi="Verdana" w:cs="Arial"/>
        </w:rPr>
        <w:t>la participación de las Mipymes en los Procesos de Compra y</w:t>
      </w:r>
      <w:r>
        <w:rPr>
          <w:rFonts w:ascii="Verdana" w:eastAsia="Calibri" w:hAnsi="Verdana" w:cs="Arial"/>
        </w:rPr>
        <w:t xml:space="preserve"> </w:t>
      </w:r>
      <w:r w:rsidRPr="00212FD7">
        <w:rPr>
          <w:rFonts w:ascii="Verdana" w:eastAsia="Calibri" w:hAnsi="Verdana" w:cs="Arial"/>
        </w:rPr>
        <w:t>Contratación Públic</w:t>
      </w:r>
      <w:r>
        <w:rPr>
          <w:rFonts w:ascii="Verdana" w:eastAsia="Calibri" w:hAnsi="Verdana" w:cs="Arial"/>
        </w:rPr>
        <w:t>a”</w:t>
      </w:r>
      <w:r>
        <w:rPr>
          <w:rStyle w:val="Refdenotaalpie"/>
          <w:rFonts w:ascii="Verdana" w:eastAsia="Calibri" w:hAnsi="Verdana" w:cs="Arial"/>
        </w:rPr>
        <w:footnoteReference w:id="3"/>
      </w:r>
      <w:r>
        <w:rPr>
          <w:rFonts w:ascii="Verdana" w:eastAsia="Calibri" w:hAnsi="Verdana" w:cs="Arial"/>
        </w:rPr>
        <w:t>, expedida por esta Agencia.</w:t>
      </w:r>
    </w:p>
    <w:p w14:paraId="1DC6EF69" w14:textId="2FCC2071" w:rsidR="00CB5A57" w:rsidRPr="0033740A" w:rsidRDefault="001B2F1A" w:rsidP="00CB5A57">
      <w:pPr>
        <w:spacing w:after="120" w:line="276" w:lineRule="auto"/>
        <w:ind w:firstLine="708"/>
        <w:jc w:val="both"/>
        <w:rPr>
          <w:rFonts w:ascii="Verdana" w:hAnsi="Verdana"/>
        </w:rPr>
      </w:pPr>
      <w:r>
        <w:rPr>
          <w:rFonts w:ascii="Verdana" w:eastAsia="Calibri" w:hAnsi="Verdana" w:cs="Arial"/>
          <w:color w:val="000000" w:themeColor="text1"/>
          <w:lang w:val="es-ES"/>
        </w:rPr>
        <w:t>Ahora bien, en atención al problema jurídico planteado</w:t>
      </w:r>
      <w:r w:rsidDel="00CB5A57">
        <w:rPr>
          <w:rFonts w:ascii="Verdana" w:eastAsia="Arial" w:hAnsi="Verdana" w:cs="Arial"/>
        </w:rPr>
        <w:t xml:space="preserve">, </w:t>
      </w:r>
      <w:r w:rsidR="00CB5A57" w:rsidRPr="0033740A">
        <w:rPr>
          <w:rFonts w:ascii="Verdana" w:eastAsia="Arial" w:hAnsi="Verdana" w:cs="Arial"/>
        </w:rPr>
        <w:t>relacionado con si en una Entidad revertir una limitación a Mipyme</w:t>
      </w:r>
      <w:r w:rsidR="00CB5A57">
        <w:rPr>
          <w:rFonts w:ascii="Verdana" w:eastAsia="Arial" w:hAnsi="Verdana" w:cs="Arial"/>
        </w:rPr>
        <w:t>,</w:t>
      </w:r>
      <w:r w:rsidR="00CB5A57" w:rsidRPr="0033740A">
        <w:rPr>
          <w:rFonts w:ascii="Verdana" w:eastAsia="Arial" w:hAnsi="Verdana" w:cs="Arial"/>
        </w:rPr>
        <w:t xml:space="preserve"> esta Agencia ha sostenido, en conceptos como el C-213 de 2022 que, el procedimiento contractual que debe agotarse para contratar los bienes y servicios que se requieren en un caso determinado es reglado. </w:t>
      </w:r>
      <w:r w:rsidR="00CB5A57">
        <w:rPr>
          <w:rFonts w:ascii="Verdana" w:eastAsia="Arial" w:hAnsi="Verdana" w:cs="Arial"/>
        </w:rPr>
        <w:t>Por lo anterior</w:t>
      </w:r>
      <w:r w:rsidR="00CB5A57" w:rsidRPr="0033740A">
        <w:rPr>
          <w:rFonts w:ascii="Verdana" w:eastAsia="Arial" w:hAnsi="Verdana" w:cs="Arial"/>
        </w:rPr>
        <w:t>, las entidades públicas deben aplicar las etapas y trámites expresamente previstos en las normas para el efecto. En este sentido, la regulación contenida en las disposiciones legales contenidas en el Estatuto General de Contratación de la Administración Pública y las normas reglamentarias en la materia no consagran un procedimiento especial que permita revertir la decisión de limitar un proceso de selección a Mipyme.</w:t>
      </w:r>
    </w:p>
    <w:p w14:paraId="73DB5114" w14:textId="77777777" w:rsidR="00CB5A57" w:rsidRPr="0033740A" w:rsidRDefault="00CB5A57" w:rsidP="00CB5A57">
      <w:pPr>
        <w:spacing w:after="0" w:line="276" w:lineRule="auto"/>
        <w:ind w:firstLine="709"/>
        <w:jc w:val="both"/>
        <w:rPr>
          <w:rFonts w:ascii="Verdana" w:hAnsi="Verdana"/>
        </w:rPr>
      </w:pPr>
      <w:r>
        <w:rPr>
          <w:rFonts w:ascii="Verdana" w:eastAsia="Arial" w:hAnsi="Verdana" w:cs="Arial"/>
        </w:rPr>
        <w:t>E</w:t>
      </w:r>
      <w:r w:rsidRPr="0033740A">
        <w:rPr>
          <w:rFonts w:ascii="Verdana" w:eastAsia="Arial" w:hAnsi="Verdana" w:cs="Arial"/>
        </w:rPr>
        <w:t xml:space="preserve">s importante tener en cuenta que la decisión de limitar el proceso de selección a Mipyme se adopta mediante el acto de apertura del respectivo proceso de selección, el cual se somete a las reglas fijadas en el CPACA para su revocatoria directa, ante la ausencia de regulación sobre el particular en el Decreto 1082 del 2015. De manera que, en el evento que se advierta la </w:t>
      </w:r>
      <w:r w:rsidRPr="0033740A">
        <w:rPr>
          <w:rFonts w:ascii="Verdana" w:eastAsia="Arial" w:hAnsi="Verdana" w:cs="Arial"/>
        </w:rPr>
        <w:lastRenderedPageBreak/>
        <w:t>concurrencia de alguna de las causales consagradas en el artículo 93 del CPACA</w:t>
      </w:r>
      <w:r w:rsidRPr="0033740A">
        <w:rPr>
          <w:rFonts w:ascii="Verdana" w:eastAsia="Arial" w:hAnsi="Verdana" w:cs="Arial"/>
          <w:vertAlign w:val="superscript"/>
        </w:rPr>
        <w:footnoteReference w:id="4"/>
      </w:r>
      <w:r w:rsidRPr="0033740A">
        <w:rPr>
          <w:rFonts w:ascii="Verdana" w:eastAsia="Arial" w:hAnsi="Verdana" w:cs="Arial"/>
        </w:rPr>
        <w:t>, la respectiva entidad podrá acudir a esta figura, previo análisis y motivación del caso. Sin embargo, el análisis concreto respecto a la forma como la entidad actúa frente a estos eventos corresponde realizarlo a cada una de ellas, teniendo en cuenta, además, las precisiones realizadas en este concepto respecto a los requisitos para que procedan las convocatorias limitadas a Mipymes.</w:t>
      </w:r>
    </w:p>
    <w:bookmarkEnd w:id="5"/>
    <w:p w14:paraId="741EA051" w14:textId="77777777" w:rsidR="001B2F1A" w:rsidRPr="004F7B86" w:rsidRDefault="001B2F1A" w:rsidP="00CB5A57">
      <w:pPr>
        <w:spacing w:after="120" w:line="276" w:lineRule="auto"/>
        <w:ind w:firstLine="709"/>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5F92608" w14:textId="77777777" w:rsidR="001B2F1A" w:rsidRDefault="001B2F1A" w:rsidP="001B2F1A">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234DC3E" w14:textId="77777777" w:rsidR="001B2F1A" w:rsidRPr="007163DD" w:rsidRDefault="001B2F1A" w:rsidP="007163DD">
      <w:pPr>
        <w:spacing w:after="0" w:line="276" w:lineRule="auto"/>
        <w:ind w:firstLine="708"/>
        <w:jc w:val="both"/>
        <w:rPr>
          <w:rFonts w:ascii="Verdana" w:eastAsia="Calibri" w:hAnsi="Verdana" w:cs="Times New Roman"/>
          <w:lang w:val="es-ES"/>
        </w:rPr>
      </w:pPr>
    </w:p>
    <w:p w14:paraId="50F22079" w14:textId="77777777" w:rsidR="001B2F1A" w:rsidRPr="007163DD" w:rsidRDefault="001B2F1A" w:rsidP="007163DD">
      <w:pPr>
        <w:pStyle w:val="Prrafodelista"/>
        <w:numPr>
          <w:ilvl w:val="0"/>
          <w:numId w:val="16"/>
        </w:numPr>
        <w:spacing w:after="0" w:line="276" w:lineRule="auto"/>
        <w:ind w:left="284"/>
        <w:jc w:val="both"/>
        <w:rPr>
          <w:rFonts w:ascii="Verdana" w:eastAsia="Century Gothic" w:hAnsi="Verdana" w:cs="Century Gothic"/>
          <w:b/>
          <w:bCs/>
        </w:rPr>
      </w:pPr>
      <w:r w:rsidRPr="007163DD">
        <w:rPr>
          <w:rFonts w:ascii="Verdana" w:eastAsia="Century Gothic" w:hAnsi="Verdana" w:cs="Century Gothic"/>
          <w:b/>
          <w:bCs/>
        </w:rPr>
        <w:t>Referencias normativas, jurisprudenciales y otras fuentes:</w:t>
      </w:r>
    </w:p>
    <w:p w14:paraId="73D495A6" w14:textId="77777777" w:rsidR="001B2F1A" w:rsidRPr="007163DD" w:rsidRDefault="001B2F1A" w:rsidP="007163D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B2F1A" w:rsidRPr="00593A5F" w14:paraId="4E827280" w14:textId="77777777" w:rsidTr="00E11A84">
        <w:trPr>
          <w:trHeight w:val="870"/>
        </w:trPr>
        <w:tc>
          <w:tcPr>
            <w:tcW w:w="8647" w:type="dxa"/>
          </w:tcPr>
          <w:p w14:paraId="256E9103" w14:textId="77777777" w:rsidR="001B2F1A" w:rsidRPr="007163DD" w:rsidRDefault="001B2F1A" w:rsidP="007163DD">
            <w:pPr>
              <w:pStyle w:val="Textoindependiente"/>
              <w:numPr>
                <w:ilvl w:val="0"/>
                <w:numId w:val="17"/>
              </w:numPr>
              <w:tabs>
                <w:tab w:val="left" w:pos="816"/>
              </w:tabs>
              <w:spacing w:after="120" w:line="276" w:lineRule="auto"/>
              <w:ind w:left="357" w:hanging="357"/>
              <w:rPr>
                <w:rFonts w:ascii="Verdana" w:hAnsi="Verdana"/>
              </w:rPr>
            </w:pPr>
            <w:r w:rsidRPr="007163DD">
              <w:rPr>
                <w:rFonts w:ascii="Verdana" w:hAnsi="Verdana"/>
              </w:rPr>
              <w:t>Ley</w:t>
            </w:r>
            <w:r w:rsidRPr="007163DD">
              <w:rPr>
                <w:rFonts w:ascii="Verdana" w:hAnsi="Verdana"/>
                <w:spacing w:val="-8"/>
              </w:rPr>
              <w:t xml:space="preserve"> </w:t>
            </w:r>
            <w:r w:rsidRPr="007163DD">
              <w:rPr>
                <w:rFonts w:ascii="Verdana" w:hAnsi="Verdana"/>
              </w:rPr>
              <w:t>2069</w:t>
            </w:r>
            <w:r w:rsidRPr="007163DD">
              <w:rPr>
                <w:rFonts w:ascii="Verdana" w:hAnsi="Verdana"/>
                <w:spacing w:val="-7"/>
              </w:rPr>
              <w:t xml:space="preserve"> </w:t>
            </w:r>
            <w:r w:rsidRPr="007163DD">
              <w:rPr>
                <w:rFonts w:ascii="Verdana" w:hAnsi="Verdana"/>
              </w:rPr>
              <w:t>de</w:t>
            </w:r>
            <w:r w:rsidRPr="007163DD">
              <w:rPr>
                <w:rFonts w:ascii="Verdana" w:hAnsi="Verdana"/>
                <w:spacing w:val="-7"/>
              </w:rPr>
              <w:t xml:space="preserve"> </w:t>
            </w:r>
            <w:r w:rsidRPr="007163DD">
              <w:rPr>
                <w:rFonts w:ascii="Verdana" w:hAnsi="Verdana"/>
                <w:spacing w:val="-4"/>
              </w:rPr>
              <w:t>2020: Artículo 34.</w:t>
            </w:r>
          </w:p>
          <w:p w14:paraId="1DBDF5F6" w14:textId="77777777" w:rsidR="001B2F1A" w:rsidRPr="007163DD" w:rsidRDefault="001B2F1A" w:rsidP="007163DD">
            <w:pPr>
              <w:pStyle w:val="Textoindependiente"/>
              <w:numPr>
                <w:ilvl w:val="0"/>
                <w:numId w:val="17"/>
              </w:numPr>
              <w:tabs>
                <w:tab w:val="left" w:pos="822"/>
              </w:tabs>
              <w:spacing w:after="120" w:line="276" w:lineRule="auto"/>
              <w:ind w:left="357" w:hanging="357"/>
              <w:rPr>
                <w:rFonts w:ascii="Verdana" w:hAnsi="Verdana"/>
              </w:rPr>
            </w:pPr>
            <w:r w:rsidRPr="007163DD">
              <w:rPr>
                <w:rFonts w:ascii="Verdana" w:hAnsi="Verdana"/>
              </w:rPr>
              <w:t>Decreto</w:t>
            </w:r>
            <w:r w:rsidRPr="007163DD">
              <w:rPr>
                <w:rFonts w:ascii="Verdana" w:hAnsi="Verdana"/>
                <w:spacing w:val="-10"/>
              </w:rPr>
              <w:t xml:space="preserve"> </w:t>
            </w:r>
            <w:r w:rsidRPr="007163DD">
              <w:rPr>
                <w:rFonts w:ascii="Verdana" w:hAnsi="Verdana"/>
              </w:rPr>
              <w:t>1860</w:t>
            </w:r>
            <w:r w:rsidRPr="007163DD">
              <w:rPr>
                <w:rFonts w:ascii="Verdana" w:hAnsi="Verdana"/>
                <w:spacing w:val="-10"/>
              </w:rPr>
              <w:t xml:space="preserve"> </w:t>
            </w:r>
            <w:r w:rsidRPr="007163DD">
              <w:rPr>
                <w:rFonts w:ascii="Verdana" w:hAnsi="Verdana"/>
              </w:rPr>
              <w:t>de</w:t>
            </w:r>
            <w:r w:rsidRPr="007163DD">
              <w:rPr>
                <w:rFonts w:ascii="Verdana" w:hAnsi="Verdana"/>
                <w:spacing w:val="-10"/>
              </w:rPr>
              <w:t xml:space="preserve"> </w:t>
            </w:r>
            <w:r w:rsidRPr="007163DD">
              <w:rPr>
                <w:rFonts w:ascii="Verdana" w:hAnsi="Verdana"/>
                <w:spacing w:val="-4"/>
              </w:rPr>
              <w:t>2021: Artículo 5.</w:t>
            </w:r>
          </w:p>
          <w:p w14:paraId="1B9197FD" w14:textId="77777777" w:rsidR="001B2F1A" w:rsidRPr="007163DD" w:rsidRDefault="001B2F1A" w:rsidP="007163DD">
            <w:pPr>
              <w:pStyle w:val="Prrafodelista"/>
              <w:widowControl w:val="0"/>
              <w:numPr>
                <w:ilvl w:val="0"/>
                <w:numId w:val="17"/>
              </w:numPr>
              <w:autoSpaceDE w:val="0"/>
              <w:autoSpaceDN w:val="0"/>
              <w:spacing w:after="120" w:line="276" w:lineRule="auto"/>
              <w:ind w:left="357" w:hanging="357"/>
              <w:contextualSpacing w:val="0"/>
              <w:jc w:val="both"/>
              <w:rPr>
                <w:rFonts w:ascii="Verdana" w:hAnsi="Verdana" w:cs="Arial"/>
              </w:rPr>
            </w:pPr>
            <w:r w:rsidRPr="007163DD">
              <w:rPr>
                <w:rFonts w:ascii="Verdana" w:hAnsi="Verdana"/>
              </w:rPr>
              <w:t>Decreto</w:t>
            </w:r>
            <w:r w:rsidRPr="007163DD">
              <w:rPr>
                <w:rFonts w:ascii="Verdana" w:hAnsi="Verdana"/>
                <w:spacing w:val="-10"/>
              </w:rPr>
              <w:t xml:space="preserve"> </w:t>
            </w:r>
            <w:r w:rsidRPr="007163DD">
              <w:rPr>
                <w:rFonts w:ascii="Verdana" w:hAnsi="Verdana"/>
              </w:rPr>
              <w:t>1082</w:t>
            </w:r>
            <w:r w:rsidRPr="007163DD">
              <w:rPr>
                <w:rFonts w:ascii="Verdana" w:hAnsi="Verdana"/>
                <w:spacing w:val="-10"/>
              </w:rPr>
              <w:t xml:space="preserve"> </w:t>
            </w:r>
            <w:r w:rsidRPr="007163DD">
              <w:rPr>
                <w:rFonts w:ascii="Verdana" w:hAnsi="Verdana"/>
              </w:rPr>
              <w:t>de</w:t>
            </w:r>
            <w:r w:rsidRPr="007163DD">
              <w:rPr>
                <w:rFonts w:ascii="Verdana" w:hAnsi="Verdana"/>
                <w:spacing w:val="-10"/>
              </w:rPr>
              <w:t xml:space="preserve"> </w:t>
            </w:r>
            <w:r w:rsidRPr="007163DD">
              <w:rPr>
                <w:rFonts w:ascii="Verdana" w:hAnsi="Verdana"/>
                <w:spacing w:val="-4"/>
              </w:rPr>
              <w:t>2015: Artículos 2.2.1.2.4.2.2. y 2.2.1.2.4.2.4.</w:t>
            </w:r>
          </w:p>
          <w:p w14:paraId="3B809289" w14:textId="77777777" w:rsidR="001B2F1A" w:rsidRPr="007163DD" w:rsidRDefault="001B2F1A" w:rsidP="00A467B8">
            <w:pPr>
              <w:pStyle w:val="Prrafodelista"/>
              <w:widowControl w:val="0"/>
              <w:numPr>
                <w:ilvl w:val="0"/>
                <w:numId w:val="17"/>
              </w:numPr>
              <w:autoSpaceDE w:val="0"/>
              <w:autoSpaceDN w:val="0"/>
              <w:spacing w:line="276" w:lineRule="auto"/>
              <w:ind w:left="312"/>
              <w:jc w:val="both"/>
              <w:rPr>
                <w:rFonts w:ascii="Verdana" w:hAnsi="Verdana" w:cs="Arial"/>
              </w:rPr>
            </w:pPr>
            <w:r w:rsidRPr="007163DD">
              <w:rPr>
                <w:rFonts w:ascii="Verdana" w:hAnsi="Verdana"/>
              </w:rPr>
              <w:t>Agencia Nacional de Contratación Pública – Colombia Compra Eficiente.</w:t>
            </w:r>
            <w:r w:rsidRPr="007163DD">
              <w:rPr>
                <w:rFonts w:ascii="Verdana" w:eastAsia="Calibri" w:hAnsi="Verdana" w:cs="Arial"/>
              </w:rPr>
              <w:t xml:space="preserve"> Guía para promover la participación de las Mipymes en los Procesos de Compra y Contratación Pública. Se puede consultar en el siguiente enlace: </w:t>
            </w:r>
            <w:hyperlink r:id="rId13" w:history="1">
              <w:r w:rsidRPr="007163DD">
                <w:rPr>
                  <w:rStyle w:val="Hipervnculo"/>
                  <w:rFonts w:ascii="Verdana" w:eastAsia="Calibri" w:hAnsi="Verdana" w:cs="Arial"/>
                </w:rPr>
                <w:t>https://www.colombiacompra.gov.co/archivos/manual/guia-para-promover-la-participacion-de-las-mipymes-en-los-procesos-de-compra-publica</w:t>
              </w:r>
            </w:hyperlink>
          </w:p>
        </w:tc>
      </w:tr>
    </w:tbl>
    <w:p w14:paraId="7D6F8571" w14:textId="77777777" w:rsidR="001B2F1A" w:rsidRPr="007163DD" w:rsidRDefault="001B2F1A" w:rsidP="007163D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A5F444D" w14:textId="77777777" w:rsidR="001B2F1A" w:rsidRPr="007163DD" w:rsidRDefault="001B2F1A" w:rsidP="007163DD">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sidRPr="007163DD">
        <w:rPr>
          <w:rFonts w:ascii="Verdana" w:eastAsia="Century Gothic" w:hAnsi="Verdana" w:cs="Century Gothic"/>
          <w:b/>
          <w:bCs/>
        </w:rPr>
        <w:t>Doctrina de la Agencia Nacional de Contratación Pública:</w:t>
      </w:r>
    </w:p>
    <w:p w14:paraId="73CC0860" w14:textId="77777777" w:rsidR="001B2F1A" w:rsidRPr="007163DD" w:rsidRDefault="001B2F1A" w:rsidP="007163D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56A32DF" w14:textId="77777777" w:rsidR="001B2F1A" w:rsidRPr="007163DD" w:rsidRDefault="001B2F1A" w:rsidP="007163DD">
      <w:pPr>
        <w:widowControl w:val="0"/>
        <w:autoSpaceDE w:val="0"/>
        <w:autoSpaceDN w:val="0"/>
        <w:spacing w:after="0" w:line="276" w:lineRule="auto"/>
        <w:jc w:val="both"/>
        <w:rPr>
          <w:rFonts w:ascii="Verdana" w:eastAsia="Arial" w:hAnsi="Verdana" w:cs="Arial"/>
          <w:lang w:val="es-MX" w:eastAsia="es-ES"/>
        </w:rPr>
      </w:pPr>
      <w:r w:rsidRPr="007163DD">
        <w:rPr>
          <w:rFonts w:ascii="Verdana" w:eastAsia="Calibri" w:hAnsi="Verdana" w:cs="Arial"/>
          <w:color w:val="000000"/>
          <w:lang w:val="es-ES" w:eastAsia="es-ES"/>
        </w:rPr>
        <w:t>Sobre las convocatorias limitadas a MiPymes, sus requisitos y características, esta Subdirección se pronunció en los conceptos C-084 del 30 de mayo de 2024, C-048 del 23 de abril de 2024, C-279 del 31 de octubre de 2023, C-436 del 24 de octubre de 2023, C-335 del 26 de septiembre de 2023, C-339 del 24 de julio de 2023, C-677 del 24 de octubre del 2022, y el C- 905 del 15 de agosto de 2025, C -899 de 2025, C-1081 de 2025</w:t>
      </w:r>
      <w:r w:rsidRPr="007163DD">
        <w:rPr>
          <w:rStyle w:val="normaltextrun"/>
          <w:rFonts w:ascii="Verdana" w:hAnsi="Verdana" w:cs="Arial"/>
          <w:shd w:val="clear" w:color="auto" w:fill="FFFFFF"/>
          <w:lang w:val="es-ES"/>
        </w:rPr>
        <w:t>.</w:t>
      </w:r>
      <w:r w:rsidRPr="007163DD">
        <w:rPr>
          <w:rFonts w:ascii="Verdana" w:eastAsia="Calibri" w:hAnsi="Verdana" w:cs="Arial"/>
          <w:shd w:val="clear" w:color="auto" w:fill="FFFFFF"/>
        </w:rPr>
        <w:t xml:space="preserve"> </w:t>
      </w:r>
      <w:r w:rsidRPr="007163DD">
        <w:rPr>
          <w:rFonts w:ascii="Verdana" w:eastAsia="Calibri" w:hAnsi="Verdana" w:cs="Times New Roman"/>
        </w:rPr>
        <w:t>Estos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62E99B7" w14:textId="77777777" w:rsidR="001B2F1A" w:rsidRPr="007163DD" w:rsidRDefault="001B2F1A" w:rsidP="007163DD">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7163DD">
          <w:rPr>
            <w:rStyle w:val="Hipervnculo"/>
            <w:rFonts w:ascii="Verdana" w:eastAsia="Calibri" w:hAnsi="Verdana" w:cs="Times New Roman"/>
            <w:lang w:val="es-ES"/>
          </w:rPr>
          <w:t>https://relatoria.colombiacompra.gov.co/busqueda/conceptos</w:t>
        </w:r>
      </w:hyperlink>
      <w:r w:rsidRPr="007163DD">
        <w:rPr>
          <w:rFonts w:ascii="Verdana" w:eastAsia="Calibri" w:hAnsi="Verdana" w:cs="Times New Roman"/>
        </w:rPr>
        <w:t>.</w:t>
      </w:r>
    </w:p>
    <w:p w14:paraId="44CBA8F8" w14:textId="77777777" w:rsidR="001B2F1A" w:rsidRPr="007163DD" w:rsidRDefault="001B2F1A" w:rsidP="007163DD">
      <w:pPr>
        <w:widowControl w:val="0"/>
        <w:autoSpaceDE w:val="0"/>
        <w:autoSpaceDN w:val="0"/>
        <w:spacing w:after="0" w:line="276" w:lineRule="auto"/>
        <w:jc w:val="both"/>
        <w:rPr>
          <w:rFonts w:ascii="Verdana" w:hAnsi="Verdana" w:cs="Arial"/>
          <w:color w:val="000000" w:themeColor="text1"/>
          <w:shd w:val="clear" w:color="auto" w:fill="FFFFFF"/>
        </w:rPr>
      </w:pPr>
    </w:p>
    <w:p w14:paraId="541E015E" w14:textId="77777777" w:rsidR="001B2F1A" w:rsidRPr="007163DD" w:rsidRDefault="001B2F1A" w:rsidP="007163DD">
      <w:pPr>
        <w:widowControl w:val="0"/>
        <w:autoSpaceDE w:val="0"/>
        <w:autoSpaceDN w:val="0"/>
        <w:spacing w:after="0" w:line="276" w:lineRule="auto"/>
        <w:jc w:val="both"/>
        <w:rPr>
          <w:rFonts w:ascii="Verdana" w:hAnsi="Verdana"/>
        </w:rPr>
      </w:pPr>
      <w:r w:rsidRPr="007163DD">
        <w:rPr>
          <w:rFonts w:ascii="Verdana" w:hAnsi="Verdana" w:cs="Arial"/>
          <w:color w:val="000000" w:themeColor="text1"/>
          <w:shd w:val="clear" w:color="auto" w:fill="FFFFFF"/>
        </w:rPr>
        <w:t xml:space="preserve">También, te contamos que ya publicamos la nueva </w:t>
      </w:r>
      <w:r w:rsidRPr="007163DD">
        <w:rPr>
          <w:rFonts w:ascii="Verdana" w:hAnsi="Verdana" w:cs="Arial"/>
          <w:b/>
          <w:bCs/>
          <w:color w:val="000000" w:themeColor="text1"/>
          <w:shd w:val="clear" w:color="auto" w:fill="FFFFFF"/>
        </w:rPr>
        <w:t>Guía de Contratación Pública Sostenible y Socialmente Responsable</w:t>
      </w:r>
      <w:r w:rsidRPr="007163DD">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7163DD">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7163DD">
        <w:rPr>
          <w:rFonts w:ascii="Verdana" w:hAnsi="Verdana"/>
        </w:rPr>
        <w:t>.</w:t>
      </w:r>
    </w:p>
    <w:p w14:paraId="1E2753BC" w14:textId="77777777" w:rsidR="001B2F1A" w:rsidRPr="007163DD" w:rsidRDefault="001B2F1A" w:rsidP="007163DD">
      <w:pPr>
        <w:widowControl w:val="0"/>
        <w:autoSpaceDE w:val="0"/>
        <w:autoSpaceDN w:val="0"/>
        <w:spacing w:after="0" w:line="276" w:lineRule="auto"/>
        <w:jc w:val="both"/>
        <w:rPr>
          <w:rFonts w:ascii="Verdana" w:hAnsi="Verdana"/>
        </w:rPr>
      </w:pPr>
    </w:p>
    <w:p w14:paraId="65C40BF1" w14:textId="77777777" w:rsidR="001B2F1A" w:rsidRPr="007163DD" w:rsidRDefault="001B2F1A" w:rsidP="007163DD">
      <w:pPr>
        <w:widowControl w:val="0"/>
        <w:autoSpaceDE w:val="0"/>
        <w:autoSpaceDN w:val="0"/>
        <w:spacing w:after="0" w:line="276" w:lineRule="auto"/>
        <w:jc w:val="both"/>
        <w:rPr>
          <w:rFonts w:ascii="Verdana" w:hAnsi="Verdana" w:cs="Arial"/>
          <w:lang w:val="es-ES_tradnl"/>
        </w:rPr>
      </w:pPr>
      <w:r w:rsidRPr="007163DD">
        <w:rPr>
          <w:rFonts w:ascii="Verdana" w:hAnsi="Verdana" w:cs="Arial"/>
        </w:rPr>
        <w:t xml:space="preserve">Este concepto tiene el alcance previsto en el artículo 28 del Código de Procedimiento Administrativo y de lo Contencioso Administrativo </w:t>
      </w:r>
      <w:r w:rsidRPr="007163DD">
        <w:rPr>
          <w:rFonts w:ascii="Verdana" w:hAnsi="Verdana" w:cs="Arial"/>
          <w:lang w:val="es-ES_tradnl"/>
        </w:rPr>
        <w:t>y las expresiones aquí utilizadas con mayúscula inicial deben ser entendidas con el significado que les otorga el artículo 2.2.1.1.1.3.1. del Decreto 1082 de 2015.</w:t>
      </w:r>
    </w:p>
    <w:p w14:paraId="2D0B02AE" w14:textId="77777777" w:rsidR="001B2F1A" w:rsidRPr="007163DD" w:rsidRDefault="001B2F1A" w:rsidP="007163DD">
      <w:pPr>
        <w:widowControl w:val="0"/>
        <w:autoSpaceDE w:val="0"/>
        <w:autoSpaceDN w:val="0"/>
        <w:spacing w:after="0" w:line="276" w:lineRule="auto"/>
        <w:jc w:val="both"/>
        <w:rPr>
          <w:rFonts w:ascii="Verdana" w:hAnsi="Verdana" w:cs="Arial"/>
        </w:rPr>
      </w:pPr>
    </w:p>
    <w:p w14:paraId="1A7296CB" w14:textId="77777777" w:rsidR="001B2F1A" w:rsidRPr="00A467B8" w:rsidRDefault="001B2F1A" w:rsidP="007163DD">
      <w:pPr>
        <w:spacing w:after="0" w:line="276" w:lineRule="auto"/>
        <w:jc w:val="both"/>
        <w:rPr>
          <w:rFonts w:ascii="Verdana" w:hAnsi="Verdana"/>
        </w:rPr>
      </w:pPr>
      <w:r w:rsidRPr="007163DD">
        <w:rPr>
          <w:rFonts w:ascii="Verdana" w:eastAsia="Times New Roman" w:hAnsi="Verdana" w:cs="Arial"/>
          <w:lang w:eastAsia="es-CO"/>
        </w:rPr>
        <w:t>Atentamente,</w:t>
      </w:r>
      <w:r w:rsidRPr="007163DD">
        <w:rPr>
          <w:rFonts w:ascii="Verdana" w:hAnsi="Verdana" w:cs="Arial"/>
          <w:lang w:eastAsia="es-CO"/>
        </w:rPr>
        <w:t xml:space="preserve"> </w:t>
      </w:r>
    </w:p>
    <w:p w14:paraId="390FAB75" w14:textId="34A5A619" w:rsidR="001B2F1A" w:rsidRDefault="006F15CA" w:rsidP="001B2F1A">
      <w:pPr>
        <w:spacing w:line="276" w:lineRule="auto"/>
        <w:jc w:val="center"/>
        <w:rPr>
          <w:noProof/>
        </w:rPr>
      </w:pPr>
      <w:r w:rsidRPr="002C3AD6">
        <w:rPr>
          <w:rFonts w:ascii="Century Gothic" w:hAnsi="Century Gothic"/>
          <w:noProof/>
        </w:rPr>
        <w:lastRenderedPageBreak/>
        <w:drawing>
          <wp:inline distT="0" distB="0" distL="0" distR="0" wp14:anchorId="51E1D802" wp14:editId="6028B724">
            <wp:extent cx="3621281" cy="1016341"/>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rotWithShape="1">
                    <a:blip r:embed="rId16"/>
                    <a:srcRect t="18676" b="5719"/>
                    <a:stretch/>
                  </pic:blipFill>
                  <pic:spPr bwMode="auto">
                    <a:xfrm>
                      <a:off x="0" y="0"/>
                      <a:ext cx="3655221" cy="102586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B2F1A" w:rsidRPr="00593A5F" w14:paraId="0555717F" w14:textId="77777777" w:rsidTr="00E11A84">
        <w:trPr>
          <w:trHeight w:val="315"/>
        </w:trPr>
        <w:tc>
          <w:tcPr>
            <w:tcW w:w="893" w:type="dxa"/>
            <w:vAlign w:val="center"/>
            <w:hideMark/>
          </w:tcPr>
          <w:p w14:paraId="29318CCF" w14:textId="77777777" w:rsidR="001B2F1A" w:rsidRPr="003751C7" w:rsidRDefault="001B2F1A"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CF3AADA" w14:textId="77777777" w:rsidR="001B2F1A" w:rsidRPr="007911EE" w:rsidRDefault="001B2F1A" w:rsidP="00E11A84">
            <w:pPr>
              <w:contextualSpacing/>
              <w:rPr>
                <w:rFonts w:ascii="Verdana" w:hAnsi="Verdana"/>
                <w:sz w:val="16"/>
                <w:szCs w:val="16"/>
              </w:rPr>
            </w:pPr>
            <w:r>
              <w:rPr>
                <w:rFonts w:ascii="Verdana" w:hAnsi="Verdana"/>
                <w:sz w:val="16"/>
                <w:szCs w:val="16"/>
              </w:rPr>
              <w:t>Daniel Eduardo Rojas Poveda</w:t>
            </w:r>
          </w:p>
          <w:p w14:paraId="5AEE5C3D" w14:textId="77777777" w:rsidR="001B2F1A" w:rsidRPr="007911EE" w:rsidRDefault="001B2F1A"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1B2F1A" w:rsidRPr="00593A5F" w14:paraId="2F89F999" w14:textId="77777777" w:rsidTr="00E11A84">
        <w:trPr>
          <w:trHeight w:val="330"/>
        </w:trPr>
        <w:tc>
          <w:tcPr>
            <w:tcW w:w="893" w:type="dxa"/>
            <w:vAlign w:val="center"/>
            <w:hideMark/>
          </w:tcPr>
          <w:p w14:paraId="39EFC6BD" w14:textId="77777777" w:rsidR="001B2F1A" w:rsidRPr="003751C7" w:rsidRDefault="001B2F1A"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EA823F1" w14:textId="77777777" w:rsidR="001B2F1A" w:rsidRDefault="001B2F1A" w:rsidP="00E11A84">
            <w:pPr>
              <w:spacing w:line="276" w:lineRule="auto"/>
              <w:contextualSpacing/>
              <w:jc w:val="both"/>
              <w:rPr>
                <w:rFonts w:ascii="Verdana" w:hAnsi="Verdana"/>
                <w:sz w:val="16"/>
                <w:szCs w:val="16"/>
              </w:rPr>
            </w:pPr>
            <w:r>
              <w:rPr>
                <w:rFonts w:ascii="Verdana" w:hAnsi="Verdana"/>
                <w:sz w:val="16"/>
                <w:szCs w:val="16"/>
              </w:rPr>
              <w:t>Diana Lucia Saavedra Castañeda</w:t>
            </w:r>
          </w:p>
          <w:p w14:paraId="5377A1E0" w14:textId="77777777" w:rsidR="001B2F1A" w:rsidRPr="007911EE" w:rsidRDefault="001B2F1A"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1B2F1A" w:rsidRPr="00593A5F" w14:paraId="387C3235" w14:textId="77777777" w:rsidTr="00E11A84">
        <w:trPr>
          <w:trHeight w:val="330"/>
        </w:trPr>
        <w:tc>
          <w:tcPr>
            <w:tcW w:w="893" w:type="dxa"/>
            <w:vAlign w:val="center"/>
          </w:tcPr>
          <w:p w14:paraId="5B3939A6" w14:textId="77777777" w:rsidR="001B2F1A" w:rsidRPr="003751C7" w:rsidRDefault="001B2F1A"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6571B1" w14:textId="77777777" w:rsidR="001B2F1A" w:rsidRDefault="001B2F1A" w:rsidP="00E11A84">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77C76BB7" w14:textId="77777777" w:rsidR="001B2F1A" w:rsidRDefault="001B2F1A"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0F293BF4" w14:textId="6FD5CC14" w:rsidR="00127233" w:rsidRPr="007D1911" w:rsidRDefault="00127233" w:rsidP="007163DD"/>
    <w:sectPr w:rsidR="00127233" w:rsidRPr="007D191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7B9A2" w14:textId="77777777" w:rsidR="00087A48" w:rsidRDefault="00087A48" w:rsidP="004A1847">
      <w:pPr>
        <w:spacing w:after="0" w:line="240" w:lineRule="auto"/>
      </w:pPr>
      <w:r>
        <w:separator/>
      </w:r>
    </w:p>
  </w:endnote>
  <w:endnote w:type="continuationSeparator" w:id="0">
    <w:p w14:paraId="24ADFFF5" w14:textId="77777777" w:rsidR="00087A48" w:rsidRDefault="00087A48" w:rsidP="004A1847">
      <w:pPr>
        <w:spacing w:after="0" w:line="240" w:lineRule="auto"/>
      </w:pPr>
      <w:r>
        <w:continuationSeparator/>
      </w:r>
    </w:p>
  </w:endnote>
  <w:endnote w:type="continuationNotice" w:id="1">
    <w:p w14:paraId="5938451B" w14:textId="77777777" w:rsidR="00087A48" w:rsidRDefault="00087A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2AF25" w14:textId="77777777" w:rsidR="00087A48" w:rsidRDefault="00087A48" w:rsidP="004A1847">
      <w:pPr>
        <w:spacing w:after="0" w:line="240" w:lineRule="auto"/>
      </w:pPr>
      <w:r>
        <w:separator/>
      </w:r>
    </w:p>
  </w:footnote>
  <w:footnote w:type="continuationSeparator" w:id="0">
    <w:p w14:paraId="714500B0" w14:textId="77777777" w:rsidR="00087A48" w:rsidRDefault="00087A48" w:rsidP="004A1847">
      <w:pPr>
        <w:spacing w:after="0" w:line="240" w:lineRule="auto"/>
      </w:pPr>
      <w:r>
        <w:continuationSeparator/>
      </w:r>
    </w:p>
  </w:footnote>
  <w:footnote w:type="continuationNotice" w:id="1">
    <w:p w14:paraId="2EADCF58" w14:textId="77777777" w:rsidR="00087A48" w:rsidRDefault="00087A48">
      <w:pPr>
        <w:spacing w:after="0" w:line="240" w:lineRule="auto"/>
      </w:pPr>
    </w:p>
  </w:footnote>
  <w:footnote w:id="2">
    <w:p w14:paraId="4EC03EB5" w14:textId="77777777" w:rsidR="005A1E16" w:rsidRPr="00E12EB9" w:rsidRDefault="005A1E16" w:rsidP="005A1E16">
      <w:pPr>
        <w:pBdr>
          <w:top w:val="nil"/>
          <w:left w:val="nil"/>
          <w:bottom w:val="nil"/>
          <w:right w:val="nil"/>
          <w:between w:val="nil"/>
        </w:pBdr>
        <w:spacing w:after="0" w:line="240" w:lineRule="auto"/>
        <w:ind w:firstLine="709"/>
        <w:rPr>
          <w:rFonts w:ascii="Verdana" w:hAnsi="Verdana"/>
          <w:color w:val="000000"/>
          <w:sz w:val="14"/>
          <w:szCs w:val="14"/>
        </w:rPr>
      </w:pPr>
      <w:r w:rsidRPr="00E12EB9">
        <w:rPr>
          <w:rFonts w:ascii="Verdana" w:hAnsi="Verdana"/>
          <w:sz w:val="14"/>
          <w:szCs w:val="14"/>
          <w:vertAlign w:val="superscript"/>
        </w:rPr>
        <w:footnoteRef/>
      </w:r>
      <w:r w:rsidRPr="00E12EB9">
        <w:rPr>
          <w:rFonts w:ascii="Verdana" w:hAnsi="Verdana"/>
          <w:color w:val="000000"/>
          <w:sz w:val="14"/>
          <w:szCs w:val="14"/>
        </w:rPr>
        <w:t xml:space="preserve"> El artículo 2.2.1.1.2.1.5. del Decreto 1082 del 2015 define al acto de apertura del proceso de selección como un acto administrativo, lo que indica que, en relación con éste tienen cabida los distintos mecanismos fijados en el C.P.A.C.A. que no hayan tenido regulación especial en el EGCAP, como serían los que regulan la figura de la revocatoria directa, contenidos en los artículos 93 y siguientes de la Ley 1437 de 2011.</w:t>
      </w:r>
    </w:p>
  </w:footnote>
  <w:footnote w:id="3">
    <w:p w14:paraId="2B4FC851" w14:textId="77777777" w:rsidR="001B2F1A" w:rsidRPr="006E2E9D" w:rsidRDefault="001B2F1A" w:rsidP="001B2F1A">
      <w:pPr>
        <w:pStyle w:val="Textonotapie"/>
        <w:ind w:firstLine="709"/>
        <w:jc w:val="both"/>
        <w:rPr>
          <w:rFonts w:ascii="Verdana" w:hAnsi="Verdana"/>
          <w:sz w:val="16"/>
          <w:szCs w:val="16"/>
        </w:rPr>
      </w:pPr>
      <w:r w:rsidRPr="006E2E9D">
        <w:rPr>
          <w:rStyle w:val="Refdenotaalpie"/>
          <w:rFonts w:ascii="Verdana" w:hAnsi="Verdana"/>
          <w:sz w:val="16"/>
          <w:szCs w:val="16"/>
        </w:rPr>
        <w:footnoteRef/>
      </w:r>
      <w:r w:rsidRPr="006E2E9D">
        <w:rPr>
          <w:rFonts w:ascii="Verdana" w:hAnsi="Verdana"/>
          <w:sz w:val="16"/>
          <w:szCs w:val="16"/>
        </w:rPr>
        <w:t xml:space="preserve"> La “</w:t>
      </w:r>
      <w:r w:rsidRPr="006E2E9D">
        <w:rPr>
          <w:rFonts w:ascii="Verdana" w:eastAsia="Calibri" w:hAnsi="Verdana" w:cs="Arial"/>
          <w:sz w:val="16"/>
          <w:szCs w:val="16"/>
        </w:rPr>
        <w:t>Guía para promover la participación de las Mipymes en los Procesos de Compra y Contratación Pública”</w:t>
      </w:r>
      <w:r w:rsidRPr="006E2E9D">
        <w:rPr>
          <w:rFonts w:ascii="Verdana" w:hAnsi="Verdana"/>
          <w:sz w:val="16"/>
          <w:szCs w:val="16"/>
        </w:rPr>
        <w:t xml:space="preserve"> expedida por la Agencia Nacional de Contratación Pública – Colombia Compra Eficiente</w:t>
      </w:r>
      <w:r w:rsidRPr="006E2E9D">
        <w:rPr>
          <w:rFonts w:ascii="Verdana" w:eastAsia="Calibri" w:hAnsi="Verdana" w:cs="Arial"/>
          <w:sz w:val="16"/>
          <w:szCs w:val="16"/>
        </w:rPr>
        <w:t xml:space="preserve"> se puede consultar en el siguiente enlace: </w:t>
      </w:r>
      <w:hyperlink r:id="rId1" w:history="1">
        <w:r w:rsidRPr="006E2E9D">
          <w:rPr>
            <w:rStyle w:val="Hipervnculo"/>
            <w:rFonts w:ascii="Verdana" w:eastAsia="Calibri" w:hAnsi="Verdana" w:cs="Arial"/>
            <w:sz w:val="16"/>
            <w:szCs w:val="16"/>
          </w:rPr>
          <w:t>https://www.colombiacompra.gov.co/archivos/manual/guia-para-promover-la-participacion-de-las-mipymes-en-los-procesos-de-compra-publica</w:t>
        </w:r>
      </w:hyperlink>
      <w:r w:rsidRPr="006E2E9D">
        <w:rPr>
          <w:rFonts w:ascii="Verdana" w:eastAsia="Calibri" w:hAnsi="Verdana" w:cs="Arial"/>
          <w:sz w:val="16"/>
          <w:szCs w:val="16"/>
        </w:rPr>
        <w:t xml:space="preserve"> </w:t>
      </w:r>
    </w:p>
  </w:footnote>
  <w:footnote w:id="4">
    <w:p w14:paraId="1FE213B0" w14:textId="77777777" w:rsidR="00CB5A57" w:rsidRPr="00A467B8" w:rsidRDefault="00CB5A57" w:rsidP="00CB5A57">
      <w:pPr>
        <w:pBdr>
          <w:top w:val="nil"/>
          <w:left w:val="nil"/>
          <w:bottom w:val="nil"/>
          <w:right w:val="nil"/>
          <w:between w:val="nil"/>
        </w:pBdr>
        <w:spacing w:after="0" w:line="240" w:lineRule="auto"/>
        <w:ind w:firstLine="709"/>
        <w:rPr>
          <w:rFonts w:ascii="Verdana" w:hAnsi="Verdana"/>
          <w:color w:val="000000"/>
          <w:sz w:val="16"/>
          <w:szCs w:val="16"/>
        </w:rPr>
      </w:pPr>
      <w:r w:rsidRPr="00A467B8">
        <w:rPr>
          <w:rFonts w:ascii="Verdana" w:hAnsi="Verdana"/>
          <w:sz w:val="16"/>
          <w:szCs w:val="16"/>
          <w:vertAlign w:val="superscript"/>
        </w:rPr>
        <w:footnoteRef/>
      </w:r>
      <w:r w:rsidRPr="00A467B8">
        <w:rPr>
          <w:rFonts w:ascii="Verdana" w:hAnsi="Verdana"/>
          <w:color w:val="000000"/>
          <w:sz w:val="16"/>
          <w:szCs w:val="16"/>
        </w:rPr>
        <w:t xml:space="preserve"> El artículo 2.2.1.1.2.1.5. del Decreto 1082 del 2015 define al acto de apertura del proceso de selección como un acto administrativo, lo que indica que, en relación con éste tienen cabida los distintos mecanismos fijados en el C.P.A.C.A. que no hayan tenido regulación especial en el EGCAP, como serían los que regulan la figura de la revocatoria directa, contenidos en los artículos 93 y siguientes de la Ley 1437 de 2011.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1.8pt;height:11.8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76277183">
    <w:abstractNumId w:val="0"/>
  </w:num>
  <w:num w:numId="17" w16cid:durableId="538476405">
    <w:abstractNumId w:val="10"/>
  </w:num>
  <w:num w:numId="18" w16cid:durableId="19722499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6A8B"/>
    <w:rsid w:val="00087A48"/>
    <w:rsid w:val="000A683E"/>
    <w:rsid w:val="000B19B9"/>
    <w:rsid w:val="000D0334"/>
    <w:rsid w:val="000D36CB"/>
    <w:rsid w:val="000F6486"/>
    <w:rsid w:val="00125105"/>
    <w:rsid w:val="00127233"/>
    <w:rsid w:val="001520DD"/>
    <w:rsid w:val="0016794F"/>
    <w:rsid w:val="00170746"/>
    <w:rsid w:val="00172D84"/>
    <w:rsid w:val="001821F6"/>
    <w:rsid w:val="001B2F1A"/>
    <w:rsid w:val="001E4177"/>
    <w:rsid w:val="001F7DC6"/>
    <w:rsid w:val="00205407"/>
    <w:rsid w:val="002421BB"/>
    <w:rsid w:val="00253D14"/>
    <w:rsid w:val="0025796E"/>
    <w:rsid w:val="002707A2"/>
    <w:rsid w:val="002951A0"/>
    <w:rsid w:val="002962BC"/>
    <w:rsid w:val="002A093D"/>
    <w:rsid w:val="002A0DD0"/>
    <w:rsid w:val="002A49AC"/>
    <w:rsid w:val="002A64FD"/>
    <w:rsid w:val="002C7A84"/>
    <w:rsid w:val="002E4FD9"/>
    <w:rsid w:val="00307324"/>
    <w:rsid w:val="003176B2"/>
    <w:rsid w:val="00322A85"/>
    <w:rsid w:val="00324168"/>
    <w:rsid w:val="003448F4"/>
    <w:rsid w:val="00350FA7"/>
    <w:rsid w:val="00374F5E"/>
    <w:rsid w:val="00377E3E"/>
    <w:rsid w:val="003A5BE5"/>
    <w:rsid w:val="003A779E"/>
    <w:rsid w:val="003D0F4D"/>
    <w:rsid w:val="003D397B"/>
    <w:rsid w:val="003D5B0D"/>
    <w:rsid w:val="003E0499"/>
    <w:rsid w:val="003F3941"/>
    <w:rsid w:val="00406575"/>
    <w:rsid w:val="004066C7"/>
    <w:rsid w:val="00414C74"/>
    <w:rsid w:val="00423C76"/>
    <w:rsid w:val="0042722E"/>
    <w:rsid w:val="0044087A"/>
    <w:rsid w:val="0044528D"/>
    <w:rsid w:val="00451021"/>
    <w:rsid w:val="00464E23"/>
    <w:rsid w:val="004963A4"/>
    <w:rsid w:val="004A1847"/>
    <w:rsid w:val="004A305D"/>
    <w:rsid w:val="004F21C4"/>
    <w:rsid w:val="004F5862"/>
    <w:rsid w:val="004F685F"/>
    <w:rsid w:val="005566E8"/>
    <w:rsid w:val="00574867"/>
    <w:rsid w:val="00591460"/>
    <w:rsid w:val="00597608"/>
    <w:rsid w:val="005A1E16"/>
    <w:rsid w:val="005B3853"/>
    <w:rsid w:val="005B7067"/>
    <w:rsid w:val="005C0F3D"/>
    <w:rsid w:val="005C3777"/>
    <w:rsid w:val="005C5CDC"/>
    <w:rsid w:val="005C759B"/>
    <w:rsid w:val="005D40D7"/>
    <w:rsid w:val="005D476C"/>
    <w:rsid w:val="006219F8"/>
    <w:rsid w:val="006302F7"/>
    <w:rsid w:val="00665D70"/>
    <w:rsid w:val="006900D9"/>
    <w:rsid w:val="006A760C"/>
    <w:rsid w:val="006E2E9D"/>
    <w:rsid w:val="006F15CA"/>
    <w:rsid w:val="00706C16"/>
    <w:rsid w:val="007163DD"/>
    <w:rsid w:val="00756841"/>
    <w:rsid w:val="007649AB"/>
    <w:rsid w:val="00771D0C"/>
    <w:rsid w:val="007833AC"/>
    <w:rsid w:val="007A683F"/>
    <w:rsid w:val="007B268C"/>
    <w:rsid w:val="007B7171"/>
    <w:rsid w:val="007C0C0F"/>
    <w:rsid w:val="007C3DC2"/>
    <w:rsid w:val="007D1911"/>
    <w:rsid w:val="007E5497"/>
    <w:rsid w:val="007E5A63"/>
    <w:rsid w:val="00806F5F"/>
    <w:rsid w:val="00811E4E"/>
    <w:rsid w:val="00820278"/>
    <w:rsid w:val="00867F95"/>
    <w:rsid w:val="008843B6"/>
    <w:rsid w:val="00891928"/>
    <w:rsid w:val="00897A3A"/>
    <w:rsid w:val="008A446D"/>
    <w:rsid w:val="008D180B"/>
    <w:rsid w:val="008E58F7"/>
    <w:rsid w:val="008F0EA7"/>
    <w:rsid w:val="00913FA8"/>
    <w:rsid w:val="00923EEF"/>
    <w:rsid w:val="009419F9"/>
    <w:rsid w:val="0095685E"/>
    <w:rsid w:val="00961B09"/>
    <w:rsid w:val="00965334"/>
    <w:rsid w:val="0097093E"/>
    <w:rsid w:val="00971023"/>
    <w:rsid w:val="009729DD"/>
    <w:rsid w:val="009A0DFA"/>
    <w:rsid w:val="009B25A8"/>
    <w:rsid w:val="009B2D26"/>
    <w:rsid w:val="009B67D5"/>
    <w:rsid w:val="009C71FA"/>
    <w:rsid w:val="009C72E7"/>
    <w:rsid w:val="009D3058"/>
    <w:rsid w:val="009D61AF"/>
    <w:rsid w:val="009F3A13"/>
    <w:rsid w:val="00A122D3"/>
    <w:rsid w:val="00A17F13"/>
    <w:rsid w:val="00A20739"/>
    <w:rsid w:val="00A33C78"/>
    <w:rsid w:val="00A467B8"/>
    <w:rsid w:val="00AB0ADB"/>
    <w:rsid w:val="00AB70F1"/>
    <w:rsid w:val="00B00C0E"/>
    <w:rsid w:val="00B01B1A"/>
    <w:rsid w:val="00B44A47"/>
    <w:rsid w:val="00B678ED"/>
    <w:rsid w:val="00B72CD3"/>
    <w:rsid w:val="00B72FFF"/>
    <w:rsid w:val="00BC3D36"/>
    <w:rsid w:val="00BD7F72"/>
    <w:rsid w:val="00C04FB3"/>
    <w:rsid w:val="00C330EB"/>
    <w:rsid w:val="00C754BE"/>
    <w:rsid w:val="00C76B1C"/>
    <w:rsid w:val="00CB5A57"/>
    <w:rsid w:val="00CB6357"/>
    <w:rsid w:val="00CC1B26"/>
    <w:rsid w:val="00CF3168"/>
    <w:rsid w:val="00CF74F1"/>
    <w:rsid w:val="00D31AAE"/>
    <w:rsid w:val="00D40E8D"/>
    <w:rsid w:val="00D423A2"/>
    <w:rsid w:val="00D520D8"/>
    <w:rsid w:val="00D63AC2"/>
    <w:rsid w:val="00D7383B"/>
    <w:rsid w:val="00D8748B"/>
    <w:rsid w:val="00D926DB"/>
    <w:rsid w:val="00DA231B"/>
    <w:rsid w:val="00DC39FC"/>
    <w:rsid w:val="00DF5254"/>
    <w:rsid w:val="00E00638"/>
    <w:rsid w:val="00E16408"/>
    <w:rsid w:val="00E20894"/>
    <w:rsid w:val="00E245AB"/>
    <w:rsid w:val="00E2764C"/>
    <w:rsid w:val="00E27F2E"/>
    <w:rsid w:val="00E353D3"/>
    <w:rsid w:val="00E408FF"/>
    <w:rsid w:val="00E50AFE"/>
    <w:rsid w:val="00E518E2"/>
    <w:rsid w:val="00E75C92"/>
    <w:rsid w:val="00E771DC"/>
    <w:rsid w:val="00E8772A"/>
    <w:rsid w:val="00E90F6B"/>
    <w:rsid w:val="00E92C27"/>
    <w:rsid w:val="00EA0E3D"/>
    <w:rsid w:val="00EC38A7"/>
    <w:rsid w:val="00EE1AA8"/>
    <w:rsid w:val="00F31EDC"/>
    <w:rsid w:val="00F40DEB"/>
    <w:rsid w:val="00F462B3"/>
    <w:rsid w:val="00F5664F"/>
    <w:rsid w:val="00F666C4"/>
    <w:rsid w:val="00F76AFC"/>
    <w:rsid w:val="00F85CD6"/>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B2F1A"/>
    <w:rPr>
      <w:rFonts w:ascii="Geomanist Light" w:hAnsi="Geomanist Light"/>
      <w:lang w:val="es-ES"/>
    </w:rPr>
  </w:style>
  <w:style w:type="paragraph" w:customStyle="1" w:styleId="Appelnotedebasde">
    <w:name w:val="Appel note de bas de..."/>
    <w:basedOn w:val="Normal"/>
    <w:link w:val="Refdenotaalpie"/>
    <w:uiPriority w:val="99"/>
    <w:rsid w:val="001B2F1A"/>
    <w:pPr>
      <w:spacing w:line="240" w:lineRule="exact"/>
    </w:pPr>
    <w:rPr>
      <w:vertAlign w:val="superscript"/>
    </w:rPr>
  </w:style>
  <w:style w:type="paragraph" w:styleId="Textoindependiente">
    <w:name w:val="Body Text"/>
    <w:basedOn w:val="Normal"/>
    <w:link w:val="TextoindependienteCar"/>
    <w:uiPriority w:val="1"/>
    <w:qFormat/>
    <w:rsid w:val="001B2F1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1B2F1A"/>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promover-la-participacion-de-las-mipymes-en-los-procesos-de-compra-publica"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william.ingamb@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promover-la-participacion-de-las-mipymes-en-los-procesos-de-compra-public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B481FBD-EE9C-4AC4-B515-DFC09EC1BABD}">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http://schemas.openxmlformats.org/package/2006/metadata/core-properties"/>
    <ds:schemaRef ds:uri="http://schemas.microsoft.com/office/2006/documentManagement/types"/>
    <ds:schemaRef ds:uri="http://www.w3.org/XML/1998/namespace"/>
    <ds:schemaRef ds:uri="http://schemas.microsoft.com/office/infopath/2007/PartnerControls"/>
    <ds:schemaRef ds:uri="9d85dbaf-23eb-4e57-a637-93dcacc8b1a1"/>
    <ds:schemaRef ds:uri="http://purl.org/dc/terms/"/>
    <ds:schemaRef ds:uri="a6cb9e4b-f1d1-4245-83ec-6cad768d538a"/>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25B35D79-6548-4C3C-8862-DEB0817B8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14</Pages>
  <Words>4856</Words>
  <Characters>26709</Characters>
  <Application>Microsoft Office Word</Application>
  <DocSecurity>0</DocSecurity>
  <Lines>222</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2</cp:revision>
  <cp:lastPrinted>2023-01-10T21:18:00Z</cp:lastPrinted>
  <dcterms:created xsi:type="dcterms:W3CDTF">2025-10-03T20:33:00Z</dcterms:created>
  <dcterms:modified xsi:type="dcterms:W3CDTF">2025-10-03T20:33:00Z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