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B9281" w14:textId="77777777" w:rsidR="00BD0FDF" w:rsidRPr="00BD0FDF" w:rsidRDefault="00BD0FDF" w:rsidP="00BD0FDF">
      <w:pPr>
        <w:spacing w:after="0" w:line="240" w:lineRule="auto"/>
        <w:rPr>
          <w:rFonts w:ascii="Verdana" w:hAnsi="Verdana" w:cs="Arial"/>
          <w:b/>
          <w:bCs/>
          <w:lang w:val="es-ES" w:eastAsia="es-ES"/>
        </w:rPr>
      </w:pPr>
      <w:bookmarkStart w:id="0" w:name="_Hlk143780582"/>
      <w:r w:rsidRPr="00BD0FDF">
        <w:rPr>
          <w:rFonts w:ascii="Verdana" w:hAnsi="Verdana" w:cs="Arial"/>
          <w:b/>
          <w:bCs/>
          <w:lang w:val="es-ES" w:eastAsia="es-ES"/>
        </w:rPr>
        <w:t xml:space="preserve">CONTRATO ESTATAL – Concepto </w:t>
      </w:r>
    </w:p>
    <w:p w14:paraId="15D8467A" w14:textId="3EC83F17" w:rsidR="00BD0FDF" w:rsidRDefault="00BD0FDF" w:rsidP="00BD0FDF">
      <w:pPr>
        <w:spacing w:after="0" w:line="240" w:lineRule="auto"/>
        <w:rPr>
          <w:rFonts w:ascii="Verdana" w:hAnsi="Verdana" w:cs="Arial"/>
          <w:b/>
          <w:bCs/>
          <w:lang w:val="es-ES" w:eastAsia="es-ES"/>
        </w:rPr>
      </w:pPr>
    </w:p>
    <w:p w14:paraId="65BB35B6" w14:textId="3CCC612A" w:rsidR="00BD0FDF" w:rsidRDefault="00BD0FDF" w:rsidP="00BD0FDF">
      <w:pPr>
        <w:spacing w:after="0" w:line="240" w:lineRule="auto"/>
        <w:jc w:val="both"/>
        <w:rPr>
          <w:rFonts w:ascii="Verdana" w:hAnsi="Verdana" w:cs="Arial"/>
          <w:bCs/>
          <w:sz w:val="20"/>
          <w:lang w:eastAsia="es-ES"/>
        </w:rPr>
      </w:pPr>
      <w:r w:rsidRPr="00BD0FDF">
        <w:rPr>
          <w:rFonts w:ascii="Verdana" w:hAnsi="Verdana" w:cs="Arial"/>
          <w:bCs/>
          <w:sz w:val="20"/>
          <w:lang w:val="es-ES" w:eastAsia="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BD0FDF">
        <w:rPr>
          <w:rFonts w:ascii="Verdana" w:hAnsi="Verdana" w:cs="Arial"/>
          <w:bCs/>
          <w:sz w:val="20"/>
          <w:lang w:eastAsia="es-ES"/>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07B858BC" w14:textId="77777777" w:rsidR="00BD0FDF" w:rsidRPr="00BD0FDF" w:rsidRDefault="00BD0FDF" w:rsidP="00BD0FDF">
      <w:pPr>
        <w:spacing w:after="0" w:line="240" w:lineRule="auto"/>
        <w:jc w:val="both"/>
        <w:rPr>
          <w:rFonts w:ascii="Verdana" w:hAnsi="Verdana" w:cs="Arial"/>
          <w:bCs/>
          <w:sz w:val="20"/>
          <w:lang w:eastAsia="es-ES"/>
        </w:rPr>
      </w:pPr>
    </w:p>
    <w:p w14:paraId="5A0874F6" w14:textId="77777777" w:rsidR="00BD0FDF" w:rsidRPr="00BD0FDF" w:rsidRDefault="00BD0FDF" w:rsidP="00BD0FDF">
      <w:pPr>
        <w:spacing w:after="0" w:line="240" w:lineRule="auto"/>
        <w:jc w:val="both"/>
        <w:rPr>
          <w:rFonts w:ascii="Verdana" w:hAnsi="Verdana" w:cs="Arial"/>
          <w:bCs/>
          <w:sz w:val="20"/>
          <w:lang w:eastAsia="es-ES"/>
        </w:rPr>
      </w:pPr>
      <w:r w:rsidRPr="00BD0FDF">
        <w:rPr>
          <w:rFonts w:ascii="Verdana" w:hAnsi="Verdana" w:cs="Arial"/>
          <w:bCs/>
          <w:sz w:val="20"/>
          <w:lang w:eastAsia="es-ES"/>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2329351E" w14:textId="77777777" w:rsidR="00BD0FDF" w:rsidRPr="00BD0FDF" w:rsidRDefault="00BD0FDF" w:rsidP="00BD0FDF">
      <w:pPr>
        <w:spacing w:after="0" w:line="240" w:lineRule="auto"/>
        <w:rPr>
          <w:rFonts w:ascii="Verdana" w:hAnsi="Verdana" w:cs="Arial"/>
          <w:b/>
          <w:bCs/>
          <w:lang w:eastAsia="es-ES"/>
        </w:rPr>
      </w:pPr>
    </w:p>
    <w:p w14:paraId="03366B5D" w14:textId="26FEBE53"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 xml:space="preserve">CONTRATO DE OBRA –Características </w:t>
      </w:r>
    </w:p>
    <w:p w14:paraId="7F5B1C70" w14:textId="33012659" w:rsidR="00BD0FDF" w:rsidRDefault="00BD0FDF" w:rsidP="00BD0FDF">
      <w:pPr>
        <w:spacing w:after="0" w:line="240" w:lineRule="auto"/>
        <w:rPr>
          <w:rFonts w:ascii="Verdana" w:hAnsi="Verdana" w:cs="Arial"/>
          <w:b/>
          <w:bCs/>
          <w:lang w:val="es-ES" w:eastAsia="es-ES"/>
        </w:rPr>
      </w:pPr>
    </w:p>
    <w:p w14:paraId="4E2900DE" w14:textId="368FDC19" w:rsidR="00BD0FDF" w:rsidRDefault="00BD0FDF" w:rsidP="00BD0FDF">
      <w:pPr>
        <w:spacing w:after="0" w:line="240" w:lineRule="auto"/>
        <w:jc w:val="both"/>
        <w:rPr>
          <w:rFonts w:ascii="Verdana" w:hAnsi="Verdana" w:cs="Arial"/>
          <w:bCs/>
          <w:lang w:val="es-ES_tradnl" w:eastAsia="es-ES"/>
        </w:rPr>
      </w:pPr>
      <w:r w:rsidRPr="00BD0FDF">
        <w:rPr>
          <w:rFonts w:ascii="Verdana" w:hAnsi="Verdana" w:cs="Arial"/>
          <w:bCs/>
          <w:lang w:val="es-MX" w:eastAsia="es-ES"/>
        </w:rPr>
        <w:t>La</w:t>
      </w:r>
      <w:r w:rsidRPr="00BD0FDF">
        <w:rPr>
          <w:rFonts w:ascii="Verdana" w:hAnsi="Verdana" w:cs="Arial"/>
          <w:bCs/>
          <w:lang w:val="es-ES_tradnl" w:eastAsia="es-ES"/>
        </w:rPr>
        <w:t xml:space="preserve"> obra pública es una de las tipologías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47FB702A" w14:textId="77777777" w:rsidR="00BD0FDF" w:rsidRPr="00BD0FDF" w:rsidRDefault="00BD0FDF" w:rsidP="00BD0FDF">
      <w:pPr>
        <w:spacing w:after="0" w:line="240" w:lineRule="auto"/>
        <w:jc w:val="both"/>
        <w:rPr>
          <w:rFonts w:ascii="Verdana" w:hAnsi="Verdana" w:cs="Arial"/>
          <w:bCs/>
          <w:lang w:val="es-ES" w:eastAsia="es-ES"/>
        </w:rPr>
      </w:pPr>
    </w:p>
    <w:p w14:paraId="62795516" w14:textId="77777777"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 xml:space="preserve">CONTRATO DE OBRA – Sentido amplio – sentido restringido </w:t>
      </w:r>
    </w:p>
    <w:p w14:paraId="7FE9D26E" w14:textId="16CA0EC9" w:rsidR="00BD0FDF" w:rsidRDefault="00BD0FDF" w:rsidP="00BD0FDF">
      <w:pPr>
        <w:spacing w:after="0" w:line="240" w:lineRule="auto"/>
        <w:rPr>
          <w:rFonts w:ascii="Verdana" w:hAnsi="Verdana" w:cs="Arial"/>
          <w:b/>
          <w:bCs/>
          <w:lang w:val="es-ES" w:eastAsia="es-ES"/>
        </w:rPr>
      </w:pPr>
    </w:p>
    <w:p w14:paraId="60A5F096" w14:textId="3AF01027" w:rsidR="00BD0FDF" w:rsidRPr="00BD0FDF" w:rsidRDefault="00BD0FDF" w:rsidP="00BD0FDF">
      <w:pPr>
        <w:spacing w:after="0" w:line="240" w:lineRule="auto"/>
        <w:jc w:val="both"/>
        <w:rPr>
          <w:rFonts w:ascii="Verdana" w:hAnsi="Verdana" w:cs="Arial"/>
          <w:bCs/>
          <w:sz w:val="20"/>
          <w:lang w:val="es-ES_tradnl" w:eastAsia="es-ES"/>
        </w:rPr>
      </w:pPr>
      <w:r w:rsidRPr="00BD0FDF">
        <w:rPr>
          <w:rFonts w:ascii="Verdana" w:hAnsi="Verdana" w:cs="Arial"/>
          <w:bCs/>
          <w:sz w:val="20"/>
          <w:lang w:val="es-ES_tradnl" w:eastAsia="es-ES"/>
        </w:rPr>
        <w:t xml:space="preserve">En </w:t>
      </w:r>
      <w:r w:rsidRPr="00BD0FDF">
        <w:rPr>
          <w:rFonts w:ascii="Verdana" w:hAnsi="Verdana" w:cs="Arial"/>
          <w:bCs/>
          <w:i/>
          <w:iCs/>
          <w:sz w:val="20"/>
          <w:lang w:val="es-ES_tradnl" w:eastAsia="es-ES"/>
        </w:rPr>
        <w:t>sentido amplio</w:t>
      </w:r>
      <w:r w:rsidRPr="00BD0FDF">
        <w:rPr>
          <w:rFonts w:ascii="Verdana" w:hAnsi="Verdana" w:cs="Arial"/>
          <w:bCs/>
          <w:sz w:val="20"/>
          <w:lang w:val="es-ES_tradnl" w:eastAsia="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BD0FDF">
        <w:rPr>
          <w:rFonts w:ascii="Verdana" w:hAnsi="Verdana" w:cs="Arial"/>
          <w:bCs/>
          <w:i/>
          <w:iCs/>
          <w:sz w:val="20"/>
          <w:lang w:val="es-ES_tradnl" w:eastAsia="es-ES"/>
        </w:rPr>
        <w:t>sentido restringido</w:t>
      </w:r>
      <w:r w:rsidRPr="00BD0FDF">
        <w:rPr>
          <w:rFonts w:ascii="Verdana" w:hAnsi="Verdana" w:cs="Arial"/>
          <w:bCs/>
          <w:sz w:val="20"/>
          <w:lang w:val="es-ES_tradnl" w:eastAsia="es-ES"/>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w:t>
      </w:r>
    </w:p>
    <w:p w14:paraId="26A880CF" w14:textId="77777777" w:rsidR="00BD0FDF" w:rsidRPr="00BD0FDF" w:rsidRDefault="00BD0FDF" w:rsidP="00BD0FDF">
      <w:pPr>
        <w:spacing w:after="0" w:line="240" w:lineRule="auto"/>
        <w:rPr>
          <w:rFonts w:ascii="Verdana" w:hAnsi="Verdana" w:cs="Arial"/>
          <w:b/>
          <w:bCs/>
          <w:lang w:val="es-ES" w:eastAsia="es-ES"/>
        </w:rPr>
      </w:pPr>
    </w:p>
    <w:p w14:paraId="592B8DCD" w14:textId="77777777"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 xml:space="preserve">DISEÑOS, ESTUDIOS Y OBRA – Contratación – Viabilidad del proyecto </w:t>
      </w:r>
    </w:p>
    <w:p w14:paraId="52C696AC" w14:textId="43991CE8" w:rsidR="00BD0FDF" w:rsidRDefault="00BD0FDF" w:rsidP="00BD0FDF">
      <w:pPr>
        <w:spacing w:after="0" w:line="240" w:lineRule="auto"/>
        <w:rPr>
          <w:rFonts w:ascii="Verdana" w:hAnsi="Verdana" w:cs="Arial"/>
          <w:b/>
          <w:bCs/>
          <w:lang w:val="es-ES" w:eastAsia="es-ES"/>
        </w:rPr>
      </w:pPr>
    </w:p>
    <w:p w14:paraId="2040E558" w14:textId="07B7205D" w:rsidR="00362B7B" w:rsidRPr="00362B7B" w:rsidRDefault="00362B7B" w:rsidP="00362B7B">
      <w:pPr>
        <w:spacing w:after="0" w:line="240" w:lineRule="auto"/>
        <w:jc w:val="both"/>
        <w:rPr>
          <w:rFonts w:ascii="Verdana" w:hAnsi="Verdana" w:cs="Arial"/>
          <w:bCs/>
          <w:sz w:val="20"/>
          <w:lang w:eastAsia="es-ES"/>
        </w:rPr>
      </w:pPr>
      <w:r w:rsidRPr="00362B7B">
        <w:rPr>
          <w:rFonts w:ascii="Verdana" w:hAnsi="Verdana" w:cs="Arial"/>
          <w:bCs/>
          <w:sz w:val="20"/>
          <w:lang w:val="es-ES_tradnl" w:eastAsia="es-ES"/>
        </w:rPr>
        <w:t xml:space="preserve">Previo al inicio de un proceso de selección para la contratación de una obra pública, la entidad estatal debe contar con “los estudios y diseños que permitan establecer la viabilidad del proyecto y su impacto social, económico y ambiental” en los términos del numeral 12 del artículo 25 de la Ley 80 de 1993, modificado por el artículo 87 de la Ley </w:t>
      </w:r>
      <w:r w:rsidRPr="00362B7B">
        <w:rPr>
          <w:rFonts w:ascii="Verdana" w:hAnsi="Verdana" w:cs="Arial"/>
          <w:bCs/>
          <w:sz w:val="20"/>
          <w:lang w:val="es-ES_tradnl" w:eastAsia="es-ES"/>
        </w:rPr>
        <w:lastRenderedPageBreak/>
        <w:t>1474 de 2011</w:t>
      </w:r>
      <w:r w:rsidRPr="00362B7B">
        <w:rPr>
          <w:rFonts w:ascii="Verdana" w:hAnsi="Verdana" w:cs="Arial"/>
          <w:bCs/>
          <w:sz w:val="20"/>
          <w:lang w:eastAsia="es-ES"/>
        </w:rPr>
        <w:t xml:space="preserve">.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00E74386" w14:textId="77777777" w:rsidR="00362B7B" w:rsidRDefault="00362B7B" w:rsidP="00362B7B">
      <w:pPr>
        <w:spacing w:after="0" w:line="240" w:lineRule="auto"/>
        <w:jc w:val="both"/>
        <w:rPr>
          <w:rFonts w:ascii="Verdana" w:hAnsi="Verdana" w:cs="Arial"/>
          <w:bCs/>
          <w:sz w:val="20"/>
          <w:lang w:eastAsia="es-ES"/>
        </w:rPr>
      </w:pPr>
    </w:p>
    <w:p w14:paraId="74AB1EDB" w14:textId="4EC1EE7E" w:rsidR="00362B7B" w:rsidRPr="00362B7B" w:rsidRDefault="00362B7B" w:rsidP="00362B7B">
      <w:pPr>
        <w:spacing w:after="0" w:line="240" w:lineRule="auto"/>
        <w:jc w:val="both"/>
        <w:rPr>
          <w:rFonts w:ascii="Verdana" w:hAnsi="Verdana" w:cs="Arial"/>
          <w:bCs/>
          <w:sz w:val="20"/>
          <w:lang w:eastAsia="es-ES"/>
        </w:rPr>
      </w:pPr>
      <w:r w:rsidRPr="00362B7B">
        <w:rPr>
          <w:rFonts w:ascii="Verdana" w:hAnsi="Verdana" w:cs="Arial"/>
          <w:bCs/>
          <w:sz w:val="20"/>
          <w:lang w:eastAsia="es-ES"/>
        </w:rPr>
        <w:t xml:space="preserve">Igualmente, para los procesos de licitación pública, el numeral primero del artículo 30 </w:t>
      </w:r>
      <w:r w:rsidRPr="00362B7B">
        <w:rPr>
          <w:rFonts w:ascii="Verdana" w:hAnsi="Verdana" w:cs="Arial"/>
          <w:bCs/>
          <w:i/>
          <w:iCs/>
          <w:sz w:val="20"/>
          <w:lang w:eastAsia="es-ES"/>
        </w:rPr>
        <w:t>ibidem</w:t>
      </w:r>
      <w:r w:rsidRPr="00362B7B">
        <w:rPr>
          <w:rFonts w:ascii="Verdana" w:hAnsi="Verdana" w:cs="Arial"/>
          <w:bCs/>
          <w:sz w:val="20"/>
          <w:lang w:eastAsia="es-ES"/>
        </w:rPr>
        <w:t xml:space="preserve"> prescribe que “</w:t>
      </w:r>
      <w:r w:rsidRPr="00362B7B">
        <w:rPr>
          <w:rFonts w:ascii="Verdana" w:hAnsi="Verdana" w:cs="Arial"/>
          <w:bCs/>
          <w:sz w:val="20"/>
          <w:lang w:val="es-MX" w:eastAsia="es-ES"/>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362B7B">
        <w:rPr>
          <w:rFonts w:ascii="Verdana" w:hAnsi="Verdana" w:cs="Arial"/>
          <w:bCs/>
          <w:i/>
          <w:iCs/>
          <w:sz w:val="20"/>
          <w:lang w:val="es-MX" w:eastAsia="es-ES"/>
        </w:rPr>
        <w:t>Cuando sea necesario, el estudio deberá estar acompañado, además, de los diseños, planos y evaluaciones de prefactibilidad o factibilidad</w:t>
      </w:r>
      <w:r w:rsidRPr="00362B7B">
        <w:rPr>
          <w:rFonts w:ascii="Verdana" w:hAnsi="Verdana" w:cs="Arial"/>
          <w:bCs/>
          <w:sz w:val="20"/>
          <w:lang w:val="es-MX" w:eastAsia="es-ES"/>
        </w:rPr>
        <w:t>” (Énfasis fuera de texto).</w:t>
      </w:r>
    </w:p>
    <w:p w14:paraId="63F6C89F" w14:textId="77777777" w:rsidR="00362B7B" w:rsidRPr="00362B7B" w:rsidRDefault="00362B7B" w:rsidP="00BD0FDF">
      <w:pPr>
        <w:spacing w:after="0" w:line="240" w:lineRule="auto"/>
        <w:rPr>
          <w:rFonts w:ascii="Verdana" w:hAnsi="Verdana" w:cs="Arial"/>
          <w:b/>
          <w:bCs/>
          <w:lang w:eastAsia="es-ES"/>
        </w:rPr>
      </w:pPr>
    </w:p>
    <w:p w14:paraId="0AA4C56C" w14:textId="77777777"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CONTRATO DE OBRA – Modalidades – Autonomía de la Voluntad</w:t>
      </w:r>
    </w:p>
    <w:p w14:paraId="1524FAD8" w14:textId="0DDB05CE" w:rsidR="00BD0FDF" w:rsidRDefault="00BD0FDF" w:rsidP="00BD0FDF">
      <w:pPr>
        <w:spacing w:after="0" w:line="240" w:lineRule="auto"/>
        <w:rPr>
          <w:rFonts w:ascii="Verdana" w:hAnsi="Verdana" w:cs="Arial"/>
          <w:b/>
          <w:bCs/>
          <w:lang w:val="es-ES" w:eastAsia="es-ES"/>
        </w:rPr>
      </w:pPr>
    </w:p>
    <w:p w14:paraId="1503C8A0" w14:textId="10888E67" w:rsidR="00BD0FDF" w:rsidRPr="00BD0FDF" w:rsidRDefault="00BD0FDF" w:rsidP="00BD0FDF">
      <w:pPr>
        <w:spacing w:after="0" w:line="240" w:lineRule="auto"/>
        <w:jc w:val="both"/>
        <w:rPr>
          <w:rFonts w:ascii="Verdana" w:hAnsi="Verdana" w:cs="Arial"/>
          <w:bCs/>
          <w:sz w:val="20"/>
          <w:lang w:val="es-ES" w:eastAsia="es-ES"/>
        </w:rPr>
      </w:pPr>
      <w:r>
        <w:rPr>
          <w:rFonts w:ascii="Verdana" w:hAnsi="Verdana" w:cs="Arial"/>
          <w:bCs/>
          <w:sz w:val="20"/>
          <w:lang w:val="es-ES" w:eastAsia="es-ES"/>
        </w:rPr>
        <w:t xml:space="preserve"> […] </w:t>
      </w:r>
      <w:r w:rsidRPr="00BD0FDF">
        <w:rPr>
          <w:rFonts w:ascii="Verdana" w:hAnsi="Verdana" w:cs="Arial"/>
          <w:bCs/>
          <w:sz w:val="20"/>
          <w:lang w:val="es-ES" w:eastAsia="es-ES"/>
        </w:rPr>
        <w:t xml:space="preserve">dentro del Contrato de Obra como tipo contractual regulado en el artículo 32 de la Ley 80 de 1993, existen diversos métodos para determinar el valor y forma de pago, que si bien no están contemplados de manera expresa en la Ley 80 de 1993, pueden pactarse por las partes, teniendo en cuenta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En tal sentido, puede encontrarse diferentes métodos o sistemas de pago: i) Precio Global; </w:t>
      </w:r>
      <w:proofErr w:type="spellStart"/>
      <w:r w:rsidRPr="00BD0FDF">
        <w:rPr>
          <w:rFonts w:ascii="Verdana" w:hAnsi="Verdana" w:cs="Arial"/>
          <w:bCs/>
          <w:sz w:val="20"/>
          <w:lang w:val="es-ES" w:eastAsia="es-ES"/>
        </w:rPr>
        <w:t>ii</w:t>
      </w:r>
      <w:proofErr w:type="spellEnd"/>
      <w:r w:rsidRPr="00BD0FDF">
        <w:rPr>
          <w:rFonts w:ascii="Verdana" w:hAnsi="Verdana" w:cs="Arial"/>
          <w:bCs/>
          <w:sz w:val="20"/>
          <w:lang w:val="es-ES" w:eastAsia="es-ES"/>
        </w:rPr>
        <w:t xml:space="preserve">) Precio Unitario; </w:t>
      </w:r>
      <w:proofErr w:type="spellStart"/>
      <w:r w:rsidRPr="00BD0FDF">
        <w:rPr>
          <w:rFonts w:ascii="Verdana" w:hAnsi="Verdana" w:cs="Arial"/>
          <w:bCs/>
          <w:sz w:val="20"/>
          <w:lang w:val="es-ES" w:eastAsia="es-ES"/>
        </w:rPr>
        <w:t>iii</w:t>
      </w:r>
      <w:proofErr w:type="spellEnd"/>
      <w:r w:rsidRPr="00BD0FDF">
        <w:rPr>
          <w:rFonts w:ascii="Verdana" w:hAnsi="Verdana" w:cs="Arial"/>
          <w:bCs/>
          <w:sz w:val="20"/>
          <w:lang w:val="es-ES" w:eastAsia="es-ES"/>
        </w:rPr>
        <w:t xml:space="preserve">) Administración </w:t>
      </w:r>
      <w:proofErr w:type="gramStart"/>
      <w:r w:rsidRPr="00BD0FDF">
        <w:rPr>
          <w:rFonts w:ascii="Verdana" w:hAnsi="Verdana" w:cs="Arial"/>
          <w:bCs/>
          <w:sz w:val="20"/>
          <w:lang w:val="es-ES" w:eastAsia="es-ES"/>
        </w:rPr>
        <w:t>Delegada</w:t>
      </w:r>
      <w:proofErr w:type="gramEnd"/>
      <w:r w:rsidRPr="00BD0FDF">
        <w:rPr>
          <w:rFonts w:ascii="Verdana" w:hAnsi="Verdana" w:cs="Arial"/>
          <w:bCs/>
          <w:sz w:val="20"/>
          <w:lang w:val="es-ES" w:eastAsia="es-ES"/>
        </w:rPr>
        <w:t xml:space="preserve">; </w:t>
      </w:r>
      <w:proofErr w:type="spellStart"/>
      <w:r w:rsidRPr="00BD0FDF">
        <w:rPr>
          <w:rFonts w:ascii="Verdana" w:hAnsi="Verdana" w:cs="Arial"/>
          <w:bCs/>
          <w:sz w:val="20"/>
          <w:lang w:val="es-ES" w:eastAsia="es-ES"/>
        </w:rPr>
        <w:t>iv</w:t>
      </w:r>
      <w:proofErr w:type="spellEnd"/>
      <w:r w:rsidRPr="00BD0FDF">
        <w:rPr>
          <w:rFonts w:ascii="Verdana" w:hAnsi="Verdana" w:cs="Arial"/>
          <w:bCs/>
          <w:sz w:val="20"/>
          <w:lang w:val="es-ES" w:eastAsia="es-ES"/>
        </w:rPr>
        <w:t xml:space="preserve">) Llave en mano, entre otros. </w:t>
      </w:r>
    </w:p>
    <w:p w14:paraId="267A7958" w14:textId="77777777" w:rsidR="00BD0FDF" w:rsidRPr="00BD0FDF" w:rsidRDefault="00BD0FDF" w:rsidP="00BD0FDF">
      <w:pPr>
        <w:spacing w:after="0" w:line="240" w:lineRule="auto"/>
        <w:rPr>
          <w:rFonts w:ascii="Verdana" w:hAnsi="Verdana" w:cs="Arial"/>
          <w:b/>
          <w:bCs/>
          <w:lang w:val="es-ES" w:eastAsia="es-ES"/>
        </w:rPr>
      </w:pPr>
    </w:p>
    <w:p w14:paraId="60D64C13" w14:textId="77777777"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 xml:space="preserve">CONTRATO DE OBRA – Modalidad de Llave en mano – Concepto </w:t>
      </w:r>
    </w:p>
    <w:p w14:paraId="737621F3" w14:textId="79779B99" w:rsidR="00BD0FDF" w:rsidRDefault="00BD0FDF" w:rsidP="00BD0FDF">
      <w:pPr>
        <w:spacing w:after="0" w:line="240" w:lineRule="auto"/>
        <w:rPr>
          <w:rFonts w:ascii="Verdana" w:hAnsi="Verdana" w:cs="Arial"/>
          <w:b/>
          <w:bCs/>
          <w:lang w:val="es-ES" w:eastAsia="es-ES"/>
        </w:rPr>
      </w:pPr>
    </w:p>
    <w:p w14:paraId="7C9947B8" w14:textId="5560A3A8" w:rsidR="00362B7B" w:rsidRPr="00362B7B" w:rsidRDefault="00362B7B" w:rsidP="00362B7B">
      <w:pPr>
        <w:spacing w:after="0" w:line="240" w:lineRule="auto"/>
        <w:jc w:val="both"/>
        <w:rPr>
          <w:rFonts w:ascii="Verdana" w:hAnsi="Verdana" w:cs="Arial"/>
          <w:bCs/>
          <w:lang w:eastAsia="es-ES"/>
        </w:rPr>
      </w:pPr>
      <w:r w:rsidRPr="00362B7B">
        <w:rPr>
          <w:rFonts w:ascii="Verdana" w:hAnsi="Verdana" w:cs="Arial"/>
          <w:bCs/>
          <w:lang w:val="es-ES_tradnl" w:eastAsia="es-ES"/>
        </w:rPr>
        <w:t xml:space="preserve">En torno al Contrato de Obra bajo la modalidad Llave en mano consiste en que </w:t>
      </w:r>
      <w:r w:rsidRPr="00362B7B">
        <w:rPr>
          <w:rFonts w:ascii="Verdana" w:hAnsi="Verdana" w:cs="Arial"/>
          <w:bCs/>
          <w:lang w:eastAsia="es-ES"/>
        </w:rPr>
        <w:t xml:space="preserve">el contratista se obliga a ejecutar la obra desde la fase inicial de diseño y hasta la puesta en marcha, que también puede denominarse contrato de </w:t>
      </w:r>
      <w:proofErr w:type="spellStart"/>
      <w:r w:rsidRPr="00362B7B">
        <w:rPr>
          <w:rFonts w:ascii="Verdana" w:hAnsi="Verdana" w:cs="Arial"/>
          <w:bCs/>
          <w:lang w:eastAsia="es-ES"/>
        </w:rPr>
        <w:t>Engineering</w:t>
      </w:r>
      <w:proofErr w:type="spellEnd"/>
      <w:r w:rsidRPr="00362B7B">
        <w:rPr>
          <w:rFonts w:ascii="Verdana" w:hAnsi="Verdana" w:cs="Arial"/>
          <w:bCs/>
          <w:lang w:eastAsia="es-ES"/>
        </w:rPr>
        <w:t xml:space="preserve">, </w:t>
      </w:r>
      <w:proofErr w:type="spellStart"/>
      <w:r w:rsidRPr="00362B7B">
        <w:rPr>
          <w:rFonts w:ascii="Verdana" w:hAnsi="Verdana" w:cs="Arial"/>
          <w:bCs/>
          <w:lang w:eastAsia="es-ES"/>
        </w:rPr>
        <w:t>Procurement</w:t>
      </w:r>
      <w:proofErr w:type="spellEnd"/>
      <w:r w:rsidRPr="00362B7B">
        <w:rPr>
          <w:rFonts w:ascii="Verdana" w:hAnsi="Verdana" w:cs="Arial"/>
          <w:bCs/>
          <w:lang w:eastAsia="es-ES"/>
        </w:rPr>
        <w:t xml:space="preserve"> and </w:t>
      </w:r>
      <w:proofErr w:type="spellStart"/>
      <w:r w:rsidRPr="00362B7B">
        <w:rPr>
          <w:rFonts w:ascii="Verdana" w:hAnsi="Verdana" w:cs="Arial"/>
          <w:bCs/>
          <w:lang w:eastAsia="es-ES"/>
        </w:rPr>
        <w:t>Construction</w:t>
      </w:r>
      <w:proofErr w:type="spellEnd"/>
      <w:r w:rsidRPr="00362B7B">
        <w:rPr>
          <w:rFonts w:ascii="Verdana" w:hAnsi="Verdana" w:cs="Arial"/>
          <w:bCs/>
          <w:lang w:eastAsia="es-ES"/>
        </w:rPr>
        <w:t xml:space="preserve"> –EPC–. Estos contratos “[...] están concebidos para su utilización en grandes proyectos, en los cuales la certidumbre sobre el precio final y sobre el plazo de terminación de la obra es esencial, en la medida en que suelen ser elementos clave para la obtención de financiación de los proyectos”. En efecto, según la “Guía para Procesos de Contratación de Obra Pública” expedida por la Agencia, esta es una modalidad en la cual “el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 De este modo, resulta claro que el contrato de obra “llave en mano” es un sistema de contratación para construcción de obras, en el que “el contratista se compromete a llevar a cabo una obra totalmente, incluyendo estudios previos, diseños, suministro de </w:t>
      </w:r>
      <w:r w:rsidRPr="00362B7B">
        <w:rPr>
          <w:rFonts w:ascii="Verdana" w:hAnsi="Verdana" w:cs="Arial"/>
          <w:bCs/>
          <w:lang w:eastAsia="es-ES"/>
        </w:rPr>
        <w:lastRenderedPageBreak/>
        <w:t>equipos, ejecución de la obra en condiciones tales que, al finalizar la labor, le permita al contratante la puesta en marcha de obra en el momento en que se efectúe su entrega”.</w:t>
      </w:r>
    </w:p>
    <w:p w14:paraId="67DC97BC" w14:textId="77777777" w:rsidR="00362B7B" w:rsidRPr="00BD0FDF" w:rsidRDefault="00362B7B" w:rsidP="00BD0FDF">
      <w:pPr>
        <w:spacing w:after="0" w:line="240" w:lineRule="auto"/>
        <w:rPr>
          <w:rFonts w:ascii="Verdana" w:hAnsi="Verdana" w:cs="Arial"/>
          <w:b/>
          <w:bCs/>
          <w:lang w:val="es-ES" w:eastAsia="es-ES"/>
        </w:rPr>
      </w:pPr>
    </w:p>
    <w:p w14:paraId="5457A3A4" w14:textId="57C674A7" w:rsidR="00BD0FDF" w:rsidRPr="00BD0FDF" w:rsidRDefault="00BD0FDF" w:rsidP="00BD0FDF">
      <w:pPr>
        <w:spacing w:after="0" w:line="240" w:lineRule="auto"/>
        <w:rPr>
          <w:rFonts w:ascii="Verdana" w:hAnsi="Verdana"/>
          <w:b/>
        </w:rPr>
      </w:pPr>
      <w:r w:rsidRPr="00BD0FDF">
        <w:rPr>
          <w:rFonts w:ascii="Verdana" w:hAnsi="Verdana" w:cs="Arial"/>
          <w:b/>
          <w:bCs/>
          <w:lang w:val="es-ES" w:eastAsia="es-ES"/>
        </w:rPr>
        <w:t>MODALIDAD LLAVE EN MANO – Características – Condiciones básicas.</w:t>
      </w:r>
    </w:p>
    <w:p w14:paraId="3883A430" w14:textId="77777777" w:rsidR="00BD0FDF" w:rsidRPr="00BD0FDF" w:rsidRDefault="00BD0FDF" w:rsidP="00BD0FDF">
      <w:pPr>
        <w:spacing w:after="0" w:line="240" w:lineRule="auto"/>
        <w:rPr>
          <w:rFonts w:ascii="Verdana" w:hAnsi="Verdana"/>
          <w:b/>
        </w:rPr>
      </w:pPr>
    </w:p>
    <w:p w14:paraId="74189D46" w14:textId="1198783E" w:rsidR="00362B7B" w:rsidRPr="00362B7B" w:rsidRDefault="00362B7B" w:rsidP="00362B7B">
      <w:pPr>
        <w:spacing w:after="0" w:line="240" w:lineRule="auto"/>
        <w:jc w:val="both"/>
        <w:rPr>
          <w:rFonts w:ascii="Verdana" w:hAnsi="Verdana"/>
          <w:lang w:val="es-ES"/>
        </w:rPr>
      </w:pPr>
      <w:r w:rsidRPr="00362B7B">
        <w:rPr>
          <w:rFonts w:ascii="Verdana" w:hAnsi="Verdana"/>
          <w:lang w:val="es-ES"/>
        </w:rPr>
        <w:t xml:space="preserve">la modalidad de </w:t>
      </w:r>
      <w:r w:rsidRPr="00362B7B">
        <w:rPr>
          <w:rFonts w:ascii="Verdana" w:hAnsi="Verdana"/>
          <w:i/>
          <w:iCs/>
          <w:lang w:val="es-ES"/>
        </w:rPr>
        <w:t>llave en mano</w:t>
      </w:r>
      <w:r w:rsidRPr="00362B7B">
        <w:rPr>
          <w:rFonts w:ascii="Verdana" w:hAnsi="Verdana"/>
          <w:lang w:val="es-ES"/>
        </w:rPr>
        <w:t xml:space="preserve"> no resulta recomendable en escenarios en los que, no existe tiempo ni información suficiente para que los oferentes puedan examinar y comprobar los requisitos necesarios para efectos del diseño, valoración y estimación de riesgos. En ese mismo sentido, la doctrina desaconseja la implementación de contratos bajo la modalidad de llave en mano cuando la </w:t>
      </w:r>
      <w:r w:rsidRPr="00362B7B">
        <w:rPr>
          <w:rFonts w:ascii="Verdana" w:hAnsi="Verdana"/>
        </w:rPr>
        <w:t xml:space="preserve">obra involucra trabajos subterráneos importantes o en áreas que los oferentes no puedan inspeccionar, esto comoquiera: </w:t>
      </w:r>
      <w:r w:rsidRPr="00362B7B">
        <w:rPr>
          <w:rFonts w:ascii="Verdana" w:hAnsi="Verdana"/>
          <w:i/>
          <w:iCs/>
        </w:rPr>
        <w:t>“</w:t>
      </w:r>
      <w:r w:rsidRPr="00362B7B">
        <w:rPr>
          <w:rFonts w:ascii="Verdana" w:hAnsi="Verdana"/>
        </w:rPr>
        <w:t>[…]</w:t>
      </w:r>
      <w:r w:rsidRPr="00362B7B">
        <w:rPr>
          <w:rFonts w:ascii="Verdana" w:hAnsi="Verdana"/>
          <w:i/>
          <w:iCs/>
        </w:rPr>
        <w:t xml:space="preserve"> </w:t>
      </w:r>
      <w:r w:rsidRPr="00362B7B">
        <w:rPr>
          <w:rFonts w:ascii="Verdana" w:hAnsi="Verdana"/>
        </w:rPr>
        <w:t>los riesgos de encontrar situaciones imprevistas podrían ser tan grandes que la oferta más baja corresponda a la presentada por el oferente con menor conocimiento o por los jugadores más impetuosos, en lugar de la presentada por el mejor oferente</w:t>
      </w:r>
      <w:r w:rsidRPr="00362B7B">
        <w:rPr>
          <w:rFonts w:ascii="Verdana" w:hAnsi="Verdana"/>
          <w:i/>
          <w:iCs/>
        </w:rPr>
        <w:t>”</w:t>
      </w:r>
      <w:r w:rsidRPr="00362B7B">
        <w:rPr>
          <w:rFonts w:ascii="Verdana" w:hAnsi="Verdana"/>
        </w:rPr>
        <w:t>.</w:t>
      </w:r>
    </w:p>
    <w:p w14:paraId="6F567C70" w14:textId="77777777" w:rsidR="00362B7B" w:rsidRPr="00362B7B" w:rsidRDefault="00362B7B" w:rsidP="00362B7B">
      <w:pPr>
        <w:spacing w:after="0" w:line="240" w:lineRule="auto"/>
        <w:jc w:val="both"/>
        <w:rPr>
          <w:rFonts w:ascii="Verdana" w:hAnsi="Verdana"/>
        </w:rPr>
      </w:pPr>
      <w:r w:rsidRPr="00362B7B">
        <w:rPr>
          <w:rFonts w:ascii="Verdana" w:hAnsi="Verdana"/>
        </w:rPr>
        <w:t xml:space="preserve">Así las cosas, el contrato de obra previsto en el numeral 1° del artículo 32 de la Ley 80 de 1993 puede ejecutarse mediante la modalidad denominada “llave en mano” o de otras modalidades, dependiendo de lo que pretenda la entidad,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En otros términos, la modalidad que se emplee para la ejecución y pago del contrato de obra no determina la naturaleza de este, pues mientras el contrato contemple las actividades definidas en el numeral 1° del artículo 32 de la Ley 80 de 1993, tendrá la denominación de obra, aunque incluya otras prestaciones, como es el caso de la modalidad de llave en mano. </w:t>
      </w:r>
    </w:p>
    <w:p w14:paraId="2F9D2831" w14:textId="77777777" w:rsidR="00BD0FDF" w:rsidRDefault="00BD0FDF" w:rsidP="00591DEA">
      <w:pPr>
        <w:spacing w:after="0"/>
        <w:rPr>
          <w:rFonts w:ascii="Verdana" w:hAnsi="Verdana"/>
        </w:rPr>
      </w:pPr>
    </w:p>
    <w:p w14:paraId="4F67C8F8" w14:textId="71FD221B" w:rsidR="00BD0FDF" w:rsidRDefault="00BD0FDF" w:rsidP="00591DEA">
      <w:pPr>
        <w:spacing w:after="0"/>
        <w:rPr>
          <w:rFonts w:ascii="Verdana" w:hAnsi="Verdana"/>
        </w:rPr>
      </w:pPr>
    </w:p>
    <w:p w14:paraId="17126125" w14:textId="2C60E589" w:rsidR="00362B7B" w:rsidRDefault="00362B7B" w:rsidP="00591DEA">
      <w:pPr>
        <w:spacing w:after="0"/>
        <w:rPr>
          <w:rFonts w:ascii="Verdana" w:hAnsi="Verdana"/>
        </w:rPr>
      </w:pPr>
    </w:p>
    <w:p w14:paraId="1C52869F" w14:textId="2F7A1C2A" w:rsidR="00362B7B" w:rsidRDefault="00362B7B" w:rsidP="00591DEA">
      <w:pPr>
        <w:spacing w:after="0"/>
        <w:rPr>
          <w:rFonts w:ascii="Verdana" w:hAnsi="Verdana"/>
        </w:rPr>
      </w:pPr>
    </w:p>
    <w:p w14:paraId="7A97312D" w14:textId="795E3F24" w:rsidR="00362B7B" w:rsidRDefault="00362B7B" w:rsidP="00591DEA">
      <w:pPr>
        <w:spacing w:after="0"/>
        <w:rPr>
          <w:rFonts w:ascii="Verdana" w:hAnsi="Verdana"/>
        </w:rPr>
      </w:pPr>
    </w:p>
    <w:p w14:paraId="2FA93361" w14:textId="74531217" w:rsidR="00362B7B" w:rsidRDefault="00362B7B" w:rsidP="00591DEA">
      <w:pPr>
        <w:spacing w:after="0"/>
        <w:rPr>
          <w:rFonts w:ascii="Verdana" w:hAnsi="Verdana"/>
        </w:rPr>
      </w:pPr>
    </w:p>
    <w:p w14:paraId="31E9FE82" w14:textId="0C9E2824" w:rsidR="00362B7B" w:rsidRDefault="00362B7B" w:rsidP="00591DEA">
      <w:pPr>
        <w:spacing w:after="0"/>
        <w:rPr>
          <w:rFonts w:ascii="Verdana" w:hAnsi="Verdana"/>
        </w:rPr>
      </w:pPr>
    </w:p>
    <w:p w14:paraId="2A76B4A3" w14:textId="0990F7A2" w:rsidR="00362B7B" w:rsidRDefault="00362B7B" w:rsidP="00591DEA">
      <w:pPr>
        <w:spacing w:after="0"/>
        <w:rPr>
          <w:rFonts w:ascii="Verdana" w:hAnsi="Verdana"/>
        </w:rPr>
      </w:pPr>
    </w:p>
    <w:p w14:paraId="1978BDF2" w14:textId="1FFC0A86" w:rsidR="00362B7B" w:rsidRDefault="00362B7B" w:rsidP="00591DEA">
      <w:pPr>
        <w:spacing w:after="0"/>
        <w:rPr>
          <w:rFonts w:ascii="Verdana" w:hAnsi="Verdana"/>
        </w:rPr>
      </w:pPr>
    </w:p>
    <w:p w14:paraId="232C686F" w14:textId="6C41FAA2" w:rsidR="00362B7B" w:rsidRDefault="00362B7B" w:rsidP="00591DEA">
      <w:pPr>
        <w:spacing w:after="0"/>
        <w:rPr>
          <w:rFonts w:ascii="Verdana" w:hAnsi="Verdana"/>
        </w:rPr>
      </w:pPr>
    </w:p>
    <w:p w14:paraId="3A3905B9" w14:textId="692E56B9" w:rsidR="00362B7B" w:rsidRDefault="00362B7B" w:rsidP="00591DEA">
      <w:pPr>
        <w:spacing w:after="0"/>
        <w:rPr>
          <w:rFonts w:ascii="Verdana" w:hAnsi="Verdana"/>
        </w:rPr>
      </w:pPr>
    </w:p>
    <w:p w14:paraId="31C1EB1F" w14:textId="3D5F642F" w:rsidR="00362B7B" w:rsidRDefault="00362B7B" w:rsidP="00591DEA">
      <w:pPr>
        <w:spacing w:after="0"/>
        <w:rPr>
          <w:rFonts w:ascii="Verdana" w:hAnsi="Verdana"/>
        </w:rPr>
      </w:pPr>
    </w:p>
    <w:p w14:paraId="0F9343DB" w14:textId="1A24AE47" w:rsidR="00362B7B" w:rsidRDefault="00362B7B" w:rsidP="00591DEA">
      <w:pPr>
        <w:spacing w:after="0"/>
        <w:rPr>
          <w:rFonts w:ascii="Verdana" w:hAnsi="Verdana"/>
        </w:rPr>
      </w:pPr>
    </w:p>
    <w:p w14:paraId="7D50D70E" w14:textId="0A13AAD6" w:rsidR="00362B7B" w:rsidRDefault="00362B7B" w:rsidP="00591DEA">
      <w:pPr>
        <w:spacing w:after="0"/>
        <w:rPr>
          <w:rFonts w:ascii="Verdana" w:hAnsi="Verdana"/>
        </w:rPr>
      </w:pPr>
    </w:p>
    <w:p w14:paraId="4284B33A" w14:textId="362AB478" w:rsidR="00591DEA" w:rsidRPr="00362B7B" w:rsidRDefault="00362B7B" w:rsidP="00591DEA">
      <w:pPr>
        <w:spacing w:after="0"/>
        <w:rPr>
          <w:rFonts w:ascii="Verdana" w:hAnsi="Verdana"/>
        </w:rPr>
      </w:pPr>
      <w:r w:rsidRPr="00362B7B">
        <w:rPr>
          <w:rFonts w:ascii="Verdana" w:hAnsi="Verdana"/>
          <w:noProof/>
          <w:lang w:val="en-US"/>
        </w:rPr>
        <w:lastRenderedPageBreak/>
        <w:drawing>
          <wp:anchor distT="0" distB="0" distL="114300" distR="114300" simplePos="0" relativeHeight="251658240" behindDoc="0" locked="0" layoutInCell="1" allowOverlap="1" wp14:anchorId="4A39FF36" wp14:editId="59335D62">
            <wp:simplePos x="0" y="0"/>
            <wp:positionH relativeFrom="column">
              <wp:posOffset>2850515</wp:posOffset>
            </wp:positionH>
            <wp:positionV relativeFrom="paragraph">
              <wp:posOffset>2540</wp:posOffset>
            </wp:positionV>
            <wp:extent cx="2732405" cy="798195"/>
            <wp:effectExtent l="0" t="0" r="0" b="190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2405" cy="798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1DEA" w:rsidRPr="0044528D">
        <w:rPr>
          <w:rFonts w:ascii="Verdana" w:hAnsi="Verdana"/>
        </w:rPr>
        <w:t xml:space="preserve">Bogotá D.C., </w:t>
      </w:r>
      <w:r w:rsidR="00BD0FDF">
        <w:rPr>
          <w:rFonts w:ascii="Verdana" w:hAnsi="Verdana"/>
        </w:rPr>
        <w:t>1 de octubre de 2025</w:t>
      </w:r>
    </w:p>
    <w:p w14:paraId="77DC8505" w14:textId="77777777" w:rsidR="00591DEA" w:rsidRPr="00D9471C" w:rsidRDefault="00591DEA" w:rsidP="00591DEA">
      <w:pPr>
        <w:spacing w:after="0" w:line="240" w:lineRule="auto"/>
        <w:rPr>
          <w:rFonts w:ascii="Verdana" w:hAnsi="Verdana"/>
        </w:rPr>
      </w:pPr>
    </w:p>
    <w:p w14:paraId="61E7FF8F" w14:textId="77777777" w:rsidR="00591DEA" w:rsidRPr="00D9471C" w:rsidRDefault="00591DEA" w:rsidP="00591DEA">
      <w:pPr>
        <w:spacing w:after="0" w:line="240" w:lineRule="auto"/>
        <w:rPr>
          <w:rFonts w:ascii="Verdana" w:hAnsi="Verdana"/>
        </w:rPr>
      </w:pPr>
    </w:p>
    <w:p w14:paraId="1C43FCC6" w14:textId="77777777" w:rsidR="00591DEA" w:rsidRPr="00D9471C" w:rsidRDefault="00591DEA" w:rsidP="00591DEA">
      <w:pPr>
        <w:spacing w:after="0" w:line="240" w:lineRule="auto"/>
        <w:rPr>
          <w:rFonts w:ascii="Verdana" w:eastAsia="Calibri" w:hAnsi="Verdana" w:cs="Times New Roman"/>
          <w:lang w:val="es-MX"/>
        </w:rPr>
      </w:pPr>
      <w:r w:rsidRPr="00D9471C">
        <w:rPr>
          <w:rFonts w:ascii="Verdana" w:eastAsia="Calibri" w:hAnsi="Verdana" w:cs="Times New Roman"/>
          <w:lang w:val="es-MX"/>
        </w:rPr>
        <w:t>Señor</w:t>
      </w:r>
    </w:p>
    <w:p w14:paraId="7744FA03" w14:textId="77777777" w:rsidR="00591DEA" w:rsidRPr="00D9471C" w:rsidRDefault="00591DEA" w:rsidP="00591DEA">
      <w:pPr>
        <w:spacing w:after="0" w:line="240" w:lineRule="auto"/>
        <w:rPr>
          <w:rFonts w:ascii="Verdana" w:eastAsia="Calibri" w:hAnsi="Verdana" w:cs="Times New Roman"/>
          <w:b/>
        </w:rPr>
      </w:pPr>
      <w:r w:rsidRPr="00D9471C">
        <w:rPr>
          <w:rFonts w:ascii="Verdana" w:eastAsia="Calibri" w:hAnsi="Verdana" w:cs="Times New Roman"/>
          <w:b/>
        </w:rPr>
        <w:t xml:space="preserve">David Alexander Mendoza Heredia </w:t>
      </w:r>
    </w:p>
    <w:p w14:paraId="2C384D3C" w14:textId="77777777" w:rsidR="00591DEA" w:rsidRPr="00D9471C" w:rsidRDefault="00591DEA" w:rsidP="00591DEA">
      <w:pPr>
        <w:spacing w:after="0" w:line="240" w:lineRule="auto"/>
        <w:rPr>
          <w:rFonts w:ascii="Verdana" w:hAnsi="Verdana"/>
        </w:rPr>
      </w:pPr>
      <w:hyperlink r:id="rId12" w:history="1">
        <w:r w:rsidRPr="008D191C">
          <w:rPr>
            <w:rFonts w:ascii="Verdana" w:hAnsi="Verdana"/>
            <w:color w:val="0000FF"/>
            <w:u w:val="single"/>
          </w:rPr>
          <w:t>secretariaejecutiva@mpapenalcorporativo.com</w:t>
        </w:r>
      </w:hyperlink>
    </w:p>
    <w:p w14:paraId="06F7D24A" w14:textId="77777777" w:rsidR="00591DEA" w:rsidRPr="00D9471C" w:rsidRDefault="00591DEA" w:rsidP="00591DEA">
      <w:pPr>
        <w:spacing w:after="0" w:line="240" w:lineRule="auto"/>
        <w:rPr>
          <w:rFonts w:ascii="Verdana" w:hAnsi="Verdana"/>
        </w:rPr>
      </w:pPr>
      <w:hyperlink r:id="rId13" w:history="1">
        <w:r w:rsidRPr="008D191C">
          <w:rPr>
            <w:rFonts w:ascii="Verdana" w:hAnsi="Verdana"/>
            <w:color w:val="0000FF"/>
            <w:u w:val="single"/>
          </w:rPr>
          <w:t>investigaciones@alianzacfc.com</w:t>
        </w:r>
      </w:hyperlink>
      <w:r w:rsidRPr="00D9471C">
        <w:rPr>
          <w:rFonts w:ascii="Verdana" w:hAnsi="Verdana"/>
        </w:rPr>
        <w:t xml:space="preserve"> </w:t>
      </w:r>
    </w:p>
    <w:p w14:paraId="6C4B0C0A" w14:textId="77777777" w:rsidR="00591DEA" w:rsidRPr="00D9471C" w:rsidRDefault="00591DEA" w:rsidP="00591DEA">
      <w:pPr>
        <w:spacing w:after="0" w:line="240" w:lineRule="auto"/>
        <w:rPr>
          <w:rFonts w:ascii="Verdana" w:eastAsia="Calibri" w:hAnsi="Verdana" w:cs="Times New Roman"/>
        </w:rPr>
      </w:pPr>
      <w:r>
        <w:rPr>
          <w:rFonts w:ascii="Verdana" w:eastAsia="Calibri" w:hAnsi="Verdana" w:cs="Times New Roman"/>
        </w:rPr>
        <w:t xml:space="preserve">Bogotá D.C. </w:t>
      </w:r>
    </w:p>
    <w:p w14:paraId="1619CD74" w14:textId="77777777" w:rsidR="00591DEA" w:rsidRPr="00D9471C" w:rsidRDefault="00591DEA" w:rsidP="00591DEA">
      <w:pPr>
        <w:spacing w:after="0" w:line="240" w:lineRule="auto"/>
        <w:rPr>
          <w:rFonts w:ascii="Verdana" w:eastAsia="Calibri" w:hAnsi="Verdana" w:cs="Times New Roman"/>
        </w:rPr>
      </w:pPr>
    </w:p>
    <w:p w14:paraId="76EB8B51" w14:textId="77777777" w:rsidR="00591DEA" w:rsidRPr="00D9471C" w:rsidRDefault="00591DEA" w:rsidP="00591DEA">
      <w:pPr>
        <w:spacing w:after="0" w:line="240" w:lineRule="auto"/>
        <w:rPr>
          <w:rFonts w:ascii="Verdana" w:eastAsia="Calibri" w:hAnsi="Verdana" w:cs="Times New Roman"/>
        </w:rPr>
      </w:pPr>
    </w:p>
    <w:p w14:paraId="454C9AC3" w14:textId="77777777" w:rsidR="00591DEA" w:rsidRPr="00D9471C" w:rsidRDefault="00591DEA" w:rsidP="00591DEA">
      <w:pPr>
        <w:spacing w:after="0" w:line="240" w:lineRule="auto"/>
        <w:rPr>
          <w:rFonts w:ascii="Verdana" w:eastAsia="Calibri" w:hAnsi="Verdana" w:cs="Times New Roman"/>
          <w:b/>
          <w:bCs/>
          <w:lang w:val="es-ES"/>
        </w:rPr>
      </w:pPr>
      <w:r w:rsidRPr="00D9471C">
        <w:rPr>
          <w:rFonts w:ascii="Verdana" w:eastAsia="Calibri" w:hAnsi="Verdana" w:cs="Times New Roman"/>
          <w:b/>
          <w:bCs/>
          <w:lang w:val="es-ES"/>
        </w:rPr>
        <w:t xml:space="preserve">                  </w:t>
      </w:r>
      <w:r>
        <w:rPr>
          <w:rFonts w:ascii="Verdana" w:eastAsia="Calibri" w:hAnsi="Verdana" w:cs="Times New Roman"/>
          <w:b/>
          <w:bCs/>
          <w:lang w:val="es-ES"/>
        </w:rPr>
        <w:t xml:space="preserve">                  Concepto C– 1162</w:t>
      </w:r>
      <w:r w:rsidRPr="00D9471C">
        <w:rPr>
          <w:rFonts w:ascii="Verdana" w:eastAsia="Calibri" w:hAnsi="Verdana" w:cs="Times New Roman"/>
          <w:b/>
          <w:bCs/>
          <w:lang w:val="es-ES"/>
        </w:rPr>
        <w:t xml:space="preserve"> de 2025</w:t>
      </w:r>
    </w:p>
    <w:p w14:paraId="26D9F9E4" w14:textId="77777777" w:rsidR="00591DEA" w:rsidRPr="00D9471C" w:rsidRDefault="00591DEA" w:rsidP="00591DEA">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91DEA" w:rsidRPr="008D191C" w14:paraId="127AFD9F" w14:textId="77777777" w:rsidTr="00F57C42">
        <w:trPr>
          <w:trHeight w:val="884"/>
        </w:trPr>
        <w:tc>
          <w:tcPr>
            <w:tcW w:w="2685" w:type="dxa"/>
            <w:hideMark/>
          </w:tcPr>
          <w:p w14:paraId="13546B82" w14:textId="77777777" w:rsidR="00591DEA" w:rsidRPr="008D191C" w:rsidRDefault="00591DEA" w:rsidP="00F57C42">
            <w:pPr>
              <w:rPr>
                <w:rFonts w:ascii="Verdana" w:hAnsi="Verdana"/>
                <w:b/>
                <w:bCs/>
                <w:lang w:val="es-ES_tradnl"/>
              </w:rPr>
            </w:pPr>
            <w:r w:rsidRPr="008D191C">
              <w:rPr>
                <w:rFonts w:ascii="Verdana" w:hAnsi="Verdana"/>
                <w:b/>
                <w:bCs/>
                <w:lang w:val="es-ES_tradnl"/>
              </w:rPr>
              <w:t xml:space="preserve">Temas:                   </w:t>
            </w:r>
          </w:p>
        </w:tc>
        <w:tc>
          <w:tcPr>
            <w:tcW w:w="6241" w:type="dxa"/>
            <w:hideMark/>
          </w:tcPr>
          <w:p w14:paraId="28AD1F3D" w14:textId="77777777" w:rsidR="00591DEA" w:rsidRPr="008D191C" w:rsidRDefault="00591DEA" w:rsidP="00F57C42">
            <w:pPr>
              <w:spacing w:line="276" w:lineRule="auto"/>
              <w:jc w:val="both"/>
              <w:rPr>
                <w:rFonts w:ascii="Verdana" w:hAnsi="Verdana"/>
                <w:highlight w:val="yellow"/>
              </w:rPr>
            </w:pPr>
            <w:r w:rsidRPr="008D191C">
              <w:rPr>
                <w:rFonts w:ascii="Verdana" w:hAnsi="Verdana" w:cs="Arial"/>
                <w:bCs/>
                <w:lang w:val="es-ES" w:eastAsia="es-ES"/>
              </w:rPr>
              <w:t xml:space="preserve">CONTRATO ESTATAL – Concepto / CONTRATO DE OBRA –Características / CONTRATO DE OBRA – Sentido amplio – sentido restringido / </w:t>
            </w:r>
            <w:r w:rsidRPr="00B8425E">
              <w:rPr>
                <w:rFonts w:ascii="Verdana" w:hAnsi="Verdana" w:cs="Arial"/>
                <w:bCs/>
                <w:lang w:val="es-ES" w:eastAsia="es-ES"/>
              </w:rPr>
              <w:t xml:space="preserve">DISEÑOS, ESTUDIOS Y OBRA – Contratación – Viabilidad del proyecto </w:t>
            </w:r>
            <w:r>
              <w:rPr>
                <w:rFonts w:ascii="Verdana" w:hAnsi="Verdana" w:cs="Arial"/>
                <w:bCs/>
                <w:lang w:val="es-ES" w:eastAsia="es-ES"/>
              </w:rPr>
              <w:t xml:space="preserve">/ </w:t>
            </w:r>
            <w:r w:rsidRPr="008D191C">
              <w:rPr>
                <w:rFonts w:ascii="Verdana" w:hAnsi="Verdana" w:cs="Arial"/>
                <w:bCs/>
                <w:lang w:val="es-ES" w:eastAsia="es-ES"/>
              </w:rPr>
              <w:t>CONTRATO DE OBRA – Modalidades – Autonomía de la Voluntad / CONTRATO DE OB</w:t>
            </w:r>
            <w:r>
              <w:rPr>
                <w:rFonts w:ascii="Verdana" w:hAnsi="Verdana" w:cs="Arial"/>
                <w:bCs/>
                <w:lang w:val="es-ES" w:eastAsia="es-ES"/>
              </w:rPr>
              <w:t>RA – Modalidad de Llave en mano – Concepto / MODALIDAD LLAVE EN MANO – Características – Condiciones básicas</w:t>
            </w:r>
            <w:r w:rsidRPr="008D191C">
              <w:rPr>
                <w:rFonts w:ascii="Verdana" w:hAnsi="Verdana" w:cs="Arial"/>
                <w:bCs/>
                <w:lang w:val="es-ES" w:eastAsia="es-ES"/>
              </w:rPr>
              <w:t xml:space="preserve">.  </w:t>
            </w:r>
          </w:p>
        </w:tc>
        <w:tc>
          <w:tcPr>
            <w:tcW w:w="6237" w:type="dxa"/>
          </w:tcPr>
          <w:p w14:paraId="149425CE" w14:textId="77777777" w:rsidR="00591DEA" w:rsidRPr="008D191C" w:rsidRDefault="00591DEA" w:rsidP="00F57C42">
            <w:pPr>
              <w:spacing w:line="256" w:lineRule="auto"/>
              <w:rPr>
                <w:rFonts w:ascii="Verdana" w:hAnsi="Verdana"/>
              </w:rPr>
            </w:pPr>
          </w:p>
        </w:tc>
      </w:tr>
      <w:tr w:rsidR="00591DEA" w:rsidRPr="008D191C" w14:paraId="736F2119" w14:textId="77777777" w:rsidTr="00F57C42">
        <w:tc>
          <w:tcPr>
            <w:tcW w:w="2685" w:type="dxa"/>
          </w:tcPr>
          <w:p w14:paraId="13606F91" w14:textId="77777777" w:rsidR="00591DEA" w:rsidRPr="008D191C" w:rsidRDefault="00591DEA" w:rsidP="00F57C42">
            <w:pPr>
              <w:spacing w:line="256" w:lineRule="auto"/>
              <w:rPr>
                <w:rFonts w:ascii="Verdana" w:hAnsi="Verdana"/>
              </w:rPr>
            </w:pPr>
          </w:p>
          <w:p w14:paraId="75A4C6FE" w14:textId="77777777" w:rsidR="00591DEA" w:rsidRPr="008D191C" w:rsidRDefault="00591DEA" w:rsidP="00F57C42">
            <w:pPr>
              <w:spacing w:line="256" w:lineRule="auto"/>
              <w:rPr>
                <w:rFonts w:ascii="Verdana" w:hAnsi="Verdana"/>
                <w:b/>
                <w:bCs/>
                <w:lang w:val="es-ES_tradnl"/>
              </w:rPr>
            </w:pPr>
            <w:r w:rsidRPr="008D191C">
              <w:rPr>
                <w:rFonts w:ascii="Verdana" w:hAnsi="Verdana"/>
                <w:b/>
                <w:bCs/>
                <w:lang w:val="es-ES_tradnl"/>
              </w:rPr>
              <w:t xml:space="preserve">Radicación:               </w:t>
            </w:r>
          </w:p>
        </w:tc>
        <w:tc>
          <w:tcPr>
            <w:tcW w:w="6241" w:type="dxa"/>
          </w:tcPr>
          <w:p w14:paraId="4D72FCC0" w14:textId="77777777" w:rsidR="00591DEA" w:rsidRPr="008D191C" w:rsidRDefault="00591DEA" w:rsidP="00F57C42">
            <w:pPr>
              <w:spacing w:line="257" w:lineRule="auto"/>
              <w:rPr>
                <w:rFonts w:ascii="Verdana" w:hAnsi="Verdana"/>
                <w:lang w:val="es-ES_tradnl"/>
              </w:rPr>
            </w:pPr>
          </w:p>
          <w:p w14:paraId="4F5742F7" w14:textId="77777777" w:rsidR="00591DEA" w:rsidRPr="008D191C" w:rsidRDefault="00591DEA" w:rsidP="00F57C42">
            <w:pPr>
              <w:spacing w:line="257" w:lineRule="auto"/>
              <w:jc w:val="both"/>
              <w:rPr>
                <w:rFonts w:ascii="Verdana" w:hAnsi="Verdana"/>
                <w:lang w:val="es-ES_tradnl"/>
              </w:rPr>
            </w:pPr>
            <w:r w:rsidRPr="008D191C">
              <w:rPr>
                <w:rFonts w:ascii="Verdana" w:hAnsi="Verdana"/>
                <w:lang w:val="es-ES_tradnl"/>
              </w:rPr>
              <w:t xml:space="preserve">Respuesta a consulta con radicado No. </w:t>
            </w:r>
            <w:r w:rsidRPr="008D191C">
              <w:rPr>
                <w:rFonts w:ascii="Verdana" w:hAnsi="Verdana"/>
              </w:rPr>
              <w:t>1_2025_08_20_008755</w:t>
            </w:r>
          </w:p>
          <w:p w14:paraId="61B0E92D" w14:textId="77777777" w:rsidR="00591DEA" w:rsidRPr="008D191C" w:rsidRDefault="00591DEA" w:rsidP="00F57C42">
            <w:pPr>
              <w:spacing w:line="257" w:lineRule="auto"/>
              <w:jc w:val="both"/>
              <w:rPr>
                <w:rFonts w:ascii="Verdana" w:hAnsi="Verdana"/>
              </w:rPr>
            </w:pPr>
          </w:p>
          <w:p w14:paraId="5AEE4F51" w14:textId="77777777" w:rsidR="00591DEA" w:rsidRPr="008D191C" w:rsidRDefault="00591DEA" w:rsidP="00F57C42">
            <w:pPr>
              <w:spacing w:line="257" w:lineRule="auto"/>
              <w:jc w:val="both"/>
              <w:rPr>
                <w:rFonts w:ascii="Verdana" w:hAnsi="Verdana"/>
              </w:rPr>
            </w:pPr>
          </w:p>
        </w:tc>
        <w:tc>
          <w:tcPr>
            <w:tcW w:w="6237" w:type="dxa"/>
          </w:tcPr>
          <w:p w14:paraId="0365CCD1" w14:textId="77777777" w:rsidR="00591DEA" w:rsidRPr="008D191C" w:rsidRDefault="00591DEA" w:rsidP="00F57C42">
            <w:pPr>
              <w:spacing w:line="256" w:lineRule="auto"/>
              <w:rPr>
                <w:rFonts w:ascii="Verdana" w:hAnsi="Verdana"/>
                <w:lang w:val="es-ES_tradnl"/>
              </w:rPr>
            </w:pPr>
          </w:p>
        </w:tc>
      </w:tr>
    </w:tbl>
    <w:p w14:paraId="0955BE9C" w14:textId="77777777" w:rsidR="00591DEA" w:rsidRPr="00A12CB6" w:rsidRDefault="00591DEA" w:rsidP="00591DEA">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Mendoza: </w:t>
      </w:r>
    </w:p>
    <w:p w14:paraId="397E2A55" w14:textId="77777777" w:rsidR="00591DEA" w:rsidRPr="00A12CB6" w:rsidRDefault="00591DEA" w:rsidP="00591DEA">
      <w:pPr>
        <w:spacing w:after="0" w:line="256" w:lineRule="auto"/>
        <w:rPr>
          <w:rFonts w:ascii="Verdana" w:eastAsia="Calibri" w:hAnsi="Verdana" w:cs="Times New Roman"/>
          <w:lang w:val="es-ES"/>
        </w:rPr>
      </w:pPr>
    </w:p>
    <w:p w14:paraId="382AD98B" w14:textId="77777777" w:rsidR="00591DEA" w:rsidRDefault="00591DEA" w:rsidP="00591DEA">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20 de agosto</w:t>
      </w:r>
      <w:r w:rsidRPr="00B57A1B">
        <w:rPr>
          <w:rFonts w:ascii="Verdana" w:eastAsia="Calibri" w:hAnsi="Verdana" w:cs="Times New Roman"/>
          <w:bCs/>
          <w:lang w:val="es-ES" w:bidi="es-ES"/>
        </w:rPr>
        <w:t>, en la cual manifiesta:</w:t>
      </w:r>
    </w:p>
    <w:p w14:paraId="5EE87B17" w14:textId="77777777" w:rsidR="00591DEA" w:rsidRPr="00737C12" w:rsidRDefault="00591DEA" w:rsidP="00591DEA">
      <w:pPr>
        <w:spacing w:after="0" w:line="276" w:lineRule="auto"/>
        <w:jc w:val="both"/>
        <w:rPr>
          <w:rFonts w:ascii="Verdana" w:eastAsia="Calibri" w:hAnsi="Verdana" w:cs="Times New Roman"/>
          <w:bCs/>
          <w:lang w:val="es-ES" w:bidi="es-ES"/>
        </w:rPr>
      </w:pPr>
    </w:p>
    <w:p w14:paraId="17C71A25" w14:textId="77777777" w:rsidR="00591DEA" w:rsidRDefault="00591DEA" w:rsidP="00591DEA">
      <w:pPr>
        <w:spacing w:after="0" w:line="240" w:lineRule="auto"/>
        <w:ind w:left="709" w:right="709"/>
        <w:jc w:val="both"/>
        <w:rPr>
          <w:rFonts w:ascii="Verdana" w:eastAsia="Calibri" w:hAnsi="Verdana" w:cs="Times New Roman"/>
          <w:iCs/>
          <w:sz w:val="20"/>
        </w:rPr>
      </w:pPr>
      <w:r w:rsidRPr="00BE3084">
        <w:rPr>
          <w:rFonts w:ascii="Verdana" w:eastAsia="Calibri" w:hAnsi="Verdana" w:cs="Times New Roman"/>
          <w:iCs/>
          <w:sz w:val="20"/>
        </w:rPr>
        <w:t>“</w:t>
      </w:r>
      <w:r>
        <w:rPr>
          <w:rFonts w:ascii="Verdana" w:eastAsia="Calibri" w:hAnsi="Verdana" w:cs="Times New Roman"/>
          <w:iCs/>
          <w:sz w:val="20"/>
        </w:rPr>
        <w:t xml:space="preserve">1. </w:t>
      </w:r>
      <w:r w:rsidRPr="00D9471C">
        <w:rPr>
          <w:rFonts w:ascii="Verdana" w:eastAsia="Calibri" w:hAnsi="Verdana" w:cs="Times New Roman"/>
          <w:iCs/>
          <w:sz w:val="20"/>
        </w:rPr>
        <w:t xml:space="preserve">Se emita un concepto sobre el contrato denominado “llave en mano” el cual debe contener: </w:t>
      </w:r>
    </w:p>
    <w:p w14:paraId="4C42A96D" w14:textId="77777777" w:rsidR="00591DEA" w:rsidRPr="008D191C" w:rsidRDefault="00591DEA" w:rsidP="00591DEA">
      <w:pPr>
        <w:numPr>
          <w:ilvl w:val="0"/>
          <w:numId w:val="31"/>
        </w:numPr>
        <w:spacing w:after="0" w:line="240" w:lineRule="auto"/>
        <w:ind w:left="1134" w:right="709"/>
        <w:contextualSpacing/>
        <w:jc w:val="both"/>
        <w:rPr>
          <w:rFonts w:ascii="Verdana" w:eastAsia="Calibri" w:hAnsi="Verdana" w:cs="Times New Roman"/>
          <w:sz w:val="20"/>
          <w:lang w:val="es-ES"/>
        </w:rPr>
      </w:pPr>
      <w:r w:rsidRPr="008D191C">
        <w:rPr>
          <w:rFonts w:ascii="Verdana" w:eastAsia="Calibri" w:hAnsi="Verdana" w:cs="Times New Roman"/>
          <w:sz w:val="20"/>
          <w:lang w:val="es-ES"/>
        </w:rPr>
        <w:t xml:space="preserve">Que norma regula este tipo de contratos. </w:t>
      </w:r>
    </w:p>
    <w:p w14:paraId="346A85FA" w14:textId="77777777" w:rsidR="00591DEA" w:rsidRPr="008D191C" w:rsidRDefault="00591DEA" w:rsidP="00591DEA">
      <w:pPr>
        <w:numPr>
          <w:ilvl w:val="0"/>
          <w:numId w:val="31"/>
        </w:numPr>
        <w:spacing w:after="0" w:line="240" w:lineRule="auto"/>
        <w:ind w:left="1134" w:right="709"/>
        <w:contextualSpacing/>
        <w:jc w:val="both"/>
        <w:rPr>
          <w:rFonts w:ascii="Verdana" w:eastAsia="Calibri" w:hAnsi="Verdana" w:cs="Times New Roman"/>
          <w:sz w:val="20"/>
          <w:lang w:val="es-ES"/>
        </w:rPr>
      </w:pPr>
      <w:proofErr w:type="spellStart"/>
      <w:r w:rsidRPr="00D9471C">
        <w:rPr>
          <w:rFonts w:ascii="Verdana" w:eastAsia="Calibri" w:hAnsi="Verdana" w:cs="Times New Roman"/>
          <w:iCs/>
          <w:sz w:val="20"/>
          <w:lang w:val="en-US"/>
        </w:rPr>
        <w:t>Requisitos</w:t>
      </w:r>
      <w:proofErr w:type="spellEnd"/>
      <w:r w:rsidRPr="00D9471C">
        <w:rPr>
          <w:rFonts w:ascii="Verdana" w:eastAsia="Calibri" w:hAnsi="Verdana" w:cs="Times New Roman"/>
          <w:iCs/>
          <w:sz w:val="20"/>
          <w:lang w:val="en-US"/>
        </w:rPr>
        <w:t xml:space="preserve"> para </w:t>
      </w:r>
      <w:proofErr w:type="spellStart"/>
      <w:r w:rsidRPr="00D9471C">
        <w:rPr>
          <w:rFonts w:ascii="Verdana" w:eastAsia="Calibri" w:hAnsi="Verdana" w:cs="Times New Roman"/>
          <w:iCs/>
          <w:sz w:val="20"/>
          <w:lang w:val="en-US"/>
        </w:rPr>
        <w:t>su</w:t>
      </w:r>
      <w:proofErr w:type="spellEnd"/>
      <w:r w:rsidRPr="00D9471C">
        <w:rPr>
          <w:rFonts w:ascii="Verdana" w:eastAsia="Calibri" w:hAnsi="Verdana" w:cs="Times New Roman"/>
          <w:iCs/>
          <w:sz w:val="20"/>
          <w:lang w:val="en-US"/>
        </w:rPr>
        <w:t xml:space="preserve"> </w:t>
      </w:r>
      <w:proofErr w:type="spellStart"/>
      <w:r w:rsidRPr="00D9471C">
        <w:rPr>
          <w:rFonts w:ascii="Verdana" w:eastAsia="Calibri" w:hAnsi="Verdana" w:cs="Times New Roman"/>
          <w:iCs/>
          <w:sz w:val="20"/>
          <w:lang w:val="en-US"/>
        </w:rPr>
        <w:t>configuración</w:t>
      </w:r>
      <w:proofErr w:type="spellEnd"/>
      <w:r w:rsidRPr="00D9471C">
        <w:rPr>
          <w:rFonts w:ascii="Verdana" w:eastAsia="Calibri" w:hAnsi="Verdana" w:cs="Times New Roman"/>
          <w:iCs/>
          <w:sz w:val="20"/>
          <w:lang w:val="en-US"/>
        </w:rPr>
        <w:t xml:space="preserve">. </w:t>
      </w:r>
    </w:p>
    <w:p w14:paraId="75A29751" w14:textId="77777777" w:rsidR="00591DEA" w:rsidRPr="008D191C" w:rsidRDefault="00591DEA" w:rsidP="00591DEA">
      <w:pPr>
        <w:numPr>
          <w:ilvl w:val="0"/>
          <w:numId w:val="31"/>
        </w:numPr>
        <w:spacing w:after="0" w:line="240" w:lineRule="auto"/>
        <w:ind w:left="1134" w:right="709"/>
        <w:contextualSpacing/>
        <w:jc w:val="both"/>
        <w:rPr>
          <w:rFonts w:ascii="Verdana" w:eastAsia="Calibri" w:hAnsi="Verdana" w:cs="Times New Roman"/>
          <w:sz w:val="20"/>
          <w:lang w:val="es-ES"/>
        </w:rPr>
      </w:pPr>
      <w:r w:rsidRPr="008D191C">
        <w:rPr>
          <w:rFonts w:ascii="Verdana" w:eastAsia="Calibri" w:hAnsi="Verdana" w:cs="Times New Roman"/>
          <w:sz w:val="20"/>
        </w:rPr>
        <w:t xml:space="preserve">El uso que se le puede dar en caso de contratación pública. </w:t>
      </w:r>
    </w:p>
    <w:p w14:paraId="7993F3E9" w14:textId="77777777" w:rsidR="00591DEA" w:rsidRDefault="00591DEA" w:rsidP="00591DEA">
      <w:pPr>
        <w:spacing w:after="0" w:line="240" w:lineRule="auto"/>
        <w:ind w:left="774" w:right="709"/>
        <w:jc w:val="both"/>
        <w:rPr>
          <w:rFonts w:ascii="Verdana" w:eastAsia="Calibri" w:hAnsi="Verdana" w:cs="Times New Roman"/>
          <w:iCs/>
          <w:sz w:val="20"/>
          <w:lang w:val="es-ES"/>
        </w:rPr>
      </w:pPr>
      <w:r>
        <w:rPr>
          <w:rFonts w:ascii="Verdana" w:eastAsia="Calibri" w:hAnsi="Verdana" w:cs="Times New Roman"/>
          <w:iCs/>
          <w:sz w:val="20"/>
          <w:lang w:val="es-ES"/>
        </w:rPr>
        <w:t xml:space="preserve">2. </w:t>
      </w:r>
      <w:r w:rsidRPr="00D9471C">
        <w:rPr>
          <w:rFonts w:ascii="Verdana" w:eastAsia="Calibri" w:hAnsi="Verdana" w:cs="Times New Roman"/>
          <w:iCs/>
          <w:sz w:val="20"/>
        </w:rPr>
        <w:t xml:space="preserve">Que se emita un concepto en el cual se individualicen las características del contrato denominado “llave en mano”, de acuerdo con su clasificación contractual. </w:t>
      </w:r>
    </w:p>
    <w:p w14:paraId="3C012AA7" w14:textId="77777777" w:rsidR="00591DEA" w:rsidRPr="00D9471C" w:rsidRDefault="00591DEA" w:rsidP="00591DEA">
      <w:pPr>
        <w:spacing w:after="0" w:line="240" w:lineRule="auto"/>
        <w:ind w:left="774" w:right="709"/>
        <w:jc w:val="both"/>
        <w:rPr>
          <w:rFonts w:ascii="Verdana" w:eastAsia="Calibri" w:hAnsi="Verdana" w:cs="Times New Roman"/>
          <w:iCs/>
          <w:sz w:val="20"/>
          <w:lang w:val="es-ES"/>
        </w:rPr>
      </w:pPr>
      <w:r>
        <w:rPr>
          <w:rFonts w:ascii="Verdana" w:eastAsia="Calibri" w:hAnsi="Verdana" w:cs="Times New Roman"/>
          <w:iCs/>
          <w:sz w:val="20"/>
          <w:lang w:val="es-ES"/>
        </w:rPr>
        <w:lastRenderedPageBreak/>
        <w:t xml:space="preserve">3. </w:t>
      </w:r>
      <w:r w:rsidRPr="00D9471C">
        <w:rPr>
          <w:rFonts w:ascii="Verdana" w:eastAsia="Calibri" w:hAnsi="Verdana" w:cs="Times New Roman"/>
          <w:iCs/>
          <w:sz w:val="20"/>
        </w:rPr>
        <w:t xml:space="preserve">Que se informe cuáles son los elementos esenciales del contrato “llave en mano”. </w:t>
      </w:r>
    </w:p>
    <w:p w14:paraId="13CE2FFF" w14:textId="77777777" w:rsidR="00591DEA" w:rsidRPr="00BE7E3E" w:rsidRDefault="00591DEA" w:rsidP="00591DEA">
      <w:pPr>
        <w:spacing w:after="120" w:line="276" w:lineRule="auto"/>
        <w:jc w:val="both"/>
        <w:rPr>
          <w:rFonts w:ascii="Verdana" w:eastAsia="Calibri" w:hAnsi="Verdana" w:cs="Times New Roman"/>
          <w:i/>
          <w:iCs/>
          <w:lang w:val="es-ES"/>
        </w:rPr>
      </w:pPr>
    </w:p>
    <w:p w14:paraId="68140F9E" w14:textId="77777777" w:rsidR="00591DEA" w:rsidRPr="00A12CB6" w:rsidRDefault="00591DEA" w:rsidP="00591DEA">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4A81343" w14:textId="77777777" w:rsidR="00591DEA" w:rsidRPr="00A12CB6" w:rsidRDefault="00591DEA" w:rsidP="00591DEA">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1EF7DCA4" w14:textId="77777777" w:rsidR="00591DEA" w:rsidRPr="00A12CB6" w:rsidRDefault="00591DEA" w:rsidP="00591DEA">
      <w:pPr>
        <w:spacing w:after="0" w:line="256" w:lineRule="auto"/>
        <w:rPr>
          <w:rFonts w:ascii="Verdana" w:eastAsia="Calibri" w:hAnsi="Verdana" w:cs="Times New Roman"/>
          <w:lang w:val="es-ES"/>
        </w:rPr>
      </w:pPr>
    </w:p>
    <w:p w14:paraId="25D83740" w14:textId="77777777" w:rsidR="00591DEA" w:rsidRPr="00A12CB6" w:rsidRDefault="00591DEA" w:rsidP="00591DEA">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72CC6A83" w14:textId="77777777" w:rsidR="00591DEA" w:rsidRPr="00A12CB6" w:rsidRDefault="00591DEA" w:rsidP="00591DEA">
      <w:pPr>
        <w:spacing w:after="0" w:line="256" w:lineRule="auto"/>
        <w:rPr>
          <w:rFonts w:ascii="Verdana" w:eastAsia="Calibri" w:hAnsi="Verdana" w:cs="Times New Roman"/>
        </w:rPr>
      </w:pPr>
    </w:p>
    <w:p w14:paraId="271F22BF" w14:textId="77777777" w:rsidR="00591DEA" w:rsidRPr="005B55A8" w:rsidRDefault="00591DEA" w:rsidP="00591DEA">
      <w:pPr>
        <w:spacing w:after="0" w:line="276" w:lineRule="auto"/>
        <w:jc w:val="both"/>
        <w:rPr>
          <w:rFonts w:ascii="Verdana" w:eastAsia="Calibri" w:hAnsi="Verdana" w:cs="Times New Roman"/>
          <w:bCs/>
          <w:iCs/>
        </w:rPr>
      </w:pPr>
      <w:r w:rsidRPr="00A12CB6">
        <w:rPr>
          <w:rFonts w:ascii="Verdana" w:eastAsia="Calibri" w:hAnsi="Verdana" w:cs="Times New Roman"/>
        </w:rPr>
        <w:t>De acuerdo con el contenido de su solicitud, esta Agencia procede a resolver</w:t>
      </w:r>
      <w:r>
        <w:rPr>
          <w:rFonts w:ascii="Verdana" w:eastAsia="Calibri" w:hAnsi="Verdana" w:cs="Times New Roman"/>
        </w:rPr>
        <w:t xml:space="preserve"> el siguiente problema que condensa las inquietudes del solicitante: i)</w:t>
      </w:r>
      <w:r w:rsidRPr="005B55A8">
        <w:rPr>
          <w:rFonts w:ascii="Verdana" w:eastAsia="Calibri" w:hAnsi="Verdana" w:cs="Times New Roman"/>
          <w:bCs/>
          <w:iCs/>
        </w:rPr>
        <w:t xml:space="preserve"> </w:t>
      </w:r>
      <w:r>
        <w:rPr>
          <w:rFonts w:ascii="Verdana" w:eastAsia="Calibri" w:hAnsi="Verdana" w:cs="Times New Roman"/>
          <w:bCs/>
          <w:iCs/>
        </w:rPr>
        <w:t xml:space="preserve">¿Cuál es el marco jurídico del contrato bajo la modalidad de llave en mano?; </w:t>
      </w:r>
      <w:proofErr w:type="spellStart"/>
      <w:r>
        <w:rPr>
          <w:rFonts w:ascii="Verdana" w:eastAsia="Calibri" w:hAnsi="Verdana" w:cs="Times New Roman"/>
          <w:bCs/>
          <w:iCs/>
        </w:rPr>
        <w:t>ii</w:t>
      </w:r>
      <w:proofErr w:type="spellEnd"/>
      <w:r>
        <w:rPr>
          <w:rFonts w:ascii="Verdana" w:eastAsia="Calibri" w:hAnsi="Verdana" w:cs="Times New Roman"/>
          <w:bCs/>
          <w:iCs/>
        </w:rPr>
        <w:t>) ¿Cuáles son las características y condiciones del contrato bajo la modalidad de llave en mano?</w:t>
      </w:r>
    </w:p>
    <w:p w14:paraId="7084B64D" w14:textId="77777777" w:rsidR="00591DEA" w:rsidRPr="00A12CB6" w:rsidRDefault="00591DEA" w:rsidP="00591DEA">
      <w:pPr>
        <w:spacing w:after="0" w:line="256" w:lineRule="auto"/>
        <w:rPr>
          <w:rFonts w:ascii="Verdana" w:eastAsia="Calibri" w:hAnsi="Verdana" w:cs="Times New Roman"/>
        </w:rPr>
      </w:pPr>
    </w:p>
    <w:p w14:paraId="2E529BAA" w14:textId="77777777" w:rsidR="00591DEA" w:rsidRDefault="00591DEA" w:rsidP="00591DEA">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322A8D9E" w14:textId="77777777" w:rsidR="00591DEA" w:rsidRPr="00A12CB6" w:rsidRDefault="00591DEA" w:rsidP="00591DEA">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91DEA" w:rsidRPr="008D191C" w14:paraId="5BF45F64" w14:textId="77777777" w:rsidTr="00F57C42">
        <w:trPr>
          <w:trHeight w:val="870"/>
          <w:jc w:val="center"/>
        </w:trPr>
        <w:tc>
          <w:tcPr>
            <w:tcW w:w="8784" w:type="dxa"/>
            <w:tcBorders>
              <w:bottom w:val="single" w:sz="4" w:space="0" w:color="auto"/>
            </w:tcBorders>
          </w:tcPr>
          <w:p w14:paraId="2587BD78" w14:textId="77777777" w:rsidR="00591DEA" w:rsidRPr="008D191C" w:rsidRDefault="00591DEA" w:rsidP="00F57C42">
            <w:pPr>
              <w:spacing w:before="120" w:after="120" w:line="276" w:lineRule="auto"/>
              <w:jc w:val="both"/>
              <w:rPr>
                <w:rFonts w:ascii="Verdana" w:eastAsia="Calibri" w:hAnsi="Verdana"/>
                <w:color w:val="000000" w:themeColor="text1"/>
                <w:lang w:val="es-ES_tradnl"/>
              </w:rPr>
            </w:pPr>
            <w:r w:rsidRPr="008D191C">
              <w:rPr>
                <w:rFonts w:ascii="Verdana" w:eastAsia="Calibri" w:hAnsi="Verdana"/>
                <w:color w:val="000000" w:themeColor="text1"/>
                <w:lang w:val="es-ES_tradnl"/>
              </w:rPr>
              <w:t xml:space="preserve">Respecto a los problemas jurídicos, objeto de consulta, se señala: </w:t>
            </w:r>
          </w:p>
          <w:p w14:paraId="637C5A9D" w14:textId="77777777" w:rsidR="00591DEA" w:rsidRPr="008D191C" w:rsidRDefault="00591DEA" w:rsidP="00F57C42">
            <w:pPr>
              <w:widowControl w:val="0"/>
              <w:autoSpaceDE w:val="0"/>
              <w:autoSpaceDN w:val="0"/>
              <w:spacing w:before="120" w:after="120" w:line="276" w:lineRule="auto"/>
              <w:jc w:val="both"/>
              <w:rPr>
                <w:rFonts w:ascii="Verdana" w:eastAsia="Calibri" w:hAnsi="Verdana" w:cs="Arial"/>
                <w:lang w:val="es-ES_tradnl"/>
              </w:rPr>
            </w:pPr>
            <w:r w:rsidRPr="008D191C">
              <w:rPr>
                <w:rFonts w:ascii="Verdana" w:eastAsia="Calibri" w:hAnsi="Verdana"/>
                <w:color w:val="000000" w:themeColor="text1"/>
                <w:lang w:val="es-ES_tradnl"/>
              </w:rPr>
              <w:t xml:space="preserve">i. El marco jurídico del Contrato obra bajo la modalidad de llave en mano </w:t>
            </w:r>
            <w:r w:rsidRPr="008D191C">
              <w:rPr>
                <w:rFonts w:ascii="Verdana" w:eastAsia="Verdana" w:hAnsi="Verdana" w:cs="Verdana"/>
              </w:rPr>
              <w:t xml:space="preserve">está fundamentado en el contrato de obra previsto en el numeral 1° del artículo </w:t>
            </w:r>
            <w:r w:rsidRPr="008D191C">
              <w:rPr>
                <w:rFonts w:ascii="Verdana" w:eastAsia="Verdana" w:hAnsi="Verdana" w:cs="Verdana"/>
              </w:rPr>
              <w:lastRenderedPageBreak/>
              <w:t xml:space="preserve">32 de la Ley 80 de 1993, que puede ejecutarse bajo esta modalidad, </w:t>
            </w:r>
            <w:r w:rsidRPr="008D191C">
              <w:rPr>
                <w:rFonts w:ascii="Verdana" w:eastAsia="Calibri" w:hAnsi="Verdana" w:cs="Arial"/>
                <w:lang w:val="es-ES_tradnl"/>
              </w:rPr>
              <w:t xml:space="preserve">con sustento en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w:t>
            </w:r>
            <w:r>
              <w:rPr>
                <w:rFonts w:ascii="Verdana" w:eastAsia="Calibri" w:hAnsi="Verdana" w:cs="Arial"/>
                <w:lang w:val="es-ES_tradnl"/>
              </w:rPr>
              <w:t>De este modo</w:t>
            </w:r>
            <w:r w:rsidRPr="008D191C">
              <w:rPr>
                <w:rFonts w:ascii="Verdana" w:eastAsia="Verdana" w:hAnsi="Verdana" w:cs="Verdana"/>
              </w:rPr>
              <w:t xml:space="preserve">, el contrato de obra previsto en el numeral 1° del artículo 32 de la Ley 80 de 1993 puede ejecutarse mediante la modalidad denominada “llave en mano” o de otras modalidades, dependiendo de lo que pretenda la entidad,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w:t>
            </w:r>
          </w:p>
          <w:p w14:paraId="34AD37D1" w14:textId="77777777" w:rsidR="00591DEA" w:rsidRDefault="00591DEA" w:rsidP="00F57C42">
            <w:pPr>
              <w:widowControl w:val="0"/>
              <w:autoSpaceDE w:val="0"/>
              <w:autoSpaceDN w:val="0"/>
              <w:spacing w:before="121" w:line="276" w:lineRule="auto"/>
              <w:ind w:firstLine="707"/>
              <w:jc w:val="both"/>
              <w:rPr>
                <w:rFonts w:ascii="Verdana" w:eastAsia="Verdana" w:hAnsi="Verdana" w:cs="Verdana"/>
              </w:rPr>
            </w:pPr>
            <w:r>
              <w:rPr>
                <w:rFonts w:ascii="Verdana" w:eastAsia="Verdana" w:hAnsi="Verdana" w:cs="Verdana"/>
                <w:lang w:val="es-ES_tradnl"/>
              </w:rPr>
              <w:t xml:space="preserve">Así las cosas, </w:t>
            </w:r>
            <w:r w:rsidRPr="008D191C">
              <w:rPr>
                <w:rFonts w:ascii="Verdana" w:eastAsia="Verdana" w:hAnsi="Verdana" w:cs="Verdana"/>
              </w:rPr>
              <w:t xml:space="preserve">es viable afirmar que los estudios y diseños pueden contratarse a parte de la construcción de la obra o pueden contratarse conjuntamente a través de un contrato de obra en la modalidad de “llave en mano”, en la cual el contratista seleccionado para ejecutar el proyecto será el encargado de elaborar los diseños y estudios. Esto en la medida en que, dependiendo del alcance de las obligaciones, el contrato llave en mano incluye todas las labores relacionadas con la obra incluyendo los diseños, estudios de factibilidad, construcción, contratación del personal, instalaciones y suministros y la contraprestación a cargo del contratista es la obra terminada y en funcionamiento. </w:t>
            </w:r>
            <w:r w:rsidRPr="008D191C">
              <w:rPr>
                <w:rFonts w:ascii="Verdana" w:eastAsia="Arial" w:hAnsi="Verdana" w:cs="Arial"/>
                <w:color w:val="000000" w:themeColor="text1"/>
                <w:lang w:val="es-ES"/>
              </w:rPr>
              <w:t xml:space="preserve">Es decir, al margen de la fuente de los recursos que financien la ejecución, las actividades de diseño y de construcción se cuantifican de forma conjunta. </w:t>
            </w:r>
            <w:r w:rsidRPr="008D191C">
              <w:rPr>
                <w:rFonts w:ascii="Verdana" w:eastAsia="Verdana" w:hAnsi="Verdana" w:cs="Verdana"/>
                <w:lang w:val="es-ES"/>
              </w:rPr>
              <w:t xml:space="preserve">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de sobrecostos. </w:t>
            </w:r>
          </w:p>
          <w:p w14:paraId="74430D49" w14:textId="77777777" w:rsidR="00591DEA" w:rsidRPr="008D191C" w:rsidRDefault="00591DEA" w:rsidP="00F57C42">
            <w:pPr>
              <w:widowControl w:val="0"/>
              <w:autoSpaceDE w:val="0"/>
              <w:autoSpaceDN w:val="0"/>
              <w:ind w:firstLine="709"/>
              <w:jc w:val="both"/>
              <w:rPr>
                <w:rFonts w:ascii="Verdana" w:eastAsia="Verdana" w:hAnsi="Verdana" w:cs="Verdana"/>
              </w:rPr>
            </w:pPr>
          </w:p>
          <w:p w14:paraId="4B61AAD8" w14:textId="77777777" w:rsidR="00591DEA" w:rsidRDefault="00591DEA" w:rsidP="00F57C42">
            <w:pPr>
              <w:widowControl w:val="0"/>
              <w:autoSpaceDE w:val="0"/>
              <w:autoSpaceDN w:val="0"/>
              <w:spacing w:after="120" w:line="276" w:lineRule="auto"/>
              <w:jc w:val="both"/>
              <w:rPr>
                <w:rFonts w:ascii="Verdana" w:eastAsia="Verdana" w:hAnsi="Verdana" w:cs="Verdana"/>
                <w:lang w:val="es-ES"/>
              </w:rPr>
            </w:pPr>
            <w:proofErr w:type="spellStart"/>
            <w:r w:rsidRPr="008D191C">
              <w:rPr>
                <w:rFonts w:ascii="Verdana" w:eastAsia="Calibri" w:hAnsi="Verdana"/>
                <w:color w:val="000000" w:themeColor="text1"/>
                <w:lang w:val="es-ES_tradnl"/>
              </w:rPr>
              <w:t>ii</w:t>
            </w:r>
            <w:proofErr w:type="spellEnd"/>
            <w:r w:rsidRPr="008D191C">
              <w:rPr>
                <w:rFonts w:ascii="Verdana" w:eastAsia="Calibri" w:hAnsi="Verdana"/>
                <w:color w:val="000000" w:themeColor="text1"/>
                <w:lang w:val="es-ES_tradnl"/>
              </w:rPr>
              <w:t xml:space="preserve">. El modelo de negocio de </w:t>
            </w:r>
            <w:r w:rsidRPr="00E01A7B">
              <w:rPr>
                <w:rFonts w:ascii="Verdana" w:eastAsia="Calibri" w:hAnsi="Verdana"/>
                <w:i/>
                <w:iCs/>
                <w:color w:val="000000" w:themeColor="text1"/>
                <w:lang w:val="es-ES_tradnl"/>
              </w:rPr>
              <w:t>“llave en mano”</w:t>
            </w:r>
            <w:r w:rsidRPr="008D191C">
              <w:rPr>
                <w:rFonts w:ascii="Verdana" w:eastAsia="Calibri" w:hAnsi="Verdana"/>
                <w:color w:val="000000" w:themeColor="text1"/>
                <w:lang w:val="es-ES_tradnl"/>
              </w:rPr>
              <w:t xml:space="preserve"> es una modalidad de</w:t>
            </w:r>
            <w:r w:rsidRPr="008D191C">
              <w:rPr>
                <w:rFonts w:ascii="Verdana" w:eastAsia="Verdana" w:hAnsi="Verdana" w:cs="Verdana"/>
                <w:lang w:val="es-ES"/>
              </w:rPr>
              <w:t xml:space="preserve">l contrato de obra que no se agota en la labor constructiva típica, pues incluye tanto la elaboración de los diseños como la puesta en funcionamiento de la obra contratada, lo que justifica una contraprestación a precio global y alzado. En </w:t>
            </w:r>
            <w:r w:rsidRPr="008D191C">
              <w:rPr>
                <w:rFonts w:ascii="Verdana" w:eastAsia="Verdana" w:hAnsi="Verdana" w:cs="Verdana"/>
                <w:lang w:val="es-ES"/>
              </w:rPr>
              <w:lastRenderedPageBreak/>
              <w:t xml:space="preserve">esta forma de contratación, la obra </w:t>
            </w:r>
            <w:r w:rsidRPr="00E01A7B">
              <w:rPr>
                <w:rFonts w:ascii="Verdana" w:eastAsia="Verdana" w:hAnsi="Verdana" w:cs="Verdana"/>
                <w:i/>
                <w:iCs/>
                <w:lang w:val="es-ES"/>
              </w:rPr>
              <w:t>“[…] debe estar provista de todo lo que fuere necesario, según las normas técnicas aplicables, para operar en condiciones de eficiencia y seguridad […]”</w:t>
            </w:r>
            <w:r w:rsidRPr="00E01A7B">
              <w:rPr>
                <w:rStyle w:val="Refdenotaalpie"/>
                <w:rFonts w:ascii="Verdana" w:eastAsia="Verdana" w:hAnsi="Verdana" w:cs="Verdana"/>
                <w:i/>
                <w:iCs/>
                <w:lang w:val="es-ES"/>
              </w:rPr>
              <w:footnoteReference w:id="2"/>
            </w:r>
            <w:r w:rsidRPr="00E01A7B">
              <w:rPr>
                <w:rFonts w:ascii="Verdana" w:eastAsia="Verdana" w:hAnsi="Verdana" w:cs="Verdana"/>
                <w:i/>
                <w:iCs/>
                <w:lang w:val="es-ES"/>
              </w:rPr>
              <w:t xml:space="preserve">. </w:t>
            </w:r>
            <w:r w:rsidRPr="008D191C">
              <w:rPr>
                <w:rFonts w:ascii="Verdana" w:eastAsia="Verdana" w:hAnsi="Verdana" w:cs="Verdana"/>
                <w:lang w:val="es-ES"/>
              </w:rPr>
              <w:t xml:space="preserve">Además, </w:t>
            </w:r>
            <w:r w:rsidRPr="00E01A7B">
              <w:rPr>
                <w:rFonts w:ascii="Verdana" w:eastAsia="Verdana" w:hAnsi="Verdana" w:cs="Verdana"/>
                <w:i/>
                <w:iCs/>
                <w:lang w:val="es-ES"/>
              </w:rPr>
              <w:t>“[…]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Pr>
                <w:rStyle w:val="Refdenotaalpie"/>
                <w:rFonts w:ascii="Verdana" w:eastAsia="Verdana" w:hAnsi="Verdana" w:cs="Verdana"/>
                <w:lang w:val="es-ES"/>
              </w:rPr>
              <w:footnoteReference w:id="3"/>
            </w:r>
            <w:r w:rsidRPr="008D191C">
              <w:rPr>
                <w:rFonts w:ascii="Verdana" w:eastAsia="Verdana" w:hAnsi="Verdana" w:cs="Verdana"/>
                <w:lang w:val="es-ES"/>
              </w:rPr>
              <w:t xml:space="preserve">. </w:t>
            </w:r>
          </w:p>
          <w:p w14:paraId="7CE40E16" w14:textId="77777777" w:rsidR="00591DEA" w:rsidRDefault="00591DEA" w:rsidP="00F57C42">
            <w:pPr>
              <w:widowControl w:val="0"/>
              <w:autoSpaceDE w:val="0"/>
              <w:autoSpaceDN w:val="0"/>
              <w:spacing w:after="120" w:line="276" w:lineRule="auto"/>
              <w:ind w:firstLine="709"/>
              <w:jc w:val="both"/>
              <w:rPr>
                <w:rFonts w:ascii="Verdana" w:eastAsia="Verdana" w:hAnsi="Verdana" w:cs="Verdana"/>
                <w:lang w:val="es-ES"/>
              </w:rPr>
            </w:pPr>
            <w:r>
              <w:rPr>
                <w:rFonts w:ascii="Verdana" w:eastAsia="Calibri" w:hAnsi="Verdana" w:cs="Arial"/>
                <w:color w:val="000000"/>
                <w:lang w:eastAsia="es-ES"/>
              </w:rPr>
              <w:t xml:space="preserve">Estos contratos </w:t>
            </w:r>
            <w:r>
              <w:rPr>
                <w:rFonts w:ascii="Verdana" w:eastAsia="Verdana" w:hAnsi="Verdana" w:cs="Verdana"/>
              </w:rPr>
              <w:t>“[...] están</w:t>
            </w:r>
            <w:r w:rsidRPr="002B657F">
              <w:rPr>
                <w:rFonts w:ascii="Verdana" w:eastAsia="Verdana" w:hAnsi="Verdana" w:cs="Verdana"/>
              </w:rPr>
              <w:t xml:space="preserve"> concebidos para su utilización</w:t>
            </w:r>
            <w:r>
              <w:rPr>
                <w:rFonts w:ascii="Verdana" w:eastAsia="Verdana" w:hAnsi="Verdana" w:cs="Verdana"/>
              </w:rPr>
              <w:t xml:space="preserve"> </w:t>
            </w:r>
            <w:r w:rsidRPr="002B657F">
              <w:rPr>
                <w:rFonts w:ascii="Verdana" w:eastAsia="Verdana" w:hAnsi="Verdana" w:cs="Verdana"/>
              </w:rPr>
              <w:t>en grandes proyectos, en los cuales la certidumbre</w:t>
            </w:r>
            <w:r>
              <w:rPr>
                <w:rFonts w:ascii="Verdana" w:eastAsia="Verdana" w:hAnsi="Verdana" w:cs="Verdana"/>
              </w:rPr>
              <w:t xml:space="preserve"> </w:t>
            </w:r>
            <w:r w:rsidRPr="002B657F">
              <w:rPr>
                <w:rFonts w:ascii="Verdana" w:eastAsia="Verdana" w:hAnsi="Verdana" w:cs="Verdana"/>
              </w:rPr>
              <w:t>sobre el precio final y sobre el plazo de terminación de la</w:t>
            </w:r>
            <w:r>
              <w:rPr>
                <w:rFonts w:ascii="Verdana" w:eastAsia="Verdana" w:hAnsi="Verdana" w:cs="Verdana"/>
              </w:rPr>
              <w:t xml:space="preserve"> </w:t>
            </w:r>
            <w:r w:rsidRPr="002B657F">
              <w:rPr>
                <w:rFonts w:ascii="Verdana" w:eastAsia="Verdana" w:hAnsi="Verdana" w:cs="Verdana"/>
              </w:rPr>
              <w:t>obra es esencial, en la medida en que suelen ser elementos</w:t>
            </w:r>
            <w:r>
              <w:rPr>
                <w:rFonts w:ascii="Verdana" w:eastAsia="Verdana" w:hAnsi="Verdana" w:cs="Verdana"/>
              </w:rPr>
              <w:t xml:space="preserve"> </w:t>
            </w:r>
            <w:r w:rsidRPr="002B657F">
              <w:rPr>
                <w:rFonts w:ascii="Verdana" w:eastAsia="Verdana" w:hAnsi="Verdana" w:cs="Verdana"/>
              </w:rPr>
              <w:t>clave para la obtención de financiación de los proyectos</w:t>
            </w:r>
            <w:r>
              <w:rPr>
                <w:rFonts w:ascii="Verdana" w:eastAsia="Verdana" w:hAnsi="Verdana" w:cs="Verdana"/>
              </w:rPr>
              <w:t>”</w:t>
            </w:r>
            <w:r>
              <w:rPr>
                <w:rStyle w:val="Refdenotaalpie"/>
                <w:rFonts w:ascii="Verdana" w:eastAsia="Verdana" w:hAnsi="Verdana" w:cs="Verdana"/>
              </w:rPr>
              <w:footnoteReference w:id="4"/>
            </w:r>
            <w:r w:rsidRPr="002B657F">
              <w:rPr>
                <w:rFonts w:ascii="Verdana" w:eastAsia="Verdana" w:hAnsi="Verdana" w:cs="Verdana"/>
              </w:rPr>
              <w:t>.</w:t>
            </w:r>
            <w:r>
              <w:rPr>
                <w:rFonts w:ascii="Verdana" w:eastAsia="Verdana" w:hAnsi="Verdana" w:cs="Verdana"/>
              </w:rPr>
              <w:t xml:space="preserve"> Es por esto por lo que este tipo de contratos se caracterizan por atribuir un mayor volumen de riesgos al contratista, por lo que l</w:t>
            </w:r>
            <w:r>
              <w:rPr>
                <w:rFonts w:ascii="Verdana" w:eastAsia="Verdana" w:hAnsi="Verdana" w:cs="Verdana"/>
                <w:lang w:val="es-ES"/>
              </w:rPr>
              <w:t xml:space="preserve">a doctrina recomienda su implementación en situaciones en las que existe suficiente información en cuanto sus costos, de tal manera que pueden ser razonablemente estimados, hasta el punto de comprometer la producción </w:t>
            </w:r>
            <w:r w:rsidRPr="006E5F67">
              <w:rPr>
                <w:rFonts w:ascii="Verdana" w:eastAsia="Verdana" w:hAnsi="Verdana" w:cs="Verdana"/>
              </w:rPr>
              <w:t>de un resultado</w:t>
            </w:r>
            <w:r>
              <w:rPr>
                <w:rStyle w:val="Refdenotaalpie"/>
                <w:rFonts w:ascii="Verdana" w:eastAsia="Verdana" w:hAnsi="Verdana" w:cs="Verdana"/>
              </w:rPr>
              <w:footnoteReference w:id="5"/>
            </w:r>
            <w:r w:rsidRPr="006E5F67">
              <w:rPr>
                <w:rFonts w:ascii="Verdana" w:eastAsia="Verdana" w:hAnsi="Verdana" w:cs="Verdana"/>
              </w:rPr>
              <w:t>.</w:t>
            </w:r>
            <w:r>
              <w:rPr>
                <w:rFonts w:ascii="Verdana" w:eastAsia="Verdana" w:hAnsi="Verdana" w:cs="Verdana"/>
              </w:rPr>
              <w:t xml:space="preserve"> Esto en la medida en que, en este tipo de contratos, salvo estipulación en contrario, el</w:t>
            </w:r>
            <w:r>
              <w:rPr>
                <w:rFonts w:ascii="Verdana" w:eastAsia="Verdana" w:hAnsi="Verdana" w:cs="Verdana"/>
                <w:lang w:val="es-ES"/>
              </w:rPr>
              <w:t xml:space="preserve"> </w:t>
            </w:r>
            <w:r w:rsidRPr="008130DF">
              <w:rPr>
                <w:rFonts w:ascii="Verdana" w:eastAsia="Verdana" w:hAnsi="Verdana" w:cs="Verdana"/>
              </w:rPr>
              <w:t>contratista acepta total responsabilidad</w:t>
            </w:r>
            <w:r>
              <w:rPr>
                <w:rFonts w:ascii="Verdana" w:eastAsia="Verdana" w:hAnsi="Verdana" w:cs="Verdana"/>
              </w:rPr>
              <w:t xml:space="preserve"> </w:t>
            </w:r>
            <w:r w:rsidRPr="008130DF">
              <w:rPr>
                <w:rFonts w:ascii="Verdana" w:eastAsia="Verdana" w:hAnsi="Verdana" w:cs="Verdana"/>
              </w:rPr>
              <w:t>por haber previsto todas las dificultades y costos</w:t>
            </w:r>
            <w:r>
              <w:rPr>
                <w:rFonts w:ascii="Verdana" w:eastAsia="Verdana" w:hAnsi="Verdana" w:cs="Verdana"/>
              </w:rPr>
              <w:t xml:space="preserve"> </w:t>
            </w:r>
            <w:r w:rsidRPr="008130DF">
              <w:rPr>
                <w:rFonts w:ascii="Verdana" w:eastAsia="Verdana" w:hAnsi="Verdana" w:cs="Verdana"/>
              </w:rPr>
              <w:t>asociados a la terminación exitosa de la obra</w:t>
            </w:r>
            <w:r>
              <w:rPr>
                <w:rFonts w:ascii="Verdana" w:eastAsia="Verdana" w:hAnsi="Verdana" w:cs="Verdana"/>
              </w:rPr>
              <w:t xml:space="preserve">. </w:t>
            </w:r>
          </w:p>
          <w:p w14:paraId="53FD583A" w14:textId="77777777" w:rsidR="00591DEA" w:rsidRPr="008D191C" w:rsidRDefault="00591DEA" w:rsidP="00F57C42">
            <w:pPr>
              <w:widowControl w:val="0"/>
              <w:autoSpaceDE w:val="0"/>
              <w:autoSpaceDN w:val="0"/>
              <w:spacing w:before="120" w:after="120" w:line="276" w:lineRule="auto"/>
              <w:ind w:firstLine="707"/>
              <w:jc w:val="both"/>
              <w:rPr>
                <w:rFonts w:ascii="Verdana" w:eastAsia="Verdana" w:hAnsi="Verdana" w:cs="Verdana"/>
              </w:rPr>
            </w:pPr>
            <w:r w:rsidRPr="008D191C">
              <w:rPr>
                <w:rFonts w:ascii="Verdana" w:eastAsia="Verdana" w:hAnsi="Verdana" w:cs="Verdana"/>
              </w:rPr>
              <w:t xml:space="preserve">En todo caso, dicho contrato implica que el presupuesto corresponde a un valor previamente establecido que aplica como remuneración por todas las gestiones que adelanta el contratista. De tal modo, en dicha modalidad se requiere que el contratista: a) </w:t>
            </w:r>
            <w:r>
              <w:rPr>
                <w:rFonts w:ascii="Verdana" w:eastAsia="Verdana" w:hAnsi="Verdana" w:cs="Verdana"/>
              </w:rPr>
              <w:t xml:space="preserve">cumpla </w:t>
            </w:r>
            <w:r w:rsidRPr="008D191C">
              <w:rPr>
                <w:rFonts w:ascii="Verdana" w:eastAsia="Verdana" w:hAnsi="Verdana" w:cs="Verdana"/>
              </w:rPr>
              <w:t xml:space="preserve">las obligaciones que hacen parte de cada una de las </w:t>
            </w:r>
            <w:r>
              <w:rPr>
                <w:rFonts w:ascii="Verdana" w:eastAsia="Verdana" w:hAnsi="Verdana" w:cs="Verdana"/>
              </w:rPr>
              <w:t>fases</w:t>
            </w:r>
            <w:r w:rsidRPr="008D191C">
              <w:rPr>
                <w:rFonts w:ascii="Verdana" w:eastAsia="Verdana" w:hAnsi="Verdana" w:cs="Verdana"/>
              </w:rPr>
              <w:t xml:space="preserve"> d</w:t>
            </w:r>
            <w:r>
              <w:rPr>
                <w:rFonts w:ascii="Verdana" w:eastAsia="Verdana" w:hAnsi="Verdana" w:cs="Verdana"/>
              </w:rPr>
              <w:t>e ejecución del</w:t>
            </w:r>
            <w:r w:rsidRPr="008D191C">
              <w:rPr>
                <w:rFonts w:ascii="Verdana" w:eastAsia="Verdana" w:hAnsi="Verdana" w:cs="Verdana"/>
              </w:rPr>
              <w:t xml:space="preserve"> contrato</w:t>
            </w:r>
            <w:r>
              <w:rPr>
                <w:rFonts w:ascii="Verdana" w:eastAsia="Verdana" w:hAnsi="Verdana" w:cs="Verdana"/>
              </w:rPr>
              <w:t>, asumiendo los riesgos asociados a cada una de ellas; b) se haga cargo de verificar todas</w:t>
            </w:r>
            <w:r w:rsidRPr="008D191C">
              <w:rPr>
                <w:rFonts w:ascii="Verdana" w:eastAsia="Verdana" w:hAnsi="Verdana" w:cs="Verdana"/>
              </w:rPr>
              <w:t xml:space="preserve"> las interferencias </w:t>
            </w:r>
            <w:r>
              <w:rPr>
                <w:rFonts w:ascii="Verdana" w:eastAsia="Verdana" w:hAnsi="Verdana" w:cs="Verdana"/>
              </w:rPr>
              <w:t>que puedan</w:t>
            </w:r>
            <w:r w:rsidRPr="008D191C">
              <w:rPr>
                <w:rFonts w:ascii="Verdana" w:eastAsia="Verdana" w:hAnsi="Verdana" w:cs="Verdana"/>
              </w:rPr>
              <w:t xml:space="preserve"> </w:t>
            </w:r>
            <w:r>
              <w:rPr>
                <w:rFonts w:ascii="Verdana" w:eastAsia="Verdana" w:hAnsi="Verdana" w:cs="Verdana"/>
              </w:rPr>
              <w:t xml:space="preserve">presentarse entre </w:t>
            </w:r>
            <w:r w:rsidRPr="008D191C">
              <w:rPr>
                <w:rFonts w:ascii="Verdana" w:eastAsia="Verdana" w:hAnsi="Verdana" w:cs="Verdana"/>
              </w:rPr>
              <w:t xml:space="preserve">las diferentes disciplinas </w:t>
            </w:r>
            <w:r>
              <w:rPr>
                <w:rFonts w:ascii="Verdana" w:eastAsia="Verdana" w:hAnsi="Verdana" w:cs="Verdana"/>
              </w:rPr>
              <w:t>a luz de las cuales se elaboran los estudios y</w:t>
            </w:r>
            <w:r w:rsidRPr="008D191C">
              <w:rPr>
                <w:rFonts w:ascii="Verdana" w:eastAsia="Verdana" w:hAnsi="Verdana" w:cs="Verdana"/>
              </w:rPr>
              <w:t xml:space="preserve"> diseños para la ej</w:t>
            </w:r>
            <w:r>
              <w:rPr>
                <w:rFonts w:ascii="Verdana" w:eastAsia="Verdana" w:hAnsi="Verdana" w:cs="Verdana"/>
              </w:rPr>
              <w:t>ecución del proyecto; c) constituya garantías que amparen todas fases del contrato</w:t>
            </w:r>
            <w:r w:rsidRPr="008D191C">
              <w:rPr>
                <w:rFonts w:ascii="Verdana" w:eastAsia="Verdana" w:hAnsi="Verdana" w:cs="Verdana"/>
              </w:rPr>
              <w:t>. Por otro lado,</w:t>
            </w:r>
            <w:r>
              <w:rPr>
                <w:rFonts w:ascii="Verdana" w:eastAsia="Verdana" w:hAnsi="Verdana" w:cs="Verdana"/>
              </w:rPr>
              <w:t xml:space="preserve"> es necesario que</w:t>
            </w:r>
            <w:r w:rsidRPr="008D191C">
              <w:rPr>
                <w:rFonts w:ascii="Verdana" w:eastAsia="Verdana" w:hAnsi="Verdana" w:cs="Verdana"/>
              </w:rPr>
              <w:t xml:space="preserve"> la entidad contratante: a) </w:t>
            </w:r>
            <w:r>
              <w:rPr>
                <w:rFonts w:ascii="Verdana" w:eastAsia="Verdana" w:hAnsi="Verdana" w:cs="Verdana"/>
              </w:rPr>
              <w:t xml:space="preserve">revise </w:t>
            </w:r>
            <w:r w:rsidRPr="008D191C">
              <w:rPr>
                <w:rFonts w:ascii="Verdana" w:eastAsia="Verdana" w:hAnsi="Verdana" w:cs="Verdana"/>
                <w:lang w:val="es-ES"/>
              </w:rPr>
              <w:t>la estructuración, con el fin de que la ejecució</w:t>
            </w:r>
            <w:r>
              <w:rPr>
                <w:rFonts w:ascii="Verdana" w:eastAsia="Verdana" w:hAnsi="Verdana" w:cs="Verdana"/>
                <w:lang w:val="es-ES"/>
              </w:rPr>
              <w:t>n de este tipo de contratos traiga</w:t>
            </w:r>
            <w:r w:rsidRPr="008D191C">
              <w:rPr>
                <w:rFonts w:ascii="Verdana" w:eastAsia="Verdana" w:hAnsi="Verdana" w:cs="Verdana"/>
                <w:lang w:val="es-ES"/>
              </w:rPr>
              <w:t xml:space="preserve"> consigo ventajas como la </w:t>
            </w:r>
            <w:r w:rsidRPr="008D191C">
              <w:rPr>
                <w:rFonts w:ascii="Verdana" w:eastAsia="Verdana" w:hAnsi="Verdana" w:cs="Verdana"/>
                <w:lang w:val="es-ES"/>
              </w:rPr>
              <w:lastRenderedPageBreak/>
              <w:t xml:space="preserve">reducción de tiempos y la optimización de costos; b) </w:t>
            </w:r>
            <w:r>
              <w:rPr>
                <w:rFonts w:ascii="Verdana" w:eastAsia="Verdana" w:hAnsi="Verdana" w:cs="Verdana"/>
                <w:lang w:val="es-ES"/>
              </w:rPr>
              <w:t xml:space="preserve">revise </w:t>
            </w:r>
            <w:r>
              <w:rPr>
                <w:rFonts w:ascii="Verdana" w:eastAsia="Verdana" w:hAnsi="Verdana" w:cs="Verdana"/>
              </w:rPr>
              <w:t>el término</w:t>
            </w:r>
            <w:r w:rsidRPr="008D191C">
              <w:rPr>
                <w:rFonts w:ascii="Verdana" w:eastAsia="Verdana" w:hAnsi="Verdana" w:cs="Verdana"/>
              </w:rPr>
              <w:t xml:space="preserve"> de ejecución de la obra, y determinar la forma de pago más adecuada, conforme al proyecto a desarrollar. </w:t>
            </w:r>
            <w:r>
              <w:rPr>
                <w:rFonts w:ascii="Verdana" w:eastAsia="Verdana" w:hAnsi="Verdana" w:cs="Verdana"/>
              </w:rPr>
              <w:t xml:space="preserve">Al respecto, </w:t>
            </w:r>
            <w:r w:rsidRPr="001A346E">
              <w:rPr>
                <w:rFonts w:ascii="Verdana" w:eastAsia="Verdana" w:hAnsi="Verdana" w:cs="Verdana"/>
              </w:rPr>
              <w:t>es importante su distinción con el modelo de diseño detallado, en el entendido de que la información sobre la que se estima el precio es más limitada, la cual depende del nivel de estudios de prefactibilidad con que se disponga</w:t>
            </w:r>
            <w:r>
              <w:rPr>
                <w:rFonts w:ascii="Verdana" w:eastAsia="Verdana" w:hAnsi="Verdana" w:cs="Verdana"/>
              </w:rPr>
              <w:t xml:space="preserve"> para presentar la invitación a ofertar</w:t>
            </w:r>
            <w:r w:rsidRPr="001A346E">
              <w:rPr>
                <w:rFonts w:ascii="Verdana" w:eastAsia="Verdana" w:hAnsi="Verdana" w:cs="Verdana"/>
              </w:rPr>
              <w:t>.</w:t>
            </w:r>
          </w:p>
          <w:p w14:paraId="392E9B30" w14:textId="77777777" w:rsidR="00591DEA" w:rsidRDefault="00591DEA" w:rsidP="00F57C42">
            <w:pPr>
              <w:widowControl w:val="0"/>
              <w:autoSpaceDE w:val="0"/>
              <w:autoSpaceDN w:val="0"/>
              <w:spacing w:before="120" w:after="120" w:line="276" w:lineRule="auto"/>
              <w:ind w:firstLine="709"/>
              <w:jc w:val="both"/>
              <w:rPr>
                <w:rFonts w:ascii="Verdana" w:eastAsia="Verdana" w:hAnsi="Verdana" w:cs="Verdana"/>
              </w:rPr>
            </w:pPr>
            <w:r w:rsidRPr="008D191C">
              <w:rPr>
                <w:rFonts w:ascii="Verdana" w:eastAsia="Verdana" w:hAnsi="Verdana" w:cs="Verdana"/>
              </w:rPr>
              <w:t>Ahora bien, la doctrina expresa que para el correcto uso de contratos bajo la modalidad de llave en mano deben analizarse ciertas condiciones básicas: a) definición precisa de alcance, términos de ejecución precisos, el diseño multidisciplinario, entre otros aspectos técnicos de diseño, construcción, funcionamiento y funcionalidad en el pliego de condiciones; b) supervisión técnica especializada; c) el sistema de precios actualizados, ya sea mediante el precio global, que puede complementarse con precios unitarios si no hay una precisión en las cantidades; d</w:t>
            </w:r>
            <w:r w:rsidRPr="008D191C">
              <w:t xml:space="preserve">) </w:t>
            </w:r>
            <w:r>
              <w:rPr>
                <w:rFonts w:ascii="Verdana" w:eastAsia="Verdana" w:hAnsi="Verdana" w:cs="Verdana"/>
              </w:rPr>
              <w:t>l</w:t>
            </w:r>
            <w:r w:rsidRPr="008D191C">
              <w:rPr>
                <w:rFonts w:ascii="Verdana" w:eastAsia="Verdana" w:hAnsi="Verdana" w:cs="Verdana"/>
              </w:rPr>
              <w:t xml:space="preserve">a posibilidad de aumentar plazos de ejecución debe ser muy limitada, pero en todo caso deben estar definidos y con sanciones por incumplimiento, así como evaluar el plazo exigido, considerando posibles soluciones técnicas; e) </w:t>
            </w:r>
            <w:r>
              <w:rPr>
                <w:rFonts w:ascii="Verdana" w:eastAsia="Verdana" w:hAnsi="Verdana" w:cs="Verdana"/>
              </w:rPr>
              <w:t>l</w:t>
            </w:r>
            <w:r w:rsidRPr="009D279E">
              <w:rPr>
                <w:rFonts w:ascii="Verdana" w:eastAsia="Verdana" w:hAnsi="Verdana" w:cs="Verdana"/>
              </w:rPr>
              <w:t>a responsabilidad por la entrega de informac</w:t>
            </w:r>
            <w:r>
              <w:rPr>
                <w:rFonts w:ascii="Verdana" w:eastAsia="Verdana" w:hAnsi="Verdana" w:cs="Verdana"/>
              </w:rPr>
              <w:t xml:space="preserve">ión básica o prediseños deben estar identificadas y asignadas por las partes; f) la necesidad de establecer los riesgos y garantías necesarias, así como las licencias de construcción y operación que se requiere; g) el deber de considerar un término adecuado post entrega, en la que el contratista garantice el debido cumplimiento de la obra; y h) la obligación de analizar el ahorro de tiempo y capacidad de supervisión para justificar el modelo llave en mano frente a métodos tradicionales. </w:t>
            </w:r>
          </w:p>
          <w:p w14:paraId="4C044C6A" w14:textId="77777777" w:rsidR="00591DEA" w:rsidRPr="008D191C" w:rsidRDefault="00591DEA" w:rsidP="00F57C42">
            <w:pPr>
              <w:widowControl w:val="0"/>
              <w:autoSpaceDE w:val="0"/>
              <w:autoSpaceDN w:val="0"/>
              <w:spacing w:before="120" w:after="120" w:line="276" w:lineRule="auto"/>
              <w:ind w:firstLine="709"/>
              <w:jc w:val="both"/>
              <w:rPr>
                <w:rFonts w:ascii="Verdana" w:eastAsia="Verdana" w:hAnsi="Verdana" w:cs="Verdana"/>
              </w:rPr>
            </w:pPr>
          </w:p>
        </w:tc>
      </w:tr>
    </w:tbl>
    <w:p w14:paraId="48FC53D9" w14:textId="77777777" w:rsidR="00591DEA" w:rsidRPr="00A12CB6" w:rsidRDefault="00591DEA" w:rsidP="00591DEA">
      <w:pPr>
        <w:spacing w:after="0" w:line="276" w:lineRule="auto"/>
        <w:jc w:val="both"/>
        <w:rPr>
          <w:rFonts w:ascii="Verdana" w:eastAsia="Calibri" w:hAnsi="Verdana" w:cs="Arial"/>
          <w:bCs/>
          <w:color w:val="000000" w:themeColor="text1"/>
        </w:rPr>
      </w:pPr>
    </w:p>
    <w:p w14:paraId="1329817A" w14:textId="77777777" w:rsidR="00591DEA" w:rsidRPr="00A12CB6" w:rsidRDefault="00591DEA" w:rsidP="00591DEA">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Razones de la respuesta:</w:t>
      </w:r>
    </w:p>
    <w:p w14:paraId="3A58F066" w14:textId="77777777" w:rsidR="00591DEA" w:rsidRPr="00A12CB6" w:rsidRDefault="00591DEA" w:rsidP="00591DEA">
      <w:pPr>
        <w:spacing w:after="0" w:line="256" w:lineRule="auto"/>
        <w:rPr>
          <w:rFonts w:ascii="Verdana" w:eastAsia="Calibri" w:hAnsi="Verdana" w:cs="Times New Roman"/>
          <w:b/>
          <w:bCs/>
          <w:lang w:val="es-ES"/>
        </w:rPr>
      </w:pPr>
    </w:p>
    <w:p w14:paraId="010B530C" w14:textId="77777777" w:rsidR="00591DEA" w:rsidRPr="00A12CB6" w:rsidRDefault="00591DEA" w:rsidP="00591DEA">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2A7DAC9B" w14:textId="77777777" w:rsidR="00591DEA" w:rsidRDefault="00591DEA" w:rsidP="00591DEA">
      <w:pPr>
        <w:spacing w:after="0" w:line="276" w:lineRule="auto"/>
        <w:jc w:val="both"/>
        <w:rPr>
          <w:rFonts w:ascii="Verdana" w:eastAsia="Times New Roman" w:hAnsi="Verdana" w:cs="Arial"/>
          <w:color w:val="000000" w:themeColor="text1"/>
          <w:lang w:eastAsia="es-CO"/>
        </w:rPr>
      </w:pPr>
    </w:p>
    <w:p w14:paraId="32538775" w14:textId="77777777" w:rsidR="00591DEA" w:rsidRPr="00CB68C5" w:rsidRDefault="00591DEA" w:rsidP="00591DEA">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El Estatuto General de Contratación de la Administración Pública</w:t>
      </w:r>
      <w:r>
        <w:rPr>
          <w:rFonts w:ascii="Verdana" w:eastAsia="Calibri" w:hAnsi="Verdana" w:cs="Arial"/>
          <w:lang w:val="es-ES"/>
        </w:rPr>
        <w:t xml:space="preserve"> –EGCAP-</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 xml:space="preserve">“Los contratos que celebren las entidades a que se refiere el artículo 2o. </w:t>
      </w:r>
      <w:r w:rsidRPr="00CB68C5">
        <w:rPr>
          <w:rFonts w:ascii="Verdana" w:hAnsi="Verdana" w:cs="Arial"/>
        </w:rPr>
        <w:lastRenderedPageBreak/>
        <w:t xml:space="preserve">del presente estatuto se regirán por las disposiciones comerciales y civiles pertinentes, salvo en las materias particularmente reguladas en esta ley”. </w:t>
      </w:r>
    </w:p>
    <w:p w14:paraId="49806DFB" w14:textId="77777777" w:rsidR="00591DEA" w:rsidRPr="00CB68C5" w:rsidRDefault="00591DEA" w:rsidP="00591DEA">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F08098A" w14:textId="77777777" w:rsidR="00591DEA" w:rsidRPr="00CB68C5" w:rsidRDefault="00591DEA" w:rsidP="00591DEA">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w:t>
      </w:r>
      <w:r>
        <w:rPr>
          <w:rFonts w:ascii="Verdana" w:hAnsi="Verdana" w:cs="Arial"/>
        </w:rPr>
        <w:t>,</w:t>
      </w:r>
      <w:r w:rsidRPr="00CB68C5">
        <w:rPr>
          <w:rFonts w:ascii="Verdana" w:hAnsi="Verdana" w:cs="Arial"/>
        </w:rPr>
        <w:t xml:space="preserve"> por el derecho público, pues las normas civiles y comerciales son el derecho común de los contratos estatales</w:t>
      </w:r>
      <w:r w:rsidRPr="008D191C">
        <w:rPr>
          <w:rFonts w:ascii="Verdana" w:hAnsi="Verdana" w:cs="Arial"/>
          <w:vertAlign w:val="superscript"/>
        </w:rPr>
        <w:footnoteReference w:id="6"/>
      </w:r>
      <w:r w:rsidRPr="00CB68C5">
        <w:rPr>
          <w:rFonts w:ascii="Verdana" w:hAnsi="Verdana" w:cs="Arial"/>
        </w:rPr>
        <w:t>. Para la doctrina, la mixtura del régimen contractual:</w:t>
      </w:r>
    </w:p>
    <w:p w14:paraId="5262E313" w14:textId="77777777" w:rsidR="00591DEA" w:rsidRPr="00CB68C5" w:rsidRDefault="00591DEA" w:rsidP="00591DEA">
      <w:pPr>
        <w:spacing w:after="0" w:line="276" w:lineRule="auto"/>
        <w:ind w:firstLine="709"/>
        <w:jc w:val="both"/>
        <w:rPr>
          <w:rFonts w:ascii="Verdana" w:hAnsi="Verdana" w:cs="Arial"/>
        </w:rPr>
      </w:pPr>
    </w:p>
    <w:p w14:paraId="36AE37FB" w14:textId="77777777" w:rsidR="00591DEA" w:rsidRPr="00CB68C5" w:rsidRDefault="00591DEA" w:rsidP="00591DEA">
      <w:pPr>
        <w:spacing w:after="0" w:line="240" w:lineRule="auto"/>
        <w:ind w:left="709" w:right="709"/>
        <w:jc w:val="both"/>
        <w:rPr>
          <w:rFonts w:ascii="Verdana" w:hAnsi="Verdana" w:cs="Arial"/>
          <w:sz w:val="21"/>
          <w:szCs w:val="21"/>
        </w:rPr>
      </w:pPr>
      <w:r w:rsidRPr="00CB68C5">
        <w:rPr>
          <w:rFonts w:ascii="Verdana" w:hAnsi="Verdana" w:cs="Arial"/>
          <w:sz w:val="21"/>
          <w:szCs w:val="21"/>
        </w:rPr>
        <w:t xml:space="preserve">“[…] no hace otra cosa que aprovechar ciertos principios rectores de la contratación general </w:t>
      </w:r>
      <w:proofErr w:type="gramStart"/>
      <w:r w:rsidRPr="00CB68C5">
        <w:rPr>
          <w:rFonts w:ascii="Verdana" w:hAnsi="Verdana" w:cs="Arial"/>
          <w:sz w:val="21"/>
          <w:szCs w:val="21"/>
        </w:rPr>
        <w:t>que</w:t>
      </w:r>
      <w:proofErr w:type="gramEnd"/>
      <w:r w:rsidRPr="00CB68C5">
        <w:rPr>
          <w:rFonts w:ascii="Verdana" w:hAnsi="Verdana" w:cs="Arial"/>
          <w:sz w:val="21"/>
          <w:szCs w:val="21"/>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54A6571F" w14:textId="77777777" w:rsidR="00591DEA" w:rsidRPr="00CB68C5" w:rsidRDefault="00591DEA" w:rsidP="00591DEA">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0C693048" w14:textId="77777777" w:rsidR="00591DEA" w:rsidRPr="00CB68C5" w:rsidRDefault="00591DEA" w:rsidP="00591DEA">
      <w:pPr>
        <w:spacing w:after="0" w:line="240" w:lineRule="auto"/>
        <w:ind w:left="709" w:right="709"/>
        <w:jc w:val="both"/>
        <w:rPr>
          <w:rFonts w:ascii="Verdana" w:hAnsi="Verdana" w:cs="Arial"/>
          <w:sz w:val="21"/>
          <w:szCs w:val="21"/>
        </w:rPr>
      </w:pPr>
      <w:r w:rsidRPr="00CB68C5">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8D191C">
        <w:rPr>
          <w:rFonts w:ascii="Verdana" w:hAnsi="Verdana" w:cs="Arial"/>
          <w:sz w:val="21"/>
          <w:szCs w:val="21"/>
          <w:vertAlign w:val="superscript"/>
        </w:rPr>
        <w:footnoteReference w:id="7"/>
      </w:r>
      <w:r w:rsidRPr="00CB68C5">
        <w:rPr>
          <w:rFonts w:ascii="Verdana" w:hAnsi="Verdana" w:cs="Arial"/>
          <w:sz w:val="21"/>
          <w:szCs w:val="21"/>
        </w:rPr>
        <w:t xml:space="preserve">. </w:t>
      </w:r>
    </w:p>
    <w:p w14:paraId="3A6E02D6" w14:textId="77777777" w:rsidR="00591DEA" w:rsidRPr="00CB68C5" w:rsidRDefault="00591DEA" w:rsidP="00591DEA">
      <w:pPr>
        <w:spacing w:after="0" w:line="276" w:lineRule="auto"/>
        <w:ind w:left="709" w:right="709"/>
        <w:jc w:val="both"/>
        <w:rPr>
          <w:rFonts w:ascii="Verdana" w:hAnsi="Verdana" w:cs="Arial"/>
        </w:rPr>
      </w:pPr>
      <w:r w:rsidRPr="00CB68C5">
        <w:rPr>
          <w:rFonts w:ascii="Verdana" w:hAnsi="Verdana" w:cs="Arial"/>
        </w:rPr>
        <w:t xml:space="preserve"> </w:t>
      </w:r>
    </w:p>
    <w:p w14:paraId="296FACED" w14:textId="77777777" w:rsidR="00591DEA" w:rsidRDefault="00591DEA" w:rsidP="00591DEA">
      <w:pPr>
        <w:spacing w:after="0" w:line="276" w:lineRule="auto"/>
        <w:jc w:val="both"/>
        <w:rPr>
          <w:rFonts w:ascii="Verdana" w:hAnsi="Verdana" w:cs="Arial"/>
        </w:rPr>
      </w:pPr>
      <w:r w:rsidRPr="00CB68C5">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w:t>
      </w:r>
      <w:r w:rsidRPr="00CB68C5">
        <w:rPr>
          <w:rFonts w:ascii="Verdana" w:hAnsi="Verdana" w:cs="Arial"/>
        </w:rPr>
        <w:lastRenderedPageBreak/>
        <w:t>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3C49CA21" w14:textId="77777777" w:rsidR="00591DEA" w:rsidRDefault="00591DEA" w:rsidP="00591DEA">
      <w:pPr>
        <w:widowControl w:val="0"/>
        <w:autoSpaceDE w:val="0"/>
        <w:autoSpaceDN w:val="0"/>
        <w:spacing w:after="0" w:line="276" w:lineRule="auto"/>
        <w:jc w:val="both"/>
        <w:rPr>
          <w:rFonts w:ascii="Verdana" w:eastAsia="Arial" w:hAnsi="Verdana" w:cs="Arial"/>
          <w:lang w:val="es-ES" w:eastAsia="es-ES" w:bidi="es-ES"/>
        </w:rPr>
      </w:pPr>
    </w:p>
    <w:p w14:paraId="75DC1925" w14:textId="77777777" w:rsidR="00591DEA" w:rsidRPr="00EC5368" w:rsidRDefault="00591DEA" w:rsidP="00591DEA">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Pr>
          <w:rFonts w:ascii="Verdana" w:eastAsia="Calibri" w:hAnsi="Verdana" w:cs="Arial"/>
        </w:rPr>
        <w:t>ii</w:t>
      </w:r>
      <w:proofErr w:type="spellEnd"/>
      <w:r>
        <w:rPr>
          <w:rFonts w:ascii="Verdana" w:eastAsia="Calibri" w:hAnsi="Verdana" w:cs="Arial"/>
        </w:rPr>
        <w:t xml:space="preserve">. </w:t>
      </w:r>
      <w:r w:rsidRPr="00EC5368">
        <w:rPr>
          <w:rFonts w:ascii="Verdana" w:eastAsia="Calibri" w:hAnsi="Verdana" w:cs="Arial"/>
          <w:lang w:val="es-MX"/>
        </w:rPr>
        <w:t>La</w:t>
      </w:r>
      <w:r>
        <w:rPr>
          <w:rFonts w:ascii="Verdana" w:eastAsia="Calibri" w:hAnsi="Verdana" w:cs="Arial"/>
          <w:color w:val="000000"/>
          <w:lang w:val="es-ES_tradnl" w:eastAsia="es-ES" w:bidi="es-ES"/>
        </w:rPr>
        <w:t xml:space="preserve"> obra pública es una de las tipologías </w:t>
      </w:r>
      <w:r w:rsidRPr="00EC5368">
        <w:rPr>
          <w:rFonts w:ascii="Verdana" w:eastAsia="Calibri" w:hAnsi="Verdana" w:cs="Arial"/>
          <w:color w:val="000000"/>
          <w:lang w:val="es-ES_tradnl" w:eastAsia="es-ES" w:bidi="es-ES"/>
        </w:rPr>
        <w:t xml:space="preserve">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17BD9362" w14:textId="77777777" w:rsidR="00591DEA" w:rsidRPr="00EC5368" w:rsidRDefault="00591DEA" w:rsidP="00591DEA">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1"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1"/>
      <w:r w:rsidRPr="418CF8A0">
        <w:rPr>
          <w:rFonts w:ascii="Verdana" w:eastAsia="Calibri" w:hAnsi="Verdana" w:cs="Arial"/>
          <w:color w:val="000000" w:themeColor="text1"/>
          <w:lang w:val="es-ES" w:eastAsia="es-ES" w:bidi="es-ES"/>
        </w:rPr>
        <w:t>Así, la doctrina considera que:</w:t>
      </w:r>
    </w:p>
    <w:p w14:paraId="5ECBE2A7" w14:textId="77777777" w:rsidR="00591DEA" w:rsidRPr="00EC5368" w:rsidRDefault="00591DEA" w:rsidP="00591DEA">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4EC30885" w14:textId="77777777" w:rsidR="00591DEA" w:rsidRPr="00EC5368" w:rsidRDefault="00591DEA" w:rsidP="00591DEA">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2B2AA6B7" w14:textId="77777777" w:rsidR="00591DEA" w:rsidRPr="00EC5368" w:rsidRDefault="00591DEA" w:rsidP="00591DEA">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w:t>
      </w:r>
      <w:r w:rsidRPr="00EC5368">
        <w:rPr>
          <w:rFonts w:ascii="Verdana" w:eastAsia="Calibri" w:hAnsi="Verdana" w:cs="Arial"/>
          <w:color w:val="000000"/>
          <w:sz w:val="21"/>
          <w:szCs w:val="21"/>
          <w:lang w:val="es-ES_tradnl" w:eastAsia="es-ES" w:bidi="es-ES"/>
        </w:rPr>
        <w:lastRenderedPageBreak/>
        <w:t>del carpintero, del arquitecto, del ingeniero, etc. Lo que caracteriza entonces este contrato es que se haga una obra nueva con una sustancia mediante la transformación de ella por el trabajo del hombre”</w:t>
      </w:r>
      <w:r w:rsidRPr="00EC5368">
        <w:rPr>
          <w:rFonts w:ascii="Verdana" w:eastAsia="Calibri" w:hAnsi="Verdana" w:cs="Arial"/>
          <w:color w:val="000000"/>
          <w:sz w:val="21"/>
          <w:szCs w:val="21"/>
          <w:vertAlign w:val="superscript"/>
          <w:lang w:val="es-ES_tradnl" w:eastAsia="es-ES" w:bidi="es-ES"/>
        </w:rPr>
        <w:footnoteReference w:id="8"/>
      </w:r>
      <w:r w:rsidRPr="00EC5368">
        <w:rPr>
          <w:rFonts w:ascii="Verdana" w:eastAsia="Calibri" w:hAnsi="Verdana" w:cs="Arial"/>
          <w:color w:val="000000"/>
          <w:sz w:val="21"/>
          <w:szCs w:val="21"/>
          <w:lang w:val="es-ES_tradnl" w:eastAsia="es-ES" w:bidi="es-ES"/>
        </w:rPr>
        <w:t xml:space="preserve">.  </w:t>
      </w:r>
    </w:p>
    <w:p w14:paraId="1E4A9080" w14:textId="77777777" w:rsidR="00591DEA" w:rsidRPr="006E15C6" w:rsidRDefault="00591DEA" w:rsidP="00591DEA">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2D96460F" w14:textId="77777777" w:rsidR="00591DEA" w:rsidRDefault="00591DEA" w:rsidP="00591DEA">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2"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3"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4" w:name="_Hlk171668266"/>
      <w:r w:rsidRPr="00EC5368">
        <w:rPr>
          <w:rFonts w:ascii="Verdana" w:eastAsia="Calibri" w:hAnsi="Verdana" w:cs="Arial"/>
          <w:color w:val="000000"/>
          <w:lang w:val="es-ES_tradnl" w:eastAsia="es-ES" w:bidi="es-ES"/>
        </w:rPr>
        <w:t>construcción, mantenimiento, instalación</w:t>
      </w:r>
      <w:bookmarkEnd w:id="4"/>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5" w:name="_Hlk171667437"/>
      <w:r w:rsidRPr="00EC5368">
        <w:rPr>
          <w:rFonts w:ascii="Verdana" w:eastAsia="Calibri" w:hAnsi="Verdana" w:cs="Arial"/>
          <w:color w:val="000000"/>
          <w:lang w:val="es-ES_tradnl" w:eastAsia="es-ES" w:bidi="es-ES"/>
        </w:rPr>
        <w:t>cualquiera que sea la modalidad de ejecución y pago</w:t>
      </w:r>
      <w:bookmarkEnd w:id="5"/>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8D191C">
        <w:rPr>
          <w:rFonts w:ascii="Verdana" w:eastAsia="Calibri" w:hAnsi="Verdana" w:cs="Arial"/>
          <w:color w:val="000000"/>
          <w:vertAlign w:val="superscript"/>
          <w:lang w:val="es-ES_tradnl" w:eastAsia="es-ES" w:bidi="es-ES"/>
        </w:rPr>
        <w:footnoteReference w:id="9"/>
      </w:r>
      <w:r w:rsidRPr="00EC5368">
        <w:rPr>
          <w:rFonts w:ascii="Verdana" w:eastAsia="Calibri" w:hAnsi="Verdana" w:cs="Arial"/>
          <w:color w:val="000000"/>
          <w:lang w:val="es-ES_tradnl" w:eastAsia="es-ES" w:bidi="es-ES"/>
        </w:rPr>
        <w:t xml:space="preserve">. </w:t>
      </w:r>
    </w:p>
    <w:p w14:paraId="790A72D4" w14:textId="77777777" w:rsidR="00591DEA" w:rsidRPr="00EC5368" w:rsidRDefault="00591DEA" w:rsidP="00591DEA">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2"/>
      <w:bookmarkEnd w:id="3"/>
      <w:r w:rsidRPr="00EC5368">
        <w:rPr>
          <w:rFonts w:ascii="Verdana" w:eastAsia="Calibri" w:hAnsi="Verdana" w:cs="Arial"/>
          <w:color w:val="000000"/>
          <w:vertAlign w:val="superscript"/>
          <w:lang w:val="es-ES_tradnl" w:eastAsia="es-ES" w:bidi="es-ES"/>
        </w:rPr>
        <w:footnoteReference w:id="10"/>
      </w:r>
      <w:r w:rsidRPr="00EC5368">
        <w:rPr>
          <w:rFonts w:ascii="Verdana" w:eastAsia="Calibri" w:hAnsi="Verdana" w:cs="Arial"/>
          <w:color w:val="000000"/>
          <w:lang w:val="es-ES_tradnl" w:eastAsia="es-ES" w:bidi="es-ES"/>
        </w:rPr>
        <w:t>. De esta manera:</w:t>
      </w:r>
    </w:p>
    <w:p w14:paraId="20E436DD" w14:textId="77777777" w:rsidR="00591DEA" w:rsidRPr="00EC5368" w:rsidRDefault="00591DEA" w:rsidP="00591DEA">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6E197BE6" w14:textId="77777777" w:rsidR="00591DEA" w:rsidRPr="00EC5368" w:rsidRDefault="00591DEA" w:rsidP="00591DEA">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62B3088F" w14:textId="77777777" w:rsidR="00591DEA" w:rsidRPr="00EC5368" w:rsidRDefault="00591DEA" w:rsidP="00591DEA">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w:t>
      </w:r>
      <w:r w:rsidRPr="00EC5368">
        <w:rPr>
          <w:rFonts w:ascii="Verdana" w:eastAsia="Calibri" w:hAnsi="Verdana" w:cs="Arial"/>
          <w:color w:val="000000"/>
          <w:sz w:val="21"/>
          <w:szCs w:val="21"/>
          <w:lang w:val="es-ES_tradnl" w:eastAsia="es-ES" w:bidi="es-ES"/>
        </w:rPr>
        <w:lastRenderedPageBreak/>
        <w:t>de 1993”</w:t>
      </w:r>
      <w:r w:rsidRPr="00EC5368">
        <w:rPr>
          <w:rFonts w:ascii="Verdana" w:eastAsia="Calibri" w:hAnsi="Verdana" w:cs="Arial"/>
          <w:color w:val="000000"/>
          <w:sz w:val="21"/>
          <w:szCs w:val="21"/>
          <w:vertAlign w:val="superscript"/>
          <w:lang w:val="es-ES_tradnl" w:eastAsia="es-ES" w:bidi="es-ES"/>
        </w:rPr>
        <w:footnoteReference w:id="11"/>
      </w:r>
      <w:r w:rsidRPr="00EC5368">
        <w:rPr>
          <w:rFonts w:ascii="Verdana" w:eastAsia="Calibri" w:hAnsi="Verdana" w:cs="Arial"/>
          <w:color w:val="000000"/>
          <w:sz w:val="21"/>
          <w:szCs w:val="21"/>
          <w:lang w:val="es-ES_tradnl" w:eastAsia="es-ES" w:bidi="es-ES"/>
        </w:rPr>
        <w:t>.</w:t>
      </w:r>
    </w:p>
    <w:p w14:paraId="095C4645" w14:textId="77777777" w:rsidR="00591DEA" w:rsidRPr="00EC5368" w:rsidRDefault="00591DEA" w:rsidP="00591DEA">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34008342" w14:textId="77777777" w:rsidR="00591DEA" w:rsidRDefault="00591DEA" w:rsidP="00591DEA">
      <w:pPr>
        <w:widowControl w:val="0"/>
        <w:autoSpaceDE w:val="0"/>
        <w:autoSpaceDN w:val="0"/>
        <w:spacing w:after="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12B84BAD" w14:textId="77777777" w:rsidR="00591DEA" w:rsidRDefault="00591DEA" w:rsidP="00591DEA">
      <w:pPr>
        <w:widowControl w:val="0"/>
        <w:autoSpaceDE w:val="0"/>
        <w:autoSpaceDN w:val="0"/>
        <w:spacing w:after="0" w:line="276" w:lineRule="auto"/>
        <w:jc w:val="both"/>
        <w:rPr>
          <w:rFonts w:ascii="Verdana" w:eastAsia="Calibri" w:hAnsi="Verdana" w:cs="Arial"/>
          <w:color w:val="000000"/>
          <w:lang w:val="es-ES_tradnl" w:eastAsia="es-ES" w:bidi="es-ES"/>
        </w:rPr>
      </w:pPr>
    </w:p>
    <w:p w14:paraId="433BF760" w14:textId="77777777" w:rsidR="00591DEA" w:rsidRPr="00EA29F8" w:rsidRDefault="00591DEA" w:rsidP="00591DEA">
      <w:pPr>
        <w:spacing w:after="120" w:line="276" w:lineRule="auto"/>
        <w:jc w:val="both"/>
        <w:rPr>
          <w:rFonts w:ascii="Verdana" w:hAnsi="Verdana"/>
        </w:rPr>
      </w:pPr>
      <w:proofErr w:type="spellStart"/>
      <w:r w:rsidRPr="00EA29F8">
        <w:rPr>
          <w:rFonts w:ascii="Verdana" w:eastAsia="Calibri" w:hAnsi="Verdana" w:cs="Arial"/>
          <w:lang w:val="es-ES"/>
        </w:rPr>
        <w:t>iii</w:t>
      </w:r>
      <w:proofErr w:type="spellEnd"/>
      <w:r w:rsidRPr="00EA29F8">
        <w:rPr>
          <w:rFonts w:ascii="Verdana" w:eastAsia="Calibri" w:hAnsi="Verdana" w:cs="Arial"/>
          <w:lang w:val="es-ES"/>
        </w:rPr>
        <w:t xml:space="preserve">. </w:t>
      </w:r>
      <w:r w:rsidRPr="00EA29F8">
        <w:rPr>
          <w:rFonts w:ascii="Verdana" w:hAnsi="Verdana" w:cs="Arial"/>
          <w:bCs/>
          <w:color w:val="000000" w:themeColor="text1"/>
          <w:lang w:val="es-ES_tradnl"/>
        </w:rPr>
        <w:t>Previo al inicio de un proceso de selección para la contratación de una obra pública, la entidad estatal debe contar con “los estudios y diseños que permitan establecer la viabilidad del proyecto y su impacto social, económico y ambiental” en los términos del numeral 12 del artículo 25 de la Ley 80 de 1993, modificado por el artículo 87 de la Ley 1474 de 2011</w:t>
      </w:r>
      <w:r w:rsidRPr="008D191C">
        <w:rPr>
          <w:rFonts w:ascii="Verdana" w:hAnsi="Verdana" w:cs="Arial"/>
          <w:color w:val="000000" w:themeColor="text1"/>
          <w:vertAlign w:val="superscript"/>
          <w:lang w:val="es-ES_tradnl"/>
        </w:rPr>
        <w:footnoteReference w:id="12"/>
      </w:r>
      <w:r w:rsidRPr="00EA29F8">
        <w:rPr>
          <w:rFonts w:ascii="Verdana" w:hAnsi="Verdana"/>
        </w:rPr>
        <w:t>. Incluso, el numeral 3 del artículo 26 del Estatuto General de Contratación de la Administración Pública prescribe que las entidades y los servidores públicos responderán cuando hubieren iniciado procedimientos de selección sin haber elaborado los diseños correspondientes</w:t>
      </w:r>
      <w:r w:rsidRPr="008D191C">
        <w:rPr>
          <w:rFonts w:ascii="Verdana" w:hAnsi="Verdana"/>
          <w:vertAlign w:val="superscript"/>
        </w:rPr>
        <w:footnoteReference w:id="13"/>
      </w:r>
      <w:r w:rsidRPr="00EA29F8">
        <w:rPr>
          <w:rFonts w:ascii="Verdana" w:hAnsi="Verdana"/>
        </w:rPr>
        <w:t xml:space="preserve">. </w:t>
      </w:r>
    </w:p>
    <w:p w14:paraId="6E8DFB4F" w14:textId="77777777" w:rsidR="00591DEA" w:rsidRPr="00EA29F8" w:rsidRDefault="00591DEA" w:rsidP="00591DEA">
      <w:pPr>
        <w:spacing w:after="120" w:line="276" w:lineRule="auto"/>
        <w:ind w:firstLine="708"/>
        <w:jc w:val="both"/>
        <w:rPr>
          <w:rFonts w:ascii="Verdana" w:hAnsi="Verdana" w:cs="Arial"/>
          <w:sz w:val="21"/>
          <w:szCs w:val="21"/>
        </w:rPr>
      </w:pPr>
      <w:r w:rsidRPr="00EA29F8">
        <w:rPr>
          <w:rFonts w:ascii="Verdana" w:hAnsi="Verdana"/>
        </w:rPr>
        <w:t xml:space="preserve">Igualmente, para los procesos de licitación pública, el numeral primero del artículo 30 </w:t>
      </w:r>
      <w:r w:rsidRPr="00EA29F8">
        <w:rPr>
          <w:rFonts w:ascii="Verdana" w:hAnsi="Verdana"/>
          <w:i/>
          <w:iCs/>
        </w:rPr>
        <w:t>ibidem</w:t>
      </w:r>
      <w:r w:rsidRPr="00EA29F8">
        <w:rPr>
          <w:rFonts w:ascii="Verdana" w:hAnsi="Verdana"/>
        </w:rPr>
        <w:t xml:space="preserve"> prescribe que “</w:t>
      </w:r>
      <w:r w:rsidRPr="00EA29F8">
        <w:rPr>
          <w:rFonts w:ascii="Verdana" w:hAnsi="Verdana"/>
          <w:lang w:val="es-MX"/>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EA29F8">
        <w:rPr>
          <w:rFonts w:ascii="Verdana" w:hAnsi="Verdana"/>
          <w:i/>
          <w:iCs/>
          <w:lang w:val="es-MX"/>
        </w:rPr>
        <w:t xml:space="preserve">Cuando sea necesario, el estudio deberá estar acompañado, además, </w:t>
      </w:r>
      <w:r w:rsidRPr="00EA29F8">
        <w:rPr>
          <w:rFonts w:ascii="Verdana" w:hAnsi="Verdana"/>
          <w:i/>
          <w:iCs/>
          <w:lang w:val="es-MX"/>
        </w:rPr>
        <w:lastRenderedPageBreak/>
        <w:t>de los diseños, planos y evaluaciones de prefactibilidad o factibilidad</w:t>
      </w:r>
      <w:r w:rsidRPr="00EA29F8">
        <w:rPr>
          <w:rFonts w:ascii="Verdana" w:hAnsi="Verdana"/>
          <w:lang w:val="es-MX"/>
        </w:rPr>
        <w:t>” (Énfasis fuera de texto).</w:t>
      </w:r>
    </w:p>
    <w:p w14:paraId="57EEF2F2" w14:textId="77777777" w:rsidR="00591DEA" w:rsidRPr="00EA29F8" w:rsidRDefault="00591DEA" w:rsidP="00591DEA">
      <w:pPr>
        <w:spacing w:after="120" w:line="276" w:lineRule="auto"/>
        <w:ind w:firstLine="708"/>
        <w:jc w:val="both"/>
        <w:rPr>
          <w:rFonts w:ascii="Verdana" w:hAnsi="Verdana"/>
        </w:rPr>
      </w:pPr>
      <w:r w:rsidRPr="00EA29F8">
        <w:rPr>
          <w:rFonts w:ascii="Verdana" w:hAnsi="Verdana"/>
        </w:rPr>
        <w:t xml:space="preserve">No obstante, </w:t>
      </w:r>
      <w:r w:rsidRPr="00EA29F8">
        <w:rPr>
          <w:rFonts w:ascii="Verdana" w:hAnsi="Verdana"/>
          <w:bCs/>
          <w:color w:val="000000" w:themeColor="text1"/>
          <w:lang w:val="es-ES_tradnl"/>
        </w:rPr>
        <w:t xml:space="preserve">el numeral 12 del artículo 25 de la Ley 80 de 1993 </w:t>
      </w:r>
      <w:r w:rsidRPr="00EA29F8">
        <w:rPr>
          <w:rFonts w:ascii="Verdana" w:hAnsi="Verdana"/>
        </w:rPr>
        <w:t>no impide que en un mismo proceso de contratación se adelante de forma conjunta el proceso de construcción de la obra y la elaboración de los estudios y diseños que expliquen con mayor detalle a las obras y estructuras que se requieran, de tal forma que un constructor pueda materializar el proyecto, ya que sólo se requiere que existan unos estudios de viabilidad. Lo anterior se reitera con lo previsto en el artículo 2.2.1.1.2.1.1 del Decreto 1082 de 2015, el cual señala que, dentro de los estudios previos, cuando el objeto de contratación incluye el diseño y construcción, se requiere los documentos técnicos del proyecto</w:t>
      </w:r>
      <w:r w:rsidRPr="008D191C">
        <w:rPr>
          <w:rFonts w:ascii="Verdana" w:hAnsi="Verdana"/>
          <w:vertAlign w:val="superscript"/>
        </w:rPr>
        <w:footnoteReference w:id="14"/>
      </w:r>
      <w:r w:rsidRPr="00EA29F8">
        <w:rPr>
          <w:rFonts w:ascii="Verdana" w:hAnsi="Verdana"/>
        </w:rPr>
        <w:t>. Dichos documentos perfilan las características generales de la obra respecto a su ubicación, dimensiones, especificaciones, etc.</w:t>
      </w:r>
    </w:p>
    <w:p w14:paraId="04EB0177" w14:textId="77777777" w:rsidR="00591DEA" w:rsidRPr="00EA29F8" w:rsidRDefault="00591DEA" w:rsidP="00591DEA">
      <w:pPr>
        <w:spacing w:after="120" w:line="276" w:lineRule="auto"/>
        <w:ind w:firstLine="708"/>
        <w:jc w:val="both"/>
        <w:rPr>
          <w:rFonts w:ascii="Verdana" w:hAnsi="Verdana"/>
        </w:rPr>
      </w:pPr>
      <w:r w:rsidRPr="00EA29F8">
        <w:rPr>
          <w:rFonts w:ascii="Verdana" w:hAnsi="Verdana"/>
        </w:rPr>
        <w:t>En este sentido, de</w:t>
      </w:r>
      <w:r w:rsidRPr="00EA29F8">
        <w:rPr>
          <w:rFonts w:ascii="Verdana" w:hAnsi="Verdana"/>
          <w:spacing w:val="47"/>
        </w:rPr>
        <w:t xml:space="preserve"> </w:t>
      </w:r>
      <w:r w:rsidRPr="00EA29F8">
        <w:rPr>
          <w:rFonts w:ascii="Verdana" w:hAnsi="Verdana"/>
        </w:rPr>
        <w:t>forma expresa, se prevé la posibilidad que en un mismo proceso de contratación se adelante la elaboración de los diseños y la construcción de una obra. En otras palabras, debe quedar claro que la consagración de la obligación contractual a cargo del contratista de obra de realizar los estudios y diseños para la obra pública constituye una forma en la que se satisface plenamente el deber legal de contar, de manera p</w:t>
      </w:r>
      <w:r w:rsidRPr="00EA29F8">
        <w:rPr>
          <w:rFonts w:ascii="Verdana" w:hAnsi="Verdana"/>
          <w:bCs/>
          <w:color w:val="000000" w:themeColor="text1"/>
        </w:rPr>
        <w:t>revia</w:t>
      </w:r>
      <w:r w:rsidRPr="00EA29F8">
        <w:rPr>
          <w:rFonts w:ascii="Verdana" w:hAnsi="Verdana"/>
          <w:bCs/>
          <w:color w:val="000000" w:themeColor="text1"/>
          <w:lang w:val="es-ES_tradnl"/>
        </w:rPr>
        <w:t xml:space="preserve"> a la apertura de un procedimiento de licitación pública para la contratación de una obra pública, con los estudios y diseños que permitan establecer la viabilidad del proyecto y su impacto social, económico y ambiental</w:t>
      </w:r>
      <w:r w:rsidRPr="008D191C">
        <w:rPr>
          <w:rFonts w:ascii="Verdana" w:hAnsi="Verdana"/>
          <w:color w:val="000000" w:themeColor="text1"/>
          <w:vertAlign w:val="superscript"/>
          <w:lang w:val="es-ES_tradnl"/>
        </w:rPr>
        <w:footnoteReference w:id="15"/>
      </w:r>
      <w:r w:rsidRPr="00EA29F8">
        <w:rPr>
          <w:rFonts w:ascii="Verdana" w:hAnsi="Verdana"/>
          <w:bCs/>
          <w:color w:val="000000" w:themeColor="text1"/>
          <w:lang w:val="es-ES_tradnl"/>
        </w:rPr>
        <w:t>.</w:t>
      </w:r>
    </w:p>
    <w:p w14:paraId="46A3D3A6" w14:textId="77777777" w:rsidR="00591DEA" w:rsidRPr="00EA29F8" w:rsidRDefault="00591DEA" w:rsidP="00591DEA">
      <w:pPr>
        <w:spacing w:before="120" w:after="120" w:line="276" w:lineRule="auto"/>
        <w:ind w:firstLine="709"/>
        <w:jc w:val="both"/>
        <w:rPr>
          <w:rFonts w:ascii="Verdana" w:hAnsi="Verdana"/>
        </w:rPr>
      </w:pPr>
      <w:r w:rsidRPr="00EA29F8">
        <w:rPr>
          <w:rFonts w:ascii="Verdana" w:hAnsi="Verdana"/>
        </w:rPr>
        <w:t xml:space="preserve">Ahora bien, es importante subrayar que en nuestro ordenamiento jurídico existen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w:t>
      </w:r>
      <w:r w:rsidRPr="00EA29F8">
        <w:rPr>
          <w:rFonts w:ascii="Verdana" w:hAnsi="Verdana"/>
        </w:rPr>
        <w:lastRenderedPageBreak/>
        <w:t xml:space="preserve">en: i) fase I- prefactibilidad, </w:t>
      </w:r>
      <w:proofErr w:type="spellStart"/>
      <w:r w:rsidRPr="00EA29F8">
        <w:rPr>
          <w:rFonts w:ascii="Verdana" w:hAnsi="Verdana"/>
        </w:rPr>
        <w:t>ii</w:t>
      </w:r>
      <w:proofErr w:type="spellEnd"/>
      <w:r w:rsidRPr="00EA29F8">
        <w:rPr>
          <w:rFonts w:ascii="Verdana" w:hAnsi="Verdana"/>
        </w:rPr>
        <w:t xml:space="preserve">) fase II- factibilidad y </w:t>
      </w:r>
      <w:proofErr w:type="spellStart"/>
      <w:r w:rsidRPr="00EA29F8">
        <w:rPr>
          <w:rFonts w:ascii="Verdana" w:hAnsi="Verdana"/>
        </w:rPr>
        <w:t>iii</w:t>
      </w:r>
      <w:proofErr w:type="spellEnd"/>
      <w:r w:rsidRPr="00EA29F8">
        <w:rPr>
          <w:rFonts w:ascii="Verdana" w:hAnsi="Verdana"/>
        </w:rPr>
        <w:t>) fase III- estudios y diseños</w:t>
      </w:r>
      <w:r w:rsidRPr="00EA29F8">
        <w:rPr>
          <w:rFonts w:ascii="Verdana" w:hAnsi="Verdana"/>
          <w:spacing w:val="-1"/>
        </w:rPr>
        <w:t xml:space="preserve"> </w:t>
      </w:r>
      <w:r w:rsidRPr="00EA29F8">
        <w:rPr>
          <w:rFonts w:ascii="Verdana" w:hAnsi="Verdana"/>
        </w:rPr>
        <w:t>definitivos.</w:t>
      </w:r>
    </w:p>
    <w:p w14:paraId="15FB6199" w14:textId="77777777" w:rsidR="00591DEA" w:rsidRPr="00EA29F8" w:rsidRDefault="00591DEA" w:rsidP="00591DEA">
      <w:pPr>
        <w:spacing w:before="120" w:after="120" w:line="276" w:lineRule="auto"/>
        <w:ind w:firstLine="709"/>
        <w:jc w:val="both"/>
        <w:rPr>
          <w:rFonts w:ascii="Verdana" w:hAnsi="Verdana"/>
        </w:rPr>
      </w:pPr>
      <w:r w:rsidRPr="00EA29F8">
        <w:rPr>
          <w:rFonts w:ascii="Verdana" w:hAnsi="Verdana"/>
        </w:rPr>
        <w:t>El estudio de “Fase 1. Prefactibilidad” es el que se realiza el prediseño aproximado del proyecto, presentando alternativas y realizar la evaluación económica preliminar recurriendo a costos obtenidos en proyectos con condiciones similares, utilizando modelos de simulación debidamente aprobados por las entidades solicitantes. En el estudio de “Fase 2. Factibilidad” se debe diseñar el proyecto y efectuar la evaluación económica final, y, además, tiene por finalidad establecer si el proyecto es factible para su ejecución, considerando todos los aspectos relacionados con el mismo. Finalmente, en el estudio de “Fase 3. Estudios y diseños definitivos” se deben elaborar los diseños detallados tanto geométrico como de todas las estructuras y obras que se requieran, de tal forma que un constructor pueda materializar el proyecto</w:t>
      </w:r>
      <w:r w:rsidRPr="008D191C">
        <w:rPr>
          <w:rFonts w:ascii="Verdana" w:hAnsi="Verdana"/>
          <w:vertAlign w:val="superscript"/>
        </w:rPr>
        <w:footnoteReference w:id="16"/>
      </w:r>
      <w:r w:rsidRPr="00EA29F8">
        <w:rPr>
          <w:rFonts w:ascii="Verdana" w:hAnsi="Verdana"/>
        </w:rPr>
        <w:t>. De acuerdo con las definiciones de los estudios de ingeniería es posible concluir que, para adelantar el proceso de contratación, cuyo objeto consiste en la construcción de una obra pública, se requerirá contar con los estudios de prefactibilidad y estudios de factibilidad, porque a través de estos se verifica la viabilidad del</w:t>
      </w:r>
      <w:r w:rsidRPr="00EA29F8">
        <w:rPr>
          <w:rFonts w:ascii="Verdana" w:hAnsi="Verdana"/>
          <w:spacing w:val="-9"/>
        </w:rPr>
        <w:t xml:space="preserve"> </w:t>
      </w:r>
      <w:r w:rsidRPr="00EA29F8">
        <w:rPr>
          <w:rFonts w:ascii="Verdana" w:hAnsi="Verdana"/>
        </w:rPr>
        <w:t>proyecto.</w:t>
      </w:r>
    </w:p>
    <w:p w14:paraId="67DBD956" w14:textId="77777777" w:rsidR="00591DEA" w:rsidRPr="00EA29F8" w:rsidRDefault="00591DEA" w:rsidP="00591DEA">
      <w:pPr>
        <w:spacing w:after="0" w:line="276" w:lineRule="auto"/>
        <w:ind w:firstLine="708"/>
        <w:jc w:val="both"/>
        <w:rPr>
          <w:rFonts w:ascii="Verdana" w:hAnsi="Verdana" w:cs="Arial"/>
        </w:rPr>
      </w:pPr>
      <w:r w:rsidRPr="00EA29F8">
        <w:rPr>
          <w:rFonts w:ascii="Verdana" w:hAnsi="Verdana" w:cs="Arial"/>
          <w:bCs/>
          <w:color w:val="000000" w:themeColor="text1"/>
          <w:lang w:val="es-ES_tradnl"/>
        </w:rPr>
        <w:lastRenderedPageBreak/>
        <w:t>Inclusive, en el evento en que la entidad estatal ya cuente con estudios y diseños para la obra pública, siempre en cumplimiento del principio de planeación y con el fin de corroborar la “viabilidad</w:t>
      </w:r>
      <w:r w:rsidRPr="00EA29F8">
        <w:rPr>
          <w:rFonts w:ascii="Verdana" w:hAnsi="Verdana" w:cs="Arial"/>
        </w:rPr>
        <w:t xml:space="preserve">” del proyecto, puede modificarlos o ajustarlos. Precisamente, en relación con este supuesto, la Sala de Consulta y Servicio Civil del Consejo de Estado considera que: </w:t>
      </w:r>
    </w:p>
    <w:p w14:paraId="782D9F44" w14:textId="77777777" w:rsidR="00591DEA" w:rsidRPr="000A1B8E" w:rsidRDefault="00591DEA" w:rsidP="00591DEA">
      <w:pPr>
        <w:spacing w:after="0" w:line="276" w:lineRule="auto"/>
        <w:ind w:firstLine="708"/>
        <w:jc w:val="both"/>
        <w:rPr>
          <w:rFonts w:ascii="Verdana" w:hAnsi="Verdana" w:cs="Arial"/>
        </w:rPr>
      </w:pPr>
    </w:p>
    <w:p w14:paraId="0943EA8B" w14:textId="77777777" w:rsidR="00591DEA" w:rsidRPr="000A1B8E" w:rsidRDefault="00591DEA" w:rsidP="00591DEA">
      <w:pPr>
        <w:spacing w:line="240" w:lineRule="auto"/>
        <w:ind w:left="709" w:right="709"/>
        <w:jc w:val="both"/>
        <w:rPr>
          <w:rFonts w:ascii="Verdana" w:hAnsi="Verdana" w:cs="Arial"/>
          <w:sz w:val="21"/>
          <w:szCs w:val="21"/>
        </w:rPr>
      </w:pPr>
      <w:r>
        <w:rPr>
          <w:rFonts w:ascii="Verdana" w:hAnsi="Verdana" w:cs="Arial"/>
          <w:sz w:val="21"/>
          <w:szCs w:val="21"/>
        </w:rPr>
        <w:t>“</w:t>
      </w:r>
      <w:r w:rsidRPr="000A1B8E">
        <w:rPr>
          <w:rFonts w:ascii="Verdana" w:hAnsi="Verdana" w:cs="Arial"/>
          <w:sz w:val="21"/>
          <w:szCs w:val="21"/>
        </w:rPr>
        <w:t xml:space="preserve">La contratación, entendida como un instrumento para alcanzar los fines estatales y satisfacer el interés público, </w:t>
      </w:r>
      <w:r w:rsidRPr="000A1B8E">
        <w:rPr>
          <w:rFonts w:ascii="Verdana" w:hAnsi="Verdana" w:cs="Arial"/>
          <w:i/>
          <w:sz w:val="21"/>
          <w:szCs w:val="21"/>
        </w:rPr>
        <w:t>hace que la administración se encuentre facultada para modificar los diseños y estudios previstos inicialmente para la ejecución de una obra pública, cuando éstos adolezcan de errores o sean insuficientes o inadecuados</w:t>
      </w:r>
      <w:r w:rsidRPr="000A1B8E">
        <w:rPr>
          <w:rFonts w:ascii="Verdana" w:hAnsi="Verdana" w:cs="Arial"/>
          <w:b/>
          <w:bCs/>
          <w:sz w:val="21"/>
          <w:szCs w:val="21"/>
        </w:rPr>
        <w:t>,</w:t>
      </w:r>
      <w:r w:rsidRPr="000A1B8E">
        <w:rPr>
          <w:rFonts w:ascii="Verdana" w:hAnsi="Verdana" w:cs="Arial"/>
          <w:sz w:val="21"/>
          <w:szCs w:val="21"/>
        </w:rPr>
        <w:t xml:space="preserve"> independientemente de la responsabilidad que ello pueda</w:t>
      </w:r>
      <w:r w:rsidRPr="000A1B8E">
        <w:rPr>
          <w:rFonts w:ascii="Verdana" w:hAnsi="Verdana" w:cs="Arial"/>
          <w:spacing w:val="-5"/>
          <w:sz w:val="21"/>
          <w:szCs w:val="21"/>
        </w:rPr>
        <w:t xml:space="preserve"> </w:t>
      </w:r>
      <w:r w:rsidRPr="000A1B8E">
        <w:rPr>
          <w:rFonts w:ascii="Verdana" w:hAnsi="Verdana" w:cs="Arial"/>
          <w:sz w:val="21"/>
          <w:szCs w:val="21"/>
        </w:rPr>
        <w:t xml:space="preserve">generar. </w:t>
      </w:r>
    </w:p>
    <w:p w14:paraId="0D898D46" w14:textId="77777777" w:rsidR="00591DEA" w:rsidRPr="000A1B8E" w:rsidRDefault="00591DEA" w:rsidP="00591DEA">
      <w:pPr>
        <w:spacing w:before="121" w:line="240" w:lineRule="auto"/>
        <w:ind w:left="709" w:right="709"/>
        <w:jc w:val="both"/>
        <w:rPr>
          <w:rFonts w:ascii="Verdana" w:hAnsi="Verdana" w:cs="Arial"/>
          <w:sz w:val="21"/>
          <w:szCs w:val="21"/>
        </w:rPr>
      </w:pPr>
      <w:r w:rsidRPr="000A1B8E">
        <w:rPr>
          <w:rFonts w:ascii="Verdana" w:hAnsi="Verdana" w:cs="Arial"/>
          <w:sz w:val="21"/>
          <w:szCs w:val="21"/>
        </w:rPr>
        <w:t>Por consiguiente, si para alcanzar el objeto contractual se hace necesario corregir errores de diseño o buscar soluciones técnicas alternativas frente a eventos no previstos</w:t>
      </w:r>
      <w:r w:rsidRPr="000A1B8E">
        <w:rPr>
          <w:rFonts w:ascii="Verdana" w:hAnsi="Verdana" w:cs="Arial"/>
          <w:b/>
          <w:sz w:val="21"/>
          <w:szCs w:val="21"/>
        </w:rPr>
        <w:t xml:space="preserve">, </w:t>
      </w:r>
      <w:r w:rsidRPr="000A1B8E">
        <w:rPr>
          <w:rFonts w:ascii="Verdana" w:hAnsi="Verdana" w:cs="Arial"/>
          <w:i/>
          <w:sz w:val="21"/>
          <w:szCs w:val="21"/>
        </w:rPr>
        <w:t xml:space="preserve">la administración está en la posibilidad, y en el deber jurídico, de adecuar los diseños y estudios, así ello implique la ejecución de una mayor cantidad de obra y el desarrollo de obras adicionales al objeto </w:t>
      </w:r>
      <w:r w:rsidRPr="000A1B8E">
        <w:rPr>
          <w:rFonts w:ascii="Verdana" w:hAnsi="Verdana" w:cs="Arial"/>
          <w:sz w:val="21"/>
          <w:szCs w:val="21"/>
        </w:rPr>
        <w:t>contractual, máxime si, como en el caso que nos ocupa, actuar de una manera distinta puede comprometer la estabilidad misma de los trabajos.</w:t>
      </w:r>
    </w:p>
    <w:p w14:paraId="70FD6170" w14:textId="77777777" w:rsidR="00591DEA" w:rsidRPr="000A1B8E" w:rsidRDefault="00591DEA" w:rsidP="00591DEA">
      <w:pPr>
        <w:spacing w:before="120" w:after="0" w:line="240" w:lineRule="auto"/>
        <w:ind w:left="709" w:right="709"/>
        <w:jc w:val="both"/>
        <w:rPr>
          <w:rFonts w:ascii="Verdana" w:hAnsi="Verdana" w:cs="Arial"/>
          <w:sz w:val="21"/>
          <w:szCs w:val="21"/>
        </w:rPr>
      </w:pPr>
      <w:r w:rsidRPr="000A1B8E">
        <w:rPr>
          <w:rFonts w:ascii="Verdana" w:hAnsi="Verdana" w:cs="Arial"/>
          <w:i/>
          <w:sz w:val="21"/>
          <w:szCs w:val="21"/>
        </w:rPr>
        <w:t xml:space="preserve">De lo anterior resulta claro que es un deber de la administración ordenar las modificaciones necesarias para responder por la buena ejecución </w:t>
      </w:r>
      <w:r w:rsidRPr="000A1B8E">
        <w:rPr>
          <w:rFonts w:ascii="Verdana" w:hAnsi="Verdana" w:cs="Arial"/>
          <w:sz w:val="21"/>
          <w:szCs w:val="21"/>
        </w:rPr>
        <w:t>de los trabajos y el logro del fin perseguido con la contratación; es un imperativo de su gestión, al cual no puede sustraerse so pena de incurrir en responsabilidad por omisión, pues iría en contra de lo previsto en el artículo 3º de la Ley 80 de 1993</w:t>
      </w:r>
      <w:r>
        <w:rPr>
          <w:rFonts w:ascii="Verdana" w:hAnsi="Verdana" w:cs="Arial"/>
          <w:sz w:val="21"/>
          <w:szCs w:val="21"/>
        </w:rPr>
        <w:t>”</w:t>
      </w:r>
      <w:r w:rsidRPr="008D191C">
        <w:rPr>
          <w:rFonts w:ascii="Verdana" w:hAnsi="Verdana" w:cs="Arial"/>
          <w:sz w:val="21"/>
          <w:szCs w:val="21"/>
          <w:vertAlign w:val="superscript"/>
        </w:rPr>
        <w:footnoteReference w:id="17"/>
      </w:r>
      <w:r w:rsidRPr="000A1B8E">
        <w:rPr>
          <w:rFonts w:ascii="Verdana" w:hAnsi="Verdana" w:cs="Arial"/>
          <w:sz w:val="21"/>
          <w:szCs w:val="21"/>
        </w:rPr>
        <w:t>. (Énfasis fuera del texto)</w:t>
      </w:r>
    </w:p>
    <w:p w14:paraId="438FE991" w14:textId="77777777" w:rsidR="00591DEA" w:rsidRPr="000A1B8E" w:rsidRDefault="00591DEA" w:rsidP="00591DEA">
      <w:pPr>
        <w:spacing w:after="120"/>
      </w:pPr>
    </w:p>
    <w:p w14:paraId="03003E77" w14:textId="77777777" w:rsidR="00591DEA" w:rsidRPr="00EA29F8" w:rsidRDefault="00591DEA" w:rsidP="00591DEA">
      <w:pPr>
        <w:spacing w:after="0" w:line="276" w:lineRule="auto"/>
        <w:ind w:firstLine="709"/>
        <w:jc w:val="both"/>
        <w:rPr>
          <w:rFonts w:ascii="Verdana" w:hAnsi="Verdana"/>
        </w:rPr>
      </w:pPr>
      <w:r w:rsidRPr="00EA29F8">
        <w:rPr>
          <w:rFonts w:ascii="Verdana" w:hAnsi="Verdana"/>
        </w:rPr>
        <w:t>Dicho lo anterior, es un deber jurídico de la entidad estatal adecuar los diseños y estudios, con el fin de procurar que la ejecución de la obra cumpla con las finalidades previstas. En este sentido, se corrobora que el alcance del objeto del contrato de obra pública permitiría que una de las obligaciones del contratista sea ajustar, revisar y/o modificar los estudios con que cuenta la entidad pública contratante. De hecho, esta situación se prevé en los documentos tipo para la licitación de obra pública de infraestructura de transporte</w:t>
      </w:r>
      <w:r w:rsidRPr="008D191C">
        <w:rPr>
          <w:rFonts w:ascii="Verdana" w:hAnsi="Verdana"/>
          <w:vertAlign w:val="superscript"/>
        </w:rPr>
        <w:footnoteReference w:id="18"/>
      </w:r>
      <w:r w:rsidRPr="00EA29F8">
        <w:rPr>
          <w:rFonts w:ascii="Verdana" w:hAnsi="Verdana"/>
        </w:rPr>
        <w:t>. En el mismo sentido, la doctrina considera lo siguiente:</w:t>
      </w:r>
    </w:p>
    <w:p w14:paraId="3B690617" w14:textId="77777777" w:rsidR="00591DEA" w:rsidRPr="000A1B8E" w:rsidRDefault="00591DEA" w:rsidP="00591DEA">
      <w:pPr>
        <w:spacing w:after="0" w:line="276" w:lineRule="auto"/>
        <w:ind w:firstLine="709"/>
        <w:jc w:val="both"/>
      </w:pPr>
    </w:p>
    <w:p w14:paraId="471B764D" w14:textId="77777777" w:rsidR="00591DEA" w:rsidRPr="000A1B8E" w:rsidRDefault="00591DEA" w:rsidP="00591DEA">
      <w:pPr>
        <w:spacing w:after="0" w:line="240" w:lineRule="auto"/>
        <w:ind w:left="709" w:right="709"/>
        <w:jc w:val="both"/>
        <w:rPr>
          <w:rFonts w:ascii="Verdana" w:hAnsi="Verdana" w:cs="Arial"/>
          <w:sz w:val="21"/>
        </w:rPr>
      </w:pPr>
      <w:r>
        <w:rPr>
          <w:rFonts w:ascii="Verdana" w:hAnsi="Verdana" w:cs="Arial"/>
          <w:sz w:val="21"/>
        </w:rPr>
        <w:t>“</w:t>
      </w:r>
      <w:r w:rsidRPr="000A1B8E">
        <w:rPr>
          <w:rFonts w:ascii="Verdana" w:hAnsi="Verdana" w:cs="Arial"/>
          <w:sz w:val="21"/>
        </w:rPr>
        <w:t xml:space="preserve">A menos de que el contrato se ordene, el constructor no está obligado a revisar ni a completar los diseños constitutivos del proyecto, porque el diseño y la construcción son actividades especializadas. </w:t>
      </w:r>
      <w:r w:rsidRPr="000A1B8E">
        <w:rPr>
          <w:rFonts w:ascii="Verdana" w:hAnsi="Verdana" w:cs="Arial"/>
          <w:i/>
          <w:sz w:val="21"/>
        </w:rPr>
        <w:t xml:space="preserve">Pero en ocasiones el constructor es llamado a verificar y al complementar los diseños, e incluso adoptarlos como suyos. Entonces el dueño le traslada verdaderas obligaciones profesionales tocantes con la concepción misma del proyecto cuya ejecución le ha confiado </w:t>
      </w:r>
      <w:r w:rsidRPr="000A1B8E">
        <w:rPr>
          <w:rFonts w:ascii="Verdana" w:hAnsi="Verdana" w:cs="Arial"/>
          <w:sz w:val="21"/>
        </w:rPr>
        <w:t>[…]</w:t>
      </w:r>
      <w:r>
        <w:rPr>
          <w:rFonts w:ascii="Verdana" w:hAnsi="Verdana" w:cs="Arial"/>
          <w:sz w:val="21"/>
        </w:rPr>
        <w:t>”</w:t>
      </w:r>
      <w:r w:rsidRPr="008D191C">
        <w:rPr>
          <w:rFonts w:ascii="Verdana" w:hAnsi="Verdana" w:cs="Arial"/>
          <w:sz w:val="21"/>
          <w:vertAlign w:val="superscript"/>
        </w:rPr>
        <w:footnoteReference w:id="19"/>
      </w:r>
      <w:r w:rsidRPr="000A1B8E">
        <w:rPr>
          <w:rFonts w:ascii="Verdana" w:hAnsi="Verdana" w:cs="Arial"/>
          <w:sz w:val="21"/>
        </w:rPr>
        <w:t>. (Énfasis fuera de</w:t>
      </w:r>
      <w:r w:rsidRPr="000A1B8E">
        <w:rPr>
          <w:rFonts w:ascii="Verdana" w:hAnsi="Verdana" w:cs="Arial"/>
          <w:spacing w:val="-10"/>
          <w:sz w:val="21"/>
        </w:rPr>
        <w:t xml:space="preserve"> </w:t>
      </w:r>
      <w:r w:rsidRPr="000A1B8E">
        <w:rPr>
          <w:rFonts w:ascii="Verdana" w:hAnsi="Verdana" w:cs="Arial"/>
          <w:sz w:val="21"/>
        </w:rPr>
        <w:t>texto)</w:t>
      </w:r>
    </w:p>
    <w:p w14:paraId="03963F91" w14:textId="77777777" w:rsidR="00591DEA" w:rsidRPr="000A1B8E" w:rsidRDefault="00591DEA" w:rsidP="00591DEA">
      <w:pPr>
        <w:tabs>
          <w:tab w:val="left" w:pos="426"/>
        </w:tabs>
        <w:spacing w:after="0" w:line="276" w:lineRule="auto"/>
        <w:jc w:val="both"/>
        <w:rPr>
          <w:rFonts w:ascii="Verdana" w:hAnsi="Verdana" w:cs="Arial"/>
          <w:b/>
          <w:bCs/>
        </w:rPr>
      </w:pPr>
    </w:p>
    <w:p w14:paraId="36115E1D" w14:textId="77777777" w:rsidR="00591DEA" w:rsidRDefault="00591DEA" w:rsidP="00591DEA">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0A1B8E">
        <w:rPr>
          <w:rFonts w:ascii="Verdana" w:hAnsi="Verdana" w:cs="Arial"/>
          <w:bCs/>
          <w:color w:val="000000" w:themeColor="text1"/>
          <w:lang w:val="es-ES_tradnl"/>
        </w:rPr>
        <w:t xml:space="preserve">Otra de las opciones jurídicas previstas en nuestro ordenamiento jurídico para la elaboración de los estudios y diseños se encuentra en la tipología contractual denominada </w:t>
      </w:r>
      <w:r w:rsidRPr="00E01A7B">
        <w:rPr>
          <w:rFonts w:ascii="Verdana" w:hAnsi="Verdana" w:cs="Arial"/>
          <w:i/>
          <w:color w:val="000000" w:themeColor="text1"/>
          <w:lang w:val="es-ES_tradnl"/>
        </w:rPr>
        <w:t>“llave en mano”.</w:t>
      </w:r>
      <w:r w:rsidRPr="000A1B8E">
        <w:rPr>
          <w:rFonts w:ascii="Verdana" w:hAnsi="Verdana" w:cs="Arial"/>
          <w:bCs/>
          <w:color w:val="000000" w:themeColor="text1"/>
          <w:lang w:val="es-ES_tradnl"/>
        </w:rPr>
        <w:t xml:space="preserve"> En efecto, según la Guía de obra pública, en esta tipología contractual </w:t>
      </w:r>
      <w:r>
        <w:rPr>
          <w:rFonts w:ascii="Verdana" w:hAnsi="Verdana" w:cs="Arial"/>
          <w:bCs/>
          <w:color w:val="000000" w:themeColor="text1"/>
          <w:lang w:val="es-ES_tradnl"/>
        </w:rPr>
        <w:t>“</w:t>
      </w:r>
      <w:r w:rsidRPr="000A1B8E">
        <w:rPr>
          <w:rFonts w:ascii="Verdana" w:hAnsi="Verdana" w:cs="Arial"/>
          <w:bCs/>
          <w:color w:val="000000" w:themeColor="text1"/>
          <w:lang w:val="es-ES_tradnl"/>
        </w:rPr>
        <w:t>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r>
        <w:rPr>
          <w:rFonts w:ascii="Verdana" w:eastAsia="Calibri" w:hAnsi="Verdana" w:cs="Arial"/>
          <w:color w:val="000000" w:themeColor="text1"/>
          <w:lang w:val="es-ES"/>
        </w:rPr>
        <w:t>”</w:t>
      </w:r>
      <w:r w:rsidRPr="008D191C">
        <w:rPr>
          <w:rFonts w:ascii="Verdana" w:eastAsia="Calibri" w:hAnsi="Verdana" w:cs="Arial"/>
          <w:color w:val="000000" w:themeColor="text1"/>
          <w:vertAlign w:val="superscript"/>
          <w:lang w:val="es-ES"/>
        </w:rPr>
        <w:footnoteReference w:id="20"/>
      </w:r>
      <w:r w:rsidRPr="000A1B8E">
        <w:rPr>
          <w:rFonts w:ascii="Verdana" w:eastAsia="Calibri" w:hAnsi="Verdana" w:cs="Arial"/>
          <w:color w:val="000000" w:themeColor="text1"/>
          <w:lang w:val="es-ES"/>
        </w:rPr>
        <w:t>.</w:t>
      </w:r>
    </w:p>
    <w:p w14:paraId="53546077" w14:textId="77777777" w:rsidR="00591DEA" w:rsidRPr="00DC5970" w:rsidRDefault="00591DEA" w:rsidP="00591DEA">
      <w:pPr>
        <w:spacing w:before="120" w:line="276" w:lineRule="auto"/>
        <w:jc w:val="both"/>
        <w:rPr>
          <w:rFonts w:ascii="Verdana" w:eastAsia="Calibri" w:hAnsi="Verdana" w:cs="Arial"/>
          <w:lang w:val="es-ES"/>
        </w:rPr>
      </w:pPr>
      <w:proofErr w:type="spellStart"/>
      <w:r w:rsidRPr="7D35C63F">
        <w:rPr>
          <w:rFonts w:ascii="Verdana" w:eastAsia="Calibri" w:hAnsi="Verdana" w:cs="Arial"/>
          <w:lang w:val="es-ES"/>
        </w:rPr>
        <w:t>iv</w:t>
      </w:r>
      <w:proofErr w:type="spellEnd"/>
      <w:r w:rsidRPr="7D35C63F">
        <w:rPr>
          <w:rFonts w:ascii="Verdana" w:eastAsia="Calibri" w:hAnsi="Verdana" w:cs="Arial"/>
          <w:lang w:val="es-ES"/>
        </w:rPr>
        <w:t xml:space="preserve">. Ahora bien, dentro del Contrato de Obra como tipo contractual regulado en el artículo 32 de la Ley 80 de 1993, existen diversos métodos para determinar el valor y forma de pago, que si bien no están contemplados de manera expresa en la Ley 80 de 1993, pueden pactarse por las partes, teniendo en cuenta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w:t>
      </w:r>
      <w:r w:rsidRPr="7D35C63F">
        <w:rPr>
          <w:rFonts w:ascii="Verdana" w:eastAsia="Calibri" w:hAnsi="Verdana" w:cs="Arial"/>
          <w:lang w:val="es-ES"/>
        </w:rPr>
        <w:lastRenderedPageBreak/>
        <w:t xml:space="preserve">contrarias a la Constitución, la ley, el orden público y a los principios y finalidades de esta Ley y a los de la buena administración. En tal sentido, puede encontrarse diferentes métodos o sistemas de pago: i) Precio Global; </w:t>
      </w:r>
      <w:proofErr w:type="spellStart"/>
      <w:r w:rsidRPr="7D35C63F">
        <w:rPr>
          <w:rFonts w:ascii="Verdana" w:eastAsia="Calibri" w:hAnsi="Verdana" w:cs="Arial"/>
          <w:lang w:val="es-ES"/>
        </w:rPr>
        <w:t>ii</w:t>
      </w:r>
      <w:proofErr w:type="spellEnd"/>
      <w:r w:rsidRPr="7D35C63F">
        <w:rPr>
          <w:rFonts w:ascii="Verdana" w:eastAsia="Calibri" w:hAnsi="Verdana" w:cs="Arial"/>
          <w:lang w:val="es-ES"/>
        </w:rPr>
        <w:t xml:space="preserve">) Precio Unitario; </w:t>
      </w:r>
      <w:proofErr w:type="spellStart"/>
      <w:r w:rsidRPr="7D35C63F">
        <w:rPr>
          <w:rFonts w:ascii="Verdana" w:eastAsia="Calibri" w:hAnsi="Verdana" w:cs="Arial"/>
          <w:lang w:val="es-ES"/>
        </w:rPr>
        <w:t>iii</w:t>
      </w:r>
      <w:proofErr w:type="spellEnd"/>
      <w:r w:rsidRPr="7D35C63F">
        <w:rPr>
          <w:rFonts w:ascii="Verdana" w:eastAsia="Calibri" w:hAnsi="Verdana" w:cs="Arial"/>
          <w:lang w:val="es-ES"/>
        </w:rPr>
        <w:t xml:space="preserve">) Administración </w:t>
      </w:r>
      <w:proofErr w:type="gramStart"/>
      <w:r w:rsidRPr="7D35C63F">
        <w:rPr>
          <w:rFonts w:ascii="Verdana" w:eastAsia="Calibri" w:hAnsi="Verdana" w:cs="Arial"/>
          <w:lang w:val="es-ES"/>
        </w:rPr>
        <w:t>Delegada</w:t>
      </w:r>
      <w:proofErr w:type="gramEnd"/>
      <w:r w:rsidRPr="7D35C63F">
        <w:rPr>
          <w:rFonts w:ascii="Verdana" w:eastAsia="Calibri" w:hAnsi="Verdana" w:cs="Arial"/>
          <w:lang w:val="es-ES"/>
        </w:rPr>
        <w:t xml:space="preserve">; </w:t>
      </w:r>
      <w:proofErr w:type="spellStart"/>
      <w:r w:rsidRPr="7D35C63F">
        <w:rPr>
          <w:rFonts w:ascii="Verdana" w:eastAsia="Calibri" w:hAnsi="Verdana" w:cs="Arial"/>
          <w:lang w:val="es-ES"/>
        </w:rPr>
        <w:t>iv</w:t>
      </w:r>
      <w:proofErr w:type="spellEnd"/>
      <w:r w:rsidRPr="7D35C63F">
        <w:rPr>
          <w:rFonts w:ascii="Verdana" w:eastAsia="Calibri" w:hAnsi="Verdana" w:cs="Arial"/>
          <w:lang w:val="es-ES"/>
        </w:rPr>
        <w:t xml:space="preserve">) Llave en mano, entre otros. </w:t>
      </w:r>
    </w:p>
    <w:p w14:paraId="67059E94" w14:textId="77777777" w:rsidR="00591DEA" w:rsidRDefault="00591DEA" w:rsidP="00591DEA">
      <w:pPr>
        <w:spacing w:before="120" w:line="276" w:lineRule="auto"/>
        <w:ind w:firstLine="707"/>
        <w:jc w:val="both"/>
        <w:rPr>
          <w:rFonts w:ascii="Verdana" w:eastAsia="Calibri" w:hAnsi="Verdana" w:cs="Arial"/>
          <w:color w:val="000000"/>
          <w:lang w:eastAsia="es-ES"/>
        </w:rPr>
      </w:pPr>
      <w:r>
        <w:rPr>
          <w:rFonts w:ascii="Verdana" w:eastAsia="Calibri" w:hAnsi="Verdana" w:cs="Arial"/>
          <w:lang w:val="es-ES_tradnl"/>
        </w:rPr>
        <w:t xml:space="preserve">En torno al Contrato de Obra bajo la modalidad Llave en mano consiste en que </w:t>
      </w:r>
      <w:r w:rsidRPr="001A2179">
        <w:rPr>
          <w:rFonts w:ascii="Verdana" w:eastAsia="Calibri" w:hAnsi="Verdana" w:cs="Arial"/>
          <w:color w:val="000000"/>
          <w:lang w:eastAsia="es-ES"/>
        </w:rPr>
        <w:t>el contratista se obliga a ejecutar la obra desde la fase inicial de diseño y ha</w:t>
      </w:r>
      <w:r>
        <w:rPr>
          <w:rFonts w:ascii="Verdana" w:eastAsia="Calibri" w:hAnsi="Verdana" w:cs="Arial"/>
          <w:color w:val="000000"/>
          <w:lang w:eastAsia="es-ES"/>
        </w:rPr>
        <w:t>sta la puesta en marcha, que también puede denominarse</w:t>
      </w:r>
      <w:r w:rsidRPr="001A2179">
        <w:rPr>
          <w:rFonts w:ascii="Verdana" w:eastAsia="Calibri" w:hAnsi="Verdana" w:cs="Arial"/>
          <w:color w:val="000000"/>
          <w:lang w:eastAsia="es-ES"/>
        </w:rPr>
        <w:t xml:space="preserve"> contrato de </w:t>
      </w:r>
      <w:bookmarkStart w:id="6" w:name="_Hlk134107595"/>
      <w:proofErr w:type="spellStart"/>
      <w:r w:rsidRPr="001A2179">
        <w:rPr>
          <w:rFonts w:ascii="Verdana" w:eastAsia="Calibri" w:hAnsi="Verdana" w:cs="Arial"/>
          <w:color w:val="000000"/>
          <w:lang w:eastAsia="es-ES"/>
        </w:rPr>
        <w:t>Engineering</w:t>
      </w:r>
      <w:proofErr w:type="spellEnd"/>
      <w:r w:rsidRPr="001A2179">
        <w:rPr>
          <w:rFonts w:ascii="Verdana" w:eastAsia="Calibri" w:hAnsi="Verdana" w:cs="Arial"/>
          <w:color w:val="000000"/>
          <w:lang w:eastAsia="es-ES"/>
        </w:rPr>
        <w:t xml:space="preserve">, </w:t>
      </w:r>
      <w:proofErr w:type="spellStart"/>
      <w:r w:rsidRPr="001A2179">
        <w:rPr>
          <w:rFonts w:ascii="Verdana" w:eastAsia="Calibri" w:hAnsi="Verdana" w:cs="Arial"/>
          <w:color w:val="000000"/>
          <w:lang w:eastAsia="es-ES"/>
        </w:rPr>
        <w:t>Procurement</w:t>
      </w:r>
      <w:proofErr w:type="spellEnd"/>
      <w:r w:rsidRPr="001A2179">
        <w:rPr>
          <w:rFonts w:ascii="Verdana" w:eastAsia="Calibri" w:hAnsi="Verdana" w:cs="Arial"/>
          <w:color w:val="000000"/>
          <w:lang w:eastAsia="es-ES"/>
        </w:rPr>
        <w:t xml:space="preserve"> and </w:t>
      </w:r>
      <w:proofErr w:type="spellStart"/>
      <w:r w:rsidRPr="001A2179">
        <w:rPr>
          <w:rFonts w:ascii="Verdana" w:eastAsia="Calibri" w:hAnsi="Verdana" w:cs="Arial"/>
          <w:color w:val="000000"/>
          <w:lang w:eastAsia="es-ES"/>
        </w:rPr>
        <w:t>Construction</w:t>
      </w:r>
      <w:bookmarkEnd w:id="6"/>
      <w:proofErr w:type="spellEnd"/>
      <w:r w:rsidRPr="001A2179">
        <w:rPr>
          <w:rFonts w:ascii="Verdana" w:eastAsia="Calibri" w:hAnsi="Verdana" w:cs="Arial"/>
          <w:color w:val="000000"/>
          <w:lang w:eastAsia="es-ES"/>
        </w:rPr>
        <w:t xml:space="preserve"> –EPC–</w:t>
      </w:r>
      <w:r w:rsidRPr="008D191C">
        <w:rPr>
          <w:rFonts w:ascii="Verdana" w:eastAsia="Calibri" w:hAnsi="Verdana" w:cs="Arial"/>
          <w:color w:val="000000"/>
          <w:vertAlign w:val="superscript"/>
          <w:lang w:eastAsia="es-ES"/>
        </w:rPr>
        <w:footnoteReference w:id="21"/>
      </w:r>
      <w:r w:rsidRPr="001A2179">
        <w:rPr>
          <w:rFonts w:ascii="Verdana" w:eastAsia="Calibri" w:hAnsi="Verdana" w:cs="Arial"/>
          <w:color w:val="000000"/>
          <w:lang w:eastAsia="es-ES"/>
        </w:rPr>
        <w:t>.</w:t>
      </w:r>
      <w:r>
        <w:rPr>
          <w:rFonts w:ascii="Verdana" w:eastAsia="Calibri" w:hAnsi="Verdana" w:cs="Arial"/>
          <w:color w:val="000000"/>
          <w:lang w:eastAsia="es-ES"/>
        </w:rPr>
        <w:t xml:space="preserve"> Estos contratos </w:t>
      </w:r>
      <w:r>
        <w:rPr>
          <w:rFonts w:ascii="Verdana" w:eastAsia="Verdana" w:hAnsi="Verdana" w:cs="Verdana"/>
        </w:rPr>
        <w:t>“[...] están</w:t>
      </w:r>
      <w:r w:rsidRPr="002B657F">
        <w:rPr>
          <w:rFonts w:ascii="Verdana" w:eastAsia="Verdana" w:hAnsi="Verdana" w:cs="Verdana"/>
        </w:rPr>
        <w:t xml:space="preserve"> concebidos para su utilización</w:t>
      </w:r>
      <w:r>
        <w:rPr>
          <w:rFonts w:ascii="Verdana" w:eastAsia="Verdana" w:hAnsi="Verdana" w:cs="Verdana"/>
        </w:rPr>
        <w:t xml:space="preserve"> </w:t>
      </w:r>
      <w:r w:rsidRPr="002B657F">
        <w:rPr>
          <w:rFonts w:ascii="Verdana" w:eastAsia="Verdana" w:hAnsi="Verdana" w:cs="Verdana"/>
        </w:rPr>
        <w:t>en grandes proyectos, en los cuales la certidumbre</w:t>
      </w:r>
      <w:r>
        <w:rPr>
          <w:rFonts w:ascii="Verdana" w:eastAsia="Verdana" w:hAnsi="Verdana" w:cs="Verdana"/>
        </w:rPr>
        <w:t xml:space="preserve"> </w:t>
      </w:r>
      <w:r w:rsidRPr="002B657F">
        <w:rPr>
          <w:rFonts w:ascii="Verdana" w:eastAsia="Verdana" w:hAnsi="Verdana" w:cs="Verdana"/>
        </w:rPr>
        <w:t>sobre el precio final y sobre el plazo de terminación de la</w:t>
      </w:r>
      <w:r>
        <w:rPr>
          <w:rFonts w:ascii="Verdana" w:eastAsia="Verdana" w:hAnsi="Verdana" w:cs="Verdana"/>
        </w:rPr>
        <w:t xml:space="preserve"> </w:t>
      </w:r>
      <w:r w:rsidRPr="002B657F">
        <w:rPr>
          <w:rFonts w:ascii="Verdana" w:eastAsia="Verdana" w:hAnsi="Verdana" w:cs="Verdana"/>
        </w:rPr>
        <w:t>obra es esencial, en la medida en que suelen ser elementos</w:t>
      </w:r>
      <w:r>
        <w:rPr>
          <w:rFonts w:ascii="Verdana" w:eastAsia="Verdana" w:hAnsi="Verdana" w:cs="Verdana"/>
        </w:rPr>
        <w:t xml:space="preserve"> </w:t>
      </w:r>
      <w:r w:rsidRPr="002B657F">
        <w:rPr>
          <w:rFonts w:ascii="Verdana" w:eastAsia="Verdana" w:hAnsi="Verdana" w:cs="Verdana"/>
        </w:rPr>
        <w:t>clave para la obtención de financiación de los proyectos</w:t>
      </w:r>
      <w:r>
        <w:rPr>
          <w:rFonts w:ascii="Verdana" w:eastAsia="Verdana" w:hAnsi="Verdana" w:cs="Verdana"/>
        </w:rPr>
        <w:t>”</w:t>
      </w:r>
      <w:r>
        <w:rPr>
          <w:rStyle w:val="Refdenotaalpie"/>
          <w:rFonts w:ascii="Verdana" w:eastAsia="Verdana" w:hAnsi="Verdana" w:cs="Verdana"/>
        </w:rPr>
        <w:footnoteReference w:id="22"/>
      </w:r>
      <w:r w:rsidRPr="002B657F">
        <w:rPr>
          <w:rFonts w:ascii="Verdana" w:eastAsia="Verdana" w:hAnsi="Verdana" w:cs="Verdana"/>
        </w:rPr>
        <w:t>.</w:t>
      </w:r>
      <w:r>
        <w:rPr>
          <w:rFonts w:ascii="Verdana" w:eastAsia="Verdana" w:hAnsi="Verdana" w:cs="Verdana"/>
        </w:rPr>
        <w:t xml:space="preserve"> </w:t>
      </w:r>
      <w:r w:rsidRPr="001A2179">
        <w:rPr>
          <w:rFonts w:ascii="Verdana" w:eastAsia="Calibri" w:hAnsi="Verdana" w:cs="Arial"/>
          <w:color w:val="000000"/>
          <w:lang w:eastAsia="es-ES"/>
        </w:rPr>
        <w:t>En efecto, según la “Guía para Procesos de Contratación de Obra Pública” expedida por la Agencia, esta es una modalidad en la cual “</w:t>
      </w:r>
      <w:bookmarkStart w:id="7" w:name="_Hlk69292474"/>
      <w:r w:rsidRPr="001A2179">
        <w:rPr>
          <w:rFonts w:ascii="Verdana" w:eastAsia="Calibri" w:hAnsi="Verdana" w:cs="Arial"/>
          <w:color w:val="000000"/>
          <w:lang w:eastAsia="es-ES"/>
        </w:rPr>
        <w:t>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bookmarkEnd w:id="7"/>
      <w:r w:rsidRPr="001A2179">
        <w:rPr>
          <w:rFonts w:ascii="Verdana" w:eastAsia="Calibri" w:hAnsi="Verdana" w:cs="Arial"/>
          <w:color w:val="000000"/>
          <w:lang w:eastAsia="es-ES"/>
        </w:rPr>
        <w:t>”</w:t>
      </w:r>
      <w:r w:rsidRPr="008D191C">
        <w:rPr>
          <w:rFonts w:ascii="Verdana" w:eastAsia="Calibri" w:hAnsi="Verdana" w:cs="Arial"/>
          <w:color w:val="000000"/>
          <w:vertAlign w:val="superscript"/>
          <w:lang w:eastAsia="es-ES"/>
        </w:rPr>
        <w:footnoteReference w:id="23"/>
      </w:r>
      <w:r w:rsidRPr="001A2179">
        <w:rPr>
          <w:rFonts w:ascii="Verdana" w:eastAsia="Calibri" w:hAnsi="Verdana" w:cs="Arial"/>
          <w:color w:val="000000"/>
          <w:lang w:eastAsia="es-ES"/>
        </w:rPr>
        <w:t>. 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 entrega”</w:t>
      </w:r>
      <w:r w:rsidRPr="008D191C">
        <w:rPr>
          <w:rFonts w:ascii="Verdana" w:eastAsia="Calibri" w:hAnsi="Verdana" w:cs="Arial"/>
          <w:color w:val="000000"/>
          <w:vertAlign w:val="superscript"/>
          <w:lang w:eastAsia="es-ES"/>
        </w:rPr>
        <w:footnoteReference w:id="24"/>
      </w:r>
      <w:r w:rsidRPr="001A2179">
        <w:rPr>
          <w:rFonts w:ascii="Verdana" w:eastAsia="Calibri" w:hAnsi="Verdana" w:cs="Arial"/>
          <w:color w:val="000000"/>
          <w:lang w:eastAsia="es-ES"/>
        </w:rPr>
        <w:t>.</w:t>
      </w:r>
    </w:p>
    <w:p w14:paraId="5DA17C70" w14:textId="77777777" w:rsidR="00591DEA" w:rsidRPr="008D191C" w:rsidRDefault="00591DEA" w:rsidP="00591DEA">
      <w:pPr>
        <w:widowControl w:val="0"/>
        <w:autoSpaceDE w:val="0"/>
        <w:autoSpaceDN w:val="0"/>
        <w:spacing w:before="121" w:after="0" w:line="276" w:lineRule="auto"/>
        <w:ind w:firstLine="707"/>
        <w:jc w:val="both"/>
        <w:rPr>
          <w:rFonts w:ascii="Verdana" w:eastAsia="Verdana" w:hAnsi="Verdana" w:cs="Verdana"/>
        </w:rPr>
      </w:pPr>
      <w:r w:rsidRPr="001A2179">
        <w:rPr>
          <w:rFonts w:ascii="Verdana" w:eastAsia="Verdana" w:hAnsi="Verdana" w:cs="Verdana"/>
          <w:lang w:val="es-ES"/>
        </w:rPr>
        <w:t>Por lo tanto, el contrato de ob</w:t>
      </w:r>
      <w:r>
        <w:rPr>
          <w:rFonts w:ascii="Verdana" w:eastAsia="Verdana" w:hAnsi="Verdana" w:cs="Verdana"/>
          <w:lang w:val="es-ES"/>
        </w:rPr>
        <w:t>ra bajo la modalidad de</w:t>
      </w:r>
      <w:r w:rsidRPr="001A2179">
        <w:rPr>
          <w:rFonts w:ascii="Verdana" w:eastAsia="Verdana" w:hAnsi="Verdana" w:cs="Verdana"/>
          <w:lang w:val="es-ES"/>
        </w:rPr>
        <w:t xml:space="preserv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w:t>
      </w:r>
      <w:r w:rsidRPr="001A2179">
        <w:rPr>
          <w:rFonts w:ascii="Verdana" w:eastAsia="Verdana" w:hAnsi="Verdana" w:cs="Verdana"/>
          <w:lang w:val="es-ES"/>
        </w:rPr>
        <w:lastRenderedPageBreak/>
        <w:t>técnicas aplicables, para operar en condiciones de eficiencia y seguridad […]”</w:t>
      </w:r>
      <w:r w:rsidRPr="001A2179">
        <w:rPr>
          <w:rFonts w:ascii="Verdana" w:eastAsia="Verdana" w:hAnsi="Verdana" w:cs="Verdana"/>
          <w:vertAlign w:val="superscript"/>
          <w:lang w:val="es-ES"/>
        </w:rPr>
        <w:footnoteReference w:id="25"/>
      </w:r>
      <w:r w:rsidRPr="001A2179">
        <w:rPr>
          <w:rFonts w:ascii="Verdana" w:eastAsia="Verdana" w:hAnsi="Verdana" w:cs="Verdana"/>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1A2179">
        <w:rPr>
          <w:rFonts w:ascii="Verdana" w:eastAsia="Verdana" w:hAnsi="Verdana" w:cs="Verdana"/>
          <w:vertAlign w:val="superscript"/>
          <w:lang w:val="es-ES"/>
        </w:rPr>
        <w:footnoteReference w:id="26"/>
      </w:r>
      <w:r w:rsidRPr="001A2179">
        <w:rPr>
          <w:rFonts w:ascii="Verdana" w:eastAsia="Verdana" w:hAnsi="Verdana" w:cs="Verdana"/>
          <w:lang w:val="es-ES"/>
        </w:rPr>
        <w:t xml:space="preserve">. </w:t>
      </w:r>
      <w:r w:rsidRPr="008D191C">
        <w:rPr>
          <w:rFonts w:ascii="Verdana" w:eastAsia="Verdana" w:hAnsi="Verdana" w:cs="Verdana"/>
          <w:lang w:val="es-ES"/>
        </w:rPr>
        <w:t>De igual modo, la doctrina expresa:</w:t>
      </w:r>
      <w:r w:rsidRPr="006A1513">
        <w:rPr>
          <w:rFonts w:ascii="Verdana" w:eastAsia="Verdana" w:hAnsi="Verdana" w:cs="Verdana"/>
          <w:lang w:val="es-ES"/>
        </w:rPr>
        <w:t xml:space="preserve"> “</w:t>
      </w:r>
      <w:r w:rsidRPr="008D191C">
        <w:rPr>
          <w:rFonts w:ascii="Verdana" w:hAnsi="Verdana" w:cs="Palatino-Roman"/>
        </w:rPr>
        <w:t>En esta modalidad de contrato el contratista está normalmente obligado a realizar todos los trabajos necesarios para que el comprador reciba una instalación que está lista para ser puesta en operación. Se dice que el contrato es de diseño, construcción y llave en mano cuando el constructor asume también la responsabilidad por el diseño de la infraestructura</w:t>
      </w:r>
      <w:r w:rsidRPr="006A1513">
        <w:rPr>
          <w:rFonts w:ascii="Verdana" w:hAnsi="Verdana" w:cs="Palatino-Roman"/>
        </w:rPr>
        <w:t>”</w:t>
      </w:r>
      <w:r w:rsidRPr="006A1513">
        <w:rPr>
          <w:rFonts w:ascii="Verdana" w:hAnsi="Verdana" w:cs="Palatino-Roman"/>
          <w:vertAlign w:val="superscript"/>
        </w:rPr>
        <w:footnoteReference w:id="27"/>
      </w:r>
      <w:r w:rsidRPr="008D191C">
        <w:rPr>
          <w:rFonts w:ascii="Verdana" w:hAnsi="Verdana" w:cs="Palatino-Roman"/>
        </w:rPr>
        <w:t>.</w:t>
      </w:r>
    </w:p>
    <w:p w14:paraId="172FCB60" w14:textId="77777777" w:rsidR="00591DEA" w:rsidRDefault="00591DEA" w:rsidP="00591DEA">
      <w:pPr>
        <w:widowControl w:val="0"/>
        <w:autoSpaceDE w:val="0"/>
        <w:autoSpaceDN w:val="0"/>
        <w:spacing w:before="121" w:after="0" w:line="276" w:lineRule="auto"/>
        <w:ind w:firstLine="707"/>
        <w:jc w:val="both"/>
        <w:rPr>
          <w:rFonts w:ascii="Verdana" w:eastAsia="Verdana" w:hAnsi="Verdana" w:cs="Verdana"/>
        </w:rPr>
      </w:pPr>
      <w:r w:rsidRPr="001A2179">
        <w:rPr>
          <w:rFonts w:ascii="Verdana" w:eastAsia="Verdana" w:hAnsi="Verdana" w:cs="Verdana"/>
        </w:rPr>
        <w:t>Para la Sección Cuarta del Consejo de Estado, “En virtud del contrato llave en mano, el contratista se compromete a llevar a cabo una obra, incluyendo los estudios previos, la ejecución de la construcción, el suministro de equipos y la puesta en operación de la obra al momento de su entrega. En general, aunque el contrato llave en mano no se limita a la elaboración de una obra material, se ha considerado como una modalidad especial del contrato de obra pública o de construcción de un bien inmueble”</w:t>
      </w:r>
      <w:r w:rsidRPr="005A5354">
        <w:rPr>
          <w:rFonts w:ascii="Verdana" w:eastAsia="Verdana" w:hAnsi="Verdana" w:cs="Verdana"/>
          <w:vertAlign w:val="superscript"/>
        </w:rPr>
        <w:footnoteReference w:id="28"/>
      </w:r>
      <w:r w:rsidRPr="001A2179">
        <w:rPr>
          <w:rFonts w:ascii="Verdana" w:eastAsia="Verdana" w:hAnsi="Verdana" w:cs="Verdana"/>
        </w:rPr>
        <w:t>. Asimismo, la Sala de Consulta y Servicio Civil de esta Corporación, ha señalado que “dentro de las modalidades que puede adoptar el contrato de obra, se encuentra la de “llave en mano”, negocio jurídico que en términos generales consiste en un acuerdo de voluntades en virtud del cual una parte se compromete frente a otra, a cambio de una remuneración, a diseñar, construir y poner en marcha y lista para su funcionamiento una determinada obra”</w:t>
      </w:r>
      <w:r w:rsidRPr="005A5354">
        <w:rPr>
          <w:rFonts w:ascii="Verdana" w:eastAsia="Verdana" w:hAnsi="Verdana" w:cs="Verdana"/>
          <w:vertAlign w:val="superscript"/>
          <w:lang w:val="es-ES"/>
        </w:rPr>
        <w:footnoteReference w:id="29"/>
      </w:r>
      <w:r w:rsidRPr="001A2179">
        <w:rPr>
          <w:rFonts w:ascii="Verdana" w:eastAsia="Verdana" w:hAnsi="Verdana" w:cs="Verdana"/>
        </w:rPr>
        <w:t>. La justicia arbitral también concibe el tema de la misma forma, pues tiene el siguiente entendimiento sobre la expresión “llave en mano” como una modalidad del contrato de obra:</w:t>
      </w:r>
    </w:p>
    <w:p w14:paraId="1F99F0ED" w14:textId="77777777" w:rsidR="00591DEA" w:rsidRPr="009847C5" w:rsidRDefault="00591DEA" w:rsidP="00591DEA">
      <w:pPr>
        <w:widowControl w:val="0"/>
        <w:autoSpaceDE w:val="0"/>
        <w:autoSpaceDN w:val="0"/>
        <w:spacing w:after="0" w:line="276" w:lineRule="auto"/>
        <w:ind w:firstLine="707"/>
        <w:jc w:val="both"/>
        <w:rPr>
          <w:rFonts w:ascii="Verdana" w:eastAsia="Verdana" w:hAnsi="Verdana" w:cs="Verdana"/>
        </w:rPr>
      </w:pPr>
    </w:p>
    <w:p w14:paraId="6FBC7FC6" w14:textId="77777777" w:rsidR="00591DEA" w:rsidRDefault="00591DEA" w:rsidP="00591DEA">
      <w:pPr>
        <w:widowControl w:val="0"/>
        <w:autoSpaceDE w:val="0"/>
        <w:autoSpaceDN w:val="0"/>
        <w:spacing w:after="0" w:line="240" w:lineRule="auto"/>
        <w:ind w:left="709" w:right="709"/>
        <w:jc w:val="both"/>
        <w:rPr>
          <w:rFonts w:ascii="Verdana" w:eastAsia="Verdana" w:hAnsi="Verdana" w:cs="Verdana"/>
          <w:sz w:val="20"/>
          <w:szCs w:val="20"/>
          <w:vertAlign w:val="superscript"/>
        </w:rPr>
      </w:pPr>
      <w:r w:rsidRPr="00E01A7B">
        <w:rPr>
          <w:rFonts w:ascii="Verdana" w:eastAsia="Verdana" w:hAnsi="Verdana" w:cs="Verdana"/>
          <w:sz w:val="20"/>
          <w:szCs w:val="20"/>
        </w:rPr>
        <w:t xml:space="preserve">“Para evitar confusiones hay que aclarar que "llave en mano" es una modalidad de contratación. El ámbito natural de esta modalidad es el contrato de obras, entonces esa será la clase de contrato: de obra, en </w:t>
      </w:r>
      <w:r w:rsidRPr="00E01A7B">
        <w:rPr>
          <w:rFonts w:ascii="Verdana" w:eastAsia="Verdana" w:hAnsi="Verdana" w:cs="Verdana"/>
          <w:sz w:val="20"/>
          <w:szCs w:val="20"/>
        </w:rPr>
        <w:lastRenderedPageBreak/>
        <w:t>oposición a otras clases como suministro, servicios, etc. El contrato "</w:t>
      </w:r>
      <w:proofErr w:type="spellStart"/>
      <w:r w:rsidRPr="00E01A7B">
        <w:rPr>
          <w:rFonts w:ascii="Verdana" w:eastAsia="Verdana" w:hAnsi="Verdana" w:cs="Verdana"/>
          <w:sz w:val="20"/>
          <w:szCs w:val="20"/>
        </w:rPr>
        <w:t>clé</w:t>
      </w:r>
      <w:proofErr w:type="spellEnd"/>
      <w:r w:rsidRPr="00E01A7B">
        <w:rPr>
          <w:rFonts w:ascii="Verdana" w:eastAsia="Verdana" w:hAnsi="Verdana" w:cs="Verdana"/>
          <w:sz w:val="20"/>
          <w:szCs w:val="20"/>
        </w:rPr>
        <w:t xml:space="preserve"> en </w:t>
      </w:r>
      <w:proofErr w:type="spellStart"/>
      <w:r w:rsidRPr="00E01A7B">
        <w:rPr>
          <w:rFonts w:ascii="Verdana" w:eastAsia="Verdana" w:hAnsi="Verdana" w:cs="Verdana"/>
          <w:sz w:val="20"/>
          <w:szCs w:val="20"/>
        </w:rPr>
        <w:t>main</w:t>
      </w:r>
      <w:proofErr w:type="spellEnd"/>
      <w:r w:rsidRPr="00E01A7B">
        <w:rPr>
          <w:rFonts w:ascii="Verdana" w:eastAsia="Verdana" w:hAnsi="Verdana" w:cs="Verdana"/>
          <w:sz w:val="20"/>
          <w:szCs w:val="20"/>
        </w:rPr>
        <w:t xml:space="preserve">”, implica especialización del </w:t>
      </w:r>
      <w:proofErr w:type="gramStart"/>
      <w:r w:rsidRPr="00E01A7B">
        <w:rPr>
          <w:rFonts w:ascii="Verdana" w:eastAsia="Verdana" w:hAnsi="Verdana" w:cs="Verdana"/>
          <w:sz w:val="20"/>
          <w:szCs w:val="20"/>
        </w:rPr>
        <w:t>contratista</w:t>
      </w:r>
      <w:proofErr w:type="gramEnd"/>
      <w:r w:rsidRPr="00E01A7B">
        <w:rPr>
          <w:rFonts w:ascii="Verdana" w:eastAsia="Verdana" w:hAnsi="Verdana" w:cs="Verdana"/>
          <w:sz w:val="20"/>
          <w:szCs w:val="20"/>
        </w:rPr>
        <w:t xml:space="preserve"> así como la obligación de este de entregar un producto plenamente terminado y en “marcha”. Para ello asume una obligación global de realizar todas las prestaciones necesarias, coadyuvantes o complementarias de la obra a realizar.</w:t>
      </w:r>
      <w:r w:rsidRPr="00E01A7B">
        <w:rPr>
          <w:rFonts w:eastAsia="Calibri"/>
          <w:b/>
          <w:i/>
          <w:sz w:val="18"/>
          <w:szCs w:val="18"/>
          <w:lang w:val="es-ES_tradnl"/>
        </w:rPr>
        <w:t xml:space="preserve"> </w:t>
      </w:r>
      <w:r w:rsidRPr="00E01A7B">
        <w:rPr>
          <w:rFonts w:ascii="Verdana" w:eastAsia="Verdana" w:hAnsi="Verdana" w:cs="Verdana"/>
          <w:sz w:val="20"/>
          <w:szCs w:val="20"/>
          <w:lang w:val="es-ES_tradnl"/>
        </w:rPr>
        <w:t xml:space="preserve">Lo anterior, en la mayoría de los casos puede tener como efecto que las ofertas tiendan a ser sumamente complejas por lo que se tiende a formas directas de elección del contratista, esto es, en la búsqueda del contratista especializado que permita poner en funcionamiento el servicio. En virtud de lo anterior se clasifican los contratos llave en mano como: </w:t>
      </w:r>
      <w:r w:rsidRPr="00E01A7B">
        <w:rPr>
          <w:rFonts w:ascii="Verdana" w:eastAsia="Verdana" w:hAnsi="Verdana" w:cs="Verdana"/>
          <w:bCs/>
          <w:sz w:val="20"/>
          <w:szCs w:val="20"/>
          <w:lang w:val="es-ES_tradnl"/>
        </w:rPr>
        <w:t>Contratos "llave en mano" mixtos.</w:t>
      </w:r>
      <w:r w:rsidRPr="00E01A7B">
        <w:rPr>
          <w:rFonts w:ascii="Verdana" w:eastAsia="Verdana" w:hAnsi="Verdana" w:cs="Verdana"/>
          <w:sz w:val="20"/>
          <w:szCs w:val="20"/>
          <w:lang w:val="es-ES_tradnl"/>
        </w:rPr>
        <w:t xml:space="preserve"> Cuando una parte del proyecto es tradicional (obra tradicional) y la otra es llave en mano, en cuanto se pone en funcionamiento pleno el servicio. </w:t>
      </w:r>
      <w:r w:rsidRPr="00E01A7B">
        <w:rPr>
          <w:rFonts w:ascii="Verdana" w:eastAsia="Verdana" w:hAnsi="Verdana" w:cs="Verdana"/>
          <w:bCs/>
          <w:sz w:val="20"/>
          <w:szCs w:val="20"/>
          <w:lang w:val="es-ES_tradnl"/>
        </w:rPr>
        <w:t>Contratos "llave en mano" parciales.</w:t>
      </w:r>
      <w:r w:rsidRPr="00E01A7B">
        <w:rPr>
          <w:rFonts w:ascii="Verdana" w:eastAsia="Verdana" w:hAnsi="Verdana" w:cs="Verdana"/>
          <w:sz w:val="20"/>
          <w:szCs w:val="20"/>
          <w:lang w:val="es-ES_tradnl"/>
        </w:rPr>
        <w:t xml:space="preserve"> Cuando se contrata de forma tradicional todo el proyecto (obra), pero se subcontrata su puesta plena en funcionamiento. </w:t>
      </w:r>
      <w:r w:rsidRPr="00E01A7B">
        <w:rPr>
          <w:rFonts w:ascii="Verdana" w:eastAsia="Verdana" w:hAnsi="Verdana" w:cs="Verdana"/>
          <w:bCs/>
          <w:sz w:val="20"/>
          <w:szCs w:val="20"/>
          <w:lang w:val="es-ES_tradnl"/>
        </w:rPr>
        <w:t>Contratos semi "llave en mano".</w:t>
      </w:r>
      <w:r w:rsidRPr="00E01A7B">
        <w:rPr>
          <w:rFonts w:ascii="Verdana" w:eastAsia="Verdana" w:hAnsi="Verdana" w:cs="Verdana"/>
          <w:sz w:val="20"/>
          <w:szCs w:val="20"/>
          <w:lang w:val="es-ES_tradnl"/>
        </w:rPr>
        <w:t xml:space="preserve"> Cuando el contratante celebra varios contratos siendo uno de ellos llave en mano y encarga a este último contratista la coordinación de los demás contratos. Con base en la diferencia de contenidos en la práctica: </w:t>
      </w:r>
      <w:r w:rsidRPr="00E01A7B">
        <w:rPr>
          <w:rFonts w:ascii="Verdana" w:eastAsia="Verdana" w:hAnsi="Verdana" w:cs="Verdana"/>
          <w:bCs/>
          <w:sz w:val="20"/>
          <w:szCs w:val="20"/>
          <w:lang w:val="es-ES_tradnl"/>
        </w:rPr>
        <w:t>Contratos "llave en mano" simples o parciales.</w:t>
      </w:r>
      <w:r w:rsidRPr="00E01A7B">
        <w:rPr>
          <w:rFonts w:ascii="Verdana" w:eastAsia="Verdana" w:hAnsi="Verdana" w:cs="Verdana"/>
          <w:sz w:val="20"/>
          <w:szCs w:val="20"/>
          <w:lang w:val="es-ES_tradnl"/>
        </w:rPr>
        <w:t xml:space="preserve"> Cuando el contratista concibe la obra, suministra bienes de equipo y materiales y pone en funcionamiento la obra de conformidad a lo estipulado en el contrato mientras que el contratante realiza la instalación bajo la supervisión y asistencia del primero. </w:t>
      </w:r>
      <w:r w:rsidRPr="00E01A7B">
        <w:rPr>
          <w:rFonts w:ascii="Verdana" w:eastAsia="Verdana" w:hAnsi="Verdana" w:cs="Verdana"/>
          <w:bCs/>
          <w:sz w:val="20"/>
          <w:szCs w:val="20"/>
          <w:lang w:val="es-ES_tradnl"/>
        </w:rPr>
        <w:t>Contratos "llave en mano" completos o clásicos.</w:t>
      </w:r>
      <w:r w:rsidRPr="00E01A7B">
        <w:rPr>
          <w:rFonts w:ascii="Verdana" w:eastAsia="Verdana" w:hAnsi="Verdana" w:cs="Verdana"/>
          <w:sz w:val="20"/>
          <w:szCs w:val="20"/>
          <w:lang w:val="es-ES_tradnl"/>
        </w:rPr>
        <w:t xml:space="preserve"> Cuando el contratista concibe, construye y pone en funcionamiento del proyecto. </w:t>
      </w:r>
      <w:r w:rsidRPr="00E01A7B">
        <w:rPr>
          <w:rFonts w:ascii="Verdana" w:eastAsia="Verdana" w:hAnsi="Verdana" w:cs="Verdana"/>
          <w:bCs/>
          <w:sz w:val="20"/>
          <w:szCs w:val="20"/>
          <w:lang w:val="es-ES_tradnl"/>
        </w:rPr>
        <w:t xml:space="preserve">Contratos "llave en mano" de funcionamiento amplio. </w:t>
      </w:r>
      <w:r w:rsidRPr="00E01A7B">
        <w:rPr>
          <w:rFonts w:ascii="Verdana" w:eastAsia="Verdana" w:hAnsi="Verdana" w:cs="Verdana"/>
          <w:sz w:val="20"/>
          <w:szCs w:val="20"/>
          <w:lang w:val="es-ES_tradnl"/>
        </w:rPr>
        <w:t>Cuando junto a las prestaciones clásicas del contrato (</w:t>
      </w:r>
      <w:proofErr w:type="spellStart"/>
      <w:r w:rsidRPr="00E01A7B">
        <w:rPr>
          <w:rFonts w:ascii="Verdana" w:eastAsia="Verdana" w:hAnsi="Verdana" w:cs="Verdana"/>
          <w:sz w:val="20"/>
          <w:szCs w:val="20"/>
          <w:lang w:val="es-ES_tradnl"/>
        </w:rPr>
        <w:t>vgr</w:t>
      </w:r>
      <w:proofErr w:type="spellEnd"/>
      <w:r w:rsidRPr="00E01A7B">
        <w:rPr>
          <w:rFonts w:ascii="Verdana" w:eastAsia="Verdana" w:hAnsi="Verdana" w:cs="Verdana"/>
          <w:sz w:val="20"/>
          <w:szCs w:val="20"/>
          <w:lang w:val="es-ES_tradnl"/>
        </w:rPr>
        <w:t>. Ejecución de obra) el contratista asume otras obligaciones complementarias relativas a la formación del personal local (capacitación y seguimiento) o asistencia técnica para el funcionamiento</w:t>
      </w:r>
      <w:r w:rsidRPr="00E01A7B">
        <w:rPr>
          <w:rFonts w:ascii="Verdana" w:eastAsia="Verdana" w:hAnsi="Verdana" w:cs="Verdana"/>
          <w:sz w:val="20"/>
          <w:szCs w:val="20"/>
        </w:rPr>
        <w:t>”</w:t>
      </w:r>
      <w:r w:rsidRPr="00E01A7B">
        <w:rPr>
          <w:rFonts w:ascii="Verdana" w:eastAsia="Verdana" w:hAnsi="Verdana" w:cs="Verdana"/>
          <w:sz w:val="20"/>
          <w:szCs w:val="20"/>
          <w:vertAlign w:val="superscript"/>
        </w:rPr>
        <w:footnoteReference w:id="30"/>
      </w:r>
      <w:r w:rsidRPr="00E01A7B">
        <w:rPr>
          <w:rFonts w:ascii="Verdana" w:eastAsia="Verdana" w:hAnsi="Verdana" w:cs="Verdana"/>
          <w:sz w:val="20"/>
          <w:szCs w:val="20"/>
          <w:vertAlign w:val="superscript"/>
        </w:rPr>
        <w:t xml:space="preserve">. </w:t>
      </w:r>
    </w:p>
    <w:p w14:paraId="2D7EBA4E" w14:textId="77777777" w:rsidR="00591DEA" w:rsidRDefault="00591DEA" w:rsidP="00591DEA">
      <w:pPr>
        <w:widowControl w:val="0"/>
        <w:autoSpaceDE w:val="0"/>
        <w:autoSpaceDN w:val="0"/>
        <w:spacing w:after="0" w:line="240" w:lineRule="auto"/>
        <w:ind w:left="709" w:right="709"/>
        <w:jc w:val="both"/>
        <w:rPr>
          <w:rFonts w:ascii="Verdana" w:eastAsia="Verdana" w:hAnsi="Verdana" w:cs="Verdana"/>
          <w:sz w:val="20"/>
          <w:szCs w:val="20"/>
          <w:vertAlign w:val="superscript"/>
        </w:rPr>
      </w:pPr>
    </w:p>
    <w:p w14:paraId="71BE010C" w14:textId="77777777" w:rsidR="00591DEA" w:rsidRDefault="00591DEA" w:rsidP="00591DEA">
      <w:pPr>
        <w:widowControl w:val="0"/>
        <w:autoSpaceDE w:val="0"/>
        <w:autoSpaceDN w:val="0"/>
        <w:spacing w:before="121" w:after="0" w:line="276" w:lineRule="auto"/>
        <w:ind w:firstLine="707"/>
        <w:jc w:val="both"/>
        <w:rPr>
          <w:rFonts w:ascii="Verdana" w:eastAsia="Verdana" w:hAnsi="Verdana" w:cs="Verdana"/>
        </w:rPr>
      </w:pPr>
      <w:r>
        <w:rPr>
          <w:rFonts w:ascii="Verdana" w:eastAsia="Verdana" w:hAnsi="Verdana" w:cs="Verdana"/>
        </w:rPr>
        <w:t>A partir de lo expuesto</w:t>
      </w:r>
      <w:r w:rsidRPr="009847C5">
        <w:rPr>
          <w:rFonts w:ascii="Verdana" w:eastAsia="Verdana" w:hAnsi="Verdana" w:cs="Verdana"/>
        </w:rPr>
        <w:t>, aunque el contrato llave en mano no se limita a la elaboración de una obra material, se ha considerado por parte de la jurisprudencia y de la doctrina como una modalidad especial del contrato de obra pública o de construcción de un bien inmueble</w:t>
      </w:r>
      <w:r w:rsidRPr="009847C5">
        <w:rPr>
          <w:rFonts w:ascii="Verdana" w:eastAsia="Verdana" w:hAnsi="Verdana" w:cs="Verdana"/>
          <w:vertAlign w:val="superscript"/>
        </w:rPr>
        <w:footnoteReference w:id="31"/>
      </w:r>
      <w:hyperlink r:id="rId14" w:anchor="_ftn1" w:history="1">
        <w:r w:rsidRPr="008D191C">
          <w:rPr>
            <w:rFonts w:ascii="Verdana" w:eastAsia="Verdana" w:hAnsi="Verdana" w:cs="Verdana"/>
            <w:color w:val="0000FF"/>
            <w:u w:val="single"/>
          </w:rPr>
          <w:t> </w:t>
        </w:r>
      </w:hyperlink>
      <w:r w:rsidRPr="009847C5">
        <w:rPr>
          <w:rFonts w:ascii="Verdana" w:eastAsia="Verdana" w:hAnsi="Verdana" w:cs="Verdana"/>
        </w:rPr>
        <w:t xml:space="preserve">. </w:t>
      </w:r>
      <w:r w:rsidRPr="001A2179">
        <w:rPr>
          <w:rFonts w:ascii="Verdana" w:eastAsia="Verdana" w:hAnsi="Verdana" w:cs="Verdana"/>
        </w:rPr>
        <w:t>Igualmente, en la doctrina se concibe como una modalidad de pago del contrato de obra en la que el contratista se compromete a realizar la totalidad de los anteproyectos, proyectos, estudios y diseños de obra requeridos y la ejecución material de las obras, instalaciones y suministros</w:t>
      </w:r>
      <w:r w:rsidRPr="009847C5">
        <w:rPr>
          <w:rFonts w:ascii="Verdana" w:eastAsia="Verdana" w:hAnsi="Verdana" w:cs="Verdana"/>
          <w:vertAlign w:val="superscript"/>
        </w:rPr>
        <w:footnoteReference w:id="32"/>
      </w:r>
      <w:r w:rsidRPr="001A2179">
        <w:rPr>
          <w:rFonts w:ascii="Verdana" w:eastAsia="Verdana" w:hAnsi="Verdana" w:cs="Verdana"/>
        </w:rPr>
        <w:t>.</w:t>
      </w:r>
    </w:p>
    <w:p w14:paraId="213B2AD6" w14:textId="77777777" w:rsidR="00591DEA" w:rsidRPr="008D191C" w:rsidRDefault="00591DEA" w:rsidP="00591DEA">
      <w:pPr>
        <w:widowControl w:val="0"/>
        <w:autoSpaceDE w:val="0"/>
        <w:autoSpaceDN w:val="0"/>
        <w:spacing w:before="121" w:after="0" w:line="276" w:lineRule="auto"/>
        <w:ind w:firstLine="707"/>
        <w:jc w:val="both"/>
        <w:rPr>
          <w:rFonts w:ascii="Verdana" w:eastAsia="Verdana" w:hAnsi="Verdana" w:cs="Verdana"/>
        </w:rPr>
      </w:pPr>
      <w:r w:rsidRPr="008D191C">
        <w:rPr>
          <w:rFonts w:ascii="Verdana" w:eastAsia="Verdana" w:hAnsi="Verdana" w:cs="Verdana"/>
        </w:rPr>
        <w:lastRenderedPageBreak/>
        <w:t xml:space="preserve">Como se ha expresado, dicha modalidad se caracteriza porque se incluye los estudios, diseños, ejecución de la obra –en los eventos que aplique- en un solo contrato. En todo caso, dicho contrato implica que el presupuesto corresponde a un valor previamente establecido que aplica como remuneración por todas las gestiones que adelanta el contratista. De tal modo, en dicha modalidad se requiere que el contratista: a) </w:t>
      </w:r>
      <w:r>
        <w:rPr>
          <w:rFonts w:ascii="Verdana" w:eastAsia="Verdana" w:hAnsi="Verdana" w:cs="Verdana"/>
        </w:rPr>
        <w:t xml:space="preserve">cumpla </w:t>
      </w:r>
      <w:r w:rsidRPr="008D191C">
        <w:rPr>
          <w:rFonts w:ascii="Verdana" w:eastAsia="Verdana" w:hAnsi="Verdana" w:cs="Verdana"/>
        </w:rPr>
        <w:t xml:space="preserve">las obligaciones que hacen parte de cada una de las </w:t>
      </w:r>
      <w:r>
        <w:rPr>
          <w:rFonts w:ascii="Verdana" w:eastAsia="Verdana" w:hAnsi="Verdana" w:cs="Verdana"/>
        </w:rPr>
        <w:t>fases</w:t>
      </w:r>
      <w:r w:rsidRPr="008D191C">
        <w:rPr>
          <w:rFonts w:ascii="Verdana" w:eastAsia="Verdana" w:hAnsi="Verdana" w:cs="Verdana"/>
        </w:rPr>
        <w:t xml:space="preserve"> d</w:t>
      </w:r>
      <w:r>
        <w:rPr>
          <w:rFonts w:ascii="Verdana" w:eastAsia="Verdana" w:hAnsi="Verdana" w:cs="Verdana"/>
        </w:rPr>
        <w:t>e ejecución del</w:t>
      </w:r>
      <w:r w:rsidRPr="008D191C">
        <w:rPr>
          <w:rFonts w:ascii="Verdana" w:eastAsia="Verdana" w:hAnsi="Verdana" w:cs="Verdana"/>
        </w:rPr>
        <w:t xml:space="preserve"> contrato</w:t>
      </w:r>
      <w:r>
        <w:rPr>
          <w:rFonts w:ascii="Verdana" w:eastAsia="Verdana" w:hAnsi="Verdana" w:cs="Verdana"/>
        </w:rPr>
        <w:t>, asumiendo los riesgos asociados a cada una de ellas; b) se haga cargo de verificar todas</w:t>
      </w:r>
      <w:r w:rsidRPr="008D191C">
        <w:rPr>
          <w:rFonts w:ascii="Verdana" w:eastAsia="Verdana" w:hAnsi="Verdana" w:cs="Verdana"/>
        </w:rPr>
        <w:t xml:space="preserve"> las interferencias </w:t>
      </w:r>
      <w:r>
        <w:rPr>
          <w:rFonts w:ascii="Verdana" w:eastAsia="Verdana" w:hAnsi="Verdana" w:cs="Verdana"/>
        </w:rPr>
        <w:t>que puedan</w:t>
      </w:r>
      <w:r w:rsidRPr="008D191C">
        <w:rPr>
          <w:rFonts w:ascii="Verdana" w:eastAsia="Verdana" w:hAnsi="Verdana" w:cs="Verdana"/>
        </w:rPr>
        <w:t xml:space="preserve"> </w:t>
      </w:r>
      <w:r>
        <w:rPr>
          <w:rFonts w:ascii="Verdana" w:eastAsia="Verdana" w:hAnsi="Verdana" w:cs="Verdana"/>
        </w:rPr>
        <w:t xml:space="preserve">presentarse entre </w:t>
      </w:r>
      <w:r w:rsidRPr="008D191C">
        <w:rPr>
          <w:rFonts w:ascii="Verdana" w:eastAsia="Verdana" w:hAnsi="Verdana" w:cs="Verdana"/>
        </w:rPr>
        <w:t xml:space="preserve">las diferentes disciplinas </w:t>
      </w:r>
      <w:r>
        <w:rPr>
          <w:rFonts w:ascii="Verdana" w:eastAsia="Verdana" w:hAnsi="Verdana" w:cs="Verdana"/>
        </w:rPr>
        <w:t>a luz de las cuales se elaboran los estudios y</w:t>
      </w:r>
      <w:r w:rsidRPr="008D191C">
        <w:rPr>
          <w:rFonts w:ascii="Verdana" w:eastAsia="Verdana" w:hAnsi="Verdana" w:cs="Verdana"/>
        </w:rPr>
        <w:t xml:space="preserve"> diseños para la ej</w:t>
      </w:r>
      <w:r>
        <w:rPr>
          <w:rFonts w:ascii="Verdana" w:eastAsia="Verdana" w:hAnsi="Verdana" w:cs="Verdana"/>
        </w:rPr>
        <w:t>ecución del proyecto; c) constituya garantías que amparen todas fases del contrato</w:t>
      </w:r>
      <w:r w:rsidRPr="008D191C">
        <w:rPr>
          <w:rFonts w:ascii="Verdana" w:eastAsia="Verdana" w:hAnsi="Verdana" w:cs="Verdana"/>
        </w:rPr>
        <w:t>.  Por otro lado,</w:t>
      </w:r>
      <w:r>
        <w:rPr>
          <w:rFonts w:ascii="Verdana" w:eastAsia="Verdana" w:hAnsi="Verdana" w:cs="Verdana"/>
        </w:rPr>
        <w:t xml:space="preserve"> es necesario que</w:t>
      </w:r>
      <w:r w:rsidRPr="008D191C">
        <w:rPr>
          <w:rFonts w:ascii="Verdana" w:eastAsia="Verdana" w:hAnsi="Verdana" w:cs="Verdana"/>
        </w:rPr>
        <w:t xml:space="preserve"> la entidad contratante: a) </w:t>
      </w:r>
      <w:r>
        <w:rPr>
          <w:rFonts w:ascii="Verdana" w:eastAsia="Verdana" w:hAnsi="Verdana" w:cs="Verdana"/>
        </w:rPr>
        <w:t>revise</w:t>
      </w:r>
      <w:r w:rsidRPr="008D191C">
        <w:rPr>
          <w:rFonts w:ascii="Verdana" w:eastAsia="Verdana" w:hAnsi="Verdana" w:cs="Verdana"/>
          <w:lang w:val="es-ES"/>
        </w:rPr>
        <w:t xml:space="preserve"> la estructuración, con el fin de que la ejecució</w:t>
      </w:r>
      <w:r>
        <w:rPr>
          <w:rFonts w:ascii="Verdana" w:eastAsia="Verdana" w:hAnsi="Verdana" w:cs="Verdana"/>
          <w:lang w:val="es-ES"/>
        </w:rPr>
        <w:t>n de este tipo de contratos traiga</w:t>
      </w:r>
      <w:r w:rsidRPr="008D191C">
        <w:rPr>
          <w:rFonts w:ascii="Verdana" w:eastAsia="Verdana" w:hAnsi="Verdana" w:cs="Verdana"/>
          <w:lang w:val="es-ES"/>
        </w:rPr>
        <w:t xml:space="preserve"> consigo ventajas como la reducción de tiempos y la optimización de costos; b) </w:t>
      </w:r>
      <w:r>
        <w:rPr>
          <w:rFonts w:ascii="Verdana" w:eastAsia="Verdana" w:hAnsi="Verdana" w:cs="Verdana"/>
          <w:lang w:val="es-ES"/>
        </w:rPr>
        <w:t xml:space="preserve">revise </w:t>
      </w:r>
      <w:r>
        <w:rPr>
          <w:rFonts w:ascii="Verdana" w:eastAsia="Verdana" w:hAnsi="Verdana" w:cs="Verdana"/>
        </w:rPr>
        <w:t>el término</w:t>
      </w:r>
      <w:r w:rsidRPr="008D191C">
        <w:rPr>
          <w:rFonts w:ascii="Verdana" w:eastAsia="Verdana" w:hAnsi="Verdana" w:cs="Verdana"/>
        </w:rPr>
        <w:t xml:space="preserve"> de ejecución de la obra, y determinar la forma de pago más adecuada, conforme al proyecto a desarrollar. En torno a las ventajas y riesgos de esta modalidad de contratación de obra, la doctrina expresa:</w:t>
      </w:r>
    </w:p>
    <w:p w14:paraId="75E728C8" w14:textId="77777777" w:rsidR="00591DEA" w:rsidRPr="008D191C" w:rsidRDefault="00591DEA" w:rsidP="00591DEA">
      <w:pPr>
        <w:widowControl w:val="0"/>
        <w:autoSpaceDE w:val="0"/>
        <w:autoSpaceDN w:val="0"/>
        <w:spacing w:after="0" w:line="276" w:lineRule="auto"/>
        <w:ind w:firstLine="707"/>
        <w:jc w:val="both"/>
        <w:rPr>
          <w:rFonts w:ascii="Verdana" w:eastAsia="Verdana" w:hAnsi="Verdana" w:cs="Verdana"/>
        </w:rPr>
      </w:pPr>
    </w:p>
    <w:p w14:paraId="40148714" w14:textId="77777777" w:rsidR="00591DEA" w:rsidRPr="008D191C" w:rsidRDefault="00591DEA" w:rsidP="00591DEA">
      <w:pPr>
        <w:widowControl w:val="0"/>
        <w:autoSpaceDE w:val="0"/>
        <w:autoSpaceDN w:val="0"/>
        <w:spacing w:after="0" w:line="240" w:lineRule="auto"/>
        <w:ind w:left="709" w:right="709"/>
        <w:jc w:val="both"/>
        <w:rPr>
          <w:rFonts w:ascii="Verdana" w:eastAsia="Verdana" w:hAnsi="Verdana" w:cs="Verdana"/>
          <w:sz w:val="21"/>
          <w:szCs w:val="21"/>
        </w:rPr>
      </w:pPr>
      <w:r>
        <w:rPr>
          <w:rFonts w:ascii="Verdana" w:eastAsia="Verdana" w:hAnsi="Verdana" w:cs="Verdana"/>
          <w:sz w:val="21"/>
          <w:szCs w:val="21"/>
        </w:rPr>
        <w:t>“</w:t>
      </w:r>
      <w:r w:rsidRPr="008D191C">
        <w:rPr>
          <w:rFonts w:ascii="Verdana" w:eastAsia="Verdana" w:hAnsi="Verdana" w:cs="Verdana"/>
          <w:sz w:val="21"/>
          <w:szCs w:val="21"/>
        </w:rPr>
        <w:t xml:space="preserve">En este método se contrata simultáneamente el diseño y la construcción de una obra determinada, que debe cumplir con ciertos objetivos específicos de performance, los que están establecidos muy claramente en el contrato. La diferencia fundamental con el modelo </w:t>
      </w:r>
      <w:proofErr w:type="gramStart"/>
      <w:r w:rsidRPr="008D191C">
        <w:rPr>
          <w:rFonts w:ascii="Verdana" w:eastAsia="Verdana" w:hAnsi="Verdana" w:cs="Verdana"/>
          <w:sz w:val="21"/>
          <w:szCs w:val="21"/>
        </w:rPr>
        <w:t>anterior,</w:t>
      </w:r>
      <w:proofErr w:type="gramEnd"/>
      <w:r w:rsidRPr="008D191C">
        <w:rPr>
          <w:rFonts w:ascii="Verdana" w:eastAsia="Verdana" w:hAnsi="Verdana" w:cs="Verdana"/>
          <w:sz w:val="21"/>
          <w:szCs w:val="21"/>
        </w:rPr>
        <w:t xml:space="preserve"> es que la información sobre la cual basa el precio el oferente es más limitada dependiendo del nivel de estudios de prefactibilidad con que se disponga al momento de realizar la invitación a ofertar. En estos casos idealmente se debe disponer de estudios de factibilidad o prediseños, los cuales permiten acotar el costo de la obra, no </w:t>
      </w:r>
      <w:proofErr w:type="gramStart"/>
      <w:r w:rsidRPr="008D191C">
        <w:rPr>
          <w:rFonts w:ascii="Verdana" w:eastAsia="Verdana" w:hAnsi="Verdana" w:cs="Verdana"/>
          <w:sz w:val="21"/>
          <w:szCs w:val="21"/>
        </w:rPr>
        <w:t>obstante</w:t>
      </w:r>
      <w:proofErr w:type="gramEnd"/>
      <w:r w:rsidRPr="008D191C">
        <w:rPr>
          <w:rFonts w:ascii="Verdana" w:eastAsia="Verdana" w:hAnsi="Verdana" w:cs="Verdana"/>
          <w:sz w:val="21"/>
          <w:szCs w:val="21"/>
        </w:rPr>
        <w:t xml:space="preserve"> los mismos por lo general no permiten establecer con seguridad los contratiempos que se pueden encontrar durante la construcción. Aquí el mandante debe ser muy claro en especificar el alcance de los suministros y servicios a ser contratados, y los resultados esperados al recibir el proyecto. </w:t>
      </w:r>
    </w:p>
    <w:p w14:paraId="6E8EDF02" w14:textId="77777777" w:rsidR="00591DEA" w:rsidRPr="008D191C" w:rsidRDefault="00591DEA" w:rsidP="00591DEA">
      <w:pPr>
        <w:widowControl w:val="0"/>
        <w:autoSpaceDE w:val="0"/>
        <w:autoSpaceDN w:val="0"/>
        <w:spacing w:after="0" w:line="240" w:lineRule="auto"/>
        <w:ind w:left="709" w:right="709"/>
        <w:jc w:val="both"/>
        <w:rPr>
          <w:rFonts w:ascii="Verdana" w:eastAsia="Verdana" w:hAnsi="Verdana" w:cs="Verdana"/>
          <w:sz w:val="21"/>
          <w:szCs w:val="21"/>
        </w:rPr>
      </w:pPr>
    </w:p>
    <w:p w14:paraId="7A0E3A45" w14:textId="77777777" w:rsidR="00591DEA" w:rsidRPr="008D191C" w:rsidRDefault="00591DEA" w:rsidP="00591DEA">
      <w:pPr>
        <w:widowControl w:val="0"/>
        <w:autoSpaceDE w:val="0"/>
        <w:autoSpaceDN w:val="0"/>
        <w:spacing w:after="0" w:line="240" w:lineRule="auto"/>
        <w:ind w:left="709" w:right="709"/>
        <w:jc w:val="both"/>
        <w:rPr>
          <w:rFonts w:ascii="Verdana" w:eastAsia="Verdana" w:hAnsi="Verdana" w:cs="Verdana"/>
          <w:sz w:val="21"/>
          <w:szCs w:val="21"/>
        </w:rPr>
      </w:pPr>
      <w:r w:rsidRPr="008D191C">
        <w:rPr>
          <w:rFonts w:ascii="Verdana" w:eastAsia="Verdana" w:hAnsi="Verdana" w:cs="Verdana"/>
          <w:sz w:val="21"/>
          <w:szCs w:val="21"/>
        </w:rPr>
        <w:t xml:space="preserve">Como consecuencia de ello, necesariamente, todos los licitantes tomarán los resguardos que consideren necesarios para cubrirse de eventuales riesgos asociados a la falta de información completa o asimetría de </w:t>
      </w:r>
      <w:proofErr w:type="gramStart"/>
      <w:r w:rsidRPr="008D191C">
        <w:rPr>
          <w:rFonts w:ascii="Verdana" w:eastAsia="Verdana" w:hAnsi="Verdana" w:cs="Verdana"/>
          <w:sz w:val="21"/>
          <w:szCs w:val="21"/>
        </w:rPr>
        <w:t>la misma</w:t>
      </w:r>
      <w:proofErr w:type="gramEnd"/>
      <w:r w:rsidRPr="008D191C">
        <w:rPr>
          <w:rFonts w:ascii="Verdana" w:eastAsia="Verdana" w:hAnsi="Verdana" w:cs="Verdana"/>
          <w:sz w:val="21"/>
          <w:szCs w:val="21"/>
        </w:rPr>
        <w:t xml:space="preserve">, sobre la obra que se debe efectuar y las condiciones de trabajo. Este hecho, per se, encarece el costo de la obra, más aún que las mismas son contratadas por precio global. Los licitantes son en general adversos al riesgo y el criterio normal de valoración de estos riesgos considera analizar la peor situación posible, es decir, aquella de máximo costo para el contratista. Este valor </w:t>
      </w:r>
      <w:r w:rsidRPr="008D191C">
        <w:rPr>
          <w:rFonts w:ascii="Verdana" w:eastAsia="Verdana" w:hAnsi="Verdana" w:cs="Verdana"/>
          <w:sz w:val="21"/>
          <w:szCs w:val="21"/>
        </w:rPr>
        <w:lastRenderedPageBreak/>
        <w:t xml:space="preserve">máximo será entonces incorporado al valor de la oferta por el contrato. </w:t>
      </w:r>
      <w:proofErr w:type="gramStart"/>
      <w:r w:rsidRPr="008D191C">
        <w:rPr>
          <w:rFonts w:ascii="Verdana" w:eastAsia="Verdana" w:hAnsi="Verdana" w:cs="Verdana"/>
          <w:sz w:val="21"/>
          <w:szCs w:val="21"/>
        </w:rPr>
        <w:t>Estas diferencias de apreciación de los riesgos asociados también genera</w:t>
      </w:r>
      <w:proofErr w:type="gramEnd"/>
      <w:r w:rsidRPr="008D191C">
        <w:rPr>
          <w:rFonts w:ascii="Verdana" w:eastAsia="Verdana" w:hAnsi="Verdana" w:cs="Verdana"/>
          <w:sz w:val="21"/>
          <w:szCs w:val="21"/>
        </w:rPr>
        <w:t xml:space="preserve"> un problema para el mandante a la hora de evaluar ofertas, ya que puede ser muy difícil hacerlas comparables para poder optar por una u otra</w:t>
      </w:r>
      <w:r>
        <w:rPr>
          <w:rFonts w:ascii="Verdana" w:eastAsia="Verdana" w:hAnsi="Verdana" w:cs="Verdana"/>
          <w:sz w:val="21"/>
          <w:szCs w:val="21"/>
        </w:rPr>
        <w:t>”</w:t>
      </w:r>
      <w:r w:rsidRPr="008D191C">
        <w:rPr>
          <w:rFonts w:ascii="Verdana" w:eastAsia="Verdana" w:hAnsi="Verdana" w:cs="Verdana"/>
          <w:sz w:val="21"/>
          <w:szCs w:val="21"/>
          <w:vertAlign w:val="superscript"/>
        </w:rPr>
        <w:footnoteReference w:id="33"/>
      </w:r>
      <w:r w:rsidRPr="008D191C">
        <w:rPr>
          <w:rFonts w:ascii="Verdana" w:eastAsia="Verdana" w:hAnsi="Verdana" w:cs="Verdana"/>
          <w:sz w:val="21"/>
          <w:szCs w:val="21"/>
        </w:rPr>
        <w:t>.</w:t>
      </w:r>
    </w:p>
    <w:p w14:paraId="0EDE74A9" w14:textId="77777777" w:rsidR="00591DEA" w:rsidRPr="008D191C" w:rsidRDefault="00591DEA" w:rsidP="00591DEA">
      <w:pPr>
        <w:widowControl w:val="0"/>
        <w:autoSpaceDE w:val="0"/>
        <w:autoSpaceDN w:val="0"/>
        <w:spacing w:after="0" w:line="276" w:lineRule="auto"/>
        <w:jc w:val="both"/>
        <w:rPr>
          <w:rFonts w:ascii="Verdana" w:eastAsia="Verdana" w:hAnsi="Verdana" w:cs="Verdana"/>
        </w:rPr>
      </w:pPr>
    </w:p>
    <w:p w14:paraId="072E3A29" w14:textId="77777777" w:rsidR="00591DEA" w:rsidRPr="00E7300F" w:rsidRDefault="00591DEA" w:rsidP="00591DEA">
      <w:pPr>
        <w:widowControl w:val="0"/>
        <w:autoSpaceDE w:val="0"/>
        <w:autoSpaceDN w:val="0"/>
        <w:spacing w:after="120" w:line="276" w:lineRule="auto"/>
        <w:ind w:firstLine="709"/>
        <w:jc w:val="both"/>
        <w:rPr>
          <w:rFonts w:ascii="Verdana" w:eastAsia="Verdana" w:hAnsi="Verdana" w:cs="Verdana"/>
        </w:rPr>
      </w:pPr>
      <w:r>
        <w:rPr>
          <w:rFonts w:ascii="Verdana" w:eastAsia="Verdana" w:hAnsi="Verdana" w:cs="Verdana"/>
        </w:rPr>
        <w:t xml:space="preserve">En torno a la cita de doctrina, es importante su distinción con el modelo de diseño detallado, en el entendido de que la información sobre la que se estima el precio es más limitada, la cual depende del nivel de estudios de prefactibilidad con que se disponga. En torno, al método de diseño detallado se señala: “[…] </w:t>
      </w:r>
      <w:r w:rsidRPr="00190BDE">
        <w:rPr>
          <w:rFonts w:ascii="Verdana" w:eastAsia="Verdana" w:hAnsi="Verdana" w:cs="Verdana"/>
        </w:rPr>
        <w:t>tiene por objeto abarata</w:t>
      </w:r>
      <w:r>
        <w:rPr>
          <w:rFonts w:ascii="Verdana" w:eastAsia="Verdana" w:hAnsi="Verdana" w:cs="Verdana"/>
        </w:rPr>
        <w:t xml:space="preserve">r el costo de una obra mediante </w:t>
      </w:r>
      <w:r w:rsidRPr="00190BDE">
        <w:rPr>
          <w:rFonts w:ascii="Verdana" w:eastAsia="Verdana" w:hAnsi="Verdana" w:cs="Verdana"/>
        </w:rPr>
        <w:t>el estudio previo en detalle de alternativas viables que determinen los</w:t>
      </w:r>
      <w:r>
        <w:rPr>
          <w:rFonts w:ascii="Verdana" w:eastAsia="Verdana" w:hAnsi="Verdana" w:cs="Verdana"/>
        </w:rPr>
        <w:t xml:space="preserve"> </w:t>
      </w:r>
      <w:r w:rsidRPr="00190BDE">
        <w:rPr>
          <w:rFonts w:ascii="Verdana" w:eastAsia="Verdana" w:hAnsi="Verdana" w:cs="Verdana"/>
        </w:rPr>
        <w:t>diferentes elementos necesarios para su construcción, asegurando que</w:t>
      </w:r>
      <w:r>
        <w:rPr>
          <w:rFonts w:ascii="Verdana" w:eastAsia="Verdana" w:hAnsi="Verdana" w:cs="Verdana"/>
        </w:rPr>
        <w:t xml:space="preserve"> </w:t>
      </w:r>
      <w:r w:rsidRPr="00190BDE">
        <w:rPr>
          <w:rFonts w:ascii="Verdana" w:eastAsia="Verdana" w:hAnsi="Verdana" w:cs="Verdana"/>
        </w:rPr>
        <w:t>estos permitan obtener los resultados esperados, dentro de las normas</w:t>
      </w:r>
      <w:r>
        <w:rPr>
          <w:rFonts w:ascii="Verdana" w:eastAsia="Verdana" w:hAnsi="Verdana" w:cs="Verdana"/>
        </w:rPr>
        <w:t xml:space="preserve"> </w:t>
      </w:r>
      <w:r w:rsidRPr="00190BDE">
        <w:rPr>
          <w:rFonts w:ascii="Verdana" w:eastAsia="Verdana" w:hAnsi="Verdana" w:cs="Verdana"/>
        </w:rPr>
        <w:t>existentes</w:t>
      </w:r>
      <w:r>
        <w:rPr>
          <w:rFonts w:ascii="Verdana" w:eastAsia="Verdana" w:hAnsi="Verdana" w:cs="Verdana"/>
        </w:rPr>
        <w:t>”</w:t>
      </w:r>
      <w:r>
        <w:rPr>
          <w:rStyle w:val="Refdenotaalpie"/>
          <w:rFonts w:ascii="Verdana" w:eastAsia="Verdana" w:hAnsi="Verdana" w:cs="Verdana"/>
        </w:rPr>
        <w:footnoteReference w:id="34"/>
      </w:r>
      <w:r w:rsidRPr="00190BDE">
        <w:rPr>
          <w:rFonts w:ascii="Verdana" w:eastAsia="Verdana" w:hAnsi="Verdana" w:cs="Verdana"/>
        </w:rPr>
        <w:t>.</w:t>
      </w:r>
    </w:p>
    <w:p w14:paraId="1379E44E" w14:textId="77777777" w:rsidR="00591DEA" w:rsidRDefault="00591DEA" w:rsidP="00591DEA">
      <w:pPr>
        <w:widowControl w:val="0"/>
        <w:autoSpaceDE w:val="0"/>
        <w:autoSpaceDN w:val="0"/>
        <w:spacing w:after="120" w:line="276" w:lineRule="auto"/>
        <w:ind w:firstLine="709"/>
        <w:jc w:val="both"/>
        <w:rPr>
          <w:rFonts w:ascii="Verdana" w:eastAsia="Verdana" w:hAnsi="Verdana" w:cs="Verdana"/>
        </w:rPr>
      </w:pPr>
      <w:r w:rsidRPr="008D191C">
        <w:rPr>
          <w:rFonts w:ascii="Verdana" w:eastAsia="Verdana" w:hAnsi="Verdana" w:cs="Verdana"/>
        </w:rPr>
        <w:t>Ahora bien, la doctrina expresa que para el correcto uso de contratos bajo la modalidad de llave en mano deben analizarse ciertas condiciones básicas: a) definición precisa de alcance, que está caracterizada por especificaciones técnicas claras, cantidades de obra y términos de ejecución precisos, el diseño multidisciplinario, entre otros aspectos técnicos de diseño, construcción, funcionamiento y funcionalidad en el pliego de condiciones; b) supervisión técnica especializada; c) el sistema de precios actualizados, ya sea mediante el precio global, que puede complementarse con precios unitarios si no hay una precisión en las cantidades; d</w:t>
      </w:r>
      <w:r w:rsidRPr="008D191C">
        <w:t xml:space="preserve">) </w:t>
      </w:r>
      <w:r>
        <w:rPr>
          <w:rFonts w:ascii="Verdana" w:eastAsia="Verdana" w:hAnsi="Verdana" w:cs="Verdana"/>
        </w:rPr>
        <w:t>l</w:t>
      </w:r>
      <w:r w:rsidRPr="008D191C">
        <w:rPr>
          <w:rFonts w:ascii="Verdana" w:eastAsia="Verdana" w:hAnsi="Verdana" w:cs="Verdana"/>
        </w:rPr>
        <w:t xml:space="preserve">a posibilidad de aumentar plazos de ejecución debe ser muy limitada, pero en todo caso deben estar definidos y con sanciones por incumplimiento, así como evaluar el plazo exigido, considerando posibles soluciones técnicas; e) </w:t>
      </w:r>
      <w:r>
        <w:rPr>
          <w:rFonts w:ascii="Verdana" w:eastAsia="Verdana" w:hAnsi="Verdana" w:cs="Verdana"/>
        </w:rPr>
        <w:t>l</w:t>
      </w:r>
      <w:r w:rsidRPr="009D279E">
        <w:rPr>
          <w:rFonts w:ascii="Verdana" w:eastAsia="Verdana" w:hAnsi="Verdana" w:cs="Verdana"/>
        </w:rPr>
        <w:t>a responsabilidad por la entrega de informac</w:t>
      </w:r>
      <w:r>
        <w:rPr>
          <w:rFonts w:ascii="Verdana" w:eastAsia="Verdana" w:hAnsi="Verdana" w:cs="Verdana"/>
        </w:rPr>
        <w:t>ión básica o prediseños deben estar identificadas y asignadas por las partes; f) la necesidad de establecer los riesgos y garantías necesarias, así como las licencias de construcción y operación que se requiere; g) el deber de considerar un término adecuado post entrega, en la que el contratista garantice el debido cumplimiento de la obra; h) la obligación de analizar el ahorro de tiempo y capacidad de supervisión para justificar el modelo llave en mano frente a métodos tradicionales</w:t>
      </w:r>
      <w:r>
        <w:rPr>
          <w:rStyle w:val="Refdenotaalpie"/>
          <w:rFonts w:ascii="Verdana" w:eastAsia="Verdana" w:hAnsi="Verdana" w:cs="Verdana"/>
        </w:rPr>
        <w:footnoteReference w:id="35"/>
      </w:r>
      <w:r>
        <w:rPr>
          <w:rFonts w:ascii="Verdana" w:eastAsia="Verdana" w:hAnsi="Verdana" w:cs="Verdana"/>
        </w:rPr>
        <w:t xml:space="preserve">. </w:t>
      </w:r>
    </w:p>
    <w:p w14:paraId="46383AA9" w14:textId="77777777" w:rsidR="00591DEA" w:rsidRDefault="00591DEA" w:rsidP="00591DEA">
      <w:pPr>
        <w:widowControl w:val="0"/>
        <w:autoSpaceDE w:val="0"/>
        <w:autoSpaceDN w:val="0"/>
        <w:spacing w:after="120" w:line="276" w:lineRule="auto"/>
        <w:ind w:firstLine="709"/>
        <w:jc w:val="both"/>
        <w:rPr>
          <w:rFonts w:ascii="Verdana" w:eastAsia="Verdana" w:hAnsi="Verdana" w:cs="Verdana"/>
        </w:rPr>
      </w:pPr>
      <w:r>
        <w:rPr>
          <w:rFonts w:ascii="Verdana" w:eastAsia="Verdana" w:hAnsi="Verdana" w:cs="Verdana"/>
        </w:rPr>
        <w:t xml:space="preserve">De conformidad con lo indicado por el Libro Plata de </w:t>
      </w:r>
      <w:proofErr w:type="spellStart"/>
      <w:r>
        <w:rPr>
          <w:rFonts w:ascii="Verdana" w:eastAsia="Verdana" w:hAnsi="Verdana" w:cs="Verdana"/>
        </w:rPr>
        <w:t>Fidic</w:t>
      </w:r>
      <w:proofErr w:type="spellEnd"/>
      <w:r>
        <w:rPr>
          <w:rFonts w:ascii="Verdana" w:eastAsia="Verdana" w:hAnsi="Verdana" w:cs="Verdana"/>
        </w:rPr>
        <w:t>, en los contratos de obra llave en mano, salvo que el contrato exprese lo contrario: i) s</w:t>
      </w:r>
      <w:r w:rsidRPr="008130DF">
        <w:rPr>
          <w:rFonts w:ascii="Verdana" w:eastAsia="Verdana" w:hAnsi="Verdana" w:cs="Verdana"/>
        </w:rPr>
        <w:t xml:space="preserve">e considera </w:t>
      </w:r>
      <w:r w:rsidRPr="008130DF">
        <w:rPr>
          <w:rFonts w:ascii="Verdana" w:eastAsia="Verdana" w:hAnsi="Verdana" w:cs="Verdana"/>
        </w:rPr>
        <w:lastRenderedPageBreak/>
        <w:t>que el contratista ha obtenido toda la</w:t>
      </w:r>
      <w:r>
        <w:rPr>
          <w:rFonts w:ascii="Verdana" w:eastAsia="Verdana" w:hAnsi="Verdana" w:cs="Verdana"/>
        </w:rPr>
        <w:t xml:space="preserve"> </w:t>
      </w:r>
      <w:r w:rsidRPr="008130DF">
        <w:rPr>
          <w:rFonts w:ascii="Verdana" w:eastAsia="Verdana" w:hAnsi="Verdana" w:cs="Verdana"/>
        </w:rPr>
        <w:t>información relativa a riesgos, contingencias y otras circunstancias</w:t>
      </w:r>
      <w:r>
        <w:rPr>
          <w:rFonts w:ascii="Verdana" w:eastAsia="Verdana" w:hAnsi="Verdana" w:cs="Verdana"/>
        </w:rPr>
        <w:t xml:space="preserve"> </w:t>
      </w:r>
      <w:r w:rsidRPr="008130DF">
        <w:rPr>
          <w:rFonts w:ascii="Verdana" w:eastAsia="Verdana" w:hAnsi="Verdana" w:cs="Verdana"/>
        </w:rPr>
        <w:t>que podrían afectar la obra;</w:t>
      </w:r>
      <w:r>
        <w:rPr>
          <w:rFonts w:ascii="Verdana" w:eastAsia="Verdana" w:hAnsi="Verdana" w:cs="Verdana"/>
        </w:rPr>
        <w:t xml:space="preserve"> </w:t>
      </w:r>
      <w:proofErr w:type="spellStart"/>
      <w:r>
        <w:rPr>
          <w:rFonts w:ascii="Verdana" w:eastAsia="Verdana" w:hAnsi="Verdana" w:cs="Verdana"/>
        </w:rPr>
        <w:t>ii</w:t>
      </w:r>
      <w:proofErr w:type="spellEnd"/>
      <w:r>
        <w:rPr>
          <w:rFonts w:ascii="Verdana" w:eastAsia="Verdana" w:hAnsi="Verdana" w:cs="Verdana"/>
        </w:rPr>
        <w:t>) p</w:t>
      </w:r>
      <w:r w:rsidRPr="008130DF">
        <w:rPr>
          <w:rFonts w:ascii="Verdana" w:eastAsia="Verdana" w:hAnsi="Verdana" w:cs="Verdana"/>
        </w:rPr>
        <w:t>or la firma del contrato, el contratista acepta total responsabilidad</w:t>
      </w:r>
      <w:r>
        <w:rPr>
          <w:rFonts w:ascii="Verdana" w:eastAsia="Verdana" w:hAnsi="Verdana" w:cs="Verdana"/>
        </w:rPr>
        <w:t xml:space="preserve"> </w:t>
      </w:r>
      <w:r w:rsidRPr="008130DF">
        <w:rPr>
          <w:rFonts w:ascii="Verdana" w:eastAsia="Verdana" w:hAnsi="Verdana" w:cs="Verdana"/>
        </w:rPr>
        <w:t>por haber previsto todas las dificultades y costos</w:t>
      </w:r>
      <w:r>
        <w:rPr>
          <w:rFonts w:ascii="Verdana" w:eastAsia="Verdana" w:hAnsi="Verdana" w:cs="Verdana"/>
        </w:rPr>
        <w:t xml:space="preserve"> </w:t>
      </w:r>
      <w:r w:rsidRPr="008130DF">
        <w:rPr>
          <w:rFonts w:ascii="Verdana" w:eastAsia="Verdana" w:hAnsi="Verdana" w:cs="Verdana"/>
        </w:rPr>
        <w:t>asociados a la terminación exitosa de la obra; y</w:t>
      </w:r>
      <w:r>
        <w:rPr>
          <w:rFonts w:ascii="Verdana" w:eastAsia="Verdana" w:hAnsi="Verdana" w:cs="Verdana"/>
        </w:rPr>
        <w:t xml:space="preserve"> </w:t>
      </w:r>
      <w:proofErr w:type="spellStart"/>
      <w:r>
        <w:rPr>
          <w:rFonts w:ascii="Verdana" w:eastAsia="Verdana" w:hAnsi="Verdana" w:cs="Verdana"/>
        </w:rPr>
        <w:t>iii</w:t>
      </w:r>
      <w:proofErr w:type="spellEnd"/>
      <w:r>
        <w:rPr>
          <w:rFonts w:ascii="Verdana" w:eastAsia="Verdana" w:hAnsi="Verdana" w:cs="Verdana"/>
        </w:rPr>
        <w:t xml:space="preserve">) </w:t>
      </w:r>
      <w:r w:rsidRPr="008130DF">
        <w:rPr>
          <w:rFonts w:ascii="Verdana" w:eastAsia="Verdana" w:hAnsi="Verdana" w:cs="Verdana"/>
        </w:rPr>
        <w:t>El precio del contrato no será ajustado para tener en cuenta</w:t>
      </w:r>
      <w:r>
        <w:rPr>
          <w:rFonts w:ascii="Verdana" w:eastAsia="Verdana" w:hAnsi="Verdana" w:cs="Verdana"/>
        </w:rPr>
        <w:t xml:space="preserve"> </w:t>
      </w:r>
      <w:r w:rsidRPr="008130DF">
        <w:rPr>
          <w:rFonts w:ascii="Verdana" w:eastAsia="Verdana" w:hAnsi="Verdana" w:cs="Verdana"/>
        </w:rPr>
        <w:t>cualquier costo o dificultad no prevista</w:t>
      </w:r>
      <w:r>
        <w:rPr>
          <w:rStyle w:val="Refdenotaalpie"/>
          <w:rFonts w:ascii="Verdana" w:eastAsia="Verdana" w:hAnsi="Verdana" w:cs="Verdana"/>
        </w:rPr>
        <w:footnoteReference w:id="36"/>
      </w:r>
      <w:r w:rsidRPr="008130DF">
        <w:rPr>
          <w:rFonts w:ascii="Verdana" w:eastAsia="Verdana" w:hAnsi="Verdana" w:cs="Verdana"/>
        </w:rPr>
        <w:t>.</w:t>
      </w:r>
      <w:r>
        <w:rPr>
          <w:rFonts w:ascii="Verdana" w:eastAsia="Verdana" w:hAnsi="Verdana" w:cs="Verdana"/>
        </w:rPr>
        <w:t xml:space="preserve"> Tales consideraciones parten de la base de que, en este tipo de contratos, el contratista asume un mayor volumen de riesgos, en comparación con otras modalidades de obra pública. Esto implica que, la variabilidad del precio por cuenta de imprevistos en la ejecución está particularmente restringida en comparación con otras modalidades de obra pública, ya que se podría entender limitada a las variaciones asociadas a los riesgos asumidos por la entidad contratante, los cuales suelen ser sustancialmente menores a los asumidos por el contratista.  </w:t>
      </w:r>
    </w:p>
    <w:p w14:paraId="762F3351" w14:textId="77777777" w:rsidR="00591DEA" w:rsidRDefault="00591DEA" w:rsidP="00591DEA">
      <w:pPr>
        <w:widowControl w:val="0"/>
        <w:autoSpaceDE w:val="0"/>
        <w:autoSpaceDN w:val="0"/>
        <w:spacing w:before="121" w:after="0" w:line="276" w:lineRule="auto"/>
        <w:ind w:firstLine="707"/>
        <w:jc w:val="both"/>
        <w:rPr>
          <w:rFonts w:ascii="Verdana" w:eastAsia="Verdana" w:hAnsi="Verdana" w:cs="Verdana"/>
          <w:lang w:val="es-ES"/>
        </w:rPr>
      </w:pPr>
      <w:r>
        <w:rPr>
          <w:rFonts w:ascii="Verdana" w:eastAsia="Verdana" w:hAnsi="Verdana" w:cs="Verdana"/>
          <w:lang w:val="es-ES"/>
        </w:rPr>
        <w:t xml:space="preserve">En atención a esto, el análisis requerido para determinar el modelo para un proyecto de obra pública puede estar asociado a la repartición de los riesgos propio de cada esquema de contratación. Al respecto, la doctrina sostiene que: “[…] en situaciones en las que existe suficiente información–menor incertidumbre– se suele acudir a los contratos llave en mano o a precio global, en cuanto sus costos–y riesgos– pueden ser razonablemente estimados, hasta el punto de comprometer la producción </w:t>
      </w:r>
      <w:r w:rsidRPr="006E5F67">
        <w:rPr>
          <w:rFonts w:ascii="Verdana" w:eastAsia="Verdana" w:hAnsi="Verdana" w:cs="Verdana"/>
        </w:rPr>
        <w:t>de un resultado. Cuando la información es</w:t>
      </w:r>
      <w:r>
        <w:rPr>
          <w:rFonts w:ascii="Verdana" w:eastAsia="Verdana" w:hAnsi="Verdana" w:cs="Verdana"/>
        </w:rPr>
        <w:t xml:space="preserve"> </w:t>
      </w:r>
      <w:r w:rsidRPr="006E5F67">
        <w:rPr>
          <w:rFonts w:ascii="Verdana" w:eastAsia="Verdana" w:hAnsi="Verdana" w:cs="Verdana"/>
        </w:rPr>
        <w:t>insuficiente o no es confiable, se utilizan otras modalidades</w:t>
      </w:r>
      <w:r>
        <w:rPr>
          <w:rFonts w:ascii="Verdana" w:eastAsia="Verdana" w:hAnsi="Verdana" w:cs="Verdana"/>
        </w:rPr>
        <w:t xml:space="preserve"> </w:t>
      </w:r>
      <w:r w:rsidRPr="006E5F67">
        <w:rPr>
          <w:rFonts w:ascii="Verdana" w:eastAsia="Verdana" w:hAnsi="Verdana" w:cs="Verdana"/>
        </w:rPr>
        <w:t>de contratación tales como los contratos a precios unitarios</w:t>
      </w:r>
      <w:r>
        <w:rPr>
          <w:rFonts w:ascii="Verdana" w:eastAsia="Verdana" w:hAnsi="Verdana" w:cs="Verdana"/>
        </w:rPr>
        <w:t xml:space="preserve"> </w:t>
      </w:r>
      <w:r w:rsidRPr="006E5F67">
        <w:rPr>
          <w:rFonts w:ascii="Verdana" w:eastAsia="Verdana" w:hAnsi="Verdana" w:cs="Verdana"/>
        </w:rPr>
        <w:t>y por Administración delegada, en los cuales los costos,</w:t>
      </w:r>
      <w:r>
        <w:rPr>
          <w:rFonts w:ascii="Verdana" w:eastAsia="Verdana" w:hAnsi="Verdana" w:cs="Verdana"/>
        </w:rPr>
        <w:t xml:space="preserve"> </w:t>
      </w:r>
      <w:r w:rsidRPr="006E5F67">
        <w:rPr>
          <w:rFonts w:ascii="Verdana" w:eastAsia="Verdana" w:hAnsi="Verdana" w:cs="Verdana"/>
        </w:rPr>
        <w:t>previstos o no, son asumidos por el contratante</w:t>
      </w:r>
      <w:r>
        <w:rPr>
          <w:rFonts w:ascii="Verdana" w:eastAsia="Verdana" w:hAnsi="Verdana" w:cs="Verdana"/>
        </w:rPr>
        <w:t>”</w:t>
      </w:r>
      <w:r>
        <w:rPr>
          <w:rStyle w:val="Refdenotaalpie"/>
          <w:rFonts w:ascii="Verdana" w:eastAsia="Verdana" w:hAnsi="Verdana" w:cs="Verdana"/>
        </w:rPr>
        <w:footnoteReference w:id="37"/>
      </w:r>
      <w:r w:rsidRPr="006E5F67">
        <w:rPr>
          <w:rFonts w:ascii="Verdana" w:eastAsia="Verdana" w:hAnsi="Verdana" w:cs="Verdana"/>
        </w:rPr>
        <w:t>.</w:t>
      </w:r>
      <w:r>
        <w:rPr>
          <w:rFonts w:ascii="Verdana" w:eastAsia="Verdana" w:hAnsi="Verdana" w:cs="Verdana"/>
          <w:lang w:val="es-ES"/>
        </w:rPr>
        <w:t xml:space="preserve"> </w:t>
      </w:r>
    </w:p>
    <w:p w14:paraId="0BD0A709" w14:textId="77777777" w:rsidR="00591DEA" w:rsidRDefault="00591DEA" w:rsidP="00591DEA">
      <w:pPr>
        <w:widowControl w:val="0"/>
        <w:autoSpaceDE w:val="0"/>
        <w:autoSpaceDN w:val="0"/>
        <w:spacing w:before="121" w:after="120" w:line="276" w:lineRule="auto"/>
        <w:ind w:firstLine="709"/>
        <w:jc w:val="both"/>
        <w:rPr>
          <w:rFonts w:ascii="Verdana" w:eastAsia="Verdana" w:hAnsi="Verdana" w:cs="Verdana"/>
          <w:lang w:val="es-ES"/>
        </w:rPr>
      </w:pPr>
      <w:r>
        <w:rPr>
          <w:rFonts w:ascii="Verdana" w:eastAsia="Verdana" w:hAnsi="Verdana" w:cs="Verdana"/>
          <w:lang w:val="es-ES"/>
        </w:rPr>
        <w:t xml:space="preserve">En línea con lo anterior, la modalidad de </w:t>
      </w:r>
      <w:r w:rsidRPr="00E01A7B">
        <w:rPr>
          <w:rFonts w:ascii="Verdana" w:eastAsia="Verdana" w:hAnsi="Verdana" w:cs="Verdana"/>
          <w:i/>
          <w:iCs/>
          <w:lang w:val="es-ES"/>
        </w:rPr>
        <w:t xml:space="preserve">llave en </w:t>
      </w:r>
      <w:r w:rsidRPr="009C7A5B">
        <w:rPr>
          <w:rFonts w:ascii="Verdana" w:eastAsia="Verdana" w:hAnsi="Verdana" w:cs="Verdana"/>
          <w:i/>
          <w:iCs/>
          <w:lang w:val="es-ES"/>
        </w:rPr>
        <w:t>mano</w:t>
      </w:r>
      <w:r>
        <w:rPr>
          <w:rFonts w:ascii="Verdana" w:eastAsia="Verdana" w:hAnsi="Verdana" w:cs="Verdana"/>
          <w:lang w:val="es-ES"/>
        </w:rPr>
        <w:t xml:space="preserve"> no resulta recomendable en escenarios en los que, no existe tiempo ni información suficiente para que los oferentes puedan examinar y comprobar los requisitos necesarios para efectos del diseño, valoración y estimación de riesgos</w:t>
      </w:r>
      <w:r>
        <w:rPr>
          <w:rStyle w:val="Refdenotaalpie"/>
          <w:rFonts w:ascii="Verdana" w:eastAsia="Verdana" w:hAnsi="Verdana" w:cs="Verdana"/>
          <w:lang w:val="es-ES"/>
        </w:rPr>
        <w:footnoteReference w:id="38"/>
      </w:r>
      <w:r>
        <w:rPr>
          <w:rFonts w:ascii="Verdana" w:eastAsia="Verdana" w:hAnsi="Verdana" w:cs="Verdana"/>
          <w:lang w:val="es-ES"/>
        </w:rPr>
        <w:t xml:space="preserve">. En ese mismo sentido, la doctrina desaconseja la implementación de contratos bajo la modalidad de llave en mano cuando la </w:t>
      </w:r>
      <w:r w:rsidRPr="000260C6">
        <w:rPr>
          <w:rFonts w:ascii="Verdana" w:eastAsia="Verdana" w:hAnsi="Verdana" w:cs="Verdana"/>
        </w:rPr>
        <w:t>obra involucra trabajos subterráneos importantes o</w:t>
      </w:r>
      <w:r>
        <w:rPr>
          <w:rFonts w:ascii="Verdana" w:eastAsia="Verdana" w:hAnsi="Verdana" w:cs="Verdana"/>
        </w:rPr>
        <w:t xml:space="preserve"> </w:t>
      </w:r>
      <w:r w:rsidRPr="000260C6">
        <w:rPr>
          <w:rFonts w:ascii="Verdana" w:eastAsia="Verdana" w:hAnsi="Verdana" w:cs="Verdana"/>
        </w:rPr>
        <w:t>en áreas que los oferentes no puedan inspecciona</w:t>
      </w:r>
      <w:r>
        <w:rPr>
          <w:rFonts w:ascii="Verdana" w:eastAsia="Verdana" w:hAnsi="Verdana" w:cs="Verdana"/>
        </w:rPr>
        <w:t xml:space="preserve">r, esto comoquiera: </w:t>
      </w:r>
      <w:r w:rsidRPr="00E01A7B">
        <w:rPr>
          <w:rFonts w:ascii="Verdana" w:eastAsia="Verdana" w:hAnsi="Verdana" w:cs="Verdana"/>
          <w:i/>
          <w:iCs/>
        </w:rPr>
        <w:t>“</w:t>
      </w:r>
      <w:r w:rsidRPr="00E01A7B">
        <w:rPr>
          <w:rFonts w:ascii="Verdana" w:eastAsia="Verdana" w:hAnsi="Verdana" w:cs="Verdana"/>
        </w:rPr>
        <w:t>[…]</w:t>
      </w:r>
      <w:r>
        <w:rPr>
          <w:rFonts w:ascii="Verdana" w:eastAsia="Verdana" w:hAnsi="Verdana" w:cs="Verdana"/>
          <w:i/>
          <w:iCs/>
        </w:rPr>
        <w:t xml:space="preserve"> </w:t>
      </w:r>
      <w:r w:rsidRPr="009C7A5B">
        <w:rPr>
          <w:rFonts w:ascii="Verdana" w:eastAsia="Verdana" w:hAnsi="Verdana" w:cs="Verdana"/>
        </w:rPr>
        <w:t xml:space="preserve">los riesgos de encontrar situaciones imprevistas podrían ser tan grandes que la oferta más baja corresponda a la presentada por el oferente con menor conocimiento o por los jugadores más impetuosos, en lugar de la </w:t>
      </w:r>
      <w:r w:rsidRPr="009C7A5B">
        <w:rPr>
          <w:rFonts w:ascii="Verdana" w:eastAsia="Verdana" w:hAnsi="Verdana" w:cs="Verdana"/>
        </w:rPr>
        <w:lastRenderedPageBreak/>
        <w:t>presentada por el mejor oferente</w:t>
      </w:r>
      <w:r w:rsidRPr="00E01A7B">
        <w:rPr>
          <w:rFonts w:ascii="Verdana" w:eastAsia="Verdana" w:hAnsi="Verdana" w:cs="Verdana"/>
          <w:i/>
          <w:iCs/>
        </w:rPr>
        <w:t>”</w:t>
      </w:r>
      <w:r>
        <w:rPr>
          <w:rStyle w:val="Refdenotaalpie"/>
          <w:rFonts w:ascii="Verdana" w:eastAsia="Verdana" w:hAnsi="Verdana" w:cs="Verdana"/>
          <w:i/>
          <w:iCs/>
        </w:rPr>
        <w:footnoteReference w:id="39"/>
      </w:r>
      <w:r w:rsidRPr="000260C6">
        <w:rPr>
          <w:rFonts w:ascii="Verdana" w:eastAsia="Verdana" w:hAnsi="Verdana" w:cs="Verdana"/>
        </w:rPr>
        <w:t>.</w:t>
      </w:r>
    </w:p>
    <w:p w14:paraId="5EA4BA71" w14:textId="77777777" w:rsidR="00591DEA" w:rsidRDefault="00591DEA" w:rsidP="00591DEA">
      <w:pPr>
        <w:widowControl w:val="0"/>
        <w:autoSpaceDE w:val="0"/>
        <w:autoSpaceDN w:val="0"/>
        <w:spacing w:after="0" w:line="276" w:lineRule="auto"/>
        <w:ind w:firstLine="709"/>
        <w:jc w:val="both"/>
        <w:rPr>
          <w:rFonts w:ascii="Verdana" w:eastAsia="Verdana" w:hAnsi="Verdana" w:cs="Verdana"/>
        </w:rPr>
      </w:pPr>
      <w:r>
        <w:rPr>
          <w:rFonts w:ascii="Verdana" w:eastAsia="Verdana" w:hAnsi="Verdana" w:cs="Verdana"/>
        </w:rPr>
        <w:t>Así las cosas,</w:t>
      </w:r>
      <w:r w:rsidRPr="001A2179">
        <w:rPr>
          <w:rFonts w:ascii="Verdana" w:eastAsia="Verdana" w:hAnsi="Verdana" w:cs="Verdana"/>
        </w:rPr>
        <w:t xml:space="preserve"> el contrato de obra previsto en el numeral 1° del artículo 32 de la Ley 80 de 1993 puede ejecutarse mediante la modalidad denominada “llave en mano”</w:t>
      </w:r>
      <w:r>
        <w:rPr>
          <w:rFonts w:ascii="Verdana" w:eastAsia="Verdana" w:hAnsi="Verdana" w:cs="Verdana"/>
        </w:rPr>
        <w:t xml:space="preserve"> o de otras modalidades, dependiendo de lo que pretenda la entidad</w:t>
      </w:r>
      <w:r w:rsidRPr="001A2179">
        <w:rPr>
          <w:rFonts w:ascii="Verdana" w:eastAsia="Verdana" w:hAnsi="Verdana" w:cs="Verdana"/>
        </w:rPr>
        <w:t xml:space="preserve">,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En otros términos, la modalidad que se emplee para la ejecución y pago del contrato de obra no determina la naturaleza de este, pues mientras el contrato contemple las actividades definidas en el numeral 1° del artículo 32 de la Ley 80 de 1993, tendrá la denominación de obra, aunque incluya otras prestaciones, como es el caso de la modalidad de llave en mano. </w:t>
      </w:r>
    </w:p>
    <w:p w14:paraId="70916766" w14:textId="77777777" w:rsidR="00591DEA" w:rsidRDefault="00591DEA" w:rsidP="00591DEA">
      <w:pPr>
        <w:widowControl w:val="0"/>
        <w:autoSpaceDE w:val="0"/>
        <w:autoSpaceDN w:val="0"/>
        <w:spacing w:before="121" w:after="0" w:line="276" w:lineRule="auto"/>
        <w:ind w:firstLine="707"/>
        <w:jc w:val="both"/>
        <w:rPr>
          <w:rFonts w:ascii="Verdana" w:eastAsia="Verdana" w:hAnsi="Verdana" w:cs="Verdana"/>
          <w:lang w:val="es-ES"/>
        </w:rPr>
      </w:pPr>
      <w:r>
        <w:rPr>
          <w:rFonts w:ascii="Verdana" w:eastAsia="Verdana" w:hAnsi="Verdana" w:cs="Verdana"/>
        </w:rPr>
        <w:t>Sin dejar de lado el contrato bajo la modalidad de llave en mano</w:t>
      </w:r>
      <w:r w:rsidRPr="001A2179">
        <w:rPr>
          <w:rFonts w:ascii="Verdana" w:eastAsia="Verdana" w:hAnsi="Verdana" w:cs="Verdana"/>
        </w:rPr>
        <w:t xml:space="preserve">, en el ordenamiento jurídico existen diversas opciones para la contratación de los estudios y diseños necesarios para la ejecución de una obra pública. </w:t>
      </w:r>
      <w:r w:rsidRPr="008D191C">
        <w:rPr>
          <w:rFonts w:ascii="Verdana" w:eastAsia="Verdana" w:hAnsi="Verdana" w:cs="Verdana"/>
        </w:rPr>
        <w:t>Por tanto, es viable afirmar que los estudios y diseños pueden contratarse a parte de la construcción de la obra o pueden contratarse conjuntamente a través de un contrato de obra en la modalidad de “llave en mano”, en la cual el contratista seleccionado para ejecutar el proyecto será el encargado de elaborar los diseños y estudios.</w:t>
      </w:r>
      <w:r w:rsidRPr="001A2179">
        <w:rPr>
          <w:rFonts w:ascii="Verdana" w:eastAsia="Verdana" w:hAnsi="Verdana" w:cs="Verdana"/>
        </w:rPr>
        <w:t xml:space="preserve"> Esto en la medida en que, dependiendo del alcance de las obligaciones, el contrato llave en mano incluye todas las labores relacionadas con la obra incluyendo los diseños, estudios de factibilidad, construcción, contratación del personal, instalaciones y suministros y la contraprestación a cargo del contratista es la obra terminada y en funcionamiento.</w:t>
      </w:r>
      <w:r>
        <w:rPr>
          <w:rFonts w:ascii="Verdana" w:eastAsia="Verdana" w:hAnsi="Verdana" w:cs="Verdana"/>
        </w:rPr>
        <w:t xml:space="preserve"> </w:t>
      </w:r>
      <w:r>
        <w:rPr>
          <w:rFonts w:ascii="Verdana" w:eastAsia="Arial" w:hAnsi="Verdana" w:cs="Arial"/>
          <w:color w:val="000000" w:themeColor="text1"/>
          <w:lang w:val="es-ES"/>
        </w:rPr>
        <w:t>Es decir</w:t>
      </w:r>
      <w:r w:rsidRPr="001A2179">
        <w:rPr>
          <w:rFonts w:ascii="Verdana" w:eastAsia="Arial" w:hAnsi="Verdana" w:cs="Arial"/>
          <w:color w:val="000000" w:themeColor="text1"/>
          <w:lang w:val="es-ES"/>
        </w:rPr>
        <w:t xml:space="preserve">, al margen de la fuente de los recursos que financien la ejecución, las actividades de diseño y de construcción se cuantifican de forma conjunta. </w:t>
      </w:r>
      <w:r w:rsidRPr="001A2179">
        <w:rPr>
          <w:rFonts w:ascii="Verdana" w:eastAsia="Verdana" w:hAnsi="Verdana" w:cs="Verdana"/>
          <w:lang w:val="es-ES"/>
        </w:rPr>
        <w:t xml:space="preserve">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w:t>
      </w:r>
      <w:r>
        <w:rPr>
          <w:rFonts w:ascii="Verdana" w:eastAsia="Verdana" w:hAnsi="Verdana" w:cs="Verdana"/>
          <w:lang w:val="es-ES"/>
        </w:rPr>
        <w:t xml:space="preserve">de </w:t>
      </w:r>
      <w:r w:rsidRPr="001A2179">
        <w:rPr>
          <w:rFonts w:ascii="Verdana" w:eastAsia="Verdana" w:hAnsi="Verdana" w:cs="Verdana"/>
          <w:lang w:val="es-ES"/>
        </w:rPr>
        <w:t xml:space="preserve">sobrecostos. </w:t>
      </w:r>
    </w:p>
    <w:p w14:paraId="1538B8E8" w14:textId="77777777" w:rsidR="00591DEA" w:rsidRDefault="00591DEA" w:rsidP="00591DEA">
      <w:pPr>
        <w:widowControl w:val="0"/>
        <w:autoSpaceDE w:val="0"/>
        <w:autoSpaceDN w:val="0"/>
        <w:spacing w:before="121" w:after="0" w:line="276" w:lineRule="auto"/>
        <w:ind w:firstLine="707"/>
        <w:jc w:val="both"/>
        <w:rPr>
          <w:rFonts w:ascii="Verdana" w:eastAsia="Verdana" w:hAnsi="Verdana" w:cs="Verdana"/>
        </w:rPr>
      </w:pPr>
      <w:r>
        <w:rPr>
          <w:rFonts w:ascii="Verdana" w:eastAsia="Verdana" w:hAnsi="Verdana" w:cs="Verdana"/>
          <w:lang w:val="es-ES"/>
        </w:rPr>
        <w:t xml:space="preserve"> </w:t>
      </w:r>
      <w:r w:rsidRPr="001A2179">
        <w:rPr>
          <w:rFonts w:ascii="Verdana" w:eastAsia="Verdana" w:hAnsi="Verdana" w:cs="Verdana"/>
          <w:lang w:val="es-ES"/>
        </w:rPr>
        <w:t xml:space="preserve">Conforme al alcance normativo del objeto del contrato de obra, en dicha </w:t>
      </w:r>
      <w:r w:rsidRPr="001A2179">
        <w:rPr>
          <w:rFonts w:ascii="Verdana" w:eastAsia="Verdana" w:hAnsi="Verdana" w:cs="Verdana"/>
          <w:lang w:val="es-ES"/>
        </w:rPr>
        <w:lastRenderedPageBreak/>
        <w:t>tipología contractual es posible establecer cláusulas para realización de los diseños. De lo anterior se desprende que la entidad pública contratante, en ejercicio de su discrecionalidad, también puede contratar los diseños mediante un contrato de consultoría que sea resultado de un concurso de méritos, pues dicha actividad se enmarca en el alcance del artículo 32.2 de la Ley 80 de 1993. De esta manera, “[…] si la necesidad […] es ‘diseñar y construir’, la misma se satisface contratando ambas cosas. Si por el contrario es solo ‘diseñar’, se entiende contratado únicamente el diseño. Por lo dicho, los ‘diseños’ que se requieren previamente son los proporcionales a la necesidad a satisfacer”</w:t>
      </w:r>
      <w:r w:rsidRPr="001A2179">
        <w:rPr>
          <w:rFonts w:ascii="Verdana" w:eastAsia="Verdana" w:hAnsi="Verdana" w:cs="Verdana"/>
          <w:vertAlign w:val="superscript"/>
          <w:lang w:val="es-ES"/>
        </w:rPr>
        <w:footnoteReference w:id="40"/>
      </w:r>
      <w:r w:rsidRPr="001A2179">
        <w:rPr>
          <w:rFonts w:ascii="Verdana" w:eastAsia="Verdana" w:hAnsi="Verdana" w:cs="Verdana"/>
          <w:lang w:val="es-ES"/>
        </w:rPr>
        <w:t xml:space="preserve">. </w:t>
      </w:r>
    </w:p>
    <w:p w14:paraId="3C1A51B5" w14:textId="77777777" w:rsidR="00591DEA" w:rsidRPr="008D191C" w:rsidRDefault="00591DEA" w:rsidP="00591DEA">
      <w:pPr>
        <w:spacing w:after="0" w:line="276" w:lineRule="auto"/>
        <w:jc w:val="both"/>
        <w:rPr>
          <w:rFonts w:ascii="Verdana" w:eastAsia="Verdana" w:hAnsi="Verdana" w:cs="Verdana"/>
        </w:rPr>
      </w:pPr>
    </w:p>
    <w:p w14:paraId="58BD53C9" w14:textId="77777777" w:rsidR="00591DEA" w:rsidRPr="008D191C" w:rsidRDefault="00591DEA" w:rsidP="00591DEA">
      <w:pPr>
        <w:spacing w:after="120" w:line="276" w:lineRule="auto"/>
        <w:jc w:val="both"/>
        <w:rPr>
          <w:rFonts w:ascii="Verdana" w:hAnsi="Verdana"/>
        </w:rPr>
      </w:pPr>
      <w:r w:rsidRPr="008D191C">
        <w:rPr>
          <w:rFonts w:ascii="Verdana" w:hAnsi="Verdana"/>
        </w:rPr>
        <w:t xml:space="preserve">v.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442759" w14:textId="77777777" w:rsidR="00591DEA" w:rsidRPr="008D191C" w:rsidRDefault="00591DEA" w:rsidP="00591DEA">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BA67FA9" w14:textId="77777777" w:rsidR="00591DEA" w:rsidRPr="008D191C" w:rsidRDefault="00591DEA" w:rsidP="00591DEA">
      <w:pPr>
        <w:spacing w:after="0" w:line="276" w:lineRule="auto"/>
        <w:jc w:val="both"/>
        <w:rPr>
          <w:rFonts w:ascii="Verdana" w:hAnsi="Verdana"/>
        </w:rPr>
      </w:pPr>
    </w:p>
    <w:p w14:paraId="7D7C59D2" w14:textId="77777777" w:rsidR="00591DEA" w:rsidRPr="008D191C" w:rsidRDefault="00591DEA" w:rsidP="00591DEA">
      <w:pPr>
        <w:numPr>
          <w:ilvl w:val="0"/>
          <w:numId w:val="19"/>
        </w:numPr>
        <w:spacing w:after="0" w:line="256" w:lineRule="auto"/>
        <w:rPr>
          <w:rFonts w:ascii="Verdana" w:eastAsia="Calibri" w:hAnsi="Verdana" w:cs="Times New Roman"/>
          <w:b/>
          <w:bCs/>
          <w:lang w:val="es-ES"/>
        </w:rPr>
      </w:pPr>
      <w:r w:rsidRPr="008D191C">
        <w:rPr>
          <w:rFonts w:ascii="Verdana" w:eastAsia="Calibri" w:hAnsi="Verdana" w:cs="Times New Roman"/>
          <w:b/>
          <w:bCs/>
          <w:lang w:val="es-ES"/>
        </w:rPr>
        <w:t>Referencias normativas, jurisprudenciales y doctrinales</w:t>
      </w:r>
    </w:p>
    <w:p w14:paraId="268ECEEB" w14:textId="77777777" w:rsidR="00591DEA" w:rsidRPr="008D191C" w:rsidRDefault="00591DEA" w:rsidP="00591DEA">
      <w:pPr>
        <w:spacing w:after="0" w:line="256" w:lineRule="auto"/>
        <w:ind w:left="1080"/>
        <w:rPr>
          <w:rFonts w:ascii="Verdana" w:eastAsia="Calibri" w:hAnsi="Verdana" w:cs="Times New Roman"/>
          <w:b/>
          <w:bCs/>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1DEA" w:rsidRPr="008D191C" w14:paraId="139EC6FD" w14:textId="77777777" w:rsidTr="00F57C42">
        <w:trPr>
          <w:trHeight w:val="870"/>
          <w:jc w:val="center"/>
        </w:trPr>
        <w:tc>
          <w:tcPr>
            <w:tcW w:w="8647" w:type="dxa"/>
          </w:tcPr>
          <w:p w14:paraId="4FA4CA23" w14:textId="77777777" w:rsidR="00591DEA" w:rsidRPr="008D191C" w:rsidRDefault="00591DEA" w:rsidP="00F57C42">
            <w:pPr>
              <w:widowControl w:val="0"/>
              <w:autoSpaceDE w:val="0"/>
              <w:autoSpaceDN w:val="0"/>
              <w:jc w:val="both"/>
              <w:rPr>
                <w:rFonts w:ascii="Verdana" w:hAnsi="Verdana" w:cs="Arial"/>
              </w:rPr>
            </w:pPr>
          </w:p>
          <w:p w14:paraId="7FEB8677" w14:textId="77777777" w:rsidR="00591DEA" w:rsidRPr="008D191C" w:rsidRDefault="00591DEA" w:rsidP="00591DEA">
            <w:pPr>
              <w:widowControl w:val="0"/>
              <w:numPr>
                <w:ilvl w:val="0"/>
                <w:numId w:val="26"/>
              </w:numPr>
              <w:autoSpaceDE w:val="0"/>
              <w:autoSpaceDN w:val="0"/>
              <w:spacing w:after="120"/>
              <w:jc w:val="both"/>
              <w:rPr>
                <w:rFonts w:ascii="Verdana" w:hAnsi="Verdana" w:cs="Arial"/>
                <w:lang w:val="es-ES"/>
              </w:rPr>
            </w:pPr>
            <w:r w:rsidRPr="008D191C">
              <w:rPr>
                <w:rFonts w:ascii="Verdana" w:hAnsi="Verdana" w:cs="Arial"/>
                <w:lang w:val="es-ES"/>
              </w:rPr>
              <w:t xml:space="preserve">Código Civil, artículos 656, 658, 2053, 2060 y 2061. </w:t>
            </w:r>
          </w:p>
          <w:p w14:paraId="099276B3" w14:textId="77777777" w:rsidR="00591DEA" w:rsidRDefault="00591DEA" w:rsidP="00591DEA">
            <w:pPr>
              <w:numPr>
                <w:ilvl w:val="0"/>
                <w:numId w:val="20"/>
              </w:numPr>
              <w:spacing w:after="120"/>
              <w:jc w:val="both"/>
              <w:rPr>
                <w:rFonts w:ascii="Verdana" w:hAnsi="Verdana" w:cs="Arial"/>
                <w:lang w:val="es-ES"/>
              </w:rPr>
            </w:pPr>
            <w:r w:rsidRPr="008D191C">
              <w:rPr>
                <w:rFonts w:ascii="Verdana" w:hAnsi="Verdana" w:cs="Arial"/>
                <w:lang w:val="es-ES"/>
              </w:rPr>
              <w:t xml:space="preserve">Ley 80 de 1993, artículos 2, 13, </w:t>
            </w:r>
            <w:r>
              <w:rPr>
                <w:rFonts w:ascii="Verdana" w:hAnsi="Verdana" w:cs="Arial"/>
                <w:lang w:val="es-ES"/>
              </w:rPr>
              <w:t xml:space="preserve">25, 26, </w:t>
            </w:r>
            <w:r w:rsidRPr="008D191C">
              <w:rPr>
                <w:rFonts w:ascii="Verdana" w:hAnsi="Verdana" w:cs="Arial"/>
                <w:lang w:val="es-ES"/>
              </w:rPr>
              <w:t xml:space="preserve">32, 39, 40 y 41. </w:t>
            </w:r>
          </w:p>
          <w:p w14:paraId="52E0610E" w14:textId="77777777" w:rsidR="00591DEA" w:rsidRPr="008D191C" w:rsidRDefault="00591DEA" w:rsidP="00591DEA">
            <w:pPr>
              <w:numPr>
                <w:ilvl w:val="0"/>
                <w:numId w:val="20"/>
              </w:numPr>
              <w:spacing w:after="120"/>
              <w:jc w:val="both"/>
              <w:rPr>
                <w:rFonts w:ascii="Verdana" w:hAnsi="Verdana" w:cs="Arial"/>
                <w:lang w:val="es-ES"/>
              </w:rPr>
            </w:pPr>
            <w:r>
              <w:rPr>
                <w:rFonts w:ascii="Verdana" w:hAnsi="Verdana" w:cs="Arial"/>
                <w:lang w:val="es-ES"/>
              </w:rPr>
              <w:t xml:space="preserve">Ley 1682 de 2013, artículo 12. </w:t>
            </w:r>
          </w:p>
          <w:p w14:paraId="04F8407D" w14:textId="77777777" w:rsidR="00591DEA" w:rsidRDefault="00591DEA" w:rsidP="00591DEA">
            <w:pPr>
              <w:widowControl w:val="0"/>
              <w:numPr>
                <w:ilvl w:val="0"/>
                <w:numId w:val="20"/>
              </w:numPr>
              <w:autoSpaceDE w:val="0"/>
              <w:autoSpaceDN w:val="0"/>
              <w:spacing w:after="120"/>
              <w:jc w:val="both"/>
              <w:rPr>
                <w:rFonts w:ascii="Verdana" w:hAnsi="Verdana" w:cs="Arial"/>
                <w:lang w:val="es-MX"/>
              </w:rPr>
            </w:pPr>
            <w:r>
              <w:rPr>
                <w:rFonts w:ascii="Verdana" w:hAnsi="Verdana" w:cs="Arial"/>
                <w:lang w:val="es-MX"/>
              </w:rPr>
              <w:lastRenderedPageBreak/>
              <w:t xml:space="preserve">Decreto 1082 de 2015, </w:t>
            </w:r>
            <w:r>
              <w:rPr>
                <w:rFonts w:ascii="Verdana" w:hAnsi="Verdana" w:cs="Arial"/>
              </w:rPr>
              <w:t>a</w:t>
            </w:r>
            <w:r w:rsidRPr="001C24A4">
              <w:rPr>
                <w:rFonts w:ascii="Verdana" w:hAnsi="Verdana" w:cs="Arial"/>
              </w:rPr>
              <w:t>rtículo 2.2.1.1.2.1.1</w:t>
            </w:r>
            <w:r>
              <w:rPr>
                <w:rFonts w:ascii="Verdana" w:hAnsi="Verdana" w:cs="Arial"/>
              </w:rPr>
              <w:t>.</w:t>
            </w:r>
          </w:p>
          <w:p w14:paraId="42CEAC30" w14:textId="77777777" w:rsidR="00591DEA" w:rsidRDefault="00591DEA" w:rsidP="00591DEA">
            <w:pPr>
              <w:widowControl w:val="0"/>
              <w:numPr>
                <w:ilvl w:val="0"/>
                <w:numId w:val="20"/>
              </w:numPr>
              <w:autoSpaceDE w:val="0"/>
              <w:autoSpaceDN w:val="0"/>
              <w:spacing w:after="120"/>
              <w:jc w:val="both"/>
              <w:rPr>
                <w:rFonts w:ascii="Verdana" w:hAnsi="Verdana" w:cs="Arial"/>
                <w:lang w:val="es-MX"/>
              </w:rPr>
            </w:pPr>
            <w:r w:rsidRPr="005D6A91">
              <w:rPr>
                <w:rFonts w:ascii="Verdana" w:hAnsi="Verdana" w:cs="Arial"/>
                <w:lang w:val="es-MX"/>
              </w:rPr>
              <w:t>Consejo de Estado, Sala de Consulta y Servicio Civil, Concepto 1439 del 18 de julio de 2002. C.P. Susana Montes de Echeverri.</w:t>
            </w:r>
          </w:p>
          <w:p w14:paraId="0DB090CC"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Consejo de Estado. Sección Cuarta. Sentencia del 13 de marzo del 2008. C.P: </w:t>
            </w:r>
            <w:proofErr w:type="spellStart"/>
            <w:r w:rsidRPr="008D191C">
              <w:rPr>
                <w:rFonts w:ascii="Verdana" w:hAnsi="Verdana" w:cs="Arial"/>
                <w:lang w:val="es-MX"/>
              </w:rPr>
              <w:t>Hector</w:t>
            </w:r>
            <w:proofErr w:type="spellEnd"/>
            <w:r w:rsidRPr="008D191C">
              <w:rPr>
                <w:rFonts w:ascii="Verdana" w:hAnsi="Verdana" w:cs="Arial"/>
                <w:lang w:val="es-MX"/>
              </w:rPr>
              <w:t xml:space="preserve"> J. Romero Díaz. </w:t>
            </w:r>
            <w:proofErr w:type="spellStart"/>
            <w:r w:rsidRPr="008D191C">
              <w:rPr>
                <w:rFonts w:ascii="Verdana" w:hAnsi="Verdana" w:cs="Arial"/>
                <w:lang w:val="es-MX"/>
              </w:rPr>
              <w:t>Exp</w:t>
            </w:r>
            <w:proofErr w:type="spellEnd"/>
            <w:r w:rsidRPr="008D191C">
              <w:rPr>
                <w:rFonts w:ascii="Verdana" w:hAnsi="Verdana" w:cs="Arial"/>
                <w:lang w:val="es-MX"/>
              </w:rPr>
              <w:t>. 15009.</w:t>
            </w:r>
          </w:p>
          <w:p w14:paraId="49AF900A"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Consejo de Estado. Sección Primera. Sentencia del 19 de septiembre de 2013. C.P. Marco Antonio Velilla Moreno. Rad. 63001233100020120008901. </w:t>
            </w:r>
          </w:p>
          <w:p w14:paraId="6F35B6BB"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Consejo de Estado. Sala de Consulta y Servicio Civil. 28 de marzo del 2017. C.P. Edgar González López. Rad.2331.</w:t>
            </w:r>
          </w:p>
          <w:p w14:paraId="7AB021BC"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Consejo de Estado. Sala de Consulta y Servicio Civil. Concepto del 5 de septiembre de 2018. Rad. 2.386. C.P. Edgar González López.</w:t>
            </w:r>
          </w:p>
          <w:p w14:paraId="520B2899"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AGENCIA NACIONAL DE CONTRATACIÓN PÚBLICA –COLOMBIA COMPRA EFICIENTE. Guía para los procesos de contratación de obra pública. </w:t>
            </w:r>
          </w:p>
          <w:p w14:paraId="112166CD"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Cámara de Comercio de Bogotá. Laudo TA-CCB-20040531 del 31 de mayo de 2004. Concesión Santa Marta Paraguachón vs. Instituto Nacional de Vías.</w:t>
            </w:r>
          </w:p>
          <w:p w14:paraId="49718B8E"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ABRIL, Antonio. Los contratos mercantiles y su aplicación práctica. Madrid: Bosch, 2017. </w:t>
            </w:r>
          </w:p>
          <w:p w14:paraId="2403B28F"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ALESSANDRI RODRÍGUEZ, Arturo. De los contratos. Santiago de Chile: Editorial Jurídica EDIAR-CONOCSUR LTDA, 1988. </w:t>
            </w:r>
          </w:p>
          <w:p w14:paraId="3CE5E7F9"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BENAVIDES, José Luis. El contrato estatal: entre el derecho público y el derecho privado. Segunda edición. Bogotá: Universidad Externado de Colombia, 2009. </w:t>
            </w:r>
          </w:p>
          <w:p w14:paraId="5B0114FF" w14:textId="77777777" w:rsidR="00591DEA"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BETANCUR JARAMILLO, Carlos. Derecho procesal administrativo. Octava edición. Medellín: Señal Editora, 2013.  </w:t>
            </w:r>
          </w:p>
          <w:p w14:paraId="538F56CC"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9C7A5B">
              <w:rPr>
                <w:rFonts w:ascii="Verdana" w:hAnsi="Verdana" w:cs="Arial"/>
                <w:lang w:val="es-MX"/>
              </w:rPr>
              <w:t>CABARCAS GÓMEZ, Freddy M., Condiciones imprevistas en los contratos de construcción de infraestructura, Universidad Externado de Colombia, 2018</w:t>
            </w:r>
            <w:r>
              <w:rPr>
                <w:rFonts w:ascii="Verdana" w:hAnsi="Verdana" w:cs="Arial"/>
                <w:lang w:val="es-MX"/>
              </w:rPr>
              <w:t>.</w:t>
            </w:r>
          </w:p>
          <w:p w14:paraId="3D01B9FC" w14:textId="77777777" w:rsidR="00591DEA" w:rsidRDefault="00591DEA" w:rsidP="00591DEA">
            <w:pPr>
              <w:widowControl w:val="0"/>
              <w:numPr>
                <w:ilvl w:val="0"/>
                <w:numId w:val="20"/>
              </w:numPr>
              <w:autoSpaceDE w:val="0"/>
              <w:autoSpaceDN w:val="0"/>
              <w:spacing w:after="120"/>
              <w:jc w:val="both"/>
              <w:rPr>
                <w:rFonts w:ascii="Verdana" w:hAnsi="Verdana" w:cs="Arial"/>
                <w:lang w:val="es-MX"/>
              </w:rPr>
            </w:pPr>
            <w:r w:rsidRPr="001C24A4">
              <w:rPr>
                <w:rFonts w:ascii="Verdana" w:hAnsi="Verdana" w:cs="Arial"/>
                <w:lang w:val="es-MX"/>
              </w:rPr>
              <w:t>DUCCI, Jorge, et al. Ventajas y riesgos de contrato llave en mano. Banco Interamericano de Desarrollo, 2013</w:t>
            </w:r>
            <w:r>
              <w:rPr>
                <w:rFonts w:ascii="Verdana" w:hAnsi="Verdana" w:cs="Arial"/>
                <w:lang w:val="es-MX"/>
              </w:rPr>
              <w:t>.</w:t>
            </w:r>
          </w:p>
          <w:p w14:paraId="0648C547" w14:textId="77777777" w:rsidR="00591DEA" w:rsidRPr="00E01A7B" w:rsidRDefault="00591DEA" w:rsidP="00591DEA">
            <w:pPr>
              <w:widowControl w:val="0"/>
              <w:numPr>
                <w:ilvl w:val="0"/>
                <w:numId w:val="20"/>
              </w:numPr>
              <w:autoSpaceDE w:val="0"/>
              <w:autoSpaceDN w:val="0"/>
              <w:spacing w:after="120"/>
              <w:jc w:val="both"/>
              <w:rPr>
                <w:rFonts w:ascii="Verdana" w:hAnsi="Verdana" w:cs="Arial"/>
                <w:lang w:val="en-US"/>
              </w:rPr>
            </w:pPr>
            <w:r w:rsidRPr="009C7A5B">
              <w:rPr>
                <w:rFonts w:ascii="Verdana" w:hAnsi="Verdana" w:cs="Arial"/>
                <w:lang w:val="en-US"/>
              </w:rPr>
              <w:t xml:space="preserve">Fidic, Conditions of Contract for </w:t>
            </w:r>
            <w:proofErr w:type="spellStart"/>
            <w:r w:rsidRPr="009C7A5B">
              <w:rPr>
                <w:rFonts w:ascii="Verdana" w:hAnsi="Verdana" w:cs="Arial"/>
                <w:lang w:val="en-US"/>
              </w:rPr>
              <w:t>epc</w:t>
            </w:r>
            <w:proofErr w:type="spellEnd"/>
            <w:r w:rsidRPr="009C7A5B">
              <w:rPr>
                <w:rFonts w:ascii="Verdana" w:hAnsi="Verdana" w:cs="Arial"/>
                <w:lang w:val="en-US"/>
              </w:rPr>
              <w:t>/Turnkey Projects (</w:t>
            </w:r>
            <w:r>
              <w:rPr>
                <w:rFonts w:ascii="Verdana" w:hAnsi="Verdana" w:cs="Arial"/>
                <w:lang w:val="en-US"/>
              </w:rPr>
              <w:t>1</w:t>
            </w:r>
            <w:r w:rsidRPr="009C7A5B">
              <w:rPr>
                <w:rFonts w:ascii="Verdana" w:hAnsi="Verdana" w:cs="Arial"/>
                <w:lang w:val="en-US"/>
              </w:rPr>
              <w:t>st edition, 1999) (The Silver Book).</w:t>
            </w:r>
          </w:p>
          <w:p w14:paraId="30C4E845" w14:textId="77777777" w:rsidR="00591DEA" w:rsidRDefault="00591DEA" w:rsidP="00591DEA">
            <w:pPr>
              <w:numPr>
                <w:ilvl w:val="0"/>
                <w:numId w:val="20"/>
              </w:numPr>
              <w:spacing w:after="120"/>
              <w:jc w:val="both"/>
              <w:rPr>
                <w:rFonts w:ascii="Verdana" w:hAnsi="Verdana" w:cs="Arial"/>
                <w:lang w:val="es-MX"/>
              </w:rPr>
            </w:pPr>
            <w:r w:rsidRPr="008D191C">
              <w:rPr>
                <w:rFonts w:ascii="Verdana" w:hAnsi="Verdana" w:cs="Arial"/>
                <w:lang w:val="es-MX"/>
              </w:rPr>
              <w:lastRenderedPageBreak/>
              <w:t>MATALLANA CAMACHO, Ernesto. Manual de contratación de la administración pública: reforma de la Ley 80 de 1993. Bogotá. Universidad Externado de Colombia, 2015 – 4 edición.</w:t>
            </w:r>
          </w:p>
          <w:p w14:paraId="0D0F70BE"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OSPINA FERNÁNDEZ, Guillermo &amp; OSPINA ACOSTA, Eduardo. Teoría General del Contrato y del Negocio Jurídico. Séptima edición. Bogotá: Temis, 2021. </w:t>
            </w:r>
          </w:p>
          <w:p w14:paraId="2464DC0D"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OSPINA MENA, Jesús Marino. Régimen de la Contratación Estatal. Un salto a la contratación liquida. Bogotá: </w:t>
            </w:r>
            <w:proofErr w:type="spellStart"/>
            <w:r w:rsidRPr="008D191C">
              <w:rPr>
                <w:rFonts w:ascii="Verdana" w:hAnsi="Verdana" w:cs="Arial"/>
                <w:lang w:val="es-MX"/>
              </w:rPr>
              <w:t>Dike</w:t>
            </w:r>
            <w:proofErr w:type="spellEnd"/>
            <w:r w:rsidRPr="008D191C">
              <w:rPr>
                <w:rFonts w:ascii="Verdana" w:hAnsi="Verdana" w:cs="Arial"/>
                <w:lang w:val="es-MX"/>
              </w:rPr>
              <w:t>, 2020.</w:t>
            </w:r>
          </w:p>
          <w:p w14:paraId="4C5AACF3"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PODETTI, Humberto. El contrato de construcción. Buenos Aires: Editorial Astrea, 2004.</w:t>
            </w:r>
          </w:p>
          <w:p w14:paraId="4DA9B208" w14:textId="77777777" w:rsidR="00591DEA" w:rsidRDefault="00591DEA" w:rsidP="00591DEA">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SUÁREZ BELTRÁN, Gonzalo. Estudios de derecho público contractual: Bogotá: Legis, 2014.  </w:t>
            </w:r>
          </w:p>
          <w:p w14:paraId="021FA8E3" w14:textId="77777777" w:rsidR="00591DEA" w:rsidRPr="008D191C" w:rsidRDefault="00591DEA" w:rsidP="00591DEA">
            <w:pPr>
              <w:widowControl w:val="0"/>
              <w:numPr>
                <w:ilvl w:val="0"/>
                <w:numId w:val="20"/>
              </w:numPr>
              <w:autoSpaceDE w:val="0"/>
              <w:autoSpaceDN w:val="0"/>
              <w:spacing w:after="120"/>
              <w:jc w:val="both"/>
              <w:rPr>
                <w:rFonts w:ascii="Verdana" w:hAnsi="Verdana" w:cs="Arial"/>
                <w:lang w:val="es-MX"/>
              </w:rPr>
            </w:pPr>
            <w:r w:rsidRPr="001C24A4">
              <w:rPr>
                <w:rFonts w:ascii="Verdana" w:hAnsi="Verdana" w:cs="Arial"/>
                <w:lang w:val="es-MX"/>
              </w:rPr>
              <w:t>VALLEJO, Felipe. Responsabilidad profesional en la construcción de obras. Revista Derecho Del Estado, n.º 20 (1), 97-120. https://revistas.uexternado.edu.co/index.php/derest/article/v</w:t>
            </w:r>
            <w:r>
              <w:rPr>
                <w:rFonts w:ascii="Verdana" w:hAnsi="Verdana" w:cs="Arial"/>
                <w:lang w:val="es-MX"/>
              </w:rPr>
              <w:t>iew/706.</w:t>
            </w:r>
          </w:p>
        </w:tc>
      </w:tr>
    </w:tbl>
    <w:p w14:paraId="4D448611" w14:textId="77777777" w:rsidR="00591DEA" w:rsidRPr="00A12CB6" w:rsidRDefault="00591DEA" w:rsidP="00591DEA">
      <w:pPr>
        <w:spacing w:line="276" w:lineRule="auto"/>
        <w:ind w:right="709"/>
        <w:contextualSpacing/>
        <w:jc w:val="both"/>
        <w:rPr>
          <w:rFonts w:ascii="Verdana" w:hAnsi="Verdana" w:cs="Arial"/>
          <w:color w:val="000000" w:themeColor="text1"/>
          <w:lang w:val="es-ES_tradnl"/>
        </w:rPr>
      </w:pPr>
    </w:p>
    <w:p w14:paraId="58D826D2" w14:textId="77777777" w:rsidR="00591DEA" w:rsidRPr="00A12CB6" w:rsidRDefault="00591DEA" w:rsidP="00591DEA">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Doctrina de la Agencia Nacional de Contratación Pública:</w:t>
      </w:r>
    </w:p>
    <w:p w14:paraId="77562EA9" w14:textId="77777777" w:rsidR="00591DEA" w:rsidRPr="00A12CB6" w:rsidRDefault="00591DEA" w:rsidP="00591DEA">
      <w:pPr>
        <w:spacing w:after="0" w:line="256" w:lineRule="auto"/>
        <w:rPr>
          <w:rFonts w:ascii="Verdana" w:eastAsia="Calibri" w:hAnsi="Verdana" w:cs="Times New Roman"/>
          <w:lang w:val="es-ES"/>
        </w:rPr>
      </w:pPr>
    </w:p>
    <w:p w14:paraId="40490A92" w14:textId="77777777" w:rsidR="00591DEA" w:rsidRPr="006A24F2" w:rsidRDefault="00591DEA" w:rsidP="00591DEA">
      <w:pPr>
        <w:widowControl w:val="0"/>
        <w:autoSpaceDE w:val="0"/>
        <w:autoSpaceDN w:val="0"/>
        <w:spacing w:after="0" w:line="276" w:lineRule="auto"/>
        <w:jc w:val="both"/>
        <w:rPr>
          <w:rFonts w:ascii="Verdana" w:hAnsi="Verdana" w:cs="Arial"/>
          <w:shd w:val="clear" w:color="auto" w:fill="FFFFFF"/>
          <w:lang w:val="es-ES"/>
        </w:rPr>
      </w:pPr>
      <w:r w:rsidRPr="006A24F2">
        <w:rPr>
          <w:rFonts w:ascii="Verdana" w:hAnsi="Verdana" w:cs="Arial"/>
          <w:shd w:val="clear" w:color="auto" w:fill="FFFFFF"/>
        </w:rPr>
        <w:t>Esta Subdirección se ha pronunciado sobre el objeto y las características del contrato de obra pública en los Conceptos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C-174 del 16 de mayo de 2023</w:t>
      </w:r>
      <w:r>
        <w:rPr>
          <w:rFonts w:ascii="Verdana" w:hAnsi="Verdana" w:cs="Arial"/>
          <w:shd w:val="clear" w:color="auto" w:fill="FFFFFF"/>
        </w:rPr>
        <w:t>,</w:t>
      </w:r>
      <w:r w:rsidRPr="006A24F2">
        <w:rPr>
          <w:rFonts w:ascii="Verdana" w:hAnsi="Verdana" w:cs="Arial"/>
          <w:shd w:val="clear" w:color="auto" w:fill="FFFFFF"/>
        </w:rPr>
        <w:t xml:space="preserve"> C-735 del 20 de junio de 2025, </w:t>
      </w:r>
      <w:r>
        <w:rPr>
          <w:rFonts w:ascii="Verdana" w:hAnsi="Verdana" w:cs="Arial"/>
          <w:shd w:val="clear" w:color="auto" w:fill="FFFFFF"/>
        </w:rPr>
        <w:t>C-915 del 15 de julio de 2025, entre otros</w:t>
      </w:r>
      <w:r>
        <w:rPr>
          <w:rFonts w:ascii="Verdana" w:hAnsi="Verdana" w:cs="Arial"/>
          <w:shd w:val="clear" w:color="auto" w:fill="FFFFFF"/>
          <w:lang w:val="es-ES"/>
        </w:rPr>
        <w:t xml:space="preserve">. En todo caso, este concepto hace un análisis particular de los contratos bajo la modalidad de llave en mano. </w:t>
      </w:r>
      <w:r w:rsidRPr="00A12CB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D276292" w14:textId="77777777" w:rsidR="00591DEA" w:rsidRPr="00A12CB6" w:rsidRDefault="00591DEA" w:rsidP="00591DEA">
      <w:pPr>
        <w:spacing w:after="0" w:line="256" w:lineRule="auto"/>
        <w:jc w:val="both"/>
        <w:rPr>
          <w:rFonts w:ascii="Verdana" w:eastAsia="Calibri" w:hAnsi="Verdana" w:cs="Times New Roman"/>
        </w:rPr>
      </w:pPr>
      <w:hyperlink r:id="rId15" w:history="1">
        <w:r w:rsidRPr="00A12CB6">
          <w:rPr>
            <w:rFonts w:ascii="Verdana" w:eastAsia="Calibri" w:hAnsi="Verdana" w:cs="Times New Roman"/>
            <w:color w:val="0000FF"/>
            <w:u w:val="single"/>
            <w:lang w:val="es-ES"/>
          </w:rPr>
          <w:t>https://relatoria.colombiacompra.gov.co/busqueda/conceptos</w:t>
        </w:r>
      </w:hyperlink>
      <w:r w:rsidRPr="00A12CB6">
        <w:rPr>
          <w:rFonts w:ascii="Verdana" w:eastAsia="Calibri" w:hAnsi="Verdana" w:cs="Times New Roman"/>
        </w:rPr>
        <w:t xml:space="preserve">. </w:t>
      </w:r>
    </w:p>
    <w:p w14:paraId="7AFD6B94" w14:textId="77777777" w:rsidR="00591DEA" w:rsidRPr="00A12CB6" w:rsidRDefault="00591DEA" w:rsidP="00591DEA">
      <w:pPr>
        <w:spacing w:after="0" w:line="256" w:lineRule="auto"/>
        <w:jc w:val="both"/>
        <w:rPr>
          <w:rFonts w:ascii="Verdana" w:eastAsia="Calibri" w:hAnsi="Verdana" w:cs="Times New Roman"/>
          <w:lang w:val="es-ES"/>
        </w:rPr>
      </w:pPr>
    </w:p>
    <w:p w14:paraId="67150639" w14:textId="77777777" w:rsidR="00591DEA" w:rsidRPr="00EC0E3F" w:rsidRDefault="00591DEA" w:rsidP="00591DEA">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w:t>
      </w:r>
      <w:r w:rsidRPr="00EC0E3F">
        <w:rPr>
          <w:rFonts w:ascii="Verdana" w:eastAsia="Calibri" w:hAnsi="Verdana" w:cs="Times New Roman"/>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C9CA37B" w14:textId="77777777" w:rsidR="00591DEA" w:rsidRDefault="00591DEA" w:rsidP="00591DEA">
      <w:pPr>
        <w:spacing w:after="0" w:line="240" w:lineRule="auto"/>
        <w:jc w:val="both"/>
        <w:rPr>
          <w:rFonts w:ascii="Verdana" w:hAnsi="Verdana"/>
        </w:rPr>
      </w:pPr>
    </w:p>
    <w:p w14:paraId="1038794F" w14:textId="77777777" w:rsidR="00591DEA" w:rsidRPr="00B31C7B" w:rsidRDefault="00591DEA" w:rsidP="00591DEA">
      <w:pPr>
        <w:spacing w:after="0" w:line="256" w:lineRule="auto"/>
        <w:jc w:val="both"/>
        <w:rPr>
          <w:rFonts w:ascii="Verdana" w:eastAsia="Calibri" w:hAnsi="Verdana" w:cs="Times New Roman"/>
          <w:bCs/>
          <w:lang w:val="es-ES_tradnl"/>
        </w:rPr>
      </w:pPr>
      <w:r w:rsidRPr="00B31C7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1927415" w14:textId="77777777" w:rsidR="00591DEA" w:rsidRPr="00B31C7B" w:rsidRDefault="00591DEA" w:rsidP="00591DEA">
      <w:pPr>
        <w:spacing w:after="0" w:line="256" w:lineRule="auto"/>
        <w:jc w:val="both"/>
        <w:rPr>
          <w:rFonts w:ascii="Verdana" w:eastAsia="Calibri" w:hAnsi="Verdana" w:cs="Times New Roman"/>
        </w:rPr>
      </w:pPr>
    </w:p>
    <w:p w14:paraId="4A7C4629" w14:textId="77777777" w:rsidR="00591DEA" w:rsidRDefault="00591DEA" w:rsidP="00591DEA">
      <w:pPr>
        <w:spacing w:after="0" w:line="256" w:lineRule="auto"/>
        <w:jc w:val="both"/>
        <w:rPr>
          <w:rFonts w:ascii="Verdana" w:eastAsia="Calibri" w:hAnsi="Verdana" w:cs="Times New Roman"/>
        </w:rPr>
      </w:pPr>
      <w:r w:rsidRPr="00B31C7B">
        <w:rPr>
          <w:rFonts w:ascii="Verdana" w:eastAsia="Calibri" w:hAnsi="Verdana" w:cs="Times New Roman"/>
        </w:rPr>
        <w:t>Atentamente,</w:t>
      </w:r>
    </w:p>
    <w:p w14:paraId="375D8178" w14:textId="0BA1FFC5" w:rsidR="00591DEA" w:rsidRDefault="00591DEA" w:rsidP="00362B7B">
      <w:pPr>
        <w:spacing w:after="0" w:line="276" w:lineRule="auto"/>
        <w:rPr>
          <w:noProof/>
          <w:lang w:val="en-US"/>
        </w:rPr>
      </w:pPr>
    </w:p>
    <w:p w14:paraId="7CB565BF" w14:textId="3CDECB3B" w:rsidR="00362B7B" w:rsidRDefault="00362B7B" w:rsidP="00591DEA">
      <w:pPr>
        <w:spacing w:after="0" w:line="276" w:lineRule="auto"/>
        <w:jc w:val="center"/>
        <w:rPr>
          <w:noProof/>
          <w:lang w:val="en-US"/>
        </w:rPr>
      </w:pPr>
      <w:r w:rsidRPr="002C3AD6">
        <w:rPr>
          <w:rFonts w:ascii="Century Gothic" w:hAnsi="Century Gothic"/>
          <w:noProof/>
          <w:lang w:val="en-US"/>
        </w:rPr>
        <w:drawing>
          <wp:inline distT="0" distB="0" distL="0" distR="0" wp14:anchorId="4A276A94" wp14:editId="653088EE">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193CBAD4" w14:textId="52FC6E8C" w:rsidR="00591DEA" w:rsidRPr="00D27231" w:rsidRDefault="00591DEA" w:rsidP="00362B7B">
      <w:pPr>
        <w:spacing w:after="0" w:line="276" w:lineRule="auto"/>
        <w:rPr>
          <w:rFonts w:ascii="Verdana" w:hAnsi="Verdana"/>
          <w:sz w:val="16"/>
          <w:szCs w:val="16"/>
          <w:lang w:val="es-MX"/>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91DEA" w:rsidRPr="00D27231" w14:paraId="7A6ADDA5" w14:textId="77777777" w:rsidTr="00F57C42">
        <w:trPr>
          <w:trHeight w:val="409"/>
        </w:trPr>
        <w:tc>
          <w:tcPr>
            <w:tcW w:w="817" w:type="dxa"/>
            <w:tcBorders>
              <w:top w:val="nil"/>
              <w:left w:val="nil"/>
              <w:bottom w:val="nil"/>
              <w:right w:val="nil"/>
            </w:tcBorders>
            <w:vAlign w:val="center"/>
            <w:hideMark/>
          </w:tcPr>
          <w:p w14:paraId="49D80F83"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0D7ECC9"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José Luis Sánchez Cardona</w:t>
            </w:r>
          </w:p>
          <w:p w14:paraId="76A3867A"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Contratista de la Subdirección de Gestión Contractual</w:t>
            </w:r>
          </w:p>
        </w:tc>
      </w:tr>
      <w:tr w:rsidR="00591DEA" w:rsidRPr="00D27231" w14:paraId="137E06DC" w14:textId="77777777" w:rsidTr="00F57C42">
        <w:trPr>
          <w:trHeight w:val="409"/>
        </w:trPr>
        <w:tc>
          <w:tcPr>
            <w:tcW w:w="817" w:type="dxa"/>
            <w:tcBorders>
              <w:top w:val="nil"/>
              <w:left w:val="nil"/>
              <w:bottom w:val="nil"/>
              <w:right w:val="nil"/>
            </w:tcBorders>
            <w:vAlign w:val="center"/>
            <w:hideMark/>
          </w:tcPr>
          <w:p w14:paraId="70C5FAE6"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6374269"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Alejandro Sarmiento Cantillo</w:t>
            </w:r>
          </w:p>
          <w:p w14:paraId="40FBB5E6"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Gestor T1-15 de la Subdirección de Gestión Contractual </w:t>
            </w:r>
          </w:p>
        </w:tc>
      </w:tr>
      <w:tr w:rsidR="00591DEA" w:rsidRPr="00D27231" w14:paraId="3E066754" w14:textId="77777777" w:rsidTr="00F57C42">
        <w:trPr>
          <w:trHeight w:val="389"/>
        </w:trPr>
        <w:tc>
          <w:tcPr>
            <w:tcW w:w="817" w:type="dxa"/>
            <w:tcBorders>
              <w:top w:val="nil"/>
              <w:left w:val="nil"/>
              <w:bottom w:val="nil"/>
              <w:right w:val="nil"/>
            </w:tcBorders>
            <w:vAlign w:val="center"/>
            <w:hideMark/>
          </w:tcPr>
          <w:p w14:paraId="64D9D247"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364DC04"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 xml:space="preserve">Carolina Quintero </w:t>
            </w:r>
            <w:proofErr w:type="spellStart"/>
            <w:r w:rsidRPr="00D27231">
              <w:rPr>
                <w:rFonts w:ascii="Verdana" w:eastAsia="Calibri" w:hAnsi="Verdana" w:cs="Times New Roman"/>
                <w:sz w:val="16"/>
                <w:szCs w:val="16"/>
              </w:rPr>
              <w:t>Gacharná</w:t>
            </w:r>
            <w:proofErr w:type="spellEnd"/>
          </w:p>
          <w:p w14:paraId="1F594059" w14:textId="77777777" w:rsidR="00591DEA" w:rsidRPr="00D27231" w:rsidRDefault="00591DEA" w:rsidP="00F57C42">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Subdirectora de Gestión Contractual ANCP – CCE</w:t>
            </w:r>
          </w:p>
        </w:tc>
      </w:tr>
      <w:bookmarkEnd w:id="0"/>
    </w:tbl>
    <w:p w14:paraId="16B6E8EB" w14:textId="77777777" w:rsidR="00591DEA" w:rsidRPr="008D191C" w:rsidRDefault="00591DEA" w:rsidP="00591DEA">
      <w:pPr>
        <w:spacing w:after="0"/>
        <w:rPr>
          <w:rFonts w:ascii="Verdana" w:hAnsi="Verdana"/>
        </w:rPr>
      </w:pPr>
    </w:p>
    <w:p w14:paraId="02124C54" w14:textId="77777777" w:rsidR="00591DEA" w:rsidRPr="008D191C" w:rsidRDefault="00591DEA" w:rsidP="00591DEA">
      <w:pPr>
        <w:rPr>
          <w:rStyle w:val="Hipervnculo"/>
          <w:color w:val="auto"/>
          <w:u w:val="none"/>
        </w:rPr>
      </w:pPr>
    </w:p>
    <w:p w14:paraId="1306D489" w14:textId="77777777" w:rsidR="00591DEA" w:rsidRPr="004D7AB5" w:rsidRDefault="00591DEA" w:rsidP="00591DEA"/>
    <w:p w14:paraId="550B89FF" w14:textId="77777777" w:rsidR="00930E1E" w:rsidRPr="00591DEA" w:rsidRDefault="00930E1E" w:rsidP="00591DEA">
      <w:pPr>
        <w:rPr>
          <w:rStyle w:val="Hipervnculo"/>
          <w:color w:val="auto"/>
          <w:u w:val="none"/>
        </w:rPr>
      </w:pPr>
    </w:p>
    <w:sectPr w:rsidR="00930E1E" w:rsidRPr="00591DE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1518" w14:textId="77777777" w:rsidR="00C3782A" w:rsidRDefault="00C3782A" w:rsidP="004A1847">
      <w:pPr>
        <w:spacing w:after="0" w:line="240" w:lineRule="auto"/>
      </w:pPr>
      <w:r>
        <w:separator/>
      </w:r>
    </w:p>
  </w:endnote>
  <w:endnote w:type="continuationSeparator" w:id="0">
    <w:p w14:paraId="615B343D" w14:textId="77777777" w:rsidR="00C3782A" w:rsidRDefault="00C3782A" w:rsidP="004A1847">
      <w:pPr>
        <w:spacing w:after="0" w:line="240" w:lineRule="auto"/>
      </w:pPr>
      <w:r>
        <w:continuationSeparator/>
      </w:r>
    </w:p>
  </w:endnote>
  <w:endnote w:type="continuationNotice" w:id="1">
    <w:p w14:paraId="4AF6E68E" w14:textId="77777777" w:rsidR="00C3782A" w:rsidRDefault="00C378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Roman">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35C8919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62B7B" w:rsidRPr="00362B7B">
      <w:rPr>
        <w:rFonts w:ascii="Verdana" w:eastAsiaTheme="minorEastAsia" w:hAnsi="Verdana"/>
        <w:b/>
        <w:bCs/>
        <w:noProof/>
        <w:sz w:val="16"/>
        <w:szCs w:val="16"/>
      </w:rPr>
      <w:t>27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4CC88" w14:textId="77777777" w:rsidR="00C3782A" w:rsidRDefault="00C3782A" w:rsidP="004A1847">
      <w:pPr>
        <w:spacing w:after="0" w:line="240" w:lineRule="auto"/>
      </w:pPr>
      <w:r>
        <w:separator/>
      </w:r>
    </w:p>
  </w:footnote>
  <w:footnote w:type="continuationSeparator" w:id="0">
    <w:p w14:paraId="0CB7D22E" w14:textId="77777777" w:rsidR="00C3782A" w:rsidRDefault="00C3782A" w:rsidP="004A1847">
      <w:pPr>
        <w:spacing w:after="0" w:line="240" w:lineRule="auto"/>
      </w:pPr>
      <w:r>
        <w:continuationSeparator/>
      </w:r>
    </w:p>
  </w:footnote>
  <w:footnote w:type="continuationNotice" w:id="1">
    <w:p w14:paraId="3D33B9AD" w14:textId="77777777" w:rsidR="00C3782A" w:rsidRDefault="00C3782A">
      <w:pPr>
        <w:spacing w:after="0" w:line="240" w:lineRule="auto"/>
      </w:pPr>
    </w:p>
  </w:footnote>
  <w:footnote w:id="2">
    <w:p w14:paraId="1455A29E" w14:textId="77777777" w:rsidR="00591DEA" w:rsidRPr="00E01A7B" w:rsidRDefault="00591DEA" w:rsidP="00591DEA">
      <w:pPr>
        <w:spacing w:after="0" w:line="240" w:lineRule="auto"/>
        <w:ind w:firstLine="709"/>
        <w:jc w:val="both"/>
        <w:rPr>
          <w:rFonts w:ascii="Verdana" w:hAnsi="Verdana" w:cs="Arial"/>
          <w:color w:val="000000"/>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E01A7B">
        <w:rPr>
          <w:rFonts w:ascii="Verdana" w:hAnsi="Verdana" w:cs="Arial"/>
          <w:color w:val="000000"/>
          <w:sz w:val="16"/>
          <w:szCs w:val="16"/>
        </w:rPr>
        <w:t>PODETTI, Humberto. El contrato de construcción. Buenos Aires: Editorial Astrea, 2004, p. 248.</w:t>
      </w:r>
    </w:p>
    <w:p w14:paraId="344C3C86" w14:textId="77777777" w:rsidR="00591DEA" w:rsidRPr="00E01A7B" w:rsidRDefault="00591DEA" w:rsidP="00591DEA">
      <w:pPr>
        <w:pStyle w:val="Textonotapie"/>
        <w:rPr>
          <w:rFonts w:ascii="Verdana" w:hAnsi="Verdana"/>
          <w:sz w:val="16"/>
          <w:szCs w:val="16"/>
          <w:lang w:val="es-CO"/>
        </w:rPr>
      </w:pPr>
    </w:p>
  </w:footnote>
  <w:footnote w:id="3">
    <w:p w14:paraId="6BBAB233" w14:textId="77777777" w:rsidR="00591DEA" w:rsidRPr="00574B7A" w:rsidRDefault="00591DEA" w:rsidP="00591DEA">
      <w:pPr>
        <w:pStyle w:val="Textonotapie"/>
        <w:ind w:firstLine="708"/>
        <w:rPr>
          <w:rFonts w:ascii="Verdana" w:hAnsi="Verdana" w:cs="Arial"/>
          <w:color w:val="000000"/>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w:t>
      </w:r>
      <w:r w:rsidRPr="00574B7A">
        <w:rPr>
          <w:rFonts w:ascii="Verdana" w:hAnsi="Verdana"/>
          <w:sz w:val="16"/>
          <w:szCs w:val="16"/>
        </w:rPr>
        <w:t>í</w:t>
      </w:r>
      <w:r w:rsidRPr="00E01A7B">
        <w:rPr>
          <w:rFonts w:ascii="Verdana" w:hAnsi="Verdana"/>
          <w:sz w:val="16"/>
          <w:szCs w:val="16"/>
        </w:rPr>
        <w:t>d</w:t>
      </w:r>
      <w:r w:rsidRPr="00574B7A">
        <w:rPr>
          <w:rFonts w:ascii="Verdana" w:hAnsi="Verdana"/>
          <w:sz w:val="16"/>
          <w:szCs w:val="16"/>
        </w:rPr>
        <w:t>em,</w:t>
      </w:r>
      <w:r w:rsidRPr="00E01A7B">
        <w:rPr>
          <w:rFonts w:ascii="Verdana" w:hAnsi="Verdana"/>
          <w:sz w:val="16"/>
          <w:szCs w:val="16"/>
        </w:rPr>
        <w:t xml:space="preserve"> </w:t>
      </w:r>
      <w:r w:rsidRPr="00E01A7B">
        <w:rPr>
          <w:rFonts w:ascii="Verdana" w:hAnsi="Verdana" w:cs="Arial"/>
          <w:color w:val="000000"/>
          <w:sz w:val="16"/>
          <w:szCs w:val="16"/>
        </w:rPr>
        <w:t>pp. 248-249.</w:t>
      </w:r>
    </w:p>
    <w:p w14:paraId="74534057" w14:textId="77777777" w:rsidR="00591DEA" w:rsidRPr="00E01A7B" w:rsidRDefault="00591DEA" w:rsidP="00591DEA">
      <w:pPr>
        <w:pStyle w:val="Textonotapie"/>
        <w:ind w:firstLine="708"/>
        <w:rPr>
          <w:rFonts w:ascii="Verdana" w:hAnsi="Verdana"/>
          <w:sz w:val="16"/>
          <w:szCs w:val="16"/>
        </w:rPr>
      </w:pPr>
    </w:p>
  </w:footnote>
  <w:footnote w:id="4">
    <w:p w14:paraId="38D84683" w14:textId="77777777" w:rsidR="00591DEA" w:rsidRPr="00574B7A" w:rsidRDefault="00591DEA" w:rsidP="00591DEA">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p w14:paraId="5C15E1A3" w14:textId="77777777" w:rsidR="00591DEA" w:rsidRPr="00E01A7B" w:rsidRDefault="00591DEA" w:rsidP="00591DEA">
      <w:pPr>
        <w:pStyle w:val="Textonotapie"/>
        <w:rPr>
          <w:rFonts w:ascii="Verdana" w:hAnsi="Verdana"/>
          <w:sz w:val="16"/>
          <w:szCs w:val="16"/>
        </w:rPr>
      </w:pPr>
    </w:p>
  </w:footnote>
  <w:footnote w:id="5">
    <w:p w14:paraId="4E7E0015" w14:textId="77777777" w:rsidR="00591DEA" w:rsidRPr="00574B7A" w:rsidRDefault="00591DEA" w:rsidP="00591DEA">
      <w:pPr>
        <w:pStyle w:val="Textonotapie"/>
        <w:ind w:firstLine="709"/>
        <w:jc w:val="both"/>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Ibídem, pp. 103-104</w:t>
      </w:r>
    </w:p>
    <w:p w14:paraId="52D6059C" w14:textId="77777777" w:rsidR="00591DEA" w:rsidRPr="00574B7A" w:rsidRDefault="00591DEA" w:rsidP="00591DEA">
      <w:pPr>
        <w:pStyle w:val="Textonotapie"/>
        <w:ind w:firstLine="709"/>
        <w:jc w:val="both"/>
        <w:rPr>
          <w:rFonts w:ascii="Verdana" w:hAnsi="Verdana"/>
          <w:sz w:val="16"/>
          <w:szCs w:val="16"/>
        </w:rPr>
      </w:pPr>
    </w:p>
  </w:footnote>
  <w:footnote w:id="6">
    <w:p w14:paraId="228BA521" w14:textId="6E823E49" w:rsidR="00591DEA" w:rsidRPr="00591DEA" w:rsidRDefault="00591DEA" w:rsidP="00591DEA">
      <w:pPr>
        <w:pStyle w:val="Textonotapie"/>
        <w:ind w:firstLine="708"/>
        <w:jc w:val="both"/>
        <w:rPr>
          <w:rFonts w:ascii="Verdana" w:hAnsi="Verdana" w:cs="Arial"/>
          <w:sz w:val="16"/>
          <w:szCs w:val="16"/>
        </w:rPr>
      </w:pPr>
      <w:r w:rsidRPr="00540128">
        <w:rPr>
          <w:rStyle w:val="Refdenotaalpie"/>
          <w:rFonts w:ascii="Verdana" w:hAnsi="Verdana" w:cs="Arial"/>
          <w:sz w:val="16"/>
          <w:szCs w:val="16"/>
        </w:rPr>
        <w:footnoteRef/>
      </w:r>
      <w:r w:rsidRPr="0054012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7">
    <w:p w14:paraId="624AA9A5" w14:textId="77777777" w:rsidR="00591DEA" w:rsidRPr="00540128" w:rsidRDefault="00591DEA" w:rsidP="00591DEA">
      <w:pPr>
        <w:pStyle w:val="Textonotapie"/>
        <w:ind w:firstLine="708"/>
        <w:jc w:val="both"/>
        <w:rPr>
          <w:rFonts w:ascii="Verdana" w:hAnsi="Verdana" w:cs="Arial"/>
          <w:sz w:val="16"/>
          <w:szCs w:val="16"/>
          <w:lang w:val="es-ES"/>
        </w:rPr>
      </w:pPr>
      <w:r w:rsidRPr="00540128">
        <w:rPr>
          <w:rStyle w:val="Refdenotaalpie"/>
          <w:rFonts w:ascii="Verdana" w:hAnsi="Verdana" w:cs="Arial"/>
          <w:sz w:val="16"/>
          <w:szCs w:val="16"/>
        </w:rPr>
        <w:footnoteRef/>
      </w:r>
      <w:r w:rsidRPr="00540128">
        <w:rPr>
          <w:rFonts w:ascii="Verdana" w:hAnsi="Verdana" w:cs="Arial"/>
          <w:sz w:val="16"/>
          <w:szCs w:val="16"/>
        </w:rPr>
        <w:t xml:space="preserve"> BETANCUR JARAMILLO, Carlos. Derecho procesal administrativo. Octava edición. Medellín: Señal Editora, 2013. p. 627. </w:t>
      </w:r>
    </w:p>
  </w:footnote>
  <w:footnote w:id="8">
    <w:p w14:paraId="655B03CB" w14:textId="77777777" w:rsidR="00591DEA" w:rsidRPr="00540128" w:rsidRDefault="00591DEA" w:rsidP="00591DEA">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ALESSANDRI RODRÍGUEZ, Arturo. De los contratos. Santiago de Chile: Editorial Jurídica EDIAR-CONOCSUR LTDA, 1988. p. 182. </w:t>
      </w:r>
    </w:p>
  </w:footnote>
  <w:footnote w:id="9">
    <w:p w14:paraId="6B9457D5" w14:textId="2F469D00" w:rsidR="00591DEA" w:rsidRPr="00540128" w:rsidRDefault="00591DEA" w:rsidP="00591DEA">
      <w:pPr>
        <w:pStyle w:val="Textonotapie"/>
        <w:ind w:firstLine="708"/>
        <w:jc w:val="both"/>
        <w:rPr>
          <w:rFonts w:ascii="Verdana" w:hAnsi="Verdana" w:cs="Arial"/>
          <w:sz w:val="16"/>
          <w:szCs w:val="16"/>
          <w:lang w:val="es-ES_tradnl"/>
        </w:rPr>
      </w:pPr>
      <w:r w:rsidRPr="00540128">
        <w:rPr>
          <w:rStyle w:val="Refdenotaalpie"/>
          <w:rFonts w:ascii="Verdana" w:hAnsi="Verdana" w:cs="Arial"/>
          <w:sz w:val="16"/>
          <w:szCs w:val="16"/>
        </w:rPr>
        <w:footnoteRef/>
      </w:r>
      <w:r w:rsidRPr="00540128">
        <w:rPr>
          <w:rFonts w:ascii="Verdana" w:hAnsi="Verdana" w:cs="Arial"/>
          <w:sz w:val="16"/>
          <w:szCs w:val="16"/>
        </w:rPr>
        <w:t xml:space="preserve"> </w:t>
      </w:r>
      <w:r w:rsidRPr="00540128">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10">
    <w:p w14:paraId="050D8D4D" w14:textId="2318FB0D" w:rsidR="00591DEA" w:rsidRPr="00540128" w:rsidRDefault="00591DEA" w:rsidP="00591DEA">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OSPINA MENA, Jesús Marino. Régimen de la Contratación Estatal. Un salto a la contratación liquida. Bogotá: Dike, 2020. p. 168.</w:t>
      </w:r>
    </w:p>
  </w:footnote>
  <w:footnote w:id="11">
    <w:p w14:paraId="73F27147" w14:textId="77777777" w:rsidR="00591DEA" w:rsidRPr="00540128" w:rsidRDefault="00591DEA" w:rsidP="00591DEA">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Consejo de Estado. Sala de Consulta y Servicio Civil. Concepto del 5 de septiembre de 2018. Rad. 2.386. C.P. Edgar González López.</w:t>
      </w:r>
    </w:p>
  </w:footnote>
  <w:footnote w:id="12">
    <w:p w14:paraId="36F09460" w14:textId="77777777" w:rsidR="00591DEA" w:rsidRPr="00222C6C" w:rsidRDefault="00591DEA" w:rsidP="00591DEA">
      <w:pPr>
        <w:pStyle w:val="Textonotapie"/>
        <w:ind w:firstLine="708"/>
        <w:jc w:val="both"/>
        <w:rPr>
          <w:rFonts w:ascii="Verdana" w:hAnsi="Verdana"/>
          <w:sz w:val="16"/>
          <w:szCs w:val="16"/>
        </w:rPr>
      </w:pPr>
      <w:r w:rsidRPr="00222C6C">
        <w:rPr>
          <w:rStyle w:val="Refdenotaalpie"/>
          <w:rFonts w:ascii="Verdana" w:hAnsi="Verdana"/>
          <w:sz w:val="16"/>
          <w:szCs w:val="16"/>
        </w:rPr>
        <w:footnoteRef/>
      </w:r>
      <w:r w:rsidRPr="00222C6C">
        <w:rPr>
          <w:rFonts w:ascii="Verdana" w:hAnsi="Verdana"/>
          <w:sz w:val="16"/>
          <w:szCs w:val="16"/>
        </w:rPr>
        <w:t xml:space="preserve"> De acuerdo con la norma citada: “Artículo 87. Maduración de proyectos. El numeral 12 del artículo 25 de la Ley 80 de 1993 quedará así:</w:t>
      </w:r>
    </w:p>
    <w:p w14:paraId="4678E9C9" w14:textId="77777777" w:rsidR="00591DEA" w:rsidRPr="00222C6C" w:rsidRDefault="00591DEA" w:rsidP="00591DEA">
      <w:pPr>
        <w:pStyle w:val="Textonotapie"/>
        <w:ind w:firstLine="708"/>
        <w:jc w:val="both"/>
        <w:rPr>
          <w:rFonts w:ascii="Verdana" w:hAnsi="Verdana"/>
          <w:sz w:val="16"/>
          <w:szCs w:val="16"/>
        </w:rPr>
      </w:pPr>
      <w:r w:rsidRPr="00222C6C">
        <w:rPr>
          <w:rFonts w:ascii="Verdana" w:hAnsi="Verdana"/>
          <w:sz w:val="16"/>
          <w:szCs w:val="16"/>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BBBA504" w14:textId="78FC6554" w:rsidR="00591DEA" w:rsidRPr="00222C6C" w:rsidRDefault="00591DEA" w:rsidP="00591DEA">
      <w:pPr>
        <w:pStyle w:val="Textonotapie"/>
        <w:ind w:firstLine="708"/>
        <w:jc w:val="both"/>
        <w:rPr>
          <w:rFonts w:ascii="Verdana" w:hAnsi="Verdana"/>
          <w:sz w:val="16"/>
          <w:szCs w:val="16"/>
        </w:rPr>
      </w:pPr>
      <w:r w:rsidRPr="00222C6C">
        <w:rPr>
          <w:rFonts w:ascii="Verdana" w:hAnsi="Verdana"/>
          <w:sz w:val="16"/>
          <w:szCs w:val="16"/>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footnote>
  <w:footnote w:id="13">
    <w:p w14:paraId="78B65920" w14:textId="77777777" w:rsidR="00591DEA" w:rsidRPr="000A1B8E" w:rsidRDefault="00591DEA" w:rsidP="00591DEA">
      <w:pPr>
        <w:pStyle w:val="Textonotapie"/>
        <w:ind w:firstLine="708"/>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El artículo 26.3 de la Ley 80 de 1993 dispone que </w:t>
      </w:r>
      <w:r>
        <w:rPr>
          <w:rFonts w:ascii="Verdana" w:hAnsi="Verdana" w:cs="Arial"/>
          <w:sz w:val="16"/>
          <w:szCs w:val="16"/>
        </w:rPr>
        <w:t>“</w:t>
      </w:r>
      <w:r w:rsidRPr="000A1B8E">
        <w:rPr>
          <w:rFonts w:ascii="Verdana" w:hAnsi="Verdana" w:cs="Arial"/>
          <w:sz w:val="16"/>
          <w:szCs w:val="16"/>
        </w:rPr>
        <w:t>Las entidades y los servidores públicos, responderán cuando hubieren abierto licitaciones o concursos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r>
        <w:rPr>
          <w:rFonts w:ascii="Verdana" w:hAnsi="Verdana" w:cs="Arial"/>
          <w:sz w:val="16"/>
          <w:szCs w:val="16"/>
        </w:rPr>
        <w:t>”.</w:t>
      </w:r>
    </w:p>
  </w:footnote>
  <w:footnote w:id="14">
    <w:p w14:paraId="610E0920" w14:textId="40756ECC" w:rsidR="00591DEA" w:rsidRPr="000A1B8E" w:rsidRDefault="00591DEA" w:rsidP="00591DEA">
      <w:pPr>
        <w:spacing w:after="0"/>
        <w:ind w:firstLine="709"/>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Decreto 1082 de 2015: </w:t>
      </w:r>
      <w:r>
        <w:rPr>
          <w:rFonts w:ascii="Verdana" w:hAnsi="Verdana" w:cs="Arial"/>
          <w:sz w:val="16"/>
          <w:szCs w:val="16"/>
        </w:rPr>
        <w:t>“</w:t>
      </w:r>
      <w:r w:rsidRPr="000A1B8E">
        <w:rPr>
          <w:rFonts w:ascii="Verdana" w:hAnsi="Verdana" w:cs="Arial"/>
          <w:sz w:val="16"/>
          <w:szCs w:val="16"/>
        </w:rPr>
        <w:t>Artículo 2.2.1.1.2.1.1</w:t>
      </w:r>
      <w:r w:rsidRPr="000A1B8E">
        <w:rPr>
          <w:rFonts w:ascii="Verdana" w:hAnsi="Verdana" w:cs="Arial"/>
          <w:b/>
          <w:sz w:val="16"/>
          <w:szCs w:val="16"/>
        </w:rPr>
        <w:t xml:space="preserve">. </w:t>
      </w:r>
      <w:r w:rsidRPr="000A1B8E">
        <w:rPr>
          <w:rFonts w:ascii="Verdana" w:hAnsi="Verdana" w:cs="Arial"/>
          <w:sz w:val="16"/>
          <w:szCs w:val="16"/>
        </w:rPr>
        <w:t>Estudios y documentos previos</w:t>
      </w:r>
      <w:r w:rsidRPr="000A1B8E">
        <w:rPr>
          <w:rFonts w:ascii="Verdana" w:hAnsi="Verdana" w:cs="Arial"/>
          <w:b/>
          <w:i/>
          <w:sz w:val="16"/>
          <w:szCs w:val="16"/>
        </w:rPr>
        <w:t xml:space="preserve">. </w:t>
      </w:r>
      <w:r w:rsidRPr="000A1B8E">
        <w:rPr>
          <w:rFonts w:ascii="Verdana" w:hAnsi="Verdana" w:cs="Arial"/>
          <w:sz w:val="16"/>
          <w:szCs w:val="16"/>
        </w:rPr>
        <w:t xml:space="preserve">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r>
        <w:rPr>
          <w:rFonts w:ascii="Verdana" w:hAnsi="Verdana" w:cs="Arial"/>
          <w:sz w:val="16"/>
          <w:szCs w:val="16"/>
        </w:rPr>
        <w:t>“</w:t>
      </w:r>
      <w:r w:rsidRPr="000A1B8E">
        <w:rPr>
          <w:rFonts w:ascii="Verdana" w:hAnsi="Verdana" w:cs="Arial"/>
          <w:sz w:val="16"/>
          <w:szCs w:val="16"/>
        </w:rPr>
        <w:t>[…] 2. El objeto a contratar, con sus especificaciones, las autorizaciones, permisos y licencias requeridos para su ejecución, y cuando el contrato incluye diseño y construcción, los documentos técnicos para el desarrollo del proyecto [...]</w:t>
      </w:r>
      <w:r>
        <w:rPr>
          <w:rFonts w:ascii="Verdana" w:hAnsi="Verdana" w:cs="Arial"/>
          <w:sz w:val="16"/>
          <w:szCs w:val="16"/>
        </w:rPr>
        <w:t>”</w:t>
      </w:r>
      <w:r w:rsidRPr="000A1B8E">
        <w:rPr>
          <w:rFonts w:ascii="Verdana" w:hAnsi="Verdana" w:cs="Arial"/>
          <w:sz w:val="16"/>
          <w:szCs w:val="16"/>
        </w:rPr>
        <w:t>.</w:t>
      </w:r>
    </w:p>
  </w:footnote>
  <w:footnote w:id="15">
    <w:p w14:paraId="7280FAB8" w14:textId="77777777" w:rsidR="00591DEA" w:rsidRPr="000A1B8E" w:rsidRDefault="00591DEA" w:rsidP="00591DEA">
      <w:pPr>
        <w:pStyle w:val="Textonotapie"/>
        <w:ind w:firstLine="708"/>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Al respecto, la doctrina considera que </w:t>
      </w:r>
      <w:r>
        <w:rPr>
          <w:rFonts w:ascii="Verdana" w:hAnsi="Verdana" w:cs="Arial"/>
          <w:sz w:val="16"/>
          <w:szCs w:val="16"/>
        </w:rPr>
        <w:t>“</w:t>
      </w:r>
      <w:r w:rsidRPr="000A1B8E">
        <w:rPr>
          <w:rFonts w:ascii="Verdana" w:hAnsi="Verdana" w:cs="Arial"/>
          <w:sz w:val="16"/>
          <w:szCs w:val="16"/>
        </w:rPr>
        <w:t>[…]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w:t>
      </w:r>
      <w:r>
        <w:rPr>
          <w:rFonts w:ascii="Verdana" w:hAnsi="Verdana" w:cs="Arial"/>
          <w:sz w:val="16"/>
          <w:szCs w:val="16"/>
        </w:rPr>
        <w:t>”</w:t>
      </w:r>
      <w:r w:rsidRPr="000A1B8E">
        <w:rPr>
          <w:rFonts w:ascii="Verdana" w:hAnsi="Verdana" w:cs="Arial"/>
          <w:sz w:val="16"/>
          <w:szCs w:val="16"/>
        </w:rPr>
        <w:t xml:space="preserve"> (Cfr. SUÁREZ BELTRÁN, Gonzalo. Estudios de derecho público contractual: Bogotá: Legis, 2014. p. 6).  </w:t>
      </w:r>
    </w:p>
  </w:footnote>
  <w:footnote w:id="16">
    <w:p w14:paraId="591F6CD6" w14:textId="77777777" w:rsidR="00591DEA" w:rsidRPr="000A1B8E" w:rsidRDefault="00591DEA" w:rsidP="00591DEA">
      <w:pPr>
        <w:spacing w:after="0"/>
        <w:ind w:firstLine="709"/>
        <w:jc w:val="both"/>
        <w:rPr>
          <w:rFonts w:ascii="Verdana" w:hAnsi="Verdana"/>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Ley 1682 de 2013: </w:t>
      </w:r>
      <w:r>
        <w:rPr>
          <w:rFonts w:ascii="Verdana" w:hAnsi="Verdana" w:cs="Arial"/>
          <w:sz w:val="16"/>
          <w:szCs w:val="16"/>
        </w:rPr>
        <w:t>“</w:t>
      </w:r>
      <w:r w:rsidRPr="000A1B8E">
        <w:rPr>
          <w:rFonts w:ascii="Verdana" w:hAnsi="Verdana" w:cs="Arial"/>
          <w:sz w:val="16"/>
          <w:szCs w:val="16"/>
        </w:rPr>
        <w:t>Artículo 12. En lo que se refiere a la infraestructura de transporte terrestre, aeronáutica, aeroportuaria y acuática, se tendrán en cuenta las siguientes definiciones:</w:t>
      </w:r>
    </w:p>
    <w:p w14:paraId="259F41A8"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Estudios de Ingeniería. Sin perjuicio de lo previsto en la Ley</w:t>
      </w:r>
      <w:hyperlink r:id="rId1" w:anchor="Inicio">
        <w:r w:rsidRPr="000A1B8E">
          <w:rPr>
            <w:rFonts w:ascii="Verdana" w:hAnsi="Verdana" w:cs="Arial"/>
            <w:sz w:val="16"/>
            <w:szCs w:val="16"/>
          </w:rPr>
          <w:t xml:space="preserve"> 1508 </w:t>
        </w:r>
      </w:hyperlink>
      <w:r w:rsidRPr="000A1B8E">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0A1B8E">
        <w:rPr>
          <w:rFonts w:ascii="Verdana" w:hAnsi="Verdana" w:cs="Arial"/>
          <w:spacing w:val="-10"/>
          <w:sz w:val="16"/>
          <w:szCs w:val="16"/>
        </w:rPr>
        <w:t xml:space="preserve"> </w:t>
      </w:r>
      <w:r w:rsidRPr="000A1B8E">
        <w:rPr>
          <w:rFonts w:ascii="Verdana" w:hAnsi="Verdana" w:cs="Arial"/>
          <w:sz w:val="16"/>
          <w:szCs w:val="16"/>
        </w:rPr>
        <w:t>infraestructura:</w:t>
      </w:r>
    </w:p>
    <w:p w14:paraId="69A6A3CB"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38E693D0"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00C17014"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17F556C1"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3A0DF964" w14:textId="77777777" w:rsidR="00591DEA" w:rsidRPr="000A1B8E" w:rsidRDefault="00591DEA" w:rsidP="00591DEA">
      <w:pPr>
        <w:spacing w:after="0"/>
        <w:ind w:firstLine="709"/>
        <w:jc w:val="both"/>
        <w:rPr>
          <w:rFonts w:ascii="Verdana" w:hAnsi="Verdana"/>
          <w:sz w:val="16"/>
          <w:szCs w:val="16"/>
        </w:rPr>
      </w:pPr>
      <w:r w:rsidRPr="000A1B8E">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0A1B8E">
        <w:rPr>
          <w:rFonts w:ascii="Verdana" w:hAnsi="Verdana" w:cs="Arial"/>
          <w:spacing w:val="-6"/>
          <w:sz w:val="16"/>
          <w:szCs w:val="16"/>
        </w:rPr>
        <w:t xml:space="preserve"> </w:t>
      </w:r>
      <w:r w:rsidRPr="000A1B8E">
        <w:rPr>
          <w:rFonts w:ascii="Verdana" w:hAnsi="Verdana" w:cs="Arial"/>
          <w:sz w:val="16"/>
          <w:szCs w:val="16"/>
        </w:rPr>
        <w:t>respectiva.</w:t>
      </w:r>
    </w:p>
    <w:p w14:paraId="4525370D" w14:textId="77777777" w:rsidR="00591DEA" w:rsidRPr="000A1B8E" w:rsidRDefault="00591DEA" w:rsidP="00591DEA">
      <w:pPr>
        <w:spacing w:after="0"/>
        <w:ind w:firstLine="708"/>
        <w:jc w:val="both"/>
        <w:rPr>
          <w:rFonts w:ascii="Verdana" w:hAnsi="Verdana" w:cs="Arial"/>
          <w:sz w:val="16"/>
          <w:szCs w:val="16"/>
        </w:rPr>
      </w:pPr>
      <w:r w:rsidRPr="000A1B8E">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r>
        <w:rPr>
          <w:rFonts w:ascii="Verdana" w:hAnsi="Verdana" w:cs="Arial"/>
          <w:sz w:val="16"/>
          <w:szCs w:val="16"/>
        </w:rPr>
        <w:t>”</w:t>
      </w:r>
      <w:r w:rsidRPr="000A1B8E">
        <w:rPr>
          <w:rFonts w:ascii="Verdana" w:hAnsi="Verdana" w:cs="Arial"/>
          <w:sz w:val="16"/>
          <w:szCs w:val="16"/>
        </w:rPr>
        <w:t>.</w:t>
      </w:r>
    </w:p>
  </w:footnote>
  <w:footnote w:id="17">
    <w:p w14:paraId="6BD7B0ED" w14:textId="26064115" w:rsidR="00591DEA" w:rsidRPr="00222C6C" w:rsidRDefault="00591DEA" w:rsidP="00591DEA">
      <w:pPr>
        <w:pStyle w:val="Textonotapie"/>
        <w:ind w:firstLine="709"/>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Consejo de Estado, Sala de Consulta y Servicio Civil, Concepto 1439 del 18 de julio de 2002. Consejera Ponente: Susana Montes de Echeverri.</w:t>
      </w:r>
    </w:p>
  </w:footnote>
  <w:footnote w:id="18">
    <w:p w14:paraId="4CAB61F1" w14:textId="77777777" w:rsidR="00591DEA" w:rsidRPr="000A1B8E" w:rsidRDefault="00591DEA" w:rsidP="00591DEA">
      <w:pPr>
        <w:spacing w:after="0"/>
        <w:ind w:firstLine="709"/>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En efecto, en el Anexo Técnico 1 de la Resolución </w:t>
      </w:r>
      <w:r>
        <w:rPr>
          <w:rFonts w:ascii="Verdana" w:hAnsi="Verdana" w:cs="Arial"/>
          <w:sz w:val="16"/>
          <w:szCs w:val="16"/>
        </w:rPr>
        <w:t>465</w:t>
      </w:r>
      <w:r w:rsidRPr="000A1B8E">
        <w:rPr>
          <w:rFonts w:ascii="Verdana" w:hAnsi="Verdana" w:cs="Arial"/>
          <w:sz w:val="16"/>
          <w:szCs w:val="16"/>
        </w:rPr>
        <w:t xml:space="preserve"> de 202</w:t>
      </w:r>
      <w:r>
        <w:rPr>
          <w:rFonts w:ascii="Verdana" w:hAnsi="Verdana" w:cs="Arial"/>
          <w:sz w:val="16"/>
          <w:szCs w:val="16"/>
        </w:rPr>
        <w:t>4</w:t>
      </w:r>
      <w:r w:rsidRPr="000A1B8E">
        <w:rPr>
          <w:rFonts w:ascii="Verdana" w:hAnsi="Verdana" w:cs="Arial"/>
          <w:sz w:val="16"/>
          <w:szCs w:val="16"/>
        </w:rPr>
        <w:t xml:space="preserve">, </w:t>
      </w:r>
      <w:r>
        <w:rPr>
          <w:rFonts w:ascii="Verdana" w:hAnsi="Verdana" w:cs="Arial"/>
          <w:sz w:val="16"/>
          <w:szCs w:val="16"/>
        </w:rPr>
        <w:t>“</w:t>
      </w:r>
      <w:r w:rsidRPr="003C569C">
        <w:rPr>
          <w:rFonts w:ascii="Verdana" w:hAnsi="Verdana" w:cs="Arial"/>
          <w:sz w:val="16"/>
          <w:szCs w:val="16"/>
        </w:rPr>
        <w:t>Poda cual se adopta la versión -4- de los Documentos Tipo para los procesos de selección de</w:t>
      </w:r>
      <w:r>
        <w:rPr>
          <w:rFonts w:ascii="Verdana" w:hAnsi="Verdana" w:cs="Arial"/>
          <w:sz w:val="16"/>
          <w:szCs w:val="16"/>
        </w:rPr>
        <w:t xml:space="preserve"> </w:t>
      </w:r>
      <w:r w:rsidRPr="003C569C">
        <w:rPr>
          <w:rFonts w:ascii="Verdana" w:hAnsi="Verdana" w:cs="Arial"/>
          <w:sz w:val="16"/>
          <w:szCs w:val="16"/>
        </w:rPr>
        <w:t>licitación de obra pública del sector de infraestructura de transporte y se deroga la Resolución 240</w:t>
      </w:r>
      <w:r>
        <w:rPr>
          <w:rFonts w:ascii="Verdana" w:hAnsi="Verdana" w:cs="Arial"/>
          <w:sz w:val="16"/>
          <w:szCs w:val="16"/>
        </w:rPr>
        <w:t xml:space="preserve"> </w:t>
      </w:r>
      <w:r w:rsidRPr="003C569C">
        <w:rPr>
          <w:rFonts w:ascii="Verdana" w:hAnsi="Verdana" w:cs="Arial"/>
          <w:sz w:val="16"/>
          <w:szCs w:val="16"/>
        </w:rPr>
        <w:t>de 2020</w:t>
      </w:r>
      <w:r>
        <w:rPr>
          <w:rFonts w:ascii="Verdana" w:hAnsi="Verdana" w:cs="Arial"/>
          <w:sz w:val="16"/>
          <w:szCs w:val="16"/>
        </w:rPr>
        <w:t>”</w:t>
      </w:r>
      <w:r w:rsidRPr="000A1B8E">
        <w:rPr>
          <w:rFonts w:ascii="Verdana" w:hAnsi="Verdana" w:cs="Arial"/>
          <w:sz w:val="16"/>
          <w:szCs w:val="16"/>
        </w:rPr>
        <w:t>, dispone que dentro de los documentos que la entidad entrega para la ejecución del contrato se encuentran los estudios y diseños que ésta posea. En este sentido, en el literal b del numeral 6 se indica lo siguiente:</w:t>
      </w:r>
    </w:p>
    <w:p w14:paraId="65D93F7A" w14:textId="77777777" w:rsidR="00591DEA" w:rsidRPr="00B83570" w:rsidRDefault="00591DEA" w:rsidP="00591DEA">
      <w:pPr>
        <w:spacing w:after="0"/>
        <w:ind w:firstLine="709"/>
        <w:jc w:val="both"/>
        <w:rPr>
          <w:rFonts w:ascii="Verdana" w:hAnsi="Verdana" w:cs="Arial"/>
          <w:sz w:val="16"/>
          <w:szCs w:val="16"/>
        </w:rPr>
      </w:pPr>
      <w:r>
        <w:rPr>
          <w:rFonts w:ascii="Verdana" w:hAnsi="Verdana" w:cs="Arial"/>
          <w:sz w:val="16"/>
          <w:szCs w:val="16"/>
        </w:rPr>
        <w:t>“</w:t>
      </w:r>
      <w:r w:rsidRPr="00B83570">
        <w:rPr>
          <w:rFonts w:ascii="Verdana" w:hAnsi="Verdana" w:cs="Arial"/>
          <w:sz w:val="16"/>
          <w:szCs w:val="16"/>
        </w:rPr>
        <w:t>El contratista deberá realizar lo necesario y suficiente en orden a conocer, revisar y estudiar completamente los estudios y diseños que la entidad entregue para la ejecución de las obras objeto de este contrato. En consecuencia, finalizado el plazo previsto por la entidad para la revisión de estudios y diseños [cuando aplique], si el contratista no se pronuncia en sentido contrario, se entiende que ha aceptado los estudios y diseños presentados por la entidad y asume toda la responsabilidad de los resultados para la implementación de los mismos y la ejecución de la obra contratada, con la debida calidad, garantizando la durabilidad, resistencia, estabilidad y funcionalidad de tales obras.</w:t>
      </w:r>
    </w:p>
    <w:p w14:paraId="745DBB34" w14:textId="5E6D82DD" w:rsidR="00591DEA" w:rsidRPr="000A1B8E" w:rsidRDefault="00591DEA" w:rsidP="00591DEA">
      <w:pPr>
        <w:spacing w:after="0"/>
        <w:ind w:firstLine="709"/>
        <w:jc w:val="both"/>
        <w:rPr>
          <w:rFonts w:ascii="Verdana" w:hAnsi="Verdana" w:cs="Arial"/>
          <w:color w:val="000000" w:themeColor="text1"/>
          <w:sz w:val="16"/>
          <w:szCs w:val="16"/>
        </w:rPr>
      </w:pPr>
      <w:r w:rsidRPr="00B83570">
        <w:rPr>
          <w:rFonts w:ascii="Verdana" w:hAnsi="Verdana" w:cs="Arial"/>
          <w:sz w:val="16"/>
          <w:szCs w:val="16"/>
        </w:rPr>
        <w:t>Cualquier modificación y/o adaptación y/o complementación que el contratista pretenda efectuar a los estudios y diseños deberán ser tramitadas por el contratista para su aprobación por la Interventoría, sin que ello se constituya en causa de demora en la ejecución del proyecto</w:t>
      </w:r>
      <w:r>
        <w:rPr>
          <w:rFonts w:ascii="Verdana" w:hAnsi="Verdana" w:cs="Arial"/>
          <w:color w:val="000000" w:themeColor="text1"/>
          <w:sz w:val="16"/>
          <w:szCs w:val="16"/>
        </w:rPr>
        <w:t>”</w:t>
      </w:r>
      <w:r w:rsidRPr="000A1B8E">
        <w:rPr>
          <w:rFonts w:ascii="Verdana" w:hAnsi="Verdana" w:cs="Arial"/>
          <w:color w:val="000000" w:themeColor="text1"/>
          <w:sz w:val="16"/>
          <w:szCs w:val="16"/>
        </w:rPr>
        <w:t xml:space="preserve">. </w:t>
      </w:r>
    </w:p>
  </w:footnote>
  <w:footnote w:id="19">
    <w:p w14:paraId="4AE3BF90" w14:textId="77777777" w:rsidR="00591DEA" w:rsidRPr="000A1B8E" w:rsidRDefault="00591DEA" w:rsidP="00591DEA">
      <w:pPr>
        <w:spacing w:after="0"/>
        <w:ind w:firstLine="707"/>
        <w:jc w:val="both"/>
        <w:rPr>
          <w:rFonts w:ascii="Verdana" w:hAnsi="Verdana" w:cs="Arial"/>
          <w:color w:val="000000" w:themeColor="text1"/>
          <w:sz w:val="16"/>
          <w:szCs w:val="16"/>
        </w:rPr>
      </w:pPr>
      <w:r w:rsidRPr="000A1B8E">
        <w:rPr>
          <w:rStyle w:val="Refdenotaalpie"/>
          <w:rFonts w:ascii="Verdana" w:hAnsi="Verdana" w:cs="Arial"/>
          <w:color w:val="000000" w:themeColor="text1"/>
          <w:sz w:val="16"/>
          <w:szCs w:val="16"/>
        </w:rPr>
        <w:footnoteRef/>
      </w:r>
      <w:r w:rsidRPr="000A1B8E">
        <w:rPr>
          <w:rFonts w:ascii="Verdana" w:hAnsi="Verdana" w:cs="Arial"/>
          <w:color w:val="000000" w:themeColor="text1"/>
          <w:sz w:val="16"/>
          <w:szCs w:val="16"/>
        </w:rPr>
        <w:t xml:space="preserve"> VALLEJO, Felipe. Responsabilidad profesional en la construcción de obras. Revista Derecho Del Estado, n.º 20 (1), 97-120. </w:t>
      </w:r>
      <w:hyperlink r:id="rId2">
        <w:r w:rsidRPr="000A1B8E">
          <w:rPr>
            <w:rFonts w:ascii="Verdana" w:hAnsi="Verdana" w:cs="Arial"/>
            <w:color w:val="000000" w:themeColor="text1"/>
            <w:sz w:val="16"/>
            <w:szCs w:val="16"/>
            <w:u w:val="single" w:color="F1F1F1"/>
          </w:rPr>
          <w:t>https://revistas.uexternado.edu.co/index.php/derest/article/view/706</w:t>
        </w:r>
        <w:r w:rsidRPr="000A1B8E">
          <w:rPr>
            <w:rFonts w:ascii="Verdana" w:hAnsi="Verdana" w:cs="Arial"/>
            <w:color w:val="000000" w:themeColor="text1"/>
            <w:sz w:val="16"/>
            <w:szCs w:val="16"/>
          </w:rPr>
          <w:t xml:space="preserve">. </w:t>
        </w:r>
      </w:hyperlink>
      <w:r w:rsidRPr="000A1B8E">
        <w:rPr>
          <w:rFonts w:ascii="Verdana" w:hAnsi="Verdana" w:cs="Arial"/>
          <w:color w:val="000000" w:themeColor="text1"/>
          <w:sz w:val="16"/>
          <w:szCs w:val="16"/>
        </w:rPr>
        <w:t>pp.</w:t>
      </w:r>
      <w:r>
        <w:rPr>
          <w:rFonts w:ascii="Verdana" w:hAnsi="Verdana" w:cs="Arial"/>
          <w:color w:val="000000" w:themeColor="text1"/>
          <w:sz w:val="16"/>
          <w:szCs w:val="16"/>
        </w:rPr>
        <w:t xml:space="preserve"> </w:t>
      </w:r>
      <w:r w:rsidRPr="000A1B8E">
        <w:rPr>
          <w:rFonts w:ascii="Verdana" w:hAnsi="Verdana" w:cs="Arial"/>
          <w:color w:val="000000" w:themeColor="text1"/>
          <w:sz w:val="16"/>
          <w:szCs w:val="16"/>
        </w:rPr>
        <w:t>106-107.</w:t>
      </w:r>
    </w:p>
  </w:footnote>
  <w:footnote w:id="20">
    <w:p w14:paraId="1E38D2F4" w14:textId="77777777" w:rsidR="00591DEA" w:rsidRPr="000A1B8E" w:rsidRDefault="00591DEA" w:rsidP="00591DEA">
      <w:pPr>
        <w:pStyle w:val="Textonotapie"/>
        <w:ind w:firstLine="709"/>
        <w:jc w:val="both"/>
        <w:rPr>
          <w:rFonts w:ascii="Verdana" w:hAnsi="Verdana" w:cs="Arial"/>
          <w:sz w:val="16"/>
          <w:szCs w:val="16"/>
          <w:lang w:val="es-ES"/>
        </w:rPr>
      </w:pPr>
      <w:r w:rsidRPr="000A1B8E">
        <w:rPr>
          <w:rStyle w:val="Refdenotaalpie"/>
          <w:rFonts w:ascii="Verdana" w:hAnsi="Verdana" w:cs="Arial"/>
          <w:sz w:val="16"/>
          <w:szCs w:val="16"/>
        </w:rPr>
        <w:footnoteRef/>
      </w:r>
      <w:r w:rsidRPr="000A1B8E">
        <w:rPr>
          <w:rFonts w:ascii="Verdana" w:hAnsi="Verdana" w:cs="Arial"/>
          <w:sz w:val="16"/>
          <w:szCs w:val="16"/>
        </w:rPr>
        <w:t xml:space="preserve"> </w:t>
      </w:r>
      <w:r w:rsidRPr="000A1B8E">
        <w:rPr>
          <w:rFonts w:ascii="Verdana" w:hAnsi="Verdana" w:cs="Arial"/>
          <w:sz w:val="16"/>
          <w:szCs w:val="16"/>
          <w:lang w:val="es-ES"/>
        </w:rPr>
        <w:t xml:space="preserve">Guía para los procesos de contratación de obra pública, expedida por Colombia Compra Eficiente. Pág 9. </w:t>
      </w:r>
    </w:p>
  </w:footnote>
  <w:footnote w:id="21">
    <w:p w14:paraId="050193BD" w14:textId="77777777" w:rsidR="00591DEA" w:rsidRPr="00574B7A" w:rsidRDefault="00591DEA" w:rsidP="00591DEA">
      <w:pPr>
        <w:pStyle w:val="Textonotapie"/>
        <w:ind w:firstLine="708"/>
        <w:jc w:val="both"/>
        <w:rPr>
          <w:rFonts w:ascii="Verdana" w:hAnsi="Verdana"/>
          <w:sz w:val="16"/>
          <w:szCs w:val="16"/>
        </w:rPr>
      </w:pPr>
      <w:r w:rsidRPr="00540128">
        <w:rPr>
          <w:rStyle w:val="Refdenotaalpie"/>
          <w:rFonts w:ascii="Verdana" w:hAnsi="Verdana"/>
          <w:sz w:val="16"/>
          <w:szCs w:val="16"/>
        </w:rPr>
        <w:footnoteRef/>
      </w:r>
      <w:r w:rsidRPr="00540128">
        <w:rPr>
          <w:rFonts w:ascii="Verdana" w:hAnsi="Verdana"/>
          <w:sz w:val="16"/>
          <w:szCs w:val="16"/>
        </w:rPr>
        <w:t xml:space="preserve"> </w:t>
      </w:r>
      <w:r w:rsidRPr="00540128">
        <w:rPr>
          <w:rFonts w:ascii="Verdana" w:hAnsi="Verdana" w:cs="Arial"/>
          <w:sz w:val="16"/>
          <w:szCs w:val="16"/>
        </w:rPr>
        <w:t>Al respecto, la doctrina explica lo siguiente: “En la práctica jurídico-empresarial es muy habitual que también se aluda a este contrato utilizando la denominación “</w:t>
      </w:r>
      <w:r w:rsidRPr="00540128">
        <w:rPr>
          <w:rFonts w:ascii="Verdana" w:hAnsi="Verdana" w:cs="Arial"/>
          <w:i/>
          <w:iCs/>
          <w:sz w:val="16"/>
          <w:szCs w:val="16"/>
        </w:rPr>
        <w:t>turnkey contract</w:t>
      </w:r>
      <w:r w:rsidRPr="00540128">
        <w:rPr>
          <w:rFonts w:ascii="Verdana" w:hAnsi="Verdana" w:cs="Arial"/>
          <w:sz w:val="16"/>
          <w:szCs w:val="16"/>
        </w:rPr>
        <w:t xml:space="preserve">” –en referencia al término en inglés que ilustra la esencia del contracto, puesto que el cliente solo tiene que “girar la llave” para disfrutar de su prestación–. En ocasiones, se recurre asimismo a la noción de “contrato EPC”, cuyas siglas corresponden con las del inglés </w:t>
      </w:r>
      <w:r w:rsidRPr="00540128">
        <w:rPr>
          <w:rFonts w:ascii="Verdana" w:hAnsi="Verdana" w:cs="Arial"/>
          <w:i/>
          <w:iCs/>
          <w:sz w:val="16"/>
          <w:szCs w:val="16"/>
        </w:rPr>
        <w:t>Engineering, Procurement, Construction</w:t>
      </w:r>
      <w:r w:rsidRPr="00540128">
        <w:rPr>
          <w:rFonts w:ascii="Verdana" w:hAnsi="Verdana" w:cs="Arial"/>
          <w:sz w:val="16"/>
          <w:szCs w:val="16"/>
        </w:rPr>
        <w:t xml:space="preserve">, en alusión a las múltiples prestaciones que este engloba […]” (Cfr. ABRIL, Antonio. Los contratos mercantiles y su aplicación práctica. Madrid: Bosch, 2017. p 553).  </w:t>
      </w:r>
    </w:p>
  </w:footnote>
  <w:footnote w:id="22">
    <w:p w14:paraId="56FC4E3A" w14:textId="32C720BC" w:rsidR="00591DEA" w:rsidRPr="00E01A7B" w:rsidRDefault="00591DEA" w:rsidP="00591DEA">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footnote>
  <w:footnote w:id="23">
    <w:p w14:paraId="6AA67FDD" w14:textId="5C32A4E4" w:rsidR="00591DEA" w:rsidRPr="00591DEA" w:rsidRDefault="00591DEA" w:rsidP="00591DEA">
      <w:pPr>
        <w:pStyle w:val="Textonotapie"/>
        <w:ind w:firstLine="708"/>
        <w:rPr>
          <w:rFonts w:ascii="Verdana" w:hAnsi="Verdana"/>
          <w:sz w:val="16"/>
          <w:szCs w:val="16"/>
          <w:lang w:val="es-ES"/>
        </w:rPr>
      </w:pPr>
      <w:r w:rsidRPr="00574B7A">
        <w:rPr>
          <w:rStyle w:val="Refdenotaalpie"/>
          <w:rFonts w:ascii="Verdana" w:hAnsi="Verdana"/>
          <w:sz w:val="16"/>
          <w:szCs w:val="16"/>
        </w:rPr>
        <w:footnoteRef/>
      </w:r>
      <w:r w:rsidRPr="00574B7A">
        <w:rPr>
          <w:rFonts w:ascii="Verdana" w:hAnsi="Verdana"/>
          <w:sz w:val="16"/>
          <w:szCs w:val="16"/>
        </w:rPr>
        <w:t xml:space="preserve"> AGENCIA NACIONAL DE CONTRATACIÓN PÚBLICA –COLOMBIA COMPRA EFICIENTE. </w:t>
      </w:r>
      <w:r w:rsidRPr="00574B7A">
        <w:rPr>
          <w:rFonts w:ascii="Verdana" w:hAnsi="Verdana"/>
          <w:sz w:val="16"/>
          <w:szCs w:val="16"/>
          <w:lang w:val="es-ES"/>
        </w:rPr>
        <w:t>Guía para los procesos de contratación de obra pública. Pág 9.</w:t>
      </w:r>
    </w:p>
  </w:footnote>
  <w:footnote w:id="24">
    <w:p w14:paraId="391C94C3" w14:textId="52B87D6F" w:rsidR="00591DEA" w:rsidRPr="00574B7A" w:rsidRDefault="00591DEA" w:rsidP="00591DEA">
      <w:pPr>
        <w:pStyle w:val="Textonotapie"/>
        <w:ind w:firstLine="709"/>
        <w:jc w:val="both"/>
        <w:rPr>
          <w:rFonts w:ascii="Verdana" w:hAnsi="Verdana" w:cs="Arial"/>
          <w:sz w:val="16"/>
          <w:szCs w:val="16"/>
        </w:rPr>
      </w:pPr>
      <w:r w:rsidRPr="00574B7A">
        <w:rPr>
          <w:rStyle w:val="Refdenotaalpie"/>
          <w:rFonts w:ascii="Verdana" w:hAnsi="Verdana"/>
          <w:sz w:val="16"/>
          <w:szCs w:val="16"/>
        </w:rPr>
        <w:footnoteRef/>
      </w:r>
      <w:r w:rsidRPr="00574B7A">
        <w:rPr>
          <w:rFonts w:ascii="Verdana" w:hAnsi="Verdana"/>
          <w:sz w:val="16"/>
          <w:szCs w:val="16"/>
        </w:rPr>
        <w:t xml:space="preserve"> </w:t>
      </w:r>
      <w:r w:rsidRPr="00574B7A">
        <w:rPr>
          <w:rFonts w:ascii="Verdana" w:hAnsi="Verdana" w:cs="Arial"/>
          <w:sz w:val="16"/>
          <w:szCs w:val="16"/>
          <w:lang w:val="es-CO"/>
        </w:rPr>
        <w:t xml:space="preserve">DIAN. Concepto No. </w:t>
      </w:r>
      <w:r w:rsidRPr="00574B7A">
        <w:rPr>
          <w:rFonts w:ascii="Verdana" w:hAnsi="Verdana" w:cs="Arial"/>
          <w:sz w:val="16"/>
          <w:szCs w:val="16"/>
        </w:rPr>
        <w:t>32082 del 30 de mayo de 2002.</w:t>
      </w:r>
    </w:p>
  </w:footnote>
  <w:footnote w:id="25">
    <w:p w14:paraId="1883C11A" w14:textId="77777777" w:rsidR="00591DEA" w:rsidRPr="00574B7A" w:rsidRDefault="00591DEA" w:rsidP="00591DEA">
      <w:pPr>
        <w:spacing w:after="0"/>
        <w:ind w:firstLine="709"/>
        <w:jc w:val="both"/>
        <w:rPr>
          <w:rFonts w:ascii="Verdana" w:hAnsi="Verdana" w:cs="Arial"/>
          <w:color w:val="000000" w:themeColor="text1"/>
          <w:sz w:val="16"/>
          <w:szCs w:val="16"/>
          <w:lang w:val="pt-BR"/>
        </w:rPr>
      </w:pPr>
      <w:r w:rsidRPr="00574B7A">
        <w:rPr>
          <w:rStyle w:val="Refdenotaalpie"/>
          <w:rFonts w:ascii="Verdana" w:hAnsi="Verdana" w:cs="Arial"/>
          <w:color w:val="000000" w:themeColor="text1"/>
          <w:sz w:val="16"/>
          <w:szCs w:val="16"/>
        </w:rPr>
        <w:footnoteRef/>
      </w:r>
      <w:r w:rsidRPr="00574B7A">
        <w:rPr>
          <w:rFonts w:ascii="Verdana" w:hAnsi="Verdana" w:cs="Arial"/>
          <w:color w:val="000000" w:themeColor="text1"/>
          <w:sz w:val="16"/>
          <w:szCs w:val="16"/>
        </w:rPr>
        <w:t xml:space="preserve"> PODETTI, Humberto. El contrato de construcción. </w:t>
      </w:r>
      <w:r w:rsidRPr="00574B7A">
        <w:rPr>
          <w:rFonts w:ascii="Verdana" w:hAnsi="Verdana" w:cs="Arial"/>
          <w:color w:val="000000" w:themeColor="text1"/>
          <w:sz w:val="16"/>
          <w:szCs w:val="16"/>
          <w:lang w:val="pt-BR"/>
        </w:rPr>
        <w:t>Buenos Aires: Editorial Astrea, 2004, p. 248.</w:t>
      </w:r>
    </w:p>
  </w:footnote>
  <w:footnote w:id="26">
    <w:p w14:paraId="6D7170FA" w14:textId="54D3B71C" w:rsidR="00591DEA" w:rsidRPr="00574B7A" w:rsidRDefault="00591DEA" w:rsidP="00591DEA">
      <w:pPr>
        <w:spacing w:after="0"/>
        <w:ind w:firstLine="709"/>
        <w:jc w:val="both"/>
        <w:rPr>
          <w:rFonts w:ascii="Verdana" w:hAnsi="Verdana" w:cs="Arial"/>
          <w:color w:val="000000" w:themeColor="text1"/>
          <w:sz w:val="16"/>
          <w:szCs w:val="16"/>
          <w:lang w:val="pt-BR"/>
        </w:rPr>
      </w:pPr>
      <w:r w:rsidRPr="00574B7A">
        <w:rPr>
          <w:rStyle w:val="Refdenotaalpie"/>
          <w:rFonts w:ascii="Verdana" w:hAnsi="Verdana" w:cs="Arial"/>
          <w:color w:val="000000" w:themeColor="text1"/>
          <w:sz w:val="16"/>
          <w:szCs w:val="16"/>
        </w:rPr>
        <w:footnoteRef/>
      </w:r>
      <w:r w:rsidRPr="00574B7A">
        <w:rPr>
          <w:rFonts w:ascii="Verdana" w:hAnsi="Verdana" w:cs="Arial"/>
          <w:color w:val="000000" w:themeColor="text1"/>
          <w:sz w:val="16"/>
          <w:szCs w:val="16"/>
          <w:lang w:val="pt-BR"/>
        </w:rPr>
        <w:t xml:space="preserve"> </w:t>
      </w:r>
      <w:r w:rsidRPr="00574B7A">
        <w:rPr>
          <w:rFonts w:ascii="Verdana" w:hAnsi="Verdana" w:cs="Arial"/>
          <w:i/>
          <w:color w:val="000000" w:themeColor="text1"/>
          <w:sz w:val="16"/>
          <w:szCs w:val="16"/>
          <w:lang w:val="pt-BR"/>
        </w:rPr>
        <w:t>Ibidem</w:t>
      </w:r>
      <w:r w:rsidRPr="00574B7A">
        <w:rPr>
          <w:rFonts w:ascii="Verdana" w:hAnsi="Verdana" w:cs="Arial"/>
          <w:color w:val="000000" w:themeColor="text1"/>
          <w:sz w:val="16"/>
          <w:szCs w:val="16"/>
          <w:lang w:val="pt-BR"/>
        </w:rPr>
        <w:t xml:space="preserve">., pp. 248-249. </w:t>
      </w:r>
    </w:p>
  </w:footnote>
  <w:footnote w:id="27">
    <w:p w14:paraId="37244A7C" w14:textId="77B2909C" w:rsidR="00591DEA" w:rsidRPr="00574B7A" w:rsidRDefault="00591DEA" w:rsidP="00591DEA">
      <w:pPr>
        <w:pStyle w:val="Textonotapie"/>
        <w:ind w:firstLine="708"/>
        <w:jc w:val="both"/>
        <w:rPr>
          <w:rFonts w:ascii="Verdana" w:hAnsi="Verdana"/>
          <w:sz w:val="16"/>
          <w:szCs w:val="16"/>
          <w:lang w:val="es-CO"/>
        </w:rPr>
      </w:pPr>
      <w:r w:rsidRPr="00574B7A">
        <w:rPr>
          <w:rStyle w:val="Refdenotaalpie"/>
          <w:rFonts w:ascii="Verdana" w:hAnsi="Verdana"/>
          <w:sz w:val="16"/>
          <w:szCs w:val="16"/>
        </w:rPr>
        <w:footnoteRef/>
      </w:r>
      <w:r w:rsidRPr="00574B7A">
        <w:rPr>
          <w:rFonts w:ascii="Verdana" w:hAnsi="Verdana"/>
          <w:sz w:val="16"/>
          <w:szCs w:val="16"/>
          <w:lang w:val="en-US"/>
        </w:rPr>
        <w:t xml:space="preserve"> United Nations Commission on International Trade Law, Thirty-First Session, New York, 1-12 June 1998, Privately Financed Infrastructure Projects. Draft chapters of a legislative guide on privately financed infrastructure projects, 2 de marzo de 1998. </w:t>
      </w:r>
      <w:r w:rsidRPr="00574B7A">
        <w:rPr>
          <w:rFonts w:ascii="Verdana" w:hAnsi="Verdana"/>
          <w:sz w:val="16"/>
          <w:szCs w:val="16"/>
          <w:lang w:val="es-CO"/>
        </w:rPr>
        <w:t xml:space="preserve">Disponible en </w:t>
      </w:r>
      <w:hyperlink r:id="rId3" w:history="1">
        <w:r w:rsidRPr="00574B7A">
          <w:rPr>
            <w:rStyle w:val="Hipervnculo"/>
            <w:rFonts w:ascii="Verdana" w:hAnsi="Verdana"/>
            <w:sz w:val="16"/>
            <w:szCs w:val="16"/>
            <w:lang w:val="es-CO"/>
          </w:rPr>
          <w:t>http://daccess-dds-ny.un.org/doc/ undoc/gen/v98/513/54/pdf/V9851354.pdf?OpenElement</w:t>
        </w:r>
      </w:hyperlink>
      <w:r w:rsidRPr="00574B7A">
        <w:rPr>
          <w:rFonts w:ascii="Verdana" w:hAnsi="Verdana"/>
          <w:sz w:val="16"/>
          <w:szCs w:val="16"/>
          <w:lang w:val="es-CO"/>
        </w:rPr>
        <w:t xml:space="preserve">. Citado en: CABARCAS GÓMEZ, Freddy M. Condiciones imprevistas en los contratos de infraestructura. Bogotá: Universidad Externado de Colombia.  </w:t>
      </w:r>
    </w:p>
  </w:footnote>
  <w:footnote w:id="28">
    <w:p w14:paraId="682E32C1" w14:textId="625507E9" w:rsidR="00591DEA" w:rsidRPr="00540128" w:rsidRDefault="00591DEA" w:rsidP="00591DEA">
      <w:pPr>
        <w:pStyle w:val="Textonotapie"/>
        <w:ind w:firstLine="709"/>
        <w:jc w:val="both"/>
        <w:rPr>
          <w:rFonts w:ascii="Verdana" w:hAnsi="Verdana" w:cs="Arial"/>
          <w:sz w:val="16"/>
          <w:szCs w:val="16"/>
          <w:lang w:val="es-CO"/>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Sección Cuarta. </w:t>
      </w:r>
      <w:r w:rsidRPr="00574B7A">
        <w:rPr>
          <w:rFonts w:ascii="Verdana" w:hAnsi="Verdana" w:cs="Arial"/>
          <w:sz w:val="16"/>
          <w:szCs w:val="16"/>
          <w:lang w:val="es-ES"/>
        </w:rPr>
        <w:t xml:space="preserve">Sentencia del 13 de marzo del 2008. C.P: Hector J. Romero Díaz. </w:t>
      </w:r>
      <w:r w:rsidRPr="00574B7A">
        <w:rPr>
          <w:rFonts w:ascii="Verdana" w:hAnsi="Verdana" w:cs="Arial"/>
          <w:sz w:val="16"/>
          <w:szCs w:val="16"/>
          <w:lang w:val="es-CO"/>
        </w:rPr>
        <w:t>Exp 15009.</w:t>
      </w:r>
    </w:p>
  </w:footnote>
  <w:footnote w:id="29">
    <w:p w14:paraId="4F5DF1D3" w14:textId="77777777" w:rsidR="00591DEA" w:rsidRPr="00540128" w:rsidRDefault="00591DEA" w:rsidP="00591DEA">
      <w:pPr>
        <w:pStyle w:val="Textonotapie"/>
        <w:ind w:firstLine="709"/>
        <w:jc w:val="both"/>
        <w:rPr>
          <w:rFonts w:ascii="Verdana" w:hAnsi="Verdana" w:cs="Arial"/>
          <w:sz w:val="16"/>
          <w:szCs w:val="16"/>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Sala de Consulta y Servicio Civil. 28 de marzo del 2017. C.P. Edgar González López. Rad.2331.</w:t>
      </w:r>
    </w:p>
  </w:footnote>
  <w:footnote w:id="30">
    <w:p w14:paraId="10A96EB9" w14:textId="2A55BA34" w:rsidR="00591DEA" w:rsidRPr="00591DEA" w:rsidRDefault="00591DEA" w:rsidP="00591DEA">
      <w:pPr>
        <w:pStyle w:val="Textonotapie"/>
        <w:ind w:firstLine="709"/>
        <w:jc w:val="both"/>
        <w:rPr>
          <w:rFonts w:ascii="Verdana" w:hAnsi="Verdana" w:cs="Arial"/>
          <w:sz w:val="16"/>
          <w:szCs w:val="16"/>
        </w:rPr>
      </w:pPr>
      <w:r w:rsidRPr="00574B7A">
        <w:rPr>
          <w:rStyle w:val="Refdenotaalpie"/>
          <w:rFonts w:ascii="Verdana" w:hAnsi="Verdana" w:cs="Arial"/>
          <w:sz w:val="16"/>
          <w:szCs w:val="16"/>
        </w:rPr>
        <w:footnoteRef/>
      </w:r>
      <w:r w:rsidRPr="00574B7A">
        <w:rPr>
          <w:rFonts w:ascii="Verdana" w:hAnsi="Verdana" w:cs="Arial"/>
          <w:sz w:val="16"/>
          <w:szCs w:val="16"/>
          <w:lang w:val="es-CO"/>
        </w:rPr>
        <w:t xml:space="preserve"> </w:t>
      </w:r>
      <w:r w:rsidRPr="00574B7A">
        <w:rPr>
          <w:rFonts w:ascii="Verdana" w:hAnsi="Verdana" w:cs="Arial"/>
          <w:sz w:val="16"/>
          <w:szCs w:val="16"/>
        </w:rPr>
        <w:t>CÁMARA DE COMERCIO DE BOGOTÁ. Laudo TA-CCB-20040531 del 31 de mayo de 2004. Concesión Santa Marta Paraguachón vs. Instituto Nacional de Vías.</w:t>
      </w:r>
    </w:p>
  </w:footnote>
  <w:footnote w:id="31">
    <w:p w14:paraId="35C56920" w14:textId="62133309" w:rsidR="00591DEA" w:rsidRPr="00591DEA" w:rsidRDefault="00591DEA" w:rsidP="00591DEA">
      <w:pPr>
        <w:spacing w:after="0"/>
        <w:ind w:firstLine="708"/>
        <w:jc w:val="both"/>
        <w:rPr>
          <w:rFonts w:ascii="Verdana" w:hAnsi="Verdana" w:cs="Courier New"/>
          <w:bCs/>
          <w:sz w:val="16"/>
          <w:szCs w:val="16"/>
        </w:rPr>
      </w:pPr>
      <w:r w:rsidRPr="00574B7A">
        <w:rPr>
          <w:rFonts w:ascii="Verdana" w:hAnsi="Verdana"/>
          <w:sz w:val="16"/>
          <w:szCs w:val="16"/>
        </w:rPr>
        <w:t xml:space="preserve"> </w:t>
      </w:r>
      <w:r w:rsidRPr="00574B7A">
        <w:rPr>
          <w:rStyle w:val="Refdenotaalpie"/>
          <w:rFonts w:ascii="Verdana" w:hAnsi="Verdana"/>
          <w:sz w:val="16"/>
          <w:szCs w:val="16"/>
        </w:rPr>
        <w:footnoteRef/>
      </w:r>
      <w:r w:rsidRPr="00574B7A">
        <w:rPr>
          <w:rFonts w:ascii="Verdana" w:hAnsi="Verdana"/>
          <w:sz w:val="16"/>
          <w:szCs w:val="16"/>
        </w:rPr>
        <w:t xml:space="preserve"> CONSEJO DE ESTADO. Sección Cuarta. Sentencia del 3 de marzo de 2008. C.P. Héctor J. Romero Díaz. Exp. 15009; Consejo de Estado. Sección Primera. Sentencia del 19 de septiembre de 2013. C.P. Marco Antonio Velilla Moreno. Rad. </w:t>
      </w:r>
      <w:r w:rsidRPr="00574B7A">
        <w:rPr>
          <w:rFonts w:ascii="Verdana" w:hAnsi="Verdana" w:cs="Courier New"/>
          <w:bCs/>
          <w:sz w:val="16"/>
          <w:szCs w:val="16"/>
        </w:rPr>
        <w:t xml:space="preserve">63001233100020120008901. </w:t>
      </w:r>
    </w:p>
  </w:footnote>
  <w:footnote w:id="32">
    <w:p w14:paraId="715ED28E" w14:textId="77777777" w:rsidR="00591DEA" w:rsidRPr="00574B7A" w:rsidRDefault="00591DEA" w:rsidP="00591DEA">
      <w:pPr>
        <w:pStyle w:val="Textonotapie"/>
        <w:ind w:firstLine="709"/>
        <w:jc w:val="both"/>
        <w:rPr>
          <w:rFonts w:ascii="Verdana" w:hAnsi="Verdana" w:cs="Arial"/>
          <w:sz w:val="16"/>
          <w:szCs w:val="16"/>
          <w:lang w:val="es-ES"/>
        </w:rPr>
      </w:pPr>
      <w:r w:rsidRPr="00540128">
        <w:rPr>
          <w:rStyle w:val="Refdenotaalpie"/>
          <w:rFonts w:ascii="Verdana" w:hAnsi="Verdana" w:cs="Arial"/>
          <w:sz w:val="16"/>
          <w:szCs w:val="16"/>
        </w:rPr>
        <w:footnoteRef/>
      </w:r>
      <w:r w:rsidRPr="00574B7A">
        <w:rPr>
          <w:rFonts w:ascii="Verdana" w:hAnsi="Verdana" w:cs="Arial"/>
          <w:sz w:val="16"/>
          <w:szCs w:val="16"/>
        </w:rPr>
        <w:t xml:space="preserve"> MATALLANA CAMACHO, Ernesto. </w:t>
      </w:r>
      <w:r w:rsidRPr="00574B7A">
        <w:rPr>
          <w:rFonts w:ascii="Verdana" w:hAnsi="Verdana" w:cs="Arial"/>
          <w:sz w:val="16"/>
          <w:szCs w:val="16"/>
          <w:lang w:val="es-ES"/>
        </w:rPr>
        <w:t>Manual de contratación de la administración pública: reforma de la Ley 80 de 1993. Bogotá. Universidad Externado de Colombia, 2015 – 4 edición. p. 957.</w:t>
      </w:r>
    </w:p>
  </w:footnote>
  <w:footnote w:id="33">
    <w:p w14:paraId="3C390BA6" w14:textId="2D933ADD" w:rsidR="00591DEA" w:rsidRPr="00574B7A" w:rsidRDefault="00591DEA" w:rsidP="00591DEA">
      <w:pPr>
        <w:pStyle w:val="Textonotapie"/>
        <w:ind w:firstLine="708"/>
        <w:jc w:val="both"/>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w:t>
      </w:r>
      <w:r w:rsidRPr="00574B7A">
        <w:rPr>
          <w:rFonts w:ascii="Verdana" w:hAnsi="Verdana"/>
          <w:sz w:val="16"/>
          <w:szCs w:val="16"/>
          <w:lang w:val="es-CO"/>
        </w:rPr>
        <w:t>DUCCI, Jorge, et al. Ventajas y riesgos de contrato llave en mano. Banco Interamericano de Desarrollo, 2013.</w:t>
      </w:r>
      <w:r w:rsidRPr="00574B7A">
        <w:rPr>
          <w:rFonts w:ascii="Verdana" w:hAnsi="Verdana"/>
          <w:sz w:val="16"/>
          <w:szCs w:val="16"/>
        </w:rPr>
        <w:t xml:space="preserve"> pp. 8.</w:t>
      </w:r>
    </w:p>
  </w:footnote>
  <w:footnote w:id="34">
    <w:p w14:paraId="2CF52A7C" w14:textId="7C1570C0" w:rsidR="00591DEA" w:rsidRPr="00591DEA" w:rsidRDefault="00591DEA" w:rsidP="00591DEA">
      <w:pPr>
        <w:pStyle w:val="Textonotapie"/>
        <w:ind w:firstLine="708"/>
        <w:rPr>
          <w:rFonts w:ascii="Verdana" w:hAnsi="Verdana"/>
          <w:sz w:val="16"/>
          <w:szCs w:val="16"/>
        </w:rPr>
      </w:pPr>
      <w:r w:rsidRPr="00574B7A">
        <w:rPr>
          <w:rStyle w:val="Refdenotaalpie"/>
          <w:rFonts w:ascii="Verdana" w:hAnsi="Verdana"/>
          <w:sz w:val="16"/>
          <w:szCs w:val="16"/>
        </w:rPr>
        <w:footnoteRef/>
      </w:r>
      <w:r>
        <w:rPr>
          <w:rFonts w:ascii="Verdana" w:hAnsi="Verdana"/>
          <w:sz w:val="16"/>
          <w:szCs w:val="16"/>
        </w:rPr>
        <w:t xml:space="preserve"> Ibídem., p. 5.</w:t>
      </w:r>
    </w:p>
  </w:footnote>
  <w:footnote w:id="35">
    <w:p w14:paraId="406E1D28" w14:textId="03862CA6" w:rsidR="00591DEA" w:rsidRPr="00591DEA" w:rsidRDefault="00591DEA" w:rsidP="00591DEA">
      <w:pPr>
        <w:pStyle w:val="Textonotapie"/>
        <w:ind w:firstLine="708"/>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Ibídem., p. 8.</w:t>
      </w:r>
      <w:r w:rsidRPr="00E01A7B">
        <w:rPr>
          <w:rFonts w:ascii="Verdana" w:hAnsi="Verdana"/>
          <w:sz w:val="16"/>
          <w:szCs w:val="16"/>
        </w:rPr>
        <w:t xml:space="preserve"> </w:t>
      </w:r>
    </w:p>
  </w:footnote>
  <w:footnote w:id="36">
    <w:p w14:paraId="428243F1" w14:textId="4A9A5781" w:rsidR="00591DEA" w:rsidRPr="00591DEA" w:rsidRDefault="00591DEA" w:rsidP="00591DEA">
      <w:pPr>
        <w:pStyle w:val="Textonotapie"/>
        <w:ind w:firstLine="708"/>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lang w:val="es-CO"/>
        </w:rPr>
        <w:t xml:space="preserve"> </w:t>
      </w:r>
      <w:r w:rsidRPr="00E01A7B">
        <w:rPr>
          <w:rFonts w:ascii="Verdana" w:hAnsi="Verdana"/>
          <w:i/>
          <w:iCs/>
          <w:sz w:val="16"/>
          <w:szCs w:val="16"/>
          <w:lang w:val="es-CO"/>
        </w:rPr>
        <w:t>Fidic, Conditions of Contract for epc/Turnkey Projects (l st edition, 1999) (The Silver Book), Sub-Clause 4.12.</w:t>
      </w:r>
      <w:r w:rsidRPr="00E01A7B">
        <w:rPr>
          <w:rFonts w:ascii="Verdana" w:hAnsi="Verdana"/>
          <w:sz w:val="16"/>
          <w:szCs w:val="16"/>
          <w:lang w:val="es-CO"/>
        </w:rPr>
        <w:t xml:space="preserve"> citado por</w:t>
      </w:r>
      <w:r w:rsidRPr="00E01A7B">
        <w:rPr>
          <w:rFonts w:ascii="Verdana" w:hAnsi="Verdana"/>
          <w:sz w:val="16"/>
          <w:szCs w:val="16"/>
        </w:rPr>
        <w:t xml:space="preserve"> CABARCAS GÓMEZ, Freddy M., Condiciones imprevistas en los contratos de construcción de infraestructura, Universida</w:t>
      </w:r>
      <w:r>
        <w:rPr>
          <w:rFonts w:ascii="Verdana" w:hAnsi="Verdana"/>
          <w:sz w:val="16"/>
          <w:szCs w:val="16"/>
        </w:rPr>
        <w:t xml:space="preserve">d Externado de Colombia, 2018, </w:t>
      </w:r>
      <w:r w:rsidRPr="00E01A7B">
        <w:rPr>
          <w:rFonts w:ascii="Verdana" w:hAnsi="Verdana"/>
          <w:sz w:val="16"/>
          <w:szCs w:val="16"/>
        </w:rPr>
        <w:t>p. 17.</w:t>
      </w:r>
    </w:p>
  </w:footnote>
  <w:footnote w:id="37">
    <w:p w14:paraId="2124E5D0" w14:textId="6405FFFD" w:rsidR="00591DEA" w:rsidRPr="00E01A7B" w:rsidRDefault="00591DEA" w:rsidP="00591DEA">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CABARCAS GÓMEZ, Freddy M., Condiciones imprevistas en los contratos de construcción de infraestructura, Universidad Externado de Colombia, 2018, pp. 103-104</w:t>
      </w:r>
    </w:p>
  </w:footnote>
  <w:footnote w:id="38">
    <w:p w14:paraId="1F9122EC" w14:textId="77777777" w:rsidR="00591DEA" w:rsidRPr="00E01A7B" w:rsidRDefault="00591DEA" w:rsidP="00591DEA">
      <w:pPr>
        <w:pStyle w:val="Textonotapie"/>
        <w:ind w:firstLine="709"/>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Ibídem, pp. 526.</w:t>
      </w:r>
    </w:p>
  </w:footnote>
  <w:footnote w:id="39">
    <w:p w14:paraId="1DF580B8" w14:textId="77777777" w:rsidR="00591DEA" w:rsidRPr="00E01A7B" w:rsidRDefault="00591DEA" w:rsidP="00591DEA">
      <w:pPr>
        <w:pStyle w:val="Textonotapie"/>
        <w:ind w:firstLine="709"/>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Ibídem. </w:t>
      </w:r>
    </w:p>
  </w:footnote>
  <w:footnote w:id="40">
    <w:p w14:paraId="6E57C32C" w14:textId="77777777" w:rsidR="00591DEA" w:rsidRPr="00E67F8E" w:rsidRDefault="00591DEA" w:rsidP="00591DEA">
      <w:pPr>
        <w:pStyle w:val="Textonotapie"/>
        <w:ind w:firstLine="708"/>
        <w:jc w:val="both"/>
        <w:rPr>
          <w:rFonts w:ascii="Verdana" w:hAnsi="Verdana" w:cs="Arial"/>
          <w:sz w:val="16"/>
          <w:szCs w:val="16"/>
        </w:rPr>
      </w:pPr>
      <w:r w:rsidRPr="00540128">
        <w:rPr>
          <w:rStyle w:val="Refdenotaalpie"/>
          <w:rFonts w:ascii="Verdana" w:hAnsi="Verdana" w:cs="Arial"/>
          <w:sz w:val="16"/>
          <w:szCs w:val="16"/>
        </w:rPr>
        <w:footnoteRef/>
      </w:r>
      <w:r w:rsidRPr="00574B7A">
        <w:rPr>
          <w:rFonts w:ascii="Verdana" w:hAnsi="Verdana" w:cs="Arial"/>
          <w:sz w:val="16"/>
          <w:szCs w:val="16"/>
        </w:rPr>
        <w:t xml:space="preserve"> SUÁREZ BELTRÁN, </w:t>
      </w:r>
      <w:r w:rsidRPr="00574B7A">
        <w:rPr>
          <w:rFonts w:ascii="Verdana" w:hAnsi="Verdana" w:cs="Arial"/>
          <w:sz w:val="16"/>
          <w:szCs w:val="16"/>
          <w:lang w:val="es-CO"/>
        </w:rPr>
        <w:t xml:space="preserve">Gonzalo. Op.cit., </w:t>
      </w:r>
      <w:r w:rsidRPr="00574B7A">
        <w:rPr>
          <w:rFonts w:ascii="Verdana" w:hAnsi="Verdana" w:cs="Arial"/>
          <w:sz w:val="16"/>
          <w:szCs w:val="16"/>
        </w:rPr>
        <w:t>p.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 o:bullet="t">
        <v:imagedata r:id="rId1" o:title="mso1B13"/>
      </v:shape>
    </w:pict>
  </w:numPicBullet>
  <w:abstractNum w:abstractNumId="0" w15:restartNumberingAfterBreak="0">
    <w:nsid w:val="8C356933"/>
    <w:multiLevelType w:val="hybridMultilevel"/>
    <w:tmpl w:val="D095A54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84FA968"/>
    <w:multiLevelType w:val="hybridMultilevel"/>
    <w:tmpl w:val="FA93AFA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06C718F"/>
    <w:multiLevelType w:val="hybridMultilevel"/>
    <w:tmpl w:val="867DB43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42C8FB"/>
    <w:multiLevelType w:val="hybridMultilevel"/>
    <w:tmpl w:val="1FAA61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5"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21C114D7"/>
    <w:multiLevelType w:val="hybridMultilevel"/>
    <w:tmpl w:val="6D00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54984"/>
    <w:multiLevelType w:val="hybridMultilevel"/>
    <w:tmpl w:val="1CBE281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23110008"/>
    <w:multiLevelType w:val="hybridMultilevel"/>
    <w:tmpl w:val="A6B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B0379A"/>
    <w:multiLevelType w:val="hybridMultilevel"/>
    <w:tmpl w:val="673241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983715A"/>
    <w:multiLevelType w:val="hybridMultilevel"/>
    <w:tmpl w:val="D902A7CC"/>
    <w:lvl w:ilvl="0" w:tplc="04090001">
      <w:start w:val="1"/>
      <w:numFmt w:val="bullet"/>
      <w:lvlText w:val=""/>
      <w:lvlJc w:val="left"/>
      <w:pPr>
        <w:ind w:left="1434" w:hanging="360"/>
      </w:pPr>
      <w:rPr>
        <w:rFonts w:ascii="Symbol" w:hAnsi="Symbol"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21" w15:restartNumberingAfterBreak="0">
    <w:nsid w:val="57872798"/>
    <w:multiLevelType w:val="hybridMultilevel"/>
    <w:tmpl w:val="58926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5D695050"/>
    <w:multiLevelType w:val="hybridMultilevel"/>
    <w:tmpl w:val="628A568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5" w15:restartNumberingAfterBreak="0">
    <w:nsid w:val="69E54ACA"/>
    <w:multiLevelType w:val="hybridMultilevel"/>
    <w:tmpl w:val="61A08D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556741497">
    <w:abstractNumId w:val="16"/>
  </w:num>
  <w:num w:numId="2" w16cid:durableId="909774480">
    <w:abstractNumId w:val="6"/>
  </w:num>
  <w:num w:numId="3" w16cid:durableId="967468761">
    <w:abstractNumId w:val="13"/>
  </w:num>
  <w:num w:numId="4" w16cid:durableId="2035674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12116329">
    <w:abstractNumId w:val="6"/>
  </w:num>
  <w:num w:numId="6" w16cid:durableId="1112094425">
    <w:abstractNumId w:val="28"/>
  </w:num>
  <w:num w:numId="7" w16cid:durableId="1151140186">
    <w:abstractNumId w:val="14"/>
  </w:num>
  <w:num w:numId="8" w16cid:durableId="1213035826">
    <w:abstractNumId w:val="27"/>
  </w:num>
  <w:num w:numId="9" w16cid:durableId="40134752">
    <w:abstractNumId w:val="17"/>
  </w:num>
  <w:num w:numId="10" w16cid:durableId="69618277">
    <w:abstractNumId w:val="26"/>
  </w:num>
  <w:num w:numId="11" w16cid:durableId="1001129607">
    <w:abstractNumId w:val="18"/>
  </w:num>
  <w:num w:numId="12" w16cid:durableId="1207135076">
    <w:abstractNumId w:val="5"/>
  </w:num>
  <w:num w:numId="13" w16cid:durableId="958101326">
    <w:abstractNumId w:val="11"/>
  </w:num>
  <w:num w:numId="14" w16cid:durableId="1552614702">
    <w:abstractNumId w:val="29"/>
  </w:num>
  <w:num w:numId="15" w16cid:durableId="705838058">
    <w:abstractNumId w:val="24"/>
  </w:num>
  <w:num w:numId="16" w16cid:durableId="1016737418">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64951876">
    <w:abstractNumId w:val="7"/>
  </w:num>
  <w:num w:numId="18" w16cid:durableId="1754936400">
    <w:abstractNumId w:val="22"/>
  </w:num>
  <w:num w:numId="19" w16cid:durableId="32506250">
    <w:abstractNumId w:val="12"/>
  </w:num>
  <w:num w:numId="20" w16cid:durableId="814104812">
    <w:abstractNumId w:val="19"/>
  </w:num>
  <w:num w:numId="21" w16cid:durableId="794787136">
    <w:abstractNumId w:val="30"/>
  </w:num>
  <w:num w:numId="22" w16cid:durableId="986977132">
    <w:abstractNumId w:val="8"/>
  </w:num>
  <w:num w:numId="23" w16cid:durableId="696541444">
    <w:abstractNumId w:val="3"/>
  </w:num>
  <w:num w:numId="24" w16cid:durableId="559898773">
    <w:abstractNumId w:val="20"/>
  </w:num>
  <w:num w:numId="25" w16cid:durableId="1675955653">
    <w:abstractNumId w:val="21"/>
  </w:num>
  <w:num w:numId="26" w16cid:durableId="1824006985">
    <w:abstractNumId w:val="10"/>
  </w:num>
  <w:num w:numId="27" w16cid:durableId="632105107">
    <w:abstractNumId w:val="1"/>
  </w:num>
  <w:num w:numId="28" w16cid:durableId="636448800">
    <w:abstractNumId w:val="0"/>
  </w:num>
  <w:num w:numId="29" w16cid:durableId="298849881">
    <w:abstractNumId w:val="2"/>
  </w:num>
  <w:num w:numId="30" w16cid:durableId="1455127740">
    <w:abstractNumId w:val="23"/>
  </w:num>
  <w:num w:numId="31" w16cid:durableId="464198050">
    <w:abstractNumId w:val="9"/>
  </w:num>
  <w:num w:numId="32" w16cid:durableId="44649118">
    <w:abstractNumId w:val="25"/>
  </w:num>
  <w:num w:numId="33" w16cid:durableId="15082959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3D43"/>
    <w:rsid w:val="000062F3"/>
    <w:rsid w:val="0000797D"/>
    <w:rsid w:val="0001328B"/>
    <w:rsid w:val="0001665C"/>
    <w:rsid w:val="000224F2"/>
    <w:rsid w:val="00023C3E"/>
    <w:rsid w:val="0002653B"/>
    <w:rsid w:val="0004434A"/>
    <w:rsid w:val="0005204F"/>
    <w:rsid w:val="0005281E"/>
    <w:rsid w:val="0005682C"/>
    <w:rsid w:val="00056D71"/>
    <w:rsid w:val="00061B2A"/>
    <w:rsid w:val="00062BAF"/>
    <w:rsid w:val="000630B9"/>
    <w:rsid w:val="000643B2"/>
    <w:rsid w:val="00065E80"/>
    <w:rsid w:val="0007022C"/>
    <w:rsid w:val="00071DE6"/>
    <w:rsid w:val="000754B0"/>
    <w:rsid w:val="00077439"/>
    <w:rsid w:val="000774B8"/>
    <w:rsid w:val="00080133"/>
    <w:rsid w:val="00082362"/>
    <w:rsid w:val="0008328D"/>
    <w:rsid w:val="000871CF"/>
    <w:rsid w:val="0009387A"/>
    <w:rsid w:val="0009387B"/>
    <w:rsid w:val="000963C6"/>
    <w:rsid w:val="0009762F"/>
    <w:rsid w:val="000A31B9"/>
    <w:rsid w:val="000A3330"/>
    <w:rsid w:val="000A3D63"/>
    <w:rsid w:val="000A683A"/>
    <w:rsid w:val="000A683E"/>
    <w:rsid w:val="000B19B9"/>
    <w:rsid w:val="000C2889"/>
    <w:rsid w:val="000D0152"/>
    <w:rsid w:val="000D0334"/>
    <w:rsid w:val="000D3B29"/>
    <w:rsid w:val="000E06F4"/>
    <w:rsid w:val="000E4CE4"/>
    <w:rsid w:val="000F10B1"/>
    <w:rsid w:val="000F6486"/>
    <w:rsid w:val="000F669F"/>
    <w:rsid w:val="00105B23"/>
    <w:rsid w:val="001063B3"/>
    <w:rsid w:val="00106643"/>
    <w:rsid w:val="00107ACA"/>
    <w:rsid w:val="001107BB"/>
    <w:rsid w:val="001114A9"/>
    <w:rsid w:val="00111979"/>
    <w:rsid w:val="001126E2"/>
    <w:rsid w:val="00116537"/>
    <w:rsid w:val="00120766"/>
    <w:rsid w:val="001240BD"/>
    <w:rsid w:val="00125105"/>
    <w:rsid w:val="001264F4"/>
    <w:rsid w:val="00126A5C"/>
    <w:rsid w:val="00127233"/>
    <w:rsid w:val="00127AE5"/>
    <w:rsid w:val="00133571"/>
    <w:rsid w:val="001371AE"/>
    <w:rsid w:val="001372FC"/>
    <w:rsid w:val="00143D6D"/>
    <w:rsid w:val="00143E81"/>
    <w:rsid w:val="00143FD9"/>
    <w:rsid w:val="00145047"/>
    <w:rsid w:val="00146C57"/>
    <w:rsid w:val="0016332F"/>
    <w:rsid w:val="00164A65"/>
    <w:rsid w:val="001659A2"/>
    <w:rsid w:val="00166340"/>
    <w:rsid w:val="001717E9"/>
    <w:rsid w:val="0017238A"/>
    <w:rsid w:val="00180A30"/>
    <w:rsid w:val="00180DAF"/>
    <w:rsid w:val="001810FF"/>
    <w:rsid w:val="00185EE9"/>
    <w:rsid w:val="00187F79"/>
    <w:rsid w:val="00190BDE"/>
    <w:rsid w:val="00197274"/>
    <w:rsid w:val="001A2179"/>
    <w:rsid w:val="001A237A"/>
    <w:rsid w:val="001A26CF"/>
    <w:rsid w:val="001A2919"/>
    <w:rsid w:val="001A346E"/>
    <w:rsid w:val="001A4304"/>
    <w:rsid w:val="001B2873"/>
    <w:rsid w:val="001B2CFE"/>
    <w:rsid w:val="001C222E"/>
    <w:rsid w:val="001C22F9"/>
    <w:rsid w:val="001C24A4"/>
    <w:rsid w:val="001C6ED4"/>
    <w:rsid w:val="001D1C29"/>
    <w:rsid w:val="001E3C06"/>
    <w:rsid w:val="001E4177"/>
    <w:rsid w:val="001F4EFD"/>
    <w:rsid w:val="001F5E13"/>
    <w:rsid w:val="001F6D11"/>
    <w:rsid w:val="001F7DC6"/>
    <w:rsid w:val="00202886"/>
    <w:rsid w:val="00215CEF"/>
    <w:rsid w:val="00217A08"/>
    <w:rsid w:val="00220B77"/>
    <w:rsid w:val="00221D27"/>
    <w:rsid w:val="00237233"/>
    <w:rsid w:val="0024106B"/>
    <w:rsid w:val="002421BB"/>
    <w:rsid w:val="00242CCA"/>
    <w:rsid w:val="00246A81"/>
    <w:rsid w:val="00247F34"/>
    <w:rsid w:val="00251A5F"/>
    <w:rsid w:val="00256F7C"/>
    <w:rsid w:val="0025796E"/>
    <w:rsid w:val="002603E5"/>
    <w:rsid w:val="002638B2"/>
    <w:rsid w:val="002660F2"/>
    <w:rsid w:val="002664BB"/>
    <w:rsid w:val="002707A2"/>
    <w:rsid w:val="00273546"/>
    <w:rsid w:val="002835A6"/>
    <w:rsid w:val="002844ED"/>
    <w:rsid w:val="0028606A"/>
    <w:rsid w:val="002951A0"/>
    <w:rsid w:val="002962BC"/>
    <w:rsid w:val="00296562"/>
    <w:rsid w:val="002A093D"/>
    <w:rsid w:val="002A0DD0"/>
    <w:rsid w:val="002A2811"/>
    <w:rsid w:val="002A49AC"/>
    <w:rsid w:val="002A64FD"/>
    <w:rsid w:val="002A6BBF"/>
    <w:rsid w:val="002B1E57"/>
    <w:rsid w:val="002B1F7F"/>
    <w:rsid w:val="002B290B"/>
    <w:rsid w:val="002C110E"/>
    <w:rsid w:val="002C173D"/>
    <w:rsid w:val="002C379A"/>
    <w:rsid w:val="002C618B"/>
    <w:rsid w:val="002C765E"/>
    <w:rsid w:val="002C7A84"/>
    <w:rsid w:val="002D13A1"/>
    <w:rsid w:val="002D3F0D"/>
    <w:rsid w:val="002E1D98"/>
    <w:rsid w:val="002E2C3F"/>
    <w:rsid w:val="002E32E4"/>
    <w:rsid w:val="002E4FD9"/>
    <w:rsid w:val="002E6F15"/>
    <w:rsid w:val="002F13FD"/>
    <w:rsid w:val="00303544"/>
    <w:rsid w:val="003039C1"/>
    <w:rsid w:val="00306D8D"/>
    <w:rsid w:val="00310DBE"/>
    <w:rsid w:val="0031430F"/>
    <w:rsid w:val="00320BBD"/>
    <w:rsid w:val="00322A85"/>
    <w:rsid w:val="00324168"/>
    <w:rsid w:val="00325FC2"/>
    <w:rsid w:val="0033032A"/>
    <w:rsid w:val="00334C6A"/>
    <w:rsid w:val="00336C05"/>
    <w:rsid w:val="00342675"/>
    <w:rsid w:val="00343512"/>
    <w:rsid w:val="003446BD"/>
    <w:rsid w:val="003448F4"/>
    <w:rsid w:val="00345330"/>
    <w:rsid w:val="003469FD"/>
    <w:rsid w:val="003528DF"/>
    <w:rsid w:val="00352C12"/>
    <w:rsid w:val="00354BCA"/>
    <w:rsid w:val="00362B7B"/>
    <w:rsid w:val="0036594E"/>
    <w:rsid w:val="003665EE"/>
    <w:rsid w:val="0037010E"/>
    <w:rsid w:val="003734F4"/>
    <w:rsid w:val="00374F5E"/>
    <w:rsid w:val="00377E3E"/>
    <w:rsid w:val="003815B3"/>
    <w:rsid w:val="003815E8"/>
    <w:rsid w:val="00392A49"/>
    <w:rsid w:val="0039784B"/>
    <w:rsid w:val="003A26D1"/>
    <w:rsid w:val="003A3B30"/>
    <w:rsid w:val="003A779E"/>
    <w:rsid w:val="003B005A"/>
    <w:rsid w:val="003B4C77"/>
    <w:rsid w:val="003C0F65"/>
    <w:rsid w:val="003C3FA5"/>
    <w:rsid w:val="003D0F4D"/>
    <w:rsid w:val="003D5B0D"/>
    <w:rsid w:val="003E0499"/>
    <w:rsid w:val="003E1A35"/>
    <w:rsid w:val="003E40F2"/>
    <w:rsid w:val="003F3941"/>
    <w:rsid w:val="00400676"/>
    <w:rsid w:val="004008A9"/>
    <w:rsid w:val="00406575"/>
    <w:rsid w:val="004069AB"/>
    <w:rsid w:val="00410906"/>
    <w:rsid w:val="004125AB"/>
    <w:rsid w:val="0041655A"/>
    <w:rsid w:val="00426FD7"/>
    <w:rsid w:val="0042722E"/>
    <w:rsid w:val="00427DA0"/>
    <w:rsid w:val="00440391"/>
    <w:rsid w:val="00442C7F"/>
    <w:rsid w:val="0044528D"/>
    <w:rsid w:val="00450920"/>
    <w:rsid w:val="00454D48"/>
    <w:rsid w:val="004554F9"/>
    <w:rsid w:val="0046004D"/>
    <w:rsid w:val="004633DE"/>
    <w:rsid w:val="00465E71"/>
    <w:rsid w:val="004734BD"/>
    <w:rsid w:val="00480E57"/>
    <w:rsid w:val="00482608"/>
    <w:rsid w:val="00483749"/>
    <w:rsid w:val="00484809"/>
    <w:rsid w:val="00484BB1"/>
    <w:rsid w:val="004A0980"/>
    <w:rsid w:val="004A0B8B"/>
    <w:rsid w:val="004A1847"/>
    <w:rsid w:val="004A305D"/>
    <w:rsid w:val="004A3312"/>
    <w:rsid w:val="004A6C0D"/>
    <w:rsid w:val="004B26F2"/>
    <w:rsid w:val="004B3607"/>
    <w:rsid w:val="004B740F"/>
    <w:rsid w:val="004C4B37"/>
    <w:rsid w:val="004D026D"/>
    <w:rsid w:val="004E221E"/>
    <w:rsid w:val="004E2892"/>
    <w:rsid w:val="004E4C0B"/>
    <w:rsid w:val="004E505B"/>
    <w:rsid w:val="004F21C4"/>
    <w:rsid w:val="004F3012"/>
    <w:rsid w:val="004F5559"/>
    <w:rsid w:val="004F685F"/>
    <w:rsid w:val="004F7EC9"/>
    <w:rsid w:val="005029D2"/>
    <w:rsid w:val="00504CBE"/>
    <w:rsid w:val="00514598"/>
    <w:rsid w:val="005163B5"/>
    <w:rsid w:val="0052543A"/>
    <w:rsid w:val="0052785C"/>
    <w:rsid w:val="00533E1B"/>
    <w:rsid w:val="005379F8"/>
    <w:rsid w:val="00540128"/>
    <w:rsid w:val="00540C2D"/>
    <w:rsid w:val="00552502"/>
    <w:rsid w:val="005566E8"/>
    <w:rsid w:val="00560CB5"/>
    <w:rsid w:val="00564F8B"/>
    <w:rsid w:val="00574122"/>
    <w:rsid w:val="00574867"/>
    <w:rsid w:val="00577D09"/>
    <w:rsid w:val="0058087F"/>
    <w:rsid w:val="00591460"/>
    <w:rsid w:val="00591DEA"/>
    <w:rsid w:val="00592628"/>
    <w:rsid w:val="00597C75"/>
    <w:rsid w:val="005A0868"/>
    <w:rsid w:val="005A0CFB"/>
    <w:rsid w:val="005A282F"/>
    <w:rsid w:val="005A2AC9"/>
    <w:rsid w:val="005A5354"/>
    <w:rsid w:val="005B2CCE"/>
    <w:rsid w:val="005B55A8"/>
    <w:rsid w:val="005B58C1"/>
    <w:rsid w:val="005B6033"/>
    <w:rsid w:val="005C3777"/>
    <w:rsid w:val="005C5CDC"/>
    <w:rsid w:val="005D17C8"/>
    <w:rsid w:val="005D2B2B"/>
    <w:rsid w:val="005D476C"/>
    <w:rsid w:val="005D5F91"/>
    <w:rsid w:val="005D6A91"/>
    <w:rsid w:val="005D7B25"/>
    <w:rsid w:val="005E60D0"/>
    <w:rsid w:val="005F7C43"/>
    <w:rsid w:val="00605A00"/>
    <w:rsid w:val="006065A5"/>
    <w:rsid w:val="00610812"/>
    <w:rsid w:val="00612CE7"/>
    <w:rsid w:val="006219F8"/>
    <w:rsid w:val="006227EA"/>
    <w:rsid w:val="00627F02"/>
    <w:rsid w:val="0063165E"/>
    <w:rsid w:val="00632C08"/>
    <w:rsid w:val="00635980"/>
    <w:rsid w:val="006459C3"/>
    <w:rsid w:val="00646FE9"/>
    <w:rsid w:val="00650FF7"/>
    <w:rsid w:val="00665D70"/>
    <w:rsid w:val="00671DAC"/>
    <w:rsid w:val="006747C7"/>
    <w:rsid w:val="006827AC"/>
    <w:rsid w:val="00684C87"/>
    <w:rsid w:val="006859A3"/>
    <w:rsid w:val="006900D9"/>
    <w:rsid w:val="006A0008"/>
    <w:rsid w:val="006A10DF"/>
    <w:rsid w:val="006A1513"/>
    <w:rsid w:val="006A24F2"/>
    <w:rsid w:val="006A3147"/>
    <w:rsid w:val="006B25DE"/>
    <w:rsid w:val="006B3FBE"/>
    <w:rsid w:val="006C0240"/>
    <w:rsid w:val="006C5595"/>
    <w:rsid w:val="006C5765"/>
    <w:rsid w:val="006D12F8"/>
    <w:rsid w:val="006E23BA"/>
    <w:rsid w:val="006E4DAE"/>
    <w:rsid w:val="006F0D40"/>
    <w:rsid w:val="006F2501"/>
    <w:rsid w:val="006F2D8E"/>
    <w:rsid w:val="007000F0"/>
    <w:rsid w:val="00704B5C"/>
    <w:rsid w:val="00704D9B"/>
    <w:rsid w:val="00705E5F"/>
    <w:rsid w:val="00706C16"/>
    <w:rsid w:val="00707997"/>
    <w:rsid w:val="00711C85"/>
    <w:rsid w:val="0071458F"/>
    <w:rsid w:val="0071627C"/>
    <w:rsid w:val="007231C5"/>
    <w:rsid w:val="00723A7F"/>
    <w:rsid w:val="007312C3"/>
    <w:rsid w:val="00737C12"/>
    <w:rsid w:val="00737C53"/>
    <w:rsid w:val="00737DFA"/>
    <w:rsid w:val="00754FA8"/>
    <w:rsid w:val="00756841"/>
    <w:rsid w:val="00756FC8"/>
    <w:rsid w:val="007612AC"/>
    <w:rsid w:val="00762AA9"/>
    <w:rsid w:val="007649AB"/>
    <w:rsid w:val="00764B5A"/>
    <w:rsid w:val="00771D0C"/>
    <w:rsid w:val="007833AC"/>
    <w:rsid w:val="007839DB"/>
    <w:rsid w:val="00784D58"/>
    <w:rsid w:val="00786FBF"/>
    <w:rsid w:val="00790AB7"/>
    <w:rsid w:val="00791769"/>
    <w:rsid w:val="00796340"/>
    <w:rsid w:val="007A23EA"/>
    <w:rsid w:val="007A5189"/>
    <w:rsid w:val="007A7C44"/>
    <w:rsid w:val="007B0D88"/>
    <w:rsid w:val="007B268C"/>
    <w:rsid w:val="007B7171"/>
    <w:rsid w:val="007B7D02"/>
    <w:rsid w:val="007C0C0F"/>
    <w:rsid w:val="007C3DC2"/>
    <w:rsid w:val="007D0457"/>
    <w:rsid w:val="007D1A96"/>
    <w:rsid w:val="007D43C9"/>
    <w:rsid w:val="007D4CAA"/>
    <w:rsid w:val="007E5497"/>
    <w:rsid w:val="007F1BF7"/>
    <w:rsid w:val="007F28CA"/>
    <w:rsid w:val="007F52A4"/>
    <w:rsid w:val="007F60FB"/>
    <w:rsid w:val="007F7B94"/>
    <w:rsid w:val="00804981"/>
    <w:rsid w:val="008065B5"/>
    <w:rsid w:val="00806F5F"/>
    <w:rsid w:val="008163D7"/>
    <w:rsid w:val="00820278"/>
    <w:rsid w:val="00834554"/>
    <w:rsid w:val="00834B31"/>
    <w:rsid w:val="00840ADC"/>
    <w:rsid w:val="00843BF7"/>
    <w:rsid w:val="008449B3"/>
    <w:rsid w:val="00845347"/>
    <w:rsid w:val="00846276"/>
    <w:rsid w:val="00850E23"/>
    <w:rsid w:val="00851137"/>
    <w:rsid w:val="00853978"/>
    <w:rsid w:val="0085432F"/>
    <w:rsid w:val="00864209"/>
    <w:rsid w:val="0087325B"/>
    <w:rsid w:val="00881ABA"/>
    <w:rsid w:val="008843B6"/>
    <w:rsid w:val="00886C89"/>
    <w:rsid w:val="008910F7"/>
    <w:rsid w:val="00891928"/>
    <w:rsid w:val="00894B8B"/>
    <w:rsid w:val="00897DFC"/>
    <w:rsid w:val="008A00A4"/>
    <w:rsid w:val="008A446D"/>
    <w:rsid w:val="008A5F25"/>
    <w:rsid w:val="008A7059"/>
    <w:rsid w:val="008A7A64"/>
    <w:rsid w:val="008A7F08"/>
    <w:rsid w:val="008B2F0E"/>
    <w:rsid w:val="008B5A2E"/>
    <w:rsid w:val="008D180B"/>
    <w:rsid w:val="008D191C"/>
    <w:rsid w:val="008D7227"/>
    <w:rsid w:val="008E1F92"/>
    <w:rsid w:val="008E70EA"/>
    <w:rsid w:val="008E7333"/>
    <w:rsid w:val="008E7B09"/>
    <w:rsid w:val="008F04CB"/>
    <w:rsid w:val="008F0EA7"/>
    <w:rsid w:val="008F147A"/>
    <w:rsid w:val="008F7BB9"/>
    <w:rsid w:val="00904692"/>
    <w:rsid w:val="00910097"/>
    <w:rsid w:val="00911C7C"/>
    <w:rsid w:val="0091561E"/>
    <w:rsid w:val="00917452"/>
    <w:rsid w:val="00923EEF"/>
    <w:rsid w:val="00926840"/>
    <w:rsid w:val="00930E1E"/>
    <w:rsid w:val="009411F5"/>
    <w:rsid w:val="009419F9"/>
    <w:rsid w:val="00943251"/>
    <w:rsid w:val="00952531"/>
    <w:rsid w:val="00953AA4"/>
    <w:rsid w:val="00955305"/>
    <w:rsid w:val="009567E2"/>
    <w:rsid w:val="0095685E"/>
    <w:rsid w:val="009572D9"/>
    <w:rsid w:val="009600D2"/>
    <w:rsid w:val="00961409"/>
    <w:rsid w:val="00961B09"/>
    <w:rsid w:val="00962300"/>
    <w:rsid w:val="00965334"/>
    <w:rsid w:val="0096612C"/>
    <w:rsid w:val="0097093E"/>
    <w:rsid w:val="00976025"/>
    <w:rsid w:val="00977D20"/>
    <w:rsid w:val="009800BE"/>
    <w:rsid w:val="00982E41"/>
    <w:rsid w:val="00984649"/>
    <w:rsid w:val="009847C5"/>
    <w:rsid w:val="009852C1"/>
    <w:rsid w:val="009858BE"/>
    <w:rsid w:val="00994E88"/>
    <w:rsid w:val="00997126"/>
    <w:rsid w:val="009A0DFA"/>
    <w:rsid w:val="009A3C2C"/>
    <w:rsid w:val="009A4A40"/>
    <w:rsid w:val="009B2D26"/>
    <w:rsid w:val="009B3595"/>
    <w:rsid w:val="009B780F"/>
    <w:rsid w:val="009C2DD0"/>
    <w:rsid w:val="009C3AC7"/>
    <w:rsid w:val="009C71FA"/>
    <w:rsid w:val="009C72E7"/>
    <w:rsid w:val="009D0555"/>
    <w:rsid w:val="009D279E"/>
    <w:rsid w:val="009D3058"/>
    <w:rsid w:val="009D3A11"/>
    <w:rsid w:val="009D44C4"/>
    <w:rsid w:val="009D67FD"/>
    <w:rsid w:val="009E5A30"/>
    <w:rsid w:val="009E7C05"/>
    <w:rsid w:val="009F0D6A"/>
    <w:rsid w:val="009F3831"/>
    <w:rsid w:val="009F3832"/>
    <w:rsid w:val="009F3A13"/>
    <w:rsid w:val="009F4AB2"/>
    <w:rsid w:val="009F73F7"/>
    <w:rsid w:val="00A02465"/>
    <w:rsid w:val="00A03415"/>
    <w:rsid w:val="00A04A81"/>
    <w:rsid w:val="00A122D3"/>
    <w:rsid w:val="00A12E69"/>
    <w:rsid w:val="00A14D3D"/>
    <w:rsid w:val="00A17F13"/>
    <w:rsid w:val="00A20739"/>
    <w:rsid w:val="00A211D0"/>
    <w:rsid w:val="00A23361"/>
    <w:rsid w:val="00A24433"/>
    <w:rsid w:val="00A2443A"/>
    <w:rsid w:val="00A332DD"/>
    <w:rsid w:val="00A339A9"/>
    <w:rsid w:val="00A33C78"/>
    <w:rsid w:val="00A34B38"/>
    <w:rsid w:val="00A34D87"/>
    <w:rsid w:val="00A35538"/>
    <w:rsid w:val="00A37BC4"/>
    <w:rsid w:val="00A42050"/>
    <w:rsid w:val="00A43292"/>
    <w:rsid w:val="00A445C0"/>
    <w:rsid w:val="00A56FCA"/>
    <w:rsid w:val="00A570CC"/>
    <w:rsid w:val="00A6004A"/>
    <w:rsid w:val="00A613C2"/>
    <w:rsid w:val="00A668DA"/>
    <w:rsid w:val="00A74DE6"/>
    <w:rsid w:val="00A8086A"/>
    <w:rsid w:val="00A80F32"/>
    <w:rsid w:val="00A84283"/>
    <w:rsid w:val="00A87F7D"/>
    <w:rsid w:val="00A9244C"/>
    <w:rsid w:val="00A94D14"/>
    <w:rsid w:val="00AA6866"/>
    <w:rsid w:val="00AA7C79"/>
    <w:rsid w:val="00AB0ADB"/>
    <w:rsid w:val="00AB3FD1"/>
    <w:rsid w:val="00AC0EAB"/>
    <w:rsid w:val="00AC25E3"/>
    <w:rsid w:val="00AC2F9D"/>
    <w:rsid w:val="00AC3C93"/>
    <w:rsid w:val="00AC4701"/>
    <w:rsid w:val="00AC49A2"/>
    <w:rsid w:val="00AD73E2"/>
    <w:rsid w:val="00AE2631"/>
    <w:rsid w:val="00AE5592"/>
    <w:rsid w:val="00AF1BEC"/>
    <w:rsid w:val="00AF734E"/>
    <w:rsid w:val="00B00909"/>
    <w:rsid w:val="00B009B8"/>
    <w:rsid w:val="00B01B1A"/>
    <w:rsid w:val="00B04457"/>
    <w:rsid w:val="00B14E03"/>
    <w:rsid w:val="00B2377D"/>
    <w:rsid w:val="00B26B98"/>
    <w:rsid w:val="00B35201"/>
    <w:rsid w:val="00B35ADC"/>
    <w:rsid w:val="00B37C24"/>
    <w:rsid w:val="00B40FBC"/>
    <w:rsid w:val="00B45288"/>
    <w:rsid w:val="00B46F27"/>
    <w:rsid w:val="00B47FD7"/>
    <w:rsid w:val="00B51F75"/>
    <w:rsid w:val="00B53E27"/>
    <w:rsid w:val="00B558AF"/>
    <w:rsid w:val="00B615BA"/>
    <w:rsid w:val="00B62D8B"/>
    <w:rsid w:val="00B64817"/>
    <w:rsid w:val="00B660AA"/>
    <w:rsid w:val="00B72CD3"/>
    <w:rsid w:val="00B72FFF"/>
    <w:rsid w:val="00B76CEB"/>
    <w:rsid w:val="00B8257D"/>
    <w:rsid w:val="00B82B8B"/>
    <w:rsid w:val="00B82C26"/>
    <w:rsid w:val="00B8425E"/>
    <w:rsid w:val="00B84B90"/>
    <w:rsid w:val="00B86FE2"/>
    <w:rsid w:val="00B91186"/>
    <w:rsid w:val="00B93423"/>
    <w:rsid w:val="00BA1740"/>
    <w:rsid w:val="00BA2EF4"/>
    <w:rsid w:val="00BA3816"/>
    <w:rsid w:val="00BA5F2D"/>
    <w:rsid w:val="00BB3964"/>
    <w:rsid w:val="00BC0036"/>
    <w:rsid w:val="00BC05A6"/>
    <w:rsid w:val="00BC15C9"/>
    <w:rsid w:val="00BC288A"/>
    <w:rsid w:val="00BC3D36"/>
    <w:rsid w:val="00BC4B34"/>
    <w:rsid w:val="00BC7AD2"/>
    <w:rsid w:val="00BD0FDF"/>
    <w:rsid w:val="00BD7F72"/>
    <w:rsid w:val="00BE03BC"/>
    <w:rsid w:val="00BE0A18"/>
    <w:rsid w:val="00BE3084"/>
    <w:rsid w:val="00BF1201"/>
    <w:rsid w:val="00BF1D4A"/>
    <w:rsid w:val="00BF230F"/>
    <w:rsid w:val="00C002E3"/>
    <w:rsid w:val="00C012CC"/>
    <w:rsid w:val="00C04FB3"/>
    <w:rsid w:val="00C1083F"/>
    <w:rsid w:val="00C10C0F"/>
    <w:rsid w:val="00C147D0"/>
    <w:rsid w:val="00C159C1"/>
    <w:rsid w:val="00C16346"/>
    <w:rsid w:val="00C21B15"/>
    <w:rsid w:val="00C226E2"/>
    <w:rsid w:val="00C301B7"/>
    <w:rsid w:val="00C32523"/>
    <w:rsid w:val="00C330EB"/>
    <w:rsid w:val="00C371C9"/>
    <w:rsid w:val="00C3782A"/>
    <w:rsid w:val="00C40E9F"/>
    <w:rsid w:val="00C41481"/>
    <w:rsid w:val="00C42469"/>
    <w:rsid w:val="00C46D91"/>
    <w:rsid w:val="00C47A07"/>
    <w:rsid w:val="00C47B74"/>
    <w:rsid w:val="00C55E59"/>
    <w:rsid w:val="00C57281"/>
    <w:rsid w:val="00C65D65"/>
    <w:rsid w:val="00C67703"/>
    <w:rsid w:val="00C7173F"/>
    <w:rsid w:val="00C730B6"/>
    <w:rsid w:val="00C754BE"/>
    <w:rsid w:val="00C76466"/>
    <w:rsid w:val="00C76B1C"/>
    <w:rsid w:val="00C915DD"/>
    <w:rsid w:val="00C91B94"/>
    <w:rsid w:val="00C92665"/>
    <w:rsid w:val="00C976F6"/>
    <w:rsid w:val="00CA54D3"/>
    <w:rsid w:val="00CA6A9D"/>
    <w:rsid w:val="00CA7F6B"/>
    <w:rsid w:val="00CB6357"/>
    <w:rsid w:val="00CC0FA3"/>
    <w:rsid w:val="00CC1B26"/>
    <w:rsid w:val="00CC42DF"/>
    <w:rsid w:val="00CC49F7"/>
    <w:rsid w:val="00CC54DB"/>
    <w:rsid w:val="00CC5A22"/>
    <w:rsid w:val="00CD087D"/>
    <w:rsid w:val="00CD41CB"/>
    <w:rsid w:val="00CD5EE0"/>
    <w:rsid w:val="00CD7000"/>
    <w:rsid w:val="00CE509A"/>
    <w:rsid w:val="00CE5414"/>
    <w:rsid w:val="00CF241F"/>
    <w:rsid w:val="00CF37B7"/>
    <w:rsid w:val="00CF7826"/>
    <w:rsid w:val="00D00512"/>
    <w:rsid w:val="00D0157A"/>
    <w:rsid w:val="00D036D8"/>
    <w:rsid w:val="00D038ED"/>
    <w:rsid w:val="00D06D26"/>
    <w:rsid w:val="00D10B75"/>
    <w:rsid w:val="00D13351"/>
    <w:rsid w:val="00D15E25"/>
    <w:rsid w:val="00D20368"/>
    <w:rsid w:val="00D22361"/>
    <w:rsid w:val="00D22598"/>
    <w:rsid w:val="00D26924"/>
    <w:rsid w:val="00D413F6"/>
    <w:rsid w:val="00D4231B"/>
    <w:rsid w:val="00D423A2"/>
    <w:rsid w:val="00D51F2A"/>
    <w:rsid w:val="00D520D8"/>
    <w:rsid w:val="00D52961"/>
    <w:rsid w:val="00D55048"/>
    <w:rsid w:val="00D57D07"/>
    <w:rsid w:val="00D57FA4"/>
    <w:rsid w:val="00D62DE7"/>
    <w:rsid w:val="00D63AC2"/>
    <w:rsid w:val="00D665B4"/>
    <w:rsid w:val="00D7383B"/>
    <w:rsid w:val="00D7609E"/>
    <w:rsid w:val="00D81A63"/>
    <w:rsid w:val="00D81D25"/>
    <w:rsid w:val="00D85C60"/>
    <w:rsid w:val="00D935F9"/>
    <w:rsid w:val="00D9471C"/>
    <w:rsid w:val="00D94C40"/>
    <w:rsid w:val="00DA231B"/>
    <w:rsid w:val="00DA23A0"/>
    <w:rsid w:val="00DA7F66"/>
    <w:rsid w:val="00DB12C2"/>
    <w:rsid w:val="00DB186F"/>
    <w:rsid w:val="00DC39FC"/>
    <w:rsid w:val="00DC4385"/>
    <w:rsid w:val="00DC484F"/>
    <w:rsid w:val="00DC4C27"/>
    <w:rsid w:val="00DC51BC"/>
    <w:rsid w:val="00DC5970"/>
    <w:rsid w:val="00DC793F"/>
    <w:rsid w:val="00DE4629"/>
    <w:rsid w:val="00DF11FD"/>
    <w:rsid w:val="00DF5254"/>
    <w:rsid w:val="00E12426"/>
    <w:rsid w:val="00E16408"/>
    <w:rsid w:val="00E20894"/>
    <w:rsid w:val="00E245AB"/>
    <w:rsid w:val="00E26239"/>
    <w:rsid w:val="00E2764C"/>
    <w:rsid w:val="00E27F2E"/>
    <w:rsid w:val="00E413EA"/>
    <w:rsid w:val="00E46E45"/>
    <w:rsid w:val="00E47F28"/>
    <w:rsid w:val="00E50AFE"/>
    <w:rsid w:val="00E52E49"/>
    <w:rsid w:val="00E577AC"/>
    <w:rsid w:val="00E578B6"/>
    <w:rsid w:val="00E61547"/>
    <w:rsid w:val="00E61702"/>
    <w:rsid w:val="00E66E38"/>
    <w:rsid w:val="00E67F8E"/>
    <w:rsid w:val="00E7300F"/>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157F"/>
    <w:rsid w:val="00E92C27"/>
    <w:rsid w:val="00E92E10"/>
    <w:rsid w:val="00EA0E3D"/>
    <w:rsid w:val="00EA1CD8"/>
    <w:rsid w:val="00EA393B"/>
    <w:rsid w:val="00EA39A5"/>
    <w:rsid w:val="00EA5814"/>
    <w:rsid w:val="00EB2C4B"/>
    <w:rsid w:val="00EB7E00"/>
    <w:rsid w:val="00EC1A2C"/>
    <w:rsid w:val="00EC1FE1"/>
    <w:rsid w:val="00EC38A7"/>
    <w:rsid w:val="00ED042A"/>
    <w:rsid w:val="00ED0D4A"/>
    <w:rsid w:val="00EE1AA8"/>
    <w:rsid w:val="00EF26C3"/>
    <w:rsid w:val="00EF419E"/>
    <w:rsid w:val="00EF489F"/>
    <w:rsid w:val="00F06820"/>
    <w:rsid w:val="00F11213"/>
    <w:rsid w:val="00F11BAA"/>
    <w:rsid w:val="00F17785"/>
    <w:rsid w:val="00F177C1"/>
    <w:rsid w:val="00F238F2"/>
    <w:rsid w:val="00F260AA"/>
    <w:rsid w:val="00F27B26"/>
    <w:rsid w:val="00F31EDC"/>
    <w:rsid w:val="00F34D02"/>
    <w:rsid w:val="00F34E84"/>
    <w:rsid w:val="00F40BAD"/>
    <w:rsid w:val="00F462B3"/>
    <w:rsid w:val="00F5184B"/>
    <w:rsid w:val="00F52ECA"/>
    <w:rsid w:val="00F55081"/>
    <w:rsid w:val="00F55168"/>
    <w:rsid w:val="00F55564"/>
    <w:rsid w:val="00F55C22"/>
    <w:rsid w:val="00F5664F"/>
    <w:rsid w:val="00F626C4"/>
    <w:rsid w:val="00F64D9E"/>
    <w:rsid w:val="00F666C4"/>
    <w:rsid w:val="00F7684C"/>
    <w:rsid w:val="00F76AFC"/>
    <w:rsid w:val="00F80CBE"/>
    <w:rsid w:val="00F85198"/>
    <w:rsid w:val="00F937BF"/>
    <w:rsid w:val="00F939CB"/>
    <w:rsid w:val="00F9479C"/>
    <w:rsid w:val="00F965EE"/>
    <w:rsid w:val="00F97949"/>
    <w:rsid w:val="00FA1110"/>
    <w:rsid w:val="00FA358D"/>
    <w:rsid w:val="00FA47C0"/>
    <w:rsid w:val="00FB4425"/>
    <w:rsid w:val="00FB5615"/>
    <w:rsid w:val="00FB5DD1"/>
    <w:rsid w:val="00FB5F87"/>
    <w:rsid w:val="00FC07B5"/>
    <w:rsid w:val="00FC2B5D"/>
    <w:rsid w:val="00FD00E9"/>
    <w:rsid w:val="00FD03E3"/>
    <w:rsid w:val="00FE122A"/>
    <w:rsid w:val="00FE20E6"/>
    <w:rsid w:val="00FE74DC"/>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DE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47232680">
      <w:bodyDiv w:val="1"/>
      <w:marLeft w:val="0"/>
      <w:marRight w:val="0"/>
      <w:marTop w:val="0"/>
      <w:marBottom w:val="0"/>
      <w:divBdr>
        <w:top w:val="none" w:sz="0" w:space="0" w:color="auto"/>
        <w:left w:val="none" w:sz="0" w:space="0" w:color="auto"/>
        <w:bottom w:val="none" w:sz="0" w:space="0" w:color="auto"/>
        <w:right w:val="none" w:sz="0" w:space="0" w:color="auto"/>
      </w:divBdr>
      <w:divsChild>
        <w:div w:id="66651347">
          <w:marLeft w:val="0"/>
          <w:marRight w:val="0"/>
          <w:marTop w:val="0"/>
          <w:marBottom w:val="0"/>
          <w:divBdr>
            <w:top w:val="none" w:sz="0" w:space="0" w:color="auto"/>
            <w:left w:val="none" w:sz="0" w:space="0" w:color="auto"/>
            <w:bottom w:val="none" w:sz="0" w:space="0" w:color="auto"/>
            <w:right w:val="none" w:sz="0" w:space="0" w:color="auto"/>
          </w:divBdr>
        </w:div>
        <w:div w:id="623661893">
          <w:marLeft w:val="0"/>
          <w:marRight w:val="0"/>
          <w:marTop w:val="0"/>
          <w:marBottom w:val="0"/>
          <w:divBdr>
            <w:top w:val="none" w:sz="0" w:space="0" w:color="auto"/>
            <w:left w:val="none" w:sz="0" w:space="0" w:color="auto"/>
            <w:bottom w:val="none" w:sz="0" w:space="0" w:color="auto"/>
            <w:right w:val="none" w:sz="0" w:space="0" w:color="auto"/>
          </w:divBdr>
        </w:div>
        <w:div w:id="702287851">
          <w:marLeft w:val="0"/>
          <w:marRight w:val="0"/>
          <w:marTop w:val="0"/>
          <w:marBottom w:val="0"/>
          <w:divBdr>
            <w:top w:val="none" w:sz="0" w:space="0" w:color="auto"/>
            <w:left w:val="none" w:sz="0" w:space="0" w:color="auto"/>
            <w:bottom w:val="none" w:sz="0" w:space="0" w:color="auto"/>
            <w:right w:val="none" w:sz="0" w:space="0" w:color="auto"/>
          </w:divBdr>
        </w:div>
        <w:div w:id="1193348883">
          <w:marLeft w:val="0"/>
          <w:marRight w:val="0"/>
          <w:marTop w:val="0"/>
          <w:marBottom w:val="0"/>
          <w:divBdr>
            <w:top w:val="none" w:sz="0" w:space="0" w:color="auto"/>
            <w:left w:val="none" w:sz="0" w:space="0" w:color="auto"/>
            <w:bottom w:val="none" w:sz="0" w:space="0" w:color="auto"/>
            <w:right w:val="none" w:sz="0" w:space="0" w:color="auto"/>
          </w:divBdr>
        </w:div>
        <w:div w:id="1567496523">
          <w:marLeft w:val="0"/>
          <w:marRight w:val="0"/>
          <w:marTop w:val="0"/>
          <w:marBottom w:val="0"/>
          <w:divBdr>
            <w:top w:val="none" w:sz="0" w:space="0" w:color="auto"/>
            <w:left w:val="none" w:sz="0" w:space="0" w:color="auto"/>
            <w:bottom w:val="none" w:sz="0" w:space="0" w:color="auto"/>
            <w:right w:val="none" w:sz="0" w:space="0" w:color="auto"/>
          </w:divBdr>
        </w:div>
        <w:div w:id="1600287683">
          <w:marLeft w:val="0"/>
          <w:marRight w:val="0"/>
          <w:marTop w:val="0"/>
          <w:marBottom w:val="0"/>
          <w:divBdr>
            <w:top w:val="none" w:sz="0" w:space="0" w:color="auto"/>
            <w:left w:val="none" w:sz="0" w:space="0" w:color="auto"/>
            <w:bottom w:val="none" w:sz="0" w:space="0" w:color="auto"/>
            <w:right w:val="none" w:sz="0" w:space="0" w:color="auto"/>
          </w:divBdr>
        </w:div>
        <w:div w:id="623969290">
          <w:marLeft w:val="0"/>
          <w:marRight w:val="0"/>
          <w:marTop w:val="0"/>
          <w:marBottom w:val="0"/>
          <w:divBdr>
            <w:top w:val="none" w:sz="0" w:space="0" w:color="auto"/>
            <w:left w:val="none" w:sz="0" w:space="0" w:color="auto"/>
            <w:bottom w:val="none" w:sz="0" w:space="0" w:color="auto"/>
            <w:right w:val="none" w:sz="0" w:space="0" w:color="auto"/>
          </w:divBdr>
        </w:div>
        <w:div w:id="143818348">
          <w:marLeft w:val="0"/>
          <w:marRight w:val="0"/>
          <w:marTop w:val="0"/>
          <w:marBottom w:val="0"/>
          <w:divBdr>
            <w:top w:val="none" w:sz="0" w:space="0" w:color="auto"/>
            <w:left w:val="none" w:sz="0" w:space="0" w:color="auto"/>
            <w:bottom w:val="none" w:sz="0" w:space="0" w:color="auto"/>
            <w:right w:val="none" w:sz="0" w:space="0" w:color="auto"/>
          </w:divBdr>
        </w:div>
        <w:div w:id="424963520">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2017029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94617855">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93491494">
      <w:bodyDiv w:val="1"/>
      <w:marLeft w:val="0"/>
      <w:marRight w:val="0"/>
      <w:marTop w:val="0"/>
      <w:marBottom w:val="0"/>
      <w:divBdr>
        <w:top w:val="none" w:sz="0" w:space="0" w:color="auto"/>
        <w:left w:val="none" w:sz="0" w:space="0" w:color="auto"/>
        <w:bottom w:val="none" w:sz="0" w:space="0" w:color="auto"/>
        <w:right w:val="none" w:sz="0" w:space="0" w:color="auto"/>
      </w:divBdr>
      <w:divsChild>
        <w:div w:id="2100637574">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vestigaciones@alianzacfc.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cretariaejecutiva@mpapenalcorporativo.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ctualicese.com/normatividad/2008/03/13/sentencia-15009-de-13-03-200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daccess-dds-ny.un.org/doc/%20undoc/gen/v98/513/54/pdf/V9851354.pdf?OpenElement" TargetMode="External"/><Relationship Id="rId2" Type="http://schemas.openxmlformats.org/officeDocument/2006/relationships/hyperlink" Target="https://revistas.uexternado.edu.co/index.php/derest/article/view/706" TargetMode="External"/><Relationship Id="rId1" Type="http://schemas.openxmlformats.org/officeDocument/2006/relationships/hyperlink" Target="http://www.secretariasenado.gov.co/senado/basedoc/ley_1508_2012.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657E1E-7822-4D41-83CE-CF689FF929F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schemas.microsoft.com/office/2006/metadata/properties"/>
    <ds:schemaRef ds:uri="http://schemas.microsoft.com/office/2006/documentManagement/types"/>
    <ds:schemaRef ds:uri="http://purl.org/dc/elements/1.1/"/>
    <ds:schemaRef ds:uri="a6cb9e4b-f1d1-4245-83ec-6cad768d538a"/>
    <ds:schemaRef ds:uri="http://www.w3.org/XML/1998/namespace"/>
    <ds:schemaRef ds:uri="http://purl.org/dc/terms/"/>
    <ds:schemaRef ds:uri="http://schemas.microsoft.com/office/infopath/2007/PartnerControls"/>
    <ds:schemaRef ds:uri="http://schemas.openxmlformats.org/package/2006/metadata/core-properties"/>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27</Pages>
  <Words>9237</Words>
  <Characters>50805</Characters>
  <Application>Microsoft Office Word</Application>
  <DocSecurity>0</DocSecurity>
  <Lines>423</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2025-10-02T17:04:00Z</dcterms:created>
  <dcterms:modified xsi:type="dcterms:W3CDTF">2025-10-02T17:04:00Z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