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05DAE" w14:textId="4B84DBDF" w:rsidR="000C1F81" w:rsidRPr="00CB11E4" w:rsidRDefault="000C1F81" w:rsidP="000C1F81">
      <w:pPr>
        <w:pStyle w:val="paragraph"/>
        <w:spacing w:before="0" w:beforeAutospacing="0" w:after="0" w:afterAutospacing="0"/>
        <w:jc w:val="both"/>
        <w:textAlignment w:val="baseline"/>
        <w:rPr>
          <w:rFonts w:ascii="Verdana" w:hAnsi="Verdana" w:cs="Arial"/>
          <w:b/>
          <w:bCs/>
          <w:sz w:val="22"/>
          <w:szCs w:val="22"/>
        </w:rPr>
      </w:pPr>
      <w:bookmarkStart w:id="0" w:name="_Hlk143780582"/>
      <w:r w:rsidRPr="00CB11E4">
        <w:rPr>
          <w:rStyle w:val="normaltextrun"/>
          <w:rFonts w:ascii="Verdana" w:hAnsi="Verdana" w:cs="Arial"/>
          <w:b/>
          <w:bCs/>
          <w:sz w:val="22"/>
          <w:szCs w:val="22"/>
        </w:rPr>
        <w:t xml:space="preserve">DECLARATORIA DE DESIERTA EN PROCESOS DE MÍNIMA CUANTÍA – Régimen jurídico </w:t>
      </w:r>
      <w:r w:rsidR="00CB11E4" w:rsidRPr="00CB11E4">
        <w:rPr>
          <w:rFonts w:ascii="Verdana" w:eastAsia="Calibri" w:hAnsi="Verdana" w:cs="Arial"/>
          <w:b/>
          <w:bCs/>
          <w:sz w:val="22"/>
          <w:szCs w:val="22"/>
          <w:lang w:val="es-MX" w:eastAsia="es-ES"/>
        </w:rPr>
        <w:t>– Consecuencias – Nuevo proceso – Modalidad aplicable</w:t>
      </w:r>
    </w:p>
    <w:p w14:paraId="7166B5D3" w14:textId="77777777" w:rsidR="000C1F81" w:rsidRPr="002219F4" w:rsidRDefault="000C1F81" w:rsidP="000C1F81">
      <w:pPr>
        <w:pStyle w:val="paragraph"/>
        <w:spacing w:after="0"/>
        <w:jc w:val="both"/>
        <w:textAlignment w:val="baseline"/>
        <w:rPr>
          <w:rStyle w:val="normaltextrun"/>
          <w:rFonts w:ascii="Verdana" w:hAnsi="Verdana" w:cs="Arial"/>
          <w:sz w:val="22"/>
          <w:szCs w:val="22"/>
          <w:lang w:val="es-ES"/>
        </w:rPr>
      </w:pPr>
      <w:r w:rsidRPr="002219F4">
        <w:rPr>
          <w:rStyle w:val="normaltextrun"/>
          <w:rFonts w:ascii="Verdana" w:hAnsi="Verdana" w:cs="Arial"/>
          <w:sz w:val="22"/>
          <w:szCs w:val="22"/>
          <w:lang w:val="es-ES"/>
        </w:rPr>
        <w:t xml:space="preserve">La declaratoria de desierta de un procedimiento de selección consiste en la decisión de la entidad contratante de no adjudicar el contrato, esto es, de no seleccionar al futuro contratista originado en un procedimiento de selección, por presentarse los supuestos establecidos por el legislador para dicha declaratoria. Ahora bien, las normas especiales que regulan el procedimiento de mínima cuantía no establecen una regulación especial respecto a esta actuación; aunque sí existen reglas especiales respecto a la forma como se selecciona la mejor oferta y, por ende, al proponente seleccionado. En este sentido, los literales c) y d) del numeral 5 del artículo 2 de la Ley 1150 de 2007, modificado por el artículo 30 de la Ley 2069 de 2020 señalan […] En armonía con lo anterior, el legislador estableció que en los procesos de mínima cuantía no habría un </w:t>
      </w:r>
      <w:r>
        <w:rPr>
          <w:rStyle w:val="normaltextrun"/>
          <w:rFonts w:ascii="Verdana" w:hAnsi="Verdana" w:cs="Arial"/>
          <w:sz w:val="22"/>
          <w:szCs w:val="22"/>
          <w:lang w:val="es-ES"/>
        </w:rPr>
        <w:t>“</w:t>
      </w:r>
      <w:r w:rsidRPr="002219F4">
        <w:rPr>
          <w:rStyle w:val="normaltextrun"/>
          <w:rFonts w:ascii="Verdana" w:hAnsi="Verdana" w:cs="Arial"/>
          <w:sz w:val="22"/>
          <w:szCs w:val="22"/>
          <w:lang w:val="es-ES"/>
        </w:rPr>
        <w:t>acto de adjudicación</w:t>
      </w:r>
      <w:r>
        <w:rPr>
          <w:rStyle w:val="normaltextrun"/>
          <w:rFonts w:ascii="Verdana" w:hAnsi="Verdana" w:cs="Arial"/>
          <w:sz w:val="22"/>
          <w:szCs w:val="22"/>
          <w:lang w:val="es-ES"/>
        </w:rPr>
        <w:t>”</w:t>
      </w:r>
      <w:r w:rsidRPr="002219F4">
        <w:rPr>
          <w:rStyle w:val="normaltextrun"/>
          <w:rFonts w:ascii="Verdana" w:hAnsi="Verdana" w:cs="Arial"/>
          <w:sz w:val="22"/>
          <w:szCs w:val="22"/>
          <w:lang w:val="es-ES"/>
        </w:rPr>
        <w:t xml:space="preserve">, sino que en aras de la celeridad y economía que se busca con esta modalidad, la selección de la mejor oferta se realiza mediante una </w:t>
      </w:r>
      <w:r>
        <w:rPr>
          <w:rStyle w:val="normaltextrun"/>
          <w:rFonts w:ascii="Verdana" w:hAnsi="Verdana" w:cs="Arial"/>
          <w:sz w:val="22"/>
          <w:szCs w:val="22"/>
          <w:lang w:val="es-ES"/>
        </w:rPr>
        <w:t>“</w:t>
      </w:r>
      <w:r w:rsidRPr="002219F4">
        <w:rPr>
          <w:rStyle w:val="normaltextrun"/>
          <w:rFonts w:ascii="Verdana" w:hAnsi="Verdana" w:cs="Arial"/>
          <w:sz w:val="22"/>
          <w:szCs w:val="22"/>
          <w:lang w:val="es-ES"/>
        </w:rPr>
        <w:t>comunicación de aceptación de la oferta</w:t>
      </w:r>
      <w:r>
        <w:rPr>
          <w:rStyle w:val="normaltextrun"/>
          <w:rFonts w:ascii="Verdana" w:hAnsi="Verdana" w:cs="Arial"/>
          <w:sz w:val="22"/>
          <w:szCs w:val="22"/>
          <w:lang w:val="es-ES"/>
        </w:rPr>
        <w:t>”</w:t>
      </w:r>
      <w:r w:rsidRPr="002219F4">
        <w:rPr>
          <w:rStyle w:val="normaltextrun"/>
          <w:rFonts w:ascii="Verdana" w:hAnsi="Verdana" w:cs="Arial"/>
          <w:sz w:val="22"/>
          <w:szCs w:val="22"/>
          <w:lang w:val="es-ES"/>
        </w:rPr>
        <w:t>, y dicha comunicación, junto con la oferta presentada por el oferente seleccionado, constituyen el contrato. La comunicación de aceptación de la oferta hace las veces del acto de adjudicación, en el entendido de que bajo dicha actuación la entidad selecciona a su contratista; solo que en estos casos mediante dicho acto además se perfecciona el contrato.</w:t>
      </w:r>
    </w:p>
    <w:p w14:paraId="0C5A42C9" w14:textId="77777777" w:rsidR="000C1F81" w:rsidRDefault="000C1F81" w:rsidP="000C1F81">
      <w:pPr>
        <w:pStyle w:val="paragraph"/>
        <w:spacing w:after="0"/>
        <w:jc w:val="both"/>
        <w:textAlignment w:val="baseline"/>
        <w:rPr>
          <w:rStyle w:val="normaltextrun"/>
          <w:rFonts w:ascii="Verdana" w:hAnsi="Verdana" w:cs="Arial"/>
          <w:sz w:val="22"/>
          <w:szCs w:val="22"/>
          <w:lang w:val="es-ES"/>
        </w:rPr>
      </w:pPr>
      <w:r w:rsidRPr="002219F4">
        <w:rPr>
          <w:rStyle w:val="normaltextrun"/>
          <w:rFonts w:ascii="Verdana" w:hAnsi="Verdana" w:cs="Arial"/>
          <w:sz w:val="22"/>
          <w:szCs w:val="22"/>
          <w:lang w:val="es-ES"/>
        </w:rPr>
        <w:t xml:space="preserve">Ahora bien, al no existir regulación especial de la declaratoria de desierta en los procesos de mínima cuantía, el fundamento para esta actuación se encuentra consagrado en el numeral 18 del artículo 25 de la Ley 80 de 1993 […]. De esta manera, el artículo 25, numeral 18, de la Ley 80 expresa que la declaratoria de desierta </w:t>
      </w:r>
      <w:r>
        <w:rPr>
          <w:rStyle w:val="normaltextrun"/>
          <w:rFonts w:ascii="Verdana" w:hAnsi="Verdana" w:cs="Arial"/>
          <w:sz w:val="22"/>
          <w:szCs w:val="22"/>
          <w:lang w:val="es-ES"/>
        </w:rPr>
        <w:t>“</w:t>
      </w:r>
      <w:r w:rsidRPr="002219F4">
        <w:rPr>
          <w:rStyle w:val="normaltextrun"/>
          <w:rFonts w:ascii="Verdana" w:hAnsi="Verdana" w:cs="Arial"/>
          <w:sz w:val="22"/>
          <w:szCs w:val="22"/>
          <w:lang w:val="es-ES"/>
        </w:rPr>
        <w:t>únicamente procederá por motivos o causas que impidan la escogencia objetiva</w:t>
      </w:r>
      <w:r>
        <w:rPr>
          <w:rStyle w:val="normaltextrun"/>
          <w:rFonts w:ascii="Verdana" w:hAnsi="Verdana" w:cs="Arial"/>
          <w:sz w:val="22"/>
          <w:szCs w:val="22"/>
          <w:lang w:val="es-ES"/>
        </w:rPr>
        <w:t>”</w:t>
      </w:r>
      <w:r w:rsidRPr="002219F4">
        <w:rPr>
          <w:rStyle w:val="normaltextrun"/>
          <w:rFonts w:ascii="Verdana" w:hAnsi="Verdana" w:cs="Arial"/>
          <w:sz w:val="22"/>
          <w:szCs w:val="22"/>
          <w:lang w:val="es-ES"/>
        </w:rPr>
        <w:t xml:space="preserve">, lo que responde a la orientación regulativa de la Ley 80 de 1993, toda vez que bajo el régimen del Decreto-Ley 222 de 1983 se establecía una mayor cantidad de supuestos. Actualmente cualquier declaratoria de desierta de un proceso contractual implica que en el acto administrativo mediante el cual se exprese las razones por las cuales considera que no es posible realizar una selección objetiva de la mejor oferta, y cómo esta circunstancia se presenta efectivamente en el procedimiento de selección. Por ejemplo, </w:t>
      </w:r>
      <w:proofErr w:type="gramStart"/>
      <w:r w:rsidRPr="002219F4">
        <w:rPr>
          <w:rStyle w:val="normaltextrun"/>
          <w:rFonts w:ascii="Verdana" w:hAnsi="Verdana" w:cs="Arial"/>
          <w:sz w:val="22"/>
          <w:szCs w:val="22"/>
          <w:lang w:val="es-ES"/>
        </w:rPr>
        <w:t>señalar</w:t>
      </w:r>
      <w:proofErr w:type="gramEnd"/>
      <w:r w:rsidRPr="002219F4">
        <w:rPr>
          <w:rStyle w:val="normaltextrun"/>
          <w:rFonts w:ascii="Verdana" w:hAnsi="Verdana" w:cs="Arial"/>
          <w:sz w:val="22"/>
          <w:szCs w:val="22"/>
          <w:lang w:val="es-ES"/>
        </w:rPr>
        <w:t xml:space="preserve"> que no se presentaron ofertas o que de las que se presentaron </w:t>
      </w:r>
      <w:proofErr w:type="gramStart"/>
      <w:r w:rsidRPr="002219F4">
        <w:rPr>
          <w:rStyle w:val="normaltextrun"/>
          <w:rFonts w:ascii="Verdana" w:hAnsi="Verdana" w:cs="Arial"/>
          <w:sz w:val="22"/>
          <w:szCs w:val="22"/>
          <w:lang w:val="es-ES"/>
        </w:rPr>
        <w:t>ninguna cumple</w:t>
      </w:r>
      <w:proofErr w:type="gramEnd"/>
      <w:r w:rsidRPr="002219F4">
        <w:rPr>
          <w:rStyle w:val="normaltextrun"/>
          <w:rFonts w:ascii="Verdana" w:hAnsi="Verdana" w:cs="Arial"/>
          <w:sz w:val="22"/>
          <w:szCs w:val="22"/>
          <w:lang w:val="es-ES"/>
        </w:rPr>
        <w:t xml:space="preserve"> con los requisitos mínimos establecidos por la entidad en los pliegos de condiciones o en la invitación. En efecto, en relación con la motivación de la declaratoria de desierta, la doctrina expresa: </w:t>
      </w:r>
      <w:r>
        <w:rPr>
          <w:rStyle w:val="normaltextrun"/>
          <w:rFonts w:ascii="Verdana" w:hAnsi="Verdana" w:cs="Arial"/>
          <w:sz w:val="22"/>
          <w:szCs w:val="22"/>
          <w:lang w:val="es-ES"/>
        </w:rPr>
        <w:t>“</w:t>
      </w:r>
      <w:r w:rsidRPr="002219F4">
        <w:rPr>
          <w:rStyle w:val="normaltextrun"/>
          <w:rFonts w:ascii="Verdana" w:hAnsi="Verdana" w:cs="Arial"/>
          <w:sz w:val="22"/>
          <w:szCs w:val="22"/>
          <w:lang w:val="es-ES"/>
        </w:rPr>
        <w:t xml:space="preserve">Esto significa que el acto administrativo debe contener de manera detallada y completa lo siguiente: Señalar los hechos que según la entidad dan lugar a la declaratoria. Debe mostrar de qué modo dichos hechos son constitutivos de la causal señalada en la ley. Es </w:t>
      </w:r>
      <w:proofErr w:type="gramStart"/>
      <w:r w:rsidRPr="002219F4">
        <w:rPr>
          <w:rStyle w:val="normaltextrun"/>
          <w:rFonts w:ascii="Verdana" w:hAnsi="Verdana" w:cs="Arial"/>
          <w:sz w:val="22"/>
          <w:szCs w:val="22"/>
          <w:lang w:val="es-ES"/>
        </w:rPr>
        <w:t>decir</w:t>
      </w:r>
      <w:proofErr w:type="gramEnd"/>
      <w:r w:rsidRPr="002219F4">
        <w:rPr>
          <w:rStyle w:val="normaltextrun"/>
          <w:rFonts w:ascii="Verdana" w:hAnsi="Verdana" w:cs="Arial"/>
          <w:sz w:val="22"/>
          <w:szCs w:val="22"/>
          <w:lang w:val="es-ES"/>
        </w:rPr>
        <w:t xml:space="preserve"> debe mostrar </w:t>
      </w:r>
      <w:r w:rsidRPr="002219F4">
        <w:rPr>
          <w:rStyle w:val="normaltextrun"/>
          <w:rFonts w:ascii="Verdana" w:hAnsi="Verdana" w:cs="Arial"/>
          <w:sz w:val="22"/>
          <w:szCs w:val="22"/>
          <w:lang w:val="es-ES"/>
        </w:rPr>
        <w:lastRenderedPageBreak/>
        <w:t>de qué modo el hecho señalado impide realmente la selección objetiva del contratista.</w:t>
      </w:r>
    </w:p>
    <w:p w14:paraId="23A35DA0" w14:textId="77777777" w:rsidR="000C1F81" w:rsidRDefault="000C1F81" w:rsidP="00E245AB">
      <w:pPr>
        <w:spacing w:after="0"/>
        <w:rPr>
          <w:rFonts w:ascii="Verdana" w:hAnsi="Verdana"/>
        </w:rPr>
      </w:pPr>
    </w:p>
    <w:p w14:paraId="24D1F698" w14:textId="77777777" w:rsidR="000C1F81" w:rsidRDefault="000C1F81" w:rsidP="00E245AB">
      <w:pPr>
        <w:spacing w:after="0"/>
        <w:rPr>
          <w:rFonts w:ascii="Verdana" w:hAnsi="Verdana"/>
        </w:rPr>
      </w:pPr>
    </w:p>
    <w:p w14:paraId="3234441A" w14:textId="77777777" w:rsidR="000C1F81" w:rsidRDefault="000C1F81" w:rsidP="00E245AB">
      <w:pPr>
        <w:spacing w:after="0"/>
        <w:rPr>
          <w:rFonts w:ascii="Verdana" w:hAnsi="Verdana"/>
        </w:rPr>
      </w:pPr>
    </w:p>
    <w:p w14:paraId="28DBB3AB" w14:textId="77777777" w:rsidR="000C1F81" w:rsidRDefault="000C1F81" w:rsidP="00E245AB">
      <w:pPr>
        <w:spacing w:after="0"/>
        <w:rPr>
          <w:rFonts w:ascii="Verdana" w:hAnsi="Verdana"/>
        </w:rPr>
      </w:pPr>
    </w:p>
    <w:p w14:paraId="00FF239B" w14:textId="77777777" w:rsidR="000C1F81" w:rsidRDefault="000C1F81" w:rsidP="00E245AB">
      <w:pPr>
        <w:spacing w:after="0"/>
        <w:rPr>
          <w:rFonts w:ascii="Verdana" w:hAnsi="Verdana"/>
        </w:rPr>
      </w:pPr>
    </w:p>
    <w:p w14:paraId="0EF4202B" w14:textId="77777777" w:rsidR="000C1F81" w:rsidRDefault="000C1F81" w:rsidP="00E245AB">
      <w:pPr>
        <w:spacing w:after="0"/>
        <w:rPr>
          <w:rFonts w:ascii="Verdana" w:hAnsi="Verdana"/>
        </w:rPr>
      </w:pPr>
    </w:p>
    <w:p w14:paraId="24D83ED6" w14:textId="77777777" w:rsidR="000C1F81" w:rsidRDefault="000C1F81" w:rsidP="00E245AB">
      <w:pPr>
        <w:spacing w:after="0"/>
        <w:rPr>
          <w:rFonts w:ascii="Verdana" w:hAnsi="Verdana"/>
        </w:rPr>
      </w:pPr>
    </w:p>
    <w:p w14:paraId="7ACE33D5" w14:textId="77777777" w:rsidR="000C1F81" w:rsidRDefault="000C1F81" w:rsidP="00E245AB">
      <w:pPr>
        <w:spacing w:after="0"/>
        <w:rPr>
          <w:rFonts w:ascii="Verdana" w:hAnsi="Verdana"/>
        </w:rPr>
      </w:pPr>
    </w:p>
    <w:p w14:paraId="590359F6" w14:textId="77777777" w:rsidR="000C1F81" w:rsidRDefault="000C1F81" w:rsidP="00E245AB">
      <w:pPr>
        <w:spacing w:after="0"/>
        <w:rPr>
          <w:rFonts w:ascii="Verdana" w:hAnsi="Verdana"/>
        </w:rPr>
      </w:pPr>
    </w:p>
    <w:p w14:paraId="23CBDA96" w14:textId="77777777" w:rsidR="000C1F81" w:rsidRDefault="000C1F81" w:rsidP="00E245AB">
      <w:pPr>
        <w:spacing w:after="0"/>
        <w:rPr>
          <w:rFonts w:ascii="Verdana" w:hAnsi="Verdana"/>
        </w:rPr>
      </w:pPr>
    </w:p>
    <w:p w14:paraId="7547C97B" w14:textId="77777777" w:rsidR="000C1F81" w:rsidRDefault="000C1F81" w:rsidP="00E245AB">
      <w:pPr>
        <w:spacing w:after="0"/>
        <w:rPr>
          <w:rFonts w:ascii="Verdana" w:hAnsi="Verdana"/>
        </w:rPr>
      </w:pPr>
    </w:p>
    <w:p w14:paraId="2A22EF0F" w14:textId="77777777" w:rsidR="000C1F81" w:rsidRDefault="000C1F81" w:rsidP="00E245AB">
      <w:pPr>
        <w:spacing w:after="0"/>
        <w:rPr>
          <w:rFonts w:ascii="Verdana" w:hAnsi="Verdana"/>
        </w:rPr>
      </w:pPr>
    </w:p>
    <w:p w14:paraId="5E2204F1" w14:textId="77777777" w:rsidR="000C1F81" w:rsidRDefault="000C1F81" w:rsidP="00E245AB">
      <w:pPr>
        <w:spacing w:after="0"/>
        <w:rPr>
          <w:rFonts w:ascii="Verdana" w:hAnsi="Verdana"/>
        </w:rPr>
      </w:pPr>
    </w:p>
    <w:p w14:paraId="4401B870" w14:textId="77777777" w:rsidR="000C1F81" w:rsidRDefault="000C1F81" w:rsidP="00E245AB">
      <w:pPr>
        <w:spacing w:after="0"/>
        <w:rPr>
          <w:rFonts w:ascii="Verdana" w:hAnsi="Verdana"/>
        </w:rPr>
      </w:pPr>
    </w:p>
    <w:p w14:paraId="4C9B44CB" w14:textId="77777777" w:rsidR="000C1F81" w:rsidRDefault="000C1F81" w:rsidP="00E245AB">
      <w:pPr>
        <w:spacing w:after="0"/>
        <w:rPr>
          <w:rFonts w:ascii="Verdana" w:hAnsi="Verdana"/>
        </w:rPr>
      </w:pPr>
    </w:p>
    <w:p w14:paraId="696C5EB4" w14:textId="77777777" w:rsidR="000C1F81" w:rsidRDefault="000C1F81" w:rsidP="00E245AB">
      <w:pPr>
        <w:spacing w:after="0"/>
        <w:rPr>
          <w:rFonts w:ascii="Verdana" w:hAnsi="Verdana"/>
        </w:rPr>
      </w:pPr>
    </w:p>
    <w:p w14:paraId="50D01F41" w14:textId="77777777" w:rsidR="000C1F81" w:rsidRDefault="000C1F81" w:rsidP="00E245AB">
      <w:pPr>
        <w:spacing w:after="0"/>
        <w:rPr>
          <w:rFonts w:ascii="Verdana" w:hAnsi="Verdana"/>
        </w:rPr>
      </w:pPr>
    </w:p>
    <w:p w14:paraId="06C6744D" w14:textId="77777777" w:rsidR="000C1F81" w:rsidRDefault="000C1F81" w:rsidP="00E245AB">
      <w:pPr>
        <w:spacing w:after="0"/>
        <w:rPr>
          <w:rFonts w:ascii="Verdana" w:hAnsi="Verdana"/>
        </w:rPr>
      </w:pPr>
    </w:p>
    <w:p w14:paraId="6D8C0927" w14:textId="77777777" w:rsidR="000C1F81" w:rsidRDefault="000C1F81" w:rsidP="00E245AB">
      <w:pPr>
        <w:spacing w:after="0"/>
        <w:rPr>
          <w:rFonts w:ascii="Verdana" w:hAnsi="Verdana"/>
        </w:rPr>
      </w:pPr>
    </w:p>
    <w:p w14:paraId="591D1CF3" w14:textId="77777777" w:rsidR="000C1F81" w:rsidRDefault="000C1F81" w:rsidP="00E245AB">
      <w:pPr>
        <w:spacing w:after="0"/>
        <w:rPr>
          <w:rFonts w:ascii="Verdana" w:hAnsi="Verdana"/>
        </w:rPr>
      </w:pPr>
    </w:p>
    <w:p w14:paraId="24FDA76D" w14:textId="77777777" w:rsidR="000C1F81" w:rsidRDefault="000C1F81" w:rsidP="00E245AB">
      <w:pPr>
        <w:spacing w:after="0"/>
        <w:rPr>
          <w:rFonts w:ascii="Verdana" w:hAnsi="Verdana"/>
        </w:rPr>
      </w:pPr>
    </w:p>
    <w:p w14:paraId="30504171" w14:textId="77777777" w:rsidR="000C1F81" w:rsidRDefault="000C1F81" w:rsidP="00E245AB">
      <w:pPr>
        <w:spacing w:after="0"/>
        <w:rPr>
          <w:rFonts w:ascii="Verdana" w:hAnsi="Verdana"/>
        </w:rPr>
      </w:pPr>
    </w:p>
    <w:p w14:paraId="0BCDEEBD" w14:textId="77777777" w:rsidR="000C1F81" w:rsidRDefault="000C1F81" w:rsidP="00E245AB">
      <w:pPr>
        <w:spacing w:after="0"/>
        <w:rPr>
          <w:rFonts w:ascii="Verdana" w:hAnsi="Verdana"/>
        </w:rPr>
      </w:pPr>
    </w:p>
    <w:p w14:paraId="72AFD4F1" w14:textId="77777777" w:rsidR="000C1F81" w:rsidRDefault="000C1F81" w:rsidP="00E245AB">
      <w:pPr>
        <w:spacing w:after="0"/>
        <w:rPr>
          <w:rFonts w:ascii="Verdana" w:hAnsi="Verdana"/>
        </w:rPr>
      </w:pPr>
    </w:p>
    <w:p w14:paraId="496E6E13" w14:textId="77777777" w:rsidR="000C1F81" w:rsidRDefault="000C1F81" w:rsidP="00E245AB">
      <w:pPr>
        <w:spacing w:after="0"/>
        <w:rPr>
          <w:rFonts w:ascii="Verdana" w:hAnsi="Verdana"/>
        </w:rPr>
      </w:pPr>
    </w:p>
    <w:p w14:paraId="038705F8" w14:textId="77777777" w:rsidR="000C1F81" w:rsidRDefault="000C1F81" w:rsidP="00E245AB">
      <w:pPr>
        <w:spacing w:after="0"/>
        <w:rPr>
          <w:rFonts w:ascii="Verdana" w:hAnsi="Verdana"/>
        </w:rPr>
      </w:pPr>
    </w:p>
    <w:p w14:paraId="11B9491A" w14:textId="77777777" w:rsidR="000C1F81" w:rsidRDefault="000C1F81" w:rsidP="00E245AB">
      <w:pPr>
        <w:spacing w:after="0"/>
        <w:rPr>
          <w:rFonts w:ascii="Verdana" w:hAnsi="Verdana"/>
        </w:rPr>
      </w:pPr>
    </w:p>
    <w:p w14:paraId="14F2A3B8" w14:textId="77777777" w:rsidR="000C1F81" w:rsidRDefault="000C1F81" w:rsidP="00E245AB">
      <w:pPr>
        <w:spacing w:after="0"/>
        <w:rPr>
          <w:rFonts w:ascii="Verdana" w:hAnsi="Verdana"/>
        </w:rPr>
      </w:pPr>
    </w:p>
    <w:p w14:paraId="23D251A7" w14:textId="77777777" w:rsidR="000C1F81" w:rsidRDefault="000C1F81" w:rsidP="00E245AB">
      <w:pPr>
        <w:spacing w:after="0"/>
        <w:rPr>
          <w:rFonts w:ascii="Verdana" w:hAnsi="Verdana"/>
        </w:rPr>
      </w:pPr>
    </w:p>
    <w:p w14:paraId="6BC0C984" w14:textId="77777777" w:rsidR="000C1F81" w:rsidRDefault="000C1F81" w:rsidP="00E245AB">
      <w:pPr>
        <w:spacing w:after="0"/>
        <w:rPr>
          <w:rFonts w:ascii="Verdana" w:hAnsi="Verdana"/>
        </w:rPr>
      </w:pPr>
    </w:p>
    <w:p w14:paraId="3968898A" w14:textId="77777777" w:rsidR="000C1F81" w:rsidRDefault="000C1F81" w:rsidP="00E245AB">
      <w:pPr>
        <w:spacing w:after="0"/>
        <w:rPr>
          <w:rFonts w:ascii="Verdana" w:hAnsi="Verdana"/>
        </w:rPr>
      </w:pPr>
    </w:p>
    <w:p w14:paraId="641946DD" w14:textId="77777777" w:rsidR="000C1F81" w:rsidRDefault="000C1F81" w:rsidP="00E245AB">
      <w:pPr>
        <w:spacing w:after="0"/>
        <w:rPr>
          <w:rFonts w:ascii="Verdana" w:hAnsi="Verdana"/>
        </w:rPr>
      </w:pPr>
    </w:p>
    <w:p w14:paraId="4CDD7476" w14:textId="77777777" w:rsidR="000C1F81" w:rsidRDefault="000C1F81" w:rsidP="00E245AB">
      <w:pPr>
        <w:spacing w:after="0"/>
        <w:rPr>
          <w:rFonts w:ascii="Verdana" w:hAnsi="Verdana"/>
        </w:rPr>
      </w:pPr>
    </w:p>
    <w:p w14:paraId="647D1032" w14:textId="77777777" w:rsidR="000C1F81" w:rsidRDefault="000C1F81" w:rsidP="00E245AB">
      <w:pPr>
        <w:spacing w:after="0"/>
        <w:rPr>
          <w:rFonts w:ascii="Verdana" w:hAnsi="Verdana"/>
        </w:rPr>
      </w:pPr>
    </w:p>
    <w:p w14:paraId="2598D0F6" w14:textId="77777777" w:rsidR="000C1F81" w:rsidRDefault="000C1F81" w:rsidP="00E245AB">
      <w:pPr>
        <w:spacing w:after="0"/>
        <w:rPr>
          <w:rFonts w:ascii="Verdana" w:hAnsi="Verdana"/>
        </w:rPr>
      </w:pPr>
    </w:p>
    <w:p w14:paraId="6332D56D" w14:textId="77777777" w:rsidR="000C1F81" w:rsidRDefault="000C1F81" w:rsidP="00E245AB">
      <w:pPr>
        <w:spacing w:after="0"/>
        <w:rPr>
          <w:rFonts w:ascii="Verdana" w:hAnsi="Verdana"/>
        </w:rPr>
      </w:pPr>
    </w:p>
    <w:p w14:paraId="68028AB6" w14:textId="77777777" w:rsidR="000C1F81" w:rsidRDefault="000C1F81" w:rsidP="00E245AB">
      <w:pPr>
        <w:spacing w:after="0"/>
        <w:rPr>
          <w:rFonts w:ascii="Verdana" w:hAnsi="Verdana"/>
        </w:rPr>
      </w:pPr>
    </w:p>
    <w:p w14:paraId="3FE2184B" w14:textId="4D4B9792" w:rsidR="00E245AB" w:rsidRPr="0044528D" w:rsidRDefault="00897A3A" w:rsidP="00E245AB">
      <w:pPr>
        <w:spacing w:after="0"/>
        <w:rPr>
          <w:rFonts w:ascii="Verdana" w:hAnsi="Verdana"/>
        </w:rPr>
      </w:pPr>
      <w:r w:rsidRPr="0044528D">
        <w:rPr>
          <w:rFonts w:ascii="Verdana" w:hAnsi="Verdana"/>
        </w:rPr>
        <w:lastRenderedPageBreak/>
        <w:t xml:space="preserve">Bogotá D.C., </w:t>
      </w:r>
      <w:r w:rsidR="00761600">
        <w:rPr>
          <w:rFonts w:ascii="Verdana" w:hAnsi="Verdana"/>
        </w:rPr>
        <w:t>29 de septiembre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0816C55" w14:textId="77777777" w:rsidR="00C60B08" w:rsidRPr="004A25CF" w:rsidRDefault="00C60B08" w:rsidP="00C60B08">
      <w:pPr>
        <w:spacing w:after="0" w:line="240" w:lineRule="auto"/>
        <w:rPr>
          <w:rFonts w:ascii="Verdana" w:eastAsia="Calibri" w:hAnsi="Verdana" w:cs="Arial"/>
          <w:lang w:val="es-MX" w:eastAsia="es-ES"/>
        </w:rPr>
      </w:pPr>
      <w:r w:rsidRPr="004A25CF">
        <w:rPr>
          <w:rFonts w:ascii="Verdana" w:eastAsia="Calibri" w:hAnsi="Verdana" w:cs="Arial"/>
          <w:lang w:val="es-MX" w:eastAsia="es-ES"/>
        </w:rPr>
        <w:t>Señora</w:t>
      </w:r>
    </w:p>
    <w:p w14:paraId="0025AFF5" w14:textId="77777777" w:rsidR="00C60B08" w:rsidRDefault="00C60B08" w:rsidP="00C60B08">
      <w:pPr>
        <w:spacing w:after="0" w:line="240" w:lineRule="auto"/>
        <w:rPr>
          <w:rFonts w:ascii="Verdana" w:eastAsia="Calibri" w:hAnsi="Verdana" w:cs="Arial"/>
          <w:b/>
          <w:bCs/>
          <w:lang w:val="es-MX" w:eastAsia="es-ES"/>
        </w:rPr>
      </w:pPr>
      <w:r>
        <w:rPr>
          <w:rFonts w:ascii="Verdana" w:eastAsia="Calibri" w:hAnsi="Verdana" w:cs="Arial"/>
          <w:b/>
          <w:bCs/>
          <w:lang w:val="es-MX" w:eastAsia="es-ES"/>
        </w:rPr>
        <w:t>Diana Paola Ballesteros Riveros</w:t>
      </w:r>
    </w:p>
    <w:p w14:paraId="40DBEA86" w14:textId="77777777" w:rsidR="00C60B08" w:rsidRPr="00EF0A6C" w:rsidRDefault="00C60B08" w:rsidP="00C60B08">
      <w:pPr>
        <w:spacing w:after="0" w:line="240" w:lineRule="auto"/>
        <w:rPr>
          <w:rFonts w:ascii="Verdana" w:eastAsia="Calibri" w:hAnsi="Verdana" w:cs="Arial"/>
          <w:u w:val="single"/>
          <w:lang w:val="es-MX" w:eastAsia="es-ES"/>
        </w:rPr>
      </w:pPr>
      <w:r w:rsidRPr="00EF0A6C">
        <w:rPr>
          <w:rFonts w:ascii="Verdana" w:eastAsia="Calibri" w:hAnsi="Verdana" w:cs="Arial"/>
          <w:u w:val="single"/>
          <w:lang w:val="es-MX" w:eastAsia="es-ES"/>
        </w:rPr>
        <w:t>Dipballesteros@sena.edu.co</w:t>
      </w:r>
    </w:p>
    <w:p w14:paraId="4FC0F593" w14:textId="77777777" w:rsidR="00C60B08" w:rsidRPr="00E72391" w:rsidRDefault="00C60B08" w:rsidP="00C60B08">
      <w:pPr>
        <w:spacing w:after="0" w:line="240" w:lineRule="auto"/>
        <w:rPr>
          <w:rFonts w:ascii="Verdana" w:eastAsia="Calibri" w:hAnsi="Verdana" w:cs="Arial"/>
          <w:b/>
          <w:bCs/>
          <w:lang w:val="es-MX" w:eastAsia="es-ES"/>
        </w:rPr>
      </w:pPr>
      <w:r w:rsidRPr="004A25CF">
        <w:rPr>
          <w:rFonts w:ascii="Verdana" w:eastAsia="Calibri" w:hAnsi="Verdana" w:cs="Arial"/>
          <w:lang w:val="es-MX" w:eastAsia="es-ES"/>
        </w:rPr>
        <w:t>Ciudad</w:t>
      </w:r>
    </w:p>
    <w:p w14:paraId="3899E324" w14:textId="77777777" w:rsidR="00C60B08" w:rsidRDefault="00C60B08" w:rsidP="00C60B08">
      <w:pPr>
        <w:spacing w:after="0" w:line="240" w:lineRule="auto"/>
        <w:rPr>
          <w:rFonts w:ascii="Verdana" w:eastAsia="Calibri" w:hAnsi="Verdana" w:cs="Arial"/>
          <w:b/>
          <w:bCs/>
          <w:lang w:val="es-ES_tradnl" w:eastAsia="es-ES_tradnl"/>
        </w:rPr>
      </w:pPr>
    </w:p>
    <w:p w14:paraId="444136E1" w14:textId="4F78243E" w:rsidR="009B52FB" w:rsidRPr="004A25CF" w:rsidRDefault="009B52FB" w:rsidP="009B52FB">
      <w:pPr>
        <w:spacing w:after="0" w:line="240" w:lineRule="auto"/>
        <w:jc w:val="right"/>
        <w:rPr>
          <w:rFonts w:ascii="Verdana" w:eastAsia="Calibri" w:hAnsi="Verdana" w:cs="Arial"/>
          <w:b/>
          <w:bCs/>
          <w:lang w:val="es-ES_tradnl" w:eastAsia="es-ES_tradnl"/>
        </w:rPr>
      </w:pPr>
      <w:r w:rsidRPr="009B52FB">
        <w:rPr>
          <w:rFonts w:ascii="Verdana" w:eastAsia="Calibri" w:hAnsi="Verdana" w:cs="Arial"/>
          <w:b/>
          <w:bCs/>
          <w:noProof/>
          <w:lang w:val="es-ES_tradnl" w:eastAsia="es-ES_tradnl"/>
        </w:rPr>
        <w:drawing>
          <wp:inline distT="0" distB="0" distL="0" distR="0" wp14:anchorId="4F134A1F" wp14:editId="320F5ACF">
            <wp:extent cx="2758679" cy="853514"/>
            <wp:effectExtent l="0" t="0" r="3810" b="3810"/>
            <wp:docPr id="6151219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121901" name=""/>
                    <pic:cNvPicPr/>
                  </pic:nvPicPr>
                  <pic:blipFill>
                    <a:blip r:embed="rId10"/>
                    <a:stretch>
                      <a:fillRect/>
                    </a:stretch>
                  </pic:blipFill>
                  <pic:spPr>
                    <a:xfrm>
                      <a:off x="0" y="0"/>
                      <a:ext cx="2758679" cy="853514"/>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60B08" w:rsidRPr="004A25CF" w14:paraId="329CD93F" w14:textId="77777777" w:rsidTr="007A271E">
        <w:trPr>
          <w:trHeight w:val="884"/>
        </w:trPr>
        <w:tc>
          <w:tcPr>
            <w:tcW w:w="2689" w:type="dxa"/>
          </w:tcPr>
          <w:p w14:paraId="02ABB4A6" w14:textId="77777777" w:rsidR="00C60B08" w:rsidRPr="004A25CF" w:rsidRDefault="00C60B08" w:rsidP="007A271E">
            <w:pPr>
              <w:jc w:val="both"/>
              <w:rPr>
                <w:rFonts w:ascii="Verdana" w:eastAsia="Calibri" w:hAnsi="Verdana" w:cs="Arial"/>
                <w:b/>
                <w:bCs/>
                <w:lang w:val="es-ES_tradnl" w:eastAsia="es-ES_tradnl"/>
              </w:rPr>
            </w:pPr>
          </w:p>
        </w:tc>
        <w:tc>
          <w:tcPr>
            <w:tcW w:w="6100" w:type="dxa"/>
          </w:tcPr>
          <w:p w14:paraId="103DEC3F" w14:textId="77777777" w:rsidR="00C60B08" w:rsidRPr="004A25CF" w:rsidRDefault="00C60B08" w:rsidP="007A271E">
            <w:pPr>
              <w:jc w:val="both"/>
              <w:rPr>
                <w:rFonts w:ascii="Verdana" w:eastAsia="Calibri" w:hAnsi="Verdana" w:cs="Arial"/>
                <w:b/>
                <w:bCs/>
                <w:lang w:val="es-ES" w:eastAsia="es-ES"/>
              </w:rPr>
            </w:pPr>
            <w:r w:rsidRPr="004A25CF">
              <w:rPr>
                <w:rFonts w:ascii="Verdana" w:eastAsia="Calibri" w:hAnsi="Verdana" w:cs="Arial"/>
                <w:b/>
                <w:bCs/>
                <w:lang w:val="es-ES" w:eastAsia="es-ES"/>
              </w:rPr>
              <w:t>Concepto C- 1</w:t>
            </w:r>
            <w:r>
              <w:rPr>
                <w:rFonts w:ascii="Verdana" w:eastAsia="Calibri" w:hAnsi="Verdana" w:cs="Arial"/>
                <w:b/>
                <w:bCs/>
                <w:lang w:val="es-ES" w:eastAsia="es-ES"/>
              </w:rPr>
              <w:t>168</w:t>
            </w:r>
            <w:r w:rsidRPr="004A25CF">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C60B08" w:rsidRPr="004A25CF" w14:paraId="304C7E97" w14:textId="77777777" w:rsidTr="007A271E">
        <w:trPr>
          <w:trHeight w:val="884"/>
        </w:trPr>
        <w:tc>
          <w:tcPr>
            <w:tcW w:w="2689" w:type="dxa"/>
          </w:tcPr>
          <w:p w14:paraId="464724BF" w14:textId="77777777" w:rsidR="00C60B08" w:rsidRPr="004A25CF" w:rsidRDefault="00C60B08" w:rsidP="007A271E">
            <w:pPr>
              <w:spacing w:after="120"/>
              <w:jc w:val="both"/>
              <w:rPr>
                <w:rFonts w:ascii="Verdana" w:eastAsia="Calibri" w:hAnsi="Verdana" w:cs="Arial"/>
                <w:lang w:val="es-ES_tradnl" w:eastAsia="es-ES_tradnl"/>
              </w:rPr>
            </w:pPr>
            <w:r w:rsidRPr="004A25CF">
              <w:rPr>
                <w:rFonts w:ascii="Verdana" w:eastAsia="Calibri" w:hAnsi="Verdana" w:cs="Arial"/>
                <w:b/>
                <w:lang w:val="es-ES_tradnl" w:eastAsia="es-ES_tradnl"/>
              </w:rPr>
              <w:t>Temas:</w:t>
            </w:r>
            <w:r w:rsidRPr="004A25CF">
              <w:rPr>
                <w:rFonts w:ascii="Verdana" w:eastAsia="Calibri" w:hAnsi="Verdana" w:cs="Arial"/>
                <w:lang w:val="es-ES_tradnl" w:eastAsia="es-ES_tradnl"/>
              </w:rPr>
              <w:t xml:space="preserve">                   </w:t>
            </w:r>
          </w:p>
        </w:tc>
        <w:tc>
          <w:tcPr>
            <w:tcW w:w="6100" w:type="dxa"/>
          </w:tcPr>
          <w:p w14:paraId="32598B94" w14:textId="77777777" w:rsidR="00C60B08" w:rsidRPr="004A25CF" w:rsidRDefault="00C60B08" w:rsidP="007A271E">
            <w:pPr>
              <w:spacing w:after="120" w:line="276" w:lineRule="auto"/>
              <w:jc w:val="both"/>
              <w:rPr>
                <w:rFonts w:ascii="Verdana" w:eastAsia="Calibri" w:hAnsi="Verdana" w:cs="Arial"/>
                <w:lang w:val="es-ES_tradnl" w:eastAsia="es-ES"/>
              </w:rPr>
            </w:pPr>
            <w:r w:rsidRPr="004A25CF">
              <w:rPr>
                <w:rFonts w:ascii="Verdana" w:eastAsia="Calibri" w:hAnsi="Verdana" w:cs="Arial"/>
                <w:bCs/>
                <w:lang w:val="es-MX" w:eastAsia="es-ES"/>
              </w:rPr>
              <w:t>DECLARATORIA DE DESIERTA EN PROCESOS DE MÍNIMA CUANTÍA – Régimen jurídico – Aplicabilidad</w:t>
            </w:r>
            <w:r w:rsidRPr="004A25CF">
              <w:rPr>
                <w:rFonts w:ascii="Verdana" w:eastAsia="Calibri" w:hAnsi="Verdana" w:cs="Arial"/>
                <w:bCs/>
                <w:lang w:val="es-ES_tradnl" w:eastAsia="es-ES"/>
              </w:rPr>
              <w:t xml:space="preserve"> </w:t>
            </w:r>
            <w:r w:rsidRPr="00D50731">
              <w:rPr>
                <w:rFonts w:ascii="Verdana" w:eastAsia="Calibri" w:hAnsi="Verdana" w:cs="Arial"/>
                <w:bCs/>
                <w:lang w:val="es-ES_tradnl" w:eastAsia="es-ES"/>
              </w:rPr>
              <w:t xml:space="preserve">/ </w:t>
            </w:r>
            <w:r w:rsidRPr="004A25CF">
              <w:rPr>
                <w:rFonts w:ascii="Verdana" w:eastAsia="Calibri" w:hAnsi="Verdana" w:cs="Arial"/>
                <w:bCs/>
                <w:lang w:val="es-MX" w:eastAsia="es-ES"/>
              </w:rPr>
              <w:t>DECLARATORIA DE DESIERTA EN PROCESOS DE MÍNIMA CUANTÍA – Consecuencias – Nuevo proceso – Modalidad aplicable</w:t>
            </w:r>
          </w:p>
        </w:tc>
      </w:tr>
      <w:tr w:rsidR="00C60B08" w:rsidRPr="004A25CF" w14:paraId="3C9C9743" w14:textId="77777777" w:rsidTr="007A271E">
        <w:tc>
          <w:tcPr>
            <w:tcW w:w="2689" w:type="dxa"/>
          </w:tcPr>
          <w:p w14:paraId="01A127D3" w14:textId="77777777" w:rsidR="00C60B08" w:rsidRPr="004A25CF" w:rsidRDefault="00C60B08" w:rsidP="007A271E">
            <w:pPr>
              <w:jc w:val="both"/>
              <w:rPr>
                <w:rFonts w:ascii="Verdana" w:eastAsia="Calibri" w:hAnsi="Verdana" w:cs="Arial"/>
                <w:b/>
                <w:lang w:val="es-ES_tradnl" w:eastAsia="es-ES_tradnl"/>
              </w:rPr>
            </w:pPr>
            <w:r w:rsidRPr="004A25CF">
              <w:rPr>
                <w:rFonts w:ascii="Verdana" w:eastAsia="Calibri" w:hAnsi="Verdana" w:cs="Arial"/>
                <w:b/>
                <w:lang w:val="es-ES_tradnl" w:eastAsia="es-ES_tradnl"/>
              </w:rPr>
              <w:t>Radicación:</w:t>
            </w:r>
            <w:r w:rsidRPr="004A25CF">
              <w:rPr>
                <w:rFonts w:ascii="Verdana" w:eastAsia="Calibri" w:hAnsi="Verdana" w:cs="Arial"/>
                <w:lang w:val="es-ES_tradnl" w:eastAsia="es-ES_tradnl"/>
              </w:rPr>
              <w:t xml:space="preserve">               </w:t>
            </w:r>
          </w:p>
        </w:tc>
        <w:tc>
          <w:tcPr>
            <w:tcW w:w="6100" w:type="dxa"/>
          </w:tcPr>
          <w:p w14:paraId="1E816946" w14:textId="77777777" w:rsidR="00C60B08" w:rsidRPr="004A25CF" w:rsidRDefault="00C60B08" w:rsidP="007A271E">
            <w:pPr>
              <w:jc w:val="both"/>
              <w:rPr>
                <w:rFonts w:ascii="Verdana" w:eastAsia="Calibri" w:hAnsi="Verdana"/>
                <w:b/>
                <w:bCs/>
                <w:lang w:eastAsia="es-ES_tradnl"/>
              </w:rPr>
            </w:pPr>
            <w:r w:rsidRPr="004A25CF">
              <w:rPr>
                <w:rFonts w:ascii="Verdana" w:eastAsia="Calibri" w:hAnsi="Verdana" w:cs="Arial"/>
                <w:lang w:val="es-ES_tradnl" w:eastAsia="es-ES_tradnl"/>
              </w:rPr>
              <w:t xml:space="preserve">Respuesta a consulta con radicado No. </w:t>
            </w:r>
            <w:r>
              <w:rPr>
                <w:rFonts w:ascii="Verdana" w:eastAsia="Calibri" w:hAnsi="Verdana" w:cs="Arial"/>
                <w:lang w:val="es-ES_tradnl" w:eastAsia="es-ES_tradnl"/>
              </w:rPr>
              <w:t>1_2025_08_21_008800</w:t>
            </w:r>
          </w:p>
          <w:p w14:paraId="65B06EEE" w14:textId="77777777" w:rsidR="00C60B08" w:rsidRPr="004A25CF" w:rsidRDefault="00C60B08" w:rsidP="007A271E">
            <w:pPr>
              <w:jc w:val="both"/>
              <w:rPr>
                <w:rFonts w:ascii="Verdana" w:eastAsia="Calibri" w:hAnsi="Verdana" w:cs="Arial"/>
                <w:lang w:val="es-ES_tradnl" w:eastAsia="es-ES_tradnl"/>
              </w:rPr>
            </w:pPr>
          </w:p>
        </w:tc>
      </w:tr>
    </w:tbl>
    <w:p w14:paraId="5E63AB9F" w14:textId="77777777" w:rsidR="00C60B08" w:rsidRPr="004A25CF" w:rsidRDefault="00C60B08" w:rsidP="00C60B08">
      <w:pPr>
        <w:spacing w:after="0" w:line="240" w:lineRule="auto"/>
        <w:jc w:val="both"/>
        <w:rPr>
          <w:rFonts w:ascii="Verdana" w:eastAsia="Calibri" w:hAnsi="Verdana" w:cs="Arial"/>
          <w:lang w:val="es-ES_tradnl" w:eastAsia="es-ES_tradnl"/>
        </w:rPr>
      </w:pPr>
    </w:p>
    <w:p w14:paraId="30BBDB23" w14:textId="77777777" w:rsidR="00C60B08" w:rsidRPr="004A25CF" w:rsidRDefault="00C60B08" w:rsidP="00C60B08">
      <w:pPr>
        <w:spacing w:after="0" w:line="240" w:lineRule="auto"/>
        <w:jc w:val="both"/>
        <w:rPr>
          <w:rFonts w:ascii="Verdana" w:eastAsia="Calibri" w:hAnsi="Verdana" w:cs="Arial"/>
          <w:lang w:val="es-ES_tradnl" w:eastAsia="es-ES_tradnl"/>
        </w:rPr>
      </w:pPr>
    </w:p>
    <w:p w14:paraId="31D2A887" w14:textId="77777777" w:rsidR="00C60B08" w:rsidRPr="004A25CF" w:rsidRDefault="00C60B08" w:rsidP="00C60B08">
      <w:pPr>
        <w:spacing w:after="0" w:line="276" w:lineRule="auto"/>
        <w:jc w:val="both"/>
        <w:rPr>
          <w:rFonts w:ascii="Verdana" w:eastAsia="Calibri" w:hAnsi="Verdana" w:cs="Arial"/>
          <w:lang w:val="es-ES" w:eastAsia="es-ES"/>
        </w:rPr>
      </w:pPr>
      <w:r w:rsidRPr="004A25CF">
        <w:rPr>
          <w:rFonts w:ascii="Verdana" w:eastAsia="Calibri" w:hAnsi="Verdana" w:cs="Arial"/>
          <w:lang w:val="es-ES" w:eastAsia="es-ES"/>
        </w:rPr>
        <w:t xml:space="preserve">Estimada señora </w:t>
      </w:r>
      <w:r>
        <w:rPr>
          <w:rFonts w:ascii="Verdana" w:eastAsia="Calibri" w:hAnsi="Verdana" w:cs="Arial"/>
          <w:lang w:val="es-ES" w:eastAsia="es-ES"/>
        </w:rPr>
        <w:t>Ballesteros</w:t>
      </w:r>
      <w:r w:rsidRPr="004A25CF">
        <w:rPr>
          <w:rFonts w:ascii="Verdana" w:eastAsia="Calibri" w:hAnsi="Verdana" w:cs="Arial"/>
          <w:lang w:val="es-ES" w:eastAsia="es-ES"/>
        </w:rPr>
        <w:t xml:space="preserve">: </w:t>
      </w:r>
    </w:p>
    <w:p w14:paraId="79982293" w14:textId="77777777" w:rsidR="00C60B08" w:rsidRPr="004A25CF" w:rsidRDefault="00C60B08" w:rsidP="00C60B08">
      <w:pPr>
        <w:tabs>
          <w:tab w:val="left" w:pos="3768"/>
        </w:tabs>
        <w:spacing w:after="0" w:line="276" w:lineRule="auto"/>
        <w:jc w:val="both"/>
        <w:rPr>
          <w:rFonts w:ascii="Verdana" w:eastAsia="Calibri" w:hAnsi="Verdana" w:cs="Arial"/>
          <w:lang w:val="es-ES" w:eastAsia="es-ES"/>
        </w:rPr>
      </w:pPr>
      <w:r w:rsidRPr="004A25CF">
        <w:rPr>
          <w:rFonts w:ascii="Verdana" w:eastAsia="Calibri" w:hAnsi="Verdana" w:cs="Arial"/>
          <w:lang w:val="es-ES" w:eastAsia="es-ES"/>
        </w:rPr>
        <w:tab/>
      </w:r>
    </w:p>
    <w:p w14:paraId="5C7351F1" w14:textId="77777777" w:rsidR="00C60B08" w:rsidRDefault="00C60B08" w:rsidP="00C60B08">
      <w:pPr>
        <w:spacing w:after="120" w:line="276" w:lineRule="auto"/>
        <w:jc w:val="both"/>
        <w:rPr>
          <w:rFonts w:ascii="Verdana" w:eastAsia="Calibri" w:hAnsi="Verdana" w:cs="Arial"/>
          <w:lang w:val="es-ES" w:eastAsia="es-ES"/>
        </w:rPr>
      </w:pPr>
      <w:r w:rsidRPr="004A25CF">
        <w:rPr>
          <w:rFonts w:ascii="Verdana" w:eastAsia="Calibri" w:hAnsi="Verdana" w:cs="Arial"/>
          <w:lang w:val="es-ES" w:eastAsia="es-ES"/>
        </w:rPr>
        <w:t>En ejercicio de la competencia otorgada por los artículos 3, numeral 5º, y 11, numeral 8º, del Decreto Ley 4170 de 2011,</w:t>
      </w:r>
      <w:r w:rsidRPr="004A25CF">
        <w:rPr>
          <w:rFonts w:ascii="Verdana" w:eastAsia="Arial MT" w:hAnsi="Verdana" w:cs="Arial MT"/>
          <w:lang w:val="es-ES" w:eastAsia="es-ES"/>
        </w:rPr>
        <w:t xml:space="preserve"> </w:t>
      </w:r>
      <w:r w:rsidRPr="004A25CF">
        <w:rPr>
          <w:rFonts w:ascii="Verdana" w:hAnsi="Verdana" w:cs="Arial"/>
        </w:rPr>
        <w:t xml:space="preserve">así como lo establecido en el artículo 4 de la Resolución 1707 de 2018 expedida por esta Entidad, </w:t>
      </w:r>
      <w:r w:rsidRPr="004A25CF">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20</w:t>
      </w:r>
      <w:r w:rsidRPr="004A25CF">
        <w:rPr>
          <w:rFonts w:ascii="Verdana" w:eastAsia="Calibri" w:hAnsi="Verdana" w:cs="Arial"/>
          <w:lang w:val="es-ES" w:eastAsia="es-ES"/>
        </w:rPr>
        <w:t xml:space="preserve"> de </w:t>
      </w:r>
      <w:r>
        <w:rPr>
          <w:rFonts w:ascii="Verdana" w:eastAsia="Calibri" w:hAnsi="Verdana" w:cs="Arial"/>
          <w:lang w:val="es-ES" w:eastAsia="es-ES"/>
        </w:rPr>
        <w:t>agosto</w:t>
      </w:r>
      <w:r w:rsidRPr="004A25CF">
        <w:rPr>
          <w:rFonts w:ascii="Verdana" w:eastAsia="Calibri" w:hAnsi="Verdana" w:cs="Arial"/>
          <w:lang w:val="es-ES" w:eastAsia="es-ES"/>
        </w:rPr>
        <w:t xml:space="preserve"> de 202</w:t>
      </w:r>
      <w:r>
        <w:rPr>
          <w:rFonts w:ascii="Verdana" w:eastAsia="Calibri" w:hAnsi="Verdana" w:cs="Arial"/>
          <w:lang w:val="es-ES" w:eastAsia="es-ES"/>
        </w:rPr>
        <w:t>5</w:t>
      </w:r>
      <w:r w:rsidRPr="004A25CF">
        <w:rPr>
          <w:rFonts w:ascii="Verdana" w:eastAsia="Calibri" w:hAnsi="Verdana" w:cs="Arial"/>
          <w:lang w:val="es-ES" w:eastAsia="es-ES"/>
        </w:rPr>
        <w:t xml:space="preserve">, en la cual manifiesta lo siguiente:  </w:t>
      </w:r>
      <w:bookmarkStart w:id="1" w:name="_Hlk95313578"/>
    </w:p>
    <w:p w14:paraId="4F1B8429" w14:textId="77777777" w:rsidR="00C60B08" w:rsidRPr="00AB479C" w:rsidRDefault="00C60B08" w:rsidP="00C60B08">
      <w:pPr>
        <w:spacing w:after="120" w:line="276" w:lineRule="auto"/>
        <w:ind w:left="709" w:right="900"/>
        <w:jc w:val="both"/>
        <w:rPr>
          <w:rFonts w:ascii="Verdana" w:hAnsi="Verdana" w:cs="Arial"/>
          <w:i/>
          <w:iCs/>
          <w:shd w:val="clear" w:color="auto" w:fill="FFFFFF"/>
        </w:rPr>
      </w:pPr>
      <w:proofErr w:type="gramStart"/>
      <w:r w:rsidRPr="00AB479C">
        <w:rPr>
          <w:rFonts w:ascii="Verdana" w:eastAsia="Century Gothic" w:hAnsi="Verdana" w:cs="Century Gothic"/>
          <w:i/>
          <w:iCs/>
          <w:lang w:val="es-ES"/>
        </w:rPr>
        <w:t>“</w:t>
      </w:r>
      <w:bookmarkStart w:id="2" w:name="_Hlk171351084"/>
      <w:r w:rsidRPr="00AB479C">
        <w:rPr>
          <w:rFonts w:ascii="Verdana" w:hAnsi="Verdana" w:cs="Arial"/>
          <w:i/>
          <w:iCs/>
          <w:shd w:val="clear" w:color="auto" w:fill="FFFFFF"/>
          <w:lang w:val="es-ES"/>
        </w:rPr>
        <w:t xml:space="preserve"> </w:t>
      </w:r>
      <w:bookmarkEnd w:id="2"/>
      <w:r w:rsidRPr="00AB479C">
        <w:rPr>
          <w:rFonts w:ascii="Verdana" w:hAnsi="Verdana" w:cs="Arial"/>
          <w:i/>
          <w:iCs/>
          <w:shd w:val="clear" w:color="auto" w:fill="FFFFFF"/>
          <w:lang w:val="es-ES"/>
        </w:rPr>
        <w:t>[</w:t>
      </w:r>
      <w:proofErr w:type="gramEnd"/>
      <w:r w:rsidRPr="00AB479C">
        <w:rPr>
          <w:rFonts w:ascii="Verdana" w:hAnsi="Verdana" w:cs="Arial"/>
          <w:i/>
          <w:iCs/>
          <w:shd w:val="clear" w:color="auto" w:fill="FFFFFF"/>
          <w:lang w:val="es-ES"/>
        </w:rPr>
        <w:t>…]</w:t>
      </w:r>
      <w:r>
        <w:rPr>
          <w:rFonts w:ascii="Verdana" w:hAnsi="Verdana" w:cs="Arial"/>
          <w:i/>
          <w:iCs/>
          <w:shd w:val="clear" w:color="auto" w:fill="FFFFFF"/>
          <w:lang w:val="es-ES"/>
        </w:rPr>
        <w:t>solicitamos un concepto respecto a la viabilidad jurídica de acudir a la modalidad de contratación directa para dar cumplimiento a la necesidad institucional, considerando las disposiciones del Estatuto General de Contratación (Ley 90de 1993 y Ley 1150 de 2007) y las directrices de Colombia Compra Eficiente</w:t>
      </w:r>
      <w:r w:rsidRPr="00AB479C">
        <w:rPr>
          <w:rFonts w:ascii="Verdana" w:eastAsia="Century Gothic" w:hAnsi="Verdana" w:cs="Century Gothic"/>
          <w:i/>
          <w:iCs/>
          <w:lang w:val="es-ES"/>
        </w:rPr>
        <w:t>”</w:t>
      </w:r>
      <w:bookmarkEnd w:id="1"/>
      <w:r w:rsidRPr="00AB479C">
        <w:rPr>
          <w:rFonts w:ascii="Verdana" w:eastAsia="Century Gothic" w:hAnsi="Verdana" w:cs="Century Gothic"/>
          <w:i/>
          <w:iCs/>
          <w:lang w:val="es-ES"/>
        </w:rPr>
        <w:t>.</w:t>
      </w:r>
    </w:p>
    <w:p w14:paraId="6DA9EB2A" w14:textId="77777777" w:rsidR="00C60B08" w:rsidRPr="004A25CF" w:rsidRDefault="00C60B08" w:rsidP="00C60B08">
      <w:pPr>
        <w:spacing w:after="120" w:line="276" w:lineRule="auto"/>
        <w:ind w:firstLine="709"/>
        <w:jc w:val="both"/>
        <w:rPr>
          <w:rFonts w:ascii="Verdana" w:eastAsia="Calibri" w:hAnsi="Verdana" w:cs="Arial"/>
          <w:szCs w:val="24"/>
          <w:lang w:val="es-ES_tradnl" w:eastAsia="es-ES_tradnl"/>
        </w:rPr>
      </w:pPr>
      <w:r w:rsidRPr="004A25C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A25CF">
        <w:rPr>
          <w:rFonts w:ascii="Verdana" w:eastAsia="Calibri" w:hAnsi="Verdana" w:cs="Arial"/>
          <w:szCs w:val="24"/>
          <w:lang w:val="es-ES_tradnl" w:eastAsia="es-ES_tradnl"/>
        </w:rPr>
        <w:tab/>
      </w:r>
    </w:p>
    <w:p w14:paraId="2AAF9508" w14:textId="77777777" w:rsidR="00C60B08" w:rsidRPr="004A25CF" w:rsidRDefault="00C60B08" w:rsidP="00C60B08">
      <w:pPr>
        <w:spacing w:after="0" w:line="276" w:lineRule="auto"/>
        <w:ind w:firstLine="709"/>
        <w:jc w:val="both"/>
        <w:rPr>
          <w:rFonts w:ascii="Verdana" w:eastAsia="Calibri" w:hAnsi="Verdana" w:cs="Arial"/>
          <w:lang w:val="es-ES" w:eastAsia="es-ES"/>
        </w:rPr>
      </w:pPr>
      <w:r w:rsidRPr="004A25C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CF5279A" w14:textId="77777777" w:rsidR="00C60B08" w:rsidRPr="004A25CF" w:rsidRDefault="00C60B08" w:rsidP="00C60B08">
      <w:pPr>
        <w:spacing w:after="0" w:line="276" w:lineRule="auto"/>
        <w:ind w:firstLine="709"/>
        <w:jc w:val="both"/>
        <w:rPr>
          <w:rFonts w:ascii="Verdana" w:eastAsia="Calibri" w:hAnsi="Verdana" w:cs="Arial"/>
          <w:lang w:val="es-ES" w:eastAsia="es-ES"/>
        </w:rPr>
      </w:pPr>
    </w:p>
    <w:p w14:paraId="53FD14AA" w14:textId="77777777" w:rsidR="00C60B08" w:rsidRPr="004A25CF" w:rsidRDefault="00C60B08" w:rsidP="00C60B08">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4A25CF">
        <w:rPr>
          <w:rFonts w:ascii="Verdana" w:eastAsia="Century Gothic" w:hAnsi="Verdana" w:cs="Century Gothic"/>
          <w:b/>
          <w:bCs/>
          <w:lang w:val="es-ES"/>
        </w:rPr>
        <w:t>Problema planteado:</w:t>
      </w:r>
    </w:p>
    <w:p w14:paraId="2F0E8FCE" w14:textId="77777777" w:rsidR="00C60B08" w:rsidRPr="004A25CF" w:rsidRDefault="00C60B08" w:rsidP="00C60B08">
      <w:pPr>
        <w:tabs>
          <w:tab w:val="left" w:pos="426"/>
        </w:tabs>
        <w:spacing w:after="0" w:line="276" w:lineRule="auto"/>
        <w:jc w:val="both"/>
        <w:rPr>
          <w:rFonts w:ascii="Verdana" w:eastAsia="Century Gothic" w:hAnsi="Verdana" w:cs="Century Gothic"/>
          <w:lang w:val="es-ES"/>
        </w:rPr>
      </w:pPr>
    </w:p>
    <w:p w14:paraId="5CAFA7B4" w14:textId="77777777" w:rsidR="00C60B08" w:rsidRPr="004A25CF" w:rsidRDefault="00C60B08" w:rsidP="00C60B08">
      <w:pPr>
        <w:spacing w:after="0" w:line="276" w:lineRule="auto"/>
        <w:jc w:val="both"/>
        <w:rPr>
          <w:rFonts w:ascii="Verdana" w:eastAsia="Century Gothic" w:hAnsi="Verdana" w:cs="Century Gothic"/>
        </w:rPr>
      </w:pPr>
      <w:r w:rsidRPr="004A25CF">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4A25CF">
        <w:rPr>
          <w:rFonts w:ascii="Verdana" w:eastAsia="Century Gothic" w:hAnsi="Verdana" w:cs="Century Gothic"/>
        </w:rPr>
        <w:t xml:space="preserve"> siguiente problema jurídico: </w:t>
      </w:r>
      <w:r w:rsidRPr="00360156">
        <w:rPr>
          <w:rFonts w:ascii="Verdana" w:eastAsia="Century Gothic" w:hAnsi="Verdana" w:cs="Century Gothic"/>
        </w:rPr>
        <w:t>¿Es procedente acudir a la contratación directa tras haberse declarado desierto un proceso de mínima cuantía?</w:t>
      </w:r>
    </w:p>
    <w:p w14:paraId="59C1845F" w14:textId="77777777" w:rsidR="00C60B08" w:rsidRPr="004A25CF" w:rsidRDefault="00C60B08" w:rsidP="00C60B08">
      <w:pPr>
        <w:spacing w:after="0" w:line="276" w:lineRule="auto"/>
        <w:jc w:val="both"/>
        <w:rPr>
          <w:rFonts w:ascii="Verdana" w:eastAsia="Calibri" w:hAnsi="Verdana" w:cs="Arial"/>
          <w:lang w:val="es-ES"/>
        </w:rPr>
      </w:pPr>
    </w:p>
    <w:p w14:paraId="70002480" w14:textId="77777777" w:rsidR="00C60B08" w:rsidRPr="004A25CF" w:rsidRDefault="00C60B08" w:rsidP="00C60B0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4A25CF">
        <w:rPr>
          <w:rFonts w:ascii="Verdana" w:eastAsia="Century Gothic" w:hAnsi="Verdana" w:cs="Century Gothic"/>
          <w:b/>
          <w:bCs/>
          <w:lang w:val="es-ES"/>
        </w:rPr>
        <w:t>Respuesta:</w:t>
      </w:r>
    </w:p>
    <w:p w14:paraId="5085233B" w14:textId="77777777" w:rsidR="00C60B08" w:rsidRPr="004A25CF" w:rsidRDefault="00C60B08" w:rsidP="00C60B0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0B08" w:rsidRPr="004A25CF" w14:paraId="0EE9F850" w14:textId="77777777" w:rsidTr="007A271E">
        <w:tc>
          <w:tcPr>
            <w:tcW w:w="8828" w:type="dxa"/>
          </w:tcPr>
          <w:p w14:paraId="1EA57B75" w14:textId="77777777" w:rsidR="00C60B08" w:rsidRPr="004A25CF" w:rsidRDefault="00C60B08" w:rsidP="007A271E">
            <w:pPr>
              <w:spacing w:line="276" w:lineRule="auto"/>
              <w:jc w:val="both"/>
              <w:rPr>
                <w:rFonts w:ascii="Verdana" w:eastAsia="Calibri" w:hAnsi="Verdana" w:cs="Arial"/>
                <w:color w:val="000000"/>
              </w:rPr>
            </w:pPr>
            <w:r>
              <w:rPr>
                <w:rFonts w:ascii="Verdana" w:eastAsia="Calibri" w:hAnsi="Verdana" w:cs="Arial"/>
                <w:bCs/>
              </w:rPr>
              <w:t xml:space="preserve">No es posible. </w:t>
            </w:r>
            <w:r w:rsidRPr="004A25CF">
              <w:rPr>
                <w:rFonts w:ascii="Verdana" w:eastAsia="Calibri" w:hAnsi="Verdana" w:cs="Arial"/>
                <w:bCs/>
              </w:rPr>
              <w:t xml:space="preserve">Una vez en firme el acto administrativo mediante el cual una Entidad Estatal haya </w:t>
            </w:r>
            <w:r w:rsidRPr="004A25CF">
              <w:rPr>
                <w:rFonts w:ascii="Verdana" w:eastAsia="Calibri" w:hAnsi="Verdana" w:cs="Arial"/>
                <w:color w:val="000000"/>
                <w:lang w:val="es-ES_tradnl"/>
              </w:rPr>
              <w:t>declarado desierto un proceso de selección</w:t>
            </w:r>
            <w:r w:rsidRPr="004A25CF">
              <w:rPr>
                <w:rFonts w:ascii="Verdana" w:eastAsia="Calibri" w:hAnsi="Verdana" w:cs="Arial"/>
              </w:rPr>
              <w:t xml:space="preserve">, esta podrá considerar la posibilidad de </w:t>
            </w:r>
            <w:r w:rsidRPr="004A25CF">
              <w:rPr>
                <w:rFonts w:ascii="Verdana" w:eastAsia="Times New Roman" w:hAnsi="Verdana" w:cs="Arial"/>
                <w:lang w:eastAsia="es-MX"/>
              </w:rPr>
              <w:t xml:space="preserve">adelantar un nuevo proceso, teniendo en cuenta las cinco (5) modalidades de selección previstas en el artículo 2 de la Ley 1150 de 2007 y sus respectivas causales, respecto de las </w:t>
            </w:r>
            <w:r w:rsidRPr="004A25CF">
              <w:rPr>
                <w:rFonts w:ascii="Verdana" w:eastAsia="Calibri" w:hAnsi="Verdana" w:cs="Arial"/>
                <w:color w:val="000000"/>
              </w:rPr>
              <w:t xml:space="preserve">características particulares del objeto a contratar, las circunstancias de la contratación o la cuantía o destinación del bien, obra o servicio, que justifican la selección de una u otra modalidad de contratación especifica, que en todo caso debe estar siempre acorde a la Ley. </w:t>
            </w:r>
          </w:p>
          <w:p w14:paraId="4D7DF5FE" w14:textId="77777777" w:rsidR="00C60B08" w:rsidRPr="004A25CF" w:rsidRDefault="00C60B08" w:rsidP="007A271E">
            <w:pPr>
              <w:spacing w:line="276" w:lineRule="auto"/>
              <w:jc w:val="both"/>
              <w:rPr>
                <w:rFonts w:ascii="Verdana" w:eastAsia="Calibri" w:hAnsi="Verdana" w:cs="Arial"/>
                <w:color w:val="000000"/>
              </w:rPr>
            </w:pPr>
          </w:p>
          <w:p w14:paraId="7452FDD7" w14:textId="77777777" w:rsidR="00C60B08" w:rsidRPr="004A25CF" w:rsidRDefault="00C60B08" w:rsidP="007A271E">
            <w:pPr>
              <w:spacing w:line="276" w:lineRule="auto"/>
              <w:jc w:val="both"/>
              <w:rPr>
                <w:rFonts w:ascii="Verdana" w:eastAsia="Calibri" w:hAnsi="Verdana" w:cs="Arial"/>
                <w:color w:val="000000"/>
              </w:rPr>
            </w:pPr>
            <w:r>
              <w:rPr>
                <w:rFonts w:ascii="Verdana" w:eastAsia="Calibri" w:hAnsi="Verdana" w:cs="Arial"/>
                <w:color w:val="000000"/>
              </w:rPr>
              <w:lastRenderedPageBreak/>
              <w:t>De acuerdo con esto,</w:t>
            </w:r>
            <w:r w:rsidRPr="004A25CF">
              <w:rPr>
                <w:rFonts w:ascii="Verdana" w:eastAsia="Calibri" w:hAnsi="Verdana" w:cs="Arial"/>
                <w:color w:val="000000"/>
              </w:rPr>
              <w:t xml:space="preserve"> en el caso de haberse declarado desierto un proceso </w:t>
            </w:r>
            <w:r>
              <w:rPr>
                <w:rFonts w:ascii="Verdana" w:eastAsia="Calibri" w:hAnsi="Verdana" w:cs="Arial"/>
                <w:color w:val="000000"/>
              </w:rPr>
              <w:t xml:space="preserve">adelantado </w:t>
            </w:r>
            <w:r w:rsidRPr="004A25CF">
              <w:rPr>
                <w:rFonts w:ascii="Verdana" w:eastAsia="Calibri" w:hAnsi="Verdana" w:cs="Arial"/>
                <w:color w:val="000000"/>
              </w:rPr>
              <w:t xml:space="preserve">en la modalidad de mínima cuantía, la Entidad Estatal podrá </w:t>
            </w:r>
            <w:r>
              <w:rPr>
                <w:rFonts w:ascii="Verdana" w:eastAsia="Calibri" w:hAnsi="Verdana" w:cs="Arial"/>
                <w:color w:val="000000"/>
              </w:rPr>
              <w:t>desarrollar</w:t>
            </w:r>
            <w:r w:rsidRPr="004A25CF">
              <w:rPr>
                <w:rFonts w:ascii="Verdana" w:eastAsia="Calibri" w:hAnsi="Verdana" w:cs="Arial"/>
                <w:color w:val="000000"/>
              </w:rPr>
              <w:t xml:space="preserve"> un nuevo procedimiento aplicando la misma modalidad, siempre que se cumplan con los presupuestos señalados en el numeral 5 del artículo 2 de la Ley 1150 de 2007 y en su reglamentación. Para estos casos, se recomienda a las Entidades Estatales revisar los factores que pueden estar afectando la participación en el procedimiento o las causas por las cuales los oferentes no están cumpliendo con los requisitos señalados en los Pliegos de Condiciones, con el fin de corregir los posibles obstáculos que conllevaron a la declaratoria de desierta en el nuevo proceso.  </w:t>
            </w:r>
          </w:p>
          <w:p w14:paraId="2EE128E0" w14:textId="77777777" w:rsidR="00C60B08" w:rsidRPr="004A25CF" w:rsidRDefault="00C60B08" w:rsidP="007A271E">
            <w:pPr>
              <w:spacing w:line="276" w:lineRule="auto"/>
              <w:jc w:val="both"/>
              <w:rPr>
                <w:rFonts w:ascii="Verdana" w:eastAsia="Calibri" w:hAnsi="Verdana" w:cs="Arial"/>
                <w:bCs/>
              </w:rPr>
            </w:pPr>
          </w:p>
        </w:tc>
      </w:tr>
    </w:tbl>
    <w:p w14:paraId="40E7CDDC" w14:textId="77777777" w:rsidR="00C60B08" w:rsidRDefault="00C60B08" w:rsidP="00C60B08">
      <w:pPr>
        <w:tabs>
          <w:tab w:val="left" w:pos="142"/>
          <w:tab w:val="left" w:pos="284"/>
        </w:tabs>
        <w:spacing w:after="0" w:line="276" w:lineRule="auto"/>
        <w:jc w:val="both"/>
        <w:rPr>
          <w:rFonts w:ascii="Verdana" w:eastAsia="Century Gothic" w:hAnsi="Verdana" w:cs="Century Gothic"/>
          <w:b/>
          <w:bCs/>
          <w:lang w:val="es-ES"/>
        </w:rPr>
      </w:pPr>
    </w:p>
    <w:p w14:paraId="17D13EA0" w14:textId="77777777" w:rsidR="00C60B08" w:rsidRPr="004A25CF" w:rsidRDefault="00C60B08" w:rsidP="00C60B08">
      <w:pPr>
        <w:tabs>
          <w:tab w:val="left" w:pos="142"/>
          <w:tab w:val="left" w:pos="284"/>
        </w:tabs>
        <w:spacing w:after="0" w:line="276" w:lineRule="auto"/>
        <w:jc w:val="both"/>
        <w:rPr>
          <w:rFonts w:ascii="Verdana" w:eastAsia="Century Gothic" w:hAnsi="Verdana" w:cs="Century Gothic"/>
          <w:b/>
          <w:bCs/>
          <w:lang w:val="es-ES"/>
        </w:rPr>
      </w:pPr>
    </w:p>
    <w:p w14:paraId="515C4176" w14:textId="77777777" w:rsidR="00C60B08" w:rsidRPr="004A25CF" w:rsidRDefault="00C60B08" w:rsidP="00C60B0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4A25CF">
        <w:rPr>
          <w:rFonts w:ascii="Verdana" w:eastAsia="Century Gothic" w:hAnsi="Verdana" w:cs="Century Gothic"/>
          <w:b/>
          <w:bCs/>
          <w:lang w:val="es-ES"/>
        </w:rPr>
        <w:t>Razones de la respuesta:</w:t>
      </w:r>
    </w:p>
    <w:p w14:paraId="5B4834B1" w14:textId="77777777" w:rsidR="00C60B08" w:rsidRPr="004A25CF" w:rsidRDefault="00C60B08" w:rsidP="00C60B08">
      <w:pPr>
        <w:spacing w:after="0" w:line="276" w:lineRule="auto"/>
        <w:jc w:val="both"/>
        <w:rPr>
          <w:rFonts w:ascii="Verdana" w:eastAsia="Calibri" w:hAnsi="Verdana" w:cs="Arial"/>
          <w:lang w:val="es-ES"/>
        </w:rPr>
      </w:pPr>
    </w:p>
    <w:p w14:paraId="7C1A488F" w14:textId="77777777" w:rsidR="00C60B08" w:rsidRPr="004A25CF" w:rsidRDefault="00C60B08" w:rsidP="00C60B08">
      <w:pPr>
        <w:spacing w:after="0" w:line="276" w:lineRule="auto"/>
        <w:jc w:val="both"/>
        <w:rPr>
          <w:rFonts w:ascii="Verdana" w:eastAsia="Calibri" w:hAnsi="Verdana" w:cs="Arial"/>
          <w:lang w:val="es-ES"/>
        </w:rPr>
      </w:pPr>
      <w:r w:rsidRPr="004A25CF">
        <w:rPr>
          <w:rFonts w:ascii="Verdana" w:eastAsia="Calibri" w:hAnsi="Verdana" w:cs="Arial"/>
          <w:lang w:val="es-ES"/>
        </w:rPr>
        <w:t xml:space="preserve">Lo anterior se sustenta en las siguientes consideraciones: </w:t>
      </w:r>
    </w:p>
    <w:p w14:paraId="175E831F" w14:textId="77777777" w:rsidR="00C60B08" w:rsidRPr="004A25CF" w:rsidRDefault="00C60B08" w:rsidP="00C60B08">
      <w:pPr>
        <w:spacing w:after="0" w:line="276" w:lineRule="auto"/>
        <w:jc w:val="both"/>
        <w:rPr>
          <w:rFonts w:ascii="Verdana" w:eastAsia="Calibri" w:hAnsi="Verdana" w:cs="Arial"/>
          <w:b/>
          <w:lang w:val="es-ES_tradnl"/>
        </w:rPr>
      </w:pPr>
    </w:p>
    <w:p w14:paraId="1FD908C4" w14:textId="77777777" w:rsidR="00C60B08" w:rsidRPr="004A25CF" w:rsidRDefault="00C60B08" w:rsidP="00C60B08">
      <w:pPr>
        <w:tabs>
          <w:tab w:val="left" w:pos="709"/>
        </w:tabs>
        <w:spacing w:after="120" w:line="276" w:lineRule="auto"/>
        <w:jc w:val="both"/>
        <w:rPr>
          <w:rFonts w:ascii="Verdana" w:eastAsia="Calibri" w:hAnsi="Verdana" w:cs="Arial"/>
          <w:color w:val="000000" w:themeColor="text1"/>
          <w:lang w:val="es-ES_tradnl"/>
        </w:rPr>
      </w:pPr>
      <w:r w:rsidRPr="004A25CF">
        <w:rPr>
          <w:rFonts w:ascii="Verdana" w:eastAsia="Calibri" w:hAnsi="Verdana" w:cs="Arial"/>
          <w:color w:val="000000" w:themeColor="text1"/>
          <w:lang w:val="es-ES_tradnl"/>
        </w:rPr>
        <w:t>La declaratoria de desierta de un procedimiento de selección consiste en la decisión de la entidad contratante de no adjudicar el contrato, esto es, de no seleccionar al futuro contratista originado en un procedimiento de selección, por presentarse los supuestos establecidos por el legislador para dicha declaratoria. Ahora bien, las normas especiales que regulan el procedimiento de mínima cuantía no establecen una regulación especial respecto a esta actuación; aunque sí existen reglas especiales respecto a la forma como se selecciona la mejor oferta y, por ende, al proponente seleccionado. En este sentido, los literales c) y d) del numeral 5 del artículo </w:t>
      </w:r>
      <w:hyperlink r:id="rId11" w:anchor="2" w:history="1">
        <w:r w:rsidRPr="004A25CF">
          <w:rPr>
            <w:rFonts w:ascii="Verdana" w:eastAsia="Calibri" w:hAnsi="Verdana" w:cs="Arial"/>
            <w:color w:val="000000" w:themeColor="text1"/>
            <w:lang w:val="es-ES_tradnl"/>
          </w:rPr>
          <w:t>2</w:t>
        </w:r>
      </w:hyperlink>
      <w:r w:rsidRPr="004A25CF">
        <w:rPr>
          <w:rFonts w:ascii="Verdana" w:eastAsia="Calibri" w:hAnsi="Verdana" w:cs="Arial"/>
          <w:color w:val="000000" w:themeColor="text1"/>
          <w:lang w:val="es-ES_tradnl"/>
        </w:rPr>
        <w:t> de la Ley 1150 de 2007, modificado por el artículo 30 de la Ley 2069 de 2020 señalan:</w:t>
      </w:r>
    </w:p>
    <w:p w14:paraId="64320C23" w14:textId="77777777" w:rsidR="00C60B08" w:rsidRPr="004A25CF" w:rsidRDefault="00C60B08" w:rsidP="00C60B08">
      <w:pPr>
        <w:spacing w:line="240" w:lineRule="auto"/>
        <w:ind w:left="709" w:right="758"/>
        <w:jc w:val="both"/>
        <w:rPr>
          <w:rFonts w:ascii="Verdana" w:hAnsi="Verdana" w:cs="Arial"/>
          <w:color w:val="000000" w:themeColor="text1"/>
          <w:sz w:val="20"/>
          <w:szCs w:val="20"/>
          <w:lang w:val="es-ES_tradnl"/>
        </w:rPr>
      </w:pPr>
      <w:r w:rsidRPr="004A25CF">
        <w:rPr>
          <w:rFonts w:ascii="Verdana" w:hAnsi="Verdana" w:cs="Arial"/>
          <w:color w:val="000000" w:themeColor="text1"/>
          <w:sz w:val="20"/>
          <w:szCs w:val="20"/>
          <w:lang w:val="es-ES_tradnl"/>
        </w:rPr>
        <w:t>“5) Contratación mínima cuantía. La contratación cuyo valor no excede del 10 por ciento de la menor cuantía de la entidad independientemente de su objeto, se efectuará de conformidad con las siguientes reglas: […]</w:t>
      </w:r>
    </w:p>
    <w:p w14:paraId="6F0878BF" w14:textId="77777777" w:rsidR="00C60B08" w:rsidRPr="004A25CF" w:rsidRDefault="00C60B08" w:rsidP="00C60B08">
      <w:pPr>
        <w:spacing w:after="120" w:line="240" w:lineRule="auto"/>
        <w:ind w:left="709" w:right="760"/>
        <w:jc w:val="both"/>
        <w:rPr>
          <w:rFonts w:ascii="Verdana" w:hAnsi="Verdana" w:cs="Arial"/>
          <w:color w:val="000000" w:themeColor="text1"/>
          <w:sz w:val="20"/>
          <w:szCs w:val="20"/>
          <w:lang w:val="es-ES_tradnl"/>
        </w:rPr>
      </w:pPr>
      <w:r w:rsidRPr="004A25CF">
        <w:rPr>
          <w:rFonts w:ascii="Verdana" w:hAnsi="Verdana" w:cs="Arial"/>
          <w:color w:val="000000" w:themeColor="text1"/>
          <w:sz w:val="20"/>
          <w:szCs w:val="20"/>
          <w:lang w:val="es-ES_tradnl"/>
        </w:rPr>
        <w:t>c) La entidad seleccionará, mediante comunicación de aceptación de la oferta, la propuesta con el menor precio, siempre y cuando cumpla con las condiciones exigidas;</w:t>
      </w:r>
    </w:p>
    <w:p w14:paraId="330D3604" w14:textId="77777777" w:rsidR="00C60B08" w:rsidRPr="004A25CF" w:rsidRDefault="00C60B08" w:rsidP="00C60B08">
      <w:pPr>
        <w:spacing w:line="240" w:lineRule="auto"/>
        <w:ind w:left="709" w:right="758"/>
        <w:jc w:val="both"/>
        <w:rPr>
          <w:rFonts w:ascii="Verdana" w:hAnsi="Verdana" w:cs="Arial"/>
          <w:color w:val="000000" w:themeColor="text1"/>
          <w:sz w:val="20"/>
          <w:szCs w:val="20"/>
          <w:lang w:val="es-ES"/>
        </w:rPr>
      </w:pPr>
      <w:r w:rsidRPr="1C8D7806">
        <w:rPr>
          <w:rFonts w:ascii="Verdana" w:hAnsi="Verdana" w:cs="Arial"/>
          <w:color w:val="000000" w:themeColor="text1"/>
          <w:sz w:val="20"/>
          <w:szCs w:val="20"/>
          <w:lang w:val="es-ES"/>
        </w:rPr>
        <w:t>d) La comunicación de aceptación junto con la oferta constituye para todos los efectos el contrato celebrado, con base en lo cual se efectuará el respectivo registro presupuestal”.</w:t>
      </w:r>
    </w:p>
    <w:p w14:paraId="1CDE1065" w14:textId="77777777" w:rsidR="00C60B08" w:rsidRPr="00AB479C" w:rsidRDefault="00C60B08" w:rsidP="00C60B08">
      <w:pPr>
        <w:tabs>
          <w:tab w:val="left" w:pos="709"/>
        </w:tabs>
        <w:spacing w:after="120" w:line="276" w:lineRule="auto"/>
        <w:jc w:val="both"/>
        <w:rPr>
          <w:rFonts w:ascii="Verdana" w:eastAsia="Calibri" w:hAnsi="Verdana" w:cs="Arial"/>
          <w:color w:val="000000" w:themeColor="text1"/>
          <w:lang w:val="es-ES_tradnl"/>
        </w:rPr>
      </w:pPr>
      <w:r w:rsidRPr="00AB479C">
        <w:rPr>
          <w:rFonts w:ascii="Verdana" w:eastAsia="Calibri" w:hAnsi="Verdana" w:cs="Arial"/>
          <w:color w:val="000000" w:themeColor="text1"/>
          <w:lang w:val="es-ES_tradnl"/>
        </w:rPr>
        <w:lastRenderedPageBreak/>
        <w:tab/>
        <w:t xml:space="preserve">En armonía con lo anterior, el legislador estableció que en los procesos de mínima cuantía no habría un </w:t>
      </w:r>
      <w:r w:rsidRPr="00AB479C">
        <w:rPr>
          <w:rFonts w:ascii="Verdana" w:eastAsia="Calibri" w:hAnsi="Verdana" w:cs="Arial"/>
          <w:i/>
          <w:iCs/>
          <w:color w:val="000000" w:themeColor="text1"/>
          <w:lang w:val="es-ES_tradnl"/>
        </w:rPr>
        <w:t>“acto de adjudicación”</w:t>
      </w:r>
      <w:r w:rsidRPr="00AB479C">
        <w:rPr>
          <w:rFonts w:ascii="Verdana" w:eastAsia="Calibri" w:hAnsi="Verdana" w:cs="Arial"/>
          <w:color w:val="000000" w:themeColor="text1"/>
          <w:lang w:val="es-ES_tradnl"/>
        </w:rPr>
        <w:t xml:space="preserve">, sino que en aras de la celeridad y economía que se busca con esta modalidad, la selección de la mejor oferta se realiza mediante una </w:t>
      </w:r>
      <w:r w:rsidRPr="00AB479C">
        <w:rPr>
          <w:rFonts w:ascii="Verdana" w:eastAsia="Calibri" w:hAnsi="Verdana" w:cs="Arial"/>
          <w:i/>
          <w:iCs/>
          <w:color w:val="000000" w:themeColor="text1"/>
          <w:lang w:val="es-ES_tradnl"/>
        </w:rPr>
        <w:t>“comunicación de aceptación de la oferta”</w:t>
      </w:r>
      <w:r w:rsidRPr="00AB479C">
        <w:rPr>
          <w:rFonts w:ascii="Verdana" w:eastAsia="Calibri" w:hAnsi="Verdana" w:cs="Arial"/>
          <w:color w:val="000000" w:themeColor="text1"/>
          <w:lang w:val="es-ES_tradnl"/>
        </w:rPr>
        <w:t>, y dicha comunicación, junto con la oferta presentada por el oferente seleccionado, constituyen el contrato. La comunicación de aceptación de la oferta hace las veces del acto de adjudicación, en el entendido de que bajo dicha actuación la entidad selecciona a su contratista; solo que en estos casos mediante dicho acto además se perfecciona el contrato.</w:t>
      </w:r>
    </w:p>
    <w:p w14:paraId="0E27BD79" w14:textId="77777777" w:rsidR="00C60B08" w:rsidRPr="00AB479C" w:rsidRDefault="00C60B08" w:rsidP="00C60B08">
      <w:pPr>
        <w:tabs>
          <w:tab w:val="left" w:pos="709"/>
        </w:tabs>
        <w:spacing w:line="276" w:lineRule="auto"/>
        <w:jc w:val="both"/>
        <w:rPr>
          <w:rFonts w:ascii="Verdana" w:eastAsia="Calibri" w:hAnsi="Verdana" w:cs="Arial"/>
          <w:color w:val="000000" w:themeColor="text1"/>
          <w:lang w:val="es-ES_tradnl"/>
        </w:rPr>
      </w:pPr>
      <w:r w:rsidRPr="00AB479C">
        <w:rPr>
          <w:rFonts w:ascii="Verdana" w:eastAsia="Calibri" w:hAnsi="Verdana" w:cs="Arial"/>
          <w:color w:val="000000" w:themeColor="text1"/>
          <w:lang w:val="es-ES_tradnl"/>
        </w:rPr>
        <w:tab/>
        <w:t>Ahora bien, al no existir regulación especial de la declaratoria de desierta en los procesos de mínima cuantía</w:t>
      </w:r>
      <w:r w:rsidRPr="00AB479C">
        <w:rPr>
          <w:rStyle w:val="Refdenotaalpie"/>
          <w:rFonts w:ascii="Verdana" w:eastAsia="Calibri" w:hAnsi="Verdana" w:cs="Arial"/>
          <w:color w:val="000000" w:themeColor="text1"/>
          <w:lang w:val="es-ES_tradnl"/>
        </w:rPr>
        <w:footnoteReference w:id="1"/>
      </w:r>
      <w:r w:rsidRPr="00AB479C">
        <w:rPr>
          <w:rFonts w:ascii="Verdana" w:eastAsia="Calibri" w:hAnsi="Verdana" w:cs="Arial"/>
          <w:color w:val="000000" w:themeColor="text1"/>
          <w:lang w:val="es-ES_tradnl"/>
        </w:rPr>
        <w:t>, el fundamento para esta actuación se encuentra consagrado en el numeral 18 del artículo 25 de la Ley 80 de 1993, el cual establece:</w:t>
      </w:r>
      <w:r w:rsidRPr="00AB479C">
        <w:rPr>
          <w:rFonts w:ascii="Verdana" w:eastAsia="Calibri" w:hAnsi="Verdana" w:cs="Arial"/>
          <w:color w:val="000000" w:themeColor="text1"/>
          <w:lang w:val="es-ES_tradnl"/>
        </w:rPr>
        <w:tab/>
      </w:r>
    </w:p>
    <w:p w14:paraId="259C8913" w14:textId="77777777" w:rsidR="00C60B08" w:rsidRPr="00AB479C" w:rsidRDefault="00C60B08" w:rsidP="00C60B08">
      <w:pPr>
        <w:spacing w:line="240" w:lineRule="auto"/>
        <w:ind w:left="709" w:right="709"/>
        <w:rPr>
          <w:rFonts w:ascii="Verdana" w:hAnsi="Verdana" w:cs="Arial"/>
          <w:color w:val="000000" w:themeColor="text1"/>
          <w:sz w:val="21"/>
          <w:szCs w:val="21"/>
          <w:lang w:val="es-ES_tradnl"/>
        </w:rPr>
      </w:pPr>
      <w:bookmarkStart w:id="3" w:name="25"/>
      <w:r w:rsidRPr="00AB479C">
        <w:rPr>
          <w:rFonts w:ascii="Verdana" w:hAnsi="Verdana" w:cs="Arial"/>
          <w:color w:val="000000" w:themeColor="text1"/>
          <w:sz w:val="21"/>
          <w:szCs w:val="21"/>
          <w:lang w:val="es-ES_tradnl"/>
        </w:rPr>
        <w:t>“Artículo 25. Del principio de economía.</w:t>
      </w:r>
      <w:bookmarkEnd w:id="3"/>
      <w:r w:rsidRPr="00AB479C">
        <w:rPr>
          <w:rFonts w:ascii="Verdana" w:hAnsi="Verdana" w:cs="Arial"/>
          <w:color w:val="000000" w:themeColor="text1"/>
          <w:sz w:val="21"/>
          <w:szCs w:val="21"/>
          <w:lang w:val="es-ES_tradnl"/>
        </w:rPr>
        <w:t> En virtud de este principio: […]</w:t>
      </w:r>
    </w:p>
    <w:p w14:paraId="014367A3" w14:textId="77777777" w:rsidR="00C60B08" w:rsidRPr="00AB479C" w:rsidRDefault="00C60B08" w:rsidP="00C60B08">
      <w:pPr>
        <w:spacing w:line="240" w:lineRule="auto"/>
        <w:ind w:left="709" w:right="709"/>
        <w:jc w:val="both"/>
        <w:rPr>
          <w:rFonts w:ascii="Verdana" w:hAnsi="Verdana" w:cs="Arial"/>
          <w:color w:val="000000" w:themeColor="text1"/>
          <w:sz w:val="21"/>
          <w:szCs w:val="21"/>
          <w:lang w:val="es-ES"/>
        </w:rPr>
      </w:pPr>
      <w:r w:rsidRPr="1C8D7806">
        <w:rPr>
          <w:rFonts w:ascii="Verdana" w:hAnsi="Verdana" w:cs="Arial"/>
          <w:color w:val="000000" w:themeColor="text1"/>
          <w:sz w:val="21"/>
          <w:szCs w:val="21"/>
          <w:lang w:val="es-ES"/>
        </w:rPr>
        <w:t>18.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11EB8181" w14:textId="77777777" w:rsidR="00C60B08" w:rsidRPr="00AB479C" w:rsidRDefault="00C60B08" w:rsidP="00C60B08">
      <w:pPr>
        <w:tabs>
          <w:tab w:val="left" w:pos="709"/>
        </w:tabs>
        <w:spacing w:after="120" w:line="276" w:lineRule="auto"/>
        <w:jc w:val="both"/>
        <w:rPr>
          <w:rFonts w:ascii="Verdana" w:eastAsia="Calibri" w:hAnsi="Verdana" w:cs="Arial"/>
          <w:color w:val="000000" w:themeColor="text1"/>
          <w:lang w:val="es-ES"/>
        </w:rPr>
      </w:pPr>
      <w:r w:rsidRPr="00AB479C">
        <w:rPr>
          <w:rFonts w:ascii="Verdana" w:eastAsia="Calibri" w:hAnsi="Verdana" w:cs="Arial"/>
          <w:color w:val="000000" w:themeColor="text1"/>
          <w:lang w:val="es-ES_tradnl"/>
        </w:rPr>
        <w:tab/>
      </w:r>
      <w:r w:rsidRPr="1C8D7806">
        <w:rPr>
          <w:rFonts w:ascii="Verdana" w:eastAsia="Calibri" w:hAnsi="Verdana" w:cs="Arial"/>
          <w:color w:val="000000" w:themeColor="text1"/>
          <w:lang w:val="es-ES"/>
        </w:rPr>
        <w:t xml:space="preserve">Si bien resulta problemático que la disposición solo aluda a la “licitación”, esta Agencia considera que su entendimiento debe ser amplio, para acoger a los demás procedimientos de selección adoptados en nuestro ordenamiento de forma posterior. </w:t>
      </w:r>
      <w:proofErr w:type="gramStart"/>
      <w:r w:rsidRPr="1C8D7806">
        <w:rPr>
          <w:rFonts w:ascii="Verdana" w:eastAsia="Calibri" w:hAnsi="Verdana" w:cs="Arial"/>
          <w:color w:val="000000" w:themeColor="text1"/>
          <w:lang w:val="es-ES"/>
        </w:rPr>
        <w:t>Así</w:t>
      </w:r>
      <w:proofErr w:type="gramEnd"/>
      <w:r w:rsidRPr="1C8D7806">
        <w:rPr>
          <w:rFonts w:ascii="Verdana" w:eastAsia="Calibri" w:hAnsi="Verdana" w:cs="Arial"/>
          <w:color w:val="000000" w:themeColor="text1"/>
          <w:lang w:val="es-ES"/>
        </w:rPr>
        <w:t xml:space="preserve"> por ejemplo, la Ley 1150 de 2007 -posterior a la vigencia de la Ley 80 de 1993- creó nuevas modalidades de selección en su artículo 2 y, además de la licitación pública, incluyó la selección abreviada, el concurso de méritos y la mínima cuantía. De manera que estos procesos de selección también deben entenderse regidos bajo los principios de la Contratación Estatal consagrados en la Ley 80.</w:t>
      </w:r>
    </w:p>
    <w:p w14:paraId="12D3E891" w14:textId="77777777" w:rsidR="00C60B08" w:rsidRPr="00AB479C" w:rsidRDefault="00C60B08" w:rsidP="00C60B08">
      <w:pPr>
        <w:tabs>
          <w:tab w:val="left" w:pos="709"/>
        </w:tabs>
        <w:spacing w:after="120" w:line="276" w:lineRule="auto"/>
        <w:jc w:val="both"/>
        <w:rPr>
          <w:rFonts w:ascii="Verdana" w:eastAsia="Calibri" w:hAnsi="Verdana" w:cs="Arial"/>
          <w:color w:val="000000" w:themeColor="text1"/>
          <w:lang w:val="es-ES_tradnl"/>
        </w:rPr>
      </w:pPr>
      <w:r w:rsidRPr="00AB479C">
        <w:rPr>
          <w:rFonts w:ascii="Verdana" w:eastAsia="Calibri" w:hAnsi="Verdana" w:cs="Arial"/>
          <w:color w:val="000000" w:themeColor="text1"/>
          <w:lang w:val="es-ES_tradnl"/>
        </w:rPr>
        <w:lastRenderedPageBreak/>
        <w:tab/>
        <w:t>Esta interpretación además encuentra fundamento en lo establecido en el artículo 23 de la Ley 80 de 1993, cuya redacción es más amplia, al prescribir que “</w:t>
      </w:r>
      <w:r w:rsidRPr="00AB479C">
        <w:rPr>
          <w:rFonts w:ascii="Verdana" w:eastAsia="Calibri" w:hAnsi="Verdana" w:cs="Arial"/>
          <w:i/>
          <w:iCs/>
          <w:color w:val="000000" w:themeColor="text1"/>
          <w:lang w:val="es-ES_tradnl"/>
        </w:rPr>
        <w:t>Las actuaciones de quienes intervengan en la contratación estatal se desarrollarán con arreglo a los principios de transparencia, economía y responsabilidad y de conformidad con los postulados que rigen la función administrativa</w:t>
      </w:r>
      <w:r w:rsidRPr="00AB479C">
        <w:rPr>
          <w:rFonts w:ascii="Verdana" w:eastAsia="Calibri" w:hAnsi="Verdana" w:cs="Arial"/>
          <w:color w:val="000000" w:themeColor="text1"/>
          <w:lang w:val="es-ES_tradnl"/>
        </w:rPr>
        <w:t>”. En este sentido, las actuaciones de las entidades estatales deben observar el principio de economía, en los términos establecidos por el legislador en el artículo 25, resultando compatible lo establecido en el numeral 18 en relación con la modalidad de mínima cuantía, al igual que frente a las demás modalidades de selección competitivas establecidas en el artículo 2 de la Ley 1150 de 2007.</w:t>
      </w:r>
    </w:p>
    <w:p w14:paraId="668DB237" w14:textId="77777777" w:rsidR="00C60B08" w:rsidRPr="004A25CF" w:rsidRDefault="00C60B08" w:rsidP="00C60B08">
      <w:pPr>
        <w:tabs>
          <w:tab w:val="left" w:pos="709"/>
        </w:tabs>
        <w:spacing w:after="0" w:line="276" w:lineRule="auto"/>
        <w:jc w:val="both"/>
        <w:rPr>
          <w:rFonts w:ascii="Verdana" w:eastAsia="Calibri" w:hAnsi="Verdana" w:cs="Arial"/>
          <w:color w:val="000000" w:themeColor="text1"/>
          <w:lang w:val="es-ES"/>
        </w:rPr>
      </w:pPr>
      <w:r w:rsidRPr="00AB479C">
        <w:rPr>
          <w:rFonts w:ascii="Verdana" w:eastAsia="Calibri" w:hAnsi="Verdana" w:cs="Arial"/>
          <w:color w:val="000000" w:themeColor="text1"/>
          <w:lang w:val="es-ES_tradnl"/>
        </w:rPr>
        <w:tab/>
      </w:r>
      <w:r w:rsidRPr="1C8D7806">
        <w:rPr>
          <w:rFonts w:ascii="Verdana" w:eastAsia="Calibri" w:hAnsi="Verdana" w:cs="Arial"/>
          <w:color w:val="000000" w:themeColor="text1"/>
          <w:lang w:val="es-ES"/>
        </w:rPr>
        <w:t>De esta manera, el artículo 25, numeral 18, de la Ley 80 expresa que la declaratoria de desierta “</w:t>
      </w:r>
      <w:r w:rsidRPr="1C8D7806">
        <w:rPr>
          <w:rFonts w:ascii="Verdana" w:eastAsia="Calibri" w:hAnsi="Verdana" w:cs="Arial"/>
          <w:i/>
          <w:iCs/>
          <w:color w:val="000000" w:themeColor="text1"/>
          <w:lang w:val="es-ES"/>
        </w:rPr>
        <w:t>únicamente procederá por motivos o causas que impidan la escogencia objetiva</w:t>
      </w:r>
      <w:r w:rsidRPr="1C8D7806">
        <w:rPr>
          <w:rFonts w:ascii="Verdana" w:eastAsia="Calibri" w:hAnsi="Verdana" w:cs="Arial"/>
          <w:color w:val="000000" w:themeColor="text1"/>
          <w:lang w:val="es-ES"/>
        </w:rPr>
        <w:t>”, lo que responde a la orientación regulativa de la Ley 80 de 1993, toda vez que bajo el régimen del Decreto-Ley 222 de 1983 se establecía una mayor cantidad de supuestos</w:t>
      </w:r>
      <w:r w:rsidRPr="1C8D7806">
        <w:rPr>
          <w:rStyle w:val="Refdenotaalpie"/>
          <w:rFonts w:ascii="Verdana" w:eastAsia="Calibri" w:hAnsi="Verdana" w:cs="Arial"/>
          <w:color w:val="000000" w:themeColor="text1"/>
          <w:lang w:val="es-ES"/>
        </w:rPr>
        <w:footnoteReference w:id="2"/>
      </w:r>
      <w:r w:rsidRPr="1C8D7806">
        <w:rPr>
          <w:rFonts w:ascii="Verdana" w:eastAsia="Calibri" w:hAnsi="Verdana" w:cs="Arial"/>
          <w:color w:val="000000" w:themeColor="text1"/>
          <w:lang w:val="es-ES"/>
        </w:rPr>
        <w:t xml:space="preserve">. Actualmente cualquier declaratoria de desierta de un proceso contractual implica que en el acto administrativo mediante el cual se exprese las razones por las cuales considera que no es posible realizar una selección objetiva de la mejor oferta, y cómo esta circunstancia se presenta efectivamente en el procedimiento de selección. Por ejemplo, </w:t>
      </w:r>
      <w:proofErr w:type="gramStart"/>
      <w:r w:rsidRPr="1C8D7806">
        <w:rPr>
          <w:rFonts w:ascii="Verdana" w:eastAsia="Calibri" w:hAnsi="Verdana" w:cs="Arial"/>
          <w:color w:val="000000" w:themeColor="text1"/>
          <w:lang w:val="es-ES"/>
        </w:rPr>
        <w:t>señalar</w:t>
      </w:r>
      <w:proofErr w:type="gramEnd"/>
      <w:r w:rsidRPr="1C8D7806">
        <w:rPr>
          <w:rFonts w:ascii="Verdana" w:eastAsia="Calibri" w:hAnsi="Verdana" w:cs="Arial"/>
          <w:color w:val="000000" w:themeColor="text1"/>
          <w:lang w:val="es-ES"/>
        </w:rPr>
        <w:t xml:space="preserve"> que no se presentaron ofertas o que de las que se presentaron </w:t>
      </w:r>
      <w:proofErr w:type="gramStart"/>
      <w:r w:rsidRPr="1C8D7806">
        <w:rPr>
          <w:rFonts w:ascii="Verdana" w:eastAsia="Calibri" w:hAnsi="Verdana" w:cs="Arial"/>
          <w:color w:val="000000" w:themeColor="text1"/>
          <w:lang w:val="es-ES"/>
        </w:rPr>
        <w:t>ninguna cumple</w:t>
      </w:r>
      <w:proofErr w:type="gramEnd"/>
      <w:r w:rsidRPr="1C8D7806">
        <w:rPr>
          <w:rFonts w:ascii="Verdana" w:eastAsia="Calibri" w:hAnsi="Verdana" w:cs="Arial"/>
          <w:color w:val="000000" w:themeColor="text1"/>
          <w:lang w:val="es-ES"/>
        </w:rPr>
        <w:t xml:space="preserve"> con los requisitos mínimos establecidos por la entidad en los pliegos de condiciones o en la invitación. En efecto, en relación con la motivación de la declaratoria de desierta, la doctrina expresa: </w:t>
      </w:r>
    </w:p>
    <w:p w14:paraId="64FADEA1" w14:textId="77777777" w:rsidR="00C60B08" w:rsidRPr="00AB479C" w:rsidRDefault="00C60B08" w:rsidP="00C60B08">
      <w:pPr>
        <w:tabs>
          <w:tab w:val="left" w:pos="709"/>
        </w:tabs>
        <w:spacing w:after="0" w:line="276" w:lineRule="auto"/>
        <w:jc w:val="both"/>
        <w:rPr>
          <w:rFonts w:ascii="Verdana" w:eastAsia="Calibri" w:hAnsi="Verdana" w:cs="Arial"/>
          <w:color w:val="000000" w:themeColor="text1"/>
          <w:lang w:val="es-ES_tradnl"/>
        </w:rPr>
      </w:pPr>
    </w:p>
    <w:p w14:paraId="073BA534" w14:textId="77777777" w:rsidR="00C60B08" w:rsidRPr="00AB479C" w:rsidRDefault="00C60B08" w:rsidP="00C60B08">
      <w:pPr>
        <w:spacing w:after="120" w:line="240" w:lineRule="auto"/>
        <w:ind w:left="709" w:right="709"/>
        <w:jc w:val="both"/>
        <w:rPr>
          <w:rFonts w:ascii="Verdana" w:hAnsi="Verdana" w:cs="Arial"/>
          <w:color w:val="000000" w:themeColor="text1"/>
          <w:sz w:val="21"/>
          <w:szCs w:val="21"/>
          <w:lang w:val="es-ES_tradnl"/>
        </w:rPr>
      </w:pPr>
      <w:r w:rsidRPr="00AB479C">
        <w:rPr>
          <w:rFonts w:ascii="Verdana" w:hAnsi="Verdana" w:cs="Arial"/>
          <w:color w:val="000000" w:themeColor="text1"/>
          <w:sz w:val="21"/>
          <w:szCs w:val="21"/>
          <w:lang w:val="es-ES_tradnl"/>
        </w:rPr>
        <w:t>“Esto significa que el acto administrativo debe contener de manera detallada y completa lo siguiente:</w:t>
      </w:r>
    </w:p>
    <w:p w14:paraId="163D5FC9" w14:textId="77777777" w:rsidR="00C60B08" w:rsidRPr="00AB479C" w:rsidRDefault="00C60B08" w:rsidP="00C60B08">
      <w:pPr>
        <w:tabs>
          <w:tab w:val="num" w:pos="1068"/>
        </w:tabs>
        <w:spacing w:after="120" w:line="240" w:lineRule="auto"/>
        <w:ind w:left="709" w:right="709"/>
        <w:jc w:val="both"/>
        <w:rPr>
          <w:rFonts w:ascii="Verdana" w:hAnsi="Verdana" w:cs="Arial"/>
          <w:color w:val="000000" w:themeColor="text1"/>
          <w:sz w:val="21"/>
          <w:szCs w:val="21"/>
          <w:lang w:val="es-ES_tradnl"/>
        </w:rPr>
      </w:pPr>
      <w:r w:rsidRPr="00AB479C">
        <w:rPr>
          <w:rFonts w:ascii="Verdana" w:hAnsi="Verdana" w:cs="Arial"/>
          <w:color w:val="000000" w:themeColor="text1"/>
          <w:sz w:val="21"/>
          <w:szCs w:val="21"/>
          <w:lang w:val="es-ES_tradnl"/>
        </w:rPr>
        <w:lastRenderedPageBreak/>
        <w:t>Señalar los hechos que según la entidad dan lugar a la declaratoria.</w:t>
      </w:r>
    </w:p>
    <w:p w14:paraId="4B9055B8" w14:textId="77777777" w:rsidR="00C60B08" w:rsidRPr="00AB479C" w:rsidRDefault="00C60B08" w:rsidP="00C60B08">
      <w:pPr>
        <w:tabs>
          <w:tab w:val="num" w:pos="1068"/>
        </w:tabs>
        <w:spacing w:line="240" w:lineRule="auto"/>
        <w:ind w:left="709" w:right="709"/>
        <w:jc w:val="both"/>
        <w:rPr>
          <w:rFonts w:ascii="Verdana" w:hAnsi="Verdana" w:cs="Arial"/>
          <w:color w:val="000000" w:themeColor="text1"/>
          <w:sz w:val="21"/>
          <w:szCs w:val="21"/>
          <w:lang w:val="es-ES"/>
        </w:rPr>
      </w:pPr>
      <w:r w:rsidRPr="1C8D7806">
        <w:rPr>
          <w:rFonts w:ascii="Verdana" w:hAnsi="Verdana" w:cs="Arial"/>
          <w:color w:val="000000" w:themeColor="text1"/>
          <w:sz w:val="21"/>
          <w:szCs w:val="21"/>
          <w:lang w:val="es-ES"/>
        </w:rPr>
        <w:t xml:space="preserve">Debe mostrar de qué modo dichos hechos son constitutivos de la causal señalada en la ley. Es </w:t>
      </w:r>
      <w:proofErr w:type="gramStart"/>
      <w:r w:rsidRPr="1C8D7806">
        <w:rPr>
          <w:rFonts w:ascii="Verdana" w:hAnsi="Verdana" w:cs="Arial"/>
          <w:color w:val="000000" w:themeColor="text1"/>
          <w:sz w:val="21"/>
          <w:szCs w:val="21"/>
          <w:lang w:val="es-ES"/>
        </w:rPr>
        <w:t>decir</w:t>
      </w:r>
      <w:proofErr w:type="gramEnd"/>
      <w:r w:rsidRPr="1C8D7806">
        <w:rPr>
          <w:rFonts w:ascii="Verdana" w:hAnsi="Verdana" w:cs="Arial"/>
          <w:color w:val="000000" w:themeColor="text1"/>
          <w:sz w:val="21"/>
          <w:szCs w:val="21"/>
          <w:lang w:val="es-ES"/>
        </w:rPr>
        <w:t xml:space="preserve"> debe mostrar de qué modo el hecho señalado impide realmente la selección objetiva del contratista”</w:t>
      </w:r>
      <w:r w:rsidRPr="1C8D7806">
        <w:rPr>
          <w:rFonts w:ascii="Verdana" w:hAnsi="Verdana" w:cs="Arial"/>
          <w:color w:val="000000" w:themeColor="text1"/>
          <w:sz w:val="21"/>
          <w:szCs w:val="21"/>
          <w:vertAlign w:val="superscript"/>
          <w:lang w:val="es-ES"/>
        </w:rPr>
        <w:footnoteReference w:id="3"/>
      </w:r>
      <w:r w:rsidRPr="1C8D7806">
        <w:rPr>
          <w:rFonts w:ascii="Verdana" w:hAnsi="Verdana" w:cs="Arial"/>
          <w:color w:val="000000" w:themeColor="text1"/>
          <w:sz w:val="21"/>
          <w:szCs w:val="21"/>
          <w:lang w:val="es-ES"/>
        </w:rPr>
        <w:t>.</w:t>
      </w:r>
    </w:p>
    <w:p w14:paraId="7B355A6B" w14:textId="77777777" w:rsidR="00C60B08" w:rsidRPr="004A25CF" w:rsidRDefault="00C60B08" w:rsidP="00C60B08">
      <w:pPr>
        <w:tabs>
          <w:tab w:val="left" w:pos="709"/>
        </w:tabs>
        <w:spacing w:after="120" w:line="276" w:lineRule="auto"/>
        <w:jc w:val="both"/>
        <w:rPr>
          <w:rFonts w:ascii="Verdana" w:eastAsia="Calibri" w:hAnsi="Verdana" w:cs="Arial"/>
          <w:color w:val="000000" w:themeColor="text1"/>
        </w:rPr>
      </w:pPr>
      <w:r w:rsidRPr="00AB479C">
        <w:rPr>
          <w:rFonts w:ascii="Verdana" w:eastAsia="Calibri" w:hAnsi="Verdana" w:cs="Arial"/>
          <w:color w:val="000000" w:themeColor="text1"/>
        </w:rPr>
        <w:tab/>
      </w:r>
      <w:r w:rsidRPr="004A25CF">
        <w:rPr>
          <w:rFonts w:ascii="Verdana" w:eastAsia="Calibri" w:hAnsi="Verdana" w:cs="Arial"/>
          <w:color w:val="000000" w:themeColor="text1"/>
        </w:rPr>
        <w:t>En efecto, atendiendo a la pregunta bajo consulta, este instrumento normativo se limita al caso específico de que la entidad se encuentre frente a un proceso de selección en que no sea posible la selección objetiva del contratista debido a las condiciones de las ofertas presentadas o no presentadas -en caso de que no se presente ninguna-. Se evalúan las ofertas con base en las directrices y criterios establecidos en la convocatoria pública y, al no cumplir con ellos ninguna de las ofertas, se declara desierta la convocatoria.</w:t>
      </w:r>
    </w:p>
    <w:p w14:paraId="48DAAE43" w14:textId="77777777" w:rsidR="00C60B08" w:rsidRPr="004A25CF" w:rsidRDefault="00C60B08" w:rsidP="00C60B08">
      <w:pPr>
        <w:spacing w:after="120" w:line="276" w:lineRule="auto"/>
        <w:ind w:firstLine="709"/>
        <w:jc w:val="both"/>
        <w:rPr>
          <w:rFonts w:ascii="Verdana" w:eastAsia="Calibri" w:hAnsi="Verdana" w:cs="Arial"/>
          <w:color w:val="000000"/>
        </w:rPr>
      </w:pPr>
      <w:r w:rsidRPr="004A25CF">
        <w:rPr>
          <w:rFonts w:ascii="Verdana" w:eastAsia="Calibri" w:hAnsi="Verdana" w:cs="Arial"/>
          <w:bCs/>
        </w:rPr>
        <w:t xml:space="preserve">Ahora bien, una vez en firme el acto administrativo mediante el cual una Entidad Estatal haya </w:t>
      </w:r>
      <w:r w:rsidRPr="004A25CF">
        <w:rPr>
          <w:rFonts w:ascii="Verdana" w:eastAsia="Calibri" w:hAnsi="Verdana" w:cs="Arial"/>
          <w:color w:val="000000"/>
          <w:lang w:val="es-ES_tradnl"/>
        </w:rPr>
        <w:t>declarado desierto un proceso de selección</w:t>
      </w:r>
      <w:r w:rsidRPr="004A25CF">
        <w:rPr>
          <w:rFonts w:ascii="Verdana" w:eastAsia="Calibri" w:hAnsi="Verdana" w:cs="Arial"/>
        </w:rPr>
        <w:t xml:space="preserve">, la Entidad Estatal podrá considerar la posibilidad de </w:t>
      </w:r>
      <w:r w:rsidRPr="004A25CF">
        <w:rPr>
          <w:rFonts w:ascii="Verdana" w:eastAsia="Times New Roman" w:hAnsi="Verdana" w:cs="Arial"/>
          <w:lang w:eastAsia="es-MX"/>
        </w:rPr>
        <w:t xml:space="preserve">adelantar un nuevo proceso de selección, teniendo en cuenta las cinco (5) modalidades de selección previstas en el artículo 2 de la Ley 1150 de 2007 y sus respectivas causales, respecto de las </w:t>
      </w:r>
      <w:r w:rsidRPr="004A25CF">
        <w:rPr>
          <w:rFonts w:ascii="Verdana" w:eastAsia="Calibri" w:hAnsi="Verdana" w:cs="Arial"/>
          <w:color w:val="000000"/>
        </w:rPr>
        <w:t xml:space="preserve">características particulares del objeto a contratar, las circunstancias de la contratación o la cuantía o destinación del bien, obra o servicio, que justifican la selección de una u otra modalidad de contratación especifica, que en todo caso debe estar siempre acorde a la Ley. </w:t>
      </w:r>
    </w:p>
    <w:p w14:paraId="085C0FB1" w14:textId="77777777" w:rsidR="00C60B08" w:rsidRPr="00AB479C" w:rsidRDefault="00C60B08" w:rsidP="00C60B08">
      <w:pPr>
        <w:spacing w:after="0" w:line="276" w:lineRule="auto"/>
        <w:ind w:firstLine="708"/>
        <w:jc w:val="both"/>
        <w:rPr>
          <w:rFonts w:ascii="Verdana" w:eastAsia="Calibri" w:hAnsi="Verdana" w:cs="Arial"/>
          <w:color w:val="000000"/>
        </w:rPr>
      </w:pPr>
      <w:r w:rsidRPr="004A25CF">
        <w:rPr>
          <w:rFonts w:ascii="Verdana" w:eastAsia="Calibri" w:hAnsi="Verdana" w:cs="Arial"/>
          <w:color w:val="000000"/>
        </w:rPr>
        <w:t xml:space="preserve">De esta manera, en el caso de haberse declarado desierto un proceso adelantado en la modalidad de mínima cuantía, la Entidad Estatal podrá </w:t>
      </w:r>
      <w:r>
        <w:rPr>
          <w:rFonts w:ascii="Verdana" w:eastAsia="Calibri" w:hAnsi="Verdana" w:cs="Arial"/>
          <w:color w:val="000000"/>
        </w:rPr>
        <w:t>desarrollar</w:t>
      </w:r>
      <w:r w:rsidRPr="004A25CF">
        <w:rPr>
          <w:rFonts w:ascii="Verdana" w:eastAsia="Calibri" w:hAnsi="Verdana" w:cs="Arial"/>
          <w:color w:val="000000"/>
        </w:rPr>
        <w:t xml:space="preserve"> un nuevo procedimiento aplicando la misma modalidad, siempre que se cumplan con los presupuestos de esta modalidad señalados en el numeral 5 del artículo 2 de la Ley 1150 de 2007 y en su reglamentación. Para estos casos, se recomienda que las Entidades Estatales revisar los factores que pueden estar afectando la participación en el procedimiento o las causas por las cuales los oferentes no están cumpliendo con los requisitos señalados en los Pliegos de Condiciones, con el fin de corregir los posibles obstáculos que conllevaron a la declaratoria de desierta. </w:t>
      </w:r>
    </w:p>
    <w:p w14:paraId="4ED2BA7D" w14:textId="77777777" w:rsidR="00C60B08" w:rsidRPr="004A25CF" w:rsidRDefault="00C60B08" w:rsidP="00C60B08">
      <w:pPr>
        <w:tabs>
          <w:tab w:val="left" w:pos="709"/>
        </w:tabs>
        <w:spacing w:after="120" w:line="276" w:lineRule="auto"/>
        <w:ind w:left="720"/>
        <w:contextualSpacing/>
        <w:jc w:val="both"/>
        <w:rPr>
          <w:rFonts w:ascii="Verdana" w:hAnsi="Verdana"/>
          <w:lang w:val="es-ES_tradnl"/>
        </w:rPr>
      </w:pPr>
    </w:p>
    <w:p w14:paraId="0549284D" w14:textId="331DE9A9" w:rsidR="00C60B08" w:rsidRPr="004A25CF" w:rsidRDefault="008436E6" w:rsidP="008436E6">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4.</w:t>
      </w:r>
      <w:r w:rsidR="005978F5">
        <w:rPr>
          <w:rFonts w:ascii="Verdana" w:eastAsia="Century Gothic" w:hAnsi="Verdana" w:cs="Century Gothic"/>
          <w:b/>
          <w:bCs/>
          <w:lang w:val="es-ES"/>
        </w:rPr>
        <w:t xml:space="preserve"> </w:t>
      </w:r>
      <w:r w:rsidR="00C60B08" w:rsidRPr="004A25CF">
        <w:rPr>
          <w:rFonts w:ascii="Verdana" w:eastAsia="Century Gothic" w:hAnsi="Verdana" w:cs="Century Gothic"/>
          <w:b/>
          <w:bCs/>
          <w:lang w:val="es-ES"/>
        </w:rPr>
        <w:t>Referencias normativas, jurisprudenciales y otras fuentes:</w:t>
      </w:r>
    </w:p>
    <w:p w14:paraId="629BD21C" w14:textId="77777777" w:rsidR="00C60B08" w:rsidRPr="004A25CF" w:rsidRDefault="00C60B08" w:rsidP="00C60B0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0B08" w:rsidRPr="004A25CF" w14:paraId="5DFFF3F1" w14:textId="77777777" w:rsidTr="007A271E">
        <w:trPr>
          <w:trHeight w:val="870"/>
        </w:trPr>
        <w:tc>
          <w:tcPr>
            <w:tcW w:w="8647" w:type="dxa"/>
          </w:tcPr>
          <w:p w14:paraId="0ED86899" w14:textId="77777777" w:rsidR="00C60B08" w:rsidRPr="004A25CF" w:rsidRDefault="00C60B08" w:rsidP="007A271E">
            <w:pPr>
              <w:widowControl w:val="0"/>
              <w:numPr>
                <w:ilvl w:val="0"/>
                <w:numId w:val="17"/>
              </w:numPr>
              <w:autoSpaceDE w:val="0"/>
              <w:autoSpaceDN w:val="0"/>
              <w:spacing w:after="120" w:line="276" w:lineRule="auto"/>
              <w:contextualSpacing/>
              <w:jc w:val="both"/>
              <w:rPr>
                <w:rFonts w:ascii="Verdana" w:hAnsi="Verdana" w:cs="Arial"/>
              </w:rPr>
            </w:pPr>
            <w:r w:rsidRPr="004A25CF">
              <w:rPr>
                <w:rFonts w:ascii="Verdana" w:hAnsi="Verdana" w:cs="Arial"/>
              </w:rPr>
              <w:lastRenderedPageBreak/>
              <w:t>Ley 1150 de 2007, artículos 2 y 5 literales c y d.</w:t>
            </w:r>
          </w:p>
          <w:p w14:paraId="1F3162B1" w14:textId="77777777" w:rsidR="00C60B08" w:rsidRPr="004A25CF" w:rsidRDefault="00C60B08" w:rsidP="007A271E">
            <w:pPr>
              <w:widowControl w:val="0"/>
              <w:numPr>
                <w:ilvl w:val="0"/>
                <w:numId w:val="17"/>
              </w:numPr>
              <w:autoSpaceDE w:val="0"/>
              <w:autoSpaceDN w:val="0"/>
              <w:spacing w:after="120" w:line="276" w:lineRule="auto"/>
              <w:contextualSpacing/>
              <w:jc w:val="both"/>
              <w:rPr>
                <w:rFonts w:ascii="Verdana" w:hAnsi="Verdana" w:cs="Arial"/>
              </w:rPr>
            </w:pPr>
            <w:r w:rsidRPr="004A25CF">
              <w:rPr>
                <w:rFonts w:ascii="Verdana" w:hAnsi="Verdana" w:cs="Arial"/>
              </w:rPr>
              <w:t>Ley 2069 de 2020, articulo 30.</w:t>
            </w:r>
          </w:p>
          <w:p w14:paraId="44A3E11D" w14:textId="77777777" w:rsidR="00C60B08" w:rsidRPr="004A25CF" w:rsidRDefault="00C60B08" w:rsidP="007A271E">
            <w:pPr>
              <w:widowControl w:val="0"/>
              <w:numPr>
                <w:ilvl w:val="0"/>
                <w:numId w:val="17"/>
              </w:numPr>
              <w:autoSpaceDE w:val="0"/>
              <w:autoSpaceDN w:val="0"/>
              <w:spacing w:after="120" w:line="276" w:lineRule="auto"/>
              <w:contextualSpacing/>
              <w:jc w:val="both"/>
              <w:rPr>
                <w:rFonts w:ascii="Verdana" w:hAnsi="Verdana" w:cs="Arial"/>
              </w:rPr>
            </w:pPr>
            <w:r w:rsidRPr="004A25CF">
              <w:rPr>
                <w:rFonts w:ascii="Verdana" w:hAnsi="Verdana" w:cs="Arial"/>
              </w:rPr>
              <w:t>Ley 80 de 1993, artículos 77 y 25 numeral 18.</w:t>
            </w:r>
          </w:p>
        </w:tc>
      </w:tr>
    </w:tbl>
    <w:p w14:paraId="3F3E5FA9" w14:textId="77777777" w:rsidR="00C60B08" w:rsidRPr="004A25CF" w:rsidRDefault="00C60B08" w:rsidP="00C60B08">
      <w:pPr>
        <w:widowControl w:val="0"/>
        <w:autoSpaceDE w:val="0"/>
        <w:autoSpaceDN w:val="0"/>
        <w:spacing w:after="0" w:line="276" w:lineRule="auto"/>
        <w:jc w:val="both"/>
        <w:rPr>
          <w:rFonts w:ascii="Verdana" w:hAnsi="Verdana" w:cs="Arial"/>
        </w:rPr>
      </w:pPr>
    </w:p>
    <w:p w14:paraId="56E89A94" w14:textId="3C60112B" w:rsidR="00C60B08" w:rsidRPr="004A25CF" w:rsidRDefault="005978F5" w:rsidP="005978F5">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00C60B08" w:rsidRPr="004A25CF">
        <w:rPr>
          <w:rFonts w:ascii="Verdana" w:eastAsia="Century Gothic" w:hAnsi="Verdana" w:cs="Century Gothic"/>
          <w:b/>
          <w:bCs/>
          <w:lang w:val="es-ES"/>
        </w:rPr>
        <w:t>Doctrina de la Agencia Nacional de Contratación Pública:</w:t>
      </w:r>
    </w:p>
    <w:p w14:paraId="347F04D8" w14:textId="77777777" w:rsidR="00C60B08" w:rsidRPr="004A25CF" w:rsidRDefault="00C60B08" w:rsidP="00C60B08">
      <w:pPr>
        <w:widowControl w:val="0"/>
        <w:autoSpaceDE w:val="0"/>
        <w:autoSpaceDN w:val="0"/>
        <w:spacing w:after="0" w:line="276" w:lineRule="auto"/>
        <w:jc w:val="both"/>
        <w:rPr>
          <w:rFonts w:ascii="Verdana" w:hAnsi="Verdana" w:cs="Arial"/>
        </w:rPr>
      </w:pPr>
    </w:p>
    <w:p w14:paraId="07E9AD96" w14:textId="77777777" w:rsidR="00C60B08" w:rsidRPr="004A25CF" w:rsidRDefault="00C60B08" w:rsidP="00C60B08">
      <w:pPr>
        <w:widowControl w:val="0"/>
        <w:autoSpaceDE w:val="0"/>
        <w:autoSpaceDN w:val="0"/>
        <w:spacing w:after="0" w:line="276" w:lineRule="auto"/>
        <w:jc w:val="both"/>
        <w:rPr>
          <w:rFonts w:ascii="Verdana" w:hAnsi="Verdana" w:cs="Arial"/>
          <w:color w:val="FF0000"/>
          <w:shd w:val="clear" w:color="auto" w:fill="FFFFFF"/>
          <w:lang w:val="es-ES"/>
        </w:rPr>
      </w:pPr>
      <w:r w:rsidRPr="004A25CF">
        <w:rPr>
          <w:rFonts w:ascii="Verdana" w:hAnsi="Verdana" w:cs="Arial"/>
          <w:shd w:val="clear" w:color="auto" w:fill="FFFFFF"/>
          <w:lang w:val="es-ES"/>
        </w:rPr>
        <w:t xml:space="preserve">La Agencia Nacional de Contratación Pública – Colombia Compra Eficiente </w:t>
      </w:r>
      <w:r>
        <w:rPr>
          <w:rFonts w:ascii="Verdana" w:hAnsi="Verdana" w:cs="Arial"/>
          <w:shd w:val="clear" w:color="auto" w:fill="FFFFFF"/>
          <w:lang w:val="es-ES"/>
        </w:rPr>
        <w:t xml:space="preserve">se refirió a la declaratoria de desierta de procesos de contratación en </w:t>
      </w:r>
      <w:r w:rsidRPr="00AB479C">
        <w:rPr>
          <w:rFonts w:ascii="Verdana" w:eastAsia="Arial" w:hAnsi="Verdana" w:cs="Arial"/>
          <w:lang w:val="es-ES_tradnl"/>
        </w:rPr>
        <w:t>los conceptos C-237 del 26 de abril de 2022, C-250 del 4 de mayo de 2022, C-446 del 6 de julio de 2022, C-572 del 14 de septiembre, C-687 del 20 de octubre de 2022</w:t>
      </w:r>
      <w:r w:rsidRPr="004A25CF">
        <w:rPr>
          <w:rFonts w:ascii="Verdana" w:eastAsia="Arial" w:hAnsi="Verdana" w:cs="Arial"/>
          <w:lang w:val="es-ES_tradnl"/>
        </w:rPr>
        <w:t xml:space="preserve"> y</w:t>
      </w:r>
      <w:r w:rsidRPr="00AB479C">
        <w:rPr>
          <w:rFonts w:ascii="Verdana" w:eastAsia="Arial" w:hAnsi="Verdana" w:cs="Arial"/>
          <w:lang w:val="es-ES_tradnl"/>
        </w:rPr>
        <w:t xml:space="preserve"> C-488 de 3 de noviembre de 2023</w:t>
      </w:r>
      <w:r w:rsidRPr="004A25CF">
        <w:rPr>
          <w:rFonts w:ascii="Verdana" w:eastAsia="Arial" w:hAnsi="Verdana" w:cs="Arial"/>
          <w:lang w:val="es-ES_tradnl"/>
        </w:rPr>
        <w:t>,</w:t>
      </w:r>
      <w:r w:rsidRPr="00AB479C">
        <w:rPr>
          <w:rFonts w:ascii="Verdana" w:eastAsia="Arial" w:hAnsi="Verdana" w:cs="Arial"/>
          <w:lang w:val="es-ES_tradnl"/>
        </w:rPr>
        <w:t xml:space="preserve"> </w:t>
      </w:r>
      <w:r w:rsidRPr="00AB479C">
        <w:rPr>
          <w:rFonts w:ascii="Verdana" w:hAnsi="Verdana" w:cs="Arial"/>
          <w:noProof/>
          <w:lang w:val="es-ES_tradnl"/>
        </w:rPr>
        <w:t>se ha pronunciado sobre la declaratoria de desierta en los procesos de contratación</w:t>
      </w:r>
      <w:r w:rsidRPr="00AB479C">
        <w:rPr>
          <w:rFonts w:ascii="Verdana" w:eastAsia="Calibri" w:hAnsi="Verdana" w:cs="Arial"/>
          <w:color w:val="000000" w:themeColor="text1"/>
          <w:lang w:val="es-ES"/>
        </w:rPr>
        <w:t xml:space="preserve">. </w:t>
      </w:r>
      <w:r w:rsidRPr="004A25CF">
        <w:rPr>
          <w:rFonts w:ascii="Verdana" w:hAnsi="Verdana" w:cs="Arial"/>
          <w:shd w:val="clear" w:color="auto" w:fill="FFFFFF"/>
          <w:lang w:val="es-ES_tradnl"/>
        </w:rPr>
        <w:t>Algunas de las consideraciones de estos conceptos se reiteran y se complementan en lo pertinente para dar respuesta a su consulta.</w:t>
      </w:r>
      <w:r w:rsidRPr="004A25CF">
        <w:rPr>
          <w:rFonts w:ascii="Verdana" w:hAnsi="Verdana" w:cs="Arial"/>
          <w:shd w:val="clear" w:color="auto" w:fill="FFFFFF"/>
          <w:lang w:val="es-ES"/>
        </w:rPr>
        <w:t xml:space="preserve"> Es</w:t>
      </w:r>
      <w:r w:rsidRPr="004A25CF">
        <w:rPr>
          <w:rFonts w:ascii="Verdana" w:hAnsi="Verdana"/>
        </w:rPr>
        <w:t>tos y otros conceptos se encuentran disponibles para consulta en el Sistema de relatoría de la Agencia, al cual se puede acceder a través del siguiente enlace:</w:t>
      </w:r>
      <w:r w:rsidRPr="004A25CF">
        <w:rPr>
          <w:rFonts w:ascii="Verdana" w:hAnsi="Verdana" w:cs="Arial"/>
          <w:shd w:val="clear" w:color="auto" w:fill="FFFFFF"/>
          <w:lang w:val="es-ES"/>
        </w:rPr>
        <w:t xml:space="preserve"> </w:t>
      </w:r>
      <w:hyperlink r:id="rId12" w:history="1">
        <w:r w:rsidRPr="004A25CF">
          <w:rPr>
            <w:rFonts w:ascii="Verdana" w:hAnsi="Verdana" w:cs="Arial"/>
            <w:color w:val="0563C1" w:themeColor="hyperlink"/>
            <w:u w:val="single"/>
            <w:shd w:val="clear" w:color="auto" w:fill="FFFFFF"/>
            <w:lang w:val="es-ES"/>
          </w:rPr>
          <w:t>https://relatoria.colombiacompra.gov.co/busqueda/conceptos</w:t>
        </w:r>
      </w:hyperlink>
      <w:r w:rsidRPr="00AB479C">
        <w:rPr>
          <w:rFonts w:ascii="Verdana" w:hAnsi="Verdana" w:cs="Arial"/>
          <w:shd w:val="clear" w:color="auto" w:fill="FFFFFF"/>
          <w:lang w:val="es-ES"/>
        </w:rPr>
        <w:t>.</w:t>
      </w:r>
      <w:r w:rsidRPr="004A25CF">
        <w:rPr>
          <w:rFonts w:ascii="Verdana" w:hAnsi="Verdana" w:cs="Arial"/>
          <w:color w:val="FF0000"/>
          <w:shd w:val="clear" w:color="auto" w:fill="FFFFFF"/>
          <w:lang w:val="es-ES"/>
        </w:rPr>
        <w:t xml:space="preserve"> </w:t>
      </w:r>
    </w:p>
    <w:p w14:paraId="7D21320A" w14:textId="27AF32D0" w:rsidR="00C60B08" w:rsidRPr="004A25CF" w:rsidRDefault="00C60B08" w:rsidP="00C60B08">
      <w:pPr>
        <w:widowControl w:val="0"/>
        <w:autoSpaceDE w:val="0"/>
        <w:autoSpaceDN w:val="0"/>
        <w:spacing w:after="0" w:line="276" w:lineRule="auto"/>
        <w:jc w:val="both"/>
        <w:rPr>
          <w:rFonts w:ascii="Verdana" w:hAnsi="Verdana" w:cs="Arial"/>
          <w:color w:val="FF0000"/>
          <w:shd w:val="clear" w:color="auto" w:fill="FFFFFF"/>
          <w:lang w:val="es-ES"/>
        </w:rPr>
      </w:pPr>
    </w:p>
    <w:p w14:paraId="7D89A496" w14:textId="77777777" w:rsidR="00C60B08" w:rsidRPr="004A25CF" w:rsidRDefault="00C60B08" w:rsidP="00C60B08">
      <w:pPr>
        <w:spacing w:after="0" w:line="276" w:lineRule="auto"/>
        <w:jc w:val="both"/>
        <w:rPr>
          <w:rFonts w:ascii="Verdana" w:hAnsi="Verdana"/>
        </w:rPr>
      </w:pPr>
      <w:r w:rsidRPr="004A25CF">
        <w:rPr>
          <w:rFonts w:ascii="Verdana" w:hAnsi="Verdana"/>
        </w:rPr>
        <w:t xml:space="preserve">Por último, lo invitamos a seguirnos en las redes sociales en las cuales se difunde información institucional: </w:t>
      </w:r>
    </w:p>
    <w:p w14:paraId="247C118B" w14:textId="77777777" w:rsidR="00C60B08" w:rsidRPr="004A25CF" w:rsidRDefault="00C60B08" w:rsidP="00C60B08">
      <w:pPr>
        <w:spacing w:after="0" w:line="240" w:lineRule="auto"/>
        <w:jc w:val="both"/>
        <w:rPr>
          <w:rFonts w:ascii="Verdana" w:hAnsi="Verdana"/>
        </w:rPr>
      </w:pPr>
    </w:p>
    <w:p w14:paraId="46B9CF7F" w14:textId="77777777" w:rsidR="00C60B08" w:rsidRPr="004A25CF" w:rsidRDefault="00C60B08" w:rsidP="00C60B08">
      <w:pPr>
        <w:spacing w:after="0" w:line="240" w:lineRule="auto"/>
        <w:jc w:val="both"/>
        <w:rPr>
          <w:rFonts w:ascii="Verdana" w:hAnsi="Verdana"/>
        </w:rPr>
      </w:pPr>
      <w:r w:rsidRPr="004A25CF">
        <w:rPr>
          <w:rFonts w:ascii="Verdana" w:hAnsi="Verdana"/>
        </w:rPr>
        <w:t xml:space="preserve">Twitter: </w:t>
      </w:r>
      <w:r w:rsidRPr="004A25CF">
        <w:rPr>
          <w:rFonts w:ascii="Verdana" w:hAnsi="Verdana"/>
          <w:color w:val="4472C4" w:themeColor="accent1"/>
          <w:u w:val="single"/>
        </w:rPr>
        <w:t>@colombiacompra</w:t>
      </w:r>
      <w:r w:rsidRPr="004A25CF">
        <w:rPr>
          <w:rFonts w:ascii="Verdana" w:hAnsi="Verdana"/>
          <w:color w:val="4472C4" w:themeColor="accent1"/>
        </w:rPr>
        <w:t xml:space="preserve"> </w:t>
      </w:r>
    </w:p>
    <w:p w14:paraId="615A1859" w14:textId="77777777" w:rsidR="00C60B08" w:rsidRPr="004A25CF" w:rsidRDefault="00C60B08" w:rsidP="00C60B08">
      <w:pPr>
        <w:spacing w:after="0" w:line="240" w:lineRule="auto"/>
        <w:jc w:val="both"/>
        <w:rPr>
          <w:rFonts w:ascii="Verdana" w:hAnsi="Verdana"/>
        </w:rPr>
      </w:pPr>
      <w:r w:rsidRPr="004A25CF">
        <w:rPr>
          <w:rFonts w:ascii="Verdana" w:hAnsi="Verdana"/>
        </w:rPr>
        <w:t xml:space="preserve">Facebook: </w:t>
      </w:r>
      <w:proofErr w:type="spellStart"/>
      <w:r w:rsidRPr="004A25CF">
        <w:rPr>
          <w:rFonts w:ascii="Verdana" w:hAnsi="Verdana"/>
          <w:color w:val="4472C4" w:themeColor="accent1"/>
          <w:u w:val="single"/>
        </w:rPr>
        <w:t>ColombiaCompraEficiente</w:t>
      </w:r>
      <w:proofErr w:type="spellEnd"/>
    </w:p>
    <w:p w14:paraId="5864E6AC" w14:textId="77777777" w:rsidR="00C60B08" w:rsidRPr="004A25CF" w:rsidRDefault="00C60B08" w:rsidP="00C60B08">
      <w:pPr>
        <w:spacing w:after="0" w:line="240" w:lineRule="auto"/>
        <w:jc w:val="both"/>
        <w:rPr>
          <w:rFonts w:ascii="Verdana" w:hAnsi="Verdana"/>
        </w:rPr>
      </w:pPr>
      <w:r w:rsidRPr="004A25CF">
        <w:rPr>
          <w:rFonts w:ascii="Verdana" w:hAnsi="Verdana"/>
        </w:rPr>
        <w:t xml:space="preserve">LinkedIn: </w:t>
      </w:r>
      <w:r w:rsidRPr="004A25CF">
        <w:rPr>
          <w:rFonts w:ascii="Verdana" w:hAnsi="Verdana"/>
          <w:color w:val="4472C4" w:themeColor="accent1"/>
          <w:u w:val="single"/>
        </w:rPr>
        <w:t>Agencia Nacional de Contratación Pública - Colombia Compra Eficiente</w:t>
      </w:r>
      <w:r w:rsidRPr="004A25CF">
        <w:rPr>
          <w:rFonts w:ascii="Verdana" w:hAnsi="Verdana"/>
          <w:color w:val="4472C4" w:themeColor="accent1"/>
        </w:rPr>
        <w:t xml:space="preserve"> </w:t>
      </w:r>
      <w:r w:rsidRPr="004A25CF">
        <w:rPr>
          <w:rFonts w:ascii="Verdana" w:hAnsi="Verdana"/>
        </w:rPr>
        <w:t xml:space="preserve">Instagram: </w:t>
      </w:r>
      <w:r w:rsidRPr="004A25CF">
        <w:rPr>
          <w:rFonts w:ascii="Verdana" w:hAnsi="Verdana"/>
          <w:color w:val="4472C4" w:themeColor="accent1"/>
          <w:u w:val="single"/>
        </w:rPr>
        <w:t>@colombiacompraeficiente_cce</w:t>
      </w:r>
    </w:p>
    <w:p w14:paraId="31F2343E" w14:textId="77777777" w:rsidR="00C60B08" w:rsidRPr="004A25CF" w:rsidRDefault="00C60B08" w:rsidP="00C60B08">
      <w:pPr>
        <w:widowControl w:val="0"/>
        <w:autoSpaceDE w:val="0"/>
        <w:autoSpaceDN w:val="0"/>
        <w:spacing w:after="0" w:line="276" w:lineRule="auto"/>
        <w:jc w:val="both"/>
        <w:rPr>
          <w:rFonts w:ascii="Verdana" w:hAnsi="Verdana" w:cs="Arial"/>
        </w:rPr>
      </w:pPr>
    </w:p>
    <w:p w14:paraId="33CB0D9C" w14:textId="77777777" w:rsidR="00C60B08" w:rsidRPr="004A25CF" w:rsidRDefault="00C60B08" w:rsidP="00C60B08">
      <w:pPr>
        <w:widowControl w:val="0"/>
        <w:autoSpaceDE w:val="0"/>
        <w:autoSpaceDN w:val="0"/>
        <w:spacing w:after="0" w:line="276" w:lineRule="auto"/>
        <w:jc w:val="both"/>
        <w:rPr>
          <w:rFonts w:ascii="Verdana" w:hAnsi="Verdana" w:cs="Arial"/>
          <w:lang w:val="es-ES_tradnl"/>
        </w:rPr>
      </w:pPr>
      <w:r w:rsidRPr="004A25CF">
        <w:rPr>
          <w:rFonts w:ascii="Verdana" w:hAnsi="Verdana" w:cs="Arial"/>
        </w:rPr>
        <w:t>Este concepto tiene el alcance previsto en el artículo 28 del Código de Procedimiento Administrativo y de lo Contencioso Administrativo.</w:t>
      </w:r>
    </w:p>
    <w:p w14:paraId="0FD5E068" w14:textId="77777777" w:rsidR="00C60B08" w:rsidRPr="004A25CF" w:rsidRDefault="00C60B08" w:rsidP="00C60B08">
      <w:pPr>
        <w:widowControl w:val="0"/>
        <w:autoSpaceDE w:val="0"/>
        <w:autoSpaceDN w:val="0"/>
        <w:spacing w:after="0" w:line="276" w:lineRule="auto"/>
        <w:jc w:val="both"/>
        <w:rPr>
          <w:rFonts w:ascii="Verdana" w:hAnsi="Verdana" w:cs="Arial"/>
        </w:rPr>
      </w:pPr>
    </w:p>
    <w:p w14:paraId="1B0EBB3E" w14:textId="77777777" w:rsidR="00C60B08" w:rsidRPr="004A25CF" w:rsidRDefault="00C60B08" w:rsidP="00C60B08">
      <w:pPr>
        <w:spacing w:after="0" w:line="240" w:lineRule="auto"/>
        <w:rPr>
          <w:rFonts w:ascii="Verdana" w:hAnsi="Verdana" w:cs="Arial"/>
          <w:lang w:eastAsia="es-CO"/>
        </w:rPr>
      </w:pPr>
      <w:r w:rsidRPr="004A25CF">
        <w:rPr>
          <w:rFonts w:ascii="Verdana" w:eastAsia="Times New Roman" w:hAnsi="Verdana" w:cs="Arial"/>
          <w:lang w:eastAsia="es-CO"/>
        </w:rPr>
        <w:t>Atentamente,</w:t>
      </w:r>
      <w:r w:rsidRPr="004A25CF">
        <w:rPr>
          <w:rFonts w:ascii="Verdana" w:hAnsi="Verdana" w:cs="Arial"/>
          <w:lang w:eastAsia="es-CO"/>
        </w:rPr>
        <w:t xml:space="preserve"> </w:t>
      </w:r>
    </w:p>
    <w:p w14:paraId="1F31FB9D" w14:textId="77777777" w:rsidR="00C60B08" w:rsidRDefault="00C60B08" w:rsidP="00C60B08">
      <w:pPr>
        <w:rPr>
          <w:rFonts w:ascii="Verdana" w:hAnsi="Verdana"/>
        </w:rPr>
      </w:pPr>
    </w:p>
    <w:p w14:paraId="5B8E7174" w14:textId="77777777" w:rsidR="00C60B08" w:rsidRDefault="00C60B08" w:rsidP="00C60B08">
      <w:pPr>
        <w:rPr>
          <w:rFonts w:ascii="Verdana" w:hAnsi="Verdana"/>
        </w:rPr>
      </w:pPr>
    </w:p>
    <w:p w14:paraId="02A34A8F" w14:textId="66CD513D" w:rsidR="00C60B08" w:rsidRPr="00EE0EBA" w:rsidRDefault="00200CD4" w:rsidP="00C60B08">
      <w:pPr>
        <w:spacing w:line="276" w:lineRule="auto"/>
        <w:jc w:val="center"/>
        <w:rPr>
          <w:rFonts w:eastAsia="Calibri" w:cs="Arial"/>
          <w:lang w:val="es-ES_tradnl" w:eastAsia="es-CO"/>
        </w:rPr>
      </w:pPr>
      <w:r w:rsidRPr="002C3AD6">
        <w:rPr>
          <w:rFonts w:ascii="Century Gothic" w:hAnsi="Century Gothic"/>
          <w:noProof/>
        </w:rPr>
        <w:lastRenderedPageBreak/>
        <w:drawing>
          <wp:inline distT="0" distB="0" distL="0" distR="0" wp14:anchorId="6DB279FB" wp14:editId="72FE96C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0B08" w:rsidRPr="00EE0EBA" w14:paraId="2D8403AA" w14:textId="77777777" w:rsidTr="007A271E">
        <w:trPr>
          <w:trHeight w:val="315"/>
        </w:trPr>
        <w:tc>
          <w:tcPr>
            <w:tcW w:w="893" w:type="dxa"/>
            <w:vAlign w:val="center"/>
            <w:hideMark/>
          </w:tcPr>
          <w:p w14:paraId="4D6FF424" w14:textId="77777777" w:rsidR="00C60B08" w:rsidRPr="00EE0EBA" w:rsidRDefault="00C60B08" w:rsidP="007A271E">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5AF5D8A7" w14:textId="2F86BB26" w:rsidR="00C60B08" w:rsidRPr="00EE0EBA" w:rsidRDefault="00C60B08" w:rsidP="007A271E">
            <w:pPr>
              <w:rPr>
                <w:rFonts w:eastAsia="Arial" w:cs="Arial"/>
                <w:sz w:val="16"/>
                <w:szCs w:val="16"/>
              </w:rPr>
            </w:pPr>
            <w:r>
              <w:rPr>
                <w:rFonts w:eastAsia="Arial" w:cs="Arial"/>
                <w:sz w:val="16"/>
                <w:szCs w:val="16"/>
              </w:rPr>
              <w:t xml:space="preserve">Diana </w:t>
            </w:r>
            <w:r w:rsidRPr="00EE0EBA">
              <w:rPr>
                <w:rFonts w:eastAsia="Arial" w:cs="Arial"/>
                <w:sz w:val="16"/>
                <w:szCs w:val="16"/>
              </w:rPr>
              <w:t xml:space="preserve">Carolina Blanco Rodriguez </w:t>
            </w:r>
          </w:p>
          <w:p w14:paraId="24856BC4" w14:textId="77777777" w:rsidR="00C60B08" w:rsidRPr="00EE0EBA" w:rsidRDefault="00C60B08" w:rsidP="007A271E">
            <w:pPr>
              <w:rPr>
                <w:rFonts w:eastAsia="Arial" w:cs="Arial"/>
                <w:sz w:val="16"/>
                <w:szCs w:val="16"/>
              </w:rPr>
            </w:pPr>
            <w:r w:rsidRPr="00EE0EBA">
              <w:rPr>
                <w:rFonts w:eastAsia="Arial" w:cs="Arial"/>
                <w:sz w:val="16"/>
                <w:szCs w:val="16"/>
              </w:rPr>
              <w:t>Contratista de la Subdirección de Gestión Contractual</w:t>
            </w:r>
          </w:p>
        </w:tc>
      </w:tr>
      <w:tr w:rsidR="00C60B08" w:rsidRPr="00EE0EBA" w14:paraId="72D3884F" w14:textId="77777777" w:rsidTr="007A271E">
        <w:trPr>
          <w:trHeight w:val="330"/>
        </w:trPr>
        <w:tc>
          <w:tcPr>
            <w:tcW w:w="893" w:type="dxa"/>
            <w:vAlign w:val="center"/>
            <w:hideMark/>
          </w:tcPr>
          <w:p w14:paraId="3C8D52D8" w14:textId="77777777" w:rsidR="00C60B08" w:rsidRPr="00EE0EBA" w:rsidRDefault="00C60B08" w:rsidP="007A271E">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4B00A41" w14:textId="35E02911" w:rsidR="00C60B08" w:rsidRPr="00EE0EBA" w:rsidRDefault="00C60B08" w:rsidP="007A271E">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w:t>
            </w:r>
            <w:r>
              <w:rPr>
                <w:rFonts w:eastAsia="Times New Roman" w:cs="Segoe UI"/>
                <w:sz w:val="16"/>
                <w:szCs w:val="16"/>
                <w:lang w:eastAsia="es-ES_tradnl"/>
              </w:rPr>
              <w:t>Carlos González Vásquez</w:t>
            </w:r>
          </w:p>
          <w:p w14:paraId="408614AA" w14:textId="77777777" w:rsidR="00C60B08" w:rsidRPr="00EE0EBA" w:rsidRDefault="00C60B08" w:rsidP="007A271E">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C60B08" w:rsidRPr="00EE0EBA" w14:paraId="2D12D644" w14:textId="77777777" w:rsidTr="007A271E">
        <w:trPr>
          <w:trHeight w:val="54"/>
        </w:trPr>
        <w:tc>
          <w:tcPr>
            <w:tcW w:w="893" w:type="dxa"/>
            <w:vAlign w:val="center"/>
          </w:tcPr>
          <w:p w14:paraId="382134A3" w14:textId="77777777" w:rsidR="00C60B08" w:rsidRPr="00EE0EBA" w:rsidRDefault="00C60B08" w:rsidP="007A271E">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CED2774" w14:textId="77777777" w:rsidR="00C60B08" w:rsidRPr="00EE0EBA" w:rsidRDefault="00C60B08" w:rsidP="007A271E">
            <w:pPr>
              <w:rPr>
                <w:rFonts w:eastAsia="Calibri" w:cs="Arial"/>
                <w:sz w:val="16"/>
                <w:szCs w:val="16"/>
                <w:lang w:val="pt-BR" w:eastAsia="es-ES"/>
              </w:rPr>
            </w:pPr>
            <w:r w:rsidRPr="00EE0EBA">
              <w:rPr>
                <w:rFonts w:eastAsia="Calibri" w:cs="Arial"/>
                <w:sz w:val="16"/>
                <w:szCs w:val="16"/>
                <w:lang w:val="pt-BR" w:eastAsia="es-ES"/>
              </w:rPr>
              <w:t xml:space="preserve">Carolina Quintero </w:t>
            </w:r>
            <w:proofErr w:type="spellStart"/>
            <w:r w:rsidRPr="00EE0EBA">
              <w:rPr>
                <w:rFonts w:eastAsia="Calibri" w:cs="Arial"/>
                <w:sz w:val="16"/>
                <w:szCs w:val="16"/>
                <w:lang w:val="pt-BR" w:eastAsia="es-ES"/>
              </w:rPr>
              <w:t>Gacharná</w:t>
            </w:r>
            <w:proofErr w:type="spellEnd"/>
          </w:p>
          <w:p w14:paraId="610F8FF7" w14:textId="77777777" w:rsidR="00C60B08" w:rsidRPr="00EE0EBA" w:rsidRDefault="00C60B08" w:rsidP="007A271E">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tbl>
    <w:p w14:paraId="46B2B8E2" w14:textId="77777777" w:rsidR="00C60B08" w:rsidRPr="00AB479C" w:rsidRDefault="00C60B08" w:rsidP="00C60B08">
      <w:pPr>
        <w:rPr>
          <w:rFonts w:ascii="Verdana" w:hAnsi="Verdana"/>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F0640" w14:textId="77777777" w:rsidR="001158E3" w:rsidRDefault="001158E3" w:rsidP="004A1847">
      <w:pPr>
        <w:spacing w:after="0" w:line="240" w:lineRule="auto"/>
      </w:pPr>
      <w:r>
        <w:separator/>
      </w:r>
    </w:p>
  </w:endnote>
  <w:endnote w:type="continuationSeparator" w:id="0">
    <w:p w14:paraId="1F990F40" w14:textId="77777777" w:rsidR="001158E3" w:rsidRDefault="001158E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7EE02" w14:textId="77777777" w:rsidR="001158E3" w:rsidRDefault="001158E3" w:rsidP="004A1847">
      <w:pPr>
        <w:spacing w:after="0" w:line="240" w:lineRule="auto"/>
      </w:pPr>
      <w:r>
        <w:separator/>
      </w:r>
    </w:p>
  </w:footnote>
  <w:footnote w:type="continuationSeparator" w:id="0">
    <w:p w14:paraId="5D7DAA53" w14:textId="77777777" w:rsidR="001158E3" w:rsidRDefault="001158E3" w:rsidP="004A1847">
      <w:pPr>
        <w:spacing w:after="0" w:line="240" w:lineRule="auto"/>
      </w:pPr>
      <w:r>
        <w:continuationSeparator/>
      </w:r>
    </w:p>
  </w:footnote>
  <w:footnote w:id="1">
    <w:p w14:paraId="019B43F1" w14:textId="77777777" w:rsidR="00C60B08" w:rsidRPr="00CE0306" w:rsidRDefault="00C60B08" w:rsidP="00C60B08">
      <w:pPr>
        <w:pStyle w:val="Textonotapie"/>
        <w:ind w:firstLine="709"/>
        <w:jc w:val="both"/>
        <w:rPr>
          <w:rFonts w:ascii="Verdana" w:hAnsi="Verdana"/>
          <w:sz w:val="16"/>
          <w:szCs w:val="16"/>
          <w:lang w:val="es-ES_tradnl"/>
        </w:rPr>
      </w:pPr>
      <w:r w:rsidRPr="00CE0306">
        <w:rPr>
          <w:rStyle w:val="Refdenotaalpie"/>
          <w:rFonts w:ascii="Verdana" w:hAnsi="Verdana"/>
          <w:sz w:val="16"/>
          <w:szCs w:val="16"/>
        </w:rPr>
        <w:footnoteRef/>
      </w:r>
      <w:r w:rsidRPr="00CE0306">
        <w:rPr>
          <w:rFonts w:ascii="Verdana" w:hAnsi="Verdana"/>
          <w:sz w:val="16"/>
          <w:szCs w:val="16"/>
        </w:rPr>
        <w:t xml:space="preserve"> Actualmente la mínima cuantía se encuentra regulada en el artículo 30 de la Ley 2069 de 2020 o </w:t>
      </w:r>
      <w:r>
        <w:rPr>
          <w:rFonts w:ascii="Verdana" w:hAnsi="Verdana"/>
          <w:sz w:val="16"/>
          <w:szCs w:val="16"/>
        </w:rPr>
        <w:t>“</w:t>
      </w:r>
      <w:r w:rsidRPr="00CE0306">
        <w:rPr>
          <w:rFonts w:ascii="Verdana" w:hAnsi="Verdana"/>
          <w:sz w:val="16"/>
          <w:szCs w:val="16"/>
        </w:rPr>
        <w:t>Ley de Emprendimiento</w:t>
      </w:r>
      <w:r>
        <w:rPr>
          <w:rFonts w:ascii="Verdana" w:hAnsi="Verdana"/>
          <w:sz w:val="16"/>
          <w:szCs w:val="16"/>
        </w:rPr>
        <w:t>”</w:t>
      </w:r>
      <w:r w:rsidRPr="00CE0306">
        <w:rPr>
          <w:rFonts w:ascii="Verdana" w:hAnsi="Verdana"/>
          <w:sz w:val="16"/>
          <w:szCs w:val="16"/>
        </w:rPr>
        <w:t>. Esta disposición no solo subrogó el artículo 74 de la Ley 1474 de 2011 sino que modificó el alcance del artículo 2.5 de la Ley 1150 de 2007. Por lo demás, salvo los factores de desempate, en vigencia del artículo 30 de la Ley 2069 de 2020 siguen produciendo efectos gran parte de la reglamentación que existía en el Decreto 1082 de 2015. Lo anterior hasta la entrada en vigor del Decreto 1860 de 2021, el cual reglamenta el procedimiento de mínima cuantía con sujeción a las modificaciones previstas en la mencionada Ley. En cuanto a la declaratoria de desierta de estos procesos, resulta importante aclarar que las disposiciones que regulan la mínima cuantía no establecen una regulación especial frente a la declaratoria de desierta, así que deberá interpretarse conforme a los normas que regulan este instrumento normativo de manera general.</w:t>
      </w:r>
    </w:p>
  </w:footnote>
  <w:footnote w:id="2">
    <w:p w14:paraId="3C8A210F"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Style w:val="Refdenotaalpie"/>
          <w:rFonts w:ascii="Verdana" w:hAnsi="Verdana" w:cs="Arial"/>
          <w:sz w:val="16"/>
          <w:szCs w:val="16"/>
        </w:rPr>
        <w:footnoteRef/>
      </w:r>
      <w:r w:rsidRPr="00CE0306">
        <w:rPr>
          <w:rFonts w:ascii="Verdana" w:hAnsi="Verdana" w:cs="Arial"/>
          <w:sz w:val="16"/>
          <w:szCs w:val="16"/>
        </w:rPr>
        <w:t xml:space="preserve"> </w:t>
      </w:r>
      <w:r>
        <w:rPr>
          <w:rFonts w:ascii="Verdana" w:hAnsi="Verdana" w:cs="Arial"/>
          <w:sz w:val="16"/>
          <w:szCs w:val="16"/>
        </w:rPr>
        <w:t>“</w:t>
      </w:r>
      <w:r w:rsidRPr="00CE0306">
        <w:rPr>
          <w:rFonts w:ascii="Verdana" w:hAnsi="Verdana" w:cs="Arial"/>
          <w:iCs/>
          <w:color w:val="000000"/>
          <w:sz w:val="16"/>
          <w:szCs w:val="16"/>
        </w:rPr>
        <w:t xml:space="preserve">Artículo 42. De cuando se declara desierta la licitación o concurso de méritos. El jefe del organismo respectivo declarará desierta la licitación o el concurso de méritos: </w:t>
      </w:r>
    </w:p>
    <w:p w14:paraId="1A23123F"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Fonts w:ascii="Verdana" w:hAnsi="Verdana" w:cs="Arial"/>
          <w:iCs/>
          <w:color w:val="000000"/>
          <w:sz w:val="16"/>
          <w:szCs w:val="16"/>
        </w:rPr>
        <w:t xml:space="preserve">1. Cuando no se presente el número de mínimo de participantes que se haya determinado en el pliego o invitación. </w:t>
      </w:r>
    </w:p>
    <w:p w14:paraId="4E7FB900"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Fonts w:ascii="Verdana" w:hAnsi="Verdana" w:cs="Arial"/>
          <w:iCs/>
          <w:color w:val="000000"/>
          <w:sz w:val="16"/>
          <w:szCs w:val="16"/>
        </w:rPr>
        <w:t xml:space="preserve">2. Cuando el procedimiento se hubiere adelantado con pretermisión de alguno de los requisitos previstos en este estatuto o en sus normas reglamentarias. </w:t>
      </w:r>
    </w:p>
    <w:p w14:paraId="14E92518"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Fonts w:ascii="Verdana" w:hAnsi="Verdana" w:cs="Arial"/>
          <w:iCs/>
          <w:color w:val="000000"/>
          <w:sz w:val="16"/>
          <w:szCs w:val="16"/>
        </w:rPr>
        <w:t xml:space="preserve">3. Cuando ninguna de las propuestas se ajustare al pliego de condiciones o a la invitación. </w:t>
      </w:r>
    </w:p>
    <w:p w14:paraId="4F40D95E"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Fonts w:ascii="Verdana" w:hAnsi="Verdana" w:cs="Arial"/>
          <w:iCs/>
          <w:color w:val="000000"/>
          <w:sz w:val="16"/>
          <w:szCs w:val="16"/>
        </w:rPr>
        <w:t xml:space="preserve">4. Cuando se hubiere violado la reserva de las mismas de manera ostensible y antes del cierre de la licitación o concurso. </w:t>
      </w:r>
    </w:p>
    <w:p w14:paraId="05DFC837" w14:textId="77777777" w:rsidR="00C60B08" w:rsidRPr="00CE0306" w:rsidRDefault="00C60B08" w:rsidP="00C60B08">
      <w:pPr>
        <w:autoSpaceDE w:val="0"/>
        <w:autoSpaceDN w:val="0"/>
        <w:adjustRightInd w:val="0"/>
        <w:spacing w:after="0" w:line="240" w:lineRule="auto"/>
        <w:ind w:firstLine="709"/>
        <w:jc w:val="both"/>
        <w:rPr>
          <w:rFonts w:ascii="Verdana" w:hAnsi="Verdana" w:cs="Arial"/>
          <w:iCs/>
          <w:color w:val="000000"/>
          <w:sz w:val="16"/>
          <w:szCs w:val="16"/>
        </w:rPr>
      </w:pPr>
      <w:r w:rsidRPr="00CE0306">
        <w:rPr>
          <w:rFonts w:ascii="Verdana" w:hAnsi="Verdana" w:cs="Arial"/>
          <w:iCs/>
          <w:color w:val="000000"/>
          <w:sz w:val="16"/>
          <w:szCs w:val="16"/>
        </w:rPr>
        <w:t>5. Cuando a su juicio, las diferentes propuestas se consideren inconvenientes para la entidad contratante.</w:t>
      </w:r>
    </w:p>
    <w:p w14:paraId="75108A05" w14:textId="77777777" w:rsidR="00C60B08" w:rsidRDefault="00C60B08" w:rsidP="00C60B08">
      <w:pPr>
        <w:pStyle w:val="Textonotapie"/>
        <w:ind w:firstLine="709"/>
        <w:jc w:val="both"/>
        <w:rPr>
          <w:rFonts w:ascii="Verdana" w:hAnsi="Verdana"/>
          <w:iCs/>
          <w:color w:val="000000"/>
          <w:sz w:val="16"/>
          <w:szCs w:val="16"/>
        </w:rPr>
      </w:pPr>
      <w:r w:rsidRPr="00CE0306">
        <w:rPr>
          <w:rFonts w:ascii="Verdana" w:hAnsi="Verdana"/>
          <w:iCs/>
          <w:color w:val="000000"/>
          <w:sz w:val="16"/>
          <w:szCs w:val="16"/>
        </w:rPr>
        <w:t>En los casos previstos en los numerales 1, 2, 3 y 4 de este artículo, la declaratoria deberá hacerse mediante resolución motivada</w:t>
      </w:r>
      <w:r>
        <w:rPr>
          <w:rFonts w:ascii="Verdana" w:hAnsi="Verdana"/>
          <w:iCs/>
          <w:color w:val="000000"/>
          <w:sz w:val="16"/>
          <w:szCs w:val="16"/>
        </w:rPr>
        <w:t>”</w:t>
      </w:r>
      <w:r w:rsidRPr="00CE0306">
        <w:rPr>
          <w:rFonts w:ascii="Verdana" w:hAnsi="Verdana"/>
          <w:iCs/>
          <w:color w:val="000000"/>
          <w:sz w:val="16"/>
          <w:szCs w:val="16"/>
        </w:rPr>
        <w:t>.</w:t>
      </w:r>
    </w:p>
    <w:p w14:paraId="168BC9D2" w14:textId="77777777" w:rsidR="00C60B08" w:rsidRPr="00CE0306" w:rsidRDefault="00C60B08" w:rsidP="00C60B08">
      <w:pPr>
        <w:pStyle w:val="Textonotapie"/>
        <w:ind w:firstLine="709"/>
        <w:jc w:val="both"/>
        <w:rPr>
          <w:rFonts w:ascii="Verdana" w:hAnsi="Verdana"/>
          <w:sz w:val="16"/>
          <w:szCs w:val="16"/>
        </w:rPr>
      </w:pPr>
    </w:p>
  </w:footnote>
  <w:footnote w:id="3">
    <w:p w14:paraId="0BCA3544" w14:textId="77777777" w:rsidR="00C60B08" w:rsidRPr="00CE0306" w:rsidRDefault="00C60B08" w:rsidP="00C60B08">
      <w:pPr>
        <w:pStyle w:val="Textonotapie"/>
        <w:ind w:firstLine="709"/>
        <w:jc w:val="both"/>
        <w:rPr>
          <w:rFonts w:ascii="Verdana" w:hAnsi="Verdana"/>
          <w:color w:val="000000"/>
          <w:sz w:val="16"/>
          <w:szCs w:val="16"/>
        </w:rPr>
      </w:pPr>
      <w:r w:rsidRPr="00CE0306">
        <w:rPr>
          <w:rStyle w:val="Refdenotaalpie"/>
          <w:rFonts w:ascii="Verdana" w:hAnsi="Verdana"/>
          <w:sz w:val="16"/>
          <w:szCs w:val="16"/>
        </w:rPr>
        <w:footnoteRef/>
      </w:r>
      <w:r w:rsidRPr="00CE0306">
        <w:rPr>
          <w:rFonts w:ascii="Verdana" w:hAnsi="Verdana"/>
          <w:sz w:val="16"/>
          <w:szCs w:val="16"/>
          <w:lang w:val="es-ES_tradnl"/>
        </w:rPr>
        <w:t xml:space="preserve"> </w:t>
      </w:r>
      <w:r w:rsidRPr="00CE0306">
        <w:rPr>
          <w:rFonts w:ascii="Verdana" w:hAnsi="Verdana"/>
          <w:color w:val="000000"/>
          <w:sz w:val="16"/>
          <w:szCs w:val="16"/>
        </w:rPr>
        <w:t>Es de anotar que este autor solo da cabida a la declaratoria de desierta cuando son varios los proponentes y no contempla en su escrito para este acto la posibilidad de que el oferente sea uno y no cumpla con los requisitos.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7EF00B6"/>
    <w:multiLevelType w:val="hybridMultilevel"/>
    <w:tmpl w:val="27CC22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7170563">
    <w:abstractNumId w:val="0"/>
  </w:num>
  <w:num w:numId="17" w16cid:durableId="1727680525">
    <w:abstractNumId w:val="9"/>
  </w:num>
  <w:num w:numId="18" w16cid:durableId="6993570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F81"/>
    <w:rsid w:val="000D0334"/>
    <w:rsid w:val="000F6486"/>
    <w:rsid w:val="001158E3"/>
    <w:rsid w:val="00125105"/>
    <w:rsid w:val="00127233"/>
    <w:rsid w:val="001E4177"/>
    <w:rsid w:val="001F7DC6"/>
    <w:rsid w:val="00200CD4"/>
    <w:rsid w:val="00210F6E"/>
    <w:rsid w:val="002231C5"/>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978F5"/>
    <w:rsid w:val="005C3777"/>
    <w:rsid w:val="005C5CDC"/>
    <w:rsid w:val="005D476C"/>
    <w:rsid w:val="006219F8"/>
    <w:rsid w:val="006302F7"/>
    <w:rsid w:val="00665D70"/>
    <w:rsid w:val="006900D9"/>
    <w:rsid w:val="006A760C"/>
    <w:rsid w:val="00706C16"/>
    <w:rsid w:val="00756841"/>
    <w:rsid w:val="00761600"/>
    <w:rsid w:val="007649AB"/>
    <w:rsid w:val="00771D0C"/>
    <w:rsid w:val="007833AC"/>
    <w:rsid w:val="007B268C"/>
    <w:rsid w:val="007B7171"/>
    <w:rsid w:val="007C0C0F"/>
    <w:rsid w:val="007C3DC2"/>
    <w:rsid w:val="007E5497"/>
    <w:rsid w:val="00806F5F"/>
    <w:rsid w:val="00820278"/>
    <w:rsid w:val="008436E6"/>
    <w:rsid w:val="00867F95"/>
    <w:rsid w:val="0088126C"/>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B52FB"/>
    <w:rsid w:val="009C71FA"/>
    <w:rsid w:val="009C72E7"/>
    <w:rsid w:val="009D3058"/>
    <w:rsid w:val="009F3A13"/>
    <w:rsid w:val="00A122D3"/>
    <w:rsid w:val="00A17F13"/>
    <w:rsid w:val="00A20739"/>
    <w:rsid w:val="00A33C78"/>
    <w:rsid w:val="00AB0ADB"/>
    <w:rsid w:val="00AB332A"/>
    <w:rsid w:val="00B00C0E"/>
    <w:rsid w:val="00B01B1A"/>
    <w:rsid w:val="00B44A47"/>
    <w:rsid w:val="00B72CD3"/>
    <w:rsid w:val="00B72FFF"/>
    <w:rsid w:val="00B74544"/>
    <w:rsid w:val="00BC3D36"/>
    <w:rsid w:val="00BD7F72"/>
    <w:rsid w:val="00C04FB3"/>
    <w:rsid w:val="00C330EB"/>
    <w:rsid w:val="00C60B08"/>
    <w:rsid w:val="00C754BE"/>
    <w:rsid w:val="00C76B1C"/>
    <w:rsid w:val="00CB11E4"/>
    <w:rsid w:val="00CB6357"/>
    <w:rsid w:val="00CC1B26"/>
    <w:rsid w:val="00CE0823"/>
    <w:rsid w:val="00CF7530"/>
    <w:rsid w:val="00D423A2"/>
    <w:rsid w:val="00D520D8"/>
    <w:rsid w:val="00D63AC2"/>
    <w:rsid w:val="00D7383B"/>
    <w:rsid w:val="00DA231B"/>
    <w:rsid w:val="00DC39FC"/>
    <w:rsid w:val="00DD127E"/>
    <w:rsid w:val="00DF5254"/>
    <w:rsid w:val="00E16408"/>
    <w:rsid w:val="00E20894"/>
    <w:rsid w:val="00E24189"/>
    <w:rsid w:val="00E245AB"/>
    <w:rsid w:val="00E2764C"/>
    <w:rsid w:val="00E27F2E"/>
    <w:rsid w:val="00E50AFE"/>
    <w:rsid w:val="00E61D16"/>
    <w:rsid w:val="00E75C92"/>
    <w:rsid w:val="00E771DC"/>
    <w:rsid w:val="00E8772A"/>
    <w:rsid w:val="00E90F6B"/>
    <w:rsid w:val="00E92C27"/>
    <w:rsid w:val="00EA0E3D"/>
    <w:rsid w:val="00EA5CE1"/>
    <w:rsid w:val="00EC38A7"/>
    <w:rsid w:val="00EE1AA8"/>
    <w:rsid w:val="00F31EDC"/>
    <w:rsid w:val="00F462B3"/>
    <w:rsid w:val="00F5664F"/>
    <w:rsid w:val="00F666C4"/>
    <w:rsid w:val="00F76AFC"/>
    <w:rsid w:val="00FA47C0"/>
    <w:rsid w:val="00FB5DD1"/>
    <w:rsid w:val="00FC2B5D"/>
    <w:rsid w:val="00FD4135"/>
    <w:rsid w:val="00FF1449"/>
    <w:rsid w:val="1876AAD6"/>
    <w:rsid w:val="1EFEB93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60B08"/>
    <w:pPr>
      <w:spacing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1150_2007.htm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AC435DC-9876-4EF6-9C6B-0ED5C7C203B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2615</Words>
  <Characters>13917</Characters>
  <Application>Microsoft Office Word</Application>
  <DocSecurity>0</DocSecurity>
  <Lines>289</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8</cp:revision>
  <cp:lastPrinted>2023-01-10T21:18:00Z</cp:lastPrinted>
  <dcterms:created xsi:type="dcterms:W3CDTF">2025-09-29T22:54:00Z</dcterms:created>
  <dcterms:modified xsi:type="dcterms:W3CDTF">2025-10-01T03:50:00Z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