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29C15"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bookmarkStart w:id="0" w:name="_Hlk181166130"/>
      <w:bookmarkStart w:id="1" w:name="_Hlk209714638"/>
      <w:r w:rsidRPr="005D3BFD">
        <w:rPr>
          <w:rFonts w:ascii="Verdana" w:eastAsia="Calibri" w:hAnsi="Verdana" w:cs="Arial"/>
          <w:b/>
          <w:bCs/>
          <w:lang w:val="es-ES" w:eastAsia="es-ES_tradnl"/>
        </w:rPr>
        <w:t>REQUISITOS HABILITANTES – Noción</w:t>
      </w:r>
    </w:p>
    <w:p w14:paraId="317AA83F" w14:textId="77777777" w:rsidR="00E96AE3" w:rsidRPr="005D3BFD" w:rsidRDefault="00E96AE3" w:rsidP="00E96AE3">
      <w:pPr>
        <w:spacing w:after="0" w:line="240" w:lineRule="auto"/>
        <w:contextualSpacing/>
        <w:jc w:val="both"/>
        <w:rPr>
          <w:rFonts w:ascii="Verdana" w:eastAsia="Calibri" w:hAnsi="Verdana" w:cs="Arial"/>
          <w:color w:val="000000" w:themeColor="text1"/>
          <w:lang w:val="es-ES"/>
        </w:rPr>
      </w:pPr>
    </w:p>
    <w:p w14:paraId="499551D4" w14:textId="77777777" w:rsidR="00E96AE3" w:rsidRPr="00874757" w:rsidRDefault="00E96AE3" w:rsidP="00E96AE3">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Los </w:t>
      </w:r>
      <w:r w:rsidRPr="00874757">
        <w:rPr>
          <w:rFonts w:ascii="Verdana" w:eastAsia="Calibri" w:hAnsi="Verdana" w:cs="Arial"/>
          <w:i/>
          <w:iCs/>
          <w:color w:val="000000" w:themeColor="text1"/>
          <w:sz w:val="20"/>
          <w:szCs w:val="20"/>
          <w:lang w:val="es-ES"/>
        </w:rPr>
        <w:t>requisitos habilitantes</w:t>
      </w:r>
      <w:r w:rsidRPr="00874757">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874757">
        <w:rPr>
          <w:rFonts w:ascii="Verdana" w:eastAsia="Calibri" w:hAnsi="Verdana" w:cs="Arial"/>
          <w:i/>
          <w:iCs/>
          <w:color w:val="000000" w:themeColor="text1"/>
          <w:sz w:val="20"/>
          <w:szCs w:val="20"/>
          <w:lang w:val="es-ES"/>
        </w:rPr>
        <w:t>criterios de evaluación</w:t>
      </w:r>
      <w:r w:rsidRPr="00874757">
        <w:rPr>
          <w:rFonts w:ascii="Verdana" w:eastAsia="Calibri" w:hAnsi="Verdana" w:cs="Arial"/>
          <w:color w:val="000000" w:themeColor="text1"/>
          <w:sz w:val="20"/>
          <w:szCs w:val="20"/>
          <w:lang w:val="es-ES"/>
        </w:rPr>
        <w:t xml:space="preserve"> –también conocidos como </w:t>
      </w:r>
      <w:r w:rsidRPr="00874757">
        <w:rPr>
          <w:rFonts w:ascii="Verdana" w:eastAsia="Calibri" w:hAnsi="Verdana" w:cs="Arial"/>
          <w:i/>
          <w:iCs/>
          <w:color w:val="000000" w:themeColor="text1"/>
          <w:sz w:val="20"/>
          <w:szCs w:val="20"/>
          <w:lang w:val="es-ES"/>
        </w:rPr>
        <w:t>criterios de calificación</w:t>
      </w:r>
      <w:r w:rsidRPr="00874757">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0070FCCC" w14:textId="77777777" w:rsidR="00E96AE3" w:rsidRPr="00874757" w:rsidRDefault="00E96AE3" w:rsidP="00E96AE3">
      <w:pPr>
        <w:spacing w:after="0" w:line="240" w:lineRule="auto"/>
        <w:contextualSpacing/>
        <w:jc w:val="both"/>
        <w:rPr>
          <w:rFonts w:ascii="Verdana" w:eastAsia="Calibri" w:hAnsi="Verdana" w:cs="Arial"/>
          <w:color w:val="000000" w:themeColor="text1"/>
          <w:sz w:val="20"/>
          <w:szCs w:val="20"/>
          <w:lang w:val="es-ES"/>
        </w:rPr>
      </w:pPr>
    </w:p>
    <w:p w14:paraId="099EDC3B" w14:textId="77777777" w:rsidR="00E96AE3" w:rsidRPr="00874757" w:rsidRDefault="00E96AE3" w:rsidP="00E96AE3">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2E7366CD"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p>
    <w:p w14:paraId="1C3BA1A0"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REQUISITOS HABILITANTES – Autonomía</w:t>
      </w:r>
    </w:p>
    <w:p w14:paraId="36B43C79" w14:textId="77777777" w:rsidR="00E96AE3" w:rsidRPr="005D3BFD" w:rsidRDefault="00E96AE3" w:rsidP="00E96AE3">
      <w:pPr>
        <w:widowControl w:val="0"/>
        <w:autoSpaceDE w:val="0"/>
        <w:autoSpaceDN w:val="0"/>
        <w:spacing w:after="0" w:line="240" w:lineRule="auto"/>
        <w:contextualSpacing/>
        <w:jc w:val="both"/>
        <w:rPr>
          <w:rFonts w:ascii="Verdana" w:eastAsia="Calibri" w:hAnsi="Verdana" w:cs="Arial"/>
          <w:color w:val="000000" w:themeColor="text1"/>
          <w:lang w:val="es-ES"/>
        </w:rPr>
      </w:pPr>
    </w:p>
    <w:p w14:paraId="3B80B8C6" w14:textId="77777777" w:rsidR="00E96AE3" w:rsidRPr="00874757" w:rsidRDefault="00E96AE3" w:rsidP="00E96AE3">
      <w:pPr>
        <w:widowControl w:val="0"/>
        <w:autoSpaceDE w:val="0"/>
        <w:autoSpaceDN w:val="0"/>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con la naturaleza, el valor del contrato, la forma de pago, los riesgos asociados, el plazo y la complejidad de ejecución del objeto. Esta facultad, además implica que las entidades deben establecer la forma en que los proponentes acreditarán estos requisitos y la manera en que la entidad verificará su cumplimiento. </w:t>
      </w:r>
    </w:p>
    <w:p w14:paraId="543D58BF"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p>
    <w:p w14:paraId="508288E7"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Definición</w:t>
      </w:r>
    </w:p>
    <w:p w14:paraId="3ACAE6E0"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p>
    <w:p w14:paraId="1507FADE" w14:textId="77777777" w:rsidR="00E96AE3" w:rsidRPr="00874757" w:rsidRDefault="00E96AE3" w:rsidP="00E96AE3">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color w:val="000000"/>
          <w:sz w:val="20"/>
          <w:szCs w:val="20"/>
          <w:lang w:val="es-ES" w:eastAsia="es-ES_tradnl"/>
        </w:rPr>
        <w:t xml:space="preserve">Ahora bien, dentro de los requisitos habilitantes se destaca la capacidad financiera, la cual </w:t>
      </w:r>
      <w:r w:rsidRPr="00874757">
        <w:rPr>
          <w:rFonts w:ascii="Verdana" w:eastAsia="Calibri" w:hAnsi="Verdana" w:cs="Arial"/>
          <w:sz w:val="20"/>
          <w:szCs w:val="20"/>
          <w:lang w:val="es-ES"/>
        </w:rPr>
        <w:t xml:space="preserve">se deriva del comportamiento contable de la empresa, su liquidez y endeudamiento, para determinar que sus recursos y solidez le permiten cumplir los compromisos que adquiera. Como explica esta Agencia en el </w:t>
      </w:r>
      <w:r w:rsidRPr="00874757">
        <w:rPr>
          <w:rFonts w:ascii="Verdana" w:eastAsia="Calibri" w:hAnsi="Verdana" w:cs="Arial"/>
          <w:i/>
          <w:iCs/>
          <w:sz w:val="20"/>
          <w:szCs w:val="20"/>
          <w:lang w:val="es-ES"/>
        </w:rPr>
        <w:t>Manual para determinar y verificar los requisitos habilitantes en los procesos de contratación</w:t>
      </w:r>
      <w:r w:rsidRPr="00874757">
        <w:rPr>
          <w:rFonts w:ascii="Verdana" w:eastAsia="Calibri" w:hAnsi="Verdana" w:cs="Arial"/>
          <w:sz w:val="20"/>
          <w:szCs w:val="20"/>
          <w:lang w:val="es-ES"/>
        </w:rPr>
        <w:t>: “Los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p>
    <w:p w14:paraId="6E2FC1CE"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p>
    <w:p w14:paraId="392AEDA7" w14:textId="77777777" w:rsidR="00E96AE3" w:rsidRPr="005D3BFD" w:rsidRDefault="00E96AE3" w:rsidP="00E96AE3">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Verificación</w:t>
      </w:r>
    </w:p>
    <w:p w14:paraId="3EEBF636" w14:textId="77777777" w:rsidR="00E96AE3" w:rsidRPr="005D3BFD" w:rsidRDefault="00E96AE3" w:rsidP="00E96AE3">
      <w:pPr>
        <w:spacing w:after="0" w:line="240" w:lineRule="auto"/>
        <w:contextualSpacing/>
        <w:jc w:val="both"/>
        <w:rPr>
          <w:rFonts w:ascii="Verdana" w:eastAsia="Calibri" w:hAnsi="Verdana" w:cs="Arial"/>
          <w:b/>
          <w:bCs/>
          <w:sz w:val="21"/>
          <w:szCs w:val="21"/>
          <w:lang w:val="es-ES" w:eastAsia="es-ES_tradnl"/>
        </w:rPr>
      </w:pPr>
    </w:p>
    <w:p w14:paraId="7D514796" w14:textId="77777777" w:rsidR="00E96AE3" w:rsidRPr="00874757" w:rsidRDefault="00E96AE3" w:rsidP="00E96AE3">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 xml:space="preserve">Por otra parte, los requisitos habilitantes como la capacidad financiera deben ser evaluados de acuerdo con lo registrado en el RUP, salvo los procesos exceptuados de este registro. Según el artículo 2.2.1.1.1.5.2. del Decreto 1082 de 2015, para la inscripción en el RUP el proponente aporta, entre otros, “Estados financieros de la </w:t>
      </w:r>
      <w:r w:rsidRPr="00874757">
        <w:rPr>
          <w:rFonts w:ascii="Verdana" w:eastAsia="Calibri" w:hAnsi="Verdana" w:cs="Arial"/>
          <w:sz w:val="20"/>
          <w:szCs w:val="20"/>
          <w:lang w:val="es-ES"/>
        </w:rPr>
        <w:lastRenderedPageBreak/>
        <w:t>sociedad (…)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I. Principales cuentas detalladas del balance general. II. Principales cuentas del estado de pérdidas y ganancias. III. Cuentas contingentes deudoras y acreedoras (…)”.</w:t>
      </w:r>
    </w:p>
    <w:p w14:paraId="32343AC2" w14:textId="77777777" w:rsidR="00E96AE3" w:rsidRPr="00874757" w:rsidRDefault="00E96AE3" w:rsidP="00E96AE3">
      <w:pPr>
        <w:spacing w:after="0" w:line="240" w:lineRule="auto"/>
        <w:contextualSpacing/>
        <w:jc w:val="both"/>
        <w:rPr>
          <w:rFonts w:ascii="Verdana" w:eastAsia="Calibri" w:hAnsi="Verdana" w:cs="Arial"/>
          <w:sz w:val="20"/>
          <w:szCs w:val="20"/>
          <w:lang w:val="es-ES"/>
        </w:rPr>
      </w:pPr>
    </w:p>
    <w:p w14:paraId="18BEE24C" w14:textId="77777777" w:rsidR="00E96AE3" w:rsidRPr="00874757" w:rsidRDefault="00E96AE3" w:rsidP="00E96AE3">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 xml:space="preserve">Así pues, el artículo 6 de la Ley 1150 de 2007 señala que el RUP es plena prueba de las circunstancias que constan en él, como la capacidad financiera, y “las entidades estatales en los procesos de contratación no podrán exigir, ni los proponentes aportar documentación que deba utilizarse para efectuar la inscripción en el registro”. Por lo </w:t>
      </w:r>
      <w:proofErr w:type="gramStart"/>
      <w:r w:rsidRPr="00874757">
        <w:rPr>
          <w:rFonts w:ascii="Verdana" w:eastAsia="Calibri" w:hAnsi="Verdana" w:cs="Arial"/>
          <w:sz w:val="20"/>
          <w:szCs w:val="20"/>
          <w:lang w:val="es-ES"/>
        </w:rPr>
        <w:t>que</w:t>
      </w:r>
      <w:proofErr w:type="gramEnd"/>
      <w:r w:rsidRPr="00874757">
        <w:rPr>
          <w:rFonts w:ascii="Verdana" w:eastAsia="Calibri" w:hAnsi="Verdana" w:cs="Arial"/>
          <w:sz w:val="20"/>
          <w:szCs w:val="20"/>
          <w:lang w:val="es-ES"/>
        </w:rPr>
        <w:t xml:space="preserve"> para resolver su consulta, debido a que los estados financieros y sus notas son documentos que se utilizan para la inscripción en el RUP, las entidades no los pueden exigir ni verificar ya que la capacidad financiera se debe evaluar exclusivamente con el RUP. Sin embargo, para los procesos exceptuados del RUP, “corresponderá a las entidades contratantes cumplir con la labor de verificación de las condiciones de los proponentes” y en esa medida, son autónomas para determinar si la documentación aportada por el proponente para verificar la capacidad financiera cumple o no cumple con lo exigido en el pliego de condiciones.</w:t>
      </w:r>
    </w:p>
    <w:p w14:paraId="7CD7CD20" w14:textId="77777777" w:rsidR="006B2C02" w:rsidRDefault="006B2C02" w:rsidP="00103B90">
      <w:pPr>
        <w:spacing w:after="0" w:line="240" w:lineRule="auto"/>
        <w:rPr>
          <w:rFonts w:ascii="Verdana" w:hAnsi="Verdana"/>
        </w:rPr>
      </w:pPr>
    </w:p>
    <w:p w14:paraId="4B6CF0AC" w14:textId="77777777" w:rsidR="00B460A5" w:rsidRDefault="00B460A5" w:rsidP="00103B90">
      <w:pPr>
        <w:spacing w:after="0" w:line="240" w:lineRule="auto"/>
        <w:rPr>
          <w:rFonts w:ascii="Verdana" w:hAnsi="Verdana"/>
        </w:rPr>
      </w:pPr>
    </w:p>
    <w:p w14:paraId="68CADB22" w14:textId="77777777" w:rsidR="00B460A5" w:rsidRDefault="00B460A5" w:rsidP="00103B90">
      <w:pPr>
        <w:spacing w:after="0" w:line="240" w:lineRule="auto"/>
        <w:rPr>
          <w:rFonts w:ascii="Verdana" w:hAnsi="Verdana"/>
        </w:rPr>
      </w:pPr>
    </w:p>
    <w:p w14:paraId="6096BEDD" w14:textId="77777777" w:rsidR="006B2C02" w:rsidRDefault="006B2C02" w:rsidP="00103B90">
      <w:pPr>
        <w:spacing w:after="0" w:line="240" w:lineRule="auto"/>
        <w:rPr>
          <w:rFonts w:ascii="Verdana" w:hAnsi="Verdana"/>
        </w:rPr>
      </w:pPr>
    </w:p>
    <w:p w14:paraId="0A4FA66C" w14:textId="77777777" w:rsidR="00E96AE3" w:rsidRDefault="00E96AE3" w:rsidP="00103B90">
      <w:pPr>
        <w:spacing w:after="0" w:line="240" w:lineRule="auto"/>
        <w:rPr>
          <w:rFonts w:ascii="Verdana" w:hAnsi="Verdana"/>
        </w:rPr>
      </w:pPr>
    </w:p>
    <w:p w14:paraId="7C669D83" w14:textId="77777777" w:rsidR="00E96AE3" w:rsidRDefault="00E96AE3" w:rsidP="00103B90">
      <w:pPr>
        <w:spacing w:after="0" w:line="240" w:lineRule="auto"/>
        <w:rPr>
          <w:rFonts w:ascii="Verdana" w:hAnsi="Verdana"/>
        </w:rPr>
      </w:pPr>
    </w:p>
    <w:p w14:paraId="5F99BD2A" w14:textId="77777777" w:rsidR="00E96AE3" w:rsidRDefault="00E96AE3" w:rsidP="00103B90">
      <w:pPr>
        <w:spacing w:after="0" w:line="240" w:lineRule="auto"/>
        <w:rPr>
          <w:rFonts w:ascii="Verdana" w:hAnsi="Verdana"/>
        </w:rPr>
      </w:pPr>
    </w:p>
    <w:p w14:paraId="5D1D371B" w14:textId="77777777" w:rsidR="00E96AE3" w:rsidRDefault="00E96AE3" w:rsidP="00103B90">
      <w:pPr>
        <w:spacing w:after="0" w:line="240" w:lineRule="auto"/>
        <w:rPr>
          <w:rFonts w:ascii="Verdana" w:hAnsi="Verdana"/>
        </w:rPr>
      </w:pPr>
    </w:p>
    <w:p w14:paraId="28C3B2A0" w14:textId="77777777" w:rsidR="00E96AE3" w:rsidRDefault="00E96AE3" w:rsidP="00103B90">
      <w:pPr>
        <w:spacing w:after="0" w:line="240" w:lineRule="auto"/>
        <w:rPr>
          <w:rFonts w:ascii="Verdana" w:hAnsi="Verdana"/>
        </w:rPr>
      </w:pPr>
    </w:p>
    <w:p w14:paraId="363ABDD4" w14:textId="77777777" w:rsidR="00E96AE3" w:rsidRDefault="00E96AE3" w:rsidP="00103B90">
      <w:pPr>
        <w:spacing w:after="0" w:line="240" w:lineRule="auto"/>
        <w:rPr>
          <w:rFonts w:ascii="Verdana" w:hAnsi="Verdana"/>
        </w:rPr>
      </w:pPr>
    </w:p>
    <w:p w14:paraId="0F086807" w14:textId="77777777" w:rsidR="00E96AE3" w:rsidRDefault="00E96AE3" w:rsidP="00103B90">
      <w:pPr>
        <w:spacing w:after="0" w:line="240" w:lineRule="auto"/>
        <w:rPr>
          <w:rFonts w:ascii="Verdana" w:hAnsi="Verdana"/>
        </w:rPr>
      </w:pPr>
    </w:p>
    <w:p w14:paraId="12F6C49D" w14:textId="77777777" w:rsidR="00E96AE3" w:rsidRDefault="00E96AE3" w:rsidP="00103B90">
      <w:pPr>
        <w:spacing w:after="0" w:line="240" w:lineRule="auto"/>
        <w:rPr>
          <w:rFonts w:ascii="Verdana" w:hAnsi="Verdana"/>
        </w:rPr>
      </w:pPr>
    </w:p>
    <w:p w14:paraId="27A6DA43" w14:textId="77777777" w:rsidR="00E96AE3" w:rsidRDefault="00E96AE3" w:rsidP="00103B90">
      <w:pPr>
        <w:spacing w:after="0" w:line="240" w:lineRule="auto"/>
        <w:rPr>
          <w:rFonts w:ascii="Verdana" w:hAnsi="Verdana"/>
        </w:rPr>
      </w:pPr>
    </w:p>
    <w:p w14:paraId="4C7813AE" w14:textId="77777777" w:rsidR="00E96AE3" w:rsidRDefault="00E96AE3" w:rsidP="00103B90">
      <w:pPr>
        <w:spacing w:after="0" w:line="240" w:lineRule="auto"/>
        <w:rPr>
          <w:rFonts w:ascii="Verdana" w:hAnsi="Verdana"/>
        </w:rPr>
      </w:pPr>
    </w:p>
    <w:p w14:paraId="1C97C96E" w14:textId="77777777" w:rsidR="00E96AE3" w:rsidRDefault="00E96AE3" w:rsidP="00103B90">
      <w:pPr>
        <w:spacing w:after="0" w:line="240" w:lineRule="auto"/>
        <w:rPr>
          <w:rFonts w:ascii="Verdana" w:hAnsi="Verdana"/>
        </w:rPr>
      </w:pPr>
    </w:p>
    <w:p w14:paraId="4823063B" w14:textId="77777777" w:rsidR="00E96AE3" w:rsidRDefault="00E96AE3" w:rsidP="00103B90">
      <w:pPr>
        <w:spacing w:after="0" w:line="240" w:lineRule="auto"/>
        <w:rPr>
          <w:rFonts w:ascii="Verdana" w:hAnsi="Verdana"/>
        </w:rPr>
      </w:pPr>
    </w:p>
    <w:p w14:paraId="2548B9CA" w14:textId="77777777" w:rsidR="00E96AE3" w:rsidRDefault="00E96AE3" w:rsidP="00103B90">
      <w:pPr>
        <w:spacing w:after="0" w:line="240" w:lineRule="auto"/>
        <w:rPr>
          <w:rFonts w:ascii="Verdana" w:hAnsi="Verdana"/>
        </w:rPr>
      </w:pPr>
    </w:p>
    <w:p w14:paraId="5CD74517" w14:textId="77777777" w:rsidR="00E96AE3" w:rsidRDefault="00E96AE3" w:rsidP="00103B90">
      <w:pPr>
        <w:spacing w:after="0" w:line="240" w:lineRule="auto"/>
        <w:rPr>
          <w:rFonts w:ascii="Verdana" w:hAnsi="Verdana"/>
        </w:rPr>
      </w:pPr>
    </w:p>
    <w:p w14:paraId="2A0D0F87" w14:textId="77777777" w:rsidR="00E96AE3" w:rsidRDefault="00E96AE3" w:rsidP="00103B90">
      <w:pPr>
        <w:spacing w:after="0" w:line="240" w:lineRule="auto"/>
        <w:rPr>
          <w:rFonts w:ascii="Verdana" w:hAnsi="Verdana"/>
        </w:rPr>
      </w:pPr>
    </w:p>
    <w:p w14:paraId="3434AC2D" w14:textId="77777777" w:rsidR="00E96AE3" w:rsidRDefault="00E96AE3" w:rsidP="00103B90">
      <w:pPr>
        <w:spacing w:after="0" w:line="240" w:lineRule="auto"/>
        <w:rPr>
          <w:rFonts w:ascii="Verdana" w:hAnsi="Verdana"/>
        </w:rPr>
      </w:pPr>
    </w:p>
    <w:p w14:paraId="0E3BC590" w14:textId="77777777" w:rsidR="00E96AE3" w:rsidRDefault="00E96AE3" w:rsidP="00103B90">
      <w:pPr>
        <w:spacing w:after="0" w:line="240" w:lineRule="auto"/>
        <w:rPr>
          <w:rFonts w:ascii="Verdana" w:hAnsi="Verdana"/>
        </w:rPr>
      </w:pPr>
    </w:p>
    <w:p w14:paraId="53CCE2F8" w14:textId="77777777" w:rsidR="00E96AE3" w:rsidRDefault="00E96AE3" w:rsidP="00103B90">
      <w:pPr>
        <w:spacing w:after="0" w:line="240" w:lineRule="auto"/>
        <w:rPr>
          <w:rFonts w:ascii="Verdana" w:hAnsi="Verdana"/>
        </w:rPr>
      </w:pPr>
    </w:p>
    <w:p w14:paraId="18930852" w14:textId="77777777" w:rsidR="00E96AE3" w:rsidRDefault="00E96AE3" w:rsidP="00103B90">
      <w:pPr>
        <w:spacing w:after="0" w:line="240" w:lineRule="auto"/>
        <w:rPr>
          <w:rFonts w:ascii="Verdana" w:hAnsi="Verdana"/>
        </w:rPr>
      </w:pPr>
    </w:p>
    <w:p w14:paraId="7D848029" w14:textId="77777777" w:rsidR="00E96AE3" w:rsidRDefault="00E96AE3" w:rsidP="00103B90">
      <w:pPr>
        <w:spacing w:after="0" w:line="240" w:lineRule="auto"/>
        <w:rPr>
          <w:rFonts w:ascii="Verdana" w:hAnsi="Verdana"/>
        </w:rPr>
      </w:pPr>
    </w:p>
    <w:p w14:paraId="24E0E64D" w14:textId="77777777" w:rsidR="00E96AE3" w:rsidRDefault="00E96AE3" w:rsidP="00103B90">
      <w:pPr>
        <w:spacing w:after="0" w:line="240" w:lineRule="auto"/>
        <w:rPr>
          <w:rFonts w:ascii="Verdana" w:hAnsi="Verdana"/>
        </w:rPr>
      </w:pPr>
    </w:p>
    <w:p w14:paraId="31DF5028" w14:textId="77777777" w:rsidR="006B2C02" w:rsidRDefault="006B2C02" w:rsidP="00103B90">
      <w:pPr>
        <w:spacing w:after="0" w:line="240" w:lineRule="auto"/>
        <w:rPr>
          <w:rFonts w:ascii="Verdana" w:hAnsi="Verdana"/>
        </w:rPr>
      </w:pPr>
    </w:p>
    <w:p w14:paraId="734BF481" w14:textId="33F373B0" w:rsidR="00A64017" w:rsidRDefault="00A800B4" w:rsidP="00103B90">
      <w:pPr>
        <w:spacing w:after="0" w:line="240" w:lineRule="auto"/>
        <w:rPr>
          <w:rFonts w:ascii="Verdana" w:hAnsi="Verdana"/>
        </w:rPr>
      </w:pPr>
      <w:r>
        <w:rPr>
          <w:rFonts w:ascii="Verdana" w:hAnsi="Verdana"/>
        </w:rPr>
        <w:lastRenderedPageBreak/>
        <w:t>B</w:t>
      </w:r>
      <w:r w:rsidR="00A64017" w:rsidRPr="0044528D">
        <w:rPr>
          <w:rFonts w:ascii="Verdana" w:hAnsi="Verdana"/>
        </w:rPr>
        <w:t xml:space="preserve">ogotá D.C., </w:t>
      </w:r>
      <w:r w:rsidR="00417DE2">
        <w:rPr>
          <w:rFonts w:ascii="Verdana" w:hAnsi="Verdana"/>
        </w:rPr>
        <w:t xml:space="preserve">30 </w:t>
      </w:r>
      <w:r w:rsidR="00763E4A">
        <w:rPr>
          <w:rFonts w:ascii="Verdana" w:hAnsi="Verdana"/>
        </w:rPr>
        <w:t xml:space="preserve">de </w:t>
      </w:r>
      <w:r w:rsidR="00417DE2">
        <w:rPr>
          <w:rFonts w:ascii="Verdana" w:hAnsi="Verdana"/>
        </w:rPr>
        <w:t>septiembre</w:t>
      </w:r>
      <w:r w:rsidR="00763E4A">
        <w:rPr>
          <w:rFonts w:ascii="Verdana" w:hAnsi="Verdana"/>
        </w:rPr>
        <w:t xml:space="preserve"> de </w:t>
      </w:r>
      <w:proofErr w:type="gramStart"/>
      <w:r w:rsidR="00417DE2">
        <w:rPr>
          <w:rFonts w:ascii="Verdana" w:hAnsi="Verdana"/>
        </w:rPr>
        <w:t>2025</w:t>
      </w:r>
      <w:r w:rsidR="00324E0B">
        <w:rPr>
          <w:rFonts w:ascii="Verdana" w:hAnsi="Verdana"/>
        </w:rPr>
        <w:t xml:space="preserve"> </w:t>
      </w:r>
      <w:r w:rsidR="00763E4A">
        <w:rPr>
          <w:rFonts w:ascii="Verdana" w:hAnsi="Verdana"/>
        </w:rPr>
        <w:t>.</w:t>
      </w:r>
      <w:proofErr w:type="gramEnd"/>
    </w:p>
    <w:bookmarkEnd w:id="0"/>
    <w:p w14:paraId="43EFFE03" w14:textId="77777777" w:rsidR="00A64017" w:rsidRDefault="00A64017" w:rsidP="00103B90">
      <w:pPr>
        <w:spacing w:after="0" w:line="240" w:lineRule="auto"/>
        <w:rPr>
          <w:rFonts w:ascii="Verdana" w:hAnsi="Verdana"/>
        </w:rPr>
      </w:pPr>
    </w:p>
    <w:p w14:paraId="7BC3B837" w14:textId="21F05636" w:rsidR="00417DE2" w:rsidRDefault="00417DE2" w:rsidP="00417DE2">
      <w:pPr>
        <w:spacing w:after="0" w:line="240" w:lineRule="auto"/>
        <w:jc w:val="right"/>
        <w:rPr>
          <w:rFonts w:ascii="Verdana" w:hAnsi="Verdana"/>
        </w:rPr>
      </w:pPr>
      <w:r>
        <w:rPr>
          <w:rFonts w:ascii="Verdana" w:hAnsi="Verdana"/>
          <w:noProof/>
        </w:rPr>
        <w:drawing>
          <wp:inline distT="0" distB="0" distL="0" distR="0" wp14:anchorId="5D0206FA" wp14:editId="1DB7742B">
            <wp:extent cx="2276475" cy="647700"/>
            <wp:effectExtent l="0" t="0" r="9525" b="0"/>
            <wp:docPr id="5243134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76475" cy="647700"/>
                    </a:xfrm>
                    <a:prstGeom prst="rect">
                      <a:avLst/>
                    </a:prstGeom>
                    <a:noFill/>
                    <a:ln>
                      <a:noFill/>
                    </a:ln>
                  </pic:spPr>
                </pic:pic>
              </a:graphicData>
            </a:graphic>
          </wp:inline>
        </w:drawing>
      </w:r>
    </w:p>
    <w:p w14:paraId="68F08A63" w14:textId="77777777" w:rsidR="00A64017" w:rsidRDefault="00A64017" w:rsidP="00103B90">
      <w:pPr>
        <w:spacing w:after="0" w:line="240" w:lineRule="auto"/>
        <w:rPr>
          <w:rFonts w:ascii="Verdana" w:hAnsi="Verdana"/>
        </w:rPr>
      </w:pPr>
    </w:p>
    <w:p w14:paraId="6EF9D4E0" w14:textId="5C93F0C8"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FA3CFE">
        <w:rPr>
          <w:rFonts w:ascii="Verdana" w:eastAsia="Calibri" w:hAnsi="Verdana" w:cs="Arial"/>
          <w:lang w:eastAsia="es-ES"/>
        </w:rPr>
        <w:t>a</w:t>
      </w:r>
      <w:r w:rsidRPr="00631045">
        <w:rPr>
          <w:rFonts w:ascii="Verdana" w:eastAsia="Calibri" w:hAnsi="Verdana" w:cs="Arial"/>
          <w:lang w:eastAsia="es-ES"/>
        </w:rPr>
        <w:tab/>
      </w:r>
    </w:p>
    <w:p w14:paraId="4DDF46B7" w14:textId="6F505144" w:rsidR="003007B5" w:rsidRPr="003007B5" w:rsidRDefault="005E69AD" w:rsidP="00A64017">
      <w:pPr>
        <w:spacing w:after="0" w:line="240" w:lineRule="auto"/>
        <w:rPr>
          <w:rFonts w:ascii="Verdana" w:eastAsia="Calibri" w:hAnsi="Verdana" w:cs="Arial"/>
          <w:b/>
          <w:bCs/>
          <w:lang w:eastAsia="es-ES"/>
        </w:rPr>
      </w:pPr>
      <w:r w:rsidRPr="005E69AD">
        <w:rPr>
          <w:rFonts w:ascii="Verdana" w:eastAsia="Calibri" w:hAnsi="Verdana" w:cs="Arial"/>
          <w:b/>
          <w:bCs/>
          <w:lang w:eastAsia="es-ES"/>
        </w:rPr>
        <w:t>KATHERINE OSORIO DIAZ</w:t>
      </w:r>
    </w:p>
    <w:p w14:paraId="1FD85336" w14:textId="7066D9B4" w:rsidR="00A64017" w:rsidRPr="003007B5" w:rsidRDefault="005E69AD" w:rsidP="00A64017">
      <w:pPr>
        <w:spacing w:after="0" w:line="240" w:lineRule="auto"/>
        <w:rPr>
          <w:rFonts w:ascii="Verdana" w:hAnsi="Verdana"/>
        </w:rPr>
      </w:pPr>
      <w:hyperlink r:id="rId12" w:history="1">
        <w:r w:rsidRPr="00437273">
          <w:rPr>
            <w:rStyle w:val="Hipervnculo"/>
            <w:rFonts w:ascii="Verdana" w:hAnsi="Verdana"/>
          </w:rPr>
          <w:t>osoriodiazkatherine@gmail.com</w:t>
        </w:r>
      </w:hyperlink>
      <w:r>
        <w:rPr>
          <w:rFonts w:ascii="Verdana" w:hAnsi="Verdana"/>
        </w:rPr>
        <w:t xml:space="preserve"> </w:t>
      </w:r>
    </w:p>
    <w:p w14:paraId="48FCFCCF" w14:textId="15D19EA0" w:rsidR="00A64017" w:rsidRDefault="003007B5" w:rsidP="00A64017">
      <w:pPr>
        <w:spacing w:after="0" w:line="240" w:lineRule="auto"/>
        <w:rPr>
          <w:rFonts w:ascii="Verdana" w:hAnsi="Verdana"/>
        </w:rPr>
      </w:pPr>
      <w:r>
        <w:rPr>
          <w:rFonts w:ascii="Verdana" w:hAnsi="Verdana"/>
        </w:rPr>
        <w:t>P</w:t>
      </w:r>
      <w:r w:rsidR="005E69AD">
        <w:rPr>
          <w:rFonts w:ascii="Verdana" w:hAnsi="Verdana"/>
        </w:rPr>
        <w:t xml:space="preserve">ereira </w:t>
      </w:r>
      <w:r>
        <w:rPr>
          <w:rFonts w:ascii="Verdana" w:hAnsi="Verdana"/>
        </w:rPr>
        <w:t>(</w:t>
      </w:r>
      <w:r w:rsidR="005E69AD">
        <w:rPr>
          <w:rFonts w:ascii="Verdana" w:hAnsi="Verdana"/>
        </w:rPr>
        <w:t>Risaralda</w:t>
      </w:r>
      <w:r>
        <w:rPr>
          <w:rFonts w:ascii="Verdana" w:hAnsi="Verdana"/>
        </w:rPr>
        <w:t>)</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066069DF"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324E0B">
              <w:rPr>
                <w:rFonts w:ascii="Verdana" w:eastAsia="Calibri" w:hAnsi="Verdana" w:cs="Arial"/>
                <w:b/>
                <w:bCs/>
                <w:lang w:val="es-ES" w:eastAsia="es-ES"/>
              </w:rPr>
              <w:t>1</w:t>
            </w:r>
            <w:r w:rsidR="00916515">
              <w:rPr>
                <w:rFonts w:ascii="Verdana" w:eastAsia="Calibri" w:hAnsi="Verdana" w:cs="Arial"/>
                <w:b/>
                <w:bCs/>
                <w:lang w:val="es-ES" w:eastAsia="es-ES"/>
              </w:rPr>
              <w:t>1</w:t>
            </w:r>
            <w:r w:rsidR="00D32BBA">
              <w:rPr>
                <w:rFonts w:ascii="Verdana" w:eastAsia="Calibri" w:hAnsi="Verdana" w:cs="Arial"/>
                <w:b/>
                <w:bCs/>
                <w:lang w:val="es-ES" w:eastAsia="es-ES"/>
              </w:rPr>
              <w:t>6</w:t>
            </w:r>
            <w:r w:rsidR="006874D3">
              <w:rPr>
                <w:rFonts w:ascii="Verdana" w:eastAsia="Calibri" w:hAnsi="Verdana" w:cs="Arial"/>
                <w:b/>
                <w:bCs/>
                <w:lang w:val="es-ES" w:eastAsia="es-ES"/>
              </w:rPr>
              <w:t>9</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7060DCD" w14:textId="77777777" w:rsidR="00E96AE3" w:rsidRPr="00EF2068" w:rsidRDefault="00E96AE3" w:rsidP="00E96AE3">
            <w:pPr>
              <w:jc w:val="both"/>
              <w:rPr>
                <w:rFonts w:ascii="Verdana" w:eastAsia="Century Gothic" w:hAnsi="Verdana" w:cs="Century Gothic"/>
                <w:b/>
                <w:bCs/>
                <w:lang w:val="es-ES"/>
              </w:rPr>
            </w:pPr>
            <w:r w:rsidRPr="00EF2068">
              <w:rPr>
                <w:rFonts w:ascii="Verdana" w:eastAsia="Calibri" w:hAnsi="Verdana" w:cs="Arial"/>
                <w:lang w:val="es-ES" w:eastAsia="es-ES_tradnl"/>
              </w:rPr>
              <w:t xml:space="preserve">REQUISITOS HABILITANTES – Noción / REQUISITOS HABILITANTES – Autonomía / CAPACIDAD FINANCIERA– Definición </w:t>
            </w:r>
            <w:r w:rsidRPr="00EF2068">
              <w:rPr>
                <w:rFonts w:ascii="Verdana" w:eastAsia="Calibri" w:hAnsi="Verdana" w:cs="Arial"/>
                <w:bCs/>
                <w:lang w:val="es-ES" w:eastAsia="es-ES_tradnl"/>
              </w:rPr>
              <w:t>/ CAPACIDAD FINANCIERA – Verificación</w:t>
            </w:r>
          </w:p>
          <w:p w14:paraId="2A049EB1" w14:textId="422BBF56"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3CA52496"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5E69AD" w:rsidRPr="005E69AD">
              <w:rPr>
                <w:rFonts w:ascii="Verdana" w:eastAsia="Calibri" w:hAnsi="Verdana" w:cs="Arial"/>
                <w:lang w:val="es-ES_tradnl" w:eastAsia="es-ES_tradnl"/>
              </w:rPr>
              <w:t>1_2025_08_20_008794</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09BCEDDC"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9F52CB">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9F52CB">
        <w:rPr>
          <w:rFonts w:ascii="Verdana" w:eastAsia="Calibri" w:hAnsi="Verdana" w:cs="Arial"/>
          <w:lang w:val="es-ES" w:eastAsia="es-ES"/>
        </w:rPr>
        <w:t>a</w:t>
      </w:r>
      <w:r>
        <w:rPr>
          <w:rFonts w:ascii="Verdana" w:eastAsia="Calibri" w:hAnsi="Verdana" w:cs="Arial"/>
          <w:lang w:val="es-ES" w:eastAsia="es-ES"/>
        </w:rPr>
        <w:t xml:space="preserve"> </w:t>
      </w:r>
      <w:r w:rsidR="005E69AD">
        <w:rPr>
          <w:rFonts w:ascii="Verdana" w:eastAsia="Calibri" w:hAnsi="Verdana" w:cs="Arial"/>
          <w:lang w:val="es-ES" w:eastAsia="es-ES"/>
        </w:rPr>
        <w:t>Osorio</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198AD046"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sidR="00656A22" w:rsidRPr="00656A22">
        <w:rPr>
          <w:rFonts w:ascii="Verdana" w:eastAsia="Calibri" w:hAnsi="Verdana" w:cs="Arial"/>
          <w:lang w:val="es-ES" w:eastAsia="es-ES"/>
        </w:rPr>
        <w:t>20</w:t>
      </w:r>
      <w:r w:rsidR="00CA01D8" w:rsidRPr="00656A22">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631045" w:rsidRPr="00656A22">
        <w:rPr>
          <w:rFonts w:ascii="Verdana" w:eastAsia="Calibri" w:hAnsi="Verdana" w:cs="Arial"/>
          <w:lang w:val="es-ES" w:eastAsia="es-ES"/>
        </w:rPr>
        <w:t>agosto</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Pr="00EA70F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7D69F9FA" w14:textId="77777777" w:rsidR="00A800B4" w:rsidRDefault="00A800B4" w:rsidP="00FA3CFE">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35BE641" w14:textId="7D12B69C" w:rsidR="005E69AD" w:rsidRDefault="00BB7ECF" w:rsidP="005E69AD">
      <w:pPr>
        <w:tabs>
          <w:tab w:val="left" w:pos="142"/>
          <w:tab w:val="left" w:pos="567"/>
        </w:tabs>
        <w:spacing w:after="0" w:line="240" w:lineRule="auto"/>
        <w:ind w:left="709" w:right="709"/>
        <w:jc w:val="both"/>
        <w:rPr>
          <w:rFonts w:ascii="Verdana" w:eastAsia="Century Gothic" w:hAnsi="Verdana" w:cs="Century Gothic"/>
          <w:i/>
          <w:iCs/>
          <w:sz w:val="20"/>
          <w:szCs w:val="20"/>
        </w:rPr>
      </w:pPr>
      <w:r w:rsidRPr="00BB7ECF">
        <w:rPr>
          <w:rFonts w:ascii="Verdana" w:eastAsia="Century Gothic" w:hAnsi="Verdana" w:cs="Century Gothic"/>
          <w:i/>
          <w:iCs/>
          <w:sz w:val="20"/>
          <w:szCs w:val="20"/>
        </w:rPr>
        <w:t>Asunto:</w:t>
      </w:r>
      <w:r>
        <w:rPr>
          <w:rFonts w:ascii="Verdana" w:eastAsia="Century Gothic" w:hAnsi="Verdana" w:cs="Century Gothic"/>
          <w:i/>
          <w:iCs/>
          <w:sz w:val="20"/>
          <w:szCs w:val="20"/>
        </w:rPr>
        <w:t xml:space="preserve"> </w:t>
      </w:r>
      <w:r w:rsidR="005E69AD" w:rsidRPr="005E69AD">
        <w:rPr>
          <w:rFonts w:ascii="Verdana" w:eastAsia="Century Gothic" w:hAnsi="Verdana" w:cs="Century Gothic"/>
          <w:i/>
          <w:iCs/>
          <w:sz w:val="20"/>
          <w:szCs w:val="20"/>
        </w:rPr>
        <w:t>Solicitud de aclaración sobre márgenes aceptables para indicadores</w:t>
      </w:r>
      <w:r w:rsidR="005E69AD">
        <w:rPr>
          <w:rFonts w:ascii="Verdana" w:eastAsia="Century Gothic" w:hAnsi="Verdana" w:cs="Century Gothic"/>
          <w:i/>
          <w:iCs/>
          <w:sz w:val="20"/>
          <w:szCs w:val="20"/>
        </w:rPr>
        <w:t xml:space="preserve"> </w:t>
      </w:r>
      <w:r w:rsidR="005E69AD" w:rsidRPr="005E69AD">
        <w:rPr>
          <w:rFonts w:ascii="Verdana" w:eastAsia="Century Gothic" w:hAnsi="Verdana" w:cs="Century Gothic"/>
          <w:i/>
          <w:iCs/>
          <w:sz w:val="20"/>
          <w:szCs w:val="20"/>
        </w:rPr>
        <w:t>financieros en convenios competitivos</w:t>
      </w:r>
      <w:r w:rsidR="005E69AD">
        <w:rPr>
          <w:rFonts w:ascii="Verdana" w:eastAsia="Century Gothic" w:hAnsi="Verdana" w:cs="Century Gothic"/>
          <w:i/>
          <w:iCs/>
          <w:sz w:val="20"/>
          <w:szCs w:val="20"/>
        </w:rPr>
        <w:t xml:space="preserve"> </w:t>
      </w:r>
      <w:r w:rsidR="005E69AD" w:rsidRPr="005E69AD">
        <w:rPr>
          <w:rFonts w:ascii="Verdana" w:eastAsia="Century Gothic" w:hAnsi="Verdana" w:cs="Century Gothic"/>
          <w:i/>
          <w:iCs/>
          <w:sz w:val="20"/>
          <w:szCs w:val="20"/>
        </w:rPr>
        <w:t>Por medio del presente, solicito atentamente información sobre si la guía de</w:t>
      </w:r>
      <w:r w:rsidR="005E69AD">
        <w:rPr>
          <w:rFonts w:ascii="Verdana" w:eastAsia="Century Gothic" w:hAnsi="Verdana" w:cs="Century Gothic"/>
          <w:i/>
          <w:iCs/>
          <w:sz w:val="20"/>
          <w:szCs w:val="20"/>
        </w:rPr>
        <w:t xml:space="preserve"> </w:t>
      </w:r>
      <w:r w:rsidR="005E69AD" w:rsidRPr="005E69AD">
        <w:rPr>
          <w:rFonts w:ascii="Verdana" w:eastAsia="Century Gothic" w:hAnsi="Verdana" w:cs="Century Gothic"/>
          <w:i/>
          <w:iCs/>
          <w:sz w:val="20"/>
          <w:szCs w:val="20"/>
        </w:rPr>
        <w:t>referencia establece los márgenes aceptables para los indicadores financieros de</w:t>
      </w:r>
      <w:r w:rsidR="005E69AD">
        <w:rPr>
          <w:rFonts w:ascii="Verdana" w:eastAsia="Century Gothic" w:hAnsi="Verdana" w:cs="Century Gothic"/>
          <w:i/>
          <w:iCs/>
          <w:sz w:val="20"/>
          <w:szCs w:val="20"/>
        </w:rPr>
        <w:t xml:space="preserve"> </w:t>
      </w:r>
      <w:r w:rsidR="005E69AD" w:rsidRPr="005E69AD">
        <w:rPr>
          <w:rFonts w:ascii="Verdana" w:eastAsia="Century Gothic" w:hAnsi="Verdana" w:cs="Century Gothic"/>
          <w:i/>
          <w:iCs/>
          <w:sz w:val="20"/>
          <w:szCs w:val="20"/>
        </w:rPr>
        <w:t>las Entidades Sin Ánimo de Lucro (ESAL) en el contexto de convenios competitivos.</w:t>
      </w:r>
    </w:p>
    <w:p w14:paraId="4374D017" w14:textId="77777777" w:rsidR="005E69AD" w:rsidRPr="005E69AD" w:rsidRDefault="005E69AD" w:rsidP="005E69A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5986E5A" w14:textId="395A9105" w:rsidR="005E69AD" w:rsidRPr="005E69AD" w:rsidRDefault="005E69AD" w:rsidP="005E69AD">
      <w:pPr>
        <w:tabs>
          <w:tab w:val="left" w:pos="142"/>
          <w:tab w:val="left" w:pos="567"/>
        </w:tabs>
        <w:spacing w:after="0" w:line="240" w:lineRule="auto"/>
        <w:ind w:left="709" w:right="709"/>
        <w:jc w:val="both"/>
        <w:rPr>
          <w:rFonts w:ascii="Verdana" w:eastAsia="Century Gothic" w:hAnsi="Verdana" w:cs="Century Gothic"/>
          <w:i/>
          <w:iCs/>
          <w:sz w:val="20"/>
          <w:szCs w:val="20"/>
        </w:rPr>
      </w:pPr>
      <w:r w:rsidRPr="005E69AD">
        <w:rPr>
          <w:rFonts w:ascii="Verdana" w:eastAsia="Century Gothic" w:hAnsi="Verdana" w:cs="Century Gothic"/>
          <w:i/>
          <w:iCs/>
          <w:sz w:val="20"/>
          <w:szCs w:val="20"/>
        </w:rPr>
        <w:t>Aunque la guía detalla las fórmulas para el cálculo de los indicadores, la información</w:t>
      </w:r>
      <w:r>
        <w:rPr>
          <w:rFonts w:ascii="Verdana" w:eastAsia="Century Gothic" w:hAnsi="Verdana" w:cs="Century Gothic"/>
          <w:i/>
          <w:iCs/>
          <w:sz w:val="20"/>
          <w:szCs w:val="20"/>
        </w:rPr>
        <w:t xml:space="preserve"> </w:t>
      </w:r>
      <w:r w:rsidRPr="005E69AD">
        <w:rPr>
          <w:rFonts w:ascii="Verdana" w:eastAsia="Century Gothic" w:hAnsi="Verdana" w:cs="Century Gothic"/>
          <w:i/>
          <w:iCs/>
          <w:sz w:val="20"/>
          <w:szCs w:val="20"/>
        </w:rPr>
        <w:t>necesaria para aplicar dichas fórmulas no se encuentra disponible en los estados</w:t>
      </w:r>
      <w:r>
        <w:rPr>
          <w:rFonts w:ascii="Verdana" w:eastAsia="Century Gothic" w:hAnsi="Verdana" w:cs="Century Gothic"/>
          <w:i/>
          <w:iCs/>
          <w:sz w:val="20"/>
          <w:szCs w:val="20"/>
        </w:rPr>
        <w:t xml:space="preserve"> </w:t>
      </w:r>
      <w:r w:rsidRPr="005E69AD">
        <w:rPr>
          <w:rFonts w:ascii="Verdana" w:eastAsia="Century Gothic" w:hAnsi="Verdana" w:cs="Century Gothic"/>
          <w:i/>
          <w:iCs/>
          <w:sz w:val="20"/>
          <w:szCs w:val="20"/>
        </w:rPr>
        <w:t>financieros habituales. Esto dificulta la obtención de una muestra representativa</w:t>
      </w:r>
      <w:r>
        <w:rPr>
          <w:rFonts w:ascii="Verdana" w:eastAsia="Century Gothic" w:hAnsi="Verdana" w:cs="Century Gothic"/>
          <w:i/>
          <w:iCs/>
          <w:sz w:val="20"/>
          <w:szCs w:val="20"/>
        </w:rPr>
        <w:t xml:space="preserve"> </w:t>
      </w:r>
      <w:r w:rsidRPr="005E69AD">
        <w:rPr>
          <w:rFonts w:ascii="Verdana" w:eastAsia="Century Gothic" w:hAnsi="Verdana" w:cs="Century Gothic"/>
          <w:i/>
          <w:iCs/>
          <w:sz w:val="20"/>
          <w:szCs w:val="20"/>
        </w:rPr>
        <w:t>para determinar los márgenes de referencia.</w:t>
      </w:r>
    </w:p>
    <w:p w14:paraId="2CDDC996" w14:textId="169730FD" w:rsidR="00A64017" w:rsidRPr="00EA70F7" w:rsidRDefault="005E69AD" w:rsidP="005E69AD">
      <w:pPr>
        <w:tabs>
          <w:tab w:val="left" w:pos="142"/>
          <w:tab w:val="left" w:pos="567"/>
        </w:tabs>
        <w:spacing w:after="0" w:line="240" w:lineRule="auto"/>
        <w:ind w:left="709" w:right="709"/>
        <w:jc w:val="both"/>
        <w:rPr>
          <w:rFonts w:ascii="Verdana" w:eastAsia="Century Gothic" w:hAnsi="Verdana" w:cs="Century Gothic"/>
          <w:i/>
          <w:iCs/>
          <w:sz w:val="20"/>
          <w:szCs w:val="20"/>
        </w:rPr>
      </w:pPr>
      <w:r w:rsidRPr="005E69AD">
        <w:rPr>
          <w:rFonts w:ascii="Verdana" w:eastAsia="Century Gothic" w:hAnsi="Verdana" w:cs="Century Gothic"/>
          <w:i/>
          <w:iCs/>
          <w:sz w:val="20"/>
          <w:szCs w:val="20"/>
        </w:rPr>
        <w:lastRenderedPageBreak/>
        <w:t>Me gustaría saber cómo podemos obtener esta muestra para establecer los rangos</w:t>
      </w:r>
      <w:r>
        <w:rPr>
          <w:rFonts w:ascii="Verdana" w:eastAsia="Century Gothic" w:hAnsi="Verdana" w:cs="Century Gothic"/>
          <w:i/>
          <w:iCs/>
          <w:sz w:val="20"/>
          <w:szCs w:val="20"/>
        </w:rPr>
        <w:t xml:space="preserve"> </w:t>
      </w:r>
      <w:r w:rsidRPr="005E69AD">
        <w:rPr>
          <w:rFonts w:ascii="Verdana" w:eastAsia="Century Gothic" w:hAnsi="Verdana" w:cs="Century Gothic"/>
          <w:i/>
          <w:iCs/>
          <w:sz w:val="20"/>
          <w:szCs w:val="20"/>
        </w:rPr>
        <w:t xml:space="preserve">de evaluación que cumplan con el principio de pluralidad de proponentes. </w:t>
      </w:r>
      <w:r w:rsidR="00A64017"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5B9162F0" w14:textId="1C61C128" w:rsidR="003007B5" w:rsidRDefault="00A64017" w:rsidP="006D7121">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sidR="00B0362B">
        <w:rPr>
          <w:rFonts w:ascii="Verdana" w:eastAsia="Calibri" w:hAnsi="Verdana" w:cs="Arial"/>
          <w:lang w:eastAsia="es-ES"/>
        </w:rPr>
        <w:t xml:space="preserve"> </w:t>
      </w:r>
      <w:r w:rsidR="00B0362B" w:rsidRPr="00B0362B">
        <w:rPr>
          <w:rFonts w:ascii="Verdana" w:eastAsia="Century Gothic" w:hAnsi="Verdana" w:cs="Century Gothic"/>
        </w:rPr>
        <w:t>¿</w:t>
      </w:r>
      <w:r w:rsidR="00685502">
        <w:rPr>
          <w:rFonts w:ascii="Verdana" w:eastAsia="Century Gothic" w:hAnsi="Verdana" w:cs="Century Gothic"/>
        </w:rPr>
        <w:t xml:space="preserve">Como se debe </w:t>
      </w:r>
      <w:r w:rsidR="00685502" w:rsidRPr="00685502">
        <w:rPr>
          <w:rFonts w:ascii="Verdana" w:eastAsia="Century Gothic" w:hAnsi="Verdana" w:cs="Century Gothic"/>
        </w:rPr>
        <w:t xml:space="preserve">fijar umbrales o márgenes financieros como requisitos habilitantes en un proceso competitivo con </w:t>
      </w:r>
      <w:r w:rsidR="009F52CB">
        <w:rPr>
          <w:rFonts w:ascii="Verdana" w:eastAsia="Century Gothic" w:hAnsi="Verdana" w:cs="Century Gothic"/>
        </w:rPr>
        <w:t>una Entidad sin Ánimo de Lucro</w:t>
      </w:r>
      <w:r w:rsidR="00B0362B" w:rsidRPr="00B0362B">
        <w:rPr>
          <w:rFonts w:ascii="Verdana" w:eastAsia="Century Gothic" w:hAnsi="Verdana" w:cs="Century Gothic"/>
        </w:rPr>
        <w:t>?</w:t>
      </w:r>
    </w:p>
    <w:p w14:paraId="14D6ABA1" w14:textId="77777777" w:rsidR="003007B5" w:rsidRDefault="003007B5" w:rsidP="006D7121">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72CA677E" w14:textId="281AC0DC" w:rsidR="00F33245" w:rsidRPr="00F33245" w:rsidRDefault="00222AE3" w:rsidP="00F33245">
            <w:pPr>
              <w:spacing w:after="120" w:line="276" w:lineRule="auto"/>
              <w:jc w:val="both"/>
              <w:rPr>
                <w:rFonts w:ascii="Verdana" w:eastAsia="Arial" w:hAnsi="Verdana" w:cs="Arial"/>
                <w:color w:val="000000"/>
              </w:rPr>
            </w:pPr>
            <w:r>
              <w:rPr>
                <w:rFonts w:ascii="Verdana" w:eastAsia="Arial" w:hAnsi="Verdana" w:cs="Arial"/>
                <w:color w:val="000000"/>
              </w:rPr>
              <w:t xml:space="preserve">        </w:t>
            </w:r>
            <w:r w:rsidR="00F33245">
              <w:rPr>
                <w:rFonts w:ascii="Verdana" w:eastAsia="Arial" w:hAnsi="Verdana" w:cs="Arial"/>
                <w:color w:val="000000"/>
              </w:rPr>
              <w:t xml:space="preserve"> </w:t>
            </w:r>
            <w:r w:rsidR="00F33245" w:rsidRPr="00F33245">
              <w:rPr>
                <w:rFonts w:ascii="Verdana" w:eastAsia="Arial" w:hAnsi="Verdana" w:cs="Arial"/>
                <w:color w:val="000000"/>
              </w:rPr>
              <w:t xml:space="preserve">La contratación pública exige determinar requisitos habilitantes mínimos para garantizar que los proponentes (incluidas las ESAL) sean idóneos para ejecutar el contrato de manera eficiente y eficaz (Ley 1150/2007, Decreto 1082/2015). Estos requisitos, que incluyen la capacidad financiera y organizacional, deben ser adecuados y proporcionales a la naturaleza, valor, </w:t>
            </w:r>
            <w:r w:rsidR="00F33245" w:rsidRPr="00F33245">
              <w:rPr>
                <w:rFonts w:ascii="Verdana" w:eastAsia="Arial" w:hAnsi="Verdana" w:cs="Arial"/>
                <w:color w:val="000000"/>
              </w:rPr>
              <w:lastRenderedPageBreak/>
              <w:t xml:space="preserve">complejidad, plazo, forma de pago y riesgos del contrato. La Agencia Nacional de Contratación Pública </w:t>
            </w:r>
            <w:r w:rsidR="00F33245">
              <w:rPr>
                <w:rFonts w:ascii="Verdana" w:eastAsia="Arial" w:hAnsi="Verdana" w:cs="Arial"/>
                <w:color w:val="000000"/>
              </w:rPr>
              <w:t>-</w:t>
            </w:r>
            <w:r w:rsidR="00F33245" w:rsidRPr="00F33245">
              <w:rPr>
                <w:rFonts w:ascii="Verdana" w:eastAsia="Arial" w:hAnsi="Verdana" w:cs="Arial"/>
                <w:color w:val="000000"/>
              </w:rPr>
              <w:t>Colombia Compra Eficiente</w:t>
            </w:r>
            <w:r w:rsidR="00F33245">
              <w:rPr>
                <w:rFonts w:ascii="Verdana" w:eastAsia="Arial" w:hAnsi="Verdana" w:cs="Arial"/>
                <w:color w:val="000000"/>
              </w:rPr>
              <w:t>-</w:t>
            </w:r>
            <w:r w:rsidR="00F33245" w:rsidRPr="00F33245">
              <w:rPr>
                <w:rFonts w:ascii="Verdana" w:eastAsia="Arial" w:hAnsi="Verdana" w:cs="Arial"/>
                <w:color w:val="000000"/>
              </w:rPr>
              <w:t xml:space="preserve"> </w:t>
            </w:r>
            <w:r w:rsidR="00F33245">
              <w:rPr>
                <w:rFonts w:ascii="Verdana" w:eastAsia="Arial" w:hAnsi="Verdana" w:cs="Arial"/>
                <w:color w:val="000000"/>
              </w:rPr>
              <w:t xml:space="preserve">(ANCP-CCE) ha </w:t>
            </w:r>
            <w:r w:rsidR="00F33245" w:rsidRPr="00F33245">
              <w:rPr>
                <w:rFonts w:ascii="Verdana" w:eastAsia="Arial" w:hAnsi="Verdana" w:cs="Arial"/>
                <w:color w:val="000000"/>
              </w:rPr>
              <w:t>enfatiza</w:t>
            </w:r>
            <w:r w:rsidR="00F33245">
              <w:rPr>
                <w:rFonts w:ascii="Verdana" w:eastAsia="Arial" w:hAnsi="Verdana" w:cs="Arial"/>
                <w:color w:val="000000"/>
              </w:rPr>
              <w:t>do</w:t>
            </w:r>
            <w:r w:rsidR="00F33245" w:rsidRPr="00F33245">
              <w:rPr>
                <w:rFonts w:ascii="Verdana" w:eastAsia="Arial" w:hAnsi="Verdana" w:cs="Arial"/>
                <w:color w:val="000000"/>
              </w:rPr>
              <w:t xml:space="preserve"> que esta definición no debe ser una aplicación mecánica de fórmulas, sino un ejercicio metodológico basado en el Estudio del Sector para evitar limitar injustamente la libre concurrencia.</w:t>
            </w:r>
          </w:p>
          <w:p w14:paraId="17E0F30E" w14:textId="4ACF1289" w:rsidR="00F33245" w:rsidRPr="00F33245" w:rsidRDefault="00F33245" w:rsidP="00F33245">
            <w:pPr>
              <w:spacing w:after="120" w:line="276" w:lineRule="auto"/>
              <w:jc w:val="both"/>
              <w:rPr>
                <w:rFonts w:ascii="Verdana" w:eastAsia="Arial" w:hAnsi="Verdana" w:cs="Arial"/>
                <w:color w:val="000000"/>
              </w:rPr>
            </w:pPr>
            <w:r>
              <w:rPr>
                <w:rFonts w:ascii="Verdana" w:eastAsia="Arial" w:hAnsi="Verdana" w:cs="Arial"/>
                <w:color w:val="000000"/>
              </w:rPr>
              <w:t xml:space="preserve">     </w:t>
            </w:r>
            <w:r w:rsidRPr="00F33245">
              <w:rPr>
                <w:rFonts w:ascii="Verdana" w:eastAsia="Arial" w:hAnsi="Verdana" w:cs="Arial"/>
                <w:color w:val="000000"/>
              </w:rPr>
              <w:t>La entidad estatal tiene la potestad y el deber de definir los márgenes o umbrales para estos indicadores, ya que ni la Guía de Contratación con E</w:t>
            </w:r>
            <w:r>
              <w:rPr>
                <w:rFonts w:ascii="Verdana" w:eastAsia="Arial" w:hAnsi="Verdana" w:cs="Arial"/>
                <w:color w:val="000000"/>
              </w:rPr>
              <w:t>ntidades sin Ánimo de Lucro de la ANCP-CCE</w:t>
            </w:r>
            <w:r w:rsidR="004B682E">
              <w:rPr>
                <w:rStyle w:val="Refdenotaalpie"/>
                <w:rFonts w:ascii="Verdana" w:eastAsia="Arial" w:hAnsi="Verdana" w:cs="Arial"/>
                <w:color w:val="000000"/>
              </w:rPr>
              <w:footnoteReference w:id="1"/>
            </w:r>
            <w:r w:rsidRPr="00F33245">
              <w:rPr>
                <w:rFonts w:ascii="Verdana" w:eastAsia="Arial" w:hAnsi="Verdana" w:cs="Arial"/>
                <w:color w:val="000000"/>
              </w:rPr>
              <w:t xml:space="preserve"> ni las normas generales fijan límites específicos. La Guía de ESAL establece que la entidad debe verificar la "reconocida idoneidad"</w:t>
            </w:r>
            <w:r w:rsidR="004B682E">
              <w:rPr>
                <w:rFonts w:ascii="Verdana" w:eastAsia="Arial" w:hAnsi="Verdana" w:cs="Arial"/>
                <w:color w:val="000000"/>
              </w:rPr>
              <w:t xml:space="preserve"> </w:t>
            </w:r>
            <w:r w:rsidRPr="00F33245">
              <w:rPr>
                <w:rFonts w:ascii="Verdana" w:eastAsia="Arial" w:hAnsi="Verdana" w:cs="Arial"/>
                <w:color w:val="000000"/>
              </w:rPr>
              <w:t>considerando aspectos como la experiencia, la estructura organizacional y los indicadores de eficiencia de la organización. En la práctica, esto implica que la entidad debe establecer criterios objetivos relacionados con los resultados financieros de las ESAL. Para lograr esto, la entidad puede usar como fuentes de información las declaraciones tributarias, los estados financieros o el RUP de las ESAL, considerando siempre que las ESAL no tienen un propósito de generar utilidades.</w:t>
            </w:r>
          </w:p>
          <w:p w14:paraId="7AAD9E7F" w14:textId="77777777" w:rsidR="00685502" w:rsidRDefault="00F33245" w:rsidP="00F33245">
            <w:pPr>
              <w:spacing w:after="120" w:line="276" w:lineRule="auto"/>
              <w:jc w:val="both"/>
              <w:rPr>
                <w:rFonts w:ascii="Verdana" w:eastAsia="Arial" w:hAnsi="Verdana" w:cs="Arial"/>
                <w:color w:val="000000"/>
              </w:rPr>
            </w:pPr>
            <w:r>
              <w:rPr>
                <w:rFonts w:ascii="Verdana" w:eastAsia="Arial" w:hAnsi="Verdana" w:cs="Arial"/>
                <w:color w:val="000000"/>
              </w:rPr>
              <w:t xml:space="preserve">     </w:t>
            </w:r>
            <w:r w:rsidRPr="00F33245">
              <w:rPr>
                <w:rFonts w:ascii="Verdana" w:eastAsia="Arial" w:hAnsi="Verdana" w:cs="Arial"/>
                <w:color w:val="000000"/>
              </w:rPr>
              <w:t xml:space="preserve">Para fijar umbrales, la entidad debe: 1) Basarse en los análisis de datos del sector económico relevante, pudiendo fijar límites más flexibles dados por el comportamiento de las empresas analizadas, como sus valores máximos y mínimos. 2) Analizar la relación de dependencia entre cada indicador y la ejecución del contrato. 3) Si la información de los estados financieros no refleja explícitamente un componente necesario, la entidad puede realizar ejercicios de homologación con otras cuentas o componentes, sustentados en un concepto técnico (ej. tributario). </w:t>
            </w:r>
          </w:p>
          <w:p w14:paraId="0892CD03" w14:textId="0412678E" w:rsidR="00222AE3" w:rsidRDefault="00685502" w:rsidP="00F33245">
            <w:pPr>
              <w:spacing w:after="120" w:line="276" w:lineRule="auto"/>
              <w:jc w:val="both"/>
              <w:rPr>
                <w:rFonts w:ascii="Verdana" w:eastAsia="Calibri" w:hAnsi="Verdana" w:cs="Arial"/>
                <w:color w:val="000000" w:themeColor="text1"/>
              </w:rPr>
            </w:pPr>
            <w:r>
              <w:rPr>
                <w:rFonts w:ascii="Verdana" w:eastAsia="Arial" w:hAnsi="Verdana" w:cs="Arial"/>
                <w:color w:val="000000"/>
              </w:rPr>
              <w:t xml:space="preserve">          En conclusión,</w:t>
            </w:r>
            <w:r w:rsidR="00F33245" w:rsidRPr="00F33245">
              <w:rPr>
                <w:rFonts w:ascii="Verdana" w:eastAsia="Arial" w:hAnsi="Verdana" w:cs="Arial"/>
                <w:color w:val="000000"/>
              </w:rPr>
              <w:t xml:space="preserve"> la Guía y los Manuales de CCE no definen los márgenes, sino que brindan las herramientas y el marco metodológico para que la entidad estatal los determine de forma justificada y proporcionada.</w:t>
            </w:r>
          </w:p>
          <w:p w14:paraId="4FED5380" w14:textId="77777777"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DB4737">
              <w:rPr>
                <w:rFonts w:ascii="Verdana" w:eastAsia="Calibri" w:hAnsi="Verdana" w:cs="Times New Roman"/>
              </w:rPr>
              <w:lastRenderedPageBreak/>
              <w:t>interesados de adoptar la decisión y, en caso de conflicto, a las autoridades judiciales, fiscales y disciplinarias.</w:t>
            </w:r>
            <w:r>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5A8A3F89" w14:textId="389531A8" w:rsidR="00480E56" w:rsidRPr="00886F14" w:rsidRDefault="0090373B" w:rsidP="5C2DF9A3">
      <w:pPr>
        <w:spacing w:after="120" w:line="276" w:lineRule="auto"/>
        <w:jc w:val="both"/>
        <w:rPr>
          <w:rFonts w:ascii="Verdana" w:hAnsi="Verdana" w:cs="Arial"/>
          <w:color w:val="000000" w:themeColor="text1"/>
          <w:lang w:val="es-ES"/>
        </w:rPr>
      </w:pPr>
      <w:bookmarkStart w:id="4" w:name="_Hlk108519028"/>
      <w:r w:rsidRPr="5C2DF9A3">
        <w:rPr>
          <w:rFonts w:ascii="Verdana" w:hAnsi="Verdana" w:cs="Arial"/>
          <w:color w:val="000000" w:themeColor="text1"/>
          <w:lang w:val="es-ES"/>
        </w:rPr>
        <w:t xml:space="preserve">          De manera preliminar es pertinente indicar que l</w:t>
      </w:r>
      <w:r w:rsidR="00480E56" w:rsidRPr="5C2DF9A3">
        <w:rPr>
          <w:rFonts w:ascii="Verdana" w:hAnsi="Verdana" w:cs="Arial"/>
          <w:color w:val="000000" w:themeColor="text1"/>
          <w:lang w:val="es-ES"/>
        </w:rPr>
        <w:t xml:space="preserve">os requisitos habilitantes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00480E56" w:rsidRPr="5C2DF9A3">
        <w:rPr>
          <w:rFonts w:ascii="Verdana" w:hAnsi="Verdana" w:cs="Arial"/>
          <w:i/>
          <w:iCs/>
          <w:color w:val="000000" w:themeColor="text1"/>
          <w:lang w:val="es-ES"/>
        </w:rPr>
        <w:t>criterios de evaluación</w:t>
      </w:r>
      <w:r w:rsidR="00480E56" w:rsidRPr="5C2DF9A3">
        <w:rPr>
          <w:rFonts w:ascii="Verdana" w:hAnsi="Verdana" w:cs="Arial"/>
          <w:color w:val="000000" w:themeColor="text1"/>
          <w:lang w:val="es-ES"/>
        </w:rPr>
        <w:t xml:space="preserve"> –también conocidos como </w:t>
      </w:r>
      <w:r w:rsidR="00480E56" w:rsidRPr="5C2DF9A3">
        <w:rPr>
          <w:rFonts w:ascii="Verdana" w:hAnsi="Verdana" w:cs="Arial"/>
          <w:i/>
          <w:iCs/>
          <w:color w:val="000000" w:themeColor="text1"/>
          <w:lang w:val="es-ES"/>
        </w:rPr>
        <w:t>criterios de calificación</w:t>
      </w:r>
      <w:r w:rsidR="00480E56" w:rsidRPr="5C2DF9A3">
        <w:rPr>
          <w:rFonts w:ascii="Verdana" w:hAnsi="Verdana" w:cs="Arial"/>
          <w:color w:val="000000" w:themeColor="text1"/>
          <w:lang w:val="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4B44E47" w14:textId="3B7E22DA" w:rsidR="00480E56" w:rsidRPr="00886F14" w:rsidRDefault="0090373B" w:rsidP="00480E56">
      <w:pPr>
        <w:spacing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 xml:space="preserve">  </w:t>
      </w:r>
      <w:r w:rsidR="00480E56" w:rsidRPr="00886F14">
        <w:rPr>
          <w:rFonts w:ascii="Verdana" w:hAnsi="Verdana" w:cs="Arial"/>
          <w:color w:val="000000" w:themeColor="text1"/>
          <w:lang w:val="es-ES_tradnl"/>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w:t>
      </w:r>
      <w:r w:rsidR="00480E56">
        <w:rPr>
          <w:rFonts w:ascii="Verdana" w:hAnsi="Verdana" w:cs="Arial"/>
          <w:color w:val="000000" w:themeColor="text1"/>
          <w:lang w:val="es-ES_tradnl"/>
        </w:rPr>
        <w:t>. D</w:t>
      </w:r>
      <w:r w:rsidR="00480E56" w:rsidRPr="00886F14">
        <w:rPr>
          <w:rFonts w:ascii="Verdana" w:hAnsi="Verdana" w:cs="Arial"/>
          <w:color w:val="000000" w:themeColor="text1"/>
          <w:lang w:val="es-ES_tradnl"/>
        </w:rPr>
        <w:t xml:space="preserve">e </w:t>
      </w:r>
      <w:r w:rsidR="00480E56">
        <w:rPr>
          <w:rFonts w:ascii="Verdana" w:hAnsi="Verdana" w:cs="Arial"/>
          <w:color w:val="000000" w:themeColor="text1"/>
          <w:lang w:val="es-ES_tradnl"/>
        </w:rPr>
        <w:t xml:space="preserve">esta </w:t>
      </w:r>
      <w:r w:rsidR="00480E56" w:rsidRPr="00886F14">
        <w:rPr>
          <w:rFonts w:ascii="Verdana" w:hAnsi="Verdana" w:cs="Arial"/>
          <w:color w:val="000000" w:themeColor="text1"/>
          <w:lang w:val="es-ES_tradnl"/>
        </w:rPr>
        <w:t>manera</w:t>
      </w:r>
      <w:r w:rsidR="00480E56">
        <w:rPr>
          <w:rFonts w:ascii="Verdana" w:hAnsi="Verdana" w:cs="Arial"/>
          <w:color w:val="000000" w:themeColor="text1"/>
          <w:lang w:val="es-ES_tradnl"/>
        </w:rPr>
        <w:t>,</w:t>
      </w:r>
      <w:r w:rsidR="00480E56" w:rsidRPr="00886F14">
        <w:rPr>
          <w:rFonts w:ascii="Verdana" w:hAnsi="Verdana" w:cs="Arial"/>
          <w:color w:val="000000" w:themeColor="text1"/>
          <w:lang w:val="es-ES_tradnl"/>
        </w:rPr>
        <w:t xml:space="preserve"> quienes no los reúnan no pueden continuar en el procedimiento de selección, </w:t>
      </w:r>
      <w:r w:rsidR="00480E56">
        <w:rPr>
          <w:rFonts w:ascii="Verdana" w:hAnsi="Verdana" w:cs="Arial"/>
          <w:color w:val="000000" w:themeColor="text1"/>
          <w:lang w:val="es-ES_tradnl"/>
        </w:rPr>
        <w:t>es decir</w:t>
      </w:r>
      <w:r w:rsidR="00480E56" w:rsidRPr="00886F14">
        <w:rPr>
          <w:rFonts w:ascii="Verdana" w:hAnsi="Verdana" w:cs="Arial"/>
          <w:color w:val="000000" w:themeColor="text1"/>
          <w:lang w:val="es-ES_tradnl"/>
        </w:rPr>
        <w:t>, incurren en causal de rechazo. Esto</w:t>
      </w:r>
      <w:r w:rsidR="00480E56">
        <w:rPr>
          <w:rFonts w:ascii="Verdana" w:hAnsi="Verdana" w:cs="Arial"/>
          <w:color w:val="000000" w:themeColor="text1"/>
          <w:lang w:val="es-ES_tradnl"/>
        </w:rPr>
        <w:t>,</w:t>
      </w:r>
      <w:r w:rsidR="00480E56" w:rsidRPr="00886F14">
        <w:rPr>
          <w:rFonts w:ascii="Verdana" w:hAnsi="Verdana" w:cs="Arial"/>
          <w:color w:val="000000" w:themeColor="text1"/>
          <w:lang w:val="es-ES_tradnl"/>
        </w:rPr>
        <w:t xml:space="preserve"> sin perjuicio del derecho que tienen los oferentes de subsanar los defectos que se presenten en la prueba de tales requisitos, de conformidad con el artículo 5, parágrafos 1º al 4º, de la Ley 1150 de 2007.</w:t>
      </w:r>
    </w:p>
    <w:p w14:paraId="142BB5AA" w14:textId="77777777" w:rsidR="00480E56" w:rsidRDefault="00480E56" w:rsidP="00480E56">
      <w:pPr>
        <w:spacing w:after="120" w:line="276" w:lineRule="auto"/>
        <w:ind w:firstLine="708"/>
        <w:jc w:val="both"/>
        <w:rPr>
          <w:rFonts w:ascii="Verdana" w:hAnsi="Verdana" w:cs="Arial"/>
          <w:color w:val="000000" w:themeColor="text1"/>
          <w:lang w:val="es-ES_tradnl"/>
        </w:rPr>
      </w:pPr>
      <w:r w:rsidRPr="00886F14">
        <w:rPr>
          <w:rFonts w:ascii="Verdana" w:hAnsi="Verdana" w:cs="Arial"/>
          <w:color w:val="000000" w:themeColor="text1"/>
          <w:lang w:val="es-ES_tradnl"/>
        </w:rPr>
        <w:t xml:space="preserve">El mencionado artículo dispone que se considera objetiva la selección en la cual la escogencia se haga al ofrecimiento más favorable a la Entidad y a los </w:t>
      </w:r>
      <w:r w:rsidRPr="00886F14">
        <w:rPr>
          <w:rFonts w:ascii="Verdana" w:hAnsi="Verdana" w:cs="Arial"/>
          <w:color w:val="000000" w:themeColor="text1"/>
          <w:lang w:val="es-ES_tradnl"/>
        </w:rPr>
        <w:lastRenderedPageBreak/>
        <w:t>fines que ella busca, sin tener en consideración factores de afecto o de interés y, en general, cualquier clase de motivación subjetiva</w:t>
      </w:r>
      <w:r w:rsidRPr="00886F14">
        <w:rPr>
          <w:rFonts w:ascii="Verdana" w:hAnsi="Verdana" w:cs="Arial"/>
          <w:i/>
          <w:iCs/>
          <w:color w:val="000000" w:themeColor="text1"/>
          <w:lang w:val="es-ES_tradnl"/>
        </w:rPr>
        <w:t>.</w:t>
      </w:r>
      <w:r w:rsidRPr="00886F14">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6BE4F340" w14:textId="77777777" w:rsidR="00480E56" w:rsidRPr="00886F14" w:rsidRDefault="00480E56" w:rsidP="00480E56">
      <w:pPr>
        <w:spacing w:after="0" w:line="276" w:lineRule="auto"/>
        <w:ind w:firstLine="708"/>
        <w:jc w:val="both"/>
        <w:rPr>
          <w:rFonts w:ascii="Verdana" w:hAnsi="Verdana" w:cs="Arial"/>
          <w:color w:val="000000" w:themeColor="text1"/>
          <w:lang w:val="es-ES"/>
        </w:rPr>
      </w:pPr>
      <w:r w:rsidRPr="5D636007">
        <w:rPr>
          <w:rFonts w:ascii="Verdana" w:hAnsi="Verdana" w:cs="Arial"/>
          <w:color w:val="000000" w:themeColor="text1"/>
          <w:lang w:val="es-ES"/>
        </w:rPr>
        <w:t xml:space="preserve">Específicamente, el numeral 1º del referido artículo 5 establece que en los procesos de selección de contratistas serán objeto de verificación, como requisitos habilitantes, </w:t>
      </w:r>
      <w:r w:rsidRPr="5D636007">
        <w:rPr>
          <w:rFonts w:ascii="Verdana" w:hAnsi="Verdana" w:cs="Arial"/>
          <w:i/>
          <w:color w:val="000000" w:themeColor="text1"/>
          <w:lang w:val="es-ES"/>
        </w:rPr>
        <w:t>entre otros</w:t>
      </w:r>
      <w:r w:rsidRPr="5D636007">
        <w:rPr>
          <w:rFonts w:ascii="Verdana" w:hAnsi="Verdana" w:cs="Arial"/>
          <w:color w:val="000000" w:themeColor="text1"/>
          <w:lang w:val="es-ES"/>
        </w:rPr>
        <w:t xml:space="preserve">, los siguientes: i) la capacidad jurídica; </w:t>
      </w:r>
      <w:proofErr w:type="spellStart"/>
      <w:r w:rsidRPr="5D636007">
        <w:rPr>
          <w:rFonts w:ascii="Verdana" w:hAnsi="Verdana" w:cs="Arial"/>
          <w:color w:val="000000" w:themeColor="text1"/>
          <w:lang w:val="es-ES"/>
        </w:rPr>
        <w:t>ii</w:t>
      </w:r>
      <w:proofErr w:type="spellEnd"/>
      <w:r w:rsidRPr="5D636007">
        <w:rPr>
          <w:rFonts w:ascii="Verdana" w:hAnsi="Verdana" w:cs="Arial"/>
          <w:color w:val="000000" w:themeColor="text1"/>
          <w:lang w:val="es-ES"/>
        </w:rPr>
        <w:t>) la experiencia</w:t>
      </w:r>
      <w:r>
        <w:rPr>
          <w:rFonts w:ascii="Verdana" w:hAnsi="Verdana" w:cs="Arial"/>
          <w:color w:val="000000" w:themeColor="text1"/>
          <w:lang w:val="es-ES"/>
        </w:rPr>
        <w:t xml:space="preserve"> – a la que se refiere en su consulta</w:t>
      </w:r>
      <w:r w:rsidRPr="5D636007">
        <w:rPr>
          <w:rFonts w:ascii="Verdana" w:hAnsi="Verdana" w:cs="Arial"/>
          <w:color w:val="000000" w:themeColor="text1"/>
          <w:lang w:val="es-ES"/>
        </w:rPr>
        <w:t xml:space="preserve">; </w:t>
      </w:r>
      <w:proofErr w:type="spellStart"/>
      <w:r w:rsidRPr="5D636007">
        <w:rPr>
          <w:rFonts w:ascii="Verdana" w:hAnsi="Verdana" w:cs="Arial"/>
          <w:color w:val="000000" w:themeColor="text1"/>
          <w:lang w:val="es-ES"/>
        </w:rPr>
        <w:t>iii</w:t>
      </w:r>
      <w:proofErr w:type="spellEnd"/>
      <w:r w:rsidRPr="5D636007">
        <w:rPr>
          <w:rFonts w:ascii="Verdana" w:hAnsi="Verdana" w:cs="Arial"/>
          <w:color w:val="000000" w:themeColor="text1"/>
          <w:lang w:val="es-ES"/>
        </w:rPr>
        <w:t xml:space="preserve">) la capacidad financiera y </w:t>
      </w:r>
      <w:proofErr w:type="spellStart"/>
      <w:r w:rsidRPr="5D636007">
        <w:rPr>
          <w:rFonts w:ascii="Verdana" w:hAnsi="Verdana" w:cs="Arial"/>
          <w:color w:val="000000" w:themeColor="text1"/>
          <w:lang w:val="es-ES"/>
        </w:rPr>
        <w:t>iv</w:t>
      </w:r>
      <w:proofErr w:type="spellEnd"/>
      <w:r w:rsidRPr="5D636007">
        <w:rPr>
          <w:rFonts w:ascii="Verdana" w:hAnsi="Verdana" w:cs="Arial"/>
          <w:color w:val="000000" w:themeColor="text1"/>
          <w:lang w:val="es-ES"/>
        </w:rPr>
        <w:t xml:space="preserve">) la capacidad de organización. En efecto, la normativa citada prescribe lo siguiente: </w:t>
      </w:r>
    </w:p>
    <w:p w14:paraId="4954DCCE" w14:textId="77777777" w:rsidR="00480E56" w:rsidRPr="00886F14" w:rsidRDefault="00480E56" w:rsidP="00480E56">
      <w:pPr>
        <w:spacing w:after="0" w:line="276" w:lineRule="auto"/>
        <w:ind w:firstLine="708"/>
        <w:jc w:val="both"/>
        <w:rPr>
          <w:rFonts w:ascii="Verdana" w:hAnsi="Verdana" w:cs="Arial"/>
          <w:color w:val="000000" w:themeColor="text1"/>
          <w:lang w:val="es-ES_tradnl"/>
        </w:rPr>
      </w:pPr>
    </w:p>
    <w:p w14:paraId="57A79CBB" w14:textId="77777777" w:rsidR="00480E56" w:rsidRPr="00E123D7" w:rsidRDefault="00480E56" w:rsidP="00480E56">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i/>
          <w:color w:val="000000" w:themeColor="text1"/>
          <w:sz w:val="20"/>
          <w:szCs w:val="20"/>
          <w:lang w:val="es-ES_tradnl"/>
        </w:rPr>
        <w:t>“</w:t>
      </w:r>
      <w:r w:rsidRPr="00E123D7">
        <w:rPr>
          <w:rFonts w:ascii="Verdana" w:hAnsi="Verdana" w:cs="Arial"/>
          <w:color w:val="000000" w:themeColor="text1"/>
          <w:sz w:val="20"/>
          <w:szCs w:val="20"/>
          <w:lang w:val="es-ES_tradnl"/>
        </w:rPr>
        <w:t xml:space="preserve">Artículo 5. De la Selección Objetiva. </w:t>
      </w:r>
    </w:p>
    <w:p w14:paraId="5434A03A" w14:textId="77777777" w:rsidR="00480E56" w:rsidRPr="00E123D7" w:rsidRDefault="00480E56" w:rsidP="00480E56">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color w:val="000000" w:themeColor="text1"/>
          <w:sz w:val="20"/>
          <w:szCs w:val="20"/>
          <w:lang w:val="es-ES_tradnl"/>
        </w:rPr>
        <w:t>[…]</w:t>
      </w:r>
    </w:p>
    <w:p w14:paraId="01F3B94D" w14:textId="77777777" w:rsidR="00480E56" w:rsidRPr="00E123D7" w:rsidRDefault="00480E56" w:rsidP="00480E56">
      <w:pPr>
        <w:pStyle w:val="Prrafodelista"/>
        <w:spacing w:after="0" w:line="240" w:lineRule="auto"/>
        <w:ind w:left="709" w:right="709"/>
        <w:jc w:val="both"/>
        <w:rPr>
          <w:rFonts w:ascii="Verdana" w:eastAsia="Calibri" w:hAnsi="Verdana" w:cs="Arial"/>
          <w:color w:val="000000" w:themeColor="text1"/>
          <w:sz w:val="20"/>
          <w:szCs w:val="20"/>
        </w:rPr>
      </w:pPr>
      <w:r w:rsidRPr="00E123D7">
        <w:rPr>
          <w:rFonts w:ascii="Verdana" w:eastAsia="Calibri" w:hAnsi="Verdana"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00E123D7">
        <w:rPr>
          <w:rFonts w:ascii="Verdana" w:eastAsia="Calibri" w:hAnsi="Verdana" w:cs="Arial"/>
          <w:i/>
          <w:color w:val="000000" w:themeColor="text1"/>
          <w:sz w:val="20"/>
          <w:szCs w:val="20"/>
        </w:rPr>
        <w:t>”</w:t>
      </w:r>
      <w:r w:rsidRPr="00E123D7">
        <w:rPr>
          <w:rFonts w:ascii="Verdana" w:eastAsia="Calibri" w:hAnsi="Verdana" w:cs="Arial"/>
          <w:color w:val="000000" w:themeColor="text1"/>
          <w:sz w:val="20"/>
          <w:szCs w:val="20"/>
        </w:rPr>
        <w:t>.</w:t>
      </w:r>
    </w:p>
    <w:p w14:paraId="7E18657B" w14:textId="77777777" w:rsidR="00480E56" w:rsidRPr="00E123D7" w:rsidRDefault="00480E56" w:rsidP="00480E56">
      <w:pPr>
        <w:spacing w:after="0" w:line="276" w:lineRule="auto"/>
        <w:ind w:right="709"/>
        <w:jc w:val="both"/>
        <w:rPr>
          <w:rFonts w:ascii="Verdana" w:eastAsia="Calibri" w:hAnsi="Verdana" w:cs="Arial"/>
          <w:color w:val="000000" w:themeColor="text1"/>
          <w:lang w:val="es-ES_tradnl"/>
        </w:rPr>
      </w:pPr>
    </w:p>
    <w:p w14:paraId="08FA2DD4" w14:textId="77777777" w:rsidR="00480E56" w:rsidRDefault="00480E56" w:rsidP="00480E56">
      <w:pPr>
        <w:spacing w:after="0" w:line="276" w:lineRule="auto"/>
        <w:ind w:firstLine="708"/>
        <w:jc w:val="both"/>
        <w:rPr>
          <w:rFonts w:ascii="Verdana" w:eastAsia="Times New Roman" w:hAnsi="Verdana" w:cs="Arial"/>
          <w:lang w:val="es-ES_tradnl" w:eastAsia="es-MX"/>
        </w:rPr>
      </w:pPr>
      <w:bookmarkStart w:id="5" w:name="_Hlk99547809"/>
      <w:bookmarkStart w:id="6" w:name="_Hlk99546625"/>
      <w:r w:rsidRPr="00C94107">
        <w:rPr>
          <w:rFonts w:ascii="Verdana" w:eastAsia="Times New Roman" w:hAnsi="Verdana" w:cs="Arial"/>
          <w:lang w:val="es-ES_tradnl" w:eastAsia="es-MX"/>
        </w:rPr>
        <w:t xml:space="preserve">La Agencia Nacional de Contratación Pública – Colombia Compra Eficiente ha defendido el carácter </w:t>
      </w:r>
      <w:bookmarkStart w:id="7" w:name="_Hlk99547799"/>
      <w:r w:rsidRPr="00C94107">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5"/>
      <w:bookmarkEnd w:id="7"/>
      <w:r w:rsidRPr="00C94107">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6"/>
      <w:r w:rsidRPr="00C94107">
        <w:rPr>
          <w:rFonts w:ascii="Verdana" w:eastAsia="Times New Roman" w:hAnsi="Verdana" w:cs="Arial"/>
          <w:vertAlign w:val="superscript"/>
          <w:lang w:val="es-ES_tradnl" w:eastAsia="es-MX"/>
        </w:rPr>
        <w:footnoteReference w:id="2"/>
      </w:r>
      <w:r w:rsidRPr="00C94107">
        <w:rPr>
          <w:rFonts w:ascii="Verdana" w:eastAsia="Times New Roman" w:hAnsi="Verdana" w:cs="Arial"/>
          <w:lang w:val="es-ES_tradnl" w:eastAsia="es-MX"/>
        </w:rPr>
        <w:t xml:space="preserve">. </w:t>
      </w:r>
    </w:p>
    <w:p w14:paraId="5EEF71C3" w14:textId="77777777" w:rsidR="0090373B" w:rsidRDefault="0090373B" w:rsidP="00480E56">
      <w:pPr>
        <w:spacing w:after="0" w:line="276" w:lineRule="auto"/>
        <w:ind w:firstLine="708"/>
        <w:jc w:val="both"/>
        <w:rPr>
          <w:rFonts w:ascii="Verdana" w:eastAsia="Times New Roman" w:hAnsi="Verdana" w:cs="Arial"/>
          <w:lang w:val="es-ES_tradnl" w:eastAsia="es-MX"/>
        </w:rPr>
      </w:pPr>
    </w:p>
    <w:p w14:paraId="5A2342F7" w14:textId="7FB18B6B" w:rsidR="0090373B" w:rsidRPr="00D014B6" w:rsidRDefault="0090373B" w:rsidP="0090373B">
      <w:pPr>
        <w:spacing w:after="120" w:line="276" w:lineRule="auto"/>
        <w:ind w:firstLine="708"/>
        <w:jc w:val="both"/>
        <w:rPr>
          <w:rFonts w:ascii="Verdana" w:eastAsia="Calibri" w:hAnsi="Verdana" w:cs="Arial"/>
          <w:color w:val="000000" w:themeColor="text1"/>
        </w:rPr>
      </w:pPr>
      <w:r>
        <w:rPr>
          <w:rFonts w:ascii="Verdana" w:eastAsia="Calibri" w:hAnsi="Verdana" w:cs="Arial"/>
        </w:rPr>
        <w:t>Ahora bien, respecto al problema jurídico planteado, es importante resaltar que t</w:t>
      </w:r>
      <w:r w:rsidRPr="00D014B6">
        <w:rPr>
          <w:rFonts w:ascii="Verdana" w:eastAsia="Calibri" w:hAnsi="Verdana" w:cs="Arial"/>
        </w:rPr>
        <w:t xml:space="preserve">anto la </w:t>
      </w:r>
      <w:r>
        <w:rPr>
          <w:rFonts w:ascii="Verdana" w:eastAsia="Calibri" w:hAnsi="Verdana" w:cs="Arial"/>
        </w:rPr>
        <w:t>L</w:t>
      </w:r>
      <w:r w:rsidRPr="00D014B6">
        <w:rPr>
          <w:rFonts w:ascii="Verdana" w:eastAsia="Calibri" w:hAnsi="Verdana" w:cs="Arial"/>
        </w:rPr>
        <w:t xml:space="preserve">ey 1150 de 2007 como el Decreto 1082 de 2015 exigen determinar unas </w:t>
      </w:r>
      <w:r w:rsidRPr="00D014B6">
        <w:rPr>
          <w:rFonts w:ascii="Verdana" w:eastAsia="Calibri" w:hAnsi="Verdana" w:cs="Arial"/>
          <w:color w:val="000000" w:themeColor="text1"/>
          <w:lang w:val="es-ES_tradnl"/>
        </w:rPr>
        <w:t xml:space="preserve">condiciones mínimas </w:t>
      </w:r>
      <w:r w:rsidRPr="00D014B6">
        <w:rPr>
          <w:rFonts w:ascii="Verdana" w:eastAsia="Calibri" w:hAnsi="Verdana" w:cs="Arial"/>
          <w:color w:val="000000" w:themeColor="text1"/>
        </w:rPr>
        <w:t>de los proponentes</w:t>
      </w:r>
      <w:r>
        <w:rPr>
          <w:rFonts w:ascii="Verdana" w:eastAsia="Calibri" w:hAnsi="Verdana" w:cs="Arial"/>
          <w:color w:val="000000" w:themeColor="text1"/>
        </w:rPr>
        <w:t xml:space="preserve"> (habilitantes)</w:t>
      </w:r>
      <w:r w:rsidRPr="00D014B6">
        <w:rPr>
          <w:rFonts w:ascii="Verdana" w:eastAsia="Calibri" w:hAnsi="Verdana" w:cs="Arial"/>
          <w:color w:val="000000" w:themeColor="text1"/>
        </w:rPr>
        <w:t>, con el fin de asegurar que el contratista tenga las aptitudes necesarias para que la realización del objeto contractual se efectué de manera eficiente y eficaz, respondiendo adecuadamente a la necesidad identificada.</w:t>
      </w:r>
      <w:r>
        <w:rPr>
          <w:rFonts w:ascii="Verdana" w:eastAsia="Calibri" w:hAnsi="Verdana" w:cs="Arial"/>
          <w:color w:val="000000" w:themeColor="text1"/>
        </w:rPr>
        <w:t xml:space="preserve"> E</w:t>
      </w:r>
      <w:r w:rsidRPr="00D014B6">
        <w:rPr>
          <w:rFonts w:ascii="Verdana" w:eastAsia="Calibri" w:hAnsi="Verdana" w:cs="Arial"/>
          <w:color w:val="000000" w:themeColor="text1"/>
        </w:rPr>
        <w:t>stos requisitos deben</w:t>
      </w:r>
      <w:r>
        <w:rPr>
          <w:rFonts w:ascii="Verdana" w:eastAsia="Calibri" w:hAnsi="Verdana" w:cs="Arial"/>
          <w:color w:val="000000" w:themeColor="text1"/>
        </w:rPr>
        <w:t xml:space="preserve"> ser</w:t>
      </w:r>
      <w:r w:rsidRPr="00D014B6">
        <w:rPr>
          <w:rFonts w:ascii="Verdana" w:eastAsia="Calibri" w:hAnsi="Verdana" w:cs="Arial"/>
          <w:color w:val="000000" w:themeColor="text1"/>
        </w:rPr>
        <w:t xml:space="preserve"> establec</w:t>
      </w:r>
      <w:r>
        <w:rPr>
          <w:rFonts w:ascii="Verdana" w:eastAsia="Calibri" w:hAnsi="Verdana" w:cs="Arial"/>
          <w:color w:val="000000" w:themeColor="text1"/>
        </w:rPr>
        <w:t>idos</w:t>
      </w:r>
      <w:r w:rsidRPr="00D014B6">
        <w:rPr>
          <w:rFonts w:ascii="Verdana" w:eastAsia="Calibri" w:hAnsi="Verdana" w:cs="Arial"/>
          <w:color w:val="000000" w:themeColor="text1"/>
        </w:rPr>
        <w:t xml:space="preserve"> de forma adecuada y proporcional a la naturaleza y valor del contrato. Esta proporcionalidad no implica que no se deben exigir ciertos requisitos habilitantes, sino que estos deben tener una relación directa con el objeto del contrato, de suerte que su acreditación sea efectiva para demostrar que el proponente es idóneo para ejecutar el contrato y que los mismos no establezcan condiciones más allá de las necesarias para verificar la idoneidad requerida de los proponentes respecto del objeto ofertado, ya que lo contrario limita la libre concurrencia.</w:t>
      </w:r>
    </w:p>
    <w:p w14:paraId="15CCE61C" w14:textId="067B1AC4" w:rsidR="0090373B" w:rsidRPr="00D014B6"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Particularmente, </w:t>
      </w:r>
      <w:r>
        <w:rPr>
          <w:rFonts w:ascii="Verdana" w:eastAsia="Calibri" w:hAnsi="Verdana" w:cs="Arial"/>
          <w:color w:val="000000" w:themeColor="text1"/>
        </w:rPr>
        <w:t>respecto a los requisitos de capacidad financiera y organizacional a solicitar en los procesos de contratación,</w:t>
      </w:r>
      <w:r w:rsidRPr="00D014B6">
        <w:rPr>
          <w:rFonts w:ascii="Verdana" w:eastAsia="Calibri" w:hAnsi="Verdana" w:cs="Arial"/>
          <w:color w:val="000000" w:themeColor="text1"/>
        </w:rPr>
        <w:t xml:space="preserve"> el </w:t>
      </w:r>
      <w:r w:rsidRPr="00D014B6">
        <w:rPr>
          <w:rFonts w:ascii="Verdana" w:eastAsia="Calibri" w:hAnsi="Verdana" w:cs="Arial"/>
          <w:color w:val="000000" w:themeColor="text1"/>
          <w:lang w:val="es-ES_tradnl"/>
        </w:rPr>
        <w:t>“Manual para determinar y verificar los requisitos habilitantes en los Procesos de Contratación”</w:t>
      </w:r>
      <w:r w:rsidR="00AF5AD6">
        <w:rPr>
          <w:rStyle w:val="Refdenotaalpie"/>
          <w:rFonts w:ascii="Verdana" w:eastAsia="Calibri" w:hAnsi="Verdana" w:cs="Arial"/>
          <w:color w:val="000000" w:themeColor="text1"/>
          <w:lang w:val="es-ES_tradnl"/>
        </w:rPr>
        <w:footnoteReference w:id="3"/>
      </w:r>
      <w:r w:rsidRPr="00D014B6">
        <w:rPr>
          <w:rFonts w:ascii="Verdana" w:eastAsia="Calibri" w:hAnsi="Verdana" w:cs="Arial"/>
          <w:color w:val="000000" w:themeColor="text1"/>
          <w:lang w:val="es-ES_tradnl"/>
        </w:rPr>
        <w:t xml:space="preserve"> expedido por esta Agencia</w:t>
      </w:r>
      <w:r w:rsidRPr="00D014B6">
        <w:rPr>
          <w:rFonts w:ascii="Verdana" w:eastAsia="Calibri" w:hAnsi="Verdana" w:cs="Arial"/>
          <w:color w:val="000000" w:themeColor="text1"/>
        </w:rPr>
        <w:t>, indica que la capacidad financiera</w:t>
      </w:r>
      <w:r>
        <w:rPr>
          <w:rFonts w:ascii="Verdana" w:eastAsia="Calibri" w:hAnsi="Verdana" w:cs="Arial"/>
          <w:color w:val="000000" w:themeColor="text1"/>
        </w:rPr>
        <w:t xml:space="preserve"> y organizacional</w:t>
      </w:r>
      <w:r w:rsidRPr="00D014B6">
        <w:rPr>
          <w:rFonts w:ascii="Verdana" w:eastAsia="Calibri" w:hAnsi="Verdana" w:cs="Arial"/>
          <w:color w:val="000000" w:themeColor="text1"/>
        </w:rPr>
        <w:t xml:space="preserve"> que la entidad requiera para un proceso de contratación “debe ser adecuada y proporcional a la naturaleza, forma de pago, plazo, complejidad, riesgo y al valor del contrato. Además, los requisitos de capacidad financiera deben ser establecidos con fundamento en los estudios del sector, para cuya elaboración se recomienda la aplicación de lo dispuesto en la «Guía para la Elaboración de Estudios de Sector», expedida por esta Agencia”. Así, en atención a la naturaleza del contrato a suscribir y su valor, plazo y forma de pago, la entidad debe hacer uso de los indicadores que considere adecuados respecto del objeto del proceso de contratación. </w:t>
      </w:r>
    </w:p>
    <w:p w14:paraId="70A4749E" w14:textId="63795CC7" w:rsidR="0090373B" w:rsidRPr="00034832"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En este sentido, </w:t>
      </w:r>
      <w:r>
        <w:rPr>
          <w:rFonts w:ascii="Verdana" w:eastAsia="Calibri" w:hAnsi="Verdana" w:cs="Arial"/>
          <w:color w:val="000000" w:themeColor="text1"/>
        </w:rPr>
        <w:t xml:space="preserve">y en el marco de su petición, es importante precisar que definir unos </w:t>
      </w:r>
      <w:r w:rsidR="00885EDB" w:rsidRPr="00885EDB">
        <w:rPr>
          <w:rFonts w:ascii="Verdana" w:eastAsia="Calibri" w:hAnsi="Verdana" w:cs="Arial"/>
          <w:color w:val="000000" w:themeColor="text1"/>
        </w:rPr>
        <w:t>“</w:t>
      </w:r>
      <w:r w:rsidRPr="00885EDB">
        <w:rPr>
          <w:rFonts w:ascii="Verdana" w:eastAsia="Calibri" w:hAnsi="Verdana" w:cs="Arial"/>
          <w:color w:val="000000" w:themeColor="text1"/>
        </w:rPr>
        <w:t xml:space="preserve">indicadores </w:t>
      </w:r>
      <w:r w:rsidRPr="00885EDB">
        <w:rPr>
          <w:rFonts w:ascii="Verdana" w:hAnsi="Verdana"/>
        </w:rPr>
        <w:t>mínimos de participación en un proceso</w:t>
      </w:r>
      <w:r w:rsidR="00885EDB" w:rsidRPr="00885EDB">
        <w:rPr>
          <w:rFonts w:ascii="Verdana" w:hAnsi="Verdana"/>
        </w:rPr>
        <w:t>”</w:t>
      </w:r>
      <w:r w:rsidR="00885EDB">
        <w:rPr>
          <w:rFonts w:ascii="Verdana" w:hAnsi="Verdana"/>
          <w:b/>
          <w:bCs/>
        </w:rPr>
        <w:t xml:space="preserve"> </w:t>
      </w:r>
      <w:r>
        <w:rPr>
          <w:rFonts w:ascii="Verdana" w:hAnsi="Verdana"/>
        </w:rPr>
        <w:t xml:space="preserve">desborda las atribuciones de la Agencia la cual </w:t>
      </w:r>
      <w:r w:rsidRPr="00E7389F">
        <w:rPr>
          <w:rFonts w:ascii="Verdana" w:hAnsi="Verdana"/>
          <w:lang w:val="es-ES"/>
        </w:rPr>
        <w:t>solo tiene competencia para responder consultas sobre la aplicación de normas de carácter general en materia de compras y contratación pública</w:t>
      </w:r>
      <w:r>
        <w:rPr>
          <w:rFonts w:ascii="Verdana" w:hAnsi="Verdana"/>
          <w:lang w:val="es-ES"/>
        </w:rPr>
        <w:t xml:space="preserve">, esto teniendo en cuenta que la definición de los </w:t>
      </w:r>
      <w:r>
        <w:rPr>
          <w:rFonts w:ascii="Verdana" w:hAnsi="Verdana"/>
          <w:lang w:val="es-ES"/>
        </w:rPr>
        <w:lastRenderedPageBreak/>
        <w:t>requisitos de capacidad financiera y organizacional, obedece a un ejercicio con rigor metodológico en el cual se deben considerar condiciones específicas del proceso de contratación: tipo de bien o servicio, presupuesto, complejidad, plazo de ejecución, condiciones de pago, riesgos, entre otros.</w:t>
      </w:r>
    </w:p>
    <w:p w14:paraId="701AD74B" w14:textId="26A89F5F" w:rsidR="0090373B" w:rsidRPr="00D014B6"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Sin </w:t>
      </w:r>
      <w:r w:rsidR="00885EDB">
        <w:rPr>
          <w:rFonts w:ascii="Verdana" w:eastAsia="Calibri" w:hAnsi="Verdana" w:cs="Arial"/>
          <w:color w:val="000000" w:themeColor="text1"/>
        </w:rPr>
        <w:t>embargo,</w:t>
      </w:r>
      <w:r>
        <w:rPr>
          <w:rFonts w:ascii="Verdana" w:eastAsia="Calibri" w:hAnsi="Verdana" w:cs="Arial"/>
          <w:color w:val="000000" w:themeColor="text1"/>
        </w:rPr>
        <w:t xml:space="preserve"> es importante reiterar que </w:t>
      </w:r>
      <w:r w:rsidRPr="00D014B6">
        <w:rPr>
          <w:rFonts w:ascii="Verdana" w:eastAsia="Calibri" w:hAnsi="Verdana" w:cs="Arial"/>
          <w:color w:val="000000" w:themeColor="text1"/>
        </w:rPr>
        <w:t xml:space="preserve">la exigencia de </w:t>
      </w:r>
      <w:r>
        <w:rPr>
          <w:rFonts w:ascii="Verdana" w:eastAsia="Calibri" w:hAnsi="Verdana" w:cs="Arial"/>
          <w:color w:val="000000" w:themeColor="text1"/>
        </w:rPr>
        <w:t>los requisitos de</w:t>
      </w:r>
      <w:r w:rsidRPr="00D014B6">
        <w:rPr>
          <w:rFonts w:ascii="Verdana" w:eastAsia="Calibri" w:hAnsi="Verdana" w:cs="Arial"/>
          <w:color w:val="000000" w:themeColor="text1"/>
        </w:rPr>
        <w:t xml:space="preserve"> capacidad financiera y organizaci</w:t>
      </w:r>
      <w:r>
        <w:rPr>
          <w:rFonts w:ascii="Verdana" w:eastAsia="Calibri" w:hAnsi="Verdana" w:cs="Arial"/>
          <w:color w:val="000000" w:themeColor="text1"/>
        </w:rPr>
        <w:t>onal</w:t>
      </w:r>
      <w:r w:rsidRPr="00D014B6">
        <w:rPr>
          <w:rFonts w:ascii="Verdana" w:eastAsia="Calibri" w:hAnsi="Verdana" w:cs="Arial"/>
          <w:color w:val="000000" w:themeColor="text1"/>
        </w:rPr>
        <w:t xml:space="preserve"> debe responder a criterios de razonabilidad y proporcionalidad, de tal manera que dichos requisitos deben establecerse en función del alcance y la naturaleza específica del objeto a contratar. </w:t>
      </w:r>
    </w:p>
    <w:p w14:paraId="50C248DD" w14:textId="23BB36E4" w:rsidR="0090373B"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Para tales efectos, el </w:t>
      </w:r>
      <w:r w:rsidRPr="00885EDB">
        <w:rPr>
          <w:rFonts w:ascii="Verdana" w:eastAsia="Calibri" w:hAnsi="Verdana" w:cs="Arial"/>
          <w:color w:val="000000" w:themeColor="text1"/>
          <w:lang w:val="es-ES_tradnl"/>
        </w:rPr>
        <w:t>“Manual para determinar y verificar los requisitos habilitantes en los Procesos de Contratación”,</w:t>
      </w:r>
      <w:r w:rsidRPr="00D014B6">
        <w:rPr>
          <w:rFonts w:ascii="Verdana" w:eastAsia="Calibri" w:hAnsi="Verdana" w:cs="Arial"/>
          <w:color w:val="000000" w:themeColor="text1"/>
          <w:lang w:val="es-ES_tradnl"/>
        </w:rPr>
        <w:t xml:space="preserve"> señala que “</w:t>
      </w:r>
      <w:r w:rsidRPr="00D014B6">
        <w:rPr>
          <w:rFonts w:ascii="Verdana" w:eastAsia="Calibri" w:hAnsi="Verdana" w:cs="Arial"/>
          <w:color w:val="000000" w:themeColor="text1"/>
        </w:rPr>
        <w:t>La Entidad Estatal debe determinar los indicadores de capacidad financiera y organizacional, así como la relación de dependencia entre cada indicador y la ejecución del contrato. Entre más fuerte sea esta relación, más rigurosos deben ser los análisis de datos para establecer los límites de los requisitos habilitantes y los indicadores previstos deben ser más exigentes</w:t>
      </w:r>
      <w:r>
        <w:rPr>
          <w:rFonts w:ascii="Verdana" w:eastAsia="Calibri" w:hAnsi="Verdana" w:cs="Arial"/>
          <w:color w:val="000000" w:themeColor="text1"/>
        </w:rPr>
        <w:t xml:space="preserve">, por lo cual, </w:t>
      </w:r>
      <w:r w:rsidRPr="00D5142D">
        <w:rPr>
          <w:rFonts w:ascii="Verdana" w:eastAsia="Calibri" w:hAnsi="Verdana" w:cs="Arial"/>
          <w:color w:val="000000" w:themeColor="text1"/>
        </w:rPr>
        <w:t>no es suficiente la aplicación mecánica de fórmulas financieras, pues deben conocer cada indicador, sus fórmulas de cálculo y su interpretación.</w:t>
      </w:r>
      <w:r w:rsidRPr="00D014B6">
        <w:rPr>
          <w:rFonts w:ascii="Verdana" w:eastAsia="Calibri" w:hAnsi="Verdana" w:cs="Arial"/>
          <w:color w:val="000000" w:themeColor="text1"/>
        </w:rPr>
        <w:t xml:space="preserve"> </w:t>
      </w:r>
      <w:r w:rsidRPr="00D014B6">
        <w:rPr>
          <w:rFonts w:ascii="Verdana" w:eastAsia="Calibri" w:hAnsi="Verdana" w:cs="Arial"/>
        </w:rPr>
        <w:t xml:space="preserve">[…] </w:t>
      </w:r>
      <w:r w:rsidRPr="00D014B6">
        <w:rPr>
          <w:rFonts w:ascii="Verdana" w:eastAsia="Calibri" w:hAnsi="Verdana" w:cs="Arial"/>
          <w:color w:val="000000" w:themeColor="text1"/>
        </w:rPr>
        <w:t xml:space="preserve">Para ello, la Entidad Estatal puede fijar límites más </w:t>
      </w:r>
      <w:r w:rsidRPr="00D014B6">
        <w:rPr>
          <w:rFonts w:ascii="Verdana" w:eastAsia="Calibri" w:hAnsi="Verdana" w:cs="Arial"/>
          <w:i/>
          <w:iCs/>
          <w:color w:val="000000" w:themeColor="text1"/>
        </w:rPr>
        <w:t>flexibles</w:t>
      </w:r>
      <w:r w:rsidRPr="00D014B6">
        <w:rPr>
          <w:rFonts w:ascii="Verdana" w:eastAsia="Calibri" w:hAnsi="Verdana" w:cs="Arial"/>
          <w:color w:val="000000" w:themeColor="text1"/>
        </w:rPr>
        <w:t xml:space="preserve"> dados por el comportamiento del sector económico estudiando, por ejemplo, los valores máximos y mínimos del indicador para las empresas objeto de análisis”. </w:t>
      </w:r>
    </w:p>
    <w:p w14:paraId="4872206C" w14:textId="03B19195" w:rsidR="0090373B"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Ahora, y con relación a los requisitos de capacidad financiera y organizacional acotados a Entidades Sin Ánimo de Lucro, es importante resaltar elementos particulares a los anteriormente indicados, conforme con </w:t>
      </w:r>
      <w:proofErr w:type="gramStart"/>
      <w:r>
        <w:rPr>
          <w:rFonts w:ascii="Verdana" w:eastAsia="Calibri" w:hAnsi="Verdana" w:cs="Arial"/>
          <w:color w:val="000000" w:themeColor="text1"/>
        </w:rPr>
        <w:t>los definido</w:t>
      </w:r>
      <w:proofErr w:type="gramEnd"/>
      <w:r>
        <w:rPr>
          <w:rFonts w:ascii="Verdana" w:eastAsia="Calibri" w:hAnsi="Verdana" w:cs="Arial"/>
          <w:color w:val="000000" w:themeColor="text1"/>
        </w:rPr>
        <w:t xml:space="preserve"> en la </w:t>
      </w:r>
      <w:r w:rsidRPr="00885EDB">
        <w:rPr>
          <w:rFonts w:ascii="Verdana" w:eastAsia="Calibri" w:hAnsi="Verdana" w:cs="Arial"/>
          <w:color w:val="000000" w:themeColor="text1"/>
        </w:rPr>
        <w:t>“Guía para la contratación con entidades sin ánimo de lucro y de reconocida idoneidad”.</w:t>
      </w:r>
      <w:r>
        <w:rPr>
          <w:rFonts w:ascii="Verdana" w:eastAsia="Calibri" w:hAnsi="Verdana" w:cs="Arial"/>
          <w:color w:val="000000" w:themeColor="text1"/>
        </w:rPr>
        <w:t xml:space="preserve"> </w:t>
      </w:r>
    </w:p>
    <w:p w14:paraId="5D52BCC7" w14:textId="77777777" w:rsidR="0090373B" w:rsidRPr="00FE3F0C"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el marco de la mencionada Guía, y sustentado en lo</w:t>
      </w:r>
      <w:r w:rsidRPr="00FE3F0C">
        <w:rPr>
          <w:rFonts w:ascii="Verdana" w:eastAsia="Calibri" w:hAnsi="Verdana" w:cs="Arial"/>
          <w:color w:val="000000" w:themeColor="text1"/>
        </w:rPr>
        <w:t xml:space="preserve"> dispuesto en el</w:t>
      </w:r>
      <w:r>
        <w:rPr>
          <w:rFonts w:ascii="Verdana" w:eastAsia="Calibri" w:hAnsi="Verdana" w:cs="Arial"/>
          <w:color w:val="000000" w:themeColor="text1"/>
        </w:rPr>
        <w:t xml:space="preserve"> </w:t>
      </w:r>
      <w:r w:rsidRPr="00FE3F0C">
        <w:rPr>
          <w:rFonts w:ascii="Verdana" w:eastAsia="Calibri" w:hAnsi="Verdana" w:cs="Arial"/>
          <w:color w:val="000000" w:themeColor="text1"/>
        </w:rPr>
        <w:t xml:space="preserve">en artículo 3 </w:t>
      </w:r>
      <w:r>
        <w:rPr>
          <w:rFonts w:ascii="Verdana" w:eastAsia="Calibri" w:hAnsi="Verdana" w:cs="Arial"/>
          <w:color w:val="000000" w:themeColor="text1"/>
        </w:rPr>
        <w:t xml:space="preserve">del </w:t>
      </w:r>
      <w:r w:rsidRPr="00FE3F0C">
        <w:rPr>
          <w:rFonts w:ascii="Verdana" w:eastAsia="Calibri" w:hAnsi="Verdana" w:cs="Arial"/>
          <w:color w:val="000000" w:themeColor="text1"/>
        </w:rPr>
        <w:t>Decreto 092 de 2017, Colombia Compra Eficiente</w:t>
      </w:r>
      <w:r>
        <w:rPr>
          <w:rFonts w:ascii="Verdana" w:eastAsia="Calibri" w:hAnsi="Verdana" w:cs="Arial"/>
          <w:color w:val="000000" w:themeColor="text1"/>
        </w:rPr>
        <w:t xml:space="preserve"> </w:t>
      </w:r>
      <w:r w:rsidRPr="00FE3F0C">
        <w:rPr>
          <w:rFonts w:ascii="Verdana" w:eastAsia="Calibri" w:hAnsi="Verdana" w:cs="Arial"/>
          <w:color w:val="000000" w:themeColor="text1"/>
        </w:rPr>
        <w:t>establec</w:t>
      </w:r>
      <w:r>
        <w:rPr>
          <w:rFonts w:ascii="Verdana" w:eastAsia="Calibri" w:hAnsi="Verdana" w:cs="Arial"/>
          <w:color w:val="000000" w:themeColor="text1"/>
        </w:rPr>
        <w:t>ió</w:t>
      </w:r>
      <w:r w:rsidRPr="00FE3F0C">
        <w:rPr>
          <w:rFonts w:ascii="Verdana" w:eastAsia="Calibri" w:hAnsi="Verdana" w:cs="Arial"/>
          <w:color w:val="000000" w:themeColor="text1"/>
        </w:rPr>
        <w:t xml:space="preserve"> las pautas y criterios para acreditar la reconocida idoneidad de las entidades sin ánimo de</w:t>
      </w:r>
      <w:r>
        <w:rPr>
          <w:rFonts w:ascii="Verdana" w:eastAsia="Calibri" w:hAnsi="Verdana" w:cs="Arial"/>
          <w:color w:val="000000" w:themeColor="text1"/>
        </w:rPr>
        <w:t xml:space="preserve"> </w:t>
      </w:r>
      <w:r w:rsidRPr="00FE3F0C">
        <w:rPr>
          <w:rFonts w:ascii="Verdana" w:eastAsia="Calibri" w:hAnsi="Verdana" w:cs="Arial"/>
          <w:color w:val="000000" w:themeColor="text1"/>
        </w:rPr>
        <w:t xml:space="preserve">lucro, </w:t>
      </w:r>
      <w:r>
        <w:rPr>
          <w:rFonts w:ascii="Verdana" w:eastAsia="Calibri" w:hAnsi="Verdana" w:cs="Arial"/>
          <w:color w:val="000000" w:themeColor="text1"/>
        </w:rPr>
        <w:t>las cuales son de</w:t>
      </w:r>
      <w:r w:rsidRPr="00FE3F0C">
        <w:rPr>
          <w:rFonts w:ascii="Verdana" w:eastAsia="Calibri" w:hAnsi="Verdana" w:cs="Arial"/>
          <w:color w:val="000000" w:themeColor="text1"/>
        </w:rPr>
        <w:t xml:space="preserve"> obligatorio cumplimiento</w:t>
      </w:r>
      <w:r>
        <w:rPr>
          <w:rFonts w:ascii="Verdana" w:eastAsia="Calibri" w:hAnsi="Verdana" w:cs="Arial"/>
          <w:color w:val="000000" w:themeColor="text1"/>
        </w:rPr>
        <w:t xml:space="preserve"> por parte de las Entidades.</w:t>
      </w:r>
    </w:p>
    <w:p w14:paraId="4A210D90" w14:textId="77777777" w:rsidR="0090373B"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sidRPr="00164D42">
        <w:rPr>
          <w:rFonts w:ascii="Verdana" w:eastAsia="Calibri" w:hAnsi="Verdana" w:cs="Arial"/>
          <w:color w:val="000000" w:themeColor="text1"/>
        </w:rPr>
        <w:t>De acuerdo con la Guía “</w:t>
      </w:r>
      <w:r w:rsidRPr="00164D42">
        <w:rPr>
          <w:rFonts w:ascii="Verdana" w:eastAsia="Calibri" w:hAnsi="Verdana" w:cs="Arial"/>
          <w:i/>
          <w:iCs/>
          <w:color w:val="000000" w:themeColor="text1"/>
        </w:rPr>
        <w:t>La Entidad Estatal debe tener en cuenta los atributos de la ESAL para hacer una valoración sobre su reconocida idoneidad. Para el efecto debe considerar los siguientes aspectos y fijarlos fundamentando su relación con el objeto del Proceso de Contratación, su complejidad y la cantidad de recursos comprometidos por la Entidad Estatal</w:t>
      </w:r>
      <w:r>
        <w:rPr>
          <w:rFonts w:ascii="Verdana" w:eastAsia="Calibri" w:hAnsi="Verdana" w:cs="Arial"/>
          <w:color w:val="000000" w:themeColor="text1"/>
        </w:rPr>
        <w:t>”</w:t>
      </w:r>
      <w:r w:rsidRPr="00164D42">
        <w:rPr>
          <w:rFonts w:ascii="Verdana" w:eastAsia="Calibri" w:hAnsi="Verdana" w:cs="Arial"/>
          <w:color w:val="000000" w:themeColor="text1"/>
        </w:rPr>
        <w:t>.</w:t>
      </w:r>
      <w:r>
        <w:rPr>
          <w:rFonts w:ascii="Verdana" w:eastAsia="Calibri" w:hAnsi="Verdana" w:cs="Arial"/>
          <w:color w:val="000000" w:themeColor="text1"/>
        </w:rPr>
        <w:t xml:space="preserve"> </w:t>
      </w:r>
      <w:proofErr w:type="gramStart"/>
      <w:r>
        <w:rPr>
          <w:rFonts w:ascii="Verdana" w:eastAsia="Calibri" w:hAnsi="Verdana" w:cs="Arial"/>
          <w:color w:val="000000" w:themeColor="text1"/>
        </w:rPr>
        <w:t>Los aspectos a considerar</w:t>
      </w:r>
      <w:proofErr w:type="gramEnd"/>
      <w:r>
        <w:rPr>
          <w:rFonts w:ascii="Verdana" w:eastAsia="Calibri" w:hAnsi="Verdana" w:cs="Arial"/>
          <w:color w:val="000000" w:themeColor="text1"/>
        </w:rPr>
        <w:t xml:space="preserve"> por parte de las Entidades para establecer la idoneidad de la ESAL </w:t>
      </w:r>
      <w:r>
        <w:rPr>
          <w:rFonts w:ascii="Verdana" w:eastAsia="Calibri" w:hAnsi="Verdana" w:cs="Arial"/>
          <w:color w:val="000000" w:themeColor="text1"/>
        </w:rPr>
        <w:lastRenderedPageBreak/>
        <w:t>definidos por la Guía son los siguientes:</w:t>
      </w:r>
    </w:p>
    <w:p w14:paraId="5EF0C64C" w14:textId="77777777" w:rsidR="0090373B" w:rsidRPr="00884D33" w:rsidRDefault="0090373B" w:rsidP="0090373B">
      <w:pPr>
        <w:pStyle w:val="Prrafodelista"/>
        <w:widowControl w:val="0"/>
        <w:numPr>
          <w:ilvl w:val="0"/>
          <w:numId w:val="21"/>
        </w:numPr>
        <w:autoSpaceDE w:val="0"/>
        <w:autoSpaceDN w:val="0"/>
        <w:spacing w:after="120" w:line="276" w:lineRule="auto"/>
        <w:jc w:val="both"/>
        <w:rPr>
          <w:rFonts w:ascii="Verdana" w:eastAsia="Calibri" w:hAnsi="Verdana" w:cs="Arial"/>
          <w:color w:val="000000" w:themeColor="text1"/>
        </w:rPr>
      </w:pPr>
      <w:r w:rsidRPr="00884D33">
        <w:rPr>
          <w:rFonts w:ascii="Verdana" w:eastAsia="Calibri" w:hAnsi="Verdana" w:cs="Arial"/>
          <w:color w:val="000000" w:themeColor="text1"/>
        </w:rPr>
        <w:t>Correspondencia del objeto de la entidad privada sin ánimo de lucro y el programa o actividad prevista en el plan de desarrollo.</w:t>
      </w:r>
    </w:p>
    <w:p w14:paraId="55F43E54" w14:textId="77777777" w:rsidR="0090373B" w:rsidRDefault="0090373B" w:rsidP="0090373B">
      <w:pPr>
        <w:pStyle w:val="Prrafodelista"/>
        <w:widowControl w:val="0"/>
        <w:numPr>
          <w:ilvl w:val="0"/>
          <w:numId w:val="21"/>
        </w:numPr>
        <w:autoSpaceDE w:val="0"/>
        <w:autoSpaceDN w:val="0"/>
        <w:spacing w:after="120" w:line="276" w:lineRule="auto"/>
        <w:jc w:val="both"/>
        <w:rPr>
          <w:rFonts w:ascii="Verdana" w:eastAsia="Calibri" w:hAnsi="Verdana" w:cs="Arial"/>
          <w:color w:val="000000" w:themeColor="text1"/>
        </w:rPr>
      </w:pPr>
      <w:r w:rsidRPr="00884D33">
        <w:rPr>
          <w:rFonts w:ascii="Verdana" w:eastAsia="Calibri" w:hAnsi="Verdana" w:cs="Arial"/>
          <w:color w:val="000000" w:themeColor="text1"/>
        </w:rPr>
        <w:t>Capacidad del personal de la entidad privada sin ánimo de lucro</w:t>
      </w:r>
      <w:r>
        <w:rPr>
          <w:rFonts w:ascii="Verdana" w:eastAsia="Calibri" w:hAnsi="Verdana" w:cs="Arial"/>
          <w:color w:val="000000" w:themeColor="text1"/>
        </w:rPr>
        <w:t>.</w:t>
      </w:r>
    </w:p>
    <w:p w14:paraId="16080BDD" w14:textId="77777777" w:rsidR="0090373B" w:rsidRDefault="0090373B" w:rsidP="0090373B">
      <w:pPr>
        <w:pStyle w:val="Prrafodelista"/>
        <w:widowControl w:val="0"/>
        <w:numPr>
          <w:ilvl w:val="0"/>
          <w:numId w:val="21"/>
        </w:numPr>
        <w:autoSpaceDE w:val="0"/>
        <w:autoSpaceDN w:val="0"/>
        <w:spacing w:after="120" w:line="276" w:lineRule="auto"/>
        <w:jc w:val="both"/>
        <w:rPr>
          <w:rFonts w:ascii="Verdana" w:eastAsia="Calibri" w:hAnsi="Verdana" w:cs="Arial"/>
          <w:color w:val="000000" w:themeColor="text1"/>
        </w:rPr>
      </w:pPr>
      <w:r w:rsidRPr="006E36B7">
        <w:rPr>
          <w:rFonts w:ascii="Verdana" w:eastAsia="Calibri" w:hAnsi="Verdana" w:cs="Arial"/>
          <w:color w:val="000000" w:themeColor="text1"/>
        </w:rPr>
        <w:t>Experiencia</w:t>
      </w:r>
      <w:r>
        <w:rPr>
          <w:rFonts w:ascii="Verdana" w:eastAsia="Calibri" w:hAnsi="Verdana" w:cs="Arial"/>
          <w:color w:val="000000" w:themeColor="text1"/>
        </w:rPr>
        <w:t>.</w:t>
      </w:r>
    </w:p>
    <w:p w14:paraId="4DBBCD9D" w14:textId="77777777" w:rsidR="0090373B" w:rsidRDefault="0090373B" w:rsidP="0090373B">
      <w:pPr>
        <w:pStyle w:val="Prrafodelista"/>
        <w:widowControl w:val="0"/>
        <w:numPr>
          <w:ilvl w:val="0"/>
          <w:numId w:val="21"/>
        </w:numPr>
        <w:autoSpaceDE w:val="0"/>
        <w:autoSpaceDN w:val="0"/>
        <w:spacing w:after="120" w:line="276" w:lineRule="auto"/>
        <w:jc w:val="both"/>
        <w:rPr>
          <w:rFonts w:ascii="Verdana" w:eastAsia="Calibri" w:hAnsi="Verdana" w:cs="Arial"/>
          <w:color w:val="000000" w:themeColor="text1"/>
        </w:rPr>
      </w:pPr>
      <w:r w:rsidRPr="006E36B7">
        <w:rPr>
          <w:rFonts w:ascii="Verdana" w:eastAsia="Calibri" w:hAnsi="Verdana" w:cs="Arial"/>
          <w:color w:val="000000" w:themeColor="text1"/>
        </w:rPr>
        <w:t>Estructura organizacional</w:t>
      </w:r>
      <w:r>
        <w:rPr>
          <w:rFonts w:ascii="Verdana" w:eastAsia="Calibri" w:hAnsi="Verdana" w:cs="Arial"/>
          <w:color w:val="000000" w:themeColor="text1"/>
        </w:rPr>
        <w:t>.</w:t>
      </w:r>
    </w:p>
    <w:p w14:paraId="38CBDFF2" w14:textId="77777777" w:rsidR="0090373B" w:rsidRDefault="0090373B" w:rsidP="0090373B">
      <w:pPr>
        <w:pStyle w:val="Prrafodelista"/>
        <w:widowControl w:val="0"/>
        <w:numPr>
          <w:ilvl w:val="0"/>
          <w:numId w:val="21"/>
        </w:numPr>
        <w:autoSpaceDE w:val="0"/>
        <w:autoSpaceDN w:val="0"/>
        <w:spacing w:after="120" w:line="276" w:lineRule="auto"/>
        <w:jc w:val="both"/>
        <w:rPr>
          <w:rFonts w:ascii="Verdana" w:eastAsia="Calibri" w:hAnsi="Verdana" w:cs="Arial"/>
          <w:color w:val="000000" w:themeColor="text1"/>
        </w:rPr>
      </w:pPr>
      <w:r w:rsidRPr="006E36B7">
        <w:rPr>
          <w:rFonts w:ascii="Verdana" w:eastAsia="Calibri" w:hAnsi="Verdana" w:cs="Arial"/>
          <w:color w:val="000000" w:themeColor="text1"/>
        </w:rPr>
        <w:t>Indicadores de la eficiencia de la organización</w:t>
      </w:r>
      <w:r>
        <w:rPr>
          <w:rFonts w:ascii="Verdana" w:eastAsia="Calibri" w:hAnsi="Verdana" w:cs="Arial"/>
          <w:color w:val="000000" w:themeColor="text1"/>
        </w:rPr>
        <w:t>.</w:t>
      </w:r>
    </w:p>
    <w:p w14:paraId="005B0D93" w14:textId="77777777" w:rsidR="0090373B" w:rsidRDefault="0090373B" w:rsidP="0090373B">
      <w:pPr>
        <w:pStyle w:val="Prrafodelista"/>
        <w:widowControl w:val="0"/>
        <w:numPr>
          <w:ilvl w:val="0"/>
          <w:numId w:val="21"/>
        </w:numPr>
        <w:autoSpaceDE w:val="0"/>
        <w:autoSpaceDN w:val="0"/>
        <w:spacing w:after="120" w:line="276" w:lineRule="auto"/>
        <w:jc w:val="both"/>
        <w:rPr>
          <w:rFonts w:ascii="Verdana" w:eastAsia="Calibri" w:hAnsi="Verdana" w:cs="Arial"/>
          <w:color w:val="000000" w:themeColor="text1"/>
        </w:rPr>
      </w:pPr>
      <w:r w:rsidRPr="008E10FD">
        <w:rPr>
          <w:rFonts w:ascii="Verdana" w:eastAsia="Calibri" w:hAnsi="Verdana" w:cs="Arial"/>
          <w:color w:val="000000" w:themeColor="text1"/>
        </w:rPr>
        <w:t>Reputación</w:t>
      </w:r>
      <w:r>
        <w:rPr>
          <w:rFonts w:ascii="Verdana" w:eastAsia="Calibri" w:hAnsi="Verdana" w:cs="Arial"/>
          <w:color w:val="000000" w:themeColor="text1"/>
        </w:rPr>
        <w:t>.</w:t>
      </w:r>
    </w:p>
    <w:p w14:paraId="5324DD66" w14:textId="77777777" w:rsidR="0090373B" w:rsidRPr="0090373B"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sidRPr="0090373B">
        <w:rPr>
          <w:rFonts w:ascii="Verdana" w:eastAsia="Calibri" w:hAnsi="Verdana" w:cs="Arial"/>
          <w:color w:val="000000" w:themeColor="text1"/>
        </w:rPr>
        <w:t>De forma puntual, los componentes D. Estructura Organizacional y E. Indicadores de la eficiencia de la organización consideran la verificación de la idoneidad de la ESAL desde una perspectiva financiera, por un lado, con el componente D. Estructura Organizacional (se busca que la Entidad Estatal debe establezca requerimientos que acrediten la estructura organizacional de la ESAL, atendiendo al programa o actividad prevista en el plan de desarrollo), y por otro lado, con el componente E. Indicadores de la eficiencia de la organización (se busca que la Entidad Estatal establezca criterios objetivos relacionados con los resultados financieros de las entidades sin ánimo de lucro, así comparar su idoneidad y contratar con la ESAL que muestre resultados sólidos).</w:t>
      </w:r>
    </w:p>
    <w:p w14:paraId="484E81D9" w14:textId="77777777" w:rsidR="0090373B"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Adicionalmente, la Guía recomienda que las </w:t>
      </w:r>
      <w:r w:rsidRPr="00597497">
        <w:rPr>
          <w:rFonts w:ascii="Verdana" w:eastAsia="Calibri" w:hAnsi="Verdana" w:cs="Arial"/>
          <w:color w:val="000000" w:themeColor="text1"/>
        </w:rPr>
        <w:t>Entidad</w:t>
      </w:r>
      <w:r>
        <w:rPr>
          <w:rFonts w:ascii="Verdana" w:eastAsia="Calibri" w:hAnsi="Verdana" w:cs="Arial"/>
          <w:color w:val="000000" w:themeColor="text1"/>
        </w:rPr>
        <w:t>es</w:t>
      </w:r>
      <w:r w:rsidRPr="00597497">
        <w:rPr>
          <w:rFonts w:ascii="Verdana" w:eastAsia="Calibri" w:hAnsi="Verdana" w:cs="Arial"/>
          <w:color w:val="000000" w:themeColor="text1"/>
        </w:rPr>
        <w:t xml:space="preserve"> Estatal</w:t>
      </w:r>
      <w:r>
        <w:rPr>
          <w:rFonts w:ascii="Verdana" w:eastAsia="Calibri" w:hAnsi="Verdana" w:cs="Arial"/>
          <w:color w:val="000000" w:themeColor="text1"/>
        </w:rPr>
        <w:t xml:space="preserve">es para analizar y definir los requisitos de capacidad financiera y organizacional con las cuales validar la idoneidad de la ESAL en el marco de un proceso competitivo, </w:t>
      </w:r>
      <w:r w:rsidRPr="00597497">
        <w:rPr>
          <w:rFonts w:ascii="Verdana" w:eastAsia="Calibri" w:hAnsi="Verdana" w:cs="Arial"/>
          <w:color w:val="000000" w:themeColor="text1"/>
        </w:rPr>
        <w:t>puede</w:t>
      </w:r>
      <w:r>
        <w:rPr>
          <w:rFonts w:ascii="Verdana" w:eastAsia="Calibri" w:hAnsi="Verdana" w:cs="Arial"/>
          <w:color w:val="000000" w:themeColor="text1"/>
        </w:rPr>
        <w:t>n</w:t>
      </w:r>
      <w:r w:rsidRPr="00597497">
        <w:rPr>
          <w:rFonts w:ascii="Verdana" w:eastAsia="Calibri" w:hAnsi="Verdana" w:cs="Arial"/>
          <w:color w:val="000000" w:themeColor="text1"/>
        </w:rPr>
        <w:t xml:space="preserve"> verificar </w:t>
      </w:r>
      <w:r>
        <w:rPr>
          <w:rFonts w:ascii="Verdana" w:eastAsia="Calibri" w:hAnsi="Verdana" w:cs="Arial"/>
          <w:color w:val="000000" w:themeColor="text1"/>
        </w:rPr>
        <w:t>los</w:t>
      </w:r>
      <w:r w:rsidRPr="00597497">
        <w:rPr>
          <w:rFonts w:ascii="Verdana" w:eastAsia="Calibri" w:hAnsi="Verdana" w:cs="Arial"/>
          <w:color w:val="000000" w:themeColor="text1"/>
        </w:rPr>
        <w:t xml:space="preserve"> indicadores </w:t>
      </w:r>
      <w:r>
        <w:rPr>
          <w:rFonts w:ascii="Verdana" w:eastAsia="Calibri" w:hAnsi="Verdana" w:cs="Arial"/>
          <w:color w:val="000000" w:themeColor="text1"/>
        </w:rPr>
        <w:t xml:space="preserve">de las ESAL </w:t>
      </w:r>
      <w:r w:rsidRPr="00597497">
        <w:rPr>
          <w:rFonts w:ascii="Verdana" w:eastAsia="Calibri" w:hAnsi="Verdana" w:cs="Arial"/>
          <w:color w:val="000000" w:themeColor="text1"/>
        </w:rPr>
        <w:t>a través de declaraciones tributarias, estados</w:t>
      </w:r>
      <w:r>
        <w:rPr>
          <w:rFonts w:ascii="Verdana" w:eastAsia="Calibri" w:hAnsi="Verdana" w:cs="Arial"/>
          <w:color w:val="000000" w:themeColor="text1"/>
        </w:rPr>
        <w:t xml:space="preserve"> </w:t>
      </w:r>
      <w:r w:rsidRPr="00597497">
        <w:rPr>
          <w:rFonts w:ascii="Verdana" w:eastAsia="Calibri" w:hAnsi="Verdana" w:cs="Arial"/>
          <w:color w:val="000000" w:themeColor="text1"/>
        </w:rPr>
        <w:t>financieros o en caso de tenerlo el certificado del RUP</w:t>
      </w:r>
      <w:r>
        <w:rPr>
          <w:rFonts w:ascii="Verdana" w:eastAsia="Calibri" w:hAnsi="Verdana" w:cs="Arial"/>
          <w:color w:val="000000" w:themeColor="text1"/>
        </w:rPr>
        <w:t xml:space="preserve">. </w:t>
      </w:r>
    </w:p>
    <w:p w14:paraId="06D83BF9" w14:textId="77777777" w:rsidR="0090373B"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Conforme con lo anterior, y en el marco de su petición, es importante resaltar que la Guía no solo propone dos indicadores para ser utilizados por la Entidad Estatal, por el contrario, ésta indica que la Entidad puede definir otros indicadores, </w:t>
      </w:r>
      <w:r w:rsidRPr="00C6492D">
        <w:rPr>
          <w:rFonts w:ascii="Verdana" w:eastAsia="Calibri" w:hAnsi="Verdana" w:cs="Arial"/>
          <w:color w:val="000000" w:themeColor="text1"/>
        </w:rPr>
        <w:t xml:space="preserve">dependiendo de la complejidad del </w:t>
      </w:r>
      <w:r>
        <w:rPr>
          <w:rFonts w:ascii="Verdana" w:eastAsia="Calibri" w:hAnsi="Verdana" w:cs="Arial"/>
          <w:color w:val="000000" w:themeColor="text1"/>
        </w:rPr>
        <w:t>objeto a contratar. Por lo tanto, todas las fuentes de información (</w:t>
      </w:r>
      <w:r w:rsidRPr="00F81B8E">
        <w:rPr>
          <w:rFonts w:ascii="Verdana" w:eastAsia="Calibri" w:hAnsi="Verdana" w:cs="Arial"/>
          <w:color w:val="000000" w:themeColor="text1"/>
        </w:rPr>
        <w:t xml:space="preserve">declaraciones tributarias, estados </w:t>
      </w:r>
      <w:r w:rsidRPr="00E4234B">
        <w:rPr>
          <w:rFonts w:ascii="Verdana" w:eastAsia="Calibri" w:hAnsi="Verdana" w:cs="Arial"/>
          <w:color w:val="000000" w:themeColor="text1"/>
        </w:rPr>
        <w:t>financieros o en caso de tenerlo el certificado del RUP) pueden ser consideradas para obtener información de referencia que le permita a la Entidad Estatal consolidar, analizar y determinar el indicador a solicitar. Sin embargo, es de suma importancia que el indicador definido, considere las particularidades de este tipo de Organizaciones (ESAL), por ejemplo, que no tienen como propósito generar utilidades.</w:t>
      </w:r>
    </w:p>
    <w:p w14:paraId="308186A4" w14:textId="77777777" w:rsidR="0090373B" w:rsidRDefault="0090373B" w:rsidP="0090373B">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Por otro lado, y en el marco de la autonomía que tienen las Entidades Estatales, en el evento que uno de los componentes sugeridos en el marco de la </w:t>
      </w:r>
      <w:r>
        <w:rPr>
          <w:rFonts w:ascii="Verdana" w:eastAsia="Calibri" w:hAnsi="Verdana" w:cs="Arial"/>
          <w:color w:val="000000" w:themeColor="text1"/>
        </w:rPr>
        <w:lastRenderedPageBreak/>
        <w:t>Guía no se refleje de forma explícita en alguno de los mecanismos de verificación sugeridos, por ejemplo en los estados financieros, la Entidad puede realizar ejercicios de homologación con alguna cuenta o componente que pueda reflejar y medir la esencia del indicador que se busca analizar (para ello se sugiere que la Entidad Estatal cuente un concepto tributario que sustente el ejercicio de homologación).</w:t>
      </w:r>
    </w:p>
    <w:p w14:paraId="74170A7B" w14:textId="72373487" w:rsidR="0090373B" w:rsidRDefault="00AF5AD6" w:rsidP="0090373B">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w:t>
      </w:r>
      <w:r w:rsidR="00CD0A5B">
        <w:rPr>
          <w:rFonts w:ascii="Verdana" w:eastAsia="Calibri" w:hAnsi="Verdana" w:cs="Arial"/>
          <w:color w:val="000000" w:themeColor="text1"/>
        </w:rPr>
        <w:t>conclusión</w:t>
      </w:r>
      <w:r w:rsidR="0090373B">
        <w:rPr>
          <w:rFonts w:ascii="Verdana" w:eastAsia="Calibri" w:hAnsi="Verdana" w:cs="Arial"/>
          <w:color w:val="000000" w:themeColor="text1"/>
        </w:rPr>
        <w:t xml:space="preserve">, es importante resaltar que la Guía no define márgenes o indicadores mínimos, su propósito es brindar herramientas y mecanismos para que las Entidades Estatales en el marco de la estructuración del proceso, los definan conforme lineamientos definidos tanto en la </w:t>
      </w:r>
      <w:r w:rsidR="0090373B" w:rsidRPr="0090373B">
        <w:rPr>
          <w:rFonts w:ascii="Verdana" w:eastAsia="Calibri" w:hAnsi="Verdana" w:cs="Arial"/>
          <w:color w:val="000000" w:themeColor="text1"/>
        </w:rPr>
        <w:t xml:space="preserve">Guía para la contratación con entidades sin ánimo de lucro y de reconocida idoneidad como en el </w:t>
      </w:r>
      <w:r w:rsidR="0090373B" w:rsidRPr="0090373B">
        <w:rPr>
          <w:rFonts w:ascii="Verdana" w:eastAsia="Calibri" w:hAnsi="Verdana" w:cs="Arial"/>
          <w:color w:val="000000" w:themeColor="text1"/>
          <w:lang w:val="es-ES_tradnl"/>
        </w:rPr>
        <w:t>Manual para determinar y verificar los requisitos habilitantes en los Procesos de Contratación.</w:t>
      </w:r>
    </w:p>
    <w:p w14:paraId="1569DA98" w14:textId="31D418F3" w:rsidR="00A64017" w:rsidRPr="004F7B86" w:rsidRDefault="000907FF" w:rsidP="0090373B">
      <w:pPr>
        <w:spacing w:after="120" w:line="276" w:lineRule="auto"/>
        <w:jc w:val="both"/>
        <w:rPr>
          <w:rFonts w:ascii="Verdana" w:eastAsia="Calibri" w:hAnsi="Verdana" w:cs="Arial"/>
          <w:lang w:eastAsia="es-ES_tradnl"/>
        </w:rPr>
      </w:pPr>
      <w:r>
        <w:rPr>
          <w:rFonts w:ascii="Verdana" w:eastAsia="Calibri" w:hAnsi="Verdana" w:cs="Arial"/>
          <w:color w:val="000000" w:themeColor="text1"/>
          <w:lang w:val="es-ES"/>
        </w:rPr>
        <w:t xml:space="preserve">     </w:t>
      </w:r>
      <w:bookmarkEnd w:id="4"/>
      <w:r w:rsidR="00A64017" w:rsidRPr="00B00396">
        <w:rPr>
          <w:rFonts w:ascii="Verdana" w:eastAsia="Calibri" w:hAnsi="Verdana" w:cs="Times New Roman"/>
          <w:lang w:val="es-ES"/>
        </w:rPr>
        <w:t xml:space="preserve">Finalmente debe advertirse, que el análisis para </w:t>
      </w:r>
      <w:r w:rsidR="00A64017" w:rsidRPr="00DB4737">
        <w:rPr>
          <w:rFonts w:ascii="Verdana" w:eastAsia="Calibri" w:hAnsi="Verdana" w:cs="Times New Roman"/>
          <w:lang w:val="es-ES"/>
        </w:rPr>
        <w:t xml:space="preserve">resolver problemas específicos en torno </w:t>
      </w:r>
      <w:r w:rsidR="00A64017">
        <w:rPr>
          <w:rFonts w:ascii="Verdana" w:eastAsia="Calibri" w:hAnsi="Verdana" w:cs="Times New Roman"/>
          <w:lang w:val="es-ES"/>
        </w:rPr>
        <w:t>a los procesos de contratación</w:t>
      </w:r>
      <w:r w:rsidR="00A64017" w:rsidRPr="002B5057">
        <w:rPr>
          <w:rFonts w:ascii="Verdana" w:eastAsia="Calibri" w:hAnsi="Verdana" w:cs="Times New Roman"/>
          <w:lang w:val="es-ES"/>
        </w:rPr>
        <w:t xml:space="preserve"> debe ser realizado por quienes tengan interés en ello.</w:t>
      </w:r>
      <w:r w:rsidR="00A64017" w:rsidRPr="00B00396">
        <w:rPr>
          <w:rFonts w:ascii="Verdana" w:eastAsia="Calibri" w:hAnsi="Verdana" w:cs="Times New Roman"/>
          <w:lang w:val="es-ES"/>
        </w:rPr>
        <w:t xml:space="preserve"> De esta forma, las afirmaciones aquí realizadas</w:t>
      </w:r>
      <w:r w:rsidR="00A64017"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70889A75" w14:textId="77777777" w:rsidR="00CD0A5B" w:rsidRPr="00762B49" w:rsidRDefault="00CD0A5B" w:rsidP="00CD0A5B">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762B49">
              <w:rPr>
                <w:rFonts w:ascii="Verdana" w:eastAsia="Calibri" w:hAnsi="Verdana" w:cs="Arial"/>
                <w:color w:val="000000"/>
                <w:lang w:val="es-ES"/>
              </w:rPr>
              <w:t>Ley 1150 de 2007, artículo 5 y 6.</w:t>
            </w:r>
          </w:p>
          <w:p w14:paraId="148D2EC8" w14:textId="77777777" w:rsidR="00CD0A5B" w:rsidRPr="00CD0A5B" w:rsidRDefault="00CD0A5B" w:rsidP="00CD0A5B">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762B49">
              <w:rPr>
                <w:rFonts w:ascii="Verdana" w:eastAsia="Calibri" w:hAnsi="Verdana" w:cs="Arial"/>
                <w:color w:val="000000"/>
                <w:lang w:val="es-ES"/>
              </w:rPr>
              <w:t xml:space="preserve">Decreto 1082 de 2015, artículos 2.2.1.1.1.5.2, 2.2.1.1.1.5.3, </w:t>
            </w:r>
            <w:r w:rsidRPr="00762B49">
              <w:rPr>
                <w:rFonts w:ascii="Verdana" w:eastAsia="Calibri" w:hAnsi="Verdana" w:cs="Arial"/>
                <w:color w:val="000000" w:themeColor="text1"/>
                <w:lang w:val="es-ES"/>
              </w:rPr>
              <w:t>2.2.1.1.1.6.2.</w:t>
            </w:r>
          </w:p>
          <w:p w14:paraId="316BF375" w14:textId="77777777" w:rsidR="00A64017" w:rsidRPr="00DC366F" w:rsidRDefault="00CD0A5B" w:rsidP="00CD0A5B">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CD0A5B">
              <w:rPr>
                <w:rFonts w:ascii="Verdana" w:eastAsia="Calibri" w:hAnsi="Verdana" w:cs="Arial"/>
                <w:color w:val="000000"/>
                <w:lang w:val="es-ES_tradnl" w:eastAsia="es-ES_tradnl"/>
              </w:rPr>
              <w:lastRenderedPageBreak/>
              <w:t>Agencia Nacional de Contratación Pública – Colombia Compra Eficiente, “Manual para determinar y verificar los requisitos habilitantes en los Procesos de Contratación”.</w:t>
            </w:r>
          </w:p>
          <w:p w14:paraId="60CC6EC9" w14:textId="5A0C5931" w:rsidR="00DC366F" w:rsidRPr="00CD0A5B" w:rsidRDefault="00DC366F" w:rsidP="00CD0A5B">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CD0A5B">
              <w:rPr>
                <w:rFonts w:ascii="Verdana" w:eastAsia="Calibri" w:hAnsi="Verdana" w:cs="Arial"/>
                <w:color w:val="000000"/>
                <w:lang w:val="es-ES_tradnl" w:eastAsia="es-ES_tradnl"/>
              </w:rPr>
              <w:t>Agencia Nacional de Contratación Pública – Colombia Compra Eficiente</w:t>
            </w:r>
            <w:r w:rsidRPr="00F33245">
              <w:rPr>
                <w:rFonts w:ascii="Verdana" w:eastAsia="Arial" w:hAnsi="Verdana" w:cs="Arial"/>
                <w:color w:val="000000"/>
              </w:rPr>
              <w:t xml:space="preserve"> </w:t>
            </w:r>
            <w:r>
              <w:rPr>
                <w:rFonts w:ascii="Verdana" w:eastAsia="Arial" w:hAnsi="Verdana" w:cs="Arial"/>
                <w:color w:val="000000"/>
              </w:rPr>
              <w:t xml:space="preserve">Guía </w:t>
            </w:r>
            <w:r w:rsidRPr="00F33245">
              <w:rPr>
                <w:rFonts w:ascii="Verdana" w:eastAsia="Arial" w:hAnsi="Verdana" w:cs="Arial"/>
                <w:color w:val="000000"/>
              </w:rPr>
              <w:t>de Contratación con E</w:t>
            </w:r>
            <w:r>
              <w:rPr>
                <w:rFonts w:ascii="Verdana" w:eastAsia="Arial" w:hAnsi="Verdana" w:cs="Arial"/>
                <w:color w:val="000000"/>
              </w:rPr>
              <w:t>ntidades sin Ánimo de Lucro de la ANCP-CCE</w:t>
            </w: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4F6D5534" w:rsidR="00A64017" w:rsidRPr="00AE7E03" w:rsidRDefault="00E96AE3" w:rsidP="00A64017">
      <w:pPr>
        <w:widowControl w:val="0"/>
        <w:autoSpaceDE w:val="0"/>
        <w:autoSpaceDN w:val="0"/>
        <w:spacing w:after="0" w:line="276" w:lineRule="auto"/>
        <w:jc w:val="both"/>
        <w:rPr>
          <w:rFonts w:ascii="Verdana" w:eastAsia="Arial" w:hAnsi="Verdana" w:cs="Arial"/>
          <w:lang w:val="es-MX" w:eastAsia="es-ES"/>
        </w:rPr>
      </w:pPr>
      <w:r w:rsidRPr="005F0A61">
        <w:rPr>
          <w:rFonts w:ascii="Verdana" w:hAnsi="Verdana" w:cs="Arial"/>
          <w:color w:val="000000" w:themeColor="text1"/>
          <w:shd w:val="clear" w:color="auto" w:fill="FFFFFF"/>
          <w:lang w:val="es-ES"/>
        </w:rPr>
        <w:t>La Agencia Nacional de Contratación Pública – Colombia Compra Eficiente se ha referido a la acreditación de requisitos habilitantes y la capacidad financiera en los conceptos con radicado No. 2201913000007980 del 24 de octubre de 2019,</w:t>
      </w:r>
      <w:r w:rsidRPr="005F0A61">
        <w:rPr>
          <w:rFonts w:ascii="Verdana" w:hAnsi="Verdana"/>
          <w:lang w:val="es-ES"/>
        </w:rPr>
        <w:t xml:space="preserve"> C-868 del 19 de diciembre de 2022, C-877 del 26 de diciembre de 2022, </w:t>
      </w:r>
      <w:r w:rsidRPr="005F0A61">
        <w:rPr>
          <w:rFonts w:ascii="Verdana" w:hAnsi="Verdana" w:cs="Arial"/>
          <w:color w:val="000000" w:themeColor="text1"/>
          <w:shd w:val="clear" w:color="auto" w:fill="FFFFFF"/>
          <w:lang w:val="es-ES"/>
        </w:rPr>
        <w:t xml:space="preserve"> </w:t>
      </w:r>
      <w:r w:rsidRPr="005F0A61">
        <w:rPr>
          <w:rFonts w:ascii="Verdana" w:hAnsi="Verdana"/>
          <w:lang w:val="es-ES"/>
        </w:rPr>
        <w:t xml:space="preserve">C-417 del 27 de septiembre de 2023 ,C-432 del 23 de octubre de 2023, C-174 del 23 de julio de 2024, </w:t>
      </w:r>
      <w:r w:rsidRPr="005F0A61">
        <w:rPr>
          <w:rFonts w:ascii="Verdana" w:eastAsia="Calibri" w:hAnsi="Verdana" w:cs="Arial"/>
          <w:lang w:val="es-ES" w:eastAsia="es-ES_tradnl"/>
        </w:rPr>
        <w:t xml:space="preserve">C- 530 del 4 de octubre de 2024, C-595 del 24 de octubre 2024, </w:t>
      </w:r>
      <w:r w:rsidRPr="005F0A61">
        <w:rPr>
          <w:rFonts w:ascii="Verdana" w:eastAsia="Calibri" w:hAnsi="Verdana" w:cs="Arial"/>
          <w:lang w:val="es-ES" w:eastAsia="es-ES"/>
        </w:rPr>
        <w:t>C-648 del 6 de noviembre 2024, C-615 del 10 de junio de 2025</w:t>
      </w:r>
      <w:r>
        <w:rPr>
          <w:rFonts w:ascii="Verdana" w:eastAsia="Calibri" w:hAnsi="Verdana" w:cs="Arial"/>
          <w:lang w:val="es-ES" w:eastAsia="es-ES"/>
        </w:rPr>
        <w:t xml:space="preserve"> y C-1084 de 2025</w:t>
      </w:r>
      <w:r w:rsidR="001D1756" w:rsidRPr="00E96AE3">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1DAA0281" w:rsidR="0073141C" w:rsidRDefault="0073141C" w:rsidP="00A64017">
      <w:pPr>
        <w:spacing w:line="276" w:lineRule="auto"/>
        <w:jc w:val="center"/>
        <w:rPr>
          <w:noProof/>
        </w:rPr>
      </w:pPr>
    </w:p>
    <w:p w14:paraId="59123ED3" w14:textId="6DE0997B" w:rsidR="00417DE2" w:rsidRPr="00417DE2" w:rsidRDefault="00417DE2" w:rsidP="00417DE2">
      <w:pPr>
        <w:spacing w:line="276" w:lineRule="auto"/>
        <w:jc w:val="center"/>
        <w:rPr>
          <w:noProof/>
        </w:rPr>
      </w:pPr>
      <w:r w:rsidRPr="00417DE2">
        <w:rPr>
          <w:noProof/>
        </w:rPr>
        <w:drawing>
          <wp:inline distT="0" distB="0" distL="0" distR="0" wp14:anchorId="4BA020AC" wp14:editId="16C4D768">
            <wp:extent cx="3088005" cy="1325627"/>
            <wp:effectExtent l="0" t="0" r="0" b="8255"/>
            <wp:docPr id="79725057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01944" cy="1331611"/>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rsidP="00A15B1F">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72D93B" w14:textId="0AF32DE6" w:rsidR="00A64017" w:rsidRDefault="00A64017" w:rsidP="00A15B1F">
            <w:pPr>
              <w:spacing w:line="276" w:lineRule="auto"/>
              <w:contextualSpacing/>
              <w:jc w:val="both"/>
              <w:rPr>
                <w:rFonts w:ascii="Verdana" w:hAnsi="Verdana"/>
                <w:sz w:val="16"/>
                <w:szCs w:val="16"/>
              </w:rPr>
            </w:pPr>
            <w:r>
              <w:rPr>
                <w:rFonts w:ascii="Verdana" w:hAnsi="Verdana"/>
                <w:sz w:val="16"/>
                <w:szCs w:val="16"/>
              </w:rPr>
              <w:t>Diana Lucia Saavedra</w:t>
            </w:r>
            <w:r w:rsidR="00E25A6A">
              <w:rPr>
                <w:rFonts w:ascii="Verdana" w:hAnsi="Verdana"/>
                <w:sz w:val="16"/>
                <w:szCs w:val="16"/>
              </w:rPr>
              <w:t xml:space="preserve"> Castañeda</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5B977" w14:textId="77777777" w:rsidR="00F3083B" w:rsidRDefault="00F3083B" w:rsidP="004A1847">
      <w:pPr>
        <w:spacing w:after="0" w:line="240" w:lineRule="auto"/>
      </w:pPr>
      <w:r>
        <w:separator/>
      </w:r>
    </w:p>
  </w:endnote>
  <w:endnote w:type="continuationSeparator" w:id="0">
    <w:p w14:paraId="469D65DE" w14:textId="77777777" w:rsidR="00F3083B" w:rsidRDefault="00F3083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351C2" w14:textId="77777777" w:rsidR="00F3083B" w:rsidRDefault="00F3083B" w:rsidP="004A1847">
      <w:pPr>
        <w:spacing w:after="0" w:line="240" w:lineRule="auto"/>
      </w:pPr>
      <w:r>
        <w:separator/>
      </w:r>
    </w:p>
  </w:footnote>
  <w:footnote w:type="continuationSeparator" w:id="0">
    <w:p w14:paraId="6CFE1123" w14:textId="77777777" w:rsidR="00F3083B" w:rsidRDefault="00F3083B" w:rsidP="004A1847">
      <w:pPr>
        <w:spacing w:after="0" w:line="240" w:lineRule="auto"/>
      </w:pPr>
      <w:r>
        <w:continuationSeparator/>
      </w:r>
    </w:p>
  </w:footnote>
  <w:footnote w:id="1">
    <w:p w14:paraId="3882E0C1" w14:textId="77777777" w:rsidR="004B682E" w:rsidRPr="00F33245" w:rsidRDefault="004B682E" w:rsidP="004B682E">
      <w:pPr>
        <w:pStyle w:val="Textonotapie"/>
        <w:rPr>
          <w:rFonts w:ascii="Verdana" w:hAnsi="Verdana"/>
          <w:sz w:val="16"/>
          <w:szCs w:val="16"/>
          <w:lang w:val="es-ES"/>
        </w:rPr>
      </w:pPr>
      <w:r w:rsidRPr="00F33245">
        <w:rPr>
          <w:rStyle w:val="Refdenotaalpie"/>
          <w:rFonts w:ascii="Verdana" w:hAnsi="Verdana"/>
          <w:sz w:val="16"/>
          <w:szCs w:val="16"/>
        </w:rPr>
        <w:footnoteRef/>
      </w:r>
      <w:r w:rsidRPr="00F33245">
        <w:rPr>
          <w:rFonts w:ascii="Verdana" w:hAnsi="Verdana"/>
          <w:sz w:val="16"/>
          <w:szCs w:val="16"/>
        </w:rPr>
        <w:t xml:space="preserve"> https://www.colombiacompra.gov.co/wp-content/uploads/2024/08/cce_guia_esal.pdf</w:t>
      </w:r>
    </w:p>
  </w:footnote>
  <w:footnote w:id="2">
    <w:p w14:paraId="00BCD817" w14:textId="77777777" w:rsidR="00480E56" w:rsidRPr="00FC26A8" w:rsidRDefault="00480E56" w:rsidP="00480E56">
      <w:pPr>
        <w:pStyle w:val="NormalWeb"/>
        <w:snapToGrid w:val="0"/>
        <w:spacing w:before="0" w:beforeAutospacing="0" w:after="0" w:afterAutospacing="0"/>
        <w:ind w:firstLine="709"/>
        <w:contextualSpacing/>
        <w:jc w:val="both"/>
        <w:rPr>
          <w:rFonts w:ascii="Verdana" w:hAnsi="Verdana" w:cs="Arial"/>
          <w:sz w:val="16"/>
          <w:szCs w:val="16"/>
        </w:rPr>
      </w:pPr>
      <w:r w:rsidRPr="00FC26A8">
        <w:rPr>
          <w:rStyle w:val="Refdenotaalpie"/>
          <w:rFonts w:ascii="Verdana" w:eastAsiaTheme="majorEastAsia" w:hAnsi="Verdana" w:cs="Arial"/>
          <w:sz w:val="16"/>
          <w:szCs w:val="16"/>
        </w:rPr>
        <w:footnoteRef/>
      </w:r>
      <w:r w:rsidRPr="00FC26A8">
        <w:rPr>
          <w:rFonts w:ascii="Verdana" w:hAnsi="Verdana" w:cs="Arial"/>
          <w:sz w:val="16"/>
          <w:szCs w:val="16"/>
        </w:rPr>
        <w:t xml:space="preserve"> </w:t>
      </w:r>
      <w:r w:rsidRPr="00FC26A8">
        <w:rPr>
          <w:rFonts w:ascii="Verdana" w:hAnsi="Verdana" w:cs="Arial"/>
          <w:sz w:val="16"/>
          <w:szCs w:val="16"/>
          <w:lang w:val="es-ES"/>
        </w:rPr>
        <w:t>“</w:t>
      </w:r>
      <w:r w:rsidRPr="00FC26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67BA9510" w14:textId="77777777" w:rsidR="00480E56" w:rsidRDefault="00480E56" w:rsidP="00480E56">
      <w:pPr>
        <w:snapToGrid w:val="0"/>
        <w:spacing w:after="0" w:line="240" w:lineRule="auto"/>
        <w:ind w:firstLine="708"/>
        <w:contextualSpacing/>
        <w:jc w:val="both"/>
        <w:rPr>
          <w:rFonts w:ascii="Verdana" w:hAnsi="Verdana" w:cs="Arial"/>
          <w:sz w:val="16"/>
          <w:szCs w:val="16"/>
        </w:rPr>
      </w:pPr>
      <w:r w:rsidRPr="001B0871">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7BF5752E" w14:textId="77777777" w:rsidR="00480E56" w:rsidRPr="001B0871" w:rsidRDefault="00480E56" w:rsidP="00480E56">
      <w:pPr>
        <w:snapToGrid w:val="0"/>
        <w:spacing w:after="0" w:line="240" w:lineRule="auto"/>
        <w:ind w:firstLine="708"/>
        <w:contextualSpacing/>
        <w:jc w:val="both"/>
        <w:rPr>
          <w:rFonts w:ascii="Verdana" w:hAnsi="Verdana" w:cs="Arial"/>
          <w:sz w:val="16"/>
          <w:szCs w:val="16"/>
        </w:rPr>
      </w:pPr>
    </w:p>
  </w:footnote>
  <w:footnote w:id="3">
    <w:p w14:paraId="3BBE91F1" w14:textId="47F332EA" w:rsidR="00AF5AD6" w:rsidRPr="00AF5AD6" w:rsidRDefault="00AF5AD6">
      <w:pPr>
        <w:pStyle w:val="Textonotapie"/>
        <w:rPr>
          <w:rFonts w:ascii="Verdana" w:hAnsi="Verdana"/>
          <w:sz w:val="16"/>
          <w:szCs w:val="16"/>
          <w:lang w:val="es-ES"/>
        </w:rPr>
      </w:pPr>
      <w:r w:rsidRPr="00AF5AD6">
        <w:rPr>
          <w:rStyle w:val="Refdenotaalpie"/>
          <w:rFonts w:ascii="Verdana" w:hAnsi="Verdana"/>
          <w:sz w:val="16"/>
          <w:szCs w:val="16"/>
        </w:rPr>
        <w:footnoteRef/>
      </w:r>
      <w:r w:rsidRPr="00AF5AD6">
        <w:rPr>
          <w:rFonts w:ascii="Verdana" w:hAnsi="Verdana"/>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1.3pt;height:11.3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10"/>
  </w:num>
  <w:num w:numId="10" w16cid:durableId="1471245386">
    <w:abstractNumId w:val="15"/>
  </w:num>
  <w:num w:numId="11" w16cid:durableId="289172385">
    <w:abstractNumId w:val="12"/>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1380713882">
    <w:abstractNumId w:val="0"/>
  </w:num>
  <w:num w:numId="17" w16cid:durableId="691802391">
    <w:abstractNumId w:val="13"/>
  </w:num>
  <w:num w:numId="18" w16cid:durableId="1290623316">
    <w:abstractNumId w:val="3"/>
  </w:num>
  <w:num w:numId="19" w16cid:durableId="562327327">
    <w:abstractNumId w:val="9"/>
  </w:num>
  <w:num w:numId="20" w16cid:durableId="135807285">
    <w:abstractNumId w:val="11"/>
  </w:num>
  <w:num w:numId="21" w16cid:durableId="18168736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662CB"/>
    <w:rsid w:val="00082362"/>
    <w:rsid w:val="000907FF"/>
    <w:rsid w:val="000A683E"/>
    <w:rsid w:val="000B19B9"/>
    <w:rsid w:val="000B4FA5"/>
    <w:rsid w:val="000D0334"/>
    <w:rsid w:val="000E1C46"/>
    <w:rsid w:val="000F2222"/>
    <w:rsid w:val="000F6486"/>
    <w:rsid w:val="00103B90"/>
    <w:rsid w:val="00125105"/>
    <w:rsid w:val="00127233"/>
    <w:rsid w:val="001511A0"/>
    <w:rsid w:val="00194937"/>
    <w:rsid w:val="001B5882"/>
    <w:rsid w:val="001D1756"/>
    <w:rsid w:val="001E4177"/>
    <w:rsid w:val="001F663F"/>
    <w:rsid w:val="001F7DC6"/>
    <w:rsid w:val="00203E0B"/>
    <w:rsid w:val="00205479"/>
    <w:rsid w:val="00215206"/>
    <w:rsid w:val="00222AE3"/>
    <w:rsid w:val="002421BB"/>
    <w:rsid w:val="00242FED"/>
    <w:rsid w:val="00245A1E"/>
    <w:rsid w:val="0025796E"/>
    <w:rsid w:val="002707A2"/>
    <w:rsid w:val="002951A0"/>
    <w:rsid w:val="002962BC"/>
    <w:rsid w:val="002A093D"/>
    <w:rsid w:val="002A0DD0"/>
    <w:rsid w:val="002A49AC"/>
    <w:rsid w:val="002A64FD"/>
    <w:rsid w:val="002A7DD8"/>
    <w:rsid w:val="002C0393"/>
    <w:rsid w:val="002C7A84"/>
    <w:rsid w:val="002E4FD9"/>
    <w:rsid w:val="003007B5"/>
    <w:rsid w:val="00302C65"/>
    <w:rsid w:val="00310DA4"/>
    <w:rsid w:val="00322A85"/>
    <w:rsid w:val="00323054"/>
    <w:rsid w:val="00324168"/>
    <w:rsid w:val="00324E0B"/>
    <w:rsid w:val="003448F4"/>
    <w:rsid w:val="00356999"/>
    <w:rsid w:val="003639A5"/>
    <w:rsid w:val="00374F5E"/>
    <w:rsid w:val="00377E3E"/>
    <w:rsid w:val="00380918"/>
    <w:rsid w:val="003A2E2D"/>
    <w:rsid w:val="003A779E"/>
    <w:rsid w:val="003B1736"/>
    <w:rsid w:val="003D0F4D"/>
    <w:rsid w:val="003D5B0D"/>
    <w:rsid w:val="003E0499"/>
    <w:rsid w:val="003E2F6B"/>
    <w:rsid w:val="003F3941"/>
    <w:rsid w:val="00406575"/>
    <w:rsid w:val="004138FA"/>
    <w:rsid w:val="00414C74"/>
    <w:rsid w:val="00417DE2"/>
    <w:rsid w:val="0042722E"/>
    <w:rsid w:val="0044528D"/>
    <w:rsid w:val="00480E56"/>
    <w:rsid w:val="00487F18"/>
    <w:rsid w:val="0049089A"/>
    <w:rsid w:val="00493AF3"/>
    <w:rsid w:val="004A1847"/>
    <w:rsid w:val="004A305D"/>
    <w:rsid w:val="004B50C2"/>
    <w:rsid w:val="004B682E"/>
    <w:rsid w:val="004C63BA"/>
    <w:rsid w:val="004F06EF"/>
    <w:rsid w:val="004F21C4"/>
    <w:rsid w:val="004F685F"/>
    <w:rsid w:val="00506029"/>
    <w:rsid w:val="005566E8"/>
    <w:rsid w:val="00567040"/>
    <w:rsid w:val="00574867"/>
    <w:rsid w:val="00574F32"/>
    <w:rsid w:val="005806A6"/>
    <w:rsid w:val="00591460"/>
    <w:rsid w:val="005B3816"/>
    <w:rsid w:val="005B65F1"/>
    <w:rsid w:val="005C3777"/>
    <w:rsid w:val="005C5CDC"/>
    <w:rsid w:val="005C7DAB"/>
    <w:rsid w:val="005D476C"/>
    <w:rsid w:val="005E69AD"/>
    <w:rsid w:val="00602354"/>
    <w:rsid w:val="0061329B"/>
    <w:rsid w:val="006219F8"/>
    <w:rsid w:val="00631045"/>
    <w:rsid w:val="00634615"/>
    <w:rsid w:val="00637BBF"/>
    <w:rsid w:val="00656A22"/>
    <w:rsid w:val="00665D70"/>
    <w:rsid w:val="00675FED"/>
    <w:rsid w:val="00685502"/>
    <w:rsid w:val="006874D3"/>
    <w:rsid w:val="006900D9"/>
    <w:rsid w:val="006A7425"/>
    <w:rsid w:val="006B2C02"/>
    <w:rsid w:val="006D7121"/>
    <w:rsid w:val="00706C16"/>
    <w:rsid w:val="0072552A"/>
    <w:rsid w:val="0073141C"/>
    <w:rsid w:val="00756841"/>
    <w:rsid w:val="00763E4A"/>
    <w:rsid w:val="007649AB"/>
    <w:rsid w:val="00771D0C"/>
    <w:rsid w:val="007733E9"/>
    <w:rsid w:val="007833AC"/>
    <w:rsid w:val="007B268C"/>
    <w:rsid w:val="007B7171"/>
    <w:rsid w:val="007C0C0F"/>
    <w:rsid w:val="007C3DC2"/>
    <w:rsid w:val="007E5497"/>
    <w:rsid w:val="00806F5F"/>
    <w:rsid w:val="00810CF4"/>
    <w:rsid w:val="00820278"/>
    <w:rsid w:val="00826A46"/>
    <w:rsid w:val="00867F95"/>
    <w:rsid w:val="008843B6"/>
    <w:rsid w:val="00885EDB"/>
    <w:rsid w:val="00891928"/>
    <w:rsid w:val="00894D4F"/>
    <w:rsid w:val="008A30DF"/>
    <w:rsid w:val="008A446D"/>
    <w:rsid w:val="008A65FF"/>
    <w:rsid w:val="008B22D4"/>
    <w:rsid w:val="008B5BD4"/>
    <w:rsid w:val="008D180B"/>
    <w:rsid w:val="008E2432"/>
    <w:rsid w:val="008F0EA7"/>
    <w:rsid w:val="0090373B"/>
    <w:rsid w:val="009144FE"/>
    <w:rsid w:val="00916515"/>
    <w:rsid w:val="00923EEF"/>
    <w:rsid w:val="00926872"/>
    <w:rsid w:val="009419F9"/>
    <w:rsid w:val="009552F8"/>
    <w:rsid w:val="0095685E"/>
    <w:rsid w:val="00961B09"/>
    <w:rsid w:val="00965334"/>
    <w:rsid w:val="0097093E"/>
    <w:rsid w:val="00986AC5"/>
    <w:rsid w:val="009A0DFA"/>
    <w:rsid w:val="009A2609"/>
    <w:rsid w:val="009B2D26"/>
    <w:rsid w:val="009C71FA"/>
    <w:rsid w:val="009C72E7"/>
    <w:rsid w:val="009D0270"/>
    <w:rsid w:val="009D3058"/>
    <w:rsid w:val="009E7558"/>
    <w:rsid w:val="009F3A13"/>
    <w:rsid w:val="009F52CB"/>
    <w:rsid w:val="00A01384"/>
    <w:rsid w:val="00A122D3"/>
    <w:rsid w:val="00A17F13"/>
    <w:rsid w:val="00A20739"/>
    <w:rsid w:val="00A24C35"/>
    <w:rsid w:val="00A33C78"/>
    <w:rsid w:val="00A46BDF"/>
    <w:rsid w:val="00A51CB5"/>
    <w:rsid w:val="00A52834"/>
    <w:rsid w:val="00A64017"/>
    <w:rsid w:val="00A800B4"/>
    <w:rsid w:val="00AA1AB8"/>
    <w:rsid w:val="00AB0ADB"/>
    <w:rsid w:val="00AC19F6"/>
    <w:rsid w:val="00AD1D1F"/>
    <w:rsid w:val="00AF5AD6"/>
    <w:rsid w:val="00B01B1A"/>
    <w:rsid w:val="00B023E1"/>
    <w:rsid w:val="00B0362B"/>
    <w:rsid w:val="00B0429C"/>
    <w:rsid w:val="00B23BA1"/>
    <w:rsid w:val="00B2560E"/>
    <w:rsid w:val="00B403F3"/>
    <w:rsid w:val="00B41E30"/>
    <w:rsid w:val="00B45CE8"/>
    <w:rsid w:val="00B460A5"/>
    <w:rsid w:val="00B66319"/>
    <w:rsid w:val="00B72CD3"/>
    <w:rsid w:val="00B72FFF"/>
    <w:rsid w:val="00B74C13"/>
    <w:rsid w:val="00BA29CE"/>
    <w:rsid w:val="00BA7AA4"/>
    <w:rsid w:val="00BB5A06"/>
    <w:rsid w:val="00BB7335"/>
    <w:rsid w:val="00BB7ECF"/>
    <w:rsid w:val="00BC3D36"/>
    <w:rsid w:val="00BD7F72"/>
    <w:rsid w:val="00BE36F8"/>
    <w:rsid w:val="00C04FB3"/>
    <w:rsid w:val="00C203C3"/>
    <w:rsid w:val="00C21F3A"/>
    <w:rsid w:val="00C330EB"/>
    <w:rsid w:val="00C41061"/>
    <w:rsid w:val="00C43634"/>
    <w:rsid w:val="00C63058"/>
    <w:rsid w:val="00C754BE"/>
    <w:rsid w:val="00C76B1C"/>
    <w:rsid w:val="00C84124"/>
    <w:rsid w:val="00C8467B"/>
    <w:rsid w:val="00C90C14"/>
    <w:rsid w:val="00C91AF4"/>
    <w:rsid w:val="00C9219A"/>
    <w:rsid w:val="00CA01D8"/>
    <w:rsid w:val="00CB6357"/>
    <w:rsid w:val="00CC1B26"/>
    <w:rsid w:val="00CC4186"/>
    <w:rsid w:val="00CD0A5B"/>
    <w:rsid w:val="00CE429E"/>
    <w:rsid w:val="00CF74F1"/>
    <w:rsid w:val="00D32BBA"/>
    <w:rsid w:val="00D423A2"/>
    <w:rsid w:val="00D431A3"/>
    <w:rsid w:val="00D44DAC"/>
    <w:rsid w:val="00D520D8"/>
    <w:rsid w:val="00D63AC2"/>
    <w:rsid w:val="00D7383B"/>
    <w:rsid w:val="00D73921"/>
    <w:rsid w:val="00D75DA2"/>
    <w:rsid w:val="00DA231B"/>
    <w:rsid w:val="00DC366F"/>
    <w:rsid w:val="00DC39FC"/>
    <w:rsid w:val="00DF5254"/>
    <w:rsid w:val="00E10F5E"/>
    <w:rsid w:val="00E16408"/>
    <w:rsid w:val="00E20894"/>
    <w:rsid w:val="00E245AB"/>
    <w:rsid w:val="00E25A6A"/>
    <w:rsid w:val="00E2764C"/>
    <w:rsid w:val="00E27F2E"/>
    <w:rsid w:val="00E50AFE"/>
    <w:rsid w:val="00E75C92"/>
    <w:rsid w:val="00E771DC"/>
    <w:rsid w:val="00E8182D"/>
    <w:rsid w:val="00E863AB"/>
    <w:rsid w:val="00E8772A"/>
    <w:rsid w:val="00E90F6B"/>
    <w:rsid w:val="00E92C27"/>
    <w:rsid w:val="00E96AE3"/>
    <w:rsid w:val="00EA0E3D"/>
    <w:rsid w:val="00EA70F7"/>
    <w:rsid w:val="00EC38A7"/>
    <w:rsid w:val="00ED706A"/>
    <w:rsid w:val="00ED7384"/>
    <w:rsid w:val="00EE1AA8"/>
    <w:rsid w:val="00EF204B"/>
    <w:rsid w:val="00EF736C"/>
    <w:rsid w:val="00F16E96"/>
    <w:rsid w:val="00F2789C"/>
    <w:rsid w:val="00F3083B"/>
    <w:rsid w:val="00F30C63"/>
    <w:rsid w:val="00F31EDC"/>
    <w:rsid w:val="00F33245"/>
    <w:rsid w:val="00F416A1"/>
    <w:rsid w:val="00F462B3"/>
    <w:rsid w:val="00F47338"/>
    <w:rsid w:val="00F5664F"/>
    <w:rsid w:val="00F666C4"/>
    <w:rsid w:val="00F76AFC"/>
    <w:rsid w:val="00F90546"/>
    <w:rsid w:val="00F95D89"/>
    <w:rsid w:val="00FA3CFE"/>
    <w:rsid w:val="00FA47C0"/>
    <w:rsid w:val="00FB5DD1"/>
    <w:rsid w:val="00FC13EB"/>
    <w:rsid w:val="00FC2B5D"/>
    <w:rsid w:val="00FC6FA1"/>
    <w:rsid w:val="00FF1449"/>
    <w:rsid w:val="165E9519"/>
    <w:rsid w:val="382536D9"/>
    <w:rsid w:val="5C2DF9A3"/>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soriodiazkatherine@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purl.org/dc/dcmitype/"/>
    <ds:schemaRef ds:uri="http://purl.org/dc/elements/1.1/"/>
    <ds:schemaRef ds:uri="a6cb9e4b-f1d1-4245-83ec-6cad768d538a"/>
    <ds:schemaRef ds:uri="http://schemas.microsoft.com/office/2006/documentManagement/types"/>
    <ds:schemaRef ds:uri="http://schemas.openxmlformats.org/package/2006/metadata/core-properties"/>
    <ds:schemaRef ds:uri="http://schemas.microsoft.com/office/infopath/2007/PartnerControls"/>
    <ds:schemaRef ds:uri="http://purl.org/dc/terms/"/>
    <ds:schemaRef ds:uri="9d85dbaf-23eb-4e57-a637-93dcacc8b1a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825A4AE3-8580-4D65-99DF-14FA6BFB04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4362</Words>
  <Characters>23995</Characters>
  <Application>Microsoft Office Word</Application>
  <DocSecurity>0</DocSecurity>
  <Lines>199</Lines>
  <Paragraphs>56</Paragraphs>
  <ScaleCrop>false</ScaleCrop>
  <Company/>
  <LinksUpToDate>false</LinksUpToDate>
  <CharactersWithSpaces>28301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2025-10-03T21:39:00Z</dcterms:created>
  <dcterms:modified xsi:type="dcterms:W3CDTF">2025-10-03T21:39:00Z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