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8981A4" w14:textId="77777777" w:rsidR="00C64421" w:rsidRPr="00C64421" w:rsidRDefault="00C64421" w:rsidP="00C64421">
      <w:pPr>
        <w:jc w:val="both"/>
        <w:rPr>
          <w:rFonts w:ascii="Verdana" w:eastAsia="Times New Roman" w:hAnsi="Verdana" w:cs="Arial"/>
          <w:b/>
          <w:bCs/>
          <w:color w:val="000000" w:themeColor="text1"/>
          <w:lang w:eastAsia="es-ES"/>
        </w:rPr>
      </w:pPr>
      <w:r w:rsidRPr="00C64421">
        <w:rPr>
          <w:rFonts w:ascii="Verdana" w:eastAsia="Times New Roman" w:hAnsi="Verdana" w:cs="Arial"/>
          <w:b/>
          <w:bCs/>
          <w:color w:val="000000" w:themeColor="text1"/>
          <w:lang w:eastAsia="es-ES"/>
        </w:rPr>
        <w:t>EMPRESAS INDUSTRIALES Y COMERCIALES DEL ESTADO – Derecho privado – gestión Económica – SECOP II</w:t>
      </w:r>
    </w:p>
    <w:p w14:paraId="6D6BB8D5" w14:textId="16ECC926" w:rsidR="00C64421" w:rsidRPr="00C64421" w:rsidRDefault="00C64421" w:rsidP="00C64421">
      <w:pPr>
        <w:pStyle w:val="Textoindependiente"/>
        <w:spacing w:line="276" w:lineRule="auto"/>
        <w:ind w:left="105" w:right="100"/>
        <w:jc w:val="both"/>
        <w:rPr>
          <w:rFonts w:ascii="Verdana" w:hAnsi="Verdana"/>
          <w:spacing w:val="-2"/>
        </w:rPr>
      </w:pPr>
      <w:r w:rsidRPr="00C64421">
        <w:rPr>
          <w:rFonts w:ascii="Verdana" w:hAnsi="Verdana"/>
        </w:rPr>
        <w:t>En cuanto a la obligación de las Empresas Industriales y Comerciales del Estado (EICE) de publicar en el SECOP los actos de gestión comercial tales como</w:t>
      </w:r>
      <w:r w:rsidRPr="00C64421">
        <w:rPr>
          <w:rFonts w:ascii="Verdana" w:hAnsi="Verdana"/>
          <w:spacing w:val="-1"/>
        </w:rPr>
        <w:t xml:space="preserve"> </w:t>
      </w:r>
      <w:r w:rsidRPr="00C64421">
        <w:rPr>
          <w:rFonts w:ascii="Verdana" w:hAnsi="Verdana"/>
        </w:rPr>
        <w:t>un</w:t>
      </w:r>
      <w:r w:rsidRPr="00C64421">
        <w:rPr>
          <w:rFonts w:ascii="Verdana" w:hAnsi="Verdana"/>
          <w:spacing w:val="-2"/>
        </w:rPr>
        <w:t xml:space="preserve"> </w:t>
      </w:r>
      <w:r w:rsidRPr="00C64421">
        <w:rPr>
          <w:rFonts w:ascii="Verdana" w:hAnsi="Verdana"/>
        </w:rPr>
        <w:t>contrato</w:t>
      </w:r>
      <w:r w:rsidRPr="00C64421">
        <w:rPr>
          <w:rFonts w:ascii="Verdana" w:hAnsi="Verdana"/>
          <w:spacing w:val="-1"/>
        </w:rPr>
        <w:t xml:space="preserve"> </w:t>
      </w:r>
      <w:r w:rsidRPr="00C64421">
        <w:rPr>
          <w:rFonts w:ascii="Verdana" w:hAnsi="Verdana"/>
        </w:rPr>
        <w:t>de arrendamiento; se</w:t>
      </w:r>
      <w:r w:rsidRPr="00C64421">
        <w:rPr>
          <w:rFonts w:ascii="Verdana" w:hAnsi="Verdana"/>
          <w:spacing w:val="-3"/>
        </w:rPr>
        <w:t xml:space="preserve"> </w:t>
      </w:r>
      <w:r w:rsidRPr="00C64421">
        <w:rPr>
          <w:rFonts w:ascii="Verdana" w:hAnsi="Verdana"/>
        </w:rPr>
        <w:t>tiene que por</w:t>
      </w:r>
      <w:r w:rsidRPr="00C64421">
        <w:rPr>
          <w:rFonts w:ascii="Verdana" w:hAnsi="Verdana"/>
          <w:spacing w:val="-1"/>
        </w:rPr>
        <w:t xml:space="preserve"> </w:t>
      </w:r>
      <w:r w:rsidRPr="00C64421">
        <w:rPr>
          <w:rFonts w:ascii="Verdana" w:hAnsi="Verdana"/>
        </w:rPr>
        <w:t>regla general las</w:t>
      </w:r>
      <w:r w:rsidRPr="00C64421">
        <w:rPr>
          <w:rFonts w:ascii="Verdana" w:hAnsi="Verdana"/>
          <w:spacing w:val="-1"/>
        </w:rPr>
        <w:t xml:space="preserve"> </w:t>
      </w:r>
      <w:r w:rsidRPr="00C64421">
        <w:rPr>
          <w:rFonts w:ascii="Verdana" w:hAnsi="Verdana"/>
        </w:rPr>
        <w:t>EICE, están</w:t>
      </w:r>
      <w:r w:rsidRPr="00C64421">
        <w:rPr>
          <w:rFonts w:ascii="Verdana" w:hAnsi="Verdana"/>
          <w:spacing w:val="-10"/>
        </w:rPr>
        <w:t xml:space="preserve"> </w:t>
      </w:r>
      <w:r w:rsidRPr="00C64421">
        <w:rPr>
          <w:rFonts w:ascii="Verdana" w:hAnsi="Verdana"/>
        </w:rPr>
        <w:t>obligadas</w:t>
      </w:r>
      <w:r w:rsidRPr="00C64421">
        <w:rPr>
          <w:rFonts w:ascii="Verdana" w:hAnsi="Verdana"/>
          <w:spacing w:val="-7"/>
        </w:rPr>
        <w:t xml:space="preserve"> </w:t>
      </w:r>
      <w:r w:rsidRPr="00C64421">
        <w:rPr>
          <w:rFonts w:ascii="Verdana" w:hAnsi="Verdana"/>
        </w:rPr>
        <w:t>a</w:t>
      </w:r>
      <w:r w:rsidRPr="00C64421">
        <w:rPr>
          <w:rFonts w:ascii="Verdana" w:hAnsi="Verdana"/>
          <w:spacing w:val="-14"/>
        </w:rPr>
        <w:t xml:space="preserve"> </w:t>
      </w:r>
      <w:r w:rsidRPr="00C64421">
        <w:rPr>
          <w:rFonts w:ascii="Verdana" w:hAnsi="Verdana"/>
        </w:rPr>
        <w:t>publicar</w:t>
      </w:r>
      <w:r w:rsidRPr="00C64421">
        <w:rPr>
          <w:rFonts w:ascii="Verdana" w:hAnsi="Verdana"/>
          <w:spacing w:val="-9"/>
        </w:rPr>
        <w:t xml:space="preserve"> </w:t>
      </w:r>
      <w:r w:rsidRPr="00C64421">
        <w:rPr>
          <w:rFonts w:ascii="Verdana" w:hAnsi="Verdana"/>
        </w:rPr>
        <w:t>toda</w:t>
      </w:r>
      <w:r w:rsidRPr="00C64421">
        <w:rPr>
          <w:rFonts w:ascii="Verdana" w:hAnsi="Verdana"/>
          <w:spacing w:val="-14"/>
        </w:rPr>
        <w:t xml:space="preserve"> </w:t>
      </w:r>
      <w:r w:rsidRPr="00C64421">
        <w:rPr>
          <w:rFonts w:ascii="Verdana" w:hAnsi="Verdana"/>
        </w:rPr>
        <w:t>su</w:t>
      </w:r>
      <w:r w:rsidRPr="00C64421">
        <w:rPr>
          <w:rFonts w:ascii="Verdana" w:hAnsi="Verdana"/>
          <w:spacing w:val="-11"/>
        </w:rPr>
        <w:t xml:space="preserve"> </w:t>
      </w:r>
      <w:r w:rsidRPr="00C64421">
        <w:rPr>
          <w:rFonts w:ascii="Verdana" w:hAnsi="Verdana"/>
        </w:rPr>
        <w:t>actividad</w:t>
      </w:r>
      <w:r w:rsidRPr="00C64421">
        <w:rPr>
          <w:rFonts w:ascii="Verdana" w:hAnsi="Verdana"/>
          <w:spacing w:val="-14"/>
        </w:rPr>
        <w:t xml:space="preserve"> </w:t>
      </w:r>
      <w:r w:rsidRPr="00C64421">
        <w:rPr>
          <w:rFonts w:ascii="Verdana" w:hAnsi="Verdana"/>
        </w:rPr>
        <w:t>contractual,</w:t>
      </w:r>
      <w:r w:rsidRPr="00C64421">
        <w:rPr>
          <w:rFonts w:ascii="Verdana" w:hAnsi="Verdana"/>
          <w:spacing w:val="40"/>
        </w:rPr>
        <w:t xml:space="preserve"> </w:t>
      </w:r>
      <w:r w:rsidRPr="00C64421">
        <w:rPr>
          <w:rFonts w:ascii="Verdana" w:hAnsi="Verdana"/>
        </w:rPr>
        <w:t>entendida</w:t>
      </w:r>
      <w:r w:rsidRPr="00C64421">
        <w:rPr>
          <w:rFonts w:ascii="Verdana" w:hAnsi="Verdana"/>
          <w:spacing w:val="-14"/>
        </w:rPr>
        <w:t xml:space="preserve"> </w:t>
      </w:r>
      <w:r w:rsidRPr="00C64421">
        <w:rPr>
          <w:rFonts w:ascii="Verdana" w:hAnsi="Verdana"/>
        </w:rPr>
        <w:t>esta</w:t>
      </w:r>
      <w:r w:rsidRPr="00C64421">
        <w:rPr>
          <w:rFonts w:ascii="Verdana" w:hAnsi="Verdana"/>
          <w:spacing w:val="-14"/>
        </w:rPr>
        <w:t xml:space="preserve"> </w:t>
      </w:r>
      <w:r w:rsidRPr="00C64421">
        <w:rPr>
          <w:rFonts w:ascii="Verdana" w:hAnsi="Verdana"/>
        </w:rPr>
        <w:t>como los documentos, contratos, actos e información generada por oferentes, contratista, contratante, supervisor o interventor, tanto en la etapa precontractual,</w:t>
      </w:r>
      <w:r w:rsidRPr="00C64421">
        <w:rPr>
          <w:rFonts w:ascii="Verdana" w:hAnsi="Verdana"/>
          <w:spacing w:val="-20"/>
        </w:rPr>
        <w:t xml:space="preserve"> </w:t>
      </w:r>
      <w:r w:rsidRPr="00C64421">
        <w:rPr>
          <w:rFonts w:ascii="Verdana" w:hAnsi="Verdana"/>
        </w:rPr>
        <w:t xml:space="preserve">como en la contractual y la </w:t>
      </w:r>
      <w:proofErr w:type="spellStart"/>
      <w:r w:rsidRPr="00C64421">
        <w:rPr>
          <w:rFonts w:ascii="Verdana" w:hAnsi="Verdana"/>
        </w:rPr>
        <w:t>postcontractual</w:t>
      </w:r>
      <w:proofErr w:type="spellEnd"/>
      <w:r w:rsidRPr="00C64421">
        <w:rPr>
          <w:rFonts w:ascii="Verdana" w:hAnsi="Verdana"/>
          <w:spacing w:val="-20"/>
        </w:rPr>
        <w:t xml:space="preserve"> </w:t>
      </w:r>
      <w:r w:rsidRPr="00C64421">
        <w:rPr>
          <w:rFonts w:ascii="Verdana" w:hAnsi="Verdana"/>
        </w:rPr>
        <w:t>. Lo anterior a la luz</w:t>
      </w:r>
      <w:r w:rsidRPr="00C64421">
        <w:rPr>
          <w:rFonts w:ascii="Verdana" w:hAnsi="Verdana"/>
          <w:spacing w:val="-8"/>
        </w:rPr>
        <w:t xml:space="preserve"> </w:t>
      </w:r>
      <w:r w:rsidRPr="00C64421">
        <w:rPr>
          <w:rFonts w:ascii="Verdana" w:hAnsi="Verdana"/>
        </w:rPr>
        <w:t>de</w:t>
      </w:r>
      <w:r w:rsidRPr="00C64421">
        <w:rPr>
          <w:rFonts w:ascii="Verdana" w:hAnsi="Verdana"/>
          <w:spacing w:val="-8"/>
        </w:rPr>
        <w:t xml:space="preserve"> </w:t>
      </w:r>
      <w:r w:rsidRPr="00C64421">
        <w:rPr>
          <w:rFonts w:ascii="Verdana" w:hAnsi="Verdana"/>
        </w:rPr>
        <w:t>lo</w:t>
      </w:r>
      <w:r w:rsidRPr="00C64421">
        <w:rPr>
          <w:rFonts w:ascii="Verdana" w:hAnsi="Verdana"/>
          <w:spacing w:val="-6"/>
        </w:rPr>
        <w:t xml:space="preserve"> </w:t>
      </w:r>
      <w:r w:rsidRPr="00C64421">
        <w:rPr>
          <w:rFonts w:ascii="Verdana" w:hAnsi="Verdana"/>
        </w:rPr>
        <w:t>contemplado</w:t>
      </w:r>
      <w:r w:rsidRPr="00C64421">
        <w:rPr>
          <w:rFonts w:ascii="Verdana" w:hAnsi="Verdana"/>
          <w:spacing w:val="-6"/>
        </w:rPr>
        <w:t xml:space="preserve"> </w:t>
      </w:r>
      <w:r w:rsidRPr="00C64421">
        <w:rPr>
          <w:rFonts w:ascii="Verdana" w:hAnsi="Verdana"/>
        </w:rPr>
        <w:t>en</w:t>
      </w:r>
      <w:r w:rsidRPr="00C64421">
        <w:rPr>
          <w:rFonts w:ascii="Verdana" w:hAnsi="Verdana"/>
          <w:spacing w:val="-7"/>
        </w:rPr>
        <w:t xml:space="preserve"> </w:t>
      </w:r>
      <w:r w:rsidRPr="00C64421">
        <w:rPr>
          <w:rFonts w:ascii="Verdana" w:hAnsi="Verdana"/>
        </w:rPr>
        <w:t>el artículo</w:t>
      </w:r>
      <w:r w:rsidRPr="00C64421">
        <w:rPr>
          <w:rFonts w:ascii="Verdana" w:hAnsi="Verdana"/>
          <w:spacing w:val="-3"/>
        </w:rPr>
        <w:t xml:space="preserve"> </w:t>
      </w:r>
      <w:r w:rsidRPr="00C64421">
        <w:rPr>
          <w:rFonts w:ascii="Verdana" w:hAnsi="Verdana"/>
        </w:rPr>
        <w:t>53</w:t>
      </w:r>
      <w:r w:rsidRPr="00C64421">
        <w:rPr>
          <w:rFonts w:ascii="Verdana" w:hAnsi="Verdana"/>
          <w:spacing w:val="-11"/>
        </w:rPr>
        <w:t xml:space="preserve"> </w:t>
      </w:r>
      <w:r w:rsidRPr="00C64421">
        <w:rPr>
          <w:rFonts w:ascii="Verdana" w:hAnsi="Verdana"/>
        </w:rPr>
        <w:t>de</w:t>
      </w:r>
      <w:r w:rsidRPr="00C64421">
        <w:rPr>
          <w:rFonts w:ascii="Verdana" w:hAnsi="Verdana"/>
          <w:spacing w:val="-8"/>
        </w:rPr>
        <w:t xml:space="preserve"> </w:t>
      </w:r>
      <w:r w:rsidRPr="00C64421">
        <w:rPr>
          <w:rFonts w:ascii="Verdana" w:hAnsi="Verdana"/>
        </w:rPr>
        <w:t>la</w:t>
      </w:r>
      <w:r w:rsidRPr="00C64421">
        <w:rPr>
          <w:rFonts w:ascii="Verdana" w:hAnsi="Verdana"/>
          <w:spacing w:val="-9"/>
        </w:rPr>
        <w:t xml:space="preserve"> </w:t>
      </w:r>
      <w:r w:rsidRPr="00C64421">
        <w:rPr>
          <w:rFonts w:ascii="Verdana" w:hAnsi="Verdana"/>
        </w:rPr>
        <w:t>Ley</w:t>
      </w:r>
      <w:r w:rsidRPr="00C64421">
        <w:rPr>
          <w:rFonts w:ascii="Verdana" w:hAnsi="Verdana"/>
          <w:spacing w:val="-4"/>
        </w:rPr>
        <w:t xml:space="preserve"> </w:t>
      </w:r>
      <w:r w:rsidRPr="00C64421">
        <w:rPr>
          <w:rFonts w:ascii="Verdana" w:hAnsi="Verdana"/>
        </w:rPr>
        <w:t>2195</w:t>
      </w:r>
      <w:r w:rsidRPr="00C64421">
        <w:rPr>
          <w:rFonts w:ascii="Verdana" w:hAnsi="Verdana"/>
          <w:spacing w:val="-7"/>
        </w:rPr>
        <w:t xml:space="preserve"> </w:t>
      </w:r>
      <w:r w:rsidRPr="00C64421">
        <w:rPr>
          <w:rFonts w:ascii="Verdana" w:hAnsi="Verdana"/>
        </w:rPr>
        <w:t>de</w:t>
      </w:r>
      <w:r w:rsidRPr="00C64421">
        <w:rPr>
          <w:rFonts w:ascii="Verdana" w:hAnsi="Verdana"/>
          <w:spacing w:val="-8"/>
        </w:rPr>
        <w:t xml:space="preserve"> </w:t>
      </w:r>
      <w:r w:rsidRPr="00C64421">
        <w:rPr>
          <w:rFonts w:ascii="Verdana" w:hAnsi="Verdana"/>
        </w:rPr>
        <w:t>2022,</w:t>
      </w:r>
      <w:r w:rsidRPr="00C64421">
        <w:rPr>
          <w:rFonts w:ascii="Verdana" w:hAnsi="Verdana"/>
          <w:spacing w:val="-7"/>
        </w:rPr>
        <w:t xml:space="preserve"> </w:t>
      </w:r>
      <w:r w:rsidRPr="00C64421">
        <w:rPr>
          <w:rFonts w:ascii="Verdana" w:hAnsi="Verdana"/>
        </w:rPr>
        <w:t>y</w:t>
      </w:r>
      <w:r w:rsidRPr="00C64421">
        <w:rPr>
          <w:rFonts w:ascii="Verdana" w:hAnsi="Verdana"/>
          <w:spacing w:val="-7"/>
        </w:rPr>
        <w:t xml:space="preserve"> </w:t>
      </w:r>
      <w:r w:rsidRPr="00C64421">
        <w:rPr>
          <w:rFonts w:ascii="Verdana" w:hAnsi="Verdana"/>
        </w:rPr>
        <w:t>a</w:t>
      </w:r>
      <w:r w:rsidRPr="00C64421">
        <w:rPr>
          <w:rFonts w:ascii="Verdana" w:hAnsi="Verdana"/>
          <w:spacing w:val="-9"/>
        </w:rPr>
        <w:t xml:space="preserve"> </w:t>
      </w:r>
      <w:r w:rsidRPr="00C64421">
        <w:rPr>
          <w:rFonts w:ascii="Verdana" w:hAnsi="Verdana"/>
        </w:rPr>
        <w:t>la</w:t>
      </w:r>
      <w:r w:rsidRPr="00C64421">
        <w:rPr>
          <w:rFonts w:ascii="Verdana" w:hAnsi="Verdana"/>
          <w:spacing w:val="-13"/>
        </w:rPr>
        <w:t xml:space="preserve"> </w:t>
      </w:r>
      <w:r w:rsidRPr="00C64421">
        <w:rPr>
          <w:rFonts w:ascii="Verdana" w:hAnsi="Verdana"/>
        </w:rPr>
        <w:t>Circular Única Externa, así como la Circular 002 de 2024, expedidas por esta</w:t>
      </w:r>
      <w:r w:rsidRPr="00C64421">
        <w:rPr>
          <w:rFonts w:ascii="Verdana" w:hAnsi="Verdana"/>
          <w:spacing w:val="-1"/>
        </w:rPr>
        <w:t xml:space="preserve"> </w:t>
      </w:r>
      <w:r w:rsidRPr="00C64421">
        <w:rPr>
          <w:rFonts w:ascii="Verdana" w:hAnsi="Verdana"/>
        </w:rPr>
        <w:t>Agencia Publica de Contratación Pública – Colombia Compra Eficiente</w:t>
      </w:r>
      <w:r>
        <w:rPr>
          <w:rFonts w:ascii="Verdana" w:hAnsi="Verdana"/>
        </w:rPr>
        <w:t>.</w:t>
      </w:r>
    </w:p>
    <w:p w14:paraId="746653E1" w14:textId="2326A358" w:rsidR="00C64421" w:rsidRPr="00C64421" w:rsidRDefault="00C64421" w:rsidP="00C64421">
      <w:pPr>
        <w:pStyle w:val="Textoindependiente"/>
        <w:spacing w:before="1" w:line="276" w:lineRule="auto"/>
        <w:ind w:right="369"/>
        <w:jc w:val="both"/>
        <w:rPr>
          <w:rFonts w:ascii="Verdana" w:hAnsi="Verdana"/>
        </w:rPr>
      </w:pPr>
      <w:r w:rsidRPr="00C64421">
        <w:rPr>
          <w:rFonts w:ascii="Verdana" w:hAnsi="Verdana"/>
        </w:rPr>
        <w:t>Este deber de publicación, no desconoce</w:t>
      </w:r>
      <w:r w:rsidRPr="00C64421">
        <w:rPr>
          <w:rFonts w:ascii="Verdana" w:hAnsi="Verdana"/>
          <w:spacing w:val="-2"/>
        </w:rPr>
        <w:t xml:space="preserve"> </w:t>
      </w:r>
      <w:r w:rsidRPr="00C64421">
        <w:rPr>
          <w:rFonts w:ascii="Verdana" w:hAnsi="Verdana"/>
        </w:rPr>
        <w:t>la naturaleza y autonomía de la EICE, en el desarrollo de su actividad propia, industrial o comercial o de gestión</w:t>
      </w:r>
      <w:r w:rsidRPr="00C64421">
        <w:rPr>
          <w:rFonts w:ascii="Verdana" w:hAnsi="Verdana"/>
          <w:spacing w:val="-8"/>
        </w:rPr>
        <w:t xml:space="preserve"> </w:t>
      </w:r>
      <w:r w:rsidRPr="00C64421">
        <w:rPr>
          <w:rFonts w:ascii="Verdana" w:hAnsi="Verdana"/>
        </w:rPr>
        <w:t>económica,</w:t>
      </w:r>
      <w:r w:rsidRPr="00C64421">
        <w:rPr>
          <w:rFonts w:ascii="Verdana" w:hAnsi="Verdana"/>
          <w:spacing w:val="-8"/>
        </w:rPr>
        <w:t xml:space="preserve"> </w:t>
      </w:r>
      <w:r w:rsidRPr="00C64421">
        <w:rPr>
          <w:rFonts w:ascii="Verdana" w:hAnsi="Verdana"/>
        </w:rPr>
        <w:t>que</w:t>
      </w:r>
      <w:r w:rsidRPr="00C64421">
        <w:rPr>
          <w:rFonts w:ascii="Verdana" w:hAnsi="Verdana"/>
          <w:spacing w:val="-13"/>
        </w:rPr>
        <w:t xml:space="preserve"> </w:t>
      </w:r>
      <w:r w:rsidRPr="00C64421">
        <w:rPr>
          <w:rFonts w:ascii="Verdana" w:hAnsi="Verdana"/>
        </w:rPr>
        <w:t>según</w:t>
      </w:r>
      <w:r w:rsidRPr="00C64421">
        <w:rPr>
          <w:rFonts w:ascii="Verdana" w:hAnsi="Verdana"/>
          <w:spacing w:val="40"/>
        </w:rPr>
        <w:t xml:space="preserve"> </w:t>
      </w:r>
      <w:r w:rsidRPr="00C64421">
        <w:rPr>
          <w:rFonts w:ascii="Verdana" w:hAnsi="Verdana"/>
        </w:rPr>
        <w:t>lo</w:t>
      </w:r>
      <w:r w:rsidRPr="00C64421">
        <w:rPr>
          <w:rFonts w:ascii="Verdana" w:hAnsi="Verdana"/>
          <w:spacing w:val="-12"/>
        </w:rPr>
        <w:t xml:space="preserve"> </w:t>
      </w:r>
      <w:r w:rsidRPr="00C64421">
        <w:rPr>
          <w:rFonts w:ascii="Verdana" w:hAnsi="Verdana"/>
        </w:rPr>
        <w:t>enunciado</w:t>
      </w:r>
      <w:r w:rsidRPr="00C64421">
        <w:rPr>
          <w:rFonts w:ascii="Verdana" w:hAnsi="Verdana"/>
          <w:spacing w:val="-7"/>
        </w:rPr>
        <w:t xml:space="preserve"> </w:t>
      </w:r>
      <w:r w:rsidRPr="00C64421">
        <w:rPr>
          <w:rFonts w:ascii="Verdana" w:hAnsi="Verdana"/>
        </w:rPr>
        <w:t>en</w:t>
      </w:r>
      <w:r w:rsidRPr="00C64421">
        <w:rPr>
          <w:rFonts w:ascii="Verdana" w:hAnsi="Verdana"/>
          <w:spacing w:val="-8"/>
        </w:rPr>
        <w:t xml:space="preserve"> </w:t>
      </w:r>
      <w:r w:rsidRPr="00C64421">
        <w:rPr>
          <w:rFonts w:ascii="Verdana" w:hAnsi="Verdana"/>
        </w:rPr>
        <w:t>el</w:t>
      </w:r>
      <w:r w:rsidRPr="00C64421">
        <w:rPr>
          <w:rFonts w:ascii="Verdana" w:hAnsi="Verdana"/>
          <w:spacing w:val="-2"/>
        </w:rPr>
        <w:t xml:space="preserve"> </w:t>
      </w:r>
      <w:r w:rsidRPr="00C64421">
        <w:rPr>
          <w:rFonts w:ascii="Verdana" w:hAnsi="Verdana"/>
        </w:rPr>
        <w:t>artículo</w:t>
      </w:r>
      <w:r w:rsidRPr="00C64421">
        <w:rPr>
          <w:rFonts w:ascii="Verdana" w:hAnsi="Verdana"/>
          <w:spacing w:val="-12"/>
        </w:rPr>
        <w:t xml:space="preserve"> </w:t>
      </w:r>
      <w:r w:rsidRPr="00C64421">
        <w:rPr>
          <w:rFonts w:ascii="Verdana" w:hAnsi="Verdana"/>
        </w:rPr>
        <w:t>93</w:t>
      </w:r>
      <w:r w:rsidRPr="00C64421">
        <w:rPr>
          <w:rFonts w:ascii="Verdana" w:hAnsi="Verdana"/>
          <w:spacing w:val="-12"/>
        </w:rPr>
        <w:t xml:space="preserve"> </w:t>
      </w:r>
      <w:r w:rsidRPr="00C64421">
        <w:rPr>
          <w:rFonts w:ascii="Verdana" w:hAnsi="Verdana"/>
        </w:rPr>
        <w:t>de</w:t>
      </w:r>
      <w:r w:rsidRPr="00C64421">
        <w:rPr>
          <w:rFonts w:ascii="Verdana" w:hAnsi="Verdana"/>
          <w:spacing w:val="-9"/>
        </w:rPr>
        <w:t xml:space="preserve"> </w:t>
      </w:r>
      <w:r w:rsidRPr="00C64421">
        <w:rPr>
          <w:rFonts w:ascii="Verdana" w:hAnsi="Verdana"/>
        </w:rPr>
        <w:t>la</w:t>
      </w:r>
      <w:r w:rsidRPr="00C64421">
        <w:rPr>
          <w:rFonts w:ascii="Verdana" w:hAnsi="Verdana"/>
          <w:spacing w:val="-10"/>
        </w:rPr>
        <w:t xml:space="preserve"> </w:t>
      </w:r>
      <w:r w:rsidRPr="00C64421">
        <w:rPr>
          <w:rFonts w:ascii="Verdana" w:hAnsi="Verdana"/>
        </w:rPr>
        <w:t>Ley</w:t>
      </w:r>
      <w:r w:rsidRPr="00C64421">
        <w:rPr>
          <w:rFonts w:ascii="Verdana" w:hAnsi="Verdana"/>
          <w:spacing w:val="-12"/>
        </w:rPr>
        <w:t xml:space="preserve"> </w:t>
      </w:r>
      <w:r w:rsidRPr="00C64421">
        <w:rPr>
          <w:rFonts w:ascii="Verdana" w:hAnsi="Verdana"/>
        </w:rPr>
        <w:t>489</w:t>
      </w:r>
      <w:r w:rsidRPr="00C64421">
        <w:rPr>
          <w:rFonts w:ascii="Verdana" w:hAnsi="Verdana"/>
          <w:spacing w:val="-8"/>
        </w:rPr>
        <w:t xml:space="preserve"> </w:t>
      </w:r>
      <w:r w:rsidRPr="00C64421">
        <w:rPr>
          <w:rFonts w:ascii="Verdana" w:hAnsi="Verdana"/>
        </w:rPr>
        <w:t>de 1998, las faculta para que la actividad que corresponde al giro ordinario de sus negocios la sujeten a las disposiciones del Derecho Privado.</w:t>
      </w:r>
      <w:r>
        <w:rPr>
          <w:rFonts w:ascii="Verdana" w:hAnsi="Verdana"/>
        </w:rPr>
        <w:t xml:space="preserve"> </w:t>
      </w:r>
      <w:r w:rsidRPr="00C64421">
        <w:rPr>
          <w:rFonts w:ascii="Verdana" w:hAnsi="Verdana"/>
        </w:rPr>
        <w:t>En este sentido se concluye que, independientemente del régimen aplicable,</w:t>
      </w:r>
      <w:r w:rsidRPr="00C64421">
        <w:rPr>
          <w:rFonts w:ascii="Verdana" w:hAnsi="Verdana"/>
          <w:spacing w:val="-8"/>
        </w:rPr>
        <w:t xml:space="preserve"> </w:t>
      </w:r>
      <w:r w:rsidRPr="00C64421">
        <w:rPr>
          <w:rFonts w:ascii="Verdana" w:hAnsi="Verdana"/>
        </w:rPr>
        <w:t>los</w:t>
      </w:r>
      <w:r w:rsidRPr="00C64421">
        <w:rPr>
          <w:rFonts w:ascii="Verdana" w:hAnsi="Verdana"/>
          <w:spacing w:val="-8"/>
        </w:rPr>
        <w:t xml:space="preserve"> </w:t>
      </w:r>
      <w:r w:rsidRPr="00C64421">
        <w:rPr>
          <w:rFonts w:ascii="Verdana" w:hAnsi="Verdana"/>
        </w:rPr>
        <w:t>contratos</w:t>
      </w:r>
      <w:r w:rsidRPr="00C64421">
        <w:rPr>
          <w:rFonts w:ascii="Verdana" w:hAnsi="Verdana"/>
          <w:spacing w:val="-9"/>
        </w:rPr>
        <w:t xml:space="preserve"> </w:t>
      </w:r>
      <w:r w:rsidRPr="00C64421">
        <w:rPr>
          <w:rFonts w:ascii="Verdana" w:hAnsi="Verdana"/>
        </w:rPr>
        <w:t>de</w:t>
      </w:r>
      <w:r w:rsidRPr="00C64421">
        <w:rPr>
          <w:rFonts w:ascii="Verdana" w:hAnsi="Verdana"/>
          <w:spacing w:val="-11"/>
        </w:rPr>
        <w:t xml:space="preserve"> </w:t>
      </w:r>
      <w:r w:rsidRPr="00C64421">
        <w:rPr>
          <w:rFonts w:ascii="Verdana" w:hAnsi="Verdana"/>
        </w:rPr>
        <w:t>arrendamiento</w:t>
      </w:r>
      <w:r w:rsidRPr="00C64421">
        <w:rPr>
          <w:rFonts w:ascii="Verdana" w:hAnsi="Verdana"/>
          <w:spacing w:val="-4"/>
        </w:rPr>
        <w:t xml:space="preserve"> </w:t>
      </w:r>
      <w:r w:rsidRPr="00C64421">
        <w:rPr>
          <w:rFonts w:ascii="Verdana" w:hAnsi="Verdana"/>
        </w:rPr>
        <w:t>deben</w:t>
      </w:r>
      <w:r w:rsidRPr="00C64421">
        <w:rPr>
          <w:rFonts w:ascii="Verdana" w:hAnsi="Verdana"/>
          <w:spacing w:val="-9"/>
        </w:rPr>
        <w:t xml:space="preserve"> </w:t>
      </w:r>
      <w:r w:rsidRPr="00C64421">
        <w:rPr>
          <w:rFonts w:ascii="Verdana" w:hAnsi="Verdana"/>
        </w:rPr>
        <w:t>publicarse</w:t>
      </w:r>
      <w:r w:rsidRPr="00C64421">
        <w:rPr>
          <w:rFonts w:ascii="Verdana" w:hAnsi="Verdana"/>
          <w:spacing w:val="-11"/>
        </w:rPr>
        <w:t xml:space="preserve"> </w:t>
      </w:r>
      <w:r w:rsidRPr="00C64421">
        <w:rPr>
          <w:rFonts w:ascii="Verdana" w:hAnsi="Verdana"/>
        </w:rPr>
        <w:t>en</w:t>
      </w:r>
      <w:r w:rsidRPr="00C64421">
        <w:rPr>
          <w:rFonts w:ascii="Verdana" w:hAnsi="Verdana"/>
          <w:spacing w:val="-10"/>
        </w:rPr>
        <w:t xml:space="preserve"> </w:t>
      </w:r>
      <w:r w:rsidRPr="00C64421">
        <w:rPr>
          <w:rFonts w:ascii="Verdana" w:hAnsi="Verdana"/>
        </w:rPr>
        <w:t>el</w:t>
      </w:r>
      <w:r w:rsidRPr="00C64421">
        <w:rPr>
          <w:rFonts w:ascii="Verdana" w:hAnsi="Verdana"/>
          <w:spacing w:val="-10"/>
        </w:rPr>
        <w:t xml:space="preserve"> </w:t>
      </w:r>
      <w:r w:rsidRPr="00C64421">
        <w:rPr>
          <w:rFonts w:ascii="Verdana" w:hAnsi="Verdana"/>
        </w:rPr>
        <w:t>SECOP</w:t>
      </w:r>
      <w:r w:rsidRPr="00C64421">
        <w:rPr>
          <w:rFonts w:ascii="Verdana" w:hAnsi="Verdana"/>
          <w:spacing w:val="-12"/>
        </w:rPr>
        <w:t xml:space="preserve"> </w:t>
      </w:r>
      <w:r w:rsidRPr="00C64421">
        <w:rPr>
          <w:rFonts w:ascii="Verdana" w:hAnsi="Verdana"/>
        </w:rPr>
        <w:t>como los demás contratos estatales, en virtud del principio de publicidad de la función administrativa consagrado en el artículo 209 de la Constitución Política, el cual fue desarrollado por el legislador en el ámbito de la contratación</w:t>
      </w:r>
      <w:r w:rsidRPr="00C64421">
        <w:rPr>
          <w:rFonts w:ascii="Verdana" w:hAnsi="Verdana"/>
          <w:spacing w:val="-3"/>
        </w:rPr>
        <w:t xml:space="preserve"> </w:t>
      </w:r>
      <w:r w:rsidRPr="00C64421">
        <w:rPr>
          <w:rFonts w:ascii="Verdana" w:hAnsi="Verdana"/>
        </w:rPr>
        <w:t>estatal</w:t>
      </w:r>
      <w:r w:rsidRPr="00C64421">
        <w:rPr>
          <w:rFonts w:ascii="Verdana" w:hAnsi="Verdana"/>
          <w:spacing w:val="-3"/>
        </w:rPr>
        <w:t xml:space="preserve"> </w:t>
      </w:r>
      <w:r w:rsidRPr="00C64421">
        <w:rPr>
          <w:rFonts w:ascii="Verdana" w:hAnsi="Verdana"/>
        </w:rPr>
        <w:t>mediante</w:t>
      </w:r>
      <w:r w:rsidRPr="00C64421">
        <w:rPr>
          <w:rFonts w:ascii="Verdana" w:hAnsi="Verdana"/>
          <w:spacing w:val="-4"/>
        </w:rPr>
        <w:t xml:space="preserve"> </w:t>
      </w:r>
      <w:r w:rsidRPr="00C64421">
        <w:rPr>
          <w:rFonts w:ascii="Verdana" w:hAnsi="Verdana"/>
        </w:rPr>
        <w:t>el</w:t>
      </w:r>
      <w:r w:rsidRPr="00C64421">
        <w:rPr>
          <w:rFonts w:ascii="Verdana" w:hAnsi="Verdana"/>
          <w:spacing w:val="-3"/>
        </w:rPr>
        <w:t xml:space="preserve"> </w:t>
      </w:r>
      <w:r w:rsidRPr="00C64421">
        <w:rPr>
          <w:rFonts w:ascii="Verdana" w:hAnsi="Verdana"/>
        </w:rPr>
        <w:t>artículo</w:t>
      </w:r>
      <w:r w:rsidRPr="00C64421">
        <w:rPr>
          <w:rFonts w:ascii="Verdana" w:hAnsi="Verdana"/>
          <w:spacing w:val="-2"/>
        </w:rPr>
        <w:t xml:space="preserve"> </w:t>
      </w:r>
      <w:r w:rsidRPr="00C64421">
        <w:rPr>
          <w:rFonts w:ascii="Verdana" w:hAnsi="Verdana"/>
        </w:rPr>
        <w:t>3</w:t>
      </w:r>
      <w:r w:rsidRPr="00C64421">
        <w:rPr>
          <w:rFonts w:ascii="Verdana" w:hAnsi="Verdana"/>
          <w:spacing w:val="-3"/>
        </w:rPr>
        <w:t xml:space="preserve"> </w:t>
      </w:r>
      <w:r w:rsidRPr="00C64421">
        <w:rPr>
          <w:rFonts w:ascii="Verdana" w:hAnsi="Verdana"/>
        </w:rPr>
        <w:t>de</w:t>
      </w:r>
      <w:r w:rsidRPr="00C64421">
        <w:rPr>
          <w:rFonts w:ascii="Verdana" w:hAnsi="Verdana"/>
          <w:spacing w:val="-9"/>
        </w:rPr>
        <w:t xml:space="preserve"> </w:t>
      </w:r>
      <w:r w:rsidRPr="00C64421">
        <w:rPr>
          <w:rFonts w:ascii="Verdana" w:hAnsi="Verdana"/>
        </w:rPr>
        <w:t>la</w:t>
      </w:r>
      <w:r w:rsidRPr="00C64421">
        <w:rPr>
          <w:rFonts w:ascii="Verdana" w:hAnsi="Verdana"/>
          <w:spacing w:val="-5"/>
        </w:rPr>
        <w:t xml:space="preserve"> </w:t>
      </w:r>
      <w:r w:rsidRPr="00C64421">
        <w:rPr>
          <w:rFonts w:ascii="Verdana" w:hAnsi="Verdana"/>
        </w:rPr>
        <w:t>Ley</w:t>
      </w:r>
      <w:r w:rsidRPr="00C64421">
        <w:rPr>
          <w:rFonts w:ascii="Verdana" w:hAnsi="Verdana"/>
          <w:spacing w:val="-4"/>
        </w:rPr>
        <w:t xml:space="preserve"> </w:t>
      </w:r>
      <w:r w:rsidRPr="00C64421">
        <w:rPr>
          <w:rFonts w:ascii="Verdana" w:hAnsi="Verdana"/>
        </w:rPr>
        <w:t>1150</w:t>
      </w:r>
      <w:r w:rsidRPr="00C64421">
        <w:rPr>
          <w:rFonts w:ascii="Verdana" w:hAnsi="Verdana"/>
          <w:spacing w:val="-8"/>
        </w:rPr>
        <w:t xml:space="preserve"> </w:t>
      </w:r>
      <w:r w:rsidRPr="00C64421">
        <w:rPr>
          <w:rFonts w:ascii="Verdana" w:hAnsi="Verdana"/>
        </w:rPr>
        <w:t>de</w:t>
      </w:r>
      <w:r w:rsidRPr="00C64421">
        <w:rPr>
          <w:rFonts w:ascii="Verdana" w:hAnsi="Verdana"/>
          <w:spacing w:val="-4"/>
        </w:rPr>
        <w:t xml:space="preserve"> </w:t>
      </w:r>
      <w:r w:rsidRPr="00C64421">
        <w:rPr>
          <w:rFonts w:ascii="Verdana" w:hAnsi="Verdana"/>
        </w:rPr>
        <w:t>2007,</w:t>
      </w:r>
      <w:r w:rsidRPr="00C64421">
        <w:rPr>
          <w:rFonts w:ascii="Verdana" w:hAnsi="Verdana"/>
          <w:spacing w:val="-8"/>
        </w:rPr>
        <w:t xml:space="preserve"> </w:t>
      </w:r>
      <w:r w:rsidRPr="00C64421">
        <w:rPr>
          <w:rFonts w:ascii="Verdana" w:hAnsi="Verdana"/>
        </w:rPr>
        <w:t>el</w:t>
      </w:r>
      <w:r w:rsidRPr="00C64421">
        <w:rPr>
          <w:rFonts w:ascii="Verdana" w:hAnsi="Verdana"/>
          <w:spacing w:val="-3"/>
        </w:rPr>
        <w:t xml:space="preserve"> </w:t>
      </w:r>
      <w:r w:rsidRPr="00C64421">
        <w:rPr>
          <w:rFonts w:ascii="Verdana" w:hAnsi="Verdana"/>
        </w:rPr>
        <w:t>artículo 11,</w:t>
      </w:r>
      <w:r w:rsidRPr="00C64421">
        <w:rPr>
          <w:rFonts w:ascii="Verdana" w:hAnsi="Verdana"/>
          <w:spacing w:val="-1"/>
        </w:rPr>
        <w:t xml:space="preserve"> </w:t>
      </w:r>
      <w:r w:rsidRPr="00C64421">
        <w:rPr>
          <w:rFonts w:ascii="Verdana" w:hAnsi="Verdana"/>
        </w:rPr>
        <w:t>literal</w:t>
      </w:r>
      <w:r w:rsidRPr="00C64421">
        <w:rPr>
          <w:rFonts w:ascii="Verdana" w:hAnsi="Verdana"/>
          <w:spacing w:val="-1"/>
        </w:rPr>
        <w:t xml:space="preserve"> </w:t>
      </w:r>
      <w:r w:rsidRPr="00C64421">
        <w:rPr>
          <w:rFonts w:ascii="Verdana" w:hAnsi="Verdana"/>
        </w:rPr>
        <w:t>g</w:t>
      </w:r>
      <w:r w:rsidRPr="00C64421">
        <w:rPr>
          <w:rFonts w:ascii="Verdana" w:hAnsi="Verdana"/>
          <w:spacing w:val="-3"/>
        </w:rPr>
        <w:t xml:space="preserve"> </w:t>
      </w:r>
      <w:r w:rsidRPr="00C64421">
        <w:rPr>
          <w:rFonts w:ascii="Verdana" w:hAnsi="Verdana"/>
        </w:rPr>
        <w:t>de</w:t>
      </w:r>
      <w:r w:rsidRPr="00C64421">
        <w:rPr>
          <w:rFonts w:ascii="Verdana" w:hAnsi="Verdana"/>
          <w:spacing w:val="-8"/>
        </w:rPr>
        <w:t xml:space="preserve"> </w:t>
      </w:r>
      <w:r w:rsidRPr="00C64421">
        <w:rPr>
          <w:rFonts w:ascii="Verdana" w:hAnsi="Verdana"/>
        </w:rPr>
        <w:t>la</w:t>
      </w:r>
      <w:r w:rsidRPr="00C64421">
        <w:rPr>
          <w:rFonts w:ascii="Verdana" w:hAnsi="Verdana"/>
          <w:spacing w:val="-8"/>
        </w:rPr>
        <w:t xml:space="preserve"> </w:t>
      </w:r>
      <w:r w:rsidRPr="00C64421">
        <w:rPr>
          <w:rFonts w:ascii="Verdana" w:hAnsi="Verdana"/>
        </w:rPr>
        <w:t>Ley</w:t>
      </w:r>
      <w:r w:rsidRPr="00C64421">
        <w:rPr>
          <w:rFonts w:ascii="Verdana" w:hAnsi="Verdana"/>
          <w:spacing w:val="-2"/>
        </w:rPr>
        <w:t xml:space="preserve"> </w:t>
      </w:r>
      <w:r w:rsidRPr="00C64421">
        <w:rPr>
          <w:rFonts w:ascii="Verdana" w:hAnsi="Verdana"/>
        </w:rPr>
        <w:t>1712</w:t>
      </w:r>
      <w:r w:rsidRPr="00C64421">
        <w:rPr>
          <w:rFonts w:ascii="Verdana" w:hAnsi="Verdana"/>
          <w:spacing w:val="-6"/>
        </w:rPr>
        <w:t xml:space="preserve"> </w:t>
      </w:r>
      <w:r w:rsidRPr="00C64421">
        <w:rPr>
          <w:rFonts w:ascii="Verdana" w:hAnsi="Verdana"/>
        </w:rPr>
        <w:t>de</w:t>
      </w:r>
      <w:r w:rsidRPr="00C64421">
        <w:rPr>
          <w:rFonts w:ascii="Verdana" w:hAnsi="Verdana"/>
          <w:spacing w:val="-8"/>
        </w:rPr>
        <w:t xml:space="preserve"> </w:t>
      </w:r>
      <w:r w:rsidRPr="00C64421">
        <w:rPr>
          <w:rFonts w:ascii="Verdana" w:hAnsi="Verdana"/>
        </w:rPr>
        <w:t>2014</w:t>
      </w:r>
      <w:r w:rsidRPr="00C64421">
        <w:rPr>
          <w:rFonts w:ascii="Verdana" w:hAnsi="Verdana"/>
          <w:spacing w:val="-6"/>
        </w:rPr>
        <w:t xml:space="preserve"> </w:t>
      </w:r>
      <w:r w:rsidRPr="00C64421">
        <w:rPr>
          <w:rFonts w:ascii="Verdana" w:hAnsi="Verdana"/>
        </w:rPr>
        <w:t>y</w:t>
      </w:r>
      <w:r w:rsidRPr="00C64421">
        <w:rPr>
          <w:rFonts w:ascii="Verdana" w:hAnsi="Verdana"/>
          <w:spacing w:val="-7"/>
        </w:rPr>
        <w:t xml:space="preserve"> </w:t>
      </w:r>
      <w:r w:rsidRPr="00C64421">
        <w:rPr>
          <w:rFonts w:ascii="Verdana" w:hAnsi="Verdana"/>
        </w:rPr>
        <w:t>su</w:t>
      </w:r>
      <w:r w:rsidRPr="00C64421">
        <w:rPr>
          <w:rFonts w:ascii="Verdana" w:hAnsi="Verdana"/>
          <w:spacing w:val="-5"/>
        </w:rPr>
        <w:t xml:space="preserve"> </w:t>
      </w:r>
      <w:r w:rsidRPr="00C64421">
        <w:rPr>
          <w:rFonts w:ascii="Verdana" w:hAnsi="Verdana"/>
        </w:rPr>
        <w:t>reglamentación,</w:t>
      </w:r>
      <w:r w:rsidRPr="00C64421">
        <w:rPr>
          <w:rFonts w:ascii="Verdana" w:hAnsi="Verdana"/>
          <w:spacing w:val="-2"/>
        </w:rPr>
        <w:t xml:space="preserve"> </w:t>
      </w:r>
      <w:r w:rsidRPr="00C64421">
        <w:rPr>
          <w:rFonts w:ascii="Verdana" w:hAnsi="Verdana"/>
        </w:rPr>
        <w:t>normas</w:t>
      </w:r>
      <w:r w:rsidRPr="00C64421">
        <w:rPr>
          <w:rFonts w:ascii="Verdana" w:hAnsi="Verdana"/>
          <w:spacing w:val="-6"/>
        </w:rPr>
        <w:t xml:space="preserve"> </w:t>
      </w:r>
      <w:r w:rsidRPr="00C64421">
        <w:rPr>
          <w:rFonts w:ascii="Verdana" w:hAnsi="Verdana"/>
        </w:rPr>
        <w:t>que</w:t>
      </w:r>
      <w:r w:rsidRPr="00C64421">
        <w:rPr>
          <w:rFonts w:ascii="Verdana" w:hAnsi="Verdana"/>
          <w:spacing w:val="-7"/>
        </w:rPr>
        <w:t xml:space="preserve"> </w:t>
      </w:r>
      <w:r w:rsidRPr="00C64421">
        <w:rPr>
          <w:rFonts w:ascii="Verdana" w:hAnsi="Verdana"/>
        </w:rPr>
        <w:t>obligan a</w:t>
      </w:r>
      <w:r w:rsidRPr="00C64421">
        <w:rPr>
          <w:rFonts w:ascii="Verdana" w:hAnsi="Verdana"/>
          <w:spacing w:val="-2"/>
        </w:rPr>
        <w:t xml:space="preserve"> </w:t>
      </w:r>
      <w:r w:rsidRPr="00C64421">
        <w:rPr>
          <w:rFonts w:ascii="Verdana" w:hAnsi="Verdana"/>
        </w:rPr>
        <w:t>que</w:t>
      </w:r>
      <w:r w:rsidRPr="00C64421">
        <w:rPr>
          <w:rFonts w:ascii="Verdana" w:hAnsi="Verdana"/>
          <w:spacing w:val="-1"/>
        </w:rPr>
        <w:t xml:space="preserve"> </w:t>
      </w:r>
      <w:r w:rsidRPr="00C64421">
        <w:rPr>
          <w:rFonts w:ascii="Verdana" w:hAnsi="Verdana"/>
        </w:rPr>
        <w:t>la</w:t>
      </w:r>
      <w:r w:rsidRPr="00C64421">
        <w:rPr>
          <w:rFonts w:ascii="Verdana" w:hAnsi="Verdana"/>
          <w:spacing w:val="-1"/>
        </w:rPr>
        <w:t xml:space="preserve"> </w:t>
      </w:r>
      <w:r w:rsidRPr="00C64421">
        <w:rPr>
          <w:rFonts w:ascii="Verdana" w:hAnsi="Verdana"/>
        </w:rPr>
        <w:t>publicidad</w:t>
      </w:r>
      <w:r w:rsidRPr="00C64421">
        <w:rPr>
          <w:rFonts w:ascii="Verdana" w:hAnsi="Verdana"/>
          <w:spacing w:val="-1"/>
        </w:rPr>
        <w:t xml:space="preserve"> </w:t>
      </w:r>
      <w:r w:rsidRPr="00C64421">
        <w:rPr>
          <w:rFonts w:ascii="Verdana" w:hAnsi="Verdana"/>
        </w:rPr>
        <w:t>de</w:t>
      </w:r>
      <w:r w:rsidRPr="00C64421">
        <w:rPr>
          <w:rFonts w:ascii="Verdana" w:hAnsi="Verdana"/>
          <w:spacing w:val="-1"/>
        </w:rPr>
        <w:t xml:space="preserve"> </w:t>
      </w:r>
      <w:r w:rsidRPr="00C64421">
        <w:rPr>
          <w:rFonts w:ascii="Verdana" w:hAnsi="Verdana"/>
        </w:rPr>
        <w:t>los contratos celebrados por</w:t>
      </w:r>
      <w:r w:rsidRPr="00C64421">
        <w:rPr>
          <w:rFonts w:ascii="Verdana" w:hAnsi="Verdana"/>
          <w:spacing w:val="-2"/>
        </w:rPr>
        <w:t xml:space="preserve"> </w:t>
      </w:r>
      <w:r w:rsidRPr="00C64421">
        <w:rPr>
          <w:rFonts w:ascii="Verdana" w:hAnsi="Verdana"/>
        </w:rPr>
        <w:t>las Entidades Estatales se realice a través del SECOP.</w:t>
      </w:r>
    </w:p>
    <w:p w14:paraId="5CAE7D9E" w14:textId="663F6A2F" w:rsidR="00C64421" w:rsidRDefault="00C64421" w:rsidP="00CA1312">
      <w:pPr>
        <w:pStyle w:val="Textoindependiente"/>
        <w:spacing w:before="168"/>
        <w:rPr>
          <w:rFonts w:ascii="Verdana" w:hAnsi="Verdana"/>
        </w:rPr>
      </w:pPr>
    </w:p>
    <w:p w14:paraId="3ED91862" w14:textId="77777777" w:rsidR="00C64421" w:rsidRDefault="00C64421" w:rsidP="00CA1312">
      <w:pPr>
        <w:pStyle w:val="Textoindependiente"/>
        <w:spacing w:before="168"/>
        <w:rPr>
          <w:rFonts w:ascii="Verdana" w:hAnsi="Verdana"/>
        </w:rPr>
      </w:pPr>
    </w:p>
    <w:p w14:paraId="109229E2" w14:textId="77777777" w:rsidR="00C64421" w:rsidRDefault="00C64421" w:rsidP="00CA1312">
      <w:pPr>
        <w:pStyle w:val="Textoindependiente"/>
        <w:spacing w:before="168"/>
        <w:rPr>
          <w:rFonts w:ascii="Verdana" w:hAnsi="Verdana"/>
        </w:rPr>
      </w:pPr>
    </w:p>
    <w:p w14:paraId="671957BF" w14:textId="77777777" w:rsidR="00C64421" w:rsidRDefault="00C64421" w:rsidP="00CA1312">
      <w:pPr>
        <w:pStyle w:val="Textoindependiente"/>
        <w:spacing w:before="168"/>
        <w:rPr>
          <w:rFonts w:ascii="Verdana" w:hAnsi="Verdana"/>
        </w:rPr>
      </w:pPr>
    </w:p>
    <w:p w14:paraId="5CDE7D73" w14:textId="77777777" w:rsidR="00C64421" w:rsidRDefault="00C64421" w:rsidP="00CA1312">
      <w:pPr>
        <w:pStyle w:val="Textoindependiente"/>
        <w:spacing w:before="168"/>
        <w:rPr>
          <w:rFonts w:ascii="Verdana" w:hAnsi="Verdana"/>
        </w:rPr>
      </w:pPr>
    </w:p>
    <w:p w14:paraId="5CE13CCB" w14:textId="77777777" w:rsidR="00C64421" w:rsidRDefault="00C64421" w:rsidP="00CA1312">
      <w:pPr>
        <w:pStyle w:val="Textoindependiente"/>
        <w:spacing w:before="168"/>
        <w:rPr>
          <w:rFonts w:ascii="Verdana" w:hAnsi="Verdana"/>
        </w:rPr>
      </w:pPr>
    </w:p>
    <w:p w14:paraId="60E431A9" w14:textId="77777777" w:rsidR="00C64421" w:rsidRDefault="00C64421" w:rsidP="00CA1312">
      <w:pPr>
        <w:pStyle w:val="Textoindependiente"/>
        <w:spacing w:before="168"/>
        <w:rPr>
          <w:rFonts w:ascii="Verdana" w:hAnsi="Verdana"/>
        </w:rPr>
      </w:pPr>
    </w:p>
    <w:p w14:paraId="0F99F7AE" w14:textId="47E615EE" w:rsidR="00CA1312" w:rsidRPr="00CA1312" w:rsidRDefault="00CA1312" w:rsidP="00CA1312">
      <w:pPr>
        <w:pStyle w:val="Textoindependiente"/>
        <w:spacing w:before="168"/>
        <w:rPr>
          <w:rFonts w:ascii="Verdana" w:hAnsi="Verdana"/>
        </w:rPr>
      </w:pPr>
      <w:r w:rsidRPr="00CA1312">
        <w:rPr>
          <w:rFonts w:ascii="Verdana" w:hAnsi="Verdana"/>
          <w:noProof/>
        </w:rPr>
        <w:drawing>
          <wp:anchor distT="0" distB="0" distL="0" distR="0" simplePos="0" relativeHeight="251659264" behindDoc="0" locked="0" layoutInCell="1" allowOverlap="1" wp14:anchorId="20BF78B3" wp14:editId="6C861E20">
            <wp:simplePos x="0" y="0"/>
            <wp:positionH relativeFrom="page">
              <wp:posOffset>4291965</wp:posOffset>
            </wp:positionH>
            <wp:positionV relativeFrom="paragraph">
              <wp:posOffset>102996</wp:posOffset>
            </wp:positionV>
            <wp:extent cx="2400300" cy="61595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1" cstate="print"/>
                    <a:stretch>
                      <a:fillRect/>
                    </a:stretch>
                  </pic:blipFill>
                  <pic:spPr>
                    <a:xfrm>
                      <a:off x="0" y="0"/>
                      <a:ext cx="2400300" cy="615950"/>
                    </a:xfrm>
                    <a:prstGeom prst="rect">
                      <a:avLst/>
                    </a:prstGeom>
                  </pic:spPr>
                </pic:pic>
              </a:graphicData>
            </a:graphic>
          </wp:anchor>
        </w:drawing>
      </w:r>
      <w:r w:rsidRPr="00CA1312">
        <w:rPr>
          <w:rFonts w:ascii="Verdana" w:hAnsi="Verdana"/>
        </w:rPr>
        <w:t>Bogotá</w:t>
      </w:r>
      <w:r w:rsidRPr="00CA1312">
        <w:rPr>
          <w:rFonts w:ascii="Verdana" w:hAnsi="Verdana"/>
          <w:spacing w:val="-6"/>
        </w:rPr>
        <w:t xml:space="preserve"> </w:t>
      </w:r>
      <w:r w:rsidRPr="00CA1312">
        <w:rPr>
          <w:rFonts w:ascii="Verdana" w:hAnsi="Verdana"/>
        </w:rPr>
        <w:t>D.C.,</w:t>
      </w:r>
      <w:r w:rsidRPr="00CA1312">
        <w:rPr>
          <w:rFonts w:ascii="Verdana" w:hAnsi="Verdana"/>
          <w:spacing w:val="-4"/>
        </w:rPr>
        <w:t xml:space="preserve"> </w:t>
      </w:r>
      <w:r w:rsidRPr="00CA1312">
        <w:rPr>
          <w:rFonts w:ascii="Verdana" w:hAnsi="Verdana"/>
        </w:rPr>
        <w:t>01</w:t>
      </w:r>
      <w:r w:rsidRPr="00CA1312">
        <w:rPr>
          <w:rFonts w:ascii="Verdana" w:hAnsi="Verdana"/>
          <w:spacing w:val="-3"/>
        </w:rPr>
        <w:t xml:space="preserve"> </w:t>
      </w:r>
      <w:r w:rsidRPr="00CA1312">
        <w:rPr>
          <w:rFonts w:ascii="Verdana" w:hAnsi="Verdana"/>
        </w:rPr>
        <w:t>Octubre</w:t>
      </w:r>
      <w:r w:rsidRPr="00CA1312">
        <w:rPr>
          <w:rFonts w:ascii="Verdana" w:hAnsi="Verdana"/>
          <w:spacing w:val="-2"/>
        </w:rPr>
        <w:t xml:space="preserve"> </w:t>
      </w:r>
      <w:r w:rsidRPr="00CA1312">
        <w:rPr>
          <w:rFonts w:ascii="Verdana" w:hAnsi="Verdana"/>
          <w:spacing w:val="-4"/>
        </w:rPr>
        <w:t>2025</w:t>
      </w:r>
    </w:p>
    <w:p w14:paraId="5BE978FD" w14:textId="77777777" w:rsidR="00871B59" w:rsidRPr="00CA1312" w:rsidRDefault="00871B59" w:rsidP="00871B59">
      <w:pPr>
        <w:spacing w:after="0" w:line="240" w:lineRule="auto"/>
        <w:jc w:val="both"/>
        <w:rPr>
          <w:rFonts w:ascii="Verdana" w:eastAsia="Calibri" w:hAnsi="Verdana" w:cs="Arial"/>
          <w:color w:val="000000"/>
        </w:rPr>
      </w:pPr>
    </w:p>
    <w:p w14:paraId="26D35C47" w14:textId="57218394" w:rsidR="00871B59" w:rsidRDefault="00302FD9" w:rsidP="00871B59">
      <w:pPr>
        <w:spacing w:after="0" w:line="240" w:lineRule="auto"/>
        <w:jc w:val="both"/>
        <w:rPr>
          <w:rFonts w:ascii="Verdana" w:eastAsia="Calibri" w:hAnsi="Verdana" w:cs="Arial"/>
          <w:lang w:val="es-ES" w:eastAsia="es-ES"/>
        </w:rPr>
      </w:pPr>
      <w:r>
        <w:rPr>
          <w:rFonts w:ascii="Verdana" w:eastAsia="Calibri" w:hAnsi="Verdana" w:cs="Arial"/>
          <w:lang w:val="es-ES" w:eastAsia="es-ES"/>
        </w:rPr>
        <w:t>S</w:t>
      </w:r>
      <w:r w:rsidR="00871B59" w:rsidRPr="00B96799">
        <w:rPr>
          <w:rFonts w:ascii="Verdana" w:eastAsia="Calibri" w:hAnsi="Verdana" w:cs="Arial"/>
          <w:lang w:val="es-ES" w:eastAsia="es-ES"/>
        </w:rPr>
        <w:t>eñ</w:t>
      </w:r>
      <w:r>
        <w:rPr>
          <w:rFonts w:ascii="Verdana" w:eastAsia="Calibri" w:hAnsi="Verdana" w:cs="Arial"/>
          <w:lang w:val="es-ES" w:eastAsia="es-ES"/>
        </w:rPr>
        <w:t xml:space="preserve">ora </w:t>
      </w:r>
    </w:p>
    <w:p w14:paraId="7135F461" w14:textId="119B6874" w:rsidR="00302FD9" w:rsidRPr="00302FD9" w:rsidRDefault="00302FD9" w:rsidP="00871B59">
      <w:pPr>
        <w:spacing w:after="0" w:line="240" w:lineRule="auto"/>
        <w:jc w:val="both"/>
        <w:rPr>
          <w:rFonts w:ascii="Verdana" w:eastAsia="Calibri" w:hAnsi="Verdana" w:cs="Arial"/>
          <w:b/>
          <w:bCs/>
          <w:lang w:val="es-ES" w:eastAsia="es-ES"/>
        </w:rPr>
      </w:pPr>
      <w:r w:rsidRPr="00302FD9">
        <w:rPr>
          <w:rFonts w:ascii="Verdana" w:eastAsia="Calibri" w:hAnsi="Verdana" w:cs="Arial"/>
          <w:b/>
          <w:bCs/>
          <w:lang w:val="es-ES" w:eastAsia="es-ES"/>
        </w:rPr>
        <w:t xml:space="preserve">Daniela </w:t>
      </w:r>
      <w:proofErr w:type="spellStart"/>
      <w:r w:rsidRPr="00302FD9">
        <w:rPr>
          <w:rFonts w:ascii="Verdana" w:eastAsia="Calibri" w:hAnsi="Verdana" w:cs="Arial"/>
          <w:b/>
          <w:bCs/>
          <w:lang w:val="es-ES" w:eastAsia="es-ES"/>
        </w:rPr>
        <w:t>Daniela</w:t>
      </w:r>
      <w:proofErr w:type="spellEnd"/>
      <w:r w:rsidRPr="00302FD9">
        <w:rPr>
          <w:rFonts w:ascii="Verdana" w:eastAsia="Calibri" w:hAnsi="Verdana" w:cs="Arial"/>
          <w:b/>
          <w:bCs/>
          <w:lang w:val="es-ES" w:eastAsia="es-ES"/>
        </w:rPr>
        <w:t xml:space="preserve"> Vargas Álzate </w:t>
      </w:r>
    </w:p>
    <w:p w14:paraId="0D9BB5B2" w14:textId="18AF08D0" w:rsidR="00302FD9" w:rsidRDefault="00302FD9" w:rsidP="00871B59">
      <w:pPr>
        <w:spacing w:after="0" w:line="240" w:lineRule="auto"/>
        <w:rPr>
          <w:rFonts w:ascii="Verdana" w:eastAsia="Calibri" w:hAnsi="Verdana" w:cs="Arial"/>
          <w:lang w:val="es-ES" w:eastAsia="es-ES"/>
        </w:rPr>
      </w:pPr>
      <w:hyperlink r:id="rId12" w:history="1">
        <w:r w:rsidRPr="00540878">
          <w:rPr>
            <w:rStyle w:val="Hipervnculo"/>
            <w:rFonts w:ascii="Verdana" w:eastAsia="Calibri" w:hAnsi="Verdana" w:cs="Arial"/>
            <w:lang w:val="es-ES" w:eastAsia="es-ES"/>
          </w:rPr>
          <w:t>diradministrativo@loteriadelvalle.com</w:t>
        </w:r>
      </w:hyperlink>
    </w:p>
    <w:p w14:paraId="63325A07" w14:textId="28277AB8" w:rsidR="00871B59" w:rsidRPr="00593A5F" w:rsidRDefault="00302FD9" w:rsidP="00871B59">
      <w:pPr>
        <w:spacing w:after="0" w:line="240" w:lineRule="auto"/>
        <w:rPr>
          <w:rFonts w:ascii="Verdana" w:eastAsia="Calibri" w:hAnsi="Verdana" w:cs="Arial"/>
          <w:b/>
          <w:bCs/>
          <w:color w:val="000000"/>
          <w:lang w:val="es-ES_tradnl" w:eastAsia="es-ES_tradnl"/>
        </w:rPr>
      </w:pPr>
      <w:r>
        <w:rPr>
          <w:rFonts w:ascii="Verdana" w:eastAsia="Calibri" w:hAnsi="Verdana" w:cs="Arial"/>
          <w:lang w:val="es-ES" w:eastAsia="es-ES"/>
        </w:rPr>
        <w:t xml:space="preserve">Cali, Valle del Cauca </w:t>
      </w:r>
    </w:p>
    <w:p w14:paraId="1DB4BA1A"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593A5F" w14:paraId="7EABC0C1" w14:textId="77777777" w:rsidTr="002607A7">
        <w:trPr>
          <w:trHeight w:val="884"/>
        </w:trPr>
        <w:tc>
          <w:tcPr>
            <w:tcW w:w="2689" w:type="dxa"/>
          </w:tcPr>
          <w:p w14:paraId="39543F14" w14:textId="77777777" w:rsidR="00871B59" w:rsidRPr="00C00976" w:rsidRDefault="00871B59" w:rsidP="002607A7">
            <w:pPr>
              <w:jc w:val="both"/>
              <w:rPr>
                <w:rFonts w:ascii="Verdana" w:eastAsia="Calibri" w:hAnsi="Verdana" w:cs="Arial"/>
                <w:b/>
                <w:bCs/>
                <w:color w:val="7030A0"/>
                <w:lang w:val="es-ES_tradnl" w:eastAsia="es-ES_tradnl"/>
              </w:rPr>
            </w:pPr>
          </w:p>
        </w:tc>
        <w:tc>
          <w:tcPr>
            <w:tcW w:w="6100" w:type="dxa"/>
          </w:tcPr>
          <w:p w14:paraId="7004AE9D" w14:textId="5135C83B" w:rsidR="00871B59" w:rsidRPr="00C00976" w:rsidRDefault="00871B59" w:rsidP="002607A7">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Concepto C</w:t>
            </w:r>
            <w:r w:rsidR="00302FD9">
              <w:rPr>
                <w:rFonts w:ascii="Verdana" w:eastAsia="Calibri" w:hAnsi="Verdana" w:cs="Arial"/>
                <w:b/>
                <w:bCs/>
                <w:lang w:val="es-ES" w:eastAsia="es-ES"/>
              </w:rPr>
              <w:t>- 1171 de 2025</w:t>
            </w:r>
            <w:r w:rsidRPr="00C00976">
              <w:rPr>
                <w:rFonts w:ascii="Verdana" w:eastAsia="Calibri" w:hAnsi="Verdana" w:cs="Arial"/>
                <w:b/>
                <w:bCs/>
                <w:color w:val="7030A0"/>
                <w:lang w:val="es-ES" w:eastAsia="es-ES"/>
              </w:rPr>
              <w:t xml:space="preserve"> </w:t>
            </w:r>
          </w:p>
        </w:tc>
      </w:tr>
      <w:tr w:rsidR="00871B59" w:rsidRPr="00593A5F" w14:paraId="479B4CBB" w14:textId="77777777" w:rsidTr="002607A7">
        <w:trPr>
          <w:trHeight w:val="884"/>
        </w:trPr>
        <w:tc>
          <w:tcPr>
            <w:tcW w:w="2689" w:type="dxa"/>
          </w:tcPr>
          <w:p w14:paraId="1E0EB8C2" w14:textId="77777777" w:rsidR="00871B59" w:rsidRPr="00302FD9" w:rsidRDefault="00871B59" w:rsidP="002607A7">
            <w:pPr>
              <w:jc w:val="both"/>
              <w:rPr>
                <w:rFonts w:ascii="Verdana" w:eastAsia="Calibri" w:hAnsi="Verdana" w:cs="Arial"/>
                <w:color w:val="000000" w:themeColor="text1"/>
                <w:lang w:val="es-ES_tradnl" w:eastAsia="es-ES_tradnl"/>
              </w:rPr>
            </w:pPr>
            <w:r w:rsidRPr="00302FD9">
              <w:rPr>
                <w:rFonts w:ascii="Verdana" w:eastAsia="Calibri" w:hAnsi="Verdana" w:cs="Arial"/>
                <w:b/>
                <w:color w:val="000000" w:themeColor="text1"/>
                <w:lang w:val="es-ES_tradnl" w:eastAsia="es-ES_tradnl"/>
              </w:rPr>
              <w:t>Temas:</w:t>
            </w:r>
            <w:r w:rsidRPr="00302FD9">
              <w:rPr>
                <w:rFonts w:ascii="Verdana" w:eastAsia="Calibri" w:hAnsi="Verdana" w:cs="Arial"/>
                <w:color w:val="000000" w:themeColor="text1"/>
                <w:lang w:val="es-ES_tradnl" w:eastAsia="es-ES_tradnl"/>
              </w:rPr>
              <w:t xml:space="preserve">                   </w:t>
            </w:r>
          </w:p>
        </w:tc>
        <w:tc>
          <w:tcPr>
            <w:tcW w:w="6100" w:type="dxa"/>
          </w:tcPr>
          <w:p w14:paraId="080E091B" w14:textId="6EA707B2" w:rsidR="00302FD9" w:rsidRPr="00302FD9" w:rsidRDefault="00302FD9" w:rsidP="00302FD9">
            <w:pPr>
              <w:jc w:val="both"/>
              <w:rPr>
                <w:rFonts w:ascii="Verdana" w:eastAsia="Times New Roman" w:hAnsi="Verdana" w:cs="Arial"/>
                <w:color w:val="000000" w:themeColor="text1"/>
                <w:lang w:eastAsia="es-ES"/>
              </w:rPr>
            </w:pPr>
            <w:r w:rsidRPr="00302FD9">
              <w:rPr>
                <w:rFonts w:ascii="Verdana" w:eastAsia="Times New Roman" w:hAnsi="Verdana" w:cs="Arial"/>
                <w:color w:val="000000" w:themeColor="text1"/>
                <w:lang w:eastAsia="es-ES"/>
              </w:rPr>
              <w:t xml:space="preserve">EMPRESAS INDUSTRIALES Y COMERCIALES DEL ESTADO – Naturaleza jurídica – Régimen de contratación / EMPRESAS INDUSTRIALES Y COMERCIALES DEL ESTADO – Derecho privado – </w:t>
            </w:r>
            <w:r w:rsidR="00D525B3">
              <w:rPr>
                <w:rFonts w:ascii="Verdana" w:eastAsia="Times New Roman" w:hAnsi="Verdana" w:cs="Arial"/>
                <w:color w:val="000000" w:themeColor="text1"/>
                <w:lang w:eastAsia="es-ES"/>
              </w:rPr>
              <w:t>gestión Económica – SECOP II</w:t>
            </w:r>
          </w:p>
          <w:p w14:paraId="6BAC2F31" w14:textId="77777777" w:rsidR="00871B59" w:rsidRPr="00302FD9" w:rsidRDefault="00871B59" w:rsidP="002607A7">
            <w:pPr>
              <w:spacing w:line="276" w:lineRule="auto"/>
              <w:jc w:val="both"/>
              <w:rPr>
                <w:rFonts w:ascii="Verdana" w:eastAsia="Calibri" w:hAnsi="Verdana" w:cs="Arial"/>
                <w:color w:val="000000" w:themeColor="text1"/>
                <w:lang w:val="es-ES" w:eastAsia="es-ES"/>
              </w:rPr>
            </w:pPr>
          </w:p>
        </w:tc>
      </w:tr>
      <w:tr w:rsidR="00871B59" w:rsidRPr="00593A5F" w14:paraId="1F79F298" w14:textId="77777777" w:rsidTr="002607A7">
        <w:tc>
          <w:tcPr>
            <w:tcW w:w="2689" w:type="dxa"/>
          </w:tcPr>
          <w:p w14:paraId="2BDB8B5C" w14:textId="77777777" w:rsidR="00871B59" w:rsidRPr="00302FD9" w:rsidRDefault="00871B59" w:rsidP="002607A7">
            <w:pPr>
              <w:jc w:val="both"/>
              <w:rPr>
                <w:rFonts w:ascii="Verdana" w:eastAsia="Calibri" w:hAnsi="Verdana" w:cs="Arial"/>
                <w:b/>
                <w:color w:val="000000" w:themeColor="text1"/>
                <w:lang w:val="es-ES_tradnl" w:eastAsia="es-ES_tradnl"/>
              </w:rPr>
            </w:pPr>
            <w:r w:rsidRPr="00302FD9">
              <w:rPr>
                <w:rFonts w:ascii="Verdana" w:eastAsia="Calibri" w:hAnsi="Verdana" w:cs="Arial"/>
                <w:b/>
                <w:color w:val="000000" w:themeColor="text1"/>
                <w:lang w:val="es-ES_tradnl" w:eastAsia="es-ES_tradnl"/>
              </w:rPr>
              <w:t>Radicación:</w:t>
            </w:r>
            <w:r w:rsidRPr="00302FD9">
              <w:rPr>
                <w:rFonts w:ascii="Verdana" w:eastAsia="Calibri" w:hAnsi="Verdana" w:cs="Arial"/>
                <w:color w:val="000000" w:themeColor="text1"/>
                <w:lang w:val="es-ES_tradnl" w:eastAsia="es-ES_tradnl"/>
              </w:rPr>
              <w:t xml:space="preserve">               </w:t>
            </w:r>
          </w:p>
        </w:tc>
        <w:tc>
          <w:tcPr>
            <w:tcW w:w="6100" w:type="dxa"/>
          </w:tcPr>
          <w:p w14:paraId="207E11B4" w14:textId="59F75738" w:rsidR="00871B59" w:rsidRPr="00302FD9" w:rsidRDefault="00871B59" w:rsidP="002607A7">
            <w:pPr>
              <w:jc w:val="both"/>
              <w:rPr>
                <w:rFonts w:ascii="Verdana" w:eastAsia="Calibri" w:hAnsi="Verdana" w:cs="Arial"/>
                <w:color w:val="000000" w:themeColor="text1"/>
                <w:lang w:val="es-ES_tradnl" w:eastAsia="es-ES_tradnl"/>
              </w:rPr>
            </w:pPr>
            <w:r w:rsidRPr="00302FD9">
              <w:rPr>
                <w:rFonts w:ascii="Verdana" w:eastAsia="Calibri" w:hAnsi="Verdana" w:cs="Arial"/>
                <w:color w:val="000000" w:themeColor="text1"/>
                <w:lang w:val="es-ES_tradnl" w:eastAsia="es-ES_tradnl"/>
              </w:rPr>
              <w:t>Respuesta a consulta con radicado No.</w:t>
            </w:r>
            <w:r w:rsidR="00302FD9" w:rsidRPr="00302FD9">
              <w:rPr>
                <w:rFonts w:ascii="Verdana" w:eastAsia="Calibri" w:hAnsi="Verdana" w:cs="Arial"/>
                <w:color w:val="000000" w:themeColor="text1"/>
                <w:lang w:val="es-ES_tradnl" w:eastAsia="es-ES_tradnl"/>
              </w:rPr>
              <w:t xml:space="preserve"> </w:t>
            </w:r>
            <w:r w:rsidR="00302FD9" w:rsidRPr="00302FD9">
              <w:rPr>
                <w:rFonts w:ascii="Verdana" w:hAnsi="Verdana" w:cs="Segoe UI"/>
                <w:color w:val="000000" w:themeColor="text1"/>
                <w:shd w:val="clear" w:color="auto" w:fill="FFFFFF"/>
              </w:rPr>
              <w:t>1_2025_08_21_008816</w:t>
            </w:r>
          </w:p>
        </w:tc>
      </w:tr>
    </w:tbl>
    <w:p w14:paraId="245C80A5"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0BC0021A"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601D4FD9" w14:textId="2541CBE2" w:rsidR="00871B59" w:rsidRPr="00302FD9" w:rsidRDefault="00871B59" w:rsidP="00871B59">
      <w:pPr>
        <w:spacing w:after="0" w:line="276" w:lineRule="auto"/>
        <w:jc w:val="both"/>
        <w:rPr>
          <w:rFonts w:ascii="Verdana" w:eastAsia="Calibri" w:hAnsi="Verdana" w:cs="Arial"/>
          <w:color w:val="000000" w:themeColor="text1"/>
          <w:lang w:val="es-ES" w:eastAsia="es-ES"/>
        </w:rPr>
      </w:pPr>
      <w:r w:rsidRPr="00302FD9">
        <w:rPr>
          <w:rFonts w:ascii="Verdana" w:eastAsia="Calibri" w:hAnsi="Verdana" w:cs="Arial"/>
          <w:color w:val="000000" w:themeColor="text1"/>
          <w:lang w:val="es-ES" w:eastAsia="es-ES"/>
        </w:rPr>
        <w:t>Estimad</w:t>
      </w:r>
      <w:r w:rsidR="00302FD9">
        <w:rPr>
          <w:rFonts w:ascii="Verdana" w:eastAsia="Calibri" w:hAnsi="Verdana" w:cs="Arial"/>
          <w:color w:val="000000" w:themeColor="text1"/>
          <w:lang w:val="es-ES" w:eastAsia="es-ES"/>
        </w:rPr>
        <w:t>a</w:t>
      </w:r>
      <w:r w:rsidRPr="00302FD9">
        <w:rPr>
          <w:rFonts w:ascii="Verdana" w:eastAsia="Calibri" w:hAnsi="Verdana" w:cs="Arial"/>
          <w:color w:val="000000" w:themeColor="text1"/>
          <w:lang w:val="es-ES" w:eastAsia="es-ES"/>
        </w:rPr>
        <w:t xml:space="preserve"> señor</w:t>
      </w:r>
      <w:r w:rsidR="00302FD9" w:rsidRPr="00302FD9">
        <w:rPr>
          <w:rFonts w:ascii="Verdana" w:eastAsia="Calibri" w:hAnsi="Verdana" w:cs="Arial"/>
          <w:color w:val="000000" w:themeColor="text1"/>
          <w:lang w:val="es-ES" w:eastAsia="es-ES"/>
        </w:rPr>
        <w:t>a Vargas:</w:t>
      </w:r>
      <w:r w:rsidRPr="00302FD9">
        <w:rPr>
          <w:rFonts w:ascii="Verdana" w:eastAsia="Calibri" w:hAnsi="Verdana" w:cs="Arial"/>
          <w:color w:val="000000" w:themeColor="text1"/>
          <w:lang w:val="es-ES" w:eastAsia="es-ES"/>
        </w:rPr>
        <w:t xml:space="preserve"> </w:t>
      </w:r>
    </w:p>
    <w:p w14:paraId="5F8D1EB5" w14:textId="77777777" w:rsidR="00871B59" w:rsidRDefault="00871B59" w:rsidP="00871B5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3DFEEA7" w14:textId="5654D5F6" w:rsidR="00871B59" w:rsidRPr="00302FD9" w:rsidRDefault="00871B59" w:rsidP="00871B59">
      <w:pPr>
        <w:spacing w:after="0" w:line="276" w:lineRule="auto"/>
        <w:jc w:val="both"/>
        <w:rPr>
          <w:rFonts w:ascii="Verdana" w:eastAsia="Calibri" w:hAnsi="Verdana" w:cs="Arial"/>
          <w:color w:val="000000" w:themeColor="text1"/>
          <w:lang w:val="es-ES" w:eastAsia="es-ES"/>
        </w:rPr>
      </w:pPr>
      <w:r w:rsidRPr="00302FD9">
        <w:rPr>
          <w:rFonts w:ascii="Verdana" w:eastAsia="Calibri" w:hAnsi="Verdana" w:cs="Arial"/>
          <w:color w:val="000000" w:themeColor="text1"/>
          <w:lang w:val="es-ES" w:eastAsia="es-ES"/>
        </w:rPr>
        <w:t>En ejercicio de la competencia otorgada por los artículos 3, numeral 5º, y 11, numeral 8º, del Decreto Ley 4170 de 2011,</w:t>
      </w:r>
      <w:r w:rsidRPr="00302FD9">
        <w:rPr>
          <w:rFonts w:ascii="Verdana" w:eastAsia="Arial MT" w:hAnsi="Verdana" w:cs="Arial MT"/>
          <w:color w:val="000000" w:themeColor="text1"/>
          <w:lang w:val="es-ES" w:eastAsia="es-ES"/>
        </w:rPr>
        <w:t xml:space="preserve"> </w:t>
      </w:r>
      <w:r w:rsidRPr="00302FD9">
        <w:rPr>
          <w:rFonts w:ascii="Verdana" w:hAnsi="Verdana" w:cs="Arial"/>
          <w:color w:val="000000" w:themeColor="text1"/>
        </w:rPr>
        <w:t xml:space="preserve">así como lo establecido en el artículo 4 de la Resolución 1707 de 2018 expedida por esta Entidad, </w:t>
      </w:r>
      <w:r w:rsidRPr="00302FD9">
        <w:rPr>
          <w:rFonts w:ascii="Verdana" w:eastAsia="Calibri" w:hAnsi="Verdana" w:cs="Arial"/>
          <w:color w:val="000000" w:themeColor="text1"/>
          <w:lang w:val="es-ES" w:eastAsia="es-ES"/>
        </w:rPr>
        <w:t>la Agencia Nacional de Contratación Pública – Colombia Compra Eficiente– responde su solicitud de consulta de fecha</w:t>
      </w:r>
      <w:r w:rsidR="00302FD9" w:rsidRPr="00302FD9">
        <w:rPr>
          <w:rFonts w:ascii="Verdana" w:eastAsia="Calibri" w:hAnsi="Verdana" w:cs="Arial"/>
          <w:color w:val="000000" w:themeColor="text1"/>
          <w:lang w:val="es-ES" w:eastAsia="es-ES"/>
        </w:rPr>
        <w:t xml:space="preserve"> 21</w:t>
      </w:r>
      <w:r w:rsidRPr="00302FD9">
        <w:rPr>
          <w:rFonts w:ascii="Verdana" w:eastAsia="Calibri" w:hAnsi="Verdana" w:cs="Arial"/>
          <w:color w:val="000000" w:themeColor="text1"/>
          <w:lang w:val="es-ES" w:eastAsia="es-ES"/>
        </w:rPr>
        <w:t xml:space="preserve"> de</w:t>
      </w:r>
      <w:r w:rsidR="00302FD9" w:rsidRPr="00302FD9">
        <w:rPr>
          <w:rFonts w:ascii="Verdana" w:eastAsia="Calibri" w:hAnsi="Verdana" w:cs="Arial"/>
          <w:color w:val="000000" w:themeColor="text1"/>
          <w:lang w:val="es-ES" w:eastAsia="es-ES"/>
        </w:rPr>
        <w:t xml:space="preserve"> agosto </w:t>
      </w:r>
      <w:r w:rsidRPr="00302FD9">
        <w:rPr>
          <w:rFonts w:ascii="Verdana" w:eastAsia="Calibri" w:hAnsi="Verdana" w:cs="Arial"/>
          <w:color w:val="000000" w:themeColor="text1"/>
          <w:lang w:val="es-ES" w:eastAsia="es-ES"/>
        </w:rPr>
        <w:t>de 20</w:t>
      </w:r>
      <w:r w:rsidR="00302FD9" w:rsidRPr="00302FD9">
        <w:rPr>
          <w:rFonts w:ascii="Verdana" w:eastAsia="Calibri" w:hAnsi="Verdana" w:cs="Arial"/>
          <w:color w:val="000000" w:themeColor="text1"/>
          <w:lang w:val="es-ES" w:eastAsia="es-ES"/>
        </w:rPr>
        <w:t>25</w:t>
      </w:r>
      <w:r w:rsidRPr="00302FD9">
        <w:rPr>
          <w:rFonts w:ascii="Verdana" w:eastAsia="Calibri" w:hAnsi="Verdana" w:cs="Arial"/>
          <w:color w:val="000000" w:themeColor="text1"/>
          <w:lang w:val="es-ES" w:eastAsia="es-ES"/>
        </w:rPr>
        <w:t>, en la cual manifiesta lo siguiente:</w:t>
      </w:r>
      <w:r w:rsidR="00302FD9" w:rsidRPr="00302FD9">
        <w:rPr>
          <w:rFonts w:ascii="Verdana" w:eastAsia="Calibri" w:hAnsi="Verdana" w:cs="Arial"/>
          <w:color w:val="000000" w:themeColor="text1"/>
          <w:lang w:val="es-ES" w:eastAsia="es-ES"/>
        </w:rPr>
        <w:t xml:space="preserve"> </w:t>
      </w:r>
    </w:p>
    <w:p w14:paraId="00D361E6" w14:textId="77777777" w:rsidR="00871B59" w:rsidRPr="00302FD9" w:rsidRDefault="00871B59" w:rsidP="00871B59">
      <w:pPr>
        <w:pStyle w:val="Prrafodelista"/>
        <w:tabs>
          <w:tab w:val="left" w:pos="142"/>
          <w:tab w:val="left" w:pos="284"/>
        </w:tabs>
        <w:spacing w:line="276" w:lineRule="auto"/>
        <w:ind w:left="0"/>
        <w:jc w:val="both"/>
        <w:rPr>
          <w:rFonts w:ascii="Verdana" w:eastAsia="Century Gothic" w:hAnsi="Verdana" w:cs="Century Gothic"/>
          <w:b/>
          <w:bCs/>
          <w:color w:val="000000" w:themeColor="text1"/>
          <w:lang w:val="es-ES"/>
        </w:rPr>
      </w:pPr>
    </w:p>
    <w:p w14:paraId="485F773E" w14:textId="66EFDC88" w:rsidR="00871B59" w:rsidRPr="00302FD9" w:rsidRDefault="00871B59" w:rsidP="00871B59">
      <w:pPr>
        <w:spacing w:after="0" w:line="240" w:lineRule="auto"/>
        <w:ind w:left="709" w:right="709"/>
        <w:jc w:val="both"/>
        <w:rPr>
          <w:rFonts w:ascii="Verdana" w:eastAsia="Century Gothic" w:hAnsi="Verdana" w:cs="Century Gothic"/>
          <w:color w:val="000000" w:themeColor="text1"/>
          <w:sz w:val="20"/>
          <w:szCs w:val="20"/>
          <w:lang w:val="es-ES"/>
        </w:rPr>
      </w:pPr>
      <w:bookmarkStart w:id="0" w:name="_Hlk95313578"/>
      <w:r w:rsidRPr="00302FD9">
        <w:rPr>
          <w:rFonts w:ascii="Verdana" w:eastAsia="Century Gothic" w:hAnsi="Verdana" w:cs="Century Gothic"/>
          <w:color w:val="000000" w:themeColor="text1"/>
          <w:sz w:val="20"/>
          <w:szCs w:val="20"/>
          <w:lang w:val="es-ES"/>
        </w:rPr>
        <w:t>“</w:t>
      </w:r>
      <w:bookmarkEnd w:id="0"/>
      <w:r w:rsidR="00302FD9" w:rsidRPr="00302FD9">
        <w:rPr>
          <w:rFonts w:ascii="Verdana" w:eastAsia="Century Gothic" w:hAnsi="Verdana" w:cs="Century Gothic"/>
          <w:color w:val="000000" w:themeColor="text1"/>
          <w:sz w:val="20"/>
          <w:szCs w:val="20"/>
          <w:lang w:val="es-ES"/>
        </w:rPr>
        <w:t>Una Empresa Industrial y Comercial del Estado posee y administra bienes inmuebles que ofrece en arrendamiento a personas naturales y jurídicas, algunas privadas y otras públicas. Teniendo en cuenta que no se genera erogación, ¿esta EICE debe publicar en el SECOP los contratos de arrendamiento que firma con esas personas?</w:t>
      </w:r>
      <w:r w:rsidR="00302FD9">
        <w:rPr>
          <w:rFonts w:ascii="Verdana" w:eastAsia="Century Gothic" w:hAnsi="Verdana" w:cs="Century Gothic"/>
          <w:color w:val="000000" w:themeColor="text1"/>
          <w:sz w:val="20"/>
          <w:szCs w:val="20"/>
          <w:lang w:val="es-ES"/>
        </w:rPr>
        <w:t>”</w:t>
      </w:r>
    </w:p>
    <w:p w14:paraId="116E5254" w14:textId="77777777" w:rsidR="00871B59" w:rsidRPr="00593A5F"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5059266C" w14:textId="77777777" w:rsidR="00871B59" w:rsidRDefault="00871B59" w:rsidP="00871B5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723E923" w14:textId="40E512B7" w:rsidR="00871B59" w:rsidRDefault="00871B59" w:rsidP="00871B5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w:t>
      </w:r>
      <w:r w:rsidR="00302FD9">
        <w:rPr>
          <w:rFonts w:ascii="Verdana" w:eastAsia="Calibri" w:hAnsi="Verdana" w:cs="Arial"/>
          <w:color w:val="000000"/>
          <w:lang w:val="es-ES" w:eastAsia="es-ES"/>
        </w:rPr>
        <w:t>señalando</w:t>
      </w:r>
      <w:r w:rsidRPr="00593A5F">
        <w:rPr>
          <w:rFonts w:ascii="Verdana" w:eastAsia="Calibri" w:hAnsi="Verdana" w:cs="Arial"/>
          <w:color w:val="000000"/>
          <w:lang w:val="es-ES" w:eastAsia="es-ES"/>
        </w:rPr>
        <w:t xml:space="preserve"> unas consideraciones sobre las normas generales relacionadas con </w:t>
      </w:r>
      <w:r>
        <w:rPr>
          <w:rFonts w:ascii="Verdana" w:eastAsia="Calibri" w:hAnsi="Verdana" w:cs="Arial"/>
          <w:color w:val="000000"/>
          <w:lang w:val="es-ES" w:eastAsia="es-ES"/>
        </w:rPr>
        <w:t>el problema</w:t>
      </w:r>
      <w:r w:rsidR="00302FD9">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sidR="00302FD9">
        <w:rPr>
          <w:rFonts w:ascii="Verdana" w:eastAsia="Calibri" w:hAnsi="Verdana" w:cs="Arial"/>
          <w:color w:val="000000"/>
          <w:lang w:val="es-ES" w:eastAsia="es-ES"/>
        </w:rPr>
        <w:t xml:space="preserve"> </w:t>
      </w:r>
    </w:p>
    <w:p w14:paraId="07B38669" w14:textId="77777777" w:rsidR="00871B59" w:rsidRPr="00593A5F" w:rsidRDefault="00871B59" w:rsidP="00871B59">
      <w:pPr>
        <w:spacing w:after="0" w:line="276" w:lineRule="auto"/>
        <w:ind w:firstLine="709"/>
        <w:jc w:val="both"/>
        <w:rPr>
          <w:rFonts w:ascii="Verdana" w:eastAsia="Calibri" w:hAnsi="Verdana" w:cs="Arial"/>
          <w:color w:val="000000"/>
          <w:lang w:val="es-ES" w:eastAsia="es-ES"/>
        </w:rPr>
      </w:pPr>
    </w:p>
    <w:p w14:paraId="0D382172" w14:textId="77777777" w:rsidR="00871B59" w:rsidRPr="00593A5F"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593A5F">
        <w:rPr>
          <w:rFonts w:ascii="Verdana" w:eastAsia="Century Gothic" w:hAnsi="Verdana" w:cs="Century Gothic"/>
          <w:b/>
          <w:bCs/>
          <w:lang w:val="es-ES"/>
        </w:rPr>
        <w:t>Problema planteado:</w:t>
      </w:r>
    </w:p>
    <w:p w14:paraId="3D67C7D7" w14:textId="77777777" w:rsidR="00871B59" w:rsidRPr="00593A5F" w:rsidRDefault="00871B59" w:rsidP="00871B59">
      <w:pPr>
        <w:tabs>
          <w:tab w:val="left" w:pos="426"/>
        </w:tabs>
        <w:spacing w:after="0" w:line="276" w:lineRule="auto"/>
        <w:jc w:val="both"/>
        <w:rPr>
          <w:rFonts w:ascii="Verdana" w:eastAsia="Century Gothic" w:hAnsi="Verdana" w:cs="Century Gothic"/>
          <w:lang w:val="es-ES"/>
        </w:rPr>
      </w:pPr>
    </w:p>
    <w:p w14:paraId="516A4A23" w14:textId="5A4B1E6E" w:rsidR="00871B59" w:rsidRPr="006B0A6F" w:rsidRDefault="00871B59" w:rsidP="1F9252E4">
      <w:pPr>
        <w:spacing w:after="0" w:line="276" w:lineRule="auto"/>
        <w:jc w:val="both"/>
        <w:rPr>
          <w:rFonts w:ascii="Verdana" w:eastAsia="Century Gothic" w:hAnsi="Verdana" w:cs="Century Gothic"/>
          <w:color w:val="000000" w:themeColor="text1"/>
        </w:rPr>
      </w:pPr>
      <w:r w:rsidRPr="00302FD9">
        <w:rPr>
          <w:rFonts w:ascii="Verdana" w:eastAsia="Century Gothic" w:hAnsi="Verdana" w:cs="Century Gothic"/>
          <w:color w:val="000000" w:themeColor="text1"/>
        </w:rPr>
        <w:t>De acuerdo con el contenido de su solicitud, esta Agencia resolverá el siguiente</w:t>
      </w:r>
      <w:r w:rsidR="00302FD9" w:rsidRPr="00302FD9">
        <w:rPr>
          <w:rFonts w:ascii="Verdana" w:eastAsia="Century Gothic" w:hAnsi="Verdana" w:cs="Century Gothic"/>
          <w:color w:val="000000" w:themeColor="text1"/>
        </w:rPr>
        <w:t xml:space="preserve"> </w:t>
      </w:r>
      <w:r w:rsidRPr="00302FD9">
        <w:rPr>
          <w:rFonts w:ascii="Verdana" w:eastAsia="Century Gothic" w:hAnsi="Verdana" w:cs="Century Gothic"/>
          <w:color w:val="000000" w:themeColor="text1"/>
        </w:rPr>
        <w:t xml:space="preserve">problema jurídico: </w:t>
      </w:r>
      <w:bookmarkStart w:id="1" w:name="OLE_LINK1"/>
      <w:r w:rsidRPr="006B0A6F">
        <w:rPr>
          <w:rFonts w:ascii="Verdana" w:eastAsia="Century Gothic" w:hAnsi="Verdana" w:cs="Century Gothic"/>
          <w:color w:val="000000" w:themeColor="text1"/>
        </w:rPr>
        <w:t>¿</w:t>
      </w:r>
      <w:r w:rsidR="006B0A6F" w:rsidRPr="006B0A6F">
        <w:rPr>
          <w:rFonts w:ascii="Verdana" w:hAnsi="Verdana"/>
        </w:rPr>
        <w:t>Están obligadas las Empresas Industriales y Comerciales del Estado a publicar en el SECOP aquellos actos de gestión comercial que no irrogan gasto público</w:t>
      </w:r>
      <w:r w:rsidR="006B0A6F">
        <w:rPr>
          <w:rFonts w:ascii="Verdana" w:eastAsia="Century Gothic" w:hAnsi="Verdana" w:cs="Century Gothic"/>
          <w:color w:val="000000" w:themeColor="text1"/>
        </w:rPr>
        <w:t>?</w:t>
      </w:r>
    </w:p>
    <w:bookmarkEnd w:id="1"/>
    <w:p w14:paraId="75AB020B" w14:textId="77777777" w:rsidR="00871B59" w:rsidRPr="00593A5F" w:rsidRDefault="00871B59" w:rsidP="00871B59">
      <w:pPr>
        <w:spacing w:after="0" w:line="276" w:lineRule="auto"/>
        <w:jc w:val="both"/>
        <w:rPr>
          <w:rFonts w:ascii="Verdana" w:eastAsia="Calibri" w:hAnsi="Verdana" w:cs="Arial"/>
          <w:color w:val="7030A0"/>
          <w:lang w:val="es-ES"/>
        </w:rPr>
      </w:pPr>
    </w:p>
    <w:p w14:paraId="3C7A5E53"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Respuesta:</w:t>
      </w:r>
    </w:p>
    <w:p w14:paraId="3D81796F"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593A5F" w14:paraId="7B4E1F86" w14:textId="77777777" w:rsidTr="002607A7">
        <w:tc>
          <w:tcPr>
            <w:tcW w:w="8828" w:type="dxa"/>
          </w:tcPr>
          <w:p w14:paraId="6441A124" w14:textId="77777777" w:rsidR="00C64421" w:rsidRPr="00C64421" w:rsidRDefault="00C64421" w:rsidP="00C64421">
            <w:pPr>
              <w:pStyle w:val="Textoindependiente"/>
              <w:spacing w:line="276" w:lineRule="auto"/>
              <w:ind w:left="105" w:right="100"/>
              <w:jc w:val="both"/>
              <w:rPr>
                <w:rFonts w:ascii="Verdana" w:hAnsi="Verdana"/>
              </w:rPr>
            </w:pPr>
            <w:bookmarkStart w:id="2" w:name="OLE_LINK2"/>
            <w:r w:rsidRPr="00C64421">
              <w:rPr>
                <w:rFonts w:ascii="Verdana" w:hAnsi="Verdana"/>
              </w:rPr>
              <w:t>En cuanto a la obligación de las Empresas Industriales y Comerciales del Estado (EICE) de publicar en el SECOP los actos de gestión comercial tales como</w:t>
            </w:r>
            <w:r w:rsidRPr="00C64421">
              <w:rPr>
                <w:rFonts w:ascii="Verdana" w:hAnsi="Verdana"/>
                <w:spacing w:val="-1"/>
              </w:rPr>
              <w:t xml:space="preserve"> </w:t>
            </w:r>
            <w:r w:rsidRPr="00C64421">
              <w:rPr>
                <w:rFonts w:ascii="Verdana" w:hAnsi="Verdana"/>
              </w:rPr>
              <w:t>un</w:t>
            </w:r>
            <w:r w:rsidRPr="00C64421">
              <w:rPr>
                <w:rFonts w:ascii="Verdana" w:hAnsi="Verdana"/>
                <w:spacing w:val="-2"/>
              </w:rPr>
              <w:t xml:space="preserve"> </w:t>
            </w:r>
            <w:r w:rsidRPr="00C64421">
              <w:rPr>
                <w:rFonts w:ascii="Verdana" w:hAnsi="Verdana"/>
              </w:rPr>
              <w:t>contrato</w:t>
            </w:r>
            <w:r w:rsidRPr="00C64421">
              <w:rPr>
                <w:rFonts w:ascii="Verdana" w:hAnsi="Verdana"/>
                <w:spacing w:val="-1"/>
              </w:rPr>
              <w:t xml:space="preserve"> </w:t>
            </w:r>
            <w:r w:rsidRPr="00C64421">
              <w:rPr>
                <w:rFonts w:ascii="Verdana" w:hAnsi="Verdana"/>
              </w:rPr>
              <w:t>de arrendamiento; se</w:t>
            </w:r>
            <w:r w:rsidRPr="00C64421">
              <w:rPr>
                <w:rFonts w:ascii="Verdana" w:hAnsi="Verdana"/>
                <w:spacing w:val="-3"/>
              </w:rPr>
              <w:t xml:space="preserve"> </w:t>
            </w:r>
            <w:r w:rsidRPr="00C64421">
              <w:rPr>
                <w:rFonts w:ascii="Verdana" w:hAnsi="Verdana"/>
              </w:rPr>
              <w:t>tiene que por</w:t>
            </w:r>
            <w:r w:rsidRPr="00C64421">
              <w:rPr>
                <w:rFonts w:ascii="Verdana" w:hAnsi="Verdana"/>
                <w:spacing w:val="-1"/>
              </w:rPr>
              <w:t xml:space="preserve"> </w:t>
            </w:r>
            <w:r w:rsidRPr="00C64421">
              <w:rPr>
                <w:rFonts w:ascii="Verdana" w:hAnsi="Verdana"/>
              </w:rPr>
              <w:t>regla general las</w:t>
            </w:r>
            <w:r w:rsidRPr="00C64421">
              <w:rPr>
                <w:rFonts w:ascii="Verdana" w:hAnsi="Verdana"/>
                <w:spacing w:val="-1"/>
              </w:rPr>
              <w:t xml:space="preserve"> </w:t>
            </w:r>
            <w:r w:rsidRPr="00C64421">
              <w:rPr>
                <w:rFonts w:ascii="Verdana" w:hAnsi="Verdana"/>
              </w:rPr>
              <w:t>EICE, están</w:t>
            </w:r>
            <w:r w:rsidRPr="00C64421">
              <w:rPr>
                <w:rFonts w:ascii="Verdana" w:hAnsi="Verdana"/>
                <w:spacing w:val="-10"/>
              </w:rPr>
              <w:t xml:space="preserve"> </w:t>
            </w:r>
            <w:r w:rsidRPr="00C64421">
              <w:rPr>
                <w:rFonts w:ascii="Verdana" w:hAnsi="Verdana"/>
              </w:rPr>
              <w:t>obligadas</w:t>
            </w:r>
            <w:r w:rsidRPr="00C64421">
              <w:rPr>
                <w:rFonts w:ascii="Verdana" w:hAnsi="Verdana"/>
                <w:spacing w:val="-7"/>
              </w:rPr>
              <w:t xml:space="preserve"> </w:t>
            </w:r>
            <w:r w:rsidRPr="00C64421">
              <w:rPr>
                <w:rFonts w:ascii="Verdana" w:hAnsi="Verdana"/>
              </w:rPr>
              <w:t>a</w:t>
            </w:r>
            <w:r w:rsidRPr="00C64421">
              <w:rPr>
                <w:rFonts w:ascii="Verdana" w:hAnsi="Verdana"/>
                <w:spacing w:val="-14"/>
              </w:rPr>
              <w:t xml:space="preserve"> </w:t>
            </w:r>
            <w:r w:rsidRPr="00C64421">
              <w:rPr>
                <w:rFonts w:ascii="Verdana" w:hAnsi="Verdana"/>
              </w:rPr>
              <w:t>publicar</w:t>
            </w:r>
            <w:r w:rsidRPr="00C64421">
              <w:rPr>
                <w:rFonts w:ascii="Verdana" w:hAnsi="Verdana"/>
                <w:spacing w:val="-9"/>
              </w:rPr>
              <w:t xml:space="preserve"> </w:t>
            </w:r>
            <w:r w:rsidRPr="00C64421">
              <w:rPr>
                <w:rFonts w:ascii="Verdana" w:hAnsi="Verdana"/>
              </w:rPr>
              <w:t>toda</w:t>
            </w:r>
            <w:r w:rsidRPr="00C64421">
              <w:rPr>
                <w:rFonts w:ascii="Verdana" w:hAnsi="Verdana"/>
                <w:spacing w:val="-14"/>
              </w:rPr>
              <w:t xml:space="preserve"> </w:t>
            </w:r>
            <w:r w:rsidRPr="00C64421">
              <w:rPr>
                <w:rFonts w:ascii="Verdana" w:hAnsi="Verdana"/>
              </w:rPr>
              <w:t>su</w:t>
            </w:r>
            <w:r w:rsidRPr="00C64421">
              <w:rPr>
                <w:rFonts w:ascii="Verdana" w:hAnsi="Verdana"/>
                <w:spacing w:val="-11"/>
              </w:rPr>
              <w:t xml:space="preserve"> </w:t>
            </w:r>
            <w:r w:rsidRPr="00C64421">
              <w:rPr>
                <w:rFonts w:ascii="Verdana" w:hAnsi="Verdana"/>
              </w:rPr>
              <w:t>actividad</w:t>
            </w:r>
            <w:r w:rsidRPr="00C64421">
              <w:rPr>
                <w:rFonts w:ascii="Verdana" w:hAnsi="Verdana"/>
                <w:spacing w:val="-14"/>
              </w:rPr>
              <w:t xml:space="preserve"> </w:t>
            </w:r>
            <w:r w:rsidRPr="00C64421">
              <w:rPr>
                <w:rFonts w:ascii="Verdana" w:hAnsi="Verdana"/>
              </w:rPr>
              <w:t>contractual,</w:t>
            </w:r>
            <w:r w:rsidRPr="00C64421">
              <w:rPr>
                <w:rFonts w:ascii="Verdana" w:hAnsi="Verdana"/>
                <w:spacing w:val="40"/>
              </w:rPr>
              <w:t xml:space="preserve"> </w:t>
            </w:r>
            <w:r w:rsidRPr="00C64421">
              <w:rPr>
                <w:rFonts w:ascii="Verdana" w:hAnsi="Verdana"/>
              </w:rPr>
              <w:t>entendida</w:t>
            </w:r>
            <w:r w:rsidRPr="00C64421">
              <w:rPr>
                <w:rFonts w:ascii="Verdana" w:hAnsi="Verdana"/>
                <w:spacing w:val="-14"/>
              </w:rPr>
              <w:t xml:space="preserve"> </w:t>
            </w:r>
            <w:r w:rsidRPr="00C64421">
              <w:rPr>
                <w:rFonts w:ascii="Verdana" w:hAnsi="Verdana"/>
              </w:rPr>
              <w:t>esta</w:t>
            </w:r>
            <w:r w:rsidRPr="00C64421">
              <w:rPr>
                <w:rFonts w:ascii="Verdana" w:hAnsi="Verdana"/>
                <w:spacing w:val="-14"/>
              </w:rPr>
              <w:t xml:space="preserve"> </w:t>
            </w:r>
            <w:r w:rsidRPr="00C64421">
              <w:rPr>
                <w:rFonts w:ascii="Verdana" w:hAnsi="Verdana"/>
              </w:rPr>
              <w:t xml:space="preserve">como los documentos, contratos, actos e información generada por oferentes, </w:t>
            </w:r>
            <w:r w:rsidRPr="00C64421">
              <w:rPr>
                <w:rFonts w:ascii="Verdana" w:hAnsi="Verdana"/>
              </w:rPr>
              <w:lastRenderedPageBreak/>
              <w:t>contratista, contratante, supervisor o interventor, tanto en la etapa precontractual,</w:t>
            </w:r>
            <w:r w:rsidRPr="00C64421">
              <w:rPr>
                <w:rFonts w:ascii="Verdana" w:hAnsi="Verdana"/>
                <w:spacing w:val="-20"/>
              </w:rPr>
              <w:t xml:space="preserve"> </w:t>
            </w:r>
            <w:r w:rsidRPr="00C64421">
              <w:rPr>
                <w:rFonts w:ascii="Verdana" w:hAnsi="Verdana"/>
              </w:rPr>
              <w:t xml:space="preserve">como en la contractual y la </w:t>
            </w:r>
            <w:proofErr w:type="spellStart"/>
            <w:r w:rsidRPr="00C64421">
              <w:rPr>
                <w:rFonts w:ascii="Verdana" w:hAnsi="Verdana"/>
              </w:rPr>
              <w:t>postcontractual</w:t>
            </w:r>
            <w:proofErr w:type="spellEnd"/>
            <w:r w:rsidRPr="00C64421">
              <w:rPr>
                <w:rFonts w:ascii="Verdana" w:hAnsi="Verdana"/>
                <w:spacing w:val="-20"/>
              </w:rPr>
              <w:t xml:space="preserve"> </w:t>
            </w:r>
            <w:r w:rsidRPr="00C64421">
              <w:rPr>
                <w:rFonts w:ascii="Verdana" w:hAnsi="Verdana"/>
              </w:rPr>
              <w:t>. Lo anterior a la luz</w:t>
            </w:r>
            <w:r w:rsidRPr="00C64421">
              <w:rPr>
                <w:rFonts w:ascii="Verdana" w:hAnsi="Verdana"/>
                <w:spacing w:val="-8"/>
              </w:rPr>
              <w:t xml:space="preserve"> </w:t>
            </w:r>
            <w:r w:rsidRPr="00C64421">
              <w:rPr>
                <w:rFonts w:ascii="Verdana" w:hAnsi="Verdana"/>
              </w:rPr>
              <w:t>de</w:t>
            </w:r>
            <w:r w:rsidRPr="00C64421">
              <w:rPr>
                <w:rFonts w:ascii="Verdana" w:hAnsi="Verdana"/>
                <w:spacing w:val="-8"/>
              </w:rPr>
              <w:t xml:space="preserve"> </w:t>
            </w:r>
            <w:r w:rsidRPr="00C64421">
              <w:rPr>
                <w:rFonts w:ascii="Verdana" w:hAnsi="Verdana"/>
              </w:rPr>
              <w:t>lo</w:t>
            </w:r>
            <w:r w:rsidRPr="00C64421">
              <w:rPr>
                <w:rFonts w:ascii="Verdana" w:hAnsi="Verdana"/>
                <w:spacing w:val="-6"/>
              </w:rPr>
              <w:t xml:space="preserve"> </w:t>
            </w:r>
            <w:r w:rsidRPr="00C64421">
              <w:rPr>
                <w:rFonts w:ascii="Verdana" w:hAnsi="Verdana"/>
              </w:rPr>
              <w:t>contemplado</w:t>
            </w:r>
            <w:r w:rsidRPr="00C64421">
              <w:rPr>
                <w:rFonts w:ascii="Verdana" w:hAnsi="Verdana"/>
                <w:spacing w:val="-6"/>
              </w:rPr>
              <w:t xml:space="preserve"> </w:t>
            </w:r>
            <w:r w:rsidRPr="00C64421">
              <w:rPr>
                <w:rFonts w:ascii="Verdana" w:hAnsi="Verdana"/>
              </w:rPr>
              <w:t>en</w:t>
            </w:r>
            <w:r w:rsidRPr="00C64421">
              <w:rPr>
                <w:rFonts w:ascii="Verdana" w:hAnsi="Verdana"/>
                <w:spacing w:val="-7"/>
              </w:rPr>
              <w:t xml:space="preserve"> </w:t>
            </w:r>
            <w:r w:rsidRPr="00C64421">
              <w:rPr>
                <w:rFonts w:ascii="Verdana" w:hAnsi="Verdana"/>
              </w:rPr>
              <w:t>el artículo</w:t>
            </w:r>
            <w:r w:rsidRPr="00C64421">
              <w:rPr>
                <w:rFonts w:ascii="Verdana" w:hAnsi="Verdana"/>
                <w:spacing w:val="-3"/>
              </w:rPr>
              <w:t xml:space="preserve"> </w:t>
            </w:r>
            <w:r w:rsidRPr="00C64421">
              <w:rPr>
                <w:rFonts w:ascii="Verdana" w:hAnsi="Verdana"/>
              </w:rPr>
              <w:t>53</w:t>
            </w:r>
            <w:r w:rsidRPr="00C64421">
              <w:rPr>
                <w:rFonts w:ascii="Verdana" w:hAnsi="Verdana"/>
                <w:spacing w:val="-11"/>
              </w:rPr>
              <w:t xml:space="preserve"> </w:t>
            </w:r>
            <w:r w:rsidRPr="00C64421">
              <w:rPr>
                <w:rFonts w:ascii="Verdana" w:hAnsi="Verdana"/>
              </w:rPr>
              <w:t>de</w:t>
            </w:r>
            <w:r w:rsidRPr="00C64421">
              <w:rPr>
                <w:rFonts w:ascii="Verdana" w:hAnsi="Verdana"/>
                <w:spacing w:val="-8"/>
              </w:rPr>
              <w:t xml:space="preserve"> </w:t>
            </w:r>
            <w:r w:rsidRPr="00C64421">
              <w:rPr>
                <w:rFonts w:ascii="Verdana" w:hAnsi="Verdana"/>
              </w:rPr>
              <w:t>la</w:t>
            </w:r>
            <w:r w:rsidRPr="00C64421">
              <w:rPr>
                <w:rFonts w:ascii="Verdana" w:hAnsi="Verdana"/>
                <w:spacing w:val="-9"/>
              </w:rPr>
              <w:t xml:space="preserve"> </w:t>
            </w:r>
            <w:r w:rsidRPr="00C64421">
              <w:rPr>
                <w:rFonts w:ascii="Verdana" w:hAnsi="Verdana"/>
              </w:rPr>
              <w:t>Ley</w:t>
            </w:r>
            <w:r w:rsidRPr="00C64421">
              <w:rPr>
                <w:rFonts w:ascii="Verdana" w:hAnsi="Verdana"/>
                <w:spacing w:val="-4"/>
              </w:rPr>
              <w:t xml:space="preserve"> </w:t>
            </w:r>
            <w:r w:rsidRPr="00C64421">
              <w:rPr>
                <w:rFonts w:ascii="Verdana" w:hAnsi="Verdana"/>
              </w:rPr>
              <w:t>2195</w:t>
            </w:r>
            <w:r w:rsidRPr="00C64421">
              <w:rPr>
                <w:rFonts w:ascii="Verdana" w:hAnsi="Verdana"/>
                <w:spacing w:val="-7"/>
              </w:rPr>
              <w:t xml:space="preserve"> </w:t>
            </w:r>
            <w:r w:rsidRPr="00C64421">
              <w:rPr>
                <w:rFonts w:ascii="Verdana" w:hAnsi="Verdana"/>
              </w:rPr>
              <w:t>de</w:t>
            </w:r>
            <w:r w:rsidRPr="00C64421">
              <w:rPr>
                <w:rFonts w:ascii="Verdana" w:hAnsi="Verdana"/>
                <w:spacing w:val="-8"/>
              </w:rPr>
              <w:t xml:space="preserve"> </w:t>
            </w:r>
            <w:r w:rsidRPr="00C64421">
              <w:rPr>
                <w:rFonts w:ascii="Verdana" w:hAnsi="Verdana"/>
              </w:rPr>
              <w:t>2022,</w:t>
            </w:r>
            <w:r w:rsidRPr="00C64421">
              <w:rPr>
                <w:rFonts w:ascii="Verdana" w:hAnsi="Verdana"/>
                <w:spacing w:val="-7"/>
              </w:rPr>
              <w:t xml:space="preserve"> </w:t>
            </w:r>
            <w:r w:rsidRPr="00C64421">
              <w:rPr>
                <w:rFonts w:ascii="Verdana" w:hAnsi="Verdana"/>
              </w:rPr>
              <w:t>y</w:t>
            </w:r>
            <w:r w:rsidRPr="00C64421">
              <w:rPr>
                <w:rFonts w:ascii="Verdana" w:hAnsi="Verdana"/>
                <w:spacing w:val="-7"/>
              </w:rPr>
              <w:t xml:space="preserve"> </w:t>
            </w:r>
            <w:r w:rsidRPr="00C64421">
              <w:rPr>
                <w:rFonts w:ascii="Verdana" w:hAnsi="Verdana"/>
              </w:rPr>
              <w:t>a</w:t>
            </w:r>
            <w:r w:rsidRPr="00C64421">
              <w:rPr>
                <w:rFonts w:ascii="Verdana" w:hAnsi="Verdana"/>
                <w:spacing w:val="-9"/>
              </w:rPr>
              <w:t xml:space="preserve"> </w:t>
            </w:r>
            <w:r w:rsidRPr="00C64421">
              <w:rPr>
                <w:rFonts w:ascii="Verdana" w:hAnsi="Verdana"/>
              </w:rPr>
              <w:t>la</w:t>
            </w:r>
            <w:r w:rsidRPr="00C64421">
              <w:rPr>
                <w:rFonts w:ascii="Verdana" w:hAnsi="Verdana"/>
                <w:spacing w:val="-13"/>
              </w:rPr>
              <w:t xml:space="preserve"> </w:t>
            </w:r>
            <w:r w:rsidRPr="00C64421">
              <w:rPr>
                <w:rFonts w:ascii="Verdana" w:hAnsi="Verdana"/>
              </w:rPr>
              <w:t>Circular Única Externa, así como la Circular 002 de 2024, expedidas por esta</w:t>
            </w:r>
            <w:r w:rsidRPr="00C64421">
              <w:rPr>
                <w:rFonts w:ascii="Verdana" w:hAnsi="Verdana"/>
                <w:spacing w:val="-1"/>
              </w:rPr>
              <w:t xml:space="preserve"> </w:t>
            </w:r>
            <w:r w:rsidRPr="00C64421">
              <w:rPr>
                <w:rFonts w:ascii="Verdana" w:hAnsi="Verdana"/>
              </w:rPr>
              <w:t xml:space="preserve">Agencia Publica de Contratación Pública – Colombia Compra Eficiente, donde se </w:t>
            </w:r>
            <w:r w:rsidRPr="00C64421">
              <w:rPr>
                <w:rFonts w:ascii="Verdana" w:hAnsi="Verdana"/>
                <w:spacing w:val="-2"/>
              </w:rPr>
              <w:t>establece:</w:t>
            </w:r>
          </w:p>
          <w:p w14:paraId="77CAABF5" w14:textId="27BCD90C" w:rsidR="00C64421" w:rsidRPr="00C64421" w:rsidRDefault="00C64421" w:rsidP="00C64421">
            <w:pPr>
              <w:pStyle w:val="Textoindependiente"/>
              <w:ind w:left="815" w:right="810"/>
              <w:jc w:val="both"/>
              <w:rPr>
                <w:rFonts w:ascii="Verdana" w:hAnsi="Verdana"/>
                <w:spacing w:val="-2"/>
              </w:rPr>
            </w:pPr>
            <w:r w:rsidRPr="00C64421">
              <w:rPr>
                <w:rFonts w:ascii="Verdana" w:hAnsi="Verdana"/>
              </w:rPr>
              <w:t>El</w:t>
            </w:r>
            <w:r w:rsidRPr="00C64421">
              <w:rPr>
                <w:rFonts w:ascii="Verdana" w:hAnsi="Verdana"/>
                <w:spacing w:val="-8"/>
              </w:rPr>
              <w:t xml:space="preserve"> </w:t>
            </w:r>
            <w:r w:rsidRPr="00C64421">
              <w:rPr>
                <w:rFonts w:ascii="Verdana" w:hAnsi="Verdana"/>
              </w:rPr>
              <w:t>artículo</w:t>
            </w:r>
            <w:r w:rsidRPr="00C64421">
              <w:rPr>
                <w:rFonts w:ascii="Verdana" w:hAnsi="Verdana"/>
                <w:spacing w:val="-7"/>
              </w:rPr>
              <w:t xml:space="preserve"> </w:t>
            </w:r>
            <w:r w:rsidRPr="00C64421">
              <w:rPr>
                <w:rFonts w:ascii="Verdana" w:hAnsi="Verdana"/>
              </w:rPr>
              <w:t>53</w:t>
            </w:r>
            <w:r w:rsidRPr="00C64421">
              <w:rPr>
                <w:rFonts w:ascii="Verdana" w:hAnsi="Verdana"/>
                <w:spacing w:val="-12"/>
              </w:rPr>
              <w:t xml:space="preserve"> </w:t>
            </w:r>
            <w:r w:rsidRPr="00C64421">
              <w:rPr>
                <w:rFonts w:ascii="Verdana" w:hAnsi="Verdana"/>
              </w:rPr>
              <w:t>de</w:t>
            </w:r>
            <w:r w:rsidRPr="00C64421">
              <w:rPr>
                <w:rFonts w:ascii="Verdana" w:hAnsi="Verdana"/>
                <w:spacing w:val="-8"/>
              </w:rPr>
              <w:t xml:space="preserve"> </w:t>
            </w:r>
            <w:r w:rsidRPr="00C64421">
              <w:rPr>
                <w:rFonts w:ascii="Verdana" w:hAnsi="Verdana"/>
              </w:rPr>
              <w:t>la</w:t>
            </w:r>
            <w:r w:rsidRPr="00C64421">
              <w:rPr>
                <w:rFonts w:ascii="Verdana" w:hAnsi="Verdana"/>
                <w:spacing w:val="-9"/>
              </w:rPr>
              <w:t xml:space="preserve"> </w:t>
            </w:r>
            <w:r w:rsidRPr="00C64421">
              <w:rPr>
                <w:rFonts w:ascii="Verdana" w:hAnsi="Verdana"/>
              </w:rPr>
              <w:t>citada</w:t>
            </w:r>
            <w:r w:rsidRPr="00C64421">
              <w:rPr>
                <w:rFonts w:ascii="Verdana" w:hAnsi="Verdana"/>
                <w:spacing w:val="-9"/>
              </w:rPr>
              <w:t xml:space="preserve"> </w:t>
            </w:r>
            <w:r w:rsidRPr="00C64421">
              <w:rPr>
                <w:rFonts w:ascii="Verdana" w:hAnsi="Verdana"/>
              </w:rPr>
              <w:t>Ley,</w:t>
            </w:r>
            <w:r w:rsidRPr="00C64421">
              <w:rPr>
                <w:rFonts w:ascii="Verdana" w:hAnsi="Verdana"/>
                <w:spacing w:val="-8"/>
              </w:rPr>
              <w:t xml:space="preserve"> </w:t>
            </w:r>
            <w:r w:rsidRPr="00C64421">
              <w:rPr>
                <w:rFonts w:ascii="Verdana" w:hAnsi="Verdana"/>
              </w:rPr>
              <w:t>obligó</w:t>
            </w:r>
            <w:r w:rsidRPr="00C64421">
              <w:rPr>
                <w:rFonts w:ascii="Verdana" w:hAnsi="Verdana"/>
                <w:spacing w:val="-7"/>
              </w:rPr>
              <w:t xml:space="preserve"> </w:t>
            </w:r>
            <w:r w:rsidRPr="00C64421">
              <w:rPr>
                <w:rFonts w:ascii="Verdana" w:hAnsi="Verdana"/>
              </w:rPr>
              <w:t>a</w:t>
            </w:r>
            <w:r w:rsidRPr="00C64421">
              <w:rPr>
                <w:rFonts w:ascii="Verdana" w:hAnsi="Verdana"/>
                <w:spacing w:val="-9"/>
              </w:rPr>
              <w:t xml:space="preserve"> </w:t>
            </w:r>
            <w:r w:rsidRPr="00C64421">
              <w:rPr>
                <w:rFonts w:ascii="Verdana" w:hAnsi="Verdana"/>
              </w:rPr>
              <w:t>las</w:t>
            </w:r>
            <w:r w:rsidRPr="00C64421">
              <w:rPr>
                <w:rFonts w:ascii="Verdana" w:hAnsi="Verdana"/>
                <w:spacing w:val="-12"/>
              </w:rPr>
              <w:t xml:space="preserve"> </w:t>
            </w:r>
            <w:r w:rsidRPr="00C64421">
              <w:rPr>
                <w:rFonts w:ascii="Verdana" w:hAnsi="Verdana"/>
              </w:rPr>
              <w:t>Entidades</w:t>
            </w:r>
            <w:r w:rsidRPr="00C64421">
              <w:rPr>
                <w:rFonts w:ascii="Verdana" w:hAnsi="Verdana"/>
                <w:spacing w:val="-8"/>
              </w:rPr>
              <w:t xml:space="preserve"> </w:t>
            </w:r>
            <w:r w:rsidRPr="00C64421">
              <w:rPr>
                <w:rFonts w:ascii="Verdana" w:hAnsi="Verdana"/>
              </w:rPr>
              <w:t>Estatales</w:t>
            </w:r>
            <w:r w:rsidRPr="00C64421">
              <w:rPr>
                <w:rFonts w:ascii="Verdana" w:hAnsi="Verdana"/>
                <w:spacing w:val="-8"/>
              </w:rPr>
              <w:t xml:space="preserve"> </w:t>
            </w:r>
            <w:r w:rsidRPr="00C64421">
              <w:rPr>
                <w:rFonts w:ascii="Verdana" w:hAnsi="Verdana"/>
              </w:rPr>
              <w:t>de régimen contractual excepcional al del Estatuto General de Contratación de la Administración Pública a publicar los documentos</w:t>
            </w:r>
            <w:r w:rsidRPr="00C64421">
              <w:rPr>
                <w:rFonts w:ascii="Verdana" w:hAnsi="Verdana"/>
                <w:spacing w:val="-11"/>
              </w:rPr>
              <w:t xml:space="preserve"> </w:t>
            </w:r>
            <w:r w:rsidRPr="00C64421">
              <w:rPr>
                <w:rFonts w:ascii="Verdana" w:hAnsi="Verdana"/>
              </w:rPr>
              <w:t>relacionados</w:t>
            </w:r>
            <w:r w:rsidRPr="00C64421">
              <w:rPr>
                <w:rFonts w:ascii="Verdana" w:hAnsi="Verdana"/>
                <w:spacing w:val="-6"/>
              </w:rPr>
              <w:t xml:space="preserve"> </w:t>
            </w:r>
            <w:r w:rsidRPr="00C64421">
              <w:rPr>
                <w:rFonts w:ascii="Verdana" w:hAnsi="Verdana"/>
              </w:rPr>
              <w:t>con</w:t>
            </w:r>
            <w:r w:rsidRPr="00C64421">
              <w:rPr>
                <w:rFonts w:ascii="Verdana" w:hAnsi="Verdana"/>
                <w:spacing w:val="-11"/>
              </w:rPr>
              <w:t xml:space="preserve"> </w:t>
            </w:r>
            <w:r w:rsidRPr="00C64421">
              <w:rPr>
                <w:rFonts w:ascii="Verdana" w:hAnsi="Verdana"/>
              </w:rPr>
              <w:t>su</w:t>
            </w:r>
            <w:r w:rsidRPr="00C64421">
              <w:rPr>
                <w:rFonts w:ascii="Verdana" w:hAnsi="Verdana"/>
                <w:spacing w:val="-11"/>
              </w:rPr>
              <w:t xml:space="preserve"> </w:t>
            </w:r>
            <w:r w:rsidRPr="00C64421">
              <w:rPr>
                <w:rFonts w:ascii="Verdana" w:hAnsi="Verdana"/>
              </w:rPr>
              <w:t>actividad</w:t>
            </w:r>
            <w:r w:rsidRPr="00C64421">
              <w:rPr>
                <w:rFonts w:ascii="Verdana" w:hAnsi="Verdana"/>
                <w:spacing w:val="-8"/>
              </w:rPr>
              <w:t xml:space="preserve"> </w:t>
            </w:r>
            <w:r w:rsidRPr="00C64421">
              <w:rPr>
                <w:rFonts w:ascii="Verdana" w:hAnsi="Verdana"/>
              </w:rPr>
              <w:t>contractual –</w:t>
            </w:r>
            <w:r w:rsidRPr="00C64421">
              <w:rPr>
                <w:rFonts w:ascii="Verdana" w:hAnsi="Verdana"/>
                <w:spacing w:val="-6"/>
              </w:rPr>
              <w:t xml:space="preserve"> </w:t>
            </w:r>
            <w:r w:rsidRPr="00C64421">
              <w:rPr>
                <w:rFonts w:ascii="Verdana" w:hAnsi="Verdana"/>
              </w:rPr>
              <w:t>es</w:t>
            </w:r>
            <w:r w:rsidRPr="00C64421">
              <w:rPr>
                <w:rFonts w:ascii="Verdana" w:hAnsi="Verdana"/>
                <w:spacing w:val="-11"/>
              </w:rPr>
              <w:t xml:space="preserve"> </w:t>
            </w:r>
            <w:r w:rsidRPr="00C64421">
              <w:rPr>
                <w:rFonts w:ascii="Verdana" w:hAnsi="Verdana"/>
              </w:rPr>
              <w:t>decir, los expedidos tanto en la etapa precontractual, como en la contractual</w:t>
            </w:r>
            <w:r w:rsidRPr="00C64421">
              <w:rPr>
                <w:rFonts w:ascii="Verdana" w:hAnsi="Verdana"/>
                <w:spacing w:val="-3"/>
              </w:rPr>
              <w:t xml:space="preserve"> </w:t>
            </w:r>
            <w:r w:rsidRPr="00C64421">
              <w:rPr>
                <w:rFonts w:ascii="Verdana" w:hAnsi="Verdana"/>
              </w:rPr>
              <w:t>y</w:t>
            </w:r>
            <w:r w:rsidRPr="00C64421">
              <w:rPr>
                <w:rFonts w:ascii="Verdana" w:hAnsi="Verdana"/>
                <w:spacing w:val="-4"/>
              </w:rPr>
              <w:t xml:space="preserve"> </w:t>
            </w:r>
            <w:r w:rsidRPr="00C64421">
              <w:rPr>
                <w:rFonts w:ascii="Verdana" w:hAnsi="Verdana"/>
              </w:rPr>
              <w:t>la</w:t>
            </w:r>
            <w:r w:rsidRPr="00C64421">
              <w:rPr>
                <w:rFonts w:ascii="Verdana" w:hAnsi="Verdana"/>
                <w:spacing w:val="-5"/>
              </w:rPr>
              <w:t xml:space="preserve"> </w:t>
            </w:r>
            <w:proofErr w:type="spellStart"/>
            <w:r w:rsidRPr="00C64421">
              <w:rPr>
                <w:rFonts w:ascii="Verdana" w:hAnsi="Verdana"/>
              </w:rPr>
              <w:t>postcontractual</w:t>
            </w:r>
            <w:proofErr w:type="spellEnd"/>
            <w:r w:rsidRPr="00C64421">
              <w:rPr>
                <w:rFonts w:ascii="Verdana" w:hAnsi="Verdana"/>
                <w:spacing w:val="8"/>
              </w:rPr>
              <w:t xml:space="preserve"> </w:t>
            </w:r>
            <w:r w:rsidRPr="00C64421">
              <w:rPr>
                <w:rFonts w:ascii="Verdana" w:hAnsi="Verdana"/>
              </w:rPr>
              <w:t>–</w:t>
            </w:r>
            <w:r w:rsidRPr="00C64421">
              <w:rPr>
                <w:rFonts w:ascii="Verdana" w:hAnsi="Verdana"/>
                <w:spacing w:val="-3"/>
              </w:rPr>
              <w:t xml:space="preserve"> </w:t>
            </w:r>
            <w:r w:rsidRPr="00C64421">
              <w:rPr>
                <w:rFonts w:ascii="Verdana" w:hAnsi="Verdana"/>
              </w:rPr>
              <w:t>en</w:t>
            </w:r>
            <w:r w:rsidRPr="00C64421">
              <w:rPr>
                <w:rFonts w:ascii="Verdana" w:hAnsi="Verdana"/>
                <w:spacing w:val="-3"/>
              </w:rPr>
              <w:t xml:space="preserve"> </w:t>
            </w:r>
            <w:r w:rsidRPr="00C64421">
              <w:rPr>
                <w:rFonts w:ascii="Verdana" w:hAnsi="Verdana"/>
              </w:rPr>
              <w:t>el</w:t>
            </w:r>
            <w:r w:rsidRPr="00C64421">
              <w:rPr>
                <w:rFonts w:ascii="Verdana" w:hAnsi="Verdana"/>
                <w:spacing w:val="-2"/>
              </w:rPr>
              <w:t xml:space="preserve"> </w:t>
            </w:r>
            <w:r w:rsidRPr="00C64421">
              <w:rPr>
                <w:rFonts w:ascii="Verdana" w:hAnsi="Verdana"/>
              </w:rPr>
              <w:t>SECOP</w:t>
            </w:r>
            <w:r w:rsidRPr="00C64421">
              <w:rPr>
                <w:rFonts w:ascii="Verdana" w:hAnsi="Verdana"/>
                <w:spacing w:val="-1"/>
              </w:rPr>
              <w:t xml:space="preserve"> </w:t>
            </w:r>
            <w:r w:rsidRPr="00C64421">
              <w:rPr>
                <w:rFonts w:ascii="Verdana" w:hAnsi="Verdana"/>
              </w:rPr>
              <w:t>II</w:t>
            </w:r>
            <w:r w:rsidRPr="00C64421">
              <w:rPr>
                <w:rFonts w:ascii="Verdana" w:hAnsi="Verdana"/>
                <w:spacing w:val="-1"/>
              </w:rPr>
              <w:t xml:space="preserve"> </w:t>
            </w:r>
            <w:r w:rsidRPr="00C64421">
              <w:rPr>
                <w:rFonts w:ascii="Verdana" w:hAnsi="Verdana"/>
              </w:rPr>
              <w:t>o</w:t>
            </w:r>
            <w:r w:rsidRPr="00C64421">
              <w:rPr>
                <w:rFonts w:ascii="Verdana" w:hAnsi="Verdana"/>
                <w:spacing w:val="-2"/>
              </w:rPr>
              <w:t xml:space="preserve"> </w:t>
            </w:r>
            <w:r w:rsidRPr="00C64421">
              <w:rPr>
                <w:rFonts w:ascii="Verdana" w:hAnsi="Verdana"/>
              </w:rPr>
              <w:t>la</w:t>
            </w:r>
            <w:r w:rsidRPr="00C64421">
              <w:rPr>
                <w:rFonts w:ascii="Verdana" w:hAnsi="Verdana"/>
                <w:spacing w:val="-5"/>
              </w:rPr>
              <w:t xml:space="preserve"> </w:t>
            </w:r>
            <w:r w:rsidRPr="00C64421">
              <w:rPr>
                <w:rFonts w:ascii="Verdana" w:hAnsi="Verdana"/>
                <w:spacing w:val="-2"/>
              </w:rPr>
              <w:t xml:space="preserve">plataforma </w:t>
            </w:r>
            <w:r w:rsidRPr="00C64421">
              <w:rPr>
                <w:rFonts w:ascii="Verdana" w:hAnsi="Verdana"/>
              </w:rPr>
              <w:t>transaccional</w:t>
            </w:r>
            <w:r w:rsidRPr="00C64421">
              <w:rPr>
                <w:rFonts w:ascii="Verdana" w:hAnsi="Verdana"/>
                <w:spacing w:val="40"/>
              </w:rPr>
              <w:t xml:space="preserve"> </w:t>
            </w:r>
            <w:r w:rsidRPr="00C64421">
              <w:rPr>
                <w:rFonts w:ascii="Verdana" w:hAnsi="Verdana"/>
              </w:rPr>
              <w:t>que</w:t>
            </w:r>
            <w:r w:rsidRPr="00C64421">
              <w:rPr>
                <w:rFonts w:ascii="Verdana" w:hAnsi="Verdana"/>
                <w:spacing w:val="40"/>
              </w:rPr>
              <w:t xml:space="preserve"> </w:t>
            </w:r>
            <w:r w:rsidRPr="00C64421">
              <w:rPr>
                <w:rFonts w:ascii="Verdana" w:hAnsi="Verdana"/>
              </w:rPr>
              <w:t>haga</w:t>
            </w:r>
            <w:r w:rsidRPr="00C64421">
              <w:rPr>
                <w:rFonts w:ascii="Verdana" w:hAnsi="Verdana"/>
                <w:spacing w:val="40"/>
              </w:rPr>
              <w:t xml:space="preserve"> </w:t>
            </w:r>
            <w:r w:rsidRPr="00C64421">
              <w:rPr>
                <w:rFonts w:ascii="Verdana" w:hAnsi="Verdana"/>
              </w:rPr>
              <w:t>sus</w:t>
            </w:r>
            <w:r w:rsidRPr="00C64421">
              <w:rPr>
                <w:rFonts w:ascii="Verdana" w:hAnsi="Verdana"/>
                <w:spacing w:val="40"/>
              </w:rPr>
              <w:t xml:space="preserve"> </w:t>
            </w:r>
            <w:r w:rsidRPr="00C64421">
              <w:rPr>
                <w:rFonts w:ascii="Verdana" w:hAnsi="Verdana"/>
              </w:rPr>
              <w:t>veces,</w:t>
            </w:r>
            <w:r w:rsidRPr="00C64421">
              <w:rPr>
                <w:rFonts w:ascii="Verdana" w:hAnsi="Verdana"/>
                <w:spacing w:val="40"/>
              </w:rPr>
              <w:t xml:space="preserve"> </w:t>
            </w:r>
            <w:r w:rsidRPr="00C64421">
              <w:rPr>
                <w:rFonts w:ascii="Verdana" w:hAnsi="Verdana"/>
              </w:rPr>
              <w:t>salvo</w:t>
            </w:r>
            <w:r w:rsidRPr="00C64421">
              <w:rPr>
                <w:rFonts w:ascii="Verdana" w:hAnsi="Verdana"/>
                <w:spacing w:val="40"/>
              </w:rPr>
              <w:t xml:space="preserve"> </w:t>
            </w:r>
            <w:r w:rsidRPr="00C64421">
              <w:rPr>
                <w:rFonts w:ascii="Verdana" w:hAnsi="Verdana"/>
              </w:rPr>
              <w:t>información</w:t>
            </w:r>
            <w:r w:rsidRPr="00C64421">
              <w:rPr>
                <w:rFonts w:ascii="Verdana" w:hAnsi="Verdana"/>
                <w:spacing w:val="40"/>
              </w:rPr>
              <w:t xml:space="preserve"> </w:t>
            </w:r>
            <w:r w:rsidRPr="00C64421">
              <w:rPr>
                <w:rFonts w:ascii="Verdana" w:hAnsi="Verdana"/>
              </w:rPr>
              <w:t>sujeta</w:t>
            </w:r>
            <w:r w:rsidRPr="00C64421">
              <w:rPr>
                <w:rFonts w:ascii="Verdana" w:hAnsi="Verdana"/>
                <w:spacing w:val="40"/>
              </w:rPr>
              <w:t xml:space="preserve"> </w:t>
            </w:r>
            <w:r w:rsidRPr="00C64421">
              <w:rPr>
                <w:rFonts w:ascii="Verdana" w:hAnsi="Verdana"/>
              </w:rPr>
              <w:t xml:space="preserve">a </w:t>
            </w:r>
            <w:r w:rsidRPr="00C64421">
              <w:rPr>
                <w:rFonts w:ascii="Verdana" w:hAnsi="Verdana"/>
                <w:spacing w:val="-2"/>
              </w:rPr>
              <w:t>reserva.</w:t>
            </w:r>
          </w:p>
          <w:p w14:paraId="77CD989F" w14:textId="77777777" w:rsidR="00C64421" w:rsidRPr="00C64421" w:rsidRDefault="00C64421" w:rsidP="00C64421">
            <w:pPr>
              <w:pStyle w:val="Textoindependiente"/>
              <w:ind w:left="815" w:right="810"/>
              <w:jc w:val="both"/>
              <w:rPr>
                <w:rFonts w:ascii="Verdana" w:hAnsi="Verdana"/>
                <w:spacing w:val="-2"/>
              </w:rPr>
            </w:pPr>
          </w:p>
          <w:p w14:paraId="2DBB5B76" w14:textId="77777777" w:rsidR="00C64421" w:rsidRPr="00C64421" w:rsidRDefault="00C64421" w:rsidP="00C64421">
            <w:pPr>
              <w:pStyle w:val="Textoindependiente"/>
              <w:spacing w:before="1" w:line="276" w:lineRule="auto"/>
              <w:ind w:left="375" w:right="369" w:firstLine="470"/>
              <w:jc w:val="both"/>
              <w:rPr>
                <w:rFonts w:ascii="Verdana" w:hAnsi="Verdana"/>
              </w:rPr>
            </w:pPr>
            <w:r w:rsidRPr="00C64421">
              <w:rPr>
                <w:rFonts w:ascii="Verdana" w:hAnsi="Verdana"/>
              </w:rPr>
              <w:t>Este deber de publicación, no desconoce</w:t>
            </w:r>
            <w:r w:rsidRPr="00C64421">
              <w:rPr>
                <w:rFonts w:ascii="Verdana" w:hAnsi="Verdana"/>
                <w:spacing w:val="-2"/>
              </w:rPr>
              <w:t xml:space="preserve"> </w:t>
            </w:r>
            <w:r w:rsidRPr="00C64421">
              <w:rPr>
                <w:rFonts w:ascii="Verdana" w:hAnsi="Verdana"/>
              </w:rPr>
              <w:t>la naturaleza y autonomía de la EICE, en el desarrollo de su actividad propia, industrial o comercial o de gestión</w:t>
            </w:r>
            <w:r w:rsidRPr="00C64421">
              <w:rPr>
                <w:rFonts w:ascii="Verdana" w:hAnsi="Verdana"/>
                <w:spacing w:val="-8"/>
              </w:rPr>
              <w:t xml:space="preserve"> </w:t>
            </w:r>
            <w:r w:rsidRPr="00C64421">
              <w:rPr>
                <w:rFonts w:ascii="Verdana" w:hAnsi="Verdana"/>
              </w:rPr>
              <w:t>económica,</w:t>
            </w:r>
            <w:r w:rsidRPr="00C64421">
              <w:rPr>
                <w:rFonts w:ascii="Verdana" w:hAnsi="Verdana"/>
                <w:spacing w:val="-8"/>
              </w:rPr>
              <w:t xml:space="preserve"> </w:t>
            </w:r>
            <w:r w:rsidRPr="00C64421">
              <w:rPr>
                <w:rFonts w:ascii="Verdana" w:hAnsi="Verdana"/>
              </w:rPr>
              <w:t>que</w:t>
            </w:r>
            <w:r w:rsidRPr="00C64421">
              <w:rPr>
                <w:rFonts w:ascii="Verdana" w:hAnsi="Verdana"/>
                <w:spacing w:val="-13"/>
              </w:rPr>
              <w:t xml:space="preserve"> </w:t>
            </w:r>
            <w:r w:rsidRPr="00C64421">
              <w:rPr>
                <w:rFonts w:ascii="Verdana" w:hAnsi="Verdana"/>
              </w:rPr>
              <w:t>según</w:t>
            </w:r>
            <w:r w:rsidRPr="00C64421">
              <w:rPr>
                <w:rFonts w:ascii="Verdana" w:hAnsi="Verdana"/>
                <w:spacing w:val="40"/>
              </w:rPr>
              <w:t xml:space="preserve"> </w:t>
            </w:r>
            <w:r w:rsidRPr="00C64421">
              <w:rPr>
                <w:rFonts w:ascii="Verdana" w:hAnsi="Verdana"/>
              </w:rPr>
              <w:t>lo</w:t>
            </w:r>
            <w:r w:rsidRPr="00C64421">
              <w:rPr>
                <w:rFonts w:ascii="Verdana" w:hAnsi="Verdana"/>
                <w:spacing w:val="-12"/>
              </w:rPr>
              <w:t xml:space="preserve"> </w:t>
            </w:r>
            <w:r w:rsidRPr="00C64421">
              <w:rPr>
                <w:rFonts w:ascii="Verdana" w:hAnsi="Verdana"/>
              </w:rPr>
              <w:t>enunciado</w:t>
            </w:r>
            <w:r w:rsidRPr="00C64421">
              <w:rPr>
                <w:rFonts w:ascii="Verdana" w:hAnsi="Verdana"/>
                <w:spacing w:val="-7"/>
              </w:rPr>
              <w:t xml:space="preserve"> </w:t>
            </w:r>
            <w:r w:rsidRPr="00C64421">
              <w:rPr>
                <w:rFonts w:ascii="Verdana" w:hAnsi="Verdana"/>
              </w:rPr>
              <w:t>en</w:t>
            </w:r>
            <w:r w:rsidRPr="00C64421">
              <w:rPr>
                <w:rFonts w:ascii="Verdana" w:hAnsi="Verdana"/>
                <w:spacing w:val="-8"/>
              </w:rPr>
              <w:t xml:space="preserve"> </w:t>
            </w:r>
            <w:r w:rsidRPr="00C64421">
              <w:rPr>
                <w:rFonts w:ascii="Verdana" w:hAnsi="Verdana"/>
              </w:rPr>
              <w:t>el</w:t>
            </w:r>
            <w:r w:rsidRPr="00C64421">
              <w:rPr>
                <w:rFonts w:ascii="Verdana" w:hAnsi="Verdana"/>
                <w:spacing w:val="-2"/>
              </w:rPr>
              <w:t xml:space="preserve"> </w:t>
            </w:r>
            <w:r w:rsidRPr="00C64421">
              <w:rPr>
                <w:rFonts w:ascii="Verdana" w:hAnsi="Verdana"/>
              </w:rPr>
              <w:t>artículo</w:t>
            </w:r>
            <w:r w:rsidRPr="00C64421">
              <w:rPr>
                <w:rFonts w:ascii="Verdana" w:hAnsi="Verdana"/>
                <w:spacing w:val="-12"/>
              </w:rPr>
              <w:t xml:space="preserve"> </w:t>
            </w:r>
            <w:r w:rsidRPr="00C64421">
              <w:rPr>
                <w:rFonts w:ascii="Verdana" w:hAnsi="Verdana"/>
              </w:rPr>
              <w:t>93</w:t>
            </w:r>
            <w:r w:rsidRPr="00C64421">
              <w:rPr>
                <w:rFonts w:ascii="Verdana" w:hAnsi="Verdana"/>
                <w:spacing w:val="-12"/>
              </w:rPr>
              <w:t xml:space="preserve"> </w:t>
            </w:r>
            <w:r w:rsidRPr="00C64421">
              <w:rPr>
                <w:rFonts w:ascii="Verdana" w:hAnsi="Verdana"/>
              </w:rPr>
              <w:t>de</w:t>
            </w:r>
            <w:r w:rsidRPr="00C64421">
              <w:rPr>
                <w:rFonts w:ascii="Verdana" w:hAnsi="Verdana"/>
                <w:spacing w:val="-9"/>
              </w:rPr>
              <w:t xml:space="preserve"> </w:t>
            </w:r>
            <w:r w:rsidRPr="00C64421">
              <w:rPr>
                <w:rFonts w:ascii="Verdana" w:hAnsi="Verdana"/>
              </w:rPr>
              <w:t>la</w:t>
            </w:r>
            <w:r w:rsidRPr="00C64421">
              <w:rPr>
                <w:rFonts w:ascii="Verdana" w:hAnsi="Verdana"/>
                <w:spacing w:val="-10"/>
              </w:rPr>
              <w:t xml:space="preserve"> </w:t>
            </w:r>
            <w:r w:rsidRPr="00C64421">
              <w:rPr>
                <w:rFonts w:ascii="Verdana" w:hAnsi="Verdana"/>
              </w:rPr>
              <w:t>Ley</w:t>
            </w:r>
            <w:r w:rsidRPr="00C64421">
              <w:rPr>
                <w:rFonts w:ascii="Verdana" w:hAnsi="Verdana"/>
                <w:spacing w:val="-12"/>
              </w:rPr>
              <w:t xml:space="preserve"> </w:t>
            </w:r>
            <w:r w:rsidRPr="00C64421">
              <w:rPr>
                <w:rFonts w:ascii="Verdana" w:hAnsi="Verdana"/>
              </w:rPr>
              <w:t>489</w:t>
            </w:r>
            <w:r w:rsidRPr="00C64421">
              <w:rPr>
                <w:rFonts w:ascii="Verdana" w:hAnsi="Verdana"/>
                <w:spacing w:val="-8"/>
              </w:rPr>
              <w:t xml:space="preserve"> </w:t>
            </w:r>
            <w:r w:rsidRPr="00C64421">
              <w:rPr>
                <w:rFonts w:ascii="Verdana" w:hAnsi="Verdana"/>
              </w:rPr>
              <w:t>de 1998, las faculta para que la actividad que corresponde al giro ordinario de sus negocios la sujeten a las disposiciones del Derecho Privado.</w:t>
            </w:r>
          </w:p>
          <w:p w14:paraId="07B09C0E" w14:textId="77777777" w:rsidR="00C64421" w:rsidRPr="00C64421" w:rsidRDefault="00C64421" w:rsidP="00C64421">
            <w:pPr>
              <w:pStyle w:val="Textoindependiente"/>
              <w:spacing w:before="118" w:line="276" w:lineRule="auto"/>
              <w:ind w:left="375" w:right="373" w:firstLine="710"/>
              <w:jc w:val="both"/>
              <w:rPr>
                <w:rFonts w:ascii="Verdana" w:hAnsi="Verdana"/>
              </w:rPr>
            </w:pPr>
            <w:r w:rsidRPr="00C64421">
              <w:rPr>
                <w:rFonts w:ascii="Verdana" w:hAnsi="Verdana"/>
              </w:rPr>
              <w:t>En este sentido se concluye que, independientemente del régimen aplicable,</w:t>
            </w:r>
            <w:r w:rsidRPr="00C64421">
              <w:rPr>
                <w:rFonts w:ascii="Verdana" w:hAnsi="Verdana"/>
                <w:spacing w:val="-8"/>
              </w:rPr>
              <w:t xml:space="preserve"> </w:t>
            </w:r>
            <w:r w:rsidRPr="00C64421">
              <w:rPr>
                <w:rFonts w:ascii="Verdana" w:hAnsi="Verdana"/>
              </w:rPr>
              <w:t>los</w:t>
            </w:r>
            <w:r w:rsidRPr="00C64421">
              <w:rPr>
                <w:rFonts w:ascii="Verdana" w:hAnsi="Verdana"/>
                <w:spacing w:val="-8"/>
              </w:rPr>
              <w:t xml:space="preserve"> </w:t>
            </w:r>
            <w:r w:rsidRPr="00C64421">
              <w:rPr>
                <w:rFonts w:ascii="Verdana" w:hAnsi="Verdana"/>
              </w:rPr>
              <w:t>contratos</w:t>
            </w:r>
            <w:r w:rsidRPr="00C64421">
              <w:rPr>
                <w:rFonts w:ascii="Verdana" w:hAnsi="Verdana"/>
                <w:spacing w:val="-9"/>
              </w:rPr>
              <w:t xml:space="preserve"> </w:t>
            </w:r>
            <w:r w:rsidRPr="00C64421">
              <w:rPr>
                <w:rFonts w:ascii="Verdana" w:hAnsi="Verdana"/>
              </w:rPr>
              <w:t>de</w:t>
            </w:r>
            <w:r w:rsidRPr="00C64421">
              <w:rPr>
                <w:rFonts w:ascii="Verdana" w:hAnsi="Verdana"/>
                <w:spacing w:val="-11"/>
              </w:rPr>
              <w:t xml:space="preserve"> </w:t>
            </w:r>
            <w:r w:rsidRPr="00C64421">
              <w:rPr>
                <w:rFonts w:ascii="Verdana" w:hAnsi="Verdana"/>
              </w:rPr>
              <w:t>arrendamiento</w:t>
            </w:r>
            <w:r w:rsidRPr="00C64421">
              <w:rPr>
                <w:rFonts w:ascii="Verdana" w:hAnsi="Verdana"/>
                <w:spacing w:val="-4"/>
              </w:rPr>
              <w:t xml:space="preserve"> </w:t>
            </w:r>
            <w:r w:rsidRPr="00C64421">
              <w:rPr>
                <w:rFonts w:ascii="Verdana" w:hAnsi="Verdana"/>
              </w:rPr>
              <w:t>deben</w:t>
            </w:r>
            <w:r w:rsidRPr="00C64421">
              <w:rPr>
                <w:rFonts w:ascii="Verdana" w:hAnsi="Verdana"/>
                <w:spacing w:val="-9"/>
              </w:rPr>
              <w:t xml:space="preserve"> </w:t>
            </w:r>
            <w:r w:rsidRPr="00C64421">
              <w:rPr>
                <w:rFonts w:ascii="Verdana" w:hAnsi="Verdana"/>
              </w:rPr>
              <w:t>publicarse</w:t>
            </w:r>
            <w:r w:rsidRPr="00C64421">
              <w:rPr>
                <w:rFonts w:ascii="Verdana" w:hAnsi="Verdana"/>
                <w:spacing w:val="-11"/>
              </w:rPr>
              <w:t xml:space="preserve"> </w:t>
            </w:r>
            <w:r w:rsidRPr="00C64421">
              <w:rPr>
                <w:rFonts w:ascii="Verdana" w:hAnsi="Verdana"/>
              </w:rPr>
              <w:t>en</w:t>
            </w:r>
            <w:r w:rsidRPr="00C64421">
              <w:rPr>
                <w:rFonts w:ascii="Verdana" w:hAnsi="Verdana"/>
                <w:spacing w:val="-10"/>
              </w:rPr>
              <w:t xml:space="preserve"> </w:t>
            </w:r>
            <w:r w:rsidRPr="00C64421">
              <w:rPr>
                <w:rFonts w:ascii="Verdana" w:hAnsi="Verdana"/>
              </w:rPr>
              <w:t>el</w:t>
            </w:r>
            <w:r w:rsidRPr="00C64421">
              <w:rPr>
                <w:rFonts w:ascii="Verdana" w:hAnsi="Verdana"/>
                <w:spacing w:val="-10"/>
              </w:rPr>
              <w:t xml:space="preserve"> </w:t>
            </w:r>
            <w:r w:rsidRPr="00C64421">
              <w:rPr>
                <w:rFonts w:ascii="Verdana" w:hAnsi="Verdana"/>
              </w:rPr>
              <w:t>SECOP</w:t>
            </w:r>
            <w:r w:rsidRPr="00C64421">
              <w:rPr>
                <w:rFonts w:ascii="Verdana" w:hAnsi="Verdana"/>
                <w:spacing w:val="-12"/>
              </w:rPr>
              <w:t xml:space="preserve"> </w:t>
            </w:r>
            <w:r w:rsidRPr="00C64421">
              <w:rPr>
                <w:rFonts w:ascii="Verdana" w:hAnsi="Verdana"/>
              </w:rPr>
              <w:t>como los demás contratos estatales, en virtud del principio de publicidad de la función administrativa consagrado en el artículo 209 de la Constitución Política, el cual fue desarrollado por el legislador en el ámbito de la contratación</w:t>
            </w:r>
            <w:r w:rsidRPr="00C64421">
              <w:rPr>
                <w:rFonts w:ascii="Verdana" w:hAnsi="Verdana"/>
                <w:spacing w:val="-3"/>
              </w:rPr>
              <w:t xml:space="preserve"> </w:t>
            </w:r>
            <w:r w:rsidRPr="00C64421">
              <w:rPr>
                <w:rFonts w:ascii="Verdana" w:hAnsi="Verdana"/>
              </w:rPr>
              <w:t>estatal</w:t>
            </w:r>
            <w:r w:rsidRPr="00C64421">
              <w:rPr>
                <w:rFonts w:ascii="Verdana" w:hAnsi="Verdana"/>
                <w:spacing w:val="-3"/>
              </w:rPr>
              <w:t xml:space="preserve"> </w:t>
            </w:r>
            <w:r w:rsidRPr="00C64421">
              <w:rPr>
                <w:rFonts w:ascii="Verdana" w:hAnsi="Verdana"/>
              </w:rPr>
              <w:t>mediante</w:t>
            </w:r>
            <w:r w:rsidRPr="00C64421">
              <w:rPr>
                <w:rFonts w:ascii="Verdana" w:hAnsi="Verdana"/>
                <w:spacing w:val="-4"/>
              </w:rPr>
              <w:t xml:space="preserve"> </w:t>
            </w:r>
            <w:r w:rsidRPr="00C64421">
              <w:rPr>
                <w:rFonts w:ascii="Verdana" w:hAnsi="Verdana"/>
              </w:rPr>
              <w:t>el</w:t>
            </w:r>
            <w:r w:rsidRPr="00C64421">
              <w:rPr>
                <w:rFonts w:ascii="Verdana" w:hAnsi="Verdana"/>
                <w:spacing w:val="-3"/>
              </w:rPr>
              <w:t xml:space="preserve"> </w:t>
            </w:r>
            <w:r w:rsidRPr="00C64421">
              <w:rPr>
                <w:rFonts w:ascii="Verdana" w:hAnsi="Verdana"/>
              </w:rPr>
              <w:t>artículo</w:t>
            </w:r>
            <w:r w:rsidRPr="00C64421">
              <w:rPr>
                <w:rFonts w:ascii="Verdana" w:hAnsi="Verdana"/>
                <w:spacing w:val="-2"/>
              </w:rPr>
              <w:t xml:space="preserve"> </w:t>
            </w:r>
            <w:r w:rsidRPr="00C64421">
              <w:rPr>
                <w:rFonts w:ascii="Verdana" w:hAnsi="Verdana"/>
              </w:rPr>
              <w:t>3</w:t>
            </w:r>
            <w:r w:rsidRPr="00C64421">
              <w:rPr>
                <w:rFonts w:ascii="Verdana" w:hAnsi="Verdana"/>
                <w:spacing w:val="-3"/>
              </w:rPr>
              <w:t xml:space="preserve"> </w:t>
            </w:r>
            <w:r w:rsidRPr="00C64421">
              <w:rPr>
                <w:rFonts w:ascii="Verdana" w:hAnsi="Verdana"/>
              </w:rPr>
              <w:t>de</w:t>
            </w:r>
            <w:r w:rsidRPr="00C64421">
              <w:rPr>
                <w:rFonts w:ascii="Verdana" w:hAnsi="Verdana"/>
                <w:spacing w:val="-9"/>
              </w:rPr>
              <w:t xml:space="preserve"> </w:t>
            </w:r>
            <w:r w:rsidRPr="00C64421">
              <w:rPr>
                <w:rFonts w:ascii="Verdana" w:hAnsi="Verdana"/>
              </w:rPr>
              <w:t>la</w:t>
            </w:r>
            <w:r w:rsidRPr="00C64421">
              <w:rPr>
                <w:rFonts w:ascii="Verdana" w:hAnsi="Verdana"/>
                <w:spacing w:val="-5"/>
              </w:rPr>
              <w:t xml:space="preserve"> </w:t>
            </w:r>
            <w:r w:rsidRPr="00C64421">
              <w:rPr>
                <w:rFonts w:ascii="Verdana" w:hAnsi="Verdana"/>
              </w:rPr>
              <w:t>Ley</w:t>
            </w:r>
            <w:r w:rsidRPr="00C64421">
              <w:rPr>
                <w:rFonts w:ascii="Verdana" w:hAnsi="Verdana"/>
                <w:spacing w:val="-4"/>
              </w:rPr>
              <w:t xml:space="preserve"> </w:t>
            </w:r>
            <w:r w:rsidRPr="00C64421">
              <w:rPr>
                <w:rFonts w:ascii="Verdana" w:hAnsi="Verdana"/>
              </w:rPr>
              <w:t>1150</w:t>
            </w:r>
            <w:r w:rsidRPr="00C64421">
              <w:rPr>
                <w:rFonts w:ascii="Verdana" w:hAnsi="Verdana"/>
                <w:spacing w:val="-8"/>
              </w:rPr>
              <w:t xml:space="preserve"> </w:t>
            </w:r>
            <w:r w:rsidRPr="00C64421">
              <w:rPr>
                <w:rFonts w:ascii="Verdana" w:hAnsi="Verdana"/>
              </w:rPr>
              <w:t>de</w:t>
            </w:r>
            <w:r w:rsidRPr="00C64421">
              <w:rPr>
                <w:rFonts w:ascii="Verdana" w:hAnsi="Verdana"/>
                <w:spacing w:val="-4"/>
              </w:rPr>
              <w:t xml:space="preserve"> </w:t>
            </w:r>
            <w:r w:rsidRPr="00C64421">
              <w:rPr>
                <w:rFonts w:ascii="Verdana" w:hAnsi="Verdana"/>
              </w:rPr>
              <w:t>2007,</w:t>
            </w:r>
            <w:r w:rsidRPr="00C64421">
              <w:rPr>
                <w:rFonts w:ascii="Verdana" w:hAnsi="Verdana"/>
                <w:spacing w:val="-8"/>
              </w:rPr>
              <w:t xml:space="preserve"> </w:t>
            </w:r>
            <w:r w:rsidRPr="00C64421">
              <w:rPr>
                <w:rFonts w:ascii="Verdana" w:hAnsi="Verdana"/>
              </w:rPr>
              <w:t>el</w:t>
            </w:r>
            <w:r w:rsidRPr="00C64421">
              <w:rPr>
                <w:rFonts w:ascii="Verdana" w:hAnsi="Verdana"/>
                <w:spacing w:val="-3"/>
              </w:rPr>
              <w:t xml:space="preserve"> </w:t>
            </w:r>
            <w:r w:rsidRPr="00C64421">
              <w:rPr>
                <w:rFonts w:ascii="Verdana" w:hAnsi="Verdana"/>
              </w:rPr>
              <w:t>artículo 11,</w:t>
            </w:r>
            <w:r w:rsidRPr="00C64421">
              <w:rPr>
                <w:rFonts w:ascii="Verdana" w:hAnsi="Verdana"/>
                <w:spacing w:val="-1"/>
              </w:rPr>
              <w:t xml:space="preserve"> </w:t>
            </w:r>
            <w:r w:rsidRPr="00C64421">
              <w:rPr>
                <w:rFonts w:ascii="Verdana" w:hAnsi="Verdana"/>
              </w:rPr>
              <w:t>literal</w:t>
            </w:r>
            <w:r w:rsidRPr="00C64421">
              <w:rPr>
                <w:rFonts w:ascii="Verdana" w:hAnsi="Verdana"/>
                <w:spacing w:val="-1"/>
              </w:rPr>
              <w:t xml:space="preserve"> </w:t>
            </w:r>
            <w:r w:rsidRPr="00C64421">
              <w:rPr>
                <w:rFonts w:ascii="Verdana" w:hAnsi="Verdana"/>
              </w:rPr>
              <w:t>g</w:t>
            </w:r>
            <w:r w:rsidRPr="00C64421">
              <w:rPr>
                <w:rFonts w:ascii="Verdana" w:hAnsi="Verdana"/>
                <w:spacing w:val="-3"/>
              </w:rPr>
              <w:t xml:space="preserve"> </w:t>
            </w:r>
            <w:r w:rsidRPr="00C64421">
              <w:rPr>
                <w:rFonts w:ascii="Verdana" w:hAnsi="Verdana"/>
              </w:rPr>
              <w:t>de</w:t>
            </w:r>
            <w:r w:rsidRPr="00C64421">
              <w:rPr>
                <w:rFonts w:ascii="Verdana" w:hAnsi="Verdana"/>
                <w:spacing w:val="-8"/>
              </w:rPr>
              <w:t xml:space="preserve"> </w:t>
            </w:r>
            <w:r w:rsidRPr="00C64421">
              <w:rPr>
                <w:rFonts w:ascii="Verdana" w:hAnsi="Verdana"/>
              </w:rPr>
              <w:t>la</w:t>
            </w:r>
            <w:r w:rsidRPr="00C64421">
              <w:rPr>
                <w:rFonts w:ascii="Verdana" w:hAnsi="Verdana"/>
                <w:spacing w:val="-8"/>
              </w:rPr>
              <w:t xml:space="preserve"> </w:t>
            </w:r>
            <w:r w:rsidRPr="00C64421">
              <w:rPr>
                <w:rFonts w:ascii="Verdana" w:hAnsi="Verdana"/>
              </w:rPr>
              <w:t>Ley</w:t>
            </w:r>
            <w:r w:rsidRPr="00C64421">
              <w:rPr>
                <w:rFonts w:ascii="Verdana" w:hAnsi="Verdana"/>
                <w:spacing w:val="-2"/>
              </w:rPr>
              <w:t xml:space="preserve"> </w:t>
            </w:r>
            <w:r w:rsidRPr="00C64421">
              <w:rPr>
                <w:rFonts w:ascii="Verdana" w:hAnsi="Verdana"/>
              </w:rPr>
              <w:t>1712</w:t>
            </w:r>
            <w:r w:rsidRPr="00C64421">
              <w:rPr>
                <w:rFonts w:ascii="Verdana" w:hAnsi="Verdana"/>
                <w:spacing w:val="-6"/>
              </w:rPr>
              <w:t xml:space="preserve"> </w:t>
            </w:r>
            <w:r w:rsidRPr="00C64421">
              <w:rPr>
                <w:rFonts w:ascii="Verdana" w:hAnsi="Verdana"/>
              </w:rPr>
              <w:t>de</w:t>
            </w:r>
            <w:r w:rsidRPr="00C64421">
              <w:rPr>
                <w:rFonts w:ascii="Verdana" w:hAnsi="Verdana"/>
                <w:spacing w:val="-8"/>
              </w:rPr>
              <w:t xml:space="preserve"> </w:t>
            </w:r>
            <w:r w:rsidRPr="00C64421">
              <w:rPr>
                <w:rFonts w:ascii="Verdana" w:hAnsi="Verdana"/>
              </w:rPr>
              <w:t>2014</w:t>
            </w:r>
            <w:r w:rsidRPr="00C64421">
              <w:rPr>
                <w:rFonts w:ascii="Verdana" w:hAnsi="Verdana"/>
                <w:spacing w:val="-6"/>
              </w:rPr>
              <w:t xml:space="preserve"> </w:t>
            </w:r>
            <w:r w:rsidRPr="00C64421">
              <w:rPr>
                <w:rFonts w:ascii="Verdana" w:hAnsi="Verdana"/>
              </w:rPr>
              <w:t>y</w:t>
            </w:r>
            <w:r w:rsidRPr="00C64421">
              <w:rPr>
                <w:rFonts w:ascii="Verdana" w:hAnsi="Verdana"/>
                <w:spacing w:val="-7"/>
              </w:rPr>
              <w:t xml:space="preserve"> </w:t>
            </w:r>
            <w:r w:rsidRPr="00C64421">
              <w:rPr>
                <w:rFonts w:ascii="Verdana" w:hAnsi="Verdana"/>
              </w:rPr>
              <w:t>su</w:t>
            </w:r>
            <w:r w:rsidRPr="00C64421">
              <w:rPr>
                <w:rFonts w:ascii="Verdana" w:hAnsi="Verdana"/>
                <w:spacing w:val="-5"/>
              </w:rPr>
              <w:t xml:space="preserve"> </w:t>
            </w:r>
            <w:r w:rsidRPr="00C64421">
              <w:rPr>
                <w:rFonts w:ascii="Verdana" w:hAnsi="Verdana"/>
              </w:rPr>
              <w:t>reglamentación,</w:t>
            </w:r>
            <w:r w:rsidRPr="00C64421">
              <w:rPr>
                <w:rFonts w:ascii="Verdana" w:hAnsi="Verdana"/>
                <w:spacing w:val="-2"/>
              </w:rPr>
              <w:t xml:space="preserve"> </w:t>
            </w:r>
            <w:r w:rsidRPr="00C64421">
              <w:rPr>
                <w:rFonts w:ascii="Verdana" w:hAnsi="Verdana"/>
              </w:rPr>
              <w:t>normas</w:t>
            </w:r>
            <w:r w:rsidRPr="00C64421">
              <w:rPr>
                <w:rFonts w:ascii="Verdana" w:hAnsi="Verdana"/>
                <w:spacing w:val="-6"/>
              </w:rPr>
              <w:t xml:space="preserve"> </w:t>
            </w:r>
            <w:r w:rsidRPr="00C64421">
              <w:rPr>
                <w:rFonts w:ascii="Verdana" w:hAnsi="Verdana"/>
              </w:rPr>
              <w:t>que</w:t>
            </w:r>
            <w:r w:rsidRPr="00C64421">
              <w:rPr>
                <w:rFonts w:ascii="Verdana" w:hAnsi="Verdana"/>
                <w:spacing w:val="-7"/>
              </w:rPr>
              <w:t xml:space="preserve"> </w:t>
            </w:r>
            <w:r w:rsidRPr="00C64421">
              <w:rPr>
                <w:rFonts w:ascii="Verdana" w:hAnsi="Verdana"/>
              </w:rPr>
              <w:t>obligan a</w:t>
            </w:r>
            <w:r w:rsidRPr="00C64421">
              <w:rPr>
                <w:rFonts w:ascii="Verdana" w:hAnsi="Verdana"/>
                <w:spacing w:val="-2"/>
              </w:rPr>
              <w:t xml:space="preserve"> </w:t>
            </w:r>
            <w:r w:rsidRPr="00C64421">
              <w:rPr>
                <w:rFonts w:ascii="Verdana" w:hAnsi="Verdana"/>
              </w:rPr>
              <w:t>que</w:t>
            </w:r>
            <w:r w:rsidRPr="00C64421">
              <w:rPr>
                <w:rFonts w:ascii="Verdana" w:hAnsi="Verdana"/>
                <w:spacing w:val="-1"/>
              </w:rPr>
              <w:t xml:space="preserve"> </w:t>
            </w:r>
            <w:r w:rsidRPr="00C64421">
              <w:rPr>
                <w:rFonts w:ascii="Verdana" w:hAnsi="Verdana"/>
              </w:rPr>
              <w:t>la</w:t>
            </w:r>
            <w:r w:rsidRPr="00C64421">
              <w:rPr>
                <w:rFonts w:ascii="Verdana" w:hAnsi="Verdana"/>
                <w:spacing w:val="-1"/>
              </w:rPr>
              <w:t xml:space="preserve"> </w:t>
            </w:r>
            <w:r w:rsidRPr="00C64421">
              <w:rPr>
                <w:rFonts w:ascii="Verdana" w:hAnsi="Verdana"/>
              </w:rPr>
              <w:t>publicidad</w:t>
            </w:r>
            <w:r w:rsidRPr="00C64421">
              <w:rPr>
                <w:rFonts w:ascii="Verdana" w:hAnsi="Verdana"/>
                <w:spacing w:val="-1"/>
              </w:rPr>
              <w:t xml:space="preserve"> </w:t>
            </w:r>
            <w:r w:rsidRPr="00C64421">
              <w:rPr>
                <w:rFonts w:ascii="Verdana" w:hAnsi="Verdana"/>
              </w:rPr>
              <w:t>de</w:t>
            </w:r>
            <w:r w:rsidRPr="00C64421">
              <w:rPr>
                <w:rFonts w:ascii="Verdana" w:hAnsi="Verdana"/>
                <w:spacing w:val="-1"/>
              </w:rPr>
              <w:t xml:space="preserve"> </w:t>
            </w:r>
            <w:r w:rsidRPr="00C64421">
              <w:rPr>
                <w:rFonts w:ascii="Verdana" w:hAnsi="Verdana"/>
              </w:rPr>
              <w:t>los contratos celebrados por</w:t>
            </w:r>
            <w:r w:rsidRPr="00C64421">
              <w:rPr>
                <w:rFonts w:ascii="Verdana" w:hAnsi="Verdana"/>
                <w:spacing w:val="-2"/>
              </w:rPr>
              <w:t xml:space="preserve"> </w:t>
            </w:r>
            <w:r w:rsidRPr="00C64421">
              <w:rPr>
                <w:rFonts w:ascii="Verdana" w:hAnsi="Verdana"/>
              </w:rPr>
              <w:t>las Entidades Estatales se realice a través del SECOP.</w:t>
            </w:r>
          </w:p>
          <w:p w14:paraId="153E8294" w14:textId="43D985BC" w:rsidR="006B0A6F" w:rsidRPr="006B0A6F" w:rsidRDefault="00C64421" w:rsidP="00692413">
            <w:pPr>
              <w:pStyle w:val="Textoindependiente"/>
              <w:spacing w:before="123" w:line="276" w:lineRule="auto"/>
              <w:ind w:left="375" w:right="369" w:firstLine="710"/>
              <w:jc w:val="both"/>
              <w:rPr>
                <w:rFonts w:ascii="Verdana" w:hAnsi="Verdana"/>
              </w:rPr>
            </w:pPr>
            <w:r w:rsidRPr="00692413">
              <w:rPr>
                <w:rFonts w:ascii="Verdana" w:hAnsi="Verdana"/>
              </w:rPr>
              <w:t xml:space="preserve">Finalmente, es importante resaltar que el Sistema Electrónico de Contratación Pública (SECOP) fue creado por la Ley 1150 de 2007 como la plataforma de información y de generación de reportes sobre la </w:t>
            </w:r>
            <w:r w:rsidRPr="00692413">
              <w:rPr>
                <w:rFonts w:ascii="Verdana" w:hAnsi="Verdana"/>
              </w:rPr>
              <w:lastRenderedPageBreak/>
              <w:t>actividad contractual del Estado. Su finalidad es materializar el principio de transparencia</w:t>
            </w:r>
            <w:r w:rsidRPr="00692413">
              <w:rPr>
                <w:rFonts w:ascii="Verdana" w:hAnsi="Verdana"/>
                <w:spacing w:val="-5"/>
              </w:rPr>
              <w:t xml:space="preserve"> </w:t>
            </w:r>
            <w:r w:rsidRPr="00692413">
              <w:rPr>
                <w:rFonts w:ascii="Verdana" w:hAnsi="Verdana"/>
              </w:rPr>
              <w:t>en</w:t>
            </w:r>
            <w:r w:rsidRPr="00692413">
              <w:rPr>
                <w:rFonts w:ascii="Verdana" w:hAnsi="Verdana"/>
                <w:spacing w:val="-3"/>
              </w:rPr>
              <w:t xml:space="preserve"> </w:t>
            </w:r>
            <w:r w:rsidRPr="00692413">
              <w:rPr>
                <w:rFonts w:ascii="Verdana" w:hAnsi="Verdana"/>
              </w:rPr>
              <w:t>la</w:t>
            </w:r>
            <w:r w:rsidRPr="00692413">
              <w:rPr>
                <w:rFonts w:ascii="Verdana" w:hAnsi="Verdana"/>
                <w:spacing w:val="-6"/>
              </w:rPr>
              <w:t xml:space="preserve"> </w:t>
            </w:r>
            <w:r w:rsidRPr="00692413">
              <w:rPr>
                <w:rFonts w:ascii="Verdana" w:hAnsi="Verdana"/>
              </w:rPr>
              <w:t>gestión</w:t>
            </w:r>
            <w:r w:rsidRPr="00692413">
              <w:rPr>
                <w:rFonts w:ascii="Verdana" w:hAnsi="Verdana"/>
                <w:spacing w:val="-3"/>
              </w:rPr>
              <w:t xml:space="preserve"> </w:t>
            </w:r>
            <w:r w:rsidRPr="00692413">
              <w:rPr>
                <w:rFonts w:ascii="Verdana" w:hAnsi="Verdana"/>
              </w:rPr>
              <w:t>de</w:t>
            </w:r>
            <w:r w:rsidRPr="00692413">
              <w:rPr>
                <w:rFonts w:ascii="Verdana" w:hAnsi="Verdana"/>
                <w:spacing w:val="-4"/>
              </w:rPr>
              <w:t xml:space="preserve"> </w:t>
            </w:r>
            <w:r w:rsidRPr="00692413">
              <w:rPr>
                <w:rFonts w:ascii="Verdana" w:hAnsi="Verdana"/>
              </w:rPr>
              <w:t>recursos</w:t>
            </w:r>
            <w:r w:rsidRPr="00692413">
              <w:rPr>
                <w:rFonts w:ascii="Verdana" w:hAnsi="Verdana"/>
                <w:spacing w:val="-8"/>
              </w:rPr>
              <w:t xml:space="preserve"> </w:t>
            </w:r>
            <w:r w:rsidRPr="00692413">
              <w:rPr>
                <w:rFonts w:ascii="Verdana" w:hAnsi="Verdana"/>
              </w:rPr>
              <w:t>públicos,</w:t>
            </w:r>
            <w:r w:rsidRPr="00692413">
              <w:rPr>
                <w:rFonts w:ascii="Verdana" w:hAnsi="Verdana"/>
                <w:spacing w:val="-3"/>
              </w:rPr>
              <w:t xml:space="preserve"> </w:t>
            </w:r>
            <w:r w:rsidRPr="00692413">
              <w:rPr>
                <w:rFonts w:ascii="Verdana" w:hAnsi="Verdana"/>
              </w:rPr>
              <w:t>permitiendo</w:t>
            </w:r>
            <w:r w:rsidRPr="00692413">
              <w:rPr>
                <w:rFonts w:ascii="Verdana" w:hAnsi="Verdana"/>
                <w:spacing w:val="-3"/>
              </w:rPr>
              <w:t xml:space="preserve"> </w:t>
            </w:r>
            <w:r w:rsidRPr="00692413">
              <w:rPr>
                <w:rFonts w:ascii="Verdana" w:hAnsi="Verdana"/>
              </w:rPr>
              <w:t>el</w:t>
            </w:r>
            <w:r w:rsidRPr="00692413">
              <w:rPr>
                <w:rFonts w:ascii="Verdana" w:hAnsi="Verdana"/>
                <w:spacing w:val="-3"/>
              </w:rPr>
              <w:t xml:space="preserve"> </w:t>
            </w:r>
            <w:r w:rsidRPr="00692413">
              <w:rPr>
                <w:rFonts w:ascii="Verdana" w:hAnsi="Verdana"/>
              </w:rPr>
              <w:t>control</w:t>
            </w:r>
            <w:r w:rsidRPr="00692413">
              <w:rPr>
                <w:rFonts w:ascii="Verdana" w:hAnsi="Verdana"/>
                <w:spacing w:val="-8"/>
              </w:rPr>
              <w:t xml:space="preserve"> </w:t>
            </w:r>
            <w:r w:rsidRPr="00692413">
              <w:rPr>
                <w:rFonts w:ascii="Verdana" w:hAnsi="Verdana"/>
              </w:rPr>
              <w:t>social y fiscal de la administración.</w:t>
            </w:r>
          </w:p>
          <w:bookmarkEnd w:id="2"/>
          <w:p w14:paraId="2B1C64A7" w14:textId="310AFD6B" w:rsidR="00871B59" w:rsidRPr="006B0A6F" w:rsidRDefault="00871B59" w:rsidP="002607A7">
            <w:pPr>
              <w:spacing w:line="276" w:lineRule="auto"/>
              <w:jc w:val="both"/>
              <w:rPr>
                <w:rFonts w:ascii="Verdana" w:eastAsia="Calibri" w:hAnsi="Verdana" w:cs="Arial"/>
                <w:color w:val="7030A0"/>
              </w:rPr>
            </w:pPr>
          </w:p>
        </w:tc>
      </w:tr>
    </w:tbl>
    <w:p w14:paraId="7F1C551B"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p w14:paraId="7CF9EF8E"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Razones de la respuesta:</w:t>
      </w:r>
    </w:p>
    <w:p w14:paraId="1B681971" w14:textId="77777777" w:rsidR="00871B59" w:rsidRPr="00593A5F" w:rsidRDefault="00871B59" w:rsidP="00871B59">
      <w:pPr>
        <w:spacing w:after="0" w:line="276" w:lineRule="auto"/>
        <w:jc w:val="both"/>
        <w:rPr>
          <w:rFonts w:ascii="Verdana" w:eastAsia="Calibri" w:hAnsi="Verdana" w:cs="Arial"/>
          <w:color w:val="7030A0"/>
          <w:lang w:val="es-ES"/>
        </w:rPr>
      </w:pPr>
    </w:p>
    <w:p w14:paraId="03A4CB76" w14:textId="77777777" w:rsidR="00871B59" w:rsidRPr="00B96799" w:rsidRDefault="00871B59" w:rsidP="00871B5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641E2550" w14:textId="77777777" w:rsidR="00983695" w:rsidRDefault="00983695" w:rsidP="00983695">
      <w:pPr>
        <w:spacing w:after="0" w:line="276" w:lineRule="auto"/>
        <w:jc w:val="both"/>
        <w:rPr>
          <w:rFonts w:ascii="Verdana" w:eastAsia="Calibri" w:hAnsi="Verdana" w:cs="Arial"/>
          <w:color w:val="7030A0"/>
          <w:lang w:val="es-ES"/>
        </w:rPr>
      </w:pPr>
    </w:p>
    <w:p w14:paraId="600E1000" w14:textId="77777777" w:rsidR="00D0142E" w:rsidRPr="00D17D27" w:rsidRDefault="00D0142E" w:rsidP="00D0142E">
      <w:pPr>
        <w:spacing w:after="120" w:line="276" w:lineRule="auto"/>
        <w:jc w:val="both"/>
        <w:rPr>
          <w:rFonts w:ascii="Verdana" w:eastAsia="Calibri" w:hAnsi="Verdana" w:cs="Arial"/>
          <w:color w:val="000000" w:themeColor="text1"/>
        </w:rPr>
      </w:pPr>
      <w:r>
        <w:rPr>
          <w:rFonts w:ascii="Verdana" w:eastAsia="Calibri" w:hAnsi="Verdana" w:cs="Arial"/>
          <w:color w:val="000000" w:themeColor="text1"/>
        </w:rPr>
        <w:t xml:space="preserve">Frente al cuestionamiento planteado es necesario abordar que dentro de </w:t>
      </w:r>
      <w:r w:rsidRPr="00D17D27">
        <w:rPr>
          <w:rFonts w:ascii="Verdana" w:eastAsia="Calibri" w:hAnsi="Verdana" w:cs="Arial"/>
          <w:color w:val="000000" w:themeColor="text1"/>
        </w:rPr>
        <w:t xml:space="preserve">la estructura de la Administración </w:t>
      </w:r>
      <w:r>
        <w:rPr>
          <w:rFonts w:ascii="Verdana" w:eastAsia="Calibri" w:hAnsi="Verdana" w:cs="Arial"/>
          <w:color w:val="000000" w:themeColor="text1"/>
        </w:rPr>
        <w:t>P</w:t>
      </w:r>
      <w:r w:rsidRPr="00D17D27">
        <w:rPr>
          <w:rFonts w:ascii="Verdana" w:eastAsia="Calibri" w:hAnsi="Verdana" w:cs="Arial"/>
          <w:color w:val="000000" w:themeColor="text1"/>
        </w:rPr>
        <w:t>ública se encuentran las entidades descentralizadas por servicios</w:t>
      </w:r>
      <w:r>
        <w:rPr>
          <w:rFonts w:ascii="Verdana" w:eastAsia="Calibri" w:hAnsi="Verdana" w:cs="Arial"/>
          <w:color w:val="000000" w:themeColor="text1"/>
        </w:rPr>
        <w:t>. A esta</w:t>
      </w:r>
      <w:r w:rsidRPr="00D17D27">
        <w:rPr>
          <w:rFonts w:ascii="Verdana" w:eastAsia="Calibri" w:hAnsi="Verdana" w:cs="Arial"/>
          <w:color w:val="000000" w:themeColor="text1"/>
        </w:rPr>
        <w:t xml:space="preserve"> categoría </w:t>
      </w:r>
      <w:r>
        <w:rPr>
          <w:rFonts w:ascii="Verdana" w:eastAsia="Calibri" w:hAnsi="Verdana" w:cs="Arial"/>
          <w:color w:val="000000" w:themeColor="text1"/>
        </w:rPr>
        <w:t>pertenecen</w:t>
      </w:r>
      <w:r w:rsidRPr="00D17D27">
        <w:rPr>
          <w:rFonts w:ascii="Verdana" w:eastAsia="Calibri" w:hAnsi="Verdana" w:cs="Arial"/>
          <w:color w:val="000000" w:themeColor="text1"/>
        </w:rPr>
        <w:t xml:space="preserve"> las Empresas Industriales y Comerciales del Estado</w:t>
      </w:r>
      <w:r>
        <w:rPr>
          <w:rFonts w:ascii="Verdana" w:eastAsia="Calibri" w:hAnsi="Verdana" w:cs="Arial"/>
          <w:color w:val="000000" w:themeColor="text1"/>
        </w:rPr>
        <w:t xml:space="preserve"> </w:t>
      </w:r>
      <w:r w:rsidRPr="00297454">
        <w:rPr>
          <w:rFonts w:ascii="Verdana" w:hAnsi="Verdana" w:cs="Arial"/>
          <w:lang w:val="es-ES"/>
        </w:rPr>
        <w:t>–en adelante EICE–</w:t>
      </w:r>
      <w:r w:rsidRPr="00D17D27">
        <w:rPr>
          <w:rFonts w:ascii="Verdana" w:eastAsia="Calibri" w:hAnsi="Verdana" w:cs="Arial"/>
          <w:color w:val="000000" w:themeColor="text1"/>
        </w:rPr>
        <w:t>, las cuales –sin perjuicio del control</w:t>
      </w:r>
      <w:r>
        <w:rPr>
          <w:rFonts w:ascii="Verdana" w:eastAsia="Calibri" w:hAnsi="Verdana" w:cs="Arial"/>
          <w:color w:val="000000" w:themeColor="text1"/>
        </w:rPr>
        <w:t xml:space="preserve"> </w:t>
      </w:r>
      <w:r w:rsidRPr="00D17D27">
        <w:rPr>
          <w:rFonts w:ascii="Verdana" w:eastAsia="Calibri" w:hAnsi="Verdana" w:cs="Arial"/>
          <w:color w:val="000000" w:themeColor="text1"/>
        </w:rPr>
        <w:t>de</w:t>
      </w:r>
      <w:r>
        <w:rPr>
          <w:rFonts w:ascii="Verdana" w:eastAsia="Calibri" w:hAnsi="Verdana" w:cs="Arial"/>
          <w:color w:val="000000" w:themeColor="text1"/>
        </w:rPr>
        <w:t xml:space="preserve"> </w:t>
      </w:r>
      <w:r w:rsidRPr="00D17D27">
        <w:rPr>
          <w:rFonts w:ascii="Verdana" w:eastAsia="Calibri" w:hAnsi="Verdana" w:cs="Arial"/>
          <w:color w:val="000000" w:themeColor="text1"/>
        </w:rPr>
        <w:t>tutela– tienen personería jurídica, autonomía administrativa y patrimonio propio.</w:t>
      </w:r>
      <w:r w:rsidRPr="00D17D27">
        <w:rPr>
          <w:rFonts w:ascii="Verdana" w:eastAsia="Calibri" w:hAnsi="Verdana" w:cs="Arial"/>
          <w:b/>
          <w:bCs/>
          <w:color w:val="000000" w:themeColor="text1"/>
        </w:rPr>
        <w:t xml:space="preserve"> </w:t>
      </w:r>
      <w:r w:rsidRPr="00D17D27">
        <w:rPr>
          <w:rFonts w:ascii="Verdana" w:eastAsia="Calibri" w:hAnsi="Verdana" w:cs="Arial"/>
          <w:color w:val="000000" w:themeColor="text1"/>
        </w:rPr>
        <w:t>Estas entidades, como su nombre lo indica, se caracterizan por desarrollar actividades de carácter industrial o comercial.</w:t>
      </w:r>
    </w:p>
    <w:p w14:paraId="1688AD37" w14:textId="77777777" w:rsidR="00D0142E" w:rsidRDefault="00D0142E" w:rsidP="00D0142E">
      <w:pPr>
        <w:spacing w:after="0" w:line="276" w:lineRule="auto"/>
        <w:ind w:firstLine="708"/>
        <w:jc w:val="both"/>
        <w:rPr>
          <w:rFonts w:ascii="Verdana" w:hAnsi="Verdana" w:cs="Arial"/>
          <w:lang w:val="es-ES"/>
        </w:rPr>
      </w:pPr>
      <w:r w:rsidRPr="00297454">
        <w:rPr>
          <w:rFonts w:ascii="Verdana" w:hAnsi="Verdana" w:cs="Arial"/>
          <w:lang w:val="es-ES_tradnl"/>
        </w:rPr>
        <w:t>L</w:t>
      </w:r>
      <w:r w:rsidRPr="00297454">
        <w:rPr>
          <w:rFonts w:ascii="Verdana" w:hAnsi="Verdana" w:cs="Arial"/>
          <w:lang w:val="es-ES"/>
        </w:rPr>
        <w:t>as EICE, bajo la denominación de entidades estatales, quedaron sometidas al Estatuto General de Contratación de la Administración Pública –Ley 80 de 1993, artículo 2, numeral 1, literal a–</w:t>
      </w:r>
      <w:r w:rsidRPr="00297454">
        <w:rPr>
          <w:rStyle w:val="Refdenotaalpie"/>
          <w:rFonts w:ascii="Verdana" w:hAnsi="Verdana" w:cs="Arial"/>
          <w:lang w:val="es-ES"/>
        </w:rPr>
        <w:footnoteReference w:id="2"/>
      </w:r>
      <w:r w:rsidRPr="00297454">
        <w:rPr>
          <w:rFonts w:ascii="Verdana" w:hAnsi="Verdana" w:cs="Arial"/>
          <w:lang w:val="es-ES"/>
        </w:rPr>
        <w:t>.</w:t>
      </w:r>
      <w:r>
        <w:rPr>
          <w:rFonts w:ascii="Verdana" w:hAnsi="Verdana" w:cs="Arial"/>
          <w:lang w:val="es-ES"/>
        </w:rPr>
        <w:t xml:space="preserve"> Posteriormente, la Ley 489 de 1998, mediante el cual se regula la organización y funcionamiento de las entidades de orden nacional, en su artículo 93 estableció el régimen jurídico aplicable a los contratos celebrados por las EICE, como sigue:</w:t>
      </w:r>
    </w:p>
    <w:p w14:paraId="1469C8F6" w14:textId="77777777" w:rsidR="00D0142E" w:rsidRDefault="00D0142E" w:rsidP="00D0142E">
      <w:pPr>
        <w:spacing w:after="0" w:line="276" w:lineRule="auto"/>
        <w:jc w:val="both"/>
        <w:rPr>
          <w:rFonts w:ascii="Verdana" w:hAnsi="Verdana" w:cs="Arial"/>
          <w:lang w:val="es-ES"/>
        </w:rPr>
      </w:pPr>
    </w:p>
    <w:p w14:paraId="394F3EC3" w14:textId="77777777" w:rsidR="00D0142E" w:rsidRDefault="00D0142E" w:rsidP="00D0142E">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7E229C">
        <w:rPr>
          <w:rFonts w:ascii="Verdana" w:eastAsia="Arial" w:hAnsi="Verdana" w:cs="Arial"/>
          <w:sz w:val="20"/>
          <w:szCs w:val="20"/>
          <w:lang w:val="es-ES" w:eastAsia="es-ES" w:bidi="es-ES"/>
        </w:rPr>
        <w:t xml:space="preserve">Artículo 93. Régimen de los actos y contratos. Los actos que expidan las empresas industriales y comerciales del Estado para el desarrollo de su actividad propia, industrial o comercial o de gestión económica se sujetarán a las disposiciones del Derecho Privado. Los contratos que </w:t>
      </w:r>
      <w:r w:rsidRPr="007E229C">
        <w:rPr>
          <w:rFonts w:ascii="Verdana" w:eastAsia="Arial" w:hAnsi="Verdana" w:cs="Arial"/>
          <w:sz w:val="20"/>
          <w:szCs w:val="20"/>
          <w:lang w:val="es-ES" w:eastAsia="es-ES" w:bidi="es-ES"/>
        </w:rPr>
        <w:lastRenderedPageBreak/>
        <w:t>celebren para el cumplimiento de su objeto se sujetarán a las disposiciones del Estatuto General de Contratación de las entidades estatales</w:t>
      </w:r>
      <w:r>
        <w:rPr>
          <w:rFonts w:ascii="Verdana" w:eastAsia="Arial" w:hAnsi="Verdana" w:cs="Arial"/>
          <w:sz w:val="20"/>
          <w:szCs w:val="20"/>
          <w:lang w:val="es-ES" w:eastAsia="es-ES" w:bidi="es-ES"/>
        </w:rPr>
        <w:t>”</w:t>
      </w:r>
      <w:r w:rsidRPr="007E229C">
        <w:rPr>
          <w:rFonts w:ascii="Verdana" w:eastAsia="Arial" w:hAnsi="Verdana" w:cs="Arial"/>
          <w:sz w:val="20"/>
          <w:szCs w:val="20"/>
          <w:lang w:val="es-ES" w:eastAsia="es-ES" w:bidi="es-ES"/>
        </w:rPr>
        <w:t>.</w:t>
      </w:r>
    </w:p>
    <w:p w14:paraId="30279DED" w14:textId="77777777" w:rsidR="00D0142E" w:rsidRPr="00076707" w:rsidRDefault="00D0142E" w:rsidP="00D0142E">
      <w:pPr>
        <w:widowControl w:val="0"/>
        <w:autoSpaceDE w:val="0"/>
        <w:autoSpaceDN w:val="0"/>
        <w:spacing w:after="0" w:line="276" w:lineRule="auto"/>
        <w:ind w:left="709" w:right="709"/>
        <w:jc w:val="both"/>
        <w:rPr>
          <w:rFonts w:ascii="Verdana" w:eastAsia="Arial" w:hAnsi="Verdana" w:cs="Arial"/>
          <w:lang w:val="es-ES" w:eastAsia="es-ES" w:bidi="es-ES"/>
        </w:rPr>
      </w:pPr>
    </w:p>
    <w:p w14:paraId="7AE253D4" w14:textId="77777777" w:rsidR="00D0142E" w:rsidRDefault="00D0142E" w:rsidP="00D0142E">
      <w:pPr>
        <w:autoSpaceDE w:val="0"/>
        <w:autoSpaceDN w:val="0"/>
        <w:adjustRightInd w:val="0"/>
        <w:spacing w:after="0" w:line="276" w:lineRule="auto"/>
        <w:ind w:firstLine="709"/>
        <w:jc w:val="both"/>
        <w:rPr>
          <w:rFonts w:ascii="Verdana" w:hAnsi="Verdana" w:cs="Arial"/>
          <w:lang w:val="es-ES"/>
        </w:rPr>
      </w:pPr>
      <w:r w:rsidRPr="007E229C">
        <w:rPr>
          <w:rFonts w:ascii="Verdana" w:hAnsi="Verdana" w:cs="Arial"/>
          <w:lang w:val="es-ES"/>
        </w:rPr>
        <w:t>No obstante las dificultades hermenéuticas que suscitaba la disposición anterior, el artículo 14 de la Ley 1150 de 2007 –modificado por el artículo 93 de la Ley 1474 de 2011–</w:t>
      </w:r>
      <w:r>
        <w:rPr>
          <w:rFonts w:ascii="Verdana" w:hAnsi="Verdana" w:cs="Arial"/>
          <w:lang w:val="es-ES"/>
        </w:rPr>
        <w:t xml:space="preserve"> </w:t>
      </w:r>
      <w:r w:rsidRPr="007E229C">
        <w:rPr>
          <w:rFonts w:ascii="Verdana" w:hAnsi="Verdana" w:cs="Arial"/>
          <w:lang w:val="es-ES"/>
        </w:rPr>
        <w:t xml:space="preserve">dispuso un régimen exceptivo de aplicación del derecho privado para la actividad contractual de las </w:t>
      </w:r>
      <w:bookmarkStart w:id="3" w:name="_Hlk75850758"/>
      <w:r w:rsidRPr="007E229C">
        <w:rPr>
          <w:rFonts w:ascii="Verdana" w:hAnsi="Verdana" w:cs="Arial"/>
          <w:lang w:val="es-ES"/>
        </w:rPr>
        <w:t>EICE</w:t>
      </w:r>
      <w:bookmarkEnd w:id="3"/>
      <w:r w:rsidRPr="007E229C">
        <w:rPr>
          <w:rFonts w:ascii="Verdana" w:hAnsi="Verdana" w:cs="Arial"/>
          <w:lang w:val="es-ES"/>
        </w:rPr>
        <w:t xml:space="preserve"> que ejercen su actividad en competencia con el sector público o privado, o en mercados regulados, quedando las otras EICE dentro del ámbito de aplicación del Estatuto General de Contratación de la Administración Pública</w:t>
      </w:r>
      <w:r>
        <w:rPr>
          <w:rStyle w:val="Refdenotaalpie"/>
          <w:rFonts w:ascii="Verdana" w:hAnsi="Verdana" w:cs="Arial"/>
          <w:lang w:val="es-ES"/>
        </w:rPr>
        <w:footnoteReference w:id="3"/>
      </w:r>
      <w:r w:rsidRPr="007E229C">
        <w:rPr>
          <w:rFonts w:ascii="Verdana" w:hAnsi="Verdana" w:cs="Arial"/>
          <w:lang w:val="es-ES"/>
        </w:rPr>
        <w:t>. Así, la norma vigente respecto a su régimen contractual establece:</w:t>
      </w:r>
    </w:p>
    <w:p w14:paraId="57B6D7D6" w14:textId="77777777" w:rsidR="00D0142E" w:rsidRPr="007E229C" w:rsidRDefault="00D0142E" w:rsidP="00D0142E">
      <w:pPr>
        <w:autoSpaceDE w:val="0"/>
        <w:autoSpaceDN w:val="0"/>
        <w:adjustRightInd w:val="0"/>
        <w:spacing w:after="0" w:line="276" w:lineRule="auto"/>
        <w:ind w:firstLine="709"/>
        <w:jc w:val="both"/>
        <w:rPr>
          <w:rFonts w:ascii="Verdana" w:hAnsi="Verdana" w:cs="Arial"/>
          <w:lang w:val="es-ES"/>
        </w:rPr>
      </w:pPr>
    </w:p>
    <w:p w14:paraId="1C831545" w14:textId="77777777" w:rsidR="00D0142E" w:rsidRDefault="00D0142E" w:rsidP="00D0142E">
      <w:pPr>
        <w:autoSpaceDE w:val="0"/>
        <w:autoSpaceDN w:val="0"/>
        <w:adjustRightInd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7E229C">
        <w:rPr>
          <w:rFonts w:ascii="Verdana" w:eastAsia="Arial" w:hAnsi="Verdana" w:cs="Arial"/>
          <w:sz w:val="20"/>
          <w:szCs w:val="20"/>
          <w:lang w:val="es-ES" w:eastAsia="es-ES" w:bidi="es-ES"/>
        </w:rPr>
        <w:t xml:space="preserve">Artículo 14. Del régimen contractual de las empresas industriales y comerciales del estado, las sociedades de economía mixta, sus filiales y empresas con participación mayoritaria del estado.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w:t>
      </w:r>
      <w:bookmarkStart w:id="4" w:name="_Hlk75720889"/>
      <w:r w:rsidRPr="007E229C">
        <w:rPr>
          <w:rFonts w:ascii="Verdana" w:eastAsia="Arial" w:hAnsi="Verdana" w:cs="Arial"/>
          <w:sz w:val="20"/>
          <w:szCs w:val="20"/>
          <w:lang w:val="es-ES" w:eastAsia="es-ES" w:bidi="es-ES"/>
        </w:rPr>
        <w:t xml:space="preserve">caso en el cual se regirán por las disposiciones legales y reglamentarias aplicables a sus actividades económicas y comerciales, sin perjuicio de lo previsto en el artículo 13 de la presente ley. </w:t>
      </w:r>
      <w:bookmarkEnd w:id="4"/>
      <w:r w:rsidRPr="007E229C">
        <w:rPr>
          <w:rFonts w:ascii="Verdana" w:eastAsia="Arial" w:hAnsi="Verdana" w:cs="Arial"/>
          <w:sz w:val="20"/>
          <w:szCs w:val="20"/>
          <w:lang w:val="es-ES" w:eastAsia="es-ES" w:bidi="es-ES"/>
        </w:rPr>
        <w:t>Se exceptúan los contratos de ciencia y tecnología, que se regirán por la Ley 29 de 1990 y las disposiciones normativas existentes</w:t>
      </w:r>
      <w:r>
        <w:rPr>
          <w:rFonts w:ascii="Verdana" w:eastAsia="Arial" w:hAnsi="Verdana" w:cs="Arial"/>
          <w:sz w:val="20"/>
          <w:szCs w:val="20"/>
          <w:lang w:val="es-ES" w:eastAsia="es-ES" w:bidi="es-ES"/>
        </w:rPr>
        <w:t>”</w:t>
      </w:r>
      <w:r>
        <w:rPr>
          <w:rStyle w:val="Refdenotaalpie"/>
          <w:rFonts w:ascii="Verdana" w:eastAsia="Arial" w:hAnsi="Verdana" w:cs="Arial"/>
          <w:sz w:val="20"/>
          <w:szCs w:val="20"/>
          <w:lang w:val="es-ES" w:eastAsia="es-ES" w:bidi="es-ES"/>
        </w:rPr>
        <w:footnoteReference w:id="4"/>
      </w:r>
      <w:r w:rsidRPr="007E229C">
        <w:rPr>
          <w:rFonts w:ascii="Verdana" w:eastAsia="Arial" w:hAnsi="Verdana" w:cs="Arial"/>
          <w:sz w:val="20"/>
          <w:szCs w:val="20"/>
          <w:lang w:val="es-ES" w:eastAsia="es-ES" w:bidi="es-ES"/>
        </w:rPr>
        <w:t>.</w:t>
      </w:r>
    </w:p>
    <w:p w14:paraId="6BD3BA73" w14:textId="77777777" w:rsidR="00D0142E" w:rsidRPr="00076707" w:rsidRDefault="00D0142E" w:rsidP="00D0142E">
      <w:pPr>
        <w:autoSpaceDE w:val="0"/>
        <w:autoSpaceDN w:val="0"/>
        <w:adjustRightInd w:val="0"/>
        <w:spacing w:after="0" w:line="276" w:lineRule="auto"/>
        <w:ind w:right="709"/>
        <w:jc w:val="both"/>
        <w:rPr>
          <w:rFonts w:ascii="Verdana" w:eastAsia="Arial" w:hAnsi="Verdana" w:cs="Arial"/>
          <w:lang w:val="es-ES" w:eastAsia="es-ES" w:bidi="es-ES"/>
        </w:rPr>
      </w:pPr>
    </w:p>
    <w:p w14:paraId="34A4CB6F" w14:textId="77777777" w:rsidR="00D0142E" w:rsidRDefault="00D0142E" w:rsidP="00D0142E">
      <w:pPr>
        <w:autoSpaceDE w:val="0"/>
        <w:autoSpaceDN w:val="0"/>
        <w:adjustRightInd w:val="0"/>
        <w:spacing w:after="120" w:line="276" w:lineRule="auto"/>
        <w:ind w:firstLine="709"/>
        <w:jc w:val="both"/>
        <w:rPr>
          <w:rFonts w:ascii="Verdana" w:hAnsi="Verdana" w:cs="Arial"/>
        </w:rPr>
      </w:pPr>
      <w:r w:rsidRPr="00CC032C">
        <w:rPr>
          <w:rFonts w:ascii="Verdana" w:hAnsi="Verdana" w:cs="Arial"/>
        </w:rPr>
        <w:t xml:space="preserve">El sometimiento parcial de las </w:t>
      </w:r>
      <w:r>
        <w:rPr>
          <w:rFonts w:ascii="Verdana" w:hAnsi="Verdana" w:cs="Arial"/>
        </w:rPr>
        <w:t>EICE</w:t>
      </w:r>
      <w:r w:rsidRPr="00CC032C">
        <w:rPr>
          <w:rFonts w:ascii="Verdana" w:hAnsi="Verdana" w:cs="Arial"/>
        </w:rPr>
        <w:t xml:space="preserve"> al régimen de derecho privado, se ha justificado por </w:t>
      </w:r>
      <w:r w:rsidRPr="00CC032C">
        <w:rPr>
          <w:rFonts w:ascii="Verdana" w:eastAsia="Calibri" w:hAnsi="Verdana" w:cs="Arial"/>
          <w:bCs/>
        </w:rPr>
        <w:t>“</w:t>
      </w:r>
      <w:r w:rsidRPr="00CC032C">
        <w:rPr>
          <w:rFonts w:ascii="Verdana" w:hAnsi="Verdana" w:cs="Arial"/>
        </w:rPr>
        <w:t>la necesidad de que en su actividad industrial y comercial, tradicionalmente ajena al Estado y propia de los particulares, ellas actúen en términos equivalentes a éstos cuando realicen actividades similares, sin tener prerrogativas exorbitantes que atenten contra el derecho a la igualdad ni estar sujetas a procedimientos administrativos que entraben sus actuaciones y las pongan en situación de desventaja frente a sus competidores (…). Por ello, la regla general es que en sus actos y contratos rijan las normas de derecho privado, salvo en cuanto a sus relaciones con la Administración y en aquellos casos en los que por expresa disposición legal ejerzan alguna función administrativa, puesto que allí sí deberá dar aplicación a las reglas de derecho público pertinentes (…)</w:t>
      </w:r>
      <w:r>
        <w:rPr>
          <w:rFonts w:ascii="Verdana" w:hAnsi="Verdana" w:cs="Arial"/>
        </w:rPr>
        <w:t>”</w:t>
      </w:r>
      <w:r w:rsidRPr="00CC032C">
        <w:rPr>
          <w:rStyle w:val="Refdenotaalpie"/>
          <w:rFonts w:ascii="Verdana" w:hAnsi="Verdana" w:cs="Arial"/>
        </w:rPr>
        <w:footnoteReference w:id="5"/>
      </w:r>
      <w:r w:rsidRPr="00CC032C">
        <w:rPr>
          <w:rFonts w:ascii="Verdana" w:hAnsi="Verdana" w:cs="Arial"/>
        </w:rPr>
        <w:t>.</w:t>
      </w:r>
    </w:p>
    <w:p w14:paraId="311D2C54" w14:textId="77777777" w:rsidR="00D0142E" w:rsidRPr="00DA69B8" w:rsidRDefault="00D0142E" w:rsidP="00D0142E">
      <w:pPr>
        <w:spacing w:after="0" w:line="276" w:lineRule="auto"/>
        <w:ind w:firstLine="709"/>
        <w:jc w:val="both"/>
        <w:rPr>
          <w:rFonts w:ascii="Verdana" w:eastAsia="Calibri" w:hAnsi="Verdana" w:cs="Arial"/>
          <w:color w:val="000000" w:themeColor="text1"/>
        </w:rPr>
      </w:pPr>
      <w:r w:rsidRPr="00DA69B8">
        <w:rPr>
          <w:rFonts w:ascii="Verdana" w:eastAsia="Calibri" w:hAnsi="Verdana" w:cs="Arial"/>
          <w:color w:val="000000" w:themeColor="text1"/>
        </w:rPr>
        <w:t>De acuerdo con la jurisprudencia, lo anterior se justifica en el principio de igualdad, ya que, si Estado desarrolla actividades similares a los particulares, debe actuar no solo desprovisto de poderes exorbitantes sino también con la misma eficacia y eficiencia que los sujetos de derecho privado. No en vano:</w:t>
      </w:r>
    </w:p>
    <w:p w14:paraId="473A6589" w14:textId="77777777" w:rsidR="00D0142E" w:rsidRPr="004C6114" w:rsidRDefault="00D0142E" w:rsidP="00D0142E">
      <w:pPr>
        <w:spacing w:after="0" w:line="276" w:lineRule="auto"/>
        <w:jc w:val="both"/>
        <w:rPr>
          <w:rFonts w:ascii="Arial" w:eastAsia="Calibri" w:hAnsi="Arial" w:cs="Arial"/>
          <w:color w:val="000000" w:themeColor="text1"/>
        </w:rPr>
      </w:pPr>
    </w:p>
    <w:p w14:paraId="26561C80" w14:textId="77777777" w:rsidR="00D0142E" w:rsidRDefault="00D0142E" w:rsidP="00D0142E">
      <w:pPr>
        <w:spacing w:after="0" w:line="240" w:lineRule="auto"/>
        <w:ind w:left="709" w:right="709"/>
        <w:jc w:val="both"/>
        <w:rPr>
          <w:rFonts w:ascii="Verdana" w:eastAsia="Calibri" w:hAnsi="Verdana" w:cs="Arial"/>
          <w:color w:val="000000" w:themeColor="text1"/>
          <w:sz w:val="20"/>
          <w:szCs w:val="20"/>
        </w:rPr>
      </w:pPr>
      <w:r>
        <w:rPr>
          <w:rFonts w:ascii="Verdana" w:eastAsia="Calibri" w:hAnsi="Verdana" w:cs="Arial"/>
          <w:color w:val="000000" w:themeColor="text1"/>
          <w:sz w:val="20"/>
          <w:szCs w:val="20"/>
        </w:rPr>
        <w:t>“</w:t>
      </w:r>
      <w:r w:rsidRPr="00F95861">
        <w:rPr>
          <w:rFonts w:ascii="Verdana" w:eastAsia="Calibri" w:hAnsi="Verdana" w:cs="Arial"/>
          <w:color w:val="000000" w:themeColor="text1"/>
          <w:sz w:val="20"/>
          <w:szCs w:val="20"/>
        </w:rPr>
        <w:t>La razón de ser de la aplicación del régimen de derecho privado a estas entidades radica en la necesidad de que en su actividad industrial y comercial, tradicionalmente ajena al Estado y propia de los particulares, ellas actúen en términos equivalentes a éstos cuando realicen actividades similares, sin tener prerrogativas exorbitantes que atenten contra el derecho a la igualdad ni estar sujetas a procedimientos administrativos que entraben sus actuaciones y las pongan en situación de desventaja frente a sus competidores.</w:t>
      </w:r>
    </w:p>
    <w:p w14:paraId="50902B46" w14:textId="77777777" w:rsidR="00D0142E" w:rsidRPr="00F95861" w:rsidRDefault="00D0142E" w:rsidP="00D0142E">
      <w:pPr>
        <w:spacing w:after="0" w:line="240" w:lineRule="auto"/>
        <w:ind w:left="709" w:right="709"/>
        <w:jc w:val="both"/>
        <w:rPr>
          <w:rFonts w:ascii="Verdana" w:eastAsia="Calibri" w:hAnsi="Verdana" w:cs="Arial"/>
          <w:color w:val="000000" w:themeColor="text1"/>
          <w:sz w:val="20"/>
          <w:szCs w:val="20"/>
        </w:rPr>
      </w:pPr>
    </w:p>
    <w:p w14:paraId="45D8EEED" w14:textId="77777777" w:rsidR="00D0142E" w:rsidRPr="00F95861" w:rsidRDefault="00D0142E" w:rsidP="00D0142E">
      <w:pPr>
        <w:autoSpaceDE w:val="0"/>
        <w:autoSpaceDN w:val="0"/>
        <w:adjustRightInd w:val="0"/>
        <w:spacing w:after="0" w:line="240" w:lineRule="auto"/>
        <w:ind w:left="709" w:right="709"/>
        <w:jc w:val="both"/>
        <w:rPr>
          <w:rFonts w:ascii="Verdana" w:eastAsia="Calibri" w:hAnsi="Verdana" w:cs="Arial"/>
          <w:color w:val="000000" w:themeColor="text1"/>
          <w:sz w:val="20"/>
          <w:szCs w:val="20"/>
        </w:rPr>
      </w:pPr>
      <w:r w:rsidRPr="00F95861">
        <w:rPr>
          <w:rFonts w:ascii="Verdana" w:eastAsia="Calibri" w:hAnsi="Verdana" w:cs="Arial"/>
          <w:color w:val="000000" w:themeColor="text1"/>
          <w:sz w:val="20"/>
          <w:szCs w:val="20"/>
        </w:rPr>
        <w:t xml:space="preserve">Se trata pues, de que sus actividades de explotación industrial o comercial se desarrollen con las mismas oportunidades y las mismas ventajas o desventajas que las adelantadas por aquellos, sin que influya para nada </w:t>
      </w:r>
      <w:r w:rsidRPr="00F95861">
        <w:rPr>
          <w:rFonts w:ascii="Verdana" w:eastAsia="Calibri" w:hAnsi="Verdana" w:cs="Arial"/>
          <w:color w:val="000000" w:themeColor="text1"/>
          <w:sz w:val="20"/>
          <w:szCs w:val="20"/>
        </w:rPr>
        <w:lastRenderedPageBreak/>
        <w:t>su investidura de entidad estatal; que puedan actuar como particulares, frente a las exigencias de la economía y del mercado</w:t>
      </w:r>
      <w:r>
        <w:rPr>
          <w:rFonts w:ascii="Verdana" w:eastAsia="Calibri" w:hAnsi="Verdana" w:cs="Arial"/>
          <w:color w:val="000000" w:themeColor="text1"/>
          <w:sz w:val="20"/>
          <w:szCs w:val="20"/>
        </w:rPr>
        <w:t>”</w:t>
      </w:r>
      <w:r w:rsidRPr="00F95861">
        <w:rPr>
          <w:rFonts w:ascii="Verdana" w:eastAsia="Calibri" w:hAnsi="Verdana" w:cs="Arial"/>
          <w:color w:val="000000" w:themeColor="text1"/>
          <w:sz w:val="20"/>
          <w:szCs w:val="20"/>
        </w:rPr>
        <w:t>.</w:t>
      </w:r>
    </w:p>
    <w:p w14:paraId="2E52D36A" w14:textId="77777777" w:rsidR="00D0142E" w:rsidRPr="00076707" w:rsidRDefault="00D0142E" w:rsidP="00D0142E">
      <w:pPr>
        <w:autoSpaceDE w:val="0"/>
        <w:autoSpaceDN w:val="0"/>
        <w:adjustRightInd w:val="0"/>
        <w:spacing w:after="0" w:line="276" w:lineRule="auto"/>
        <w:ind w:left="709" w:right="709"/>
        <w:jc w:val="both"/>
        <w:rPr>
          <w:rFonts w:ascii="Verdana" w:eastAsia="Calibri" w:hAnsi="Verdana" w:cs="Arial"/>
          <w:color w:val="000000" w:themeColor="text1"/>
        </w:rPr>
      </w:pPr>
    </w:p>
    <w:p w14:paraId="3A8550C4" w14:textId="77777777" w:rsidR="00D0142E" w:rsidRDefault="00D0142E" w:rsidP="00D0142E">
      <w:pPr>
        <w:spacing w:after="120" w:line="276" w:lineRule="auto"/>
        <w:ind w:firstLine="709"/>
        <w:jc w:val="both"/>
        <w:rPr>
          <w:rFonts w:ascii="Verdana" w:hAnsi="Verdana"/>
        </w:rPr>
      </w:pPr>
      <w:r w:rsidRPr="006A15CB">
        <w:rPr>
          <w:rFonts w:ascii="Verdana" w:hAnsi="Verdana"/>
        </w:rPr>
        <w:t xml:space="preserve">Es importante destacar, entonces, que el artículo 14 de la Ley 1150 de 2007, modificado por el artículo 93 de la Ley 1474 de 2011, esclareció las dudas que producía el confuso artículo 93 de la Ley 489 de 1998 a propósito del régimen contractual de estas entidades. Por lo tanto, </w:t>
      </w:r>
      <w:bookmarkStart w:id="5" w:name="_Hlk77174298"/>
      <w:r w:rsidRPr="006A15CB">
        <w:rPr>
          <w:rFonts w:ascii="Verdana" w:hAnsi="Verdana"/>
        </w:rPr>
        <w:t xml:space="preserve">las </w:t>
      </w:r>
      <w:r>
        <w:rPr>
          <w:rFonts w:ascii="Verdana" w:hAnsi="Verdana"/>
        </w:rPr>
        <w:t>EICE</w:t>
      </w:r>
      <w:r w:rsidRPr="006A15CB">
        <w:rPr>
          <w:rFonts w:ascii="Verdana" w:hAnsi="Verdana"/>
        </w:rPr>
        <w:t>, las Sociedades de Economía Mixta, sus filiales y las Sociedades entre Entidades Públicas en las que el Estado tenga participación superior al cincuenta por ciento (50%), están sometidas, por regla general, al Estatuto General de Contratación de la Administración Pública, excepto aquellas EICE que:</w:t>
      </w:r>
    </w:p>
    <w:p w14:paraId="27783F14" w14:textId="77777777" w:rsidR="00D0142E" w:rsidRPr="00D54F12" w:rsidRDefault="00D0142E" w:rsidP="00D0142E">
      <w:pPr>
        <w:pStyle w:val="Prrafodelista"/>
        <w:numPr>
          <w:ilvl w:val="0"/>
          <w:numId w:val="9"/>
        </w:numPr>
        <w:spacing w:after="120" w:line="276" w:lineRule="auto"/>
        <w:ind w:left="720"/>
        <w:jc w:val="both"/>
        <w:rPr>
          <w:rFonts w:ascii="Verdana" w:hAnsi="Verdana"/>
        </w:rPr>
      </w:pPr>
      <w:r w:rsidRPr="00D54F12">
        <w:rPr>
          <w:rFonts w:ascii="Verdana" w:hAnsi="Verdana"/>
        </w:rPr>
        <w:t xml:space="preserve">desarrollen actividades comerciales en competencia con el sector privado y/o público, nacional o internacional o </w:t>
      </w:r>
    </w:p>
    <w:p w14:paraId="4B18ADDE" w14:textId="77777777" w:rsidR="00D0142E" w:rsidRDefault="00D0142E" w:rsidP="00D0142E">
      <w:pPr>
        <w:pStyle w:val="Prrafodelista"/>
        <w:numPr>
          <w:ilvl w:val="0"/>
          <w:numId w:val="9"/>
        </w:numPr>
        <w:spacing w:after="120" w:line="276" w:lineRule="auto"/>
        <w:ind w:left="720"/>
        <w:jc w:val="both"/>
        <w:rPr>
          <w:rFonts w:ascii="Verdana" w:hAnsi="Verdana"/>
        </w:rPr>
      </w:pPr>
      <w:r w:rsidRPr="00D54F12">
        <w:rPr>
          <w:rFonts w:ascii="Verdana" w:hAnsi="Verdana"/>
        </w:rPr>
        <w:t>desarrollen actividades en mercados regulados, eventos en los cuales ellas se rigen por las disposiciones que regulen su actividad.</w:t>
      </w:r>
    </w:p>
    <w:p w14:paraId="0CD3020E" w14:textId="77777777" w:rsidR="00D0142E" w:rsidRPr="00D54F12" w:rsidRDefault="00D0142E" w:rsidP="00D0142E">
      <w:pPr>
        <w:spacing w:after="120" w:line="276" w:lineRule="auto"/>
        <w:ind w:firstLine="708"/>
        <w:jc w:val="both"/>
        <w:rPr>
          <w:rFonts w:ascii="Verdana" w:hAnsi="Verdana"/>
        </w:rPr>
      </w:pPr>
      <w:r w:rsidRPr="00D54F12">
        <w:rPr>
          <w:rFonts w:ascii="Verdana" w:hAnsi="Verdana"/>
        </w:rPr>
        <w:t xml:space="preserve">Lo anterior, </w:t>
      </w:r>
      <w:r>
        <w:rPr>
          <w:rFonts w:ascii="Verdana" w:hAnsi="Verdana"/>
        </w:rPr>
        <w:t xml:space="preserve">no implica dar </w:t>
      </w:r>
      <w:r w:rsidRPr="00D54F12">
        <w:rPr>
          <w:rFonts w:ascii="Verdana" w:hAnsi="Verdana"/>
        </w:rPr>
        <w:t>incumplimiento a lo dispuesto en el artículo 13 de la Ley 1150 de 2007, esto es, del deber que le incumbe a la EICE de aplicar, acorde con su régimen legal especial, los principios de la función administrativa y de la gestión fiscal consagrados en los artículos 209 y 267 de la Constitución Política, y el régimen de inhabilidades e incompatibilidades previsto legalmente para la contratación estatal</w:t>
      </w:r>
      <w:bookmarkEnd w:id="5"/>
      <w:r>
        <w:rPr>
          <w:rStyle w:val="Refdenotaalpie"/>
          <w:rFonts w:ascii="Verdana" w:hAnsi="Verdana"/>
        </w:rPr>
        <w:footnoteReference w:id="6"/>
      </w:r>
      <w:r w:rsidRPr="00D54F12">
        <w:rPr>
          <w:rFonts w:ascii="Verdana" w:hAnsi="Verdana"/>
        </w:rPr>
        <w:t>.</w:t>
      </w:r>
    </w:p>
    <w:p w14:paraId="160295DA" w14:textId="77777777" w:rsidR="00D0142E" w:rsidRPr="00C90E42" w:rsidRDefault="00D0142E" w:rsidP="00D0142E">
      <w:pPr>
        <w:spacing w:before="120" w:after="120" w:line="276" w:lineRule="auto"/>
        <w:ind w:firstLine="709"/>
        <w:jc w:val="both"/>
        <w:rPr>
          <w:rFonts w:ascii="Verdana" w:eastAsia="Calibri" w:hAnsi="Verdana" w:cs="Arial"/>
          <w:color w:val="000000" w:themeColor="text1"/>
        </w:rPr>
      </w:pPr>
      <w:r w:rsidRPr="00C90E42">
        <w:rPr>
          <w:rFonts w:ascii="Verdana" w:hAnsi="Verdana" w:cs="Arial"/>
        </w:rPr>
        <w:t xml:space="preserve">En línea con lo anterior, resulta pertinente resaltar que, </w:t>
      </w:r>
      <w:r w:rsidRPr="00C90E42">
        <w:rPr>
          <w:rFonts w:ascii="Verdana" w:eastAsia="Calibri" w:hAnsi="Verdana" w:cs="Arial"/>
          <w:color w:val="000000" w:themeColor="text1"/>
        </w:rPr>
        <w:t xml:space="preserve">aun cuando se esté frente a la celebración de contratos que se encuentren excluidos de la Ley 80 de 1993, no se rigen exclusivamente por el derecho civil y comercial, pues –conforme se señaló– aplican tanto los principios de la función administrativa y de la gestión fiscal como el régimen de inhabilidades e incompatibilidades. Por el contrario, aquellas </w:t>
      </w:r>
      <w:r>
        <w:rPr>
          <w:rFonts w:ascii="Verdana" w:eastAsia="Calibri" w:hAnsi="Verdana" w:cs="Arial"/>
          <w:color w:val="000000" w:themeColor="text1"/>
        </w:rPr>
        <w:t xml:space="preserve">EICE </w:t>
      </w:r>
      <w:r w:rsidRPr="00C90E42">
        <w:rPr>
          <w:rFonts w:ascii="Verdana" w:eastAsia="Calibri" w:hAnsi="Verdana" w:cs="Arial"/>
          <w:color w:val="000000" w:themeColor="text1"/>
        </w:rPr>
        <w:t xml:space="preserve">que no estén en competencia ni desarrollen su actividad en mercados regulados están sometidas al Estatuto General de </w:t>
      </w:r>
      <w:r w:rsidRPr="00C90E42">
        <w:rPr>
          <w:rFonts w:ascii="Verdana" w:eastAsia="Calibri" w:hAnsi="Verdana" w:cs="Arial"/>
          <w:color w:val="000000" w:themeColor="text1"/>
        </w:rPr>
        <w:lastRenderedPageBreak/>
        <w:t xml:space="preserve">Contratación de la Administración Pública y las normas que lo complementan, como lo dispone el artículo 14 de la Ley 1150 de 2007. </w:t>
      </w:r>
    </w:p>
    <w:p w14:paraId="7C3B7999" w14:textId="77777777" w:rsidR="00D0142E" w:rsidRDefault="00D0142E" w:rsidP="00D0142E">
      <w:pPr>
        <w:spacing w:after="120" w:line="276" w:lineRule="auto"/>
        <w:ind w:firstLine="709"/>
        <w:jc w:val="both"/>
        <w:rPr>
          <w:rFonts w:ascii="Verdana" w:eastAsia="Calibri" w:hAnsi="Verdana" w:cs="Arial"/>
          <w:color w:val="000000" w:themeColor="text1"/>
        </w:rPr>
      </w:pPr>
      <w:r w:rsidRPr="00C90E42">
        <w:rPr>
          <w:rFonts w:ascii="Verdana" w:eastAsia="Calibri" w:hAnsi="Verdana" w:cs="Arial"/>
          <w:color w:val="000000" w:themeColor="text1"/>
        </w:rPr>
        <w:t xml:space="preserve">De conformidad con las explicaciones anteriores, en torno a los fundamentos jurídicos que regulan el régimen contractual aplicable a las </w:t>
      </w:r>
      <w:r>
        <w:rPr>
          <w:rFonts w:ascii="Verdana" w:eastAsia="Calibri" w:hAnsi="Verdana" w:cs="Arial"/>
          <w:color w:val="000000" w:themeColor="text1"/>
        </w:rPr>
        <w:t>EICE</w:t>
      </w:r>
      <w:r w:rsidRPr="00C90E42">
        <w:rPr>
          <w:rFonts w:ascii="Verdana" w:eastAsia="Calibri" w:hAnsi="Verdana" w:cs="Arial"/>
          <w:color w:val="000000" w:themeColor="text1"/>
        </w:rPr>
        <w:t>, a cada entidad estatal le corresponde analizar si se encuentra en alguno de los supuestos establecidos en el artículo 14 de la Ley 1150 de 2007, para definir si su régimen contractual es el Estatuto General de Contratación de la Administración Pública o si están exceptuadas de él y, por tanto, si se rigen por un régimen especial, como sería el derecho privado. En caso de que la EICE se rija por el EGCAP le resultará aplicable</w:t>
      </w:r>
      <w:r>
        <w:rPr>
          <w:rFonts w:ascii="Verdana" w:eastAsia="Calibri" w:hAnsi="Verdana" w:cs="Arial"/>
          <w:color w:val="000000" w:themeColor="text1"/>
        </w:rPr>
        <w:t xml:space="preserve"> la Ley 80 de 1993, la Ley 1150 de 2007, </w:t>
      </w:r>
      <w:r w:rsidRPr="00C90E42">
        <w:rPr>
          <w:rFonts w:ascii="Verdana" w:eastAsia="Calibri" w:hAnsi="Verdana" w:cs="Arial"/>
          <w:color w:val="000000" w:themeColor="text1"/>
        </w:rPr>
        <w:t>el Decreto 1082 de 2015</w:t>
      </w:r>
      <w:r>
        <w:rPr>
          <w:rFonts w:ascii="Verdana" w:eastAsia="Calibri" w:hAnsi="Verdana" w:cs="Arial"/>
          <w:color w:val="000000" w:themeColor="text1"/>
        </w:rPr>
        <w:t xml:space="preserve"> y demás normas que lo competente o modifiquen. N</w:t>
      </w:r>
      <w:r w:rsidRPr="00C90E42">
        <w:rPr>
          <w:rFonts w:ascii="Verdana" w:eastAsia="Calibri" w:hAnsi="Verdana" w:cs="Arial"/>
          <w:color w:val="000000" w:themeColor="text1"/>
        </w:rPr>
        <w:t>o obstante, en caso de que se rija por el derecho privado, en principio</w:t>
      </w:r>
      <w:r>
        <w:rPr>
          <w:rFonts w:ascii="Verdana" w:eastAsia="Calibri" w:hAnsi="Verdana" w:cs="Arial"/>
          <w:color w:val="000000" w:themeColor="text1"/>
        </w:rPr>
        <w:t>,</w:t>
      </w:r>
      <w:r w:rsidRPr="00C90E42">
        <w:rPr>
          <w:rFonts w:ascii="Verdana" w:eastAsia="Calibri" w:hAnsi="Verdana" w:cs="Arial"/>
          <w:color w:val="000000" w:themeColor="text1"/>
        </w:rPr>
        <w:t xml:space="preserve"> no les resultará aplicable</w:t>
      </w:r>
      <w:r>
        <w:rPr>
          <w:rFonts w:ascii="Verdana" w:eastAsia="Calibri" w:hAnsi="Verdana" w:cs="Arial"/>
          <w:color w:val="000000" w:themeColor="text1"/>
        </w:rPr>
        <w:t xml:space="preserve"> las anteriores normativas</w:t>
      </w:r>
      <w:r w:rsidRPr="00C90E42">
        <w:rPr>
          <w:rFonts w:ascii="Verdana" w:eastAsia="Calibri" w:hAnsi="Verdana" w:cs="Arial"/>
          <w:color w:val="000000" w:themeColor="text1"/>
        </w:rPr>
        <w:t>, salvo aquellas disposiciones que excepcionalmente le resulten aplicables incluso a las entidades de régimen especial.</w:t>
      </w:r>
    </w:p>
    <w:p w14:paraId="10B4E5A3" w14:textId="77777777" w:rsidR="00D0142E" w:rsidRDefault="00D0142E" w:rsidP="00D0142E">
      <w:pPr>
        <w:spacing w:after="120" w:line="276" w:lineRule="auto"/>
        <w:ind w:firstLine="709"/>
        <w:jc w:val="both"/>
        <w:rPr>
          <w:rFonts w:ascii="Verdana" w:eastAsia="Calibri" w:hAnsi="Verdana" w:cs="Arial"/>
          <w:color w:val="000000" w:themeColor="text1"/>
          <w:lang w:val="es-ES"/>
        </w:rPr>
      </w:pPr>
      <w:r w:rsidRPr="416244C8">
        <w:rPr>
          <w:rFonts w:ascii="Verdana" w:eastAsia="Calibri" w:hAnsi="Verdana" w:cs="Arial"/>
          <w:color w:val="000000" w:themeColor="text1"/>
          <w:lang w:val="es-ES"/>
        </w:rPr>
        <w:t xml:space="preserve">Ahora bien, </w:t>
      </w:r>
      <w:r>
        <w:rPr>
          <w:rFonts w:ascii="Verdana" w:eastAsia="Calibri" w:hAnsi="Verdana" w:cs="Arial"/>
          <w:color w:val="000000" w:themeColor="text1"/>
          <w:lang w:val="es-ES"/>
        </w:rPr>
        <w:t>t</w:t>
      </w:r>
      <w:r w:rsidRPr="416244C8">
        <w:rPr>
          <w:rFonts w:ascii="Verdana" w:eastAsia="Calibri" w:hAnsi="Verdana" w:cs="Arial"/>
          <w:color w:val="000000" w:themeColor="text1"/>
          <w:lang w:val="es-ES"/>
        </w:rPr>
        <w:t>eniendo en cuenta que las entidades de régimen especial están facultadas legalmente para aplicar reglas distintas a las establecidas en la Ley 80 de 1993 y sus normas complementarias, su régimen contractual estará definido en la noma que crea el régimen especial y será desarrollado en el manual de contratación de la respectiva entidad, con el fin de que se puedan identificar las reglas que aplican en la contratación. La Agencia Nacional de Contratación Pública - Colombia Compra Eficiente expidió la Guía para las entidades estatales con régimen especial de contratación, que las define como aquellas que contratan con un régimen distinto a las Leyes 80 de 1993 y 1150 de 2007</w:t>
      </w:r>
      <w:r w:rsidRPr="416244C8">
        <w:rPr>
          <w:rStyle w:val="Refdenotaalpie"/>
          <w:rFonts w:ascii="Verdana" w:eastAsia="Calibri" w:hAnsi="Verdana" w:cs="Arial"/>
          <w:color w:val="000000" w:themeColor="text1"/>
          <w:lang w:val="es-ES"/>
        </w:rPr>
        <w:footnoteReference w:id="7"/>
      </w:r>
      <w:r w:rsidRPr="416244C8">
        <w:rPr>
          <w:rFonts w:ascii="Verdana" w:eastAsia="Calibri" w:hAnsi="Verdana" w:cs="Arial"/>
          <w:color w:val="000000" w:themeColor="text1"/>
          <w:lang w:val="es-ES"/>
        </w:rPr>
        <w:t>.</w:t>
      </w:r>
    </w:p>
    <w:p w14:paraId="06DA45DB" w14:textId="77777777" w:rsidR="00D0142E" w:rsidRPr="0062280E" w:rsidRDefault="00D0142E" w:rsidP="00D0142E">
      <w:pPr>
        <w:spacing w:after="0" w:line="276" w:lineRule="auto"/>
        <w:ind w:firstLine="709"/>
        <w:jc w:val="both"/>
        <w:rPr>
          <w:rFonts w:ascii="Verdana" w:eastAsia="Calibri" w:hAnsi="Verdana" w:cs="Arial"/>
          <w:color w:val="000000" w:themeColor="text1"/>
          <w:lang w:val="es-ES_tradnl"/>
        </w:rPr>
      </w:pPr>
      <w:r w:rsidRPr="0062280E">
        <w:rPr>
          <w:rFonts w:ascii="Verdana" w:eastAsia="Calibri" w:hAnsi="Verdana" w:cs="Arial"/>
          <w:color w:val="000000" w:themeColor="text1"/>
          <w:lang w:val="es-ES_tradnl"/>
        </w:rPr>
        <w:t>No obstante,</w:t>
      </w:r>
      <w:r>
        <w:rPr>
          <w:rFonts w:ascii="Verdana" w:eastAsia="Calibri" w:hAnsi="Verdana" w:cs="Arial"/>
          <w:color w:val="000000" w:themeColor="text1"/>
          <w:lang w:val="es-ES_tradnl"/>
        </w:rPr>
        <w:t xml:space="preserve"> como se indicó en los párrafos anteriores,</w:t>
      </w:r>
      <w:r w:rsidRPr="0062280E">
        <w:rPr>
          <w:rFonts w:ascii="Verdana" w:eastAsia="Calibri" w:hAnsi="Verdana" w:cs="Arial"/>
          <w:color w:val="000000" w:themeColor="text1"/>
          <w:lang w:val="es-ES_tradnl"/>
        </w:rPr>
        <w:t xml:space="preserve"> las entidades de régimen especial cumplen una finalidad pública y utilizan recursos públicos para lograrlo, por lo que no son ajenas a los principios de la función administrativa y de la gestión fiscal, entre otras reglas dispuestas en la normativa de contratación pública que son transversales a todas las entidades, sin importar su régimen </w:t>
      </w:r>
      <w:r w:rsidRPr="0062280E">
        <w:rPr>
          <w:rFonts w:ascii="Verdana" w:eastAsia="Calibri" w:hAnsi="Verdana" w:cs="Arial"/>
          <w:color w:val="000000" w:themeColor="text1"/>
          <w:lang w:val="es-ES_tradnl"/>
        </w:rPr>
        <w:lastRenderedPageBreak/>
        <w:t>contractual. Lo anterior es reafirmado por el Consejo de Estado, que destaca las reglas que sigue la contratación de las entidades de régimen especial:</w:t>
      </w:r>
    </w:p>
    <w:p w14:paraId="7EB69967" w14:textId="77777777" w:rsidR="00D0142E" w:rsidRPr="004C6114" w:rsidRDefault="00D0142E" w:rsidP="00D0142E">
      <w:pPr>
        <w:spacing w:after="0"/>
        <w:jc w:val="both"/>
        <w:rPr>
          <w:rFonts w:ascii="Arial" w:eastAsia="Calibri" w:hAnsi="Arial" w:cs="Arial"/>
          <w:color w:val="000000" w:themeColor="text1"/>
          <w:lang w:val="es-ES_tradnl"/>
        </w:rPr>
      </w:pPr>
    </w:p>
    <w:p w14:paraId="3E28031F" w14:textId="77777777" w:rsidR="00D0142E" w:rsidRPr="0062280E" w:rsidRDefault="00D0142E" w:rsidP="00D0142E">
      <w:pPr>
        <w:spacing w:after="0" w:line="240" w:lineRule="auto"/>
        <w:ind w:left="709" w:right="709"/>
        <w:jc w:val="both"/>
        <w:rPr>
          <w:rFonts w:ascii="Verdana" w:eastAsia="Calibri" w:hAnsi="Verdana" w:cs="Arial"/>
          <w:color w:val="000000" w:themeColor="text1"/>
          <w:sz w:val="20"/>
          <w:szCs w:val="20"/>
          <w:lang w:val="es-ES_tradnl"/>
        </w:rPr>
      </w:pPr>
      <w:r w:rsidRPr="0062280E">
        <w:rPr>
          <w:rFonts w:ascii="Verdana" w:eastAsia="Calibri" w:hAnsi="Verdana" w:cs="Arial"/>
          <w:color w:val="000000" w:themeColor="text1"/>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200C9C19" w14:textId="77777777" w:rsidR="00D0142E" w:rsidRDefault="00D0142E" w:rsidP="00D0142E">
      <w:pPr>
        <w:spacing w:after="0" w:line="240" w:lineRule="auto"/>
        <w:ind w:left="709" w:right="709"/>
        <w:jc w:val="both"/>
        <w:rPr>
          <w:rFonts w:ascii="Verdana" w:eastAsia="Calibri" w:hAnsi="Verdana" w:cs="Arial"/>
          <w:color w:val="000000" w:themeColor="text1"/>
          <w:sz w:val="20"/>
          <w:szCs w:val="20"/>
          <w:lang w:val="es-ES_tradnl"/>
        </w:rPr>
      </w:pPr>
      <w:r w:rsidRPr="0062280E">
        <w:rPr>
          <w:rFonts w:ascii="Verdana" w:eastAsia="Calibri" w:hAnsi="Verdana" w:cs="Arial"/>
          <w:color w:val="000000" w:themeColor="text1"/>
          <w:sz w:val="20"/>
          <w:szCs w:val="20"/>
          <w:lang w:val="es-ES_tradnl"/>
        </w:rPr>
        <w:t xml:space="preserve">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 </w:t>
      </w:r>
    </w:p>
    <w:p w14:paraId="1ECD2AC6" w14:textId="77777777" w:rsidR="00D0142E" w:rsidRPr="0062280E" w:rsidRDefault="00D0142E" w:rsidP="00D0142E">
      <w:pPr>
        <w:spacing w:after="0" w:line="240" w:lineRule="auto"/>
        <w:ind w:left="709" w:right="709"/>
        <w:jc w:val="both"/>
        <w:rPr>
          <w:rFonts w:ascii="Verdana" w:eastAsia="Calibri" w:hAnsi="Verdana" w:cs="Arial"/>
          <w:color w:val="000000" w:themeColor="text1"/>
          <w:sz w:val="20"/>
          <w:szCs w:val="20"/>
          <w:lang w:val="es-ES_tradnl"/>
        </w:rPr>
      </w:pPr>
    </w:p>
    <w:p w14:paraId="3FEEB08B" w14:textId="77777777" w:rsidR="00D0142E" w:rsidRDefault="00D0142E" w:rsidP="00D0142E">
      <w:pPr>
        <w:spacing w:after="0" w:line="240" w:lineRule="auto"/>
        <w:ind w:left="709" w:right="709"/>
        <w:jc w:val="both"/>
        <w:rPr>
          <w:rFonts w:ascii="Verdana" w:eastAsia="Calibri" w:hAnsi="Verdana" w:cs="Arial"/>
          <w:color w:val="000000" w:themeColor="text1"/>
          <w:sz w:val="20"/>
          <w:szCs w:val="20"/>
          <w:lang w:val="es-ES_tradnl"/>
        </w:rPr>
      </w:pPr>
      <w:r w:rsidRPr="0062280E">
        <w:rPr>
          <w:rFonts w:ascii="Verdana" w:eastAsia="Calibri" w:hAnsi="Verdana" w:cs="Arial"/>
          <w:color w:val="000000" w:themeColor="text1"/>
          <w:sz w:val="20"/>
          <w:szCs w:val="20"/>
          <w:lang w:val="es-ES_tradnl"/>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62280E">
        <w:rPr>
          <w:rStyle w:val="Refdenotaalpie"/>
          <w:rFonts w:ascii="Verdana" w:eastAsia="Calibri" w:hAnsi="Verdana" w:cs="Arial"/>
          <w:color w:val="000000" w:themeColor="text1"/>
          <w:sz w:val="20"/>
          <w:szCs w:val="20"/>
          <w:lang w:val="es-ES_tradnl"/>
        </w:rPr>
        <w:footnoteReference w:id="8"/>
      </w:r>
      <w:r w:rsidRPr="0062280E">
        <w:rPr>
          <w:rFonts w:ascii="Verdana" w:eastAsia="Calibri" w:hAnsi="Verdana" w:cs="Arial"/>
          <w:color w:val="000000" w:themeColor="text1"/>
          <w:sz w:val="20"/>
          <w:szCs w:val="20"/>
          <w:lang w:val="es-ES_tradnl"/>
        </w:rPr>
        <w:t>.</w:t>
      </w:r>
    </w:p>
    <w:p w14:paraId="42F78A54" w14:textId="77777777" w:rsidR="00D0142E" w:rsidRPr="00076707" w:rsidRDefault="00D0142E" w:rsidP="00D0142E">
      <w:pPr>
        <w:spacing w:after="0" w:line="276" w:lineRule="auto"/>
        <w:ind w:left="709" w:right="709"/>
        <w:jc w:val="both"/>
        <w:rPr>
          <w:rFonts w:ascii="Verdana" w:eastAsia="Calibri" w:hAnsi="Verdana" w:cs="Arial"/>
          <w:color w:val="000000" w:themeColor="text1"/>
          <w:lang w:val="es-ES_tradnl"/>
        </w:rPr>
      </w:pPr>
    </w:p>
    <w:p w14:paraId="2D829D72" w14:textId="77777777" w:rsidR="00D0142E" w:rsidRDefault="00D0142E" w:rsidP="00D0142E">
      <w:pPr>
        <w:spacing w:after="120" w:line="276" w:lineRule="auto"/>
        <w:ind w:firstLine="709"/>
        <w:jc w:val="both"/>
        <w:rPr>
          <w:rFonts w:ascii="Verdana" w:eastAsia="Calibri" w:hAnsi="Verdana" w:cs="Arial"/>
          <w:color w:val="000000" w:themeColor="text1"/>
          <w:lang w:val="es-ES"/>
        </w:rPr>
      </w:pPr>
      <w:r w:rsidRPr="416244C8">
        <w:rPr>
          <w:rFonts w:ascii="Verdana" w:eastAsia="Calibri" w:hAnsi="Verdana" w:cs="Arial"/>
          <w:color w:val="000000" w:themeColor="text1"/>
          <w:lang w:val="es-ES"/>
        </w:rPr>
        <w:t xml:space="preserve">Teniendo en cuenta que las entidades de régimen especial administran recursos públicos, sus manuales de contratación deben ceñirse a unas reglas </w:t>
      </w:r>
      <w:r w:rsidRPr="003A2706">
        <w:rPr>
          <w:rFonts w:ascii="Verdana" w:eastAsia="Calibri" w:hAnsi="Verdana" w:cs="Arial"/>
          <w:color w:val="000000" w:themeColor="text1"/>
          <w:lang w:val="es-ES"/>
        </w:rPr>
        <w:t>mínimas que garanticen el cumplimiento de los principios de la función pública, el control fiscal y los principios rectores de la contratación estatal. Dentro de estas reglas deben</w:t>
      </w:r>
      <w:r w:rsidRPr="416244C8">
        <w:rPr>
          <w:rFonts w:ascii="Verdana" w:eastAsia="Calibri" w:hAnsi="Verdana" w:cs="Arial"/>
          <w:color w:val="000000" w:themeColor="text1"/>
          <w:lang w:val="es-ES"/>
        </w:rPr>
        <w:t xml:space="preserve"> </w:t>
      </w:r>
      <w:r w:rsidRPr="000657D1">
        <w:rPr>
          <w:rFonts w:ascii="Verdana" w:hAnsi="Verdana"/>
        </w:rPr>
        <w:t>asegurar la correcta ejecución contractual, lo que en la práctica se traduce en ejercer mecanismos de supervisión o control, acorde con sus manuales internos o disposiciones aplicables</w:t>
      </w:r>
    </w:p>
    <w:p w14:paraId="06DEEB98" w14:textId="77777777" w:rsidR="00D0142E" w:rsidRDefault="00D0142E" w:rsidP="00D0142E">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En conclusión, </w:t>
      </w:r>
      <w:r w:rsidRPr="009A241F">
        <w:rPr>
          <w:rFonts w:ascii="Verdana" w:eastAsia="Calibri" w:hAnsi="Verdana" w:cs="Arial"/>
          <w:color w:val="000000" w:themeColor="text1"/>
          <w:lang w:val="es-ES"/>
        </w:rPr>
        <w:t xml:space="preserve"> las EICE </w:t>
      </w:r>
      <w:r>
        <w:rPr>
          <w:rFonts w:ascii="Verdana" w:eastAsia="Calibri" w:hAnsi="Verdana" w:cs="Arial"/>
          <w:color w:val="000000" w:themeColor="text1"/>
          <w:lang w:val="es-ES"/>
        </w:rPr>
        <w:t xml:space="preserve">con </w:t>
      </w:r>
      <w:r w:rsidRPr="009A241F">
        <w:rPr>
          <w:rFonts w:ascii="Verdana" w:eastAsia="Calibri" w:hAnsi="Verdana" w:cs="Arial"/>
          <w:color w:val="000000" w:themeColor="text1"/>
          <w:lang w:val="es-ES"/>
        </w:rPr>
        <w:t xml:space="preserve">participación superior al </w:t>
      </w:r>
      <w:r>
        <w:rPr>
          <w:rFonts w:ascii="Verdana" w:eastAsia="Calibri" w:hAnsi="Verdana" w:cs="Arial"/>
          <w:color w:val="000000" w:themeColor="text1"/>
          <w:lang w:val="es-ES"/>
        </w:rPr>
        <w:t>cincuenta por ciento (</w:t>
      </w:r>
      <w:r w:rsidRPr="009A241F">
        <w:rPr>
          <w:rFonts w:ascii="Verdana" w:eastAsia="Calibri" w:hAnsi="Verdana" w:cs="Arial"/>
          <w:color w:val="000000" w:themeColor="text1"/>
          <w:lang w:val="es-ES"/>
        </w:rPr>
        <w:t>50%</w:t>
      </w:r>
      <w:r>
        <w:rPr>
          <w:rFonts w:ascii="Verdana" w:eastAsia="Calibri" w:hAnsi="Verdana" w:cs="Arial"/>
          <w:color w:val="000000" w:themeColor="text1"/>
          <w:lang w:val="es-ES"/>
        </w:rPr>
        <w:t>)</w:t>
      </w:r>
      <w:r w:rsidRPr="009A241F">
        <w:rPr>
          <w:rFonts w:ascii="Verdana" w:eastAsia="Calibri" w:hAnsi="Verdana" w:cs="Arial"/>
          <w:color w:val="000000" w:themeColor="text1"/>
          <w:lang w:val="es-ES"/>
        </w:rPr>
        <w:t xml:space="preserve"> por parte del Estado </w:t>
      </w:r>
      <w:r>
        <w:rPr>
          <w:rFonts w:ascii="Verdana" w:eastAsia="Calibri" w:hAnsi="Verdana" w:cs="Arial"/>
          <w:color w:val="000000" w:themeColor="text1"/>
          <w:lang w:val="es-ES"/>
        </w:rPr>
        <w:t xml:space="preserve">cuando realicen </w:t>
      </w:r>
      <w:r w:rsidRPr="00C167F1">
        <w:rPr>
          <w:rFonts w:ascii="Verdana" w:hAnsi="Verdana"/>
        </w:rPr>
        <w:t xml:space="preserve">i) actividades comerciales en competencia con el sector privado y/o público, nacional o internacional o </w:t>
      </w:r>
      <w:proofErr w:type="spellStart"/>
      <w:r w:rsidRPr="00C167F1">
        <w:rPr>
          <w:rFonts w:ascii="Verdana" w:hAnsi="Verdana"/>
        </w:rPr>
        <w:t>ii</w:t>
      </w:r>
      <w:proofErr w:type="spellEnd"/>
      <w:r w:rsidRPr="00C167F1">
        <w:rPr>
          <w:rFonts w:ascii="Verdana" w:hAnsi="Verdana"/>
        </w:rPr>
        <w:t xml:space="preserve">) </w:t>
      </w:r>
      <w:r w:rsidRPr="00C167F1">
        <w:rPr>
          <w:rFonts w:ascii="Verdana" w:hAnsi="Verdana"/>
        </w:rPr>
        <w:lastRenderedPageBreak/>
        <w:t>actividades en mercados regulados, eventos en los cuales ellas se rigen por las disposiciones que regulen su actividad,</w:t>
      </w:r>
      <w:r>
        <w:rPr>
          <w:rFonts w:ascii="Verdana" w:eastAsia="Calibri" w:hAnsi="Verdana" w:cs="Arial"/>
          <w:color w:val="000000" w:themeColor="text1"/>
          <w:lang w:val="es-ES"/>
        </w:rPr>
        <w:t xml:space="preserve"> al ser supuestos de excepción, </w:t>
      </w:r>
      <w:r w:rsidRPr="009A241F">
        <w:rPr>
          <w:rFonts w:ascii="Verdana" w:eastAsia="Calibri" w:hAnsi="Verdana" w:cs="Arial"/>
          <w:color w:val="000000" w:themeColor="text1"/>
          <w:lang w:val="es-ES"/>
        </w:rPr>
        <w:t>estarán reguladas por su propio manual de contratación</w:t>
      </w:r>
      <w:r>
        <w:rPr>
          <w:rFonts w:ascii="Verdana" w:eastAsia="Calibri" w:hAnsi="Verdana" w:cs="Arial"/>
          <w:color w:val="000000" w:themeColor="text1"/>
          <w:lang w:val="es-ES"/>
        </w:rPr>
        <w:t>, disposiciones internas</w:t>
      </w:r>
      <w:r w:rsidRPr="009A241F">
        <w:rPr>
          <w:rFonts w:ascii="Verdana" w:eastAsia="Calibri" w:hAnsi="Verdana" w:cs="Arial"/>
          <w:color w:val="000000" w:themeColor="text1"/>
          <w:lang w:val="es-ES"/>
        </w:rPr>
        <w:t xml:space="preserve"> y las normas de derecho privado, tal y como se señala en la</w:t>
      </w:r>
      <w:r w:rsidRPr="416244C8">
        <w:rPr>
          <w:rFonts w:ascii="Verdana" w:eastAsia="Calibri" w:hAnsi="Verdana" w:cs="Arial"/>
          <w:color w:val="000000" w:themeColor="text1"/>
          <w:lang w:val="es-ES"/>
        </w:rPr>
        <w:t xml:space="preserve"> “Guía para las Entidades Estatales con régimen especial de Contratación”</w:t>
      </w:r>
      <w:r w:rsidRPr="416244C8">
        <w:rPr>
          <w:rStyle w:val="Refdenotaalpie"/>
          <w:rFonts w:ascii="Verdana" w:eastAsia="Calibri" w:hAnsi="Verdana" w:cs="Arial"/>
          <w:color w:val="000000" w:themeColor="text1"/>
          <w:lang w:val="es-ES"/>
        </w:rPr>
        <w:footnoteReference w:id="9"/>
      </w:r>
      <w:r w:rsidRPr="416244C8">
        <w:rPr>
          <w:rFonts w:ascii="Verdana" w:eastAsia="Calibri" w:hAnsi="Verdana" w:cs="Arial"/>
          <w:color w:val="000000" w:themeColor="text1"/>
          <w:lang w:val="es-ES"/>
        </w:rPr>
        <w:t>, proferida por esta Agencia, en principio, la actividad contractual de las entidades excluidas de la aplicación del Estatuto General de Contratación de la Administración Pública “se somete a las reglas del derecho privado”. En consecuencia, si bien deben cumplir algunas obligaciones transversales propias del sistema de compra pública, señaladas en dicha guía y que se mencionaron anteriormente, el régimen jurídico de base es el derecho privado, o sea el integrado por los preceptos civiles y comerciales.</w:t>
      </w:r>
    </w:p>
    <w:p w14:paraId="3100DD24" w14:textId="77777777" w:rsidR="00D0142E" w:rsidRDefault="00D0142E" w:rsidP="00D0142E">
      <w:pPr>
        <w:spacing w:before="120" w:after="0" w:line="276" w:lineRule="auto"/>
        <w:ind w:firstLine="708"/>
        <w:jc w:val="both"/>
        <w:rPr>
          <w:rFonts w:ascii="Verdana" w:hAnsi="Verdana"/>
        </w:rPr>
      </w:pPr>
      <w:r w:rsidRPr="005553BD">
        <w:rPr>
          <w:rFonts w:ascii="Verdana" w:hAnsi="Verdana"/>
        </w:rPr>
        <w:t xml:space="preserve">Por consiguiente, las </w:t>
      </w:r>
      <w:r>
        <w:rPr>
          <w:rFonts w:ascii="Verdana" w:hAnsi="Verdana"/>
        </w:rPr>
        <w:t xml:space="preserve">EICE </w:t>
      </w:r>
      <w:r w:rsidRPr="005553BD">
        <w:rPr>
          <w:rFonts w:ascii="Verdana" w:hAnsi="Verdana"/>
        </w:rPr>
        <w:t>por regla general</w:t>
      </w:r>
      <w:r>
        <w:rPr>
          <w:rFonts w:ascii="Verdana" w:hAnsi="Verdana"/>
        </w:rPr>
        <w:t>,</w:t>
      </w:r>
      <w:r w:rsidRPr="005553BD">
        <w:rPr>
          <w:rFonts w:ascii="Verdana" w:hAnsi="Verdana"/>
        </w:rPr>
        <w:t xml:space="preserve"> sus actos y contratos se rigen </w:t>
      </w:r>
      <w:r>
        <w:rPr>
          <w:rFonts w:ascii="Verdana" w:hAnsi="Verdana"/>
        </w:rPr>
        <w:t>por</w:t>
      </w:r>
      <w:r w:rsidRPr="005553BD">
        <w:rPr>
          <w:rFonts w:ascii="Verdana" w:hAnsi="Verdana"/>
        </w:rPr>
        <w:t xml:space="preserve"> las normas de derecho privado, salvo en cuanto a sus relaciones con la Administración y en aquellos casos en los que por expresa disposición legal ejerzan alguna función administrativa, puesto que allí sí deberá dar aplicación a las reglas de derecho público pertinentes.</w:t>
      </w:r>
    </w:p>
    <w:p w14:paraId="0D849A97" w14:textId="69E7610C" w:rsidR="00C64421" w:rsidRPr="00C64421" w:rsidRDefault="00D0142E" w:rsidP="00C64421">
      <w:pPr>
        <w:pStyle w:val="Textoindependiente"/>
        <w:spacing w:line="276" w:lineRule="auto"/>
        <w:ind w:left="105" w:right="100"/>
        <w:jc w:val="both"/>
        <w:rPr>
          <w:rFonts w:ascii="Verdana" w:hAnsi="Verdana"/>
        </w:rPr>
      </w:pPr>
      <w:r w:rsidRPr="000C49CE">
        <w:rPr>
          <w:rFonts w:ascii="Verdana" w:hAnsi="Verdana"/>
        </w:rPr>
        <w:t xml:space="preserve">De otro lado, </w:t>
      </w:r>
      <w:r w:rsidR="00C64421">
        <w:rPr>
          <w:rFonts w:ascii="Verdana" w:hAnsi="Verdana"/>
        </w:rPr>
        <w:t>e</w:t>
      </w:r>
      <w:r w:rsidR="00C64421" w:rsidRPr="00C64421">
        <w:rPr>
          <w:rFonts w:ascii="Verdana" w:hAnsi="Verdana"/>
        </w:rPr>
        <w:t>n cuanto a la obligación de las Empresas Industriales y Comerciales del Estado (EICE) de publicar en el SECOP los actos de gestión comercial tales como</w:t>
      </w:r>
      <w:r w:rsidR="00C64421" w:rsidRPr="00C64421">
        <w:rPr>
          <w:rFonts w:ascii="Verdana" w:hAnsi="Verdana"/>
          <w:spacing w:val="-1"/>
        </w:rPr>
        <w:t xml:space="preserve"> </w:t>
      </w:r>
      <w:r w:rsidR="00C64421" w:rsidRPr="00C64421">
        <w:rPr>
          <w:rFonts w:ascii="Verdana" w:hAnsi="Verdana"/>
        </w:rPr>
        <w:t>un</w:t>
      </w:r>
      <w:r w:rsidR="00C64421" w:rsidRPr="00C64421">
        <w:rPr>
          <w:rFonts w:ascii="Verdana" w:hAnsi="Verdana"/>
          <w:spacing w:val="-2"/>
        </w:rPr>
        <w:t xml:space="preserve"> </w:t>
      </w:r>
      <w:r w:rsidR="00C64421" w:rsidRPr="00C64421">
        <w:rPr>
          <w:rFonts w:ascii="Verdana" w:hAnsi="Verdana"/>
        </w:rPr>
        <w:t>contrato</w:t>
      </w:r>
      <w:r w:rsidR="00C64421" w:rsidRPr="00C64421">
        <w:rPr>
          <w:rFonts w:ascii="Verdana" w:hAnsi="Verdana"/>
          <w:spacing w:val="-1"/>
        </w:rPr>
        <w:t xml:space="preserve"> </w:t>
      </w:r>
      <w:r w:rsidR="00C64421" w:rsidRPr="00C64421">
        <w:rPr>
          <w:rFonts w:ascii="Verdana" w:hAnsi="Verdana"/>
        </w:rPr>
        <w:t>de arrendamiento; se</w:t>
      </w:r>
      <w:r w:rsidR="00C64421" w:rsidRPr="00C64421">
        <w:rPr>
          <w:rFonts w:ascii="Verdana" w:hAnsi="Verdana"/>
          <w:spacing w:val="-3"/>
        </w:rPr>
        <w:t xml:space="preserve"> </w:t>
      </w:r>
      <w:r w:rsidR="00C64421" w:rsidRPr="00C64421">
        <w:rPr>
          <w:rFonts w:ascii="Verdana" w:hAnsi="Verdana"/>
        </w:rPr>
        <w:t>tiene que por</w:t>
      </w:r>
      <w:r w:rsidR="00C64421" w:rsidRPr="00C64421">
        <w:rPr>
          <w:rFonts w:ascii="Verdana" w:hAnsi="Verdana"/>
          <w:spacing w:val="-1"/>
        </w:rPr>
        <w:t xml:space="preserve"> </w:t>
      </w:r>
      <w:r w:rsidR="00C64421" w:rsidRPr="00C64421">
        <w:rPr>
          <w:rFonts w:ascii="Verdana" w:hAnsi="Verdana"/>
        </w:rPr>
        <w:t>regla general las</w:t>
      </w:r>
      <w:r w:rsidR="00C64421" w:rsidRPr="00C64421">
        <w:rPr>
          <w:rFonts w:ascii="Verdana" w:hAnsi="Verdana"/>
          <w:spacing w:val="-1"/>
        </w:rPr>
        <w:t xml:space="preserve"> </w:t>
      </w:r>
      <w:r w:rsidR="00C64421" w:rsidRPr="00C64421">
        <w:rPr>
          <w:rFonts w:ascii="Verdana" w:hAnsi="Verdana"/>
        </w:rPr>
        <w:t>EICE, están</w:t>
      </w:r>
      <w:r w:rsidR="00C64421" w:rsidRPr="00C64421">
        <w:rPr>
          <w:rFonts w:ascii="Verdana" w:hAnsi="Verdana"/>
          <w:spacing w:val="-10"/>
        </w:rPr>
        <w:t xml:space="preserve"> </w:t>
      </w:r>
      <w:r w:rsidR="00C64421" w:rsidRPr="00C64421">
        <w:rPr>
          <w:rFonts w:ascii="Verdana" w:hAnsi="Verdana"/>
        </w:rPr>
        <w:t>obligadas</w:t>
      </w:r>
      <w:r w:rsidR="00C64421" w:rsidRPr="00C64421">
        <w:rPr>
          <w:rFonts w:ascii="Verdana" w:hAnsi="Verdana"/>
          <w:spacing w:val="-7"/>
        </w:rPr>
        <w:t xml:space="preserve"> </w:t>
      </w:r>
      <w:r w:rsidR="00C64421" w:rsidRPr="00C64421">
        <w:rPr>
          <w:rFonts w:ascii="Verdana" w:hAnsi="Verdana"/>
        </w:rPr>
        <w:t>a</w:t>
      </w:r>
      <w:r w:rsidR="00C64421" w:rsidRPr="00C64421">
        <w:rPr>
          <w:rFonts w:ascii="Verdana" w:hAnsi="Verdana"/>
          <w:spacing w:val="-14"/>
        </w:rPr>
        <w:t xml:space="preserve"> </w:t>
      </w:r>
      <w:r w:rsidR="00C64421" w:rsidRPr="00C64421">
        <w:rPr>
          <w:rFonts w:ascii="Verdana" w:hAnsi="Verdana"/>
        </w:rPr>
        <w:t>publicar</w:t>
      </w:r>
      <w:r w:rsidR="00C64421" w:rsidRPr="00C64421">
        <w:rPr>
          <w:rFonts w:ascii="Verdana" w:hAnsi="Verdana"/>
          <w:spacing w:val="-9"/>
        </w:rPr>
        <w:t xml:space="preserve"> </w:t>
      </w:r>
      <w:r w:rsidR="00C64421" w:rsidRPr="00C64421">
        <w:rPr>
          <w:rFonts w:ascii="Verdana" w:hAnsi="Verdana"/>
        </w:rPr>
        <w:t>toda</w:t>
      </w:r>
      <w:r w:rsidR="00C64421" w:rsidRPr="00C64421">
        <w:rPr>
          <w:rFonts w:ascii="Verdana" w:hAnsi="Verdana"/>
          <w:spacing w:val="-14"/>
        </w:rPr>
        <w:t xml:space="preserve"> </w:t>
      </w:r>
      <w:r w:rsidR="00C64421" w:rsidRPr="00C64421">
        <w:rPr>
          <w:rFonts w:ascii="Verdana" w:hAnsi="Verdana"/>
        </w:rPr>
        <w:t>su</w:t>
      </w:r>
      <w:r w:rsidR="00C64421" w:rsidRPr="00C64421">
        <w:rPr>
          <w:rFonts w:ascii="Verdana" w:hAnsi="Verdana"/>
          <w:spacing w:val="-11"/>
        </w:rPr>
        <w:t xml:space="preserve"> </w:t>
      </w:r>
      <w:r w:rsidR="00C64421" w:rsidRPr="00C64421">
        <w:rPr>
          <w:rFonts w:ascii="Verdana" w:hAnsi="Verdana"/>
        </w:rPr>
        <w:t>actividad</w:t>
      </w:r>
      <w:r w:rsidR="00C64421" w:rsidRPr="00C64421">
        <w:rPr>
          <w:rFonts w:ascii="Verdana" w:hAnsi="Verdana"/>
          <w:spacing w:val="-14"/>
        </w:rPr>
        <w:t xml:space="preserve"> </w:t>
      </w:r>
      <w:r w:rsidR="00C64421" w:rsidRPr="00C64421">
        <w:rPr>
          <w:rFonts w:ascii="Verdana" w:hAnsi="Verdana"/>
        </w:rPr>
        <w:t>contractual,</w:t>
      </w:r>
      <w:r w:rsidR="00C64421" w:rsidRPr="00C64421">
        <w:rPr>
          <w:rFonts w:ascii="Verdana" w:hAnsi="Verdana"/>
          <w:spacing w:val="40"/>
        </w:rPr>
        <w:t xml:space="preserve"> </w:t>
      </w:r>
      <w:r w:rsidR="00C64421" w:rsidRPr="00C64421">
        <w:rPr>
          <w:rFonts w:ascii="Verdana" w:hAnsi="Verdana"/>
        </w:rPr>
        <w:t>entendida</w:t>
      </w:r>
      <w:r w:rsidR="00C64421" w:rsidRPr="00C64421">
        <w:rPr>
          <w:rFonts w:ascii="Verdana" w:hAnsi="Verdana"/>
          <w:spacing w:val="-14"/>
        </w:rPr>
        <w:t xml:space="preserve"> </w:t>
      </w:r>
      <w:r w:rsidR="00C64421" w:rsidRPr="00C64421">
        <w:rPr>
          <w:rFonts w:ascii="Verdana" w:hAnsi="Verdana"/>
        </w:rPr>
        <w:t>esta</w:t>
      </w:r>
      <w:r w:rsidR="00C64421" w:rsidRPr="00C64421">
        <w:rPr>
          <w:rFonts w:ascii="Verdana" w:hAnsi="Verdana"/>
          <w:spacing w:val="-14"/>
        </w:rPr>
        <w:t xml:space="preserve"> </w:t>
      </w:r>
      <w:r w:rsidR="00C64421" w:rsidRPr="00C64421">
        <w:rPr>
          <w:rFonts w:ascii="Verdana" w:hAnsi="Verdana"/>
        </w:rPr>
        <w:t>como los documentos, contratos, actos e información generada por oferentes, contratista, contratante, supervisor o interventor, tanto en la etapa precontractual,</w:t>
      </w:r>
      <w:r w:rsidR="00C64421" w:rsidRPr="00C64421">
        <w:rPr>
          <w:rFonts w:ascii="Verdana" w:hAnsi="Verdana"/>
          <w:spacing w:val="-20"/>
        </w:rPr>
        <w:t xml:space="preserve"> </w:t>
      </w:r>
      <w:r w:rsidR="00C64421" w:rsidRPr="00C64421">
        <w:rPr>
          <w:rFonts w:ascii="Verdana" w:hAnsi="Verdana"/>
        </w:rPr>
        <w:t xml:space="preserve">como en la contractual y la </w:t>
      </w:r>
      <w:proofErr w:type="spellStart"/>
      <w:r w:rsidR="00C64421" w:rsidRPr="00C64421">
        <w:rPr>
          <w:rFonts w:ascii="Verdana" w:hAnsi="Verdana"/>
        </w:rPr>
        <w:t>postcontractual</w:t>
      </w:r>
      <w:proofErr w:type="spellEnd"/>
      <w:r w:rsidR="00C64421" w:rsidRPr="00C64421">
        <w:rPr>
          <w:rFonts w:ascii="Verdana" w:hAnsi="Verdana"/>
          <w:spacing w:val="-20"/>
        </w:rPr>
        <w:t xml:space="preserve"> </w:t>
      </w:r>
      <w:r w:rsidR="00C64421" w:rsidRPr="00C64421">
        <w:rPr>
          <w:rFonts w:ascii="Verdana" w:hAnsi="Verdana"/>
        </w:rPr>
        <w:t>. Lo anterior a la luz</w:t>
      </w:r>
      <w:r w:rsidR="00C64421" w:rsidRPr="00C64421">
        <w:rPr>
          <w:rFonts w:ascii="Verdana" w:hAnsi="Verdana"/>
          <w:spacing w:val="-8"/>
        </w:rPr>
        <w:t xml:space="preserve"> </w:t>
      </w:r>
      <w:r w:rsidR="00C64421" w:rsidRPr="00C64421">
        <w:rPr>
          <w:rFonts w:ascii="Verdana" w:hAnsi="Verdana"/>
        </w:rPr>
        <w:t>de</w:t>
      </w:r>
      <w:r w:rsidR="00C64421" w:rsidRPr="00C64421">
        <w:rPr>
          <w:rFonts w:ascii="Verdana" w:hAnsi="Verdana"/>
          <w:spacing w:val="-8"/>
        </w:rPr>
        <w:t xml:space="preserve"> </w:t>
      </w:r>
      <w:r w:rsidR="00C64421" w:rsidRPr="00C64421">
        <w:rPr>
          <w:rFonts w:ascii="Verdana" w:hAnsi="Verdana"/>
        </w:rPr>
        <w:t>lo</w:t>
      </w:r>
      <w:r w:rsidR="00C64421" w:rsidRPr="00C64421">
        <w:rPr>
          <w:rFonts w:ascii="Verdana" w:hAnsi="Verdana"/>
          <w:spacing w:val="-6"/>
        </w:rPr>
        <w:t xml:space="preserve"> </w:t>
      </w:r>
      <w:r w:rsidR="00C64421" w:rsidRPr="00C64421">
        <w:rPr>
          <w:rFonts w:ascii="Verdana" w:hAnsi="Verdana"/>
        </w:rPr>
        <w:t>contemplado</w:t>
      </w:r>
      <w:r w:rsidR="00C64421" w:rsidRPr="00C64421">
        <w:rPr>
          <w:rFonts w:ascii="Verdana" w:hAnsi="Verdana"/>
          <w:spacing w:val="-6"/>
        </w:rPr>
        <w:t xml:space="preserve"> </w:t>
      </w:r>
      <w:r w:rsidR="00C64421" w:rsidRPr="00C64421">
        <w:rPr>
          <w:rFonts w:ascii="Verdana" w:hAnsi="Verdana"/>
        </w:rPr>
        <w:t>en</w:t>
      </w:r>
      <w:r w:rsidR="00C64421" w:rsidRPr="00C64421">
        <w:rPr>
          <w:rFonts w:ascii="Verdana" w:hAnsi="Verdana"/>
          <w:spacing w:val="-7"/>
        </w:rPr>
        <w:t xml:space="preserve"> </w:t>
      </w:r>
      <w:r w:rsidR="00C64421" w:rsidRPr="00C64421">
        <w:rPr>
          <w:rFonts w:ascii="Verdana" w:hAnsi="Verdana"/>
        </w:rPr>
        <w:t>el artículo</w:t>
      </w:r>
      <w:r w:rsidR="00C64421" w:rsidRPr="00C64421">
        <w:rPr>
          <w:rFonts w:ascii="Verdana" w:hAnsi="Verdana"/>
          <w:spacing w:val="-3"/>
        </w:rPr>
        <w:t xml:space="preserve"> </w:t>
      </w:r>
      <w:r w:rsidR="00C64421" w:rsidRPr="00C64421">
        <w:rPr>
          <w:rFonts w:ascii="Verdana" w:hAnsi="Verdana"/>
        </w:rPr>
        <w:t>53</w:t>
      </w:r>
      <w:r w:rsidR="00C64421" w:rsidRPr="00C64421">
        <w:rPr>
          <w:rFonts w:ascii="Verdana" w:hAnsi="Verdana"/>
          <w:spacing w:val="-11"/>
        </w:rPr>
        <w:t xml:space="preserve"> </w:t>
      </w:r>
      <w:r w:rsidR="00C64421" w:rsidRPr="00C64421">
        <w:rPr>
          <w:rFonts w:ascii="Verdana" w:hAnsi="Verdana"/>
        </w:rPr>
        <w:t>de</w:t>
      </w:r>
      <w:r w:rsidR="00C64421" w:rsidRPr="00C64421">
        <w:rPr>
          <w:rFonts w:ascii="Verdana" w:hAnsi="Verdana"/>
          <w:spacing w:val="-8"/>
        </w:rPr>
        <w:t xml:space="preserve"> </w:t>
      </w:r>
      <w:r w:rsidR="00C64421" w:rsidRPr="00C64421">
        <w:rPr>
          <w:rFonts w:ascii="Verdana" w:hAnsi="Verdana"/>
        </w:rPr>
        <w:t>la</w:t>
      </w:r>
      <w:r w:rsidR="00C64421" w:rsidRPr="00C64421">
        <w:rPr>
          <w:rFonts w:ascii="Verdana" w:hAnsi="Verdana"/>
          <w:spacing w:val="-9"/>
        </w:rPr>
        <w:t xml:space="preserve"> </w:t>
      </w:r>
      <w:r w:rsidR="00C64421" w:rsidRPr="00C64421">
        <w:rPr>
          <w:rFonts w:ascii="Verdana" w:hAnsi="Verdana"/>
        </w:rPr>
        <w:t>Ley</w:t>
      </w:r>
      <w:r w:rsidR="00C64421" w:rsidRPr="00C64421">
        <w:rPr>
          <w:rFonts w:ascii="Verdana" w:hAnsi="Verdana"/>
          <w:spacing w:val="-4"/>
        </w:rPr>
        <w:t xml:space="preserve"> </w:t>
      </w:r>
      <w:r w:rsidR="00C64421" w:rsidRPr="00C64421">
        <w:rPr>
          <w:rFonts w:ascii="Verdana" w:hAnsi="Verdana"/>
        </w:rPr>
        <w:t>2195</w:t>
      </w:r>
      <w:r w:rsidR="00C64421" w:rsidRPr="00C64421">
        <w:rPr>
          <w:rFonts w:ascii="Verdana" w:hAnsi="Verdana"/>
          <w:spacing w:val="-7"/>
        </w:rPr>
        <w:t xml:space="preserve"> </w:t>
      </w:r>
      <w:r w:rsidR="00C64421" w:rsidRPr="00C64421">
        <w:rPr>
          <w:rFonts w:ascii="Verdana" w:hAnsi="Verdana"/>
        </w:rPr>
        <w:t>de</w:t>
      </w:r>
      <w:r w:rsidR="00C64421" w:rsidRPr="00C64421">
        <w:rPr>
          <w:rFonts w:ascii="Verdana" w:hAnsi="Verdana"/>
          <w:spacing w:val="-8"/>
        </w:rPr>
        <w:t xml:space="preserve"> </w:t>
      </w:r>
      <w:r w:rsidR="00C64421" w:rsidRPr="00C64421">
        <w:rPr>
          <w:rFonts w:ascii="Verdana" w:hAnsi="Verdana"/>
        </w:rPr>
        <w:t>2022,</w:t>
      </w:r>
      <w:r w:rsidR="00C64421" w:rsidRPr="00C64421">
        <w:rPr>
          <w:rFonts w:ascii="Verdana" w:hAnsi="Verdana"/>
          <w:spacing w:val="-7"/>
        </w:rPr>
        <w:t xml:space="preserve"> </w:t>
      </w:r>
      <w:r w:rsidR="00C64421" w:rsidRPr="00C64421">
        <w:rPr>
          <w:rFonts w:ascii="Verdana" w:hAnsi="Verdana"/>
        </w:rPr>
        <w:t>y</w:t>
      </w:r>
      <w:r w:rsidR="00C64421" w:rsidRPr="00C64421">
        <w:rPr>
          <w:rFonts w:ascii="Verdana" w:hAnsi="Verdana"/>
          <w:spacing w:val="-7"/>
        </w:rPr>
        <w:t xml:space="preserve"> </w:t>
      </w:r>
      <w:r w:rsidR="00C64421" w:rsidRPr="00C64421">
        <w:rPr>
          <w:rFonts w:ascii="Verdana" w:hAnsi="Verdana"/>
        </w:rPr>
        <w:t>a</w:t>
      </w:r>
      <w:r w:rsidR="00C64421" w:rsidRPr="00C64421">
        <w:rPr>
          <w:rFonts w:ascii="Verdana" w:hAnsi="Verdana"/>
          <w:spacing w:val="-9"/>
        </w:rPr>
        <w:t xml:space="preserve"> </w:t>
      </w:r>
      <w:r w:rsidR="00C64421" w:rsidRPr="00C64421">
        <w:rPr>
          <w:rFonts w:ascii="Verdana" w:hAnsi="Verdana"/>
        </w:rPr>
        <w:t>la</w:t>
      </w:r>
      <w:r w:rsidR="00C64421" w:rsidRPr="00C64421">
        <w:rPr>
          <w:rFonts w:ascii="Verdana" w:hAnsi="Verdana"/>
          <w:spacing w:val="-13"/>
        </w:rPr>
        <w:t xml:space="preserve"> </w:t>
      </w:r>
      <w:r w:rsidR="00C64421" w:rsidRPr="00C64421">
        <w:rPr>
          <w:rFonts w:ascii="Verdana" w:hAnsi="Verdana"/>
        </w:rPr>
        <w:t>Circular Única Externa, así como la Circular 002 de 2024, expedidas por esta</w:t>
      </w:r>
      <w:r w:rsidR="00C64421" w:rsidRPr="00C64421">
        <w:rPr>
          <w:rFonts w:ascii="Verdana" w:hAnsi="Verdana"/>
          <w:spacing w:val="-1"/>
        </w:rPr>
        <w:t xml:space="preserve"> </w:t>
      </w:r>
      <w:r w:rsidR="00C64421" w:rsidRPr="00C64421">
        <w:rPr>
          <w:rFonts w:ascii="Verdana" w:hAnsi="Verdana"/>
        </w:rPr>
        <w:t xml:space="preserve">Agencia Publica de Contratación Pública – Colombia Compra Eficiente, donde se </w:t>
      </w:r>
      <w:r w:rsidR="00C64421" w:rsidRPr="00C64421">
        <w:rPr>
          <w:rFonts w:ascii="Verdana" w:hAnsi="Verdana"/>
          <w:spacing w:val="-2"/>
        </w:rPr>
        <w:t>establece:</w:t>
      </w:r>
    </w:p>
    <w:p w14:paraId="1CD74C55" w14:textId="6C82FE2C" w:rsidR="00C64421" w:rsidRPr="00C64421" w:rsidRDefault="00C64421" w:rsidP="00C64421">
      <w:pPr>
        <w:pStyle w:val="Textoindependiente"/>
        <w:ind w:left="815" w:right="810"/>
        <w:jc w:val="both"/>
        <w:rPr>
          <w:rFonts w:ascii="Verdana" w:hAnsi="Verdana"/>
          <w:spacing w:val="-2"/>
        </w:rPr>
      </w:pPr>
      <w:r w:rsidRPr="00C64421">
        <w:rPr>
          <w:rFonts w:ascii="Verdana" w:hAnsi="Verdana"/>
        </w:rPr>
        <w:t>El</w:t>
      </w:r>
      <w:r w:rsidRPr="00C64421">
        <w:rPr>
          <w:rFonts w:ascii="Verdana" w:hAnsi="Verdana"/>
          <w:spacing w:val="-8"/>
        </w:rPr>
        <w:t xml:space="preserve"> </w:t>
      </w:r>
      <w:r w:rsidRPr="00C64421">
        <w:rPr>
          <w:rFonts w:ascii="Verdana" w:hAnsi="Verdana"/>
        </w:rPr>
        <w:t>artículo</w:t>
      </w:r>
      <w:r w:rsidRPr="00C64421">
        <w:rPr>
          <w:rFonts w:ascii="Verdana" w:hAnsi="Verdana"/>
          <w:spacing w:val="-7"/>
        </w:rPr>
        <w:t xml:space="preserve"> </w:t>
      </w:r>
      <w:r w:rsidRPr="00C64421">
        <w:rPr>
          <w:rFonts w:ascii="Verdana" w:hAnsi="Verdana"/>
        </w:rPr>
        <w:t>53</w:t>
      </w:r>
      <w:r w:rsidRPr="00C64421">
        <w:rPr>
          <w:rFonts w:ascii="Verdana" w:hAnsi="Verdana"/>
          <w:spacing w:val="-12"/>
        </w:rPr>
        <w:t xml:space="preserve"> </w:t>
      </w:r>
      <w:r w:rsidRPr="00C64421">
        <w:rPr>
          <w:rFonts w:ascii="Verdana" w:hAnsi="Verdana"/>
        </w:rPr>
        <w:t>de</w:t>
      </w:r>
      <w:r w:rsidRPr="00C64421">
        <w:rPr>
          <w:rFonts w:ascii="Verdana" w:hAnsi="Verdana"/>
          <w:spacing w:val="-8"/>
        </w:rPr>
        <w:t xml:space="preserve"> </w:t>
      </w:r>
      <w:r w:rsidRPr="00C64421">
        <w:rPr>
          <w:rFonts w:ascii="Verdana" w:hAnsi="Verdana"/>
        </w:rPr>
        <w:t>la</w:t>
      </w:r>
      <w:r w:rsidRPr="00C64421">
        <w:rPr>
          <w:rFonts w:ascii="Verdana" w:hAnsi="Verdana"/>
          <w:spacing w:val="-9"/>
        </w:rPr>
        <w:t xml:space="preserve"> </w:t>
      </w:r>
      <w:r w:rsidRPr="00C64421">
        <w:rPr>
          <w:rFonts w:ascii="Verdana" w:hAnsi="Verdana"/>
        </w:rPr>
        <w:t>citada</w:t>
      </w:r>
      <w:r w:rsidRPr="00C64421">
        <w:rPr>
          <w:rFonts w:ascii="Verdana" w:hAnsi="Verdana"/>
          <w:spacing w:val="-9"/>
        </w:rPr>
        <w:t xml:space="preserve"> </w:t>
      </w:r>
      <w:r w:rsidRPr="00C64421">
        <w:rPr>
          <w:rFonts w:ascii="Verdana" w:hAnsi="Verdana"/>
        </w:rPr>
        <w:t>Ley,</w:t>
      </w:r>
      <w:r w:rsidRPr="00C64421">
        <w:rPr>
          <w:rFonts w:ascii="Verdana" w:hAnsi="Verdana"/>
          <w:spacing w:val="-8"/>
        </w:rPr>
        <w:t xml:space="preserve"> </w:t>
      </w:r>
      <w:r w:rsidRPr="00C64421">
        <w:rPr>
          <w:rFonts w:ascii="Verdana" w:hAnsi="Verdana"/>
        </w:rPr>
        <w:t>obligó</w:t>
      </w:r>
      <w:r w:rsidRPr="00C64421">
        <w:rPr>
          <w:rFonts w:ascii="Verdana" w:hAnsi="Verdana"/>
          <w:spacing w:val="-7"/>
        </w:rPr>
        <w:t xml:space="preserve"> </w:t>
      </w:r>
      <w:r w:rsidRPr="00C64421">
        <w:rPr>
          <w:rFonts w:ascii="Verdana" w:hAnsi="Verdana"/>
        </w:rPr>
        <w:t>a</w:t>
      </w:r>
      <w:r w:rsidRPr="00C64421">
        <w:rPr>
          <w:rFonts w:ascii="Verdana" w:hAnsi="Verdana"/>
          <w:spacing w:val="-9"/>
        </w:rPr>
        <w:t xml:space="preserve"> </w:t>
      </w:r>
      <w:r w:rsidRPr="00C64421">
        <w:rPr>
          <w:rFonts w:ascii="Verdana" w:hAnsi="Verdana"/>
        </w:rPr>
        <w:t>las</w:t>
      </w:r>
      <w:r w:rsidRPr="00C64421">
        <w:rPr>
          <w:rFonts w:ascii="Verdana" w:hAnsi="Verdana"/>
          <w:spacing w:val="-12"/>
        </w:rPr>
        <w:t xml:space="preserve"> </w:t>
      </w:r>
      <w:r w:rsidRPr="00C64421">
        <w:rPr>
          <w:rFonts w:ascii="Verdana" w:hAnsi="Verdana"/>
        </w:rPr>
        <w:t>Entidades</w:t>
      </w:r>
      <w:r w:rsidRPr="00C64421">
        <w:rPr>
          <w:rFonts w:ascii="Verdana" w:hAnsi="Verdana"/>
          <w:spacing w:val="-8"/>
        </w:rPr>
        <w:t xml:space="preserve"> </w:t>
      </w:r>
      <w:r w:rsidRPr="00C64421">
        <w:rPr>
          <w:rFonts w:ascii="Verdana" w:hAnsi="Verdana"/>
        </w:rPr>
        <w:t>Estatales</w:t>
      </w:r>
      <w:r w:rsidRPr="00C64421">
        <w:rPr>
          <w:rFonts w:ascii="Verdana" w:hAnsi="Verdana"/>
          <w:spacing w:val="-8"/>
        </w:rPr>
        <w:t xml:space="preserve"> </w:t>
      </w:r>
      <w:r w:rsidRPr="00C64421">
        <w:rPr>
          <w:rFonts w:ascii="Verdana" w:hAnsi="Verdana"/>
        </w:rPr>
        <w:t>de régimen contractual excepcional al del Estatuto General de Contratación de la Administración Pública a publicar los documentos</w:t>
      </w:r>
      <w:r w:rsidRPr="00C64421">
        <w:rPr>
          <w:rFonts w:ascii="Verdana" w:hAnsi="Verdana"/>
          <w:spacing w:val="-11"/>
        </w:rPr>
        <w:t xml:space="preserve"> </w:t>
      </w:r>
      <w:r w:rsidRPr="00C64421">
        <w:rPr>
          <w:rFonts w:ascii="Verdana" w:hAnsi="Verdana"/>
        </w:rPr>
        <w:t>relacionados</w:t>
      </w:r>
      <w:r w:rsidRPr="00C64421">
        <w:rPr>
          <w:rFonts w:ascii="Verdana" w:hAnsi="Verdana"/>
          <w:spacing w:val="-6"/>
        </w:rPr>
        <w:t xml:space="preserve"> </w:t>
      </w:r>
      <w:r w:rsidRPr="00C64421">
        <w:rPr>
          <w:rFonts w:ascii="Verdana" w:hAnsi="Verdana"/>
        </w:rPr>
        <w:t>con</w:t>
      </w:r>
      <w:r w:rsidRPr="00C64421">
        <w:rPr>
          <w:rFonts w:ascii="Verdana" w:hAnsi="Verdana"/>
          <w:spacing w:val="-11"/>
        </w:rPr>
        <w:t xml:space="preserve"> </w:t>
      </w:r>
      <w:r w:rsidRPr="00C64421">
        <w:rPr>
          <w:rFonts w:ascii="Verdana" w:hAnsi="Verdana"/>
        </w:rPr>
        <w:t>su</w:t>
      </w:r>
      <w:r w:rsidRPr="00C64421">
        <w:rPr>
          <w:rFonts w:ascii="Verdana" w:hAnsi="Verdana"/>
          <w:spacing w:val="-11"/>
        </w:rPr>
        <w:t xml:space="preserve"> </w:t>
      </w:r>
      <w:r w:rsidRPr="00C64421">
        <w:rPr>
          <w:rFonts w:ascii="Verdana" w:hAnsi="Verdana"/>
        </w:rPr>
        <w:t>actividad</w:t>
      </w:r>
      <w:r w:rsidRPr="00C64421">
        <w:rPr>
          <w:rFonts w:ascii="Verdana" w:hAnsi="Verdana"/>
          <w:spacing w:val="-8"/>
        </w:rPr>
        <w:t xml:space="preserve"> </w:t>
      </w:r>
      <w:r w:rsidRPr="00C64421">
        <w:rPr>
          <w:rFonts w:ascii="Verdana" w:hAnsi="Verdana"/>
        </w:rPr>
        <w:t>contractual –</w:t>
      </w:r>
      <w:r w:rsidRPr="00C64421">
        <w:rPr>
          <w:rFonts w:ascii="Verdana" w:hAnsi="Verdana"/>
          <w:spacing w:val="-6"/>
        </w:rPr>
        <w:t xml:space="preserve"> </w:t>
      </w:r>
      <w:r w:rsidRPr="00C64421">
        <w:rPr>
          <w:rFonts w:ascii="Verdana" w:hAnsi="Verdana"/>
        </w:rPr>
        <w:t>es</w:t>
      </w:r>
      <w:r w:rsidRPr="00C64421">
        <w:rPr>
          <w:rFonts w:ascii="Verdana" w:hAnsi="Verdana"/>
          <w:spacing w:val="-11"/>
        </w:rPr>
        <w:t xml:space="preserve"> </w:t>
      </w:r>
      <w:r w:rsidRPr="00C64421">
        <w:rPr>
          <w:rFonts w:ascii="Verdana" w:hAnsi="Verdana"/>
        </w:rPr>
        <w:t xml:space="preserve">decir, </w:t>
      </w:r>
      <w:r w:rsidRPr="00C64421">
        <w:rPr>
          <w:rFonts w:ascii="Verdana" w:hAnsi="Verdana"/>
        </w:rPr>
        <w:lastRenderedPageBreak/>
        <w:t>los expedidos tanto en la etapa precontractual, como en la contractual</w:t>
      </w:r>
      <w:r w:rsidRPr="00C64421">
        <w:rPr>
          <w:rFonts w:ascii="Verdana" w:hAnsi="Verdana"/>
          <w:spacing w:val="-3"/>
        </w:rPr>
        <w:t xml:space="preserve"> </w:t>
      </w:r>
      <w:r w:rsidRPr="00C64421">
        <w:rPr>
          <w:rFonts w:ascii="Verdana" w:hAnsi="Verdana"/>
        </w:rPr>
        <w:t>y</w:t>
      </w:r>
      <w:r w:rsidRPr="00C64421">
        <w:rPr>
          <w:rFonts w:ascii="Verdana" w:hAnsi="Verdana"/>
          <w:spacing w:val="-4"/>
        </w:rPr>
        <w:t xml:space="preserve"> </w:t>
      </w:r>
      <w:r w:rsidRPr="00C64421">
        <w:rPr>
          <w:rFonts w:ascii="Verdana" w:hAnsi="Verdana"/>
        </w:rPr>
        <w:t>la</w:t>
      </w:r>
      <w:r w:rsidRPr="00C64421">
        <w:rPr>
          <w:rFonts w:ascii="Verdana" w:hAnsi="Verdana"/>
          <w:spacing w:val="-5"/>
        </w:rPr>
        <w:t xml:space="preserve"> </w:t>
      </w:r>
      <w:proofErr w:type="spellStart"/>
      <w:r w:rsidRPr="00C64421">
        <w:rPr>
          <w:rFonts w:ascii="Verdana" w:hAnsi="Verdana"/>
        </w:rPr>
        <w:t>postcontractual</w:t>
      </w:r>
      <w:proofErr w:type="spellEnd"/>
      <w:r w:rsidRPr="00C64421">
        <w:rPr>
          <w:rFonts w:ascii="Verdana" w:hAnsi="Verdana"/>
          <w:spacing w:val="8"/>
        </w:rPr>
        <w:t xml:space="preserve"> </w:t>
      </w:r>
      <w:r w:rsidRPr="00C64421">
        <w:rPr>
          <w:rFonts w:ascii="Verdana" w:hAnsi="Verdana"/>
        </w:rPr>
        <w:t>–</w:t>
      </w:r>
      <w:r w:rsidRPr="00C64421">
        <w:rPr>
          <w:rFonts w:ascii="Verdana" w:hAnsi="Verdana"/>
          <w:spacing w:val="-3"/>
        </w:rPr>
        <w:t xml:space="preserve"> </w:t>
      </w:r>
      <w:r w:rsidRPr="00C64421">
        <w:rPr>
          <w:rFonts w:ascii="Verdana" w:hAnsi="Verdana"/>
        </w:rPr>
        <w:t>en</w:t>
      </w:r>
      <w:r w:rsidRPr="00C64421">
        <w:rPr>
          <w:rFonts w:ascii="Verdana" w:hAnsi="Verdana"/>
          <w:spacing w:val="-3"/>
        </w:rPr>
        <w:t xml:space="preserve"> </w:t>
      </w:r>
      <w:r w:rsidRPr="00C64421">
        <w:rPr>
          <w:rFonts w:ascii="Verdana" w:hAnsi="Verdana"/>
        </w:rPr>
        <w:t>el</w:t>
      </w:r>
      <w:r w:rsidRPr="00C64421">
        <w:rPr>
          <w:rFonts w:ascii="Verdana" w:hAnsi="Verdana"/>
          <w:spacing w:val="-2"/>
        </w:rPr>
        <w:t xml:space="preserve"> </w:t>
      </w:r>
      <w:r w:rsidRPr="00C64421">
        <w:rPr>
          <w:rFonts w:ascii="Verdana" w:hAnsi="Verdana"/>
        </w:rPr>
        <w:t>SECOP</w:t>
      </w:r>
      <w:r w:rsidRPr="00C64421">
        <w:rPr>
          <w:rFonts w:ascii="Verdana" w:hAnsi="Verdana"/>
          <w:spacing w:val="-1"/>
        </w:rPr>
        <w:t xml:space="preserve"> </w:t>
      </w:r>
      <w:r w:rsidRPr="00C64421">
        <w:rPr>
          <w:rFonts w:ascii="Verdana" w:hAnsi="Verdana"/>
        </w:rPr>
        <w:t>II</w:t>
      </w:r>
      <w:r w:rsidRPr="00C64421">
        <w:rPr>
          <w:rFonts w:ascii="Verdana" w:hAnsi="Verdana"/>
          <w:spacing w:val="-1"/>
        </w:rPr>
        <w:t xml:space="preserve"> </w:t>
      </w:r>
      <w:r w:rsidRPr="00C64421">
        <w:rPr>
          <w:rFonts w:ascii="Verdana" w:hAnsi="Verdana"/>
        </w:rPr>
        <w:t>o</w:t>
      </w:r>
      <w:r w:rsidRPr="00C64421">
        <w:rPr>
          <w:rFonts w:ascii="Verdana" w:hAnsi="Verdana"/>
          <w:spacing w:val="-2"/>
        </w:rPr>
        <w:t xml:space="preserve"> </w:t>
      </w:r>
      <w:r w:rsidRPr="00C64421">
        <w:rPr>
          <w:rFonts w:ascii="Verdana" w:hAnsi="Verdana"/>
        </w:rPr>
        <w:t>la</w:t>
      </w:r>
      <w:r w:rsidRPr="00C64421">
        <w:rPr>
          <w:rFonts w:ascii="Verdana" w:hAnsi="Verdana"/>
          <w:spacing w:val="-5"/>
        </w:rPr>
        <w:t xml:space="preserve"> </w:t>
      </w:r>
      <w:r w:rsidRPr="00C64421">
        <w:rPr>
          <w:rFonts w:ascii="Verdana" w:hAnsi="Verdana"/>
          <w:spacing w:val="-2"/>
        </w:rPr>
        <w:t xml:space="preserve">plataforma </w:t>
      </w:r>
      <w:r w:rsidRPr="00C64421">
        <w:rPr>
          <w:rFonts w:ascii="Verdana" w:hAnsi="Verdana"/>
        </w:rPr>
        <w:t>transaccional</w:t>
      </w:r>
      <w:r w:rsidRPr="00C64421">
        <w:rPr>
          <w:rFonts w:ascii="Verdana" w:hAnsi="Verdana"/>
          <w:spacing w:val="40"/>
        </w:rPr>
        <w:t xml:space="preserve"> </w:t>
      </w:r>
      <w:r w:rsidRPr="00C64421">
        <w:rPr>
          <w:rFonts w:ascii="Verdana" w:hAnsi="Verdana"/>
        </w:rPr>
        <w:t>que</w:t>
      </w:r>
      <w:r w:rsidRPr="00C64421">
        <w:rPr>
          <w:rFonts w:ascii="Verdana" w:hAnsi="Verdana"/>
          <w:spacing w:val="40"/>
        </w:rPr>
        <w:t xml:space="preserve"> </w:t>
      </w:r>
      <w:r w:rsidRPr="00C64421">
        <w:rPr>
          <w:rFonts w:ascii="Verdana" w:hAnsi="Verdana"/>
        </w:rPr>
        <w:t>haga</w:t>
      </w:r>
      <w:r w:rsidRPr="00C64421">
        <w:rPr>
          <w:rFonts w:ascii="Verdana" w:hAnsi="Verdana"/>
          <w:spacing w:val="40"/>
        </w:rPr>
        <w:t xml:space="preserve"> </w:t>
      </w:r>
      <w:r w:rsidRPr="00C64421">
        <w:rPr>
          <w:rFonts w:ascii="Verdana" w:hAnsi="Verdana"/>
        </w:rPr>
        <w:t>sus</w:t>
      </w:r>
      <w:r w:rsidRPr="00C64421">
        <w:rPr>
          <w:rFonts w:ascii="Verdana" w:hAnsi="Verdana"/>
          <w:spacing w:val="40"/>
        </w:rPr>
        <w:t xml:space="preserve"> </w:t>
      </w:r>
      <w:r w:rsidRPr="00C64421">
        <w:rPr>
          <w:rFonts w:ascii="Verdana" w:hAnsi="Verdana"/>
        </w:rPr>
        <w:t>veces,</w:t>
      </w:r>
      <w:r w:rsidRPr="00C64421">
        <w:rPr>
          <w:rFonts w:ascii="Verdana" w:hAnsi="Verdana"/>
          <w:spacing w:val="40"/>
        </w:rPr>
        <w:t xml:space="preserve"> </w:t>
      </w:r>
      <w:r w:rsidRPr="00C64421">
        <w:rPr>
          <w:rFonts w:ascii="Verdana" w:hAnsi="Verdana"/>
        </w:rPr>
        <w:t>salvo</w:t>
      </w:r>
      <w:r w:rsidRPr="00C64421">
        <w:rPr>
          <w:rFonts w:ascii="Verdana" w:hAnsi="Verdana"/>
          <w:spacing w:val="40"/>
        </w:rPr>
        <w:t xml:space="preserve"> </w:t>
      </w:r>
      <w:r w:rsidRPr="00C64421">
        <w:rPr>
          <w:rFonts w:ascii="Verdana" w:hAnsi="Verdana"/>
        </w:rPr>
        <w:t>información</w:t>
      </w:r>
      <w:r w:rsidRPr="00C64421">
        <w:rPr>
          <w:rFonts w:ascii="Verdana" w:hAnsi="Verdana"/>
          <w:spacing w:val="40"/>
        </w:rPr>
        <w:t xml:space="preserve"> </w:t>
      </w:r>
      <w:r w:rsidRPr="00C64421">
        <w:rPr>
          <w:rFonts w:ascii="Verdana" w:hAnsi="Verdana"/>
        </w:rPr>
        <w:t>sujeta</w:t>
      </w:r>
      <w:r w:rsidRPr="00C64421">
        <w:rPr>
          <w:rFonts w:ascii="Verdana" w:hAnsi="Verdana"/>
          <w:spacing w:val="40"/>
        </w:rPr>
        <w:t xml:space="preserve"> </w:t>
      </w:r>
      <w:r w:rsidRPr="00C64421">
        <w:rPr>
          <w:rFonts w:ascii="Verdana" w:hAnsi="Verdana"/>
        </w:rPr>
        <w:t xml:space="preserve">a </w:t>
      </w:r>
      <w:r w:rsidRPr="00C64421">
        <w:rPr>
          <w:rFonts w:ascii="Verdana" w:hAnsi="Verdana"/>
          <w:spacing w:val="-2"/>
        </w:rPr>
        <w:t>reserva.</w:t>
      </w:r>
    </w:p>
    <w:p w14:paraId="0A980FF4" w14:textId="77777777" w:rsidR="00C64421" w:rsidRPr="00C64421" w:rsidRDefault="00C64421" w:rsidP="00C64421">
      <w:pPr>
        <w:pStyle w:val="Textoindependiente"/>
        <w:spacing w:before="1" w:line="276" w:lineRule="auto"/>
        <w:ind w:left="375" w:right="369" w:firstLine="470"/>
        <w:jc w:val="both"/>
        <w:rPr>
          <w:rFonts w:ascii="Verdana" w:hAnsi="Verdana"/>
        </w:rPr>
      </w:pPr>
      <w:r w:rsidRPr="00C64421">
        <w:rPr>
          <w:rFonts w:ascii="Verdana" w:hAnsi="Verdana"/>
        </w:rPr>
        <w:t>Este deber de publicación, no desconoce</w:t>
      </w:r>
      <w:r w:rsidRPr="00C64421">
        <w:rPr>
          <w:rFonts w:ascii="Verdana" w:hAnsi="Verdana"/>
          <w:spacing w:val="-2"/>
        </w:rPr>
        <w:t xml:space="preserve"> </w:t>
      </w:r>
      <w:r w:rsidRPr="00C64421">
        <w:rPr>
          <w:rFonts w:ascii="Verdana" w:hAnsi="Verdana"/>
        </w:rPr>
        <w:t>la naturaleza y autonomía de la EICE, en el desarrollo de su actividad propia, industrial o comercial o de gestión</w:t>
      </w:r>
      <w:r w:rsidRPr="00C64421">
        <w:rPr>
          <w:rFonts w:ascii="Verdana" w:hAnsi="Verdana"/>
          <w:spacing w:val="-8"/>
        </w:rPr>
        <w:t xml:space="preserve"> </w:t>
      </w:r>
      <w:r w:rsidRPr="00C64421">
        <w:rPr>
          <w:rFonts w:ascii="Verdana" w:hAnsi="Verdana"/>
        </w:rPr>
        <w:t>económica,</w:t>
      </w:r>
      <w:r w:rsidRPr="00C64421">
        <w:rPr>
          <w:rFonts w:ascii="Verdana" w:hAnsi="Verdana"/>
          <w:spacing w:val="-8"/>
        </w:rPr>
        <w:t xml:space="preserve"> </w:t>
      </w:r>
      <w:r w:rsidRPr="00C64421">
        <w:rPr>
          <w:rFonts w:ascii="Verdana" w:hAnsi="Verdana"/>
        </w:rPr>
        <w:t>que</w:t>
      </w:r>
      <w:r w:rsidRPr="00C64421">
        <w:rPr>
          <w:rFonts w:ascii="Verdana" w:hAnsi="Verdana"/>
          <w:spacing w:val="-13"/>
        </w:rPr>
        <w:t xml:space="preserve"> </w:t>
      </w:r>
      <w:r w:rsidRPr="00C64421">
        <w:rPr>
          <w:rFonts w:ascii="Verdana" w:hAnsi="Verdana"/>
        </w:rPr>
        <w:t>según</w:t>
      </w:r>
      <w:r w:rsidRPr="00C64421">
        <w:rPr>
          <w:rFonts w:ascii="Verdana" w:hAnsi="Verdana"/>
          <w:spacing w:val="40"/>
        </w:rPr>
        <w:t xml:space="preserve"> </w:t>
      </w:r>
      <w:r w:rsidRPr="00C64421">
        <w:rPr>
          <w:rFonts w:ascii="Verdana" w:hAnsi="Verdana"/>
        </w:rPr>
        <w:t>lo</w:t>
      </w:r>
      <w:r w:rsidRPr="00C64421">
        <w:rPr>
          <w:rFonts w:ascii="Verdana" w:hAnsi="Verdana"/>
          <w:spacing w:val="-12"/>
        </w:rPr>
        <w:t xml:space="preserve"> </w:t>
      </w:r>
      <w:r w:rsidRPr="00C64421">
        <w:rPr>
          <w:rFonts w:ascii="Verdana" w:hAnsi="Verdana"/>
        </w:rPr>
        <w:t>enunciado</w:t>
      </w:r>
      <w:r w:rsidRPr="00C64421">
        <w:rPr>
          <w:rFonts w:ascii="Verdana" w:hAnsi="Verdana"/>
          <w:spacing w:val="-7"/>
        </w:rPr>
        <w:t xml:space="preserve"> </w:t>
      </w:r>
      <w:r w:rsidRPr="00C64421">
        <w:rPr>
          <w:rFonts w:ascii="Verdana" w:hAnsi="Verdana"/>
        </w:rPr>
        <w:t>en</w:t>
      </w:r>
      <w:r w:rsidRPr="00C64421">
        <w:rPr>
          <w:rFonts w:ascii="Verdana" w:hAnsi="Verdana"/>
          <w:spacing w:val="-8"/>
        </w:rPr>
        <w:t xml:space="preserve"> </w:t>
      </w:r>
      <w:r w:rsidRPr="00C64421">
        <w:rPr>
          <w:rFonts w:ascii="Verdana" w:hAnsi="Verdana"/>
        </w:rPr>
        <w:t>el</w:t>
      </w:r>
      <w:r w:rsidRPr="00C64421">
        <w:rPr>
          <w:rFonts w:ascii="Verdana" w:hAnsi="Verdana"/>
          <w:spacing w:val="-2"/>
        </w:rPr>
        <w:t xml:space="preserve"> </w:t>
      </w:r>
      <w:r w:rsidRPr="00C64421">
        <w:rPr>
          <w:rFonts w:ascii="Verdana" w:hAnsi="Verdana"/>
        </w:rPr>
        <w:t>artículo</w:t>
      </w:r>
      <w:r w:rsidRPr="00C64421">
        <w:rPr>
          <w:rFonts w:ascii="Verdana" w:hAnsi="Verdana"/>
          <w:spacing w:val="-12"/>
        </w:rPr>
        <w:t xml:space="preserve"> </w:t>
      </w:r>
      <w:r w:rsidRPr="00C64421">
        <w:rPr>
          <w:rFonts w:ascii="Verdana" w:hAnsi="Verdana"/>
        </w:rPr>
        <w:t>93</w:t>
      </w:r>
      <w:r w:rsidRPr="00C64421">
        <w:rPr>
          <w:rFonts w:ascii="Verdana" w:hAnsi="Verdana"/>
          <w:spacing w:val="-12"/>
        </w:rPr>
        <w:t xml:space="preserve"> </w:t>
      </w:r>
      <w:r w:rsidRPr="00C64421">
        <w:rPr>
          <w:rFonts w:ascii="Verdana" w:hAnsi="Verdana"/>
        </w:rPr>
        <w:t>de</w:t>
      </w:r>
      <w:r w:rsidRPr="00C64421">
        <w:rPr>
          <w:rFonts w:ascii="Verdana" w:hAnsi="Verdana"/>
          <w:spacing w:val="-9"/>
        </w:rPr>
        <w:t xml:space="preserve"> </w:t>
      </w:r>
      <w:r w:rsidRPr="00C64421">
        <w:rPr>
          <w:rFonts w:ascii="Verdana" w:hAnsi="Verdana"/>
        </w:rPr>
        <w:t>la</w:t>
      </w:r>
      <w:r w:rsidRPr="00C64421">
        <w:rPr>
          <w:rFonts w:ascii="Verdana" w:hAnsi="Verdana"/>
          <w:spacing w:val="-10"/>
        </w:rPr>
        <w:t xml:space="preserve"> </w:t>
      </w:r>
      <w:r w:rsidRPr="00C64421">
        <w:rPr>
          <w:rFonts w:ascii="Verdana" w:hAnsi="Verdana"/>
        </w:rPr>
        <w:t>Ley</w:t>
      </w:r>
      <w:r w:rsidRPr="00C64421">
        <w:rPr>
          <w:rFonts w:ascii="Verdana" w:hAnsi="Verdana"/>
          <w:spacing w:val="-12"/>
        </w:rPr>
        <w:t xml:space="preserve"> </w:t>
      </w:r>
      <w:r w:rsidRPr="00C64421">
        <w:rPr>
          <w:rFonts w:ascii="Verdana" w:hAnsi="Verdana"/>
        </w:rPr>
        <w:t>489</w:t>
      </w:r>
      <w:r w:rsidRPr="00C64421">
        <w:rPr>
          <w:rFonts w:ascii="Verdana" w:hAnsi="Verdana"/>
          <w:spacing w:val="-8"/>
        </w:rPr>
        <w:t xml:space="preserve"> </w:t>
      </w:r>
      <w:r w:rsidRPr="00C64421">
        <w:rPr>
          <w:rFonts w:ascii="Verdana" w:hAnsi="Verdana"/>
        </w:rPr>
        <w:t>de 1998, las faculta para que la actividad que corresponde al giro ordinario de sus negocios la sujeten a las disposiciones del Derecho Privado.</w:t>
      </w:r>
    </w:p>
    <w:p w14:paraId="0A39F9F2" w14:textId="6C21FCCB" w:rsidR="00871B59" w:rsidRPr="00C64421" w:rsidRDefault="00C64421" w:rsidP="00C64421">
      <w:pPr>
        <w:pStyle w:val="Textoindependiente"/>
        <w:spacing w:before="118" w:line="276" w:lineRule="auto"/>
        <w:ind w:left="375" w:right="373" w:firstLine="710"/>
        <w:jc w:val="both"/>
        <w:rPr>
          <w:rFonts w:ascii="Verdana" w:hAnsi="Verdana"/>
        </w:rPr>
      </w:pPr>
      <w:r w:rsidRPr="00C64421">
        <w:rPr>
          <w:rFonts w:ascii="Verdana" w:hAnsi="Verdana"/>
        </w:rPr>
        <w:t>En este sentido se concluye que, independientemente del régimen aplicable,</w:t>
      </w:r>
      <w:r w:rsidRPr="00C64421">
        <w:rPr>
          <w:rFonts w:ascii="Verdana" w:hAnsi="Verdana"/>
          <w:spacing w:val="-8"/>
        </w:rPr>
        <w:t xml:space="preserve"> </w:t>
      </w:r>
      <w:r w:rsidRPr="00C64421">
        <w:rPr>
          <w:rFonts w:ascii="Verdana" w:hAnsi="Verdana"/>
        </w:rPr>
        <w:t>los</w:t>
      </w:r>
      <w:r w:rsidRPr="00C64421">
        <w:rPr>
          <w:rFonts w:ascii="Verdana" w:hAnsi="Verdana"/>
          <w:spacing w:val="-8"/>
        </w:rPr>
        <w:t xml:space="preserve"> </w:t>
      </w:r>
      <w:r w:rsidRPr="00C64421">
        <w:rPr>
          <w:rFonts w:ascii="Verdana" w:hAnsi="Verdana"/>
        </w:rPr>
        <w:t>contratos</w:t>
      </w:r>
      <w:r w:rsidRPr="00C64421">
        <w:rPr>
          <w:rFonts w:ascii="Verdana" w:hAnsi="Verdana"/>
          <w:spacing w:val="-9"/>
        </w:rPr>
        <w:t xml:space="preserve"> </w:t>
      </w:r>
      <w:r w:rsidRPr="00C64421">
        <w:rPr>
          <w:rFonts w:ascii="Verdana" w:hAnsi="Verdana"/>
        </w:rPr>
        <w:t>de</w:t>
      </w:r>
      <w:r w:rsidRPr="00C64421">
        <w:rPr>
          <w:rFonts w:ascii="Verdana" w:hAnsi="Verdana"/>
          <w:spacing w:val="-11"/>
        </w:rPr>
        <w:t xml:space="preserve"> </w:t>
      </w:r>
      <w:r w:rsidRPr="00C64421">
        <w:rPr>
          <w:rFonts w:ascii="Verdana" w:hAnsi="Verdana"/>
        </w:rPr>
        <w:t>arrendamiento</w:t>
      </w:r>
      <w:r w:rsidRPr="00C64421">
        <w:rPr>
          <w:rFonts w:ascii="Verdana" w:hAnsi="Verdana"/>
          <w:spacing w:val="-4"/>
        </w:rPr>
        <w:t xml:space="preserve"> </w:t>
      </w:r>
      <w:r w:rsidRPr="00C64421">
        <w:rPr>
          <w:rFonts w:ascii="Verdana" w:hAnsi="Verdana"/>
        </w:rPr>
        <w:t>deben</w:t>
      </w:r>
      <w:r w:rsidRPr="00C64421">
        <w:rPr>
          <w:rFonts w:ascii="Verdana" w:hAnsi="Verdana"/>
          <w:spacing w:val="-9"/>
        </w:rPr>
        <w:t xml:space="preserve"> </w:t>
      </w:r>
      <w:r w:rsidRPr="00C64421">
        <w:rPr>
          <w:rFonts w:ascii="Verdana" w:hAnsi="Verdana"/>
        </w:rPr>
        <w:t>publicarse</w:t>
      </w:r>
      <w:r w:rsidRPr="00C64421">
        <w:rPr>
          <w:rFonts w:ascii="Verdana" w:hAnsi="Verdana"/>
          <w:spacing w:val="-11"/>
        </w:rPr>
        <w:t xml:space="preserve"> </w:t>
      </w:r>
      <w:r w:rsidRPr="00C64421">
        <w:rPr>
          <w:rFonts w:ascii="Verdana" w:hAnsi="Verdana"/>
        </w:rPr>
        <w:t>en</w:t>
      </w:r>
      <w:r w:rsidRPr="00C64421">
        <w:rPr>
          <w:rFonts w:ascii="Verdana" w:hAnsi="Verdana"/>
          <w:spacing w:val="-10"/>
        </w:rPr>
        <w:t xml:space="preserve"> </w:t>
      </w:r>
      <w:r w:rsidRPr="00C64421">
        <w:rPr>
          <w:rFonts w:ascii="Verdana" w:hAnsi="Verdana"/>
        </w:rPr>
        <w:t>el</w:t>
      </w:r>
      <w:r w:rsidRPr="00C64421">
        <w:rPr>
          <w:rFonts w:ascii="Verdana" w:hAnsi="Verdana"/>
          <w:spacing w:val="-10"/>
        </w:rPr>
        <w:t xml:space="preserve"> </w:t>
      </w:r>
      <w:r w:rsidRPr="00C64421">
        <w:rPr>
          <w:rFonts w:ascii="Verdana" w:hAnsi="Verdana"/>
        </w:rPr>
        <w:t>SECOP</w:t>
      </w:r>
      <w:r w:rsidRPr="00C64421">
        <w:rPr>
          <w:rFonts w:ascii="Verdana" w:hAnsi="Verdana"/>
          <w:spacing w:val="-12"/>
        </w:rPr>
        <w:t xml:space="preserve"> </w:t>
      </w:r>
      <w:r w:rsidRPr="00C64421">
        <w:rPr>
          <w:rFonts w:ascii="Verdana" w:hAnsi="Verdana"/>
        </w:rPr>
        <w:t>como los demás contratos estatales, en virtud del principio de publicidad de la función administrativa consagrado en el artículo 209 de la Constitución Política, el cual fue desarrollado por el legislador en el ámbito de la contratación</w:t>
      </w:r>
      <w:r w:rsidRPr="00C64421">
        <w:rPr>
          <w:rFonts w:ascii="Verdana" w:hAnsi="Verdana"/>
          <w:spacing w:val="-3"/>
        </w:rPr>
        <w:t xml:space="preserve"> </w:t>
      </w:r>
      <w:r w:rsidRPr="00C64421">
        <w:rPr>
          <w:rFonts w:ascii="Verdana" w:hAnsi="Verdana"/>
        </w:rPr>
        <w:t>estatal</w:t>
      </w:r>
      <w:r w:rsidRPr="00C64421">
        <w:rPr>
          <w:rFonts w:ascii="Verdana" w:hAnsi="Verdana"/>
          <w:spacing w:val="-3"/>
        </w:rPr>
        <w:t xml:space="preserve"> </w:t>
      </w:r>
      <w:r w:rsidRPr="00C64421">
        <w:rPr>
          <w:rFonts w:ascii="Verdana" w:hAnsi="Verdana"/>
        </w:rPr>
        <w:t>mediante</w:t>
      </w:r>
      <w:r w:rsidRPr="00C64421">
        <w:rPr>
          <w:rFonts w:ascii="Verdana" w:hAnsi="Verdana"/>
          <w:spacing w:val="-4"/>
        </w:rPr>
        <w:t xml:space="preserve"> </w:t>
      </w:r>
      <w:r w:rsidRPr="00C64421">
        <w:rPr>
          <w:rFonts w:ascii="Verdana" w:hAnsi="Verdana"/>
        </w:rPr>
        <w:t>el</w:t>
      </w:r>
      <w:r w:rsidRPr="00C64421">
        <w:rPr>
          <w:rFonts w:ascii="Verdana" w:hAnsi="Verdana"/>
          <w:spacing w:val="-3"/>
        </w:rPr>
        <w:t xml:space="preserve"> </w:t>
      </w:r>
      <w:r w:rsidRPr="00C64421">
        <w:rPr>
          <w:rFonts w:ascii="Verdana" w:hAnsi="Verdana"/>
        </w:rPr>
        <w:t>artículo</w:t>
      </w:r>
      <w:r w:rsidRPr="00C64421">
        <w:rPr>
          <w:rFonts w:ascii="Verdana" w:hAnsi="Verdana"/>
          <w:spacing w:val="-2"/>
        </w:rPr>
        <w:t xml:space="preserve"> </w:t>
      </w:r>
      <w:r w:rsidRPr="00C64421">
        <w:rPr>
          <w:rFonts w:ascii="Verdana" w:hAnsi="Verdana"/>
        </w:rPr>
        <w:t>3</w:t>
      </w:r>
      <w:r w:rsidRPr="00C64421">
        <w:rPr>
          <w:rFonts w:ascii="Verdana" w:hAnsi="Verdana"/>
          <w:spacing w:val="-3"/>
        </w:rPr>
        <w:t xml:space="preserve"> </w:t>
      </w:r>
      <w:r w:rsidRPr="00C64421">
        <w:rPr>
          <w:rFonts w:ascii="Verdana" w:hAnsi="Verdana"/>
        </w:rPr>
        <w:t>de</w:t>
      </w:r>
      <w:r w:rsidRPr="00C64421">
        <w:rPr>
          <w:rFonts w:ascii="Verdana" w:hAnsi="Verdana"/>
          <w:spacing w:val="-9"/>
        </w:rPr>
        <w:t xml:space="preserve"> </w:t>
      </w:r>
      <w:r w:rsidRPr="00C64421">
        <w:rPr>
          <w:rFonts w:ascii="Verdana" w:hAnsi="Verdana"/>
        </w:rPr>
        <w:t>la</w:t>
      </w:r>
      <w:r w:rsidRPr="00C64421">
        <w:rPr>
          <w:rFonts w:ascii="Verdana" w:hAnsi="Verdana"/>
          <w:spacing w:val="-5"/>
        </w:rPr>
        <w:t xml:space="preserve"> </w:t>
      </w:r>
      <w:r w:rsidRPr="00C64421">
        <w:rPr>
          <w:rFonts w:ascii="Verdana" w:hAnsi="Verdana"/>
        </w:rPr>
        <w:t>Ley</w:t>
      </w:r>
      <w:r w:rsidRPr="00C64421">
        <w:rPr>
          <w:rFonts w:ascii="Verdana" w:hAnsi="Verdana"/>
          <w:spacing w:val="-4"/>
        </w:rPr>
        <w:t xml:space="preserve"> </w:t>
      </w:r>
      <w:r w:rsidRPr="00C64421">
        <w:rPr>
          <w:rFonts w:ascii="Verdana" w:hAnsi="Verdana"/>
        </w:rPr>
        <w:t>1150</w:t>
      </w:r>
      <w:r w:rsidRPr="00C64421">
        <w:rPr>
          <w:rFonts w:ascii="Verdana" w:hAnsi="Verdana"/>
          <w:spacing w:val="-8"/>
        </w:rPr>
        <w:t xml:space="preserve"> </w:t>
      </w:r>
      <w:r w:rsidRPr="00C64421">
        <w:rPr>
          <w:rFonts w:ascii="Verdana" w:hAnsi="Verdana"/>
        </w:rPr>
        <w:t>de</w:t>
      </w:r>
      <w:r w:rsidRPr="00C64421">
        <w:rPr>
          <w:rFonts w:ascii="Verdana" w:hAnsi="Verdana"/>
          <w:spacing w:val="-4"/>
        </w:rPr>
        <w:t xml:space="preserve"> </w:t>
      </w:r>
      <w:r w:rsidRPr="00C64421">
        <w:rPr>
          <w:rFonts w:ascii="Verdana" w:hAnsi="Verdana"/>
        </w:rPr>
        <w:t>2007,</w:t>
      </w:r>
      <w:r w:rsidRPr="00C64421">
        <w:rPr>
          <w:rFonts w:ascii="Verdana" w:hAnsi="Verdana"/>
          <w:spacing w:val="-8"/>
        </w:rPr>
        <w:t xml:space="preserve"> </w:t>
      </w:r>
      <w:r w:rsidRPr="00C64421">
        <w:rPr>
          <w:rFonts w:ascii="Verdana" w:hAnsi="Verdana"/>
        </w:rPr>
        <w:t>el</w:t>
      </w:r>
      <w:r w:rsidRPr="00C64421">
        <w:rPr>
          <w:rFonts w:ascii="Verdana" w:hAnsi="Verdana"/>
          <w:spacing w:val="-3"/>
        </w:rPr>
        <w:t xml:space="preserve"> </w:t>
      </w:r>
      <w:r w:rsidRPr="00C64421">
        <w:rPr>
          <w:rFonts w:ascii="Verdana" w:hAnsi="Verdana"/>
        </w:rPr>
        <w:t>artículo 11,</w:t>
      </w:r>
      <w:r w:rsidRPr="00C64421">
        <w:rPr>
          <w:rFonts w:ascii="Verdana" w:hAnsi="Verdana"/>
          <w:spacing w:val="-1"/>
        </w:rPr>
        <w:t xml:space="preserve"> </w:t>
      </w:r>
      <w:r w:rsidRPr="00C64421">
        <w:rPr>
          <w:rFonts w:ascii="Verdana" w:hAnsi="Verdana"/>
        </w:rPr>
        <w:t>literal</w:t>
      </w:r>
      <w:r w:rsidRPr="00C64421">
        <w:rPr>
          <w:rFonts w:ascii="Verdana" w:hAnsi="Verdana"/>
          <w:spacing w:val="-1"/>
        </w:rPr>
        <w:t xml:space="preserve"> </w:t>
      </w:r>
      <w:r w:rsidRPr="00C64421">
        <w:rPr>
          <w:rFonts w:ascii="Verdana" w:hAnsi="Verdana"/>
        </w:rPr>
        <w:t>g</w:t>
      </w:r>
      <w:r w:rsidRPr="00C64421">
        <w:rPr>
          <w:rFonts w:ascii="Verdana" w:hAnsi="Verdana"/>
          <w:spacing w:val="-3"/>
        </w:rPr>
        <w:t xml:space="preserve"> </w:t>
      </w:r>
      <w:r w:rsidRPr="00C64421">
        <w:rPr>
          <w:rFonts w:ascii="Verdana" w:hAnsi="Verdana"/>
        </w:rPr>
        <w:t>de</w:t>
      </w:r>
      <w:r w:rsidRPr="00C64421">
        <w:rPr>
          <w:rFonts w:ascii="Verdana" w:hAnsi="Verdana"/>
          <w:spacing w:val="-8"/>
        </w:rPr>
        <w:t xml:space="preserve"> </w:t>
      </w:r>
      <w:r w:rsidRPr="00C64421">
        <w:rPr>
          <w:rFonts w:ascii="Verdana" w:hAnsi="Verdana"/>
        </w:rPr>
        <w:t>la</w:t>
      </w:r>
      <w:r w:rsidRPr="00C64421">
        <w:rPr>
          <w:rFonts w:ascii="Verdana" w:hAnsi="Verdana"/>
          <w:spacing w:val="-8"/>
        </w:rPr>
        <w:t xml:space="preserve"> </w:t>
      </w:r>
      <w:r w:rsidRPr="00C64421">
        <w:rPr>
          <w:rFonts w:ascii="Verdana" w:hAnsi="Verdana"/>
        </w:rPr>
        <w:t>Ley</w:t>
      </w:r>
      <w:r w:rsidRPr="00C64421">
        <w:rPr>
          <w:rFonts w:ascii="Verdana" w:hAnsi="Verdana"/>
          <w:spacing w:val="-2"/>
        </w:rPr>
        <w:t xml:space="preserve"> </w:t>
      </w:r>
      <w:r w:rsidRPr="00C64421">
        <w:rPr>
          <w:rFonts w:ascii="Verdana" w:hAnsi="Verdana"/>
        </w:rPr>
        <w:t>1712</w:t>
      </w:r>
      <w:r w:rsidRPr="00C64421">
        <w:rPr>
          <w:rFonts w:ascii="Verdana" w:hAnsi="Verdana"/>
          <w:spacing w:val="-6"/>
        </w:rPr>
        <w:t xml:space="preserve"> </w:t>
      </w:r>
      <w:r w:rsidRPr="00C64421">
        <w:rPr>
          <w:rFonts w:ascii="Verdana" w:hAnsi="Verdana"/>
        </w:rPr>
        <w:t>de</w:t>
      </w:r>
      <w:r w:rsidRPr="00C64421">
        <w:rPr>
          <w:rFonts w:ascii="Verdana" w:hAnsi="Verdana"/>
          <w:spacing w:val="-8"/>
        </w:rPr>
        <w:t xml:space="preserve"> </w:t>
      </w:r>
      <w:r w:rsidRPr="00C64421">
        <w:rPr>
          <w:rFonts w:ascii="Verdana" w:hAnsi="Verdana"/>
        </w:rPr>
        <w:t>2014</w:t>
      </w:r>
      <w:r w:rsidRPr="00C64421">
        <w:rPr>
          <w:rFonts w:ascii="Verdana" w:hAnsi="Verdana"/>
          <w:spacing w:val="-6"/>
        </w:rPr>
        <w:t xml:space="preserve"> </w:t>
      </w:r>
      <w:r w:rsidRPr="00C64421">
        <w:rPr>
          <w:rFonts w:ascii="Verdana" w:hAnsi="Verdana"/>
        </w:rPr>
        <w:t>y</w:t>
      </w:r>
      <w:r w:rsidRPr="00C64421">
        <w:rPr>
          <w:rFonts w:ascii="Verdana" w:hAnsi="Verdana"/>
          <w:spacing w:val="-7"/>
        </w:rPr>
        <w:t xml:space="preserve"> </w:t>
      </w:r>
      <w:r w:rsidRPr="00C64421">
        <w:rPr>
          <w:rFonts w:ascii="Verdana" w:hAnsi="Verdana"/>
        </w:rPr>
        <w:t>su</w:t>
      </w:r>
      <w:r w:rsidRPr="00C64421">
        <w:rPr>
          <w:rFonts w:ascii="Verdana" w:hAnsi="Verdana"/>
          <w:spacing w:val="-5"/>
        </w:rPr>
        <w:t xml:space="preserve"> </w:t>
      </w:r>
      <w:r w:rsidRPr="00C64421">
        <w:rPr>
          <w:rFonts w:ascii="Verdana" w:hAnsi="Verdana"/>
        </w:rPr>
        <w:t>reglamentación,</w:t>
      </w:r>
      <w:r w:rsidRPr="00C64421">
        <w:rPr>
          <w:rFonts w:ascii="Verdana" w:hAnsi="Verdana"/>
          <w:spacing w:val="-2"/>
        </w:rPr>
        <w:t xml:space="preserve"> </w:t>
      </w:r>
      <w:r w:rsidRPr="00C64421">
        <w:rPr>
          <w:rFonts w:ascii="Verdana" w:hAnsi="Verdana"/>
        </w:rPr>
        <w:t>normas</w:t>
      </w:r>
      <w:r w:rsidRPr="00C64421">
        <w:rPr>
          <w:rFonts w:ascii="Verdana" w:hAnsi="Verdana"/>
          <w:spacing w:val="-6"/>
        </w:rPr>
        <w:t xml:space="preserve"> </w:t>
      </w:r>
      <w:r w:rsidRPr="00C64421">
        <w:rPr>
          <w:rFonts w:ascii="Verdana" w:hAnsi="Verdana"/>
        </w:rPr>
        <w:t>que</w:t>
      </w:r>
      <w:r w:rsidRPr="00C64421">
        <w:rPr>
          <w:rFonts w:ascii="Verdana" w:hAnsi="Verdana"/>
          <w:spacing w:val="-7"/>
        </w:rPr>
        <w:t xml:space="preserve"> </w:t>
      </w:r>
      <w:r w:rsidRPr="00C64421">
        <w:rPr>
          <w:rFonts w:ascii="Verdana" w:hAnsi="Verdana"/>
        </w:rPr>
        <w:t>obligan a</w:t>
      </w:r>
      <w:r w:rsidRPr="00C64421">
        <w:rPr>
          <w:rFonts w:ascii="Verdana" w:hAnsi="Verdana"/>
          <w:spacing w:val="-2"/>
        </w:rPr>
        <w:t xml:space="preserve"> </w:t>
      </w:r>
      <w:r w:rsidRPr="00C64421">
        <w:rPr>
          <w:rFonts w:ascii="Verdana" w:hAnsi="Verdana"/>
        </w:rPr>
        <w:t>que</w:t>
      </w:r>
      <w:r w:rsidRPr="00C64421">
        <w:rPr>
          <w:rFonts w:ascii="Verdana" w:hAnsi="Verdana"/>
          <w:spacing w:val="-1"/>
        </w:rPr>
        <w:t xml:space="preserve"> </w:t>
      </w:r>
      <w:r w:rsidRPr="00C64421">
        <w:rPr>
          <w:rFonts w:ascii="Verdana" w:hAnsi="Verdana"/>
        </w:rPr>
        <w:t>la</w:t>
      </w:r>
      <w:r w:rsidRPr="00C64421">
        <w:rPr>
          <w:rFonts w:ascii="Verdana" w:hAnsi="Verdana"/>
          <w:spacing w:val="-1"/>
        </w:rPr>
        <w:t xml:space="preserve"> </w:t>
      </w:r>
      <w:r w:rsidRPr="00C64421">
        <w:rPr>
          <w:rFonts w:ascii="Verdana" w:hAnsi="Verdana"/>
        </w:rPr>
        <w:t>publicidad</w:t>
      </w:r>
      <w:r w:rsidRPr="00C64421">
        <w:rPr>
          <w:rFonts w:ascii="Verdana" w:hAnsi="Verdana"/>
          <w:spacing w:val="-1"/>
        </w:rPr>
        <w:t xml:space="preserve"> </w:t>
      </w:r>
      <w:r w:rsidRPr="00C64421">
        <w:rPr>
          <w:rFonts w:ascii="Verdana" w:hAnsi="Verdana"/>
        </w:rPr>
        <w:t>de</w:t>
      </w:r>
      <w:r w:rsidRPr="00C64421">
        <w:rPr>
          <w:rFonts w:ascii="Verdana" w:hAnsi="Verdana"/>
          <w:spacing w:val="-1"/>
        </w:rPr>
        <w:t xml:space="preserve"> </w:t>
      </w:r>
      <w:r w:rsidRPr="00C64421">
        <w:rPr>
          <w:rFonts w:ascii="Verdana" w:hAnsi="Verdana"/>
        </w:rPr>
        <w:t>los contratos celebrados por</w:t>
      </w:r>
      <w:r w:rsidRPr="00C64421">
        <w:rPr>
          <w:rFonts w:ascii="Verdana" w:hAnsi="Verdana"/>
          <w:spacing w:val="-2"/>
        </w:rPr>
        <w:t xml:space="preserve"> </w:t>
      </w:r>
      <w:r w:rsidRPr="00C64421">
        <w:rPr>
          <w:rFonts w:ascii="Verdana" w:hAnsi="Verdana"/>
        </w:rPr>
        <w:t>las Entidades Estatales se realice a través del SECOP.</w:t>
      </w:r>
    </w:p>
    <w:p w14:paraId="6D36820B"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Referencias normativas, jurisprudenciales y otras fuentes:</w:t>
      </w:r>
    </w:p>
    <w:p w14:paraId="5F27C4A0" w14:textId="77777777" w:rsidR="00871B59" w:rsidRPr="00593A5F"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593A5F" w14:paraId="4F8A23D2" w14:textId="77777777" w:rsidTr="002607A7">
        <w:trPr>
          <w:trHeight w:val="870"/>
        </w:trPr>
        <w:tc>
          <w:tcPr>
            <w:tcW w:w="8647" w:type="dxa"/>
          </w:tcPr>
          <w:p w14:paraId="04571CE4" w14:textId="77777777" w:rsidR="00FF6E1C" w:rsidRPr="00BC0DF1" w:rsidRDefault="00FF6E1C" w:rsidP="00FF6E1C">
            <w:pPr>
              <w:pStyle w:val="Prrafodelista"/>
              <w:numPr>
                <w:ilvl w:val="0"/>
                <w:numId w:val="8"/>
              </w:numPr>
              <w:spacing w:line="276" w:lineRule="auto"/>
              <w:jc w:val="both"/>
              <w:rPr>
                <w:rFonts w:ascii="Verdana" w:hAnsi="Verdana"/>
              </w:rPr>
            </w:pPr>
            <w:r w:rsidRPr="00BC0DF1">
              <w:rPr>
                <w:rFonts w:ascii="Verdana" w:hAnsi="Verdana"/>
              </w:rPr>
              <w:t>Constitución Política - artículo 209, 267.</w:t>
            </w:r>
          </w:p>
          <w:p w14:paraId="1CFC03B6" w14:textId="77777777" w:rsidR="00FF6E1C" w:rsidRPr="00BC0DF1" w:rsidRDefault="00FF6E1C" w:rsidP="00FF6E1C">
            <w:pPr>
              <w:pStyle w:val="Prrafodelista"/>
              <w:numPr>
                <w:ilvl w:val="0"/>
                <w:numId w:val="8"/>
              </w:numPr>
              <w:spacing w:line="276" w:lineRule="auto"/>
              <w:jc w:val="both"/>
              <w:rPr>
                <w:rFonts w:ascii="Verdana" w:hAnsi="Verdana"/>
              </w:rPr>
            </w:pPr>
            <w:r w:rsidRPr="00BC0DF1">
              <w:rPr>
                <w:rFonts w:ascii="Verdana" w:hAnsi="Verdana"/>
              </w:rPr>
              <w:t>Ley 80 de 1993 - artículo 2, numeral 1, literal a.</w:t>
            </w:r>
          </w:p>
          <w:p w14:paraId="0B272F64" w14:textId="77777777" w:rsidR="00FF6E1C" w:rsidRPr="00BC0DF1" w:rsidRDefault="00FF6E1C" w:rsidP="00FF6E1C">
            <w:pPr>
              <w:pStyle w:val="Prrafodelista"/>
              <w:numPr>
                <w:ilvl w:val="0"/>
                <w:numId w:val="8"/>
              </w:numPr>
              <w:spacing w:line="276" w:lineRule="auto"/>
              <w:jc w:val="both"/>
              <w:rPr>
                <w:rFonts w:ascii="Verdana" w:hAnsi="Verdana"/>
              </w:rPr>
            </w:pPr>
            <w:r w:rsidRPr="00BC0DF1">
              <w:rPr>
                <w:rFonts w:ascii="Verdana" w:hAnsi="Verdana"/>
              </w:rPr>
              <w:t>Ley 489 de 1998 - artículo 68, 85, 86, 87, 93.</w:t>
            </w:r>
          </w:p>
          <w:p w14:paraId="7951D3BC" w14:textId="77777777" w:rsidR="00FF6E1C" w:rsidRPr="00BC0DF1" w:rsidRDefault="00FF6E1C" w:rsidP="00FF6E1C">
            <w:pPr>
              <w:pStyle w:val="Prrafodelista"/>
              <w:numPr>
                <w:ilvl w:val="0"/>
                <w:numId w:val="8"/>
              </w:numPr>
              <w:spacing w:line="276" w:lineRule="auto"/>
              <w:jc w:val="both"/>
              <w:rPr>
                <w:rFonts w:ascii="Verdana" w:hAnsi="Verdana"/>
              </w:rPr>
            </w:pPr>
            <w:r w:rsidRPr="00BC0DF1">
              <w:rPr>
                <w:rFonts w:ascii="Verdana" w:hAnsi="Verdana"/>
              </w:rPr>
              <w:t>Ley 1150 de 2007 - artículo 14.</w:t>
            </w:r>
          </w:p>
          <w:p w14:paraId="5334CD47" w14:textId="77777777" w:rsidR="00FF6E1C" w:rsidRPr="00BC0DF1" w:rsidRDefault="00FF6E1C" w:rsidP="00FF6E1C">
            <w:pPr>
              <w:pStyle w:val="Prrafodelista"/>
              <w:numPr>
                <w:ilvl w:val="0"/>
                <w:numId w:val="8"/>
              </w:numPr>
              <w:spacing w:line="276" w:lineRule="auto"/>
              <w:jc w:val="both"/>
              <w:rPr>
                <w:rFonts w:ascii="Verdana" w:hAnsi="Verdana"/>
              </w:rPr>
            </w:pPr>
            <w:r w:rsidRPr="00BC0DF1">
              <w:rPr>
                <w:rFonts w:ascii="Verdana" w:hAnsi="Verdana"/>
              </w:rPr>
              <w:t xml:space="preserve">Consejo de Estado. Sección Tercera, Sentencia del 19 de agosto de 2004 </w:t>
            </w:r>
            <w:proofErr w:type="spellStart"/>
            <w:r w:rsidRPr="00BC0DF1">
              <w:rPr>
                <w:rFonts w:ascii="Verdana" w:hAnsi="Verdana"/>
              </w:rPr>
              <w:t>Exp</w:t>
            </w:r>
            <w:proofErr w:type="spellEnd"/>
            <w:r w:rsidRPr="00BC0DF1">
              <w:rPr>
                <w:rFonts w:ascii="Verdana" w:hAnsi="Verdana"/>
              </w:rPr>
              <w:t xml:space="preserve">. 12.342, reiterada en sentencia de 6 de febrero de 2006, </w:t>
            </w:r>
            <w:proofErr w:type="spellStart"/>
            <w:r w:rsidRPr="00BC0DF1">
              <w:rPr>
                <w:rFonts w:ascii="Verdana" w:hAnsi="Verdana"/>
              </w:rPr>
              <w:t>Exp</w:t>
            </w:r>
            <w:proofErr w:type="spellEnd"/>
            <w:r w:rsidRPr="00BC0DF1">
              <w:rPr>
                <w:rFonts w:ascii="Verdana" w:hAnsi="Verdana"/>
              </w:rPr>
              <w:t>. 13.414.</w:t>
            </w:r>
          </w:p>
          <w:p w14:paraId="2BB411E8" w14:textId="77777777" w:rsidR="00FF6E1C" w:rsidRPr="00BC0DF1" w:rsidRDefault="00FF6E1C" w:rsidP="00FF6E1C">
            <w:pPr>
              <w:pStyle w:val="Prrafodelista"/>
              <w:numPr>
                <w:ilvl w:val="0"/>
                <w:numId w:val="8"/>
              </w:numPr>
              <w:spacing w:line="276" w:lineRule="auto"/>
              <w:jc w:val="both"/>
              <w:rPr>
                <w:rFonts w:ascii="Verdana" w:hAnsi="Verdana"/>
              </w:rPr>
            </w:pPr>
            <w:r w:rsidRPr="00BC0DF1">
              <w:rPr>
                <w:rFonts w:ascii="Verdana" w:eastAsia="Times New Roman" w:hAnsi="Verdana" w:cs="Times New Roman"/>
                <w:color w:val="000000"/>
                <w:lang w:eastAsia="es-CO"/>
              </w:rPr>
              <w:t>Consejo de Estado. Sección Tercera. Subsección C. Sentencia del 8 de abril de 2014. Expo. 25.801 C.P. Enrique Gil Botero </w:t>
            </w:r>
          </w:p>
          <w:p w14:paraId="4F717B0B" w14:textId="361FC773" w:rsidR="00871B59" w:rsidRPr="00AC742F" w:rsidRDefault="00FF6E1C" w:rsidP="00FF6E1C">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BC0DF1">
              <w:rPr>
                <w:rFonts w:ascii="Verdana" w:hAnsi="Verdana"/>
              </w:rPr>
              <w:t xml:space="preserve">COLOMBIA COMPRA EFICIENTE. “Guía para las Entidades Estatales con régimen especial de Contratación”. Disponible: </w:t>
            </w:r>
            <w:hyperlink r:id="rId13" w:history="1">
              <w:r w:rsidRPr="00BC0DF1">
                <w:rPr>
                  <w:rStyle w:val="Hipervnculo"/>
                  <w:rFonts w:ascii="Verdana" w:hAnsi="Verdana"/>
                </w:rPr>
                <w:t>Aquí</w:t>
              </w:r>
            </w:hyperlink>
          </w:p>
        </w:tc>
      </w:tr>
    </w:tbl>
    <w:p w14:paraId="018D0C6E" w14:textId="77777777" w:rsidR="00871B59" w:rsidRPr="00593A5F" w:rsidRDefault="00871B59" w:rsidP="00871B59">
      <w:pPr>
        <w:widowControl w:val="0"/>
        <w:autoSpaceDE w:val="0"/>
        <w:autoSpaceDN w:val="0"/>
        <w:spacing w:after="0" w:line="276" w:lineRule="auto"/>
        <w:jc w:val="both"/>
        <w:rPr>
          <w:rFonts w:ascii="Verdana" w:hAnsi="Verdana" w:cs="Arial"/>
        </w:rPr>
      </w:pPr>
    </w:p>
    <w:p w14:paraId="1B2282F9" w14:textId="77777777" w:rsidR="00871B59"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lastRenderedPageBreak/>
        <w:t>Doctrina de la Agencia Nacional de Contratación Pública</w:t>
      </w:r>
      <w:r w:rsidRPr="00593A5F">
        <w:rPr>
          <w:rFonts w:ascii="Verdana" w:eastAsia="Century Gothic" w:hAnsi="Verdana" w:cs="Century Gothic"/>
          <w:b/>
          <w:bCs/>
          <w:lang w:val="es-ES"/>
        </w:rPr>
        <w:t>:</w:t>
      </w:r>
    </w:p>
    <w:p w14:paraId="5E42844E" w14:textId="77777777" w:rsidR="00FF6E1C" w:rsidRDefault="00FF6E1C" w:rsidP="00FF6E1C">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ES"/>
        </w:rPr>
      </w:pPr>
    </w:p>
    <w:p w14:paraId="13C3F56F" w14:textId="77777777" w:rsidR="00FF6E1C" w:rsidRDefault="00FF6E1C" w:rsidP="00FF6E1C">
      <w:pPr>
        <w:spacing w:after="0" w:line="276" w:lineRule="auto"/>
        <w:jc w:val="both"/>
        <w:rPr>
          <w:rFonts w:ascii="Verdana" w:hAnsi="Verdana" w:cs="Arial"/>
          <w:shd w:val="clear" w:color="auto" w:fill="FFFFFF"/>
        </w:rPr>
      </w:pPr>
      <w:r w:rsidRPr="00BC0DF1">
        <w:rPr>
          <w:rFonts w:ascii="Verdana" w:eastAsia="Calibri" w:hAnsi="Verdana" w:cs="Arial"/>
          <w:shd w:val="clear" w:color="auto" w:fill="FFFFFF"/>
          <w:lang w:val="es-ES"/>
        </w:rPr>
        <w:t xml:space="preserve">La Agencia Nacional de Contratación Pública − Colombia Compra Eficiente se pronunció </w:t>
      </w:r>
      <w:r w:rsidRPr="00BC0DF1">
        <w:rPr>
          <w:rFonts w:ascii="Verdana" w:eastAsia="Calibri" w:hAnsi="Verdana"/>
          <w:lang w:eastAsia="es-ES"/>
        </w:rPr>
        <w:t xml:space="preserve">sobre la naturaleza jurídica, régimen de contratación de las empresas industriales y comerciales del Estado en los </w:t>
      </w:r>
      <w:r w:rsidRPr="00BC0DF1">
        <w:rPr>
          <w:rFonts w:ascii="Verdana" w:eastAsia="Calibri" w:hAnsi="Verdana" w:cs="Arial"/>
        </w:rPr>
        <w:t>conceptos 2201913000009314 del 17 de diciembre de 2019 –dentro del radicado 4201913000001662–, C-251 del 27 de mayo de 2020, C–253 de 2 de junio de 2021 , C-280 del 6 de julio de 2020, C-616 de 3 de noviembre de 2021</w:t>
      </w:r>
      <w:r w:rsidRPr="00BC0DF1">
        <w:rPr>
          <w:rFonts w:ascii="Verdana" w:eastAsia="Times New Roman" w:hAnsi="Verdana" w:cs="Times New Roman"/>
          <w:lang w:eastAsia="es-CO"/>
        </w:rPr>
        <w:t xml:space="preserve">, C-176 del 6 de abril de 2022 , C-857 de 13 diciembre de 2022, C-501 de 30 de septiembre de 2024. </w:t>
      </w:r>
      <w:r w:rsidRPr="00BC0DF1">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4" w:tgtFrame="_blank" w:tooltip="Dirección URL original: https://relatoria.colombiacompra.gov.co/. Haga clic o pulse si confía en este vínculo." w:history="1">
        <w:r w:rsidRPr="00BC0DF1">
          <w:rPr>
            <w:rStyle w:val="Hipervnculo"/>
            <w:rFonts w:ascii="Verdana" w:hAnsi="Verdana" w:cs="Arial"/>
            <w:shd w:val="clear" w:color="auto" w:fill="FFFFFF"/>
          </w:rPr>
          <w:t>https://relatoria.colombiacompra.gov.co/</w:t>
        </w:r>
      </w:hyperlink>
      <w:r w:rsidRPr="00BC0DF1">
        <w:rPr>
          <w:rFonts w:ascii="Verdana" w:hAnsi="Verdana" w:cs="Arial"/>
          <w:shd w:val="clear" w:color="auto" w:fill="FFFFFF"/>
        </w:rPr>
        <w:t>.</w:t>
      </w:r>
    </w:p>
    <w:p w14:paraId="5FAB5407" w14:textId="77777777" w:rsidR="00FF6E1C" w:rsidRPr="00BC0DF1" w:rsidRDefault="00FF6E1C" w:rsidP="00FF6E1C">
      <w:pPr>
        <w:spacing w:after="0" w:line="276" w:lineRule="auto"/>
        <w:jc w:val="both"/>
        <w:rPr>
          <w:rFonts w:ascii="Verdana" w:eastAsia="Times New Roman" w:hAnsi="Verdana" w:cs="Times New Roman"/>
          <w:lang w:eastAsia="es-CO"/>
        </w:rPr>
      </w:pPr>
    </w:p>
    <w:p w14:paraId="4AC36CEE" w14:textId="77777777" w:rsidR="00FF6E1C" w:rsidRPr="00BC0DF1" w:rsidRDefault="00FF6E1C" w:rsidP="00FF6E1C">
      <w:pPr>
        <w:widowControl w:val="0"/>
        <w:autoSpaceDE w:val="0"/>
        <w:autoSpaceDN w:val="0"/>
        <w:spacing w:after="0" w:line="276" w:lineRule="auto"/>
        <w:jc w:val="both"/>
        <w:rPr>
          <w:rFonts w:ascii="Verdana" w:hAnsi="Verdana" w:cs="Arial"/>
          <w:color w:val="FF0000"/>
          <w:shd w:val="clear" w:color="auto" w:fill="FFFFFF"/>
          <w:lang w:val="es-ES"/>
        </w:rPr>
      </w:pPr>
      <w:r w:rsidRPr="00BC0DF1">
        <w:rPr>
          <w:rStyle w:val="normaltextrun"/>
          <w:rFonts w:ascii="Verdana" w:hAnsi="Verdana"/>
          <w:lang w:val="es-ES"/>
        </w:rPr>
        <w:t>Le informamos que ya se encuentra disponible la Cartilla para incentivar y fortalecer el acceso a las compras y contratación pública de los pueblos y comunidades étnicas en Colombia.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5" w:tgtFrame="_blank" w:tooltip="Original URL: https://www.colombiacompra.gov.co/manuales-guias-y-pliegos-tipo/manuales-y-guias/cartilla-para-incentivar-y-fortalecer-el-acceso-las. Click or tap if you trust this link." w:history="1">
        <w:r w:rsidRPr="00BC0DF1">
          <w:rPr>
            <w:rStyle w:val="Hipervnculo"/>
            <w:rFonts w:ascii="Verdana" w:hAnsi="Verdana" w:cs="Arial"/>
            <w:shd w:val="clear" w:color="auto" w:fill="FFFFFF"/>
          </w:rPr>
          <w:t>Cartilla para incentivar y fortalecer el acceso a las compras y contratación pública de los pueblos y comunidades étnicas en Colombia | Colombia Compra Eficiente | Agencia Nacional de Contratación Pública</w:t>
        </w:r>
      </w:hyperlink>
    </w:p>
    <w:p w14:paraId="4636BEE0" w14:textId="77777777" w:rsidR="00FF6E1C" w:rsidRPr="00076707" w:rsidRDefault="00FF6E1C" w:rsidP="00FF6E1C">
      <w:pPr>
        <w:shd w:val="clear" w:color="auto" w:fill="FFFFFF"/>
        <w:spacing w:after="0" w:line="276" w:lineRule="auto"/>
        <w:jc w:val="both"/>
        <w:textAlignment w:val="baseline"/>
        <w:rPr>
          <w:rFonts w:ascii="Verdana" w:hAnsi="Verdana"/>
          <w:color w:val="000000"/>
          <w:bdr w:val="none" w:sz="0" w:space="0" w:color="auto" w:frame="1"/>
        </w:rPr>
      </w:pPr>
      <w:r w:rsidRPr="00076707">
        <w:rPr>
          <w:rFonts w:ascii="Verdana" w:hAnsi="Verdana"/>
          <w:color w:val="000000"/>
          <w:bdr w:val="none" w:sz="0" w:space="0" w:color="auto" w:frame="1"/>
        </w:rPr>
        <w:t> </w:t>
      </w:r>
    </w:p>
    <w:p w14:paraId="3D457E1A" w14:textId="77777777" w:rsidR="00FF6E1C" w:rsidRPr="00076707" w:rsidRDefault="00FF6E1C" w:rsidP="00FF6E1C">
      <w:pPr>
        <w:shd w:val="clear" w:color="auto" w:fill="FFFFFF"/>
        <w:spacing w:after="0" w:line="276" w:lineRule="auto"/>
        <w:jc w:val="both"/>
        <w:textAlignment w:val="baseline"/>
        <w:rPr>
          <w:rFonts w:ascii="Verdana" w:hAnsi="Verdana"/>
          <w:color w:val="242424"/>
        </w:rPr>
      </w:pPr>
      <w:r w:rsidRPr="00BC0DF1">
        <w:rPr>
          <w:rFonts w:ascii="Verdana" w:hAnsi="Verdana"/>
        </w:rPr>
        <w:t>Por último, lo invitamos a seguirnos en las redes sociales en las cuales se difunde información institucional:</w:t>
      </w:r>
    </w:p>
    <w:p w14:paraId="2E038669" w14:textId="77777777" w:rsidR="00FF6E1C" w:rsidRPr="00BC0DF1" w:rsidRDefault="00FF6E1C" w:rsidP="00FF6E1C">
      <w:pPr>
        <w:spacing w:after="0" w:line="276" w:lineRule="auto"/>
        <w:jc w:val="both"/>
        <w:rPr>
          <w:rFonts w:ascii="Verdana" w:hAnsi="Verdana"/>
        </w:rPr>
      </w:pPr>
    </w:p>
    <w:p w14:paraId="58483140" w14:textId="77777777" w:rsidR="00FF6E1C" w:rsidRPr="00BC0DF1" w:rsidRDefault="00FF6E1C" w:rsidP="00FF6E1C">
      <w:pPr>
        <w:spacing w:after="0" w:line="276" w:lineRule="auto"/>
        <w:jc w:val="both"/>
        <w:rPr>
          <w:rFonts w:ascii="Verdana" w:hAnsi="Verdana"/>
        </w:rPr>
      </w:pPr>
      <w:r w:rsidRPr="00BC0DF1">
        <w:rPr>
          <w:rFonts w:ascii="Verdana" w:hAnsi="Verdana"/>
        </w:rPr>
        <w:t xml:space="preserve">Twitter: </w:t>
      </w:r>
      <w:r w:rsidRPr="00BC0DF1">
        <w:rPr>
          <w:rStyle w:val="Hipervnculo"/>
          <w:rFonts w:ascii="Verdana" w:hAnsi="Verdana"/>
          <w:color w:val="4472C4" w:themeColor="accent1"/>
        </w:rPr>
        <w:t>@colombiacompra</w:t>
      </w:r>
      <w:r w:rsidRPr="00BC0DF1">
        <w:rPr>
          <w:rFonts w:ascii="Verdana" w:hAnsi="Verdana"/>
          <w:color w:val="4472C4" w:themeColor="accent1"/>
        </w:rPr>
        <w:t xml:space="preserve"> </w:t>
      </w:r>
    </w:p>
    <w:p w14:paraId="64964C8C" w14:textId="77777777" w:rsidR="00FF6E1C" w:rsidRPr="00BC0DF1" w:rsidRDefault="00FF6E1C" w:rsidP="00FF6E1C">
      <w:pPr>
        <w:spacing w:after="0" w:line="276" w:lineRule="auto"/>
        <w:jc w:val="both"/>
        <w:rPr>
          <w:rFonts w:ascii="Verdana" w:hAnsi="Verdana"/>
        </w:rPr>
      </w:pPr>
      <w:r w:rsidRPr="00BC0DF1">
        <w:rPr>
          <w:rFonts w:ascii="Verdana" w:hAnsi="Verdana"/>
        </w:rPr>
        <w:t xml:space="preserve">Facebook: </w:t>
      </w:r>
      <w:proofErr w:type="spellStart"/>
      <w:r w:rsidRPr="00BC0DF1">
        <w:rPr>
          <w:rStyle w:val="Hipervnculo"/>
          <w:rFonts w:ascii="Verdana" w:hAnsi="Verdana"/>
          <w:color w:val="4472C4" w:themeColor="accent1"/>
        </w:rPr>
        <w:t>ColombiaCompraEficiente</w:t>
      </w:r>
      <w:proofErr w:type="spellEnd"/>
    </w:p>
    <w:p w14:paraId="75039111" w14:textId="77777777" w:rsidR="00FF6E1C" w:rsidRPr="00BC0DF1" w:rsidRDefault="00FF6E1C" w:rsidP="00FF6E1C">
      <w:pPr>
        <w:spacing w:after="0" w:line="276" w:lineRule="auto"/>
        <w:jc w:val="both"/>
        <w:rPr>
          <w:rFonts w:ascii="Verdana" w:hAnsi="Verdana"/>
        </w:rPr>
      </w:pPr>
      <w:r w:rsidRPr="00BC0DF1">
        <w:rPr>
          <w:rFonts w:ascii="Verdana" w:hAnsi="Verdana"/>
        </w:rPr>
        <w:t xml:space="preserve">LinkedIn: </w:t>
      </w:r>
      <w:r w:rsidRPr="00BC0DF1">
        <w:rPr>
          <w:rStyle w:val="Hipervnculo"/>
          <w:rFonts w:ascii="Verdana" w:hAnsi="Verdana"/>
          <w:color w:val="4472C4" w:themeColor="accent1"/>
        </w:rPr>
        <w:t>Agencia Nacional de Contratación Pública - Colombia Compra Eficiente</w:t>
      </w:r>
      <w:r w:rsidRPr="00BC0DF1">
        <w:rPr>
          <w:rFonts w:ascii="Verdana" w:hAnsi="Verdana"/>
          <w:color w:val="4472C4" w:themeColor="accent1"/>
        </w:rPr>
        <w:t xml:space="preserve"> </w:t>
      </w:r>
      <w:r w:rsidRPr="00BC0DF1">
        <w:rPr>
          <w:rFonts w:ascii="Verdana" w:hAnsi="Verdana"/>
        </w:rPr>
        <w:t xml:space="preserve">Instagram: </w:t>
      </w:r>
      <w:r w:rsidRPr="00BC0DF1">
        <w:rPr>
          <w:rStyle w:val="Hipervnculo"/>
          <w:rFonts w:ascii="Verdana" w:hAnsi="Verdana"/>
          <w:color w:val="4472C4" w:themeColor="accent1"/>
        </w:rPr>
        <w:t>@colombiacompraeficiente_cce</w:t>
      </w:r>
    </w:p>
    <w:p w14:paraId="24E11CD5" w14:textId="77777777" w:rsidR="00FF6E1C" w:rsidRPr="00BC0DF1" w:rsidRDefault="00FF6E1C" w:rsidP="00FF6E1C">
      <w:pPr>
        <w:widowControl w:val="0"/>
        <w:autoSpaceDE w:val="0"/>
        <w:autoSpaceDN w:val="0"/>
        <w:spacing w:after="0" w:line="276" w:lineRule="auto"/>
        <w:jc w:val="both"/>
        <w:rPr>
          <w:rFonts w:ascii="Verdana" w:hAnsi="Verdana" w:cs="Arial"/>
        </w:rPr>
      </w:pPr>
    </w:p>
    <w:p w14:paraId="6B1BE12E" w14:textId="77777777" w:rsidR="00FF6E1C" w:rsidRPr="00BC0DF1" w:rsidRDefault="00FF6E1C" w:rsidP="00FF6E1C">
      <w:pPr>
        <w:widowControl w:val="0"/>
        <w:autoSpaceDE w:val="0"/>
        <w:autoSpaceDN w:val="0"/>
        <w:spacing w:after="0" w:line="276" w:lineRule="auto"/>
        <w:jc w:val="both"/>
        <w:rPr>
          <w:rFonts w:ascii="Verdana" w:hAnsi="Verdana" w:cs="Arial"/>
          <w:lang w:val="es-ES_tradnl"/>
        </w:rPr>
      </w:pPr>
      <w:r w:rsidRPr="00BC0DF1">
        <w:rPr>
          <w:rFonts w:ascii="Verdana" w:hAnsi="Verdana" w:cs="Arial"/>
        </w:rPr>
        <w:lastRenderedPageBreak/>
        <w:t xml:space="preserve">Este concepto tiene el alcance previsto en el artículo 28 del Código de Procedimiento Administrativo y de lo Contencioso Administrativo </w:t>
      </w:r>
      <w:r w:rsidRPr="00BC0DF1">
        <w:rPr>
          <w:rFonts w:ascii="Verdana" w:hAnsi="Verdana" w:cs="Arial"/>
          <w:lang w:val="es-ES_tradnl"/>
        </w:rPr>
        <w:t>y las expresiones aquí utilizadas con mayúscula inicial deben ser entendidas con el significado que les otorga el artículo 2.2.1.1.1.3.1. del Decreto 1082 de 2015.</w:t>
      </w:r>
    </w:p>
    <w:p w14:paraId="279A9EB1" w14:textId="77777777" w:rsidR="00FF6E1C" w:rsidRPr="00BC0DF1" w:rsidRDefault="00FF6E1C" w:rsidP="00FF6E1C">
      <w:pPr>
        <w:widowControl w:val="0"/>
        <w:autoSpaceDE w:val="0"/>
        <w:autoSpaceDN w:val="0"/>
        <w:spacing w:after="0" w:line="276" w:lineRule="auto"/>
        <w:jc w:val="both"/>
        <w:rPr>
          <w:rFonts w:ascii="Verdana" w:hAnsi="Verdana" w:cs="Arial"/>
        </w:rPr>
      </w:pPr>
    </w:p>
    <w:p w14:paraId="71C6C53D" w14:textId="77777777" w:rsidR="00FF6E1C" w:rsidRPr="00BC0DF1" w:rsidRDefault="00FF6E1C" w:rsidP="00FF6E1C">
      <w:pPr>
        <w:spacing w:after="0" w:line="276" w:lineRule="auto"/>
        <w:rPr>
          <w:rFonts w:ascii="Verdana" w:hAnsi="Verdana" w:cs="Arial"/>
          <w:lang w:eastAsia="es-CO"/>
        </w:rPr>
      </w:pPr>
      <w:r w:rsidRPr="00BC0DF1">
        <w:rPr>
          <w:rFonts w:ascii="Verdana" w:eastAsia="Times New Roman" w:hAnsi="Verdana" w:cs="Arial"/>
          <w:lang w:eastAsia="es-CO"/>
        </w:rPr>
        <w:t>Atentamente,</w:t>
      </w:r>
      <w:r w:rsidRPr="00BC0DF1">
        <w:rPr>
          <w:rFonts w:ascii="Verdana" w:hAnsi="Verdana" w:cs="Arial"/>
          <w:lang w:eastAsia="es-CO"/>
        </w:rPr>
        <w:t xml:space="preserve"> </w:t>
      </w:r>
    </w:p>
    <w:p w14:paraId="329185BA" w14:textId="77777777" w:rsidR="00FF6E1C" w:rsidRPr="00593A5F" w:rsidRDefault="00FF6E1C" w:rsidP="00FF6E1C">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ES"/>
        </w:rPr>
      </w:pPr>
    </w:p>
    <w:p w14:paraId="3737C8E7" w14:textId="6A2B289C" w:rsidR="00871B59" w:rsidRPr="00593A5F" w:rsidRDefault="00CA1312" w:rsidP="00871B59">
      <w:pPr>
        <w:spacing w:line="276" w:lineRule="auto"/>
        <w:jc w:val="center"/>
        <w:rPr>
          <w:rFonts w:ascii="Verdana" w:hAnsi="Verdana" w:cs="Arial"/>
          <w:color w:val="000000"/>
          <w:lang w:val="es-ES_tradnl" w:eastAsia="es-CO"/>
        </w:rPr>
      </w:pPr>
      <w:r w:rsidRPr="004D5C25">
        <w:rPr>
          <w:rFonts w:ascii="Century Gothic" w:hAnsi="Century Gothic"/>
          <w:noProof/>
        </w:rPr>
        <w:drawing>
          <wp:inline distT="0" distB="0" distL="0" distR="0" wp14:anchorId="14C1DFD0" wp14:editId="6CB3DAB1">
            <wp:extent cx="3385733" cy="1453515"/>
            <wp:effectExtent l="0" t="0" r="5715"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3394701" cy="145736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F6E1C" w:rsidRPr="003A5A84" w14:paraId="581CBD58" w14:textId="77777777" w:rsidTr="007C5BFC">
        <w:trPr>
          <w:trHeight w:val="315"/>
        </w:trPr>
        <w:tc>
          <w:tcPr>
            <w:tcW w:w="893" w:type="dxa"/>
            <w:vAlign w:val="center"/>
            <w:hideMark/>
          </w:tcPr>
          <w:p w14:paraId="583AB3A3" w14:textId="77777777" w:rsidR="00FF6E1C" w:rsidRPr="003A5A84" w:rsidRDefault="00FF6E1C" w:rsidP="007C5BFC">
            <w:pPr>
              <w:contextualSpacing/>
              <w:rPr>
                <w:rFonts w:ascii="Verdana" w:hAnsi="Verdana" w:cs="Arial"/>
                <w:sz w:val="16"/>
                <w:szCs w:val="16"/>
                <w:lang w:val="es-ES" w:eastAsia="es-ES"/>
              </w:rPr>
            </w:pPr>
            <w:r w:rsidRPr="003A5A8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F0A462F" w14:textId="77777777" w:rsidR="00FF6E1C" w:rsidRPr="003A5A84" w:rsidRDefault="00FF6E1C" w:rsidP="007C5BFC">
            <w:pPr>
              <w:contextualSpacing/>
              <w:rPr>
                <w:rStyle w:val="normaltextrun"/>
                <w:rFonts w:ascii="Verdana" w:eastAsia="Arial" w:hAnsi="Verdana" w:cs="Arial"/>
                <w:sz w:val="16"/>
                <w:szCs w:val="16"/>
              </w:rPr>
            </w:pPr>
            <w:r w:rsidRPr="003A5A84">
              <w:rPr>
                <w:rStyle w:val="normaltextrun"/>
                <w:rFonts w:ascii="Verdana" w:eastAsia="Arial" w:hAnsi="Verdana" w:cs="Arial"/>
                <w:sz w:val="16"/>
                <w:szCs w:val="16"/>
              </w:rPr>
              <w:t>Andrea del Pilar Garzón Sánchez.</w:t>
            </w:r>
          </w:p>
          <w:p w14:paraId="28336E57" w14:textId="77777777" w:rsidR="00FF6E1C" w:rsidRPr="003A5A84" w:rsidRDefault="00FF6E1C" w:rsidP="007C5BFC">
            <w:pPr>
              <w:contextualSpacing/>
              <w:rPr>
                <w:rFonts w:ascii="Verdana" w:eastAsia="Arial" w:hAnsi="Verdana" w:cs="Arial"/>
                <w:color w:val="7030A0"/>
                <w:sz w:val="16"/>
                <w:szCs w:val="16"/>
              </w:rPr>
            </w:pPr>
            <w:r w:rsidRPr="003A5A84">
              <w:rPr>
                <w:rStyle w:val="normaltextrun"/>
                <w:rFonts w:ascii="Verdana" w:eastAsia="Arial" w:hAnsi="Verdana" w:cs="Arial"/>
                <w:sz w:val="16"/>
                <w:szCs w:val="16"/>
              </w:rPr>
              <w:t>Contratista de la Subdirección de Gestión Contractual</w:t>
            </w:r>
          </w:p>
        </w:tc>
      </w:tr>
      <w:tr w:rsidR="00FF6E1C" w:rsidRPr="003A5A84" w14:paraId="0D033766" w14:textId="77777777" w:rsidTr="007C5BFC">
        <w:trPr>
          <w:trHeight w:val="330"/>
        </w:trPr>
        <w:tc>
          <w:tcPr>
            <w:tcW w:w="893" w:type="dxa"/>
            <w:vAlign w:val="center"/>
            <w:hideMark/>
          </w:tcPr>
          <w:p w14:paraId="6198CC95" w14:textId="77777777" w:rsidR="00FF6E1C" w:rsidRPr="00B845C1" w:rsidRDefault="00FF6E1C" w:rsidP="007C5BFC">
            <w:pPr>
              <w:contextualSpacing/>
              <w:rPr>
                <w:rFonts w:ascii="Verdana" w:hAnsi="Verdana" w:cs="Arial"/>
                <w:sz w:val="16"/>
                <w:szCs w:val="16"/>
                <w:lang w:val="es-ES" w:eastAsia="es-ES"/>
              </w:rPr>
            </w:pPr>
            <w:r w:rsidRPr="00B845C1">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DED5462" w14:textId="77777777" w:rsidR="00FF6E1C" w:rsidRPr="00B845C1" w:rsidRDefault="00FF6E1C" w:rsidP="007C5BFC">
            <w:pPr>
              <w:pStyle w:val="paragraph"/>
              <w:spacing w:before="0" w:beforeAutospacing="0" w:after="0" w:afterAutospacing="0"/>
              <w:contextualSpacing/>
              <w:textAlignment w:val="baseline"/>
              <w:rPr>
                <w:rStyle w:val="normaltextrun"/>
                <w:rFonts w:ascii="Verdana" w:hAnsi="Verdana" w:cs="Arial"/>
                <w:sz w:val="16"/>
                <w:szCs w:val="16"/>
                <w:lang w:val="es-ES"/>
              </w:rPr>
            </w:pPr>
            <w:r w:rsidRPr="00B845C1">
              <w:rPr>
                <w:rStyle w:val="normaltextrun"/>
                <w:rFonts w:ascii="Verdana" w:hAnsi="Verdana" w:cs="Arial"/>
                <w:sz w:val="16"/>
                <w:szCs w:val="16"/>
                <w:lang w:val="es-ES"/>
              </w:rPr>
              <w:t>Diana Lucia Saavedra Castañeda</w:t>
            </w:r>
          </w:p>
          <w:p w14:paraId="54CB0ECA" w14:textId="77777777" w:rsidR="00FF6E1C" w:rsidRPr="00B845C1" w:rsidRDefault="00FF6E1C" w:rsidP="007C5BFC">
            <w:pPr>
              <w:pStyle w:val="paragraph"/>
              <w:spacing w:before="0" w:beforeAutospacing="0" w:after="0" w:afterAutospacing="0"/>
              <w:contextualSpacing/>
              <w:textAlignment w:val="baseline"/>
              <w:rPr>
                <w:rFonts w:ascii="Verdana" w:hAnsi="Verdana" w:cs="Segoe UI"/>
                <w:sz w:val="16"/>
                <w:szCs w:val="16"/>
              </w:rPr>
            </w:pPr>
            <w:r w:rsidRPr="00B845C1">
              <w:rPr>
                <w:rStyle w:val="normaltextrun"/>
                <w:rFonts w:ascii="Verdana" w:hAnsi="Verdana" w:cs="Arial"/>
                <w:sz w:val="16"/>
                <w:szCs w:val="16"/>
                <w:lang w:val="es-ES"/>
              </w:rPr>
              <w:t>Contratista de la Subdirección de Gestión Contractual</w:t>
            </w:r>
            <w:r w:rsidRPr="00B845C1">
              <w:rPr>
                <w:rStyle w:val="eop"/>
                <w:rFonts w:ascii="Verdana" w:hAnsi="Verdana" w:cs="Arial"/>
                <w:sz w:val="16"/>
                <w:szCs w:val="16"/>
              </w:rPr>
              <w:t> </w:t>
            </w:r>
          </w:p>
        </w:tc>
      </w:tr>
      <w:tr w:rsidR="00FF6E1C" w:rsidRPr="003A5A84" w14:paraId="663516EF" w14:textId="77777777" w:rsidTr="007C5BFC">
        <w:trPr>
          <w:trHeight w:val="300"/>
        </w:trPr>
        <w:tc>
          <w:tcPr>
            <w:tcW w:w="893" w:type="dxa"/>
            <w:vAlign w:val="center"/>
          </w:tcPr>
          <w:p w14:paraId="4F70F9A1" w14:textId="77777777" w:rsidR="00FF6E1C" w:rsidRPr="003A5A84" w:rsidRDefault="00FF6E1C" w:rsidP="007C5BFC">
            <w:pPr>
              <w:contextualSpacing/>
              <w:rPr>
                <w:rFonts w:ascii="Verdana" w:hAnsi="Verdana" w:cs="Arial"/>
                <w:sz w:val="16"/>
                <w:szCs w:val="16"/>
                <w:lang w:val="es-ES" w:eastAsia="es-ES"/>
              </w:rPr>
            </w:pPr>
            <w:r w:rsidRPr="003A5A8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C256A75" w14:textId="77777777" w:rsidR="00FF6E1C" w:rsidRPr="003A5A84" w:rsidRDefault="00FF6E1C" w:rsidP="007C5BFC">
            <w:pPr>
              <w:contextualSpacing/>
              <w:rPr>
                <w:rFonts w:ascii="Verdana" w:eastAsia="Calibri" w:hAnsi="Verdana" w:cs="Arial"/>
                <w:sz w:val="16"/>
                <w:szCs w:val="16"/>
                <w:lang w:val="pt-BR" w:eastAsia="es-ES"/>
              </w:rPr>
            </w:pPr>
            <w:r w:rsidRPr="003A5A84">
              <w:rPr>
                <w:rFonts w:ascii="Verdana" w:eastAsia="Calibri" w:hAnsi="Verdana" w:cs="Arial"/>
                <w:sz w:val="16"/>
                <w:szCs w:val="16"/>
                <w:lang w:val="pt-BR" w:eastAsia="es-ES"/>
              </w:rPr>
              <w:t xml:space="preserve">Carolina Quintero </w:t>
            </w:r>
            <w:proofErr w:type="spellStart"/>
            <w:r w:rsidRPr="003A5A84">
              <w:rPr>
                <w:rFonts w:ascii="Verdana" w:eastAsia="Calibri" w:hAnsi="Verdana" w:cs="Arial"/>
                <w:sz w:val="16"/>
                <w:szCs w:val="16"/>
                <w:lang w:val="pt-BR" w:eastAsia="es-ES"/>
              </w:rPr>
              <w:t>Gacharná</w:t>
            </w:r>
            <w:proofErr w:type="spellEnd"/>
          </w:p>
          <w:p w14:paraId="0271E399" w14:textId="77777777" w:rsidR="00FF6E1C" w:rsidRPr="003A5A84" w:rsidRDefault="00FF6E1C" w:rsidP="007C5BFC">
            <w:pPr>
              <w:contextualSpacing/>
              <w:rPr>
                <w:rFonts w:ascii="Verdana" w:eastAsia="Calibri" w:hAnsi="Verdana" w:cs="Arial"/>
                <w:sz w:val="16"/>
                <w:szCs w:val="16"/>
                <w:lang w:val="pt-BR" w:eastAsia="es-ES"/>
              </w:rPr>
            </w:pPr>
            <w:r w:rsidRPr="003A5A84">
              <w:rPr>
                <w:rFonts w:ascii="Verdana" w:eastAsia="Calibri" w:hAnsi="Verdana" w:cs="Arial"/>
                <w:sz w:val="16"/>
                <w:szCs w:val="16"/>
                <w:lang w:eastAsia="es-ES"/>
              </w:rPr>
              <w:t>Subdirectora</w:t>
            </w:r>
            <w:r w:rsidRPr="003A5A84">
              <w:rPr>
                <w:rFonts w:ascii="Verdana" w:eastAsia="Calibri" w:hAnsi="Verdana" w:cs="Arial"/>
                <w:sz w:val="16"/>
                <w:szCs w:val="16"/>
                <w:lang w:val="pt-BR" w:eastAsia="es-ES"/>
              </w:rPr>
              <w:t xml:space="preserve"> de Gestión </w:t>
            </w:r>
            <w:proofErr w:type="spellStart"/>
            <w:r w:rsidRPr="003A5A84">
              <w:rPr>
                <w:rFonts w:ascii="Verdana" w:eastAsia="Calibri" w:hAnsi="Verdana" w:cs="Arial"/>
                <w:sz w:val="16"/>
                <w:szCs w:val="16"/>
                <w:lang w:val="pt-BR" w:eastAsia="es-ES"/>
              </w:rPr>
              <w:t>Contractual</w:t>
            </w:r>
            <w:proofErr w:type="spellEnd"/>
            <w:r w:rsidRPr="003A5A84">
              <w:rPr>
                <w:rFonts w:ascii="Verdana" w:eastAsia="Calibri" w:hAnsi="Verdana" w:cs="Arial"/>
                <w:sz w:val="16"/>
                <w:szCs w:val="16"/>
                <w:lang w:val="pt-BR" w:eastAsia="es-ES"/>
              </w:rPr>
              <w:t xml:space="preserve"> ANCP – CCE</w:t>
            </w:r>
          </w:p>
        </w:tc>
      </w:tr>
    </w:tbl>
    <w:p w14:paraId="25026782" w14:textId="77777777" w:rsidR="00871B59" w:rsidRPr="00593A5F" w:rsidRDefault="00871B59" w:rsidP="00871B59">
      <w:pPr>
        <w:spacing w:after="0" w:line="240" w:lineRule="auto"/>
        <w:rPr>
          <w:rFonts w:ascii="Verdana" w:eastAsia="Times New Roman" w:hAnsi="Verdana" w:cs="Arial"/>
          <w:sz w:val="24"/>
          <w:szCs w:val="24"/>
          <w:lang w:eastAsia="es-ES"/>
        </w:rPr>
      </w:pPr>
    </w:p>
    <w:p w14:paraId="6849AB02" w14:textId="77777777" w:rsidR="5D8505AD" w:rsidRPr="00871B59" w:rsidRDefault="5D8505AD" w:rsidP="00871B59"/>
    <w:sectPr w:rsidR="5D8505AD" w:rsidRPr="00871B59" w:rsidSect="00E45F4B">
      <w:headerReference w:type="default" r:id="rId17"/>
      <w:footerReference w:type="default" r:id="rId18"/>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E45671" w14:textId="77777777" w:rsidR="00E504B9" w:rsidRDefault="00E504B9" w:rsidP="00B30448">
      <w:pPr>
        <w:spacing w:after="0" w:line="240" w:lineRule="auto"/>
      </w:pPr>
      <w:r>
        <w:separator/>
      </w:r>
    </w:p>
  </w:endnote>
  <w:endnote w:type="continuationSeparator" w:id="0">
    <w:p w14:paraId="6F25D9A1" w14:textId="77777777" w:rsidR="00E504B9" w:rsidRDefault="00E504B9" w:rsidP="00B30448">
      <w:pPr>
        <w:spacing w:after="0" w:line="240" w:lineRule="auto"/>
      </w:pPr>
      <w:r>
        <w:continuationSeparator/>
      </w:r>
    </w:p>
  </w:endnote>
  <w:endnote w:type="continuationNotice" w:id="1">
    <w:p w14:paraId="14C6B647" w14:textId="77777777" w:rsidR="00E504B9" w:rsidRDefault="00E504B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C3626" w14:textId="77777777" w:rsidR="000849D5" w:rsidRDefault="000849D5" w:rsidP="000849D5">
    <w:pPr>
      <w:spacing w:after="0"/>
      <w:rPr>
        <w:rFonts w:ascii="Verdana" w:hAnsi="Verdana"/>
        <w:b/>
        <w:bCs/>
        <w:sz w:val="20"/>
        <w:szCs w:val="20"/>
      </w:rPr>
    </w:pPr>
  </w:p>
  <w:p w14:paraId="3976424C"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8DA2612"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33F32674"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12170689"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186279CF" w14:textId="77777777" w:rsidR="000849D5" w:rsidRPr="007D04B2" w:rsidRDefault="000849D5" w:rsidP="000849D5">
    <w:pPr>
      <w:pStyle w:val="Piedepgina"/>
    </w:pPr>
  </w:p>
  <w:p w14:paraId="14E7AAFB"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AAF38B" w14:textId="77777777" w:rsidR="00E504B9" w:rsidRDefault="00E504B9" w:rsidP="00B30448">
      <w:pPr>
        <w:spacing w:after="0" w:line="240" w:lineRule="auto"/>
      </w:pPr>
      <w:r>
        <w:separator/>
      </w:r>
    </w:p>
  </w:footnote>
  <w:footnote w:type="continuationSeparator" w:id="0">
    <w:p w14:paraId="2C610A27" w14:textId="77777777" w:rsidR="00E504B9" w:rsidRDefault="00E504B9" w:rsidP="00B30448">
      <w:pPr>
        <w:spacing w:after="0" w:line="240" w:lineRule="auto"/>
      </w:pPr>
      <w:r>
        <w:continuationSeparator/>
      </w:r>
    </w:p>
  </w:footnote>
  <w:footnote w:type="continuationNotice" w:id="1">
    <w:p w14:paraId="25C8F116" w14:textId="77777777" w:rsidR="00E504B9" w:rsidRDefault="00E504B9">
      <w:pPr>
        <w:spacing w:after="0" w:line="240" w:lineRule="auto"/>
      </w:pPr>
    </w:p>
  </w:footnote>
  <w:footnote w:id="2">
    <w:p w14:paraId="09308D64" w14:textId="77777777" w:rsidR="00D0142E" w:rsidRDefault="00D0142E" w:rsidP="00D0142E">
      <w:pPr>
        <w:pStyle w:val="Textonotapie"/>
        <w:ind w:firstLine="709"/>
        <w:jc w:val="both"/>
        <w:rPr>
          <w:rFonts w:ascii="Verdana" w:hAnsi="Verdana" w:cs="Arial"/>
          <w:sz w:val="14"/>
          <w:szCs w:val="14"/>
        </w:rPr>
      </w:pPr>
      <w:r w:rsidRPr="00076707">
        <w:rPr>
          <w:rStyle w:val="Refdenotaalpie"/>
          <w:rFonts w:ascii="Verdana" w:hAnsi="Verdana"/>
          <w:sz w:val="14"/>
          <w:szCs w:val="14"/>
        </w:rPr>
        <w:footnoteRef/>
      </w:r>
      <w:r w:rsidRPr="00076707">
        <w:rPr>
          <w:rFonts w:ascii="Verdana" w:hAnsi="Verdana"/>
          <w:sz w:val="14"/>
          <w:szCs w:val="14"/>
        </w:rPr>
        <w:t xml:space="preserve"> </w:t>
      </w:r>
      <w:r w:rsidRPr="00076707">
        <w:rPr>
          <w:rFonts w:ascii="Verdana" w:hAnsi="Verdana" w:cs="Arial"/>
          <w:sz w:val="14"/>
          <w:szCs w:val="14"/>
        </w:rPr>
        <w:t>El estatuto estableció como regla general para la selección del contratista la licitación pública o el concurso público, con algunas excepciones en las cuales la selección se haría mediante el procedimiento de contratación directa, entre ellas, la prevista en el literal m) del numeral 1 del artículo 24: “m)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esta ley”, o sea, los de obra, consultoría, prestación de servicios, concesión, encargos fiduciarios y fiducia pública, que se regirían por la regla general, salvo los casos de menor cuantía –previstos en el ordinal a), numeral 1 del artículo 24, original, de la Ley 80 de 1993–. Además, en el parágrafo del artículo 14 de la Ley 80 de 1993, se señaló que “en los contratos que tengan por objeto actividades comerciales o industriales de las entidades estatales que no correspondan a las señaladas en el numeral 2º de este artículo (…) se prescindirá de la utilización de las cláusulas o estipulaciones excepcionales”.</w:t>
      </w:r>
    </w:p>
    <w:p w14:paraId="26ACEA9B" w14:textId="77777777" w:rsidR="00D0142E" w:rsidRPr="00076707" w:rsidRDefault="00D0142E" w:rsidP="00D0142E">
      <w:pPr>
        <w:pStyle w:val="Textonotapie"/>
        <w:ind w:firstLine="709"/>
        <w:jc w:val="both"/>
        <w:rPr>
          <w:rFonts w:ascii="Verdana" w:hAnsi="Verdana"/>
          <w:sz w:val="14"/>
          <w:szCs w:val="14"/>
          <w:lang w:val="es-ES"/>
        </w:rPr>
      </w:pPr>
    </w:p>
  </w:footnote>
  <w:footnote w:id="3">
    <w:p w14:paraId="52B0F567" w14:textId="77777777" w:rsidR="00D0142E" w:rsidRPr="00076707" w:rsidRDefault="00D0142E" w:rsidP="00D0142E">
      <w:pPr>
        <w:pStyle w:val="Textonotapie"/>
        <w:ind w:firstLine="709"/>
        <w:jc w:val="both"/>
        <w:rPr>
          <w:rFonts w:ascii="Verdana" w:hAnsi="Verdana"/>
          <w:sz w:val="14"/>
          <w:szCs w:val="14"/>
          <w:lang w:val="es-ES"/>
        </w:rPr>
      </w:pPr>
      <w:r w:rsidRPr="00076707">
        <w:rPr>
          <w:rStyle w:val="Refdenotaalpie"/>
          <w:rFonts w:ascii="Verdana" w:hAnsi="Verdana"/>
          <w:sz w:val="14"/>
          <w:szCs w:val="14"/>
        </w:rPr>
        <w:footnoteRef/>
      </w:r>
      <w:r w:rsidRPr="00076707">
        <w:rPr>
          <w:rFonts w:ascii="Verdana" w:hAnsi="Verdana"/>
          <w:sz w:val="14"/>
          <w:szCs w:val="14"/>
        </w:rPr>
        <w:t xml:space="preserve"> </w:t>
      </w:r>
      <w:r w:rsidRPr="00076707">
        <w:rPr>
          <w:rFonts w:ascii="Verdana" w:hAnsi="Verdana" w:cs="Arial"/>
          <w:sz w:val="14"/>
          <w:szCs w:val="14"/>
        </w:rPr>
        <w:t>Sin perjuicio de la regla indicada, es importante señalar que el literal g, numeral 2, artículo 2 de la Ley 1150 de 2007, prevé como causal de selección abreviada: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[obra, concesión, prestación de servicios, consultoría, fiducia pública]”. g)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Por su parte, el Decreto 1082 del 2015, artículo 2.2.1.2.1.2.24, prescribió: “Contratación de empresas industriales y comerciales del Estado. Las empresas industriales y comerciales del Estado y las sociedades de economía mixta, sus filiales y las empresas en las cuales el Estado tenga más del cincuenta por ciento (50%) del capital social que no se encuentren en situación de competencia, deben utilizar el procedimiento de selección abreviada de menor cuantía para los contratos que tengan como objeto su actividad comercial e industrial, salvo para los contratos de obra pública, consultoría, prestación de servicios, concesión, encargo fiduciario y fiducia pública para los cuales se aplicará la modalidad que corresponda”.</w:t>
      </w:r>
    </w:p>
  </w:footnote>
  <w:footnote w:id="4">
    <w:p w14:paraId="69C359FD" w14:textId="77777777" w:rsidR="00D0142E" w:rsidRDefault="00D0142E" w:rsidP="00D0142E">
      <w:pPr>
        <w:pStyle w:val="Textonotapie"/>
        <w:ind w:firstLine="709"/>
        <w:jc w:val="both"/>
        <w:rPr>
          <w:rFonts w:ascii="Verdana" w:hAnsi="Verdana"/>
          <w:sz w:val="14"/>
          <w:szCs w:val="14"/>
        </w:rPr>
      </w:pPr>
    </w:p>
    <w:p w14:paraId="06603C7E" w14:textId="77777777" w:rsidR="00D0142E" w:rsidRDefault="00D0142E" w:rsidP="00D0142E">
      <w:pPr>
        <w:pStyle w:val="Textonotapie"/>
        <w:ind w:firstLine="709"/>
        <w:jc w:val="both"/>
        <w:rPr>
          <w:rFonts w:ascii="Verdana" w:hAnsi="Verdana" w:cs="Arial"/>
          <w:sz w:val="14"/>
          <w:szCs w:val="14"/>
        </w:rPr>
      </w:pPr>
      <w:r w:rsidRPr="00076707">
        <w:rPr>
          <w:rStyle w:val="Refdenotaalpie"/>
          <w:rFonts w:ascii="Verdana" w:hAnsi="Verdana"/>
          <w:sz w:val="14"/>
          <w:szCs w:val="14"/>
        </w:rPr>
        <w:footnoteRef/>
      </w:r>
      <w:r w:rsidRPr="00076707">
        <w:rPr>
          <w:rFonts w:ascii="Verdana" w:hAnsi="Verdana"/>
          <w:sz w:val="14"/>
          <w:szCs w:val="14"/>
        </w:rPr>
        <w:t xml:space="preserve"> </w:t>
      </w:r>
      <w:r w:rsidRPr="00076707">
        <w:rPr>
          <w:rFonts w:ascii="Verdana" w:hAnsi="Verdana" w:cs="Arial"/>
          <w:sz w:val="14"/>
          <w:szCs w:val="14"/>
        </w:rPr>
        <w:t>El artículo 14 original de la Ley 1150 de 2007 excluía además aquellas cuya actividad se realizaba en “mercados monopolísticos”, pero, con buen tino, se eliminó en el artículo 93 de la Ley 1474 de 2011, pues en ese caso no se está en presencia de los fundamentos que soportan la excepción de no aplicar el Estatuto General de Contratación de la Administración Pública, cual es la “competencia y el libre juego del mercado”.</w:t>
      </w:r>
    </w:p>
    <w:p w14:paraId="34FD71BC" w14:textId="77777777" w:rsidR="00D0142E" w:rsidRPr="00076707" w:rsidRDefault="00D0142E" w:rsidP="00D0142E">
      <w:pPr>
        <w:pStyle w:val="Textonotapie"/>
        <w:ind w:firstLine="709"/>
        <w:jc w:val="both"/>
        <w:rPr>
          <w:rFonts w:ascii="Verdana" w:hAnsi="Verdana"/>
          <w:sz w:val="14"/>
          <w:szCs w:val="14"/>
          <w:lang w:val="es-ES"/>
        </w:rPr>
      </w:pPr>
    </w:p>
  </w:footnote>
  <w:footnote w:id="5">
    <w:p w14:paraId="7A010978" w14:textId="77777777" w:rsidR="00D0142E" w:rsidRDefault="00D0142E" w:rsidP="00D0142E">
      <w:pPr>
        <w:pStyle w:val="Textonotapie"/>
        <w:ind w:firstLine="709"/>
        <w:jc w:val="both"/>
        <w:rPr>
          <w:rFonts w:ascii="Verdana" w:hAnsi="Verdana" w:cs="Arial"/>
          <w:sz w:val="14"/>
          <w:szCs w:val="14"/>
        </w:rPr>
      </w:pPr>
      <w:r w:rsidRPr="00076707">
        <w:rPr>
          <w:rStyle w:val="Refdenotaalpie"/>
          <w:rFonts w:ascii="Verdana" w:hAnsi="Verdana"/>
          <w:sz w:val="14"/>
          <w:szCs w:val="14"/>
        </w:rPr>
        <w:footnoteRef/>
      </w:r>
      <w:r w:rsidRPr="00076707">
        <w:rPr>
          <w:rFonts w:ascii="Verdana" w:hAnsi="Verdana"/>
          <w:sz w:val="14"/>
          <w:szCs w:val="14"/>
        </w:rPr>
        <w:t xml:space="preserve"> </w:t>
      </w:r>
      <w:r w:rsidRPr="00076707">
        <w:rPr>
          <w:rFonts w:ascii="Verdana" w:hAnsi="Verdana" w:cs="Arial"/>
          <w:sz w:val="14"/>
          <w:szCs w:val="14"/>
        </w:rPr>
        <w:t>Consejo de Estado. Sección Tercera, Sentencia del 19 de agosto de 2004 Exp. 12.342, reiterada en sentencia de 6 de febrero de 2006, Exp. 13.414.</w:t>
      </w:r>
    </w:p>
    <w:p w14:paraId="14D52813" w14:textId="77777777" w:rsidR="00D0142E" w:rsidRPr="00076707" w:rsidRDefault="00D0142E" w:rsidP="00D0142E">
      <w:pPr>
        <w:pStyle w:val="Textonotapie"/>
        <w:ind w:firstLine="709"/>
        <w:jc w:val="both"/>
        <w:rPr>
          <w:rFonts w:ascii="Verdana" w:hAnsi="Verdana"/>
          <w:sz w:val="14"/>
          <w:szCs w:val="14"/>
          <w:lang w:val="es-ES"/>
        </w:rPr>
      </w:pPr>
    </w:p>
  </w:footnote>
  <w:footnote w:id="6">
    <w:p w14:paraId="506F0E88" w14:textId="77777777" w:rsidR="00D0142E" w:rsidRDefault="00D0142E" w:rsidP="00D0142E">
      <w:pPr>
        <w:pStyle w:val="Textonotapie"/>
        <w:ind w:firstLine="709"/>
        <w:jc w:val="both"/>
        <w:rPr>
          <w:rFonts w:ascii="Verdana" w:hAnsi="Verdana" w:cs="Arial"/>
          <w:color w:val="000000" w:themeColor="text1"/>
          <w:sz w:val="14"/>
          <w:szCs w:val="14"/>
        </w:rPr>
      </w:pPr>
      <w:r w:rsidRPr="00076707">
        <w:rPr>
          <w:rStyle w:val="Refdenotaalpie"/>
          <w:rFonts w:ascii="Verdana" w:hAnsi="Verdana"/>
          <w:sz w:val="14"/>
          <w:szCs w:val="14"/>
        </w:rPr>
        <w:footnoteRef/>
      </w:r>
      <w:r w:rsidRPr="00076707">
        <w:rPr>
          <w:rFonts w:ascii="Verdana" w:hAnsi="Verdana"/>
          <w:sz w:val="14"/>
          <w:szCs w:val="14"/>
        </w:rPr>
        <w:t xml:space="preserve"> </w:t>
      </w:r>
      <w:r w:rsidRPr="00076707">
        <w:rPr>
          <w:rFonts w:ascii="Verdana" w:hAnsi="Verdana" w:cs="Arial"/>
          <w:sz w:val="14"/>
          <w:szCs w:val="14"/>
        </w:rPr>
        <w:t xml:space="preserve">Ley 1150 de 2007, artículo 13: </w:t>
      </w:r>
      <w:r w:rsidRPr="00076707">
        <w:rPr>
          <w:rFonts w:ascii="Verdana" w:hAnsi="Verdana" w:cs="Arial"/>
          <w:color w:val="000000" w:themeColor="text1"/>
          <w:sz w:val="14"/>
          <w:szCs w:val="14"/>
        </w:rPr>
        <w:t>“</w:t>
      </w:r>
      <w:r w:rsidRPr="00076707">
        <w:rPr>
          <w:rFonts w:ascii="Verdana" w:hAnsi="Verdana" w:cs="Arial"/>
          <w:sz w:val="14"/>
          <w:szCs w:val="14"/>
        </w:rPr>
        <w:t>Principios generales de la actividad contractual para entidades no sometidas al estatuto general de contratación de la administración pública.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sidRPr="00076707">
        <w:rPr>
          <w:rFonts w:ascii="Verdana" w:hAnsi="Verdana" w:cs="Arial"/>
          <w:color w:val="000000" w:themeColor="text1"/>
          <w:sz w:val="14"/>
          <w:szCs w:val="14"/>
        </w:rPr>
        <w:t>”.</w:t>
      </w:r>
    </w:p>
    <w:p w14:paraId="4F8D68FF" w14:textId="77777777" w:rsidR="00D0142E" w:rsidRPr="00076707" w:rsidRDefault="00D0142E" w:rsidP="00D0142E">
      <w:pPr>
        <w:pStyle w:val="Textonotapie"/>
        <w:ind w:firstLine="709"/>
        <w:jc w:val="both"/>
        <w:rPr>
          <w:rFonts w:ascii="Verdana" w:hAnsi="Verdana"/>
          <w:sz w:val="14"/>
          <w:szCs w:val="14"/>
          <w:lang w:val="es-ES"/>
        </w:rPr>
      </w:pPr>
    </w:p>
  </w:footnote>
  <w:footnote w:id="7">
    <w:p w14:paraId="7F01E68F" w14:textId="77777777" w:rsidR="00D0142E" w:rsidRDefault="00D0142E" w:rsidP="00D0142E">
      <w:pPr>
        <w:pStyle w:val="Textonotapie"/>
        <w:ind w:firstLine="709"/>
        <w:jc w:val="both"/>
        <w:rPr>
          <w:rFonts w:ascii="Verdana" w:hAnsi="Verdana" w:cs="Arial"/>
          <w:color w:val="000000" w:themeColor="text1"/>
          <w:sz w:val="14"/>
          <w:szCs w:val="14"/>
        </w:rPr>
      </w:pPr>
      <w:r w:rsidRPr="00076707">
        <w:rPr>
          <w:rStyle w:val="Refdenotaalpie"/>
          <w:rFonts w:ascii="Verdana" w:hAnsi="Verdana"/>
          <w:sz w:val="14"/>
          <w:szCs w:val="14"/>
        </w:rPr>
        <w:footnoteRef/>
      </w:r>
      <w:r w:rsidRPr="00076707">
        <w:rPr>
          <w:rFonts w:ascii="Verdana" w:hAnsi="Verdana"/>
          <w:sz w:val="14"/>
          <w:szCs w:val="14"/>
        </w:rPr>
        <w:t xml:space="preserve"> </w:t>
      </w:r>
      <w:r w:rsidRPr="00076707">
        <w:rPr>
          <w:rFonts w:ascii="Verdana" w:hAnsi="Verdana" w:cs="Arial"/>
          <w:color w:val="000000" w:themeColor="text1"/>
          <w:sz w:val="14"/>
          <w:szCs w:val="14"/>
        </w:rPr>
        <w:t>Agencia Nacional de Contratación Pública - Colombia Compra Eficiente. Guía para las Entidades Estatales con régimen especial de contratación: “Entidad Estatal de régimen especial: Entidad Estatal que realiza sus Procesos de Contratación con un régimen distinto al previsto en las Leyes 80 de 1993 y 1150 de 2007”.</w:t>
      </w:r>
    </w:p>
    <w:p w14:paraId="06F6F9AF" w14:textId="77777777" w:rsidR="00D0142E" w:rsidRPr="00076707" w:rsidRDefault="00D0142E" w:rsidP="00D0142E">
      <w:pPr>
        <w:pStyle w:val="Textonotapie"/>
        <w:ind w:firstLine="709"/>
        <w:jc w:val="both"/>
        <w:rPr>
          <w:rFonts w:ascii="Verdana" w:hAnsi="Verdana"/>
          <w:sz w:val="14"/>
          <w:szCs w:val="14"/>
          <w:lang w:val="es-ES"/>
        </w:rPr>
      </w:pPr>
    </w:p>
  </w:footnote>
  <w:footnote w:id="8">
    <w:p w14:paraId="4BD55A1B" w14:textId="77777777" w:rsidR="00D0142E" w:rsidRDefault="00D0142E" w:rsidP="00D0142E">
      <w:pPr>
        <w:pStyle w:val="Textonotapie"/>
        <w:ind w:firstLine="709"/>
        <w:jc w:val="both"/>
        <w:rPr>
          <w:rFonts w:ascii="Verdana" w:hAnsi="Verdana" w:cs="Arial"/>
          <w:color w:val="000000" w:themeColor="text1"/>
          <w:sz w:val="14"/>
          <w:szCs w:val="14"/>
        </w:rPr>
      </w:pPr>
      <w:r w:rsidRPr="00076707">
        <w:rPr>
          <w:rStyle w:val="Refdenotaalpie"/>
          <w:rFonts w:ascii="Verdana" w:hAnsi="Verdana"/>
          <w:sz w:val="14"/>
          <w:szCs w:val="14"/>
        </w:rPr>
        <w:footnoteRef/>
      </w:r>
      <w:r w:rsidRPr="00076707">
        <w:rPr>
          <w:rFonts w:ascii="Verdana" w:hAnsi="Verdana"/>
          <w:sz w:val="14"/>
          <w:szCs w:val="14"/>
        </w:rPr>
        <w:t xml:space="preserve"> </w:t>
      </w:r>
      <w:r w:rsidRPr="00076707">
        <w:rPr>
          <w:rFonts w:ascii="Verdana" w:hAnsi="Verdana" w:cs="Arial"/>
          <w:color w:val="000000" w:themeColor="text1"/>
          <w:sz w:val="14"/>
          <w:szCs w:val="14"/>
        </w:rPr>
        <w:t>Consejo de Estado. Sección Tercera. Radicado No. 45.607 del 24 de octubre de 2016. Consejera Ponente: María Nubia Velásquez Rico.</w:t>
      </w:r>
    </w:p>
    <w:p w14:paraId="52EEAC1A" w14:textId="77777777" w:rsidR="00D0142E" w:rsidRPr="00076707" w:rsidRDefault="00D0142E" w:rsidP="00D0142E">
      <w:pPr>
        <w:pStyle w:val="Textonotapie"/>
        <w:ind w:firstLine="709"/>
        <w:jc w:val="both"/>
        <w:rPr>
          <w:rFonts w:ascii="Verdana" w:hAnsi="Verdana"/>
          <w:sz w:val="14"/>
          <w:szCs w:val="14"/>
          <w:lang w:val="es-ES"/>
        </w:rPr>
      </w:pPr>
    </w:p>
  </w:footnote>
  <w:footnote w:id="9">
    <w:p w14:paraId="294D49AC" w14:textId="77777777" w:rsidR="00D0142E" w:rsidRPr="00076707" w:rsidRDefault="00D0142E" w:rsidP="00D0142E">
      <w:pPr>
        <w:pStyle w:val="Textonotapie"/>
        <w:ind w:firstLine="709"/>
        <w:jc w:val="both"/>
        <w:rPr>
          <w:rFonts w:ascii="Verdana" w:hAnsi="Verdana"/>
          <w:sz w:val="14"/>
          <w:szCs w:val="14"/>
          <w:lang w:val="es-ES"/>
        </w:rPr>
      </w:pPr>
      <w:r w:rsidRPr="00076707">
        <w:rPr>
          <w:rStyle w:val="Refdenotaalpie"/>
          <w:rFonts w:ascii="Verdana" w:hAnsi="Verdana"/>
          <w:sz w:val="14"/>
          <w:szCs w:val="14"/>
        </w:rPr>
        <w:footnoteRef/>
      </w:r>
      <w:r w:rsidRPr="00076707">
        <w:rPr>
          <w:rFonts w:ascii="Verdana" w:hAnsi="Verdana"/>
          <w:sz w:val="14"/>
          <w:szCs w:val="14"/>
        </w:rPr>
        <w:t xml:space="preserve"> </w:t>
      </w:r>
      <w:r w:rsidRPr="00076707">
        <w:rPr>
          <w:rFonts w:ascii="Verdana" w:hAnsi="Verdana" w:cs="Arial"/>
          <w:color w:val="000000" w:themeColor="text1"/>
          <w:sz w:val="14"/>
          <w:szCs w:val="14"/>
          <w:lang w:val="es-ES"/>
        </w:rPr>
        <w:t>Identificada con la referencia G-EEREC-01 y publicada en el siguiente enlace: https://colombiacompra.gov.co/sites/cce_public/files/cce_documents/cce_guia_regimen_especial.pdf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D6FF41"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093E80AF" wp14:editId="3DDB6AA7">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25976189" wp14:editId="3B858895">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B0B4A8F" w14:textId="77777777" w:rsidR="00515FB5" w:rsidRDefault="00515FB5" w:rsidP="00515FB5">
    <w:pPr>
      <w:pStyle w:val="Encabezado"/>
    </w:pPr>
  </w:p>
  <w:p w14:paraId="2B384A02" w14:textId="77777777" w:rsidR="00515FB5" w:rsidRDefault="00515FB5" w:rsidP="00515FB5">
    <w:pPr>
      <w:pStyle w:val="Encabezado"/>
    </w:pPr>
  </w:p>
  <w:p w14:paraId="297C0485" w14:textId="77777777" w:rsidR="00515FB5" w:rsidRDefault="00515FB5" w:rsidP="00515FB5">
    <w:pPr>
      <w:pStyle w:val="Encabezado"/>
    </w:pPr>
  </w:p>
  <w:p w14:paraId="15C63B56" w14:textId="77777777" w:rsidR="00515FB5" w:rsidRPr="00AB7B56" w:rsidRDefault="00515FB5" w:rsidP="00515FB5">
    <w:pPr>
      <w:pStyle w:val="Encabezado"/>
    </w:pPr>
  </w:p>
  <w:p w14:paraId="70DEFD9F"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47320E89"/>
    <w:multiLevelType w:val="hybridMultilevel"/>
    <w:tmpl w:val="438A97D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9" w15:restartNumberingAfterBreak="0">
    <w:nsid w:val="4C477339"/>
    <w:multiLevelType w:val="hybridMultilevel"/>
    <w:tmpl w:val="FAD2FC82"/>
    <w:lvl w:ilvl="0" w:tplc="9EA6D4E6">
      <w:start w:val="1"/>
      <w:numFmt w:val="lowerRoman"/>
      <w:lvlText w:val="%1)"/>
      <w:lvlJc w:val="left"/>
      <w:pPr>
        <w:ind w:left="1509" w:hanging="720"/>
      </w:pPr>
      <w:rPr>
        <w:rFonts w:hint="default"/>
      </w:rPr>
    </w:lvl>
    <w:lvl w:ilvl="1" w:tplc="080A0019" w:tentative="1">
      <w:start w:val="1"/>
      <w:numFmt w:val="lowerLetter"/>
      <w:lvlText w:val="%2."/>
      <w:lvlJc w:val="left"/>
      <w:pPr>
        <w:ind w:left="1869" w:hanging="360"/>
      </w:pPr>
    </w:lvl>
    <w:lvl w:ilvl="2" w:tplc="080A001B" w:tentative="1">
      <w:start w:val="1"/>
      <w:numFmt w:val="lowerRoman"/>
      <w:lvlText w:val="%3."/>
      <w:lvlJc w:val="right"/>
      <w:pPr>
        <w:ind w:left="2589" w:hanging="180"/>
      </w:pPr>
    </w:lvl>
    <w:lvl w:ilvl="3" w:tplc="080A000F" w:tentative="1">
      <w:start w:val="1"/>
      <w:numFmt w:val="decimal"/>
      <w:lvlText w:val="%4."/>
      <w:lvlJc w:val="left"/>
      <w:pPr>
        <w:ind w:left="3309" w:hanging="360"/>
      </w:pPr>
    </w:lvl>
    <w:lvl w:ilvl="4" w:tplc="080A0019" w:tentative="1">
      <w:start w:val="1"/>
      <w:numFmt w:val="lowerLetter"/>
      <w:lvlText w:val="%5."/>
      <w:lvlJc w:val="left"/>
      <w:pPr>
        <w:ind w:left="4029" w:hanging="360"/>
      </w:pPr>
    </w:lvl>
    <w:lvl w:ilvl="5" w:tplc="080A001B" w:tentative="1">
      <w:start w:val="1"/>
      <w:numFmt w:val="lowerRoman"/>
      <w:lvlText w:val="%6."/>
      <w:lvlJc w:val="right"/>
      <w:pPr>
        <w:ind w:left="4749" w:hanging="180"/>
      </w:pPr>
    </w:lvl>
    <w:lvl w:ilvl="6" w:tplc="080A000F" w:tentative="1">
      <w:start w:val="1"/>
      <w:numFmt w:val="decimal"/>
      <w:lvlText w:val="%7."/>
      <w:lvlJc w:val="left"/>
      <w:pPr>
        <w:ind w:left="5469" w:hanging="360"/>
      </w:pPr>
    </w:lvl>
    <w:lvl w:ilvl="7" w:tplc="080A0019" w:tentative="1">
      <w:start w:val="1"/>
      <w:numFmt w:val="lowerLetter"/>
      <w:lvlText w:val="%8."/>
      <w:lvlJc w:val="left"/>
      <w:pPr>
        <w:ind w:left="6189" w:hanging="360"/>
      </w:pPr>
    </w:lvl>
    <w:lvl w:ilvl="8" w:tplc="080A001B" w:tentative="1">
      <w:start w:val="1"/>
      <w:numFmt w:val="lowerRoman"/>
      <w:lvlText w:val="%9."/>
      <w:lvlJc w:val="right"/>
      <w:pPr>
        <w:ind w:left="6909" w:hanging="180"/>
      </w:pPr>
    </w:lvl>
  </w:abstractNum>
  <w:abstractNum w:abstractNumId="10"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90670214">
    <w:abstractNumId w:val="5"/>
  </w:num>
  <w:num w:numId="2" w16cid:durableId="4285022">
    <w:abstractNumId w:val="2"/>
  </w:num>
  <w:num w:numId="3" w16cid:durableId="881983949">
    <w:abstractNumId w:val="3"/>
  </w:num>
  <w:num w:numId="4" w16cid:durableId="341274352">
    <w:abstractNumId w:val="0"/>
  </w:num>
  <w:num w:numId="5" w16cid:durableId="1887524674">
    <w:abstractNumId w:val="8"/>
  </w:num>
  <w:num w:numId="6" w16cid:durableId="1082990391">
    <w:abstractNumId w:val="1"/>
  </w:num>
  <w:num w:numId="7" w16cid:durableId="1492209491">
    <w:abstractNumId w:val="4"/>
  </w:num>
  <w:num w:numId="8" w16cid:durableId="679089576">
    <w:abstractNumId w:val="6"/>
  </w:num>
  <w:num w:numId="9" w16cid:durableId="893468484">
    <w:abstractNumId w:val="9"/>
  </w:num>
  <w:num w:numId="10" w16cid:durableId="152644682">
    <w:abstractNumId w:val="10"/>
  </w:num>
  <w:num w:numId="11" w16cid:durableId="31714737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FD9"/>
    <w:rsid w:val="000016F3"/>
    <w:rsid w:val="000037AE"/>
    <w:rsid w:val="00005BB0"/>
    <w:rsid w:val="0001025F"/>
    <w:rsid w:val="0001222D"/>
    <w:rsid w:val="000135EB"/>
    <w:rsid w:val="00015D2B"/>
    <w:rsid w:val="00031584"/>
    <w:rsid w:val="00032A0E"/>
    <w:rsid w:val="00037347"/>
    <w:rsid w:val="000442CC"/>
    <w:rsid w:val="000556D4"/>
    <w:rsid w:val="000716AB"/>
    <w:rsid w:val="00082E4C"/>
    <w:rsid w:val="000849D5"/>
    <w:rsid w:val="0008528F"/>
    <w:rsid w:val="000A6E0C"/>
    <w:rsid w:val="000A7A56"/>
    <w:rsid w:val="000B1FF7"/>
    <w:rsid w:val="000B2513"/>
    <w:rsid w:val="000B4024"/>
    <w:rsid w:val="000C3C51"/>
    <w:rsid w:val="000C49CE"/>
    <w:rsid w:val="000C7262"/>
    <w:rsid w:val="000D2A7F"/>
    <w:rsid w:val="000D4FCE"/>
    <w:rsid w:val="0011037E"/>
    <w:rsid w:val="001363C7"/>
    <w:rsid w:val="00141AC5"/>
    <w:rsid w:val="00146B11"/>
    <w:rsid w:val="00147A04"/>
    <w:rsid w:val="0015476D"/>
    <w:rsid w:val="00161E13"/>
    <w:rsid w:val="00164AE0"/>
    <w:rsid w:val="00165E83"/>
    <w:rsid w:val="00166CD7"/>
    <w:rsid w:val="0017120C"/>
    <w:rsid w:val="00172F3A"/>
    <w:rsid w:val="0019532A"/>
    <w:rsid w:val="0019670E"/>
    <w:rsid w:val="00197205"/>
    <w:rsid w:val="001A5DD4"/>
    <w:rsid w:val="001A67E9"/>
    <w:rsid w:val="001B143B"/>
    <w:rsid w:val="001B21CA"/>
    <w:rsid w:val="001C04FC"/>
    <w:rsid w:val="001C25A3"/>
    <w:rsid w:val="001C5D03"/>
    <w:rsid w:val="001C7771"/>
    <w:rsid w:val="001D62FF"/>
    <w:rsid w:val="001F3F48"/>
    <w:rsid w:val="002000AA"/>
    <w:rsid w:val="00204109"/>
    <w:rsid w:val="00211E6E"/>
    <w:rsid w:val="00212A46"/>
    <w:rsid w:val="0021401D"/>
    <w:rsid w:val="002146B8"/>
    <w:rsid w:val="00215516"/>
    <w:rsid w:val="002527C2"/>
    <w:rsid w:val="00270443"/>
    <w:rsid w:val="00270EE2"/>
    <w:rsid w:val="00272972"/>
    <w:rsid w:val="00286491"/>
    <w:rsid w:val="002A0F8D"/>
    <w:rsid w:val="002B6E44"/>
    <w:rsid w:val="002B74B1"/>
    <w:rsid w:val="002E1DB5"/>
    <w:rsid w:val="002F6CCB"/>
    <w:rsid w:val="00302FD9"/>
    <w:rsid w:val="0030461E"/>
    <w:rsid w:val="003107A1"/>
    <w:rsid w:val="0032756A"/>
    <w:rsid w:val="00334EF8"/>
    <w:rsid w:val="00336408"/>
    <w:rsid w:val="00340DFB"/>
    <w:rsid w:val="0034404F"/>
    <w:rsid w:val="00356980"/>
    <w:rsid w:val="00367462"/>
    <w:rsid w:val="00371ECA"/>
    <w:rsid w:val="00372748"/>
    <w:rsid w:val="0037332A"/>
    <w:rsid w:val="0038151A"/>
    <w:rsid w:val="0039082A"/>
    <w:rsid w:val="00390C21"/>
    <w:rsid w:val="003A37BD"/>
    <w:rsid w:val="003B6D94"/>
    <w:rsid w:val="003C4C96"/>
    <w:rsid w:val="003C55E0"/>
    <w:rsid w:val="003F519B"/>
    <w:rsid w:val="0040544F"/>
    <w:rsid w:val="00406A19"/>
    <w:rsid w:val="0041222D"/>
    <w:rsid w:val="0041483E"/>
    <w:rsid w:val="00415369"/>
    <w:rsid w:val="00430492"/>
    <w:rsid w:val="00450BE7"/>
    <w:rsid w:val="0046741E"/>
    <w:rsid w:val="00472CC6"/>
    <w:rsid w:val="0048026E"/>
    <w:rsid w:val="004807A9"/>
    <w:rsid w:val="004813EE"/>
    <w:rsid w:val="00493278"/>
    <w:rsid w:val="004943D9"/>
    <w:rsid w:val="00497C93"/>
    <w:rsid w:val="004A0E7B"/>
    <w:rsid w:val="004A3498"/>
    <w:rsid w:val="004B0C45"/>
    <w:rsid w:val="004C0AB2"/>
    <w:rsid w:val="004C1619"/>
    <w:rsid w:val="004C1A26"/>
    <w:rsid w:val="004C1CC9"/>
    <w:rsid w:val="004C3755"/>
    <w:rsid w:val="004C4485"/>
    <w:rsid w:val="004D11AF"/>
    <w:rsid w:val="00500DFA"/>
    <w:rsid w:val="005019AA"/>
    <w:rsid w:val="005021BB"/>
    <w:rsid w:val="005139E7"/>
    <w:rsid w:val="005147DA"/>
    <w:rsid w:val="00515FB5"/>
    <w:rsid w:val="0052365C"/>
    <w:rsid w:val="005271EB"/>
    <w:rsid w:val="005426DB"/>
    <w:rsid w:val="0055082B"/>
    <w:rsid w:val="00552503"/>
    <w:rsid w:val="00552B57"/>
    <w:rsid w:val="00557DA1"/>
    <w:rsid w:val="0056322C"/>
    <w:rsid w:val="0058743A"/>
    <w:rsid w:val="005A4DB0"/>
    <w:rsid w:val="005A7B8E"/>
    <w:rsid w:val="005B012B"/>
    <w:rsid w:val="005B0C87"/>
    <w:rsid w:val="005D23F6"/>
    <w:rsid w:val="005D2FA8"/>
    <w:rsid w:val="005E2281"/>
    <w:rsid w:val="005E667C"/>
    <w:rsid w:val="005F077C"/>
    <w:rsid w:val="005F63D0"/>
    <w:rsid w:val="005F7973"/>
    <w:rsid w:val="0061690E"/>
    <w:rsid w:val="00627361"/>
    <w:rsid w:val="0063017E"/>
    <w:rsid w:val="00631B28"/>
    <w:rsid w:val="00645B90"/>
    <w:rsid w:val="00650991"/>
    <w:rsid w:val="006511D7"/>
    <w:rsid w:val="00663D75"/>
    <w:rsid w:val="00670AEF"/>
    <w:rsid w:val="00675678"/>
    <w:rsid w:val="00677012"/>
    <w:rsid w:val="006825B4"/>
    <w:rsid w:val="00682AF2"/>
    <w:rsid w:val="006864DF"/>
    <w:rsid w:val="00692413"/>
    <w:rsid w:val="006A3C8A"/>
    <w:rsid w:val="006A7552"/>
    <w:rsid w:val="006B0A6F"/>
    <w:rsid w:val="006B5953"/>
    <w:rsid w:val="006B7A81"/>
    <w:rsid w:val="006C4BAC"/>
    <w:rsid w:val="006C52F3"/>
    <w:rsid w:val="006E7F37"/>
    <w:rsid w:val="006F3B81"/>
    <w:rsid w:val="006F4F79"/>
    <w:rsid w:val="00705B37"/>
    <w:rsid w:val="00711FD9"/>
    <w:rsid w:val="00713757"/>
    <w:rsid w:val="00727128"/>
    <w:rsid w:val="00735062"/>
    <w:rsid w:val="00746BA5"/>
    <w:rsid w:val="00751D23"/>
    <w:rsid w:val="00770577"/>
    <w:rsid w:val="00777666"/>
    <w:rsid w:val="0078159B"/>
    <w:rsid w:val="00782E10"/>
    <w:rsid w:val="0078706B"/>
    <w:rsid w:val="00790836"/>
    <w:rsid w:val="00797131"/>
    <w:rsid w:val="007A3C1D"/>
    <w:rsid w:val="007B285D"/>
    <w:rsid w:val="007B6C01"/>
    <w:rsid w:val="007C6BC6"/>
    <w:rsid w:val="00801DCA"/>
    <w:rsid w:val="00807D79"/>
    <w:rsid w:val="00813634"/>
    <w:rsid w:val="00822821"/>
    <w:rsid w:val="00831C29"/>
    <w:rsid w:val="008431EF"/>
    <w:rsid w:val="008468E0"/>
    <w:rsid w:val="008526E9"/>
    <w:rsid w:val="00863B82"/>
    <w:rsid w:val="00871B59"/>
    <w:rsid w:val="00877D03"/>
    <w:rsid w:val="00877E96"/>
    <w:rsid w:val="008806CA"/>
    <w:rsid w:val="008815E5"/>
    <w:rsid w:val="00887B37"/>
    <w:rsid w:val="008909B9"/>
    <w:rsid w:val="00891DFC"/>
    <w:rsid w:val="008B12B4"/>
    <w:rsid w:val="008B7914"/>
    <w:rsid w:val="008C5D2A"/>
    <w:rsid w:val="008C7AF4"/>
    <w:rsid w:val="008D529F"/>
    <w:rsid w:val="008F5CC8"/>
    <w:rsid w:val="009061B8"/>
    <w:rsid w:val="0091008B"/>
    <w:rsid w:val="00911EA2"/>
    <w:rsid w:val="00916C7D"/>
    <w:rsid w:val="0092575D"/>
    <w:rsid w:val="009341DA"/>
    <w:rsid w:val="009430F9"/>
    <w:rsid w:val="009442E8"/>
    <w:rsid w:val="00946BD0"/>
    <w:rsid w:val="0095426C"/>
    <w:rsid w:val="00970087"/>
    <w:rsid w:val="00971074"/>
    <w:rsid w:val="00983695"/>
    <w:rsid w:val="00995D86"/>
    <w:rsid w:val="009A5453"/>
    <w:rsid w:val="009B4D94"/>
    <w:rsid w:val="009C2871"/>
    <w:rsid w:val="009D3C33"/>
    <w:rsid w:val="009D7F3A"/>
    <w:rsid w:val="009E295D"/>
    <w:rsid w:val="009E4885"/>
    <w:rsid w:val="00A07260"/>
    <w:rsid w:val="00A07DB6"/>
    <w:rsid w:val="00A10A73"/>
    <w:rsid w:val="00A170B3"/>
    <w:rsid w:val="00A223D5"/>
    <w:rsid w:val="00A37D1C"/>
    <w:rsid w:val="00A5453E"/>
    <w:rsid w:val="00A56F6C"/>
    <w:rsid w:val="00A76C8C"/>
    <w:rsid w:val="00A85F30"/>
    <w:rsid w:val="00A9099E"/>
    <w:rsid w:val="00A91FB7"/>
    <w:rsid w:val="00A9298F"/>
    <w:rsid w:val="00AA0351"/>
    <w:rsid w:val="00AA5F4A"/>
    <w:rsid w:val="00AB1984"/>
    <w:rsid w:val="00AB52B1"/>
    <w:rsid w:val="00AC4CB3"/>
    <w:rsid w:val="00AC780D"/>
    <w:rsid w:val="00AD036B"/>
    <w:rsid w:val="00AD1996"/>
    <w:rsid w:val="00AD4099"/>
    <w:rsid w:val="00AD4901"/>
    <w:rsid w:val="00B02FE0"/>
    <w:rsid w:val="00B057B6"/>
    <w:rsid w:val="00B2575B"/>
    <w:rsid w:val="00B30448"/>
    <w:rsid w:val="00B34786"/>
    <w:rsid w:val="00B400EC"/>
    <w:rsid w:val="00B40162"/>
    <w:rsid w:val="00B41ACE"/>
    <w:rsid w:val="00B50156"/>
    <w:rsid w:val="00B518AD"/>
    <w:rsid w:val="00B60A96"/>
    <w:rsid w:val="00B678EC"/>
    <w:rsid w:val="00B76C94"/>
    <w:rsid w:val="00B772D0"/>
    <w:rsid w:val="00B836EA"/>
    <w:rsid w:val="00B84C05"/>
    <w:rsid w:val="00B91B81"/>
    <w:rsid w:val="00B9563C"/>
    <w:rsid w:val="00B97135"/>
    <w:rsid w:val="00BB3072"/>
    <w:rsid w:val="00BC7632"/>
    <w:rsid w:val="00BD48A9"/>
    <w:rsid w:val="00BD630F"/>
    <w:rsid w:val="00BD7EC6"/>
    <w:rsid w:val="00BE73FA"/>
    <w:rsid w:val="00BF6B4B"/>
    <w:rsid w:val="00C0174E"/>
    <w:rsid w:val="00C0511C"/>
    <w:rsid w:val="00C20ACF"/>
    <w:rsid w:val="00C22307"/>
    <w:rsid w:val="00C23469"/>
    <w:rsid w:val="00C30C62"/>
    <w:rsid w:val="00C371DF"/>
    <w:rsid w:val="00C42055"/>
    <w:rsid w:val="00C44B4C"/>
    <w:rsid w:val="00C46734"/>
    <w:rsid w:val="00C47A86"/>
    <w:rsid w:val="00C53220"/>
    <w:rsid w:val="00C64421"/>
    <w:rsid w:val="00CA1312"/>
    <w:rsid w:val="00CA3347"/>
    <w:rsid w:val="00CC299A"/>
    <w:rsid w:val="00CD03E3"/>
    <w:rsid w:val="00CE6BDA"/>
    <w:rsid w:val="00D0142E"/>
    <w:rsid w:val="00D03DBE"/>
    <w:rsid w:val="00D072C0"/>
    <w:rsid w:val="00D34C82"/>
    <w:rsid w:val="00D3757A"/>
    <w:rsid w:val="00D504A9"/>
    <w:rsid w:val="00D5206D"/>
    <w:rsid w:val="00D525B3"/>
    <w:rsid w:val="00D7177D"/>
    <w:rsid w:val="00D81311"/>
    <w:rsid w:val="00DB201E"/>
    <w:rsid w:val="00DC0E68"/>
    <w:rsid w:val="00DD25ED"/>
    <w:rsid w:val="00DE0D6E"/>
    <w:rsid w:val="00E1610C"/>
    <w:rsid w:val="00E16D73"/>
    <w:rsid w:val="00E23E9E"/>
    <w:rsid w:val="00E25722"/>
    <w:rsid w:val="00E27F0A"/>
    <w:rsid w:val="00E4231E"/>
    <w:rsid w:val="00E4302C"/>
    <w:rsid w:val="00E44AC7"/>
    <w:rsid w:val="00E45F4B"/>
    <w:rsid w:val="00E504B9"/>
    <w:rsid w:val="00E60A16"/>
    <w:rsid w:val="00E72D20"/>
    <w:rsid w:val="00E82B6E"/>
    <w:rsid w:val="00E94258"/>
    <w:rsid w:val="00E96C18"/>
    <w:rsid w:val="00EA25DC"/>
    <w:rsid w:val="00EA2E61"/>
    <w:rsid w:val="00EA7D7F"/>
    <w:rsid w:val="00EB02F4"/>
    <w:rsid w:val="00EB2FA2"/>
    <w:rsid w:val="00EB769A"/>
    <w:rsid w:val="00EC3A35"/>
    <w:rsid w:val="00EE17F2"/>
    <w:rsid w:val="00EE3138"/>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4E90"/>
    <w:rsid w:val="00F356D6"/>
    <w:rsid w:val="00F53BE2"/>
    <w:rsid w:val="00F55684"/>
    <w:rsid w:val="00F64D5A"/>
    <w:rsid w:val="00F709CD"/>
    <w:rsid w:val="00F76CE8"/>
    <w:rsid w:val="00F906F4"/>
    <w:rsid w:val="00FA0716"/>
    <w:rsid w:val="00FB4629"/>
    <w:rsid w:val="00FB6FB1"/>
    <w:rsid w:val="00FB7063"/>
    <w:rsid w:val="00FC7056"/>
    <w:rsid w:val="00FE1A00"/>
    <w:rsid w:val="00FF6E1C"/>
    <w:rsid w:val="024D7E2C"/>
    <w:rsid w:val="0D2EB883"/>
    <w:rsid w:val="0D8163B6"/>
    <w:rsid w:val="13A69650"/>
    <w:rsid w:val="18C10F1C"/>
    <w:rsid w:val="1BB32F19"/>
    <w:rsid w:val="1F2C3AF5"/>
    <w:rsid w:val="1F9252E4"/>
    <w:rsid w:val="1FF4886A"/>
    <w:rsid w:val="22D2584A"/>
    <w:rsid w:val="28751A95"/>
    <w:rsid w:val="29FA8189"/>
    <w:rsid w:val="2C00A012"/>
    <w:rsid w:val="2F421DDF"/>
    <w:rsid w:val="389994B3"/>
    <w:rsid w:val="3B30A011"/>
    <w:rsid w:val="3B93C128"/>
    <w:rsid w:val="3CFBE104"/>
    <w:rsid w:val="510454D8"/>
    <w:rsid w:val="521E120A"/>
    <w:rsid w:val="5D8505AD"/>
    <w:rsid w:val="6CAEFF2C"/>
    <w:rsid w:val="71443FBB"/>
    <w:rsid w:val="72EE784C"/>
    <w:rsid w:val="7563E76A"/>
    <w:rsid w:val="79A6159C"/>
    <w:rsid w:val="7B5CC0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73504"/>
  <w15:docId w15:val="{5EA3CBFA-9EA4-FF43-9D5F-422800086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Fuerte">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olombiacompra.gov.co/sites/cce_public/files/cce_documents/cce_guia_regimen_especial.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iradministrativo@loteriadelvalle.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manuales-guias-y-pliegos-tipo%2Fmanuales-y-guias%2Fcartilla-para-incentivar-y-fortalecer-el-acceso-las&amp;data=05%7C02%7Cana.bonilla%40colombiacompra.gov.co%7Ceb0fd05604104aa4d3bc08dd4c4ad35e%7C7b09041e245149d08cb179d5e3d8c1be%7C0%7C0%7C638750606446092694%7CUnknown%7CTWFpbGZsb3d8eyJFbXB0eU1hcGkiOnRydWUsIlYiOiIwLjAuMDAwMCIsIlAiOiJXaW4zMiIsIkFOIjoiTWFpbCIsIldUIjoyfQ%3D%3D%7C0%7C%7C%7C&amp;sdata=iuMSUNSIHYcn%2By48hB4feMl9Ay5ZO5BW821EblA%2BTsw%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2.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3.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20</TotalTime>
  <Pages>14</Pages>
  <Words>4199</Words>
  <Characters>22637</Characters>
  <Application>Microsoft Office Word</Application>
  <DocSecurity>0</DocSecurity>
  <Lines>461</Lines>
  <Paragraphs>102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Andreina Cerpa Muñoz</cp:lastModifiedBy>
  <cp:revision>3</cp:revision>
  <dcterms:created xsi:type="dcterms:W3CDTF">2025-10-09T15:37:00Z</dcterms:created>
  <dcterms:modified xsi:type="dcterms:W3CDTF">2026-03-03T17:24:00Z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