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6A912E"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bookmarkStart w:id="0" w:name="_Hlk181166130"/>
      <w:bookmarkStart w:id="1" w:name="_Hlk209714638"/>
      <w:r w:rsidRPr="00A43145">
        <w:rPr>
          <w:rStyle w:val="normaltextrun"/>
          <w:rFonts w:ascii="Verdana" w:hAnsi="Verdana" w:cs="Arial"/>
          <w:b/>
          <w:bCs/>
          <w:sz w:val="22"/>
          <w:szCs w:val="22"/>
        </w:rPr>
        <w:t>CONTRATO D</w:t>
      </w:r>
      <w:r>
        <w:rPr>
          <w:rStyle w:val="normaltextrun"/>
          <w:rFonts w:ascii="Verdana" w:hAnsi="Verdana" w:cs="Arial"/>
          <w:b/>
          <w:bCs/>
          <w:sz w:val="22"/>
          <w:szCs w:val="22"/>
        </w:rPr>
        <w:t>E</w:t>
      </w:r>
      <w:r w:rsidRPr="00A43145">
        <w:rPr>
          <w:rStyle w:val="normaltextrun"/>
          <w:rFonts w:ascii="Verdana" w:hAnsi="Verdana" w:cs="Arial"/>
          <w:b/>
          <w:bCs/>
          <w:sz w:val="22"/>
          <w:szCs w:val="22"/>
        </w:rPr>
        <w:t xml:space="preserve"> PRESTACIÓN DE SERVICIOS – Concepto – Características</w:t>
      </w:r>
      <w:r w:rsidRPr="00A43145">
        <w:rPr>
          <w:rStyle w:val="eop"/>
          <w:rFonts w:ascii="Verdana" w:hAnsi="Verdana" w:cs="Arial"/>
          <w:sz w:val="22"/>
          <w:szCs w:val="22"/>
        </w:rPr>
        <w:t> </w:t>
      </w:r>
    </w:p>
    <w:p w14:paraId="33504F61"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eop"/>
          <w:rFonts w:ascii="Verdana" w:hAnsi="Verdana" w:cs="Arial"/>
          <w:sz w:val="22"/>
          <w:szCs w:val="22"/>
        </w:rPr>
        <w:t> </w:t>
      </w:r>
    </w:p>
    <w:p w14:paraId="2B020286"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sz w:val="20"/>
          <w:szCs w:val="20"/>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w:t>
      </w:r>
      <w:r w:rsidRPr="00A43145">
        <w:rPr>
          <w:rStyle w:val="normaltextrun"/>
          <w:rFonts w:ascii="Verdana" w:hAnsi="Verdana" w:cs="Calibri"/>
          <w:sz w:val="22"/>
          <w:szCs w:val="22"/>
        </w:rPr>
        <w:t xml:space="preserve"> </w:t>
      </w:r>
      <w:r w:rsidRPr="00A43145">
        <w:rPr>
          <w:rStyle w:val="normaltextrun"/>
          <w:rFonts w:ascii="Verdana" w:hAnsi="Verdana" w:cs="Arial"/>
          <w:sz w:val="20"/>
          <w:szCs w:val="20"/>
        </w:rPr>
        <w:t>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Style w:val="normaltextrun"/>
          <w:rFonts w:ascii="Verdana" w:hAnsi="Verdana" w:cs="Arial"/>
          <w:sz w:val="20"/>
          <w:szCs w:val="20"/>
        </w:rPr>
        <w:t>”</w:t>
      </w:r>
      <w:r w:rsidRPr="00A43145">
        <w:rPr>
          <w:rStyle w:val="normaltextrun"/>
          <w:rFonts w:ascii="Verdana" w:hAnsi="Verdana" w:cs="Arial"/>
          <w:sz w:val="20"/>
          <w:szCs w:val="20"/>
        </w:rPr>
        <w:t>. La celebración de dicho contrato debe efectuarse a través de la modalidad de contratación directa.</w:t>
      </w:r>
      <w:r w:rsidRPr="00A43145">
        <w:rPr>
          <w:rStyle w:val="eop"/>
          <w:rFonts w:ascii="Verdana" w:hAnsi="Verdana" w:cs="Arial"/>
        </w:rPr>
        <w:t> </w:t>
      </w:r>
    </w:p>
    <w:p w14:paraId="072790B2"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sz w:val="20"/>
          <w:szCs w:val="20"/>
        </w:rPr>
        <w:t>[…]</w:t>
      </w:r>
      <w:r w:rsidRPr="00A43145">
        <w:rPr>
          <w:rStyle w:val="eop"/>
          <w:rFonts w:ascii="Verdana" w:hAnsi="Verdana" w:cs="Arial"/>
        </w:rPr>
        <w:t> </w:t>
      </w:r>
    </w:p>
    <w:p w14:paraId="13E6B11E"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sz w:val="20"/>
          <w:szCs w:val="20"/>
        </w:rPr>
        <w:t xml:space="preserve">[…] de la reciente Sentencia de Unificación Jurisprudencial del 9 de septiembre de 2021, proferida por el Consejo de Estado, es posible señalar las siguientes características del contrato de prestación de servicios: i) Solo puede celebrarse para realizar </w:t>
      </w:r>
      <w:r>
        <w:rPr>
          <w:rStyle w:val="normaltextrun"/>
          <w:rFonts w:ascii="Verdana" w:hAnsi="Verdana" w:cs="Arial"/>
          <w:sz w:val="20"/>
          <w:szCs w:val="20"/>
        </w:rPr>
        <w:t>“</w:t>
      </w:r>
      <w:r w:rsidRPr="00A43145">
        <w:rPr>
          <w:rStyle w:val="normaltextrun"/>
          <w:rFonts w:ascii="Verdana" w:hAnsi="Verdana" w:cs="Arial"/>
          <w:sz w:val="20"/>
          <w:szCs w:val="20"/>
        </w:rPr>
        <w:t>actividades relacionadas con la administración o funcionamiento de la entidad</w:t>
      </w:r>
      <w:r>
        <w:rPr>
          <w:rStyle w:val="normaltextrun"/>
          <w:rFonts w:ascii="Verdana" w:hAnsi="Verdana" w:cs="Arial"/>
          <w:sz w:val="20"/>
          <w:szCs w:val="20"/>
        </w:rPr>
        <w:t>”</w:t>
      </w:r>
      <w:r w:rsidRPr="00A43145">
        <w:rPr>
          <w:rStyle w:val="normaltextrun"/>
          <w:rFonts w:ascii="Verdana" w:hAnsi="Verdana" w:cs="Arial"/>
          <w:sz w:val="20"/>
          <w:szCs w:val="20"/>
        </w:rPr>
        <w:t xml:space="preserve"> […]. ii) Respecto del tipo de personas que pueden ser contratadas, admite que se suscriba con personas naturales o jurídicas. iii) Si bien se celebran para obtener la prestación personal de un servicio, se diferencian del contrato de trabajo en que quien celebra el contrato de prestación de servicios debe mantener autonomía e independencia en la ejecución de la labor […]; iv) Deben ser temporales. v) Se celebran a través de la modalidad de contratación directa, independientemente de la cuantía y del tipo de servicio profesional, siempre que su objeto no sea la consultoría. vi) Para su celebración no se requiere expedir un acto administrativo de justificación de la contratación directa. vii) El contrato admite la inclusión de cláusulas excepcionales. viii) No es obligatoria la liquidación de estos contratos, como lo establece el artículo 217 del Decreto 019 de 2012, que modificó el artículo 60 de la Ley 80 de 1993. ix) Para su celebración el contratista no requiere estar inscrito en el Registro Único de Proponentes –RUP–, como lo señala el artículo 6 de la Ley 1150 de 2007. x) No es obligatoria la exigencia de garantías. xi) Como los demás contratos estatales, se trata de un contrato solemne que debe constar por escrito y debe ser publicado en el SECOP. xii) Como especies del género prestación de servicios, se incluyen los contratos de prestación de servicios profesionales, los contratos de prestación de servicios de apoyo a la gestión y los contratos de prestación de servicios artísticos que solo pueden encomendarse a determinadas personas naturales.</w:t>
      </w:r>
      <w:r w:rsidRPr="00A43145">
        <w:rPr>
          <w:rStyle w:val="eop"/>
          <w:rFonts w:ascii="Verdana" w:hAnsi="Verdana" w:cs="Arial"/>
        </w:rPr>
        <w:t> </w:t>
      </w:r>
    </w:p>
    <w:p w14:paraId="14258512"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eop"/>
          <w:rFonts w:ascii="Verdana" w:hAnsi="Verdana" w:cs="Arial"/>
        </w:rPr>
        <w:t> </w:t>
      </w:r>
    </w:p>
    <w:p w14:paraId="7E6ECDB7"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b/>
          <w:bCs/>
          <w:sz w:val="22"/>
          <w:szCs w:val="22"/>
        </w:rPr>
        <w:t xml:space="preserve">CONTRATOS DE PRESTACIÓN DE SERVICIOS – Fijación de honorarios – Tablas de honorarios – </w:t>
      </w:r>
    </w:p>
    <w:p w14:paraId="7BD6DEF0"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eop"/>
          <w:rFonts w:ascii="Verdana" w:hAnsi="Verdana" w:cs="Arial"/>
        </w:rPr>
        <w:t> </w:t>
      </w:r>
    </w:p>
    <w:p w14:paraId="7D3387F5"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sz w:val="20"/>
          <w:szCs w:val="20"/>
        </w:rPr>
        <w:t xml:space="preserve">[…] las entidades públicas determinan el monto de los honorarios de los contratos de prestación de servicios profesionales, de apoyo a la gestión y trabajos artísticos de conformidad con lo establecido en el análisis del sector y en los documentos o estudios previos. Así pues, cabe resaltar, que en la Ley 80 de 1993, Ley 1150 de 2007 y en el Decreto 1082 de 2015 no se encuentran disposiciones que establezcan la obligatoriedad de implementar tablas de honorarios o estandarizar perfiles para los contratos de </w:t>
      </w:r>
      <w:r w:rsidRPr="00A43145">
        <w:rPr>
          <w:rStyle w:val="normaltextrun"/>
          <w:rFonts w:ascii="Verdana" w:hAnsi="Verdana" w:cs="Arial"/>
          <w:sz w:val="20"/>
          <w:szCs w:val="20"/>
        </w:rPr>
        <w:lastRenderedPageBreak/>
        <w:t>prestación de servicios, pero, lo anterior, no significa que las entidades no puedan hacerlo.</w:t>
      </w:r>
      <w:r w:rsidRPr="00A43145">
        <w:rPr>
          <w:rStyle w:val="eop"/>
          <w:rFonts w:ascii="Verdana" w:hAnsi="Verdana" w:cs="Arial"/>
        </w:rPr>
        <w:t> </w:t>
      </w:r>
    </w:p>
    <w:p w14:paraId="3CF3BC10" w14:textId="77777777" w:rsidR="0095364F" w:rsidRPr="00E7701E" w:rsidRDefault="0095364F" w:rsidP="0095364F">
      <w:pPr>
        <w:spacing w:after="0" w:line="240" w:lineRule="auto"/>
        <w:jc w:val="both"/>
        <w:rPr>
          <w:rFonts w:ascii="Verdana" w:eastAsia="Calibri" w:hAnsi="Verdana" w:cs="Arial"/>
          <w:b/>
          <w:lang w:val="es-ES" w:eastAsia="es-ES"/>
        </w:rPr>
      </w:pPr>
      <w:r w:rsidRPr="00E7701E">
        <w:rPr>
          <w:rFonts w:ascii="Verdana" w:eastAsia="Calibri" w:hAnsi="Verdana" w:cs="Arial"/>
          <w:b/>
          <w:lang w:val="es-ES" w:eastAsia="es-ES"/>
        </w:rPr>
        <w:t xml:space="preserve">CONTRATACIÓN PÚBLICA – Principio de publicidad – Principio de transparencia – Uso del SECOP </w:t>
      </w:r>
    </w:p>
    <w:p w14:paraId="6D82879A" w14:textId="77777777" w:rsidR="0095364F" w:rsidRPr="00E7701E" w:rsidRDefault="0095364F" w:rsidP="0095364F">
      <w:pPr>
        <w:spacing w:after="0" w:line="240" w:lineRule="auto"/>
        <w:jc w:val="both"/>
        <w:rPr>
          <w:rFonts w:ascii="Verdana" w:eastAsia="Calibri" w:hAnsi="Verdana" w:cs="Arial"/>
          <w:b/>
          <w:bCs/>
          <w:sz w:val="20"/>
          <w:szCs w:val="20"/>
          <w:highlight w:val="yellow"/>
          <w:lang w:val="es-ES_tradnl" w:eastAsia="es-ES_tradnl"/>
        </w:rPr>
      </w:pPr>
    </w:p>
    <w:p w14:paraId="43991E53" w14:textId="77777777" w:rsidR="0095364F" w:rsidRPr="00E7701E" w:rsidRDefault="0095364F" w:rsidP="0095364F">
      <w:pPr>
        <w:spacing w:after="0" w:line="240" w:lineRule="auto"/>
        <w:jc w:val="both"/>
        <w:rPr>
          <w:rFonts w:ascii="Verdana" w:eastAsia="Aptos" w:hAnsi="Verdana" w:cs="Times New Roman"/>
          <w:sz w:val="20"/>
          <w:szCs w:val="20"/>
        </w:rPr>
      </w:pPr>
      <w:r w:rsidRPr="00E7701E">
        <w:rPr>
          <w:rFonts w:ascii="Verdana" w:eastAsia="Aptos" w:hAnsi="Verdana" w:cs="Times New Roman"/>
          <w:sz w:val="20"/>
          <w:szCs w:val="20"/>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14:paraId="642D27E6" w14:textId="77777777" w:rsidR="0095364F" w:rsidRPr="00A103D8" w:rsidRDefault="0095364F" w:rsidP="0095364F">
      <w:pPr>
        <w:spacing w:after="0" w:line="240" w:lineRule="auto"/>
        <w:jc w:val="both"/>
        <w:rPr>
          <w:rFonts w:ascii="Verdana" w:eastAsia="Times New Roman" w:hAnsi="Verdana" w:cs="Arial"/>
          <w:lang w:eastAsia="es-CO"/>
        </w:rPr>
      </w:pPr>
    </w:p>
    <w:p w14:paraId="336082EA" w14:textId="77777777" w:rsidR="0095364F" w:rsidRPr="00A103D8" w:rsidRDefault="0095364F" w:rsidP="0095364F">
      <w:pPr>
        <w:spacing w:after="0" w:line="240" w:lineRule="auto"/>
        <w:jc w:val="both"/>
        <w:rPr>
          <w:rFonts w:ascii="Verdana" w:hAnsi="Verdana"/>
          <w:b/>
          <w:bCs/>
        </w:rPr>
      </w:pPr>
      <w:r w:rsidRPr="00A103D8">
        <w:rPr>
          <w:rFonts w:ascii="Verdana" w:hAnsi="Verdana"/>
          <w:b/>
          <w:bCs/>
        </w:rPr>
        <w:t xml:space="preserve">CIRCULAR ÚNICA EXTERNA – Publicación en el SECOP </w:t>
      </w:r>
      <w:r w:rsidRPr="005D69DA">
        <w:rPr>
          <w:rFonts w:ascii="Verdana" w:hAnsi="Verdana"/>
          <w:b/>
          <w:bCs/>
        </w:rPr>
        <w:t>–</w:t>
      </w:r>
      <w:r w:rsidRPr="00A103D8">
        <w:rPr>
          <w:rFonts w:ascii="Verdana" w:hAnsi="Verdana"/>
          <w:b/>
          <w:bCs/>
        </w:rPr>
        <w:t xml:space="preserve"> Oportunidad</w:t>
      </w:r>
    </w:p>
    <w:p w14:paraId="188B151D" w14:textId="77777777" w:rsidR="0095364F" w:rsidRPr="002309A6" w:rsidRDefault="0095364F" w:rsidP="0095364F">
      <w:pPr>
        <w:spacing w:after="0" w:line="240" w:lineRule="auto"/>
        <w:jc w:val="both"/>
        <w:rPr>
          <w:rFonts w:ascii="Verdana" w:hAnsi="Verdana"/>
          <w:color w:val="4472C4" w:themeColor="accent1"/>
        </w:rPr>
      </w:pPr>
    </w:p>
    <w:p w14:paraId="2AB5C5AA" w14:textId="77777777" w:rsidR="0095364F" w:rsidRPr="00D8664B" w:rsidRDefault="0095364F" w:rsidP="0095364F">
      <w:pPr>
        <w:spacing w:after="0" w:line="240" w:lineRule="auto"/>
        <w:jc w:val="both"/>
        <w:rPr>
          <w:rFonts w:ascii="Verdana" w:hAnsi="Verdana"/>
          <w:sz w:val="20"/>
          <w:szCs w:val="20"/>
        </w:rPr>
      </w:pPr>
      <w:r w:rsidRPr="00D8664B">
        <w:rPr>
          <w:rFonts w:ascii="Verdana" w:hAnsi="Verdana"/>
          <w:sz w:val="20"/>
          <w:szCs w:val="20"/>
        </w:rPr>
        <w:t>La Circular Externa Única, recordó a todas las entidades del Estado el deber de publicar oportunamente su actividad contractual en el SECOP, sin distinción de su régimen jurídico, naturaleza jurídica o la pertenencia a una u otra rama del poder público. Además, la Circular Externa Única. Las Entidades que aún utilizan el SECOP I están obligadas a publicar en este sistema los Documentos del Proceso dentro de los tres (3) días siguientes a su expedición, por disposición del artículo 2.2.1.1.1.7.1 del decreto 1082 de 2015. La información registrada por las Entidades en el SECOP II y en la Tienda Virtual del Estado Colombiano está disponible en tiempo real, debido a que las actuaciones del Proceso de Contratación tienen lugar electrónicamente, a través de dichas plataformas transaccionales. Sin embargo, a pesar del carácter transaccional, que permite que el trámite de gran parte de las actuaciones de la gestión contractual se realice en línea y de forma concomitante a su publicidad, las Entidades pueden crear documentos en medio físico o electrónico por fuera de la plataforma para, posteriormente, ser incorporados en el módulo dispuesto para el efecto. Por lo tanto, el SECOP II y la TVEC están conformados por documentos electrónicos como formularios o plantillas generados a partir de la información diligenciada por la Entidad Estatal o el Proveedor y documentos producidos originalmente en físico o por medios electrónicos, que la Entidad Estatal o el Proveedor digitalizan y cargan o publican en las plataformas mediante las secciones correspondientes de acuerdo con la etapa del Proceso de Contratación. Respecto a los documentos que no son generados en línea, el SECOP II y la TVEC permiten su publicidad. Para ello, se aplicará la misma regla de los tres (3) días siguientes a la expedición, conforme con lo previsto en el artículo 2.2.1.1.1.7.1. del Decreto Reglamentario 1082 de 2015.</w:t>
      </w:r>
    </w:p>
    <w:p w14:paraId="1A6CD337" w14:textId="77777777" w:rsidR="0095364F" w:rsidRPr="002309A6" w:rsidRDefault="0095364F" w:rsidP="0095364F">
      <w:pPr>
        <w:spacing w:after="0" w:line="240" w:lineRule="auto"/>
        <w:jc w:val="both"/>
        <w:rPr>
          <w:rFonts w:ascii="Verdana" w:eastAsia="Times New Roman" w:hAnsi="Verdana" w:cs="Arial"/>
          <w:color w:val="4472C4" w:themeColor="accent1"/>
          <w:lang w:eastAsia="es-CO"/>
        </w:rPr>
      </w:pPr>
    </w:p>
    <w:p w14:paraId="5BEFB142" w14:textId="77777777" w:rsidR="0095364F" w:rsidRDefault="0095364F" w:rsidP="0095364F">
      <w:pPr>
        <w:spacing w:after="0" w:line="240" w:lineRule="auto"/>
        <w:rPr>
          <w:rFonts w:ascii="Verdana" w:hAnsi="Verdana"/>
        </w:rPr>
      </w:pPr>
    </w:p>
    <w:p w14:paraId="1570075F" w14:textId="77777777" w:rsidR="0095364F" w:rsidRDefault="0095364F" w:rsidP="0095364F">
      <w:pPr>
        <w:spacing w:after="0" w:line="240" w:lineRule="auto"/>
        <w:rPr>
          <w:rFonts w:ascii="Verdana" w:hAnsi="Verdana"/>
        </w:rPr>
      </w:pPr>
    </w:p>
    <w:p w14:paraId="05D78B8D" w14:textId="77777777" w:rsidR="0095364F" w:rsidRDefault="0095364F" w:rsidP="0095364F">
      <w:pPr>
        <w:spacing w:after="0" w:line="240" w:lineRule="auto"/>
        <w:rPr>
          <w:rFonts w:ascii="Verdana" w:hAnsi="Verdana"/>
        </w:rPr>
      </w:pPr>
    </w:p>
    <w:p w14:paraId="39115100" w14:textId="77777777" w:rsidR="0095364F" w:rsidRDefault="0095364F" w:rsidP="0095364F">
      <w:pPr>
        <w:spacing w:after="0" w:line="240" w:lineRule="auto"/>
        <w:rPr>
          <w:rFonts w:ascii="Verdana" w:hAnsi="Verdana"/>
        </w:rPr>
      </w:pPr>
    </w:p>
    <w:p w14:paraId="685D505A" w14:textId="77777777" w:rsidR="0095364F" w:rsidRDefault="0095364F" w:rsidP="0095364F">
      <w:pPr>
        <w:spacing w:after="0" w:line="240" w:lineRule="auto"/>
        <w:rPr>
          <w:rFonts w:ascii="Verdana" w:hAnsi="Verdana"/>
        </w:rPr>
      </w:pPr>
    </w:p>
    <w:p w14:paraId="5EE0875A" w14:textId="77777777" w:rsidR="0095364F" w:rsidRDefault="0095364F" w:rsidP="0095364F">
      <w:pPr>
        <w:spacing w:after="0" w:line="240" w:lineRule="auto"/>
        <w:rPr>
          <w:rFonts w:ascii="Verdana" w:hAnsi="Verdana"/>
        </w:rPr>
      </w:pPr>
    </w:p>
    <w:p w14:paraId="66B56ECB" w14:textId="77777777" w:rsidR="0095364F" w:rsidRDefault="0095364F" w:rsidP="0095364F">
      <w:pPr>
        <w:spacing w:after="0" w:line="240" w:lineRule="auto"/>
        <w:rPr>
          <w:rFonts w:ascii="Verdana" w:hAnsi="Verdana"/>
        </w:rPr>
      </w:pPr>
    </w:p>
    <w:p w14:paraId="14267D17" w14:textId="798E54D1" w:rsidR="0095364F" w:rsidRDefault="0095364F" w:rsidP="0095364F">
      <w:pPr>
        <w:spacing w:after="0" w:line="240" w:lineRule="auto"/>
        <w:rPr>
          <w:rFonts w:ascii="Verdana" w:hAnsi="Verdana"/>
        </w:rPr>
      </w:pPr>
      <w:r>
        <w:rPr>
          <w:rFonts w:ascii="Verdana" w:hAnsi="Verdana"/>
        </w:rPr>
        <w:t>B</w:t>
      </w:r>
      <w:r w:rsidRPr="0044528D">
        <w:rPr>
          <w:rFonts w:ascii="Verdana" w:hAnsi="Verdana"/>
        </w:rPr>
        <w:t xml:space="preserve">ogotá D.C., </w:t>
      </w:r>
      <w:bookmarkEnd w:id="0"/>
      <w:r w:rsidR="00BA33CD">
        <w:rPr>
          <w:rFonts w:ascii="Verdana" w:hAnsi="Verdana"/>
        </w:rPr>
        <w:t>02 de octubre de 20</w:t>
      </w:r>
      <w:r w:rsidR="006048E6">
        <w:rPr>
          <w:rFonts w:ascii="Verdana" w:hAnsi="Verdana"/>
        </w:rPr>
        <w:t>25</w:t>
      </w:r>
    </w:p>
    <w:p w14:paraId="3DCFDF12" w14:textId="39C5F835" w:rsidR="00BA33CD" w:rsidRDefault="00BA33CD" w:rsidP="00BA33CD">
      <w:pPr>
        <w:spacing w:after="0" w:line="240" w:lineRule="auto"/>
        <w:jc w:val="right"/>
        <w:rPr>
          <w:rFonts w:ascii="Verdana" w:hAnsi="Verdana"/>
        </w:rPr>
      </w:pPr>
      <w:r>
        <w:rPr>
          <w:rFonts w:ascii="Verdana" w:hAnsi="Verdana"/>
          <w:noProof/>
        </w:rPr>
        <w:drawing>
          <wp:inline distT="0" distB="0" distL="0" distR="0" wp14:anchorId="7D56165D" wp14:editId="02B6CC3D">
            <wp:extent cx="2286000" cy="657225"/>
            <wp:effectExtent l="0" t="0" r="0" b="9525"/>
            <wp:docPr id="14430230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0" cy="657225"/>
                    </a:xfrm>
                    <a:prstGeom prst="rect">
                      <a:avLst/>
                    </a:prstGeom>
                    <a:noFill/>
                    <a:ln>
                      <a:noFill/>
                    </a:ln>
                  </pic:spPr>
                </pic:pic>
              </a:graphicData>
            </a:graphic>
          </wp:inline>
        </w:drawing>
      </w:r>
    </w:p>
    <w:p w14:paraId="2150B7AB" w14:textId="77777777" w:rsidR="00BA33CD" w:rsidRDefault="00BA33CD" w:rsidP="0095364F">
      <w:pPr>
        <w:spacing w:after="0" w:line="240" w:lineRule="auto"/>
        <w:rPr>
          <w:rFonts w:ascii="Verdana" w:hAnsi="Verdana"/>
        </w:rPr>
      </w:pPr>
    </w:p>
    <w:p w14:paraId="23999F2B" w14:textId="77777777" w:rsidR="0095364F" w:rsidRDefault="0095364F" w:rsidP="0095364F">
      <w:pPr>
        <w:spacing w:after="0" w:line="240" w:lineRule="auto"/>
        <w:rPr>
          <w:rFonts w:ascii="Verdana" w:hAnsi="Verdana"/>
        </w:rPr>
      </w:pPr>
    </w:p>
    <w:p w14:paraId="577BF6DB" w14:textId="77777777" w:rsidR="0095364F" w:rsidRPr="00631045" w:rsidRDefault="0095364F" w:rsidP="0095364F">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Pr>
          <w:rFonts w:ascii="Verdana" w:eastAsia="Calibri" w:hAnsi="Verdana" w:cs="Arial"/>
          <w:lang w:eastAsia="es-ES"/>
        </w:rPr>
        <w:t>a</w:t>
      </w:r>
      <w:r w:rsidRPr="00631045">
        <w:rPr>
          <w:rFonts w:ascii="Verdana" w:eastAsia="Calibri" w:hAnsi="Verdana" w:cs="Arial"/>
          <w:lang w:eastAsia="es-ES"/>
        </w:rPr>
        <w:tab/>
      </w:r>
    </w:p>
    <w:p w14:paraId="49BA1F47" w14:textId="77777777" w:rsidR="0095364F" w:rsidRDefault="0095364F" w:rsidP="0095364F">
      <w:pPr>
        <w:spacing w:after="0" w:line="240" w:lineRule="auto"/>
        <w:rPr>
          <w:rFonts w:ascii="Verdana" w:eastAsia="Calibri" w:hAnsi="Verdana" w:cs="Arial"/>
          <w:b/>
          <w:bCs/>
          <w:lang w:eastAsia="es-ES"/>
        </w:rPr>
      </w:pPr>
      <w:r w:rsidRPr="00435A65">
        <w:rPr>
          <w:rFonts w:ascii="Verdana" w:eastAsia="Calibri" w:hAnsi="Verdana" w:cs="Arial"/>
          <w:b/>
          <w:bCs/>
          <w:lang w:eastAsia="es-ES"/>
        </w:rPr>
        <w:t>ADRIANA CAROLINA MARTÍNEZ SÁNCHEZ</w:t>
      </w:r>
    </w:p>
    <w:p w14:paraId="044EB9F8" w14:textId="77777777" w:rsidR="0095364F" w:rsidRPr="00435A65" w:rsidRDefault="005008A3" w:rsidP="0095364F">
      <w:pPr>
        <w:spacing w:after="0" w:line="240" w:lineRule="auto"/>
        <w:rPr>
          <w:rFonts w:ascii="Verdana" w:eastAsia="Calibri" w:hAnsi="Verdana" w:cs="Arial"/>
          <w:b/>
          <w:bCs/>
          <w:lang w:eastAsia="es-ES"/>
        </w:rPr>
      </w:pPr>
      <w:hyperlink r:id="rId11" w:history="1">
        <w:r w:rsidR="0095364F" w:rsidRPr="00435A65">
          <w:rPr>
            <w:rStyle w:val="Hipervnculo"/>
            <w:rFonts w:ascii="Verdana" w:hAnsi="Verdana"/>
          </w:rPr>
          <w:t>martinezadriana@javeriana.edu.co</w:t>
        </w:r>
      </w:hyperlink>
    </w:p>
    <w:p w14:paraId="5B410408" w14:textId="77777777" w:rsidR="0095364F" w:rsidRDefault="0095364F" w:rsidP="0095364F">
      <w:pPr>
        <w:spacing w:after="0" w:line="240" w:lineRule="auto"/>
        <w:rPr>
          <w:rFonts w:ascii="Verdana" w:hAnsi="Verdana"/>
        </w:rPr>
      </w:pPr>
      <w:r>
        <w:rPr>
          <w:rFonts w:ascii="Verdana" w:hAnsi="Verdana"/>
        </w:rPr>
        <w:t>Bogotá D.C.</w:t>
      </w:r>
      <w:r w:rsidRPr="00631045">
        <w:rPr>
          <w:rFonts w:ascii="Verdana" w:hAnsi="Verdana"/>
        </w:rPr>
        <w:t xml:space="preserve"> </w:t>
      </w:r>
    </w:p>
    <w:p w14:paraId="684495CC" w14:textId="77777777" w:rsidR="0095364F" w:rsidRPr="00FE3DEC" w:rsidRDefault="0095364F" w:rsidP="0095364F">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95364F" w:rsidRPr="00593A5F" w14:paraId="75FAAA51" w14:textId="77777777" w:rsidTr="00E4636D">
        <w:trPr>
          <w:trHeight w:val="273"/>
        </w:trPr>
        <w:tc>
          <w:tcPr>
            <w:tcW w:w="2295" w:type="dxa"/>
          </w:tcPr>
          <w:p w14:paraId="2A33ACB8" w14:textId="77777777" w:rsidR="0095364F" w:rsidRPr="00E5644F" w:rsidRDefault="0095364F" w:rsidP="00E4636D">
            <w:pPr>
              <w:jc w:val="both"/>
              <w:rPr>
                <w:rFonts w:ascii="Verdana" w:eastAsia="Calibri" w:hAnsi="Verdana" w:cs="Arial"/>
                <w:b/>
                <w:bCs/>
                <w:color w:val="7030A0"/>
                <w:lang w:val="es-ES_tradnl" w:eastAsia="es-ES_tradnl"/>
              </w:rPr>
            </w:pPr>
          </w:p>
        </w:tc>
        <w:tc>
          <w:tcPr>
            <w:tcW w:w="6481" w:type="dxa"/>
            <w:gridSpan w:val="2"/>
          </w:tcPr>
          <w:p w14:paraId="1B75E11E" w14:textId="68CE16F4" w:rsidR="0095364F" w:rsidRDefault="0095364F" w:rsidP="00E4636D">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11</w:t>
            </w:r>
            <w:r w:rsidR="00135062">
              <w:rPr>
                <w:rFonts w:ascii="Verdana" w:eastAsia="Calibri" w:hAnsi="Verdana" w:cs="Arial"/>
                <w:b/>
                <w:bCs/>
                <w:lang w:val="es-ES" w:eastAsia="es-ES"/>
              </w:rPr>
              <w:t>73</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144A0050" w14:textId="77777777" w:rsidR="0095364F" w:rsidRPr="00E5644F" w:rsidRDefault="0095364F" w:rsidP="00E4636D">
            <w:pPr>
              <w:jc w:val="both"/>
              <w:rPr>
                <w:rFonts w:ascii="Verdana" w:eastAsia="Calibri" w:hAnsi="Verdana" w:cs="Arial"/>
                <w:b/>
                <w:bCs/>
                <w:color w:val="7030A0"/>
                <w:lang w:val="es-ES" w:eastAsia="es-ES"/>
              </w:rPr>
            </w:pPr>
          </w:p>
        </w:tc>
      </w:tr>
      <w:tr w:rsidR="0095364F" w:rsidRPr="00280D79" w14:paraId="42075BBB" w14:textId="77777777" w:rsidTr="00E4636D">
        <w:trPr>
          <w:trHeight w:val="1583"/>
        </w:trPr>
        <w:tc>
          <w:tcPr>
            <w:tcW w:w="2295" w:type="dxa"/>
          </w:tcPr>
          <w:p w14:paraId="2C64DA8A" w14:textId="77777777" w:rsidR="0095364F" w:rsidRPr="00593A5F" w:rsidRDefault="0095364F" w:rsidP="00E4636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3420B660" w14:textId="59398A31" w:rsidR="0095364F" w:rsidRPr="00A103D8" w:rsidRDefault="0095364F" w:rsidP="00E4636D">
            <w:pPr>
              <w:jc w:val="both"/>
              <w:rPr>
                <w:rFonts w:ascii="Verdana" w:hAnsi="Verdana"/>
                <w:b/>
                <w:bCs/>
              </w:rPr>
            </w:pPr>
            <w:r w:rsidRPr="00E26BC9">
              <w:rPr>
                <w:rStyle w:val="normaltextrun"/>
                <w:rFonts w:ascii="Verdana" w:hAnsi="Verdana" w:cs="Arial"/>
              </w:rPr>
              <w:t>CONTRATO DE PRESTACIÓN DE SERVICIOS – Concepto – Características</w:t>
            </w:r>
            <w:r w:rsidRPr="00E26BC9">
              <w:rPr>
                <w:rStyle w:val="eop"/>
                <w:rFonts w:ascii="Verdana" w:hAnsi="Verdana" w:cs="Arial"/>
              </w:rPr>
              <w:t> </w:t>
            </w:r>
            <w:r w:rsidR="009D3711">
              <w:rPr>
                <w:rStyle w:val="eop"/>
                <w:rFonts w:ascii="Verdana" w:hAnsi="Verdana" w:cs="Arial"/>
              </w:rPr>
              <w:t>/</w:t>
            </w:r>
            <w:r w:rsidR="009D3711">
              <w:rPr>
                <w:rStyle w:val="eop"/>
              </w:rPr>
              <w:t xml:space="preserve"> CONTRATOS</w:t>
            </w:r>
            <w:r w:rsidRPr="00E26BC9">
              <w:rPr>
                <w:rStyle w:val="normaltextrun"/>
                <w:rFonts w:ascii="Verdana" w:hAnsi="Verdana" w:cs="Arial"/>
              </w:rPr>
              <w:t xml:space="preserve"> DE PRESTACIÓN DE SERVICIOS – Fijación de honorarios – Tablas de honorarios – </w:t>
            </w:r>
            <w:r w:rsidRPr="00E26BC9">
              <w:rPr>
                <w:rFonts w:ascii="Verdana" w:eastAsia="Calibri" w:hAnsi="Verdana" w:cs="Arial"/>
                <w:bCs/>
                <w:lang w:val="es-ES" w:eastAsia="es-ES"/>
              </w:rPr>
              <w:t>CONTRATACIÓN PÚBLICA – Principio de publicidad – Principio de transparencia – Uso del SECOP</w:t>
            </w:r>
            <w:r>
              <w:rPr>
                <w:rFonts w:ascii="Verdana" w:eastAsia="Calibri" w:hAnsi="Verdana" w:cs="Arial"/>
                <w:bCs/>
                <w:lang w:val="es-ES" w:eastAsia="es-ES"/>
              </w:rPr>
              <w:t xml:space="preserve"> - </w:t>
            </w:r>
            <w:r w:rsidRPr="00E26BC9">
              <w:rPr>
                <w:rFonts w:ascii="Verdana" w:hAnsi="Verdana"/>
              </w:rPr>
              <w:t>CIRCULAR ÚNICA EXTERNA – Publicación en el SECOP – Oportunidad</w:t>
            </w:r>
          </w:p>
          <w:p w14:paraId="5D668BA0" w14:textId="0F775B70" w:rsidR="0095364F" w:rsidRPr="00435A65" w:rsidRDefault="0095364F" w:rsidP="00E4636D">
            <w:pPr>
              <w:jc w:val="both"/>
              <w:rPr>
                <w:rFonts w:ascii="Verdana" w:eastAsia="Calibri" w:hAnsi="Verdana" w:cs="Arial"/>
                <w:b/>
                <w:highlight w:val="yellow"/>
                <w:lang w:val="es-ES" w:eastAsia="es-ES"/>
              </w:rPr>
            </w:pPr>
            <w:r w:rsidRPr="00E26BC9">
              <w:rPr>
                <w:rFonts w:ascii="Verdana" w:eastAsia="Calibri" w:hAnsi="Verdana" w:cs="Arial"/>
                <w:bCs/>
                <w:lang w:val="es-ES" w:eastAsia="es-ES"/>
              </w:rPr>
              <w:t xml:space="preserve"> </w:t>
            </w:r>
          </w:p>
        </w:tc>
      </w:tr>
      <w:tr w:rsidR="0095364F" w:rsidRPr="00593A5F" w14:paraId="50987A26" w14:textId="77777777" w:rsidTr="00E4636D">
        <w:trPr>
          <w:trHeight w:val="545"/>
        </w:trPr>
        <w:tc>
          <w:tcPr>
            <w:tcW w:w="2295" w:type="dxa"/>
          </w:tcPr>
          <w:p w14:paraId="2F56F046" w14:textId="77777777" w:rsidR="0095364F" w:rsidRPr="006730E9" w:rsidRDefault="0095364F" w:rsidP="00E4636D">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354C7104" w14:textId="77777777" w:rsidR="0095364F" w:rsidRPr="006730E9" w:rsidRDefault="0095364F" w:rsidP="00E4636D">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435A65">
              <w:rPr>
                <w:rFonts w:ascii="Verdana" w:eastAsia="Calibri" w:hAnsi="Verdana" w:cs="Arial"/>
                <w:lang w:val="es-ES_tradnl" w:eastAsia="es-ES_tradnl"/>
              </w:rPr>
              <w:t>1_2025_08_21_008832</w:t>
            </w:r>
          </w:p>
        </w:tc>
      </w:tr>
      <w:tr w:rsidR="0095364F" w:rsidRPr="00DB23D2" w14:paraId="10AFBBBB" w14:textId="77777777" w:rsidTr="00E4636D">
        <w:trPr>
          <w:gridAfter w:val="1"/>
          <w:wAfter w:w="319" w:type="dxa"/>
          <w:trHeight w:val="242"/>
        </w:trPr>
        <w:tc>
          <w:tcPr>
            <w:tcW w:w="8457" w:type="dxa"/>
            <w:gridSpan w:val="2"/>
          </w:tcPr>
          <w:p w14:paraId="0492D987" w14:textId="77777777" w:rsidR="0095364F" w:rsidRPr="00DB23D2" w:rsidRDefault="0095364F" w:rsidP="00E4636D">
            <w:pPr>
              <w:spacing w:line="276" w:lineRule="auto"/>
              <w:jc w:val="both"/>
              <w:rPr>
                <w:rFonts w:ascii="Verdana" w:eastAsia="Calibri" w:hAnsi="Verdana" w:cs="Arial"/>
                <w:lang w:val="es-ES_tradnl" w:eastAsia="es-ES"/>
              </w:rPr>
            </w:pPr>
          </w:p>
        </w:tc>
      </w:tr>
    </w:tbl>
    <w:p w14:paraId="40C1A470" w14:textId="77777777" w:rsidR="0095364F" w:rsidRPr="006730E9" w:rsidRDefault="0095364F" w:rsidP="0095364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 Martínez;</w:t>
      </w:r>
    </w:p>
    <w:p w14:paraId="5FCE3CAB" w14:textId="77777777" w:rsidR="0095364F" w:rsidRDefault="0095364F" w:rsidP="0095364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5FA601D" w14:textId="540692F7" w:rsidR="0095364F" w:rsidRPr="006730E9" w:rsidRDefault="0095364F" w:rsidP="0095364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Pr="00E5644F">
        <w:rPr>
          <w:rFonts w:ascii="Verdana" w:eastAsia="Calibri" w:hAnsi="Verdana" w:cs="Arial"/>
          <w:lang w:val="es-ES" w:eastAsia="es-ES"/>
        </w:rPr>
        <w:t xml:space="preserve">el </w:t>
      </w:r>
      <w:r w:rsidR="00696AAE">
        <w:rPr>
          <w:rFonts w:ascii="Verdana" w:eastAsia="Calibri" w:hAnsi="Verdana" w:cs="Arial"/>
          <w:lang w:val="es-ES" w:eastAsia="es-ES"/>
        </w:rPr>
        <w:t>21 de agosto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45F2E7" w14:textId="77777777" w:rsidR="0095364F" w:rsidRPr="00326382" w:rsidRDefault="0095364F" w:rsidP="0095364F">
      <w:pPr>
        <w:spacing w:after="0" w:line="276" w:lineRule="auto"/>
        <w:ind w:left="709" w:right="474"/>
        <w:jc w:val="both"/>
        <w:rPr>
          <w:rFonts w:ascii="Verdana" w:hAnsi="Verdana" w:cs="Arial"/>
          <w:sz w:val="20"/>
          <w:szCs w:val="20"/>
          <w:shd w:val="clear" w:color="auto" w:fill="FFFFFF"/>
        </w:rPr>
      </w:pPr>
      <w:bookmarkStart w:id="2" w:name="_Hlk95313578"/>
    </w:p>
    <w:bookmarkEnd w:id="2"/>
    <w:p w14:paraId="238474DE" w14:textId="77777777" w:rsidR="0095364F" w:rsidRPr="00EA70F7"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2B842052" w14:textId="77777777" w:rsidR="0095364F"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6D8C20F"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 xml:space="preserve">Yo, Adriana Carolina Martínez Sánchez, mayor de edad, identificada con cédula de ciudadanía No. 1014204489, expedida en Bogotá, a través del presente escrito hago uso de mi derecho fundamental de petición, a fin de recibir información por parte de su Entidad, </w:t>
      </w:r>
      <w:r w:rsidRPr="00CC1128">
        <w:rPr>
          <w:rFonts w:ascii="Verdana" w:eastAsia="Century Gothic" w:hAnsi="Verdana" w:cs="Century Gothic"/>
          <w:b/>
          <w:bCs/>
          <w:i/>
          <w:iCs/>
          <w:sz w:val="20"/>
          <w:szCs w:val="20"/>
        </w:rPr>
        <w:t>para elaborar mi tesis de Maestría de Derecho Administrativo en la Pontificia Universidad Javeriana</w:t>
      </w:r>
      <w:r w:rsidRPr="00CC1128">
        <w:rPr>
          <w:rFonts w:ascii="Verdana" w:eastAsia="Century Gothic" w:hAnsi="Verdana" w:cs="Century Gothic"/>
          <w:i/>
          <w:iCs/>
          <w:sz w:val="20"/>
          <w:szCs w:val="20"/>
        </w:rPr>
        <w:t>. En ese sentido, agradezco dar respuesta a los siguientes interrogantes:</w:t>
      </w:r>
    </w:p>
    <w:p w14:paraId="44996BE0"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lastRenderedPageBreak/>
        <w:t> </w:t>
      </w:r>
    </w:p>
    <w:p w14:paraId="4CCC5394"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1.¿Cómo establecen las Entidades Públicas los honorarios para el contratista de prestación de servicios profesionales, para el de apoyo a la gestión y para el de servicios artísticos?</w:t>
      </w:r>
    </w:p>
    <w:p w14:paraId="55AF417C"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2. ¿Existe alguna minuta, documento tipo o acuerdo marco que refiera o guíe la forma de contratación de las Entidades Públicas, para los contratistas de prestación de servicios de apoyo a la gestión y de servicios profesionales?</w:t>
      </w:r>
    </w:p>
    <w:p w14:paraId="3F702164"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3.¿Es obligatorio publicar los documentos y estudios previos del contratista de prestación de servicios?</w:t>
      </w:r>
    </w:p>
    <w:p w14:paraId="4BBDD005"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4. ¿Es obligatorio que el contratista de prestación de servicios suscriba alguna garantía o póliza con alguna aseguradora para la ejecución de su contrato?</w:t>
      </w:r>
    </w:p>
    <w:p w14:paraId="4BE22FB9"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5.¿El contratista de prestación de servicios profesionales y de apoyo a la gestión tienen diferencia en su autonomía de la voluntad para ejecutar el contrato con la Entidad Estatal? Argumentar la respuesta.</w:t>
      </w:r>
    </w:p>
    <w:p w14:paraId="3F4DB93A"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6.¿Los contratistas de prestación de servicios profesionales y los de apoyo a la gestión administrativa, deben recibir por parte de la Entidad Pública, las mismas cláusulas de multa y penal pecuniaria ante su presunto presunto incumplimiento contractual? o ¿Existe alguna diferencia sancionatoria entre un contratista y otro? Argumentar la respuesta.</w:t>
      </w:r>
    </w:p>
    <w:p w14:paraId="23C7CAED" w14:textId="77777777" w:rsidR="0095364F" w:rsidRPr="00EA70F7"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42C0AC4E" w14:textId="77777777" w:rsidR="0095364F" w:rsidRDefault="0095364F" w:rsidP="0095364F">
      <w:pPr>
        <w:spacing w:after="0" w:line="276" w:lineRule="auto"/>
        <w:ind w:firstLine="709"/>
        <w:jc w:val="both"/>
        <w:rPr>
          <w:rFonts w:ascii="Verdana" w:eastAsia="Calibri" w:hAnsi="Verdana" w:cs="Arial"/>
          <w:lang w:val="es-ES" w:eastAsia="es-ES"/>
        </w:rPr>
      </w:pPr>
    </w:p>
    <w:p w14:paraId="749F0DBD" w14:textId="77777777" w:rsidR="0095364F" w:rsidRPr="00AA3B9F" w:rsidRDefault="0095364F" w:rsidP="0095364F">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14DF10F6" w14:textId="77777777" w:rsidR="0095364F" w:rsidRPr="00AA3B9F" w:rsidRDefault="0095364F" w:rsidP="0095364F">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 xml:space="preserve">ndo unas consideraciones </w:t>
      </w:r>
      <w:r w:rsidRPr="00AA3B9F">
        <w:rPr>
          <w:rFonts w:ascii="Verdana" w:eastAsia="Calibri" w:hAnsi="Verdana" w:cs="Arial"/>
          <w:lang w:val="es-ES" w:eastAsia="es-ES"/>
        </w:rPr>
        <w:lastRenderedPageBreak/>
        <w:t>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C9A663D" w14:textId="77777777" w:rsidR="0095364F" w:rsidRDefault="0095364F" w:rsidP="003270AF">
      <w:pPr>
        <w:pStyle w:val="Prrafodelista"/>
        <w:tabs>
          <w:tab w:val="left" w:pos="142"/>
          <w:tab w:val="left" w:pos="284"/>
        </w:tabs>
        <w:spacing w:after="0" w:line="276" w:lineRule="auto"/>
        <w:ind w:left="425" w:right="1185"/>
        <w:contextualSpacing w:val="0"/>
        <w:jc w:val="both"/>
        <w:rPr>
          <w:rFonts w:ascii="Verdana" w:eastAsia="Century Gothic" w:hAnsi="Verdana" w:cs="Century Gothic"/>
          <w:i/>
          <w:iCs/>
          <w:lang w:val="es-CO"/>
        </w:rPr>
      </w:pPr>
    </w:p>
    <w:p w14:paraId="5A5106D4" w14:textId="77777777" w:rsidR="0095364F" w:rsidRDefault="0095364F" w:rsidP="00AD4D4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717FD698" w14:textId="77777777" w:rsidR="0095364F" w:rsidRDefault="0095364F" w:rsidP="00AD4D4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0586E6B" w14:textId="77777777" w:rsidR="0095364F" w:rsidRDefault="0095364F" w:rsidP="00AD4D42">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p>
    <w:p w14:paraId="6B90D99B" w14:textId="77777777" w:rsidR="0095364F" w:rsidRDefault="0095364F" w:rsidP="00AD4D42">
      <w:pPr>
        <w:spacing w:after="0" w:line="276" w:lineRule="auto"/>
        <w:jc w:val="both"/>
        <w:rPr>
          <w:rFonts w:ascii="Verdana" w:eastAsia="Calibri" w:hAnsi="Verdana" w:cs="Arial"/>
          <w:lang w:eastAsia="es-ES"/>
        </w:rPr>
      </w:pPr>
    </w:p>
    <w:p w14:paraId="2EF90E3D" w14:textId="77777777" w:rsidR="0095364F" w:rsidRPr="009B47CC" w:rsidRDefault="0095364F" w:rsidP="00AD4D42">
      <w:pPr>
        <w:pStyle w:val="Prrafodelista"/>
        <w:numPr>
          <w:ilvl w:val="0"/>
          <w:numId w:val="18"/>
        </w:numPr>
        <w:spacing w:after="0" w:line="276" w:lineRule="auto"/>
        <w:ind w:left="284" w:hanging="283"/>
        <w:contextualSpacing w:val="0"/>
        <w:jc w:val="both"/>
        <w:rPr>
          <w:rFonts w:ascii="Verdana" w:eastAsia="Calibri" w:hAnsi="Verdana" w:cs="Arial"/>
          <w:color w:val="7030A0"/>
        </w:rPr>
      </w:pPr>
      <w:r w:rsidRPr="009B47CC">
        <w:rPr>
          <w:rFonts w:ascii="Verdana" w:eastAsia="Century Gothic" w:hAnsi="Verdana" w:cs="Century Gothic"/>
        </w:rPr>
        <w:t>¿Cuál es el marco legal de los contratos de prestación de servicios y de apoyo a la gestión en cuanto aspecto como la fijación de los honorarios, la publicación de documentos y estudios previos, la expedición de garantías y pólizas de cumplimiento y la aplicación de cláusulas penales?</w:t>
      </w:r>
    </w:p>
    <w:p w14:paraId="23A4089D" w14:textId="77777777" w:rsidR="0095364F" w:rsidRPr="009B47CC" w:rsidRDefault="0095364F" w:rsidP="00AD4D42">
      <w:pPr>
        <w:pStyle w:val="Prrafodelista"/>
        <w:numPr>
          <w:ilvl w:val="0"/>
          <w:numId w:val="18"/>
        </w:numPr>
        <w:spacing w:after="0" w:line="276" w:lineRule="auto"/>
        <w:ind w:left="284" w:hanging="283"/>
        <w:contextualSpacing w:val="0"/>
        <w:jc w:val="both"/>
        <w:rPr>
          <w:rFonts w:ascii="Verdana" w:eastAsia="Calibri" w:hAnsi="Verdana" w:cs="Arial"/>
          <w:color w:val="7030A0"/>
        </w:rPr>
      </w:pPr>
      <w:r w:rsidRPr="007D74D1">
        <w:rPr>
          <w:rFonts w:ascii="Verdana" w:eastAsia="Calibri" w:hAnsi="Verdana" w:cs="Arial"/>
        </w:rPr>
        <w:t>¿</w:t>
      </w:r>
      <w:r>
        <w:rPr>
          <w:rFonts w:ascii="Verdana" w:eastAsia="Calibri" w:hAnsi="Verdana" w:cs="Arial"/>
        </w:rPr>
        <w:t>Existe una minuta o documento t</w:t>
      </w:r>
      <w:r w:rsidRPr="007D74D1">
        <w:rPr>
          <w:rFonts w:ascii="Verdana" w:eastAsia="Calibri" w:hAnsi="Verdana" w:cs="Arial"/>
        </w:rPr>
        <w:t xml:space="preserve">ipo </w:t>
      </w:r>
      <w:r>
        <w:rPr>
          <w:rFonts w:ascii="Verdana" w:eastAsia="Calibri" w:hAnsi="Verdana" w:cs="Arial"/>
        </w:rPr>
        <w:t xml:space="preserve">expedido por Colombia Compra de carácter vinculante que </w:t>
      </w:r>
      <w:r w:rsidRPr="007D74D1">
        <w:rPr>
          <w:rFonts w:ascii="Verdana" w:eastAsia="Calibri" w:hAnsi="Verdana" w:cs="Arial"/>
        </w:rPr>
        <w:t>estandarice la forma de contratación de los servicios profesionales y de apoyo a la gestión</w:t>
      </w:r>
      <w:r w:rsidRPr="009B47CC">
        <w:rPr>
          <w:rFonts w:ascii="Verdana" w:eastAsia="Century Gothic" w:hAnsi="Verdana" w:cs="Century Gothic"/>
        </w:rPr>
        <w:t>?</w:t>
      </w:r>
    </w:p>
    <w:p w14:paraId="669D617E" w14:textId="77777777" w:rsidR="0095364F" w:rsidRDefault="0095364F" w:rsidP="00AD4D42">
      <w:pPr>
        <w:spacing w:after="0" w:line="276" w:lineRule="auto"/>
        <w:jc w:val="both"/>
        <w:rPr>
          <w:rFonts w:ascii="Verdana" w:eastAsia="Century Gothic" w:hAnsi="Verdana" w:cs="Century Gothic"/>
        </w:rPr>
      </w:pPr>
    </w:p>
    <w:bookmarkEnd w:id="3"/>
    <w:p w14:paraId="3EB200C8" w14:textId="77777777" w:rsidR="0095364F" w:rsidRDefault="0095364F" w:rsidP="00AD4D4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DD4C29C" w14:textId="77777777" w:rsidR="0095364F" w:rsidRPr="00593A5F" w:rsidRDefault="0095364F" w:rsidP="00AD4D4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5364F" w:rsidRPr="00593A5F" w14:paraId="74EB2395" w14:textId="77777777" w:rsidTr="00E4636D">
        <w:tc>
          <w:tcPr>
            <w:tcW w:w="8828" w:type="dxa"/>
          </w:tcPr>
          <w:p w14:paraId="763ABF39" w14:textId="3F2C71C5" w:rsidR="0095364F" w:rsidRPr="003E298B" w:rsidRDefault="0095364F" w:rsidP="003270AF">
            <w:pPr>
              <w:spacing w:after="120" w:line="276" w:lineRule="auto"/>
              <w:jc w:val="both"/>
              <w:rPr>
                <w:rFonts w:ascii="Verdana" w:eastAsia="Calibri" w:hAnsi="Verdana" w:cs="Arial"/>
                <w:color w:val="000000" w:themeColor="text1"/>
                <w:lang w:val="es-ES"/>
              </w:rPr>
            </w:pPr>
            <w:r>
              <w:rPr>
                <w:rFonts w:ascii="Verdana" w:eastAsia="Calibri" w:hAnsi="Verdana" w:cs="Arial"/>
                <w:lang w:val="es-MX"/>
              </w:rPr>
              <w:t>De manera preliminar resulta pertinente indicar que l</w:t>
            </w:r>
            <w:r w:rsidRPr="00D63147">
              <w:rPr>
                <w:rFonts w:ascii="Verdana" w:hAnsi="Verdana" w:cs="Arial"/>
              </w:rPr>
              <w:t>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w:t>
            </w:r>
            <w:r>
              <w:rPr>
                <w:rFonts w:ascii="Verdana" w:hAnsi="Verdana" w:cs="Arial"/>
              </w:rPr>
              <w:t>; estas tipologías contractuales s</w:t>
            </w:r>
            <w:r w:rsidRPr="00740471">
              <w:rPr>
                <w:rFonts w:ascii="Verdana" w:hAnsi="Verdana" w:cs="Arial"/>
              </w:rPr>
              <w:t>e rige por el marco de la Contratación Directa, fundamentado en la Ley 80 de 1993 y el Decreto 1082 de 2015</w:t>
            </w:r>
            <w:r>
              <w:rPr>
                <w:rFonts w:ascii="Verdana" w:hAnsi="Verdana" w:cs="Arial"/>
              </w:rPr>
              <w:t>.</w:t>
            </w:r>
          </w:p>
          <w:p w14:paraId="46C6E4C5" w14:textId="27157759" w:rsidR="0095364F" w:rsidRPr="00A43145" w:rsidRDefault="0095364F" w:rsidP="003270AF">
            <w:pPr>
              <w:widowControl w:val="0"/>
              <w:autoSpaceDE w:val="0"/>
              <w:autoSpaceDN w:val="0"/>
              <w:spacing w:after="120" w:line="276" w:lineRule="auto"/>
              <w:ind w:firstLine="709"/>
              <w:jc w:val="both"/>
              <w:rPr>
                <w:rFonts w:ascii="Verdana" w:eastAsia="Calibri" w:hAnsi="Verdana" w:cs="Arial"/>
                <w:bCs/>
                <w:color w:val="000000"/>
                <w:kern w:val="2"/>
                <w:lang w:val="es-ES"/>
                <w14:ligatures w14:val="standardContextual"/>
              </w:rPr>
            </w:pPr>
            <w:r>
              <w:rPr>
                <w:rFonts w:ascii="Verdana" w:eastAsia="Calibri" w:hAnsi="Verdana" w:cs="Arial"/>
                <w:bCs/>
                <w:color w:val="000000"/>
                <w:kern w:val="2"/>
                <w:lang w:val="es-ES"/>
                <w14:ligatures w14:val="standardContextual"/>
              </w:rPr>
              <w:t xml:space="preserve">Ahora bien, frente al problema jurídico planteado </w:t>
            </w:r>
            <w:r w:rsidRPr="00A43145">
              <w:rPr>
                <w:rFonts w:ascii="Verdana" w:eastAsia="Calibri" w:hAnsi="Verdana" w:cs="Arial"/>
                <w:bCs/>
                <w:color w:val="000000"/>
                <w:kern w:val="2"/>
                <w:lang w:val="es-ES"/>
                <w14:ligatures w14:val="standardContextual"/>
              </w:rPr>
              <w:t xml:space="preserve">es necesario mencionar que las </w:t>
            </w:r>
            <w:r w:rsidR="00A318EE" w:rsidRPr="00A43145">
              <w:rPr>
                <w:rFonts w:ascii="Verdana" w:eastAsia="Calibri" w:hAnsi="Verdana" w:cs="Arial"/>
                <w:bCs/>
                <w:color w:val="000000"/>
                <w:kern w:val="2"/>
                <w:lang w:val="es-ES"/>
                <w14:ligatures w14:val="standardContextual"/>
              </w:rPr>
              <w:t xml:space="preserve">Entidades Públicas </w:t>
            </w:r>
            <w:r w:rsidRPr="00A43145">
              <w:rPr>
                <w:rFonts w:ascii="Verdana" w:eastAsia="Calibri" w:hAnsi="Verdana" w:cs="Arial"/>
                <w:bCs/>
                <w:color w:val="000000"/>
                <w:kern w:val="2"/>
                <w:lang w:val="es-ES"/>
                <w14:ligatures w14:val="standardContextual"/>
              </w:rPr>
              <w:t>determinan el monto de los honorarios de los contratos de prestación de servicios profesionales, de apoyo a la gestión y trabajos artísticos de conformidad con lo establecido en el análisis del sector y en los documentos o estudios previos. Así pues, cabe resaltar, que en la Ley 80 de 1993, Ley 1150 de 2007 y en el Decreto 1082 de 2015 no se encuentran disposiciones que establezcan la obligatoriedad de implementar tablas de honorarios o estandarizar perfiles para los contratos de prestación de servicios, pero, lo anterior, no significa que las entidades no puedan hacerlo.</w:t>
            </w:r>
          </w:p>
          <w:p w14:paraId="5743252B" w14:textId="7D905091" w:rsidR="0095364F" w:rsidRPr="00DD113D" w:rsidRDefault="0095364F" w:rsidP="003270AF">
            <w:pPr>
              <w:spacing w:after="120" w:line="276" w:lineRule="auto"/>
              <w:ind w:firstLine="709"/>
              <w:jc w:val="both"/>
              <w:rPr>
                <w:rFonts w:ascii="Verdana" w:hAnsi="Verdana"/>
                <w:lang w:eastAsia="es-ES_tradnl"/>
              </w:rPr>
            </w:pPr>
            <w:r>
              <w:rPr>
                <w:rFonts w:ascii="Verdana" w:eastAsia="Century Gothic" w:hAnsi="Verdana" w:cs="Century Gothic"/>
              </w:rPr>
              <w:t xml:space="preserve">En cuanto a </w:t>
            </w:r>
            <w:r w:rsidRPr="009B47CC">
              <w:rPr>
                <w:rFonts w:ascii="Verdana" w:eastAsia="Century Gothic" w:hAnsi="Verdana" w:cs="Century Gothic"/>
              </w:rPr>
              <w:t>la publicación de documentos y estudios previos</w:t>
            </w:r>
            <w:r w:rsidRPr="00AD6B46">
              <w:rPr>
                <w:rFonts w:ascii="Verdana" w:eastAsia="Calibri" w:hAnsi="Verdana" w:cs="Arial"/>
                <w:lang w:val="es-ES" w:eastAsia="es-ES_tradnl"/>
              </w:rPr>
              <w:t xml:space="preserve"> </w:t>
            </w:r>
            <w:r w:rsidRPr="00AD6B46">
              <w:rPr>
                <w:rFonts w:ascii="Verdana" w:eastAsia="Times New Roman" w:hAnsi="Verdana" w:cs="Arial"/>
                <w:lang w:val="es-ES_tradnl" w:eastAsia="es-ES_tradnl"/>
                <w14:ligatures w14:val="standardContextual"/>
              </w:rPr>
              <w:t>las Entidades Estatales</w:t>
            </w:r>
            <w:r w:rsidRPr="00B32095">
              <w:rPr>
                <w:rFonts w:ascii="Verdana" w:hAnsi="Verdana"/>
                <w:lang w:eastAsia="es-ES_tradnl"/>
              </w:rPr>
              <w:t xml:space="preserve">, de conformidad con el artículo 2.2.1.1.1.7.1. del Decreto </w:t>
            </w:r>
            <w:r w:rsidRPr="00B32095">
              <w:rPr>
                <w:rFonts w:ascii="Verdana" w:hAnsi="Verdana"/>
                <w:lang w:eastAsia="es-ES_tradnl"/>
              </w:rPr>
              <w:lastRenderedPageBreak/>
              <w:t>1082 de 2015, está</w:t>
            </w:r>
            <w:r>
              <w:rPr>
                <w:rFonts w:ascii="Verdana" w:hAnsi="Verdana"/>
                <w:lang w:eastAsia="es-ES_tradnl"/>
              </w:rPr>
              <w:t>n</w:t>
            </w:r>
            <w:r w:rsidRPr="00B32095">
              <w:rPr>
                <w:rFonts w:ascii="Verdana" w:hAnsi="Verdana"/>
                <w:lang w:eastAsia="es-ES_tradnl"/>
              </w:rPr>
              <w:t xml:space="preserve"> obligada</w:t>
            </w:r>
            <w:r>
              <w:rPr>
                <w:rFonts w:ascii="Verdana" w:hAnsi="Verdana"/>
                <w:lang w:eastAsia="es-ES_tradnl"/>
              </w:rPr>
              <w:t>s</w:t>
            </w:r>
            <w:r w:rsidRPr="00B32095">
              <w:rPr>
                <w:rFonts w:ascii="Verdana" w:hAnsi="Verdana"/>
                <w:lang w:eastAsia="es-ES_tradnl"/>
              </w:rPr>
              <w:t xml:space="preserve"> a publicar en el SECOP los Documentos del Proceso y los actos administrativos del Proceso de Contratación, dentro de los tres (3) días siguientes a su expedición.</w:t>
            </w:r>
            <w:r>
              <w:rPr>
                <w:rFonts w:ascii="Verdana" w:hAnsi="Verdana"/>
                <w:lang w:eastAsia="es-ES_tradnl"/>
              </w:rPr>
              <w:t xml:space="preserve"> </w:t>
            </w:r>
            <w:r w:rsidRPr="007663DF">
              <w:rPr>
                <w:rFonts w:ascii="Verdana" w:eastAsia="Aptos" w:hAnsi="Verdana" w:cs="Arial"/>
                <w:lang w:val="es-ES_tradnl" w:eastAsia="es-MX"/>
              </w:rPr>
              <w:t>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r w:rsidRPr="00B32095">
              <w:rPr>
                <w:rFonts w:ascii="Verdana" w:hAnsi="Verdana"/>
                <w:lang w:eastAsia="es-ES_tradnl"/>
              </w:rPr>
              <w:t xml:space="preserve"> </w:t>
            </w:r>
          </w:p>
          <w:p w14:paraId="45F5C706" w14:textId="36D56FCA" w:rsidR="0095364F" w:rsidRDefault="0095364F" w:rsidP="003270AF">
            <w:pPr>
              <w:tabs>
                <w:tab w:val="left" w:pos="597"/>
              </w:tabs>
              <w:spacing w:after="120" w:line="276" w:lineRule="auto"/>
              <w:ind w:firstLine="709"/>
              <w:jc w:val="both"/>
              <w:rPr>
                <w:rFonts w:ascii="Verdana" w:eastAsia="Calibri" w:hAnsi="Verdana" w:cs="Arial"/>
                <w:lang w:val="es-ES"/>
              </w:rPr>
            </w:pPr>
            <w:r w:rsidRPr="7ADE4504">
              <w:rPr>
                <w:rFonts w:ascii="Verdana" w:eastAsia="Calibri" w:hAnsi="Verdana" w:cs="Arial"/>
                <w:lang w:val="es-ES"/>
              </w:rPr>
              <w:t>La Circular Externa Única emitida por esta Agencia recordó</w:t>
            </w:r>
            <w:r>
              <w:rPr>
                <w:rFonts w:ascii="Verdana" w:eastAsia="Calibri" w:hAnsi="Verdana" w:cs="Arial"/>
                <w:lang w:val="es-ES"/>
              </w:rPr>
              <w:t>, quiénes deben publicar la actividad contractual en SECOP: “</w:t>
            </w:r>
            <w:r w:rsidRPr="00D14FE8">
              <w:rPr>
                <w:rFonts w:ascii="Verdana" w:eastAsia="Calibri" w:hAnsi="Verdana" w:cs="Arial"/>
                <w:lang w:val="es-ES"/>
              </w:rPr>
              <w:t>Las Entidades Estatales de acuerdo con la definición del Decreto</w:t>
            </w:r>
            <w:r>
              <w:rPr>
                <w:rFonts w:ascii="Verdana" w:eastAsia="Calibri" w:hAnsi="Verdana" w:cs="Arial"/>
                <w:lang w:val="es-ES"/>
              </w:rPr>
              <w:t xml:space="preserve"> </w:t>
            </w:r>
            <w:r w:rsidRPr="00D14FE8">
              <w:rPr>
                <w:rFonts w:ascii="Verdana" w:eastAsia="Calibri" w:hAnsi="Verdana" w:cs="Arial"/>
                <w:lang w:val="es-ES"/>
              </w:rPr>
              <w:t>1082 de 2015</w:t>
            </w:r>
            <w:r>
              <w:rPr>
                <w:rFonts w:ascii="Verdana" w:eastAsia="Calibri" w:hAnsi="Verdana" w:cs="Arial"/>
                <w:lang w:val="es-ES"/>
              </w:rPr>
              <w:t xml:space="preserve"> (…)</w:t>
            </w:r>
            <w:r w:rsidRPr="00863E74">
              <w:rPr>
                <w:rFonts w:ascii="Verdana" w:eastAsia="Calibri" w:hAnsi="Verdana" w:cs="Arial"/>
                <w:lang w:val="es-ES"/>
              </w:rPr>
              <w:t xml:space="preserve"> las Entidades Estatales que por disposición legal cuenten con un régimen contractual excepcional al del Estatuto General de Contratación de la Administración Pública, deberán publicar en </w:t>
            </w:r>
            <w:r>
              <w:rPr>
                <w:rFonts w:ascii="Verdana" w:eastAsia="Calibri" w:hAnsi="Verdana" w:cs="Arial"/>
                <w:lang w:val="es-ES"/>
              </w:rPr>
              <w:t xml:space="preserve"> </w:t>
            </w:r>
            <w:r w:rsidRPr="00863E74">
              <w:rPr>
                <w:rFonts w:ascii="Verdana" w:eastAsia="Calibri" w:hAnsi="Verdana" w:cs="Arial"/>
                <w:lang w:val="es-ES"/>
              </w:rPr>
              <w:t>el SECOP II, todos los documentos relacionados con su actividad contractual, de conformidad con lo señalado en el artículo 53 de la Ley 2195 de 2022</w:t>
            </w:r>
            <w:r>
              <w:rPr>
                <w:rFonts w:ascii="Verdana" w:eastAsia="Calibri" w:hAnsi="Verdana" w:cs="Arial"/>
                <w:lang w:val="es-ES"/>
              </w:rPr>
              <w:t xml:space="preserve"> (…)</w:t>
            </w:r>
            <w:r w:rsidRPr="005A471C">
              <w:rPr>
                <w:rFonts w:ascii="Verdana" w:eastAsia="Calibri" w:hAnsi="Verdana" w:cs="Arial"/>
                <w:lang w:val="es-ES"/>
              </w:rPr>
              <w:t xml:space="preserve">Los particulares deberán publicar la información oficial de la contratación realizada con cargo a recursos públicos. Estos deberán realizar la publicación a través del módulo </w:t>
            </w:r>
            <w:r>
              <w:rPr>
                <w:rFonts w:ascii="Verdana" w:eastAsia="Calibri" w:hAnsi="Verdana" w:cs="Arial"/>
                <w:lang w:val="es-ES"/>
              </w:rPr>
              <w:t>denominado Régimen Especial</w:t>
            </w:r>
            <w:r w:rsidR="004302A2">
              <w:rPr>
                <w:rFonts w:ascii="Verdana" w:eastAsia="Calibri" w:hAnsi="Verdana" w:cs="Arial"/>
                <w:lang w:val="es-ES"/>
              </w:rPr>
              <w:t xml:space="preserve"> </w:t>
            </w:r>
            <w:r>
              <w:rPr>
                <w:rFonts w:ascii="Verdana" w:eastAsia="Calibri" w:hAnsi="Verdana" w:cs="Arial"/>
                <w:lang w:val="es-ES"/>
              </w:rPr>
              <w:t>(…)</w:t>
            </w:r>
            <w:r>
              <w:rPr>
                <w:rStyle w:val="Refdenotaalpie"/>
                <w:rFonts w:ascii="Verdana" w:eastAsia="Calibri" w:hAnsi="Verdana" w:cs="Arial"/>
                <w:lang w:val="es-ES"/>
              </w:rPr>
              <w:footnoteReference w:id="1"/>
            </w:r>
            <w:r>
              <w:rPr>
                <w:rFonts w:ascii="Verdana" w:eastAsia="Calibri" w:hAnsi="Verdana" w:cs="Arial"/>
                <w:lang w:val="es-ES"/>
              </w:rPr>
              <w:t xml:space="preserve">”. Así mismo, se indica que las Entidades Estatales que celebran contratos o convenios de los que versa el artículo 20 de la Ley 1150 de 2007, sin importar el régimen aplicable, deben reportar la información en el SECOP. </w:t>
            </w:r>
          </w:p>
          <w:p w14:paraId="00E11A4F" w14:textId="77777777" w:rsidR="0095364F" w:rsidRDefault="0095364F" w:rsidP="003270AF">
            <w:pPr>
              <w:tabs>
                <w:tab w:val="left" w:pos="597"/>
              </w:tabs>
              <w:spacing w:after="120" w:line="276" w:lineRule="auto"/>
              <w:ind w:firstLine="709"/>
              <w:jc w:val="both"/>
              <w:rPr>
                <w:rFonts w:ascii="Verdana" w:eastAsia="Batang" w:hAnsi="Verdana" w:cs="Arial"/>
              </w:rPr>
            </w:pPr>
            <w:r w:rsidRPr="00F74892">
              <w:rPr>
                <w:rFonts w:ascii="Verdana" w:eastAsia="Calibri" w:hAnsi="Verdana" w:cs="Arial"/>
              </w:rPr>
              <w:t xml:space="preserve">Las Entidades Estatales que contratan con cargo a recursos públicos </w:t>
            </w:r>
            <w:r w:rsidRPr="00F74892">
              <w:rPr>
                <w:rFonts w:ascii="Verdana" w:eastAsia="Calibri" w:hAnsi="Verdana" w:cs="Arial"/>
                <w:lang w:val="es-ES"/>
              </w:rPr>
              <w:t xml:space="preserve">a todas las entidades del Estado </w:t>
            </w:r>
            <w:r>
              <w:rPr>
                <w:rFonts w:ascii="Verdana" w:eastAsia="Calibri" w:hAnsi="Verdana" w:cs="Arial"/>
                <w:lang w:val="es-ES"/>
              </w:rPr>
              <w:t>deben</w:t>
            </w:r>
            <w:r w:rsidRPr="00F74892">
              <w:rPr>
                <w:rFonts w:ascii="Verdana" w:eastAsia="Calibri" w:hAnsi="Verdana" w:cs="Arial"/>
                <w:lang w:val="es-ES"/>
              </w:rPr>
              <w:t xml:space="preserve"> de publicar oportunamente su actividad contractual en el SECOP, lo anterior en razón a que, el </w:t>
            </w:r>
            <w:r w:rsidRPr="00F74892">
              <w:rPr>
                <w:rFonts w:ascii="Verdana" w:eastAsia="Calibri" w:hAnsi="Verdana" w:cs="Arial"/>
              </w:rPr>
              <w:t>SECOP es el medio de información oficial de toda la contratación realizada con cargo a recursos públicos y es el único punto de ingreso de información y de generación de reportes para las Entidades Estatales, los entes de control y la ciudadanía en general, el cual garantiza que se cumplan los principios de publicidad y transparencia en la gestión contractual.</w:t>
            </w:r>
          </w:p>
          <w:p w14:paraId="095114EC" w14:textId="36618783" w:rsidR="004302A2" w:rsidRPr="00957674" w:rsidRDefault="0095364F" w:rsidP="00AD4D42">
            <w:pPr>
              <w:pStyle w:val="Textonotapie"/>
              <w:spacing w:after="120" w:line="276" w:lineRule="auto"/>
              <w:ind w:firstLine="709"/>
              <w:jc w:val="both"/>
              <w:rPr>
                <w:rFonts w:ascii="Verdana" w:hAnsi="Verdana" w:cs="Arial"/>
                <w:sz w:val="22"/>
                <w:szCs w:val="22"/>
                <w:lang w:val="es-ES"/>
              </w:rPr>
            </w:pPr>
            <w:r w:rsidRPr="003270AF">
              <w:rPr>
                <w:rFonts w:ascii="Verdana" w:eastAsia="Calibri" w:hAnsi="Verdana" w:cs="Arial"/>
                <w:sz w:val="22"/>
                <w:szCs w:val="22"/>
              </w:rPr>
              <w:t xml:space="preserve">Por otra parte, </w:t>
            </w:r>
            <w:r w:rsidR="004302A2" w:rsidRPr="00AD4D42">
              <w:rPr>
                <w:rFonts w:ascii="Verdana" w:hAnsi="Verdana" w:cs="Arial"/>
                <w:sz w:val="22"/>
                <w:szCs w:val="22"/>
                <w:lang w:val="es-ES"/>
              </w:rPr>
              <w:t>de</w:t>
            </w:r>
            <w:r w:rsidR="004302A2" w:rsidRPr="00957674">
              <w:rPr>
                <w:rFonts w:ascii="Verdana" w:hAnsi="Verdana" w:cs="Arial"/>
                <w:sz w:val="22"/>
                <w:szCs w:val="22"/>
                <w:lang w:val="es-ES"/>
              </w:rPr>
              <w:t xml:space="preserve"> acuerdo artículo 2.2.1.2.1.4.5. del Decreto 1082 de 2015</w:t>
            </w:r>
            <w:r w:rsidR="004302A2">
              <w:rPr>
                <w:rFonts w:ascii="Verdana" w:hAnsi="Verdana" w:cs="Arial"/>
                <w:sz w:val="22"/>
                <w:szCs w:val="22"/>
                <w:lang w:val="es-ES"/>
              </w:rPr>
              <w:t>, e</w:t>
            </w:r>
            <w:r w:rsidR="004302A2" w:rsidRPr="00957674">
              <w:rPr>
                <w:rFonts w:ascii="Verdana" w:hAnsi="Verdana" w:cs="Arial"/>
                <w:sz w:val="22"/>
                <w:szCs w:val="22"/>
                <w:lang w:val="es-ES"/>
              </w:rPr>
              <w:t xml:space="preserve">n la contratación directa la exigencia de garantías establecidas en la Sección 3, que comprende los artículos 2.2.1.2.3.1.1 al 2.2.1.2.3.5.1. del </w:t>
            </w:r>
            <w:r w:rsidR="004302A2">
              <w:rPr>
                <w:rFonts w:ascii="Verdana" w:hAnsi="Verdana" w:cs="Arial"/>
                <w:sz w:val="22"/>
                <w:szCs w:val="22"/>
                <w:lang w:val="es-ES"/>
              </w:rPr>
              <w:t>referido</w:t>
            </w:r>
            <w:r w:rsidR="004302A2" w:rsidRPr="00957674">
              <w:rPr>
                <w:rFonts w:ascii="Verdana" w:hAnsi="Verdana" w:cs="Arial"/>
                <w:sz w:val="22"/>
                <w:szCs w:val="22"/>
                <w:lang w:val="es-ES"/>
              </w:rPr>
              <w:t xml:space="preserve"> decreto no es obligatoria y la justificación para exigirlas o no debe </w:t>
            </w:r>
            <w:r w:rsidR="004302A2" w:rsidRPr="00957674">
              <w:rPr>
                <w:rFonts w:ascii="Verdana" w:hAnsi="Verdana" w:cs="Arial"/>
                <w:sz w:val="22"/>
                <w:szCs w:val="22"/>
                <w:lang w:val="es-ES"/>
              </w:rPr>
              <w:lastRenderedPageBreak/>
              <w:t>estar en los estudios y documentos previos.</w:t>
            </w:r>
            <w:r w:rsidR="004302A2">
              <w:rPr>
                <w:rFonts w:ascii="Verdana" w:hAnsi="Verdana" w:cs="Arial"/>
                <w:sz w:val="22"/>
                <w:szCs w:val="22"/>
                <w:lang w:val="es-ES"/>
              </w:rPr>
              <w:t xml:space="preserve"> Así las cosas, la exigencia de garantías en los contratos de prestación de servicios dependerá del análisis que en cada caso realice la Entidad Estatal en los estudios previos. </w:t>
            </w:r>
          </w:p>
          <w:p w14:paraId="1D1D4F87" w14:textId="4CA3FE32" w:rsidR="0095364F" w:rsidRDefault="0095364F" w:rsidP="00AD4D42">
            <w:pPr>
              <w:spacing w:after="120" w:line="276" w:lineRule="auto"/>
              <w:ind w:firstLine="709"/>
              <w:jc w:val="both"/>
              <w:rPr>
                <w:rFonts w:ascii="Verdana" w:eastAsia="Calibri" w:hAnsi="Verdana" w:cs="Arial"/>
                <w:lang w:val="es-MX"/>
              </w:rPr>
            </w:pPr>
            <w:r>
              <w:rPr>
                <w:rFonts w:ascii="Verdana" w:eastAsia="Calibri" w:hAnsi="Verdana" w:cs="Arial"/>
                <w:lang w:val="es-MX"/>
              </w:rPr>
              <w:t xml:space="preserve">Respecto al segundo problema jurídico planteado La </w:t>
            </w:r>
            <w:r w:rsidRPr="002D55DF">
              <w:rPr>
                <w:rFonts w:ascii="Verdana" w:eastAsia="Calibri" w:hAnsi="Verdana" w:cs="Arial"/>
                <w:lang w:val="es-MX"/>
              </w:rPr>
              <w:t>Agencia Nacional de Contratación Pública (Colombia Compra Eficiente) no ha expedido un Documento Tipo de carácter vinculante para estos contratos de Contratación Directa. Si bien CCE ofrece Guías y minutas modelo, estas tienen un carácter orientador y referencial, no son de uso obligatorio como los Documentos Tipo exigidos para otras modalidades de selección (Licitación, Selección Abreviada y Mínima Cuantía). Por lo tanto, cada Entidad debe adaptar estos modelos a sus requerimientos específicos, respetando el Estatuto General de Contratación</w:t>
            </w:r>
            <w:r>
              <w:rPr>
                <w:rFonts w:ascii="Verdana" w:eastAsia="Calibri" w:hAnsi="Verdana" w:cs="Arial"/>
                <w:lang w:val="es-MX"/>
              </w:rPr>
              <w:t>.</w:t>
            </w:r>
          </w:p>
          <w:p w14:paraId="4349DC1F" w14:textId="77777777" w:rsidR="00AD4D42" w:rsidRDefault="00AD4D42" w:rsidP="00AD4D42">
            <w:pPr>
              <w:spacing w:after="120" w:line="276" w:lineRule="auto"/>
              <w:ind w:firstLine="708"/>
              <w:jc w:val="both"/>
              <w:rPr>
                <w:rFonts w:ascii="Verdana" w:eastAsia="Calibri" w:hAnsi="Verdana" w:cs="Arial"/>
                <w:lang w:val="es-MX"/>
              </w:rPr>
            </w:pPr>
            <w:r>
              <w:rPr>
                <w:rFonts w:ascii="Verdana" w:eastAsia="Calibri" w:hAnsi="Verdana" w:cs="Arial"/>
                <w:lang w:val="es-MX"/>
              </w:rPr>
              <w:t>No obstante, es importante señalar que la Agencia Nacional de Contratación Pública – Colombia Compra Eficiente expidió la “</w:t>
            </w:r>
            <w:r w:rsidRPr="00CA6EE8">
              <w:rPr>
                <w:rFonts w:ascii="Verdana" w:eastAsia="Calibri" w:hAnsi="Verdana" w:cs="Arial"/>
              </w:rPr>
              <w:t>Guía para la Incorporación de Lineamientos de Integridad en la Contratación de Prestación de Servicios</w:t>
            </w:r>
            <w:r>
              <w:rPr>
                <w:rFonts w:ascii="Verdana" w:eastAsia="Calibri" w:hAnsi="Verdana" w:cs="Arial"/>
              </w:rPr>
              <w:t>”</w:t>
            </w:r>
            <w:r>
              <w:rPr>
                <w:rFonts w:ascii="Verdana" w:eastAsia="Calibri" w:hAnsi="Verdana" w:cs="Arial"/>
                <w:lang w:val="es-MX"/>
              </w:rPr>
              <w:t xml:space="preserve">, en la cual se </w:t>
            </w:r>
            <w:r w:rsidRPr="00FA65E7">
              <w:rPr>
                <w:rFonts w:ascii="Verdana" w:eastAsia="Calibri" w:hAnsi="Verdana" w:cs="Arial"/>
              </w:rPr>
              <w:t>desarrolla</w:t>
            </w:r>
            <w:r>
              <w:rPr>
                <w:rFonts w:ascii="Verdana" w:eastAsia="Calibri" w:hAnsi="Verdana" w:cs="Arial"/>
              </w:rPr>
              <w:t>n</w:t>
            </w:r>
            <w:r w:rsidRPr="00FA65E7">
              <w:rPr>
                <w:rFonts w:ascii="Verdana" w:eastAsia="Calibri" w:hAnsi="Verdana" w:cs="Arial"/>
              </w:rPr>
              <w:t xml:space="preserve"> recomendaciones, lineamientos y buenas prácticas que servirán a las Entidades Estatales para alcanzar los objetivos de eficacia, eficiencia, economía y transparencia, tendientes a combatir la corrupción en esta modalidad de contratación</w:t>
            </w:r>
            <w:r>
              <w:rPr>
                <w:rFonts w:ascii="Verdana" w:eastAsia="Calibri" w:hAnsi="Verdana" w:cs="Arial"/>
              </w:rPr>
              <w:t>.</w:t>
            </w:r>
          </w:p>
          <w:p w14:paraId="0880BC46" w14:textId="77777777" w:rsidR="0095364F" w:rsidRPr="00C71956" w:rsidRDefault="0095364F" w:rsidP="003270AF">
            <w:pPr>
              <w:pStyle w:val="Prrafodelista"/>
              <w:spacing w:after="120" w:line="276" w:lineRule="auto"/>
              <w:ind w:left="0" w:firstLine="709"/>
              <w:contextualSpacing w:val="0"/>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D7F3A44" w14:textId="4A5BA678" w:rsidR="0095364F" w:rsidRPr="00E529C2" w:rsidRDefault="0095364F" w:rsidP="003270AF">
            <w:pPr>
              <w:spacing w:after="120" w:line="276" w:lineRule="auto"/>
              <w:ind w:firstLine="709"/>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0DA7D574" w14:textId="77777777" w:rsidR="0095364F" w:rsidRDefault="0095364F" w:rsidP="0095364F">
      <w:pPr>
        <w:tabs>
          <w:tab w:val="left" w:pos="142"/>
          <w:tab w:val="left" w:pos="284"/>
        </w:tabs>
        <w:spacing w:after="0" w:line="276" w:lineRule="auto"/>
        <w:jc w:val="both"/>
        <w:rPr>
          <w:rFonts w:ascii="Verdana" w:eastAsia="Century Gothic" w:hAnsi="Verdana" w:cs="Century Gothic"/>
          <w:b/>
          <w:bCs/>
          <w:lang w:val="es-ES"/>
        </w:rPr>
      </w:pPr>
    </w:p>
    <w:p w14:paraId="7AB47DBB" w14:textId="77777777" w:rsidR="0095364F" w:rsidRPr="00593A5F" w:rsidRDefault="0095364F" w:rsidP="0095364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94870C8" w14:textId="77777777" w:rsidR="0095364F" w:rsidRDefault="0095364F" w:rsidP="0095364F">
      <w:pPr>
        <w:spacing w:after="0" w:line="276" w:lineRule="auto"/>
        <w:ind w:firstLine="708"/>
        <w:jc w:val="both"/>
        <w:rPr>
          <w:rFonts w:ascii="Verdana" w:eastAsia="Calibri" w:hAnsi="Verdana" w:cs="Arial"/>
          <w:color w:val="000000" w:themeColor="text1"/>
        </w:rPr>
      </w:pPr>
    </w:p>
    <w:p w14:paraId="6B1BA09D" w14:textId="77777777" w:rsidR="0095364F" w:rsidRDefault="0095364F" w:rsidP="0095364F">
      <w:pPr>
        <w:tabs>
          <w:tab w:val="left" w:pos="0"/>
        </w:tabs>
        <w:spacing w:line="276" w:lineRule="auto"/>
        <w:jc w:val="both"/>
        <w:rPr>
          <w:rFonts w:ascii="Verdana" w:eastAsia="Calibri" w:hAnsi="Verdana" w:cs="Arial"/>
          <w:color w:val="000000" w:themeColor="text1"/>
          <w:lang w:val="es-ES_tradnl"/>
        </w:rPr>
      </w:pPr>
      <w:bookmarkStart w:id="4" w:name="_Hlk108519028"/>
      <w:r>
        <w:rPr>
          <w:rFonts w:ascii="Verdana" w:hAnsi="Verdana" w:cs="Arial"/>
          <w:color w:val="000000" w:themeColor="text1"/>
        </w:rPr>
        <w:t>E</w:t>
      </w:r>
      <w:r w:rsidRPr="00376CD8">
        <w:rPr>
          <w:rFonts w:ascii="Verdana" w:hAnsi="Verdana" w:cs="Arial"/>
          <w:color w:val="000000" w:themeColor="text1"/>
        </w:rPr>
        <w:t xml:space="preserve">l contrato de prestación de servicios es un contrato estatal típico, regulado en el numeral 3 del artículo 32 de la Ley 80 de 1993. Es definido como aquel que </w:t>
      </w:r>
      <w:r>
        <w:rPr>
          <w:rFonts w:ascii="Verdana" w:hAnsi="Verdana" w:cs="Arial"/>
          <w:color w:val="000000" w:themeColor="text1"/>
        </w:rPr>
        <w:t>“</w:t>
      </w:r>
      <w:r w:rsidRPr="00376CD8">
        <w:rPr>
          <w:rFonts w:ascii="Verdana" w:hAnsi="Verdana" w:cs="Arial"/>
          <w:color w:val="000000" w:themeColor="text1"/>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rPr>
        <w:t>”</w:t>
      </w:r>
      <w:r w:rsidRPr="00376CD8">
        <w:rPr>
          <w:rFonts w:ascii="Verdana" w:hAnsi="Verdana" w:cs="Arial"/>
          <w:color w:val="000000" w:themeColor="text1"/>
        </w:rPr>
        <w:t>.</w:t>
      </w:r>
      <w:r w:rsidRPr="00376CD8">
        <w:rPr>
          <w:rFonts w:ascii="Verdana" w:eastAsia="Calibri" w:hAnsi="Verdana" w:cs="Arial"/>
          <w:color w:val="000000" w:themeColor="text1"/>
          <w:lang w:val="es-ES_tradnl"/>
        </w:rPr>
        <w:t xml:space="preserve"> </w:t>
      </w:r>
    </w:p>
    <w:p w14:paraId="1DED9FE6" w14:textId="77777777" w:rsidR="0095364F" w:rsidRDefault="0095364F" w:rsidP="0095364F">
      <w:pPr>
        <w:spacing w:after="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_tradnl"/>
        </w:rPr>
        <w:tab/>
      </w:r>
      <w:r w:rsidRPr="352B894D">
        <w:rPr>
          <w:rFonts w:ascii="Verdana" w:eastAsia="Calibri" w:hAnsi="Verdana" w:cs="Arial"/>
          <w:color w:val="000000" w:themeColor="text1"/>
          <w:lang w:val="es-ES"/>
        </w:rPr>
        <w:t>La celebración de dicho contrato debe efectuarse a través de la modalidad de contratación directa. Así lo dispone el artículo 2, numeral 4º, literal h), de la Ley 1150 de 2007:</w:t>
      </w:r>
    </w:p>
    <w:p w14:paraId="401BED95" w14:textId="77777777" w:rsidR="0095364F" w:rsidRPr="00376CD8" w:rsidRDefault="0095364F" w:rsidP="0095364F">
      <w:pPr>
        <w:tabs>
          <w:tab w:val="left" w:pos="0"/>
        </w:tabs>
        <w:spacing w:after="0" w:line="276" w:lineRule="auto"/>
        <w:jc w:val="both"/>
        <w:rPr>
          <w:rFonts w:ascii="Verdana" w:eastAsia="Calibri" w:hAnsi="Verdana" w:cs="Arial"/>
          <w:color w:val="000000" w:themeColor="text1"/>
          <w:lang w:val="es-ES_tradnl"/>
        </w:rPr>
      </w:pPr>
    </w:p>
    <w:p w14:paraId="0A763B5C"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“La escogencia del contratista se efectuará con arreglo a las modalidades de selección de licitación pública, selección abreviada, concurso de méritos y contratación directa, con base en las siguientes reglas:</w:t>
      </w:r>
    </w:p>
    <w:p w14:paraId="74CFDDCF"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w:t>
      </w:r>
    </w:p>
    <w:p w14:paraId="657D408A"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4. Contratación directa. La modalidad de selección de contratación directa, solamente procederá en los siguientes casos:</w:t>
      </w:r>
    </w:p>
    <w:p w14:paraId="1121CF2B"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w:t>
      </w:r>
    </w:p>
    <w:p w14:paraId="591560B6"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h) Para la prestación de servicios profesionales y de apoyo a la gestión, o para la ejecución de trabajos artísticos que sólo puedan encomendarse a determinadas personas naturales”.</w:t>
      </w:r>
    </w:p>
    <w:p w14:paraId="242C19E2" w14:textId="77777777" w:rsidR="0095364F" w:rsidRDefault="0095364F" w:rsidP="0095364F">
      <w:pPr>
        <w:tabs>
          <w:tab w:val="left" w:pos="0"/>
        </w:tabs>
        <w:spacing w:after="0" w:line="276" w:lineRule="auto"/>
        <w:jc w:val="both"/>
        <w:rPr>
          <w:rFonts w:ascii="Verdana" w:hAnsi="Verdana" w:cs="Arial"/>
          <w:noProof/>
          <w:lang w:val="es-ES_tradnl"/>
        </w:rPr>
      </w:pPr>
      <w:r w:rsidRPr="00376CD8">
        <w:rPr>
          <w:rFonts w:ascii="Verdana" w:hAnsi="Verdana" w:cs="Arial"/>
          <w:noProof/>
          <w:lang w:val="es-ES_tradnl"/>
        </w:rPr>
        <w:tab/>
      </w:r>
    </w:p>
    <w:p w14:paraId="4AE9BEEE" w14:textId="77777777" w:rsidR="0095364F" w:rsidRDefault="0095364F" w:rsidP="0095364F">
      <w:pPr>
        <w:tabs>
          <w:tab w:val="left" w:pos="0"/>
        </w:tabs>
        <w:spacing w:after="0" w:line="276" w:lineRule="auto"/>
        <w:ind w:firstLine="709"/>
        <w:jc w:val="both"/>
        <w:rPr>
          <w:rFonts w:ascii="Verdana" w:hAnsi="Verdana" w:cs="Arial"/>
          <w:noProof/>
          <w:lang w:val="es-ES_tradnl"/>
        </w:rPr>
      </w:pPr>
      <w:r w:rsidRPr="008677DE">
        <w:rPr>
          <w:rFonts w:ascii="Verdana" w:hAnsi="Verdana" w:cs="Arial"/>
          <w:noProof/>
          <w:lang w:val="es-ES_tradnl"/>
        </w:rPr>
        <w:t xml:space="preserve">En tal sentido, el Decreto 1082 de 2015 en el </w:t>
      </w:r>
      <w:r>
        <w:rPr>
          <w:rFonts w:ascii="Verdana" w:hAnsi="Verdana" w:cs="Arial"/>
          <w:noProof/>
          <w:lang w:val="es-ES_tradnl"/>
        </w:rPr>
        <w:t>a</w:t>
      </w:r>
      <w:r w:rsidRPr="008677DE">
        <w:rPr>
          <w:rFonts w:ascii="Verdana" w:hAnsi="Verdana" w:cs="Arial"/>
          <w:noProof/>
          <w:lang w:val="es-ES_tradnl"/>
        </w:rPr>
        <w:t>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044E8369" w14:textId="77777777" w:rsidR="0095364F" w:rsidRPr="008677DE" w:rsidRDefault="0095364F" w:rsidP="0095364F">
      <w:pPr>
        <w:tabs>
          <w:tab w:val="left" w:pos="0"/>
        </w:tabs>
        <w:spacing w:after="0" w:line="276" w:lineRule="auto"/>
        <w:ind w:firstLine="709"/>
        <w:jc w:val="both"/>
        <w:rPr>
          <w:rFonts w:ascii="Verdana" w:hAnsi="Verdana" w:cs="Arial"/>
          <w:noProof/>
          <w:lang w:val="es-ES_tradnl"/>
        </w:rPr>
      </w:pPr>
    </w:p>
    <w:p w14:paraId="5314098B" w14:textId="77777777" w:rsidR="0095364F" w:rsidRDefault="0095364F" w:rsidP="0095364F">
      <w:pPr>
        <w:spacing w:after="0" w:line="240" w:lineRule="auto"/>
        <w:ind w:left="709" w:right="709"/>
        <w:jc w:val="both"/>
        <w:rPr>
          <w:rFonts w:ascii="Verdana" w:hAnsi="Verdana" w:cs="Arial"/>
          <w:sz w:val="20"/>
          <w:szCs w:val="20"/>
        </w:rPr>
      </w:pPr>
      <w:r w:rsidRPr="00EB30BA">
        <w:rPr>
          <w:rFonts w:ascii="Verdana" w:hAnsi="Verdana" w:cs="Arial"/>
          <w:sz w:val="20"/>
          <w:szCs w:val="20"/>
        </w:rPr>
        <w:t xml:space="preserve">“Las Entidades Estatales pueden contratar bajo la modalidad de contratación directa </w:t>
      </w:r>
      <w:r>
        <w:rPr>
          <w:rFonts w:ascii="Verdana" w:hAnsi="Verdana" w:cs="Arial"/>
          <w:sz w:val="20"/>
          <w:szCs w:val="20"/>
        </w:rPr>
        <w:t xml:space="preserve">f </w:t>
      </w:r>
      <w:r w:rsidRPr="00EB30BA">
        <w:rPr>
          <w:rFonts w:ascii="Verdana" w:hAnsi="Verdana" w:cs="Arial"/>
          <w:sz w:val="20"/>
          <w:szCs w:val="20"/>
        </w:rPr>
        <w:t>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42BEEE64" w14:textId="77777777" w:rsidR="0095364F" w:rsidRPr="00EB30BA" w:rsidRDefault="0095364F" w:rsidP="0095364F">
      <w:pPr>
        <w:spacing w:after="0" w:line="240" w:lineRule="auto"/>
        <w:ind w:left="709" w:right="709"/>
        <w:jc w:val="both"/>
        <w:rPr>
          <w:rFonts w:ascii="Verdana" w:hAnsi="Verdana" w:cs="Arial"/>
          <w:sz w:val="20"/>
          <w:szCs w:val="20"/>
        </w:rPr>
      </w:pPr>
    </w:p>
    <w:p w14:paraId="31CC4473" w14:textId="77777777" w:rsidR="0095364F" w:rsidRPr="00EB30BA" w:rsidRDefault="0095364F" w:rsidP="0095364F">
      <w:pPr>
        <w:spacing w:after="0" w:line="240" w:lineRule="auto"/>
        <w:ind w:left="709" w:right="709"/>
        <w:jc w:val="both"/>
        <w:rPr>
          <w:rFonts w:ascii="Verdana" w:hAnsi="Verdana" w:cs="Arial"/>
          <w:sz w:val="20"/>
          <w:szCs w:val="20"/>
        </w:rPr>
      </w:pPr>
      <w:r w:rsidRPr="00EB30BA">
        <w:rPr>
          <w:rFonts w:ascii="Verdana" w:hAnsi="Verdana" w:cs="Arial"/>
          <w:sz w:val="20"/>
          <w:szCs w:val="20"/>
        </w:rPr>
        <w:lastRenderedPageBreak/>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046ACC9E" w14:textId="77777777" w:rsidR="0095364F" w:rsidRDefault="0095364F" w:rsidP="0095364F">
      <w:pPr>
        <w:spacing w:after="0" w:line="240" w:lineRule="auto"/>
        <w:ind w:left="709" w:right="709"/>
        <w:jc w:val="both"/>
        <w:rPr>
          <w:rFonts w:ascii="Verdana" w:hAnsi="Verdana" w:cs="Arial"/>
          <w:sz w:val="20"/>
          <w:szCs w:val="20"/>
        </w:rPr>
      </w:pPr>
    </w:p>
    <w:p w14:paraId="10387EE7" w14:textId="77777777" w:rsidR="0095364F" w:rsidRPr="00EB30BA" w:rsidRDefault="0095364F" w:rsidP="0095364F">
      <w:pPr>
        <w:spacing w:after="0" w:line="240" w:lineRule="auto"/>
        <w:ind w:left="709" w:right="709"/>
        <w:jc w:val="both"/>
        <w:rPr>
          <w:rFonts w:ascii="Verdana" w:hAnsi="Verdana" w:cs="Arial"/>
          <w:sz w:val="20"/>
          <w:szCs w:val="20"/>
        </w:rPr>
      </w:pPr>
      <w:r w:rsidRPr="00EB30BA">
        <w:rPr>
          <w:rFonts w:ascii="Verdana" w:hAnsi="Verdana" w:cs="Arial"/>
          <w:sz w:val="20"/>
          <w:szCs w:val="20"/>
        </w:rPr>
        <w:t>La Entidad Estatal, para la contratación de trabajos artísticos que solamente puedan en</w:t>
      </w:r>
      <w:r w:rsidRPr="00EB30BA">
        <w:rPr>
          <w:rFonts w:ascii="Verdana" w:hAnsi="Verdana" w:cs="Arial"/>
          <w:sz w:val="20"/>
          <w:szCs w:val="20"/>
        </w:rPr>
        <w:softHyphen/>
        <w:t>comendarse a determinadas personas naturales, debe justificar esta situación en los estudios y documentos previos”.</w:t>
      </w:r>
    </w:p>
    <w:p w14:paraId="62690B8E" w14:textId="77777777" w:rsidR="0095364F" w:rsidRDefault="0095364F" w:rsidP="0095364F">
      <w:pPr>
        <w:tabs>
          <w:tab w:val="left" w:pos="0"/>
        </w:tabs>
        <w:spacing w:after="0" w:line="276" w:lineRule="auto"/>
        <w:jc w:val="both"/>
        <w:rPr>
          <w:rFonts w:ascii="Verdana" w:hAnsi="Verdana" w:cs="Arial"/>
          <w:color w:val="000000" w:themeColor="text1"/>
          <w:lang w:val="es-ES_tradnl"/>
        </w:rPr>
      </w:pPr>
      <w:r w:rsidRPr="008677DE">
        <w:rPr>
          <w:rFonts w:ascii="Verdana" w:hAnsi="Verdana" w:cs="Arial"/>
          <w:color w:val="000000" w:themeColor="text1"/>
          <w:lang w:val="es-ES_tradnl"/>
        </w:rPr>
        <w:tab/>
      </w:r>
    </w:p>
    <w:p w14:paraId="72ED23CB" w14:textId="77777777" w:rsidR="0095364F" w:rsidRPr="008677DE" w:rsidRDefault="0095364F" w:rsidP="0095364F">
      <w:pPr>
        <w:tabs>
          <w:tab w:val="left" w:pos="0"/>
        </w:tabs>
        <w:spacing w:after="120" w:line="276" w:lineRule="auto"/>
        <w:jc w:val="both"/>
        <w:rPr>
          <w:rFonts w:ascii="Verdana" w:hAnsi="Verdana" w:cs="Arial"/>
          <w:color w:val="000000" w:themeColor="text1"/>
          <w:lang w:val="es-ES_tradnl"/>
        </w:rPr>
      </w:pPr>
      <w:r>
        <w:rPr>
          <w:rFonts w:ascii="Verdana" w:hAnsi="Verdana" w:cs="Arial"/>
          <w:color w:val="000000" w:themeColor="text1"/>
          <w:lang w:val="es-ES_tradnl"/>
        </w:rPr>
        <w:tab/>
      </w:r>
      <w:r w:rsidRPr="008677DE">
        <w:rPr>
          <w:rFonts w:ascii="Verdana" w:hAnsi="Verdana" w:cs="Arial"/>
          <w:color w:val="000000" w:themeColor="text1"/>
          <w:lang w:val="es-ES_tradnl"/>
        </w:rPr>
        <w:t>A partir de las disposiciones citadas, así como de la Sentencia de Unificación de Jurisprudencial del 9 de septiembre de 2021, proferida por el Consejo de Estado</w:t>
      </w:r>
      <w:r w:rsidRPr="008677DE">
        <w:rPr>
          <w:rStyle w:val="Refdenotaalpie"/>
          <w:rFonts w:ascii="Verdana" w:hAnsi="Verdana" w:cs="Arial"/>
          <w:bCs/>
          <w:lang w:val="es-ES"/>
        </w:rPr>
        <w:footnoteReference w:id="2"/>
      </w:r>
      <w:r w:rsidRPr="008677DE">
        <w:rPr>
          <w:rFonts w:ascii="Verdana" w:hAnsi="Verdana" w:cs="Arial"/>
          <w:color w:val="000000" w:themeColor="text1"/>
          <w:lang w:val="es-ES_tradnl"/>
        </w:rPr>
        <w:t>, es posible señalar las siguientes características del contrato de prestación de servicios</w:t>
      </w:r>
      <w:r w:rsidRPr="008677DE">
        <w:rPr>
          <w:rFonts w:ascii="Verdana" w:hAnsi="Verdana" w:cs="Arial"/>
          <w:noProof/>
          <w:lang w:val="es-ES_tradnl"/>
        </w:rPr>
        <w:t>:</w:t>
      </w:r>
    </w:p>
    <w:p w14:paraId="0E832174"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i) Solo puede celebrarse para realizar </w:t>
      </w:r>
      <w:r>
        <w:rPr>
          <w:rFonts w:ascii="Verdana" w:hAnsi="Verdana" w:cs="Arial"/>
          <w:noProof/>
          <w:lang w:val="es-ES_tradnl"/>
        </w:rPr>
        <w:t>“</w:t>
      </w:r>
      <w:r w:rsidRPr="008677DE">
        <w:rPr>
          <w:rFonts w:ascii="Verdana" w:hAnsi="Verdana" w:cs="Arial"/>
          <w:noProof/>
          <w:lang w:val="es-ES_tradnl"/>
        </w:rPr>
        <w:t>actividades relacionadas con la administración o funcionamiento de la entidad</w:t>
      </w:r>
      <w:r>
        <w:rPr>
          <w:rFonts w:ascii="Verdana" w:hAnsi="Verdana" w:cs="Arial"/>
          <w:noProof/>
          <w:lang w:val="es-ES_tradnl"/>
        </w:rPr>
        <w:t>”</w:t>
      </w:r>
      <w:r w:rsidRPr="008677DE">
        <w:rPr>
          <w:rFonts w:ascii="Verdana" w:hAnsi="Verdana" w:cs="Arial"/>
          <w:noProof/>
          <w:lang w:val="es-ES_tradnl"/>
        </w:rPr>
        <w:t>, es decir, que hagan parte de su giro ordinario o quehacer cotidiano</w:t>
      </w:r>
      <w:r w:rsidRPr="008677DE">
        <w:rPr>
          <w:rStyle w:val="Refdenotaalpie"/>
          <w:rFonts w:ascii="Verdana" w:hAnsi="Verdana" w:cs="Arial"/>
          <w:noProof/>
          <w:lang w:val="es-ES_tradnl"/>
        </w:rPr>
        <w:footnoteReference w:id="3"/>
      </w:r>
      <w:r w:rsidRPr="008677DE">
        <w:rPr>
          <w:rFonts w:ascii="Verdana" w:hAnsi="Verdana" w:cs="Arial"/>
          <w:noProof/>
          <w:lang w:val="es-ES_tradnl"/>
        </w:rPr>
        <w:t>.</w:t>
      </w:r>
    </w:p>
    <w:p w14:paraId="57A7189C"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ii) Respecto del tipo de personas que pueden ser contratadas, admite que se suscriba con personas naturales o jurídicas. Sin embargo, cuando se celebre con aquellas, la Entidad Estatal debe justificar, en los estudios previos, que las actividades </w:t>
      </w:r>
      <w:r>
        <w:rPr>
          <w:rFonts w:ascii="Verdana" w:hAnsi="Verdana" w:cs="Arial"/>
          <w:noProof/>
          <w:lang w:val="es-ES_tradnl"/>
        </w:rPr>
        <w:t>“</w:t>
      </w:r>
      <w:r w:rsidRPr="008677DE">
        <w:rPr>
          <w:rFonts w:ascii="Verdana" w:hAnsi="Verdana" w:cs="Arial"/>
          <w:noProof/>
          <w:lang w:val="es-ES_tradnl"/>
        </w:rPr>
        <w:t>no puedan realizarse con personal de planta o requieran conocimientos especializados</w:t>
      </w:r>
      <w:r>
        <w:rPr>
          <w:rFonts w:ascii="Verdana" w:hAnsi="Verdana" w:cs="Arial"/>
          <w:noProof/>
          <w:lang w:val="es-ES_tradnl"/>
        </w:rPr>
        <w:t>”</w:t>
      </w:r>
      <w:r w:rsidRPr="008677DE">
        <w:rPr>
          <w:rFonts w:ascii="Verdana" w:hAnsi="Verdana" w:cs="Arial"/>
          <w:noProof/>
          <w:lang w:val="es-ES_tradnl"/>
        </w:rPr>
        <w:t>. Esto sucede en varios eventos, por ejemplo, cuando no exista personal de planta para ejecutar las labores; o existiendo, está sobrecargado de trabajo, necesitando apoyo externo; o habiendo personal de planta, carece de la experticia o conocimiento especializado, razón por la cual es necesario contratar los servicios de una persona natural que tenga el conocimiento y la experiencia en el tema.</w:t>
      </w:r>
    </w:p>
    <w:p w14:paraId="4067FEB9" w14:textId="77777777" w:rsidR="0095364F"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8677DE">
        <w:rPr>
          <w:rFonts w:ascii="Verdana" w:hAnsi="Verdana" w:cs="Arial"/>
          <w:i/>
          <w:noProof/>
          <w:lang w:val="es-ES_tradnl"/>
        </w:rPr>
        <w:t xml:space="preserve">subordinación </w:t>
      </w:r>
      <w:r w:rsidRPr="008677DE">
        <w:rPr>
          <w:rFonts w:ascii="Verdana" w:hAnsi="Verdana" w:cs="Arial"/>
          <w:iCs/>
          <w:noProof/>
          <w:lang w:val="es-ES_tradnl"/>
        </w:rPr>
        <w:t>ni</w:t>
      </w:r>
      <w:r w:rsidRPr="008677DE">
        <w:rPr>
          <w:rFonts w:ascii="Verdana" w:hAnsi="Verdana" w:cs="Arial"/>
          <w:i/>
          <w:noProof/>
          <w:lang w:val="es-ES_tradnl"/>
        </w:rPr>
        <w:t xml:space="preserve"> dependencia</w:t>
      </w:r>
      <w:r w:rsidRPr="008677DE">
        <w:rPr>
          <w:rFonts w:ascii="Verdana" w:hAnsi="Verdana" w:cs="Arial"/>
          <w:iCs/>
          <w:noProof/>
          <w:lang w:val="es-ES_tradnl"/>
        </w:rPr>
        <w:t>,</w:t>
      </w:r>
      <w:r w:rsidRPr="008677DE">
        <w:rPr>
          <w:rFonts w:ascii="Verdana" w:hAnsi="Verdana" w:cs="Arial"/>
          <w:noProof/>
          <w:lang w:val="es-ES_tradnl"/>
        </w:rPr>
        <w:t xml:space="preserve"> que es uno de los elementos constitutivos del vínculo laboral</w:t>
      </w:r>
      <w:r w:rsidRPr="008677DE">
        <w:rPr>
          <w:rStyle w:val="Refdenotaalpie"/>
          <w:rFonts w:ascii="Verdana" w:hAnsi="Verdana" w:cs="Arial"/>
          <w:noProof/>
          <w:lang w:val="es-ES_tradnl"/>
        </w:rPr>
        <w:footnoteReference w:id="4"/>
      </w:r>
      <w:r w:rsidRPr="008677DE">
        <w:rPr>
          <w:rFonts w:ascii="Verdana" w:hAnsi="Verdana" w:cs="Arial"/>
          <w:noProof/>
          <w:lang w:val="es-ES_tradnl"/>
        </w:rPr>
        <w:t xml:space="preserve">. Por </w:t>
      </w:r>
      <w:r w:rsidRPr="008677DE">
        <w:rPr>
          <w:rFonts w:ascii="Verdana" w:hAnsi="Verdana" w:cs="Arial"/>
          <w:noProof/>
          <w:lang w:val="es-ES_tradnl"/>
        </w:rPr>
        <w:lastRenderedPageBreak/>
        <w:t xml:space="preserve">eso, el artículo 32, numeral 3º, de la Ley 80 de 1993 establece que </w:t>
      </w:r>
      <w:r>
        <w:rPr>
          <w:rFonts w:ascii="Verdana" w:hAnsi="Verdana" w:cs="Arial"/>
          <w:noProof/>
          <w:lang w:val="es-ES_tradnl"/>
        </w:rPr>
        <w:t>“</w:t>
      </w:r>
      <w:r w:rsidRPr="008677DE">
        <w:rPr>
          <w:rFonts w:ascii="Verdana" w:hAnsi="Verdana" w:cs="Arial"/>
          <w:noProof/>
          <w:lang w:val="es-ES_tradnl"/>
        </w:rPr>
        <w:t>En ningún caso estos contratos generan relación laboral ni prestaciones sociales</w:t>
      </w:r>
      <w:r>
        <w:rPr>
          <w:rFonts w:ascii="Verdana" w:hAnsi="Verdana" w:cs="Arial"/>
          <w:noProof/>
          <w:lang w:val="es-ES_tradnl"/>
        </w:rPr>
        <w:t>”</w:t>
      </w:r>
      <w:r w:rsidRPr="008677DE">
        <w:rPr>
          <w:rFonts w:ascii="Verdana" w:hAnsi="Verdana" w:cs="Arial"/>
          <w:noProof/>
          <w:lang w:val="es-ES_tradnl"/>
        </w:rPr>
        <w:t xml:space="preserve">. Este inciso, más que un enunciado que aluda al </w:t>
      </w:r>
      <w:r>
        <w:rPr>
          <w:rFonts w:ascii="Verdana" w:hAnsi="Verdana" w:cs="Arial"/>
          <w:noProof/>
          <w:lang w:val="es-ES_tradnl"/>
        </w:rPr>
        <w:t>“</w:t>
      </w:r>
      <w:r w:rsidRPr="008677DE">
        <w:rPr>
          <w:rFonts w:ascii="Verdana" w:hAnsi="Verdana" w:cs="Arial"/>
          <w:noProof/>
          <w:lang w:val="es-ES_tradnl"/>
        </w:rPr>
        <w:t>ser</w:t>
      </w:r>
      <w:r>
        <w:rPr>
          <w:rFonts w:ascii="Verdana" w:hAnsi="Verdana" w:cs="Arial"/>
          <w:noProof/>
          <w:lang w:val="es-ES_tradnl"/>
        </w:rPr>
        <w:t>”</w:t>
      </w:r>
      <w:r w:rsidRPr="008677DE">
        <w:rPr>
          <w:rFonts w:ascii="Verdana" w:hAnsi="Verdana" w:cs="Arial"/>
          <w:noProof/>
          <w:lang w:val="es-ES_tradnl"/>
        </w:rPr>
        <w:t xml:space="preserve">, se refiere al </w:t>
      </w:r>
      <w:r>
        <w:rPr>
          <w:rFonts w:ascii="Verdana" w:hAnsi="Verdana" w:cs="Arial"/>
          <w:noProof/>
          <w:lang w:val="es-ES_tradnl"/>
        </w:rPr>
        <w:t>“</w:t>
      </w:r>
      <w:r w:rsidRPr="008677DE">
        <w:rPr>
          <w:rFonts w:ascii="Verdana" w:hAnsi="Verdana" w:cs="Arial"/>
          <w:noProof/>
          <w:lang w:val="es-ES_tradnl"/>
        </w:rPr>
        <w:t>deber ser</w:t>
      </w:r>
      <w:r>
        <w:rPr>
          <w:rFonts w:ascii="Verdana" w:hAnsi="Verdana" w:cs="Arial"/>
          <w:noProof/>
          <w:lang w:val="es-ES_tradnl"/>
        </w:rPr>
        <w:t>”</w:t>
      </w:r>
      <w:r w:rsidRPr="008677DE">
        <w:rPr>
          <w:rFonts w:ascii="Verdana" w:hAnsi="Verdana" w:cs="Arial"/>
          <w:noProof/>
          <w:lang w:val="es-ES_tradnl"/>
        </w:rPr>
        <w:t xml:space="preserve">, pues debe interpretarse en el sentido de que los contratos de prestación de servicios profesionales </w:t>
      </w:r>
      <w:r w:rsidRPr="008677DE">
        <w:rPr>
          <w:rFonts w:ascii="Verdana" w:hAnsi="Verdana" w:cs="Arial"/>
          <w:i/>
          <w:noProof/>
          <w:lang w:val="es-ES_tradnl"/>
        </w:rPr>
        <w:t>no pueden</w:t>
      </w:r>
      <w:r w:rsidRPr="008677DE">
        <w:rPr>
          <w:rFonts w:ascii="Verdana" w:hAnsi="Verdana" w:cs="Arial"/>
          <w:noProof/>
          <w:lang w:val="es-ES_tradnl"/>
        </w:rPr>
        <w:t xml:space="preserve"> generar relación laboral, ni dar lugar a que las entidades estatales paguen por su cuenta los aportes al Sistema de Seguridad Social Integral del contratista. </w:t>
      </w:r>
    </w:p>
    <w:p w14:paraId="70A3E82E" w14:textId="77777777" w:rsidR="0095364F"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Tal como se indicó, no puede existir subordinación y dependencia; entonces, la relación laboral está proscrita y el contratista es quien, como </w:t>
      </w:r>
      <w:r>
        <w:rPr>
          <w:rFonts w:ascii="Verdana" w:hAnsi="Verdana" w:cs="Arial"/>
          <w:noProof/>
          <w:lang w:val="es-ES_tradnl"/>
        </w:rPr>
        <w:t>“</w:t>
      </w:r>
      <w:r w:rsidRPr="008677DE">
        <w:rPr>
          <w:rFonts w:ascii="Verdana" w:hAnsi="Verdana" w:cs="Arial"/>
          <w:noProof/>
          <w:lang w:val="es-ES_tradnl"/>
        </w:rPr>
        <w:t>trabajador independiente</w:t>
      </w:r>
      <w:r>
        <w:rPr>
          <w:rFonts w:ascii="Verdana" w:hAnsi="Verdana" w:cs="Arial"/>
          <w:noProof/>
          <w:lang w:val="es-ES_tradnl"/>
        </w:rPr>
        <w:t>”</w:t>
      </w:r>
      <w:r w:rsidRPr="008677DE">
        <w:rPr>
          <w:rFonts w:ascii="Verdana" w:hAnsi="Verdana" w:cs="Arial"/>
          <w:noProof/>
          <w:lang w:val="es-ES_tradnl"/>
        </w:rPr>
        <w:t xml:space="preserve"> –como lo califican las normas de la seguridad social– debe cotizar por su cuenta y riesgo al Sistema de Seguridad Social Integral</w:t>
      </w:r>
      <w:r w:rsidRPr="008677DE">
        <w:rPr>
          <w:rStyle w:val="Refdenotaalpie"/>
          <w:rFonts w:ascii="Verdana" w:hAnsi="Verdana" w:cs="Arial"/>
          <w:noProof/>
          <w:lang w:val="es-ES_tradnl"/>
        </w:rPr>
        <w:footnoteReference w:id="5"/>
      </w:r>
      <w:r w:rsidRPr="008677DE">
        <w:rPr>
          <w:rFonts w:ascii="Verdana" w:hAnsi="Verdana" w:cs="Arial"/>
          <w:noProof/>
          <w:lang w:val="es-ES_tradnl"/>
        </w:rPr>
        <w:t xml:space="preserve">. A pesar de este mandato deontológico, es posible que en la práctica se configure una relación laboral, pues el contrato de trabajo es </w:t>
      </w:r>
      <w:r w:rsidRPr="008677DE">
        <w:rPr>
          <w:rFonts w:ascii="Verdana" w:hAnsi="Verdana" w:cs="Arial"/>
          <w:i/>
          <w:iCs/>
          <w:noProof/>
          <w:lang w:val="es-ES_tradnl"/>
        </w:rPr>
        <w:t xml:space="preserve">de </w:t>
      </w:r>
      <w:r w:rsidRPr="008677DE">
        <w:rPr>
          <w:rFonts w:ascii="Verdana" w:hAnsi="Verdana" w:cs="Arial"/>
          <w:i/>
          <w:noProof/>
          <w:lang w:val="es-ES_tradnl"/>
        </w:rPr>
        <w:t>realidad</w:t>
      </w:r>
      <w:r w:rsidRPr="008677DE">
        <w:rPr>
          <w:rFonts w:ascii="Verdana" w:hAnsi="Verdana" w:cs="Arial"/>
          <w:noProof/>
          <w:lang w:val="es-ES_tradnl"/>
        </w:rPr>
        <w:t xml:space="preserve">, y para perfeccionarlo rige el principio de prevalencia de la realidad sobre las formalidades. </w:t>
      </w:r>
    </w:p>
    <w:p w14:paraId="5B0F18E8" w14:textId="77777777" w:rsidR="0095364F"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En el sentido anterior, la Corte Constitucional declaró la exequibilidad condicionada del segundo inciso del numeral 3º del artículo 32, indicando que </w:t>
      </w:r>
      <w:r>
        <w:rPr>
          <w:rFonts w:ascii="Verdana" w:hAnsi="Verdana" w:cs="Arial"/>
          <w:noProof/>
          <w:lang w:val="es-ES_tradnl"/>
        </w:rPr>
        <w:t>“</w:t>
      </w:r>
      <w:r w:rsidRPr="008677DE">
        <w:rPr>
          <w:rFonts w:ascii="Verdana" w:hAnsi="Verdana" w:cs="Arial"/>
          <w:noProof/>
          <w:lang w:val="es-ES_tradnl"/>
        </w:rPr>
        <w:t>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Pr>
          <w:rFonts w:ascii="Verdana" w:hAnsi="Verdana" w:cs="Arial"/>
          <w:noProof/>
          <w:lang w:val="es-ES_tradnl"/>
        </w:rPr>
        <w:t>”</w:t>
      </w:r>
      <w:r w:rsidRPr="008677DE">
        <w:rPr>
          <w:rStyle w:val="Refdenotaalpie"/>
          <w:rFonts w:ascii="Verdana" w:hAnsi="Verdana" w:cs="Arial"/>
          <w:noProof/>
          <w:lang w:val="es-ES_tradnl"/>
        </w:rPr>
        <w:footnoteReference w:id="6"/>
      </w:r>
      <w:r w:rsidRPr="008677DE">
        <w:rPr>
          <w:rFonts w:ascii="Verdana" w:hAnsi="Verdana" w:cs="Arial"/>
          <w:noProof/>
          <w:lang w:val="es-ES_tradnl"/>
        </w:rPr>
        <w:t xml:space="preserve">. </w:t>
      </w:r>
    </w:p>
    <w:p w14:paraId="6D3B6135"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lastRenderedPageBreak/>
        <w:t>Por su parte, el Consejo de Estado</w:t>
      </w:r>
      <w:r>
        <w:rPr>
          <w:rFonts w:ascii="Verdana" w:hAnsi="Verdana" w:cs="Arial"/>
          <w:noProof/>
          <w:lang w:val="es-ES_tradnl"/>
        </w:rPr>
        <w:t>,</w:t>
      </w:r>
      <w:r w:rsidRPr="008677DE">
        <w:rPr>
          <w:rFonts w:ascii="Verdana" w:hAnsi="Verdana" w:cs="Arial"/>
          <w:noProof/>
          <w:lang w:val="es-ES_tradnl"/>
        </w:rPr>
        <w:t xml:space="preserve"> en sentencia de unificación jurisprudencial del 9 de septiembre de 2021</w:t>
      </w:r>
      <w:r>
        <w:rPr>
          <w:rFonts w:ascii="Verdana" w:hAnsi="Verdana" w:cs="Arial"/>
          <w:noProof/>
          <w:lang w:val="es-ES_tradnl"/>
        </w:rPr>
        <w:t>,</w:t>
      </w:r>
      <w:r w:rsidRPr="008677DE">
        <w:rPr>
          <w:rFonts w:ascii="Verdana" w:hAnsi="Verdana" w:cs="Arial"/>
          <w:noProof/>
          <w:lang w:val="es-ES_tradnl"/>
        </w:rPr>
        <w:t xml:space="preserve"> se pronunció respecto de los criterios para identificar la existencia de una relación laboral encubierta o subyacente por contratos de </w:t>
      </w:r>
      <w:r>
        <w:rPr>
          <w:rFonts w:ascii="Verdana" w:hAnsi="Verdana" w:cs="Arial"/>
          <w:noProof/>
          <w:lang w:val="es-ES_tradnl"/>
        </w:rPr>
        <w:t>p</w:t>
      </w:r>
      <w:r w:rsidRPr="008677DE">
        <w:rPr>
          <w:rFonts w:ascii="Verdana" w:hAnsi="Verdana" w:cs="Arial"/>
          <w:noProof/>
          <w:lang w:val="es-ES_tradnl"/>
        </w:rPr>
        <w:t>restación de servicios y definó tres reglas para el</w:t>
      </w:r>
      <w:r>
        <w:rPr>
          <w:rFonts w:ascii="Verdana" w:hAnsi="Verdana" w:cs="Arial"/>
          <w:noProof/>
          <w:lang w:val="es-ES_tradnl"/>
        </w:rPr>
        <w:t xml:space="preserve"> </w:t>
      </w:r>
      <w:r w:rsidRPr="008677DE">
        <w:rPr>
          <w:rFonts w:ascii="Verdana" w:hAnsi="Verdana" w:cs="Arial"/>
          <w:noProof/>
          <w:lang w:val="es-ES_tradnl"/>
        </w:rPr>
        <w:t>efecto</w:t>
      </w:r>
      <w:r w:rsidRPr="008677DE">
        <w:rPr>
          <w:rFonts w:ascii="Verdana" w:hAnsi="Verdana"/>
          <w:vertAlign w:val="superscript"/>
          <w:lang w:val="es-ES_tradnl"/>
        </w:rPr>
        <w:footnoteReference w:id="7"/>
      </w:r>
      <w:r w:rsidRPr="008677DE">
        <w:rPr>
          <w:rFonts w:ascii="Verdana" w:hAnsi="Verdana" w:cs="Arial"/>
          <w:noProof/>
          <w:lang w:val="es-ES_tradnl"/>
        </w:rPr>
        <w:t>, aspectos que fueron aclarados posteriormente por Auto del 11 de noviembre de 2021</w:t>
      </w:r>
      <w:r w:rsidRPr="008677DE">
        <w:rPr>
          <w:rStyle w:val="Refdenotaalpie"/>
          <w:rFonts w:ascii="Verdana" w:hAnsi="Verdana" w:cs="Arial"/>
          <w:noProof/>
          <w:lang w:val="es-ES_tradnl"/>
        </w:rPr>
        <w:footnoteReference w:id="8"/>
      </w:r>
      <w:r w:rsidRPr="008677DE">
        <w:rPr>
          <w:rFonts w:ascii="Verdana" w:hAnsi="Verdana" w:cs="Arial"/>
          <w:noProof/>
          <w:lang w:val="es-ES_tradnl"/>
        </w:rPr>
        <w:t>.</w:t>
      </w:r>
    </w:p>
    <w:p w14:paraId="1A0D21CC" w14:textId="77777777" w:rsidR="0095364F" w:rsidRDefault="0095364F" w:rsidP="0095364F">
      <w:pPr>
        <w:spacing w:after="120" w:line="276" w:lineRule="auto"/>
        <w:ind w:firstLine="709"/>
        <w:jc w:val="both"/>
        <w:rPr>
          <w:rFonts w:ascii="Verdana" w:hAnsi="Verdana" w:cs="Arial"/>
        </w:rPr>
      </w:pPr>
      <w:r w:rsidRPr="008677DE">
        <w:rPr>
          <w:rFonts w:ascii="Verdana" w:hAnsi="Verdana" w:cs="Arial"/>
          <w:noProof/>
          <w:lang w:val="es-ES_tradnl"/>
        </w:rPr>
        <w:t xml:space="preserve">iv) Deben ser temporales. La sentencia de unificacion jurisprudencial del Consejo de Estado mencionada, frente a la duración del contrato de prestación de servicios señaló que solo puede celebrarse por un </w:t>
      </w:r>
      <w:r>
        <w:rPr>
          <w:rFonts w:ascii="Verdana" w:hAnsi="Verdana" w:cs="Arial"/>
          <w:noProof/>
          <w:lang w:val="es-ES_tradnl"/>
        </w:rPr>
        <w:t>“</w:t>
      </w:r>
      <w:r w:rsidRPr="008677DE">
        <w:rPr>
          <w:rFonts w:ascii="Verdana" w:hAnsi="Verdana" w:cs="Arial"/>
          <w:noProof/>
          <w:lang w:val="es-ES_tradnl"/>
        </w:rPr>
        <w:t>término estrictamente indispensable</w:t>
      </w:r>
      <w:r>
        <w:rPr>
          <w:rFonts w:ascii="Verdana" w:hAnsi="Verdana" w:cs="Arial"/>
          <w:noProof/>
          <w:lang w:val="es-ES_tradnl"/>
        </w:rPr>
        <w:t>”</w:t>
      </w:r>
      <w:r w:rsidRPr="008677DE">
        <w:rPr>
          <w:rFonts w:ascii="Verdana" w:hAnsi="Verdana" w:cs="Arial"/>
          <w:noProof/>
          <w:lang w:val="es-ES_tradnl"/>
        </w:rPr>
        <w:t xml:space="preserve">. En ese entendido, unificó el sentido y alcance del término estrictamente indispensable como </w:t>
      </w:r>
      <w:r>
        <w:rPr>
          <w:rFonts w:ascii="Verdana" w:hAnsi="Verdana" w:cs="Arial"/>
          <w:noProof/>
          <w:lang w:val="es-ES_tradnl"/>
        </w:rPr>
        <w:t>“</w:t>
      </w:r>
      <w:r w:rsidRPr="008677DE">
        <w:rPr>
          <w:rFonts w:ascii="Verdana" w:hAnsi="Verdana" w:cs="Arial"/>
          <w:noProof/>
          <w:lang w:val="es-ES_tradnl"/>
        </w:rPr>
        <w:t>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Pr>
          <w:rFonts w:ascii="Verdana" w:hAnsi="Verdana" w:cs="Arial"/>
          <w:noProof/>
          <w:lang w:val="es-ES_tradnl"/>
        </w:rPr>
        <w:t>”</w:t>
      </w:r>
      <w:r w:rsidRPr="008677DE">
        <w:rPr>
          <w:rFonts w:ascii="Verdana" w:hAnsi="Verdana" w:cs="Arial"/>
          <w:noProof/>
          <w:lang w:val="es-ES_tradnl"/>
        </w:rPr>
        <w:t>.</w:t>
      </w:r>
      <w:r w:rsidRPr="008677DE">
        <w:rPr>
          <w:rFonts w:ascii="Verdana" w:hAnsi="Verdana" w:cs="Arial"/>
        </w:rPr>
        <w:t xml:space="preserve"> </w:t>
      </w:r>
    </w:p>
    <w:p w14:paraId="04D64630" w14:textId="77777777" w:rsidR="0095364F" w:rsidRDefault="0095364F" w:rsidP="0095364F">
      <w:pPr>
        <w:spacing w:before="120" w:after="0" w:line="276" w:lineRule="auto"/>
        <w:ind w:firstLine="709"/>
        <w:jc w:val="both"/>
        <w:rPr>
          <w:rFonts w:ascii="Verdana" w:hAnsi="Verdana" w:cs="Arial"/>
          <w:noProof/>
          <w:lang w:val="es-ES_tradnl"/>
        </w:rPr>
      </w:pPr>
      <w:r w:rsidRPr="008677DE">
        <w:rPr>
          <w:rFonts w:ascii="Verdana" w:hAnsi="Verdana" w:cs="Arial"/>
        </w:rPr>
        <w:t xml:space="preserve">De igual manera, señaló que </w:t>
      </w:r>
      <w:r>
        <w:rPr>
          <w:rFonts w:ascii="Verdana" w:hAnsi="Verdana" w:cs="Arial"/>
        </w:rPr>
        <w:t>“</w:t>
      </w:r>
      <w:r w:rsidRPr="008677DE">
        <w:rPr>
          <w:rFonts w:ascii="Verdana" w:hAnsi="Verdana" w:cs="Arial"/>
        </w:rPr>
        <w:t>no cabe su empleo para la cobertura indefinida de necesidades permanentes o recurrentes</w:t>
      </w:r>
      <w:r>
        <w:rPr>
          <w:rFonts w:ascii="Verdana" w:hAnsi="Verdana" w:cs="Arial"/>
        </w:rPr>
        <w:t>”</w:t>
      </w:r>
      <w:r w:rsidRPr="008677DE">
        <w:rPr>
          <w:rFonts w:ascii="Verdana" w:hAnsi="Verdana" w:cs="Arial"/>
        </w:rPr>
        <w:t xml:space="preserve">. </w:t>
      </w:r>
      <w:r w:rsidRPr="008677DE">
        <w:rPr>
          <w:rFonts w:ascii="Verdana" w:hAnsi="Verdana" w:cs="Arial"/>
          <w:noProof/>
          <w:lang w:val="es-ES_tradnl"/>
        </w:rPr>
        <w:t xml:space="preserve">En sentido similar se manifestó la Corte </w:t>
      </w:r>
      <w:r w:rsidRPr="00AB49CF">
        <w:rPr>
          <w:rFonts w:ascii="Verdana" w:hAnsi="Verdana" w:cs="Arial"/>
          <w:noProof/>
          <w:lang w:val="es-ES_tradnl"/>
        </w:rPr>
        <w:t>Constitucional en la Sentencia C-154 de 1997, expresando que:</w:t>
      </w:r>
    </w:p>
    <w:p w14:paraId="2B4F3FF5" w14:textId="77777777" w:rsidR="0095364F" w:rsidRPr="00AB49CF" w:rsidRDefault="0095364F" w:rsidP="0095364F">
      <w:pPr>
        <w:spacing w:after="0" w:line="276" w:lineRule="auto"/>
        <w:ind w:firstLine="709"/>
        <w:jc w:val="both"/>
        <w:rPr>
          <w:rFonts w:ascii="Verdana" w:hAnsi="Verdana" w:cs="Arial"/>
          <w:noProof/>
          <w:lang w:val="es-ES_tradnl"/>
        </w:rPr>
      </w:pPr>
    </w:p>
    <w:p w14:paraId="1A556D67" w14:textId="77777777" w:rsidR="0095364F" w:rsidRPr="00EB30BA" w:rsidRDefault="0095364F" w:rsidP="0095364F">
      <w:pPr>
        <w:spacing w:after="0"/>
        <w:ind w:left="709" w:right="709"/>
        <w:jc w:val="both"/>
        <w:rPr>
          <w:rFonts w:ascii="Verdana" w:hAnsi="Verdana" w:cs="Arial"/>
          <w:noProof/>
          <w:sz w:val="20"/>
          <w:szCs w:val="20"/>
          <w:lang w:val="es-ES_tradnl"/>
        </w:rPr>
      </w:pPr>
      <w:r w:rsidRPr="00EB30BA">
        <w:rPr>
          <w:rFonts w:ascii="Verdana" w:hAnsi="Verdana" w:cs="Arial"/>
          <w:noProof/>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EB30BA">
        <w:rPr>
          <w:rStyle w:val="Refdenotaalpie"/>
          <w:rFonts w:ascii="Verdana" w:hAnsi="Verdana" w:cs="Arial"/>
          <w:noProof/>
          <w:sz w:val="20"/>
          <w:szCs w:val="20"/>
          <w:lang w:val="es-ES_tradnl"/>
        </w:rPr>
        <w:footnoteReference w:id="9"/>
      </w:r>
      <w:r w:rsidRPr="00EB30BA">
        <w:rPr>
          <w:rFonts w:ascii="Verdana" w:hAnsi="Verdana" w:cs="Arial"/>
          <w:noProof/>
          <w:sz w:val="20"/>
          <w:szCs w:val="20"/>
          <w:lang w:val="es-ES_tradnl"/>
        </w:rPr>
        <w:t>.</w:t>
      </w:r>
    </w:p>
    <w:p w14:paraId="5A52C243" w14:textId="77777777" w:rsidR="0095364F" w:rsidRDefault="0095364F" w:rsidP="0095364F">
      <w:pPr>
        <w:spacing w:after="0" w:line="276" w:lineRule="auto"/>
        <w:ind w:firstLine="709"/>
        <w:jc w:val="both"/>
        <w:rPr>
          <w:rFonts w:ascii="Verdana" w:hAnsi="Verdana" w:cs="Arial"/>
          <w:noProof/>
          <w:lang w:val="es-ES_tradnl"/>
        </w:rPr>
      </w:pPr>
    </w:p>
    <w:p w14:paraId="33F366DF"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8677DE">
        <w:rPr>
          <w:rStyle w:val="Refdenotaalpie"/>
          <w:rFonts w:ascii="Verdana" w:hAnsi="Verdana" w:cs="Arial"/>
          <w:noProof/>
          <w:lang w:val="es-ES_tradnl"/>
        </w:rPr>
        <w:footnoteReference w:id="10"/>
      </w:r>
      <w:r w:rsidRPr="008677DE">
        <w:rPr>
          <w:rFonts w:ascii="Verdana" w:hAnsi="Verdana" w:cs="Arial"/>
          <w:noProof/>
          <w:lang w:val="es-ES_tradnl"/>
        </w:rPr>
        <w:t>. Esto también se deriva d</w:t>
      </w:r>
      <w:r w:rsidRPr="008677DE">
        <w:rPr>
          <w:rFonts w:ascii="Verdana" w:eastAsia="Calibri" w:hAnsi="Verdana" w:cs="Arial"/>
          <w:color w:val="000000" w:themeColor="text1"/>
          <w:lang w:val="es-ES_tradnl"/>
        </w:rPr>
        <w:t xml:space="preserve">el artículo 2, numeral 4º, literal h) de la Ley 1150 de 2007, al señalar que procede la contratación directa para la prestación de servicios profesionales y de apoyo a la gestión, o para la ejecución de trabajos artísticos que solo pueden encomendarse a determinadas personas. </w:t>
      </w:r>
      <w:r w:rsidRPr="008677DE">
        <w:rPr>
          <w:rFonts w:ascii="Verdana" w:hAnsi="Verdana" w:cs="Arial"/>
          <w:noProof/>
          <w:lang w:val="es-ES_tradnl"/>
        </w:rPr>
        <w:t>Debe aclararse que no debe suscribirse un contrato de prestación de servicios profesionales para ejecutar actividades que se enmarcan en los otros contratos tipificados en el artículo 32 de la Ley 80 de 1993, como, por ejemplo, la construcción de una obra.</w:t>
      </w:r>
    </w:p>
    <w:p w14:paraId="1BBE4D62"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lastRenderedPageBreak/>
        <w:t>vi) Para su celebración no se requiere expedir un acto administrativo de justificación de la contratación directa</w:t>
      </w:r>
      <w:r w:rsidRPr="008677DE">
        <w:rPr>
          <w:rStyle w:val="Refdenotaalpie"/>
          <w:rFonts w:ascii="Verdana" w:hAnsi="Verdana" w:cs="Arial"/>
          <w:noProof/>
          <w:lang w:val="es-ES_tradnl"/>
        </w:rPr>
        <w:footnoteReference w:id="11"/>
      </w:r>
      <w:r w:rsidRPr="008677DE">
        <w:rPr>
          <w:rFonts w:ascii="Verdana" w:hAnsi="Verdana" w:cs="Arial"/>
          <w:noProof/>
          <w:lang w:val="es-ES_tradnl"/>
        </w:rPr>
        <w:t>.</w:t>
      </w:r>
    </w:p>
    <w:p w14:paraId="6EAB704E" w14:textId="77777777" w:rsidR="0095364F" w:rsidRPr="008677DE" w:rsidRDefault="0095364F" w:rsidP="0095364F">
      <w:pPr>
        <w:spacing w:before="120" w:line="276" w:lineRule="auto"/>
        <w:ind w:firstLine="709"/>
        <w:jc w:val="both"/>
        <w:rPr>
          <w:rFonts w:ascii="Verdana" w:hAnsi="Verdana" w:cs="Arial"/>
          <w:noProof/>
          <w:lang w:val="es-ES_tradnl"/>
        </w:rPr>
      </w:pPr>
      <w:r w:rsidRPr="008677DE">
        <w:rPr>
          <w:rFonts w:ascii="Verdana" w:hAnsi="Verdana" w:cs="Arial"/>
          <w:noProof/>
          <w:lang w:val="es-ES_tradnl"/>
        </w:rPr>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8677DE">
        <w:rPr>
          <w:rStyle w:val="Refdenotaalpie"/>
          <w:rFonts w:ascii="Verdana" w:hAnsi="Verdana" w:cs="Arial"/>
          <w:noProof/>
          <w:lang w:val="es-ES_tradnl"/>
        </w:rPr>
        <w:footnoteReference w:id="12"/>
      </w:r>
      <w:r w:rsidRPr="008677DE">
        <w:rPr>
          <w:rFonts w:ascii="Verdana" w:hAnsi="Verdana" w:cs="Arial"/>
          <w:noProof/>
          <w:lang w:val="es-ES_tradnl"/>
        </w:rPr>
        <w:t>.</w:t>
      </w:r>
    </w:p>
    <w:p w14:paraId="42005A05" w14:textId="77777777" w:rsidR="0095364F" w:rsidRPr="008677DE" w:rsidRDefault="0095364F" w:rsidP="0095364F">
      <w:pPr>
        <w:spacing w:before="120" w:line="276" w:lineRule="auto"/>
        <w:ind w:firstLine="709"/>
        <w:jc w:val="both"/>
        <w:rPr>
          <w:rFonts w:ascii="Verdana" w:hAnsi="Verdana" w:cs="Arial"/>
          <w:noProof/>
          <w:lang w:val="es-ES_tradnl"/>
        </w:rPr>
      </w:pPr>
      <w:r w:rsidRPr="008677DE">
        <w:rPr>
          <w:rFonts w:ascii="Verdana" w:hAnsi="Verdana" w:cs="Arial"/>
          <w:noProof/>
          <w:lang w:val="es-ES_tradnl"/>
        </w:rPr>
        <w:t>viii) No es obligatoria la liquidación de estos contratos, como lo establece el artículo 217 del Decreto 019 de 2012, que modificó el artículo 60 de la Ley 80 de 1993</w:t>
      </w:r>
      <w:r w:rsidRPr="008677DE">
        <w:rPr>
          <w:rStyle w:val="Refdenotaalpie"/>
          <w:rFonts w:ascii="Verdana" w:hAnsi="Verdana" w:cs="Arial"/>
          <w:noProof/>
          <w:lang w:val="es-ES_tradnl"/>
        </w:rPr>
        <w:footnoteReference w:id="13"/>
      </w:r>
      <w:r w:rsidRPr="008677DE">
        <w:rPr>
          <w:rFonts w:ascii="Verdana" w:hAnsi="Verdana" w:cs="Arial"/>
          <w:noProof/>
          <w:lang w:val="es-ES_tradnl"/>
        </w:rPr>
        <w:t>.</w:t>
      </w:r>
    </w:p>
    <w:p w14:paraId="228A4B0F" w14:textId="77777777" w:rsidR="0095364F" w:rsidRPr="008677DE" w:rsidRDefault="0095364F" w:rsidP="0095364F">
      <w:pPr>
        <w:spacing w:before="120" w:line="276" w:lineRule="auto"/>
        <w:ind w:firstLine="709"/>
        <w:jc w:val="both"/>
        <w:rPr>
          <w:rFonts w:ascii="Verdana" w:hAnsi="Verdana" w:cs="Arial"/>
          <w:noProof/>
          <w:lang w:val="es-ES_tradnl"/>
        </w:rPr>
      </w:pPr>
      <w:r w:rsidRPr="008677DE">
        <w:rPr>
          <w:rFonts w:ascii="Verdana" w:hAnsi="Verdana" w:cs="Arial"/>
          <w:noProof/>
          <w:lang w:val="es-ES_tradnl"/>
        </w:rPr>
        <w:t>ix) Para su celebración el contratista no requiere estar inscrito en el Registro Único de Proponentes –RUP–, como lo señala el artículo 6 de la Ley 1150 de 2007</w:t>
      </w:r>
      <w:r w:rsidRPr="008677DE">
        <w:rPr>
          <w:rStyle w:val="Refdenotaalpie"/>
          <w:rFonts w:ascii="Verdana" w:hAnsi="Verdana" w:cs="Arial"/>
          <w:noProof/>
          <w:lang w:val="es-ES_tradnl"/>
        </w:rPr>
        <w:footnoteReference w:id="14"/>
      </w:r>
      <w:r w:rsidRPr="008677DE">
        <w:rPr>
          <w:rFonts w:ascii="Verdana" w:hAnsi="Verdana" w:cs="Arial"/>
          <w:noProof/>
          <w:lang w:val="es-ES_tradnl"/>
        </w:rPr>
        <w:t>.</w:t>
      </w:r>
    </w:p>
    <w:p w14:paraId="2E6E3EBD" w14:textId="77777777" w:rsidR="0095364F" w:rsidRPr="008677DE" w:rsidRDefault="0095364F" w:rsidP="0095364F">
      <w:pPr>
        <w:spacing w:before="120" w:line="276" w:lineRule="auto"/>
        <w:ind w:firstLine="708"/>
        <w:jc w:val="both"/>
        <w:rPr>
          <w:rFonts w:ascii="Verdana" w:hAnsi="Verdana" w:cs="Arial"/>
          <w:noProof/>
          <w:lang w:val="es-ES_tradnl"/>
        </w:rPr>
      </w:pPr>
      <w:r w:rsidRPr="008677DE">
        <w:rPr>
          <w:rFonts w:ascii="Verdana" w:hAnsi="Verdana" w:cs="Arial"/>
          <w:noProof/>
          <w:lang w:val="es-ES_tradnl"/>
        </w:rPr>
        <w:lastRenderedPageBreak/>
        <w:t>x) No es obligatoria la exigencia de garantías</w:t>
      </w:r>
      <w:r w:rsidRPr="008677DE">
        <w:rPr>
          <w:rStyle w:val="Refdenotaalpie"/>
          <w:rFonts w:ascii="Verdana" w:hAnsi="Verdana" w:cs="Arial"/>
          <w:noProof/>
          <w:lang w:val="es-ES_tradnl"/>
        </w:rPr>
        <w:footnoteReference w:id="15"/>
      </w:r>
      <w:r w:rsidRPr="008677DE">
        <w:rPr>
          <w:rFonts w:ascii="Verdana" w:hAnsi="Verdana" w:cs="Arial"/>
          <w:noProof/>
          <w:lang w:val="es-ES_tradnl"/>
        </w:rPr>
        <w:t>.</w:t>
      </w:r>
    </w:p>
    <w:p w14:paraId="5669ACA7" w14:textId="77777777" w:rsidR="0095364F" w:rsidRPr="008677DE" w:rsidRDefault="0095364F" w:rsidP="0095364F">
      <w:pPr>
        <w:spacing w:before="120" w:line="276" w:lineRule="auto"/>
        <w:ind w:firstLine="708"/>
        <w:jc w:val="both"/>
        <w:rPr>
          <w:rFonts w:ascii="Verdana" w:hAnsi="Verdana" w:cs="Arial"/>
          <w:noProof/>
          <w:lang w:val="es-ES"/>
        </w:rPr>
      </w:pPr>
      <w:r w:rsidRPr="008677DE">
        <w:rPr>
          <w:rFonts w:ascii="Verdana" w:hAnsi="Verdana" w:cs="Arial"/>
          <w:noProof/>
          <w:lang w:val="es-ES_tradnl"/>
        </w:rPr>
        <w:t>xi) Como los demás contratos estatales, se trata de un contrato solemne que debe constar por escrito y debe ser publicado en el SECOP.</w:t>
      </w:r>
    </w:p>
    <w:p w14:paraId="2F117443" w14:textId="77777777" w:rsidR="0095364F" w:rsidRDefault="0095364F" w:rsidP="0095364F">
      <w:pPr>
        <w:tabs>
          <w:tab w:val="left" w:pos="0"/>
        </w:tabs>
        <w:spacing w:before="120" w:after="0" w:line="276" w:lineRule="auto"/>
        <w:ind w:firstLine="709"/>
        <w:jc w:val="both"/>
        <w:rPr>
          <w:rFonts w:ascii="Verdana" w:hAnsi="Verdana" w:cs="Arial"/>
          <w:color w:val="000000" w:themeColor="text1"/>
          <w:lang w:val="es-ES_tradnl"/>
        </w:rPr>
      </w:pPr>
      <w:r w:rsidRPr="008677DE">
        <w:rPr>
          <w:rFonts w:ascii="Verdana" w:hAnsi="Verdana" w:cs="Arial"/>
          <w:color w:val="000000" w:themeColor="text1"/>
          <w:lang w:val="es-ES"/>
        </w:rPr>
        <w:t>xii) C</w:t>
      </w:r>
      <w:r w:rsidRPr="008677DE">
        <w:rPr>
          <w:rFonts w:ascii="Verdana" w:hAnsi="Verdana" w:cs="Arial"/>
          <w:color w:val="000000" w:themeColor="text1"/>
        </w:rPr>
        <w:t xml:space="preserve">omo especies del género </w:t>
      </w:r>
      <w:r w:rsidRPr="008677DE">
        <w:rPr>
          <w:rFonts w:ascii="Verdana" w:hAnsi="Verdana" w:cs="Arial"/>
          <w:i/>
          <w:color w:val="000000" w:themeColor="text1"/>
        </w:rPr>
        <w:t>prestación de servicios,</w:t>
      </w:r>
      <w:r w:rsidRPr="008677DE">
        <w:rPr>
          <w:rFonts w:ascii="Verdana" w:hAnsi="Verdana" w:cs="Arial"/>
          <w:color w:val="000000" w:themeColor="text1"/>
        </w:rPr>
        <w:t xml:space="preserve"> se incluyen </w:t>
      </w:r>
      <w:r w:rsidRPr="008677DE">
        <w:rPr>
          <w:rFonts w:ascii="Verdana" w:hAnsi="Verdana" w:cs="Arial"/>
          <w:color w:val="000000" w:themeColor="text1"/>
          <w:lang w:val="es-ES_tradnl"/>
        </w:rPr>
        <w:t xml:space="preserve">los </w:t>
      </w:r>
      <w:r w:rsidRPr="008677DE">
        <w:rPr>
          <w:rFonts w:ascii="Verdana" w:hAnsi="Verdana" w:cs="Arial"/>
          <w:i/>
          <w:iCs/>
          <w:color w:val="000000" w:themeColor="text1"/>
          <w:lang w:val="es-ES_tradnl"/>
        </w:rPr>
        <w:t>contratos de prestación de servicios profesionales, los contratos de prestación de servicios de apoyo a la gestión</w:t>
      </w:r>
      <w:r w:rsidRPr="008677DE">
        <w:rPr>
          <w:rFonts w:ascii="Verdana" w:hAnsi="Verdana" w:cs="Arial"/>
          <w:color w:val="000000" w:themeColor="text1"/>
          <w:lang w:val="es-ES_tradnl"/>
        </w:rPr>
        <w:t xml:space="preserve"> y los </w:t>
      </w:r>
      <w:r w:rsidRPr="008677DE">
        <w:rPr>
          <w:rFonts w:ascii="Verdana" w:hAnsi="Verdana" w:cs="Arial"/>
          <w:i/>
          <w:iCs/>
          <w:color w:val="000000" w:themeColor="text1"/>
          <w:lang w:val="es-ES_tradnl"/>
        </w:rPr>
        <w:t>contratos de prestación de servicios artísticos que solo pueden encomendarse a determinadas personas naturales</w:t>
      </w:r>
      <w:r w:rsidRPr="008677DE">
        <w:rPr>
          <w:rFonts w:ascii="Verdana" w:hAnsi="Verdana" w:cs="Arial"/>
          <w:color w:val="000000" w:themeColor="text1"/>
          <w:vertAlign w:val="superscript"/>
          <w:lang w:val="es-ES_tradnl"/>
        </w:rPr>
        <w:footnoteReference w:id="16"/>
      </w:r>
      <w:r w:rsidRPr="008677DE">
        <w:rPr>
          <w:rFonts w:ascii="Verdana" w:hAnsi="Verdana" w:cs="Arial"/>
          <w:color w:val="000000" w:themeColor="text1"/>
        </w:rPr>
        <w:t xml:space="preserve">. </w:t>
      </w:r>
      <w:r w:rsidRPr="008677DE">
        <w:rPr>
          <w:rFonts w:ascii="Verdana" w:hAnsi="Verdana" w:cs="Arial"/>
          <w:color w:val="000000" w:themeColor="text1"/>
          <w:lang w:val="es-ES_tradnl"/>
        </w:rPr>
        <w:t xml:space="preserve">La diferencia entre el contrato de prestación de servicios </w:t>
      </w:r>
      <w:r w:rsidRPr="008677DE">
        <w:rPr>
          <w:rFonts w:ascii="Verdana" w:hAnsi="Verdana" w:cs="Arial"/>
          <w:i/>
          <w:color w:val="000000" w:themeColor="text1"/>
          <w:lang w:val="es-ES_tradnl"/>
        </w:rPr>
        <w:t>profesionales</w:t>
      </w:r>
      <w:r w:rsidRPr="008677DE">
        <w:rPr>
          <w:rFonts w:ascii="Verdana" w:hAnsi="Verdana" w:cs="Arial"/>
          <w:color w:val="000000" w:themeColor="text1"/>
          <w:lang w:val="es-ES_tradnl"/>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1C7D505D" w14:textId="77777777" w:rsidR="00005BB2" w:rsidRPr="008677DE" w:rsidRDefault="00005BB2" w:rsidP="003270AF">
      <w:pPr>
        <w:tabs>
          <w:tab w:val="left" w:pos="0"/>
        </w:tabs>
        <w:spacing w:after="0" w:line="276" w:lineRule="auto"/>
        <w:ind w:firstLine="709"/>
        <w:jc w:val="both"/>
        <w:rPr>
          <w:rFonts w:ascii="Verdana" w:hAnsi="Verdana" w:cs="Arial"/>
          <w:color w:val="000000" w:themeColor="text1"/>
        </w:rPr>
      </w:pPr>
    </w:p>
    <w:p w14:paraId="4BA5EFE7" w14:textId="77777777" w:rsidR="0095364F" w:rsidRPr="00EB30BA" w:rsidRDefault="0095364F" w:rsidP="0095364F">
      <w:pPr>
        <w:spacing w:after="0" w:line="240" w:lineRule="auto"/>
        <w:ind w:left="709" w:right="709"/>
        <w:jc w:val="both"/>
        <w:rPr>
          <w:rFonts w:ascii="Verdana" w:hAnsi="Verdana" w:cs="Arial"/>
          <w:color w:val="000000" w:themeColor="text1"/>
          <w:sz w:val="20"/>
          <w:szCs w:val="20"/>
          <w:lang w:val="es-ES_tradnl"/>
        </w:rPr>
      </w:pPr>
      <w:r w:rsidRPr="00EB30BA">
        <w:rPr>
          <w:rFonts w:ascii="Verdana" w:hAnsi="Verdana" w:cs="Arial"/>
          <w:color w:val="000000" w:themeColor="text1"/>
          <w:sz w:val="20"/>
          <w:szCs w:val="20"/>
          <w:lang w:val="es-ES_tradnl"/>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w:t>
      </w:r>
      <w:r w:rsidRPr="00EB30BA">
        <w:rPr>
          <w:rFonts w:ascii="Verdana" w:hAnsi="Verdana" w:cs="Arial"/>
          <w:color w:val="000000" w:themeColor="text1"/>
          <w:sz w:val="20"/>
          <w:szCs w:val="20"/>
          <w:lang w:val="es-ES_tradnl"/>
        </w:rPr>
        <w:lastRenderedPageBreak/>
        <w:t>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EB30BA">
        <w:rPr>
          <w:rStyle w:val="Refdenotaalpie"/>
          <w:rFonts w:ascii="Verdana" w:hAnsi="Verdana" w:cs="Arial"/>
          <w:color w:val="000000" w:themeColor="text1"/>
          <w:sz w:val="20"/>
          <w:szCs w:val="20"/>
          <w:lang w:val="es-ES_tradnl"/>
        </w:rPr>
        <w:footnoteReference w:id="17"/>
      </w:r>
      <w:r w:rsidRPr="00EB30BA">
        <w:rPr>
          <w:rFonts w:ascii="Verdana" w:hAnsi="Verdana" w:cs="Arial"/>
          <w:color w:val="000000" w:themeColor="text1"/>
          <w:sz w:val="20"/>
          <w:szCs w:val="20"/>
          <w:lang w:val="es-ES_tradnl"/>
        </w:rPr>
        <w:t>.</w:t>
      </w:r>
    </w:p>
    <w:p w14:paraId="37F14849" w14:textId="77777777" w:rsidR="0095364F" w:rsidRDefault="0095364F" w:rsidP="0095364F">
      <w:pPr>
        <w:spacing w:after="0" w:line="276" w:lineRule="auto"/>
        <w:ind w:firstLine="709"/>
        <w:jc w:val="both"/>
        <w:rPr>
          <w:rFonts w:ascii="Verdana" w:hAnsi="Verdana" w:cs="Arial"/>
          <w:color w:val="000000" w:themeColor="text1"/>
          <w:lang w:val="es-ES_tradnl"/>
        </w:rPr>
      </w:pPr>
    </w:p>
    <w:bookmarkEnd w:id="4"/>
    <w:p w14:paraId="3E6EEA6B" w14:textId="3F27DCC9" w:rsidR="0095364F" w:rsidRPr="009E1B7C" w:rsidRDefault="0095364F" w:rsidP="003270AF">
      <w:pPr>
        <w:spacing w:after="120" w:line="276" w:lineRule="auto"/>
        <w:ind w:firstLine="708"/>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Ahora bien, e</w:t>
      </w:r>
      <w:r w:rsidRPr="009E1B7C">
        <w:rPr>
          <w:rFonts w:ascii="Verdana" w:eastAsia="Calibri" w:hAnsi="Verdana" w:cs="Arial"/>
          <w:bCs/>
          <w:color w:val="000000"/>
          <w:kern w:val="2"/>
          <w14:ligatures w14:val="standardContextual"/>
        </w:rPr>
        <w:t xml:space="preserve">n relación con </w:t>
      </w:r>
      <w:r w:rsidR="00220F65">
        <w:rPr>
          <w:rFonts w:ascii="Verdana" w:eastAsia="Calibri" w:hAnsi="Verdana" w:cs="Arial"/>
          <w:bCs/>
          <w:color w:val="000000"/>
          <w:kern w:val="2"/>
          <w14:ligatures w14:val="standardContextual"/>
        </w:rPr>
        <w:t>una de las preguntas de su</w:t>
      </w:r>
      <w:r w:rsidRPr="009E1B7C">
        <w:rPr>
          <w:rFonts w:ascii="Verdana" w:eastAsia="Calibri" w:hAnsi="Verdana" w:cs="Arial"/>
          <w:bCs/>
          <w:color w:val="000000"/>
          <w:kern w:val="2"/>
          <w14:ligatures w14:val="standardContextual"/>
        </w:rPr>
        <w:t xml:space="preserve"> consulta, es pertinente precisar que no existe en el sistema de compra y contratación pública una disposición que establezca la forma en la que deberían fijarse los honorarios de los contratistas de prestación de servicios profesionales, de apoyo a la gestión y de trabajas artísticos, pues en virtud del principio de autonomía de la voluntad, las partes pueden determinar el contenido de los contratos estatales e incluir las condiciones, cláusulas o estipulaciones que consideren necesarias para desarrollar el objeto contractual, siempre que no sean contrarias a la Constitución Política, la ley y el orden público.</w:t>
      </w:r>
    </w:p>
    <w:p w14:paraId="395AEAB3" w14:textId="77777777" w:rsidR="0095364F" w:rsidRPr="009E1B7C" w:rsidRDefault="0095364F" w:rsidP="003270AF">
      <w:pPr>
        <w:spacing w:after="120" w:line="276" w:lineRule="auto"/>
        <w:ind w:firstLine="708"/>
        <w:jc w:val="both"/>
        <w:rPr>
          <w:rFonts w:ascii="Verdana" w:eastAsia="Calibri" w:hAnsi="Verdana" w:cs="Arial"/>
          <w:bCs/>
          <w:color w:val="000000"/>
          <w:kern w:val="2"/>
          <w14:ligatures w14:val="standardContextual"/>
        </w:rPr>
      </w:pPr>
      <w:r w:rsidRPr="009E1B7C">
        <w:rPr>
          <w:rFonts w:ascii="Verdana" w:eastAsia="Calibri" w:hAnsi="Verdana" w:cs="Arial"/>
          <w:bCs/>
          <w:color w:val="000000"/>
          <w:kern w:val="2"/>
          <w14:ligatures w14:val="standardContextual"/>
        </w:rPr>
        <w:t>Los entes estatales durante la etapa de planeación, tienen el deber de realizar el análisis del sector y justificar la modalidad de contratación en los documentos del proceso, que para el caso de los procesos que impliquen una contratación directa y en lo concerniente a los contratos de prestación de servicios profesionales, de apoyo a la gestión y de trabajos artísticos, se constata en los estudios y documentos previos, los cuales deben indicar, entre otras, las condiciones mínimas exigidas para suplir la necesidad de la entidad así como los requisitos que debe acreditar el futuro contratista para el cumplimiento del objeto contractual.</w:t>
      </w:r>
    </w:p>
    <w:p w14:paraId="175202B2" w14:textId="6444363E" w:rsidR="0095364F" w:rsidRDefault="0095364F" w:rsidP="00671735">
      <w:pPr>
        <w:spacing w:after="120" w:line="276" w:lineRule="auto"/>
        <w:ind w:firstLine="708"/>
        <w:jc w:val="both"/>
        <w:rPr>
          <w:rFonts w:ascii="Verdana" w:eastAsia="Calibri" w:hAnsi="Verdana" w:cs="Times New Roman"/>
          <w:lang w:val="es-ES"/>
        </w:rPr>
      </w:pPr>
      <w:r w:rsidRPr="00A43145">
        <w:rPr>
          <w:rFonts w:ascii="Verdana" w:eastAsia="Calibri" w:hAnsi="Verdana" w:cs="Arial"/>
          <w:bCs/>
          <w:color w:val="000000"/>
          <w:kern w:val="2"/>
          <w14:ligatures w14:val="standardContextual"/>
        </w:rPr>
        <w:t>En ese sentido, las entidades públicas determinan el monto de los honorarios de los contratos de prestación de servicios profesionales, de apoyo a la gestión y trabajos artísticos de conformidad con lo establecido en el análisis del sector y en los documentos o estudios previos. Así pues, cabe resaltar, que en la Ley 80 de 1993, Ley 1150 de 2007 y en el Decreto 1082 de 2015 no se encuentran disposiciones que establezcan la obligatoriedad de implementar tablas de honorarios o estandarizar perfiles para los contratos de prestación de servicios, pero, lo anterior, no significa que las entidades no puedan hacerlo</w:t>
      </w:r>
      <w:r w:rsidR="002D7AB6">
        <w:rPr>
          <w:rFonts w:ascii="Verdana" w:eastAsia="Calibri" w:hAnsi="Verdana" w:cs="Arial"/>
          <w:bCs/>
          <w:color w:val="000000"/>
          <w:kern w:val="2"/>
          <w14:ligatures w14:val="standardContextual"/>
        </w:rPr>
        <w:t>.</w:t>
      </w:r>
    </w:p>
    <w:p w14:paraId="2CCAC2BB" w14:textId="77777777" w:rsidR="0095364F" w:rsidRPr="004C75C7" w:rsidRDefault="0095364F" w:rsidP="00671735">
      <w:pPr>
        <w:spacing w:after="120" w:line="276" w:lineRule="auto"/>
        <w:ind w:firstLine="708"/>
        <w:jc w:val="both"/>
        <w:rPr>
          <w:rFonts w:ascii="Verdana" w:eastAsia="Times New Roman" w:hAnsi="Verdana" w:cs="Arial"/>
          <w:lang w:eastAsia="es-CO"/>
        </w:rPr>
      </w:pPr>
      <w:r w:rsidRPr="004C75C7">
        <w:rPr>
          <w:rFonts w:ascii="Verdana" w:eastAsia="Arial" w:hAnsi="Verdana" w:cs="Arial"/>
          <w:lang w:val="es-ES"/>
        </w:rPr>
        <w:lastRenderedPageBreak/>
        <w:t>De otra parte, la Ley 1712 de 2014</w:t>
      </w:r>
      <w:r w:rsidRPr="004C75C7">
        <w:rPr>
          <w:rStyle w:val="Refdenotaalpie"/>
          <w:rFonts w:ascii="Verdana" w:eastAsia="Arial" w:hAnsi="Verdana" w:cs="Arial"/>
          <w:lang w:val="es-ES"/>
        </w:rPr>
        <w:footnoteReference w:id="18"/>
      </w:r>
      <w:r w:rsidRPr="004C75C7">
        <w:rPr>
          <w:rFonts w:ascii="Verdana" w:eastAsia="Arial" w:hAnsi="Verdana" w:cs="Arial"/>
          <w:lang w:val="es-ES"/>
        </w:rPr>
        <w:t xml:space="preserve"> identifica como principios que orientan el derecho de acceso a la información pública los de máxima publicidad, de transparencia en la información y de buena fe. El principio de máxima publicidad establece que “toda información en posesión, bajo control o custodia de un sujeto obligado es pública y no podrá ser reservada o limitada sino por disposición constitucional o legal"</w:t>
      </w:r>
      <w:r w:rsidRPr="004C75C7">
        <w:rPr>
          <w:rStyle w:val="Refdenotaalpie"/>
          <w:rFonts w:ascii="Verdana" w:eastAsia="Arial" w:hAnsi="Verdana" w:cs="Arial"/>
          <w:lang w:val="es-ES"/>
        </w:rPr>
        <w:footnoteReference w:id="19"/>
      </w:r>
      <w:r w:rsidRPr="004C75C7">
        <w:rPr>
          <w:rFonts w:ascii="Verdana" w:eastAsia="Arial" w:hAnsi="Verdana" w:cs="Arial"/>
          <w:lang w:val="es-ES"/>
        </w:rPr>
        <w:t>. El principio de transparencia en la información alude al deber de los sujetos de proporcionar y facilitar el acceso a la misma en los términos más amplios posibles, y a través de los medios y procedimientos que establezca la ley</w:t>
      </w:r>
      <w:r w:rsidRPr="004C75C7">
        <w:rPr>
          <w:rFonts w:ascii="Verdana" w:eastAsia="Times New Roman" w:hAnsi="Verdana" w:cs="Arial"/>
          <w:vertAlign w:val="superscript"/>
          <w:lang w:eastAsia="es-CO"/>
        </w:rPr>
        <w:footnoteReference w:id="20"/>
      </w:r>
      <w:r w:rsidRPr="004C75C7">
        <w:rPr>
          <w:rFonts w:ascii="Verdana" w:eastAsia="Times New Roman" w:hAnsi="Verdana" w:cs="Arial"/>
          <w:lang w:eastAsia="es-CO"/>
        </w:rPr>
        <w:t>. Finalmente, el principio de buena fe hace referencia al deber de todo sujeto obligado de cumplir con las obligaciones derivadas del derecho de acceso a la información pública con motivación honesta, leal y desprovista de cualquier intención dolosa o culposa</w:t>
      </w:r>
      <w:r w:rsidRPr="004C75C7">
        <w:rPr>
          <w:rFonts w:ascii="Verdana" w:eastAsia="Times New Roman" w:hAnsi="Verdana" w:cs="Arial"/>
          <w:vertAlign w:val="superscript"/>
          <w:lang w:eastAsia="es-CO"/>
        </w:rPr>
        <w:footnoteReference w:id="21"/>
      </w:r>
      <w:r w:rsidRPr="004C75C7">
        <w:rPr>
          <w:rFonts w:ascii="Verdana" w:eastAsia="Times New Roman" w:hAnsi="Verdana" w:cs="Arial"/>
          <w:lang w:eastAsia="es-CO"/>
        </w:rPr>
        <w:t xml:space="preserve">. </w:t>
      </w:r>
    </w:p>
    <w:p w14:paraId="799D42FE" w14:textId="190A44EA" w:rsidR="0095364F" w:rsidRPr="004C75C7" w:rsidRDefault="0095364F" w:rsidP="00671735">
      <w:pPr>
        <w:spacing w:after="120" w:line="276" w:lineRule="auto"/>
        <w:ind w:firstLine="709"/>
        <w:jc w:val="both"/>
        <w:rPr>
          <w:rFonts w:ascii="Verdana" w:eastAsia="Arial" w:hAnsi="Verdana" w:cs="Arial"/>
          <w:lang w:val="es-ES"/>
        </w:rPr>
      </w:pPr>
      <w:r w:rsidRPr="004C75C7">
        <w:rPr>
          <w:rFonts w:ascii="Verdana" w:eastAsia="Arial" w:hAnsi="Verdana" w:cs="Arial"/>
          <w:lang w:val="es-ES"/>
        </w:rPr>
        <w:t xml:space="preserve">La </w:t>
      </w:r>
      <w:r w:rsidR="006F13D0" w:rsidRPr="004C75C7">
        <w:rPr>
          <w:rFonts w:ascii="Verdana" w:eastAsia="Arial" w:hAnsi="Verdana" w:cs="Arial"/>
          <w:lang w:val="es-ES"/>
        </w:rPr>
        <w:t xml:space="preserve">Ley </w:t>
      </w:r>
      <w:r w:rsidRPr="004C75C7">
        <w:rPr>
          <w:rFonts w:ascii="Verdana" w:eastAsia="Arial" w:hAnsi="Verdana" w:cs="Arial"/>
          <w:lang w:val="es-ES"/>
        </w:rPr>
        <w:t>citada establece, en el literal e) del artículo 9, que los sujetos obligados, que son todas las entidades públicas, deben publicar la información relativa a su contratación</w:t>
      </w:r>
      <w:r w:rsidRPr="004C75C7">
        <w:rPr>
          <w:rFonts w:ascii="Verdana" w:eastAsia="Times New Roman" w:hAnsi="Verdana" w:cs="Arial"/>
          <w:vertAlign w:val="superscript"/>
          <w:lang w:eastAsia="es-CO"/>
        </w:rPr>
        <w:footnoteReference w:id="22"/>
      </w:r>
      <w:r w:rsidRPr="004C75C7">
        <w:rPr>
          <w:rFonts w:ascii="Verdana" w:eastAsia="Arial" w:hAnsi="Verdana" w:cs="Arial"/>
          <w:lang w:val="es-ES"/>
        </w:rPr>
        <w:t xml:space="preserve">. </w:t>
      </w:r>
      <w:r w:rsidRPr="004C75C7">
        <w:rPr>
          <w:rFonts w:ascii="Verdana" w:eastAsia="Arial MT" w:hAnsi="Verdana" w:cs="Arial"/>
          <w:lang w:val="es-ES"/>
        </w:rPr>
        <w:t xml:space="preserve">El artículo 5 </w:t>
      </w:r>
      <w:r w:rsidRPr="004C75C7">
        <w:rPr>
          <w:rFonts w:ascii="Verdana" w:eastAsia="Arial MT" w:hAnsi="Verdana" w:cs="Arial"/>
          <w:i/>
          <w:iCs/>
          <w:lang w:val="es-ES"/>
        </w:rPr>
        <w:t>ibidem</w:t>
      </w:r>
      <w:r w:rsidRPr="004C75C7">
        <w:rPr>
          <w:rFonts w:ascii="Verdana" w:eastAsia="Arial MT" w:hAnsi="Verdana" w:cs="Arial"/>
          <w:lang w:val="es-ES"/>
        </w:rPr>
        <w:t xml:space="preserve">, al describir qué se entiende por sujetos obligados, consagra una lista cuyo propósito es incluir a cualquier entidad, órgano, organismo, o persona natural que desempeñe funciones </w:t>
      </w:r>
      <w:r w:rsidRPr="004C75C7">
        <w:rPr>
          <w:rFonts w:ascii="Verdana" w:eastAsia="Arial MT" w:hAnsi="Verdana" w:cs="Arial"/>
          <w:lang w:val="es-ES"/>
        </w:rPr>
        <w:lastRenderedPageBreak/>
        <w:t>públicas o administre recursos públicos</w:t>
      </w:r>
      <w:r w:rsidRPr="004C75C7">
        <w:rPr>
          <w:rFonts w:ascii="Verdana" w:eastAsia="Times New Roman" w:hAnsi="Verdana" w:cs="Arial"/>
          <w:vertAlign w:val="superscript"/>
          <w:lang w:eastAsia="es-CO"/>
        </w:rPr>
        <w:footnoteReference w:id="23"/>
      </w:r>
      <w:r w:rsidRPr="004C75C7">
        <w:rPr>
          <w:rFonts w:ascii="Verdana" w:eastAsia="Arial MT" w:hAnsi="Verdana" w:cs="Arial"/>
          <w:lang w:val="es-ES"/>
        </w:rPr>
        <w:t>.</w:t>
      </w:r>
      <w:r w:rsidRPr="004C75C7">
        <w:rPr>
          <w:rFonts w:ascii="Verdana" w:eastAsia="Times New Roman" w:hAnsi="Verdana" w:cs="Arial"/>
          <w:lang w:eastAsia="es-CO"/>
        </w:rPr>
        <w:t xml:space="preserve"> </w:t>
      </w:r>
      <w:r w:rsidRPr="004C75C7">
        <w:rPr>
          <w:rFonts w:ascii="Verdana" w:eastAsia="Arial" w:hAnsi="Verdana" w:cs="Arial"/>
          <w:lang w:val="es-ES"/>
        </w:rPr>
        <w:t>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w:t>
      </w:r>
    </w:p>
    <w:p w14:paraId="211FF9EB" w14:textId="1C5DB33B" w:rsidR="0095364F" w:rsidRDefault="001201A5" w:rsidP="003270AF">
      <w:pPr>
        <w:pStyle w:val="Textoindependiente"/>
        <w:spacing w:after="120" w:line="278" w:lineRule="auto"/>
        <w:ind w:firstLine="709"/>
        <w:jc w:val="both"/>
        <w:rPr>
          <w:rFonts w:ascii="Verdana" w:eastAsia="Calibri" w:hAnsi="Verdana"/>
        </w:rPr>
      </w:pPr>
      <w:r>
        <w:rPr>
          <w:rFonts w:ascii="Verdana" w:eastAsia="Calibri" w:hAnsi="Verdana"/>
        </w:rPr>
        <w:t>L</w:t>
      </w:r>
      <w:r w:rsidR="0095364F" w:rsidRPr="007663DF">
        <w:rPr>
          <w:rFonts w:ascii="Verdana" w:eastAsia="Calibri" w:hAnsi="Verdana"/>
        </w:rPr>
        <w:t>a Circular Externa Única, en el numeral 1.1., establece, de manera enunciativa, que deben publicar en el SECOP: “las Entidades Estatales que por disposición legal cuenten con un régimen contractual excepcional al del Estatuto General de Contratación de la Administración Pública, deberán publicar en el SECOP II, todos los documentos relacionados con su actividad contractual, de conformidad con lo señalado en el artículo 53 de la Ley 2195 de 2022</w:t>
      </w:r>
      <w:r w:rsidR="00C729B9">
        <w:rPr>
          <w:rFonts w:ascii="Verdana" w:eastAsia="Calibri" w:hAnsi="Verdana"/>
        </w:rPr>
        <w:t>”</w:t>
      </w:r>
      <w:r w:rsidR="0095364F" w:rsidRPr="007663DF">
        <w:rPr>
          <w:rFonts w:ascii="Verdana" w:eastAsia="Calibri" w:hAnsi="Verdana"/>
        </w:rPr>
        <w:t xml:space="preserve">. </w:t>
      </w:r>
    </w:p>
    <w:p w14:paraId="7FFB2E90" w14:textId="77777777" w:rsidR="0095364F" w:rsidRPr="007663DF" w:rsidRDefault="0095364F" w:rsidP="00671735">
      <w:pPr>
        <w:spacing w:after="120" w:line="276" w:lineRule="auto"/>
        <w:ind w:firstLine="708"/>
        <w:jc w:val="both"/>
        <w:textAlignment w:val="baseline"/>
        <w:rPr>
          <w:rFonts w:ascii="Verdana" w:eastAsia="Aptos" w:hAnsi="Verdana" w:cs="Arial"/>
          <w:lang w:val="es-ES_tradnl" w:eastAsia="es-MX"/>
        </w:rPr>
      </w:pPr>
      <w:r w:rsidRPr="007663DF">
        <w:rPr>
          <w:rFonts w:ascii="Verdana" w:eastAsia="Aptos" w:hAnsi="Verdana" w:cs="Arial"/>
          <w:lang w:val="es-ES_tradnl" w:eastAsia="es-MX"/>
        </w:rPr>
        <w:t>Resulta importante resaltar que las Entidades Estatales, conforme al artículo 2.2.1.1.1.7.1 del Decreto 1082 de 2015, tienen la obligación de publicar en el SECOP “[…] los Documentos del Proceso y los actos administrativos del Proceso de Contratación, dentro de los tres (3) días siguientes a su expedición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623656F3" w14:textId="77777777" w:rsidR="0095364F" w:rsidRPr="00137216" w:rsidRDefault="0095364F" w:rsidP="00671735">
      <w:pPr>
        <w:spacing w:after="120" w:line="276" w:lineRule="auto"/>
        <w:ind w:firstLine="709"/>
        <w:jc w:val="both"/>
        <w:textAlignment w:val="baseline"/>
        <w:rPr>
          <w:rFonts w:ascii="Verdana" w:eastAsia="Aptos" w:hAnsi="Verdana" w:cs="Arial"/>
          <w:lang w:val="es-ES_tradnl" w:eastAsia="es-MX"/>
        </w:rPr>
      </w:pPr>
      <w:r w:rsidRPr="00AD4DDC">
        <w:rPr>
          <w:rFonts w:ascii="Verdana" w:eastAsia="Aptos" w:hAnsi="Verdana" w:cs="Arial"/>
          <w:lang w:val="es-ES_tradnl" w:eastAsia="es-MX"/>
        </w:rPr>
        <w:t xml:space="preserve">En consecuencia,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recoge en la noción de Documentos del Proceso “cualquier otro documento expedido por la Entidad Estatal durante el Proceso de Contratación”. Este mismo artículo define la expresión Proceso de Contratación como el “Conjunto de actos y actividades, y su secuencia, adelantadas por la Entidad Estatal desde la planeación hasta el vencimiento de las garantías de calidad, </w:t>
      </w:r>
      <w:r w:rsidRPr="00AD4DDC">
        <w:rPr>
          <w:rFonts w:ascii="Verdana" w:eastAsia="Aptos" w:hAnsi="Verdana" w:cs="Arial"/>
          <w:lang w:val="es-ES_tradnl" w:eastAsia="es-MX"/>
        </w:rPr>
        <w:lastRenderedPageBreak/>
        <w:t xml:space="preserve">estabilidad y mantenimiento, o las condiciones de disposición final o recuperación ambiental de las obras o bienes o el vencimiento del plazo, lo que </w:t>
      </w:r>
      <w:r w:rsidRPr="00137216">
        <w:rPr>
          <w:rFonts w:ascii="Verdana" w:eastAsia="Aptos" w:hAnsi="Verdana" w:cs="Arial"/>
          <w:lang w:val="es-ES_tradnl" w:eastAsia="es-MX"/>
        </w:rPr>
        <w:t>ocurra más tarde”.</w:t>
      </w:r>
    </w:p>
    <w:p w14:paraId="59B2A63B" w14:textId="77777777" w:rsidR="0095364F" w:rsidRPr="001C656C" w:rsidRDefault="0095364F" w:rsidP="001C656C">
      <w:pPr>
        <w:spacing w:after="120" w:line="276" w:lineRule="auto"/>
        <w:jc w:val="both"/>
        <w:rPr>
          <w:rFonts w:ascii="Verdana" w:eastAsia="Calibri" w:hAnsi="Verdana" w:cs="Arial"/>
          <w:lang w:val="es-MX"/>
        </w:rPr>
      </w:pPr>
      <w:r>
        <w:rPr>
          <w:rFonts w:ascii="Verdana" w:eastAsia="Calibri" w:hAnsi="Verdana" w:cs="Arial"/>
          <w:lang w:val="es-MX"/>
        </w:rPr>
        <w:t xml:space="preserve">         Por otra parte, e</w:t>
      </w:r>
      <w:r w:rsidRPr="00A003A6">
        <w:rPr>
          <w:rFonts w:ascii="Verdana" w:eastAsia="Calibri" w:hAnsi="Verdana" w:cs="Arial"/>
          <w:lang w:val="es-MX"/>
        </w:rPr>
        <w:t xml:space="preserve">l </w:t>
      </w:r>
      <w:r>
        <w:rPr>
          <w:rFonts w:ascii="Verdana" w:eastAsia="Calibri" w:hAnsi="Verdana" w:cs="Arial"/>
          <w:lang w:val="es-MX"/>
        </w:rPr>
        <w:t>a</w:t>
      </w:r>
      <w:r w:rsidRPr="00A003A6">
        <w:rPr>
          <w:rFonts w:ascii="Verdana" w:eastAsia="Calibri" w:hAnsi="Verdana" w:cs="Arial"/>
          <w:lang w:val="es-MX"/>
        </w:rPr>
        <w:t xml:space="preserve">mparo de </w:t>
      </w:r>
      <w:r>
        <w:rPr>
          <w:rFonts w:ascii="Verdana" w:eastAsia="Calibri" w:hAnsi="Verdana" w:cs="Arial"/>
          <w:lang w:val="es-MX"/>
        </w:rPr>
        <w:t>c</w:t>
      </w:r>
      <w:r w:rsidRPr="00A003A6">
        <w:rPr>
          <w:rFonts w:ascii="Verdana" w:eastAsia="Calibri" w:hAnsi="Verdana" w:cs="Arial"/>
          <w:lang w:val="es-MX"/>
        </w:rPr>
        <w:t>umplimiento constituye la cobertura esencial dentro de la Garantía Única exigida a los contratistas, tal como lo establece el Decreto 1082 de 2015 (art. 2.2.1.2.3.1.7). Su objeto es resarcir a la Entidad Estatal por los perjuicios directos derivados de cualquier forma de incumplimiento de las obligaciones contractuales, incluyendo el incumplimiento total o parcial, la ejecución tardía o defectuosa, y los daños resultantes de entregas parciales no pactadas. Un aspecto crucial de esta cobertura es su extensión expresa al pago del valor de las multas y la Cláusula Penal Pecuniaria impuestas al contratista. Este amparo es de aplicación general, abarcando la totalidad de las tipologías contractuales de la Administración Pública (obra, suministro, prestación de servicios, etc.).</w:t>
      </w:r>
    </w:p>
    <w:p w14:paraId="35A00C3C" w14:textId="77777777" w:rsidR="0095364F" w:rsidRDefault="0095364F" w:rsidP="00671735">
      <w:pPr>
        <w:spacing w:after="120" w:line="276" w:lineRule="auto"/>
        <w:jc w:val="both"/>
        <w:rPr>
          <w:rFonts w:ascii="Verdana" w:eastAsia="Calibri" w:hAnsi="Verdana" w:cs="Arial"/>
          <w:lang w:val="es-MX"/>
        </w:rPr>
      </w:pPr>
      <w:r>
        <w:rPr>
          <w:rFonts w:ascii="Verdana" w:eastAsia="Calibri" w:hAnsi="Verdana" w:cs="Arial"/>
          <w:lang w:val="es-MX"/>
        </w:rPr>
        <w:t xml:space="preserve">         En los términos del artículo </w:t>
      </w:r>
      <w:r w:rsidRPr="00A003A6">
        <w:rPr>
          <w:rFonts w:ascii="Verdana" w:eastAsia="Calibri" w:hAnsi="Verdana" w:cs="Arial"/>
          <w:lang w:val="es-MX"/>
        </w:rPr>
        <w:t xml:space="preserve">2.2.1.2.3.1.12 </w:t>
      </w:r>
      <w:r>
        <w:rPr>
          <w:rFonts w:ascii="Verdana" w:eastAsia="Calibri" w:hAnsi="Verdana" w:cs="Arial"/>
          <w:lang w:val="es-MX"/>
        </w:rPr>
        <w:t>del Decreto</w:t>
      </w:r>
      <w:r w:rsidRPr="00A003A6">
        <w:rPr>
          <w:rFonts w:ascii="Verdana" w:eastAsia="Calibri" w:hAnsi="Verdana" w:cs="Arial"/>
          <w:lang w:val="es-MX"/>
        </w:rPr>
        <w:t xml:space="preserve"> 1082</w:t>
      </w:r>
      <w:r>
        <w:rPr>
          <w:rFonts w:ascii="Verdana" w:eastAsia="Calibri" w:hAnsi="Verdana" w:cs="Arial"/>
          <w:lang w:val="es-MX"/>
        </w:rPr>
        <w:t xml:space="preserve"> de </w:t>
      </w:r>
      <w:r w:rsidRPr="00A003A6">
        <w:rPr>
          <w:rFonts w:ascii="Verdana" w:eastAsia="Calibri" w:hAnsi="Verdana" w:cs="Arial"/>
          <w:lang w:val="es-MX"/>
        </w:rPr>
        <w:t>2015</w:t>
      </w:r>
      <w:r>
        <w:rPr>
          <w:rFonts w:ascii="Verdana" w:eastAsia="Calibri" w:hAnsi="Verdana" w:cs="Arial"/>
          <w:lang w:val="es-MX"/>
        </w:rPr>
        <w:t xml:space="preserve"> l</w:t>
      </w:r>
      <w:r w:rsidRPr="00A003A6">
        <w:rPr>
          <w:rFonts w:ascii="Verdana" w:eastAsia="Calibri" w:hAnsi="Verdana" w:cs="Arial"/>
          <w:lang w:val="es-MX"/>
        </w:rPr>
        <w:t xml:space="preserve">a cuantía mínima del </w:t>
      </w:r>
      <w:r>
        <w:rPr>
          <w:rFonts w:ascii="Verdana" w:eastAsia="Calibri" w:hAnsi="Verdana" w:cs="Arial"/>
          <w:lang w:val="es-MX"/>
        </w:rPr>
        <w:t>a</w:t>
      </w:r>
      <w:r w:rsidRPr="00A003A6">
        <w:rPr>
          <w:rFonts w:ascii="Verdana" w:eastAsia="Calibri" w:hAnsi="Verdana" w:cs="Arial"/>
          <w:lang w:val="es-MX"/>
        </w:rPr>
        <w:t xml:space="preserve">mparo de </w:t>
      </w:r>
      <w:r>
        <w:rPr>
          <w:rFonts w:ascii="Verdana" w:eastAsia="Calibri" w:hAnsi="Verdana" w:cs="Arial"/>
          <w:lang w:val="es-MX"/>
        </w:rPr>
        <w:t>c</w:t>
      </w:r>
      <w:r w:rsidRPr="00A003A6">
        <w:rPr>
          <w:rFonts w:ascii="Verdana" w:eastAsia="Calibri" w:hAnsi="Verdana" w:cs="Arial"/>
          <w:lang w:val="es-MX"/>
        </w:rPr>
        <w:t xml:space="preserve">umplimiento se </w:t>
      </w:r>
      <w:r>
        <w:rPr>
          <w:rFonts w:ascii="Verdana" w:eastAsia="Calibri" w:hAnsi="Verdana" w:cs="Arial"/>
          <w:lang w:val="es-MX"/>
        </w:rPr>
        <w:t xml:space="preserve">constituye </w:t>
      </w:r>
      <w:r w:rsidRPr="00A003A6">
        <w:rPr>
          <w:rFonts w:ascii="Verdana" w:eastAsia="Calibri" w:hAnsi="Verdana" w:cs="Arial"/>
          <w:lang w:val="es-MX"/>
        </w:rPr>
        <w:t>para asegurar una protección financiera efectiva. Dicha cuantía deberá ser, al menos, equivalente al valor pactado para la cláusula penal pecuniaria. Sin embargo, en ningún caso podrá ser inferior al diez por ciento (10%) del valor total del contrato. La vigencia de esta cobertura se extiende más allá del plazo de ejecución, debiendo permanecer activa hasta la liquidación del contrato para cubrir las responsabilidades que subsistan durante esta fase.</w:t>
      </w:r>
    </w:p>
    <w:p w14:paraId="6A54C9B8" w14:textId="5F51A446" w:rsidR="003725AE" w:rsidRPr="00957674" w:rsidRDefault="003725AE" w:rsidP="003725AE">
      <w:pPr>
        <w:pStyle w:val="Textonotapie"/>
        <w:spacing w:after="120" w:line="276" w:lineRule="auto"/>
        <w:ind w:firstLine="709"/>
        <w:jc w:val="both"/>
        <w:rPr>
          <w:rFonts w:ascii="Verdana" w:hAnsi="Verdana" w:cs="Arial"/>
          <w:sz w:val="22"/>
          <w:szCs w:val="22"/>
          <w:lang w:val="es-ES"/>
        </w:rPr>
      </w:pPr>
      <w:r w:rsidRPr="00957674">
        <w:rPr>
          <w:rFonts w:ascii="Verdana" w:hAnsi="Verdana" w:cs="Arial"/>
          <w:sz w:val="22"/>
          <w:szCs w:val="22"/>
          <w:lang w:val="es-ES"/>
        </w:rPr>
        <w:t>Ahora bien, de acuerdo artículo 2.2.1.2.1.4.5. del Decreto 1082 de 2015</w:t>
      </w:r>
      <w:r>
        <w:rPr>
          <w:rFonts w:ascii="Verdana" w:hAnsi="Verdana" w:cs="Arial"/>
          <w:sz w:val="22"/>
          <w:szCs w:val="22"/>
          <w:lang w:val="es-ES"/>
        </w:rPr>
        <w:t>, e</w:t>
      </w:r>
      <w:r w:rsidRPr="00957674">
        <w:rPr>
          <w:rFonts w:ascii="Verdana" w:hAnsi="Verdana" w:cs="Arial"/>
          <w:sz w:val="22"/>
          <w:szCs w:val="22"/>
          <w:lang w:val="es-ES"/>
        </w:rPr>
        <w:t xml:space="preserve">n la contratación directa la exigencia de garantías establecidas en la Sección 3, que comprende los artículos 2.2.1.2.3.1.1 al 2.2.1.2.3.5.1. del </w:t>
      </w:r>
      <w:r>
        <w:rPr>
          <w:rFonts w:ascii="Verdana" w:hAnsi="Verdana" w:cs="Arial"/>
          <w:sz w:val="22"/>
          <w:szCs w:val="22"/>
          <w:lang w:val="es-ES"/>
        </w:rPr>
        <w:t>referido</w:t>
      </w:r>
      <w:r w:rsidRPr="00957674">
        <w:rPr>
          <w:rFonts w:ascii="Verdana" w:hAnsi="Verdana" w:cs="Arial"/>
          <w:sz w:val="22"/>
          <w:szCs w:val="22"/>
          <w:lang w:val="es-ES"/>
        </w:rPr>
        <w:t xml:space="preserve"> decreto no es obligatoria y la justificación para exigirlas o no debe estar en los estudios y documentos previos.</w:t>
      </w:r>
      <w:r>
        <w:rPr>
          <w:rFonts w:ascii="Verdana" w:hAnsi="Verdana" w:cs="Arial"/>
          <w:sz w:val="22"/>
          <w:szCs w:val="22"/>
          <w:lang w:val="es-ES"/>
        </w:rPr>
        <w:t xml:space="preserve"> Así las cosas, la exigencia de garantías en los contratos de prestación de servicios dependerá del análisis que en cada caso realice la Entidad Estatal en los estudios previos. </w:t>
      </w:r>
    </w:p>
    <w:p w14:paraId="725A45FA" w14:textId="121AC89C" w:rsidR="00850C6F" w:rsidRDefault="0095364F" w:rsidP="00671735">
      <w:pPr>
        <w:spacing w:after="120" w:line="276" w:lineRule="auto"/>
        <w:jc w:val="both"/>
        <w:rPr>
          <w:rFonts w:ascii="Verdana" w:eastAsia="Calibri" w:hAnsi="Verdana" w:cs="Arial"/>
          <w:lang w:val="es-MX"/>
        </w:rPr>
      </w:pPr>
      <w:r>
        <w:rPr>
          <w:rFonts w:ascii="Verdana" w:eastAsia="Calibri" w:hAnsi="Verdana" w:cs="Arial"/>
          <w:lang w:val="es-MX"/>
        </w:rPr>
        <w:t xml:space="preserve">         Respecto al segundo problema jurídico planteado</w:t>
      </w:r>
      <w:r w:rsidR="008936E9">
        <w:rPr>
          <w:rFonts w:ascii="Verdana" w:eastAsia="Calibri" w:hAnsi="Verdana" w:cs="Arial"/>
          <w:lang w:val="es-MX"/>
        </w:rPr>
        <w:t>,</w:t>
      </w:r>
      <w:r>
        <w:rPr>
          <w:rFonts w:ascii="Verdana" w:eastAsia="Calibri" w:hAnsi="Verdana" w:cs="Arial"/>
          <w:lang w:val="es-MX"/>
        </w:rPr>
        <w:t xml:space="preserve"> </w:t>
      </w:r>
      <w:r w:rsidR="008936E9">
        <w:rPr>
          <w:rFonts w:ascii="Verdana" w:eastAsia="Calibri" w:hAnsi="Verdana" w:cs="Arial"/>
          <w:lang w:val="es-MX"/>
        </w:rPr>
        <w:t>l</w:t>
      </w:r>
      <w:r>
        <w:rPr>
          <w:rFonts w:ascii="Verdana" w:eastAsia="Calibri" w:hAnsi="Verdana" w:cs="Arial"/>
          <w:lang w:val="es-MX"/>
        </w:rPr>
        <w:t xml:space="preserve">a </w:t>
      </w:r>
      <w:r w:rsidRPr="002D55DF">
        <w:rPr>
          <w:rFonts w:ascii="Verdana" w:eastAsia="Calibri" w:hAnsi="Verdana" w:cs="Arial"/>
          <w:lang w:val="es-MX"/>
        </w:rPr>
        <w:t xml:space="preserve">Agencia Nacional de Contratación Pública </w:t>
      </w:r>
      <w:r w:rsidR="008936E9">
        <w:rPr>
          <w:rFonts w:ascii="Verdana" w:eastAsia="Calibri" w:hAnsi="Verdana" w:cs="Arial"/>
          <w:lang w:val="es-MX"/>
        </w:rPr>
        <w:t xml:space="preserve">– </w:t>
      </w:r>
      <w:r w:rsidRPr="002D55DF">
        <w:rPr>
          <w:rFonts w:ascii="Verdana" w:eastAsia="Calibri" w:hAnsi="Verdana" w:cs="Arial"/>
          <w:lang w:val="es-MX"/>
        </w:rPr>
        <w:t>Colombia</w:t>
      </w:r>
      <w:r w:rsidR="008936E9">
        <w:rPr>
          <w:rFonts w:ascii="Verdana" w:eastAsia="Calibri" w:hAnsi="Verdana" w:cs="Arial"/>
          <w:lang w:val="es-MX"/>
        </w:rPr>
        <w:t xml:space="preserve"> </w:t>
      </w:r>
      <w:r w:rsidRPr="002D55DF">
        <w:rPr>
          <w:rFonts w:ascii="Verdana" w:eastAsia="Calibri" w:hAnsi="Verdana" w:cs="Arial"/>
          <w:lang w:val="es-MX"/>
        </w:rPr>
        <w:t>Compra Eficiente no ha expedido un Documento Tipo de carácter vinculante para estos contratos de</w:t>
      </w:r>
      <w:r w:rsidR="008936E9">
        <w:rPr>
          <w:rFonts w:ascii="Verdana" w:eastAsia="Calibri" w:hAnsi="Verdana" w:cs="Arial"/>
          <w:lang w:val="es-MX"/>
        </w:rPr>
        <w:t xml:space="preserve"> prestación de servicios celebrados de forma</w:t>
      </w:r>
      <w:r w:rsidRPr="002D55DF">
        <w:rPr>
          <w:rFonts w:ascii="Verdana" w:eastAsia="Calibri" w:hAnsi="Verdana" w:cs="Arial"/>
          <w:lang w:val="es-MX"/>
        </w:rPr>
        <w:t xml:space="preserve"> </w:t>
      </w:r>
      <w:r w:rsidR="008936E9">
        <w:rPr>
          <w:rFonts w:ascii="Verdana" w:eastAsia="Calibri" w:hAnsi="Verdana" w:cs="Arial"/>
          <w:lang w:val="es-MX"/>
        </w:rPr>
        <w:t>d</w:t>
      </w:r>
      <w:r w:rsidRPr="002D55DF">
        <w:rPr>
          <w:rFonts w:ascii="Verdana" w:eastAsia="Calibri" w:hAnsi="Verdana" w:cs="Arial"/>
          <w:lang w:val="es-MX"/>
        </w:rPr>
        <w:t xml:space="preserve">irecta. Si bien </w:t>
      </w:r>
      <w:r w:rsidR="008936E9">
        <w:rPr>
          <w:rFonts w:ascii="Verdana" w:eastAsia="Calibri" w:hAnsi="Verdana" w:cs="Arial"/>
          <w:lang w:val="es-MX"/>
        </w:rPr>
        <w:t>la Agencia</w:t>
      </w:r>
      <w:r w:rsidR="008936E9" w:rsidRPr="002D55DF">
        <w:rPr>
          <w:rFonts w:ascii="Verdana" w:eastAsia="Calibri" w:hAnsi="Verdana" w:cs="Arial"/>
          <w:lang w:val="es-MX"/>
        </w:rPr>
        <w:t xml:space="preserve"> </w:t>
      </w:r>
      <w:r w:rsidRPr="002D55DF">
        <w:rPr>
          <w:rFonts w:ascii="Verdana" w:eastAsia="Calibri" w:hAnsi="Verdana" w:cs="Arial"/>
          <w:lang w:val="es-MX"/>
        </w:rPr>
        <w:t xml:space="preserve">ofrece </w:t>
      </w:r>
      <w:r w:rsidR="00850C6F" w:rsidRPr="002D55DF">
        <w:rPr>
          <w:rFonts w:ascii="Verdana" w:eastAsia="Calibri" w:hAnsi="Verdana" w:cs="Arial"/>
          <w:lang w:val="es-MX"/>
        </w:rPr>
        <w:t xml:space="preserve">guías </w:t>
      </w:r>
      <w:r w:rsidRPr="002D55DF">
        <w:rPr>
          <w:rFonts w:ascii="Verdana" w:eastAsia="Calibri" w:hAnsi="Verdana" w:cs="Arial"/>
          <w:lang w:val="es-MX"/>
        </w:rPr>
        <w:t xml:space="preserve">y minutas modelo, estas tienen un carácter orientador y referencial, no son de uso obligatorio como los Documentos Tipo exigidos para otras modalidades de selección (Licitación, Selección Abreviada y Mínima Cuantía). Por lo tanto, cada Entidad debe adaptar </w:t>
      </w:r>
      <w:r w:rsidRPr="002D55DF">
        <w:rPr>
          <w:rFonts w:ascii="Verdana" w:eastAsia="Calibri" w:hAnsi="Verdana" w:cs="Arial"/>
          <w:lang w:val="es-MX"/>
        </w:rPr>
        <w:lastRenderedPageBreak/>
        <w:t>estos modelos a sus requerimientos específicos, respetando el Estatuto General de Contratación</w:t>
      </w:r>
      <w:r w:rsidR="003E47AF">
        <w:rPr>
          <w:rFonts w:ascii="Verdana" w:eastAsia="Calibri" w:hAnsi="Verdana" w:cs="Arial"/>
          <w:lang w:val="es-MX"/>
        </w:rPr>
        <w:t xml:space="preserve">. </w:t>
      </w:r>
    </w:p>
    <w:p w14:paraId="58023BBA" w14:textId="74E8B71D" w:rsidR="0095364F" w:rsidRDefault="003E47AF" w:rsidP="003270AF">
      <w:pPr>
        <w:spacing w:after="120" w:line="276" w:lineRule="auto"/>
        <w:ind w:firstLine="708"/>
        <w:jc w:val="both"/>
        <w:rPr>
          <w:rFonts w:ascii="Verdana" w:eastAsia="Calibri" w:hAnsi="Verdana" w:cs="Arial"/>
          <w:lang w:val="es-MX"/>
        </w:rPr>
      </w:pPr>
      <w:r>
        <w:rPr>
          <w:rFonts w:ascii="Verdana" w:eastAsia="Calibri" w:hAnsi="Verdana" w:cs="Arial"/>
          <w:lang w:val="es-MX"/>
        </w:rPr>
        <w:t>No o</w:t>
      </w:r>
      <w:r w:rsidR="00BC3A87">
        <w:rPr>
          <w:rFonts w:ascii="Verdana" w:eastAsia="Calibri" w:hAnsi="Verdana" w:cs="Arial"/>
          <w:lang w:val="es-MX"/>
        </w:rPr>
        <w:t>bstante,</w:t>
      </w:r>
      <w:r w:rsidR="00850C6F">
        <w:rPr>
          <w:rFonts w:ascii="Verdana" w:eastAsia="Calibri" w:hAnsi="Verdana" w:cs="Arial"/>
          <w:lang w:val="es-MX"/>
        </w:rPr>
        <w:t xml:space="preserve"> es importante señalar que la Agencia Nacional de Contratación Pública – Colombia Compra Eficiente</w:t>
      </w:r>
      <w:r w:rsidR="00CA6EE8">
        <w:rPr>
          <w:rFonts w:ascii="Verdana" w:eastAsia="Calibri" w:hAnsi="Verdana" w:cs="Arial"/>
          <w:lang w:val="es-MX"/>
        </w:rPr>
        <w:t xml:space="preserve"> expidió la</w:t>
      </w:r>
      <w:r w:rsidR="00850C6F">
        <w:rPr>
          <w:rFonts w:ascii="Verdana" w:eastAsia="Calibri" w:hAnsi="Verdana" w:cs="Arial"/>
          <w:lang w:val="es-MX"/>
        </w:rPr>
        <w:t xml:space="preserve"> </w:t>
      </w:r>
      <w:r w:rsidR="00CA6EE8">
        <w:rPr>
          <w:rFonts w:ascii="Verdana" w:eastAsia="Calibri" w:hAnsi="Verdana" w:cs="Arial"/>
          <w:lang w:val="es-MX"/>
        </w:rPr>
        <w:t>“</w:t>
      </w:r>
      <w:r w:rsidR="00CA6EE8" w:rsidRPr="00CA6EE8">
        <w:rPr>
          <w:rFonts w:ascii="Verdana" w:eastAsia="Calibri" w:hAnsi="Verdana" w:cs="Arial"/>
        </w:rPr>
        <w:t>Guía para la Incorporación de Lineamientos de Integridad en la Contratación de Prestación de Servicios</w:t>
      </w:r>
      <w:r w:rsidR="00CA6EE8">
        <w:rPr>
          <w:rFonts w:ascii="Verdana" w:eastAsia="Calibri" w:hAnsi="Verdana" w:cs="Arial"/>
        </w:rPr>
        <w:t>”</w:t>
      </w:r>
      <w:r w:rsidR="00CA6EE8">
        <w:rPr>
          <w:rFonts w:ascii="Verdana" w:eastAsia="Calibri" w:hAnsi="Verdana" w:cs="Arial"/>
          <w:lang w:val="es-MX"/>
        </w:rPr>
        <w:t xml:space="preserve">, </w:t>
      </w:r>
      <w:r w:rsidR="00FA65E7">
        <w:rPr>
          <w:rFonts w:ascii="Verdana" w:eastAsia="Calibri" w:hAnsi="Verdana" w:cs="Arial"/>
          <w:lang w:val="es-MX"/>
        </w:rPr>
        <w:t xml:space="preserve">en la cual se </w:t>
      </w:r>
      <w:r w:rsidR="00FA65E7" w:rsidRPr="00FA65E7">
        <w:rPr>
          <w:rFonts w:ascii="Verdana" w:eastAsia="Calibri" w:hAnsi="Verdana" w:cs="Arial"/>
        </w:rPr>
        <w:t>desarrolla</w:t>
      </w:r>
      <w:r w:rsidR="00FA65E7">
        <w:rPr>
          <w:rFonts w:ascii="Verdana" w:eastAsia="Calibri" w:hAnsi="Verdana" w:cs="Arial"/>
        </w:rPr>
        <w:t>n</w:t>
      </w:r>
      <w:r w:rsidR="00FA65E7" w:rsidRPr="00FA65E7">
        <w:rPr>
          <w:rFonts w:ascii="Verdana" w:eastAsia="Calibri" w:hAnsi="Verdana" w:cs="Arial"/>
        </w:rPr>
        <w:t xml:space="preserve"> recomendaciones, lineamientos y buenas prácticas que servirán a las Entidades Estatales para alcanzar los objetivos de eficacia, eficiencia, economía y transparencia, tendientes a combatir la corrupción en esta modalidad de contratación</w:t>
      </w:r>
      <w:r w:rsidR="00FA65E7">
        <w:rPr>
          <w:rFonts w:ascii="Verdana" w:eastAsia="Calibri" w:hAnsi="Verdana" w:cs="Arial"/>
        </w:rPr>
        <w:t>.</w:t>
      </w:r>
    </w:p>
    <w:p w14:paraId="68BA37EB" w14:textId="77777777" w:rsidR="0095364F" w:rsidRPr="004F7B86" w:rsidRDefault="0095364F" w:rsidP="00671735">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4B001B0C" w14:textId="77777777" w:rsidR="0095364F" w:rsidRDefault="0095364F" w:rsidP="0095364F">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1A6BAE" w14:textId="77777777" w:rsidR="0095364F" w:rsidRPr="008E2432" w:rsidRDefault="0095364F" w:rsidP="0095364F">
      <w:pPr>
        <w:spacing w:after="0" w:line="276" w:lineRule="auto"/>
        <w:ind w:firstLine="708"/>
        <w:jc w:val="both"/>
        <w:rPr>
          <w:rFonts w:ascii="Verdana" w:eastAsia="Calibri" w:hAnsi="Verdana" w:cs="Times New Roman"/>
          <w:lang w:val="es-ES"/>
        </w:rPr>
      </w:pPr>
    </w:p>
    <w:p w14:paraId="36A1E7A0" w14:textId="77777777" w:rsidR="0095364F" w:rsidRPr="0060676F" w:rsidRDefault="0095364F" w:rsidP="0095364F">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C3FB0CD" w14:textId="77777777" w:rsidR="0095364F" w:rsidRPr="00593A5F" w:rsidRDefault="0095364F" w:rsidP="0095364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5364F" w:rsidRPr="00FA65E7" w14:paraId="4BD7588B" w14:textId="77777777" w:rsidTr="00E4636D">
        <w:trPr>
          <w:trHeight w:val="870"/>
        </w:trPr>
        <w:tc>
          <w:tcPr>
            <w:tcW w:w="8647" w:type="dxa"/>
          </w:tcPr>
          <w:p w14:paraId="326E93D9" w14:textId="77777777" w:rsidR="0095364F" w:rsidRPr="00860447" w:rsidRDefault="0095364F" w:rsidP="00E4636D">
            <w:pPr>
              <w:pStyle w:val="Prrafodelista"/>
              <w:widowControl w:val="0"/>
              <w:numPr>
                <w:ilvl w:val="0"/>
                <w:numId w:val="17"/>
              </w:numPr>
              <w:autoSpaceDE w:val="0"/>
              <w:autoSpaceDN w:val="0"/>
              <w:spacing w:after="120" w:line="276" w:lineRule="auto"/>
              <w:jc w:val="both"/>
              <w:rPr>
                <w:rFonts w:ascii="Verdana" w:hAnsi="Verdana" w:cs="Arial"/>
              </w:rPr>
            </w:pPr>
            <w:r w:rsidRPr="00860447">
              <w:rPr>
                <w:rFonts w:ascii="Verdana" w:hAnsi="Verdana" w:cs="Arial"/>
              </w:rPr>
              <w:t>Constitución Política de Colombia, artículo 209.</w:t>
            </w:r>
          </w:p>
          <w:p w14:paraId="572AAA8C" w14:textId="77777777" w:rsidR="0095364F" w:rsidRDefault="0095364F" w:rsidP="00E4636D">
            <w:pPr>
              <w:pStyle w:val="Prrafodelista"/>
              <w:widowControl w:val="0"/>
              <w:numPr>
                <w:ilvl w:val="0"/>
                <w:numId w:val="17"/>
              </w:numPr>
              <w:autoSpaceDE w:val="0"/>
              <w:autoSpaceDN w:val="0"/>
              <w:spacing w:after="120" w:line="276" w:lineRule="auto"/>
              <w:jc w:val="both"/>
              <w:rPr>
                <w:rFonts w:ascii="Verdana" w:hAnsi="Verdana" w:cs="Arial"/>
              </w:rPr>
            </w:pPr>
            <w:r>
              <w:rPr>
                <w:rFonts w:ascii="Verdana" w:hAnsi="Verdana" w:cs="Arial"/>
              </w:rPr>
              <w:t>Ley 1712 de 2014, artículo 3</w:t>
            </w:r>
          </w:p>
          <w:p w14:paraId="1ADD97FA" w14:textId="77777777" w:rsidR="0095364F" w:rsidRDefault="0095364F" w:rsidP="00E4636D">
            <w:pPr>
              <w:pStyle w:val="Prrafodelista"/>
              <w:widowControl w:val="0"/>
              <w:numPr>
                <w:ilvl w:val="0"/>
                <w:numId w:val="17"/>
              </w:numPr>
              <w:autoSpaceDE w:val="0"/>
              <w:autoSpaceDN w:val="0"/>
              <w:spacing w:after="120" w:line="276" w:lineRule="auto"/>
              <w:jc w:val="both"/>
              <w:rPr>
                <w:rFonts w:ascii="Verdana" w:hAnsi="Verdana" w:cs="Arial"/>
              </w:rPr>
            </w:pPr>
            <w:r>
              <w:rPr>
                <w:rFonts w:ascii="Verdana" w:hAnsi="Verdana" w:cs="Arial"/>
              </w:rPr>
              <w:t>Ley 1150 de 2007, artículo 3.</w:t>
            </w:r>
          </w:p>
          <w:p w14:paraId="337F8B51" w14:textId="288EBB40" w:rsidR="000A44B8" w:rsidRPr="00112483" w:rsidRDefault="0095364F" w:rsidP="00E4636D">
            <w:pPr>
              <w:pStyle w:val="Prrafodelista"/>
              <w:widowControl w:val="0"/>
              <w:numPr>
                <w:ilvl w:val="0"/>
                <w:numId w:val="17"/>
              </w:numPr>
              <w:autoSpaceDE w:val="0"/>
              <w:autoSpaceDN w:val="0"/>
              <w:spacing w:after="120" w:line="276" w:lineRule="auto"/>
              <w:jc w:val="both"/>
              <w:rPr>
                <w:rFonts w:ascii="Verdana" w:hAnsi="Verdana" w:cs="Arial"/>
              </w:rPr>
            </w:pPr>
            <w:r w:rsidRPr="00860447">
              <w:rPr>
                <w:rFonts w:ascii="Verdana" w:hAnsi="Verdana" w:cs="Arial"/>
              </w:rPr>
              <w:t xml:space="preserve">Decreto 1082 de 2015, artículo </w:t>
            </w:r>
            <w:r w:rsidRPr="00860447">
              <w:rPr>
                <w:rFonts w:ascii="Verdana" w:hAnsi="Verdana"/>
                <w:lang w:eastAsia="es-ES_tradnl"/>
              </w:rPr>
              <w:t>2.2.1.1.1.7.1.</w:t>
            </w:r>
          </w:p>
          <w:p w14:paraId="6039084C" w14:textId="06B25108" w:rsidR="000A44B8" w:rsidRDefault="0095364F" w:rsidP="000A44B8">
            <w:pPr>
              <w:pStyle w:val="Prrafodelista"/>
              <w:widowControl w:val="0"/>
              <w:numPr>
                <w:ilvl w:val="0"/>
                <w:numId w:val="17"/>
              </w:numPr>
              <w:autoSpaceDE w:val="0"/>
              <w:autoSpaceDN w:val="0"/>
              <w:spacing w:after="120" w:line="276" w:lineRule="auto"/>
              <w:jc w:val="both"/>
              <w:rPr>
                <w:rFonts w:ascii="Verdana" w:hAnsi="Verdana" w:cs="Arial"/>
              </w:rPr>
            </w:pPr>
            <w:r w:rsidRPr="003270AF">
              <w:rPr>
                <w:rFonts w:ascii="Verdana" w:hAnsi="Verdana" w:cs="Arial"/>
              </w:rPr>
              <w:t>Agencia Nacional de Contratación Pública - Colombia Compra Eficiente. Circular Externa Única</w:t>
            </w:r>
            <w:r w:rsidR="00FA65E7">
              <w:rPr>
                <w:rFonts w:ascii="Verdana" w:hAnsi="Verdana" w:cs="Arial"/>
              </w:rPr>
              <w:t>:</w:t>
            </w:r>
            <w:r w:rsidRPr="003270AF">
              <w:rPr>
                <w:rFonts w:ascii="Verdana" w:hAnsi="Verdana" w:cs="Arial"/>
              </w:rPr>
              <w:t xml:space="preserve"> https://www.colombiacompra.gov. co/normativa-y-relatoria/circular-unica-externa</w:t>
            </w:r>
            <w:r w:rsidR="000A44B8">
              <w:rPr>
                <w:rFonts w:ascii="Verdana" w:hAnsi="Verdana" w:cs="Arial"/>
              </w:rPr>
              <w:t xml:space="preserve"> </w:t>
            </w:r>
          </w:p>
          <w:p w14:paraId="474C0E8F" w14:textId="194CED90" w:rsidR="0095364F" w:rsidRPr="003270AF" w:rsidRDefault="00FA65E7" w:rsidP="003270AF">
            <w:pPr>
              <w:pStyle w:val="Prrafodelista"/>
              <w:widowControl w:val="0"/>
              <w:numPr>
                <w:ilvl w:val="0"/>
                <w:numId w:val="17"/>
              </w:numPr>
              <w:autoSpaceDE w:val="0"/>
              <w:autoSpaceDN w:val="0"/>
              <w:spacing w:after="120" w:line="276" w:lineRule="auto"/>
              <w:jc w:val="both"/>
              <w:rPr>
                <w:rFonts w:ascii="Verdana" w:hAnsi="Verdana" w:cs="Arial"/>
              </w:rPr>
            </w:pPr>
            <w:r>
              <w:rPr>
                <w:rFonts w:ascii="Verdana" w:eastAsia="Calibri" w:hAnsi="Verdana" w:cs="Arial"/>
                <w:lang w:val="es-MX"/>
              </w:rPr>
              <w:t xml:space="preserve">Agencia Nacional de Contratación Pública – Colombia Compra </w:t>
            </w:r>
            <w:r>
              <w:rPr>
                <w:rFonts w:ascii="Verdana" w:eastAsia="Calibri" w:hAnsi="Verdana" w:cs="Arial"/>
                <w:lang w:val="es-MX"/>
              </w:rPr>
              <w:lastRenderedPageBreak/>
              <w:t xml:space="preserve">Eficiente. </w:t>
            </w:r>
            <w:r w:rsidRPr="00CA6EE8">
              <w:rPr>
                <w:rFonts w:ascii="Verdana" w:eastAsia="Calibri" w:hAnsi="Verdana" w:cs="Arial"/>
              </w:rPr>
              <w:t>Guía para la Incorporación de Lineamientos de Integridad en la Contratación de Prestación de Servicios</w:t>
            </w:r>
            <w:r>
              <w:rPr>
                <w:rFonts w:ascii="Verdana" w:eastAsia="Calibri" w:hAnsi="Verdana" w:cs="Arial"/>
              </w:rPr>
              <w:t xml:space="preserve">: </w:t>
            </w:r>
            <w:hyperlink r:id="rId12" w:history="1">
              <w:r w:rsidR="007A339B" w:rsidRPr="00B82075">
                <w:rPr>
                  <w:rStyle w:val="Hipervnculo"/>
                  <w:rFonts w:ascii="Verdana" w:eastAsia="Calibri" w:hAnsi="Verdana" w:cs="Arial"/>
                </w:rPr>
                <w:t>https://www.colombiacompra.gov.co/wp-content/uploads/2024/08/cce-eicp-gi-23_guia_contratacion_prestacion_de_servicios_v1_11-07-2023_def_1_1.pdf</w:t>
              </w:r>
            </w:hyperlink>
            <w:r w:rsidR="007A339B">
              <w:rPr>
                <w:rFonts w:ascii="Verdana" w:eastAsia="Calibri" w:hAnsi="Verdana" w:cs="Arial"/>
              </w:rPr>
              <w:t xml:space="preserve"> </w:t>
            </w:r>
          </w:p>
        </w:tc>
      </w:tr>
    </w:tbl>
    <w:p w14:paraId="1F6CA91C" w14:textId="77777777" w:rsidR="0095364F" w:rsidRDefault="0095364F" w:rsidP="0095364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6A05E21" w14:textId="77777777" w:rsidR="0095364F" w:rsidRDefault="0095364F" w:rsidP="0095364F">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02942C8" w14:textId="77777777" w:rsidR="0095364F" w:rsidRPr="00593A5F" w:rsidRDefault="0095364F" w:rsidP="0095364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9F3D5A2" w14:textId="77777777" w:rsidR="0095364F" w:rsidRPr="00AE7E03" w:rsidRDefault="0095364F" w:rsidP="0095364F">
      <w:pPr>
        <w:widowControl w:val="0"/>
        <w:autoSpaceDE w:val="0"/>
        <w:autoSpaceDN w:val="0"/>
        <w:spacing w:after="0" w:line="276" w:lineRule="auto"/>
        <w:jc w:val="both"/>
        <w:rPr>
          <w:rFonts w:ascii="Verdana" w:eastAsia="Arial" w:hAnsi="Verdana" w:cs="Arial"/>
          <w:lang w:val="es-MX" w:eastAsia="es-ES"/>
        </w:rPr>
      </w:pPr>
      <w:r w:rsidRPr="001E6CB7">
        <w:rPr>
          <w:rStyle w:val="normaltextrun"/>
          <w:rFonts w:ascii="Verdana" w:hAnsi="Verdana" w:cs="Arial"/>
          <w:shd w:val="clear" w:color="auto" w:fill="FFFFFF"/>
          <w:lang w:val="es-ES"/>
        </w:rPr>
        <w:t>La Agencia Nacional de Contratación Pública – Colombia Compra Eficiente ha analizado los contratos de prestación de servicios, así como los requisitos para su celebración, entre otros, en los conceptos con radicado:,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w:t>
      </w:r>
      <w:r>
        <w:rPr>
          <w:rStyle w:val="normaltextrun"/>
          <w:rFonts w:ascii="Verdana" w:hAnsi="Verdana" w:cs="Arial"/>
          <w:shd w:val="clear" w:color="auto" w:fill="FFFFFF"/>
          <w:lang w:val="es-ES"/>
        </w:rPr>
        <w:t xml:space="preserve">, </w:t>
      </w:r>
      <w:r w:rsidRPr="001E6CB7">
        <w:rPr>
          <w:rStyle w:val="normaltextrun"/>
          <w:rFonts w:ascii="Verdana" w:hAnsi="Verdana" w:cs="Arial"/>
          <w:shd w:val="clear" w:color="auto" w:fill="FFFFFF"/>
          <w:lang w:val="es-ES"/>
        </w:rPr>
        <w:t>C-491 de 01 de agosto de 2022</w:t>
      </w:r>
      <w:r w:rsidRPr="001E6CB7">
        <w:rPr>
          <w:rFonts w:ascii="Verdana" w:eastAsia="Calibri" w:hAnsi="Verdana" w:cs="Arial"/>
          <w:color w:val="000000" w:themeColor="text1"/>
          <w:lang w:val="es-ES"/>
        </w:rPr>
        <w:t>,</w:t>
      </w:r>
      <w:r w:rsidRPr="001E6CB7">
        <w:rPr>
          <w:rFonts w:ascii="Verdana" w:eastAsia="Calibri" w:hAnsi="Verdana" w:cs="Arial"/>
          <w:color w:val="000000" w:themeColor="text1"/>
          <w:lang w:eastAsia="es-ES_tradnl"/>
        </w:rPr>
        <w:t xml:space="preserve"> </w:t>
      </w:r>
      <w:r w:rsidRPr="003A0462">
        <w:rPr>
          <w:rFonts w:ascii="Verdana" w:hAnsi="Verdana"/>
          <w:lang w:val="es-ES"/>
        </w:rPr>
        <w:t>, C-773 del 17 de noviembre de 2022, C- 953 del 25 de enero de 2023 y C-966 del 1 de febrero de 2023, C-135 del 25 de mayo de 2023, C-414 del 11 de septiembre de 2024, C-920 del 30 de diciembre del 2024</w:t>
      </w:r>
      <w:r>
        <w:rPr>
          <w:rFonts w:ascii="Verdana" w:hAnsi="Verdana"/>
          <w:lang w:val="es-ES"/>
        </w:rPr>
        <w:t xml:space="preserve">, </w:t>
      </w:r>
      <w:r w:rsidRPr="00860447">
        <w:rPr>
          <w:rFonts w:ascii="Verdana" w:eastAsia="Calibri" w:hAnsi="Verdana" w:cs="Arial"/>
        </w:rPr>
        <w:t>C-146 del 4 de marzo de 2025</w:t>
      </w:r>
      <w:r>
        <w:rPr>
          <w:rFonts w:ascii="Verdana" w:eastAsia="Calibri" w:hAnsi="Verdana" w:cs="Arial"/>
        </w:rPr>
        <w:t xml:space="preserve">, </w:t>
      </w:r>
      <w:r w:rsidRPr="00860447">
        <w:rPr>
          <w:rFonts w:ascii="Verdana" w:eastAsia="Calibri" w:hAnsi="Verdana" w:cs="Arial"/>
        </w:rPr>
        <w:t>C-468 del 19 de mayo de 2025</w:t>
      </w:r>
      <w:r>
        <w:rPr>
          <w:rFonts w:ascii="Verdana" w:eastAsia="Calibri" w:hAnsi="Verdana" w:cs="Arial"/>
        </w:rPr>
        <w:t xml:space="preserve"> y C-721 del 11 de julio de 2025, </w:t>
      </w:r>
      <w:r w:rsidRPr="001E6CB7">
        <w:rPr>
          <w:rFonts w:ascii="Verdana" w:eastAsia="Calibri" w:hAnsi="Verdana" w:cs="Arial"/>
          <w:color w:val="000000" w:themeColor="text1"/>
          <w:lang w:eastAsia="es-ES_tradnl"/>
        </w:rPr>
        <w:t>entre otros</w:t>
      </w:r>
      <w:r>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A57A61C" w14:textId="77777777" w:rsidR="0095364F" w:rsidRPr="0065720B" w:rsidRDefault="005008A3" w:rsidP="0095364F">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0095364F" w:rsidRPr="00191357">
          <w:rPr>
            <w:rStyle w:val="Hipervnculo"/>
            <w:rFonts w:ascii="Verdana" w:eastAsia="Calibri" w:hAnsi="Verdana" w:cs="Times New Roman"/>
            <w:lang w:val="es-ES"/>
          </w:rPr>
          <w:t>https://relatoria.colombiacompra.gov.co/busqueda/conceptos</w:t>
        </w:r>
      </w:hyperlink>
      <w:r w:rsidR="0095364F" w:rsidRPr="00185EE9">
        <w:rPr>
          <w:rFonts w:ascii="Verdana" w:eastAsia="Calibri" w:hAnsi="Verdana" w:cs="Times New Roman"/>
        </w:rPr>
        <w:t>.</w:t>
      </w:r>
    </w:p>
    <w:p w14:paraId="2F8C3632" w14:textId="77777777" w:rsidR="0095364F" w:rsidRPr="00505CD6" w:rsidRDefault="0095364F" w:rsidP="0095364F">
      <w:pPr>
        <w:widowControl w:val="0"/>
        <w:autoSpaceDE w:val="0"/>
        <w:autoSpaceDN w:val="0"/>
        <w:spacing w:after="0" w:line="276" w:lineRule="auto"/>
        <w:jc w:val="both"/>
        <w:rPr>
          <w:rFonts w:ascii="Verdana" w:hAnsi="Verdana" w:cs="Arial"/>
          <w:color w:val="000000" w:themeColor="text1"/>
          <w:shd w:val="clear" w:color="auto" w:fill="FFFFFF"/>
        </w:rPr>
      </w:pPr>
    </w:p>
    <w:p w14:paraId="3107F495" w14:textId="77777777" w:rsidR="0095364F" w:rsidRPr="00103B90" w:rsidRDefault="0095364F" w:rsidP="0095364F">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 xml:space="preserve">Guía de Contratación Pública Sostenible y Socialmente </w:t>
        </w:r>
        <w:r w:rsidRPr="00505CD6">
          <w:rPr>
            <w:rFonts w:ascii="Verdana" w:hAnsi="Verdana" w:cs="Arial"/>
            <w:color w:val="0563C1" w:themeColor="hyperlink"/>
            <w:u w:val="single"/>
            <w:shd w:val="clear" w:color="auto" w:fill="FFFFFF"/>
          </w:rPr>
          <w:lastRenderedPageBreak/>
          <w:t>Responsable | Colombia Compra Eficiente | Agencia Nacional de Contratación Pública</w:t>
        </w:r>
      </w:hyperlink>
      <w:r w:rsidRPr="00103B90">
        <w:rPr>
          <w:rFonts w:ascii="Verdana" w:hAnsi="Verdana"/>
        </w:rPr>
        <w:t>.</w:t>
      </w:r>
    </w:p>
    <w:p w14:paraId="193EB87F" w14:textId="77777777" w:rsidR="0095364F" w:rsidRPr="00103B90" w:rsidRDefault="0095364F" w:rsidP="0095364F">
      <w:pPr>
        <w:widowControl w:val="0"/>
        <w:autoSpaceDE w:val="0"/>
        <w:autoSpaceDN w:val="0"/>
        <w:spacing w:after="0" w:line="276" w:lineRule="auto"/>
        <w:jc w:val="both"/>
        <w:rPr>
          <w:rFonts w:ascii="Verdana" w:hAnsi="Verdana"/>
        </w:rPr>
      </w:pPr>
    </w:p>
    <w:p w14:paraId="163894BD" w14:textId="77777777" w:rsidR="0095364F" w:rsidRPr="00505CD6" w:rsidRDefault="0095364F" w:rsidP="0095364F">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13AEDDC5" w14:textId="77777777" w:rsidR="0095364F" w:rsidRPr="00505CD6" w:rsidRDefault="0095364F" w:rsidP="0095364F">
      <w:pPr>
        <w:widowControl w:val="0"/>
        <w:autoSpaceDE w:val="0"/>
        <w:autoSpaceDN w:val="0"/>
        <w:spacing w:after="0" w:line="276" w:lineRule="auto"/>
        <w:jc w:val="both"/>
        <w:rPr>
          <w:rFonts w:ascii="Verdana" w:hAnsi="Verdana" w:cs="Arial"/>
        </w:rPr>
      </w:pPr>
    </w:p>
    <w:p w14:paraId="367E9081" w14:textId="77777777" w:rsidR="0095364F" w:rsidRDefault="0095364F" w:rsidP="0095364F">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307A78B6" w14:textId="2704FEAE" w:rsidR="0095364F" w:rsidRDefault="0095364F" w:rsidP="0095364F">
      <w:pPr>
        <w:spacing w:line="276" w:lineRule="auto"/>
        <w:jc w:val="center"/>
        <w:rPr>
          <w:noProof/>
        </w:rPr>
      </w:pPr>
    </w:p>
    <w:p w14:paraId="0FC779F4" w14:textId="77777777" w:rsidR="00BA33CD" w:rsidRDefault="00BA33CD" w:rsidP="0095364F">
      <w:pPr>
        <w:spacing w:line="276" w:lineRule="auto"/>
        <w:jc w:val="center"/>
        <w:rPr>
          <w:noProof/>
        </w:rPr>
      </w:pPr>
    </w:p>
    <w:p w14:paraId="12D60F49" w14:textId="23943454" w:rsidR="00BA33CD" w:rsidRDefault="00BA33CD" w:rsidP="0095364F">
      <w:pPr>
        <w:spacing w:line="276" w:lineRule="auto"/>
        <w:jc w:val="center"/>
        <w:rPr>
          <w:noProof/>
        </w:rPr>
      </w:pPr>
      <w:r>
        <w:rPr>
          <w:noProof/>
        </w:rPr>
        <w:drawing>
          <wp:inline distT="0" distB="0" distL="0" distR="0" wp14:anchorId="5FC4E158" wp14:editId="6BC5F0DA">
            <wp:extent cx="3183255" cy="1366516"/>
            <wp:effectExtent l="0" t="0" r="0" b="5715"/>
            <wp:docPr id="179284149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93505" cy="1370916"/>
                    </a:xfrm>
                    <a:prstGeom prst="rect">
                      <a:avLst/>
                    </a:prstGeom>
                    <a:noFill/>
                    <a:ln>
                      <a:noFill/>
                    </a:ln>
                  </pic:spPr>
                </pic:pic>
              </a:graphicData>
            </a:graphic>
          </wp:inline>
        </w:drawing>
      </w:r>
    </w:p>
    <w:p w14:paraId="791486D3" w14:textId="77777777" w:rsidR="00BA33CD" w:rsidRDefault="00BA33CD" w:rsidP="0095364F">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5364F" w:rsidRPr="00593A5F" w14:paraId="7B8CDE21" w14:textId="77777777" w:rsidTr="00E4636D">
        <w:trPr>
          <w:trHeight w:val="315"/>
        </w:trPr>
        <w:tc>
          <w:tcPr>
            <w:tcW w:w="893" w:type="dxa"/>
            <w:vAlign w:val="center"/>
            <w:hideMark/>
          </w:tcPr>
          <w:p w14:paraId="65759B68" w14:textId="77777777" w:rsidR="0095364F" w:rsidRPr="003751C7" w:rsidRDefault="0095364F" w:rsidP="00E4636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BD7D4F2" w14:textId="77777777" w:rsidR="0095364F" w:rsidRPr="007911EE" w:rsidRDefault="0095364F" w:rsidP="00E4636D">
            <w:pPr>
              <w:contextualSpacing/>
              <w:rPr>
                <w:rFonts w:ascii="Verdana" w:hAnsi="Verdana"/>
                <w:sz w:val="16"/>
                <w:szCs w:val="16"/>
              </w:rPr>
            </w:pPr>
            <w:r w:rsidRPr="007911EE">
              <w:rPr>
                <w:rFonts w:ascii="Verdana" w:hAnsi="Verdana"/>
                <w:sz w:val="16"/>
                <w:szCs w:val="16"/>
              </w:rPr>
              <w:t xml:space="preserve">Nicolas Andrés Guzmán </w:t>
            </w:r>
          </w:p>
          <w:p w14:paraId="521144E5" w14:textId="77777777" w:rsidR="0095364F" w:rsidRPr="007911EE" w:rsidRDefault="0095364F" w:rsidP="00E4636D">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95364F" w:rsidRPr="00593A5F" w14:paraId="5E155795" w14:textId="77777777" w:rsidTr="00E4636D">
        <w:trPr>
          <w:trHeight w:val="330"/>
        </w:trPr>
        <w:tc>
          <w:tcPr>
            <w:tcW w:w="893" w:type="dxa"/>
            <w:vAlign w:val="center"/>
            <w:hideMark/>
          </w:tcPr>
          <w:p w14:paraId="66328921" w14:textId="77777777" w:rsidR="0095364F" w:rsidRPr="003751C7" w:rsidRDefault="0095364F" w:rsidP="00E4636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BC39B9E" w14:textId="77777777" w:rsidR="0095364F" w:rsidRDefault="0095364F" w:rsidP="00E4636D">
            <w:pPr>
              <w:spacing w:line="276" w:lineRule="auto"/>
              <w:contextualSpacing/>
              <w:jc w:val="both"/>
              <w:rPr>
                <w:rFonts w:ascii="Verdana" w:hAnsi="Verdana"/>
                <w:sz w:val="16"/>
                <w:szCs w:val="16"/>
              </w:rPr>
            </w:pPr>
            <w:r>
              <w:rPr>
                <w:rFonts w:ascii="Verdana" w:hAnsi="Verdana"/>
                <w:sz w:val="16"/>
                <w:szCs w:val="16"/>
              </w:rPr>
              <w:t>Diana Lucia Saavedra Castañeda</w:t>
            </w:r>
          </w:p>
          <w:p w14:paraId="5A35D410" w14:textId="77777777" w:rsidR="0095364F" w:rsidRPr="007911EE" w:rsidRDefault="0095364F" w:rsidP="00E4636D">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95364F" w:rsidRPr="00593A5F" w14:paraId="516B630F" w14:textId="77777777" w:rsidTr="00E4636D">
        <w:trPr>
          <w:trHeight w:val="330"/>
        </w:trPr>
        <w:tc>
          <w:tcPr>
            <w:tcW w:w="893" w:type="dxa"/>
            <w:vAlign w:val="center"/>
          </w:tcPr>
          <w:p w14:paraId="73CDCCF0" w14:textId="77777777" w:rsidR="0095364F" w:rsidRPr="003751C7" w:rsidRDefault="0095364F" w:rsidP="00E4636D">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93BFCE9" w14:textId="77777777" w:rsidR="0095364F" w:rsidRDefault="0095364F" w:rsidP="00E4636D">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4D625BDF" w14:textId="77777777" w:rsidR="0095364F" w:rsidRDefault="0095364F" w:rsidP="00E4636D">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1FC4299E" w14:textId="77777777" w:rsidR="0095364F" w:rsidRPr="00F30C63" w:rsidRDefault="0095364F" w:rsidP="0095364F"/>
    <w:p w14:paraId="0F293BF4" w14:textId="27ECD62E" w:rsidR="00127233" w:rsidRPr="007D5627" w:rsidRDefault="00127233" w:rsidP="007D5627"/>
    <w:sectPr w:rsidR="00127233" w:rsidRPr="007D5627"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8DCFDD" w14:textId="77777777" w:rsidR="005008A3" w:rsidRDefault="005008A3" w:rsidP="004A1847">
      <w:pPr>
        <w:spacing w:after="0" w:line="240" w:lineRule="auto"/>
      </w:pPr>
      <w:r>
        <w:separator/>
      </w:r>
    </w:p>
  </w:endnote>
  <w:endnote w:type="continuationSeparator" w:id="0">
    <w:p w14:paraId="1D634070" w14:textId="77777777" w:rsidR="005008A3" w:rsidRDefault="005008A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2B80CE" w14:textId="77777777" w:rsidR="005008A3" w:rsidRDefault="005008A3" w:rsidP="004A1847">
      <w:pPr>
        <w:spacing w:after="0" w:line="240" w:lineRule="auto"/>
      </w:pPr>
      <w:r>
        <w:separator/>
      </w:r>
    </w:p>
  </w:footnote>
  <w:footnote w:type="continuationSeparator" w:id="0">
    <w:p w14:paraId="09D8DD65" w14:textId="77777777" w:rsidR="005008A3" w:rsidRDefault="005008A3" w:rsidP="004A1847">
      <w:pPr>
        <w:spacing w:after="0" w:line="240" w:lineRule="auto"/>
      </w:pPr>
      <w:r>
        <w:continuationSeparator/>
      </w:r>
    </w:p>
  </w:footnote>
  <w:footnote w:id="1">
    <w:p w14:paraId="617B4194" w14:textId="39A8D9D3" w:rsidR="0095364F" w:rsidRPr="003270AF" w:rsidRDefault="0095364F" w:rsidP="003270AF">
      <w:pPr>
        <w:pStyle w:val="Textonotapie"/>
        <w:ind w:firstLine="709"/>
        <w:jc w:val="both"/>
        <w:rPr>
          <w:rFonts w:ascii="Verdana" w:hAnsi="Verdana"/>
          <w:sz w:val="16"/>
          <w:szCs w:val="16"/>
          <w:lang w:val="es-ES"/>
        </w:rPr>
      </w:pPr>
      <w:r w:rsidRPr="003270AF">
        <w:rPr>
          <w:rStyle w:val="Refdenotaalpie"/>
          <w:rFonts w:ascii="Verdana" w:hAnsi="Verdana"/>
          <w:sz w:val="16"/>
          <w:szCs w:val="16"/>
        </w:rPr>
        <w:footnoteRef/>
      </w:r>
      <w:r w:rsidRPr="003270AF">
        <w:rPr>
          <w:rFonts w:ascii="Verdana" w:hAnsi="Verdana"/>
          <w:sz w:val="16"/>
          <w:szCs w:val="16"/>
        </w:rPr>
        <w:t xml:space="preserve"> </w:t>
      </w:r>
      <w:r w:rsidRPr="003270AF">
        <w:rPr>
          <w:rFonts w:ascii="Verdana" w:hAnsi="Verdana" w:cs="Arial"/>
          <w:sz w:val="16"/>
          <w:szCs w:val="16"/>
        </w:rPr>
        <w:t>A</w:t>
      </w:r>
      <w:r w:rsidRPr="00717C1B">
        <w:rPr>
          <w:rFonts w:ascii="Verdana" w:hAnsi="Verdana" w:cs="Arial"/>
          <w:sz w:val="16"/>
          <w:szCs w:val="16"/>
        </w:rPr>
        <w:t>gencia Nacional de Contratación Pública - Colombia Compra Eficiente. Circular Externa Única. https://www.colombiacompra.gov. co/normativa-y-relatoria/circular-unica-externa</w:t>
      </w:r>
      <w:r w:rsidR="00717C1B">
        <w:rPr>
          <w:rFonts w:ascii="Verdana" w:hAnsi="Verdana" w:cs="Arial"/>
          <w:sz w:val="16"/>
          <w:szCs w:val="16"/>
        </w:rPr>
        <w:t xml:space="preserve">  </w:t>
      </w:r>
    </w:p>
  </w:footnote>
  <w:footnote w:id="2">
    <w:p w14:paraId="508FBBD5"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Consejo de Estado. Sección Segunda. Sentencia del 9 de septiembre de 2021. Expediente No. 05001-23-33-000-2013-01143-01(1317-16). M.P. Dra. Sandra Lisset Ibarra Vélez.</w:t>
      </w:r>
    </w:p>
    <w:p w14:paraId="3525B7E4" w14:textId="77777777" w:rsidR="0095364F" w:rsidRPr="00717C1B" w:rsidRDefault="0095364F" w:rsidP="00717C1B">
      <w:pPr>
        <w:pStyle w:val="Textonotapie"/>
        <w:ind w:firstLine="709"/>
        <w:jc w:val="both"/>
        <w:rPr>
          <w:rFonts w:ascii="Verdana" w:hAnsi="Verdana" w:cs="Arial"/>
          <w:sz w:val="16"/>
          <w:szCs w:val="16"/>
        </w:rPr>
      </w:pPr>
    </w:p>
  </w:footnote>
  <w:footnote w:id="3">
    <w:p w14:paraId="030C73AF"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0FBEA97D" w14:textId="77777777" w:rsidR="0095364F" w:rsidRPr="00717C1B" w:rsidRDefault="0095364F" w:rsidP="00717C1B">
      <w:pPr>
        <w:pStyle w:val="Textonotapie"/>
        <w:ind w:firstLine="709"/>
        <w:jc w:val="both"/>
        <w:rPr>
          <w:rFonts w:ascii="Verdana" w:hAnsi="Verdana" w:cs="Arial"/>
          <w:sz w:val="16"/>
          <w:szCs w:val="16"/>
          <w:lang w:val="es-ES_tradnl"/>
        </w:rPr>
      </w:pPr>
    </w:p>
  </w:footnote>
  <w:footnote w:id="4">
    <w:p w14:paraId="2078DAA2"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57684880" w14:textId="77777777" w:rsidR="0095364F" w:rsidRPr="00717C1B" w:rsidRDefault="0095364F" w:rsidP="00717C1B">
      <w:pPr>
        <w:pStyle w:val="Textonotapie"/>
        <w:ind w:firstLine="709"/>
        <w:jc w:val="both"/>
        <w:rPr>
          <w:rFonts w:ascii="Verdana" w:hAnsi="Verdana" w:cs="Arial"/>
          <w:sz w:val="16"/>
          <w:szCs w:val="16"/>
          <w:lang w:val="es-ES"/>
        </w:rPr>
      </w:pPr>
    </w:p>
  </w:footnote>
  <w:footnote w:id="5">
    <w:p w14:paraId="56B2338F"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0D70E5B8"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3F29857B"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El Gobierno nacional reglamentará el mecanismo para realizar la mensualización de que trata el presente artículo.</w:t>
      </w:r>
    </w:p>
    <w:p w14:paraId="36F29E05" w14:textId="77777777" w:rsidR="0095364F" w:rsidRPr="00717C1B" w:rsidRDefault="0095364F" w:rsidP="00717C1B">
      <w:pPr>
        <w:pStyle w:val="Textonotapie"/>
        <w:ind w:firstLine="709"/>
        <w:jc w:val="both"/>
        <w:rPr>
          <w:rFonts w:ascii="Verdana" w:hAnsi="Verdana" w:cs="Arial"/>
          <w:sz w:val="16"/>
          <w:szCs w:val="16"/>
          <w:lang w:val="pt-BR"/>
        </w:rPr>
      </w:pPr>
      <w:r w:rsidRPr="00717C1B">
        <w:rPr>
          <w:rFonts w:ascii="Verdana" w:hAnsi="Verdana" w:cs="Arial"/>
          <w:sz w:val="16"/>
          <w:szCs w:val="16"/>
          <w:lang w:val="pt-BR"/>
        </w:rPr>
        <w:t>[…]”.</w:t>
      </w:r>
    </w:p>
    <w:p w14:paraId="14A4F398" w14:textId="77777777" w:rsidR="0095364F" w:rsidRPr="00717C1B" w:rsidRDefault="0095364F" w:rsidP="00717C1B">
      <w:pPr>
        <w:pStyle w:val="Textonotapie"/>
        <w:ind w:firstLine="709"/>
        <w:jc w:val="both"/>
        <w:rPr>
          <w:rFonts w:ascii="Verdana" w:hAnsi="Verdana" w:cs="Arial"/>
          <w:sz w:val="16"/>
          <w:szCs w:val="16"/>
          <w:lang w:val="pt-BR"/>
        </w:rPr>
      </w:pPr>
    </w:p>
  </w:footnote>
  <w:footnote w:id="6">
    <w:p w14:paraId="1721D687"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lang w:val="pt-BR"/>
        </w:rPr>
        <w:t xml:space="preserve"> Corte Constitucional. Sentencia C-154 de 1997. </w:t>
      </w:r>
      <w:r w:rsidRPr="00717C1B">
        <w:rPr>
          <w:rFonts w:ascii="Verdana" w:hAnsi="Verdana" w:cs="Arial"/>
          <w:sz w:val="16"/>
          <w:szCs w:val="16"/>
          <w:lang w:val="es-ES"/>
        </w:rPr>
        <w:t>MP: Hernando Herrera Vergara.</w:t>
      </w:r>
    </w:p>
    <w:p w14:paraId="082FB763" w14:textId="77777777" w:rsidR="0095364F" w:rsidRPr="00717C1B" w:rsidRDefault="0095364F" w:rsidP="00717C1B">
      <w:pPr>
        <w:pStyle w:val="Textonotapie"/>
        <w:ind w:firstLine="709"/>
        <w:jc w:val="both"/>
        <w:rPr>
          <w:rFonts w:ascii="Verdana" w:hAnsi="Verdana" w:cs="Arial"/>
          <w:sz w:val="16"/>
          <w:szCs w:val="16"/>
          <w:lang w:val="es-ES"/>
        </w:rPr>
      </w:pPr>
    </w:p>
  </w:footnote>
  <w:footnote w:id="7">
    <w:p w14:paraId="299B093D" w14:textId="77777777" w:rsidR="0095364F" w:rsidRPr="00717C1B" w:rsidRDefault="0095364F" w:rsidP="00717C1B">
      <w:pPr>
        <w:pStyle w:val="Textonotapie"/>
        <w:ind w:firstLine="709"/>
        <w:jc w:val="both"/>
        <w:rPr>
          <w:rFonts w:ascii="Verdana" w:hAnsi="Verdana" w:cs="Arial"/>
          <w:color w:val="000000" w:themeColor="text1"/>
          <w:sz w:val="16"/>
          <w:szCs w:val="16"/>
          <w:lang w:val="es-CO"/>
        </w:rPr>
      </w:pPr>
      <w:r w:rsidRPr="00717C1B">
        <w:rPr>
          <w:rStyle w:val="Refdenotaalpie"/>
          <w:rFonts w:ascii="Verdana" w:hAnsi="Verdana"/>
          <w:sz w:val="16"/>
          <w:szCs w:val="16"/>
        </w:rPr>
        <w:footnoteRef/>
      </w:r>
      <w:r w:rsidRPr="00717C1B">
        <w:rPr>
          <w:rFonts w:ascii="Verdana" w:hAnsi="Verdana"/>
          <w:sz w:val="16"/>
          <w:szCs w:val="16"/>
        </w:rPr>
        <w:t xml:space="preserve"> </w:t>
      </w:r>
      <w:r w:rsidRPr="00717C1B">
        <w:rPr>
          <w:rFonts w:ascii="Verdana" w:hAnsi="Verdana" w:cs="Arial"/>
          <w:color w:val="000000" w:themeColor="text1"/>
          <w:sz w:val="16"/>
          <w:szCs w:val="16"/>
          <w:lang w:val="es-ES"/>
        </w:rPr>
        <w:t xml:space="preserve">Consejo de Estado. Sección Segunda. Sentencia de Unificación Jurisprudencial </w:t>
      </w:r>
      <w:r w:rsidRPr="00717C1B">
        <w:rPr>
          <w:rFonts w:ascii="Verdana" w:hAnsi="Verdana" w:cs="Arial"/>
          <w:color w:val="000000" w:themeColor="text1"/>
          <w:sz w:val="16"/>
          <w:szCs w:val="16"/>
          <w:lang w:val="es-CO"/>
        </w:rPr>
        <w:t>SUJ-025-CE-S2-2021.</w:t>
      </w:r>
      <w:r w:rsidRPr="00717C1B">
        <w:rPr>
          <w:rFonts w:ascii="Verdana" w:hAnsi="Verdana" w:cs="Arial"/>
          <w:color w:val="000000" w:themeColor="text1"/>
          <w:sz w:val="16"/>
          <w:szCs w:val="16"/>
          <w:lang w:val="es-ES"/>
        </w:rPr>
        <w:t xml:space="preserve"> Radicado (1317-2016). El numeral primero de la parte resolutiva de la sentencia señala lo siguiente:</w:t>
      </w:r>
      <w:r w:rsidRPr="00717C1B">
        <w:rPr>
          <w:rFonts w:ascii="Verdana" w:eastAsia="Times New Roman" w:hAnsi="Verdana" w:cs="Times New Roman"/>
          <w:sz w:val="16"/>
          <w:szCs w:val="16"/>
          <w:lang w:val="es-CO" w:eastAsia="es-ES_tradnl"/>
        </w:rPr>
        <w:t xml:space="preserve"> </w:t>
      </w:r>
      <w:r w:rsidRPr="00717C1B">
        <w:rPr>
          <w:rFonts w:ascii="Verdana" w:hAnsi="Verdana" w:cs="Arial"/>
          <w:noProof/>
          <w:sz w:val="16"/>
          <w:szCs w:val="16"/>
          <w:lang w:val="es-ES_tradnl"/>
        </w:rPr>
        <w:t>“</w:t>
      </w:r>
      <w:r w:rsidRPr="00717C1B">
        <w:rPr>
          <w:rFonts w:ascii="Verdana" w:hAnsi="Verdana" w:cs="Arial"/>
          <w:color w:val="000000" w:themeColor="text1"/>
          <w:sz w:val="16"/>
          <w:szCs w:val="16"/>
          <w:lang w:val="es-CO"/>
        </w:rPr>
        <w:t xml:space="preserve">Unificar la jurisprudencia de la Sección Segunda del Consejo de Estado, en el sentido de precisar las siguientes reglas en las relaciones laborales encubiertas o subyacentes: </w:t>
      </w:r>
    </w:p>
    <w:p w14:paraId="3BBE2C72" w14:textId="77777777" w:rsidR="0095364F" w:rsidRPr="00717C1B" w:rsidRDefault="0095364F" w:rsidP="00717C1B">
      <w:pPr>
        <w:pStyle w:val="Textonotapie"/>
        <w:ind w:firstLine="709"/>
        <w:jc w:val="both"/>
        <w:rPr>
          <w:rFonts w:ascii="Verdana" w:hAnsi="Verdana" w:cs="Arial"/>
          <w:color w:val="000000" w:themeColor="text1"/>
          <w:sz w:val="16"/>
          <w:szCs w:val="16"/>
          <w:lang w:val="es-CO"/>
        </w:rPr>
      </w:pPr>
      <w:r w:rsidRPr="00717C1B">
        <w:rPr>
          <w:rFonts w:ascii="Verdana" w:hAnsi="Verdana" w:cs="Arial"/>
          <w:color w:val="000000" w:themeColor="text1"/>
          <w:sz w:val="16"/>
          <w:szCs w:val="16"/>
          <w:lang w:val="es-CO"/>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09BBEF9A" w14:textId="77777777" w:rsidR="0095364F" w:rsidRPr="00717C1B" w:rsidRDefault="0095364F" w:rsidP="00717C1B">
      <w:pPr>
        <w:pStyle w:val="Textonotapie"/>
        <w:ind w:firstLine="709"/>
        <w:jc w:val="both"/>
        <w:rPr>
          <w:rFonts w:ascii="Verdana" w:hAnsi="Verdana" w:cs="Arial"/>
          <w:color w:val="000000" w:themeColor="text1"/>
          <w:sz w:val="16"/>
          <w:szCs w:val="16"/>
          <w:lang w:val="es-CO"/>
        </w:rPr>
      </w:pPr>
      <w:r w:rsidRPr="00717C1B">
        <w:rPr>
          <w:rFonts w:ascii="Verdana" w:hAnsi="Verdana" w:cs="Arial"/>
          <w:color w:val="000000" w:themeColor="text1"/>
          <w:sz w:val="16"/>
          <w:szCs w:val="16"/>
          <w:lang w:val="es-CO"/>
        </w:rPr>
        <w:t xml:space="preserve">(ii)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09E3A6CA" w14:textId="77777777" w:rsidR="0095364F" w:rsidRPr="00717C1B" w:rsidRDefault="0095364F" w:rsidP="00717C1B">
      <w:pPr>
        <w:pStyle w:val="Textonotapie"/>
        <w:ind w:firstLine="709"/>
        <w:jc w:val="both"/>
        <w:rPr>
          <w:rFonts w:ascii="Verdana" w:hAnsi="Verdana" w:cs="Arial"/>
          <w:sz w:val="16"/>
          <w:szCs w:val="16"/>
          <w:lang w:val="pt-BR"/>
        </w:rPr>
      </w:pPr>
      <w:r w:rsidRPr="00717C1B">
        <w:rPr>
          <w:rFonts w:ascii="Verdana" w:hAnsi="Verdana" w:cs="Arial"/>
          <w:color w:val="000000" w:themeColor="text1"/>
          <w:sz w:val="16"/>
          <w:szCs w:val="16"/>
          <w:lang w:val="es-CO"/>
        </w:rPr>
        <w:t>(iii) La tercera regla determina que frente a la no afiliación al sistema de la Seguridad Social en salud, por parte de la Administración, es improcedente la devolución de los valores que el contratista hubiese asumido de más, en tanto se recaudaron como recursos de naturaleza parafiscal</w:t>
      </w:r>
      <w:r w:rsidRPr="00717C1B">
        <w:rPr>
          <w:rFonts w:ascii="Verdana" w:hAnsi="Verdana" w:cs="Arial"/>
          <w:sz w:val="16"/>
          <w:szCs w:val="16"/>
          <w:lang w:val="pt-BR"/>
        </w:rPr>
        <w:t>”.</w:t>
      </w:r>
    </w:p>
    <w:p w14:paraId="7D823D90" w14:textId="77777777" w:rsidR="0095364F" w:rsidRPr="00717C1B" w:rsidRDefault="0095364F" w:rsidP="00717C1B">
      <w:pPr>
        <w:pStyle w:val="Textonotapie"/>
        <w:ind w:firstLine="709"/>
        <w:jc w:val="both"/>
        <w:rPr>
          <w:rFonts w:ascii="Verdana" w:hAnsi="Verdana"/>
          <w:sz w:val="16"/>
          <w:szCs w:val="16"/>
          <w:lang w:val="es-CO"/>
        </w:rPr>
      </w:pPr>
    </w:p>
  </w:footnote>
  <w:footnote w:id="8">
    <w:p w14:paraId="0880C7A2"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Particularmente, sobre la regla de unificación número 2, el Consejo de Estado explica que “[…] si no están dados los presupuestos establecidos en el artículo 23 del Código Sustantivo del Trabajo, no puede hablarse de una relación laboral encubierta. Por lo tanto, el término de treinta (30) días hábiles, a que alude la segunda regla de unificación, tal como se dijo en la sentencia del 9 de septiembre de 2021, debe entenderse como un indicador temporal para inferir que no hay solución de continuidad entre un contrato y otro sucedáneo, y </w:t>
      </w:r>
      <w:r w:rsidRPr="00717C1B">
        <w:rPr>
          <w:rFonts w:ascii="Verdana" w:hAnsi="Verdana" w:cs="Arial"/>
          <w:b/>
          <w:bCs/>
          <w:sz w:val="16"/>
          <w:szCs w:val="16"/>
        </w:rPr>
        <w:t>solo para efectos de la prescripción de derechos laborales</w:t>
      </w:r>
      <w:r w:rsidRPr="00717C1B">
        <w:rPr>
          <w:rFonts w:ascii="Verdana" w:hAnsi="Verdana" w:cs="Arial"/>
          <w:sz w:val="16"/>
          <w:szCs w:val="16"/>
        </w:rPr>
        <w:t>” (Énfasis dentro del texto).</w:t>
      </w:r>
    </w:p>
    <w:p w14:paraId="4F775151" w14:textId="77777777" w:rsidR="0095364F" w:rsidRPr="00717C1B" w:rsidRDefault="0095364F" w:rsidP="00717C1B">
      <w:pPr>
        <w:pStyle w:val="Textonotapie"/>
        <w:ind w:firstLine="709"/>
        <w:jc w:val="both"/>
        <w:rPr>
          <w:rFonts w:ascii="Verdana" w:hAnsi="Verdana"/>
          <w:sz w:val="16"/>
          <w:szCs w:val="16"/>
        </w:rPr>
      </w:pPr>
    </w:p>
  </w:footnote>
  <w:footnote w:id="9">
    <w:p w14:paraId="2F77647F"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Ibíd.</w:t>
      </w:r>
    </w:p>
    <w:p w14:paraId="12572E56" w14:textId="77777777" w:rsidR="0095364F" w:rsidRPr="00717C1B" w:rsidRDefault="0095364F" w:rsidP="00717C1B">
      <w:pPr>
        <w:pStyle w:val="Textonotapie"/>
        <w:ind w:firstLine="709"/>
        <w:jc w:val="both"/>
        <w:rPr>
          <w:rFonts w:ascii="Verdana" w:hAnsi="Verdana" w:cs="Arial"/>
          <w:sz w:val="16"/>
          <w:szCs w:val="16"/>
          <w:lang w:val="es-ES"/>
        </w:rPr>
      </w:pPr>
    </w:p>
  </w:footnote>
  <w:footnote w:id="10">
    <w:p w14:paraId="359956AF"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r w:rsidRPr="00717C1B">
        <w:rPr>
          <w:rFonts w:ascii="Verdana" w:hAnsi="Verdana" w:cs="Arial"/>
          <w:sz w:val="16"/>
          <w:szCs w:val="16"/>
        </w:rPr>
        <w:t xml:space="preserve"> </w:t>
      </w:r>
    </w:p>
    <w:p w14:paraId="569F4F50"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8B2A4CD"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3869262A"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34E9DCFE" w14:textId="77777777" w:rsidR="0095364F" w:rsidRPr="00717C1B" w:rsidRDefault="0095364F" w:rsidP="00717C1B">
      <w:pPr>
        <w:pStyle w:val="Textonotapie"/>
        <w:ind w:firstLine="709"/>
        <w:jc w:val="both"/>
        <w:rPr>
          <w:rFonts w:ascii="Verdana" w:hAnsi="Verdana" w:cs="Arial"/>
          <w:sz w:val="16"/>
          <w:szCs w:val="16"/>
          <w:lang w:val="es-ES"/>
        </w:rPr>
      </w:pPr>
    </w:p>
  </w:footnote>
  <w:footnote w:id="11">
    <w:p w14:paraId="0ACFDDE9"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6380DAC1"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1. La causal que invoca para contratar directamente.</w:t>
      </w:r>
    </w:p>
    <w:p w14:paraId="61551745"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2. El objeto del contrato.</w:t>
      </w:r>
    </w:p>
    <w:p w14:paraId="186AA742"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3. El presupuesto para la contratación y las condiciones que exigirá al contratista.</w:t>
      </w:r>
    </w:p>
    <w:p w14:paraId="4E9F45C0"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4. El lugar en el cual los interesados pueden consultar los estudios y documentos previos.</w:t>
      </w:r>
    </w:p>
    <w:p w14:paraId="4F43A81F"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2">
    <w:p w14:paraId="71959123" w14:textId="77777777" w:rsidR="0095364F" w:rsidRPr="00717C1B" w:rsidRDefault="0095364F" w:rsidP="00717C1B">
      <w:pPr>
        <w:pStyle w:val="Textonotapie"/>
        <w:ind w:firstLine="709"/>
        <w:jc w:val="both"/>
        <w:rPr>
          <w:rFonts w:ascii="Verdana" w:hAnsi="Verdana" w:cs="Arial"/>
          <w:sz w:val="16"/>
          <w:szCs w:val="16"/>
        </w:rPr>
      </w:pPr>
    </w:p>
    <w:p w14:paraId="11EDF0CA"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 xml:space="preserve">La norma expresa: “Art. 14. </w:t>
      </w:r>
      <w:r w:rsidRPr="00717C1B">
        <w:rPr>
          <w:rFonts w:ascii="Verdana" w:hAnsi="Verdana" w:cs="Arial"/>
          <w:sz w:val="16"/>
          <w:szCs w:val="16"/>
        </w:rPr>
        <w:t>P</w:t>
      </w:r>
      <w:r w:rsidRPr="00717C1B">
        <w:rPr>
          <w:rFonts w:ascii="Verdana" w:hAnsi="Verdana" w:cs="Arial"/>
          <w:sz w:val="16"/>
          <w:szCs w:val="16"/>
          <w:lang w:val="es-ES"/>
        </w:rPr>
        <w:t>ara el cumplimiento de los fines de la contratación, las entidades estatales al celebrar un contrato:</w:t>
      </w:r>
    </w:p>
    <w:p w14:paraId="703B3FA2"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w:t>
      </w:r>
    </w:p>
    <w:p w14:paraId="2C052A48"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w:t>
      </w:r>
    </w:p>
    <w:p w14:paraId="5D33CC85"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Las entidades estatales podrán pactar estas cláusulas en los contratos de suministro y de prestación de servicios.</w:t>
      </w:r>
    </w:p>
    <w:p w14:paraId="2739E548"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w:t>
      </w:r>
    </w:p>
    <w:p w14:paraId="731DC243" w14:textId="77777777" w:rsidR="0095364F" w:rsidRPr="00717C1B" w:rsidRDefault="0095364F" w:rsidP="00717C1B">
      <w:pPr>
        <w:pStyle w:val="Textonotapie"/>
        <w:ind w:firstLine="709"/>
        <w:jc w:val="both"/>
        <w:rPr>
          <w:rFonts w:ascii="Verdana" w:hAnsi="Verdana" w:cs="Arial"/>
          <w:sz w:val="16"/>
          <w:szCs w:val="16"/>
          <w:lang w:val="es-ES"/>
        </w:rPr>
      </w:pPr>
    </w:p>
  </w:footnote>
  <w:footnote w:id="13">
    <w:p w14:paraId="57B26CA4"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72FEA36C" w14:textId="77777777" w:rsidR="0095364F" w:rsidRPr="00717C1B" w:rsidRDefault="0095364F" w:rsidP="00717C1B">
      <w:pPr>
        <w:pStyle w:val="Textonotapie"/>
        <w:ind w:firstLine="709"/>
        <w:jc w:val="both"/>
        <w:rPr>
          <w:rFonts w:ascii="Verdana" w:hAnsi="Verdana" w:cs="Arial"/>
          <w:sz w:val="16"/>
          <w:szCs w:val="16"/>
          <w:lang w:val="es-ES"/>
        </w:rPr>
      </w:pPr>
    </w:p>
  </w:footnote>
  <w:footnote w:id="14">
    <w:p w14:paraId="2DD049E4"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AAF79C9" w14:textId="77777777" w:rsidR="0095364F" w:rsidRPr="00717C1B" w:rsidRDefault="0095364F" w:rsidP="00717C1B">
      <w:pPr>
        <w:pStyle w:val="Textonotapie"/>
        <w:ind w:firstLine="709"/>
        <w:jc w:val="both"/>
        <w:rPr>
          <w:rFonts w:ascii="Verdana" w:hAnsi="Verdana" w:cs="Arial"/>
          <w:sz w:val="16"/>
          <w:szCs w:val="16"/>
        </w:rPr>
      </w:pPr>
      <w:r w:rsidRPr="00717C1B">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28DFD236" w14:textId="77777777" w:rsidR="0095364F" w:rsidRPr="00717C1B" w:rsidRDefault="0095364F" w:rsidP="00717C1B">
      <w:pPr>
        <w:pStyle w:val="Textonotapie"/>
        <w:ind w:firstLine="709"/>
        <w:jc w:val="both"/>
        <w:rPr>
          <w:rFonts w:ascii="Verdana" w:hAnsi="Verdana" w:cs="Arial"/>
          <w:sz w:val="16"/>
          <w:szCs w:val="16"/>
        </w:rPr>
      </w:pPr>
      <w:r w:rsidRPr="00717C1B">
        <w:rPr>
          <w:rFonts w:ascii="Verdana" w:hAnsi="Verdana" w:cs="Arial"/>
          <w:sz w:val="16"/>
          <w:szCs w:val="16"/>
        </w:rPr>
        <w:t>[…]”.</w:t>
      </w:r>
    </w:p>
    <w:p w14:paraId="2D903251" w14:textId="77777777" w:rsidR="0095364F" w:rsidRPr="00717C1B" w:rsidRDefault="0095364F" w:rsidP="00717C1B">
      <w:pPr>
        <w:pStyle w:val="Textonotapie"/>
        <w:ind w:firstLine="709"/>
        <w:jc w:val="both"/>
        <w:rPr>
          <w:rFonts w:ascii="Verdana" w:hAnsi="Verdana" w:cs="Arial"/>
          <w:sz w:val="16"/>
          <w:szCs w:val="16"/>
          <w:lang w:val="es-ES"/>
        </w:rPr>
      </w:pPr>
    </w:p>
  </w:footnote>
  <w:footnote w:id="15">
    <w:p w14:paraId="0FE718F5"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2FB52614" w14:textId="77777777" w:rsidR="0095364F" w:rsidRPr="00717C1B" w:rsidRDefault="0095364F" w:rsidP="00717C1B">
      <w:pPr>
        <w:pStyle w:val="Textonotapie"/>
        <w:ind w:firstLine="709"/>
        <w:jc w:val="both"/>
        <w:rPr>
          <w:rFonts w:ascii="Verdana" w:hAnsi="Verdana" w:cs="Arial"/>
          <w:sz w:val="16"/>
          <w:szCs w:val="16"/>
          <w:lang w:val="es-ES"/>
        </w:rPr>
      </w:pPr>
    </w:p>
  </w:footnote>
  <w:footnote w:id="16">
    <w:p w14:paraId="53829426"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r w:rsidRPr="00717C1B">
        <w:rPr>
          <w:rStyle w:val="Refdenotaalpie"/>
          <w:rFonts w:ascii="Verdana" w:hAnsi="Verdana" w:cs="Arial"/>
          <w:color w:val="000000" w:themeColor="text1"/>
          <w:sz w:val="16"/>
          <w:szCs w:val="16"/>
        </w:rPr>
        <w:footnoteRef/>
      </w:r>
      <w:r w:rsidRPr="00717C1B">
        <w:rPr>
          <w:rFonts w:ascii="Verdana" w:hAnsi="Verdana" w:cs="Arial"/>
          <w:color w:val="000000" w:themeColor="text1"/>
          <w:sz w:val="16"/>
          <w:szCs w:val="16"/>
        </w:rPr>
        <w:t xml:space="preserve"> </w:t>
      </w:r>
      <w:r w:rsidRPr="00717C1B">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37A4933"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r w:rsidRPr="00717C1B">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55709BD"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r w:rsidRPr="00717C1B">
        <w:rPr>
          <w:rFonts w:ascii="Verdana" w:hAnsi="Verdana" w:cs="Arial"/>
          <w:color w:val="000000" w:themeColor="text1"/>
          <w:sz w:val="16"/>
          <w:szCs w:val="16"/>
          <w:lang w:val="es-ES"/>
        </w:rPr>
        <w:t>La Entidad Estatal, para la contratación de trabajos artísticos que solamente puedan en</w:t>
      </w:r>
      <w:r w:rsidRPr="00717C1B">
        <w:rPr>
          <w:rFonts w:ascii="Verdana" w:hAnsi="Verdana" w:cs="Arial"/>
          <w:color w:val="000000" w:themeColor="text1"/>
          <w:sz w:val="16"/>
          <w:szCs w:val="16"/>
          <w:lang w:val="es-ES"/>
        </w:rPr>
        <w:softHyphen/>
        <w:t>comendarse a determinadas personas naturales, debe justificar esta situación en los estudios y documentos previos”.</w:t>
      </w:r>
    </w:p>
    <w:p w14:paraId="471D53D4"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p>
  </w:footnote>
  <w:footnote w:id="17">
    <w:p w14:paraId="4B25C062"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r w:rsidRPr="00717C1B">
        <w:rPr>
          <w:rStyle w:val="Refdenotaalpie"/>
          <w:rFonts w:ascii="Verdana" w:hAnsi="Verdana" w:cs="Arial"/>
          <w:color w:val="000000" w:themeColor="text1"/>
          <w:sz w:val="16"/>
          <w:szCs w:val="16"/>
        </w:rPr>
        <w:footnoteRef/>
      </w:r>
      <w:r w:rsidRPr="00717C1B">
        <w:rPr>
          <w:rFonts w:ascii="Verdana" w:hAnsi="Verdana" w:cs="Arial"/>
          <w:color w:val="000000" w:themeColor="text1"/>
          <w:sz w:val="16"/>
          <w:szCs w:val="16"/>
        </w:rPr>
        <w:t xml:space="preserve"> </w:t>
      </w:r>
      <w:r w:rsidRPr="00717C1B">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p>
    <w:p w14:paraId="02525DAD"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p>
  </w:footnote>
  <w:footnote w:id="18">
    <w:p w14:paraId="2CE062CE" w14:textId="77777777" w:rsidR="0095364F" w:rsidRPr="00717C1B" w:rsidRDefault="0095364F" w:rsidP="00717C1B">
      <w:pPr>
        <w:pStyle w:val="Textonotapie"/>
        <w:ind w:firstLine="709"/>
        <w:jc w:val="both"/>
        <w:rPr>
          <w:rFonts w:ascii="Verdana" w:hAnsi="Verdana"/>
          <w:sz w:val="16"/>
          <w:szCs w:val="16"/>
        </w:rPr>
      </w:pPr>
      <w:r w:rsidRPr="00717C1B">
        <w:rPr>
          <w:rStyle w:val="Refdenotaalpie"/>
          <w:rFonts w:ascii="Verdana" w:hAnsi="Verdana"/>
          <w:sz w:val="16"/>
          <w:szCs w:val="16"/>
        </w:rPr>
        <w:footnoteRef/>
      </w:r>
      <w:r w:rsidRPr="00717C1B">
        <w:rPr>
          <w:rFonts w:ascii="Verdana" w:hAnsi="Verdana"/>
          <w:sz w:val="16"/>
          <w:szCs w:val="16"/>
        </w:rPr>
        <w:t xml:space="preserve"> Por medio de la cual se crea la Ley de Transparencia y del Derecho de Acceso a la Información Pública Nacional y se dictan otras disposiciones.</w:t>
      </w:r>
    </w:p>
    <w:p w14:paraId="373B5214" w14:textId="77777777" w:rsidR="0095364F" w:rsidRPr="00717C1B" w:rsidRDefault="0095364F" w:rsidP="00717C1B">
      <w:pPr>
        <w:pStyle w:val="Textonotapie"/>
        <w:ind w:firstLine="709"/>
        <w:jc w:val="both"/>
        <w:rPr>
          <w:rFonts w:ascii="Verdana" w:hAnsi="Verdana"/>
          <w:sz w:val="16"/>
          <w:szCs w:val="16"/>
          <w:lang w:val="es-ES"/>
        </w:rPr>
      </w:pPr>
    </w:p>
  </w:footnote>
  <w:footnote w:id="19">
    <w:p w14:paraId="20C458E1" w14:textId="01DB5E07" w:rsidR="0095364F" w:rsidRPr="00717C1B" w:rsidRDefault="0095364F" w:rsidP="003270AF">
      <w:pPr>
        <w:pStyle w:val="Textonotapie"/>
        <w:ind w:firstLine="709"/>
        <w:jc w:val="both"/>
        <w:rPr>
          <w:rFonts w:ascii="Verdana" w:hAnsi="Verdana"/>
          <w:sz w:val="16"/>
          <w:szCs w:val="16"/>
        </w:rPr>
      </w:pPr>
      <w:r w:rsidRPr="00717C1B">
        <w:rPr>
          <w:rStyle w:val="Refdenotaalpie"/>
          <w:rFonts w:ascii="Verdana" w:hAnsi="Verdana"/>
          <w:sz w:val="16"/>
          <w:szCs w:val="16"/>
        </w:rPr>
        <w:footnoteRef/>
      </w:r>
      <w:r w:rsidRPr="00717C1B">
        <w:rPr>
          <w:rFonts w:ascii="Verdana" w:hAnsi="Verdana"/>
          <w:sz w:val="16"/>
          <w:szCs w:val="16"/>
        </w:rPr>
        <w:t xml:space="preserve"> </w:t>
      </w:r>
      <w:r w:rsidRPr="00717C1B">
        <w:rPr>
          <w:rFonts w:ascii="Verdana" w:hAnsi="Verdana" w:cs="Arial"/>
          <w:color w:val="000000" w:themeColor="text1"/>
          <w:sz w:val="16"/>
          <w:szCs w:val="16"/>
        </w:rPr>
        <w:t>Ley 1712 de 2014: Artículo 2. Toda información en posesión, bajo control o custodia de un sujeto obligado es pública y no podrá ser reservada o limitada sino por disposición constitucional o legal, de conformidad con la presente ley”.</w:t>
      </w:r>
    </w:p>
  </w:footnote>
  <w:footnote w:id="20">
    <w:p w14:paraId="27927BCB" w14:textId="77777777" w:rsidR="0095364F" w:rsidRPr="00717C1B" w:rsidRDefault="0095364F" w:rsidP="003270AF">
      <w:pPr>
        <w:pStyle w:val="Textonotapie"/>
        <w:ind w:firstLine="709"/>
        <w:contextualSpacing/>
        <w:jc w:val="both"/>
        <w:rPr>
          <w:rFonts w:ascii="Verdana" w:hAnsi="Verdana" w:cs="Arial"/>
          <w:sz w:val="16"/>
          <w:szCs w:val="16"/>
        </w:rPr>
      </w:pPr>
    </w:p>
    <w:p w14:paraId="39A3DC3C" w14:textId="77777777" w:rsidR="0095364F" w:rsidRPr="00717C1B" w:rsidRDefault="0095364F" w:rsidP="003270AF">
      <w:pPr>
        <w:pStyle w:val="Textonotapie"/>
        <w:ind w:firstLine="709"/>
        <w:contextualSpacing/>
        <w:jc w:val="both"/>
        <w:rPr>
          <w:rFonts w:ascii="Verdana" w:hAnsi="Verdana" w:cs="Arial"/>
          <w:sz w:val="16"/>
          <w:szCs w:val="16"/>
          <w:lang w:val="es-CO"/>
        </w:rPr>
      </w:pPr>
      <w:r w:rsidRPr="00717C1B">
        <w:rPr>
          <w:rStyle w:val="Refdenotaalpie"/>
          <w:rFonts w:ascii="Verdana" w:hAnsi="Verdana" w:cs="Arial"/>
          <w:sz w:val="16"/>
          <w:szCs w:val="16"/>
        </w:rPr>
        <w:footnoteRef/>
      </w:r>
      <w:r w:rsidRPr="00717C1B">
        <w:rPr>
          <w:rFonts w:ascii="Verdana" w:hAnsi="Verdana" w:cs="Arial"/>
          <w:sz w:val="16"/>
          <w:szCs w:val="16"/>
          <w:vertAlign w:val="superscript"/>
        </w:rPr>
        <w:t xml:space="preserve"> </w:t>
      </w:r>
      <w:r w:rsidRPr="00717C1B">
        <w:rPr>
          <w:rFonts w:ascii="Verdana" w:hAnsi="Verdana" w:cs="Arial"/>
          <w:sz w:val="16"/>
          <w:szCs w:val="16"/>
        </w:rPr>
        <w:t xml:space="preserve">Ley 1712 de 2014: “Artículo 3. </w:t>
      </w:r>
      <w:bookmarkStart w:id="5" w:name="3"/>
      <w:r w:rsidRPr="00717C1B">
        <w:rPr>
          <w:rFonts w:ascii="Verdana" w:hAnsi="Verdana" w:cs="Arial"/>
          <w:sz w:val="16"/>
          <w:szCs w:val="16"/>
          <w:lang w:val="es-CO"/>
        </w:rPr>
        <w:t>Otros principios de la transparencia y acceso a la información pública.</w:t>
      </w:r>
      <w:bookmarkEnd w:id="5"/>
      <w:r w:rsidRPr="00717C1B">
        <w:rPr>
          <w:rFonts w:ascii="Verdana" w:hAnsi="Verdana" w:cs="Arial"/>
          <w:sz w:val="16"/>
          <w:szCs w:val="16"/>
          <w:lang w:val="es-CO"/>
        </w:rPr>
        <w:t> </w:t>
      </w:r>
    </w:p>
    <w:p w14:paraId="5E44BA32" w14:textId="77777777" w:rsidR="0095364F" w:rsidRPr="00717C1B" w:rsidRDefault="0095364F" w:rsidP="003270AF">
      <w:pPr>
        <w:pStyle w:val="Textonotapie"/>
        <w:ind w:firstLine="709"/>
        <w:contextualSpacing/>
        <w:jc w:val="both"/>
        <w:rPr>
          <w:rFonts w:ascii="Verdana" w:hAnsi="Verdana" w:cs="Arial"/>
          <w:sz w:val="16"/>
          <w:szCs w:val="16"/>
          <w:lang w:val="es-CO"/>
        </w:rPr>
      </w:pPr>
      <w:r w:rsidRPr="00717C1B">
        <w:rPr>
          <w:rFonts w:ascii="Verdana" w:hAnsi="Verdana" w:cs="Arial"/>
          <w:sz w:val="16"/>
          <w:szCs w:val="16"/>
          <w:lang w:val="es-CO"/>
        </w:rPr>
        <w:t xml:space="preserve">[…] </w:t>
      </w:r>
      <w:r w:rsidRPr="00717C1B">
        <w:rPr>
          <w:rStyle w:val="baj"/>
          <w:rFonts w:ascii="Verdana" w:hAnsi="Verdana" w:cs="Arial"/>
          <w:sz w:val="16"/>
          <w:szCs w:val="16"/>
        </w:rPr>
        <w:t>Principio de transparencia</w:t>
      </w:r>
      <w:r w:rsidRPr="00717C1B">
        <w:rPr>
          <w:rFonts w:ascii="Verdana" w:hAnsi="Verdana" w:cs="Arial"/>
          <w:sz w:val="16"/>
          <w:szCs w:val="16"/>
        </w:rPr>
        <w:t>.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p w14:paraId="0DA7E62F" w14:textId="77777777" w:rsidR="0095364F" w:rsidRPr="00717C1B" w:rsidRDefault="0095364F" w:rsidP="003270AF">
      <w:pPr>
        <w:pStyle w:val="Textonotapie"/>
        <w:ind w:firstLine="709"/>
        <w:contextualSpacing/>
        <w:jc w:val="both"/>
        <w:rPr>
          <w:rFonts w:ascii="Verdana" w:hAnsi="Verdana" w:cs="Arial"/>
          <w:sz w:val="16"/>
          <w:szCs w:val="16"/>
          <w:lang w:val="es-CO"/>
        </w:rPr>
      </w:pPr>
    </w:p>
  </w:footnote>
  <w:footnote w:id="21">
    <w:p w14:paraId="7D3660A1" w14:textId="77777777" w:rsidR="0095364F" w:rsidRPr="00717C1B" w:rsidRDefault="0095364F" w:rsidP="003270AF">
      <w:pPr>
        <w:pStyle w:val="Textonotapie"/>
        <w:ind w:firstLine="709"/>
        <w:contextualSpacing/>
        <w:jc w:val="both"/>
        <w:rPr>
          <w:rFonts w:ascii="Verdana" w:hAnsi="Verdana" w:cs="Arial"/>
          <w:sz w:val="16"/>
          <w:szCs w:val="16"/>
          <w:lang w:val="es-CO"/>
        </w:rPr>
      </w:pPr>
      <w:r w:rsidRPr="00717C1B">
        <w:rPr>
          <w:rStyle w:val="Refdenotaalpie"/>
          <w:rFonts w:ascii="Verdana" w:hAnsi="Verdana" w:cs="Arial"/>
          <w:sz w:val="16"/>
          <w:szCs w:val="16"/>
        </w:rPr>
        <w:footnoteRef/>
      </w:r>
      <w:r w:rsidRPr="00717C1B">
        <w:rPr>
          <w:rFonts w:ascii="Verdana" w:hAnsi="Verdana" w:cs="Arial"/>
          <w:sz w:val="16"/>
          <w:szCs w:val="16"/>
          <w:vertAlign w:val="superscript"/>
        </w:rPr>
        <w:t xml:space="preserve"> </w:t>
      </w:r>
      <w:r w:rsidRPr="00717C1B">
        <w:rPr>
          <w:rFonts w:ascii="Verdana" w:hAnsi="Verdana" w:cs="Arial"/>
          <w:sz w:val="16"/>
          <w:szCs w:val="16"/>
        </w:rPr>
        <w:t xml:space="preserve">Ley 1712 de 2014: “Artículo 3. </w:t>
      </w:r>
      <w:r w:rsidRPr="00717C1B">
        <w:rPr>
          <w:rFonts w:ascii="Verdana" w:hAnsi="Verdana" w:cs="Arial"/>
          <w:sz w:val="16"/>
          <w:szCs w:val="16"/>
          <w:lang w:val="es-CO"/>
        </w:rPr>
        <w:t>Otros principios de la transparencia y acceso a la información pública. </w:t>
      </w:r>
    </w:p>
    <w:p w14:paraId="2A25EC3D" w14:textId="77777777" w:rsidR="0095364F" w:rsidRPr="00717C1B" w:rsidRDefault="0095364F" w:rsidP="003270AF">
      <w:pPr>
        <w:pStyle w:val="Textonotapie"/>
        <w:ind w:firstLine="709"/>
        <w:contextualSpacing/>
        <w:jc w:val="both"/>
        <w:rPr>
          <w:rFonts w:ascii="Verdana" w:hAnsi="Verdana" w:cs="Arial"/>
          <w:sz w:val="16"/>
          <w:szCs w:val="16"/>
          <w:lang w:val="es-ES"/>
        </w:rPr>
      </w:pPr>
      <w:r w:rsidRPr="00717C1B">
        <w:rPr>
          <w:rFonts w:ascii="Verdana" w:hAnsi="Verdana" w:cs="Arial"/>
          <w:sz w:val="16"/>
          <w:szCs w:val="16"/>
          <w:lang w:val="es-ES"/>
        </w:rPr>
        <w:t xml:space="preserve">[…] </w:t>
      </w:r>
      <w:r w:rsidRPr="00717C1B">
        <w:rPr>
          <w:rStyle w:val="baj"/>
          <w:rFonts w:ascii="Verdana" w:hAnsi="Verdana" w:cs="Arial"/>
          <w:sz w:val="16"/>
          <w:szCs w:val="16"/>
        </w:rPr>
        <w:t>Principio de buena fe</w:t>
      </w:r>
      <w:r w:rsidRPr="00717C1B">
        <w:rPr>
          <w:rFonts w:ascii="Verdana" w:hAnsi="Verdana" w:cs="Arial"/>
          <w:sz w:val="16"/>
          <w:szCs w:val="16"/>
        </w:rPr>
        <w:t>. En virtud del cual todo sujeto obligado, al cumplir con las obligaciones derivadas del derecho de acceso a la información pública, lo hará con motivación honesta, leal y desprovista de cualquier intención dolosa o culposa”.</w:t>
      </w:r>
    </w:p>
  </w:footnote>
  <w:footnote w:id="22">
    <w:p w14:paraId="0BE49B6F" w14:textId="77777777" w:rsidR="0095364F" w:rsidRPr="00717C1B" w:rsidRDefault="0095364F" w:rsidP="003270AF">
      <w:pPr>
        <w:pStyle w:val="Textonotapie"/>
        <w:ind w:firstLine="709"/>
        <w:contextualSpacing/>
        <w:jc w:val="both"/>
        <w:rPr>
          <w:rFonts w:ascii="Verdana" w:hAnsi="Verdana" w:cs="Arial"/>
          <w:sz w:val="16"/>
          <w:szCs w:val="16"/>
        </w:rPr>
      </w:pPr>
    </w:p>
    <w:p w14:paraId="5C2B986F" w14:textId="77777777" w:rsidR="0095364F" w:rsidRPr="00717C1B" w:rsidRDefault="0095364F" w:rsidP="003270AF">
      <w:pPr>
        <w:pStyle w:val="Textonotapie"/>
        <w:ind w:firstLine="709"/>
        <w:contextualSpacing/>
        <w:jc w:val="both"/>
        <w:rPr>
          <w:rFonts w:ascii="Verdana" w:hAnsi="Verdana" w:cs="Arial"/>
          <w:sz w:val="16"/>
          <w:szCs w:val="16"/>
          <w:shd w:val="clear" w:color="auto" w:fill="FFFFFF"/>
        </w:rPr>
      </w:pPr>
      <w:r w:rsidRPr="00717C1B">
        <w:rPr>
          <w:rStyle w:val="Refdenotaalpie"/>
          <w:rFonts w:ascii="Verdana" w:hAnsi="Verdana" w:cs="Arial"/>
          <w:sz w:val="16"/>
          <w:szCs w:val="16"/>
        </w:rPr>
        <w:footnoteRef/>
      </w:r>
      <w:r w:rsidRPr="00717C1B">
        <w:rPr>
          <w:rFonts w:ascii="Verdana" w:hAnsi="Verdana" w:cs="Arial"/>
          <w:sz w:val="16"/>
          <w:szCs w:val="16"/>
        </w:rPr>
        <w:t xml:space="preserve"> Ley 1712 de 2014: “Artículo 9. </w:t>
      </w:r>
      <w:r w:rsidRPr="00717C1B">
        <w:rPr>
          <w:rFonts w:ascii="Verdana" w:hAnsi="Verdana" w:cs="Arial"/>
          <w:sz w:val="16"/>
          <w:szCs w:val="16"/>
          <w:shd w:val="clear" w:color="auto" w:fill="FFFFFF"/>
        </w:rPr>
        <w:t> </w:t>
      </w:r>
      <w:r w:rsidRPr="00717C1B">
        <w:rPr>
          <w:rStyle w:val="nfasis"/>
          <w:rFonts w:ascii="Verdana" w:hAnsi="Verdana" w:cs="Arial"/>
          <w:sz w:val="16"/>
          <w:szCs w:val="16"/>
          <w:shd w:val="clear" w:color="auto" w:fill="FFFFFF"/>
        </w:rPr>
        <w:t>Información mínima obligatoria respecto a la estructura del sujeto obligado. </w:t>
      </w:r>
      <w:r w:rsidRPr="00717C1B">
        <w:rPr>
          <w:rFonts w:ascii="Verdana" w:hAnsi="Verdana" w:cs="Arial"/>
          <w:sz w:val="16"/>
          <w:szCs w:val="16"/>
          <w:shd w:val="clear" w:color="auto" w:fill="FFFFFF"/>
        </w:rPr>
        <w:t>Todo sujeto obligado deberá publicar la siguiente información mínima obligatoria de manera proactiva en los sistemas de información del Estado o herramientas que lo sustituyan […] 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w:t>
      </w:r>
      <w:r w:rsidRPr="00717C1B">
        <w:rPr>
          <w:rFonts w:ascii="Verdana" w:hAnsi="Verdana" w:cs="Arial"/>
          <w:sz w:val="16"/>
          <w:szCs w:val="16"/>
        </w:rPr>
        <w:t xml:space="preserve"> </w:t>
      </w:r>
      <w:r w:rsidRPr="00717C1B">
        <w:rPr>
          <w:rFonts w:ascii="Verdana" w:hAnsi="Verdana" w:cs="Arial"/>
          <w:sz w:val="16"/>
          <w:szCs w:val="16"/>
          <w:shd w:val="clear" w:color="auto" w:fill="FFFFFF"/>
        </w:rPr>
        <w:t>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r w:rsidRPr="00717C1B">
        <w:rPr>
          <w:rFonts w:ascii="Verdana" w:hAnsi="Verdana" w:cs="Arial"/>
          <w:sz w:val="16"/>
          <w:szCs w:val="16"/>
        </w:rPr>
        <w:t>”.</w:t>
      </w:r>
    </w:p>
  </w:footnote>
  <w:footnote w:id="23">
    <w:p w14:paraId="0F83D37D" w14:textId="77777777" w:rsidR="0095364F" w:rsidRPr="00717C1B" w:rsidRDefault="0095364F" w:rsidP="003270AF">
      <w:pPr>
        <w:spacing w:after="0" w:line="240" w:lineRule="auto"/>
        <w:ind w:firstLine="709"/>
        <w:contextualSpacing/>
        <w:jc w:val="both"/>
        <w:rPr>
          <w:rFonts w:ascii="Verdana" w:hAnsi="Verdana" w:cs="Arial"/>
          <w:sz w:val="16"/>
          <w:szCs w:val="16"/>
        </w:rPr>
      </w:pPr>
    </w:p>
    <w:p w14:paraId="4F550ADF" w14:textId="77777777" w:rsidR="0095364F" w:rsidRPr="00717C1B" w:rsidRDefault="0095364F" w:rsidP="003270AF">
      <w:pPr>
        <w:spacing w:after="0" w:line="240" w:lineRule="auto"/>
        <w:ind w:firstLine="709"/>
        <w:contextualSpacing/>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Ley 1712 de 2014: “Artículo 5. Ámbito de aplicación. Las disposiciones de esta ley serán aplicables a las siguientes personas en calidad de sujetos obligados: a) Toda entidad pública, incluyendo las pertenecientes a todas las Ramas del Poder Público, en todos los niveles de la estructura estatal, central o descentralizada por servicios o territorialmente, en los órdenes nacional, departamental, municipal y distrital”.</w:t>
      </w:r>
    </w:p>
    <w:p w14:paraId="0C8EEA27" w14:textId="77777777" w:rsidR="0095364F" w:rsidRPr="00717C1B" w:rsidRDefault="0095364F" w:rsidP="003270AF">
      <w:pPr>
        <w:pStyle w:val="Textonotapie"/>
        <w:ind w:firstLine="709"/>
        <w:contextualSpacing/>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B555132"/>
    <w:multiLevelType w:val="hybridMultilevel"/>
    <w:tmpl w:val="1A3A8EE8"/>
    <w:lvl w:ilvl="0" w:tplc="00DE7EA6">
      <w:start w:val="1"/>
      <w:numFmt w:val="lowerRoman"/>
      <w:lvlText w:val="%1."/>
      <w:lvlJc w:val="left"/>
      <w:pPr>
        <w:ind w:left="1080" w:hanging="72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5"/>
  </w:num>
  <w:num w:numId="8">
    <w:abstractNumId w:val="13"/>
  </w:num>
  <w:num w:numId="9">
    <w:abstractNumId w:val="7"/>
  </w:num>
  <w:num w:numId="10">
    <w:abstractNumId w:val="12"/>
  </w:num>
  <w:num w:numId="11">
    <w:abstractNumId w:val="8"/>
  </w:num>
  <w:num w:numId="12">
    <w:abstractNumId w:val="1"/>
  </w:num>
  <w:num w:numId="13">
    <w:abstractNumId w:val="3"/>
  </w:num>
  <w:num w:numId="14">
    <w:abstractNumId w:val="15"/>
  </w:num>
  <w:num w:numId="15">
    <w:abstractNumId w:val="11"/>
  </w:num>
  <w:num w:numId="16">
    <w:abstractNumId w:val="0"/>
  </w:num>
  <w:num w:numId="17">
    <w:abstractNumId w:val="9"/>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BB2"/>
    <w:rsid w:val="00016F78"/>
    <w:rsid w:val="00046945"/>
    <w:rsid w:val="00061B2A"/>
    <w:rsid w:val="00082362"/>
    <w:rsid w:val="000A44B8"/>
    <w:rsid w:val="000A683E"/>
    <w:rsid w:val="000B19B9"/>
    <w:rsid w:val="000D0334"/>
    <w:rsid w:val="000F6486"/>
    <w:rsid w:val="001201A5"/>
    <w:rsid w:val="00125105"/>
    <w:rsid w:val="00127233"/>
    <w:rsid w:val="00135062"/>
    <w:rsid w:val="001A0E04"/>
    <w:rsid w:val="001C656C"/>
    <w:rsid w:val="001E4177"/>
    <w:rsid w:val="001F7DC6"/>
    <w:rsid w:val="00220F65"/>
    <w:rsid w:val="002421BB"/>
    <w:rsid w:val="0025796E"/>
    <w:rsid w:val="002707A2"/>
    <w:rsid w:val="002951A0"/>
    <w:rsid w:val="002962BC"/>
    <w:rsid w:val="002A093D"/>
    <w:rsid w:val="002A0DD0"/>
    <w:rsid w:val="002A49AC"/>
    <w:rsid w:val="002A64FD"/>
    <w:rsid w:val="002B3A93"/>
    <w:rsid w:val="002C7A84"/>
    <w:rsid w:val="002D7AB6"/>
    <w:rsid w:val="002E4FD9"/>
    <w:rsid w:val="00322A85"/>
    <w:rsid w:val="00324168"/>
    <w:rsid w:val="003270AF"/>
    <w:rsid w:val="003448F4"/>
    <w:rsid w:val="003725AE"/>
    <w:rsid w:val="003730EF"/>
    <w:rsid w:val="00374F5E"/>
    <w:rsid w:val="00377E3E"/>
    <w:rsid w:val="0039554E"/>
    <w:rsid w:val="003A779E"/>
    <w:rsid w:val="003C49B3"/>
    <w:rsid w:val="003D0F4D"/>
    <w:rsid w:val="003D5B0D"/>
    <w:rsid w:val="003E0499"/>
    <w:rsid w:val="003E47AF"/>
    <w:rsid w:val="003F3941"/>
    <w:rsid w:val="00406575"/>
    <w:rsid w:val="00414C74"/>
    <w:rsid w:val="0042722E"/>
    <w:rsid w:val="004302A2"/>
    <w:rsid w:val="0044528D"/>
    <w:rsid w:val="004A1847"/>
    <w:rsid w:val="004A305D"/>
    <w:rsid w:val="004A36B6"/>
    <w:rsid w:val="004F21C4"/>
    <w:rsid w:val="004F685F"/>
    <w:rsid w:val="005008A3"/>
    <w:rsid w:val="005566E8"/>
    <w:rsid w:val="00574867"/>
    <w:rsid w:val="00591460"/>
    <w:rsid w:val="005A04B2"/>
    <w:rsid w:val="005C3777"/>
    <w:rsid w:val="005C5CDC"/>
    <w:rsid w:val="005D476C"/>
    <w:rsid w:val="006048E6"/>
    <w:rsid w:val="006219F8"/>
    <w:rsid w:val="006302F7"/>
    <w:rsid w:val="00651033"/>
    <w:rsid w:val="00665D70"/>
    <w:rsid w:val="00671735"/>
    <w:rsid w:val="00673E14"/>
    <w:rsid w:val="006900D9"/>
    <w:rsid w:val="00696AAE"/>
    <w:rsid w:val="006A760C"/>
    <w:rsid w:val="006B2EB6"/>
    <w:rsid w:val="006D479F"/>
    <w:rsid w:val="006F13D0"/>
    <w:rsid w:val="00706C16"/>
    <w:rsid w:val="00717C1B"/>
    <w:rsid w:val="00756841"/>
    <w:rsid w:val="007649AB"/>
    <w:rsid w:val="00771D0C"/>
    <w:rsid w:val="0078150D"/>
    <w:rsid w:val="0078329E"/>
    <w:rsid w:val="007833AC"/>
    <w:rsid w:val="007A339B"/>
    <w:rsid w:val="007A41BF"/>
    <w:rsid w:val="007B268C"/>
    <w:rsid w:val="007B7171"/>
    <w:rsid w:val="007C0C0F"/>
    <w:rsid w:val="007C3DC2"/>
    <w:rsid w:val="007D5627"/>
    <w:rsid w:val="007E5497"/>
    <w:rsid w:val="00806F5F"/>
    <w:rsid w:val="00820278"/>
    <w:rsid w:val="00850C6F"/>
    <w:rsid w:val="00867F95"/>
    <w:rsid w:val="008843B6"/>
    <w:rsid w:val="00891928"/>
    <w:rsid w:val="008936E9"/>
    <w:rsid w:val="00897A3A"/>
    <w:rsid w:val="008A446D"/>
    <w:rsid w:val="008D180B"/>
    <w:rsid w:val="008D5ECF"/>
    <w:rsid w:val="008F0EA7"/>
    <w:rsid w:val="00923EEF"/>
    <w:rsid w:val="009419F9"/>
    <w:rsid w:val="0095364F"/>
    <w:rsid w:val="0095685E"/>
    <w:rsid w:val="00957551"/>
    <w:rsid w:val="00961B09"/>
    <w:rsid w:val="00965334"/>
    <w:rsid w:val="0097093E"/>
    <w:rsid w:val="00996B9B"/>
    <w:rsid w:val="00997AB2"/>
    <w:rsid w:val="009A0DFA"/>
    <w:rsid w:val="009B25A8"/>
    <w:rsid w:val="009B2D26"/>
    <w:rsid w:val="009B78E9"/>
    <w:rsid w:val="009C71FA"/>
    <w:rsid w:val="009C72E7"/>
    <w:rsid w:val="009D3058"/>
    <w:rsid w:val="009D3711"/>
    <w:rsid w:val="009F3A13"/>
    <w:rsid w:val="00A122D3"/>
    <w:rsid w:val="00A17F13"/>
    <w:rsid w:val="00A20739"/>
    <w:rsid w:val="00A22BC0"/>
    <w:rsid w:val="00A318EE"/>
    <w:rsid w:val="00A33C78"/>
    <w:rsid w:val="00AB0ADB"/>
    <w:rsid w:val="00AD4D42"/>
    <w:rsid w:val="00B00C0E"/>
    <w:rsid w:val="00B01B1A"/>
    <w:rsid w:val="00B44A47"/>
    <w:rsid w:val="00B72CD3"/>
    <w:rsid w:val="00B72FFF"/>
    <w:rsid w:val="00BA33CD"/>
    <w:rsid w:val="00BC3A87"/>
    <w:rsid w:val="00BC3D36"/>
    <w:rsid w:val="00BD7F72"/>
    <w:rsid w:val="00BF40AE"/>
    <w:rsid w:val="00C04FB3"/>
    <w:rsid w:val="00C330EB"/>
    <w:rsid w:val="00C729B9"/>
    <w:rsid w:val="00C754BE"/>
    <w:rsid w:val="00C76B1C"/>
    <w:rsid w:val="00CA6EE8"/>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1EF"/>
    <w:rsid w:val="00E90F6B"/>
    <w:rsid w:val="00E92C27"/>
    <w:rsid w:val="00EA0E3D"/>
    <w:rsid w:val="00EC197C"/>
    <w:rsid w:val="00EC38A7"/>
    <w:rsid w:val="00EE1AA8"/>
    <w:rsid w:val="00F2789C"/>
    <w:rsid w:val="00F31EDC"/>
    <w:rsid w:val="00F462B3"/>
    <w:rsid w:val="00F5664F"/>
    <w:rsid w:val="00F666C4"/>
    <w:rsid w:val="00F76AFC"/>
    <w:rsid w:val="00FA47C0"/>
    <w:rsid w:val="00FA65E7"/>
    <w:rsid w:val="00FB5DD1"/>
    <w:rsid w:val="00FC2B5D"/>
    <w:rsid w:val="00FF0700"/>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D4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364F"/>
    <w:rPr>
      <w:rFonts w:ascii="Geomanist Light" w:hAnsi="Geomanist Light"/>
      <w:lang w:val="es-ES"/>
    </w:rPr>
  </w:style>
  <w:style w:type="paragraph" w:customStyle="1" w:styleId="Appelnotedebasde">
    <w:name w:val="Appel note de bas de..."/>
    <w:basedOn w:val="Normal"/>
    <w:link w:val="Refdenotaalpie"/>
    <w:uiPriority w:val="99"/>
    <w:rsid w:val="0095364F"/>
    <w:pPr>
      <w:spacing w:line="240" w:lineRule="exact"/>
    </w:pPr>
    <w:rPr>
      <w:vertAlign w:val="superscript"/>
    </w:rPr>
  </w:style>
  <w:style w:type="paragraph" w:styleId="Textoindependiente">
    <w:name w:val="Body Text"/>
    <w:basedOn w:val="Normal"/>
    <w:link w:val="TextoindependienteCar"/>
    <w:uiPriority w:val="1"/>
    <w:qFormat/>
    <w:rsid w:val="0095364F"/>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95364F"/>
    <w:rPr>
      <w:rFonts w:ascii="Arial" w:eastAsia="Arial" w:hAnsi="Arial" w:cs="Arial"/>
      <w:lang w:val="es-ES"/>
    </w:rPr>
  </w:style>
  <w:style w:type="character" w:styleId="nfasis">
    <w:name w:val="Emphasis"/>
    <w:basedOn w:val="Fuentedeprrafopredeter"/>
    <w:uiPriority w:val="20"/>
    <w:qFormat/>
    <w:rsid w:val="0095364F"/>
    <w:rPr>
      <w:i/>
      <w:iCs/>
    </w:rPr>
  </w:style>
  <w:style w:type="character" w:customStyle="1" w:styleId="baj">
    <w:name w:val="b_aj"/>
    <w:basedOn w:val="Fuentedeprrafopredeter"/>
    <w:rsid w:val="009536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4/08/cce-eicp-gi-23_guia_contratacion_prestacion_de_servicios_v1_11-07-2023_def_1_1.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tinezadriana@javeriana.edu.co"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BBD57B-437E-4EB3-8C2A-D1E29982DE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21</Pages>
  <Words>6563</Words>
  <Characters>36099</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7</cp:revision>
  <cp:lastPrinted>2023-01-10T21:18:00Z</cp:lastPrinted>
  <dcterms:created xsi:type="dcterms:W3CDTF">2025-10-02T14:36:00Z</dcterms:created>
  <dcterms:modified xsi:type="dcterms:W3CDTF">2025-11-07T19:56:00Z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