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F329D" w14:textId="77777777" w:rsidR="00F369C1" w:rsidRPr="005F7212" w:rsidRDefault="00F369C1" w:rsidP="00F369C1">
      <w:pPr>
        <w:jc w:val="both"/>
        <w:rPr>
          <w:rFonts w:ascii="Verdana" w:eastAsia="Calibri" w:hAnsi="Verdana" w:cs="Arial"/>
          <w:b/>
          <w:bCs/>
          <w:lang w:val="es-ES" w:eastAsia="es-ES"/>
        </w:rPr>
      </w:pPr>
      <w:bookmarkStart w:id="0" w:name="_Hlk210162397"/>
      <w:bookmarkStart w:id="1" w:name="_Hlk143780582"/>
      <w:bookmarkEnd w:id="0"/>
      <w:r w:rsidRPr="005F7212">
        <w:rPr>
          <w:rFonts w:ascii="Verdana" w:eastAsia="Calibri" w:hAnsi="Verdana" w:cs="Arial"/>
          <w:b/>
          <w:bCs/>
          <w:lang w:val="es-ES" w:eastAsia="es-ES"/>
        </w:rPr>
        <w:t xml:space="preserve">CENSURA – Ley 1123 de 2007 </w:t>
      </w:r>
    </w:p>
    <w:p w14:paraId="6D155D51" w14:textId="77777777" w:rsidR="00F369C1" w:rsidRPr="005F7212" w:rsidRDefault="00F369C1" w:rsidP="00F369C1">
      <w:pPr>
        <w:widowControl w:val="0"/>
        <w:autoSpaceDE w:val="0"/>
        <w:autoSpaceDN w:val="0"/>
        <w:spacing w:after="120" w:line="276" w:lineRule="auto"/>
        <w:jc w:val="both"/>
        <w:rPr>
          <w:rFonts w:ascii="Verdana" w:eastAsia="Calibri" w:hAnsi="Verdana" w:cs="Arial"/>
          <w:sz w:val="20"/>
          <w:szCs w:val="20"/>
          <w:lang w:eastAsia="es-ES"/>
        </w:rPr>
      </w:pPr>
      <w:r w:rsidRPr="005F7212">
        <w:rPr>
          <w:rFonts w:ascii="Verdana" w:hAnsi="Verdana" w:cs="Arial"/>
          <w:sz w:val="20"/>
          <w:szCs w:val="20"/>
        </w:rPr>
        <w:t xml:space="preserve">[…] se encuentra que la censura es una sanción disciplinaria a las faltas disciplinarias imputables a los abogados cuya lesividad es de menor entidad. Ahora bien, la misma corresponde a la reprobación pública del abogado por la falta cometida y como puede observarse en la norma, esta no implica la suspensión o prohibición del ejercicio de la profesión. </w:t>
      </w:r>
      <w:r w:rsidRPr="005F7212">
        <w:rPr>
          <w:rFonts w:ascii="Verdana" w:eastAsia="Calibri" w:hAnsi="Verdana" w:cs="Arial"/>
          <w:sz w:val="20"/>
          <w:szCs w:val="20"/>
          <w:lang w:eastAsia="es-ES"/>
        </w:rPr>
        <w:t>Con respecto a esta sanción el numeral 2) del literal b) del artículo 45 ibídem, contempla como circunstancia de atenuación el haber procurado, por iniciativa propia, resarcir el daño o compensar el perjuicio causado. La concurrencia de tal circunstancia implica que la sanción aplicable sea siempre la censura, con la condición que el investigado carezca de antecedentes disciplinarios.</w:t>
      </w:r>
    </w:p>
    <w:p w14:paraId="67A9D3AD" w14:textId="77777777" w:rsidR="00F369C1" w:rsidRPr="005F7212" w:rsidRDefault="00F369C1" w:rsidP="00F369C1">
      <w:pPr>
        <w:jc w:val="both"/>
        <w:rPr>
          <w:rFonts w:ascii="Verdana" w:eastAsia="Calibri" w:hAnsi="Verdana" w:cs="Arial"/>
          <w:b/>
          <w:bCs/>
          <w:lang w:val="es-ES" w:eastAsia="es-ES"/>
        </w:rPr>
      </w:pPr>
      <w:r w:rsidRPr="005F7212">
        <w:rPr>
          <w:rFonts w:ascii="Verdana" w:eastAsia="Calibri" w:hAnsi="Verdana" w:cs="Arial"/>
          <w:b/>
          <w:bCs/>
          <w:lang w:val="es-ES" w:eastAsia="es-ES"/>
        </w:rPr>
        <w:t xml:space="preserve">RÉGIMEN DE INHABILIDADES E INCOMPATIBILIDADES – Concepto – Interpretación Restrictiva </w:t>
      </w:r>
    </w:p>
    <w:p w14:paraId="792A795F" w14:textId="77777777" w:rsidR="00F369C1" w:rsidRPr="005F7212" w:rsidRDefault="00F369C1" w:rsidP="00F369C1">
      <w:pPr>
        <w:jc w:val="both"/>
        <w:rPr>
          <w:rFonts w:ascii="Verdana" w:eastAsia="Calibri" w:hAnsi="Verdana" w:cs="Arial"/>
          <w:sz w:val="20"/>
          <w:szCs w:val="20"/>
          <w:lang w:val="es-ES"/>
        </w:rPr>
      </w:pPr>
      <w:r w:rsidRPr="005F7212">
        <w:rPr>
          <w:rFonts w:ascii="Verdana" w:eastAsia="Calibri" w:hAnsi="Verdana" w:cs="Arial"/>
          <w:sz w:val="20"/>
          <w:szCs w:val="20"/>
          <w:lang w:val="es-ES"/>
        </w:rPr>
        <w:t>Debido a las restricciones que impone el régimen de inhabilidades e incompatibilidades, este se tipifica en la Ley expresamente y su interpretación debe ser restrictiva. Es decir, las causales de inhabilidad e impedimentos deben estar enunciadas en las normas de forma taxativa y al aplicarse en una situación particular su interpretación debe ser restrictiva, de tal forma que no se admita una interpretación amplia o extensiva que permitiera contemplar supuestos indeterminados como causales de inhabilidad o impedimentos. Por lo que, la interpretación de los efectos de la suspensión o exclusión del ejercicio de la profesión no puede hacerse extensiva a otras sanciones que no estén expresamente establecidas en la norma.</w:t>
      </w:r>
    </w:p>
    <w:p w14:paraId="6D7F366F" w14:textId="77777777" w:rsidR="00F369C1" w:rsidRPr="005F7212" w:rsidRDefault="00F369C1" w:rsidP="00F369C1">
      <w:pPr>
        <w:jc w:val="both"/>
        <w:rPr>
          <w:rFonts w:ascii="Verdana" w:eastAsia="Calibri" w:hAnsi="Verdana" w:cs="Arial"/>
          <w:b/>
          <w:bCs/>
          <w:lang w:val="es-ES" w:eastAsia="es-ES"/>
        </w:rPr>
      </w:pPr>
      <w:r w:rsidRPr="005F7212">
        <w:rPr>
          <w:rFonts w:ascii="Verdana" w:eastAsia="Calibri" w:hAnsi="Verdana" w:cs="Arial"/>
          <w:b/>
          <w:bCs/>
          <w:lang w:val="es-ES" w:eastAsia="es-ES"/>
        </w:rPr>
        <w:t>CONTRATO DE PRESTACIÓN DE SERVICIOS – Verificación idoneidad – Sanciones disciplinarias</w:t>
      </w:r>
    </w:p>
    <w:p w14:paraId="44582328" w14:textId="77777777" w:rsidR="00F369C1" w:rsidRPr="005F7212" w:rsidRDefault="00F369C1" w:rsidP="00F369C1">
      <w:pPr>
        <w:spacing w:after="0" w:line="240" w:lineRule="auto"/>
        <w:jc w:val="both"/>
        <w:rPr>
          <w:rFonts w:ascii="Verdana" w:hAnsi="Verdana"/>
        </w:rPr>
      </w:pPr>
      <w:r w:rsidRPr="005F7212">
        <w:rPr>
          <w:rFonts w:ascii="Verdana" w:hAnsi="Verdana" w:cs="Arial"/>
        </w:rPr>
        <w:t xml:space="preserve">[…] </w:t>
      </w:r>
      <w:r w:rsidRPr="005F7212">
        <w:rPr>
          <w:rFonts w:ascii="Verdana" w:hAnsi="Verdana" w:cs="Arial"/>
          <w:sz w:val="20"/>
          <w:szCs w:val="20"/>
        </w:rPr>
        <w:t xml:space="preserve">Una vez establecidos los requisitos habilitantes y las demás características de la contratación en los documentos previos, a cada entidad estatal le corresponde </w:t>
      </w:r>
      <w:r w:rsidRPr="005F7212">
        <w:rPr>
          <w:rFonts w:ascii="Verdana" w:hAnsi="Verdana" w:cs="Arial"/>
          <w:sz w:val="20"/>
          <w:szCs w:val="20"/>
          <w:lang w:val="es-ES"/>
        </w:rPr>
        <w:t>verificar la idoneidad de las personas que pretendan celebrar contratos de prestación de servicios profesionales, de acuerdo con las características, el alcance del objeto del contrato y el perfil establecido. […]</w:t>
      </w:r>
    </w:p>
    <w:p w14:paraId="04497F7D" w14:textId="77777777" w:rsidR="00F369C1" w:rsidRPr="005F7212" w:rsidRDefault="00F369C1" w:rsidP="00F369C1">
      <w:pPr>
        <w:spacing w:after="0" w:line="240" w:lineRule="auto"/>
        <w:rPr>
          <w:rFonts w:ascii="Verdana" w:hAnsi="Verdana"/>
        </w:rPr>
      </w:pPr>
    </w:p>
    <w:p w14:paraId="12AC9C9B" w14:textId="77777777" w:rsidR="00F369C1" w:rsidRPr="005F7212" w:rsidRDefault="00F369C1" w:rsidP="00F369C1">
      <w:pPr>
        <w:spacing w:after="0" w:line="240" w:lineRule="auto"/>
        <w:rPr>
          <w:rFonts w:ascii="Verdana" w:hAnsi="Verdana"/>
        </w:rPr>
      </w:pPr>
    </w:p>
    <w:p w14:paraId="030090A6" w14:textId="77777777" w:rsidR="00F369C1" w:rsidRPr="005F7212" w:rsidRDefault="00F369C1" w:rsidP="00F369C1">
      <w:pPr>
        <w:spacing w:after="0" w:line="240" w:lineRule="auto"/>
        <w:rPr>
          <w:rFonts w:ascii="Verdana" w:hAnsi="Verdana"/>
        </w:rPr>
      </w:pPr>
    </w:p>
    <w:p w14:paraId="47B9D578" w14:textId="77777777" w:rsidR="00F369C1" w:rsidRPr="005F7212" w:rsidRDefault="00F369C1" w:rsidP="00F369C1">
      <w:pPr>
        <w:spacing w:after="0" w:line="240" w:lineRule="auto"/>
        <w:rPr>
          <w:rFonts w:ascii="Verdana" w:hAnsi="Verdana"/>
        </w:rPr>
      </w:pPr>
    </w:p>
    <w:p w14:paraId="3F3F3A08" w14:textId="77777777" w:rsidR="00F369C1" w:rsidRPr="005F7212" w:rsidRDefault="00F369C1" w:rsidP="00F369C1">
      <w:pPr>
        <w:spacing w:after="0" w:line="240" w:lineRule="auto"/>
        <w:rPr>
          <w:rFonts w:ascii="Verdana" w:hAnsi="Verdana"/>
        </w:rPr>
      </w:pPr>
    </w:p>
    <w:p w14:paraId="77A222CA" w14:textId="77777777" w:rsidR="00F369C1" w:rsidRPr="005F7212" w:rsidRDefault="00F369C1" w:rsidP="00F369C1">
      <w:pPr>
        <w:spacing w:after="0" w:line="240" w:lineRule="auto"/>
        <w:rPr>
          <w:rFonts w:ascii="Verdana" w:hAnsi="Verdana"/>
        </w:rPr>
      </w:pPr>
    </w:p>
    <w:p w14:paraId="221D9014" w14:textId="77777777" w:rsidR="00F369C1" w:rsidRPr="005F7212" w:rsidRDefault="00F369C1" w:rsidP="00F369C1">
      <w:pPr>
        <w:spacing w:after="0" w:line="240" w:lineRule="auto"/>
        <w:rPr>
          <w:rFonts w:ascii="Verdana" w:hAnsi="Verdana"/>
        </w:rPr>
      </w:pPr>
    </w:p>
    <w:p w14:paraId="632D09EF" w14:textId="77777777" w:rsidR="00F369C1" w:rsidRPr="005F7212" w:rsidRDefault="00F369C1" w:rsidP="00F369C1">
      <w:pPr>
        <w:spacing w:after="0" w:line="240" w:lineRule="auto"/>
        <w:rPr>
          <w:rFonts w:ascii="Verdana" w:hAnsi="Verdana"/>
        </w:rPr>
      </w:pPr>
    </w:p>
    <w:p w14:paraId="51E2F847" w14:textId="77777777" w:rsidR="00F369C1" w:rsidRPr="005F7212" w:rsidRDefault="00F369C1" w:rsidP="00F369C1">
      <w:pPr>
        <w:spacing w:after="0" w:line="240" w:lineRule="auto"/>
        <w:rPr>
          <w:rFonts w:ascii="Verdana" w:hAnsi="Verdana"/>
        </w:rPr>
      </w:pPr>
    </w:p>
    <w:p w14:paraId="0B5BAF90" w14:textId="77777777" w:rsidR="00F369C1" w:rsidRPr="005F7212" w:rsidRDefault="00F369C1" w:rsidP="00F369C1">
      <w:pPr>
        <w:spacing w:after="0" w:line="240" w:lineRule="auto"/>
        <w:rPr>
          <w:rFonts w:ascii="Verdana" w:hAnsi="Verdana"/>
        </w:rPr>
      </w:pPr>
    </w:p>
    <w:p w14:paraId="576ACCC7" w14:textId="77777777" w:rsidR="00F369C1" w:rsidRPr="005F7212" w:rsidRDefault="00F369C1" w:rsidP="00F369C1">
      <w:pPr>
        <w:spacing w:after="0" w:line="240" w:lineRule="auto"/>
        <w:rPr>
          <w:rFonts w:ascii="Verdana" w:hAnsi="Verdana"/>
        </w:rPr>
      </w:pPr>
    </w:p>
    <w:p w14:paraId="373EC13D" w14:textId="77777777" w:rsidR="00F369C1" w:rsidRPr="005F7212" w:rsidRDefault="00F369C1" w:rsidP="00F369C1">
      <w:pPr>
        <w:spacing w:after="0" w:line="240" w:lineRule="auto"/>
        <w:rPr>
          <w:rFonts w:ascii="Verdana" w:hAnsi="Verdana"/>
        </w:rPr>
      </w:pPr>
    </w:p>
    <w:p w14:paraId="59380514" w14:textId="77777777" w:rsidR="00F369C1" w:rsidRDefault="00F369C1" w:rsidP="00E245AB">
      <w:pPr>
        <w:spacing w:after="0"/>
        <w:rPr>
          <w:rFonts w:ascii="Verdana" w:hAnsi="Verdana"/>
        </w:rPr>
      </w:pPr>
    </w:p>
    <w:p w14:paraId="6EFD50BC" w14:textId="77777777" w:rsidR="00F369C1" w:rsidRDefault="00F369C1" w:rsidP="00E245AB">
      <w:pPr>
        <w:spacing w:after="0"/>
        <w:rPr>
          <w:rFonts w:ascii="Verdana" w:hAnsi="Verdana"/>
        </w:rPr>
      </w:pPr>
    </w:p>
    <w:p w14:paraId="3FE2184B" w14:textId="6E197243" w:rsidR="00E245AB" w:rsidRPr="0044528D" w:rsidRDefault="00897A3A" w:rsidP="00E245AB">
      <w:pPr>
        <w:spacing w:after="0"/>
        <w:rPr>
          <w:rFonts w:ascii="Verdana" w:hAnsi="Verdana"/>
        </w:rPr>
      </w:pPr>
      <w:r w:rsidRPr="0044528D">
        <w:rPr>
          <w:rFonts w:ascii="Verdana" w:hAnsi="Verdana"/>
        </w:rPr>
        <w:t xml:space="preserve">Bogotá D.C., </w:t>
      </w:r>
      <w:r w:rsidR="00160A91">
        <w:rPr>
          <w:rFonts w:ascii="Verdana" w:hAnsi="Verdana"/>
        </w:rPr>
        <w:t>2 de octubre de 2025</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p w14:paraId="45E41AC9" w14:textId="77777777" w:rsidR="002511E2" w:rsidRPr="005F7212" w:rsidRDefault="002511E2" w:rsidP="002511E2">
      <w:pPr>
        <w:spacing w:after="0" w:line="240" w:lineRule="auto"/>
        <w:rPr>
          <w:rFonts w:ascii="Verdana" w:eastAsia="Calibri" w:hAnsi="Verdana" w:cs="Times New Roman"/>
          <w:lang w:val="es-MX"/>
        </w:rPr>
      </w:pPr>
      <w:r w:rsidRPr="005F7212">
        <w:rPr>
          <w:rFonts w:ascii="Verdana" w:eastAsia="Calibri" w:hAnsi="Verdana" w:cs="Times New Roman"/>
          <w:lang w:val="es-MX"/>
        </w:rPr>
        <w:t>Señor</w:t>
      </w:r>
    </w:p>
    <w:p w14:paraId="5AE4769F" w14:textId="77777777" w:rsidR="002511E2" w:rsidRPr="005F7212" w:rsidRDefault="002511E2" w:rsidP="002511E2">
      <w:pPr>
        <w:spacing w:after="0" w:line="240" w:lineRule="auto"/>
        <w:rPr>
          <w:rFonts w:ascii="Verdana" w:eastAsia="Calibri" w:hAnsi="Verdana" w:cs="Times New Roman"/>
          <w:b/>
          <w:bCs/>
          <w:lang w:val="es-MX"/>
        </w:rPr>
      </w:pPr>
      <w:r w:rsidRPr="005F7212">
        <w:rPr>
          <w:rFonts w:ascii="Verdana" w:eastAsia="Calibri" w:hAnsi="Verdana" w:cs="Times New Roman"/>
          <w:b/>
          <w:bCs/>
          <w:lang w:val="es-MX"/>
        </w:rPr>
        <w:t>Juan Pablo Reyes González</w:t>
      </w:r>
    </w:p>
    <w:p w14:paraId="73DA29F2" w14:textId="35DFA543" w:rsidR="006069FA" w:rsidRPr="000A00CE" w:rsidRDefault="006069FA" w:rsidP="002511E2">
      <w:pPr>
        <w:spacing w:after="0" w:line="240" w:lineRule="auto"/>
        <w:rPr>
          <w:rFonts w:ascii="Verdana" w:eastAsia="Calibri" w:hAnsi="Verdana" w:cs="Times New Roman"/>
          <w:lang w:val="es-MX"/>
        </w:rPr>
      </w:pPr>
      <w:r w:rsidRPr="000A00CE">
        <w:rPr>
          <w:rFonts w:ascii="Verdana" w:eastAsia="Calibri" w:hAnsi="Verdana" w:cs="Times New Roman"/>
          <w:lang w:val="es-MX"/>
        </w:rPr>
        <w:t>Gerente de Asuntos Contractuales</w:t>
      </w:r>
      <w:r w:rsidRPr="000A00CE">
        <w:rPr>
          <w:rFonts w:ascii="Verdana" w:eastAsia="Calibri" w:hAnsi="Verdana" w:cs="Times New Roman"/>
          <w:lang w:val="es-MX"/>
        </w:rPr>
        <w:cr/>
        <w:t>Secretaría Juridica</w:t>
      </w:r>
    </w:p>
    <w:p w14:paraId="6A9149A4" w14:textId="6B8D85D2" w:rsidR="006069FA" w:rsidRPr="005F7212" w:rsidRDefault="006069FA" w:rsidP="002511E2">
      <w:pPr>
        <w:spacing w:after="0" w:line="240" w:lineRule="auto"/>
        <w:rPr>
          <w:rFonts w:ascii="Verdana" w:eastAsia="Calibri" w:hAnsi="Verdana" w:cs="Times New Roman"/>
          <w:b/>
          <w:bCs/>
          <w:lang w:val="es-MX"/>
        </w:rPr>
      </w:pPr>
      <w:r>
        <w:rPr>
          <w:rFonts w:ascii="Verdana" w:eastAsia="Calibri" w:hAnsi="Verdana" w:cs="Times New Roman"/>
          <w:b/>
          <w:bCs/>
          <w:lang w:val="es-MX"/>
        </w:rPr>
        <w:t>Gobernación de</w:t>
      </w:r>
      <w:r w:rsidR="001A6642">
        <w:rPr>
          <w:rFonts w:ascii="Verdana" w:eastAsia="Calibri" w:hAnsi="Verdana" w:cs="Times New Roman"/>
          <w:b/>
          <w:bCs/>
          <w:lang w:val="es-MX"/>
        </w:rPr>
        <w:t>l Meta</w:t>
      </w:r>
    </w:p>
    <w:p w14:paraId="09A7974B" w14:textId="77777777" w:rsidR="002511E2" w:rsidRPr="005F7212" w:rsidRDefault="002511E2" w:rsidP="002511E2">
      <w:pPr>
        <w:spacing w:after="0" w:line="240" w:lineRule="auto"/>
        <w:rPr>
          <w:rFonts w:ascii="Verdana" w:eastAsia="Calibri" w:hAnsi="Verdana" w:cs="Times New Roman"/>
          <w:lang w:val="es-MX"/>
        </w:rPr>
      </w:pPr>
      <w:hyperlink r:id="rId10" w:history="1">
        <w:r w:rsidRPr="005F7212">
          <w:rPr>
            <w:rFonts w:ascii="Verdana" w:eastAsia="Calibri" w:hAnsi="Verdana" w:cs="Times New Roman"/>
            <w:u w:val="single"/>
            <w:lang w:val="es-MX"/>
          </w:rPr>
          <w:t>ylopezm@meta.gov.c</w:t>
        </w:r>
        <w:r w:rsidRPr="005F7212">
          <w:rPr>
            <w:rFonts w:ascii="Verdana" w:eastAsia="Calibri" w:hAnsi="Verdana" w:cs="Times New Roman"/>
            <w:lang w:val="es-MX"/>
          </w:rPr>
          <w:t>o</w:t>
        </w:r>
      </w:hyperlink>
    </w:p>
    <w:p w14:paraId="7D63D070" w14:textId="77777777" w:rsidR="002511E2" w:rsidRPr="005F7212" w:rsidRDefault="002511E2" w:rsidP="002511E2">
      <w:pPr>
        <w:spacing w:after="0" w:line="240" w:lineRule="auto"/>
        <w:rPr>
          <w:rFonts w:ascii="Verdana" w:eastAsia="Calibri" w:hAnsi="Verdana" w:cs="Times New Roman"/>
          <w:lang w:val="es-MX"/>
        </w:rPr>
      </w:pPr>
      <w:r w:rsidRPr="005F7212">
        <w:rPr>
          <w:rFonts w:ascii="Verdana" w:eastAsia="Calibri" w:hAnsi="Verdana" w:cs="Times New Roman"/>
          <w:lang w:val="es-MX"/>
        </w:rPr>
        <w:t>Bogotá D.C.</w:t>
      </w:r>
    </w:p>
    <w:p w14:paraId="794061BA" w14:textId="77777777" w:rsidR="002511E2" w:rsidRPr="005F7212" w:rsidRDefault="002511E2" w:rsidP="002511E2">
      <w:pPr>
        <w:spacing w:after="0" w:line="240" w:lineRule="auto"/>
        <w:rPr>
          <w:rFonts w:ascii="Verdana" w:eastAsia="Calibri" w:hAnsi="Verdana" w:cs="Arial"/>
          <w:b/>
          <w:bCs/>
          <w:color w:val="000000"/>
          <w:lang w:val="es-ES_tradnl" w:eastAsia="es-ES_tradnl"/>
        </w:rPr>
      </w:pPr>
    </w:p>
    <w:p w14:paraId="35F22551" w14:textId="0A29F1D1" w:rsidR="002511E2" w:rsidRPr="005F7212" w:rsidRDefault="00940118" w:rsidP="00940118">
      <w:pPr>
        <w:spacing w:after="0" w:line="240" w:lineRule="auto"/>
        <w:jc w:val="right"/>
        <w:rPr>
          <w:rFonts w:ascii="Verdana" w:eastAsia="Calibri" w:hAnsi="Verdana" w:cs="Arial"/>
          <w:b/>
          <w:bCs/>
          <w:color w:val="000000"/>
          <w:lang w:val="es-ES_tradnl" w:eastAsia="es-ES_tradnl"/>
        </w:rPr>
      </w:pPr>
      <w:r w:rsidRPr="00940118">
        <w:rPr>
          <w:rFonts w:ascii="Verdana" w:eastAsia="Calibri" w:hAnsi="Verdana" w:cs="Arial"/>
          <w:b/>
          <w:bCs/>
          <w:color w:val="000000"/>
          <w:lang w:val="es-ES_tradnl" w:eastAsia="es-ES_tradnl"/>
        </w:rPr>
        <w:drawing>
          <wp:inline distT="0" distB="0" distL="0" distR="0" wp14:anchorId="062E890A" wp14:editId="424BFB41">
            <wp:extent cx="2606266" cy="960203"/>
            <wp:effectExtent l="0" t="0" r="3810" b="0"/>
            <wp:docPr id="36583695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836950" name=""/>
                    <pic:cNvPicPr/>
                  </pic:nvPicPr>
                  <pic:blipFill>
                    <a:blip r:embed="rId11"/>
                    <a:stretch>
                      <a:fillRect/>
                    </a:stretch>
                  </pic:blipFill>
                  <pic:spPr>
                    <a:xfrm>
                      <a:off x="0" y="0"/>
                      <a:ext cx="2606266" cy="960203"/>
                    </a:xfrm>
                    <a:prstGeom prst="rect">
                      <a:avLst/>
                    </a:prstGeom>
                  </pic:spPr>
                </pic:pic>
              </a:graphicData>
            </a:graphic>
          </wp:inline>
        </w:drawing>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511E2" w:rsidRPr="005F7212" w14:paraId="173DAE9E" w14:textId="77777777" w:rsidTr="001D130C">
        <w:trPr>
          <w:trHeight w:val="222"/>
        </w:trPr>
        <w:tc>
          <w:tcPr>
            <w:tcW w:w="2689" w:type="dxa"/>
          </w:tcPr>
          <w:p w14:paraId="258E5AEF" w14:textId="77777777" w:rsidR="002511E2" w:rsidRPr="005F7212" w:rsidRDefault="002511E2" w:rsidP="001D130C">
            <w:pPr>
              <w:jc w:val="both"/>
              <w:rPr>
                <w:rFonts w:ascii="Verdana" w:eastAsia="Calibri" w:hAnsi="Verdana" w:cs="Arial"/>
                <w:b/>
                <w:bCs/>
                <w:color w:val="7030A0"/>
                <w:lang w:val="es-ES_tradnl" w:eastAsia="es-ES_tradnl"/>
              </w:rPr>
            </w:pPr>
          </w:p>
        </w:tc>
        <w:tc>
          <w:tcPr>
            <w:tcW w:w="6100" w:type="dxa"/>
          </w:tcPr>
          <w:p w14:paraId="614359BD" w14:textId="77777777" w:rsidR="002511E2" w:rsidRPr="005F7212" w:rsidRDefault="002511E2" w:rsidP="001D130C">
            <w:pPr>
              <w:jc w:val="both"/>
              <w:rPr>
                <w:rFonts w:ascii="Verdana" w:eastAsia="Calibri" w:hAnsi="Verdana" w:cs="Arial"/>
                <w:b/>
                <w:bCs/>
                <w:lang w:val="es-ES" w:eastAsia="es-ES"/>
              </w:rPr>
            </w:pPr>
            <w:r w:rsidRPr="005F7212">
              <w:rPr>
                <w:rFonts w:ascii="Verdana" w:eastAsia="Calibri" w:hAnsi="Verdana" w:cs="Arial"/>
                <w:b/>
                <w:bCs/>
                <w:lang w:val="es-ES" w:eastAsia="es-ES"/>
              </w:rPr>
              <w:t>Concepto C-1176</w:t>
            </w:r>
            <w:r w:rsidRPr="005F7212">
              <w:rPr>
                <w:rFonts w:ascii="Verdana" w:eastAsia="Calibri" w:hAnsi="Verdana" w:cs="Arial"/>
                <w:b/>
                <w:bCs/>
                <w:color w:val="7030A0"/>
                <w:lang w:val="es-ES" w:eastAsia="es-ES"/>
              </w:rPr>
              <w:t xml:space="preserve"> </w:t>
            </w:r>
            <w:r w:rsidRPr="005F7212">
              <w:rPr>
                <w:rFonts w:ascii="Verdana" w:eastAsia="Calibri" w:hAnsi="Verdana" w:cs="Arial"/>
                <w:b/>
                <w:bCs/>
                <w:lang w:val="es-ES" w:eastAsia="es-ES"/>
              </w:rPr>
              <w:t>de</w:t>
            </w:r>
            <w:r w:rsidRPr="005F7212">
              <w:rPr>
                <w:rFonts w:ascii="Verdana" w:eastAsia="Calibri" w:hAnsi="Verdana" w:cs="Arial"/>
                <w:b/>
                <w:bCs/>
                <w:color w:val="7030A0"/>
                <w:lang w:val="es-ES" w:eastAsia="es-ES"/>
              </w:rPr>
              <w:t xml:space="preserve"> </w:t>
            </w:r>
            <w:r w:rsidRPr="005F7212">
              <w:rPr>
                <w:rFonts w:ascii="Verdana" w:eastAsia="Calibri" w:hAnsi="Verdana" w:cs="Arial"/>
                <w:b/>
                <w:bCs/>
                <w:lang w:val="es-ES" w:eastAsia="es-ES"/>
              </w:rPr>
              <w:t>2025</w:t>
            </w:r>
          </w:p>
          <w:p w14:paraId="6FD69C79" w14:textId="77777777" w:rsidR="002511E2" w:rsidRPr="005F7212" w:rsidRDefault="002511E2" w:rsidP="001D130C">
            <w:pPr>
              <w:jc w:val="both"/>
              <w:rPr>
                <w:rFonts w:ascii="Verdana" w:eastAsia="Calibri" w:hAnsi="Verdana" w:cs="Arial"/>
                <w:b/>
                <w:bCs/>
                <w:color w:val="7030A0"/>
                <w:lang w:val="es-ES" w:eastAsia="es-ES"/>
              </w:rPr>
            </w:pPr>
          </w:p>
        </w:tc>
      </w:tr>
      <w:tr w:rsidR="002511E2" w:rsidRPr="005F7212" w14:paraId="49728F4E" w14:textId="77777777" w:rsidTr="001D130C">
        <w:trPr>
          <w:trHeight w:val="884"/>
        </w:trPr>
        <w:tc>
          <w:tcPr>
            <w:tcW w:w="2689" w:type="dxa"/>
          </w:tcPr>
          <w:p w14:paraId="3460A32A" w14:textId="77777777" w:rsidR="002511E2" w:rsidRPr="005F7212" w:rsidRDefault="002511E2" w:rsidP="001D130C">
            <w:pPr>
              <w:jc w:val="both"/>
              <w:rPr>
                <w:rFonts w:ascii="Verdana" w:eastAsia="Calibri" w:hAnsi="Verdana" w:cs="Arial"/>
                <w:color w:val="000000"/>
                <w:lang w:val="es-ES_tradnl" w:eastAsia="es-ES_tradnl"/>
              </w:rPr>
            </w:pPr>
            <w:r w:rsidRPr="005F7212">
              <w:rPr>
                <w:rFonts w:ascii="Verdana" w:eastAsia="Calibri" w:hAnsi="Verdana" w:cs="Arial"/>
                <w:b/>
                <w:color w:val="000000"/>
                <w:lang w:val="es-ES_tradnl" w:eastAsia="es-ES_tradnl"/>
              </w:rPr>
              <w:t>Temas:</w:t>
            </w:r>
            <w:r w:rsidRPr="005F7212">
              <w:rPr>
                <w:rFonts w:ascii="Verdana" w:eastAsia="Calibri" w:hAnsi="Verdana" w:cs="Arial"/>
                <w:color w:val="000000"/>
                <w:lang w:val="es-ES_tradnl" w:eastAsia="es-ES_tradnl"/>
              </w:rPr>
              <w:t xml:space="preserve">                   </w:t>
            </w:r>
          </w:p>
        </w:tc>
        <w:tc>
          <w:tcPr>
            <w:tcW w:w="6100" w:type="dxa"/>
          </w:tcPr>
          <w:p w14:paraId="7A604BD6" w14:textId="77777777" w:rsidR="002511E2" w:rsidRPr="005F7212" w:rsidRDefault="002511E2" w:rsidP="001D130C">
            <w:pPr>
              <w:jc w:val="both"/>
              <w:rPr>
                <w:rFonts w:ascii="Verdana" w:eastAsia="Calibri" w:hAnsi="Verdana" w:cs="Arial"/>
                <w:lang w:val="es-ES" w:eastAsia="es-ES"/>
              </w:rPr>
            </w:pPr>
            <w:r w:rsidRPr="005F7212">
              <w:rPr>
                <w:rFonts w:ascii="Verdana" w:eastAsia="Calibri" w:hAnsi="Verdana" w:cs="Arial"/>
                <w:lang w:val="es-ES" w:eastAsia="es-ES"/>
              </w:rPr>
              <w:t>CENSURA – Ley 1123 de 2007 / RÉGIMEN DE INHABILIDADES E INCOMPATIBILIDADES – Concepto – Interpretación Restrictiva / CONTRATO DE PRESTACIÓN DE SERVICIOS – Verificación idoneidad – Sanciones disciplinarias</w:t>
            </w:r>
          </w:p>
          <w:p w14:paraId="5B4A38D1" w14:textId="77777777" w:rsidR="002511E2" w:rsidRPr="005F7212" w:rsidRDefault="002511E2" w:rsidP="001D130C">
            <w:pPr>
              <w:jc w:val="both"/>
              <w:rPr>
                <w:rFonts w:ascii="Verdana" w:eastAsia="Calibri" w:hAnsi="Verdana" w:cs="Arial"/>
                <w:lang w:val="es-ES" w:eastAsia="es-ES"/>
              </w:rPr>
            </w:pPr>
          </w:p>
        </w:tc>
      </w:tr>
      <w:tr w:rsidR="002511E2" w:rsidRPr="005F7212" w14:paraId="61174C89" w14:textId="77777777" w:rsidTr="001D130C">
        <w:tc>
          <w:tcPr>
            <w:tcW w:w="2689" w:type="dxa"/>
          </w:tcPr>
          <w:p w14:paraId="4AF073F5" w14:textId="77777777" w:rsidR="002511E2" w:rsidRPr="005F7212" w:rsidRDefault="002511E2" w:rsidP="001D130C">
            <w:pPr>
              <w:jc w:val="both"/>
              <w:rPr>
                <w:rFonts w:ascii="Verdana" w:eastAsia="Calibri" w:hAnsi="Verdana" w:cs="Arial"/>
                <w:b/>
                <w:lang w:val="es-ES_tradnl" w:eastAsia="es-ES_tradnl"/>
              </w:rPr>
            </w:pPr>
            <w:r w:rsidRPr="005F7212">
              <w:rPr>
                <w:rFonts w:ascii="Verdana" w:eastAsia="Calibri" w:hAnsi="Verdana" w:cs="Arial"/>
                <w:b/>
                <w:lang w:val="es-ES_tradnl" w:eastAsia="es-ES_tradnl"/>
              </w:rPr>
              <w:t>Radicación:</w:t>
            </w:r>
            <w:r w:rsidRPr="005F7212">
              <w:rPr>
                <w:rFonts w:ascii="Verdana" w:eastAsia="Calibri" w:hAnsi="Verdana" w:cs="Arial"/>
                <w:lang w:val="es-ES_tradnl" w:eastAsia="es-ES_tradnl"/>
              </w:rPr>
              <w:t xml:space="preserve">               </w:t>
            </w:r>
          </w:p>
        </w:tc>
        <w:tc>
          <w:tcPr>
            <w:tcW w:w="6100" w:type="dxa"/>
          </w:tcPr>
          <w:p w14:paraId="059D68EE" w14:textId="77777777" w:rsidR="002511E2" w:rsidRPr="005F7212" w:rsidRDefault="002511E2" w:rsidP="001D130C">
            <w:pPr>
              <w:spacing w:line="257" w:lineRule="auto"/>
              <w:jc w:val="both"/>
              <w:rPr>
                <w:rFonts w:ascii="Verdana" w:hAnsi="Verdana"/>
                <w:lang w:val="es-ES_tradnl"/>
              </w:rPr>
            </w:pPr>
            <w:r w:rsidRPr="005F7212">
              <w:rPr>
                <w:rFonts w:ascii="Verdana" w:hAnsi="Verdana"/>
                <w:lang w:val="es-ES_tradnl"/>
              </w:rPr>
              <w:t xml:space="preserve">Respuesta a consulta con radicado No. </w:t>
            </w:r>
            <w:r w:rsidRPr="005F7212">
              <w:rPr>
                <w:rFonts w:ascii="Verdana" w:hAnsi="Verdana"/>
              </w:rPr>
              <w:t>1_2025_08_22_008899</w:t>
            </w:r>
          </w:p>
          <w:p w14:paraId="02CF2DA9" w14:textId="77777777" w:rsidR="002511E2" w:rsidRPr="005F7212" w:rsidRDefault="002511E2" w:rsidP="001D130C">
            <w:pPr>
              <w:jc w:val="both"/>
              <w:rPr>
                <w:rFonts w:ascii="Verdana" w:eastAsia="Calibri" w:hAnsi="Verdana" w:cs="Arial"/>
                <w:lang w:val="es-ES_tradnl" w:eastAsia="es-ES_tradnl"/>
              </w:rPr>
            </w:pPr>
          </w:p>
        </w:tc>
      </w:tr>
    </w:tbl>
    <w:p w14:paraId="27DEF6F1" w14:textId="77777777" w:rsidR="002511E2" w:rsidRPr="005F7212" w:rsidRDefault="002511E2" w:rsidP="002511E2">
      <w:pPr>
        <w:spacing w:after="0" w:line="256" w:lineRule="auto"/>
        <w:rPr>
          <w:rFonts w:ascii="Verdana" w:eastAsia="Calibri" w:hAnsi="Verdana" w:cs="Times New Roman"/>
          <w:lang w:val="es-ES_tradnl"/>
        </w:rPr>
      </w:pPr>
    </w:p>
    <w:p w14:paraId="2FB43BFE" w14:textId="77777777" w:rsidR="002511E2" w:rsidRPr="005F7212" w:rsidRDefault="002511E2" w:rsidP="000A00CE">
      <w:pPr>
        <w:spacing w:after="0" w:line="276" w:lineRule="auto"/>
        <w:rPr>
          <w:rFonts w:ascii="Verdana" w:eastAsia="Calibri" w:hAnsi="Verdana" w:cs="Times New Roman"/>
          <w:lang w:val="es-ES"/>
        </w:rPr>
      </w:pPr>
      <w:r w:rsidRPr="005F7212">
        <w:rPr>
          <w:rFonts w:ascii="Verdana" w:eastAsia="Calibri" w:hAnsi="Verdana" w:cs="Times New Roman"/>
          <w:lang w:val="es-ES"/>
        </w:rPr>
        <w:t xml:space="preserve">Estimado señor Reyes: </w:t>
      </w:r>
    </w:p>
    <w:p w14:paraId="306E3AD8" w14:textId="77777777" w:rsidR="002511E2" w:rsidRPr="005F7212" w:rsidRDefault="002511E2" w:rsidP="000A00CE">
      <w:pPr>
        <w:spacing w:after="0" w:line="276" w:lineRule="auto"/>
        <w:rPr>
          <w:rFonts w:ascii="Verdana" w:eastAsia="Calibri" w:hAnsi="Verdana" w:cs="Times New Roman"/>
          <w:lang w:val="es-ES"/>
        </w:rPr>
      </w:pPr>
    </w:p>
    <w:p w14:paraId="0FD43375" w14:textId="77777777" w:rsidR="002511E2" w:rsidRPr="005F7212" w:rsidRDefault="002511E2" w:rsidP="000A00CE">
      <w:pPr>
        <w:spacing w:after="0" w:line="276" w:lineRule="auto"/>
        <w:jc w:val="both"/>
        <w:rPr>
          <w:rFonts w:ascii="Verdana" w:eastAsia="Calibri" w:hAnsi="Verdana" w:cs="Times New Roman"/>
        </w:rPr>
      </w:pPr>
      <w:r w:rsidRPr="005F7212">
        <w:rPr>
          <w:rFonts w:ascii="Verdana" w:eastAsia="Calibri" w:hAnsi="Verdana" w:cs="Times New Roman"/>
          <w:lang w:val="es-ES"/>
        </w:rPr>
        <w:t>En ejercicio de la competencia otorgada por los artículos 3, numeral 5º, y 11, numeral 8º, del Decreto Ley 4170 de 2011, la Agencia Nacional de Contratación Pública – Colombia Compra Eficiente– responde la solicitud de consulta presentada el 14 de julio de 2025, remitida por la Función Pública el 22 de agosto de 2025, en la cual manifiesta lo siguiente:</w:t>
      </w:r>
      <w:r w:rsidRPr="005F7212">
        <w:rPr>
          <w:rFonts w:ascii="Verdana" w:eastAsia="Calibri" w:hAnsi="Verdana" w:cs="Times New Roman"/>
        </w:rPr>
        <w:t xml:space="preserve"> </w:t>
      </w:r>
    </w:p>
    <w:p w14:paraId="5AC6D1D0" w14:textId="77777777" w:rsidR="002511E2" w:rsidRPr="005F7212" w:rsidRDefault="002511E2" w:rsidP="000A00CE">
      <w:pPr>
        <w:spacing w:after="0" w:line="276" w:lineRule="auto"/>
        <w:jc w:val="both"/>
        <w:rPr>
          <w:rFonts w:ascii="Verdana" w:eastAsia="Calibri" w:hAnsi="Verdana" w:cs="Times New Roman"/>
        </w:rPr>
      </w:pPr>
    </w:p>
    <w:p w14:paraId="186C0F40" w14:textId="77777777" w:rsidR="002511E2" w:rsidRPr="000A00CE" w:rsidRDefault="002511E2" w:rsidP="000A00CE">
      <w:pPr>
        <w:spacing w:after="0" w:line="240" w:lineRule="auto"/>
        <w:ind w:left="709" w:right="709"/>
        <w:jc w:val="both"/>
        <w:rPr>
          <w:rFonts w:ascii="Verdana" w:eastAsia="Calibri" w:hAnsi="Verdana" w:cs="Times New Roman"/>
          <w:i/>
          <w:sz w:val="20"/>
          <w:szCs w:val="20"/>
        </w:rPr>
      </w:pPr>
      <w:r w:rsidRPr="000A00CE">
        <w:rPr>
          <w:rFonts w:ascii="Verdana" w:eastAsia="Calibri" w:hAnsi="Verdana" w:cs="Times New Roman"/>
          <w:i/>
          <w:sz w:val="20"/>
          <w:szCs w:val="20"/>
        </w:rPr>
        <w:t xml:space="preserve">“Se trata de una persona natural que ha sido considerada como posible contratista mediante la modalidad de contrato de prestaci�n de servicios con la Gobernaci�n del Meta. Al realizar la respectiva verificaci�n de antecedentes disciplinarios en su calidad de abogada, se evidenci� que </w:t>
      </w:r>
      <w:r w:rsidRPr="000A00CE">
        <w:rPr>
          <w:rFonts w:ascii="Verdana" w:eastAsia="Calibri" w:hAnsi="Verdana" w:cs="Times New Roman"/>
          <w:i/>
          <w:sz w:val="20"/>
          <w:szCs w:val="20"/>
        </w:rPr>
        <w:lastRenderedPageBreak/>
        <w:t>registra una sanci�n de censura, de acuerdo con el Certificado No. 20250708-1473823, emitido por la Comisi�n Nacional de Disciplina Judicial. En virtud de lo anterior, solicitamos respetuosamente se nos indique si dicha sanci�n constituye una causal de inhabilidad o impedimento para suscribir el contrato de prestaci�n de servicios mencionado, de conformidad con la normativa vigente.”.[sic]</w:t>
      </w:r>
    </w:p>
    <w:p w14:paraId="0491D94E" w14:textId="77777777" w:rsidR="002511E2" w:rsidRPr="005F7212" w:rsidRDefault="002511E2" w:rsidP="002511E2">
      <w:pPr>
        <w:pStyle w:val="Prrafodelista"/>
        <w:tabs>
          <w:tab w:val="left" w:pos="142"/>
          <w:tab w:val="left" w:pos="284"/>
        </w:tabs>
        <w:spacing w:after="0" w:line="276" w:lineRule="auto"/>
        <w:ind w:left="0"/>
        <w:jc w:val="both"/>
        <w:rPr>
          <w:rFonts w:ascii="Verdana" w:eastAsia="Century Gothic" w:hAnsi="Verdana" w:cs="Century Gothic"/>
          <w:b/>
          <w:bCs/>
          <w:lang w:val="es-CO"/>
        </w:rPr>
      </w:pPr>
    </w:p>
    <w:p w14:paraId="6A4A2AA6" w14:textId="5946B279" w:rsidR="002511E2" w:rsidRPr="005F7212" w:rsidRDefault="002511E2" w:rsidP="002511E2">
      <w:pPr>
        <w:spacing w:after="120" w:line="276" w:lineRule="auto"/>
        <w:ind w:firstLine="709"/>
        <w:jc w:val="both"/>
        <w:rPr>
          <w:rFonts w:ascii="Verdana" w:eastAsia="Calibri" w:hAnsi="Verdana" w:cs="Arial"/>
          <w:color w:val="000000"/>
          <w:szCs w:val="24"/>
          <w:lang w:val="es-ES_tradnl" w:eastAsia="es-ES_tradnl"/>
        </w:rPr>
      </w:pPr>
      <w:r w:rsidRPr="005F7212">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C420B4">
        <w:rPr>
          <w:rFonts w:ascii="Verdana" w:eastAsia="Calibri" w:hAnsi="Verdana" w:cs="Arial"/>
          <w:color w:val="000000"/>
          <w:lang w:val="es-ES" w:eastAsia="es-ES"/>
        </w:rPr>
        <w:t>la Agencia Nacional de Contratación Pública –</w:t>
      </w:r>
      <w:r w:rsidRPr="005F7212">
        <w:rPr>
          <w:rFonts w:ascii="Verdana" w:eastAsia="Calibri" w:hAnsi="Verdana" w:cs="Arial"/>
          <w:color w:val="000000"/>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F7212">
        <w:rPr>
          <w:rFonts w:ascii="Verdana" w:eastAsia="Calibri" w:hAnsi="Verdana" w:cs="Arial"/>
          <w:color w:val="000000"/>
          <w:szCs w:val="24"/>
          <w:lang w:val="es-ES_tradnl" w:eastAsia="es-ES_tradnl"/>
        </w:rPr>
        <w:tab/>
      </w:r>
    </w:p>
    <w:p w14:paraId="3A530DAD" w14:textId="7EFCE096" w:rsidR="002511E2" w:rsidRPr="005F7212" w:rsidRDefault="002511E2" w:rsidP="002511E2">
      <w:pPr>
        <w:spacing w:after="0" w:line="276" w:lineRule="auto"/>
        <w:ind w:firstLine="709"/>
        <w:jc w:val="both"/>
        <w:rPr>
          <w:rFonts w:ascii="Verdana" w:eastAsia="Calibri" w:hAnsi="Verdana" w:cs="Arial"/>
          <w:color w:val="000000"/>
          <w:lang w:val="es-ES" w:eastAsia="es-ES"/>
        </w:rPr>
      </w:pPr>
      <w:r w:rsidRPr="005F7212">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030793">
        <w:rPr>
          <w:rFonts w:ascii="Verdana" w:eastAsia="Calibri" w:hAnsi="Verdana" w:cs="Arial"/>
          <w:color w:val="000000"/>
          <w:lang w:val="es-ES" w:eastAsia="es-ES"/>
        </w:rPr>
        <w:t>señalando</w:t>
      </w:r>
      <w:r w:rsidR="00030793" w:rsidRPr="005F7212">
        <w:rPr>
          <w:rFonts w:ascii="Verdana" w:eastAsia="Calibri" w:hAnsi="Verdana" w:cs="Arial"/>
          <w:color w:val="000000"/>
          <w:lang w:val="es-ES" w:eastAsia="es-ES"/>
        </w:rPr>
        <w:t xml:space="preserve"> </w:t>
      </w:r>
      <w:r w:rsidR="00030793">
        <w:rPr>
          <w:rFonts w:ascii="Verdana" w:eastAsia="Calibri" w:hAnsi="Verdana" w:cs="Arial"/>
          <w:color w:val="000000"/>
          <w:lang w:val="es-ES" w:eastAsia="es-ES"/>
        </w:rPr>
        <w:t>alg</w:t>
      </w:r>
      <w:r w:rsidRPr="005F7212">
        <w:rPr>
          <w:rFonts w:ascii="Verdana" w:eastAsia="Calibri" w:hAnsi="Verdana" w:cs="Arial"/>
          <w:color w:val="000000"/>
          <w:lang w:val="es-ES" w:eastAsia="es-ES"/>
        </w:rPr>
        <w:t>unas consideraciones sobre las normas generales relacionadas con el</w:t>
      </w:r>
      <w:r w:rsidRPr="005F7212">
        <w:rPr>
          <w:rFonts w:ascii="Verdana" w:eastAsia="Calibri" w:hAnsi="Verdana" w:cs="Arial"/>
          <w:color w:val="7030A0"/>
          <w:lang w:val="es-ES" w:eastAsia="es-ES"/>
        </w:rPr>
        <w:t xml:space="preserve"> </w:t>
      </w:r>
      <w:r w:rsidRPr="005F7212">
        <w:rPr>
          <w:rFonts w:ascii="Verdana" w:eastAsia="Calibri" w:hAnsi="Verdana" w:cs="Arial"/>
          <w:color w:val="000000"/>
          <w:lang w:val="es-ES" w:eastAsia="es-ES"/>
        </w:rPr>
        <w:t>problema</w:t>
      </w:r>
      <w:r w:rsidRPr="005F7212">
        <w:rPr>
          <w:rFonts w:ascii="Verdana" w:eastAsia="Calibri" w:hAnsi="Verdana" w:cs="Arial"/>
          <w:color w:val="7030A0"/>
          <w:lang w:val="es-ES" w:eastAsia="es-ES"/>
        </w:rPr>
        <w:t xml:space="preserve"> </w:t>
      </w:r>
      <w:r w:rsidRPr="005F7212">
        <w:rPr>
          <w:rFonts w:ascii="Verdana" w:eastAsia="Calibri" w:hAnsi="Verdana" w:cs="Arial"/>
          <w:color w:val="000000"/>
          <w:lang w:val="es-ES" w:eastAsia="es-ES"/>
        </w:rPr>
        <w:t>jurídico</w:t>
      </w:r>
      <w:r w:rsidRPr="005F7212">
        <w:rPr>
          <w:rFonts w:ascii="Verdana" w:eastAsia="Calibri" w:hAnsi="Verdana" w:cs="Arial"/>
          <w:color w:val="7030A0"/>
          <w:lang w:val="es-ES" w:eastAsia="es-ES"/>
        </w:rPr>
        <w:t xml:space="preserve"> </w:t>
      </w:r>
      <w:r w:rsidRPr="005F7212">
        <w:rPr>
          <w:rFonts w:ascii="Verdana" w:eastAsia="Calibri" w:hAnsi="Verdana" w:cs="Arial"/>
          <w:color w:val="000000"/>
          <w:lang w:val="es-ES" w:eastAsia="es-ES"/>
        </w:rPr>
        <w:t xml:space="preserve">de su consulta. </w:t>
      </w:r>
    </w:p>
    <w:p w14:paraId="1F408ADA" w14:textId="77777777" w:rsidR="002511E2" w:rsidRPr="005F7212" w:rsidRDefault="002511E2" w:rsidP="002511E2">
      <w:pPr>
        <w:spacing w:after="0" w:line="276" w:lineRule="auto"/>
        <w:ind w:firstLine="709"/>
        <w:jc w:val="both"/>
        <w:rPr>
          <w:rFonts w:ascii="Verdana" w:eastAsia="Calibri" w:hAnsi="Verdana" w:cs="Arial"/>
          <w:color w:val="000000"/>
          <w:lang w:val="es-ES" w:eastAsia="es-ES"/>
        </w:rPr>
      </w:pPr>
    </w:p>
    <w:p w14:paraId="0A1BA158" w14:textId="77777777" w:rsidR="002511E2" w:rsidRPr="005F7212" w:rsidRDefault="002511E2" w:rsidP="002511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F7212">
        <w:rPr>
          <w:rFonts w:ascii="Verdana" w:eastAsia="Century Gothic" w:hAnsi="Verdana" w:cs="Century Gothic"/>
          <w:b/>
          <w:bCs/>
        </w:rPr>
        <w:t>Problema planteado:</w:t>
      </w:r>
    </w:p>
    <w:p w14:paraId="61095FC5" w14:textId="77777777" w:rsidR="002511E2" w:rsidRPr="005F7212" w:rsidRDefault="002511E2" w:rsidP="002511E2">
      <w:pPr>
        <w:tabs>
          <w:tab w:val="left" w:pos="426"/>
        </w:tabs>
        <w:spacing w:after="0" w:line="276" w:lineRule="auto"/>
        <w:jc w:val="both"/>
        <w:rPr>
          <w:rFonts w:ascii="Verdana" w:eastAsia="Century Gothic" w:hAnsi="Verdana" w:cs="Century Gothic"/>
          <w:lang w:val="es-ES"/>
        </w:rPr>
      </w:pPr>
    </w:p>
    <w:p w14:paraId="3FABE840" w14:textId="4640E51C" w:rsidR="002511E2" w:rsidRPr="005F7212" w:rsidRDefault="002511E2" w:rsidP="002511E2">
      <w:pPr>
        <w:spacing w:after="0" w:line="276" w:lineRule="auto"/>
        <w:jc w:val="both"/>
        <w:rPr>
          <w:rFonts w:ascii="Verdana" w:eastAsia="Century Gothic" w:hAnsi="Verdana" w:cs="Century Gothic"/>
        </w:rPr>
      </w:pPr>
      <w:r w:rsidRPr="005F7212">
        <w:rPr>
          <w:rFonts w:ascii="Verdana" w:eastAsia="Century Gothic" w:hAnsi="Verdana" w:cs="Century Gothic"/>
        </w:rPr>
        <w:t>De acuerdo con el contenido de su solicitud, esta Agencia resolverá el siguiente problema jurídico: ¿</w:t>
      </w:r>
      <w:r w:rsidR="00BB379F">
        <w:rPr>
          <w:rFonts w:ascii="Verdana" w:eastAsia="Century Gothic" w:hAnsi="Verdana" w:cs="Century Gothic"/>
        </w:rPr>
        <w:t>L</w:t>
      </w:r>
      <w:r w:rsidRPr="005F7212">
        <w:rPr>
          <w:rFonts w:ascii="Verdana" w:eastAsia="Century Gothic" w:hAnsi="Verdana" w:cs="Century Gothic"/>
        </w:rPr>
        <w:t>a sanción de censura impuesta a un abogado constituye una inhabilidad o impedimento para suscribir un contrato de prestación de servicios con entidades estatales en calidad de abogado?</w:t>
      </w:r>
    </w:p>
    <w:p w14:paraId="40F9B75E" w14:textId="77777777" w:rsidR="002511E2" w:rsidRPr="005F7212" w:rsidRDefault="002511E2" w:rsidP="002511E2">
      <w:pPr>
        <w:spacing w:after="0" w:line="276" w:lineRule="auto"/>
        <w:jc w:val="both"/>
        <w:rPr>
          <w:rFonts w:ascii="Verdana" w:eastAsia="Calibri" w:hAnsi="Verdana" w:cs="Arial"/>
          <w:color w:val="7030A0"/>
          <w:lang w:val="es-ES"/>
        </w:rPr>
      </w:pPr>
    </w:p>
    <w:p w14:paraId="46FC5C00" w14:textId="77777777" w:rsidR="002511E2" w:rsidRPr="005F7212" w:rsidRDefault="002511E2" w:rsidP="002511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F7212">
        <w:rPr>
          <w:rFonts w:ascii="Verdana" w:eastAsia="Century Gothic" w:hAnsi="Verdana" w:cs="Century Gothic"/>
          <w:b/>
          <w:bCs/>
        </w:rPr>
        <w:t>Respuesta:</w:t>
      </w:r>
    </w:p>
    <w:p w14:paraId="5A625772" w14:textId="77777777" w:rsidR="002511E2" w:rsidRPr="005F7212" w:rsidRDefault="002511E2" w:rsidP="002511E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511E2" w:rsidRPr="005F7212" w14:paraId="3AA1EC10" w14:textId="77777777" w:rsidTr="001D130C">
        <w:tc>
          <w:tcPr>
            <w:tcW w:w="8828" w:type="dxa"/>
          </w:tcPr>
          <w:p w14:paraId="09C19C64" w14:textId="42A23E82" w:rsidR="002511E2" w:rsidRPr="005F7212" w:rsidRDefault="002511E2" w:rsidP="001D130C">
            <w:pPr>
              <w:widowControl w:val="0"/>
              <w:autoSpaceDE w:val="0"/>
              <w:autoSpaceDN w:val="0"/>
              <w:spacing w:after="120" w:line="276" w:lineRule="auto"/>
              <w:jc w:val="both"/>
              <w:rPr>
                <w:rFonts w:ascii="Verdana" w:eastAsia="Calibri" w:hAnsi="Verdana" w:cs="Arial"/>
                <w:lang w:eastAsia="es-ES"/>
              </w:rPr>
            </w:pPr>
            <w:r w:rsidRPr="005F7212">
              <w:rPr>
                <w:rFonts w:ascii="Verdana" w:eastAsia="Calibri" w:hAnsi="Verdana" w:cs="Arial"/>
                <w:color w:val="000000" w:themeColor="text1"/>
                <w:lang w:val="es-ES" w:eastAsia="es-ES"/>
              </w:rPr>
              <w:t xml:space="preserve">En torno al problema jurídico, objeto de la consulta, se señala </w:t>
            </w:r>
            <w:r w:rsidRPr="005F7212">
              <w:rPr>
                <w:rFonts w:ascii="Verdana" w:hAnsi="Verdana" w:cs="Arial"/>
              </w:rPr>
              <w:t xml:space="preserve">que la censura es una sanción disciplinaria a las faltas disciplinarias imputables a los abogados cuya lesividad es de menor entidad, y corresponde a la reprobación pública </w:t>
            </w:r>
            <w:r w:rsidRPr="005F7212">
              <w:rPr>
                <w:rFonts w:ascii="Verdana" w:hAnsi="Verdana" w:cs="Arial"/>
              </w:rPr>
              <w:lastRenderedPageBreak/>
              <w:t xml:space="preserve">del abogado por la falta cometida según el artículo 41 de la Ley 1123 de 2007 – Código Disciplinario del Abogado-. Ahora bien, como puede observarse en la norma, esta no implica la suspensión o prohibición del ejercicio de la profesión. De hecho, </w:t>
            </w:r>
            <w:r w:rsidRPr="005F7212">
              <w:rPr>
                <w:rFonts w:ascii="Verdana" w:eastAsia="Calibri" w:hAnsi="Verdana" w:cs="Arial"/>
                <w:lang w:eastAsia="es-ES"/>
              </w:rPr>
              <w:t xml:space="preserve">respecto a esta sanción el numeral 2) del literal b) del artículo 45 ibídem, contempla como circunstancia de atenuación el haber procurado, por iniciativa propia, resarcir el daño o compensar el perjuicio causado. La concurrencia de tal circunstancia implica que la sanción aplicable sea siempre la censura, </w:t>
            </w:r>
            <w:r w:rsidR="00F62B6C" w:rsidRPr="005F7212">
              <w:rPr>
                <w:rFonts w:ascii="Verdana" w:eastAsia="Calibri" w:hAnsi="Verdana" w:cs="Arial"/>
                <w:lang w:eastAsia="es-ES"/>
              </w:rPr>
              <w:t>con la condición de que</w:t>
            </w:r>
            <w:r w:rsidRPr="005F7212">
              <w:rPr>
                <w:rFonts w:ascii="Verdana" w:eastAsia="Calibri" w:hAnsi="Verdana" w:cs="Arial"/>
                <w:lang w:eastAsia="es-ES"/>
              </w:rPr>
              <w:t xml:space="preserve"> el investigado carezca de antecedentes disciplinarios.</w:t>
            </w:r>
          </w:p>
          <w:p w14:paraId="639951FD" w14:textId="77777777" w:rsidR="002511E2" w:rsidRPr="005F7212" w:rsidRDefault="002511E2" w:rsidP="001D130C">
            <w:pPr>
              <w:widowControl w:val="0"/>
              <w:autoSpaceDE w:val="0"/>
              <w:autoSpaceDN w:val="0"/>
              <w:spacing w:after="120" w:line="276" w:lineRule="auto"/>
              <w:ind w:firstLine="708"/>
              <w:jc w:val="both"/>
              <w:rPr>
                <w:rFonts w:ascii="Verdana" w:eastAsia="Calibri" w:hAnsi="Verdana" w:cs="Arial"/>
                <w:lang w:eastAsia="es-ES"/>
              </w:rPr>
            </w:pPr>
            <w:r w:rsidRPr="005F7212">
              <w:rPr>
                <w:rFonts w:ascii="Verdana" w:eastAsia="Calibri" w:hAnsi="Verdana" w:cs="Arial"/>
                <w:lang w:eastAsia="es-ES"/>
              </w:rPr>
              <w:t xml:space="preserve"> En tal sentido, es importante precisar que el artículo 29, numeral 4° de la Ley 1123 de 2007 que regula las incompatibilidades para ejercer la abogacía, dispone que no pueden ejercer la profesión de abogado cuando sean suspendidos o excluidos, esto es, que la sanción haya sido la suspensión o la exclusión, contemplados en los artículos 44 y 45 respectivamente de la precitada Ley. De este modo, puede inferirse de la Ley 1123 de 2007 –Código Disciplinario del Abogado- que la censura no contempla como sanción la suspensión o exclusión, lo cual no implica, en principio, una restricción o afectación de la capacidad para celebrar un contrato de prestación de servicios profesionales con una entidad estatal, aclarando en todo caso que es al fallador del proceso disciplinario correspondiente previa aplicación del debido proceso definir la sanción a aplicar de conformidad con la ley. </w:t>
            </w:r>
          </w:p>
          <w:p w14:paraId="0BEB3074" w14:textId="77777777" w:rsidR="002511E2" w:rsidRPr="005F7212" w:rsidRDefault="002511E2" w:rsidP="001D130C">
            <w:pPr>
              <w:widowControl w:val="0"/>
              <w:autoSpaceDE w:val="0"/>
              <w:autoSpaceDN w:val="0"/>
              <w:spacing w:after="120" w:line="276" w:lineRule="auto"/>
              <w:ind w:firstLine="708"/>
              <w:jc w:val="both"/>
              <w:rPr>
                <w:rFonts w:ascii="Verdana" w:eastAsia="Calibri" w:hAnsi="Verdana" w:cs="Arial"/>
                <w:lang w:val="es-ES"/>
              </w:rPr>
            </w:pPr>
            <w:r w:rsidRPr="005F7212">
              <w:rPr>
                <w:rFonts w:ascii="Verdana" w:eastAsia="Calibri" w:hAnsi="Verdana" w:cs="Arial"/>
                <w:lang w:eastAsia="es-ES"/>
              </w:rPr>
              <w:t xml:space="preserve">En relación con el régimen de inhabilidades e incompatibilidades en contratación estatal, </w:t>
            </w:r>
            <w:r w:rsidRPr="005F7212">
              <w:rPr>
                <w:rFonts w:ascii="Verdana" w:eastAsia="Calibri" w:hAnsi="Verdana" w:cs="Arial"/>
                <w:lang w:val="es-ES"/>
              </w:rPr>
              <w:t xml:space="preserve">este se tipifica en la Ley expresamente y su interpretación debe ser restrictiva. Es decir, las causales de inhabilidad e impedimentos deben estar enunciadas en las normas de forma taxativa y al aplicarse en una situación particular su interpretación debe ser restrictiva, de tal forma que no se admita una interpretación amplia o extensiva que permitiera contemplar supuestos indeterminados como causales de inhabilidad o impedimentos. Por lo que, la interpretación de los efectos de la suspensión o exclusión del ejercicio de la profesión no puede hacerse extensiva a otras sanciones que no estén expresamente establecidas en la norma. </w:t>
            </w:r>
          </w:p>
          <w:p w14:paraId="58AE87F0" w14:textId="77777777" w:rsidR="002511E2" w:rsidRPr="005F7212" w:rsidRDefault="002511E2" w:rsidP="000A00CE">
            <w:pPr>
              <w:widowControl w:val="0"/>
              <w:autoSpaceDE w:val="0"/>
              <w:autoSpaceDN w:val="0"/>
              <w:spacing w:line="276" w:lineRule="auto"/>
              <w:ind w:firstLine="709"/>
              <w:jc w:val="both"/>
              <w:rPr>
                <w:rFonts w:ascii="Verdana" w:eastAsia="Calibri" w:hAnsi="Verdana" w:cs="Arial"/>
                <w:color w:val="7030A0"/>
                <w:lang w:val="es-ES"/>
              </w:rPr>
            </w:pPr>
            <w:r w:rsidRPr="5CFFBF0B">
              <w:rPr>
                <w:rFonts w:ascii="Verdana" w:eastAsia="Calibri" w:hAnsi="Verdana" w:cs="Arial"/>
                <w:color w:val="000000" w:themeColor="text1"/>
                <w:lang w:eastAsia="es-ES"/>
              </w:rPr>
              <w:t xml:space="preserve">En todo caso, es importante precisar que es obligación de cada entidad pública, en la etapa precontractual verificar y exigir en cada caso particular la aplicación de la ley correspondiente en cuanto a la imposibilidad de contratar con personas que registren sanciones vigentes o que hayan tenido registro de sanciones. No obstante, es importante recordar que no es permitido hacer una </w:t>
            </w:r>
            <w:r w:rsidRPr="5CFFBF0B">
              <w:rPr>
                <w:rFonts w:ascii="Verdana" w:eastAsia="Calibri" w:hAnsi="Verdana" w:cs="Arial"/>
                <w:color w:val="000000" w:themeColor="text1"/>
                <w:lang w:eastAsia="es-ES"/>
              </w:rPr>
              <w:lastRenderedPageBreak/>
              <w:t xml:space="preserve">interpretación extensiva o analógica de los efectos de la suspensión o la exclusión, pues las inhabilidades e incompatibilidades constituyen una aplicación del principio del Estado de Derecho previsto en el artículo 6° de la Constitución Política, según el cual: “Los particulares solo son responsables ante las autoridades por infringir la Constitución y las leyes”. En otras palabras, solo la ley debe definir si determinado tipo de sanciones implica restricciones para contratar con el Estado.  </w:t>
            </w:r>
          </w:p>
        </w:tc>
      </w:tr>
    </w:tbl>
    <w:p w14:paraId="70E9EE89" w14:textId="77777777" w:rsidR="002511E2" w:rsidRPr="005F7212" w:rsidRDefault="002511E2" w:rsidP="002511E2">
      <w:pPr>
        <w:tabs>
          <w:tab w:val="left" w:pos="142"/>
          <w:tab w:val="left" w:pos="284"/>
        </w:tabs>
        <w:spacing w:after="0" w:line="276" w:lineRule="auto"/>
        <w:jc w:val="both"/>
        <w:rPr>
          <w:rFonts w:ascii="Verdana" w:eastAsia="Century Gothic" w:hAnsi="Verdana" w:cs="Century Gothic"/>
          <w:b/>
          <w:bCs/>
          <w:lang w:val="es-ES"/>
        </w:rPr>
      </w:pPr>
    </w:p>
    <w:p w14:paraId="5970FDF8" w14:textId="77777777" w:rsidR="002511E2" w:rsidRPr="005F7212" w:rsidRDefault="002511E2" w:rsidP="002511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F7212">
        <w:rPr>
          <w:rFonts w:ascii="Verdana" w:eastAsia="Century Gothic" w:hAnsi="Verdana" w:cs="Century Gothic"/>
          <w:b/>
          <w:bCs/>
        </w:rPr>
        <w:t>Razones de la respuesta:</w:t>
      </w:r>
    </w:p>
    <w:p w14:paraId="5ECC0B34" w14:textId="77777777" w:rsidR="002511E2" w:rsidRPr="005F7212" w:rsidRDefault="002511E2" w:rsidP="002511E2">
      <w:pPr>
        <w:spacing w:after="0" w:line="276" w:lineRule="auto"/>
        <w:jc w:val="both"/>
        <w:rPr>
          <w:rFonts w:ascii="Verdana" w:eastAsia="Calibri" w:hAnsi="Verdana" w:cs="Arial"/>
          <w:color w:val="7030A0"/>
          <w:lang w:val="es-ES"/>
        </w:rPr>
      </w:pPr>
    </w:p>
    <w:p w14:paraId="54D6AA3F" w14:textId="77777777" w:rsidR="002511E2" w:rsidRPr="005F7212" w:rsidRDefault="002511E2" w:rsidP="002511E2">
      <w:pPr>
        <w:spacing w:after="0" w:line="276" w:lineRule="auto"/>
        <w:jc w:val="both"/>
        <w:rPr>
          <w:rFonts w:ascii="Verdana" w:eastAsia="Calibri" w:hAnsi="Verdana" w:cs="Arial"/>
          <w:lang w:val="es-ES"/>
        </w:rPr>
      </w:pPr>
      <w:r w:rsidRPr="005F7212">
        <w:rPr>
          <w:rFonts w:ascii="Verdana" w:eastAsia="Calibri" w:hAnsi="Verdana" w:cs="Arial"/>
          <w:lang w:val="es-ES"/>
        </w:rPr>
        <w:t xml:space="preserve">Lo anterior se sustenta en las siguientes consideraciones: </w:t>
      </w:r>
    </w:p>
    <w:p w14:paraId="4A4E235B" w14:textId="77777777" w:rsidR="002511E2" w:rsidRPr="005F7212" w:rsidRDefault="002511E2" w:rsidP="002511E2">
      <w:pPr>
        <w:widowControl w:val="0"/>
        <w:autoSpaceDE w:val="0"/>
        <w:autoSpaceDN w:val="0"/>
        <w:spacing w:after="0" w:line="276" w:lineRule="auto"/>
        <w:jc w:val="both"/>
        <w:rPr>
          <w:rFonts w:ascii="Verdana" w:eastAsia="Calibri" w:hAnsi="Verdana" w:cs="Arial"/>
          <w:color w:val="7030A0"/>
          <w:lang w:val="es-ES"/>
        </w:rPr>
      </w:pPr>
    </w:p>
    <w:p w14:paraId="32AF2630" w14:textId="77777777" w:rsidR="002511E2" w:rsidRPr="005F7212" w:rsidRDefault="002511E2" w:rsidP="002511E2">
      <w:pPr>
        <w:widowControl w:val="0"/>
        <w:autoSpaceDE w:val="0"/>
        <w:autoSpaceDN w:val="0"/>
        <w:spacing w:after="120" w:line="276" w:lineRule="auto"/>
        <w:jc w:val="both"/>
        <w:rPr>
          <w:rFonts w:ascii="Verdana" w:eastAsia="Calibri" w:hAnsi="Verdana" w:cs="Arial"/>
          <w:lang w:val="es-ES"/>
        </w:rPr>
      </w:pPr>
      <w:r w:rsidRPr="005F7212">
        <w:rPr>
          <w:rFonts w:ascii="Verdana" w:eastAsia="Calibri" w:hAnsi="Verdana" w:cs="Arial"/>
          <w:lang w:val="es-ES"/>
        </w:rPr>
        <w:t>Para determinar si la censura es una posible causal de inhabilidad o impedimento para celebrar un contrato de prestación de servicios, sea lo primero analizar su naturaleza jurídica. En el Código Disciplinario del Abogado – Ley 1123 de 2007 – se establece expresamente en su artículo 41 la censura como una sanción disciplinaria que</w:t>
      </w:r>
      <w:r w:rsidRPr="005F7212">
        <w:rPr>
          <w:rFonts w:ascii="Verdana" w:hAnsi="Verdana" w:cs="Open Sans"/>
        </w:rPr>
        <w:t xml:space="preserve"> “Consiste en la reprobación pública que se hace al infractor por la falta cometida”. </w:t>
      </w:r>
    </w:p>
    <w:p w14:paraId="5CF96878" w14:textId="77777777" w:rsidR="002511E2" w:rsidRPr="005F7212" w:rsidRDefault="002511E2" w:rsidP="002511E2">
      <w:pPr>
        <w:widowControl w:val="0"/>
        <w:autoSpaceDE w:val="0"/>
        <w:autoSpaceDN w:val="0"/>
        <w:spacing w:after="0" w:line="276" w:lineRule="auto"/>
        <w:jc w:val="both"/>
        <w:rPr>
          <w:rFonts w:ascii="Verdana" w:eastAsia="Calibri" w:hAnsi="Verdana" w:cs="Arial"/>
          <w:lang w:val="es-ES"/>
        </w:rPr>
      </w:pPr>
      <w:r w:rsidRPr="005F7212">
        <w:rPr>
          <w:rFonts w:ascii="Verdana" w:eastAsia="Calibri" w:hAnsi="Verdana" w:cs="Arial"/>
          <w:lang w:val="es-ES"/>
        </w:rPr>
        <w:tab/>
        <w:t>Al analizar la constitucionalidad del sistema de sanciones que establece dicho Código, la Corte Constitucional señaló que:</w:t>
      </w:r>
    </w:p>
    <w:p w14:paraId="672999FC" w14:textId="77777777" w:rsidR="002511E2" w:rsidRPr="005F7212" w:rsidRDefault="002511E2" w:rsidP="002511E2">
      <w:pPr>
        <w:widowControl w:val="0"/>
        <w:autoSpaceDE w:val="0"/>
        <w:autoSpaceDN w:val="0"/>
        <w:spacing w:after="0" w:line="276" w:lineRule="auto"/>
        <w:jc w:val="both"/>
        <w:rPr>
          <w:rFonts w:ascii="Verdana" w:eastAsia="Calibri" w:hAnsi="Verdana" w:cs="Arial"/>
          <w:lang w:val="es-ES"/>
        </w:rPr>
      </w:pPr>
    </w:p>
    <w:p w14:paraId="420542F2" w14:textId="77777777" w:rsidR="002511E2" w:rsidRPr="005F7212" w:rsidRDefault="002511E2" w:rsidP="000A00CE">
      <w:pPr>
        <w:pStyle w:val="NormalWeb"/>
        <w:spacing w:before="0" w:beforeAutospacing="0" w:after="0" w:afterAutospacing="0"/>
        <w:ind w:left="708" w:right="709" w:firstLine="2"/>
        <w:jc w:val="both"/>
        <w:rPr>
          <w:rFonts w:ascii="Verdana" w:hAnsi="Verdana" w:cs="Open Sans"/>
          <w:sz w:val="20"/>
          <w:szCs w:val="20"/>
        </w:rPr>
      </w:pPr>
      <w:r w:rsidRPr="005F7212">
        <w:rPr>
          <w:rFonts w:ascii="Verdana" w:hAnsi="Verdana" w:cs="Open Sans"/>
          <w:sz w:val="20"/>
          <w:szCs w:val="20"/>
        </w:rPr>
        <w:t>Teniendo en cuenta que el legislador delimitó de manera taxativa la clase de sanciones que es posible imponer, describiendo cada una de ellas y sometiéndolas a un límite temporal</w:t>
      </w:r>
      <w:bookmarkStart w:id="2" w:name="ref_endnote_53"/>
      <w:bookmarkEnd w:id="2"/>
      <w:r w:rsidRPr="005F7212">
        <w:rPr>
          <w:rFonts w:ascii="Verdana" w:hAnsi="Verdana" w:cs="Open Sans"/>
          <w:sz w:val="20"/>
          <w:szCs w:val="20"/>
        </w:rPr>
        <w:t>[53]; que proporcionó unos criterios de graduación (Art. 45) que vinculan a la autoridad competente; que condicionó la imposición de una sanción a la infracción injustificada de alguno de los deberes previstos en el estatuto (arts. 4º y 28); que estableció como guías inexcusables del proceso de individualización de la sanción los principios de razonabilidad y proporcionalidad, y que impuso la necesidad de motivación de la dosificación sancionatoria , es posible afirmar que el legislador proporcionó un marco de referencia que se aviene a la razonable flexibilización que se le ha reconocido al principio de legalidad en el ámbito disciplinario.</w:t>
      </w:r>
    </w:p>
    <w:p w14:paraId="5EE6150E" w14:textId="77777777" w:rsidR="002511E2" w:rsidRPr="005F7212" w:rsidRDefault="002511E2" w:rsidP="000A00CE">
      <w:pPr>
        <w:pStyle w:val="NormalWeb"/>
        <w:spacing w:before="0" w:beforeAutospacing="0" w:after="0" w:afterAutospacing="0"/>
        <w:ind w:left="708" w:right="709" w:firstLine="2"/>
        <w:jc w:val="both"/>
        <w:rPr>
          <w:rFonts w:ascii="Verdana" w:hAnsi="Verdana" w:cs="Open Sans"/>
          <w:sz w:val="20"/>
          <w:szCs w:val="20"/>
        </w:rPr>
      </w:pPr>
    </w:p>
    <w:p w14:paraId="3BC29D71" w14:textId="77777777" w:rsidR="002511E2" w:rsidRPr="005F7212" w:rsidRDefault="002511E2" w:rsidP="000A00CE">
      <w:pPr>
        <w:spacing w:after="0" w:line="240" w:lineRule="auto"/>
        <w:ind w:left="708" w:right="709"/>
        <w:jc w:val="both"/>
        <w:rPr>
          <w:rFonts w:ascii="Verdana" w:eastAsia="Times New Roman" w:hAnsi="Verdana" w:cs="Open Sans"/>
          <w:sz w:val="20"/>
          <w:szCs w:val="20"/>
          <w:lang w:eastAsia="es-CO"/>
        </w:rPr>
      </w:pPr>
      <w:r w:rsidRPr="005F7212">
        <w:rPr>
          <w:rFonts w:ascii="Verdana" w:eastAsia="Times New Roman" w:hAnsi="Verdana" w:cs="Open Sans"/>
          <w:sz w:val="20"/>
          <w:szCs w:val="20"/>
          <w:lang w:eastAsia="es-CO"/>
        </w:rPr>
        <w:t xml:space="preserve">El margen de discrecionalidad que el legislador asigna a la autoridad disciplinaria para la individualización de la sanción se encuentra limitado así por la taxativa consagración de los tipos de sanciones permitidas; el suministro de unos criterios objetivos generales, de agravación y de atenuación de la sanción (Art.45); la vinculación explícita del funcionario a los criterios de razonabilidad y proporcionalidad; y por los controles </w:t>
      </w:r>
      <w:r w:rsidRPr="005F7212">
        <w:rPr>
          <w:rFonts w:ascii="Verdana" w:eastAsia="Times New Roman" w:hAnsi="Verdana" w:cs="Open Sans"/>
          <w:sz w:val="20"/>
          <w:szCs w:val="20"/>
          <w:lang w:eastAsia="es-CO"/>
        </w:rPr>
        <w:lastRenderedPageBreak/>
        <w:t>establecidos al interior del mismo proceso frente a una eventual decisión sancionatoria (la doble instancia Arts. 55 y 59).</w:t>
      </w:r>
      <w:r w:rsidRPr="005F7212">
        <w:rPr>
          <w:rStyle w:val="Refdenotaalpie"/>
          <w:rFonts w:ascii="Verdana" w:eastAsia="Times New Roman" w:hAnsi="Verdana" w:cs="Open Sans"/>
          <w:sz w:val="20"/>
          <w:szCs w:val="20"/>
          <w:lang w:eastAsia="es-CO"/>
        </w:rPr>
        <w:footnoteReference w:id="1"/>
      </w:r>
    </w:p>
    <w:p w14:paraId="341ECC59" w14:textId="77777777" w:rsidR="002511E2" w:rsidRPr="005F7212" w:rsidRDefault="002511E2" w:rsidP="002511E2">
      <w:pPr>
        <w:spacing w:after="0" w:line="276" w:lineRule="auto"/>
        <w:ind w:left="709" w:right="709"/>
        <w:jc w:val="both"/>
        <w:rPr>
          <w:rFonts w:ascii="Verdana" w:eastAsia="Times New Roman" w:hAnsi="Verdana" w:cs="Open Sans"/>
          <w:lang w:eastAsia="es-CO"/>
        </w:rPr>
      </w:pPr>
    </w:p>
    <w:p w14:paraId="1C923313" w14:textId="77777777" w:rsidR="002511E2" w:rsidRPr="005F7212" w:rsidRDefault="002511E2" w:rsidP="002511E2">
      <w:pPr>
        <w:widowControl w:val="0"/>
        <w:autoSpaceDE w:val="0"/>
        <w:autoSpaceDN w:val="0"/>
        <w:spacing w:after="0" w:line="276" w:lineRule="auto"/>
        <w:jc w:val="both"/>
        <w:rPr>
          <w:rFonts w:ascii="Verdana" w:hAnsi="Verdana" w:cs="Arial"/>
        </w:rPr>
      </w:pPr>
      <w:r w:rsidRPr="005F7212">
        <w:rPr>
          <w:rFonts w:ascii="Verdana" w:hAnsi="Verdana" w:cs="Arial"/>
        </w:rPr>
        <w:tab/>
        <w:t>De lo anterior, se resalta entonces que la censura como sanción disciplinaria se impone como resultado de un proceso disciplinario, en el que la autoridad competente debe motivar su decisión y la dosificación sancionatoria atendiendo a los criterios de razonabilidad y proporcionalidad, así como de graduación, individualizando la sanción correspondiente a la infracción cometida por el disciplinado. Sobre este tema, la Corte Constitucional ha aclarado que:</w:t>
      </w:r>
    </w:p>
    <w:p w14:paraId="2FBE10FB" w14:textId="77777777" w:rsidR="002511E2" w:rsidRPr="005F7212" w:rsidRDefault="002511E2" w:rsidP="002511E2">
      <w:pPr>
        <w:widowControl w:val="0"/>
        <w:autoSpaceDE w:val="0"/>
        <w:autoSpaceDN w:val="0"/>
        <w:spacing w:after="0" w:line="276" w:lineRule="auto"/>
        <w:jc w:val="both"/>
        <w:rPr>
          <w:rFonts w:ascii="Verdana" w:hAnsi="Verdana" w:cs="Arial"/>
        </w:rPr>
      </w:pPr>
    </w:p>
    <w:p w14:paraId="299E460D" w14:textId="77777777" w:rsidR="002511E2" w:rsidRPr="005F7212" w:rsidRDefault="002511E2" w:rsidP="002511E2">
      <w:pPr>
        <w:widowControl w:val="0"/>
        <w:autoSpaceDE w:val="0"/>
        <w:autoSpaceDN w:val="0"/>
        <w:spacing w:after="0" w:line="240" w:lineRule="auto"/>
        <w:ind w:left="708" w:right="709" w:firstLine="2"/>
        <w:jc w:val="both"/>
        <w:rPr>
          <w:rFonts w:ascii="Verdana" w:hAnsi="Verdana" w:cs="Arial"/>
          <w:sz w:val="20"/>
          <w:szCs w:val="20"/>
        </w:rPr>
      </w:pPr>
      <w:r w:rsidRPr="005F7212">
        <w:rPr>
          <w:rFonts w:ascii="Verdana" w:hAnsi="Verdana"/>
          <w:sz w:val="20"/>
          <w:szCs w:val="20"/>
          <w:shd w:val="clear" w:color="auto" w:fill="FFFFFF"/>
        </w:rPr>
        <w:t>[…] las faltas disciplinarias imputables a los abogados en cuanto no revisten la misma lesividad pueden ser sancionadas con diversas medidas, dependiendo de su gravedad: con censura y multa – como sanción autónoma- las de menor entidad, y con suspensión y exclusión de la profesión las que revisten mayor gravedad, trascendencia social y potencialidad lesiva de intereses de especial relevancia.</w:t>
      </w:r>
      <w:r w:rsidRPr="005F7212">
        <w:rPr>
          <w:rStyle w:val="Refdenotaalpie"/>
          <w:rFonts w:ascii="Verdana" w:hAnsi="Verdana"/>
          <w:sz w:val="20"/>
          <w:szCs w:val="20"/>
          <w:shd w:val="clear" w:color="auto" w:fill="FFFFFF"/>
        </w:rPr>
        <w:footnoteReference w:id="2"/>
      </w:r>
    </w:p>
    <w:p w14:paraId="37F22489" w14:textId="77777777" w:rsidR="002511E2" w:rsidRPr="005F7212" w:rsidRDefault="002511E2" w:rsidP="002511E2">
      <w:pPr>
        <w:widowControl w:val="0"/>
        <w:autoSpaceDE w:val="0"/>
        <w:autoSpaceDN w:val="0"/>
        <w:spacing w:after="0" w:line="276" w:lineRule="auto"/>
        <w:jc w:val="both"/>
        <w:rPr>
          <w:rFonts w:ascii="Verdana" w:hAnsi="Verdana" w:cs="Arial"/>
        </w:rPr>
      </w:pPr>
    </w:p>
    <w:p w14:paraId="5F705E01" w14:textId="46AC8E63" w:rsidR="002511E2" w:rsidRPr="005F7212" w:rsidRDefault="002511E2" w:rsidP="002511E2">
      <w:pPr>
        <w:widowControl w:val="0"/>
        <w:autoSpaceDE w:val="0"/>
        <w:autoSpaceDN w:val="0"/>
        <w:spacing w:after="120" w:line="276" w:lineRule="auto"/>
        <w:jc w:val="both"/>
        <w:rPr>
          <w:rFonts w:ascii="Verdana" w:eastAsia="Calibri" w:hAnsi="Verdana" w:cs="Arial"/>
          <w:lang w:eastAsia="es-ES"/>
        </w:rPr>
      </w:pPr>
      <w:r w:rsidRPr="005F7212">
        <w:rPr>
          <w:rFonts w:ascii="Verdana" w:hAnsi="Verdana" w:cs="Arial"/>
        </w:rPr>
        <w:tab/>
        <w:t xml:space="preserve">Así, se encuentra que la censura es una sanción disciplinaria a las faltas disciplinarias imputables a los abogados cuya lesividad es de menor entidad. Ahora bien, la misma corresponde a la reprobación pública del abogado por la falta cometida y como puede observarse en la norma, esta no implica la suspensión o prohibición del ejercicio de la profesión. </w:t>
      </w:r>
      <w:r w:rsidRPr="005F7212">
        <w:rPr>
          <w:rFonts w:ascii="Verdana" w:eastAsia="Calibri" w:hAnsi="Verdana" w:cs="Arial"/>
          <w:lang w:eastAsia="es-ES"/>
        </w:rPr>
        <w:t xml:space="preserve">Con respecto a esta sanción el numeral 2) del literal b) del artículo 45 ibídem, contempla como circunstancia de atenuación el haber procurado, por iniciativa propia, resarcir el daño o compensar el perjuicio causado. La concurrencia de tal circunstancia implica que la sanción aplicable sea siempre la censura, con la condición </w:t>
      </w:r>
      <w:r w:rsidR="00D61D04">
        <w:rPr>
          <w:rFonts w:ascii="Verdana" w:eastAsia="Calibri" w:hAnsi="Verdana" w:cs="Arial"/>
          <w:lang w:eastAsia="es-ES"/>
        </w:rPr>
        <w:t xml:space="preserve">de </w:t>
      </w:r>
      <w:r w:rsidRPr="005F7212">
        <w:rPr>
          <w:rFonts w:ascii="Verdana" w:eastAsia="Calibri" w:hAnsi="Verdana" w:cs="Arial"/>
          <w:lang w:eastAsia="es-ES"/>
        </w:rPr>
        <w:t>que el investigado carezca de antecedentes disciplinarios.</w:t>
      </w:r>
    </w:p>
    <w:p w14:paraId="74D33C14" w14:textId="77777777" w:rsidR="002511E2" w:rsidRPr="005F7212" w:rsidRDefault="002511E2" w:rsidP="002511E2">
      <w:pPr>
        <w:widowControl w:val="0"/>
        <w:autoSpaceDE w:val="0"/>
        <w:autoSpaceDN w:val="0"/>
        <w:spacing w:after="120" w:line="276" w:lineRule="auto"/>
        <w:ind w:firstLine="708"/>
        <w:jc w:val="both"/>
        <w:rPr>
          <w:rFonts w:ascii="Verdana" w:eastAsia="Calibri" w:hAnsi="Verdana" w:cs="Arial"/>
          <w:lang w:eastAsia="es-ES"/>
        </w:rPr>
      </w:pPr>
      <w:r w:rsidRPr="005F7212">
        <w:rPr>
          <w:rFonts w:ascii="Verdana" w:eastAsia="Calibri" w:hAnsi="Verdana" w:cs="Arial"/>
          <w:lang w:eastAsia="es-ES"/>
        </w:rPr>
        <w:t xml:space="preserve"> En tal sentido, es importante precisar que el artículo 29, numeral 4° de la Ley 1123 de 2007 que regula las incompatibilidades para ejercer la abogacía, dispone que no pueden ejercer la profesión de abogado cuando sean suspendidos o excluidos, esto es, que la sanción haya sido la suspensión o la exclusión, contemplados en los artículos 44 y 45 respectivamente de la precitada Ley. De este modo, puede inferirse de la Ley 1123 de 2007 –Código Disciplinario del Abogado- que la censura no se contempla como sanción que conlleve a la suspensión o exclusión, lo cual no implica, en principio, una restricción o afectación de la capacidad para celebrar un contrato de prestación de servicios </w:t>
      </w:r>
      <w:r w:rsidRPr="005F7212">
        <w:rPr>
          <w:rFonts w:ascii="Verdana" w:eastAsia="Calibri" w:hAnsi="Verdana" w:cs="Arial"/>
          <w:lang w:eastAsia="es-ES"/>
        </w:rPr>
        <w:lastRenderedPageBreak/>
        <w:t xml:space="preserve">profesionales con una entidad estatal, aclarando en todo caso que es al fallador del proceso disciplinario correspondiente previa aplicación del debido proceso definir la sanción a aplicar de conformidad con la ley. </w:t>
      </w:r>
    </w:p>
    <w:p w14:paraId="66B4C4CC" w14:textId="77777777" w:rsidR="002511E2" w:rsidRPr="005F7212" w:rsidRDefault="002511E2" w:rsidP="002511E2">
      <w:pPr>
        <w:widowControl w:val="0"/>
        <w:autoSpaceDE w:val="0"/>
        <w:autoSpaceDN w:val="0"/>
        <w:spacing w:after="120" w:line="276" w:lineRule="auto"/>
        <w:ind w:firstLine="708"/>
        <w:jc w:val="both"/>
        <w:rPr>
          <w:rFonts w:ascii="Verdana" w:eastAsia="Calibri" w:hAnsi="Verdana" w:cs="Arial"/>
          <w:lang w:eastAsia="es-ES"/>
        </w:rPr>
      </w:pPr>
      <w:r w:rsidRPr="005F7212">
        <w:rPr>
          <w:rFonts w:ascii="Verdana" w:eastAsia="Calibri" w:hAnsi="Verdana" w:cs="Arial"/>
          <w:lang w:eastAsia="es-ES"/>
        </w:rPr>
        <w:t xml:space="preserve">No obstante, los tipos de sanciones disciplinarias que puedan llegar a imponerse a los abogados, como la multa, censura, suspensión o exclusión, éstas tienen una regulación dispuesta para su registro en el </w:t>
      </w:r>
      <w:bookmarkStart w:id="5" w:name="_Hlk194585783"/>
      <w:r w:rsidRPr="005F7212">
        <w:rPr>
          <w:rFonts w:ascii="Verdana" w:eastAsia="Calibri" w:hAnsi="Verdana" w:cs="Arial"/>
          <w:lang w:eastAsia="es-ES"/>
        </w:rPr>
        <w:t>Acuerdo 075 de 2024, “Por el cual se regula la expedición de los certificados de sanciones vigentes y de antecedentes disciplinarios de la Comisión Nacional de Disciplina Judicial</w:t>
      </w:r>
      <w:bookmarkEnd w:id="5"/>
      <w:r w:rsidRPr="005F7212">
        <w:rPr>
          <w:rFonts w:ascii="Verdana" w:eastAsia="Calibri" w:hAnsi="Verdana" w:cs="Arial"/>
          <w:lang w:eastAsia="es-ES"/>
        </w:rPr>
        <w:t>”. Esta resolución establece dos tipos de certificados para efectos de consulta de los interesados: i) el certificado de sanciones vigentes, que contiene las sanciones vigentes de la expedición, en cumplimiento de lo establecido en el artículo 238 de la Ley 1952 de 2019, en armonía con el artículo 45 de Ley 1123 de 2007; ii) el certificado de antecedentes disciplinarios, que contiene el listado de anotaciones de las sanciones de los últimos cinco (5) años, previos a la comisión de la falta que se investiga, en cumplimiento de lo establecido en el artículo 238 de la Ley 1952 de 2019, en armonía con el artículo 45 de Ley 1123 de 2007.</w:t>
      </w:r>
    </w:p>
    <w:p w14:paraId="3FEEB7ED" w14:textId="77777777" w:rsidR="002511E2" w:rsidRPr="005F7212" w:rsidRDefault="002511E2" w:rsidP="002511E2">
      <w:pPr>
        <w:widowControl w:val="0"/>
        <w:autoSpaceDE w:val="0"/>
        <w:autoSpaceDN w:val="0"/>
        <w:spacing w:after="120" w:line="276" w:lineRule="auto"/>
        <w:ind w:firstLine="708"/>
        <w:jc w:val="both"/>
        <w:rPr>
          <w:rFonts w:ascii="Verdana" w:eastAsia="Calibri" w:hAnsi="Verdana" w:cs="Arial"/>
          <w:lang w:val="es-ES"/>
        </w:rPr>
      </w:pPr>
      <w:r w:rsidRPr="005F7212">
        <w:rPr>
          <w:rFonts w:ascii="Verdana" w:eastAsia="Calibri" w:hAnsi="Verdana" w:cs="Arial"/>
          <w:lang w:val="es-ES"/>
        </w:rPr>
        <w:t>Adicionalmente, al analizar el régimen de inhabilidades e incompatibilidades para determinar si la sanción de censura da lugar a la aplicación del mismo, sea lo primero aclarar que este régimen es un conjunto de normas que impone restricciones para los sujetos que eventualmente pretendan participar en los procedimientos de selección o en la celebración de contratos con las entidades estatales, constituyendo “</w:t>
      </w:r>
      <w:r w:rsidRPr="005F7212">
        <w:rPr>
          <w:rFonts w:ascii="Verdana" w:eastAsia="Calibri" w:hAnsi="Verdana" w:cs="Arial"/>
          <w:i/>
          <w:iCs/>
          <w:lang w:val="es-ES"/>
        </w:rPr>
        <w:t>prohibiciones que restringen la capacidad y la libertad de un contratista para acceder a la contratación</w:t>
      </w:r>
      <w:r w:rsidRPr="005F7212">
        <w:rPr>
          <w:rFonts w:ascii="Verdana" w:eastAsia="Calibri" w:hAnsi="Verdana" w:cs="Arial"/>
          <w:lang w:val="es-ES"/>
        </w:rPr>
        <w:t>”</w:t>
      </w:r>
      <w:r w:rsidRPr="005F7212">
        <w:rPr>
          <w:rStyle w:val="Refdenotaalpie"/>
          <w:rFonts w:ascii="Verdana" w:eastAsia="Calibri" w:hAnsi="Verdana" w:cs="Arial"/>
          <w:lang w:val="es-ES"/>
        </w:rPr>
        <w:footnoteReference w:id="3"/>
      </w:r>
      <w:r w:rsidRPr="005F7212">
        <w:rPr>
          <w:rFonts w:ascii="Verdana" w:eastAsia="Calibri" w:hAnsi="Verdana" w:cs="Arial"/>
          <w:lang w:val="es-ES"/>
        </w:rPr>
        <w:t xml:space="preserve">. </w:t>
      </w:r>
    </w:p>
    <w:p w14:paraId="4412D591" w14:textId="36C2BD04" w:rsidR="002511E2" w:rsidRPr="005F7212" w:rsidRDefault="002511E2" w:rsidP="002511E2">
      <w:pPr>
        <w:widowControl w:val="0"/>
        <w:autoSpaceDE w:val="0"/>
        <w:autoSpaceDN w:val="0"/>
        <w:spacing w:after="120" w:line="276" w:lineRule="auto"/>
        <w:ind w:firstLine="708"/>
        <w:jc w:val="both"/>
        <w:rPr>
          <w:rFonts w:ascii="Verdana" w:eastAsia="Calibri" w:hAnsi="Verdana" w:cs="Arial"/>
          <w:lang w:val="es-ES"/>
        </w:rPr>
      </w:pPr>
      <w:r w:rsidRPr="005F7212">
        <w:rPr>
          <w:rFonts w:ascii="Verdana" w:eastAsia="Calibri" w:hAnsi="Verdana" w:cs="Arial"/>
          <w:lang w:val="es-ES"/>
        </w:rPr>
        <w:t xml:space="preserve">De una parte, las inhabilidades son prohibiciones para concurrir a los procedimientos de selección y para contratar con el Estado, que se derivan i) de la existencia de comportamientos reprochables o de sanciones anteriormente </w:t>
      </w:r>
      <w:r w:rsidR="000F10CD">
        <w:rPr>
          <w:rFonts w:ascii="Verdana" w:eastAsia="Calibri" w:hAnsi="Verdana" w:cs="Arial"/>
          <w:lang w:val="es-ES"/>
        </w:rPr>
        <w:lastRenderedPageBreak/>
        <w:t>i</w:t>
      </w:r>
      <w:r w:rsidRPr="005F7212">
        <w:rPr>
          <w:rFonts w:ascii="Verdana" w:eastAsia="Calibri" w:hAnsi="Verdana" w:cs="Arial"/>
          <w:lang w:val="es-ES"/>
        </w:rPr>
        <w:t>mpuestas</w:t>
      </w:r>
      <w:r w:rsidRPr="005F7212">
        <w:rPr>
          <w:rFonts w:ascii="Verdana" w:eastAsia="Calibri" w:hAnsi="Verdana" w:cs="Arial"/>
          <w:vertAlign w:val="superscript"/>
          <w:lang w:val="es-ES"/>
        </w:rPr>
        <w:footnoteReference w:id="4"/>
      </w:r>
      <w:r w:rsidRPr="005F7212">
        <w:rPr>
          <w:rFonts w:ascii="Verdana" w:eastAsia="Calibri" w:hAnsi="Verdana" w:cs="Arial"/>
          <w:lang w:val="es-ES"/>
        </w:rPr>
        <w:t>, ii) de vínculos personales relativos al parentesco o al estado civil</w:t>
      </w:r>
      <w:r w:rsidRPr="005F7212">
        <w:rPr>
          <w:rFonts w:ascii="Verdana" w:eastAsia="Calibri" w:hAnsi="Verdana" w:cs="Arial"/>
          <w:vertAlign w:val="superscript"/>
          <w:lang w:val="es-ES"/>
        </w:rPr>
        <w:footnoteReference w:id="5"/>
      </w:r>
      <w:r w:rsidRPr="005F7212">
        <w:rPr>
          <w:rFonts w:ascii="Verdana" w:eastAsia="Calibri" w:hAnsi="Verdana" w:cs="Arial"/>
          <w:lang w:val="es-ES"/>
        </w:rPr>
        <w:t xml:space="preserve"> o iii) de una actividad u oficio que se desempeñó en el pasado</w:t>
      </w:r>
      <w:r w:rsidRPr="005F7212">
        <w:rPr>
          <w:rFonts w:ascii="Verdana" w:eastAsia="Calibri" w:hAnsi="Verdana" w:cs="Arial"/>
          <w:vertAlign w:val="superscript"/>
          <w:lang w:val="es-ES"/>
        </w:rPr>
        <w:footnoteReference w:id="6"/>
      </w:r>
      <w:r w:rsidRPr="005F7212">
        <w:rPr>
          <w:rFonts w:ascii="Verdana" w:eastAsia="Calibri" w:hAnsi="Verdana" w:cs="Arial"/>
          <w:lang w:val="es-ES"/>
        </w:rPr>
        <w:t>. De otra,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5F7212">
        <w:rPr>
          <w:rFonts w:ascii="Verdana" w:eastAsia="Calibri" w:hAnsi="Verdana" w:cs="Arial"/>
          <w:vertAlign w:val="superscript"/>
          <w:lang w:val="es-ES"/>
        </w:rPr>
        <w:footnoteReference w:id="7"/>
      </w:r>
      <w:r w:rsidRPr="005F7212">
        <w:rPr>
          <w:rFonts w:ascii="Verdana" w:eastAsia="Calibri" w:hAnsi="Verdana" w:cs="Arial"/>
          <w:lang w:val="es-ES"/>
        </w:rPr>
        <w:t>.</w:t>
      </w:r>
    </w:p>
    <w:p w14:paraId="2197E6AE" w14:textId="77777777" w:rsidR="002511E2" w:rsidRPr="005F7212" w:rsidRDefault="002511E2" w:rsidP="002511E2">
      <w:pPr>
        <w:widowControl w:val="0"/>
        <w:autoSpaceDE w:val="0"/>
        <w:autoSpaceDN w:val="0"/>
        <w:spacing w:after="120" w:line="276" w:lineRule="auto"/>
        <w:jc w:val="both"/>
        <w:rPr>
          <w:rFonts w:ascii="Verdana" w:eastAsia="Calibri" w:hAnsi="Verdana" w:cs="Arial"/>
          <w:lang w:val="es-ES"/>
        </w:rPr>
      </w:pPr>
      <w:r w:rsidRPr="005F7212">
        <w:rPr>
          <w:rFonts w:ascii="Verdana" w:eastAsia="Calibri" w:hAnsi="Verdana" w:cs="Arial"/>
          <w:lang w:val="es-ES"/>
        </w:rPr>
        <w:lastRenderedPageBreak/>
        <w:tab/>
        <w:t xml:space="preserve">Debido a las restricciones que impone el régimen de inhabilidades e incompatibilidades, este se tipifica en la Ley expresamente y su interpretación debe ser restrictiva. Es decir, las causales de inhabilidad e impedimentos deben estar enunciadas en las normas de forma taxativa y al aplicarse en una situación particular su interpretación debe ser restrictiva, de tal forma que no se admita una interpretación amplia o extensiva que permitiera contemplar supuestos indeterminados como causales de inhabilidad o impedimentos. Por lo que, la interpretación de los efectos de la suspensión o exclusión del ejercicio de la profesión no puede hacerse extensiva a otras sanciones que no estén expresamente establecidas en la norma. </w:t>
      </w:r>
    </w:p>
    <w:p w14:paraId="5B79743B" w14:textId="77777777" w:rsidR="002511E2" w:rsidRPr="005F7212" w:rsidRDefault="002511E2" w:rsidP="002511E2">
      <w:pPr>
        <w:widowControl w:val="0"/>
        <w:autoSpaceDE w:val="0"/>
        <w:autoSpaceDN w:val="0"/>
        <w:spacing w:after="120" w:line="276" w:lineRule="auto"/>
        <w:ind w:firstLine="708"/>
        <w:jc w:val="both"/>
        <w:rPr>
          <w:rFonts w:ascii="Verdana" w:eastAsia="Calibri" w:hAnsi="Verdana" w:cs="Arial"/>
          <w:lang w:val="es-ES"/>
        </w:rPr>
      </w:pPr>
      <w:r w:rsidRPr="005F7212">
        <w:rPr>
          <w:rFonts w:ascii="Verdana" w:eastAsia="Calibri" w:hAnsi="Verdana" w:cs="Arial"/>
          <w:lang w:val="es-ES"/>
        </w:rPr>
        <w:t>En efecto, sobre la interpretación de este tipo de normas, la Corte Constitucional ha aclarado que</w:t>
      </w:r>
      <w:r w:rsidRPr="005F7212">
        <w:rPr>
          <w:rFonts w:ascii="Verdana" w:eastAsia="Calibri" w:hAnsi="Verdana" w:cs="Arial"/>
          <w:color w:val="000000"/>
          <w:szCs w:val="24"/>
          <w:lang w:val="es-ES_tradnl" w:eastAsia="es-ES_tradnl"/>
        </w:rPr>
        <w:t xml:space="preserv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5F7212">
        <w:rPr>
          <w:rFonts w:ascii="Verdana" w:eastAsia="Aptos" w:hAnsi="Verdana" w:cs="Times New Roman"/>
          <w:vertAlign w:val="superscript"/>
        </w:rPr>
        <w:footnoteReference w:id="8"/>
      </w:r>
      <w:r w:rsidRPr="005F7212">
        <w:rPr>
          <w:rFonts w:ascii="Verdana" w:eastAsia="Calibri" w:hAnsi="Verdana" w:cs="Arial"/>
          <w:color w:val="000000"/>
          <w:szCs w:val="24"/>
          <w:lang w:val="es-ES_tradnl" w:eastAsia="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5F7212">
        <w:rPr>
          <w:rFonts w:ascii="Verdana" w:eastAsia="Aptos" w:hAnsi="Verdana" w:cs="Times New Roman"/>
          <w:vertAlign w:val="superscript"/>
        </w:rPr>
        <w:footnoteReference w:id="9"/>
      </w:r>
      <w:r w:rsidRPr="005F7212">
        <w:rPr>
          <w:rFonts w:ascii="Verdana" w:eastAsia="Calibri" w:hAnsi="Verdana" w:cs="Arial"/>
          <w:color w:val="000000"/>
          <w:szCs w:val="24"/>
          <w:lang w:val="es-ES_tradnl" w:eastAsia="es-ES_tradnl"/>
        </w:rPr>
        <w:t>.</w:t>
      </w:r>
    </w:p>
    <w:p w14:paraId="5D6CDF29" w14:textId="77777777" w:rsidR="002511E2" w:rsidRPr="005F7212" w:rsidRDefault="002511E2" w:rsidP="002511E2">
      <w:pPr>
        <w:widowControl w:val="0"/>
        <w:autoSpaceDE w:val="0"/>
        <w:autoSpaceDN w:val="0"/>
        <w:spacing w:after="120" w:line="276" w:lineRule="auto"/>
        <w:ind w:firstLine="708"/>
        <w:jc w:val="both"/>
        <w:rPr>
          <w:rFonts w:ascii="Verdana" w:eastAsia="Calibri" w:hAnsi="Verdana" w:cs="Arial"/>
          <w:lang w:val="es-ES"/>
        </w:rPr>
      </w:pPr>
      <w:r w:rsidRPr="005F7212">
        <w:rPr>
          <w:rFonts w:ascii="Verdana" w:eastAsia="Calibri" w:hAnsi="Verdana" w:cs="Arial"/>
          <w:lang w:val="es-ES"/>
        </w:rPr>
        <w:t xml:space="preserve"> Así, al revisar lo dispuesto en el artículo 8 de la Ley 80 de 1993, que establece las causales de inhabilidad en contratación estatal, no se encuentra </w:t>
      </w:r>
      <w:r w:rsidRPr="005F7212">
        <w:rPr>
          <w:rFonts w:ascii="Verdana" w:eastAsia="Calibri" w:hAnsi="Verdana" w:cs="Arial"/>
          <w:lang w:val="es-ES"/>
        </w:rPr>
        <w:lastRenderedPageBreak/>
        <w:t>disposición referente a la sanción de censura y, por tanto, atendiendo a la interpretación restrictiva, no podría considerarse la misma como causal de inhabilidad para celebrar un contrato con el Estado.</w:t>
      </w:r>
    </w:p>
    <w:p w14:paraId="34BA1F08" w14:textId="77777777" w:rsidR="002511E2" w:rsidRPr="005F7212" w:rsidRDefault="002511E2" w:rsidP="002511E2">
      <w:pPr>
        <w:widowControl w:val="0"/>
        <w:autoSpaceDE w:val="0"/>
        <w:autoSpaceDN w:val="0"/>
        <w:spacing w:after="0" w:line="276" w:lineRule="auto"/>
        <w:ind w:firstLine="708"/>
        <w:jc w:val="both"/>
        <w:rPr>
          <w:rFonts w:ascii="Verdana" w:eastAsia="Calibri" w:hAnsi="Verdana" w:cs="Arial"/>
          <w:lang w:val="es-ES"/>
        </w:rPr>
      </w:pPr>
      <w:r w:rsidRPr="005F7212">
        <w:rPr>
          <w:rFonts w:ascii="Verdana" w:hAnsi="Verdana" w:cs="Arial"/>
        </w:rPr>
        <w:t xml:space="preserve">Por último, teniendo en cuenta que la consulta hace referencia a los contratos de prestación de servicios, </w:t>
      </w:r>
      <w:r w:rsidRPr="005F7212">
        <w:rPr>
          <w:rFonts w:ascii="Verdana" w:eastAsia="Calibri" w:hAnsi="Verdana" w:cs="Arial"/>
          <w:lang w:val="es-ES"/>
        </w:rPr>
        <w:t>que son un contrato estatal típico regulado en el numeral 3 del artículo 32 de la Ley 80 de 1993:</w:t>
      </w:r>
    </w:p>
    <w:p w14:paraId="63454867" w14:textId="77777777" w:rsidR="002511E2" w:rsidRPr="005F7212" w:rsidRDefault="002511E2" w:rsidP="002511E2">
      <w:pPr>
        <w:widowControl w:val="0"/>
        <w:autoSpaceDE w:val="0"/>
        <w:autoSpaceDN w:val="0"/>
        <w:spacing w:after="0" w:line="276" w:lineRule="auto"/>
        <w:ind w:firstLine="708"/>
        <w:jc w:val="both"/>
        <w:rPr>
          <w:rFonts w:ascii="Verdana" w:eastAsia="Calibri" w:hAnsi="Verdana" w:cs="Arial"/>
          <w:lang w:val="es-ES"/>
        </w:rPr>
      </w:pPr>
    </w:p>
    <w:p w14:paraId="73F770BB" w14:textId="77777777" w:rsidR="002511E2" w:rsidRPr="005F7212" w:rsidRDefault="002511E2" w:rsidP="000A00CE">
      <w:pPr>
        <w:spacing w:after="0" w:line="240" w:lineRule="auto"/>
        <w:ind w:left="709" w:right="709"/>
        <w:jc w:val="both"/>
        <w:rPr>
          <w:rFonts w:ascii="Verdana" w:eastAsia="Times New Roman" w:hAnsi="Verdana" w:cs="Open Sans"/>
          <w:sz w:val="20"/>
          <w:szCs w:val="20"/>
          <w:lang w:eastAsia="es-CO"/>
        </w:rPr>
      </w:pPr>
      <w:r w:rsidRPr="005F7212">
        <w:rPr>
          <w:rFonts w:ascii="Verdana" w:eastAsia="Times New Roman" w:hAnsi="Verdana" w:cs="Open Sans"/>
          <w:sz w:val="20"/>
          <w:szCs w:val="20"/>
          <w:lang w:eastAsia="es-CO"/>
        </w:rPr>
        <w:t>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5F7212">
        <w:rPr>
          <w:rFonts w:ascii="Verdana" w:eastAsia="Times New Roman" w:hAnsi="Verdana" w:cs="Open Sans"/>
          <w:sz w:val="20"/>
          <w:szCs w:val="20"/>
          <w:u w:val="single"/>
          <w:lang w:eastAsia="es-CO"/>
        </w:rPr>
        <w:t>no puedan realizarse con personal de planta</w:t>
      </w:r>
      <w:r w:rsidRPr="005F7212">
        <w:rPr>
          <w:rFonts w:ascii="Verdana" w:eastAsia="Times New Roman" w:hAnsi="Verdana" w:cs="Open Sans"/>
          <w:sz w:val="20"/>
          <w:szCs w:val="20"/>
          <w:lang w:eastAsia="es-CO"/>
        </w:rPr>
        <w:t> o requieran conocimientos especializados.</w:t>
      </w:r>
    </w:p>
    <w:p w14:paraId="76ACA38D" w14:textId="77777777" w:rsidR="002511E2" w:rsidRPr="005F7212" w:rsidRDefault="002511E2" w:rsidP="000A00CE">
      <w:pPr>
        <w:spacing w:after="0" w:line="240" w:lineRule="auto"/>
        <w:ind w:left="709" w:right="709"/>
        <w:jc w:val="both"/>
        <w:rPr>
          <w:rFonts w:ascii="Verdana" w:eastAsia="Times New Roman" w:hAnsi="Verdana" w:cs="Open Sans"/>
          <w:sz w:val="20"/>
          <w:szCs w:val="20"/>
          <w:lang w:eastAsia="es-CO"/>
        </w:rPr>
      </w:pPr>
    </w:p>
    <w:p w14:paraId="580B4E89" w14:textId="77777777" w:rsidR="002511E2" w:rsidRPr="005F7212" w:rsidRDefault="002511E2" w:rsidP="000A00CE">
      <w:pPr>
        <w:spacing w:after="0" w:line="240" w:lineRule="auto"/>
        <w:ind w:left="709" w:right="709"/>
        <w:jc w:val="both"/>
        <w:rPr>
          <w:rFonts w:ascii="Verdana" w:eastAsia="Times New Roman" w:hAnsi="Verdana" w:cs="Open Sans"/>
          <w:sz w:val="20"/>
          <w:szCs w:val="20"/>
          <w:lang w:eastAsia="es-CO"/>
        </w:rPr>
      </w:pPr>
      <w:r w:rsidRPr="005F7212">
        <w:rPr>
          <w:rFonts w:ascii="Verdana" w:eastAsia="Times New Roman" w:hAnsi="Verdana" w:cs="Open Sans"/>
          <w:sz w:val="20"/>
          <w:szCs w:val="20"/>
          <w:u w:val="single"/>
          <w:lang w:eastAsia="es-CO"/>
        </w:rPr>
        <w:t>En ningún caso</w:t>
      </w:r>
      <w:r w:rsidRPr="005F7212">
        <w:rPr>
          <w:rFonts w:ascii="Verdana" w:eastAsia="Times New Roman" w:hAnsi="Verdana" w:cs="Open Sans"/>
          <w:sz w:val="20"/>
          <w:szCs w:val="20"/>
          <w:lang w:eastAsia="es-CO"/>
        </w:rPr>
        <w:t> estos contratos</w:t>
      </w:r>
      <w:r w:rsidRPr="005F7212">
        <w:rPr>
          <w:rFonts w:ascii="Verdana" w:eastAsia="Times New Roman" w:hAnsi="Verdana" w:cs="Open Sans"/>
          <w:sz w:val="20"/>
          <w:szCs w:val="20"/>
          <w:u w:val="single"/>
          <w:lang w:eastAsia="es-CO"/>
        </w:rPr>
        <w:t> generan relación laboral ni prestaciones sociales</w:t>
      </w:r>
      <w:r w:rsidRPr="005F7212">
        <w:rPr>
          <w:rFonts w:ascii="Verdana" w:eastAsia="Times New Roman" w:hAnsi="Verdana" w:cs="Open Sans"/>
          <w:sz w:val="20"/>
          <w:szCs w:val="20"/>
          <w:lang w:eastAsia="es-CO"/>
        </w:rPr>
        <w:t> y se celebrarán por el término estrictamente indispensable.</w:t>
      </w:r>
    </w:p>
    <w:p w14:paraId="44D0B06A" w14:textId="77777777" w:rsidR="002511E2" w:rsidRPr="005F7212" w:rsidRDefault="002511E2" w:rsidP="000A00CE">
      <w:pPr>
        <w:spacing w:after="0" w:line="276" w:lineRule="auto"/>
        <w:ind w:left="709" w:right="709"/>
        <w:jc w:val="both"/>
        <w:rPr>
          <w:rFonts w:ascii="Verdana" w:eastAsia="Times New Roman" w:hAnsi="Verdana" w:cs="Open Sans"/>
          <w:sz w:val="20"/>
          <w:szCs w:val="20"/>
          <w:lang w:eastAsia="es-CO"/>
        </w:rPr>
      </w:pPr>
    </w:p>
    <w:p w14:paraId="150CB9C3" w14:textId="77777777" w:rsidR="002511E2" w:rsidRPr="005F7212" w:rsidRDefault="002511E2" w:rsidP="000A00CE">
      <w:pPr>
        <w:widowControl w:val="0"/>
        <w:autoSpaceDE w:val="0"/>
        <w:autoSpaceDN w:val="0"/>
        <w:spacing w:after="0" w:line="276" w:lineRule="auto"/>
        <w:ind w:firstLine="708"/>
        <w:jc w:val="both"/>
        <w:rPr>
          <w:rFonts w:ascii="Verdana" w:eastAsia="Calibri" w:hAnsi="Verdana" w:cs="Arial"/>
        </w:rPr>
      </w:pPr>
      <w:r w:rsidRPr="005F7212">
        <w:rPr>
          <w:rFonts w:ascii="Verdana" w:hAnsi="Verdana" w:cs="Arial"/>
        </w:rPr>
        <w:t xml:space="preserve">Se considera relevante señalar la obligación de las entidades estatales de verificar la idoneidad de las personas con las que se celebrará este tipo de contratos </w:t>
      </w:r>
      <w:r w:rsidRPr="005F7212">
        <w:rPr>
          <w:rFonts w:ascii="Verdana" w:eastAsia="Calibri" w:hAnsi="Verdana" w:cs="Arial"/>
        </w:rPr>
        <w:t xml:space="preserve">establecida en el </w:t>
      </w:r>
      <w:bookmarkStart w:id="7" w:name="_Hlk194585867"/>
      <w:r w:rsidRPr="005F7212">
        <w:rPr>
          <w:rFonts w:ascii="Verdana" w:eastAsia="Calibri" w:hAnsi="Verdana" w:cs="Arial"/>
        </w:rPr>
        <w:t xml:space="preserve">artículo 2.2.1.2.1.4.9 </w:t>
      </w:r>
      <w:bookmarkEnd w:id="7"/>
      <w:r w:rsidRPr="005F7212">
        <w:rPr>
          <w:rFonts w:ascii="Verdana" w:eastAsia="Calibri" w:hAnsi="Verdana" w:cs="Arial"/>
        </w:rPr>
        <w:t xml:space="preserve">del Decreto 1082 de 2015, que prescribe: </w:t>
      </w:r>
    </w:p>
    <w:p w14:paraId="243F2CDB" w14:textId="77777777" w:rsidR="002511E2" w:rsidRPr="005F7212" w:rsidRDefault="002511E2" w:rsidP="002511E2">
      <w:pPr>
        <w:spacing w:after="0" w:line="276" w:lineRule="auto"/>
        <w:jc w:val="both"/>
        <w:rPr>
          <w:rFonts w:ascii="Verdana" w:eastAsia="Calibri" w:hAnsi="Verdana" w:cs="Arial"/>
        </w:rPr>
      </w:pPr>
    </w:p>
    <w:p w14:paraId="26A89E2F" w14:textId="77777777" w:rsidR="002511E2" w:rsidRPr="005F7212" w:rsidRDefault="002511E2" w:rsidP="002511E2">
      <w:pPr>
        <w:spacing w:after="0" w:line="240" w:lineRule="auto"/>
        <w:ind w:left="709" w:right="709"/>
        <w:jc w:val="both"/>
        <w:rPr>
          <w:rFonts w:ascii="Verdana" w:eastAsia="Calibri" w:hAnsi="Verdana" w:cs="Arial"/>
          <w:sz w:val="20"/>
          <w:szCs w:val="20"/>
        </w:rPr>
      </w:pPr>
      <w:r w:rsidRPr="005F7212">
        <w:rPr>
          <w:rFonts w:ascii="Verdana" w:eastAsia="Calibri" w:hAnsi="Verdana" w:cs="Arial"/>
          <w:sz w:val="20"/>
          <w:szCs w:val="20"/>
        </w:rPr>
        <w:t xml:space="preserve">Las Entidades Estatales pueden contratar bajo la modalidad de contratación directa la prestación de servicios profesionales y de apoyo a la gestión con la persona natural o jurídica que esté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w:t>
      </w:r>
    </w:p>
    <w:p w14:paraId="2DC935A3" w14:textId="77777777" w:rsidR="002511E2" w:rsidRPr="005F7212" w:rsidRDefault="002511E2" w:rsidP="002511E2">
      <w:pPr>
        <w:spacing w:after="0" w:line="240" w:lineRule="auto"/>
        <w:jc w:val="both"/>
        <w:rPr>
          <w:rFonts w:ascii="Verdana" w:eastAsia="Calibri" w:hAnsi="Verdana" w:cs="Arial"/>
          <w:sz w:val="20"/>
          <w:szCs w:val="20"/>
        </w:rPr>
      </w:pPr>
    </w:p>
    <w:p w14:paraId="1B1B6969" w14:textId="77777777" w:rsidR="002511E2" w:rsidRPr="005F7212" w:rsidRDefault="002511E2" w:rsidP="002511E2">
      <w:pPr>
        <w:spacing w:after="0" w:line="240" w:lineRule="auto"/>
        <w:ind w:left="709" w:right="709"/>
        <w:jc w:val="both"/>
        <w:rPr>
          <w:rFonts w:ascii="Verdana" w:eastAsia="Calibri" w:hAnsi="Verdana" w:cs="Arial"/>
          <w:sz w:val="20"/>
          <w:szCs w:val="20"/>
        </w:rPr>
      </w:pPr>
      <w:r w:rsidRPr="005F7212">
        <w:rPr>
          <w:rFonts w:ascii="Verdana" w:eastAsia="Calibri" w:hAnsi="Verdana" w:cs="Arial"/>
          <w:sz w:val="20"/>
          <w:szCs w:val="20"/>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w:t>
      </w:r>
    </w:p>
    <w:p w14:paraId="05A7A7A8" w14:textId="77777777" w:rsidR="002511E2" w:rsidRPr="005F7212" w:rsidRDefault="002511E2" w:rsidP="002511E2">
      <w:pPr>
        <w:spacing w:after="0" w:line="240" w:lineRule="auto"/>
        <w:ind w:right="709"/>
        <w:jc w:val="both"/>
        <w:rPr>
          <w:rFonts w:ascii="Verdana" w:eastAsia="Calibri" w:hAnsi="Verdana" w:cs="Arial"/>
          <w:sz w:val="21"/>
          <w:szCs w:val="21"/>
        </w:rPr>
      </w:pPr>
    </w:p>
    <w:p w14:paraId="0BD78897" w14:textId="77777777" w:rsidR="002511E2" w:rsidRPr="000A00CE" w:rsidRDefault="002511E2" w:rsidP="002511E2">
      <w:pPr>
        <w:spacing w:after="120" w:line="276" w:lineRule="auto"/>
        <w:ind w:right="51" w:firstLine="709"/>
        <w:jc w:val="both"/>
        <w:rPr>
          <w:rFonts w:ascii="Verdana" w:eastAsia="Calibri" w:hAnsi="Verdana" w:cs="Arial"/>
        </w:rPr>
      </w:pPr>
      <w:r w:rsidRPr="000A00CE">
        <w:rPr>
          <w:rFonts w:ascii="Verdana" w:eastAsia="Calibri" w:hAnsi="Verdana" w:cs="Arial"/>
        </w:rPr>
        <w:t xml:space="preserve">Se resalta que </w:t>
      </w:r>
      <w:r w:rsidRPr="005F7212">
        <w:rPr>
          <w:rFonts w:ascii="Verdana" w:hAnsi="Verdana" w:cs="Arial"/>
        </w:rPr>
        <w:t xml:space="preserve">cada entidad estatal tiene la facultad de definir los requisitos habilitantes para la contratación en los documentos previos de acuerdo con las características y la naturaleza del contrato, atendiendo siempre a los principios de planeación, transparencia y selección objetiva. En virtud de los cuales, la Entidad estatal al definir la necesidad a satisfacer con la contratación de prestación de servicios profesionales, debe establecer el objeto </w:t>
      </w:r>
      <w:r w:rsidRPr="005F7212">
        <w:rPr>
          <w:rFonts w:ascii="Verdana" w:hAnsi="Verdana" w:cs="Arial"/>
        </w:rPr>
        <w:lastRenderedPageBreak/>
        <w:t xml:space="preserve">contractual, las obligaciones que lo desarrollan y el perfil requerido para dar cumplimiento a los mismos. </w:t>
      </w:r>
    </w:p>
    <w:p w14:paraId="2BDFA76D" w14:textId="77777777" w:rsidR="00617AE6" w:rsidRDefault="002511E2" w:rsidP="000A00CE">
      <w:pPr>
        <w:widowControl w:val="0"/>
        <w:autoSpaceDE w:val="0"/>
        <w:autoSpaceDN w:val="0"/>
        <w:spacing w:after="120" w:line="276" w:lineRule="auto"/>
        <w:jc w:val="both"/>
        <w:rPr>
          <w:rFonts w:ascii="Verdana" w:eastAsia="Calibri" w:hAnsi="Verdana" w:cs="Arial"/>
        </w:rPr>
      </w:pPr>
      <w:r w:rsidRPr="005F7212">
        <w:rPr>
          <w:rFonts w:ascii="Verdana" w:hAnsi="Verdana" w:cs="Arial"/>
        </w:rPr>
        <w:tab/>
        <w:t xml:space="preserve">Una vez establecidos los requisitos habilitantes y las demás características de la contratación en los documentos previos, a cada entidad estatal le corresponde </w:t>
      </w:r>
      <w:r w:rsidRPr="005F7212">
        <w:rPr>
          <w:rFonts w:ascii="Verdana" w:hAnsi="Verdana" w:cs="Arial"/>
          <w:lang w:val="es-ES"/>
        </w:rPr>
        <w:t xml:space="preserve">verificar la idoneidad de las personas que pretendan celebrar contratos de prestación de servicios profesionales, de acuerdo con las características, el alcance del objeto del contrato y el perfil establecido. </w:t>
      </w:r>
      <w:r w:rsidRPr="005F7212">
        <w:rPr>
          <w:rFonts w:ascii="Verdana" w:eastAsia="Calibri" w:hAnsi="Verdana" w:cs="Arial"/>
        </w:rPr>
        <w:t xml:space="preserve">Para el caso concreto de su consulta, se precisa que la profesión de abogado puede ejercerse de manera independiente en virtud de un contrato de prestación de servicios profesionales o de un mandato o poder, conforme al artículo 1 del </w:t>
      </w:r>
      <w:bookmarkStart w:id="8" w:name="_Hlk194585904"/>
      <w:r w:rsidRPr="005F7212">
        <w:rPr>
          <w:rFonts w:ascii="Verdana" w:eastAsia="Calibri" w:hAnsi="Verdana" w:cs="Arial"/>
        </w:rPr>
        <w:t xml:space="preserve">Decreto 3032 de 2013. </w:t>
      </w:r>
      <w:bookmarkEnd w:id="8"/>
    </w:p>
    <w:p w14:paraId="669FB0F1" w14:textId="72010311" w:rsidR="002511E2" w:rsidRPr="005F7212" w:rsidRDefault="002511E2" w:rsidP="000A00CE">
      <w:pPr>
        <w:widowControl w:val="0"/>
        <w:autoSpaceDE w:val="0"/>
        <w:autoSpaceDN w:val="0"/>
        <w:spacing w:after="0" w:line="276" w:lineRule="auto"/>
        <w:ind w:firstLine="708"/>
        <w:jc w:val="both"/>
        <w:rPr>
          <w:rFonts w:ascii="Verdana" w:hAnsi="Verdana" w:cs="Arial"/>
        </w:rPr>
      </w:pPr>
      <w:r w:rsidRPr="005F7212">
        <w:rPr>
          <w:rFonts w:ascii="Verdana" w:eastAsia="Calibri" w:hAnsi="Verdana" w:cs="Arial"/>
        </w:rPr>
        <w:t>En ese sentido, cuando la profesión de abogado se pone al servicio de la administración, en virtud de un contrato de prestación de servicios profesionales, le corresponde al abogado/contratista cumplir las obligaciones para la cual fue contratado, de conformidad a lo estipulado en el contrato, que se funda en un acuerdo entre las partes y bajo los principios de buena fe y confianza legítima.</w:t>
      </w:r>
    </w:p>
    <w:p w14:paraId="1753EE36" w14:textId="77777777" w:rsidR="002511E2" w:rsidRPr="005F7212" w:rsidRDefault="002511E2" w:rsidP="002511E2">
      <w:pPr>
        <w:widowControl w:val="0"/>
        <w:autoSpaceDE w:val="0"/>
        <w:autoSpaceDN w:val="0"/>
        <w:spacing w:after="0" w:line="276" w:lineRule="auto"/>
        <w:jc w:val="both"/>
        <w:rPr>
          <w:rFonts w:ascii="Verdana" w:hAnsi="Verdana" w:cs="Arial"/>
        </w:rPr>
      </w:pPr>
    </w:p>
    <w:p w14:paraId="09E64D3C" w14:textId="77777777" w:rsidR="002511E2" w:rsidRPr="005F7212" w:rsidRDefault="002511E2" w:rsidP="002511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F7212">
        <w:rPr>
          <w:rFonts w:ascii="Verdana" w:eastAsia="Century Gothic" w:hAnsi="Verdana" w:cs="Century Gothic"/>
          <w:b/>
          <w:bCs/>
        </w:rPr>
        <w:t>Referencias normativas, jurisprudenciales y otras fuentes:</w:t>
      </w:r>
    </w:p>
    <w:p w14:paraId="632DB270" w14:textId="77777777" w:rsidR="002511E2" w:rsidRPr="005F7212" w:rsidRDefault="002511E2" w:rsidP="002511E2">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511E2" w:rsidRPr="005F7212" w14:paraId="1C0747BA" w14:textId="77777777" w:rsidTr="001D130C">
        <w:trPr>
          <w:trHeight w:val="870"/>
        </w:trPr>
        <w:tc>
          <w:tcPr>
            <w:tcW w:w="8647" w:type="dxa"/>
          </w:tcPr>
          <w:p w14:paraId="6B236301" w14:textId="77777777" w:rsidR="002511E2" w:rsidRPr="005F7212" w:rsidRDefault="002511E2" w:rsidP="000A00CE">
            <w:pPr>
              <w:pStyle w:val="Prrafodelista"/>
              <w:widowControl w:val="0"/>
              <w:numPr>
                <w:ilvl w:val="0"/>
                <w:numId w:val="17"/>
              </w:numPr>
              <w:autoSpaceDE w:val="0"/>
              <w:autoSpaceDN w:val="0"/>
              <w:spacing w:line="276" w:lineRule="auto"/>
              <w:jc w:val="both"/>
              <w:rPr>
                <w:rFonts w:ascii="Verdana" w:hAnsi="Verdana" w:cs="Arial"/>
              </w:rPr>
            </w:pPr>
            <w:r w:rsidRPr="005F7212">
              <w:rPr>
                <w:rFonts w:ascii="Verdana" w:hAnsi="Verdana" w:cs="Arial"/>
              </w:rPr>
              <w:t>Ley 1123 de 2007, artículos 29, 41, 44 y 45</w:t>
            </w:r>
          </w:p>
          <w:p w14:paraId="479A01EB" w14:textId="77777777" w:rsidR="002511E2" w:rsidRPr="005F7212" w:rsidRDefault="002511E2" w:rsidP="000A00CE">
            <w:pPr>
              <w:pStyle w:val="Prrafodelista"/>
              <w:widowControl w:val="0"/>
              <w:numPr>
                <w:ilvl w:val="0"/>
                <w:numId w:val="17"/>
              </w:numPr>
              <w:autoSpaceDE w:val="0"/>
              <w:autoSpaceDN w:val="0"/>
              <w:spacing w:line="276" w:lineRule="auto"/>
              <w:jc w:val="both"/>
              <w:rPr>
                <w:rFonts w:ascii="Verdana" w:hAnsi="Verdana" w:cs="Arial"/>
              </w:rPr>
            </w:pPr>
            <w:r w:rsidRPr="005F7212">
              <w:rPr>
                <w:rFonts w:ascii="Verdana" w:hAnsi="Verdana" w:cs="Arial"/>
              </w:rPr>
              <w:t>Ley 80 de 1993, artículo 8 y 32</w:t>
            </w:r>
          </w:p>
          <w:p w14:paraId="7A486537" w14:textId="77777777" w:rsidR="002511E2" w:rsidRPr="005F7212" w:rsidRDefault="002511E2" w:rsidP="000A00CE">
            <w:pPr>
              <w:pStyle w:val="Prrafodelista"/>
              <w:widowControl w:val="0"/>
              <w:numPr>
                <w:ilvl w:val="0"/>
                <w:numId w:val="17"/>
              </w:numPr>
              <w:autoSpaceDE w:val="0"/>
              <w:autoSpaceDN w:val="0"/>
              <w:spacing w:line="276" w:lineRule="auto"/>
              <w:jc w:val="both"/>
              <w:rPr>
                <w:rFonts w:ascii="Verdana" w:hAnsi="Verdana" w:cs="Arial"/>
              </w:rPr>
            </w:pPr>
            <w:r w:rsidRPr="005F7212">
              <w:rPr>
                <w:rFonts w:ascii="Verdana" w:hAnsi="Verdana" w:cs="Arial"/>
              </w:rPr>
              <w:t>Decreto 3032 de 2013, artículo 1</w:t>
            </w:r>
          </w:p>
          <w:p w14:paraId="465FEECF" w14:textId="77777777" w:rsidR="002511E2" w:rsidRPr="005F7212" w:rsidRDefault="002511E2" w:rsidP="000A00CE">
            <w:pPr>
              <w:pStyle w:val="Prrafodelista"/>
              <w:widowControl w:val="0"/>
              <w:numPr>
                <w:ilvl w:val="0"/>
                <w:numId w:val="17"/>
              </w:numPr>
              <w:autoSpaceDE w:val="0"/>
              <w:autoSpaceDN w:val="0"/>
              <w:spacing w:line="276" w:lineRule="auto"/>
              <w:jc w:val="both"/>
              <w:rPr>
                <w:rFonts w:ascii="Verdana" w:hAnsi="Verdana" w:cs="Arial"/>
              </w:rPr>
            </w:pPr>
            <w:r w:rsidRPr="005F7212">
              <w:rPr>
                <w:rFonts w:ascii="Verdana" w:hAnsi="Verdana" w:cs="Arial"/>
              </w:rPr>
              <w:t>Decreto 1082 de 2015, artículo 2.2.1.2.1.4.9</w:t>
            </w:r>
          </w:p>
          <w:p w14:paraId="6959508A" w14:textId="77777777" w:rsidR="002511E2" w:rsidRPr="005F7212" w:rsidRDefault="002511E2" w:rsidP="000A00CE">
            <w:pPr>
              <w:pStyle w:val="Prrafodelista"/>
              <w:widowControl w:val="0"/>
              <w:numPr>
                <w:ilvl w:val="0"/>
                <w:numId w:val="17"/>
              </w:numPr>
              <w:autoSpaceDE w:val="0"/>
              <w:autoSpaceDN w:val="0"/>
              <w:spacing w:line="276" w:lineRule="auto"/>
              <w:jc w:val="both"/>
              <w:rPr>
                <w:rFonts w:ascii="Verdana" w:hAnsi="Verdana" w:cs="Arial"/>
              </w:rPr>
            </w:pPr>
            <w:r w:rsidRPr="005F7212">
              <w:rPr>
                <w:rFonts w:ascii="Verdana" w:hAnsi="Verdana" w:cs="Arial"/>
              </w:rPr>
              <w:t>Acuerdo 075 de 2024, “Por el cual se regula la expedición de los certificados de sanciones vigentes y de antecedentes disciplinarios de la Comisión Nacional de Disciplina Judicial”</w:t>
            </w:r>
          </w:p>
          <w:p w14:paraId="2273BA11" w14:textId="77777777" w:rsidR="002511E2" w:rsidRPr="005F7212" w:rsidRDefault="002511E2" w:rsidP="000A00CE">
            <w:pPr>
              <w:pStyle w:val="Prrafodelista"/>
              <w:widowControl w:val="0"/>
              <w:numPr>
                <w:ilvl w:val="0"/>
                <w:numId w:val="17"/>
              </w:numPr>
              <w:autoSpaceDE w:val="0"/>
              <w:autoSpaceDN w:val="0"/>
              <w:spacing w:line="276" w:lineRule="auto"/>
              <w:jc w:val="both"/>
              <w:rPr>
                <w:rFonts w:ascii="Verdana" w:hAnsi="Verdana" w:cs="Arial"/>
              </w:rPr>
            </w:pPr>
            <w:r w:rsidRPr="005F7212">
              <w:rPr>
                <w:rFonts w:ascii="Verdana" w:hAnsi="Verdana" w:cs="Arial"/>
              </w:rPr>
              <w:t>Corte Constitucional. Sentencia C-290/08. M.P: Jaime Córdoba Triviño</w:t>
            </w:r>
          </w:p>
          <w:p w14:paraId="4CB5E249" w14:textId="77777777" w:rsidR="002511E2" w:rsidRPr="005F7212" w:rsidRDefault="002511E2" w:rsidP="000A00CE">
            <w:pPr>
              <w:pStyle w:val="Prrafodelista"/>
              <w:widowControl w:val="0"/>
              <w:numPr>
                <w:ilvl w:val="0"/>
                <w:numId w:val="17"/>
              </w:numPr>
              <w:autoSpaceDE w:val="0"/>
              <w:autoSpaceDN w:val="0"/>
              <w:spacing w:line="276" w:lineRule="auto"/>
              <w:jc w:val="both"/>
              <w:rPr>
                <w:rFonts w:ascii="Verdana" w:hAnsi="Verdana" w:cs="Arial"/>
              </w:rPr>
            </w:pPr>
            <w:r w:rsidRPr="005F7212">
              <w:rPr>
                <w:rFonts w:ascii="Verdana" w:hAnsi="Verdana" w:cs="Arial"/>
              </w:rPr>
              <w:t>Corte Constitucional. Sentencia C-612/13. M.P: Alberto Rojas Ríos</w:t>
            </w:r>
          </w:p>
          <w:p w14:paraId="78B6E8A0" w14:textId="77777777" w:rsidR="002511E2" w:rsidRPr="005F7212" w:rsidRDefault="002511E2" w:rsidP="000A00CE">
            <w:pPr>
              <w:pStyle w:val="Prrafodelista"/>
              <w:widowControl w:val="0"/>
              <w:numPr>
                <w:ilvl w:val="0"/>
                <w:numId w:val="17"/>
              </w:numPr>
              <w:autoSpaceDE w:val="0"/>
              <w:autoSpaceDN w:val="0"/>
              <w:spacing w:line="276" w:lineRule="auto"/>
              <w:contextualSpacing w:val="0"/>
              <w:jc w:val="both"/>
              <w:rPr>
                <w:rFonts w:ascii="Verdana" w:hAnsi="Verdana" w:cs="Arial"/>
              </w:rPr>
            </w:pPr>
            <w:r w:rsidRPr="005F7212">
              <w:rPr>
                <w:rFonts w:ascii="Verdana" w:hAnsi="Verdana" w:cs="Arial"/>
              </w:rPr>
              <w:t>Corte Constitucional. Sentencia C-489/96. M.P: Antonio Barrera Carbonell</w:t>
            </w:r>
          </w:p>
        </w:tc>
      </w:tr>
    </w:tbl>
    <w:p w14:paraId="5E5758F3" w14:textId="77777777" w:rsidR="002511E2" w:rsidRPr="005F7212" w:rsidRDefault="002511E2" w:rsidP="002511E2">
      <w:pPr>
        <w:widowControl w:val="0"/>
        <w:autoSpaceDE w:val="0"/>
        <w:autoSpaceDN w:val="0"/>
        <w:spacing w:after="0" w:line="276" w:lineRule="auto"/>
        <w:jc w:val="both"/>
        <w:rPr>
          <w:rFonts w:ascii="Verdana" w:hAnsi="Verdana" w:cs="Arial"/>
        </w:rPr>
      </w:pPr>
    </w:p>
    <w:p w14:paraId="57FC4CD3" w14:textId="77777777" w:rsidR="002511E2" w:rsidRPr="005F7212" w:rsidRDefault="002511E2" w:rsidP="002511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F7212">
        <w:rPr>
          <w:rFonts w:ascii="Verdana" w:eastAsia="Century Gothic" w:hAnsi="Verdana" w:cs="Century Gothic"/>
          <w:b/>
          <w:bCs/>
        </w:rPr>
        <w:t>Doctrina de la Agencia Nacional de Contratación Pública:</w:t>
      </w:r>
    </w:p>
    <w:p w14:paraId="051C1FBC" w14:textId="77777777" w:rsidR="002511E2" w:rsidRPr="005F7212" w:rsidRDefault="002511E2" w:rsidP="002511E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2FA240C" w14:textId="77777777" w:rsidR="002511E2" w:rsidRPr="005F7212" w:rsidRDefault="002511E2" w:rsidP="002511E2">
      <w:pPr>
        <w:widowControl w:val="0"/>
        <w:autoSpaceDE w:val="0"/>
        <w:autoSpaceDN w:val="0"/>
        <w:spacing w:after="0" w:line="276" w:lineRule="auto"/>
        <w:jc w:val="both"/>
        <w:rPr>
          <w:rStyle w:val="normaltextrun"/>
          <w:rFonts w:ascii="Verdana" w:eastAsia="Aptos" w:hAnsi="Verdana" w:cs="Calibri"/>
        </w:rPr>
      </w:pPr>
      <w:r w:rsidRPr="005F7212">
        <w:rPr>
          <w:rFonts w:ascii="Verdana" w:eastAsia="Calibri" w:hAnsi="Verdana" w:cs="Arial"/>
          <w:lang w:val="es-ES_tradnl" w:eastAsia="es-ES_tradnl"/>
        </w:rPr>
        <w:t>Sobre el régimen de inhabilidades e incompatibilidades esta Subdirección se pronunció en los</w:t>
      </w:r>
      <w:r w:rsidRPr="005F7212">
        <w:rPr>
          <w:rFonts w:ascii="Verdana" w:eastAsia="Calibri" w:hAnsi="Verdana" w:cs="Arial"/>
          <w:lang w:val="es-MX"/>
        </w:rPr>
        <w:t xml:space="preserve"> C−410 del 7 de julio de 2021, C−491 del 14 de septiembre de 2021, C−522 del 1 de octubre de 2021, C−128 del 25 de marzo de 2022, C−252 </w:t>
      </w:r>
      <w:r w:rsidRPr="005F7212">
        <w:rPr>
          <w:rFonts w:ascii="Verdana" w:eastAsia="Calibri" w:hAnsi="Verdana" w:cs="Arial"/>
          <w:lang w:val="es-MX"/>
        </w:rPr>
        <w:lastRenderedPageBreak/>
        <w:t xml:space="preserve">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la respuesta </w:t>
      </w:r>
      <w:r w:rsidRPr="005F7212">
        <w:rPr>
          <w:rFonts w:ascii="Verdana" w:hAnsi="Verdana" w:cs="Arial"/>
        </w:rPr>
        <w:t xml:space="preserve">al radicado </w:t>
      </w:r>
      <w:r w:rsidRPr="005F7212">
        <w:rPr>
          <w:rFonts w:ascii="Verdana" w:eastAsia="Aptos" w:hAnsi="Verdana" w:cs="Calibri"/>
        </w:rPr>
        <w:t>P20240308002646 del 24 de abril de 2024,</w:t>
      </w:r>
      <w:r w:rsidRPr="005F7212">
        <w:rPr>
          <w:rFonts w:ascii="Verdana" w:eastAsia="Calibri" w:hAnsi="Verdana" w:cs="Arial"/>
          <w:lang w:val="es-MX"/>
        </w:rPr>
        <w:t xml:space="preserve"> el C-039 del 23 de abril de 2024, </w:t>
      </w:r>
      <w:r w:rsidRPr="005F7212">
        <w:rPr>
          <w:rFonts w:ascii="Verdana" w:hAnsi="Verdana" w:cs="Arial"/>
        </w:rPr>
        <w:t xml:space="preserve">C-085 del 3 de marzo de 2025 y </w:t>
      </w:r>
      <w:r w:rsidRPr="005F7212">
        <w:rPr>
          <w:rFonts w:ascii="Verdana" w:eastAsia="Aptos" w:hAnsi="Verdana" w:cs="Calibri"/>
        </w:rPr>
        <w:t xml:space="preserve">C-170 del 19 de marzo de 2025. </w:t>
      </w:r>
      <w:r w:rsidRPr="005F7212">
        <w:rPr>
          <w:rStyle w:val="normaltextrun"/>
          <w:rFonts w:ascii="Verdana" w:hAnsi="Verdana" w:cs="Arial"/>
          <w:shd w:val="clear" w:color="auto" w:fill="FFFFFF"/>
          <w:lang w:val="es-ES"/>
        </w:rPr>
        <w:t>Sobre las características de los contratos de prestación de servicios se pronunció esta Subdirección en los conceptos</w:t>
      </w:r>
      <w:r w:rsidRPr="005F7212">
        <w:rPr>
          <w:rStyle w:val="normaltextrun"/>
          <w:rFonts w:ascii="Verdana" w:hAnsi="Verdana" w:cs="Calibri"/>
          <w:shd w:val="clear" w:color="auto" w:fill="FFFFFF"/>
        </w:rPr>
        <w:t xml:space="preserve"> C-311 de 21 de agosto de 2024, C- 604 de 25 de octubre de 2024, C-028 del 5 de febrero de 2025, C-037 de 20 de febrero de 2025. </w:t>
      </w:r>
      <w:r w:rsidRPr="005F7212">
        <w:rPr>
          <w:rStyle w:val="normaltextrun"/>
          <w:rFonts w:ascii="Verdana" w:hAnsi="Verdana" w:cs="Arial"/>
          <w:shd w:val="clear" w:color="auto" w:fill="FFFFFF"/>
          <w:lang w:val="es-ES"/>
        </w:rPr>
        <w:t>Es</w:t>
      </w:r>
      <w:r w:rsidRPr="005F7212">
        <w:rPr>
          <w:rFonts w:ascii="Verdana" w:hAnsi="Verdana"/>
        </w:rPr>
        <w:t>tos y otros conceptos se encuentran disponibles para consulta en el Sistema de relatoría de la Agencia, al cual se puede acceder a través del siguiente enlace:</w:t>
      </w:r>
      <w:r w:rsidRPr="005F7212">
        <w:rPr>
          <w:rStyle w:val="normaltextrun"/>
          <w:rFonts w:ascii="Verdana" w:hAnsi="Verdana" w:cs="Arial"/>
          <w:shd w:val="clear" w:color="auto" w:fill="FFFFFF"/>
          <w:lang w:val="es-ES"/>
        </w:rPr>
        <w:t xml:space="preserve"> </w:t>
      </w:r>
      <w:hyperlink r:id="rId12" w:history="1">
        <w:r w:rsidRPr="005F7212">
          <w:rPr>
            <w:rStyle w:val="Hipervnculo"/>
            <w:rFonts w:ascii="Verdana" w:hAnsi="Verdana" w:cs="Arial"/>
            <w:shd w:val="clear" w:color="auto" w:fill="FFFFFF"/>
            <w:lang w:val="es-ES"/>
          </w:rPr>
          <w:t>https://relatoria.colombiacompra.gov.co/busqueda/conceptos</w:t>
        </w:r>
      </w:hyperlink>
      <w:r w:rsidRPr="005F7212">
        <w:rPr>
          <w:rStyle w:val="normaltextrun"/>
          <w:rFonts w:ascii="Verdana" w:hAnsi="Verdana" w:cs="Arial"/>
          <w:color w:val="FF0000"/>
          <w:shd w:val="clear" w:color="auto" w:fill="FFFFFF"/>
          <w:lang w:val="es-ES"/>
        </w:rPr>
        <w:t xml:space="preserve">. </w:t>
      </w:r>
    </w:p>
    <w:p w14:paraId="7145B566" w14:textId="77777777" w:rsidR="002511E2" w:rsidRPr="005F7212" w:rsidRDefault="002511E2" w:rsidP="002511E2">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A4D107B" w14:textId="77777777" w:rsidR="002511E2" w:rsidRPr="005F7212" w:rsidRDefault="002511E2" w:rsidP="002511E2">
      <w:pPr>
        <w:spacing w:after="0" w:line="276" w:lineRule="auto"/>
        <w:jc w:val="both"/>
        <w:rPr>
          <w:rFonts w:ascii="Verdana" w:hAnsi="Verdana"/>
        </w:rPr>
      </w:pPr>
      <w:r w:rsidRPr="005F7212">
        <w:rPr>
          <w:rFonts w:ascii="Verdana" w:hAnsi="Verdana"/>
        </w:rPr>
        <w:t xml:space="preserve">Por último, lo invitamos a seguirnos en las redes sociales en las cuales se difunde información institucional: </w:t>
      </w:r>
    </w:p>
    <w:p w14:paraId="197DED11" w14:textId="77777777" w:rsidR="002511E2" w:rsidRPr="005F7212" w:rsidRDefault="002511E2" w:rsidP="002511E2">
      <w:pPr>
        <w:spacing w:after="0" w:line="276" w:lineRule="auto"/>
        <w:jc w:val="both"/>
        <w:rPr>
          <w:rFonts w:ascii="Verdana" w:hAnsi="Verdana"/>
        </w:rPr>
      </w:pPr>
    </w:p>
    <w:p w14:paraId="0EFC695D" w14:textId="77777777" w:rsidR="002511E2" w:rsidRPr="005F7212" w:rsidRDefault="002511E2" w:rsidP="002511E2">
      <w:pPr>
        <w:spacing w:after="0" w:line="276" w:lineRule="auto"/>
        <w:jc w:val="both"/>
        <w:rPr>
          <w:rFonts w:ascii="Verdana" w:hAnsi="Verdana"/>
        </w:rPr>
      </w:pPr>
      <w:r w:rsidRPr="005F7212">
        <w:rPr>
          <w:rFonts w:ascii="Verdana" w:hAnsi="Verdana"/>
        </w:rPr>
        <w:t xml:space="preserve">Twitter: </w:t>
      </w:r>
      <w:r w:rsidRPr="005F7212">
        <w:rPr>
          <w:rStyle w:val="Hipervnculo"/>
          <w:rFonts w:ascii="Verdana" w:hAnsi="Verdana"/>
          <w:color w:val="4472C4" w:themeColor="accent1"/>
        </w:rPr>
        <w:t>@colombiacompra</w:t>
      </w:r>
      <w:r w:rsidRPr="005F7212">
        <w:rPr>
          <w:rFonts w:ascii="Verdana" w:hAnsi="Verdana"/>
          <w:color w:val="4472C4" w:themeColor="accent1"/>
        </w:rPr>
        <w:t xml:space="preserve"> </w:t>
      </w:r>
    </w:p>
    <w:p w14:paraId="0462D381" w14:textId="77777777" w:rsidR="002511E2" w:rsidRPr="005F7212" w:rsidRDefault="002511E2" w:rsidP="002511E2">
      <w:pPr>
        <w:spacing w:after="0" w:line="276" w:lineRule="auto"/>
        <w:jc w:val="both"/>
        <w:rPr>
          <w:rFonts w:ascii="Verdana" w:hAnsi="Verdana"/>
        </w:rPr>
      </w:pPr>
      <w:r w:rsidRPr="005F7212">
        <w:rPr>
          <w:rFonts w:ascii="Verdana" w:hAnsi="Verdana"/>
        </w:rPr>
        <w:t xml:space="preserve">Facebook: </w:t>
      </w:r>
      <w:r w:rsidRPr="005F7212">
        <w:rPr>
          <w:rStyle w:val="Hipervnculo"/>
          <w:rFonts w:ascii="Verdana" w:hAnsi="Verdana"/>
          <w:color w:val="4472C4" w:themeColor="accent1"/>
        </w:rPr>
        <w:t>ColombiaCompraEficiente</w:t>
      </w:r>
    </w:p>
    <w:p w14:paraId="5E58B09C" w14:textId="77777777" w:rsidR="002511E2" w:rsidRPr="005F7212" w:rsidRDefault="002511E2" w:rsidP="002511E2">
      <w:pPr>
        <w:spacing w:after="0" w:line="276" w:lineRule="auto"/>
        <w:jc w:val="both"/>
        <w:rPr>
          <w:rFonts w:ascii="Verdana" w:hAnsi="Verdana"/>
        </w:rPr>
      </w:pPr>
      <w:r w:rsidRPr="005F7212">
        <w:rPr>
          <w:rFonts w:ascii="Verdana" w:hAnsi="Verdana"/>
        </w:rPr>
        <w:t xml:space="preserve">LinkedIn: </w:t>
      </w:r>
      <w:r w:rsidRPr="005F7212">
        <w:rPr>
          <w:rStyle w:val="Hipervnculo"/>
          <w:rFonts w:ascii="Verdana" w:hAnsi="Verdana"/>
          <w:color w:val="4472C4" w:themeColor="accent1"/>
        </w:rPr>
        <w:t>Agencia Nacional de Contratación Pública - Colombia Compra Eficiente</w:t>
      </w:r>
      <w:r w:rsidRPr="005F7212">
        <w:rPr>
          <w:rFonts w:ascii="Verdana" w:hAnsi="Verdana"/>
          <w:color w:val="4472C4" w:themeColor="accent1"/>
        </w:rPr>
        <w:t xml:space="preserve"> </w:t>
      </w:r>
      <w:r w:rsidRPr="005F7212">
        <w:rPr>
          <w:rFonts w:ascii="Verdana" w:hAnsi="Verdana"/>
        </w:rPr>
        <w:t xml:space="preserve">Instagram: </w:t>
      </w:r>
      <w:r w:rsidRPr="005F7212">
        <w:rPr>
          <w:rStyle w:val="Hipervnculo"/>
          <w:rFonts w:ascii="Verdana" w:hAnsi="Verdana"/>
          <w:color w:val="4472C4" w:themeColor="accent1"/>
        </w:rPr>
        <w:t>@colombiacompraeficiente_cce</w:t>
      </w:r>
    </w:p>
    <w:p w14:paraId="0B7C4C15" w14:textId="77777777" w:rsidR="002511E2" w:rsidRPr="005F7212" w:rsidRDefault="002511E2" w:rsidP="002511E2">
      <w:pPr>
        <w:widowControl w:val="0"/>
        <w:autoSpaceDE w:val="0"/>
        <w:autoSpaceDN w:val="0"/>
        <w:spacing w:after="0" w:line="276" w:lineRule="auto"/>
        <w:jc w:val="both"/>
        <w:rPr>
          <w:rFonts w:ascii="Verdana" w:hAnsi="Verdana" w:cs="Arial"/>
        </w:rPr>
      </w:pPr>
    </w:p>
    <w:p w14:paraId="3A7F7B53" w14:textId="77777777" w:rsidR="002511E2" w:rsidRPr="005F7212" w:rsidRDefault="002511E2" w:rsidP="002511E2">
      <w:pPr>
        <w:widowControl w:val="0"/>
        <w:autoSpaceDE w:val="0"/>
        <w:autoSpaceDN w:val="0"/>
        <w:spacing w:after="0" w:line="276" w:lineRule="auto"/>
        <w:jc w:val="both"/>
        <w:rPr>
          <w:rFonts w:ascii="Verdana" w:hAnsi="Verdana" w:cs="Arial"/>
          <w:lang w:val="es-ES_tradnl"/>
        </w:rPr>
      </w:pPr>
      <w:r w:rsidRPr="005F7212">
        <w:rPr>
          <w:rFonts w:ascii="Verdana" w:hAnsi="Verdana" w:cs="Arial"/>
        </w:rPr>
        <w:t xml:space="preserve">Este concepto tiene el alcance previsto en el artículo 28 del Código de Procedimiento Administrativo y de lo Contencioso Administrativo </w:t>
      </w:r>
      <w:r w:rsidRPr="005F7212">
        <w:rPr>
          <w:rFonts w:ascii="Verdana" w:hAnsi="Verdana" w:cs="Arial"/>
          <w:lang w:val="es-ES_tradnl"/>
        </w:rPr>
        <w:t>y las expresiones aquí utilizadas con mayúscula inicial deben ser entendidas con el significado que les otorga el artículo 2.2.1.1.1.3.1. del Decreto 1082 de 2015.</w:t>
      </w:r>
    </w:p>
    <w:p w14:paraId="47AAF3BF" w14:textId="77777777" w:rsidR="002511E2" w:rsidRPr="005F7212" w:rsidRDefault="002511E2" w:rsidP="002511E2">
      <w:pPr>
        <w:widowControl w:val="0"/>
        <w:autoSpaceDE w:val="0"/>
        <w:autoSpaceDN w:val="0"/>
        <w:spacing w:after="0" w:line="276" w:lineRule="auto"/>
        <w:jc w:val="both"/>
        <w:rPr>
          <w:rFonts w:ascii="Verdana" w:hAnsi="Verdana" w:cs="Arial"/>
        </w:rPr>
      </w:pPr>
    </w:p>
    <w:p w14:paraId="09869A5F" w14:textId="0B6F4E60" w:rsidR="002511E2" w:rsidRPr="005F7212" w:rsidRDefault="002511E2" w:rsidP="000A00CE">
      <w:pPr>
        <w:spacing w:after="0" w:line="276" w:lineRule="auto"/>
        <w:rPr>
          <w:rFonts w:ascii="Verdana" w:hAnsi="Verdana"/>
          <w:noProof/>
          <w:lang w:val="es-ES_tradnl"/>
        </w:rPr>
      </w:pPr>
      <w:r w:rsidRPr="005F7212">
        <w:rPr>
          <w:rFonts w:ascii="Verdana" w:eastAsia="Times New Roman" w:hAnsi="Verdana" w:cs="Arial"/>
          <w:lang w:eastAsia="es-CO"/>
        </w:rPr>
        <w:t>Atentamente,</w:t>
      </w:r>
      <w:r w:rsidRPr="005F7212">
        <w:rPr>
          <w:rFonts w:ascii="Verdana" w:hAnsi="Verdana" w:cs="Arial"/>
          <w:lang w:eastAsia="es-CO"/>
        </w:rPr>
        <w:t xml:space="preserve"> </w:t>
      </w:r>
    </w:p>
    <w:p w14:paraId="0BDCE43D" w14:textId="50BA1DDA" w:rsidR="002511E2" w:rsidRPr="005F7212" w:rsidRDefault="00F369C1" w:rsidP="002511E2">
      <w:pPr>
        <w:spacing w:after="0" w:line="276" w:lineRule="auto"/>
        <w:jc w:val="center"/>
        <w:rPr>
          <w:rFonts w:ascii="Verdana" w:hAnsi="Verdana"/>
          <w:lang w:val="es-ES_tradnl"/>
        </w:rPr>
      </w:pPr>
      <w:r w:rsidRPr="002C3AD6">
        <w:rPr>
          <w:rFonts w:ascii="Century Gothic" w:hAnsi="Century Gothic"/>
          <w:noProof/>
        </w:rPr>
        <w:drawing>
          <wp:inline distT="0" distB="0" distL="0" distR="0" wp14:anchorId="0F181455" wp14:editId="29D0B61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511E2" w:rsidRPr="005F7212" w14:paraId="3CE22E96" w14:textId="77777777" w:rsidTr="001D130C">
        <w:trPr>
          <w:trHeight w:val="315"/>
        </w:trPr>
        <w:tc>
          <w:tcPr>
            <w:tcW w:w="893" w:type="dxa"/>
            <w:vAlign w:val="center"/>
            <w:hideMark/>
          </w:tcPr>
          <w:p w14:paraId="2483B3A0" w14:textId="77777777" w:rsidR="002511E2" w:rsidRPr="005F7212" w:rsidRDefault="002511E2" w:rsidP="001D130C">
            <w:pPr>
              <w:spacing w:line="276" w:lineRule="auto"/>
              <w:jc w:val="both"/>
              <w:rPr>
                <w:rFonts w:ascii="Verdana" w:hAnsi="Verdana"/>
                <w:sz w:val="16"/>
                <w:szCs w:val="16"/>
              </w:rPr>
            </w:pPr>
            <w:r w:rsidRPr="005F7212">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6B8ED651" w14:textId="77777777" w:rsidR="002511E2" w:rsidRPr="005F7212" w:rsidRDefault="002511E2" w:rsidP="001D130C">
            <w:pPr>
              <w:spacing w:line="276" w:lineRule="auto"/>
              <w:jc w:val="both"/>
              <w:rPr>
                <w:rFonts w:ascii="Verdana" w:hAnsi="Verdana"/>
                <w:sz w:val="16"/>
                <w:szCs w:val="16"/>
              </w:rPr>
            </w:pPr>
            <w:r>
              <w:rPr>
                <w:rFonts w:ascii="Verdana" w:hAnsi="Verdana"/>
                <w:sz w:val="16"/>
                <w:szCs w:val="16"/>
              </w:rPr>
              <w:t xml:space="preserve">Diana </w:t>
            </w:r>
            <w:r w:rsidRPr="005F7212">
              <w:rPr>
                <w:rFonts w:ascii="Verdana" w:hAnsi="Verdana"/>
                <w:sz w:val="16"/>
                <w:szCs w:val="16"/>
              </w:rPr>
              <w:t xml:space="preserve">Carolina Blanco Rodriguez </w:t>
            </w:r>
          </w:p>
          <w:p w14:paraId="61C0CF6B" w14:textId="77777777" w:rsidR="002511E2" w:rsidRPr="005F7212" w:rsidRDefault="002511E2" w:rsidP="001D130C">
            <w:pPr>
              <w:spacing w:line="276" w:lineRule="auto"/>
              <w:jc w:val="both"/>
              <w:rPr>
                <w:rFonts w:ascii="Verdana" w:hAnsi="Verdana"/>
                <w:sz w:val="16"/>
                <w:szCs w:val="16"/>
              </w:rPr>
            </w:pPr>
            <w:r w:rsidRPr="005F7212">
              <w:rPr>
                <w:rFonts w:ascii="Verdana" w:hAnsi="Verdana"/>
                <w:sz w:val="16"/>
                <w:szCs w:val="16"/>
              </w:rPr>
              <w:t>Contratista de la Subdirección de Gestión Contractual</w:t>
            </w:r>
          </w:p>
        </w:tc>
      </w:tr>
      <w:tr w:rsidR="002511E2" w:rsidRPr="005F7212" w14:paraId="05FB90CB" w14:textId="77777777" w:rsidTr="001D130C">
        <w:trPr>
          <w:trHeight w:val="330"/>
        </w:trPr>
        <w:tc>
          <w:tcPr>
            <w:tcW w:w="893" w:type="dxa"/>
            <w:vAlign w:val="center"/>
            <w:hideMark/>
          </w:tcPr>
          <w:p w14:paraId="4C220DDA" w14:textId="77777777" w:rsidR="002511E2" w:rsidRPr="005F7212" w:rsidRDefault="002511E2" w:rsidP="001D130C">
            <w:pPr>
              <w:spacing w:line="276" w:lineRule="auto"/>
              <w:jc w:val="both"/>
              <w:rPr>
                <w:rFonts w:ascii="Verdana" w:hAnsi="Verdana"/>
                <w:sz w:val="16"/>
                <w:szCs w:val="16"/>
              </w:rPr>
            </w:pPr>
            <w:r w:rsidRPr="005F7212">
              <w:rPr>
                <w:rFonts w:ascii="Verdana" w:hAnsi="Verdana"/>
                <w:sz w:val="16"/>
                <w:szCs w:val="16"/>
              </w:rPr>
              <w:lastRenderedPageBreak/>
              <w:t>Revisó:</w:t>
            </w:r>
          </w:p>
        </w:tc>
        <w:tc>
          <w:tcPr>
            <w:tcW w:w="5628" w:type="dxa"/>
            <w:tcBorders>
              <w:top w:val="dotted" w:sz="4" w:space="0" w:color="7F7F7F"/>
              <w:left w:val="nil"/>
              <w:bottom w:val="dotted" w:sz="4" w:space="0" w:color="7F7F7F"/>
              <w:right w:val="nil"/>
            </w:tcBorders>
            <w:vAlign w:val="center"/>
            <w:hideMark/>
          </w:tcPr>
          <w:p w14:paraId="517A4A79" w14:textId="59A246D6" w:rsidR="002511E2" w:rsidRPr="005F7212" w:rsidRDefault="002511E2" w:rsidP="001D130C">
            <w:pPr>
              <w:spacing w:line="276" w:lineRule="auto"/>
              <w:jc w:val="both"/>
              <w:rPr>
                <w:rFonts w:ascii="Verdana" w:hAnsi="Verdana"/>
                <w:sz w:val="16"/>
                <w:szCs w:val="16"/>
              </w:rPr>
            </w:pPr>
            <w:r w:rsidRPr="005F7212">
              <w:rPr>
                <w:rFonts w:ascii="Verdana" w:hAnsi="Verdana"/>
                <w:sz w:val="16"/>
                <w:szCs w:val="16"/>
              </w:rPr>
              <w:t xml:space="preserve">Diana </w:t>
            </w:r>
            <w:r w:rsidR="00617AE6">
              <w:rPr>
                <w:rFonts w:ascii="Verdana" w:hAnsi="Verdana"/>
                <w:sz w:val="16"/>
                <w:szCs w:val="16"/>
              </w:rPr>
              <w:t xml:space="preserve">Lucia </w:t>
            </w:r>
            <w:r w:rsidRPr="005F7212">
              <w:rPr>
                <w:rFonts w:ascii="Verdana" w:hAnsi="Verdana"/>
                <w:sz w:val="16"/>
                <w:szCs w:val="16"/>
              </w:rPr>
              <w:t xml:space="preserve">Saavedra </w:t>
            </w:r>
            <w:r w:rsidR="005F2F91">
              <w:rPr>
                <w:rFonts w:ascii="Verdana" w:hAnsi="Verdana"/>
                <w:sz w:val="16"/>
                <w:szCs w:val="16"/>
              </w:rPr>
              <w:t>Castañeda</w:t>
            </w:r>
            <w:r w:rsidRPr="005F7212">
              <w:rPr>
                <w:rFonts w:ascii="Verdana" w:hAnsi="Verdana"/>
                <w:sz w:val="16"/>
                <w:szCs w:val="16"/>
              </w:rPr>
              <w:t xml:space="preserve"> </w:t>
            </w:r>
          </w:p>
          <w:p w14:paraId="5B87DB79" w14:textId="77777777" w:rsidR="002511E2" w:rsidRPr="005F7212" w:rsidRDefault="002511E2" w:rsidP="001D130C">
            <w:pPr>
              <w:spacing w:line="276" w:lineRule="auto"/>
              <w:jc w:val="both"/>
              <w:rPr>
                <w:rFonts w:ascii="Verdana" w:hAnsi="Verdana"/>
                <w:sz w:val="16"/>
                <w:szCs w:val="16"/>
              </w:rPr>
            </w:pPr>
            <w:r w:rsidRPr="005F7212">
              <w:rPr>
                <w:rFonts w:ascii="Verdana" w:hAnsi="Verdana"/>
                <w:sz w:val="16"/>
                <w:szCs w:val="16"/>
              </w:rPr>
              <w:t>Contratista de la Subdirección de Gestión Contractual </w:t>
            </w:r>
          </w:p>
        </w:tc>
      </w:tr>
      <w:tr w:rsidR="002511E2" w:rsidRPr="005F7212" w14:paraId="294C00C4" w14:textId="77777777" w:rsidTr="001D130C">
        <w:trPr>
          <w:trHeight w:val="300"/>
        </w:trPr>
        <w:tc>
          <w:tcPr>
            <w:tcW w:w="893" w:type="dxa"/>
            <w:vAlign w:val="center"/>
            <w:hideMark/>
          </w:tcPr>
          <w:p w14:paraId="1EEE7B70" w14:textId="77777777" w:rsidR="002511E2" w:rsidRPr="005F7212" w:rsidRDefault="002511E2" w:rsidP="001D130C">
            <w:pPr>
              <w:spacing w:line="276" w:lineRule="auto"/>
              <w:jc w:val="both"/>
              <w:rPr>
                <w:rFonts w:ascii="Verdana" w:hAnsi="Verdana"/>
                <w:sz w:val="16"/>
                <w:szCs w:val="16"/>
              </w:rPr>
            </w:pPr>
            <w:r w:rsidRPr="005F7212">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3E023A4D" w14:textId="77777777" w:rsidR="002511E2" w:rsidRPr="005F7212" w:rsidRDefault="002511E2" w:rsidP="001D130C">
            <w:pPr>
              <w:spacing w:line="276" w:lineRule="auto"/>
              <w:jc w:val="both"/>
              <w:rPr>
                <w:rFonts w:ascii="Verdana" w:hAnsi="Verdana"/>
                <w:sz w:val="16"/>
                <w:szCs w:val="16"/>
                <w:lang w:val="pt-BR"/>
              </w:rPr>
            </w:pPr>
            <w:r w:rsidRPr="005F7212">
              <w:rPr>
                <w:rFonts w:ascii="Verdana" w:hAnsi="Verdana"/>
                <w:sz w:val="16"/>
                <w:szCs w:val="16"/>
                <w:lang w:val="pt-BR"/>
              </w:rPr>
              <w:t>Carolina Quintero Gacharná</w:t>
            </w:r>
          </w:p>
          <w:p w14:paraId="768361CE" w14:textId="77777777" w:rsidR="002511E2" w:rsidRPr="005F7212" w:rsidRDefault="002511E2" w:rsidP="001D130C">
            <w:pPr>
              <w:spacing w:line="276" w:lineRule="auto"/>
              <w:jc w:val="both"/>
              <w:rPr>
                <w:rFonts w:ascii="Verdana" w:hAnsi="Verdana"/>
                <w:sz w:val="16"/>
                <w:szCs w:val="16"/>
                <w:lang w:val="pt-BR"/>
              </w:rPr>
            </w:pPr>
            <w:r w:rsidRPr="005F7212">
              <w:rPr>
                <w:rFonts w:ascii="Verdana" w:hAnsi="Verdana"/>
                <w:sz w:val="16"/>
                <w:szCs w:val="16"/>
              </w:rPr>
              <w:t>Subdirectora</w:t>
            </w:r>
            <w:r w:rsidRPr="005F7212">
              <w:rPr>
                <w:rFonts w:ascii="Verdana" w:hAnsi="Verdana"/>
                <w:sz w:val="16"/>
                <w:szCs w:val="16"/>
                <w:lang w:val="pt-BR"/>
              </w:rPr>
              <w:t xml:space="preserve"> de Gestión Contratual ANCP – CCE</w:t>
            </w:r>
          </w:p>
        </w:tc>
      </w:tr>
      <w:bookmarkEnd w:id="1"/>
    </w:tbl>
    <w:p w14:paraId="77FA1A51" w14:textId="217E3FDB" w:rsidR="00897A3A" w:rsidRPr="0044528D" w:rsidRDefault="00897A3A" w:rsidP="00897A3A">
      <w:pPr>
        <w:spacing w:after="0" w:line="240" w:lineRule="auto"/>
        <w:jc w:val="both"/>
        <w:rPr>
          <w:rFonts w:ascii="Verdana" w:hAnsi="Verdana"/>
          <w:b/>
          <w:bCs/>
          <w:lang w:val="es-MX"/>
        </w:rPr>
      </w:pPr>
    </w:p>
    <w:sectPr w:rsidR="00897A3A" w:rsidRPr="0044528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0B718B" w14:textId="77777777" w:rsidR="00E5784A" w:rsidRDefault="00E5784A" w:rsidP="004A1847">
      <w:pPr>
        <w:spacing w:after="0" w:line="240" w:lineRule="auto"/>
      </w:pPr>
      <w:r>
        <w:separator/>
      </w:r>
    </w:p>
  </w:endnote>
  <w:endnote w:type="continuationSeparator" w:id="0">
    <w:p w14:paraId="14127A4F" w14:textId="77777777" w:rsidR="00E5784A" w:rsidRDefault="00E5784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65EF0" w14:textId="77777777" w:rsidR="00E5784A" w:rsidRDefault="00E5784A" w:rsidP="004A1847">
      <w:pPr>
        <w:spacing w:after="0" w:line="240" w:lineRule="auto"/>
      </w:pPr>
      <w:r>
        <w:separator/>
      </w:r>
    </w:p>
  </w:footnote>
  <w:footnote w:type="continuationSeparator" w:id="0">
    <w:p w14:paraId="0FD823F8" w14:textId="77777777" w:rsidR="00E5784A" w:rsidRDefault="00E5784A" w:rsidP="004A1847">
      <w:pPr>
        <w:spacing w:after="0" w:line="240" w:lineRule="auto"/>
      </w:pPr>
      <w:r>
        <w:continuationSeparator/>
      </w:r>
    </w:p>
  </w:footnote>
  <w:footnote w:id="1">
    <w:p w14:paraId="03994EC1" w14:textId="77777777" w:rsidR="002511E2" w:rsidRPr="000A00CE" w:rsidRDefault="002511E2" w:rsidP="000A00CE">
      <w:pPr>
        <w:pStyle w:val="Textonotapie"/>
        <w:ind w:firstLine="709"/>
        <w:rPr>
          <w:rFonts w:ascii="Verdana" w:hAnsi="Verdana"/>
          <w:sz w:val="14"/>
          <w:szCs w:val="14"/>
          <w:lang w:val="es-ES"/>
        </w:rPr>
      </w:pPr>
      <w:r w:rsidRPr="000A00CE">
        <w:rPr>
          <w:rStyle w:val="Refdenotaalpie"/>
          <w:rFonts w:ascii="Verdana" w:hAnsi="Verdana"/>
          <w:sz w:val="14"/>
          <w:szCs w:val="14"/>
        </w:rPr>
        <w:footnoteRef/>
      </w:r>
      <w:r w:rsidRPr="000A00CE">
        <w:rPr>
          <w:rFonts w:ascii="Verdana" w:hAnsi="Verdana"/>
          <w:sz w:val="14"/>
          <w:szCs w:val="14"/>
        </w:rPr>
        <w:t xml:space="preserve"> </w:t>
      </w:r>
      <w:bookmarkStart w:id="3" w:name="_Hlk194585735"/>
      <w:r w:rsidRPr="000A00CE">
        <w:rPr>
          <w:rFonts w:ascii="Verdana" w:hAnsi="Verdana"/>
          <w:sz w:val="14"/>
          <w:szCs w:val="14"/>
          <w:lang w:val="es-ES"/>
        </w:rPr>
        <w:t>Corte Constitucional. Sentencia C-290/08. M.P: Jaime Córdoba Triviño</w:t>
      </w:r>
      <w:bookmarkEnd w:id="3"/>
    </w:p>
  </w:footnote>
  <w:footnote w:id="2">
    <w:p w14:paraId="2B6EF7B0" w14:textId="77777777" w:rsidR="002511E2" w:rsidRPr="000A00CE" w:rsidRDefault="002511E2" w:rsidP="000A00CE">
      <w:pPr>
        <w:pStyle w:val="Textonotapie"/>
        <w:ind w:firstLine="709"/>
        <w:rPr>
          <w:rFonts w:ascii="Verdana" w:hAnsi="Verdana"/>
          <w:sz w:val="14"/>
          <w:szCs w:val="14"/>
          <w:lang w:val="es-ES"/>
        </w:rPr>
      </w:pPr>
      <w:r w:rsidRPr="000A00CE">
        <w:rPr>
          <w:rStyle w:val="Refdenotaalpie"/>
          <w:rFonts w:ascii="Verdana" w:hAnsi="Verdana"/>
          <w:sz w:val="14"/>
          <w:szCs w:val="14"/>
        </w:rPr>
        <w:footnoteRef/>
      </w:r>
      <w:r w:rsidRPr="000A00CE">
        <w:rPr>
          <w:rFonts w:ascii="Verdana" w:hAnsi="Verdana"/>
          <w:sz w:val="14"/>
          <w:szCs w:val="14"/>
        </w:rPr>
        <w:t xml:space="preserve"> </w:t>
      </w:r>
      <w:bookmarkStart w:id="4" w:name="_Hlk194585800"/>
      <w:r w:rsidRPr="000A00CE">
        <w:rPr>
          <w:rFonts w:ascii="Verdana" w:hAnsi="Verdana"/>
          <w:sz w:val="14"/>
          <w:szCs w:val="14"/>
          <w:lang w:val="es-ES"/>
        </w:rPr>
        <w:t>Corte Constitucional. Sentencia C-612/13. M.P: Alberto Rojas Ríos</w:t>
      </w:r>
      <w:bookmarkEnd w:id="4"/>
    </w:p>
  </w:footnote>
  <w:footnote w:id="3">
    <w:p w14:paraId="5B20EFE8" w14:textId="77777777" w:rsidR="002511E2" w:rsidRPr="000A00CE" w:rsidRDefault="002511E2" w:rsidP="000A00CE">
      <w:pPr>
        <w:pStyle w:val="Textonotapie"/>
        <w:ind w:firstLine="709"/>
        <w:rPr>
          <w:rFonts w:ascii="Verdana" w:hAnsi="Verdana"/>
          <w:sz w:val="14"/>
          <w:szCs w:val="14"/>
          <w:lang w:val="es-ES"/>
        </w:rPr>
      </w:pPr>
      <w:bookmarkStart w:id="6" w:name="_Hlk194585808"/>
      <w:r w:rsidRPr="000A00CE">
        <w:rPr>
          <w:rStyle w:val="Refdenotaalpie"/>
          <w:rFonts w:ascii="Verdana" w:hAnsi="Verdana"/>
          <w:sz w:val="14"/>
          <w:szCs w:val="14"/>
        </w:rPr>
        <w:footnoteRef/>
      </w:r>
      <w:r w:rsidRPr="000A00CE">
        <w:rPr>
          <w:rFonts w:ascii="Verdana" w:hAnsi="Verdana"/>
          <w:sz w:val="14"/>
          <w:szCs w:val="14"/>
        </w:rPr>
        <w:t xml:space="preserve"> </w:t>
      </w:r>
      <w:r w:rsidRPr="000A00CE">
        <w:rPr>
          <w:rFonts w:ascii="Verdana" w:hAnsi="Verdana"/>
          <w:sz w:val="14"/>
          <w:szCs w:val="14"/>
          <w:lang w:val="es-ES"/>
        </w:rPr>
        <w:t>Corte Constitucional. Sentencia C-489/96. M.P: Antonio Barrera Carbonell</w:t>
      </w:r>
      <w:bookmarkEnd w:id="6"/>
    </w:p>
  </w:footnote>
  <w:footnote w:id="4">
    <w:p w14:paraId="19A07060" w14:textId="77777777" w:rsidR="002511E2" w:rsidRPr="000A00CE" w:rsidRDefault="002511E2" w:rsidP="002511E2">
      <w:pPr>
        <w:spacing w:after="0" w:line="240" w:lineRule="auto"/>
        <w:ind w:firstLine="709"/>
        <w:jc w:val="both"/>
        <w:rPr>
          <w:rFonts w:ascii="Verdana" w:hAnsi="Verdana" w:cs="Arial"/>
          <w:color w:val="000000" w:themeColor="text1"/>
          <w:sz w:val="14"/>
          <w:szCs w:val="14"/>
          <w:lang w:val="es-ES"/>
        </w:rPr>
      </w:pPr>
      <w:r w:rsidRPr="000A00CE">
        <w:rPr>
          <w:rStyle w:val="Refdenotaalpie"/>
          <w:rFonts w:ascii="Verdana" w:hAnsi="Verdana" w:cs="Arial"/>
          <w:color w:val="000000" w:themeColor="text1"/>
          <w:sz w:val="14"/>
          <w:szCs w:val="14"/>
        </w:rPr>
        <w:footnoteRef/>
      </w:r>
      <w:r w:rsidRPr="000A00CE">
        <w:rPr>
          <w:rFonts w:ascii="Verdana" w:hAnsi="Verdana" w:cs="Arial"/>
          <w:color w:val="000000" w:themeColor="text1"/>
          <w:sz w:val="14"/>
          <w:szCs w:val="14"/>
        </w:rPr>
        <w:t xml:space="preserve"> </w:t>
      </w:r>
      <w:r w:rsidRPr="000A00CE">
        <w:rPr>
          <w:rFonts w:ascii="Verdana" w:hAnsi="Verdana" w:cs="Arial"/>
          <w:color w:val="000000" w:themeColor="text1"/>
          <w:sz w:val="14"/>
          <w:szCs w:val="14"/>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3B03C53A" w14:textId="77777777" w:rsidR="002511E2" w:rsidRPr="000A00CE" w:rsidRDefault="002511E2" w:rsidP="002511E2">
      <w:pPr>
        <w:spacing w:after="0" w:line="240" w:lineRule="auto"/>
        <w:ind w:firstLine="709"/>
        <w:jc w:val="both"/>
        <w:rPr>
          <w:rFonts w:ascii="Verdana" w:hAnsi="Verdana" w:cs="Arial"/>
          <w:color w:val="000000" w:themeColor="text1"/>
          <w:sz w:val="14"/>
          <w:szCs w:val="14"/>
          <w:lang w:val="es-ES"/>
        </w:rPr>
      </w:pPr>
    </w:p>
  </w:footnote>
  <w:footnote w:id="5">
    <w:p w14:paraId="1AB21E4F" w14:textId="77777777" w:rsidR="002511E2" w:rsidRPr="000A00CE" w:rsidRDefault="002511E2" w:rsidP="002511E2">
      <w:pPr>
        <w:pStyle w:val="Textonotapie"/>
        <w:ind w:firstLine="709"/>
        <w:jc w:val="both"/>
        <w:rPr>
          <w:rFonts w:ascii="Verdana" w:hAnsi="Verdana" w:cs="Arial"/>
          <w:color w:val="000000" w:themeColor="text1"/>
          <w:sz w:val="14"/>
          <w:szCs w:val="14"/>
          <w:lang w:val="es-ES"/>
        </w:rPr>
      </w:pPr>
      <w:r w:rsidRPr="000A00CE">
        <w:rPr>
          <w:rStyle w:val="Refdenotaalpie"/>
          <w:rFonts w:ascii="Verdana" w:hAnsi="Verdana" w:cs="Arial"/>
          <w:color w:val="000000" w:themeColor="text1"/>
          <w:sz w:val="14"/>
          <w:szCs w:val="14"/>
        </w:rPr>
        <w:footnoteRef/>
      </w:r>
      <w:r w:rsidRPr="000A00CE">
        <w:rPr>
          <w:rFonts w:ascii="Verdana" w:hAnsi="Verdana" w:cs="Arial"/>
          <w:color w:val="000000" w:themeColor="text1"/>
          <w:sz w:val="14"/>
          <w:szCs w:val="14"/>
        </w:rPr>
        <w:t xml:space="preserve"> </w:t>
      </w:r>
      <w:r w:rsidRPr="000A00CE">
        <w:rPr>
          <w:rFonts w:ascii="Verdana" w:hAnsi="Verdana" w:cs="Arial"/>
          <w:color w:val="000000" w:themeColor="text1"/>
          <w:sz w:val="14"/>
          <w:szCs w:val="14"/>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3E41872E" w14:textId="77777777" w:rsidR="002511E2" w:rsidRPr="000A00CE" w:rsidRDefault="002511E2" w:rsidP="002511E2">
      <w:pPr>
        <w:pStyle w:val="Textonotapie"/>
        <w:ind w:firstLine="709"/>
        <w:jc w:val="both"/>
        <w:rPr>
          <w:rFonts w:ascii="Verdana" w:hAnsi="Verdana" w:cs="Arial"/>
          <w:color w:val="000000" w:themeColor="text1"/>
          <w:sz w:val="14"/>
          <w:szCs w:val="14"/>
          <w:lang w:val="es-CO"/>
        </w:rPr>
      </w:pPr>
    </w:p>
  </w:footnote>
  <w:footnote w:id="6">
    <w:p w14:paraId="72EBB850" w14:textId="77777777" w:rsidR="002511E2" w:rsidRPr="000A00CE" w:rsidRDefault="002511E2" w:rsidP="002511E2">
      <w:pPr>
        <w:pStyle w:val="Textonotapie"/>
        <w:ind w:firstLine="709"/>
        <w:jc w:val="both"/>
        <w:rPr>
          <w:rFonts w:ascii="Verdana" w:hAnsi="Verdana" w:cs="Arial"/>
          <w:color w:val="000000" w:themeColor="text1"/>
          <w:sz w:val="14"/>
          <w:szCs w:val="14"/>
          <w:lang w:val="es-ES"/>
        </w:rPr>
      </w:pPr>
      <w:r w:rsidRPr="000A00CE">
        <w:rPr>
          <w:rStyle w:val="Refdenotaalpie"/>
          <w:rFonts w:ascii="Verdana" w:hAnsi="Verdana" w:cs="Arial"/>
          <w:color w:val="000000" w:themeColor="text1"/>
          <w:sz w:val="14"/>
          <w:szCs w:val="14"/>
        </w:rPr>
        <w:footnoteRef/>
      </w:r>
      <w:r w:rsidRPr="000A00CE">
        <w:rPr>
          <w:rFonts w:ascii="Verdana" w:hAnsi="Verdana" w:cs="Arial"/>
          <w:color w:val="000000" w:themeColor="text1"/>
          <w:sz w:val="14"/>
          <w:szCs w:val="14"/>
        </w:rPr>
        <w:t xml:space="preserve"> </w:t>
      </w:r>
      <w:r w:rsidRPr="000A00CE">
        <w:rPr>
          <w:rFonts w:ascii="Verdana" w:hAnsi="Verdana" w:cs="Arial"/>
          <w:color w:val="000000" w:themeColor="text1"/>
          <w:sz w:val="14"/>
          <w:szCs w:val="14"/>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580AD5A3" w14:textId="77777777" w:rsidR="002511E2" w:rsidRPr="000A00CE" w:rsidRDefault="002511E2" w:rsidP="002511E2">
      <w:pPr>
        <w:pStyle w:val="Textonotapie"/>
        <w:ind w:firstLine="709"/>
        <w:jc w:val="both"/>
        <w:rPr>
          <w:rFonts w:ascii="Verdana" w:hAnsi="Verdana" w:cs="Arial"/>
          <w:color w:val="000000" w:themeColor="text1"/>
          <w:sz w:val="14"/>
          <w:szCs w:val="14"/>
          <w:lang w:val="es-CO"/>
        </w:rPr>
      </w:pPr>
      <w:r w:rsidRPr="000A00CE">
        <w:rPr>
          <w:rFonts w:ascii="Verdana" w:hAnsi="Verdana" w:cs="Arial"/>
          <w:color w:val="000000" w:themeColor="text1"/>
          <w:sz w:val="14"/>
          <w:szCs w:val="14"/>
          <w:lang w:val="es-ES"/>
        </w:rPr>
        <w:t xml:space="preserve">  </w:t>
      </w:r>
    </w:p>
  </w:footnote>
  <w:footnote w:id="7">
    <w:p w14:paraId="32B2C2BB" w14:textId="77777777" w:rsidR="002511E2" w:rsidRPr="000A00CE" w:rsidRDefault="002511E2" w:rsidP="002511E2">
      <w:pPr>
        <w:spacing w:after="0" w:line="240" w:lineRule="auto"/>
        <w:ind w:firstLine="709"/>
        <w:jc w:val="both"/>
        <w:rPr>
          <w:rFonts w:ascii="Verdana" w:hAnsi="Verdana" w:cs="Arial"/>
          <w:color w:val="000000" w:themeColor="text1"/>
          <w:sz w:val="14"/>
          <w:szCs w:val="14"/>
          <w:lang w:val="es-ES"/>
        </w:rPr>
      </w:pPr>
      <w:r w:rsidRPr="000A00CE">
        <w:rPr>
          <w:rStyle w:val="Refdenotaalpie"/>
          <w:rFonts w:ascii="Verdana" w:hAnsi="Verdana" w:cs="Arial"/>
          <w:color w:val="000000" w:themeColor="text1"/>
          <w:sz w:val="14"/>
          <w:szCs w:val="14"/>
        </w:rPr>
        <w:footnoteRef/>
      </w:r>
      <w:r w:rsidRPr="000A00CE">
        <w:rPr>
          <w:rFonts w:ascii="Verdana" w:hAnsi="Verdana" w:cs="Arial"/>
          <w:color w:val="000000" w:themeColor="text1"/>
          <w:sz w:val="14"/>
          <w:szCs w:val="14"/>
        </w:rPr>
        <w:t xml:space="preserve"> </w:t>
      </w:r>
      <w:r w:rsidRPr="000A00CE">
        <w:rPr>
          <w:rFonts w:ascii="Verdana" w:hAnsi="Verdana" w:cs="Arial"/>
          <w:color w:val="000000" w:themeColor="text1"/>
          <w:sz w:val="14"/>
          <w:szCs w:val="14"/>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0EE544B9" w14:textId="77777777" w:rsidR="002511E2" w:rsidRPr="000A00CE" w:rsidRDefault="002511E2" w:rsidP="002511E2">
      <w:pPr>
        <w:spacing w:after="0" w:line="240" w:lineRule="auto"/>
        <w:ind w:firstLine="709"/>
        <w:jc w:val="both"/>
        <w:rPr>
          <w:rFonts w:ascii="Verdana" w:hAnsi="Verdana" w:cs="Arial"/>
          <w:color w:val="000000" w:themeColor="text1"/>
          <w:sz w:val="14"/>
          <w:szCs w:val="14"/>
          <w:lang w:val="es-ES"/>
        </w:rPr>
      </w:pPr>
    </w:p>
  </w:footnote>
  <w:footnote w:id="8">
    <w:p w14:paraId="0C8A16F2" w14:textId="77777777" w:rsidR="002511E2" w:rsidRPr="000A00CE" w:rsidRDefault="002511E2" w:rsidP="000A00CE">
      <w:pPr>
        <w:pStyle w:val="Textonotapie"/>
        <w:ind w:firstLine="709"/>
        <w:jc w:val="both"/>
        <w:rPr>
          <w:rFonts w:ascii="Verdana" w:hAnsi="Verdana" w:cs="Arial"/>
          <w:color w:val="000000"/>
          <w:sz w:val="14"/>
          <w:szCs w:val="14"/>
          <w:lang w:val="es-ES"/>
        </w:rPr>
      </w:pPr>
      <w:r w:rsidRPr="000A00CE">
        <w:rPr>
          <w:rStyle w:val="Refdenotaalpie"/>
          <w:rFonts w:ascii="Verdana" w:hAnsi="Verdana"/>
          <w:sz w:val="14"/>
          <w:szCs w:val="14"/>
        </w:rPr>
        <w:footnoteRef/>
      </w:r>
      <w:r w:rsidRPr="000A00CE">
        <w:rPr>
          <w:rFonts w:ascii="Verdana" w:hAnsi="Verdana" w:cs="Arial"/>
          <w:color w:val="000000"/>
          <w:sz w:val="14"/>
          <w:szCs w:val="14"/>
        </w:rPr>
        <w:t xml:space="preserve"> </w:t>
      </w:r>
      <w:r w:rsidRPr="000A00CE">
        <w:rPr>
          <w:rFonts w:ascii="Verdana" w:hAnsi="Verdana" w:cs="Arial"/>
          <w:color w:val="000000"/>
          <w:sz w:val="14"/>
          <w:szCs w:val="14"/>
          <w:lang w:val="es-ES"/>
        </w:rPr>
        <w:t xml:space="preserve">Corte Constitucional. Sentencia T-1039 de 2006. </w:t>
      </w:r>
      <w:r w:rsidRPr="000A00CE">
        <w:rPr>
          <w:rFonts w:ascii="Verdana" w:hAnsi="Verdana" w:cs="Arial"/>
          <w:color w:val="000000"/>
          <w:sz w:val="14"/>
          <w:szCs w:val="14"/>
          <w:lang w:val="it-IT"/>
        </w:rPr>
        <w:t xml:space="preserve">Magistrado Ponente: Humberto Sierra Porto. </w:t>
      </w:r>
      <w:r w:rsidRPr="000A00CE">
        <w:rPr>
          <w:rFonts w:ascii="Verdana" w:hAnsi="Verdana" w:cs="Arial"/>
          <w:color w:val="000000"/>
          <w:sz w:val="14"/>
          <w:szCs w:val="14"/>
          <w:lang w:val="es-ES"/>
        </w:rPr>
        <w:t xml:space="preserve">La Corte ha mantenido este criterio en las sentencias: C-903 de 2008. Magistrado Ponente: Jaime Araujo Rentería; C-101 de 2018. Magistrada Ponente Gloria Stella Ortiz Delgado; entre otras. </w:t>
      </w:r>
    </w:p>
    <w:p w14:paraId="289EFC0F" w14:textId="77777777" w:rsidR="002511E2" w:rsidRPr="000A00CE" w:rsidRDefault="002511E2" w:rsidP="000A00CE">
      <w:pPr>
        <w:pStyle w:val="Textonotapie"/>
        <w:ind w:firstLine="709"/>
        <w:jc w:val="both"/>
        <w:rPr>
          <w:rFonts w:ascii="Verdana" w:hAnsi="Verdana" w:cs="Arial"/>
          <w:color w:val="000000"/>
          <w:sz w:val="14"/>
          <w:szCs w:val="14"/>
          <w:lang w:val="es-ES"/>
        </w:rPr>
      </w:pPr>
    </w:p>
  </w:footnote>
  <w:footnote w:id="9">
    <w:p w14:paraId="7638A37D" w14:textId="77777777" w:rsidR="002511E2" w:rsidRPr="000A00CE" w:rsidRDefault="002511E2" w:rsidP="000A00CE">
      <w:pPr>
        <w:pStyle w:val="Textonotapie"/>
        <w:ind w:firstLine="709"/>
        <w:jc w:val="both"/>
        <w:rPr>
          <w:rFonts w:ascii="Verdana" w:hAnsi="Verdana" w:cs="Arial"/>
          <w:color w:val="000000"/>
          <w:sz w:val="14"/>
          <w:szCs w:val="14"/>
          <w:lang w:val="es-ES"/>
        </w:rPr>
      </w:pPr>
      <w:r w:rsidRPr="000A00CE">
        <w:rPr>
          <w:rStyle w:val="Refdenotaalpie"/>
          <w:rFonts w:ascii="Verdana" w:hAnsi="Verdana"/>
          <w:sz w:val="14"/>
          <w:szCs w:val="14"/>
        </w:rPr>
        <w:footnoteRef/>
      </w:r>
      <w:r w:rsidRPr="000A00CE">
        <w:rPr>
          <w:rFonts w:ascii="Verdana" w:hAnsi="Verdana" w:cs="Arial"/>
          <w:color w:val="000000"/>
          <w:sz w:val="14"/>
          <w:szCs w:val="14"/>
        </w:rPr>
        <w:t xml:space="preserve"> </w:t>
      </w:r>
      <w:r w:rsidRPr="000A00CE">
        <w:rPr>
          <w:rFonts w:ascii="Verdana" w:hAnsi="Verdana" w:cs="Arial"/>
          <w:color w:val="000000"/>
          <w:sz w:val="14"/>
          <w:szCs w:val="14"/>
          <w:lang w:val="es-ES"/>
        </w:rPr>
        <w:t>Consejo de Estado. Sala de Consulta y Servicio Civil. Concepto del 30 de abril de 2015. Expediente: 2.251. Consejero Ponente: Álvaro Namén Vargas.</w:t>
      </w:r>
    </w:p>
    <w:p w14:paraId="75E4DCA8" w14:textId="77777777" w:rsidR="002511E2" w:rsidRPr="000A00CE" w:rsidRDefault="002511E2" w:rsidP="000A00CE">
      <w:pPr>
        <w:pStyle w:val="Textonotapie"/>
        <w:ind w:firstLine="709"/>
        <w:jc w:val="both"/>
        <w:rPr>
          <w:rFonts w:ascii="Verdana" w:hAnsi="Verdana" w:cs="Arial"/>
          <w:color w:val="000000"/>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484249135">
    <w:abstractNumId w:val="0"/>
  </w:num>
  <w:num w:numId="17" w16cid:durableId="177084866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0793"/>
    <w:rsid w:val="00046945"/>
    <w:rsid w:val="00061B2A"/>
    <w:rsid w:val="00082362"/>
    <w:rsid w:val="000A00CE"/>
    <w:rsid w:val="000A683E"/>
    <w:rsid w:val="000B0A95"/>
    <w:rsid w:val="000B19B9"/>
    <w:rsid w:val="000D0334"/>
    <w:rsid w:val="000F10CD"/>
    <w:rsid w:val="000F6486"/>
    <w:rsid w:val="00117B73"/>
    <w:rsid w:val="00125105"/>
    <w:rsid w:val="00127233"/>
    <w:rsid w:val="00160A91"/>
    <w:rsid w:val="001A6642"/>
    <w:rsid w:val="001E4177"/>
    <w:rsid w:val="001F7DC6"/>
    <w:rsid w:val="002421BB"/>
    <w:rsid w:val="002511E2"/>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606F"/>
    <w:rsid w:val="00377E3E"/>
    <w:rsid w:val="003A779E"/>
    <w:rsid w:val="003D0F4D"/>
    <w:rsid w:val="003D5B0D"/>
    <w:rsid w:val="003E0499"/>
    <w:rsid w:val="003F3941"/>
    <w:rsid w:val="00406575"/>
    <w:rsid w:val="00414C74"/>
    <w:rsid w:val="0042722E"/>
    <w:rsid w:val="0044528D"/>
    <w:rsid w:val="004A1847"/>
    <w:rsid w:val="004A305D"/>
    <w:rsid w:val="004B27CA"/>
    <w:rsid w:val="004D4F80"/>
    <w:rsid w:val="004F21C4"/>
    <w:rsid w:val="004F685F"/>
    <w:rsid w:val="005566E8"/>
    <w:rsid w:val="00574867"/>
    <w:rsid w:val="00580144"/>
    <w:rsid w:val="00591460"/>
    <w:rsid w:val="005C24F5"/>
    <w:rsid w:val="005C3777"/>
    <w:rsid w:val="005C5CDC"/>
    <w:rsid w:val="005D476C"/>
    <w:rsid w:val="005F2F91"/>
    <w:rsid w:val="006069FA"/>
    <w:rsid w:val="006133BD"/>
    <w:rsid w:val="00617AE6"/>
    <w:rsid w:val="006219F8"/>
    <w:rsid w:val="006302F7"/>
    <w:rsid w:val="00665D70"/>
    <w:rsid w:val="006900D9"/>
    <w:rsid w:val="006A760C"/>
    <w:rsid w:val="00706C16"/>
    <w:rsid w:val="00756841"/>
    <w:rsid w:val="007649AB"/>
    <w:rsid w:val="00771D0C"/>
    <w:rsid w:val="007833AC"/>
    <w:rsid w:val="007B268C"/>
    <w:rsid w:val="007B7171"/>
    <w:rsid w:val="007C0C0F"/>
    <w:rsid w:val="007C3DC2"/>
    <w:rsid w:val="007D4D72"/>
    <w:rsid w:val="007E5497"/>
    <w:rsid w:val="00806F5F"/>
    <w:rsid w:val="00820278"/>
    <w:rsid w:val="00867F95"/>
    <w:rsid w:val="008843B6"/>
    <w:rsid w:val="00891928"/>
    <w:rsid w:val="00897A3A"/>
    <w:rsid w:val="008A446D"/>
    <w:rsid w:val="008D180B"/>
    <w:rsid w:val="008F0EA7"/>
    <w:rsid w:val="00923EEF"/>
    <w:rsid w:val="00930E91"/>
    <w:rsid w:val="00940118"/>
    <w:rsid w:val="009419F9"/>
    <w:rsid w:val="0095685E"/>
    <w:rsid w:val="00961B09"/>
    <w:rsid w:val="00965334"/>
    <w:rsid w:val="0097093E"/>
    <w:rsid w:val="009A0DFA"/>
    <w:rsid w:val="009B25A8"/>
    <w:rsid w:val="009B2D26"/>
    <w:rsid w:val="009C71FA"/>
    <w:rsid w:val="009C72E7"/>
    <w:rsid w:val="009D3058"/>
    <w:rsid w:val="009D524B"/>
    <w:rsid w:val="009F3A13"/>
    <w:rsid w:val="00A122D3"/>
    <w:rsid w:val="00A17F13"/>
    <w:rsid w:val="00A20739"/>
    <w:rsid w:val="00A33C78"/>
    <w:rsid w:val="00AB0ADB"/>
    <w:rsid w:val="00B00C0E"/>
    <w:rsid w:val="00B01B1A"/>
    <w:rsid w:val="00B44A47"/>
    <w:rsid w:val="00B72CD3"/>
    <w:rsid w:val="00B72FFF"/>
    <w:rsid w:val="00BB379F"/>
    <w:rsid w:val="00BC3D36"/>
    <w:rsid w:val="00BD7F72"/>
    <w:rsid w:val="00C04FB3"/>
    <w:rsid w:val="00C071FF"/>
    <w:rsid w:val="00C14A7C"/>
    <w:rsid w:val="00C330EB"/>
    <w:rsid w:val="00C420B4"/>
    <w:rsid w:val="00C754BE"/>
    <w:rsid w:val="00C76B1C"/>
    <w:rsid w:val="00CB6357"/>
    <w:rsid w:val="00CC1B26"/>
    <w:rsid w:val="00D0709F"/>
    <w:rsid w:val="00D423A2"/>
    <w:rsid w:val="00D520D8"/>
    <w:rsid w:val="00D61D04"/>
    <w:rsid w:val="00D63AC2"/>
    <w:rsid w:val="00D7383B"/>
    <w:rsid w:val="00DA231B"/>
    <w:rsid w:val="00DC39FC"/>
    <w:rsid w:val="00DF5254"/>
    <w:rsid w:val="00E16408"/>
    <w:rsid w:val="00E20894"/>
    <w:rsid w:val="00E245AB"/>
    <w:rsid w:val="00E2764C"/>
    <w:rsid w:val="00E27F2E"/>
    <w:rsid w:val="00E50AFE"/>
    <w:rsid w:val="00E5784A"/>
    <w:rsid w:val="00E75C92"/>
    <w:rsid w:val="00E771DC"/>
    <w:rsid w:val="00E8772A"/>
    <w:rsid w:val="00E90F6B"/>
    <w:rsid w:val="00E92C27"/>
    <w:rsid w:val="00EA0E3D"/>
    <w:rsid w:val="00EC38A7"/>
    <w:rsid w:val="00EE1AA8"/>
    <w:rsid w:val="00F31EDC"/>
    <w:rsid w:val="00F369C1"/>
    <w:rsid w:val="00F462B3"/>
    <w:rsid w:val="00F5664F"/>
    <w:rsid w:val="00F62B6C"/>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511E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511E2"/>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mailto:ylopezm@meta.gov.c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9256916-0EE2-416A-B602-EC36916331C3}"/>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13</Pages>
  <Words>3665</Words>
  <Characters>20088</Characters>
  <Application>Microsoft Office Word</Application>
  <DocSecurity>0</DocSecurity>
  <Lines>401</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5</cp:revision>
  <cp:lastPrinted>2023-01-10T21:18:00Z</cp:lastPrinted>
  <dcterms:created xsi:type="dcterms:W3CDTF">2025-10-02T22:31:00Z</dcterms:created>
  <dcterms:modified xsi:type="dcterms:W3CDTF">2025-10-06T02:35:00Z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