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7A0C02" w14:textId="77777777" w:rsidR="00903C31" w:rsidRPr="00903C31" w:rsidRDefault="00903C31" w:rsidP="00903C31">
      <w:pPr>
        <w:spacing w:after="0" w:line="240" w:lineRule="auto"/>
        <w:jc w:val="both"/>
        <w:rPr>
          <w:rFonts w:ascii="Verdana" w:hAnsi="Verdana" w:cs="Arial"/>
          <w:b/>
          <w:bCs/>
          <w:lang w:val="es-ES_tradnl" w:eastAsia="es-ES" w:bidi="es-ES"/>
        </w:rPr>
      </w:pPr>
      <w:bookmarkStart w:id="0" w:name="_Hlk143780582"/>
      <w:r w:rsidRPr="00903C31">
        <w:rPr>
          <w:rFonts w:ascii="Verdana" w:eastAsia="Arial" w:hAnsi="Verdana" w:cs="Arial"/>
          <w:b/>
          <w:lang w:val="es-ES"/>
        </w:rPr>
        <w:t>PRINCIPIO DE PUBLICIDAD – Concepto – Fundamento axiológico – Fundamento constitucional</w:t>
      </w:r>
      <w:r w:rsidRPr="00903C31">
        <w:rPr>
          <w:rFonts w:ascii="Verdana" w:hAnsi="Verdana" w:cs="Arial"/>
          <w:b/>
          <w:bCs/>
          <w:lang w:val="es-ES_tradnl" w:eastAsia="es-ES" w:bidi="es-ES"/>
        </w:rPr>
        <w:t xml:space="preserve"> </w:t>
      </w:r>
    </w:p>
    <w:p w14:paraId="3754DF89" w14:textId="456C1B0C" w:rsidR="00903C31" w:rsidRDefault="00903C31" w:rsidP="00903C31">
      <w:pPr>
        <w:spacing w:after="0" w:line="240" w:lineRule="auto"/>
        <w:jc w:val="both"/>
        <w:rPr>
          <w:rFonts w:ascii="Verdana" w:hAnsi="Verdana" w:cs="Arial"/>
          <w:b/>
          <w:bCs/>
          <w:lang w:val="es-ES_tradnl" w:eastAsia="es-ES" w:bidi="es-ES"/>
        </w:rPr>
      </w:pPr>
    </w:p>
    <w:p w14:paraId="68422F21" w14:textId="77777777" w:rsidR="00903C31" w:rsidRPr="00903C31" w:rsidRDefault="00903C31" w:rsidP="00903C31">
      <w:pPr>
        <w:spacing w:after="0" w:line="240" w:lineRule="auto"/>
        <w:jc w:val="both"/>
        <w:rPr>
          <w:rFonts w:ascii="Verdana" w:hAnsi="Verdana" w:cs="Arial"/>
          <w:bCs/>
          <w:lang w:val="es-ES" w:eastAsia="es-ES" w:bidi="es-ES"/>
        </w:rPr>
      </w:pPr>
      <w:r w:rsidRPr="00903C31">
        <w:rPr>
          <w:rFonts w:ascii="Verdana" w:hAnsi="Verdana" w:cs="Arial"/>
          <w:bCs/>
          <w:lang w:val="es-ES" w:eastAsia="es-ES" w:bidi="es-ES"/>
        </w:rPr>
        <w:t xml:space="preserve">Uno de los postulados más importantes de un Estado Social y Democrático de Derecho es el principio de </w:t>
      </w:r>
      <w:r w:rsidRPr="00903C31">
        <w:rPr>
          <w:rFonts w:ascii="Verdana" w:hAnsi="Verdana" w:cs="Arial"/>
          <w:bCs/>
          <w:i/>
          <w:iCs/>
          <w:lang w:val="es-ES" w:eastAsia="es-ES" w:bidi="es-ES"/>
        </w:rPr>
        <w:t>publicidad</w:t>
      </w:r>
      <w:r w:rsidRPr="00903C31">
        <w:rPr>
          <w:rFonts w:ascii="Verdana" w:hAnsi="Verdana" w:cs="Arial"/>
          <w:bCs/>
          <w:lang w:val="es-ES" w:eastAsia="es-ES" w:bidi="es-ES"/>
        </w:rPr>
        <w:t>, pues este permite que las actuaciones de las autoridades gocen de visibilidad. En tal sentido, la filosofía política ha indicado que la democracia “[…] es idealmente el gobierno de un poder visible, es decir, el gobierno cuyos actos se realizan ante el público y bajo la supervisión de la opinión pública”.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 la publicidad de las actuaciones de los poderes públicos.</w:t>
      </w:r>
    </w:p>
    <w:p w14:paraId="05412443" w14:textId="5141E6DB" w:rsidR="00903C31" w:rsidRPr="00903C31" w:rsidRDefault="00903C31" w:rsidP="00903C31">
      <w:pPr>
        <w:spacing w:after="0" w:line="240" w:lineRule="auto"/>
        <w:jc w:val="both"/>
        <w:rPr>
          <w:rFonts w:ascii="Verdana" w:hAnsi="Verdana" w:cs="Arial"/>
          <w:bCs/>
          <w:lang w:val="es-ES" w:eastAsia="es-ES" w:bidi="es-ES"/>
        </w:rPr>
      </w:pPr>
      <w:r w:rsidRPr="00903C31">
        <w:rPr>
          <w:rFonts w:ascii="Verdana" w:hAnsi="Verdana" w:cs="Arial"/>
          <w:bCs/>
          <w:lang w:val="es-ES" w:eastAsia="es-ES" w:bidi="es-ES"/>
        </w:rPr>
        <w:t xml:space="preserve"> </w:t>
      </w:r>
    </w:p>
    <w:p w14:paraId="2F18C155" w14:textId="77777777" w:rsidR="00903C31" w:rsidRPr="00903C31" w:rsidRDefault="00903C31" w:rsidP="00903C31">
      <w:pPr>
        <w:spacing w:after="0" w:line="240" w:lineRule="auto"/>
        <w:jc w:val="both"/>
        <w:rPr>
          <w:rFonts w:ascii="Verdana" w:hAnsi="Verdana" w:cs="Arial"/>
          <w:bCs/>
          <w:lang w:val="es-ES" w:eastAsia="es-ES" w:bidi="es-ES"/>
        </w:rPr>
      </w:pPr>
      <w:r w:rsidRPr="00903C31">
        <w:rPr>
          <w:rFonts w:ascii="Verdana" w:hAnsi="Verdana" w:cs="Arial"/>
          <w:bCs/>
          <w:lang w:val="es-ES" w:eastAsia="es-ES" w:bidi="es-ES"/>
        </w:rPr>
        <w:t xml:space="preserve">Como evidencia de ello,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 </w:t>
      </w:r>
    </w:p>
    <w:p w14:paraId="5F566E4E" w14:textId="77777777" w:rsidR="00903C31" w:rsidRPr="00903C31" w:rsidRDefault="00903C31" w:rsidP="00903C31">
      <w:pPr>
        <w:spacing w:after="0" w:line="240" w:lineRule="auto"/>
        <w:jc w:val="both"/>
        <w:rPr>
          <w:rFonts w:ascii="Verdana" w:hAnsi="Verdana" w:cs="Arial"/>
          <w:b/>
          <w:bCs/>
          <w:lang w:val="es-ES" w:eastAsia="es-ES" w:bidi="es-ES"/>
        </w:rPr>
      </w:pPr>
    </w:p>
    <w:p w14:paraId="356C3807" w14:textId="77777777" w:rsidR="00903C31" w:rsidRPr="00903C31" w:rsidRDefault="00903C31" w:rsidP="00903C31">
      <w:pPr>
        <w:spacing w:after="0" w:line="240" w:lineRule="auto"/>
        <w:jc w:val="both"/>
        <w:rPr>
          <w:rFonts w:ascii="Verdana" w:hAnsi="Verdana" w:cs="Arial"/>
          <w:b/>
          <w:bCs/>
          <w:lang w:val="es-ES_tradnl" w:eastAsia="es-ES" w:bidi="es-ES"/>
        </w:rPr>
      </w:pPr>
      <w:r w:rsidRPr="00903C31">
        <w:rPr>
          <w:rFonts w:ascii="Verdana" w:hAnsi="Verdana" w:cs="Arial"/>
          <w:b/>
          <w:bCs/>
          <w:lang w:val="es-ES_tradnl" w:eastAsia="es-ES" w:bidi="es-ES"/>
        </w:rPr>
        <w:t xml:space="preserve">PRINCIPIO DE PUBLICIDAD – SECOP – Documentos del proceso – Deber de publicación </w:t>
      </w:r>
    </w:p>
    <w:p w14:paraId="0976A29E" w14:textId="77777777" w:rsidR="00903C31" w:rsidRPr="00903C31" w:rsidRDefault="00903C31" w:rsidP="00903C31">
      <w:pPr>
        <w:spacing w:after="0" w:line="240" w:lineRule="auto"/>
        <w:jc w:val="both"/>
        <w:rPr>
          <w:rFonts w:ascii="Verdana" w:hAnsi="Verdana" w:cs="Arial"/>
          <w:b/>
          <w:bCs/>
          <w:lang w:val="es-ES_tradnl" w:eastAsia="es-ES" w:bidi="es-ES"/>
        </w:rPr>
      </w:pPr>
    </w:p>
    <w:p w14:paraId="6139BEB9" w14:textId="77777777" w:rsidR="005765D0" w:rsidRPr="005765D0" w:rsidRDefault="005765D0" w:rsidP="005765D0">
      <w:pPr>
        <w:spacing w:after="0" w:line="240" w:lineRule="auto"/>
        <w:jc w:val="both"/>
        <w:rPr>
          <w:rFonts w:ascii="Verdana" w:hAnsi="Verdana" w:cs="Arial"/>
          <w:bCs/>
          <w:lang w:eastAsia="es-ES" w:bidi="es-ES"/>
        </w:rPr>
      </w:pPr>
      <w:r w:rsidRPr="005765D0">
        <w:rPr>
          <w:rFonts w:ascii="Verdana" w:hAnsi="Verdana" w:cs="Arial"/>
          <w:bCs/>
          <w:lang w:eastAsia="es-ES" w:bidi="es-ES"/>
        </w:rPr>
        <w:t xml:space="preserve">La expresión </w:t>
      </w:r>
      <w:r w:rsidRPr="005765D0">
        <w:rPr>
          <w:rFonts w:ascii="Verdana" w:hAnsi="Verdana" w:cs="Arial"/>
          <w:bCs/>
          <w:i/>
          <w:iCs/>
          <w:lang w:eastAsia="es-ES" w:bidi="es-ES"/>
        </w:rPr>
        <w:t xml:space="preserve">Documentos del Proceso </w:t>
      </w:r>
      <w:r w:rsidRPr="005765D0">
        <w:rPr>
          <w:rFonts w:ascii="Verdana" w:hAnsi="Verdana" w:cs="Arial"/>
          <w:bCs/>
          <w:lang w:eastAsia="es-ES" w:bidi="es-ES"/>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5765D0">
        <w:rPr>
          <w:rFonts w:ascii="Verdana" w:hAnsi="Verdana" w:cs="Arial"/>
          <w:bCs/>
          <w:i/>
          <w:iCs/>
          <w:lang w:eastAsia="es-ES" w:bidi="es-ES"/>
        </w:rPr>
        <w:t>y cualquier otro documento expedido por la Entidad Estatal durante el Proceso de Contratación</w:t>
      </w:r>
      <w:r w:rsidRPr="005765D0">
        <w:rPr>
          <w:rFonts w:ascii="Verdana" w:hAnsi="Verdana" w:cs="Arial"/>
          <w:bCs/>
          <w:lang w:eastAsia="es-ES" w:bidi="es-ES"/>
        </w:rPr>
        <w:t>”. (Énfasis fuera de texto).</w:t>
      </w:r>
    </w:p>
    <w:p w14:paraId="1D2E4A21" w14:textId="77777777" w:rsidR="005765D0" w:rsidRPr="005765D0" w:rsidRDefault="005765D0" w:rsidP="005765D0">
      <w:pPr>
        <w:spacing w:after="0" w:line="240" w:lineRule="auto"/>
        <w:jc w:val="both"/>
        <w:rPr>
          <w:rFonts w:ascii="Verdana" w:hAnsi="Verdana" w:cs="Arial"/>
          <w:bCs/>
          <w:lang w:eastAsia="es-ES" w:bidi="es-ES"/>
        </w:rPr>
      </w:pPr>
    </w:p>
    <w:p w14:paraId="5289C026" w14:textId="77777777" w:rsidR="005765D0" w:rsidRPr="005765D0" w:rsidRDefault="005765D0" w:rsidP="005765D0">
      <w:pPr>
        <w:spacing w:after="0" w:line="240" w:lineRule="auto"/>
        <w:jc w:val="both"/>
        <w:rPr>
          <w:rFonts w:ascii="Verdana" w:hAnsi="Verdana" w:cs="Arial"/>
          <w:bCs/>
          <w:lang w:eastAsia="es-ES" w:bidi="es-ES"/>
        </w:rPr>
      </w:pPr>
      <w:r w:rsidRPr="005765D0">
        <w:rPr>
          <w:rFonts w:ascii="Verdana" w:hAnsi="Verdana" w:cs="Arial"/>
          <w:bCs/>
          <w:lang w:eastAsia="es-ES" w:bidi="es-ES"/>
        </w:rPr>
        <w:t xml:space="preserve">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5765D0">
        <w:rPr>
          <w:rFonts w:ascii="Verdana" w:hAnsi="Verdana" w:cs="Arial"/>
          <w:bCs/>
          <w:i/>
          <w:iCs/>
          <w:lang w:eastAsia="es-ES" w:bidi="es-ES"/>
        </w:rPr>
        <w:t>Ibidem</w:t>
      </w:r>
      <w:r w:rsidRPr="005765D0">
        <w:rPr>
          <w:rFonts w:ascii="Verdana" w:hAnsi="Verdana" w:cs="Arial"/>
          <w:bCs/>
          <w:lang w:eastAsia="es-ES" w:bidi="es-ES"/>
        </w:rPr>
        <w:t xml:space="preserve"> recoge en la noción de Documentos del Proceso “cualquier otro documento expedido por la Entidad Estatal durante el Proceso de Contratación”, esto es, aquellos documentos definitivos que se desarrollan dentro del proceso de contratación. </w:t>
      </w:r>
    </w:p>
    <w:p w14:paraId="7F56A4BB" w14:textId="7CD6ABCD" w:rsidR="005765D0" w:rsidRPr="005765D0" w:rsidRDefault="005765D0" w:rsidP="005765D0">
      <w:pPr>
        <w:spacing w:after="0" w:line="240" w:lineRule="auto"/>
        <w:jc w:val="both"/>
        <w:rPr>
          <w:rFonts w:ascii="Verdana" w:hAnsi="Verdana" w:cs="Arial"/>
          <w:bCs/>
          <w:lang w:eastAsia="es-ES" w:bidi="es-ES"/>
        </w:rPr>
      </w:pPr>
      <w:r w:rsidRPr="005765D0">
        <w:rPr>
          <w:rFonts w:ascii="Verdana" w:hAnsi="Verdana" w:cs="Arial"/>
          <w:bCs/>
          <w:lang w:eastAsia="es-ES" w:bidi="es-ES"/>
        </w:rPr>
        <w:t xml:space="preserve"> </w:t>
      </w:r>
    </w:p>
    <w:p w14:paraId="39FA9EDB" w14:textId="77777777" w:rsidR="005765D0" w:rsidRPr="005765D0" w:rsidRDefault="005765D0" w:rsidP="005765D0">
      <w:pPr>
        <w:spacing w:after="0" w:line="240" w:lineRule="auto"/>
        <w:jc w:val="both"/>
        <w:rPr>
          <w:rFonts w:ascii="Verdana" w:hAnsi="Verdana" w:cs="Arial"/>
          <w:bCs/>
          <w:lang w:eastAsia="es-ES" w:bidi="es-ES"/>
        </w:rPr>
      </w:pPr>
      <w:r w:rsidRPr="005765D0">
        <w:rPr>
          <w:rFonts w:ascii="Verdana" w:hAnsi="Verdana" w:cs="Arial"/>
          <w:bCs/>
          <w:lang w:eastAsia="es-ES" w:bidi="es-ES"/>
        </w:rPr>
        <w:lastRenderedPageBreak/>
        <w:t>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se refiere a los documentos “expedidos por la entidad estatal” durante el Proceso de Contratación, excluyendo de la noción de Documentos del Proceso los expedidos por un sujeto distinto a la entidad, salvo la oferta, la cual se incluye expresamente en el referido artículo 2.2.1.1.1.3.</w:t>
      </w:r>
    </w:p>
    <w:p w14:paraId="30A344CA" w14:textId="77777777" w:rsidR="005765D0" w:rsidRPr="005765D0" w:rsidRDefault="005765D0" w:rsidP="005765D0">
      <w:pPr>
        <w:spacing w:after="0" w:line="240" w:lineRule="auto"/>
        <w:jc w:val="both"/>
        <w:rPr>
          <w:rFonts w:ascii="Verdana" w:hAnsi="Verdana" w:cs="Arial"/>
          <w:bCs/>
          <w:lang w:eastAsia="es-ES" w:bidi="es-ES"/>
        </w:rPr>
      </w:pPr>
    </w:p>
    <w:p w14:paraId="5EAD1A63" w14:textId="50037B70" w:rsidR="005765D0" w:rsidRPr="005765D0" w:rsidRDefault="005765D0" w:rsidP="005765D0">
      <w:pPr>
        <w:spacing w:after="0" w:line="240" w:lineRule="auto"/>
        <w:jc w:val="both"/>
        <w:rPr>
          <w:rFonts w:ascii="Verdana" w:hAnsi="Verdana" w:cs="Arial"/>
          <w:bCs/>
          <w:lang w:eastAsia="es-ES" w:bidi="es-ES"/>
        </w:rPr>
      </w:pPr>
      <w:r w:rsidRPr="005765D0">
        <w:rPr>
          <w:rFonts w:ascii="Verdana" w:hAnsi="Verdana" w:cs="Arial"/>
          <w:bCs/>
          <w:lang w:eastAsia="es-ES" w:bidi="es-ES"/>
        </w:rPr>
        <w:t xml:space="preserve">En ese sentido, la interpretación sistemática de los preceptos del Decreto 1082 de 2015, de acuerdo con el principio de publicidad, inicialmente, indica que las Entidades Estatales tienen la obligación de publicar todos los documentos que expidan con ocasión del Proceso de Contratación, es decir, que todos los documentos expedidos por la entidad durante las etapas precontractual, de ejecución y </w:t>
      </w:r>
      <w:proofErr w:type="spellStart"/>
      <w:r w:rsidRPr="005765D0">
        <w:rPr>
          <w:rFonts w:ascii="Verdana" w:hAnsi="Verdana" w:cs="Arial"/>
          <w:bCs/>
          <w:lang w:eastAsia="es-ES" w:bidi="es-ES"/>
        </w:rPr>
        <w:t>postcontractual</w:t>
      </w:r>
      <w:proofErr w:type="spellEnd"/>
      <w:r w:rsidRPr="005765D0">
        <w:rPr>
          <w:rFonts w:ascii="Verdana" w:hAnsi="Verdana" w:cs="Arial"/>
          <w:bCs/>
          <w:lang w:eastAsia="es-ES" w:bidi="es-ES"/>
        </w:rPr>
        <w:t xml:space="preserve"> deberán publicarse en SECOP dentro de los tres (3) días siguientes a su expedición, para cumplir el deber de publicidad regulado por el artículo 2.2.1.1.1.7.1. del Decreto 1082 de 2015.</w:t>
      </w:r>
    </w:p>
    <w:p w14:paraId="776BB97D" w14:textId="77777777" w:rsidR="00903C31" w:rsidRPr="005765D0" w:rsidRDefault="00903C31" w:rsidP="00903C31">
      <w:pPr>
        <w:spacing w:after="0" w:line="240" w:lineRule="auto"/>
        <w:jc w:val="both"/>
        <w:rPr>
          <w:rFonts w:ascii="Verdana" w:hAnsi="Verdana" w:cs="Arial"/>
          <w:b/>
          <w:bCs/>
          <w:lang w:eastAsia="es-ES" w:bidi="es-ES"/>
        </w:rPr>
      </w:pPr>
    </w:p>
    <w:p w14:paraId="4A53D671" w14:textId="77777777" w:rsidR="00903C31" w:rsidRPr="00903C31" w:rsidRDefault="00903C31" w:rsidP="00903C31">
      <w:pPr>
        <w:spacing w:after="0" w:line="240" w:lineRule="auto"/>
        <w:jc w:val="both"/>
        <w:rPr>
          <w:rFonts w:ascii="Verdana" w:hAnsi="Verdana" w:cs="Arial"/>
          <w:b/>
          <w:bCs/>
          <w:lang w:val="es-ES_tradnl" w:eastAsia="es-ES" w:bidi="es-ES"/>
        </w:rPr>
      </w:pPr>
      <w:r w:rsidRPr="00903C31">
        <w:rPr>
          <w:rFonts w:ascii="Verdana" w:hAnsi="Verdana" w:cs="Arial"/>
          <w:b/>
          <w:bCs/>
          <w:lang w:val="es-ES_tradnl" w:eastAsia="es-ES" w:bidi="es-ES"/>
        </w:rPr>
        <w:t xml:space="preserve">SECOP II – Procedimiento Administrativo Electrónico – Autenticidad </w:t>
      </w:r>
    </w:p>
    <w:p w14:paraId="7E8FCE0F" w14:textId="307972E1" w:rsidR="00903C31" w:rsidRDefault="00903C31" w:rsidP="00903C31">
      <w:pPr>
        <w:spacing w:after="0" w:line="240" w:lineRule="auto"/>
        <w:jc w:val="both"/>
        <w:rPr>
          <w:rFonts w:ascii="Verdana" w:hAnsi="Verdana" w:cs="Arial"/>
          <w:b/>
          <w:bCs/>
          <w:lang w:val="es-ES_tradnl" w:eastAsia="es-ES" w:bidi="es-ES"/>
        </w:rPr>
      </w:pPr>
    </w:p>
    <w:p w14:paraId="58FCD208" w14:textId="77777777" w:rsidR="00903C31" w:rsidRPr="00903C31" w:rsidRDefault="00903C31" w:rsidP="00903C31">
      <w:pPr>
        <w:spacing w:after="0" w:line="240" w:lineRule="auto"/>
        <w:jc w:val="both"/>
        <w:rPr>
          <w:rFonts w:ascii="Verdana" w:hAnsi="Verdana" w:cs="Arial"/>
          <w:bCs/>
          <w:sz w:val="20"/>
          <w:lang w:eastAsia="es-ES" w:bidi="es-ES"/>
        </w:rPr>
      </w:pPr>
      <w:r w:rsidRPr="00903C31">
        <w:rPr>
          <w:rFonts w:ascii="Verdana" w:hAnsi="Verdana" w:cs="Arial"/>
          <w:bCs/>
          <w:sz w:val="20"/>
          <w:lang w:eastAsia="es-ES" w:bidi="es-ES"/>
        </w:rPr>
        <w:t>En cambio, el SECOP II, es una plataforma transaccional que permite gestionar en línea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06D14777" w14:textId="77777777" w:rsidR="00903C31" w:rsidRPr="00903C31" w:rsidRDefault="00903C31" w:rsidP="00903C31">
      <w:pPr>
        <w:spacing w:after="0" w:line="240" w:lineRule="auto"/>
        <w:jc w:val="both"/>
        <w:rPr>
          <w:rFonts w:ascii="Verdana" w:hAnsi="Verdana" w:cs="Arial"/>
          <w:bCs/>
          <w:sz w:val="20"/>
          <w:lang w:val="es-ES" w:eastAsia="es-ES" w:bidi="es-ES"/>
        </w:rPr>
      </w:pPr>
    </w:p>
    <w:p w14:paraId="3E38E76C" w14:textId="67F789E3" w:rsidR="00903C31" w:rsidRPr="00903C31" w:rsidRDefault="00903C31" w:rsidP="00903C31">
      <w:pPr>
        <w:spacing w:after="0" w:line="240" w:lineRule="auto"/>
        <w:jc w:val="both"/>
        <w:rPr>
          <w:rFonts w:ascii="Verdana" w:hAnsi="Verdana" w:cs="Arial"/>
          <w:bCs/>
          <w:sz w:val="20"/>
          <w:lang w:eastAsia="es-ES" w:bidi="es-ES"/>
        </w:rPr>
      </w:pPr>
      <w:r w:rsidRPr="00903C31">
        <w:rPr>
          <w:rFonts w:ascii="Verdana" w:hAnsi="Verdana" w:cs="Arial"/>
          <w:bCs/>
          <w:sz w:val="20"/>
          <w:lang w:eastAsia="es-ES" w:bidi="es-ES"/>
        </w:rPr>
        <w:t xml:space="preserve">En esta línea, el artículo 53 de la Ley 1437 de 2011 –en adelante CPACA- dispone que los procedimientos y trámites administrativos pueden realizarse por medios electrónicos, que se aplicarán </w:t>
      </w:r>
      <w:proofErr w:type="gramStart"/>
      <w:r w:rsidRPr="00903C31">
        <w:rPr>
          <w:rFonts w:ascii="Verdana" w:hAnsi="Verdana" w:cs="Arial"/>
          <w:bCs/>
          <w:sz w:val="20"/>
          <w:lang w:eastAsia="es-ES" w:bidi="es-ES"/>
        </w:rPr>
        <w:t>de acuerdo a</w:t>
      </w:r>
      <w:proofErr w:type="gramEnd"/>
      <w:r w:rsidRPr="00903C31">
        <w:rPr>
          <w:rFonts w:ascii="Verdana" w:hAnsi="Verdana" w:cs="Arial"/>
          <w:bCs/>
          <w:sz w:val="20"/>
          <w:lang w:eastAsia="es-ES" w:bidi="es-ES"/>
        </w:rPr>
        <w:t xml:space="preserve"> su compatibilidad con la Ley 527 de 1999. A partir de lo anterior, el CPACA establece reglas básicas para el uso de los medios electrónicos en los procedimientos administrativos, en las que se destaca: i) los documentos públicos en medios electrónicos que tienen la validez y fuerza probatoria que le confiere el Código General del Proceso –artículo 55–; </w:t>
      </w:r>
      <w:proofErr w:type="spellStart"/>
      <w:r w:rsidRPr="00903C31">
        <w:rPr>
          <w:rFonts w:ascii="Verdana" w:hAnsi="Verdana" w:cs="Arial"/>
          <w:bCs/>
          <w:sz w:val="20"/>
          <w:lang w:eastAsia="es-ES" w:bidi="es-ES"/>
        </w:rPr>
        <w:t>ii</w:t>
      </w:r>
      <w:proofErr w:type="spellEnd"/>
      <w:r w:rsidRPr="00903C31">
        <w:rPr>
          <w:rFonts w:ascii="Verdana" w:hAnsi="Verdana" w:cs="Arial"/>
          <w:bCs/>
          <w:sz w:val="20"/>
          <w:lang w:eastAsia="es-ES" w:bidi="es-ES"/>
        </w:rPr>
        <w:t xml:space="preserve">) la expedición de actos administrativos electrónicos –artículo 57–; </w:t>
      </w:r>
      <w:proofErr w:type="spellStart"/>
      <w:r w:rsidRPr="00903C31">
        <w:rPr>
          <w:rFonts w:ascii="Verdana" w:hAnsi="Verdana" w:cs="Arial"/>
          <w:bCs/>
          <w:sz w:val="20"/>
          <w:lang w:eastAsia="es-ES" w:bidi="es-ES"/>
        </w:rPr>
        <w:t>iii</w:t>
      </w:r>
      <w:proofErr w:type="spellEnd"/>
      <w:r w:rsidRPr="00903C31">
        <w:rPr>
          <w:rFonts w:ascii="Verdana" w:hAnsi="Verdana" w:cs="Arial"/>
          <w:bCs/>
          <w:sz w:val="20"/>
          <w:lang w:eastAsia="es-ES" w:bidi="es-ES"/>
        </w:rPr>
        <w:t xml:space="preserve">) el archivo electrónico de documentos –artículo 58–; </w:t>
      </w:r>
      <w:proofErr w:type="spellStart"/>
      <w:r w:rsidRPr="00903C31">
        <w:rPr>
          <w:rFonts w:ascii="Verdana" w:hAnsi="Verdana" w:cs="Arial"/>
          <w:bCs/>
          <w:sz w:val="20"/>
          <w:lang w:eastAsia="es-ES" w:bidi="es-ES"/>
        </w:rPr>
        <w:t>iv</w:t>
      </w:r>
      <w:proofErr w:type="spellEnd"/>
      <w:r w:rsidRPr="00903C31">
        <w:rPr>
          <w:rFonts w:ascii="Verdana" w:hAnsi="Verdana" w:cs="Arial"/>
          <w:bCs/>
          <w:sz w:val="20"/>
          <w:lang w:eastAsia="es-ES" w:bidi="es-ES"/>
        </w:rPr>
        <w:t xml:space="preserve">) la recepción de documentos electrónicos por parte de las autoridades –artículo 61, entre otros. </w:t>
      </w:r>
    </w:p>
    <w:p w14:paraId="7C11DEC7" w14:textId="77777777" w:rsidR="00903C31" w:rsidRPr="00903C31" w:rsidRDefault="00903C31" w:rsidP="00903C31">
      <w:pPr>
        <w:spacing w:after="0" w:line="240" w:lineRule="auto"/>
        <w:jc w:val="both"/>
        <w:rPr>
          <w:rFonts w:ascii="Verdana" w:hAnsi="Verdana" w:cs="Arial"/>
          <w:b/>
          <w:bCs/>
          <w:lang w:val="es-ES_tradnl" w:eastAsia="es-ES" w:bidi="es-ES"/>
        </w:rPr>
      </w:pPr>
    </w:p>
    <w:p w14:paraId="38660009" w14:textId="77777777" w:rsidR="00903C31" w:rsidRPr="00903C31" w:rsidRDefault="00903C31" w:rsidP="00903C31">
      <w:pPr>
        <w:spacing w:after="0" w:line="240" w:lineRule="auto"/>
        <w:jc w:val="both"/>
        <w:rPr>
          <w:rFonts w:ascii="Verdana" w:hAnsi="Verdana" w:cs="Arial"/>
          <w:b/>
          <w:bCs/>
          <w:lang w:val="es-ES_tradnl" w:eastAsia="es-ES" w:bidi="es-ES"/>
        </w:rPr>
      </w:pPr>
      <w:r w:rsidRPr="00903C31">
        <w:rPr>
          <w:rFonts w:ascii="Verdana" w:hAnsi="Verdana" w:cs="Arial"/>
          <w:b/>
          <w:bCs/>
          <w:lang w:val="es-ES_tradnl" w:eastAsia="es-ES" w:bidi="es-ES"/>
        </w:rPr>
        <w:t>PRINCIPIO DE PUBLICIDAD – Ámbito de aplicación – Decreto 1081 de 2015 – Decreto 1600 de 2024</w:t>
      </w:r>
    </w:p>
    <w:p w14:paraId="2583E740" w14:textId="03E28537" w:rsidR="00903C31" w:rsidRDefault="00903C31" w:rsidP="00903C31">
      <w:pPr>
        <w:spacing w:after="0" w:line="240" w:lineRule="auto"/>
        <w:jc w:val="both"/>
        <w:rPr>
          <w:rFonts w:ascii="Verdana" w:hAnsi="Verdana" w:cs="Arial"/>
          <w:b/>
          <w:bCs/>
          <w:lang w:val="es-ES_tradnl" w:eastAsia="es-ES" w:bidi="es-ES"/>
        </w:rPr>
      </w:pPr>
    </w:p>
    <w:p w14:paraId="59A9AC66" w14:textId="77777777" w:rsidR="005765D0" w:rsidRDefault="005765D0" w:rsidP="005765D0">
      <w:pPr>
        <w:spacing w:after="0" w:line="240" w:lineRule="auto"/>
        <w:jc w:val="both"/>
        <w:rPr>
          <w:rFonts w:ascii="Verdana" w:hAnsi="Verdana" w:cs="Arial"/>
          <w:bCs/>
          <w:iCs/>
          <w:sz w:val="20"/>
          <w:lang w:eastAsia="es-ES" w:bidi="es-ES"/>
        </w:rPr>
      </w:pPr>
      <w:r w:rsidRPr="005765D0">
        <w:rPr>
          <w:rFonts w:ascii="Verdana" w:hAnsi="Verdana" w:cs="Arial"/>
          <w:bCs/>
          <w:iCs/>
          <w:sz w:val="20"/>
          <w:lang w:val="es-ES_tradnl" w:eastAsia="es-ES" w:bidi="es-ES"/>
        </w:rPr>
        <w:t xml:space="preserve">Por tanto, La regla dispuesta en el </w:t>
      </w:r>
      <w:r w:rsidRPr="005765D0">
        <w:rPr>
          <w:rFonts w:ascii="Verdana" w:hAnsi="Verdana" w:cs="Arial"/>
          <w:bCs/>
          <w:iCs/>
          <w:sz w:val="20"/>
          <w:lang w:eastAsia="es-ES" w:bidi="es-ES"/>
        </w:rPr>
        <w:t xml:space="preserve">artículo 2.1.4.3.2.2 del Decreto 1081 de 2015 </w:t>
      </w:r>
      <w:r w:rsidRPr="005765D0">
        <w:rPr>
          <w:rFonts w:ascii="Verdana" w:hAnsi="Verdana" w:cs="Arial"/>
          <w:bCs/>
          <w:iCs/>
          <w:sz w:val="20"/>
          <w:lang w:val="es-ES_tradnl" w:eastAsia="es-ES" w:bidi="es-ES"/>
        </w:rPr>
        <w:t>–</w:t>
      </w:r>
      <w:r w:rsidRPr="005765D0">
        <w:rPr>
          <w:rFonts w:ascii="Verdana" w:hAnsi="Verdana" w:cs="Arial"/>
          <w:bCs/>
          <w:i/>
          <w:iCs/>
          <w:sz w:val="20"/>
          <w:lang w:val="es-ES_tradnl" w:eastAsia="es-ES" w:bidi="es-ES"/>
        </w:rPr>
        <w:t>regla especial</w:t>
      </w:r>
      <w:r w:rsidRPr="005765D0">
        <w:rPr>
          <w:rFonts w:ascii="Verdana" w:hAnsi="Verdana" w:cs="Arial"/>
          <w:bCs/>
          <w:iCs/>
          <w:sz w:val="20"/>
          <w:lang w:val="es-ES_tradnl" w:eastAsia="es-ES" w:bidi="es-ES"/>
        </w:rPr>
        <w:t xml:space="preserve">– modificada por el Decreto 1600 de 2024 debe tenerse en cuenta sobre el </w:t>
      </w:r>
      <w:r w:rsidRPr="005765D0">
        <w:rPr>
          <w:rFonts w:ascii="Verdana" w:hAnsi="Verdana" w:cs="Arial"/>
          <w:bCs/>
          <w:iCs/>
          <w:sz w:val="20"/>
          <w:lang w:val="es-ES_tradnl" w:eastAsia="es-ES" w:bidi="es-ES"/>
        </w:rPr>
        <w:lastRenderedPageBreak/>
        <w:t xml:space="preserve">entendimiento y aplicación del artículo </w:t>
      </w:r>
      <w:r w:rsidRPr="005765D0">
        <w:rPr>
          <w:rFonts w:ascii="Verdana" w:hAnsi="Verdana" w:cs="Arial"/>
          <w:bCs/>
          <w:iCs/>
          <w:sz w:val="20"/>
          <w:lang w:eastAsia="es-ES" w:bidi="es-ES"/>
        </w:rPr>
        <w:t>2.2.1.1.1.7.1. del Decreto 1082 de 2015</w:t>
      </w:r>
      <w:r w:rsidRPr="005765D0">
        <w:rPr>
          <w:rFonts w:ascii="Verdana" w:hAnsi="Verdana" w:cs="Arial"/>
          <w:bCs/>
          <w:iCs/>
          <w:sz w:val="20"/>
          <w:lang w:val="es-ES_tradnl" w:eastAsia="es-ES" w:bidi="es-ES"/>
        </w:rPr>
        <w:t xml:space="preserve"> –</w:t>
      </w:r>
      <w:r w:rsidRPr="005765D0">
        <w:rPr>
          <w:rFonts w:ascii="Verdana" w:hAnsi="Verdana" w:cs="Arial"/>
          <w:bCs/>
          <w:i/>
          <w:iCs/>
          <w:sz w:val="20"/>
          <w:lang w:val="es-ES_tradnl" w:eastAsia="es-ES" w:bidi="es-ES"/>
        </w:rPr>
        <w:t>regla general</w:t>
      </w:r>
      <w:r w:rsidRPr="005765D0">
        <w:rPr>
          <w:rFonts w:ascii="Verdana" w:hAnsi="Verdana" w:cs="Arial"/>
          <w:bCs/>
          <w:iCs/>
          <w:sz w:val="20"/>
          <w:lang w:val="es-ES_tradnl" w:eastAsia="es-ES" w:bidi="es-ES"/>
        </w:rPr>
        <w:t xml:space="preserve">–, esto es, deben interpretarse armónicamente. Esto no significa que la </w:t>
      </w:r>
      <w:r w:rsidRPr="005765D0">
        <w:rPr>
          <w:rFonts w:ascii="Verdana" w:hAnsi="Verdana" w:cs="Arial"/>
          <w:bCs/>
          <w:i/>
          <w:iCs/>
          <w:sz w:val="20"/>
          <w:lang w:val="es-ES_tradnl" w:eastAsia="es-ES" w:bidi="es-ES"/>
        </w:rPr>
        <w:t>regla general</w:t>
      </w:r>
      <w:r w:rsidRPr="005765D0">
        <w:rPr>
          <w:rFonts w:ascii="Verdana" w:hAnsi="Verdana" w:cs="Arial"/>
          <w:bCs/>
          <w:iCs/>
          <w:sz w:val="20"/>
          <w:lang w:val="es-ES_tradnl" w:eastAsia="es-ES" w:bidi="es-ES"/>
        </w:rPr>
        <w:t xml:space="preserve"> desaparezca del ordenamiento jurídico; todo lo contrario, esta aplica en todos los supuestos que regula, y se interpreta de forma integral con los supuestos previstos en la </w:t>
      </w:r>
      <w:r w:rsidRPr="005765D0">
        <w:rPr>
          <w:rFonts w:ascii="Verdana" w:hAnsi="Verdana" w:cs="Arial"/>
          <w:bCs/>
          <w:i/>
          <w:iCs/>
          <w:sz w:val="20"/>
          <w:lang w:val="es-ES_tradnl" w:eastAsia="es-ES" w:bidi="es-ES"/>
        </w:rPr>
        <w:t>regla especial</w:t>
      </w:r>
      <w:r w:rsidRPr="005765D0">
        <w:rPr>
          <w:rFonts w:ascii="Verdana" w:hAnsi="Verdana" w:cs="Arial"/>
          <w:bCs/>
          <w:iCs/>
          <w:sz w:val="20"/>
          <w:lang w:val="es-ES_tradnl" w:eastAsia="es-ES" w:bidi="es-ES"/>
        </w:rPr>
        <w:t xml:space="preserve">. De esta manera, el término de diez (10) días es un plazo máximo para las entidades y </w:t>
      </w:r>
      <w:r w:rsidRPr="005765D0">
        <w:rPr>
          <w:rFonts w:ascii="Verdana" w:hAnsi="Verdana" w:cs="Arial"/>
          <w:bCs/>
          <w:i/>
          <w:iCs/>
          <w:sz w:val="20"/>
          <w:lang w:eastAsia="es-ES" w:bidi="es-ES"/>
        </w:rPr>
        <w:t xml:space="preserve">empresas del Estado </w:t>
      </w:r>
      <w:r w:rsidRPr="005765D0">
        <w:rPr>
          <w:rFonts w:ascii="Verdana" w:hAnsi="Verdana" w:cs="Arial"/>
          <w:bCs/>
          <w:iCs/>
          <w:sz w:val="20"/>
          <w:lang w:eastAsia="es-ES" w:bidi="es-ES"/>
        </w:rPr>
        <w:t xml:space="preserve">del orden nacional y pertenecientes a la Rama Ejecutiva del Poder Público para publicar en SECOP, en todo caso los documentos de carácter definitivo, precisando la regla general sigue vigente, y que, en un principio, el término para publicar tres (3) días siguientes a la expedición, esto es, a partir desde que el documento se encuentra perfeccionado por la parte o las partes intervinientes, de conformidad a lo prescrito en el Decreto 1082 de 2015. </w:t>
      </w:r>
    </w:p>
    <w:p w14:paraId="5D47B346" w14:textId="77777777" w:rsidR="005765D0" w:rsidRPr="005765D0" w:rsidRDefault="005765D0" w:rsidP="005765D0">
      <w:pPr>
        <w:spacing w:after="0" w:line="240" w:lineRule="auto"/>
        <w:jc w:val="both"/>
        <w:rPr>
          <w:rFonts w:ascii="Verdana" w:hAnsi="Verdana" w:cs="Arial"/>
          <w:bCs/>
          <w:iCs/>
          <w:sz w:val="20"/>
          <w:lang w:eastAsia="es-ES" w:bidi="es-ES"/>
        </w:rPr>
      </w:pPr>
    </w:p>
    <w:p w14:paraId="22B565B0" w14:textId="77777777" w:rsidR="005765D0" w:rsidRPr="005765D0" w:rsidRDefault="005765D0" w:rsidP="005765D0">
      <w:pPr>
        <w:spacing w:after="0" w:line="240" w:lineRule="auto"/>
        <w:jc w:val="both"/>
        <w:rPr>
          <w:rFonts w:ascii="Verdana" w:hAnsi="Verdana" w:cs="Arial"/>
          <w:bCs/>
          <w:iCs/>
          <w:sz w:val="20"/>
          <w:lang w:eastAsia="es-ES" w:bidi="es-ES"/>
        </w:rPr>
      </w:pPr>
      <w:r w:rsidRPr="005765D0">
        <w:rPr>
          <w:rFonts w:ascii="Verdana" w:hAnsi="Verdana" w:cs="Arial"/>
          <w:bCs/>
          <w:iCs/>
          <w:sz w:val="20"/>
          <w:lang w:eastAsia="es-ES" w:bidi="es-ES"/>
        </w:rPr>
        <w:t xml:space="preserve">Ahora bien, las demás entidades que no están sujetas al Decreto 1600 de 2024 que modifica el Decreto 1081 de 2015 tienen el deber de aplicar el término de publicación de los tres (3) días siguientes a su expedición como regla general y no le es aplicable el término máximo de diez (10) días desde la ocurrencia del hecho, esto es, a partir de la generación del documento definitivo. En tal sentido, las entidades del orden territorial, así como sus descentralizadas deben seguir aplicando el término general de tres (3) días, y no podrán hacer una interpretación extensiva ni analógica, puesto que se rigen bajo el principio de legalidad que implica una interpretación literal y estricta de las disposiciones normativas.  </w:t>
      </w:r>
    </w:p>
    <w:p w14:paraId="241D4BC0" w14:textId="77777777" w:rsidR="005765D0" w:rsidRPr="005765D0" w:rsidRDefault="005765D0" w:rsidP="00903C31">
      <w:pPr>
        <w:spacing w:after="0" w:line="240" w:lineRule="auto"/>
        <w:jc w:val="both"/>
        <w:rPr>
          <w:rFonts w:ascii="Verdana" w:hAnsi="Verdana" w:cs="Arial"/>
          <w:b/>
          <w:bCs/>
          <w:lang w:eastAsia="es-ES" w:bidi="es-ES"/>
        </w:rPr>
      </w:pPr>
    </w:p>
    <w:p w14:paraId="676DEA20" w14:textId="134F0708" w:rsidR="00903C31" w:rsidRPr="00903C31" w:rsidRDefault="00903C31" w:rsidP="00903C31">
      <w:pPr>
        <w:spacing w:after="0" w:line="240" w:lineRule="auto"/>
        <w:jc w:val="both"/>
        <w:rPr>
          <w:rFonts w:ascii="Verdana" w:hAnsi="Verdana"/>
          <w:b/>
        </w:rPr>
      </w:pPr>
      <w:r w:rsidRPr="00903C31">
        <w:rPr>
          <w:rFonts w:ascii="Verdana" w:hAnsi="Verdana" w:cs="Arial"/>
          <w:b/>
          <w:bCs/>
          <w:lang w:val="es-ES_tradnl" w:eastAsia="es-ES" w:bidi="es-ES"/>
        </w:rPr>
        <w:t xml:space="preserve">PRINCIPIO DE PUBLICIDAD – término de publicación – interpretación armónica - documentos de ejecución – SECOP II – SECOP I.  </w:t>
      </w:r>
    </w:p>
    <w:p w14:paraId="6B73014D" w14:textId="77777777" w:rsidR="00903C31" w:rsidRDefault="00903C31" w:rsidP="00AF6DA4">
      <w:pPr>
        <w:spacing w:after="0"/>
        <w:rPr>
          <w:rFonts w:ascii="Verdana" w:hAnsi="Verdana"/>
        </w:rPr>
      </w:pPr>
    </w:p>
    <w:p w14:paraId="7E8975FD" w14:textId="77777777" w:rsidR="00903C31" w:rsidRPr="00903C31" w:rsidRDefault="00903C31" w:rsidP="00903C31">
      <w:pPr>
        <w:spacing w:after="0" w:line="240" w:lineRule="auto"/>
        <w:jc w:val="both"/>
        <w:rPr>
          <w:rFonts w:ascii="Verdana" w:hAnsi="Verdana"/>
          <w:bCs/>
          <w:iCs/>
          <w:sz w:val="20"/>
          <w:lang w:val="es-ES"/>
        </w:rPr>
      </w:pPr>
      <w:r w:rsidRPr="00903C31">
        <w:rPr>
          <w:rFonts w:ascii="Verdana" w:hAnsi="Verdana"/>
          <w:bCs/>
          <w:iCs/>
          <w:sz w:val="20"/>
          <w:lang w:val="es-ES"/>
        </w:rPr>
        <w:t>Es decir, en SECOP II, en principio, no aplica el término general de los tres (3) o el plazo máximo de los (10) días para las entidades del orden nacional, pues la mayoría de los documentos y actuaciones electrónicas se generan en el instante con la aprobación de las partes que intervienen en el proceso de contratación estatal respectivo. Esto, a diferencia de los procesos publicados en el SECOP I, en los que primero se generan los documentos definitivos, esto es, aquellos que están firmados por las partes y luego se publican en dicha plataforma, en los términos ya expuestos, dependiendo de la naturaleza de la entidad y de las reglas prescritas en los Decretos 1081 y 1082 de 2015.</w:t>
      </w:r>
    </w:p>
    <w:p w14:paraId="3352E137" w14:textId="77777777" w:rsidR="00903C31" w:rsidRPr="00903C31" w:rsidRDefault="00903C31" w:rsidP="00903C31">
      <w:pPr>
        <w:spacing w:after="0" w:line="240" w:lineRule="auto"/>
        <w:jc w:val="both"/>
        <w:rPr>
          <w:rFonts w:ascii="Verdana" w:hAnsi="Verdana"/>
          <w:bCs/>
          <w:iCs/>
          <w:sz w:val="20"/>
          <w:lang w:val="es-ES"/>
        </w:rPr>
      </w:pPr>
    </w:p>
    <w:p w14:paraId="451849B4" w14:textId="6018D291" w:rsidR="00903C31" w:rsidRPr="00903C31" w:rsidRDefault="00903C31" w:rsidP="00903C31">
      <w:pPr>
        <w:spacing w:after="0" w:line="240" w:lineRule="auto"/>
        <w:jc w:val="both"/>
        <w:rPr>
          <w:rFonts w:ascii="Verdana" w:hAnsi="Verdana"/>
          <w:sz w:val="20"/>
        </w:rPr>
      </w:pPr>
      <w:r w:rsidRPr="00903C31">
        <w:rPr>
          <w:rFonts w:ascii="Verdana" w:hAnsi="Verdana"/>
          <w:bCs/>
          <w:iCs/>
          <w:sz w:val="20"/>
          <w:lang w:val="es-ES"/>
        </w:rPr>
        <w:t xml:space="preserve">En torno a los documentos de ejecución debe precisarse que algunos de estos no tienen un carácter transaccional en SECOP II, pues dentro de la numeral 7° del Proceso de Contratación “Ejecución del contrato” se encuentra la Sección “Documentos de Ejecución del contrato”, en el que </w:t>
      </w:r>
      <w:r w:rsidRPr="00903C31">
        <w:rPr>
          <w:rFonts w:ascii="Verdana" w:hAnsi="Verdana"/>
          <w:bCs/>
          <w:iCs/>
          <w:sz w:val="20"/>
        </w:rPr>
        <w:t>tanto la Entidad Estatal como el Proveedor podrán cargar cualquier documento adicional resultado de la ejecución del contrato por ejemplo, acta de inicio, actas de entrega, informes de avance, requerimientos de la supervisión, solicitud de ampliación de pólizas, entre otros. Dichos documentos deberán estar suscritos por la parte o partes que los generan y subirse en la plataforma en SECOP II dentro de los términos dispuestos por el Decreto 1082 de 2015, esto es, tres (3) días siguientes. Sin perjuicio, d</w:t>
      </w:r>
      <w:r w:rsidRPr="00903C31">
        <w:rPr>
          <w:rFonts w:ascii="Verdana" w:hAnsi="Verdana"/>
          <w:bCs/>
          <w:iCs/>
          <w:sz w:val="20"/>
          <w:lang w:val="es-ES"/>
        </w:rPr>
        <w:t>el término de diez (10) días como un límite máximo para publicar por parte de las entidades del orden nacional sometidas a lo dispuesto en el Decreto 1600 de 2024 que modifica el Decreto 1081 de 2015.</w:t>
      </w:r>
    </w:p>
    <w:p w14:paraId="0FED44EE" w14:textId="3CD1DECC" w:rsidR="00903C31" w:rsidRDefault="00903C31" w:rsidP="00AF6DA4">
      <w:pPr>
        <w:spacing w:after="0"/>
        <w:rPr>
          <w:rFonts w:ascii="Verdana" w:hAnsi="Verdana"/>
        </w:rPr>
      </w:pPr>
    </w:p>
    <w:p w14:paraId="38D32B37" w14:textId="2CFA0DB9" w:rsidR="00AF6DA4" w:rsidRPr="0044528D" w:rsidRDefault="0018217F" w:rsidP="00AF6DA4">
      <w:pPr>
        <w:spacing w:after="0"/>
        <w:rPr>
          <w:rFonts w:ascii="Verdana" w:hAnsi="Verdana"/>
        </w:rPr>
      </w:pPr>
      <w:r w:rsidRPr="0018217F">
        <w:rPr>
          <w:rFonts w:ascii="Verdana" w:hAnsi="Verdana"/>
          <w:noProof/>
          <w:lang w:val="en-US"/>
        </w:rPr>
        <w:lastRenderedPageBreak/>
        <w:drawing>
          <wp:anchor distT="0" distB="0" distL="114300" distR="114300" simplePos="0" relativeHeight="251658240" behindDoc="0" locked="0" layoutInCell="1" allowOverlap="1" wp14:anchorId="70B61577" wp14:editId="02203095">
            <wp:simplePos x="0" y="0"/>
            <wp:positionH relativeFrom="column">
              <wp:posOffset>3050387</wp:posOffset>
            </wp:positionH>
            <wp:positionV relativeFrom="paragraph">
              <wp:posOffset>118154</wp:posOffset>
            </wp:positionV>
            <wp:extent cx="2648585" cy="730885"/>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48585" cy="730885"/>
                    </a:xfrm>
                    <a:prstGeom prst="rect">
                      <a:avLst/>
                    </a:prstGeom>
                    <a:noFill/>
                    <a:ln>
                      <a:noFill/>
                    </a:ln>
                  </pic:spPr>
                </pic:pic>
              </a:graphicData>
            </a:graphic>
          </wp:anchor>
        </w:drawing>
      </w:r>
      <w:r>
        <w:rPr>
          <w:rFonts w:ascii="Verdana" w:hAnsi="Verdana"/>
        </w:rPr>
        <w:t>Bogotá D.C., 1 de octubre de 2025</w:t>
      </w:r>
      <w:r w:rsidR="00AF6DA4" w:rsidRPr="0044528D">
        <w:rPr>
          <w:rFonts w:ascii="Verdana" w:hAnsi="Verdana"/>
        </w:rPr>
        <w:tab/>
      </w:r>
    </w:p>
    <w:p w14:paraId="182DA0DE" w14:textId="77777777" w:rsidR="00AF6DA4" w:rsidRPr="0044528D" w:rsidRDefault="00AF6DA4" w:rsidP="00AF6DA4">
      <w:pPr>
        <w:spacing w:after="0" w:line="240" w:lineRule="auto"/>
        <w:rPr>
          <w:rFonts w:ascii="Verdana" w:hAnsi="Verdana"/>
        </w:rPr>
      </w:pPr>
    </w:p>
    <w:p w14:paraId="29812DDB" w14:textId="001C513F" w:rsidR="00AF6DA4" w:rsidRDefault="00AF6DA4" w:rsidP="00AF6DA4">
      <w:pPr>
        <w:spacing w:after="0" w:line="240" w:lineRule="auto"/>
        <w:jc w:val="both"/>
        <w:rPr>
          <w:rStyle w:val="Hipervnculo"/>
          <w:rFonts w:ascii="Verdana" w:hAnsi="Verdana"/>
        </w:rPr>
      </w:pPr>
    </w:p>
    <w:p w14:paraId="59658C1E" w14:textId="5E04ECE9" w:rsidR="0018217F" w:rsidRDefault="0018217F" w:rsidP="00AF6DA4">
      <w:pPr>
        <w:spacing w:after="0" w:line="240" w:lineRule="auto"/>
        <w:jc w:val="both"/>
        <w:rPr>
          <w:rStyle w:val="Hipervnculo"/>
          <w:rFonts w:ascii="Verdana" w:hAnsi="Verdana"/>
        </w:rPr>
      </w:pPr>
    </w:p>
    <w:p w14:paraId="7E018247" w14:textId="77777777" w:rsidR="0018217F" w:rsidRPr="0044528D" w:rsidRDefault="0018217F" w:rsidP="00AF6DA4">
      <w:pPr>
        <w:spacing w:after="0" w:line="240" w:lineRule="auto"/>
        <w:jc w:val="both"/>
        <w:rPr>
          <w:rStyle w:val="Hipervnculo"/>
          <w:rFonts w:ascii="Verdana" w:hAnsi="Verdana"/>
        </w:rPr>
      </w:pPr>
    </w:p>
    <w:p w14:paraId="5BC8EFCA" w14:textId="71391178" w:rsidR="00AF6DA4" w:rsidRPr="003F20E6" w:rsidRDefault="0018217F" w:rsidP="00AF6DA4">
      <w:pPr>
        <w:spacing w:after="0" w:line="240" w:lineRule="auto"/>
        <w:jc w:val="both"/>
        <w:rPr>
          <w:rFonts w:ascii="Verdana" w:hAnsi="Verdana" w:cs="Arial"/>
          <w:bCs/>
          <w:lang w:eastAsia="es-ES" w:bidi="es-ES"/>
        </w:rPr>
      </w:pPr>
      <w:r w:rsidRPr="0018217F">
        <w:rPr>
          <w:rFonts w:ascii="Verdana" w:hAnsi="Verdana" w:cs="Arial"/>
          <w:bCs/>
          <w:noProof/>
          <w:lang w:val="en-US"/>
        </w:rPr>
        <w:drawing>
          <wp:anchor distT="0" distB="0" distL="114300" distR="114300" simplePos="0" relativeHeight="251659264" behindDoc="0" locked="0" layoutInCell="1" allowOverlap="1" wp14:anchorId="483DBABC" wp14:editId="3D36A35C">
            <wp:simplePos x="0" y="0"/>
            <wp:positionH relativeFrom="column">
              <wp:posOffset>3060065</wp:posOffset>
            </wp:positionH>
            <wp:positionV relativeFrom="paragraph">
              <wp:posOffset>10160</wp:posOffset>
            </wp:positionV>
            <wp:extent cx="2637790" cy="72771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37790" cy="7277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F6DA4" w:rsidRPr="003F20E6">
        <w:rPr>
          <w:rFonts w:ascii="Verdana" w:hAnsi="Verdana" w:cs="Arial"/>
          <w:bCs/>
          <w:lang w:eastAsia="es-ES" w:bidi="es-ES"/>
        </w:rPr>
        <w:t>Señor</w:t>
      </w:r>
      <w:r w:rsidR="00AF6DA4">
        <w:rPr>
          <w:rFonts w:ascii="Verdana" w:hAnsi="Verdana" w:cs="Arial"/>
          <w:bCs/>
          <w:lang w:eastAsia="es-ES" w:bidi="es-ES"/>
        </w:rPr>
        <w:t>a</w:t>
      </w:r>
    </w:p>
    <w:p w14:paraId="46A4124B" w14:textId="46B036F4" w:rsidR="00AF6DA4" w:rsidRPr="003F20E6" w:rsidRDefault="00AF6DA4" w:rsidP="00AF6DA4">
      <w:pPr>
        <w:spacing w:after="0" w:line="240" w:lineRule="auto"/>
        <w:jc w:val="both"/>
        <w:rPr>
          <w:rFonts w:ascii="Verdana" w:hAnsi="Verdana" w:cs="Arial"/>
          <w:b/>
          <w:bCs/>
          <w:lang w:eastAsia="es-ES" w:bidi="es-ES"/>
        </w:rPr>
      </w:pPr>
      <w:r>
        <w:rPr>
          <w:rFonts w:ascii="Verdana" w:hAnsi="Verdana" w:cs="Arial"/>
          <w:b/>
          <w:bCs/>
          <w:lang w:eastAsia="es-ES" w:bidi="es-ES"/>
        </w:rPr>
        <w:t xml:space="preserve">Andrea Carolina </w:t>
      </w:r>
      <w:proofErr w:type="spellStart"/>
      <w:r>
        <w:rPr>
          <w:rFonts w:ascii="Verdana" w:hAnsi="Verdana" w:cs="Arial"/>
          <w:b/>
          <w:bCs/>
          <w:lang w:eastAsia="es-ES" w:bidi="es-ES"/>
        </w:rPr>
        <w:t>Isaquita</w:t>
      </w:r>
      <w:proofErr w:type="spellEnd"/>
      <w:r>
        <w:rPr>
          <w:rFonts w:ascii="Verdana" w:hAnsi="Verdana" w:cs="Arial"/>
          <w:b/>
          <w:bCs/>
          <w:lang w:eastAsia="es-ES" w:bidi="es-ES"/>
        </w:rPr>
        <w:t xml:space="preserve"> Pacheco</w:t>
      </w:r>
    </w:p>
    <w:p w14:paraId="1F5E8F08" w14:textId="7BE15CE5" w:rsidR="00AF6DA4" w:rsidRPr="00A70D32" w:rsidRDefault="00AF6DA4" w:rsidP="00AF6DA4">
      <w:pPr>
        <w:spacing w:after="0" w:line="240" w:lineRule="auto"/>
        <w:jc w:val="both"/>
        <w:rPr>
          <w:rFonts w:ascii="Verdana" w:hAnsi="Verdana"/>
          <w:color w:val="0000FF"/>
          <w:u w:val="single"/>
        </w:rPr>
      </w:pPr>
      <w:hyperlink r:id="rId13" w:history="1">
        <w:r w:rsidRPr="00482A58">
          <w:rPr>
            <w:rStyle w:val="Hipervnculo"/>
            <w:rFonts w:ascii="Verdana" w:hAnsi="Verdana"/>
          </w:rPr>
          <w:t>aisaquitap@dian.gov.co</w:t>
        </w:r>
      </w:hyperlink>
      <w:r>
        <w:rPr>
          <w:rFonts w:ascii="Verdana" w:hAnsi="Verdana"/>
          <w:color w:val="0000FF"/>
          <w:u w:val="single"/>
        </w:rPr>
        <w:t xml:space="preserve"> </w:t>
      </w:r>
      <w:r>
        <w:rPr>
          <w:rFonts w:ascii="Verdana" w:hAnsi="Verdana"/>
          <w:color w:val="0000FF"/>
          <w:u w:val="single"/>
        </w:rPr>
        <w:fldChar w:fldCharType="begin"/>
      </w:r>
      <w:r>
        <w:rPr>
          <w:rFonts w:ascii="Verdana" w:hAnsi="Verdana"/>
          <w:color w:val="0000FF"/>
          <w:u w:val="single"/>
        </w:rPr>
        <w:instrText xml:space="preserve"> HYPERLINK "mailto:</w:instrText>
      </w:r>
      <w:r w:rsidRPr="00A70D32">
        <w:rPr>
          <w:rFonts w:ascii="Verdana" w:hAnsi="Verdana"/>
          <w:color w:val="0000FF"/>
          <w:u w:val="single"/>
        </w:rPr>
        <w:instrText xml:space="preserve"> </w:instrText>
      </w:r>
    </w:p>
    <w:p w14:paraId="09A1D9D6" w14:textId="77777777" w:rsidR="00AF6DA4" w:rsidRPr="00482A58" w:rsidRDefault="00AF6DA4" w:rsidP="00AF6DA4">
      <w:pPr>
        <w:spacing w:after="0" w:line="240" w:lineRule="auto"/>
        <w:jc w:val="both"/>
        <w:rPr>
          <w:rStyle w:val="Hipervnculo"/>
          <w:rFonts w:ascii="Verdana" w:hAnsi="Verdana"/>
        </w:rPr>
      </w:pPr>
      <w:r w:rsidRPr="00A70D32">
        <w:rPr>
          <w:rFonts w:ascii="Verdana" w:hAnsi="Verdana" w:cs="Arial"/>
          <w:color w:val="0000FF"/>
          <w:u w:val="single"/>
          <w:lang w:eastAsia="es-ES" w:bidi="es-ES"/>
        </w:rPr>
        <w:instrText>egonzalez@educacionbogota.gov.co</w:instrText>
      </w:r>
      <w:r>
        <w:rPr>
          <w:rFonts w:ascii="Verdana" w:hAnsi="Verdana"/>
          <w:color w:val="0000FF"/>
          <w:u w:val="single"/>
        </w:rPr>
        <w:instrText xml:space="preserve">" </w:instrText>
      </w:r>
      <w:r>
        <w:rPr>
          <w:rFonts w:ascii="Verdana" w:hAnsi="Verdana"/>
          <w:color w:val="0000FF"/>
          <w:u w:val="single"/>
        </w:rPr>
      </w:r>
      <w:r>
        <w:rPr>
          <w:rFonts w:ascii="Verdana" w:hAnsi="Verdana"/>
          <w:color w:val="0000FF"/>
          <w:u w:val="single"/>
        </w:rPr>
        <w:fldChar w:fldCharType="separate"/>
      </w:r>
    </w:p>
    <w:p w14:paraId="212E9580" w14:textId="7CE6DAF1" w:rsidR="00AF6DA4" w:rsidRPr="003F20E6" w:rsidRDefault="00AF6DA4" w:rsidP="00AF6DA4">
      <w:pPr>
        <w:spacing w:after="0" w:line="240" w:lineRule="auto"/>
        <w:jc w:val="both"/>
        <w:rPr>
          <w:rFonts w:ascii="Verdana" w:hAnsi="Verdana" w:cs="Arial"/>
          <w:bCs/>
          <w:lang w:val="es-MX" w:eastAsia="es-ES" w:bidi="es-ES"/>
        </w:rPr>
      </w:pPr>
      <w:r>
        <w:rPr>
          <w:rFonts w:ascii="Verdana" w:hAnsi="Verdana"/>
          <w:color w:val="0000FF"/>
          <w:u w:val="single"/>
        </w:rPr>
        <w:fldChar w:fldCharType="end"/>
      </w:r>
      <w:r w:rsidRPr="003F20E6">
        <w:rPr>
          <w:rFonts w:ascii="Verdana" w:hAnsi="Verdana" w:cs="Arial"/>
          <w:bCs/>
          <w:lang w:val="es-MX" w:eastAsia="es-ES" w:bidi="es-ES"/>
        </w:rPr>
        <w:t xml:space="preserve">Bogotá D.C. </w:t>
      </w:r>
    </w:p>
    <w:p w14:paraId="132A102B" w14:textId="5CF42C19" w:rsidR="00AF6DA4" w:rsidRPr="003F20E6" w:rsidRDefault="0018217F" w:rsidP="00AF6DA4">
      <w:pPr>
        <w:spacing w:after="0" w:line="240" w:lineRule="auto"/>
        <w:jc w:val="both"/>
        <w:rPr>
          <w:rFonts w:ascii="Verdana" w:hAnsi="Verdana" w:cs="Arial"/>
          <w:b/>
          <w:bCs/>
          <w:lang w:val="es-ES_tradnl" w:eastAsia="es-ES" w:bidi="es-ES"/>
        </w:rPr>
      </w:pPr>
      <w:r w:rsidRPr="0018217F">
        <w:rPr>
          <w:rFonts w:ascii="Verdana" w:hAnsi="Verdana" w:cs="Arial"/>
          <w:b/>
          <w:bCs/>
          <w:noProof/>
          <w:lang w:val="en-US"/>
        </w:rPr>
        <w:drawing>
          <wp:anchor distT="0" distB="0" distL="114300" distR="114300" simplePos="0" relativeHeight="251660288" behindDoc="0" locked="0" layoutInCell="1" allowOverlap="1" wp14:anchorId="6630B7FD" wp14:editId="76343B0F">
            <wp:simplePos x="0" y="0"/>
            <wp:positionH relativeFrom="column">
              <wp:posOffset>3059846</wp:posOffset>
            </wp:positionH>
            <wp:positionV relativeFrom="paragraph">
              <wp:posOffset>50493</wp:posOffset>
            </wp:positionV>
            <wp:extent cx="2637790" cy="760095"/>
            <wp:effectExtent l="0" t="0" r="0" b="1905"/>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37790" cy="760095"/>
                    </a:xfrm>
                    <a:prstGeom prst="rect">
                      <a:avLst/>
                    </a:prstGeom>
                    <a:noFill/>
                    <a:ln>
                      <a:noFill/>
                    </a:ln>
                  </pic:spPr>
                </pic:pic>
              </a:graphicData>
            </a:graphic>
            <wp14:sizeRelH relativeFrom="margin">
              <wp14:pctWidth>0</wp14:pctWidth>
            </wp14:sizeRelH>
          </wp:anchor>
        </w:drawing>
      </w:r>
    </w:p>
    <w:p w14:paraId="5C520FE3" w14:textId="6BC1598C" w:rsidR="0018217F" w:rsidRPr="003F20E6" w:rsidRDefault="00AF6DA4" w:rsidP="00AF6DA4">
      <w:pPr>
        <w:tabs>
          <w:tab w:val="left" w:pos="7184"/>
        </w:tabs>
        <w:spacing w:after="0" w:line="240" w:lineRule="auto"/>
        <w:jc w:val="both"/>
        <w:rPr>
          <w:rFonts w:ascii="Verdana" w:hAnsi="Verdana" w:cs="Arial"/>
          <w:b/>
          <w:bCs/>
          <w:lang w:val="es-ES_tradnl" w:eastAsia="es-ES" w:bidi="es-ES"/>
        </w:rPr>
      </w:pPr>
      <w:r w:rsidRPr="003F20E6">
        <w:rPr>
          <w:rFonts w:ascii="Verdana" w:hAnsi="Verdana" w:cs="Arial"/>
          <w:b/>
          <w:bCs/>
          <w:lang w:val="es-ES_tradnl" w:eastAsia="es-ES" w:bidi="es-ES"/>
        </w:rPr>
        <w:tab/>
      </w:r>
    </w:p>
    <w:tbl>
      <w:tblPr>
        <w:tblStyle w:val="Tablaconcuadrcula"/>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AF6DA4" w:rsidRPr="003F20E6" w14:paraId="3BAA4E0F" w14:textId="77777777" w:rsidTr="00F57C42">
        <w:trPr>
          <w:trHeight w:val="312"/>
        </w:trPr>
        <w:tc>
          <w:tcPr>
            <w:tcW w:w="2689" w:type="dxa"/>
          </w:tcPr>
          <w:p w14:paraId="50F241EB" w14:textId="77777777" w:rsidR="00AF6DA4" w:rsidRPr="003F20E6" w:rsidRDefault="00AF6DA4" w:rsidP="00F57C42">
            <w:pPr>
              <w:jc w:val="both"/>
              <w:rPr>
                <w:rFonts w:ascii="Verdana" w:hAnsi="Verdana" w:cs="Arial"/>
                <w:b/>
                <w:bCs/>
                <w:lang w:val="es-ES_tradnl" w:eastAsia="es-ES" w:bidi="es-ES"/>
              </w:rPr>
            </w:pPr>
          </w:p>
        </w:tc>
        <w:tc>
          <w:tcPr>
            <w:tcW w:w="6242" w:type="dxa"/>
          </w:tcPr>
          <w:p w14:paraId="78D7BE2B" w14:textId="77777777" w:rsidR="00AF6DA4" w:rsidRPr="003F20E6" w:rsidRDefault="00AF6DA4" w:rsidP="00F57C42">
            <w:pPr>
              <w:tabs>
                <w:tab w:val="right" w:pos="6242"/>
              </w:tabs>
              <w:jc w:val="both"/>
              <w:rPr>
                <w:rFonts w:ascii="Verdana" w:hAnsi="Verdana" w:cs="Arial"/>
                <w:b/>
                <w:bCs/>
                <w:lang w:val="es-MX" w:eastAsia="es-ES" w:bidi="es-ES"/>
              </w:rPr>
            </w:pPr>
            <w:r>
              <w:rPr>
                <w:rFonts w:ascii="Verdana" w:hAnsi="Verdana" w:cs="Arial"/>
                <w:b/>
                <w:bCs/>
                <w:lang w:val="es-MX" w:eastAsia="es-ES" w:bidi="es-ES"/>
              </w:rPr>
              <w:t>Concepto C- 1177</w:t>
            </w:r>
            <w:r w:rsidRPr="003F20E6">
              <w:rPr>
                <w:rFonts w:ascii="Verdana" w:hAnsi="Verdana" w:cs="Arial"/>
                <w:b/>
                <w:bCs/>
                <w:lang w:val="es-MX" w:eastAsia="es-ES" w:bidi="es-ES"/>
              </w:rPr>
              <w:t xml:space="preserve"> de 2025</w:t>
            </w:r>
            <w:r w:rsidRPr="003F20E6">
              <w:rPr>
                <w:rFonts w:ascii="Verdana" w:hAnsi="Verdana" w:cs="Arial"/>
                <w:b/>
                <w:bCs/>
                <w:lang w:val="es-MX" w:eastAsia="es-ES" w:bidi="es-ES"/>
              </w:rPr>
              <w:tab/>
            </w:r>
          </w:p>
          <w:p w14:paraId="07A763BF" w14:textId="77777777" w:rsidR="00AF6DA4" w:rsidRPr="003F20E6" w:rsidRDefault="00AF6DA4" w:rsidP="00F57C42">
            <w:pPr>
              <w:jc w:val="both"/>
              <w:rPr>
                <w:rFonts w:ascii="Verdana" w:hAnsi="Verdana" w:cs="Arial"/>
                <w:b/>
                <w:bCs/>
                <w:lang w:val="es-MX" w:eastAsia="es-ES" w:bidi="es-ES"/>
              </w:rPr>
            </w:pPr>
          </w:p>
        </w:tc>
      </w:tr>
      <w:tr w:rsidR="00AF6DA4" w:rsidRPr="003F20E6" w14:paraId="4FD5455D" w14:textId="77777777" w:rsidTr="00F57C42">
        <w:trPr>
          <w:trHeight w:val="1108"/>
        </w:trPr>
        <w:tc>
          <w:tcPr>
            <w:tcW w:w="2689" w:type="dxa"/>
          </w:tcPr>
          <w:p w14:paraId="0F816DB8" w14:textId="77777777" w:rsidR="00AF6DA4" w:rsidRPr="00732C45" w:rsidRDefault="00AF6DA4" w:rsidP="00F57C42">
            <w:pPr>
              <w:jc w:val="both"/>
              <w:rPr>
                <w:rFonts w:ascii="Verdana" w:hAnsi="Verdana" w:cs="Arial"/>
                <w:b/>
                <w:bCs/>
                <w:lang w:val="es-MX" w:eastAsia="es-ES" w:bidi="es-ES"/>
              </w:rPr>
            </w:pPr>
            <w:r w:rsidRPr="00732C45">
              <w:rPr>
                <w:rFonts w:ascii="Verdana" w:hAnsi="Verdana" w:cs="Arial"/>
                <w:b/>
                <w:bCs/>
                <w:lang w:val="es-MX" w:eastAsia="es-ES" w:bidi="es-ES"/>
              </w:rPr>
              <w:t xml:space="preserve">Temas:                   </w:t>
            </w:r>
          </w:p>
        </w:tc>
        <w:tc>
          <w:tcPr>
            <w:tcW w:w="6242" w:type="dxa"/>
          </w:tcPr>
          <w:p w14:paraId="735ADE45" w14:textId="77777777" w:rsidR="00AF6DA4" w:rsidRDefault="00AF6DA4" w:rsidP="00F57C42">
            <w:pPr>
              <w:spacing w:line="276" w:lineRule="auto"/>
              <w:jc w:val="both"/>
              <w:rPr>
                <w:rFonts w:ascii="Verdana" w:hAnsi="Verdana" w:cs="Arial"/>
                <w:bCs/>
                <w:lang w:val="es-ES_tradnl" w:eastAsia="es-ES" w:bidi="es-ES"/>
              </w:rPr>
            </w:pPr>
            <w:r w:rsidRPr="003F20E6">
              <w:rPr>
                <w:rFonts w:ascii="Verdana" w:eastAsia="Arial" w:hAnsi="Verdana" w:cs="Arial"/>
                <w:lang w:val="es-ES"/>
              </w:rPr>
              <w:t>PRINCIPIO DE PUBLICIDAD – Concepto – Fundamento axiológico – Fundamento constitucional</w:t>
            </w:r>
            <w:r w:rsidRPr="003F20E6">
              <w:rPr>
                <w:rFonts w:ascii="Verdana" w:hAnsi="Verdana" w:cs="Arial"/>
                <w:bCs/>
                <w:lang w:val="es-ES_tradnl" w:eastAsia="es-ES" w:bidi="es-ES"/>
              </w:rPr>
              <w:t xml:space="preserve"> / PRINCIPIO DE PUBLICIDAD – SECOP – Documentos del proceso – Deber de publicación / </w:t>
            </w:r>
            <w:r>
              <w:rPr>
                <w:rFonts w:ascii="Verdana" w:hAnsi="Verdana" w:cs="Arial"/>
                <w:bCs/>
                <w:lang w:val="es-ES_tradnl" w:eastAsia="es-ES" w:bidi="es-ES"/>
              </w:rPr>
              <w:t xml:space="preserve">SECOP II – Procedimiento Administrativo Electrónico – Autenticidad / </w:t>
            </w:r>
            <w:r w:rsidRPr="003F20E6">
              <w:rPr>
                <w:rFonts w:ascii="Verdana" w:hAnsi="Verdana" w:cs="Arial"/>
                <w:bCs/>
                <w:lang w:val="es-ES_tradnl" w:eastAsia="es-ES" w:bidi="es-ES"/>
              </w:rPr>
              <w:t>PRINCIPIO DE PUBLICIDAD – Ámbito de aplicación – Decreto 1081 de 2015 – Decreto 1600 de 2024 / PRINCIPIO DE PUBLICIDAD – término de publicación – interpretación armónica - documentos de ejecución</w:t>
            </w:r>
            <w:r>
              <w:rPr>
                <w:rFonts w:ascii="Verdana" w:hAnsi="Verdana" w:cs="Arial"/>
                <w:bCs/>
                <w:lang w:val="es-ES_tradnl" w:eastAsia="es-ES" w:bidi="es-ES"/>
              </w:rPr>
              <w:t xml:space="preserve"> – SECOP II – SECOP I. </w:t>
            </w:r>
            <w:r w:rsidRPr="003F20E6">
              <w:rPr>
                <w:rFonts w:ascii="Verdana" w:hAnsi="Verdana" w:cs="Arial"/>
                <w:bCs/>
                <w:lang w:val="es-ES_tradnl" w:eastAsia="es-ES" w:bidi="es-ES"/>
              </w:rPr>
              <w:t xml:space="preserve"> </w:t>
            </w:r>
          </w:p>
          <w:p w14:paraId="000DE047" w14:textId="77777777" w:rsidR="00AF6DA4" w:rsidRPr="003F20E6" w:rsidRDefault="00AF6DA4" w:rsidP="00F57C42">
            <w:pPr>
              <w:spacing w:line="276" w:lineRule="auto"/>
              <w:jc w:val="both"/>
              <w:rPr>
                <w:rFonts w:ascii="Verdana" w:hAnsi="Verdana" w:cs="Arial"/>
                <w:bCs/>
                <w:lang w:val="es-MX" w:eastAsia="es-ES" w:bidi="es-ES"/>
              </w:rPr>
            </w:pPr>
            <w:r w:rsidRPr="003F20E6">
              <w:rPr>
                <w:rFonts w:ascii="Verdana" w:hAnsi="Verdana" w:cs="Arial"/>
                <w:bCs/>
                <w:lang w:val="es-ES_tradnl" w:eastAsia="es-ES" w:bidi="es-ES"/>
              </w:rPr>
              <w:t xml:space="preserve"> </w:t>
            </w:r>
          </w:p>
          <w:p w14:paraId="2F61A3CA" w14:textId="77777777" w:rsidR="00AF6DA4" w:rsidRPr="003F20E6" w:rsidRDefault="00AF6DA4" w:rsidP="00F57C42">
            <w:pPr>
              <w:jc w:val="both"/>
              <w:rPr>
                <w:rFonts w:ascii="Verdana" w:hAnsi="Verdana" w:cs="Arial"/>
                <w:bCs/>
                <w:lang w:val="es-MX" w:eastAsia="es-ES" w:bidi="es-ES"/>
              </w:rPr>
            </w:pPr>
          </w:p>
        </w:tc>
      </w:tr>
      <w:tr w:rsidR="00AF6DA4" w:rsidRPr="003F20E6" w14:paraId="63B45D1C" w14:textId="77777777" w:rsidTr="00F57C42">
        <w:tc>
          <w:tcPr>
            <w:tcW w:w="2689" w:type="dxa"/>
          </w:tcPr>
          <w:p w14:paraId="43D2E51D" w14:textId="77777777" w:rsidR="00AF6DA4" w:rsidRPr="00732C45" w:rsidRDefault="00AF6DA4" w:rsidP="00F57C42">
            <w:pPr>
              <w:jc w:val="both"/>
              <w:rPr>
                <w:rFonts w:ascii="Verdana" w:hAnsi="Verdana" w:cs="Arial"/>
                <w:b/>
                <w:bCs/>
                <w:lang w:val="es-MX" w:eastAsia="es-ES" w:bidi="es-ES"/>
              </w:rPr>
            </w:pPr>
            <w:r w:rsidRPr="00732C45">
              <w:rPr>
                <w:rFonts w:ascii="Verdana" w:hAnsi="Verdana" w:cs="Arial"/>
                <w:b/>
                <w:bCs/>
                <w:lang w:val="es-MX" w:eastAsia="es-ES" w:bidi="es-ES"/>
              </w:rPr>
              <w:t xml:space="preserve">Radicación:               </w:t>
            </w:r>
          </w:p>
        </w:tc>
        <w:tc>
          <w:tcPr>
            <w:tcW w:w="6242" w:type="dxa"/>
          </w:tcPr>
          <w:p w14:paraId="0CAC6BB2" w14:textId="77777777" w:rsidR="00AF6DA4" w:rsidRPr="003F20E6" w:rsidRDefault="00AF6DA4" w:rsidP="00F57C42">
            <w:pPr>
              <w:jc w:val="both"/>
              <w:rPr>
                <w:rFonts w:ascii="Verdana" w:hAnsi="Verdana" w:cs="Arial"/>
                <w:bCs/>
                <w:lang w:eastAsia="es-ES" w:bidi="es-ES"/>
              </w:rPr>
            </w:pPr>
            <w:r w:rsidRPr="003F20E6">
              <w:rPr>
                <w:rFonts w:ascii="Verdana" w:hAnsi="Verdana" w:cs="Arial"/>
                <w:bCs/>
                <w:lang w:val="es-MX" w:eastAsia="es-ES" w:bidi="es-ES"/>
              </w:rPr>
              <w:t xml:space="preserve">Respuesta a consulta con radicado No. </w:t>
            </w:r>
            <w:r w:rsidRPr="00732C45">
              <w:rPr>
                <w:rFonts w:ascii="Verdana" w:hAnsi="Verdana" w:cs="Arial"/>
                <w:bCs/>
                <w:lang w:eastAsia="es-ES" w:bidi="es-ES"/>
              </w:rPr>
              <w:t>1_2025_08_21_008856</w:t>
            </w:r>
            <w:r>
              <w:rPr>
                <w:rFonts w:ascii="Verdana" w:hAnsi="Verdana" w:cs="Arial"/>
                <w:bCs/>
                <w:lang w:eastAsia="es-ES" w:bidi="es-ES"/>
              </w:rPr>
              <w:t xml:space="preserve">, </w:t>
            </w:r>
            <w:r w:rsidRPr="006A54CF">
              <w:rPr>
                <w:rFonts w:ascii="Verdana" w:hAnsi="Verdana" w:cs="Arial"/>
                <w:bCs/>
                <w:lang w:eastAsia="es-ES" w:bidi="es-ES"/>
              </w:rPr>
              <w:t>1_2025_09_01_009393</w:t>
            </w:r>
            <w:r>
              <w:rPr>
                <w:rFonts w:ascii="Verdana" w:hAnsi="Verdana" w:cs="Arial"/>
                <w:bCs/>
                <w:lang w:eastAsia="es-ES" w:bidi="es-ES"/>
              </w:rPr>
              <w:t xml:space="preserve"> y </w:t>
            </w:r>
            <w:r w:rsidRPr="00A70D32">
              <w:rPr>
                <w:rFonts w:ascii="Verdana" w:hAnsi="Verdana" w:cs="Arial"/>
                <w:bCs/>
                <w:lang w:eastAsia="es-ES" w:bidi="es-ES"/>
              </w:rPr>
              <w:t>1_2025_09_01_009395</w:t>
            </w:r>
            <w:r>
              <w:rPr>
                <w:rFonts w:ascii="Verdana" w:hAnsi="Verdana" w:cs="Arial"/>
                <w:bCs/>
                <w:lang w:eastAsia="es-ES" w:bidi="es-ES"/>
              </w:rPr>
              <w:t xml:space="preserve"> (acumulados)</w:t>
            </w:r>
          </w:p>
          <w:p w14:paraId="4DAC3D31" w14:textId="77777777" w:rsidR="00AF6DA4" w:rsidRPr="003F20E6" w:rsidRDefault="00AF6DA4" w:rsidP="00F57C42">
            <w:pPr>
              <w:jc w:val="both"/>
              <w:rPr>
                <w:rFonts w:ascii="Verdana" w:hAnsi="Verdana" w:cs="Arial"/>
                <w:bCs/>
                <w:lang w:val="es-MX" w:eastAsia="es-ES" w:bidi="es-ES"/>
              </w:rPr>
            </w:pPr>
          </w:p>
        </w:tc>
      </w:tr>
    </w:tbl>
    <w:p w14:paraId="1964F2FC" w14:textId="77777777" w:rsidR="00AF6DA4" w:rsidRPr="003F20E6" w:rsidRDefault="00AF6DA4" w:rsidP="00AF6DA4">
      <w:pPr>
        <w:spacing w:after="0" w:line="240" w:lineRule="auto"/>
        <w:jc w:val="both"/>
        <w:rPr>
          <w:rFonts w:ascii="Verdana" w:hAnsi="Verdana" w:cs="Arial"/>
          <w:bCs/>
          <w:lang w:val="es-ES_tradnl" w:eastAsia="es-ES" w:bidi="es-ES"/>
        </w:rPr>
      </w:pPr>
    </w:p>
    <w:p w14:paraId="50CA7208" w14:textId="77777777" w:rsidR="00AF6DA4" w:rsidRPr="003F20E6" w:rsidRDefault="00AF6DA4" w:rsidP="00AF6DA4">
      <w:pPr>
        <w:spacing w:after="0" w:line="276" w:lineRule="auto"/>
        <w:jc w:val="both"/>
        <w:rPr>
          <w:rFonts w:ascii="Verdana" w:hAnsi="Verdana" w:cs="Arial"/>
          <w:bCs/>
          <w:lang w:val="es-MX" w:eastAsia="es-ES" w:bidi="es-ES"/>
        </w:rPr>
      </w:pPr>
      <w:r>
        <w:rPr>
          <w:rFonts w:ascii="Verdana" w:hAnsi="Verdana" w:cs="Arial"/>
          <w:bCs/>
          <w:lang w:val="es-MX" w:eastAsia="es-ES" w:bidi="es-ES"/>
        </w:rPr>
        <w:t xml:space="preserve">Estimado Señora </w:t>
      </w:r>
      <w:proofErr w:type="spellStart"/>
      <w:r>
        <w:rPr>
          <w:rFonts w:ascii="Verdana" w:hAnsi="Verdana" w:cs="Arial"/>
          <w:bCs/>
          <w:lang w:val="es-MX" w:eastAsia="es-ES" w:bidi="es-ES"/>
        </w:rPr>
        <w:t>Isaquita</w:t>
      </w:r>
      <w:proofErr w:type="spellEnd"/>
      <w:r>
        <w:rPr>
          <w:rFonts w:ascii="Verdana" w:hAnsi="Verdana" w:cs="Arial"/>
          <w:bCs/>
          <w:lang w:val="es-MX" w:eastAsia="es-ES" w:bidi="es-ES"/>
        </w:rPr>
        <w:t xml:space="preserve"> Pacheco</w:t>
      </w:r>
      <w:r w:rsidRPr="003F20E6">
        <w:rPr>
          <w:rFonts w:ascii="Verdana" w:hAnsi="Verdana" w:cs="Arial"/>
          <w:bCs/>
          <w:lang w:val="es-MX" w:eastAsia="es-ES" w:bidi="es-ES"/>
        </w:rPr>
        <w:t>:</w:t>
      </w:r>
    </w:p>
    <w:p w14:paraId="01857780" w14:textId="77777777" w:rsidR="00AF6DA4" w:rsidRPr="003F20E6" w:rsidRDefault="00AF6DA4" w:rsidP="00AF6DA4">
      <w:pPr>
        <w:spacing w:after="0" w:line="276" w:lineRule="auto"/>
        <w:jc w:val="both"/>
        <w:rPr>
          <w:rFonts w:ascii="Verdana" w:hAnsi="Verdana" w:cs="Arial"/>
          <w:bCs/>
          <w:lang w:val="es-ES" w:eastAsia="es-ES" w:bidi="es-ES"/>
        </w:rPr>
      </w:pPr>
    </w:p>
    <w:p w14:paraId="78460DC3" w14:textId="77777777" w:rsidR="00AF6DA4" w:rsidRPr="003F20E6" w:rsidRDefault="00AF6DA4" w:rsidP="00AF6DA4">
      <w:pPr>
        <w:spacing w:after="0" w:line="276" w:lineRule="auto"/>
        <w:jc w:val="both"/>
        <w:rPr>
          <w:rFonts w:ascii="Verdana" w:hAnsi="Verdana" w:cs="Arial"/>
          <w:bCs/>
          <w:lang w:val="es-ES" w:eastAsia="es-ES" w:bidi="es-ES"/>
        </w:rPr>
      </w:pPr>
      <w:r w:rsidRPr="00732C45">
        <w:rPr>
          <w:rFonts w:ascii="Verdana" w:hAnsi="Verdana" w:cs="Arial"/>
          <w:bCs/>
          <w:lang w:val="es-ES" w:eastAsia="es-ES" w:bidi="es-ES"/>
        </w:rPr>
        <w:t xml:space="preserve">En ejercicio de la competencia otorgada por los artículos 3, numeral 5º, y 11, numeral 8º, del Decreto Ley 4170 de 2011, </w:t>
      </w:r>
      <w:r w:rsidRPr="00732C45">
        <w:rPr>
          <w:rFonts w:ascii="Verdana" w:hAnsi="Verdana" w:cs="Arial"/>
          <w:bCs/>
          <w:lang w:eastAsia="es-ES" w:bidi="es-ES"/>
        </w:rPr>
        <w:t xml:space="preserve">así como lo establecido por la Resolución 469 de 2025 expedida por esta Entidad, </w:t>
      </w:r>
      <w:r w:rsidRPr="00732C45">
        <w:rPr>
          <w:rFonts w:ascii="Verdana" w:hAnsi="Verdana" w:cs="Arial"/>
          <w:bCs/>
          <w:lang w:val="es-ES" w:eastAsia="es-ES" w:bidi="es-ES"/>
        </w:rPr>
        <w:t>la Agencia Nacional de Contratación Pública – Colombia Compra Eficiente– responde las solicitudes de consulta presentadas el 22 de agosto</w:t>
      </w:r>
      <w:r>
        <w:rPr>
          <w:rFonts w:ascii="Verdana" w:hAnsi="Verdana" w:cs="Arial"/>
          <w:bCs/>
          <w:lang w:val="es-ES" w:eastAsia="es-ES" w:bidi="es-ES"/>
        </w:rPr>
        <w:t xml:space="preserve"> y 1 de septiembre, </w:t>
      </w:r>
      <w:r w:rsidRPr="003F20E6">
        <w:rPr>
          <w:rFonts w:ascii="Verdana" w:hAnsi="Verdana" w:cs="Arial"/>
          <w:bCs/>
          <w:lang w:val="es-ES" w:eastAsia="es-ES" w:bidi="es-ES"/>
        </w:rPr>
        <w:t xml:space="preserve">en la cual manifiesta: </w:t>
      </w:r>
    </w:p>
    <w:p w14:paraId="328AEEBF" w14:textId="77777777" w:rsidR="00AF6DA4" w:rsidRPr="003F20E6" w:rsidRDefault="00AF6DA4" w:rsidP="00AF6DA4">
      <w:pPr>
        <w:spacing w:after="0" w:line="276" w:lineRule="auto"/>
        <w:jc w:val="both"/>
        <w:rPr>
          <w:rFonts w:ascii="Verdana" w:hAnsi="Verdana" w:cs="Arial"/>
          <w:b/>
          <w:bCs/>
          <w:lang w:val="es-ES" w:eastAsia="es-ES" w:bidi="es-ES"/>
        </w:rPr>
      </w:pPr>
    </w:p>
    <w:p w14:paraId="16F5F2FA" w14:textId="77777777" w:rsidR="00AF6DA4" w:rsidRDefault="00AF6DA4" w:rsidP="00AF6DA4">
      <w:pPr>
        <w:spacing w:after="0" w:line="240" w:lineRule="auto"/>
        <w:ind w:left="709" w:right="709"/>
        <w:jc w:val="both"/>
        <w:rPr>
          <w:rFonts w:ascii="Verdana" w:hAnsi="Verdana" w:cs="Arial"/>
          <w:bCs/>
          <w:sz w:val="20"/>
          <w:lang w:eastAsia="es-ES" w:bidi="es-ES"/>
        </w:rPr>
      </w:pPr>
      <w:r>
        <w:rPr>
          <w:rFonts w:ascii="Verdana" w:hAnsi="Verdana" w:cs="Arial"/>
          <w:bCs/>
          <w:sz w:val="20"/>
          <w:lang w:eastAsia="es-ES" w:bidi="es-ES"/>
        </w:rPr>
        <w:t xml:space="preserve">“1) </w:t>
      </w:r>
      <w:r w:rsidRPr="00732C45">
        <w:rPr>
          <w:rFonts w:ascii="Verdana" w:hAnsi="Verdana" w:cs="Arial"/>
          <w:bCs/>
          <w:sz w:val="20"/>
          <w:lang w:eastAsia="es-ES" w:bidi="es-ES"/>
        </w:rPr>
        <w:t>¿Los soportes de pagos de los contratos se consideran documentos de ejecución del contrato?</w:t>
      </w:r>
    </w:p>
    <w:p w14:paraId="74770F46" w14:textId="77777777" w:rsidR="00AF6DA4" w:rsidRDefault="00AF6DA4" w:rsidP="00AF6DA4">
      <w:pPr>
        <w:spacing w:after="0" w:line="240" w:lineRule="auto"/>
        <w:ind w:left="709" w:right="709"/>
        <w:jc w:val="both"/>
        <w:rPr>
          <w:rFonts w:ascii="Verdana" w:hAnsi="Verdana" w:cs="Arial"/>
          <w:bCs/>
          <w:sz w:val="20"/>
          <w:lang w:eastAsia="es-ES" w:bidi="es-ES"/>
        </w:rPr>
      </w:pPr>
      <w:r>
        <w:rPr>
          <w:rFonts w:ascii="Verdana" w:hAnsi="Verdana" w:cs="Arial"/>
          <w:bCs/>
          <w:sz w:val="20"/>
          <w:lang w:eastAsia="es-ES" w:bidi="es-ES"/>
        </w:rPr>
        <w:t xml:space="preserve">2) </w:t>
      </w:r>
      <w:r w:rsidRPr="00732C45">
        <w:rPr>
          <w:rFonts w:ascii="Verdana" w:hAnsi="Verdana" w:cs="Arial"/>
          <w:bCs/>
          <w:sz w:val="20"/>
          <w:lang w:eastAsia="es-ES" w:bidi="es-ES"/>
        </w:rPr>
        <w:t>¿Cuál es el tiempo de publicación de los documentos de ejecución del contrato en la plataforma SECOP?</w:t>
      </w:r>
    </w:p>
    <w:p w14:paraId="1691E1F3" w14:textId="77777777" w:rsidR="00AF6DA4" w:rsidRDefault="00AF6DA4" w:rsidP="00AF6DA4">
      <w:pPr>
        <w:spacing w:after="0" w:line="240" w:lineRule="auto"/>
        <w:ind w:left="709" w:right="709"/>
        <w:jc w:val="both"/>
        <w:rPr>
          <w:rFonts w:ascii="Verdana" w:hAnsi="Verdana" w:cs="Arial"/>
          <w:bCs/>
          <w:sz w:val="20"/>
          <w:lang w:eastAsia="es-ES" w:bidi="es-ES"/>
        </w:rPr>
      </w:pPr>
      <w:r>
        <w:rPr>
          <w:rFonts w:ascii="Verdana" w:hAnsi="Verdana" w:cs="Arial"/>
          <w:bCs/>
          <w:sz w:val="20"/>
          <w:lang w:eastAsia="es-ES" w:bidi="es-ES"/>
        </w:rPr>
        <w:t xml:space="preserve">3) </w:t>
      </w:r>
      <w:r w:rsidRPr="00732C45">
        <w:rPr>
          <w:rFonts w:ascii="Verdana" w:hAnsi="Verdana" w:cs="Arial"/>
          <w:bCs/>
          <w:sz w:val="20"/>
          <w:lang w:eastAsia="es-ES" w:bidi="es-ES"/>
        </w:rPr>
        <w:t xml:space="preserve">¿El término incorporado por el Decreto 1600 de 2024 modifica el plazo establecido en el Decreto 1082 de 2015? En caso de que su respuesta sea negativa, ¿En </w:t>
      </w:r>
      <w:proofErr w:type="spellStart"/>
      <w:r w:rsidRPr="00732C45">
        <w:rPr>
          <w:rFonts w:ascii="Verdana" w:hAnsi="Verdana" w:cs="Arial"/>
          <w:bCs/>
          <w:sz w:val="20"/>
          <w:lang w:eastAsia="es-ES" w:bidi="es-ES"/>
        </w:rPr>
        <w:t>que</w:t>
      </w:r>
      <w:proofErr w:type="spellEnd"/>
      <w:r w:rsidRPr="00732C45">
        <w:rPr>
          <w:rFonts w:ascii="Verdana" w:hAnsi="Verdana" w:cs="Arial"/>
          <w:bCs/>
          <w:sz w:val="20"/>
          <w:lang w:eastAsia="es-ES" w:bidi="es-ES"/>
        </w:rPr>
        <w:t xml:space="preserve"> situaciones se aplicará el término de los tres días y de los 10 días, establecidos en los Decretos enunciados?</w:t>
      </w:r>
    </w:p>
    <w:p w14:paraId="7595E1F1" w14:textId="77777777" w:rsidR="00AF6DA4" w:rsidRDefault="00AF6DA4" w:rsidP="00AF6DA4">
      <w:pPr>
        <w:spacing w:after="0" w:line="240" w:lineRule="auto"/>
        <w:ind w:left="709" w:right="709"/>
        <w:jc w:val="both"/>
        <w:rPr>
          <w:rFonts w:ascii="Verdana" w:hAnsi="Verdana" w:cs="Arial"/>
          <w:bCs/>
          <w:sz w:val="20"/>
          <w:lang w:eastAsia="es-ES" w:bidi="es-ES"/>
        </w:rPr>
      </w:pPr>
      <w:r>
        <w:rPr>
          <w:rFonts w:ascii="Verdana" w:hAnsi="Verdana" w:cs="Arial"/>
          <w:bCs/>
          <w:sz w:val="20"/>
          <w:lang w:eastAsia="es-ES" w:bidi="es-ES"/>
        </w:rPr>
        <w:t xml:space="preserve">4) </w:t>
      </w:r>
      <w:r w:rsidRPr="00732C45">
        <w:rPr>
          <w:rFonts w:ascii="Verdana" w:hAnsi="Verdana" w:cs="Arial"/>
          <w:bCs/>
          <w:sz w:val="20"/>
          <w:lang w:eastAsia="es-ES" w:bidi="es-ES"/>
        </w:rPr>
        <w:t>¿Se puede realizar el cargue de documentos preliminares (no definitivos) en SECOP II o sólo se deben cargar documentos definitivos?</w:t>
      </w:r>
    </w:p>
    <w:p w14:paraId="1209E35F" w14:textId="77777777" w:rsidR="00AF6DA4" w:rsidRDefault="00AF6DA4" w:rsidP="00AF6DA4">
      <w:pPr>
        <w:spacing w:after="0" w:line="240" w:lineRule="auto"/>
        <w:ind w:left="709" w:right="709"/>
        <w:jc w:val="both"/>
        <w:rPr>
          <w:rFonts w:ascii="Verdana" w:hAnsi="Verdana" w:cs="Arial"/>
          <w:bCs/>
          <w:sz w:val="20"/>
          <w:lang w:eastAsia="es-ES" w:bidi="es-ES"/>
        </w:rPr>
      </w:pPr>
      <w:r>
        <w:rPr>
          <w:rFonts w:ascii="Verdana" w:hAnsi="Verdana" w:cs="Arial"/>
          <w:bCs/>
          <w:sz w:val="20"/>
          <w:lang w:eastAsia="es-ES" w:bidi="es-ES"/>
        </w:rPr>
        <w:t xml:space="preserve">5) </w:t>
      </w:r>
      <w:r w:rsidRPr="00732C45">
        <w:rPr>
          <w:rFonts w:ascii="Verdana" w:hAnsi="Verdana" w:cs="Arial"/>
          <w:bCs/>
          <w:sz w:val="20"/>
          <w:lang w:eastAsia="es-ES" w:bidi="es-ES"/>
        </w:rPr>
        <w:t>¿Cómo se debe entender por la afirmación incorporada en el Decreto 1082 de 2015, dentro de los tres días siguientes a su expedición?</w:t>
      </w:r>
    </w:p>
    <w:p w14:paraId="20648111" w14:textId="77777777" w:rsidR="00AF6DA4" w:rsidRDefault="00AF6DA4" w:rsidP="00AF6DA4">
      <w:pPr>
        <w:spacing w:after="0" w:line="240" w:lineRule="auto"/>
        <w:ind w:left="709" w:right="709"/>
        <w:jc w:val="both"/>
        <w:rPr>
          <w:rFonts w:ascii="Verdana" w:hAnsi="Verdana" w:cs="Arial"/>
          <w:bCs/>
          <w:sz w:val="20"/>
          <w:lang w:eastAsia="es-ES" w:bidi="es-ES"/>
        </w:rPr>
      </w:pPr>
      <w:r>
        <w:rPr>
          <w:rFonts w:ascii="Verdana" w:hAnsi="Verdana" w:cs="Arial"/>
          <w:bCs/>
          <w:sz w:val="20"/>
          <w:lang w:eastAsia="es-ES" w:bidi="es-ES"/>
        </w:rPr>
        <w:t xml:space="preserve">6) </w:t>
      </w:r>
      <w:r w:rsidRPr="00732C45">
        <w:rPr>
          <w:rFonts w:ascii="Verdana" w:hAnsi="Verdana" w:cs="Arial"/>
          <w:bCs/>
          <w:sz w:val="20"/>
          <w:lang w:eastAsia="es-ES" w:bidi="es-ES"/>
        </w:rPr>
        <w:t>¿Cómo se debe entender por la afirmación incorporada en el Decreto 1600 de 2024, dentro de los diez días siguientes a la suscripción del contrato u ocurrencia del hecho?</w:t>
      </w:r>
    </w:p>
    <w:p w14:paraId="4AB81C94" w14:textId="77777777" w:rsidR="00AF6DA4" w:rsidRDefault="00AF6DA4" w:rsidP="00AF6DA4">
      <w:pPr>
        <w:spacing w:after="0" w:line="240" w:lineRule="auto"/>
        <w:ind w:left="709" w:right="709"/>
        <w:jc w:val="both"/>
        <w:rPr>
          <w:rFonts w:ascii="Verdana" w:hAnsi="Verdana" w:cs="Arial"/>
          <w:bCs/>
          <w:sz w:val="20"/>
          <w:lang w:eastAsia="es-ES" w:bidi="es-ES"/>
        </w:rPr>
      </w:pPr>
      <w:r>
        <w:rPr>
          <w:rFonts w:ascii="Verdana" w:hAnsi="Verdana" w:cs="Arial"/>
          <w:bCs/>
          <w:sz w:val="20"/>
          <w:lang w:eastAsia="es-ES" w:bidi="es-ES"/>
        </w:rPr>
        <w:t xml:space="preserve">7) </w:t>
      </w:r>
      <w:r w:rsidRPr="00732C45">
        <w:rPr>
          <w:rFonts w:ascii="Verdana" w:hAnsi="Verdana" w:cs="Arial"/>
          <w:bCs/>
          <w:sz w:val="20"/>
          <w:lang w:eastAsia="es-ES" w:bidi="es-ES"/>
        </w:rPr>
        <w:t>A efectos del principio de publicidad establecido en la normatividad enunciada anteriormente, ¿los documentos que se carguen en la plataforma SECOP deben corresponden a documentos finales que tengan firmas que así lo avalen?</w:t>
      </w:r>
    </w:p>
    <w:p w14:paraId="142D2479" w14:textId="77777777" w:rsidR="00AF6DA4" w:rsidRPr="003F20E6" w:rsidRDefault="00AF6DA4" w:rsidP="00AF6DA4">
      <w:pPr>
        <w:spacing w:after="0" w:line="240" w:lineRule="auto"/>
        <w:ind w:left="709" w:right="709"/>
        <w:jc w:val="both"/>
        <w:rPr>
          <w:rFonts w:ascii="Verdana" w:hAnsi="Verdana" w:cs="Arial"/>
          <w:bCs/>
          <w:sz w:val="20"/>
          <w:lang w:eastAsia="es-ES" w:bidi="es-ES"/>
        </w:rPr>
      </w:pPr>
      <w:r>
        <w:rPr>
          <w:rFonts w:ascii="Verdana" w:hAnsi="Verdana" w:cs="Arial"/>
          <w:bCs/>
          <w:sz w:val="20"/>
          <w:lang w:eastAsia="es-ES" w:bidi="es-ES"/>
        </w:rPr>
        <w:t xml:space="preserve">8) </w:t>
      </w:r>
      <w:r w:rsidRPr="00732C45">
        <w:rPr>
          <w:rFonts w:ascii="Verdana" w:hAnsi="Verdana" w:cs="Arial"/>
          <w:bCs/>
          <w:sz w:val="20"/>
          <w:lang w:eastAsia="es-ES" w:bidi="es-ES"/>
        </w:rPr>
        <w:t>Con el fin de cumplir con el objetivo de publicidad de las actuaciones generadas dentro del marco de un contrato, en el cual la ocurrencia del hecho puede diferir de la emisión del documento con las formalidades propias de cada entidad pública, ¿los términos contemplados en el Decreto 1082 de 2015 y del Decreto 1600 de 2024 empezarán a correr desde la simple generación del documento o desde que este cumple con las solemnidades propias del tipo de documento?</w:t>
      </w:r>
    </w:p>
    <w:p w14:paraId="22DCED1B" w14:textId="77777777" w:rsidR="00AF6DA4" w:rsidRPr="003F20E6" w:rsidRDefault="00AF6DA4" w:rsidP="00AF6DA4">
      <w:pPr>
        <w:spacing w:after="0" w:line="240" w:lineRule="auto"/>
        <w:jc w:val="both"/>
        <w:rPr>
          <w:rFonts w:ascii="Verdana" w:hAnsi="Verdana" w:cs="Arial"/>
          <w:b/>
          <w:bCs/>
          <w:lang w:val="es-ES" w:eastAsia="es-ES" w:bidi="es-ES"/>
        </w:rPr>
      </w:pPr>
    </w:p>
    <w:p w14:paraId="1080F2AA" w14:textId="77777777" w:rsidR="00AF6DA4" w:rsidRPr="003F20E6" w:rsidRDefault="00AF6DA4" w:rsidP="00AF6DA4">
      <w:pPr>
        <w:spacing w:after="120" w:line="276" w:lineRule="auto"/>
        <w:ind w:firstLine="709"/>
        <w:jc w:val="both"/>
        <w:rPr>
          <w:rFonts w:ascii="Verdana" w:eastAsia="Calibri" w:hAnsi="Verdana" w:cs="Times New Roman"/>
          <w:lang w:val="es-ES"/>
        </w:rPr>
      </w:pPr>
      <w:r w:rsidRPr="003F20E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3DEA0CAB" w14:textId="77777777" w:rsidR="00AF6DA4" w:rsidRPr="003F20E6" w:rsidRDefault="00AF6DA4" w:rsidP="00AF6DA4">
      <w:pPr>
        <w:spacing w:after="0" w:line="276" w:lineRule="auto"/>
        <w:ind w:firstLine="708"/>
        <w:jc w:val="both"/>
        <w:rPr>
          <w:rFonts w:ascii="Verdana" w:eastAsia="Calibri" w:hAnsi="Verdana" w:cs="Times New Roman"/>
          <w:lang w:val="es-ES"/>
        </w:rPr>
      </w:pPr>
      <w:r w:rsidRPr="003F20E6">
        <w:rPr>
          <w:rFonts w:ascii="Verdana" w:eastAsia="Calibri" w:hAnsi="Verdana" w:cs="Times New Roman"/>
          <w:lang w:val="es-ES"/>
        </w:rPr>
        <w:lastRenderedPageBreak/>
        <w:t xml:space="preserve">Conforme lo expuesto, en aras de satisfacer el derecho fundamental de petición se resolverá su consulta dentro de los límites de la referida competencia consultiva, esto es, haciendo unas consideraciones sobre las normas generales relacionadas con </w:t>
      </w:r>
      <w:r>
        <w:rPr>
          <w:rFonts w:ascii="Verdana" w:eastAsia="Calibri" w:hAnsi="Verdana" w:cs="Times New Roman"/>
          <w:lang w:val="es-ES"/>
        </w:rPr>
        <w:t xml:space="preserve">los problemas jurídicos de su consulta. </w:t>
      </w:r>
    </w:p>
    <w:p w14:paraId="56F4DCB4" w14:textId="77777777" w:rsidR="00AF6DA4" w:rsidRPr="007D1A48" w:rsidRDefault="00AF6DA4" w:rsidP="00AF6DA4">
      <w:pPr>
        <w:spacing w:after="0" w:line="276" w:lineRule="auto"/>
        <w:rPr>
          <w:rFonts w:ascii="Verdana" w:eastAsia="Calibri" w:hAnsi="Verdana" w:cs="Times New Roman"/>
          <w:lang w:val="es-ES"/>
        </w:rPr>
      </w:pPr>
    </w:p>
    <w:p w14:paraId="0AC3C467" w14:textId="77777777" w:rsidR="00AF6DA4" w:rsidRPr="007D1A48" w:rsidRDefault="00AF6DA4" w:rsidP="00AF6DA4">
      <w:pPr>
        <w:numPr>
          <w:ilvl w:val="0"/>
          <w:numId w:val="19"/>
        </w:numPr>
        <w:spacing w:after="0" w:line="276" w:lineRule="auto"/>
        <w:rPr>
          <w:rFonts w:ascii="Verdana" w:eastAsia="Calibri" w:hAnsi="Verdana" w:cs="Times New Roman"/>
          <w:b/>
          <w:bCs/>
          <w:lang w:val="es-ES"/>
        </w:rPr>
      </w:pPr>
      <w:r w:rsidRPr="007D1A48">
        <w:rPr>
          <w:rFonts w:ascii="Verdana" w:eastAsia="Calibri" w:hAnsi="Verdana" w:cs="Times New Roman"/>
          <w:b/>
          <w:bCs/>
          <w:lang w:val="es-ES"/>
        </w:rPr>
        <w:t>Problema planteado:</w:t>
      </w:r>
    </w:p>
    <w:p w14:paraId="1352632F" w14:textId="77777777" w:rsidR="00AF6DA4" w:rsidRPr="007D1A48" w:rsidRDefault="00AF6DA4" w:rsidP="00AF6DA4">
      <w:pPr>
        <w:spacing w:after="0" w:line="276" w:lineRule="auto"/>
        <w:rPr>
          <w:rFonts w:ascii="Verdana" w:eastAsia="Calibri" w:hAnsi="Verdana" w:cs="Times New Roman"/>
        </w:rPr>
      </w:pPr>
    </w:p>
    <w:p w14:paraId="5AB3CBA7" w14:textId="77777777" w:rsidR="00AF6DA4" w:rsidRPr="00286830" w:rsidRDefault="00AF6DA4" w:rsidP="00AF6DA4">
      <w:pPr>
        <w:spacing w:after="0" w:line="276" w:lineRule="auto"/>
        <w:jc w:val="both"/>
        <w:rPr>
          <w:rFonts w:ascii="Verdana" w:eastAsia="Calibri" w:hAnsi="Verdana" w:cs="Times New Roman"/>
          <w:bCs/>
        </w:rPr>
      </w:pPr>
      <w:r w:rsidRPr="007D1A48">
        <w:rPr>
          <w:rFonts w:ascii="Verdana" w:eastAsia="Calibri" w:hAnsi="Verdana" w:cs="Times New Roman"/>
        </w:rPr>
        <w:t>De acuerdo con el contenido de</w:t>
      </w:r>
      <w:r>
        <w:rPr>
          <w:rFonts w:ascii="Verdana" w:eastAsia="Calibri" w:hAnsi="Verdana" w:cs="Times New Roman"/>
        </w:rPr>
        <w:t xml:space="preserve"> sus solicitudes</w:t>
      </w:r>
      <w:r w:rsidRPr="007D1A48">
        <w:rPr>
          <w:rFonts w:ascii="Verdana" w:eastAsia="Calibri" w:hAnsi="Verdana" w:cs="Times New Roman"/>
        </w:rPr>
        <w:t>, esta Agencia procede a resolver</w:t>
      </w:r>
      <w:r>
        <w:rPr>
          <w:rFonts w:ascii="Verdana" w:eastAsia="Calibri" w:hAnsi="Verdana" w:cs="Times New Roman"/>
        </w:rPr>
        <w:t xml:space="preserve"> los siguientes problemas jurídicos</w:t>
      </w:r>
      <w:r w:rsidRPr="00286830">
        <w:rPr>
          <w:rFonts w:ascii="Verdana" w:eastAsia="Calibri" w:hAnsi="Verdana" w:cs="Times New Roman"/>
          <w:bCs/>
        </w:rPr>
        <w:t>:</w:t>
      </w:r>
      <w:r>
        <w:rPr>
          <w:rFonts w:ascii="Verdana" w:eastAsia="Calibri" w:hAnsi="Verdana" w:cs="Times New Roman"/>
          <w:bCs/>
        </w:rPr>
        <w:t xml:space="preserve"> i) ¿qué debe entenderse por documentos del proceso de contratación, en especial los de ejecución dentro de un proceso de contratación en el evento de publicar?; </w:t>
      </w:r>
      <w:proofErr w:type="spellStart"/>
      <w:r>
        <w:rPr>
          <w:rFonts w:ascii="Verdana" w:eastAsia="Calibri" w:hAnsi="Verdana" w:cs="Times New Roman"/>
          <w:bCs/>
        </w:rPr>
        <w:t>ii</w:t>
      </w:r>
      <w:proofErr w:type="spellEnd"/>
      <w:r>
        <w:rPr>
          <w:rFonts w:ascii="Verdana" w:eastAsia="Calibri" w:hAnsi="Verdana" w:cs="Times New Roman"/>
          <w:bCs/>
        </w:rPr>
        <w:t xml:space="preserve">) ¿Cómo debe comprenderse y aplicarse la publicación de documentos del proceso de contratación, en especial, los de ejecución en los procesos de contratación pública, teniendo en cuenta lo dispuesto en el Decreto 1600 de 2024 que modifica el Decreto 1081 de 2015 y el Decreto 1082 de 2015? </w:t>
      </w:r>
    </w:p>
    <w:p w14:paraId="3E98ADBE" w14:textId="77777777" w:rsidR="00AF6DA4" w:rsidRPr="007D1A48" w:rsidRDefault="00AF6DA4" w:rsidP="00AF6DA4">
      <w:pPr>
        <w:spacing w:after="0" w:line="276" w:lineRule="auto"/>
        <w:jc w:val="both"/>
        <w:rPr>
          <w:rFonts w:ascii="Verdana" w:eastAsia="Calibri" w:hAnsi="Verdana" w:cs="Times New Roman"/>
          <w:bCs/>
        </w:rPr>
      </w:pPr>
    </w:p>
    <w:p w14:paraId="024E3755" w14:textId="77777777" w:rsidR="00AF6DA4" w:rsidRPr="003F20E6" w:rsidRDefault="00AF6DA4" w:rsidP="00AF6DA4">
      <w:pPr>
        <w:numPr>
          <w:ilvl w:val="0"/>
          <w:numId w:val="19"/>
        </w:numPr>
        <w:spacing w:after="0" w:line="276" w:lineRule="auto"/>
        <w:rPr>
          <w:rFonts w:ascii="Verdana" w:eastAsia="Calibri" w:hAnsi="Verdana" w:cs="Times New Roman"/>
          <w:b/>
          <w:bCs/>
          <w:lang w:val="es-ES"/>
        </w:rPr>
      </w:pPr>
      <w:r w:rsidRPr="003F20E6">
        <w:rPr>
          <w:rFonts w:ascii="Verdana" w:eastAsia="Calibri" w:hAnsi="Verdana" w:cs="Times New Roman"/>
          <w:b/>
          <w:bCs/>
          <w:lang w:val="es-ES"/>
        </w:rPr>
        <w:t>Respuesta:</w:t>
      </w:r>
    </w:p>
    <w:p w14:paraId="0DAD5B2C" w14:textId="77777777" w:rsidR="00AF6DA4" w:rsidRPr="003F20E6" w:rsidRDefault="00AF6DA4" w:rsidP="00AF6DA4">
      <w:pPr>
        <w:spacing w:after="0" w:line="276" w:lineRule="auto"/>
        <w:jc w:val="both"/>
        <w:rPr>
          <w:rFonts w:ascii="Verdana" w:hAnsi="Verdana" w:cs="Arial"/>
          <w:bCs/>
          <w:lang w:val="es-ES" w:eastAsia="es-ES" w:bidi="es-E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F6DA4" w:rsidRPr="003F20E6" w14:paraId="4270E3B8" w14:textId="77777777" w:rsidTr="00F57C42">
        <w:trPr>
          <w:trHeight w:val="870"/>
          <w:jc w:val="center"/>
        </w:trPr>
        <w:tc>
          <w:tcPr>
            <w:tcW w:w="8647" w:type="dxa"/>
          </w:tcPr>
          <w:p w14:paraId="4E8F6FAB" w14:textId="77777777" w:rsidR="00AF6DA4" w:rsidRDefault="00AF6DA4" w:rsidP="00F57C42">
            <w:pPr>
              <w:spacing w:after="120" w:line="276" w:lineRule="auto"/>
              <w:jc w:val="both"/>
              <w:rPr>
                <w:rFonts w:ascii="Verdana" w:eastAsia="Calibri" w:hAnsi="Verdana" w:cs="Arial"/>
                <w:lang w:val="es-ES" w:eastAsia="es-ES_tradnl"/>
              </w:rPr>
            </w:pPr>
            <w:r w:rsidRPr="000A2438">
              <w:rPr>
                <w:rFonts w:ascii="Verdana" w:eastAsia="Calibri" w:hAnsi="Verdana" w:cs="Arial"/>
                <w:lang w:val="es-ES" w:eastAsia="es-ES_tradnl"/>
              </w:rPr>
              <w:t>Respecto</w:t>
            </w:r>
            <w:r>
              <w:rPr>
                <w:rFonts w:ascii="Verdana" w:eastAsia="Calibri" w:hAnsi="Verdana" w:cs="Arial"/>
                <w:lang w:val="es-ES" w:eastAsia="es-ES_tradnl"/>
              </w:rPr>
              <w:t xml:space="preserve"> a los problemas jurídicos, objeto de consulta, se señala lo siguiente:</w:t>
            </w:r>
          </w:p>
          <w:p w14:paraId="6FBBC4F1" w14:textId="77777777" w:rsidR="00AF6DA4" w:rsidRPr="003F20E6" w:rsidRDefault="00AF6DA4" w:rsidP="00F57C42">
            <w:pPr>
              <w:tabs>
                <w:tab w:val="left" w:pos="709"/>
              </w:tabs>
              <w:spacing w:before="120" w:line="276" w:lineRule="auto"/>
              <w:jc w:val="both"/>
              <w:rPr>
                <w:rFonts w:ascii="Verdana" w:hAnsi="Verdana" w:cs="Arial"/>
                <w:shd w:val="clear" w:color="auto" w:fill="FFFFFF"/>
              </w:rPr>
            </w:pPr>
            <w:r>
              <w:rPr>
                <w:rFonts w:ascii="Verdana" w:eastAsia="Calibri" w:hAnsi="Verdana" w:cs="Arial"/>
                <w:lang w:val="es-ES" w:eastAsia="es-ES_tradnl"/>
              </w:rPr>
              <w:t xml:space="preserve">i. </w:t>
            </w:r>
            <w:r w:rsidRPr="003F20E6">
              <w:rPr>
                <w:rFonts w:ascii="Verdana" w:hAnsi="Verdana" w:cs="Arial"/>
                <w:shd w:val="clear" w:color="auto" w:fill="FFFFFF"/>
              </w:rPr>
              <w:t xml:space="preserve">La expresión </w:t>
            </w:r>
            <w:r w:rsidRPr="003F20E6">
              <w:rPr>
                <w:rFonts w:ascii="Verdana" w:hAnsi="Verdana" w:cs="Arial"/>
                <w:i/>
                <w:iCs/>
                <w:shd w:val="clear" w:color="auto" w:fill="FFFFFF"/>
              </w:rPr>
              <w:t xml:space="preserve">Documentos del Proceso </w:t>
            </w:r>
            <w:r w:rsidRPr="003F20E6">
              <w:rPr>
                <w:rFonts w:ascii="Verdana" w:hAnsi="Verdana" w:cs="Arial"/>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3F20E6">
              <w:rPr>
                <w:rFonts w:ascii="Verdana" w:hAnsi="Verdana" w:cs="Arial"/>
                <w:i/>
                <w:iCs/>
                <w:shd w:val="clear" w:color="auto" w:fill="FFFFFF"/>
              </w:rPr>
              <w:t>y cualquier otro documento expedido por la Entidad Estatal durante el Proceso de Contratación</w:t>
            </w:r>
            <w:r w:rsidRPr="003F20E6">
              <w:rPr>
                <w:rFonts w:ascii="Verdana" w:hAnsi="Verdana" w:cs="Arial"/>
                <w:shd w:val="clear" w:color="auto" w:fill="FFFFFF"/>
              </w:rPr>
              <w:t xml:space="preserve">”. </w:t>
            </w:r>
            <w:r>
              <w:rPr>
                <w:rFonts w:ascii="Verdana" w:hAnsi="Verdana" w:cs="Arial"/>
                <w:shd w:val="clear" w:color="auto" w:fill="FFFFFF"/>
              </w:rPr>
              <w:t>(</w:t>
            </w:r>
            <w:r w:rsidRPr="003F20E6">
              <w:rPr>
                <w:rFonts w:ascii="Verdana" w:hAnsi="Verdana" w:cs="Arial"/>
                <w:shd w:val="clear" w:color="auto" w:fill="FFFFFF"/>
              </w:rPr>
              <w:t>Énfasis fuera de texto</w:t>
            </w:r>
            <w:r>
              <w:rPr>
                <w:rFonts w:ascii="Verdana" w:hAnsi="Verdana" w:cs="Arial"/>
                <w:shd w:val="clear" w:color="auto" w:fill="FFFFFF"/>
              </w:rPr>
              <w:t xml:space="preserve">). Ahora bien, </w:t>
            </w:r>
            <w:r w:rsidRPr="003F20E6">
              <w:rPr>
                <w:rFonts w:ascii="Verdana" w:hAnsi="Verdana" w:cs="Arial"/>
                <w:shd w:val="clear" w:color="auto" w:fill="FFFFFF"/>
              </w:rPr>
              <w:t xml:space="preserve">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3F20E6">
              <w:rPr>
                <w:rFonts w:ascii="Verdana" w:hAnsi="Verdana" w:cs="Arial"/>
                <w:i/>
                <w:iCs/>
                <w:shd w:val="clear" w:color="auto" w:fill="FFFFFF"/>
              </w:rPr>
              <w:t>Ibidem</w:t>
            </w:r>
            <w:r w:rsidRPr="003F20E6">
              <w:rPr>
                <w:rFonts w:ascii="Verdana" w:hAnsi="Verdana" w:cs="Arial"/>
                <w:shd w:val="clear" w:color="auto" w:fill="FFFFFF"/>
              </w:rPr>
              <w:t xml:space="preserve"> recoge en la noción de Documentos del Proceso “cualquier otro documento expedido por la Entidad Estatal dura</w:t>
            </w:r>
            <w:r>
              <w:rPr>
                <w:rFonts w:ascii="Verdana" w:hAnsi="Verdana" w:cs="Arial"/>
                <w:shd w:val="clear" w:color="auto" w:fill="FFFFFF"/>
              </w:rPr>
              <w:t>nte el Proceso de Contratación”, esto es, aquellos documentos definitivos que se desarrollan dentro del proceso de contratación.</w:t>
            </w:r>
          </w:p>
          <w:p w14:paraId="117F38E1" w14:textId="77777777" w:rsidR="00AF6DA4" w:rsidRDefault="00AF6DA4" w:rsidP="00F57C42">
            <w:pPr>
              <w:tabs>
                <w:tab w:val="left" w:pos="709"/>
              </w:tabs>
              <w:spacing w:before="120" w:line="276" w:lineRule="auto"/>
              <w:ind w:firstLine="709"/>
              <w:jc w:val="both"/>
              <w:rPr>
                <w:rFonts w:ascii="Verdana" w:hAnsi="Verdana" w:cs="Arial"/>
                <w:shd w:val="clear" w:color="auto" w:fill="FFFFFF"/>
              </w:rPr>
            </w:pPr>
            <w:r w:rsidRPr="003F20E6">
              <w:rPr>
                <w:rFonts w:ascii="Verdana" w:hAnsi="Verdana" w:cs="Arial"/>
                <w:shd w:val="clear" w:color="auto" w:fill="FFFFFF"/>
              </w:rPr>
              <w:t xml:space="preserve">Este mismo artículo define la expresión Proceso de Contratación como el “Conjunto de actos y actividades, y su secuencia, adelantadas por la Entidad Estatal desde la planeación hasta el vencimiento de las garantías de </w:t>
            </w:r>
            <w:r w:rsidRPr="003F20E6">
              <w:rPr>
                <w:rFonts w:ascii="Verdana" w:hAnsi="Verdana" w:cs="Arial"/>
                <w:shd w:val="clear" w:color="auto" w:fill="FFFFFF"/>
              </w:rPr>
              <w:lastRenderedPageBreak/>
              <w:t>calidad, estabilidad y mantenimiento, o las condiciones de disposición final o recuperación ambiental de las obras o bienes o el vencimiento del plazo, lo que ocurra más tarde”. Nótese que la norma se refiere a los documentos “expedidos por la entidad estatal” durante el Proceso de Contratación, excluyendo de la noción de Documentos del Proceso los expedidos por un sujeto distinto a la entidad, salvo la oferta, la cual se incluye expresamente en el referido artículo 2.2.1.1.1.3.</w:t>
            </w:r>
            <w:r>
              <w:rPr>
                <w:rFonts w:ascii="Verdana" w:hAnsi="Verdana" w:cs="Arial"/>
                <w:shd w:val="clear" w:color="auto" w:fill="FFFFFF"/>
              </w:rPr>
              <w:t xml:space="preserve"> </w:t>
            </w:r>
            <w:r w:rsidRPr="003F20E6">
              <w:rPr>
                <w:rFonts w:ascii="Verdana" w:hAnsi="Verdana" w:cs="Arial"/>
                <w:shd w:val="clear" w:color="auto" w:fill="FFFFFF"/>
              </w:rPr>
              <w:t>En ese sentido, la interpretación sistemática de los preceptos del Decreto 1082 de 2015, de acuerdo con el principio de publicidad, inicialmente, indica que las Entidades Estatales tienen la obligación de publicar todos los documentos que expidan con ocasión del Proceso de Contratación, es decir</w:t>
            </w:r>
            <w:r>
              <w:rPr>
                <w:rFonts w:ascii="Verdana" w:hAnsi="Verdana" w:cs="Arial"/>
                <w:shd w:val="clear" w:color="auto" w:fill="FFFFFF"/>
              </w:rPr>
              <w:t>,</w:t>
            </w:r>
            <w:r w:rsidRPr="003F20E6">
              <w:rPr>
                <w:rFonts w:ascii="Verdana" w:hAnsi="Verdana" w:cs="Arial"/>
                <w:shd w:val="clear" w:color="auto" w:fill="FFFFFF"/>
              </w:rPr>
              <w:t xml:space="preserve"> que todos los documentos expedidos por la entidad durante las etapas precontractual,</w:t>
            </w:r>
            <w:r>
              <w:rPr>
                <w:rFonts w:ascii="Verdana" w:hAnsi="Verdana" w:cs="Arial"/>
                <w:shd w:val="clear" w:color="auto" w:fill="FFFFFF"/>
              </w:rPr>
              <w:t xml:space="preserve"> de ejecución y </w:t>
            </w:r>
            <w:proofErr w:type="spellStart"/>
            <w:r>
              <w:rPr>
                <w:rFonts w:ascii="Verdana" w:hAnsi="Verdana" w:cs="Arial"/>
                <w:shd w:val="clear" w:color="auto" w:fill="FFFFFF"/>
              </w:rPr>
              <w:t>postcontractual</w:t>
            </w:r>
            <w:proofErr w:type="spellEnd"/>
            <w:r>
              <w:rPr>
                <w:rFonts w:ascii="Verdana" w:hAnsi="Verdana" w:cs="Arial"/>
                <w:shd w:val="clear" w:color="auto" w:fill="FFFFFF"/>
              </w:rPr>
              <w:t>.</w:t>
            </w:r>
          </w:p>
          <w:p w14:paraId="58B5D5CC" w14:textId="77777777" w:rsidR="00AF6DA4" w:rsidRPr="003F20E6" w:rsidRDefault="00AF6DA4" w:rsidP="00F57C42">
            <w:pPr>
              <w:tabs>
                <w:tab w:val="left" w:pos="709"/>
              </w:tabs>
              <w:spacing w:before="120" w:after="120" w:line="276" w:lineRule="auto"/>
              <w:ind w:firstLine="709"/>
              <w:jc w:val="both"/>
              <w:rPr>
                <w:rFonts w:ascii="Verdana" w:hAnsi="Verdana" w:cs="Arial"/>
                <w:shd w:val="clear" w:color="auto" w:fill="FFFFFF"/>
              </w:rPr>
            </w:pPr>
            <w:r>
              <w:rPr>
                <w:rFonts w:ascii="Verdana" w:hAnsi="Verdana" w:cs="Arial"/>
                <w:shd w:val="clear" w:color="auto" w:fill="FFFFFF"/>
              </w:rPr>
              <w:t xml:space="preserve">Con respecto a lo expuesto, los documentos de ejecución hacen parte de los Documentos del Proceso de Contratación, los cuales son aquellos que permiten el seguimiento y control del cumplimiento del contrato, una vez se hayan sido celebrado entre una entidad pública y el contratista. Es decir, son aquellos documentos que detallan y soportan la fase contractual y </w:t>
            </w:r>
            <w:proofErr w:type="spellStart"/>
            <w:r>
              <w:rPr>
                <w:rFonts w:ascii="Verdana" w:hAnsi="Verdana" w:cs="Arial"/>
                <w:shd w:val="clear" w:color="auto" w:fill="FFFFFF"/>
              </w:rPr>
              <w:t>poscontractual</w:t>
            </w:r>
            <w:proofErr w:type="spellEnd"/>
            <w:r>
              <w:rPr>
                <w:rFonts w:ascii="Verdana" w:hAnsi="Verdana" w:cs="Arial"/>
                <w:shd w:val="clear" w:color="auto" w:fill="FFFFFF"/>
              </w:rPr>
              <w:t xml:space="preserve"> que empieza desde la celebración del contrato hasta su liquidación. Al respecto, se destaca los informes de supervisión contractual, requerimientos de la supervisión, las garantías que amparan el contrato y que permiten el inicio de ejecución contractual, el registro presupuestal, la solicitud de ampliación de coberturas de pólizas para efectos de liquidación contractual, así como los soportes de pago, </w:t>
            </w:r>
            <w:r w:rsidRPr="003A757E">
              <w:rPr>
                <w:rFonts w:ascii="Verdana" w:hAnsi="Verdana" w:cs="Arial"/>
                <w:shd w:val="clear" w:color="auto" w:fill="FFFFFF"/>
              </w:rPr>
              <w:t>porque evidencian el cumplimiento de las obligaciones financieras pactadas en el contrato</w:t>
            </w:r>
            <w:r>
              <w:rPr>
                <w:rFonts w:ascii="Verdana" w:hAnsi="Verdana" w:cs="Arial"/>
                <w:shd w:val="clear" w:color="auto" w:fill="FFFFFF"/>
              </w:rPr>
              <w:t xml:space="preserve">, entre otros documentos que estén en el marco de la ejecución de las obligaciones del contrato.  </w:t>
            </w:r>
          </w:p>
          <w:p w14:paraId="52D7C694" w14:textId="77777777" w:rsidR="00AF6DA4" w:rsidRPr="00B7424B" w:rsidRDefault="00AF6DA4" w:rsidP="00F57C42">
            <w:pPr>
              <w:spacing w:after="120" w:line="276" w:lineRule="auto"/>
              <w:jc w:val="both"/>
              <w:rPr>
                <w:rFonts w:ascii="Verdana" w:eastAsia="Calibri" w:hAnsi="Verdana" w:cs="Arial"/>
                <w:bCs/>
                <w:iCs/>
                <w:lang w:eastAsia="es-ES_tradnl"/>
              </w:rPr>
            </w:pPr>
            <w:proofErr w:type="spellStart"/>
            <w:r>
              <w:rPr>
                <w:rFonts w:ascii="Verdana" w:eastAsia="Calibri" w:hAnsi="Verdana" w:cs="Arial"/>
                <w:bCs/>
                <w:iCs/>
                <w:lang w:val="es-ES" w:eastAsia="es-ES_tradnl"/>
              </w:rPr>
              <w:t>ii</w:t>
            </w:r>
            <w:proofErr w:type="spellEnd"/>
            <w:r>
              <w:rPr>
                <w:rFonts w:ascii="Verdana" w:eastAsia="Calibri" w:hAnsi="Verdana" w:cs="Arial"/>
                <w:bCs/>
                <w:iCs/>
                <w:lang w:val="es-ES" w:eastAsia="es-ES_tradnl"/>
              </w:rPr>
              <w:t xml:space="preserve">. </w:t>
            </w:r>
            <w:r>
              <w:rPr>
                <w:rFonts w:ascii="Verdana" w:eastAsia="Calibri" w:hAnsi="Verdana" w:cs="Arial"/>
                <w:bCs/>
                <w:iCs/>
                <w:lang w:val="es-ES_tradnl" w:eastAsia="es-ES_tradnl"/>
              </w:rPr>
              <w:t>L</w:t>
            </w:r>
            <w:r w:rsidRPr="00B7424B">
              <w:rPr>
                <w:rFonts w:ascii="Verdana" w:eastAsia="Calibri" w:hAnsi="Verdana" w:cs="Arial"/>
                <w:bCs/>
                <w:iCs/>
                <w:lang w:val="es-ES_tradnl" w:eastAsia="es-ES_tradnl"/>
              </w:rPr>
              <w:t xml:space="preserve">a regla dispuesta en el </w:t>
            </w:r>
            <w:r w:rsidRPr="00B7424B">
              <w:rPr>
                <w:rFonts w:ascii="Verdana" w:eastAsia="Calibri" w:hAnsi="Verdana" w:cs="Arial"/>
                <w:bCs/>
                <w:iCs/>
                <w:lang w:eastAsia="es-ES_tradnl"/>
              </w:rPr>
              <w:t xml:space="preserve">artículo 2.1.4.3.2.2 del Decreto 1081 de 2015 </w:t>
            </w:r>
            <w:r w:rsidRPr="00B7424B">
              <w:rPr>
                <w:rFonts w:ascii="Verdana" w:eastAsia="Calibri" w:hAnsi="Verdana" w:cs="Arial"/>
                <w:bCs/>
                <w:iCs/>
                <w:lang w:val="es-ES_tradnl" w:eastAsia="es-ES_tradnl"/>
              </w:rPr>
              <w:t>–</w:t>
            </w:r>
            <w:r w:rsidRPr="00B7424B">
              <w:rPr>
                <w:rFonts w:ascii="Verdana" w:eastAsia="Calibri" w:hAnsi="Verdana" w:cs="Arial"/>
                <w:bCs/>
                <w:i/>
                <w:iCs/>
                <w:lang w:val="es-ES_tradnl" w:eastAsia="es-ES_tradnl"/>
              </w:rPr>
              <w:t>regla especial</w:t>
            </w:r>
            <w:r w:rsidRPr="00B7424B">
              <w:rPr>
                <w:rFonts w:ascii="Verdana" w:eastAsia="Calibri" w:hAnsi="Verdana" w:cs="Arial"/>
                <w:bCs/>
                <w:iCs/>
                <w:lang w:val="es-ES_tradnl" w:eastAsia="es-ES_tradnl"/>
              </w:rPr>
              <w:t xml:space="preserve">– </w:t>
            </w:r>
            <w:r>
              <w:rPr>
                <w:rFonts w:ascii="Verdana" w:eastAsia="Calibri" w:hAnsi="Verdana" w:cs="Arial"/>
                <w:bCs/>
                <w:iCs/>
                <w:lang w:val="es-ES_tradnl" w:eastAsia="es-ES_tradnl"/>
              </w:rPr>
              <w:t xml:space="preserve">modificada por el Decreto 1600 de 2024 </w:t>
            </w:r>
            <w:r w:rsidRPr="00B7424B">
              <w:rPr>
                <w:rFonts w:ascii="Verdana" w:eastAsia="Calibri" w:hAnsi="Verdana" w:cs="Arial"/>
                <w:bCs/>
                <w:iCs/>
                <w:lang w:val="es-ES_tradnl" w:eastAsia="es-ES_tradnl"/>
              </w:rPr>
              <w:t xml:space="preserve">debe tenerse en cuenta sobre el entendimiento y aplicación del artículo </w:t>
            </w:r>
            <w:r w:rsidRPr="00B7424B">
              <w:rPr>
                <w:rFonts w:ascii="Verdana" w:eastAsia="Calibri" w:hAnsi="Verdana" w:cs="Arial"/>
                <w:bCs/>
                <w:iCs/>
                <w:lang w:eastAsia="es-ES_tradnl"/>
              </w:rPr>
              <w:t>2.2.1.1.1.7.1. del Decreto 1082 de 2015</w:t>
            </w:r>
            <w:r w:rsidRPr="00B7424B">
              <w:rPr>
                <w:rFonts w:ascii="Verdana" w:eastAsia="Calibri" w:hAnsi="Verdana" w:cs="Arial"/>
                <w:bCs/>
                <w:iCs/>
                <w:lang w:val="es-ES_tradnl" w:eastAsia="es-ES_tradnl"/>
              </w:rPr>
              <w:t xml:space="preserve"> –</w:t>
            </w:r>
            <w:r w:rsidRPr="00B7424B">
              <w:rPr>
                <w:rFonts w:ascii="Verdana" w:eastAsia="Calibri" w:hAnsi="Verdana" w:cs="Arial"/>
                <w:bCs/>
                <w:i/>
                <w:iCs/>
                <w:lang w:val="es-ES_tradnl" w:eastAsia="es-ES_tradnl"/>
              </w:rPr>
              <w:t>regla general</w:t>
            </w:r>
            <w:r w:rsidRPr="00B7424B">
              <w:rPr>
                <w:rFonts w:ascii="Verdana" w:eastAsia="Calibri" w:hAnsi="Verdana" w:cs="Arial"/>
                <w:bCs/>
                <w:iCs/>
                <w:lang w:val="es-ES_tradnl" w:eastAsia="es-ES_tradnl"/>
              </w:rPr>
              <w:t xml:space="preserve">–, esto es, deben interpretarse armónicamente. Esto no significa que la </w:t>
            </w:r>
            <w:r w:rsidRPr="00B7424B">
              <w:rPr>
                <w:rFonts w:ascii="Verdana" w:eastAsia="Calibri" w:hAnsi="Verdana" w:cs="Arial"/>
                <w:bCs/>
                <w:i/>
                <w:iCs/>
                <w:lang w:val="es-ES_tradnl" w:eastAsia="es-ES_tradnl"/>
              </w:rPr>
              <w:t>regla general</w:t>
            </w:r>
            <w:r w:rsidRPr="00B7424B">
              <w:rPr>
                <w:rFonts w:ascii="Verdana" w:eastAsia="Calibri" w:hAnsi="Verdana" w:cs="Arial"/>
                <w:bCs/>
                <w:iCs/>
                <w:lang w:val="es-ES_tradnl" w:eastAsia="es-ES_tradnl"/>
              </w:rPr>
              <w:t xml:space="preserve"> desaparezca del ordenamiento jurídico; todo lo contrario, esta aplica en todos los supuestos que regula, y se interpreta de forma integral con los supuestos previstos en la </w:t>
            </w:r>
            <w:r w:rsidRPr="00B7424B">
              <w:rPr>
                <w:rFonts w:ascii="Verdana" w:eastAsia="Calibri" w:hAnsi="Verdana" w:cs="Arial"/>
                <w:bCs/>
                <w:i/>
                <w:iCs/>
                <w:lang w:val="es-ES_tradnl" w:eastAsia="es-ES_tradnl"/>
              </w:rPr>
              <w:t>regla especial</w:t>
            </w:r>
            <w:r w:rsidRPr="00B7424B">
              <w:rPr>
                <w:rFonts w:ascii="Verdana" w:eastAsia="Calibri" w:hAnsi="Verdana" w:cs="Arial"/>
                <w:bCs/>
                <w:iCs/>
                <w:lang w:val="es-ES_tradnl" w:eastAsia="es-ES_tradnl"/>
              </w:rPr>
              <w:t xml:space="preserve">. De esta manera, el término de diez (10) días es un plazo máximo para las entidades y </w:t>
            </w:r>
            <w:r w:rsidRPr="00B7424B">
              <w:rPr>
                <w:rFonts w:ascii="Verdana" w:eastAsia="Calibri" w:hAnsi="Verdana" w:cs="Arial"/>
                <w:bCs/>
                <w:i/>
                <w:iCs/>
                <w:lang w:eastAsia="es-ES_tradnl"/>
              </w:rPr>
              <w:t xml:space="preserve">empresas del Estado </w:t>
            </w:r>
            <w:r w:rsidRPr="00B7424B">
              <w:rPr>
                <w:rFonts w:ascii="Verdana" w:eastAsia="Calibri" w:hAnsi="Verdana" w:cs="Arial"/>
                <w:bCs/>
                <w:iCs/>
                <w:lang w:eastAsia="es-ES_tradnl"/>
              </w:rPr>
              <w:t>del orden nacional y pertenecientes a la Rama Ejecutiva del Poder Público para publicar en SECOP</w:t>
            </w:r>
            <w:r>
              <w:rPr>
                <w:rFonts w:ascii="Verdana" w:eastAsia="Calibri" w:hAnsi="Verdana" w:cs="Arial"/>
                <w:bCs/>
                <w:iCs/>
                <w:lang w:eastAsia="es-ES_tradnl"/>
              </w:rPr>
              <w:t xml:space="preserve"> </w:t>
            </w:r>
            <w:r>
              <w:rPr>
                <w:rFonts w:ascii="Verdana" w:eastAsia="Calibri" w:hAnsi="Verdana" w:cs="Arial"/>
                <w:bCs/>
                <w:iCs/>
                <w:lang w:eastAsia="es-ES_tradnl"/>
              </w:rPr>
              <w:lastRenderedPageBreak/>
              <w:t>los documentos relacionados con “</w:t>
            </w:r>
            <w:r w:rsidRPr="00D452DD">
              <w:rPr>
                <w:rFonts w:ascii="Verdana" w:eastAsia="Calibri" w:hAnsi="Verdana" w:cs="Arial"/>
                <w:bCs/>
                <w:iCs/>
                <w:lang w:eastAsia="es-ES_tradnl"/>
              </w:rPr>
              <w:t>informes de supervisión e interventoría, actas de liquidación, requerimientos, etc.</w:t>
            </w:r>
            <w:r>
              <w:rPr>
                <w:rFonts w:ascii="Verdana" w:eastAsia="Calibri" w:hAnsi="Verdana" w:cs="Arial"/>
                <w:bCs/>
                <w:iCs/>
                <w:lang w:eastAsia="es-ES_tradnl"/>
              </w:rPr>
              <w:t>”</w:t>
            </w:r>
            <w:r w:rsidRPr="00B7424B">
              <w:rPr>
                <w:rFonts w:ascii="Verdana" w:eastAsia="Calibri" w:hAnsi="Verdana" w:cs="Arial"/>
                <w:bCs/>
                <w:iCs/>
                <w:lang w:eastAsia="es-ES_tradnl"/>
              </w:rPr>
              <w:t>, en todo caso</w:t>
            </w:r>
            <w:r>
              <w:rPr>
                <w:rFonts w:ascii="Verdana" w:eastAsia="Calibri" w:hAnsi="Verdana" w:cs="Arial"/>
                <w:bCs/>
                <w:iCs/>
                <w:lang w:eastAsia="es-ES_tradnl"/>
              </w:rPr>
              <w:t xml:space="preserve"> los documentos de carácter definitivo</w:t>
            </w:r>
            <w:r w:rsidRPr="00B7424B">
              <w:rPr>
                <w:rFonts w:ascii="Verdana" w:eastAsia="Calibri" w:hAnsi="Verdana" w:cs="Arial"/>
                <w:bCs/>
                <w:iCs/>
                <w:lang w:eastAsia="es-ES_tradnl"/>
              </w:rPr>
              <w:t>, precisando la regla general sigue vigente, y que, en un principio, el término para publicar es de tres (3) días siguientes a la expedición</w:t>
            </w:r>
            <w:r>
              <w:rPr>
                <w:rFonts w:ascii="Verdana" w:eastAsia="Calibri" w:hAnsi="Verdana" w:cs="Arial"/>
                <w:bCs/>
                <w:iCs/>
                <w:lang w:eastAsia="es-ES_tradnl"/>
              </w:rPr>
              <w:t>, esto es, a partir desde que el documento se encuentra perfeccionado por la parte o las partes intervinientes</w:t>
            </w:r>
            <w:r w:rsidRPr="00B7424B">
              <w:rPr>
                <w:rFonts w:ascii="Verdana" w:eastAsia="Calibri" w:hAnsi="Verdana" w:cs="Arial"/>
                <w:bCs/>
                <w:iCs/>
                <w:lang w:eastAsia="es-ES_tradnl"/>
              </w:rPr>
              <w:t xml:space="preserve">, de conformidad a lo prescrito en el Decreto 1082 de 2015. </w:t>
            </w:r>
          </w:p>
          <w:p w14:paraId="3AEA02F1" w14:textId="77777777" w:rsidR="00AF6DA4" w:rsidRPr="00B7424B" w:rsidRDefault="00AF6DA4" w:rsidP="00F57C42">
            <w:pPr>
              <w:spacing w:after="120" w:line="276" w:lineRule="auto"/>
              <w:ind w:firstLine="708"/>
              <w:jc w:val="both"/>
              <w:rPr>
                <w:rFonts w:ascii="Verdana" w:eastAsia="Calibri" w:hAnsi="Verdana" w:cs="Arial"/>
                <w:bCs/>
                <w:iCs/>
                <w:lang w:eastAsia="es-ES_tradnl"/>
              </w:rPr>
            </w:pPr>
            <w:r w:rsidRPr="00B7424B">
              <w:rPr>
                <w:rFonts w:ascii="Verdana" w:eastAsia="Calibri" w:hAnsi="Verdana" w:cs="Arial"/>
                <w:bCs/>
                <w:iCs/>
                <w:lang w:eastAsia="es-ES_tradnl"/>
              </w:rPr>
              <w:t xml:space="preserve">Ahora bien, las demás entidades que no están sujetas al Decreto 1600 de 2024 que </w:t>
            </w:r>
            <w:r>
              <w:rPr>
                <w:rFonts w:ascii="Verdana" w:eastAsia="Calibri" w:hAnsi="Verdana" w:cs="Arial"/>
                <w:bCs/>
                <w:iCs/>
                <w:lang w:eastAsia="es-ES_tradnl"/>
              </w:rPr>
              <w:t>modifica el Decreto 1081 de 2015</w:t>
            </w:r>
            <w:r w:rsidRPr="00B7424B">
              <w:rPr>
                <w:rFonts w:ascii="Verdana" w:eastAsia="Calibri" w:hAnsi="Verdana" w:cs="Arial"/>
                <w:bCs/>
                <w:iCs/>
                <w:lang w:eastAsia="es-ES_tradnl"/>
              </w:rPr>
              <w:t xml:space="preserve"> tienen el deber de aplicar el término de publicación de los tres (3) días siguientes a su expedición como regla general y no le es aplicable el término máximo de diez (10) días</w:t>
            </w:r>
            <w:r>
              <w:rPr>
                <w:rFonts w:ascii="Verdana" w:eastAsia="Calibri" w:hAnsi="Verdana" w:cs="Arial"/>
                <w:bCs/>
                <w:iCs/>
                <w:lang w:eastAsia="es-ES_tradnl"/>
              </w:rPr>
              <w:t xml:space="preserve"> desde la ocurrencia del hecho, esto es, a partir de la generación y perfeccionamiento documento que tendrá un carácter definitivo</w:t>
            </w:r>
            <w:r w:rsidRPr="00B7424B">
              <w:rPr>
                <w:rFonts w:ascii="Verdana" w:eastAsia="Calibri" w:hAnsi="Verdana" w:cs="Arial"/>
                <w:bCs/>
                <w:iCs/>
                <w:lang w:eastAsia="es-ES_tradnl"/>
              </w:rPr>
              <w:t xml:space="preserve">. En tal sentido, las entidades del orden territorial, así como sus descentralizadas deben seguir aplicando el término general de tres (3) días, y no podrán hacer una interpretación extensiva ni analógica, puesto que se rigen bajo el principio de legalidad que implica una interpretación literal y estricta de las disposiciones normativas.  </w:t>
            </w:r>
          </w:p>
          <w:p w14:paraId="3E7FB5F6" w14:textId="77777777" w:rsidR="00AF6DA4" w:rsidRDefault="00AF6DA4" w:rsidP="00F57C42">
            <w:pPr>
              <w:spacing w:after="120" w:line="276" w:lineRule="auto"/>
              <w:ind w:firstLine="708"/>
              <w:jc w:val="both"/>
              <w:rPr>
                <w:rFonts w:ascii="Verdana" w:eastAsia="Calibri" w:hAnsi="Verdana" w:cs="Arial"/>
                <w:bCs/>
                <w:iCs/>
                <w:lang w:val="es-ES" w:eastAsia="es-ES_tradnl"/>
              </w:rPr>
            </w:pPr>
            <w:r w:rsidRPr="00B7424B">
              <w:rPr>
                <w:rFonts w:ascii="Verdana" w:eastAsia="Calibri" w:hAnsi="Verdana" w:cs="Arial"/>
                <w:bCs/>
                <w:iCs/>
                <w:lang w:eastAsia="es-ES_tradnl"/>
              </w:rPr>
              <w:t>Sin embargo</w:t>
            </w:r>
            <w:r w:rsidRPr="00B7424B">
              <w:rPr>
                <w:rFonts w:ascii="Verdana" w:eastAsia="Calibri" w:hAnsi="Verdana" w:cs="Arial"/>
                <w:bCs/>
                <w:iCs/>
                <w:lang w:val="es-ES" w:eastAsia="es-ES_tradnl"/>
              </w:rPr>
              <w:t xml:space="preserve">, es importante precisar, la naturaleza transaccional del SECOP II, lo cual implica que los procesos contractuales no sólo deban publicarse mediante esta plataforma, sino también gestionados a través de ella, al consistir la mayoría de los hitos contractuales en documentos y actuaciones electrónicas generadas en tiempo real, </w:t>
            </w:r>
            <w:r>
              <w:rPr>
                <w:rFonts w:ascii="Verdana" w:eastAsia="Calibri" w:hAnsi="Verdana" w:cs="Arial"/>
                <w:bCs/>
                <w:iCs/>
                <w:lang w:val="es-ES" w:eastAsia="es-ES_tradnl"/>
              </w:rPr>
              <w:t xml:space="preserve">en el sentido de que el </w:t>
            </w:r>
            <w:r w:rsidRPr="00B7424B">
              <w:rPr>
                <w:rFonts w:ascii="Verdana" w:eastAsia="Calibri" w:hAnsi="Verdana" w:cs="Arial"/>
                <w:bCs/>
                <w:iCs/>
                <w:lang w:val="es-ES" w:eastAsia="es-ES_tradnl"/>
              </w:rPr>
              <w:t>proceso contractual avanza en la medida en la que se generen y aprueben estos documentos</w:t>
            </w:r>
            <w:r>
              <w:rPr>
                <w:rFonts w:ascii="Verdana" w:eastAsia="Calibri" w:hAnsi="Verdana" w:cs="Arial"/>
                <w:bCs/>
                <w:iCs/>
                <w:lang w:val="es-ES" w:eastAsia="es-ES_tradnl"/>
              </w:rPr>
              <w:t xml:space="preserve"> que se constituirán en definitivos, cuando se cumplan las actuaciones electrónicas propias para su perfeccionamiento. </w:t>
            </w:r>
            <w:r w:rsidRPr="00B7424B">
              <w:rPr>
                <w:rFonts w:ascii="Verdana" w:eastAsia="Calibri" w:hAnsi="Verdana" w:cs="Arial"/>
                <w:bCs/>
                <w:iCs/>
                <w:lang w:val="es-ES" w:eastAsia="es-ES_tradnl"/>
              </w:rPr>
              <w:t xml:space="preserve">Es decir, en SECOP II, en principio, no aplica el término general de los tres (3) o el plazo máximo de los (10) días para las entidades del orden nacional, pues la mayoría de los documentos y actuaciones electrónicas se generan en el instante con la aprobación de las partes que intervienen en el proceso de contratación estatal respectivo. Esto, a diferencia de los procesos publicados en el SECOP I, en los que primero se generan los documentos </w:t>
            </w:r>
            <w:r>
              <w:rPr>
                <w:rFonts w:ascii="Verdana" w:eastAsia="Calibri" w:hAnsi="Verdana" w:cs="Arial"/>
                <w:bCs/>
                <w:iCs/>
                <w:lang w:val="es-ES" w:eastAsia="es-ES_tradnl"/>
              </w:rPr>
              <w:t xml:space="preserve">definitivos, esto es, aquellos que están firmados por las partes intervinientes </w:t>
            </w:r>
            <w:r w:rsidRPr="00B7424B">
              <w:rPr>
                <w:rFonts w:ascii="Verdana" w:eastAsia="Calibri" w:hAnsi="Verdana" w:cs="Arial"/>
                <w:bCs/>
                <w:iCs/>
                <w:lang w:val="es-ES" w:eastAsia="es-ES_tradnl"/>
              </w:rPr>
              <w:t>y luego se publican en dicha plataforma, en los términos ya expuestos, dependiendo de la naturaleza de la entidad y de las reglas prescritas en los Decretos 1081 y 1082 de 2015.</w:t>
            </w:r>
          </w:p>
          <w:p w14:paraId="4474731C" w14:textId="77777777" w:rsidR="00AF6DA4" w:rsidRPr="003F20E6" w:rsidRDefault="00AF6DA4" w:rsidP="00F57C42">
            <w:pPr>
              <w:spacing w:after="120" w:line="276" w:lineRule="auto"/>
              <w:ind w:firstLine="708"/>
              <w:jc w:val="both"/>
              <w:rPr>
                <w:rFonts w:ascii="Verdana" w:eastAsia="Calibri" w:hAnsi="Verdana" w:cs="Arial"/>
                <w:bCs/>
                <w:iCs/>
                <w:sz w:val="21"/>
                <w:szCs w:val="21"/>
                <w:lang w:val="es-ES" w:eastAsia="es-ES_tradnl"/>
              </w:rPr>
            </w:pPr>
            <w:r>
              <w:rPr>
                <w:rFonts w:ascii="Verdana" w:eastAsia="Calibri" w:hAnsi="Verdana" w:cs="Arial"/>
                <w:bCs/>
                <w:iCs/>
                <w:lang w:val="es-ES" w:eastAsia="es-ES_tradnl"/>
              </w:rPr>
              <w:lastRenderedPageBreak/>
              <w:t xml:space="preserve">En torno a los documentos de ejecución debe precisarse que algunos de estos no tienen un carácter transaccional en SECOP II, pues dentro de la numeral 7° del Proceso de Contratación “Ejecución del contrato” se encuentra la Sección “Documentos de Ejecución del contrato”, en el que </w:t>
            </w:r>
            <w:r w:rsidRPr="00216830">
              <w:rPr>
                <w:rFonts w:ascii="Verdana" w:eastAsia="Calibri" w:hAnsi="Verdana" w:cs="Arial"/>
                <w:bCs/>
                <w:iCs/>
                <w:lang w:eastAsia="es-ES_tradnl"/>
              </w:rPr>
              <w:t xml:space="preserve">tanto la Entidad Estatal como el Proveedor podrán cargar cualquier documento adicional resultado de la ejecución del contrato por ejemplo, acta de inicio, actas de entrega, informes de avance, </w:t>
            </w:r>
            <w:r>
              <w:rPr>
                <w:rFonts w:ascii="Verdana" w:eastAsia="Calibri" w:hAnsi="Verdana" w:cs="Arial"/>
                <w:bCs/>
                <w:iCs/>
                <w:lang w:eastAsia="es-ES_tradnl"/>
              </w:rPr>
              <w:t>requerimientos de la supervisión, solicitud de ampliación de pólizas, entre otros</w:t>
            </w:r>
            <w:r w:rsidRPr="00216830">
              <w:rPr>
                <w:rFonts w:ascii="Verdana" w:eastAsia="Calibri" w:hAnsi="Verdana" w:cs="Arial"/>
                <w:bCs/>
                <w:iCs/>
                <w:lang w:eastAsia="es-ES_tradnl"/>
              </w:rPr>
              <w:t xml:space="preserve">. </w:t>
            </w:r>
            <w:r>
              <w:rPr>
                <w:rFonts w:ascii="Verdana" w:eastAsia="Calibri" w:hAnsi="Verdana" w:cs="Arial"/>
                <w:bCs/>
                <w:iCs/>
                <w:lang w:eastAsia="es-ES_tradnl"/>
              </w:rPr>
              <w:t>Dichos documentos deberán estar suscritos por la parte o partes que los generan y cargarse en la plataforma en SECOP II dentro de los términos dispuestos por el Decreto 1082 de 2015, esto es, tres (3) días siguientes. Sin perjuicio, d</w:t>
            </w:r>
            <w:r>
              <w:rPr>
                <w:rFonts w:ascii="Verdana" w:eastAsia="Calibri" w:hAnsi="Verdana" w:cs="Arial"/>
                <w:bCs/>
                <w:iCs/>
                <w:lang w:val="es-ES" w:eastAsia="es-ES_tradnl"/>
              </w:rPr>
              <w:t>el término de diez (10) días como</w:t>
            </w:r>
            <w:r w:rsidRPr="00B7424B">
              <w:rPr>
                <w:rFonts w:ascii="Verdana" w:eastAsia="Calibri" w:hAnsi="Verdana" w:cs="Arial"/>
                <w:bCs/>
                <w:iCs/>
                <w:lang w:val="es-ES" w:eastAsia="es-ES_tradnl"/>
              </w:rPr>
              <w:t xml:space="preserve"> un límite máximo para publicar por parte de las entidades del orden nacional sometidas a lo dispuesto en el Decreto 1600 de 2024 que m</w:t>
            </w:r>
            <w:r>
              <w:rPr>
                <w:rFonts w:ascii="Verdana" w:eastAsia="Calibri" w:hAnsi="Verdana" w:cs="Arial"/>
                <w:bCs/>
                <w:iCs/>
                <w:lang w:val="es-ES" w:eastAsia="es-ES_tradnl"/>
              </w:rPr>
              <w:t xml:space="preserve">odifica el Decreto 1081 de 2015. </w:t>
            </w:r>
          </w:p>
        </w:tc>
      </w:tr>
    </w:tbl>
    <w:p w14:paraId="7FDCEEEB" w14:textId="77777777" w:rsidR="00AF6DA4" w:rsidRPr="003F20E6" w:rsidRDefault="00AF6DA4" w:rsidP="00AF6DA4">
      <w:pPr>
        <w:spacing w:after="0" w:line="276" w:lineRule="auto"/>
        <w:jc w:val="both"/>
        <w:rPr>
          <w:rFonts w:ascii="Verdana" w:eastAsia="Calibri" w:hAnsi="Verdana" w:cs="Arial"/>
          <w:bCs/>
          <w:color w:val="000000" w:themeColor="text1"/>
        </w:rPr>
      </w:pPr>
    </w:p>
    <w:p w14:paraId="59C6AED9" w14:textId="77777777" w:rsidR="00AF6DA4" w:rsidRPr="003F20E6" w:rsidRDefault="00AF6DA4" w:rsidP="00AF6DA4">
      <w:pPr>
        <w:numPr>
          <w:ilvl w:val="0"/>
          <w:numId w:val="19"/>
        </w:numPr>
        <w:spacing w:after="0" w:line="276" w:lineRule="auto"/>
        <w:ind w:left="0" w:firstLine="0"/>
        <w:rPr>
          <w:rFonts w:ascii="Verdana" w:eastAsia="Calibri" w:hAnsi="Verdana" w:cs="Times New Roman"/>
          <w:b/>
          <w:bCs/>
          <w:lang w:val="es-ES"/>
        </w:rPr>
      </w:pPr>
      <w:r w:rsidRPr="003F20E6">
        <w:rPr>
          <w:rFonts w:ascii="Verdana" w:eastAsia="Calibri" w:hAnsi="Verdana" w:cs="Times New Roman"/>
          <w:b/>
          <w:bCs/>
          <w:lang w:val="es-ES"/>
        </w:rPr>
        <w:t>Razones de la respuesta:</w:t>
      </w:r>
    </w:p>
    <w:p w14:paraId="362E8FE0" w14:textId="77777777" w:rsidR="00AF6DA4" w:rsidRPr="003F20E6" w:rsidRDefault="00AF6DA4" w:rsidP="00AF6DA4">
      <w:pPr>
        <w:spacing w:after="0" w:line="276" w:lineRule="auto"/>
        <w:rPr>
          <w:rFonts w:ascii="Verdana" w:eastAsia="Calibri" w:hAnsi="Verdana" w:cs="Times New Roman"/>
          <w:b/>
          <w:bCs/>
          <w:lang w:val="es-ES"/>
        </w:rPr>
      </w:pPr>
    </w:p>
    <w:p w14:paraId="3352646F" w14:textId="77777777" w:rsidR="00AF6DA4" w:rsidRPr="003F20E6" w:rsidRDefault="00AF6DA4" w:rsidP="00AF6DA4">
      <w:pPr>
        <w:spacing w:after="0" w:line="276" w:lineRule="auto"/>
        <w:jc w:val="both"/>
        <w:rPr>
          <w:rFonts w:ascii="Verdana" w:eastAsia="Calibri" w:hAnsi="Verdana" w:cs="Arial"/>
          <w:lang w:val="es-ES"/>
        </w:rPr>
      </w:pPr>
      <w:r w:rsidRPr="003F20E6">
        <w:rPr>
          <w:rFonts w:ascii="Verdana" w:eastAsia="Calibri" w:hAnsi="Verdana" w:cs="Arial"/>
          <w:lang w:val="es-ES"/>
        </w:rPr>
        <w:t xml:space="preserve">Lo anterior se sustenta en las siguientes consideraciones: </w:t>
      </w:r>
    </w:p>
    <w:p w14:paraId="7AE3CAEA" w14:textId="77777777" w:rsidR="00AF6DA4" w:rsidRPr="003F20E6" w:rsidRDefault="00AF6DA4" w:rsidP="00AF6DA4">
      <w:pPr>
        <w:spacing w:after="0" w:line="276" w:lineRule="auto"/>
        <w:jc w:val="both"/>
        <w:rPr>
          <w:rFonts w:ascii="Verdana" w:hAnsi="Verdana" w:cs="Arial"/>
          <w:bCs/>
          <w:lang w:val="es-ES" w:eastAsia="es-ES" w:bidi="es-ES"/>
        </w:rPr>
      </w:pPr>
    </w:p>
    <w:p w14:paraId="0FEC75FC" w14:textId="77777777" w:rsidR="00AF6DA4" w:rsidRPr="003F20E6" w:rsidRDefault="00AF6DA4" w:rsidP="00AF6DA4">
      <w:pPr>
        <w:spacing w:after="120" w:line="276" w:lineRule="auto"/>
        <w:jc w:val="both"/>
        <w:rPr>
          <w:rFonts w:ascii="Verdana" w:eastAsia="Times New Roman" w:hAnsi="Verdana" w:cs="Arial"/>
          <w:lang w:val="es-ES" w:eastAsia="es-ES"/>
          <w14:ligatures w14:val="standardContextual"/>
        </w:rPr>
      </w:pPr>
      <w:r w:rsidRPr="003F20E6">
        <w:rPr>
          <w:rFonts w:ascii="Verdana" w:eastAsia="Times New Roman" w:hAnsi="Verdana" w:cs="Arial"/>
          <w:lang w:val="es-ES" w:eastAsia="es-ES"/>
          <w14:ligatures w14:val="standardContextual"/>
        </w:rPr>
        <w:t xml:space="preserve">i. Uno de los postulados más importantes de un Estado Social y Democrático de Derecho es el principio de </w:t>
      </w:r>
      <w:r w:rsidRPr="003F20E6">
        <w:rPr>
          <w:rFonts w:ascii="Verdana" w:eastAsia="Times New Roman" w:hAnsi="Verdana" w:cs="Arial"/>
          <w:i/>
          <w:iCs/>
          <w:lang w:val="es-ES" w:eastAsia="es-ES"/>
          <w14:ligatures w14:val="standardContextual"/>
        </w:rPr>
        <w:t>publicidad</w:t>
      </w:r>
      <w:r w:rsidRPr="003F20E6">
        <w:rPr>
          <w:rFonts w:ascii="Verdana" w:eastAsia="Times New Roman" w:hAnsi="Verdana" w:cs="Arial"/>
          <w:lang w:val="es-ES" w:eastAsia="es-ES"/>
          <w14:ligatures w14:val="standardContextual"/>
        </w:rPr>
        <w:t>, pues este permite que las actuaciones de las autoridades gocen de visibilidad. En tal sentido, la filosofía política ha indicado que la democracia “[…] es idealmente el gobierno de un poder visible, es decir, el gobierno cuyos actos se realizan ante el público y bajo la supervisión de la opinión pública”</w:t>
      </w:r>
      <w:r w:rsidRPr="003F20E6">
        <w:rPr>
          <w:rFonts w:ascii="Verdana" w:eastAsia="Times New Roman" w:hAnsi="Verdana" w:cs="Arial"/>
          <w:vertAlign w:val="superscript"/>
          <w:lang w:val="es-ES" w:eastAsia="es-ES"/>
          <w14:ligatures w14:val="standardContextual"/>
        </w:rPr>
        <w:footnoteReference w:id="2"/>
      </w:r>
      <w:r w:rsidRPr="003F20E6">
        <w:rPr>
          <w:rFonts w:ascii="Verdana" w:eastAsia="Times New Roman" w:hAnsi="Verdana" w:cs="Arial"/>
          <w:lang w:val="es-ES" w:eastAsia="es-ES"/>
          <w14:ligatures w14:val="standardContextual"/>
        </w:rPr>
        <w:t xml:space="preserve">.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 la publicidad de las actuaciones de los poderes públicos. </w:t>
      </w:r>
    </w:p>
    <w:p w14:paraId="7D770B80" w14:textId="77777777" w:rsidR="00AF6DA4" w:rsidRPr="003F20E6" w:rsidRDefault="00AF6DA4" w:rsidP="00AF6DA4">
      <w:pPr>
        <w:spacing w:before="120" w:after="120" w:line="276" w:lineRule="auto"/>
        <w:ind w:firstLine="708"/>
        <w:jc w:val="both"/>
        <w:rPr>
          <w:rFonts w:ascii="Verdana" w:eastAsia="Times New Roman" w:hAnsi="Verdana" w:cs="Arial"/>
          <w:lang w:val="es-ES" w:eastAsia="es-ES"/>
          <w14:ligatures w14:val="standardContextual"/>
        </w:rPr>
      </w:pPr>
      <w:r w:rsidRPr="003F20E6">
        <w:rPr>
          <w:rFonts w:ascii="Verdana" w:eastAsia="Times New Roman" w:hAnsi="Verdana" w:cs="Arial"/>
          <w:lang w:val="es-ES" w:eastAsia="es-ES"/>
          <w14:ligatures w14:val="standardContextual"/>
        </w:rPr>
        <w:t xml:space="preserve">Como evidencia de ello,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74, que consagra la garantía de acceso a los documentos </w:t>
      </w:r>
      <w:r w:rsidRPr="003F20E6">
        <w:rPr>
          <w:rFonts w:ascii="Verdana" w:eastAsia="Times New Roman" w:hAnsi="Verdana" w:cs="Arial"/>
          <w:lang w:val="es-ES" w:eastAsia="es-ES"/>
          <w14:ligatures w14:val="standardContextual"/>
        </w:rPr>
        <w:lastRenderedPageBreak/>
        <w:t xml:space="preserve">públicos que no gocen de reserva –y esta, además, es excepcional, pues solo procede si existe causal constitucional o legal expresa–. </w:t>
      </w:r>
    </w:p>
    <w:p w14:paraId="5B012E3A" w14:textId="77777777" w:rsidR="00AF6DA4" w:rsidRPr="003F20E6" w:rsidRDefault="00AF6DA4" w:rsidP="00AF6DA4">
      <w:pPr>
        <w:spacing w:before="120" w:after="120" w:line="276" w:lineRule="auto"/>
        <w:ind w:firstLine="709"/>
        <w:jc w:val="both"/>
        <w:rPr>
          <w:rFonts w:ascii="Verdana" w:eastAsia="Times New Roman" w:hAnsi="Verdana" w:cs="Arial"/>
          <w:lang w:val="es-ES_tradnl" w:eastAsia="es-ES_tradnl"/>
          <w14:ligatures w14:val="standardContextual"/>
        </w:rPr>
      </w:pPr>
      <w:r w:rsidRPr="003F20E6">
        <w:rPr>
          <w:rFonts w:ascii="Verdana" w:eastAsia="Times New Roman" w:hAnsi="Verdana" w:cs="Arial"/>
          <w:lang w:val="es-ES_tradnl" w:eastAsia="es-ES_tradnl"/>
          <w14:ligatures w14:val="standardContextual"/>
        </w:rPr>
        <w:t>El principio de publicidad impone a las autoridades administrativas el deber de dar a conocer sus actos, contratos y decisiones</w:t>
      </w:r>
      <w:r>
        <w:rPr>
          <w:rFonts w:ascii="Verdana" w:eastAsia="Times New Roman" w:hAnsi="Verdana" w:cs="Arial"/>
          <w:lang w:val="es-ES_tradnl" w:eastAsia="es-ES_tradnl"/>
          <w14:ligatures w14:val="standardContextual"/>
        </w:rPr>
        <w:t>,</w:t>
      </w:r>
      <w:r w:rsidRPr="003F20E6">
        <w:rPr>
          <w:rFonts w:ascii="Verdana" w:eastAsia="Times New Roman" w:hAnsi="Verdana" w:cs="Arial"/>
          <w:lang w:val="es-ES_tradnl" w:eastAsia="es-ES_tradnl"/>
          <w14:ligatures w14:val="standardContextual"/>
        </w:rPr>
        <w:t xml:space="preserve"> para que se divulguen y eventualmente se controlen. </w:t>
      </w:r>
      <w:r>
        <w:rPr>
          <w:rFonts w:ascii="Verdana" w:eastAsia="Times New Roman" w:hAnsi="Verdana" w:cs="Arial"/>
          <w:lang w:val="es-ES_tradnl" w:eastAsia="es-ES_tradnl"/>
          <w14:ligatures w14:val="standardContextual"/>
        </w:rPr>
        <w:t>En sintonía con este postulado</w:t>
      </w:r>
      <w:r w:rsidRPr="003F20E6">
        <w:rPr>
          <w:rFonts w:ascii="Verdana" w:eastAsia="Times New Roman" w:hAnsi="Verdana" w:cs="Arial"/>
          <w:lang w:val="es-ES_tradnl" w:eastAsia="es-ES_tradnl"/>
          <w14:ligatures w14:val="standardContextual"/>
        </w:rPr>
        <w:t>,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r w:rsidRPr="003F20E6">
        <w:rPr>
          <w:rFonts w:ascii="Verdana" w:eastAsia="Times New Roman" w:hAnsi="Verdana" w:cs="Arial"/>
          <w:vertAlign w:val="superscript"/>
          <w:lang w:val="es-ES_tradnl" w:eastAsia="es-ES_tradnl"/>
          <w14:ligatures w14:val="standardContextual"/>
        </w:rPr>
        <w:footnoteReference w:id="3"/>
      </w:r>
      <w:r w:rsidRPr="003F20E6">
        <w:rPr>
          <w:rFonts w:ascii="Verdana" w:eastAsia="Times New Roman" w:hAnsi="Verdana" w:cs="Arial"/>
          <w:lang w:val="es-ES_tradnl" w:eastAsia="es-ES_tradnl"/>
          <w14:ligatures w14:val="standardContextual"/>
        </w:rPr>
        <w:t>.</w:t>
      </w:r>
    </w:p>
    <w:p w14:paraId="5757434E" w14:textId="77777777" w:rsidR="00AF6DA4" w:rsidRPr="003F20E6" w:rsidRDefault="00AF6DA4" w:rsidP="00AF6DA4">
      <w:pPr>
        <w:spacing w:before="120" w:after="120" w:line="276" w:lineRule="auto"/>
        <w:ind w:firstLine="709"/>
        <w:jc w:val="both"/>
        <w:rPr>
          <w:rFonts w:ascii="Verdana" w:eastAsia="Times New Roman" w:hAnsi="Verdana" w:cs="Arial"/>
          <w:lang w:val="es-ES_tradnl" w:eastAsia="es-ES_tradnl"/>
          <w14:ligatures w14:val="standardContextual"/>
        </w:rPr>
      </w:pPr>
      <w:r w:rsidRPr="003F20E6">
        <w:rPr>
          <w:rFonts w:ascii="Verdana" w:eastAsia="Times New Roman" w:hAnsi="Verdana" w:cs="Arial"/>
          <w:lang w:val="es-ES_tradnl" w:eastAsia="es-ES_tradnl"/>
          <w14:ligatures w14:val="standardContextual"/>
        </w:rPr>
        <w:t>De otra parte, la Ley 1712 de 2014 –Ley estatutaria que regula la transparencia y el derecho de acceso a la información y a los documentos públicos–, identifica como principios que orientan el derecho de acceso a la información pública, el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003F20E6">
        <w:rPr>
          <w:rFonts w:ascii="Verdana" w:eastAsia="Times New Roman" w:hAnsi="Verdana" w:cs="Arial"/>
          <w:vertAlign w:val="superscript"/>
          <w:lang w:val="es-ES_tradnl" w:eastAsia="es-ES_tradnl"/>
          <w14:ligatures w14:val="standardContextual"/>
        </w:rPr>
        <w:footnoteReference w:id="4"/>
      </w:r>
      <w:r w:rsidRPr="003F20E6">
        <w:rPr>
          <w:rFonts w:ascii="Verdana" w:eastAsia="Times New Roman" w:hAnsi="Verdana" w:cs="Arial"/>
          <w:lang w:val="es-ES_tradnl" w:eastAsia="es-ES_tradnl"/>
          <w14:ligatures w14:val="standardContextual"/>
        </w:rPr>
        <w:t>. El principio de transparencia en la información alude al deber de los sujetos de proporcionar y facilitar el acceso a la misma en los términos más amplios posibles, y a través de los medios y procedimientos legales.</w:t>
      </w:r>
    </w:p>
    <w:p w14:paraId="49BDF82D" w14:textId="77777777" w:rsidR="00AF6DA4" w:rsidRPr="003F20E6" w:rsidRDefault="00AF6DA4" w:rsidP="00AF6DA4">
      <w:pPr>
        <w:spacing w:before="120" w:after="120" w:line="276" w:lineRule="auto"/>
        <w:ind w:firstLine="709"/>
        <w:jc w:val="both"/>
        <w:rPr>
          <w:rFonts w:ascii="Verdana" w:eastAsia="Times New Roman" w:hAnsi="Verdana" w:cs="Arial"/>
          <w:lang w:val="es-ES_tradnl" w:eastAsia="es-ES_tradnl"/>
          <w14:ligatures w14:val="standardContextual"/>
        </w:rPr>
      </w:pPr>
      <w:r w:rsidRPr="003F20E6">
        <w:rPr>
          <w:rFonts w:ascii="Verdana" w:eastAsia="Times New Roman" w:hAnsi="Verdana" w:cs="Arial"/>
          <w:lang w:val="es-ES_tradnl" w:eastAsia="es-ES_tradnl"/>
          <w14:ligatures w14:val="standardContextual"/>
        </w:rPr>
        <w:t>La Ley Estatutaria citada establece, en el literal e) del artículo 9, que los sujetos obligados, que son todas las entidades públicas</w:t>
      </w:r>
      <w:r w:rsidRPr="003F20E6">
        <w:rPr>
          <w:rFonts w:ascii="Verdana" w:eastAsia="Times New Roman" w:hAnsi="Verdana" w:cs="Arial"/>
          <w:vertAlign w:val="superscript"/>
          <w:lang w:val="es-ES_tradnl" w:eastAsia="es-ES_tradnl"/>
          <w14:ligatures w14:val="standardContextual"/>
        </w:rPr>
        <w:footnoteReference w:id="5"/>
      </w:r>
      <w:r w:rsidRPr="003F20E6">
        <w:rPr>
          <w:rFonts w:ascii="Verdana" w:eastAsia="Times New Roman" w:hAnsi="Verdana" w:cs="Arial"/>
          <w:lang w:val="es-ES_tradnl" w:eastAsia="es-ES_tradnl"/>
          <w14:ligatures w14:val="standardContextual"/>
        </w:rPr>
        <w:t xml:space="preserve">, deben publicar la </w:t>
      </w:r>
      <w:r w:rsidRPr="003F20E6">
        <w:rPr>
          <w:rFonts w:ascii="Verdana" w:eastAsia="Times New Roman" w:hAnsi="Verdana" w:cs="Arial"/>
          <w:lang w:val="es-ES_tradnl" w:eastAsia="es-ES_tradnl"/>
          <w14:ligatures w14:val="standardContextual"/>
        </w:rPr>
        <w:lastRenderedPageBreak/>
        <w:t>información relativa a su contratación. Esta obligación fue desarrollada por el Decreto Único Reglamentario 1081 de 2015</w:t>
      </w:r>
      <w:r w:rsidRPr="003F20E6">
        <w:rPr>
          <w:rFonts w:ascii="Verdana" w:eastAsia="Times New Roman" w:hAnsi="Verdana" w:cs="Arial"/>
          <w:vertAlign w:val="superscript"/>
          <w:lang w:val="es-ES_tradnl" w:eastAsia="es-ES_tradnl"/>
          <w14:ligatures w14:val="standardContextual"/>
        </w:rPr>
        <w:footnoteReference w:id="6"/>
      </w:r>
      <w:r w:rsidRPr="003F20E6">
        <w:rPr>
          <w:rFonts w:ascii="Verdana" w:eastAsia="Times New Roman" w:hAnsi="Verdana" w:cs="Arial"/>
          <w:lang w:val="es-ES_tradnl" w:eastAsia="es-ES_tradnl"/>
          <w14:ligatures w14:val="standardContextual"/>
        </w:rPr>
        <w:t>, el cual dispuso que la publicación de la información contractual de los sujetos obligados, que contratan con cargo a recursos públicos, debe hacerse en el SECOP.</w:t>
      </w:r>
    </w:p>
    <w:p w14:paraId="17E6C552" w14:textId="77777777" w:rsidR="00AF6DA4" w:rsidRPr="003F20E6" w:rsidRDefault="00AF6DA4" w:rsidP="00AF6DA4">
      <w:pPr>
        <w:spacing w:before="120" w:after="120" w:line="276" w:lineRule="auto"/>
        <w:ind w:firstLine="709"/>
        <w:jc w:val="both"/>
        <w:rPr>
          <w:rFonts w:ascii="Verdana" w:eastAsia="Times New Roman" w:hAnsi="Verdana" w:cs="Arial"/>
          <w:lang w:val="es-ES_tradnl" w:eastAsia="es-ES_tradnl"/>
          <w14:ligatures w14:val="standardContextual"/>
        </w:rPr>
      </w:pPr>
      <w:r w:rsidRPr="003F20E6">
        <w:rPr>
          <w:rFonts w:ascii="Verdana" w:eastAsia="Times New Roman" w:hAnsi="Verdana" w:cs="Arial"/>
          <w:lang w:val="es-ES_tradnl" w:eastAsia="es-ES_tradnl"/>
          <w14:ligatures w14:val="standardContextual"/>
        </w:rPr>
        <w:t xml:space="preserve">Asimismo, de acuerdo con el literal g) del artículo 11 de la Ley 1712 de 2014, todos los destinatarios de la Ley Estatutaria de Transparencia y Acceso a la Información Pública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0B2C8EA5" w14:textId="77777777" w:rsidR="00AF6DA4" w:rsidRPr="003F20E6" w:rsidRDefault="00AF6DA4" w:rsidP="00AF6DA4">
      <w:pPr>
        <w:spacing w:before="120" w:after="120" w:line="276" w:lineRule="auto"/>
        <w:ind w:firstLine="709"/>
        <w:jc w:val="both"/>
        <w:rPr>
          <w:rFonts w:ascii="Verdana" w:eastAsia="Times New Roman" w:hAnsi="Verdana" w:cs="Arial"/>
          <w:lang w:val="es-ES_tradnl" w:eastAsia="es-ES_tradnl"/>
          <w14:ligatures w14:val="standardContextual"/>
        </w:rPr>
      </w:pPr>
      <w:r w:rsidRPr="003F20E6">
        <w:rPr>
          <w:rFonts w:ascii="Verdana" w:eastAsia="Times New Roman" w:hAnsi="Verdana" w:cs="Arial"/>
          <w:lang w:val="es-ES_tradnl" w:eastAsia="es-ES_tradnl"/>
          <w14:ligatures w14:val="standardContextua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Pr="003F20E6">
        <w:rPr>
          <w:rFonts w:ascii="Verdana" w:eastAsia="Times New Roman" w:hAnsi="Verdana" w:cs="Arial"/>
          <w:vertAlign w:val="superscript"/>
          <w:lang w:val="es-ES_tradnl" w:eastAsia="es-ES_tradnl"/>
          <w14:ligatures w14:val="standardContextual"/>
        </w:rPr>
        <w:footnoteReference w:id="7"/>
      </w:r>
      <w:r w:rsidRPr="003F20E6">
        <w:rPr>
          <w:rFonts w:ascii="Verdana" w:eastAsia="Times New Roman" w:hAnsi="Verdana" w:cs="Arial"/>
          <w:lang w:val="es-ES_tradnl" w:eastAsia="es-ES_tradnl"/>
          <w14:ligatures w14:val="standardContextual"/>
        </w:rPr>
        <w:t xml:space="preserve">. En ese contexto, las Entidades Estatales, conforme al artículo 2.2.1.1.1.7.1 del Decreto 1082 de 2015, tienen la obligación de publicar en el SECOP “[…] los Documentos del Proceso y los actos administrativos del Proceso de Contratación, </w:t>
      </w:r>
      <w:r w:rsidRPr="00E47CAB">
        <w:rPr>
          <w:rFonts w:ascii="Verdana" w:eastAsia="Times New Roman" w:hAnsi="Verdana" w:cs="Arial"/>
          <w:i/>
          <w:iCs/>
          <w:lang w:val="es-ES_tradnl" w:eastAsia="es-ES_tradnl"/>
          <w14:ligatures w14:val="standardContextual"/>
        </w:rPr>
        <w:t>dentro de los tres (3) días siguientes a su expedición</w:t>
      </w:r>
      <w:r w:rsidRPr="003F20E6">
        <w:rPr>
          <w:rFonts w:ascii="Verdana" w:eastAsia="Times New Roman" w:hAnsi="Verdana" w:cs="Arial"/>
          <w:lang w:val="es-ES_tradnl" w:eastAsia="es-ES_tradnl"/>
          <w14:ligatures w14:val="standardContextual"/>
        </w:rPr>
        <w:t xml:space="preserve"> […]”</w:t>
      </w:r>
      <w:r>
        <w:rPr>
          <w:rFonts w:ascii="Verdana" w:eastAsia="Times New Roman" w:hAnsi="Verdana" w:cs="Arial"/>
          <w:lang w:val="es-ES_tradnl" w:eastAsia="es-ES_tradnl"/>
          <w14:ligatures w14:val="standardContextual"/>
        </w:rPr>
        <w:t xml:space="preserve"> (Énfasis fuera del texto original)</w:t>
      </w:r>
      <w:r w:rsidRPr="003F20E6">
        <w:rPr>
          <w:rFonts w:ascii="Verdana" w:eastAsia="Times New Roman" w:hAnsi="Verdana" w:cs="Arial"/>
          <w:lang w:val="es-ES_tradnl" w:eastAsia="es-ES_tradnl"/>
          <w14:ligatures w14:val="standardContextual"/>
        </w:rPr>
        <w:t>.</w:t>
      </w:r>
    </w:p>
    <w:p w14:paraId="4768F7BA" w14:textId="77777777" w:rsidR="00AF6DA4" w:rsidRPr="003F20E6" w:rsidRDefault="00AF6DA4" w:rsidP="00AF6DA4">
      <w:pPr>
        <w:tabs>
          <w:tab w:val="left" w:pos="709"/>
        </w:tabs>
        <w:spacing w:before="120" w:after="0" w:line="276" w:lineRule="auto"/>
        <w:ind w:firstLine="709"/>
        <w:jc w:val="both"/>
        <w:rPr>
          <w:rFonts w:ascii="Verdana" w:hAnsi="Verdana" w:cs="Arial"/>
          <w:shd w:val="clear" w:color="auto" w:fill="FFFFFF"/>
        </w:rPr>
      </w:pPr>
      <w:r w:rsidRPr="003F20E6">
        <w:rPr>
          <w:rFonts w:ascii="Verdana" w:hAnsi="Verdana" w:cs="Arial"/>
          <w:shd w:val="clear" w:color="auto" w:fill="FFFFFF"/>
        </w:rPr>
        <w:t xml:space="preserve">La expresión </w:t>
      </w:r>
      <w:r w:rsidRPr="003F20E6">
        <w:rPr>
          <w:rFonts w:ascii="Verdana" w:hAnsi="Verdana" w:cs="Arial"/>
          <w:i/>
          <w:iCs/>
          <w:shd w:val="clear" w:color="auto" w:fill="FFFFFF"/>
        </w:rPr>
        <w:t xml:space="preserve">Documentos del Proceso </w:t>
      </w:r>
      <w:r w:rsidRPr="003F20E6">
        <w:rPr>
          <w:rFonts w:ascii="Verdana" w:hAnsi="Verdana" w:cs="Arial"/>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3F20E6">
        <w:rPr>
          <w:rFonts w:ascii="Verdana" w:hAnsi="Verdana" w:cs="Arial"/>
          <w:i/>
          <w:iCs/>
          <w:shd w:val="clear" w:color="auto" w:fill="FFFFFF"/>
        </w:rPr>
        <w:t>y cualquier otro documento expedido por la Entidad Estatal durante el Proceso de Contratación</w:t>
      </w:r>
      <w:r w:rsidRPr="003F20E6">
        <w:rPr>
          <w:rFonts w:ascii="Verdana" w:hAnsi="Verdana" w:cs="Arial"/>
          <w:shd w:val="clear" w:color="auto" w:fill="FFFFFF"/>
        </w:rPr>
        <w:t xml:space="preserve">”. </w:t>
      </w:r>
      <w:r>
        <w:rPr>
          <w:rFonts w:ascii="Verdana" w:hAnsi="Verdana" w:cs="Arial"/>
          <w:shd w:val="clear" w:color="auto" w:fill="FFFFFF"/>
        </w:rPr>
        <w:t>(</w:t>
      </w:r>
      <w:r w:rsidRPr="003F20E6">
        <w:rPr>
          <w:rFonts w:ascii="Verdana" w:hAnsi="Verdana" w:cs="Arial"/>
          <w:shd w:val="clear" w:color="auto" w:fill="FFFFFF"/>
        </w:rPr>
        <w:t>Énfasis fuera de texto</w:t>
      </w:r>
      <w:r>
        <w:rPr>
          <w:rFonts w:ascii="Verdana" w:hAnsi="Verdana" w:cs="Arial"/>
          <w:shd w:val="clear" w:color="auto" w:fill="FFFFFF"/>
        </w:rPr>
        <w:t>).</w:t>
      </w:r>
    </w:p>
    <w:p w14:paraId="20F485B8" w14:textId="77777777" w:rsidR="00AF6DA4" w:rsidRPr="003F20E6" w:rsidRDefault="00AF6DA4" w:rsidP="00AF6DA4">
      <w:pPr>
        <w:tabs>
          <w:tab w:val="left" w:pos="709"/>
        </w:tabs>
        <w:spacing w:before="120" w:after="0" w:line="276" w:lineRule="auto"/>
        <w:ind w:firstLine="709"/>
        <w:jc w:val="both"/>
        <w:rPr>
          <w:rFonts w:ascii="Verdana" w:hAnsi="Verdana" w:cs="Arial"/>
          <w:shd w:val="clear" w:color="auto" w:fill="FFFFFF"/>
        </w:rPr>
      </w:pPr>
      <w:r w:rsidRPr="003F20E6">
        <w:rPr>
          <w:rFonts w:ascii="Verdana" w:hAnsi="Verdana" w:cs="Arial"/>
          <w:shd w:val="clear" w:color="auto" w:fill="FFFFFF"/>
        </w:rPr>
        <w:t xml:space="preserve">Sin embargo, para identificar los documentos que deben publicarse, es necesario realizar una interpretación sistemática de las disposiciones del Decreto </w:t>
      </w:r>
      <w:r w:rsidRPr="003F20E6">
        <w:rPr>
          <w:rFonts w:ascii="Verdana" w:hAnsi="Verdana" w:cs="Arial"/>
          <w:shd w:val="clear" w:color="auto" w:fill="FFFFFF"/>
        </w:rPr>
        <w:lastRenderedPageBreak/>
        <w:t xml:space="preserve">1082 del 2015, comoquiera que el anterior no es un listado taxativo, sino enunciativo, porque además de los documentos enlistados, el artículo 2.2.1.1.1.3.1 </w:t>
      </w:r>
      <w:r w:rsidRPr="003F20E6">
        <w:rPr>
          <w:rFonts w:ascii="Verdana" w:hAnsi="Verdana" w:cs="Arial"/>
          <w:i/>
          <w:iCs/>
          <w:shd w:val="clear" w:color="auto" w:fill="FFFFFF"/>
        </w:rPr>
        <w:t>Ibidem</w:t>
      </w:r>
      <w:r w:rsidRPr="003F20E6">
        <w:rPr>
          <w:rFonts w:ascii="Verdana" w:hAnsi="Verdana" w:cs="Arial"/>
          <w:shd w:val="clear" w:color="auto" w:fill="FFFFFF"/>
        </w:rPr>
        <w:t xml:space="preserve"> recoge en la noción de Documentos del Proceso “cualquier otro documento expedido por la Entidad Estatal dura</w:t>
      </w:r>
      <w:r>
        <w:rPr>
          <w:rFonts w:ascii="Verdana" w:hAnsi="Verdana" w:cs="Arial"/>
          <w:shd w:val="clear" w:color="auto" w:fill="FFFFFF"/>
        </w:rPr>
        <w:t xml:space="preserve">nte el Proceso de Contratación”, esto es, aquellos documentos definitivos que se desarrollan dentro del proceso de contratación. </w:t>
      </w:r>
      <w:r w:rsidRPr="003F20E6">
        <w:rPr>
          <w:rFonts w:ascii="Verdana" w:hAnsi="Verdana" w:cs="Arial"/>
          <w:shd w:val="clear" w:color="auto" w:fill="FFFFFF"/>
        </w:rPr>
        <w:t xml:space="preserve"> </w:t>
      </w:r>
    </w:p>
    <w:p w14:paraId="5FBAB3F1" w14:textId="77777777" w:rsidR="00AF6DA4" w:rsidRPr="003F20E6" w:rsidRDefault="00AF6DA4" w:rsidP="00AF6DA4">
      <w:pPr>
        <w:tabs>
          <w:tab w:val="left" w:pos="709"/>
        </w:tabs>
        <w:spacing w:before="120" w:after="0" w:line="276" w:lineRule="auto"/>
        <w:ind w:firstLine="709"/>
        <w:jc w:val="both"/>
        <w:rPr>
          <w:rFonts w:ascii="Verdana" w:hAnsi="Verdana" w:cs="Arial"/>
          <w:shd w:val="clear" w:color="auto" w:fill="FFFFFF"/>
        </w:rPr>
      </w:pPr>
      <w:r w:rsidRPr="003F20E6">
        <w:rPr>
          <w:rFonts w:ascii="Verdana" w:hAnsi="Verdana" w:cs="Arial"/>
          <w:shd w:val="clear" w:color="auto" w:fill="FFFFFF"/>
        </w:rPr>
        <w:t>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se refiere a los documentos “expedidos por la entidad estatal” durante el Proceso de Contratación, excluyendo de la noción de Documentos del Proceso los expedidos por un sujeto distinto a la entidad, salvo la oferta, la cual se incluye expresamente en el referido artículo 2.2.1.1.1.3.</w:t>
      </w:r>
    </w:p>
    <w:p w14:paraId="18960510" w14:textId="77777777" w:rsidR="00AF6DA4" w:rsidRDefault="00AF6DA4" w:rsidP="00AF6DA4">
      <w:pPr>
        <w:tabs>
          <w:tab w:val="left" w:pos="709"/>
        </w:tabs>
        <w:spacing w:before="120" w:after="120" w:line="276" w:lineRule="auto"/>
        <w:ind w:firstLine="709"/>
        <w:jc w:val="both"/>
        <w:rPr>
          <w:rFonts w:ascii="Verdana" w:hAnsi="Verdana" w:cs="Arial"/>
          <w:shd w:val="clear" w:color="auto" w:fill="FFFFFF"/>
        </w:rPr>
      </w:pPr>
      <w:r w:rsidRPr="003F20E6">
        <w:rPr>
          <w:rFonts w:ascii="Verdana" w:hAnsi="Verdana" w:cs="Arial"/>
          <w:shd w:val="clear" w:color="auto" w:fill="FFFFFF"/>
        </w:rPr>
        <w:t>En ese sentido, la interpretación sistemática de los preceptos del Decreto 1082 de 2015, de acuerdo con el principio de publicidad, inicialmente, indica que las Entidades Estatales tienen la obligación de publicar todos los documentos que expidan con ocasión del Proceso de Contratación, es decir</w:t>
      </w:r>
      <w:r>
        <w:rPr>
          <w:rFonts w:ascii="Verdana" w:hAnsi="Verdana" w:cs="Arial"/>
          <w:shd w:val="clear" w:color="auto" w:fill="FFFFFF"/>
        </w:rPr>
        <w:t>,</w:t>
      </w:r>
      <w:r w:rsidRPr="003F20E6">
        <w:rPr>
          <w:rFonts w:ascii="Verdana" w:hAnsi="Verdana" w:cs="Arial"/>
          <w:shd w:val="clear" w:color="auto" w:fill="FFFFFF"/>
        </w:rPr>
        <w:t xml:space="preserve"> que todos los documentos expedidos por la entidad durante las etapas precontractual, de ejecución y </w:t>
      </w:r>
      <w:proofErr w:type="spellStart"/>
      <w:r w:rsidRPr="003F20E6">
        <w:rPr>
          <w:rFonts w:ascii="Verdana" w:hAnsi="Verdana" w:cs="Arial"/>
          <w:shd w:val="clear" w:color="auto" w:fill="FFFFFF"/>
        </w:rPr>
        <w:t>postcontractual</w:t>
      </w:r>
      <w:proofErr w:type="spellEnd"/>
      <w:r w:rsidRPr="003F20E6">
        <w:rPr>
          <w:rFonts w:ascii="Verdana" w:hAnsi="Verdana" w:cs="Arial"/>
          <w:shd w:val="clear" w:color="auto" w:fill="FFFFFF"/>
        </w:rPr>
        <w:t xml:space="preserve"> deberán publicarse en SECOP dentro de los tres (3) días siguientes a su expedición, para cumplir el deber de publicidad regulado por el artículo 2.2.1.1.1.7.1. del Decreto 1082 de 2015.</w:t>
      </w:r>
    </w:p>
    <w:p w14:paraId="4E4CE87D" w14:textId="77777777" w:rsidR="00AF6DA4" w:rsidRPr="003F20E6" w:rsidRDefault="00AF6DA4" w:rsidP="00AF6DA4">
      <w:pPr>
        <w:tabs>
          <w:tab w:val="left" w:pos="709"/>
        </w:tabs>
        <w:spacing w:before="120" w:after="120" w:line="276" w:lineRule="auto"/>
        <w:ind w:firstLine="709"/>
        <w:jc w:val="both"/>
        <w:rPr>
          <w:rFonts w:ascii="Verdana" w:hAnsi="Verdana" w:cs="Arial"/>
          <w:shd w:val="clear" w:color="auto" w:fill="FFFFFF"/>
        </w:rPr>
      </w:pPr>
      <w:r>
        <w:rPr>
          <w:rFonts w:ascii="Verdana" w:hAnsi="Verdana" w:cs="Arial"/>
          <w:shd w:val="clear" w:color="auto" w:fill="FFFFFF"/>
        </w:rPr>
        <w:t xml:space="preserve">Con respecto a lo expuesto, los documentos de ejecución hacen parte de los Documentos del Proceso de Contratación, los cuales son aquellos que permiten el seguimiento y control del cumplimiento del contrato, una vez se hayan sido celebrado entre una entidad pública y el contratista. Es decir, son aquellos documentos que detallan y soportan la fase contractual y </w:t>
      </w:r>
      <w:proofErr w:type="spellStart"/>
      <w:r>
        <w:rPr>
          <w:rFonts w:ascii="Verdana" w:hAnsi="Verdana" w:cs="Arial"/>
          <w:shd w:val="clear" w:color="auto" w:fill="FFFFFF"/>
        </w:rPr>
        <w:t>poscontractual</w:t>
      </w:r>
      <w:proofErr w:type="spellEnd"/>
      <w:r>
        <w:rPr>
          <w:rFonts w:ascii="Verdana" w:hAnsi="Verdana" w:cs="Arial"/>
          <w:shd w:val="clear" w:color="auto" w:fill="FFFFFF"/>
        </w:rPr>
        <w:t xml:space="preserve"> que empieza desde la celebración del contrato hasta su liquidación. Al respecto, se destaca los informes de supervisión contractual, requerimientos de la supervisión, las garantías que amparan el contrato y que permiten el inicio de ejecución contractual, el registro presupuestal, las solicitud de ampliación de coberturas de pólizas para efectos de liquidación contractual, así como los soportes de pago, </w:t>
      </w:r>
      <w:r w:rsidRPr="003A757E">
        <w:rPr>
          <w:rFonts w:ascii="Verdana" w:hAnsi="Verdana" w:cs="Arial"/>
          <w:shd w:val="clear" w:color="auto" w:fill="FFFFFF"/>
        </w:rPr>
        <w:t xml:space="preserve">porque evidencian el cumplimiento de las </w:t>
      </w:r>
      <w:r w:rsidRPr="003A757E">
        <w:rPr>
          <w:rFonts w:ascii="Verdana" w:hAnsi="Verdana" w:cs="Arial"/>
          <w:shd w:val="clear" w:color="auto" w:fill="FFFFFF"/>
        </w:rPr>
        <w:lastRenderedPageBreak/>
        <w:t>obligaciones financieras pactadas en el contrato</w:t>
      </w:r>
      <w:r>
        <w:rPr>
          <w:rFonts w:ascii="Verdana" w:hAnsi="Verdana" w:cs="Arial"/>
          <w:shd w:val="clear" w:color="auto" w:fill="FFFFFF"/>
        </w:rPr>
        <w:t xml:space="preserve">, entre otros documentos que estén en el marco de la ejecución de las obligaciones del contrato.  </w:t>
      </w:r>
    </w:p>
    <w:p w14:paraId="777FEDA8" w14:textId="77777777" w:rsidR="00AF6DA4" w:rsidRPr="003F20E6" w:rsidRDefault="00AF6DA4" w:rsidP="00AF6DA4">
      <w:pPr>
        <w:tabs>
          <w:tab w:val="left" w:pos="709"/>
        </w:tabs>
        <w:spacing w:before="120" w:after="120" w:line="276" w:lineRule="auto"/>
        <w:ind w:firstLine="709"/>
        <w:jc w:val="both"/>
        <w:rPr>
          <w:rFonts w:ascii="Verdana" w:hAnsi="Verdana" w:cs="Arial"/>
          <w:shd w:val="clear" w:color="auto" w:fill="FFFFFF"/>
        </w:rPr>
      </w:pPr>
      <w:r w:rsidRPr="003F20E6">
        <w:rPr>
          <w:rFonts w:ascii="Verdana" w:hAnsi="Verdana" w:cs="Arial"/>
          <w:shd w:val="clear" w:color="auto" w:fill="FFFFFF"/>
        </w:rPr>
        <w:t>Con el propósito de garantizar el cumplimiento del mencionado deber de publicidad, se le asignó a la Agencia Nacional de Contratación Pública - Colombia Compra Eficiente, la función de administrar el SECOP</w:t>
      </w:r>
      <w:r w:rsidRPr="003F20E6">
        <w:rPr>
          <w:rFonts w:ascii="Verdana" w:hAnsi="Verdana" w:cs="Arial"/>
          <w:shd w:val="clear" w:color="auto" w:fill="FFFFFF"/>
          <w:vertAlign w:val="superscript"/>
        </w:rPr>
        <w:footnoteReference w:id="8"/>
      </w:r>
      <w:r w:rsidRPr="003F20E6">
        <w:rPr>
          <w:rFonts w:ascii="Verdana" w:hAnsi="Verdana" w:cs="Arial"/>
          <w:shd w:val="clear" w:color="auto" w:fill="FFFFFF"/>
        </w:rPr>
        <w:t>. Dicha plataforma ha tenido dos versiones, esto es, el SECOP I y el SECOP II. La primera versión de la plataforma –SECOP I–, sólo funciona como medio de publicidad, es decir, no es transaccional, lo que significa que el procedimiento contractual ocurre fuera de la plataforma y a través de un expediente físico en la entidad, pero las actuaciones y los documentos se convierten en electrónicos para ser cargados a la plataforma, por quien tenga la función dentro de la entidad, de acuerdo con su organización interna.</w:t>
      </w:r>
    </w:p>
    <w:p w14:paraId="01CD359B" w14:textId="77777777" w:rsidR="00AF6DA4" w:rsidRPr="003F20E6" w:rsidRDefault="00AF6DA4" w:rsidP="00AF6DA4">
      <w:pPr>
        <w:tabs>
          <w:tab w:val="left" w:pos="709"/>
        </w:tabs>
        <w:spacing w:before="120" w:after="120" w:line="276" w:lineRule="auto"/>
        <w:ind w:firstLine="709"/>
        <w:jc w:val="both"/>
        <w:rPr>
          <w:rFonts w:ascii="Verdana" w:hAnsi="Verdana" w:cs="Arial"/>
          <w:shd w:val="clear" w:color="auto" w:fill="FFFFFF"/>
        </w:rPr>
      </w:pPr>
      <w:r w:rsidRPr="003F20E6">
        <w:rPr>
          <w:rFonts w:ascii="Verdana" w:hAnsi="Verdana" w:cs="Arial"/>
          <w:shd w:val="clear" w:color="auto" w:fill="FFFFFF"/>
        </w:rPr>
        <w:t>En cambio, el SECOP II, es una plataforma transaccional que permite gestionar en línea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388E1A41" w14:textId="77777777" w:rsidR="00AF6DA4" w:rsidRDefault="00AF6DA4" w:rsidP="00AF6DA4">
      <w:pPr>
        <w:spacing w:line="276" w:lineRule="auto"/>
        <w:ind w:firstLine="567"/>
        <w:jc w:val="both"/>
        <w:rPr>
          <w:rFonts w:ascii="Verdana" w:hAnsi="Verdana" w:cs="Arial"/>
          <w:color w:val="000000"/>
        </w:rPr>
      </w:pPr>
      <w:r w:rsidRPr="00D92626">
        <w:rPr>
          <w:rFonts w:ascii="Verdana" w:eastAsia="Calibri" w:hAnsi="Verdana" w:cs="Arial"/>
          <w:lang w:val="es-ES"/>
        </w:rPr>
        <w:t>En este sentido, en el SECOP II el procedimiento contractual se desarrolla en línea y dentro de la plataforma, conformándose un expediente electrónico, lo cual denota una diferencia con el SECOP I, donde el procedimiento es físico, esto es, con documentos escritos que se publican para cumplir las obligaciones de las entidades antes señaladas. Al existir esa diferencia entre las dos versiones del SECOP, no es posible realizar en SECOP II actuaciones por escrito que son propias del SECOP I, sino que los documentos y actuaciones son electrónicas.</w:t>
      </w:r>
      <w:r w:rsidRPr="00E31876">
        <w:rPr>
          <w:rFonts w:ascii="Verdana" w:hAnsi="Verdana" w:cs="Arial"/>
          <w:color w:val="000000"/>
        </w:rPr>
        <w:t xml:space="preserve"> </w:t>
      </w:r>
      <w:r w:rsidRPr="00C472F8">
        <w:rPr>
          <w:rFonts w:ascii="Verdana" w:hAnsi="Verdana" w:cs="Arial"/>
          <w:color w:val="000000"/>
        </w:rPr>
        <w:t>Es decir, el SECOP</w:t>
      </w:r>
      <w:r>
        <w:rPr>
          <w:rFonts w:ascii="Verdana" w:hAnsi="Verdana" w:cs="Arial"/>
          <w:color w:val="000000"/>
        </w:rPr>
        <w:t xml:space="preserve"> II</w:t>
      </w:r>
      <w:r w:rsidRPr="00C472F8">
        <w:rPr>
          <w:rFonts w:ascii="Verdana" w:hAnsi="Verdana" w:cs="Arial"/>
          <w:color w:val="000000"/>
        </w:rPr>
        <w:t xml:space="preserve"> se convierte en un instrumento para aplicar las etapas, formalidades que se presentan en el marco de las etapas del proceso de contratación. </w:t>
      </w:r>
    </w:p>
    <w:p w14:paraId="3E920A21" w14:textId="77777777" w:rsidR="00AF6DA4" w:rsidRPr="00EB074D" w:rsidRDefault="00AF6DA4" w:rsidP="00AF6DA4">
      <w:pPr>
        <w:spacing w:line="276" w:lineRule="auto"/>
        <w:ind w:firstLine="567"/>
        <w:jc w:val="both"/>
        <w:rPr>
          <w:rFonts w:ascii="Verdana" w:hAnsi="Verdana" w:cs="Arial"/>
          <w:color w:val="000000"/>
        </w:rPr>
      </w:pPr>
      <w:r w:rsidRPr="00C472F8">
        <w:rPr>
          <w:rFonts w:ascii="Verdana" w:hAnsi="Verdana" w:cs="Arial"/>
          <w:color w:val="000000"/>
        </w:rPr>
        <w:t>E</w:t>
      </w:r>
      <w:r>
        <w:rPr>
          <w:rFonts w:ascii="Verdana" w:hAnsi="Verdana" w:cs="Arial"/>
          <w:color w:val="000000"/>
        </w:rPr>
        <w:t>n esta línea, el artículo 53 de la Ley 1437 de 2011 –en adelante</w:t>
      </w:r>
      <w:r w:rsidRPr="00C472F8">
        <w:rPr>
          <w:rFonts w:ascii="Verdana" w:hAnsi="Verdana" w:cs="Arial"/>
          <w:color w:val="000000"/>
        </w:rPr>
        <w:t xml:space="preserve"> CPACA</w:t>
      </w:r>
      <w:r>
        <w:rPr>
          <w:rFonts w:ascii="Verdana" w:hAnsi="Verdana" w:cs="Arial"/>
          <w:color w:val="000000"/>
        </w:rPr>
        <w:t>-</w:t>
      </w:r>
      <w:r w:rsidRPr="00C472F8">
        <w:rPr>
          <w:rFonts w:ascii="Verdana" w:hAnsi="Verdana" w:cs="Arial"/>
          <w:color w:val="000000"/>
        </w:rPr>
        <w:t xml:space="preserve"> dispone que los procedimientos y trámites administrativos pueden realizarse por </w:t>
      </w:r>
      <w:r w:rsidRPr="00C472F8">
        <w:rPr>
          <w:rFonts w:ascii="Verdana" w:hAnsi="Verdana" w:cs="Arial"/>
          <w:color w:val="000000"/>
        </w:rPr>
        <w:lastRenderedPageBreak/>
        <w:t xml:space="preserve">medios electrónicos, que se aplicarán </w:t>
      </w:r>
      <w:proofErr w:type="gramStart"/>
      <w:r w:rsidRPr="00C472F8">
        <w:rPr>
          <w:rFonts w:ascii="Verdana" w:hAnsi="Verdana" w:cs="Arial"/>
          <w:color w:val="000000"/>
        </w:rPr>
        <w:t>de acuerdo a</w:t>
      </w:r>
      <w:proofErr w:type="gramEnd"/>
      <w:r w:rsidRPr="00C472F8">
        <w:rPr>
          <w:rFonts w:ascii="Verdana" w:hAnsi="Verdana" w:cs="Arial"/>
          <w:color w:val="000000"/>
        </w:rPr>
        <w:t xml:space="preserve"> su compatibilidad con la Ley 527 de 1999.</w:t>
      </w:r>
      <w:r>
        <w:rPr>
          <w:rFonts w:ascii="Verdana" w:hAnsi="Verdana" w:cs="Arial"/>
          <w:color w:val="000000"/>
        </w:rPr>
        <w:t xml:space="preserve"> </w:t>
      </w:r>
      <w:r w:rsidRPr="00E31876">
        <w:rPr>
          <w:rFonts w:ascii="Verdana" w:hAnsi="Verdana" w:cs="Arial"/>
          <w:color w:val="000000"/>
        </w:rPr>
        <w:t>A partir de lo anterior, el CPACA establece reglas básicas para el uso de los medios electrónicos en los procedimientos administrativos, en las que se destaca: i) los documentos públicos en medios electrónicos que tienen la validez y fuerza probatoria que le confiere el Código General del Proceso –artículo 55–</w:t>
      </w:r>
      <w:r w:rsidRPr="00E31876">
        <w:rPr>
          <w:rFonts w:ascii="Verdana" w:hAnsi="Verdana" w:cs="Arial"/>
          <w:color w:val="000000"/>
          <w:vertAlign w:val="superscript"/>
        </w:rPr>
        <w:footnoteReference w:id="9"/>
      </w:r>
      <w:r w:rsidRPr="00E31876">
        <w:rPr>
          <w:rFonts w:ascii="Verdana" w:hAnsi="Verdana" w:cs="Arial"/>
          <w:color w:val="000000"/>
        </w:rPr>
        <w:t xml:space="preserve">; </w:t>
      </w:r>
      <w:proofErr w:type="spellStart"/>
      <w:r w:rsidRPr="00E31876">
        <w:rPr>
          <w:rFonts w:ascii="Verdana" w:hAnsi="Verdana" w:cs="Arial"/>
          <w:color w:val="000000"/>
        </w:rPr>
        <w:t>ii</w:t>
      </w:r>
      <w:proofErr w:type="spellEnd"/>
      <w:r w:rsidRPr="00E31876">
        <w:rPr>
          <w:rFonts w:ascii="Verdana" w:hAnsi="Verdana" w:cs="Arial"/>
          <w:color w:val="000000"/>
        </w:rPr>
        <w:t>) la expedición de actos administrativos electrónicos –artículo 57–</w:t>
      </w:r>
      <w:r w:rsidRPr="00E31876">
        <w:rPr>
          <w:rFonts w:ascii="Verdana" w:hAnsi="Verdana" w:cs="Arial"/>
          <w:color w:val="000000"/>
          <w:vertAlign w:val="superscript"/>
        </w:rPr>
        <w:footnoteReference w:id="10"/>
      </w:r>
      <w:r w:rsidRPr="00E31876">
        <w:rPr>
          <w:rFonts w:ascii="Verdana" w:hAnsi="Verdana" w:cs="Arial"/>
          <w:color w:val="000000"/>
        </w:rPr>
        <w:t xml:space="preserve">; </w:t>
      </w:r>
      <w:proofErr w:type="spellStart"/>
      <w:r w:rsidRPr="00E31876">
        <w:rPr>
          <w:rFonts w:ascii="Verdana" w:hAnsi="Verdana" w:cs="Arial"/>
          <w:color w:val="000000"/>
        </w:rPr>
        <w:t>iii</w:t>
      </w:r>
      <w:proofErr w:type="spellEnd"/>
      <w:r w:rsidRPr="00E31876">
        <w:rPr>
          <w:rFonts w:ascii="Verdana" w:hAnsi="Verdana" w:cs="Arial"/>
          <w:color w:val="000000"/>
        </w:rPr>
        <w:t>) el archivo electrónico de documentos –artículo 58–</w:t>
      </w:r>
      <w:r w:rsidRPr="00E31876">
        <w:rPr>
          <w:rFonts w:ascii="Verdana" w:hAnsi="Verdana" w:cs="Arial"/>
          <w:color w:val="000000"/>
          <w:vertAlign w:val="superscript"/>
        </w:rPr>
        <w:footnoteReference w:id="11"/>
      </w:r>
      <w:r w:rsidRPr="00E31876">
        <w:rPr>
          <w:rFonts w:ascii="Verdana" w:hAnsi="Verdana" w:cs="Arial"/>
          <w:color w:val="000000"/>
        </w:rPr>
        <w:t xml:space="preserve">; </w:t>
      </w:r>
      <w:proofErr w:type="spellStart"/>
      <w:r w:rsidRPr="00E31876">
        <w:rPr>
          <w:rFonts w:ascii="Verdana" w:hAnsi="Verdana" w:cs="Arial"/>
          <w:color w:val="000000"/>
        </w:rPr>
        <w:t>iv</w:t>
      </w:r>
      <w:proofErr w:type="spellEnd"/>
      <w:r w:rsidRPr="00E31876">
        <w:rPr>
          <w:rFonts w:ascii="Verdana" w:hAnsi="Verdana" w:cs="Arial"/>
          <w:color w:val="000000"/>
        </w:rPr>
        <w:t>) la recepción de documentos electrónicos por parte de las autoridades –artículo 61</w:t>
      </w:r>
      <w:r w:rsidRPr="00E31876">
        <w:rPr>
          <w:rFonts w:ascii="Verdana" w:hAnsi="Verdana" w:cs="Arial"/>
          <w:color w:val="000000"/>
          <w:vertAlign w:val="superscript"/>
        </w:rPr>
        <w:footnoteReference w:id="12"/>
      </w:r>
      <w:r w:rsidRPr="00E31876">
        <w:rPr>
          <w:rFonts w:ascii="Verdana" w:hAnsi="Verdana" w:cs="Arial"/>
          <w:color w:val="000000"/>
        </w:rPr>
        <w:t xml:space="preserve">, entre otros. </w:t>
      </w:r>
    </w:p>
    <w:p w14:paraId="039B6EA8" w14:textId="77777777" w:rsidR="00AF6DA4" w:rsidRDefault="00AF6DA4" w:rsidP="00AF6DA4">
      <w:pPr>
        <w:spacing w:line="276" w:lineRule="auto"/>
        <w:ind w:firstLine="567"/>
        <w:jc w:val="both"/>
        <w:rPr>
          <w:rFonts w:ascii="Verdana" w:eastAsia="Calibri" w:hAnsi="Verdana" w:cs="Arial"/>
          <w:lang w:val="es-ES"/>
        </w:rPr>
      </w:pPr>
      <w:r w:rsidRPr="00D92626">
        <w:rPr>
          <w:rFonts w:ascii="Verdana" w:eastAsia="Calibri" w:hAnsi="Verdana" w:cs="Arial"/>
          <w:lang w:val="es-ES"/>
        </w:rPr>
        <w:t>Debido a que la plataforma es totalmente transaccional, el trámite se realiza en línea y la publicidad de las actuaciones es concomitante, según transcurran cada una de las etapas del procedimiento, lo que descarta la necesidad de carg</w:t>
      </w:r>
      <w:r>
        <w:rPr>
          <w:rFonts w:ascii="Verdana" w:eastAsia="Calibri" w:hAnsi="Verdana" w:cs="Arial"/>
          <w:lang w:val="es-ES"/>
        </w:rPr>
        <w:t>ar documentación alguna, salvo determinadas</w:t>
      </w:r>
      <w:r w:rsidRPr="00D92626">
        <w:rPr>
          <w:rFonts w:ascii="Verdana" w:eastAsia="Calibri" w:hAnsi="Verdana" w:cs="Arial"/>
          <w:lang w:val="es-ES"/>
        </w:rPr>
        <w:t xml:space="preserve"> excepciones. Además, de acuerdo con lo prescrito en el artículo 14 de la Ley 527 de 1999, en la formación del contrato, salvo acuerdo expreso entre las partes, la oferta y su aceptación podrán expresarse por medio de un mensaje de datos, lo que implica que </w:t>
      </w:r>
      <w:r>
        <w:rPr>
          <w:rFonts w:ascii="Verdana" w:eastAsia="Calibri" w:hAnsi="Verdana" w:cs="Arial"/>
          <w:lang w:val="es-ES"/>
        </w:rPr>
        <w:t>n</w:t>
      </w:r>
      <w:r w:rsidRPr="00D92626">
        <w:rPr>
          <w:rFonts w:ascii="Verdana" w:eastAsia="Calibri" w:hAnsi="Verdana" w:cs="Arial"/>
          <w:lang w:val="es-ES"/>
        </w:rPr>
        <w:t xml:space="preserve">o se negará validez o fuerza obligatoria a un contrato por la sola razón de haberse utilizado en su formación uno o más mensajes de datos. Igualmente, el artículo 22 </w:t>
      </w:r>
      <w:proofErr w:type="spellStart"/>
      <w:r w:rsidRPr="00D92626">
        <w:rPr>
          <w:rFonts w:ascii="Verdana" w:eastAsia="Calibri" w:hAnsi="Verdana" w:cs="Arial"/>
          <w:lang w:val="es-ES"/>
        </w:rPr>
        <w:t>ibídem</w:t>
      </w:r>
      <w:proofErr w:type="spellEnd"/>
      <w:r w:rsidRPr="00D92626">
        <w:rPr>
          <w:rFonts w:ascii="Verdana" w:eastAsia="Calibri" w:hAnsi="Verdana" w:cs="Arial"/>
          <w:lang w:val="es-ES"/>
        </w:rPr>
        <w:t xml:space="preserve"> dispone que los contratos electrónicos compuestos por mensajes de datos tienen los efectos jurídicos según las normas aplicables al negocio jurídico contenido en dichos mensajes, esto es, las normas que regulan el sistema de contratación pública. </w:t>
      </w:r>
    </w:p>
    <w:p w14:paraId="7CF0CE43" w14:textId="77777777" w:rsidR="00AF6DA4" w:rsidRPr="003F20E6" w:rsidRDefault="00AF6DA4" w:rsidP="00AF6DA4">
      <w:pPr>
        <w:spacing w:after="120" w:line="276" w:lineRule="auto"/>
        <w:ind w:firstLine="709"/>
        <w:jc w:val="both"/>
        <w:rPr>
          <w:rFonts w:ascii="Verdana" w:eastAsia="Calibri" w:hAnsi="Verdana" w:cs="Arial"/>
          <w:lang w:val="es-ES"/>
        </w:rPr>
      </w:pPr>
      <w:r w:rsidRPr="003F20E6">
        <w:rPr>
          <w:rFonts w:ascii="Verdana" w:eastAsia="Calibri" w:hAnsi="Verdana" w:cs="Arial"/>
          <w:lang w:val="es-ES"/>
        </w:rPr>
        <w:lastRenderedPageBreak/>
        <w:t>Sin embargo, pese a que los documentos que deben publicarse en el SECOP II corresponden a los mismos que deben publicarse en el SECOP I, esto es, todos los expedidos con ocasión el Proceso de Contratación</w:t>
      </w:r>
      <w:r>
        <w:rPr>
          <w:rFonts w:ascii="Verdana" w:eastAsia="Calibri" w:hAnsi="Verdana" w:cs="Arial"/>
          <w:lang w:val="es-ES"/>
        </w:rPr>
        <w:t>,</w:t>
      </w:r>
      <w:r w:rsidRPr="003F20E6">
        <w:rPr>
          <w:rFonts w:ascii="Verdana" w:eastAsia="Calibri" w:hAnsi="Verdana" w:cs="Arial"/>
          <w:lang w:val="es-ES"/>
        </w:rPr>
        <w:t xml:space="preserve"> con excepción de los expresamente excluidos, la naturaleza transaccional del SECOP II implica que los procesos contractuales no sólo deban ser publicados mediante esta plataforma, sino también gestionados a través de ella, al consistir la mayoría de los hitos contractuales en documentos y actuaciones electrónicas generadas en tiempo real, de tal manera que el proceso contractual avanza en la medida en la que se generen y aprueben estos documentos y actuaciones electrónicas en la plataforma. Esto a diferencia de los procesos publicados en el SECOP I, en los que primero se generan los documentos escritos y luego se publican en la plataforma dentro del plazo de tres (3) días previsto en el artículo 2.2.1.1.1.7.1 del Decreto 1082 de 2015. </w:t>
      </w:r>
    </w:p>
    <w:p w14:paraId="3D25D920" w14:textId="77777777" w:rsidR="00AF6DA4" w:rsidRPr="003F20E6" w:rsidRDefault="00AF6DA4" w:rsidP="00AF6DA4">
      <w:pPr>
        <w:tabs>
          <w:tab w:val="left" w:pos="709"/>
        </w:tabs>
        <w:spacing w:before="120" w:after="0" w:line="276" w:lineRule="auto"/>
        <w:ind w:firstLine="709"/>
        <w:jc w:val="both"/>
        <w:rPr>
          <w:rFonts w:ascii="Verdana" w:hAnsi="Verdana" w:cs="Arial"/>
          <w:shd w:val="clear" w:color="auto" w:fill="FFFFFF"/>
        </w:rPr>
      </w:pPr>
      <w:r w:rsidRPr="003F20E6">
        <w:rPr>
          <w:rFonts w:ascii="Verdana" w:hAnsi="Verdana" w:cs="Arial"/>
          <w:shd w:val="clear" w:color="auto" w:fill="FFFFFF"/>
        </w:rPr>
        <w:t xml:space="preserve">Conforme a lo anterior, es clara la obligatoriedad de publicar la información de la actividad contractual que se realiza con cargo a recursos públicos en el SECOP, incluidas aquellas con regímenes contractuales especiales. Esta obligación incluye todos los documentos generados durante las fases precontractual, contractual y </w:t>
      </w:r>
      <w:proofErr w:type="spellStart"/>
      <w:r w:rsidRPr="003F20E6">
        <w:rPr>
          <w:rFonts w:ascii="Verdana" w:hAnsi="Verdana" w:cs="Arial"/>
          <w:shd w:val="clear" w:color="auto" w:fill="FFFFFF"/>
        </w:rPr>
        <w:t>postcontractual</w:t>
      </w:r>
      <w:proofErr w:type="spellEnd"/>
      <w:r w:rsidRPr="003F20E6">
        <w:rPr>
          <w:rFonts w:ascii="Verdana" w:hAnsi="Verdana" w:cs="Arial"/>
          <w:shd w:val="clear" w:color="auto" w:fill="FFFFFF"/>
        </w:rPr>
        <w:t xml:space="preserve">, como contratos, actos administrativos e información generada con ocasión al proceso de contratación. Esto tiene como objetivo garantizar la transparencia, el acceso público a la información y el control social sobre la contratación pública, permitiendo que la ciudadanía tenga acceso a los documentos en un sistema unificado y oficial. Por último, se precisa, que corresponderá a la Entidad Estatal, previo concepto de sus órganos asesores, cumplir con la publicación de los documentos que expiden dentro de un Proceso de Contratación en el SECOP, ya sea en SECOP I o en SECOP II en cumplimiento de las disposiciones legales y reglamentarias. </w:t>
      </w:r>
    </w:p>
    <w:p w14:paraId="700772F8" w14:textId="77777777" w:rsidR="00AF6DA4" w:rsidRPr="003F20E6" w:rsidRDefault="00AF6DA4" w:rsidP="00AF6DA4">
      <w:pPr>
        <w:tabs>
          <w:tab w:val="left" w:pos="709"/>
        </w:tabs>
        <w:spacing w:after="0" w:line="276" w:lineRule="auto"/>
        <w:jc w:val="both"/>
        <w:rPr>
          <w:rFonts w:ascii="Verdana" w:hAnsi="Verdana" w:cs="Arial"/>
          <w:shd w:val="clear" w:color="auto" w:fill="FFFFFF"/>
        </w:rPr>
      </w:pPr>
    </w:p>
    <w:p w14:paraId="68D285D5" w14:textId="77777777" w:rsidR="00AF6DA4" w:rsidRPr="003F20E6" w:rsidRDefault="00AF6DA4" w:rsidP="00AF6DA4">
      <w:pPr>
        <w:spacing w:after="120" w:line="276" w:lineRule="auto"/>
        <w:jc w:val="both"/>
        <w:rPr>
          <w:rFonts w:ascii="Verdana" w:eastAsia="Calibri" w:hAnsi="Verdana" w:cs="Arial"/>
          <w:lang w:eastAsia="es-ES_tradnl"/>
        </w:rPr>
      </w:pPr>
      <w:proofErr w:type="spellStart"/>
      <w:r w:rsidRPr="003F20E6">
        <w:rPr>
          <w:rFonts w:ascii="Verdana" w:hAnsi="Verdana" w:cs="Arial"/>
          <w:lang w:val="es-ES"/>
        </w:rPr>
        <w:t>ii</w:t>
      </w:r>
      <w:proofErr w:type="spellEnd"/>
      <w:r w:rsidRPr="003F20E6">
        <w:rPr>
          <w:rFonts w:ascii="Verdana" w:hAnsi="Verdana" w:cs="Arial"/>
          <w:lang w:val="es-ES"/>
        </w:rPr>
        <w:t xml:space="preserve">. En el marco del principio de publicidad de las actuaciones del Estado, se han establecido estrategias mediante leyes y reglamentos que buscan fortalecer la transparencia y la lucha contra la corrupción. En esta línea, la </w:t>
      </w:r>
      <w:r w:rsidRPr="003F20E6">
        <w:rPr>
          <w:rFonts w:ascii="Verdana" w:eastAsia="Calibri" w:hAnsi="Verdana" w:cs="Arial"/>
          <w:lang w:eastAsia="es-ES_tradnl"/>
        </w:rPr>
        <w:t>Ley 1474 de 2011, “Por</w:t>
      </w:r>
      <w:r w:rsidRPr="003F20E6">
        <w:rPr>
          <w:rFonts w:ascii="Verdana" w:eastAsia="Calibri" w:hAnsi="Verdana" w:cs="Arial"/>
          <w:i/>
          <w:iCs/>
          <w:lang w:eastAsia="es-ES_tradnl"/>
        </w:rPr>
        <w:t xml:space="preserve"> la cual se dictan normas orientadas a fortalecer los mecanismos de prevención, investigación y sanción de actos de corrupción y la efectividad del control de la gestión pública”</w:t>
      </w:r>
      <w:r w:rsidRPr="003F20E6">
        <w:rPr>
          <w:rFonts w:ascii="Verdana" w:eastAsia="Calibri" w:hAnsi="Verdana" w:cs="Arial"/>
          <w:lang w:eastAsia="es-ES_tradnl"/>
        </w:rPr>
        <w:t xml:space="preserve">, y otras normativas afines, tales como la Ley 1712 de 2014 y la Ley 2195 de 2022, </w:t>
      </w:r>
      <w:r>
        <w:rPr>
          <w:rFonts w:ascii="Verdana" w:eastAsia="Calibri" w:hAnsi="Verdana" w:cs="Arial"/>
          <w:lang w:eastAsia="es-ES_tradnl"/>
        </w:rPr>
        <w:t>tienen como fin</w:t>
      </w:r>
      <w:r w:rsidRPr="003F20E6">
        <w:rPr>
          <w:rFonts w:ascii="Verdana" w:eastAsia="Calibri" w:hAnsi="Verdana" w:cs="Arial"/>
          <w:lang w:eastAsia="es-ES_tradnl"/>
        </w:rPr>
        <w:t xml:space="preserve"> institu</w:t>
      </w:r>
      <w:r>
        <w:rPr>
          <w:rFonts w:ascii="Verdana" w:eastAsia="Calibri" w:hAnsi="Verdana" w:cs="Arial"/>
          <w:lang w:eastAsia="es-ES_tradnl"/>
        </w:rPr>
        <w:t>ir</w:t>
      </w:r>
      <w:r w:rsidRPr="003F20E6">
        <w:rPr>
          <w:rFonts w:ascii="Verdana" w:eastAsia="Calibri" w:hAnsi="Verdana" w:cs="Arial"/>
          <w:lang w:eastAsia="es-ES_tradnl"/>
        </w:rPr>
        <w:t xml:space="preserve"> principios y reglas destinadas a asegurar la transparencia y facilitar el acceso a la información pública. </w:t>
      </w:r>
    </w:p>
    <w:p w14:paraId="6F653263" w14:textId="77777777" w:rsidR="00AF6DA4" w:rsidRDefault="00AF6DA4" w:rsidP="00AF6DA4">
      <w:pPr>
        <w:spacing w:after="120" w:line="276" w:lineRule="auto"/>
        <w:ind w:firstLine="708"/>
        <w:jc w:val="both"/>
        <w:rPr>
          <w:rFonts w:ascii="Verdana" w:eastAsia="Calibri" w:hAnsi="Verdana" w:cs="Arial"/>
          <w:lang w:eastAsia="es-ES_tradnl"/>
        </w:rPr>
      </w:pPr>
      <w:r w:rsidRPr="003F20E6">
        <w:rPr>
          <w:rFonts w:ascii="Verdana" w:eastAsia="Calibri" w:hAnsi="Verdana" w:cs="Arial"/>
          <w:lang w:eastAsia="es-ES_tradnl"/>
        </w:rPr>
        <w:lastRenderedPageBreak/>
        <w:t>En esa misma perspectiva, el Gobierno Nacional fundamentado en el artículo 200 de la Ley 2294 de 2023</w:t>
      </w:r>
      <w:r>
        <w:rPr>
          <w:rStyle w:val="Refdenotaalpie"/>
          <w:rFonts w:ascii="Verdana" w:eastAsia="Calibri" w:hAnsi="Verdana" w:cs="Arial"/>
          <w:lang w:eastAsia="es-ES_tradnl"/>
        </w:rPr>
        <w:footnoteReference w:id="13"/>
      </w:r>
      <w:r w:rsidRPr="003F20E6">
        <w:rPr>
          <w:rFonts w:ascii="Verdana" w:eastAsia="Calibri" w:hAnsi="Verdana" w:cs="Arial"/>
          <w:lang w:eastAsia="es-ES_tradnl"/>
        </w:rPr>
        <w:t>, ”</w:t>
      </w:r>
      <w:r w:rsidRPr="003F20E6">
        <w:rPr>
          <w:rFonts w:ascii="Verdana" w:eastAsia="Calibri" w:hAnsi="Verdana" w:cs="Arial"/>
          <w:i/>
          <w:iCs/>
          <w:lang w:eastAsia="es-ES_tradnl"/>
        </w:rPr>
        <w:t>Por la cual se expidió el Plan Nacional de Desarrollo ‘Colombia Potencia Mundial de la Vida’”</w:t>
      </w:r>
      <w:r w:rsidRPr="003F20E6">
        <w:rPr>
          <w:rFonts w:ascii="Verdana" w:eastAsia="Calibri" w:hAnsi="Verdana" w:cs="Arial"/>
          <w:lang w:eastAsia="es-ES_tradnl"/>
        </w:rPr>
        <w:t>, estableció el deber de formular una Estrategia Nacional de Lucha contra la Corrupción</w:t>
      </w:r>
      <w:r w:rsidRPr="003F20E6">
        <w:rPr>
          <w:rFonts w:ascii="Verdana" w:eastAsia="Calibri" w:hAnsi="Verdana" w:cs="Arial"/>
          <w:iCs/>
          <w:lang w:eastAsia="es-ES_tradnl"/>
        </w:rPr>
        <w:t>, con el fin de fortalecer las instituciones democráticas y el Estado Social de Derecho, la protección de los derechos humanos, los recursos públicos, así como generar condiciones adecuadas para el desarrollo socioeconómico y el cuidado del medio ambiente</w:t>
      </w:r>
      <w:r w:rsidRPr="003F20E6">
        <w:rPr>
          <w:rFonts w:ascii="Verdana" w:eastAsia="Calibri" w:hAnsi="Verdana" w:cs="Arial"/>
          <w:lang w:eastAsia="es-ES_tradnl"/>
        </w:rPr>
        <w:t xml:space="preserve">. </w:t>
      </w:r>
    </w:p>
    <w:p w14:paraId="184B0364" w14:textId="77777777" w:rsidR="00AF6DA4" w:rsidRPr="003F20E6" w:rsidRDefault="00AF6DA4" w:rsidP="00AF6DA4">
      <w:pPr>
        <w:spacing w:after="120" w:line="276" w:lineRule="auto"/>
        <w:ind w:firstLine="708"/>
        <w:jc w:val="both"/>
        <w:rPr>
          <w:rFonts w:ascii="Verdana" w:eastAsia="Calibri" w:hAnsi="Verdana" w:cs="Arial"/>
          <w:lang w:eastAsia="es-ES_tradnl"/>
        </w:rPr>
      </w:pPr>
      <w:r w:rsidRPr="003F20E6">
        <w:rPr>
          <w:rFonts w:ascii="Verdana" w:eastAsia="Calibri" w:hAnsi="Verdana" w:cs="Arial"/>
          <w:lang w:eastAsia="es-ES_tradnl"/>
        </w:rPr>
        <w:t xml:space="preserve">De este modo, la estrategia de la lucha contra la corrupción incluye las dimensiones de la garantía de los derechos humanos, la protección al denunciante, </w:t>
      </w:r>
      <w:r w:rsidRPr="00E47CAB">
        <w:rPr>
          <w:rFonts w:ascii="Verdana" w:eastAsia="Calibri" w:hAnsi="Verdana" w:cs="Arial"/>
          <w:i/>
          <w:iCs/>
          <w:lang w:eastAsia="es-ES_tradnl"/>
        </w:rPr>
        <w:t>el derecho de acceso a la información pública</w:t>
      </w:r>
      <w:r w:rsidRPr="003F20E6">
        <w:rPr>
          <w:rFonts w:ascii="Verdana" w:eastAsia="Calibri" w:hAnsi="Verdana" w:cs="Arial"/>
          <w:lang w:eastAsia="es-ES_tradnl"/>
        </w:rPr>
        <w:t xml:space="preserve">, el fortalecimiento de la veeduría ciudadana, la </w:t>
      </w:r>
      <w:r w:rsidRPr="00E47CAB">
        <w:rPr>
          <w:rFonts w:ascii="Verdana" w:eastAsia="Calibri" w:hAnsi="Verdana" w:cs="Arial"/>
          <w:i/>
          <w:iCs/>
          <w:lang w:eastAsia="es-ES_tradnl"/>
        </w:rPr>
        <w:t>transparencia en la contratación y gestión pública</w:t>
      </w:r>
      <w:r w:rsidRPr="003F20E6">
        <w:rPr>
          <w:rFonts w:ascii="Verdana" w:eastAsia="Calibri" w:hAnsi="Verdana" w:cs="Arial"/>
          <w:lang w:eastAsia="es-ES_tradnl"/>
        </w:rPr>
        <w:t>, la innovación pública y la prevención, detección, gestión y sanción de riesgos y hechos de corrupción. </w:t>
      </w:r>
    </w:p>
    <w:p w14:paraId="10CDDDE3" w14:textId="77777777" w:rsidR="00AF6DA4" w:rsidRPr="003F20E6" w:rsidRDefault="00AF6DA4" w:rsidP="00AF6DA4">
      <w:pPr>
        <w:spacing w:after="120" w:line="276" w:lineRule="auto"/>
        <w:ind w:firstLine="708"/>
        <w:jc w:val="both"/>
        <w:rPr>
          <w:rFonts w:ascii="Verdana" w:eastAsia="Calibri" w:hAnsi="Verdana" w:cs="Arial"/>
          <w:bCs/>
          <w:lang w:eastAsia="es-ES_tradnl"/>
        </w:rPr>
      </w:pPr>
      <w:r w:rsidRPr="003F20E6">
        <w:rPr>
          <w:rFonts w:ascii="Verdana" w:eastAsia="Calibri" w:hAnsi="Verdana" w:cs="Arial"/>
          <w:bCs/>
          <w:lang w:eastAsia="es-ES_tradnl"/>
        </w:rPr>
        <w:t xml:space="preserve">En la búsqueda de fortalecer una estrategia de lucha contra la corrupción se expidió el Decreto 1600 de 2024, “Por el cual se modifica el Capítulo 1 y 3 del Título 4 de la Parte 1 del Libro 2 del Decreto número 1081 de 2015, Decreto </w:t>
      </w:r>
      <w:r w:rsidRPr="003F20E6">
        <w:rPr>
          <w:rFonts w:ascii="Verdana" w:eastAsia="Calibri" w:hAnsi="Verdana" w:cs="Arial"/>
          <w:bCs/>
          <w:lang w:eastAsia="es-ES_tradnl"/>
        </w:rPr>
        <w:lastRenderedPageBreak/>
        <w:t xml:space="preserve">Reglamentario Único del Sector Presidencia de la República, en lo relacionado con las Subcomisiones Técnicas de la Comisión Nacional de Moralización y la Estrategia Nacional de Lucha Contra la Corrupción”. </w:t>
      </w:r>
    </w:p>
    <w:p w14:paraId="44C5F6AD" w14:textId="77777777" w:rsidR="00AF6DA4" w:rsidRPr="003F20E6" w:rsidRDefault="00AF6DA4" w:rsidP="00AF6DA4">
      <w:pPr>
        <w:spacing w:after="120" w:line="276" w:lineRule="auto"/>
        <w:ind w:firstLine="708"/>
        <w:jc w:val="both"/>
        <w:rPr>
          <w:rFonts w:ascii="Verdana" w:eastAsia="Calibri" w:hAnsi="Verdana" w:cs="Arial"/>
          <w:bCs/>
          <w:iCs/>
          <w:lang w:eastAsia="es-ES_tradnl"/>
        </w:rPr>
      </w:pPr>
      <w:r w:rsidRPr="003F20E6">
        <w:rPr>
          <w:rFonts w:ascii="Verdana" w:eastAsia="Calibri" w:hAnsi="Verdana" w:cs="Arial"/>
          <w:bCs/>
          <w:lang w:eastAsia="es-ES_tradnl"/>
        </w:rPr>
        <w:t>El Capítulo 3°, Sección 1°, Título 4°, Parte 1°, Libro 2° del Decreto 1081 de 2015</w:t>
      </w:r>
      <w:r>
        <w:rPr>
          <w:rFonts w:ascii="Verdana" w:eastAsia="Calibri" w:hAnsi="Verdana" w:cs="Arial"/>
          <w:bCs/>
          <w:lang w:eastAsia="es-ES_tradnl"/>
        </w:rPr>
        <w:t>,</w:t>
      </w:r>
      <w:r w:rsidRPr="003F20E6">
        <w:rPr>
          <w:rFonts w:ascii="Verdana" w:eastAsia="Calibri" w:hAnsi="Verdana" w:cs="Arial"/>
          <w:bCs/>
          <w:lang w:eastAsia="es-ES_tradnl"/>
        </w:rPr>
        <w:t xml:space="preserve"> que fue modificado por el Decreto 1600 de 2024</w:t>
      </w:r>
      <w:r>
        <w:rPr>
          <w:rFonts w:ascii="Verdana" w:eastAsia="Calibri" w:hAnsi="Verdana" w:cs="Arial"/>
          <w:bCs/>
          <w:lang w:eastAsia="es-ES_tradnl"/>
        </w:rPr>
        <w:t>,</w:t>
      </w:r>
      <w:r w:rsidRPr="003F20E6">
        <w:rPr>
          <w:rFonts w:ascii="Verdana" w:eastAsia="Calibri" w:hAnsi="Verdana" w:cs="Arial"/>
          <w:bCs/>
          <w:lang w:eastAsia="es-ES_tradnl"/>
        </w:rPr>
        <w:t xml:space="preserve"> tiene como objeto: “[…] </w:t>
      </w:r>
      <w:r w:rsidRPr="003F20E6">
        <w:rPr>
          <w:rFonts w:ascii="Verdana" w:eastAsia="Calibri" w:hAnsi="Verdana" w:cs="Arial"/>
          <w:bCs/>
          <w:iCs/>
          <w:lang w:eastAsia="es-ES_tradnl"/>
        </w:rPr>
        <w:t xml:space="preserve">establecer los lineamientos, mecanismos y directrices necesarios para la implementación de la Estrategia Nacional de Lucha contra la Corrupción, con el fin de fortalecer las instituciones democráticas, la confianza ciudadana y el Estado social de derecho, garantizar la protección de los derechos humanos relativos a la protección de los recursos públicos, generar condiciones adecuadas para el desarrollo socioeconómico y protección del medio ambiente. Asimismo, procura fomentar una cultura de revalorización y cuidado de lo público, a través de herramientas de transparencia, fortalecimiento de la veeduría ciudadana, acceso efectivo a la información, participación ciudadana y debida diligencia en la prevención, detección y sanción de hechos de corrupción” -artículo 2.1.4.3.1.1-. </w:t>
      </w:r>
    </w:p>
    <w:p w14:paraId="799520F0" w14:textId="77777777" w:rsidR="00AF6DA4" w:rsidRDefault="00AF6DA4" w:rsidP="00AF6DA4">
      <w:pPr>
        <w:spacing w:after="120" w:line="276" w:lineRule="auto"/>
        <w:ind w:firstLine="708"/>
        <w:jc w:val="both"/>
        <w:rPr>
          <w:rFonts w:ascii="Verdana" w:eastAsia="Calibri" w:hAnsi="Verdana" w:cs="Arial"/>
          <w:bCs/>
          <w:iCs/>
          <w:lang w:eastAsia="es-ES_tradnl"/>
        </w:rPr>
      </w:pPr>
      <w:r>
        <w:rPr>
          <w:rFonts w:ascii="Verdana" w:eastAsia="Calibri" w:hAnsi="Verdana" w:cs="Arial"/>
          <w:bCs/>
          <w:iCs/>
          <w:lang w:eastAsia="es-ES_tradnl"/>
        </w:rPr>
        <w:t>Ahora bien, e</w:t>
      </w:r>
      <w:r w:rsidRPr="003F20E6">
        <w:rPr>
          <w:rFonts w:ascii="Verdana" w:eastAsia="Calibri" w:hAnsi="Verdana" w:cs="Arial"/>
          <w:bCs/>
          <w:iCs/>
          <w:lang w:eastAsia="es-ES_tradnl"/>
        </w:rPr>
        <w:t>l ámbito o campo de aplicación de este capítulo está regulado en el artículo 2.1.4.3.1.2.</w:t>
      </w:r>
      <w:r w:rsidRPr="003F20E6">
        <w:rPr>
          <w:rFonts w:ascii="Verdana" w:eastAsia="Calibri" w:hAnsi="Verdana" w:cs="Arial"/>
          <w:bCs/>
          <w:iCs/>
          <w:vertAlign w:val="superscript"/>
          <w:lang w:eastAsia="es-ES_tradnl"/>
        </w:rPr>
        <w:footnoteReference w:id="14"/>
      </w:r>
      <w:r w:rsidRPr="003F20E6">
        <w:rPr>
          <w:rFonts w:ascii="Verdana" w:eastAsia="Calibri" w:hAnsi="Verdana" w:cs="Arial"/>
          <w:bCs/>
          <w:iCs/>
          <w:lang w:eastAsia="es-ES_tradnl"/>
        </w:rPr>
        <w:t xml:space="preserve"> que señala que sus reglas son para las entidades y empresas del Estado del orden nacional y pertenecientes a la Rama Ejecutiva del Poder Público. Así mismo, dispone que las empresas industriales y comerciales del Estado, las sociedades de economía mixta y todas las demás instituciones sometidas a regímenes especiales de contratación deben cumplir las obligaciones del presente Capítulo en aquellos aspectos en los que deban aplicar el régimen general de contratación pública. </w:t>
      </w:r>
    </w:p>
    <w:p w14:paraId="691D8C13" w14:textId="77777777" w:rsidR="00AF6DA4" w:rsidRPr="003F20E6" w:rsidRDefault="00AF6DA4" w:rsidP="00AF6DA4">
      <w:pPr>
        <w:spacing w:after="120" w:line="276" w:lineRule="auto"/>
        <w:ind w:firstLine="708"/>
        <w:jc w:val="both"/>
        <w:rPr>
          <w:rFonts w:ascii="Verdana" w:eastAsia="Calibri" w:hAnsi="Verdana" w:cs="Arial"/>
          <w:bCs/>
          <w:iCs/>
          <w:lang w:eastAsia="es-ES_tradnl"/>
        </w:rPr>
      </w:pPr>
      <w:r w:rsidRPr="003F20E6">
        <w:rPr>
          <w:rFonts w:ascii="Verdana" w:eastAsia="Calibri" w:hAnsi="Verdana" w:cs="Arial"/>
          <w:bCs/>
          <w:iCs/>
          <w:lang w:eastAsia="es-ES_tradnl"/>
        </w:rPr>
        <w:lastRenderedPageBreak/>
        <w:t>En los temas no regulados por dicho régimen, no se aplica lo dispuesto en el artículo 2.1.4.3.2.1</w:t>
      </w:r>
      <w:r w:rsidRPr="003F20E6">
        <w:rPr>
          <w:rFonts w:ascii="Verdana" w:eastAsia="Calibri" w:hAnsi="Verdana" w:cs="Arial"/>
          <w:bCs/>
          <w:iCs/>
          <w:vertAlign w:val="superscript"/>
          <w:lang w:eastAsia="es-ES_tradnl"/>
        </w:rPr>
        <w:footnoteReference w:id="15"/>
      </w:r>
      <w:r w:rsidRPr="003F20E6">
        <w:rPr>
          <w:rFonts w:ascii="Verdana" w:eastAsia="Calibri" w:hAnsi="Verdana" w:cs="Arial"/>
          <w:bCs/>
          <w:iCs/>
          <w:lang w:eastAsia="es-ES_tradnl"/>
        </w:rPr>
        <w:t>, por lo que las demás disposiciones deberán aplicarse, de acuerdo con su estructura orgánica y la normativa aplicable a su funcionamiento.</w:t>
      </w:r>
      <w:r w:rsidRPr="003F20E6">
        <w:rPr>
          <w:rFonts w:ascii="Verdana" w:eastAsia="Calibri" w:hAnsi="Verdana" w:cs="Arial"/>
          <w:bCs/>
          <w:lang w:eastAsia="es-ES_tradnl"/>
        </w:rPr>
        <w:t xml:space="preserve"> </w:t>
      </w:r>
      <w:r w:rsidRPr="003F20E6">
        <w:rPr>
          <w:rFonts w:ascii="Verdana" w:eastAsia="Calibri" w:hAnsi="Verdana" w:cs="Arial"/>
          <w:bCs/>
          <w:iCs/>
          <w:lang w:eastAsia="es-ES_tradnl"/>
        </w:rPr>
        <w:t xml:space="preserve">Con respecto a las entidades territoriales y sus entidades descentralizadas establece que en el marco de su autonomía y en cumplimiento de lo previsto en el artículo 32 de la Ley 152 de 1994, por la cual se establece la Ley Orgánica de Plan de Desarrollo, deben aplicar sus planes y políticas, las líneas de acción contenidas en el presente Capítulo, conforme a lo regulado en el artículo 200 de la Ley 2294 de 2023. </w:t>
      </w:r>
    </w:p>
    <w:p w14:paraId="2D939C88" w14:textId="77777777" w:rsidR="00AF6DA4" w:rsidRPr="003F20E6" w:rsidRDefault="00AF6DA4" w:rsidP="00AF6DA4">
      <w:pPr>
        <w:spacing w:after="0" w:line="276" w:lineRule="auto"/>
        <w:ind w:firstLine="709"/>
        <w:jc w:val="both"/>
        <w:rPr>
          <w:rFonts w:ascii="Verdana" w:eastAsia="Calibri" w:hAnsi="Verdana" w:cs="Arial"/>
          <w:bCs/>
          <w:iCs/>
          <w:lang w:eastAsia="es-ES_tradnl"/>
        </w:rPr>
      </w:pPr>
      <w:r w:rsidRPr="003F20E6">
        <w:rPr>
          <w:rFonts w:ascii="Verdana" w:eastAsia="Calibri" w:hAnsi="Verdana" w:cs="Arial"/>
          <w:bCs/>
          <w:iCs/>
          <w:lang w:eastAsia="es-ES_tradnl"/>
        </w:rPr>
        <w:lastRenderedPageBreak/>
        <w:t>En este capítulo contiene el deber de garantizar el derecho de acceso a la información en las entidades públicas como presupuesto para el ejercicio de los derechos fundamentales, regulado en el artículo 2.1.4.3.2.2. del Decreto 1081 de 2015, cuyo tenor literal prescribe:</w:t>
      </w:r>
    </w:p>
    <w:p w14:paraId="12E8C8E7" w14:textId="77777777" w:rsidR="00AF6DA4" w:rsidRPr="003F20E6" w:rsidRDefault="00AF6DA4" w:rsidP="00AF6DA4">
      <w:pPr>
        <w:spacing w:after="0" w:line="276" w:lineRule="auto"/>
        <w:ind w:firstLine="709"/>
        <w:jc w:val="both"/>
        <w:rPr>
          <w:rFonts w:ascii="Verdana" w:eastAsia="Calibri" w:hAnsi="Verdana" w:cs="Arial"/>
          <w:bCs/>
          <w:iCs/>
          <w:lang w:eastAsia="es-ES_tradnl"/>
        </w:rPr>
      </w:pPr>
      <w:r w:rsidRPr="003F20E6">
        <w:rPr>
          <w:rFonts w:ascii="Verdana" w:eastAsia="Calibri" w:hAnsi="Verdana" w:cs="Arial"/>
          <w:bCs/>
          <w:iCs/>
          <w:lang w:eastAsia="es-ES_tradnl"/>
        </w:rPr>
        <w:t xml:space="preserve"> </w:t>
      </w:r>
    </w:p>
    <w:p w14:paraId="077001F0" w14:textId="77777777" w:rsidR="00AF6DA4" w:rsidRDefault="00AF6DA4" w:rsidP="00AF6DA4">
      <w:pPr>
        <w:spacing w:after="0" w:line="240" w:lineRule="auto"/>
        <w:ind w:left="709" w:right="709"/>
        <w:jc w:val="both"/>
        <w:rPr>
          <w:rFonts w:ascii="Verdana" w:eastAsia="Calibri" w:hAnsi="Verdana" w:cs="Arial"/>
          <w:bCs/>
          <w:sz w:val="20"/>
          <w:szCs w:val="20"/>
          <w:lang w:eastAsia="es-ES_tradnl"/>
        </w:rPr>
      </w:pPr>
      <w:r>
        <w:rPr>
          <w:rFonts w:ascii="Verdana" w:eastAsia="Calibri" w:hAnsi="Verdana" w:cs="Arial"/>
          <w:bCs/>
          <w:iCs/>
          <w:sz w:val="20"/>
          <w:szCs w:val="20"/>
          <w:lang w:eastAsia="es-ES_tradnl"/>
        </w:rPr>
        <w:t>“</w:t>
      </w:r>
      <w:r w:rsidRPr="00E47CAB">
        <w:rPr>
          <w:rFonts w:ascii="Verdana" w:eastAsia="Calibri" w:hAnsi="Verdana" w:cs="Arial"/>
          <w:bCs/>
          <w:iCs/>
          <w:sz w:val="20"/>
          <w:szCs w:val="20"/>
          <w:lang w:eastAsia="es-ES_tradnl"/>
        </w:rPr>
        <w:t>Artículo 2.1.4.3.2.2. Garantía de acceso a la información en las entidades públicas, como presupuesto para el ejercicio de derechos fundamentales. Sin perjuicio de sus obligaciones en materia de garantías de acceso a la información pública, los sujetos obligados deberán publicar en la sede electrónica o página web: </w:t>
      </w:r>
      <w:r w:rsidRPr="00E47CAB">
        <w:rPr>
          <w:rFonts w:ascii="Verdana" w:eastAsia="Calibri" w:hAnsi="Verdana" w:cs="Arial"/>
          <w:bCs/>
          <w:sz w:val="20"/>
          <w:szCs w:val="20"/>
          <w:lang w:eastAsia="es-ES_tradnl"/>
        </w:rPr>
        <w:t> </w:t>
      </w:r>
    </w:p>
    <w:p w14:paraId="6F071A9E" w14:textId="77777777" w:rsidR="00AF6DA4" w:rsidRPr="00E47CAB" w:rsidRDefault="00AF6DA4" w:rsidP="00AF6DA4">
      <w:pPr>
        <w:spacing w:after="0" w:line="240" w:lineRule="auto"/>
        <w:ind w:left="709" w:right="709"/>
        <w:jc w:val="both"/>
        <w:rPr>
          <w:rFonts w:ascii="Verdana" w:eastAsia="Calibri" w:hAnsi="Verdana" w:cs="Arial"/>
          <w:bCs/>
          <w:sz w:val="20"/>
          <w:szCs w:val="20"/>
          <w:lang w:eastAsia="es-ES_tradnl"/>
        </w:rPr>
      </w:pPr>
    </w:p>
    <w:p w14:paraId="7E9515B5" w14:textId="77777777" w:rsidR="00AF6DA4" w:rsidRPr="00E47CAB" w:rsidRDefault="00AF6DA4" w:rsidP="00AF6DA4">
      <w:pPr>
        <w:spacing w:after="0" w:line="240" w:lineRule="auto"/>
        <w:ind w:left="709" w:right="709"/>
        <w:jc w:val="both"/>
        <w:rPr>
          <w:rFonts w:ascii="Verdana" w:eastAsia="Calibri" w:hAnsi="Verdana" w:cs="Arial"/>
          <w:bCs/>
          <w:sz w:val="20"/>
          <w:szCs w:val="20"/>
          <w:lang w:eastAsia="es-ES_tradnl"/>
        </w:rPr>
      </w:pPr>
      <w:r w:rsidRPr="00E47CAB">
        <w:rPr>
          <w:rFonts w:ascii="Verdana" w:eastAsia="Calibri" w:hAnsi="Verdana" w:cs="Arial"/>
          <w:bCs/>
          <w:iCs/>
          <w:sz w:val="20"/>
          <w:szCs w:val="20"/>
          <w:lang w:eastAsia="es-ES_tradnl"/>
        </w:rPr>
        <w:t>a) Información detallada de todas las auditorías que realicen, incluyendo los resultados, hallazgos y seguimiento a las acciones de mejora; </w:t>
      </w:r>
      <w:r w:rsidRPr="00E47CAB">
        <w:rPr>
          <w:rFonts w:ascii="Verdana" w:eastAsia="Calibri" w:hAnsi="Verdana" w:cs="Arial"/>
          <w:bCs/>
          <w:sz w:val="20"/>
          <w:szCs w:val="20"/>
          <w:lang w:eastAsia="es-ES_tradnl"/>
        </w:rPr>
        <w:t> </w:t>
      </w:r>
    </w:p>
    <w:p w14:paraId="386EB9C4" w14:textId="77777777" w:rsidR="00AF6DA4" w:rsidRDefault="00AF6DA4" w:rsidP="00AF6DA4">
      <w:pPr>
        <w:spacing w:after="0" w:line="240" w:lineRule="auto"/>
        <w:ind w:left="709" w:right="709"/>
        <w:jc w:val="both"/>
        <w:rPr>
          <w:rFonts w:ascii="Verdana" w:eastAsia="Calibri" w:hAnsi="Verdana" w:cs="Arial"/>
          <w:bCs/>
          <w:i/>
          <w:iCs/>
          <w:sz w:val="20"/>
          <w:szCs w:val="20"/>
          <w:lang w:eastAsia="es-ES_tradnl"/>
        </w:rPr>
      </w:pPr>
    </w:p>
    <w:p w14:paraId="0AD9552B" w14:textId="77777777" w:rsidR="00AF6DA4" w:rsidRPr="00E47CAB" w:rsidRDefault="00AF6DA4" w:rsidP="00AF6DA4">
      <w:pPr>
        <w:spacing w:after="0" w:line="240" w:lineRule="auto"/>
        <w:ind w:left="709" w:right="709"/>
        <w:jc w:val="both"/>
        <w:rPr>
          <w:rFonts w:ascii="Verdana" w:eastAsia="Calibri" w:hAnsi="Verdana" w:cs="Arial"/>
          <w:bCs/>
          <w:i/>
          <w:sz w:val="20"/>
          <w:szCs w:val="20"/>
          <w:lang w:eastAsia="es-ES_tradnl"/>
        </w:rPr>
      </w:pPr>
      <w:r w:rsidRPr="00E47CAB">
        <w:rPr>
          <w:rFonts w:ascii="Verdana" w:eastAsia="Calibri" w:hAnsi="Verdana" w:cs="Arial"/>
          <w:bCs/>
          <w:i/>
          <w:iCs/>
          <w:sz w:val="20"/>
          <w:szCs w:val="20"/>
          <w:lang w:eastAsia="es-ES_tradnl"/>
        </w:rPr>
        <w:t>b) Información detallada de los contratos que suscriban, incluyendo, como mínimo: valor del contrato, objeto contractual, identidad del contratista seleccionado; así como el enlace directo al proceso en el Sistema Electrónico de Contratación Pública (SECOP). En SECOP, además, debe estar publicada la información de ejecución del contrato, esto es, informes de supervisión e interventoría, actas de liquidación, requerimientos, etc. Esta información debe ser publicada dentro de los diez (10) días siguientes a la suscripción del contrato u ocurrencia del hecho. En ningún caso la información contractual podrá tener un rezago mayor a diez (10) días.</w:t>
      </w:r>
    </w:p>
    <w:p w14:paraId="4EA5189B" w14:textId="77777777" w:rsidR="00AF6DA4" w:rsidRDefault="00AF6DA4" w:rsidP="00AF6DA4">
      <w:pPr>
        <w:spacing w:after="0" w:line="240" w:lineRule="auto"/>
        <w:ind w:left="709" w:right="709"/>
        <w:jc w:val="both"/>
        <w:rPr>
          <w:rFonts w:ascii="Verdana" w:eastAsia="Calibri" w:hAnsi="Verdana" w:cs="Arial"/>
          <w:bCs/>
          <w:iCs/>
          <w:sz w:val="20"/>
          <w:szCs w:val="20"/>
          <w:lang w:eastAsia="es-ES_tradnl"/>
        </w:rPr>
      </w:pPr>
    </w:p>
    <w:p w14:paraId="2EADBED0" w14:textId="77777777" w:rsidR="00AF6DA4" w:rsidRPr="00E47CAB" w:rsidRDefault="00AF6DA4" w:rsidP="00AF6DA4">
      <w:pPr>
        <w:spacing w:after="0" w:line="240" w:lineRule="auto"/>
        <w:ind w:left="709" w:right="709"/>
        <w:jc w:val="both"/>
        <w:rPr>
          <w:rFonts w:ascii="Verdana" w:eastAsia="Calibri" w:hAnsi="Verdana" w:cs="Arial"/>
          <w:bCs/>
          <w:sz w:val="20"/>
          <w:szCs w:val="20"/>
          <w:lang w:eastAsia="es-ES_tradnl"/>
        </w:rPr>
      </w:pPr>
      <w:r w:rsidRPr="00E47CAB">
        <w:rPr>
          <w:rFonts w:ascii="Verdana" w:eastAsia="Calibri" w:hAnsi="Verdana" w:cs="Arial"/>
          <w:bCs/>
          <w:iCs/>
          <w:sz w:val="20"/>
          <w:szCs w:val="20"/>
          <w:lang w:eastAsia="es-ES_tradnl"/>
        </w:rPr>
        <w:t>La Secretaría de Transparencia de la Presidencia de la República realizará un seguimiento anual, con actualizaciones periódicas y un escalafón de entidades, para medir la garantía de acceso a la información, verificando: la existencia de la información; la publicación gratuita, y oportuna, teniendo en cuenta tiempos de rezago; que la información sea objetiva, veraz, que esté completa y sea reutilizable, procesable y accesible. </w:t>
      </w:r>
      <w:r w:rsidRPr="00E47CAB">
        <w:rPr>
          <w:rFonts w:ascii="Verdana" w:eastAsia="Calibri" w:hAnsi="Verdana" w:cs="Arial"/>
          <w:bCs/>
          <w:sz w:val="20"/>
          <w:szCs w:val="20"/>
          <w:lang w:eastAsia="es-ES_tradnl"/>
        </w:rPr>
        <w:t> </w:t>
      </w:r>
    </w:p>
    <w:p w14:paraId="5A7DF67F" w14:textId="77777777" w:rsidR="00AF6DA4" w:rsidRDefault="00AF6DA4" w:rsidP="00AF6DA4">
      <w:pPr>
        <w:spacing w:after="0" w:line="240" w:lineRule="auto"/>
        <w:ind w:left="709" w:right="709"/>
        <w:jc w:val="both"/>
        <w:rPr>
          <w:rFonts w:ascii="Verdana" w:eastAsia="Calibri" w:hAnsi="Verdana" w:cs="Arial"/>
          <w:bCs/>
          <w:iCs/>
          <w:sz w:val="20"/>
          <w:szCs w:val="20"/>
          <w:lang w:eastAsia="es-ES_tradnl"/>
        </w:rPr>
      </w:pPr>
    </w:p>
    <w:p w14:paraId="2D66442C" w14:textId="77777777" w:rsidR="00AF6DA4" w:rsidRPr="00E47CAB" w:rsidRDefault="00AF6DA4" w:rsidP="00AF6DA4">
      <w:pPr>
        <w:spacing w:after="0" w:line="240" w:lineRule="auto"/>
        <w:ind w:left="709" w:right="709"/>
        <w:jc w:val="both"/>
        <w:rPr>
          <w:rFonts w:ascii="Verdana" w:eastAsia="Calibri" w:hAnsi="Verdana" w:cs="Arial"/>
          <w:bCs/>
          <w:sz w:val="20"/>
          <w:szCs w:val="20"/>
          <w:lang w:eastAsia="es-ES_tradnl"/>
        </w:rPr>
      </w:pPr>
      <w:r w:rsidRPr="00E47CAB">
        <w:rPr>
          <w:rFonts w:ascii="Verdana" w:eastAsia="Calibri" w:hAnsi="Verdana" w:cs="Arial"/>
          <w:bCs/>
          <w:iCs/>
          <w:sz w:val="20"/>
          <w:szCs w:val="20"/>
          <w:lang w:eastAsia="es-ES_tradnl"/>
        </w:rPr>
        <w:t>Parágrafo. Los sujetos obligados deberán incluir en el Índice de Información Reservada y Clasificada todos aquellos actos o contratos a los que asignen tales categorías, incluyendo su individualización, su denominación y el motivo por el cual consideran que se puede negar el acceso</w:t>
      </w:r>
      <w:r>
        <w:rPr>
          <w:rFonts w:ascii="Verdana" w:eastAsia="Calibri" w:hAnsi="Verdana" w:cs="Arial"/>
          <w:bCs/>
          <w:iCs/>
          <w:sz w:val="20"/>
          <w:szCs w:val="20"/>
          <w:lang w:eastAsia="es-ES_tradnl"/>
        </w:rPr>
        <w:t>”</w:t>
      </w:r>
      <w:r w:rsidRPr="00E47CAB">
        <w:rPr>
          <w:rFonts w:ascii="Verdana" w:eastAsia="Calibri" w:hAnsi="Verdana" w:cs="Arial"/>
          <w:bCs/>
          <w:iCs/>
          <w:sz w:val="20"/>
          <w:szCs w:val="20"/>
          <w:lang w:eastAsia="es-ES_tradnl"/>
        </w:rPr>
        <w:t xml:space="preserve"> (</w:t>
      </w:r>
      <w:r w:rsidRPr="00B345BC">
        <w:rPr>
          <w:rFonts w:ascii="Verdana" w:eastAsia="Calibri" w:hAnsi="Verdana" w:cs="Arial"/>
          <w:bCs/>
          <w:iCs/>
          <w:sz w:val="20"/>
          <w:szCs w:val="20"/>
          <w:lang w:eastAsia="es-ES_tradnl"/>
        </w:rPr>
        <w:t xml:space="preserve">Énfasis </w:t>
      </w:r>
      <w:r w:rsidRPr="00E47CAB">
        <w:rPr>
          <w:rFonts w:ascii="Verdana" w:eastAsia="Calibri" w:hAnsi="Verdana" w:cs="Arial"/>
          <w:bCs/>
          <w:iCs/>
          <w:sz w:val="20"/>
          <w:szCs w:val="20"/>
          <w:lang w:eastAsia="es-ES_tradnl"/>
        </w:rPr>
        <w:t>fuera de texto)</w:t>
      </w:r>
      <w:r>
        <w:rPr>
          <w:rFonts w:ascii="Verdana" w:eastAsia="Calibri" w:hAnsi="Verdana" w:cs="Arial"/>
          <w:bCs/>
          <w:iCs/>
          <w:sz w:val="20"/>
          <w:szCs w:val="20"/>
          <w:lang w:eastAsia="es-ES_tradnl"/>
        </w:rPr>
        <w:t xml:space="preserve">. </w:t>
      </w:r>
    </w:p>
    <w:p w14:paraId="47522440" w14:textId="77777777" w:rsidR="00AF6DA4" w:rsidRPr="003F20E6" w:rsidRDefault="00AF6DA4" w:rsidP="00AF6DA4">
      <w:pPr>
        <w:spacing w:after="0" w:line="276" w:lineRule="auto"/>
        <w:jc w:val="both"/>
        <w:rPr>
          <w:rFonts w:ascii="Verdana" w:eastAsia="Calibri" w:hAnsi="Verdana" w:cs="Arial"/>
          <w:bCs/>
          <w:lang w:eastAsia="es-ES_tradnl"/>
        </w:rPr>
      </w:pPr>
    </w:p>
    <w:p w14:paraId="3545840A" w14:textId="77777777" w:rsidR="00AF6DA4" w:rsidRPr="00B7424B" w:rsidRDefault="00AF6DA4" w:rsidP="00AF6DA4">
      <w:pPr>
        <w:spacing w:after="120" w:line="276" w:lineRule="auto"/>
        <w:ind w:firstLine="709"/>
        <w:jc w:val="both"/>
        <w:rPr>
          <w:rFonts w:ascii="Verdana" w:eastAsia="Calibri" w:hAnsi="Verdana" w:cs="Arial"/>
          <w:bCs/>
          <w:iCs/>
          <w:lang w:eastAsia="es-ES_tradnl"/>
        </w:rPr>
      </w:pPr>
      <w:r w:rsidRPr="00B7424B">
        <w:rPr>
          <w:rFonts w:ascii="Verdana" w:eastAsia="Calibri" w:hAnsi="Verdana" w:cs="Arial"/>
          <w:bCs/>
          <w:lang w:eastAsia="es-ES_tradnl"/>
        </w:rPr>
        <w:t xml:space="preserve">A partir del artículo precitado se resalta que su primer inciso alude al deber de publicación en la página web de los sujetos obligados por dicho Decreto, el cual contiene dos literales: en el literal a) se establece el deber de publicar por parte de las entidades de </w:t>
      </w:r>
      <w:r w:rsidRPr="00B7424B">
        <w:rPr>
          <w:rFonts w:ascii="Verdana" w:eastAsia="Calibri" w:hAnsi="Verdana" w:cs="Arial"/>
          <w:bCs/>
          <w:iCs/>
          <w:lang w:eastAsia="es-ES_tradnl"/>
        </w:rPr>
        <w:t>todas las auditorías que le realicen, en la que se incluyan los resultados, hallazgos y seguimiento a las acciones de mejora; en el literal b se establece dos subreglas. La primera está contenida en un primer aparte que dispone: “</w:t>
      </w:r>
      <w:r w:rsidRPr="00B7424B">
        <w:rPr>
          <w:rFonts w:ascii="Verdana" w:eastAsia="Calibri" w:hAnsi="Verdana" w:cs="Arial"/>
          <w:bCs/>
          <w:i/>
          <w:iCs/>
          <w:lang w:eastAsia="es-ES_tradnl"/>
        </w:rPr>
        <w:t xml:space="preserve">Información detallada de los contratos que suscriban, </w:t>
      </w:r>
      <w:r w:rsidRPr="00B7424B">
        <w:rPr>
          <w:rFonts w:ascii="Verdana" w:eastAsia="Calibri" w:hAnsi="Verdana" w:cs="Arial"/>
          <w:bCs/>
          <w:i/>
          <w:iCs/>
          <w:lang w:eastAsia="es-ES_tradnl"/>
        </w:rPr>
        <w:lastRenderedPageBreak/>
        <w:t>incluyendo, como mínimo: valor del contrato, objeto contractual, identidad del contratista seleccionado; así como el enlace directo al proceso en el Sistema Electrónico de Contratación Pública (SECOP)”, lo cual implica el</w:t>
      </w:r>
      <w:r w:rsidRPr="00B7424B">
        <w:rPr>
          <w:rFonts w:ascii="Verdana" w:eastAsia="Calibri" w:hAnsi="Verdana" w:cs="Arial"/>
          <w:bCs/>
          <w:iCs/>
          <w:lang w:eastAsia="es-ES_tradnl"/>
        </w:rPr>
        <w:t xml:space="preserve"> mandato de publicar en página web por parte de los sujetos obligados de la información detallada de los contratos celebrados, incluyendo su valor, objeto, identidad del contratista seleccionado, así como el enlace en el SECOP. </w:t>
      </w:r>
    </w:p>
    <w:p w14:paraId="46E756D6" w14:textId="77777777" w:rsidR="00AF6DA4" w:rsidRPr="00B7424B" w:rsidRDefault="00AF6DA4" w:rsidP="00AF6DA4">
      <w:pPr>
        <w:spacing w:after="120" w:line="276" w:lineRule="auto"/>
        <w:ind w:firstLine="709"/>
        <w:jc w:val="both"/>
        <w:rPr>
          <w:rFonts w:ascii="Verdana" w:eastAsia="Calibri" w:hAnsi="Verdana" w:cs="Arial"/>
          <w:bCs/>
          <w:lang w:eastAsia="es-ES_tradnl"/>
        </w:rPr>
      </w:pPr>
      <w:r w:rsidRPr="00B7424B">
        <w:rPr>
          <w:rFonts w:ascii="Verdana" w:eastAsia="Calibri" w:hAnsi="Verdana" w:cs="Arial"/>
          <w:bCs/>
          <w:iCs/>
          <w:lang w:eastAsia="es-ES_tradnl"/>
        </w:rPr>
        <w:t>Una segunda subregla que prescribe</w:t>
      </w:r>
      <w:r w:rsidRPr="00B7424B">
        <w:rPr>
          <w:rFonts w:ascii="Verdana" w:eastAsia="Calibri" w:hAnsi="Verdana" w:cs="Arial"/>
          <w:bCs/>
          <w:lang w:eastAsia="es-ES_tradnl"/>
        </w:rPr>
        <w:t xml:space="preserve">: </w:t>
      </w:r>
      <w:r w:rsidRPr="00B7424B">
        <w:rPr>
          <w:rFonts w:ascii="Verdana" w:eastAsia="Calibri" w:hAnsi="Verdana" w:cs="Arial"/>
          <w:bCs/>
          <w:i/>
          <w:lang w:eastAsia="es-ES_tradnl"/>
        </w:rPr>
        <w:t>“</w:t>
      </w:r>
      <w:r w:rsidRPr="00B7424B">
        <w:rPr>
          <w:rFonts w:ascii="Verdana" w:eastAsia="Calibri" w:hAnsi="Verdana" w:cs="Arial"/>
          <w:bCs/>
          <w:i/>
          <w:iCs/>
          <w:lang w:eastAsia="es-ES_tradnl"/>
        </w:rPr>
        <w:t>En SECOP, además, debe estar publicada la información de ejecución del contrato, esto es, informes de supervisión e interventoría, actas de liquidación, requerimientos, etc. Esta información debe ser publicada dentro de los diez (10) días siguientes a la suscripción del contrato u ocurrencia del hecho. En ningún caso la información contractual podrá tener un rezago mayor a diez (10) días”.</w:t>
      </w:r>
      <w:r w:rsidRPr="00B7424B">
        <w:rPr>
          <w:rFonts w:ascii="Verdana" w:eastAsia="Calibri" w:hAnsi="Verdana" w:cs="Arial"/>
          <w:bCs/>
          <w:lang w:eastAsia="es-ES_tradnl"/>
        </w:rPr>
        <w:t xml:space="preserve"> Esta subregla </w:t>
      </w:r>
      <w:r w:rsidRPr="00B7424B">
        <w:rPr>
          <w:rFonts w:ascii="Verdana" w:eastAsia="Calibri" w:hAnsi="Verdana" w:cs="Arial"/>
          <w:bCs/>
          <w:iCs/>
          <w:lang w:eastAsia="es-ES_tradnl"/>
        </w:rPr>
        <w:t>prescribe el deber de publicar la información de ejecución del contrato, es decir, los informes de supervisión e interventoría, actas de liquidación, requerimientos, entre otros. Ahora bien, dicho literal también establece que esta información debe publicarse dentro de los diez (10) días siguientes a la ocurrencia del hecho,</w:t>
      </w:r>
      <w:r>
        <w:rPr>
          <w:rFonts w:ascii="Verdana" w:eastAsia="Calibri" w:hAnsi="Verdana" w:cs="Arial"/>
          <w:bCs/>
          <w:iCs/>
          <w:lang w:eastAsia="es-ES_tradnl"/>
        </w:rPr>
        <w:t xml:space="preserve"> esto es, desde la generación del documento definitivo,</w:t>
      </w:r>
      <w:r w:rsidRPr="00B7424B">
        <w:rPr>
          <w:rFonts w:ascii="Verdana" w:eastAsia="Calibri" w:hAnsi="Verdana" w:cs="Arial"/>
          <w:bCs/>
          <w:iCs/>
          <w:lang w:eastAsia="es-ES_tradnl"/>
        </w:rPr>
        <w:t xml:space="preserve"> y en ningún caso puede haber retraso para el cumplimiento de este término, esto es, establece un límite máximo de publicación para los documentos de ejecución del contrato. </w:t>
      </w:r>
    </w:p>
    <w:p w14:paraId="33FB3C77" w14:textId="77777777" w:rsidR="00AF6DA4" w:rsidRPr="00B7424B" w:rsidRDefault="00AF6DA4" w:rsidP="00AF6DA4">
      <w:pPr>
        <w:spacing w:after="120" w:line="276" w:lineRule="auto"/>
        <w:ind w:firstLine="708"/>
        <w:jc w:val="both"/>
        <w:rPr>
          <w:rFonts w:ascii="Verdana" w:eastAsia="Calibri" w:hAnsi="Verdana" w:cs="Arial"/>
          <w:bCs/>
          <w:iCs/>
          <w:lang w:val="es-ES_tradnl" w:eastAsia="es-ES_tradnl"/>
        </w:rPr>
      </w:pPr>
      <w:r w:rsidRPr="00B7424B">
        <w:rPr>
          <w:rFonts w:ascii="Verdana" w:eastAsia="Calibri" w:hAnsi="Verdana" w:cs="Arial"/>
          <w:bCs/>
          <w:iCs/>
          <w:lang w:eastAsia="es-ES_tradnl"/>
        </w:rPr>
        <w:t xml:space="preserve">No obstante, este artículo parece contradecirse, en un principio, con lo dispuesto en el artículo 2.2.1.1.1.7.1. del Decreto 1082 de 2015 que establece que la Entidad Estatal está obligada a publicar en el SECOP los Documentos del Proceso y los actos administrativos del Proceso de Contratación, dentro de los tres (3) días siguientes a su expedición, además, dispone que la oferta que debe publicarse es la del adjudicatario del Proceso de Contratación, y que los documentos de las operaciones que se realicen en bolsa de productos no tienen que publicarse en el SECOP. En este escenario, parece en un principio, un </w:t>
      </w:r>
      <w:r w:rsidRPr="00B7424B">
        <w:rPr>
          <w:rFonts w:ascii="Verdana" w:eastAsia="Calibri" w:hAnsi="Verdana" w:cs="Arial"/>
          <w:bCs/>
          <w:iCs/>
          <w:lang w:val="es-ES_tradnl" w:eastAsia="es-ES_tradnl"/>
        </w:rPr>
        <w:t xml:space="preserve">conflicto entre la </w:t>
      </w:r>
      <w:r w:rsidRPr="00B7424B">
        <w:rPr>
          <w:rFonts w:ascii="Verdana" w:eastAsia="Calibri" w:hAnsi="Verdana" w:cs="Arial"/>
          <w:bCs/>
          <w:i/>
          <w:iCs/>
          <w:lang w:val="es-ES_tradnl" w:eastAsia="es-ES_tradnl"/>
        </w:rPr>
        <w:t>regla general dispuesta en el Decreto 1082 de 2015</w:t>
      </w:r>
      <w:r w:rsidRPr="00B7424B">
        <w:rPr>
          <w:rFonts w:ascii="Verdana" w:eastAsia="Calibri" w:hAnsi="Verdana" w:cs="Arial"/>
          <w:bCs/>
          <w:iCs/>
          <w:lang w:val="es-ES_tradnl" w:eastAsia="es-ES_tradnl"/>
        </w:rPr>
        <w:t xml:space="preserve"> y la </w:t>
      </w:r>
      <w:r w:rsidRPr="00B7424B">
        <w:rPr>
          <w:rFonts w:ascii="Verdana" w:eastAsia="Calibri" w:hAnsi="Verdana" w:cs="Arial"/>
          <w:bCs/>
          <w:i/>
          <w:iCs/>
          <w:lang w:val="es-ES_tradnl" w:eastAsia="es-ES_tradnl"/>
        </w:rPr>
        <w:t>regla especial que dispone un término máximo para publicar la información para entidades del orden nacional</w:t>
      </w:r>
      <w:r w:rsidRPr="00B7424B">
        <w:rPr>
          <w:rFonts w:ascii="Verdana" w:eastAsia="Calibri" w:hAnsi="Verdana" w:cs="Arial"/>
          <w:bCs/>
          <w:iCs/>
          <w:lang w:val="es-ES_tradnl" w:eastAsia="es-ES_tradnl"/>
        </w:rPr>
        <w:t xml:space="preserve">, siendo necesario acudir al problema con fundamento en el artículo 5.1 de la Ley 57 de 1887. Según esta norma, “[…] Si en los Códigos que se adoptan se hallaren algunas disposiciones incompatibles entre sí […] </w:t>
      </w:r>
      <w:r w:rsidRPr="00B7424B">
        <w:rPr>
          <w:rFonts w:ascii="Verdana" w:eastAsia="Calibri" w:hAnsi="Verdana" w:cs="Arial"/>
          <w:bCs/>
          <w:i/>
          <w:iCs/>
          <w:lang w:val="es-ES_tradnl" w:eastAsia="es-ES_tradnl"/>
        </w:rPr>
        <w:t>La disposición relativa a un asunto especial prefiere a la que tenga carácter general</w:t>
      </w:r>
      <w:r w:rsidRPr="00B7424B">
        <w:rPr>
          <w:rFonts w:ascii="Verdana" w:eastAsia="Calibri" w:hAnsi="Verdana" w:cs="Arial"/>
          <w:bCs/>
          <w:iCs/>
          <w:lang w:val="es-ES_tradnl" w:eastAsia="es-ES_tradnl"/>
        </w:rPr>
        <w:t xml:space="preserve"> […]” (Énfasis fuera de texto). </w:t>
      </w:r>
    </w:p>
    <w:p w14:paraId="484B6A36" w14:textId="77777777" w:rsidR="00AF6DA4" w:rsidRPr="00B7424B" w:rsidRDefault="00AF6DA4" w:rsidP="00AF6DA4">
      <w:pPr>
        <w:spacing w:after="120" w:line="276" w:lineRule="auto"/>
        <w:ind w:firstLine="709"/>
        <w:jc w:val="both"/>
        <w:rPr>
          <w:rFonts w:ascii="Verdana" w:eastAsia="Calibri" w:hAnsi="Verdana" w:cs="Arial"/>
          <w:bCs/>
          <w:iCs/>
          <w:lang w:eastAsia="es-ES_tradnl"/>
        </w:rPr>
      </w:pPr>
      <w:r w:rsidRPr="00B7424B">
        <w:rPr>
          <w:rFonts w:ascii="Verdana" w:eastAsia="Calibri" w:hAnsi="Verdana" w:cs="Arial"/>
          <w:bCs/>
          <w:iCs/>
          <w:lang w:val="es-ES_tradnl" w:eastAsia="es-ES_tradnl"/>
        </w:rPr>
        <w:t xml:space="preserve">Por tanto, </w:t>
      </w:r>
      <w:r>
        <w:rPr>
          <w:rFonts w:ascii="Verdana" w:eastAsia="Calibri" w:hAnsi="Verdana" w:cs="Arial"/>
          <w:bCs/>
          <w:iCs/>
          <w:lang w:val="es-ES_tradnl" w:eastAsia="es-ES_tradnl"/>
        </w:rPr>
        <w:t>L</w:t>
      </w:r>
      <w:r w:rsidRPr="00B7424B">
        <w:rPr>
          <w:rFonts w:ascii="Verdana" w:eastAsia="Calibri" w:hAnsi="Verdana" w:cs="Arial"/>
          <w:bCs/>
          <w:iCs/>
          <w:lang w:val="es-ES_tradnl" w:eastAsia="es-ES_tradnl"/>
        </w:rPr>
        <w:t xml:space="preserve">a regla dispuesta en el </w:t>
      </w:r>
      <w:r w:rsidRPr="00B7424B">
        <w:rPr>
          <w:rFonts w:ascii="Verdana" w:eastAsia="Calibri" w:hAnsi="Verdana" w:cs="Arial"/>
          <w:bCs/>
          <w:iCs/>
          <w:lang w:eastAsia="es-ES_tradnl"/>
        </w:rPr>
        <w:t xml:space="preserve">artículo 2.1.4.3.2.2 del Decreto 1081 de 2015 </w:t>
      </w:r>
      <w:r w:rsidRPr="00B7424B">
        <w:rPr>
          <w:rFonts w:ascii="Verdana" w:eastAsia="Calibri" w:hAnsi="Verdana" w:cs="Arial"/>
          <w:bCs/>
          <w:iCs/>
          <w:lang w:val="es-ES_tradnl" w:eastAsia="es-ES_tradnl"/>
        </w:rPr>
        <w:t>–</w:t>
      </w:r>
      <w:r w:rsidRPr="00B7424B">
        <w:rPr>
          <w:rFonts w:ascii="Verdana" w:eastAsia="Calibri" w:hAnsi="Verdana" w:cs="Arial"/>
          <w:bCs/>
          <w:i/>
          <w:iCs/>
          <w:lang w:val="es-ES_tradnl" w:eastAsia="es-ES_tradnl"/>
        </w:rPr>
        <w:t>regla especial</w:t>
      </w:r>
      <w:r w:rsidRPr="00B7424B">
        <w:rPr>
          <w:rFonts w:ascii="Verdana" w:eastAsia="Calibri" w:hAnsi="Verdana" w:cs="Arial"/>
          <w:bCs/>
          <w:iCs/>
          <w:lang w:val="es-ES_tradnl" w:eastAsia="es-ES_tradnl"/>
        </w:rPr>
        <w:t xml:space="preserve">– </w:t>
      </w:r>
      <w:r>
        <w:rPr>
          <w:rFonts w:ascii="Verdana" w:eastAsia="Calibri" w:hAnsi="Verdana" w:cs="Arial"/>
          <w:bCs/>
          <w:iCs/>
          <w:lang w:val="es-ES_tradnl" w:eastAsia="es-ES_tradnl"/>
        </w:rPr>
        <w:t xml:space="preserve">modificada por el Decreto 1600 de 2024 </w:t>
      </w:r>
      <w:r w:rsidRPr="00B7424B">
        <w:rPr>
          <w:rFonts w:ascii="Verdana" w:eastAsia="Calibri" w:hAnsi="Verdana" w:cs="Arial"/>
          <w:bCs/>
          <w:iCs/>
          <w:lang w:val="es-ES_tradnl" w:eastAsia="es-ES_tradnl"/>
        </w:rPr>
        <w:t xml:space="preserve">debe tenerse </w:t>
      </w:r>
      <w:r w:rsidRPr="00B7424B">
        <w:rPr>
          <w:rFonts w:ascii="Verdana" w:eastAsia="Calibri" w:hAnsi="Verdana" w:cs="Arial"/>
          <w:bCs/>
          <w:iCs/>
          <w:lang w:val="es-ES_tradnl" w:eastAsia="es-ES_tradnl"/>
        </w:rPr>
        <w:lastRenderedPageBreak/>
        <w:t xml:space="preserve">en cuenta sobre el entendimiento y aplicación del artículo </w:t>
      </w:r>
      <w:r w:rsidRPr="00B7424B">
        <w:rPr>
          <w:rFonts w:ascii="Verdana" w:eastAsia="Calibri" w:hAnsi="Verdana" w:cs="Arial"/>
          <w:bCs/>
          <w:iCs/>
          <w:lang w:eastAsia="es-ES_tradnl"/>
        </w:rPr>
        <w:t>2.2.1.1.1.7.1. del Decreto 1082 de 2015</w:t>
      </w:r>
      <w:r w:rsidRPr="00B7424B">
        <w:rPr>
          <w:rFonts w:ascii="Verdana" w:eastAsia="Calibri" w:hAnsi="Verdana" w:cs="Arial"/>
          <w:bCs/>
          <w:iCs/>
          <w:lang w:val="es-ES_tradnl" w:eastAsia="es-ES_tradnl"/>
        </w:rPr>
        <w:t xml:space="preserve"> –</w:t>
      </w:r>
      <w:r w:rsidRPr="00B7424B">
        <w:rPr>
          <w:rFonts w:ascii="Verdana" w:eastAsia="Calibri" w:hAnsi="Verdana" w:cs="Arial"/>
          <w:bCs/>
          <w:i/>
          <w:iCs/>
          <w:lang w:val="es-ES_tradnl" w:eastAsia="es-ES_tradnl"/>
        </w:rPr>
        <w:t>regla general</w:t>
      </w:r>
      <w:r w:rsidRPr="00B7424B">
        <w:rPr>
          <w:rFonts w:ascii="Verdana" w:eastAsia="Calibri" w:hAnsi="Verdana" w:cs="Arial"/>
          <w:bCs/>
          <w:iCs/>
          <w:lang w:val="es-ES_tradnl" w:eastAsia="es-ES_tradnl"/>
        </w:rPr>
        <w:t xml:space="preserve">–, esto es, deben interpretarse armónicamente. Esto no significa que la </w:t>
      </w:r>
      <w:r w:rsidRPr="00B7424B">
        <w:rPr>
          <w:rFonts w:ascii="Verdana" w:eastAsia="Calibri" w:hAnsi="Verdana" w:cs="Arial"/>
          <w:bCs/>
          <w:i/>
          <w:iCs/>
          <w:lang w:val="es-ES_tradnl" w:eastAsia="es-ES_tradnl"/>
        </w:rPr>
        <w:t>regla general</w:t>
      </w:r>
      <w:r w:rsidRPr="00B7424B">
        <w:rPr>
          <w:rFonts w:ascii="Verdana" w:eastAsia="Calibri" w:hAnsi="Verdana" w:cs="Arial"/>
          <w:bCs/>
          <w:iCs/>
          <w:lang w:val="es-ES_tradnl" w:eastAsia="es-ES_tradnl"/>
        </w:rPr>
        <w:t xml:space="preserve"> desaparezca del ordenamiento jurídico; todo lo contrario, esta aplica en todos los supuestos que regula, y se interpreta de forma integral con los supuestos previstos en la </w:t>
      </w:r>
      <w:r w:rsidRPr="00B7424B">
        <w:rPr>
          <w:rFonts w:ascii="Verdana" w:eastAsia="Calibri" w:hAnsi="Verdana" w:cs="Arial"/>
          <w:bCs/>
          <w:i/>
          <w:iCs/>
          <w:lang w:val="es-ES_tradnl" w:eastAsia="es-ES_tradnl"/>
        </w:rPr>
        <w:t>regla especial</w:t>
      </w:r>
      <w:r w:rsidRPr="00B7424B">
        <w:rPr>
          <w:rFonts w:ascii="Verdana" w:eastAsia="Calibri" w:hAnsi="Verdana" w:cs="Arial"/>
          <w:bCs/>
          <w:iCs/>
          <w:lang w:val="es-ES_tradnl" w:eastAsia="es-ES_tradnl"/>
        </w:rPr>
        <w:t xml:space="preserve">. De esta manera, el término de diez (10) días es un plazo máximo para las entidades y </w:t>
      </w:r>
      <w:r w:rsidRPr="00B7424B">
        <w:rPr>
          <w:rFonts w:ascii="Verdana" w:eastAsia="Calibri" w:hAnsi="Verdana" w:cs="Arial"/>
          <w:bCs/>
          <w:i/>
          <w:iCs/>
          <w:lang w:eastAsia="es-ES_tradnl"/>
        </w:rPr>
        <w:t xml:space="preserve">empresas del Estado </w:t>
      </w:r>
      <w:r w:rsidRPr="00B7424B">
        <w:rPr>
          <w:rFonts w:ascii="Verdana" w:eastAsia="Calibri" w:hAnsi="Verdana" w:cs="Arial"/>
          <w:bCs/>
          <w:iCs/>
          <w:lang w:eastAsia="es-ES_tradnl"/>
        </w:rPr>
        <w:t>del orden nacional y pertenecientes a la Rama Ejecutiva del Poder Público para publicar en SECOP, en todo caso</w:t>
      </w:r>
      <w:r>
        <w:rPr>
          <w:rFonts w:ascii="Verdana" w:eastAsia="Calibri" w:hAnsi="Verdana" w:cs="Arial"/>
          <w:bCs/>
          <w:iCs/>
          <w:lang w:eastAsia="es-ES_tradnl"/>
        </w:rPr>
        <w:t xml:space="preserve"> los documentos de carácter definitivo</w:t>
      </w:r>
      <w:r w:rsidRPr="00B7424B">
        <w:rPr>
          <w:rFonts w:ascii="Verdana" w:eastAsia="Calibri" w:hAnsi="Verdana" w:cs="Arial"/>
          <w:bCs/>
          <w:iCs/>
          <w:lang w:eastAsia="es-ES_tradnl"/>
        </w:rPr>
        <w:t>, precisando la regla general sigue vigente, y que, en un principio, el término para publicar tres (3) días siguientes a la expedición</w:t>
      </w:r>
      <w:r>
        <w:rPr>
          <w:rFonts w:ascii="Verdana" w:eastAsia="Calibri" w:hAnsi="Verdana" w:cs="Arial"/>
          <w:bCs/>
          <w:iCs/>
          <w:lang w:eastAsia="es-ES_tradnl"/>
        </w:rPr>
        <w:t>, esto es, a partir desde que el documento se encuentra perfeccionado por la parte o las partes intervinientes</w:t>
      </w:r>
      <w:r w:rsidRPr="00B7424B">
        <w:rPr>
          <w:rFonts w:ascii="Verdana" w:eastAsia="Calibri" w:hAnsi="Verdana" w:cs="Arial"/>
          <w:bCs/>
          <w:iCs/>
          <w:lang w:eastAsia="es-ES_tradnl"/>
        </w:rPr>
        <w:t xml:space="preserve">, de conformidad a lo prescrito en el Decreto 1082 de 2015. </w:t>
      </w:r>
    </w:p>
    <w:p w14:paraId="10367050" w14:textId="77777777" w:rsidR="00AF6DA4" w:rsidRPr="00B7424B" w:rsidRDefault="00AF6DA4" w:rsidP="00AF6DA4">
      <w:pPr>
        <w:spacing w:after="120" w:line="276" w:lineRule="auto"/>
        <w:ind w:firstLine="709"/>
        <w:jc w:val="both"/>
        <w:rPr>
          <w:rFonts w:ascii="Verdana" w:eastAsia="Calibri" w:hAnsi="Verdana" w:cs="Arial"/>
          <w:bCs/>
          <w:iCs/>
          <w:lang w:eastAsia="es-ES_tradnl"/>
        </w:rPr>
      </w:pPr>
      <w:r w:rsidRPr="00B7424B">
        <w:rPr>
          <w:rFonts w:ascii="Verdana" w:eastAsia="Calibri" w:hAnsi="Verdana" w:cs="Arial"/>
          <w:bCs/>
          <w:iCs/>
          <w:lang w:eastAsia="es-ES_tradnl"/>
        </w:rPr>
        <w:t xml:space="preserve">Ahora bien, las demás entidades que no están sujetas al Decreto 1600 de 2024 que </w:t>
      </w:r>
      <w:r>
        <w:rPr>
          <w:rFonts w:ascii="Verdana" w:eastAsia="Calibri" w:hAnsi="Verdana" w:cs="Arial"/>
          <w:bCs/>
          <w:iCs/>
          <w:lang w:eastAsia="es-ES_tradnl"/>
        </w:rPr>
        <w:t>modifica el Decreto 1081 de 2015</w:t>
      </w:r>
      <w:r w:rsidRPr="00B7424B">
        <w:rPr>
          <w:rFonts w:ascii="Verdana" w:eastAsia="Calibri" w:hAnsi="Verdana" w:cs="Arial"/>
          <w:bCs/>
          <w:iCs/>
          <w:lang w:eastAsia="es-ES_tradnl"/>
        </w:rPr>
        <w:t xml:space="preserve"> tienen el deber de aplicar el término de publicación de los tres (3) días siguientes a su expedición como regla general y no le es aplicable el término máximo de diez (10) días</w:t>
      </w:r>
      <w:r>
        <w:rPr>
          <w:rFonts w:ascii="Verdana" w:eastAsia="Calibri" w:hAnsi="Verdana" w:cs="Arial"/>
          <w:bCs/>
          <w:iCs/>
          <w:lang w:eastAsia="es-ES_tradnl"/>
        </w:rPr>
        <w:t xml:space="preserve"> desde la ocurrencia del hecho, esto es, a partir de la generación del documento definitivo</w:t>
      </w:r>
      <w:r w:rsidRPr="00B7424B">
        <w:rPr>
          <w:rFonts w:ascii="Verdana" w:eastAsia="Calibri" w:hAnsi="Verdana" w:cs="Arial"/>
          <w:bCs/>
          <w:iCs/>
          <w:lang w:eastAsia="es-ES_tradnl"/>
        </w:rPr>
        <w:t xml:space="preserve">. En tal sentido, las entidades del orden territorial, así como sus descentralizadas deben seguir aplicando el término general de tres (3) días, y no podrán hacer una interpretación extensiva ni analógica, puesto que se rigen bajo el principio de legalidad que implica una interpretación literal y estricta de las disposiciones normativas.  </w:t>
      </w:r>
    </w:p>
    <w:p w14:paraId="137F669C" w14:textId="77777777" w:rsidR="00AF6DA4" w:rsidRPr="00B7424B" w:rsidRDefault="00AF6DA4" w:rsidP="00AF6DA4">
      <w:pPr>
        <w:spacing w:after="120" w:line="276" w:lineRule="auto"/>
        <w:ind w:firstLine="709"/>
        <w:jc w:val="both"/>
        <w:rPr>
          <w:rFonts w:ascii="Verdana" w:eastAsia="Calibri" w:hAnsi="Verdana" w:cs="Arial"/>
          <w:bCs/>
          <w:iCs/>
          <w:lang w:val="es-ES" w:eastAsia="es-ES_tradnl"/>
        </w:rPr>
      </w:pPr>
      <w:r w:rsidRPr="00B7424B">
        <w:rPr>
          <w:rFonts w:ascii="Verdana" w:eastAsia="Calibri" w:hAnsi="Verdana" w:cs="Arial"/>
          <w:bCs/>
          <w:iCs/>
          <w:lang w:eastAsia="es-ES_tradnl"/>
        </w:rPr>
        <w:t>Sin embargo</w:t>
      </w:r>
      <w:r w:rsidRPr="00B7424B">
        <w:rPr>
          <w:rFonts w:ascii="Verdana" w:eastAsia="Calibri" w:hAnsi="Verdana" w:cs="Arial"/>
          <w:bCs/>
          <w:iCs/>
          <w:lang w:val="es-ES" w:eastAsia="es-ES_tradnl"/>
        </w:rPr>
        <w:t xml:space="preserve">, es importante precisar, la naturaleza transaccional del SECOP II, lo cual implica que los procesos contractuales no sólo deban publicarse mediante esta plataforma, sino también gestionados a través de ella, al consistir la mayoría de los hitos contractuales en documentos y actuaciones electrónicas generadas en tiempo real, </w:t>
      </w:r>
      <w:r>
        <w:rPr>
          <w:rFonts w:ascii="Verdana" w:eastAsia="Calibri" w:hAnsi="Verdana" w:cs="Arial"/>
          <w:bCs/>
          <w:iCs/>
          <w:lang w:val="es-ES" w:eastAsia="es-ES_tradnl"/>
        </w:rPr>
        <w:t xml:space="preserve">en el sentido de que el </w:t>
      </w:r>
      <w:r w:rsidRPr="00B7424B">
        <w:rPr>
          <w:rFonts w:ascii="Verdana" w:eastAsia="Calibri" w:hAnsi="Verdana" w:cs="Arial"/>
          <w:bCs/>
          <w:iCs/>
          <w:lang w:val="es-ES" w:eastAsia="es-ES_tradnl"/>
        </w:rPr>
        <w:t>proceso contractual avanza en la medida en la que se generen y aprueben estos documentos</w:t>
      </w:r>
      <w:r>
        <w:rPr>
          <w:rFonts w:ascii="Verdana" w:eastAsia="Calibri" w:hAnsi="Verdana" w:cs="Arial"/>
          <w:bCs/>
          <w:iCs/>
          <w:lang w:val="es-ES" w:eastAsia="es-ES_tradnl"/>
        </w:rPr>
        <w:t xml:space="preserve"> que se constituirán en definitivos, cuando se cumplan las actuaciones electrónicas propias para su perfeccionamiento. En tal sentido, los documentos que tienen una función transaccional en SECOP II son cargados a dicha plataforma, que serán aceptados electrónicamente por las partes intervinientes. </w:t>
      </w:r>
    </w:p>
    <w:p w14:paraId="19903555" w14:textId="77777777" w:rsidR="00AF6DA4" w:rsidRDefault="00AF6DA4" w:rsidP="00AF6DA4">
      <w:pPr>
        <w:spacing w:after="120" w:line="276" w:lineRule="auto"/>
        <w:ind w:firstLine="709"/>
        <w:jc w:val="both"/>
        <w:rPr>
          <w:rFonts w:ascii="Verdana" w:eastAsia="Calibri" w:hAnsi="Verdana" w:cs="Arial"/>
          <w:bCs/>
          <w:iCs/>
          <w:lang w:val="es-ES" w:eastAsia="es-ES_tradnl"/>
        </w:rPr>
      </w:pPr>
      <w:r w:rsidRPr="00B7424B">
        <w:rPr>
          <w:rFonts w:ascii="Verdana" w:eastAsia="Calibri" w:hAnsi="Verdana" w:cs="Arial"/>
          <w:bCs/>
          <w:iCs/>
          <w:lang w:val="es-ES" w:eastAsia="es-ES_tradnl"/>
        </w:rPr>
        <w:t xml:space="preserve">Es decir, en SECOP II, en principio, no aplica el término general de los tres (3) o el plazo máximo de los (10) días para las entidades del orden nacional, pues la mayoría de los documentos y actuaciones electrónicas se generan en el </w:t>
      </w:r>
      <w:r w:rsidRPr="00B7424B">
        <w:rPr>
          <w:rFonts w:ascii="Verdana" w:eastAsia="Calibri" w:hAnsi="Verdana" w:cs="Arial"/>
          <w:bCs/>
          <w:iCs/>
          <w:lang w:val="es-ES" w:eastAsia="es-ES_tradnl"/>
        </w:rPr>
        <w:lastRenderedPageBreak/>
        <w:t xml:space="preserve">instante con la aprobación de las partes que intervienen en el proceso de contratación estatal respectivo. Esto, a diferencia de los procesos publicados en el SECOP I, en los que primero se generan los documentos </w:t>
      </w:r>
      <w:r>
        <w:rPr>
          <w:rFonts w:ascii="Verdana" w:eastAsia="Calibri" w:hAnsi="Verdana" w:cs="Arial"/>
          <w:bCs/>
          <w:iCs/>
          <w:lang w:val="es-ES" w:eastAsia="es-ES_tradnl"/>
        </w:rPr>
        <w:t xml:space="preserve">definitivos, esto es, aquellos que están firmados por las partes </w:t>
      </w:r>
      <w:r w:rsidRPr="00B7424B">
        <w:rPr>
          <w:rFonts w:ascii="Verdana" w:eastAsia="Calibri" w:hAnsi="Verdana" w:cs="Arial"/>
          <w:bCs/>
          <w:iCs/>
          <w:lang w:val="es-ES" w:eastAsia="es-ES_tradnl"/>
        </w:rPr>
        <w:t>y luego se publican en dicha plataforma, en los términos ya expuestos, dependiendo de la naturaleza de la entidad y de las reglas prescritas en los Decretos 1081 y 1082 de 2015.</w:t>
      </w:r>
    </w:p>
    <w:p w14:paraId="4C5ABC5E" w14:textId="77777777" w:rsidR="00AF6DA4" w:rsidRDefault="00AF6DA4" w:rsidP="00AF6DA4">
      <w:pPr>
        <w:spacing w:after="120" w:line="276" w:lineRule="auto"/>
        <w:ind w:firstLine="709"/>
        <w:jc w:val="both"/>
        <w:rPr>
          <w:rFonts w:ascii="Verdana" w:eastAsia="Calibri" w:hAnsi="Verdana" w:cs="Arial"/>
          <w:bCs/>
          <w:iCs/>
          <w:lang w:val="es-ES" w:eastAsia="es-ES_tradnl"/>
        </w:rPr>
      </w:pPr>
      <w:r>
        <w:rPr>
          <w:rFonts w:ascii="Verdana" w:eastAsia="Calibri" w:hAnsi="Verdana" w:cs="Arial"/>
          <w:bCs/>
          <w:iCs/>
          <w:lang w:val="es-ES" w:eastAsia="es-ES_tradnl"/>
        </w:rPr>
        <w:t xml:space="preserve">En torno a los documentos de ejecución debe precisarse que algunos de estos no tienen un carácter transaccional en SECOP II, pues dentro de la numeral 7° del Proceso de Contratación “Ejecución del contrato” se encuentra la Sección “Documentos de Ejecución del contrato”, en el que </w:t>
      </w:r>
      <w:r w:rsidRPr="00216830">
        <w:rPr>
          <w:rFonts w:ascii="Verdana" w:eastAsia="Calibri" w:hAnsi="Verdana" w:cs="Arial"/>
          <w:bCs/>
          <w:iCs/>
          <w:lang w:eastAsia="es-ES_tradnl"/>
        </w:rPr>
        <w:t xml:space="preserve">tanto la Entidad Estatal como el Proveedor podrán cargar cualquier documento adicional resultado de la ejecución del contrato por ejemplo, acta de inicio, actas de entrega, informes de avance, </w:t>
      </w:r>
      <w:r>
        <w:rPr>
          <w:rFonts w:ascii="Verdana" w:eastAsia="Calibri" w:hAnsi="Verdana" w:cs="Arial"/>
          <w:bCs/>
          <w:iCs/>
          <w:lang w:eastAsia="es-ES_tradnl"/>
        </w:rPr>
        <w:t>requerimientos de la supervisión, solicitud de ampliación de pólizas, entre otros</w:t>
      </w:r>
      <w:r w:rsidRPr="00216830">
        <w:rPr>
          <w:rFonts w:ascii="Verdana" w:eastAsia="Calibri" w:hAnsi="Verdana" w:cs="Arial"/>
          <w:bCs/>
          <w:iCs/>
          <w:lang w:eastAsia="es-ES_tradnl"/>
        </w:rPr>
        <w:t xml:space="preserve">. </w:t>
      </w:r>
      <w:r>
        <w:rPr>
          <w:rFonts w:ascii="Verdana" w:eastAsia="Calibri" w:hAnsi="Verdana" w:cs="Arial"/>
          <w:bCs/>
          <w:iCs/>
          <w:lang w:eastAsia="es-ES_tradnl"/>
        </w:rPr>
        <w:t>Dichos documentos deberán estar suscritos por la parte o partes que los generan y subirse en la plataforma en SECOP II dentro de los términos dispuestos por el Decreto 1082 de 2015, esto es, tres (3) días siguientes. Sin perjuicio, d</w:t>
      </w:r>
      <w:r>
        <w:rPr>
          <w:rFonts w:ascii="Verdana" w:eastAsia="Calibri" w:hAnsi="Verdana" w:cs="Arial"/>
          <w:bCs/>
          <w:iCs/>
          <w:lang w:val="es-ES" w:eastAsia="es-ES_tradnl"/>
        </w:rPr>
        <w:t>el término de diez (10) días como</w:t>
      </w:r>
      <w:r w:rsidRPr="00B7424B">
        <w:rPr>
          <w:rFonts w:ascii="Verdana" w:eastAsia="Calibri" w:hAnsi="Verdana" w:cs="Arial"/>
          <w:bCs/>
          <w:iCs/>
          <w:lang w:val="es-ES" w:eastAsia="es-ES_tradnl"/>
        </w:rPr>
        <w:t xml:space="preserve"> un límite máximo para publicar por parte de las entidades del orden nacional sometidas a lo dispuesto en el Decreto 1600 de 2024 que m</w:t>
      </w:r>
      <w:r>
        <w:rPr>
          <w:rFonts w:ascii="Verdana" w:eastAsia="Calibri" w:hAnsi="Verdana" w:cs="Arial"/>
          <w:bCs/>
          <w:iCs/>
          <w:lang w:val="es-ES" w:eastAsia="es-ES_tradnl"/>
        </w:rPr>
        <w:t>odifica el Decreto 1081 de 2015.</w:t>
      </w:r>
    </w:p>
    <w:p w14:paraId="4FF94EB8" w14:textId="77777777" w:rsidR="00AF6DA4" w:rsidRDefault="00AF6DA4" w:rsidP="00AF6DA4">
      <w:pPr>
        <w:spacing w:after="0" w:line="276" w:lineRule="auto"/>
        <w:jc w:val="both"/>
        <w:rPr>
          <w:rFonts w:ascii="Verdana" w:eastAsia="Calibri" w:hAnsi="Verdana" w:cs="Arial"/>
          <w:bCs/>
          <w:iCs/>
          <w:lang w:val="es-ES" w:eastAsia="es-ES_tradnl"/>
        </w:rPr>
      </w:pPr>
    </w:p>
    <w:p w14:paraId="2A4DCA41" w14:textId="77777777" w:rsidR="00AF6DA4" w:rsidRPr="008D191C" w:rsidRDefault="00AF6DA4" w:rsidP="00AF6DA4">
      <w:pPr>
        <w:spacing w:after="120" w:line="276" w:lineRule="auto"/>
        <w:jc w:val="both"/>
        <w:rPr>
          <w:rFonts w:ascii="Verdana" w:hAnsi="Verdana"/>
        </w:rPr>
      </w:pPr>
      <w:proofErr w:type="spellStart"/>
      <w:r>
        <w:rPr>
          <w:rFonts w:ascii="Verdana" w:eastAsia="Calibri" w:hAnsi="Verdana" w:cs="Arial"/>
          <w:bCs/>
          <w:iCs/>
          <w:lang w:val="es-ES" w:eastAsia="es-ES_tradnl"/>
        </w:rPr>
        <w:t>iii</w:t>
      </w:r>
      <w:proofErr w:type="spellEnd"/>
      <w:r>
        <w:rPr>
          <w:rFonts w:ascii="Verdana" w:eastAsia="Calibri" w:hAnsi="Verdana" w:cs="Arial"/>
          <w:bCs/>
          <w:iCs/>
          <w:lang w:val="es-ES" w:eastAsia="es-ES_tradnl"/>
        </w:rPr>
        <w:t xml:space="preserve">. </w:t>
      </w:r>
      <w:r w:rsidRPr="008D191C">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554D830" w14:textId="77777777" w:rsidR="00AF6DA4" w:rsidRPr="008D191C" w:rsidRDefault="00AF6DA4" w:rsidP="00AF6DA4">
      <w:pPr>
        <w:spacing w:after="0" w:line="276" w:lineRule="auto"/>
        <w:ind w:firstLine="708"/>
        <w:jc w:val="both"/>
        <w:rPr>
          <w:rFonts w:ascii="Verdana" w:eastAsia="Calibri" w:hAnsi="Verdana" w:cs="Arial"/>
          <w:bCs/>
          <w:color w:val="000000" w:themeColor="text1"/>
        </w:rPr>
      </w:pPr>
      <w:r w:rsidRPr="008D191C">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w:t>
      </w:r>
      <w:r w:rsidRPr="008D191C">
        <w:rPr>
          <w:rFonts w:ascii="Verdana" w:eastAsia="Calibri" w:hAnsi="Verdana" w:cs="Arial"/>
          <w:bCs/>
          <w:color w:val="000000" w:themeColor="text1"/>
        </w:rPr>
        <w:lastRenderedPageBreak/>
        <w:t xml:space="preserve">el principio de juridicidad. Así, cada entidad definirá la forma de adelantar su gestión contractual, sin que sea atribución de Colombia Compra Eficiente validar sus actuaciones. </w:t>
      </w:r>
    </w:p>
    <w:p w14:paraId="22F6623C" w14:textId="77777777" w:rsidR="00AF6DA4" w:rsidRPr="0081781F" w:rsidRDefault="00AF6DA4" w:rsidP="00AF6DA4">
      <w:pPr>
        <w:spacing w:after="0" w:line="276" w:lineRule="auto"/>
        <w:jc w:val="both"/>
        <w:rPr>
          <w:rFonts w:ascii="Verdana" w:eastAsia="Calibri" w:hAnsi="Verdana" w:cs="Arial"/>
          <w:lang w:eastAsia="es-ES_tradnl"/>
        </w:rPr>
      </w:pPr>
    </w:p>
    <w:p w14:paraId="6123657F" w14:textId="77777777" w:rsidR="00AF6DA4" w:rsidRPr="0081781F" w:rsidRDefault="00AF6DA4" w:rsidP="00AF6DA4">
      <w:pPr>
        <w:numPr>
          <w:ilvl w:val="0"/>
          <w:numId w:val="19"/>
        </w:numPr>
        <w:spacing w:after="0" w:line="276" w:lineRule="auto"/>
        <w:ind w:left="0" w:firstLine="0"/>
        <w:rPr>
          <w:rFonts w:ascii="Verdana" w:eastAsia="Calibri" w:hAnsi="Verdana" w:cs="Times New Roman"/>
          <w:b/>
          <w:bCs/>
          <w:lang w:val="es-ES"/>
        </w:rPr>
      </w:pPr>
      <w:r w:rsidRPr="0081781F">
        <w:rPr>
          <w:rFonts w:ascii="Verdana" w:eastAsia="Calibri" w:hAnsi="Verdana" w:cs="Times New Roman"/>
          <w:b/>
          <w:bCs/>
          <w:lang w:val="es-ES"/>
        </w:rPr>
        <w:t>Referencias normativas, jurisprudenciales y otras fuentes:</w:t>
      </w:r>
    </w:p>
    <w:p w14:paraId="25F9A0D7" w14:textId="77777777" w:rsidR="00AF6DA4" w:rsidRPr="0081781F" w:rsidRDefault="00AF6DA4" w:rsidP="00AF6DA4">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F6DA4" w:rsidRPr="0081781F" w14:paraId="7E7DCD01" w14:textId="77777777" w:rsidTr="00F57C42">
        <w:trPr>
          <w:trHeight w:val="870"/>
          <w:jc w:val="center"/>
        </w:trPr>
        <w:tc>
          <w:tcPr>
            <w:tcW w:w="8647" w:type="dxa"/>
          </w:tcPr>
          <w:p w14:paraId="749C1A90" w14:textId="77777777" w:rsidR="00AF6DA4" w:rsidRPr="00E47CAB" w:rsidRDefault="00AF6DA4" w:rsidP="00AF6DA4">
            <w:pPr>
              <w:pStyle w:val="Prrafodelista"/>
              <w:widowControl w:val="0"/>
              <w:numPr>
                <w:ilvl w:val="0"/>
                <w:numId w:val="33"/>
              </w:numPr>
              <w:autoSpaceDE w:val="0"/>
              <w:autoSpaceDN w:val="0"/>
              <w:spacing w:before="120" w:after="120" w:line="276" w:lineRule="auto"/>
              <w:contextualSpacing w:val="0"/>
              <w:jc w:val="both"/>
              <w:rPr>
                <w:rFonts w:ascii="Verdana" w:hAnsi="Verdana" w:cs="Arial"/>
                <w:lang w:val="es-ES_tradnl"/>
              </w:rPr>
            </w:pPr>
            <w:r w:rsidRPr="00E47CAB">
              <w:rPr>
                <w:rFonts w:ascii="Verdana" w:hAnsi="Verdana" w:cs="Arial"/>
                <w:lang w:val="es-ES_tradnl"/>
              </w:rPr>
              <w:t>Constitución Política, artículos 74 y 209.</w:t>
            </w:r>
          </w:p>
          <w:p w14:paraId="23B40AF0" w14:textId="77777777" w:rsidR="00AF6DA4" w:rsidRPr="0081781F" w:rsidRDefault="00AF6DA4" w:rsidP="00AF6DA4">
            <w:pPr>
              <w:widowControl w:val="0"/>
              <w:numPr>
                <w:ilvl w:val="0"/>
                <w:numId w:val="20"/>
              </w:numPr>
              <w:autoSpaceDE w:val="0"/>
              <w:autoSpaceDN w:val="0"/>
              <w:spacing w:before="120" w:after="120" w:line="276" w:lineRule="auto"/>
              <w:jc w:val="both"/>
              <w:rPr>
                <w:rFonts w:ascii="Verdana" w:hAnsi="Verdana" w:cs="Arial"/>
                <w:lang w:val="es-ES_tradnl"/>
              </w:rPr>
            </w:pPr>
            <w:r w:rsidRPr="0081781F">
              <w:rPr>
                <w:rFonts w:ascii="Verdana" w:hAnsi="Verdana" w:cs="Arial"/>
                <w:lang w:val="es-ES_tradnl"/>
              </w:rPr>
              <w:t>Ley 1150 de 2007, artículo 3.</w:t>
            </w:r>
          </w:p>
          <w:p w14:paraId="4D146025" w14:textId="77777777" w:rsidR="00AF6DA4" w:rsidRPr="0081781F" w:rsidRDefault="00AF6DA4" w:rsidP="00AF6DA4">
            <w:pPr>
              <w:widowControl w:val="0"/>
              <w:numPr>
                <w:ilvl w:val="0"/>
                <w:numId w:val="20"/>
              </w:numPr>
              <w:autoSpaceDE w:val="0"/>
              <w:autoSpaceDN w:val="0"/>
              <w:spacing w:before="120" w:after="120" w:line="276" w:lineRule="auto"/>
              <w:jc w:val="both"/>
              <w:rPr>
                <w:rFonts w:ascii="Verdana" w:hAnsi="Verdana" w:cs="Arial"/>
                <w:lang w:val="es-ES_tradnl"/>
              </w:rPr>
            </w:pPr>
            <w:r w:rsidRPr="0081781F">
              <w:rPr>
                <w:rFonts w:ascii="Verdana" w:hAnsi="Verdana" w:cs="Arial"/>
              </w:rPr>
              <w:t xml:space="preserve">Decreto Ley 4170 de 2011, artículo 3° numerales 2, 5 y 8. </w:t>
            </w:r>
            <w:r w:rsidRPr="0081781F">
              <w:rPr>
                <w:rFonts w:ascii="Verdana" w:hAnsi="Verdana" w:cs="Arial"/>
                <w:lang w:val="es-ES_tradnl"/>
              </w:rPr>
              <w:t xml:space="preserve"> </w:t>
            </w:r>
          </w:p>
          <w:p w14:paraId="21B945CF" w14:textId="77777777" w:rsidR="00AF6DA4" w:rsidRPr="0081781F" w:rsidRDefault="00AF6DA4" w:rsidP="00AF6DA4">
            <w:pPr>
              <w:widowControl w:val="0"/>
              <w:numPr>
                <w:ilvl w:val="0"/>
                <w:numId w:val="20"/>
              </w:numPr>
              <w:autoSpaceDE w:val="0"/>
              <w:autoSpaceDN w:val="0"/>
              <w:spacing w:before="120" w:after="120" w:line="276" w:lineRule="auto"/>
              <w:jc w:val="both"/>
              <w:rPr>
                <w:rFonts w:ascii="Verdana" w:hAnsi="Verdana" w:cs="Arial"/>
                <w:lang w:val="es-ES_tradnl"/>
              </w:rPr>
            </w:pPr>
            <w:r w:rsidRPr="0081781F">
              <w:rPr>
                <w:rFonts w:ascii="Verdana" w:hAnsi="Verdana" w:cs="Arial"/>
                <w:lang w:val="es-ES_tradnl"/>
              </w:rPr>
              <w:t>Ley 1712 de 2014.</w:t>
            </w:r>
          </w:p>
          <w:p w14:paraId="5BB7CBEC" w14:textId="77777777" w:rsidR="00AF6DA4" w:rsidRPr="0081781F" w:rsidRDefault="00AF6DA4" w:rsidP="00AF6DA4">
            <w:pPr>
              <w:widowControl w:val="0"/>
              <w:numPr>
                <w:ilvl w:val="0"/>
                <w:numId w:val="20"/>
              </w:numPr>
              <w:autoSpaceDE w:val="0"/>
              <w:autoSpaceDN w:val="0"/>
              <w:spacing w:before="120" w:after="120" w:line="276" w:lineRule="auto"/>
              <w:jc w:val="both"/>
              <w:rPr>
                <w:rFonts w:ascii="Verdana" w:hAnsi="Verdana" w:cs="Arial"/>
                <w:lang w:val="es-ES_tradnl"/>
              </w:rPr>
            </w:pPr>
            <w:r w:rsidRPr="0081781F">
              <w:rPr>
                <w:rFonts w:ascii="Verdana" w:hAnsi="Verdana" w:cs="Arial"/>
                <w:lang w:val="es-ES_tradnl"/>
              </w:rPr>
              <w:t xml:space="preserve">Ley 2294 de 2023, artículo 200. </w:t>
            </w:r>
          </w:p>
          <w:p w14:paraId="3516FFA4" w14:textId="77777777" w:rsidR="00AF6DA4" w:rsidRPr="00827940" w:rsidRDefault="00AF6DA4" w:rsidP="00AF6DA4">
            <w:pPr>
              <w:widowControl w:val="0"/>
              <w:numPr>
                <w:ilvl w:val="0"/>
                <w:numId w:val="20"/>
              </w:numPr>
              <w:autoSpaceDE w:val="0"/>
              <w:autoSpaceDN w:val="0"/>
              <w:spacing w:before="120" w:after="120" w:line="276" w:lineRule="auto"/>
              <w:jc w:val="both"/>
              <w:rPr>
                <w:rFonts w:ascii="Verdana" w:hAnsi="Verdana" w:cs="Arial"/>
                <w:lang w:val="es-ES_tradnl"/>
              </w:rPr>
            </w:pPr>
            <w:r w:rsidRPr="0081781F">
              <w:rPr>
                <w:rFonts w:ascii="Verdana" w:hAnsi="Verdana" w:cs="Arial"/>
                <w:lang w:val="es-ES_tradnl"/>
              </w:rPr>
              <w:t>Decreto 1081 de 2015, artículos 2.1.1.2.1.7.,</w:t>
            </w:r>
            <w:r w:rsidRPr="0081781F">
              <w:rPr>
                <w:rFonts w:ascii="Verdana" w:eastAsia="Calibri" w:hAnsi="Verdana" w:cs="Arial"/>
                <w:bCs/>
                <w:iCs/>
                <w:lang w:eastAsia="es-ES_tradnl"/>
              </w:rPr>
              <w:t xml:space="preserve"> </w:t>
            </w:r>
            <w:r w:rsidRPr="0081781F">
              <w:rPr>
                <w:rFonts w:ascii="Verdana" w:hAnsi="Verdana" w:cs="Arial"/>
                <w:bCs/>
                <w:iCs/>
              </w:rPr>
              <w:t>2.1.4.3.1.1.,</w:t>
            </w:r>
            <w:r w:rsidRPr="0081781F">
              <w:rPr>
                <w:rFonts w:ascii="Verdana" w:hAnsi="Verdana" w:cs="Arial"/>
                <w:lang w:val="es-ES_tradnl"/>
              </w:rPr>
              <w:t xml:space="preserve"> </w:t>
            </w:r>
            <w:r w:rsidRPr="0081781F">
              <w:rPr>
                <w:rFonts w:ascii="Verdana" w:hAnsi="Verdana" w:cs="Arial"/>
                <w:bCs/>
                <w:iCs/>
              </w:rPr>
              <w:t xml:space="preserve">2.1.4.3.1.2., 2.1.4.3.2.1, </w:t>
            </w:r>
            <w:r w:rsidRPr="00E47CAB">
              <w:rPr>
                <w:rFonts w:ascii="Verdana" w:eastAsia="Calibri" w:hAnsi="Verdana" w:cs="Arial"/>
                <w:bCs/>
                <w:iCs/>
                <w:lang w:eastAsia="es-ES_tradnl"/>
              </w:rPr>
              <w:t>2.1.4.3.2.2.</w:t>
            </w:r>
          </w:p>
          <w:p w14:paraId="4E5A076D" w14:textId="77777777" w:rsidR="00AF6DA4" w:rsidRDefault="00AF6DA4" w:rsidP="00AF6DA4">
            <w:pPr>
              <w:widowControl w:val="0"/>
              <w:numPr>
                <w:ilvl w:val="0"/>
                <w:numId w:val="20"/>
              </w:numPr>
              <w:autoSpaceDE w:val="0"/>
              <w:autoSpaceDN w:val="0"/>
              <w:spacing w:before="120" w:after="120" w:line="276" w:lineRule="auto"/>
              <w:jc w:val="both"/>
              <w:rPr>
                <w:rFonts w:ascii="Verdana" w:hAnsi="Verdana" w:cs="Arial"/>
                <w:lang w:val="es-ES_tradnl"/>
              </w:rPr>
            </w:pPr>
            <w:r w:rsidRPr="00827940">
              <w:rPr>
                <w:rFonts w:ascii="Verdana" w:hAnsi="Verdana" w:cs="Arial"/>
                <w:lang w:val="es-ES_tradnl"/>
              </w:rPr>
              <w:t>Decreto 1082 de 2015, artículos 2.2.1.1.1.7.1, 2.2.1.1.1.3.1., 2.2.2.1.8.3., 2.2.2.1.5.11., 2.2.2.1.12.7.</w:t>
            </w:r>
          </w:p>
          <w:p w14:paraId="6EDBBA0F" w14:textId="77777777" w:rsidR="00AF6DA4" w:rsidRPr="00827940" w:rsidRDefault="00AF6DA4" w:rsidP="00AF6DA4">
            <w:pPr>
              <w:widowControl w:val="0"/>
              <w:numPr>
                <w:ilvl w:val="0"/>
                <w:numId w:val="20"/>
              </w:numPr>
              <w:autoSpaceDE w:val="0"/>
              <w:autoSpaceDN w:val="0"/>
              <w:spacing w:before="120" w:after="120" w:line="276" w:lineRule="auto"/>
              <w:jc w:val="both"/>
              <w:rPr>
                <w:rFonts w:ascii="Verdana" w:hAnsi="Verdana" w:cs="Arial"/>
                <w:lang w:val="es-ES_tradnl"/>
              </w:rPr>
            </w:pPr>
            <w:r>
              <w:rPr>
                <w:rFonts w:ascii="Verdana" w:hAnsi="Verdana" w:cs="Arial"/>
                <w:lang w:val="es-ES_tradnl"/>
              </w:rPr>
              <w:t xml:space="preserve">Decreto 1600 de 2024. </w:t>
            </w:r>
          </w:p>
        </w:tc>
      </w:tr>
    </w:tbl>
    <w:p w14:paraId="3B2E8D6F" w14:textId="77777777" w:rsidR="00AF6DA4" w:rsidRPr="00392E13" w:rsidRDefault="00AF6DA4" w:rsidP="00AF6DA4">
      <w:pPr>
        <w:spacing w:after="0" w:line="276" w:lineRule="auto"/>
        <w:ind w:right="709"/>
        <w:jc w:val="both"/>
        <w:rPr>
          <w:rFonts w:ascii="Verdana" w:hAnsi="Verdana" w:cs="Arial"/>
          <w:color w:val="000000" w:themeColor="text1"/>
          <w:lang w:val="es-ES_tradnl"/>
        </w:rPr>
      </w:pPr>
    </w:p>
    <w:p w14:paraId="03F4AEB9" w14:textId="77777777" w:rsidR="00AF6DA4" w:rsidRPr="00392E13" w:rsidRDefault="00AF6DA4" w:rsidP="00AF6DA4">
      <w:pPr>
        <w:numPr>
          <w:ilvl w:val="0"/>
          <w:numId w:val="19"/>
        </w:numPr>
        <w:spacing w:after="0" w:line="276" w:lineRule="auto"/>
        <w:ind w:left="0" w:firstLine="0"/>
        <w:rPr>
          <w:rFonts w:ascii="Verdana" w:eastAsia="Calibri" w:hAnsi="Verdana" w:cs="Times New Roman"/>
          <w:b/>
          <w:bCs/>
          <w:lang w:val="es-ES"/>
        </w:rPr>
      </w:pPr>
      <w:r w:rsidRPr="00392E13">
        <w:rPr>
          <w:rFonts w:ascii="Verdana" w:eastAsia="Calibri" w:hAnsi="Verdana" w:cs="Times New Roman"/>
          <w:b/>
          <w:bCs/>
          <w:lang w:val="es-ES"/>
        </w:rPr>
        <w:t>Doctrina de la Agencia Nacional de Contratación Pública:</w:t>
      </w:r>
    </w:p>
    <w:p w14:paraId="5CDFA90D" w14:textId="77777777" w:rsidR="00AF6DA4" w:rsidRPr="00392E13" w:rsidRDefault="00AF6DA4" w:rsidP="00AF6DA4">
      <w:pPr>
        <w:widowControl w:val="0"/>
        <w:autoSpaceDE w:val="0"/>
        <w:autoSpaceDN w:val="0"/>
        <w:spacing w:after="0" w:line="276" w:lineRule="auto"/>
        <w:jc w:val="both"/>
        <w:rPr>
          <w:rFonts w:ascii="Verdana" w:hAnsi="Verdana" w:cs="Arial"/>
          <w:bCs/>
          <w:shd w:val="clear" w:color="auto" w:fill="FFFFFF"/>
        </w:rPr>
      </w:pPr>
    </w:p>
    <w:p w14:paraId="0B653A42" w14:textId="77777777" w:rsidR="00AF6DA4" w:rsidRPr="009C0E03" w:rsidRDefault="00AF6DA4" w:rsidP="00AF6DA4">
      <w:pPr>
        <w:widowControl w:val="0"/>
        <w:autoSpaceDE w:val="0"/>
        <w:autoSpaceDN w:val="0"/>
        <w:spacing w:after="0" w:line="276" w:lineRule="auto"/>
        <w:jc w:val="both"/>
        <w:rPr>
          <w:rFonts w:ascii="Verdana" w:hAnsi="Verdana" w:cs="Arial"/>
          <w:bCs/>
          <w:shd w:val="clear" w:color="auto" w:fill="FFFFFF"/>
        </w:rPr>
      </w:pPr>
      <w:r w:rsidRPr="00392E13">
        <w:rPr>
          <w:rFonts w:ascii="Verdana" w:hAnsi="Verdana" w:cs="Arial"/>
          <w:bCs/>
          <w:shd w:val="clear" w:color="auto" w:fill="FFFFFF"/>
        </w:rPr>
        <w:t xml:space="preserve">La Agencia Nacional de Contratación Pública – Colombia Compra Eficiente, en los conceptos </w:t>
      </w:r>
      <w:r w:rsidRPr="00392E13">
        <w:rPr>
          <w:rFonts w:ascii="Verdana" w:hAnsi="Verdana" w:cs="Arial"/>
          <w:bCs/>
          <w:shd w:val="clear" w:color="auto" w:fill="FFFFFF"/>
          <w:lang w:val="es-ES_tradnl"/>
        </w:rPr>
        <w:t>CU-367 del 23 de julio de 2020, reiterado en los conceptos: C−433 de 24 de julio de 2020, C−468 del 24 de julio de 2020, C−474 de 24 de julio de 2020, C−488 del 28 de julio de 2020, C−544 del 21 de agosto de 2020, C−575 del 27 de agosto de 2020, C−643 del 26 de octubre de 2020, C−661 del 17 de noviembre de 2020, C-094 del 13 de abril de 2021, C−068 del 22 de abril de 2021, C-185 del 29 de abril de 2021, C-472 del 6 de septiembre de 2021 y C-804 de 2024</w:t>
      </w:r>
      <w:r w:rsidRPr="00392E13">
        <w:rPr>
          <w:rFonts w:ascii="Verdana" w:hAnsi="Verdana" w:cs="Arial"/>
          <w:bCs/>
          <w:shd w:val="clear" w:color="auto" w:fill="FFFFFF"/>
        </w:rPr>
        <w:t>, C-185 del 2</w:t>
      </w:r>
      <w:r>
        <w:rPr>
          <w:rFonts w:ascii="Verdana" w:hAnsi="Verdana" w:cs="Arial"/>
          <w:bCs/>
          <w:shd w:val="clear" w:color="auto" w:fill="FFFFFF"/>
        </w:rPr>
        <w:t xml:space="preserve">4 de marzo de 2025, C-487 del 30 de mayo de 2025, entre otros. En torno al alcance </w:t>
      </w:r>
      <w:r w:rsidRPr="00392E13">
        <w:rPr>
          <w:rFonts w:ascii="Verdana" w:hAnsi="Verdana" w:cs="Arial"/>
          <w:bCs/>
          <w:shd w:val="clear" w:color="auto" w:fill="FFFFFF"/>
        </w:rPr>
        <w:t>del deber de publicidad del Decreto 1081 de 2015 modific</w:t>
      </w:r>
      <w:r>
        <w:rPr>
          <w:rFonts w:ascii="Verdana" w:hAnsi="Verdana" w:cs="Arial"/>
          <w:bCs/>
          <w:shd w:val="clear" w:color="auto" w:fill="FFFFFF"/>
        </w:rPr>
        <w:t>ado por el Decreto 1600 de 2024 se expidió el Concepto C-292 del 21 de abril de 2025.</w:t>
      </w:r>
      <w:r w:rsidRPr="00392E13">
        <w:rPr>
          <w:rFonts w:ascii="Verdana" w:hAnsi="Verdana" w:cs="Arial"/>
          <w:bCs/>
          <w:shd w:val="clear" w:color="auto" w:fill="FFFFFF"/>
        </w:rPr>
        <w:t xml:space="preserve"> </w:t>
      </w:r>
      <w:r w:rsidRPr="00392E13">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4578A3FC" w14:textId="77777777" w:rsidR="00AF6DA4" w:rsidRPr="00392E13" w:rsidRDefault="00AF6DA4" w:rsidP="00AF6DA4">
      <w:pPr>
        <w:spacing w:after="0" w:line="256" w:lineRule="auto"/>
        <w:jc w:val="both"/>
        <w:rPr>
          <w:rFonts w:ascii="Verdana" w:eastAsia="Calibri" w:hAnsi="Verdana" w:cs="Times New Roman"/>
        </w:rPr>
      </w:pPr>
      <w:hyperlink r:id="rId15" w:history="1">
        <w:r w:rsidRPr="00E47CAB">
          <w:rPr>
            <w:rStyle w:val="Hipervnculo"/>
            <w:rFonts w:ascii="Verdana" w:hAnsi="Verdana"/>
          </w:rPr>
          <w:t>https://www.colombiacompra.gov.co/normativa-y-relatoria/conoce-la-relatoria</w:t>
        </w:r>
      </w:hyperlink>
      <w:r w:rsidRPr="00E47CAB">
        <w:rPr>
          <w:rFonts w:ascii="Verdana" w:hAnsi="Verdana"/>
        </w:rPr>
        <w:t xml:space="preserve"> </w:t>
      </w:r>
    </w:p>
    <w:p w14:paraId="4037C241" w14:textId="77777777" w:rsidR="00AF6DA4" w:rsidRPr="00185EE9" w:rsidRDefault="00AF6DA4" w:rsidP="00AF6DA4">
      <w:pPr>
        <w:spacing w:after="0" w:line="256" w:lineRule="auto"/>
        <w:jc w:val="both"/>
        <w:rPr>
          <w:rFonts w:ascii="Verdana" w:eastAsia="Calibri" w:hAnsi="Verdana" w:cs="Times New Roman"/>
        </w:rPr>
      </w:pPr>
      <w:r w:rsidRPr="00C91B94">
        <w:rPr>
          <w:rFonts w:ascii="Verdana" w:eastAsia="Calibri" w:hAnsi="Verdana" w:cs="Times New Roman"/>
        </w:rPr>
        <w:br/>
      </w:r>
      <w:r w:rsidRPr="0019378A">
        <w:rPr>
          <w:rFonts w:ascii="Verdana" w:eastAsia="Calibri" w:hAnsi="Verdana" w:cs="Times New Roman"/>
        </w:rPr>
        <w:t xml:space="preserve">Te informamos que ya se encuentra disponible la </w:t>
      </w:r>
      <w:r w:rsidRPr="0019378A">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19378A">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19378A">
        <w:rPr>
          <w:rFonts w:ascii="Verdana" w:eastAsia="Calibri" w:hAnsi="Verdana" w:cs="Times New Roman"/>
        </w:rPr>
        <w:t>Wayúu</w:t>
      </w:r>
      <w:proofErr w:type="spellEnd"/>
      <w:r w:rsidRPr="0019378A">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36240AEF" w14:textId="77777777" w:rsidR="00AF6DA4" w:rsidRPr="0044528D" w:rsidRDefault="00AF6DA4" w:rsidP="00AF6DA4">
      <w:pPr>
        <w:spacing w:after="0" w:line="240" w:lineRule="auto"/>
        <w:jc w:val="both"/>
        <w:rPr>
          <w:rFonts w:ascii="Verdana" w:hAnsi="Verdana"/>
        </w:rPr>
      </w:pPr>
    </w:p>
    <w:p w14:paraId="1FC44C11" w14:textId="77777777" w:rsidR="00AF6DA4" w:rsidRPr="00185EE9" w:rsidRDefault="00AF6DA4" w:rsidP="00AF6DA4">
      <w:pPr>
        <w:spacing w:after="0" w:line="256" w:lineRule="auto"/>
        <w:jc w:val="both"/>
        <w:rPr>
          <w:rFonts w:ascii="Verdana" w:eastAsia="Calibri" w:hAnsi="Verdana" w:cs="Times New Roman"/>
          <w:bCs/>
          <w:lang w:val="es-ES_tradnl"/>
        </w:rPr>
      </w:pPr>
      <w:r w:rsidRPr="00185EE9">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8A6E877" w14:textId="77777777" w:rsidR="00AF6DA4" w:rsidRPr="00185EE9" w:rsidRDefault="00AF6DA4" w:rsidP="00AF6DA4">
      <w:pPr>
        <w:spacing w:after="0" w:line="256" w:lineRule="auto"/>
        <w:jc w:val="both"/>
        <w:rPr>
          <w:rFonts w:ascii="Verdana" w:eastAsia="Calibri" w:hAnsi="Verdana" w:cs="Times New Roman"/>
        </w:rPr>
      </w:pPr>
    </w:p>
    <w:p w14:paraId="4630F13A" w14:textId="77777777" w:rsidR="00AF6DA4" w:rsidRDefault="00AF6DA4" w:rsidP="00AF6DA4">
      <w:pPr>
        <w:spacing w:after="0" w:line="256" w:lineRule="auto"/>
        <w:jc w:val="both"/>
        <w:rPr>
          <w:rFonts w:ascii="Verdana" w:eastAsia="Calibri" w:hAnsi="Verdana" w:cs="Times New Roman"/>
        </w:rPr>
      </w:pPr>
      <w:r w:rsidRPr="00185EE9">
        <w:rPr>
          <w:rFonts w:ascii="Verdana" w:eastAsia="Calibri" w:hAnsi="Verdana" w:cs="Times New Roman"/>
        </w:rPr>
        <w:t>Atentamente,</w:t>
      </w:r>
    </w:p>
    <w:p w14:paraId="5EA3094C" w14:textId="77777777" w:rsidR="00AF6DA4" w:rsidRPr="00286830" w:rsidRDefault="00AF6DA4" w:rsidP="00AF6DA4">
      <w:pPr>
        <w:spacing w:after="0" w:line="256" w:lineRule="auto"/>
        <w:jc w:val="both"/>
        <w:rPr>
          <w:rFonts w:ascii="Verdana" w:eastAsia="Calibri" w:hAnsi="Verdana" w:cs="Times New Roman"/>
        </w:rPr>
      </w:pPr>
    </w:p>
    <w:p w14:paraId="2FA89089" w14:textId="7456D840" w:rsidR="00AF6DA4" w:rsidRPr="00286830" w:rsidRDefault="00903C31" w:rsidP="00AF6DA4">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42B30650" wp14:editId="6905F6AA">
            <wp:extent cx="3279697" cy="1217463"/>
            <wp:effectExtent l="0" t="0" r="0" b="1905"/>
            <wp:docPr id="5"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312722" cy="1229722"/>
                    </a:xfrm>
                    <a:prstGeom prst="rect">
                      <a:avLst/>
                    </a:prstGeom>
                  </pic:spPr>
                </pic:pic>
              </a:graphicData>
            </a:graphic>
          </wp:inline>
        </w:drawing>
      </w:r>
    </w:p>
    <w:p w14:paraId="70BDAF22" w14:textId="77777777" w:rsidR="00AF6DA4" w:rsidRPr="00286830" w:rsidRDefault="00AF6DA4" w:rsidP="00AF6DA4">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AF6DA4" w:rsidRPr="00286830" w14:paraId="32B2B9C6" w14:textId="77777777" w:rsidTr="00F57C42">
        <w:trPr>
          <w:trHeight w:val="409"/>
        </w:trPr>
        <w:tc>
          <w:tcPr>
            <w:tcW w:w="817" w:type="dxa"/>
            <w:tcBorders>
              <w:top w:val="nil"/>
              <w:left w:val="nil"/>
              <w:bottom w:val="nil"/>
              <w:right w:val="nil"/>
            </w:tcBorders>
            <w:vAlign w:val="center"/>
            <w:hideMark/>
          </w:tcPr>
          <w:p w14:paraId="37F4A39D" w14:textId="77777777" w:rsidR="00AF6DA4" w:rsidRPr="00286830" w:rsidRDefault="00AF6DA4" w:rsidP="00F57C42">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3F35860B" w14:textId="77777777" w:rsidR="00AF6DA4" w:rsidRPr="00286830" w:rsidRDefault="00AF6DA4" w:rsidP="00F57C42">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José Luis Sánchez Cardona</w:t>
            </w:r>
          </w:p>
          <w:p w14:paraId="03641CD5" w14:textId="77777777" w:rsidR="00AF6DA4" w:rsidRPr="00286830" w:rsidRDefault="00AF6DA4" w:rsidP="00F57C42">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Contratista de la Subdirección de Gestión Contractual</w:t>
            </w:r>
          </w:p>
        </w:tc>
      </w:tr>
      <w:tr w:rsidR="00AF6DA4" w:rsidRPr="00286830" w14:paraId="5D8A385C" w14:textId="77777777" w:rsidTr="00F57C42">
        <w:trPr>
          <w:trHeight w:val="409"/>
        </w:trPr>
        <w:tc>
          <w:tcPr>
            <w:tcW w:w="817" w:type="dxa"/>
            <w:tcBorders>
              <w:top w:val="nil"/>
              <w:left w:val="nil"/>
              <w:bottom w:val="nil"/>
              <w:right w:val="nil"/>
            </w:tcBorders>
            <w:vAlign w:val="center"/>
            <w:hideMark/>
          </w:tcPr>
          <w:p w14:paraId="0D8DA2B8" w14:textId="77777777" w:rsidR="00AF6DA4" w:rsidRPr="00286830" w:rsidRDefault="00AF6DA4" w:rsidP="00F57C42">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DA832C1" w14:textId="77777777" w:rsidR="00AF6DA4" w:rsidRPr="00286830" w:rsidRDefault="00AF6DA4" w:rsidP="00F57C42">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Alejandro Sarmiento Cantillo</w:t>
            </w:r>
          </w:p>
          <w:p w14:paraId="08AFDBA7" w14:textId="77777777" w:rsidR="00AF6DA4" w:rsidRPr="00286830" w:rsidRDefault="00AF6DA4" w:rsidP="00F57C42">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Gestor T1-15 de la Subdirección de Gestión Contractual </w:t>
            </w:r>
          </w:p>
        </w:tc>
      </w:tr>
      <w:tr w:rsidR="00AF6DA4" w:rsidRPr="00286830" w14:paraId="040B7641" w14:textId="77777777" w:rsidTr="00F57C42">
        <w:trPr>
          <w:trHeight w:val="389"/>
        </w:trPr>
        <w:tc>
          <w:tcPr>
            <w:tcW w:w="817" w:type="dxa"/>
            <w:tcBorders>
              <w:top w:val="nil"/>
              <w:left w:val="nil"/>
              <w:bottom w:val="nil"/>
              <w:right w:val="nil"/>
            </w:tcBorders>
            <w:vAlign w:val="center"/>
            <w:hideMark/>
          </w:tcPr>
          <w:p w14:paraId="1AA0FF16" w14:textId="77777777" w:rsidR="00AF6DA4" w:rsidRPr="00286830" w:rsidRDefault="00AF6DA4" w:rsidP="00F57C42">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D66A46B" w14:textId="77777777" w:rsidR="00AF6DA4" w:rsidRPr="00286830" w:rsidRDefault="00AF6DA4" w:rsidP="00F57C42">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 xml:space="preserve">Carolina Quintero </w:t>
            </w:r>
            <w:proofErr w:type="spellStart"/>
            <w:r w:rsidRPr="00286830">
              <w:rPr>
                <w:rFonts w:ascii="Verdana" w:eastAsia="Calibri" w:hAnsi="Verdana" w:cs="Times New Roman"/>
                <w:sz w:val="16"/>
                <w:szCs w:val="16"/>
              </w:rPr>
              <w:t>Gacharná</w:t>
            </w:r>
            <w:proofErr w:type="spellEnd"/>
          </w:p>
          <w:p w14:paraId="55BE63E7" w14:textId="77777777" w:rsidR="00AF6DA4" w:rsidRPr="00286830" w:rsidRDefault="00AF6DA4" w:rsidP="00F57C42">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Subdirectora de Gestión Contractual ANCP – CCE</w:t>
            </w:r>
          </w:p>
        </w:tc>
      </w:tr>
      <w:bookmarkEnd w:id="0"/>
    </w:tbl>
    <w:p w14:paraId="46C44D37" w14:textId="77777777" w:rsidR="00AF6DA4" w:rsidRPr="0044528D" w:rsidRDefault="00AF6DA4" w:rsidP="00AF6DA4">
      <w:pPr>
        <w:spacing w:after="0"/>
        <w:rPr>
          <w:rFonts w:ascii="Verdana" w:hAnsi="Verdana"/>
        </w:rPr>
      </w:pPr>
    </w:p>
    <w:p w14:paraId="63E826D0" w14:textId="73787D34" w:rsidR="0057702A" w:rsidRPr="00AF6DA4" w:rsidRDefault="0057702A" w:rsidP="00AF6DA4"/>
    <w:sectPr w:rsidR="0057702A" w:rsidRPr="00AF6DA4"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0927E4" w14:textId="77777777" w:rsidR="00C0454D" w:rsidRDefault="00C0454D" w:rsidP="004A1847">
      <w:pPr>
        <w:spacing w:after="0" w:line="240" w:lineRule="auto"/>
      </w:pPr>
      <w:r>
        <w:separator/>
      </w:r>
    </w:p>
  </w:endnote>
  <w:endnote w:type="continuationSeparator" w:id="0">
    <w:p w14:paraId="020784BE" w14:textId="77777777" w:rsidR="00C0454D" w:rsidRDefault="00C0454D" w:rsidP="004A1847">
      <w:pPr>
        <w:spacing w:after="0" w:line="240" w:lineRule="auto"/>
      </w:pPr>
      <w:r>
        <w:continuationSeparator/>
      </w:r>
    </w:p>
  </w:endnote>
  <w:endnote w:type="continuationNotice" w:id="1">
    <w:p w14:paraId="33375FDC" w14:textId="77777777" w:rsidR="00C0454D" w:rsidRDefault="00C0454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0E694F" w:rsidRDefault="000E694F">
    <w:pPr>
      <w:pStyle w:val="Piedepgina"/>
    </w:pPr>
  </w:p>
  <w:p w14:paraId="594D6D9F" w14:textId="61DAE2F8" w:rsidR="000E694F" w:rsidRPr="00174B77" w:rsidRDefault="000E694F"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5765D0" w:rsidRPr="005765D0">
      <w:rPr>
        <w:rFonts w:ascii="Verdana" w:eastAsiaTheme="minorEastAsia" w:hAnsi="Verdana"/>
        <w:b/>
        <w:bCs/>
        <w:noProof/>
        <w:sz w:val="16"/>
        <w:szCs w:val="16"/>
      </w:rPr>
      <w:t>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0E694F" w:rsidRDefault="000E694F"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0E694F" w:rsidRPr="00E41027" w:rsidRDefault="000E694F"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C1174F" w:rsidRDefault="00C1174F">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A2BD3E" w14:textId="77777777" w:rsidR="00C0454D" w:rsidRDefault="00C0454D" w:rsidP="004A1847">
      <w:pPr>
        <w:spacing w:after="0" w:line="240" w:lineRule="auto"/>
      </w:pPr>
      <w:r>
        <w:separator/>
      </w:r>
    </w:p>
  </w:footnote>
  <w:footnote w:type="continuationSeparator" w:id="0">
    <w:p w14:paraId="34C9AC8C" w14:textId="77777777" w:rsidR="00C0454D" w:rsidRDefault="00C0454D" w:rsidP="004A1847">
      <w:pPr>
        <w:spacing w:after="0" w:line="240" w:lineRule="auto"/>
      </w:pPr>
      <w:r>
        <w:continuationSeparator/>
      </w:r>
    </w:p>
  </w:footnote>
  <w:footnote w:type="continuationNotice" w:id="1">
    <w:p w14:paraId="25661E67" w14:textId="77777777" w:rsidR="00C0454D" w:rsidRDefault="00C0454D">
      <w:pPr>
        <w:spacing w:after="0" w:line="240" w:lineRule="auto"/>
      </w:pPr>
    </w:p>
  </w:footnote>
  <w:footnote w:id="2">
    <w:p w14:paraId="074DE9FC" w14:textId="77777777" w:rsidR="00AF6DA4" w:rsidRPr="00EB4645" w:rsidRDefault="00AF6DA4" w:rsidP="00AF6DA4">
      <w:pPr>
        <w:pStyle w:val="Textonotapie"/>
        <w:ind w:firstLine="709"/>
        <w:jc w:val="both"/>
        <w:rPr>
          <w:rFonts w:ascii="Verdana" w:hAnsi="Verdana" w:cs="Arial"/>
          <w:sz w:val="16"/>
          <w:szCs w:val="16"/>
          <w:lang w:val="es-ES"/>
        </w:rPr>
      </w:pPr>
      <w:r w:rsidRPr="00EB4645">
        <w:rPr>
          <w:rStyle w:val="Refdenotaalpie"/>
          <w:rFonts w:ascii="Verdana" w:hAnsi="Verdana" w:cs="Arial"/>
          <w:sz w:val="16"/>
          <w:szCs w:val="16"/>
        </w:rPr>
        <w:footnoteRef/>
      </w:r>
      <w:r w:rsidRPr="00EB4645">
        <w:rPr>
          <w:rFonts w:ascii="Verdana" w:hAnsi="Verdana" w:cs="Arial"/>
          <w:sz w:val="16"/>
          <w:szCs w:val="16"/>
        </w:rPr>
        <w:t xml:space="preserve"> </w:t>
      </w:r>
      <w:r w:rsidRPr="00EB4645">
        <w:rPr>
          <w:rFonts w:ascii="Verdana" w:hAnsi="Verdana" w:cs="Arial"/>
          <w:sz w:val="16"/>
          <w:szCs w:val="16"/>
          <w:lang w:val="es-ES"/>
        </w:rPr>
        <w:t>BOBBIO, Norberto. Democracia y secreto. México: Fondo de Cultura Económica, 2013. p. 27.</w:t>
      </w:r>
    </w:p>
  </w:footnote>
  <w:footnote w:id="3">
    <w:p w14:paraId="53161940" w14:textId="77777777" w:rsidR="00AF6DA4" w:rsidRPr="00EB4645" w:rsidRDefault="00AF6DA4" w:rsidP="00AF6DA4">
      <w:pPr>
        <w:pStyle w:val="Textonotapie"/>
        <w:ind w:firstLine="709"/>
        <w:jc w:val="both"/>
        <w:rPr>
          <w:rFonts w:ascii="Verdana" w:hAnsi="Verdana" w:cs="Arial"/>
          <w:color w:val="000000" w:themeColor="text1"/>
          <w:sz w:val="16"/>
          <w:szCs w:val="16"/>
        </w:rPr>
      </w:pPr>
      <w:r w:rsidRPr="00EB4645">
        <w:rPr>
          <w:rStyle w:val="Refdenotaalpie"/>
          <w:rFonts w:ascii="Verdana" w:hAnsi="Verdana" w:cs="Arial"/>
          <w:color w:val="000000" w:themeColor="text1"/>
          <w:sz w:val="16"/>
          <w:szCs w:val="16"/>
        </w:rPr>
        <w:footnoteRef/>
      </w:r>
      <w:r w:rsidRPr="00EB4645">
        <w:rPr>
          <w:rFonts w:ascii="Verdana" w:hAnsi="Verdana" w:cs="Arial"/>
          <w:color w:val="000000" w:themeColor="text1"/>
          <w:sz w:val="16"/>
          <w:szCs w:val="16"/>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11D388A4" w14:textId="77777777" w:rsidR="00AF6DA4" w:rsidRPr="00EB4645" w:rsidRDefault="00AF6DA4" w:rsidP="00AF6DA4">
      <w:pPr>
        <w:pStyle w:val="Textonotapie"/>
        <w:ind w:firstLine="709"/>
        <w:jc w:val="both"/>
        <w:rPr>
          <w:rFonts w:ascii="Verdana" w:hAnsi="Verdana" w:cs="Arial"/>
          <w:color w:val="000000" w:themeColor="text1"/>
          <w:sz w:val="16"/>
          <w:szCs w:val="16"/>
        </w:rPr>
      </w:pPr>
      <w:r w:rsidRPr="00EB4645">
        <w:rPr>
          <w:rFonts w:ascii="Verdana" w:hAnsi="Verdana" w:cs="Arial"/>
          <w:color w:val="000000" w:themeColor="text1"/>
          <w:sz w:val="16"/>
          <w:szCs w:val="16"/>
        </w:rPr>
        <w:t>Lo anterior, sin perjuicio de las publicaciones previstas en el numeral 3 del artículo 30 de la Ley 80 de 1993.</w:t>
      </w:r>
    </w:p>
    <w:p w14:paraId="7B2DADA0" w14:textId="77777777" w:rsidR="00AF6DA4" w:rsidRPr="00EB4645" w:rsidRDefault="00AF6DA4" w:rsidP="00AF6DA4">
      <w:pPr>
        <w:pStyle w:val="Textonotapie"/>
        <w:ind w:firstLine="709"/>
        <w:jc w:val="both"/>
        <w:rPr>
          <w:rFonts w:ascii="Verdana" w:hAnsi="Verdana" w:cs="Arial"/>
          <w:color w:val="000000" w:themeColor="text1"/>
          <w:sz w:val="16"/>
          <w:szCs w:val="16"/>
        </w:rPr>
      </w:pPr>
      <w:r w:rsidRPr="00EB4645">
        <w:rPr>
          <w:rFonts w:ascii="Verdana" w:hAnsi="Verdana" w:cs="Arial"/>
          <w:color w:val="000000" w:themeColor="text1"/>
          <w:sz w:val="16"/>
          <w:szCs w:val="16"/>
        </w:rPr>
        <w:t xml:space="preserve">Con el fin de materializar los objetivos a que se refiere el inciso anterior, el Gobierno Nacional desarrollará el Sistema Electrónico para la Contratación Pública, Secop, el cual: </w:t>
      </w:r>
    </w:p>
    <w:p w14:paraId="226AE038" w14:textId="77777777" w:rsidR="00AF6DA4" w:rsidRPr="00EB4645" w:rsidRDefault="00AF6DA4" w:rsidP="00AF6DA4">
      <w:pPr>
        <w:pStyle w:val="Textonotapie"/>
        <w:ind w:firstLine="709"/>
        <w:jc w:val="both"/>
        <w:rPr>
          <w:rFonts w:ascii="Verdana" w:hAnsi="Verdana" w:cs="Arial"/>
          <w:color w:val="000000" w:themeColor="text1"/>
          <w:sz w:val="16"/>
          <w:szCs w:val="16"/>
        </w:rPr>
      </w:pPr>
      <w:r w:rsidRPr="00EB4645">
        <w:rPr>
          <w:rFonts w:ascii="Verdana" w:hAnsi="Verdana" w:cs="Arial"/>
          <w:color w:val="000000" w:themeColor="text1"/>
          <w:sz w:val="16"/>
          <w:szCs w:val="16"/>
        </w:rPr>
        <w:t>[…]</w:t>
      </w:r>
    </w:p>
    <w:p w14:paraId="79287904" w14:textId="77777777" w:rsidR="00AF6DA4" w:rsidRPr="00EB4645" w:rsidRDefault="00AF6DA4" w:rsidP="00AF6DA4">
      <w:pPr>
        <w:pStyle w:val="Textonotapie"/>
        <w:ind w:firstLine="709"/>
        <w:jc w:val="both"/>
        <w:rPr>
          <w:rFonts w:ascii="Verdana" w:hAnsi="Verdana" w:cs="Arial"/>
          <w:color w:val="000000" w:themeColor="text1"/>
          <w:sz w:val="16"/>
          <w:szCs w:val="16"/>
        </w:rPr>
      </w:pPr>
      <w:r w:rsidRPr="00EB4645">
        <w:rPr>
          <w:rFonts w:ascii="Verdana" w:hAnsi="Verdana" w:cs="Arial"/>
          <w:color w:val="000000" w:themeColor="text1"/>
          <w:sz w:val="16"/>
          <w:szCs w:val="16"/>
        </w:rPr>
        <w:t xml:space="preserve">c) Contará con la información oficial de la contratación realizada con dineros públicos, para lo cual establecerá los patrones a que haya lugar y se encargará de su difusión a través de canales electrónico”. </w:t>
      </w:r>
    </w:p>
    <w:p w14:paraId="20B782E5" w14:textId="77777777" w:rsidR="00AF6DA4" w:rsidRPr="00EB4645" w:rsidRDefault="00AF6DA4" w:rsidP="00AF6DA4">
      <w:pPr>
        <w:pStyle w:val="Textonotapie"/>
        <w:ind w:firstLine="709"/>
        <w:jc w:val="both"/>
        <w:rPr>
          <w:rFonts w:ascii="Verdana" w:hAnsi="Verdana" w:cs="Arial"/>
          <w:color w:val="000000" w:themeColor="text1"/>
          <w:sz w:val="16"/>
          <w:szCs w:val="16"/>
          <w:lang w:val="es-CO"/>
        </w:rPr>
      </w:pPr>
    </w:p>
  </w:footnote>
  <w:footnote w:id="4">
    <w:p w14:paraId="3B254928" w14:textId="77777777" w:rsidR="00AF6DA4" w:rsidRPr="00EB4645" w:rsidRDefault="00AF6DA4" w:rsidP="00AF6DA4">
      <w:pPr>
        <w:pStyle w:val="Textonotapie"/>
        <w:ind w:firstLine="709"/>
        <w:jc w:val="both"/>
        <w:rPr>
          <w:rFonts w:ascii="Verdana" w:hAnsi="Verdana" w:cs="Arial"/>
          <w:color w:val="000000" w:themeColor="text1"/>
          <w:sz w:val="16"/>
          <w:szCs w:val="16"/>
        </w:rPr>
      </w:pPr>
      <w:r w:rsidRPr="00EB4645">
        <w:rPr>
          <w:rStyle w:val="Refdenotaalpie"/>
          <w:rFonts w:ascii="Verdana" w:hAnsi="Verdana" w:cs="Arial"/>
          <w:color w:val="000000" w:themeColor="text1"/>
          <w:sz w:val="16"/>
          <w:szCs w:val="16"/>
        </w:rPr>
        <w:footnoteRef/>
      </w:r>
      <w:r w:rsidRPr="00EB4645">
        <w:rPr>
          <w:rFonts w:ascii="Verdana" w:hAnsi="Verdana" w:cs="Arial"/>
          <w:color w:val="000000" w:themeColor="text1"/>
          <w:sz w:val="16"/>
          <w:szCs w:val="16"/>
        </w:rPr>
        <w:t xml:space="preserve"> Ley 1712 de 2014: «Artículo 2. Toda información en posesión, bajo control o custodia de un sujeto obligado es pública y no podrá ser reservada o limitada sino por disposición constitucional o legal, de conformidad con la presente ley».</w:t>
      </w:r>
    </w:p>
    <w:p w14:paraId="207465B1" w14:textId="77777777" w:rsidR="00AF6DA4" w:rsidRPr="00EB4645" w:rsidRDefault="00AF6DA4" w:rsidP="00AF6DA4">
      <w:pPr>
        <w:pStyle w:val="Textonotapie"/>
        <w:ind w:firstLine="709"/>
        <w:jc w:val="both"/>
        <w:rPr>
          <w:rFonts w:ascii="Verdana" w:hAnsi="Verdana" w:cs="Arial"/>
          <w:color w:val="000000" w:themeColor="text1"/>
          <w:sz w:val="16"/>
          <w:szCs w:val="16"/>
          <w:lang w:val="es-CO"/>
        </w:rPr>
      </w:pPr>
    </w:p>
  </w:footnote>
  <w:footnote w:id="5">
    <w:p w14:paraId="2C6DE8D4" w14:textId="77777777" w:rsidR="00AF6DA4" w:rsidRPr="00EB4645" w:rsidRDefault="00AF6DA4" w:rsidP="00AF6DA4">
      <w:pPr>
        <w:pStyle w:val="Textonotapie"/>
        <w:ind w:firstLine="709"/>
        <w:jc w:val="both"/>
        <w:rPr>
          <w:rFonts w:ascii="Verdana" w:hAnsi="Verdana" w:cs="Arial"/>
          <w:color w:val="000000" w:themeColor="text1"/>
          <w:sz w:val="16"/>
          <w:szCs w:val="16"/>
        </w:rPr>
      </w:pPr>
      <w:r w:rsidRPr="00EB4645">
        <w:rPr>
          <w:rStyle w:val="Refdenotaalpie"/>
          <w:rFonts w:ascii="Verdana" w:hAnsi="Verdana" w:cs="Arial"/>
          <w:color w:val="000000" w:themeColor="text1"/>
          <w:sz w:val="16"/>
          <w:szCs w:val="16"/>
        </w:rPr>
        <w:footnoteRef/>
      </w:r>
      <w:r w:rsidRPr="00EB4645">
        <w:rPr>
          <w:rFonts w:ascii="Verdana" w:hAnsi="Verdana" w:cs="Arial"/>
          <w:color w:val="000000" w:themeColor="text1"/>
          <w:sz w:val="16"/>
          <w:szCs w:val="16"/>
        </w:rPr>
        <w:t xml:space="preserve"> Ley 1712 de 2014: «Artículo 5. Ámbito de aplicación. Las disposiciones de esta ley serán aplicables a las siguientes personas en calidad de sujetos obligados: </w:t>
      </w:r>
    </w:p>
    <w:p w14:paraId="0F89E955" w14:textId="77777777" w:rsidR="00AF6DA4" w:rsidRPr="00EB4645" w:rsidRDefault="00AF6DA4" w:rsidP="00AF6DA4">
      <w:pPr>
        <w:pStyle w:val="Textonotapie"/>
        <w:ind w:firstLine="709"/>
        <w:jc w:val="both"/>
        <w:rPr>
          <w:rFonts w:ascii="Verdana" w:hAnsi="Verdana" w:cs="Arial"/>
          <w:color w:val="000000" w:themeColor="text1"/>
          <w:sz w:val="16"/>
          <w:szCs w:val="16"/>
        </w:rPr>
      </w:pPr>
      <w:r w:rsidRPr="00EB4645">
        <w:rPr>
          <w:rFonts w:ascii="Verdana" w:hAnsi="Verdana" w:cs="Arial"/>
          <w:color w:val="000000" w:themeColor="text1"/>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38C90CF7" w14:textId="77777777" w:rsidR="00AF6DA4" w:rsidRPr="00EB4645" w:rsidRDefault="00AF6DA4" w:rsidP="00AF6DA4">
      <w:pPr>
        <w:pStyle w:val="Textonotapie"/>
        <w:ind w:firstLine="709"/>
        <w:jc w:val="both"/>
        <w:rPr>
          <w:rFonts w:ascii="Verdana" w:hAnsi="Verdana" w:cs="Arial"/>
          <w:color w:val="000000" w:themeColor="text1"/>
          <w:sz w:val="16"/>
          <w:szCs w:val="16"/>
          <w:lang w:val="es-CO"/>
        </w:rPr>
      </w:pPr>
    </w:p>
  </w:footnote>
  <w:footnote w:id="6">
    <w:p w14:paraId="14032438" w14:textId="77777777" w:rsidR="00AF6DA4" w:rsidRPr="00EB4645" w:rsidRDefault="00AF6DA4" w:rsidP="00AF6DA4">
      <w:pPr>
        <w:pStyle w:val="Textonotapie"/>
        <w:ind w:firstLine="709"/>
        <w:jc w:val="both"/>
        <w:rPr>
          <w:rFonts w:ascii="Verdana" w:hAnsi="Verdana" w:cs="Arial"/>
          <w:color w:val="000000" w:themeColor="text1"/>
          <w:sz w:val="16"/>
          <w:szCs w:val="16"/>
        </w:rPr>
      </w:pPr>
      <w:r w:rsidRPr="00EB4645">
        <w:rPr>
          <w:rFonts w:ascii="Verdana" w:eastAsia="Times New Roman" w:hAnsi="Verdana" w:cs="Arial"/>
          <w:color w:val="000000" w:themeColor="text1"/>
          <w:sz w:val="16"/>
          <w:szCs w:val="16"/>
          <w:vertAlign w:val="superscript"/>
          <w:lang w:val="es-ES" w:eastAsia="es-ES"/>
        </w:rPr>
        <w:footnoteRef/>
      </w:r>
      <w:r w:rsidRPr="00EB4645">
        <w:rPr>
          <w:rFonts w:ascii="Verdana" w:eastAsia="Times New Roman" w:hAnsi="Verdana" w:cs="Arial"/>
          <w:color w:val="000000" w:themeColor="text1"/>
          <w:sz w:val="16"/>
          <w:szCs w:val="16"/>
          <w:vertAlign w:val="superscript"/>
          <w:lang w:val="es-ES" w:eastAsia="es-ES"/>
        </w:rPr>
        <w:t xml:space="preserve"> </w:t>
      </w:r>
      <w:r w:rsidRPr="00EB4645">
        <w:rPr>
          <w:rFonts w:ascii="Verdana" w:eastAsia="Times New Roman" w:hAnsi="Verdana" w:cs="Arial"/>
          <w:color w:val="000000" w:themeColor="text1"/>
          <w:sz w:val="16"/>
          <w:szCs w:val="16"/>
          <w:lang w:val="es-ES" w:eastAsia="es-ES"/>
        </w:rPr>
        <w:t>«</w:t>
      </w:r>
      <w:r w:rsidRPr="00EB4645">
        <w:rPr>
          <w:rFonts w:ascii="Verdana" w:hAnsi="Verdana" w:cs="Arial"/>
          <w:color w:val="000000" w:themeColor="text1"/>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57912C91" w14:textId="77777777" w:rsidR="00AF6DA4" w:rsidRPr="00EB4645" w:rsidRDefault="00AF6DA4" w:rsidP="00AF6DA4">
      <w:pPr>
        <w:pStyle w:val="Textonotapie"/>
        <w:ind w:firstLine="709"/>
        <w:jc w:val="both"/>
        <w:rPr>
          <w:rFonts w:ascii="Verdana" w:eastAsia="Times New Roman" w:hAnsi="Verdana" w:cs="Arial"/>
          <w:color w:val="000000" w:themeColor="text1"/>
          <w:sz w:val="16"/>
          <w:szCs w:val="16"/>
          <w:lang w:val="es-ES" w:eastAsia="es-ES"/>
        </w:rPr>
      </w:pPr>
      <w:r w:rsidRPr="00EB4645">
        <w:rPr>
          <w:rFonts w:ascii="Verdana" w:hAnsi="Verdana" w:cs="Arial"/>
          <w:color w:val="000000" w:themeColor="text1"/>
          <w:sz w:val="16"/>
          <w:szCs w:val="16"/>
        </w:rPr>
        <w:t>[…].</w:t>
      </w:r>
    </w:p>
    <w:p w14:paraId="7767A7AA" w14:textId="77777777" w:rsidR="00AF6DA4" w:rsidRPr="00EB4645" w:rsidRDefault="00AF6DA4" w:rsidP="00AF6DA4">
      <w:pPr>
        <w:pStyle w:val="Textonotapie"/>
        <w:ind w:firstLine="709"/>
        <w:jc w:val="both"/>
        <w:rPr>
          <w:rFonts w:ascii="Verdana" w:eastAsia="Times New Roman" w:hAnsi="Verdana" w:cs="Arial"/>
          <w:color w:val="000000" w:themeColor="text1"/>
          <w:sz w:val="16"/>
          <w:szCs w:val="16"/>
          <w:lang w:val="es-ES" w:eastAsia="es-ES"/>
        </w:rPr>
      </w:pPr>
      <w:r w:rsidRPr="00EB4645">
        <w:rPr>
          <w:rFonts w:ascii="Verdana" w:eastAsia="Times New Roman" w:hAnsi="Verdana" w:cs="Arial"/>
          <w:color w:val="000000" w:themeColor="text1"/>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p w14:paraId="5E9821A9" w14:textId="77777777" w:rsidR="00AF6DA4" w:rsidRPr="00EB4645" w:rsidRDefault="00AF6DA4" w:rsidP="00AF6DA4">
      <w:pPr>
        <w:pStyle w:val="Textonotapie"/>
        <w:ind w:firstLine="709"/>
        <w:jc w:val="both"/>
        <w:rPr>
          <w:rFonts w:ascii="Verdana" w:eastAsia="Times New Roman" w:hAnsi="Verdana" w:cs="Arial"/>
          <w:color w:val="000000" w:themeColor="text1"/>
          <w:sz w:val="16"/>
          <w:szCs w:val="16"/>
          <w:lang w:val="es-ES" w:eastAsia="es-ES"/>
        </w:rPr>
      </w:pPr>
    </w:p>
  </w:footnote>
  <w:footnote w:id="7">
    <w:p w14:paraId="0D5048CF" w14:textId="77777777" w:rsidR="00AF6DA4" w:rsidRPr="00EB4645" w:rsidRDefault="00AF6DA4" w:rsidP="00AF6DA4">
      <w:pPr>
        <w:pStyle w:val="Textonotapie"/>
        <w:ind w:firstLine="709"/>
        <w:jc w:val="both"/>
        <w:rPr>
          <w:rFonts w:ascii="Verdana" w:hAnsi="Verdana" w:cs="Arial"/>
          <w:color w:val="000000"/>
          <w:sz w:val="16"/>
          <w:szCs w:val="16"/>
        </w:rPr>
      </w:pPr>
      <w:r w:rsidRPr="00EB4645">
        <w:rPr>
          <w:rStyle w:val="Refdenotaalpie"/>
          <w:rFonts w:ascii="Verdana" w:hAnsi="Verdana" w:cs="Arial"/>
          <w:color w:val="000000"/>
          <w:sz w:val="16"/>
          <w:szCs w:val="16"/>
        </w:rPr>
        <w:footnoteRef/>
      </w:r>
      <w:r w:rsidRPr="00EB4645">
        <w:rPr>
          <w:rFonts w:ascii="Verdana" w:hAnsi="Verdana" w:cs="Arial"/>
          <w:color w:val="000000"/>
          <w:sz w:val="16"/>
          <w:szCs w:val="16"/>
        </w:rPr>
        <w:t xml:space="preserve"> C</w:t>
      </w:r>
      <w:r w:rsidRPr="00EB4645">
        <w:rPr>
          <w:rFonts w:ascii="Verdana" w:eastAsia="Times New Roman" w:hAnsi="Verdana" w:cs="Arial"/>
          <w:color w:val="000000"/>
          <w:sz w:val="16"/>
          <w:szCs w:val="16"/>
          <w:lang w:val="es-ES" w:eastAsia="es-ES"/>
        </w:rPr>
        <w:t>orte Constitucional. Sentencia C‒274 de 9 de mayo de 2013. M.P. Mar</w:t>
      </w:r>
      <w:r w:rsidRPr="00EB4645">
        <w:rPr>
          <w:rFonts w:ascii="Verdana" w:eastAsia="Times New Roman" w:hAnsi="Verdana" w:cs="Century Gothic"/>
          <w:color w:val="000000"/>
          <w:sz w:val="16"/>
          <w:szCs w:val="16"/>
          <w:lang w:val="es-ES" w:eastAsia="es-ES"/>
        </w:rPr>
        <w:t>í</w:t>
      </w:r>
      <w:r w:rsidRPr="00EB4645">
        <w:rPr>
          <w:rFonts w:ascii="Verdana" w:eastAsia="Times New Roman" w:hAnsi="Verdana" w:cs="Arial"/>
          <w:color w:val="000000"/>
          <w:sz w:val="16"/>
          <w:szCs w:val="16"/>
          <w:lang w:val="es-ES" w:eastAsia="es-ES"/>
        </w:rPr>
        <w:t xml:space="preserve">a Victoria Calle Correa. </w:t>
      </w:r>
    </w:p>
    <w:p w14:paraId="5C05DCB4" w14:textId="77777777" w:rsidR="00AF6DA4" w:rsidRPr="00EB4645" w:rsidRDefault="00AF6DA4" w:rsidP="00AF6DA4">
      <w:pPr>
        <w:pStyle w:val="Textonotapie"/>
        <w:ind w:firstLine="709"/>
        <w:jc w:val="both"/>
        <w:rPr>
          <w:rFonts w:ascii="Verdana" w:hAnsi="Verdana" w:cs="Arial"/>
          <w:color w:val="000000"/>
          <w:sz w:val="16"/>
          <w:szCs w:val="16"/>
          <w:lang w:val="es-CO"/>
        </w:rPr>
      </w:pPr>
    </w:p>
  </w:footnote>
  <w:footnote w:id="8">
    <w:p w14:paraId="67F0C55F" w14:textId="77777777" w:rsidR="00AF6DA4" w:rsidRPr="00EB4645" w:rsidRDefault="00AF6DA4" w:rsidP="00AF6DA4">
      <w:pPr>
        <w:pStyle w:val="Textonotapie"/>
        <w:ind w:firstLine="708"/>
        <w:jc w:val="both"/>
        <w:rPr>
          <w:rFonts w:ascii="Verdana" w:hAnsi="Verdana" w:cs="Arial"/>
          <w:color w:val="000000"/>
          <w:sz w:val="16"/>
          <w:szCs w:val="16"/>
        </w:rPr>
      </w:pPr>
      <w:r w:rsidRPr="00EB4645">
        <w:rPr>
          <w:rStyle w:val="Refdenotaalpie"/>
          <w:rFonts w:ascii="Verdana" w:hAnsi="Verdana" w:cs="Arial"/>
          <w:color w:val="000000"/>
          <w:sz w:val="16"/>
          <w:szCs w:val="16"/>
        </w:rPr>
        <w:footnoteRef/>
      </w:r>
      <w:r w:rsidRPr="00EB4645">
        <w:rPr>
          <w:rFonts w:ascii="Verdana" w:hAnsi="Verdana" w:cs="Arial"/>
          <w:color w:val="000000"/>
          <w:sz w:val="16"/>
          <w:szCs w:val="16"/>
        </w:rPr>
        <w:t xml:space="preserve"> Decreto 4170 de 2011: “Artículo 3. Funciones: La Agencia Nacional de Contratación Pública –Colombia Compra Eficiente– ejercerá las siguientes funciones: [...]</w:t>
      </w:r>
    </w:p>
    <w:p w14:paraId="1AD0C181" w14:textId="77777777" w:rsidR="00AF6DA4" w:rsidRPr="00EB4645" w:rsidRDefault="00AF6DA4" w:rsidP="00AF6DA4">
      <w:pPr>
        <w:pStyle w:val="Textonotapie"/>
        <w:ind w:firstLine="708"/>
        <w:jc w:val="both"/>
        <w:rPr>
          <w:rFonts w:ascii="Verdana" w:hAnsi="Verdana" w:cs="Arial"/>
          <w:color w:val="000000"/>
          <w:sz w:val="16"/>
          <w:szCs w:val="16"/>
        </w:rPr>
      </w:pPr>
      <w:r w:rsidRPr="00EB4645">
        <w:rPr>
          <w:rFonts w:ascii="Verdana" w:hAnsi="Verdana" w:cs="Arial"/>
          <w:color w:val="000000"/>
          <w:sz w:val="16"/>
          <w:szCs w:val="16"/>
        </w:rPr>
        <w:t>8. Desarrollar y administrar el Sistema Electrónico para la Contratación Pública (SECOP) o el que haga sus veces, y gestionar nuevos desarrollos tecnológicos en los asuntos de su competencia, teniendo en cuenta los parámetros fijados por el Consejo Directivo [...]”.</w:t>
      </w:r>
    </w:p>
  </w:footnote>
  <w:footnote w:id="9">
    <w:p w14:paraId="559C2C3B" w14:textId="77777777" w:rsidR="00AF6DA4" w:rsidRPr="005867CF" w:rsidRDefault="00AF6DA4" w:rsidP="00AF6DA4">
      <w:pPr>
        <w:pStyle w:val="NormalWeb"/>
        <w:spacing w:before="0" w:beforeAutospacing="0" w:after="0" w:afterAutospacing="0"/>
        <w:ind w:firstLine="709"/>
        <w:jc w:val="both"/>
        <w:rPr>
          <w:rFonts w:ascii="Verdana" w:hAnsi="Verdana" w:cs="Arial"/>
          <w:sz w:val="15"/>
          <w:szCs w:val="15"/>
        </w:rPr>
      </w:pPr>
      <w:r w:rsidRPr="005867CF">
        <w:rPr>
          <w:rStyle w:val="Refdenotaalpie"/>
          <w:rFonts w:ascii="Verdana" w:hAnsi="Verdana"/>
          <w:sz w:val="15"/>
          <w:szCs w:val="15"/>
        </w:rPr>
        <w:footnoteRef/>
      </w:r>
      <w:r w:rsidRPr="005867CF">
        <w:rPr>
          <w:rFonts w:ascii="Verdana" w:hAnsi="Verdana" w:cs="Arial"/>
          <w:sz w:val="15"/>
          <w:szCs w:val="15"/>
        </w:rPr>
        <w:t xml:space="preserve"> “Los documentos públicos autorizados o suscritos por medios electrónicos tienen la validez y fuerza probatoria que le confieren a los mismos las disposiciones del Código de Procedimiento Civil.</w:t>
      </w:r>
    </w:p>
    <w:p w14:paraId="6359C061" w14:textId="77777777" w:rsidR="00AF6DA4" w:rsidRPr="005867CF" w:rsidRDefault="00AF6DA4" w:rsidP="00AF6DA4">
      <w:pPr>
        <w:pStyle w:val="NormalWeb"/>
        <w:spacing w:before="0" w:beforeAutospacing="0" w:after="0" w:afterAutospacing="0"/>
        <w:ind w:firstLine="709"/>
        <w:jc w:val="both"/>
        <w:rPr>
          <w:rFonts w:ascii="Verdana" w:hAnsi="Verdana"/>
          <w:sz w:val="15"/>
          <w:szCs w:val="15"/>
        </w:rPr>
      </w:pPr>
      <w:r w:rsidRPr="005867CF">
        <w:rPr>
          <w:rFonts w:ascii="Verdana" w:hAnsi="Verdana" w:cs="Arial"/>
          <w:sz w:val="15"/>
          <w:szCs w:val="15"/>
        </w:rPr>
        <w:t>Las reproducciones efectuadas a partir de los respectivos archivos electrónicos se reputarán auténticas para todos los efectos legales”.</w:t>
      </w:r>
      <w:r w:rsidRPr="005867CF">
        <w:rPr>
          <w:rFonts w:ascii="Verdana" w:hAnsi="Verdana"/>
          <w:sz w:val="15"/>
          <w:szCs w:val="15"/>
        </w:rPr>
        <w:t xml:space="preserve"> </w:t>
      </w:r>
    </w:p>
  </w:footnote>
  <w:footnote w:id="10">
    <w:p w14:paraId="05362721" w14:textId="77777777" w:rsidR="00AF6DA4" w:rsidRPr="005867CF" w:rsidRDefault="00AF6DA4" w:rsidP="00AF6DA4">
      <w:pPr>
        <w:pStyle w:val="Textonotapie"/>
        <w:ind w:firstLine="709"/>
        <w:jc w:val="both"/>
        <w:rPr>
          <w:rFonts w:ascii="Verdana" w:hAnsi="Verdana" w:cs="Arial"/>
          <w:sz w:val="15"/>
          <w:szCs w:val="15"/>
        </w:rPr>
      </w:pPr>
      <w:r w:rsidRPr="005867CF">
        <w:rPr>
          <w:rStyle w:val="Refdenotaalpie"/>
          <w:rFonts w:ascii="Verdana" w:hAnsi="Verdana"/>
          <w:sz w:val="15"/>
          <w:szCs w:val="15"/>
        </w:rPr>
        <w:footnoteRef/>
      </w:r>
      <w:r w:rsidRPr="005867CF">
        <w:rPr>
          <w:rFonts w:ascii="Verdana" w:hAnsi="Verdana"/>
          <w:sz w:val="15"/>
          <w:szCs w:val="15"/>
        </w:rPr>
        <w:t xml:space="preserve"> “</w:t>
      </w:r>
      <w:r w:rsidRPr="005867CF">
        <w:rPr>
          <w:rFonts w:ascii="Verdana" w:hAnsi="Verdana" w:cs="Arial"/>
          <w:sz w:val="15"/>
          <w:szCs w:val="15"/>
        </w:rPr>
        <w:t>Las autoridades, en el ejercicio de sus funciones, podrán emitir válidamente actos administrativos por medios electrónicos siempre y cuando se asegure su autenticidad, integridad y disponibilidad de acuerdo con la ley”.</w:t>
      </w:r>
    </w:p>
  </w:footnote>
  <w:footnote w:id="11">
    <w:p w14:paraId="0987C0F5" w14:textId="77777777" w:rsidR="00AF6DA4" w:rsidRPr="005867CF" w:rsidRDefault="00AF6DA4" w:rsidP="00AF6DA4">
      <w:pPr>
        <w:pStyle w:val="NormalWeb"/>
        <w:spacing w:before="0" w:beforeAutospacing="0" w:after="0" w:afterAutospacing="0"/>
        <w:ind w:firstLine="709"/>
        <w:jc w:val="both"/>
        <w:rPr>
          <w:rFonts w:ascii="Verdana" w:hAnsi="Verdana"/>
          <w:sz w:val="15"/>
          <w:szCs w:val="15"/>
        </w:rPr>
      </w:pPr>
      <w:r w:rsidRPr="005867CF">
        <w:rPr>
          <w:rStyle w:val="Refdenotaalpie"/>
          <w:rFonts w:ascii="Verdana" w:hAnsi="Verdana"/>
          <w:sz w:val="15"/>
          <w:szCs w:val="15"/>
        </w:rPr>
        <w:footnoteRef/>
      </w:r>
      <w:r w:rsidRPr="005867CF">
        <w:rPr>
          <w:rFonts w:ascii="Verdana" w:hAnsi="Verdana"/>
          <w:sz w:val="15"/>
          <w:szCs w:val="15"/>
        </w:rPr>
        <w:t xml:space="preserve"> “</w:t>
      </w:r>
      <w:r w:rsidRPr="005867CF">
        <w:rPr>
          <w:rFonts w:ascii="Verdana" w:hAnsi="Verdana"/>
          <w:bCs/>
          <w:sz w:val="15"/>
          <w:szCs w:val="15"/>
        </w:rPr>
        <w:t>Artículo 58.</w:t>
      </w:r>
      <w:r w:rsidRPr="005867CF">
        <w:rPr>
          <w:rFonts w:ascii="Verdana" w:hAnsi="Verdana"/>
          <w:b/>
          <w:bCs/>
          <w:sz w:val="15"/>
          <w:szCs w:val="15"/>
        </w:rPr>
        <w:t xml:space="preserve"> </w:t>
      </w:r>
      <w:r w:rsidRPr="005867CF">
        <w:rPr>
          <w:rFonts w:ascii="Verdana" w:hAnsi="Verdana"/>
          <w:i/>
          <w:iCs/>
          <w:sz w:val="15"/>
          <w:szCs w:val="15"/>
        </w:rPr>
        <w:t>Archivo electrónico de documentos.</w:t>
      </w:r>
      <w:r w:rsidRPr="005867CF">
        <w:rPr>
          <w:rFonts w:ascii="Verdana" w:hAnsi="Verdana"/>
          <w:sz w:val="15"/>
          <w:szCs w:val="15"/>
        </w:rPr>
        <w:t> Cuando el procedimiento administrativo se adelante utilizando medios electrónicos, los documentos deberán ser archivados en este mismo medio. Podrán almacenarse por medios electrónicos, todos los documentos utilizados en las actuaciones administrativas. </w:t>
      </w:r>
    </w:p>
    <w:p w14:paraId="380231AC" w14:textId="77777777" w:rsidR="00AF6DA4" w:rsidRPr="005867CF" w:rsidRDefault="00AF6DA4" w:rsidP="00AF6DA4">
      <w:pPr>
        <w:pStyle w:val="NormalWeb"/>
        <w:spacing w:before="0" w:beforeAutospacing="0" w:after="0" w:afterAutospacing="0"/>
        <w:ind w:firstLine="709"/>
        <w:rPr>
          <w:rFonts w:ascii="Verdana" w:hAnsi="Verdana"/>
          <w:sz w:val="15"/>
          <w:szCs w:val="15"/>
        </w:rPr>
      </w:pPr>
      <w:r w:rsidRPr="005867CF">
        <w:rPr>
          <w:rFonts w:ascii="Verdana" w:hAnsi="Verdana"/>
          <w:sz w:val="15"/>
          <w:szCs w:val="15"/>
        </w:rPr>
        <w:t>La conservación de los documentos electrónicos que contengan actos administrativos de carácter individual, deberá asegurar la autenticidad e integridad de la información necesaria para reproducirlos, y registrar las fechas de expedición, notificación y archivo”.</w:t>
      </w:r>
    </w:p>
  </w:footnote>
  <w:footnote w:id="12">
    <w:p w14:paraId="473875F1" w14:textId="77777777" w:rsidR="00AF6DA4" w:rsidRPr="005867CF" w:rsidRDefault="00AF6DA4" w:rsidP="00AF6DA4">
      <w:pPr>
        <w:pStyle w:val="NormalWeb"/>
        <w:spacing w:before="0" w:beforeAutospacing="0" w:after="0" w:afterAutospacing="0"/>
        <w:ind w:firstLine="708"/>
        <w:jc w:val="both"/>
        <w:rPr>
          <w:rFonts w:ascii="Verdana" w:hAnsi="Verdana"/>
          <w:sz w:val="15"/>
          <w:szCs w:val="15"/>
        </w:rPr>
      </w:pPr>
      <w:r w:rsidRPr="005867CF">
        <w:rPr>
          <w:rStyle w:val="Refdenotaalpie"/>
          <w:rFonts w:ascii="Verdana" w:hAnsi="Verdana"/>
          <w:sz w:val="15"/>
          <w:szCs w:val="15"/>
        </w:rPr>
        <w:footnoteRef/>
      </w:r>
      <w:r w:rsidRPr="005867CF">
        <w:rPr>
          <w:rFonts w:ascii="Verdana" w:hAnsi="Verdana"/>
          <w:sz w:val="15"/>
          <w:szCs w:val="15"/>
        </w:rPr>
        <w:t xml:space="preserve"> “</w:t>
      </w:r>
      <w:r w:rsidRPr="005867CF">
        <w:rPr>
          <w:rFonts w:ascii="Verdana" w:hAnsi="Verdana"/>
          <w:bCs/>
          <w:sz w:val="15"/>
          <w:szCs w:val="15"/>
        </w:rPr>
        <w:t>ARTÍCULO 61.</w:t>
      </w:r>
      <w:r w:rsidRPr="005867CF">
        <w:rPr>
          <w:rFonts w:ascii="Verdana" w:hAnsi="Verdana"/>
          <w:sz w:val="15"/>
          <w:szCs w:val="15"/>
        </w:rPr>
        <w:t> Recepción de documentos electrónicos por parte de las autoridades. Para la recepción de documentos electrónicos dentro de una actuación administrativa, las autoridades deberán contar con un registro electrónico de documentos, además de:</w:t>
      </w:r>
    </w:p>
    <w:p w14:paraId="5C116BF3" w14:textId="77777777" w:rsidR="00AF6DA4" w:rsidRPr="005867CF" w:rsidRDefault="00AF6DA4" w:rsidP="00AF6DA4">
      <w:pPr>
        <w:pStyle w:val="NormalWeb"/>
        <w:spacing w:before="0" w:beforeAutospacing="0" w:after="0" w:afterAutospacing="0"/>
        <w:ind w:firstLine="708"/>
        <w:jc w:val="both"/>
        <w:rPr>
          <w:rFonts w:ascii="Verdana" w:hAnsi="Verdana"/>
          <w:sz w:val="15"/>
          <w:szCs w:val="15"/>
        </w:rPr>
      </w:pPr>
      <w:r w:rsidRPr="005867CF">
        <w:rPr>
          <w:rFonts w:ascii="Verdana" w:hAnsi="Verdana"/>
          <w:sz w:val="15"/>
          <w:szCs w:val="15"/>
        </w:rPr>
        <w:t>1. Llevar un estricto control y relación de los documentos electrónicos enviados y recibidos en los sistemas de información, a través de los diversos canales, incluyendo la fecha y hora de recepción.</w:t>
      </w:r>
    </w:p>
    <w:p w14:paraId="23673B78" w14:textId="77777777" w:rsidR="00AF6DA4" w:rsidRPr="005867CF" w:rsidRDefault="00AF6DA4" w:rsidP="00AF6DA4">
      <w:pPr>
        <w:pStyle w:val="NormalWeb"/>
        <w:spacing w:before="0" w:beforeAutospacing="0" w:after="0" w:afterAutospacing="0"/>
        <w:ind w:firstLine="708"/>
        <w:jc w:val="both"/>
        <w:rPr>
          <w:rFonts w:ascii="Verdana" w:hAnsi="Verdana"/>
          <w:sz w:val="15"/>
          <w:szCs w:val="15"/>
        </w:rPr>
      </w:pPr>
      <w:r w:rsidRPr="005867CF">
        <w:rPr>
          <w:rFonts w:ascii="Verdana" w:hAnsi="Verdana"/>
          <w:sz w:val="15"/>
          <w:szCs w:val="15"/>
        </w:rPr>
        <w:t>2. Mantener los sistemas de información con capacidad suficiente y contar con las medidas adecuadas de protección de la información, de los datos y en general de seguridad digital.</w:t>
      </w:r>
    </w:p>
    <w:p w14:paraId="4A613D8A" w14:textId="77777777" w:rsidR="00AF6DA4" w:rsidRPr="005867CF" w:rsidRDefault="00AF6DA4" w:rsidP="00AF6DA4">
      <w:pPr>
        <w:pStyle w:val="NormalWeb"/>
        <w:spacing w:before="0" w:beforeAutospacing="0" w:after="0" w:afterAutospacing="0"/>
        <w:ind w:firstLine="708"/>
        <w:jc w:val="both"/>
        <w:rPr>
          <w:rFonts w:ascii="Verdana" w:hAnsi="Verdana" w:cs="Arial"/>
          <w:sz w:val="15"/>
          <w:szCs w:val="15"/>
        </w:rPr>
      </w:pPr>
      <w:r w:rsidRPr="005867CF">
        <w:rPr>
          <w:rFonts w:ascii="Verdana" w:hAnsi="Verdana"/>
          <w:sz w:val="15"/>
          <w:szCs w:val="15"/>
        </w:rPr>
        <w:t>3. Emitir y enviar un mensaje acusando el recibo o salida de las comunicaciones indicando la fecha de esta y el número de radicado asignado”</w:t>
      </w:r>
    </w:p>
  </w:footnote>
  <w:footnote w:id="13">
    <w:p w14:paraId="0F82B3E6" w14:textId="77777777" w:rsidR="00AF6DA4" w:rsidRPr="00EB4645" w:rsidRDefault="00AF6DA4" w:rsidP="00AF6DA4">
      <w:pPr>
        <w:pStyle w:val="NormalWeb"/>
        <w:spacing w:before="0" w:beforeAutospacing="0" w:after="0" w:afterAutospacing="0"/>
        <w:ind w:firstLine="708"/>
        <w:jc w:val="both"/>
        <w:rPr>
          <w:rFonts w:ascii="Verdana" w:hAnsi="Verdana" w:cs="Arial"/>
          <w:color w:val="000000"/>
          <w:sz w:val="16"/>
          <w:szCs w:val="16"/>
        </w:rPr>
      </w:pPr>
      <w:r>
        <w:rPr>
          <w:rStyle w:val="Refdenotaalpie"/>
        </w:rPr>
        <w:footnoteRef/>
      </w:r>
      <w:r>
        <w:t xml:space="preserve"> </w:t>
      </w:r>
      <w:r w:rsidRPr="0042686B">
        <w:rPr>
          <w:rStyle w:val="Textoennegrita"/>
          <w:rFonts w:ascii="Verdana" w:hAnsi="Verdana" w:cs="Arial"/>
          <w:color w:val="000000"/>
          <w:sz w:val="16"/>
          <w:szCs w:val="16"/>
        </w:rPr>
        <w:t>Artículo 200.</w:t>
      </w:r>
      <w:r>
        <w:rPr>
          <w:rStyle w:val="Textoennegrita"/>
          <w:rFonts w:ascii="Verdana" w:hAnsi="Verdana" w:cs="Arial"/>
          <w:color w:val="000000"/>
          <w:sz w:val="16"/>
          <w:szCs w:val="16"/>
        </w:rPr>
        <w:t xml:space="preserve"> </w:t>
      </w:r>
      <w:r w:rsidRPr="00EB4645">
        <w:rPr>
          <w:rStyle w:val="nfasis"/>
          <w:rFonts w:ascii="Verdana" w:hAnsi="Verdana" w:cs="Arial"/>
          <w:color w:val="000000"/>
          <w:sz w:val="16"/>
          <w:szCs w:val="16"/>
        </w:rPr>
        <w:t>Estrategia nacional de lucha contra la corrupción</w:t>
      </w:r>
      <w:r w:rsidRPr="00EB4645">
        <w:rPr>
          <w:rFonts w:ascii="Verdana" w:hAnsi="Verdana" w:cs="Arial"/>
          <w:color w:val="000000"/>
          <w:sz w:val="16"/>
          <w:szCs w:val="16"/>
        </w:rPr>
        <w:t>. Con el propósito de fortalecer las Instituciones democráticas y el Estado Social de Derecho, garantizar la protección de los derechos humanos, proteger los recursos públicos, generar condiciones adecuadas para el desarrollo socioeconómico y proteger el Medio Ambiente, el Gobierno nacional formulará una Estrategia Nacional de Lucha Contra la Corrupción. </w:t>
      </w:r>
    </w:p>
    <w:p w14:paraId="243C2D16" w14:textId="77777777" w:rsidR="00AF6DA4" w:rsidRPr="00EB4645" w:rsidRDefault="00AF6DA4" w:rsidP="00AF6DA4">
      <w:pPr>
        <w:pStyle w:val="NormalWeb"/>
        <w:spacing w:before="0" w:beforeAutospacing="0" w:after="0" w:afterAutospacing="0"/>
        <w:ind w:firstLine="708"/>
        <w:jc w:val="both"/>
        <w:rPr>
          <w:rFonts w:ascii="Verdana" w:hAnsi="Verdana" w:cs="Arial"/>
          <w:color w:val="000000"/>
          <w:sz w:val="16"/>
          <w:szCs w:val="16"/>
        </w:rPr>
      </w:pPr>
      <w:r w:rsidRPr="00EB4645">
        <w:rPr>
          <w:rFonts w:ascii="Verdana" w:hAnsi="Verdana" w:cs="Arial"/>
          <w:color w:val="000000"/>
          <w:sz w:val="16"/>
          <w:szCs w:val="16"/>
        </w:rPr>
        <w:t>La Estrategia tendrá como dimensiones la garantía de los derechos humanos, la protección al denunciante, el derecho al acceso a la información pública, el fortalecimiento de la veeduría ciudadana, la transparencia en la contratación y la gestión pública, la innovación pública y la implementación de mecanismos dirigidos a prevenir, detectar, gestionar y sancionar riesgos y hechos de corrupción bajo un enfoque sectorial. </w:t>
      </w:r>
    </w:p>
    <w:p w14:paraId="339A771D" w14:textId="77777777" w:rsidR="00AF6DA4" w:rsidRPr="00EB4645" w:rsidRDefault="00AF6DA4" w:rsidP="00AF6DA4">
      <w:pPr>
        <w:pStyle w:val="NormalWeb"/>
        <w:spacing w:before="0" w:beforeAutospacing="0" w:after="0" w:afterAutospacing="0"/>
        <w:ind w:firstLine="708"/>
        <w:jc w:val="both"/>
        <w:rPr>
          <w:rFonts w:ascii="Verdana" w:hAnsi="Verdana" w:cs="Arial"/>
          <w:color w:val="000000"/>
          <w:sz w:val="16"/>
          <w:szCs w:val="16"/>
        </w:rPr>
      </w:pPr>
      <w:r w:rsidRPr="00EB4645">
        <w:rPr>
          <w:rFonts w:ascii="Verdana" w:hAnsi="Verdana" w:cs="Arial"/>
          <w:color w:val="000000"/>
          <w:sz w:val="16"/>
          <w:szCs w:val="16"/>
        </w:rPr>
        <w:t>El Gobierno nacional en cabeza de la Secretaría de Transparencia y las Subcomisiones Técnicas de la Comisión Nacional de Moralización, serán responsables de la coordinación, elaboración y evaluación de la Estrategia Nacional de Lucha contra la corrupción. La Red Nacional de Observatorios Anticorrupción y el Departamento Nacional de Planeación prestarán apoyo técnico para su formulación, monitoreo y seguimiento. </w:t>
      </w:r>
    </w:p>
    <w:p w14:paraId="47D8705F" w14:textId="77777777" w:rsidR="00AF6DA4" w:rsidRPr="00EB4645" w:rsidRDefault="00AF6DA4" w:rsidP="00AF6DA4">
      <w:pPr>
        <w:pStyle w:val="NormalWeb"/>
        <w:spacing w:before="0" w:beforeAutospacing="0" w:after="0" w:afterAutospacing="0"/>
        <w:ind w:firstLine="708"/>
        <w:jc w:val="both"/>
        <w:rPr>
          <w:rFonts w:ascii="Verdana" w:hAnsi="Verdana" w:cs="Arial"/>
          <w:color w:val="000000"/>
          <w:sz w:val="16"/>
          <w:szCs w:val="16"/>
        </w:rPr>
      </w:pPr>
      <w:r w:rsidRPr="00EB4645">
        <w:rPr>
          <w:rFonts w:ascii="Verdana" w:hAnsi="Verdana" w:cs="Arial"/>
          <w:color w:val="000000"/>
          <w:sz w:val="16"/>
          <w:szCs w:val="16"/>
        </w:rPr>
        <w:t>En el proceso de formulación de la Estrategia se realizará una evaluación de la capacidad institucional y misional de las entidades públicas, del funcionamiento de las instancias e instrumentos de planeación existentes para la lucha contra la corrupción, y de las debilidades de articulación y coordinación interinstitucional. Así mismo, en el desarrollo de esta estrategia se promoverá la implementación de las disposiciones previstas en la Ley 1712 de 2014 frente al diseño, promoción e implementación de la política pública de acceso a la información pública y la Ley 2195 de 2022 en materia de daño y reparación de los afectados por actos de corrupción, el control y monitoreo constante del riesgo de corrupción, así como la pedagogía para la promoción de la participación ciudadana para la transparencia y lucha contra la corrupción. </w:t>
      </w:r>
    </w:p>
    <w:p w14:paraId="555BC85F" w14:textId="77777777" w:rsidR="00AF6DA4" w:rsidRPr="0042686B" w:rsidRDefault="00AF6DA4" w:rsidP="00AF6DA4">
      <w:pPr>
        <w:pStyle w:val="NormalWeb"/>
        <w:spacing w:before="0" w:beforeAutospacing="0" w:after="0" w:afterAutospacing="0"/>
        <w:ind w:firstLine="708"/>
        <w:jc w:val="both"/>
        <w:rPr>
          <w:rFonts w:ascii="Verdana" w:hAnsi="Verdana" w:cs="Arial"/>
          <w:color w:val="000000"/>
          <w:sz w:val="16"/>
          <w:szCs w:val="16"/>
        </w:rPr>
      </w:pPr>
      <w:r w:rsidRPr="0042686B">
        <w:rPr>
          <w:rStyle w:val="Textoennegrita"/>
          <w:rFonts w:ascii="Verdana" w:hAnsi="Verdana" w:cs="Arial"/>
          <w:color w:val="000000"/>
          <w:sz w:val="16"/>
          <w:szCs w:val="16"/>
        </w:rPr>
        <w:t>Parágrafo 1°.</w:t>
      </w:r>
      <w:r w:rsidRPr="0042686B">
        <w:rPr>
          <w:rFonts w:ascii="Verdana" w:hAnsi="Verdana" w:cs="Arial"/>
          <w:color w:val="000000"/>
          <w:sz w:val="16"/>
          <w:szCs w:val="16"/>
        </w:rPr>
        <w:t> En la estrategia se contemplarán los mecanismos para el seguimiento y control de los recursos públicos administrados mediante fondos o patrimonios autónomos. </w:t>
      </w:r>
    </w:p>
    <w:p w14:paraId="3D22D8E0" w14:textId="77777777" w:rsidR="00AF6DA4" w:rsidRPr="0042686B" w:rsidRDefault="00AF6DA4" w:rsidP="00AF6DA4">
      <w:pPr>
        <w:pStyle w:val="NormalWeb"/>
        <w:spacing w:before="0" w:beforeAutospacing="0" w:after="0" w:afterAutospacing="0"/>
        <w:ind w:firstLine="708"/>
        <w:jc w:val="both"/>
        <w:rPr>
          <w:rFonts w:ascii="Verdana" w:hAnsi="Verdana" w:cs="Arial"/>
          <w:color w:val="000000"/>
          <w:sz w:val="16"/>
          <w:szCs w:val="16"/>
        </w:rPr>
      </w:pPr>
      <w:r w:rsidRPr="0042686B">
        <w:rPr>
          <w:rStyle w:val="Textoennegrita"/>
          <w:rFonts w:ascii="Verdana" w:hAnsi="Verdana" w:cs="Arial"/>
          <w:color w:val="000000"/>
          <w:sz w:val="16"/>
          <w:szCs w:val="16"/>
        </w:rPr>
        <w:t>Parágrafo 2°.</w:t>
      </w:r>
      <w:r w:rsidRPr="0042686B">
        <w:rPr>
          <w:rFonts w:ascii="Verdana" w:hAnsi="Verdana" w:cs="Arial"/>
          <w:color w:val="000000"/>
          <w:sz w:val="16"/>
          <w:szCs w:val="16"/>
        </w:rPr>
        <w:t> La Comisión Nacional Ciudadana de Lucha Contra la Corrupción, la Comisión Nacional de Moralización, las Comisiones Regionales de Moralización y las organizaciones de la sociedad civil podrán presentar recomendaciones durante la formulación y evaluación de la Estrategia. </w:t>
      </w:r>
    </w:p>
    <w:p w14:paraId="7CE6E695" w14:textId="77777777" w:rsidR="00AF6DA4" w:rsidRPr="0042686B" w:rsidRDefault="00AF6DA4" w:rsidP="00AF6DA4">
      <w:pPr>
        <w:pStyle w:val="NormalWeb"/>
        <w:spacing w:before="0" w:beforeAutospacing="0" w:after="0" w:afterAutospacing="0"/>
        <w:ind w:firstLine="708"/>
        <w:jc w:val="both"/>
        <w:rPr>
          <w:rFonts w:ascii="Verdana" w:hAnsi="Verdana" w:cs="Arial"/>
          <w:color w:val="000000"/>
          <w:sz w:val="16"/>
          <w:szCs w:val="16"/>
        </w:rPr>
      </w:pPr>
      <w:r w:rsidRPr="0042686B">
        <w:rPr>
          <w:rStyle w:val="Textoennegrita"/>
          <w:rFonts w:ascii="Verdana" w:hAnsi="Verdana" w:cs="Arial"/>
          <w:color w:val="000000"/>
          <w:sz w:val="16"/>
          <w:szCs w:val="16"/>
        </w:rPr>
        <w:t>Parágrafo 3°.</w:t>
      </w:r>
      <w:r w:rsidRPr="0042686B">
        <w:rPr>
          <w:rFonts w:ascii="Verdana" w:hAnsi="Verdana" w:cs="Arial"/>
          <w:color w:val="000000"/>
          <w:sz w:val="16"/>
          <w:szCs w:val="16"/>
        </w:rPr>
        <w:t> Dentro del año siguiente a la entrada en vigor de la presente ley, el Gobierno nacional formulará y adoptará la Estrategia Nacional de Lucha Contra la Corrupción.</w:t>
      </w:r>
    </w:p>
    <w:p w14:paraId="4128E0D5" w14:textId="77777777" w:rsidR="00AF6DA4" w:rsidRPr="00EB4645" w:rsidRDefault="00AF6DA4" w:rsidP="00AF6DA4">
      <w:pPr>
        <w:pStyle w:val="Textonotapie"/>
        <w:rPr>
          <w:sz w:val="16"/>
          <w:szCs w:val="16"/>
          <w:lang w:val="es-CO"/>
        </w:rPr>
      </w:pPr>
    </w:p>
    <w:p w14:paraId="58462B36" w14:textId="77777777" w:rsidR="00AF6DA4" w:rsidRPr="0042686B" w:rsidRDefault="00AF6DA4" w:rsidP="00AF6DA4">
      <w:pPr>
        <w:pStyle w:val="Textonotapie"/>
        <w:ind w:firstLine="708"/>
        <w:rPr>
          <w:lang w:val="es-CO"/>
        </w:rPr>
      </w:pPr>
    </w:p>
  </w:footnote>
  <w:footnote w:id="14">
    <w:p w14:paraId="16F49CAC" w14:textId="77777777" w:rsidR="00AF6DA4" w:rsidRPr="00EB4645" w:rsidRDefault="00AF6DA4" w:rsidP="00AF6DA4">
      <w:pPr>
        <w:spacing w:after="0" w:line="240" w:lineRule="auto"/>
        <w:ind w:firstLine="709"/>
        <w:jc w:val="both"/>
        <w:rPr>
          <w:rFonts w:ascii="Verdana" w:eastAsia="Calibri" w:hAnsi="Verdana" w:cs="Arial"/>
          <w:bCs/>
          <w:sz w:val="16"/>
          <w:szCs w:val="16"/>
          <w:lang w:eastAsia="es-ES_tradnl"/>
        </w:rPr>
      </w:pPr>
      <w:r w:rsidRPr="00EB4645">
        <w:rPr>
          <w:rStyle w:val="Refdenotaalpie"/>
          <w:rFonts w:ascii="Verdana" w:hAnsi="Verdana"/>
          <w:sz w:val="16"/>
          <w:szCs w:val="16"/>
        </w:rPr>
        <w:footnoteRef/>
      </w:r>
      <w:r w:rsidRPr="00EB4645">
        <w:rPr>
          <w:rFonts w:ascii="Verdana" w:hAnsi="Verdana"/>
          <w:sz w:val="16"/>
          <w:szCs w:val="16"/>
        </w:rPr>
        <w:t xml:space="preserve"> </w:t>
      </w:r>
      <w:r w:rsidRPr="00EB4645">
        <w:rPr>
          <w:rFonts w:ascii="Verdana" w:eastAsia="Calibri" w:hAnsi="Verdana" w:cs="Arial"/>
          <w:bCs/>
          <w:iCs/>
          <w:sz w:val="16"/>
          <w:szCs w:val="16"/>
          <w:lang w:eastAsia="es-ES_tradnl"/>
        </w:rPr>
        <w:t>Artículo 2.1.4.3.1.2. Ámbito de aplicación.</w:t>
      </w:r>
      <w:r w:rsidRPr="00EB4645">
        <w:rPr>
          <w:rFonts w:ascii="Verdana" w:eastAsia="Calibri" w:hAnsi="Verdana" w:cs="Arial"/>
          <w:b/>
          <w:bCs/>
          <w:iCs/>
          <w:sz w:val="16"/>
          <w:szCs w:val="16"/>
          <w:lang w:eastAsia="es-ES_tradnl"/>
        </w:rPr>
        <w:t> </w:t>
      </w:r>
      <w:r w:rsidRPr="00EB4645">
        <w:rPr>
          <w:rFonts w:ascii="Verdana" w:eastAsia="Calibri" w:hAnsi="Verdana" w:cs="Arial"/>
          <w:bCs/>
          <w:iCs/>
          <w:sz w:val="16"/>
          <w:szCs w:val="16"/>
          <w:lang w:eastAsia="es-ES_tradnl"/>
        </w:rPr>
        <w:t>Las disposiciones de este Capítulo rigen en todo el territorio nacional y se aplicarán en todos los organismos, entidades y empresas del Estado del orden nacional y pertenecientes a la Rama Ejecutiva del Poder Público. </w:t>
      </w:r>
      <w:r w:rsidRPr="00EB4645">
        <w:rPr>
          <w:rFonts w:ascii="Verdana" w:eastAsia="Calibri" w:hAnsi="Verdana" w:cs="Arial"/>
          <w:bCs/>
          <w:sz w:val="16"/>
          <w:szCs w:val="16"/>
          <w:lang w:eastAsia="es-ES_tradnl"/>
        </w:rPr>
        <w:t> </w:t>
      </w:r>
    </w:p>
    <w:p w14:paraId="412B3519" w14:textId="77777777" w:rsidR="00AF6DA4" w:rsidRPr="00EB4645" w:rsidRDefault="00AF6DA4" w:rsidP="00AF6DA4">
      <w:pPr>
        <w:spacing w:after="0" w:line="240" w:lineRule="auto"/>
        <w:ind w:firstLine="709"/>
        <w:jc w:val="both"/>
        <w:rPr>
          <w:rFonts w:ascii="Verdana" w:eastAsia="Calibri" w:hAnsi="Verdana" w:cs="Arial"/>
          <w:bCs/>
          <w:sz w:val="16"/>
          <w:szCs w:val="16"/>
          <w:lang w:eastAsia="es-ES_tradnl"/>
        </w:rPr>
      </w:pPr>
      <w:r w:rsidRPr="00EB4645">
        <w:rPr>
          <w:rFonts w:ascii="Verdana" w:eastAsia="Calibri" w:hAnsi="Verdana" w:cs="Arial"/>
          <w:bCs/>
          <w:iCs/>
          <w:sz w:val="16"/>
          <w:szCs w:val="16"/>
          <w:lang w:eastAsia="es-ES_tradnl"/>
        </w:rPr>
        <w:t>Las empresas industriales y comerciales del Estado, las sociedades de economía mixta y todas las demás instituciones sometidas a regímenes especiales de contratación, darán pleno cumplimiento a las obligaciones consagradas en el presente Capítulo en aquellos aspectos en los que deban aplicar el régimen general de contratación pública. En los aspectos no regulados por dicho régimen, no se aplicará a ellas lo dispuesto en el artículo 2.1.4.3.2.1, las demás disposiciones deberán aplicarse de conformidad con su estructura orgánica y la normativa aplicable a su funcionamiento.</w:t>
      </w:r>
    </w:p>
    <w:p w14:paraId="31A0C5EB" w14:textId="77777777" w:rsidR="00AF6DA4" w:rsidRPr="00EB4645" w:rsidRDefault="00AF6DA4" w:rsidP="00AF6DA4">
      <w:pPr>
        <w:spacing w:after="0" w:line="240" w:lineRule="auto"/>
        <w:ind w:firstLine="709"/>
        <w:jc w:val="both"/>
        <w:rPr>
          <w:rFonts w:ascii="Verdana" w:eastAsia="Calibri" w:hAnsi="Verdana" w:cs="Arial"/>
          <w:bCs/>
          <w:sz w:val="16"/>
          <w:szCs w:val="16"/>
          <w:lang w:eastAsia="es-ES_tradnl"/>
        </w:rPr>
      </w:pPr>
      <w:r w:rsidRPr="00EB4645">
        <w:rPr>
          <w:rFonts w:ascii="Verdana" w:eastAsia="Calibri" w:hAnsi="Verdana" w:cs="Arial"/>
          <w:bCs/>
          <w:iCs/>
          <w:sz w:val="16"/>
          <w:szCs w:val="16"/>
          <w:lang w:eastAsia="es-ES_tradnl"/>
        </w:rPr>
        <w:t>Las entidades territoriales y sus entidades descentralizadas, en el marco de su autonomía y en cumplimiento de lo previsto en el artículo 32 de la Ley 152 de 1994, por la cual se establece la Ley orgánica de Plan de Desarrollo, aplicarán en sus planes y políticas, las líneas de acción contenidas en el presente Capítulo, en virtud de lo señalado por el artículo 200 de la Ley 2294 de 2023. </w:t>
      </w:r>
    </w:p>
    <w:p w14:paraId="7FD586EF" w14:textId="77777777" w:rsidR="00AF6DA4" w:rsidRPr="00EB4645" w:rsidRDefault="00AF6DA4" w:rsidP="00AF6DA4">
      <w:pPr>
        <w:pStyle w:val="Textonotapie"/>
        <w:rPr>
          <w:sz w:val="16"/>
          <w:szCs w:val="16"/>
          <w:lang w:val="es-CO"/>
        </w:rPr>
      </w:pPr>
    </w:p>
  </w:footnote>
  <w:footnote w:id="15">
    <w:p w14:paraId="3DA6725D" w14:textId="77777777" w:rsidR="00AF6DA4" w:rsidRPr="00EB4645" w:rsidRDefault="00AF6DA4" w:rsidP="00AF6DA4">
      <w:pPr>
        <w:pStyle w:val="Textonotapie"/>
        <w:ind w:firstLine="708"/>
        <w:jc w:val="both"/>
        <w:rPr>
          <w:rFonts w:ascii="Verdana" w:hAnsi="Verdana"/>
          <w:sz w:val="16"/>
          <w:szCs w:val="16"/>
          <w:lang w:val="es-CO"/>
        </w:rPr>
      </w:pPr>
      <w:r w:rsidRPr="00EB4645">
        <w:rPr>
          <w:rStyle w:val="Refdenotaalpie"/>
          <w:rFonts w:ascii="Verdana" w:hAnsi="Verdana"/>
          <w:sz w:val="16"/>
          <w:szCs w:val="16"/>
        </w:rPr>
        <w:footnoteRef/>
      </w:r>
      <w:r w:rsidRPr="00EB4645">
        <w:rPr>
          <w:rFonts w:ascii="Verdana" w:hAnsi="Verdana"/>
          <w:sz w:val="16"/>
          <w:szCs w:val="16"/>
        </w:rPr>
        <w:t xml:space="preserve"> </w:t>
      </w:r>
      <w:r w:rsidRPr="00EB4645">
        <w:rPr>
          <w:rFonts w:ascii="Verdana" w:hAnsi="Verdana"/>
          <w:bCs/>
          <w:sz w:val="16"/>
          <w:szCs w:val="16"/>
          <w:lang w:val="es-CO"/>
        </w:rPr>
        <w:t>Artículo 2.1.4.3.2.1. </w:t>
      </w:r>
      <w:r w:rsidRPr="00EB4645">
        <w:rPr>
          <w:rFonts w:ascii="Verdana" w:hAnsi="Verdana"/>
          <w:bCs/>
          <w:i/>
          <w:iCs/>
          <w:sz w:val="16"/>
          <w:szCs w:val="16"/>
          <w:lang w:val="es-CO"/>
        </w:rPr>
        <w:t>Prevención de corrupción en la contratación pública.</w:t>
      </w:r>
      <w:r w:rsidRPr="00EB4645">
        <w:rPr>
          <w:rFonts w:ascii="Verdana" w:hAnsi="Verdana"/>
          <w:sz w:val="16"/>
          <w:szCs w:val="16"/>
          <w:lang w:val="es-CO"/>
        </w:rPr>
        <w:t xml:space="preserve">Las entidades mencionadas en el artículo 2.1.4.3.1.2 del presente decreto, sin perjuicio de las demás obligaciones legales y reglamentarias, deberán garantizar las siguientes acciones en el desarrollo y la gestión contractual a su cargo: </w:t>
      </w:r>
    </w:p>
    <w:p w14:paraId="357E3739" w14:textId="77777777" w:rsidR="00AF6DA4" w:rsidRPr="00EB4645" w:rsidRDefault="00AF6DA4" w:rsidP="00AF6DA4">
      <w:pPr>
        <w:pStyle w:val="Textonotapie"/>
        <w:ind w:firstLine="708"/>
        <w:jc w:val="both"/>
        <w:rPr>
          <w:rFonts w:ascii="Verdana" w:hAnsi="Verdana"/>
          <w:sz w:val="16"/>
          <w:szCs w:val="16"/>
          <w:lang w:val="es-CO"/>
        </w:rPr>
      </w:pPr>
      <w:r w:rsidRPr="00EB4645">
        <w:rPr>
          <w:rFonts w:ascii="Verdana" w:hAnsi="Verdana"/>
          <w:sz w:val="16"/>
          <w:szCs w:val="16"/>
          <w:lang w:val="es-CO"/>
        </w:rPr>
        <w:t>a) </w:t>
      </w:r>
      <w:r w:rsidRPr="00EB4645">
        <w:rPr>
          <w:rFonts w:ascii="Verdana" w:hAnsi="Verdana"/>
          <w:bCs/>
          <w:sz w:val="16"/>
          <w:szCs w:val="16"/>
          <w:lang w:val="es-CO"/>
        </w:rPr>
        <w:t>Verificar la existencia de situaciones de control. </w:t>
      </w:r>
      <w:r w:rsidRPr="00EB4645">
        <w:rPr>
          <w:rFonts w:ascii="Verdana" w:hAnsi="Verdana"/>
          <w:sz w:val="16"/>
          <w:szCs w:val="16"/>
          <w:lang w:val="es-CO"/>
        </w:rPr>
        <w:t>En los términos de los artículos 260 y 261 del Código de Comercio, de las personas jurídicas oferentes y/o de los proponentes plurales. Quienes se presenten como proponentes en procesos de selección adelantados por las entidades destinatarias del presente Capítulo, en el término máximo de tres (3) días después del momento en que se cierre definitivamente la presentación de ofertas, deberán poner de presente la existencia o no de situaciones de control de las que participen y, en particular, si son contratantes, controladas o comparten alguna de estas condiciones con otras personas que se encuentren participando en el mismo procedimiento de contratación. Para el caso de los proponentes plurales, deberán indicar si las personas que los conforman se encuentran en alguna de las situaciones descritas anteriormente. Para el caso de los proponentes plurales, deberán indicar si las personas que los conforman se encuentran en alguna de las situaciones descritas anteriormente.  </w:t>
      </w:r>
    </w:p>
    <w:p w14:paraId="46194C97" w14:textId="77777777" w:rsidR="00AF6DA4" w:rsidRPr="00EB4645" w:rsidRDefault="00AF6DA4" w:rsidP="00AF6DA4">
      <w:pPr>
        <w:pStyle w:val="Textonotapie"/>
        <w:ind w:firstLine="708"/>
        <w:jc w:val="both"/>
        <w:rPr>
          <w:rFonts w:ascii="Verdana" w:hAnsi="Verdana"/>
          <w:sz w:val="16"/>
          <w:szCs w:val="16"/>
          <w:lang w:val="es-CO"/>
        </w:rPr>
      </w:pPr>
      <w:r w:rsidRPr="00EB4645">
        <w:rPr>
          <w:rFonts w:ascii="Verdana" w:hAnsi="Verdana"/>
          <w:sz w:val="16"/>
          <w:szCs w:val="16"/>
          <w:lang w:val="es-CO"/>
        </w:rPr>
        <w:t>Las entidades contratantes examinarán la existencia de las circunstancias antes descritas, con base en la información proporcionada por los oferentes y en la que reposa en los expedientes públicos registrados ante las Cámaras de Comercio, con el fin de prever la configuración de las causales de inhabilidad e incompatibilidad previstas en el artículo 8° de la Ley 80 de 1993.   </w:t>
      </w:r>
    </w:p>
    <w:p w14:paraId="539C1040" w14:textId="77777777" w:rsidR="00AF6DA4" w:rsidRPr="00EB4645" w:rsidRDefault="00AF6DA4" w:rsidP="00AF6DA4">
      <w:pPr>
        <w:pStyle w:val="Textonotapie"/>
        <w:ind w:firstLine="708"/>
        <w:jc w:val="both"/>
        <w:rPr>
          <w:rFonts w:ascii="Verdana" w:hAnsi="Verdana"/>
          <w:sz w:val="16"/>
          <w:szCs w:val="16"/>
          <w:lang w:val="es-CO"/>
        </w:rPr>
      </w:pPr>
      <w:r w:rsidRPr="00EB4645">
        <w:rPr>
          <w:rFonts w:ascii="Verdana" w:hAnsi="Verdana"/>
          <w:sz w:val="16"/>
          <w:szCs w:val="16"/>
          <w:lang w:val="es-CO"/>
        </w:rPr>
        <w:t>Cuando, en desarrollo del análisis mencionado se adviertan circunstancias que pudieran implicar afectaciones a la libertad de concurrencia o competencia, o a la pluralidad real de oferentes dentro del proceso de selección correspondiente, la entidad contratante deberá evaluar la necesidad de poner tales situaciones en conocimiento de los entes de control competentes y, de ser necesario, solicitar su acompañamiento preventivo. La Presidencia de la República, a través de la Secretaría de Transparencia, se articulará con las entidades competentes con el fin de generar los mecanismos necesarios para mitigar los riesgos de corrupción que puedan advertirse como consecuencia del análisis dispuesto en este literal.  </w:t>
      </w:r>
    </w:p>
    <w:p w14:paraId="25284776" w14:textId="77777777" w:rsidR="00AF6DA4" w:rsidRPr="00EB4645" w:rsidRDefault="00AF6DA4" w:rsidP="00AF6DA4">
      <w:pPr>
        <w:pStyle w:val="Textonotapie"/>
        <w:ind w:firstLine="708"/>
        <w:jc w:val="both"/>
        <w:rPr>
          <w:rFonts w:ascii="Verdana" w:hAnsi="Verdana"/>
          <w:sz w:val="16"/>
          <w:szCs w:val="16"/>
          <w:lang w:val="es-CO"/>
        </w:rPr>
      </w:pPr>
      <w:r w:rsidRPr="00EB4645">
        <w:rPr>
          <w:rFonts w:ascii="Verdana" w:hAnsi="Verdana"/>
          <w:sz w:val="16"/>
          <w:szCs w:val="16"/>
          <w:lang w:val="es-CO"/>
        </w:rPr>
        <w:t>b) </w:t>
      </w:r>
      <w:r w:rsidRPr="00EB4645">
        <w:rPr>
          <w:rFonts w:ascii="Verdana" w:hAnsi="Verdana"/>
          <w:bCs/>
          <w:sz w:val="16"/>
          <w:szCs w:val="16"/>
          <w:lang w:val="es-CO"/>
        </w:rPr>
        <w:t>Aplicar buenas prácticas para la contratación transparente. </w:t>
      </w:r>
      <w:r w:rsidRPr="00EB4645">
        <w:rPr>
          <w:rFonts w:ascii="Verdana" w:hAnsi="Verdana"/>
          <w:sz w:val="16"/>
          <w:szCs w:val="16"/>
          <w:lang w:val="es-CO"/>
        </w:rPr>
        <w:t>Las entidades deberán garantizar que las guías y manuales definidos por la Agencia Nacional de Contratación Pública - Colombia Compra Eficiente, para la definición de criterios que permitan garantizar la pluralidad de oferentes, se apliquen en la organización. En consecuencia, en los documentos del proceso deberá dejarse constancia que en la estructuración se tuvieron en cuenta las prácticas recomendadas por Colombia Compra Eficiente.  </w:t>
      </w:r>
    </w:p>
    <w:p w14:paraId="154A360A" w14:textId="77777777" w:rsidR="00AF6DA4" w:rsidRPr="00EB4645" w:rsidRDefault="00AF6DA4" w:rsidP="00AF6DA4">
      <w:pPr>
        <w:pStyle w:val="Textonotapie"/>
        <w:ind w:firstLine="708"/>
        <w:jc w:val="both"/>
        <w:rPr>
          <w:rFonts w:ascii="Verdana" w:hAnsi="Verdana"/>
          <w:sz w:val="16"/>
          <w:szCs w:val="16"/>
          <w:lang w:val="es-CO"/>
        </w:rPr>
      </w:pPr>
      <w:r w:rsidRPr="00EB4645">
        <w:rPr>
          <w:rFonts w:ascii="Verdana" w:hAnsi="Verdana"/>
          <w:sz w:val="16"/>
          <w:szCs w:val="16"/>
          <w:lang w:val="es-CO"/>
        </w:rPr>
        <w:t>c) </w:t>
      </w:r>
      <w:r w:rsidRPr="00EB4645">
        <w:rPr>
          <w:rFonts w:ascii="Verdana" w:hAnsi="Verdana"/>
          <w:bCs/>
          <w:sz w:val="16"/>
          <w:szCs w:val="16"/>
          <w:lang w:val="es-CO"/>
        </w:rPr>
        <w:t>Fortalecer los análisis de mercado para la fijación objetiva de precios. </w:t>
      </w:r>
      <w:r w:rsidRPr="00EB4645">
        <w:rPr>
          <w:rFonts w:ascii="Verdana" w:hAnsi="Verdana"/>
          <w:sz w:val="16"/>
          <w:szCs w:val="16"/>
          <w:lang w:val="es-CO"/>
        </w:rPr>
        <w:t>En la elaboración del análisis de mercado para fijar los precios, deberán realizarse estudios públicos y abiertos, que permitan un análisis comparativo de los precios de referencia para alcanzar valores de mercado favorables y mayor eficiencia en el gasto. En esa medida, y con el fin de mitigar sobrecostos, en la definición de presupuestos a partir de cotizaciones no se podrán realizar consultas cerradas ni direccionadas a grupos reducidos de empresas y se verificará la ausencia de inhabilidades e incompatibilidades de las empresas que coticen. En todo caso, en los documentos del proceso debe quedar constancia del proceso que permitió la determinación del precio, el mecanismo seleccionado para fijarlo y la justificación de esa elección.  </w:t>
      </w:r>
    </w:p>
    <w:p w14:paraId="5B07CBA3" w14:textId="77777777" w:rsidR="00AF6DA4" w:rsidRPr="00EB4645" w:rsidRDefault="00AF6DA4" w:rsidP="00AF6DA4">
      <w:pPr>
        <w:pStyle w:val="Textonotapie"/>
        <w:ind w:firstLine="708"/>
        <w:jc w:val="both"/>
        <w:rPr>
          <w:rFonts w:ascii="Verdana" w:hAnsi="Verdana"/>
          <w:sz w:val="16"/>
          <w:szCs w:val="16"/>
          <w:lang w:val="es-CO"/>
        </w:rPr>
      </w:pPr>
      <w:r w:rsidRPr="00EB4645">
        <w:rPr>
          <w:rFonts w:ascii="Verdana" w:hAnsi="Verdana"/>
          <w:bCs/>
          <w:sz w:val="16"/>
          <w:szCs w:val="16"/>
          <w:lang w:val="es-CO"/>
        </w:rPr>
        <w:t>Parágrafo 1°. </w:t>
      </w:r>
      <w:r w:rsidRPr="00EB4645">
        <w:rPr>
          <w:rFonts w:ascii="Verdana" w:hAnsi="Verdana"/>
          <w:sz w:val="16"/>
          <w:szCs w:val="16"/>
          <w:lang w:val="es-CO"/>
        </w:rPr>
        <w:t>Las anteriores directrices serán incorporadas por las entidades destinatarias a sus manuales de contratación, dentro de los seis (6) meses siguientes a la expedición del presente Capítulo.  </w:t>
      </w:r>
    </w:p>
    <w:p w14:paraId="551C1A49" w14:textId="77777777" w:rsidR="00AF6DA4" w:rsidRPr="00EB4645" w:rsidRDefault="00AF6DA4" w:rsidP="00AF6DA4">
      <w:pPr>
        <w:pStyle w:val="Textonotapie"/>
        <w:ind w:firstLine="708"/>
        <w:jc w:val="both"/>
        <w:rPr>
          <w:rFonts w:ascii="Verdana" w:hAnsi="Verdana"/>
          <w:sz w:val="16"/>
          <w:szCs w:val="16"/>
          <w:lang w:val="es-CO"/>
        </w:rPr>
      </w:pPr>
      <w:r w:rsidRPr="00EB4645">
        <w:rPr>
          <w:rFonts w:ascii="Verdana" w:hAnsi="Verdana"/>
          <w:bCs/>
          <w:sz w:val="16"/>
          <w:szCs w:val="16"/>
          <w:lang w:val="es-CO"/>
        </w:rPr>
        <w:t>Parágrafo 2°. </w:t>
      </w:r>
      <w:r w:rsidRPr="00EB4645">
        <w:rPr>
          <w:rFonts w:ascii="Verdana" w:hAnsi="Verdana"/>
          <w:sz w:val="16"/>
          <w:szCs w:val="16"/>
          <w:lang w:val="es-CO"/>
        </w:rPr>
        <w:t>Las entidades territoriales y sus descentralizadas, en el marco de su autonomía, incorporarán las directrices contenidas en el presente artículo, de conformidad con lo señalado en el inciso tercero del artículo 2.1.4.3.1.2 del presente decreto.  </w:t>
      </w:r>
    </w:p>
    <w:p w14:paraId="322935D7" w14:textId="77777777" w:rsidR="00AF6DA4" w:rsidRPr="00EB4645" w:rsidRDefault="00AF6DA4" w:rsidP="00AF6DA4">
      <w:pPr>
        <w:pStyle w:val="Textonotapie"/>
        <w:ind w:firstLine="708"/>
        <w:jc w:val="both"/>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0E694F" w:rsidRDefault="000E694F">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0E694F" w:rsidRDefault="000E694F">
    <w:pPr>
      <w:pStyle w:val="Encabezado"/>
    </w:pPr>
  </w:p>
  <w:p w14:paraId="3079FC11" w14:textId="77777777" w:rsidR="000E694F" w:rsidRDefault="000E694F" w:rsidP="004A305D">
    <w:pPr>
      <w:spacing w:after="0"/>
      <w:rPr>
        <w:rFonts w:ascii="Verdana" w:hAnsi="Verdana"/>
        <w:b/>
        <w:bCs/>
      </w:rPr>
    </w:pPr>
  </w:p>
  <w:p w14:paraId="5E18350A" w14:textId="705F7B76" w:rsidR="000E694F" w:rsidRPr="004A305D" w:rsidRDefault="000E694F" w:rsidP="00B01B1A">
    <w:pPr>
      <w:spacing w:after="0" w:line="120" w:lineRule="auto"/>
      <w:rPr>
        <w:rFonts w:ascii="Century Gothic" w:eastAsia="Geo" w:hAnsi="Century Gothic" w:cs="Geo"/>
        <w:sz w:val="16"/>
        <w:szCs w:val="16"/>
        <w:lang w:eastAsia="es-CO"/>
      </w:rPr>
    </w:pPr>
  </w:p>
  <w:p w14:paraId="1FD1C243" w14:textId="6D74A3CF" w:rsidR="000E694F" w:rsidRDefault="000E694F"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25pt;height:11.25pt;visibility:visibl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B1C6819"/>
    <w:multiLevelType w:val="multilevel"/>
    <w:tmpl w:val="A35A4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01D5810"/>
    <w:multiLevelType w:val="multilevel"/>
    <w:tmpl w:val="2F0C2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8BB7509"/>
    <w:multiLevelType w:val="multilevel"/>
    <w:tmpl w:val="69F44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BCD0247"/>
    <w:multiLevelType w:val="multilevel"/>
    <w:tmpl w:val="2D4C02A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495A4E35"/>
    <w:multiLevelType w:val="hybridMultilevel"/>
    <w:tmpl w:val="2F461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8"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19"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58D539B6"/>
    <w:multiLevelType w:val="multilevel"/>
    <w:tmpl w:val="7890C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2"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C17059A"/>
    <w:multiLevelType w:val="hybridMultilevel"/>
    <w:tmpl w:val="A4CEFBFA"/>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2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E8D626F"/>
    <w:multiLevelType w:val="hybridMultilevel"/>
    <w:tmpl w:val="0E8EDE6E"/>
    <w:lvl w:ilvl="0" w:tplc="240A0011">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1959750112">
    <w:abstractNumId w:val="12"/>
  </w:num>
  <w:num w:numId="2" w16cid:durableId="751853291">
    <w:abstractNumId w:val="2"/>
  </w:num>
  <w:num w:numId="3" w16cid:durableId="2053995440">
    <w:abstractNumId w:val="10"/>
  </w:num>
  <w:num w:numId="4" w16cid:durableId="206952443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4584401">
    <w:abstractNumId w:val="2"/>
  </w:num>
  <w:num w:numId="6" w16cid:durableId="852954767">
    <w:abstractNumId w:val="28"/>
  </w:num>
  <w:num w:numId="7" w16cid:durableId="362874945">
    <w:abstractNumId w:val="11"/>
  </w:num>
  <w:num w:numId="8" w16cid:durableId="388649106">
    <w:abstractNumId w:val="26"/>
  </w:num>
  <w:num w:numId="9" w16cid:durableId="900822153">
    <w:abstractNumId w:val="13"/>
  </w:num>
  <w:num w:numId="10" w16cid:durableId="939991548">
    <w:abstractNumId w:val="24"/>
  </w:num>
  <w:num w:numId="11" w16cid:durableId="1855223671">
    <w:abstractNumId w:val="14"/>
  </w:num>
  <w:num w:numId="12" w16cid:durableId="305739508">
    <w:abstractNumId w:val="1"/>
  </w:num>
  <w:num w:numId="13" w16cid:durableId="1722511219">
    <w:abstractNumId w:val="7"/>
  </w:num>
  <w:num w:numId="14" w16cid:durableId="1807312855">
    <w:abstractNumId w:val="29"/>
  </w:num>
  <w:num w:numId="15" w16cid:durableId="1670323986">
    <w:abstractNumId w:val="23"/>
  </w:num>
  <w:num w:numId="16" w16cid:durableId="144122162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171796190">
    <w:abstractNumId w:val="5"/>
  </w:num>
  <w:num w:numId="18" w16cid:durableId="762917594">
    <w:abstractNumId w:val="21"/>
  </w:num>
  <w:num w:numId="19" w16cid:durableId="1847864034">
    <w:abstractNumId w:val="9"/>
  </w:num>
  <w:num w:numId="20" w16cid:durableId="139079062">
    <w:abstractNumId w:val="15"/>
  </w:num>
  <w:num w:numId="21" w16cid:durableId="203757510">
    <w:abstractNumId w:val="30"/>
  </w:num>
  <w:num w:numId="22" w16cid:durableId="275135472">
    <w:abstractNumId w:val="17"/>
  </w:num>
  <w:num w:numId="23" w16cid:durableId="1411270667">
    <w:abstractNumId w:val="0"/>
  </w:num>
  <w:num w:numId="24" w16cid:durableId="1593002820">
    <w:abstractNumId w:val="22"/>
  </w:num>
  <w:num w:numId="25" w16cid:durableId="1648705956">
    <w:abstractNumId w:val="19"/>
  </w:num>
  <w:num w:numId="26" w16cid:durableId="1791783952">
    <w:abstractNumId w:val="18"/>
  </w:num>
  <w:num w:numId="27" w16cid:durableId="1570651225">
    <w:abstractNumId w:val="6"/>
  </w:num>
  <w:num w:numId="28" w16cid:durableId="97872248">
    <w:abstractNumId w:val="8"/>
  </w:num>
  <w:num w:numId="29" w16cid:durableId="1633630594">
    <w:abstractNumId w:val="3"/>
  </w:num>
  <w:num w:numId="30" w16cid:durableId="1280723649">
    <w:abstractNumId w:val="4"/>
  </w:num>
  <w:num w:numId="31" w16cid:durableId="694307716">
    <w:abstractNumId w:val="20"/>
  </w:num>
  <w:num w:numId="32" w16cid:durableId="73479305">
    <w:abstractNumId w:val="25"/>
  </w:num>
  <w:num w:numId="33" w16cid:durableId="1300113434">
    <w:abstractNumId w:val="16"/>
  </w:num>
  <w:num w:numId="34" w16cid:durableId="472647154">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39A2"/>
    <w:rsid w:val="000062F3"/>
    <w:rsid w:val="0000797D"/>
    <w:rsid w:val="00010C4F"/>
    <w:rsid w:val="0001328B"/>
    <w:rsid w:val="000224F2"/>
    <w:rsid w:val="00023C3E"/>
    <w:rsid w:val="0002653B"/>
    <w:rsid w:val="00031550"/>
    <w:rsid w:val="000355E9"/>
    <w:rsid w:val="00036498"/>
    <w:rsid w:val="00040F37"/>
    <w:rsid w:val="00041860"/>
    <w:rsid w:val="0004434A"/>
    <w:rsid w:val="0005281E"/>
    <w:rsid w:val="0005682C"/>
    <w:rsid w:val="00056D71"/>
    <w:rsid w:val="00061B2A"/>
    <w:rsid w:val="00062BAF"/>
    <w:rsid w:val="000630B9"/>
    <w:rsid w:val="000635D0"/>
    <w:rsid w:val="000643B2"/>
    <w:rsid w:val="00065E80"/>
    <w:rsid w:val="0007022C"/>
    <w:rsid w:val="00071DE6"/>
    <w:rsid w:val="000754E3"/>
    <w:rsid w:val="00077439"/>
    <w:rsid w:val="000774B8"/>
    <w:rsid w:val="00082362"/>
    <w:rsid w:val="0008328D"/>
    <w:rsid w:val="00090C58"/>
    <w:rsid w:val="000920CF"/>
    <w:rsid w:val="0009387A"/>
    <w:rsid w:val="0009387B"/>
    <w:rsid w:val="00095E97"/>
    <w:rsid w:val="000963C6"/>
    <w:rsid w:val="0009762F"/>
    <w:rsid w:val="000A31B9"/>
    <w:rsid w:val="000A3330"/>
    <w:rsid w:val="000A3D63"/>
    <w:rsid w:val="000A683A"/>
    <w:rsid w:val="000A683E"/>
    <w:rsid w:val="000B158F"/>
    <w:rsid w:val="000B19B9"/>
    <w:rsid w:val="000B241D"/>
    <w:rsid w:val="000B2DCD"/>
    <w:rsid w:val="000C2889"/>
    <w:rsid w:val="000D0152"/>
    <w:rsid w:val="000D0334"/>
    <w:rsid w:val="000D25D7"/>
    <w:rsid w:val="000D3B29"/>
    <w:rsid w:val="000E06F4"/>
    <w:rsid w:val="000E0F63"/>
    <w:rsid w:val="000E4CE4"/>
    <w:rsid w:val="000E694F"/>
    <w:rsid w:val="000F6486"/>
    <w:rsid w:val="000F669F"/>
    <w:rsid w:val="001063B3"/>
    <w:rsid w:val="00107ACA"/>
    <w:rsid w:val="001114A9"/>
    <w:rsid w:val="00111979"/>
    <w:rsid w:val="00115788"/>
    <w:rsid w:val="00116537"/>
    <w:rsid w:val="00120766"/>
    <w:rsid w:val="00121EA1"/>
    <w:rsid w:val="001240BD"/>
    <w:rsid w:val="00125105"/>
    <w:rsid w:val="00125BC7"/>
    <w:rsid w:val="00126C61"/>
    <w:rsid w:val="00127233"/>
    <w:rsid w:val="00131D34"/>
    <w:rsid w:val="00136D0B"/>
    <w:rsid w:val="00143E81"/>
    <w:rsid w:val="00143FD9"/>
    <w:rsid w:val="00145047"/>
    <w:rsid w:val="00146C57"/>
    <w:rsid w:val="00150565"/>
    <w:rsid w:val="00160D5C"/>
    <w:rsid w:val="0016332F"/>
    <w:rsid w:val="0016458A"/>
    <w:rsid w:val="001717E9"/>
    <w:rsid w:val="0017238A"/>
    <w:rsid w:val="00177DC9"/>
    <w:rsid w:val="00180A30"/>
    <w:rsid w:val="0018159B"/>
    <w:rsid w:val="0018217F"/>
    <w:rsid w:val="00185EE9"/>
    <w:rsid w:val="00187F79"/>
    <w:rsid w:val="0019378A"/>
    <w:rsid w:val="00195992"/>
    <w:rsid w:val="00196153"/>
    <w:rsid w:val="00197274"/>
    <w:rsid w:val="001A237A"/>
    <w:rsid w:val="001A26CF"/>
    <w:rsid w:val="001A2919"/>
    <w:rsid w:val="001B2CFE"/>
    <w:rsid w:val="001C222E"/>
    <w:rsid w:val="001C22F9"/>
    <w:rsid w:val="001D1C29"/>
    <w:rsid w:val="001E3C06"/>
    <w:rsid w:val="001E4177"/>
    <w:rsid w:val="001F4EFD"/>
    <w:rsid w:val="001F5E13"/>
    <w:rsid w:val="001F6D11"/>
    <w:rsid w:val="001F7DC6"/>
    <w:rsid w:val="00200A0E"/>
    <w:rsid w:val="00202886"/>
    <w:rsid w:val="00206A83"/>
    <w:rsid w:val="00215B75"/>
    <w:rsid w:val="00215CEF"/>
    <w:rsid w:val="00216496"/>
    <w:rsid w:val="00216830"/>
    <w:rsid w:val="00217A08"/>
    <w:rsid w:val="00220B77"/>
    <w:rsid w:val="00220C9C"/>
    <w:rsid w:val="00221D27"/>
    <w:rsid w:val="00225AAC"/>
    <w:rsid w:val="00227C89"/>
    <w:rsid w:val="00234E14"/>
    <w:rsid w:val="00237233"/>
    <w:rsid w:val="002421BB"/>
    <w:rsid w:val="002442AC"/>
    <w:rsid w:val="00246A81"/>
    <w:rsid w:val="00251A5F"/>
    <w:rsid w:val="00254C26"/>
    <w:rsid w:val="002571B0"/>
    <w:rsid w:val="0025796E"/>
    <w:rsid w:val="002603E5"/>
    <w:rsid w:val="00260FD9"/>
    <w:rsid w:val="002638B2"/>
    <w:rsid w:val="002660F2"/>
    <w:rsid w:val="002664BB"/>
    <w:rsid w:val="002707A2"/>
    <w:rsid w:val="00270FB6"/>
    <w:rsid w:val="002715B9"/>
    <w:rsid w:val="00276223"/>
    <w:rsid w:val="00276573"/>
    <w:rsid w:val="00281E93"/>
    <w:rsid w:val="00282584"/>
    <w:rsid w:val="002835A6"/>
    <w:rsid w:val="00284161"/>
    <w:rsid w:val="002844ED"/>
    <w:rsid w:val="00286830"/>
    <w:rsid w:val="00287501"/>
    <w:rsid w:val="00292948"/>
    <w:rsid w:val="002951A0"/>
    <w:rsid w:val="002962BC"/>
    <w:rsid w:val="002A093D"/>
    <w:rsid w:val="002A0DC4"/>
    <w:rsid w:val="002A0DD0"/>
    <w:rsid w:val="002A3450"/>
    <w:rsid w:val="002A49AC"/>
    <w:rsid w:val="002A64FD"/>
    <w:rsid w:val="002A6BBF"/>
    <w:rsid w:val="002B1E57"/>
    <w:rsid w:val="002B1F7F"/>
    <w:rsid w:val="002B290B"/>
    <w:rsid w:val="002B631F"/>
    <w:rsid w:val="002C110E"/>
    <w:rsid w:val="002C379A"/>
    <w:rsid w:val="002C765E"/>
    <w:rsid w:val="002C7A84"/>
    <w:rsid w:val="002D13A1"/>
    <w:rsid w:val="002D19BE"/>
    <w:rsid w:val="002D1E42"/>
    <w:rsid w:val="002D3F0D"/>
    <w:rsid w:val="002E1D98"/>
    <w:rsid w:val="002E2C3F"/>
    <w:rsid w:val="002E2F4F"/>
    <w:rsid w:val="002E4FD9"/>
    <w:rsid w:val="002E6F15"/>
    <w:rsid w:val="002E7EA1"/>
    <w:rsid w:val="002F13FD"/>
    <w:rsid w:val="002F6C42"/>
    <w:rsid w:val="00303544"/>
    <w:rsid w:val="003039C1"/>
    <w:rsid w:val="00310DBE"/>
    <w:rsid w:val="0031182E"/>
    <w:rsid w:val="0031430F"/>
    <w:rsid w:val="00320BBD"/>
    <w:rsid w:val="003215C7"/>
    <w:rsid w:val="00322A85"/>
    <w:rsid w:val="00324168"/>
    <w:rsid w:val="0033032A"/>
    <w:rsid w:val="003330D3"/>
    <w:rsid w:val="0033498F"/>
    <w:rsid w:val="00334C6A"/>
    <w:rsid w:val="00336C05"/>
    <w:rsid w:val="00342675"/>
    <w:rsid w:val="00343512"/>
    <w:rsid w:val="003448F4"/>
    <w:rsid w:val="00345330"/>
    <w:rsid w:val="003528DF"/>
    <w:rsid w:val="00352C12"/>
    <w:rsid w:val="00354BCA"/>
    <w:rsid w:val="00354F33"/>
    <w:rsid w:val="00360631"/>
    <w:rsid w:val="00361261"/>
    <w:rsid w:val="0036594E"/>
    <w:rsid w:val="003665EE"/>
    <w:rsid w:val="0037010E"/>
    <w:rsid w:val="003734F4"/>
    <w:rsid w:val="00374F5E"/>
    <w:rsid w:val="00377E2D"/>
    <w:rsid w:val="00377E3E"/>
    <w:rsid w:val="003815E8"/>
    <w:rsid w:val="003826F4"/>
    <w:rsid w:val="00387C3F"/>
    <w:rsid w:val="003906F8"/>
    <w:rsid w:val="00392A49"/>
    <w:rsid w:val="0039750E"/>
    <w:rsid w:val="003A26D1"/>
    <w:rsid w:val="003A3B30"/>
    <w:rsid w:val="003A6D21"/>
    <w:rsid w:val="003A757E"/>
    <w:rsid w:val="003A779E"/>
    <w:rsid w:val="003A7E85"/>
    <w:rsid w:val="003B005A"/>
    <w:rsid w:val="003C1BFE"/>
    <w:rsid w:val="003C1C0E"/>
    <w:rsid w:val="003C3FA5"/>
    <w:rsid w:val="003C5109"/>
    <w:rsid w:val="003D0B0E"/>
    <w:rsid w:val="003D0F4D"/>
    <w:rsid w:val="003D5B0D"/>
    <w:rsid w:val="003E0499"/>
    <w:rsid w:val="003E40F2"/>
    <w:rsid w:val="003F3941"/>
    <w:rsid w:val="003F4BAF"/>
    <w:rsid w:val="00400676"/>
    <w:rsid w:val="004008A9"/>
    <w:rsid w:val="00403AA6"/>
    <w:rsid w:val="00405A3E"/>
    <w:rsid w:val="00406575"/>
    <w:rsid w:val="00407C75"/>
    <w:rsid w:val="00410906"/>
    <w:rsid w:val="0041655A"/>
    <w:rsid w:val="0041694B"/>
    <w:rsid w:val="00420B46"/>
    <w:rsid w:val="0042686B"/>
    <w:rsid w:val="00426FD7"/>
    <w:rsid w:val="0042722E"/>
    <w:rsid w:val="00427DA0"/>
    <w:rsid w:val="00440391"/>
    <w:rsid w:val="00441FCF"/>
    <w:rsid w:val="00442C7F"/>
    <w:rsid w:val="0044528D"/>
    <w:rsid w:val="00450920"/>
    <w:rsid w:val="00454D48"/>
    <w:rsid w:val="004554F9"/>
    <w:rsid w:val="0046004D"/>
    <w:rsid w:val="004633DE"/>
    <w:rsid w:val="00465E71"/>
    <w:rsid w:val="004712E0"/>
    <w:rsid w:val="004734BD"/>
    <w:rsid w:val="00474931"/>
    <w:rsid w:val="00482608"/>
    <w:rsid w:val="00483749"/>
    <w:rsid w:val="00484809"/>
    <w:rsid w:val="00484BB1"/>
    <w:rsid w:val="004A0980"/>
    <w:rsid w:val="004A0B8B"/>
    <w:rsid w:val="004A1847"/>
    <w:rsid w:val="004A305D"/>
    <w:rsid w:val="004A3312"/>
    <w:rsid w:val="004A6D9B"/>
    <w:rsid w:val="004B53F1"/>
    <w:rsid w:val="004B703F"/>
    <w:rsid w:val="004B740F"/>
    <w:rsid w:val="004C4B37"/>
    <w:rsid w:val="004D026D"/>
    <w:rsid w:val="004D3A9E"/>
    <w:rsid w:val="004D421C"/>
    <w:rsid w:val="004D46AB"/>
    <w:rsid w:val="004E221E"/>
    <w:rsid w:val="004E2892"/>
    <w:rsid w:val="004E2B23"/>
    <w:rsid w:val="004E409A"/>
    <w:rsid w:val="004E4C0B"/>
    <w:rsid w:val="004E505B"/>
    <w:rsid w:val="004E5526"/>
    <w:rsid w:val="004F21C4"/>
    <w:rsid w:val="004F2B72"/>
    <w:rsid w:val="004F3012"/>
    <w:rsid w:val="004F5559"/>
    <w:rsid w:val="004F5A86"/>
    <w:rsid w:val="004F685F"/>
    <w:rsid w:val="004F7EC9"/>
    <w:rsid w:val="0050343D"/>
    <w:rsid w:val="00504CBE"/>
    <w:rsid w:val="00514598"/>
    <w:rsid w:val="00515557"/>
    <w:rsid w:val="00515E1E"/>
    <w:rsid w:val="005163B5"/>
    <w:rsid w:val="00523453"/>
    <w:rsid w:val="0052543A"/>
    <w:rsid w:val="0052785C"/>
    <w:rsid w:val="00533E1B"/>
    <w:rsid w:val="00540C2D"/>
    <w:rsid w:val="00541793"/>
    <w:rsid w:val="00552502"/>
    <w:rsid w:val="005566E8"/>
    <w:rsid w:val="00560CB5"/>
    <w:rsid w:val="00564F8B"/>
    <w:rsid w:val="00570907"/>
    <w:rsid w:val="00574122"/>
    <w:rsid w:val="00574867"/>
    <w:rsid w:val="005765D0"/>
    <w:rsid w:val="00576927"/>
    <w:rsid w:val="0057702A"/>
    <w:rsid w:val="00577D09"/>
    <w:rsid w:val="0058087F"/>
    <w:rsid w:val="00581AA1"/>
    <w:rsid w:val="00585E4C"/>
    <w:rsid w:val="00591460"/>
    <w:rsid w:val="00592628"/>
    <w:rsid w:val="00597C75"/>
    <w:rsid w:val="005A0868"/>
    <w:rsid w:val="005A0CFB"/>
    <w:rsid w:val="005A282F"/>
    <w:rsid w:val="005A2AC9"/>
    <w:rsid w:val="005A2D71"/>
    <w:rsid w:val="005A55D5"/>
    <w:rsid w:val="005B2C3C"/>
    <w:rsid w:val="005B2CCE"/>
    <w:rsid w:val="005B496D"/>
    <w:rsid w:val="005B58C1"/>
    <w:rsid w:val="005B6033"/>
    <w:rsid w:val="005C053C"/>
    <w:rsid w:val="005C3777"/>
    <w:rsid w:val="005C5CDC"/>
    <w:rsid w:val="005C6939"/>
    <w:rsid w:val="005C7629"/>
    <w:rsid w:val="005D17C8"/>
    <w:rsid w:val="005D2649"/>
    <w:rsid w:val="005D2B2B"/>
    <w:rsid w:val="005D476C"/>
    <w:rsid w:val="005D4E83"/>
    <w:rsid w:val="005D5F91"/>
    <w:rsid w:val="005D75E8"/>
    <w:rsid w:val="005D7B25"/>
    <w:rsid w:val="005F0EE5"/>
    <w:rsid w:val="005F7C43"/>
    <w:rsid w:val="005F7CC8"/>
    <w:rsid w:val="00601A06"/>
    <w:rsid w:val="00601D76"/>
    <w:rsid w:val="00605A00"/>
    <w:rsid w:val="00610812"/>
    <w:rsid w:val="00612CE7"/>
    <w:rsid w:val="00613138"/>
    <w:rsid w:val="006149EF"/>
    <w:rsid w:val="006219F8"/>
    <w:rsid w:val="00626FAC"/>
    <w:rsid w:val="0063165E"/>
    <w:rsid w:val="0063166A"/>
    <w:rsid w:val="00632C08"/>
    <w:rsid w:val="00636BF8"/>
    <w:rsid w:val="00641909"/>
    <w:rsid w:val="00650FF7"/>
    <w:rsid w:val="00652AB3"/>
    <w:rsid w:val="006569FB"/>
    <w:rsid w:val="00664B4D"/>
    <w:rsid w:val="00665D70"/>
    <w:rsid w:val="00667199"/>
    <w:rsid w:val="00671DAC"/>
    <w:rsid w:val="006747C7"/>
    <w:rsid w:val="00675E5F"/>
    <w:rsid w:val="006827AC"/>
    <w:rsid w:val="006859A3"/>
    <w:rsid w:val="006900D9"/>
    <w:rsid w:val="006A0008"/>
    <w:rsid w:val="006A10DF"/>
    <w:rsid w:val="006A3147"/>
    <w:rsid w:val="006A54CF"/>
    <w:rsid w:val="006A7312"/>
    <w:rsid w:val="006A7811"/>
    <w:rsid w:val="006C0240"/>
    <w:rsid w:val="006C1E81"/>
    <w:rsid w:val="006C5595"/>
    <w:rsid w:val="006D12F8"/>
    <w:rsid w:val="006D1F00"/>
    <w:rsid w:val="006D465A"/>
    <w:rsid w:val="006E480D"/>
    <w:rsid w:val="006F0D40"/>
    <w:rsid w:val="006F2501"/>
    <w:rsid w:val="006F3A51"/>
    <w:rsid w:val="006F7C51"/>
    <w:rsid w:val="00703916"/>
    <w:rsid w:val="00704D9B"/>
    <w:rsid w:val="00705E5F"/>
    <w:rsid w:val="00706C16"/>
    <w:rsid w:val="00707997"/>
    <w:rsid w:val="00711C85"/>
    <w:rsid w:val="0071287D"/>
    <w:rsid w:val="0071458F"/>
    <w:rsid w:val="0071627C"/>
    <w:rsid w:val="00716744"/>
    <w:rsid w:val="00717903"/>
    <w:rsid w:val="00723A7F"/>
    <w:rsid w:val="00725BB1"/>
    <w:rsid w:val="007312C3"/>
    <w:rsid w:val="00732C45"/>
    <w:rsid w:val="00736524"/>
    <w:rsid w:val="00737C53"/>
    <w:rsid w:val="00737DFA"/>
    <w:rsid w:val="00737E63"/>
    <w:rsid w:val="0074034F"/>
    <w:rsid w:val="00751A8E"/>
    <w:rsid w:val="00752A44"/>
    <w:rsid w:val="0075663D"/>
    <w:rsid w:val="00756841"/>
    <w:rsid w:val="00762AA9"/>
    <w:rsid w:val="007649AB"/>
    <w:rsid w:val="00770AC9"/>
    <w:rsid w:val="00771D0C"/>
    <w:rsid w:val="007833AC"/>
    <w:rsid w:val="0078358E"/>
    <w:rsid w:val="00784D58"/>
    <w:rsid w:val="0078648E"/>
    <w:rsid w:val="00786FBF"/>
    <w:rsid w:val="00790AB7"/>
    <w:rsid w:val="00791769"/>
    <w:rsid w:val="007922D3"/>
    <w:rsid w:val="00796340"/>
    <w:rsid w:val="007A23EA"/>
    <w:rsid w:val="007A5189"/>
    <w:rsid w:val="007B0D88"/>
    <w:rsid w:val="007B268C"/>
    <w:rsid w:val="007B7171"/>
    <w:rsid w:val="007B7D02"/>
    <w:rsid w:val="007C0C0F"/>
    <w:rsid w:val="007C1E3A"/>
    <w:rsid w:val="007C3DC2"/>
    <w:rsid w:val="007D0457"/>
    <w:rsid w:val="007D387B"/>
    <w:rsid w:val="007D43C9"/>
    <w:rsid w:val="007D483A"/>
    <w:rsid w:val="007E5497"/>
    <w:rsid w:val="007F28CA"/>
    <w:rsid w:val="007F52A4"/>
    <w:rsid w:val="007F60FB"/>
    <w:rsid w:val="007F7B94"/>
    <w:rsid w:val="00804981"/>
    <w:rsid w:val="0080567E"/>
    <w:rsid w:val="00806F5F"/>
    <w:rsid w:val="0080768A"/>
    <w:rsid w:val="008163D7"/>
    <w:rsid w:val="00820278"/>
    <w:rsid w:val="008202D9"/>
    <w:rsid w:val="008232D6"/>
    <w:rsid w:val="00827940"/>
    <w:rsid w:val="00834554"/>
    <w:rsid w:val="00834B31"/>
    <w:rsid w:val="00835438"/>
    <w:rsid w:val="00840ADC"/>
    <w:rsid w:val="00843BF7"/>
    <w:rsid w:val="008449B3"/>
    <w:rsid w:val="00846276"/>
    <w:rsid w:val="00847FFD"/>
    <w:rsid w:val="00850E23"/>
    <w:rsid w:val="00851137"/>
    <w:rsid w:val="00853978"/>
    <w:rsid w:val="0085432F"/>
    <w:rsid w:val="008563BA"/>
    <w:rsid w:val="00856B1B"/>
    <w:rsid w:val="00862224"/>
    <w:rsid w:val="00864209"/>
    <w:rsid w:val="00866586"/>
    <w:rsid w:val="0087325B"/>
    <w:rsid w:val="00881ABA"/>
    <w:rsid w:val="008823A8"/>
    <w:rsid w:val="008843B6"/>
    <w:rsid w:val="00886C89"/>
    <w:rsid w:val="0088779F"/>
    <w:rsid w:val="00891928"/>
    <w:rsid w:val="00892BE6"/>
    <w:rsid w:val="00894B8B"/>
    <w:rsid w:val="0089556C"/>
    <w:rsid w:val="008A00A4"/>
    <w:rsid w:val="008A446D"/>
    <w:rsid w:val="008A7A64"/>
    <w:rsid w:val="008A7F08"/>
    <w:rsid w:val="008B2F0E"/>
    <w:rsid w:val="008B37D7"/>
    <w:rsid w:val="008B5A2E"/>
    <w:rsid w:val="008C7645"/>
    <w:rsid w:val="008D180B"/>
    <w:rsid w:val="008D7227"/>
    <w:rsid w:val="008E1F92"/>
    <w:rsid w:val="008E7333"/>
    <w:rsid w:val="008E7B09"/>
    <w:rsid w:val="008E7D98"/>
    <w:rsid w:val="008F0E69"/>
    <w:rsid w:val="008F0EA7"/>
    <w:rsid w:val="008F7BB9"/>
    <w:rsid w:val="009029F9"/>
    <w:rsid w:val="00903C31"/>
    <w:rsid w:val="00904692"/>
    <w:rsid w:val="00910097"/>
    <w:rsid w:val="00911C7C"/>
    <w:rsid w:val="00913DBA"/>
    <w:rsid w:val="0091561E"/>
    <w:rsid w:val="00923EEF"/>
    <w:rsid w:val="00924FB8"/>
    <w:rsid w:val="00924FEE"/>
    <w:rsid w:val="009253F1"/>
    <w:rsid w:val="00931BB5"/>
    <w:rsid w:val="00935BFB"/>
    <w:rsid w:val="0093793E"/>
    <w:rsid w:val="009411F5"/>
    <w:rsid w:val="00941471"/>
    <w:rsid w:val="009419F9"/>
    <w:rsid w:val="00942B39"/>
    <w:rsid w:val="009474B4"/>
    <w:rsid w:val="00953AA4"/>
    <w:rsid w:val="00955305"/>
    <w:rsid w:val="00956664"/>
    <w:rsid w:val="0095685E"/>
    <w:rsid w:val="00956E12"/>
    <w:rsid w:val="009572D9"/>
    <w:rsid w:val="009600D2"/>
    <w:rsid w:val="00961409"/>
    <w:rsid w:val="00961B09"/>
    <w:rsid w:val="00962300"/>
    <w:rsid w:val="00963186"/>
    <w:rsid w:val="00965334"/>
    <w:rsid w:val="00967DCC"/>
    <w:rsid w:val="00970068"/>
    <w:rsid w:val="0097093E"/>
    <w:rsid w:val="00972768"/>
    <w:rsid w:val="00976025"/>
    <w:rsid w:val="009800BE"/>
    <w:rsid w:val="00982BD4"/>
    <w:rsid w:val="00982E41"/>
    <w:rsid w:val="00984649"/>
    <w:rsid w:val="009858BE"/>
    <w:rsid w:val="00986BA8"/>
    <w:rsid w:val="00994041"/>
    <w:rsid w:val="009A0DFA"/>
    <w:rsid w:val="009A3C2C"/>
    <w:rsid w:val="009A4A40"/>
    <w:rsid w:val="009B0A7A"/>
    <w:rsid w:val="009B2D26"/>
    <w:rsid w:val="009B780F"/>
    <w:rsid w:val="009C00CC"/>
    <w:rsid w:val="009C0C09"/>
    <w:rsid w:val="009C0E03"/>
    <w:rsid w:val="009C2DD0"/>
    <w:rsid w:val="009C3AC7"/>
    <w:rsid w:val="009C699C"/>
    <w:rsid w:val="009C71FA"/>
    <w:rsid w:val="009C72E7"/>
    <w:rsid w:val="009D0555"/>
    <w:rsid w:val="009D3058"/>
    <w:rsid w:val="009D3A11"/>
    <w:rsid w:val="009D44C4"/>
    <w:rsid w:val="009D67FD"/>
    <w:rsid w:val="009E5A30"/>
    <w:rsid w:val="009E7C05"/>
    <w:rsid w:val="009F3831"/>
    <w:rsid w:val="009F3832"/>
    <w:rsid w:val="009F3A13"/>
    <w:rsid w:val="009F4AB2"/>
    <w:rsid w:val="009F73F7"/>
    <w:rsid w:val="00A01C7F"/>
    <w:rsid w:val="00A02465"/>
    <w:rsid w:val="00A03415"/>
    <w:rsid w:val="00A04A81"/>
    <w:rsid w:val="00A122D3"/>
    <w:rsid w:val="00A14D3D"/>
    <w:rsid w:val="00A17F13"/>
    <w:rsid w:val="00A20739"/>
    <w:rsid w:val="00A211D0"/>
    <w:rsid w:val="00A23361"/>
    <w:rsid w:val="00A24433"/>
    <w:rsid w:val="00A2443A"/>
    <w:rsid w:val="00A246FA"/>
    <w:rsid w:val="00A252A7"/>
    <w:rsid w:val="00A332DD"/>
    <w:rsid w:val="00A339A9"/>
    <w:rsid w:val="00A33C78"/>
    <w:rsid w:val="00A34630"/>
    <w:rsid w:val="00A34B38"/>
    <w:rsid w:val="00A34D87"/>
    <w:rsid w:val="00A35538"/>
    <w:rsid w:val="00A37BC4"/>
    <w:rsid w:val="00A42050"/>
    <w:rsid w:val="00A43292"/>
    <w:rsid w:val="00A445C0"/>
    <w:rsid w:val="00A46619"/>
    <w:rsid w:val="00A466EE"/>
    <w:rsid w:val="00A50E16"/>
    <w:rsid w:val="00A5223F"/>
    <w:rsid w:val="00A56FCA"/>
    <w:rsid w:val="00A6004A"/>
    <w:rsid w:val="00A613C2"/>
    <w:rsid w:val="00A617AC"/>
    <w:rsid w:val="00A63222"/>
    <w:rsid w:val="00A70D32"/>
    <w:rsid w:val="00A74DE6"/>
    <w:rsid w:val="00A8086A"/>
    <w:rsid w:val="00A80F32"/>
    <w:rsid w:val="00A8160E"/>
    <w:rsid w:val="00A85D57"/>
    <w:rsid w:val="00A87F7D"/>
    <w:rsid w:val="00A9244C"/>
    <w:rsid w:val="00A94D14"/>
    <w:rsid w:val="00AA5784"/>
    <w:rsid w:val="00AB0ADB"/>
    <w:rsid w:val="00AB3FD1"/>
    <w:rsid w:val="00AB6C82"/>
    <w:rsid w:val="00AC0EAB"/>
    <w:rsid w:val="00AC1435"/>
    <w:rsid w:val="00AC1F8F"/>
    <w:rsid w:val="00AC4701"/>
    <w:rsid w:val="00AC49A2"/>
    <w:rsid w:val="00AC6FA5"/>
    <w:rsid w:val="00AD73E2"/>
    <w:rsid w:val="00AE075B"/>
    <w:rsid w:val="00AE2631"/>
    <w:rsid w:val="00AE3418"/>
    <w:rsid w:val="00AF1BEC"/>
    <w:rsid w:val="00AF6DA4"/>
    <w:rsid w:val="00B009B8"/>
    <w:rsid w:val="00B01B1A"/>
    <w:rsid w:val="00B052CF"/>
    <w:rsid w:val="00B14E03"/>
    <w:rsid w:val="00B24457"/>
    <w:rsid w:val="00B26611"/>
    <w:rsid w:val="00B2672B"/>
    <w:rsid w:val="00B26B98"/>
    <w:rsid w:val="00B31A3F"/>
    <w:rsid w:val="00B35ADC"/>
    <w:rsid w:val="00B37C24"/>
    <w:rsid w:val="00B405F1"/>
    <w:rsid w:val="00B40FBC"/>
    <w:rsid w:val="00B41B81"/>
    <w:rsid w:val="00B421F5"/>
    <w:rsid w:val="00B4513B"/>
    <w:rsid w:val="00B46F27"/>
    <w:rsid w:val="00B47FD7"/>
    <w:rsid w:val="00B51F75"/>
    <w:rsid w:val="00B52CDB"/>
    <w:rsid w:val="00B53E27"/>
    <w:rsid w:val="00B55136"/>
    <w:rsid w:val="00B558AF"/>
    <w:rsid w:val="00B6105C"/>
    <w:rsid w:val="00B615BA"/>
    <w:rsid w:val="00B622E7"/>
    <w:rsid w:val="00B62D8B"/>
    <w:rsid w:val="00B67076"/>
    <w:rsid w:val="00B72094"/>
    <w:rsid w:val="00B72CD3"/>
    <w:rsid w:val="00B72FFF"/>
    <w:rsid w:val="00B7424B"/>
    <w:rsid w:val="00B76CEB"/>
    <w:rsid w:val="00B80A24"/>
    <w:rsid w:val="00B8257D"/>
    <w:rsid w:val="00B828EF"/>
    <w:rsid w:val="00B82B8B"/>
    <w:rsid w:val="00B859E6"/>
    <w:rsid w:val="00B86982"/>
    <w:rsid w:val="00B86FE2"/>
    <w:rsid w:val="00B878ED"/>
    <w:rsid w:val="00B87F69"/>
    <w:rsid w:val="00B91186"/>
    <w:rsid w:val="00B93423"/>
    <w:rsid w:val="00BA2EF4"/>
    <w:rsid w:val="00BC0036"/>
    <w:rsid w:val="00BC05A6"/>
    <w:rsid w:val="00BC3D36"/>
    <w:rsid w:val="00BC4B34"/>
    <w:rsid w:val="00BD2961"/>
    <w:rsid w:val="00BD7F72"/>
    <w:rsid w:val="00BE03BC"/>
    <w:rsid w:val="00BE0A18"/>
    <w:rsid w:val="00BE12F9"/>
    <w:rsid w:val="00BE2120"/>
    <w:rsid w:val="00BE7308"/>
    <w:rsid w:val="00BF0437"/>
    <w:rsid w:val="00BF1201"/>
    <w:rsid w:val="00BF1D4A"/>
    <w:rsid w:val="00BF230F"/>
    <w:rsid w:val="00BF714A"/>
    <w:rsid w:val="00C002E3"/>
    <w:rsid w:val="00C012CC"/>
    <w:rsid w:val="00C0454D"/>
    <w:rsid w:val="00C04FB3"/>
    <w:rsid w:val="00C05FE1"/>
    <w:rsid w:val="00C10179"/>
    <w:rsid w:val="00C1174F"/>
    <w:rsid w:val="00C147D0"/>
    <w:rsid w:val="00C159C1"/>
    <w:rsid w:val="00C16346"/>
    <w:rsid w:val="00C203C2"/>
    <w:rsid w:val="00C206B6"/>
    <w:rsid w:val="00C21B15"/>
    <w:rsid w:val="00C23C5E"/>
    <w:rsid w:val="00C27B8B"/>
    <w:rsid w:val="00C32523"/>
    <w:rsid w:val="00C330EB"/>
    <w:rsid w:val="00C371C9"/>
    <w:rsid w:val="00C40E9F"/>
    <w:rsid w:val="00C41481"/>
    <w:rsid w:val="00C42469"/>
    <w:rsid w:val="00C46D91"/>
    <w:rsid w:val="00C47A07"/>
    <w:rsid w:val="00C57281"/>
    <w:rsid w:val="00C65D65"/>
    <w:rsid w:val="00C67703"/>
    <w:rsid w:val="00C7173F"/>
    <w:rsid w:val="00C730B6"/>
    <w:rsid w:val="00C754BE"/>
    <w:rsid w:val="00C76466"/>
    <w:rsid w:val="00C76B1C"/>
    <w:rsid w:val="00C84561"/>
    <w:rsid w:val="00C84F68"/>
    <w:rsid w:val="00C915DD"/>
    <w:rsid w:val="00C91B94"/>
    <w:rsid w:val="00CA6A9D"/>
    <w:rsid w:val="00CA7F6B"/>
    <w:rsid w:val="00CA7FB6"/>
    <w:rsid w:val="00CB6357"/>
    <w:rsid w:val="00CC0FA3"/>
    <w:rsid w:val="00CC1B26"/>
    <w:rsid w:val="00CC49F7"/>
    <w:rsid w:val="00CC54DB"/>
    <w:rsid w:val="00CD087D"/>
    <w:rsid w:val="00CD41CB"/>
    <w:rsid w:val="00CD5037"/>
    <w:rsid w:val="00CD5EE0"/>
    <w:rsid w:val="00CE509A"/>
    <w:rsid w:val="00CE5414"/>
    <w:rsid w:val="00CE56CA"/>
    <w:rsid w:val="00CF1287"/>
    <w:rsid w:val="00CF7826"/>
    <w:rsid w:val="00D0157A"/>
    <w:rsid w:val="00D02189"/>
    <w:rsid w:val="00D036D8"/>
    <w:rsid w:val="00D038ED"/>
    <w:rsid w:val="00D06D26"/>
    <w:rsid w:val="00D10B75"/>
    <w:rsid w:val="00D13351"/>
    <w:rsid w:val="00D13EA0"/>
    <w:rsid w:val="00D15E25"/>
    <w:rsid w:val="00D16D7E"/>
    <w:rsid w:val="00D20368"/>
    <w:rsid w:val="00D22361"/>
    <w:rsid w:val="00D22598"/>
    <w:rsid w:val="00D26924"/>
    <w:rsid w:val="00D413F6"/>
    <w:rsid w:val="00D4231B"/>
    <w:rsid w:val="00D423A2"/>
    <w:rsid w:val="00D45BE5"/>
    <w:rsid w:val="00D520D8"/>
    <w:rsid w:val="00D52961"/>
    <w:rsid w:val="00D55048"/>
    <w:rsid w:val="00D55978"/>
    <w:rsid w:val="00D57FA4"/>
    <w:rsid w:val="00D6066E"/>
    <w:rsid w:val="00D62DE7"/>
    <w:rsid w:val="00D63AC2"/>
    <w:rsid w:val="00D665B4"/>
    <w:rsid w:val="00D7383B"/>
    <w:rsid w:val="00D7609E"/>
    <w:rsid w:val="00D81A63"/>
    <w:rsid w:val="00D81D25"/>
    <w:rsid w:val="00D84DF0"/>
    <w:rsid w:val="00D85C60"/>
    <w:rsid w:val="00D908FC"/>
    <w:rsid w:val="00D94C40"/>
    <w:rsid w:val="00DA231B"/>
    <w:rsid w:val="00DA23A0"/>
    <w:rsid w:val="00DA7F66"/>
    <w:rsid w:val="00DB186F"/>
    <w:rsid w:val="00DB322A"/>
    <w:rsid w:val="00DC39FC"/>
    <w:rsid w:val="00DC4385"/>
    <w:rsid w:val="00DC484F"/>
    <w:rsid w:val="00DC4C27"/>
    <w:rsid w:val="00DC51BC"/>
    <w:rsid w:val="00DC793F"/>
    <w:rsid w:val="00DE4629"/>
    <w:rsid w:val="00DF11FD"/>
    <w:rsid w:val="00DF5254"/>
    <w:rsid w:val="00DF7BE3"/>
    <w:rsid w:val="00E12426"/>
    <w:rsid w:val="00E16408"/>
    <w:rsid w:val="00E1678E"/>
    <w:rsid w:val="00E20894"/>
    <w:rsid w:val="00E245AB"/>
    <w:rsid w:val="00E26239"/>
    <w:rsid w:val="00E2764C"/>
    <w:rsid w:val="00E27F2E"/>
    <w:rsid w:val="00E377A2"/>
    <w:rsid w:val="00E413EA"/>
    <w:rsid w:val="00E47F28"/>
    <w:rsid w:val="00E50AFE"/>
    <w:rsid w:val="00E52E49"/>
    <w:rsid w:val="00E577AC"/>
    <w:rsid w:val="00E578B6"/>
    <w:rsid w:val="00E61547"/>
    <w:rsid w:val="00E61702"/>
    <w:rsid w:val="00E658D4"/>
    <w:rsid w:val="00E744BA"/>
    <w:rsid w:val="00E75B66"/>
    <w:rsid w:val="00E75C92"/>
    <w:rsid w:val="00E761BC"/>
    <w:rsid w:val="00E76808"/>
    <w:rsid w:val="00E770CD"/>
    <w:rsid w:val="00E771DC"/>
    <w:rsid w:val="00E77478"/>
    <w:rsid w:val="00E77E1B"/>
    <w:rsid w:val="00E8013F"/>
    <w:rsid w:val="00E8071A"/>
    <w:rsid w:val="00E80C9F"/>
    <w:rsid w:val="00E847D2"/>
    <w:rsid w:val="00E85AA8"/>
    <w:rsid w:val="00E870E5"/>
    <w:rsid w:val="00E8772A"/>
    <w:rsid w:val="00E90F6B"/>
    <w:rsid w:val="00E91079"/>
    <w:rsid w:val="00E92C27"/>
    <w:rsid w:val="00E92E10"/>
    <w:rsid w:val="00EA0E3D"/>
    <w:rsid w:val="00EA1CD8"/>
    <w:rsid w:val="00EA393B"/>
    <w:rsid w:val="00EA39A5"/>
    <w:rsid w:val="00EB185D"/>
    <w:rsid w:val="00EB2C4B"/>
    <w:rsid w:val="00EB4645"/>
    <w:rsid w:val="00EB512D"/>
    <w:rsid w:val="00EB69E2"/>
    <w:rsid w:val="00EB7E00"/>
    <w:rsid w:val="00EC1A2C"/>
    <w:rsid w:val="00EC1FE1"/>
    <w:rsid w:val="00EC38A7"/>
    <w:rsid w:val="00ED042A"/>
    <w:rsid w:val="00ED0D4A"/>
    <w:rsid w:val="00ED2F67"/>
    <w:rsid w:val="00EE1AA8"/>
    <w:rsid w:val="00EF26C3"/>
    <w:rsid w:val="00EF419E"/>
    <w:rsid w:val="00EF489F"/>
    <w:rsid w:val="00F07875"/>
    <w:rsid w:val="00F11213"/>
    <w:rsid w:val="00F11BAA"/>
    <w:rsid w:val="00F1445A"/>
    <w:rsid w:val="00F177C1"/>
    <w:rsid w:val="00F23592"/>
    <w:rsid w:val="00F238F2"/>
    <w:rsid w:val="00F260AA"/>
    <w:rsid w:val="00F27B26"/>
    <w:rsid w:val="00F31EDC"/>
    <w:rsid w:val="00F34D02"/>
    <w:rsid w:val="00F34E84"/>
    <w:rsid w:val="00F34E9A"/>
    <w:rsid w:val="00F40BAD"/>
    <w:rsid w:val="00F462B3"/>
    <w:rsid w:val="00F47069"/>
    <w:rsid w:val="00F51119"/>
    <w:rsid w:val="00F5184B"/>
    <w:rsid w:val="00F5391F"/>
    <w:rsid w:val="00F53E8A"/>
    <w:rsid w:val="00F55081"/>
    <w:rsid w:val="00F55168"/>
    <w:rsid w:val="00F5664F"/>
    <w:rsid w:val="00F626C4"/>
    <w:rsid w:val="00F643DF"/>
    <w:rsid w:val="00F64D9E"/>
    <w:rsid w:val="00F665D0"/>
    <w:rsid w:val="00F666C4"/>
    <w:rsid w:val="00F73DB7"/>
    <w:rsid w:val="00F74530"/>
    <w:rsid w:val="00F7684C"/>
    <w:rsid w:val="00F76AFC"/>
    <w:rsid w:val="00F80CBE"/>
    <w:rsid w:val="00F85198"/>
    <w:rsid w:val="00F85A91"/>
    <w:rsid w:val="00F91268"/>
    <w:rsid w:val="00F939CB"/>
    <w:rsid w:val="00F9479C"/>
    <w:rsid w:val="00F965EE"/>
    <w:rsid w:val="00F97949"/>
    <w:rsid w:val="00FA0A8F"/>
    <w:rsid w:val="00FA1110"/>
    <w:rsid w:val="00FA358D"/>
    <w:rsid w:val="00FA47C0"/>
    <w:rsid w:val="00FB4425"/>
    <w:rsid w:val="00FB4EE0"/>
    <w:rsid w:val="00FB5615"/>
    <w:rsid w:val="00FB5DD1"/>
    <w:rsid w:val="00FB5F87"/>
    <w:rsid w:val="00FC07B5"/>
    <w:rsid w:val="00FC2B5D"/>
    <w:rsid w:val="00FD00E9"/>
    <w:rsid w:val="00FD03E3"/>
    <w:rsid w:val="00FD07E4"/>
    <w:rsid w:val="00FD0E1B"/>
    <w:rsid w:val="00FE122A"/>
    <w:rsid w:val="00FE20E6"/>
    <w:rsid w:val="00FE227D"/>
    <w:rsid w:val="00FE42B3"/>
    <w:rsid w:val="00FE5975"/>
    <w:rsid w:val="00FF1187"/>
    <w:rsid w:val="00FF1449"/>
    <w:rsid w:val="00FF4218"/>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9CB9AA37-DE9A-42FC-98B1-CBCCDFE95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6DA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B52CD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52CDB"/>
    <w:rPr>
      <w:rFonts w:eastAsiaTheme="majorEastAsia" w:cstheme="majorBidi"/>
      <w:color w:val="595959" w:themeColor="text1" w:themeTint="A6"/>
      <w:spacing w:val="15"/>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74409299">
      <w:bodyDiv w:val="1"/>
      <w:marLeft w:val="0"/>
      <w:marRight w:val="0"/>
      <w:marTop w:val="0"/>
      <w:marBottom w:val="0"/>
      <w:divBdr>
        <w:top w:val="none" w:sz="0" w:space="0" w:color="auto"/>
        <w:left w:val="none" w:sz="0" w:space="0" w:color="auto"/>
        <w:bottom w:val="none" w:sz="0" w:space="0" w:color="auto"/>
        <w:right w:val="none" w:sz="0" w:space="0" w:color="auto"/>
      </w:divBdr>
    </w:div>
    <w:div w:id="367878781">
      <w:bodyDiv w:val="1"/>
      <w:marLeft w:val="0"/>
      <w:marRight w:val="0"/>
      <w:marTop w:val="0"/>
      <w:marBottom w:val="0"/>
      <w:divBdr>
        <w:top w:val="none" w:sz="0" w:space="0" w:color="auto"/>
        <w:left w:val="none" w:sz="0" w:space="0" w:color="auto"/>
        <w:bottom w:val="none" w:sz="0" w:space="0" w:color="auto"/>
        <w:right w:val="none" w:sz="0" w:space="0" w:color="auto"/>
      </w:divBdr>
    </w:div>
    <w:div w:id="404839358">
      <w:bodyDiv w:val="1"/>
      <w:marLeft w:val="0"/>
      <w:marRight w:val="0"/>
      <w:marTop w:val="0"/>
      <w:marBottom w:val="0"/>
      <w:divBdr>
        <w:top w:val="none" w:sz="0" w:space="0" w:color="auto"/>
        <w:left w:val="none" w:sz="0" w:space="0" w:color="auto"/>
        <w:bottom w:val="none" w:sz="0" w:space="0" w:color="auto"/>
        <w:right w:val="none" w:sz="0" w:space="0" w:color="auto"/>
      </w:divBdr>
    </w:div>
    <w:div w:id="429475947">
      <w:bodyDiv w:val="1"/>
      <w:marLeft w:val="0"/>
      <w:marRight w:val="0"/>
      <w:marTop w:val="0"/>
      <w:marBottom w:val="0"/>
      <w:divBdr>
        <w:top w:val="none" w:sz="0" w:space="0" w:color="auto"/>
        <w:left w:val="none" w:sz="0" w:space="0" w:color="auto"/>
        <w:bottom w:val="none" w:sz="0" w:space="0" w:color="auto"/>
        <w:right w:val="none" w:sz="0" w:space="0" w:color="auto"/>
      </w:divBdr>
    </w:div>
    <w:div w:id="484979270">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17488306">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34065458">
      <w:bodyDiv w:val="1"/>
      <w:marLeft w:val="0"/>
      <w:marRight w:val="0"/>
      <w:marTop w:val="0"/>
      <w:marBottom w:val="0"/>
      <w:divBdr>
        <w:top w:val="none" w:sz="0" w:space="0" w:color="auto"/>
        <w:left w:val="none" w:sz="0" w:space="0" w:color="auto"/>
        <w:bottom w:val="none" w:sz="0" w:space="0" w:color="auto"/>
        <w:right w:val="none" w:sz="0" w:space="0" w:color="auto"/>
      </w:divBdr>
    </w:div>
    <w:div w:id="707414069">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73356954">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33375842">
          <w:marLeft w:val="0"/>
          <w:marRight w:val="0"/>
          <w:marTop w:val="0"/>
          <w:marBottom w:val="160"/>
          <w:divBdr>
            <w:top w:val="none" w:sz="0" w:space="0" w:color="auto"/>
            <w:left w:val="none" w:sz="0" w:space="0" w:color="auto"/>
            <w:bottom w:val="none" w:sz="0" w:space="0" w:color="auto"/>
            <w:right w:val="none" w:sz="0" w:space="0" w:color="auto"/>
          </w:divBdr>
        </w:div>
        <w:div w:id="1665283950">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59743338">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01219196">
      <w:bodyDiv w:val="1"/>
      <w:marLeft w:val="0"/>
      <w:marRight w:val="0"/>
      <w:marTop w:val="0"/>
      <w:marBottom w:val="0"/>
      <w:divBdr>
        <w:top w:val="none" w:sz="0" w:space="0" w:color="auto"/>
        <w:left w:val="none" w:sz="0" w:space="0" w:color="auto"/>
        <w:bottom w:val="none" w:sz="0" w:space="0" w:color="auto"/>
        <w:right w:val="none" w:sz="0" w:space="0" w:color="auto"/>
      </w:divBdr>
    </w:div>
    <w:div w:id="1124930395">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52257013">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25353954">
      <w:bodyDiv w:val="1"/>
      <w:marLeft w:val="0"/>
      <w:marRight w:val="0"/>
      <w:marTop w:val="0"/>
      <w:marBottom w:val="0"/>
      <w:divBdr>
        <w:top w:val="none" w:sz="0" w:space="0" w:color="auto"/>
        <w:left w:val="none" w:sz="0" w:space="0" w:color="auto"/>
        <w:bottom w:val="none" w:sz="0" w:space="0" w:color="auto"/>
        <w:right w:val="none" w:sz="0" w:space="0" w:color="auto"/>
      </w:divBdr>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522205550">
          <w:marLeft w:val="0"/>
          <w:marRight w:val="0"/>
          <w:marTop w:val="0"/>
          <w:marBottom w:val="160"/>
          <w:divBdr>
            <w:top w:val="none" w:sz="0" w:space="0" w:color="auto"/>
            <w:left w:val="none" w:sz="0" w:space="0" w:color="auto"/>
            <w:bottom w:val="none" w:sz="0" w:space="0" w:color="auto"/>
            <w:right w:val="none" w:sz="0" w:space="0" w:color="auto"/>
          </w:divBdr>
        </w:div>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39643459">
      <w:bodyDiv w:val="1"/>
      <w:marLeft w:val="0"/>
      <w:marRight w:val="0"/>
      <w:marTop w:val="0"/>
      <w:marBottom w:val="0"/>
      <w:divBdr>
        <w:top w:val="none" w:sz="0" w:space="0" w:color="auto"/>
        <w:left w:val="none" w:sz="0" w:space="0" w:color="auto"/>
        <w:bottom w:val="none" w:sz="0" w:space="0" w:color="auto"/>
        <w:right w:val="none" w:sz="0" w:space="0" w:color="auto"/>
      </w:divBdr>
    </w:div>
    <w:div w:id="1444691453">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478457599">
      <w:bodyDiv w:val="1"/>
      <w:marLeft w:val="0"/>
      <w:marRight w:val="0"/>
      <w:marTop w:val="0"/>
      <w:marBottom w:val="0"/>
      <w:divBdr>
        <w:top w:val="none" w:sz="0" w:space="0" w:color="auto"/>
        <w:left w:val="none" w:sz="0" w:space="0" w:color="auto"/>
        <w:bottom w:val="none" w:sz="0" w:space="0" w:color="auto"/>
        <w:right w:val="none" w:sz="0" w:space="0" w:color="auto"/>
      </w:divBdr>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179394306">
          <w:marLeft w:val="0"/>
          <w:marRight w:val="0"/>
          <w:marTop w:val="0"/>
          <w:marBottom w:val="160"/>
          <w:divBdr>
            <w:top w:val="none" w:sz="0" w:space="0" w:color="auto"/>
            <w:left w:val="none" w:sz="0" w:space="0" w:color="auto"/>
            <w:bottom w:val="none" w:sz="0" w:space="0" w:color="auto"/>
            <w:right w:val="none" w:sz="0" w:space="0" w:color="auto"/>
          </w:divBdr>
        </w:div>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sChild>
    </w:div>
    <w:div w:id="1739789570">
      <w:bodyDiv w:val="1"/>
      <w:marLeft w:val="0"/>
      <w:marRight w:val="0"/>
      <w:marTop w:val="0"/>
      <w:marBottom w:val="0"/>
      <w:divBdr>
        <w:top w:val="none" w:sz="0" w:space="0" w:color="auto"/>
        <w:left w:val="none" w:sz="0" w:space="0" w:color="auto"/>
        <w:bottom w:val="none" w:sz="0" w:space="0" w:color="auto"/>
        <w:right w:val="none" w:sz="0" w:space="0" w:color="auto"/>
      </w:divBdr>
    </w:div>
    <w:div w:id="1903517305">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isaquitap@dian.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3.emf"/><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www.colombiacompra.gov.co/normativa-y-relatoria/conoce-la-relatoria"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emf"/></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13505DD-BD8A-4C72-9BF3-E233AAE1D4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purl.org/dc/dcmitype/"/>
    <ds:schemaRef ds:uri="http://www.w3.org/XML/1998/namespace"/>
    <ds:schemaRef ds:uri="http://schemas.microsoft.com/office/infopath/2007/PartnerControls"/>
    <ds:schemaRef ds:uri="9d85dbaf-23eb-4e57-a637-93dcacc8b1a1"/>
    <ds:schemaRef ds:uri="http://schemas.openxmlformats.org/package/2006/metadata/core-properties"/>
    <ds:schemaRef ds:uri="http://schemas.microsoft.com/office/2006/documentManagement/types"/>
    <ds:schemaRef ds:uri="http://purl.org/dc/elements/1.1/"/>
    <ds:schemaRef ds:uri="http://purl.org/dc/terms/"/>
    <ds:schemaRef ds:uri="a6cb9e4b-f1d1-4245-83ec-6cad768d538a"/>
    <ds:schemaRef ds:uri="http://schemas.microsoft.com/office/2006/metadata/properties"/>
  </ds:schemaRefs>
</ds:datastoreItem>
</file>

<file path=customXml/itemProps3.xml><?xml version="1.0" encoding="utf-8"?>
<ds:datastoreItem xmlns:ds="http://schemas.openxmlformats.org/officeDocument/2006/customXml" ds:itemID="{6B8BDBEA-50E7-4CA3-9B18-E0E77714A02D}">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24</Pages>
  <Words>8125</Words>
  <Characters>44691</Characters>
  <Application>Microsoft Office Word</Application>
  <DocSecurity>0</DocSecurity>
  <Lines>372</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2025-10-02T17:05:00Z</dcterms:created>
  <dcterms:modified xsi:type="dcterms:W3CDTF">2025-10-02T17:05:00Z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