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7E2AD" w14:textId="5CDC61A8" w:rsidR="005E0F58" w:rsidRPr="005E0F58" w:rsidRDefault="005E0F58" w:rsidP="005E0F58">
      <w:pPr>
        <w:spacing w:after="0"/>
        <w:jc w:val="both"/>
        <w:rPr>
          <w:rFonts w:ascii="Verdana" w:hAnsi="Verdana"/>
        </w:rPr>
      </w:pPr>
      <w:bookmarkStart w:id="0" w:name="_Hlk191935675"/>
      <w:bookmarkStart w:id="1" w:name="_Hlk143780582"/>
      <w:r w:rsidRPr="005E0F58">
        <w:rPr>
          <w:rFonts w:ascii="Verdana" w:eastAsia="Aptos" w:hAnsi="Verdana" w:cs="Times New Roman"/>
          <w:b/>
          <w:bCs/>
          <w:kern w:val="2"/>
          <w:lang w:val="es-ES_tradnl"/>
          <w14:ligatures w14:val="standardContextual"/>
        </w:rPr>
        <w:t>DÍAS HÁBILES – Concepto – Cómputo de términos</w:t>
      </w:r>
    </w:p>
    <w:p w14:paraId="1E4FF3CC" w14:textId="77777777" w:rsidR="005E0F58" w:rsidRPr="005E0F58" w:rsidRDefault="005E0F58" w:rsidP="005E0F58">
      <w:pPr>
        <w:spacing w:after="0" w:line="240" w:lineRule="auto"/>
        <w:jc w:val="both"/>
        <w:rPr>
          <w:rFonts w:ascii="Verdana" w:eastAsia="Aptos" w:hAnsi="Verdana" w:cs="Times New Roman"/>
          <w:b/>
          <w:bCs/>
          <w:kern w:val="2"/>
          <w:lang w:val="es-ES_tradnl"/>
          <w14:ligatures w14:val="standardContextual"/>
        </w:rPr>
      </w:pPr>
    </w:p>
    <w:p w14:paraId="657AF9B5" w14:textId="042743FC" w:rsidR="00E92305" w:rsidRDefault="00E92305" w:rsidP="00E92305">
      <w:pPr>
        <w:tabs>
          <w:tab w:val="left" w:pos="0"/>
        </w:tabs>
        <w:spacing w:after="0" w:line="240" w:lineRule="auto"/>
        <w:jc w:val="both"/>
        <w:rPr>
          <w:rFonts w:ascii="Verdana" w:eastAsia="Calibri" w:hAnsi="Verdana" w:cs="Arial"/>
          <w:bCs/>
          <w:sz w:val="20"/>
          <w:szCs w:val="20"/>
          <w:lang w:val="es-ES"/>
        </w:rPr>
      </w:pPr>
      <w:r w:rsidRPr="00E92305">
        <w:rPr>
          <w:rFonts w:ascii="Verdana" w:eastAsia="Calibri" w:hAnsi="Verdana" w:cs="Arial"/>
          <w:bCs/>
          <w:sz w:val="20"/>
          <w:szCs w:val="20"/>
          <w:lang w:val="es-ES"/>
        </w:rPr>
        <w:t xml:space="preserve">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ejemplo donde los días laborables o hábiles son todos los de la semana, con excepción del miércoles. </w:t>
      </w:r>
    </w:p>
    <w:p w14:paraId="368B4B86" w14:textId="77777777" w:rsidR="00E92305" w:rsidRPr="00E92305" w:rsidRDefault="00E92305" w:rsidP="00E92305">
      <w:pPr>
        <w:tabs>
          <w:tab w:val="left" w:pos="0"/>
        </w:tabs>
        <w:spacing w:after="0" w:line="240" w:lineRule="auto"/>
        <w:jc w:val="both"/>
        <w:rPr>
          <w:rFonts w:ascii="Verdana" w:eastAsia="Calibri" w:hAnsi="Verdana" w:cs="Arial"/>
          <w:bCs/>
          <w:sz w:val="20"/>
          <w:szCs w:val="20"/>
          <w:lang w:val="es-ES"/>
        </w:rPr>
      </w:pPr>
    </w:p>
    <w:p w14:paraId="0F5A02BF" w14:textId="39CA71D1" w:rsidR="005E0F58" w:rsidRPr="005E0F58" w:rsidRDefault="00E92305" w:rsidP="00E92305">
      <w:pPr>
        <w:tabs>
          <w:tab w:val="left" w:pos="0"/>
        </w:tabs>
        <w:spacing w:after="0" w:line="240" w:lineRule="auto"/>
        <w:jc w:val="both"/>
        <w:rPr>
          <w:rFonts w:ascii="Verdana" w:eastAsia="Calibri" w:hAnsi="Verdana" w:cs="Arial"/>
          <w:bCs/>
          <w:sz w:val="20"/>
          <w:szCs w:val="20"/>
          <w:lang w:val="es-ES"/>
        </w:rPr>
      </w:pPr>
      <w:r w:rsidRPr="00E92305">
        <w:rPr>
          <w:rFonts w:ascii="Verdana" w:eastAsia="Calibri" w:hAnsi="Verdana" w:cs="Arial"/>
          <w:bCs/>
          <w:sz w:val="20"/>
          <w:szCs w:val="20"/>
          <w:lang w:val="es-ES"/>
        </w:rPr>
        <w:t>Esto implica que, para el cómputo de los términos en días hábiles propios de los procesos de selección, incluso aquellos adelantados con documentos tipo, deberá transcurrir dentro de los días definidos por cada entidad estatal como laborables en su correspondiente reglamento o manual de funciones.</w:t>
      </w:r>
    </w:p>
    <w:p w14:paraId="0B28157C" w14:textId="77777777" w:rsidR="005E0F58" w:rsidRPr="005E0F58" w:rsidRDefault="005E0F58" w:rsidP="005E0F58">
      <w:pPr>
        <w:spacing w:after="0" w:line="276" w:lineRule="auto"/>
        <w:jc w:val="both"/>
        <w:rPr>
          <w:rFonts w:ascii="Verdana" w:eastAsia="Aptos" w:hAnsi="Verdana" w:cs="Times New Roman"/>
          <w:b/>
          <w:bCs/>
          <w:kern w:val="2"/>
          <w:lang w:val="es-ES_tradnl"/>
          <w14:ligatures w14:val="standardContextual"/>
        </w:rPr>
      </w:pPr>
    </w:p>
    <w:p w14:paraId="1BCCDD16" w14:textId="77777777" w:rsidR="005E0F58" w:rsidRPr="005E0F58" w:rsidRDefault="005E0F58" w:rsidP="005E0F58">
      <w:pPr>
        <w:spacing w:after="0" w:line="276" w:lineRule="auto"/>
        <w:jc w:val="both"/>
        <w:rPr>
          <w:rFonts w:ascii="Verdana" w:eastAsia="Aptos" w:hAnsi="Verdana" w:cs="Times New Roman"/>
          <w:b/>
          <w:bCs/>
          <w:kern w:val="2"/>
          <w:lang w:val="es-ES_tradnl"/>
          <w14:ligatures w14:val="standardContextual"/>
        </w:rPr>
      </w:pPr>
      <w:r w:rsidRPr="005E0F58">
        <w:rPr>
          <w:rFonts w:ascii="Verdana" w:eastAsia="Aptos" w:hAnsi="Verdana" w:cs="Times New Roman"/>
          <w:b/>
          <w:bCs/>
          <w:kern w:val="2"/>
          <w:lang w:val="es-ES_tradnl"/>
          <w14:ligatures w14:val="standardContextual"/>
        </w:rPr>
        <w:t>DÍAS HÁBILES – Facultad de la Administración para definirlos – Documentos Tipo</w:t>
      </w:r>
    </w:p>
    <w:p w14:paraId="1D4A60D2" w14:textId="77777777" w:rsidR="005E0F58" w:rsidRPr="005E0F58" w:rsidRDefault="005E0F58" w:rsidP="005E0F58">
      <w:pPr>
        <w:spacing w:after="0" w:line="240" w:lineRule="auto"/>
        <w:jc w:val="both"/>
        <w:rPr>
          <w:rFonts w:ascii="Verdana" w:eastAsia="Aptos" w:hAnsi="Verdana" w:cs="Times New Roman"/>
          <w:b/>
          <w:bCs/>
          <w:kern w:val="2"/>
          <w:lang w:val="es-ES_tradnl"/>
          <w14:ligatures w14:val="standardContextual"/>
        </w:rPr>
      </w:pPr>
    </w:p>
    <w:p w14:paraId="49712B3C" w14:textId="57CA4296" w:rsidR="005E0F58" w:rsidRPr="005E0F58" w:rsidRDefault="00E92305" w:rsidP="005E0F58">
      <w:pPr>
        <w:tabs>
          <w:tab w:val="left" w:pos="0"/>
        </w:tabs>
        <w:spacing w:after="0" w:line="240" w:lineRule="auto"/>
        <w:jc w:val="both"/>
        <w:rPr>
          <w:rFonts w:ascii="Verdana" w:eastAsia="Calibri" w:hAnsi="Verdana" w:cs="Arial"/>
          <w:bCs/>
          <w:sz w:val="20"/>
          <w:szCs w:val="20"/>
          <w:lang w:val="es-ES"/>
        </w:rPr>
      </w:pPr>
      <w:r w:rsidRPr="00E92305">
        <w:rPr>
          <w:rFonts w:ascii="Verdana" w:eastAsia="Calibri" w:hAnsi="Verdana" w:cs="Arial"/>
          <w:bCs/>
          <w:sz w:val="20"/>
          <w:szCs w:val="20"/>
          <w:lang w:val="es-ES"/>
        </w:rPr>
        <w:t xml:space="preserve">Por su parte, de conformidad con los mandatos derivados del principio de transparencia, consagrado en el artículo 24 de la Ley 80 de 1993, y lo dispuesto en el artículo 2.2.1.1.2.1.3 del Decreto 1082 de 2015, en el pliego de condiciones deben definirse “las reglas aplicables a la presentación de las ofertas, su evaluación y a la adjudicación del contrato”, así como el cronograma del proceso de selección. Esto implica que para dar aplicación a la anterior regla las entidades deberán establecer el lapso durante el cual recibirán ofertas, definiendo expresamente el día y la hora hasta la cual recibirán las ofertas, de tal manera que este pueda ser conocido con anticipación por los interesados en participar.    </w:t>
      </w:r>
    </w:p>
    <w:p w14:paraId="15947990" w14:textId="4C87FFCC" w:rsidR="005E0F58" w:rsidRPr="005E0F58" w:rsidRDefault="00FC6123" w:rsidP="005E0F58">
      <w:pPr>
        <w:spacing w:after="0" w:line="240" w:lineRule="auto"/>
        <w:jc w:val="both"/>
        <w:rPr>
          <w:rFonts w:ascii="Verdana" w:eastAsia="Aptos" w:hAnsi="Verdana" w:cs="Times New Roman"/>
          <w:bCs/>
          <w:kern w:val="2"/>
          <w:sz w:val="20"/>
          <w:szCs w:val="20"/>
          <w:lang w:val="es-ES_tradnl"/>
          <w14:ligatures w14:val="standardContextual"/>
        </w:rPr>
      </w:pPr>
      <w:r>
        <w:rPr>
          <w:rFonts w:ascii="Verdana" w:eastAsia="Aptos" w:hAnsi="Verdana" w:cs="Times New Roman"/>
          <w:bCs/>
          <w:kern w:val="2"/>
          <w:sz w:val="20"/>
          <w:szCs w:val="20"/>
          <w:lang w:val="es-ES_tradnl"/>
          <w14:ligatures w14:val="standardContextual"/>
        </w:rPr>
        <w:t>[</w:t>
      </w:r>
      <w:r w:rsidR="005E0F58" w:rsidRPr="005E0F58">
        <w:rPr>
          <w:rFonts w:ascii="Verdana" w:eastAsia="Aptos" w:hAnsi="Verdana" w:cs="Times New Roman"/>
          <w:bCs/>
          <w:kern w:val="2"/>
          <w:sz w:val="20"/>
          <w:szCs w:val="20"/>
          <w:lang w:val="es-ES_tradnl"/>
          <w14:ligatures w14:val="standardContextual"/>
        </w:rPr>
        <w:t>…</w:t>
      </w:r>
      <w:r>
        <w:rPr>
          <w:rFonts w:ascii="Verdana" w:eastAsia="Aptos" w:hAnsi="Verdana" w:cs="Times New Roman"/>
          <w:bCs/>
          <w:kern w:val="2"/>
          <w:sz w:val="20"/>
          <w:szCs w:val="20"/>
          <w:lang w:val="es-ES_tradnl"/>
          <w14:ligatures w14:val="standardContextual"/>
        </w:rPr>
        <w:t>]</w:t>
      </w:r>
    </w:p>
    <w:p w14:paraId="7C0837D7" w14:textId="231E662C" w:rsidR="005E0F58" w:rsidRPr="005E0F58" w:rsidRDefault="00FC6123" w:rsidP="005E0F58">
      <w:pPr>
        <w:tabs>
          <w:tab w:val="left" w:pos="0"/>
        </w:tabs>
        <w:spacing w:after="0" w:line="240" w:lineRule="auto"/>
        <w:jc w:val="both"/>
        <w:rPr>
          <w:rFonts w:ascii="Verdana" w:eastAsia="Calibri" w:hAnsi="Verdana" w:cs="Arial"/>
          <w:bCs/>
          <w:sz w:val="20"/>
          <w:szCs w:val="20"/>
          <w:lang w:val="es-ES"/>
        </w:rPr>
      </w:pPr>
      <w:r w:rsidRPr="00FC6123">
        <w:rPr>
          <w:rFonts w:ascii="Verdana" w:eastAsia="Calibri" w:hAnsi="Verdana" w:cs="Arial"/>
          <w:bCs/>
          <w:sz w:val="20"/>
          <w:szCs w:val="20"/>
        </w:rPr>
        <w:t>Finalmente, teniendo en cuenta el objeto de su consulta, es importante señalar que la TRM que la entidad estatal utilizará para la determinación del método de ponderación de la oferta económica en los documentos tipo de concurso de méritos para contratar la interventoría de obras de infraestructura social, dependerá de los días que haya establecido como hábiles, en los términos expuestos en este concepto.</w:t>
      </w:r>
    </w:p>
    <w:p w14:paraId="62532B97" w14:textId="77777777" w:rsidR="005E0F58" w:rsidRPr="005E0F58" w:rsidRDefault="005E0F58" w:rsidP="005E0F58">
      <w:pPr>
        <w:rPr>
          <w:rFonts w:ascii="Verdana" w:eastAsia="Geomanist Light" w:hAnsi="Verdana" w:cs="Arial"/>
          <w:lang w:val="es-MX"/>
        </w:rPr>
      </w:pPr>
    </w:p>
    <w:p w14:paraId="2BBC1CB1" w14:textId="77777777" w:rsidR="005E0F58" w:rsidRPr="005E0F58" w:rsidRDefault="005E0F58" w:rsidP="005E0F58">
      <w:pPr>
        <w:rPr>
          <w:rFonts w:ascii="Verdana" w:eastAsia="Geomanist Light" w:hAnsi="Verdana" w:cs="Arial"/>
          <w:lang w:val="es-MX"/>
        </w:rPr>
      </w:pPr>
    </w:p>
    <w:p w14:paraId="6AA58E29" w14:textId="77777777" w:rsidR="005E0F58" w:rsidRPr="005E0F58" w:rsidRDefault="005E0F58" w:rsidP="005E0F58">
      <w:pPr>
        <w:rPr>
          <w:rFonts w:ascii="Verdana" w:eastAsia="Geomanist Light" w:hAnsi="Verdana" w:cs="Arial"/>
          <w:lang w:val="es-MX"/>
        </w:rPr>
      </w:pPr>
    </w:p>
    <w:p w14:paraId="2E8F5430" w14:textId="32F93809" w:rsidR="005E0F58" w:rsidRDefault="005E0F58" w:rsidP="005E0F58">
      <w:pPr>
        <w:spacing w:after="0" w:line="240" w:lineRule="auto"/>
        <w:jc w:val="both"/>
        <w:rPr>
          <w:rFonts w:ascii="Verdana" w:hAnsi="Verdana"/>
        </w:rPr>
      </w:pPr>
      <w:r w:rsidRPr="0044528D">
        <w:rPr>
          <w:rFonts w:ascii="Verdana" w:hAnsi="Verdana"/>
        </w:rPr>
        <w:lastRenderedPageBreak/>
        <w:t>Bogotá D.C.,</w:t>
      </w:r>
      <w:r w:rsidR="00BE1B09">
        <w:rPr>
          <w:rFonts w:ascii="Verdana" w:hAnsi="Verdana"/>
        </w:rPr>
        <w:t xml:space="preserve"> 01 Octubre 2025</w:t>
      </w:r>
    </w:p>
    <w:p w14:paraId="4884B059" w14:textId="77777777" w:rsidR="005E0F58" w:rsidRPr="005E0F58" w:rsidRDefault="005E0F58" w:rsidP="005E0F58">
      <w:pPr>
        <w:spacing w:after="0" w:line="240" w:lineRule="auto"/>
        <w:jc w:val="both"/>
        <w:rPr>
          <w:rFonts w:ascii="Verdana" w:eastAsia="Geomanist Light" w:hAnsi="Verdana" w:cs="Arial"/>
          <w:lang w:val="es-MX"/>
        </w:rPr>
      </w:pPr>
    </w:p>
    <w:p w14:paraId="4B9D8DC7" w14:textId="6E029124" w:rsidR="005E0F58" w:rsidRDefault="00BE1B09" w:rsidP="005E0F58">
      <w:pPr>
        <w:spacing w:after="0" w:line="240" w:lineRule="auto"/>
        <w:jc w:val="right"/>
        <w:rPr>
          <w:rFonts w:ascii="Verdana" w:eastAsia="Geomanist Light" w:hAnsi="Verdana" w:cs="Arial"/>
          <w:lang w:val="es-MX"/>
        </w:rPr>
      </w:pPr>
      <w:r>
        <w:rPr>
          <w:rFonts w:ascii="Verdana" w:eastAsia="Geomanist Light" w:hAnsi="Verdana" w:cs="Arial"/>
          <w:noProof/>
          <w:lang w:val="es-MX"/>
        </w:rPr>
        <w:drawing>
          <wp:inline distT="0" distB="0" distL="0" distR="0" wp14:anchorId="73871520" wp14:editId="13CB8A85">
            <wp:extent cx="3073908" cy="874970"/>
            <wp:effectExtent l="0" t="0" r="0" b="1905"/>
            <wp:docPr id="256486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8631" name="Imagen 25648631"/>
                    <pic:cNvPicPr/>
                  </pic:nvPicPr>
                  <pic:blipFill>
                    <a:blip r:embed="rId10">
                      <a:extLst>
                        <a:ext uri="{28A0092B-C50C-407E-A947-70E740481C1C}">
                          <a14:useLocalDpi xmlns:a14="http://schemas.microsoft.com/office/drawing/2010/main" val="0"/>
                        </a:ext>
                      </a:extLst>
                    </a:blip>
                    <a:stretch>
                      <a:fillRect/>
                    </a:stretch>
                  </pic:blipFill>
                  <pic:spPr>
                    <a:xfrm>
                      <a:off x="0" y="0"/>
                      <a:ext cx="3084715" cy="878046"/>
                    </a:xfrm>
                    <a:prstGeom prst="rect">
                      <a:avLst/>
                    </a:prstGeom>
                  </pic:spPr>
                </pic:pic>
              </a:graphicData>
            </a:graphic>
          </wp:inline>
        </w:drawing>
      </w:r>
    </w:p>
    <w:p w14:paraId="6A62ECAD" w14:textId="77777777" w:rsidR="000052DE" w:rsidRPr="005E0F58" w:rsidRDefault="000052DE" w:rsidP="005E0F58">
      <w:pPr>
        <w:spacing w:after="0" w:line="240" w:lineRule="auto"/>
        <w:jc w:val="right"/>
        <w:rPr>
          <w:rFonts w:ascii="Verdana" w:eastAsia="Geomanist Light" w:hAnsi="Verdana" w:cs="Arial"/>
          <w:lang w:val="es-MX"/>
        </w:rPr>
      </w:pPr>
    </w:p>
    <w:p w14:paraId="7654EB0C" w14:textId="77777777" w:rsidR="005E0F58" w:rsidRPr="005E0F58" w:rsidRDefault="005E0F58" w:rsidP="005E0F58">
      <w:pPr>
        <w:spacing w:after="0" w:line="240" w:lineRule="auto"/>
        <w:jc w:val="both"/>
        <w:rPr>
          <w:rFonts w:ascii="Verdana" w:eastAsia="Calibri" w:hAnsi="Verdana" w:cs="Arial"/>
          <w:lang w:val="es-ES" w:eastAsia="es-ES"/>
        </w:rPr>
      </w:pPr>
      <w:r w:rsidRPr="005E0F58">
        <w:rPr>
          <w:rFonts w:ascii="Verdana" w:eastAsia="Calibri" w:hAnsi="Verdana" w:cs="Arial"/>
          <w:lang w:val="es-ES" w:eastAsia="es-ES"/>
        </w:rPr>
        <w:t>Señor</w:t>
      </w:r>
    </w:p>
    <w:p w14:paraId="32CA30CF" w14:textId="77777777" w:rsidR="005E0F58" w:rsidRPr="005E0F58" w:rsidRDefault="005E0F58" w:rsidP="005E0F58">
      <w:pPr>
        <w:spacing w:after="0" w:line="240" w:lineRule="auto"/>
        <w:rPr>
          <w:rFonts w:ascii="Verdana" w:eastAsia="Calibri" w:hAnsi="Verdana" w:cs="Arial"/>
          <w:b/>
          <w:lang w:eastAsia="es-ES_tradnl"/>
        </w:rPr>
      </w:pPr>
      <w:r w:rsidRPr="005E0F58">
        <w:rPr>
          <w:rFonts w:ascii="Verdana" w:eastAsia="Calibri" w:hAnsi="Verdana" w:cs="Arial"/>
          <w:b/>
          <w:lang w:eastAsia="es-ES_tradnl"/>
        </w:rPr>
        <w:t>Jhan Carlos Martínez Prado</w:t>
      </w:r>
    </w:p>
    <w:p w14:paraId="11BF3C02" w14:textId="77777777" w:rsidR="005E0F58" w:rsidRPr="005E0F58" w:rsidRDefault="005E0F58" w:rsidP="005E0F58">
      <w:pPr>
        <w:spacing w:after="0" w:line="240" w:lineRule="auto"/>
        <w:rPr>
          <w:rFonts w:ascii="Verdana" w:eastAsia="Calibri" w:hAnsi="Verdana" w:cs="Arial"/>
          <w:b/>
          <w:bCs/>
          <w:lang w:val="es-ES" w:eastAsia="es-ES"/>
        </w:rPr>
      </w:pPr>
      <w:r w:rsidRPr="005E0F58">
        <w:rPr>
          <w:rFonts w:ascii="Verdana" w:eastAsia="Calibri" w:hAnsi="Verdana" w:cs="Arial"/>
          <w:lang w:val="es-ES" w:eastAsia="es-ES"/>
        </w:rPr>
        <w:t>Valledupar, Cesar</w:t>
      </w:r>
    </w:p>
    <w:p w14:paraId="706DE527" w14:textId="77777777" w:rsidR="005E0F58" w:rsidRPr="005E0F58" w:rsidRDefault="005E0F58" w:rsidP="005E0F58">
      <w:pPr>
        <w:spacing w:after="0" w:line="240" w:lineRule="auto"/>
        <w:rPr>
          <w:rFonts w:ascii="Verdana" w:eastAsia="Calibri" w:hAnsi="Verdana" w:cs="Arial"/>
          <w:b/>
          <w:bCs/>
          <w:lang w:val="es-ES_tradnl" w:eastAsia="es-ES_tradnl"/>
        </w:rPr>
      </w:pPr>
    </w:p>
    <w:p w14:paraId="42FCED7F" w14:textId="77777777" w:rsidR="005E0F58" w:rsidRPr="005E0F58" w:rsidRDefault="005E0F58" w:rsidP="005E0F58">
      <w:pPr>
        <w:spacing w:after="0" w:line="240" w:lineRule="auto"/>
        <w:rPr>
          <w:rFonts w:ascii="Verdana" w:eastAsia="Calibri" w:hAnsi="Verdana" w:cs="Arial"/>
          <w:b/>
          <w:bCs/>
          <w:lang w:val="es-ES_tradnl" w:eastAsia="es-ES_tradnl"/>
        </w:rPr>
      </w:pPr>
    </w:p>
    <w:p w14:paraId="7C30035D" w14:textId="77777777" w:rsidR="005E0F58" w:rsidRPr="005E0F58" w:rsidRDefault="005E0F58" w:rsidP="005E0F5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E0F58" w:rsidRPr="005E0F58" w14:paraId="5558CC60" w14:textId="77777777" w:rsidTr="00C016A1">
        <w:trPr>
          <w:trHeight w:val="203"/>
        </w:trPr>
        <w:tc>
          <w:tcPr>
            <w:tcW w:w="2689" w:type="dxa"/>
          </w:tcPr>
          <w:p w14:paraId="58FE0C02" w14:textId="77777777" w:rsidR="005E0F58" w:rsidRPr="005E0F58" w:rsidRDefault="005E0F58" w:rsidP="005E0F58">
            <w:pPr>
              <w:jc w:val="both"/>
              <w:rPr>
                <w:rFonts w:ascii="Verdana" w:eastAsia="Calibri" w:hAnsi="Verdana" w:cs="Arial"/>
                <w:b/>
                <w:bCs/>
                <w:lang w:val="es-ES_tradnl" w:eastAsia="es-ES_tradnl"/>
              </w:rPr>
            </w:pPr>
          </w:p>
        </w:tc>
        <w:tc>
          <w:tcPr>
            <w:tcW w:w="6100" w:type="dxa"/>
          </w:tcPr>
          <w:p w14:paraId="251F8112" w14:textId="77777777" w:rsidR="005E0F58" w:rsidRPr="005E0F58" w:rsidRDefault="005E0F58" w:rsidP="005E0F58">
            <w:pPr>
              <w:jc w:val="both"/>
              <w:rPr>
                <w:rFonts w:ascii="Verdana" w:eastAsia="Calibri" w:hAnsi="Verdana" w:cs="Arial"/>
                <w:b/>
                <w:bCs/>
                <w:lang w:val="es-ES" w:eastAsia="es-ES"/>
              </w:rPr>
            </w:pPr>
            <w:r w:rsidRPr="005E0F58">
              <w:rPr>
                <w:rFonts w:ascii="Verdana" w:eastAsia="Calibri" w:hAnsi="Verdana" w:cs="Arial"/>
                <w:b/>
                <w:bCs/>
                <w:lang w:val="es-ES" w:eastAsia="es-ES"/>
              </w:rPr>
              <w:t>Concepto C – 1179 de 2025</w:t>
            </w:r>
          </w:p>
          <w:p w14:paraId="44A748EF" w14:textId="77777777" w:rsidR="005E0F58" w:rsidRPr="005E0F58" w:rsidRDefault="005E0F58" w:rsidP="005E0F58">
            <w:pPr>
              <w:jc w:val="both"/>
              <w:rPr>
                <w:rFonts w:ascii="Verdana" w:eastAsia="Calibri" w:hAnsi="Verdana" w:cs="Arial"/>
                <w:b/>
                <w:bCs/>
                <w:lang w:val="es-ES" w:eastAsia="es-ES"/>
              </w:rPr>
            </w:pPr>
          </w:p>
          <w:p w14:paraId="60A5D7E8" w14:textId="77777777" w:rsidR="005E0F58" w:rsidRPr="005E0F58" w:rsidRDefault="005E0F58" w:rsidP="005E0F58">
            <w:pPr>
              <w:jc w:val="both"/>
              <w:rPr>
                <w:rFonts w:ascii="Verdana" w:eastAsia="Calibri" w:hAnsi="Verdana" w:cs="Arial"/>
                <w:b/>
                <w:bCs/>
                <w:lang w:val="es-ES" w:eastAsia="es-ES"/>
              </w:rPr>
            </w:pPr>
          </w:p>
        </w:tc>
      </w:tr>
      <w:tr w:rsidR="005E0F58" w:rsidRPr="005E0F58" w14:paraId="43171FD7" w14:textId="77777777" w:rsidTr="00C016A1">
        <w:trPr>
          <w:trHeight w:val="884"/>
        </w:trPr>
        <w:tc>
          <w:tcPr>
            <w:tcW w:w="2689" w:type="dxa"/>
          </w:tcPr>
          <w:p w14:paraId="4AA56AB2" w14:textId="77777777" w:rsidR="005E0F58" w:rsidRPr="005E0F58" w:rsidRDefault="005E0F58" w:rsidP="005E0F58">
            <w:pPr>
              <w:jc w:val="both"/>
              <w:rPr>
                <w:rFonts w:ascii="Verdana" w:eastAsia="Calibri" w:hAnsi="Verdana" w:cs="Arial"/>
                <w:lang w:val="es-ES_tradnl" w:eastAsia="es-ES_tradnl"/>
              </w:rPr>
            </w:pPr>
            <w:r w:rsidRPr="005E0F58">
              <w:rPr>
                <w:rFonts w:ascii="Verdana" w:eastAsia="Calibri" w:hAnsi="Verdana" w:cs="Arial"/>
                <w:b/>
                <w:lang w:val="es-ES_tradnl" w:eastAsia="es-ES_tradnl"/>
              </w:rPr>
              <w:t>Temas:</w:t>
            </w:r>
            <w:r w:rsidRPr="005E0F58">
              <w:rPr>
                <w:rFonts w:ascii="Verdana" w:eastAsia="Calibri" w:hAnsi="Verdana" w:cs="Arial"/>
                <w:lang w:val="es-ES_tradnl" w:eastAsia="es-ES_tradnl"/>
              </w:rPr>
              <w:t xml:space="preserve">                   </w:t>
            </w:r>
          </w:p>
        </w:tc>
        <w:tc>
          <w:tcPr>
            <w:tcW w:w="6100" w:type="dxa"/>
          </w:tcPr>
          <w:p w14:paraId="46FB171D" w14:textId="77777777" w:rsidR="005E0F58" w:rsidRPr="005E0F58" w:rsidRDefault="005E0F58" w:rsidP="005E0F58">
            <w:pPr>
              <w:spacing w:line="276" w:lineRule="auto"/>
              <w:jc w:val="both"/>
              <w:rPr>
                <w:rFonts w:ascii="Verdana" w:eastAsia="Aptos" w:hAnsi="Verdana" w:cs="Times New Roman"/>
                <w:lang w:val="es-ES_tradnl"/>
              </w:rPr>
            </w:pPr>
            <w:r w:rsidRPr="005E0F58">
              <w:rPr>
                <w:rFonts w:ascii="Verdana" w:eastAsia="Aptos" w:hAnsi="Verdana" w:cs="Times New Roman"/>
                <w:lang w:val="es-ES_tradnl"/>
              </w:rPr>
              <w:t>DÍAS HÁBILES – Concepto – Cómputo de términos / DÍAS HÁBILES – Facultad de la Administración para definirlos – Documentos Tipo</w:t>
            </w:r>
          </w:p>
          <w:p w14:paraId="29B29551" w14:textId="77777777" w:rsidR="005E0F58" w:rsidRPr="005E0F58" w:rsidRDefault="005E0F58" w:rsidP="005E0F58">
            <w:pPr>
              <w:jc w:val="both"/>
              <w:rPr>
                <w:rFonts w:ascii="Verdana" w:eastAsia="Calibri" w:hAnsi="Verdana" w:cs="Arial"/>
                <w:lang w:val="es-ES_tradnl" w:eastAsia="es-ES"/>
              </w:rPr>
            </w:pPr>
          </w:p>
        </w:tc>
      </w:tr>
      <w:tr w:rsidR="005E0F58" w:rsidRPr="005E0F58" w14:paraId="1C948730" w14:textId="77777777" w:rsidTr="00C016A1">
        <w:tc>
          <w:tcPr>
            <w:tcW w:w="2689" w:type="dxa"/>
          </w:tcPr>
          <w:p w14:paraId="692D45A8" w14:textId="77777777" w:rsidR="005E0F58" w:rsidRPr="005E0F58" w:rsidRDefault="005E0F58" w:rsidP="005E0F58">
            <w:pPr>
              <w:jc w:val="both"/>
              <w:rPr>
                <w:rFonts w:ascii="Verdana" w:eastAsia="Calibri" w:hAnsi="Verdana" w:cs="Arial"/>
                <w:b/>
                <w:lang w:val="es-ES_tradnl" w:eastAsia="es-ES_tradnl"/>
              </w:rPr>
            </w:pPr>
            <w:r w:rsidRPr="005E0F58">
              <w:rPr>
                <w:rFonts w:ascii="Verdana" w:eastAsia="Calibri" w:hAnsi="Verdana" w:cs="Arial"/>
                <w:b/>
                <w:lang w:val="es-ES_tradnl" w:eastAsia="es-ES_tradnl"/>
              </w:rPr>
              <w:t>Radicación:</w:t>
            </w:r>
            <w:r w:rsidRPr="005E0F58">
              <w:rPr>
                <w:rFonts w:ascii="Verdana" w:eastAsia="Calibri" w:hAnsi="Verdana" w:cs="Arial"/>
                <w:lang w:val="es-ES_tradnl" w:eastAsia="es-ES_tradnl"/>
              </w:rPr>
              <w:t xml:space="preserve">               </w:t>
            </w:r>
          </w:p>
        </w:tc>
        <w:tc>
          <w:tcPr>
            <w:tcW w:w="6100" w:type="dxa"/>
          </w:tcPr>
          <w:p w14:paraId="08D633F9" w14:textId="77777777" w:rsidR="005E0F58" w:rsidRPr="005E0F58" w:rsidRDefault="005E0F58" w:rsidP="005E0F58">
            <w:pPr>
              <w:jc w:val="both"/>
              <w:rPr>
                <w:rFonts w:ascii="Verdana" w:eastAsia="Calibri" w:hAnsi="Verdana" w:cs="Arial"/>
                <w:lang w:val="es-ES_tradnl" w:eastAsia="es-ES_tradnl"/>
              </w:rPr>
            </w:pPr>
            <w:r w:rsidRPr="005E0F58">
              <w:rPr>
                <w:rFonts w:ascii="Verdana" w:eastAsia="Calibri" w:hAnsi="Verdana" w:cs="Arial"/>
                <w:lang w:val="es-ES_tradnl" w:eastAsia="es-ES_tradnl"/>
              </w:rPr>
              <w:t>Respuesta a consulta con radicado No. 1_2025_08_21_008871</w:t>
            </w:r>
          </w:p>
        </w:tc>
      </w:tr>
    </w:tbl>
    <w:p w14:paraId="09130AF7" w14:textId="77777777" w:rsidR="005E0F58" w:rsidRPr="005E0F58" w:rsidRDefault="005E0F58" w:rsidP="005E0F58">
      <w:pPr>
        <w:spacing w:after="0" w:line="240" w:lineRule="auto"/>
        <w:jc w:val="both"/>
        <w:rPr>
          <w:rFonts w:ascii="Verdana" w:eastAsia="Calibri" w:hAnsi="Verdana" w:cs="Arial"/>
          <w:lang w:val="es-ES_tradnl" w:eastAsia="es-ES_tradnl"/>
        </w:rPr>
      </w:pPr>
    </w:p>
    <w:p w14:paraId="3A9866FE" w14:textId="77777777" w:rsidR="005E0F58" w:rsidRPr="005E0F58" w:rsidRDefault="005E0F58" w:rsidP="005E0F58">
      <w:pPr>
        <w:spacing w:after="0" w:line="240" w:lineRule="auto"/>
        <w:jc w:val="both"/>
        <w:rPr>
          <w:rFonts w:ascii="Verdana" w:eastAsia="Calibri" w:hAnsi="Verdana" w:cs="Arial"/>
          <w:lang w:val="es-ES_tradnl" w:eastAsia="es-ES_tradnl"/>
        </w:rPr>
      </w:pPr>
    </w:p>
    <w:p w14:paraId="03B40022" w14:textId="77777777" w:rsidR="005E0F58" w:rsidRPr="005E0F58" w:rsidRDefault="005E0F58" w:rsidP="005E0F58">
      <w:pPr>
        <w:spacing w:after="0" w:line="240" w:lineRule="auto"/>
        <w:jc w:val="both"/>
        <w:rPr>
          <w:rFonts w:ascii="Verdana" w:eastAsia="Calibri" w:hAnsi="Verdana" w:cs="Arial"/>
          <w:lang w:val="es-ES" w:eastAsia="es-ES"/>
        </w:rPr>
      </w:pPr>
      <w:r w:rsidRPr="005E0F58">
        <w:rPr>
          <w:rFonts w:ascii="Verdana" w:eastAsia="Calibri" w:hAnsi="Verdana" w:cs="Arial"/>
          <w:lang w:val="es-ES" w:eastAsia="es-ES"/>
        </w:rPr>
        <w:t xml:space="preserve">Estimado señor Martínez Prado: </w:t>
      </w:r>
    </w:p>
    <w:p w14:paraId="2B75D45F" w14:textId="77777777" w:rsidR="005E0F58" w:rsidRPr="005E0F58" w:rsidRDefault="005E0F58" w:rsidP="005E0F58">
      <w:pPr>
        <w:tabs>
          <w:tab w:val="left" w:pos="3768"/>
        </w:tabs>
        <w:spacing w:after="0" w:line="240" w:lineRule="auto"/>
        <w:jc w:val="both"/>
        <w:rPr>
          <w:rFonts w:ascii="Verdana" w:eastAsia="Calibri" w:hAnsi="Verdana" w:cs="Arial"/>
          <w:lang w:val="es-ES" w:eastAsia="es-ES"/>
        </w:rPr>
      </w:pPr>
    </w:p>
    <w:p w14:paraId="626106F1" w14:textId="77777777" w:rsidR="005E0F58" w:rsidRPr="005E0F58" w:rsidRDefault="005E0F58" w:rsidP="005E0F58">
      <w:pPr>
        <w:spacing w:after="0" w:line="276" w:lineRule="auto"/>
        <w:contextualSpacing/>
        <w:jc w:val="both"/>
        <w:rPr>
          <w:rFonts w:ascii="Verdana" w:eastAsia="Calibri" w:hAnsi="Verdana" w:cs="Arial"/>
          <w:lang w:val="es-ES" w:eastAsia="es-ES"/>
        </w:rPr>
      </w:pPr>
      <w:r w:rsidRPr="005E0F58">
        <w:rPr>
          <w:rFonts w:ascii="Verdana" w:eastAsia="Calibri" w:hAnsi="Verdana" w:cs="Arial"/>
          <w:lang w:val="es-ES" w:eastAsia="es-ES"/>
        </w:rPr>
        <w:t>En ejercicio de la competencia otorgada por los artículos 3, numeral 5º, y 11, numeral 8º, del Decreto Ley 4170 de 2011,</w:t>
      </w:r>
      <w:r w:rsidRPr="005E0F58">
        <w:rPr>
          <w:rFonts w:ascii="Verdana" w:eastAsia="Arial MT" w:hAnsi="Verdana" w:cs="Arial MT"/>
          <w:lang w:val="es-ES" w:eastAsia="es-ES"/>
        </w:rPr>
        <w:t xml:space="preserve"> </w:t>
      </w:r>
      <w:r w:rsidRPr="005E0F58">
        <w:rPr>
          <w:rFonts w:ascii="Verdana" w:eastAsia="Calibri" w:hAnsi="Verdana" w:cs="Arial"/>
        </w:rPr>
        <w:t xml:space="preserve">así como lo establecido en el artículo 4 de la Resolución 1707 de 2018 expedida por esta Entidad, </w:t>
      </w:r>
      <w:r w:rsidRPr="005E0F58">
        <w:rPr>
          <w:rFonts w:ascii="Verdana" w:eastAsia="Calibri" w:hAnsi="Verdana" w:cs="Arial"/>
          <w:lang w:val="es-ES" w:eastAsia="es-ES"/>
        </w:rPr>
        <w:t xml:space="preserve">la Agencia Nacional de Contratación Pública –Colombia Compra Eficiente– responde su solicitud de consulta de fecha 21 de agosto de 2025, en la cual manifiesta lo siguiente: </w:t>
      </w:r>
    </w:p>
    <w:p w14:paraId="3F5441DD" w14:textId="77777777" w:rsidR="005E0F58" w:rsidRPr="005E0F58" w:rsidRDefault="005E0F58" w:rsidP="005E0F58">
      <w:pPr>
        <w:tabs>
          <w:tab w:val="left" w:pos="142"/>
          <w:tab w:val="left" w:pos="284"/>
        </w:tabs>
        <w:spacing w:after="0" w:line="276" w:lineRule="auto"/>
        <w:contextualSpacing/>
        <w:jc w:val="both"/>
        <w:rPr>
          <w:rFonts w:ascii="Verdana" w:eastAsia="Century Gothic" w:hAnsi="Verdana" w:cs="Century Gothic"/>
          <w:b/>
          <w:bCs/>
          <w:lang w:val="es-ES"/>
        </w:rPr>
      </w:pPr>
    </w:p>
    <w:p w14:paraId="1E6F8DDC" w14:textId="77777777" w:rsidR="005E0F58" w:rsidRPr="005E0F58" w:rsidRDefault="005E0F58" w:rsidP="005E0F58">
      <w:pPr>
        <w:spacing w:after="0" w:line="240" w:lineRule="auto"/>
        <w:ind w:left="709" w:right="709"/>
        <w:jc w:val="both"/>
        <w:rPr>
          <w:rFonts w:ascii="Verdana" w:eastAsia="Century Gothic" w:hAnsi="Verdana" w:cs="Century Gothic"/>
          <w:sz w:val="21"/>
          <w:szCs w:val="21"/>
          <w:lang w:val="es-ES"/>
        </w:rPr>
      </w:pPr>
      <w:bookmarkStart w:id="2" w:name="_Hlk95313578"/>
      <w:r w:rsidRPr="005E0F58">
        <w:rPr>
          <w:rFonts w:ascii="Verdana" w:eastAsia="Century Gothic" w:hAnsi="Verdana" w:cs="Century Gothic"/>
          <w:sz w:val="21"/>
          <w:szCs w:val="21"/>
          <w:lang w:val="es-ES"/>
        </w:rPr>
        <w:t>“</w:t>
      </w:r>
      <w:bookmarkEnd w:id="2"/>
      <w:r w:rsidRPr="005E0F58">
        <w:rPr>
          <w:rFonts w:ascii="Verdana" w:eastAsia="Century Gothic" w:hAnsi="Verdana" w:cs="Century Gothic"/>
          <w:sz w:val="21"/>
          <w:szCs w:val="21"/>
          <w:lang w:val="es-ES"/>
        </w:rPr>
        <w:t>De acuerdo con el numeral 4.1 del Documento Base de Interventoría de Obra Pública de Infraestructura Social, la TRM aplicable para el método de ponderación es la que rige el segundo día hábil después del cierre, es decir, la que publica la Superintendencia Financiera. Solicito aclarar:</w:t>
      </w:r>
    </w:p>
    <w:p w14:paraId="38A1EAD8" w14:textId="77777777" w:rsidR="005E0F58" w:rsidRPr="005E0F58" w:rsidRDefault="005E0F58" w:rsidP="005E0F58">
      <w:pPr>
        <w:spacing w:after="0" w:line="240" w:lineRule="auto"/>
        <w:ind w:left="709" w:right="709"/>
        <w:jc w:val="both"/>
        <w:rPr>
          <w:rFonts w:ascii="Verdana" w:eastAsia="Century Gothic" w:hAnsi="Verdana" w:cs="Century Gothic"/>
          <w:sz w:val="21"/>
          <w:szCs w:val="21"/>
          <w:lang w:val="es-ES"/>
        </w:rPr>
      </w:pPr>
    </w:p>
    <w:p w14:paraId="36BB239B" w14:textId="77777777" w:rsidR="005E0F58" w:rsidRPr="005E0F58" w:rsidRDefault="005E0F58" w:rsidP="005E0F58">
      <w:pPr>
        <w:spacing w:after="0" w:line="240" w:lineRule="auto"/>
        <w:ind w:left="709" w:right="709"/>
        <w:jc w:val="both"/>
        <w:rPr>
          <w:rFonts w:ascii="Verdana" w:eastAsia="Century Gothic" w:hAnsi="Verdana" w:cs="Century Gothic"/>
          <w:sz w:val="21"/>
          <w:szCs w:val="21"/>
          <w:lang w:val="es-ES"/>
        </w:rPr>
      </w:pPr>
      <w:r w:rsidRPr="005E0F58">
        <w:rPr>
          <w:rFonts w:ascii="Verdana" w:eastAsia="Century Gothic" w:hAnsi="Verdana" w:cs="Century Gothic"/>
          <w:sz w:val="21"/>
          <w:szCs w:val="21"/>
          <w:lang w:val="es-ES"/>
        </w:rPr>
        <w:t>¿Los días hábiles deben entenderse únicamente como aquellos en que la Superintendencia certifica y publica TRM (lunes a viernes, salvo domingos y festivos nacionales)?</w:t>
      </w:r>
    </w:p>
    <w:p w14:paraId="4451C18F" w14:textId="77777777" w:rsidR="005E0F58" w:rsidRPr="005E0F58" w:rsidRDefault="005E0F58" w:rsidP="005E0F58">
      <w:pPr>
        <w:spacing w:after="0" w:line="240" w:lineRule="auto"/>
        <w:ind w:left="709" w:right="709"/>
        <w:jc w:val="both"/>
        <w:rPr>
          <w:rFonts w:ascii="Verdana" w:eastAsia="Century Gothic" w:hAnsi="Verdana" w:cs="Century Gothic"/>
          <w:sz w:val="21"/>
          <w:szCs w:val="21"/>
          <w:lang w:val="es-ES"/>
        </w:rPr>
      </w:pPr>
    </w:p>
    <w:p w14:paraId="0F7B5309" w14:textId="77777777" w:rsidR="005E0F58" w:rsidRPr="005E0F58" w:rsidRDefault="005E0F58" w:rsidP="005E0F58">
      <w:pPr>
        <w:spacing w:after="0" w:line="240" w:lineRule="auto"/>
        <w:ind w:left="709" w:right="709"/>
        <w:jc w:val="both"/>
        <w:rPr>
          <w:rFonts w:ascii="Verdana" w:eastAsia="Century Gothic" w:hAnsi="Verdana" w:cs="Century Gothic"/>
          <w:sz w:val="21"/>
          <w:szCs w:val="21"/>
          <w:lang w:val="es-ES"/>
        </w:rPr>
      </w:pPr>
      <w:r w:rsidRPr="005E0F58">
        <w:rPr>
          <w:rFonts w:ascii="Verdana" w:eastAsia="Century Gothic" w:hAnsi="Verdana" w:cs="Century Gothic"/>
          <w:sz w:val="21"/>
          <w:szCs w:val="21"/>
          <w:lang w:val="es-ES"/>
        </w:rPr>
        <w:t xml:space="preserve">¿Un “día cívico” municipal puede considerarse inhábil para este </w:t>
      </w:r>
      <w:proofErr w:type="gramStart"/>
      <w:r w:rsidRPr="005E0F58">
        <w:rPr>
          <w:rFonts w:ascii="Verdana" w:eastAsia="Century Gothic" w:hAnsi="Verdana" w:cs="Century Gothic"/>
          <w:sz w:val="21"/>
          <w:szCs w:val="21"/>
          <w:lang w:val="es-ES"/>
        </w:rPr>
        <w:t>cómputo</w:t>
      </w:r>
      <w:proofErr w:type="gramEnd"/>
      <w:r w:rsidRPr="005E0F58">
        <w:rPr>
          <w:rFonts w:ascii="Verdana" w:eastAsia="Century Gothic" w:hAnsi="Verdana" w:cs="Century Gothic"/>
          <w:sz w:val="21"/>
          <w:szCs w:val="21"/>
          <w:lang w:val="es-ES"/>
        </w:rPr>
        <w:t xml:space="preserve"> aunque exista publicación oficial de la TRM para esa fecha?”</w:t>
      </w:r>
    </w:p>
    <w:p w14:paraId="092D29B5" w14:textId="77777777" w:rsidR="005E0F58" w:rsidRPr="005E0F58" w:rsidRDefault="005E0F58" w:rsidP="005E0F58">
      <w:pPr>
        <w:tabs>
          <w:tab w:val="left" w:pos="142"/>
          <w:tab w:val="left" w:pos="284"/>
        </w:tabs>
        <w:spacing w:after="0" w:line="276" w:lineRule="auto"/>
        <w:contextualSpacing/>
        <w:jc w:val="both"/>
        <w:rPr>
          <w:rFonts w:ascii="Verdana" w:eastAsia="Century Gothic" w:hAnsi="Verdana" w:cs="Century Gothic"/>
          <w:b/>
          <w:bCs/>
          <w:lang w:val="es-ES"/>
        </w:rPr>
      </w:pPr>
    </w:p>
    <w:p w14:paraId="24A5C964" w14:textId="77777777" w:rsidR="005E0F58" w:rsidRPr="005E0F58" w:rsidRDefault="005E0F58" w:rsidP="005E0F58">
      <w:pPr>
        <w:spacing w:after="120" w:line="276" w:lineRule="auto"/>
        <w:ind w:firstLine="709"/>
        <w:jc w:val="both"/>
        <w:rPr>
          <w:rFonts w:ascii="Verdana" w:eastAsia="Calibri" w:hAnsi="Verdana" w:cs="Arial"/>
          <w:szCs w:val="24"/>
          <w:lang w:val="es-ES_tradnl" w:eastAsia="es-ES_tradnl"/>
        </w:rPr>
      </w:pPr>
      <w:r w:rsidRPr="005E0F5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E0F58">
        <w:rPr>
          <w:rFonts w:ascii="Verdana" w:eastAsia="Calibri" w:hAnsi="Verdana" w:cs="Arial"/>
          <w:szCs w:val="24"/>
          <w:lang w:val="es-ES_tradnl" w:eastAsia="es-ES_tradnl"/>
        </w:rPr>
        <w:tab/>
      </w:r>
    </w:p>
    <w:p w14:paraId="072BC37E" w14:textId="77777777" w:rsidR="005E0F58" w:rsidRPr="005E0F58" w:rsidRDefault="005E0F58" w:rsidP="005E0F58">
      <w:pPr>
        <w:spacing w:after="0" w:line="276" w:lineRule="auto"/>
        <w:ind w:firstLine="709"/>
        <w:jc w:val="both"/>
        <w:rPr>
          <w:rFonts w:ascii="Verdana" w:eastAsia="Calibri" w:hAnsi="Verdana" w:cs="Arial"/>
          <w:lang w:val="es-ES" w:eastAsia="es-ES"/>
        </w:rPr>
      </w:pPr>
      <w:r w:rsidRPr="005E0F5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34F77B29" w14:textId="77777777" w:rsidR="005E0F58" w:rsidRPr="005E0F58" w:rsidRDefault="005E0F58" w:rsidP="005E0F58">
      <w:pPr>
        <w:spacing w:after="0" w:line="276" w:lineRule="auto"/>
        <w:ind w:firstLine="709"/>
        <w:jc w:val="both"/>
        <w:rPr>
          <w:rFonts w:ascii="Verdana" w:eastAsia="Calibri" w:hAnsi="Verdana" w:cs="Arial"/>
          <w:lang w:val="es-ES" w:eastAsia="es-ES"/>
        </w:rPr>
      </w:pPr>
    </w:p>
    <w:p w14:paraId="153CAB30" w14:textId="77777777" w:rsidR="005E0F58" w:rsidRPr="005E0F58" w:rsidRDefault="005E0F58" w:rsidP="005E0F58">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5E0F58">
        <w:rPr>
          <w:rFonts w:ascii="Verdana" w:eastAsia="Century Gothic" w:hAnsi="Verdana" w:cs="Century Gothic"/>
          <w:b/>
          <w:bCs/>
          <w:lang w:val="es-ES"/>
        </w:rPr>
        <w:t>Problema planteado:</w:t>
      </w:r>
    </w:p>
    <w:p w14:paraId="53801B5D" w14:textId="77777777" w:rsidR="005E0F58" w:rsidRPr="005E0F58" w:rsidRDefault="005E0F58" w:rsidP="005E0F58">
      <w:pPr>
        <w:tabs>
          <w:tab w:val="left" w:pos="426"/>
        </w:tabs>
        <w:spacing w:after="0" w:line="276" w:lineRule="auto"/>
        <w:jc w:val="both"/>
        <w:rPr>
          <w:rFonts w:ascii="Verdana" w:eastAsia="Century Gothic" w:hAnsi="Verdana" w:cs="Century Gothic"/>
          <w:lang w:val="es-ES"/>
        </w:rPr>
      </w:pPr>
    </w:p>
    <w:p w14:paraId="74A6B133" w14:textId="77777777" w:rsidR="005E0F58" w:rsidRPr="005E0F58" w:rsidRDefault="005E0F58" w:rsidP="005E0F58">
      <w:pPr>
        <w:spacing w:after="0" w:line="276" w:lineRule="auto"/>
        <w:jc w:val="both"/>
        <w:rPr>
          <w:rFonts w:ascii="Verdana" w:eastAsia="Century Gothic" w:hAnsi="Verdana" w:cs="Century Gothic"/>
        </w:rPr>
      </w:pPr>
      <w:r w:rsidRPr="005E0F58">
        <w:rPr>
          <w:rFonts w:ascii="Verdana" w:eastAsia="Century Gothic" w:hAnsi="Verdana" w:cs="Century Gothic"/>
        </w:rPr>
        <w:t xml:space="preserve">De acuerdo con el contenido de su solicitud, esta Agencia resolverá el siguiente problema jurídico: ¿cómo deben entenderse los </w:t>
      </w:r>
      <w:r w:rsidRPr="005E0F58">
        <w:rPr>
          <w:rFonts w:ascii="Verdana" w:eastAsia="Century Gothic" w:hAnsi="Verdana" w:cs="Century Gothic"/>
          <w:i/>
          <w:iCs/>
        </w:rPr>
        <w:t>días hábiles</w:t>
      </w:r>
      <w:r w:rsidRPr="005E0F58">
        <w:rPr>
          <w:rFonts w:ascii="Verdana" w:eastAsia="Century Gothic" w:hAnsi="Verdana" w:cs="Century Gothic"/>
        </w:rPr>
        <w:t xml:space="preserve"> en lo que respecta al uso de la TRM en los documentos tipo de interventoría de infraestructura social?</w:t>
      </w:r>
    </w:p>
    <w:p w14:paraId="39E8D961" w14:textId="77777777" w:rsidR="005E0F58" w:rsidRPr="005E0F58" w:rsidRDefault="005E0F58" w:rsidP="005E0F58">
      <w:pPr>
        <w:spacing w:after="0" w:line="276" w:lineRule="auto"/>
        <w:jc w:val="both"/>
        <w:rPr>
          <w:rFonts w:ascii="Verdana" w:eastAsia="Calibri" w:hAnsi="Verdana" w:cs="Arial"/>
          <w:lang w:val="es-ES"/>
        </w:rPr>
      </w:pPr>
    </w:p>
    <w:p w14:paraId="34E82ECA" w14:textId="77777777" w:rsidR="005E0F58" w:rsidRPr="005E0F58" w:rsidRDefault="005E0F58" w:rsidP="005E0F5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5E0F58">
        <w:rPr>
          <w:rFonts w:ascii="Verdana" w:eastAsia="Century Gothic" w:hAnsi="Verdana" w:cs="Century Gothic"/>
          <w:b/>
          <w:bCs/>
          <w:lang w:val="es-ES"/>
        </w:rPr>
        <w:t>Respuesta:</w:t>
      </w:r>
    </w:p>
    <w:p w14:paraId="4A57B8F9" w14:textId="77777777" w:rsidR="005E0F58" w:rsidRPr="005E0F58" w:rsidRDefault="005E0F58" w:rsidP="005E0F5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0F58" w:rsidRPr="005E0F58" w14:paraId="01962720" w14:textId="77777777" w:rsidTr="00C016A1">
        <w:tc>
          <w:tcPr>
            <w:tcW w:w="8828" w:type="dxa"/>
          </w:tcPr>
          <w:p w14:paraId="22600E23" w14:textId="77777777" w:rsidR="005E0F58" w:rsidRPr="005E0F58" w:rsidRDefault="005E0F58" w:rsidP="005E0F58">
            <w:pPr>
              <w:tabs>
                <w:tab w:val="left" w:pos="0"/>
              </w:tabs>
              <w:spacing w:after="120" w:line="276" w:lineRule="auto"/>
              <w:jc w:val="both"/>
              <w:rPr>
                <w:rFonts w:ascii="Verdana" w:eastAsia="Calibri" w:hAnsi="Verdana" w:cs="Arial"/>
                <w:bCs/>
                <w:lang w:val="es-ES"/>
              </w:rPr>
            </w:pPr>
            <w:r w:rsidRPr="005E0F58">
              <w:rPr>
                <w:rFonts w:ascii="Verdana" w:eastAsia="Calibri" w:hAnsi="Verdana" w:cs="Arial"/>
                <w:bCs/>
                <w:lang w:val="es-ES"/>
              </w:rPr>
              <w:t xml:space="preserve">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w:t>
            </w:r>
            <w:r w:rsidRPr="005E0F58">
              <w:rPr>
                <w:rFonts w:ascii="Verdana" w:eastAsia="Calibri" w:hAnsi="Verdana" w:cs="Arial"/>
                <w:bCs/>
                <w:lang w:val="es-ES"/>
              </w:rPr>
              <w:lastRenderedPageBreak/>
              <w:t xml:space="preserve">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ejemplo donde los días laborables o hábiles son todos los de la semana, con excepción del miércoles. </w:t>
            </w:r>
          </w:p>
          <w:p w14:paraId="5A0B1AD9" w14:textId="77777777" w:rsidR="005E0F58" w:rsidRPr="005E0F58" w:rsidRDefault="005E0F58" w:rsidP="005E0F58">
            <w:pPr>
              <w:tabs>
                <w:tab w:val="left" w:pos="0"/>
              </w:tabs>
              <w:spacing w:after="120" w:line="276" w:lineRule="auto"/>
              <w:ind w:firstLine="709"/>
              <w:jc w:val="both"/>
              <w:rPr>
                <w:rFonts w:ascii="Verdana" w:eastAsia="Calibri" w:hAnsi="Verdana" w:cs="Arial"/>
                <w:bCs/>
                <w:lang w:val="es-ES"/>
              </w:rPr>
            </w:pPr>
            <w:r w:rsidRPr="005E0F58">
              <w:rPr>
                <w:rFonts w:ascii="Verdana" w:eastAsia="Calibri" w:hAnsi="Verdana" w:cs="Arial"/>
                <w:bCs/>
                <w:lang w:val="es-ES"/>
              </w:rPr>
              <w:t xml:space="preserve">Esto implica que, para el cómputo de los términos en días hábiles propios de los procesos de selección, incluso aquellos adelantados con documentos tipo, deberá transcurrir dentro de los días definidos por cada entidad estatal como laborables en su correspondiente reglamento o manual de funciones. </w:t>
            </w:r>
          </w:p>
          <w:p w14:paraId="7711D144" w14:textId="77777777" w:rsidR="005E0F58" w:rsidRPr="005E0F58" w:rsidRDefault="005E0F58" w:rsidP="005E0F58">
            <w:pPr>
              <w:tabs>
                <w:tab w:val="left" w:pos="0"/>
              </w:tabs>
              <w:spacing w:line="276" w:lineRule="auto"/>
              <w:ind w:firstLine="709"/>
              <w:jc w:val="both"/>
              <w:rPr>
                <w:rFonts w:ascii="Verdana" w:eastAsia="Calibri" w:hAnsi="Verdana" w:cs="Arial"/>
                <w:bCs/>
                <w:lang w:val="es-ES"/>
              </w:rPr>
            </w:pPr>
            <w:r w:rsidRPr="005E0F58">
              <w:rPr>
                <w:rFonts w:ascii="Verdana" w:eastAsia="Calibri" w:hAnsi="Verdana" w:cs="Arial"/>
              </w:rPr>
              <w:t xml:space="preserve">Por lo tanto, la TRM que la entidad estatal utilizará para la determinación del método de ponderación de la oferta económica en los documentos tipo de concurso de méritos para contratar la interventoría de obras de infraestructura social, dependerá de los días que haya establecido como hábiles. </w:t>
            </w:r>
          </w:p>
        </w:tc>
      </w:tr>
    </w:tbl>
    <w:p w14:paraId="7867AF31" w14:textId="77777777" w:rsidR="005E0F58" w:rsidRPr="005E0F58" w:rsidRDefault="005E0F58" w:rsidP="005E0F58">
      <w:pPr>
        <w:tabs>
          <w:tab w:val="left" w:pos="142"/>
          <w:tab w:val="left" w:pos="284"/>
        </w:tabs>
        <w:spacing w:after="0" w:line="276" w:lineRule="auto"/>
        <w:jc w:val="both"/>
        <w:rPr>
          <w:rFonts w:ascii="Verdana" w:eastAsia="Century Gothic" w:hAnsi="Verdana" w:cs="Century Gothic"/>
          <w:b/>
          <w:bCs/>
          <w:lang w:val="es-ES"/>
        </w:rPr>
      </w:pPr>
    </w:p>
    <w:p w14:paraId="3CB8F053" w14:textId="77777777" w:rsidR="005E0F58" w:rsidRPr="005E0F58" w:rsidRDefault="005E0F58" w:rsidP="005E0F5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5E0F58">
        <w:rPr>
          <w:rFonts w:ascii="Verdana" w:eastAsia="Century Gothic" w:hAnsi="Verdana" w:cs="Century Gothic"/>
          <w:b/>
          <w:bCs/>
          <w:lang w:val="es-ES"/>
        </w:rPr>
        <w:t>Razones de la respuesta:</w:t>
      </w:r>
    </w:p>
    <w:p w14:paraId="1DE87965" w14:textId="77777777" w:rsidR="005E0F58" w:rsidRPr="005E0F58" w:rsidRDefault="005E0F58" w:rsidP="005E0F58">
      <w:pPr>
        <w:spacing w:after="0" w:line="276" w:lineRule="auto"/>
        <w:jc w:val="both"/>
        <w:rPr>
          <w:rFonts w:ascii="Verdana" w:eastAsia="Calibri" w:hAnsi="Verdana" w:cs="Arial"/>
          <w:lang w:val="es-ES"/>
        </w:rPr>
      </w:pPr>
    </w:p>
    <w:p w14:paraId="7A85D7FA" w14:textId="77777777" w:rsidR="005E0F58" w:rsidRPr="005E0F58" w:rsidRDefault="005E0F58" w:rsidP="005E0F58">
      <w:pPr>
        <w:spacing w:after="0" w:line="276" w:lineRule="auto"/>
        <w:jc w:val="both"/>
        <w:rPr>
          <w:rFonts w:ascii="Verdana" w:eastAsia="Calibri" w:hAnsi="Verdana" w:cs="Arial"/>
          <w:lang w:val="es-ES"/>
        </w:rPr>
      </w:pPr>
      <w:r w:rsidRPr="005E0F58">
        <w:rPr>
          <w:rFonts w:ascii="Verdana" w:eastAsia="Calibri" w:hAnsi="Verdana" w:cs="Arial"/>
          <w:lang w:val="es-ES"/>
        </w:rPr>
        <w:t xml:space="preserve">Lo anterior se sustenta en las siguientes consideraciones: </w:t>
      </w:r>
    </w:p>
    <w:p w14:paraId="7BBB8C2D" w14:textId="77777777" w:rsidR="005E0F58" w:rsidRPr="005E0F58" w:rsidRDefault="005E0F58" w:rsidP="005E0F58">
      <w:pPr>
        <w:spacing w:after="0" w:line="276" w:lineRule="auto"/>
        <w:jc w:val="both"/>
        <w:rPr>
          <w:rFonts w:ascii="Verdana" w:eastAsia="Calibri" w:hAnsi="Verdana" w:cs="Arial"/>
          <w:lang w:val="es-ES"/>
        </w:rPr>
      </w:pPr>
    </w:p>
    <w:p w14:paraId="64FD8C03" w14:textId="77777777" w:rsidR="005E0F58" w:rsidRPr="005E0F58" w:rsidRDefault="005E0F58" w:rsidP="005E0F58">
      <w:pPr>
        <w:tabs>
          <w:tab w:val="left" w:pos="0"/>
        </w:tabs>
        <w:spacing w:after="120" w:line="276" w:lineRule="auto"/>
        <w:jc w:val="both"/>
        <w:rPr>
          <w:rFonts w:ascii="Verdana" w:eastAsia="Calibri" w:hAnsi="Verdana" w:cs="Arial"/>
          <w:bCs/>
          <w:lang w:val="es-ES"/>
        </w:rPr>
      </w:pPr>
      <w:r w:rsidRPr="005E0F58">
        <w:rPr>
          <w:rFonts w:ascii="Verdana" w:eastAsia="Arial" w:hAnsi="Verdana" w:cs="Arial"/>
          <w:lang w:eastAsia="es-ES" w:bidi="es-ES"/>
        </w:rPr>
        <w:t xml:space="preserve">La postura vigente de esta Agencia en relación con la definición de </w:t>
      </w:r>
      <w:r w:rsidRPr="005E0F58">
        <w:rPr>
          <w:rFonts w:ascii="Verdana" w:eastAsia="Arial" w:hAnsi="Verdana" w:cs="Arial"/>
          <w:i/>
          <w:iCs/>
          <w:lang w:eastAsia="es-ES" w:bidi="es-ES"/>
        </w:rPr>
        <w:t>día hábil</w:t>
      </w:r>
      <w:r w:rsidRPr="005E0F58">
        <w:rPr>
          <w:rFonts w:ascii="Verdana" w:eastAsia="Arial" w:hAnsi="Verdana" w:cs="Arial"/>
          <w:lang w:eastAsia="es-ES" w:bidi="es-ES"/>
        </w:rPr>
        <w:t xml:space="preserve"> en los procesos de contratación pública, parte de la tesis según la cual </w:t>
      </w:r>
      <w:r w:rsidRPr="005E0F58">
        <w:rPr>
          <w:rFonts w:ascii="Verdana" w:eastAsia="Calibri" w:hAnsi="Verdana" w:cs="Arial"/>
          <w:bCs/>
        </w:rPr>
        <w:t>no existe una acepción unívoca de dicho concepto, pues no existe certidumbre de cuáles son los días de la semana que pueden entenderse como hábiles, y ello en principio posibilita que las entidades regulen de manera disímil los términos de las modalidades de selección.</w:t>
      </w:r>
    </w:p>
    <w:p w14:paraId="6DF13E0E" w14:textId="77777777" w:rsidR="005E0F58" w:rsidRPr="005E0F58" w:rsidRDefault="005E0F58" w:rsidP="005E0F58">
      <w:pPr>
        <w:tabs>
          <w:tab w:val="left" w:pos="0"/>
        </w:tabs>
        <w:spacing w:after="120" w:line="276" w:lineRule="auto"/>
        <w:jc w:val="both"/>
        <w:rPr>
          <w:rFonts w:ascii="Verdana" w:eastAsia="Calibri" w:hAnsi="Verdana" w:cs="Arial"/>
          <w:bCs/>
          <w:lang w:val="es-ES"/>
        </w:rPr>
      </w:pPr>
      <w:r w:rsidRPr="005E0F58">
        <w:rPr>
          <w:rFonts w:ascii="Verdana" w:eastAsia="Calibri" w:hAnsi="Verdana" w:cs="Arial"/>
          <w:bCs/>
          <w:lang w:val="es-ES"/>
        </w:rPr>
        <w:tab/>
        <w:t xml:space="preserve">La ausencia de definición legal de día hábil autoriza acudir al sentido natural y obvio de la palabra hábil, encontrándonos las siguientes acepciones “1. adj. Capaz de realizar con éxito una tarea manual. 2. adj. Dotado del talento para actuar adecuadamente o lograr su objetivo. 3. adj. Propio de una persona hábil. 4. adj. Apto o adecuado para algo. 5. adj. Dicho de un período de tiempo: </w:t>
      </w:r>
      <w:r w:rsidRPr="005E0F58">
        <w:rPr>
          <w:rFonts w:ascii="Verdana" w:eastAsia="Calibri" w:hAnsi="Verdana" w:cs="Arial"/>
          <w:bCs/>
          <w:lang w:val="es-ES"/>
        </w:rPr>
        <w:lastRenderedPageBreak/>
        <w:t>Establecido como válido o computable para realizar una actividad, especialmente administrativa o judicial”</w:t>
      </w:r>
      <w:r w:rsidRPr="005E0F58">
        <w:rPr>
          <w:rFonts w:ascii="Verdana" w:eastAsia="Calibri" w:hAnsi="Verdana" w:cs="Arial"/>
          <w:bCs/>
          <w:vertAlign w:val="superscript"/>
          <w:lang w:val="es-ES"/>
        </w:rPr>
        <w:footnoteReference w:id="1"/>
      </w:r>
      <w:r w:rsidRPr="005E0F58">
        <w:rPr>
          <w:rFonts w:ascii="Verdana" w:eastAsia="Calibri" w:hAnsi="Verdana" w:cs="Arial"/>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p>
    <w:p w14:paraId="5AE69FA9" w14:textId="77777777" w:rsidR="005E0F58" w:rsidRPr="005E0F58" w:rsidRDefault="005E0F58" w:rsidP="005E0F58">
      <w:pPr>
        <w:tabs>
          <w:tab w:val="left" w:pos="0"/>
        </w:tabs>
        <w:spacing w:after="0" w:line="276" w:lineRule="auto"/>
        <w:ind w:firstLine="709"/>
        <w:jc w:val="both"/>
        <w:rPr>
          <w:rFonts w:ascii="Verdana" w:eastAsia="Calibri" w:hAnsi="Verdana" w:cs="Arial"/>
          <w:bCs/>
          <w:lang w:val="es-ES"/>
        </w:rPr>
      </w:pPr>
      <w:r w:rsidRPr="005E0F58">
        <w:rPr>
          <w:rFonts w:ascii="Verdana" w:eastAsia="Calibri" w:hAnsi="Verdana" w:cs="Arial"/>
          <w:bCs/>
          <w:lang w:val="es-ES"/>
        </w:rPr>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5C880AE8" w14:textId="77777777" w:rsidR="005E0F58" w:rsidRPr="005E0F58" w:rsidRDefault="005E0F58" w:rsidP="005E0F58">
      <w:pPr>
        <w:tabs>
          <w:tab w:val="left" w:pos="0"/>
        </w:tabs>
        <w:spacing w:after="0" w:line="240" w:lineRule="auto"/>
        <w:ind w:left="709" w:right="709"/>
        <w:jc w:val="both"/>
        <w:rPr>
          <w:rFonts w:ascii="Verdana" w:eastAsia="Calibri" w:hAnsi="Verdana" w:cs="Arial"/>
          <w:bCs/>
          <w:lang w:val="es-ES"/>
        </w:rPr>
      </w:pPr>
    </w:p>
    <w:p w14:paraId="6A17516D" w14:textId="77777777" w:rsidR="005E0F58" w:rsidRPr="005E0F58" w:rsidRDefault="005E0F58" w:rsidP="005E0F58">
      <w:pPr>
        <w:tabs>
          <w:tab w:val="left" w:pos="0"/>
        </w:tabs>
        <w:spacing w:after="0" w:line="240" w:lineRule="auto"/>
        <w:ind w:left="709" w:right="709"/>
        <w:jc w:val="both"/>
        <w:rPr>
          <w:rFonts w:ascii="Verdana" w:eastAsia="Batang" w:hAnsi="Verdana" w:cs="Arial"/>
          <w:sz w:val="21"/>
          <w:szCs w:val="21"/>
        </w:rPr>
      </w:pPr>
      <w:r w:rsidRPr="005E0F58">
        <w:rPr>
          <w:rFonts w:ascii="Verdana" w:eastAsia="Batang" w:hAnsi="Verdana" w:cs="Arial"/>
          <w:sz w:val="21"/>
          <w:szCs w:val="21"/>
        </w:rPr>
        <w:t>“Artículo 59.</w:t>
      </w:r>
      <w:r w:rsidRPr="005E0F58">
        <w:rPr>
          <w:rFonts w:ascii="Verdana" w:eastAsia="Batang" w:hAnsi="Verdana" w:cs="Arial"/>
          <w:b/>
          <w:sz w:val="21"/>
          <w:szCs w:val="21"/>
        </w:rPr>
        <w:t> </w:t>
      </w:r>
      <w:r w:rsidRPr="005E0F58">
        <w:rPr>
          <w:rFonts w:ascii="Verdana" w:eastAsia="Batang" w:hAnsi="Verdana" w:cs="Arial"/>
          <w:sz w:val="21"/>
          <w:szCs w:val="21"/>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1B9BB910" w14:textId="77777777" w:rsidR="005E0F58" w:rsidRPr="005E0F58" w:rsidRDefault="005E0F58" w:rsidP="005E0F58">
      <w:pPr>
        <w:tabs>
          <w:tab w:val="left" w:pos="0"/>
        </w:tabs>
        <w:spacing w:after="0" w:line="240" w:lineRule="auto"/>
        <w:ind w:left="709" w:right="709"/>
        <w:jc w:val="both"/>
        <w:rPr>
          <w:rFonts w:ascii="Verdana" w:eastAsia="Batang" w:hAnsi="Verdana" w:cs="Arial"/>
          <w:sz w:val="21"/>
          <w:szCs w:val="21"/>
        </w:rPr>
      </w:pPr>
      <w:r w:rsidRPr="005E0F58">
        <w:rPr>
          <w:rFonts w:ascii="Verdana" w:eastAsia="Batang" w:hAnsi="Verdana" w:cs="Arial"/>
          <w:sz w:val="21"/>
          <w:szCs w:val="21"/>
        </w:rPr>
        <w:t>[…]</w:t>
      </w:r>
    </w:p>
    <w:p w14:paraId="401754F5" w14:textId="77777777" w:rsidR="005E0F58" w:rsidRPr="005E0F58" w:rsidRDefault="005E0F58" w:rsidP="005E0F58">
      <w:pPr>
        <w:tabs>
          <w:tab w:val="left" w:pos="0"/>
        </w:tabs>
        <w:spacing w:after="0" w:line="240" w:lineRule="auto"/>
        <w:ind w:left="709" w:right="709"/>
        <w:jc w:val="both"/>
        <w:rPr>
          <w:rFonts w:ascii="Verdana" w:eastAsia="Batang" w:hAnsi="Verdana" w:cs="Arial"/>
          <w:sz w:val="21"/>
          <w:szCs w:val="21"/>
        </w:rPr>
      </w:pPr>
      <w:r w:rsidRPr="005E0F58">
        <w:rPr>
          <w:rFonts w:ascii="Verdana" w:eastAsia="Batang" w:hAnsi="Verdana" w:cs="Arial"/>
          <w:bCs/>
          <w:sz w:val="21"/>
          <w:szCs w:val="21"/>
        </w:rPr>
        <w:t>Artículo 62.</w:t>
      </w:r>
      <w:r w:rsidRPr="005E0F58">
        <w:rPr>
          <w:rFonts w:ascii="Verdana" w:eastAsia="Batang" w:hAnsi="Verdana" w:cs="Arial"/>
          <w:sz w:val="21"/>
          <w:szCs w:val="21"/>
        </w:rPr>
        <w:t>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5A23130B" w14:textId="77777777" w:rsidR="005E0F58" w:rsidRPr="005E0F58" w:rsidRDefault="005E0F58" w:rsidP="005E0F58">
      <w:pPr>
        <w:tabs>
          <w:tab w:val="left" w:pos="0"/>
        </w:tabs>
        <w:spacing w:after="0" w:line="240" w:lineRule="auto"/>
        <w:ind w:left="709" w:right="709"/>
        <w:jc w:val="both"/>
        <w:rPr>
          <w:rFonts w:ascii="Verdana" w:eastAsia="Batang" w:hAnsi="Verdana" w:cs="Arial"/>
        </w:rPr>
      </w:pPr>
    </w:p>
    <w:p w14:paraId="0E9E773F" w14:textId="77777777" w:rsidR="005E0F58" w:rsidRPr="005E0F58" w:rsidRDefault="005E0F58" w:rsidP="005E0F58">
      <w:pPr>
        <w:tabs>
          <w:tab w:val="left" w:pos="0"/>
        </w:tabs>
        <w:spacing w:after="120" w:line="276" w:lineRule="auto"/>
        <w:jc w:val="both"/>
        <w:rPr>
          <w:rFonts w:ascii="Verdana" w:eastAsia="Calibri" w:hAnsi="Verdana" w:cs="Arial"/>
          <w:bCs/>
          <w:lang w:val="es-ES"/>
        </w:rPr>
      </w:pPr>
      <w:r w:rsidRPr="005E0F58">
        <w:rPr>
          <w:rFonts w:ascii="Verdana" w:eastAsia="Calibri" w:hAnsi="Verdana" w:cs="Arial"/>
          <w:bCs/>
          <w:lang w:val="es-ES"/>
        </w:rPr>
        <w:tab/>
        <w:t xml:space="preserve">El artículo 59 establece que los plazos a los que se haga mención en la ley terminan a la medianoche, y que por </w:t>
      </w:r>
      <w:r w:rsidRPr="005E0F58">
        <w:rPr>
          <w:rFonts w:ascii="Verdana" w:eastAsia="Calibri" w:hAnsi="Verdana" w:cs="Arial"/>
          <w:bCs/>
          <w:i/>
          <w:iCs/>
          <w:lang w:val="es-ES"/>
        </w:rPr>
        <w:t xml:space="preserve">día </w:t>
      </w:r>
      <w:r w:rsidRPr="005E0F58">
        <w:rPr>
          <w:rFonts w:ascii="Verdana" w:eastAsia="Calibri" w:hAnsi="Verdana" w:cs="Arial"/>
          <w:bCs/>
          <w:lang w:val="es-ES"/>
        </w:rPr>
        <w:t xml:space="preserve">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w:t>
      </w:r>
      <w:r w:rsidRPr="005E0F58">
        <w:rPr>
          <w:rFonts w:ascii="Verdana" w:eastAsia="Calibri" w:hAnsi="Verdana" w:cs="Arial"/>
          <w:bCs/>
          <w:lang w:val="es-ES"/>
        </w:rPr>
        <w:lastRenderedPageBreak/>
        <w:t>común a la que antes se hacía referencia, indica que por hábiles se entiende los días laborables</w:t>
      </w:r>
      <w:r w:rsidRPr="005E0F58">
        <w:rPr>
          <w:rFonts w:ascii="Verdana" w:eastAsia="Calibri" w:hAnsi="Verdana" w:cs="Arial"/>
          <w:bCs/>
          <w:vertAlign w:val="superscript"/>
          <w:lang w:val="es-ES"/>
        </w:rPr>
        <w:footnoteReference w:id="2"/>
      </w:r>
      <w:r w:rsidRPr="005E0F58">
        <w:rPr>
          <w:rFonts w:ascii="Verdana" w:eastAsia="Calibri" w:hAnsi="Verdana" w:cs="Arial"/>
          <w:bCs/>
          <w:lang w:val="es-ES"/>
        </w:rPr>
        <w:t>.</w:t>
      </w:r>
    </w:p>
    <w:p w14:paraId="70517517" w14:textId="77777777" w:rsidR="005E0F58" w:rsidRPr="005E0F58" w:rsidRDefault="005E0F58" w:rsidP="005E0F58">
      <w:pPr>
        <w:tabs>
          <w:tab w:val="left" w:pos="0"/>
        </w:tabs>
        <w:spacing w:after="0" w:line="276" w:lineRule="auto"/>
        <w:jc w:val="both"/>
        <w:rPr>
          <w:rFonts w:ascii="Verdana" w:eastAsia="Calibri" w:hAnsi="Verdana" w:cs="Arial"/>
          <w:bCs/>
          <w:lang w:val="es-ES"/>
        </w:rPr>
      </w:pPr>
      <w:r w:rsidRPr="005E0F58">
        <w:rPr>
          <w:rFonts w:ascii="Verdana" w:eastAsia="Calibri" w:hAnsi="Verdana" w:cs="Arial"/>
          <w:bCs/>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0005DEF5" w14:textId="77777777" w:rsidR="005E0F58" w:rsidRPr="005E0F58" w:rsidRDefault="005E0F58" w:rsidP="005E0F58">
      <w:pPr>
        <w:tabs>
          <w:tab w:val="left" w:pos="0"/>
        </w:tabs>
        <w:spacing w:after="0" w:line="240" w:lineRule="auto"/>
        <w:ind w:left="709" w:right="709"/>
        <w:jc w:val="both"/>
        <w:rPr>
          <w:rFonts w:ascii="Verdana" w:eastAsia="Batang" w:hAnsi="Verdana" w:cs="Arial"/>
          <w:lang w:val="es-ES"/>
        </w:rPr>
      </w:pPr>
    </w:p>
    <w:p w14:paraId="7C470A2F" w14:textId="77777777" w:rsidR="005E0F58" w:rsidRPr="005E0F58" w:rsidRDefault="005E0F58" w:rsidP="005E0F58">
      <w:pPr>
        <w:tabs>
          <w:tab w:val="left" w:pos="0"/>
        </w:tabs>
        <w:spacing w:after="0" w:line="240" w:lineRule="auto"/>
        <w:ind w:left="709" w:right="709"/>
        <w:jc w:val="both"/>
        <w:rPr>
          <w:rFonts w:ascii="Verdana" w:eastAsia="Calibri" w:hAnsi="Verdana" w:cs="Arial"/>
          <w:bCs/>
          <w:sz w:val="21"/>
          <w:szCs w:val="21"/>
          <w:lang w:val="es-ES"/>
        </w:rPr>
      </w:pPr>
      <w:r w:rsidRPr="005E0F58">
        <w:rPr>
          <w:rFonts w:ascii="Verdana" w:eastAsia="Batang" w:hAnsi="Verdana" w:cs="Arial"/>
          <w:sz w:val="21"/>
          <w:szCs w:val="21"/>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5E0F58">
        <w:rPr>
          <w:rFonts w:ascii="Verdana" w:eastAsia="Batang" w:hAnsi="Verdana" w:cs="Arial"/>
          <w:sz w:val="21"/>
          <w:szCs w:val="21"/>
          <w:vertAlign w:val="superscript"/>
        </w:rPr>
        <w:footnoteReference w:id="3"/>
      </w:r>
    </w:p>
    <w:p w14:paraId="4C5E9B38" w14:textId="77777777" w:rsidR="005E0F58" w:rsidRPr="005E0F58" w:rsidRDefault="005E0F58" w:rsidP="005E0F58">
      <w:pPr>
        <w:tabs>
          <w:tab w:val="left" w:pos="0"/>
        </w:tabs>
        <w:spacing w:after="0"/>
        <w:jc w:val="both"/>
        <w:rPr>
          <w:rFonts w:ascii="Verdana" w:eastAsia="Calibri" w:hAnsi="Verdana" w:cs="Arial"/>
          <w:bCs/>
          <w:lang w:val="es-ES"/>
        </w:rPr>
      </w:pPr>
    </w:p>
    <w:p w14:paraId="64759B91" w14:textId="77777777" w:rsidR="005E0F58" w:rsidRPr="005E0F58" w:rsidRDefault="005E0F58" w:rsidP="005E0F58">
      <w:pPr>
        <w:tabs>
          <w:tab w:val="left" w:pos="0"/>
        </w:tabs>
        <w:spacing w:after="0" w:line="276" w:lineRule="auto"/>
        <w:jc w:val="both"/>
        <w:rPr>
          <w:rFonts w:ascii="Verdana" w:eastAsia="Calibri" w:hAnsi="Verdana" w:cs="Arial"/>
          <w:bCs/>
          <w:lang w:val="es-ES"/>
        </w:rPr>
      </w:pPr>
      <w:r w:rsidRPr="005E0F58">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0EDDFCEB" w14:textId="77777777" w:rsidR="005E0F58" w:rsidRPr="005E0F58" w:rsidRDefault="005E0F58" w:rsidP="005E0F58">
      <w:pPr>
        <w:spacing w:after="0" w:line="240" w:lineRule="auto"/>
        <w:jc w:val="both"/>
        <w:rPr>
          <w:rFonts w:ascii="Verdana" w:eastAsia="Times New Roman" w:hAnsi="Verdana" w:cs="Arial"/>
          <w:sz w:val="21"/>
          <w:szCs w:val="21"/>
          <w:lang w:val="es-ES" w:eastAsia="es-CO"/>
        </w:rPr>
      </w:pPr>
    </w:p>
    <w:p w14:paraId="753C84C8" w14:textId="77777777" w:rsidR="005E0F58" w:rsidRPr="005E0F58" w:rsidRDefault="005E0F58" w:rsidP="005E0F58">
      <w:pPr>
        <w:spacing w:after="0" w:line="240" w:lineRule="auto"/>
        <w:ind w:left="709" w:right="709"/>
        <w:jc w:val="both"/>
        <w:rPr>
          <w:rFonts w:ascii="Verdana" w:eastAsia="Times New Roman" w:hAnsi="Verdana" w:cs="Arial"/>
          <w:sz w:val="21"/>
          <w:szCs w:val="21"/>
          <w:lang w:eastAsia="es-CO"/>
        </w:rPr>
      </w:pPr>
      <w:r w:rsidRPr="005E0F58">
        <w:rPr>
          <w:rFonts w:ascii="Verdana" w:eastAsia="Times New Roman" w:hAnsi="Verdana" w:cs="Arial"/>
          <w:sz w:val="21"/>
          <w:szCs w:val="21"/>
          <w:lang w:eastAsia="es-CO"/>
        </w:rPr>
        <w:t>“[E]l cómputo de días hábiles de que trata el artículo 62 de la Ley 4.ª de 1913 debe realizarse con base en los días laborables forzosos, teniendo por tales todos los del año, excluidos los señalados por la ley como de descanso remunerado.</w:t>
      </w:r>
    </w:p>
    <w:p w14:paraId="2DBEDC73" w14:textId="77777777" w:rsidR="005E0F58" w:rsidRPr="005E0F58" w:rsidRDefault="005E0F58" w:rsidP="005E0F58">
      <w:pPr>
        <w:spacing w:after="0" w:line="240" w:lineRule="auto"/>
        <w:ind w:left="709" w:right="709"/>
        <w:jc w:val="both"/>
        <w:rPr>
          <w:rFonts w:ascii="Verdana" w:eastAsia="Times New Roman" w:hAnsi="Verdana" w:cs="Arial"/>
          <w:sz w:val="21"/>
          <w:szCs w:val="21"/>
          <w:lang w:eastAsia="es-CO"/>
        </w:rPr>
      </w:pPr>
    </w:p>
    <w:p w14:paraId="0E1C01EB" w14:textId="77777777" w:rsidR="005E0F58" w:rsidRPr="005E0F58" w:rsidRDefault="005E0F58" w:rsidP="005E0F58">
      <w:pPr>
        <w:spacing w:after="0" w:line="240" w:lineRule="auto"/>
        <w:ind w:left="709" w:right="709"/>
        <w:jc w:val="both"/>
        <w:rPr>
          <w:rFonts w:ascii="Verdana" w:eastAsia="Times New Roman" w:hAnsi="Verdana" w:cs="Arial"/>
          <w:sz w:val="21"/>
          <w:szCs w:val="21"/>
          <w:lang w:eastAsia="es-CO"/>
        </w:rPr>
      </w:pPr>
      <w:r w:rsidRPr="005E0F58">
        <w:rPr>
          <w:rFonts w:ascii="Verdana" w:eastAsia="Times New Roman" w:hAnsi="Verdana" w:cs="Arial"/>
          <w:sz w:val="21"/>
          <w:szCs w:val="21"/>
          <w:lang w:eastAsia="es-CO"/>
        </w:rPr>
        <w:t xml:space="preserve">Así, el criterio que determina el carácter de hábil de los días, para el cómputo de los términos legales, es el de su </w:t>
      </w:r>
      <w:proofErr w:type="spellStart"/>
      <w:r w:rsidRPr="005E0F58">
        <w:rPr>
          <w:rFonts w:ascii="Verdana" w:eastAsia="Times New Roman" w:hAnsi="Verdana" w:cs="Arial"/>
          <w:sz w:val="21"/>
          <w:szCs w:val="21"/>
          <w:lang w:eastAsia="es-CO"/>
        </w:rPr>
        <w:t>laborabilidad</w:t>
      </w:r>
      <w:proofErr w:type="spellEnd"/>
      <w:r w:rsidRPr="005E0F58">
        <w:rPr>
          <w:rFonts w:ascii="Verdana" w:eastAsia="Times New Roman" w:hAnsi="Verdana" w:cs="Arial"/>
          <w:sz w:val="21"/>
          <w:szCs w:val="21"/>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1.°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5E0F58">
        <w:rPr>
          <w:rFonts w:ascii="Verdana" w:eastAsia="Times New Roman" w:hAnsi="Verdana" w:cs="Arial"/>
          <w:sz w:val="21"/>
          <w:szCs w:val="21"/>
          <w:vertAlign w:val="superscript"/>
          <w:lang w:eastAsia="es-CO"/>
        </w:rPr>
        <w:footnoteReference w:id="4"/>
      </w:r>
    </w:p>
    <w:p w14:paraId="63825B8D" w14:textId="77777777" w:rsidR="005E0F58" w:rsidRPr="005E0F58" w:rsidRDefault="005E0F58" w:rsidP="005E0F58">
      <w:pPr>
        <w:spacing w:after="0" w:line="240" w:lineRule="auto"/>
        <w:ind w:left="709" w:right="709"/>
        <w:jc w:val="both"/>
        <w:rPr>
          <w:rFonts w:ascii="Verdana" w:eastAsia="Times New Roman" w:hAnsi="Verdana" w:cs="Arial"/>
          <w:sz w:val="21"/>
          <w:szCs w:val="21"/>
          <w:lang w:eastAsia="es-CO"/>
        </w:rPr>
      </w:pPr>
    </w:p>
    <w:p w14:paraId="1AFF1F7E" w14:textId="77777777" w:rsidR="005E0F58" w:rsidRPr="005E0F58" w:rsidRDefault="005E0F58" w:rsidP="005E0F58">
      <w:pPr>
        <w:tabs>
          <w:tab w:val="left" w:pos="0"/>
        </w:tabs>
        <w:spacing w:after="120" w:line="276" w:lineRule="auto"/>
        <w:ind w:firstLine="709"/>
        <w:jc w:val="both"/>
        <w:rPr>
          <w:rFonts w:ascii="Verdana" w:eastAsia="Calibri" w:hAnsi="Verdana" w:cs="Arial"/>
          <w:bCs/>
          <w:lang w:val="es-ES"/>
        </w:rPr>
      </w:pPr>
      <w:r w:rsidRPr="005E0F58">
        <w:rPr>
          <w:rFonts w:ascii="Verdana" w:eastAsia="Times New Roman" w:hAnsi="Verdana" w:cs="Arial"/>
          <w:lang w:eastAsia="es-CO"/>
        </w:rPr>
        <w:t>En la misma línea, reiterando la facultad en cabeza de la Administración para establecer como hábiles los días sábados, en la Sentencia del 29 de abril de 1983 el Consejo de Estado manifestó frente al artículo 62 de la Ley 4 de 1993 que: “[…]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w:t>
      </w:r>
      <w:r w:rsidRPr="005E0F58">
        <w:rPr>
          <w:rFonts w:ascii="Verdana" w:eastAsia="Times New Roman" w:hAnsi="Verdana" w:cs="Arial"/>
          <w:vertAlign w:val="superscript"/>
          <w:lang w:eastAsia="es-CO"/>
        </w:rPr>
        <w:footnoteReference w:id="5"/>
      </w:r>
      <w:r w:rsidRPr="005E0F58">
        <w:rPr>
          <w:rFonts w:ascii="Verdana" w:eastAsia="Times New Roman" w:hAnsi="Verdana" w:cs="Arial"/>
          <w:lang w:eastAsia="es-CO"/>
        </w:rPr>
        <w:t>”. Postura que comparte el Departamento Administrativo de la Función Pública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r w:rsidRPr="005E0F58">
        <w:rPr>
          <w:rFonts w:ascii="Verdana" w:eastAsia="Times New Roman" w:hAnsi="Verdana" w:cs="Arial"/>
          <w:vertAlign w:val="superscript"/>
          <w:lang w:eastAsia="es-CO"/>
        </w:rPr>
        <w:footnoteReference w:id="6"/>
      </w:r>
      <w:r w:rsidRPr="005E0F58">
        <w:rPr>
          <w:rFonts w:ascii="Verdana" w:eastAsia="Times New Roman" w:hAnsi="Verdana" w:cs="Arial"/>
          <w:lang w:eastAsia="es-CO"/>
        </w:rPr>
        <w:t>”.</w:t>
      </w:r>
      <w:r w:rsidRPr="005E0F58">
        <w:rPr>
          <w:rFonts w:ascii="Verdana" w:eastAsia="Calibri" w:hAnsi="Verdana" w:cs="Arial"/>
          <w:bCs/>
          <w:lang w:val="es-ES"/>
        </w:rPr>
        <w:t xml:space="preserve"> </w:t>
      </w:r>
    </w:p>
    <w:p w14:paraId="4867F47F" w14:textId="77777777" w:rsidR="005E0F58" w:rsidRPr="005E0F58" w:rsidRDefault="005E0F58" w:rsidP="005E0F58">
      <w:pPr>
        <w:tabs>
          <w:tab w:val="left" w:pos="0"/>
        </w:tabs>
        <w:spacing w:after="120" w:line="276" w:lineRule="auto"/>
        <w:ind w:firstLine="709"/>
        <w:jc w:val="both"/>
        <w:rPr>
          <w:rFonts w:ascii="Verdana" w:eastAsia="Calibri" w:hAnsi="Verdana" w:cs="Arial"/>
          <w:bCs/>
          <w:lang w:val="es-ES"/>
        </w:rPr>
      </w:pPr>
      <w:r w:rsidRPr="005E0F58">
        <w:rPr>
          <w:rFonts w:ascii="Verdana" w:eastAsia="Calibri" w:hAnsi="Verdana" w:cs="Arial"/>
          <w:bCs/>
          <w:lang w:val="es-ES"/>
        </w:rPr>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5E0F58">
        <w:rPr>
          <w:rFonts w:ascii="Verdana" w:eastAsia="Calibri" w:hAnsi="Verdana" w:cs="Arial"/>
          <w:bCs/>
          <w:vertAlign w:val="superscript"/>
          <w:lang w:val="es-ES"/>
        </w:rPr>
        <w:footnoteReference w:id="7"/>
      </w:r>
      <w:r w:rsidRPr="005E0F58">
        <w:rPr>
          <w:rFonts w:ascii="Verdana" w:eastAsia="Calibri" w:hAnsi="Verdana" w:cs="Arial"/>
          <w:bCs/>
          <w:lang w:val="es-ES"/>
        </w:rPr>
        <w:t xml:space="preserve">, por lo que días hábiles </w:t>
      </w:r>
      <w:r w:rsidRPr="005E0F58">
        <w:rPr>
          <w:rFonts w:ascii="Verdana" w:eastAsia="Calibri" w:hAnsi="Verdana" w:cs="Arial"/>
          <w:bCs/>
          <w:lang w:val="es-ES"/>
        </w:rPr>
        <w:lastRenderedPageBreak/>
        <w:t>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5E0F58">
        <w:rPr>
          <w:rFonts w:ascii="Verdana" w:eastAsia="Calibri" w:hAnsi="Verdana" w:cs="Arial"/>
          <w:bCs/>
          <w:vertAlign w:val="superscript"/>
          <w:lang w:val="es-ES"/>
        </w:rPr>
        <w:footnoteReference w:id="8"/>
      </w:r>
      <w:r w:rsidRPr="005E0F58">
        <w:rPr>
          <w:rFonts w:ascii="Verdana" w:eastAsia="Calibri" w:hAnsi="Verdana" w:cs="Arial"/>
          <w:bCs/>
          <w:lang w:val="es-ES"/>
        </w:rPr>
        <w:t xml:space="preserve">, ejemplo donde los días laborables o hábiles son todos los de la semana, con excepción del miércoles. </w:t>
      </w:r>
    </w:p>
    <w:p w14:paraId="571B902A" w14:textId="77777777" w:rsidR="005E0F58" w:rsidRPr="005E0F58" w:rsidRDefault="005E0F58" w:rsidP="005E0F58">
      <w:pPr>
        <w:tabs>
          <w:tab w:val="left" w:pos="0"/>
        </w:tabs>
        <w:spacing w:after="120" w:line="276" w:lineRule="auto"/>
        <w:ind w:firstLine="709"/>
        <w:jc w:val="both"/>
        <w:rPr>
          <w:rFonts w:ascii="Verdana" w:eastAsia="Calibri" w:hAnsi="Verdana" w:cs="Arial"/>
          <w:bCs/>
          <w:lang w:val="es-ES"/>
        </w:rPr>
      </w:pPr>
      <w:r w:rsidRPr="005E0F58">
        <w:rPr>
          <w:rFonts w:ascii="Verdana" w:eastAsia="Calibri" w:hAnsi="Verdana" w:cs="Arial"/>
          <w:bCs/>
          <w:lang w:val="es-ES"/>
        </w:rPr>
        <w:t xml:space="preserve">Esto implica que, para el cómputo de los términos en días hábiles propios de los procesos de selección, incluso aquellos adelantados con documentos tipo, deberá transcurrir dentro de los días definidos por cada entidad estatal como laborables en su correspondiente reglamento o manual de funciones. </w:t>
      </w:r>
    </w:p>
    <w:p w14:paraId="577687E7" w14:textId="77777777" w:rsidR="005E0F58" w:rsidRPr="005E0F58" w:rsidRDefault="005E0F58" w:rsidP="005E0F58">
      <w:pPr>
        <w:tabs>
          <w:tab w:val="left" w:pos="0"/>
        </w:tabs>
        <w:spacing w:after="120" w:line="276" w:lineRule="auto"/>
        <w:ind w:firstLine="709"/>
        <w:jc w:val="both"/>
        <w:rPr>
          <w:rFonts w:ascii="Verdana" w:eastAsia="Calibri" w:hAnsi="Verdana" w:cs="Arial"/>
          <w:bCs/>
          <w:lang w:val="es-ES"/>
        </w:rPr>
      </w:pPr>
      <w:r w:rsidRPr="005E0F58">
        <w:rPr>
          <w:rFonts w:ascii="Verdana" w:eastAsia="Calibri" w:hAnsi="Verdana" w:cs="Arial"/>
          <w:bCs/>
          <w:lang w:val="es-ES"/>
        </w:rPr>
        <w:t>Por su parte, de conformidad con los mandatos derivados del principio de transparencia, consagrado en el artículo 24 de la Ley 80 de 1993, y lo dispuesto en el artículo 2.2.1.1.2.1.3 del Decreto 1082 de 2015</w:t>
      </w:r>
      <w:r w:rsidRPr="005E0F58">
        <w:rPr>
          <w:rFonts w:ascii="Verdana" w:eastAsia="Calibri" w:hAnsi="Verdana" w:cs="Arial"/>
          <w:bCs/>
          <w:vertAlign w:val="superscript"/>
          <w:lang w:val="es-ES"/>
        </w:rPr>
        <w:footnoteReference w:id="9"/>
      </w:r>
      <w:r w:rsidRPr="005E0F58">
        <w:rPr>
          <w:rFonts w:ascii="Verdana" w:eastAsia="Calibri" w:hAnsi="Verdana" w:cs="Arial"/>
          <w:bCs/>
          <w:lang w:val="es-ES"/>
        </w:rPr>
        <w:t xml:space="preserve">, en el pliego de condiciones deben definirse “las reglas aplicables a la presentación de las ofertas, su evaluación y a la adjudicación del contrato”, así como el cronograma del proceso de selección. Esto implica que para dar aplicación a la anterior regla las entidades deberán establecer el lapso durante el cual recibirán ofertas, definiendo expresamente el día y la hora hasta la cual recibirán las ofertas, de </w:t>
      </w:r>
      <w:r w:rsidRPr="005E0F58">
        <w:rPr>
          <w:rFonts w:ascii="Verdana" w:eastAsia="Calibri" w:hAnsi="Verdana" w:cs="Arial"/>
          <w:bCs/>
          <w:lang w:val="es-ES"/>
        </w:rPr>
        <w:lastRenderedPageBreak/>
        <w:t xml:space="preserve">tal manera que este pueda ser conocido con anticipación por los interesados en participar.    </w:t>
      </w:r>
    </w:p>
    <w:p w14:paraId="7948914A" w14:textId="77777777" w:rsidR="005E0F58" w:rsidRPr="005E0F58" w:rsidRDefault="005E0F58" w:rsidP="005E0F58">
      <w:pPr>
        <w:tabs>
          <w:tab w:val="left" w:pos="0"/>
        </w:tabs>
        <w:spacing w:after="120" w:line="276" w:lineRule="auto"/>
        <w:ind w:firstLine="709"/>
        <w:jc w:val="both"/>
        <w:rPr>
          <w:rFonts w:ascii="Verdana" w:eastAsia="Calibri" w:hAnsi="Verdana" w:cs="Arial"/>
        </w:rPr>
      </w:pPr>
      <w:r w:rsidRPr="005E0F58">
        <w:rPr>
          <w:rFonts w:ascii="Verdana" w:eastAsia="Calibri" w:hAnsi="Verdana" w:cs="Arial"/>
        </w:rPr>
        <w:t>Por ejemplo, con base en las consideraciones expuestas, es posible concluir que el ordenador del gasto de una entidad territorial —como ocurre en las alcaldías municipales o departamentales— se encuentra facultado para declarar, mediante acto administrativo, el día sábado como hábil con el fin de adelantar trámites administrativos relacionados con la gestión contractual, incluida la etapa de presentación de ofertas en procesos de selección en curso.</w:t>
      </w:r>
    </w:p>
    <w:p w14:paraId="6FFAC50E" w14:textId="77777777" w:rsidR="005E0F58" w:rsidRPr="005E0F58" w:rsidRDefault="005E0F58" w:rsidP="005E0F58">
      <w:pPr>
        <w:tabs>
          <w:tab w:val="left" w:pos="0"/>
        </w:tabs>
        <w:spacing w:after="120" w:line="276" w:lineRule="auto"/>
        <w:ind w:firstLine="709"/>
        <w:jc w:val="both"/>
        <w:rPr>
          <w:rFonts w:ascii="Verdana" w:eastAsia="Calibri" w:hAnsi="Verdana" w:cs="Arial"/>
        </w:rPr>
      </w:pPr>
      <w:r w:rsidRPr="005E0F58">
        <w:rPr>
          <w:rFonts w:ascii="Verdana" w:eastAsia="Calibri" w:hAnsi="Verdana" w:cs="Arial"/>
        </w:rPr>
        <w:t>Dicha facultad encuentra respaldo en el artículo 209 de la Constitución Política, que impone a las autoridades administrativas el deber de coordinar sus actuaciones para el cumplimiento adecuado de los fines del Estado. A su vez, el artículo 315, numeral 1, del mismo texto superior, atribuye a los alcaldes, en su calidad de jefes de la administración municipal, la responsabilidad de garantizar la prestación eficiente de los servicios públicos a cargo del municipio, así como de cumplir y hacer cumplir la Constitución, las leyes, los decretos y las ordenanzas.</w:t>
      </w:r>
    </w:p>
    <w:p w14:paraId="0266AFFD" w14:textId="77777777" w:rsidR="005E0F58" w:rsidRPr="005E0F58" w:rsidRDefault="005E0F58" w:rsidP="005E0F58">
      <w:pPr>
        <w:tabs>
          <w:tab w:val="left" w:pos="0"/>
        </w:tabs>
        <w:spacing w:after="120" w:line="276" w:lineRule="auto"/>
        <w:ind w:firstLine="709"/>
        <w:jc w:val="both"/>
        <w:rPr>
          <w:rFonts w:ascii="Verdana" w:eastAsia="Calibri" w:hAnsi="Verdana" w:cs="Arial"/>
        </w:rPr>
      </w:pPr>
      <w:r w:rsidRPr="005E0F58">
        <w:rPr>
          <w:rFonts w:ascii="Verdana" w:eastAsia="Calibri" w:hAnsi="Verdana" w:cs="Arial"/>
        </w:rPr>
        <w:t>No obstante, el ejercicio de dicha facultad debe observar condiciones mínimas de validez y eficacia, entre ellas, la adecuada publicidad de la decisión adoptada y su comunicación efectiva a todos los partícipes actuales o potenciales del proceso de selección, en aras de preservar los principios de transparencia, igualdad y selección objetiva que rigen la contratación estatal.</w:t>
      </w:r>
    </w:p>
    <w:p w14:paraId="387A20CD" w14:textId="77777777" w:rsidR="005E0F58" w:rsidRPr="005E0F58" w:rsidRDefault="005E0F58" w:rsidP="005E0F58">
      <w:pPr>
        <w:tabs>
          <w:tab w:val="left" w:pos="0"/>
        </w:tabs>
        <w:spacing w:after="0" w:line="276" w:lineRule="auto"/>
        <w:ind w:firstLine="709"/>
        <w:jc w:val="both"/>
        <w:rPr>
          <w:rFonts w:ascii="Verdana" w:eastAsia="Calibri" w:hAnsi="Verdana" w:cs="Arial"/>
          <w:bCs/>
          <w:lang w:val="es-ES"/>
        </w:rPr>
      </w:pPr>
      <w:r w:rsidRPr="005E0F58">
        <w:rPr>
          <w:rFonts w:ascii="Verdana" w:eastAsia="Calibri" w:hAnsi="Verdana" w:cs="Arial"/>
        </w:rPr>
        <w:t xml:space="preserve">Finalmente, teniendo en cuenta el objeto de su consulta, es importante señalar que la TRM que la entidad estatal utilizará para la determinación del método de ponderación de la oferta económica en los documentos tipo de concurso de méritos para contratar la interventoría de obras de infraestructura social, dependerá de los días que haya establecido como hábiles, en los términos expuestos en este concepto. </w:t>
      </w:r>
    </w:p>
    <w:p w14:paraId="4049328A" w14:textId="77777777" w:rsidR="005E0F58" w:rsidRPr="005E0F58" w:rsidRDefault="005E0F58" w:rsidP="005E0F58">
      <w:pPr>
        <w:snapToGrid w:val="0"/>
        <w:spacing w:after="0" w:line="276" w:lineRule="auto"/>
        <w:jc w:val="both"/>
        <w:rPr>
          <w:rFonts w:ascii="Verdana" w:eastAsia="Times New Roman" w:hAnsi="Verdana" w:cs="Arial"/>
          <w:shd w:val="clear" w:color="auto" w:fill="FFFFFF"/>
          <w:lang w:val="es-ES_tradnl" w:eastAsia="es-ES_tradnl"/>
        </w:rPr>
      </w:pPr>
    </w:p>
    <w:p w14:paraId="5324AF59" w14:textId="77777777" w:rsidR="005E0F58" w:rsidRPr="005E0F58" w:rsidRDefault="005E0F58" w:rsidP="005E0F5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5E0F58">
        <w:rPr>
          <w:rFonts w:ascii="Verdana" w:eastAsia="Century Gothic" w:hAnsi="Verdana" w:cs="Century Gothic"/>
          <w:b/>
          <w:bCs/>
          <w:lang w:val="es-ES"/>
        </w:rPr>
        <w:t>Referencias normativas, jurisprudenciales y otras fuentes:</w:t>
      </w:r>
    </w:p>
    <w:p w14:paraId="4167D3A8" w14:textId="77777777" w:rsidR="005E0F58" w:rsidRPr="005E0F58" w:rsidRDefault="005E0F58" w:rsidP="005E0F5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0F58" w:rsidRPr="005E0F58" w14:paraId="3E676ED2" w14:textId="77777777" w:rsidTr="091F2FBF">
        <w:trPr>
          <w:trHeight w:val="870"/>
        </w:trPr>
        <w:tc>
          <w:tcPr>
            <w:tcW w:w="8647" w:type="dxa"/>
          </w:tcPr>
          <w:p w14:paraId="472FA434" w14:textId="77777777" w:rsidR="005E0F58" w:rsidRPr="005E0F58" w:rsidRDefault="005E0F58" w:rsidP="005E0F58">
            <w:pPr>
              <w:numPr>
                <w:ilvl w:val="0"/>
                <w:numId w:val="17"/>
              </w:numPr>
              <w:snapToGrid w:val="0"/>
              <w:spacing w:after="120" w:line="276" w:lineRule="auto"/>
              <w:ind w:left="714" w:hanging="357"/>
              <w:jc w:val="both"/>
              <w:rPr>
                <w:rFonts w:ascii="Verdana" w:eastAsia="Aptos" w:hAnsi="Verdana" w:cs="Arial"/>
                <w:lang w:val="es-ES_tradnl"/>
              </w:rPr>
            </w:pPr>
            <w:r w:rsidRPr="005E0F58">
              <w:rPr>
                <w:rFonts w:ascii="Verdana" w:eastAsia="Aptos" w:hAnsi="Verdana" w:cs="Arial"/>
                <w:lang w:val="es-ES_tradnl"/>
              </w:rPr>
              <w:t>Constitución Política de Colombia, artículos 209 y 315.</w:t>
            </w:r>
          </w:p>
          <w:p w14:paraId="09BB465F" w14:textId="77777777" w:rsidR="005E0F58" w:rsidRPr="005E0F58" w:rsidRDefault="005E0F58" w:rsidP="005E0F58">
            <w:pPr>
              <w:numPr>
                <w:ilvl w:val="0"/>
                <w:numId w:val="17"/>
              </w:numPr>
              <w:snapToGrid w:val="0"/>
              <w:spacing w:after="120" w:line="276" w:lineRule="auto"/>
              <w:ind w:left="714" w:hanging="357"/>
              <w:jc w:val="both"/>
              <w:rPr>
                <w:rFonts w:ascii="Verdana" w:eastAsia="Aptos" w:hAnsi="Verdana" w:cs="Arial"/>
                <w:lang w:val="es-ES_tradnl"/>
              </w:rPr>
            </w:pPr>
            <w:r w:rsidRPr="005E0F58">
              <w:rPr>
                <w:rFonts w:ascii="Verdana" w:eastAsia="Calibri" w:hAnsi="Verdana" w:cs="Arial"/>
                <w:bCs/>
                <w:lang w:val="es-ES_tradnl"/>
              </w:rPr>
              <w:t>Ley 4 de 1913, artículos 59 y 62.</w:t>
            </w:r>
          </w:p>
          <w:p w14:paraId="70875811" w14:textId="77777777" w:rsidR="005E0F58" w:rsidRPr="005E0F58" w:rsidRDefault="005E0F58" w:rsidP="005E0F58">
            <w:pPr>
              <w:numPr>
                <w:ilvl w:val="0"/>
                <w:numId w:val="17"/>
              </w:numPr>
              <w:snapToGrid w:val="0"/>
              <w:spacing w:after="120" w:line="276" w:lineRule="auto"/>
              <w:ind w:left="714" w:hanging="357"/>
              <w:jc w:val="both"/>
              <w:rPr>
                <w:rFonts w:ascii="Verdana" w:eastAsia="Aptos" w:hAnsi="Verdana" w:cs="Arial"/>
                <w:lang w:val="es-ES_tradnl"/>
              </w:rPr>
            </w:pPr>
            <w:r w:rsidRPr="005E0F58">
              <w:rPr>
                <w:rFonts w:ascii="Verdana" w:eastAsia="Aptos" w:hAnsi="Verdana" w:cs="Arial"/>
                <w:lang w:val="es-ES_tradnl"/>
              </w:rPr>
              <w:t>Ley 489 de 1998, artículo 1.</w:t>
            </w:r>
          </w:p>
          <w:p w14:paraId="134A6ECD" w14:textId="77777777" w:rsidR="005E0F58" w:rsidRPr="005E0F58" w:rsidRDefault="005E0F58" w:rsidP="005E0F58">
            <w:pPr>
              <w:numPr>
                <w:ilvl w:val="0"/>
                <w:numId w:val="17"/>
              </w:numPr>
              <w:snapToGrid w:val="0"/>
              <w:spacing w:after="120" w:line="276" w:lineRule="auto"/>
              <w:ind w:left="714" w:hanging="357"/>
              <w:jc w:val="both"/>
              <w:rPr>
                <w:rFonts w:ascii="Verdana" w:eastAsia="Aptos" w:hAnsi="Verdana" w:cs="Arial"/>
                <w:lang w:val="es-ES_tradnl"/>
              </w:rPr>
            </w:pPr>
            <w:r w:rsidRPr="005E0F58">
              <w:rPr>
                <w:rFonts w:ascii="Verdana" w:eastAsia="Calibri" w:hAnsi="Verdana" w:cs="Arial"/>
                <w:bCs/>
                <w:lang w:val="es-ES_tradnl"/>
              </w:rPr>
              <w:t>Decreto 1082 de 2015, artículo 2.2.1.1.2.1.3.</w:t>
            </w:r>
          </w:p>
          <w:p w14:paraId="2989743C" w14:textId="77777777" w:rsidR="005E0F58" w:rsidRPr="005E0F58" w:rsidRDefault="005E0F58" w:rsidP="091F2FBF">
            <w:pPr>
              <w:numPr>
                <w:ilvl w:val="0"/>
                <w:numId w:val="17"/>
              </w:numPr>
              <w:snapToGrid w:val="0"/>
              <w:spacing w:after="120" w:line="276" w:lineRule="auto"/>
              <w:ind w:left="714" w:hanging="357"/>
              <w:jc w:val="both"/>
              <w:rPr>
                <w:rFonts w:ascii="Verdana" w:eastAsia="Aptos" w:hAnsi="Verdana" w:cs="Arial"/>
                <w:lang w:val="es-ES"/>
              </w:rPr>
            </w:pPr>
            <w:r w:rsidRPr="091F2FBF">
              <w:rPr>
                <w:rFonts w:ascii="Verdana" w:eastAsia="Aptos" w:hAnsi="Verdana" w:cs="Arial"/>
                <w:lang w:val="es-ES"/>
              </w:rPr>
              <w:lastRenderedPageBreak/>
              <w:t xml:space="preserve">CONSEJO DE ESTADO. Sala Plena de lo Contencioso Administrativo. Sentencia del 12 de abril de 1978. C.P. Carlos Portocarrero Mutis. </w:t>
            </w:r>
            <w:proofErr w:type="spellStart"/>
            <w:r w:rsidRPr="091F2FBF">
              <w:rPr>
                <w:rFonts w:ascii="Verdana" w:eastAsia="Aptos" w:hAnsi="Verdana" w:cs="Arial"/>
                <w:lang w:val="es-ES"/>
              </w:rPr>
              <w:t>Exp</w:t>
            </w:r>
            <w:proofErr w:type="spellEnd"/>
            <w:r w:rsidRPr="091F2FBF">
              <w:rPr>
                <w:rFonts w:ascii="Verdana" w:eastAsia="Aptos" w:hAnsi="Verdana" w:cs="Arial"/>
                <w:lang w:val="es-ES"/>
              </w:rPr>
              <w:t>. 355.</w:t>
            </w:r>
          </w:p>
          <w:p w14:paraId="193CD965" w14:textId="77777777" w:rsidR="005E0F58" w:rsidRPr="005E0F58" w:rsidRDefault="005E0F58" w:rsidP="005E0F58">
            <w:pPr>
              <w:numPr>
                <w:ilvl w:val="0"/>
                <w:numId w:val="17"/>
              </w:numPr>
              <w:snapToGrid w:val="0"/>
              <w:spacing w:after="120" w:line="276" w:lineRule="auto"/>
              <w:ind w:left="714" w:hanging="357"/>
              <w:jc w:val="both"/>
              <w:rPr>
                <w:rFonts w:ascii="Verdana" w:eastAsia="Aptos" w:hAnsi="Verdana" w:cs="Arial"/>
                <w:lang w:val="es-ES_tradnl"/>
              </w:rPr>
            </w:pPr>
            <w:r w:rsidRPr="005E0F58">
              <w:rPr>
                <w:rFonts w:ascii="Verdana" w:eastAsia="Aptos" w:hAnsi="Verdana" w:cs="Arial"/>
                <w:lang w:val="es-ES_tradnl"/>
              </w:rPr>
              <w:t>CONSEJO DE ESTADO. Sección Cuarta. Auto del 26 de febrero de 1983.</w:t>
            </w:r>
          </w:p>
          <w:p w14:paraId="4E6CC8FD" w14:textId="77777777" w:rsidR="005E0F58" w:rsidRPr="005E0F58" w:rsidRDefault="005E0F58" w:rsidP="091F2FBF">
            <w:pPr>
              <w:numPr>
                <w:ilvl w:val="0"/>
                <w:numId w:val="17"/>
              </w:numPr>
              <w:snapToGrid w:val="0"/>
              <w:spacing w:line="276" w:lineRule="auto"/>
              <w:ind w:left="714" w:hanging="357"/>
              <w:jc w:val="both"/>
              <w:rPr>
                <w:rFonts w:ascii="Verdana" w:eastAsia="Aptos" w:hAnsi="Verdana" w:cs="Arial"/>
                <w:lang w:val="es-ES"/>
              </w:rPr>
            </w:pPr>
            <w:r w:rsidRPr="091F2FBF">
              <w:rPr>
                <w:rFonts w:ascii="Verdana" w:eastAsia="Aptos" w:hAnsi="Verdana" w:cs="Arial"/>
                <w:lang w:val="es-ES"/>
              </w:rPr>
              <w:t xml:space="preserve">CONSEJO DE ESTADO. Sala de lo Contencioso Administrativo. Sección Cuarta. C.P. Enrique Low </w:t>
            </w:r>
            <w:proofErr w:type="spellStart"/>
            <w:r w:rsidRPr="091F2FBF">
              <w:rPr>
                <w:rFonts w:ascii="Verdana" w:eastAsia="Aptos" w:hAnsi="Verdana" w:cs="Arial"/>
                <w:lang w:val="es-ES"/>
              </w:rPr>
              <w:t>Murtra</w:t>
            </w:r>
            <w:proofErr w:type="spellEnd"/>
            <w:r w:rsidRPr="091F2FBF">
              <w:rPr>
                <w:rFonts w:ascii="Verdana" w:eastAsia="Aptos" w:hAnsi="Verdana" w:cs="Arial"/>
                <w:lang w:val="es-ES"/>
              </w:rPr>
              <w:t>. Referencia: Radicación No. 10.174. Apelación del auto del tribunal de Caldas sobre impuestos de renta por el año de 1978. Bogotá, 29 de abril de 1983.</w:t>
            </w:r>
          </w:p>
        </w:tc>
      </w:tr>
    </w:tbl>
    <w:p w14:paraId="2113511F" w14:textId="77777777" w:rsidR="005E0F58" w:rsidRPr="005E0F58" w:rsidRDefault="005E0F58" w:rsidP="005E0F58">
      <w:pPr>
        <w:widowControl w:val="0"/>
        <w:autoSpaceDE w:val="0"/>
        <w:autoSpaceDN w:val="0"/>
        <w:snapToGrid w:val="0"/>
        <w:spacing w:after="0" w:line="276" w:lineRule="auto"/>
        <w:jc w:val="both"/>
        <w:rPr>
          <w:rFonts w:ascii="Verdana" w:eastAsia="Calibri" w:hAnsi="Verdana" w:cs="Arial"/>
        </w:rPr>
      </w:pPr>
    </w:p>
    <w:p w14:paraId="7D1BDC23" w14:textId="77777777" w:rsidR="005E0F58" w:rsidRPr="005E0F58" w:rsidRDefault="005E0F58" w:rsidP="005E0F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5E0F58">
        <w:rPr>
          <w:rFonts w:ascii="Verdana" w:eastAsia="Century Gothic" w:hAnsi="Verdana" w:cs="Century Gothic"/>
          <w:b/>
          <w:bCs/>
          <w:lang w:val="es-ES"/>
        </w:rPr>
        <w:t>Doctrina de la Agencia Nacional de Contratación Pública:</w:t>
      </w:r>
    </w:p>
    <w:p w14:paraId="30D92EAA" w14:textId="77777777" w:rsidR="005E0F58" w:rsidRPr="005E0F58" w:rsidRDefault="005E0F58" w:rsidP="005E0F58">
      <w:pPr>
        <w:widowControl w:val="0"/>
        <w:autoSpaceDE w:val="0"/>
        <w:autoSpaceDN w:val="0"/>
        <w:snapToGrid w:val="0"/>
        <w:spacing w:after="0" w:line="276" w:lineRule="auto"/>
        <w:jc w:val="both"/>
        <w:rPr>
          <w:rFonts w:ascii="Verdana" w:eastAsia="Calibri" w:hAnsi="Verdana" w:cs="Arial"/>
        </w:rPr>
      </w:pPr>
    </w:p>
    <w:p w14:paraId="16E004A8" w14:textId="77777777" w:rsidR="005E0F58" w:rsidRPr="005E0F58" w:rsidRDefault="005E0F58" w:rsidP="005E0F58">
      <w:pPr>
        <w:widowControl w:val="0"/>
        <w:autoSpaceDE w:val="0"/>
        <w:autoSpaceDN w:val="0"/>
        <w:snapToGrid w:val="0"/>
        <w:spacing w:after="0" w:line="276" w:lineRule="auto"/>
        <w:jc w:val="both"/>
        <w:rPr>
          <w:rFonts w:ascii="Verdana" w:eastAsia="Times New Roman" w:hAnsi="Verdana" w:cs="Arial"/>
          <w:kern w:val="2"/>
          <w:shd w:val="clear" w:color="auto" w:fill="FFFFFF"/>
          <w:lang w:val="es-ES"/>
          <w14:ligatures w14:val="standardContextual"/>
        </w:rPr>
      </w:pPr>
      <w:r w:rsidRPr="005E0F58">
        <w:rPr>
          <w:rFonts w:ascii="Verdana" w:eastAsia="Times New Roman" w:hAnsi="Verdana" w:cs="Arial"/>
          <w:shd w:val="clear" w:color="auto" w:fill="FFFFFF"/>
          <w:lang w:eastAsia="es-ES_tradnl"/>
        </w:rPr>
        <w:t>La Subdirección de Gestión Contractual</w:t>
      </w:r>
      <w:r w:rsidRPr="005E0F58">
        <w:rPr>
          <w:rFonts w:ascii="Verdana" w:eastAsia="Aptos" w:hAnsi="Verdana" w:cs="Arial"/>
          <w:kern w:val="2"/>
          <w:shd w:val="clear" w:color="auto" w:fill="FFFFFF"/>
          <w:lang w:val="es-ES_tradnl"/>
          <w14:ligatures w14:val="standardContextual"/>
        </w:rPr>
        <w:t xml:space="preserve"> se pronunció sobre el cómputo de días hábiles en el marco de procesos de selección, en los conceptos C-135 del 28 de marzo de 2022, C-271 del 4 de mayo de 2022 y C-604 de 26 de junio de 2025</w:t>
      </w:r>
      <w:r w:rsidRPr="005E0F58">
        <w:rPr>
          <w:rFonts w:ascii="Verdana" w:eastAsia="Calibri" w:hAnsi="Verdana" w:cs="Arial"/>
          <w:bCs/>
          <w:color w:val="000000"/>
          <w:kern w:val="2"/>
          <w:lang w:val="es-ES_tradnl" w:eastAsia="es-ES_tradnl"/>
          <w14:ligatures w14:val="standardContextual"/>
        </w:rPr>
        <w:t>, entre otros</w:t>
      </w:r>
      <w:r w:rsidRPr="005E0F58">
        <w:rPr>
          <w:rFonts w:ascii="Verdana" w:eastAsia="Times New Roman" w:hAnsi="Verdana" w:cs="Arial"/>
          <w:shd w:val="clear" w:color="auto" w:fill="FFFFFF"/>
          <w:lang w:eastAsia="es-ES_tradnl"/>
        </w:rPr>
        <w:t xml:space="preserve">. </w:t>
      </w:r>
      <w:r w:rsidRPr="005E0F58">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1" w:tgtFrame="_blank" w:tooltip="Dirección URL original: https://relatoria.colombiacompra.gov.co/. Haga clic o pulse si confía en este vínculo." w:history="1">
        <w:r w:rsidRPr="005E0F58">
          <w:rPr>
            <w:rFonts w:ascii="Verdana" w:eastAsia="Times New Roman" w:hAnsi="Verdana" w:cs="Arial"/>
            <w:kern w:val="2"/>
            <w:shd w:val="clear" w:color="auto" w:fill="FFFFFF"/>
            <w:lang w:val="es-ES"/>
            <w14:ligatures w14:val="standardContextual"/>
          </w:rPr>
          <w:t>https://relatoria.colombiacompra.gov.co/</w:t>
        </w:r>
      </w:hyperlink>
      <w:r w:rsidRPr="005E0F58">
        <w:rPr>
          <w:rFonts w:ascii="Verdana" w:eastAsia="Times New Roman" w:hAnsi="Verdana" w:cs="Arial"/>
          <w:kern w:val="2"/>
          <w:shd w:val="clear" w:color="auto" w:fill="FFFFFF"/>
          <w:lang w:val="es-ES"/>
          <w14:ligatures w14:val="standardContextual"/>
        </w:rPr>
        <w:t>.</w:t>
      </w:r>
    </w:p>
    <w:p w14:paraId="2B1F4CCA" w14:textId="77777777" w:rsidR="005E0F58" w:rsidRPr="005E0F58" w:rsidRDefault="005E0F58" w:rsidP="005E0F58">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AD1BE37" w14:textId="77777777" w:rsidR="005E0F58" w:rsidRPr="005E0F58" w:rsidRDefault="005E0F58" w:rsidP="005E0F5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5E0F58">
        <w:rPr>
          <w:rFonts w:ascii="Verdana" w:eastAsia="Calibri" w:hAnsi="Verdana" w:cs="Arial"/>
          <w:kern w:val="2"/>
          <w:shd w:val="clear" w:color="auto" w:fill="FFFFFF"/>
          <w:lang w:val="es-ES_tradnl"/>
          <w14:ligatures w14:val="standardContextual"/>
        </w:rPr>
        <w:t>La</w:t>
      </w:r>
      <w:r w:rsidRPr="005E0F58">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5E0F5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5E0F58">
        <w:rPr>
          <w:rFonts w:ascii="Verdana" w:eastAsia="Calibri" w:hAnsi="Verdana" w:cs="Arial"/>
          <w:b/>
          <w:bCs/>
          <w:kern w:val="2"/>
          <w:shd w:val="clear" w:color="auto" w:fill="FFFFFF"/>
          <w:lang w:val="es-ES_tradnl"/>
          <w14:ligatures w14:val="standardContextual"/>
        </w:rPr>
        <w:t>Documentos Tipo</w:t>
      </w:r>
      <w:r w:rsidRPr="005E0F5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5E0F58">
        <w:rPr>
          <w:rFonts w:ascii="Verdana" w:eastAsia="Calibri" w:hAnsi="Verdana" w:cs="Arial"/>
          <w:b/>
          <w:bCs/>
          <w:kern w:val="2"/>
          <w:shd w:val="clear" w:color="auto" w:fill="FFFFFF"/>
          <w:lang w:val="es-ES_tradnl"/>
          <w14:ligatures w14:val="standardContextual"/>
        </w:rPr>
        <w:t>transparencia</w:t>
      </w:r>
      <w:r w:rsidRPr="005E0F58">
        <w:rPr>
          <w:rFonts w:ascii="Verdana" w:eastAsia="Calibri" w:hAnsi="Verdana" w:cs="Arial"/>
          <w:kern w:val="2"/>
          <w:shd w:val="clear" w:color="auto" w:fill="FFFFFF"/>
          <w:lang w:val="es-ES_tradnl"/>
          <w14:ligatures w14:val="standardContextual"/>
        </w:rPr>
        <w:t> y promover un proceso de </w:t>
      </w:r>
      <w:r w:rsidRPr="005E0F58">
        <w:rPr>
          <w:rFonts w:ascii="Verdana" w:eastAsia="Calibri" w:hAnsi="Verdana" w:cs="Arial"/>
          <w:b/>
          <w:bCs/>
          <w:kern w:val="2"/>
          <w:shd w:val="clear" w:color="auto" w:fill="FFFFFF"/>
          <w:lang w:val="es-ES_tradnl"/>
          <w14:ligatures w14:val="standardContextual"/>
        </w:rPr>
        <w:t>selección objetiva</w:t>
      </w:r>
      <w:r w:rsidRPr="005E0F5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B7B4636" w14:textId="77777777" w:rsidR="005E0F58" w:rsidRPr="005E0F58" w:rsidRDefault="005E0F58" w:rsidP="005E0F5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3412D68" w14:textId="77777777" w:rsidR="005E0F58" w:rsidRPr="005E0F58" w:rsidRDefault="005E0F58" w:rsidP="005E0F58">
      <w:pPr>
        <w:spacing w:after="0" w:line="276" w:lineRule="auto"/>
        <w:jc w:val="both"/>
        <w:rPr>
          <w:rFonts w:ascii="Verdana" w:eastAsia="Calibri" w:hAnsi="Verdana" w:cs="Times New Roman"/>
          <w:kern w:val="2"/>
          <w:lang w:val="es-ES_tradnl"/>
          <w14:ligatures w14:val="standardContextual"/>
        </w:rPr>
      </w:pPr>
      <w:r w:rsidRPr="005E0F58">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4677B391" w14:textId="77777777" w:rsidR="005E0F58" w:rsidRPr="005E0F58" w:rsidRDefault="005E0F58" w:rsidP="005E0F58">
      <w:pPr>
        <w:spacing w:after="0" w:line="240" w:lineRule="auto"/>
        <w:jc w:val="both"/>
        <w:rPr>
          <w:rFonts w:ascii="Verdana" w:eastAsia="Calibri" w:hAnsi="Verdana" w:cs="Times New Roman"/>
          <w:kern w:val="2"/>
          <w:lang w:val="es-ES_tradnl"/>
          <w14:ligatures w14:val="standardContextual"/>
        </w:rPr>
      </w:pPr>
    </w:p>
    <w:p w14:paraId="793091C5" w14:textId="77777777" w:rsidR="005E0F58" w:rsidRPr="005E0F58" w:rsidRDefault="005E0F58" w:rsidP="005E0F58">
      <w:pPr>
        <w:spacing w:after="0" w:line="240" w:lineRule="auto"/>
        <w:jc w:val="both"/>
        <w:rPr>
          <w:rFonts w:ascii="Verdana" w:eastAsia="Calibri" w:hAnsi="Verdana" w:cs="Times New Roman"/>
          <w:kern w:val="2"/>
          <w:lang w:val="es-ES_tradnl"/>
          <w14:ligatures w14:val="standardContextual"/>
        </w:rPr>
      </w:pPr>
      <w:r w:rsidRPr="005E0F58">
        <w:rPr>
          <w:rFonts w:ascii="Verdana" w:eastAsia="Calibri" w:hAnsi="Verdana" w:cs="Times New Roman"/>
          <w:kern w:val="2"/>
          <w:lang w:val="es-ES_tradnl"/>
          <w14:ligatures w14:val="standardContextual"/>
        </w:rPr>
        <w:t xml:space="preserve">X: </w:t>
      </w:r>
      <w:r w:rsidRPr="005E0F58">
        <w:rPr>
          <w:rFonts w:ascii="Verdana" w:eastAsia="Calibri" w:hAnsi="Verdana" w:cs="Times New Roman"/>
          <w:kern w:val="2"/>
          <w:u w:val="single"/>
          <w:lang w:val="es-ES_tradnl"/>
          <w14:ligatures w14:val="standardContextual"/>
        </w:rPr>
        <w:t>@colombiacompra</w:t>
      </w:r>
      <w:r w:rsidRPr="005E0F58">
        <w:rPr>
          <w:rFonts w:ascii="Verdana" w:eastAsia="Calibri" w:hAnsi="Verdana" w:cs="Times New Roman"/>
          <w:kern w:val="2"/>
          <w:lang w:val="es-ES_tradnl"/>
          <w14:ligatures w14:val="standardContextual"/>
        </w:rPr>
        <w:t xml:space="preserve"> </w:t>
      </w:r>
    </w:p>
    <w:p w14:paraId="57553970" w14:textId="77777777" w:rsidR="005E0F58" w:rsidRPr="005E0F58" w:rsidRDefault="005E0F58" w:rsidP="005E0F58">
      <w:pPr>
        <w:spacing w:after="0" w:line="240" w:lineRule="auto"/>
        <w:jc w:val="both"/>
        <w:rPr>
          <w:rFonts w:ascii="Verdana" w:eastAsia="Calibri" w:hAnsi="Verdana" w:cs="Times New Roman"/>
          <w:kern w:val="2"/>
          <w:lang w:val="es-ES"/>
          <w14:ligatures w14:val="standardContextual"/>
        </w:rPr>
      </w:pPr>
      <w:r w:rsidRPr="005E0F58">
        <w:rPr>
          <w:rFonts w:ascii="Verdana" w:eastAsia="Calibri" w:hAnsi="Verdana" w:cs="Times New Roman"/>
          <w:kern w:val="2"/>
          <w:lang w:val="es-ES"/>
          <w14:ligatures w14:val="standardContextual"/>
        </w:rPr>
        <w:t xml:space="preserve">Facebook: </w:t>
      </w:r>
      <w:proofErr w:type="spellStart"/>
      <w:r w:rsidRPr="005E0F58">
        <w:rPr>
          <w:rFonts w:ascii="Verdana" w:eastAsia="Calibri" w:hAnsi="Verdana" w:cs="Times New Roman"/>
          <w:kern w:val="2"/>
          <w:u w:val="single"/>
          <w:lang w:val="es-ES"/>
          <w14:ligatures w14:val="standardContextual"/>
        </w:rPr>
        <w:t>ColombiaCompraEficiente</w:t>
      </w:r>
      <w:proofErr w:type="spellEnd"/>
    </w:p>
    <w:p w14:paraId="7B8955BA" w14:textId="77777777" w:rsidR="005E0F58" w:rsidRPr="005E0F58" w:rsidRDefault="005E0F58" w:rsidP="005E0F58">
      <w:pPr>
        <w:spacing w:after="0" w:line="240" w:lineRule="auto"/>
        <w:jc w:val="both"/>
        <w:rPr>
          <w:rFonts w:ascii="Verdana" w:eastAsia="Calibri" w:hAnsi="Verdana" w:cs="Times New Roman"/>
          <w:kern w:val="2"/>
          <w:lang w:val="es-ES_tradnl"/>
          <w14:ligatures w14:val="standardContextual"/>
        </w:rPr>
      </w:pPr>
      <w:r w:rsidRPr="005E0F58">
        <w:rPr>
          <w:rFonts w:ascii="Verdana" w:eastAsia="Calibri" w:hAnsi="Verdana" w:cs="Times New Roman"/>
          <w:kern w:val="2"/>
          <w:lang w:val="es-ES_tradnl"/>
          <w14:ligatures w14:val="standardContextual"/>
        </w:rPr>
        <w:lastRenderedPageBreak/>
        <w:t xml:space="preserve">LinkedIn: </w:t>
      </w:r>
      <w:r w:rsidRPr="005E0F58">
        <w:rPr>
          <w:rFonts w:ascii="Verdana" w:eastAsia="Calibri" w:hAnsi="Verdana" w:cs="Times New Roman"/>
          <w:kern w:val="2"/>
          <w:u w:val="single"/>
          <w:lang w:val="es-ES_tradnl"/>
          <w14:ligatures w14:val="standardContextual"/>
        </w:rPr>
        <w:t>Agencia Nacional de Contratación Pública - Colombia Compra Eficiente</w:t>
      </w:r>
      <w:r w:rsidRPr="005E0F58">
        <w:rPr>
          <w:rFonts w:ascii="Verdana" w:eastAsia="Calibri" w:hAnsi="Verdana" w:cs="Times New Roman"/>
          <w:kern w:val="2"/>
          <w:lang w:val="es-ES_tradnl"/>
          <w14:ligatures w14:val="standardContextual"/>
        </w:rPr>
        <w:t xml:space="preserve"> Instagram: </w:t>
      </w:r>
      <w:r w:rsidRPr="005E0F58">
        <w:rPr>
          <w:rFonts w:ascii="Verdana" w:eastAsia="Calibri" w:hAnsi="Verdana" w:cs="Times New Roman"/>
          <w:kern w:val="2"/>
          <w:u w:val="single"/>
          <w:lang w:val="es-ES_tradnl"/>
          <w14:ligatures w14:val="standardContextual"/>
        </w:rPr>
        <w:t>@colombiacompraeficiente_cce</w:t>
      </w:r>
    </w:p>
    <w:p w14:paraId="5EAAAAD1" w14:textId="77777777" w:rsidR="005E0F58" w:rsidRPr="005E0F58" w:rsidRDefault="005E0F58" w:rsidP="005E0F58">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46803A5" w14:textId="77777777" w:rsidR="005E0F58" w:rsidRPr="005E0F58" w:rsidRDefault="005E0F58" w:rsidP="005E0F58">
      <w:pPr>
        <w:widowControl w:val="0"/>
        <w:autoSpaceDE w:val="0"/>
        <w:autoSpaceDN w:val="0"/>
        <w:spacing w:after="0" w:line="276" w:lineRule="auto"/>
        <w:jc w:val="both"/>
        <w:rPr>
          <w:rFonts w:ascii="Verdana" w:eastAsia="Calibri" w:hAnsi="Verdana" w:cs="Arial"/>
          <w:kern w:val="2"/>
          <w:lang w:val="es-ES_tradnl"/>
          <w14:ligatures w14:val="standardContextual"/>
        </w:rPr>
      </w:pPr>
      <w:r w:rsidRPr="005E0F58">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560A41D" w14:textId="77777777" w:rsidR="005E0F58" w:rsidRPr="005E0F58" w:rsidRDefault="005E0F58" w:rsidP="005E0F58">
      <w:pPr>
        <w:widowControl w:val="0"/>
        <w:autoSpaceDE w:val="0"/>
        <w:autoSpaceDN w:val="0"/>
        <w:spacing w:after="0" w:line="276" w:lineRule="auto"/>
        <w:jc w:val="both"/>
        <w:rPr>
          <w:rFonts w:ascii="Verdana" w:eastAsia="Calibri" w:hAnsi="Verdana" w:cs="Arial"/>
          <w:lang w:val="es-ES_tradnl"/>
        </w:rPr>
      </w:pPr>
    </w:p>
    <w:p w14:paraId="5784B7D6" w14:textId="77777777" w:rsidR="005E0F58" w:rsidRPr="005E0F58" w:rsidRDefault="005E0F58" w:rsidP="005E0F58">
      <w:pPr>
        <w:widowControl w:val="0"/>
        <w:autoSpaceDE w:val="0"/>
        <w:autoSpaceDN w:val="0"/>
        <w:spacing w:after="0" w:line="276" w:lineRule="auto"/>
        <w:jc w:val="both"/>
        <w:rPr>
          <w:rFonts w:ascii="Verdana" w:eastAsia="Calibri" w:hAnsi="Verdana" w:cs="Arial"/>
        </w:rPr>
      </w:pPr>
    </w:p>
    <w:p w14:paraId="198D7BA4" w14:textId="77777777" w:rsidR="005E0F58" w:rsidRPr="005E0F58" w:rsidRDefault="005E0F58" w:rsidP="005E0F58">
      <w:pPr>
        <w:spacing w:after="0" w:line="276" w:lineRule="auto"/>
        <w:rPr>
          <w:rFonts w:ascii="Verdana" w:eastAsia="Calibri" w:hAnsi="Verdana" w:cs="Arial"/>
          <w:lang w:eastAsia="es-CO"/>
        </w:rPr>
      </w:pPr>
      <w:r w:rsidRPr="005E0F58">
        <w:rPr>
          <w:rFonts w:ascii="Verdana" w:eastAsia="Times New Roman" w:hAnsi="Verdana" w:cs="Arial"/>
          <w:lang w:eastAsia="es-CO"/>
        </w:rPr>
        <w:t>Atentamente,</w:t>
      </w:r>
      <w:r w:rsidRPr="005E0F58">
        <w:rPr>
          <w:rFonts w:ascii="Verdana" w:eastAsia="Calibri" w:hAnsi="Verdana" w:cs="Arial"/>
          <w:lang w:eastAsia="es-CO"/>
        </w:rPr>
        <w:t xml:space="preserve"> </w:t>
      </w:r>
    </w:p>
    <w:p w14:paraId="63CCEF75" w14:textId="27AE28EA" w:rsidR="005E0F58" w:rsidRPr="005E0F58" w:rsidRDefault="004E57DC" w:rsidP="005E0F58">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5F645E77" wp14:editId="2888E3AF">
            <wp:extent cx="3071594" cy="1140212"/>
            <wp:effectExtent l="0" t="0" r="1905" b="317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110768" cy="115475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0F58" w:rsidRPr="005E0F58" w14:paraId="631EC9A7" w14:textId="77777777" w:rsidTr="00C016A1">
        <w:trPr>
          <w:trHeight w:val="315"/>
        </w:trPr>
        <w:tc>
          <w:tcPr>
            <w:tcW w:w="893" w:type="dxa"/>
            <w:vAlign w:val="center"/>
            <w:hideMark/>
          </w:tcPr>
          <w:p w14:paraId="480B5423" w14:textId="77777777" w:rsidR="005E0F58" w:rsidRPr="005E0F58" w:rsidRDefault="005E0F58" w:rsidP="005E0F58">
            <w:pPr>
              <w:contextualSpacing/>
              <w:rPr>
                <w:rFonts w:ascii="Verdana" w:eastAsia="Calibri" w:hAnsi="Verdana" w:cs="Arial"/>
                <w:sz w:val="16"/>
                <w:szCs w:val="16"/>
                <w:lang w:val="es-ES" w:eastAsia="es-ES"/>
              </w:rPr>
            </w:pPr>
            <w:r w:rsidRPr="005E0F58">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75A7AD7C" w14:textId="77777777" w:rsidR="005E0F58" w:rsidRPr="005E0F58" w:rsidRDefault="005E0F58" w:rsidP="005E0F58">
            <w:pPr>
              <w:contextualSpacing/>
              <w:rPr>
                <w:rFonts w:ascii="Verdana" w:eastAsia="Arial" w:hAnsi="Verdana" w:cs="Arial"/>
                <w:sz w:val="16"/>
                <w:szCs w:val="16"/>
              </w:rPr>
            </w:pPr>
            <w:r w:rsidRPr="005E0F58">
              <w:rPr>
                <w:rFonts w:ascii="Verdana" w:eastAsia="Arial" w:hAnsi="Verdana" w:cs="Arial"/>
                <w:sz w:val="16"/>
                <w:szCs w:val="16"/>
              </w:rPr>
              <w:t>Kevin Arlid Herrera Santa</w:t>
            </w:r>
          </w:p>
          <w:p w14:paraId="3CB76808" w14:textId="77777777" w:rsidR="005E0F58" w:rsidRPr="005E0F58" w:rsidRDefault="005E0F58" w:rsidP="005E0F58">
            <w:pPr>
              <w:contextualSpacing/>
              <w:rPr>
                <w:rFonts w:ascii="Verdana" w:eastAsia="Arial" w:hAnsi="Verdana" w:cs="Arial"/>
                <w:sz w:val="16"/>
                <w:szCs w:val="16"/>
              </w:rPr>
            </w:pPr>
            <w:r w:rsidRPr="005E0F58">
              <w:rPr>
                <w:rFonts w:ascii="Verdana" w:eastAsia="Arial" w:hAnsi="Verdana" w:cs="Arial"/>
                <w:sz w:val="16"/>
                <w:szCs w:val="16"/>
              </w:rPr>
              <w:t>C</w:t>
            </w:r>
            <w:r w:rsidRPr="005E0F58">
              <w:rPr>
                <w:rFonts w:ascii="Verdana" w:eastAsia="Arial" w:hAnsi="Verdana" w:cs="Times New Roman"/>
                <w:sz w:val="16"/>
                <w:szCs w:val="16"/>
              </w:rPr>
              <w:t>ontratista</w:t>
            </w:r>
            <w:r w:rsidRPr="005E0F58">
              <w:rPr>
                <w:rFonts w:ascii="Verdana" w:eastAsia="Arial" w:hAnsi="Verdana" w:cs="Arial"/>
                <w:sz w:val="16"/>
                <w:szCs w:val="16"/>
              </w:rPr>
              <w:t xml:space="preserve"> de la Subdirección de Gestión Contractual</w:t>
            </w:r>
          </w:p>
        </w:tc>
      </w:tr>
      <w:tr w:rsidR="005E0F58" w:rsidRPr="005E0F58" w14:paraId="7E7C5504" w14:textId="77777777" w:rsidTr="00C016A1">
        <w:trPr>
          <w:trHeight w:val="330"/>
        </w:trPr>
        <w:tc>
          <w:tcPr>
            <w:tcW w:w="893" w:type="dxa"/>
            <w:vAlign w:val="center"/>
            <w:hideMark/>
          </w:tcPr>
          <w:p w14:paraId="2F2B0833" w14:textId="77777777" w:rsidR="005E0F58" w:rsidRPr="005E0F58" w:rsidRDefault="005E0F58" w:rsidP="005E0F58">
            <w:pPr>
              <w:contextualSpacing/>
              <w:rPr>
                <w:rFonts w:ascii="Verdana" w:eastAsia="Calibri" w:hAnsi="Verdana" w:cs="Arial"/>
                <w:sz w:val="16"/>
                <w:szCs w:val="16"/>
                <w:lang w:val="es-ES" w:eastAsia="es-ES"/>
              </w:rPr>
            </w:pPr>
            <w:r w:rsidRPr="005E0F58">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0E66206" w14:textId="77777777" w:rsidR="005E0F58" w:rsidRPr="005E0F58" w:rsidRDefault="005E0F58" w:rsidP="005E0F58">
            <w:pPr>
              <w:contextualSpacing/>
              <w:textAlignment w:val="baseline"/>
              <w:rPr>
                <w:rFonts w:ascii="Verdana" w:eastAsia="Times New Roman" w:hAnsi="Verdana" w:cs="Segoe UI"/>
                <w:sz w:val="16"/>
                <w:szCs w:val="16"/>
                <w:lang w:eastAsia="es-ES_tradnl"/>
              </w:rPr>
            </w:pPr>
            <w:r w:rsidRPr="005E0F58">
              <w:rPr>
                <w:rFonts w:ascii="Verdana" w:eastAsia="Times New Roman" w:hAnsi="Verdana" w:cs="Arial"/>
                <w:sz w:val="16"/>
                <w:szCs w:val="16"/>
                <w:lang w:val="es-ES" w:eastAsia="es-ES_tradnl"/>
              </w:rPr>
              <w:t xml:space="preserve">Adriana </w:t>
            </w:r>
            <w:proofErr w:type="spellStart"/>
            <w:r w:rsidRPr="005E0F58">
              <w:rPr>
                <w:rFonts w:ascii="Verdana" w:eastAsia="Times New Roman" w:hAnsi="Verdana" w:cs="Arial"/>
                <w:sz w:val="16"/>
                <w:szCs w:val="16"/>
                <w:lang w:val="es-ES" w:eastAsia="es-ES_tradnl"/>
              </w:rPr>
              <w:t>Katerine</w:t>
            </w:r>
            <w:proofErr w:type="spellEnd"/>
            <w:r w:rsidRPr="005E0F58">
              <w:rPr>
                <w:rFonts w:ascii="Verdana" w:eastAsia="Times New Roman" w:hAnsi="Verdana" w:cs="Arial"/>
                <w:sz w:val="16"/>
                <w:szCs w:val="16"/>
                <w:lang w:val="es-ES" w:eastAsia="es-ES_tradnl"/>
              </w:rPr>
              <w:t xml:space="preserve"> López Rodríguez</w:t>
            </w:r>
          </w:p>
          <w:p w14:paraId="414B3D52" w14:textId="77777777" w:rsidR="005E0F58" w:rsidRPr="005E0F58" w:rsidRDefault="005E0F58" w:rsidP="005E0F58">
            <w:pPr>
              <w:contextualSpacing/>
              <w:textAlignment w:val="baseline"/>
              <w:rPr>
                <w:rFonts w:ascii="Verdana" w:eastAsia="Times New Roman" w:hAnsi="Verdana" w:cs="Segoe UI"/>
                <w:sz w:val="16"/>
                <w:szCs w:val="16"/>
                <w:lang w:eastAsia="es-ES_tradnl"/>
              </w:rPr>
            </w:pPr>
            <w:r w:rsidRPr="005E0F58">
              <w:rPr>
                <w:rFonts w:ascii="Verdana" w:eastAsia="Times New Roman" w:hAnsi="Verdana" w:cs="Arial"/>
                <w:sz w:val="16"/>
                <w:szCs w:val="16"/>
                <w:lang w:val="es-ES" w:eastAsia="es-ES_tradnl"/>
              </w:rPr>
              <w:t>Contratista de la Subdirección de Gestión Contractual</w:t>
            </w:r>
            <w:r w:rsidRPr="005E0F58">
              <w:rPr>
                <w:rFonts w:ascii="Verdana" w:eastAsia="Times New Roman" w:hAnsi="Verdana" w:cs="Arial"/>
                <w:sz w:val="16"/>
                <w:szCs w:val="16"/>
                <w:lang w:eastAsia="es-ES_tradnl"/>
              </w:rPr>
              <w:t> </w:t>
            </w:r>
          </w:p>
        </w:tc>
      </w:tr>
      <w:tr w:rsidR="005E0F58" w:rsidRPr="005E0F58" w14:paraId="262EC954" w14:textId="77777777" w:rsidTr="00C016A1">
        <w:trPr>
          <w:trHeight w:val="300"/>
        </w:trPr>
        <w:tc>
          <w:tcPr>
            <w:tcW w:w="893" w:type="dxa"/>
            <w:vAlign w:val="center"/>
          </w:tcPr>
          <w:p w14:paraId="02D67FAE" w14:textId="77777777" w:rsidR="005E0F58" w:rsidRPr="005E0F58" w:rsidRDefault="005E0F58" w:rsidP="005E0F58">
            <w:pPr>
              <w:contextualSpacing/>
              <w:rPr>
                <w:rFonts w:ascii="Verdana" w:eastAsia="Calibri" w:hAnsi="Verdana" w:cs="Arial"/>
                <w:sz w:val="16"/>
                <w:szCs w:val="16"/>
                <w:lang w:val="es-ES" w:eastAsia="es-ES"/>
              </w:rPr>
            </w:pPr>
            <w:r w:rsidRPr="005E0F58">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9ECE82F" w14:textId="77777777" w:rsidR="005E0F58" w:rsidRPr="005E0F58" w:rsidRDefault="005E0F58" w:rsidP="005E0F58">
            <w:pPr>
              <w:contextualSpacing/>
              <w:rPr>
                <w:rFonts w:ascii="Verdana" w:eastAsia="Calibri" w:hAnsi="Verdana" w:cs="Arial"/>
                <w:sz w:val="16"/>
                <w:szCs w:val="16"/>
                <w:lang w:val="pt-BR" w:eastAsia="es-ES"/>
              </w:rPr>
            </w:pPr>
            <w:r w:rsidRPr="005E0F58">
              <w:rPr>
                <w:rFonts w:ascii="Verdana" w:eastAsia="Calibri" w:hAnsi="Verdana" w:cs="Arial"/>
                <w:sz w:val="16"/>
                <w:szCs w:val="16"/>
                <w:lang w:val="pt-BR" w:eastAsia="es-ES"/>
              </w:rPr>
              <w:t xml:space="preserve">Carolina Quintero </w:t>
            </w:r>
            <w:proofErr w:type="spellStart"/>
            <w:r w:rsidRPr="005E0F58">
              <w:rPr>
                <w:rFonts w:ascii="Verdana" w:eastAsia="Calibri" w:hAnsi="Verdana" w:cs="Arial"/>
                <w:sz w:val="16"/>
                <w:szCs w:val="16"/>
                <w:lang w:val="pt-BR" w:eastAsia="es-ES"/>
              </w:rPr>
              <w:t>Gacharná</w:t>
            </w:r>
            <w:proofErr w:type="spellEnd"/>
          </w:p>
          <w:p w14:paraId="10945934" w14:textId="77777777" w:rsidR="005E0F58" w:rsidRPr="005E0F58" w:rsidRDefault="005E0F58" w:rsidP="005E0F58">
            <w:pPr>
              <w:contextualSpacing/>
              <w:rPr>
                <w:rFonts w:ascii="Verdana" w:eastAsia="Calibri" w:hAnsi="Verdana" w:cs="Arial"/>
                <w:sz w:val="16"/>
                <w:szCs w:val="16"/>
                <w:lang w:val="pt-BR" w:eastAsia="es-ES"/>
              </w:rPr>
            </w:pPr>
            <w:r w:rsidRPr="005E0F58">
              <w:rPr>
                <w:rFonts w:ascii="Verdana" w:eastAsia="Calibri" w:hAnsi="Verdana" w:cs="Arial"/>
                <w:sz w:val="16"/>
                <w:szCs w:val="16"/>
                <w:lang w:eastAsia="es-ES"/>
              </w:rPr>
              <w:t>Subdirectora</w:t>
            </w:r>
            <w:r w:rsidRPr="005E0F58">
              <w:rPr>
                <w:rFonts w:ascii="Verdana" w:eastAsia="Calibri" w:hAnsi="Verdana" w:cs="Arial"/>
                <w:sz w:val="16"/>
                <w:szCs w:val="16"/>
                <w:lang w:val="pt-BR" w:eastAsia="es-ES"/>
              </w:rPr>
              <w:t xml:space="preserve"> de Gestión </w:t>
            </w:r>
            <w:proofErr w:type="spellStart"/>
            <w:r w:rsidRPr="005E0F58">
              <w:rPr>
                <w:rFonts w:ascii="Verdana" w:eastAsia="Calibri" w:hAnsi="Verdana" w:cs="Arial"/>
                <w:sz w:val="16"/>
                <w:szCs w:val="16"/>
                <w:lang w:val="pt-BR" w:eastAsia="es-ES"/>
              </w:rPr>
              <w:t>Contractual</w:t>
            </w:r>
            <w:proofErr w:type="spellEnd"/>
            <w:r w:rsidRPr="005E0F58">
              <w:rPr>
                <w:rFonts w:ascii="Verdana" w:eastAsia="Calibri" w:hAnsi="Verdana" w:cs="Arial"/>
                <w:sz w:val="16"/>
                <w:szCs w:val="16"/>
                <w:lang w:val="pt-BR" w:eastAsia="es-ES"/>
              </w:rPr>
              <w:t xml:space="preserve"> ANCP – CCE</w:t>
            </w:r>
          </w:p>
        </w:tc>
      </w:tr>
      <w:bookmarkEnd w:id="0"/>
    </w:tbl>
    <w:p w14:paraId="6BEE6026" w14:textId="77777777" w:rsidR="005E0F58" w:rsidRPr="005E0F58" w:rsidRDefault="005E0F58" w:rsidP="005E0F58">
      <w:pPr>
        <w:spacing w:after="0" w:line="240" w:lineRule="auto"/>
        <w:rPr>
          <w:rFonts w:ascii="Aptos" w:eastAsia="Aptos" w:hAnsi="Aptos" w:cs="Times New Roman"/>
          <w:kern w:val="2"/>
          <w:sz w:val="24"/>
          <w:szCs w:val="24"/>
          <w:lang w:val="es-ES_tradnl"/>
          <w14:ligatures w14:val="standardContextual"/>
        </w:rPr>
      </w:pPr>
    </w:p>
    <w:bookmarkEnd w:id="1"/>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DDE34" w14:textId="77777777" w:rsidR="007A7538" w:rsidRDefault="007A7538" w:rsidP="004A1847">
      <w:pPr>
        <w:spacing w:after="0" w:line="240" w:lineRule="auto"/>
      </w:pPr>
      <w:r>
        <w:separator/>
      </w:r>
    </w:p>
  </w:endnote>
  <w:endnote w:type="continuationSeparator" w:id="0">
    <w:p w14:paraId="24F95209" w14:textId="77777777" w:rsidR="007A7538" w:rsidRDefault="007A753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Arial"/>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altName w:val="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altName w:val="Arial"/>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0DC21" w14:textId="77777777" w:rsidR="007A7538" w:rsidRDefault="007A7538" w:rsidP="004A1847">
      <w:pPr>
        <w:spacing w:after="0" w:line="240" w:lineRule="auto"/>
      </w:pPr>
      <w:r>
        <w:separator/>
      </w:r>
    </w:p>
  </w:footnote>
  <w:footnote w:type="continuationSeparator" w:id="0">
    <w:p w14:paraId="4F9E9E9F" w14:textId="77777777" w:rsidR="007A7538" w:rsidRDefault="007A7538" w:rsidP="004A1847">
      <w:pPr>
        <w:spacing w:after="0" w:line="240" w:lineRule="auto"/>
      </w:pPr>
      <w:r>
        <w:continuationSeparator/>
      </w:r>
    </w:p>
  </w:footnote>
  <w:footnote w:id="1">
    <w:p w14:paraId="162BD4DE" w14:textId="77777777" w:rsidR="005E0F58" w:rsidRPr="00B51C5C" w:rsidRDefault="005E0F58" w:rsidP="005E0F58">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 xml:space="preserve">Real Academia Española de la Lengua. Diccionario de la Lengua Española. Edición Tricentenario. Disponible en: </w:t>
      </w:r>
      <w:hyperlink r:id="rId1" w:history="1">
        <w:r w:rsidRPr="00B51C5C">
          <w:rPr>
            <w:rStyle w:val="Hipervnculo"/>
            <w:rFonts w:ascii="Verdana" w:hAnsi="Verdana" w:cs="Arial"/>
            <w:color w:val="000000"/>
            <w:sz w:val="18"/>
            <w:szCs w:val="18"/>
          </w:rPr>
          <w:t>https://dle.rae.es/h%C3%A1bil</w:t>
        </w:r>
      </w:hyperlink>
      <w:r w:rsidRPr="00B51C5C">
        <w:rPr>
          <w:rFonts w:ascii="Verdana" w:hAnsi="Verdana" w:cs="Arial"/>
          <w:color w:val="000000"/>
          <w:sz w:val="18"/>
          <w:szCs w:val="18"/>
          <w:lang w:val="es-CO"/>
        </w:rPr>
        <w:t xml:space="preserve"> </w:t>
      </w:r>
    </w:p>
    <w:p w14:paraId="2A920F75" w14:textId="77777777" w:rsidR="005E0F58" w:rsidRPr="00B51C5C" w:rsidRDefault="005E0F58" w:rsidP="005E0F58">
      <w:pPr>
        <w:pStyle w:val="Textonotapie"/>
        <w:ind w:firstLine="708"/>
        <w:jc w:val="both"/>
        <w:rPr>
          <w:rFonts w:ascii="Verdana" w:hAnsi="Verdana" w:cs="Arial"/>
          <w:color w:val="000000"/>
          <w:sz w:val="18"/>
          <w:szCs w:val="18"/>
          <w:lang w:val="es-CO"/>
        </w:rPr>
      </w:pPr>
    </w:p>
  </w:footnote>
  <w:footnote w:id="2">
    <w:p w14:paraId="4067C7EE" w14:textId="77777777" w:rsidR="005E0F58" w:rsidRPr="00B51C5C" w:rsidRDefault="005E0F58" w:rsidP="005E0F58">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3">
    <w:p w14:paraId="686DD9CA" w14:textId="77777777" w:rsidR="005E0F58" w:rsidRPr="00B51C5C" w:rsidRDefault="005E0F58" w:rsidP="005E0F58">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C</w:t>
      </w:r>
      <w:r>
        <w:rPr>
          <w:rFonts w:ascii="Verdana" w:hAnsi="Verdana" w:cs="Arial"/>
          <w:color w:val="000000"/>
          <w:sz w:val="18"/>
          <w:szCs w:val="18"/>
          <w:lang w:val="es-CO"/>
        </w:rPr>
        <w:t>ONSEJO DE ESTADO</w:t>
      </w:r>
      <w:r w:rsidRPr="00B51C5C">
        <w:rPr>
          <w:rFonts w:ascii="Verdana" w:hAnsi="Verdana" w:cs="Arial"/>
          <w:color w:val="000000"/>
          <w:sz w:val="18"/>
          <w:szCs w:val="18"/>
          <w:lang w:val="es-CO"/>
        </w:rPr>
        <w:t xml:space="preserve">. </w:t>
      </w:r>
      <w:r w:rsidRPr="00B51C5C">
        <w:rPr>
          <w:rFonts w:ascii="Verdana" w:hAnsi="Verdana" w:cs="Arial"/>
          <w:color w:val="000000"/>
          <w:sz w:val="18"/>
          <w:szCs w:val="18"/>
        </w:rPr>
        <w:t>Sala Plena de lo Contencioso Administrativo. Sentencia del 12 de abril de 1978. C.P. Carlos Portocarrero Mutis. Exp. 355.</w:t>
      </w:r>
    </w:p>
    <w:p w14:paraId="5948FC8A" w14:textId="77777777" w:rsidR="005E0F58" w:rsidRPr="00B51C5C" w:rsidRDefault="005E0F58" w:rsidP="005E0F58">
      <w:pPr>
        <w:pStyle w:val="Textonotapie"/>
        <w:ind w:firstLine="708"/>
        <w:jc w:val="both"/>
        <w:rPr>
          <w:rFonts w:ascii="Verdana" w:hAnsi="Verdana" w:cs="Arial"/>
          <w:color w:val="000000"/>
          <w:sz w:val="18"/>
          <w:szCs w:val="18"/>
          <w:lang w:val="es-CO"/>
        </w:rPr>
      </w:pPr>
    </w:p>
  </w:footnote>
  <w:footnote w:id="4">
    <w:p w14:paraId="600D1206" w14:textId="77777777" w:rsidR="005E0F58" w:rsidRPr="00B51C5C" w:rsidRDefault="005E0F58" w:rsidP="005E0F58">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C</w:t>
      </w:r>
      <w:r>
        <w:rPr>
          <w:rFonts w:ascii="Verdana" w:hAnsi="Verdana" w:cs="Arial"/>
          <w:color w:val="000000"/>
          <w:sz w:val="18"/>
          <w:szCs w:val="18"/>
        </w:rPr>
        <w:t>ONSEJO DE ESTADO</w:t>
      </w:r>
      <w:r w:rsidRPr="00B51C5C">
        <w:rPr>
          <w:rFonts w:ascii="Verdana" w:hAnsi="Verdana" w:cs="Arial"/>
          <w:color w:val="000000"/>
          <w:sz w:val="18"/>
          <w:szCs w:val="18"/>
        </w:rPr>
        <w:t>. Sección Cuarta. Auto del 26 de febrero de 1983.</w:t>
      </w:r>
    </w:p>
    <w:p w14:paraId="70794C7D" w14:textId="77777777" w:rsidR="005E0F58" w:rsidRPr="00B51C5C" w:rsidRDefault="005E0F58" w:rsidP="005E0F58">
      <w:pPr>
        <w:pStyle w:val="Textonotapie"/>
        <w:ind w:firstLine="708"/>
        <w:jc w:val="both"/>
        <w:rPr>
          <w:rFonts w:ascii="Verdana" w:hAnsi="Verdana" w:cs="Arial"/>
          <w:color w:val="000000"/>
          <w:sz w:val="18"/>
          <w:szCs w:val="18"/>
          <w:lang w:val="es-CO"/>
        </w:rPr>
      </w:pPr>
    </w:p>
  </w:footnote>
  <w:footnote w:id="5">
    <w:p w14:paraId="78784F38" w14:textId="77777777" w:rsidR="005E0F58" w:rsidRPr="00B51C5C" w:rsidRDefault="005E0F58" w:rsidP="005E0F58">
      <w:pPr>
        <w:pStyle w:val="Textonotapie"/>
        <w:ind w:firstLine="708"/>
        <w:jc w:val="both"/>
        <w:rPr>
          <w:rFonts w:ascii="Verdana" w:hAnsi="Verdana" w:cs="Arial"/>
          <w:color w:val="000000"/>
          <w:sz w:val="18"/>
          <w:szCs w:val="18"/>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CONSEJO DE ESTADO. Sala de lo Contencioso Administrativo. Sección Cuarta. Consejero Ponente: Enrique Low Murtra. Referencia: Radicación No. 10.174. Apelación del auto del tribunal de Caldas sobre impuestos de renta por el año de 1978. Bogotá, 29 de abril de 1983.</w:t>
      </w:r>
    </w:p>
    <w:p w14:paraId="3A840244" w14:textId="77777777" w:rsidR="005E0F58" w:rsidRPr="00B51C5C" w:rsidRDefault="005E0F58" w:rsidP="005E0F58">
      <w:pPr>
        <w:pStyle w:val="Textonotapie"/>
        <w:ind w:firstLine="708"/>
        <w:jc w:val="both"/>
        <w:rPr>
          <w:rFonts w:ascii="Verdana" w:hAnsi="Verdana"/>
          <w:sz w:val="18"/>
          <w:szCs w:val="18"/>
          <w:lang w:val="es-ES"/>
        </w:rPr>
      </w:pPr>
    </w:p>
  </w:footnote>
  <w:footnote w:id="6">
    <w:p w14:paraId="7557CC55" w14:textId="77777777" w:rsidR="005E0F58" w:rsidRPr="00B51C5C" w:rsidRDefault="005E0F58" w:rsidP="005E0F58">
      <w:pPr>
        <w:pStyle w:val="Textonotapie"/>
        <w:ind w:firstLine="708"/>
        <w:jc w:val="both"/>
        <w:rPr>
          <w:rFonts w:ascii="Verdana" w:hAnsi="Verdana"/>
          <w:sz w:val="18"/>
          <w:szCs w:val="18"/>
          <w:lang w:val="es-CO"/>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DEPARTAMENTO ADMINISTRATIVO DE LA FUNCIÓN PÚBLICA. Concepto con Rad. 20196000060051 del 27 de febrero de 2019.</w:t>
      </w:r>
      <w:r w:rsidRPr="00B51C5C">
        <w:rPr>
          <w:rFonts w:ascii="Verdana" w:eastAsia="Times New Roman" w:hAnsi="Verdana" w:cs="Arial"/>
          <w:sz w:val="18"/>
          <w:szCs w:val="18"/>
          <w:lang w:eastAsia="es-CO"/>
        </w:rPr>
        <w:t xml:space="preserve"> </w:t>
      </w:r>
    </w:p>
  </w:footnote>
  <w:footnote w:id="7">
    <w:p w14:paraId="4446CCB8" w14:textId="77777777" w:rsidR="005E0F58" w:rsidRPr="00B51C5C" w:rsidRDefault="005E0F58" w:rsidP="005E0F58">
      <w:pPr>
        <w:pStyle w:val="Textonotapie"/>
        <w:ind w:firstLine="708"/>
        <w:jc w:val="both"/>
        <w:rPr>
          <w:rFonts w:ascii="Verdana" w:hAnsi="Verdana" w:cs="Arial"/>
          <w:color w:val="000000"/>
          <w:sz w:val="18"/>
          <w:szCs w:val="18"/>
        </w:rPr>
      </w:pPr>
    </w:p>
    <w:p w14:paraId="6B2881C9" w14:textId="77777777" w:rsidR="005E0F58" w:rsidRPr="00B51C5C" w:rsidRDefault="005E0F58" w:rsidP="005E0F58">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8">
    <w:p w14:paraId="0C07FF26" w14:textId="77777777" w:rsidR="005E0F58" w:rsidRPr="00B51C5C" w:rsidRDefault="005E0F58" w:rsidP="005E0F58">
      <w:pPr>
        <w:pStyle w:val="Textonotapie"/>
        <w:ind w:firstLine="708"/>
        <w:jc w:val="both"/>
        <w:rPr>
          <w:rFonts w:ascii="Verdana" w:hAnsi="Verdana" w:cs="Arial"/>
          <w:color w:val="000000"/>
          <w:sz w:val="18"/>
          <w:szCs w:val="18"/>
        </w:rPr>
      </w:pPr>
    </w:p>
    <w:p w14:paraId="29D4037D" w14:textId="77777777" w:rsidR="005E0F58" w:rsidRPr="00B51C5C" w:rsidRDefault="005E0F58" w:rsidP="005E0F58">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lang w:val="es-CO"/>
        </w:rPr>
        <w:t xml:space="preserve"> </w:t>
      </w:r>
      <w:r w:rsidRPr="00B51C5C">
        <w:rPr>
          <w:rFonts w:ascii="Verdana" w:hAnsi="Verdana" w:cs="Arial"/>
          <w:i/>
          <w:iCs/>
          <w:color w:val="000000"/>
          <w:sz w:val="18"/>
          <w:szCs w:val="18"/>
          <w:lang w:val="es-CO"/>
        </w:rPr>
        <w:t>Ibidem.</w:t>
      </w:r>
      <w:r w:rsidRPr="00B51C5C">
        <w:rPr>
          <w:rFonts w:ascii="Verdana" w:hAnsi="Verdana" w:cs="Arial"/>
          <w:color w:val="000000"/>
          <w:sz w:val="18"/>
          <w:szCs w:val="18"/>
          <w:lang w:val="es-CO"/>
        </w:rPr>
        <w:t xml:space="preserve"> </w:t>
      </w:r>
    </w:p>
  </w:footnote>
  <w:footnote w:id="9">
    <w:p w14:paraId="45968C1B" w14:textId="77777777" w:rsidR="005E0F58" w:rsidRPr="00B51C5C" w:rsidRDefault="005E0F58" w:rsidP="005E0F58">
      <w:pPr>
        <w:pStyle w:val="Textonotapie"/>
        <w:ind w:firstLine="708"/>
        <w:jc w:val="both"/>
        <w:rPr>
          <w:rFonts w:ascii="Verdana" w:hAnsi="Verdana" w:cs="Arial"/>
          <w:color w:val="000000"/>
          <w:sz w:val="18"/>
          <w:szCs w:val="18"/>
        </w:rPr>
      </w:pPr>
    </w:p>
    <w:p w14:paraId="3B89BC67" w14:textId="77777777" w:rsidR="005E0F58" w:rsidRPr="00B51C5C" w:rsidRDefault="005E0F58" w:rsidP="005E0F58">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“Artículo 2.2.1.1.2.1.3. Pliegos de condiciones. Los pliegos de condiciones deben contener por lo menos la siguiente información: </w:t>
      </w:r>
    </w:p>
    <w:p w14:paraId="2E0D9808" w14:textId="77777777" w:rsidR="005E0F58" w:rsidRPr="00B51C5C" w:rsidRDefault="005E0F58" w:rsidP="005E0F58">
      <w:pPr>
        <w:pStyle w:val="Textonotapie"/>
        <w:ind w:firstLine="708"/>
        <w:jc w:val="both"/>
        <w:rPr>
          <w:rFonts w:ascii="Verdana" w:hAnsi="Verdana" w:cs="Arial"/>
          <w:color w:val="000000"/>
          <w:sz w:val="18"/>
          <w:szCs w:val="18"/>
        </w:rPr>
      </w:pPr>
      <w:r w:rsidRPr="00B51C5C">
        <w:rPr>
          <w:rFonts w:ascii="Verdana" w:hAnsi="Verdana" w:cs="Arial"/>
          <w:color w:val="000000"/>
          <w:sz w:val="18"/>
          <w:szCs w:val="18"/>
        </w:rPr>
        <w:t>[…]</w:t>
      </w:r>
    </w:p>
    <w:p w14:paraId="5A8E31DD" w14:textId="77777777" w:rsidR="005E0F58" w:rsidRPr="00B51C5C" w:rsidRDefault="005E0F58" w:rsidP="005E0F58">
      <w:pPr>
        <w:pStyle w:val="Textonotapie"/>
        <w:ind w:firstLine="708"/>
        <w:jc w:val="both"/>
        <w:rPr>
          <w:rFonts w:ascii="Verdana" w:hAnsi="Verdana" w:cs="Arial"/>
          <w:color w:val="000000"/>
          <w:sz w:val="18"/>
          <w:szCs w:val="18"/>
        </w:rPr>
      </w:pPr>
      <w:r w:rsidRPr="00B51C5C">
        <w:rPr>
          <w:rFonts w:ascii="Verdana" w:hAnsi="Verdana" w:cs="Arial"/>
          <w:color w:val="000000"/>
          <w:sz w:val="18"/>
          <w:szCs w:val="18"/>
        </w:rPr>
        <w:t xml:space="preserve">5. Las reglas aplicables a la presentación de las ofertas, su evaluación y a la adjudicación del contrato. </w:t>
      </w:r>
    </w:p>
    <w:p w14:paraId="1C1BC5A7" w14:textId="77777777" w:rsidR="005E0F58" w:rsidRPr="00B51C5C" w:rsidRDefault="005E0F58" w:rsidP="005E0F58">
      <w:pPr>
        <w:pStyle w:val="Textonotapie"/>
        <w:ind w:firstLine="708"/>
        <w:jc w:val="both"/>
        <w:rPr>
          <w:rFonts w:ascii="Verdana" w:hAnsi="Verdana" w:cs="Arial"/>
          <w:color w:val="000000"/>
          <w:sz w:val="18"/>
          <w:szCs w:val="18"/>
        </w:rPr>
      </w:pPr>
      <w:r w:rsidRPr="00B51C5C">
        <w:rPr>
          <w:rFonts w:ascii="Verdana" w:hAnsi="Verdana" w:cs="Arial"/>
          <w:color w:val="000000"/>
          <w:sz w:val="18"/>
          <w:szCs w:val="18"/>
        </w:rPr>
        <w:t>[…]</w:t>
      </w:r>
    </w:p>
    <w:p w14:paraId="707A4D64" w14:textId="77777777" w:rsidR="005E0F58" w:rsidRPr="00B51C5C" w:rsidRDefault="005E0F58" w:rsidP="005E0F58">
      <w:pPr>
        <w:pStyle w:val="Textonotapie"/>
        <w:ind w:firstLine="708"/>
        <w:jc w:val="both"/>
        <w:rPr>
          <w:rFonts w:ascii="Verdana" w:hAnsi="Verdana" w:cs="Arial"/>
          <w:color w:val="000000"/>
          <w:sz w:val="18"/>
          <w:szCs w:val="18"/>
        </w:rPr>
      </w:pPr>
      <w:r w:rsidRPr="00B51C5C">
        <w:rPr>
          <w:rFonts w:ascii="Verdana" w:hAnsi="Verdana" w:cs="Arial"/>
          <w:color w:val="000000"/>
          <w:sz w:val="18"/>
          <w:szCs w:val="18"/>
        </w:rPr>
        <w:t>14. El Cronograma”.</w:t>
      </w:r>
    </w:p>
    <w:p w14:paraId="1EF7D83C" w14:textId="77777777" w:rsidR="005E0F58" w:rsidRPr="00B51C5C" w:rsidRDefault="005E0F58" w:rsidP="005E0F58">
      <w:pPr>
        <w:pStyle w:val="Textonotapie"/>
        <w:ind w:firstLine="708"/>
        <w:jc w:val="both"/>
        <w:rPr>
          <w:rFonts w:ascii="Verdana" w:hAnsi="Verdana" w:cs="Arial"/>
          <w:color w:val="000000"/>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2DE"/>
    <w:rsid w:val="00016F78"/>
    <w:rsid w:val="00046945"/>
    <w:rsid w:val="00061B2A"/>
    <w:rsid w:val="00082362"/>
    <w:rsid w:val="000A683E"/>
    <w:rsid w:val="000B19B9"/>
    <w:rsid w:val="000D0334"/>
    <w:rsid w:val="000F6486"/>
    <w:rsid w:val="00101AD0"/>
    <w:rsid w:val="00125105"/>
    <w:rsid w:val="00127233"/>
    <w:rsid w:val="001E4177"/>
    <w:rsid w:val="001F7DC6"/>
    <w:rsid w:val="002421BB"/>
    <w:rsid w:val="0025796E"/>
    <w:rsid w:val="002707A2"/>
    <w:rsid w:val="002951A0"/>
    <w:rsid w:val="002962BC"/>
    <w:rsid w:val="002A093D"/>
    <w:rsid w:val="002A0DD0"/>
    <w:rsid w:val="002A49AC"/>
    <w:rsid w:val="002A64FD"/>
    <w:rsid w:val="002B16CE"/>
    <w:rsid w:val="002C7A84"/>
    <w:rsid w:val="002E4FD9"/>
    <w:rsid w:val="00322A85"/>
    <w:rsid w:val="00324168"/>
    <w:rsid w:val="003448F4"/>
    <w:rsid w:val="00364E89"/>
    <w:rsid w:val="00374F5E"/>
    <w:rsid w:val="00377E3E"/>
    <w:rsid w:val="003A779E"/>
    <w:rsid w:val="003D0F4D"/>
    <w:rsid w:val="003D5B0D"/>
    <w:rsid w:val="003E0499"/>
    <w:rsid w:val="003F3941"/>
    <w:rsid w:val="00406575"/>
    <w:rsid w:val="00414C74"/>
    <w:rsid w:val="004225C6"/>
    <w:rsid w:val="0042722E"/>
    <w:rsid w:val="0044528D"/>
    <w:rsid w:val="004A1847"/>
    <w:rsid w:val="004A305D"/>
    <w:rsid w:val="004E57DC"/>
    <w:rsid w:val="004F21C4"/>
    <w:rsid w:val="004F685F"/>
    <w:rsid w:val="005566E8"/>
    <w:rsid w:val="00574867"/>
    <w:rsid w:val="00591460"/>
    <w:rsid w:val="005C3777"/>
    <w:rsid w:val="005C5CDC"/>
    <w:rsid w:val="005D476C"/>
    <w:rsid w:val="005E0F58"/>
    <w:rsid w:val="006219F8"/>
    <w:rsid w:val="006302F7"/>
    <w:rsid w:val="00665D70"/>
    <w:rsid w:val="006900D9"/>
    <w:rsid w:val="006A760C"/>
    <w:rsid w:val="00706C16"/>
    <w:rsid w:val="00756841"/>
    <w:rsid w:val="007649AB"/>
    <w:rsid w:val="00771D0C"/>
    <w:rsid w:val="007833AC"/>
    <w:rsid w:val="007A7538"/>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20E5"/>
    <w:rsid w:val="00BC3D36"/>
    <w:rsid w:val="00BD7F72"/>
    <w:rsid w:val="00BE1B09"/>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305"/>
    <w:rsid w:val="00E92C27"/>
    <w:rsid w:val="00EA0E3D"/>
    <w:rsid w:val="00EC38A7"/>
    <w:rsid w:val="00EE1AA8"/>
    <w:rsid w:val="00F31EDC"/>
    <w:rsid w:val="00F462B3"/>
    <w:rsid w:val="00F5664F"/>
    <w:rsid w:val="00F666C4"/>
    <w:rsid w:val="00F76AFC"/>
    <w:rsid w:val="00FA47C0"/>
    <w:rsid w:val="00FB5DD1"/>
    <w:rsid w:val="00FC2B5D"/>
    <w:rsid w:val="00FC6123"/>
    <w:rsid w:val="00FF1449"/>
    <w:rsid w:val="091F2FB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0F5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30293A-AF64-4DB6-B943-2FAF643FB17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11</Pages>
  <Words>3341</Words>
  <Characters>18378</Characters>
  <Application>Microsoft Office Word</Application>
  <DocSecurity>0</DocSecurity>
  <Lines>153</Lines>
  <Paragraphs>43</Paragraphs>
  <ScaleCrop>false</ScaleCrop>
  <Company/>
  <LinksUpToDate>false</LinksUpToDate>
  <CharactersWithSpaces>21676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2025-10-01T17:00:00Z</dcterms:created>
  <dcterms:modified xsi:type="dcterms:W3CDTF">2025-10-01T17:03:00Z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