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9161DC" w14:textId="08ED2036" w:rsidR="00A61F44" w:rsidRPr="00A61F44" w:rsidRDefault="00756DEC" w:rsidP="00A61F44">
      <w:pPr>
        <w:snapToGrid w:val="0"/>
        <w:spacing w:after="0" w:line="240" w:lineRule="auto"/>
        <w:contextualSpacing/>
        <w:jc w:val="both"/>
        <w:textAlignment w:val="baseline"/>
        <w:rPr>
          <w:rFonts w:ascii="Verdana" w:eastAsia="Times New Roman" w:hAnsi="Verdana" w:cs="Arial"/>
          <w:b/>
          <w:bCs/>
          <w:lang w:eastAsia="es-ES_tradnl"/>
        </w:rPr>
      </w:pPr>
      <w:bookmarkStart w:id="0" w:name="_Hlk143780582"/>
      <w:r w:rsidRPr="00A61F44">
        <w:rPr>
          <w:rFonts w:ascii="Verdana" w:eastAsia="Times New Roman" w:hAnsi="Verdana" w:cs="Arial"/>
          <w:b/>
          <w:bCs/>
          <w:lang w:eastAsia="es-ES_tradnl"/>
        </w:rPr>
        <w:t>ESTUDIOS PREVIOS –</w:t>
      </w:r>
      <w:r w:rsidR="00A61F44" w:rsidRPr="00A61F44">
        <w:rPr>
          <w:rFonts w:ascii="Verdana" w:eastAsia="Times New Roman" w:hAnsi="Verdana" w:cs="Arial"/>
          <w:b/>
          <w:bCs/>
          <w:lang w:eastAsia="es-ES_tradnl"/>
        </w:rPr>
        <w:t xml:space="preserve"> </w:t>
      </w:r>
      <w:r w:rsidRPr="00A61F44">
        <w:rPr>
          <w:rFonts w:ascii="Verdana" w:eastAsia="Times New Roman" w:hAnsi="Verdana" w:cs="Arial"/>
          <w:b/>
          <w:bCs/>
          <w:lang w:eastAsia="es-ES_tradnl"/>
        </w:rPr>
        <w:t>Planeación en los procesos de contratación pública</w:t>
      </w:r>
    </w:p>
    <w:p w14:paraId="7D4BA9D5" w14:textId="77777777" w:rsidR="00A61F44" w:rsidRPr="00A61F44" w:rsidRDefault="00A61F44" w:rsidP="00A61F44">
      <w:pPr>
        <w:snapToGrid w:val="0"/>
        <w:spacing w:after="0" w:line="240" w:lineRule="auto"/>
        <w:contextualSpacing/>
        <w:jc w:val="both"/>
        <w:textAlignment w:val="baseline"/>
        <w:rPr>
          <w:rFonts w:ascii="Verdana" w:eastAsia="Times New Roman" w:hAnsi="Verdana" w:cs="Arial"/>
          <w:b/>
          <w:bCs/>
          <w:sz w:val="20"/>
          <w:szCs w:val="20"/>
          <w:lang w:eastAsia="es-ES_tradnl"/>
        </w:rPr>
      </w:pPr>
    </w:p>
    <w:p w14:paraId="3CE901C1" w14:textId="51F51949" w:rsidR="00A61F44" w:rsidRPr="00A61F44" w:rsidRDefault="00A61F44" w:rsidP="00A61F44">
      <w:pPr>
        <w:snapToGrid w:val="0"/>
        <w:spacing w:after="0" w:line="240" w:lineRule="auto"/>
        <w:contextualSpacing/>
        <w:jc w:val="both"/>
        <w:rPr>
          <w:rFonts w:ascii="Verdana" w:eastAsia="Times New Roman" w:hAnsi="Verdana" w:cs="Arial"/>
          <w:b/>
          <w:bCs/>
          <w:sz w:val="20"/>
          <w:szCs w:val="20"/>
          <w:lang w:eastAsia="es-ES_tradnl"/>
        </w:rPr>
      </w:pPr>
      <w:r w:rsidRPr="00A61F44">
        <w:rPr>
          <w:rFonts w:ascii="Verdana" w:eastAsia="Calibri" w:hAnsi="Verdana" w:cs="Arial"/>
          <w:bCs/>
          <w:sz w:val="20"/>
          <w:szCs w:val="20"/>
          <w:lang w:val="es-MX" w:eastAsia="es-ES_tradnl"/>
        </w:rPr>
        <w:t>El Estatuto General de Contratación de la Administración Pública –en adelante EGCAP– contiene disposiciones que exigen a las Entidades Estatales el deber de realizar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w:t>
      </w:r>
    </w:p>
    <w:p w14:paraId="3BA546F3" w14:textId="77777777" w:rsidR="00D9709A" w:rsidRPr="00A61F44" w:rsidRDefault="00D9709A" w:rsidP="00A61F44">
      <w:pPr>
        <w:snapToGrid w:val="0"/>
        <w:spacing w:after="0" w:line="240" w:lineRule="auto"/>
        <w:contextualSpacing/>
        <w:jc w:val="both"/>
        <w:textAlignment w:val="baseline"/>
        <w:rPr>
          <w:rFonts w:ascii="Verdana" w:eastAsia="Times New Roman" w:hAnsi="Verdana" w:cs="Arial"/>
          <w:b/>
          <w:bCs/>
          <w:sz w:val="20"/>
          <w:szCs w:val="20"/>
          <w:lang w:eastAsia="es-ES_tradnl"/>
        </w:rPr>
      </w:pPr>
    </w:p>
    <w:p w14:paraId="5D4FCFA8" w14:textId="0C9267D7" w:rsidR="00756DEC" w:rsidRPr="00A61F44" w:rsidRDefault="00756DEC" w:rsidP="00A61F44">
      <w:pPr>
        <w:snapToGrid w:val="0"/>
        <w:spacing w:after="0" w:line="240" w:lineRule="auto"/>
        <w:contextualSpacing/>
        <w:jc w:val="both"/>
        <w:textAlignment w:val="baseline"/>
        <w:rPr>
          <w:rFonts w:ascii="Verdana" w:eastAsia="Times New Roman" w:hAnsi="Verdana" w:cs="Arial"/>
          <w:b/>
          <w:bCs/>
          <w:lang w:eastAsia="es-ES_tradnl"/>
        </w:rPr>
      </w:pPr>
      <w:r w:rsidRPr="00A61F44">
        <w:rPr>
          <w:rFonts w:ascii="Verdana" w:eastAsia="Times New Roman" w:hAnsi="Verdana" w:cs="Arial"/>
          <w:b/>
          <w:bCs/>
          <w:lang w:eastAsia="es-ES_tradnl"/>
        </w:rPr>
        <w:t xml:space="preserve">ESTUDIOS PREVIOS – Estudio del </w:t>
      </w:r>
      <w:r w:rsidR="00A61F44" w:rsidRPr="00A61F44">
        <w:rPr>
          <w:rFonts w:ascii="Verdana" w:eastAsia="Times New Roman" w:hAnsi="Verdana" w:cs="Arial"/>
          <w:b/>
          <w:bCs/>
          <w:lang w:eastAsia="es-ES_tradnl"/>
        </w:rPr>
        <w:t>sector</w:t>
      </w:r>
    </w:p>
    <w:p w14:paraId="6A7A8FE6" w14:textId="77777777" w:rsidR="00A61F44" w:rsidRPr="00A61F44" w:rsidRDefault="00A61F44" w:rsidP="00A61F44">
      <w:pPr>
        <w:snapToGrid w:val="0"/>
        <w:spacing w:after="0" w:line="240" w:lineRule="auto"/>
        <w:contextualSpacing/>
        <w:jc w:val="both"/>
        <w:textAlignment w:val="baseline"/>
        <w:rPr>
          <w:rFonts w:ascii="Verdana" w:eastAsia="Times New Roman" w:hAnsi="Verdana" w:cs="Arial"/>
          <w:b/>
          <w:bCs/>
          <w:sz w:val="20"/>
          <w:szCs w:val="20"/>
          <w:lang w:eastAsia="es-ES_tradnl"/>
        </w:rPr>
      </w:pPr>
    </w:p>
    <w:p w14:paraId="1B084060" w14:textId="3F72296C" w:rsidR="00A61F44" w:rsidRPr="00A61F44" w:rsidRDefault="00A61F44" w:rsidP="00A61F44">
      <w:pPr>
        <w:snapToGrid w:val="0"/>
        <w:spacing w:after="0" w:line="240" w:lineRule="auto"/>
        <w:contextualSpacing/>
        <w:jc w:val="both"/>
        <w:rPr>
          <w:rFonts w:ascii="Verdana" w:eastAsia="Calibri" w:hAnsi="Verdana" w:cs="Arial"/>
          <w:sz w:val="20"/>
          <w:szCs w:val="20"/>
          <w:lang w:eastAsia="es-MX"/>
        </w:rPr>
      </w:pPr>
      <w:r w:rsidRPr="00A61F44">
        <w:rPr>
          <w:rFonts w:ascii="Verdana" w:hAnsi="Verdana" w:cs="Arial"/>
          <w:sz w:val="20"/>
          <w:szCs w:val="20"/>
        </w:rPr>
        <w:t xml:space="preserve">Por otra parte, los numerales 2 y 4 del artículo 2.2.1.1.2.1.1 del Decreto 1082 de 2015 exigen que en los estudios previos se determine el objeto a contratar con sus especificaciones, y se señale el valor estimado del contrato y la justificación </w:t>
      </w:r>
      <w:proofErr w:type="gramStart"/>
      <w:r w:rsidRPr="00A61F44">
        <w:rPr>
          <w:rFonts w:ascii="Verdana" w:hAnsi="Verdana" w:cs="Arial"/>
          <w:sz w:val="20"/>
          <w:szCs w:val="20"/>
        </w:rPr>
        <w:t>del mismo</w:t>
      </w:r>
      <w:proofErr w:type="gramEnd"/>
      <w:r w:rsidRPr="00A61F44">
        <w:rPr>
          <w:rFonts w:ascii="Verdana" w:hAnsi="Verdana" w:cs="Arial"/>
          <w:sz w:val="20"/>
          <w:szCs w:val="20"/>
        </w:rPr>
        <w:t xml:space="preserve">. </w:t>
      </w:r>
      <w:r w:rsidRPr="00A61F44">
        <w:rPr>
          <w:rFonts w:ascii="Verdana" w:eastAsia="Calibri" w:hAnsi="Verdana" w:cs="Arial"/>
          <w:bCs/>
          <w:sz w:val="20"/>
          <w:szCs w:val="20"/>
          <w:lang w:val="es-ES_tradnl"/>
        </w:rPr>
        <w:t xml:space="preserve">Para cumplir este objetivo es necesario el análisis del sector económico y de los oferentes, actividad de planeación previa que sirve para identificar aspectos concretos del mercado que pueden afectar el proceso de selección o las condiciones del negocio a realizar mediante el proceso de contratación de bienes, obras o servicios. </w:t>
      </w:r>
      <w:r w:rsidRPr="00A61F44">
        <w:rPr>
          <w:rFonts w:ascii="Verdana" w:eastAsia="Calibri" w:hAnsi="Verdana" w:cs="Arial"/>
          <w:sz w:val="20"/>
          <w:szCs w:val="20"/>
          <w:lang w:eastAsia="es-MX"/>
        </w:rPr>
        <w:t xml:space="preserve"> </w:t>
      </w:r>
    </w:p>
    <w:p w14:paraId="4493B036" w14:textId="1295E1E8" w:rsidR="00A61F44" w:rsidRPr="00A61F44" w:rsidRDefault="00A61F44" w:rsidP="00A61F44">
      <w:pPr>
        <w:snapToGrid w:val="0"/>
        <w:spacing w:after="0" w:line="240" w:lineRule="auto"/>
        <w:contextualSpacing/>
        <w:jc w:val="both"/>
        <w:rPr>
          <w:rFonts w:ascii="Verdana" w:eastAsia="Calibri" w:hAnsi="Verdana" w:cs="Arial"/>
          <w:bCs/>
          <w:sz w:val="20"/>
          <w:szCs w:val="20"/>
          <w:lang w:val="es-ES_tradnl"/>
        </w:rPr>
      </w:pPr>
      <w:r w:rsidRPr="00A61F44">
        <w:rPr>
          <w:rFonts w:ascii="Verdana" w:eastAsia="Calibri" w:hAnsi="Verdana" w:cs="Arial"/>
          <w:bCs/>
          <w:sz w:val="20"/>
          <w:szCs w:val="20"/>
          <w:lang w:val="es-ES_tradnl"/>
        </w:rPr>
        <w:t>En este sentido, el artículo 2.2.1.1.1.6.1 del Decreto 1082 de 2015 dispone que “La Entidad Estatal debe hacer, durante la etapa de planeación, el análisis necesario para conocer el sector relativo al objeto del Proceso de Contratación desde la perspectiva legal, comercial, financiera, organizacional, técnica, y de análisis de Riesgo. La Entidad Estatal debe dejar constancia de este análisis en los Documentos del Proceso”.</w:t>
      </w:r>
    </w:p>
    <w:p w14:paraId="4C0ADB3A" w14:textId="70DBCDD3" w:rsidR="00A61F44" w:rsidRPr="00A61F44" w:rsidRDefault="00A61F44" w:rsidP="00A61F44">
      <w:pPr>
        <w:snapToGrid w:val="0"/>
        <w:spacing w:after="0" w:line="240" w:lineRule="auto"/>
        <w:contextualSpacing/>
        <w:jc w:val="both"/>
        <w:textAlignment w:val="baseline"/>
        <w:rPr>
          <w:rFonts w:ascii="Verdana" w:eastAsia="Times New Roman" w:hAnsi="Verdana" w:cs="Arial"/>
          <w:b/>
          <w:bCs/>
          <w:sz w:val="20"/>
          <w:szCs w:val="20"/>
          <w:lang w:eastAsia="es-ES_tradnl"/>
        </w:rPr>
      </w:pPr>
      <w:r w:rsidRPr="00A61F44">
        <w:rPr>
          <w:rFonts w:ascii="Verdana" w:eastAsia="Calibri" w:hAnsi="Verdana" w:cs="Arial"/>
          <w:sz w:val="20"/>
          <w:szCs w:val="20"/>
          <w:lang w:eastAsia="es-MX"/>
        </w:rPr>
        <w:t>De acuerdo con la norma señalada, la entidad debe realizar el análisis necesario para conocer el sector relativo al objeto del Proceso de Contratación, sin que sea relevante la modalidad de selección.</w:t>
      </w:r>
    </w:p>
    <w:p w14:paraId="7DDFABA8" w14:textId="35213DB3" w:rsidR="004B22C8" w:rsidRPr="00A61F44" w:rsidRDefault="00756DEC" w:rsidP="00A61F44">
      <w:pPr>
        <w:snapToGrid w:val="0"/>
        <w:spacing w:after="0" w:line="240" w:lineRule="auto"/>
        <w:contextualSpacing/>
        <w:jc w:val="both"/>
        <w:textAlignment w:val="baseline"/>
        <w:rPr>
          <w:rFonts w:ascii="Verdana" w:eastAsia="Calibri" w:hAnsi="Verdana" w:cs="Arial"/>
          <w:b/>
          <w:bCs/>
          <w:sz w:val="20"/>
          <w:szCs w:val="20"/>
          <w:lang w:val="es-ES" w:eastAsia="es-ES"/>
        </w:rPr>
      </w:pPr>
      <w:r w:rsidRPr="00A61F44">
        <w:rPr>
          <w:rFonts w:ascii="Verdana" w:eastAsia="Calibri" w:hAnsi="Verdana" w:cs="Arial"/>
          <w:b/>
          <w:bCs/>
          <w:sz w:val="20"/>
          <w:szCs w:val="20"/>
          <w:lang w:val="es-ES" w:eastAsia="es-ES"/>
        </w:rPr>
        <w:t xml:space="preserve"> </w:t>
      </w:r>
    </w:p>
    <w:p w14:paraId="529133C4" w14:textId="23BD1223" w:rsidR="004B22C8" w:rsidRPr="00A61F44" w:rsidRDefault="004B22C8" w:rsidP="00A61F44">
      <w:pPr>
        <w:snapToGrid w:val="0"/>
        <w:spacing w:after="0" w:line="240" w:lineRule="auto"/>
        <w:contextualSpacing/>
        <w:jc w:val="both"/>
        <w:textAlignment w:val="baseline"/>
        <w:rPr>
          <w:rFonts w:ascii="Verdana" w:eastAsia="Times New Roman" w:hAnsi="Verdana" w:cs="Arial"/>
          <w:b/>
          <w:bCs/>
          <w:lang w:eastAsia="es-ES_tradnl"/>
        </w:rPr>
      </w:pPr>
      <w:r w:rsidRPr="00A61F44">
        <w:rPr>
          <w:rFonts w:ascii="Verdana" w:eastAsia="Calibri" w:hAnsi="Verdana" w:cs="Arial"/>
          <w:b/>
          <w:bCs/>
          <w:lang w:val="es-ES" w:eastAsia="es-ES"/>
        </w:rPr>
        <w:t>ESTUDIOS DE MERCADO – Mecanismos – Cotizaciones – Precios históricos</w:t>
      </w:r>
    </w:p>
    <w:p w14:paraId="2BA420F5" w14:textId="77777777" w:rsidR="004B22C8" w:rsidRPr="00A61F44" w:rsidRDefault="004B22C8" w:rsidP="00A61F44">
      <w:pPr>
        <w:snapToGrid w:val="0"/>
        <w:spacing w:after="0" w:line="240" w:lineRule="auto"/>
        <w:contextualSpacing/>
        <w:jc w:val="both"/>
        <w:textAlignment w:val="baseline"/>
        <w:rPr>
          <w:rFonts w:ascii="Verdana" w:eastAsia="Times New Roman" w:hAnsi="Verdana" w:cs="Arial"/>
          <w:b/>
          <w:bCs/>
          <w:sz w:val="20"/>
          <w:szCs w:val="20"/>
          <w:lang w:eastAsia="es-ES_tradnl"/>
        </w:rPr>
      </w:pPr>
    </w:p>
    <w:p w14:paraId="74AD2435" w14:textId="647A0970" w:rsidR="00A61F44" w:rsidRPr="00A61F44" w:rsidRDefault="00A61F44" w:rsidP="00A61F44">
      <w:pPr>
        <w:snapToGrid w:val="0"/>
        <w:spacing w:after="0" w:line="240" w:lineRule="auto"/>
        <w:contextualSpacing/>
        <w:jc w:val="both"/>
        <w:rPr>
          <w:rFonts w:ascii="Verdana" w:hAnsi="Verdana" w:cs="Arial"/>
          <w:sz w:val="20"/>
          <w:szCs w:val="20"/>
        </w:rPr>
      </w:pPr>
      <w:r w:rsidRPr="00A61F44">
        <w:rPr>
          <w:rFonts w:ascii="Verdana" w:hAnsi="Verdana" w:cs="Arial"/>
          <w:sz w:val="20"/>
          <w:szCs w:val="20"/>
        </w:rPr>
        <w:t xml:space="preserve">[…] es importante advertir que no es posible plantear una relación jerárquica entre ambos mecanismos, pues su aplicación y análisis dependerá de la autonomía y responsabilidad del estructurador del proceso, así como de las características del objeto a contratar. De esta forma, existe una relación complementaria entre la revisión de </w:t>
      </w:r>
      <w:proofErr w:type="gramStart"/>
      <w:r w:rsidRPr="00A61F44">
        <w:rPr>
          <w:rFonts w:ascii="Verdana" w:hAnsi="Verdana" w:cs="Arial"/>
          <w:sz w:val="20"/>
          <w:szCs w:val="20"/>
        </w:rPr>
        <w:t>las cotización</w:t>
      </w:r>
      <w:proofErr w:type="gramEnd"/>
      <w:r w:rsidRPr="00A61F44">
        <w:rPr>
          <w:rFonts w:ascii="Verdana" w:hAnsi="Verdana" w:cs="Arial"/>
          <w:sz w:val="20"/>
          <w:szCs w:val="20"/>
        </w:rPr>
        <w:t xml:space="preserve"> y el análisis de los precios históricos pues la implementación de ambos puede otorgar herramientas más completas para que la entidad determine el presupuesto oficial. Por ejemplo, la entidad puede adelantar un sondeo del mercado, incorporando los precios históricos en un ejercicio de indexación para establecer el precio con mayor precisión. Por otra parte, puede que el sondeo de mercado genere una realidad que no sea acorde con los precios que históricamente ha pagado la entidad, o que la revisión de precios históricos determine valores inferiores frente a lo que exige el mercado al momento de estructurar el proceso; en ambos supuestos, la utilización de estos mecanismos de forma complementaria permitirá que la entidad tenga una perspectiva más completa del mercado y le indicará si es necesario que requiera aclaraciones o precisiones adicionales. </w:t>
      </w:r>
    </w:p>
    <w:p w14:paraId="53486309" w14:textId="717759D8" w:rsidR="00F14B8B" w:rsidRPr="00FB3BB7" w:rsidRDefault="00F14B8B" w:rsidP="00F14B8B">
      <w:pPr>
        <w:spacing w:after="0"/>
        <w:rPr>
          <w:rFonts w:ascii="Verdana" w:hAnsi="Verdana"/>
        </w:rPr>
      </w:pPr>
      <w:r w:rsidRPr="00FB3BB7">
        <w:rPr>
          <w:rFonts w:ascii="Verdana" w:hAnsi="Verdana"/>
          <w:lang w:val="es-ES"/>
        </w:rPr>
        <w:lastRenderedPageBreak/>
        <w:t>Bogotá D.C.,</w:t>
      </w:r>
      <w:r w:rsidR="00793341">
        <w:rPr>
          <w:rFonts w:ascii="Verdana" w:hAnsi="Verdana"/>
          <w:lang w:val="es-ES"/>
        </w:rPr>
        <w:t xml:space="preserve">01 </w:t>
      </w:r>
      <w:proofErr w:type="gramStart"/>
      <w:r w:rsidR="00793341">
        <w:rPr>
          <w:rFonts w:ascii="Verdana" w:hAnsi="Verdana"/>
          <w:lang w:val="es-ES"/>
        </w:rPr>
        <w:t>Octubre</w:t>
      </w:r>
      <w:proofErr w:type="gramEnd"/>
      <w:r w:rsidR="00793341">
        <w:rPr>
          <w:rFonts w:ascii="Verdana" w:hAnsi="Verdana"/>
          <w:lang w:val="es-ES"/>
        </w:rPr>
        <w:t xml:space="preserve"> 2025</w:t>
      </w:r>
      <w:r w:rsidRPr="00FB3BB7">
        <w:rPr>
          <w:rFonts w:ascii="Verdana" w:hAnsi="Verdana"/>
        </w:rPr>
        <w:tab/>
      </w:r>
    </w:p>
    <w:p w14:paraId="1B0C21B8" w14:textId="77777777" w:rsidR="00F14B8B" w:rsidRPr="00FB3BB7" w:rsidRDefault="00F14B8B" w:rsidP="00F14B8B">
      <w:pPr>
        <w:spacing w:after="0"/>
        <w:rPr>
          <w:rFonts w:ascii="Verdana" w:hAnsi="Verdana"/>
        </w:rPr>
      </w:pPr>
    </w:p>
    <w:p w14:paraId="3B765454" w14:textId="22B32E2F" w:rsidR="00F14B8B" w:rsidRPr="00FB3BB7" w:rsidRDefault="006B7771" w:rsidP="00F14B8B">
      <w:pPr>
        <w:spacing w:after="0" w:line="240" w:lineRule="auto"/>
        <w:jc w:val="both"/>
        <w:rPr>
          <w:rFonts w:ascii="Verdana" w:eastAsia="Calibri" w:hAnsi="Verdana" w:cs="Arial"/>
          <w:color w:val="000000" w:themeColor="text1"/>
          <w:lang w:val="es-ES" w:eastAsia="es-ES"/>
        </w:rPr>
      </w:pPr>
      <w:r>
        <w:rPr>
          <w:rFonts w:ascii="Verdana" w:eastAsia="Calibri" w:hAnsi="Verdana" w:cs="Arial"/>
          <w:noProof/>
          <w:color w:val="000000" w:themeColor="text1"/>
          <w:lang w:val="es-ES" w:eastAsia="es-ES"/>
        </w:rPr>
        <w:drawing>
          <wp:anchor distT="0" distB="0" distL="114300" distR="114300" simplePos="0" relativeHeight="251659264" behindDoc="0" locked="0" layoutInCell="1" allowOverlap="1" wp14:anchorId="2699A990" wp14:editId="560C480B">
            <wp:simplePos x="0" y="0"/>
            <wp:positionH relativeFrom="column">
              <wp:posOffset>3418349</wp:posOffset>
            </wp:positionH>
            <wp:positionV relativeFrom="page">
              <wp:posOffset>1694180</wp:posOffset>
            </wp:positionV>
            <wp:extent cx="2073910" cy="560070"/>
            <wp:effectExtent l="0" t="0" r="0" b="0"/>
            <wp:wrapSquare wrapText="bothSides"/>
            <wp:docPr id="16097626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762674" name="Picture 160976267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73910" cy="560070"/>
                    </a:xfrm>
                    <a:prstGeom prst="rect">
                      <a:avLst/>
                    </a:prstGeom>
                  </pic:spPr>
                </pic:pic>
              </a:graphicData>
            </a:graphic>
            <wp14:sizeRelH relativeFrom="page">
              <wp14:pctWidth>0</wp14:pctWidth>
            </wp14:sizeRelH>
            <wp14:sizeRelV relativeFrom="page">
              <wp14:pctHeight>0</wp14:pctHeight>
            </wp14:sizeRelV>
          </wp:anchor>
        </w:drawing>
      </w:r>
      <w:r w:rsidR="00F14B8B" w:rsidRPr="00FB3BB7">
        <w:rPr>
          <w:rFonts w:ascii="Verdana" w:eastAsia="Calibri" w:hAnsi="Verdana" w:cs="Arial"/>
          <w:color w:val="000000" w:themeColor="text1"/>
          <w:lang w:val="es-ES" w:eastAsia="es-ES"/>
        </w:rPr>
        <w:t>Señor</w:t>
      </w:r>
    </w:p>
    <w:p w14:paraId="458DF51B" w14:textId="7228CFA7" w:rsidR="00F14B8B" w:rsidRPr="00257F79" w:rsidRDefault="00F14B8B" w:rsidP="00F14B8B">
      <w:pPr>
        <w:spacing w:after="0" w:line="240" w:lineRule="auto"/>
        <w:rPr>
          <w:rFonts w:ascii="Verdana" w:eastAsia="Calibri" w:hAnsi="Verdana" w:cs="Arial"/>
          <w:b/>
          <w:color w:val="000000" w:themeColor="text1"/>
          <w:lang w:eastAsia="es-ES_tradnl"/>
        </w:rPr>
      </w:pPr>
      <w:r w:rsidRPr="00257F79">
        <w:rPr>
          <w:rFonts w:ascii="Verdana" w:eastAsia="Calibri" w:hAnsi="Verdana" w:cs="Arial"/>
          <w:b/>
          <w:color w:val="000000" w:themeColor="text1"/>
          <w:lang w:eastAsia="es-ES_tradnl"/>
        </w:rPr>
        <w:t xml:space="preserve">Luis Esteban Reyes Arias </w:t>
      </w:r>
    </w:p>
    <w:p w14:paraId="7200D76F" w14:textId="77777777" w:rsidR="00F14B8B" w:rsidRPr="00257F79" w:rsidRDefault="00F14B8B" w:rsidP="00F14B8B">
      <w:pPr>
        <w:spacing w:after="0" w:line="240" w:lineRule="auto"/>
        <w:rPr>
          <w:rFonts w:ascii="Verdana" w:eastAsia="Calibri" w:hAnsi="Verdana" w:cs="Arial"/>
          <w:color w:val="000000" w:themeColor="text1"/>
          <w:lang w:eastAsia="es-ES_tradnl"/>
        </w:rPr>
      </w:pPr>
      <w:r w:rsidRPr="00257F79">
        <w:rPr>
          <w:rFonts w:ascii="Verdana" w:eastAsia="Calibri" w:hAnsi="Verdana" w:cs="Arial"/>
          <w:color w:val="000000" w:themeColor="text1"/>
          <w:lang w:eastAsia="es-ES_tradnl"/>
        </w:rPr>
        <w:t xml:space="preserve">luisestebanreyesarias@gmail.com </w:t>
      </w:r>
    </w:p>
    <w:p w14:paraId="2555BA3B" w14:textId="77777777" w:rsidR="00F14B8B" w:rsidRPr="00FB3BB7" w:rsidRDefault="00F14B8B" w:rsidP="00F14B8B">
      <w:pPr>
        <w:spacing w:after="0" w:line="240" w:lineRule="auto"/>
        <w:rPr>
          <w:rFonts w:ascii="Verdana" w:eastAsia="Calibri" w:hAnsi="Verdana" w:cs="Arial"/>
          <w:b/>
          <w:bCs/>
          <w:color w:val="000000" w:themeColor="text1"/>
          <w:lang w:val="es-ES_tradnl" w:eastAsia="es-ES_tradnl"/>
        </w:rPr>
      </w:pPr>
      <w:r w:rsidRPr="00FB3BB7">
        <w:rPr>
          <w:rFonts w:ascii="Verdana" w:eastAsia="Calibri" w:hAnsi="Verdana" w:cs="Arial"/>
          <w:color w:val="000000" w:themeColor="text1"/>
          <w:lang w:val="es-ES" w:eastAsia="es-ES"/>
        </w:rPr>
        <w:t>Ciudad</w:t>
      </w:r>
    </w:p>
    <w:p w14:paraId="64D63B7A" w14:textId="77777777" w:rsidR="00F14B8B" w:rsidRPr="00FB3BB7" w:rsidRDefault="00F14B8B" w:rsidP="00F14B8B">
      <w:pPr>
        <w:spacing w:after="0" w:line="240" w:lineRule="auto"/>
        <w:rPr>
          <w:rFonts w:ascii="Verdana" w:eastAsia="Calibri" w:hAnsi="Verdana" w:cs="Arial"/>
          <w:b/>
          <w:bCs/>
          <w:color w:val="000000" w:themeColor="text1"/>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14B8B" w:rsidRPr="00FB3BB7" w14:paraId="12BAE679" w14:textId="77777777" w:rsidTr="00495FCD">
        <w:trPr>
          <w:trHeight w:val="304"/>
        </w:trPr>
        <w:tc>
          <w:tcPr>
            <w:tcW w:w="2689" w:type="dxa"/>
          </w:tcPr>
          <w:p w14:paraId="09B4B38E" w14:textId="77777777" w:rsidR="00F14B8B" w:rsidRPr="00FB3BB7" w:rsidRDefault="00F14B8B" w:rsidP="00495FCD">
            <w:pPr>
              <w:jc w:val="both"/>
              <w:rPr>
                <w:rFonts w:ascii="Verdana" w:eastAsia="Calibri" w:hAnsi="Verdana" w:cs="Arial"/>
                <w:b/>
                <w:bCs/>
                <w:color w:val="000000" w:themeColor="text1"/>
                <w:lang w:val="es-ES_tradnl" w:eastAsia="es-ES_tradnl"/>
              </w:rPr>
            </w:pPr>
          </w:p>
        </w:tc>
        <w:tc>
          <w:tcPr>
            <w:tcW w:w="6100" w:type="dxa"/>
          </w:tcPr>
          <w:p w14:paraId="74590834" w14:textId="338A68A5" w:rsidR="00F14B8B" w:rsidRPr="00FB3BB7" w:rsidRDefault="00F14B8B" w:rsidP="00495FCD">
            <w:pPr>
              <w:jc w:val="both"/>
              <w:rPr>
                <w:rFonts w:ascii="Verdana" w:eastAsia="Calibri" w:hAnsi="Verdana" w:cs="Arial"/>
                <w:b/>
                <w:bCs/>
                <w:color w:val="000000" w:themeColor="text1"/>
                <w:lang w:val="es-ES" w:eastAsia="es-ES"/>
              </w:rPr>
            </w:pPr>
            <w:r w:rsidRPr="00FB3BB7">
              <w:rPr>
                <w:rFonts w:ascii="Verdana" w:eastAsia="Calibri" w:hAnsi="Verdana" w:cs="Arial"/>
                <w:b/>
                <w:bCs/>
                <w:color w:val="000000" w:themeColor="text1"/>
                <w:lang w:val="es-ES" w:eastAsia="es-ES"/>
              </w:rPr>
              <w:t>Concepto C-</w:t>
            </w:r>
            <w:r w:rsidR="00DD14CA">
              <w:rPr>
                <w:rFonts w:ascii="Verdana" w:eastAsia="Calibri" w:hAnsi="Verdana" w:cs="Arial"/>
                <w:b/>
                <w:bCs/>
                <w:color w:val="000000" w:themeColor="text1"/>
                <w:lang w:val="es-ES" w:eastAsia="es-ES"/>
              </w:rPr>
              <w:t>1181</w:t>
            </w:r>
            <w:r w:rsidRPr="00FB3BB7">
              <w:rPr>
                <w:rFonts w:ascii="Verdana" w:eastAsia="Calibri" w:hAnsi="Verdana" w:cs="Arial"/>
                <w:b/>
                <w:bCs/>
                <w:color w:val="000000" w:themeColor="text1"/>
                <w:lang w:val="es-ES" w:eastAsia="es-ES"/>
              </w:rPr>
              <w:t xml:space="preserve"> de 2025</w:t>
            </w:r>
          </w:p>
          <w:p w14:paraId="169CA6E2" w14:textId="77777777" w:rsidR="00F14B8B" w:rsidRPr="00FB3BB7" w:rsidRDefault="00F14B8B" w:rsidP="00495FCD">
            <w:pPr>
              <w:jc w:val="both"/>
              <w:rPr>
                <w:rFonts w:ascii="Verdana" w:eastAsia="Calibri" w:hAnsi="Verdana" w:cs="Arial"/>
                <w:b/>
                <w:bCs/>
                <w:color w:val="000000" w:themeColor="text1"/>
                <w:lang w:val="es-ES" w:eastAsia="es-ES"/>
              </w:rPr>
            </w:pPr>
          </w:p>
        </w:tc>
      </w:tr>
      <w:tr w:rsidR="00F14B8B" w:rsidRPr="00FB3BB7" w14:paraId="1926C87A" w14:textId="77777777" w:rsidTr="00495FCD">
        <w:trPr>
          <w:trHeight w:val="884"/>
        </w:trPr>
        <w:tc>
          <w:tcPr>
            <w:tcW w:w="2689" w:type="dxa"/>
          </w:tcPr>
          <w:p w14:paraId="2728768B" w14:textId="77777777" w:rsidR="00F14B8B" w:rsidRPr="00FB3BB7" w:rsidRDefault="00F14B8B" w:rsidP="00495FCD">
            <w:pPr>
              <w:jc w:val="both"/>
              <w:rPr>
                <w:rFonts w:ascii="Verdana" w:eastAsia="Calibri" w:hAnsi="Verdana" w:cs="Arial"/>
                <w:color w:val="000000" w:themeColor="text1"/>
                <w:lang w:val="es-ES_tradnl" w:eastAsia="es-ES_tradnl"/>
              </w:rPr>
            </w:pPr>
            <w:r w:rsidRPr="00FB3BB7">
              <w:rPr>
                <w:rFonts w:ascii="Verdana" w:eastAsia="Calibri" w:hAnsi="Verdana" w:cs="Arial"/>
                <w:b/>
                <w:color w:val="000000" w:themeColor="text1"/>
                <w:lang w:val="es-ES_tradnl" w:eastAsia="es-ES_tradnl"/>
              </w:rPr>
              <w:t>Temas:</w:t>
            </w:r>
            <w:r w:rsidRPr="00FB3BB7">
              <w:rPr>
                <w:rFonts w:ascii="Verdana" w:eastAsia="Calibri" w:hAnsi="Verdana" w:cs="Arial"/>
                <w:color w:val="000000" w:themeColor="text1"/>
                <w:lang w:val="es-ES_tradnl" w:eastAsia="es-ES_tradnl"/>
              </w:rPr>
              <w:t xml:space="preserve">                    </w:t>
            </w:r>
          </w:p>
        </w:tc>
        <w:tc>
          <w:tcPr>
            <w:tcW w:w="6100" w:type="dxa"/>
          </w:tcPr>
          <w:p w14:paraId="56586A04" w14:textId="77777777" w:rsidR="00F14B8B" w:rsidRPr="00780720" w:rsidRDefault="00F14B8B" w:rsidP="00DA2A49">
            <w:pPr>
              <w:spacing w:line="276" w:lineRule="auto"/>
              <w:jc w:val="both"/>
              <w:textAlignment w:val="baseline"/>
              <w:rPr>
                <w:rFonts w:ascii="Verdana" w:eastAsia="Times New Roman" w:hAnsi="Verdana" w:cs="Arial"/>
                <w:lang w:eastAsia="es-ES_tradnl"/>
              </w:rPr>
            </w:pPr>
            <w:r w:rsidRPr="006D4F5F">
              <w:rPr>
                <w:rFonts w:ascii="Verdana" w:eastAsia="Times New Roman" w:hAnsi="Verdana" w:cs="Arial"/>
                <w:lang w:eastAsia="es-ES_tradnl"/>
              </w:rPr>
              <w:t>PLANEACIÓN – Estudios previos / ESTUDIOS PREVIOS – Análisis del sector – Planeación en los procesos de contratación pública / ESTUDIOS PREVIOS – Estudio del mercado</w:t>
            </w:r>
            <w:r>
              <w:rPr>
                <w:rFonts w:ascii="Verdana" w:eastAsia="Times New Roman" w:hAnsi="Verdana" w:cs="Arial"/>
                <w:lang w:eastAsia="es-ES_tradnl"/>
              </w:rPr>
              <w:t xml:space="preserve"> / </w:t>
            </w:r>
            <w:r w:rsidRPr="00AD4F6A">
              <w:rPr>
                <w:rFonts w:ascii="Verdana" w:eastAsia="Calibri" w:hAnsi="Verdana" w:cs="Arial"/>
                <w:lang w:val="es-ES" w:eastAsia="es-ES"/>
              </w:rPr>
              <w:t>ESTUDIOS DE MERCADO – Finalidad – Recomendaciones – Colombia compra eficiente – Guía de elaboración de estudios del sector</w:t>
            </w:r>
          </w:p>
          <w:p w14:paraId="18E80C26" w14:textId="77777777" w:rsidR="00F14B8B" w:rsidRPr="00FB3BB7" w:rsidRDefault="00F14B8B" w:rsidP="00495FCD">
            <w:pPr>
              <w:contextualSpacing/>
              <w:jc w:val="both"/>
              <w:rPr>
                <w:rFonts w:ascii="Verdana" w:eastAsia="Calibri" w:hAnsi="Verdana" w:cs="Arial"/>
                <w:color w:val="000000" w:themeColor="text1"/>
                <w:lang w:val="es-ES" w:eastAsia="es-ES"/>
              </w:rPr>
            </w:pPr>
          </w:p>
        </w:tc>
      </w:tr>
      <w:tr w:rsidR="00F14B8B" w:rsidRPr="00FB3BB7" w14:paraId="05E5558D" w14:textId="77777777" w:rsidTr="00495FCD">
        <w:tc>
          <w:tcPr>
            <w:tcW w:w="2689" w:type="dxa"/>
          </w:tcPr>
          <w:p w14:paraId="7FE5AC69" w14:textId="77777777" w:rsidR="00F14B8B" w:rsidRPr="00FB3BB7" w:rsidRDefault="00F14B8B" w:rsidP="00495FCD">
            <w:pPr>
              <w:jc w:val="both"/>
              <w:rPr>
                <w:rFonts w:ascii="Verdana" w:eastAsia="Calibri" w:hAnsi="Verdana" w:cs="Arial"/>
                <w:b/>
                <w:color w:val="000000" w:themeColor="text1"/>
                <w:lang w:val="es-ES_tradnl" w:eastAsia="es-ES_tradnl"/>
              </w:rPr>
            </w:pPr>
            <w:r w:rsidRPr="00FB3BB7">
              <w:rPr>
                <w:rFonts w:ascii="Verdana" w:eastAsia="Calibri" w:hAnsi="Verdana" w:cs="Arial"/>
                <w:b/>
                <w:color w:val="000000" w:themeColor="text1"/>
                <w:lang w:val="es-ES_tradnl" w:eastAsia="es-ES_tradnl"/>
              </w:rPr>
              <w:t>Radicación:</w:t>
            </w:r>
            <w:r w:rsidRPr="00FB3BB7">
              <w:rPr>
                <w:rFonts w:ascii="Verdana" w:eastAsia="Calibri" w:hAnsi="Verdana" w:cs="Arial"/>
                <w:color w:val="000000" w:themeColor="text1"/>
                <w:lang w:val="es-ES_tradnl" w:eastAsia="es-ES_tradnl"/>
              </w:rPr>
              <w:t xml:space="preserve">               </w:t>
            </w:r>
          </w:p>
        </w:tc>
        <w:tc>
          <w:tcPr>
            <w:tcW w:w="6100" w:type="dxa"/>
          </w:tcPr>
          <w:p w14:paraId="29142BE9" w14:textId="77777777" w:rsidR="00F14B8B" w:rsidRPr="00FB3BB7" w:rsidRDefault="00F14B8B" w:rsidP="00495FCD">
            <w:pPr>
              <w:jc w:val="both"/>
              <w:rPr>
                <w:rFonts w:ascii="Verdana" w:eastAsia="Calibri" w:hAnsi="Verdana" w:cs="Arial"/>
                <w:color w:val="000000" w:themeColor="text1"/>
                <w:lang w:val="es-ES_tradnl" w:eastAsia="es-ES_tradnl"/>
              </w:rPr>
            </w:pPr>
            <w:r w:rsidRPr="00FB3BB7">
              <w:rPr>
                <w:rFonts w:ascii="Verdana" w:eastAsia="Calibri" w:hAnsi="Verdana" w:cs="Arial"/>
                <w:color w:val="000000" w:themeColor="text1"/>
                <w:lang w:val="es-ES_tradnl" w:eastAsia="es-ES_tradnl"/>
              </w:rPr>
              <w:t xml:space="preserve">Respuesta a consulta con radicado No. </w:t>
            </w:r>
            <w:r w:rsidRPr="00257F79">
              <w:rPr>
                <w:rFonts w:ascii="Verdana" w:eastAsia="Calibri" w:hAnsi="Verdana" w:cs="Arial"/>
                <w:color w:val="000000" w:themeColor="text1"/>
                <w:lang w:val="es-ES_tradnl" w:eastAsia="es-ES_tradnl"/>
              </w:rPr>
              <w:t>1_2025_08_21_008874</w:t>
            </w:r>
          </w:p>
        </w:tc>
      </w:tr>
    </w:tbl>
    <w:p w14:paraId="4A0FB5C6" w14:textId="77777777" w:rsidR="00F14B8B" w:rsidRPr="00FB3BB7" w:rsidRDefault="00F14B8B" w:rsidP="00F14B8B">
      <w:pPr>
        <w:spacing w:after="0" w:line="276" w:lineRule="auto"/>
        <w:jc w:val="both"/>
        <w:rPr>
          <w:rFonts w:ascii="Verdana" w:eastAsia="Calibri" w:hAnsi="Verdana" w:cs="Arial"/>
          <w:color w:val="000000" w:themeColor="text1"/>
          <w:lang w:val="es-ES_tradnl" w:eastAsia="es-ES_tradnl"/>
        </w:rPr>
      </w:pPr>
    </w:p>
    <w:p w14:paraId="57BD4592" w14:textId="77777777" w:rsidR="00F14B8B" w:rsidRPr="00FB3BB7" w:rsidRDefault="00F14B8B" w:rsidP="00F14B8B">
      <w:pPr>
        <w:spacing w:after="0" w:line="276" w:lineRule="auto"/>
        <w:jc w:val="both"/>
        <w:rPr>
          <w:rFonts w:ascii="Verdana" w:eastAsia="Calibri" w:hAnsi="Verdana" w:cs="Arial"/>
          <w:color w:val="000000" w:themeColor="text1"/>
          <w:lang w:val="es-ES" w:eastAsia="es-ES"/>
        </w:rPr>
      </w:pPr>
      <w:r w:rsidRPr="00FB3BB7">
        <w:rPr>
          <w:rFonts w:ascii="Verdana" w:eastAsia="Calibri" w:hAnsi="Verdana" w:cs="Arial"/>
          <w:color w:val="000000" w:themeColor="text1"/>
          <w:lang w:val="es-ES" w:eastAsia="es-ES"/>
        </w:rPr>
        <w:t>Estimado señor R</w:t>
      </w:r>
      <w:r>
        <w:rPr>
          <w:rFonts w:ascii="Verdana" w:eastAsia="Calibri" w:hAnsi="Verdana" w:cs="Arial"/>
          <w:color w:val="000000" w:themeColor="text1"/>
          <w:lang w:val="es-ES" w:eastAsia="es-ES"/>
        </w:rPr>
        <w:t>eyes</w:t>
      </w:r>
      <w:r w:rsidRPr="00FB3BB7">
        <w:rPr>
          <w:rFonts w:ascii="Verdana" w:eastAsia="Calibri" w:hAnsi="Verdana" w:cs="Arial"/>
          <w:color w:val="000000" w:themeColor="text1"/>
          <w:lang w:val="es-ES" w:eastAsia="es-ES"/>
        </w:rPr>
        <w:t xml:space="preserve">: </w:t>
      </w:r>
    </w:p>
    <w:p w14:paraId="1322C74F" w14:textId="77777777" w:rsidR="00F14B8B" w:rsidRPr="00FB3BB7" w:rsidRDefault="00F14B8B" w:rsidP="00F14B8B">
      <w:pPr>
        <w:tabs>
          <w:tab w:val="left" w:pos="3768"/>
        </w:tabs>
        <w:spacing w:after="0" w:line="276" w:lineRule="auto"/>
        <w:jc w:val="both"/>
        <w:rPr>
          <w:rFonts w:ascii="Verdana" w:eastAsia="Calibri" w:hAnsi="Verdana" w:cs="Arial"/>
          <w:color w:val="000000" w:themeColor="text1"/>
          <w:lang w:val="es-ES" w:eastAsia="es-ES"/>
        </w:rPr>
      </w:pPr>
      <w:r w:rsidRPr="00FB3BB7">
        <w:rPr>
          <w:rFonts w:ascii="Verdana" w:eastAsia="Calibri" w:hAnsi="Verdana" w:cs="Arial"/>
          <w:color w:val="000000" w:themeColor="text1"/>
          <w:lang w:val="es-ES" w:eastAsia="es-ES"/>
        </w:rPr>
        <w:tab/>
      </w:r>
    </w:p>
    <w:p w14:paraId="3844F04D" w14:textId="77777777" w:rsidR="00F14B8B" w:rsidRPr="00FB3BB7" w:rsidRDefault="00F14B8B" w:rsidP="00F14B8B">
      <w:pPr>
        <w:spacing w:after="0" w:line="276" w:lineRule="auto"/>
        <w:jc w:val="both"/>
        <w:rPr>
          <w:rFonts w:ascii="Verdana" w:eastAsia="Calibri" w:hAnsi="Verdana" w:cs="Arial"/>
          <w:color w:val="000000" w:themeColor="text1"/>
          <w:lang w:val="es-ES" w:eastAsia="es-ES"/>
        </w:rPr>
      </w:pPr>
      <w:r w:rsidRPr="00FB3BB7">
        <w:rPr>
          <w:rFonts w:ascii="Verdana" w:eastAsia="Calibri" w:hAnsi="Verdana" w:cs="Arial"/>
          <w:color w:val="000000" w:themeColor="text1"/>
          <w:lang w:val="es-ES" w:eastAsia="es-ES"/>
        </w:rPr>
        <w:t>En ejercicio de la competencia otorgada por los artículos 3, numeral 5º, y 11, numeral 8º, del Decreto Ley 4170 de 2011,</w:t>
      </w:r>
      <w:r w:rsidRPr="00FB3BB7">
        <w:rPr>
          <w:rFonts w:ascii="Verdana" w:eastAsia="Arial MT" w:hAnsi="Verdana" w:cs="Arial MT"/>
          <w:color w:val="000000" w:themeColor="text1"/>
          <w:lang w:val="es-ES" w:eastAsia="es-ES"/>
        </w:rPr>
        <w:t xml:space="preserve"> </w:t>
      </w:r>
      <w:r w:rsidRPr="00FB3BB7">
        <w:rPr>
          <w:rFonts w:ascii="Verdana" w:hAnsi="Verdana" w:cs="Arial"/>
          <w:color w:val="000000" w:themeColor="text1"/>
        </w:rPr>
        <w:t xml:space="preserve">así como lo establecido en el artículo 4 de la Resolución 1707 de 2018 expedida por esta Entidad, la Agencia Nacional de Contratación Pública – Colombia Compra Eficiente– responde su solicitud de consulta del </w:t>
      </w:r>
      <w:r>
        <w:rPr>
          <w:rFonts w:ascii="Verdana" w:hAnsi="Verdana" w:cs="Arial"/>
          <w:color w:val="000000" w:themeColor="text1"/>
        </w:rPr>
        <w:t>21</w:t>
      </w:r>
      <w:r w:rsidRPr="00FB3BB7">
        <w:rPr>
          <w:rFonts w:ascii="Verdana" w:hAnsi="Verdana" w:cs="Arial"/>
          <w:color w:val="000000" w:themeColor="text1"/>
        </w:rPr>
        <w:t xml:space="preserve"> de agosto de 2025, en la cual manifiesta lo siguiente:</w:t>
      </w:r>
      <w:r w:rsidRPr="00FB3BB7">
        <w:rPr>
          <w:rFonts w:ascii="Verdana" w:eastAsia="Calibri" w:hAnsi="Verdana" w:cs="Arial"/>
          <w:color w:val="000000" w:themeColor="text1"/>
          <w:lang w:val="es-ES" w:eastAsia="es-ES"/>
        </w:rPr>
        <w:t xml:space="preserve"> </w:t>
      </w:r>
    </w:p>
    <w:p w14:paraId="47C38234" w14:textId="77777777" w:rsidR="00F14B8B" w:rsidRPr="00FB3BB7" w:rsidRDefault="00F14B8B" w:rsidP="00F14B8B">
      <w:pPr>
        <w:spacing w:after="0" w:line="276" w:lineRule="auto"/>
        <w:jc w:val="both"/>
        <w:rPr>
          <w:rFonts w:ascii="Verdana" w:eastAsia="Calibri" w:hAnsi="Verdana" w:cs="Arial"/>
          <w:color w:val="000000" w:themeColor="text1"/>
          <w:lang w:val="es-ES" w:eastAsia="es-ES"/>
        </w:rPr>
      </w:pPr>
    </w:p>
    <w:p w14:paraId="3266E2A1" w14:textId="78BE148A" w:rsidR="00F14B8B" w:rsidRPr="00927BC8" w:rsidRDefault="00F14B8B" w:rsidP="00F14B8B">
      <w:pPr>
        <w:snapToGrid w:val="0"/>
        <w:spacing w:after="0"/>
        <w:ind w:left="720" w:right="709"/>
        <w:contextualSpacing/>
        <w:jc w:val="both"/>
        <w:rPr>
          <w:rFonts w:ascii="Verdana" w:eastAsia="Century Gothic" w:hAnsi="Verdana" w:cs="Century Gothic"/>
          <w:i/>
          <w:color w:val="000000" w:themeColor="text1"/>
          <w:sz w:val="20"/>
          <w:szCs w:val="20"/>
        </w:rPr>
      </w:pPr>
      <w:bookmarkStart w:id="1" w:name="_Hlk95313578"/>
      <w:r w:rsidRPr="00927BC8">
        <w:rPr>
          <w:rFonts w:ascii="Verdana" w:eastAsia="Century Gothic" w:hAnsi="Verdana" w:cs="Century Gothic"/>
          <w:i/>
          <w:iCs/>
          <w:color w:val="000000" w:themeColor="text1"/>
          <w:sz w:val="20"/>
          <w:szCs w:val="20"/>
          <w:lang w:val="es-ES"/>
        </w:rPr>
        <w:t>“</w:t>
      </w:r>
      <w:r w:rsidRPr="00927BC8">
        <w:rPr>
          <w:rFonts w:ascii="Verdana" w:eastAsia="Century Gothic" w:hAnsi="Verdana" w:cs="Century Gothic"/>
          <w:i/>
          <w:color w:val="000000" w:themeColor="text1"/>
          <w:sz w:val="20"/>
          <w:szCs w:val="20"/>
        </w:rPr>
        <w:t xml:space="preserve">¿En el </w:t>
      </w:r>
      <w:r w:rsidR="00765A2F" w:rsidRPr="00927BC8">
        <w:rPr>
          <w:rFonts w:ascii="Verdana" w:eastAsia="Century Gothic" w:hAnsi="Verdana" w:cs="Century Gothic"/>
          <w:i/>
          <w:color w:val="000000" w:themeColor="text1"/>
          <w:sz w:val="20"/>
          <w:szCs w:val="20"/>
        </w:rPr>
        <w:t>análisis</w:t>
      </w:r>
      <w:r w:rsidRPr="00927BC8">
        <w:rPr>
          <w:rFonts w:ascii="Verdana" w:eastAsia="Century Gothic" w:hAnsi="Verdana" w:cs="Century Gothic"/>
          <w:i/>
          <w:color w:val="000000" w:themeColor="text1"/>
          <w:sz w:val="20"/>
          <w:szCs w:val="20"/>
        </w:rPr>
        <w:t xml:space="preserve"> de precios, debe primar el valor </w:t>
      </w:r>
      <w:r w:rsidR="00765A2F" w:rsidRPr="00927BC8">
        <w:rPr>
          <w:rFonts w:ascii="Verdana" w:eastAsia="Century Gothic" w:hAnsi="Verdana" w:cs="Century Gothic"/>
          <w:i/>
          <w:color w:val="000000" w:themeColor="text1"/>
          <w:sz w:val="20"/>
          <w:szCs w:val="20"/>
        </w:rPr>
        <w:t>histórico</w:t>
      </w:r>
      <w:r w:rsidRPr="00927BC8">
        <w:rPr>
          <w:rFonts w:ascii="Verdana" w:eastAsia="Century Gothic" w:hAnsi="Verdana" w:cs="Century Gothic"/>
          <w:i/>
          <w:color w:val="000000" w:themeColor="text1"/>
          <w:sz w:val="20"/>
          <w:szCs w:val="20"/>
        </w:rPr>
        <w:t xml:space="preserve"> de la entidad o las cotizaciones actualizadas de mercado, y en qué casos se considera que un cambio constituye una </w:t>
      </w:r>
      <w:r w:rsidR="00765A2F" w:rsidRPr="00927BC8">
        <w:rPr>
          <w:rFonts w:ascii="Verdana" w:eastAsia="Century Gothic" w:hAnsi="Verdana" w:cs="Century Gothic"/>
          <w:i/>
          <w:color w:val="000000" w:themeColor="text1"/>
          <w:sz w:val="20"/>
          <w:szCs w:val="20"/>
        </w:rPr>
        <w:t>modificación</w:t>
      </w:r>
      <w:r w:rsidRPr="00927BC8">
        <w:rPr>
          <w:rFonts w:ascii="Verdana" w:eastAsia="Century Gothic" w:hAnsi="Verdana" w:cs="Century Gothic"/>
          <w:i/>
          <w:color w:val="000000" w:themeColor="text1"/>
          <w:sz w:val="20"/>
          <w:szCs w:val="20"/>
        </w:rPr>
        <w:t xml:space="preserve"> sustancial?</w:t>
      </w:r>
      <w:r w:rsidRPr="00927BC8">
        <w:rPr>
          <w:rFonts w:ascii="Verdana" w:eastAsia="Century Gothic" w:hAnsi="Verdana" w:cs="Century Gothic"/>
          <w:i/>
          <w:color w:val="000000" w:themeColor="text1"/>
          <w:sz w:val="20"/>
          <w:szCs w:val="20"/>
        </w:rPr>
        <w:br/>
        <w:t xml:space="preserve">¿El hecho de establecer un valor por encima del valor </w:t>
      </w:r>
      <w:r w:rsidR="00765A2F" w:rsidRPr="00927BC8">
        <w:rPr>
          <w:rFonts w:ascii="Verdana" w:eastAsia="Century Gothic" w:hAnsi="Verdana" w:cs="Century Gothic"/>
          <w:i/>
          <w:color w:val="000000" w:themeColor="text1"/>
          <w:sz w:val="20"/>
          <w:szCs w:val="20"/>
        </w:rPr>
        <w:t>histórico</w:t>
      </w:r>
      <w:r w:rsidRPr="00927BC8">
        <w:rPr>
          <w:rFonts w:ascii="Verdana" w:eastAsia="Century Gothic" w:hAnsi="Verdana" w:cs="Century Gothic"/>
          <w:i/>
          <w:color w:val="000000" w:themeColor="text1"/>
          <w:sz w:val="20"/>
          <w:szCs w:val="20"/>
        </w:rPr>
        <w:t xml:space="preserve"> puede constituir causal de </w:t>
      </w:r>
      <w:r w:rsidR="00765A2F" w:rsidRPr="00927BC8">
        <w:rPr>
          <w:rFonts w:ascii="Verdana" w:eastAsia="Century Gothic" w:hAnsi="Verdana" w:cs="Century Gothic"/>
          <w:i/>
          <w:color w:val="000000" w:themeColor="text1"/>
          <w:sz w:val="20"/>
          <w:szCs w:val="20"/>
        </w:rPr>
        <w:t>investigación</w:t>
      </w:r>
      <w:r w:rsidRPr="00927BC8">
        <w:rPr>
          <w:rFonts w:ascii="Verdana" w:eastAsia="Century Gothic" w:hAnsi="Verdana" w:cs="Century Gothic"/>
          <w:i/>
          <w:color w:val="000000" w:themeColor="text1"/>
          <w:sz w:val="20"/>
          <w:szCs w:val="20"/>
        </w:rPr>
        <w:t xml:space="preserve"> por entes de control?, y en caso afirmativo, ¿en </w:t>
      </w:r>
      <w:proofErr w:type="spellStart"/>
      <w:r w:rsidRPr="00927BC8">
        <w:rPr>
          <w:rFonts w:ascii="Verdana" w:eastAsia="Century Gothic" w:hAnsi="Verdana" w:cs="Century Gothic"/>
          <w:i/>
          <w:color w:val="000000" w:themeColor="text1"/>
          <w:sz w:val="20"/>
          <w:szCs w:val="20"/>
        </w:rPr>
        <w:t>que</w:t>
      </w:r>
      <w:proofErr w:type="spellEnd"/>
      <w:r w:rsidRPr="00927BC8">
        <w:rPr>
          <w:rFonts w:ascii="Verdana" w:eastAsia="Century Gothic" w:hAnsi="Verdana" w:cs="Century Gothic"/>
          <w:i/>
          <w:color w:val="000000" w:themeColor="text1"/>
          <w:sz w:val="20"/>
          <w:szCs w:val="20"/>
        </w:rPr>
        <w:t xml:space="preserve">́ escenarios aplica y de qué manera </w:t>
      </w:r>
      <w:r w:rsidR="00765A2F" w:rsidRPr="00927BC8">
        <w:rPr>
          <w:rFonts w:ascii="Verdana" w:eastAsia="Century Gothic" w:hAnsi="Verdana" w:cs="Century Gothic"/>
          <w:i/>
          <w:color w:val="000000" w:themeColor="text1"/>
          <w:sz w:val="20"/>
          <w:szCs w:val="20"/>
        </w:rPr>
        <w:t>debería</w:t>
      </w:r>
      <w:r w:rsidRPr="00927BC8">
        <w:rPr>
          <w:rFonts w:ascii="Verdana" w:eastAsia="Century Gothic" w:hAnsi="Verdana" w:cs="Century Gothic"/>
          <w:i/>
          <w:color w:val="000000" w:themeColor="text1"/>
          <w:sz w:val="20"/>
          <w:szCs w:val="20"/>
        </w:rPr>
        <w:t xml:space="preserve"> soportarse adecuadamente dicha </w:t>
      </w:r>
      <w:r w:rsidR="00765A2F" w:rsidRPr="00927BC8">
        <w:rPr>
          <w:rFonts w:ascii="Verdana" w:eastAsia="Century Gothic" w:hAnsi="Verdana" w:cs="Century Gothic"/>
          <w:i/>
          <w:color w:val="000000" w:themeColor="text1"/>
          <w:sz w:val="20"/>
          <w:szCs w:val="20"/>
        </w:rPr>
        <w:t>decisión</w:t>
      </w:r>
      <w:r w:rsidRPr="00927BC8">
        <w:rPr>
          <w:rFonts w:ascii="Verdana" w:eastAsia="Century Gothic" w:hAnsi="Verdana" w:cs="Century Gothic"/>
          <w:i/>
          <w:color w:val="000000" w:themeColor="text1"/>
          <w:sz w:val="20"/>
          <w:szCs w:val="20"/>
        </w:rPr>
        <w:t>?”</w:t>
      </w:r>
    </w:p>
    <w:bookmarkEnd w:id="1"/>
    <w:p w14:paraId="3010F6E2" w14:textId="77777777" w:rsidR="00F14B8B" w:rsidRPr="00FB3BB7" w:rsidRDefault="00F14B8B" w:rsidP="00F14B8B">
      <w:pPr>
        <w:spacing w:after="0" w:line="240" w:lineRule="auto"/>
        <w:contextualSpacing/>
        <w:jc w:val="both"/>
        <w:rPr>
          <w:rFonts w:ascii="Verdana" w:eastAsia="Calibri" w:hAnsi="Verdana" w:cs="Arial"/>
          <w:color w:val="000000" w:themeColor="text1"/>
          <w:lang w:val="es-ES" w:eastAsia="es-ES"/>
        </w:rPr>
      </w:pPr>
    </w:p>
    <w:p w14:paraId="15DBFF04" w14:textId="77777777" w:rsidR="00F14B8B" w:rsidRPr="00FB3BB7" w:rsidRDefault="00F14B8B" w:rsidP="00F14B8B">
      <w:pPr>
        <w:spacing w:after="0" w:line="276" w:lineRule="auto"/>
        <w:ind w:firstLine="709"/>
        <w:contextualSpacing/>
        <w:jc w:val="both"/>
        <w:rPr>
          <w:rFonts w:ascii="Verdana" w:eastAsia="Calibri" w:hAnsi="Verdana" w:cs="Arial"/>
          <w:color w:val="000000" w:themeColor="text1"/>
          <w:szCs w:val="24"/>
          <w:lang w:val="es-ES_tradnl" w:eastAsia="es-ES_tradnl"/>
        </w:rPr>
      </w:pPr>
      <w:r w:rsidRPr="00FB3BB7">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w:t>
      </w:r>
      <w:r w:rsidRPr="00FB3BB7">
        <w:rPr>
          <w:rFonts w:ascii="Verdana" w:eastAsia="Calibri" w:hAnsi="Verdana" w:cs="Arial"/>
          <w:color w:val="000000" w:themeColor="text1"/>
          <w:lang w:val="es-ES" w:eastAsia="es-ES"/>
        </w:rPr>
        <w:lastRenderedPageBreak/>
        <w:t xml:space="preserve">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B3BB7">
        <w:rPr>
          <w:rFonts w:ascii="Verdana" w:eastAsia="Calibri" w:hAnsi="Verdana" w:cs="Arial"/>
          <w:color w:val="000000" w:themeColor="text1"/>
          <w:szCs w:val="24"/>
          <w:lang w:val="es-ES_tradnl" w:eastAsia="es-ES_tradnl"/>
        </w:rPr>
        <w:tab/>
      </w:r>
    </w:p>
    <w:p w14:paraId="33D2F7CC" w14:textId="77777777" w:rsidR="00F14B8B" w:rsidRPr="00FB3BB7" w:rsidRDefault="00F14B8B" w:rsidP="00F14B8B">
      <w:pPr>
        <w:spacing w:before="120" w:after="0" w:line="276" w:lineRule="auto"/>
        <w:ind w:firstLine="709"/>
        <w:jc w:val="both"/>
        <w:rPr>
          <w:rFonts w:ascii="Verdana" w:eastAsia="Calibri" w:hAnsi="Verdana" w:cs="Arial"/>
          <w:color w:val="000000" w:themeColor="text1"/>
          <w:lang w:val="es-ES" w:eastAsia="es-ES"/>
        </w:rPr>
      </w:pPr>
      <w:r w:rsidRPr="00FB3BB7">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F79218E" w14:textId="77777777" w:rsidR="00F14B8B" w:rsidRPr="00FB3BB7" w:rsidRDefault="00F14B8B" w:rsidP="00F14B8B">
      <w:pPr>
        <w:spacing w:after="0" w:line="276" w:lineRule="auto"/>
        <w:ind w:firstLine="709"/>
        <w:jc w:val="both"/>
        <w:rPr>
          <w:rFonts w:ascii="Verdana" w:eastAsia="Calibri" w:hAnsi="Verdana" w:cs="Arial"/>
          <w:color w:val="000000" w:themeColor="text1"/>
          <w:lang w:val="es-ES" w:eastAsia="es-ES"/>
        </w:rPr>
      </w:pPr>
    </w:p>
    <w:p w14:paraId="25091343" w14:textId="77777777" w:rsidR="00F14B8B" w:rsidRPr="00FB3BB7" w:rsidRDefault="00F14B8B" w:rsidP="00F14B8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FB3BB7">
        <w:rPr>
          <w:rFonts w:ascii="Verdana" w:eastAsia="Century Gothic" w:hAnsi="Verdana" w:cs="Century Gothic"/>
          <w:b/>
          <w:bCs/>
          <w:color w:val="000000" w:themeColor="text1"/>
        </w:rPr>
        <w:t>Problema planteado:</w:t>
      </w:r>
    </w:p>
    <w:p w14:paraId="6834C089" w14:textId="77777777" w:rsidR="00F14B8B" w:rsidRPr="00FB3BB7" w:rsidRDefault="00F14B8B" w:rsidP="00F14B8B">
      <w:pPr>
        <w:tabs>
          <w:tab w:val="left" w:pos="426"/>
        </w:tabs>
        <w:spacing w:after="0" w:line="276" w:lineRule="auto"/>
        <w:jc w:val="both"/>
        <w:rPr>
          <w:rFonts w:ascii="Verdana" w:eastAsia="Century Gothic" w:hAnsi="Verdana" w:cs="Century Gothic"/>
          <w:color w:val="000000" w:themeColor="text1"/>
          <w:lang w:val="es-ES"/>
        </w:rPr>
      </w:pPr>
    </w:p>
    <w:p w14:paraId="4ACB47BF" w14:textId="7F40618B" w:rsidR="00F14B8B" w:rsidRPr="00FB3BB7" w:rsidRDefault="00F14B8B" w:rsidP="00F14B8B">
      <w:pPr>
        <w:spacing w:after="0" w:line="276" w:lineRule="auto"/>
        <w:jc w:val="both"/>
        <w:rPr>
          <w:rFonts w:ascii="Verdana" w:eastAsia="Century Gothic" w:hAnsi="Verdana" w:cs="Century Gothic"/>
          <w:color w:val="000000" w:themeColor="text1"/>
        </w:rPr>
      </w:pPr>
      <w:r w:rsidRPr="00FB3BB7">
        <w:rPr>
          <w:rFonts w:ascii="Verdana" w:eastAsia="Century Gothic" w:hAnsi="Verdana" w:cs="Century Gothic"/>
          <w:color w:val="000000" w:themeColor="text1"/>
        </w:rPr>
        <w:t>De acuerdo con el contenido de su solicitud, esta Agencia resolverá el siguiente problema jurídico:</w:t>
      </w:r>
      <w:r w:rsidRPr="00FB3BB7">
        <w:rPr>
          <w:rFonts w:ascii="Verdana" w:eastAsia="Century Gothic" w:hAnsi="Verdana" w:cs="Century Gothic"/>
          <w:b/>
          <w:bCs/>
          <w:color w:val="000000" w:themeColor="text1"/>
        </w:rPr>
        <w:t> </w:t>
      </w:r>
      <w:r w:rsidRPr="00FB3BB7">
        <w:rPr>
          <w:rFonts w:ascii="Verdana" w:eastAsia="Century Gothic" w:hAnsi="Verdana" w:cs="Century Gothic"/>
          <w:color w:val="000000" w:themeColor="text1"/>
        </w:rPr>
        <w:t>¿</w:t>
      </w:r>
      <w:r w:rsidR="0043721B">
        <w:rPr>
          <w:rFonts w:ascii="Verdana" w:eastAsia="Century Gothic" w:hAnsi="Verdana" w:cs="Century Gothic"/>
          <w:color w:val="000000" w:themeColor="text1"/>
        </w:rPr>
        <w:t>Cuál es el alcance de las herramientas que pueden implementar las entidades</w:t>
      </w:r>
      <w:r w:rsidR="00427945" w:rsidRPr="00427945">
        <w:rPr>
          <w:rFonts w:ascii="Verdana" w:eastAsia="Calibri" w:hAnsi="Verdana" w:cs="Arial"/>
          <w:lang w:val="es-ES"/>
        </w:rPr>
        <w:t xml:space="preserve"> </w:t>
      </w:r>
      <w:r w:rsidR="00427945" w:rsidRPr="00AD4F6A">
        <w:rPr>
          <w:rFonts w:ascii="Verdana" w:eastAsia="Calibri" w:hAnsi="Verdana" w:cs="Arial"/>
          <w:lang w:val="es-ES"/>
        </w:rPr>
        <w:t>para elaborar el estudio de precios de mercado</w:t>
      </w:r>
      <w:r w:rsidRPr="00FB3BB7">
        <w:rPr>
          <w:rFonts w:ascii="Verdana" w:eastAsia="Century Gothic" w:hAnsi="Verdana" w:cs="Century Gothic"/>
          <w:color w:val="000000" w:themeColor="text1"/>
        </w:rPr>
        <w:t>?</w:t>
      </w:r>
    </w:p>
    <w:p w14:paraId="738C4D84" w14:textId="77777777" w:rsidR="00F14B8B" w:rsidRPr="00F811B2" w:rsidRDefault="00F14B8B" w:rsidP="00F14B8B">
      <w:pPr>
        <w:spacing w:after="0" w:line="276" w:lineRule="auto"/>
        <w:jc w:val="both"/>
        <w:rPr>
          <w:rFonts w:ascii="Verdana" w:eastAsia="Calibri" w:hAnsi="Verdana" w:cs="Arial"/>
          <w:color w:val="000000" w:themeColor="text1"/>
        </w:rPr>
      </w:pPr>
    </w:p>
    <w:p w14:paraId="6886A6B4" w14:textId="77777777" w:rsidR="00F14B8B" w:rsidRPr="00FB3BB7" w:rsidRDefault="00F14B8B" w:rsidP="00F14B8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B3BB7">
        <w:rPr>
          <w:rFonts w:ascii="Verdana" w:eastAsia="Century Gothic" w:hAnsi="Verdana" w:cs="Century Gothic"/>
          <w:b/>
          <w:bCs/>
          <w:color w:val="000000" w:themeColor="text1"/>
        </w:rPr>
        <w:t>Respuesta:</w:t>
      </w:r>
    </w:p>
    <w:p w14:paraId="10B63B02" w14:textId="77777777" w:rsidR="00F14B8B" w:rsidRPr="00FB3BB7" w:rsidRDefault="00F14B8B" w:rsidP="00F14B8B">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14B8B" w:rsidRPr="00FB3BB7" w14:paraId="0C007D97" w14:textId="77777777" w:rsidTr="00495FCD">
        <w:tc>
          <w:tcPr>
            <w:tcW w:w="8828" w:type="dxa"/>
          </w:tcPr>
          <w:p w14:paraId="1932512E" w14:textId="77777777" w:rsidR="00F14B8B" w:rsidRDefault="00ED3DCF" w:rsidP="00F811B2">
            <w:pPr>
              <w:spacing w:before="120" w:after="120" w:line="276" w:lineRule="auto"/>
              <w:jc w:val="both"/>
              <w:rPr>
                <w:rFonts w:ascii="Verdana" w:eastAsia="Calibri" w:hAnsi="Verdana" w:cs="Arial"/>
                <w:lang w:eastAsia="es-MX"/>
              </w:rPr>
            </w:pPr>
            <w:r>
              <w:rPr>
                <w:rFonts w:ascii="Verdana" w:hAnsi="Verdana" w:cs="Arial"/>
              </w:rPr>
              <w:t>L</w:t>
            </w:r>
            <w:r w:rsidRPr="00AD4F6A">
              <w:rPr>
                <w:rFonts w:ascii="Verdana" w:hAnsi="Verdana" w:cs="Arial"/>
              </w:rPr>
              <w:t xml:space="preserve">os numerales 2 y 4 del artículo 2.2.1.1.2.1.1 del Decreto 1082 de 2015 exigen que en los estudios previos se determine el objeto a contratar con sus especificaciones, y se señale el valor estimado del contrato y la justificación </w:t>
            </w:r>
            <w:proofErr w:type="gramStart"/>
            <w:r w:rsidRPr="00AD4F6A">
              <w:rPr>
                <w:rFonts w:ascii="Verdana" w:hAnsi="Verdana" w:cs="Arial"/>
              </w:rPr>
              <w:t>del mismo</w:t>
            </w:r>
            <w:proofErr w:type="gramEnd"/>
            <w:r w:rsidRPr="00AD4F6A">
              <w:rPr>
                <w:rFonts w:ascii="Verdana" w:hAnsi="Verdana" w:cs="Arial"/>
              </w:rPr>
              <w:t xml:space="preserve">. </w:t>
            </w:r>
            <w:r w:rsidRPr="00AD4F6A">
              <w:rPr>
                <w:rFonts w:ascii="Verdana" w:eastAsia="Calibri" w:hAnsi="Verdana" w:cs="Arial"/>
                <w:bCs/>
                <w:lang w:val="es-ES_tradnl"/>
              </w:rPr>
              <w:t xml:space="preserve">Para cumplir este objetivo es necesario el análisis del sector económico y de los oferentes, actividad de planeación previa que sirve para identificar aspectos concretos del mercado que pueden afectar el proceso de selección o las condiciones del negocio a realizar mediante el proceso de contratación de bienes, obras o servicios. </w:t>
            </w:r>
            <w:r w:rsidRPr="009225F7">
              <w:rPr>
                <w:rFonts w:ascii="Verdana" w:eastAsia="Calibri" w:hAnsi="Verdana" w:cs="Arial"/>
                <w:lang w:eastAsia="es-MX"/>
              </w:rPr>
              <w:t xml:space="preserve"> </w:t>
            </w:r>
          </w:p>
          <w:p w14:paraId="32562B57" w14:textId="1DFF2CC1" w:rsidR="00D242CF" w:rsidRDefault="00D242CF" w:rsidP="00291DB4">
            <w:pPr>
              <w:spacing w:after="120" w:line="276" w:lineRule="auto"/>
              <w:ind w:firstLine="708"/>
              <w:jc w:val="both"/>
              <w:rPr>
                <w:rFonts w:ascii="Verdana" w:eastAsia="Calibri" w:hAnsi="Verdana" w:cs="Arial"/>
                <w:bCs/>
                <w:lang w:val="es-ES_tradnl"/>
              </w:rPr>
            </w:pPr>
            <w:r w:rsidRPr="00AD4F6A">
              <w:rPr>
                <w:rFonts w:ascii="Verdana" w:eastAsia="Calibri" w:hAnsi="Verdana" w:cs="Arial"/>
                <w:bCs/>
                <w:lang w:val="es-ES_tradnl"/>
              </w:rPr>
              <w:t xml:space="preserve">La Agencia Nacional de Contratación Pública - Colombia Compra Eficiente dispone de la “Guía de Elaboración del Estudio del Sector”, instrumento que sirve de apoyo para entender el mercado del bien, obra o servicio que la entidad estatal pretende adquirir y diseñar el proceso de contratación con la información necesaria para alcanzar los objetivos de eficacia, eficiencia, economía, promoción de la competencia y manejo del </w:t>
            </w:r>
            <w:r w:rsidRPr="00AD4F6A">
              <w:rPr>
                <w:rFonts w:ascii="Verdana" w:eastAsia="Calibri" w:hAnsi="Verdana" w:cs="Arial"/>
                <w:bCs/>
                <w:lang w:val="es-ES_tradnl"/>
              </w:rPr>
              <w:lastRenderedPageBreak/>
              <w:t>riesgo</w:t>
            </w:r>
            <w:r w:rsidRPr="00AD4F6A">
              <w:rPr>
                <w:rFonts w:ascii="Verdana" w:eastAsia="Calibri" w:hAnsi="Verdana" w:cs="Arial"/>
                <w:bCs/>
                <w:vertAlign w:val="superscript"/>
                <w:lang w:val="es-ES_tradnl"/>
              </w:rPr>
              <w:footnoteReference w:id="2"/>
            </w:r>
            <w:r w:rsidRPr="00AD4F6A">
              <w:rPr>
                <w:rFonts w:ascii="Verdana" w:eastAsia="Calibri" w:hAnsi="Verdana" w:cs="Arial"/>
                <w:bCs/>
                <w:lang w:val="es-ES_tradnl"/>
              </w:rPr>
              <w:t>. Esta Guía es un insumo para realizar el estudio del sector relativo al Proceso de Contratación, ya que comprende pautas sobre los aspectos generales del mercado, el análisis de la demanda y de la oferta</w:t>
            </w:r>
            <w:r w:rsidR="0047716C">
              <w:rPr>
                <w:rFonts w:ascii="Verdana" w:eastAsia="Calibri" w:hAnsi="Verdana" w:cs="Arial"/>
                <w:bCs/>
                <w:lang w:val="es-ES_tradnl"/>
              </w:rPr>
              <w:t>,</w:t>
            </w:r>
            <w:r w:rsidRPr="00AD4F6A">
              <w:rPr>
                <w:rFonts w:ascii="Verdana" w:eastAsia="Calibri" w:hAnsi="Verdana" w:cs="Arial"/>
                <w:bCs/>
                <w:lang w:val="es-ES_tradnl"/>
              </w:rPr>
              <w:t xml:space="preserve"> y constituye un instrumento de orientación, por lo que –al carecer de fuerza vinculante– su aplicación no exime a las entidades de acatar las normas vigentes.</w:t>
            </w:r>
          </w:p>
          <w:p w14:paraId="11E7E275" w14:textId="5B84A45B" w:rsidR="00D23730" w:rsidRDefault="00D23730" w:rsidP="00D23730">
            <w:pPr>
              <w:spacing w:after="120" w:line="276" w:lineRule="auto"/>
              <w:ind w:firstLine="709"/>
              <w:jc w:val="both"/>
              <w:rPr>
                <w:rFonts w:ascii="Verdana" w:eastAsia="Calibri" w:hAnsi="Verdana" w:cs="Arial"/>
                <w:sz w:val="20"/>
                <w:szCs w:val="20"/>
                <w:lang w:val="es-ES"/>
              </w:rPr>
            </w:pPr>
            <w:r>
              <w:rPr>
                <w:rFonts w:ascii="Verdana" w:eastAsia="Calibri" w:hAnsi="Verdana" w:cs="Arial"/>
                <w:color w:val="000000" w:themeColor="text1"/>
                <w:lang w:val="es-ES"/>
              </w:rPr>
              <w:t>E</w:t>
            </w:r>
            <w:r w:rsidRPr="00AD4F6A">
              <w:rPr>
                <w:rFonts w:ascii="Verdana" w:eastAsia="Calibri" w:hAnsi="Verdana" w:cs="Arial"/>
                <w:color w:val="000000" w:themeColor="text1"/>
                <w:lang w:val="es-ES"/>
              </w:rPr>
              <w:t xml:space="preserve">l estudio del mercado permite comprender la dinámica de los precios y establecer el presupuesto oficial de la contratación. </w:t>
            </w:r>
            <w:r w:rsidRPr="00AD4F6A">
              <w:rPr>
                <w:rFonts w:ascii="Verdana" w:eastAsia="Calibri" w:hAnsi="Verdana" w:cs="Arial"/>
                <w:lang w:val="es-ES"/>
              </w:rPr>
              <w:t xml:space="preserve">De esta forma, se tiene que, la Guía de Elaboración de Estudios del Sector en el numeral 1.3.4, propone a las Entidades Estatales los siguientes mecanismos para elaborar el estudio de precios de mercado: </w:t>
            </w:r>
            <w:r>
              <w:rPr>
                <w:rFonts w:ascii="Verdana" w:eastAsia="Calibri" w:hAnsi="Verdana" w:cs="Arial"/>
                <w:lang w:val="es-ES"/>
              </w:rPr>
              <w:t xml:space="preserve">i) </w:t>
            </w:r>
            <w:r w:rsidRPr="0047716C">
              <w:rPr>
                <w:rFonts w:ascii="Verdana" w:eastAsia="Calibri" w:hAnsi="Verdana" w:cs="Arial"/>
                <w:lang w:val="es-ES"/>
              </w:rPr>
              <w:t xml:space="preserve">Revisión de precios por solicitud de cotizaciones, </w:t>
            </w:r>
            <w:proofErr w:type="spellStart"/>
            <w:r w:rsidRPr="0047716C">
              <w:rPr>
                <w:rFonts w:ascii="Verdana" w:eastAsia="Calibri" w:hAnsi="Verdana" w:cs="Arial"/>
                <w:lang w:val="es-ES"/>
              </w:rPr>
              <w:t>ii</w:t>
            </w:r>
            <w:proofErr w:type="spellEnd"/>
            <w:r w:rsidRPr="0047716C">
              <w:rPr>
                <w:rFonts w:ascii="Verdana" w:eastAsia="Calibri" w:hAnsi="Verdana" w:cs="Arial"/>
                <w:lang w:val="es-ES"/>
              </w:rPr>
              <w:t xml:space="preserve">) Revisión de bases de datos especializadas, y </w:t>
            </w:r>
            <w:proofErr w:type="spellStart"/>
            <w:r w:rsidRPr="0047716C">
              <w:rPr>
                <w:rFonts w:ascii="Verdana" w:eastAsia="Calibri" w:hAnsi="Verdana" w:cs="Arial"/>
                <w:lang w:val="es-ES"/>
              </w:rPr>
              <w:t>iii</w:t>
            </w:r>
            <w:proofErr w:type="spellEnd"/>
            <w:r w:rsidRPr="0047716C">
              <w:rPr>
                <w:rFonts w:ascii="Verdana" w:eastAsia="Calibri" w:hAnsi="Verdana" w:cs="Arial"/>
                <w:lang w:val="es-ES"/>
              </w:rPr>
              <w:t>) Revisión de precios históricos.</w:t>
            </w:r>
          </w:p>
          <w:p w14:paraId="6556B4ED" w14:textId="2A8CD2A5" w:rsidR="0006497D" w:rsidRDefault="00D14E10" w:rsidP="00B85609">
            <w:pPr>
              <w:spacing w:after="120" w:line="276" w:lineRule="auto"/>
              <w:ind w:firstLine="709"/>
              <w:jc w:val="both"/>
              <w:rPr>
                <w:rFonts w:ascii="Verdana" w:eastAsia="Times New Roman" w:hAnsi="Verdana" w:cs="Arial"/>
                <w:bCs/>
                <w:lang w:val="es-ES_tradnl" w:eastAsia="es-MX"/>
              </w:rPr>
            </w:pPr>
            <w:r w:rsidRPr="00AD4F6A">
              <w:rPr>
                <w:rFonts w:ascii="Verdana" w:eastAsia="Calibri" w:hAnsi="Verdana" w:cs="Arial"/>
                <w:color w:val="000000" w:themeColor="text1"/>
                <w:lang w:val="es-ES"/>
              </w:rPr>
              <w:t>En este contexto, es pertinente precisar que los mecanismos señalados para realizar el estudio del mercado no están determinados por la ley o el reglamento, por lo que no existen lineamientos obligatorios para su estructuración.</w:t>
            </w:r>
            <w:r w:rsidR="00082042">
              <w:rPr>
                <w:rFonts w:ascii="Verdana" w:eastAsia="Calibri" w:hAnsi="Verdana" w:cs="Arial"/>
                <w:color w:val="000000" w:themeColor="text1"/>
                <w:lang w:val="es-ES"/>
              </w:rPr>
              <w:t xml:space="preserve"> </w:t>
            </w:r>
            <w:r w:rsidR="0006497D" w:rsidRPr="00B321B0">
              <w:rPr>
                <w:rFonts w:ascii="Verdana" w:eastAsia="Calibri" w:hAnsi="Verdana" w:cs="Arial"/>
                <w:bCs/>
                <w:lang w:val="es-ES_tradnl" w:eastAsia="es-MX"/>
              </w:rPr>
              <w:t xml:space="preserve">Si bien la normativa en materia de contratación estatal establece la obligatoriedad de realizar el análisis necesario para conocer el sector relativo al objeto del Proceso de Contratación, no determina un procedimiento específico para efectuar dicho análisis por lo que las entidades </w:t>
            </w:r>
            <w:r w:rsidR="0006497D" w:rsidRPr="00B321B0">
              <w:rPr>
                <w:rFonts w:ascii="Verdana" w:eastAsia="Times New Roman" w:hAnsi="Verdana" w:cs="Arial"/>
                <w:lang w:val="es-ES_tradnl" w:eastAsia="es-CO"/>
              </w:rPr>
              <w:t xml:space="preserve">son autónomas para estructurarlo, para lo cual deberán cumplir lo dispuesto en el artículo </w:t>
            </w:r>
            <w:r w:rsidR="0006497D" w:rsidRPr="00B321B0">
              <w:rPr>
                <w:rFonts w:ascii="Verdana" w:eastAsia="Calibri" w:hAnsi="Verdana" w:cs="Arial"/>
                <w:bCs/>
                <w:lang w:val="es-ES_tradnl" w:eastAsia="es-MX"/>
              </w:rPr>
              <w:t xml:space="preserve">2.2.1.1.1.6.1 del Decreto 1082 de 2015 y realizar un análisis integral de planeación que </w:t>
            </w:r>
            <w:r w:rsidR="0006497D" w:rsidRPr="00B321B0">
              <w:rPr>
                <w:rFonts w:ascii="Verdana" w:eastAsia="Times New Roman" w:hAnsi="Verdana" w:cs="Arial"/>
                <w:lang w:val="es-ES_tradnl" w:eastAsia="es-MX"/>
              </w:rPr>
              <w:t xml:space="preserve">sirva de sustento a la decisión de </w:t>
            </w:r>
            <w:r w:rsidR="0006497D" w:rsidRPr="00B321B0">
              <w:rPr>
                <w:rFonts w:ascii="Verdana" w:eastAsia="Times New Roman" w:hAnsi="Verdana" w:cs="Arial"/>
                <w:bCs/>
                <w:lang w:val="es-ES_tradnl" w:eastAsia="es-MX"/>
              </w:rPr>
              <w:t>realizar un Proceso de Contratación.</w:t>
            </w:r>
          </w:p>
          <w:p w14:paraId="7CB1E6E5" w14:textId="77777777" w:rsidR="00B85609" w:rsidRDefault="00B85609" w:rsidP="00B85609">
            <w:pPr>
              <w:spacing w:after="120" w:line="276" w:lineRule="auto"/>
              <w:ind w:firstLine="709"/>
              <w:jc w:val="both"/>
              <w:rPr>
                <w:rFonts w:ascii="Verdana" w:hAnsi="Verdana" w:cs="Arial"/>
              </w:rPr>
            </w:pPr>
            <w:r w:rsidRPr="00AD4F6A">
              <w:rPr>
                <w:rFonts w:ascii="Verdana" w:hAnsi="Verdana" w:cs="Arial"/>
                <w:lang w:eastAsia="es-CO"/>
              </w:rPr>
              <w:t>De este modo, en cualquier tipo de contrato,</w:t>
            </w:r>
            <w:r>
              <w:rPr>
                <w:rFonts w:ascii="Verdana" w:hAnsi="Verdana" w:cs="Arial"/>
                <w:lang w:eastAsia="es-CO"/>
              </w:rPr>
              <w:t xml:space="preserve"> </w:t>
            </w:r>
            <w:r w:rsidRPr="00AD4F6A">
              <w:rPr>
                <w:rFonts w:ascii="Verdana" w:hAnsi="Verdana" w:cs="Arial"/>
                <w:lang w:eastAsia="es-CO"/>
              </w:rPr>
              <w:t>las entidades estatales cuentan con la facultad de definir el mecanismo que consideren más adecuado para la estructuración del presupuesto oficial</w:t>
            </w:r>
            <w:r>
              <w:rPr>
                <w:rFonts w:ascii="Verdana" w:hAnsi="Verdana" w:cs="Arial"/>
                <w:lang w:eastAsia="es-CO"/>
              </w:rPr>
              <w:t xml:space="preserve"> de acuerdo con el bien o servicio a contratar</w:t>
            </w:r>
            <w:r w:rsidRPr="00AD4F6A">
              <w:rPr>
                <w:rFonts w:ascii="Verdana" w:hAnsi="Verdana" w:cs="Arial"/>
                <w:lang w:eastAsia="es-CO"/>
              </w:rPr>
              <w:t xml:space="preserve">. Esta autonomía implica que, para la determinación de los precios, se podrán emplear distintos métodos técnicamente idóneos, siempre que los cálculos presupuestales estén debidamente soportados en estimaciones fundamentadas, técnicas y verificables, que reflejen la realidad del mercado y la naturaleza específica del objeto contractual. Así mismo, dentro de esa </w:t>
            </w:r>
            <w:r w:rsidRPr="00AD4F6A">
              <w:rPr>
                <w:rFonts w:ascii="Verdana" w:hAnsi="Verdana" w:cs="Arial"/>
                <w:lang w:eastAsia="es-CO"/>
              </w:rPr>
              <w:lastRenderedPageBreak/>
              <w:t xml:space="preserve">autonomía, </w:t>
            </w:r>
            <w:r>
              <w:rPr>
                <w:rFonts w:ascii="Verdana" w:hAnsi="Verdana" w:cs="Arial"/>
                <w:lang w:eastAsia="es-CO"/>
              </w:rPr>
              <w:t xml:space="preserve">tanto la </w:t>
            </w:r>
            <w:r w:rsidRPr="00495FCD">
              <w:rPr>
                <w:rFonts w:ascii="Verdana" w:hAnsi="Verdana" w:cs="Arial"/>
                <w:i/>
                <w:iCs/>
                <w:lang w:eastAsia="es-CO"/>
              </w:rPr>
              <w:t>revisión de precios</w:t>
            </w:r>
            <w:r w:rsidRPr="00E5413B">
              <w:rPr>
                <w:rFonts w:ascii="Verdana" w:hAnsi="Verdana" w:cs="Arial"/>
                <w:lang w:eastAsia="es-CO"/>
              </w:rPr>
              <w:t xml:space="preserve"> por solicitud de cotizaciones como la </w:t>
            </w:r>
            <w:r w:rsidRPr="00495FCD">
              <w:rPr>
                <w:rFonts w:ascii="Verdana" w:hAnsi="Verdana" w:cs="Arial"/>
                <w:i/>
                <w:iCs/>
                <w:lang w:eastAsia="es-CO"/>
              </w:rPr>
              <w:t>revisión de precios históricos</w:t>
            </w:r>
            <w:r w:rsidRPr="00E5413B">
              <w:rPr>
                <w:rFonts w:ascii="Verdana" w:hAnsi="Verdana" w:cs="Arial"/>
                <w:lang w:eastAsia="es-CO"/>
              </w:rPr>
              <w:t xml:space="preserve"> </w:t>
            </w:r>
            <w:r w:rsidRPr="00AD4F6A">
              <w:rPr>
                <w:rFonts w:ascii="Verdana" w:hAnsi="Verdana" w:cs="Arial"/>
                <w:lang w:eastAsia="es-CO"/>
              </w:rPr>
              <w:t>constituye</w:t>
            </w:r>
            <w:r>
              <w:rPr>
                <w:rFonts w:ascii="Verdana" w:hAnsi="Verdana" w:cs="Arial"/>
                <w:lang w:eastAsia="es-CO"/>
              </w:rPr>
              <w:t>n</w:t>
            </w:r>
            <w:r w:rsidRPr="00AD4F6A">
              <w:rPr>
                <w:rFonts w:ascii="Verdana" w:hAnsi="Verdana" w:cs="Arial"/>
                <w:lang w:eastAsia="es-CO"/>
              </w:rPr>
              <w:t xml:space="preserve"> herramienta</w:t>
            </w:r>
            <w:r>
              <w:rPr>
                <w:rFonts w:ascii="Verdana" w:hAnsi="Verdana" w:cs="Arial"/>
                <w:lang w:eastAsia="es-CO"/>
              </w:rPr>
              <w:t>s</w:t>
            </w:r>
            <w:r w:rsidRPr="00AD4F6A">
              <w:rPr>
                <w:rFonts w:ascii="Verdana" w:hAnsi="Verdana" w:cs="Arial"/>
                <w:lang w:eastAsia="es-CO"/>
              </w:rPr>
              <w:t xml:space="preserve"> válida</w:t>
            </w:r>
            <w:r>
              <w:rPr>
                <w:rFonts w:ascii="Verdana" w:hAnsi="Verdana" w:cs="Arial"/>
                <w:lang w:eastAsia="es-CO"/>
              </w:rPr>
              <w:t>s</w:t>
            </w:r>
            <w:r w:rsidRPr="00AD4F6A">
              <w:rPr>
                <w:rFonts w:ascii="Verdana" w:hAnsi="Verdana" w:cs="Arial"/>
                <w:lang w:eastAsia="es-CO"/>
              </w:rPr>
              <w:t xml:space="preserve"> como insumo</w:t>
            </w:r>
            <w:r>
              <w:rPr>
                <w:rFonts w:ascii="Verdana" w:hAnsi="Verdana" w:cs="Arial"/>
                <w:lang w:eastAsia="es-CO"/>
              </w:rPr>
              <w:t>s</w:t>
            </w:r>
            <w:r w:rsidRPr="00AD4F6A">
              <w:rPr>
                <w:rFonts w:ascii="Verdana" w:hAnsi="Verdana" w:cs="Arial"/>
                <w:lang w:eastAsia="es-CO"/>
              </w:rPr>
              <w:t xml:space="preserve"> que oriente</w:t>
            </w:r>
            <w:r>
              <w:rPr>
                <w:rFonts w:ascii="Verdana" w:hAnsi="Verdana" w:cs="Arial"/>
                <w:lang w:eastAsia="es-CO"/>
              </w:rPr>
              <w:t>n a la entidad en la determinación del presupuesto</w:t>
            </w:r>
            <w:r w:rsidRPr="00AD4F6A">
              <w:rPr>
                <w:rFonts w:ascii="Verdana" w:hAnsi="Verdana" w:cs="Arial"/>
                <w:lang w:eastAsia="es-CO"/>
              </w:rPr>
              <w:t>, pero su adopción debe estar precedida de una verificación minuciosa de su pertinencia frente a las condiciones particulares del proyecto y las características técnicas de los bienes o servicios requeridos, de tal forma que la entidad no se exime de su deber de realizar la respectiva verificación del mercado</w:t>
            </w:r>
            <w:r w:rsidRPr="00AD4F6A">
              <w:rPr>
                <w:rFonts w:ascii="Verdana" w:hAnsi="Verdana" w:cs="Arial"/>
              </w:rPr>
              <w:t>.</w:t>
            </w:r>
          </w:p>
          <w:p w14:paraId="158CECCB" w14:textId="1E46944B" w:rsidR="00902E32" w:rsidRDefault="00902E32" w:rsidP="00902E32">
            <w:pPr>
              <w:spacing w:after="120" w:line="276" w:lineRule="auto"/>
              <w:ind w:firstLine="709"/>
              <w:jc w:val="both"/>
              <w:rPr>
                <w:rFonts w:ascii="Verdana" w:hAnsi="Verdana" w:cs="Arial"/>
              </w:rPr>
            </w:pPr>
            <w:r>
              <w:rPr>
                <w:rFonts w:ascii="Verdana" w:hAnsi="Verdana" w:cs="Arial"/>
              </w:rPr>
              <w:t xml:space="preserve">En línea con lo anterior, es importante advertir que no es posible plantear una relación jerárquica entre </w:t>
            </w:r>
            <w:r w:rsidR="007720AD">
              <w:rPr>
                <w:rFonts w:ascii="Verdana" w:hAnsi="Verdana" w:cs="Arial"/>
              </w:rPr>
              <w:t xml:space="preserve">dichos </w:t>
            </w:r>
            <w:r>
              <w:rPr>
                <w:rFonts w:ascii="Verdana" w:hAnsi="Verdana" w:cs="Arial"/>
              </w:rPr>
              <w:t xml:space="preserve">mecanismos, pues su aplicación y análisis dependerá de la autonomía y responsabilidad del estructurador del proceso, así como de las características del objeto a contratar. De esta forma, existe una relación complementaria entre la revisión de </w:t>
            </w:r>
            <w:proofErr w:type="gramStart"/>
            <w:r>
              <w:rPr>
                <w:rFonts w:ascii="Verdana" w:hAnsi="Verdana" w:cs="Arial"/>
              </w:rPr>
              <w:t>las cotización</w:t>
            </w:r>
            <w:proofErr w:type="gramEnd"/>
            <w:r>
              <w:rPr>
                <w:rFonts w:ascii="Verdana" w:hAnsi="Verdana" w:cs="Arial"/>
              </w:rPr>
              <w:t xml:space="preserve"> y el análisis de los precios históricos pues la implementación de ambos puede otorgar herramientas más completas para que la entidad determine el presupuesto oficial. Por ejemplo, la entidad puede adelantar un sondeo del mercado, incorporando los precios históricos en un ejercicio de indexación para establecer el precio con mayor precisión. Por otra parte, puede que el sondeo de mercado genere una realidad que no sea acorde con los precios que históricamente ha pagado la entidad, o que la revisión de precios históricos determine valores inferiores frente a lo que exige el mercado al momento de estructurar el proceso; en ambos supuestos, la utilización de estos mecanismos de forma complementaria permit</w:t>
            </w:r>
            <w:r w:rsidR="006A28E2">
              <w:rPr>
                <w:rFonts w:ascii="Verdana" w:hAnsi="Verdana" w:cs="Arial"/>
              </w:rPr>
              <w:t>e</w:t>
            </w:r>
            <w:r>
              <w:rPr>
                <w:rFonts w:ascii="Verdana" w:hAnsi="Verdana" w:cs="Arial"/>
              </w:rPr>
              <w:t xml:space="preserve"> que la entidad tenga una perspectiva más completa del mercado y le indicará si es necesario que requiera aclaraciones o precisiones adicionales. </w:t>
            </w:r>
          </w:p>
          <w:p w14:paraId="3A02799E" w14:textId="449A712F" w:rsidR="00291DB4" w:rsidRPr="00FB3BB7" w:rsidRDefault="00A27D0D" w:rsidP="00AC20B4">
            <w:pPr>
              <w:spacing w:after="120" w:line="276" w:lineRule="auto"/>
              <w:ind w:firstLine="708"/>
              <w:jc w:val="both"/>
              <w:rPr>
                <w:rFonts w:ascii="Verdana" w:eastAsia="Calibri" w:hAnsi="Verdana" w:cs="Arial"/>
              </w:rPr>
            </w:pPr>
            <w:r w:rsidRPr="00AD4F6A">
              <w:rPr>
                <w:rFonts w:ascii="Verdana" w:eastAsia="Calibri" w:hAnsi="Verdana" w:cs="Times New Roman"/>
                <w:lang w:val="es-ES"/>
              </w:rPr>
              <w:t>Finalmente, debe destacarse que la Agencia Nacional de Contratación Pública –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w:t>
            </w:r>
            <w:r w:rsidRPr="00AD4F6A">
              <w:rPr>
                <w:rFonts w:ascii="Verdana" w:hAnsi="Verdana"/>
              </w:rPr>
              <w:t xml:space="preserve"> </w:t>
            </w:r>
            <w:r w:rsidR="00AC20B4">
              <w:rPr>
                <w:rFonts w:ascii="Verdana" w:hAnsi="Verdana"/>
              </w:rPr>
              <w:t>Por otra parte, c</w:t>
            </w:r>
            <w:r>
              <w:rPr>
                <w:rFonts w:ascii="Verdana" w:hAnsi="Verdana"/>
              </w:rPr>
              <w:t xml:space="preserve">orresponde a los entes de control determinar en cada caso concreto si existe o no lugar a realizar </w:t>
            </w:r>
            <w:proofErr w:type="gramStart"/>
            <w:r>
              <w:rPr>
                <w:rFonts w:ascii="Verdana" w:hAnsi="Verdana"/>
              </w:rPr>
              <w:t>un investigación</w:t>
            </w:r>
            <w:proofErr w:type="gramEnd"/>
            <w:r>
              <w:rPr>
                <w:rFonts w:ascii="Verdana" w:hAnsi="Verdana"/>
              </w:rPr>
              <w:t xml:space="preserve"> y si se encuentran configurados los supuestos para determinar la responsabilidad fiscal, penal o disciplinaria de quienes intervienen en la gestión contractual. </w:t>
            </w:r>
          </w:p>
        </w:tc>
      </w:tr>
    </w:tbl>
    <w:p w14:paraId="09DEBF82" w14:textId="23F56090" w:rsidR="00F14B8B" w:rsidRPr="00FB3BB7" w:rsidRDefault="00F14B8B" w:rsidP="00F14B8B">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416593CD" w14:textId="77777777" w:rsidR="00F14B8B" w:rsidRPr="00FB3BB7" w:rsidRDefault="00F14B8B" w:rsidP="00F14B8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B3BB7">
        <w:rPr>
          <w:rFonts w:ascii="Verdana" w:eastAsia="Century Gothic" w:hAnsi="Verdana" w:cs="Century Gothic"/>
          <w:b/>
          <w:bCs/>
          <w:color w:val="000000" w:themeColor="text1"/>
        </w:rPr>
        <w:t>Razones de la respuesta:</w:t>
      </w:r>
    </w:p>
    <w:p w14:paraId="70E3F470" w14:textId="77777777" w:rsidR="00F14B8B" w:rsidRPr="00FB3BB7" w:rsidRDefault="00F14B8B" w:rsidP="00F14B8B">
      <w:pPr>
        <w:spacing w:after="0" w:line="276" w:lineRule="auto"/>
        <w:jc w:val="both"/>
        <w:rPr>
          <w:rFonts w:ascii="Verdana" w:eastAsia="Calibri" w:hAnsi="Verdana" w:cs="Arial"/>
          <w:color w:val="000000" w:themeColor="text1"/>
          <w:lang w:val="es-ES"/>
        </w:rPr>
      </w:pPr>
    </w:p>
    <w:p w14:paraId="74256C23" w14:textId="77777777" w:rsidR="00F14B8B" w:rsidRPr="00FB3BB7" w:rsidRDefault="00F14B8B" w:rsidP="00F14B8B">
      <w:pPr>
        <w:spacing w:after="0" w:line="276" w:lineRule="auto"/>
        <w:jc w:val="both"/>
        <w:rPr>
          <w:rFonts w:ascii="Verdana" w:eastAsia="Calibri" w:hAnsi="Verdana" w:cs="Arial"/>
          <w:color w:val="000000" w:themeColor="text1"/>
          <w:lang w:val="es-ES"/>
        </w:rPr>
      </w:pPr>
      <w:r w:rsidRPr="00FB3BB7">
        <w:rPr>
          <w:rFonts w:ascii="Verdana" w:eastAsia="Calibri" w:hAnsi="Verdana" w:cs="Arial"/>
          <w:color w:val="000000" w:themeColor="text1"/>
          <w:lang w:val="es-ES"/>
        </w:rPr>
        <w:t xml:space="preserve">Lo anterior se sustenta en las siguientes consideraciones: </w:t>
      </w:r>
    </w:p>
    <w:p w14:paraId="5AB279DE" w14:textId="77777777" w:rsidR="00F14B8B" w:rsidRDefault="00F14B8B" w:rsidP="00F14B8B">
      <w:pPr>
        <w:spacing w:after="0" w:line="276" w:lineRule="auto"/>
        <w:jc w:val="both"/>
        <w:rPr>
          <w:rFonts w:ascii="Verdana" w:eastAsia="Calibri" w:hAnsi="Verdana" w:cs="Arial"/>
          <w:color w:val="000000" w:themeColor="text1"/>
          <w:lang w:val="es-ES"/>
        </w:rPr>
      </w:pPr>
    </w:p>
    <w:p w14:paraId="0BFA1CEF" w14:textId="77777777" w:rsidR="00F14B8B" w:rsidRDefault="00F14B8B" w:rsidP="00776D89">
      <w:pPr>
        <w:spacing w:after="120" w:line="276" w:lineRule="auto"/>
        <w:jc w:val="both"/>
        <w:rPr>
          <w:rFonts w:ascii="Verdana" w:eastAsia="Calibri" w:hAnsi="Verdana" w:cs="Arial"/>
          <w:bCs/>
          <w:lang w:val="es-ES_tradnl" w:eastAsia="es-MX"/>
        </w:rPr>
      </w:pPr>
      <w:bookmarkStart w:id="2" w:name="_Hlk54011258"/>
      <w:r w:rsidRPr="00A12F8E">
        <w:rPr>
          <w:rFonts w:ascii="Verdana" w:eastAsia="Calibri" w:hAnsi="Verdana" w:cs="Arial"/>
          <w:bCs/>
          <w:lang w:val="es-ES_tradnl" w:eastAsia="es-MX"/>
        </w:rPr>
        <w:t>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bookmarkEnd w:id="2"/>
      <w:r w:rsidRPr="00A12F8E">
        <w:rPr>
          <w:rFonts w:ascii="Verdana" w:eastAsia="Calibri" w:hAnsi="Verdana" w:cs="Arial"/>
          <w:bCs/>
          <w:lang w:val="es-ES_tradnl" w:eastAsia="es-MX"/>
        </w:rPr>
        <w:t>.</w:t>
      </w:r>
    </w:p>
    <w:p w14:paraId="1534A3CA" w14:textId="31C1F107" w:rsidR="00F14B8B" w:rsidRPr="00AD4F6A" w:rsidRDefault="00F14B8B" w:rsidP="00F14B8B">
      <w:pPr>
        <w:spacing w:after="0" w:line="276" w:lineRule="auto"/>
        <w:ind w:firstLine="708"/>
        <w:jc w:val="both"/>
        <w:rPr>
          <w:rFonts w:ascii="Verdana" w:eastAsia="Calibri" w:hAnsi="Verdana" w:cs="Arial"/>
          <w:lang w:val="es-MX"/>
        </w:rPr>
      </w:pPr>
      <w:r w:rsidRPr="00A12F8E">
        <w:rPr>
          <w:rFonts w:ascii="Verdana" w:eastAsia="Calibri" w:hAnsi="Verdana" w:cs="Arial"/>
          <w:bCs/>
          <w:lang w:val="es-MX" w:eastAsia="es-ES_tradnl"/>
        </w:rPr>
        <w:t>El Estatuto General de Contratación de la Administración Pública –</w:t>
      </w:r>
      <w:r w:rsidR="00A61F44">
        <w:rPr>
          <w:rFonts w:ascii="Verdana" w:eastAsia="Calibri" w:hAnsi="Verdana" w:cs="Arial"/>
          <w:bCs/>
          <w:lang w:val="es-MX" w:eastAsia="es-ES_tradnl"/>
        </w:rPr>
        <w:t>e</w:t>
      </w:r>
      <w:r>
        <w:rPr>
          <w:rFonts w:ascii="Verdana" w:eastAsia="Calibri" w:hAnsi="Verdana" w:cs="Arial"/>
          <w:bCs/>
          <w:lang w:val="es-MX" w:eastAsia="es-ES_tradnl"/>
        </w:rPr>
        <w:t xml:space="preserve">n adelante </w:t>
      </w:r>
      <w:r w:rsidRPr="00A12F8E">
        <w:rPr>
          <w:rFonts w:ascii="Verdana" w:eastAsia="Calibri" w:hAnsi="Verdana" w:cs="Arial"/>
          <w:bCs/>
          <w:lang w:val="es-MX" w:eastAsia="es-ES_tradnl"/>
        </w:rPr>
        <w:t xml:space="preserve">EGCAP– contiene disposiciones que exigen a las Entidades Estatales el deber de realizar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 </w:t>
      </w:r>
      <w:r w:rsidRPr="00AD4F6A">
        <w:rPr>
          <w:rFonts w:ascii="Verdana" w:eastAsia="Calibri" w:hAnsi="Verdana" w:cs="Arial"/>
          <w:bCs/>
          <w:lang w:val="es-MX"/>
        </w:rPr>
        <w:t xml:space="preserve">En relación con el valor del futuro contrato y su correlativo respaldo presupuestal, se tienen, por ejemplo, las siguientes reglas derivadas de la aplicación del principio de economía previsto en el artículo 25 de la Ley 80 de 1993: </w:t>
      </w:r>
    </w:p>
    <w:p w14:paraId="1F7C413F" w14:textId="77777777" w:rsidR="00F14B8B" w:rsidRPr="00AD4F6A" w:rsidRDefault="00F14B8B" w:rsidP="00F14B8B">
      <w:pPr>
        <w:spacing w:after="0" w:line="276" w:lineRule="auto"/>
        <w:ind w:firstLine="709"/>
        <w:jc w:val="both"/>
        <w:rPr>
          <w:rFonts w:ascii="Verdana" w:eastAsia="Calibri" w:hAnsi="Verdana" w:cs="Arial"/>
          <w:bCs/>
          <w:lang w:val="es-ES"/>
        </w:rPr>
      </w:pPr>
    </w:p>
    <w:p w14:paraId="7CDFBE96" w14:textId="77777777" w:rsidR="00F14B8B" w:rsidRPr="00AD4F6A" w:rsidRDefault="00F14B8B" w:rsidP="00F14B8B">
      <w:pPr>
        <w:spacing w:after="0" w:line="240" w:lineRule="auto"/>
        <w:ind w:left="709" w:right="709"/>
        <w:jc w:val="both"/>
        <w:rPr>
          <w:rFonts w:ascii="Verdana" w:eastAsia="Calibri" w:hAnsi="Verdana" w:cs="Arial"/>
          <w:sz w:val="20"/>
          <w:szCs w:val="20"/>
          <w:lang w:val="es-MX"/>
        </w:rPr>
      </w:pPr>
      <w:r w:rsidRPr="00AD4F6A">
        <w:rPr>
          <w:rFonts w:ascii="Verdana" w:eastAsia="Calibri" w:hAnsi="Verdana" w:cs="Arial"/>
          <w:sz w:val="20"/>
          <w:szCs w:val="20"/>
          <w:lang w:val="es-MX"/>
        </w:rPr>
        <w:t>7o. La conveniencia o inconveniencia del objeto a contratar y las autorizaciones y aprobaciones para ello, se analizarán o impartirán con antelación al inicio del proceso de selección del contratista o al de la firma del contrato, según el caso.</w:t>
      </w:r>
    </w:p>
    <w:p w14:paraId="2E9F833E" w14:textId="77777777" w:rsidR="00F14B8B" w:rsidRPr="00AD4F6A" w:rsidRDefault="00F14B8B" w:rsidP="00F14B8B">
      <w:pPr>
        <w:spacing w:after="0" w:line="240" w:lineRule="auto"/>
        <w:ind w:left="709" w:right="709"/>
        <w:jc w:val="both"/>
        <w:rPr>
          <w:rFonts w:ascii="Verdana" w:eastAsia="Calibri" w:hAnsi="Verdana" w:cs="Arial"/>
          <w:sz w:val="20"/>
          <w:szCs w:val="20"/>
          <w:lang w:val="es-MX"/>
        </w:rPr>
      </w:pPr>
      <w:r w:rsidRPr="00AD4F6A">
        <w:rPr>
          <w:rFonts w:ascii="Verdana" w:eastAsia="Calibri" w:hAnsi="Verdana" w:cs="Arial"/>
          <w:sz w:val="20"/>
          <w:szCs w:val="20"/>
          <w:lang w:val="es-MX"/>
        </w:rPr>
        <w:t>[…]</w:t>
      </w:r>
    </w:p>
    <w:p w14:paraId="387ABA04" w14:textId="77777777" w:rsidR="00F14B8B" w:rsidRPr="00AD4F6A" w:rsidRDefault="00F14B8B" w:rsidP="00F14B8B">
      <w:pPr>
        <w:spacing w:after="0" w:line="240" w:lineRule="auto"/>
        <w:ind w:left="709" w:right="709"/>
        <w:jc w:val="both"/>
        <w:rPr>
          <w:rFonts w:ascii="Verdana" w:eastAsia="Calibri" w:hAnsi="Verdana" w:cs="Arial"/>
          <w:sz w:val="20"/>
          <w:szCs w:val="20"/>
          <w:lang w:val="es-MX"/>
        </w:rPr>
      </w:pPr>
      <w:r w:rsidRPr="00AD4F6A">
        <w:rPr>
          <w:rFonts w:ascii="Verdana" w:eastAsia="Calibri" w:hAnsi="Verdana" w:cs="Arial"/>
          <w:sz w:val="20"/>
          <w:szCs w:val="20"/>
          <w:lang w:val="es-MX"/>
        </w:rPr>
        <w:t>12. Previo a la apertura de un proceso de selección, o a la firma del contrato en el caso en que la modalidad de selección sea contratación directa, deberán elaborarse los estudios, diseños y proyectos requeridos, y los pliegos de condiciones, según corresponda.</w:t>
      </w:r>
    </w:p>
    <w:p w14:paraId="573EF2C9" w14:textId="77777777" w:rsidR="00F14B8B" w:rsidRPr="00AD4F6A" w:rsidRDefault="00F14B8B" w:rsidP="00F14B8B">
      <w:pPr>
        <w:spacing w:after="0" w:line="240" w:lineRule="auto"/>
        <w:ind w:left="709" w:right="709"/>
        <w:jc w:val="both"/>
        <w:rPr>
          <w:rFonts w:ascii="Verdana" w:eastAsia="Calibri" w:hAnsi="Verdana" w:cs="Arial"/>
          <w:sz w:val="20"/>
          <w:szCs w:val="20"/>
          <w:lang w:val="es-MX"/>
        </w:rPr>
      </w:pPr>
      <w:r w:rsidRPr="00AD4F6A">
        <w:rPr>
          <w:rFonts w:ascii="Verdana" w:eastAsia="Calibri" w:hAnsi="Verdana" w:cs="Arial"/>
          <w:sz w:val="20"/>
          <w:szCs w:val="20"/>
          <w:lang w:val="es-MX"/>
        </w:rPr>
        <w:t>Cuando el objeto de la contratación incluya la realización de una obra, en la misma oportunidad señalada en el inciso primero, la entidad contratante deberá contar con los estudios y diseños que permitan establecer la viabilidad del proyecto y su impacto social, económico y ambiental. Esta condición será aplicable incluso para los contratos que incluyan dentro del objeto el diseño.</w:t>
      </w:r>
    </w:p>
    <w:p w14:paraId="24F4DFDD" w14:textId="77777777" w:rsidR="00F14B8B" w:rsidRPr="00AD4F6A" w:rsidRDefault="00F14B8B" w:rsidP="00F14B8B">
      <w:pPr>
        <w:spacing w:after="0" w:line="240" w:lineRule="auto"/>
        <w:ind w:left="709" w:right="709"/>
        <w:jc w:val="both"/>
        <w:rPr>
          <w:rFonts w:ascii="Verdana" w:hAnsi="Verdana" w:cs="Arial"/>
          <w:sz w:val="20"/>
          <w:szCs w:val="20"/>
        </w:rPr>
      </w:pPr>
      <w:r w:rsidRPr="00AD4F6A">
        <w:rPr>
          <w:rFonts w:ascii="Verdana" w:hAnsi="Verdana" w:cs="Arial"/>
          <w:sz w:val="20"/>
          <w:szCs w:val="20"/>
        </w:rPr>
        <w:t xml:space="preserve">13. Las autoridades constituirán las reservas y compromisos presupuestales necesarios, tomando como base el valor de las </w:t>
      </w:r>
      <w:r w:rsidRPr="00AD4F6A">
        <w:rPr>
          <w:rFonts w:ascii="Verdana" w:hAnsi="Verdana" w:cs="Arial"/>
          <w:sz w:val="20"/>
          <w:szCs w:val="20"/>
        </w:rPr>
        <w:lastRenderedPageBreak/>
        <w:t>prestaciones al momento de celebrar el contrato y el estimativo de los ajustes resultantes de la aplicación de la cláusula de actualización de precios.</w:t>
      </w:r>
    </w:p>
    <w:p w14:paraId="613CE8C4" w14:textId="77777777" w:rsidR="00F14B8B" w:rsidRPr="00AD4F6A" w:rsidRDefault="00F14B8B" w:rsidP="00F14B8B">
      <w:pPr>
        <w:spacing w:after="0" w:line="240" w:lineRule="auto"/>
        <w:ind w:left="709" w:right="709"/>
        <w:jc w:val="both"/>
        <w:rPr>
          <w:rFonts w:ascii="Verdana" w:hAnsi="Verdana" w:cs="Arial"/>
          <w:sz w:val="20"/>
          <w:szCs w:val="20"/>
        </w:rPr>
      </w:pPr>
      <w:r w:rsidRPr="00AD4F6A">
        <w:rPr>
          <w:rFonts w:ascii="Verdana" w:hAnsi="Verdana" w:cs="Arial"/>
          <w:sz w:val="20"/>
          <w:szCs w:val="20"/>
        </w:rPr>
        <w:t>14. Las entidades incluirán en sus presupuestos anuales una apropiación global destinada a cubrir los costos imprevistos ocasionados por los retardos en los pagos, así como los que se originen en la revisión de los precios pactados por razón de los cambios o alteraciones en las condiciones iniciales de los contratos por ellas celebrados […].</w:t>
      </w:r>
    </w:p>
    <w:p w14:paraId="78BA8BFB" w14:textId="77777777" w:rsidR="00F14B8B" w:rsidRDefault="00F14B8B" w:rsidP="00F14B8B">
      <w:pPr>
        <w:spacing w:after="120" w:line="276" w:lineRule="auto"/>
        <w:jc w:val="both"/>
        <w:rPr>
          <w:rFonts w:ascii="Verdana" w:eastAsia="Calibri" w:hAnsi="Verdana" w:cs="Arial"/>
          <w:bCs/>
          <w:lang w:val="es-MX" w:eastAsia="es-ES_tradnl"/>
        </w:rPr>
      </w:pPr>
    </w:p>
    <w:p w14:paraId="279901CA" w14:textId="77777777" w:rsidR="00F14B8B" w:rsidRPr="00AD4F6A" w:rsidRDefault="00F14B8B" w:rsidP="00F14B8B">
      <w:pPr>
        <w:spacing w:after="120" w:line="276" w:lineRule="auto"/>
        <w:ind w:firstLine="709"/>
        <w:jc w:val="both"/>
        <w:rPr>
          <w:rFonts w:ascii="Verdana" w:hAnsi="Verdana" w:cs="Arial"/>
        </w:rPr>
      </w:pPr>
      <w:r w:rsidRPr="00AD4F6A">
        <w:rPr>
          <w:rFonts w:ascii="Verdana" w:hAnsi="Verdana" w:cs="Arial"/>
        </w:rPr>
        <w:t>Lo anterior le permitirá a la entidad estatal identificar desde el punto de vista técnico y financiero el objeto del contrato, las particularidades de su ejecución, los potenciales proponentes, requisitos mínimos para evaluar la idoneidad del contratista, así como analizar todas las variables que puedan afectar el procedimiento de selección, celebración y ejecución del contrato. Tal es la importancia de los estudios y documentos previos que su deficiencia o ausencia, “genera prácticas indebidas, revocatoria de actos administrativos de apertura, declaratorias de desierta de procesos de selección, comisión de faltas disciplinarias, mayores costos o mayor permanencia de la obra y, en general, el fracaso en la ejecución de contratos estatales”</w:t>
      </w:r>
      <w:r w:rsidRPr="00AD4F6A">
        <w:rPr>
          <w:rFonts w:ascii="Verdana" w:hAnsi="Verdana" w:cs="Arial"/>
          <w:vertAlign w:val="superscript"/>
        </w:rPr>
        <w:footnoteReference w:id="3"/>
      </w:r>
      <w:r w:rsidRPr="00AD4F6A">
        <w:rPr>
          <w:rFonts w:ascii="Verdana" w:hAnsi="Verdana" w:cs="Arial"/>
        </w:rPr>
        <w:t xml:space="preserve">. </w:t>
      </w:r>
    </w:p>
    <w:p w14:paraId="33E6618C" w14:textId="77777777" w:rsidR="00F14B8B" w:rsidRPr="00AD4F6A" w:rsidRDefault="00F14B8B" w:rsidP="00F14B8B">
      <w:pPr>
        <w:spacing w:after="0" w:line="276" w:lineRule="auto"/>
        <w:ind w:firstLine="709"/>
        <w:jc w:val="both"/>
        <w:rPr>
          <w:rFonts w:ascii="Verdana" w:hAnsi="Verdana" w:cs="Arial"/>
        </w:rPr>
      </w:pPr>
      <w:r w:rsidRPr="00AD4F6A">
        <w:rPr>
          <w:rFonts w:ascii="Verdana" w:hAnsi="Verdana" w:cs="Arial"/>
        </w:rPr>
        <w:t>En congruencia con el artículo 25 de la Ley 80 de 1993, el Decreto Único Reglamentario del Sector Administrativo de Planeación Nacional –Decreto 1082 de 2015–, dispone en el artículo 2.2.1.1.2.1.1 el contenido mínimo de los estudios y documentos previos:</w:t>
      </w:r>
    </w:p>
    <w:p w14:paraId="2839166C" w14:textId="77777777" w:rsidR="00F14B8B" w:rsidRPr="00AD4F6A" w:rsidRDefault="00F14B8B" w:rsidP="00F14B8B">
      <w:pPr>
        <w:spacing w:after="0" w:line="276" w:lineRule="auto"/>
        <w:ind w:firstLine="709"/>
        <w:jc w:val="both"/>
        <w:rPr>
          <w:rFonts w:ascii="Verdana" w:hAnsi="Verdana" w:cs="Arial"/>
        </w:rPr>
      </w:pPr>
    </w:p>
    <w:p w14:paraId="311DE98E" w14:textId="77777777" w:rsidR="00F14B8B" w:rsidRPr="00AD4F6A" w:rsidRDefault="00F14B8B" w:rsidP="00F14B8B">
      <w:pPr>
        <w:spacing w:after="0" w:line="240" w:lineRule="auto"/>
        <w:ind w:left="709" w:right="709"/>
        <w:jc w:val="both"/>
        <w:rPr>
          <w:rFonts w:ascii="Verdana" w:hAnsi="Verdana" w:cs="Arial"/>
          <w:sz w:val="20"/>
          <w:szCs w:val="20"/>
        </w:rPr>
      </w:pPr>
      <w:r w:rsidRPr="00AD4F6A">
        <w:rPr>
          <w:rFonts w:ascii="Verdana" w:hAnsi="Verdana" w:cs="Arial"/>
          <w:sz w:val="20"/>
          <w:szCs w:val="20"/>
        </w:rPr>
        <w:t xml:space="preserve">Artículo 2.2.1.1.2.1.1. Los estudios y documentos previos son el soporte para elaborar el proyecto de pliegos, los pliegos de condiciones y el contrato. Estos deben permanecer a disposición del público durante el desarrollo del Proceso de Contratación y contener los siguientes elementos, además de los indicados para cada modalidad de selección: </w:t>
      </w:r>
    </w:p>
    <w:p w14:paraId="6395A887" w14:textId="77777777" w:rsidR="00F14B8B" w:rsidRPr="00AD4F6A" w:rsidRDefault="00F14B8B" w:rsidP="00F14B8B">
      <w:pPr>
        <w:spacing w:after="0" w:line="240" w:lineRule="auto"/>
        <w:ind w:left="709" w:right="709"/>
        <w:jc w:val="both"/>
        <w:rPr>
          <w:rFonts w:ascii="Verdana" w:hAnsi="Verdana" w:cs="Arial"/>
          <w:sz w:val="20"/>
          <w:szCs w:val="20"/>
        </w:rPr>
      </w:pPr>
    </w:p>
    <w:p w14:paraId="7F6F28DE" w14:textId="77777777" w:rsidR="00F14B8B" w:rsidRPr="00AD4F6A" w:rsidRDefault="00F14B8B" w:rsidP="00F14B8B">
      <w:pPr>
        <w:spacing w:after="0" w:line="240" w:lineRule="auto"/>
        <w:ind w:left="709" w:right="709"/>
        <w:jc w:val="both"/>
        <w:rPr>
          <w:rFonts w:ascii="Verdana" w:hAnsi="Verdana" w:cs="Arial"/>
          <w:sz w:val="20"/>
          <w:szCs w:val="20"/>
        </w:rPr>
      </w:pPr>
      <w:r w:rsidRPr="00AD4F6A">
        <w:rPr>
          <w:rFonts w:ascii="Verdana" w:hAnsi="Verdana" w:cs="Arial"/>
          <w:sz w:val="20"/>
          <w:szCs w:val="20"/>
        </w:rPr>
        <w:t xml:space="preserve">1. La descripción de la necesidad que la Entidad Estatal pretende satisfacer con el Proceso de Contratación. </w:t>
      </w:r>
      <w:r w:rsidRPr="00AD4F6A">
        <w:rPr>
          <w:rFonts w:ascii="Arial" w:hAnsi="Arial" w:cs="Arial"/>
          <w:sz w:val="20"/>
          <w:szCs w:val="20"/>
        </w:rPr>
        <w:t>​</w:t>
      </w:r>
    </w:p>
    <w:p w14:paraId="667FC714" w14:textId="77777777" w:rsidR="00F14B8B" w:rsidRPr="00AD4F6A" w:rsidRDefault="00F14B8B" w:rsidP="00F14B8B">
      <w:pPr>
        <w:spacing w:after="0" w:line="240" w:lineRule="auto"/>
        <w:ind w:left="709" w:right="709"/>
        <w:jc w:val="both"/>
        <w:rPr>
          <w:rFonts w:ascii="Verdana" w:hAnsi="Verdana" w:cs="Arial"/>
          <w:sz w:val="20"/>
          <w:szCs w:val="20"/>
        </w:rPr>
      </w:pPr>
    </w:p>
    <w:p w14:paraId="4F0542F9" w14:textId="77777777" w:rsidR="00F14B8B" w:rsidRPr="00AD4F6A" w:rsidRDefault="00F14B8B" w:rsidP="00F14B8B">
      <w:pPr>
        <w:spacing w:after="0" w:line="240" w:lineRule="auto"/>
        <w:ind w:left="709" w:right="709"/>
        <w:jc w:val="both"/>
        <w:rPr>
          <w:rFonts w:ascii="Verdana" w:hAnsi="Verdana" w:cs="Arial"/>
          <w:sz w:val="20"/>
          <w:szCs w:val="20"/>
        </w:rPr>
      </w:pPr>
      <w:r w:rsidRPr="00AD4F6A">
        <w:rPr>
          <w:rFonts w:ascii="Verdana" w:hAnsi="Verdana" w:cs="Arial"/>
          <w:sz w:val="20"/>
          <w:szCs w:val="20"/>
        </w:rPr>
        <w:t xml:space="preserve">2. El objeto a contratar, con sus especificaciones, las autorizaciones, permisos y licencias requeridos para su ejecución, y cuando el contrato incluye diseño y construcción, los documentos técnicos para el desarrollo del proyecto. </w:t>
      </w:r>
    </w:p>
    <w:p w14:paraId="17E73C33" w14:textId="77777777" w:rsidR="00F14B8B" w:rsidRPr="00AD4F6A" w:rsidRDefault="00F14B8B" w:rsidP="00F14B8B">
      <w:pPr>
        <w:spacing w:after="0" w:line="240" w:lineRule="auto"/>
        <w:ind w:left="709" w:right="709"/>
        <w:jc w:val="both"/>
        <w:rPr>
          <w:rFonts w:ascii="Verdana" w:hAnsi="Verdana" w:cs="Arial"/>
          <w:sz w:val="20"/>
          <w:szCs w:val="20"/>
        </w:rPr>
      </w:pPr>
    </w:p>
    <w:p w14:paraId="1CFD4007" w14:textId="77777777" w:rsidR="00F14B8B" w:rsidRPr="00AD4F6A" w:rsidRDefault="00F14B8B" w:rsidP="00F14B8B">
      <w:pPr>
        <w:spacing w:after="0" w:line="240" w:lineRule="auto"/>
        <w:ind w:left="709" w:right="709"/>
        <w:jc w:val="both"/>
        <w:rPr>
          <w:rFonts w:ascii="Verdana" w:hAnsi="Verdana" w:cs="Arial"/>
          <w:sz w:val="20"/>
          <w:szCs w:val="20"/>
        </w:rPr>
      </w:pPr>
      <w:r w:rsidRPr="00AD4F6A">
        <w:rPr>
          <w:rFonts w:ascii="Verdana" w:hAnsi="Verdana" w:cs="Arial"/>
          <w:sz w:val="20"/>
          <w:szCs w:val="20"/>
        </w:rPr>
        <w:lastRenderedPageBreak/>
        <w:t xml:space="preserve">3. La modalidad de selección del contratista y su justificación, incluyendo los fundamentos jurídicos. </w:t>
      </w:r>
    </w:p>
    <w:p w14:paraId="3A8E1BAB" w14:textId="77777777" w:rsidR="00F14B8B" w:rsidRPr="00AD4F6A" w:rsidRDefault="00F14B8B" w:rsidP="00F14B8B">
      <w:pPr>
        <w:spacing w:after="0" w:line="240" w:lineRule="auto"/>
        <w:ind w:left="709" w:right="709"/>
        <w:jc w:val="both"/>
        <w:rPr>
          <w:rFonts w:ascii="Verdana" w:hAnsi="Verdana" w:cs="Arial"/>
          <w:sz w:val="20"/>
          <w:szCs w:val="20"/>
        </w:rPr>
      </w:pPr>
    </w:p>
    <w:p w14:paraId="78C841C4" w14:textId="77777777" w:rsidR="00F14B8B" w:rsidRPr="00AD4F6A" w:rsidRDefault="00F14B8B" w:rsidP="00F14B8B">
      <w:pPr>
        <w:spacing w:after="0" w:line="240" w:lineRule="auto"/>
        <w:ind w:left="709" w:right="709"/>
        <w:jc w:val="both"/>
        <w:rPr>
          <w:rFonts w:ascii="Verdana" w:hAnsi="Verdana" w:cs="Arial"/>
          <w:sz w:val="20"/>
          <w:szCs w:val="20"/>
        </w:rPr>
      </w:pPr>
      <w:r w:rsidRPr="00AD4F6A">
        <w:rPr>
          <w:rFonts w:ascii="Verdana" w:hAnsi="Verdana" w:cs="Arial"/>
          <w:sz w:val="20"/>
          <w:szCs w:val="20"/>
        </w:rPr>
        <w:t xml:space="preserve">4. </w:t>
      </w:r>
      <w:r w:rsidRPr="00AD4F6A">
        <w:rPr>
          <w:rFonts w:ascii="Verdana" w:hAnsi="Verdana" w:cs="Arial"/>
          <w:i/>
          <w:iCs/>
          <w:sz w:val="20"/>
          <w:szCs w:val="20"/>
        </w:rPr>
        <w:t xml:space="preserve">El valor estimado del contrato y la justificación </w:t>
      </w:r>
      <w:proofErr w:type="gramStart"/>
      <w:r w:rsidRPr="00AD4F6A">
        <w:rPr>
          <w:rFonts w:ascii="Verdana" w:hAnsi="Verdana" w:cs="Arial"/>
          <w:i/>
          <w:iCs/>
          <w:sz w:val="20"/>
          <w:szCs w:val="20"/>
        </w:rPr>
        <w:t>del mismo</w:t>
      </w:r>
      <w:proofErr w:type="gramEnd"/>
      <w:r w:rsidRPr="00AD4F6A">
        <w:rPr>
          <w:rFonts w:ascii="Verdana" w:hAnsi="Verdana" w:cs="Arial"/>
          <w:sz w:val="20"/>
          <w:szCs w:val="20"/>
        </w:rPr>
        <w:t xml:space="preserve">. </w:t>
      </w:r>
      <w:r w:rsidRPr="00AD4F6A">
        <w:rPr>
          <w:rFonts w:ascii="Verdana" w:hAnsi="Verdana" w:cs="Arial"/>
          <w:i/>
          <w:iCs/>
          <w:sz w:val="20"/>
          <w:szCs w:val="20"/>
        </w:rPr>
        <w:t>Cuando el valor del contrato esté determinado por precios unitarios, la Entidad Estatal debe incluir la forma como los calculó y soportar sus cálculos presupuestales en la estimación de aquellos</w:t>
      </w:r>
      <w:r w:rsidRPr="00AD4F6A">
        <w:rPr>
          <w:rFonts w:ascii="Verdana" w:hAnsi="Verdana" w:cs="Arial"/>
          <w:sz w:val="20"/>
          <w:szCs w:val="20"/>
        </w:rPr>
        <w:t xml:space="preserve">. Si el contrato es de concesión, la Entidad Estatal no debe publicar el modelo financiero utilizado en su estructuración. </w:t>
      </w:r>
    </w:p>
    <w:p w14:paraId="358FE375" w14:textId="77777777" w:rsidR="00F14B8B" w:rsidRPr="00AD4F6A" w:rsidRDefault="00F14B8B" w:rsidP="00F14B8B">
      <w:pPr>
        <w:spacing w:after="0" w:line="240" w:lineRule="auto"/>
        <w:ind w:left="709" w:right="709"/>
        <w:jc w:val="both"/>
        <w:rPr>
          <w:rFonts w:ascii="Verdana" w:hAnsi="Verdana" w:cs="Arial"/>
          <w:sz w:val="20"/>
          <w:szCs w:val="20"/>
        </w:rPr>
      </w:pPr>
    </w:p>
    <w:p w14:paraId="6C15BEAB" w14:textId="77777777" w:rsidR="00F14B8B" w:rsidRPr="00AD4F6A" w:rsidRDefault="00F14B8B" w:rsidP="00F14B8B">
      <w:pPr>
        <w:spacing w:after="0" w:line="240" w:lineRule="auto"/>
        <w:ind w:left="709" w:right="709"/>
        <w:jc w:val="both"/>
        <w:rPr>
          <w:rFonts w:ascii="Verdana" w:hAnsi="Verdana" w:cs="Arial"/>
          <w:sz w:val="20"/>
          <w:szCs w:val="20"/>
        </w:rPr>
      </w:pPr>
      <w:r w:rsidRPr="00AD4F6A">
        <w:rPr>
          <w:rFonts w:ascii="Verdana" w:hAnsi="Verdana" w:cs="Arial"/>
          <w:sz w:val="20"/>
          <w:szCs w:val="20"/>
        </w:rPr>
        <w:t xml:space="preserve">5. Los criterios para seleccionar la oferta más favorable. </w:t>
      </w:r>
    </w:p>
    <w:p w14:paraId="194084AF" w14:textId="77777777" w:rsidR="00F14B8B" w:rsidRPr="00AD4F6A" w:rsidRDefault="00F14B8B" w:rsidP="00F14B8B">
      <w:pPr>
        <w:spacing w:after="0" w:line="240" w:lineRule="auto"/>
        <w:ind w:left="709" w:right="709"/>
        <w:jc w:val="both"/>
        <w:rPr>
          <w:rFonts w:ascii="Verdana" w:hAnsi="Verdana" w:cs="Arial"/>
          <w:sz w:val="20"/>
          <w:szCs w:val="20"/>
        </w:rPr>
      </w:pPr>
    </w:p>
    <w:p w14:paraId="5B2EEA0A" w14:textId="77777777" w:rsidR="00F14B8B" w:rsidRPr="00AD4F6A" w:rsidRDefault="00F14B8B" w:rsidP="00F14B8B">
      <w:pPr>
        <w:spacing w:after="0" w:line="240" w:lineRule="auto"/>
        <w:ind w:left="709" w:right="709"/>
        <w:jc w:val="both"/>
        <w:rPr>
          <w:rFonts w:ascii="Verdana" w:hAnsi="Verdana" w:cs="Arial"/>
          <w:sz w:val="20"/>
          <w:szCs w:val="20"/>
        </w:rPr>
      </w:pPr>
      <w:r w:rsidRPr="00AD4F6A">
        <w:rPr>
          <w:rFonts w:ascii="Verdana" w:hAnsi="Verdana" w:cs="Arial"/>
          <w:sz w:val="20"/>
          <w:szCs w:val="20"/>
        </w:rPr>
        <w:t xml:space="preserve">6. El análisis de Riesgo y la forma de mitigarlo. </w:t>
      </w:r>
    </w:p>
    <w:p w14:paraId="31D571E0" w14:textId="77777777" w:rsidR="00F14B8B" w:rsidRPr="00AD4F6A" w:rsidRDefault="00F14B8B" w:rsidP="00F14B8B">
      <w:pPr>
        <w:spacing w:after="0" w:line="240" w:lineRule="auto"/>
        <w:ind w:left="709" w:right="709"/>
        <w:jc w:val="both"/>
        <w:rPr>
          <w:rFonts w:ascii="Verdana" w:hAnsi="Verdana" w:cs="Arial"/>
          <w:sz w:val="20"/>
          <w:szCs w:val="20"/>
        </w:rPr>
      </w:pPr>
    </w:p>
    <w:p w14:paraId="647E7BF5" w14:textId="77777777" w:rsidR="00F14B8B" w:rsidRPr="00AD4F6A" w:rsidRDefault="00F14B8B" w:rsidP="00F14B8B">
      <w:pPr>
        <w:spacing w:after="0" w:line="240" w:lineRule="auto"/>
        <w:ind w:left="709" w:right="709"/>
        <w:jc w:val="both"/>
        <w:rPr>
          <w:rFonts w:ascii="Verdana" w:hAnsi="Verdana" w:cs="Arial"/>
          <w:sz w:val="20"/>
          <w:szCs w:val="20"/>
        </w:rPr>
      </w:pPr>
      <w:r w:rsidRPr="00AD4F6A">
        <w:rPr>
          <w:rFonts w:ascii="Verdana" w:hAnsi="Verdana" w:cs="Arial"/>
          <w:sz w:val="20"/>
          <w:szCs w:val="20"/>
        </w:rPr>
        <w:t xml:space="preserve">7. Las garantías que la Entidad Estatal contempla exigir en el proceso de contratación. </w:t>
      </w:r>
    </w:p>
    <w:p w14:paraId="6366612F" w14:textId="77777777" w:rsidR="00F14B8B" w:rsidRPr="00AD4F6A" w:rsidRDefault="00F14B8B" w:rsidP="00F14B8B">
      <w:pPr>
        <w:spacing w:after="0" w:line="240" w:lineRule="auto"/>
        <w:ind w:left="709" w:right="709"/>
        <w:jc w:val="both"/>
        <w:rPr>
          <w:rFonts w:ascii="Verdana" w:hAnsi="Verdana" w:cs="Arial"/>
          <w:sz w:val="20"/>
          <w:szCs w:val="20"/>
        </w:rPr>
      </w:pPr>
    </w:p>
    <w:p w14:paraId="69AB3997" w14:textId="77777777" w:rsidR="00F14B8B" w:rsidRPr="00AD4F6A" w:rsidRDefault="00F14B8B" w:rsidP="00F14B8B">
      <w:pPr>
        <w:spacing w:after="0" w:line="240" w:lineRule="auto"/>
        <w:ind w:left="709" w:right="709"/>
        <w:jc w:val="both"/>
        <w:rPr>
          <w:rFonts w:ascii="Verdana" w:hAnsi="Verdana" w:cs="Arial"/>
          <w:sz w:val="20"/>
          <w:szCs w:val="20"/>
        </w:rPr>
      </w:pPr>
      <w:r w:rsidRPr="00AD4F6A">
        <w:rPr>
          <w:rFonts w:ascii="Verdana" w:hAnsi="Verdana" w:cs="Arial"/>
          <w:sz w:val="20"/>
          <w:szCs w:val="20"/>
        </w:rPr>
        <w:t xml:space="preserve">8. La indicación de si el proceso de contratación está cobijado por un acuerdo comercial. </w:t>
      </w:r>
    </w:p>
    <w:p w14:paraId="68CD36CF" w14:textId="77777777" w:rsidR="00F14B8B" w:rsidRPr="00AD4F6A" w:rsidRDefault="00F14B8B" w:rsidP="00F14B8B">
      <w:pPr>
        <w:spacing w:after="0" w:line="240" w:lineRule="auto"/>
        <w:ind w:left="709" w:right="709"/>
        <w:jc w:val="both"/>
        <w:rPr>
          <w:rFonts w:ascii="Verdana" w:hAnsi="Verdana" w:cs="Arial"/>
          <w:sz w:val="20"/>
          <w:szCs w:val="20"/>
        </w:rPr>
      </w:pPr>
    </w:p>
    <w:p w14:paraId="23BCA50D" w14:textId="77777777" w:rsidR="00F14B8B" w:rsidRPr="00AD4F6A" w:rsidRDefault="00F14B8B" w:rsidP="00F14B8B">
      <w:pPr>
        <w:spacing w:after="0" w:line="240" w:lineRule="auto"/>
        <w:ind w:left="709" w:right="709"/>
        <w:jc w:val="both"/>
        <w:rPr>
          <w:rFonts w:ascii="Verdana" w:hAnsi="Verdana" w:cs="Arial"/>
          <w:sz w:val="20"/>
          <w:szCs w:val="20"/>
        </w:rPr>
      </w:pPr>
      <w:r w:rsidRPr="00AD4F6A">
        <w:rPr>
          <w:rFonts w:ascii="Verdana" w:hAnsi="Verdana" w:cs="Arial"/>
          <w:sz w:val="20"/>
          <w:szCs w:val="20"/>
        </w:rPr>
        <w:t>El presente artículo no es aplicable a la contratación por mínima cuantía. (Énfasis por fuera de texto)</w:t>
      </w:r>
    </w:p>
    <w:p w14:paraId="1714B53F" w14:textId="77777777" w:rsidR="00F14B8B" w:rsidRPr="006D4F5F" w:rsidRDefault="00F14B8B" w:rsidP="00F14B8B">
      <w:pPr>
        <w:widowControl w:val="0"/>
        <w:tabs>
          <w:tab w:val="left" w:pos="1305"/>
        </w:tabs>
        <w:autoSpaceDE w:val="0"/>
        <w:autoSpaceDN w:val="0"/>
        <w:spacing w:after="0" w:line="276" w:lineRule="auto"/>
        <w:ind w:right="822"/>
        <w:rPr>
          <w:rFonts w:ascii="Verdana" w:eastAsia="Calibri" w:hAnsi="Verdana" w:cs="Arial"/>
          <w:lang w:val="es-MX" w:eastAsia="es-ES_tradnl"/>
        </w:rPr>
      </w:pPr>
    </w:p>
    <w:p w14:paraId="1079FD58" w14:textId="77777777" w:rsidR="00F14B8B" w:rsidRPr="00A15705" w:rsidRDefault="00F14B8B" w:rsidP="00F14B8B">
      <w:pPr>
        <w:spacing w:after="120" w:line="276" w:lineRule="auto"/>
        <w:ind w:firstLine="709"/>
        <w:jc w:val="both"/>
        <w:rPr>
          <w:rFonts w:ascii="Verdana" w:hAnsi="Verdana" w:cs="Arial"/>
        </w:rPr>
      </w:pPr>
      <w:bookmarkStart w:id="3" w:name="_Hlk54011351"/>
      <w:r w:rsidRPr="00AD4F6A">
        <w:rPr>
          <w:rFonts w:ascii="Verdana" w:hAnsi="Verdana" w:cs="Arial"/>
        </w:rPr>
        <w:t xml:space="preserve">De esta manera, antes de iniciar un procedimiento de selección, la entidad estatal podrá determinar con los estudios previos: i) la verdadera necesidad de la celebración del contrato; </w:t>
      </w:r>
      <w:proofErr w:type="spellStart"/>
      <w:r w:rsidRPr="00AD4F6A">
        <w:rPr>
          <w:rFonts w:ascii="Verdana" w:hAnsi="Verdana" w:cs="Arial"/>
        </w:rPr>
        <w:t>ii</w:t>
      </w:r>
      <w:proofErr w:type="spellEnd"/>
      <w:r w:rsidRPr="00AD4F6A">
        <w:rPr>
          <w:rFonts w:ascii="Verdana" w:hAnsi="Verdana" w:cs="Arial"/>
        </w:rPr>
        <w:t xml:space="preserve">) las modalidades existentes para satisfacer esa necesidad y las razones que justifiquen la modalidad o tipo contractual que se escoja; </w:t>
      </w:r>
      <w:proofErr w:type="spellStart"/>
      <w:r w:rsidRPr="00AD4F6A">
        <w:rPr>
          <w:rFonts w:ascii="Verdana" w:hAnsi="Verdana" w:cs="Arial"/>
        </w:rPr>
        <w:t>iii</w:t>
      </w:r>
      <w:proofErr w:type="spellEnd"/>
      <w:r w:rsidRPr="00AD4F6A">
        <w:rPr>
          <w:rFonts w:ascii="Verdana" w:hAnsi="Verdana" w:cs="Arial"/>
        </w:rPr>
        <w:t xml:space="preserve">) las calidades, especificaciones, cantidades y demás características que puedan o deban reunir los bienes, las obras o los servicios cuya contratación se haya determinado necesaria, </w:t>
      </w:r>
      <w:proofErr w:type="spellStart"/>
      <w:r w:rsidRPr="00AD4F6A">
        <w:rPr>
          <w:rFonts w:ascii="Verdana" w:hAnsi="Verdana" w:cs="Arial"/>
        </w:rPr>
        <w:t>iv</w:t>
      </w:r>
      <w:proofErr w:type="spellEnd"/>
      <w:r w:rsidRPr="00AD4F6A">
        <w:rPr>
          <w:rFonts w:ascii="Verdana" w:hAnsi="Verdana" w:cs="Arial"/>
        </w:rPr>
        <w:t xml:space="preserve">) los costos, valores y alternativas que, a precios de mercado reales, podría demandar la celebración y ejecución del contrato, v) la disponibilidad de recursos o la capacidad financiera de la entidad contratante para asumir las obligaciones de pago producto de la celebración de ese pretendido contrato; vi) la existencia y disponibilidad, en el mercado nacional o internacional, de proveedores, constructores, profesionales, etc., en condiciones de atender los requerimientos y satisfacer las necesidades y </w:t>
      </w:r>
      <w:proofErr w:type="spellStart"/>
      <w:r w:rsidRPr="00AD4F6A">
        <w:rPr>
          <w:rFonts w:ascii="Verdana" w:hAnsi="Verdana" w:cs="Arial"/>
        </w:rPr>
        <w:t>vii</w:t>
      </w:r>
      <w:proofErr w:type="spellEnd"/>
      <w:r w:rsidRPr="00AD4F6A">
        <w:rPr>
          <w:rFonts w:ascii="Verdana" w:hAnsi="Verdana" w:cs="Arial"/>
        </w:rPr>
        <w:t>) los procedimientos, trámites y requisitos que deban satisfacerse, reunirse u obtenerse para llevar a cabo la selección del respectivo contratista y la celebración del contrato que se pretenda celebrar.</w:t>
      </w:r>
      <w:r w:rsidRPr="00A15705">
        <w:rPr>
          <w:rFonts w:ascii="Verdana" w:hAnsi="Verdana" w:cs="Arial"/>
        </w:rPr>
        <w:t xml:space="preserve"> </w:t>
      </w:r>
      <w:r w:rsidRPr="00AD4F6A">
        <w:rPr>
          <w:rFonts w:ascii="Verdana" w:hAnsi="Verdana" w:cs="Arial"/>
        </w:rPr>
        <w:t xml:space="preserve">Por ello, el hecho que las entidades cumplan con los elementos mínimos establecidos en la norma y aquellos adicionales que identifiquen en la etapa de planeación de los </w:t>
      </w:r>
      <w:r w:rsidRPr="00AD4F6A">
        <w:rPr>
          <w:rFonts w:ascii="Verdana" w:eastAsia="Calibri" w:hAnsi="Verdana" w:cs="Arial"/>
          <w:bCs/>
          <w:lang w:val="es-ES_tradnl"/>
        </w:rPr>
        <w:t xml:space="preserve">procedimientos de contratación, permite que los contratos resultantes cuenten </w:t>
      </w:r>
      <w:r w:rsidRPr="00AD4F6A">
        <w:rPr>
          <w:rFonts w:ascii="Verdana" w:eastAsia="Calibri" w:hAnsi="Verdana" w:cs="Arial"/>
          <w:bCs/>
          <w:lang w:val="es-ES_tradnl"/>
        </w:rPr>
        <w:lastRenderedPageBreak/>
        <w:t xml:space="preserve">con el sustento técnico, económico y jurídico que incidirá </w:t>
      </w:r>
      <w:r w:rsidRPr="00AD4F6A">
        <w:rPr>
          <w:rFonts w:ascii="Verdana" w:hAnsi="Verdana" w:cs="Arial"/>
        </w:rPr>
        <w:t>en una adecuada ejecución.</w:t>
      </w:r>
      <w:bookmarkEnd w:id="3"/>
    </w:p>
    <w:p w14:paraId="32F8C913" w14:textId="77777777" w:rsidR="00F14B8B" w:rsidRDefault="00F14B8B" w:rsidP="00F14B8B">
      <w:pPr>
        <w:spacing w:after="120" w:line="276" w:lineRule="auto"/>
        <w:ind w:right="102" w:firstLine="709"/>
        <w:jc w:val="both"/>
        <w:rPr>
          <w:rFonts w:ascii="Verdana" w:eastAsia="Times New Roman" w:hAnsi="Verdana" w:cs="Arial"/>
          <w:lang w:val="es-ES_tradnl" w:eastAsia="es-MX"/>
        </w:rPr>
      </w:pPr>
      <w:r w:rsidRPr="009225F7">
        <w:rPr>
          <w:rFonts w:ascii="Verdana" w:eastAsia="Times New Roman" w:hAnsi="Verdana" w:cs="Arial"/>
          <w:lang w:val="es-ES_tradnl" w:eastAsia="es-MX"/>
        </w:rPr>
        <w:t>Más allá del cumplimiento de la normativa, “los estudios y documentos previos son el soporte para elaborar el proyecto de pliegos, los pliegos de condiciones, y el contrato”</w:t>
      </w:r>
      <w:r w:rsidRPr="006D4F5F">
        <w:rPr>
          <w:vertAlign w:val="superscript"/>
          <w:lang w:eastAsia="es-MX"/>
        </w:rPr>
        <w:footnoteReference w:id="4"/>
      </w:r>
      <w:r w:rsidRPr="009225F7">
        <w:rPr>
          <w:rFonts w:ascii="Verdana" w:eastAsia="Times New Roman" w:hAnsi="Verdana" w:cs="Arial"/>
          <w:lang w:val="es-ES_tradnl" w:eastAsia="es-MX"/>
        </w:rPr>
        <w:t>, por lo que deben publicarse en la etapa precontractual y sirven de motivación para los documentos expedidos unilateralmente por la Entidad Estatal tales como el acto administrativo de apertura, los pliegos de condiciones y el acto de adjudicación, entre otros.</w:t>
      </w:r>
    </w:p>
    <w:p w14:paraId="0D46A8E9" w14:textId="77777777" w:rsidR="00F14B8B" w:rsidRDefault="00F14B8B" w:rsidP="00F14B8B">
      <w:pPr>
        <w:spacing w:after="120" w:line="276" w:lineRule="auto"/>
        <w:ind w:right="105" w:firstLine="709"/>
        <w:jc w:val="both"/>
        <w:rPr>
          <w:rFonts w:ascii="Verdana" w:hAnsi="Verdana" w:cs="Arial"/>
        </w:rPr>
      </w:pPr>
      <w:bookmarkStart w:id="5" w:name="_Hlk54011438"/>
      <w:r w:rsidRPr="00AD4F6A">
        <w:rPr>
          <w:rFonts w:ascii="Verdana" w:hAnsi="Verdana" w:cs="Arial"/>
        </w:rPr>
        <w:t>De lo explicado se desprende que los estudios y documentos previos son necesarios antes de la celebración del contrato, pues fundamentan las condiciones que la entidad estatal exige en su proceso de contratación. Sin embargo, luego de la suscripción del contrato la entidad no debe actuar unilateralmente, sino que debe respetar la buena fe contractual y proceder de acuerdo con lo pactado</w:t>
      </w:r>
      <w:bookmarkEnd w:id="5"/>
      <w:r w:rsidRPr="00AD4F6A">
        <w:rPr>
          <w:rFonts w:ascii="Verdana" w:hAnsi="Verdana" w:cs="Arial"/>
          <w:vertAlign w:val="superscript"/>
        </w:rPr>
        <w:footnoteReference w:id="5"/>
      </w:r>
      <w:r w:rsidRPr="00AD4F6A">
        <w:rPr>
          <w:rFonts w:ascii="Verdana" w:hAnsi="Verdana" w:cs="Arial"/>
        </w:rPr>
        <w:t xml:space="preserve">. </w:t>
      </w:r>
    </w:p>
    <w:p w14:paraId="6ACA9F4D" w14:textId="77777777" w:rsidR="00F14B8B" w:rsidRDefault="00F14B8B" w:rsidP="00F14B8B">
      <w:pPr>
        <w:spacing w:after="120" w:line="276" w:lineRule="auto"/>
        <w:ind w:firstLine="708"/>
        <w:jc w:val="both"/>
        <w:rPr>
          <w:rFonts w:ascii="Verdana" w:eastAsia="Calibri" w:hAnsi="Verdana" w:cs="Arial"/>
          <w:lang w:eastAsia="es-MX"/>
        </w:rPr>
      </w:pPr>
      <w:r w:rsidRPr="00AD4F6A">
        <w:rPr>
          <w:rFonts w:ascii="Verdana" w:hAnsi="Verdana" w:cs="Arial"/>
        </w:rPr>
        <w:t xml:space="preserve">Por otra parte, los numerales 2 y 4 del artículo 2.2.1.1.2.1.1 del Decreto 1082 de 2015 exigen que en los estudios previos se determine el objeto a contratar con sus especificaciones, y se señale el valor estimado del contrato y la justificación </w:t>
      </w:r>
      <w:proofErr w:type="gramStart"/>
      <w:r w:rsidRPr="00AD4F6A">
        <w:rPr>
          <w:rFonts w:ascii="Verdana" w:hAnsi="Verdana" w:cs="Arial"/>
        </w:rPr>
        <w:t>del mismo</w:t>
      </w:r>
      <w:proofErr w:type="gramEnd"/>
      <w:r w:rsidRPr="00AD4F6A">
        <w:rPr>
          <w:rFonts w:ascii="Verdana" w:hAnsi="Verdana" w:cs="Arial"/>
        </w:rPr>
        <w:t xml:space="preserve">. </w:t>
      </w:r>
      <w:r w:rsidRPr="00AD4F6A">
        <w:rPr>
          <w:rFonts w:ascii="Verdana" w:eastAsia="Calibri" w:hAnsi="Verdana" w:cs="Arial"/>
          <w:bCs/>
          <w:lang w:val="es-ES_tradnl"/>
        </w:rPr>
        <w:t xml:space="preserve">Para cumplir este objetivo es necesario el análisis del sector económico y de los oferentes, actividad de planeación previa que sirve para identificar aspectos concretos del mercado que pueden afectar el proceso de selección o las condiciones del negocio a realizar mediante el proceso de contratación de bienes, obras o servicios. </w:t>
      </w:r>
      <w:bookmarkStart w:id="6" w:name="_Hlk139465916"/>
      <w:r w:rsidRPr="009225F7">
        <w:rPr>
          <w:rFonts w:ascii="Verdana" w:eastAsia="Calibri" w:hAnsi="Verdana" w:cs="Arial"/>
          <w:lang w:eastAsia="es-MX"/>
        </w:rPr>
        <w:t xml:space="preserve"> </w:t>
      </w:r>
    </w:p>
    <w:p w14:paraId="7A4E30B3" w14:textId="77777777" w:rsidR="00F14B8B" w:rsidRPr="00C43A2B" w:rsidRDefault="00F14B8B" w:rsidP="00F14B8B">
      <w:pPr>
        <w:spacing w:after="120" w:line="276" w:lineRule="auto"/>
        <w:ind w:firstLine="708"/>
        <w:jc w:val="both"/>
        <w:rPr>
          <w:rFonts w:ascii="Verdana" w:eastAsia="Calibri" w:hAnsi="Verdana" w:cs="Arial"/>
          <w:bCs/>
          <w:lang w:val="es-ES_tradnl"/>
        </w:rPr>
      </w:pPr>
      <w:r w:rsidRPr="00AD4F6A">
        <w:rPr>
          <w:rFonts w:ascii="Verdana" w:eastAsia="Calibri" w:hAnsi="Verdana" w:cs="Arial"/>
          <w:bCs/>
          <w:lang w:val="es-ES_tradnl"/>
        </w:rPr>
        <w:t xml:space="preserve">En este sentido, el artículo </w:t>
      </w:r>
      <w:bookmarkStart w:id="7" w:name="_Hlk36117416"/>
      <w:r w:rsidRPr="00AD4F6A">
        <w:rPr>
          <w:rFonts w:ascii="Verdana" w:eastAsia="Calibri" w:hAnsi="Verdana" w:cs="Arial"/>
          <w:bCs/>
          <w:lang w:val="es-ES_tradnl"/>
        </w:rPr>
        <w:t>2.2.1.1.1.6.1 del Decreto 1082 de 2015</w:t>
      </w:r>
      <w:bookmarkEnd w:id="7"/>
      <w:r w:rsidRPr="00AD4F6A">
        <w:rPr>
          <w:rFonts w:ascii="Verdana" w:eastAsia="Calibri" w:hAnsi="Verdana" w:cs="Arial"/>
          <w:bCs/>
          <w:lang w:val="es-ES_tradnl"/>
        </w:rPr>
        <w:t xml:space="preserve"> dispone que “La Entidad Estatal debe hacer, durante la etapa de planeación, el análisis necesario para conocer el sector relativo al objeto del Proceso de Contratación desde la perspectiva legal, comercial, financiera, organizacional, </w:t>
      </w:r>
      <w:r w:rsidRPr="00AD4F6A">
        <w:rPr>
          <w:rFonts w:ascii="Verdana" w:eastAsia="Calibri" w:hAnsi="Verdana" w:cs="Arial"/>
          <w:bCs/>
          <w:lang w:val="es-ES_tradnl"/>
        </w:rPr>
        <w:lastRenderedPageBreak/>
        <w:t>técnica, y de análisis de Riesgo. La Entidad Estatal debe dejar constancia de este análisis en los Documentos del Proceso”.</w:t>
      </w:r>
    </w:p>
    <w:bookmarkEnd w:id="6"/>
    <w:p w14:paraId="24AF3A3E" w14:textId="77777777" w:rsidR="00F14B8B" w:rsidRDefault="00F14B8B" w:rsidP="00F14B8B">
      <w:pPr>
        <w:spacing w:after="120" w:line="276" w:lineRule="auto"/>
        <w:ind w:right="102" w:firstLine="709"/>
        <w:jc w:val="both"/>
        <w:rPr>
          <w:rFonts w:ascii="Verdana" w:eastAsia="Times New Roman" w:hAnsi="Verdana" w:cs="Arial"/>
          <w:lang w:val="es-ES_tradnl" w:eastAsia="es-MX"/>
        </w:rPr>
      </w:pPr>
      <w:r w:rsidRPr="00B321B0">
        <w:rPr>
          <w:rFonts w:ascii="Verdana" w:eastAsia="Calibri" w:hAnsi="Verdana" w:cs="Arial"/>
          <w:lang w:eastAsia="es-MX"/>
        </w:rPr>
        <w:t xml:space="preserve">De acuerdo con la norma señalada, </w:t>
      </w:r>
      <w:bookmarkStart w:id="8" w:name="_Hlk36140682"/>
      <w:r w:rsidRPr="00B321B0">
        <w:rPr>
          <w:rFonts w:ascii="Verdana" w:eastAsia="Calibri" w:hAnsi="Verdana" w:cs="Arial"/>
          <w:lang w:eastAsia="es-MX"/>
        </w:rPr>
        <w:t>la entidad debe realizar el análisis necesario para conocer el sector relativo al objeto del Proceso de Contratación, sin que sea relevante la modalidad de selección. En ese orden de ideas se deber hacer un análisis desde las diferentes perspectivas:</w:t>
      </w:r>
    </w:p>
    <w:p w14:paraId="715A0FB2" w14:textId="77777777" w:rsidR="00F14B8B" w:rsidRDefault="00F14B8B" w:rsidP="00F14B8B">
      <w:pPr>
        <w:spacing w:after="120" w:line="276" w:lineRule="auto"/>
        <w:ind w:right="102" w:firstLine="709"/>
        <w:jc w:val="both"/>
        <w:rPr>
          <w:rFonts w:ascii="Verdana" w:eastAsia="Calibri" w:hAnsi="Verdana" w:cs="Arial"/>
          <w:lang w:eastAsia="es-MX"/>
        </w:rPr>
      </w:pPr>
      <w:r>
        <w:rPr>
          <w:rFonts w:ascii="Verdana" w:eastAsia="Times New Roman" w:hAnsi="Verdana" w:cs="Arial"/>
          <w:lang w:val="es-ES_tradnl" w:eastAsia="es-MX"/>
        </w:rPr>
        <w:t xml:space="preserve">a) </w:t>
      </w:r>
      <w:r w:rsidRPr="00B321B0">
        <w:rPr>
          <w:rFonts w:ascii="Verdana" w:eastAsia="Calibri" w:hAnsi="Verdana" w:cs="Arial"/>
          <w:lang w:eastAsia="es-MX"/>
        </w:rPr>
        <w:t>Legal: implica la revisión de la regulación vigente para el mercado dentro del que se encuentra el objeto del contrato.</w:t>
      </w:r>
    </w:p>
    <w:p w14:paraId="27192231" w14:textId="77777777" w:rsidR="00F14B8B" w:rsidRDefault="00F14B8B" w:rsidP="00F14B8B">
      <w:pPr>
        <w:spacing w:after="120" w:line="276" w:lineRule="auto"/>
        <w:ind w:right="102" w:firstLine="709"/>
        <w:jc w:val="both"/>
        <w:rPr>
          <w:rFonts w:ascii="Verdana" w:eastAsia="Times New Roman" w:hAnsi="Verdana" w:cs="Arial"/>
          <w:lang w:val="es-ES_tradnl" w:eastAsia="es-MX"/>
        </w:rPr>
      </w:pPr>
      <w:r>
        <w:rPr>
          <w:rFonts w:ascii="Verdana" w:eastAsia="Calibri" w:hAnsi="Verdana" w:cs="Arial"/>
          <w:lang w:eastAsia="es-MX"/>
        </w:rPr>
        <w:t xml:space="preserve">b) </w:t>
      </w:r>
      <w:r w:rsidRPr="00B321B0">
        <w:rPr>
          <w:rFonts w:ascii="Verdana" w:eastAsia="Calibri" w:hAnsi="Verdana" w:cs="Arial"/>
          <w:lang w:eastAsia="es-MX"/>
        </w:rPr>
        <w:t>Comercial: hace referencia a analizar quiénes pueden ofrecer el bien o servicio que se quiere contratar, cuáles son sus condiciones, si tienen condiciones especiales que sean relevantes para determinar los requisitos habilitantes, entre otros.</w:t>
      </w:r>
    </w:p>
    <w:p w14:paraId="0A417577" w14:textId="77777777" w:rsidR="00F14B8B" w:rsidRDefault="00F14B8B" w:rsidP="00F14B8B">
      <w:pPr>
        <w:spacing w:after="120" w:line="276" w:lineRule="auto"/>
        <w:ind w:right="102" w:firstLine="709"/>
        <w:jc w:val="both"/>
        <w:rPr>
          <w:rFonts w:ascii="Verdana" w:eastAsia="Times New Roman" w:hAnsi="Verdana" w:cs="Arial"/>
          <w:lang w:val="es-ES_tradnl" w:eastAsia="es-MX"/>
        </w:rPr>
      </w:pPr>
      <w:r>
        <w:rPr>
          <w:rFonts w:ascii="Verdana" w:eastAsia="Times New Roman" w:hAnsi="Verdana" w:cs="Arial"/>
          <w:lang w:val="es-ES_tradnl" w:eastAsia="es-MX"/>
        </w:rPr>
        <w:t xml:space="preserve">c) </w:t>
      </w:r>
      <w:r w:rsidRPr="00B321B0">
        <w:rPr>
          <w:rFonts w:ascii="Verdana" w:eastAsia="Calibri" w:hAnsi="Verdana" w:cs="Arial"/>
          <w:lang w:eastAsia="es-MX"/>
        </w:rPr>
        <w:t xml:space="preserve">Financiera: el análisis conlleva una revisión de las características financieras que se presentan dentro del mercado del bien o servicio, como por ejemplo el índice de endeudamiento que tienen las empresas o personas naturales que ofrecen dicho bien o servicio. </w:t>
      </w:r>
    </w:p>
    <w:p w14:paraId="0C440A89" w14:textId="77777777" w:rsidR="00F14B8B" w:rsidRDefault="00F14B8B" w:rsidP="00F14B8B">
      <w:pPr>
        <w:spacing w:after="120" w:line="276" w:lineRule="auto"/>
        <w:ind w:right="102" w:firstLine="709"/>
        <w:jc w:val="both"/>
        <w:rPr>
          <w:rFonts w:ascii="Verdana" w:eastAsia="Calibri" w:hAnsi="Verdana" w:cs="Arial"/>
          <w:lang w:eastAsia="es-MX"/>
        </w:rPr>
      </w:pPr>
      <w:r>
        <w:rPr>
          <w:rFonts w:ascii="Verdana" w:eastAsia="Times New Roman" w:hAnsi="Verdana" w:cs="Arial"/>
          <w:lang w:val="es-ES_tradnl" w:eastAsia="es-MX"/>
        </w:rPr>
        <w:t xml:space="preserve">d) </w:t>
      </w:r>
      <w:r w:rsidRPr="00B321B0">
        <w:rPr>
          <w:rFonts w:ascii="Verdana" w:eastAsia="Calibri" w:hAnsi="Verdana" w:cs="Arial"/>
          <w:lang w:eastAsia="es-MX"/>
        </w:rPr>
        <w:t>Organizacional: pretende que la Entidad Estatal entienda cómo están organizados internamente los posibles oferentes y de qué manera realizan sus negocios y operaciones.</w:t>
      </w:r>
    </w:p>
    <w:p w14:paraId="2954D501" w14:textId="77777777" w:rsidR="00F14B8B" w:rsidRPr="00AD4F6A" w:rsidRDefault="00F14B8B" w:rsidP="00F14B8B">
      <w:pPr>
        <w:spacing w:after="120" w:line="276" w:lineRule="auto"/>
        <w:ind w:firstLine="709"/>
        <w:jc w:val="both"/>
        <w:rPr>
          <w:rFonts w:ascii="Verdana" w:eastAsia="Calibri" w:hAnsi="Verdana" w:cs="Arial"/>
          <w:bCs/>
          <w:lang w:val="es-ES_tradnl"/>
        </w:rPr>
      </w:pPr>
      <w:r w:rsidRPr="00AD4F6A">
        <w:rPr>
          <w:rFonts w:ascii="Verdana" w:eastAsia="Calibri" w:hAnsi="Verdana" w:cs="Arial"/>
          <w:bCs/>
          <w:lang w:val="es-ES_tradnl"/>
        </w:rPr>
        <w:t>Para negociar de manera adecuada, es necesario conocer la estructura de los posibles contratistas, pues permite identificar la forma en la que suplirán los requerimientos de la entidad. El análisis del sector debe tener en cuenta el objeto del proceso de contratación, las condiciones del bien o servicio y las ventajas que representa para la Administración contratar el bien o servicio con el contratista. En este último punto, el análisis del sector permite sustentar la decisión de realizar un proceso de contratación desde el punto de vista de la eficiencia, eficacia y economía.</w:t>
      </w:r>
    </w:p>
    <w:p w14:paraId="367C59C9" w14:textId="77777777" w:rsidR="00F14B8B" w:rsidRPr="00C43A2B" w:rsidRDefault="00F14B8B" w:rsidP="00F14B8B">
      <w:pPr>
        <w:spacing w:after="120" w:line="276" w:lineRule="auto"/>
        <w:ind w:firstLine="709"/>
        <w:jc w:val="both"/>
        <w:rPr>
          <w:rFonts w:ascii="Verdana" w:eastAsia="Calibri" w:hAnsi="Verdana" w:cs="Arial"/>
          <w:lang w:val="es-ES"/>
        </w:rPr>
      </w:pPr>
      <w:r w:rsidRPr="00AD4F6A">
        <w:rPr>
          <w:rFonts w:ascii="Verdana" w:eastAsia="Calibri" w:hAnsi="Verdana" w:cs="Arial"/>
          <w:lang w:val="es-ES"/>
        </w:rPr>
        <w:t xml:space="preserve">Dicho análisis facilita tanto el conocimiento del sector, desde una perspectiva multidisciplinaria, como de los proveedores disponibles en el mercado para satisfacer la necesidad de la entidad contratante. Así mismo, el análisis del sector implica un estudio de la oferta, lo que permitirá identificar qué proveedores existen en el mercado y cómo intervienen en la cadena de producción, comercialización y distribución de los bienes, obras o servicios. De igual manera, podrá estudiar la demanda para determinar las entidades </w:t>
      </w:r>
      <w:r w:rsidRPr="00AD4F6A">
        <w:rPr>
          <w:rFonts w:ascii="Verdana" w:eastAsia="Calibri" w:hAnsi="Verdana" w:cs="Arial"/>
          <w:lang w:val="es-ES"/>
        </w:rPr>
        <w:lastRenderedPageBreak/>
        <w:t xml:space="preserve">estatales y los particulares cómo adquieren esos bienes, obras o servicios para extraer las mejores prácticas e información para el proceso de contratación y así estructurar de mejor manera el tipo contractual a utilizar y las condiciones y características que se podrán pactar para cumplir el objeto del contrato y para la realización de las prestaciones derivadas de las obligaciones que serán pactadas, tanto para la entidad contratante como para el contratista que proveerá el bien, obra o servicio. </w:t>
      </w:r>
    </w:p>
    <w:p w14:paraId="5B8D465D" w14:textId="77777777" w:rsidR="00F14B8B" w:rsidRDefault="00F14B8B" w:rsidP="00F14B8B">
      <w:pPr>
        <w:spacing w:after="120" w:line="276" w:lineRule="auto"/>
        <w:ind w:right="102" w:firstLine="709"/>
        <w:jc w:val="both"/>
        <w:rPr>
          <w:rFonts w:ascii="Verdana" w:eastAsia="Times New Roman" w:hAnsi="Verdana" w:cs="Arial"/>
          <w:lang w:val="es-ES_tradnl" w:eastAsia="es-MX"/>
        </w:rPr>
      </w:pPr>
      <w:r w:rsidRPr="00B321B0">
        <w:rPr>
          <w:rFonts w:ascii="Verdana" w:eastAsia="Calibri" w:hAnsi="Verdana" w:cs="Arial"/>
          <w:bCs/>
          <w:lang w:val="es-ES_tradnl" w:eastAsia="es-MX"/>
        </w:rPr>
        <w:t xml:space="preserve">Si bien la normativa en materia de contratación estatal establece la obligatoriedad de realizar el análisis necesario para conocer el sector relativo al objeto del Proceso de Contratación, no determina un procedimiento específico para efectuar dicho análisis por lo que las entidades </w:t>
      </w:r>
      <w:r w:rsidRPr="00B321B0">
        <w:rPr>
          <w:rFonts w:ascii="Verdana" w:eastAsia="Times New Roman" w:hAnsi="Verdana" w:cs="Arial"/>
          <w:lang w:val="es-ES_tradnl" w:eastAsia="es-CO"/>
        </w:rPr>
        <w:t xml:space="preserve">son autónomas para estructurarlo, para lo cual deberán cumplir lo dispuesto en el artículo </w:t>
      </w:r>
      <w:r w:rsidRPr="00B321B0">
        <w:rPr>
          <w:rFonts w:ascii="Verdana" w:eastAsia="Calibri" w:hAnsi="Verdana" w:cs="Arial"/>
          <w:bCs/>
          <w:lang w:val="es-ES_tradnl" w:eastAsia="es-MX"/>
        </w:rPr>
        <w:t xml:space="preserve">2.2.1.1.1.6.1 del Decreto 1082 de 2015 y realizar un análisis integral de planeación que </w:t>
      </w:r>
      <w:r w:rsidRPr="00B321B0">
        <w:rPr>
          <w:rFonts w:ascii="Verdana" w:eastAsia="Times New Roman" w:hAnsi="Verdana" w:cs="Arial"/>
          <w:lang w:val="es-ES_tradnl" w:eastAsia="es-MX"/>
        </w:rPr>
        <w:t xml:space="preserve">sirva de sustento a la decisión de </w:t>
      </w:r>
      <w:r w:rsidRPr="00B321B0">
        <w:rPr>
          <w:rFonts w:ascii="Verdana" w:eastAsia="Times New Roman" w:hAnsi="Verdana" w:cs="Arial"/>
          <w:bCs/>
          <w:lang w:val="es-ES_tradnl" w:eastAsia="es-MX"/>
        </w:rPr>
        <w:t>realizar un Proceso de Contratación.</w:t>
      </w:r>
      <w:bookmarkStart w:id="9" w:name="_Hlk139466113"/>
      <w:bookmarkEnd w:id="8"/>
    </w:p>
    <w:bookmarkEnd w:id="9"/>
    <w:p w14:paraId="55D14F86" w14:textId="77777777" w:rsidR="00F14B8B" w:rsidRPr="00AD4F6A" w:rsidRDefault="00F14B8B" w:rsidP="00F14B8B">
      <w:pPr>
        <w:spacing w:after="120" w:line="276" w:lineRule="auto"/>
        <w:ind w:firstLine="709"/>
        <w:jc w:val="both"/>
        <w:rPr>
          <w:rFonts w:ascii="Verdana" w:eastAsia="Calibri" w:hAnsi="Verdana" w:cs="Arial"/>
          <w:bCs/>
          <w:lang w:val="es-ES"/>
        </w:rPr>
      </w:pPr>
      <w:r w:rsidRPr="00AD4F6A">
        <w:rPr>
          <w:rFonts w:ascii="Verdana" w:eastAsia="Calibri" w:hAnsi="Verdana" w:cs="Arial"/>
          <w:bCs/>
          <w:lang w:val="es-ES_tradnl"/>
        </w:rPr>
        <w:t>La Agencia Nacional de Contratación Pública - Colombia Compra Eficiente dispone de la “Guía de Elaboración del Estudio del Sector”, instrumento que sirve de apoyo para entender el mercado del bien, obra o servicio que la entidad estatal pretende adquirir y diseñar el proceso de contratación con la información necesaria para alcanzar los objetivos de eficacia, eficiencia, economía, promoción de la competencia y manejo del riesgo</w:t>
      </w:r>
      <w:r w:rsidRPr="00AD4F6A">
        <w:rPr>
          <w:rFonts w:ascii="Verdana" w:eastAsia="Calibri" w:hAnsi="Verdana" w:cs="Arial"/>
          <w:bCs/>
          <w:vertAlign w:val="superscript"/>
          <w:lang w:val="es-ES_tradnl"/>
        </w:rPr>
        <w:footnoteReference w:id="6"/>
      </w:r>
      <w:r w:rsidRPr="00AD4F6A">
        <w:rPr>
          <w:rFonts w:ascii="Verdana" w:eastAsia="Calibri" w:hAnsi="Verdana" w:cs="Arial"/>
          <w:bCs/>
          <w:lang w:val="es-ES_tradnl"/>
        </w:rPr>
        <w:t>. Esta Guía es un insumo para realizar el estudio del sector relativo al Proceso de Contratación, ya que comprende pautas sobre los aspectos generales del mercado, el análisis de la demanda y de la oferta y constituye un instrumento de orientación, por lo que –al carecer de fuerza vinculante– su aplicación no exime a las entidades de acatar las normas vigentes. De este modo, la Guía contiene</w:t>
      </w:r>
      <w:r w:rsidRPr="00AD4F6A">
        <w:rPr>
          <w:rFonts w:ascii="Verdana" w:eastAsia="Calibri" w:hAnsi="Verdana" w:cs="Arial"/>
          <w:bCs/>
          <w:lang w:val="es-ES"/>
        </w:rPr>
        <w:t xml:space="preserve"> recomendaciones generales por lo que no debe aplicarse de manera mecánica, pues la profundidad del estudio del sector depende de la complejidad y particularidades de cada proceso de contratación. </w:t>
      </w:r>
    </w:p>
    <w:p w14:paraId="59E4BD8A" w14:textId="77777777" w:rsidR="00F14B8B" w:rsidRDefault="00F14B8B" w:rsidP="00F14B8B">
      <w:pPr>
        <w:spacing w:after="120" w:line="276" w:lineRule="auto"/>
        <w:ind w:right="102" w:firstLine="709"/>
        <w:jc w:val="both"/>
        <w:rPr>
          <w:rFonts w:ascii="Verdana" w:eastAsia="Times New Roman" w:hAnsi="Verdana" w:cs="Arial"/>
          <w:lang w:val="es-ES_tradnl" w:eastAsia="es-MX"/>
        </w:rPr>
      </w:pPr>
      <w:r w:rsidRPr="00B321B0">
        <w:rPr>
          <w:rFonts w:ascii="Verdana" w:eastAsia="Calibri" w:hAnsi="Verdana" w:cs="Arial"/>
          <w:bCs/>
          <w:lang w:val="es-ES_tradnl" w:eastAsia="es-MX"/>
        </w:rPr>
        <w:t xml:space="preserve">En este instrumento se recomienda un análisis integral sobre varios aspectos del mercado –económico, técnico, regulatorio, etc., lo cual permitirá </w:t>
      </w:r>
      <w:r w:rsidRPr="00B321B0">
        <w:rPr>
          <w:rFonts w:ascii="Verdana" w:eastAsia="Calibri" w:hAnsi="Verdana" w:cs="Arial"/>
          <w:bCs/>
          <w:lang w:val="es-ES_tradnl" w:eastAsia="es-MX"/>
        </w:rPr>
        <w:lastRenderedPageBreak/>
        <w:t xml:space="preserve">que la entidad delimite con precisión qué bienes y servicios existen, cuáles son las condiciones de su comercialización, cómo es la oferta y la demanda y cuáles son los factores que inciden en el valor del contrato, tales como el análisis de precios, las cargas tributarias, la tasa de cambio, las garantías, los gastos de transporte, etc. </w:t>
      </w:r>
    </w:p>
    <w:p w14:paraId="37484C9F" w14:textId="77777777" w:rsidR="00F14B8B" w:rsidRPr="008F4B27" w:rsidRDefault="00F14B8B" w:rsidP="00F14B8B">
      <w:pPr>
        <w:spacing w:after="120" w:line="276" w:lineRule="auto"/>
        <w:ind w:firstLine="709"/>
        <w:jc w:val="both"/>
        <w:rPr>
          <w:rFonts w:ascii="Verdana" w:eastAsia="Calibri" w:hAnsi="Verdana" w:cs="Arial"/>
          <w:bCs/>
          <w:lang w:val="es-ES_tradnl"/>
        </w:rPr>
      </w:pPr>
      <w:r w:rsidRPr="00AD4F6A">
        <w:rPr>
          <w:rFonts w:ascii="Verdana" w:eastAsia="Calibri" w:hAnsi="Verdana" w:cs="Arial"/>
          <w:bCs/>
          <w:lang w:val="es-ES_tradnl"/>
        </w:rPr>
        <w:t xml:space="preserve">Así mismo, en la Guía se indica que como parte de la estructura del estudio del sector se debe realizar un análisis del comportamiento del gasto histórico, el estudio de la oferta y el estudio del mercado. En </w:t>
      </w:r>
      <w:r w:rsidRPr="00AD4F6A">
        <w:rPr>
          <w:rFonts w:ascii="Verdana" w:eastAsia="Calibri" w:hAnsi="Verdana" w:cs="Arial"/>
          <w:bCs/>
          <w:lang w:val="es-ES"/>
        </w:rPr>
        <w:t xml:space="preserve">el marco del comportamiento del gasto histórico se recomienda que la entidad analice el comportamiento de sus adquisiciones anteriores del bien, obra o servicio teniendo en cuenta distintas variables como la modalidad de selección, el objeto del contrato, el presupuesto, entre otros. También es importante que se analice la forma en la cual otras entidades o particulares han adquirido bienes y servicios iguales o comparables similares mediante plataformas de información como datos abiertos o las herramientas de visualización </w:t>
      </w:r>
      <w:r w:rsidRPr="00AD4F6A">
        <w:rPr>
          <w:rFonts w:ascii="Verdana" w:eastAsia="Arial MT" w:hAnsi="Verdana" w:cs="Arial"/>
          <w:lang w:val="es-ES"/>
        </w:rPr>
        <w:t>desarrolladas por esta Agencia en el marco del modelo de abastecimiento estratégico</w:t>
      </w:r>
      <w:r w:rsidRPr="00AD4F6A">
        <w:rPr>
          <w:rFonts w:ascii="Verdana" w:eastAsia="Arial MT" w:hAnsi="Verdana" w:cs="Arial"/>
          <w:vertAlign w:val="superscript"/>
          <w:lang w:val="es-ES"/>
        </w:rPr>
        <w:footnoteReference w:id="7"/>
      </w:r>
      <w:r w:rsidRPr="00AD4F6A">
        <w:rPr>
          <w:rFonts w:ascii="Verdana" w:eastAsia="Arial MT" w:hAnsi="Verdana" w:cs="Arial"/>
          <w:lang w:val="es-ES"/>
        </w:rPr>
        <w:t xml:space="preserve">. </w:t>
      </w:r>
    </w:p>
    <w:p w14:paraId="6BB04268" w14:textId="77777777" w:rsidR="00F14B8B" w:rsidRPr="00AD4F6A" w:rsidRDefault="00F14B8B" w:rsidP="00F14B8B">
      <w:pPr>
        <w:spacing w:after="120" w:line="276" w:lineRule="auto"/>
        <w:ind w:firstLine="709"/>
        <w:jc w:val="both"/>
        <w:rPr>
          <w:rFonts w:ascii="Verdana" w:eastAsia="Calibri" w:hAnsi="Verdana" w:cs="Arial"/>
          <w:color w:val="000000" w:themeColor="text1"/>
          <w:lang w:val="es-ES"/>
        </w:rPr>
      </w:pPr>
      <w:bookmarkStart w:id="10" w:name="_Hlk139466471"/>
      <w:r>
        <w:rPr>
          <w:rFonts w:ascii="Verdana" w:eastAsia="Calibri" w:hAnsi="Verdana" w:cs="Arial"/>
          <w:color w:val="000000" w:themeColor="text1"/>
          <w:lang w:val="es-ES"/>
        </w:rPr>
        <w:t>S</w:t>
      </w:r>
      <w:r w:rsidRPr="00AD4F6A">
        <w:rPr>
          <w:rFonts w:ascii="Verdana" w:eastAsia="Calibri" w:hAnsi="Verdana" w:cs="Arial"/>
          <w:color w:val="000000" w:themeColor="text1"/>
          <w:lang w:val="es-ES"/>
        </w:rPr>
        <w:t xml:space="preserve">egún la Guía, el </w:t>
      </w:r>
      <w:r w:rsidRPr="00AD4F6A">
        <w:rPr>
          <w:rFonts w:ascii="Verdana" w:eastAsia="Calibri" w:hAnsi="Verdana" w:cs="Arial"/>
          <w:i/>
          <w:iCs/>
          <w:color w:val="000000" w:themeColor="text1"/>
          <w:lang w:val="es-ES"/>
        </w:rPr>
        <w:t>estudio de la oferta</w:t>
      </w:r>
      <w:r w:rsidRPr="00AD4F6A">
        <w:rPr>
          <w:rFonts w:ascii="Verdana" w:eastAsia="Calibri" w:hAnsi="Verdana" w:cs="Arial"/>
          <w:color w:val="000000" w:themeColor="text1"/>
          <w:lang w:val="es-ES"/>
        </w:rPr>
        <w:t xml:space="preserve"> tiene como objetivo </w:t>
      </w:r>
      <w:r w:rsidRPr="00AD4F6A">
        <w:rPr>
          <w:rFonts w:ascii="Verdana" w:eastAsia="Calibri" w:hAnsi="Verdana" w:cs="Arial"/>
          <w:color w:val="000000" w:themeColor="text1"/>
        </w:rPr>
        <w:t>identificar las opciones de suministro para las categorías de compra definidas, y los posibles proveedores que pueden suministrar los bienes, obras o servicios que requiere para satisfacer su necesidad</w:t>
      </w:r>
      <w:r w:rsidRPr="00AD4F6A">
        <w:rPr>
          <w:rFonts w:ascii="Verdana" w:eastAsia="Calibri" w:hAnsi="Verdana" w:cs="Arial"/>
          <w:color w:val="000000" w:themeColor="text1"/>
          <w:lang w:val="es-ES"/>
        </w:rPr>
        <w:t xml:space="preserve">. En esta actividad las entidades estatales deben realizar un estudio de la oferta, que responda, entre otras, las siguientes preguntas: i) “¿Cuál es la dinámica de producción, distribución y entrega de bienes, obras o servicios?” –teniendo en cuenta elementos como la producción, la distribución, transporte etc.– y </w:t>
      </w:r>
      <w:proofErr w:type="spellStart"/>
      <w:r w:rsidRPr="00AD4F6A">
        <w:rPr>
          <w:rFonts w:ascii="Verdana" w:eastAsia="Calibri" w:hAnsi="Verdana" w:cs="Arial"/>
          <w:color w:val="000000" w:themeColor="text1"/>
          <w:lang w:val="es-ES"/>
        </w:rPr>
        <w:t>ii</w:t>
      </w:r>
      <w:proofErr w:type="spellEnd"/>
      <w:r w:rsidRPr="00AD4F6A">
        <w:rPr>
          <w:rFonts w:ascii="Verdana" w:eastAsia="Calibri" w:hAnsi="Verdana" w:cs="Arial"/>
          <w:color w:val="000000" w:themeColor="text1"/>
          <w:lang w:val="es-ES"/>
        </w:rPr>
        <w:t xml:space="preserve">) “¿A quién se va a comprar?”. En relación con la primera pregunta, la Guía señala que “para la Entidad Estatal es importante conocer, entre otras, el proceso de producción, distribución y entrega de los bienes o servicios que pretende adquirir, así como los costos asociados a tales procesos, cuáles son las formas de distribución y entrega de los bienes o suministros del servicio, y demás criterios que apliquen”. </w:t>
      </w:r>
    </w:p>
    <w:p w14:paraId="63F07708" w14:textId="77777777" w:rsidR="00F14B8B" w:rsidRDefault="00F14B8B" w:rsidP="00F14B8B">
      <w:pPr>
        <w:spacing w:after="120" w:line="276" w:lineRule="auto"/>
        <w:ind w:firstLine="709"/>
        <w:jc w:val="both"/>
        <w:rPr>
          <w:rFonts w:ascii="Verdana" w:eastAsia="Calibri" w:hAnsi="Verdana" w:cs="Arial"/>
          <w:color w:val="000000" w:themeColor="text1"/>
        </w:rPr>
      </w:pPr>
      <w:r w:rsidRPr="00AD4F6A">
        <w:rPr>
          <w:rFonts w:ascii="Verdana" w:eastAsia="Calibri" w:hAnsi="Verdana" w:cs="Arial"/>
          <w:color w:val="000000" w:themeColor="text1"/>
          <w:lang w:val="es-ES"/>
        </w:rPr>
        <w:t xml:space="preserve">Para estos efectos, se recomienda a la entidad diseñar e implementar escenarios y procedimientos de consulta de información abiertos e incluyentes con el mercado, en los cuales se defina qué información, cuándo, por qué medio </w:t>
      </w:r>
      <w:r w:rsidRPr="00AD4F6A">
        <w:rPr>
          <w:rFonts w:ascii="Verdana" w:eastAsia="Calibri" w:hAnsi="Verdana" w:cs="Arial"/>
          <w:color w:val="000000" w:themeColor="text1"/>
          <w:lang w:val="es-ES"/>
        </w:rPr>
        <w:lastRenderedPageBreak/>
        <w:t>y a quienes se solicitará.</w:t>
      </w:r>
      <w:bookmarkStart w:id="11" w:name="_Hlk78204338"/>
      <w:r w:rsidRPr="00AD4F6A">
        <w:rPr>
          <w:rFonts w:ascii="Verdana" w:eastAsia="Calibri" w:hAnsi="Verdana" w:cs="Arial"/>
          <w:color w:val="000000" w:themeColor="text1"/>
          <w:lang w:val="es-ES"/>
        </w:rPr>
        <w:t xml:space="preserve"> La Guía</w:t>
      </w:r>
      <w:r w:rsidRPr="00AD4F6A">
        <w:rPr>
          <w:rFonts w:ascii="Verdana" w:eastAsia="Calibri" w:hAnsi="Verdana" w:cs="Arial"/>
          <w:color w:val="000000" w:themeColor="text1"/>
        </w:rPr>
        <w:t xml:space="preserve"> indica que </w:t>
      </w:r>
      <w:r w:rsidRPr="00AD4F6A">
        <w:rPr>
          <w:rFonts w:ascii="Verdana" w:eastAsia="Calibri" w:hAnsi="Verdana" w:cs="Arial"/>
          <w:color w:val="000000" w:themeColor="text1"/>
          <w:lang w:val="es-ES"/>
        </w:rPr>
        <w:t>“la Entidad Estatal debe identificar los proveedores en el mercado del bien o servicio, así como sus principales características como tamaño empresarial, ubicación, esquemas de producción y comportamiento financiero”</w:t>
      </w:r>
      <w:r w:rsidRPr="00AD4F6A">
        <w:rPr>
          <w:rFonts w:ascii="Verdana" w:eastAsia="Calibri" w:hAnsi="Verdana" w:cs="Arial"/>
          <w:color w:val="000000" w:themeColor="text1"/>
        </w:rPr>
        <w:t>.</w:t>
      </w:r>
      <w:bookmarkEnd w:id="11"/>
      <w:r w:rsidRPr="00AD4F6A">
        <w:rPr>
          <w:rFonts w:ascii="Verdana" w:eastAsia="Calibri" w:hAnsi="Verdana" w:cs="Arial"/>
          <w:color w:val="000000" w:themeColor="text1"/>
        </w:rPr>
        <w:t xml:space="preserve"> Para la identificación de los proveedores se propone analizar el listado de los proveedores que participaron en los procesos de contratación iguales o similares que haya realizado la entidad y los que hayan realizado otras entidades con objetos comparables.</w:t>
      </w:r>
    </w:p>
    <w:p w14:paraId="1B135370" w14:textId="77777777" w:rsidR="00F14B8B" w:rsidRPr="00AD4F6A" w:rsidRDefault="00F14B8B" w:rsidP="00F14B8B">
      <w:pPr>
        <w:spacing w:after="120" w:line="276" w:lineRule="auto"/>
        <w:ind w:firstLine="709"/>
        <w:jc w:val="both"/>
        <w:rPr>
          <w:rFonts w:ascii="Verdana" w:eastAsia="Calibri" w:hAnsi="Verdana" w:cs="Arial"/>
          <w:color w:val="000000" w:themeColor="text1"/>
          <w:lang w:val="es-ES"/>
        </w:rPr>
      </w:pPr>
      <w:r w:rsidRPr="00AD4F6A">
        <w:rPr>
          <w:rFonts w:ascii="Verdana" w:eastAsia="Calibri" w:hAnsi="Verdana" w:cs="Arial"/>
          <w:color w:val="000000" w:themeColor="text1"/>
          <w:lang w:val="es-ES"/>
        </w:rPr>
        <w:t xml:space="preserve">Por último, el estudio del mercado permite comprender la dinámica de los precios y establecer el presupuesto oficial de la contratación. </w:t>
      </w:r>
      <w:r w:rsidRPr="00AD4F6A">
        <w:rPr>
          <w:rFonts w:ascii="Verdana" w:eastAsia="Calibri" w:hAnsi="Verdana" w:cs="Arial"/>
          <w:lang w:val="es-ES"/>
        </w:rPr>
        <w:t xml:space="preserve">De esta forma, se tiene que, la Guía de Elaboración de Estudios del Sector en el numeral 1.3.4, propone a las Entidades Estatales los siguientes mecanismos para elaborar el estudio de precios de mercado: </w:t>
      </w:r>
    </w:p>
    <w:p w14:paraId="4F74A7E2" w14:textId="77777777" w:rsidR="00F14B8B" w:rsidRPr="00AD4F6A" w:rsidRDefault="00F14B8B" w:rsidP="00F14B8B">
      <w:pPr>
        <w:spacing w:after="0" w:line="240" w:lineRule="auto"/>
        <w:ind w:left="720"/>
        <w:contextualSpacing/>
        <w:rPr>
          <w:rFonts w:ascii="Verdana" w:eastAsia="Calibri" w:hAnsi="Verdana" w:cs="Arial"/>
          <w:lang w:val="es-ES"/>
        </w:rPr>
      </w:pPr>
    </w:p>
    <w:p w14:paraId="49596BC8" w14:textId="77777777" w:rsidR="00F14B8B" w:rsidRPr="00AD4F6A" w:rsidRDefault="00F14B8B" w:rsidP="00F14B8B">
      <w:pPr>
        <w:numPr>
          <w:ilvl w:val="0"/>
          <w:numId w:val="18"/>
        </w:numPr>
        <w:spacing w:after="0" w:line="240" w:lineRule="auto"/>
        <w:ind w:left="1072" w:right="618"/>
        <w:contextualSpacing/>
        <w:jc w:val="both"/>
        <w:rPr>
          <w:rFonts w:ascii="Verdana" w:eastAsia="Calibri" w:hAnsi="Verdana" w:cs="Arial"/>
          <w:sz w:val="20"/>
          <w:szCs w:val="20"/>
          <w:lang w:val="es-ES"/>
        </w:rPr>
      </w:pPr>
      <w:bookmarkStart w:id="12" w:name="_Hlk176860475"/>
      <w:r w:rsidRPr="00AD4F6A">
        <w:rPr>
          <w:rFonts w:ascii="Verdana" w:eastAsia="Calibri" w:hAnsi="Verdana" w:cs="Arial"/>
          <w:sz w:val="20"/>
          <w:szCs w:val="20"/>
          <w:lang w:val="es-ES"/>
        </w:rPr>
        <w:t>Revisión de precios por solicitud de cotizaciones</w:t>
      </w:r>
      <w:bookmarkEnd w:id="12"/>
      <w:r w:rsidRPr="00AD4F6A">
        <w:rPr>
          <w:rFonts w:ascii="Verdana" w:eastAsia="Calibri" w:hAnsi="Verdana" w:cs="Arial"/>
          <w:sz w:val="20"/>
          <w:szCs w:val="20"/>
          <w:lang w:val="es-ES"/>
        </w:rPr>
        <w:t xml:space="preserve">: requerir a los potenciales proveedores de los bienes o servicios para que remitan la información necesaria para determinar, entre otros aspectos, el valor del servicio o del bien correspondiente. Para estos efectos, se sugiere incluir en la comunicación toda aquella información pertinente del contrato a ejecutar que permita a los potenciales proveedores estructurar una cotización integral y ajustada a las necesidades de la Entidad, </w:t>
      </w:r>
      <w:proofErr w:type="gramStart"/>
      <w:r w:rsidRPr="00AD4F6A">
        <w:rPr>
          <w:rFonts w:ascii="Verdana" w:eastAsia="Calibri" w:hAnsi="Verdana" w:cs="Arial"/>
          <w:sz w:val="20"/>
          <w:szCs w:val="20"/>
          <w:lang w:val="es-ES"/>
        </w:rPr>
        <w:t>como</w:t>
      </w:r>
      <w:proofErr w:type="gramEnd"/>
      <w:r w:rsidRPr="00AD4F6A">
        <w:rPr>
          <w:rFonts w:ascii="Verdana" w:eastAsia="Calibri" w:hAnsi="Verdana" w:cs="Arial"/>
          <w:sz w:val="20"/>
          <w:szCs w:val="20"/>
          <w:lang w:val="es-ES"/>
        </w:rPr>
        <w:t xml:space="preserve"> por ejemplo, especificaciones técnicas del bien o servicio a contratar, plazo del contrato, así como toda aquella información relevante que incida en el precio del bien o servicio.</w:t>
      </w:r>
    </w:p>
    <w:p w14:paraId="0688B9F7" w14:textId="77777777" w:rsidR="00F14B8B" w:rsidRPr="00AD4F6A" w:rsidRDefault="00F14B8B" w:rsidP="00F14B8B">
      <w:pPr>
        <w:spacing w:after="0" w:line="240" w:lineRule="auto"/>
        <w:ind w:left="1072" w:right="618"/>
        <w:contextualSpacing/>
        <w:jc w:val="both"/>
        <w:rPr>
          <w:rFonts w:ascii="Verdana" w:eastAsia="Calibri" w:hAnsi="Verdana" w:cs="Arial"/>
          <w:sz w:val="20"/>
          <w:szCs w:val="20"/>
          <w:lang w:val="es-ES"/>
        </w:rPr>
      </w:pPr>
    </w:p>
    <w:p w14:paraId="4652F832" w14:textId="77777777" w:rsidR="00F14B8B" w:rsidRPr="00AD4F6A" w:rsidRDefault="00F14B8B" w:rsidP="00D23730">
      <w:pPr>
        <w:spacing w:after="0" w:line="240" w:lineRule="auto"/>
        <w:ind w:left="1072" w:right="618"/>
        <w:contextualSpacing/>
        <w:jc w:val="both"/>
        <w:rPr>
          <w:rFonts w:ascii="Verdana" w:eastAsia="Calibri" w:hAnsi="Verdana" w:cs="Arial"/>
          <w:sz w:val="20"/>
          <w:szCs w:val="20"/>
          <w:lang w:val="es-ES"/>
        </w:rPr>
      </w:pPr>
      <w:r w:rsidRPr="00AD4F6A">
        <w:rPr>
          <w:rFonts w:ascii="Verdana" w:eastAsia="Calibri" w:hAnsi="Verdana" w:cs="Arial"/>
          <w:sz w:val="20"/>
          <w:szCs w:val="20"/>
          <w:lang w:val="es-ES"/>
        </w:rPr>
        <w:t>Al recibir las cotizaciones, debe verificarse la ocurrencia de circunstancias que eventualmente pueden distorsionar los precios del mercado, como ofertas especiales de almacenes de cadena, fenómenos de escasez o abundancia del producto, entre otros aspectos.</w:t>
      </w:r>
    </w:p>
    <w:p w14:paraId="78086A3B" w14:textId="77777777" w:rsidR="00F14B8B" w:rsidRPr="00AD4F6A" w:rsidRDefault="00F14B8B" w:rsidP="00F14B8B">
      <w:pPr>
        <w:spacing w:after="0" w:line="240" w:lineRule="auto"/>
        <w:ind w:left="1072" w:right="618"/>
        <w:contextualSpacing/>
        <w:jc w:val="both"/>
        <w:rPr>
          <w:rFonts w:ascii="Verdana" w:eastAsia="Calibri" w:hAnsi="Verdana" w:cs="Arial"/>
          <w:sz w:val="20"/>
          <w:szCs w:val="20"/>
          <w:lang w:val="es-ES"/>
        </w:rPr>
      </w:pPr>
    </w:p>
    <w:p w14:paraId="75E051FE" w14:textId="77777777" w:rsidR="00F14B8B" w:rsidRPr="00AD4F6A" w:rsidRDefault="00F14B8B" w:rsidP="00F14B8B">
      <w:pPr>
        <w:numPr>
          <w:ilvl w:val="0"/>
          <w:numId w:val="18"/>
        </w:numPr>
        <w:spacing w:after="0" w:line="240" w:lineRule="auto"/>
        <w:ind w:left="1072" w:right="618"/>
        <w:contextualSpacing/>
        <w:jc w:val="both"/>
        <w:rPr>
          <w:rFonts w:ascii="Verdana" w:eastAsia="Calibri" w:hAnsi="Verdana" w:cs="Arial"/>
          <w:sz w:val="20"/>
          <w:szCs w:val="20"/>
          <w:lang w:val="es-ES"/>
        </w:rPr>
      </w:pPr>
      <w:r w:rsidRPr="00AD4F6A">
        <w:rPr>
          <w:rFonts w:ascii="Verdana" w:eastAsia="Calibri" w:hAnsi="Verdana" w:cs="Arial"/>
          <w:sz w:val="20"/>
          <w:szCs w:val="20"/>
          <w:lang w:val="es-ES"/>
        </w:rPr>
        <w:t>Revisión de bases de datos especializadas: se adelanta cuando por las condiciones del mercado del bien o servicio a contratar se requiera, y el responsable deberá dejar constancia de las consultas realizadas y de los precios que soportan su estudio. Las bases de datos consultadas deben ser especializadas y representativas en el mercado del bien o servicio a contratar.</w:t>
      </w:r>
    </w:p>
    <w:p w14:paraId="39B66127" w14:textId="77777777" w:rsidR="00F14B8B" w:rsidRPr="00AD4F6A" w:rsidRDefault="00F14B8B" w:rsidP="00F14B8B">
      <w:pPr>
        <w:spacing w:after="0" w:line="240" w:lineRule="auto"/>
        <w:ind w:left="1072" w:right="618"/>
        <w:contextualSpacing/>
        <w:jc w:val="both"/>
        <w:rPr>
          <w:rFonts w:ascii="Verdana" w:eastAsia="Calibri" w:hAnsi="Verdana" w:cs="Arial"/>
          <w:sz w:val="20"/>
          <w:szCs w:val="20"/>
          <w:lang w:val="es-ES"/>
        </w:rPr>
      </w:pPr>
    </w:p>
    <w:p w14:paraId="24B9F3F4" w14:textId="77777777" w:rsidR="00F14B8B" w:rsidRPr="00AD4F6A" w:rsidRDefault="00F14B8B" w:rsidP="00F14B8B">
      <w:pPr>
        <w:numPr>
          <w:ilvl w:val="0"/>
          <w:numId w:val="18"/>
        </w:numPr>
        <w:spacing w:after="0" w:line="240" w:lineRule="auto"/>
        <w:ind w:left="1072" w:right="618"/>
        <w:contextualSpacing/>
        <w:jc w:val="both"/>
        <w:rPr>
          <w:rFonts w:ascii="Verdana" w:eastAsia="Calibri" w:hAnsi="Verdana" w:cs="Arial"/>
          <w:sz w:val="20"/>
          <w:szCs w:val="20"/>
          <w:lang w:val="es-ES"/>
        </w:rPr>
      </w:pPr>
      <w:r w:rsidRPr="00AD4F6A">
        <w:rPr>
          <w:rFonts w:ascii="Verdana" w:eastAsia="Calibri" w:hAnsi="Verdana" w:cs="Arial"/>
          <w:sz w:val="20"/>
          <w:szCs w:val="20"/>
          <w:lang w:val="es-ES"/>
        </w:rPr>
        <w:t>Revisión de precios históricos: para emplear el mecanismo se sugiere verificar la variación de los precios históricos derivados del índice de precios al consumidor en cada año, examinando si se han presentado fenómenos económicos que hayan implicado fluctuaciones importantes en el comercio del bien o servicio. Las características del bien o servicio deben ser las mismas entre una contratación y otra.</w:t>
      </w:r>
    </w:p>
    <w:p w14:paraId="0CD0A8DE" w14:textId="77777777" w:rsidR="00F14B8B" w:rsidRDefault="00F14B8B" w:rsidP="00F14B8B">
      <w:pPr>
        <w:spacing w:after="120" w:line="276" w:lineRule="auto"/>
        <w:jc w:val="both"/>
        <w:rPr>
          <w:rFonts w:ascii="Verdana" w:eastAsia="Calibri" w:hAnsi="Verdana" w:cs="Arial"/>
          <w:szCs w:val="24"/>
          <w:lang w:eastAsia="es-ES_tradnl"/>
        </w:rPr>
      </w:pPr>
    </w:p>
    <w:p w14:paraId="3BEAFC3A" w14:textId="77777777" w:rsidR="00F14B8B" w:rsidRPr="00AD4F6A" w:rsidRDefault="00F14B8B" w:rsidP="00F14B8B">
      <w:pPr>
        <w:spacing w:after="120" w:line="276" w:lineRule="auto"/>
        <w:ind w:firstLine="709"/>
        <w:jc w:val="both"/>
        <w:rPr>
          <w:rFonts w:ascii="Verdana" w:eastAsia="Calibri" w:hAnsi="Verdana" w:cs="Arial"/>
          <w:color w:val="000000" w:themeColor="text1"/>
          <w:lang w:val="es-ES"/>
        </w:rPr>
      </w:pPr>
      <w:r w:rsidRPr="00AD4F6A">
        <w:rPr>
          <w:rFonts w:ascii="Verdana" w:eastAsia="Calibri" w:hAnsi="Verdana" w:cs="Arial"/>
          <w:color w:val="000000" w:themeColor="text1"/>
          <w:lang w:val="es-ES"/>
        </w:rPr>
        <w:lastRenderedPageBreak/>
        <w:t xml:space="preserve">Como se observa, la “Guía de Elaboración de Estudios del Sector” recomienda como mecanismo para la elaboración de </w:t>
      </w:r>
      <w:r w:rsidRPr="00AD4F6A">
        <w:rPr>
          <w:rFonts w:ascii="Verdana" w:eastAsia="Calibri" w:hAnsi="Verdana" w:cs="Arial"/>
          <w:i/>
          <w:iCs/>
          <w:color w:val="000000" w:themeColor="text1"/>
          <w:lang w:val="es-ES"/>
        </w:rPr>
        <w:t>estudios del mercado</w:t>
      </w:r>
      <w:r w:rsidRPr="00AD4F6A">
        <w:rPr>
          <w:rFonts w:ascii="Verdana" w:eastAsia="Calibri" w:hAnsi="Verdana" w:cs="Arial"/>
          <w:color w:val="000000" w:themeColor="text1"/>
          <w:lang w:val="es-ES"/>
        </w:rPr>
        <w:t xml:space="preserve">, que sirvan para entender la dinámica de los precios y establecer el presupuesto oficial de la contratación, </w:t>
      </w:r>
      <w:r w:rsidRPr="00AD4F6A">
        <w:rPr>
          <w:rFonts w:ascii="Verdana" w:eastAsia="Calibri" w:hAnsi="Verdana" w:cs="Arial"/>
          <w:i/>
          <w:color w:val="000000" w:themeColor="text1"/>
          <w:lang w:val="es-ES"/>
        </w:rPr>
        <w:t>requerir a los potenciales proveedores</w:t>
      </w:r>
      <w:r w:rsidRPr="00AD4F6A">
        <w:rPr>
          <w:rFonts w:ascii="Verdana" w:eastAsia="Calibri" w:hAnsi="Verdana" w:cs="Arial"/>
          <w:color w:val="000000" w:themeColor="text1"/>
          <w:lang w:val="es-ES"/>
        </w:rPr>
        <w:t xml:space="preserve"> a fin de que remitan la información necesaria para determinar diversos aspectos de los bienes o servicios a contratar, entre ellos su valor, especificaciones técnicas, el plazo, entre otra información relevante. </w:t>
      </w:r>
    </w:p>
    <w:p w14:paraId="40DB2406" w14:textId="77777777" w:rsidR="00F14B8B" w:rsidRPr="00AD4F6A" w:rsidRDefault="00F14B8B" w:rsidP="00F14B8B">
      <w:pPr>
        <w:spacing w:after="120" w:line="276" w:lineRule="auto"/>
        <w:ind w:firstLine="709"/>
        <w:jc w:val="both"/>
        <w:rPr>
          <w:rFonts w:ascii="Verdana" w:eastAsia="Calibri" w:hAnsi="Verdana" w:cs="Arial"/>
          <w:color w:val="000000" w:themeColor="text1"/>
          <w:lang w:val="es-ES"/>
        </w:rPr>
      </w:pPr>
      <w:r w:rsidRPr="00AD4F6A">
        <w:rPr>
          <w:rFonts w:ascii="Verdana" w:eastAsia="Calibri" w:hAnsi="Verdana" w:cs="Arial"/>
          <w:color w:val="000000" w:themeColor="text1"/>
          <w:lang w:val="es-ES"/>
        </w:rPr>
        <w:t xml:space="preserve">Así mismo, establece como mecanismo la </w:t>
      </w:r>
      <w:r w:rsidRPr="00AD4F6A">
        <w:rPr>
          <w:rFonts w:ascii="Verdana" w:eastAsia="Calibri" w:hAnsi="Verdana" w:cs="Arial"/>
          <w:i/>
          <w:color w:val="000000" w:themeColor="text1"/>
          <w:lang w:val="es-ES"/>
        </w:rPr>
        <w:t>revisión de precios históricos</w:t>
      </w:r>
      <w:r w:rsidRPr="00AD4F6A">
        <w:rPr>
          <w:rFonts w:ascii="Verdana" w:eastAsia="Calibri" w:hAnsi="Verdana" w:cs="Arial"/>
          <w:color w:val="000000" w:themeColor="text1"/>
          <w:lang w:val="es-ES"/>
        </w:rPr>
        <w:t>, al que hace referencia en su consulta, en la cual</w:t>
      </w:r>
      <w:r w:rsidRPr="00AD4F6A">
        <w:rPr>
          <w:rFonts w:ascii="Verdana" w:eastAsia="Calibri" w:hAnsi="Verdana" w:cs="Arial"/>
          <w:color w:val="000000" w:themeColor="text1"/>
        </w:rPr>
        <w:t xml:space="preserve"> se sugiere verificar la variación de los precios históricos derivados del Índice de Precios al Consumidor (IPC) en cada año, analizando de manera detallada las fluctuaciones económicas que hayan influido en la evolución de los precios, tales como cambios en la oferta y demanda, factores externos (como crisis económicas o alteraciones en la cadena de suministro) y políticas monetarias que hayan afectado la inflación. Además, se debe examinar si estos cambios han tenido un impacto significativo en el comercio del bien o servicio a contratar, para asegurar que la revisión sea adecuada y pertinente. Es fundamental que las características del bien o servicio sean equivalentes en cada contratación, garantizando que no existan alteraciones en las especificaciones, calidad o cantidad que pudieran distorsionar la comparación de precios. </w:t>
      </w:r>
    </w:p>
    <w:p w14:paraId="3201C3AF" w14:textId="77777777" w:rsidR="00F14B8B" w:rsidRPr="00AD4F6A" w:rsidRDefault="00F14B8B" w:rsidP="00F14B8B">
      <w:pPr>
        <w:spacing w:after="120" w:line="276" w:lineRule="auto"/>
        <w:ind w:firstLine="709"/>
        <w:jc w:val="both"/>
        <w:rPr>
          <w:rFonts w:ascii="Verdana" w:hAnsi="Verdana" w:cs="Arial"/>
          <w:lang w:eastAsia="es-CO"/>
        </w:rPr>
      </w:pPr>
      <w:r w:rsidRPr="00AD4F6A">
        <w:rPr>
          <w:rFonts w:ascii="Verdana" w:eastAsia="Calibri" w:hAnsi="Verdana" w:cs="Arial"/>
          <w:color w:val="000000" w:themeColor="text1"/>
          <w:lang w:val="es-ES"/>
        </w:rPr>
        <w:t xml:space="preserve">En este contexto, es pertinente precisar que los mecanismos señalados para realizar el estudio del mercado no están determinados por la ley o el reglamento, por lo que no existen lineamientos obligatorios para su estructuración. </w:t>
      </w:r>
      <w:r w:rsidRPr="00AD4F6A">
        <w:rPr>
          <w:rFonts w:ascii="Verdana" w:hAnsi="Verdana" w:cs="Arial"/>
          <w:lang w:eastAsia="es-CO"/>
        </w:rPr>
        <w:t xml:space="preserve">Como se mencionó, la </w:t>
      </w:r>
      <w:r w:rsidRPr="00AD4F6A">
        <w:rPr>
          <w:rFonts w:ascii="Verdana" w:eastAsia="Calibri" w:hAnsi="Verdana" w:cs="Arial"/>
          <w:bCs/>
          <w:lang w:val="es-ES_tradnl"/>
        </w:rPr>
        <w:t>“Guía de Elaboración del Estudio del Sector” desarrolla recomendaciones y buenas prácticas que servirán a las entidades para entender el mercado del bien o servicio a contratar</w:t>
      </w:r>
      <w:r w:rsidRPr="00AD4F6A">
        <w:rPr>
          <w:rFonts w:ascii="Verdana" w:eastAsia="Calibri" w:hAnsi="Verdana" w:cs="Arial"/>
          <w:color w:val="000000" w:themeColor="text1"/>
          <w:lang w:val="es-ES"/>
        </w:rPr>
        <w:t xml:space="preserve">, por tanto, </w:t>
      </w:r>
      <w:r w:rsidRPr="00AD4F6A">
        <w:rPr>
          <w:rFonts w:ascii="Verdana" w:eastAsia="Calibri" w:hAnsi="Verdana" w:cs="Arial"/>
          <w:bCs/>
          <w:lang w:val="es-ES_tradnl"/>
        </w:rPr>
        <w:t xml:space="preserve">las entidades </w:t>
      </w:r>
      <w:r w:rsidRPr="00AD4F6A">
        <w:rPr>
          <w:rFonts w:ascii="Verdana" w:hAnsi="Verdana" w:cs="Arial"/>
          <w:lang w:eastAsia="es-CO"/>
        </w:rPr>
        <w:t xml:space="preserve">son autónomas para establecer la forma en la cual se recopilará la información que sustente el análisis del sector y de determinar el mecanismo para la estructuración del presupuesto oficial. </w:t>
      </w:r>
    </w:p>
    <w:p w14:paraId="08BCF1AF" w14:textId="77777777" w:rsidR="00F14B8B" w:rsidRDefault="00F14B8B" w:rsidP="00F14B8B">
      <w:pPr>
        <w:spacing w:after="120" w:line="276" w:lineRule="auto"/>
        <w:ind w:firstLine="709"/>
        <w:jc w:val="both"/>
        <w:rPr>
          <w:rFonts w:ascii="Verdana" w:hAnsi="Verdana" w:cs="Arial"/>
        </w:rPr>
      </w:pPr>
      <w:r w:rsidRPr="00AD4F6A">
        <w:rPr>
          <w:rFonts w:ascii="Verdana" w:hAnsi="Verdana" w:cs="Arial"/>
          <w:lang w:eastAsia="es-CO"/>
        </w:rPr>
        <w:t>De este modo, en cualquier tipo de contrato,</w:t>
      </w:r>
      <w:r>
        <w:rPr>
          <w:rFonts w:ascii="Verdana" w:hAnsi="Verdana" w:cs="Arial"/>
          <w:lang w:eastAsia="es-CO"/>
        </w:rPr>
        <w:t xml:space="preserve"> </w:t>
      </w:r>
      <w:r w:rsidRPr="00AD4F6A">
        <w:rPr>
          <w:rFonts w:ascii="Verdana" w:hAnsi="Verdana" w:cs="Arial"/>
          <w:lang w:eastAsia="es-CO"/>
        </w:rPr>
        <w:t>las entidades estatales cuentan con la facultad de definir el mecanismo que consideren más adecuado para la estructuración del presupuesto oficial</w:t>
      </w:r>
      <w:r>
        <w:rPr>
          <w:rFonts w:ascii="Verdana" w:hAnsi="Verdana" w:cs="Arial"/>
          <w:lang w:eastAsia="es-CO"/>
        </w:rPr>
        <w:t xml:space="preserve"> de acuerdo con el bien o servicio a contratar</w:t>
      </w:r>
      <w:r w:rsidRPr="00AD4F6A">
        <w:rPr>
          <w:rFonts w:ascii="Verdana" w:hAnsi="Verdana" w:cs="Arial"/>
          <w:lang w:eastAsia="es-CO"/>
        </w:rPr>
        <w:t xml:space="preserve">. Esta autonomía implica que, para la determinación de los precios, se podrán emplear distintos métodos técnicamente idóneos, siempre que los cálculos presupuestales estén debidamente soportados en estimaciones fundamentadas, técnicas y verificables, que reflejen la realidad del mercado y la </w:t>
      </w:r>
      <w:r w:rsidRPr="00AD4F6A">
        <w:rPr>
          <w:rFonts w:ascii="Verdana" w:hAnsi="Verdana" w:cs="Arial"/>
          <w:lang w:eastAsia="es-CO"/>
        </w:rPr>
        <w:lastRenderedPageBreak/>
        <w:t xml:space="preserve">naturaleza específica del objeto contractual. Así mismo, dentro de esa autonomía, </w:t>
      </w:r>
      <w:r>
        <w:rPr>
          <w:rFonts w:ascii="Verdana" w:hAnsi="Verdana" w:cs="Arial"/>
          <w:lang w:eastAsia="es-CO"/>
        </w:rPr>
        <w:t xml:space="preserve">tanto la </w:t>
      </w:r>
      <w:r w:rsidRPr="00E5413B">
        <w:rPr>
          <w:rFonts w:ascii="Verdana" w:hAnsi="Verdana" w:cs="Arial"/>
          <w:lang w:eastAsia="es-CO"/>
        </w:rPr>
        <w:t xml:space="preserve">revisión de precios por solicitud de cotizaciones como la revisión de precios históricos </w:t>
      </w:r>
      <w:r w:rsidRPr="00AD4F6A">
        <w:rPr>
          <w:rFonts w:ascii="Verdana" w:hAnsi="Verdana" w:cs="Arial"/>
          <w:lang w:eastAsia="es-CO"/>
        </w:rPr>
        <w:t>constituye</w:t>
      </w:r>
      <w:r>
        <w:rPr>
          <w:rFonts w:ascii="Verdana" w:hAnsi="Verdana" w:cs="Arial"/>
          <w:lang w:eastAsia="es-CO"/>
        </w:rPr>
        <w:t>n</w:t>
      </w:r>
      <w:r w:rsidRPr="00AD4F6A">
        <w:rPr>
          <w:rFonts w:ascii="Verdana" w:hAnsi="Verdana" w:cs="Arial"/>
          <w:lang w:eastAsia="es-CO"/>
        </w:rPr>
        <w:t xml:space="preserve"> herramienta</w:t>
      </w:r>
      <w:r>
        <w:rPr>
          <w:rFonts w:ascii="Verdana" w:hAnsi="Verdana" w:cs="Arial"/>
          <w:lang w:eastAsia="es-CO"/>
        </w:rPr>
        <w:t>s</w:t>
      </w:r>
      <w:r w:rsidRPr="00AD4F6A">
        <w:rPr>
          <w:rFonts w:ascii="Verdana" w:hAnsi="Verdana" w:cs="Arial"/>
          <w:lang w:eastAsia="es-CO"/>
        </w:rPr>
        <w:t xml:space="preserve"> válida</w:t>
      </w:r>
      <w:r>
        <w:rPr>
          <w:rFonts w:ascii="Verdana" w:hAnsi="Verdana" w:cs="Arial"/>
          <w:lang w:eastAsia="es-CO"/>
        </w:rPr>
        <w:t>s</w:t>
      </w:r>
      <w:r w:rsidRPr="00AD4F6A">
        <w:rPr>
          <w:rFonts w:ascii="Verdana" w:hAnsi="Verdana" w:cs="Arial"/>
          <w:lang w:eastAsia="es-CO"/>
        </w:rPr>
        <w:t xml:space="preserve"> como insumo</w:t>
      </w:r>
      <w:r>
        <w:rPr>
          <w:rFonts w:ascii="Verdana" w:hAnsi="Verdana" w:cs="Arial"/>
          <w:lang w:eastAsia="es-CO"/>
        </w:rPr>
        <w:t>s</w:t>
      </w:r>
      <w:r w:rsidRPr="00AD4F6A">
        <w:rPr>
          <w:rFonts w:ascii="Verdana" w:hAnsi="Verdana" w:cs="Arial"/>
          <w:lang w:eastAsia="es-CO"/>
        </w:rPr>
        <w:t xml:space="preserve"> que oriente</w:t>
      </w:r>
      <w:r>
        <w:rPr>
          <w:rFonts w:ascii="Verdana" w:hAnsi="Verdana" w:cs="Arial"/>
          <w:lang w:eastAsia="es-CO"/>
        </w:rPr>
        <w:t>n a la entidad en la determinación del presupuesto</w:t>
      </w:r>
      <w:r w:rsidRPr="00AD4F6A">
        <w:rPr>
          <w:rFonts w:ascii="Verdana" w:hAnsi="Verdana" w:cs="Arial"/>
          <w:lang w:eastAsia="es-CO"/>
        </w:rPr>
        <w:t>, pero su adopción debe estar precedida de una verificación minuciosa de su pertinencia frente a las condiciones particulares del proyecto y las características técnicas de los bienes o servicios requeridos, de tal forma que la entidad no se exime de su deber de realizar la respectiva verificación del mercado</w:t>
      </w:r>
      <w:r w:rsidRPr="00AD4F6A">
        <w:rPr>
          <w:rFonts w:ascii="Verdana" w:hAnsi="Verdana" w:cs="Arial"/>
        </w:rPr>
        <w:t>.</w:t>
      </w:r>
    </w:p>
    <w:p w14:paraId="539089A2" w14:textId="77777777" w:rsidR="00F14B8B" w:rsidRDefault="00F14B8B" w:rsidP="00F14B8B">
      <w:pPr>
        <w:spacing w:after="120" w:line="276" w:lineRule="auto"/>
        <w:ind w:firstLine="709"/>
        <w:jc w:val="both"/>
        <w:rPr>
          <w:rFonts w:ascii="Verdana" w:hAnsi="Verdana" w:cs="Arial"/>
        </w:rPr>
      </w:pPr>
      <w:r>
        <w:rPr>
          <w:rFonts w:ascii="Verdana" w:hAnsi="Verdana" w:cs="Arial"/>
        </w:rPr>
        <w:t xml:space="preserve">En línea con lo anterior, es importante advertir que no es posible plantear una relación jerárquica entre ambos mecanismos, pues su aplicación y análisis dependerá de la autonomía y responsabilidad del estructurador del proceso, así como de las características del objeto a contratar. De esta forma, existe una relación complementaria entre la revisión de </w:t>
      </w:r>
      <w:proofErr w:type="gramStart"/>
      <w:r>
        <w:rPr>
          <w:rFonts w:ascii="Verdana" w:hAnsi="Verdana" w:cs="Arial"/>
        </w:rPr>
        <w:t>las cotización</w:t>
      </w:r>
      <w:proofErr w:type="gramEnd"/>
      <w:r>
        <w:rPr>
          <w:rFonts w:ascii="Verdana" w:hAnsi="Verdana" w:cs="Arial"/>
        </w:rPr>
        <w:t xml:space="preserve"> y el análisis de los precios históricos pues la implementación de ambos puede otorgar herramientas más completas para que la entidad determine el presupuesto oficial. Por ejemplo, la entidad puede adelantar un sondeo del mercado, incorporando los precios históricos en un ejercicio de indexación para establecer el precio con mayor precisión. Por otra parte, puede que el sondeo de mercado genere una realidad que no sea acorde con los precios que históricamente ha pagado la entidad, o que la revisión de precios históricos determine valores inferiores frente a lo que exige el mercado al momento de estructurar el proceso; en ambos supuestos, la utilización de estos mecanismos de forma complementaria permitirá que la entidad tenga una perspectiva más completa del mercado y le indicará si es necesario que requiera aclaraciones o precisiones adicionales. </w:t>
      </w:r>
    </w:p>
    <w:p w14:paraId="6AFCFB7E" w14:textId="77777777" w:rsidR="00F14B8B" w:rsidRPr="00AD4F6A" w:rsidRDefault="00F14B8B" w:rsidP="00F14B8B">
      <w:pPr>
        <w:spacing w:after="120" w:line="276" w:lineRule="auto"/>
        <w:ind w:firstLine="709"/>
        <w:jc w:val="both"/>
        <w:rPr>
          <w:rFonts w:ascii="Verdana" w:hAnsi="Verdana" w:cs="Arial"/>
          <w:lang w:val="es-ES"/>
        </w:rPr>
      </w:pPr>
      <w:r w:rsidRPr="00AD4F6A">
        <w:rPr>
          <w:rFonts w:ascii="Verdana" w:hAnsi="Verdana" w:cs="Arial"/>
          <w:lang w:val="es-ES"/>
        </w:rPr>
        <w:t>Al respecto, es pertinente señalar que, el Consejo de Estado se pronunció sobre la relación existente entre el estudio del sector y la estimación del valor del contrato, indicando que se deben tener en cuenta las diferentes variables del mercado como los costos de la cadena de producción. Pero, con independencia de esto, la entidad debe obtener el menor precio o uno razonable. En todo caso, el valor debe estar justificado para que no corresponda a sobrecostos ni a precios artificialmente bajos, y que con ello la entidad pague un valor adecuado. Esto se logra con el estudio del mercado y sus costos, el cual debe estar a disposición de los participantes del procedimiento contractual</w:t>
      </w:r>
      <w:r w:rsidRPr="00AD4F6A">
        <w:rPr>
          <w:rFonts w:ascii="Verdana" w:hAnsi="Verdana" w:cs="Arial"/>
          <w:vertAlign w:val="superscript"/>
          <w:lang w:val="es-ES"/>
        </w:rPr>
        <w:footnoteReference w:id="8"/>
      </w:r>
      <w:r w:rsidRPr="00AD4F6A">
        <w:rPr>
          <w:rFonts w:ascii="Verdana" w:hAnsi="Verdana" w:cs="Arial"/>
          <w:lang w:val="es-ES"/>
        </w:rPr>
        <w:t>.</w:t>
      </w:r>
    </w:p>
    <w:p w14:paraId="06490358" w14:textId="77777777" w:rsidR="00F14B8B" w:rsidRDefault="00F14B8B" w:rsidP="00F14B8B">
      <w:pPr>
        <w:spacing w:after="120" w:line="276" w:lineRule="auto"/>
        <w:ind w:firstLine="708"/>
        <w:jc w:val="both"/>
        <w:rPr>
          <w:rFonts w:ascii="Verdana" w:hAnsi="Verdana"/>
        </w:rPr>
      </w:pPr>
      <w:r w:rsidRPr="00AD4F6A">
        <w:rPr>
          <w:rFonts w:ascii="Verdana" w:eastAsia="Calibri" w:hAnsi="Verdana" w:cs="Times New Roman"/>
          <w:lang w:val="es-ES"/>
        </w:rPr>
        <w:lastRenderedPageBreak/>
        <w:t>Finalmente, debe destacarse que la Agencia Nacional de Contratación Pública –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w:t>
      </w:r>
      <w:r w:rsidRPr="00AD4F6A">
        <w:rPr>
          <w:rFonts w:ascii="Verdana" w:hAnsi="Verdana"/>
        </w:rPr>
        <w:t xml:space="preserve">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bookmarkEnd w:id="10"/>
    </w:p>
    <w:p w14:paraId="3A11F01B" w14:textId="77777777" w:rsidR="00F14B8B" w:rsidRDefault="00F14B8B" w:rsidP="00F14B8B">
      <w:pPr>
        <w:spacing w:after="120" w:line="276" w:lineRule="auto"/>
        <w:ind w:firstLine="708"/>
        <w:jc w:val="both"/>
        <w:rPr>
          <w:rFonts w:ascii="Verdana" w:hAnsi="Verdana"/>
        </w:rPr>
      </w:pPr>
      <w:r>
        <w:rPr>
          <w:rFonts w:ascii="Verdana" w:hAnsi="Verdana"/>
        </w:rPr>
        <w:t xml:space="preserve">Con respecto a esto último, es importante resaltar que la determinación de un presupuesto superior a los precios por los que históricamente la entidad ha adquirido el bien o servicio no implica per se una actuación que comprometa la responsabilidad disciplinaria o fiscal del estructurador del proceso. </w:t>
      </w:r>
      <w:r w:rsidRPr="00B70563">
        <w:rPr>
          <w:rFonts w:ascii="Verdana" w:hAnsi="Verdana"/>
        </w:rPr>
        <w:t xml:space="preserve">En el ámbito fiscal, </w:t>
      </w:r>
      <w:r>
        <w:rPr>
          <w:rFonts w:ascii="Verdana" w:hAnsi="Verdana"/>
        </w:rPr>
        <w:t>p</w:t>
      </w:r>
      <w:r w:rsidRPr="00B70563">
        <w:rPr>
          <w:rFonts w:ascii="Verdana" w:hAnsi="Verdana"/>
        </w:rPr>
        <w:t>ara predicar responsabilidad fiscal es necesario que concurran</w:t>
      </w:r>
      <w:r>
        <w:rPr>
          <w:rFonts w:ascii="Verdana" w:hAnsi="Verdana"/>
        </w:rPr>
        <w:t xml:space="preserve"> los siguientes elementos</w:t>
      </w:r>
      <w:r w:rsidRPr="00B70563">
        <w:rPr>
          <w:rFonts w:ascii="Verdana" w:hAnsi="Verdana"/>
        </w:rPr>
        <w:t>: i) objetivo, consistente en que exista prueba que acredite la existencia del daño al patrimonio público</w:t>
      </w:r>
      <w:r>
        <w:rPr>
          <w:rFonts w:ascii="Verdana" w:hAnsi="Verdana"/>
        </w:rPr>
        <w:t xml:space="preserve"> y </w:t>
      </w:r>
      <w:r w:rsidRPr="00B70563">
        <w:rPr>
          <w:rFonts w:ascii="Verdana" w:hAnsi="Verdana"/>
        </w:rPr>
        <w:t xml:space="preserve">su cuantificación; </w:t>
      </w:r>
      <w:proofErr w:type="spellStart"/>
      <w:r w:rsidRPr="00B70563">
        <w:rPr>
          <w:rFonts w:ascii="Verdana" w:hAnsi="Verdana"/>
        </w:rPr>
        <w:t>ii</w:t>
      </w:r>
      <w:proofErr w:type="spellEnd"/>
      <w:r w:rsidRPr="00B70563">
        <w:rPr>
          <w:rFonts w:ascii="Verdana" w:hAnsi="Verdana"/>
        </w:rPr>
        <w:t xml:space="preserve">) subjetivo, que evalúa la actuación del gestor fiscal y que implica que haya actuado al menos con culpa; y </w:t>
      </w:r>
      <w:proofErr w:type="spellStart"/>
      <w:r w:rsidRPr="00B70563">
        <w:rPr>
          <w:rFonts w:ascii="Verdana" w:hAnsi="Verdana"/>
        </w:rPr>
        <w:t>iii</w:t>
      </w:r>
      <w:proofErr w:type="spellEnd"/>
      <w:r w:rsidRPr="00B70563">
        <w:rPr>
          <w:rFonts w:ascii="Verdana" w:hAnsi="Verdana"/>
        </w:rPr>
        <w:t xml:space="preserve">) </w:t>
      </w:r>
      <w:r>
        <w:rPr>
          <w:rFonts w:ascii="Verdana" w:hAnsi="Verdana"/>
        </w:rPr>
        <w:t xml:space="preserve">la </w:t>
      </w:r>
      <w:r w:rsidRPr="00B70563">
        <w:rPr>
          <w:rFonts w:ascii="Verdana" w:hAnsi="Verdana"/>
        </w:rPr>
        <w:t xml:space="preserve">relación de causalidad, </w:t>
      </w:r>
      <w:r>
        <w:rPr>
          <w:rFonts w:ascii="Verdana" w:hAnsi="Verdana"/>
        </w:rPr>
        <w:t xml:space="preserve">que implica acreditar que </w:t>
      </w:r>
      <w:r w:rsidRPr="00B70563">
        <w:rPr>
          <w:rFonts w:ascii="Verdana" w:hAnsi="Verdana"/>
        </w:rPr>
        <w:t xml:space="preserve">el daño al patrimonio sea consecuencia </w:t>
      </w:r>
      <w:r>
        <w:rPr>
          <w:rFonts w:ascii="Verdana" w:hAnsi="Verdana"/>
        </w:rPr>
        <w:t xml:space="preserve">de la actuación </w:t>
      </w:r>
      <w:r w:rsidRPr="00B70563">
        <w:rPr>
          <w:rFonts w:ascii="Verdana" w:hAnsi="Verdana"/>
        </w:rPr>
        <w:t>del gestor fisca</w:t>
      </w:r>
      <w:r>
        <w:rPr>
          <w:rFonts w:ascii="Verdana" w:hAnsi="Verdana"/>
        </w:rPr>
        <w:t>l</w:t>
      </w:r>
      <w:r>
        <w:rPr>
          <w:rStyle w:val="Refdenotaalpie"/>
          <w:rFonts w:ascii="Verdana" w:hAnsi="Verdana"/>
        </w:rPr>
        <w:footnoteReference w:id="9"/>
      </w:r>
      <w:r>
        <w:rPr>
          <w:rFonts w:ascii="Verdana" w:hAnsi="Verdana"/>
        </w:rPr>
        <w:t xml:space="preserve">. Corresponde a los entes de control determinar en cada caso concreto si existe o no lugar a realizar </w:t>
      </w:r>
      <w:proofErr w:type="gramStart"/>
      <w:r>
        <w:rPr>
          <w:rFonts w:ascii="Verdana" w:hAnsi="Verdana"/>
        </w:rPr>
        <w:t>un investigación</w:t>
      </w:r>
      <w:proofErr w:type="gramEnd"/>
      <w:r>
        <w:rPr>
          <w:rFonts w:ascii="Verdana" w:hAnsi="Verdana"/>
        </w:rPr>
        <w:t xml:space="preserve"> y si se encuentran configurados los supuestos para determinar la responsabilidad fiscal, penal o disciplinaria de quienes intervienen en la gestión contractual. </w:t>
      </w:r>
      <w:bookmarkStart w:id="13" w:name="2.2.1.1.2.1.1.5"/>
      <w:bookmarkEnd w:id="13"/>
    </w:p>
    <w:p w14:paraId="44B55F37" w14:textId="77777777" w:rsidR="00710FC8" w:rsidRPr="00B70563" w:rsidRDefault="00710FC8" w:rsidP="00F14B8B">
      <w:pPr>
        <w:spacing w:after="120" w:line="276" w:lineRule="auto"/>
        <w:ind w:firstLine="708"/>
        <w:jc w:val="both"/>
        <w:rPr>
          <w:rFonts w:ascii="Verdana" w:hAnsi="Verdana"/>
        </w:rPr>
      </w:pPr>
    </w:p>
    <w:p w14:paraId="5D350AEE" w14:textId="77777777" w:rsidR="00F14B8B" w:rsidRPr="00FB3BB7" w:rsidRDefault="00F14B8B" w:rsidP="00F14B8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FB3BB7">
        <w:rPr>
          <w:rFonts w:ascii="Verdana" w:eastAsia="Century Gothic" w:hAnsi="Verdana" w:cs="Century Gothic"/>
          <w:b/>
          <w:bCs/>
          <w:color w:val="000000" w:themeColor="text1"/>
        </w:rPr>
        <w:t>Referencias normativas, jurisprudenciales y otras fuentes:</w:t>
      </w:r>
    </w:p>
    <w:p w14:paraId="56F14578" w14:textId="77777777" w:rsidR="00F14B8B" w:rsidRPr="00FB3BB7" w:rsidRDefault="00F14B8B" w:rsidP="00F14B8B">
      <w:pPr>
        <w:pStyle w:val="Prrafodelista"/>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14B8B" w:rsidRPr="00FB3BB7" w14:paraId="541F03C1" w14:textId="77777777" w:rsidTr="00495FCD">
        <w:trPr>
          <w:trHeight w:val="870"/>
        </w:trPr>
        <w:tc>
          <w:tcPr>
            <w:tcW w:w="8647" w:type="dxa"/>
          </w:tcPr>
          <w:p w14:paraId="0102F3D9" w14:textId="77777777" w:rsidR="00F14B8B" w:rsidRPr="00AE0468" w:rsidRDefault="00F14B8B" w:rsidP="00495FCD">
            <w:pPr>
              <w:pStyle w:val="Prrafodelista"/>
              <w:widowControl w:val="0"/>
              <w:numPr>
                <w:ilvl w:val="0"/>
                <w:numId w:val="17"/>
              </w:numPr>
              <w:autoSpaceDE w:val="0"/>
              <w:autoSpaceDN w:val="0"/>
              <w:snapToGrid w:val="0"/>
              <w:spacing w:before="120" w:after="120" w:line="276" w:lineRule="auto"/>
              <w:ind w:left="714" w:hanging="357"/>
              <w:contextualSpacing w:val="0"/>
              <w:rPr>
                <w:rFonts w:ascii="Verdana" w:eastAsia="Calibri" w:hAnsi="Verdana" w:cs="Arial"/>
                <w:lang w:val="es-MX"/>
              </w:rPr>
            </w:pPr>
            <w:r w:rsidRPr="00FB3BB7">
              <w:rPr>
                <w:rFonts w:ascii="Verdana" w:eastAsia="Calibri" w:hAnsi="Verdana" w:cs="Arial"/>
              </w:rPr>
              <w:t xml:space="preserve"> </w:t>
            </w:r>
            <w:r w:rsidRPr="00AE0468">
              <w:rPr>
                <w:rFonts w:ascii="Verdana" w:eastAsia="Calibri" w:hAnsi="Verdana" w:cs="Arial"/>
                <w:lang w:val="es-MX"/>
              </w:rPr>
              <w:t xml:space="preserve">Ley 80 de 1993. Artículo 25 </w:t>
            </w:r>
          </w:p>
          <w:p w14:paraId="69518AD8" w14:textId="77777777" w:rsidR="00F14B8B" w:rsidRPr="00AE0468" w:rsidRDefault="00F14B8B" w:rsidP="00495FCD">
            <w:pPr>
              <w:pStyle w:val="Prrafodelista"/>
              <w:widowControl w:val="0"/>
              <w:numPr>
                <w:ilvl w:val="0"/>
                <w:numId w:val="17"/>
              </w:numPr>
              <w:autoSpaceDE w:val="0"/>
              <w:autoSpaceDN w:val="0"/>
              <w:snapToGrid w:val="0"/>
              <w:spacing w:before="120" w:after="120" w:line="276" w:lineRule="auto"/>
              <w:ind w:left="714" w:hanging="357"/>
              <w:contextualSpacing w:val="0"/>
              <w:rPr>
                <w:rFonts w:ascii="Verdana" w:eastAsia="Calibri" w:hAnsi="Verdana" w:cs="Arial"/>
                <w:lang w:val="es-MX"/>
              </w:rPr>
            </w:pPr>
            <w:r w:rsidRPr="00AE0468">
              <w:rPr>
                <w:rFonts w:ascii="Verdana" w:eastAsia="Calibri" w:hAnsi="Verdana" w:cs="Arial"/>
                <w:lang w:val="es-CO"/>
              </w:rPr>
              <w:t>Ley 610 de 2000. Artículo 6</w:t>
            </w:r>
          </w:p>
          <w:p w14:paraId="78487774" w14:textId="77777777" w:rsidR="00F14B8B" w:rsidRPr="00AE0468" w:rsidRDefault="00F14B8B" w:rsidP="00495FCD">
            <w:pPr>
              <w:pStyle w:val="Prrafodelista"/>
              <w:widowControl w:val="0"/>
              <w:numPr>
                <w:ilvl w:val="0"/>
                <w:numId w:val="17"/>
              </w:numPr>
              <w:autoSpaceDE w:val="0"/>
              <w:autoSpaceDN w:val="0"/>
              <w:snapToGrid w:val="0"/>
              <w:spacing w:before="120" w:after="120" w:line="276" w:lineRule="auto"/>
              <w:ind w:left="714" w:hanging="357"/>
              <w:contextualSpacing w:val="0"/>
              <w:rPr>
                <w:rFonts w:ascii="Verdana" w:eastAsia="Calibri" w:hAnsi="Verdana" w:cs="Arial"/>
                <w:lang w:val="es-MX"/>
              </w:rPr>
            </w:pPr>
            <w:r w:rsidRPr="00AE0468">
              <w:rPr>
                <w:rFonts w:ascii="Verdana" w:eastAsia="Calibri" w:hAnsi="Verdana" w:cs="Arial"/>
                <w:lang w:val="es-MX"/>
              </w:rPr>
              <w:t>Decreto 1082 de 2015. Artículos 2.2.1.1.2.1.1. y 2.2.1.1.1.6.1.</w:t>
            </w:r>
          </w:p>
          <w:p w14:paraId="0F1B9388" w14:textId="77777777" w:rsidR="00F14B8B" w:rsidRPr="00AE0468" w:rsidRDefault="00F14B8B" w:rsidP="00495FCD">
            <w:pPr>
              <w:pStyle w:val="Prrafodelista"/>
              <w:widowControl w:val="0"/>
              <w:numPr>
                <w:ilvl w:val="0"/>
                <w:numId w:val="17"/>
              </w:numPr>
              <w:autoSpaceDE w:val="0"/>
              <w:autoSpaceDN w:val="0"/>
              <w:snapToGrid w:val="0"/>
              <w:spacing w:before="120" w:after="120" w:line="276" w:lineRule="auto"/>
              <w:ind w:left="714" w:hanging="357"/>
              <w:contextualSpacing w:val="0"/>
              <w:rPr>
                <w:rFonts w:ascii="Verdana" w:eastAsia="Calibri" w:hAnsi="Verdana" w:cs="Arial"/>
                <w:lang w:val="es-MX"/>
              </w:rPr>
            </w:pPr>
            <w:r w:rsidRPr="00AE0468">
              <w:rPr>
                <w:rFonts w:ascii="Verdana" w:eastAsia="Calibri" w:hAnsi="Verdana" w:cs="Arial"/>
                <w:lang w:val="es-MX"/>
              </w:rPr>
              <w:t xml:space="preserve">Consejo de Estado. Sección Tercera. Subsección B. Sentencia del 31 </w:t>
            </w:r>
            <w:r w:rsidRPr="00AE0468">
              <w:rPr>
                <w:rFonts w:ascii="Verdana" w:eastAsia="Calibri" w:hAnsi="Verdana" w:cs="Arial"/>
                <w:lang w:val="es-MX"/>
              </w:rPr>
              <w:lastRenderedPageBreak/>
              <w:t>de agosto de 2011. Exp. 18.080.</w:t>
            </w:r>
          </w:p>
          <w:p w14:paraId="2FF77B95" w14:textId="77777777" w:rsidR="00F14B8B" w:rsidRPr="00AE0468" w:rsidRDefault="00F14B8B" w:rsidP="00495FCD">
            <w:pPr>
              <w:pStyle w:val="Prrafodelista"/>
              <w:widowControl w:val="0"/>
              <w:numPr>
                <w:ilvl w:val="0"/>
                <w:numId w:val="17"/>
              </w:numPr>
              <w:autoSpaceDE w:val="0"/>
              <w:autoSpaceDN w:val="0"/>
              <w:snapToGrid w:val="0"/>
              <w:spacing w:before="120" w:after="120" w:line="276" w:lineRule="auto"/>
              <w:ind w:left="714" w:hanging="357"/>
              <w:contextualSpacing w:val="0"/>
              <w:rPr>
                <w:rFonts w:ascii="Verdana" w:eastAsia="Calibri" w:hAnsi="Verdana" w:cs="Arial"/>
                <w:lang w:val="es-MX"/>
              </w:rPr>
            </w:pPr>
            <w:r w:rsidRPr="00AE0468">
              <w:rPr>
                <w:rFonts w:ascii="Verdana" w:eastAsia="Calibri" w:hAnsi="Verdana" w:cs="Arial"/>
                <w:lang w:val="es-MX"/>
              </w:rPr>
              <w:t>Consejo de Estado. Sección Tercera. Subsección B. Sentencia del 27 de abril de 2011. Rad. 18293. C.P. Ruth Stella Correa Palacio.</w:t>
            </w:r>
          </w:p>
          <w:p w14:paraId="444CDF4A" w14:textId="77777777" w:rsidR="00F14B8B" w:rsidRPr="00D43440" w:rsidRDefault="00F14B8B" w:rsidP="00495FCD">
            <w:pPr>
              <w:pStyle w:val="Prrafodelista"/>
              <w:widowControl w:val="0"/>
              <w:numPr>
                <w:ilvl w:val="0"/>
                <w:numId w:val="17"/>
              </w:numPr>
              <w:autoSpaceDE w:val="0"/>
              <w:autoSpaceDN w:val="0"/>
              <w:snapToGrid w:val="0"/>
              <w:spacing w:before="120" w:after="120" w:line="276" w:lineRule="auto"/>
              <w:ind w:left="714" w:hanging="357"/>
              <w:contextualSpacing w:val="0"/>
              <w:rPr>
                <w:rFonts w:ascii="Verdana" w:eastAsia="Calibri" w:hAnsi="Verdana" w:cs="Arial"/>
                <w:lang w:val="es-MX"/>
              </w:rPr>
            </w:pPr>
            <w:r w:rsidRPr="00AE0468">
              <w:rPr>
                <w:rFonts w:ascii="Verdana" w:eastAsia="Calibri" w:hAnsi="Verdana" w:cs="Arial"/>
                <w:lang w:val="es-MX"/>
              </w:rPr>
              <w:t>Guía de Elaboración de Estudios de Sector:</w:t>
            </w:r>
            <w:r>
              <w:rPr>
                <w:rFonts w:ascii="Verdana" w:eastAsia="Calibri" w:hAnsi="Verdana" w:cs="Arial"/>
                <w:lang w:val="es-MX"/>
              </w:rPr>
              <w:t xml:space="preserve"> </w:t>
            </w:r>
            <w:hyperlink r:id="rId11" w:history="1">
              <w:r w:rsidRPr="004A7525">
                <w:rPr>
                  <w:rStyle w:val="Hipervnculo"/>
                  <w:rFonts w:ascii="Verdana" w:eastAsia="Calibri" w:hAnsi="Verdana" w:cs="Arial"/>
                  <w:lang w:val="es-MX"/>
                </w:rPr>
                <w:t>https://www.colombiacompra.gov.co/sites/cce_public/files/cce_documentos/cce-eicp-gi-18._gees_v.2_2.pdf</w:t>
              </w:r>
            </w:hyperlink>
          </w:p>
        </w:tc>
      </w:tr>
    </w:tbl>
    <w:p w14:paraId="44DFF634" w14:textId="77777777" w:rsidR="00F14B8B" w:rsidRPr="00FB3BB7" w:rsidRDefault="00F14B8B" w:rsidP="00F14B8B">
      <w:pPr>
        <w:widowControl w:val="0"/>
        <w:autoSpaceDE w:val="0"/>
        <w:autoSpaceDN w:val="0"/>
        <w:spacing w:after="0" w:line="276" w:lineRule="auto"/>
        <w:jc w:val="both"/>
        <w:rPr>
          <w:rFonts w:ascii="Verdana" w:hAnsi="Verdana" w:cs="Arial"/>
          <w:color w:val="000000" w:themeColor="text1"/>
        </w:rPr>
      </w:pPr>
    </w:p>
    <w:p w14:paraId="5EF502BA" w14:textId="77777777" w:rsidR="00F14B8B" w:rsidRPr="00FB3BB7" w:rsidRDefault="00F14B8B" w:rsidP="00F14B8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B3BB7">
        <w:rPr>
          <w:rFonts w:ascii="Verdana" w:eastAsia="Century Gothic" w:hAnsi="Verdana" w:cs="Century Gothic"/>
          <w:b/>
          <w:bCs/>
          <w:color w:val="000000" w:themeColor="text1"/>
        </w:rPr>
        <w:t>Doctrina de la Agencia Nacional de Contratación Pública:</w:t>
      </w:r>
    </w:p>
    <w:p w14:paraId="7876919A" w14:textId="77777777" w:rsidR="00F14B8B" w:rsidRPr="00FB3BB7" w:rsidRDefault="00F14B8B" w:rsidP="00F14B8B">
      <w:pPr>
        <w:widowControl w:val="0"/>
        <w:autoSpaceDE w:val="0"/>
        <w:autoSpaceDN w:val="0"/>
        <w:spacing w:after="0" w:line="276" w:lineRule="auto"/>
        <w:jc w:val="both"/>
        <w:rPr>
          <w:rFonts w:ascii="Verdana" w:hAnsi="Verdana" w:cs="Arial"/>
          <w:color w:val="000000" w:themeColor="text1"/>
        </w:rPr>
      </w:pPr>
    </w:p>
    <w:p w14:paraId="77BCC0B2" w14:textId="77777777" w:rsidR="00F14B8B" w:rsidRPr="00FB3BB7" w:rsidRDefault="00F14B8B" w:rsidP="00F14B8B">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FB3BB7">
        <w:rPr>
          <w:rStyle w:val="normaltextrun"/>
          <w:rFonts w:ascii="Verdana" w:hAnsi="Verdana" w:cs="Arial"/>
          <w:color w:val="000000" w:themeColor="text1"/>
          <w:shd w:val="clear" w:color="auto" w:fill="FFFFFF"/>
          <w:lang w:val="es-ES"/>
        </w:rPr>
        <w:t xml:space="preserve">La Agencia Nacional de Contratación Pública – Colombia Compra Eficiente </w:t>
      </w:r>
      <w:r>
        <w:rPr>
          <w:rFonts w:ascii="Verdana" w:hAnsi="Verdana" w:cs="Arial"/>
        </w:rPr>
        <w:t>se ha referido</w:t>
      </w:r>
      <w:r>
        <w:rPr>
          <w:rFonts w:ascii="Verdana" w:eastAsia="Aptos" w:hAnsi="Verdana" w:cs="Arial"/>
          <w:shd w:val="clear" w:color="auto" w:fill="FFFFFF"/>
          <w:lang w:val="es-ES"/>
        </w:rPr>
        <w:t xml:space="preserve"> S</w:t>
      </w:r>
      <w:r w:rsidRPr="00AD4F6A">
        <w:rPr>
          <w:rFonts w:ascii="Verdana" w:eastAsia="Aptos" w:hAnsi="Verdana" w:cs="Arial"/>
          <w:shd w:val="clear" w:color="auto" w:fill="FFFFFF"/>
          <w:lang w:val="es-ES"/>
        </w:rPr>
        <w:t>obre el deber de elaborar análisis del sector frente a procesos de contratación</w:t>
      </w:r>
      <w:r>
        <w:rPr>
          <w:rFonts w:ascii="Verdana" w:eastAsia="Aptos" w:hAnsi="Verdana" w:cs="Arial"/>
          <w:shd w:val="clear" w:color="auto" w:fill="FFFFFF"/>
          <w:lang w:val="es-ES"/>
        </w:rPr>
        <w:t xml:space="preserve"> </w:t>
      </w:r>
      <w:r w:rsidRPr="00AD4F6A">
        <w:rPr>
          <w:rFonts w:ascii="Verdana" w:eastAsia="Aptos" w:hAnsi="Verdana" w:cs="Arial"/>
          <w:shd w:val="clear" w:color="auto" w:fill="FFFFFF"/>
          <w:lang w:val="es-ES"/>
        </w:rPr>
        <w:t>en los conceptos 2202013000000037 del 7 de enero de 2020, C-223 del 29 de abril de 2020 y C-148 de 2021. Igualmente, se reiteran los Conceptos C-387 del 23 de junio de 2020, C-415 del 7 de julio de 2020, C-443 del 7 de julio de 2020, C-387 del 23 de junio de 2020, C-223 del 29 de abril de 2020, C-671 de 2020 de 23 de noviembre de 2020, C-215 del 12 de mayo de 2021, C-742 del 27 de diciembre de 2021, C-519 del 13 de septiembre de 2022, C-716 del 15 de noviembre de 2022, C-680 del 19 de septiembre de 2022, C-856 del 13 de diciembre de 2022, C-235 del 5 de julio de 2023, C-124 del 24 de julio de 2024, C-168 del 25 de julio 2024, C-258 del 12 de agosto de 2024, C-255 del 14 de agosto de 2024, C-297 del 11 de septiembre de 2024 C-101 del 5 de marzo de 2025, C-101 del 5 de marzo de 2025, C-154 del 18 de marzo de 2025</w:t>
      </w:r>
      <w:r>
        <w:rPr>
          <w:rFonts w:ascii="Verdana" w:eastAsia="Aptos" w:hAnsi="Verdana" w:cs="Arial"/>
          <w:shd w:val="clear" w:color="auto" w:fill="FFFFFF"/>
          <w:lang w:val="es-ES"/>
        </w:rPr>
        <w:t xml:space="preserve"> y C-622 del 5 de junio de 2025, </w:t>
      </w:r>
      <w:r w:rsidRPr="00FB3BB7">
        <w:rPr>
          <w:rFonts w:ascii="Verdana" w:hAnsi="Verdana" w:cs="Arial"/>
        </w:rPr>
        <w:t xml:space="preserve">entre otros. </w:t>
      </w:r>
      <w:r w:rsidRPr="00FB3BB7">
        <w:rPr>
          <w:rFonts w:ascii="Verdana" w:hAnsi="Verdana" w:cs="Arial"/>
          <w:color w:val="000000" w:themeColor="text1"/>
          <w:shd w:val="clear" w:color="auto" w:fill="FFFFFF"/>
        </w:rPr>
        <w:t xml:space="preserve">Estos </w:t>
      </w:r>
      <w:r w:rsidRPr="00FB3BB7">
        <w:rPr>
          <w:rStyle w:val="normaltextrun"/>
          <w:rFonts w:ascii="Verdana" w:hAnsi="Verdana" w:cs="Arial"/>
          <w:color w:val="000000" w:themeColor="text1"/>
          <w:shd w:val="clear" w:color="auto" w:fill="FFFFFF"/>
        </w:rPr>
        <w:t xml:space="preserve">se encuentran disponibles para consulta en el Sistema de relatoría de la Agencia, al cual puede accederse a través del siguiente enlace: </w:t>
      </w:r>
      <w:hyperlink r:id="rId12" w:history="1">
        <w:r w:rsidRPr="00FB3BB7">
          <w:rPr>
            <w:rStyle w:val="Hipervnculo"/>
            <w:rFonts w:ascii="Verdana" w:hAnsi="Verdana" w:cs="Arial"/>
            <w:shd w:val="clear" w:color="auto" w:fill="FFFFFF"/>
          </w:rPr>
          <w:t>https://relatoria.colombiacompra.gov.co/busqueda/conceptos</w:t>
        </w:r>
      </w:hyperlink>
      <w:r w:rsidRPr="00FB3BB7">
        <w:rPr>
          <w:rStyle w:val="Hipervnculo"/>
          <w:rFonts w:ascii="Verdana" w:hAnsi="Verdana"/>
        </w:rPr>
        <w:t>.</w:t>
      </w:r>
      <w:r w:rsidRPr="00FB3BB7">
        <w:rPr>
          <w:rStyle w:val="normaltextrun"/>
          <w:rFonts w:ascii="Verdana" w:hAnsi="Verdana" w:cs="Arial"/>
          <w:color w:val="000000" w:themeColor="text1"/>
          <w:shd w:val="clear" w:color="auto" w:fill="FFFFFF"/>
        </w:rPr>
        <w:t xml:space="preserve"> </w:t>
      </w:r>
      <w:r w:rsidRPr="00FB3BB7">
        <w:rPr>
          <w:rStyle w:val="normaltextrun"/>
          <w:rFonts w:ascii="Verdana" w:hAnsi="Verdana" w:cs="Arial"/>
          <w:color w:val="000000" w:themeColor="text1"/>
          <w:shd w:val="clear" w:color="auto" w:fill="FFFFFF"/>
          <w:lang w:val="es-ES"/>
        </w:rPr>
        <w:t xml:space="preserve"> </w:t>
      </w:r>
    </w:p>
    <w:p w14:paraId="1F396154" w14:textId="77777777" w:rsidR="00F14B8B" w:rsidRPr="00FB3BB7" w:rsidRDefault="00F14B8B" w:rsidP="00F14B8B">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p w14:paraId="7757A64F" w14:textId="77777777" w:rsidR="00F14B8B" w:rsidRPr="00FB3BB7" w:rsidRDefault="00F14B8B" w:rsidP="00F14B8B">
      <w:pPr>
        <w:spacing w:after="0" w:line="276" w:lineRule="auto"/>
        <w:contextualSpacing/>
        <w:jc w:val="both"/>
        <w:rPr>
          <w:rFonts w:ascii="Verdana" w:hAnsi="Verdana"/>
          <w:lang w:val="es-ES"/>
        </w:rPr>
      </w:pPr>
      <w:r w:rsidRPr="00FB3BB7">
        <w:rPr>
          <w:rFonts w:ascii="Verdana" w:hAnsi="Verdana"/>
          <w:lang w:val="es-ES"/>
        </w:rPr>
        <w:t>También le contamos que ya se encuentra disponible la </w:t>
      </w:r>
      <w:r w:rsidRPr="00FB3BB7">
        <w:rPr>
          <w:rFonts w:ascii="Verdana" w:hAnsi="Verdana"/>
          <w:b/>
          <w:bCs/>
          <w:lang w:val="es-ES"/>
        </w:rPr>
        <w:t>Guía de lineamientos de transparencia y selección objetiva para el departamento de La Guajira – Objetivo sexto constitucional de la Sentencia T-302 del 2017. </w:t>
      </w:r>
      <w:r w:rsidRPr="00FB3BB7">
        <w:rPr>
          <w:rFonts w:ascii="Verdana" w:hAnsi="Verdana"/>
          <w:lang w:val="es-ES"/>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FB3BB7">
        <w:rPr>
          <w:rFonts w:ascii="Verdana" w:hAnsi="Verdana"/>
          <w:lang w:val="es-ES"/>
        </w:rPr>
        <w:t>Wayúu</w:t>
      </w:r>
      <w:proofErr w:type="spellEnd"/>
      <w:r w:rsidRPr="00FB3BB7">
        <w:rPr>
          <w:rFonts w:ascii="Verdana" w:hAnsi="Verdana"/>
          <w:lang w:val="es-ES"/>
        </w:rPr>
        <w:t>. Puede consultar la guía en el siguiente enlace: </w:t>
      </w:r>
      <w:hyperlink r:id="rId13" w:tgtFrame="_blank" w:tooltip="Original URL: https://www.colombiacompra.gov.co/wp-content/uploads/2025/05/GUIA-DE-LINEAMIENTOS-DE-TRANSPARENCIA-Y-SELECCION-OBJETIVA-1.0.pdf. Click or tap if you trust this link." w:history="1">
        <w:r w:rsidRPr="00FB3BB7">
          <w:rPr>
            <w:rStyle w:val="Hipervnculo"/>
            <w:rFonts w:ascii="Verdana" w:hAnsi="Verdana"/>
            <w:lang w:val="es-ES"/>
          </w:rPr>
          <w:t xml:space="preserve">Guía de lineamientos de </w:t>
        </w:r>
        <w:r w:rsidRPr="00FB3BB7">
          <w:rPr>
            <w:rStyle w:val="Hipervnculo"/>
            <w:rFonts w:ascii="Verdana" w:hAnsi="Verdana"/>
            <w:lang w:val="es-ES"/>
          </w:rPr>
          <w:lastRenderedPageBreak/>
          <w:t>transparencia y selección objetiva para el departamento de La Guajira – Objetivo sexto constitucional de la Sentencia T-302 del 2017</w:t>
        </w:r>
      </w:hyperlink>
      <w:r w:rsidRPr="00FB3BB7">
        <w:rPr>
          <w:rFonts w:ascii="Verdana" w:hAnsi="Verdana"/>
          <w:u w:val="single"/>
          <w:lang w:val="es-ES"/>
        </w:rPr>
        <w:t>"</w:t>
      </w:r>
    </w:p>
    <w:p w14:paraId="789419E2" w14:textId="77777777" w:rsidR="00F14B8B" w:rsidRPr="00FB3BB7" w:rsidRDefault="00F14B8B" w:rsidP="00F14B8B">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4B1F699" w14:textId="77777777" w:rsidR="00F14B8B" w:rsidRPr="00FB3BB7" w:rsidRDefault="00F14B8B" w:rsidP="00F14B8B">
      <w:pPr>
        <w:spacing w:after="0" w:line="276" w:lineRule="auto"/>
        <w:jc w:val="both"/>
        <w:rPr>
          <w:rFonts w:ascii="Verdana" w:hAnsi="Verdana"/>
        </w:rPr>
      </w:pPr>
      <w:r w:rsidRPr="00FB3BB7">
        <w:rPr>
          <w:rFonts w:ascii="Verdana" w:hAnsi="Verdana"/>
        </w:rPr>
        <w:t xml:space="preserve">Por último, lo invitamos a seguirnos en las redes sociales en las cuales se difunde información institucional: </w:t>
      </w:r>
    </w:p>
    <w:p w14:paraId="1A4E4365" w14:textId="77777777" w:rsidR="00F14B8B" w:rsidRPr="00FB3BB7" w:rsidRDefault="00F14B8B" w:rsidP="00F14B8B">
      <w:pPr>
        <w:spacing w:after="0" w:line="276" w:lineRule="auto"/>
        <w:jc w:val="both"/>
        <w:rPr>
          <w:rFonts w:ascii="Verdana" w:hAnsi="Verdana"/>
        </w:rPr>
      </w:pPr>
    </w:p>
    <w:p w14:paraId="477C3E2D" w14:textId="77777777" w:rsidR="00F14B8B" w:rsidRPr="00FB3BB7" w:rsidRDefault="00F14B8B" w:rsidP="00F14B8B">
      <w:pPr>
        <w:spacing w:after="0" w:line="276" w:lineRule="auto"/>
        <w:jc w:val="both"/>
        <w:rPr>
          <w:rFonts w:ascii="Verdana" w:hAnsi="Verdana"/>
        </w:rPr>
      </w:pPr>
      <w:r w:rsidRPr="00FB3BB7">
        <w:rPr>
          <w:rFonts w:ascii="Verdana" w:hAnsi="Verdana"/>
        </w:rPr>
        <w:t xml:space="preserve">Twitter: </w:t>
      </w:r>
      <w:r w:rsidRPr="00FB3BB7">
        <w:rPr>
          <w:rStyle w:val="Hipervnculo"/>
          <w:rFonts w:ascii="Verdana" w:hAnsi="Verdana" w:cs="Arial"/>
          <w:shd w:val="clear" w:color="auto" w:fill="FFFFFF"/>
        </w:rPr>
        <w:t>@colombiacompra</w:t>
      </w:r>
      <w:r w:rsidRPr="00FB3BB7">
        <w:rPr>
          <w:rFonts w:ascii="Verdana" w:hAnsi="Verdana"/>
          <w:color w:val="4472C4" w:themeColor="accent1"/>
        </w:rPr>
        <w:t xml:space="preserve"> </w:t>
      </w:r>
    </w:p>
    <w:p w14:paraId="046A1EF1" w14:textId="77777777" w:rsidR="00F14B8B" w:rsidRPr="00FB3BB7" w:rsidRDefault="00F14B8B" w:rsidP="00F14B8B">
      <w:pPr>
        <w:spacing w:after="0" w:line="276" w:lineRule="auto"/>
        <w:jc w:val="both"/>
        <w:rPr>
          <w:rFonts w:ascii="Verdana" w:hAnsi="Verdana"/>
        </w:rPr>
      </w:pPr>
      <w:r w:rsidRPr="00FB3BB7">
        <w:rPr>
          <w:rFonts w:ascii="Verdana" w:hAnsi="Verdana"/>
        </w:rPr>
        <w:t xml:space="preserve">Facebook: </w:t>
      </w:r>
      <w:proofErr w:type="spellStart"/>
      <w:r w:rsidRPr="00FB3BB7">
        <w:rPr>
          <w:rStyle w:val="Hipervnculo"/>
          <w:rFonts w:ascii="Verdana" w:hAnsi="Verdana" w:cs="Arial"/>
          <w:shd w:val="clear" w:color="auto" w:fill="FFFFFF"/>
        </w:rPr>
        <w:t>ColombiaCompraEficiente</w:t>
      </w:r>
      <w:proofErr w:type="spellEnd"/>
    </w:p>
    <w:p w14:paraId="7631A7D0" w14:textId="77777777" w:rsidR="00F14B8B" w:rsidRPr="00FB3BB7" w:rsidRDefault="00F14B8B" w:rsidP="00F14B8B">
      <w:pPr>
        <w:spacing w:after="0" w:line="276" w:lineRule="auto"/>
        <w:jc w:val="both"/>
        <w:rPr>
          <w:rFonts w:ascii="Verdana" w:hAnsi="Verdana"/>
        </w:rPr>
      </w:pPr>
      <w:r w:rsidRPr="00FB3BB7">
        <w:rPr>
          <w:rFonts w:ascii="Verdana" w:hAnsi="Verdana"/>
        </w:rPr>
        <w:t xml:space="preserve">LinkedIn: </w:t>
      </w:r>
      <w:r w:rsidRPr="00FB3BB7">
        <w:rPr>
          <w:rStyle w:val="Hipervnculo"/>
          <w:rFonts w:ascii="Verdana" w:hAnsi="Verdana" w:cs="Arial"/>
          <w:shd w:val="clear" w:color="auto" w:fill="FFFFFF"/>
        </w:rPr>
        <w:t xml:space="preserve">Agencia Nacional de Contratación Pública - Colombia Compra Eficiente </w:t>
      </w:r>
      <w:r w:rsidRPr="00FB3BB7">
        <w:rPr>
          <w:rFonts w:ascii="Verdana" w:hAnsi="Verdana"/>
        </w:rPr>
        <w:t xml:space="preserve">Instagram: </w:t>
      </w:r>
      <w:r w:rsidRPr="00FB3BB7">
        <w:rPr>
          <w:rStyle w:val="Hipervnculo"/>
          <w:rFonts w:ascii="Verdana" w:hAnsi="Verdana" w:cs="Arial"/>
          <w:shd w:val="clear" w:color="auto" w:fill="FFFFFF"/>
        </w:rPr>
        <w:t>@colombiacompraeficiente_cce</w:t>
      </w:r>
    </w:p>
    <w:p w14:paraId="69FFD377" w14:textId="77777777" w:rsidR="00F14B8B" w:rsidRPr="00FB3BB7" w:rsidRDefault="00F14B8B" w:rsidP="00F14B8B">
      <w:pPr>
        <w:widowControl w:val="0"/>
        <w:autoSpaceDE w:val="0"/>
        <w:autoSpaceDN w:val="0"/>
        <w:spacing w:after="0" w:line="276" w:lineRule="auto"/>
        <w:jc w:val="both"/>
        <w:rPr>
          <w:rFonts w:ascii="Verdana" w:hAnsi="Verdana" w:cs="Arial"/>
          <w:color w:val="000000" w:themeColor="text1"/>
        </w:rPr>
      </w:pPr>
    </w:p>
    <w:p w14:paraId="166074A5" w14:textId="77777777" w:rsidR="00F14B8B" w:rsidRPr="00FB3BB7" w:rsidRDefault="00F14B8B" w:rsidP="00F14B8B">
      <w:pPr>
        <w:widowControl w:val="0"/>
        <w:autoSpaceDE w:val="0"/>
        <w:autoSpaceDN w:val="0"/>
        <w:spacing w:after="0" w:line="276" w:lineRule="auto"/>
        <w:jc w:val="both"/>
        <w:rPr>
          <w:rFonts w:ascii="Verdana" w:hAnsi="Verdana" w:cs="Arial"/>
          <w:color w:val="000000" w:themeColor="text1"/>
          <w:lang w:val="es-ES_tradnl"/>
        </w:rPr>
      </w:pPr>
      <w:r w:rsidRPr="00FB3BB7">
        <w:rPr>
          <w:rFonts w:ascii="Verdana" w:hAnsi="Verdana" w:cs="Arial"/>
          <w:color w:val="000000" w:themeColor="text1"/>
        </w:rPr>
        <w:t xml:space="preserve">Este concepto tiene el alcance previsto en el artículo 28 del Código de Procedimiento Administrativo y de lo Contencioso Administrativo </w:t>
      </w:r>
      <w:r w:rsidRPr="00FB3BB7">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0D678D73" w14:textId="324BFF2E" w:rsidR="00F14B8B" w:rsidRPr="00FB3BB7" w:rsidRDefault="00F14B8B" w:rsidP="00F14B8B">
      <w:pPr>
        <w:widowControl w:val="0"/>
        <w:autoSpaceDE w:val="0"/>
        <w:autoSpaceDN w:val="0"/>
        <w:spacing w:after="0" w:line="276" w:lineRule="auto"/>
        <w:jc w:val="both"/>
        <w:rPr>
          <w:rFonts w:ascii="Verdana" w:hAnsi="Verdana" w:cs="Arial"/>
          <w:color w:val="000000" w:themeColor="text1"/>
        </w:rPr>
      </w:pPr>
    </w:p>
    <w:p w14:paraId="58AA2E65" w14:textId="4AD0684A" w:rsidR="00F14B8B" w:rsidRPr="00FB3BB7" w:rsidRDefault="00F14B8B" w:rsidP="00F14B8B">
      <w:pPr>
        <w:spacing w:after="0" w:line="276" w:lineRule="auto"/>
        <w:rPr>
          <w:rFonts w:ascii="Verdana" w:hAnsi="Verdana" w:cs="Arial"/>
          <w:color w:val="000000" w:themeColor="text1"/>
          <w:lang w:eastAsia="es-CO"/>
        </w:rPr>
      </w:pPr>
      <w:r w:rsidRPr="00FB3BB7">
        <w:rPr>
          <w:rFonts w:ascii="Verdana" w:eastAsia="Times New Roman" w:hAnsi="Verdana" w:cs="Arial"/>
          <w:color w:val="000000" w:themeColor="text1"/>
          <w:lang w:eastAsia="es-CO"/>
        </w:rPr>
        <w:t>Atentamente,</w:t>
      </w:r>
      <w:r w:rsidRPr="00FB3BB7">
        <w:rPr>
          <w:rFonts w:ascii="Verdana" w:hAnsi="Verdana" w:cs="Arial"/>
          <w:color w:val="000000" w:themeColor="text1"/>
          <w:lang w:eastAsia="es-CO"/>
        </w:rPr>
        <w:t xml:space="preserve"> </w:t>
      </w:r>
    </w:p>
    <w:p w14:paraId="13C2CCAF" w14:textId="383DB56D" w:rsidR="00F14B8B" w:rsidRPr="00FB3BB7" w:rsidRDefault="00637C69" w:rsidP="00F14B8B">
      <w:pPr>
        <w:spacing w:line="276" w:lineRule="auto"/>
        <w:jc w:val="center"/>
        <w:rPr>
          <w:rFonts w:ascii="Verdana" w:hAnsi="Verdana" w:cs="Arial"/>
          <w:color w:val="000000" w:themeColor="text1"/>
          <w:lang w:val="es-ES_tradnl" w:eastAsia="es-CO"/>
        </w:rPr>
      </w:pPr>
      <w:r w:rsidRPr="002C3AD6">
        <w:rPr>
          <w:rFonts w:ascii="Century Gothic" w:hAnsi="Century Gothic"/>
          <w:noProof/>
        </w:rPr>
        <w:drawing>
          <wp:anchor distT="0" distB="0" distL="114300" distR="114300" simplePos="0" relativeHeight="251661312" behindDoc="0" locked="0" layoutInCell="1" allowOverlap="1" wp14:anchorId="7E8E3DB2" wp14:editId="683FAEF0">
            <wp:simplePos x="0" y="0"/>
            <wp:positionH relativeFrom="column">
              <wp:posOffset>1108293</wp:posOffset>
            </wp:positionH>
            <wp:positionV relativeFrom="paragraph">
              <wp:posOffset>53470</wp:posOffset>
            </wp:positionV>
            <wp:extent cx="3771900" cy="1400175"/>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14:sizeRelH relativeFrom="page">
              <wp14:pctWidth>0</wp14:pctWidth>
            </wp14:sizeRelH>
            <wp14:sizeRelV relativeFrom="page">
              <wp14:pctHeight>0</wp14:pctHeight>
            </wp14:sizeRelV>
          </wp:anchor>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14B8B" w:rsidRPr="00FB3BB7" w14:paraId="76626381" w14:textId="77777777" w:rsidTr="00495FCD">
        <w:trPr>
          <w:trHeight w:val="315"/>
        </w:trPr>
        <w:tc>
          <w:tcPr>
            <w:tcW w:w="893" w:type="dxa"/>
            <w:vAlign w:val="center"/>
            <w:hideMark/>
          </w:tcPr>
          <w:p w14:paraId="33330FF2" w14:textId="77777777" w:rsidR="00F14B8B" w:rsidRPr="00FB3BB7" w:rsidRDefault="00F14B8B" w:rsidP="00495FCD">
            <w:pPr>
              <w:contextualSpacing/>
              <w:rPr>
                <w:rFonts w:ascii="Verdana" w:hAnsi="Verdana" w:cs="Arial"/>
                <w:sz w:val="16"/>
                <w:szCs w:val="16"/>
                <w:lang w:val="es-ES" w:eastAsia="es-ES"/>
              </w:rPr>
            </w:pPr>
            <w:r w:rsidRPr="00FB3BB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8F77D7F" w14:textId="77777777" w:rsidR="00F14B8B" w:rsidRPr="00FB3BB7" w:rsidRDefault="00F14B8B" w:rsidP="00495FCD">
            <w:pPr>
              <w:contextualSpacing/>
              <w:rPr>
                <w:rFonts w:ascii="Verdana" w:eastAsia="Arial" w:hAnsi="Verdana" w:cs="Arial"/>
                <w:color w:val="000000" w:themeColor="text1"/>
                <w:sz w:val="16"/>
                <w:szCs w:val="16"/>
              </w:rPr>
            </w:pPr>
            <w:r w:rsidRPr="00FB3BB7">
              <w:rPr>
                <w:rFonts w:ascii="Verdana" w:eastAsia="Arial" w:hAnsi="Verdana" w:cs="Arial"/>
                <w:color w:val="000000" w:themeColor="text1"/>
                <w:sz w:val="16"/>
                <w:szCs w:val="16"/>
              </w:rPr>
              <w:t>Anamaría Bonilla Prieto</w:t>
            </w:r>
          </w:p>
          <w:p w14:paraId="59964F05" w14:textId="77777777" w:rsidR="00F14B8B" w:rsidRPr="00FB3BB7" w:rsidRDefault="00F14B8B" w:rsidP="00495FCD">
            <w:pPr>
              <w:contextualSpacing/>
              <w:rPr>
                <w:rFonts w:ascii="Verdana" w:eastAsia="Arial" w:hAnsi="Verdana" w:cs="Arial"/>
                <w:sz w:val="16"/>
                <w:szCs w:val="16"/>
              </w:rPr>
            </w:pPr>
            <w:r w:rsidRPr="00FB3BB7">
              <w:rPr>
                <w:rStyle w:val="normaltextrun"/>
                <w:rFonts w:ascii="Verdana" w:eastAsia="Arial" w:hAnsi="Verdana" w:cs="Arial"/>
                <w:color w:val="000000" w:themeColor="text1"/>
                <w:sz w:val="16"/>
                <w:szCs w:val="16"/>
              </w:rPr>
              <w:t xml:space="preserve">Contratista de la Subdirección </w:t>
            </w:r>
            <w:r w:rsidRPr="00FB3BB7">
              <w:rPr>
                <w:rStyle w:val="normaltextrun"/>
                <w:rFonts w:ascii="Verdana" w:eastAsia="Arial" w:hAnsi="Verdana" w:cs="Arial"/>
                <w:sz w:val="16"/>
                <w:szCs w:val="16"/>
              </w:rPr>
              <w:t>de Gestión Contractual</w:t>
            </w:r>
          </w:p>
        </w:tc>
      </w:tr>
      <w:tr w:rsidR="00F14B8B" w:rsidRPr="00FB3BB7" w14:paraId="50537D4A" w14:textId="77777777" w:rsidTr="00495FCD">
        <w:trPr>
          <w:trHeight w:val="330"/>
        </w:trPr>
        <w:tc>
          <w:tcPr>
            <w:tcW w:w="893" w:type="dxa"/>
            <w:vAlign w:val="center"/>
            <w:hideMark/>
          </w:tcPr>
          <w:p w14:paraId="37905342" w14:textId="77777777" w:rsidR="00F14B8B" w:rsidRPr="00FB3BB7" w:rsidRDefault="00F14B8B" w:rsidP="00495FCD">
            <w:pPr>
              <w:contextualSpacing/>
              <w:rPr>
                <w:rFonts w:ascii="Verdana" w:hAnsi="Verdana" w:cs="Arial"/>
                <w:sz w:val="16"/>
                <w:szCs w:val="16"/>
                <w:lang w:val="es-ES" w:eastAsia="es-ES"/>
              </w:rPr>
            </w:pPr>
            <w:r w:rsidRPr="00FB3BB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6D6ED82" w14:textId="77777777" w:rsidR="00F14B8B" w:rsidRPr="00FB3BB7" w:rsidRDefault="00F14B8B" w:rsidP="00495FCD">
            <w:pPr>
              <w:spacing w:line="276" w:lineRule="auto"/>
              <w:contextualSpacing/>
              <w:textAlignment w:val="baseline"/>
              <w:rPr>
                <w:rFonts w:ascii="Verdana" w:eastAsia="Times New Roman" w:hAnsi="Verdana" w:cs="Arial"/>
                <w:sz w:val="16"/>
                <w:szCs w:val="16"/>
                <w:lang w:val="es-ES" w:eastAsia="es-ES_tradnl"/>
              </w:rPr>
            </w:pPr>
            <w:r w:rsidRPr="00FB3BB7">
              <w:rPr>
                <w:rFonts w:ascii="Verdana" w:eastAsia="Times New Roman" w:hAnsi="Verdana" w:cs="Arial"/>
                <w:sz w:val="16"/>
                <w:szCs w:val="16"/>
                <w:lang w:val="es-ES" w:eastAsia="es-ES_tradnl"/>
              </w:rPr>
              <w:t>Alejandro Sarmiento Cantillo</w:t>
            </w:r>
          </w:p>
          <w:p w14:paraId="6E626898" w14:textId="77777777" w:rsidR="00F14B8B" w:rsidRPr="00FB3BB7" w:rsidRDefault="00F14B8B" w:rsidP="00495FCD">
            <w:pPr>
              <w:pStyle w:val="paragraph"/>
              <w:spacing w:before="0" w:beforeAutospacing="0" w:after="0" w:afterAutospacing="0"/>
              <w:contextualSpacing/>
              <w:textAlignment w:val="baseline"/>
              <w:rPr>
                <w:rFonts w:ascii="Verdana" w:hAnsi="Verdana" w:cs="Segoe UI"/>
                <w:sz w:val="16"/>
                <w:szCs w:val="16"/>
              </w:rPr>
            </w:pPr>
            <w:r w:rsidRPr="00FB3BB7">
              <w:rPr>
                <w:rFonts w:ascii="Verdana" w:hAnsi="Verdana" w:cs="Arial"/>
                <w:sz w:val="16"/>
                <w:szCs w:val="16"/>
                <w:lang w:val="es-ES"/>
              </w:rPr>
              <w:t xml:space="preserve">Gestor T1 – 15 </w:t>
            </w:r>
            <w:r w:rsidRPr="00FB3BB7">
              <w:rPr>
                <w:rStyle w:val="normaltextrun"/>
                <w:rFonts w:ascii="Verdana" w:hAnsi="Verdana" w:cs="Arial"/>
                <w:sz w:val="16"/>
                <w:szCs w:val="16"/>
                <w:lang w:val="es-ES"/>
              </w:rPr>
              <w:t>de la Subdirección de Gestión Contractual</w:t>
            </w:r>
            <w:r w:rsidRPr="00FB3BB7">
              <w:rPr>
                <w:rStyle w:val="eop"/>
                <w:rFonts w:ascii="Verdana" w:hAnsi="Verdana" w:cs="Arial"/>
                <w:sz w:val="16"/>
                <w:szCs w:val="16"/>
              </w:rPr>
              <w:t> </w:t>
            </w:r>
          </w:p>
        </w:tc>
      </w:tr>
      <w:tr w:rsidR="00F14B8B" w:rsidRPr="00FB3BB7" w14:paraId="560192D9" w14:textId="77777777" w:rsidTr="00495FCD">
        <w:trPr>
          <w:trHeight w:val="300"/>
        </w:trPr>
        <w:tc>
          <w:tcPr>
            <w:tcW w:w="893" w:type="dxa"/>
            <w:vAlign w:val="center"/>
          </w:tcPr>
          <w:p w14:paraId="2DFA5348" w14:textId="77777777" w:rsidR="00F14B8B" w:rsidRPr="00FB3BB7" w:rsidRDefault="00F14B8B" w:rsidP="00495FCD">
            <w:pPr>
              <w:contextualSpacing/>
              <w:rPr>
                <w:rFonts w:ascii="Verdana" w:hAnsi="Verdana" w:cs="Arial"/>
                <w:sz w:val="16"/>
                <w:szCs w:val="16"/>
                <w:lang w:val="es-ES" w:eastAsia="es-ES"/>
              </w:rPr>
            </w:pPr>
            <w:r w:rsidRPr="00FB3BB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759AAFF" w14:textId="77777777" w:rsidR="00F14B8B" w:rsidRPr="00FB3BB7" w:rsidRDefault="00F14B8B" w:rsidP="00495FCD">
            <w:pPr>
              <w:contextualSpacing/>
              <w:rPr>
                <w:rFonts w:ascii="Verdana" w:eastAsia="Calibri" w:hAnsi="Verdana" w:cs="Arial"/>
                <w:sz w:val="16"/>
                <w:szCs w:val="16"/>
                <w:lang w:val="pt-BR" w:eastAsia="es-ES"/>
              </w:rPr>
            </w:pPr>
            <w:r w:rsidRPr="00FB3BB7">
              <w:rPr>
                <w:rFonts w:ascii="Verdana" w:eastAsia="Calibri" w:hAnsi="Verdana" w:cs="Arial"/>
                <w:sz w:val="16"/>
                <w:szCs w:val="16"/>
                <w:lang w:val="pt-BR" w:eastAsia="es-ES"/>
              </w:rPr>
              <w:t>Carolina Quintero Gacharná</w:t>
            </w:r>
          </w:p>
          <w:p w14:paraId="46020188" w14:textId="77777777" w:rsidR="00F14B8B" w:rsidRPr="00FB3BB7" w:rsidRDefault="00F14B8B" w:rsidP="00495FCD">
            <w:pPr>
              <w:contextualSpacing/>
              <w:rPr>
                <w:rFonts w:ascii="Verdana" w:eastAsia="Calibri" w:hAnsi="Verdana" w:cs="Arial"/>
                <w:sz w:val="16"/>
                <w:szCs w:val="16"/>
                <w:lang w:val="pt-BR" w:eastAsia="es-ES"/>
              </w:rPr>
            </w:pPr>
            <w:r w:rsidRPr="00FB3BB7">
              <w:rPr>
                <w:rFonts w:ascii="Verdana" w:eastAsia="Calibri" w:hAnsi="Verdana" w:cs="Arial"/>
                <w:sz w:val="16"/>
                <w:szCs w:val="16"/>
                <w:lang w:eastAsia="es-ES"/>
              </w:rPr>
              <w:t>Subdirectora</w:t>
            </w:r>
            <w:r w:rsidRPr="00FB3BB7">
              <w:rPr>
                <w:rFonts w:ascii="Verdana" w:eastAsia="Calibri" w:hAnsi="Verdana" w:cs="Arial"/>
                <w:sz w:val="16"/>
                <w:szCs w:val="16"/>
                <w:lang w:val="pt-BR" w:eastAsia="es-ES"/>
              </w:rPr>
              <w:t xml:space="preserve"> de Gestión Contractual ANCP – CCE</w:t>
            </w:r>
          </w:p>
        </w:tc>
      </w:tr>
      <w:bookmarkEnd w:id="0"/>
    </w:tbl>
    <w:p w14:paraId="156B83DF" w14:textId="77777777" w:rsidR="00F14B8B" w:rsidRPr="00FB3BB7" w:rsidRDefault="00F14B8B" w:rsidP="00F14B8B">
      <w:pPr>
        <w:spacing w:after="0"/>
        <w:rPr>
          <w:rFonts w:ascii="Verdana" w:hAnsi="Verdana"/>
        </w:rPr>
      </w:pPr>
    </w:p>
    <w:p w14:paraId="0F293BF4" w14:textId="6C036B39" w:rsidR="00127233" w:rsidRPr="00710CCC" w:rsidRDefault="00127233" w:rsidP="00710CCC"/>
    <w:sectPr w:rsidR="00127233" w:rsidRPr="00710CCC"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BD39A5" w14:textId="77777777" w:rsidR="00D71C7B" w:rsidRDefault="00D71C7B" w:rsidP="004A1847">
      <w:pPr>
        <w:spacing w:after="0" w:line="240" w:lineRule="auto"/>
      </w:pPr>
      <w:r>
        <w:separator/>
      </w:r>
    </w:p>
  </w:endnote>
  <w:endnote w:type="continuationSeparator" w:id="0">
    <w:p w14:paraId="1B5F41FF" w14:textId="77777777" w:rsidR="00D71C7B" w:rsidRDefault="00D71C7B" w:rsidP="004A1847">
      <w:pPr>
        <w:spacing w:after="0" w:line="240" w:lineRule="auto"/>
      </w:pPr>
      <w:r>
        <w:continuationSeparator/>
      </w:r>
    </w:p>
  </w:endnote>
  <w:endnote w:type="continuationNotice" w:id="1">
    <w:p w14:paraId="5BFEEA9A" w14:textId="77777777" w:rsidR="00D71C7B" w:rsidRDefault="00D71C7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2377DE" w14:textId="77777777" w:rsidR="00D71C7B" w:rsidRDefault="00D71C7B" w:rsidP="004A1847">
      <w:pPr>
        <w:spacing w:after="0" w:line="240" w:lineRule="auto"/>
      </w:pPr>
      <w:r>
        <w:separator/>
      </w:r>
    </w:p>
  </w:footnote>
  <w:footnote w:type="continuationSeparator" w:id="0">
    <w:p w14:paraId="4866BDD0" w14:textId="77777777" w:rsidR="00D71C7B" w:rsidRDefault="00D71C7B" w:rsidP="004A1847">
      <w:pPr>
        <w:spacing w:after="0" w:line="240" w:lineRule="auto"/>
      </w:pPr>
      <w:r>
        <w:continuationSeparator/>
      </w:r>
    </w:p>
  </w:footnote>
  <w:footnote w:type="continuationNotice" w:id="1">
    <w:p w14:paraId="3A97F9BC" w14:textId="77777777" w:rsidR="00D71C7B" w:rsidRDefault="00D71C7B">
      <w:pPr>
        <w:spacing w:after="0" w:line="240" w:lineRule="auto"/>
      </w:pPr>
    </w:p>
  </w:footnote>
  <w:footnote w:id="2">
    <w:p w14:paraId="004B475F" w14:textId="77777777" w:rsidR="00D242CF" w:rsidRPr="00B91AD5" w:rsidRDefault="00D242CF" w:rsidP="00D242CF">
      <w:pPr>
        <w:pStyle w:val="Textonotapie"/>
        <w:ind w:firstLine="709"/>
        <w:jc w:val="both"/>
        <w:rPr>
          <w:rFonts w:ascii="Verdana" w:hAnsi="Verdana" w:cs="Arial"/>
          <w:color w:val="000000" w:themeColor="text1"/>
          <w:sz w:val="16"/>
          <w:szCs w:val="16"/>
          <w:lang w:val="es-CO"/>
        </w:rPr>
      </w:pPr>
      <w:r w:rsidRPr="00B91AD5">
        <w:rPr>
          <w:rStyle w:val="Refdenotaalpie"/>
          <w:rFonts w:ascii="Verdana" w:hAnsi="Verdana" w:cs="Arial"/>
          <w:sz w:val="16"/>
          <w:szCs w:val="16"/>
        </w:rPr>
        <w:footnoteRef/>
      </w:r>
      <w:r w:rsidRPr="00B91AD5">
        <w:rPr>
          <w:rFonts w:ascii="Verdana" w:hAnsi="Verdana" w:cs="Arial"/>
          <w:sz w:val="16"/>
          <w:szCs w:val="16"/>
        </w:rPr>
        <w:t xml:space="preserve"> </w:t>
      </w:r>
      <w:r w:rsidRPr="00B91AD5">
        <w:rPr>
          <w:rFonts w:ascii="Verdana" w:hAnsi="Verdana" w:cs="Arial"/>
          <w:sz w:val="16"/>
          <w:szCs w:val="16"/>
          <w:lang w:val="es-CO"/>
        </w:rPr>
        <w:t xml:space="preserve">La Versión 02 de esta Guía fue adoptada el 24 de junio de 2022. Disponible en </w:t>
      </w:r>
      <w:hyperlink r:id="rId1" w:history="1">
        <w:r w:rsidRPr="00B91AD5">
          <w:rPr>
            <w:rStyle w:val="Hipervnculo"/>
            <w:rFonts w:ascii="Verdana" w:hAnsi="Verdana" w:cs="Arial"/>
            <w:color w:val="000000" w:themeColor="text1"/>
            <w:sz w:val="16"/>
            <w:szCs w:val="16"/>
          </w:rPr>
          <w:t>https://colombiacompra.gov.co/sites/cce_public/files/cce_documentos/cce-eicp-gi-18._gees_v.2_2.pdf</w:t>
        </w:r>
      </w:hyperlink>
      <w:r w:rsidRPr="00B91AD5">
        <w:rPr>
          <w:rFonts w:ascii="Verdana" w:hAnsi="Verdana" w:cs="Arial"/>
          <w:color w:val="000000" w:themeColor="text1"/>
          <w:sz w:val="16"/>
          <w:szCs w:val="16"/>
        </w:rPr>
        <w:t xml:space="preserve"> . Actualmente </w:t>
      </w:r>
      <w:r>
        <w:rPr>
          <w:rFonts w:ascii="Verdana" w:hAnsi="Verdana" w:cs="Arial"/>
          <w:color w:val="000000" w:themeColor="text1"/>
          <w:sz w:val="16"/>
          <w:szCs w:val="16"/>
        </w:rPr>
        <w:t xml:space="preserve">esta Guía </w:t>
      </w:r>
      <w:r w:rsidRPr="00B91AD5">
        <w:rPr>
          <w:rFonts w:ascii="Verdana" w:hAnsi="Verdana" w:cs="Arial"/>
          <w:color w:val="000000" w:themeColor="text1"/>
          <w:sz w:val="16"/>
          <w:szCs w:val="16"/>
        </w:rPr>
        <w:t xml:space="preserve">se encuentra en proceso actualización cuyo borrador puede ser consultado </w:t>
      </w:r>
      <w:r w:rsidRPr="00B91AD5">
        <w:rPr>
          <w:rFonts w:ascii="Verdana" w:hAnsi="Verdana" w:cs="Arial"/>
          <w:color w:val="000000" w:themeColor="text1"/>
          <w:sz w:val="16"/>
          <w:szCs w:val="16"/>
          <w:lang w:val="es-CO"/>
        </w:rPr>
        <w:t>a través del siguiente enlace: </w:t>
      </w:r>
      <w:hyperlink r:id="rId2" w:history="1">
        <w:r w:rsidRPr="00B91AD5">
          <w:rPr>
            <w:rStyle w:val="Hipervnculo"/>
            <w:rFonts w:ascii="Verdana" w:hAnsi="Verdana" w:cs="Arial"/>
            <w:sz w:val="16"/>
            <w:szCs w:val="16"/>
            <w:lang w:val="es-CO"/>
          </w:rPr>
          <w:t>https://www.colombiacompra.gov.co/archivos/convocatoria/participacion-ciudadana-proyecto-de-la-guia-para-la-</w:t>
        </w:r>
      </w:hyperlink>
    </w:p>
    <w:p w14:paraId="62FDB2BE" w14:textId="77777777" w:rsidR="00D242CF" w:rsidRPr="00B91AD5" w:rsidRDefault="00D242CF" w:rsidP="00D242CF">
      <w:pPr>
        <w:pStyle w:val="Textonotapie"/>
        <w:ind w:firstLine="709"/>
        <w:jc w:val="both"/>
        <w:rPr>
          <w:rFonts w:ascii="Verdana" w:hAnsi="Verdana" w:cs="Arial"/>
          <w:sz w:val="16"/>
          <w:szCs w:val="16"/>
          <w:lang w:val="es-CO"/>
        </w:rPr>
      </w:pPr>
    </w:p>
  </w:footnote>
  <w:footnote w:id="3">
    <w:p w14:paraId="2E066091" w14:textId="77777777" w:rsidR="00F14B8B" w:rsidRPr="00B91AD5" w:rsidRDefault="00F14B8B" w:rsidP="00F14B8B">
      <w:pPr>
        <w:spacing w:after="0" w:line="240" w:lineRule="auto"/>
        <w:ind w:firstLine="707"/>
        <w:jc w:val="both"/>
        <w:rPr>
          <w:rFonts w:ascii="Verdana" w:hAnsi="Verdana" w:cs="Arial"/>
          <w:sz w:val="16"/>
          <w:szCs w:val="16"/>
        </w:rPr>
      </w:pPr>
      <w:r w:rsidRPr="00B91AD5">
        <w:rPr>
          <w:rStyle w:val="Refdenotaalpie"/>
          <w:rFonts w:ascii="Verdana" w:hAnsi="Verdana" w:cs="Arial"/>
          <w:sz w:val="16"/>
          <w:szCs w:val="16"/>
        </w:rPr>
        <w:footnoteRef/>
      </w:r>
      <w:r w:rsidRPr="00B91AD5">
        <w:rPr>
          <w:rFonts w:ascii="Verdana" w:hAnsi="Verdana" w:cs="Arial"/>
          <w:position w:val="6"/>
          <w:sz w:val="16"/>
          <w:szCs w:val="16"/>
        </w:rPr>
        <w:t xml:space="preserve"> </w:t>
      </w:r>
      <w:r w:rsidRPr="00B91AD5">
        <w:rPr>
          <w:rFonts w:ascii="Verdana" w:hAnsi="Verdana" w:cs="Arial"/>
          <w:sz w:val="16"/>
          <w:szCs w:val="16"/>
        </w:rPr>
        <w:t>DEIK ACOSTAMADIEDO, Carolina, Guía de Contratación Estatal: Deber de planeación y modalidades de selección, Buenos Aires, 2015, p. 59.</w:t>
      </w:r>
    </w:p>
  </w:footnote>
  <w:footnote w:id="4">
    <w:p w14:paraId="45B35A11" w14:textId="77777777" w:rsidR="00F14B8B" w:rsidRPr="00FC44F1" w:rsidRDefault="00F14B8B" w:rsidP="00F14B8B">
      <w:pPr>
        <w:pStyle w:val="Textoindependiente"/>
        <w:snapToGrid w:val="0"/>
        <w:spacing w:before="0" w:beforeAutospacing="0" w:after="0" w:afterAutospacing="0"/>
        <w:ind w:firstLine="709"/>
        <w:contextualSpacing/>
        <w:jc w:val="both"/>
        <w:rPr>
          <w:rFonts w:ascii="Verdana" w:hAnsi="Verdana" w:cs="Arial"/>
          <w:sz w:val="16"/>
          <w:szCs w:val="16"/>
        </w:rPr>
      </w:pPr>
      <w:r w:rsidRPr="00FC44F1">
        <w:rPr>
          <w:rStyle w:val="Refdenotaalpie"/>
          <w:rFonts w:ascii="Verdana" w:hAnsi="Verdana" w:cs="Arial"/>
          <w:sz w:val="16"/>
          <w:szCs w:val="16"/>
        </w:rPr>
        <w:footnoteRef/>
      </w:r>
      <w:r w:rsidRPr="00FC44F1">
        <w:rPr>
          <w:rFonts w:ascii="Verdana" w:hAnsi="Verdana" w:cs="Arial"/>
          <w:sz w:val="16"/>
          <w:szCs w:val="16"/>
        </w:rPr>
        <w:t xml:space="preserve"> “Artículo </w:t>
      </w:r>
      <w:bookmarkStart w:id="4" w:name="_Hlk54173885"/>
      <w:r w:rsidRPr="00FC44F1">
        <w:rPr>
          <w:rFonts w:ascii="Verdana" w:hAnsi="Verdana" w:cs="Arial"/>
          <w:sz w:val="16"/>
          <w:szCs w:val="16"/>
        </w:rPr>
        <w:t>2.2.1.1.2.1.1</w:t>
      </w:r>
      <w:bookmarkEnd w:id="4"/>
      <w:r w:rsidRPr="00FC44F1">
        <w:rPr>
          <w:rFonts w:ascii="Verdana" w:hAnsi="Verdana" w:cs="Arial"/>
          <w:sz w:val="16"/>
          <w:szCs w:val="16"/>
        </w:rPr>
        <w:t>. Estudios y documentos previos. Los estudios y documentos previos son el soporte para elaborar el proyecto de pliegos, los pliegos de condiciones, y el contrato. Deben permanecer a disposición del público durante el desarrollo del Proceso de Contratación y contener los siguientes elementos, además de los indicados para cada modalidad de selección: (…)”.</w:t>
      </w:r>
    </w:p>
  </w:footnote>
  <w:footnote w:id="5">
    <w:p w14:paraId="0C930B48" w14:textId="77777777" w:rsidR="00F14B8B" w:rsidRPr="00B91AD5" w:rsidRDefault="00F14B8B" w:rsidP="00F14B8B">
      <w:pPr>
        <w:pStyle w:val="Textoindependiente"/>
        <w:spacing w:after="0"/>
        <w:ind w:firstLine="709"/>
        <w:jc w:val="both"/>
        <w:rPr>
          <w:rFonts w:ascii="Verdana" w:hAnsi="Verdana" w:cs="Arial"/>
          <w:sz w:val="16"/>
          <w:szCs w:val="16"/>
        </w:rPr>
      </w:pPr>
      <w:r w:rsidRPr="00B91AD5">
        <w:rPr>
          <w:rStyle w:val="Refdenotaalpie"/>
          <w:rFonts w:ascii="Verdana" w:hAnsi="Verdana" w:cs="Arial"/>
          <w:sz w:val="16"/>
          <w:szCs w:val="16"/>
        </w:rPr>
        <w:footnoteRef/>
      </w:r>
      <w:r w:rsidRPr="00B91AD5">
        <w:rPr>
          <w:rFonts w:ascii="Verdana" w:hAnsi="Verdana" w:cs="Arial"/>
          <w:sz w:val="16"/>
          <w:szCs w:val="16"/>
        </w:rPr>
        <w:t xml:space="preserve"> Consejo de Estado. Sección Tercera. Subsección B. Sentencia del 31 de agosto de 2011. </w:t>
      </w:r>
      <w:proofErr w:type="spellStart"/>
      <w:r w:rsidRPr="00B91AD5">
        <w:rPr>
          <w:rFonts w:ascii="Verdana" w:hAnsi="Verdana" w:cs="Arial"/>
          <w:sz w:val="16"/>
          <w:szCs w:val="16"/>
        </w:rPr>
        <w:t>Exp</w:t>
      </w:r>
      <w:proofErr w:type="spellEnd"/>
      <w:r w:rsidRPr="00B91AD5">
        <w:rPr>
          <w:rFonts w:ascii="Verdana" w:hAnsi="Verdana" w:cs="Arial"/>
          <w:sz w:val="16"/>
          <w:szCs w:val="16"/>
        </w:rPr>
        <w:t>. 18.080. C.P. Ruth Stella Correa Palacio: “(…) recuérdese que la aplicación de la buena fe en materia negocial implica para las partes la observancia la observancia de una conducta enmarcada dentro del contexto de los deberes de corrección, claridad y recíproca lealtad que se deben los contratantes, para remitir la realización de los efectos finales buscados en el contrato”.</w:t>
      </w:r>
    </w:p>
  </w:footnote>
  <w:footnote w:id="6">
    <w:p w14:paraId="0024791D" w14:textId="77777777" w:rsidR="00F14B8B" w:rsidRPr="00B91AD5" w:rsidRDefault="00F14B8B" w:rsidP="00F14B8B">
      <w:pPr>
        <w:pStyle w:val="Textonotapie"/>
        <w:ind w:firstLine="709"/>
        <w:jc w:val="both"/>
        <w:rPr>
          <w:rFonts w:ascii="Verdana" w:hAnsi="Verdana" w:cs="Arial"/>
          <w:color w:val="000000" w:themeColor="text1"/>
          <w:sz w:val="16"/>
          <w:szCs w:val="16"/>
          <w:lang w:val="es-CO"/>
        </w:rPr>
      </w:pPr>
      <w:r w:rsidRPr="00B91AD5">
        <w:rPr>
          <w:rStyle w:val="Refdenotaalpie"/>
          <w:rFonts w:ascii="Verdana" w:hAnsi="Verdana" w:cs="Arial"/>
          <w:sz w:val="16"/>
          <w:szCs w:val="16"/>
        </w:rPr>
        <w:footnoteRef/>
      </w:r>
      <w:r w:rsidRPr="00B91AD5">
        <w:rPr>
          <w:rFonts w:ascii="Verdana" w:hAnsi="Verdana" w:cs="Arial"/>
          <w:sz w:val="16"/>
          <w:szCs w:val="16"/>
        </w:rPr>
        <w:t xml:space="preserve"> </w:t>
      </w:r>
      <w:r w:rsidRPr="00B91AD5">
        <w:rPr>
          <w:rFonts w:ascii="Verdana" w:hAnsi="Verdana" w:cs="Arial"/>
          <w:sz w:val="16"/>
          <w:szCs w:val="16"/>
          <w:lang w:val="es-CO"/>
        </w:rPr>
        <w:t xml:space="preserve">La Versión 02 de esta Guía fue adoptada el 24 de junio de 2022. Disponible en </w:t>
      </w:r>
      <w:hyperlink r:id="rId3" w:history="1">
        <w:r w:rsidRPr="00B91AD5">
          <w:rPr>
            <w:rStyle w:val="Hipervnculo"/>
            <w:rFonts w:ascii="Verdana" w:hAnsi="Verdana" w:cs="Arial"/>
            <w:color w:val="000000" w:themeColor="text1"/>
            <w:sz w:val="16"/>
            <w:szCs w:val="16"/>
          </w:rPr>
          <w:t>https://colombiacompra.gov.co/sites/cce_public/files/cce_documentos/cce-eicp-gi-18._gees_v.2_2.pdf</w:t>
        </w:r>
      </w:hyperlink>
      <w:r w:rsidRPr="00B91AD5">
        <w:rPr>
          <w:rFonts w:ascii="Verdana" w:hAnsi="Verdana" w:cs="Arial"/>
          <w:color w:val="000000" w:themeColor="text1"/>
          <w:sz w:val="16"/>
          <w:szCs w:val="16"/>
        </w:rPr>
        <w:t xml:space="preserve"> . Actualmente </w:t>
      </w:r>
      <w:r>
        <w:rPr>
          <w:rFonts w:ascii="Verdana" w:hAnsi="Verdana" w:cs="Arial"/>
          <w:color w:val="000000" w:themeColor="text1"/>
          <w:sz w:val="16"/>
          <w:szCs w:val="16"/>
        </w:rPr>
        <w:t xml:space="preserve">esta Guía </w:t>
      </w:r>
      <w:r w:rsidRPr="00B91AD5">
        <w:rPr>
          <w:rFonts w:ascii="Verdana" w:hAnsi="Verdana" w:cs="Arial"/>
          <w:color w:val="000000" w:themeColor="text1"/>
          <w:sz w:val="16"/>
          <w:szCs w:val="16"/>
        </w:rPr>
        <w:t xml:space="preserve">se encuentra en proceso actualización cuyo borrador puede ser consultado </w:t>
      </w:r>
      <w:r w:rsidRPr="00B91AD5">
        <w:rPr>
          <w:rFonts w:ascii="Verdana" w:hAnsi="Verdana" w:cs="Arial"/>
          <w:color w:val="000000" w:themeColor="text1"/>
          <w:sz w:val="16"/>
          <w:szCs w:val="16"/>
          <w:lang w:val="es-CO"/>
        </w:rPr>
        <w:t>a través del siguiente enlace: </w:t>
      </w:r>
      <w:hyperlink r:id="rId4" w:history="1">
        <w:r w:rsidRPr="00B91AD5">
          <w:rPr>
            <w:rStyle w:val="Hipervnculo"/>
            <w:rFonts w:ascii="Verdana" w:hAnsi="Verdana" w:cs="Arial"/>
            <w:sz w:val="16"/>
            <w:szCs w:val="16"/>
            <w:lang w:val="es-CO"/>
          </w:rPr>
          <w:t>https://www.colombiacompra.gov.co/archivos/convocatoria/participacion-ciudadana-proyecto-de-la-guia-para-la-</w:t>
        </w:r>
      </w:hyperlink>
    </w:p>
    <w:p w14:paraId="12470A9B" w14:textId="77777777" w:rsidR="00F14B8B" w:rsidRPr="00B91AD5" w:rsidRDefault="00F14B8B" w:rsidP="00F14B8B">
      <w:pPr>
        <w:pStyle w:val="Textonotapie"/>
        <w:ind w:firstLine="709"/>
        <w:jc w:val="both"/>
        <w:rPr>
          <w:rFonts w:ascii="Verdana" w:hAnsi="Verdana" w:cs="Arial"/>
          <w:sz w:val="16"/>
          <w:szCs w:val="16"/>
          <w:lang w:val="es-CO"/>
        </w:rPr>
      </w:pPr>
    </w:p>
  </w:footnote>
  <w:footnote w:id="7">
    <w:p w14:paraId="4A6E9136" w14:textId="77777777" w:rsidR="00F14B8B" w:rsidRPr="00B91AD5" w:rsidRDefault="00F14B8B" w:rsidP="00F14B8B">
      <w:pPr>
        <w:pStyle w:val="Textonotapie"/>
        <w:ind w:firstLine="709"/>
        <w:jc w:val="both"/>
        <w:rPr>
          <w:rFonts w:ascii="Verdana" w:hAnsi="Verdana" w:cs="Arial"/>
          <w:sz w:val="16"/>
          <w:szCs w:val="16"/>
          <w:lang w:val="es-ES"/>
        </w:rPr>
      </w:pPr>
      <w:r w:rsidRPr="00B91AD5">
        <w:rPr>
          <w:rStyle w:val="Refdenotaalpie"/>
          <w:rFonts w:ascii="Verdana" w:hAnsi="Verdana" w:cs="Arial"/>
          <w:sz w:val="16"/>
          <w:szCs w:val="16"/>
        </w:rPr>
        <w:footnoteRef/>
      </w:r>
      <w:r w:rsidRPr="00B91AD5">
        <w:rPr>
          <w:rFonts w:ascii="Verdana" w:hAnsi="Verdana" w:cs="Arial"/>
          <w:sz w:val="16"/>
          <w:szCs w:val="16"/>
        </w:rPr>
        <w:t xml:space="preserve"> De conformidad con lo indicado en la Guía, e</w:t>
      </w:r>
      <w:r w:rsidRPr="00B91AD5">
        <w:rPr>
          <w:rFonts w:ascii="Verdana" w:hAnsi="Verdana" w:cs="Arial"/>
          <w:sz w:val="16"/>
          <w:szCs w:val="16"/>
          <w:lang w:val="es-ES"/>
        </w:rPr>
        <w:t>l MAE hace parte de la Política de Compras y Contratación Pública, enmarcada dentro del Modelo Integrado de Planeación y Gestión- MIPG, y se articula con las demás buenas prácticas y herramientas usadas en los procesos de compra y contratación estatal que han sido desarrolladas por la Agencia Nacional de Contratación Pública – Colombia Compra Eficiente, con el fin de generar una mayor eficiencia, transparencia y optimización de los recursos del Estado.</w:t>
      </w:r>
    </w:p>
  </w:footnote>
  <w:footnote w:id="8">
    <w:p w14:paraId="0EC58F9B" w14:textId="77777777" w:rsidR="00F14B8B" w:rsidRPr="00B91AD5" w:rsidRDefault="00F14B8B" w:rsidP="00F14B8B">
      <w:pPr>
        <w:pStyle w:val="Textonotapie"/>
        <w:ind w:firstLine="708"/>
        <w:jc w:val="both"/>
        <w:rPr>
          <w:rFonts w:ascii="Verdana" w:hAnsi="Verdana" w:cs="Arial"/>
          <w:sz w:val="16"/>
          <w:szCs w:val="16"/>
        </w:rPr>
      </w:pPr>
      <w:r w:rsidRPr="00B91AD5">
        <w:rPr>
          <w:rStyle w:val="Refdenotaalpie"/>
          <w:rFonts w:ascii="Verdana" w:hAnsi="Verdana" w:cs="Arial"/>
          <w:sz w:val="16"/>
          <w:szCs w:val="16"/>
        </w:rPr>
        <w:footnoteRef/>
      </w:r>
      <w:r w:rsidRPr="00B91AD5">
        <w:rPr>
          <w:rFonts w:ascii="Verdana" w:hAnsi="Verdana" w:cs="Arial"/>
          <w:sz w:val="16"/>
          <w:szCs w:val="16"/>
        </w:rPr>
        <w:t xml:space="preserve"> Consejo de Estado. Sección Tercera. Sentencia del 27 de abril de 2011. Exp. 18.293. C.P. Ruth Stella Correa Palacio.</w:t>
      </w:r>
    </w:p>
  </w:footnote>
  <w:footnote w:id="9">
    <w:p w14:paraId="4C22E1D5" w14:textId="77777777" w:rsidR="00F14B8B" w:rsidRPr="000861FE" w:rsidRDefault="00F14B8B" w:rsidP="00F14B8B">
      <w:pPr>
        <w:pStyle w:val="Textonotapie"/>
        <w:ind w:firstLine="708"/>
        <w:jc w:val="both"/>
        <w:rPr>
          <w:lang w:val="es-ES"/>
        </w:rPr>
      </w:pPr>
      <w:r>
        <w:rPr>
          <w:rStyle w:val="Refdenotaalpie"/>
        </w:rPr>
        <w:footnoteRef/>
      </w:r>
      <w:r>
        <w:t xml:space="preserve"> </w:t>
      </w:r>
      <w:r w:rsidRPr="000861FE">
        <w:rPr>
          <w:lang w:val="es-CO"/>
        </w:rPr>
        <w:t>CONSEJO DE ESTADO</w:t>
      </w:r>
      <w:r>
        <w:rPr>
          <w:lang w:val="es-CO"/>
        </w:rPr>
        <w:t xml:space="preserve">. </w:t>
      </w:r>
      <w:r w:rsidRPr="000861FE">
        <w:rPr>
          <w:lang w:val="es-CO"/>
        </w:rPr>
        <w:t>Sección Primera</w:t>
      </w:r>
      <w:r>
        <w:rPr>
          <w:lang w:val="es-CO"/>
        </w:rPr>
        <w:t xml:space="preserve">. Sentencia del </w:t>
      </w:r>
      <w:r w:rsidRPr="000861FE">
        <w:rPr>
          <w:lang w:val="es-CO"/>
        </w:rPr>
        <w:t>treinta (30) de mayo de dos mil veinticuatro (2024)</w:t>
      </w:r>
      <w:r>
        <w:rPr>
          <w:lang w:val="es-ES"/>
        </w:rPr>
        <w:t xml:space="preserve">. </w:t>
      </w:r>
      <w:r>
        <w:rPr>
          <w:lang w:val="es-CO"/>
        </w:rPr>
        <w:t>C.P.</w:t>
      </w:r>
      <w:r w:rsidRPr="000861FE">
        <w:rPr>
          <w:lang w:val="es-CO"/>
        </w:rPr>
        <w:t xml:space="preserve"> Hernando Sánchez </w:t>
      </w:r>
      <w:proofErr w:type="spellStart"/>
      <w:r w:rsidRPr="000861FE">
        <w:rPr>
          <w:lang w:val="es-CO"/>
        </w:rPr>
        <w:t>Sánchez</w:t>
      </w:r>
      <w:proofErr w:type="spellEnd"/>
      <w:r>
        <w:rPr>
          <w:lang w:val="es-CO"/>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5pt;height: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F2F4AAF"/>
    <w:multiLevelType w:val="hybridMultilevel"/>
    <w:tmpl w:val="8780C6F4"/>
    <w:lvl w:ilvl="0" w:tplc="5594678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10"/>
  </w:num>
  <w:num w:numId="18" w16cid:durableId="119226182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31B7"/>
    <w:rsid w:val="00016F78"/>
    <w:rsid w:val="00046945"/>
    <w:rsid w:val="000536C1"/>
    <w:rsid w:val="00061B2A"/>
    <w:rsid w:val="0006497D"/>
    <w:rsid w:val="00082042"/>
    <w:rsid w:val="00082362"/>
    <w:rsid w:val="000A683E"/>
    <w:rsid w:val="000B19B9"/>
    <w:rsid w:val="000B6BB8"/>
    <w:rsid w:val="000C106B"/>
    <w:rsid w:val="000C21F3"/>
    <w:rsid w:val="000D0334"/>
    <w:rsid w:val="000F6486"/>
    <w:rsid w:val="000F7A3E"/>
    <w:rsid w:val="0011328A"/>
    <w:rsid w:val="00125105"/>
    <w:rsid w:val="00127233"/>
    <w:rsid w:val="001B064A"/>
    <w:rsid w:val="001E4177"/>
    <w:rsid w:val="001F7DC6"/>
    <w:rsid w:val="002421BB"/>
    <w:rsid w:val="00246503"/>
    <w:rsid w:val="0025796E"/>
    <w:rsid w:val="002707A2"/>
    <w:rsid w:val="0027412D"/>
    <w:rsid w:val="00291DB4"/>
    <w:rsid w:val="00292274"/>
    <w:rsid w:val="002951A0"/>
    <w:rsid w:val="002962BC"/>
    <w:rsid w:val="002A093D"/>
    <w:rsid w:val="002A0DD0"/>
    <w:rsid w:val="002A49AC"/>
    <w:rsid w:val="002A64FD"/>
    <w:rsid w:val="002B76FF"/>
    <w:rsid w:val="002C7A84"/>
    <w:rsid w:val="002D36D1"/>
    <w:rsid w:val="002E4FD9"/>
    <w:rsid w:val="002F28E7"/>
    <w:rsid w:val="00304FF1"/>
    <w:rsid w:val="00322A85"/>
    <w:rsid w:val="00324168"/>
    <w:rsid w:val="003448F4"/>
    <w:rsid w:val="00362CE8"/>
    <w:rsid w:val="00374F5E"/>
    <w:rsid w:val="00377E3E"/>
    <w:rsid w:val="00390D0F"/>
    <w:rsid w:val="003A779E"/>
    <w:rsid w:val="003B407E"/>
    <w:rsid w:val="003B6FB5"/>
    <w:rsid w:val="003C6C26"/>
    <w:rsid w:val="003D0F4D"/>
    <w:rsid w:val="003D5B0D"/>
    <w:rsid w:val="003E0499"/>
    <w:rsid w:val="003F3941"/>
    <w:rsid w:val="003F634D"/>
    <w:rsid w:val="00403328"/>
    <w:rsid w:val="00406575"/>
    <w:rsid w:val="0041492E"/>
    <w:rsid w:val="00414C74"/>
    <w:rsid w:val="0042722E"/>
    <w:rsid w:val="00427945"/>
    <w:rsid w:val="0043721B"/>
    <w:rsid w:val="0044528D"/>
    <w:rsid w:val="0047716C"/>
    <w:rsid w:val="00495FCD"/>
    <w:rsid w:val="004A1847"/>
    <w:rsid w:val="004A305D"/>
    <w:rsid w:val="004A3DDD"/>
    <w:rsid w:val="004B22C8"/>
    <w:rsid w:val="004D46F9"/>
    <w:rsid w:val="004D591A"/>
    <w:rsid w:val="004F21C4"/>
    <w:rsid w:val="004F685F"/>
    <w:rsid w:val="005220F8"/>
    <w:rsid w:val="00526B1C"/>
    <w:rsid w:val="00532953"/>
    <w:rsid w:val="005566E8"/>
    <w:rsid w:val="005747C9"/>
    <w:rsid w:val="00574867"/>
    <w:rsid w:val="00582445"/>
    <w:rsid w:val="005902A7"/>
    <w:rsid w:val="00591460"/>
    <w:rsid w:val="005B3A81"/>
    <w:rsid w:val="005C0218"/>
    <w:rsid w:val="005C3777"/>
    <w:rsid w:val="005C5CDC"/>
    <w:rsid w:val="005D2A43"/>
    <w:rsid w:val="005D476C"/>
    <w:rsid w:val="005E465C"/>
    <w:rsid w:val="006219F8"/>
    <w:rsid w:val="006302F7"/>
    <w:rsid w:val="00637C69"/>
    <w:rsid w:val="00644822"/>
    <w:rsid w:val="00665D70"/>
    <w:rsid w:val="006900D9"/>
    <w:rsid w:val="006A28E2"/>
    <w:rsid w:val="006A4A72"/>
    <w:rsid w:val="006A760C"/>
    <w:rsid w:val="006A78D1"/>
    <w:rsid w:val="006B7771"/>
    <w:rsid w:val="006D78CF"/>
    <w:rsid w:val="006E4710"/>
    <w:rsid w:val="006F6E35"/>
    <w:rsid w:val="00701AAB"/>
    <w:rsid w:val="0070653E"/>
    <w:rsid w:val="00706C16"/>
    <w:rsid w:val="00710CCC"/>
    <w:rsid w:val="00710FC8"/>
    <w:rsid w:val="0073427A"/>
    <w:rsid w:val="00756841"/>
    <w:rsid w:val="00756DEC"/>
    <w:rsid w:val="007649AB"/>
    <w:rsid w:val="00765A2F"/>
    <w:rsid w:val="00771D0C"/>
    <w:rsid w:val="007720AD"/>
    <w:rsid w:val="00776D89"/>
    <w:rsid w:val="007833AC"/>
    <w:rsid w:val="00793341"/>
    <w:rsid w:val="007A33AC"/>
    <w:rsid w:val="007B0A74"/>
    <w:rsid w:val="007B268C"/>
    <w:rsid w:val="007B7171"/>
    <w:rsid w:val="007C0C0F"/>
    <w:rsid w:val="007C3DC2"/>
    <w:rsid w:val="007D4A7E"/>
    <w:rsid w:val="007E5497"/>
    <w:rsid w:val="00806F5F"/>
    <w:rsid w:val="00820278"/>
    <w:rsid w:val="00867F95"/>
    <w:rsid w:val="008843B6"/>
    <w:rsid w:val="00891928"/>
    <w:rsid w:val="00897A3A"/>
    <w:rsid w:val="008A446D"/>
    <w:rsid w:val="008B5275"/>
    <w:rsid w:val="008D180B"/>
    <w:rsid w:val="008F0EA7"/>
    <w:rsid w:val="00902E32"/>
    <w:rsid w:val="00907333"/>
    <w:rsid w:val="00917567"/>
    <w:rsid w:val="00923EEF"/>
    <w:rsid w:val="009419F9"/>
    <w:rsid w:val="0095076F"/>
    <w:rsid w:val="0095685E"/>
    <w:rsid w:val="00961B09"/>
    <w:rsid w:val="00965334"/>
    <w:rsid w:val="0097037A"/>
    <w:rsid w:val="0097093E"/>
    <w:rsid w:val="009855B8"/>
    <w:rsid w:val="009A0DFA"/>
    <w:rsid w:val="009B25A8"/>
    <w:rsid w:val="009B2D26"/>
    <w:rsid w:val="009B5D6D"/>
    <w:rsid w:val="009C71FA"/>
    <w:rsid w:val="009C72E7"/>
    <w:rsid w:val="009D3058"/>
    <w:rsid w:val="009F27E5"/>
    <w:rsid w:val="009F3A13"/>
    <w:rsid w:val="00A0151F"/>
    <w:rsid w:val="00A122D3"/>
    <w:rsid w:val="00A17F13"/>
    <w:rsid w:val="00A20739"/>
    <w:rsid w:val="00A240FC"/>
    <w:rsid w:val="00A27D0D"/>
    <w:rsid w:val="00A32A0E"/>
    <w:rsid w:val="00A33C78"/>
    <w:rsid w:val="00A61F44"/>
    <w:rsid w:val="00A63AA9"/>
    <w:rsid w:val="00AA324D"/>
    <w:rsid w:val="00AB0ADB"/>
    <w:rsid w:val="00AB7AF8"/>
    <w:rsid w:val="00AC20B4"/>
    <w:rsid w:val="00AD2572"/>
    <w:rsid w:val="00B00C0E"/>
    <w:rsid w:val="00B01B1A"/>
    <w:rsid w:val="00B44A47"/>
    <w:rsid w:val="00B5069F"/>
    <w:rsid w:val="00B72CD3"/>
    <w:rsid w:val="00B72FFF"/>
    <w:rsid w:val="00B85609"/>
    <w:rsid w:val="00BC3D36"/>
    <w:rsid w:val="00BD7F72"/>
    <w:rsid w:val="00C04FB3"/>
    <w:rsid w:val="00C330EB"/>
    <w:rsid w:val="00C41AD1"/>
    <w:rsid w:val="00C45326"/>
    <w:rsid w:val="00C65BD7"/>
    <w:rsid w:val="00C754BE"/>
    <w:rsid w:val="00C76B1C"/>
    <w:rsid w:val="00C91010"/>
    <w:rsid w:val="00CB6357"/>
    <w:rsid w:val="00CB6667"/>
    <w:rsid w:val="00CC1B26"/>
    <w:rsid w:val="00CC75FB"/>
    <w:rsid w:val="00CE503D"/>
    <w:rsid w:val="00D14E10"/>
    <w:rsid w:val="00D23730"/>
    <w:rsid w:val="00D242CF"/>
    <w:rsid w:val="00D40D92"/>
    <w:rsid w:val="00D423A2"/>
    <w:rsid w:val="00D4403E"/>
    <w:rsid w:val="00D520D8"/>
    <w:rsid w:val="00D63AC2"/>
    <w:rsid w:val="00D71C7B"/>
    <w:rsid w:val="00D7383B"/>
    <w:rsid w:val="00D75487"/>
    <w:rsid w:val="00D9709A"/>
    <w:rsid w:val="00DA231B"/>
    <w:rsid w:val="00DA2A49"/>
    <w:rsid w:val="00DC39FC"/>
    <w:rsid w:val="00DD14CA"/>
    <w:rsid w:val="00DF5254"/>
    <w:rsid w:val="00E16408"/>
    <w:rsid w:val="00E204E7"/>
    <w:rsid w:val="00E20894"/>
    <w:rsid w:val="00E21DE0"/>
    <w:rsid w:val="00E245AB"/>
    <w:rsid w:val="00E2764C"/>
    <w:rsid w:val="00E27F2E"/>
    <w:rsid w:val="00E470B4"/>
    <w:rsid w:val="00E50AFE"/>
    <w:rsid w:val="00E75C92"/>
    <w:rsid w:val="00E771DC"/>
    <w:rsid w:val="00E84A46"/>
    <w:rsid w:val="00E8772A"/>
    <w:rsid w:val="00E90F6B"/>
    <w:rsid w:val="00E92C27"/>
    <w:rsid w:val="00EA0E3D"/>
    <w:rsid w:val="00EC38A7"/>
    <w:rsid w:val="00ED084F"/>
    <w:rsid w:val="00ED3DCF"/>
    <w:rsid w:val="00EE1AA8"/>
    <w:rsid w:val="00F00464"/>
    <w:rsid w:val="00F14B8B"/>
    <w:rsid w:val="00F2583C"/>
    <w:rsid w:val="00F31EA8"/>
    <w:rsid w:val="00F31EDC"/>
    <w:rsid w:val="00F462B3"/>
    <w:rsid w:val="00F537EA"/>
    <w:rsid w:val="00F5664F"/>
    <w:rsid w:val="00F60D34"/>
    <w:rsid w:val="00F666C4"/>
    <w:rsid w:val="00F76AFC"/>
    <w:rsid w:val="00F811B2"/>
    <w:rsid w:val="00FA47C0"/>
    <w:rsid w:val="00FB4CB2"/>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DF2D46F1-DAF8-4647-900D-5F23F1A04C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14B8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14B8B"/>
    <w:rPr>
      <w:rFonts w:ascii="Geomanist Light" w:hAnsi="Geomanist Light"/>
      <w:lang w:val="es-ES"/>
    </w:rPr>
  </w:style>
  <w:style w:type="paragraph" w:styleId="Textoindependiente">
    <w:name w:val="Body Text"/>
    <w:basedOn w:val="Normal"/>
    <w:link w:val="TextoindependienteCar"/>
    <w:uiPriority w:val="99"/>
    <w:unhideWhenUsed/>
    <w:rsid w:val="00F14B8B"/>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F14B8B"/>
    <w:rPr>
      <w:rFonts w:ascii="Times New Roman" w:eastAsia="Times New Roman" w:hAnsi="Times New Roman" w:cs="Times New Roman"/>
      <w:sz w:val="24"/>
      <w:szCs w:val="24"/>
      <w:lang w:eastAsia="es-CO"/>
    </w:rPr>
  </w:style>
  <w:style w:type="character" w:styleId="Refdecomentario">
    <w:name w:val="annotation reference"/>
    <w:basedOn w:val="Fuentedeprrafopredeter"/>
    <w:uiPriority w:val="99"/>
    <w:semiHidden/>
    <w:unhideWhenUsed/>
    <w:rsid w:val="00CB6667"/>
    <w:rPr>
      <w:sz w:val="16"/>
      <w:szCs w:val="16"/>
    </w:rPr>
  </w:style>
  <w:style w:type="paragraph" w:styleId="Textocomentario">
    <w:name w:val="annotation text"/>
    <w:basedOn w:val="Normal"/>
    <w:link w:val="TextocomentarioCar"/>
    <w:uiPriority w:val="99"/>
    <w:unhideWhenUsed/>
    <w:rsid w:val="00CB6667"/>
    <w:pPr>
      <w:spacing w:line="240" w:lineRule="auto"/>
    </w:pPr>
    <w:rPr>
      <w:sz w:val="20"/>
      <w:szCs w:val="20"/>
    </w:rPr>
  </w:style>
  <w:style w:type="character" w:customStyle="1" w:styleId="TextocomentarioCar">
    <w:name w:val="Texto comentario Car"/>
    <w:basedOn w:val="Fuentedeprrafopredeter"/>
    <w:link w:val="Textocomentario"/>
    <w:uiPriority w:val="99"/>
    <w:rsid w:val="00CB6667"/>
    <w:rPr>
      <w:sz w:val="20"/>
      <w:szCs w:val="20"/>
    </w:rPr>
  </w:style>
  <w:style w:type="paragraph" w:styleId="Asuntodelcomentario">
    <w:name w:val="annotation subject"/>
    <w:basedOn w:val="Textocomentario"/>
    <w:next w:val="Textocomentario"/>
    <w:link w:val="AsuntodelcomentarioCar"/>
    <w:uiPriority w:val="99"/>
    <w:semiHidden/>
    <w:unhideWhenUsed/>
    <w:rsid w:val="00CB6667"/>
    <w:rPr>
      <w:b/>
      <w:bCs/>
    </w:rPr>
  </w:style>
  <w:style w:type="character" w:customStyle="1" w:styleId="AsuntodelcomentarioCar">
    <w:name w:val="Asunto del comentario Car"/>
    <w:basedOn w:val="TextocomentarioCar"/>
    <w:link w:val="Asuntodelcomentario"/>
    <w:uiPriority w:val="99"/>
    <w:semiHidden/>
    <w:rsid w:val="00CB666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na.bonilla%40colombiacompra.gov.co%7C7cfff6dece924643582c08dd97bfed90%7C7b09041e245149d08cb179d5e3d8c1be%7C0%7C0%7C638833572791704363%7CUnknown%7CTWFpbGZsb3d8eyJFbXB0eU1hcGkiOnRydWUsIlYiOiIwLjAuMDAwMCIsIlAiOiJXaW4zMiIsIkFOIjoiTWFpbCIsIldUIjoyfQ%3D%3D%7C0%7C%7C%7C&amp;sdata=bvCyjLqjhhHk8z%2FCef2mJuv9SIv2uGUVZNSAdLedWrk%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sites/cce_public/files/cce_documentos/cce-eicp-gi-18._gees_v.2_2.pdf"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3" Type="http://schemas.openxmlformats.org/officeDocument/2006/relationships/hyperlink" Target="https://colombiacompra.gov.co/sites/cce_public/files/cce_documentos/cce-eicp-gi-18._gees_v.2_2.pdf" TargetMode="External"/><Relationship Id="rId2" Type="http://schemas.openxmlformats.org/officeDocument/2006/relationships/hyperlink" Target="https://www.colombiacompra.gov.co/archivos/convocatoria/participacion-ciudadana-proyecto-de-la-guia-para-la-" TargetMode="External"/><Relationship Id="rId1" Type="http://schemas.openxmlformats.org/officeDocument/2006/relationships/hyperlink" Target="https://colombiacompra.gov.co/sites/cce_public/files/cce_documentos/cce-eicp-gi-18._gees_v.2_2.pdf" TargetMode="External"/><Relationship Id="rId4" Type="http://schemas.openxmlformats.org/officeDocument/2006/relationships/hyperlink" Target="https://www.colombiacompra.gov.co/archivos/convocatoria/participacion-ciudadana-proyecto-de-la-guia-para-la-"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f2aded54591a7fd7c71e00322775124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8225e9d864fb3b86d94084293229f75"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purl.org/dc/terms/"/>
    <ds:schemaRef ds:uri="http://www.w3.org/XML/1998/namespace"/>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a6cb9e4b-f1d1-4245-83ec-6cad768d538a"/>
    <ds:schemaRef ds:uri="9d85dbaf-23eb-4e57-a637-93dcacc8b1a1"/>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2528698E-A546-4E9D-9FF2-CD56218DD5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34</TotalTime>
  <Pages>18</Pages>
  <Words>6398</Words>
  <Characters>35190</Characters>
  <Application>Microsoft Office Word</Application>
  <DocSecurity>0</DocSecurity>
  <Lines>293</Lines>
  <Paragraphs>83</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41505</CharactersWithSpaces>
  <SharedDoc>false</SharedDoc>
  <HLinks>
    <vt:vector size="42" baseType="variant">
      <vt:variant>
        <vt:i4>8126526</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ana.bonilla%40colombiacompra.gov.co%7C7cfff6dece924643582c08dd97bfed90%7C7b09041e245149d08cb179d5e3d8c1be%7C0%7C0%7C638833572791704363%7CUnknown%7CTWFpbGZsb3d8eyJFbXB0eU1hcGkiOnRydWUsIlYiOiIwLjAuMDAwMCIsIlAiOiJXaW4zMiIsIkFOIjoiTWFpbCIsIldUIjoyfQ%3D%3D%7C0%7C%7C%7C&amp;sdata=bvCyjLqjhhHk8z%2FCef2mJuv9SIv2uGUVZNSAdLedWrk%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3801163</vt:i4>
      </vt:variant>
      <vt:variant>
        <vt:i4>0</vt:i4>
      </vt:variant>
      <vt:variant>
        <vt:i4>0</vt:i4>
      </vt:variant>
      <vt:variant>
        <vt:i4>5</vt:i4>
      </vt:variant>
      <vt:variant>
        <vt:lpwstr>https://www.colombiacompra.gov.co/sites/cce_public/files/cce_documentos/cce-eicp-gi-18._gees_v.2_2.pdf</vt:lpwstr>
      </vt:variant>
      <vt:variant>
        <vt:lpwstr/>
      </vt:variant>
      <vt:variant>
        <vt:i4>1900623</vt:i4>
      </vt:variant>
      <vt:variant>
        <vt:i4>9</vt:i4>
      </vt:variant>
      <vt:variant>
        <vt:i4>0</vt:i4>
      </vt:variant>
      <vt:variant>
        <vt:i4>5</vt:i4>
      </vt:variant>
      <vt:variant>
        <vt:lpwstr>https://www.colombiacompra.gov.co/archivos/convocatoria/participacion-ciudadana-proyecto-de-la-guia-para-la-</vt:lpwstr>
      </vt:variant>
      <vt:variant>
        <vt:lpwstr/>
      </vt:variant>
      <vt:variant>
        <vt:i4>6488139</vt:i4>
      </vt:variant>
      <vt:variant>
        <vt:i4>6</vt:i4>
      </vt:variant>
      <vt:variant>
        <vt:i4>0</vt:i4>
      </vt:variant>
      <vt:variant>
        <vt:i4>5</vt:i4>
      </vt:variant>
      <vt:variant>
        <vt:lpwstr>https://colombiacompra.gov.co/sites/cce_public/files/cce_documentos/cce-eicp-gi-18._gees_v.2_2.pdf</vt:lpwstr>
      </vt:variant>
      <vt:variant>
        <vt:lpwstr/>
      </vt:variant>
      <vt:variant>
        <vt:i4>1900623</vt:i4>
      </vt:variant>
      <vt:variant>
        <vt:i4>3</vt:i4>
      </vt:variant>
      <vt:variant>
        <vt:i4>0</vt:i4>
      </vt:variant>
      <vt:variant>
        <vt:i4>5</vt:i4>
      </vt:variant>
      <vt:variant>
        <vt:lpwstr>https://www.colombiacompra.gov.co/archivos/convocatoria/participacion-ciudadana-proyecto-de-la-guia-para-la-</vt:lpwstr>
      </vt:variant>
      <vt:variant>
        <vt:lpwstr/>
      </vt:variant>
      <vt:variant>
        <vt:i4>6488139</vt:i4>
      </vt:variant>
      <vt:variant>
        <vt:i4>0</vt:i4>
      </vt:variant>
      <vt:variant>
        <vt:i4>0</vt:i4>
      </vt:variant>
      <vt:variant>
        <vt:i4>5</vt:i4>
      </vt:variant>
      <vt:variant>
        <vt:lpwstr>https://colombiacompra.gov.co/sites/cce_public/files/cce_documentos/cce-eicp-gi-18._gees_v.2_2.pdf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2025-10-09T15:46:00Z</dcterms:created>
  <dcterms:modified xsi:type="dcterms:W3CDTF">2025-10-09T15:46:00Z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