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0D716" w14:textId="77777777" w:rsidR="00E4193C" w:rsidRPr="007C11D3" w:rsidRDefault="00E4193C" w:rsidP="00E4193C">
      <w:pPr>
        <w:spacing w:after="0" w:line="240" w:lineRule="auto"/>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 xml:space="preserve">LEY DE GARANTÍAS ELECTORALES ‒ Tipos de restricciones ‒ Ámbito temporal </w:t>
      </w:r>
    </w:p>
    <w:p w14:paraId="160814C7" w14:textId="77777777" w:rsidR="00E4193C" w:rsidRPr="007C11D3" w:rsidRDefault="00E4193C" w:rsidP="00E4193C">
      <w:pPr>
        <w:spacing w:after="0" w:line="240" w:lineRule="auto"/>
        <w:rPr>
          <w:rFonts w:ascii="Verdana" w:eastAsia="Calibri" w:hAnsi="Verdana" w:cs="Arial"/>
          <w:b/>
          <w:color w:val="000000" w:themeColor="text1"/>
          <w:lang w:val="es-ES_tradnl"/>
        </w:rPr>
      </w:pPr>
    </w:p>
    <w:p w14:paraId="4F11C918" w14:textId="77777777" w:rsidR="00E4193C" w:rsidRPr="007C11D3" w:rsidRDefault="00E4193C" w:rsidP="00E4193C">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85C7D66" w14:textId="77777777" w:rsidR="00E4193C" w:rsidRPr="007C11D3" w:rsidRDefault="00E4193C" w:rsidP="00E4193C">
      <w:pPr>
        <w:spacing w:after="0" w:line="240" w:lineRule="auto"/>
        <w:rPr>
          <w:rFonts w:ascii="Verdana" w:eastAsia="Calibri" w:hAnsi="Verdana" w:cs="Arial"/>
          <w:b/>
          <w:color w:val="000000" w:themeColor="text1"/>
          <w:lang w:val="es-ES_tradnl"/>
        </w:rPr>
      </w:pPr>
    </w:p>
    <w:p w14:paraId="0F43B089" w14:textId="77777777" w:rsidR="00E4193C" w:rsidRPr="007C11D3" w:rsidRDefault="00E4193C" w:rsidP="00E4193C">
      <w:pPr>
        <w:spacing w:after="0" w:line="240" w:lineRule="auto"/>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 xml:space="preserve">LEY DE GARANTÍAS ELECTORALES ─ Prohibición ‒ Contratación directa ‒ Alcance – Excepciones </w:t>
      </w:r>
    </w:p>
    <w:p w14:paraId="32D842A0" w14:textId="77777777" w:rsidR="00E4193C" w:rsidRPr="007C11D3" w:rsidRDefault="00E4193C" w:rsidP="00E4193C">
      <w:pPr>
        <w:spacing w:after="0" w:line="240" w:lineRule="auto"/>
        <w:rPr>
          <w:rFonts w:ascii="Verdana" w:eastAsia="Calibri" w:hAnsi="Verdana" w:cs="Arial"/>
          <w:b/>
          <w:color w:val="000000" w:themeColor="text1"/>
          <w:lang w:val="es-ES_tradnl"/>
        </w:rPr>
      </w:pPr>
    </w:p>
    <w:p w14:paraId="2D80B936" w14:textId="5C0C7404" w:rsidR="00E4193C" w:rsidRPr="007C11D3" w:rsidRDefault="00E4193C" w:rsidP="00E4193C">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w:t>
      </w:r>
      <w:r w:rsidR="007B0B39" w:rsidRPr="5B89E16D">
        <w:rPr>
          <w:rFonts w:ascii="Verdana" w:eastAsia="Calibri" w:hAnsi="Verdana" w:cs="Arial"/>
          <w:color w:val="000000" w:themeColor="text1"/>
          <w:sz w:val="20"/>
          <w:szCs w:val="20"/>
          <w:lang w:val="es-ES"/>
        </w:rPr>
        <w:t>méritos y</w:t>
      </w:r>
      <w:r w:rsidRPr="5B89E16D">
        <w:rPr>
          <w:rFonts w:ascii="Verdana" w:eastAsia="Calibri" w:hAnsi="Verdana" w:cs="Arial"/>
          <w:color w:val="000000" w:themeColor="text1"/>
          <w:sz w:val="20"/>
          <w:szCs w:val="20"/>
          <w:lang w:val="es-ES"/>
        </w:rPr>
        <w:t xml:space="preserve"> sistematizó las causales de contratación directa.</w:t>
      </w:r>
    </w:p>
    <w:p w14:paraId="3E4E123A" w14:textId="77777777" w:rsidR="00E4193C" w:rsidRPr="007C11D3" w:rsidRDefault="00E4193C" w:rsidP="00E4193C">
      <w:pPr>
        <w:spacing w:after="0" w:line="240" w:lineRule="auto"/>
        <w:jc w:val="both"/>
        <w:rPr>
          <w:rFonts w:ascii="Verdana" w:eastAsia="Calibri" w:hAnsi="Verdana" w:cs="Arial"/>
          <w:bCs/>
          <w:color w:val="000000" w:themeColor="text1"/>
          <w:sz w:val="20"/>
          <w:szCs w:val="20"/>
          <w:lang w:val="es-ES_tradnl"/>
        </w:rPr>
      </w:pPr>
    </w:p>
    <w:p w14:paraId="541E0B18" w14:textId="77777777" w:rsidR="00E4193C" w:rsidRPr="007C11D3" w:rsidRDefault="00E4193C" w:rsidP="00E4193C">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5B89E16D">
        <w:rPr>
          <w:rFonts w:ascii="Verdana" w:eastAsia="Calibri" w:hAnsi="Verdana" w:cs="Arial"/>
          <w:color w:val="000000" w:themeColor="text1"/>
          <w:sz w:val="20"/>
          <w:szCs w:val="20"/>
          <w:lang w:val="es-ES"/>
        </w:rPr>
        <w:t>ii</w:t>
      </w:r>
      <w:proofErr w:type="spellEnd"/>
      <w:r w:rsidRPr="5B89E16D">
        <w:rPr>
          <w:rFonts w:ascii="Verdana" w:eastAsia="Calibri" w:hAnsi="Verdana" w:cs="Arial"/>
          <w:color w:val="000000" w:themeColor="text1"/>
          <w:sz w:val="20"/>
          <w:szCs w:val="20"/>
          <w:lang w:val="es-ES"/>
        </w:rPr>
        <w:t xml:space="preserve">) los contratos de crédito público; </w:t>
      </w:r>
      <w:proofErr w:type="spellStart"/>
      <w:r w:rsidRPr="5B89E16D">
        <w:rPr>
          <w:rFonts w:ascii="Verdana" w:eastAsia="Calibri" w:hAnsi="Verdana" w:cs="Arial"/>
          <w:color w:val="000000" w:themeColor="text1"/>
          <w:sz w:val="20"/>
          <w:szCs w:val="20"/>
          <w:lang w:val="es-ES"/>
        </w:rPr>
        <w:t>iii</w:t>
      </w:r>
      <w:proofErr w:type="spellEnd"/>
      <w:r w:rsidRPr="5B89E16D">
        <w:rPr>
          <w:rFonts w:ascii="Verdana" w:eastAsia="Calibri" w:hAnsi="Verdana" w:cs="Arial"/>
          <w:color w:val="000000" w:themeColor="text1"/>
          <w:sz w:val="20"/>
          <w:szCs w:val="20"/>
          <w:lang w:val="es-ES"/>
        </w:rPr>
        <w:t xml:space="preserve">) los requeridos para cubrir las emergencias educativas, sanitarias y desastres; </w:t>
      </w:r>
      <w:proofErr w:type="spellStart"/>
      <w:r w:rsidRPr="5B89E16D">
        <w:rPr>
          <w:rFonts w:ascii="Verdana" w:eastAsia="Calibri" w:hAnsi="Verdana" w:cs="Arial"/>
          <w:color w:val="000000" w:themeColor="text1"/>
          <w:sz w:val="20"/>
          <w:szCs w:val="20"/>
          <w:lang w:val="es-ES"/>
        </w:rPr>
        <w:t>iv</w:t>
      </w:r>
      <w:proofErr w:type="spellEnd"/>
      <w:r w:rsidRPr="5B89E16D">
        <w:rPr>
          <w:rFonts w:ascii="Verdana" w:eastAsia="Calibri" w:hAnsi="Verdana" w:cs="Arial"/>
          <w:color w:val="000000" w:themeColor="text1"/>
          <w:sz w:val="20"/>
          <w:szCs w:val="20"/>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F9C7143" w14:textId="77777777" w:rsidR="00E4193C" w:rsidRPr="007C11D3" w:rsidRDefault="00E4193C" w:rsidP="00E4193C">
      <w:pPr>
        <w:spacing w:after="0" w:line="240" w:lineRule="auto"/>
        <w:jc w:val="both"/>
        <w:rPr>
          <w:rFonts w:ascii="Verdana" w:eastAsia="Calibri" w:hAnsi="Verdana" w:cs="Arial"/>
          <w:b/>
          <w:color w:val="000000" w:themeColor="text1"/>
          <w:lang w:val="es-ES_tradnl"/>
        </w:rPr>
      </w:pPr>
    </w:p>
    <w:p w14:paraId="4FB1CD23" w14:textId="77777777" w:rsidR="00E4193C" w:rsidRPr="007C11D3" w:rsidRDefault="00E4193C" w:rsidP="00E4193C">
      <w:pPr>
        <w:spacing w:after="0" w:line="240" w:lineRule="auto"/>
        <w:jc w:val="both"/>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LEY DE GARANTÍAS ELECTORALES ‒ Prohibición del artículo 33 ‒ Destinatarios</w:t>
      </w:r>
    </w:p>
    <w:p w14:paraId="7317A196" w14:textId="77777777" w:rsidR="00E4193C" w:rsidRPr="007C11D3" w:rsidRDefault="00E4193C" w:rsidP="00E4193C">
      <w:pPr>
        <w:spacing w:after="0" w:line="240" w:lineRule="auto"/>
        <w:jc w:val="both"/>
        <w:rPr>
          <w:rFonts w:ascii="Verdana" w:eastAsia="Calibri" w:hAnsi="Verdana" w:cs="Arial"/>
          <w:bCs/>
          <w:color w:val="000000" w:themeColor="text1"/>
          <w:lang w:val="es-ES_tradnl"/>
        </w:rPr>
      </w:pPr>
    </w:p>
    <w:p w14:paraId="6C9EEA94" w14:textId="77777777" w:rsidR="00E4193C" w:rsidRPr="007C11D3" w:rsidRDefault="00E4193C" w:rsidP="00E4193C">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279A2FF8" w14:textId="77777777" w:rsidR="00E4193C" w:rsidRPr="007C11D3" w:rsidRDefault="00E4193C" w:rsidP="00E4193C">
      <w:pPr>
        <w:spacing w:after="0" w:line="240" w:lineRule="auto"/>
        <w:jc w:val="both"/>
        <w:rPr>
          <w:rFonts w:ascii="Verdana" w:eastAsia="Calibri" w:hAnsi="Verdana" w:cs="Arial"/>
          <w:b/>
          <w:color w:val="000000" w:themeColor="text1"/>
          <w:lang w:val="es-ES_tradnl"/>
        </w:rPr>
      </w:pPr>
    </w:p>
    <w:p w14:paraId="612F0ED7" w14:textId="77777777" w:rsidR="00E4193C" w:rsidRPr="007C11D3" w:rsidRDefault="00E4193C" w:rsidP="00E4193C">
      <w:pPr>
        <w:spacing w:after="0" w:line="240" w:lineRule="auto"/>
        <w:jc w:val="both"/>
        <w:rPr>
          <w:rFonts w:ascii="Verdana" w:eastAsia="Calibri" w:hAnsi="Verdana" w:cs="Arial"/>
          <w:b/>
          <w:color w:val="000000" w:themeColor="text1"/>
          <w:lang w:val="es-ES_tradnl"/>
        </w:rPr>
      </w:pPr>
      <w:r w:rsidRPr="007C11D3">
        <w:rPr>
          <w:rFonts w:ascii="Verdana" w:eastAsia="Calibri" w:hAnsi="Verdana" w:cs="Arial"/>
          <w:b/>
          <w:color w:val="000000" w:themeColor="text1"/>
          <w:lang w:val="es-ES_tradnl"/>
        </w:rPr>
        <w:t>EMPRESAS DE SERVICIOS PÚBLICOS DOMICILIARIOS – Régimen jurídico – Entidades descentralizadas – Oficiales, mixtas y privadas</w:t>
      </w:r>
    </w:p>
    <w:p w14:paraId="65592E76" w14:textId="77777777" w:rsidR="00E4193C" w:rsidRPr="007C11D3" w:rsidRDefault="00E4193C" w:rsidP="00E4193C">
      <w:pPr>
        <w:spacing w:after="0" w:line="240" w:lineRule="auto"/>
        <w:jc w:val="both"/>
        <w:rPr>
          <w:rFonts w:ascii="Verdana" w:eastAsia="Calibri" w:hAnsi="Verdana" w:cs="Arial"/>
          <w:b/>
          <w:color w:val="000000" w:themeColor="text1"/>
          <w:lang w:val="es-ES_tradnl"/>
        </w:rPr>
      </w:pPr>
    </w:p>
    <w:p w14:paraId="29585556" w14:textId="77777777" w:rsidR="00E4193C" w:rsidRPr="007C11D3" w:rsidRDefault="00E4193C" w:rsidP="00E4193C">
      <w:pPr>
        <w:spacing w:after="0" w:line="240" w:lineRule="auto"/>
        <w:jc w:val="both"/>
        <w:rPr>
          <w:rFonts w:ascii="Verdana" w:eastAsia="Calibri" w:hAnsi="Verdana" w:cs="Arial"/>
          <w:color w:val="000000" w:themeColor="text1"/>
          <w:sz w:val="20"/>
          <w:szCs w:val="20"/>
          <w:lang w:val="es-ES"/>
        </w:rPr>
      </w:pPr>
      <w:r w:rsidRPr="5B89E16D">
        <w:rPr>
          <w:rFonts w:ascii="Verdana" w:eastAsia="Calibri" w:hAnsi="Verdana" w:cs="Arial"/>
          <w:color w:val="000000" w:themeColor="text1"/>
          <w:sz w:val="20"/>
          <w:szCs w:val="20"/>
          <w:lang w:val="es-ES"/>
        </w:rPr>
        <w:t xml:space="preserve">El artículo 365 de la Constitución Política establece que los servicios públicos domiciliarios «podrán ser prestados por el Estado, directa o indirectamente, por comunidades organizadas o por particulares», pero que «[e]n todo caso, el Estado mantendrá la regulación, el control y la vigilancia de dichos servicios». En desarrollo de esta habilitación superior, el Congreso de la República dispuso, en el artículo 15 de la Ley 142 de 1994, que pueden actuar como operadores de servicios públicos domiciliarios: i) «Las empresas de servicios públicos» –oficiales, mixtas y privadas–, </w:t>
      </w:r>
      <w:proofErr w:type="spellStart"/>
      <w:r w:rsidRPr="5B89E16D">
        <w:rPr>
          <w:rFonts w:ascii="Verdana" w:eastAsia="Calibri" w:hAnsi="Verdana" w:cs="Arial"/>
          <w:color w:val="000000" w:themeColor="text1"/>
          <w:sz w:val="20"/>
          <w:szCs w:val="20"/>
          <w:lang w:val="es-ES"/>
        </w:rPr>
        <w:t>ii</w:t>
      </w:r>
      <w:proofErr w:type="spellEnd"/>
      <w:r w:rsidRPr="5B89E16D">
        <w:rPr>
          <w:rFonts w:ascii="Verdana" w:eastAsia="Calibri" w:hAnsi="Verdana" w:cs="Arial"/>
          <w:color w:val="000000" w:themeColor="text1"/>
          <w:sz w:val="20"/>
          <w:szCs w:val="20"/>
          <w:lang w:val="es-ES"/>
        </w:rPr>
        <w:t xml:space="preserve">) «Las personas naturales o jurídicas que produzcan para ellas mismas, o como consecuencia o complemento de su actividad principal, los bienes y servicios propios del objeto de las empresas de servicios públicos, </w:t>
      </w:r>
      <w:proofErr w:type="spellStart"/>
      <w:r w:rsidRPr="5B89E16D">
        <w:rPr>
          <w:rFonts w:ascii="Verdana" w:eastAsia="Calibri" w:hAnsi="Verdana" w:cs="Arial"/>
          <w:color w:val="000000" w:themeColor="text1"/>
          <w:sz w:val="20"/>
          <w:szCs w:val="20"/>
          <w:lang w:val="es-ES"/>
        </w:rPr>
        <w:t>iii</w:t>
      </w:r>
      <w:proofErr w:type="spellEnd"/>
      <w:r w:rsidRPr="5B89E16D">
        <w:rPr>
          <w:rFonts w:ascii="Verdana" w:eastAsia="Calibri" w:hAnsi="Verdana" w:cs="Arial"/>
          <w:color w:val="000000" w:themeColor="text1"/>
          <w:sz w:val="20"/>
          <w:szCs w:val="20"/>
          <w:lang w:val="es-ES"/>
        </w:rPr>
        <w:t xml:space="preserve">) «Los municipios cuando asuman en forma directa, a través de su administración central, la prestación de los servicios públicos, conforme a lo dispuesto en esta Ley», y </w:t>
      </w:r>
      <w:proofErr w:type="spellStart"/>
      <w:r w:rsidRPr="5B89E16D">
        <w:rPr>
          <w:rFonts w:ascii="Verdana" w:eastAsia="Calibri" w:hAnsi="Verdana" w:cs="Arial"/>
          <w:color w:val="000000" w:themeColor="text1"/>
          <w:sz w:val="20"/>
          <w:szCs w:val="20"/>
          <w:lang w:val="es-ES"/>
        </w:rPr>
        <w:t>iv</w:t>
      </w:r>
      <w:proofErr w:type="spellEnd"/>
      <w:r w:rsidRPr="5B89E16D">
        <w:rPr>
          <w:rFonts w:ascii="Verdana" w:eastAsia="Calibri" w:hAnsi="Verdana" w:cs="Arial"/>
          <w:color w:val="000000" w:themeColor="text1"/>
          <w:sz w:val="20"/>
          <w:szCs w:val="20"/>
          <w:lang w:val="es-ES"/>
        </w:rPr>
        <w:t>) «Las organizaciones autorizadas conforme a esta Ley para prestar servicios públicos en municipios menores en zonas rurales y en áreas o zonas urbanas específicas».</w:t>
      </w:r>
    </w:p>
    <w:p w14:paraId="3CCE905F" w14:textId="77777777" w:rsidR="00E4193C" w:rsidRPr="007C11D3" w:rsidRDefault="00E4193C" w:rsidP="00E4193C">
      <w:pPr>
        <w:spacing w:after="0" w:line="240" w:lineRule="auto"/>
        <w:jc w:val="both"/>
        <w:rPr>
          <w:rFonts w:ascii="Verdana" w:eastAsia="Calibri" w:hAnsi="Verdana" w:cs="Arial"/>
          <w:bCs/>
          <w:color w:val="000000" w:themeColor="text1"/>
          <w:sz w:val="20"/>
          <w:szCs w:val="20"/>
          <w:lang w:val="es-ES_tradnl"/>
        </w:rPr>
      </w:pPr>
      <w:r w:rsidRPr="007C11D3">
        <w:rPr>
          <w:rFonts w:ascii="Verdana" w:eastAsia="Calibri" w:hAnsi="Verdana" w:cs="Arial"/>
          <w:bCs/>
          <w:color w:val="000000" w:themeColor="text1"/>
          <w:sz w:val="20"/>
          <w:szCs w:val="20"/>
          <w:lang w:val="es-ES_tradnl"/>
        </w:rPr>
        <w:t>[…]</w:t>
      </w:r>
    </w:p>
    <w:p w14:paraId="5B8554F7" w14:textId="77777777" w:rsidR="00E4193C" w:rsidRPr="007C11D3" w:rsidRDefault="00E4193C" w:rsidP="00E4193C">
      <w:pPr>
        <w:spacing w:after="0" w:line="240" w:lineRule="auto"/>
        <w:jc w:val="both"/>
        <w:rPr>
          <w:rFonts w:ascii="Verdana" w:eastAsia="Calibri" w:hAnsi="Verdana" w:cs="Arial"/>
          <w:bCs/>
          <w:color w:val="000000" w:themeColor="text1"/>
          <w:sz w:val="20"/>
          <w:szCs w:val="20"/>
          <w:lang w:val="es-ES_tradnl"/>
        </w:rPr>
      </w:pPr>
      <w:r w:rsidRPr="007C11D3">
        <w:rPr>
          <w:rFonts w:ascii="Verdana" w:eastAsia="Calibri" w:hAnsi="Verdana" w:cs="Arial"/>
          <w:bCs/>
          <w:color w:val="000000" w:themeColor="text1"/>
          <w:sz w:val="20"/>
          <w:szCs w:val="20"/>
          <w:lang w:val="es-ES_tradnl"/>
        </w:rPr>
        <w:t>[…] la Corte Constitucional determinó que tanto las empresas de servicios públicos mixtas como las privadas hacían parte de la Rama Ejecutiva, toda vez que el literal g) del artículo 38 de la Ley 489 de 1998 aplica a «g) Las demás entidades administrativas nacionales con personería jurídica que cree, organice o autorice la ley para que formen parte de la Rama Ejecutiva del Poder Público».</w:t>
      </w:r>
    </w:p>
    <w:p w14:paraId="25197A5F" w14:textId="77777777" w:rsidR="00E4193C" w:rsidRPr="007C11D3" w:rsidRDefault="00E4193C" w:rsidP="00E4193C">
      <w:pPr>
        <w:spacing w:after="0" w:line="240" w:lineRule="auto"/>
        <w:jc w:val="both"/>
        <w:rPr>
          <w:rFonts w:ascii="Verdana" w:eastAsia="Calibri" w:hAnsi="Verdana" w:cs="Arial"/>
          <w:bCs/>
          <w:color w:val="000000" w:themeColor="text1"/>
          <w:sz w:val="20"/>
          <w:szCs w:val="20"/>
          <w:lang w:val="es-ES_tradnl"/>
        </w:rPr>
      </w:pPr>
    </w:p>
    <w:p w14:paraId="5D7864E7" w14:textId="77777777" w:rsidR="00E4193C" w:rsidRPr="007C11D3" w:rsidRDefault="00E4193C" w:rsidP="00E4193C">
      <w:pPr>
        <w:spacing w:after="0" w:line="240" w:lineRule="auto"/>
        <w:jc w:val="both"/>
        <w:rPr>
          <w:rFonts w:ascii="Verdana" w:eastAsia="Calibri" w:hAnsi="Verdana" w:cs="Arial"/>
          <w:bCs/>
          <w:color w:val="000000" w:themeColor="text1"/>
          <w:sz w:val="20"/>
          <w:szCs w:val="20"/>
          <w:lang w:val="es-ES_tradnl"/>
        </w:rPr>
      </w:pPr>
      <w:r w:rsidRPr="007C11D3">
        <w:rPr>
          <w:rFonts w:ascii="Verdana" w:eastAsia="Calibri" w:hAnsi="Verdana" w:cs="Arial"/>
          <w:bCs/>
          <w:color w:val="000000" w:themeColor="text1"/>
          <w:sz w:val="20"/>
          <w:szCs w:val="20"/>
          <w:lang w:val="es-ES_tradnl"/>
        </w:rPr>
        <w:t>La Corte Constitucional, además de señalar la pertenencia a la Rama Ejecutiva de las empresas de servicios públicos mixtas y privadas, también sostuvo que se trataba de entidades descentralizadas por servicios, en los términos del artículo 68 de la Ley 489 de 1998. […]</w:t>
      </w:r>
    </w:p>
    <w:p w14:paraId="6EC3DC50" w14:textId="11EA7002" w:rsidR="00E4193C" w:rsidRPr="00960F72" w:rsidRDefault="00E4193C" w:rsidP="00E4193C">
      <w:pPr>
        <w:rPr>
          <w:rFonts w:ascii="Verdana" w:eastAsia="Calibri" w:hAnsi="Verdana" w:cs="Arial"/>
          <w:bCs/>
          <w:sz w:val="20"/>
          <w:szCs w:val="20"/>
          <w:lang w:eastAsia="es-ES_tradnl"/>
        </w:rPr>
      </w:pPr>
      <w:r w:rsidRPr="00960F72">
        <w:rPr>
          <w:rFonts w:ascii="Verdana" w:eastAsia="Calibri" w:hAnsi="Verdana" w:cs="Arial"/>
          <w:bCs/>
          <w:sz w:val="20"/>
          <w:szCs w:val="20"/>
          <w:lang w:eastAsia="es-ES_tradnl"/>
        </w:rPr>
        <w:br w:type="page"/>
      </w: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6AE7E691" w14:textId="69D7B419" w:rsidR="00E4193C" w:rsidRPr="00960F72" w:rsidRDefault="007B0B39" w:rsidP="00E4193C">
      <w:pPr>
        <w:spacing w:after="0" w:line="240" w:lineRule="auto"/>
        <w:jc w:val="both"/>
        <w:rPr>
          <w:rFonts w:ascii="Verdana" w:eastAsia="Calibri" w:hAnsi="Verdana" w:cs="Arial"/>
        </w:rPr>
      </w:pPr>
      <w:r w:rsidRPr="00256558">
        <w:rPr>
          <w:rFonts w:ascii="Verdana" w:eastAsia="Calibri" w:hAnsi="Verdana" w:cs="Arial"/>
          <w:b/>
          <w:bCs/>
          <w:noProof/>
          <w:lang w:eastAsia="es-ES"/>
        </w:rPr>
        <w:drawing>
          <wp:anchor distT="0" distB="0" distL="114300" distR="114300" simplePos="0" relativeHeight="251658240" behindDoc="1" locked="0" layoutInCell="1" allowOverlap="1" wp14:anchorId="3537731D" wp14:editId="132505D7">
            <wp:simplePos x="0" y="0"/>
            <wp:positionH relativeFrom="margin">
              <wp:align>right</wp:align>
            </wp:positionH>
            <wp:positionV relativeFrom="paragraph">
              <wp:posOffset>11872</wp:posOffset>
            </wp:positionV>
            <wp:extent cx="2779395" cy="1031308"/>
            <wp:effectExtent l="0" t="0" r="1905" b="0"/>
            <wp:wrapTight wrapText="bothSides">
              <wp:wrapPolygon edited="0">
                <wp:start x="0" y="0"/>
                <wp:lineTo x="0" y="21148"/>
                <wp:lineTo x="21467" y="21148"/>
                <wp:lineTo x="21467" y="0"/>
                <wp:lineTo x="0" y="0"/>
              </wp:wrapPolygon>
            </wp:wrapTight>
            <wp:docPr id="204707202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072020"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2779395" cy="1031308"/>
                    </a:xfrm>
                    <a:prstGeom prst="rect">
                      <a:avLst/>
                    </a:prstGeom>
                  </pic:spPr>
                </pic:pic>
              </a:graphicData>
            </a:graphic>
            <wp14:sizeRelH relativeFrom="page">
              <wp14:pctWidth>0</wp14:pctWidth>
            </wp14:sizeRelH>
            <wp14:sizeRelV relativeFrom="page">
              <wp14:pctHeight>0</wp14:pctHeight>
            </wp14:sizeRelV>
          </wp:anchor>
        </w:drawing>
      </w:r>
    </w:p>
    <w:p w14:paraId="5D852C1B" w14:textId="77777777" w:rsidR="00E4193C" w:rsidRDefault="00E4193C" w:rsidP="00E4193C">
      <w:pPr>
        <w:spacing w:after="0" w:line="240" w:lineRule="auto"/>
        <w:jc w:val="both"/>
        <w:rPr>
          <w:rFonts w:ascii="Verdana" w:eastAsia="Calibri" w:hAnsi="Verdana" w:cs="Arial"/>
          <w:lang w:eastAsia="es-ES"/>
        </w:rPr>
      </w:pPr>
      <w:r w:rsidRPr="00960F72">
        <w:rPr>
          <w:rFonts w:ascii="Verdana" w:eastAsia="Calibri" w:hAnsi="Verdana" w:cs="Arial"/>
          <w:lang w:eastAsia="es-ES"/>
        </w:rPr>
        <w:t>Señor</w:t>
      </w:r>
      <w:r>
        <w:rPr>
          <w:rFonts w:ascii="Verdana" w:eastAsia="Calibri" w:hAnsi="Verdana" w:cs="Arial"/>
          <w:lang w:eastAsia="es-ES"/>
        </w:rPr>
        <w:t>a</w:t>
      </w:r>
    </w:p>
    <w:p w14:paraId="58F9E325" w14:textId="71BFC6AF" w:rsidR="00E4193C" w:rsidRDefault="00E4193C" w:rsidP="00E4193C">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Gloria Esperanza Mendoza </w:t>
      </w:r>
      <w:r w:rsidR="007B0B39">
        <w:rPr>
          <w:rFonts w:ascii="Verdana" w:eastAsia="Calibri" w:hAnsi="Verdana" w:cs="Arial"/>
          <w:b/>
          <w:bCs/>
          <w:lang w:eastAsia="es-ES"/>
        </w:rPr>
        <w:t>Flórez</w:t>
      </w:r>
    </w:p>
    <w:p w14:paraId="058BEC65" w14:textId="21765C2C" w:rsidR="00E4193C" w:rsidRPr="0003244D" w:rsidRDefault="00E4193C" w:rsidP="00E4193C">
      <w:pPr>
        <w:spacing w:after="0" w:line="240" w:lineRule="auto"/>
        <w:jc w:val="both"/>
        <w:rPr>
          <w:rFonts w:ascii="Verdana" w:eastAsia="Calibri" w:hAnsi="Verdana" w:cs="Arial"/>
          <w:lang w:eastAsia="es-ES"/>
        </w:rPr>
      </w:pPr>
      <w:r>
        <w:rPr>
          <w:rFonts w:ascii="Verdana" w:eastAsia="Calibri" w:hAnsi="Verdana" w:cs="Arial"/>
          <w:lang w:eastAsia="es-ES"/>
        </w:rPr>
        <w:t>ivandariog@hotmail.com</w:t>
      </w:r>
    </w:p>
    <w:p w14:paraId="63F88C05" w14:textId="77777777" w:rsidR="00E4193C" w:rsidRPr="00960F72" w:rsidRDefault="00E4193C" w:rsidP="00E4193C">
      <w:pPr>
        <w:spacing w:after="0" w:line="240" w:lineRule="auto"/>
        <w:rPr>
          <w:rFonts w:ascii="Verdana" w:eastAsia="Calibri" w:hAnsi="Verdana" w:cs="Arial"/>
          <w:b/>
          <w:bCs/>
          <w:lang w:eastAsia="es-ES"/>
        </w:rPr>
      </w:pPr>
      <w:r>
        <w:rPr>
          <w:rFonts w:ascii="Verdana" w:eastAsia="Calibri" w:hAnsi="Verdana" w:cs="Arial"/>
          <w:lang w:eastAsia="es-ES"/>
        </w:rPr>
        <w:t>Neiva, Huila</w:t>
      </w:r>
    </w:p>
    <w:p w14:paraId="512097E6" w14:textId="77777777" w:rsidR="00E4193C" w:rsidRPr="00960F72" w:rsidRDefault="00E4193C" w:rsidP="00E4193C">
      <w:pPr>
        <w:spacing w:after="0" w:line="240" w:lineRule="auto"/>
        <w:rPr>
          <w:rFonts w:ascii="Verdana" w:eastAsia="Calibri" w:hAnsi="Verdana" w:cs="Arial"/>
          <w:b/>
          <w:bCs/>
          <w:lang w:eastAsia="es-ES_tradnl"/>
        </w:rPr>
      </w:pPr>
    </w:p>
    <w:p w14:paraId="6A702499" w14:textId="069A5929" w:rsidR="00E4193C" w:rsidRPr="00960F72" w:rsidRDefault="00E4193C" w:rsidP="00E4193C">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4193C" w:rsidRPr="00960F72" w14:paraId="2D9091A7" w14:textId="77777777" w:rsidTr="00ED0004">
        <w:trPr>
          <w:trHeight w:val="190"/>
        </w:trPr>
        <w:tc>
          <w:tcPr>
            <w:tcW w:w="2689" w:type="dxa"/>
          </w:tcPr>
          <w:p w14:paraId="6B38FDD0" w14:textId="77777777" w:rsidR="00E4193C" w:rsidRPr="00960F72" w:rsidRDefault="00E4193C" w:rsidP="00ED0004">
            <w:pPr>
              <w:jc w:val="both"/>
              <w:rPr>
                <w:rFonts w:ascii="Verdana" w:eastAsia="Calibri" w:hAnsi="Verdana" w:cs="Arial"/>
                <w:b/>
                <w:bCs/>
                <w:lang w:eastAsia="es-ES_tradnl"/>
              </w:rPr>
            </w:pPr>
          </w:p>
        </w:tc>
        <w:tc>
          <w:tcPr>
            <w:tcW w:w="6100" w:type="dxa"/>
          </w:tcPr>
          <w:p w14:paraId="046DF48D" w14:textId="77777777" w:rsidR="00E4193C" w:rsidRPr="00960F72" w:rsidRDefault="00E4193C" w:rsidP="00ED0004">
            <w:pPr>
              <w:jc w:val="both"/>
              <w:rPr>
                <w:rFonts w:ascii="Verdana" w:eastAsia="Calibri" w:hAnsi="Verdana" w:cs="Arial"/>
                <w:b/>
                <w:bCs/>
                <w:lang w:eastAsia="es-ES"/>
              </w:rPr>
            </w:pPr>
            <w:r w:rsidRPr="00960F72">
              <w:rPr>
                <w:rFonts w:ascii="Verdana" w:eastAsia="Calibri" w:hAnsi="Verdana" w:cs="Arial"/>
                <w:b/>
                <w:bCs/>
                <w:lang w:eastAsia="es-ES"/>
              </w:rPr>
              <w:t>Concepto C- 11</w:t>
            </w:r>
            <w:r>
              <w:rPr>
                <w:rFonts w:ascii="Verdana" w:eastAsia="Calibri" w:hAnsi="Verdana" w:cs="Arial"/>
                <w:b/>
                <w:bCs/>
                <w:lang w:eastAsia="es-ES"/>
              </w:rPr>
              <w:t>8</w:t>
            </w:r>
            <w:r w:rsidRPr="00960F72">
              <w:rPr>
                <w:rFonts w:ascii="Verdana" w:eastAsia="Calibri" w:hAnsi="Verdana" w:cs="Arial"/>
                <w:b/>
                <w:bCs/>
                <w:lang w:eastAsia="es-ES"/>
              </w:rPr>
              <w:t>5 de 2025</w:t>
            </w:r>
          </w:p>
          <w:p w14:paraId="094B6C90" w14:textId="77777777" w:rsidR="00E4193C" w:rsidRPr="00960F72" w:rsidRDefault="00E4193C" w:rsidP="00ED0004">
            <w:pPr>
              <w:jc w:val="both"/>
              <w:rPr>
                <w:rFonts w:ascii="Verdana" w:eastAsia="Calibri" w:hAnsi="Verdana" w:cs="Arial"/>
                <w:b/>
                <w:bCs/>
                <w:lang w:eastAsia="es-ES"/>
              </w:rPr>
            </w:pPr>
          </w:p>
        </w:tc>
      </w:tr>
      <w:tr w:rsidR="00E4193C" w:rsidRPr="00960F72" w14:paraId="10D1CFE1" w14:textId="77777777" w:rsidTr="00ED0004">
        <w:trPr>
          <w:trHeight w:val="884"/>
        </w:trPr>
        <w:tc>
          <w:tcPr>
            <w:tcW w:w="2689" w:type="dxa"/>
          </w:tcPr>
          <w:p w14:paraId="1E307622" w14:textId="77777777" w:rsidR="00E4193C" w:rsidRPr="00960F72" w:rsidRDefault="00E4193C" w:rsidP="00ED0004">
            <w:pPr>
              <w:jc w:val="both"/>
              <w:rPr>
                <w:rFonts w:ascii="Verdana" w:eastAsia="Calibri" w:hAnsi="Verdana" w:cs="Arial"/>
                <w:lang w:eastAsia="es-ES_tradnl"/>
              </w:rPr>
            </w:pPr>
            <w:r w:rsidRPr="00960F72">
              <w:rPr>
                <w:rFonts w:ascii="Verdana" w:eastAsia="Calibri" w:hAnsi="Verdana" w:cs="Arial"/>
                <w:b/>
                <w:lang w:eastAsia="es-ES_tradnl"/>
              </w:rPr>
              <w:t>Temas:</w:t>
            </w:r>
            <w:r w:rsidRPr="00960F72">
              <w:rPr>
                <w:rFonts w:ascii="Verdana" w:eastAsia="Calibri" w:hAnsi="Verdana" w:cs="Arial"/>
                <w:lang w:eastAsia="es-ES_tradnl"/>
              </w:rPr>
              <w:t xml:space="preserve">                   </w:t>
            </w:r>
          </w:p>
        </w:tc>
        <w:tc>
          <w:tcPr>
            <w:tcW w:w="6100" w:type="dxa"/>
          </w:tcPr>
          <w:p w14:paraId="4430AE40" w14:textId="77777777" w:rsidR="00E4193C" w:rsidRDefault="00E4193C" w:rsidP="00ED0004">
            <w:pPr>
              <w:jc w:val="both"/>
              <w:rPr>
                <w:rFonts w:ascii="Verdana" w:hAnsi="Verdana" w:cs="Arial"/>
                <w:lang w:eastAsia="es-CO"/>
              </w:rPr>
            </w:pPr>
            <w:r w:rsidRPr="007C11D3">
              <w:rPr>
                <w:rFonts w:ascii="Verdana" w:eastAsia="Calibri" w:hAnsi="Verdana" w:cs="Arial"/>
                <w:lang w:val="es-ES" w:eastAsia="es-ES"/>
              </w:rPr>
              <w:t>LEY DE GARANTÍAS ELECTORALES ‒ Tipos de restricciones ‒ Ámbito temporal / LEY DE GARANTÍAS ELECTORALES ─ Prohibición ‒ Contratación directa ‒ Alcance – Excepciones / LEY DE GARANTÍAS ELECTORALES ‒ Prohibición del artículo 33 ‒ Destinatarios / EMPRESAS DE SERVICIOS PÚBLICOS DOMICILIARIOS – Régimen jurídico – Entidades descentralizadas – Oficiales, mixtas y privadas</w:t>
            </w:r>
            <w:r w:rsidRPr="007C11D3">
              <w:rPr>
                <w:rFonts w:ascii="Verdana" w:hAnsi="Verdana" w:cs="Arial"/>
                <w:lang w:eastAsia="es-CO"/>
              </w:rPr>
              <w:t>.</w:t>
            </w:r>
          </w:p>
          <w:p w14:paraId="1A99940F" w14:textId="77777777" w:rsidR="00E4193C" w:rsidRPr="00960F72" w:rsidRDefault="00E4193C" w:rsidP="00ED0004">
            <w:pPr>
              <w:jc w:val="both"/>
              <w:rPr>
                <w:rFonts w:ascii="Verdana" w:eastAsia="Calibri" w:hAnsi="Verdana" w:cs="Arial"/>
                <w:lang w:eastAsia="es-ES"/>
              </w:rPr>
            </w:pPr>
          </w:p>
        </w:tc>
      </w:tr>
      <w:tr w:rsidR="00E4193C" w:rsidRPr="00960F72" w14:paraId="2CCA49C0" w14:textId="77777777" w:rsidTr="00ED0004">
        <w:tc>
          <w:tcPr>
            <w:tcW w:w="2689" w:type="dxa"/>
          </w:tcPr>
          <w:p w14:paraId="5C20A8B4" w14:textId="77777777" w:rsidR="00E4193C" w:rsidRPr="00960F72" w:rsidRDefault="00E4193C" w:rsidP="00ED0004">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6BF4E38B" w14:textId="77777777" w:rsidR="00E4193C" w:rsidRPr="00960F72" w:rsidRDefault="00E4193C" w:rsidP="00ED0004">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Pr="0003244D">
              <w:rPr>
                <w:rFonts w:ascii="Verdana" w:eastAsia="Calibri" w:hAnsi="Verdana" w:cs="Arial"/>
                <w:lang w:eastAsia="es-ES_tradnl"/>
              </w:rPr>
              <w:t>1_2025_08_22_008915</w:t>
            </w:r>
          </w:p>
        </w:tc>
      </w:tr>
    </w:tbl>
    <w:p w14:paraId="677C2722" w14:textId="77777777" w:rsidR="00E4193C" w:rsidRPr="00960F72" w:rsidRDefault="00E4193C" w:rsidP="00E4193C">
      <w:pPr>
        <w:spacing w:after="0" w:line="240" w:lineRule="auto"/>
        <w:jc w:val="both"/>
        <w:rPr>
          <w:rFonts w:ascii="Verdana" w:eastAsia="Calibri" w:hAnsi="Verdana" w:cs="Arial"/>
          <w:lang w:eastAsia="es-ES_tradnl"/>
        </w:rPr>
      </w:pPr>
    </w:p>
    <w:p w14:paraId="20F64222" w14:textId="77777777" w:rsidR="00E4193C" w:rsidRPr="00960F72" w:rsidRDefault="00E4193C" w:rsidP="00E4193C">
      <w:pPr>
        <w:spacing w:after="0" w:line="240" w:lineRule="auto"/>
        <w:jc w:val="both"/>
        <w:rPr>
          <w:rFonts w:ascii="Verdana" w:eastAsia="Calibri" w:hAnsi="Verdana" w:cs="Arial"/>
          <w:lang w:eastAsia="es-ES_tradnl"/>
        </w:rPr>
      </w:pPr>
    </w:p>
    <w:p w14:paraId="2253D2B8" w14:textId="77777777" w:rsidR="00E4193C" w:rsidRPr="00960F72" w:rsidRDefault="00E4193C" w:rsidP="00E4193C">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Pr>
          <w:rFonts w:ascii="Verdana" w:eastAsia="Calibri" w:hAnsi="Verdana" w:cs="Arial"/>
          <w:lang w:eastAsia="es-ES"/>
        </w:rPr>
        <w:t>a</w:t>
      </w:r>
      <w:r w:rsidRPr="00960F72">
        <w:rPr>
          <w:rFonts w:ascii="Verdana" w:eastAsia="Calibri" w:hAnsi="Verdana" w:cs="Arial"/>
          <w:lang w:eastAsia="es-ES"/>
        </w:rPr>
        <w:t xml:space="preserve"> señor</w:t>
      </w:r>
      <w:r>
        <w:rPr>
          <w:rFonts w:ascii="Verdana" w:eastAsia="Calibri" w:hAnsi="Verdana" w:cs="Arial"/>
          <w:lang w:eastAsia="es-ES"/>
        </w:rPr>
        <w:t>a</w:t>
      </w:r>
      <w:r w:rsidRPr="00960F72">
        <w:rPr>
          <w:rFonts w:ascii="Verdana" w:eastAsia="Calibri" w:hAnsi="Verdana" w:cs="Arial"/>
          <w:lang w:eastAsia="es-ES"/>
        </w:rPr>
        <w:t xml:space="preserve"> </w:t>
      </w:r>
      <w:r>
        <w:rPr>
          <w:rFonts w:ascii="Verdana" w:eastAsia="Calibri" w:hAnsi="Verdana" w:cs="Arial"/>
          <w:lang w:eastAsia="es-ES"/>
        </w:rPr>
        <w:t>Mendoza</w:t>
      </w:r>
      <w:r w:rsidRPr="00960F72">
        <w:rPr>
          <w:rFonts w:ascii="Verdana" w:eastAsia="Calibri" w:hAnsi="Verdana" w:cs="Arial"/>
          <w:lang w:eastAsia="es-ES"/>
        </w:rPr>
        <w:t xml:space="preserve">: </w:t>
      </w:r>
    </w:p>
    <w:p w14:paraId="04C79173" w14:textId="77777777" w:rsidR="00E4193C" w:rsidRPr="00960F72" w:rsidRDefault="00E4193C" w:rsidP="00E4193C">
      <w:pPr>
        <w:tabs>
          <w:tab w:val="left" w:pos="3768"/>
        </w:tabs>
        <w:spacing w:after="0" w:line="276" w:lineRule="auto"/>
        <w:jc w:val="both"/>
        <w:rPr>
          <w:rFonts w:ascii="Verdana" w:eastAsia="Calibri" w:hAnsi="Verdana" w:cs="Arial"/>
          <w:lang w:eastAsia="es-ES"/>
        </w:rPr>
      </w:pPr>
    </w:p>
    <w:p w14:paraId="77238985" w14:textId="77777777" w:rsidR="00E4193C" w:rsidRPr="00960F72" w:rsidRDefault="00E4193C" w:rsidP="00E4193C">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22</w:t>
      </w:r>
      <w:r w:rsidRPr="00960F72">
        <w:rPr>
          <w:rFonts w:ascii="Verdana" w:eastAsia="Calibri" w:hAnsi="Verdana" w:cs="Arial"/>
          <w:lang w:eastAsia="es-ES"/>
        </w:rPr>
        <w:t xml:space="preserve"> de agosto de 2025, en la cual manifiesta lo siguiente: </w:t>
      </w:r>
    </w:p>
    <w:p w14:paraId="295F9B9E" w14:textId="77777777" w:rsidR="00E4193C" w:rsidRPr="00960F72" w:rsidRDefault="00E4193C" w:rsidP="00E4193C">
      <w:pPr>
        <w:spacing w:after="0" w:line="276" w:lineRule="auto"/>
        <w:jc w:val="both"/>
        <w:rPr>
          <w:rFonts w:ascii="Verdana" w:eastAsia="Calibri" w:hAnsi="Verdana" w:cs="Arial"/>
          <w:lang w:eastAsia="es-ES"/>
        </w:rPr>
      </w:pPr>
    </w:p>
    <w:p w14:paraId="53E1D03E" w14:textId="77777777" w:rsidR="00E4193C" w:rsidRPr="0003244D" w:rsidRDefault="00E4193C" w:rsidP="00E4193C">
      <w:pPr>
        <w:spacing w:after="0" w:line="240" w:lineRule="auto"/>
        <w:ind w:left="709" w:right="709"/>
        <w:jc w:val="both"/>
        <w:rPr>
          <w:rFonts w:ascii="Verdana" w:eastAsia="Calibri" w:hAnsi="Verdana" w:cs="Arial"/>
          <w:sz w:val="20"/>
          <w:szCs w:val="20"/>
          <w:lang w:eastAsia="es-ES"/>
        </w:rPr>
      </w:pPr>
      <w:r w:rsidRPr="00960F72">
        <w:rPr>
          <w:rFonts w:ascii="Verdana" w:eastAsia="Calibri" w:hAnsi="Verdana" w:cs="Arial"/>
          <w:sz w:val="20"/>
          <w:szCs w:val="20"/>
          <w:lang w:eastAsia="es-ES"/>
        </w:rPr>
        <w:t>“</w:t>
      </w:r>
      <w:proofErr w:type="gramStart"/>
      <w:r w:rsidRPr="00960F72">
        <w:rPr>
          <w:rFonts w:ascii="Verdana" w:eastAsia="Calibri" w:hAnsi="Verdana" w:cs="Arial"/>
          <w:sz w:val="20"/>
          <w:szCs w:val="20"/>
          <w:lang w:eastAsia="es-ES"/>
        </w:rPr>
        <w:t>…</w:t>
      </w:r>
      <w:r w:rsidRPr="0003244D">
        <w:rPr>
          <w:rFonts w:ascii="Verdana" w:eastAsia="Calibri" w:hAnsi="Verdana" w:cs="Arial"/>
          <w:sz w:val="20"/>
          <w:szCs w:val="20"/>
          <w:lang w:eastAsia="es-ES"/>
        </w:rPr>
        <w:t>¿</w:t>
      </w:r>
      <w:proofErr w:type="gramEnd"/>
      <w:r w:rsidRPr="0003244D">
        <w:rPr>
          <w:rFonts w:ascii="Verdana" w:eastAsia="Calibri" w:hAnsi="Verdana" w:cs="Arial"/>
          <w:sz w:val="20"/>
          <w:szCs w:val="20"/>
          <w:lang w:eastAsia="es-ES"/>
        </w:rPr>
        <w:t>Los contratos y convenios interadministrativos suscritos en el marco de la</w:t>
      </w:r>
      <w:r>
        <w:rPr>
          <w:rFonts w:ascii="Verdana" w:eastAsia="Calibri" w:hAnsi="Verdana" w:cs="Arial"/>
          <w:sz w:val="20"/>
          <w:szCs w:val="20"/>
          <w:lang w:eastAsia="es-ES"/>
        </w:rPr>
        <w:t xml:space="preserve"> </w:t>
      </w:r>
      <w:r w:rsidRPr="0003244D">
        <w:rPr>
          <w:rFonts w:ascii="Verdana" w:eastAsia="Calibri" w:hAnsi="Verdana" w:cs="Arial"/>
          <w:sz w:val="20"/>
          <w:szCs w:val="20"/>
          <w:lang w:eastAsia="es-ES"/>
        </w:rPr>
        <w:t xml:space="preserve">Ley 142 de 1994 están sujetos a las restricciones de la Ley 996 de 2005? </w:t>
      </w:r>
    </w:p>
    <w:p w14:paraId="18FEBE2E" w14:textId="77777777" w:rsidR="00E4193C" w:rsidRPr="0003244D" w:rsidRDefault="00E4193C" w:rsidP="00E4193C">
      <w:pPr>
        <w:spacing w:after="0" w:line="240" w:lineRule="auto"/>
        <w:ind w:left="709" w:right="709"/>
        <w:jc w:val="both"/>
        <w:rPr>
          <w:rFonts w:ascii="Verdana" w:eastAsia="Calibri" w:hAnsi="Verdana" w:cs="Arial"/>
          <w:sz w:val="20"/>
          <w:szCs w:val="20"/>
          <w:lang w:eastAsia="es-ES"/>
        </w:rPr>
      </w:pPr>
      <w:r w:rsidRPr="0003244D">
        <w:rPr>
          <w:rFonts w:ascii="Verdana" w:eastAsia="Calibri" w:hAnsi="Verdana" w:cs="Arial"/>
          <w:sz w:val="20"/>
          <w:szCs w:val="20"/>
          <w:lang w:eastAsia="es-ES"/>
        </w:rPr>
        <w:t>2. ¿Puede entenderse que dichos instrumentos contractuales, por estar</w:t>
      </w:r>
    </w:p>
    <w:p w14:paraId="7FD2B483" w14:textId="77777777" w:rsidR="00E4193C" w:rsidRPr="00960F72" w:rsidRDefault="00E4193C" w:rsidP="00E4193C">
      <w:pPr>
        <w:spacing w:after="0" w:line="240" w:lineRule="auto"/>
        <w:ind w:left="709" w:right="709"/>
        <w:jc w:val="both"/>
        <w:rPr>
          <w:rFonts w:ascii="Verdana" w:eastAsia="Calibri" w:hAnsi="Verdana" w:cs="Arial"/>
          <w:sz w:val="20"/>
          <w:szCs w:val="20"/>
          <w:lang w:eastAsia="es-ES"/>
        </w:rPr>
      </w:pPr>
      <w:r w:rsidRPr="0003244D">
        <w:rPr>
          <w:rFonts w:ascii="Verdana" w:eastAsia="Calibri" w:hAnsi="Verdana" w:cs="Arial"/>
          <w:sz w:val="20"/>
          <w:szCs w:val="20"/>
          <w:lang w:eastAsia="es-ES"/>
        </w:rPr>
        <w:t>destinados a garantizar la prestación de los servicios públicos domiciliarios,</w:t>
      </w:r>
      <w:r>
        <w:rPr>
          <w:rFonts w:ascii="Verdana" w:eastAsia="Calibri" w:hAnsi="Verdana" w:cs="Arial"/>
          <w:sz w:val="20"/>
          <w:szCs w:val="20"/>
          <w:lang w:eastAsia="es-ES"/>
        </w:rPr>
        <w:t xml:space="preserve"> </w:t>
      </w:r>
      <w:r w:rsidRPr="0003244D">
        <w:rPr>
          <w:rFonts w:ascii="Verdana" w:eastAsia="Calibri" w:hAnsi="Verdana" w:cs="Arial"/>
          <w:sz w:val="20"/>
          <w:szCs w:val="20"/>
          <w:lang w:eastAsia="es-ES"/>
        </w:rPr>
        <w:t>constituyen una excepción a la aplicación de la Ley de Garantías?</w:t>
      </w:r>
      <w:r w:rsidRPr="00960F72">
        <w:rPr>
          <w:rFonts w:ascii="Verdana" w:eastAsia="Calibri" w:hAnsi="Verdana" w:cs="Arial"/>
          <w:sz w:val="20"/>
          <w:szCs w:val="20"/>
          <w:lang w:eastAsia="es-ES"/>
        </w:rPr>
        <w:t>”</w:t>
      </w:r>
    </w:p>
    <w:p w14:paraId="51640292" w14:textId="77777777" w:rsidR="00E4193C" w:rsidRPr="00960F72" w:rsidRDefault="00E4193C" w:rsidP="00E4193C">
      <w:pPr>
        <w:spacing w:after="0" w:line="276" w:lineRule="auto"/>
        <w:jc w:val="both"/>
      </w:pPr>
    </w:p>
    <w:p w14:paraId="04C373FC" w14:textId="77777777" w:rsidR="00E4193C" w:rsidRPr="00960F72" w:rsidRDefault="00E4193C" w:rsidP="00E4193C">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w:t>
      </w:r>
      <w:r w:rsidRPr="00960F72">
        <w:rPr>
          <w:rFonts w:ascii="Verdana" w:eastAsia="Calibri" w:hAnsi="Verdana" w:cs="Arial"/>
          <w:lang w:eastAsia="es-ES"/>
        </w:rPr>
        <w:lastRenderedPageBreak/>
        <w:t xml:space="preserve">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59452EF6" w14:textId="77777777" w:rsidR="00E4193C" w:rsidRPr="00960F72" w:rsidRDefault="00E4193C" w:rsidP="00E4193C">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E2777D8" w14:textId="77777777" w:rsidR="00E4193C" w:rsidRPr="00960F72" w:rsidRDefault="00E4193C" w:rsidP="00E4193C">
      <w:pPr>
        <w:spacing w:after="0" w:line="276" w:lineRule="auto"/>
        <w:ind w:firstLine="709"/>
        <w:jc w:val="both"/>
        <w:rPr>
          <w:rFonts w:ascii="Verdana" w:eastAsia="Calibri" w:hAnsi="Verdana" w:cs="Arial"/>
          <w:lang w:eastAsia="es-ES"/>
        </w:rPr>
      </w:pPr>
    </w:p>
    <w:p w14:paraId="5B2D898F" w14:textId="77777777" w:rsidR="00E4193C" w:rsidRPr="00960F72" w:rsidRDefault="00E4193C" w:rsidP="00E4193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7D0328F5" w14:textId="77777777" w:rsidR="00E4193C" w:rsidRPr="00960F72" w:rsidRDefault="00E4193C" w:rsidP="00E4193C">
      <w:pPr>
        <w:tabs>
          <w:tab w:val="left" w:pos="426"/>
        </w:tabs>
        <w:spacing w:after="0" w:line="276" w:lineRule="auto"/>
        <w:jc w:val="both"/>
        <w:rPr>
          <w:rFonts w:ascii="Verdana" w:eastAsia="Century Gothic" w:hAnsi="Verdana" w:cs="Century Gothic"/>
        </w:rPr>
      </w:pPr>
    </w:p>
    <w:p w14:paraId="7D47426D" w14:textId="23F1DE9C" w:rsidR="00E4193C" w:rsidRDefault="00E4193C" w:rsidP="00E4193C">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 ¿</w:t>
      </w:r>
      <w:r w:rsidRPr="00DC56D3">
        <w:rPr>
          <w:rFonts w:ascii="Verdana" w:eastAsia="Century Gothic" w:hAnsi="Verdana" w:cs="Century Gothic"/>
        </w:rPr>
        <w:t>Cómo aplican las restricciones de contratación previstas en la Ley 996 de 2005 a los contratos y convenios interadministrativos suscritos en el marco de la Ley 142 de 1994, destinados a garantizar la prestación de los servicios públicos domiciliarios?</w:t>
      </w:r>
    </w:p>
    <w:p w14:paraId="31CC4084" w14:textId="77777777" w:rsidR="00E4193C" w:rsidRPr="00960F72" w:rsidRDefault="00E4193C" w:rsidP="00E4193C">
      <w:pPr>
        <w:spacing w:after="0" w:line="276" w:lineRule="auto"/>
        <w:jc w:val="both"/>
        <w:rPr>
          <w:rFonts w:ascii="Verdana" w:eastAsia="Century Gothic" w:hAnsi="Verdana" w:cs="Century Gothic"/>
        </w:rPr>
      </w:pPr>
    </w:p>
    <w:p w14:paraId="71030C01" w14:textId="1E9B3FF4" w:rsidR="00E4193C" w:rsidRPr="00256558" w:rsidRDefault="00E4193C" w:rsidP="00E4193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4193C" w:rsidRPr="00960F72" w14:paraId="39CF3814" w14:textId="77777777" w:rsidTr="00ED0004">
        <w:tc>
          <w:tcPr>
            <w:tcW w:w="8828" w:type="dxa"/>
          </w:tcPr>
          <w:p w14:paraId="52A772E6" w14:textId="77777777" w:rsidR="00A84A85" w:rsidRDefault="00E4193C" w:rsidP="00A84A85">
            <w:pPr>
              <w:spacing w:after="120" w:line="276" w:lineRule="auto"/>
              <w:jc w:val="both"/>
              <w:rPr>
                <w:rFonts w:ascii="Verdana" w:eastAsia="Calibri" w:hAnsi="Verdana" w:cs="Arial"/>
                <w:lang w:eastAsia="es-ES_tradnl"/>
              </w:rPr>
            </w:pPr>
            <w:r>
              <w:rPr>
                <w:rFonts w:ascii="Verdana" w:eastAsia="Calibri" w:hAnsi="Verdana" w:cs="Arial"/>
                <w:lang w:eastAsia="es-ES"/>
              </w:rPr>
              <w:t>De manera preliminar resulta pertinente indicar que</w:t>
            </w:r>
            <w:r>
              <w:rPr>
                <w:rFonts w:ascii="Verdana" w:eastAsia="Calibri" w:hAnsi="Verdana" w:cs="Arial"/>
                <w:lang w:eastAsia="es-ES_tradnl"/>
              </w:rPr>
              <w:t xml:space="preserve"> de </w:t>
            </w:r>
            <w:r w:rsidRPr="00134832">
              <w:rPr>
                <w:rFonts w:ascii="Verdana" w:eastAsia="Calibri" w:hAnsi="Verdana" w:cs="Arial"/>
                <w:lang w:eastAsia="es-ES_tradnl"/>
              </w:rPr>
              <w:t>la Ley 996 de 2005</w:t>
            </w:r>
            <w:r>
              <w:rPr>
                <w:rFonts w:ascii="Verdana" w:eastAsia="Calibri" w:hAnsi="Verdana" w:cs="Arial"/>
                <w:lang w:eastAsia="es-ES_tradnl"/>
              </w:rPr>
              <w:t xml:space="preserve"> </w:t>
            </w:r>
            <w:r w:rsidRPr="00134832">
              <w:rPr>
                <w:rFonts w:ascii="Verdana" w:eastAsia="Calibri" w:hAnsi="Verdana" w:cs="Arial"/>
                <w:lang w:eastAsia="es-ES_tradnl"/>
              </w:rPr>
              <w:t xml:space="preserve">se derivan dos prohibiciones diferentes aplicables a periodos preelectorales distintos. Una es la prohibición que se deriva de lo establecido en el artículo 33, respecto a las elecciones presidenciales, y otra la originada en el parágrafo del artículo 38 que aplica frente a elecciones para cualquier cargo de elección popular, lo que también incluye las presidenciales. </w:t>
            </w:r>
          </w:p>
          <w:p w14:paraId="1CF07322" w14:textId="75838C3A" w:rsidR="00E4193C" w:rsidRDefault="00E4193C" w:rsidP="00363352">
            <w:pPr>
              <w:spacing w:after="120" w:line="276" w:lineRule="auto"/>
              <w:ind w:firstLine="709"/>
              <w:jc w:val="both"/>
              <w:rPr>
                <w:rFonts w:ascii="Verdana" w:eastAsia="Calibri" w:hAnsi="Verdana" w:cs="Arial"/>
                <w:lang w:eastAsia="es-ES_tradnl"/>
              </w:rPr>
            </w:pPr>
            <w:r w:rsidRPr="00134832">
              <w:rPr>
                <w:rFonts w:ascii="Verdana" w:eastAsia="Calibri" w:hAnsi="Verdana" w:cs="Arial"/>
                <w:lang w:eastAsia="es-ES_tradnl"/>
              </w:rPr>
              <w:t>Particularmente, la restricción del artículo 33 prohíbe la contratación directa por parte de todos los entes del Estado, durante los cuatro (4) meses anteriores a la elección presidencial y hasta la realización de la elección en la segunda vuelta, en caso de que se presente.</w:t>
            </w:r>
          </w:p>
          <w:p w14:paraId="2198C81E" w14:textId="6FDDA209" w:rsidR="00E4193C" w:rsidRDefault="00E4193C" w:rsidP="00363352">
            <w:pPr>
              <w:spacing w:after="120" w:line="276" w:lineRule="auto"/>
              <w:ind w:firstLine="709"/>
              <w:jc w:val="both"/>
              <w:rPr>
                <w:rFonts w:ascii="Verdana" w:eastAsia="Calibri" w:hAnsi="Verdana" w:cs="Arial"/>
                <w:lang w:eastAsia="es-ES_tradnl"/>
              </w:rPr>
            </w:pPr>
            <w:r w:rsidRPr="00134832">
              <w:rPr>
                <w:rFonts w:ascii="Verdana" w:eastAsia="Calibri" w:hAnsi="Verdana" w:cs="Arial"/>
                <w:lang w:eastAsia="es-ES_tradnl"/>
              </w:rPr>
              <w:lastRenderedPageBreak/>
              <w:t xml:space="preserve">Sin perjuicio de lo anterior, el inciso segundo de dicha disposición establece algunas excepciones a esta prohibición, en los siguientes términos: </w:t>
            </w:r>
            <w:r>
              <w:rPr>
                <w:rFonts w:ascii="Verdana" w:eastAsia="Calibri" w:hAnsi="Verdana" w:cs="Arial"/>
                <w:lang w:eastAsia="es-ES_tradnl"/>
              </w:rPr>
              <w:t>“</w:t>
            </w:r>
            <w:r w:rsidRPr="00134832">
              <w:rPr>
                <w:rFonts w:ascii="Verdana" w:eastAsia="Calibri" w:hAnsi="Verdana" w:cs="Arial"/>
                <w:lang w:eastAsia="es-ES_tradnl"/>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lang w:eastAsia="es-ES_tradnl"/>
              </w:rPr>
              <w:t>”</w:t>
            </w:r>
            <w:r w:rsidRPr="00134832">
              <w:rPr>
                <w:rFonts w:ascii="Verdana" w:eastAsia="Calibri" w:hAnsi="Verdana" w:cs="Arial"/>
                <w:lang w:eastAsia="es-ES_tradnl"/>
              </w:rPr>
              <w:t>.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5B64044" w14:textId="65FA6B61" w:rsidR="00E4193C" w:rsidRDefault="00E4193C" w:rsidP="00363352">
            <w:pPr>
              <w:spacing w:after="120" w:line="276" w:lineRule="auto"/>
              <w:ind w:firstLine="709"/>
              <w:jc w:val="both"/>
              <w:rPr>
                <w:rFonts w:ascii="Verdana" w:eastAsia="Calibri" w:hAnsi="Verdana" w:cs="Arial"/>
                <w:lang w:eastAsia="es-ES_tradnl"/>
              </w:rPr>
            </w:pPr>
            <w:r w:rsidRPr="00134832">
              <w:rPr>
                <w:rFonts w:ascii="Verdana" w:eastAsia="Calibri" w:hAnsi="Verdana" w:cs="Arial"/>
                <w:lang w:eastAsia="es-ES_tradnl"/>
              </w:rPr>
              <w:t xml:space="preserve">Por lo demás, la prohibición del artículo 33 de la Ley de Garantías Electorales se refiere a </w:t>
            </w:r>
            <w:r>
              <w:rPr>
                <w:rFonts w:ascii="Verdana" w:eastAsia="Calibri" w:hAnsi="Verdana" w:cs="Arial"/>
                <w:lang w:eastAsia="es-ES_tradnl"/>
              </w:rPr>
              <w:t>“</w:t>
            </w:r>
            <w:r w:rsidRPr="00134832">
              <w:rPr>
                <w:rFonts w:ascii="Verdana" w:eastAsia="Calibri" w:hAnsi="Verdana" w:cs="Arial"/>
                <w:lang w:eastAsia="es-ES_tradnl"/>
              </w:rPr>
              <w:t>cualquier sistema que no implique convocatoria pública y posibilidad de pluralidad de oferentes</w:t>
            </w:r>
            <w:r>
              <w:rPr>
                <w:rFonts w:ascii="Verdana" w:eastAsia="Calibri" w:hAnsi="Verdana" w:cs="Arial"/>
                <w:lang w:eastAsia="es-ES_tradnl"/>
              </w:rPr>
              <w:t>”</w:t>
            </w:r>
            <w:r w:rsidRPr="00134832">
              <w:rPr>
                <w:rFonts w:ascii="Verdana" w:eastAsia="Calibri" w:hAnsi="Verdana" w:cs="Arial"/>
                <w:lang w:eastAsia="es-ES_tradnl"/>
              </w:rPr>
              <w:t>, por lo que excluye las demás modalidades de contratación previstas en la Ley 1150 de 2007, es decir, la licitación pública, la selección abreviada y el concurso de méritos u otros previstos en normas especiales.</w:t>
            </w:r>
          </w:p>
          <w:p w14:paraId="0873FB3D" w14:textId="0A27EA16" w:rsidR="00E4193C" w:rsidRDefault="00E4193C" w:rsidP="00363352">
            <w:pPr>
              <w:spacing w:after="120" w:line="276" w:lineRule="auto"/>
              <w:ind w:firstLine="709"/>
              <w:jc w:val="both"/>
              <w:rPr>
                <w:rFonts w:ascii="Verdana" w:eastAsia="Calibri" w:hAnsi="Verdana" w:cs="Arial"/>
                <w:lang w:eastAsia="es-ES_tradnl"/>
              </w:rPr>
            </w:pPr>
            <w:r w:rsidRPr="00134832">
              <w:rPr>
                <w:rFonts w:ascii="Verdana" w:eastAsia="Calibri" w:hAnsi="Verdana" w:cs="Arial"/>
                <w:lang w:eastAsia="es-ES_tradnl"/>
              </w:rPr>
              <w:t xml:space="preserve">Conforme a lo anterior, teniendo en cuenta que la prohibición de contratación directa de que trata el artículo precitado se extiende a todos los entes del Estado, resulta forzoso concluir que esta </w:t>
            </w:r>
            <w:r w:rsidR="009B710F" w:rsidRPr="00134832">
              <w:rPr>
                <w:rFonts w:ascii="Verdana" w:eastAsia="Calibri" w:hAnsi="Verdana" w:cs="Arial"/>
                <w:lang w:eastAsia="es-ES_tradnl"/>
              </w:rPr>
              <w:t>también es</w:t>
            </w:r>
            <w:r w:rsidRPr="00134832">
              <w:rPr>
                <w:rFonts w:ascii="Verdana" w:eastAsia="Calibri" w:hAnsi="Verdana" w:cs="Arial"/>
                <w:lang w:eastAsia="es-ES_tradnl"/>
              </w:rPr>
              <w:t xml:space="preserve"> aplicable a las empresas de servicios públicos domiciliarios de carácter oficial, privado y mixto, dada su especial naturaleza jurídica que las vincula a la Rama Ejecutiva del Poder Público.</w:t>
            </w:r>
            <w:r>
              <w:rPr>
                <w:rFonts w:ascii="Verdana" w:eastAsia="Calibri" w:hAnsi="Verdana" w:cs="Arial"/>
                <w:lang w:eastAsia="es-ES_tradnl"/>
              </w:rPr>
              <w:t xml:space="preserve"> </w:t>
            </w:r>
            <w:r w:rsidRPr="00134832">
              <w:rPr>
                <w:rFonts w:ascii="Verdana" w:eastAsia="Calibri" w:hAnsi="Verdana" w:cs="Arial"/>
                <w:lang w:eastAsia="es-ES_tradnl"/>
              </w:rPr>
              <w:t xml:space="preserve">Esto supone que tales entidades, independientemente de estar exceptuadas del Estatuto General de Contratación de la Administración Pública, al estar cobijadas por la restricción, tienen restringida la celebración de contratos en el marco de modalidades de escogencia de proveedores en las que no exista pluralidad de oferentes, durante los cuatro (4) meses previos a las elecciones presidenciales. Esto sin perjuicio de la posibilidad de que se celebren contratos de manera directa al amparo de alguna de las mencionadas restricciones o tras el adelantamiento de procedimientos con convocatorias públicas.  </w:t>
            </w:r>
            <w:r w:rsidRPr="00307BB8">
              <w:rPr>
                <w:rFonts w:ascii="Verdana" w:eastAsia="Calibri" w:hAnsi="Verdana" w:cs="Arial"/>
                <w:lang w:eastAsia="es-ES_tradnl"/>
              </w:rPr>
              <w:t xml:space="preserve"> </w:t>
            </w:r>
          </w:p>
          <w:p w14:paraId="66AEC28B" w14:textId="77777777" w:rsidR="00A84A85" w:rsidRDefault="00A84A85" w:rsidP="00363352">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w:t>
            </w:r>
            <w:r w:rsidRPr="00F10E52">
              <w:rPr>
                <w:rFonts w:ascii="Verdana" w:eastAsia="Calibri" w:hAnsi="Verdana" w:cs="Arial"/>
              </w:rPr>
              <w:lastRenderedPageBreak/>
              <w:t xml:space="preserve">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647A1013" w14:textId="77777777" w:rsidR="00E4193C" w:rsidRPr="00C71956" w:rsidRDefault="00E4193C" w:rsidP="00363352">
            <w:pPr>
              <w:pStyle w:val="Prrafodelista"/>
              <w:spacing w:after="120" w:line="276" w:lineRule="auto"/>
              <w:ind w:left="0" w:firstLine="709"/>
              <w:contextualSpacing w:val="0"/>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9C79C98" w14:textId="346157B1" w:rsidR="00E4193C" w:rsidRPr="00960F72" w:rsidRDefault="00E4193C" w:rsidP="00363352">
            <w:pPr>
              <w:spacing w:line="276" w:lineRule="auto"/>
              <w:ind w:firstLine="709"/>
              <w:jc w:val="both"/>
              <w:rPr>
                <w:rFonts w:ascii="Verdana" w:eastAsia="Calibri" w:hAnsi="Verdana" w:cs="Arial"/>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5DA72E55" w14:textId="77777777" w:rsidR="00E4193C" w:rsidRPr="00960F72" w:rsidRDefault="00E4193C" w:rsidP="00E4193C">
      <w:pPr>
        <w:tabs>
          <w:tab w:val="left" w:pos="142"/>
          <w:tab w:val="left" w:pos="284"/>
        </w:tabs>
        <w:spacing w:after="0" w:line="276" w:lineRule="auto"/>
        <w:jc w:val="both"/>
        <w:rPr>
          <w:rFonts w:ascii="Verdana" w:eastAsia="Century Gothic" w:hAnsi="Verdana" w:cs="Century Gothic"/>
          <w:b/>
          <w:bCs/>
        </w:rPr>
      </w:pPr>
    </w:p>
    <w:p w14:paraId="71A94F43" w14:textId="77777777" w:rsidR="00E4193C" w:rsidRPr="00960F72" w:rsidRDefault="00E4193C" w:rsidP="00E4193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0752BC1F" w14:textId="77777777" w:rsidR="00E4193C" w:rsidRPr="00960F72" w:rsidRDefault="00E4193C" w:rsidP="00E4193C">
      <w:pPr>
        <w:spacing w:after="0" w:line="276" w:lineRule="auto"/>
        <w:jc w:val="both"/>
        <w:rPr>
          <w:rFonts w:ascii="Verdana" w:eastAsia="Calibri" w:hAnsi="Verdana" w:cs="Arial"/>
        </w:rPr>
      </w:pPr>
    </w:p>
    <w:p w14:paraId="0C07B1A1" w14:textId="77777777" w:rsidR="00E4193C" w:rsidRPr="00960F72" w:rsidRDefault="00E4193C" w:rsidP="00E4193C">
      <w:pPr>
        <w:spacing w:after="0" w:line="276" w:lineRule="auto"/>
        <w:jc w:val="both"/>
        <w:rPr>
          <w:rFonts w:ascii="Verdana" w:eastAsia="Calibri" w:hAnsi="Verdana" w:cs="Arial"/>
        </w:rPr>
      </w:pPr>
      <w:r w:rsidRPr="00960F72">
        <w:rPr>
          <w:rFonts w:ascii="Verdana" w:eastAsia="Calibri" w:hAnsi="Verdana" w:cs="Arial"/>
        </w:rPr>
        <w:t xml:space="preserve">Lo anterior se sustenta en las siguientes consideraciones: </w:t>
      </w:r>
    </w:p>
    <w:p w14:paraId="1E362217" w14:textId="77777777" w:rsidR="00E4193C" w:rsidRPr="00960F72" w:rsidRDefault="00E4193C" w:rsidP="00E4193C">
      <w:pPr>
        <w:spacing w:after="0" w:line="276" w:lineRule="auto"/>
        <w:jc w:val="both"/>
        <w:rPr>
          <w:rFonts w:ascii="Verdana" w:eastAsia="Calibri" w:hAnsi="Verdana" w:cs="Arial"/>
        </w:rPr>
      </w:pPr>
    </w:p>
    <w:p w14:paraId="1DC69377" w14:textId="156E015D" w:rsidR="00E4193C" w:rsidRPr="00F10E52" w:rsidRDefault="00E4193C" w:rsidP="00363352">
      <w:pPr>
        <w:tabs>
          <w:tab w:val="left" w:pos="426"/>
        </w:tabs>
        <w:spacing w:after="120" w:line="276" w:lineRule="auto"/>
        <w:jc w:val="both"/>
        <w:rPr>
          <w:rFonts w:ascii="Verdana" w:eastAsia="Times New Roman" w:hAnsi="Verdana" w:cs="Arial"/>
          <w:bCs/>
          <w:lang w:eastAsia="es-CO"/>
        </w:rPr>
      </w:pPr>
      <w:r w:rsidRPr="00F10E52">
        <w:rPr>
          <w:rFonts w:ascii="Verdana" w:eastAsia="Calibri" w:hAnsi="Verdana" w:cs="Arial"/>
          <w:bCs/>
        </w:rPr>
        <w:t>El ordenamiento jurídico colombiano contempla previsiones claras para evitar la obtención de beneficios personales en asuntos propios de la administración pública</w:t>
      </w:r>
      <w:r w:rsidRPr="00F10E52">
        <w:rPr>
          <w:rFonts w:ascii="Verdana" w:eastAsia="Calibri" w:hAnsi="Verdana" w:cs="Arial"/>
          <w:bCs/>
          <w:i/>
          <w:iCs/>
        </w:rPr>
        <w:t xml:space="preserve">. </w:t>
      </w:r>
      <w:r w:rsidRPr="00F10E52">
        <w:rPr>
          <w:rFonts w:ascii="Verdana" w:eastAsia="Calibri" w:hAnsi="Verdana" w:cs="Arial"/>
          <w:bCs/>
        </w:rPr>
        <w:t xml:space="preserve">Por ejemplo, el artículo 127 de la Constitución Política establece una prohibición contractual a los servidores públicos y en cuanto a aspectos políticos </w:t>
      </w:r>
      <w:r w:rsidRPr="00F10E52">
        <w:rPr>
          <w:rFonts w:ascii="Verdana" w:eastAsia="Calibri" w:hAnsi="Verdana" w:cs="Arial"/>
          <w:bCs/>
        </w:rPr>
        <w:lastRenderedPageBreak/>
        <w:t>establece restricciones a ciertos empleados del Estado, incluso en época no electoral</w:t>
      </w:r>
      <w:r w:rsidRPr="00F10E52">
        <w:rPr>
          <w:rStyle w:val="Refdenotaalpie"/>
          <w:rFonts w:ascii="Verdana" w:eastAsia="Calibri" w:hAnsi="Verdana" w:cs="Arial"/>
          <w:bCs/>
        </w:rPr>
        <w:footnoteReference w:id="2"/>
      </w:r>
      <w:r w:rsidRPr="00F10E52">
        <w:rPr>
          <w:rFonts w:ascii="Verdana" w:eastAsia="Calibri" w:hAnsi="Verdana" w:cs="Arial"/>
          <w:bCs/>
        </w:rPr>
        <w:t xml:space="preserve">. </w:t>
      </w:r>
    </w:p>
    <w:p w14:paraId="6613FE2A" w14:textId="77777777" w:rsidR="00E4193C" w:rsidRPr="00F10E52" w:rsidRDefault="00E4193C" w:rsidP="007F5FC9">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3"/>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204983BB" w14:textId="77777777" w:rsidR="007F5FC9" w:rsidRPr="00F10E52" w:rsidRDefault="007F5FC9" w:rsidP="00363352">
      <w:pPr>
        <w:tabs>
          <w:tab w:val="left" w:pos="426"/>
        </w:tabs>
        <w:spacing w:after="0" w:line="276" w:lineRule="auto"/>
        <w:ind w:firstLine="709"/>
        <w:jc w:val="both"/>
        <w:rPr>
          <w:rFonts w:ascii="Verdana" w:eastAsia="Times New Roman" w:hAnsi="Verdana" w:cs="Arial"/>
          <w:bCs/>
          <w:lang w:eastAsia="es-CO"/>
        </w:rPr>
      </w:pPr>
    </w:p>
    <w:p w14:paraId="280A8B78" w14:textId="77777777" w:rsidR="00E4193C" w:rsidRPr="00363352" w:rsidRDefault="00E4193C" w:rsidP="00363352">
      <w:pPr>
        <w:spacing w:after="0" w:line="240" w:lineRule="auto"/>
        <w:ind w:left="709" w:right="709"/>
        <w:jc w:val="both"/>
        <w:rPr>
          <w:rFonts w:ascii="Verdana" w:eastAsia="Times New Roman" w:hAnsi="Verdana" w:cs="Arial"/>
          <w:sz w:val="20"/>
          <w:szCs w:val="20"/>
          <w:lang w:val="es-ES" w:eastAsia="es-CO"/>
        </w:rPr>
      </w:pPr>
      <w:r w:rsidRPr="00363352">
        <w:rPr>
          <w:rFonts w:ascii="Verdana" w:eastAsia="Times New Roman" w:hAnsi="Verdana" w:cs="Arial"/>
          <w:sz w:val="20"/>
          <w:szCs w:val="20"/>
          <w:lang w:val="es-ES" w:eastAsia="es-CO"/>
        </w:rPr>
        <w:t xml:space="preserve">[…] </w:t>
      </w:r>
    </w:p>
    <w:p w14:paraId="379537E3" w14:textId="77777777" w:rsidR="00E4193C" w:rsidRPr="009B20C5" w:rsidRDefault="00E4193C" w:rsidP="006507E4">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5DD50F4C" w14:textId="77777777" w:rsidR="006507E4" w:rsidRPr="006507E4" w:rsidRDefault="006507E4" w:rsidP="00363352">
      <w:pPr>
        <w:spacing w:after="0" w:line="240" w:lineRule="auto"/>
        <w:ind w:left="709" w:right="709"/>
        <w:jc w:val="both"/>
        <w:rPr>
          <w:rFonts w:ascii="Verdana" w:eastAsia="Times New Roman" w:hAnsi="Verdana" w:cs="Arial"/>
          <w:bCs/>
          <w:sz w:val="20"/>
          <w:szCs w:val="20"/>
          <w:lang w:eastAsia="es-CO"/>
        </w:rPr>
      </w:pPr>
    </w:p>
    <w:p w14:paraId="728DC944" w14:textId="77777777" w:rsidR="00E4193C" w:rsidRDefault="00E4193C" w:rsidP="006507E4">
      <w:pPr>
        <w:spacing w:after="0" w:line="240" w:lineRule="auto"/>
        <w:ind w:left="709" w:right="709"/>
        <w:jc w:val="both"/>
        <w:rPr>
          <w:rFonts w:ascii="Verdana" w:eastAsia="Times New Roman" w:hAnsi="Verdana" w:cs="Arial"/>
          <w:sz w:val="20"/>
          <w:szCs w:val="20"/>
          <w:lang w:eastAsia="es-CO"/>
        </w:rPr>
      </w:pPr>
      <w:r w:rsidRPr="009B20C5">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B20C5">
        <w:rPr>
          <w:rStyle w:val="Refdenotaalpie"/>
          <w:rFonts w:ascii="Verdana" w:hAnsi="Verdana" w:cs="Arial"/>
          <w:sz w:val="20"/>
          <w:szCs w:val="20"/>
        </w:rPr>
        <w:footnoteReference w:id="4"/>
      </w:r>
      <w:r>
        <w:rPr>
          <w:rFonts w:ascii="Verdana" w:eastAsia="Times New Roman" w:hAnsi="Verdana" w:cs="Arial"/>
          <w:bCs/>
          <w:sz w:val="20"/>
          <w:szCs w:val="20"/>
          <w:lang w:eastAsia="es-CO"/>
        </w:rPr>
        <w:t xml:space="preserve"> </w:t>
      </w:r>
      <w:r w:rsidRPr="00363352">
        <w:rPr>
          <w:rFonts w:ascii="Verdana" w:eastAsia="Times New Roman" w:hAnsi="Verdana" w:cs="Arial"/>
          <w:sz w:val="20"/>
          <w:szCs w:val="20"/>
          <w:lang w:eastAsia="es-CO"/>
        </w:rPr>
        <w:t xml:space="preserve">[…] </w:t>
      </w:r>
    </w:p>
    <w:p w14:paraId="66813CEF" w14:textId="77777777" w:rsidR="006507E4" w:rsidRPr="006507E4" w:rsidRDefault="006507E4" w:rsidP="00363352">
      <w:pPr>
        <w:spacing w:after="0" w:line="276" w:lineRule="auto"/>
        <w:ind w:left="709" w:right="709"/>
        <w:jc w:val="both"/>
        <w:rPr>
          <w:rFonts w:ascii="Verdana" w:eastAsia="Times New Roman" w:hAnsi="Verdana" w:cs="Arial"/>
          <w:bCs/>
          <w:lang w:eastAsia="es-CO"/>
        </w:rPr>
      </w:pPr>
    </w:p>
    <w:p w14:paraId="446F32AF" w14:textId="77777777" w:rsidR="00E4193C" w:rsidRPr="00F10E52" w:rsidRDefault="00E4193C" w:rsidP="006507E4">
      <w:pPr>
        <w:spacing w:after="0" w:line="276" w:lineRule="auto"/>
        <w:ind w:firstLine="709"/>
        <w:jc w:val="both"/>
        <w:rPr>
          <w:rFonts w:ascii="Verdana" w:eastAsia="Times New Roman" w:hAnsi="Verdana" w:cs="Arial"/>
          <w:bCs/>
          <w:lang w:eastAsia="es-CO"/>
        </w:rPr>
      </w:pPr>
      <w:bookmarkStart w:id="0" w:name="_Hlk78818186"/>
      <w:r w:rsidRPr="00F10E52">
        <w:rPr>
          <w:rFonts w:ascii="Verdana" w:eastAsia="Times New Roman" w:hAnsi="Verdana" w:cs="Arial"/>
          <w:bCs/>
          <w:lang w:eastAsia="es-CO"/>
        </w:rPr>
        <w:lastRenderedPageBreak/>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0"/>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6E11A953" w14:textId="77777777" w:rsidR="006507E4" w:rsidRPr="00F10E52" w:rsidRDefault="006507E4" w:rsidP="00363352">
      <w:pPr>
        <w:spacing w:after="0" w:line="276" w:lineRule="auto"/>
        <w:ind w:firstLine="709"/>
        <w:jc w:val="both"/>
        <w:rPr>
          <w:rFonts w:ascii="Verdana" w:eastAsia="Times New Roman" w:hAnsi="Verdana" w:cs="Arial"/>
          <w:bCs/>
          <w:lang w:eastAsia="es-CO"/>
        </w:rPr>
      </w:pPr>
    </w:p>
    <w:p w14:paraId="78F83C83" w14:textId="77777777" w:rsidR="00E4193C" w:rsidRPr="009B20C5" w:rsidRDefault="00E4193C" w:rsidP="00363352">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B8EEC0D" w14:textId="77777777" w:rsidR="006507E4" w:rsidRPr="009B20C5" w:rsidRDefault="006507E4" w:rsidP="00363352">
      <w:pPr>
        <w:spacing w:after="0" w:line="240" w:lineRule="auto"/>
        <w:ind w:left="709" w:right="709"/>
        <w:jc w:val="both"/>
        <w:rPr>
          <w:rFonts w:ascii="Verdana" w:eastAsia="Times New Roman" w:hAnsi="Verdana" w:cs="Arial"/>
          <w:bCs/>
          <w:sz w:val="20"/>
          <w:szCs w:val="20"/>
          <w:lang w:eastAsia="es-CO"/>
        </w:rPr>
      </w:pPr>
    </w:p>
    <w:p w14:paraId="66365EBB" w14:textId="77777777" w:rsidR="00E4193C" w:rsidRPr="009B20C5" w:rsidRDefault="00E4193C" w:rsidP="006507E4">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B20C5">
        <w:rPr>
          <w:rStyle w:val="Refdenotaalpie"/>
          <w:rFonts w:ascii="Verdana" w:eastAsia="Times New Roman" w:hAnsi="Verdana" w:cs="Arial"/>
          <w:bCs/>
          <w:sz w:val="20"/>
          <w:szCs w:val="20"/>
          <w:lang w:eastAsia="es-CO"/>
        </w:rPr>
        <w:footnoteReference w:id="7"/>
      </w:r>
      <w:r w:rsidRPr="009B20C5">
        <w:rPr>
          <w:rFonts w:ascii="Verdana" w:eastAsia="Times New Roman" w:hAnsi="Verdana" w:cs="Arial"/>
          <w:bCs/>
          <w:sz w:val="20"/>
          <w:szCs w:val="20"/>
          <w:lang w:eastAsia="es-CO"/>
        </w:rPr>
        <w:t>.</w:t>
      </w:r>
    </w:p>
    <w:p w14:paraId="3DBC95B4" w14:textId="77777777" w:rsidR="006507E4" w:rsidRPr="00363352" w:rsidRDefault="006507E4" w:rsidP="00363352">
      <w:pPr>
        <w:spacing w:after="0" w:line="276" w:lineRule="auto"/>
        <w:ind w:left="709" w:right="709"/>
        <w:jc w:val="both"/>
        <w:rPr>
          <w:rFonts w:ascii="Verdana" w:eastAsia="Times New Roman" w:hAnsi="Verdana" w:cs="Arial"/>
          <w:bCs/>
          <w:lang w:eastAsia="es-CO"/>
        </w:rPr>
      </w:pPr>
    </w:p>
    <w:p w14:paraId="4EDD1090" w14:textId="77777777" w:rsidR="00E4193C" w:rsidRPr="00F10E52" w:rsidRDefault="00E4193C" w:rsidP="00363352">
      <w:pPr>
        <w:spacing w:after="120" w:line="276" w:lineRule="auto"/>
        <w:jc w:val="both"/>
        <w:rPr>
          <w:rFonts w:ascii="Verdana" w:eastAsia="Arial" w:hAnsi="Verdana" w:cs="Arial"/>
          <w:lang w:val="es-ES" w:eastAsia="es-ES" w:bidi="es-ES"/>
        </w:rPr>
      </w:pPr>
      <w:r w:rsidRPr="00F10E52">
        <w:rPr>
          <w:rFonts w:ascii="Verdana" w:eastAsia="Times New Roman" w:hAnsi="Verdana" w:cs="Arial"/>
          <w:bCs/>
          <w:lang w:eastAsia="es-CO"/>
        </w:rPr>
        <w:lastRenderedPageBreak/>
        <w:tab/>
        <w:t>De</w:t>
      </w:r>
      <w:r w:rsidRPr="00F10E52">
        <w:rPr>
          <w:rFonts w:ascii="Verdana" w:eastAsia="Arial" w:hAnsi="Verdana" w:cs="Arial"/>
          <w:lang w:val="es-ES" w:eastAsia="es-ES" w:bidi="es-ES"/>
        </w:rPr>
        <w:t xml:space="preserve"> conformidad con lo anterior, </w:t>
      </w:r>
      <w:bookmarkStart w:id="1" w:name="_Hlk77236098"/>
      <w:r w:rsidRPr="00F10E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1"/>
    </w:p>
    <w:p w14:paraId="11D13BFB" w14:textId="77777777" w:rsidR="00E4193C" w:rsidRPr="00F10E52" w:rsidRDefault="00E4193C" w:rsidP="00363352">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p>
    <w:p w14:paraId="22F6D398" w14:textId="77777777" w:rsidR="00E4193C" w:rsidRPr="00F10E52" w:rsidRDefault="00E4193C" w:rsidP="00EB392D">
      <w:pPr>
        <w:widowControl w:val="0"/>
        <w:autoSpaceDE w:val="0"/>
        <w:autoSpaceDN w:val="0"/>
        <w:spacing w:before="120" w:after="0" w:line="276" w:lineRule="auto"/>
        <w:ind w:right="113"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9"/>
      </w:r>
      <w:r w:rsidRPr="00F10E52">
        <w:rPr>
          <w:rFonts w:ascii="Verdana" w:eastAsia="Calibri" w:hAnsi="Verdana" w:cs="Arial"/>
        </w:rPr>
        <w:t>.</w:t>
      </w:r>
      <w:r w:rsidRPr="00F10E52">
        <w:rPr>
          <w:rFonts w:ascii="Verdana" w:eastAsia="Arial" w:hAnsi="Verdana" w:cs="Arial"/>
          <w:lang w:val="es-ES" w:eastAsia="es-ES" w:bidi="es-ES"/>
        </w:rPr>
        <w:t xml:space="preserve"> La Sala de Consulta y Servicio Civil del Consejo de Estado ha </w:t>
      </w:r>
      <w:r w:rsidRPr="00F10E52">
        <w:rPr>
          <w:rFonts w:ascii="Verdana" w:eastAsia="Arial" w:hAnsi="Verdana" w:cs="Arial"/>
          <w:lang w:val="es-ES" w:eastAsia="es-ES" w:bidi="es-ES"/>
        </w:rPr>
        <w:lastRenderedPageBreak/>
        <w:t>aclarado la distinción en la aplicación de las prohibiciones de la Ley 996 de 2005, dependiendo del tipo de elección que se trate. Al respecto, considera que:</w:t>
      </w:r>
    </w:p>
    <w:p w14:paraId="66702207" w14:textId="77777777" w:rsidR="00EB392D" w:rsidRPr="00F10E52" w:rsidRDefault="00EB392D" w:rsidP="00363352">
      <w:pPr>
        <w:widowControl w:val="0"/>
        <w:autoSpaceDE w:val="0"/>
        <w:autoSpaceDN w:val="0"/>
        <w:spacing w:after="0" w:line="276" w:lineRule="auto"/>
        <w:ind w:right="113" w:firstLine="708"/>
        <w:jc w:val="both"/>
        <w:rPr>
          <w:rFonts w:ascii="Verdana" w:eastAsia="Arial" w:hAnsi="Verdana" w:cs="Arial"/>
          <w:lang w:val="es-ES" w:eastAsia="es-ES" w:bidi="es-ES"/>
        </w:rPr>
      </w:pPr>
    </w:p>
    <w:p w14:paraId="722025AA" w14:textId="77777777" w:rsidR="00E4193C" w:rsidRPr="009B20C5" w:rsidRDefault="00E4193C" w:rsidP="00363352">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4" w:name="_Hlk76109421"/>
      <w:r w:rsidRPr="009B20C5">
        <w:rPr>
          <w:rFonts w:ascii="Verdana" w:eastAsia="Arial" w:hAnsi="Verdana" w:cs="Arial"/>
          <w:sz w:val="20"/>
          <w:szCs w:val="20"/>
          <w:lang w:val="es-ES" w:eastAsia="es-ES" w:bidi="es-ES"/>
        </w:rPr>
        <w:t>se integran parcialmente</w:t>
      </w:r>
      <w:bookmarkEnd w:id="4"/>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sidRPr="009B20C5">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10"/>
      </w:r>
    </w:p>
    <w:p w14:paraId="5651D47B" w14:textId="77777777" w:rsidR="00E4193C" w:rsidRDefault="00E4193C" w:rsidP="00363352">
      <w:pPr>
        <w:spacing w:after="0" w:line="276" w:lineRule="auto"/>
        <w:ind w:firstLine="709"/>
        <w:jc w:val="both"/>
        <w:rPr>
          <w:rFonts w:ascii="Verdana" w:eastAsia="Arial" w:hAnsi="Verdana" w:cs="Arial"/>
          <w:lang w:val="es-ES" w:eastAsia="es-ES" w:bidi="es-ES"/>
        </w:rPr>
      </w:pPr>
    </w:p>
    <w:p w14:paraId="1C5157EA" w14:textId="77777777" w:rsidR="00E4193C" w:rsidRPr="00F10E52" w:rsidRDefault="00E4193C" w:rsidP="00363352">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5" w:name="_Hlk99438241"/>
      <w:r w:rsidRPr="00F10E52">
        <w:rPr>
          <w:rFonts w:ascii="Verdana" w:eastAsia="Arial" w:hAnsi="Verdana" w:cs="Arial"/>
          <w:lang w:val="es-ES" w:eastAsia="es-ES" w:bidi="es-ES"/>
        </w:rPr>
        <w:t xml:space="preserve">, </w:t>
      </w:r>
      <w:bookmarkStart w:id="6" w:name="_Hlk77236420"/>
      <w:bookmarkStart w:id="7" w:name="_Hlk78818435"/>
      <w:bookmarkStart w:id="8"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xml:space="preserve">, también se encuentra la prohibición del </w:t>
      </w:r>
      <w:r w:rsidRPr="00F10E52">
        <w:rPr>
          <w:rFonts w:ascii="Verdana" w:eastAsia="Arial" w:hAnsi="Verdana" w:cs="Arial"/>
          <w:lang w:val="es-ES" w:eastAsia="es-ES" w:bidi="es-ES"/>
        </w:rPr>
        <w:lastRenderedPageBreak/>
        <w:t>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6"/>
    </w:p>
    <w:bookmarkEnd w:id="5"/>
    <w:bookmarkEnd w:id="7"/>
    <w:p w14:paraId="77A66EB1" w14:textId="77777777" w:rsidR="00E4193C" w:rsidRPr="00F10E52" w:rsidRDefault="00E4193C" w:rsidP="00363352">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8"/>
    <w:p w14:paraId="46F16F77" w14:textId="0D4E5595" w:rsidR="00E4193C" w:rsidRPr="00F10E52" w:rsidRDefault="00E4193C" w:rsidP="00363352">
      <w:pPr>
        <w:spacing w:after="12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w:t>
      </w:r>
      <w:r w:rsidR="00D81F4B">
        <w:rPr>
          <w:rFonts w:ascii="Verdana" w:eastAsia="Arial" w:hAnsi="Verdana" w:cs="Arial"/>
          <w:lang w:val="es-ES" w:eastAsia="es-ES" w:bidi="es-ES"/>
        </w:rPr>
        <w:t>(6)</w:t>
      </w:r>
      <w:r w:rsidRPr="00F10E52">
        <w:rPr>
          <w:rFonts w:ascii="Verdana" w:eastAsia="Arial" w:hAnsi="Verdana" w:cs="Arial"/>
          <w:lang w:val="es-ES" w:eastAsia="es-ES" w:bidi="es-ES"/>
        </w:rPr>
        <w:t xml:space="preserve">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374E091D" w14:textId="77777777" w:rsidR="00E4193C" w:rsidRPr="00DC56D3" w:rsidRDefault="00E4193C" w:rsidP="00091E37">
      <w:pPr>
        <w:spacing w:before="120" w:after="0" w:line="276" w:lineRule="auto"/>
        <w:ind w:firstLine="708"/>
        <w:jc w:val="both"/>
        <w:rPr>
          <w:rFonts w:ascii="Verdana" w:eastAsia="Times New Roman" w:hAnsi="Verdana" w:cs="Arial"/>
          <w:bCs/>
          <w:lang w:eastAsia="es-CO"/>
        </w:rPr>
      </w:pPr>
      <w:r>
        <w:rPr>
          <w:rFonts w:ascii="Verdana" w:eastAsia="Times New Roman" w:hAnsi="Verdana" w:cs="Arial"/>
          <w:bCs/>
          <w:lang w:val="es-ES" w:eastAsia="es-CO"/>
        </w:rPr>
        <w:t>Por otra parte, e</w:t>
      </w:r>
      <w:r w:rsidRPr="00F10E52">
        <w:rPr>
          <w:rFonts w:ascii="Verdana" w:eastAsia="Times New Roman" w:hAnsi="Verdana" w:cs="Arial"/>
          <w:bCs/>
          <w:lang w:eastAsia="x-none"/>
        </w:rPr>
        <w:t xml:space="preserve">l ámbito material de la prohibición contenida </w:t>
      </w:r>
      <w:bookmarkStart w:id="9" w:name="_Hlk75628761"/>
      <w:r w:rsidRPr="00F10E52">
        <w:rPr>
          <w:rFonts w:ascii="Verdana" w:eastAsia="Times New Roman" w:hAnsi="Verdana" w:cs="Arial"/>
          <w:bCs/>
          <w:lang w:eastAsia="x-none"/>
        </w:rPr>
        <w:t xml:space="preserve">en el artículo 33 de la ley 996 de 2005 </w:t>
      </w:r>
      <w:bookmarkEnd w:id="9"/>
      <w:r w:rsidRPr="00F10E52">
        <w:rPr>
          <w:rFonts w:ascii="Verdana" w:eastAsia="Times New Roman" w:hAnsi="Verdana" w:cs="Arial"/>
          <w:bCs/>
          <w:lang w:eastAsia="x-none"/>
        </w:rPr>
        <w:t xml:space="preserve">está delimitado por la expresión </w:t>
      </w:r>
      <w:r>
        <w:rPr>
          <w:rFonts w:ascii="Verdana" w:eastAsia="Calibri" w:hAnsi="Verdana" w:cs="Arial"/>
          <w:bCs/>
        </w:rPr>
        <w:t>“</w:t>
      </w:r>
      <w:r w:rsidRPr="00F10E52">
        <w:rPr>
          <w:rFonts w:ascii="Verdana" w:eastAsia="Times New Roman" w:hAnsi="Verdana" w:cs="Arial"/>
          <w:bCs/>
          <w:lang w:eastAsia="x-none"/>
        </w:rPr>
        <w:t>queda prohibida la contratación directa</w:t>
      </w:r>
      <w:r>
        <w:rPr>
          <w:rFonts w:ascii="Verdana" w:hAnsi="Verdana" w:cs="Arial"/>
        </w:rPr>
        <w:t>”</w:t>
      </w:r>
      <w:r w:rsidRPr="00F10E52">
        <w:rPr>
          <w:rFonts w:ascii="Verdana" w:eastAsia="Times New Roman" w:hAnsi="Verdana" w:cs="Arial"/>
          <w:bCs/>
          <w:lang w:eastAsia="x-none"/>
        </w:rPr>
        <w:t>.</w:t>
      </w:r>
      <w:r w:rsidRPr="00F10E52">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5501F532" w14:textId="77777777" w:rsidR="00091E37" w:rsidRPr="00DC56D3" w:rsidRDefault="00091E37" w:rsidP="00363352">
      <w:pPr>
        <w:spacing w:after="0" w:line="276" w:lineRule="auto"/>
        <w:ind w:firstLine="708"/>
        <w:jc w:val="both"/>
        <w:rPr>
          <w:rFonts w:ascii="Verdana" w:eastAsia="Times New Roman" w:hAnsi="Verdana" w:cs="Arial"/>
          <w:bCs/>
          <w:lang w:eastAsia="es-CO"/>
        </w:rPr>
      </w:pPr>
    </w:p>
    <w:p w14:paraId="47C0720E" w14:textId="77777777" w:rsidR="00E4193C" w:rsidRPr="009B20C5" w:rsidRDefault="00E4193C" w:rsidP="00091E37">
      <w:pPr>
        <w:spacing w:after="0" w:line="240" w:lineRule="auto"/>
        <w:ind w:left="709" w:right="709"/>
        <w:jc w:val="both"/>
        <w:rPr>
          <w:rFonts w:ascii="Verdana" w:hAnsi="Verdana" w:cs="Arial"/>
          <w:sz w:val="20"/>
          <w:szCs w:val="20"/>
        </w:rPr>
      </w:pPr>
      <w:r w:rsidRPr="009B20C5">
        <w:rPr>
          <w:rFonts w:ascii="Verdana" w:hAnsi="Verdana" w:cs="Arial"/>
          <w:sz w:val="20"/>
          <w:szCs w:val="20"/>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w:t>
      </w:r>
      <w:r w:rsidRPr="009B20C5">
        <w:rPr>
          <w:rFonts w:ascii="Verdana" w:hAnsi="Verdana" w:cs="Arial"/>
          <w:sz w:val="20"/>
          <w:szCs w:val="20"/>
        </w:rPr>
        <w:lastRenderedPageBreak/>
        <w:t>2, ley 1150 de 2007), y cumpliendo siempre los principios que rigen la contratación pública</w:t>
      </w:r>
      <w:r w:rsidRPr="009B20C5">
        <w:rPr>
          <w:rFonts w:ascii="Verdana" w:eastAsia="Times New Roman" w:hAnsi="Verdana" w:cs="Arial"/>
          <w:sz w:val="20"/>
          <w:szCs w:val="20"/>
          <w:vertAlign w:val="superscript"/>
          <w:lang w:eastAsia="es-CO"/>
        </w:rPr>
        <w:footnoteReference w:id="11"/>
      </w:r>
      <w:r w:rsidRPr="009B20C5">
        <w:rPr>
          <w:rFonts w:ascii="Verdana" w:hAnsi="Verdana" w:cs="Arial"/>
          <w:sz w:val="20"/>
          <w:szCs w:val="20"/>
        </w:rPr>
        <w:t>.</w:t>
      </w:r>
    </w:p>
    <w:p w14:paraId="22A9E035" w14:textId="77777777" w:rsidR="00D81F4B" w:rsidRPr="009B20C5" w:rsidRDefault="00D81F4B" w:rsidP="00363352">
      <w:pPr>
        <w:spacing w:after="0" w:line="240" w:lineRule="auto"/>
        <w:ind w:left="709" w:right="709"/>
        <w:jc w:val="both"/>
        <w:rPr>
          <w:rFonts w:ascii="Verdana" w:hAnsi="Verdana" w:cs="Arial"/>
          <w:sz w:val="20"/>
          <w:szCs w:val="20"/>
        </w:rPr>
      </w:pPr>
    </w:p>
    <w:p w14:paraId="3CE458BB" w14:textId="77777777" w:rsidR="00E4193C" w:rsidRPr="009B20C5" w:rsidRDefault="00E4193C" w:rsidP="00091E37">
      <w:pPr>
        <w:spacing w:after="0" w:line="240" w:lineRule="auto"/>
        <w:ind w:left="708" w:right="709"/>
        <w:jc w:val="both"/>
        <w:rPr>
          <w:rFonts w:ascii="Verdana" w:hAnsi="Verdana" w:cs="Arial"/>
          <w:sz w:val="20"/>
          <w:szCs w:val="20"/>
        </w:rPr>
      </w:pPr>
      <w:r w:rsidRPr="009B20C5">
        <w:rPr>
          <w:rFonts w:ascii="Verdana" w:hAnsi="Verdana" w:cs="Arial"/>
          <w:sz w:val="20"/>
          <w:szCs w:val="20"/>
        </w:rPr>
        <w:t xml:space="preserve">Esta Sala ha entendido </w:t>
      </w:r>
      <w:proofErr w:type="gramStart"/>
      <w:r w:rsidRPr="009B20C5">
        <w:rPr>
          <w:rFonts w:ascii="Verdana" w:hAnsi="Verdana" w:cs="Arial"/>
          <w:sz w:val="20"/>
          <w:szCs w:val="20"/>
        </w:rPr>
        <w:t>que</w:t>
      </w:r>
      <w:proofErr w:type="gramEnd"/>
      <w:r w:rsidRPr="009B20C5">
        <w:rPr>
          <w:rFonts w:ascii="Verdana" w:hAnsi="Verdana" w:cs="Arial"/>
          <w:sz w:val="20"/>
          <w:szCs w:val="20"/>
        </w:rPr>
        <w:t xml:space="preserve"> para los efectos de la ley de garantías, y dada su finalidad, el enunciado ´contratación directa´ es sinónimo </w:t>
      </w:r>
      <w:bookmarkStart w:id="10" w:name="_Hlk75741738"/>
      <w:r w:rsidRPr="009B20C5">
        <w:rPr>
          <w:rFonts w:ascii="Verdana" w:hAnsi="Verdana" w:cs="Arial"/>
          <w:sz w:val="20"/>
          <w:szCs w:val="20"/>
        </w:rPr>
        <w:t xml:space="preserve">de cualquier sistema que no implique convocatoria pública y posibilidad de pluralidad de oferentes, </w:t>
      </w:r>
      <w:bookmarkEnd w:id="10"/>
      <w:r w:rsidRPr="009B20C5">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9B20C5">
        <w:rPr>
          <w:rFonts w:ascii="Verdana" w:eastAsia="Times New Roman" w:hAnsi="Verdana" w:cs="Arial"/>
          <w:sz w:val="20"/>
          <w:szCs w:val="20"/>
          <w:vertAlign w:val="superscript"/>
        </w:rPr>
        <w:footnoteReference w:id="12"/>
      </w:r>
      <w:r w:rsidRPr="009B20C5">
        <w:rPr>
          <w:rFonts w:ascii="Verdana" w:eastAsia="Times New Roman" w:hAnsi="Verdana" w:cs="Arial"/>
          <w:sz w:val="20"/>
          <w:szCs w:val="20"/>
          <w:vertAlign w:val="superscript"/>
        </w:rPr>
        <w:t>.</w:t>
      </w:r>
      <w:r w:rsidRPr="009B20C5">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9B20C5">
        <w:rPr>
          <w:rFonts w:ascii="Verdana" w:eastAsia="Times New Roman" w:hAnsi="Verdana" w:cs="Arial"/>
          <w:sz w:val="20"/>
          <w:szCs w:val="20"/>
          <w:vertAlign w:val="superscript"/>
          <w:lang w:eastAsia="es-CO"/>
        </w:rPr>
        <w:footnoteReference w:id="13"/>
      </w:r>
      <w:r w:rsidRPr="009B20C5">
        <w:rPr>
          <w:rFonts w:ascii="Verdana" w:hAnsi="Verdana" w:cs="Arial"/>
          <w:sz w:val="20"/>
          <w:szCs w:val="20"/>
        </w:rPr>
        <w:t xml:space="preserve"> .</w:t>
      </w:r>
    </w:p>
    <w:p w14:paraId="668BA23B" w14:textId="77777777" w:rsidR="00D81F4B" w:rsidRPr="00363352" w:rsidRDefault="00D81F4B" w:rsidP="00363352">
      <w:pPr>
        <w:spacing w:after="0" w:line="276" w:lineRule="auto"/>
        <w:ind w:left="708" w:right="709"/>
        <w:jc w:val="both"/>
        <w:rPr>
          <w:rFonts w:ascii="Verdana" w:hAnsi="Verdana" w:cs="Arial"/>
        </w:rPr>
      </w:pPr>
    </w:p>
    <w:p w14:paraId="1F2CC904" w14:textId="261E968C" w:rsidR="00E4193C" w:rsidRPr="00F10E52" w:rsidRDefault="00E4193C" w:rsidP="00363352">
      <w:pPr>
        <w:spacing w:after="120" w:line="276" w:lineRule="auto"/>
        <w:ind w:firstLine="709"/>
        <w:jc w:val="both"/>
        <w:rPr>
          <w:rFonts w:ascii="Verdana" w:eastAsia="Times New Roman" w:hAnsi="Verdana" w:cs="Arial"/>
          <w:bCs/>
          <w:lang w:eastAsia="x-none"/>
        </w:rPr>
      </w:pPr>
      <w:bookmarkStart w:id="12" w:name="_Hlk94521748"/>
      <w:r w:rsidRPr="00F10E52">
        <w:rPr>
          <w:rFonts w:ascii="Verdana" w:eastAsia="Times New Roman" w:hAnsi="Verdana" w:cs="Arial"/>
          <w:lang w:eastAsia="x-none"/>
        </w:rPr>
        <w:t xml:space="preserve">De conformidad con el citado concepto, </w:t>
      </w:r>
      <w:bookmarkStart w:id="13" w:name="_Hlk78818702"/>
      <w:r w:rsidRPr="00F10E52">
        <w:rPr>
          <w:rFonts w:ascii="Verdana" w:eastAsia="Times New Roman" w:hAnsi="Verdana" w:cs="Arial"/>
          <w:lang w:eastAsia="x-none"/>
        </w:rPr>
        <w:t xml:space="preserve">la prohibición del artículo 33 de la Ley de Garantías Electorales se refiere a </w:t>
      </w:r>
      <w:bookmarkStart w:id="14" w:name="_Hlk74294635"/>
      <w:r w:rsidR="00D81F4B">
        <w:rPr>
          <w:rFonts w:ascii="Verdana" w:eastAsia="Times New Roman" w:hAnsi="Verdana" w:cs="Arial"/>
          <w:lang w:eastAsia="en-GB"/>
        </w:rPr>
        <w:t>“</w:t>
      </w:r>
      <w:bookmarkEnd w:id="14"/>
      <w:r w:rsidRPr="00F10E52">
        <w:rPr>
          <w:rFonts w:ascii="Verdana" w:eastAsia="Times New Roman" w:hAnsi="Verdana" w:cs="Arial"/>
          <w:lang w:eastAsia="x-none"/>
        </w:rPr>
        <w:t>cualquier sistema que no implique convocatoria pública y posibilidad de pluralidad de oferentes</w:t>
      </w:r>
      <w:bookmarkStart w:id="15" w:name="_Hlk74404754"/>
      <w:r w:rsidR="0023762D">
        <w:rPr>
          <w:rFonts w:ascii="Verdana" w:eastAsia="Times New Roman" w:hAnsi="Verdana" w:cs="Arial"/>
          <w:lang w:eastAsia="en-GB"/>
        </w:rPr>
        <w:t>”</w:t>
      </w:r>
      <w:bookmarkEnd w:id="15"/>
      <w:r w:rsidRPr="00F10E52">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12"/>
      <w:bookmarkEnd w:id="13"/>
      <w:r w:rsidRPr="00F10E52">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10E52">
        <w:rPr>
          <w:rFonts w:ascii="Verdana" w:eastAsia="Times New Roman" w:hAnsi="Verdana" w:cs="Arial"/>
          <w:vertAlign w:val="superscript"/>
          <w:lang w:val="en-GB" w:eastAsia="x-none"/>
        </w:rPr>
        <w:footnoteReference w:id="14"/>
      </w:r>
      <w:r w:rsidRPr="00F10E52">
        <w:rPr>
          <w:rFonts w:ascii="Verdana" w:eastAsia="Times New Roman" w:hAnsi="Verdana" w:cs="Arial"/>
          <w:lang w:eastAsia="x-none"/>
        </w:rPr>
        <w:t xml:space="preserve"> y sistematizó las causales de contratación directa</w:t>
      </w:r>
      <w:r w:rsidRPr="00F10E52">
        <w:rPr>
          <w:rFonts w:ascii="Verdana" w:eastAsia="Times New Roman" w:hAnsi="Verdana" w:cs="Arial"/>
          <w:vertAlign w:val="superscript"/>
          <w:lang w:val="en-GB" w:eastAsia="x-none"/>
        </w:rPr>
        <w:footnoteReference w:id="15"/>
      </w:r>
      <w:r w:rsidRPr="00F10E52">
        <w:rPr>
          <w:rFonts w:ascii="Verdana" w:eastAsia="Times New Roman" w:hAnsi="Verdana" w:cs="Arial"/>
          <w:lang w:eastAsia="x-none"/>
        </w:rPr>
        <w:t xml:space="preserve">. </w:t>
      </w:r>
    </w:p>
    <w:p w14:paraId="14285215" w14:textId="04AC96A1" w:rsidR="00E4193C" w:rsidRPr="00F10E52" w:rsidRDefault="00E4193C" w:rsidP="00363352">
      <w:pPr>
        <w:spacing w:after="120" w:line="276" w:lineRule="auto"/>
        <w:ind w:firstLine="709"/>
        <w:jc w:val="both"/>
        <w:rPr>
          <w:rFonts w:ascii="Verdana" w:eastAsia="Times New Roman" w:hAnsi="Verdana" w:cs="Arial"/>
          <w:lang w:eastAsia="x-none"/>
        </w:rPr>
      </w:pPr>
      <w:r w:rsidRPr="00F10E52">
        <w:rPr>
          <w:rFonts w:ascii="Verdana" w:eastAsia="Times New Roman" w:hAnsi="Verdana" w:cs="Arial"/>
          <w:lang w:eastAsia="x-none"/>
        </w:rPr>
        <w:t xml:space="preserve">De esta forma, se ha depurado la noción de </w:t>
      </w:r>
      <w:r w:rsidR="002B3D90">
        <w:rPr>
          <w:rFonts w:ascii="Verdana" w:eastAsia="Times New Roman" w:hAnsi="Verdana" w:cs="Arial"/>
          <w:lang w:eastAsia="en-GB"/>
        </w:rPr>
        <w:t>“</w:t>
      </w:r>
      <w:r w:rsidRPr="00F10E52">
        <w:rPr>
          <w:rFonts w:ascii="Verdana" w:eastAsia="Times New Roman" w:hAnsi="Verdana" w:cs="Arial"/>
          <w:lang w:eastAsia="x-none"/>
        </w:rPr>
        <w:t>contratación directa</w:t>
      </w:r>
      <w:r w:rsidR="002B3D90">
        <w:rPr>
          <w:rFonts w:ascii="Verdana" w:eastAsia="Times New Roman" w:hAnsi="Verdana" w:cs="Arial"/>
          <w:lang w:eastAsia="en-GB"/>
        </w:rPr>
        <w:t>”</w:t>
      </w:r>
      <w:r w:rsidRPr="00F10E52">
        <w:rPr>
          <w:rFonts w:ascii="Verdana" w:eastAsia="Times New Roman" w:hAnsi="Verdana" w:cs="Arial"/>
          <w:lang w:eastAsia="x-none"/>
        </w:rPr>
        <w:t xml:space="preserve">, precisando el Consejo de Estado –en el concepto citado– que, </w:t>
      </w:r>
      <w:r w:rsidR="002B3D90">
        <w:rPr>
          <w:rFonts w:ascii="Verdana" w:eastAsia="Times New Roman" w:hAnsi="Verdana" w:cs="Arial"/>
          <w:lang w:eastAsia="x-none"/>
        </w:rPr>
        <w:t>“</w:t>
      </w:r>
      <w:r w:rsidRPr="00F10E52">
        <w:rPr>
          <w:rFonts w:ascii="Verdana" w:eastAsia="Times New Roman" w:hAnsi="Verdana" w:cs="Arial"/>
          <w:lang w:eastAsia="x-none"/>
        </w:rPr>
        <w:t xml:space="preserve">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w:t>
      </w:r>
      <w:r w:rsidRPr="00F10E52">
        <w:rPr>
          <w:rFonts w:ascii="Verdana" w:eastAsia="Times New Roman" w:hAnsi="Verdana" w:cs="Arial"/>
          <w:lang w:eastAsia="x-none"/>
        </w:rPr>
        <w:lastRenderedPageBreak/>
        <w:t>General de la Contratación de la Administración Pública, sino también en leyes especiales e, incluso, en el derecho privado</w:t>
      </w:r>
      <w:r w:rsidRPr="00F10E52">
        <w:rPr>
          <w:rFonts w:ascii="Verdana" w:eastAsia="Times New Roman" w:hAnsi="Verdana" w:cs="Arial"/>
          <w:vertAlign w:val="superscript"/>
          <w:lang w:val="en-GB" w:eastAsia="x-none"/>
        </w:rPr>
        <w:footnoteReference w:id="16"/>
      </w:r>
      <w:r w:rsidRPr="00F10E52">
        <w:rPr>
          <w:rFonts w:ascii="Verdana" w:eastAsia="Times New Roman" w:hAnsi="Verdana" w:cs="Arial"/>
          <w:lang w:eastAsia="x-none"/>
        </w:rPr>
        <w:t>, han establecido sistemas de contratación que implican convocatoria pública y participación de varios oferentes</w:t>
      </w:r>
      <w:r w:rsidR="002B3D90">
        <w:rPr>
          <w:rFonts w:ascii="Verdana" w:eastAsia="Times New Roman" w:hAnsi="Verdana" w:cs="Arial"/>
          <w:lang w:eastAsia="en-GB"/>
        </w:rPr>
        <w:t>”</w:t>
      </w:r>
      <w:r w:rsidRPr="00F10E52">
        <w:rPr>
          <w:rFonts w:ascii="Verdana" w:eastAsia="Times New Roman" w:hAnsi="Verdana" w:cs="Arial"/>
          <w:lang w:eastAsia="x-none"/>
        </w:rPr>
        <w:t xml:space="preserve">. </w:t>
      </w:r>
    </w:p>
    <w:p w14:paraId="69E1A8DF" w14:textId="7054F4B1" w:rsidR="00E4193C" w:rsidRPr="00F10E52" w:rsidRDefault="00E4193C" w:rsidP="00363352">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x-none"/>
        </w:rPr>
        <w:t>E</w:t>
      </w:r>
      <w:r w:rsidRPr="00F10E52">
        <w:rPr>
          <w:rFonts w:ascii="Verdana" w:eastAsia="Times New Roman" w:hAnsi="Verdana" w:cs="Arial"/>
          <w:lang w:eastAsia="x-none"/>
        </w:rPr>
        <w:t xml:space="preserve">n efecto, vale la pena mencionar que, </w:t>
      </w:r>
      <w:bookmarkStart w:id="17" w:name="_Hlk75636073"/>
      <w:r w:rsidRPr="00F10E52">
        <w:rPr>
          <w:rFonts w:ascii="Verdana" w:eastAsia="Times New Roman"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00B842ED">
        <w:rPr>
          <w:rFonts w:ascii="Verdana" w:eastAsia="Times New Roman" w:hAnsi="Verdana" w:cs="Arial"/>
          <w:lang w:eastAsia="x-none"/>
        </w:rPr>
        <w:t>“</w:t>
      </w:r>
      <w:r w:rsidRPr="00F10E52">
        <w:rPr>
          <w:rFonts w:ascii="Verdana" w:eastAsia="Times New Roman" w:hAnsi="Verdana" w:cs="Arial"/>
          <w:lang w:eastAsia="x-none"/>
        </w:rPr>
        <w:t>contratación directa</w:t>
      </w:r>
      <w:r w:rsidR="00B842ED">
        <w:rPr>
          <w:rFonts w:ascii="Verdana" w:eastAsia="Times New Roman" w:hAnsi="Verdana" w:cs="Arial"/>
          <w:lang w:eastAsia="x-none"/>
        </w:rPr>
        <w:t>”</w:t>
      </w:r>
      <w:r w:rsidRPr="00F10E52">
        <w:rPr>
          <w:rFonts w:ascii="Verdana" w:eastAsia="Times New Roman" w:hAnsi="Verdana" w:cs="Arial"/>
          <w:lang w:eastAsia="x-none"/>
        </w:rPr>
        <w:t>, es que la convocatoria para inscribirse en forma previa se haga de manera pública, y que se permita la participación de una pluralidad de oferentes</w:t>
      </w:r>
      <w:bookmarkEnd w:id="17"/>
      <w:r w:rsidRPr="00F10E52">
        <w:rPr>
          <w:rFonts w:ascii="Verdana" w:eastAsia="Times New Roman" w:hAnsi="Verdana" w:cs="Arial"/>
          <w:vertAlign w:val="superscript"/>
          <w:lang w:eastAsia="x-none"/>
        </w:rPr>
        <w:footnoteReference w:id="17"/>
      </w:r>
      <w:r w:rsidRPr="00F10E52">
        <w:rPr>
          <w:rFonts w:ascii="Verdana" w:eastAsia="Times New Roman" w:hAnsi="Verdana" w:cs="Arial"/>
          <w:lang w:eastAsia="x-none"/>
        </w:rPr>
        <w:t xml:space="preserve">. </w:t>
      </w:r>
    </w:p>
    <w:p w14:paraId="11186A87" w14:textId="4AED02FE" w:rsidR="00E4193C" w:rsidRPr="00F10E52" w:rsidRDefault="00E4193C" w:rsidP="00363352">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w:t>
      </w:r>
      <w:r w:rsidR="00B842ED">
        <w:rPr>
          <w:rFonts w:ascii="Verdana" w:eastAsia="Times New Roman" w:hAnsi="Verdana" w:cs="Arial"/>
          <w:bCs/>
          <w:lang w:eastAsia="es-CO"/>
        </w:rPr>
        <w:t xml:space="preserve"> Electorales</w:t>
      </w:r>
      <w:r w:rsidRPr="00F10E52">
        <w:rPr>
          <w:rFonts w:ascii="Verdana" w:eastAsia="Times New Roman" w:hAnsi="Verdana" w:cs="Arial"/>
          <w:bCs/>
          <w:lang w:eastAsia="es-CO"/>
        </w:rPr>
        <w:t xml:space="preserve">,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00B842ED">
        <w:rPr>
          <w:rFonts w:ascii="Verdana" w:eastAsia="Times New Roman" w:hAnsi="Verdana" w:cs="Arial"/>
          <w:bCs/>
          <w:lang w:eastAsia="es-CO"/>
        </w:rPr>
        <w:t>“</w:t>
      </w:r>
      <w:r w:rsidRPr="00F10E52">
        <w:rPr>
          <w:rFonts w:ascii="Verdana" w:eastAsia="Times New Roman" w:hAnsi="Verdana" w:cs="Arial"/>
          <w:bCs/>
          <w:lang w:eastAsia="es-CO"/>
        </w:rPr>
        <w:t>contratación directa</w:t>
      </w:r>
      <w:r w:rsidR="00B842ED">
        <w:rPr>
          <w:rFonts w:ascii="Verdana" w:eastAsia="Times New Roman" w:hAnsi="Verdana" w:cs="Arial"/>
          <w:bCs/>
          <w:lang w:eastAsia="es-CO"/>
        </w:rPr>
        <w:t>”</w:t>
      </w:r>
      <w:r w:rsidRPr="00F10E52">
        <w:rPr>
          <w:rFonts w:ascii="Verdana" w:eastAsia="Times New Roman" w:hAnsi="Verdana" w:cs="Arial"/>
          <w:bCs/>
          <w:lang w:eastAsia="es-CO"/>
        </w:rPr>
        <w:t>.</w:t>
      </w:r>
    </w:p>
    <w:p w14:paraId="70BB65A7" w14:textId="585858A5" w:rsidR="00E4193C" w:rsidRPr="00F10E52" w:rsidRDefault="00E4193C" w:rsidP="00363352">
      <w:pPr>
        <w:spacing w:after="120" w:line="276" w:lineRule="auto"/>
        <w:ind w:firstLine="709"/>
        <w:jc w:val="both"/>
        <w:rPr>
          <w:rFonts w:ascii="Verdana" w:eastAsia="Times New Roman" w:hAnsi="Verdana" w:cs="Arial"/>
          <w:bCs/>
          <w:lang w:eastAsia="x-none"/>
        </w:rPr>
      </w:pPr>
      <w:bookmarkStart w:id="18" w:name="_Hlk78818796"/>
      <w:r w:rsidRPr="00F10E52">
        <w:rPr>
          <w:rFonts w:ascii="Verdana" w:eastAsia="Times New Roman" w:hAnsi="Verdana" w:cs="Arial"/>
          <w:bCs/>
          <w:lang w:eastAsia="x-none"/>
        </w:rPr>
        <w:t xml:space="preserve"> Así las cosas, ha de entenderse que, para los efectos de la Ley de Garantías Electorales y, en particular, para la prohibición o restricción temporal contenida en su artículo 33, </w:t>
      </w:r>
      <w:r w:rsidR="00B842ED">
        <w:rPr>
          <w:rFonts w:ascii="Verdana" w:eastAsia="Times New Roman" w:hAnsi="Verdana" w:cs="Arial"/>
          <w:bCs/>
          <w:lang w:eastAsia="x-none"/>
        </w:rPr>
        <w:t>“</w:t>
      </w:r>
      <w:r w:rsidRPr="00F10E52">
        <w:rPr>
          <w:rFonts w:ascii="Verdana" w:eastAsia="Times New Roman" w:hAnsi="Verdana" w:cs="Arial"/>
          <w:bCs/>
          <w:lang w:eastAsia="x-none"/>
        </w:rPr>
        <w:t>contratación directa</w:t>
      </w:r>
      <w:r w:rsidR="00B842ED">
        <w:rPr>
          <w:rFonts w:ascii="Verdana" w:eastAsia="Times New Roman" w:hAnsi="Verdana" w:cs="Arial"/>
          <w:bCs/>
          <w:lang w:eastAsia="x-none"/>
        </w:rPr>
        <w:t>”</w:t>
      </w:r>
      <w:r w:rsidRPr="00F10E52">
        <w:rPr>
          <w:rFonts w:ascii="Verdana" w:eastAsia="Times New Roman" w:hAnsi="Verdana" w:cs="Arial"/>
          <w:bCs/>
          <w:lang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10E52">
        <w:rPr>
          <w:rFonts w:ascii="Verdana" w:eastAsia="Times New Roman" w:hAnsi="Verdana" w:cs="Arial"/>
          <w:vertAlign w:val="superscript"/>
          <w:lang w:eastAsia="x-none"/>
        </w:rPr>
        <w:footnoteReference w:id="18"/>
      </w:r>
      <w:r w:rsidRPr="00F10E52">
        <w:rPr>
          <w:rFonts w:ascii="Verdana" w:eastAsia="Times New Roman" w:hAnsi="Verdana" w:cs="Arial"/>
          <w:bCs/>
          <w:lang w:eastAsia="x-none"/>
        </w:rPr>
        <w:t>.</w:t>
      </w:r>
      <w:r w:rsidRPr="00F10E52">
        <w:rPr>
          <w:rFonts w:ascii="Verdana" w:eastAsia="Times New Roman" w:hAnsi="Verdana" w:cs="Arial"/>
          <w:vertAlign w:val="superscript"/>
          <w:lang w:eastAsia="x-none"/>
        </w:rPr>
        <w:t xml:space="preserve"> </w:t>
      </w:r>
    </w:p>
    <w:bookmarkEnd w:id="18"/>
    <w:p w14:paraId="6037A2BD" w14:textId="48EA2BB9" w:rsidR="00E4193C" w:rsidRPr="00F10E52" w:rsidRDefault="00E4193C" w:rsidP="00363352">
      <w:pPr>
        <w:spacing w:after="120" w:line="276" w:lineRule="auto"/>
        <w:ind w:firstLine="709"/>
        <w:jc w:val="both"/>
        <w:rPr>
          <w:rFonts w:ascii="Verdana" w:eastAsia="Times New Roman" w:hAnsi="Verdana" w:cs="Arial"/>
          <w:lang w:eastAsia="x-none"/>
        </w:rPr>
      </w:pPr>
      <w:r w:rsidRPr="00F10E52">
        <w:rPr>
          <w:rFonts w:ascii="Verdana" w:eastAsia="Times New Roman" w:hAnsi="Verdana" w:cs="Arial"/>
          <w:bCs/>
          <w:lang w:eastAsia="x-none"/>
        </w:rPr>
        <w:lastRenderedPageBreak/>
        <w:t xml:space="preserve">De lo anterior se desprende que la restricción aplica, sin perjuicio de las excepciones establecidas en la misma </w:t>
      </w:r>
      <w:r w:rsidR="00943F3F" w:rsidRPr="00F10E52">
        <w:rPr>
          <w:rFonts w:ascii="Verdana" w:eastAsia="Times New Roman" w:hAnsi="Verdana" w:cs="Arial"/>
          <w:bCs/>
          <w:lang w:eastAsia="x-none"/>
        </w:rPr>
        <w:t>Ley</w:t>
      </w:r>
      <w:r w:rsidRPr="00F10E52">
        <w:rPr>
          <w:rFonts w:ascii="Verdana" w:eastAsia="Times New Roman" w:hAnsi="Verdana" w:cs="Arial"/>
          <w:bCs/>
          <w:lang w:eastAsia="x-none"/>
        </w:rPr>
        <w:t>, para celebrar cualquier contrato de forma directa, esto es, sin que exista un proceso abierto y competitivo.</w:t>
      </w:r>
      <w:r w:rsidRPr="00F10E52">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516B1C3A" w14:textId="77777777" w:rsidR="00E4193C" w:rsidRPr="00F10E52" w:rsidRDefault="00E4193C" w:rsidP="00363352">
      <w:pPr>
        <w:spacing w:after="120" w:line="276" w:lineRule="auto"/>
        <w:ind w:firstLine="709"/>
        <w:jc w:val="both"/>
        <w:rPr>
          <w:rFonts w:ascii="Verdana" w:eastAsia="Times New Roman" w:hAnsi="Verdana" w:cs="Arial"/>
          <w:bCs/>
          <w:lang w:eastAsia="x-none"/>
        </w:rPr>
      </w:pPr>
      <w:bookmarkStart w:id="19" w:name="_Hlk77237094"/>
      <w:r w:rsidRPr="00F10E52">
        <w:rPr>
          <w:rFonts w:ascii="Verdana" w:eastAsia="Times New Roman" w:hAnsi="Verdana" w:cs="Arial"/>
          <w:bCs/>
          <w:lang w:eastAsia="es-CO"/>
        </w:rPr>
        <w:t xml:space="preserve">Como en otras oportunidades lo ha manifestado esta Agencia, las prórrogas, modificaciones o adiciones de los contratos suscritos antes de la </w:t>
      </w:r>
      <w:proofErr w:type="gramStart"/>
      <w:r w:rsidRPr="00F10E52">
        <w:rPr>
          <w:rFonts w:ascii="Verdana" w:eastAsia="Times New Roman" w:hAnsi="Verdana" w:cs="Arial"/>
          <w:bCs/>
          <w:lang w:eastAsia="es-CO"/>
        </w:rPr>
        <w:t>entrada en vigencia</w:t>
      </w:r>
      <w:proofErr w:type="gramEnd"/>
      <w:r w:rsidRPr="00F10E52">
        <w:rPr>
          <w:rFonts w:ascii="Verdana" w:eastAsia="Times New Roman" w:hAnsi="Verdana" w:cs="Arial"/>
          <w:bCs/>
          <w:lang w:eastAsia="es-CO"/>
        </w:rPr>
        <w:t xml:space="preserve"> de las prohibiciones anotadas, así como la cesión de </w:t>
      </w:r>
      <w:proofErr w:type="gramStart"/>
      <w:r w:rsidRPr="00F10E52">
        <w:rPr>
          <w:rFonts w:ascii="Verdana" w:eastAsia="Times New Roman" w:hAnsi="Verdana" w:cs="Arial"/>
          <w:bCs/>
          <w:lang w:eastAsia="es-CO"/>
        </w:rPr>
        <w:t>los mismos</w:t>
      </w:r>
      <w:proofErr w:type="gramEnd"/>
      <w:r w:rsidRPr="00F10E52">
        <w:rPr>
          <w:rFonts w:ascii="Verdana" w:eastAsia="Times New Roman" w:hAnsi="Verdana" w:cs="Arial"/>
          <w:bCs/>
          <w:lang w:eastAsia="es-CO"/>
        </w:rPr>
        <w:t>, pueden tener lugar en el período de aplicación de la Ley de Garantías, sin que ello haga nugatoria la restricción de la contratación directa y siempre que cumplan los principios de planeación, transparencia y responsabilidad.</w:t>
      </w:r>
      <w:bookmarkEnd w:id="19"/>
    </w:p>
    <w:p w14:paraId="1526C8AC" w14:textId="71D7561A" w:rsidR="00E4193C" w:rsidRPr="00F10E52" w:rsidRDefault="00E4193C" w:rsidP="00363352">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x-none"/>
        </w:rPr>
        <w:t>De otro lado, las excepciones a la restricción prevista en la Ley de Garantías</w:t>
      </w:r>
      <w:r w:rsidR="001A64EA">
        <w:rPr>
          <w:rFonts w:ascii="Verdana" w:eastAsia="Times New Roman" w:hAnsi="Verdana" w:cs="Arial"/>
          <w:bCs/>
          <w:lang w:eastAsia="x-none"/>
        </w:rPr>
        <w:t xml:space="preserve"> Electorales</w:t>
      </w:r>
      <w:r w:rsidRPr="00F10E52">
        <w:rPr>
          <w:rFonts w:ascii="Verdana" w:eastAsia="Times New Roman" w:hAnsi="Verdana" w:cs="Arial"/>
          <w:bCs/>
          <w:lang w:eastAsia="x-none"/>
        </w:rPr>
        <w:t>,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w:t>
      </w:r>
      <w:r w:rsidR="006D6488">
        <w:rPr>
          <w:rFonts w:ascii="Verdana" w:eastAsia="Times New Roman" w:hAnsi="Verdana" w:cs="Arial"/>
          <w:bCs/>
          <w:lang w:eastAsia="x-none"/>
        </w:rPr>
        <w:t>:</w:t>
      </w:r>
      <w:r w:rsidRPr="00F10E52">
        <w:rPr>
          <w:rFonts w:ascii="Verdana" w:eastAsia="Times New Roman" w:hAnsi="Verdana" w:cs="Arial"/>
          <w:bCs/>
          <w:lang w:eastAsia="x-none"/>
        </w:rPr>
        <w:t xml:space="preserve"> i) la defensa y seguridad del Estado; </w:t>
      </w:r>
      <w:proofErr w:type="spellStart"/>
      <w:r w:rsidRPr="00F10E52">
        <w:rPr>
          <w:rFonts w:ascii="Verdana" w:eastAsia="Times New Roman" w:hAnsi="Verdana" w:cs="Arial"/>
          <w:bCs/>
          <w:lang w:eastAsia="x-none"/>
        </w:rPr>
        <w:t>ii</w:t>
      </w:r>
      <w:proofErr w:type="spellEnd"/>
      <w:r w:rsidRPr="00F10E52">
        <w:rPr>
          <w:rFonts w:ascii="Verdana" w:eastAsia="Times New Roman" w:hAnsi="Verdana" w:cs="Arial"/>
          <w:bCs/>
          <w:lang w:eastAsia="x-none"/>
        </w:rPr>
        <w:t xml:space="preserve">) los contratos de crédito público; </w:t>
      </w:r>
      <w:proofErr w:type="spellStart"/>
      <w:r w:rsidRPr="00F10E52">
        <w:rPr>
          <w:rFonts w:ascii="Verdana" w:eastAsia="Times New Roman" w:hAnsi="Verdana" w:cs="Arial"/>
          <w:bCs/>
          <w:lang w:eastAsia="x-none"/>
        </w:rPr>
        <w:t>iii</w:t>
      </w:r>
      <w:proofErr w:type="spellEnd"/>
      <w:r w:rsidRPr="00F10E52">
        <w:rPr>
          <w:rFonts w:ascii="Verdana" w:eastAsia="Times New Roman" w:hAnsi="Verdana" w:cs="Arial"/>
          <w:bCs/>
          <w:lang w:eastAsia="x-none"/>
        </w:rPr>
        <w:t xml:space="preserve">) los requeridos para cubrir las emergencias educativas, sanitarias y desastres; </w:t>
      </w:r>
      <w:proofErr w:type="spellStart"/>
      <w:r w:rsidRPr="00F10E52">
        <w:rPr>
          <w:rFonts w:ascii="Verdana" w:eastAsia="Times New Roman" w:hAnsi="Verdana" w:cs="Arial"/>
          <w:bCs/>
          <w:lang w:eastAsia="x-none"/>
        </w:rPr>
        <w:t>iv</w:t>
      </w:r>
      <w:proofErr w:type="spellEnd"/>
      <w:r w:rsidRPr="00F10E52">
        <w:rPr>
          <w:rFonts w:ascii="Verdana" w:eastAsia="Times New Roman" w:hAnsi="Verdana" w:cs="Arial"/>
          <w:bCs/>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10E52">
        <w:rPr>
          <w:rFonts w:ascii="Verdana" w:eastAsia="Times New Roman" w:hAnsi="Verdana" w:cs="Arial"/>
          <w:bCs/>
          <w:lang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BED1BAB" w14:textId="77777777" w:rsidR="00E4193C" w:rsidRPr="00F10E52" w:rsidRDefault="00E4193C" w:rsidP="00363352">
      <w:pPr>
        <w:spacing w:after="120" w:line="276" w:lineRule="auto"/>
        <w:ind w:firstLine="709"/>
        <w:jc w:val="both"/>
        <w:rPr>
          <w:rFonts w:ascii="Verdana" w:eastAsia="Times New Roman" w:hAnsi="Verdana" w:cs="Arial"/>
          <w:bCs/>
          <w:lang w:eastAsia="x-none"/>
        </w:rPr>
      </w:pPr>
      <w:r w:rsidRPr="00F10E52">
        <w:rPr>
          <w:rFonts w:ascii="Verdana" w:eastAsia="Times New Roman" w:hAnsi="Verdana" w:cs="Arial"/>
          <w:bCs/>
          <w:lang w:eastAsia="x-none"/>
        </w:rPr>
        <w:t>En esta labor es importante tener en cuenta, como lo anotó la Corte Constitucional, en Sentencia C-1153 de noviembre 11 de 2005</w:t>
      </w:r>
      <w:r w:rsidRPr="00F10E52">
        <w:rPr>
          <w:rStyle w:val="Refdenotaalpie"/>
          <w:rFonts w:ascii="Verdana" w:hAnsi="Verdana"/>
        </w:rPr>
        <w:t>,</w:t>
      </w:r>
      <w:r w:rsidRPr="00F10E52">
        <w:rPr>
          <w:rFonts w:ascii="Verdana" w:eastAsia="Times New Roman" w:hAnsi="Verdana" w:cs="Arial"/>
          <w:bCs/>
          <w:lang w:eastAsia="x-none"/>
        </w:rPr>
        <w:t xml:space="preserve"> </w:t>
      </w:r>
      <w:bookmarkStart w:id="20" w:name="_Hlk74309042"/>
      <w:r w:rsidRPr="00F10E52">
        <w:rPr>
          <w:rFonts w:ascii="Verdana" w:eastAsia="Times New Roman" w:hAnsi="Verdana" w:cs="Arial"/>
          <w:bCs/>
          <w:lang w:eastAsia="x-none"/>
        </w:rPr>
        <w:t xml:space="preserve">que </w:t>
      </w:r>
      <w:bookmarkEnd w:id="20"/>
      <w:r>
        <w:rPr>
          <w:rFonts w:ascii="Verdana" w:eastAsia="Times New Roman" w:hAnsi="Verdana" w:cs="Arial"/>
          <w:bCs/>
          <w:lang w:eastAsia="x-none"/>
        </w:rPr>
        <w:t>“</w:t>
      </w:r>
      <w:r w:rsidRPr="00F10E52">
        <w:rPr>
          <w:rFonts w:ascii="Verdana" w:eastAsia="Times New Roman" w:hAnsi="Verdana" w:cs="Arial"/>
          <w:bCs/>
          <w:lang w:eastAsia="x-none"/>
        </w:rPr>
        <w:t xml:space="preserve">si bien la limitación garantiza la igualdad de condiciones, también es necesario que tal limitación que pretende la igualdad </w:t>
      </w:r>
      <w:bookmarkStart w:id="21" w:name="_Hlk75768308"/>
      <w:r w:rsidRPr="00F10E52">
        <w:rPr>
          <w:rFonts w:ascii="Verdana" w:eastAsia="Times New Roman" w:hAnsi="Verdana" w:cs="Arial"/>
          <w:bCs/>
          <w:lang w:eastAsia="x-none"/>
        </w:rPr>
        <w:t xml:space="preserve">no termine yendo en detrimento de intereses públicos, cuya garantía está en cabeza del ejecutivo, como son los inmersos en </w:t>
      </w:r>
      <w:r w:rsidRPr="00F10E52">
        <w:rPr>
          <w:rFonts w:ascii="Verdana" w:eastAsia="Times New Roman" w:hAnsi="Verdana" w:cs="Arial"/>
          <w:bCs/>
          <w:lang w:eastAsia="x-none"/>
        </w:rPr>
        <w:lastRenderedPageBreak/>
        <w:t>las excepciones para la prohibición de contratación</w:t>
      </w:r>
      <w:r>
        <w:rPr>
          <w:rFonts w:ascii="Verdana" w:eastAsia="Times New Roman" w:hAnsi="Verdana" w:cs="Arial"/>
          <w:bCs/>
          <w:lang w:eastAsia="x-none"/>
        </w:rPr>
        <w:t>”</w:t>
      </w:r>
      <w:r w:rsidRPr="00F10E52">
        <w:rPr>
          <w:rStyle w:val="Refdenotaalpie"/>
          <w:rFonts w:ascii="Verdana" w:hAnsi="Verdana" w:cs="Arial"/>
        </w:rPr>
        <w:footnoteReference w:id="19"/>
      </w:r>
      <w:r w:rsidRPr="00F10E52">
        <w:rPr>
          <w:rFonts w:ascii="Verdana" w:eastAsia="Times New Roman" w:hAnsi="Verdana" w:cs="Arial"/>
          <w:bCs/>
          <w:lang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Start w:id="22" w:name="_Hlk75783800"/>
      <w:bookmarkEnd w:id="21"/>
    </w:p>
    <w:p w14:paraId="5960AFD6" w14:textId="77777777" w:rsidR="0002006F" w:rsidRDefault="00E4193C" w:rsidP="00E4193C">
      <w:pPr>
        <w:spacing w:before="120" w:after="120" w:line="276" w:lineRule="auto"/>
        <w:ind w:firstLine="708"/>
        <w:jc w:val="both"/>
        <w:rPr>
          <w:rFonts w:ascii="Verdana" w:eastAsia="Times New Roman" w:hAnsi="Verdana" w:cs="Arial"/>
          <w:bCs/>
          <w:lang w:eastAsia="x-none"/>
        </w:rPr>
      </w:pPr>
      <w:bookmarkStart w:id="23" w:name="_Hlk99438356"/>
      <w:r>
        <w:rPr>
          <w:rFonts w:ascii="Verdana" w:eastAsia="Times New Roman" w:hAnsi="Verdana" w:cs="Arial"/>
          <w:bCs/>
          <w:lang w:eastAsia="x-none"/>
        </w:rPr>
        <w:t>Ahora bien, e</w:t>
      </w:r>
      <w:r w:rsidRPr="00F10E52">
        <w:rPr>
          <w:rFonts w:ascii="Verdana" w:eastAsia="Times New Roman" w:hAnsi="Verdana" w:cs="Arial"/>
          <w:bCs/>
          <w:lang w:eastAsia="x-none"/>
        </w:rPr>
        <w:t xml:space="preserve">l artículo 33 de la Ley 996 de 2005 señala expresamente a los destinatarios de la prohibición, en el sentido de que son </w:t>
      </w:r>
      <w:r>
        <w:rPr>
          <w:rFonts w:ascii="Verdana" w:eastAsia="Times New Roman" w:hAnsi="Verdana" w:cs="Arial"/>
          <w:bCs/>
          <w:lang w:eastAsia="x-none"/>
        </w:rPr>
        <w:t>“</w:t>
      </w:r>
      <w:r w:rsidRPr="00F10E52">
        <w:rPr>
          <w:rFonts w:ascii="Verdana" w:eastAsia="Times New Roman" w:hAnsi="Verdana" w:cs="Arial"/>
          <w:bCs/>
          <w:lang w:eastAsia="x-none"/>
        </w:rPr>
        <w:t>todos los entes del Estado</w:t>
      </w:r>
      <w:r>
        <w:rPr>
          <w:rFonts w:ascii="Verdana" w:eastAsia="Times New Roman" w:hAnsi="Verdana" w:cs="Arial"/>
          <w:bCs/>
          <w:lang w:eastAsia="x-none"/>
        </w:rPr>
        <w:t>”</w:t>
      </w:r>
      <w:r w:rsidRPr="00F10E52">
        <w:rPr>
          <w:rFonts w:ascii="Verdana" w:eastAsia="Times New Roman" w:hAnsi="Verdana" w:cs="Arial"/>
          <w:bCs/>
          <w:lang w:eastAsia="x-none"/>
        </w:rPr>
        <w:t>, expresión que contempla a los diferentes organismos o entidades autorizadas por la ley para suscribir contratos.</w:t>
      </w:r>
      <w:r w:rsidRPr="00F10E52">
        <w:rPr>
          <w:rFonts w:ascii="Verdana" w:hAnsi="Verdana"/>
        </w:rPr>
        <w:t xml:space="preserve"> </w:t>
      </w:r>
      <w:r w:rsidRPr="00F10E52">
        <w:rPr>
          <w:rFonts w:ascii="Verdana" w:eastAsia="Times New Roman" w:hAnsi="Verdana" w:cs="Arial"/>
          <w:bCs/>
          <w:lang w:eastAsia="x-none"/>
        </w:rPr>
        <w:t xml:space="preserve">En efecto, tal como lo ha sostenido el Consejo de Estado, el vocablo </w:t>
      </w:r>
      <w:r>
        <w:rPr>
          <w:rFonts w:ascii="Verdana" w:eastAsia="Times New Roman" w:hAnsi="Verdana" w:cs="Arial"/>
          <w:bCs/>
          <w:lang w:eastAsia="x-none"/>
        </w:rPr>
        <w:t>“</w:t>
      </w:r>
      <w:r w:rsidRPr="00F10E52">
        <w:rPr>
          <w:rFonts w:ascii="Verdana" w:eastAsia="Times New Roman" w:hAnsi="Verdana" w:cs="Arial"/>
          <w:bCs/>
          <w:lang w:eastAsia="x-none"/>
        </w:rPr>
        <w:t>todos</w:t>
      </w:r>
      <w:r>
        <w:rPr>
          <w:rFonts w:ascii="Verdana" w:eastAsia="Times New Roman" w:hAnsi="Verdana" w:cs="Arial"/>
          <w:bCs/>
          <w:lang w:eastAsia="x-none"/>
        </w:rPr>
        <w:t>”</w:t>
      </w:r>
      <w:r w:rsidRPr="00F10E52">
        <w:rPr>
          <w:rFonts w:ascii="Verdana" w:eastAsia="Times New Roman" w:hAnsi="Verdana" w:cs="Arial"/>
          <w:bCs/>
          <w:lang w:eastAsia="x-none"/>
        </w:rPr>
        <w:t xml:space="preserve"> utilizado por el legislador comprende</w:t>
      </w:r>
      <w:r w:rsidRPr="00F10E52">
        <w:rPr>
          <w:rFonts w:ascii="Verdana" w:hAnsi="Verdana"/>
        </w:rPr>
        <w:t xml:space="preserve"> </w:t>
      </w:r>
      <w:r w:rsidRPr="00F10E52">
        <w:rPr>
          <w:rFonts w:ascii="Verdana" w:eastAsia="Times New Roman" w:hAnsi="Verdana" w:cs="Arial"/>
          <w:bCs/>
          <w:lang w:eastAsia="x-none"/>
        </w:rPr>
        <w:t>a la totalidad de los entes del Estado, sin distinción del régimen jurídico, forma de organización o naturaleza, su pertenencia a una u otra rama del poder público o su autonomía</w:t>
      </w:r>
      <w:bookmarkEnd w:id="22"/>
      <w:r w:rsidRPr="00F10E52">
        <w:rPr>
          <w:rFonts w:ascii="Verdana" w:eastAsia="Times New Roman" w:hAnsi="Verdana" w:cs="Arial"/>
          <w:bCs/>
          <w:lang w:eastAsia="x-none"/>
        </w:rPr>
        <w:t xml:space="preserve">, e incluso si las entidades estatales tienen régimen especial de contratación y están exceptuadas del ámbito de aplicación del Estatuto General de Contratación de la Administración Pública. </w:t>
      </w:r>
      <w:bookmarkEnd w:id="23"/>
    </w:p>
    <w:p w14:paraId="224B36E8" w14:textId="69B82B44" w:rsidR="00E4193C" w:rsidRPr="00F10E52" w:rsidRDefault="00E4193C" w:rsidP="0002006F">
      <w:pPr>
        <w:spacing w:before="120" w:after="0" w:line="276" w:lineRule="auto"/>
        <w:ind w:firstLine="708"/>
        <w:jc w:val="both"/>
        <w:rPr>
          <w:rFonts w:ascii="Verdana" w:eastAsia="Times New Roman" w:hAnsi="Verdana" w:cs="Arial"/>
          <w:bCs/>
          <w:lang w:eastAsia="x-none"/>
        </w:rPr>
      </w:pPr>
      <w:r w:rsidRPr="00F10E52">
        <w:rPr>
          <w:rFonts w:ascii="Verdana" w:eastAsia="Times New Roman" w:hAnsi="Verdana" w:cs="Arial"/>
          <w:bCs/>
          <w:lang w:eastAsia="x-none"/>
        </w:rPr>
        <w:t xml:space="preserve">El Consejo de Estado, en Concepto con radicado 1727 de fecha 20 de febrero de 2006, consideró que: </w:t>
      </w:r>
    </w:p>
    <w:p w14:paraId="07E8FF81" w14:textId="77777777" w:rsidR="0002006F" w:rsidRPr="00F10E52" w:rsidRDefault="0002006F" w:rsidP="00363352">
      <w:pPr>
        <w:spacing w:after="0" w:line="276" w:lineRule="auto"/>
        <w:ind w:firstLine="708"/>
        <w:jc w:val="both"/>
        <w:rPr>
          <w:rFonts w:ascii="Verdana" w:eastAsia="Times New Roman" w:hAnsi="Verdana" w:cs="Arial"/>
          <w:bCs/>
          <w:lang w:eastAsia="x-none"/>
        </w:rPr>
      </w:pPr>
    </w:p>
    <w:p w14:paraId="3A861635" w14:textId="77777777" w:rsidR="00E4193C" w:rsidRPr="009B20C5" w:rsidRDefault="00E4193C" w:rsidP="0002006F">
      <w:pPr>
        <w:spacing w:after="0" w:line="240" w:lineRule="auto"/>
        <w:ind w:left="708"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x-none"/>
        </w:rPr>
        <w:t xml:space="preserve">“El artículo 33 de la ley 996 de 2005, </w:t>
      </w:r>
      <w:bookmarkStart w:id="24" w:name="_Hlk75787147"/>
      <w:r w:rsidRPr="009B20C5">
        <w:rPr>
          <w:rFonts w:ascii="Verdana" w:eastAsia="Times New Roman" w:hAnsi="Verdana" w:cs="Arial"/>
          <w:bCs/>
          <w:sz w:val="20"/>
          <w:szCs w:val="20"/>
          <w:lang w:eastAsia="x-none"/>
        </w:rPr>
        <w:t xml:space="preserve">efectivamente se aplica </w:t>
      </w:r>
      <w:bookmarkStart w:id="25" w:name="_Hlk76074089"/>
      <w:r w:rsidRPr="009B20C5">
        <w:rPr>
          <w:rFonts w:ascii="Verdana" w:eastAsia="Times New Roman" w:hAnsi="Verdana" w:cs="Arial"/>
          <w:bCs/>
          <w:sz w:val="20"/>
          <w:szCs w:val="20"/>
          <w:lang w:eastAsia="x-none"/>
        </w:rPr>
        <w:t>incluso a las entidades estatales con régimen especial de contratación y que están exceptuadas del ámbito de aplicación del Estatuto General de Contratación de la Administración Pública</w:t>
      </w:r>
      <w:bookmarkEnd w:id="25"/>
      <w:r w:rsidRPr="009B20C5">
        <w:rPr>
          <w:rFonts w:ascii="Verdana" w:eastAsia="Times New Roman" w:hAnsi="Verdana" w:cs="Arial"/>
          <w:bCs/>
          <w:sz w:val="20"/>
          <w:szCs w:val="20"/>
          <w:lang w:eastAsia="x-none"/>
        </w:rPr>
        <w:t>,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9B20C5">
        <w:rPr>
          <w:rStyle w:val="Refdenotaalpie"/>
          <w:rFonts w:ascii="Verdana" w:eastAsia="Times New Roman" w:hAnsi="Verdana" w:cs="Arial"/>
          <w:bCs/>
          <w:sz w:val="20"/>
          <w:szCs w:val="20"/>
          <w:lang w:eastAsia="x-none"/>
        </w:rPr>
        <w:footnoteReference w:id="20"/>
      </w:r>
      <w:r w:rsidRPr="009B20C5">
        <w:rPr>
          <w:rFonts w:ascii="Verdana" w:eastAsia="Times New Roman" w:hAnsi="Verdana" w:cs="Arial"/>
          <w:bCs/>
          <w:sz w:val="20"/>
          <w:szCs w:val="20"/>
          <w:lang w:eastAsia="x-none"/>
        </w:rPr>
        <w:t>.</w:t>
      </w:r>
      <w:r w:rsidRPr="009B20C5">
        <w:rPr>
          <w:rFonts w:ascii="Verdana" w:eastAsia="Times New Roman" w:hAnsi="Verdana" w:cs="Arial"/>
          <w:bCs/>
          <w:sz w:val="20"/>
          <w:szCs w:val="20"/>
          <w:lang w:eastAsia="es-CO"/>
        </w:rPr>
        <w:t xml:space="preserve"> </w:t>
      </w:r>
    </w:p>
    <w:p w14:paraId="54701B45" w14:textId="77777777" w:rsidR="0002006F" w:rsidRPr="00363352" w:rsidRDefault="0002006F" w:rsidP="00363352">
      <w:pPr>
        <w:spacing w:after="0" w:line="276" w:lineRule="auto"/>
        <w:ind w:left="709" w:right="709"/>
        <w:jc w:val="both"/>
        <w:rPr>
          <w:rFonts w:ascii="Verdana" w:eastAsia="Times New Roman" w:hAnsi="Verdana" w:cs="Arial"/>
          <w:bCs/>
          <w:lang w:eastAsia="es-CO"/>
        </w:rPr>
      </w:pPr>
    </w:p>
    <w:p w14:paraId="450EC45F" w14:textId="77777777" w:rsidR="00E4193C" w:rsidRPr="00F10E52" w:rsidRDefault="00E4193C" w:rsidP="0002006F">
      <w:pPr>
        <w:spacing w:after="0" w:line="276" w:lineRule="auto"/>
        <w:ind w:firstLine="708"/>
        <w:jc w:val="both"/>
        <w:rPr>
          <w:rFonts w:ascii="Verdana" w:hAnsi="Verdana" w:cs="Arial"/>
        </w:rPr>
      </w:pPr>
      <w:r w:rsidRPr="00F10E52">
        <w:rPr>
          <w:rFonts w:ascii="Verdana" w:eastAsia="Times New Roman" w:hAnsi="Verdana" w:cs="Arial"/>
          <w:bCs/>
          <w:lang w:eastAsia="x-none"/>
        </w:rPr>
        <w:lastRenderedPageBreak/>
        <w:t xml:space="preserve">En Concepto con radicado 1738 de 6 de abril de 2006, esa misma Corporación manifestó que </w:t>
      </w:r>
      <w:r>
        <w:rPr>
          <w:rFonts w:ascii="Verdana" w:eastAsia="Times New Roman" w:hAnsi="Verdana" w:cs="Arial"/>
          <w:bCs/>
          <w:lang w:eastAsia="x-none"/>
        </w:rPr>
        <w:t>“</w:t>
      </w:r>
      <w:r w:rsidRPr="00F10E52">
        <w:rPr>
          <w:rFonts w:ascii="Verdana" w:eastAsia="Times New Roman" w:hAnsi="Verdana" w:cs="Arial"/>
          <w:bCs/>
          <w:lang w:eastAsia="x-none"/>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26" w:name="_Hlk75758868"/>
      <w:bookmarkStart w:id="27" w:name="_Hlk75741220"/>
      <w:r>
        <w:rPr>
          <w:rFonts w:ascii="Verdana" w:eastAsia="Times New Roman" w:hAnsi="Verdana" w:cs="Arial"/>
          <w:bCs/>
          <w:lang w:eastAsia="x-none"/>
        </w:rPr>
        <w:t>”</w:t>
      </w:r>
      <w:r w:rsidRPr="00F10E52">
        <w:rPr>
          <w:rStyle w:val="Refdenotaalpie"/>
          <w:rFonts w:ascii="Verdana" w:hAnsi="Verdana" w:cs="Arial"/>
        </w:rPr>
        <w:footnoteReference w:id="21"/>
      </w:r>
      <w:bookmarkEnd w:id="26"/>
      <w:bookmarkEnd w:id="27"/>
      <w:r w:rsidRPr="00F10E52">
        <w:rPr>
          <w:rFonts w:ascii="Verdana" w:eastAsia="Times New Roman" w:hAnsi="Verdana" w:cs="Arial"/>
          <w:bCs/>
          <w:lang w:eastAsia="x-none"/>
        </w:rPr>
        <w:t>.</w:t>
      </w:r>
      <w:r w:rsidRPr="00F10E52">
        <w:rPr>
          <w:rFonts w:ascii="Verdana" w:hAnsi="Verdana" w:cs="Arial"/>
        </w:rPr>
        <w:t xml:space="preserve"> Sin embargo, debe precisarse el siguiente aspecto que distinguió la Sala de Consulta y Servicio Civil:</w:t>
      </w:r>
    </w:p>
    <w:p w14:paraId="7F31B739" w14:textId="77777777" w:rsidR="0002006F" w:rsidRPr="00F10E52" w:rsidRDefault="0002006F" w:rsidP="00363352">
      <w:pPr>
        <w:spacing w:after="0" w:line="276" w:lineRule="auto"/>
        <w:ind w:firstLine="708"/>
        <w:jc w:val="both"/>
        <w:rPr>
          <w:rFonts w:ascii="Verdana" w:hAnsi="Verdana" w:cs="Arial"/>
        </w:rPr>
      </w:pPr>
    </w:p>
    <w:p w14:paraId="62905789" w14:textId="77777777" w:rsidR="00E4193C" w:rsidRDefault="00E4193C" w:rsidP="0002006F">
      <w:pPr>
        <w:spacing w:after="0" w:line="240" w:lineRule="auto"/>
        <w:ind w:left="709" w:right="709"/>
        <w:jc w:val="both"/>
        <w:rPr>
          <w:rFonts w:ascii="Verdana" w:eastAsia="Times New Roman" w:hAnsi="Verdana" w:cs="Arial"/>
          <w:sz w:val="20"/>
          <w:szCs w:val="20"/>
          <w:lang w:eastAsia="x-none"/>
        </w:rPr>
      </w:pPr>
      <w:bookmarkStart w:id="29" w:name="_Hlk75811446"/>
      <w:r w:rsidRPr="009B20C5">
        <w:rPr>
          <w:rFonts w:ascii="Verdana" w:hAnsi="Verdana" w:cs="Arial"/>
          <w:sz w:val="20"/>
          <w:szCs w:val="20"/>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29"/>
      <w:r w:rsidRPr="009B20C5">
        <w:rPr>
          <w:rFonts w:ascii="Verdana" w:hAnsi="Verdana" w:cs="Arial"/>
          <w:sz w:val="20"/>
          <w:szCs w:val="20"/>
        </w:rPr>
        <w:t>”</w:t>
      </w:r>
      <w:r w:rsidRPr="009B20C5">
        <w:rPr>
          <w:rStyle w:val="Refdenotaalpie"/>
          <w:rFonts w:ascii="Verdana" w:hAnsi="Verdana" w:cs="Arial"/>
          <w:sz w:val="20"/>
          <w:szCs w:val="20"/>
        </w:rPr>
        <w:footnoteReference w:id="22"/>
      </w:r>
      <w:r w:rsidRPr="009B20C5">
        <w:rPr>
          <w:rFonts w:ascii="Verdana" w:eastAsia="Times New Roman" w:hAnsi="Verdana" w:cs="Arial"/>
          <w:bCs/>
          <w:sz w:val="20"/>
          <w:szCs w:val="20"/>
          <w:lang w:eastAsia="x-none"/>
        </w:rPr>
        <w:t>.</w:t>
      </w:r>
    </w:p>
    <w:p w14:paraId="3A0530BC" w14:textId="77777777" w:rsidR="0002006F" w:rsidRPr="009B20C5" w:rsidRDefault="0002006F" w:rsidP="00363352">
      <w:pPr>
        <w:spacing w:after="0" w:line="276" w:lineRule="auto"/>
        <w:ind w:left="709" w:right="709"/>
        <w:jc w:val="both"/>
        <w:rPr>
          <w:rFonts w:ascii="Verdana" w:hAnsi="Verdana" w:cs="Arial"/>
          <w:sz w:val="20"/>
          <w:szCs w:val="20"/>
        </w:rPr>
      </w:pPr>
    </w:p>
    <w:p w14:paraId="567B199B" w14:textId="77777777" w:rsidR="00E4193C" w:rsidRPr="00F10E52" w:rsidRDefault="00E4193C" w:rsidP="00363352">
      <w:pPr>
        <w:spacing w:after="120" w:line="276" w:lineRule="auto"/>
        <w:ind w:firstLine="709"/>
        <w:jc w:val="both"/>
        <w:rPr>
          <w:rFonts w:ascii="Verdana" w:eastAsia="Times New Roman" w:hAnsi="Verdana" w:cs="Arial"/>
          <w:bCs/>
          <w:lang w:eastAsia="x-none"/>
        </w:rPr>
      </w:pPr>
      <w:r w:rsidRPr="00F10E52">
        <w:rPr>
          <w:rFonts w:ascii="Verdana" w:hAnsi="Verdana" w:cs="Arial"/>
        </w:rPr>
        <w:t>Aplicando este razonamiento,</w:t>
      </w:r>
      <w:bookmarkStart w:id="30" w:name="_Hlk75811096"/>
      <w:r w:rsidRPr="00F10E52">
        <w:rPr>
          <w:rFonts w:ascii="Verdana" w:hAnsi="Verdana" w:cs="Arial"/>
        </w:rPr>
        <w:t xml:space="preserve"> se tiene que las empresas industriales y comerciales del estado y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w:t>
      </w:r>
      <w:r>
        <w:rPr>
          <w:rFonts w:ascii="Verdana" w:hAnsi="Verdana" w:cs="Arial"/>
        </w:rPr>
        <w:t>“</w:t>
      </w:r>
      <w:r w:rsidRPr="00F10E52">
        <w:rPr>
          <w:rFonts w:ascii="Verdana" w:hAnsi="Verdana" w:cs="Arial"/>
        </w:rPr>
        <w:t xml:space="preserve">es obvio que si una de estas entidades va a prestar un servicio a un particular, lo puede hacer, pues estos se ofrecen a toda la comunidad en condiciones de igualdad. Si se supusiera que está prohibida su </w:t>
      </w:r>
      <w:r w:rsidRPr="00F10E52">
        <w:rPr>
          <w:rFonts w:ascii="Verdana" w:hAnsi="Verdana" w:cs="Arial"/>
        </w:rPr>
        <w:lastRenderedPageBreak/>
        <w:t>contratación directa, significaría la parálisis de tal actividad de interés público, lo que de ninguna manera es lo querido por la ley 996 de 2005</w:t>
      </w:r>
      <w:bookmarkEnd w:id="30"/>
      <w:r>
        <w:rPr>
          <w:rFonts w:ascii="Verdana" w:hAnsi="Verdana" w:cs="Arial"/>
        </w:rPr>
        <w:t>”</w:t>
      </w:r>
      <w:r w:rsidRPr="00F10E52">
        <w:rPr>
          <w:rStyle w:val="Refdenotaalpie"/>
          <w:rFonts w:ascii="Verdana" w:hAnsi="Verdana" w:cs="Arial"/>
        </w:rPr>
        <w:t xml:space="preserve"> </w:t>
      </w:r>
      <w:r w:rsidRPr="00F10E52">
        <w:rPr>
          <w:rStyle w:val="Refdenotaalpie"/>
          <w:rFonts w:ascii="Verdana" w:hAnsi="Verdana" w:cs="Arial"/>
        </w:rPr>
        <w:footnoteReference w:id="23"/>
      </w:r>
      <w:r w:rsidRPr="00F10E52">
        <w:rPr>
          <w:rFonts w:ascii="Verdana" w:hAnsi="Verdana" w:cs="Arial"/>
        </w:rPr>
        <w:t>.</w:t>
      </w:r>
    </w:p>
    <w:p w14:paraId="4B922C4B" w14:textId="33A4F1EC" w:rsidR="00E4193C" w:rsidRPr="00F10E52" w:rsidRDefault="00E4193C" w:rsidP="00363352">
      <w:pPr>
        <w:spacing w:after="120" w:line="276" w:lineRule="auto"/>
        <w:ind w:firstLine="708"/>
        <w:jc w:val="both"/>
        <w:rPr>
          <w:rFonts w:ascii="Verdana" w:eastAsia="Times New Roman" w:hAnsi="Verdana" w:cs="Arial"/>
          <w:bCs/>
          <w:lang w:eastAsia="x-none"/>
        </w:rPr>
      </w:pPr>
      <w:bookmarkStart w:id="31" w:name="_Hlk77237229"/>
      <w:bookmarkEnd w:id="24"/>
      <w:r w:rsidRPr="00F10E52">
        <w:rPr>
          <w:rFonts w:ascii="Verdana" w:hAnsi="Verdana" w:cs="Arial"/>
        </w:rPr>
        <w:t>Por lo tanto, la restricción prevista en la Ley 996 de 200</w:t>
      </w:r>
      <w:bookmarkStart w:id="32" w:name="_Hlk75741539"/>
      <w:r w:rsidRPr="00F10E52">
        <w:rPr>
          <w:rFonts w:ascii="Verdana" w:hAnsi="Verdana" w:cs="Arial"/>
        </w:rPr>
        <w:t xml:space="preserve">5, </w:t>
      </w:r>
      <w:r w:rsidRPr="00F10E52">
        <w:rPr>
          <w:rFonts w:ascii="Verdana" w:eastAsia="Times New Roman" w:hAnsi="Verdana" w:cs="Arial"/>
          <w:bCs/>
          <w:lang w:eastAsia="x-none"/>
        </w:rPr>
        <w:t xml:space="preserve">teniendo en cuenta la finalidad de la </w:t>
      </w:r>
      <w:r w:rsidR="00D070F4" w:rsidRPr="00F10E52">
        <w:rPr>
          <w:rFonts w:ascii="Verdana" w:eastAsia="Times New Roman" w:hAnsi="Verdana" w:cs="Arial"/>
          <w:bCs/>
          <w:lang w:eastAsia="x-none"/>
        </w:rPr>
        <w:t>Ley</w:t>
      </w:r>
      <w:r w:rsidRPr="00F10E52">
        <w:rPr>
          <w:rFonts w:ascii="Verdana" w:eastAsia="Times New Roman" w:hAnsi="Verdana" w:cs="Arial"/>
          <w:bCs/>
          <w:lang w:eastAsia="x-none"/>
        </w:rPr>
        <w:t xml:space="preserve"> de </w:t>
      </w:r>
      <w:r w:rsidR="00D070F4" w:rsidRPr="00F10E52">
        <w:rPr>
          <w:rFonts w:ascii="Verdana" w:eastAsia="Times New Roman" w:hAnsi="Verdana" w:cs="Arial"/>
          <w:bCs/>
          <w:lang w:eastAsia="x-none"/>
        </w:rPr>
        <w:t>Garantías Electorales</w:t>
      </w:r>
      <w:r w:rsidRPr="00F10E52">
        <w:rPr>
          <w:rFonts w:ascii="Verdana" w:eastAsia="Times New Roman" w:hAnsi="Verdana" w:cs="Arial"/>
          <w:bCs/>
          <w:lang w:eastAsia="x-none"/>
        </w:rPr>
        <w:t>,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bookmarkEnd w:id="31"/>
    <w:bookmarkEnd w:id="32"/>
    <w:p w14:paraId="41BA230C" w14:textId="77777777" w:rsidR="00E4193C" w:rsidRPr="00F10E52" w:rsidRDefault="00E4193C" w:rsidP="00363352">
      <w:pPr>
        <w:spacing w:after="120" w:line="276" w:lineRule="auto"/>
        <w:ind w:firstLine="708"/>
        <w:jc w:val="both"/>
        <w:rPr>
          <w:rFonts w:ascii="Verdana" w:eastAsia="Times New Roman" w:hAnsi="Verdana" w:cs="Arial"/>
          <w:color w:val="1A1A1A"/>
          <w:lang w:eastAsia="es-ES_tradnl"/>
        </w:rPr>
      </w:pPr>
      <w:r w:rsidRPr="00596D81">
        <w:rPr>
          <w:rFonts w:ascii="Verdana" w:eastAsia="Calibri" w:hAnsi="Verdana" w:cs="Arial"/>
          <w:bCs/>
        </w:rPr>
        <w:t>Por su parte</w:t>
      </w:r>
      <w:r>
        <w:rPr>
          <w:rFonts w:ascii="Verdana" w:eastAsia="Calibri" w:hAnsi="Verdana" w:cs="Arial"/>
          <w:bCs/>
        </w:rPr>
        <w:t>,</w:t>
      </w:r>
      <w:r w:rsidRPr="00596D81">
        <w:rPr>
          <w:rFonts w:ascii="Verdana" w:eastAsia="Calibri" w:hAnsi="Verdana" w:cs="Arial"/>
          <w:bCs/>
        </w:rPr>
        <w:t xml:space="preserve"> respecto a la naturaleza y régimen jurídico de las Empresas Prestadoras de Servicios Públicos Domiciliarios</w:t>
      </w:r>
      <w:r>
        <w:rPr>
          <w:rFonts w:ascii="Verdana" w:eastAsia="Calibri" w:hAnsi="Verdana" w:cs="Arial"/>
          <w:bCs/>
        </w:rPr>
        <w:t xml:space="preserve"> es de precisar que el </w:t>
      </w:r>
      <w:r w:rsidRPr="00F10E52">
        <w:rPr>
          <w:rFonts w:ascii="Verdana" w:eastAsia="Times New Roman" w:hAnsi="Verdana" w:cs="Arial"/>
          <w:color w:val="1A1A1A"/>
          <w:lang w:eastAsia="es-ES_tradnl"/>
        </w:rPr>
        <w:t xml:space="preserve">artículo 365 de la Constitución Política establece que los servicios públicos domiciliarios «podrán ser prestados por el Estado, directa o indirectamente, por comunidades organizadas o por particulares», pero que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[e]n todo caso, el Estado mantendrá la regulación, el control y la vigilancia de dichos servicios</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 En desarrollo de esta habilitación superior, el Congreso de la República dispuso, en el artículo 15 de la Ley 142 de 1994, que pueden actuar como operadores de servicios públicos domiciliarios: i)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Las empresas de servicios públicos</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 –oficiales, mixtas y privadas–, </w:t>
      </w:r>
      <w:proofErr w:type="spellStart"/>
      <w:r w:rsidRPr="00F10E52">
        <w:rPr>
          <w:rFonts w:ascii="Verdana" w:eastAsia="Times New Roman" w:hAnsi="Verdana" w:cs="Arial"/>
          <w:color w:val="1A1A1A"/>
          <w:lang w:eastAsia="es-ES_tradnl"/>
        </w:rPr>
        <w:t>ii</w:t>
      </w:r>
      <w:proofErr w:type="spellEnd"/>
      <w:r w:rsidRPr="00F10E52">
        <w:rPr>
          <w:rFonts w:ascii="Verdana" w:eastAsia="Times New Roman" w:hAnsi="Verdana" w:cs="Arial"/>
          <w:color w:val="1A1A1A"/>
          <w:lang w:eastAsia="es-ES_tradnl"/>
        </w:rPr>
        <w:t xml:space="preserve">)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Las personas naturales o jurídicas que produzcan para ellas mismas, o como consecuencia o complemento de su actividad principal, los bienes y servicios propios del objeto de las empresas de servicios públicos</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w:t>
      </w:r>
      <w:proofErr w:type="spellStart"/>
      <w:r w:rsidRPr="00F10E52">
        <w:rPr>
          <w:rFonts w:ascii="Verdana" w:eastAsia="Times New Roman" w:hAnsi="Verdana" w:cs="Arial"/>
          <w:color w:val="1A1A1A"/>
          <w:lang w:eastAsia="es-ES_tradnl"/>
        </w:rPr>
        <w:t>iii</w:t>
      </w:r>
      <w:proofErr w:type="spellEnd"/>
      <w:r w:rsidRPr="00F10E52">
        <w:rPr>
          <w:rFonts w:ascii="Verdana" w:eastAsia="Times New Roman" w:hAnsi="Verdana" w:cs="Arial"/>
          <w:color w:val="1A1A1A"/>
          <w:lang w:eastAsia="es-ES_tradnl"/>
        </w:rPr>
        <w:t xml:space="preserve">)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Los municipios cuando asuman en forma directa, a través de su administración central, la prestación de los servicios públicos, conforme a lo dispuesto en esta Ley</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y </w:t>
      </w:r>
      <w:proofErr w:type="spellStart"/>
      <w:r w:rsidRPr="00F10E52">
        <w:rPr>
          <w:rFonts w:ascii="Verdana" w:eastAsia="Times New Roman" w:hAnsi="Verdana" w:cs="Arial"/>
          <w:color w:val="1A1A1A"/>
          <w:lang w:eastAsia="es-ES_tradnl"/>
        </w:rPr>
        <w:t>iv</w:t>
      </w:r>
      <w:proofErr w:type="spellEnd"/>
      <w:r w:rsidRPr="00F10E52">
        <w:rPr>
          <w:rFonts w:ascii="Verdana" w:eastAsia="Times New Roman" w:hAnsi="Verdana" w:cs="Arial"/>
          <w:color w:val="1A1A1A"/>
          <w:lang w:eastAsia="es-ES_tradnl"/>
        </w:rPr>
        <w:t xml:space="preserve">)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Las organizaciones autorizadas conforme a esta Ley para prestar servicios públicos en municipios menores en zonas rurales y en áreas o zonas urbanas específicas</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w:t>
      </w:r>
    </w:p>
    <w:p w14:paraId="1CDF491F" w14:textId="77777777" w:rsidR="00E4193C" w:rsidRPr="00F10E52" w:rsidRDefault="00E4193C" w:rsidP="00D070F4">
      <w:pPr>
        <w:spacing w:after="0" w:line="276" w:lineRule="auto"/>
        <w:ind w:firstLine="709"/>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Por su parte, el artículo 14 de la Ley 142 de 1994 contiene las definiciones para la correcta aplicación e interpretación del régimen de servicios públicos domiciliarios. Esta norma define las empresas de servicios públicos oficial, mixta y privada, en los siguientes términos: </w:t>
      </w:r>
    </w:p>
    <w:p w14:paraId="5C92B210" w14:textId="77777777" w:rsidR="00D070F4" w:rsidRPr="00F10E52" w:rsidRDefault="00D070F4" w:rsidP="00363352">
      <w:pPr>
        <w:spacing w:after="0" w:line="276" w:lineRule="auto"/>
        <w:ind w:firstLine="709"/>
        <w:jc w:val="both"/>
        <w:rPr>
          <w:rFonts w:ascii="Verdana" w:eastAsia="Times New Roman" w:hAnsi="Verdana" w:cs="Arial"/>
          <w:color w:val="1A1A1A"/>
          <w:lang w:eastAsia="es-ES_tradnl"/>
        </w:rPr>
      </w:pPr>
    </w:p>
    <w:p w14:paraId="3D04E1DC" w14:textId="77777777" w:rsidR="00E4193C" w:rsidRPr="00596D81" w:rsidRDefault="00E4193C" w:rsidP="00363352">
      <w:pPr>
        <w:spacing w:after="0" w:line="240" w:lineRule="auto"/>
        <w:ind w:left="709" w:right="709"/>
        <w:jc w:val="both"/>
        <w:rPr>
          <w:rFonts w:ascii="Verdana" w:eastAsia="Times New Roman" w:hAnsi="Verdana" w:cs="Arial"/>
          <w:color w:val="1A1A1A"/>
          <w:sz w:val="20"/>
          <w:szCs w:val="20"/>
          <w:lang w:eastAsia="es-ES_tradnl"/>
        </w:rPr>
      </w:pPr>
      <w:r>
        <w:rPr>
          <w:rFonts w:ascii="Verdana" w:eastAsia="Times New Roman" w:hAnsi="Verdana" w:cs="Arial"/>
          <w:color w:val="1A1A1A"/>
          <w:sz w:val="20"/>
          <w:szCs w:val="20"/>
          <w:lang w:eastAsia="es-ES_tradnl"/>
        </w:rPr>
        <w:lastRenderedPageBreak/>
        <w:t>“</w:t>
      </w:r>
      <w:r w:rsidRPr="00596D81">
        <w:rPr>
          <w:rFonts w:ascii="Verdana" w:eastAsia="Times New Roman" w:hAnsi="Verdana" w:cs="Arial"/>
          <w:color w:val="1A1A1A"/>
          <w:sz w:val="20"/>
          <w:szCs w:val="20"/>
          <w:lang w:eastAsia="es-ES_tradnl"/>
        </w:rPr>
        <w:t>14.5. Empresa de servicios públicos oficial. Es aquella en cuyo capital la Nación, las entidades territoriales, o las entidades descentralizadas de aquella o estas tienen el 100% de los aportes.</w:t>
      </w:r>
    </w:p>
    <w:p w14:paraId="7F598637" w14:textId="77777777" w:rsidR="00E4193C" w:rsidRPr="00596D81" w:rsidRDefault="00E4193C" w:rsidP="00363352">
      <w:pPr>
        <w:spacing w:after="0" w:line="240" w:lineRule="auto"/>
        <w:ind w:left="709" w:right="709"/>
        <w:jc w:val="both"/>
        <w:rPr>
          <w:rFonts w:ascii="Verdana" w:eastAsia="Times New Roman" w:hAnsi="Verdana" w:cs="Arial"/>
          <w:color w:val="1A1A1A"/>
          <w:sz w:val="20"/>
          <w:szCs w:val="20"/>
          <w:lang w:eastAsia="es-ES_tradnl"/>
        </w:rPr>
      </w:pPr>
      <w:r w:rsidRPr="00596D81">
        <w:rPr>
          <w:rFonts w:ascii="Verdana" w:eastAsia="Times New Roman" w:hAnsi="Verdana" w:cs="Arial"/>
          <w:color w:val="1A1A1A"/>
          <w:sz w:val="20"/>
          <w:szCs w:val="20"/>
          <w:lang w:eastAsia="es-ES_tradnl"/>
        </w:rPr>
        <w:t>14.6. Empresa de servicios públicos mixta. Es aquella en cuyo capital la Nación, las entidades territoriales, o las entidades descentralizadas de aquella o éstas tienen aportes iguales o superiores al 50%. </w:t>
      </w:r>
    </w:p>
    <w:p w14:paraId="287EEF42" w14:textId="77777777" w:rsidR="00E4193C" w:rsidRPr="00596D81" w:rsidRDefault="00E4193C" w:rsidP="00D070F4">
      <w:pPr>
        <w:spacing w:after="0" w:line="240" w:lineRule="auto"/>
        <w:ind w:left="709" w:right="709"/>
        <w:jc w:val="both"/>
        <w:rPr>
          <w:rFonts w:ascii="Verdana" w:eastAsia="Times New Roman" w:hAnsi="Verdana" w:cs="Arial"/>
          <w:color w:val="1A1A1A"/>
          <w:sz w:val="20"/>
          <w:szCs w:val="20"/>
          <w:lang w:eastAsia="es-ES_tradnl"/>
        </w:rPr>
      </w:pPr>
      <w:r w:rsidRPr="00596D81">
        <w:rPr>
          <w:rFonts w:ascii="Verdana" w:eastAsia="Times New Roman" w:hAnsi="Verdana" w:cs="Arial"/>
          <w:color w:val="1A1A1A"/>
          <w:sz w:val="20"/>
          <w:szCs w:val="20"/>
          <w:lang w:eastAsia="es-ES_tradnl"/>
        </w:rPr>
        <w:t>14.7. Empresa de servicios públicos privada. Es aquella cuyo capital pertenece mayoritariamente a particulares, o a entidades surgidas de convenios internacionales que deseen someterse íntegramente para estos efectos a las reglas a las que se someten los particulares</w:t>
      </w:r>
      <w:r>
        <w:rPr>
          <w:rFonts w:ascii="Verdana" w:eastAsia="Times New Roman" w:hAnsi="Verdana" w:cs="Arial"/>
          <w:color w:val="1A1A1A"/>
          <w:sz w:val="20"/>
          <w:szCs w:val="20"/>
          <w:lang w:eastAsia="es-ES_tradnl"/>
        </w:rPr>
        <w:t>”</w:t>
      </w:r>
      <w:r w:rsidRPr="00596D81">
        <w:rPr>
          <w:rFonts w:ascii="Verdana" w:eastAsia="Times New Roman" w:hAnsi="Verdana" w:cs="Arial"/>
          <w:color w:val="1A1A1A"/>
          <w:sz w:val="20"/>
          <w:szCs w:val="20"/>
          <w:lang w:eastAsia="es-ES_tradnl"/>
        </w:rPr>
        <w:t>. </w:t>
      </w:r>
    </w:p>
    <w:p w14:paraId="156FCECE" w14:textId="77777777" w:rsidR="00D070F4" w:rsidRPr="00596D81" w:rsidRDefault="00D070F4" w:rsidP="00363352">
      <w:pPr>
        <w:spacing w:after="0" w:line="240" w:lineRule="auto"/>
        <w:ind w:left="709" w:right="709"/>
        <w:jc w:val="both"/>
        <w:rPr>
          <w:rFonts w:ascii="Verdana" w:eastAsia="Times New Roman" w:hAnsi="Verdana" w:cs="Arial"/>
          <w:color w:val="1A1A1A"/>
          <w:sz w:val="20"/>
          <w:szCs w:val="20"/>
          <w:lang w:eastAsia="es-ES_tradnl"/>
        </w:rPr>
      </w:pPr>
    </w:p>
    <w:p w14:paraId="28AD7372" w14:textId="77777777" w:rsidR="00E4193C" w:rsidRPr="00F10E52" w:rsidRDefault="00E4193C" w:rsidP="00363352">
      <w:pPr>
        <w:spacing w:after="120" w:line="276" w:lineRule="auto"/>
        <w:ind w:firstLine="708"/>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A su turno, el artículo 17 de la ley citada señala que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las empresas de servicios públicos son sociedades por acciones cuyo objeto es la prestación de los servicios públicos de que trata esta ley</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 </w:t>
      </w:r>
    </w:p>
    <w:p w14:paraId="2132A64C" w14:textId="77777777" w:rsidR="00E4193C" w:rsidRPr="00F10E52" w:rsidRDefault="00E4193C" w:rsidP="00E4193C">
      <w:pPr>
        <w:spacing w:before="120" w:after="120" w:line="276" w:lineRule="auto"/>
        <w:ind w:firstLine="708"/>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De otro lado, el artículo 38 de la Ley 489 de 1998 determina la integración de la Rama Ejecutiva del Poder Público en el orden nacional, y en su literal d) señala que las empresas sociales del Estado y las empresas oficiales de servicios públicos domiciliarios pertenecen a las entidades de la Rama Ejecutiva del sector descentralizado por servicios. El artículo 68 de esta ley, al listar las entidades descentralizadas del orden nacional, se refirió únicamente a las empresas oficiales de servicios públicos, esto es, aquellas en las que la participación del Estado es del 100%</w:t>
      </w:r>
      <w:r w:rsidRPr="00F10E52">
        <w:rPr>
          <w:rFonts w:ascii="Verdana" w:eastAsia="Times New Roman" w:hAnsi="Verdana" w:cs="Arial"/>
          <w:color w:val="1A1A1A"/>
          <w:vertAlign w:val="superscript"/>
          <w:lang w:eastAsia="es-ES_tradnl"/>
        </w:rPr>
        <w:footnoteReference w:id="24"/>
      </w:r>
      <w:r w:rsidRPr="00F10E52">
        <w:rPr>
          <w:rFonts w:ascii="Verdana" w:eastAsia="Times New Roman" w:hAnsi="Verdana" w:cs="Arial"/>
          <w:color w:val="1A1A1A"/>
          <w:lang w:eastAsia="es-ES_tradnl"/>
        </w:rPr>
        <w:t xml:space="preserve">. </w:t>
      </w:r>
    </w:p>
    <w:p w14:paraId="2F2268D5" w14:textId="77777777" w:rsidR="00E4193C" w:rsidRPr="00F10E52" w:rsidRDefault="00E4193C" w:rsidP="00E4193C">
      <w:pPr>
        <w:spacing w:before="120" w:after="120" w:line="276" w:lineRule="auto"/>
        <w:ind w:firstLine="708"/>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Lo anterior llevó a pensar que el legislador excluyó de la Rama Ejecutiva a las empresas de servicios públicos mixtas –capital público superior al 50%– y las privadas –capital público inferior al 50%–. Sin embargo, la Corte Constitucional determinó que tanto las empresas de servicios públicos mixtas como las privadas hacían parte de la Rama Ejecutiva, toda vez que el literal g) del artículo 38 de la Ley 489 de 1998 aplica a </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g) Las demás entidades administrativas nacionales con personería jurídica que cree, organice o autorice la ley para que formen parte de la Rama Ejecutiva del Poder Público</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 </w:t>
      </w:r>
    </w:p>
    <w:p w14:paraId="561C8832" w14:textId="77777777" w:rsidR="00E4193C" w:rsidRPr="00F10E52" w:rsidRDefault="00E4193C" w:rsidP="00E4193C">
      <w:pPr>
        <w:spacing w:before="120" w:after="120" w:line="276" w:lineRule="auto"/>
        <w:ind w:firstLine="709"/>
        <w:jc w:val="both"/>
        <w:rPr>
          <w:rFonts w:ascii="Verdana" w:eastAsia="Times New Roman" w:hAnsi="Verdana" w:cs="Arial"/>
          <w:color w:val="1A1A1A"/>
          <w:lang w:eastAsia="es-CO"/>
        </w:rPr>
      </w:pPr>
      <w:r w:rsidRPr="00F10E52">
        <w:rPr>
          <w:rFonts w:ascii="Verdana" w:eastAsia="Times New Roman" w:hAnsi="Verdana" w:cs="Arial"/>
          <w:color w:val="1A1A1A"/>
          <w:lang w:eastAsia="es-ES_tradnl"/>
        </w:rPr>
        <w:lastRenderedPageBreak/>
        <w:t>La Corte Constitucional, además de señalar la pertenencia a la Rama Ejecutiva de las empresas de servicios públicos mixtas y privadas, también sostuvo que se trataba de entidades descentralizadas por servicios, en los términos del artículo 68 de la Ley 489 de 1998</w:t>
      </w:r>
      <w:r w:rsidRPr="00F10E52">
        <w:rPr>
          <w:rFonts w:ascii="Verdana" w:eastAsia="Times New Roman" w:hAnsi="Verdana" w:cs="Arial"/>
          <w:color w:val="1A1A1A"/>
          <w:vertAlign w:val="superscript"/>
          <w:lang w:eastAsia="es-ES_tradnl"/>
        </w:rPr>
        <w:footnoteReference w:id="25"/>
      </w:r>
      <w:r w:rsidRPr="00F10E52">
        <w:rPr>
          <w:rFonts w:ascii="Verdana" w:eastAsia="Times New Roman" w:hAnsi="Verdana" w:cs="Arial"/>
          <w:color w:val="1A1A1A"/>
          <w:lang w:eastAsia="es-ES_tradnl"/>
        </w:rPr>
        <w:t>. En esta providencia también aclaró que las empresas prestadoras de servicios públicos, de carácter mixto o privado, no son empresas de economía mixta. La anterior conclusión fue fundamentada sobre la idea del carácter o naturaleza especial que la Constitución otorgó a las empresas de servicios públicos</w:t>
      </w:r>
      <w:r w:rsidRPr="00F10E52">
        <w:rPr>
          <w:rFonts w:ascii="Verdana" w:eastAsia="Times New Roman" w:hAnsi="Verdana" w:cs="Arial"/>
          <w:color w:val="1A1A1A"/>
          <w:vertAlign w:val="superscript"/>
          <w:lang w:eastAsia="es-CO"/>
        </w:rPr>
        <w:footnoteReference w:id="26"/>
      </w:r>
      <w:r w:rsidRPr="00F10E52">
        <w:rPr>
          <w:rFonts w:ascii="Verdana" w:eastAsia="Times New Roman" w:hAnsi="Verdana" w:cs="Arial"/>
          <w:color w:val="1A1A1A"/>
          <w:lang w:eastAsia="es-CO"/>
        </w:rPr>
        <w:t>.</w:t>
      </w:r>
    </w:p>
    <w:p w14:paraId="1FA1D7AF" w14:textId="77777777" w:rsidR="00E4193C" w:rsidRPr="00F10E52" w:rsidRDefault="00E4193C" w:rsidP="00E4193C">
      <w:pPr>
        <w:spacing w:before="120" w:after="120" w:line="276" w:lineRule="auto"/>
        <w:ind w:firstLine="708"/>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Así las cosas, las empresas de servicios públicos tienen una naturaleza jurídica especial que viene dada directamente por el artículo 356 de la Constitución Política, y el hecho de que su composición accionaria pueda estar compartida por recursos públicos y privados no las convierte en sociedades de economía mixta, pues las empresas en cuestión tienen su clasificación propia dependiendo de la composición de su capital accionario: empresas de servicios públicos oficiales, mixtas y privadas. Ahora, sin importar su clasificación, todas hacen parte de la Rama Ejecutiva del sector descentralizado por servicios. </w:t>
      </w:r>
    </w:p>
    <w:p w14:paraId="1EDC0F2C" w14:textId="6EE95765" w:rsidR="00E4193C" w:rsidRPr="00F10E52" w:rsidRDefault="00E4193C" w:rsidP="00E4193C">
      <w:pPr>
        <w:spacing w:before="120" w:after="120" w:line="276" w:lineRule="auto"/>
        <w:ind w:firstLine="709"/>
        <w:jc w:val="both"/>
        <w:rPr>
          <w:rFonts w:ascii="Verdana" w:eastAsia="Times New Roman" w:hAnsi="Verdana" w:cs="Arial"/>
          <w:color w:val="1A1A1A"/>
          <w:lang w:eastAsia="es-ES_tradnl"/>
        </w:rPr>
      </w:pPr>
      <w:r w:rsidRPr="00F10E52">
        <w:rPr>
          <w:rFonts w:ascii="Verdana" w:eastAsia="Times New Roman" w:hAnsi="Verdana" w:cs="Arial"/>
          <w:color w:val="1A1A1A"/>
          <w:lang w:eastAsia="es-ES_tradnl"/>
        </w:rPr>
        <w:t xml:space="preserve">En cuanto al régimen jurídico de contratación de las empresas de servicios públicos, el inciso primero del artículo 31 de la Ley 142 de 1994 señala que </w:t>
      </w:r>
      <w:r w:rsidR="00D55662">
        <w:rPr>
          <w:rFonts w:ascii="Verdana" w:eastAsia="Times New Roman" w:hAnsi="Verdana" w:cs="Arial"/>
          <w:color w:val="1A1A1A"/>
          <w:lang w:eastAsia="es-ES_tradnl"/>
        </w:rPr>
        <w:t>“</w:t>
      </w:r>
      <w:r w:rsidR="00D55662" w:rsidRPr="00F10E52">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r>
        <w:rPr>
          <w:rFonts w:ascii="Verdana" w:eastAsia="Times New Roman" w:hAnsi="Verdana" w:cs="Arial"/>
          <w:color w:val="1A1A1A"/>
          <w:lang w:eastAsia="es-ES_tradnl"/>
        </w:rPr>
        <w:t>”</w:t>
      </w:r>
      <w:r w:rsidRPr="00F10E52">
        <w:rPr>
          <w:rFonts w:ascii="Verdana" w:eastAsia="Times New Roman" w:hAnsi="Verdana" w:cs="Arial"/>
          <w:color w:val="1A1A1A"/>
          <w:lang w:eastAsia="es-ES_tradnl"/>
        </w:rPr>
        <w:t xml:space="preserve">. De esta manera, sin perjuicio de lo dispuesto en el artículo 13 de la Ley 1150 de 2007 sobre la aplicación de los principios de la </w:t>
      </w:r>
      <w:r w:rsidRPr="00F10E52">
        <w:rPr>
          <w:rFonts w:ascii="Verdana" w:eastAsia="Times New Roman" w:hAnsi="Verdana" w:cs="Arial"/>
          <w:color w:val="1A1A1A"/>
          <w:lang w:eastAsia="es-ES_tradnl"/>
        </w:rPr>
        <w:lastRenderedPageBreak/>
        <w:t>función administrativa, la gestión fiscal, las inhabilidades e incompatibilidades, el régimen jurídico aplicable a los contratos que celebren las empresas de servicios públicos, incluso para las oficiales y las mixtas, es el contenido en el derecho civil y comercial, esto es, por regla general no están sometidas a la Ley 80 de 1993</w:t>
      </w:r>
      <w:r w:rsidRPr="00F10E52">
        <w:rPr>
          <w:rFonts w:ascii="Verdana" w:eastAsia="Times New Roman" w:hAnsi="Verdana" w:cs="Arial"/>
          <w:color w:val="1A1A1A"/>
          <w:vertAlign w:val="superscript"/>
          <w:lang w:eastAsia="es-ES_tradnl"/>
        </w:rPr>
        <w:footnoteReference w:id="27"/>
      </w:r>
      <w:r w:rsidRPr="00F10E52">
        <w:rPr>
          <w:rFonts w:ascii="Verdana" w:eastAsia="Times New Roman" w:hAnsi="Verdana" w:cs="Arial"/>
          <w:color w:val="1A1A1A"/>
          <w:lang w:eastAsia="es-ES_tradnl"/>
        </w:rPr>
        <w:t>.</w:t>
      </w:r>
    </w:p>
    <w:p w14:paraId="3FEE9261" w14:textId="77777777" w:rsidR="000A7CFE" w:rsidRDefault="000A7CFE" w:rsidP="000A7CFE">
      <w:pPr>
        <w:spacing w:after="120" w:line="276" w:lineRule="auto"/>
        <w:ind w:firstLine="707"/>
        <w:jc w:val="both"/>
        <w:rPr>
          <w:rFonts w:ascii="Verdana" w:eastAsia="Calibri" w:hAnsi="Verdana" w:cs="Arial"/>
          <w:lang w:val="es-MX"/>
        </w:rPr>
      </w:pPr>
      <w:r>
        <w:rPr>
          <w:rFonts w:ascii="Verdana" w:eastAsia="Calibri" w:hAnsi="Verdana" w:cs="Arial"/>
          <w:lang w:val="es-MX"/>
        </w:rPr>
        <w:t>En segundo lugar, e</w:t>
      </w:r>
      <w:r w:rsidRPr="00A60F9C">
        <w:rPr>
          <w:rFonts w:ascii="Verdana" w:eastAsia="Calibri" w:hAnsi="Verdana" w:cs="Arial"/>
          <w:lang w:val="es-MX"/>
        </w:rPr>
        <w:t xml:space="preserve">n cuanto a las </w:t>
      </w:r>
      <w:r>
        <w:rPr>
          <w:rFonts w:ascii="Verdana" w:eastAsia="Times New Roman" w:hAnsi="Verdana" w:cs="Arial"/>
          <w:lang w:val="es-MX" w:eastAsia="es-CO"/>
        </w:rPr>
        <w:t>r</w:t>
      </w:r>
      <w:r w:rsidRPr="00A60F9C">
        <w:rPr>
          <w:rFonts w:ascii="Verdana" w:eastAsia="Times New Roman" w:hAnsi="Verdana" w:cs="Arial"/>
          <w:lang w:val="es-MX" w:eastAsia="es-CO"/>
        </w:rPr>
        <w:t xml:space="preserve">estricciones </w:t>
      </w:r>
      <w:bookmarkStart w:id="33" w:name="_Hlk75643279"/>
      <w:r w:rsidRPr="00A60F9C">
        <w:rPr>
          <w:rFonts w:ascii="Verdana" w:eastAsia="Times New Roman" w:hAnsi="Verdana" w:cs="Arial"/>
          <w:lang w:val="es-MX" w:eastAsia="es-CO"/>
        </w:rPr>
        <w:t>para la celebración de contratos y convenios interadministrativos en los comicios para cargos de elección popular</w:t>
      </w:r>
      <w:bookmarkStart w:id="34" w:name="_Hlk88210558"/>
      <w:bookmarkEnd w:id="33"/>
      <w:r>
        <w:rPr>
          <w:rFonts w:ascii="Verdana" w:eastAsia="Times New Roman" w:hAnsi="Verdana" w:cs="Arial"/>
          <w:lang w:val="es-MX" w:eastAsia="es-CO"/>
        </w:rPr>
        <w:t xml:space="preserve">, </w:t>
      </w:r>
      <w:r>
        <w:rPr>
          <w:rFonts w:ascii="Verdana" w:eastAsia="Calibri" w:hAnsi="Verdana" w:cs="Arial"/>
          <w:bCs/>
        </w:rPr>
        <w:t>e</w:t>
      </w:r>
      <w:r w:rsidRPr="00896CCA">
        <w:rPr>
          <w:rFonts w:ascii="Verdana" w:eastAsia="Calibri" w:hAnsi="Verdana" w:cs="Arial"/>
          <w:bCs/>
        </w:rPr>
        <w:t>l parágrafo del artículo 38 de la Ley 996 de 2005 dispone que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w:t>
      </w:r>
      <w:r w:rsidRPr="00896CCA">
        <w:rPr>
          <w:rFonts w:ascii="Verdana" w:eastAsia="Times New Roman" w:hAnsi="Verdana" w:cs="Arial"/>
          <w:bCs/>
          <w:iCs/>
          <w:lang w:val="es-MX" w:eastAsia="x-none"/>
        </w:rPr>
        <w:t xml:space="preserve"> </w:t>
      </w:r>
      <w:bookmarkStart w:id="35" w:name="_Hlk99578153"/>
      <w:bookmarkEnd w:id="34"/>
      <w:r w:rsidRPr="00896CCA">
        <w:rPr>
          <w:rFonts w:ascii="Verdana" w:eastAsia="Times New Roman" w:hAnsi="Verdana" w:cs="Arial"/>
          <w:bCs/>
          <w:iCs/>
          <w:lang w:val="es-MX" w:eastAsia="x-none"/>
        </w:rPr>
        <w:t>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bookmarkEnd w:id="35"/>
      <w:r w:rsidRPr="00896CCA">
        <w:rPr>
          <w:rFonts w:ascii="Verdana" w:eastAsia="Times New Roman" w:hAnsi="Verdana" w:cs="Arial"/>
          <w:bCs/>
          <w:iCs/>
          <w:vertAlign w:val="superscript"/>
          <w:lang w:val="es-MX" w:eastAsia="x-none"/>
        </w:rPr>
        <w:footnoteReference w:id="28"/>
      </w:r>
      <w:r w:rsidRPr="00896CCA">
        <w:rPr>
          <w:rFonts w:ascii="Verdana" w:eastAsia="Times New Roman" w:hAnsi="Verdana" w:cs="Arial"/>
          <w:bCs/>
          <w:iCs/>
          <w:lang w:val="es-MX" w:eastAsia="x-none"/>
        </w:rPr>
        <w:t>.</w:t>
      </w:r>
      <w:r w:rsidRPr="00896CCA">
        <w:rPr>
          <w:rFonts w:ascii="Verdana" w:eastAsia="Calibri" w:hAnsi="Verdana" w:cs="Arial"/>
          <w:lang w:val="es-MX"/>
        </w:rPr>
        <w:t xml:space="preserve"> </w:t>
      </w:r>
    </w:p>
    <w:p w14:paraId="3E727C5D" w14:textId="77777777" w:rsidR="000A7CFE" w:rsidRPr="00896CCA" w:rsidRDefault="000A7CFE" w:rsidP="000A7CFE">
      <w:pPr>
        <w:widowControl w:val="0"/>
        <w:autoSpaceDE w:val="0"/>
        <w:autoSpaceDN w:val="0"/>
        <w:spacing w:after="120" w:line="276" w:lineRule="auto"/>
        <w:ind w:firstLine="707"/>
        <w:jc w:val="both"/>
        <w:rPr>
          <w:rFonts w:ascii="Verdana" w:eastAsia="Arial" w:hAnsi="Verdana" w:cs="Arial"/>
          <w:lang w:val="es-ES" w:eastAsia="es-ES" w:bidi="es-ES"/>
        </w:rPr>
      </w:pPr>
      <w:r w:rsidRPr="00896CCA">
        <w:rPr>
          <w:rFonts w:ascii="Verdana" w:eastAsia="Calibri" w:hAnsi="Verdana" w:cs="Arial"/>
          <w:bCs/>
          <w:lang w:eastAsia="es-ES" w:bidi="es-ES"/>
        </w:rPr>
        <w:t xml:space="preserve">Ahora bien, </w:t>
      </w:r>
      <w:bookmarkStart w:id="36" w:name="_Hlk78820161"/>
      <w:r w:rsidRPr="00896CCA">
        <w:rPr>
          <w:rFonts w:ascii="Verdana" w:eastAsia="Calibri" w:hAnsi="Verdana" w:cs="Arial"/>
          <w:bCs/>
          <w:lang w:eastAsia="es-ES" w:bidi="es-ES"/>
        </w:rPr>
        <w:t xml:space="preserve">para determinar el alcance de la prohibición consagrada por la Ley de Garantías Electorales, conviene precisar la tipología de convenios o contratos interadministrativos. </w:t>
      </w:r>
      <w:r w:rsidRPr="00896CCA">
        <w:rPr>
          <w:rFonts w:ascii="Verdana" w:eastAsia="Arial" w:hAnsi="Verdana" w:cs="Arial"/>
          <w:lang w:val="es-ES" w:eastAsia="es-ES" w:bidi="es-ES"/>
        </w:rPr>
        <w:t>Aunque la ley no la definió ni desarrolló, el Decreto 1082 de 2015 califica a los convenios o contratos interadministrativos como aquella contratación entre entidades estatales</w:t>
      </w:r>
      <w:r w:rsidRPr="00896CCA">
        <w:rPr>
          <w:rFonts w:ascii="Verdana" w:eastAsia="Arial" w:hAnsi="Verdana" w:cs="Arial"/>
          <w:vertAlign w:val="superscript"/>
          <w:lang w:val="es-ES" w:eastAsia="es-ES" w:bidi="es-ES"/>
        </w:rPr>
        <w:footnoteReference w:id="29"/>
      </w:r>
      <w:r w:rsidRPr="00896CCA">
        <w:rPr>
          <w:rFonts w:ascii="Verdana" w:eastAsia="Arial" w:hAnsi="Verdana" w:cs="Arial"/>
          <w:lang w:val="es-ES" w:eastAsia="es-ES" w:bidi="es-ES"/>
        </w:rPr>
        <w:t xml:space="preserve">.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w:t>
      </w:r>
      <w:r w:rsidRPr="00896CCA">
        <w:rPr>
          <w:rFonts w:ascii="Verdana" w:eastAsia="Arial" w:hAnsi="Verdana" w:cs="Arial"/>
          <w:lang w:val="es-ES" w:eastAsia="es-ES" w:bidi="es-ES"/>
        </w:rPr>
        <w:lastRenderedPageBreak/>
        <w:t>están determinados por un criterio orgánico, pues es necesario que los extremos de la relación contractual sean entidades</w:t>
      </w:r>
      <w:r w:rsidRPr="00896CCA">
        <w:rPr>
          <w:rFonts w:ascii="Verdana" w:eastAsia="Arial" w:hAnsi="Verdana" w:cs="Arial"/>
          <w:spacing w:val="-6"/>
          <w:lang w:val="es-ES" w:eastAsia="es-ES" w:bidi="es-ES"/>
        </w:rPr>
        <w:t xml:space="preserve"> </w:t>
      </w:r>
      <w:r w:rsidRPr="00896CCA">
        <w:rPr>
          <w:rFonts w:ascii="Verdana" w:eastAsia="Arial" w:hAnsi="Verdana" w:cs="Arial"/>
          <w:lang w:val="es-ES" w:eastAsia="es-ES" w:bidi="es-ES"/>
        </w:rPr>
        <w:t>estatales.</w:t>
      </w:r>
    </w:p>
    <w:p w14:paraId="4919CF8E" w14:textId="77777777" w:rsidR="000A7CFE" w:rsidRPr="00896CCA" w:rsidRDefault="000A7CFE" w:rsidP="000A7CFE">
      <w:pPr>
        <w:widowControl w:val="0"/>
        <w:autoSpaceDE w:val="0"/>
        <w:autoSpaceDN w:val="0"/>
        <w:spacing w:after="120" w:line="276" w:lineRule="auto"/>
        <w:ind w:firstLine="707"/>
        <w:jc w:val="both"/>
        <w:rPr>
          <w:rFonts w:ascii="Verdana" w:eastAsia="Calibri" w:hAnsi="Verdana" w:cs="Arial"/>
          <w:bCs/>
          <w:lang w:val="es-ES"/>
        </w:rPr>
      </w:pPr>
      <w:bookmarkStart w:id="37" w:name="_Hlk78820654"/>
      <w:bookmarkEnd w:id="36"/>
      <w:r w:rsidRPr="00896CCA">
        <w:rPr>
          <w:rFonts w:ascii="Verdana" w:eastAsia="Arial" w:hAnsi="Verdana" w:cs="Arial"/>
          <w:lang w:val="es-ES" w:eastAsia="es-ES" w:bidi="es-ES"/>
        </w:rPr>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 De esta manera, sin perjuicio de lo dispuesto en el artículo 56 de la Ley 2195 de 2022, el literal c) del artículo 2.4 de la Ley 1150 de 2007 dispone que “</w:t>
      </w:r>
      <w:r w:rsidRPr="00896CCA">
        <w:rPr>
          <w:rFonts w:ascii="Verdana" w:eastAsia="Arial" w:hAnsi="Verdana" w:cs="Arial"/>
          <w:lang w:eastAsia="es-ES" w:bidi="es-ES"/>
        </w:rPr>
        <w:t>En aquellos eventos en que el régimen aplicable a la contratación de la entidad ejecutora no sea el de la Ley 80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p w14:paraId="7E3C5745" w14:textId="77777777" w:rsidR="000A7CFE" w:rsidRPr="00896CCA" w:rsidRDefault="000A7CFE" w:rsidP="000A7CFE">
      <w:pPr>
        <w:widowControl w:val="0"/>
        <w:autoSpaceDE w:val="0"/>
        <w:autoSpaceDN w:val="0"/>
        <w:spacing w:after="120" w:line="276" w:lineRule="auto"/>
        <w:ind w:firstLine="707"/>
        <w:jc w:val="both"/>
        <w:rPr>
          <w:rFonts w:ascii="Verdana" w:eastAsia="Arial" w:hAnsi="Verdana" w:cs="Arial"/>
          <w:lang w:val="es-ES" w:eastAsia="es-ES" w:bidi="es-ES"/>
        </w:rPr>
      </w:pPr>
      <w:bookmarkStart w:id="38" w:name="_Hlk99578261"/>
      <w:bookmarkEnd w:id="37"/>
      <w:r w:rsidRPr="00896CCA">
        <w:rPr>
          <w:rFonts w:ascii="Verdana" w:eastAsia="Arial" w:hAnsi="Verdana" w:cs="Arial"/>
          <w:lang w:val="es-ES" w:eastAsia="es-ES" w:bidi="es-ES"/>
        </w:rPr>
        <w:t>Adicionalmente,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896CCA">
        <w:rPr>
          <w:rFonts w:ascii="Verdana" w:eastAsia="Arial" w:hAnsi="Verdana" w:cs="Arial"/>
          <w:vertAlign w:val="superscript"/>
          <w:lang w:val="es-ES" w:eastAsia="es-ES" w:bidi="es-ES"/>
        </w:rPr>
        <w:footnoteReference w:id="30"/>
      </w:r>
      <w:r w:rsidRPr="00896CCA">
        <w:rPr>
          <w:rFonts w:ascii="Verdana" w:eastAsia="Arial" w:hAnsi="Verdana" w:cs="Arial"/>
          <w:lang w:val="es-ES" w:eastAsia="es-ES" w:bidi="es-ES"/>
        </w:rPr>
        <w:t>. Nótese que, en este caso, lo que cambia es la modalidad de selección y no la naturaleza de contrato</w:t>
      </w:r>
      <w:r w:rsidRPr="00896CCA">
        <w:rPr>
          <w:rFonts w:ascii="Verdana" w:eastAsia="Arial" w:hAnsi="Verdana" w:cs="Arial"/>
          <w:spacing w:val="-18"/>
          <w:lang w:val="es-ES" w:eastAsia="es-ES" w:bidi="es-ES"/>
        </w:rPr>
        <w:t xml:space="preserve"> </w:t>
      </w:r>
      <w:r w:rsidRPr="00896CCA">
        <w:rPr>
          <w:rFonts w:ascii="Verdana" w:eastAsia="Arial" w:hAnsi="Verdana" w:cs="Arial"/>
          <w:lang w:val="es-ES" w:eastAsia="es-ES" w:bidi="es-ES"/>
        </w:rPr>
        <w:t>interadministrativo.</w:t>
      </w:r>
    </w:p>
    <w:bookmarkEnd w:id="38"/>
    <w:p w14:paraId="6BECE65A" w14:textId="77777777" w:rsidR="000A7CFE" w:rsidRDefault="000A7CFE" w:rsidP="000A7CFE">
      <w:pPr>
        <w:tabs>
          <w:tab w:val="left" w:pos="426"/>
        </w:tabs>
        <w:spacing w:after="120" w:line="276" w:lineRule="auto"/>
        <w:ind w:firstLine="709"/>
        <w:jc w:val="both"/>
        <w:rPr>
          <w:rFonts w:ascii="Verdana" w:eastAsia="Times New Roman" w:hAnsi="Verdana" w:cs="Arial"/>
          <w:bCs/>
          <w:lang w:val="es-MX" w:eastAsia="es-CO"/>
        </w:rPr>
      </w:pPr>
      <w:r w:rsidRPr="00896CCA">
        <w:rPr>
          <w:rFonts w:ascii="Verdana" w:eastAsia="Times New Roman" w:hAnsi="Verdana" w:cs="Arial"/>
          <w:bCs/>
          <w:lang w:eastAsia="es-CO"/>
        </w:rPr>
        <w:t xml:space="preserve">Se observa entonces que </w:t>
      </w:r>
      <w:r w:rsidRPr="00896CCA">
        <w:rPr>
          <w:rFonts w:ascii="Verdana" w:eastAsia="Times New Roman" w:hAnsi="Verdana" w:cs="Arial"/>
          <w:bCs/>
          <w:lang w:val="es-MX" w:eastAsia="es-CO"/>
        </w:rPr>
        <w:t xml:space="preserve">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entidad de aquellas descritas en el parágrafo </w:t>
      </w:r>
      <w:r w:rsidRPr="00896CCA">
        <w:rPr>
          <w:rFonts w:ascii="Verdana" w:eastAsia="Times New Roman" w:hAnsi="Verdana" w:cs="Arial"/>
          <w:bCs/>
          <w:i/>
          <w:iCs/>
          <w:lang w:val="es-MX" w:eastAsia="es-CO"/>
        </w:rPr>
        <w:t>ibidem</w:t>
      </w:r>
      <w:r w:rsidRPr="00896CCA">
        <w:rPr>
          <w:rFonts w:ascii="Verdana" w:eastAsia="Times New Roman" w:hAnsi="Verdana" w:cs="Arial"/>
          <w:bCs/>
          <w:lang w:val="es-MX" w:eastAsia="es-CO"/>
        </w:rPr>
        <w:t xml:space="preserve">, no podrá celebrar tales convenios o contratos durante la aplicación de la Ley de Garantías Electorales, toda vez que </w:t>
      </w:r>
      <w:r w:rsidRPr="00896CCA">
        <w:rPr>
          <w:rFonts w:ascii="Verdana" w:eastAsia="Times New Roman" w:hAnsi="Verdana" w:cs="Arial"/>
          <w:bCs/>
          <w:lang w:val="es-MX" w:eastAsia="es-CO"/>
        </w:rPr>
        <w:lastRenderedPageBreak/>
        <w:t>la citada disposición hace referencia a dicha tipología contractual sin que el legislador hubiere contemplado excepción alguna frente a la modalidad de selección o naturaleza de su objeto</w:t>
      </w:r>
      <w:r w:rsidRPr="00896CCA">
        <w:rPr>
          <w:rFonts w:ascii="Verdana" w:eastAsia="Calibri" w:hAnsi="Verdana" w:cs="Arial"/>
          <w:bCs/>
          <w:vertAlign w:val="superscript"/>
          <w:lang w:val="es-MX" w:eastAsia="es-CO"/>
        </w:rPr>
        <w:footnoteReference w:id="31"/>
      </w:r>
      <w:r w:rsidRPr="00896CCA">
        <w:rPr>
          <w:rFonts w:ascii="Verdana" w:eastAsia="Times New Roman" w:hAnsi="Verdana" w:cs="Arial"/>
          <w:bCs/>
          <w:lang w:val="es-MX" w:eastAsia="es-CO"/>
        </w:rPr>
        <w:t xml:space="preserve">. </w:t>
      </w:r>
    </w:p>
    <w:p w14:paraId="7A4E074C" w14:textId="77777777" w:rsidR="000A7CFE" w:rsidRPr="00E2397D" w:rsidRDefault="000A7CFE" w:rsidP="000A7CFE">
      <w:pPr>
        <w:spacing w:after="120" w:line="276" w:lineRule="auto"/>
        <w:ind w:firstLine="709"/>
        <w:jc w:val="both"/>
        <w:rPr>
          <w:rFonts w:ascii="Verdana" w:eastAsia="Calibri" w:hAnsi="Verdana" w:cs="Arial"/>
          <w:lang w:bidi="es-ES"/>
        </w:rPr>
      </w:pPr>
      <w:r>
        <w:rPr>
          <w:rFonts w:ascii="Verdana" w:eastAsia="Times New Roman" w:hAnsi="Verdana" w:cs="Arial"/>
          <w:lang w:val="es-MX" w:eastAsia="x-none"/>
        </w:rPr>
        <w:t>E</w:t>
      </w:r>
      <w:r w:rsidRPr="00E2397D">
        <w:rPr>
          <w:rFonts w:ascii="Verdana" w:eastAsia="Times New Roman" w:hAnsi="Verdana" w:cs="Arial"/>
          <w:lang w:val="es-MX" w:eastAsia="x-none"/>
        </w:rPr>
        <w:t xml:space="preserv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1E7AF183" w14:textId="77777777" w:rsidR="000A7CFE" w:rsidRPr="00E2397D" w:rsidRDefault="000A7CFE" w:rsidP="000A7CFE">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2397D">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E2397D">
        <w:rPr>
          <w:rFonts w:ascii="Verdana" w:eastAsia="Arial" w:hAnsi="Verdana" w:cs="Arial"/>
          <w:vertAlign w:val="superscript"/>
          <w:lang w:val="es-ES" w:eastAsia="es-ES" w:bidi="es-ES"/>
        </w:rPr>
        <w:footnoteReference w:id="32"/>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33"/>
      </w:r>
      <w:r w:rsidRPr="00E2397D">
        <w:rPr>
          <w:rFonts w:ascii="Verdana" w:eastAsia="Arial" w:hAnsi="Verdana" w:cs="Arial"/>
          <w:lang w:val="es-ES" w:eastAsia="es-ES" w:bidi="es-ES"/>
        </w:rPr>
        <w:t>.</w:t>
      </w:r>
    </w:p>
    <w:p w14:paraId="6D8FEEA7" w14:textId="77777777" w:rsidR="000A7CFE" w:rsidRPr="00E2397D" w:rsidRDefault="000A7CFE" w:rsidP="000A7CFE">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t>De este modo, en la Circular Externa</w:t>
      </w:r>
      <w:r w:rsidRPr="00E2397D">
        <w:rPr>
          <w:rFonts w:ascii="Verdana" w:eastAsia="Arial" w:hAnsi="Verdana" w:cs="Arial"/>
          <w:lang w:val="es-ES" w:eastAsia="es-ES" w:bidi="es-ES"/>
        </w:rPr>
        <w:t xml:space="preserve"> Única de Colombia Compra Eficiente, </w:t>
      </w:r>
      <w:r w:rsidRPr="00E2397D">
        <w:rPr>
          <w:rFonts w:ascii="Verdana" w:eastAsia="Arial" w:hAnsi="Verdana" w:cs="Arial"/>
          <w:lang w:val="es-ES" w:eastAsia="es-ES" w:bidi="es-ES"/>
        </w:rPr>
        <w:lastRenderedPageBreak/>
        <w:t>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45C3621F" w14:textId="77777777" w:rsidR="000A7CFE" w:rsidRPr="00E2397D" w:rsidRDefault="000A7CFE" w:rsidP="000A7CFE">
      <w:pPr>
        <w:widowControl w:val="0"/>
        <w:autoSpaceDE w:val="0"/>
        <w:autoSpaceDN w:val="0"/>
        <w:spacing w:after="0" w:line="276" w:lineRule="auto"/>
        <w:contextualSpacing/>
        <w:jc w:val="both"/>
        <w:rPr>
          <w:rFonts w:ascii="Verdana" w:eastAsia="Arial" w:hAnsi="Verdana" w:cs="Arial"/>
          <w:lang w:val="es-ES" w:eastAsia="es-ES" w:bidi="es-ES"/>
        </w:rPr>
      </w:pPr>
    </w:p>
    <w:p w14:paraId="73981700" w14:textId="77777777" w:rsidR="000A7CFE" w:rsidRPr="00E2397D" w:rsidRDefault="000A7CFE" w:rsidP="000A7CFE">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E2397D">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2CB74FBD" w14:textId="77777777" w:rsidR="000A7CFE" w:rsidRPr="00E2397D" w:rsidRDefault="000A7CFE" w:rsidP="000A7CFE">
      <w:pPr>
        <w:spacing w:after="0" w:line="240" w:lineRule="auto"/>
        <w:ind w:left="709" w:right="709"/>
        <w:jc w:val="both"/>
        <w:rPr>
          <w:rFonts w:ascii="Verdana" w:eastAsia="Calibri" w:hAnsi="Verdana" w:cs="Arial"/>
          <w:sz w:val="20"/>
          <w:szCs w:val="20"/>
          <w:lang w:val="es-MX"/>
        </w:rPr>
      </w:pPr>
    </w:p>
    <w:p w14:paraId="0F7ADF81" w14:textId="77777777" w:rsidR="000A7CFE" w:rsidRPr="00E2397D" w:rsidRDefault="000A7CFE" w:rsidP="000A7CFE">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77DD032B" w14:textId="77777777" w:rsidR="000A7CFE" w:rsidRPr="00E2397D" w:rsidRDefault="000A7CFE" w:rsidP="000A7CFE">
      <w:pPr>
        <w:spacing w:after="0" w:line="240" w:lineRule="auto"/>
        <w:ind w:left="709" w:right="709"/>
        <w:jc w:val="both"/>
        <w:rPr>
          <w:rFonts w:ascii="Verdana" w:eastAsia="Calibri" w:hAnsi="Verdana" w:cs="Arial"/>
          <w:sz w:val="20"/>
          <w:szCs w:val="20"/>
          <w:lang w:val="es-MX"/>
        </w:rPr>
      </w:pPr>
    </w:p>
    <w:p w14:paraId="74CF885F" w14:textId="77777777" w:rsidR="000A7CFE" w:rsidRPr="00E2397D" w:rsidRDefault="000A7CFE" w:rsidP="000A7CFE">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58AF992D" w14:textId="77777777" w:rsidR="000A7CFE" w:rsidRPr="00E2397D" w:rsidRDefault="000A7CFE" w:rsidP="000A7CFE">
      <w:pPr>
        <w:widowControl w:val="0"/>
        <w:autoSpaceDE w:val="0"/>
        <w:autoSpaceDN w:val="0"/>
        <w:spacing w:after="0" w:line="276" w:lineRule="auto"/>
        <w:contextualSpacing/>
        <w:jc w:val="both"/>
        <w:rPr>
          <w:rFonts w:ascii="Verdana" w:eastAsia="Arial" w:hAnsi="Verdana" w:cs="Arial"/>
          <w:lang w:val="es-ES" w:eastAsia="es-ES" w:bidi="es-ES"/>
        </w:rPr>
      </w:pPr>
    </w:p>
    <w:p w14:paraId="63942624" w14:textId="77777777" w:rsidR="000A7CFE" w:rsidRPr="00E2397D" w:rsidRDefault="000A7CFE" w:rsidP="000A7CFE">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 xml:space="preserve">el parágrafo del artículo 38 de la Ley 996 </w:t>
      </w:r>
      <w:r w:rsidRPr="00E2397D">
        <w:rPr>
          <w:rFonts w:ascii="Verdana" w:eastAsia="Arial" w:hAnsi="Verdana" w:cs="Arial"/>
          <w:lang w:val="es-MX" w:eastAsia="es-ES" w:bidi="es-ES"/>
        </w:rPr>
        <w:lastRenderedPageBreak/>
        <w:t>de 2005 es que prohíbe a los alcaldes, gobernadores, secretarios, gerentes y directores de las entidades del orden municipal, departamental o distrital celebrar convenios y contratos interadministrativos para la ejecución de recursos públicos.</w:t>
      </w:r>
    </w:p>
    <w:p w14:paraId="45882844" w14:textId="77777777" w:rsidR="000A7CFE" w:rsidRPr="00E2397D" w:rsidRDefault="000A7CFE" w:rsidP="000A7CFE">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E2397D">
        <w:rPr>
          <w:rFonts w:ascii="Verdana" w:hAnsi="Verdana"/>
        </w:rPr>
        <w:t>numeral 16.2 de la Circular Externa Única de 2022 expedida por la Agencia Nacional de Contratación Pública -Colombia Compra Eficiente-, concretamente, respecto de los siguientes apartes normativos</w:t>
      </w:r>
      <w:r w:rsidRPr="00E2397D">
        <w:rPr>
          <w:rFonts w:ascii="Verdana" w:hAnsi="Verdana"/>
          <w:vertAlign w:val="superscript"/>
        </w:rPr>
        <w:footnoteReference w:id="34"/>
      </w:r>
      <w:r w:rsidRPr="00E2397D">
        <w:rPr>
          <w:rFonts w:ascii="Verdana" w:hAnsi="Verdana"/>
        </w:rPr>
        <w:t>:</w:t>
      </w:r>
      <w:r w:rsidRPr="00E2397D">
        <w:t xml:space="preserve"> </w:t>
      </w:r>
    </w:p>
    <w:p w14:paraId="137D95D8" w14:textId="77777777" w:rsidR="000A7CFE" w:rsidRPr="00E2397D" w:rsidRDefault="000A7CFE" w:rsidP="000A7CFE">
      <w:pPr>
        <w:spacing w:after="0" w:line="276" w:lineRule="auto"/>
        <w:ind w:firstLine="709"/>
        <w:jc w:val="both"/>
      </w:pPr>
    </w:p>
    <w:p w14:paraId="53EA2A7A" w14:textId="77777777" w:rsidR="000A7CFE" w:rsidRPr="00E2397D" w:rsidRDefault="000A7CFE" w:rsidP="000A7CFE">
      <w:pPr>
        <w:spacing w:after="0" w:line="240" w:lineRule="auto"/>
        <w:ind w:left="709" w:right="709"/>
        <w:jc w:val="both"/>
        <w:rPr>
          <w:rFonts w:ascii="Verdana" w:eastAsia="Calibri" w:hAnsi="Verdana" w:cs="Arial"/>
          <w:sz w:val="20"/>
          <w:szCs w:val="20"/>
        </w:rPr>
      </w:pP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596C6E33" w14:textId="77777777" w:rsidR="000A7CFE" w:rsidRPr="00E2397D" w:rsidRDefault="000A7CFE" w:rsidP="000A7CFE">
      <w:pPr>
        <w:spacing w:after="0" w:line="240" w:lineRule="auto"/>
        <w:ind w:left="709" w:right="709"/>
        <w:jc w:val="both"/>
        <w:rPr>
          <w:rFonts w:ascii="Verdana" w:eastAsia="Calibri" w:hAnsi="Verdana" w:cs="Arial"/>
          <w:sz w:val="20"/>
          <w:szCs w:val="20"/>
        </w:rPr>
      </w:pPr>
    </w:p>
    <w:p w14:paraId="2FCC793D" w14:textId="77777777" w:rsidR="000A7CFE" w:rsidRPr="00E2397D" w:rsidRDefault="000A7CFE" w:rsidP="000A7CFE">
      <w:pPr>
        <w:spacing w:after="0" w:line="240" w:lineRule="auto"/>
        <w:ind w:left="709" w:right="709"/>
        <w:jc w:val="both"/>
        <w:rPr>
          <w:rFonts w:ascii="Verdana" w:hAnsi="Verdana"/>
          <w:sz w:val="20"/>
          <w:szCs w:val="20"/>
        </w:rPr>
      </w:pPr>
      <w:proofErr w:type="spellStart"/>
      <w:r w:rsidRPr="00E2397D">
        <w:rPr>
          <w:rFonts w:ascii="Verdana" w:hAnsi="Verdana"/>
          <w:sz w:val="20"/>
          <w:szCs w:val="20"/>
        </w:rPr>
        <w:t>ii</w:t>
      </w:r>
      <w:proofErr w:type="spellEnd"/>
      <w:r w:rsidRPr="00E2397D">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5253E36A" w14:textId="77777777" w:rsidR="000A7CFE" w:rsidRPr="00E2397D" w:rsidRDefault="000A7CFE" w:rsidP="000A7CFE">
      <w:pPr>
        <w:spacing w:after="0" w:line="276" w:lineRule="auto"/>
        <w:ind w:left="709" w:right="709"/>
        <w:jc w:val="both"/>
        <w:rPr>
          <w:rFonts w:ascii="Verdana" w:hAnsi="Verdana"/>
        </w:rPr>
      </w:pPr>
    </w:p>
    <w:p w14:paraId="77483392" w14:textId="77777777" w:rsidR="000A7CFE" w:rsidRPr="00E2397D" w:rsidRDefault="000A7CFE" w:rsidP="000A7CFE">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E2397D">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w:t>
      </w:r>
      <w:r w:rsidRPr="00E2397D">
        <w:rPr>
          <w:rFonts w:ascii="Verdana" w:eastAsia="Arial" w:hAnsi="Verdana" w:cs="Arial"/>
          <w:lang w:eastAsia="es-ES" w:bidi="es-ES"/>
        </w:rPr>
        <w:lastRenderedPageBreak/>
        <w:t xml:space="preserve">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27EF4E9E" w14:textId="77777777" w:rsidR="000A7CFE" w:rsidRPr="00E2397D" w:rsidRDefault="000A7CFE" w:rsidP="000A7CFE">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22A7D080" w14:textId="77777777" w:rsidR="000A7CFE" w:rsidRPr="00E2397D" w:rsidRDefault="000A7CFE" w:rsidP="000A7CFE">
      <w:pPr>
        <w:spacing w:after="120" w:line="276" w:lineRule="auto"/>
        <w:ind w:firstLine="709"/>
        <w:jc w:val="both"/>
        <w:rPr>
          <w:rFonts w:ascii="Verdana" w:eastAsia="Arial" w:hAnsi="Verdana" w:cs="Arial"/>
          <w:lang w:val="es-MX" w:eastAsia="es-ES" w:bidi="es-ES"/>
        </w:rPr>
      </w:pPr>
      <w:r w:rsidRPr="00E2397D">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E2397D">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E2397D">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1AF694D2" w14:textId="77777777" w:rsidR="000A7CFE" w:rsidRDefault="000A7CFE" w:rsidP="000A7CFE">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w:t>
      </w:r>
      <w:r w:rsidRPr="00E2397D">
        <w:rPr>
          <w:rFonts w:ascii="Verdana" w:eastAsia="Times New Roman" w:hAnsi="Verdana" w:cs="Arial"/>
          <w:lang w:val="es-MX" w:eastAsia="es-CO"/>
        </w:rPr>
        <w:lastRenderedPageBreak/>
        <w:t>expuso anteriormente, para esta Agencia tal restricción también cobijaría a los contratos interadmin</w:t>
      </w:r>
      <w:r>
        <w:rPr>
          <w:rFonts w:ascii="Verdana" w:eastAsia="Times New Roman" w:hAnsi="Verdana" w:cs="Arial"/>
          <w:lang w:val="es-MX" w:eastAsia="es-CO"/>
        </w:rPr>
        <w:t xml:space="preserve">istrativos. </w:t>
      </w:r>
    </w:p>
    <w:p w14:paraId="00B7F95C" w14:textId="77777777" w:rsidR="000A7CFE" w:rsidRDefault="000A7CFE" w:rsidP="000A7CFE">
      <w:pPr>
        <w:widowControl w:val="0"/>
        <w:autoSpaceDE w:val="0"/>
        <w:autoSpaceDN w:val="0"/>
        <w:spacing w:after="120" w:line="276" w:lineRule="auto"/>
        <w:ind w:firstLine="709"/>
        <w:jc w:val="both"/>
        <w:rPr>
          <w:rFonts w:ascii="Verdana" w:eastAsia="Calibri" w:hAnsi="Verdana" w:cs="Arial"/>
          <w:lang w:eastAsia="es-ES" w:bidi="es-ES"/>
        </w:rPr>
      </w:pPr>
      <w:bookmarkStart w:id="39" w:name="_Hlk77154098"/>
      <w:r w:rsidRPr="00896CCA">
        <w:rPr>
          <w:rFonts w:ascii="Verdana" w:eastAsia="Times New Roman" w:hAnsi="Verdana" w:cs="Arial"/>
          <w:bCs/>
          <w:lang w:val="es-ES" w:eastAsia="es-CO" w:bidi="es-ES"/>
        </w:rPr>
        <w:t>En todo caso</w:t>
      </w:r>
      <w:r w:rsidRPr="00896CCA">
        <w:rPr>
          <w:rFonts w:ascii="Verdana" w:eastAsia="Arial" w:hAnsi="Verdana" w:cs="Arial"/>
          <w:lang w:val="es-ES" w:eastAsia="es-ES" w:bidi="es-ES"/>
        </w:rPr>
        <w:t xml:space="preserve">, es importante resaltar que la Sala de Consulta y Servicio Civil del Consejo de Estado se ha pronunciado en el sentido de que </w:t>
      </w:r>
      <w:bookmarkStart w:id="40" w:name="_Hlk78820889"/>
      <w:r w:rsidRPr="00896CCA">
        <w:rPr>
          <w:rFonts w:ascii="Verdana" w:eastAsia="Arial" w:hAnsi="Verdana" w:cs="Arial"/>
          <w:lang w:val="es-ES" w:eastAsia="es-ES" w:bidi="es-ES"/>
        </w:rPr>
        <w:t>no se les aplica la restricción contemplada en el artículo 38 de la Ley de Garantías a los convenios o contratos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40"/>
      <w:r w:rsidRPr="00896CCA">
        <w:rPr>
          <w:rFonts w:ascii="Verdana" w:eastAsia="Arial" w:hAnsi="Verdana" w:cs="Arial"/>
          <w:vertAlign w:val="superscript"/>
          <w:lang w:val="es-ES" w:eastAsia="es-ES" w:bidi="es-ES"/>
        </w:rPr>
        <w:footnoteReference w:id="35"/>
      </w:r>
      <w:r w:rsidRPr="00896CCA">
        <w:rPr>
          <w:rFonts w:ascii="Verdana" w:eastAsia="Calibri" w:hAnsi="Verdana" w:cs="Arial"/>
          <w:lang w:eastAsia="es-ES" w:bidi="es-ES"/>
        </w:rPr>
        <w:t>.</w:t>
      </w:r>
      <w:bookmarkEnd w:id="39"/>
    </w:p>
    <w:p w14:paraId="7B3EC01B" w14:textId="658909BA" w:rsidR="00E4193C" w:rsidRPr="00C71956" w:rsidRDefault="00E4193C" w:rsidP="00E4193C">
      <w:pPr>
        <w:spacing w:line="276" w:lineRule="auto"/>
        <w:ind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15CC3B2" w14:textId="7FDE5602" w:rsidR="00E4193C" w:rsidRDefault="00E4193C" w:rsidP="00363352">
      <w:pPr>
        <w:widowControl w:val="0"/>
        <w:spacing w:after="0" w:line="276" w:lineRule="auto"/>
        <w:jc w:val="both"/>
        <w:rPr>
          <w:rFonts w:ascii="Verdana" w:eastAsia="Calibri" w:hAnsi="Verdana" w:cs="Arial"/>
          <w:lang w:eastAsia="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hAnsi="Verdana" w:cs="Arial"/>
          <w:iCs/>
          <w:color w:val="000000" w:themeColor="text1"/>
        </w:rPr>
        <w:t xml:space="preserve">        </w:t>
      </w:r>
    </w:p>
    <w:p w14:paraId="4ECC4F1E" w14:textId="77777777" w:rsidR="00E4193C" w:rsidRDefault="00E4193C" w:rsidP="00363352">
      <w:pPr>
        <w:spacing w:after="0" w:line="276" w:lineRule="auto"/>
        <w:ind w:firstLine="708"/>
        <w:jc w:val="both"/>
        <w:rPr>
          <w:rFonts w:ascii="Verdana" w:eastAsia="Times New Roman" w:hAnsi="Verdana" w:cs="Arial"/>
          <w:lang w:val="es-ES_tradnl" w:eastAsia="es-ES_tradnl"/>
        </w:rPr>
      </w:pPr>
    </w:p>
    <w:p w14:paraId="0F04085E" w14:textId="77777777" w:rsidR="00E4193C" w:rsidRPr="00B715C6" w:rsidRDefault="00E4193C" w:rsidP="00363352">
      <w:pPr>
        <w:pStyle w:val="Prrafodelista"/>
        <w:numPr>
          <w:ilvl w:val="0"/>
          <w:numId w:val="16"/>
        </w:numPr>
        <w:spacing w:after="0" w:line="276" w:lineRule="auto"/>
        <w:ind w:left="426"/>
        <w:jc w:val="both"/>
        <w:rPr>
          <w:rFonts w:ascii="Verdana" w:eastAsia="Times New Roman" w:hAnsi="Verdana" w:cs="Arial"/>
          <w:lang w:val="es-ES_tradnl" w:eastAsia="es-ES_tradnl"/>
        </w:rPr>
      </w:pPr>
      <w:r w:rsidRPr="00B715C6">
        <w:rPr>
          <w:rFonts w:ascii="Verdana" w:eastAsia="Century Gothic" w:hAnsi="Verdana" w:cs="Century Gothic"/>
          <w:b/>
          <w:bCs/>
        </w:rPr>
        <w:t>Referencias normativas, jurisprudenciales y otras fuentes:</w:t>
      </w:r>
    </w:p>
    <w:p w14:paraId="28C1C927" w14:textId="77777777" w:rsidR="00E4193C" w:rsidRPr="00593A5F" w:rsidRDefault="00E4193C" w:rsidP="00E4193C">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4193C" w:rsidRPr="00593A5F" w14:paraId="5A4F36BD" w14:textId="77777777" w:rsidTr="00ED0004">
        <w:trPr>
          <w:trHeight w:val="870"/>
        </w:trPr>
        <w:tc>
          <w:tcPr>
            <w:tcW w:w="8647" w:type="dxa"/>
          </w:tcPr>
          <w:p w14:paraId="2D4EB031" w14:textId="77777777" w:rsidR="00E4193C" w:rsidRDefault="00E4193C" w:rsidP="00363352">
            <w:pPr>
              <w:widowControl w:val="0"/>
              <w:numPr>
                <w:ilvl w:val="0"/>
                <w:numId w:val="17"/>
              </w:numPr>
              <w:autoSpaceDE w:val="0"/>
              <w:autoSpaceDN w:val="0"/>
              <w:spacing w:line="276" w:lineRule="auto"/>
              <w:jc w:val="both"/>
              <w:rPr>
                <w:rFonts w:ascii="Verdana" w:hAnsi="Verdana" w:cs="Arial"/>
                <w:lang w:val="es-ES"/>
              </w:rPr>
            </w:pPr>
            <w:r w:rsidRPr="00377B05">
              <w:rPr>
                <w:rFonts w:ascii="Verdana" w:hAnsi="Verdana" w:cs="Arial"/>
                <w:lang w:val="es-ES"/>
              </w:rPr>
              <w:t>Constitución Política: Artículo 127.</w:t>
            </w:r>
          </w:p>
          <w:p w14:paraId="3ECA052B" w14:textId="77777777" w:rsidR="00E4193C" w:rsidRPr="00377B05" w:rsidRDefault="00E4193C" w:rsidP="00363352">
            <w:pPr>
              <w:widowControl w:val="0"/>
              <w:numPr>
                <w:ilvl w:val="0"/>
                <w:numId w:val="17"/>
              </w:numPr>
              <w:autoSpaceDE w:val="0"/>
              <w:autoSpaceDN w:val="0"/>
              <w:spacing w:line="276" w:lineRule="auto"/>
              <w:jc w:val="both"/>
              <w:rPr>
                <w:rFonts w:ascii="Verdana" w:hAnsi="Verdana" w:cs="Arial"/>
                <w:lang w:val="es-ES"/>
              </w:rPr>
            </w:pPr>
            <w:r w:rsidRPr="00377B05">
              <w:rPr>
                <w:rFonts w:ascii="Verdana" w:hAnsi="Verdana" w:cs="Arial"/>
                <w:lang w:val="es-ES"/>
              </w:rPr>
              <w:t xml:space="preserve">Ley 80 de 1993, artículos 39, 41. </w:t>
            </w:r>
          </w:p>
          <w:p w14:paraId="67351364" w14:textId="77777777" w:rsidR="00E4193C" w:rsidRPr="00377B05" w:rsidRDefault="00E4193C" w:rsidP="00363352">
            <w:pPr>
              <w:widowControl w:val="0"/>
              <w:numPr>
                <w:ilvl w:val="0"/>
                <w:numId w:val="17"/>
              </w:numPr>
              <w:autoSpaceDE w:val="0"/>
              <w:autoSpaceDN w:val="0"/>
              <w:spacing w:line="276" w:lineRule="auto"/>
              <w:jc w:val="both"/>
              <w:rPr>
                <w:rFonts w:ascii="Verdana" w:hAnsi="Verdana" w:cs="Arial"/>
                <w:lang w:val="es-ES"/>
              </w:rPr>
            </w:pPr>
            <w:r w:rsidRPr="00377B05">
              <w:rPr>
                <w:rFonts w:ascii="Verdana" w:hAnsi="Verdana" w:cs="Arial"/>
                <w:lang w:val="es-ES"/>
              </w:rPr>
              <w:t xml:space="preserve">Código Civil, artículo 1501. </w:t>
            </w:r>
          </w:p>
          <w:p w14:paraId="7A35DC2F" w14:textId="77777777" w:rsidR="00E4193C" w:rsidRPr="00377B05" w:rsidRDefault="00E4193C" w:rsidP="00363352">
            <w:pPr>
              <w:widowControl w:val="0"/>
              <w:numPr>
                <w:ilvl w:val="0"/>
                <w:numId w:val="17"/>
              </w:numPr>
              <w:autoSpaceDE w:val="0"/>
              <w:autoSpaceDN w:val="0"/>
              <w:spacing w:line="276" w:lineRule="auto"/>
              <w:jc w:val="both"/>
              <w:rPr>
                <w:rFonts w:ascii="Verdana" w:hAnsi="Verdana" w:cs="Arial"/>
                <w:lang w:val="es-ES"/>
              </w:rPr>
            </w:pPr>
            <w:r w:rsidRPr="00377B05">
              <w:rPr>
                <w:rFonts w:ascii="Verdana" w:hAnsi="Verdana" w:cs="Arial"/>
                <w:lang w:val="es-ES"/>
              </w:rPr>
              <w:lastRenderedPageBreak/>
              <w:t>Ley 996 de 2005: artículos 33 y 38 parágrafo.</w:t>
            </w:r>
          </w:p>
          <w:p w14:paraId="4D456944" w14:textId="77777777" w:rsidR="000C35D8" w:rsidRDefault="00E4193C" w:rsidP="00363352">
            <w:pPr>
              <w:widowControl w:val="0"/>
              <w:numPr>
                <w:ilvl w:val="0"/>
                <w:numId w:val="17"/>
              </w:numPr>
              <w:autoSpaceDE w:val="0"/>
              <w:autoSpaceDN w:val="0"/>
              <w:spacing w:line="276" w:lineRule="auto"/>
              <w:jc w:val="both"/>
              <w:rPr>
                <w:rFonts w:ascii="Verdana" w:hAnsi="Verdana" w:cs="Arial"/>
                <w:lang w:val="es-ES"/>
              </w:rPr>
            </w:pPr>
            <w:r w:rsidRPr="00377B05">
              <w:rPr>
                <w:rFonts w:ascii="Verdana" w:hAnsi="Verdana" w:cs="Arial"/>
                <w:lang w:val="es-ES"/>
              </w:rPr>
              <w:t xml:space="preserve">Ley 1150 de 2007, Artículo 2, numeral 4. </w:t>
            </w:r>
          </w:p>
          <w:p w14:paraId="7F4CF6C0" w14:textId="54975930"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C-233 de 4 de abril de 2002, </w:t>
            </w:r>
            <w:proofErr w:type="spellStart"/>
            <w:r w:rsidRPr="0092765E">
              <w:rPr>
                <w:rFonts w:ascii="Verdana" w:hAnsi="Verdana" w:cs="Arial"/>
                <w:lang w:val="es-ES"/>
              </w:rPr>
              <w:t>Exp</w:t>
            </w:r>
            <w:proofErr w:type="spellEnd"/>
            <w:r w:rsidRPr="0092765E">
              <w:rPr>
                <w:rFonts w:ascii="Verdana" w:hAnsi="Verdana" w:cs="Arial"/>
                <w:lang w:val="es-ES"/>
              </w:rPr>
              <w:t>. D-3704.</w:t>
            </w:r>
          </w:p>
          <w:p w14:paraId="46A3115F"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20 de noviembre de 2001, </w:t>
            </w:r>
            <w:proofErr w:type="spellStart"/>
            <w:r w:rsidRPr="0092765E">
              <w:rPr>
                <w:rFonts w:ascii="Verdana" w:hAnsi="Verdana" w:cs="Arial"/>
                <w:lang w:val="es-ES"/>
              </w:rPr>
              <w:t>Exp</w:t>
            </w:r>
            <w:proofErr w:type="spellEnd"/>
            <w:r w:rsidRPr="0092765E">
              <w:rPr>
                <w:rFonts w:ascii="Verdana" w:hAnsi="Verdana" w:cs="Arial"/>
                <w:lang w:val="es-ES"/>
              </w:rPr>
              <w:t>. 2001-0130-01(PI).</w:t>
            </w:r>
          </w:p>
          <w:p w14:paraId="78DE3975"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22 de enero de 2002, </w:t>
            </w:r>
            <w:proofErr w:type="spellStart"/>
            <w:r w:rsidRPr="0092765E">
              <w:rPr>
                <w:rFonts w:ascii="Verdana" w:hAnsi="Verdana" w:cs="Arial"/>
                <w:lang w:val="es-ES"/>
              </w:rPr>
              <w:t>Exp</w:t>
            </w:r>
            <w:proofErr w:type="spellEnd"/>
            <w:r w:rsidRPr="0092765E">
              <w:rPr>
                <w:rFonts w:ascii="Verdana" w:hAnsi="Verdana" w:cs="Arial"/>
                <w:lang w:val="es-ES"/>
              </w:rPr>
              <w:t>. 2001-0148-01.</w:t>
            </w:r>
          </w:p>
          <w:p w14:paraId="004F3671"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C-551 de 9 de julio de 2003, </w:t>
            </w:r>
            <w:proofErr w:type="spellStart"/>
            <w:r w:rsidRPr="0092765E">
              <w:rPr>
                <w:rFonts w:ascii="Verdana" w:hAnsi="Verdana" w:cs="Arial"/>
                <w:lang w:val="es-ES"/>
              </w:rPr>
              <w:t>Exp</w:t>
            </w:r>
            <w:proofErr w:type="spellEnd"/>
            <w:r w:rsidRPr="0092765E">
              <w:rPr>
                <w:rFonts w:ascii="Verdana" w:hAnsi="Verdana" w:cs="Arial"/>
                <w:lang w:val="es-ES"/>
              </w:rPr>
              <w:t>. CRF-001 de 9 de julio de 2003.</w:t>
            </w:r>
          </w:p>
          <w:p w14:paraId="79E8471E"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C-652 de 5 de agosto de 2003, </w:t>
            </w:r>
            <w:proofErr w:type="spellStart"/>
            <w:r w:rsidRPr="0092765E">
              <w:rPr>
                <w:rFonts w:ascii="Verdana" w:hAnsi="Verdana" w:cs="Arial"/>
                <w:lang w:val="es-ES"/>
              </w:rPr>
              <w:t>Exp</w:t>
            </w:r>
            <w:proofErr w:type="spellEnd"/>
            <w:r w:rsidRPr="0092765E">
              <w:rPr>
                <w:rFonts w:ascii="Verdana" w:hAnsi="Verdana" w:cs="Arial"/>
                <w:lang w:val="es-ES"/>
              </w:rPr>
              <w:t>. D-4330.</w:t>
            </w:r>
          </w:p>
          <w:p w14:paraId="5EFD4156"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Primera, Sentencia de 3 de marzo de 2005, </w:t>
            </w:r>
            <w:proofErr w:type="spellStart"/>
            <w:r w:rsidRPr="0092765E">
              <w:rPr>
                <w:rFonts w:ascii="Verdana" w:hAnsi="Verdana" w:cs="Arial"/>
                <w:lang w:val="es-ES"/>
              </w:rPr>
              <w:t>Exp</w:t>
            </w:r>
            <w:proofErr w:type="spellEnd"/>
            <w:r w:rsidRPr="0092765E">
              <w:rPr>
                <w:rFonts w:ascii="Verdana" w:hAnsi="Verdana" w:cs="Arial"/>
                <w:lang w:val="es-ES"/>
              </w:rPr>
              <w:t>. 2004-00823-01(PI).</w:t>
            </w:r>
          </w:p>
          <w:p w14:paraId="34C056A3"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Corte Constitucional, Sentencia C-1153 de 11 de noviembre de 2005, M.P. Marco Gerardo Monroy Cabra.</w:t>
            </w:r>
          </w:p>
          <w:p w14:paraId="51C86F40"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2 de febrero de 2006, Rad. 1712.</w:t>
            </w:r>
          </w:p>
          <w:p w14:paraId="1160C165"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20 de febrero de 2006, Rad. 1727, C.P. Enrique José Arboleda Perdomo.</w:t>
            </w:r>
          </w:p>
          <w:p w14:paraId="47E7FCAF"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Consejo de Estado, Sala de Consulta y Servicio Civil, Concepto de 6 de abril de 2006, Rad. 1738, C.P. Enrique José Arboleda Perdomo.</w:t>
            </w:r>
          </w:p>
          <w:p w14:paraId="29D599DF"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Corte Constitucional, Sentencia C-736 de 2007, M.P. Marco Gerardo Monroy Cabra.</w:t>
            </w:r>
          </w:p>
          <w:p w14:paraId="027CC0C1"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C-353 de 20 de mayo de 2009, </w:t>
            </w:r>
            <w:proofErr w:type="spellStart"/>
            <w:r w:rsidRPr="0092765E">
              <w:rPr>
                <w:rFonts w:ascii="Verdana" w:hAnsi="Verdana" w:cs="Arial"/>
                <w:lang w:val="es-ES"/>
              </w:rPr>
              <w:t>Exp</w:t>
            </w:r>
            <w:proofErr w:type="spellEnd"/>
            <w:r w:rsidRPr="0092765E">
              <w:rPr>
                <w:rFonts w:ascii="Verdana" w:hAnsi="Verdana" w:cs="Arial"/>
                <w:lang w:val="es-ES"/>
              </w:rPr>
              <w:t>. D-7518.</w:t>
            </w:r>
          </w:p>
          <w:p w14:paraId="06FB5D32"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Corte Constitucional, Sentencia C-541 de 30 de junio de 2010, </w:t>
            </w:r>
            <w:proofErr w:type="spellStart"/>
            <w:r w:rsidRPr="0092765E">
              <w:rPr>
                <w:rFonts w:ascii="Verdana" w:hAnsi="Verdana" w:cs="Arial"/>
                <w:lang w:val="es-ES"/>
              </w:rPr>
              <w:t>Exp</w:t>
            </w:r>
            <w:proofErr w:type="spellEnd"/>
            <w:r w:rsidRPr="0092765E">
              <w:rPr>
                <w:rFonts w:ascii="Verdana" w:hAnsi="Verdana" w:cs="Arial"/>
                <w:lang w:val="es-ES"/>
              </w:rPr>
              <w:t>. D-7966.</w:t>
            </w:r>
          </w:p>
          <w:p w14:paraId="7432F9AA"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lo Contencioso Administrativo, Sección Tercera, Sentencia de 3 de diciembre de 2007, </w:t>
            </w:r>
            <w:proofErr w:type="spellStart"/>
            <w:r w:rsidRPr="0092765E">
              <w:rPr>
                <w:rFonts w:ascii="Verdana" w:hAnsi="Verdana" w:cs="Arial"/>
                <w:lang w:val="es-ES"/>
              </w:rPr>
              <w:t>Exp</w:t>
            </w:r>
            <w:proofErr w:type="spellEnd"/>
            <w:r w:rsidRPr="0092765E">
              <w:rPr>
                <w:rFonts w:ascii="Verdana" w:hAnsi="Verdana" w:cs="Arial"/>
                <w:lang w:val="es-ES"/>
              </w:rPr>
              <w:t>. 24.715, 25.206, 25.409, 24.524, 27.834, 25.410, 26.105, 28.244, 31.447 (acumulados).</w:t>
            </w:r>
          </w:p>
          <w:p w14:paraId="62A0EFEC"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Consulta y Servicio Civil, Concepto de 24 de julio de 2013, Rad. 2166,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p w14:paraId="5321277F"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t xml:space="preserve">Consejo de Estado, Sala de Consulta y Servicio Civil, Concepto de 2 de septiembre de 2013, Rad. 2168,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p w14:paraId="39F50928" w14:textId="77777777" w:rsidR="00E4193C" w:rsidRPr="0092765E" w:rsidRDefault="00E4193C" w:rsidP="00363352">
            <w:pPr>
              <w:widowControl w:val="0"/>
              <w:numPr>
                <w:ilvl w:val="0"/>
                <w:numId w:val="17"/>
              </w:numPr>
              <w:autoSpaceDE w:val="0"/>
              <w:autoSpaceDN w:val="0"/>
              <w:spacing w:line="276" w:lineRule="auto"/>
              <w:jc w:val="both"/>
              <w:rPr>
                <w:rFonts w:ascii="Verdana" w:hAnsi="Verdana" w:cs="Arial"/>
                <w:lang w:val="es-ES"/>
              </w:rPr>
            </w:pPr>
            <w:r w:rsidRPr="0092765E">
              <w:rPr>
                <w:rFonts w:ascii="Verdana" w:hAnsi="Verdana" w:cs="Arial"/>
                <w:lang w:val="es-ES"/>
              </w:rPr>
              <w:lastRenderedPageBreak/>
              <w:t>Consejo de Estado, Sala de Consulta y Servicio Civil, Concepto de 17 de febrero de 2015, Rad. 2269, C.P. William Zambrano Cetina.</w:t>
            </w:r>
          </w:p>
          <w:p w14:paraId="086D0B17" w14:textId="77777777" w:rsidR="00E4193C" w:rsidRPr="00797E96" w:rsidRDefault="00E4193C" w:rsidP="00363352">
            <w:pPr>
              <w:widowControl w:val="0"/>
              <w:numPr>
                <w:ilvl w:val="0"/>
                <w:numId w:val="17"/>
              </w:numPr>
              <w:autoSpaceDE w:val="0"/>
              <w:autoSpaceDN w:val="0"/>
              <w:spacing w:line="276" w:lineRule="auto"/>
              <w:jc w:val="both"/>
              <w:rPr>
                <w:rFonts w:ascii="Verdana" w:hAnsi="Verdana" w:cs="Arial"/>
              </w:rPr>
            </w:pPr>
            <w:r w:rsidRPr="0092765E">
              <w:rPr>
                <w:rFonts w:ascii="Verdana" w:hAnsi="Verdana" w:cs="Arial"/>
                <w:lang w:val="es-ES"/>
              </w:rPr>
              <w:t xml:space="preserve">Consejo de Estado, Sala de Consulta y Servicio Civil, Concepto de 8 de mayo de 2018, Rad. 2382, C.P. Álvaro </w:t>
            </w:r>
            <w:proofErr w:type="spellStart"/>
            <w:r w:rsidRPr="0092765E">
              <w:rPr>
                <w:rFonts w:ascii="Verdana" w:hAnsi="Verdana" w:cs="Arial"/>
                <w:lang w:val="es-ES"/>
              </w:rPr>
              <w:t>Namén</w:t>
            </w:r>
            <w:proofErr w:type="spellEnd"/>
            <w:r w:rsidRPr="0092765E">
              <w:rPr>
                <w:rFonts w:ascii="Verdana" w:hAnsi="Verdana" w:cs="Arial"/>
                <w:lang w:val="es-ES"/>
              </w:rPr>
              <w:t xml:space="preserve"> Vargas.</w:t>
            </w:r>
          </w:p>
        </w:tc>
      </w:tr>
    </w:tbl>
    <w:p w14:paraId="2BF3D225" w14:textId="77777777" w:rsidR="00E4193C" w:rsidRDefault="00E4193C" w:rsidP="00E4193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3D194FB" w14:textId="77777777" w:rsidR="00E4193C" w:rsidRDefault="00E4193C" w:rsidP="00E4193C">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A4D3C38" w14:textId="77777777" w:rsidR="00E4193C" w:rsidRPr="00593A5F" w:rsidRDefault="00E4193C" w:rsidP="00E4193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00C24C8" w14:textId="77777777" w:rsidR="00E4193C" w:rsidRPr="000C14B8" w:rsidRDefault="00E4193C" w:rsidP="00E4193C">
      <w:pPr>
        <w:widowControl w:val="0"/>
        <w:autoSpaceDE w:val="0"/>
        <w:autoSpaceDN w:val="0"/>
        <w:spacing w:after="0" w:line="276" w:lineRule="auto"/>
        <w:jc w:val="both"/>
        <w:rPr>
          <w:rFonts w:ascii="Verdana" w:hAnsi="Verdana" w:cs="Arial"/>
          <w:color w:val="000000" w:themeColor="text1"/>
          <w:shd w:val="clear" w:color="auto" w:fill="FFFFFF"/>
          <w:lang w:val="es-ES"/>
        </w:rPr>
      </w:pPr>
      <w:r w:rsidRPr="00EA47ED">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w:t>
      </w:r>
      <w:r>
        <w:rPr>
          <w:rFonts w:ascii="Verdana" w:hAnsi="Verdana" w:cs="Arial"/>
          <w:shd w:val="clear" w:color="auto" w:fill="FFFFFF"/>
        </w:rPr>
        <w:t xml:space="preserve">C-163 del 29 de marzo de 2022, </w:t>
      </w:r>
      <w:r w:rsidRPr="00EA47ED">
        <w:rPr>
          <w:rFonts w:ascii="Verdana" w:hAnsi="Verdana" w:cs="Arial"/>
          <w:shd w:val="clear" w:color="auto" w:fill="FFFFFF"/>
        </w:rPr>
        <w:t>C-180 del 21 de marzo de 2025, C-317 del 25 de abril de 2025, C-510 del 4 de junio de 2025, C -635 del 27 de junio de 2025 y C–750 de 17 de julio 2025</w:t>
      </w:r>
      <w:r>
        <w:rPr>
          <w:rFonts w:ascii="Verdana" w:hAnsi="Verdana" w:cs="Arial"/>
          <w:shd w:val="clear" w:color="auto" w:fill="FFFFFF"/>
        </w:rPr>
        <w:t xml:space="preserve">, </w:t>
      </w:r>
      <w:r>
        <w:rPr>
          <w:rFonts w:ascii="Verdana" w:eastAsia="Aptos" w:hAnsi="Verdana" w:cs="Arial"/>
          <w:shd w:val="clear" w:color="auto" w:fill="FFFFFF"/>
          <w:lang w:val="es-ES"/>
        </w:rPr>
        <w:t>e</w:t>
      </w:r>
      <w:r w:rsidRPr="00406AA6">
        <w:rPr>
          <w:rFonts w:ascii="Verdana" w:eastAsia="Aptos" w:hAnsi="Verdana" w:cs="Arial"/>
          <w:shd w:val="clear" w:color="auto" w:fill="FFFFFF"/>
          <w:lang w:val="es-ES"/>
        </w:rPr>
        <w:t>ntre otros</w:t>
      </w:r>
      <w:r>
        <w:rPr>
          <w:rFonts w:ascii="Verdana" w:eastAsia="Aptos" w:hAnsi="Verdana" w:cs="Arial"/>
          <w:shd w:val="clear" w:color="auto" w:fill="FFFFFF"/>
          <w:lang w:val="es-ES"/>
        </w:rPr>
        <w:t xml:space="preserve">. </w:t>
      </w:r>
      <w:r w:rsidRPr="000C14B8">
        <w:rPr>
          <w:rFonts w:ascii="Verdana" w:eastAsia="Calibri" w:hAnsi="Verdana" w:cs="Arial"/>
          <w:lang w:val="es-ES" w:eastAsia="es-ES_tradnl"/>
        </w:rPr>
        <w:t>Estos</w:t>
      </w:r>
      <w:r w:rsidRPr="000C14B8">
        <w:rPr>
          <w:rFonts w:ascii="Verdana" w:hAnsi="Verdana"/>
        </w:rPr>
        <w:t xml:space="preserve"> y otros conceptos se encuentran disponibles para consulta en el Sistema de relatoría de la Agencia, al cual se puede acceder a través del siguiente enlace:</w:t>
      </w:r>
      <w:r w:rsidRPr="000C14B8">
        <w:rPr>
          <w:rFonts w:ascii="Verdana" w:hAnsi="Verdana" w:cs="Arial"/>
          <w:shd w:val="clear" w:color="auto" w:fill="FFFFFF"/>
          <w:lang w:val="es-ES"/>
        </w:rPr>
        <w:t xml:space="preserve"> </w:t>
      </w:r>
      <w:r w:rsidRPr="000C14B8">
        <w:rPr>
          <w:rFonts w:ascii="Verdana" w:hAnsi="Verdana" w:cs="Arial"/>
          <w:color w:val="0563C1" w:themeColor="hyperlink"/>
          <w:u w:val="single"/>
          <w:shd w:val="clear" w:color="auto" w:fill="FFFFFF"/>
          <w:lang w:val="es-ES"/>
        </w:rPr>
        <w:t>https://relatoria.colombiacompra.gov.co</w:t>
      </w:r>
      <w:r>
        <w:rPr>
          <w:rFonts w:ascii="Verdana" w:hAnsi="Verdana" w:cs="Arial"/>
          <w:color w:val="0563C1" w:themeColor="hyperlink"/>
          <w:u w:val="single"/>
          <w:shd w:val="clear" w:color="auto" w:fill="FFFFFF"/>
          <w:lang w:val="es-ES"/>
        </w:rPr>
        <w:t xml:space="preserve"> </w:t>
      </w:r>
      <w:r w:rsidRPr="000C14B8">
        <w:rPr>
          <w:rFonts w:ascii="Verdana" w:hAnsi="Verdana" w:cs="Arial"/>
          <w:color w:val="0563C1" w:themeColor="hyperlink"/>
          <w:u w:val="single"/>
          <w:shd w:val="clear" w:color="auto" w:fill="FFFFFF"/>
          <w:lang w:val="es-ES"/>
        </w:rPr>
        <w:t>/</w:t>
      </w:r>
      <w:proofErr w:type="spellStart"/>
      <w:r w:rsidRPr="000C14B8">
        <w:rPr>
          <w:rFonts w:ascii="Verdana" w:hAnsi="Verdana" w:cs="Arial"/>
          <w:color w:val="0563C1" w:themeColor="hyperlink"/>
          <w:u w:val="single"/>
          <w:shd w:val="clear" w:color="auto" w:fill="FFFFFF"/>
          <w:lang w:val="es-ES"/>
        </w:rPr>
        <w:t>busqueda</w:t>
      </w:r>
      <w:proofErr w:type="spellEnd"/>
      <w:r w:rsidRPr="000C14B8">
        <w:rPr>
          <w:rFonts w:ascii="Verdana" w:hAnsi="Verdana" w:cs="Arial"/>
          <w:color w:val="0563C1" w:themeColor="hyperlink"/>
          <w:u w:val="single"/>
          <w:shd w:val="clear" w:color="auto" w:fill="FFFFFF"/>
          <w:lang w:val="es-ES"/>
        </w:rPr>
        <w:t>/conceptos</w:t>
      </w:r>
    </w:p>
    <w:p w14:paraId="4CEBF0D6" w14:textId="77777777" w:rsidR="00E4193C" w:rsidRPr="00505CD6" w:rsidRDefault="00E4193C" w:rsidP="00E4193C">
      <w:pPr>
        <w:widowControl w:val="0"/>
        <w:autoSpaceDE w:val="0"/>
        <w:autoSpaceDN w:val="0"/>
        <w:spacing w:after="0" w:line="276" w:lineRule="auto"/>
        <w:jc w:val="both"/>
        <w:rPr>
          <w:rFonts w:ascii="Verdana" w:hAnsi="Verdana" w:cs="Arial"/>
          <w:color w:val="000000" w:themeColor="text1"/>
          <w:shd w:val="clear" w:color="auto" w:fill="FFFFFF"/>
        </w:rPr>
      </w:pPr>
    </w:p>
    <w:p w14:paraId="128315F7" w14:textId="77777777" w:rsidR="00E4193C" w:rsidRPr="00363352" w:rsidRDefault="00E4193C" w:rsidP="00E4193C">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1"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363352">
        <w:rPr>
          <w:rFonts w:ascii="Verdana" w:hAnsi="Verdana"/>
        </w:rPr>
        <w:t>.</w:t>
      </w:r>
    </w:p>
    <w:p w14:paraId="49EE5E80" w14:textId="77777777" w:rsidR="00E4193C" w:rsidRPr="00363352" w:rsidRDefault="00E4193C" w:rsidP="00E4193C">
      <w:pPr>
        <w:widowControl w:val="0"/>
        <w:autoSpaceDE w:val="0"/>
        <w:autoSpaceDN w:val="0"/>
        <w:spacing w:after="0" w:line="276" w:lineRule="auto"/>
        <w:jc w:val="both"/>
        <w:rPr>
          <w:rFonts w:ascii="Verdana" w:hAnsi="Verdana"/>
        </w:rPr>
      </w:pPr>
    </w:p>
    <w:p w14:paraId="58AC3010" w14:textId="77777777" w:rsidR="00E4193C" w:rsidRPr="00505CD6" w:rsidRDefault="00E4193C" w:rsidP="00E4193C">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w:t>
      </w:r>
      <w:r w:rsidRPr="00505CD6">
        <w:rPr>
          <w:rFonts w:ascii="Verdana" w:hAnsi="Verdana" w:cs="Arial"/>
        </w:rPr>
        <w:lastRenderedPageBreak/>
        <w:t xml:space="preserve">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60BCAE4D" w14:textId="77777777" w:rsidR="00E4193C" w:rsidRDefault="00E4193C" w:rsidP="00363352">
      <w:pPr>
        <w:spacing w:after="0" w:line="276" w:lineRule="auto"/>
        <w:rPr>
          <w:rFonts w:ascii="Verdana" w:eastAsia="Times New Roman" w:hAnsi="Verdana" w:cs="Arial"/>
          <w:lang w:eastAsia="es-CO"/>
        </w:rPr>
      </w:pPr>
    </w:p>
    <w:p w14:paraId="4177ADAB" w14:textId="77777777" w:rsidR="00E4193C" w:rsidRDefault="00E4193C" w:rsidP="00363352">
      <w:pPr>
        <w:spacing w:after="0" w:line="276" w:lineRule="auto"/>
        <w:rPr>
          <w:rFonts w:ascii="Verdana" w:hAnsi="Verdana"/>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25E7E37" w14:textId="6F9741D6" w:rsidR="00E4193C" w:rsidRPr="00960F72" w:rsidRDefault="00256558" w:rsidP="00E4193C">
      <w:pPr>
        <w:spacing w:line="276" w:lineRule="auto"/>
        <w:jc w:val="center"/>
        <w:rPr>
          <w:rFonts w:ascii="Verdana" w:hAnsi="Verdana"/>
        </w:rPr>
      </w:pPr>
      <w:r>
        <w:rPr>
          <w:rFonts w:ascii="Verdana" w:hAnsi="Verdana"/>
          <w:noProof/>
        </w:rPr>
        <w:drawing>
          <wp:inline distT="0" distB="0" distL="0" distR="0" wp14:anchorId="18C5A4C2" wp14:editId="402EC311">
            <wp:extent cx="3639058" cy="1343212"/>
            <wp:effectExtent l="0" t="0" r="0" b="0"/>
            <wp:docPr id="96187075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870757"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4193C" w:rsidRPr="00960F72" w14:paraId="527A4EA8" w14:textId="77777777" w:rsidTr="00ED0004">
        <w:trPr>
          <w:trHeight w:val="315"/>
        </w:trPr>
        <w:tc>
          <w:tcPr>
            <w:tcW w:w="893" w:type="dxa"/>
            <w:vAlign w:val="center"/>
            <w:hideMark/>
          </w:tcPr>
          <w:p w14:paraId="7E1CC264" w14:textId="77777777" w:rsidR="00E4193C" w:rsidRPr="00960F72" w:rsidRDefault="00E4193C" w:rsidP="00ED0004">
            <w:pPr>
              <w:contextualSpacing/>
              <w:rPr>
                <w:rFonts w:ascii="Verdana" w:hAnsi="Verdana" w:cs="Arial"/>
                <w:sz w:val="16"/>
                <w:szCs w:val="16"/>
                <w:lang w:eastAsia="es-ES"/>
              </w:rPr>
            </w:pPr>
            <w:r w:rsidRPr="00960F72">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05A824C" w14:textId="77777777" w:rsidR="00E4193C" w:rsidRPr="00960F72" w:rsidRDefault="00E4193C" w:rsidP="00ED0004">
            <w:pPr>
              <w:contextualSpacing/>
              <w:rPr>
                <w:rFonts w:ascii="Verdana" w:hAnsi="Verdana"/>
                <w:sz w:val="16"/>
                <w:szCs w:val="16"/>
              </w:rPr>
            </w:pPr>
            <w:r w:rsidRPr="00960F72">
              <w:rPr>
                <w:rFonts w:ascii="Verdana" w:hAnsi="Verdana"/>
                <w:sz w:val="16"/>
                <w:szCs w:val="16"/>
              </w:rPr>
              <w:t>Gloria Elizabeth Arango Builes</w:t>
            </w:r>
          </w:p>
          <w:p w14:paraId="1B4573DB" w14:textId="77777777" w:rsidR="00E4193C" w:rsidRPr="00960F72" w:rsidRDefault="00E4193C" w:rsidP="00ED0004">
            <w:pPr>
              <w:contextualSpacing/>
              <w:rPr>
                <w:rFonts w:ascii="Verdana" w:eastAsia="Arial" w:hAnsi="Verdana" w:cs="Arial"/>
                <w:sz w:val="16"/>
                <w:szCs w:val="16"/>
              </w:rPr>
            </w:pPr>
            <w:r w:rsidRPr="00960F72">
              <w:rPr>
                <w:rFonts w:ascii="Verdana" w:hAnsi="Verdana"/>
                <w:sz w:val="16"/>
                <w:szCs w:val="16"/>
              </w:rPr>
              <w:t>Contratista de la Subdirección de Gestión Contractual</w:t>
            </w:r>
          </w:p>
        </w:tc>
      </w:tr>
      <w:tr w:rsidR="00E4193C" w:rsidRPr="00960F72" w14:paraId="706172F5" w14:textId="77777777" w:rsidTr="00ED0004">
        <w:trPr>
          <w:trHeight w:val="330"/>
        </w:trPr>
        <w:tc>
          <w:tcPr>
            <w:tcW w:w="893" w:type="dxa"/>
            <w:vAlign w:val="center"/>
            <w:hideMark/>
          </w:tcPr>
          <w:p w14:paraId="3928626A" w14:textId="77777777" w:rsidR="00E4193C" w:rsidRPr="00960F72" w:rsidRDefault="00E4193C" w:rsidP="00ED0004">
            <w:pPr>
              <w:contextualSpacing/>
              <w:rPr>
                <w:rFonts w:ascii="Verdana" w:hAnsi="Verdana" w:cs="Arial"/>
                <w:sz w:val="16"/>
                <w:szCs w:val="16"/>
                <w:lang w:eastAsia="es-ES"/>
              </w:rPr>
            </w:pPr>
            <w:r w:rsidRPr="00960F72">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D545F1D" w14:textId="77777777" w:rsidR="00E4193C" w:rsidRPr="00960F72" w:rsidRDefault="00E4193C" w:rsidP="00ED0004">
            <w:pPr>
              <w:spacing w:line="276" w:lineRule="auto"/>
              <w:contextualSpacing/>
              <w:jc w:val="both"/>
              <w:rPr>
                <w:rFonts w:ascii="Verdana" w:hAnsi="Verdana"/>
                <w:sz w:val="16"/>
                <w:szCs w:val="16"/>
              </w:rPr>
            </w:pPr>
            <w:r w:rsidRPr="00960F72">
              <w:rPr>
                <w:rFonts w:ascii="Verdana" w:hAnsi="Verdana"/>
                <w:sz w:val="16"/>
                <w:szCs w:val="16"/>
              </w:rPr>
              <w:t>Diana Lucía Saavedra Castañeda</w:t>
            </w:r>
          </w:p>
          <w:p w14:paraId="08D1B6E0" w14:textId="77777777" w:rsidR="00E4193C" w:rsidRPr="00960F72" w:rsidRDefault="00E4193C" w:rsidP="00ED0004">
            <w:pPr>
              <w:spacing w:line="276" w:lineRule="auto"/>
              <w:contextualSpacing/>
              <w:jc w:val="both"/>
              <w:rPr>
                <w:rFonts w:ascii="Verdana" w:hAnsi="Verdana" w:cstheme="minorHAnsi"/>
                <w:sz w:val="16"/>
                <w:szCs w:val="16"/>
              </w:rPr>
            </w:pPr>
            <w:r w:rsidRPr="00960F72">
              <w:rPr>
                <w:rStyle w:val="normaltextrun"/>
                <w:rFonts w:ascii="Verdana" w:eastAsia="Arial" w:hAnsi="Verdana"/>
                <w:sz w:val="16"/>
                <w:szCs w:val="16"/>
              </w:rPr>
              <w:t>Contratita de la</w:t>
            </w:r>
            <w:r w:rsidRPr="00960F72">
              <w:rPr>
                <w:rStyle w:val="normaltextrun"/>
                <w:rFonts w:ascii="Verdana" w:eastAsia="Arial" w:hAnsi="Verdana" w:cs="Arial"/>
                <w:sz w:val="16"/>
                <w:szCs w:val="16"/>
              </w:rPr>
              <w:t xml:space="preserve"> Subdirección de Gestión Contractual</w:t>
            </w:r>
          </w:p>
        </w:tc>
      </w:tr>
      <w:tr w:rsidR="00E4193C" w:rsidRPr="00960F72" w14:paraId="463702E6" w14:textId="77777777" w:rsidTr="00ED0004">
        <w:trPr>
          <w:trHeight w:val="330"/>
        </w:trPr>
        <w:tc>
          <w:tcPr>
            <w:tcW w:w="893" w:type="dxa"/>
            <w:vAlign w:val="center"/>
          </w:tcPr>
          <w:p w14:paraId="65841B0F" w14:textId="77777777" w:rsidR="00E4193C" w:rsidRPr="00960F72" w:rsidRDefault="00E4193C" w:rsidP="00ED0004">
            <w:pPr>
              <w:contextualSpacing/>
              <w:rPr>
                <w:rFonts w:ascii="Verdana" w:hAnsi="Verdana" w:cs="Arial"/>
                <w:sz w:val="16"/>
                <w:szCs w:val="16"/>
                <w:lang w:eastAsia="es-ES"/>
              </w:rPr>
            </w:pPr>
            <w:r w:rsidRPr="00960F72">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80F0A9C" w14:textId="77777777" w:rsidR="00E4193C" w:rsidRPr="00960F72" w:rsidRDefault="00E4193C" w:rsidP="00ED0004">
            <w:pPr>
              <w:contextualSpacing/>
              <w:rPr>
                <w:rFonts w:ascii="Verdana" w:eastAsia="Calibri" w:hAnsi="Verdana" w:cs="Arial"/>
                <w:sz w:val="16"/>
                <w:szCs w:val="16"/>
                <w:lang w:eastAsia="es-ES"/>
              </w:rPr>
            </w:pPr>
            <w:r w:rsidRPr="00960F72">
              <w:rPr>
                <w:rFonts w:ascii="Verdana" w:eastAsia="Calibri" w:hAnsi="Verdana" w:cs="Arial"/>
                <w:sz w:val="16"/>
                <w:szCs w:val="16"/>
                <w:lang w:eastAsia="es-ES"/>
              </w:rPr>
              <w:t xml:space="preserve">Carolina Quintero </w:t>
            </w:r>
            <w:proofErr w:type="spellStart"/>
            <w:r w:rsidRPr="00960F72">
              <w:rPr>
                <w:rFonts w:ascii="Verdana" w:eastAsia="Calibri" w:hAnsi="Verdana" w:cs="Arial"/>
                <w:sz w:val="16"/>
                <w:szCs w:val="16"/>
                <w:lang w:eastAsia="es-ES"/>
              </w:rPr>
              <w:t>Gacharná</w:t>
            </w:r>
            <w:proofErr w:type="spellEnd"/>
          </w:p>
          <w:p w14:paraId="1416B554" w14:textId="77777777" w:rsidR="00E4193C" w:rsidRPr="00960F72" w:rsidRDefault="00E4193C" w:rsidP="00ED0004">
            <w:pPr>
              <w:spacing w:line="276" w:lineRule="auto"/>
              <w:contextualSpacing/>
              <w:jc w:val="both"/>
              <w:rPr>
                <w:rFonts w:ascii="Verdana" w:hAnsi="Verdana"/>
                <w:sz w:val="16"/>
                <w:szCs w:val="16"/>
              </w:rPr>
            </w:pPr>
            <w:r w:rsidRPr="00960F72">
              <w:rPr>
                <w:rFonts w:ascii="Verdana" w:eastAsia="Calibri" w:hAnsi="Verdana" w:cs="Arial"/>
                <w:sz w:val="16"/>
                <w:szCs w:val="16"/>
                <w:lang w:eastAsia="es-ES"/>
              </w:rPr>
              <w:t xml:space="preserve">Subdirectora de Gestión </w:t>
            </w:r>
            <w:proofErr w:type="spellStart"/>
            <w:r w:rsidRPr="00960F72">
              <w:rPr>
                <w:rFonts w:ascii="Verdana" w:eastAsia="Calibri" w:hAnsi="Verdana" w:cs="Arial"/>
                <w:sz w:val="16"/>
                <w:szCs w:val="16"/>
                <w:lang w:eastAsia="es-ES"/>
              </w:rPr>
              <w:t>Contratual</w:t>
            </w:r>
            <w:proofErr w:type="spellEnd"/>
            <w:r w:rsidRPr="00960F72">
              <w:rPr>
                <w:rFonts w:ascii="Verdana" w:eastAsia="Calibri" w:hAnsi="Verdana" w:cs="Arial"/>
                <w:sz w:val="16"/>
                <w:szCs w:val="16"/>
                <w:lang w:eastAsia="es-ES"/>
              </w:rPr>
              <w:t xml:space="preserve"> - ANCP – CCE</w:t>
            </w:r>
          </w:p>
        </w:tc>
      </w:tr>
    </w:tbl>
    <w:p w14:paraId="477711EA" w14:textId="77777777" w:rsidR="00E4193C" w:rsidRPr="00960F72" w:rsidRDefault="00E4193C" w:rsidP="00E4193C"/>
    <w:p w14:paraId="3DF7081D" w14:textId="77777777" w:rsidR="00E4193C" w:rsidRPr="00960F72" w:rsidRDefault="00E4193C" w:rsidP="00E4193C"/>
    <w:p w14:paraId="48FF0CA9" w14:textId="77777777" w:rsidR="00E4193C" w:rsidRPr="00960F72" w:rsidRDefault="00E4193C" w:rsidP="00E4193C"/>
    <w:p w14:paraId="7B959E36" w14:textId="77777777" w:rsidR="00E4193C" w:rsidRPr="00960F72" w:rsidRDefault="00E4193C" w:rsidP="00E4193C"/>
    <w:p w14:paraId="35E37042" w14:textId="77777777" w:rsidR="00E4193C" w:rsidRPr="00960F72" w:rsidRDefault="00E4193C" w:rsidP="00E4193C"/>
    <w:p w14:paraId="71566A84" w14:textId="77777777" w:rsidR="00E4193C" w:rsidRPr="003B6CA8" w:rsidRDefault="00E4193C" w:rsidP="00E4193C"/>
    <w:p w14:paraId="1B41424A" w14:textId="77777777" w:rsidR="00E4193C" w:rsidRPr="00B2454C" w:rsidRDefault="00E4193C" w:rsidP="00E4193C"/>
    <w:p w14:paraId="0F293BF4" w14:textId="066F09BF" w:rsidR="00127233" w:rsidRPr="00E4193C" w:rsidRDefault="00127233" w:rsidP="00E4193C"/>
    <w:sectPr w:rsidR="00127233" w:rsidRPr="00E4193C"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C4E912" w14:textId="77777777" w:rsidR="00D868E9" w:rsidRDefault="00D868E9" w:rsidP="004A1847">
      <w:pPr>
        <w:spacing w:after="0" w:line="240" w:lineRule="auto"/>
      </w:pPr>
      <w:r>
        <w:separator/>
      </w:r>
    </w:p>
  </w:endnote>
  <w:endnote w:type="continuationSeparator" w:id="0">
    <w:p w14:paraId="3A8475CF" w14:textId="77777777" w:rsidR="00D868E9" w:rsidRDefault="00D868E9" w:rsidP="004A1847">
      <w:pPr>
        <w:spacing w:after="0" w:line="240" w:lineRule="auto"/>
      </w:pPr>
      <w:r>
        <w:continuationSeparator/>
      </w:r>
    </w:p>
  </w:endnote>
  <w:endnote w:type="continuationNotice" w:id="1">
    <w:p w14:paraId="018DD2EF" w14:textId="77777777" w:rsidR="00D868E9" w:rsidRDefault="00D868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E10972" w14:textId="77777777" w:rsidR="00D868E9" w:rsidRDefault="00D868E9" w:rsidP="004A1847">
      <w:pPr>
        <w:spacing w:after="0" w:line="240" w:lineRule="auto"/>
      </w:pPr>
      <w:r>
        <w:separator/>
      </w:r>
    </w:p>
  </w:footnote>
  <w:footnote w:type="continuationSeparator" w:id="0">
    <w:p w14:paraId="3624D18C" w14:textId="77777777" w:rsidR="00D868E9" w:rsidRDefault="00D868E9" w:rsidP="004A1847">
      <w:pPr>
        <w:spacing w:after="0" w:line="240" w:lineRule="auto"/>
      </w:pPr>
      <w:r>
        <w:continuationSeparator/>
      </w:r>
    </w:p>
  </w:footnote>
  <w:footnote w:type="continuationNotice" w:id="1">
    <w:p w14:paraId="1CD6B96D" w14:textId="77777777" w:rsidR="00D868E9" w:rsidRDefault="00D868E9">
      <w:pPr>
        <w:spacing w:after="0" w:line="240" w:lineRule="auto"/>
      </w:pPr>
    </w:p>
  </w:footnote>
  <w:footnote w:id="2">
    <w:p w14:paraId="619ADCDF" w14:textId="20F3F2D4" w:rsidR="00E4193C" w:rsidRPr="009B20C5" w:rsidRDefault="00E4193C" w:rsidP="00E4193C">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El artículo 127 de la Constitución Política señala: </w:t>
      </w:r>
      <w:r w:rsidR="00A84A85">
        <w:rPr>
          <w:rFonts w:ascii="Verdana" w:hAnsi="Verdana" w:cs="Arial"/>
          <w:sz w:val="16"/>
          <w:szCs w:val="16"/>
        </w:rPr>
        <w:t>“</w:t>
      </w:r>
      <w:r w:rsidRPr="009B20C5">
        <w:rPr>
          <w:rFonts w:ascii="Verdana" w:hAnsi="Verdana" w:cs="Arial"/>
          <w:sz w:val="16"/>
          <w:szCs w:val="16"/>
        </w:rPr>
        <w:t xml:space="preserve">Los servidores públicos no podrán celebrar, por si o por interpuesta persona, o en representación de otro, contrato alguno con entidades públicas o con personas privadas que manejen o administren recursos públicos, salvo las excepciones legales. </w:t>
      </w:r>
    </w:p>
    <w:p w14:paraId="0D183C05" w14:textId="1E388BB2" w:rsidR="00E4193C" w:rsidRDefault="00E4193C" w:rsidP="00E4193C">
      <w:pPr>
        <w:pStyle w:val="Textonotapie"/>
        <w:ind w:firstLine="709"/>
        <w:jc w:val="both"/>
        <w:rPr>
          <w:rFonts w:ascii="Verdana" w:hAnsi="Verdana" w:cs="Arial"/>
          <w:sz w:val="16"/>
          <w:szCs w:val="16"/>
        </w:rPr>
      </w:pPr>
      <w:r w:rsidRPr="009B20C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r w:rsidR="00A84A85">
        <w:rPr>
          <w:rFonts w:ascii="Verdana" w:hAnsi="Verdana" w:cs="Arial"/>
          <w:sz w:val="16"/>
          <w:szCs w:val="16"/>
        </w:rPr>
        <w:t>”</w:t>
      </w:r>
      <w:r w:rsidRPr="009B20C5">
        <w:rPr>
          <w:rFonts w:ascii="Verdana" w:hAnsi="Verdana" w:cs="Arial"/>
          <w:sz w:val="16"/>
          <w:szCs w:val="16"/>
        </w:rPr>
        <w:t>.</w:t>
      </w:r>
    </w:p>
    <w:p w14:paraId="7A344542" w14:textId="77777777" w:rsidR="00E4193C" w:rsidRPr="009B20C5" w:rsidRDefault="00E4193C" w:rsidP="00E4193C">
      <w:pPr>
        <w:pStyle w:val="Textonotapie"/>
        <w:ind w:firstLine="709"/>
        <w:jc w:val="both"/>
        <w:rPr>
          <w:rFonts w:ascii="Verdana" w:hAnsi="Verdana" w:cs="Arial"/>
          <w:sz w:val="16"/>
          <w:szCs w:val="16"/>
        </w:rPr>
      </w:pPr>
    </w:p>
  </w:footnote>
  <w:footnote w:id="3">
    <w:p w14:paraId="75C33998" w14:textId="77777777" w:rsidR="00E4193C" w:rsidRPr="009B20C5" w:rsidRDefault="00E4193C" w:rsidP="00E4193C">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Gaceta del Congreso de la República No. 71 del 2005.</w:t>
      </w:r>
    </w:p>
    <w:p w14:paraId="5D857BBF" w14:textId="77777777" w:rsidR="00E4193C" w:rsidRPr="009B20C5" w:rsidRDefault="00E4193C" w:rsidP="00E4193C">
      <w:pPr>
        <w:pStyle w:val="Textonotapie"/>
        <w:ind w:firstLine="709"/>
        <w:jc w:val="both"/>
        <w:rPr>
          <w:rFonts w:ascii="Verdana" w:hAnsi="Verdana" w:cs="Arial"/>
          <w:sz w:val="16"/>
          <w:szCs w:val="16"/>
        </w:rPr>
      </w:pPr>
    </w:p>
  </w:footnote>
  <w:footnote w:id="4">
    <w:p w14:paraId="64E92E38" w14:textId="77777777" w:rsidR="00E4193C" w:rsidRDefault="00E4193C" w:rsidP="00E4193C">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 C- 1153 de 2005, M.P. Marco Gerardo Monroy Cabra.</w:t>
      </w:r>
    </w:p>
    <w:p w14:paraId="45D4DE53" w14:textId="77777777" w:rsidR="00E4193C" w:rsidRPr="009B20C5" w:rsidRDefault="00E4193C" w:rsidP="00E4193C">
      <w:pPr>
        <w:pStyle w:val="Textonotapie"/>
        <w:ind w:firstLine="709"/>
        <w:jc w:val="both"/>
        <w:rPr>
          <w:rFonts w:ascii="Verdana" w:hAnsi="Verdana" w:cs="Arial"/>
          <w:sz w:val="16"/>
          <w:szCs w:val="16"/>
        </w:rPr>
      </w:pPr>
    </w:p>
  </w:footnote>
  <w:footnote w:id="5">
    <w:p w14:paraId="609F0065" w14:textId="77777777" w:rsidR="00E4193C" w:rsidRDefault="00E4193C" w:rsidP="00E4193C">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02FDD4F8" w14:textId="77777777" w:rsidR="00E4193C" w:rsidRPr="009B20C5" w:rsidRDefault="00E4193C" w:rsidP="00E4193C">
      <w:pPr>
        <w:pStyle w:val="Textonotapie"/>
        <w:ind w:firstLine="709"/>
        <w:jc w:val="both"/>
        <w:rPr>
          <w:rFonts w:ascii="Verdana" w:hAnsi="Verdana" w:cs="Arial"/>
          <w:sz w:val="16"/>
          <w:szCs w:val="16"/>
        </w:rPr>
      </w:pPr>
    </w:p>
  </w:footnote>
  <w:footnote w:id="6">
    <w:p w14:paraId="4EDF0BAA" w14:textId="77777777" w:rsidR="00E4193C" w:rsidRDefault="00E4193C" w:rsidP="00E4193C">
      <w:pPr>
        <w:pStyle w:val="Textonotapie"/>
        <w:ind w:firstLine="709"/>
        <w:jc w:val="both"/>
        <w:rPr>
          <w:rFonts w:ascii="Verdana" w:hAnsi="Verdana" w:cs="Arial"/>
          <w:sz w:val="16"/>
          <w:szCs w:val="16"/>
          <w:lang w:val="es-CO"/>
        </w:rPr>
      </w:pPr>
      <w:r w:rsidRPr="009B20C5">
        <w:rPr>
          <w:rStyle w:val="Refdenotaalpie"/>
          <w:rFonts w:ascii="Verdana" w:hAnsi="Verdana" w:cs="Arial"/>
          <w:sz w:val="16"/>
          <w:szCs w:val="16"/>
        </w:rPr>
        <w:footnoteRef/>
      </w:r>
      <w:r w:rsidRPr="009B20C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31C0FF93" w14:textId="77777777" w:rsidR="00E4193C" w:rsidRPr="009B20C5" w:rsidRDefault="00E4193C" w:rsidP="00E4193C">
      <w:pPr>
        <w:pStyle w:val="Textonotapie"/>
        <w:ind w:firstLine="709"/>
        <w:jc w:val="both"/>
        <w:rPr>
          <w:rFonts w:ascii="Verdana" w:hAnsi="Verdana" w:cs="Arial"/>
          <w:sz w:val="16"/>
          <w:szCs w:val="16"/>
          <w:lang w:val="es-CO"/>
        </w:rPr>
      </w:pPr>
    </w:p>
  </w:footnote>
  <w:footnote w:id="7">
    <w:p w14:paraId="5DCF64F4" w14:textId="77777777" w:rsidR="00E4193C" w:rsidRDefault="00E4193C" w:rsidP="00E4193C">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de fecha 24 de julio de 2013, radicado 2166, </w:t>
      </w:r>
      <w:proofErr w:type="gramStart"/>
      <w:r w:rsidRPr="009B20C5">
        <w:rPr>
          <w:rFonts w:ascii="Verdana" w:hAnsi="Verdana" w:cs="Arial"/>
          <w:sz w:val="16"/>
          <w:szCs w:val="16"/>
        </w:rPr>
        <w:t>Consejero</w:t>
      </w:r>
      <w:proofErr w:type="gramEnd"/>
      <w:r w:rsidRPr="009B20C5">
        <w:rPr>
          <w:rFonts w:ascii="Verdana" w:hAnsi="Verdana" w:cs="Arial"/>
          <w:sz w:val="16"/>
          <w:szCs w:val="16"/>
        </w:rPr>
        <w:t xml:space="preserve"> Ponente: Álvaro </w:t>
      </w:r>
      <w:proofErr w:type="spellStart"/>
      <w:r w:rsidRPr="009B20C5">
        <w:rPr>
          <w:rFonts w:ascii="Verdana" w:hAnsi="Verdana" w:cs="Arial"/>
          <w:sz w:val="16"/>
          <w:szCs w:val="16"/>
        </w:rPr>
        <w:t>Namén</w:t>
      </w:r>
      <w:proofErr w:type="spellEnd"/>
      <w:r w:rsidRPr="009B20C5">
        <w:rPr>
          <w:rFonts w:ascii="Verdana" w:hAnsi="Verdana" w:cs="Arial"/>
          <w:sz w:val="16"/>
          <w:szCs w:val="16"/>
        </w:rPr>
        <w:t xml:space="preserve"> Vargas.  </w:t>
      </w:r>
    </w:p>
    <w:p w14:paraId="2C4BCD53" w14:textId="77777777" w:rsidR="00E4193C" w:rsidRPr="009B20C5" w:rsidRDefault="00E4193C" w:rsidP="00E4193C">
      <w:pPr>
        <w:pStyle w:val="Textonotapie"/>
        <w:ind w:firstLine="709"/>
        <w:jc w:val="both"/>
        <w:rPr>
          <w:rFonts w:ascii="Verdana" w:hAnsi="Verdana" w:cs="Arial"/>
          <w:sz w:val="16"/>
          <w:szCs w:val="16"/>
        </w:rPr>
      </w:pPr>
    </w:p>
  </w:footnote>
  <w:footnote w:id="8">
    <w:p w14:paraId="7860C991" w14:textId="7A53DD43" w:rsidR="00E4193C" w:rsidRPr="009B20C5" w:rsidRDefault="00E4193C" w:rsidP="00E4193C">
      <w:pPr>
        <w:spacing w:after="0" w:line="240" w:lineRule="auto"/>
        <w:ind w:firstLine="709"/>
        <w:jc w:val="both"/>
        <w:rPr>
          <w:rFonts w:ascii="Verdana" w:eastAsia="Times New Roman"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2" w:name="33"/>
      <w:r w:rsidR="00A84A85">
        <w:rPr>
          <w:rFonts w:ascii="Verdana" w:eastAsia="Calibri" w:hAnsi="Verdana" w:cs="Arial"/>
          <w:bCs/>
          <w:color w:val="000000"/>
          <w:sz w:val="16"/>
          <w:szCs w:val="16"/>
        </w:rPr>
        <w:t>“</w:t>
      </w:r>
      <w:r w:rsidRPr="009B20C5">
        <w:rPr>
          <w:rFonts w:ascii="Verdana" w:eastAsia="Times New Roman" w:hAnsi="Verdana" w:cs="Arial"/>
          <w:sz w:val="16"/>
          <w:szCs w:val="16"/>
        </w:rPr>
        <w:t>Artículo 33. Restricciones a la contratación pública.</w:t>
      </w:r>
      <w:bookmarkEnd w:id="2"/>
      <w:r w:rsidRPr="009B20C5">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3421B337" w14:textId="65EB7678" w:rsidR="00E4193C" w:rsidRPr="009B20C5" w:rsidRDefault="00E4193C" w:rsidP="00E4193C">
      <w:pPr>
        <w:spacing w:after="0" w:line="240" w:lineRule="auto"/>
        <w:ind w:firstLine="709"/>
        <w:jc w:val="both"/>
        <w:rPr>
          <w:rFonts w:ascii="Verdana" w:eastAsia="Times New Roman" w:hAnsi="Verdana" w:cs="Arial"/>
          <w:sz w:val="16"/>
          <w:szCs w:val="16"/>
        </w:rPr>
      </w:pPr>
      <w:r w:rsidRPr="009B20C5">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00A84A85">
        <w:rPr>
          <w:rFonts w:ascii="Verdana" w:eastAsia="Calibri" w:hAnsi="Verdana" w:cs="Arial"/>
          <w:bCs/>
          <w:color w:val="000000"/>
          <w:sz w:val="16"/>
          <w:szCs w:val="16"/>
        </w:rPr>
        <w:t>”</w:t>
      </w:r>
      <w:r w:rsidRPr="009B20C5">
        <w:rPr>
          <w:rFonts w:ascii="Verdana" w:eastAsia="Times New Roman" w:hAnsi="Verdana" w:cs="Arial"/>
          <w:sz w:val="16"/>
          <w:szCs w:val="16"/>
        </w:rPr>
        <w:t>.</w:t>
      </w:r>
    </w:p>
  </w:footnote>
  <w:footnote w:id="9">
    <w:p w14:paraId="55A059B5" w14:textId="77777777" w:rsidR="00A84A85" w:rsidRDefault="00A84A85" w:rsidP="00E4193C">
      <w:pPr>
        <w:pStyle w:val="NormalWeb"/>
        <w:spacing w:before="0" w:beforeAutospacing="0" w:after="0" w:afterAutospacing="0"/>
        <w:ind w:firstLine="709"/>
        <w:jc w:val="both"/>
        <w:rPr>
          <w:rFonts w:ascii="Verdana" w:hAnsi="Verdana" w:cs="Arial"/>
          <w:sz w:val="16"/>
          <w:szCs w:val="16"/>
        </w:rPr>
      </w:pPr>
    </w:p>
    <w:p w14:paraId="0BE5226B" w14:textId="152CCE8F" w:rsidR="00E4193C" w:rsidRPr="009B20C5" w:rsidRDefault="00E4193C" w:rsidP="00E4193C">
      <w:pPr>
        <w:pStyle w:val="NormalWeb"/>
        <w:spacing w:before="0" w:beforeAutospacing="0" w:after="0" w:afterAutospacing="0"/>
        <w:ind w:firstLine="709"/>
        <w:jc w:val="both"/>
        <w:rPr>
          <w:rFonts w:ascii="Verdana" w:hAnsi="Verdana" w:cs="Arial"/>
          <w:sz w:val="16"/>
          <w:szCs w:val="16"/>
          <w:lang w:val="es-MX"/>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00A84A85">
        <w:rPr>
          <w:rFonts w:ascii="Verdana" w:eastAsia="Calibri" w:hAnsi="Verdana" w:cs="Arial"/>
          <w:bCs/>
          <w:color w:val="000000"/>
          <w:sz w:val="16"/>
          <w:szCs w:val="16"/>
        </w:rPr>
        <w:t>“</w:t>
      </w:r>
      <w:bookmarkStart w:id="3" w:name="38"/>
      <w:r w:rsidRPr="009B20C5">
        <w:rPr>
          <w:rFonts w:ascii="Verdana" w:hAnsi="Verdana" w:cs="Arial"/>
          <w:sz w:val="16"/>
          <w:szCs w:val="16"/>
          <w:lang w:val="es-MX"/>
        </w:rPr>
        <w:t>Artículo 38. Prohibiciones para los servidores públicos. A los empleados del Estado les está prohibido:</w:t>
      </w:r>
      <w:bookmarkEnd w:id="3"/>
    </w:p>
    <w:p w14:paraId="706629C0" w14:textId="3ED97CBC" w:rsidR="00E4193C" w:rsidRPr="009B20C5" w:rsidRDefault="00E4193C" w:rsidP="00E4193C">
      <w:pPr>
        <w:pStyle w:val="NormalWeb"/>
        <w:spacing w:before="0" w:beforeAutospacing="0" w:after="0" w:afterAutospacing="0"/>
        <w:ind w:firstLine="709"/>
        <w:jc w:val="both"/>
        <w:rPr>
          <w:rFonts w:ascii="Verdana" w:hAnsi="Verdana" w:cs="Arial"/>
          <w:sz w:val="16"/>
          <w:szCs w:val="16"/>
          <w:lang w:val="es-MX"/>
        </w:rPr>
      </w:pPr>
      <w:r w:rsidRPr="009B20C5">
        <w:rPr>
          <w:rFonts w:ascii="Verdana" w:hAnsi="Verdana" w:cs="Arial"/>
          <w:sz w:val="16"/>
          <w:szCs w:val="16"/>
          <w:lang w:val="es-MX"/>
        </w:rPr>
        <w:t>[…]</w:t>
      </w:r>
    </w:p>
    <w:p w14:paraId="1A5CA483" w14:textId="0ED4A287" w:rsidR="00E4193C" w:rsidRDefault="00E4193C" w:rsidP="00E4193C">
      <w:pPr>
        <w:pStyle w:val="NormalWeb"/>
        <w:spacing w:before="0" w:beforeAutospacing="0" w:after="0" w:afterAutospacing="0"/>
        <w:ind w:firstLine="709"/>
        <w:jc w:val="both"/>
        <w:rPr>
          <w:rFonts w:ascii="Verdana" w:hAnsi="Verdana" w:cs="Arial"/>
          <w:sz w:val="16"/>
          <w:szCs w:val="16"/>
          <w:lang w:val="es-MX"/>
        </w:rPr>
      </w:pPr>
      <w:r w:rsidRPr="009B20C5">
        <w:rPr>
          <w:rStyle w:val="baj"/>
          <w:rFonts w:ascii="Verdana" w:hAnsi="Verdana" w:cs="Arial"/>
          <w:sz w:val="16"/>
          <w:szCs w:val="16"/>
          <w:lang w:val="es-MX"/>
        </w:rPr>
        <w:t>Parágrafo.</w:t>
      </w:r>
      <w:r w:rsidRPr="009B20C5">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00A84A85">
        <w:rPr>
          <w:rFonts w:ascii="Verdana" w:eastAsia="Calibri" w:hAnsi="Verdana" w:cs="Arial"/>
          <w:bCs/>
          <w:color w:val="000000"/>
          <w:sz w:val="16"/>
          <w:szCs w:val="16"/>
        </w:rPr>
        <w:t>”</w:t>
      </w:r>
      <w:r w:rsidRPr="009B20C5">
        <w:rPr>
          <w:rFonts w:ascii="Verdana" w:hAnsi="Verdana" w:cs="Arial"/>
          <w:sz w:val="16"/>
          <w:szCs w:val="16"/>
          <w:lang w:val="es-MX"/>
        </w:rPr>
        <w:t>.</w:t>
      </w:r>
    </w:p>
    <w:p w14:paraId="70AB7E5A" w14:textId="77777777" w:rsidR="00E4193C" w:rsidRPr="009B20C5" w:rsidRDefault="00E4193C" w:rsidP="00E4193C">
      <w:pPr>
        <w:pStyle w:val="NormalWeb"/>
        <w:spacing w:before="0" w:beforeAutospacing="0" w:after="0" w:afterAutospacing="0"/>
        <w:ind w:firstLine="709"/>
        <w:jc w:val="both"/>
        <w:rPr>
          <w:rFonts w:ascii="Verdana" w:hAnsi="Verdana" w:cs="Arial"/>
          <w:sz w:val="16"/>
          <w:szCs w:val="16"/>
          <w:lang w:val="es-MX"/>
        </w:rPr>
      </w:pPr>
    </w:p>
  </w:footnote>
  <w:footnote w:id="10">
    <w:p w14:paraId="6F1FEF82" w14:textId="77777777" w:rsidR="00E4193C" w:rsidRDefault="00E4193C" w:rsidP="00E4193C">
      <w:pPr>
        <w:spacing w:after="0" w:line="240" w:lineRule="auto"/>
        <w:ind w:left="100" w:right="244"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17 de febrero de 2015. C.P. William Zambrano Cetina. Radicación No. 11001-03-06-000-2015-00164-00(2269).</w:t>
      </w:r>
    </w:p>
    <w:p w14:paraId="64F3A847" w14:textId="77777777" w:rsidR="00E4193C" w:rsidRPr="009B20C5" w:rsidRDefault="00E4193C" w:rsidP="00E4193C">
      <w:pPr>
        <w:spacing w:after="0" w:line="240" w:lineRule="auto"/>
        <w:ind w:left="100" w:right="244" w:firstLine="709"/>
        <w:jc w:val="both"/>
        <w:rPr>
          <w:rFonts w:ascii="Verdana" w:hAnsi="Verdana" w:cs="Arial"/>
          <w:sz w:val="16"/>
          <w:szCs w:val="16"/>
          <w:lang w:val="es-ES"/>
        </w:rPr>
      </w:pPr>
    </w:p>
  </w:footnote>
  <w:footnote w:id="11">
    <w:p w14:paraId="373437BA" w14:textId="0C52E083" w:rsidR="00E4193C" w:rsidRDefault="00E4193C" w:rsidP="00E4193C">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sz w:val="16"/>
          <w:szCs w:val="16"/>
          <w:lang w:val="es-ES"/>
        </w:rPr>
        <w:t xml:space="preserve">[25] </w:t>
      </w:r>
      <w:r w:rsidRPr="009B20C5">
        <w:rPr>
          <w:rFonts w:ascii="Verdana" w:hAnsi="Verdana" w:cs="Arial"/>
          <w:sz w:val="16"/>
          <w:szCs w:val="16"/>
        </w:rPr>
        <w:t>Cfr. Consejo de Estado. Sección Tercera. Sentencia de 3 de diciembre de 2007. Radicados: 24.715, 25.206, 25.409, 24.524, 27.834, 25.410, 26.105, 28.244, 31.447 -acumulados-.</w:t>
      </w:r>
    </w:p>
    <w:p w14:paraId="2C2BDF77" w14:textId="77777777" w:rsidR="00E4193C" w:rsidRPr="009B20C5" w:rsidRDefault="00E4193C" w:rsidP="00E4193C">
      <w:pPr>
        <w:pStyle w:val="Textonotapie"/>
        <w:ind w:right="51" w:firstLine="709"/>
        <w:jc w:val="both"/>
        <w:rPr>
          <w:rFonts w:ascii="Verdana" w:hAnsi="Verdana" w:cs="Arial"/>
          <w:sz w:val="16"/>
          <w:szCs w:val="16"/>
        </w:rPr>
      </w:pPr>
    </w:p>
  </w:footnote>
  <w:footnote w:id="12">
    <w:p w14:paraId="694AAAD1" w14:textId="084A8A68" w:rsidR="00E4193C" w:rsidRDefault="00E4193C" w:rsidP="00E4193C">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11" w:name="_Hlk74294506"/>
      <w:r w:rsidRPr="009B20C5">
        <w:rPr>
          <w:rFonts w:ascii="Verdana" w:hAnsi="Verdana" w:cs="Arial"/>
          <w:sz w:val="16"/>
          <w:szCs w:val="16"/>
          <w:lang w:val="es-ES"/>
        </w:rPr>
        <w:t xml:space="preserve">[26] </w:t>
      </w:r>
      <w:bookmarkEnd w:id="11"/>
      <w:r w:rsidRPr="009B20C5">
        <w:rPr>
          <w:rFonts w:ascii="Verdana" w:hAnsi="Verdana" w:cs="Arial"/>
          <w:sz w:val="16"/>
          <w:szCs w:val="16"/>
        </w:rPr>
        <w:t>Al respecto ver el concepto 1712 de 2 de febrero de 2006. Consejo de Estado Sala de Consulta y Servicio Civil.</w:t>
      </w:r>
    </w:p>
    <w:p w14:paraId="1B9C74A7" w14:textId="77777777" w:rsidR="00E4193C" w:rsidRPr="009B20C5" w:rsidRDefault="00E4193C" w:rsidP="00E4193C">
      <w:pPr>
        <w:pStyle w:val="Textonotapie"/>
        <w:ind w:right="51" w:firstLine="709"/>
        <w:jc w:val="both"/>
        <w:rPr>
          <w:rFonts w:ascii="Verdana" w:hAnsi="Verdana" w:cs="Arial"/>
          <w:sz w:val="16"/>
          <w:szCs w:val="16"/>
        </w:rPr>
      </w:pPr>
    </w:p>
  </w:footnote>
  <w:footnote w:id="13">
    <w:p w14:paraId="7088025E" w14:textId="77777777" w:rsidR="00E4193C" w:rsidRPr="009B20C5" w:rsidRDefault="00E4193C" w:rsidP="00E4193C">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2 de septiembre de 2013. Radicación número: 11001-03-06-000-2013-00412-00 (2168). Consejero Ponente: Álvaro </w:t>
      </w:r>
      <w:proofErr w:type="spellStart"/>
      <w:r w:rsidRPr="009B20C5">
        <w:rPr>
          <w:rFonts w:ascii="Verdana" w:hAnsi="Verdana" w:cs="Arial"/>
          <w:sz w:val="16"/>
          <w:szCs w:val="16"/>
        </w:rPr>
        <w:t>Namén</w:t>
      </w:r>
      <w:proofErr w:type="spellEnd"/>
      <w:r w:rsidRPr="009B20C5">
        <w:rPr>
          <w:rFonts w:ascii="Verdana" w:hAnsi="Verdana" w:cs="Arial"/>
          <w:sz w:val="16"/>
          <w:szCs w:val="16"/>
        </w:rPr>
        <w:t xml:space="preserve"> Vargas.</w:t>
      </w:r>
    </w:p>
  </w:footnote>
  <w:footnote w:id="14">
    <w:p w14:paraId="0B07C09C" w14:textId="77777777" w:rsidR="00A84A85" w:rsidRDefault="00A84A85" w:rsidP="00E4193C">
      <w:pPr>
        <w:pStyle w:val="Textonotapie"/>
        <w:ind w:firstLine="709"/>
        <w:jc w:val="both"/>
        <w:rPr>
          <w:rFonts w:ascii="Verdana" w:hAnsi="Verdana" w:cs="Arial"/>
          <w:sz w:val="16"/>
          <w:szCs w:val="16"/>
        </w:rPr>
      </w:pPr>
    </w:p>
    <w:p w14:paraId="2CCFC650" w14:textId="567CC112" w:rsidR="00E4193C" w:rsidRPr="009B20C5" w:rsidRDefault="00E4193C" w:rsidP="00E4193C">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sz w:val="16"/>
          <w:szCs w:val="16"/>
          <w:lang w:val="es-ES"/>
        </w:rPr>
        <w:t>Artículo 2.</w:t>
      </w:r>
    </w:p>
  </w:footnote>
  <w:footnote w:id="15">
    <w:p w14:paraId="0D45747E" w14:textId="77777777" w:rsidR="00A84A85" w:rsidRDefault="00A84A85" w:rsidP="00E4193C">
      <w:pPr>
        <w:pStyle w:val="Textonotapie"/>
        <w:ind w:firstLine="709"/>
        <w:jc w:val="both"/>
        <w:rPr>
          <w:rFonts w:ascii="Verdana" w:hAnsi="Verdana" w:cs="Arial"/>
          <w:sz w:val="16"/>
          <w:szCs w:val="16"/>
        </w:rPr>
      </w:pPr>
    </w:p>
    <w:p w14:paraId="39F7AFC6" w14:textId="1C79F1FF" w:rsidR="00E4193C" w:rsidRDefault="00E4193C" w:rsidP="00E4193C">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Fonts w:ascii="Verdana" w:hAnsi="Verdana" w:cs="Arial"/>
          <w:sz w:val="16"/>
          <w:szCs w:val="16"/>
        </w:rPr>
        <w:t xml:space="preserve"> </w:t>
      </w:r>
      <w:r w:rsidRPr="009B20C5">
        <w:rPr>
          <w:rFonts w:ascii="Verdana" w:hAnsi="Verdana" w:cs="Arial"/>
          <w:i/>
          <w:sz w:val="16"/>
          <w:szCs w:val="16"/>
          <w:lang w:val="es-ES"/>
        </w:rPr>
        <w:t>Ídem</w:t>
      </w:r>
      <w:r w:rsidRPr="009B20C5">
        <w:rPr>
          <w:rFonts w:ascii="Verdana" w:hAnsi="Verdana" w:cs="Arial"/>
          <w:sz w:val="16"/>
          <w:szCs w:val="16"/>
          <w:lang w:val="es-ES"/>
        </w:rPr>
        <w:t>.</w:t>
      </w:r>
    </w:p>
    <w:p w14:paraId="5273A291" w14:textId="77777777" w:rsidR="00E4193C" w:rsidRPr="009B20C5" w:rsidRDefault="00E4193C" w:rsidP="00E4193C">
      <w:pPr>
        <w:pStyle w:val="Textonotapie"/>
        <w:ind w:firstLine="709"/>
        <w:jc w:val="both"/>
        <w:rPr>
          <w:rFonts w:ascii="Verdana" w:hAnsi="Verdana" w:cs="Arial"/>
          <w:sz w:val="16"/>
          <w:szCs w:val="16"/>
          <w:lang w:val="es-ES"/>
        </w:rPr>
      </w:pPr>
    </w:p>
  </w:footnote>
  <w:footnote w:id="16">
    <w:p w14:paraId="6E1F080F" w14:textId="77777777" w:rsidR="00E4193C" w:rsidRPr="009B20C5" w:rsidRDefault="00E4193C" w:rsidP="00E4193C">
      <w:pPr>
        <w:pStyle w:val="Textonotapie"/>
        <w:jc w:val="both"/>
        <w:rPr>
          <w:rFonts w:ascii="Verdana" w:hAnsi="Verdana" w:cs="Arial"/>
          <w:sz w:val="16"/>
          <w:szCs w:val="16"/>
        </w:rPr>
      </w:pPr>
    </w:p>
    <w:p w14:paraId="0860428F" w14:textId="4D5DDCD3" w:rsidR="00A84A85" w:rsidRDefault="00E4193C" w:rsidP="00E4193C">
      <w:pPr>
        <w:pStyle w:val="Textonotapie"/>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bookmarkStart w:id="16" w:name="_Hlk74297130"/>
      <w:r w:rsidR="00A84A85">
        <w:rPr>
          <w:rFonts w:ascii="Verdana" w:hAnsi="Verdana" w:cs="Arial"/>
          <w:sz w:val="16"/>
          <w:szCs w:val="16"/>
          <w:lang w:val="es-ES"/>
        </w:rPr>
        <w:t>“</w:t>
      </w:r>
      <w:bookmarkEnd w:id="16"/>
      <w:r w:rsidRPr="009B20C5">
        <w:rPr>
          <w:rFonts w:ascii="Verdana" w:hAnsi="Verdana" w:cs="Arial"/>
          <w:sz w:val="16"/>
          <w:szCs w:val="16"/>
          <w:lang w:val="es-ES"/>
        </w:rPr>
        <w:t>[…] A este respecto, cabe recordar que el artículo 860 del Código de Comercio regula la licitación en el derecho privado</w:t>
      </w:r>
      <w:r w:rsidR="00A84A85">
        <w:rPr>
          <w:rFonts w:ascii="Verdana" w:hAnsi="Verdana" w:cs="Arial"/>
          <w:sz w:val="16"/>
          <w:szCs w:val="16"/>
          <w:lang w:val="es-ES"/>
        </w:rPr>
        <w:t>”</w:t>
      </w:r>
      <w:r w:rsidRPr="009B20C5">
        <w:rPr>
          <w:rFonts w:ascii="Verdana" w:hAnsi="Verdana" w:cs="Arial"/>
          <w:sz w:val="16"/>
          <w:szCs w:val="16"/>
          <w:lang w:val="es-ES"/>
        </w:rPr>
        <w:t>.</w:t>
      </w:r>
    </w:p>
    <w:p w14:paraId="37850C14" w14:textId="2181B743" w:rsidR="00E4193C" w:rsidRPr="009B20C5" w:rsidRDefault="00E4193C" w:rsidP="00E4193C">
      <w:pPr>
        <w:pStyle w:val="Textonotapie"/>
        <w:ind w:firstLine="709"/>
        <w:jc w:val="both"/>
        <w:rPr>
          <w:rFonts w:ascii="Verdana" w:hAnsi="Verdana" w:cs="Arial"/>
          <w:sz w:val="16"/>
          <w:szCs w:val="16"/>
          <w:lang w:val="es-ES"/>
        </w:rPr>
      </w:pPr>
      <w:r w:rsidRPr="009B20C5">
        <w:rPr>
          <w:rFonts w:ascii="Verdana" w:hAnsi="Verdana" w:cs="Arial"/>
          <w:sz w:val="16"/>
          <w:szCs w:val="16"/>
          <w:lang w:val="es-ES"/>
        </w:rPr>
        <w:t xml:space="preserve"> </w:t>
      </w:r>
    </w:p>
  </w:footnote>
  <w:footnote w:id="17">
    <w:p w14:paraId="062D3303" w14:textId="77777777" w:rsidR="00E4193C" w:rsidRPr="009B20C5" w:rsidRDefault="00E4193C" w:rsidP="00E4193C">
      <w:pPr>
        <w:shd w:val="clear" w:color="auto" w:fill="FFFFFF"/>
        <w:spacing w:after="0" w:line="240" w:lineRule="auto"/>
        <w:ind w:firstLine="709"/>
        <w:jc w:val="both"/>
        <w:rPr>
          <w:rFonts w:ascii="Verdana" w:hAnsi="Verdana" w:cs="Arial"/>
          <w:sz w:val="16"/>
          <w:szCs w:val="16"/>
          <w:lang w:val="es-ES"/>
        </w:rPr>
      </w:pPr>
      <w:r w:rsidRPr="009B20C5">
        <w:rPr>
          <w:rStyle w:val="Refdenotaalpie"/>
          <w:rFonts w:ascii="Verdana" w:hAnsi="Verdana" w:cs="Arial"/>
          <w:sz w:val="16"/>
          <w:szCs w:val="16"/>
        </w:rPr>
        <w:footnoteRef/>
      </w:r>
      <w:r w:rsidRPr="009B20C5">
        <w:rPr>
          <w:rStyle w:val="Refdenotaalpie"/>
          <w:rFonts w:ascii="Verdana" w:hAnsi="Verdana" w:cs="Arial"/>
          <w:sz w:val="16"/>
          <w:szCs w:val="16"/>
        </w:rPr>
        <w:t xml:space="preserve"> </w:t>
      </w:r>
      <w:r w:rsidRPr="009B20C5">
        <w:rPr>
          <w:rFonts w:ascii="Verdana" w:hAnsi="Verdana" w:cs="Arial"/>
          <w:sz w:val="16"/>
          <w:szCs w:val="16"/>
          <w:lang w:val="es-ES"/>
        </w:rPr>
        <w:t xml:space="preserve">Consejo de Estado. Sala de Consulta y Servicio Civil, Concepto de 8 de mayo de 2018. Radicación Número: 11001-03-06-000-2018-00095-00(2382). Consejero Ponente: Álvaro </w:t>
      </w:r>
      <w:proofErr w:type="spellStart"/>
      <w:r w:rsidRPr="009B20C5">
        <w:rPr>
          <w:rFonts w:ascii="Verdana" w:hAnsi="Verdana" w:cs="Arial"/>
          <w:sz w:val="16"/>
          <w:szCs w:val="16"/>
          <w:lang w:val="es-ES"/>
        </w:rPr>
        <w:t>Namén</w:t>
      </w:r>
      <w:proofErr w:type="spellEnd"/>
      <w:r w:rsidRPr="009B20C5">
        <w:rPr>
          <w:rFonts w:ascii="Verdana" w:hAnsi="Verdana" w:cs="Arial"/>
          <w:sz w:val="16"/>
          <w:szCs w:val="16"/>
          <w:lang w:val="es-ES"/>
        </w:rPr>
        <w:t xml:space="preserve"> Vargas.</w:t>
      </w:r>
    </w:p>
  </w:footnote>
  <w:footnote w:id="18">
    <w:p w14:paraId="425E479B" w14:textId="77777777" w:rsidR="00A84A85" w:rsidRDefault="00A84A85" w:rsidP="00E4193C">
      <w:pPr>
        <w:pStyle w:val="Textonotapie"/>
        <w:ind w:firstLine="709"/>
        <w:jc w:val="both"/>
        <w:rPr>
          <w:rFonts w:ascii="Verdana" w:hAnsi="Verdana" w:cs="Arial"/>
          <w:sz w:val="16"/>
          <w:szCs w:val="16"/>
        </w:rPr>
      </w:pPr>
    </w:p>
    <w:p w14:paraId="0F0AA21B" w14:textId="3DB420E2" w:rsidR="00E4193C" w:rsidRDefault="00E4193C" w:rsidP="00E4193C">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08 de mayo de 2018. </w:t>
      </w:r>
      <w:proofErr w:type="spellStart"/>
      <w:r w:rsidRPr="009B20C5">
        <w:rPr>
          <w:rFonts w:ascii="Verdana" w:hAnsi="Verdana" w:cs="Arial"/>
          <w:sz w:val="16"/>
          <w:szCs w:val="16"/>
        </w:rPr>
        <w:t>Exp</w:t>
      </w:r>
      <w:proofErr w:type="spellEnd"/>
      <w:r w:rsidRPr="009B20C5">
        <w:rPr>
          <w:rFonts w:ascii="Verdana" w:hAnsi="Verdana" w:cs="Arial"/>
          <w:sz w:val="16"/>
          <w:szCs w:val="16"/>
        </w:rPr>
        <w:t xml:space="preserve">. 2.382. C.P. Álvaro </w:t>
      </w:r>
      <w:proofErr w:type="spellStart"/>
      <w:r w:rsidRPr="009B20C5">
        <w:rPr>
          <w:rFonts w:ascii="Verdana" w:hAnsi="Verdana" w:cs="Arial"/>
          <w:sz w:val="16"/>
          <w:szCs w:val="16"/>
        </w:rPr>
        <w:t>Namén</w:t>
      </w:r>
      <w:proofErr w:type="spellEnd"/>
      <w:r w:rsidRPr="009B20C5">
        <w:rPr>
          <w:rFonts w:ascii="Verdana" w:hAnsi="Verdana" w:cs="Arial"/>
          <w:sz w:val="16"/>
          <w:szCs w:val="16"/>
        </w:rPr>
        <w:t xml:space="preserve"> Vargas.</w:t>
      </w:r>
    </w:p>
    <w:p w14:paraId="70B693CB" w14:textId="77777777" w:rsidR="00E4193C" w:rsidRPr="009B20C5" w:rsidRDefault="00E4193C" w:rsidP="00E4193C">
      <w:pPr>
        <w:pStyle w:val="Textonotapie"/>
        <w:ind w:firstLine="709"/>
        <w:jc w:val="both"/>
        <w:rPr>
          <w:rFonts w:ascii="Verdana" w:hAnsi="Verdana" w:cs="Arial"/>
          <w:sz w:val="16"/>
          <w:szCs w:val="16"/>
        </w:rPr>
      </w:pPr>
    </w:p>
  </w:footnote>
  <w:footnote w:id="19">
    <w:p w14:paraId="25F99923" w14:textId="77777777" w:rsidR="00E4193C" w:rsidRPr="009B20C5" w:rsidRDefault="00E4193C" w:rsidP="00E4193C">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9B20C5">
        <w:rPr>
          <w:rFonts w:ascii="Verdana" w:hAnsi="Verdana" w:cs="Arial"/>
          <w:sz w:val="16"/>
          <w:szCs w:val="16"/>
        </w:rPr>
        <w:t>N°</w:t>
      </w:r>
      <w:proofErr w:type="spellEnd"/>
      <w:r w:rsidRPr="009B20C5">
        <w:rPr>
          <w:rFonts w:ascii="Verdana" w:hAnsi="Verdana" w:cs="Arial"/>
          <w:sz w:val="16"/>
          <w:szCs w:val="16"/>
        </w:rPr>
        <w:t xml:space="preserve"> 216/05 Senado, </w:t>
      </w:r>
      <w:proofErr w:type="spellStart"/>
      <w:r w:rsidRPr="009B20C5">
        <w:rPr>
          <w:rFonts w:ascii="Verdana" w:hAnsi="Verdana" w:cs="Arial"/>
          <w:sz w:val="16"/>
          <w:szCs w:val="16"/>
        </w:rPr>
        <w:t>N°</w:t>
      </w:r>
      <w:proofErr w:type="spellEnd"/>
      <w:r w:rsidRPr="009B20C5">
        <w:rPr>
          <w:rFonts w:ascii="Verdana" w:hAnsi="Verdana" w:cs="Arial"/>
          <w:sz w:val="16"/>
          <w:szCs w:val="16"/>
        </w:rPr>
        <w:t xml:space="preserve"> 235-Cámara que dio lugar a la Ley de Garantías Electorales.</w:t>
      </w:r>
    </w:p>
  </w:footnote>
  <w:footnote w:id="20">
    <w:p w14:paraId="0CECD8C2" w14:textId="77777777" w:rsidR="00A43B5B" w:rsidRDefault="00A43B5B" w:rsidP="00E4193C">
      <w:pPr>
        <w:spacing w:after="0" w:line="240" w:lineRule="auto"/>
        <w:ind w:firstLine="709"/>
        <w:jc w:val="both"/>
        <w:rPr>
          <w:rFonts w:ascii="Verdana" w:hAnsi="Verdana" w:cs="Arial"/>
          <w:sz w:val="16"/>
          <w:szCs w:val="16"/>
        </w:rPr>
      </w:pPr>
    </w:p>
    <w:p w14:paraId="73749772" w14:textId="35FED98D" w:rsidR="00E4193C" w:rsidRDefault="00E4193C" w:rsidP="00E4193C">
      <w:pPr>
        <w:spacing w:after="0" w:line="240" w:lineRule="auto"/>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1ABC443A" w14:textId="77777777" w:rsidR="00E4193C" w:rsidRPr="009B20C5" w:rsidRDefault="00E4193C" w:rsidP="00E4193C">
      <w:pPr>
        <w:spacing w:after="0" w:line="240" w:lineRule="auto"/>
        <w:ind w:firstLine="709"/>
        <w:jc w:val="both"/>
        <w:rPr>
          <w:rFonts w:ascii="Verdana" w:hAnsi="Verdana" w:cs="Arial"/>
          <w:sz w:val="16"/>
          <w:szCs w:val="16"/>
        </w:rPr>
      </w:pPr>
    </w:p>
  </w:footnote>
  <w:footnote w:id="21">
    <w:p w14:paraId="5AE2F868" w14:textId="428863B2" w:rsidR="00E4193C" w:rsidRPr="009B20C5" w:rsidRDefault="00E4193C" w:rsidP="00E4193C">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w:t>
      </w:r>
      <w:bookmarkStart w:id="28" w:name="_Hlk75633115"/>
      <w:r w:rsidRPr="009B20C5">
        <w:rPr>
          <w:rFonts w:ascii="Verdana" w:hAnsi="Verdana" w:cs="Arial"/>
          <w:sz w:val="16"/>
          <w:szCs w:val="16"/>
        </w:rPr>
        <w:t xml:space="preserve">Consejo de Estado. Sala de Consulta y Servicio Civil. Concepto </w:t>
      </w:r>
      <w:bookmarkEnd w:id="28"/>
      <w:r w:rsidRPr="009B20C5">
        <w:rPr>
          <w:rFonts w:ascii="Verdana" w:hAnsi="Verdana" w:cs="Arial"/>
          <w:sz w:val="16"/>
          <w:szCs w:val="16"/>
        </w:rPr>
        <w:t>de 6 de abril de 2006. Radicación Número: 11001-03-06-000-2006-00038-00(1738). Consejero Ponente: Enrique José Arboleda Perdomo:</w:t>
      </w:r>
      <w:r w:rsidRPr="009B20C5">
        <w:rPr>
          <w:rFonts w:ascii="Verdana" w:eastAsia="Times New Roman" w:hAnsi="Verdana" w:cs="Arial"/>
          <w:bCs/>
          <w:sz w:val="16"/>
          <w:szCs w:val="16"/>
          <w:lang w:eastAsia="x-none"/>
        </w:rPr>
        <w:t xml:space="preserve"> </w:t>
      </w:r>
      <w:r w:rsidR="00A43B5B">
        <w:rPr>
          <w:rFonts w:ascii="Verdana" w:eastAsia="Times New Roman" w:hAnsi="Verdana" w:cs="Arial"/>
          <w:bCs/>
          <w:sz w:val="16"/>
          <w:szCs w:val="16"/>
          <w:lang w:eastAsia="x-none"/>
        </w:rPr>
        <w:t>“</w:t>
      </w:r>
      <w:r w:rsidRPr="009B20C5">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00A43B5B">
        <w:rPr>
          <w:rFonts w:ascii="Verdana" w:eastAsia="Times New Roman" w:hAnsi="Verdana" w:cs="Arial"/>
          <w:bCs/>
          <w:sz w:val="16"/>
          <w:szCs w:val="16"/>
          <w:lang w:eastAsia="x-none"/>
        </w:rPr>
        <w:t>”</w:t>
      </w:r>
      <w:r w:rsidRPr="009B20C5">
        <w:rPr>
          <w:rFonts w:ascii="Verdana" w:eastAsia="Times New Roman" w:hAnsi="Verdana" w:cs="Arial"/>
          <w:bCs/>
          <w:sz w:val="16"/>
          <w:szCs w:val="16"/>
          <w:lang w:eastAsia="x-none"/>
        </w:rPr>
        <w:t>.</w:t>
      </w:r>
    </w:p>
  </w:footnote>
  <w:footnote w:id="22">
    <w:p w14:paraId="189AE862" w14:textId="77777777" w:rsidR="00A43B5B" w:rsidRDefault="00A43B5B" w:rsidP="00E4193C">
      <w:pPr>
        <w:pStyle w:val="Textonotapie"/>
        <w:ind w:right="51" w:firstLine="709"/>
        <w:jc w:val="both"/>
        <w:rPr>
          <w:rFonts w:ascii="Verdana" w:hAnsi="Verdana" w:cs="Arial"/>
          <w:sz w:val="16"/>
          <w:szCs w:val="16"/>
        </w:rPr>
      </w:pPr>
    </w:p>
    <w:p w14:paraId="5060A1B2" w14:textId="6CE7EDCE" w:rsidR="00E4193C" w:rsidRDefault="00E4193C" w:rsidP="00E4193C">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p w14:paraId="4519E2BA" w14:textId="77777777" w:rsidR="00E4193C" w:rsidRPr="009B20C5" w:rsidRDefault="00E4193C" w:rsidP="00E4193C">
      <w:pPr>
        <w:pStyle w:val="Textonotapie"/>
        <w:ind w:right="51" w:firstLine="709"/>
        <w:jc w:val="both"/>
        <w:rPr>
          <w:rFonts w:ascii="Verdana" w:hAnsi="Verdana" w:cs="Arial"/>
          <w:sz w:val="16"/>
          <w:szCs w:val="16"/>
        </w:rPr>
      </w:pPr>
    </w:p>
  </w:footnote>
  <w:footnote w:id="23">
    <w:p w14:paraId="2628036E" w14:textId="77777777" w:rsidR="00E4193C" w:rsidRDefault="00E4193C" w:rsidP="00E4193C">
      <w:pPr>
        <w:pStyle w:val="Textonotapie"/>
        <w:ind w:right="51"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ídem.</w:t>
      </w:r>
    </w:p>
    <w:p w14:paraId="07BCF8C1" w14:textId="77777777" w:rsidR="00E4193C" w:rsidRPr="009B20C5" w:rsidRDefault="00E4193C" w:rsidP="00E4193C">
      <w:pPr>
        <w:pStyle w:val="Textonotapie"/>
        <w:ind w:right="51" w:firstLine="709"/>
        <w:jc w:val="both"/>
        <w:rPr>
          <w:rFonts w:ascii="Verdana" w:hAnsi="Verdana" w:cs="Arial"/>
          <w:sz w:val="16"/>
          <w:szCs w:val="16"/>
        </w:rPr>
      </w:pPr>
    </w:p>
  </w:footnote>
  <w:footnote w:id="24">
    <w:p w14:paraId="68185DAA" w14:textId="20D1B7F2" w:rsidR="00E4193C" w:rsidRDefault="00E4193C" w:rsidP="00E4193C">
      <w:pPr>
        <w:pStyle w:val="Textonotapie"/>
        <w:ind w:firstLine="708"/>
        <w:jc w:val="both"/>
        <w:rPr>
          <w:rFonts w:ascii="Verdana" w:hAnsi="Verdana" w:cs="Arial"/>
          <w:color w:val="000000"/>
          <w:sz w:val="16"/>
          <w:szCs w:val="16"/>
        </w:rPr>
      </w:pPr>
      <w:r w:rsidRPr="009B20C5">
        <w:rPr>
          <w:rStyle w:val="Refdenotaalpie"/>
          <w:rFonts w:ascii="Verdana" w:hAnsi="Verdana" w:cs="Arial"/>
          <w:color w:val="000000"/>
          <w:sz w:val="16"/>
          <w:szCs w:val="16"/>
        </w:rPr>
        <w:footnoteRef/>
      </w:r>
      <w:r w:rsidRPr="009B20C5">
        <w:rPr>
          <w:rFonts w:ascii="Verdana" w:hAnsi="Verdana" w:cs="Arial"/>
          <w:color w:val="000000"/>
          <w:sz w:val="16"/>
          <w:szCs w:val="16"/>
        </w:rPr>
        <w:t xml:space="preserve"> Ley 489 de 1998: </w:t>
      </w:r>
      <w:r w:rsidR="00CF7FA1">
        <w:rPr>
          <w:rFonts w:ascii="Verdana" w:hAnsi="Verdana" w:cs="Arial"/>
          <w:color w:val="000000"/>
          <w:sz w:val="16"/>
          <w:szCs w:val="16"/>
        </w:rPr>
        <w:t>“</w:t>
      </w:r>
      <w:r w:rsidRPr="009B20C5">
        <w:rPr>
          <w:rFonts w:ascii="Verdana" w:hAnsi="Verdana" w:cs="Arial"/>
          <w:color w:val="000000"/>
          <w:sz w:val="16"/>
          <w:szCs w:val="16"/>
        </w:rPr>
        <w:t>Artículo 68: Entidades descentralizadas.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w:t>
      </w:r>
      <w:r w:rsidRPr="009B20C5">
        <w:rPr>
          <w:rFonts w:ascii="Verdana" w:hAnsi="Verdana" w:cs="Arial"/>
          <w:bCs/>
          <w:i/>
          <w:iCs/>
          <w:color w:val="000000"/>
          <w:sz w:val="16"/>
          <w:szCs w:val="16"/>
        </w:rPr>
        <w:t>las empresas oficiales de servicios públicos</w:t>
      </w:r>
      <w:r w:rsidRPr="009B20C5">
        <w:rPr>
          <w:rFonts w:ascii="Verdana" w:hAnsi="Verdana" w:cs="Arial"/>
          <w:color w:val="000000"/>
          <w:sz w:val="16"/>
          <w:szCs w:val="16"/>
        </w:rPr>
        <w:t>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r w:rsidR="00E936C6">
        <w:rPr>
          <w:rFonts w:ascii="Verdana" w:hAnsi="Verdana" w:cs="Arial"/>
          <w:color w:val="000000"/>
          <w:sz w:val="16"/>
          <w:szCs w:val="16"/>
        </w:rPr>
        <w:t>”</w:t>
      </w:r>
      <w:r w:rsidRPr="009B20C5">
        <w:rPr>
          <w:rFonts w:ascii="Verdana" w:hAnsi="Verdana" w:cs="Arial"/>
          <w:color w:val="000000"/>
          <w:sz w:val="16"/>
          <w:szCs w:val="16"/>
        </w:rPr>
        <w:t xml:space="preserve"> (Énfasis fuera de texto).</w:t>
      </w:r>
    </w:p>
    <w:p w14:paraId="291EA216" w14:textId="77777777" w:rsidR="00E4193C" w:rsidRPr="009B20C5" w:rsidRDefault="00E4193C" w:rsidP="00E4193C">
      <w:pPr>
        <w:pStyle w:val="Textonotapie"/>
        <w:ind w:firstLine="708"/>
        <w:jc w:val="both"/>
        <w:rPr>
          <w:rFonts w:ascii="Verdana" w:hAnsi="Verdana" w:cs="Arial"/>
          <w:color w:val="000000"/>
          <w:sz w:val="16"/>
          <w:szCs w:val="16"/>
        </w:rPr>
      </w:pPr>
    </w:p>
  </w:footnote>
  <w:footnote w:id="25">
    <w:p w14:paraId="09CE2046" w14:textId="622819F0" w:rsidR="00E4193C" w:rsidRDefault="00E4193C" w:rsidP="00E4193C">
      <w:pPr>
        <w:pStyle w:val="Textonotapie"/>
        <w:ind w:firstLine="708"/>
        <w:jc w:val="both"/>
        <w:rPr>
          <w:rFonts w:ascii="Verdana" w:hAnsi="Verdana" w:cs="Arial"/>
          <w:color w:val="000000"/>
          <w:sz w:val="16"/>
          <w:szCs w:val="16"/>
        </w:rPr>
      </w:pPr>
      <w:r w:rsidRPr="009B20C5">
        <w:rPr>
          <w:rStyle w:val="Refdenotaalpie"/>
          <w:rFonts w:ascii="Verdana" w:hAnsi="Verdana" w:cs="Arial"/>
          <w:color w:val="000000"/>
          <w:sz w:val="16"/>
          <w:szCs w:val="16"/>
        </w:rPr>
        <w:footnoteRef/>
      </w:r>
      <w:r w:rsidRPr="009B20C5">
        <w:rPr>
          <w:rFonts w:ascii="Verdana" w:hAnsi="Verdana" w:cs="Arial"/>
          <w:color w:val="000000"/>
          <w:sz w:val="16"/>
          <w:szCs w:val="16"/>
        </w:rPr>
        <w:t xml:space="preserve"> Corte Constitucional. Sentencia C-736 de 2007. C.P. Marco Gerardo Monroy Cabra: </w:t>
      </w:r>
      <w:r w:rsidR="00E936C6">
        <w:rPr>
          <w:rFonts w:ascii="Verdana" w:hAnsi="Verdana" w:cs="Arial"/>
          <w:color w:val="000000"/>
          <w:sz w:val="16"/>
          <w:szCs w:val="16"/>
        </w:rPr>
        <w:t>“</w:t>
      </w:r>
      <w:r w:rsidRPr="009B20C5">
        <w:rPr>
          <w:rFonts w:ascii="Verdana" w:hAnsi="Verdana" w:cs="Arial"/>
          <w:color w:val="000000"/>
          <w:sz w:val="16"/>
          <w:szCs w:val="16"/>
        </w:rPr>
        <w:t>Obsérvese que si bien el legislador sólo considera explícitamente como entidades descentralizadas a las empresas oficiales de servicios públicos, es decir a aquellas con un capital cien por ciento (100%) estatal, lo cual haría pensar que las mixtas y las privadas no ostentarían esta naturaleza jurídica, a continuación indica que también son entidades descentralizadas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Así las cosas, de manera implícita incluye a las empresas de servicios públicos mixtas o privadas como entidades descentralizadas, por lo cual la Corte no encuentra obstáculo para declarar su constitucionalidad</w:t>
      </w:r>
      <w:r w:rsidR="00E936C6">
        <w:rPr>
          <w:rFonts w:ascii="Verdana" w:hAnsi="Verdana" w:cs="Arial"/>
          <w:color w:val="000000"/>
          <w:sz w:val="16"/>
          <w:szCs w:val="16"/>
        </w:rPr>
        <w:t>”</w:t>
      </w:r>
      <w:r w:rsidRPr="009B20C5">
        <w:rPr>
          <w:rFonts w:ascii="Verdana" w:hAnsi="Verdana" w:cs="Arial"/>
          <w:color w:val="000000"/>
          <w:sz w:val="16"/>
          <w:szCs w:val="16"/>
        </w:rPr>
        <w:t>.</w:t>
      </w:r>
    </w:p>
    <w:p w14:paraId="7287AE5C" w14:textId="77777777" w:rsidR="00E4193C" w:rsidRPr="009B20C5" w:rsidRDefault="00E4193C" w:rsidP="00E4193C">
      <w:pPr>
        <w:pStyle w:val="Textonotapie"/>
        <w:ind w:firstLine="708"/>
        <w:jc w:val="both"/>
        <w:rPr>
          <w:rFonts w:ascii="Verdana" w:hAnsi="Verdana" w:cs="Arial"/>
          <w:color w:val="000000"/>
          <w:sz w:val="16"/>
          <w:szCs w:val="16"/>
        </w:rPr>
      </w:pPr>
    </w:p>
  </w:footnote>
  <w:footnote w:id="26">
    <w:p w14:paraId="43B8C4EB" w14:textId="1132E484" w:rsidR="00E4193C" w:rsidRDefault="00E4193C" w:rsidP="00E4193C">
      <w:pPr>
        <w:pStyle w:val="Textonotapie"/>
        <w:ind w:firstLine="708"/>
        <w:jc w:val="both"/>
        <w:rPr>
          <w:rFonts w:ascii="Verdana" w:hAnsi="Verdana" w:cs="Arial"/>
          <w:color w:val="000000"/>
          <w:sz w:val="16"/>
          <w:szCs w:val="16"/>
        </w:rPr>
      </w:pPr>
      <w:r w:rsidRPr="009B20C5">
        <w:rPr>
          <w:rStyle w:val="Refdenotaalpie"/>
          <w:rFonts w:ascii="Verdana" w:hAnsi="Verdana" w:cs="Arial"/>
          <w:color w:val="000000"/>
          <w:sz w:val="16"/>
          <w:szCs w:val="16"/>
        </w:rPr>
        <w:footnoteRef/>
      </w:r>
      <w:r w:rsidRPr="009B20C5">
        <w:rPr>
          <w:rFonts w:ascii="Verdana" w:hAnsi="Verdana" w:cs="Arial"/>
          <w:i/>
          <w:color w:val="000000"/>
          <w:sz w:val="16"/>
          <w:szCs w:val="16"/>
        </w:rPr>
        <w:t xml:space="preserve"> </w:t>
      </w:r>
      <w:proofErr w:type="spellStart"/>
      <w:r w:rsidRPr="009B20C5">
        <w:rPr>
          <w:rFonts w:ascii="Verdana" w:hAnsi="Verdana" w:cs="Arial"/>
          <w:i/>
          <w:iCs/>
          <w:color w:val="000000"/>
          <w:sz w:val="16"/>
          <w:szCs w:val="16"/>
        </w:rPr>
        <w:t>Ibídem</w:t>
      </w:r>
      <w:proofErr w:type="spellEnd"/>
      <w:r w:rsidRPr="009B20C5">
        <w:rPr>
          <w:rFonts w:ascii="Verdana" w:hAnsi="Verdana" w:cs="Arial"/>
          <w:i/>
          <w:iCs/>
          <w:color w:val="000000"/>
          <w:sz w:val="16"/>
          <w:szCs w:val="16"/>
        </w:rPr>
        <w:t>.</w:t>
      </w:r>
      <w:r w:rsidR="00E936C6">
        <w:rPr>
          <w:rFonts w:ascii="Verdana" w:hAnsi="Verdana" w:cs="Arial"/>
          <w:color w:val="000000"/>
          <w:sz w:val="16"/>
          <w:szCs w:val="16"/>
        </w:rPr>
        <w:t>”</w:t>
      </w:r>
      <w:r w:rsidRPr="009B20C5">
        <w:rPr>
          <w:rFonts w:ascii="Verdana" w:hAnsi="Verdana" w:cs="Arial"/>
          <w:color w:val="000000"/>
          <w:sz w:val="16"/>
          <w:szCs w:val="16"/>
        </w:rPr>
        <w:t>No obstante, después de haber estudiado los conceptos de sociedad de economía mixta y de empresa de servicios públicos, la Corte estima que la naturaleza y el régimen jurídico especial de la prestación de los servicios públicos dispuesto por el constituyente en el artículo 365 de la Carta impiden considerar que las empresas de servicios públicos constituidas bajo la forma de sociedades por acciones, en las cuales concurran en cualquier proporción el capital público y el privado, sean “sociedades de economía mixta”. A juicio de la Corporación, y por lo dicho anteriormente, se trata de entidades de tipología especial expresamente definida por el legislador en desarrollo de las normas superiores antes mencionadas, que señalan las particularidades de esta actividad</w:t>
      </w:r>
      <w:r w:rsidR="00E936C6">
        <w:rPr>
          <w:rFonts w:ascii="Verdana" w:hAnsi="Verdana" w:cs="Arial"/>
          <w:color w:val="000000"/>
          <w:sz w:val="16"/>
          <w:szCs w:val="16"/>
        </w:rPr>
        <w:t>”</w:t>
      </w:r>
      <w:r w:rsidRPr="009B20C5">
        <w:rPr>
          <w:rFonts w:ascii="Verdana" w:hAnsi="Verdana" w:cs="Arial"/>
          <w:color w:val="000000"/>
          <w:sz w:val="16"/>
          <w:szCs w:val="16"/>
        </w:rPr>
        <w:t>.</w:t>
      </w:r>
    </w:p>
    <w:p w14:paraId="1DC432FA" w14:textId="77777777" w:rsidR="00E4193C" w:rsidRPr="009B20C5" w:rsidRDefault="00E4193C" w:rsidP="00E4193C">
      <w:pPr>
        <w:pStyle w:val="Textonotapie"/>
        <w:ind w:firstLine="708"/>
        <w:jc w:val="both"/>
        <w:rPr>
          <w:rFonts w:ascii="Verdana" w:hAnsi="Verdana" w:cs="Arial"/>
          <w:color w:val="000000"/>
          <w:sz w:val="16"/>
          <w:szCs w:val="16"/>
        </w:rPr>
      </w:pPr>
    </w:p>
  </w:footnote>
  <w:footnote w:id="27">
    <w:p w14:paraId="22673AA6" w14:textId="77835FFC" w:rsidR="00E4193C" w:rsidRPr="009B20C5" w:rsidRDefault="00E4193C" w:rsidP="00E4193C">
      <w:pPr>
        <w:pStyle w:val="Textonotapie"/>
        <w:ind w:firstLine="708"/>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La Ley 1150 de 2007, en el artículo 13, dispone lo siguiente: </w:t>
      </w:r>
      <w:r w:rsidR="00E936C6">
        <w:rPr>
          <w:rFonts w:ascii="Verdana" w:hAnsi="Verdana" w:cs="Arial"/>
          <w:sz w:val="16"/>
          <w:szCs w:val="16"/>
        </w:rPr>
        <w:t>“</w:t>
      </w:r>
      <w:r w:rsidRPr="009B20C5">
        <w:rPr>
          <w:rFonts w:ascii="Verdana" w:hAnsi="Verdana" w:cs="Arial"/>
          <w:sz w:val="16"/>
          <w:szCs w:val="16"/>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00E936C6">
        <w:rPr>
          <w:rFonts w:ascii="Verdana" w:hAnsi="Verdana" w:cs="Arial"/>
          <w:sz w:val="16"/>
          <w:szCs w:val="16"/>
        </w:rPr>
        <w:t>”</w:t>
      </w:r>
      <w:r w:rsidRPr="009B20C5">
        <w:rPr>
          <w:rFonts w:ascii="Verdana" w:hAnsi="Verdana" w:cs="Arial"/>
          <w:sz w:val="16"/>
          <w:szCs w:val="16"/>
        </w:rPr>
        <w:t>.</w:t>
      </w:r>
    </w:p>
    <w:p w14:paraId="6D41AC86" w14:textId="77777777" w:rsidR="00E4193C" w:rsidRPr="00C9655E" w:rsidRDefault="00E4193C" w:rsidP="00E4193C">
      <w:pPr>
        <w:pStyle w:val="Textonotapie"/>
        <w:ind w:firstLine="708"/>
        <w:rPr>
          <w:rFonts w:ascii="Arial" w:hAnsi="Arial" w:cs="Arial"/>
          <w:sz w:val="18"/>
          <w:szCs w:val="18"/>
          <w:lang w:val="es-ES"/>
        </w:rPr>
      </w:pPr>
    </w:p>
  </w:footnote>
  <w:footnote w:id="28">
    <w:p w14:paraId="2CE5F353" w14:textId="77777777" w:rsidR="000A7CFE" w:rsidRPr="00306ECD" w:rsidRDefault="000A7CFE" w:rsidP="000A7CFE">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Consejo de Estado. Sala de Consulta y Servicio Civil. Concepto de 20 de febrero de2006. Radicación 11001-03-06-000-2006-00023-00(1724). Consejero Ponente: Flavio Augusto Rodríguez Arce.</w:t>
      </w:r>
    </w:p>
    <w:p w14:paraId="0CB473C6" w14:textId="77777777" w:rsidR="000A7CFE" w:rsidRPr="00306ECD" w:rsidRDefault="000A7CFE" w:rsidP="000A7CFE">
      <w:pPr>
        <w:pStyle w:val="Textonotapie"/>
        <w:ind w:firstLine="709"/>
        <w:jc w:val="both"/>
        <w:rPr>
          <w:rFonts w:ascii="Verdana" w:hAnsi="Verdana" w:cs="Arial"/>
          <w:sz w:val="14"/>
          <w:szCs w:val="14"/>
        </w:rPr>
      </w:pPr>
    </w:p>
  </w:footnote>
  <w:footnote w:id="29">
    <w:p w14:paraId="01CA2FE3" w14:textId="77777777" w:rsidR="000A7CFE" w:rsidRPr="00306ECD" w:rsidRDefault="000A7CFE" w:rsidP="000A7CFE">
      <w:pPr>
        <w:spacing w:after="0" w:line="240" w:lineRule="auto"/>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Decreto 1082 de 2015: “Artículo 2.2.1.2.1.4.4. Convenios o contratos interadministrativos. La modalidad de selección para la contratación entre Entidades Estatales es la contratación directa; </w:t>
      </w:r>
      <w:proofErr w:type="gramStart"/>
      <w:r w:rsidRPr="00306ECD">
        <w:rPr>
          <w:rFonts w:ascii="Verdana" w:hAnsi="Verdana" w:cs="Arial"/>
          <w:sz w:val="14"/>
          <w:szCs w:val="14"/>
        </w:rPr>
        <w:t>y</w:t>
      </w:r>
      <w:proofErr w:type="gramEnd"/>
      <w:r w:rsidRPr="00306ECD">
        <w:rPr>
          <w:rFonts w:ascii="Verdana" w:hAnsi="Verdana" w:cs="Arial"/>
          <w:sz w:val="14"/>
          <w:szCs w:val="14"/>
        </w:rPr>
        <w:t xml:space="preserve"> en consecuencia, le es aplicable lo establecido en el artículo 2.2.1.2.1.4.1 del presente decreto.</w:t>
      </w:r>
    </w:p>
    <w:p w14:paraId="449BD518" w14:textId="77777777" w:rsidR="000A7CFE" w:rsidRPr="00306ECD" w:rsidRDefault="000A7CFE" w:rsidP="000A7CFE">
      <w:pPr>
        <w:spacing w:after="0" w:line="240" w:lineRule="auto"/>
        <w:ind w:firstLine="709"/>
        <w:jc w:val="both"/>
        <w:rPr>
          <w:rFonts w:ascii="Verdana" w:hAnsi="Verdana" w:cs="Arial"/>
          <w:sz w:val="14"/>
          <w:szCs w:val="14"/>
        </w:rPr>
      </w:pPr>
      <w:r w:rsidRPr="00306ECD">
        <w:rPr>
          <w:rFonts w:ascii="Verdana" w:hAnsi="Verdana" w:cs="Arial"/>
          <w:sz w:val="14"/>
          <w:szCs w:val="14"/>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306ECD">
        <w:rPr>
          <w:rFonts w:ascii="Verdana" w:hAnsi="Verdana" w:cs="Arial"/>
          <w:spacing w:val="-1"/>
          <w:sz w:val="14"/>
          <w:szCs w:val="14"/>
        </w:rPr>
        <w:t xml:space="preserve"> </w:t>
      </w:r>
      <w:r w:rsidRPr="00306ECD">
        <w:rPr>
          <w:rFonts w:ascii="Verdana" w:hAnsi="Verdana" w:cs="Arial"/>
          <w:sz w:val="14"/>
          <w:szCs w:val="14"/>
        </w:rPr>
        <w:t>Estatales”.</w:t>
      </w:r>
    </w:p>
    <w:p w14:paraId="294ACFB4" w14:textId="77777777" w:rsidR="000A7CFE" w:rsidRPr="00306ECD" w:rsidRDefault="000A7CFE" w:rsidP="000A7CFE">
      <w:pPr>
        <w:spacing w:after="0" w:line="240" w:lineRule="auto"/>
        <w:ind w:firstLine="709"/>
        <w:jc w:val="both"/>
        <w:rPr>
          <w:rFonts w:ascii="Verdana" w:hAnsi="Verdana" w:cs="Arial"/>
          <w:sz w:val="14"/>
          <w:szCs w:val="14"/>
        </w:rPr>
      </w:pPr>
    </w:p>
  </w:footnote>
  <w:footnote w:id="30">
    <w:p w14:paraId="360EF43F" w14:textId="77777777" w:rsidR="000A7CFE" w:rsidRPr="00306ECD" w:rsidRDefault="000A7CFE" w:rsidP="000A7CFE">
      <w:pPr>
        <w:spacing w:after="0" w:line="240" w:lineRule="auto"/>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306ECD">
        <w:rPr>
          <w:rFonts w:ascii="Verdana" w:hAnsi="Verdana" w:cs="Arial"/>
          <w:spacing w:val="-6"/>
          <w:sz w:val="14"/>
          <w:szCs w:val="14"/>
        </w:rPr>
        <w:t xml:space="preserve"> </w:t>
      </w:r>
      <w:r w:rsidRPr="00306ECD">
        <w:rPr>
          <w:rFonts w:ascii="Verdana" w:hAnsi="Verdana" w:cs="Arial"/>
          <w:sz w:val="14"/>
          <w:szCs w:val="14"/>
        </w:rPr>
        <w:t>artículo”.</w:t>
      </w:r>
    </w:p>
    <w:p w14:paraId="76BCF624" w14:textId="77777777" w:rsidR="000A7CFE" w:rsidRPr="00306ECD" w:rsidRDefault="000A7CFE" w:rsidP="000A7CFE">
      <w:pPr>
        <w:spacing w:after="0" w:line="240" w:lineRule="auto"/>
        <w:ind w:firstLine="709"/>
        <w:jc w:val="both"/>
        <w:rPr>
          <w:rFonts w:ascii="Verdana" w:hAnsi="Verdana" w:cs="Arial"/>
          <w:sz w:val="14"/>
          <w:szCs w:val="14"/>
        </w:rPr>
      </w:pPr>
    </w:p>
  </w:footnote>
  <w:footnote w:id="31">
    <w:p w14:paraId="4A3BBA70" w14:textId="77777777" w:rsidR="000A7CFE" w:rsidRPr="00306ECD" w:rsidRDefault="000A7CFE" w:rsidP="000A7CFE">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Lo anterior, salvo que se traten de organismos internacionales que se rijan por normas internacionales y se financien con cargo a recursos de esos organismos (Cfr. Colombia Compra Eficiente. Concepto C-559 del 31 de agosto de 2021). </w:t>
      </w:r>
    </w:p>
    <w:p w14:paraId="706C4229" w14:textId="77777777" w:rsidR="000A7CFE" w:rsidRPr="00306ECD" w:rsidRDefault="000A7CFE" w:rsidP="000A7CFE">
      <w:pPr>
        <w:pStyle w:val="Textonotapie"/>
        <w:ind w:firstLine="709"/>
        <w:jc w:val="both"/>
        <w:rPr>
          <w:rFonts w:ascii="Verdana" w:hAnsi="Verdana" w:cs="Arial"/>
          <w:sz w:val="14"/>
          <w:szCs w:val="14"/>
        </w:rPr>
      </w:pPr>
    </w:p>
  </w:footnote>
  <w:footnote w:id="32">
    <w:p w14:paraId="0433192E" w14:textId="77777777" w:rsidR="000A7CFE" w:rsidRPr="00306ECD" w:rsidRDefault="000A7CFE" w:rsidP="000A7CFE">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Es lo que sucede, por ejemplo, con el Decreto 092 de 2017, que en su desarrollo hace referencia tanto a los “contratos” como a los “convenios”. </w:t>
      </w:r>
    </w:p>
    <w:p w14:paraId="3759BDF9" w14:textId="77777777" w:rsidR="000A7CFE" w:rsidRPr="00306ECD" w:rsidRDefault="000A7CFE" w:rsidP="000A7CFE">
      <w:pPr>
        <w:pStyle w:val="Textonotapie"/>
        <w:ind w:firstLine="709"/>
        <w:jc w:val="both"/>
        <w:rPr>
          <w:rFonts w:ascii="Verdana" w:hAnsi="Verdana" w:cs="Arial"/>
          <w:sz w:val="14"/>
          <w:szCs w:val="14"/>
        </w:rPr>
      </w:pPr>
    </w:p>
  </w:footnote>
  <w:footnote w:id="33">
    <w:p w14:paraId="08D9BF25" w14:textId="77777777" w:rsidR="000A7CFE" w:rsidRPr="00306ECD" w:rsidRDefault="000A7CFE" w:rsidP="000A7CFE">
      <w:pPr>
        <w:pStyle w:val="Textonotapie"/>
        <w:ind w:firstLine="709"/>
        <w:jc w:val="both"/>
        <w:rPr>
          <w:rFonts w:ascii="Verdana" w:hAnsi="Verdana" w:cs="Arial"/>
          <w:sz w:val="14"/>
          <w:szCs w:val="14"/>
          <w:lang w:val="pt-BR"/>
        </w:rPr>
      </w:pPr>
      <w:r w:rsidRPr="00306ECD">
        <w:rPr>
          <w:rStyle w:val="Refdenotaalpie"/>
          <w:rFonts w:ascii="Verdana" w:hAnsi="Verdana" w:cs="Arial"/>
          <w:sz w:val="14"/>
          <w:szCs w:val="14"/>
        </w:rPr>
        <w:footnoteRef/>
      </w:r>
      <w:r w:rsidRPr="00306ECD">
        <w:rPr>
          <w:rFonts w:ascii="Verdana" w:hAnsi="Verdana" w:cs="Arial"/>
          <w:sz w:val="14"/>
          <w:szCs w:val="14"/>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306ECD">
        <w:rPr>
          <w:rFonts w:ascii="Verdana" w:hAnsi="Verdana" w:cs="Arial"/>
          <w:sz w:val="14"/>
          <w:szCs w:val="14"/>
          <w:lang w:val="pt-BR"/>
        </w:rPr>
        <w:t>(Corte Constitucional. Sentencia C-671 de 2015. M.P. Alberto Rojas Ríos).</w:t>
      </w:r>
    </w:p>
    <w:p w14:paraId="24869F12" w14:textId="77777777" w:rsidR="000A7CFE" w:rsidRPr="00306ECD" w:rsidRDefault="000A7CFE" w:rsidP="000A7CFE">
      <w:pPr>
        <w:pStyle w:val="Textonotapie"/>
        <w:ind w:firstLine="709"/>
        <w:jc w:val="both"/>
        <w:rPr>
          <w:rFonts w:ascii="Verdana" w:hAnsi="Verdana" w:cs="Arial"/>
          <w:sz w:val="14"/>
          <w:szCs w:val="14"/>
          <w:lang w:val="pt-BR"/>
        </w:rPr>
      </w:pPr>
    </w:p>
  </w:footnote>
  <w:footnote w:id="34">
    <w:p w14:paraId="5B914AF5" w14:textId="77777777" w:rsidR="000A7CFE" w:rsidRPr="00306ECD" w:rsidRDefault="000A7CFE" w:rsidP="000A7CFE">
      <w:pPr>
        <w:pStyle w:val="Textonotapie"/>
        <w:ind w:firstLine="709"/>
        <w:jc w:val="both"/>
        <w:rPr>
          <w:rFonts w:ascii="Verdana" w:hAnsi="Verdana" w:cs="Arial"/>
          <w:sz w:val="14"/>
          <w:szCs w:val="14"/>
          <w:lang w:val="es-CO"/>
        </w:rPr>
      </w:pPr>
      <w:r w:rsidRPr="00306ECD">
        <w:rPr>
          <w:rStyle w:val="Refdenotaalpie"/>
          <w:rFonts w:ascii="Verdana" w:hAnsi="Verdana"/>
          <w:sz w:val="14"/>
          <w:szCs w:val="14"/>
        </w:rPr>
        <w:footnoteRef/>
      </w:r>
      <w:r w:rsidRPr="00306ECD">
        <w:rPr>
          <w:rFonts w:ascii="Verdana" w:hAnsi="Verdana"/>
          <w:sz w:val="14"/>
          <w:szCs w:val="14"/>
          <w:lang w:val="es-CO"/>
        </w:rPr>
        <w:t xml:space="preserve"> </w:t>
      </w:r>
      <w:r w:rsidRPr="00306ECD">
        <w:rPr>
          <w:rFonts w:ascii="Verdana" w:hAnsi="Verdana" w:cs="Arial"/>
          <w:sz w:val="14"/>
          <w:szCs w:val="14"/>
          <w:lang w:val="es-CO"/>
        </w:rPr>
        <w:t xml:space="preserve">Consejo de Estado, Sección Tercera. Auto del 4 de octubre de 2024. </w:t>
      </w:r>
      <w:proofErr w:type="spellStart"/>
      <w:r w:rsidRPr="00306ECD">
        <w:rPr>
          <w:rFonts w:ascii="Verdana" w:hAnsi="Verdana" w:cs="Arial"/>
          <w:sz w:val="14"/>
          <w:szCs w:val="14"/>
          <w:lang w:val="es-CO"/>
        </w:rPr>
        <w:t>Exp</w:t>
      </w:r>
      <w:proofErr w:type="spellEnd"/>
      <w:r w:rsidRPr="00306ECD">
        <w:rPr>
          <w:rFonts w:ascii="Verdana" w:hAnsi="Verdana" w:cs="Arial"/>
          <w:sz w:val="14"/>
          <w:szCs w:val="14"/>
          <w:lang w:val="es-CO"/>
        </w:rPr>
        <w:t>. 70.313. C.P: Fredy Ibarra Martínez</w:t>
      </w:r>
    </w:p>
    <w:p w14:paraId="6FF5758A" w14:textId="77777777" w:rsidR="000A7CFE" w:rsidRPr="00306ECD" w:rsidRDefault="000A7CFE" w:rsidP="000A7CFE">
      <w:pPr>
        <w:pStyle w:val="Textonotapie"/>
        <w:ind w:firstLine="709"/>
        <w:jc w:val="both"/>
        <w:rPr>
          <w:rFonts w:ascii="Verdana" w:hAnsi="Verdana"/>
          <w:sz w:val="14"/>
          <w:szCs w:val="14"/>
          <w:lang w:val="es-CO"/>
        </w:rPr>
      </w:pPr>
    </w:p>
  </w:footnote>
  <w:footnote w:id="35">
    <w:p w14:paraId="36AB157C" w14:textId="77777777" w:rsidR="000A7CFE" w:rsidRPr="00306ECD" w:rsidRDefault="000A7CFE" w:rsidP="000A7CFE">
      <w:pPr>
        <w:pStyle w:val="Textonotapie"/>
        <w:ind w:firstLine="709"/>
        <w:jc w:val="both"/>
        <w:rPr>
          <w:rFonts w:ascii="Verdana" w:hAnsi="Verdana" w:cs="Arial"/>
          <w:sz w:val="14"/>
          <w:szCs w:val="14"/>
        </w:rPr>
      </w:pPr>
      <w:r w:rsidRPr="00306ECD">
        <w:rPr>
          <w:rStyle w:val="Refdenotaalpie"/>
          <w:rFonts w:ascii="Verdana" w:hAnsi="Verdana" w:cs="Arial"/>
          <w:sz w:val="14"/>
          <w:szCs w:val="14"/>
        </w:rPr>
        <w:footnoteRef/>
      </w:r>
      <w:r w:rsidRPr="00306ECD">
        <w:rPr>
          <w:rFonts w:ascii="Verdana" w:hAnsi="Verdana" w:cs="Arial"/>
          <w:sz w:val="14"/>
          <w:szCs w:val="14"/>
        </w:rPr>
        <w:t xml:space="preserve"> Consejo de Estado. Sala de Consulta y Servicio Civil. Concepto del 15 de noviembre de 2007. Expediente número 1863. Consejero Ponente: Luis Fernando Álvarez Jaramillo.</w:t>
      </w:r>
    </w:p>
    <w:p w14:paraId="5C6414AE" w14:textId="77777777" w:rsidR="000A7CFE" w:rsidRPr="00306ECD" w:rsidRDefault="000A7CFE" w:rsidP="000A7CFE">
      <w:pPr>
        <w:pStyle w:val="Textonotapie"/>
        <w:ind w:firstLine="709"/>
        <w:jc w:val="both"/>
        <w:rPr>
          <w:rFonts w:ascii="Verdana" w:hAnsi="Verdana" w:cs="Arial"/>
          <w:sz w:val="14"/>
          <w:szCs w:val="14"/>
        </w:rPr>
      </w:pPr>
    </w:p>
    <w:p w14:paraId="067A40DD" w14:textId="77777777" w:rsidR="000A7CFE" w:rsidRPr="00306ECD" w:rsidRDefault="000A7CFE" w:rsidP="000A7CFE">
      <w:pPr>
        <w:pStyle w:val="Textonotapie"/>
        <w:ind w:firstLine="709"/>
        <w:jc w:val="both"/>
        <w:rPr>
          <w:rFonts w:ascii="Verdana" w:hAnsi="Verdana" w:cs="Arial"/>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1532558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583"/>
    <w:rsid w:val="00016F78"/>
    <w:rsid w:val="0002006F"/>
    <w:rsid w:val="00046945"/>
    <w:rsid w:val="00061B2A"/>
    <w:rsid w:val="00065A61"/>
    <w:rsid w:val="00082362"/>
    <w:rsid w:val="00091E37"/>
    <w:rsid w:val="000A683E"/>
    <w:rsid w:val="000A7CFE"/>
    <w:rsid w:val="000B19B9"/>
    <w:rsid w:val="000C35D8"/>
    <w:rsid w:val="000D0334"/>
    <w:rsid w:val="000F3AC1"/>
    <w:rsid w:val="000F6486"/>
    <w:rsid w:val="00125105"/>
    <w:rsid w:val="00127233"/>
    <w:rsid w:val="00166EE3"/>
    <w:rsid w:val="001A64EA"/>
    <w:rsid w:val="001E4177"/>
    <w:rsid w:val="001F7DC6"/>
    <w:rsid w:val="0023762D"/>
    <w:rsid w:val="002421BB"/>
    <w:rsid w:val="00256558"/>
    <w:rsid w:val="0025796E"/>
    <w:rsid w:val="002707A2"/>
    <w:rsid w:val="0029374B"/>
    <w:rsid w:val="002951A0"/>
    <w:rsid w:val="002962BC"/>
    <w:rsid w:val="002A093D"/>
    <w:rsid w:val="002A0DD0"/>
    <w:rsid w:val="002A49AC"/>
    <w:rsid w:val="002A64FD"/>
    <w:rsid w:val="002B3D90"/>
    <w:rsid w:val="002C7A84"/>
    <w:rsid w:val="002E4FD9"/>
    <w:rsid w:val="002F3FB8"/>
    <w:rsid w:val="00322A85"/>
    <w:rsid w:val="00324168"/>
    <w:rsid w:val="003448F4"/>
    <w:rsid w:val="00363352"/>
    <w:rsid w:val="00374F5E"/>
    <w:rsid w:val="00377E3E"/>
    <w:rsid w:val="003A779E"/>
    <w:rsid w:val="003D0F4D"/>
    <w:rsid w:val="003D5B0D"/>
    <w:rsid w:val="003E0499"/>
    <w:rsid w:val="003F3941"/>
    <w:rsid w:val="00406575"/>
    <w:rsid w:val="00414C74"/>
    <w:rsid w:val="0042722E"/>
    <w:rsid w:val="0044528D"/>
    <w:rsid w:val="004658C5"/>
    <w:rsid w:val="004A1847"/>
    <w:rsid w:val="004A305D"/>
    <w:rsid w:val="004F21C4"/>
    <w:rsid w:val="004F685F"/>
    <w:rsid w:val="005566E8"/>
    <w:rsid w:val="00574867"/>
    <w:rsid w:val="00591168"/>
    <w:rsid w:val="00591460"/>
    <w:rsid w:val="005C3777"/>
    <w:rsid w:val="005C5CDC"/>
    <w:rsid w:val="005D476C"/>
    <w:rsid w:val="006219F8"/>
    <w:rsid w:val="006302F7"/>
    <w:rsid w:val="006507E4"/>
    <w:rsid w:val="00665D70"/>
    <w:rsid w:val="00681F8B"/>
    <w:rsid w:val="006900D9"/>
    <w:rsid w:val="006A760C"/>
    <w:rsid w:val="006D6488"/>
    <w:rsid w:val="00706C16"/>
    <w:rsid w:val="0072059A"/>
    <w:rsid w:val="00756841"/>
    <w:rsid w:val="007649AB"/>
    <w:rsid w:val="00771D0C"/>
    <w:rsid w:val="007762BE"/>
    <w:rsid w:val="007833AC"/>
    <w:rsid w:val="007B0B39"/>
    <w:rsid w:val="007B268C"/>
    <w:rsid w:val="007B6DE2"/>
    <w:rsid w:val="007B7171"/>
    <w:rsid w:val="007C0C0F"/>
    <w:rsid w:val="007C3DC2"/>
    <w:rsid w:val="007C5023"/>
    <w:rsid w:val="007D4D72"/>
    <w:rsid w:val="007E5497"/>
    <w:rsid w:val="007F5FC9"/>
    <w:rsid w:val="00806F5F"/>
    <w:rsid w:val="00820278"/>
    <w:rsid w:val="00867F95"/>
    <w:rsid w:val="00877562"/>
    <w:rsid w:val="008843B6"/>
    <w:rsid w:val="00891928"/>
    <w:rsid w:val="00897A3A"/>
    <w:rsid w:val="008A446D"/>
    <w:rsid w:val="008D180B"/>
    <w:rsid w:val="008F0EA7"/>
    <w:rsid w:val="00923EEF"/>
    <w:rsid w:val="009419F9"/>
    <w:rsid w:val="00943F3F"/>
    <w:rsid w:val="0095685E"/>
    <w:rsid w:val="00961B09"/>
    <w:rsid w:val="00965334"/>
    <w:rsid w:val="0097093E"/>
    <w:rsid w:val="009A0DFA"/>
    <w:rsid w:val="009A0EE1"/>
    <w:rsid w:val="009B25A8"/>
    <w:rsid w:val="009B2D26"/>
    <w:rsid w:val="009B710F"/>
    <w:rsid w:val="009C71FA"/>
    <w:rsid w:val="009C72E7"/>
    <w:rsid w:val="009D3058"/>
    <w:rsid w:val="009F3A13"/>
    <w:rsid w:val="00A122D3"/>
    <w:rsid w:val="00A17F13"/>
    <w:rsid w:val="00A20739"/>
    <w:rsid w:val="00A33C78"/>
    <w:rsid w:val="00A43B5B"/>
    <w:rsid w:val="00A84A85"/>
    <w:rsid w:val="00AB0ADB"/>
    <w:rsid w:val="00AD45F4"/>
    <w:rsid w:val="00B00C0E"/>
    <w:rsid w:val="00B01B1A"/>
    <w:rsid w:val="00B44A47"/>
    <w:rsid w:val="00B72CD3"/>
    <w:rsid w:val="00B72FFF"/>
    <w:rsid w:val="00B7307E"/>
    <w:rsid w:val="00B806F4"/>
    <w:rsid w:val="00B842ED"/>
    <w:rsid w:val="00BC3D36"/>
    <w:rsid w:val="00BD7F72"/>
    <w:rsid w:val="00C04FB3"/>
    <w:rsid w:val="00C330EB"/>
    <w:rsid w:val="00C74AC8"/>
    <w:rsid w:val="00C754BE"/>
    <w:rsid w:val="00C76B1C"/>
    <w:rsid w:val="00CB28E9"/>
    <w:rsid w:val="00CB6357"/>
    <w:rsid w:val="00CC1B26"/>
    <w:rsid w:val="00CF7FA1"/>
    <w:rsid w:val="00D070F4"/>
    <w:rsid w:val="00D423A2"/>
    <w:rsid w:val="00D520D8"/>
    <w:rsid w:val="00D522EF"/>
    <w:rsid w:val="00D55662"/>
    <w:rsid w:val="00D63AC2"/>
    <w:rsid w:val="00D7383B"/>
    <w:rsid w:val="00D776EC"/>
    <w:rsid w:val="00D81F4B"/>
    <w:rsid w:val="00D868E9"/>
    <w:rsid w:val="00DA231B"/>
    <w:rsid w:val="00DC39FC"/>
    <w:rsid w:val="00DF5254"/>
    <w:rsid w:val="00E16408"/>
    <w:rsid w:val="00E20894"/>
    <w:rsid w:val="00E245AB"/>
    <w:rsid w:val="00E2764C"/>
    <w:rsid w:val="00E27F2E"/>
    <w:rsid w:val="00E4193C"/>
    <w:rsid w:val="00E50AFE"/>
    <w:rsid w:val="00E75C92"/>
    <w:rsid w:val="00E771DC"/>
    <w:rsid w:val="00E87033"/>
    <w:rsid w:val="00E8772A"/>
    <w:rsid w:val="00E90F6B"/>
    <w:rsid w:val="00E92C27"/>
    <w:rsid w:val="00E936C6"/>
    <w:rsid w:val="00EA0E3D"/>
    <w:rsid w:val="00EB392D"/>
    <w:rsid w:val="00EC38A7"/>
    <w:rsid w:val="00EE1AA8"/>
    <w:rsid w:val="00EF0C50"/>
    <w:rsid w:val="00F31651"/>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4193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4193C"/>
    <w:rPr>
      <w:rFonts w:ascii="Geomanist Light" w:hAnsi="Geomanist Light"/>
      <w:lang w:val="es-ES"/>
    </w:rPr>
  </w:style>
  <w:style w:type="character" w:customStyle="1" w:styleId="NormalWebCar">
    <w:name w:val="Normal (Web) Car"/>
    <w:link w:val="NormalWeb"/>
    <w:uiPriority w:val="99"/>
    <w:locked/>
    <w:rsid w:val="00E4193C"/>
    <w:rPr>
      <w:rFonts w:ascii="Times New Roman" w:eastAsia="Times New Roman" w:hAnsi="Times New Roman" w:cs="Times New Roman"/>
      <w:sz w:val="24"/>
      <w:szCs w:val="24"/>
      <w:lang w:eastAsia="es-CO"/>
    </w:rPr>
  </w:style>
  <w:style w:type="character" w:customStyle="1" w:styleId="baj">
    <w:name w:val="b_aj"/>
    <w:basedOn w:val="Fuentedeprrafopredeter"/>
    <w:rsid w:val="00E419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AA5A4D-B320-4D22-A8C5-DEDA38ADC3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a6cb9e4b-f1d1-4245-83ec-6cad768d538a"/>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29</Pages>
  <Words>9929</Words>
  <Characters>53419</Characters>
  <Application>Microsoft Office Word</Application>
  <DocSecurity>0</DocSecurity>
  <Lines>971</Lines>
  <Paragraphs>175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63173</CharactersWithSpaces>
  <SharedDoc>false</SharedDoc>
  <HLinks>
    <vt:vector size="6" baseType="variant">
      <vt:variant>
        <vt:i4>7733357</vt:i4>
      </vt:variant>
      <vt:variant>
        <vt:i4>0</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2025-10-04T15:03:00Z</dcterms:created>
  <dcterms:modified xsi:type="dcterms:W3CDTF">2025-10-04T15:03:00Z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