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1A8EE" w14:textId="77777777" w:rsidR="00313449" w:rsidRPr="009143F1" w:rsidRDefault="00313449" w:rsidP="00313449">
      <w:pPr>
        <w:jc w:val="both"/>
        <w:rPr>
          <w:rFonts w:ascii="Verdana" w:hAnsi="Verdana" w:cs="Arial"/>
          <w:b/>
          <w:bCs/>
          <w:color w:val="000000" w:themeColor="text1"/>
          <w:lang w:val="es-ES_tradnl"/>
        </w:rPr>
      </w:pPr>
      <w:bookmarkStart w:id="0" w:name="_Hlk143780582"/>
      <w:r w:rsidRPr="009143F1">
        <w:rPr>
          <w:rFonts w:ascii="Verdana" w:hAnsi="Verdana" w:cs="Arial"/>
          <w:b/>
          <w:bCs/>
          <w:color w:val="000000" w:themeColor="text1"/>
          <w:lang w:val="es-ES_tradnl"/>
        </w:rPr>
        <w:t xml:space="preserve">CONTRATO DE PRESTACIÓN DE SERVICIOS </w:t>
      </w:r>
      <w:bookmarkStart w:id="1" w:name="_Hlk39666823"/>
      <w:r w:rsidRPr="009143F1">
        <w:rPr>
          <w:rFonts w:ascii="Verdana" w:eastAsia="Calibri" w:hAnsi="Verdana" w:cs="Arial"/>
          <w:b/>
          <w:color w:val="000000" w:themeColor="text1"/>
        </w:rPr>
        <w:t>–</w:t>
      </w:r>
      <w:bookmarkEnd w:id="1"/>
      <w:r w:rsidRPr="009143F1">
        <w:rPr>
          <w:rFonts w:ascii="Verdana" w:hAnsi="Verdana" w:cs="Arial"/>
          <w:b/>
          <w:bCs/>
          <w:color w:val="000000" w:themeColor="text1"/>
          <w:lang w:val="es-ES_tradnl"/>
        </w:rPr>
        <w:t xml:space="preserve"> Concepto − Características generales</w:t>
      </w:r>
    </w:p>
    <w:p w14:paraId="3F4A583A" w14:textId="77777777" w:rsidR="00313449" w:rsidRPr="00EB30BA" w:rsidRDefault="00313449" w:rsidP="00313449">
      <w:pPr>
        <w:spacing w:after="0" w:line="240" w:lineRule="auto"/>
        <w:jc w:val="both"/>
        <w:rPr>
          <w:rFonts w:ascii="Verdana" w:hAnsi="Verdana" w:cs="Arial"/>
          <w:color w:val="000000" w:themeColor="text1"/>
          <w:sz w:val="20"/>
          <w:szCs w:val="20"/>
          <w:lang w:val="es-ES"/>
        </w:rPr>
      </w:pPr>
      <w:r w:rsidRPr="00EB30BA">
        <w:rPr>
          <w:rFonts w:ascii="Verdana" w:hAnsi="Verdana" w:cs="Arial"/>
          <w:color w:val="000000" w:themeColor="text1"/>
          <w:sz w:val="20"/>
          <w:szCs w:val="20"/>
          <w:lang w:val="es-ES"/>
        </w:rPr>
        <w:t xml:space="preserve">El contrato de prestación de servicios es un contrato estatal típico regulado en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 es posible señalar las siguientes características del contrato de prestación de servicios: i) Solo puede celebrarse para realizar «actividades relacionadas con la administración o funcionamiento de la entidad», es decir, que hagan parte de su giro ordinario o quehacer cotidiano. </w:t>
      </w:r>
      <w:proofErr w:type="spellStart"/>
      <w:r w:rsidRPr="00EB30BA">
        <w:rPr>
          <w:rFonts w:ascii="Verdana" w:hAnsi="Verdana" w:cs="Arial"/>
          <w:color w:val="000000" w:themeColor="text1"/>
          <w:sz w:val="20"/>
          <w:szCs w:val="20"/>
          <w:lang w:val="es-ES"/>
        </w:rPr>
        <w:t>ii</w:t>
      </w:r>
      <w:proofErr w:type="spellEnd"/>
      <w:r w:rsidRPr="00EB30BA">
        <w:rPr>
          <w:rFonts w:ascii="Verdana" w:hAnsi="Verdana" w:cs="Arial"/>
          <w:color w:val="000000" w:themeColor="text1"/>
          <w:sz w:val="20"/>
          <w:szCs w:val="20"/>
          <w:lang w:val="es-ES"/>
        </w:rPr>
        <w:t xml:space="preserve">) Respecto del tipo de personas que pueden ser contratadas, admite que se suscriba con personas naturales o jurídicas. […] </w:t>
      </w:r>
      <w:proofErr w:type="spellStart"/>
      <w:r w:rsidRPr="00EB30BA">
        <w:rPr>
          <w:rFonts w:ascii="Verdana" w:hAnsi="Verdana" w:cs="Arial"/>
          <w:color w:val="000000" w:themeColor="text1"/>
          <w:sz w:val="20"/>
          <w:szCs w:val="20"/>
          <w:lang w:val="es-ES"/>
        </w:rPr>
        <w:t>iii</w:t>
      </w:r>
      <w:proofErr w:type="spellEnd"/>
      <w:r w:rsidRPr="00EB30BA">
        <w:rPr>
          <w:rFonts w:ascii="Verdana" w:hAnsi="Verdana" w:cs="Arial"/>
          <w:color w:val="000000" w:themeColor="text1"/>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laboral […] </w:t>
      </w:r>
      <w:proofErr w:type="spellStart"/>
      <w:r w:rsidRPr="00EB30BA">
        <w:rPr>
          <w:rFonts w:ascii="Verdana" w:hAnsi="Verdana" w:cs="Arial"/>
          <w:color w:val="000000" w:themeColor="text1"/>
          <w:sz w:val="20"/>
          <w:szCs w:val="20"/>
          <w:lang w:val="es-ES"/>
        </w:rPr>
        <w:t>iv</w:t>
      </w:r>
      <w:proofErr w:type="spellEnd"/>
      <w:r w:rsidRPr="00EB30BA">
        <w:rPr>
          <w:rFonts w:ascii="Verdana" w:hAnsi="Verdana" w:cs="Arial"/>
          <w:color w:val="000000" w:themeColor="text1"/>
          <w:sz w:val="20"/>
          <w:szCs w:val="20"/>
          <w:lang w:val="es-ES"/>
        </w:rPr>
        <w:t xml:space="preserve">) Deben ser temporales. […] v) Se celebran a través de la modalidad de contratación directa, independientemente de la cuantía y del tipo de servicio profesional, siempre que su objeto no sea la consultoría. […]. vi) Para su celebración no se requiere expedir un acto administrativo de justificación de la contratación directa. </w:t>
      </w:r>
      <w:proofErr w:type="spellStart"/>
      <w:r w:rsidRPr="00EB30BA">
        <w:rPr>
          <w:rFonts w:ascii="Verdana" w:hAnsi="Verdana" w:cs="Arial"/>
          <w:color w:val="000000" w:themeColor="text1"/>
          <w:sz w:val="20"/>
          <w:szCs w:val="20"/>
          <w:lang w:val="es-ES"/>
        </w:rPr>
        <w:t>vii</w:t>
      </w:r>
      <w:proofErr w:type="spellEnd"/>
      <w:r w:rsidRPr="00EB30BA">
        <w:rPr>
          <w:rFonts w:ascii="Verdana" w:hAnsi="Verdana" w:cs="Arial"/>
          <w:color w:val="000000" w:themeColor="text1"/>
          <w:sz w:val="20"/>
          <w:szCs w:val="20"/>
          <w:lang w:val="es-ES"/>
        </w:rPr>
        <w:t xml:space="preserve">) El contrato admite la inclusión de cláusulas excepcionales. </w:t>
      </w:r>
      <w:proofErr w:type="spellStart"/>
      <w:r w:rsidRPr="00EB30BA">
        <w:rPr>
          <w:rFonts w:ascii="Verdana" w:hAnsi="Verdana" w:cs="Arial"/>
          <w:color w:val="000000" w:themeColor="text1"/>
          <w:sz w:val="20"/>
          <w:szCs w:val="20"/>
          <w:lang w:val="es-ES"/>
        </w:rPr>
        <w:t>viii</w:t>
      </w:r>
      <w:proofErr w:type="spellEnd"/>
      <w:r w:rsidRPr="00EB30BA">
        <w:rPr>
          <w:rFonts w:ascii="Verdana" w:hAnsi="Verdana" w:cs="Arial"/>
          <w:color w:val="000000" w:themeColor="text1"/>
          <w:sz w:val="20"/>
          <w:szCs w:val="20"/>
          <w:lang w:val="es-ES"/>
        </w:rPr>
        <w:t xml:space="preserve">) No es obligatorio liquidar estos contratos […]. </w:t>
      </w:r>
      <w:proofErr w:type="spellStart"/>
      <w:r w:rsidRPr="00EB30BA">
        <w:rPr>
          <w:rFonts w:ascii="Verdana" w:hAnsi="Verdana" w:cs="Arial"/>
          <w:color w:val="000000" w:themeColor="text1"/>
          <w:sz w:val="20"/>
          <w:szCs w:val="20"/>
          <w:lang w:val="es-ES"/>
        </w:rPr>
        <w:t>ix</w:t>
      </w:r>
      <w:proofErr w:type="spellEnd"/>
      <w:r w:rsidRPr="00EB30BA">
        <w:rPr>
          <w:rFonts w:ascii="Verdana" w:hAnsi="Verdana" w:cs="Arial"/>
          <w:color w:val="000000" w:themeColor="text1"/>
          <w:sz w:val="20"/>
          <w:szCs w:val="20"/>
          <w:lang w:val="es-ES"/>
        </w:rPr>
        <w:t xml:space="preserve">) Para su celebración el contratista no requiere estar inscrito en el Registro Único de Proponentes –RUP– […]. x) No es obligatoria la exigencia de garantías; xi) Como los demás contratos estatales, se trata de un contrato solemne que debe constar por escrito y debe ser publicado en el SECOP; </w:t>
      </w:r>
      <w:proofErr w:type="spellStart"/>
      <w:r w:rsidRPr="00EB30BA">
        <w:rPr>
          <w:rFonts w:ascii="Verdana" w:hAnsi="Verdana" w:cs="Arial"/>
          <w:color w:val="000000" w:themeColor="text1"/>
          <w:sz w:val="20"/>
          <w:szCs w:val="20"/>
          <w:lang w:val="es-ES"/>
        </w:rPr>
        <w:t>xii</w:t>
      </w:r>
      <w:proofErr w:type="spellEnd"/>
      <w:r w:rsidRPr="00EB30BA">
        <w:rPr>
          <w:rFonts w:ascii="Verdana" w:hAnsi="Verdana" w:cs="Arial"/>
          <w:color w:val="000000" w:themeColor="text1"/>
          <w:sz w:val="20"/>
          <w:szCs w:val="20"/>
          <w:lang w:val="es-ES"/>
        </w:rPr>
        <w:t>)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w:t>
      </w:r>
    </w:p>
    <w:p w14:paraId="22277187" w14:textId="77777777" w:rsidR="00313449" w:rsidRPr="009143F1" w:rsidRDefault="00313449" w:rsidP="00313449">
      <w:pPr>
        <w:spacing w:after="0"/>
        <w:jc w:val="both"/>
        <w:rPr>
          <w:rFonts w:ascii="Verdana" w:hAnsi="Verdana" w:cs="Arial"/>
          <w:color w:val="000000" w:themeColor="text1"/>
          <w:lang w:val="es-ES_tradnl"/>
        </w:rPr>
      </w:pPr>
    </w:p>
    <w:p w14:paraId="5E3B1452" w14:textId="77777777" w:rsidR="00313449" w:rsidRPr="009143F1" w:rsidRDefault="00313449" w:rsidP="00313449">
      <w:pPr>
        <w:spacing w:after="0"/>
        <w:jc w:val="both"/>
        <w:rPr>
          <w:rFonts w:ascii="Verdana" w:hAnsi="Verdana" w:cs="Arial"/>
          <w:b/>
          <w:bCs/>
          <w:color w:val="000000" w:themeColor="text1"/>
          <w:lang w:val="es-ES_tradnl"/>
        </w:rPr>
      </w:pPr>
      <w:r w:rsidRPr="009143F1">
        <w:rPr>
          <w:rFonts w:ascii="Verdana" w:hAnsi="Verdana" w:cs="Arial"/>
          <w:b/>
          <w:bCs/>
          <w:color w:val="000000" w:themeColor="text1"/>
          <w:lang w:val="es-ES_tradnl"/>
        </w:rPr>
        <w:t xml:space="preserve">CONTRATO DE PRESTACIÓN DE SERVICIOS – Relación Laboral – Competencia de Colombia Compra Eficiente </w:t>
      </w:r>
    </w:p>
    <w:p w14:paraId="1B87642F" w14:textId="77777777" w:rsidR="00313449" w:rsidRDefault="00313449" w:rsidP="00313449">
      <w:pPr>
        <w:spacing w:after="0" w:line="240" w:lineRule="auto"/>
        <w:jc w:val="both"/>
        <w:rPr>
          <w:rFonts w:ascii="Verdana" w:hAnsi="Verdana" w:cs="Arial"/>
          <w:color w:val="000000" w:themeColor="text1"/>
          <w:sz w:val="20"/>
          <w:szCs w:val="20"/>
          <w:lang w:val="es-ES_tradnl"/>
        </w:rPr>
      </w:pPr>
    </w:p>
    <w:p w14:paraId="341B231C" w14:textId="77777777" w:rsidR="00313449" w:rsidRPr="00D90035" w:rsidRDefault="00313449" w:rsidP="00313449">
      <w:pPr>
        <w:spacing w:after="120" w:line="240" w:lineRule="auto"/>
        <w:ind w:firstLine="709"/>
        <w:jc w:val="both"/>
        <w:textAlignment w:val="baseline"/>
        <w:rPr>
          <w:rFonts w:ascii="Verdana" w:eastAsia="Calibri" w:hAnsi="Verdana" w:cs="Arial"/>
          <w:sz w:val="20"/>
          <w:szCs w:val="20"/>
          <w:lang w:val="es-ES"/>
        </w:rPr>
      </w:pPr>
      <w:r>
        <w:rPr>
          <w:rFonts w:ascii="Verdana" w:eastAsia="Calibri" w:hAnsi="Verdana" w:cs="Arial"/>
          <w:sz w:val="20"/>
          <w:szCs w:val="20"/>
          <w:lang w:val="es-ES"/>
        </w:rPr>
        <w:t xml:space="preserve">La </w:t>
      </w:r>
      <w:r w:rsidRPr="00D90035">
        <w:rPr>
          <w:rFonts w:ascii="Verdana" w:eastAsia="Calibri" w:hAnsi="Verdana" w:cs="Arial"/>
          <w:sz w:val="20"/>
          <w:szCs w:val="20"/>
          <w:lang w:val="es-ES"/>
        </w:rPr>
        <w:t>Agencia Nacional de Contratación Pública – Colombia Compra Eficiente no es el órgano autorizado para establecer el alcance de las sentencias de unificación del Consejo de Estado sobre conflictos en temas laborales. En otras palabras, esta entidad no puede establecer directrices al respecto, especialmente porque los lineamientos para evitar la configuración de daños antijurídicos en dicha materia corresponden a una entidad distinta.</w:t>
      </w:r>
    </w:p>
    <w:p w14:paraId="101EC051" w14:textId="77777777" w:rsidR="00313449" w:rsidRPr="00D90035" w:rsidRDefault="00313449" w:rsidP="00313449">
      <w:pPr>
        <w:spacing w:after="120" w:line="240" w:lineRule="auto"/>
        <w:ind w:firstLine="708"/>
        <w:jc w:val="both"/>
        <w:rPr>
          <w:rFonts w:ascii="Verdana" w:eastAsia="Calibri" w:hAnsi="Verdana" w:cs="Arial"/>
          <w:sz w:val="20"/>
          <w:szCs w:val="20"/>
        </w:rPr>
      </w:pPr>
      <w:r w:rsidRPr="00D90035">
        <w:rPr>
          <w:rFonts w:ascii="Verdana" w:eastAsia="Calibri" w:hAnsi="Verdana" w:cs="Arial"/>
          <w:sz w:val="20"/>
          <w:szCs w:val="20"/>
          <w:lang w:val="es-ES"/>
        </w:rPr>
        <w:t xml:space="preserve">En todo caso, es importante recordar que esta Agencia solo se encuentra facultada para resolver consultas sobre normas generales del sistema de compras y contratación pública. No obstante, </w:t>
      </w:r>
      <w:r w:rsidRPr="00D90035">
        <w:rPr>
          <w:rStyle w:val="normaltextrun"/>
          <w:rFonts w:ascii="Verdana" w:hAnsi="Verdana" w:cs="Arial"/>
          <w:color w:val="000000"/>
          <w:sz w:val="20"/>
          <w:szCs w:val="20"/>
          <w:shd w:val="clear" w:color="auto" w:fill="FFFFFF"/>
        </w:rPr>
        <w:t xml:space="preserve">si bien la jurisprudencia es una pauta de autoridad para entender el contenido de las leyes y los reglamentos, la sentencia de unificación del 9 de septiembre de 2021 fue expedida por la Sección Segunda del Consejo de Estado, la cual se encarga principalmente de resolver controversias judiciales en materia laboral, </w:t>
      </w:r>
      <w:r w:rsidRPr="00D90035">
        <w:rPr>
          <w:rStyle w:val="normaltextrun"/>
          <w:rFonts w:ascii="Verdana" w:hAnsi="Verdana" w:cs="Arial"/>
          <w:color w:val="000000"/>
          <w:sz w:val="20"/>
          <w:szCs w:val="20"/>
          <w:shd w:val="clear" w:color="auto" w:fill="FFFFFF"/>
        </w:rPr>
        <w:lastRenderedPageBreak/>
        <w:t>las cuales son ajenas a las competencias de la Agencia nacional de Contratación Pública.</w:t>
      </w:r>
      <w:r w:rsidRPr="00D90035">
        <w:rPr>
          <w:rFonts w:ascii="Verdana" w:eastAsia="Calibri" w:hAnsi="Verdana" w:cs="Arial"/>
          <w:sz w:val="20"/>
          <w:szCs w:val="20"/>
          <w:lang w:val="es-ES"/>
        </w:rPr>
        <w:t xml:space="preserve"> Por otra parte, es necesario tener en cuenta que la Directiva de la Procuraduría General de la República 001 del 4 de enero de 2021 dispuso </w:t>
      </w:r>
      <w:r w:rsidRPr="00D90035">
        <w:rPr>
          <w:rFonts w:ascii="Verdana" w:eastAsia="Calibri" w:hAnsi="Verdana" w:cs="Arial"/>
          <w:i/>
          <w:iCs/>
          <w:sz w:val="20"/>
          <w:szCs w:val="20"/>
          <w:lang w:val="es-ES"/>
        </w:rPr>
        <w:t>“</w:t>
      </w:r>
      <w:r w:rsidRPr="00D90035">
        <w:rPr>
          <w:rFonts w:ascii="Verdana" w:eastAsia="Calibri" w:hAnsi="Verdana" w:cs="Arial"/>
          <w:i/>
          <w:iCs/>
          <w:sz w:val="20"/>
          <w:szCs w:val="20"/>
        </w:rPr>
        <w:t>Exhortar a la Agencia Nacional de Defensa Jurídica del Estado, a continuar adelantando, en la órbita de la función preventiva judicial, actividades para evitar el contrato realidad con las entidades de la rama ejecutiva del nivel nacional y hacer pedagogía y brindar apoyo a las entidades territoriales”</w:t>
      </w:r>
      <w:r w:rsidRPr="00D90035">
        <w:rPr>
          <w:rFonts w:ascii="Verdana" w:eastAsia="Calibri" w:hAnsi="Verdana" w:cs="Arial"/>
          <w:sz w:val="20"/>
          <w:szCs w:val="20"/>
        </w:rPr>
        <w:t>.</w:t>
      </w:r>
    </w:p>
    <w:p w14:paraId="06C4A06C" w14:textId="0B0B8961" w:rsidR="00313449" w:rsidRPr="009143F1" w:rsidRDefault="00313449" w:rsidP="00313449">
      <w:pPr>
        <w:jc w:val="both"/>
        <w:rPr>
          <w:rFonts w:ascii="Verdana" w:hAnsi="Verdana" w:cs="Arial"/>
          <w:b/>
          <w:bCs/>
          <w:color w:val="000000" w:themeColor="text1"/>
          <w:lang w:val="es-ES_tradnl"/>
        </w:rPr>
      </w:pPr>
      <w:r w:rsidRPr="009143F1">
        <w:rPr>
          <w:rFonts w:ascii="Verdana" w:hAnsi="Verdana" w:cs="Arial"/>
          <w:b/>
          <w:bCs/>
          <w:color w:val="000000" w:themeColor="text1"/>
          <w:lang w:val="es-ES_tradnl"/>
        </w:rPr>
        <w:t xml:space="preserve">CONTRATO DE PRESTACIÓN DE SERVICIOS PROFESIONALES </w:t>
      </w:r>
      <w:r w:rsidR="000C2914" w:rsidRPr="000C2914">
        <w:rPr>
          <w:rFonts w:ascii="Verdana" w:hAnsi="Verdana" w:cs="Arial"/>
          <w:b/>
          <w:bCs/>
          <w:color w:val="000000" w:themeColor="text1"/>
          <w:lang w:val="es-ES"/>
        </w:rPr>
        <w:t>–</w:t>
      </w:r>
      <w:r>
        <w:rPr>
          <w:rFonts w:ascii="Verdana" w:hAnsi="Verdana" w:cs="Arial"/>
          <w:b/>
          <w:bCs/>
          <w:color w:val="000000" w:themeColor="text1"/>
          <w:lang w:val="es-ES_tradnl"/>
        </w:rPr>
        <w:t xml:space="preserve"> </w:t>
      </w:r>
      <w:r w:rsidRPr="009143F1">
        <w:rPr>
          <w:rFonts w:ascii="Verdana" w:eastAsia="Calibri" w:hAnsi="Verdana" w:cs="Arial"/>
          <w:b/>
          <w:bCs/>
          <w:color w:val="000000" w:themeColor="text1"/>
          <w:lang w:val="es-ES_tradnl"/>
        </w:rPr>
        <w:t>S</w:t>
      </w:r>
      <w:proofErr w:type="spellStart"/>
      <w:r w:rsidRPr="009143F1">
        <w:rPr>
          <w:rFonts w:ascii="Verdana" w:eastAsia="Calibri" w:hAnsi="Verdana" w:cs="Arial"/>
          <w:b/>
          <w:bCs/>
          <w:color w:val="000000" w:themeColor="text1"/>
        </w:rPr>
        <w:t>entencia</w:t>
      </w:r>
      <w:proofErr w:type="spellEnd"/>
      <w:r w:rsidRPr="009143F1">
        <w:rPr>
          <w:rFonts w:ascii="Verdana" w:eastAsia="Calibri" w:hAnsi="Verdana" w:cs="Arial"/>
          <w:b/>
          <w:bCs/>
          <w:color w:val="000000" w:themeColor="text1"/>
        </w:rPr>
        <w:t xml:space="preserve"> de Unificación SUJ-025-CE-S2-2021 </w:t>
      </w:r>
    </w:p>
    <w:p w14:paraId="404AFD2A" w14:textId="77777777" w:rsidR="00313449" w:rsidRPr="00D90035" w:rsidRDefault="00313449" w:rsidP="000C2914">
      <w:pPr>
        <w:shd w:val="clear" w:color="auto" w:fill="FFFFFF"/>
        <w:spacing w:after="120" w:line="240" w:lineRule="auto"/>
        <w:jc w:val="both"/>
        <w:rPr>
          <w:rFonts w:ascii="Verdana" w:hAnsi="Verdana"/>
          <w:sz w:val="20"/>
          <w:szCs w:val="20"/>
        </w:rPr>
      </w:pPr>
      <w:r w:rsidRPr="00D90035">
        <w:rPr>
          <w:rFonts w:ascii="Verdana" w:hAnsi="Verdana"/>
          <w:sz w:val="20"/>
          <w:szCs w:val="20"/>
        </w:rPr>
        <w:t xml:space="preserve">Con arreglo de lo dicho por el Consejo de Estado en la Sentencia de Unificación con radicado interno 1317-2016 </w:t>
      </w:r>
      <w:r w:rsidRPr="00D90035">
        <w:rPr>
          <w:rStyle w:val="normaltextrun"/>
          <w:rFonts w:ascii="Verdana" w:hAnsi="Verdana" w:cs="Arial"/>
          <w:color w:val="000000"/>
          <w:sz w:val="20"/>
          <w:szCs w:val="20"/>
          <w:shd w:val="clear" w:color="auto" w:fill="FFFFFF"/>
        </w:rPr>
        <w:t>del 9 de septiembre de 2021</w:t>
      </w:r>
      <w:r w:rsidRPr="00D90035">
        <w:rPr>
          <w:rFonts w:ascii="Verdana" w:hAnsi="Verdana"/>
          <w:sz w:val="20"/>
          <w:szCs w:val="20"/>
        </w:rPr>
        <w:t xml:space="preserve">, el término de los treinta (30) días hábiles que deberían pasar entre la fecha de terminación de una vinculación y la fecha de inicio de la siguiente vinculación, se instituye con el propósito de que se entienda que hay solución de continuidad y solo tiene cabida si se evidencia que hay un </w:t>
      </w:r>
      <w:r w:rsidRPr="00D90035">
        <w:rPr>
          <w:rFonts w:ascii="Verdana" w:hAnsi="Verdana"/>
          <w:i/>
          <w:iCs/>
          <w:sz w:val="20"/>
          <w:szCs w:val="20"/>
        </w:rPr>
        <w:t>contrato realidad</w:t>
      </w:r>
      <w:r w:rsidRPr="00D90035">
        <w:rPr>
          <w:rFonts w:ascii="Verdana" w:hAnsi="Verdana"/>
          <w:sz w:val="20"/>
          <w:szCs w:val="20"/>
        </w:rPr>
        <w:t xml:space="preserve"> única y exclusivamente para contabilizar la prescripción de los derechos laborales y prestacionales aplicables. Por lo tanto, los contratos de prestación de servicio que sí están sujetos a lo contemplado en el artículo 32.3 de la Ley 80 de 1993 no les aplica la imposición de ningún límite temporal para su celebración.</w:t>
      </w:r>
    </w:p>
    <w:p w14:paraId="17DF1B5D" w14:textId="77777777" w:rsidR="00313449" w:rsidRPr="00D90035" w:rsidRDefault="00313449" w:rsidP="000C2914">
      <w:pPr>
        <w:spacing w:after="120" w:line="240" w:lineRule="auto"/>
        <w:jc w:val="both"/>
        <w:textAlignment w:val="baseline"/>
        <w:rPr>
          <w:rFonts w:ascii="Verdana" w:eastAsia="Calibri" w:hAnsi="Verdana" w:cs="Arial"/>
          <w:sz w:val="20"/>
          <w:szCs w:val="20"/>
          <w:lang w:val="es-ES"/>
        </w:rPr>
      </w:pPr>
      <w:r w:rsidRPr="00D90035">
        <w:rPr>
          <w:rFonts w:ascii="Verdana" w:hAnsi="Verdana" w:cs="Arial"/>
          <w:sz w:val="20"/>
          <w:szCs w:val="20"/>
          <w:lang w:val="es-ES" w:eastAsia="es-CO"/>
        </w:rPr>
        <w:t>En este sentido, la Agencia Nacional de Contratación Pública – Colombia Compra Eficiente no es el órgano autorizado para conceptuar sobre las implicaciones de los contratos realidad, tampoco para establecer el alcance de las sentencias de unificación del Consejo de Estado sobre conflictos en temas laborales. En otras palabras, esta entidad no puede establecer directrices al respecto, especialmente porque los lineamientos para evitar la configuración de daños antijurídicos en dicha materia corresponden a una entidad distinta.</w:t>
      </w:r>
    </w:p>
    <w:p w14:paraId="65296FDC" w14:textId="77777777" w:rsidR="00313449" w:rsidRDefault="00313449" w:rsidP="00313449">
      <w:pPr>
        <w:spacing w:line="276" w:lineRule="auto"/>
        <w:jc w:val="both"/>
        <w:rPr>
          <w:rFonts w:ascii="Verdana" w:hAnsi="Verdana" w:cs="Arial"/>
          <w:bCs/>
          <w:color w:val="000000" w:themeColor="text1"/>
        </w:rPr>
      </w:pPr>
    </w:p>
    <w:p w14:paraId="01B54A27" w14:textId="77777777" w:rsidR="00313449" w:rsidRDefault="00313449" w:rsidP="00313449">
      <w:pPr>
        <w:spacing w:line="276" w:lineRule="auto"/>
        <w:jc w:val="both"/>
        <w:rPr>
          <w:rFonts w:ascii="Verdana" w:hAnsi="Verdana" w:cs="Arial"/>
          <w:bCs/>
          <w:color w:val="000000" w:themeColor="text1"/>
        </w:rPr>
      </w:pPr>
    </w:p>
    <w:p w14:paraId="22EA7DFB" w14:textId="77777777" w:rsidR="00313449" w:rsidRDefault="00313449" w:rsidP="00313449">
      <w:pPr>
        <w:spacing w:line="276" w:lineRule="auto"/>
        <w:jc w:val="both"/>
        <w:rPr>
          <w:rFonts w:ascii="Verdana" w:hAnsi="Verdana" w:cs="Arial"/>
          <w:bCs/>
          <w:color w:val="000000" w:themeColor="text1"/>
        </w:rPr>
      </w:pPr>
    </w:p>
    <w:p w14:paraId="18EFC86D" w14:textId="77777777" w:rsidR="00313449" w:rsidRDefault="00313449" w:rsidP="00313449">
      <w:pPr>
        <w:spacing w:line="276" w:lineRule="auto"/>
        <w:jc w:val="both"/>
        <w:rPr>
          <w:rFonts w:ascii="Verdana" w:hAnsi="Verdana" w:cs="Arial"/>
          <w:bCs/>
          <w:color w:val="000000" w:themeColor="text1"/>
        </w:rPr>
      </w:pPr>
    </w:p>
    <w:p w14:paraId="286AC865" w14:textId="77777777" w:rsidR="00313449" w:rsidRDefault="00313449" w:rsidP="00E245AB">
      <w:pPr>
        <w:spacing w:after="0"/>
        <w:rPr>
          <w:rFonts w:ascii="Verdana" w:hAnsi="Verdana"/>
        </w:rPr>
      </w:pPr>
    </w:p>
    <w:p w14:paraId="63C8975F" w14:textId="77777777" w:rsidR="00313449" w:rsidRDefault="00313449" w:rsidP="00E245AB">
      <w:pPr>
        <w:spacing w:after="0"/>
        <w:rPr>
          <w:rFonts w:ascii="Verdana" w:hAnsi="Verdana"/>
        </w:rPr>
      </w:pPr>
    </w:p>
    <w:p w14:paraId="153138B6" w14:textId="77777777" w:rsidR="00313449" w:rsidRDefault="00313449" w:rsidP="00E245AB">
      <w:pPr>
        <w:spacing w:after="0"/>
        <w:rPr>
          <w:rFonts w:ascii="Verdana" w:hAnsi="Verdana"/>
        </w:rPr>
      </w:pPr>
    </w:p>
    <w:p w14:paraId="2AC138B3" w14:textId="77777777" w:rsidR="00313449" w:rsidRDefault="00313449" w:rsidP="00E245AB">
      <w:pPr>
        <w:spacing w:after="0"/>
        <w:rPr>
          <w:rFonts w:ascii="Verdana" w:hAnsi="Verdana"/>
        </w:rPr>
      </w:pPr>
    </w:p>
    <w:p w14:paraId="5C5A8840" w14:textId="77777777" w:rsidR="00313449" w:rsidRDefault="00313449" w:rsidP="00E245AB">
      <w:pPr>
        <w:spacing w:after="0"/>
        <w:rPr>
          <w:rFonts w:ascii="Verdana" w:hAnsi="Verdana"/>
        </w:rPr>
      </w:pPr>
    </w:p>
    <w:p w14:paraId="1A06C72F" w14:textId="77777777" w:rsidR="00313449" w:rsidRDefault="00313449" w:rsidP="00E245AB">
      <w:pPr>
        <w:spacing w:after="0"/>
        <w:rPr>
          <w:rFonts w:ascii="Verdana" w:hAnsi="Verdana"/>
        </w:rPr>
      </w:pPr>
    </w:p>
    <w:p w14:paraId="49B0AD08" w14:textId="77777777" w:rsidR="00313449" w:rsidRDefault="00313449" w:rsidP="00E245AB">
      <w:pPr>
        <w:spacing w:after="0"/>
        <w:rPr>
          <w:rFonts w:ascii="Verdana" w:hAnsi="Verdana"/>
        </w:rPr>
      </w:pPr>
    </w:p>
    <w:p w14:paraId="6348E462" w14:textId="77777777" w:rsidR="00313449" w:rsidRDefault="00313449" w:rsidP="00E245AB">
      <w:pPr>
        <w:spacing w:after="0"/>
        <w:rPr>
          <w:rFonts w:ascii="Verdana" w:hAnsi="Verdana"/>
        </w:rPr>
      </w:pPr>
    </w:p>
    <w:p w14:paraId="70504CAE" w14:textId="77777777" w:rsidR="00313449" w:rsidRDefault="00313449" w:rsidP="00E245AB">
      <w:pPr>
        <w:spacing w:after="0"/>
        <w:rPr>
          <w:rFonts w:ascii="Verdana" w:hAnsi="Verdana"/>
        </w:rPr>
      </w:pPr>
    </w:p>
    <w:p w14:paraId="6C31F654" w14:textId="77777777" w:rsidR="00313449" w:rsidRDefault="00313449" w:rsidP="00E245AB">
      <w:pPr>
        <w:spacing w:after="0"/>
        <w:rPr>
          <w:rFonts w:ascii="Verdana" w:hAnsi="Verdana"/>
        </w:rPr>
      </w:pPr>
    </w:p>
    <w:p w14:paraId="3FE2184B" w14:textId="539A9423" w:rsidR="00E245AB" w:rsidRPr="0044528D" w:rsidRDefault="00897A3A" w:rsidP="00E245AB">
      <w:pPr>
        <w:spacing w:after="0"/>
        <w:rPr>
          <w:rFonts w:ascii="Verdana" w:hAnsi="Verdana"/>
        </w:rPr>
      </w:pPr>
      <w:r w:rsidRPr="0044528D">
        <w:rPr>
          <w:rFonts w:ascii="Verdana" w:hAnsi="Verdana"/>
        </w:rPr>
        <w:lastRenderedPageBreak/>
        <w:t xml:space="preserve">Bogotá D.C., </w:t>
      </w:r>
      <w:r w:rsidR="008205E4">
        <w:rPr>
          <w:rFonts w:ascii="Verdana" w:hAnsi="Verdana"/>
        </w:rPr>
        <w:t>3 octubre 2025</w:t>
      </w:r>
      <w:r w:rsidR="00891928" w:rsidRPr="0044528D">
        <w:rPr>
          <w:rFonts w:ascii="Verdana" w:hAnsi="Verdana"/>
        </w:rPr>
        <w:tab/>
      </w:r>
    </w:p>
    <w:p w14:paraId="5FCADBF9" w14:textId="7B1DF992" w:rsidR="00E245AB" w:rsidRPr="0044528D" w:rsidRDefault="000C2914" w:rsidP="00E245AB">
      <w:pPr>
        <w:spacing w:after="0"/>
        <w:rPr>
          <w:rFonts w:ascii="Verdana" w:hAnsi="Verdana"/>
        </w:rPr>
      </w:pPr>
      <w:r w:rsidRPr="008205E4">
        <w:rPr>
          <w:rFonts w:ascii="Verdana" w:eastAsia="Times New Roman" w:hAnsi="Verdana" w:cs="Arial"/>
          <w:noProof/>
          <w:lang w:eastAsia="es-ES_tradnl"/>
        </w:rPr>
        <w:drawing>
          <wp:anchor distT="0" distB="0" distL="114300" distR="114300" simplePos="0" relativeHeight="251657216" behindDoc="1" locked="0" layoutInCell="1" allowOverlap="1" wp14:anchorId="07031B7A" wp14:editId="47FC4A41">
            <wp:simplePos x="0" y="0"/>
            <wp:positionH relativeFrom="margin">
              <wp:align>right</wp:align>
            </wp:positionH>
            <wp:positionV relativeFrom="paragraph">
              <wp:posOffset>180975</wp:posOffset>
            </wp:positionV>
            <wp:extent cx="2559685" cy="739140"/>
            <wp:effectExtent l="0" t="0" r="0" b="3810"/>
            <wp:wrapSquare wrapText="bothSides"/>
            <wp:docPr id="95361753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61753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59685" cy="739140"/>
                    </a:xfrm>
                    <a:prstGeom prst="rect">
                      <a:avLst/>
                    </a:prstGeom>
                  </pic:spPr>
                </pic:pic>
              </a:graphicData>
            </a:graphic>
            <wp14:sizeRelH relativeFrom="margin">
              <wp14:pctWidth>0</wp14:pctWidth>
            </wp14:sizeRelH>
            <wp14:sizeRelV relativeFrom="margin">
              <wp14:pctHeight>0</wp14:pctHeight>
            </wp14:sizeRelV>
          </wp:anchor>
        </w:drawing>
      </w:r>
    </w:p>
    <w:p w14:paraId="6D77DCB7" w14:textId="6C7FBA61" w:rsidR="000273DF" w:rsidRPr="00893BAA" w:rsidRDefault="000273DF" w:rsidP="00177A85">
      <w:pPr>
        <w:spacing w:after="0" w:line="240" w:lineRule="auto"/>
        <w:jc w:val="right"/>
        <w:rPr>
          <w:rFonts w:ascii="Verdana" w:eastAsia="Times New Roman" w:hAnsi="Verdana" w:cs="Arial"/>
          <w:lang w:eastAsia="es-ES_tradnl"/>
        </w:rPr>
      </w:pPr>
      <w:bookmarkStart w:id="2" w:name="_Hlk189391789"/>
    </w:p>
    <w:p w14:paraId="2A5B44D4" w14:textId="77777777" w:rsidR="000273DF" w:rsidRPr="00893BAA" w:rsidRDefault="000273DF" w:rsidP="00177A85">
      <w:pPr>
        <w:spacing w:after="0" w:line="240" w:lineRule="auto"/>
        <w:jc w:val="both"/>
        <w:rPr>
          <w:rFonts w:ascii="Verdana" w:eastAsia="Calibri" w:hAnsi="Verdana" w:cs="Arial"/>
          <w:lang w:eastAsia="es-ES_tradnl"/>
        </w:rPr>
      </w:pPr>
      <w:r w:rsidRPr="00893BAA">
        <w:rPr>
          <w:rFonts w:ascii="Verdana" w:eastAsia="Calibri" w:hAnsi="Verdana" w:cs="Arial"/>
          <w:lang w:eastAsia="es-ES_tradnl"/>
        </w:rPr>
        <w:t>Señor</w:t>
      </w:r>
    </w:p>
    <w:p w14:paraId="0A6C45AC" w14:textId="77777777" w:rsidR="000273DF" w:rsidRPr="00893BAA" w:rsidRDefault="000273DF" w:rsidP="00177A85">
      <w:pPr>
        <w:spacing w:after="0" w:line="240" w:lineRule="auto"/>
        <w:rPr>
          <w:rFonts w:ascii="Verdana" w:eastAsia="Calibri" w:hAnsi="Verdana" w:cs="Arial"/>
          <w:b/>
          <w:bCs/>
          <w:lang w:eastAsia="es-ES_tradnl"/>
        </w:rPr>
      </w:pPr>
      <w:r w:rsidRPr="00893BAA">
        <w:rPr>
          <w:rFonts w:ascii="Verdana" w:eastAsia="Calibri" w:hAnsi="Verdana" w:cs="Arial"/>
          <w:b/>
          <w:bCs/>
          <w:lang w:eastAsia="es-ES_tradnl"/>
        </w:rPr>
        <w:t>Fernando Alfredo Romero Rivero</w:t>
      </w:r>
    </w:p>
    <w:p w14:paraId="76B983FD" w14:textId="77777777" w:rsidR="000273DF" w:rsidRPr="00893BAA" w:rsidRDefault="000273DF" w:rsidP="00177A85">
      <w:pPr>
        <w:spacing w:after="0" w:line="240" w:lineRule="auto"/>
        <w:rPr>
          <w:rFonts w:ascii="Verdana" w:eastAsia="Calibri" w:hAnsi="Verdana" w:cs="Arial"/>
          <w:color w:val="0070C0"/>
          <w:lang w:eastAsia="es-ES_tradnl"/>
        </w:rPr>
      </w:pPr>
      <w:hyperlink r:id="rId11" w:history="1">
        <w:r w:rsidRPr="00893BAA">
          <w:rPr>
            <w:rStyle w:val="Hipervnculo"/>
            <w:rFonts w:ascii="Verdana" w:hAnsi="Verdana"/>
          </w:rPr>
          <w:t>fromerorivero7@gmail.com</w:t>
        </w:r>
      </w:hyperlink>
    </w:p>
    <w:p w14:paraId="46097D11" w14:textId="77777777" w:rsidR="000273DF" w:rsidRPr="00893BAA" w:rsidRDefault="000273DF" w:rsidP="00177A85">
      <w:pPr>
        <w:spacing w:after="0" w:line="240" w:lineRule="auto"/>
        <w:rPr>
          <w:rFonts w:ascii="Verdana" w:eastAsia="Calibri" w:hAnsi="Verdana" w:cs="Arial"/>
          <w:lang w:val="pt-BR" w:eastAsia="es-ES_tradnl"/>
        </w:rPr>
      </w:pPr>
      <w:r w:rsidRPr="00893BAA">
        <w:rPr>
          <w:rFonts w:ascii="Verdana" w:eastAsia="Calibri" w:hAnsi="Verdana" w:cs="Arial"/>
          <w:lang w:val="pt-BR" w:eastAsia="es-ES_tradnl"/>
        </w:rPr>
        <w:t>Bogotá, D.C.</w:t>
      </w:r>
    </w:p>
    <w:p w14:paraId="750FCE43" w14:textId="77777777" w:rsidR="000273DF" w:rsidRPr="00893BAA" w:rsidRDefault="000273DF" w:rsidP="00177A85">
      <w:pPr>
        <w:spacing w:after="0" w:line="240" w:lineRule="auto"/>
        <w:rPr>
          <w:rFonts w:ascii="Verdana" w:eastAsia="Calibri" w:hAnsi="Verdana" w:cs="Arial"/>
          <w:lang w:val="pt-BR" w:eastAsia="es-ES_tradnl"/>
        </w:rPr>
      </w:pPr>
    </w:p>
    <w:p w14:paraId="7A68DF6A" w14:textId="77777777" w:rsidR="000273DF" w:rsidRPr="00893BAA" w:rsidRDefault="000273DF" w:rsidP="00177A85">
      <w:pPr>
        <w:spacing w:after="0" w:line="240" w:lineRule="auto"/>
        <w:ind w:left="2694"/>
        <w:rPr>
          <w:rFonts w:ascii="Verdana" w:eastAsia="Calibri" w:hAnsi="Verdana" w:cs="Arial"/>
          <w:b/>
          <w:bCs/>
          <w:lang w:val="pt-BR" w:eastAsia="es-ES_tradnl"/>
        </w:rPr>
      </w:pPr>
      <w:r w:rsidRPr="00893BAA">
        <w:rPr>
          <w:rFonts w:ascii="Verdana" w:eastAsia="Calibri" w:hAnsi="Verdana" w:cs="Arial"/>
          <w:b/>
          <w:bCs/>
          <w:lang w:val="pt-BR" w:eastAsia="es-ES_tradnl"/>
        </w:rPr>
        <w:t>Concepto C-1192 de 2025</w:t>
      </w:r>
    </w:p>
    <w:p w14:paraId="244FE81C" w14:textId="77777777" w:rsidR="000273DF" w:rsidRPr="00893BAA" w:rsidRDefault="000273DF" w:rsidP="00177A85">
      <w:pPr>
        <w:spacing w:after="0" w:line="240" w:lineRule="auto"/>
        <w:jc w:val="both"/>
        <w:rPr>
          <w:rFonts w:ascii="Verdana" w:eastAsia="Calibri" w:hAnsi="Verdana" w:cs="Arial"/>
          <w:lang w:val="pt-BR"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0273DF" w:rsidRPr="00893BAA" w14:paraId="64224E4B" w14:textId="77777777" w:rsidTr="000A7F61">
        <w:trPr>
          <w:trHeight w:val="2284"/>
          <w:jc w:val="right"/>
        </w:trPr>
        <w:tc>
          <w:tcPr>
            <w:tcW w:w="1838" w:type="dxa"/>
          </w:tcPr>
          <w:p w14:paraId="288844BA" w14:textId="77777777" w:rsidR="000273DF" w:rsidRPr="00893BAA" w:rsidRDefault="000273DF" w:rsidP="00177A85">
            <w:pPr>
              <w:jc w:val="center"/>
              <w:rPr>
                <w:rFonts w:ascii="Verdana" w:eastAsia="Calibri" w:hAnsi="Verdana" w:cs="Arial"/>
                <w:lang w:eastAsia="es-ES_tradnl"/>
              </w:rPr>
            </w:pPr>
            <w:r w:rsidRPr="00893BAA">
              <w:rPr>
                <w:rFonts w:ascii="Verdana" w:eastAsia="Calibri" w:hAnsi="Verdana" w:cs="Arial"/>
                <w:b/>
                <w:lang w:eastAsia="es-ES_tradnl"/>
              </w:rPr>
              <w:t>Temas:</w:t>
            </w:r>
          </w:p>
        </w:tc>
        <w:tc>
          <w:tcPr>
            <w:tcW w:w="6237" w:type="dxa"/>
          </w:tcPr>
          <w:p w14:paraId="0EC16326" w14:textId="74285ABD" w:rsidR="000273DF" w:rsidRPr="00893BAA" w:rsidRDefault="000273DF" w:rsidP="00177A85">
            <w:pPr>
              <w:jc w:val="both"/>
              <w:rPr>
                <w:rFonts w:ascii="Verdana" w:eastAsia="Times New Roman" w:hAnsi="Verdana" w:cs="Arial"/>
                <w:lang w:eastAsia="es-ES_tradnl"/>
              </w:rPr>
            </w:pPr>
            <w:r w:rsidRPr="00893BAA">
              <w:rPr>
                <w:rFonts w:ascii="Verdana" w:eastAsia="Calibri" w:hAnsi="Verdana" w:cs="Arial"/>
                <w:lang w:eastAsia="es-ES"/>
              </w:rPr>
              <w:t>CONTRATO DE PRESTACIÓN DE SERVICIOS ― Concepto ― Características generales / CONTRATO DE PRESTACIÓN DE SERVICIOS – Relación Laboral – Competencia de Colombia Compra Eficiente / CONTRATO DE PRESTACIÓN DE SERVICIOS PROFESIONALES – Sentencia de Unificación SUJ-025-CE-S2-2021 del Consejo de Estado de 9 de septiembre de 2021</w:t>
            </w:r>
          </w:p>
          <w:p w14:paraId="2C055889" w14:textId="77777777" w:rsidR="000273DF" w:rsidRPr="00893BAA" w:rsidRDefault="000273DF" w:rsidP="00177A85">
            <w:pPr>
              <w:jc w:val="both"/>
              <w:rPr>
                <w:rFonts w:ascii="Verdana" w:eastAsia="Times New Roman" w:hAnsi="Verdana" w:cs="Arial"/>
                <w:lang w:eastAsia="es-ES_tradnl"/>
              </w:rPr>
            </w:pPr>
          </w:p>
        </w:tc>
      </w:tr>
      <w:tr w:rsidR="000273DF" w:rsidRPr="00893BAA" w14:paraId="5A6B8D07" w14:textId="77777777" w:rsidTr="000A7F61">
        <w:trPr>
          <w:jc w:val="right"/>
        </w:trPr>
        <w:tc>
          <w:tcPr>
            <w:tcW w:w="1838" w:type="dxa"/>
          </w:tcPr>
          <w:p w14:paraId="13227AE0" w14:textId="77777777" w:rsidR="000273DF" w:rsidRPr="00893BAA" w:rsidRDefault="000273DF" w:rsidP="00177A85">
            <w:pPr>
              <w:jc w:val="center"/>
              <w:rPr>
                <w:rFonts w:ascii="Verdana" w:eastAsia="Calibri" w:hAnsi="Verdana" w:cs="Arial"/>
                <w:b/>
                <w:lang w:eastAsia="es-ES_tradnl"/>
              </w:rPr>
            </w:pPr>
            <w:r w:rsidRPr="00893BAA">
              <w:rPr>
                <w:rFonts w:ascii="Verdana" w:eastAsia="Calibri" w:hAnsi="Verdana" w:cs="Arial"/>
                <w:b/>
                <w:lang w:eastAsia="es-ES_tradnl"/>
              </w:rPr>
              <w:t>Radicación:</w:t>
            </w:r>
          </w:p>
        </w:tc>
        <w:tc>
          <w:tcPr>
            <w:tcW w:w="6237" w:type="dxa"/>
          </w:tcPr>
          <w:p w14:paraId="2CD09EDF" w14:textId="3D29A442" w:rsidR="000273DF" w:rsidRPr="00893BAA" w:rsidRDefault="000273DF" w:rsidP="00177A85">
            <w:pPr>
              <w:jc w:val="both"/>
              <w:rPr>
                <w:rFonts w:ascii="Verdana" w:eastAsia="Calibri" w:hAnsi="Verdana" w:cs="Arial"/>
                <w:lang w:eastAsia="es-ES_tradnl"/>
              </w:rPr>
            </w:pPr>
            <w:r w:rsidRPr="00893BAA">
              <w:rPr>
                <w:rFonts w:ascii="Verdana" w:eastAsia="Calibri" w:hAnsi="Verdana" w:cs="Arial"/>
                <w:lang w:eastAsia="es-ES_tradnl"/>
              </w:rPr>
              <w:t xml:space="preserve">Respuesta a consulta radicado No. </w:t>
            </w:r>
            <w:r w:rsidRPr="00893BAA">
              <w:rPr>
                <w:rFonts w:ascii="Verdana" w:eastAsia="Times New Roman" w:hAnsi="Verdana" w:cs="Arial"/>
                <w:lang w:eastAsia="es-ES_tradnl"/>
              </w:rPr>
              <w:t>1_2025_08_25_008974</w:t>
            </w:r>
          </w:p>
        </w:tc>
      </w:tr>
    </w:tbl>
    <w:p w14:paraId="6B0E3256" w14:textId="77777777" w:rsidR="000273DF" w:rsidRPr="00893BAA" w:rsidRDefault="000273DF" w:rsidP="00177A85">
      <w:pPr>
        <w:spacing w:after="0" w:line="240" w:lineRule="auto"/>
        <w:jc w:val="both"/>
        <w:rPr>
          <w:rFonts w:ascii="Verdana" w:eastAsia="Calibri" w:hAnsi="Verdana" w:cs="Arial"/>
          <w:lang w:eastAsia="es-ES_tradnl"/>
        </w:rPr>
      </w:pPr>
    </w:p>
    <w:p w14:paraId="1AAE038E" w14:textId="77777777" w:rsidR="000273DF" w:rsidRPr="00893BAA" w:rsidRDefault="000273DF" w:rsidP="00177A85">
      <w:pPr>
        <w:spacing w:after="0" w:line="240" w:lineRule="auto"/>
        <w:jc w:val="both"/>
        <w:rPr>
          <w:rFonts w:ascii="Verdana" w:eastAsia="Calibri" w:hAnsi="Verdana" w:cs="Arial"/>
          <w:lang w:eastAsia="es-ES_tradnl"/>
        </w:rPr>
      </w:pPr>
    </w:p>
    <w:p w14:paraId="20CB313C" w14:textId="77777777" w:rsidR="000273DF" w:rsidRPr="00893BAA" w:rsidRDefault="000273DF" w:rsidP="00177A85">
      <w:pPr>
        <w:spacing w:after="0" w:line="276" w:lineRule="auto"/>
        <w:jc w:val="both"/>
        <w:rPr>
          <w:rFonts w:ascii="Verdana" w:eastAsia="Calibri" w:hAnsi="Verdana" w:cs="Arial"/>
          <w:bCs/>
          <w:lang w:eastAsia="es-ES_tradnl"/>
        </w:rPr>
      </w:pPr>
      <w:r w:rsidRPr="00893BAA">
        <w:rPr>
          <w:rFonts w:ascii="Verdana" w:eastAsia="Calibri" w:hAnsi="Verdana" w:cs="Arial"/>
          <w:lang w:eastAsia="es-ES_tradnl"/>
        </w:rPr>
        <w:t>Estimado señor Fernando</w:t>
      </w:r>
      <w:r w:rsidRPr="00893BAA">
        <w:rPr>
          <w:rFonts w:ascii="Verdana" w:eastAsia="Calibri" w:hAnsi="Verdana" w:cs="Arial"/>
          <w:bCs/>
          <w:lang w:eastAsia="es-ES_tradnl"/>
        </w:rPr>
        <w:t xml:space="preserve">, </w:t>
      </w:r>
    </w:p>
    <w:p w14:paraId="2E2C8BB0" w14:textId="77777777" w:rsidR="000273DF" w:rsidRPr="006A09D6" w:rsidRDefault="000273DF" w:rsidP="00B35F25">
      <w:pPr>
        <w:spacing w:after="0" w:line="276" w:lineRule="auto"/>
        <w:contextualSpacing/>
        <w:jc w:val="both"/>
        <w:rPr>
          <w:rFonts w:ascii="Verdana" w:eastAsia="Calibri" w:hAnsi="Verdana" w:cs="Arial"/>
          <w:lang w:eastAsia="es-ES_tradnl"/>
        </w:rPr>
      </w:pPr>
    </w:p>
    <w:p w14:paraId="7DF79DF3" w14:textId="77777777" w:rsidR="000273DF" w:rsidRPr="006A09D6" w:rsidRDefault="000273DF" w:rsidP="00B35F25">
      <w:pPr>
        <w:spacing w:after="0" w:line="276" w:lineRule="auto"/>
        <w:jc w:val="both"/>
        <w:rPr>
          <w:rFonts w:ascii="Verdana" w:eastAsia="Calibri" w:hAnsi="Verdana" w:cs="Arial"/>
          <w:lang w:eastAsia="es-ES_tradnl"/>
        </w:rPr>
      </w:pPr>
      <w:r w:rsidRPr="006A09D6">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consulta </w:t>
      </w:r>
      <w:r>
        <w:rPr>
          <w:rFonts w:ascii="Verdana" w:eastAsia="Calibri" w:hAnsi="Verdana" w:cs="Arial"/>
          <w:lang w:eastAsia="es-ES_tradnl"/>
        </w:rPr>
        <w:t xml:space="preserve">remitida por el Departamento Administrativo de la Función Pública – DAFP </w:t>
      </w:r>
      <w:r w:rsidRPr="006A09D6">
        <w:rPr>
          <w:rFonts w:ascii="Verdana" w:eastAsia="Calibri" w:hAnsi="Verdana" w:cs="Arial"/>
          <w:lang w:eastAsia="es-ES_tradnl"/>
        </w:rPr>
        <w:t xml:space="preserve">el </w:t>
      </w:r>
      <w:r>
        <w:rPr>
          <w:rFonts w:ascii="Verdana" w:eastAsia="Calibri" w:hAnsi="Verdana" w:cs="Arial"/>
          <w:lang w:eastAsia="es-ES_tradnl"/>
        </w:rPr>
        <w:t>21 de agosto</w:t>
      </w:r>
      <w:r w:rsidRPr="006A09D6">
        <w:rPr>
          <w:rFonts w:ascii="Verdana" w:eastAsia="Calibri" w:hAnsi="Verdana" w:cs="Arial"/>
          <w:lang w:eastAsia="es-ES_tradnl"/>
        </w:rPr>
        <w:t xml:space="preserve"> de 2025 con número de radicado</w:t>
      </w:r>
      <w:r>
        <w:rPr>
          <w:rFonts w:ascii="Verdana" w:eastAsia="Calibri" w:hAnsi="Verdana" w:cs="Arial"/>
          <w:lang w:eastAsia="es-ES_tradnl"/>
        </w:rPr>
        <w:t xml:space="preserve"> interno </w:t>
      </w:r>
      <w:r w:rsidRPr="00552AD0">
        <w:rPr>
          <w:rFonts w:ascii="Verdana" w:eastAsia="Calibri" w:hAnsi="Verdana" w:cs="Arial"/>
          <w:lang w:eastAsia="es-ES_tradnl"/>
        </w:rPr>
        <w:t>20252040401981</w:t>
      </w:r>
      <w:r w:rsidRPr="006A09D6">
        <w:rPr>
          <w:rFonts w:ascii="Verdana" w:eastAsia="Calibri" w:hAnsi="Verdana" w:cs="Arial"/>
          <w:lang w:eastAsia="es-ES_tradnl"/>
        </w:rPr>
        <w:t xml:space="preserve"> y radicada en el sistema de gestión documental de esta Agencia el </w:t>
      </w:r>
      <w:r>
        <w:rPr>
          <w:rFonts w:ascii="Verdana" w:eastAsia="Calibri" w:hAnsi="Verdana" w:cs="Arial"/>
          <w:lang w:eastAsia="es-ES_tradnl"/>
        </w:rPr>
        <w:t>25 de agosto</w:t>
      </w:r>
      <w:r w:rsidRPr="006A09D6">
        <w:rPr>
          <w:rFonts w:ascii="Verdana" w:eastAsia="Calibri" w:hAnsi="Verdana" w:cs="Arial"/>
          <w:lang w:eastAsia="es-ES_tradnl"/>
        </w:rPr>
        <w:t xml:space="preserve"> de 2025, consulta hecha en los siguientes términos:</w:t>
      </w:r>
    </w:p>
    <w:p w14:paraId="1F736A44" w14:textId="77777777" w:rsidR="000273DF" w:rsidRPr="006A09D6" w:rsidRDefault="000273DF" w:rsidP="00B35F25">
      <w:pPr>
        <w:spacing w:after="0" w:line="276" w:lineRule="auto"/>
        <w:jc w:val="both"/>
        <w:rPr>
          <w:rFonts w:ascii="Verdana" w:eastAsia="Calibri" w:hAnsi="Verdana" w:cs="Arial"/>
          <w:lang w:eastAsia="es-ES_tradnl"/>
        </w:rPr>
      </w:pPr>
    </w:p>
    <w:p w14:paraId="29C07744" w14:textId="77777777" w:rsidR="000273DF" w:rsidRPr="00586D6A" w:rsidRDefault="000273DF" w:rsidP="00177A85">
      <w:pPr>
        <w:spacing w:after="0" w:line="240" w:lineRule="auto"/>
        <w:ind w:left="709" w:right="709"/>
        <w:jc w:val="both"/>
        <w:rPr>
          <w:rFonts w:ascii="Verdana" w:eastAsia="Times New Roman" w:hAnsi="Verdana" w:cs="Arial"/>
          <w:iCs/>
          <w:sz w:val="20"/>
          <w:szCs w:val="20"/>
          <w:lang w:eastAsia="es-ES_tradnl"/>
        </w:rPr>
      </w:pPr>
      <w:r w:rsidRPr="006A09D6">
        <w:rPr>
          <w:rFonts w:ascii="Verdana" w:eastAsia="Times New Roman" w:hAnsi="Verdana" w:cs="Arial"/>
          <w:iCs/>
          <w:sz w:val="20"/>
          <w:szCs w:val="20"/>
          <w:lang w:eastAsia="es-ES_tradnl"/>
        </w:rPr>
        <w:t>“</w:t>
      </w:r>
      <w:r>
        <w:rPr>
          <w:rFonts w:ascii="Verdana" w:eastAsia="Times New Roman" w:hAnsi="Verdana" w:cs="Arial"/>
          <w:iCs/>
          <w:sz w:val="20"/>
          <w:szCs w:val="20"/>
          <w:lang w:val="es-MX" w:eastAsia="es-ES_tradnl"/>
        </w:rPr>
        <w:t>B</w:t>
      </w:r>
      <w:r w:rsidRPr="008B5DFC">
        <w:rPr>
          <w:rFonts w:ascii="Verdana" w:eastAsia="Times New Roman" w:hAnsi="Verdana" w:cs="Arial"/>
          <w:iCs/>
          <w:sz w:val="20"/>
          <w:szCs w:val="20"/>
          <w:lang w:val="es-MX" w:eastAsia="es-ES_tradnl"/>
        </w:rPr>
        <w:t>uenas tardes</w:t>
      </w:r>
      <w:r>
        <w:rPr>
          <w:rFonts w:ascii="Verdana" w:eastAsia="Times New Roman" w:hAnsi="Verdana" w:cs="Arial"/>
          <w:iCs/>
          <w:sz w:val="20"/>
          <w:szCs w:val="20"/>
          <w:lang w:val="es-MX" w:eastAsia="es-ES_tradnl"/>
        </w:rPr>
        <w:t>,</w:t>
      </w:r>
      <w:r w:rsidRPr="008B5DFC">
        <w:rPr>
          <w:rFonts w:ascii="Verdana" w:eastAsia="Times New Roman" w:hAnsi="Verdana" w:cs="Arial"/>
          <w:iCs/>
          <w:sz w:val="20"/>
          <w:szCs w:val="20"/>
          <w:lang w:val="es-MX" w:eastAsia="es-ES_tradnl"/>
        </w:rPr>
        <w:t xml:space="preserve"> por favor yo trabajo con </w:t>
      </w:r>
      <w:r>
        <w:rPr>
          <w:rFonts w:ascii="Verdana" w:eastAsia="Times New Roman" w:hAnsi="Verdana" w:cs="Arial"/>
          <w:iCs/>
          <w:sz w:val="20"/>
          <w:szCs w:val="20"/>
          <w:lang w:val="es-MX" w:eastAsia="es-ES_tradnl"/>
        </w:rPr>
        <w:t>O</w:t>
      </w:r>
      <w:r w:rsidRPr="008B5DFC">
        <w:rPr>
          <w:rFonts w:ascii="Verdana" w:eastAsia="Times New Roman" w:hAnsi="Verdana" w:cs="Arial"/>
          <w:iCs/>
          <w:sz w:val="20"/>
          <w:szCs w:val="20"/>
          <w:lang w:val="es-MX" w:eastAsia="es-ES_tradnl"/>
        </w:rPr>
        <w:t xml:space="preserve">PS en una </w:t>
      </w:r>
      <w:r>
        <w:rPr>
          <w:rFonts w:ascii="Verdana" w:eastAsia="Times New Roman" w:hAnsi="Verdana" w:cs="Arial"/>
          <w:iCs/>
          <w:sz w:val="20"/>
          <w:szCs w:val="20"/>
          <w:lang w:val="es-MX" w:eastAsia="es-ES_tradnl"/>
        </w:rPr>
        <w:t>A</w:t>
      </w:r>
      <w:r w:rsidRPr="008B5DFC">
        <w:rPr>
          <w:rFonts w:ascii="Verdana" w:eastAsia="Times New Roman" w:hAnsi="Verdana" w:cs="Arial"/>
          <w:iCs/>
          <w:sz w:val="20"/>
          <w:szCs w:val="20"/>
          <w:lang w:val="es-MX" w:eastAsia="es-ES_tradnl"/>
        </w:rPr>
        <w:t>lcaldía</w:t>
      </w:r>
      <w:r>
        <w:rPr>
          <w:rFonts w:ascii="Verdana" w:eastAsia="Times New Roman" w:hAnsi="Verdana" w:cs="Arial"/>
          <w:iCs/>
          <w:sz w:val="20"/>
          <w:szCs w:val="20"/>
          <w:lang w:val="es-MX" w:eastAsia="es-ES_tradnl"/>
        </w:rPr>
        <w:t>.</w:t>
      </w:r>
      <w:r w:rsidRPr="008B5DFC">
        <w:rPr>
          <w:rFonts w:ascii="Verdana" w:eastAsia="Times New Roman" w:hAnsi="Verdana" w:cs="Arial"/>
          <w:iCs/>
          <w:sz w:val="20"/>
          <w:szCs w:val="20"/>
          <w:lang w:val="es-MX" w:eastAsia="es-ES_tradnl"/>
        </w:rPr>
        <w:t xml:space="preserve"> </w:t>
      </w:r>
      <w:r>
        <w:rPr>
          <w:rFonts w:ascii="Verdana" w:eastAsia="Times New Roman" w:hAnsi="Verdana" w:cs="Arial"/>
          <w:iCs/>
          <w:sz w:val="20"/>
          <w:szCs w:val="20"/>
          <w:lang w:val="es-MX" w:eastAsia="es-ES_tradnl"/>
        </w:rPr>
        <w:t>E</w:t>
      </w:r>
      <w:r w:rsidRPr="008B5DFC">
        <w:rPr>
          <w:rFonts w:ascii="Verdana" w:eastAsia="Times New Roman" w:hAnsi="Verdana" w:cs="Arial"/>
          <w:iCs/>
          <w:sz w:val="20"/>
          <w:szCs w:val="20"/>
          <w:lang w:val="es-MX" w:eastAsia="es-ES_tradnl"/>
        </w:rPr>
        <w:t>l contrato va desde el 2 de junio al 2 de agosto</w:t>
      </w:r>
      <w:r>
        <w:rPr>
          <w:rFonts w:ascii="Verdana" w:eastAsia="Times New Roman" w:hAnsi="Verdana" w:cs="Arial"/>
          <w:iCs/>
          <w:sz w:val="20"/>
          <w:szCs w:val="20"/>
          <w:lang w:val="es-MX" w:eastAsia="es-ES_tradnl"/>
        </w:rPr>
        <w:t>.</w:t>
      </w:r>
      <w:r w:rsidRPr="008B5DFC">
        <w:rPr>
          <w:rFonts w:ascii="Verdana" w:eastAsia="Times New Roman" w:hAnsi="Verdana" w:cs="Arial"/>
          <w:iCs/>
          <w:sz w:val="20"/>
          <w:szCs w:val="20"/>
          <w:lang w:val="es-MX" w:eastAsia="es-ES_tradnl"/>
        </w:rPr>
        <w:t xml:space="preserve"> </w:t>
      </w:r>
      <w:r>
        <w:rPr>
          <w:rFonts w:ascii="Verdana" w:eastAsia="Times New Roman" w:hAnsi="Verdana" w:cs="Arial"/>
          <w:iCs/>
          <w:sz w:val="20"/>
          <w:szCs w:val="20"/>
          <w:lang w:val="es-MX" w:eastAsia="es-ES_tradnl"/>
        </w:rPr>
        <w:t>E</w:t>
      </w:r>
      <w:r w:rsidRPr="008B5DFC">
        <w:rPr>
          <w:rFonts w:ascii="Verdana" w:eastAsia="Times New Roman" w:hAnsi="Verdana" w:cs="Arial"/>
          <w:iCs/>
          <w:sz w:val="20"/>
          <w:szCs w:val="20"/>
          <w:lang w:val="es-MX" w:eastAsia="es-ES_tradnl"/>
        </w:rPr>
        <w:t xml:space="preserve">l próximo contrato cuántos días debo descansar para poder firmar el contrato de </w:t>
      </w:r>
      <w:r>
        <w:rPr>
          <w:rFonts w:ascii="Verdana" w:eastAsia="Times New Roman" w:hAnsi="Verdana" w:cs="Arial"/>
          <w:iCs/>
          <w:sz w:val="20"/>
          <w:szCs w:val="20"/>
          <w:lang w:val="es-MX" w:eastAsia="es-ES_tradnl"/>
        </w:rPr>
        <w:t>O</w:t>
      </w:r>
      <w:r w:rsidRPr="008B5DFC">
        <w:rPr>
          <w:rFonts w:ascii="Verdana" w:eastAsia="Times New Roman" w:hAnsi="Verdana" w:cs="Arial"/>
          <w:iCs/>
          <w:sz w:val="20"/>
          <w:szCs w:val="20"/>
          <w:lang w:val="es-MX" w:eastAsia="es-ES_tradnl"/>
        </w:rPr>
        <w:t>PS</w:t>
      </w:r>
      <w:r w:rsidRPr="006A09D6">
        <w:rPr>
          <w:rFonts w:ascii="Verdana" w:eastAsia="Times New Roman" w:hAnsi="Verdana" w:cs="Arial"/>
          <w:iCs/>
          <w:sz w:val="20"/>
          <w:szCs w:val="20"/>
          <w:lang w:eastAsia="es-ES_tradnl"/>
        </w:rPr>
        <w:t>” [SIC].</w:t>
      </w:r>
    </w:p>
    <w:p w14:paraId="57AC26E5" w14:textId="77777777" w:rsidR="000273DF" w:rsidRPr="006A09D6" w:rsidRDefault="000273DF" w:rsidP="00177A85">
      <w:pPr>
        <w:spacing w:after="0" w:line="276" w:lineRule="auto"/>
        <w:ind w:left="709" w:right="709"/>
        <w:jc w:val="both"/>
        <w:rPr>
          <w:rFonts w:ascii="Verdana" w:eastAsia="Times New Roman" w:hAnsi="Verdana" w:cs="Arial"/>
          <w:i/>
          <w:lang w:eastAsia="es-ES_tradnl"/>
        </w:rPr>
      </w:pPr>
    </w:p>
    <w:p w14:paraId="025D0C11" w14:textId="77777777" w:rsidR="000273DF" w:rsidRPr="006A09D6" w:rsidRDefault="000273DF" w:rsidP="008113E8">
      <w:pPr>
        <w:spacing w:after="120" w:line="276" w:lineRule="auto"/>
        <w:ind w:firstLine="709"/>
        <w:jc w:val="both"/>
        <w:rPr>
          <w:rFonts w:ascii="Verdana" w:eastAsia="Calibri" w:hAnsi="Verdana" w:cs="Arial"/>
          <w:color w:val="000000"/>
          <w:szCs w:val="24"/>
          <w:lang w:eastAsia="es-ES_tradnl"/>
        </w:rPr>
      </w:pPr>
      <w:r w:rsidRPr="006A09D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6A09D6">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A09D6">
        <w:rPr>
          <w:rFonts w:ascii="Verdana" w:eastAsia="Calibri" w:hAnsi="Verdana" w:cs="Arial"/>
          <w:color w:val="000000"/>
          <w:szCs w:val="24"/>
          <w:lang w:eastAsia="es-ES_tradnl"/>
        </w:rPr>
        <w:tab/>
      </w:r>
    </w:p>
    <w:p w14:paraId="46A498BB" w14:textId="77777777" w:rsidR="000273DF" w:rsidRPr="006A09D6" w:rsidRDefault="000273DF" w:rsidP="000273DF">
      <w:pPr>
        <w:spacing w:after="0" w:line="276" w:lineRule="auto"/>
        <w:ind w:firstLine="709"/>
        <w:jc w:val="both"/>
        <w:rPr>
          <w:rFonts w:ascii="Verdana" w:eastAsia="Calibri" w:hAnsi="Verdana" w:cs="Arial"/>
          <w:lang w:eastAsia="es-ES"/>
        </w:rPr>
      </w:pPr>
      <w:r w:rsidRPr="006A09D6">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33840C63" w14:textId="77777777" w:rsidR="000273DF" w:rsidRPr="006A09D6" w:rsidRDefault="000273DF" w:rsidP="00177A85">
      <w:pPr>
        <w:spacing w:after="0" w:line="276" w:lineRule="auto"/>
        <w:jc w:val="both"/>
        <w:rPr>
          <w:rFonts w:ascii="Verdana" w:eastAsia="Times New Roman" w:hAnsi="Verdana" w:cs="Arial"/>
          <w:szCs w:val="24"/>
          <w:lang w:eastAsia="es-ES_tradnl"/>
        </w:rPr>
      </w:pPr>
    </w:p>
    <w:p w14:paraId="6BDC0342" w14:textId="77777777" w:rsidR="000273DF" w:rsidRPr="006A09D6" w:rsidRDefault="000273DF" w:rsidP="00177A85">
      <w:pPr>
        <w:tabs>
          <w:tab w:val="left" w:pos="0"/>
          <w:tab w:val="left" w:pos="284"/>
        </w:tabs>
        <w:spacing w:after="0" w:line="276" w:lineRule="auto"/>
        <w:jc w:val="both"/>
        <w:rPr>
          <w:rFonts w:ascii="Verdana" w:eastAsia="Calibri" w:hAnsi="Verdana" w:cs="Arial"/>
          <w:b/>
        </w:rPr>
      </w:pPr>
      <w:r w:rsidRPr="006A09D6">
        <w:rPr>
          <w:rFonts w:ascii="Verdana" w:eastAsia="Calibri" w:hAnsi="Verdana" w:cs="Arial"/>
          <w:b/>
        </w:rPr>
        <w:t>1. Problema planteado:</w:t>
      </w:r>
    </w:p>
    <w:p w14:paraId="7275FE40" w14:textId="77777777" w:rsidR="000273DF" w:rsidRPr="006A09D6" w:rsidRDefault="000273DF" w:rsidP="00177A85">
      <w:pPr>
        <w:tabs>
          <w:tab w:val="left" w:pos="0"/>
          <w:tab w:val="left" w:pos="284"/>
        </w:tabs>
        <w:spacing w:after="0" w:line="276" w:lineRule="auto"/>
        <w:jc w:val="both"/>
        <w:rPr>
          <w:rFonts w:ascii="Verdana" w:eastAsia="Calibri" w:hAnsi="Verdana" w:cs="Arial"/>
          <w:b/>
        </w:rPr>
      </w:pPr>
    </w:p>
    <w:p w14:paraId="33A7C015" w14:textId="1AAB1CF2" w:rsidR="000273DF" w:rsidRDefault="000273DF" w:rsidP="008113E8">
      <w:pPr>
        <w:spacing w:after="0" w:line="276" w:lineRule="auto"/>
        <w:jc w:val="both"/>
        <w:rPr>
          <w:rFonts w:ascii="Verdana" w:hAnsi="Verdana"/>
        </w:rPr>
      </w:pPr>
      <w:r w:rsidRPr="009752E9">
        <w:rPr>
          <w:rFonts w:ascii="Verdana" w:hAnsi="Verdana"/>
        </w:rPr>
        <w:t>De acuerdo con el contenido de su solicitud, esta Agencia resolverá el siguiente problema jurídico:</w:t>
      </w:r>
      <w:r>
        <w:rPr>
          <w:rFonts w:ascii="Verdana" w:hAnsi="Verdana"/>
        </w:rPr>
        <w:t xml:space="preserve"> ¿</w:t>
      </w:r>
      <w:r w:rsidRPr="006D764E">
        <w:rPr>
          <w:rFonts w:ascii="Verdana" w:hAnsi="Verdana"/>
        </w:rPr>
        <w:t xml:space="preserve">Cuántos días deben transcurrir entre </w:t>
      </w:r>
      <w:r>
        <w:rPr>
          <w:rFonts w:ascii="Verdana" w:hAnsi="Verdana"/>
        </w:rPr>
        <w:t>la celebración de un contrato de prestación de servicios y otro</w:t>
      </w:r>
      <w:r w:rsidRPr="006D764E">
        <w:rPr>
          <w:rFonts w:ascii="Verdana" w:hAnsi="Verdana"/>
        </w:rPr>
        <w:t>?</w:t>
      </w:r>
      <w:r>
        <w:rPr>
          <w:rFonts w:ascii="Verdana" w:hAnsi="Verdana"/>
        </w:rPr>
        <w:t xml:space="preserve"> </w:t>
      </w:r>
    </w:p>
    <w:p w14:paraId="4580AF95" w14:textId="77777777" w:rsidR="000273DF" w:rsidRPr="006A09D6" w:rsidRDefault="000273DF" w:rsidP="00177A85">
      <w:pPr>
        <w:spacing w:after="0" w:line="276" w:lineRule="auto"/>
        <w:rPr>
          <w:rFonts w:ascii="Verdana" w:eastAsia="Calibri" w:hAnsi="Verdana" w:cs="Arial"/>
          <w:lang w:eastAsia="es-ES_tradnl"/>
        </w:rPr>
      </w:pPr>
    </w:p>
    <w:p w14:paraId="74DCCBAE" w14:textId="77777777" w:rsidR="000273DF" w:rsidRPr="006A09D6" w:rsidRDefault="000273DF" w:rsidP="008113E8">
      <w:pPr>
        <w:tabs>
          <w:tab w:val="left" w:pos="142"/>
          <w:tab w:val="left" w:pos="284"/>
        </w:tabs>
        <w:spacing w:after="0" w:line="276" w:lineRule="auto"/>
        <w:jc w:val="both"/>
        <w:rPr>
          <w:rFonts w:ascii="Verdana" w:eastAsia="Century Gothic" w:hAnsi="Verdana" w:cs="Century Gothic"/>
          <w:b/>
          <w:bCs/>
        </w:rPr>
      </w:pPr>
      <w:r w:rsidRPr="006A09D6">
        <w:rPr>
          <w:rFonts w:ascii="Verdana" w:eastAsia="Century Gothic" w:hAnsi="Verdana" w:cs="Century Gothic"/>
          <w:b/>
          <w:bCs/>
        </w:rPr>
        <w:t>2. Respuesta:</w:t>
      </w:r>
    </w:p>
    <w:p w14:paraId="557EC945" w14:textId="77777777" w:rsidR="000273DF" w:rsidRPr="006A09D6" w:rsidRDefault="000273DF" w:rsidP="008113E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73DF" w:rsidRPr="006A09D6" w14:paraId="406C6A6C" w14:textId="77777777" w:rsidTr="000A7F61">
        <w:tc>
          <w:tcPr>
            <w:tcW w:w="8828" w:type="dxa"/>
          </w:tcPr>
          <w:p w14:paraId="7BFC4E07" w14:textId="31822AF6" w:rsidR="000273DF" w:rsidRDefault="000273DF" w:rsidP="000A7F61">
            <w:pPr>
              <w:spacing w:after="120" w:line="276" w:lineRule="auto"/>
              <w:jc w:val="both"/>
              <w:rPr>
                <w:rFonts w:ascii="Verdana" w:hAnsi="Verdana" w:cs="Arial"/>
                <w:bCs/>
                <w:color w:val="000000" w:themeColor="text1"/>
              </w:rPr>
            </w:pPr>
            <w:r>
              <w:rPr>
                <w:rFonts w:ascii="Verdana" w:hAnsi="Verdana" w:cs="Arial"/>
                <w:bCs/>
                <w:color w:val="000000" w:themeColor="text1"/>
              </w:rPr>
              <w:t>L</w:t>
            </w:r>
            <w:r w:rsidRPr="007937A8">
              <w:rPr>
                <w:rFonts w:ascii="Verdana" w:hAnsi="Verdana" w:cs="Arial"/>
                <w:bCs/>
                <w:color w:val="000000" w:themeColor="text1"/>
              </w:rPr>
              <w:t>a aplicación de la no solución de continuidad en el caso de la terminación de un contrato estatal, como es el caso de los contratos de prestación de servicios</w:t>
            </w:r>
            <w:r>
              <w:rPr>
                <w:rFonts w:ascii="Verdana" w:hAnsi="Verdana" w:cs="Arial"/>
                <w:bCs/>
                <w:color w:val="000000" w:themeColor="text1"/>
              </w:rPr>
              <w:t xml:space="preserve"> deber ser analizado </w:t>
            </w:r>
            <w:r w:rsidRPr="00943A3B">
              <w:rPr>
                <w:rFonts w:ascii="Verdana" w:hAnsi="Verdana" w:cs="Arial"/>
                <w:bCs/>
                <w:color w:val="000000" w:themeColor="text1"/>
              </w:rPr>
              <w:t>conforme a la</w:t>
            </w:r>
            <w:r>
              <w:rPr>
                <w:rFonts w:ascii="Verdana" w:hAnsi="Verdana" w:cs="Arial"/>
                <w:bCs/>
                <w:color w:val="000000" w:themeColor="text1"/>
              </w:rPr>
              <w:t>s reglas establecidas</w:t>
            </w:r>
            <w:r w:rsidRPr="00943A3B">
              <w:rPr>
                <w:rFonts w:ascii="Verdana" w:hAnsi="Verdana" w:cs="Arial"/>
                <w:bCs/>
                <w:color w:val="000000" w:themeColor="text1"/>
              </w:rPr>
              <w:t xml:space="preserve"> sentencia unificada del </w:t>
            </w:r>
            <w:r>
              <w:rPr>
                <w:rFonts w:ascii="Verdana" w:hAnsi="Verdana" w:cs="Arial"/>
                <w:bCs/>
                <w:color w:val="000000" w:themeColor="text1"/>
              </w:rPr>
              <w:t>C</w:t>
            </w:r>
            <w:r w:rsidRPr="00943A3B">
              <w:rPr>
                <w:rFonts w:ascii="Verdana" w:hAnsi="Verdana" w:cs="Arial"/>
                <w:bCs/>
                <w:color w:val="000000" w:themeColor="text1"/>
              </w:rPr>
              <w:t xml:space="preserve">onsejo de </w:t>
            </w:r>
            <w:r>
              <w:rPr>
                <w:rFonts w:ascii="Verdana" w:hAnsi="Verdana" w:cs="Arial"/>
                <w:bCs/>
                <w:color w:val="000000" w:themeColor="text1"/>
              </w:rPr>
              <w:t>E</w:t>
            </w:r>
            <w:r w:rsidRPr="00943A3B">
              <w:rPr>
                <w:rFonts w:ascii="Verdana" w:hAnsi="Verdana" w:cs="Arial"/>
                <w:bCs/>
                <w:color w:val="000000" w:themeColor="text1"/>
              </w:rPr>
              <w:t>stado SUJ-025-CE-S2-2021, de 9 de septiembre de 2021</w:t>
            </w:r>
            <w:r>
              <w:rPr>
                <w:rFonts w:ascii="Verdana" w:hAnsi="Verdana" w:cs="Arial"/>
                <w:bCs/>
                <w:color w:val="000000" w:themeColor="text1"/>
              </w:rPr>
              <w:t xml:space="preserve"> en donde se estudió el </w:t>
            </w:r>
            <w:r w:rsidRPr="00943A3B">
              <w:rPr>
                <w:rFonts w:ascii="Verdana" w:hAnsi="Verdana" w:cs="Arial"/>
                <w:bCs/>
                <w:color w:val="000000" w:themeColor="text1"/>
              </w:rPr>
              <w:t>elemento de la continuidad en los contratos de prestación de servicios.</w:t>
            </w:r>
          </w:p>
          <w:p w14:paraId="194A6D50" w14:textId="77777777" w:rsidR="000273DF" w:rsidRDefault="000273DF" w:rsidP="000A7F61">
            <w:pPr>
              <w:shd w:val="clear" w:color="auto" w:fill="FFFFFF"/>
              <w:spacing w:after="120" w:line="276" w:lineRule="auto"/>
              <w:ind w:firstLine="567"/>
              <w:jc w:val="both"/>
              <w:rPr>
                <w:rFonts w:ascii="Verdana" w:hAnsi="Verdana"/>
              </w:rPr>
            </w:pPr>
            <w:r>
              <w:rPr>
                <w:rFonts w:ascii="Verdana" w:hAnsi="Verdana"/>
              </w:rPr>
              <w:t xml:space="preserve">Con arreglo de lo dicho por el Consejo de Estado en la Sentencia de Unificación, el término de los treinta (30) días </w:t>
            </w:r>
            <w:r w:rsidRPr="008A4800">
              <w:rPr>
                <w:rFonts w:ascii="Verdana" w:hAnsi="Verdana"/>
              </w:rPr>
              <w:t>hábiles que deberían pasar entre la fecha de terminación de una vinculación y la fecha de inicio de la siguiente</w:t>
            </w:r>
            <w:r>
              <w:rPr>
                <w:rFonts w:ascii="Verdana" w:hAnsi="Verdana"/>
              </w:rPr>
              <w:t xml:space="preserve"> vinculación, se instituye con el propósito de </w:t>
            </w:r>
            <w:r w:rsidRPr="008A4800">
              <w:rPr>
                <w:rFonts w:ascii="Verdana" w:hAnsi="Verdana"/>
              </w:rPr>
              <w:t xml:space="preserve">que se entienda que hay solución de continuidad </w:t>
            </w:r>
            <w:r>
              <w:rPr>
                <w:rFonts w:ascii="Verdana" w:hAnsi="Verdana"/>
              </w:rPr>
              <w:t xml:space="preserve">y </w:t>
            </w:r>
            <w:r w:rsidRPr="008A4800">
              <w:rPr>
                <w:rFonts w:ascii="Verdana" w:hAnsi="Verdana"/>
              </w:rPr>
              <w:t xml:space="preserve">solo tiene cabida si se evidencia que hay un </w:t>
            </w:r>
            <w:r w:rsidRPr="008A4800">
              <w:rPr>
                <w:rFonts w:ascii="Verdana" w:hAnsi="Verdana"/>
                <w:i/>
                <w:iCs/>
              </w:rPr>
              <w:t>contrato realidad</w:t>
            </w:r>
            <w:r>
              <w:rPr>
                <w:rFonts w:ascii="Verdana" w:hAnsi="Verdana"/>
                <w:i/>
                <w:iCs/>
              </w:rPr>
              <w:t>,</w:t>
            </w:r>
            <w:r w:rsidRPr="008A4800">
              <w:rPr>
                <w:rFonts w:ascii="Verdana" w:hAnsi="Verdana"/>
              </w:rPr>
              <w:t xml:space="preserve"> para contabilizar la prescripción de los derechos laborales y prestacionales aplicables</w:t>
            </w:r>
            <w:r>
              <w:rPr>
                <w:rFonts w:ascii="Verdana" w:hAnsi="Verdana"/>
              </w:rPr>
              <w:t xml:space="preserve">. Por lo tanto, </w:t>
            </w:r>
            <w:r w:rsidRPr="008A4800">
              <w:rPr>
                <w:rFonts w:ascii="Verdana" w:hAnsi="Verdana"/>
              </w:rPr>
              <w:t>los contratos de prestación de servicio</w:t>
            </w:r>
            <w:r>
              <w:rPr>
                <w:rFonts w:ascii="Verdana" w:hAnsi="Verdana"/>
              </w:rPr>
              <w:t>s</w:t>
            </w:r>
            <w:r w:rsidRPr="008A4800">
              <w:rPr>
                <w:rFonts w:ascii="Verdana" w:hAnsi="Verdana"/>
              </w:rPr>
              <w:t xml:space="preserve"> que sí están </w:t>
            </w:r>
            <w:r w:rsidRPr="008A4800">
              <w:rPr>
                <w:rFonts w:ascii="Verdana" w:hAnsi="Verdana"/>
              </w:rPr>
              <w:lastRenderedPageBreak/>
              <w:t xml:space="preserve">sujetos a </w:t>
            </w:r>
            <w:r>
              <w:rPr>
                <w:rFonts w:ascii="Verdana" w:hAnsi="Verdana"/>
              </w:rPr>
              <w:t xml:space="preserve">lo contemplado en el </w:t>
            </w:r>
            <w:r w:rsidRPr="008A4800">
              <w:rPr>
                <w:rFonts w:ascii="Verdana" w:hAnsi="Verdana"/>
              </w:rPr>
              <w:t xml:space="preserve">artículo 32.3 de la Ley 80 de 1993 no </w:t>
            </w:r>
            <w:r>
              <w:rPr>
                <w:rFonts w:ascii="Verdana" w:hAnsi="Verdana"/>
              </w:rPr>
              <w:t>les aplica la imposición de</w:t>
            </w:r>
            <w:r w:rsidRPr="008A4800">
              <w:rPr>
                <w:rFonts w:ascii="Verdana" w:hAnsi="Verdana"/>
              </w:rPr>
              <w:t xml:space="preserve"> ningún límite temporal</w:t>
            </w:r>
            <w:r>
              <w:rPr>
                <w:rFonts w:ascii="Verdana" w:hAnsi="Verdana"/>
              </w:rPr>
              <w:t xml:space="preserve"> para su celebración</w:t>
            </w:r>
            <w:r w:rsidRPr="008A4800">
              <w:rPr>
                <w:rFonts w:ascii="Verdana" w:hAnsi="Verdana"/>
              </w:rPr>
              <w:t>.</w:t>
            </w:r>
          </w:p>
          <w:p w14:paraId="575058D3" w14:textId="77777777" w:rsidR="000273DF" w:rsidRPr="006A09D6" w:rsidRDefault="000273DF" w:rsidP="00177A85">
            <w:pPr>
              <w:spacing w:line="276" w:lineRule="auto"/>
              <w:ind w:firstLine="709"/>
              <w:jc w:val="both"/>
              <w:textAlignment w:val="baseline"/>
              <w:rPr>
                <w:rFonts w:ascii="Verdana" w:eastAsia="Arial MT" w:hAnsi="Verdana" w:cs="Arial"/>
                <w:lang w:eastAsia="es-ES" w:bidi="es-ES"/>
              </w:rPr>
            </w:pPr>
            <w:r w:rsidRPr="00473029">
              <w:rPr>
                <w:rFonts w:ascii="Verdana" w:hAnsi="Verdana" w:cs="Arial"/>
                <w:lang w:val="es-ES" w:eastAsia="es-CO"/>
              </w:rPr>
              <w:t>En este sentido, la Agencia Nacional de Contratación Pública – Colombia Compra Eficiente no es el órgano autorizado para conceptuar sobre las implicaciones de los contratos realidad, tampoco para establecer el alcance de las sentencias de unificación del Consejo de Estado sobre conflictos en temas laborales. En otras palabras, esta entidad no puede establecer directrices al respecto, especialmente porque los lineamientos para evitar la configuración de daños antijurídicos en dicha materia corresponden a una entidad distinta.</w:t>
            </w:r>
          </w:p>
        </w:tc>
      </w:tr>
    </w:tbl>
    <w:p w14:paraId="1A3B8DEC" w14:textId="77777777" w:rsidR="000273DF" w:rsidRPr="006A09D6" w:rsidRDefault="000273DF" w:rsidP="00177A85">
      <w:pPr>
        <w:spacing w:after="0" w:line="276" w:lineRule="auto"/>
        <w:jc w:val="both"/>
        <w:rPr>
          <w:rFonts w:ascii="Verdana" w:eastAsia="Times New Roman" w:hAnsi="Verdana" w:cs="Arial"/>
          <w:lang w:eastAsia="es-ES_tradnl"/>
        </w:rPr>
      </w:pPr>
    </w:p>
    <w:p w14:paraId="79C064A8" w14:textId="77777777" w:rsidR="000273DF" w:rsidRPr="006A09D6" w:rsidRDefault="000273DF" w:rsidP="0018288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6A09D6">
        <w:rPr>
          <w:rFonts w:ascii="Verdana" w:eastAsia="Century Gothic" w:hAnsi="Verdana" w:cs="Century Gothic"/>
          <w:b/>
          <w:bCs/>
        </w:rPr>
        <w:t>3. Razones de la respuesta:</w:t>
      </w:r>
    </w:p>
    <w:p w14:paraId="64E27DA3" w14:textId="77777777" w:rsidR="000273DF" w:rsidRPr="006A09D6" w:rsidRDefault="000273DF" w:rsidP="00182887">
      <w:pPr>
        <w:spacing w:after="0" w:line="276" w:lineRule="auto"/>
        <w:jc w:val="both"/>
        <w:rPr>
          <w:rFonts w:ascii="Verdana" w:eastAsia="Calibri" w:hAnsi="Verdana" w:cs="Arial"/>
          <w:color w:val="7030A0"/>
        </w:rPr>
      </w:pPr>
    </w:p>
    <w:p w14:paraId="5FFAB2C0" w14:textId="77777777" w:rsidR="000273DF" w:rsidRPr="006A09D6" w:rsidRDefault="000273DF" w:rsidP="00182887">
      <w:pPr>
        <w:spacing w:after="0" w:line="276" w:lineRule="auto"/>
        <w:jc w:val="both"/>
        <w:rPr>
          <w:rFonts w:ascii="Verdana" w:eastAsia="Calibri" w:hAnsi="Verdana" w:cs="Arial"/>
        </w:rPr>
      </w:pPr>
      <w:r w:rsidRPr="006A09D6">
        <w:rPr>
          <w:rFonts w:ascii="Verdana" w:eastAsia="Calibri" w:hAnsi="Verdana" w:cs="Arial"/>
        </w:rPr>
        <w:t xml:space="preserve">Lo anterior se sustenta en las siguientes consideraciones: </w:t>
      </w:r>
    </w:p>
    <w:p w14:paraId="2FA8561A" w14:textId="77777777" w:rsidR="000273DF" w:rsidRPr="006A09D6" w:rsidRDefault="000273DF" w:rsidP="00182887">
      <w:pPr>
        <w:spacing w:after="0" w:line="276" w:lineRule="auto"/>
        <w:jc w:val="both"/>
        <w:rPr>
          <w:rFonts w:ascii="Verdana" w:eastAsia="Calibri" w:hAnsi="Verdana" w:cs="Arial"/>
        </w:rPr>
      </w:pPr>
    </w:p>
    <w:p w14:paraId="67FC01EE" w14:textId="1391D7E4" w:rsidR="000273DF" w:rsidRDefault="000273DF" w:rsidP="00182887">
      <w:pPr>
        <w:tabs>
          <w:tab w:val="left" w:pos="0"/>
        </w:tabs>
        <w:spacing w:after="0" w:line="276" w:lineRule="auto"/>
        <w:jc w:val="both"/>
        <w:rPr>
          <w:rFonts w:ascii="Verdana" w:eastAsia="Calibri" w:hAnsi="Verdana" w:cs="Arial"/>
          <w:color w:val="000000" w:themeColor="text1"/>
          <w:lang w:val="es-ES_tradnl"/>
        </w:rPr>
      </w:pPr>
      <w:bookmarkStart w:id="3" w:name="_Hlk185366844"/>
      <w:r>
        <w:rPr>
          <w:rFonts w:ascii="Verdana" w:hAnsi="Verdana" w:cs="Arial"/>
          <w:color w:val="000000" w:themeColor="text1"/>
        </w:rPr>
        <w:t>El</w:t>
      </w:r>
      <w:r w:rsidRPr="00376CD8">
        <w:rPr>
          <w:rFonts w:ascii="Verdana" w:hAnsi="Verdana" w:cs="Arial"/>
          <w:color w:val="000000" w:themeColor="text1"/>
        </w:rPr>
        <w:t xml:space="preserve"> contrato de prestación de servicios es un contrato estatal típico, regulado en el numeral 3 del artículo 32 de la Ley 80 de 1993. Es definido como aquel que </w:t>
      </w:r>
      <w:r>
        <w:rPr>
          <w:rFonts w:ascii="Verdana" w:hAnsi="Verdana" w:cs="Arial"/>
          <w:color w:val="000000" w:themeColor="text1"/>
        </w:rPr>
        <w:t>“</w:t>
      </w:r>
      <w:r w:rsidRPr="00376CD8">
        <w:rPr>
          <w:rFonts w:ascii="Verdana" w:hAnsi="Verdana" w:cs="Arial"/>
          <w:color w:val="000000" w:themeColor="text1"/>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00E73321">
        <w:rPr>
          <w:rFonts w:ascii="Verdana" w:hAnsi="Verdana" w:cs="Arial"/>
          <w:color w:val="000000" w:themeColor="text1"/>
        </w:rPr>
        <w:t>”</w:t>
      </w:r>
      <w:r w:rsidRPr="00376CD8">
        <w:rPr>
          <w:rFonts w:ascii="Verdana" w:hAnsi="Verdana" w:cs="Arial"/>
          <w:color w:val="000000" w:themeColor="text1"/>
        </w:rPr>
        <w:t>.</w:t>
      </w:r>
      <w:r w:rsidRPr="00376CD8">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1F35D523" w14:textId="77777777" w:rsidR="009A6F75" w:rsidRPr="00376CD8" w:rsidRDefault="009A6F75" w:rsidP="00177A85">
      <w:pPr>
        <w:tabs>
          <w:tab w:val="left" w:pos="0"/>
        </w:tabs>
        <w:spacing w:after="0" w:line="276" w:lineRule="auto"/>
        <w:jc w:val="both"/>
        <w:rPr>
          <w:rFonts w:ascii="Verdana" w:eastAsia="Calibri" w:hAnsi="Verdana" w:cs="Arial"/>
          <w:color w:val="000000" w:themeColor="text1"/>
          <w:lang w:val="es-ES_tradnl"/>
        </w:rPr>
      </w:pPr>
    </w:p>
    <w:p w14:paraId="49E2E32C" w14:textId="77777777" w:rsidR="000273DF" w:rsidRPr="00EB30BA" w:rsidRDefault="000273DF" w:rsidP="00177A85">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2031F56A" w14:textId="77777777" w:rsidR="000273DF" w:rsidRPr="00EB30BA" w:rsidRDefault="000273DF" w:rsidP="00177A85">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37A0A299" w14:textId="77777777" w:rsidR="000273DF" w:rsidRPr="00EB30BA" w:rsidRDefault="000273DF" w:rsidP="00177A85">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 xml:space="preserve">4. Contratación directa. La modalidad de selección de contratación </w:t>
      </w:r>
      <w:proofErr w:type="gramStart"/>
      <w:r w:rsidRPr="00EB30BA">
        <w:rPr>
          <w:rFonts w:ascii="Verdana" w:eastAsia="Calibri" w:hAnsi="Verdana" w:cs="Arial"/>
          <w:color w:val="000000" w:themeColor="text1"/>
          <w:sz w:val="20"/>
          <w:szCs w:val="20"/>
        </w:rPr>
        <w:t>directa,</w:t>
      </w:r>
      <w:proofErr w:type="gramEnd"/>
      <w:r w:rsidRPr="00EB30BA">
        <w:rPr>
          <w:rFonts w:ascii="Verdana" w:eastAsia="Calibri" w:hAnsi="Verdana" w:cs="Arial"/>
          <w:color w:val="000000" w:themeColor="text1"/>
          <w:sz w:val="20"/>
          <w:szCs w:val="20"/>
        </w:rPr>
        <w:t xml:space="preserve"> solamente procederá en los siguientes casos:</w:t>
      </w:r>
    </w:p>
    <w:p w14:paraId="288A9F2D" w14:textId="77777777" w:rsidR="000273DF" w:rsidRPr="00EB30BA" w:rsidRDefault="000273DF" w:rsidP="00177A85">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690941C9" w14:textId="77777777" w:rsidR="000273DF" w:rsidRPr="00EB30BA" w:rsidRDefault="000273DF" w:rsidP="00177A85">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32D9DF4" w14:textId="77777777" w:rsidR="000273DF" w:rsidRDefault="000273DF" w:rsidP="00ED277C">
      <w:pPr>
        <w:tabs>
          <w:tab w:val="left" w:pos="0"/>
        </w:tabs>
        <w:spacing w:after="0" w:line="276" w:lineRule="auto"/>
        <w:jc w:val="both"/>
        <w:rPr>
          <w:rFonts w:ascii="Verdana" w:hAnsi="Verdana" w:cs="Arial"/>
          <w:noProof/>
          <w:lang w:val="es-ES_tradnl"/>
        </w:rPr>
      </w:pPr>
      <w:r w:rsidRPr="00376CD8">
        <w:rPr>
          <w:rFonts w:ascii="Verdana" w:hAnsi="Verdana" w:cs="Arial"/>
          <w:noProof/>
          <w:lang w:val="es-ES_tradnl"/>
        </w:rPr>
        <w:tab/>
      </w:r>
    </w:p>
    <w:p w14:paraId="28115CA1" w14:textId="77777777" w:rsidR="000273DF" w:rsidRDefault="000273DF" w:rsidP="00ED277C">
      <w:pPr>
        <w:tabs>
          <w:tab w:val="left" w:pos="0"/>
        </w:tabs>
        <w:spacing w:after="0" w:line="276" w:lineRule="auto"/>
        <w:ind w:firstLine="709"/>
        <w:jc w:val="both"/>
        <w:rPr>
          <w:rFonts w:ascii="Verdana" w:hAnsi="Verdana" w:cs="Arial"/>
          <w:noProof/>
          <w:lang w:val="es-ES_tradnl"/>
        </w:rPr>
      </w:pPr>
      <w:r w:rsidRPr="008677DE">
        <w:rPr>
          <w:rFonts w:ascii="Verdana" w:hAnsi="Verdana" w:cs="Arial"/>
          <w:noProof/>
          <w:lang w:val="es-ES_tradnl"/>
        </w:rPr>
        <w:t xml:space="preserve">En tal sentido, el Decreto 1082 de 2015 en el Artículo 2.2.1.2.1.4.9. reglamenta la contratación directa para los contratos de servicios profesionales y de apoyo a la gestión, o para la ejecución de trabajos artísticos que solo </w:t>
      </w:r>
      <w:r w:rsidRPr="008677DE">
        <w:rPr>
          <w:rFonts w:ascii="Verdana" w:hAnsi="Verdana" w:cs="Arial"/>
          <w:noProof/>
          <w:lang w:val="es-ES_tradnl"/>
        </w:rPr>
        <w:lastRenderedPageBreak/>
        <w:t>puedan encomendarse a determinadas personas naturales, en los siguientes términos:</w:t>
      </w:r>
    </w:p>
    <w:p w14:paraId="64C3921F" w14:textId="77777777" w:rsidR="00ED277C" w:rsidRPr="008677DE" w:rsidRDefault="00ED277C" w:rsidP="00177A85">
      <w:pPr>
        <w:tabs>
          <w:tab w:val="left" w:pos="0"/>
        </w:tabs>
        <w:spacing w:after="0" w:line="276" w:lineRule="auto"/>
        <w:ind w:firstLine="709"/>
        <w:jc w:val="both"/>
        <w:rPr>
          <w:rFonts w:ascii="Verdana" w:hAnsi="Verdana" w:cs="Arial"/>
          <w:noProof/>
          <w:lang w:val="es-ES_tradnl"/>
        </w:rPr>
      </w:pPr>
    </w:p>
    <w:p w14:paraId="3D1B4ECD" w14:textId="77777777" w:rsidR="000273DF" w:rsidRDefault="000273DF" w:rsidP="007501D6">
      <w:pPr>
        <w:spacing w:after="0" w:line="240" w:lineRule="auto"/>
        <w:ind w:left="709" w:right="709"/>
        <w:jc w:val="both"/>
        <w:rPr>
          <w:rFonts w:ascii="Verdana" w:hAnsi="Verdana" w:cs="Arial"/>
          <w:sz w:val="20"/>
          <w:szCs w:val="20"/>
        </w:rPr>
      </w:pPr>
      <w:r w:rsidRPr="00EB30BA">
        <w:rPr>
          <w:rFonts w:ascii="Verdana" w:hAnsi="Verdana" w:cs="Arial"/>
          <w:sz w:val="20"/>
          <w:szCs w:val="20"/>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A1562D8" w14:textId="77777777" w:rsidR="007501D6" w:rsidRPr="00EB30BA" w:rsidRDefault="007501D6" w:rsidP="00177A85">
      <w:pPr>
        <w:spacing w:after="0" w:line="240" w:lineRule="auto"/>
        <w:ind w:left="709" w:right="709"/>
        <w:jc w:val="both"/>
        <w:rPr>
          <w:rFonts w:ascii="Verdana" w:hAnsi="Verdana" w:cs="Arial"/>
          <w:sz w:val="20"/>
          <w:szCs w:val="20"/>
        </w:rPr>
      </w:pPr>
    </w:p>
    <w:p w14:paraId="5BAADECB" w14:textId="77777777" w:rsidR="000273DF" w:rsidRDefault="000273DF" w:rsidP="007501D6">
      <w:pPr>
        <w:spacing w:after="0" w:line="240" w:lineRule="auto"/>
        <w:ind w:left="709" w:right="709"/>
        <w:jc w:val="both"/>
        <w:rPr>
          <w:rFonts w:ascii="Verdana" w:hAnsi="Verdana" w:cs="Arial"/>
          <w:sz w:val="20"/>
          <w:szCs w:val="20"/>
        </w:rPr>
      </w:pPr>
      <w:r w:rsidRPr="00EB30BA">
        <w:rPr>
          <w:rFonts w:ascii="Verdana" w:hAnsi="Verdana" w:cs="Arial"/>
          <w:sz w:val="20"/>
          <w:szCs w:val="20"/>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AFC025E" w14:textId="77777777" w:rsidR="007501D6" w:rsidRPr="00EB30BA" w:rsidRDefault="007501D6" w:rsidP="00177A85">
      <w:pPr>
        <w:spacing w:after="0" w:line="240" w:lineRule="auto"/>
        <w:ind w:left="709" w:right="709"/>
        <w:jc w:val="both"/>
        <w:rPr>
          <w:rFonts w:ascii="Verdana" w:hAnsi="Verdana" w:cs="Arial"/>
          <w:sz w:val="20"/>
          <w:szCs w:val="20"/>
        </w:rPr>
      </w:pPr>
    </w:p>
    <w:p w14:paraId="45320729" w14:textId="77777777" w:rsidR="000273DF" w:rsidRDefault="000273DF" w:rsidP="007501D6">
      <w:pPr>
        <w:spacing w:after="0" w:line="240" w:lineRule="auto"/>
        <w:ind w:left="709" w:right="709"/>
        <w:jc w:val="both"/>
        <w:rPr>
          <w:rFonts w:ascii="Verdana" w:hAnsi="Verdana" w:cs="Arial"/>
          <w:sz w:val="20"/>
          <w:szCs w:val="20"/>
        </w:rPr>
      </w:pPr>
      <w:r w:rsidRPr="00EB30BA">
        <w:rPr>
          <w:rFonts w:ascii="Verdana" w:hAnsi="Verdana" w:cs="Arial"/>
          <w:sz w:val="20"/>
          <w:szCs w:val="20"/>
        </w:rPr>
        <w:t>La Entidad Estatal, para la contratación de trabajos artísticos que solamente puedan en</w:t>
      </w:r>
      <w:r w:rsidRPr="00EB30BA">
        <w:rPr>
          <w:rFonts w:ascii="Verdana" w:hAnsi="Verdana" w:cs="Arial"/>
          <w:sz w:val="20"/>
          <w:szCs w:val="20"/>
        </w:rPr>
        <w:softHyphen/>
        <w:t>comendarse a determinadas personas naturales, debe justificar esta situación en los estudios y documentos previos”.</w:t>
      </w:r>
    </w:p>
    <w:p w14:paraId="0CC76CC1" w14:textId="77777777" w:rsidR="007501D6" w:rsidRPr="00177A85" w:rsidRDefault="007501D6" w:rsidP="00177A85">
      <w:pPr>
        <w:spacing w:after="0" w:line="276" w:lineRule="auto"/>
        <w:ind w:left="709" w:right="709"/>
        <w:jc w:val="both"/>
        <w:rPr>
          <w:rFonts w:ascii="Verdana" w:hAnsi="Verdana" w:cs="Arial"/>
        </w:rPr>
      </w:pPr>
    </w:p>
    <w:p w14:paraId="2B497B93" w14:textId="77777777" w:rsidR="000273DF" w:rsidRPr="008677DE" w:rsidRDefault="000273DF" w:rsidP="00177A85">
      <w:pPr>
        <w:tabs>
          <w:tab w:val="left" w:pos="0"/>
        </w:tabs>
        <w:spacing w:after="120" w:line="276" w:lineRule="auto"/>
        <w:jc w:val="both"/>
        <w:rPr>
          <w:rFonts w:ascii="Verdana" w:hAnsi="Verdana" w:cs="Arial"/>
          <w:color w:val="000000" w:themeColor="text1"/>
          <w:lang w:val="es-ES_tradnl"/>
        </w:rPr>
      </w:pPr>
      <w:r w:rsidRPr="008677DE">
        <w:rPr>
          <w:rFonts w:ascii="Verdana" w:hAnsi="Verdana" w:cs="Arial"/>
          <w:color w:val="000000" w:themeColor="text1"/>
          <w:lang w:val="es-ES_tradnl"/>
        </w:rPr>
        <w:tab/>
        <w:t>A partir de las disposiciones citadas, así como de la Sentencia de Unificación de Jurisprudencial del 9 de septiembre de 2021, proferida por el Consejo de Estado</w:t>
      </w:r>
      <w:r w:rsidRPr="008677DE">
        <w:rPr>
          <w:rStyle w:val="Refdenotaalpie"/>
          <w:rFonts w:ascii="Verdana" w:hAnsi="Verdana" w:cs="Arial"/>
          <w:bCs/>
          <w:lang w:val="es-ES"/>
        </w:rPr>
        <w:footnoteReference w:id="1"/>
      </w:r>
      <w:r w:rsidRPr="008677DE">
        <w:rPr>
          <w:rFonts w:ascii="Verdana" w:hAnsi="Verdana" w:cs="Arial"/>
          <w:color w:val="000000" w:themeColor="text1"/>
          <w:lang w:val="es-ES_tradnl"/>
        </w:rPr>
        <w:t>, es posible señalar las siguientes características del contrato de prestación de servicios</w:t>
      </w:r>
      <w:r w:rsidRPr="008677DE">
        <w:rPr>
          <w:rFonts w:ascii="Verdana" w:hAnsi="Verdana" w:cs="Arial"/>
          <w:noProof/>
          <w:lang w:val="es-ES_tradnl"/>
        </w:rPr>
        <w:t>:</w:t>
      </w:r>
    </w:p>
    <w:p w14:paraId="3D167B69" w14:textId="6560B3B3"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 Solo puede celebrarse para realizar </w:t>
      </w:r>
      <w:r w:rsidR="00E55466">
        <w:rPr>
          <w:rFonts w:ascii="Verdana" w:hAnsi="Verdana" w:cs="Arial"/>
          <w:noProof/>
          <w:lang w:val="es-ES_tradnl"/>
        </w:rPr>
        <w:t>“</w:t>
      </w:r>
      <w:r w:rsidRPr="008677DE">
        <w:rPr>
          <w:rFonts w:ascii="Verdana" w:hAnsi="Verdana" w:cs="Arial"/>
          <w:noProof/>
          <w:lang w:val="es-ES_tradnl"/>
        </w:rPr>
        <w:t>actividades relacionadas con la administración o funcionamiento de la entidad</w:t>
      </w:r>
      <w:r w:rsidR="00E55466">
        <w:rPr>
          <w:rFonts w:ascii="Verdana" w:hAnsi="Verdana" w:cs="Arial"/>
          <w:noProof/>
          <w:lang w:val="es-ES_tradnl"/>
        </w:rPr>
        <w:t>”</w:t>
      </w:r>
      <w:r w:rsidRPr="008677DE">
        <w:rPr>
          <w:rFonts w:ascii="Verdana" w:hAnsi="Verdana" w:cs="Arial"/>
          <w:noProof/>
          <w:lang w:val="es-ES_tradnl"/>
        </w:rPr>
        <w:t>, es decir, que hagan parte de su giro ordinario o quehacer cotidiano</w:t>
      </w:r>
      <w:r w:rsidRPr="008677DE">
        <w:rPr>
          <w:rStyle w:val="Refdenotaalpie"/>
          <w:rFonts w:ascii="Verdana" w:hAnsi="Verdana" w:cs="Arial"/>
          <w:noProof/>
          <w:lang w:val="es-ES_tradnl"/>
        </w:rPr>
        <w:footnoteReference w:id="2"/>
      </w:r>
      <w:r w:rsidRPr="008677DE">
        <w:rPr>
          <w:rFonts w:ascii="Verdana" w:hAnsi="Verdana" w:cs="Arial"/>
          <w:noProof/>
          <w:lang w:val="es-ES_tradnl"/>
        </w:rPr>
        <w:t>.</w:t>
      </w:r>
    </w:p>
    <w:p w14:paraId="22895026" w14:textId="6A01917A"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w:t>
      </w:r>
      <w:r w:rsidR="00C538D3">
        <w:rPr>
          <w:rFonts w:ascii="Verdana" w:hAnsi="Verdana" w:cs="Arial"/>
          <w:noProof/>
          <w:lang w:val="es-ES_tradnl"/>
        </w:rPr>
        <w:t>“</w:t>
      </w:r>
      <w:r w:rsidRPr="008677DE">
        <w:rPr>
          <w:rFonts w:ascii="Verdana" w:hAnsi="Verdana" w:cs="Arial"/>
          <w:noProof/>
          <w:lang w:val="es-ES_tradnl"/>
        </w:rPr>
        <w:t>no puedan realizarse con personal de planta o requieran conocimientos especializados</w:t>
      </w:r>
      <w:r w:rsidR="00C538D3">
        <w:rPr>
          <w:rFonts w:ascii="Verdana" w:hAnsi="Verdana" w:cs="Arial"/>
          <w:noProof/>
          <w:lang w:val="es-ES_tradnl"/>
        </w:rPr>
        <w:t>”</w:t>
      </w:r>
      <w:r w:rsidRPr="008677DE">
        <w:rPr>
          <w:rFonts w:ascii="Verdana" w:hAnsi="Verdana" w:cs="Arial"/>
          <w:noProof/>
          <w:lang w:val="es-ES_tradnl"/>
        </w:rPr>
        <w:t xml:space="preserve">. Esto sucede en varios eventos, por ejemplo, cuando no exista personal de planta para ejecutar las labores; o existiendo, está sobrecargado de trabajo, necesitando apoyo externo; o habiendo personal de planta, carece de la experticia o conocimiento especializado, razón por la cual es </w:t>
      </w:r>
      <w:r w:rsidRPr="008677DE">
        <w:rPr>
          <w:rFonts w:ascii="Verdana" w:hAnsi="Verdana" w:cs="Arial"/>
          <w:noProof/>
          <w:lang w:val="es-ES_tradnl"/>
        </w:rPr>
        <w:lastRenderedPageBreak/>
        <w:t>necesario contratar los servicios de una persona natural que tenga el conocimiento y la experiencia en el tema.</w:t>
      </w:r>
    </w:p>
    <w:p w14:paraId="5A24C967" w14:textId="77777777" w:rsidR="00E55466" w:rsidRDefault="000273DF" w:rsidP="00341224">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3"/>
      </w:r>
      <w:r w:rsidRPr="008677DE">
        <w:rPr>
          <w:rFonts w:ascii="Verdana" w:hAnsi="Verdana" w:cs="Arial"/>
          <w:noProof/>
          <w:lang w:val="es-ES_tradnl"/>
        </w:rPr>
        <w:t xml:space="preserve">. </w:t>
      </w:r>
    </w:p>
    <w:p w14:paraId="08D495F4" w14:textId="271A0D71"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Por eso, el artículo 32, numeral 3º, de la Ley 80 de 1993 establece que </w:t>
      </w:r>
      <w:r w:rsidR="00E55466">
        <w:rPr>
          <w:rFonts w:ascii="Verdana" w:hAnsi="Verdana" w:cs="Arial"/>
          <w:noProof/>
          <w:lang w:val="es-ES_tradnl"/>
        </w:rPr>
        <w:t>“</w:t>
      </w:r>
      <w:r w:rsidRPr="008677DE">
        <w:rPr>
          <w:rFonts w:ascii="Verdana" w:hAnsi="Verdana" w:cs="Arial"/>
          <w:noProof/>
          <w:lang w:val="es-ES_tradnl"/>
        </w:rPr>
        <w:t>En ningún caso estos contratos generan relación laboral ni prestaciones sociales</w:t>
      </w:r>
      <w:r w:rsidR="00E55466">
        <w:rPr>
          <w:rFonts w:ascii="Verdana" w:hAnsi="Verdana" w:cs="Arial"/>
          <w:noProof/>
          <w:lang w:val="es-ES_tradnl"/>
        </w:rPr>
        <w:t>”</w:t>
      </w:r>
      <w:r w:rsidRPr="008677DE">
        <w:rPr>
          <w:rFonts w:ascii="Verdana" w:hAnsi="Verdana" w:cs="Arial"/>
          <w:noProof/>
          <w:lang w:val="es-ES_tradnl"/>
        </w:rPr>
        <w:t xml:space="preserve">. Este inciso, más que un enunciado que aluda al </w:t>
      </w:r>
      <w:r w:rsidR="00E55466">
        <w:rPr>
          <w:rFonts w:ascii="Verdana" w:hAnsi="Verdana" w:cs="Arial"/>
          <w:noProof/>
          <w:lang w:val="es-ES_tradnl"/>
        </w:rPr>
        <w:t>“</w:t>
      </w:r>
      <w:r w:rsidRPr="008677DE">
        <w:rPr>
          <w:rFonts w:ascii="Verdana" w:hAnsi="Verdana" w:cs="Arial"/>
          <w:noProof/>
          <w:lang w:val="es-ES_tradnl"/>
        </w:rPr>
        <w:t>ser</w:t>
      </w:r>
      <w:r w:rsidR="00E55466">
        <w:rPr>
          <w:rFonts w:ascii="Verdana" w:hAnsi="Verdana" w:cs="Arial"/>
          <w:noProof/>
          <w:lang w:val="es-ES_tradnl"/>
        </w:rPr>
        <w:t>”</w:t>
      </w:r>
      <w:r w:rsidRPr="008677DE">
        <w:rPr>
          <w:rFonts w:ascii="Verdana" w:hAnsi="Verdana" w:cs="Arial"/>
          <w:noProof/>
          <w:lang w:val="es-ES_tradnl"/>
        </w:rPr>
        <w:t xml:space="preserve">, se refiere al </w:t>
      </w:r>
      <w:r w:rsidR="00E55466">
        <w:rPr>
          <w:rFonts w:ascii="Verdana" w:hAnsi="Verdana" w:cs="Arial"/>
          <w:noProof/>
          <w:lang w:val="es-ES_tradnl"/>
        </w:rPr>
        <w:t>“</w:t>
      </w:r>
      <w:r w:rsidRPr="008677DE">
        <w:rPr>
          <w:rFonts w:ascii="Verdana" w:hAnsi="Verdana" w:cs="Arial"/>
          <w:noProof/>
          <w:lang w:val="es-ES_tradnl"/>
        </w:rPr>
        <w:t>deber ser</w:t>
      </w:r>
      <w:r w:rsidR="00E55466">
        <w:rPr>
          <w:rFonts w:ascii="Verdana" w:hAnsi="Verdana" w:cs="Arial"/>
          <w:noProof/>
          <w:lang w:val="es-ES_tradnl"/>
        </w:rPr>
        <w:t>”</w:t>
      </w:r>
      <w:r w:rsidRPr="008677DE">
        <w:rPr>
          <w:rFonts w:ascii="Verdana" w:hAnsi="Verdana" w:cs="Arial"/>
          <w:noProof/>
          <w:lang w:val="es-ES_tradnl"/>
        </w:rPr>
        <w:t xml:space="preserve">, pues debe interpretarse en el sentido de que los contratos de prestación de servicios profesionales </w:t>
      </w:r>
      <w:r w:rsidRPr="008677DE">
        <w:rPr>
          <w:rFonts w:ascii="Verdana" w:hAnsi="Verdana" w:cs="Arial"/>
          <w:i/>
          <w:noProof/>
          <w:lang w:val="es-ES_tradnl"/>
        </w:rPr>
        <w:t>no pueden</w:t>
      </w:r>
      <w:r w:rsidRPr="008677DE">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w:t>
      </w:r>
      <w:r w:rsidR="00E55466">
        <w:rPr>
          <w:rFonts w:ascii="Verdana" w:hAnsi="Verdana" w:cs="Arial"/>
          <w:noProof/>
          <w:lang w:val="es-ES_tradnl"/>
        </w:rPr>
        <w:t>“</w:t>
      </w:r>
      <w:r w:rsidRPr="008677DE">
        <w:rPr>
          <w:rFonts w:ascii="Verdana" w:hAnsi="Verdana" w:cs="Arial"/>
          <w:noProof/>
          <w:lang w:val="es-ES_tradnl"/>
        </w:rPr>
        <w:t>trabajador independiente</w:t>
      </w:r>
      <w:r w:rsidR="00E55466">
        <w:rPr>
          <w:rFonts w:ascii="Verdana" w:hAnsi="Verdana" w:cs="Arial"/>
          <w:noProof/>
          <w:lang w:val="es-ES_tradnl"/>
        </w:rPr>
        <w:t>”</w:t>
      </w:r>
      <w:r w:rsidRPr="008677DE">
        <w:rPr>
          <w:rFonts w:ascii="Verdana" w:hAnsi="Verdana" w:cs="Arial"/>
          <w:noProof/>
          <w:lang w:val="es-ES_tradnl"/>
        </w:rPr>
        <w:t xml:space="preserve"> –como lo califican las normas de la seguridad social– debe cotizar por su cuenta y riesgo al Sistema de Seguridad Social Integral</w:t>
      </w:r>
      <w:r w:rsidRPr="008677DE">
        <w:rPr>
          <w:rStyle w:val="Refdenotaalpie"/>
          <w:rFonts w:ascii="Verdana" w:hAnsi="Verdana" w:cs="Arial"/>
          <w:noProof/>
          <w:lang w:val="es-ES_tradnl"/>
        </w:rPr>
        <w:footnoteReference w:id="4"/>
      </w:r>
      <w:r w:rsidRPr="008677DE">
        <w:rPr>
          <w:rFonts w:ascii="Verdana" w:hAnsi="Verdana" w:cs="Arial"/>
          <w:noProof/>
          <w:lang w:val="es-ES_tradnl"/>
        </w:rPr>
        <w:t xml:space="preserve">. </w:t>
      </w:r>
    </w:p>
    <w:p w14:paraId="5E896471" w14:textId="77777777" w:rsidR="000273DF"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A pesar de este mandato deontológico, es posible que en la práctica se configure una relación laboral, pues el contrato de trabajo es </w:t>
      </w:r>
      <w:r w:rsidRPr="008677DE">
        <w:rPr>
          <w:rFonts w:ascii="Verdana" w:hAnsi="Verdana" w:cs="Arial"/>
          <w:i/>
          <w:iCs/>
          <w:noProof/>
          <w:lang w:val="es-ES_tradnl"/>
        </w:rPr>
        <w:t xml:space="preserve">de </w:t>
      </w:r>
      <w:r w:rsidRPr="008677DE">
        <w:rPr>
          <w:rFonts w:ascii="Verdana" w:hAnsi="Verdana" w:cs="Arial"/>
          <w:i/>
          <w:noProof/>
          <w:lang w:val="es-ES_tradnl"/>
        </w:rPr>
        <w:t>realidad</w:t>
      </w:r>
      <w:r w:rsidRPr="008677DE">
        <w:rPr>
          <w:rFonts w:ascii="Verdana" w:hAnsi="Verdana" w:cs="Arial"/>
          <w:noProof/>
          <w:lang w:val="es-ES_tradnl"/>
        </w:rPr>
        <w:t xml:space="preserve">, y para perfeccionarlo rige el principio de prevalencia de la realidad sobre las formalidades. En el sentido anterior, la Corte Constitucional declaró la </w:t>
      </w:r>
      <w:r w:rsidRPr="008677DE">
        <w:rPr>
          <w:rFonts w:ascii="Verdana" w:hAnsi="Verdana" w:cs="Arial"/>
          <w:noProof/>
          <w:lang w:val="es-ES_tradnl"/>
        </w:rPr>
        <w:lastRenderedPageBreak/>
        <w:t xml:space="preserve">exequibilidad condicionada del segundo inciso del numeral 3º del artículo 32, indicando que </w:t>
      </w:r>
      <w:r>
        <w:rPr>
          <w:rFonts w:ascii="Verdana" w:hAnsi="Verdana" w:cs="Arial"/>
          <w:noProof/>
          <w:lang w:val="es-ES_tradnl"/>
        </w:rPr>
        <w:t>“</w:t>
      </w:r>
      <w:r w:rsidRPr="008677DE">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8677DE">
        <w:rPr>
          <w:rStyle w:val="Refdenotaalpie"/>
          <w:rFonts w:ascii="Verdana" w:hAnsi="Verdana" w:cs="Arial"/>
          <w:noProof/>
          <w:lang w:val="es-ES_tradnl"/>
        </w:rPr>
        <w:footnoteReference w:id="5"/>
      </w:r>
      <w:r w:rsidRPr="008677DE">
        <w:rPr>
          <w:rFonts w:ascii="Verdana" w:hAnsi="Verdana" w:cs="Arial"/>
          <w:noProof/>
          <w:lang w:val="es-ES_tradnl"/>
        </w:rPr>
        <w:t xml:space="preserve">. </w:t>
      </w:r>
    </w:p>
    <w:p w14:paraId="57DF22BC" w14:textId="77777777"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Por su parte, el Consejo de Estado en sentencia de unificación jurisprudencial del 9 de septiembre de 2021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26445E6A" w14:textId="025C1DE7" w:rsidR="000273DF" w:rsidRDefault="000273DF" w:rsidP="00366396">
      <w:pPr>
        <w:spacing w:before="120" w:after="0" w:line="276" w:lineRule="auto"/>
        <w:ind w:firstLine="709"/>
        <w:jc w:val="both"/>
        <w:rPr>
          <w:rFonts w:ascii="Verdana" w:hAnsi="Verdana" w:cs="Arial"/>
          <w:noProof/>
          <w:sz w:val="20"/>
          <w:szCs w:val="20"/>
          <w:lang w:val="es-ES_tradnl"/>
        </w:rPr>
      </w:pPr>
      <w:r w:rsidRPr="008677DE">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sidR="00366396">
        <w:rPr>
          <w:rFonts w:ascii="Verdana" w:hAnsi="Verdana" w:cs="Arial"/>
          <w:noProof/>
          <w:lang w:val="es-ES_tradnl"/>
        </w:rPr>
        <w:t>“</w:t>
      </w:r>
      <w:r w:rsidRPr="008677DE">
        <w:rPr>
          <w:rFonts w:ascii="Verdana" w:hAnsi="Verdana" w:cs="Arial"/>
          <w:noProof/>
          <w:lang w:val="es-ES_tradnl"/>
        </w:rPr>
        <w:t xml:space="preserve">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w:t>
      </w:r>
      <w:r w:rsidRPr="008677DE">
        <w:rPr>
          <w:rFonts w:ascii="Verdana" w:hAnsi="Verdana" w:cs="Arial"/>
          <w:noProof/>
          <w:lang w:val="es-ES_tradnl"/>
        </w:rPr>
        <w:lastRenderedPageBreak/>
        <w:t>que puedan acordarse para garantizar su cumplimiento</w:t>
      </w:r>
      <w:r w:rsidR="00366396">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De igual manera, señaló que </w:t>
      </w:r>
      <w:r>
        <w:rPr>
          <w:rFonts w:ascii="Verdana" w:hAnsi="Verdana" w:cs="Arial"/>
        </w:rPr>
        <w:t>“</w:t>
      </w:r>
      <w:r w:rsidRPr="008677DE">
        <w:rPr>
          <w:rFonts w:ascii="Verdana" w:hAnsi="Verdana" w:cs="Arial"/>
        </w:rPr>
        <w:t>no cabe su empleo para la cobertura indefinida de necesidades permanentes o recurrentes</w:t>
      </w:r>
      <w:r>
        <w:rPr>
          <w:rFonts w:ascii="Verdana" w:hAnsi="Verdana" w:cs="Arial"/>
        </w:rPr>
        <w:t>”</w:t>
      </w:r>
      <w:r w:rsidRPr="008677DE">
        <w:rPr>
          <w:rFonts w:ascii="Verdana" w:hAnsi="Verdana" w:cs="Arial"/>
        </w:rPr>
        <w:t xml:space="preserve">. </w:t>
      </w:r>
      <w:r w:rsidRPr="008677DE">
        <w:rPr>
          <w:rFonts w:ascii="Verdana" w:hAnsi="Verdana" w:cs="Arial"/>
          <w:noProof/>
          <w:lang w:val="es-ES_tradnl"/>
        </w:rPr>
        <w:t xml:space="preserve">En sentido similar se manifestó la Corte </w:t>
      </w:r>
      <w:r w:rsidRPr="00EB30BA">
        <w:rPr>
          <w:rFonts w:ascii="Verdana" w:hAnsi="Verdana" w:cs="Arial"/>
          <w:noProof/>
          <w:sz w:val="20"/>
          <w:szCs w:val="20"/>
          <w:lang w:val="es-ES_tradnl"/>
        </w:rPr>
        <w:t>Constitucional en la Sentencia C-154 de 1997, expresando que:</w:t>
      </w:r>
    </w:p>
    <w:p w14:paraId="5AF55E34" w14:textId="77777777" w:rsidR="00366396" w:rsidRPr="00EB30BA" w:rsidRDefault="00366396" w:rsidP="00177A85">
      <w:pPr>
        <w:spacing w:after="0" w:line="276" w:lineRule="auto"/>
        <w:ind w:firstLine="709"/>
        <w:jc w:val="both"/>
        <w:rPr>
          <w:rFonts w:ascii="Verdana" w:hAnsi="Verdana" w:cs="Arial"/>
          <w:noProof/>
          <w:sz w:val="20"/>
          <w:szCs w:val="20"/>
          <w:lang w:val="es-ES_tradnl"/>
        </w:rPr>
      </w:pPr>
    </w:p>
    <w:p w14:paraId="27E6D35D" w14:textId="77777777" w:rsidR="000273DF" w:rsidRDefault="000273DF" w:rsidP="00366396">
      <w:pPr>
        <w:spacing w:after="0" w:line="240" w:lineRule="auto"/>
        <w:ind w:left="709" w:right="709"/>
        <w:jc w:val="both"/>
        <w:rPr>
          <w:rFonts w:ascii="Verdana" w:hAnsi="Verdana" w:cs="Arial"/>
          <w:noProof/>
          <w:sz w:val="20"/>
          <w:szCs w:val="20"/>
          <w:lang w:val="es-ES_tradnl"/>
        </w:rPr>
      </w:pPr>
      <w:r w:rsidRPr="00EB30BA">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B30BA">
        <w:rPr>
          <w:rStyle w:val="Refdenotaalpie"/>
          <w:rFonts w:ascii="Verdana" w:hAnsi="Verdana" w:cs="Arial"/>
          <w:noProof/>
          <w:sz w:val="20"/>
          <w:szCs w:val="20"/>
          <w:lang w:val="es-ES_tradnl"/>
        </w:rPr>
        <w:footnoteReference w:id="8"/>
      </w:r>
      <w:r w:rsidRPr="00EB30BA">
        <w:rPr>
          <w:rFonts w:ascii="Verdana" w:hAnsi="Verdana" w:cs="Arial"/>
          <w:noProof/>
          <w:sz w:val="20"/>
          <w:szCs w:val="20"/>
          <w:lang w:val="es-ES_tradnl"/>
        </w:rPr>
        <w:t>.</w:t>
      </w:r>
    </w:p>
    <w:p w14:paraId="10CB0817" w14:textId="77777777" w:rsidR="00366396" w:rsidRPr="00EB30BA" w:rsidRDefault="00366396" w:rsidP="00177A85">
      <w:pPr>
        <w:spacing w:after="0" w:line="276" w:lineRule="auto"/>
        <w:ind w:left="709" w:right="709"/>
        <w:jc w:val="both"/>
        <w:rPr>
          <w:rFonts w:ascii="Verdana" w:hAnsi="Verdana" w:cs="Arial"/>
          <w:noProof/>
          <w:sz w:val="20"/>
          <w:szCs w:val="20"/>
          <w:lang w:val="es-ES_tradnl"/>
        </w:rPr>
      </w:pPr>
    </w:p>
    <w:p w14:paraId="7FDB94C5" w14:textId="77777777" w:rsidR="00AF085A" w:rsidRDefault="000273DF" w:rsidP="00BF7BAB">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8677DE">
        <w:rPr>
          <w:rStyle w:val="Refdenotaalpie"/>
          <w:rFonts w:ascii="Verdana" w:hAnsi="Verdana" w:cs="Arial"/>
          <w:noProof/>
          <w:lang w:val="es-ES_tradnl"/>
        </w:rPr>
        <w:footnoteReference w:id="9"/>
      </w:r>
      <w:r w:rsidRPr="008677DE">
        <w:rPr>
          <w:rFonts w:ascii="Verdana" w:hAnsi="Verdana" w:cs="Arial"/>
          <w:noProof/>
          <w:lang w:val="es-ES_tradnl"/>
        </w:rPr>
        <w:t xml:space="preserve">. </w:t>
      </w:r>
    </w:p>
    <w:p w14:paraId="5D475BDE" w14:textId="0BE8DFBA" w:rsidR="000273DF" w:rsidRPr="008677DE" w:rsidRDefault="000273DF" w:rsidP="00BF7BAB">
      <w:pPr>
        <w:spacing w:after="120" w:line="276" w:lineRule="auto"/>
        <w:ind w:firstLine="709"/>
        <w:jc w:val="both"/>
        <w:rPr>
          <w:rFonts w:ascii="Verdana" w:hAnsi="Verdana" w:cs="Arial"/>
          <w:noProof/>
          <w:lang w:val="es-ES_tradnl"/>
        </w:rPr>
      </w:pPr>
      <w:r w:rsidRPr="008677DE">
        <w:rPr>
          <w:rFonts w:ascii="Verdana" w:hAnsi="Verdana" w:cs="Arial"/>
          <w:noProof/>
          <w:lang w:val="es-ES_tradnl"/>
        </w:rPr>
        <w:t>Esto también se deriva d</w:t>
      </w:r>
      <w:r w:rsidRPr="008677DE">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8677DE">
        <w:rPr>
          <w:rFonts w:ascii="Verdana" w:hAnsi="Verdana" w:cs="Arial"/>
          <w:noProof/>
          <w:lang w:val="es-ES_tradnl"/>
        </w:rPr>
        <w:t xml:space="preserve">Debe aclararse que no debe suscribirse un contrato de prestación de servicios profesionales para ejecutar actividades que se enmarcan en los otros contratos </w:t>
      </w:r>
      <w:r w:rsidRPr="008677DE">
        <w:rPr>
          <w:rFonts w:ascii="Verdana" w:hAnsi="Verdana" w:cs="Arial"/>
          <w:noProof/>
          <w:lang w:val="es-ES_tradnl"/>
        </w:rPr>
        <w:lastRenderedPageBreak/>
        <w:t>tipificados en el artículo 32 de la Ley 80 de 1993, como, por ejemplo, la construcción de una obra.</w:t>
      </w:r>
    </w:p>
    <w:p w14:paraId="159C3F9F" w14:textId="77777777" w:rsidR="000273DF" w:rsidRPr="008677DE" w:rsidRDefault="000273DF" w:rsidP="00BF7BAB">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vi) Para su celebración no se requiere expedir un acto administrativo de justificación de la contratación directa</w:t>
      </w:r>
      <w:r w:rsidRPr="008677DE">
        <w:rPr>
          <w:rStyle w:val="Refdenotaalpie"/>
          <w:rFonts w:ascii="Verdana" w:hAnsi="Verdana" w:cs="Arial"/>
          <w:noProof/>
          <w:lang w:val="es-ES_tradnl"/>
        </w:rPr>
        <w:footnoteReference w:id="10"/>
      </w:r>
      <w:r w:rsidRPr="008677DE">
        <w:rPr>
          <w:rFonts w:ascii="Verdana" w:hAnsi="Verdana" w:cs="Arial"/>
          <w:noProof/>
          <w:lang w:val="es-ES_tradnl"/>
        </w:rPr>
        <w:t>.</w:t>
      </w:r>
    </w:p>
    <w:p w14:paraId="264186C9" w14:textId="77777777"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677DE">
        <w:rPr>
          <w:rStyle w:val="Refdenotaalpie"/>
          <w:rFonts w:ascii="Verdana" w:hAnsi="Verdana" w:cs="Arial"/>
          <w:noProof/>
          <w:lang w:val="es-ES_tradnl"/>
        </w:rPr>
        <w:footnoteReference w:id="11"/>
      </w:r>
      <w:r w:rsidRPr="008677DE">
        <w:rPr>
          <w:rFonts w:ascii="Verdana" w:hAnsi="Verdana" w:cs="Arial"/>
          <w:noProof/>
          <w:lang w:val="es-ES_tradnl"/>
        </w:rPr>
        <w:t>.</w:t>
      </w:r>
    </w:p>
    <w:p w14:paraId="3ADCA68F" w14:textId="77777777"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viii) No es obligatoria la liquidación de estos contratos, como lo establece el artículo 217 del Decreto 019 de 2012, que modificó el artículo 60 de la Ley 80 de 1993</w:t>
      </w:r>
      <w:r w:rsidRPr="008677DE">
        <w:rPr>
          <w:rStyle w:val="Refdenotaalpie"/>
          <w:rFonts w:ascii="Verdana" w:hAnsi="Verdana" w:cs="Arial"/>
          <w:noProof/>
          <w:lang w:val="es-ES_tradnl"/>
        </w:rPr>
        <w:footnoteReference w:id="12"/>
      </w:r>
      <w:r w:rsidRPr="008677DE">
        <w:rPr>
          <w:rFonts w:ascii="Verdana" w:hAnsi="Verdana" w:cs="Arial"/>
          <w:noProof/>
          <w:lang w:val="es-ES_tradnl"/>
        </w:rPr>
        <w:t>.</w:t>
      </w:r>
    </w:p>
    <w:p w14:paraId="3DEE981D" w14:textId="77777777" w:rsidR="000273DF" w:rsidRPr="008677DE" w:rsidRDefault="000273DF" w:rsidP="00177A85">
      <w:pPr>
        <w:spacing w:after="120" w:line="276" w:lineRule="auto"/>
        <w:ind w:firstLine="709"/>
        <w:jc w:val="both"/>
        <w:rPr>
          <w:rFonts w:ascii="Verdana" w:hAnsi="Verdana" w:cs="Arial"/>
          <w:noProof/>
          <w:lang w:val="es-ES_tradnl"/>
        </w:rPr>
      </w:pPr>
      <w:r w:rsidRPr="008677DE">
        <w:rPr>
          <w:rFonts w:ascii="Verdana" w:hAnsi="Verdana" w:cs="Arial"/>
          <w:noProof/>
          <w:lang w:val="es-ES_tradnl"/>
        </w:rPr>
        <w:t>ix) Para su celebración el contratista no requiere estar inscrito en el Registro Único de Proponentes –RUP–, como lo señala el artículo 6 de la Ley 1150 de 2007</w:t>
      </w:r>
      <w:r w:rsidRPr="008677DE">
        <w:rPr>
          <w:rStyle w:val="Refdenotaalpie"/>
          <w:rFonts w:ascii="Verdana" w:hAnsi="Verdana" w:cs="Arial"/>
          <w:noProof/>
          <w:lang w:val="es-ES_tradnl"/>
        </w:rPr>
        <w:footnoteReference w:id="13"/>
      </w:r>
      <w:r w:rsidRPr="008677DE">
        <w:rPr>
          <w:rFonts w:ascii="Verdana" w:hAnsi="Verdana" w:cs="Arial"/>
          <w:noProof/>
          <w:lang w:val="es-ES_tradnl"/>
        </w:rPr>
        <w:t>.</w:t>
      </w:r>
    </w:p>
    <w:p w14:paraId="054E540D" w14:textId="77777777" w:rsidR="000273DF" w:rsidRPr="008677DE" w:rsidRDefault="000273DF" w:rsidP="00177A85">
      <w:pPr>
        <w:spacing w:after="120" w:line="276" w:lineRule="auto"/>
        <w:ind w:firstLine="708"/>
        <w:jc w:val="both"/>
        <w:rPr>
          <w:rFonts w:ascii="Verdana" w:hAnsi="Verdana" w:cs="Arial"/>
          <w:noProof/>
          <w:lang w:val="es-ES_tradnl"/>
        </w:rPr>
      </w:pPr>
      <w:r w:rsidRPr="008677DE">
        <w:rPr>
          <w:rFonts w:ascii="Verdana" w:hAnsi="Verdana" w:cs="Arial"/>
          <w:noProof/>
          <w:lang w:val="es-ES_tradnl"/>
        </w:rPr>
        <w:lastRenderedPageBreak/>
        <w:t>x) No es obligatoria la exigencia de garantías</w:t>
      </w:r>
      <w:r w:rsidRPr="008677DE">
        <w:rPr>
          <w:rStyle w:val="Refdenotaalpie"/>
          <w:rFonts w:ascii="Verdana" w:hAnsi="Verdana" w:cs="Arial"/>
          <w:noProof/>
          <w:lang w:val="es-ES_tradnl"/>
        </w:rPr>
        <w:footnoteReference w:id="14"/>
      </w:r>
      <w:r w:rsidRPr="008677DE">
        <w:rPr>
          <w:rFonts w:ascii="Verdana" w:hAnsi="Verdana" w:cs="Arial"/>
          <w:noProof/>
          <w:lang w:val="es-ES_tradnl"/>
        </w:rPr>
        <w:t>.</w:t>
      </w:r>
    </w:p>
    <w:p w14:paraId="28FB1D16" w14:textId="77777777" w:rsidR="000273DF" w:rsidRPr="008677DE" w:rsidRDefault="000273DF" w:rsidP="00177A85">
      <w:pPr>
        <w:spacing w:after="120" w:line="276" w:lineRule="auto"/>
        <w:ind w:firstLine="708"/>
        <w:jc w:val="both"/>
        <w:rPr>
          <w:rFonts w:ascii="Verdana" w:hAnsi="Verdana" w:cs="Arial"/>
          <w:noProof/>
          <w:lang w:val="es-ES"/>
        </w:rPr>
      </w:pPr>
      <w:r w:rsidRPr="008677DE">
        <w:rPr>
          <w:rFonts w:ascii="Verdana" w:hAnsi="Verdana" w:cs="Arial"/>
          <w:noProof/>
          <w:lang w:val="es-ES_tradnl"/>
        </w:rPr>
        <w:t>xi) Como los demás contratos estatales, se trata de un contrato solemne que debe constar por escrito y debe ser publicado en el SECOP.</w:t>
      </w:r>
    </w:p>
    <w:p w14:paraId="4497AED5" w14:textId="77777777" w:rsidR="000273DF" w:rsidRDefault="000273DF" w:rsidP="00177A85">
      <w:pPr>
        <w:tabs>
          <w:tab w:val="left" w:pos="0"/>
        </w:tabs>
        <w:spacing w:after="0" w:line="276" w:lineRule="auto"/>
        <w:ind w:firstLine="709"/>
        <w:jc w:val="both"/>
        <w:rPr>
          <w:rFonts w:ascii="Verdana" w:hAnsi="Verdana" w:cs="Arial"/>
          <w:color w:val="000000" w:themeColor="text1"/>
          <w:lang w:val="es-ES_tradnl"/>
        </w:rPr>
      </w:pPr>
      <w:proofErr w:type="spellStart"/>
      <w:r w:rsidRPr="008677DE">
        <w:rPr>
          <w:rFonts w:ascii="Verdana" w:hAnsi="Verdana" w:cs="Arial"/>
          <w:color w:val="000000" w:themeColor="text1"/>
          <w:lang w:val="es-ES"/>
        </w:rPr>
        <w:t>xii</w:t>
      </w:r>
      <w:proofErr w:type="spellEnd"/>
      <w:r w:rsidRPr="008677DE">
        <w:rPr>
          <w:rFonts w:ascii="Verdana" w:hAnsi="Verdana" w:cs="Arial"/>
          <w:color w:val="000000" w:themeColor="text1"/>
          <w:lang w:val="es-ES"/>
        </w:rPr>
        <w:t>) C</w:t>
      </w:r>
      <w:proofErr w:type="spellStart"/>
      <w:r w:rsidRPr="008677DE">
        <w:rPr>
          <w:rFonts w:ascii="Verdana" w:hAnsi="Verdana" w:cs="Arial"/>
          <w:color w:val="000000" w:themeColor="text1"/>
        </w:rPr>
        <w:t>omo</w:t>
      </w:r>
      <w:proofErr w:type="spellEnd"/>
      <w:r w:rsidRPr="008677DE">
        <w:rPr>
          <w:rFonts w:ascii="Verdana" w:hAnsi="Verdana" w:cs="Arial"/>
          <w:color w:val="000000" w:themeColor="text1"/>
        </w:rPr>
        <w:t xml:space="preserve"> especies del género </w:t>
      </w:r>
      <w:r w:rsidRPr="008677DE">
        <w:rPr>
          <w:rFonts w:ascii="Verdana" w:hAnsi="Verdana" w:cs="Arial"/>
          <w:i/>
          <w:color w:val="000000" w:themeColor="text1"/>
        </w:rPr>
        <w:t>prestación de servicios,</w:t>
      </w:r>
      <w:r w:rsidRPr="008677DE">
        <w:rPr>
          <w:rFonts w:ascii="Verdana" w:hAnsi="Verdana" w:cs="Arial"/>
          <w:color w:val="000000" w:themeColor="text1"/>
        </w:rPr>
        <w:t xml:space="preserve"> se incluyen </w:t>
      </w:r>
      <w:r w:rsidRPr="008677DE">
        <w:rPr>
          <w:rFonts w:ascii="Verdana" w:hAnsi="Verdana" w:cs="Arial"/>
          <w:color w:val="000000" w:themeColor="text1"/>
          <w:lang w:val="es-ES_tradnl"/>
        </w:rPr>
        <w:t xml:space="preserve">los </w:t>
      </w:r>
      <w:r w:rsidRPr="008677DE">
        <w:rPr>
          <w:rFonts w:ascii="Verdana" w:hAnsi="Verdana" w:cs="Arial"/>
          <w:i/>
          <w:iCs/>
          <w:color w:val="000000" w:themeColor="text1"/>
          <w:lang w:val="es-ES_tradnl"/>
        </w:rPr>
        <w:t>contratos de prestación de servicios profesionales, los contratos de prestación de servicios de apoyo a la gestión</w:t>
      </w:r>
      <w:r w:rsidRPr="008677DE">
        <w:rPr>
          <w:rFonts w:ascii="Verdana" w:hAnsi="Verdana" w:cs="Arial"/>
          <w:color w:val="000000" w:themeColor="text1"/>
          <w:lang w:val="es-ES_tradnl"/>
        </w:rPr>
        <w:t xml:space="preserve"> y los </w:t>
      </w:r>
      <w:r w:rsidRPr="008677DE">
        <w:rPr>
          <w:rFonts w:ascii="Verdana" w:hAnsi="Verdana" w:cs="Arial"/>
          <w:i/>
          <w:iCs/>
          <w:color w:val="000000" w:themeColor="text1"/>
          <w:lang w:val="es-ES_tradnl"/>
        </w:rPr>
        <w:t>contratos de prestación de servicios artísticos que solo pueden encomendarse a determinadas personas naturales</w:t>
      </w:r>
      <w:r w:rsidRPr="008677DE">
        <w:rPr>
          <w:rFonts w:ascii="Verdana" w:hAnsi="Verdana" w:cs="Arial"/>
          <w:color w:val="000000" w:themeColor="text1"/>
          <w:vertAlign w:val="superscript"/>
          <w:lang w:val="es-ES_tradnl"/>
        </w:rPr>
        <w:footnoteReference w:id="15"/>
      </w:r>
      <w:r w:rsidRPr="008677DE">
        <w:rPr>
          <w:rFonts w:ascii="Verdana" w:hAnsi="Verdana" w:cs="Arial"/>
          <w:color w:val="000000" w:themeColor="text1"/>
        </w:rPr>
        <w:t xml:space="preserve">. </w:t>
      </w:r>
      <w:r w:rsidRPr="008677DE">
        <w:rPr>
          <w:rFonts w:ascii="Verdana" w:hAnsi="Verdana" w:cs="Arial"/>
          <w:color w:val="000000" w:themeColor="text1"/>
          <w:lang w:val="es-ES_tradnl"/>
        </w:rPr>
        <w:t xml:space="preserve">La diferencia entre el contrato de prestación de servicios </w:t>
      </w:r>
      <w:r w:rsidRPr="008677DE">
        <w:rPr>
          <w:rFonts w:ascii="Verdana" w:hAnsi="Verdana" w:cs="Arial"/>
          <w:i/>
          <w:color w:val="000000" w:themeColor="text1"/>
          <w:lang w:val="es-ES_tradnl"/>
        </w:rPr>
        <w:t>profesionales</w:t>
      </w:r>
      <w:r w:rsidRPr="008677DE">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268B4D36" w14:textId="77777777" w:rsidR="00F6496C" w:rsidRPr="008677DE" w:rsidRDefault="00F6496C" w:rsidP="00177A85">
      <w:pPr>
        <w:tabs>
          <w:tab w:val="left" w:pos="0"/>
        </w:tabs>
        <w:spacing w:after="0" w:line="276" w:lineRule="auto"/>
        <w:ind w:firstLine="709"/>
        <w:jc w:val="both"/>
        <w:rPr>
          <w:rFonts w:ascii="Verdana" w:hAnsi="Verdana" w:cs="Arial"/>
          <w:color w:val="000000" w:themeColor="text1"/>
        </w:rPr>
      </w:pPr>
    </w:p>
    <w:p w14:paraId="0A1AF30E" w14:textId="77777777" w:rsidR="000273DF" w:rsidRDefault="000273DF" w:rsidP="00F6496C">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w:t>
      </w:r>
      <w:r w:rsidRPr="00EB30BA">
        <w:rPr>
          <w:rFonts w:ascii="Verdana" w:hAnsi="Verdana" w:cs="Arial"/>
          <w:color w:val="000000" w:themeColor="text1"/>
          <w:sz w:val="20"/>
          <w:szCs w:val="20"/>
          <w:lang w:val="es-ES_tradnl"/>
        </w:rPr>
        <w:lastRenderedPageBreak/>
        <w:t>conocimientos especializados siempre y cuando dichos objetos estén encomendados a personas consideradas legalmente como profesionales. Se caracteriza por demandar un conocimiento intelectivo cualificado: el saber profesional”</w:t>
      </w:r>
      <w:r w:rsidRPr="00EB30BA">
        <w:rPr>
          <w:rStyle w:val="Refdenotaalpie"/>
          <w:rFonts w:ascii="Verdana" w:hAnsi="Verdana" w:cs="Arial"/>
          <w:color w:val="000000" w:themeColor="text1"/>
          <w:sz w:val="20"/>
          <w:szCs w:val="20"/>
          <w:lang w:val="es-ES_tradnl"/>
        </w:rPr>
        <w:footnoteReference w:id="16"/>
      </w:r>
      <w:r w:rsidRPr="00EB30BA">
        <w:rPr>
          <w:rFonts w:ascii="Verdana" w:hAnsi="Verdana" w:cs="Arial"/>
          <w:color w:val="000000" w:themeColor="text1"/>
          <w:sz w:val="20"/>
          <w:szCs w:val="20"/>
          <w:lang w:val="es-ES_tradnl"/>
        </w:rPr>
        <w:t>.</w:t>
      </w:r>
    </w:p>
    <w:p w14:paraId="124C3A3C" w14:textId="77777777" w:rsidR="00F6496C" w:rsidRPr="00EB30BA" w:rsidRDefault="00F6496C" w:rsidP="00177A85">
      <w:pPr>
        <w:spacing w:after="0" w:line="276" w:lineRule="auto"/>
        <w:ind w:left="709" w:right="709"/>
        <w:jc w:val="both"/>
        <w:rPr>
          <w:rFonts w:ascii="Verdana" w:hAnsi="Verdana" w:cs="Arial"/>
          <w:color w:val="000000" w:themeColor="text1"/>
          <w:sz w:val="20"/>
          <w:szCs w:val="20"/>
          <w:lang w:val="es-ES_tradnl"/>
        </w:rPr>
      </w:pPr>
    </w:p>
    <w:p w14:paraId="46EB131D" w14:textId="77777777" w:rsidR="000273DF" w:rsidRDefault="000273DF" w:rsidP="00F6496C">
      <w:pPr>
        <w:spacing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_tradnl"/>
        </w:rPr>
        <w:t xml:space="preserve">Lo expuesto, según la jurisprudencia citada, se diferencia del objeto del </w:t>
      </w:r>
      <w:r w:rsidRPr="008677DE">
        <w:rPr>
          <w:rFonts w:ascii="Verdana" w:hAnsi="Verdana" w:cs="Arial"/>
          <w:i/>
          <w:iCs/>
          <w:color w:val="000000" w:themeColor="text1"/>
          <w:lang w:val="es-ES_tradnl"/>
        </w:rPr>
        <w:t>contrato de prestación de servicios de apoyo a la gestión</w:t>
      </w:r>
      <w:r w:rsidRPr="008677DE">
        <w:rPr>
          <w:rFonts w:ascii="Verdana" w:hAnsi="Verdana" w:cs="Arial"/>
          <w:color w:val="000000" w:themeColor="text1"/>
          <w:lang w:val="es-ES_tradnl"/>
        </w:rPr>
        <w:t>, en los siguientes aspectos:</w:t>
      </w:r>
    </w:p>
    <w:p w14:paraId="431E723D" w14:textId="77777777" w:rsidR="00F6496C" w:rsidRPr="008677DE" w:rsidRDefault="00F6496C" w:rsidP="00177A85">
      <w:pPr>
        <w:spacing w:after="0" w:line="276" w:lineRule="auto"/>
        <w:ind w:firstLine="709"/>
        <w:jc w:val="both"/>
        <w:rPr>
          <w:rFonts w:ascii="Verdana" w:hAnsi="Verdana" w:cs="Arial"/>
          <w:color w:val="000000" w:themeColor="text1"/>
          <w:lang w:val="es-ES_tradnl"/>
        </w:rPr>
      </w:pPr>
    </w:p>
    <w:p w14:paraId="43490DC3" w14:textId="77777777" w:rsidR="000273DF" w:rsidRDefault="000273DF" w:rsidP="00F6496C">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74402793" w14:textId="77777777" w:rsidR="00F6496C" w:rsidRPr="00EB30BA" w:rsidRDefault="00F6496C" w:rsidP="00177A85">
      <w:pPr>
        <w:spacing w:after="0" w:line="240" w:lineRule="auto"/>
        <w:ind w:left="709" w:right="709"/>
        <w:jc w:val="both"/>
        <w:rPr>
          <w:rFonts w:ascii="Verdana" w:hAnsi="Verdana" w:cs="Arial"/>
          <w:color w:val="000000" w:themeColor="text1"/>
          <w:sz w:val="20"/>
          <w:szCs w:val="20"/>
          <w:lang w:val="es-ES_tradnl"/>
        </w:rPr>
      </w:pPr>
    </w:p>
    <w:p w14:paraId="64A1BD97" w14:textId="77777777" w:rsidR="000273DF" w:rsidRPr="00EB30BA" w:rsidRDefault="000273DF" w:rsidP="00177A85">
      <w:pPr>
        <w:spacing w:after="0" w:line="240" w:lineRule="auto"/>
        <w:ind w:left="709" w:right="709"/>
        <w:jc w:val="both"/>
        <w:rPr>
          <w:rFonts w:ascii="Verdana" w:hAnsi="Verdana" w:cs="Arial"/>
          <w:color w:val="000000" w:themeColor="text1"/>
          <w:sz w:val="20"/>
          <w:szCs w:val="20"/>
          <w:lang w:val="es-ES"/>
        </w:rPr>
      </w:pPr>
      <w:r w:rsidRPr="00EB30BA">
        <w:rPr>
          <w:rFonts w:ascii="Verdana" w:hAnsi="Verdana" w:cs="Arial"/>
          <w:color w:val="000000" w:themeColor="text1"/>
          <w:sz w:val="20"/>
          <w:szCs w:val="20"/>
          <w:lang w:val="es-ES"/>
        </w:rPr>
        <w:t xml:space="preserve">Aunque también se caracteriza por el desempeño de actividad intelectiva, ésta </w:t>
      </w:r>
      <w:proofErr w:type="gramStart"/>
      <w:r w:rsidRPr="00EB30BA">
        <w:rPr>
          <w:rFonts w:ascii="Verdana" w:hAnsi="Verdana" w:cs="Arial"/>
          <w:color w:val="000000" w:themeColor="text1"/>
          <w:sz w:val="20"/>
          <w:szCs w:val="20"/>
          <w:lang w:val="es-ES"/>
        </w:rPr>
        <w:t>se enmarca dentro de</w:t>
      </w:r>
      <w:proofErr w:type="gramEnd"/>
      <w:r w:rsidRPr="00EB30BA">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3A5872F1" w14:textId="77777777" w:rsidR="00F6496C" w:rsidRDefault="00F6496C" w:rsidP="00F6496C">
      <w:pPr>
        <w:spacing w:after="0" w:line="240" w:lineRule="auto"/>
        <w:ind w:left="709" w:right="709"/>
        <w:jc w:val="both"/>
        <w:rPr>
          <w:rFonts w:ascii="Verdana" w:hAnsi="Verdana" w:cs="Arial"/>
          <w:color w:val="000000" w:themeColor="text1"/>
          <w:sz w:val="20"/>
          <w:szCs w:val="20"/>
          <w:lang w:val="es-ES_tradnl"/>
        </w:rPr>
      </w:pPr>
    </w:p>
    <w:p w14:paraId="2BF33C33" w14:textId="521CEA61" w:rsidR="000273DF" w:rsidRDefault="000273DF" w:rsidP="00177A85">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EB30BA">
        <w:rPr>
          <w:rStyle w:val="Refdenotaalpie"/>
          <w:rFonts w:ascii="Verdana" w:hAnsi="Verdana" w:cs="Arial"/>
          <w:color w:val="000000" w:themeColor="text1"/>
          <w:sz w:val="20"/>
          <w:szCs w:val="20"/>
          <w:lang w:val="es-ES_tradnl"/>
        </w:rPr>
        <w:footnoteReference w:id="17"/>
      </w:r>
      <w:r w:rsidRPr="00EB30BA">
        <w:rPr>
          <w:rFonts w:ascii="Verdana" w:hAnsi="Verdana" w:cs="Arial"/>
          <w:color w:val="000000" w:themeColor="text1"/>
          <w:sz w:val="20"/>
          <w:szCs w:val="20"/>
          <w:lang w:val="es-ES_tradnl"/>
        </w:rPr>
        <w:t>.</w:t>
      </w:r>
    </w:p>
    <w:p w14:paraId="57BF31C2" w14:textId="77777777" w:rsidR="00F6496C" w:rsidRPr="00EB30BA" w:rsidRDefault="00F6496C" w:rsidP="00177A85">
      <w:pPr>
        <w:spacing w:after="0" w:line="276" w:lineRule="auto"/>
        <w:ind w:left="709" w:right="709"/>
        <w:jc w:val="both"/>
        <w:rPr>
          <w:rFonts w:ascii="Verdana" w:hAnsi="Verdana" w:cs="Arial"/>
          <w:color w:val="000000" w:themeColor="text1"/>
          <w:sz w:val="20"/>
          <w:szCs w:val="20"/>
          <w:lang w:val="es-ES_tradnl"/>
        </w:rPr>
      </w:pPr>
    </w:p>
    <w:p w14:paraId="2D592B0C" w14:textId="77777777" w:rsidR="000273DF" w:rsidRDefault="000273DF" w:rsidP="008253E7">
      <w:pPr>
        <w:spacing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_tradnl"/>
        </w:rPr>
        <w:t xml:space="preserve">En relación con el </w:t>
      </w:r>
      <w:r w:rsidRPr="008677DE">
        <w:rPr>
          <w:rFonts w:ascii="Verdana" w:hAnsi="Verdana" w:cs="Arial"/>
          <w:i/>
          <w:iCs/>
          <w:color w:val="000000" w:themeColor="text1"/>
          <w:lang w:val="es-ES_tradnl"/>
        </w:rPr>
        <w:t>contrato de prestación de servicios artísticos que solo pueden encomendarse a determinadas personas naturales</w:t>
      </w:r>
      <w:r w:rsidRPr="008677DE">
        <w:rPr>
          <w:rFonts w:ascii="Verdana" w:hAnsi="Verdana" w:cs="Arial"/>
          <w:color w:val="000000" w:themeColor="text1"/>
          <w:lang w:val="es-ES_tradnl"/>
        </w:rPr>
        <w:t>, señala la mencionada decisión judicial lo siguiente:</w:t>
      </w:r>
    </w:p>
    <w:p w14:paraId="2125A8A4" w14:textId="77777777" w:rsidR="00F6496C" w:rsidRPr="008677DE" w:rsidRDefault="00F6496C" w:rsidP="00177A85">
      <w:pPr>
        <w:spacing w:after="0" w:line="276" w:lineRule="auto"/>
        <w:ind w:firstLine="709"/>
        <w:jc w:val="both"/>
        <w:rPr>
          <w:rFonts w:ascii="Verdana" w:hAnsi="Verdana" w:cs="Arial"/>
          <w:color w:val="000000" w:themeColor="text1"/>
          <w:lang w:val="es-ES_tradnl"/>
        </w:rPr>
      </w:pPr>
    </w:p>
    <w:p w14:paraId="50D53FE1" w14:textId="77777777" w:rsidR="000273DF" w:rsidRDefault="000273DF" w:rsidP="008253E7">
      <w:pPr>
        <w:spacing w:after="0" w:line="240" w:lineRule="auto"/>
        <w:ind w:left="709" w:right="709"/>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Pr="00EB30BA">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Pr>
          <w:rFonts w:ascii="Verdana" w:hAnsi="Verdana" w:cs="Arial"/>
          <w:color w:val="000000" w:themeColor="text1"/>
          <w:sz w:val="20"/>
          <w:szCs w:val="20"/>
          <w:lang w:val="es-ES_tradnl"/>
        </w:rPr>
        <w:t>”</w:t>
      </w:r>
      <w:r w:rsidRPr="00EB30BA">
        <w:rPr>
          <w:rStyle w:val="Refdenotaalpie"/>
          <w:rFonts w:ascii="Verdana" w:hAnsi="Verdana" w:cs="Arial"/>
          <w:color w:val="000000" w:themeColor="text1"/>
          <w:sz w:val="20"/>
          <w:szCs w:val="20"/>
          <w:lang w:val="es-ES_tradnl"/>
        </w:rPr>
        <w:footnoteReference w:id="18"/>
      </w:r>
      <w:r w:rsidRPr="00EB30BA">
        <w:rPr>
          <w:rFonts w:ascii="Verdana" w:hAnsi="Verdana" w:cs="Arial"/>
          <w:color w:val="000000" w:themeColor="text1"/>
          <w:sz w:val="20"/>
          <w:szCs w:val="20"/>
          <w:lang w:val="es-ES_tradnl"/>
        </w:rPr>
        <w:t>.</w:t>
      </w:r>
    </w:p>
    <w:p w14:paraId="54E5BF38" w14:textId="77777777" w:rsidR="008253E7" w:rsidRPr="00177A85" w:rsidRDefault="008253E7" w:rsidP="00177A85">
      <w:pPr>
        <w:spacing w:after="0" w:line="276" w:lineRule="auto"/>
        <w:ind w:left="709" w:right="709"/>
        <w:jc w:val="both"/>
        <w:rPr>
          <w:rFonts w:ascii="Verdana" w:hAnsi="Verdana" w:cs="Arial"/>
          <w:color w:val="000000" w:themeColor="text1"/>
          <w:lang w:val="es-ES_tradnl"/>
        </w:rPr>
      </w:pPr>
    </w:p>
    <w:p w14:paraId="20007062" w14:textId="77777777" w:rsidR="000273DF" w:rsidRPr="008677DE" w:rsidRDefault="000273DF" w:rsidP="000273DF">
      <w:pPr>
        <w:spacing w:line="276" w:lineRule="auto"/>
        <w:ind w:firstLine="709"/>
        <w:jc w:val="both"/>
        <w:rPr>
          <w:rFonts w:ascii="Verdana" w:hAnsi="Verdana" w:cs="Arial"/>
          <w:color w:val="000000" w:themeColor="text1"/>
        </w:rPr>
      </w:pPr>
      <w:r w:rsidRPr="008677DE">
        <w:rPr>
          <w:rFonts w:ascii="Verdana" w:hAnsi="Verdana" w:cs="Arial"/>
          <w:color w:val="000000" w:themeColor="text1"/>
          <w:lang w:val="es-ES_tradnl"/>
        </w:rPr>
        <w:t xml:space="preserve">En este sentido, el contrato de prestación de servicios </w:t>
      </w:r>
      <w:r w:rsidRPr="008677DE">
        <w:rPr>
          <w:rFonts w:ascii="Verdana" w:hAnsi="Verdana" w:cs="Arial"/>
          <w:i/>
          <w:iCs/>
          <w:color w:val="000000" w:themeColor="text1"/>
          <w:lang w:val="es-ES_tradnl"/>
        </w:rPr>
        <w:t>profesionales</w:t>
      </w:r>
      <w:r w:rsidRPr="008677DE">
        <w:rPr>
          <w:rFonts w:ascii="Verdana" w:hAnsi="Verdana" w:cs="Arial"/>
          <w:color w:val="000000" w:themeColor="text1"/>
          <w:lang w:val="es-ES_tradnl"/>
        </w:rPr>
        <w:t xml:space="preserve"> se caracteriza porque su objeto guarda relación con el desarrollo de actividades que </w:t>
      </w:r>
      <w:r w:rsidRPr="008677DE">
        <w:rPr>
          <w:rFonts w:ascii="Verdana" w:hAnsi="Verdana" w:cs="Arial"/>
          <w:color w:val="000000" w:themeColor="text1"/>
          <w:lang w:val="es-ES_tradnl"/>
        </w:rPr>
        <w:lastRenderedPageBreak/>
        <w:t xml:space="preserve">demandan competencias y habilidades profesionales o especializadas de la persona natural o jurídica a contratar, de manera que se trata de un </w:t>
      </w:r>
      <w:r w:rsidRPr="008677DE">
        <w:rPr>
          <w:rFonts w:ascii="Verdana" w:hAnsi="Verdana" w:cs="Arial"/>
          <w:i/>
          <w:iCs/>
          <w:color w:val="000000" w:themeColor="text1"/>
          <w:lang w:val="es-ES_tradnl"/>
        </w:rPr>
        <w:t>saber intelectivo cualificado.</w:t>
      </w:r>
      <w:r w:rsidRPr="008677DE">
        <w:rPr>
          <w:rFonts w:ascii="Verdana" w:hAnsi="Verdana" w:cs="Arial"/>
          <w:color w:val="000000" w:themeColor="text1"/>
          <w:lang w:val="es-ES_tradnl"/>
        </w:rPr>
        <w:t xml:space="preserve"> En cambio, los contratos de prestación de servicios de </w:t>
      </w:r>
      <w:r w:rsidRPr="008677DE">
        <w:rPr>
          <w:rFonts w:ascii="Verdana" w:hAnsi="Verdana" w:cs="Arial"/>
          <w:i/>
          <w:iCs/>
          <w:color w:val="000000" w:themeColor="text1"/>
          <w:lang w:val="es-ES_tradnl"/>
        </w:rPr>
        <w:t>apoyo a la gestión</w:t>
      </w:r>
      <w:r w:rsidRPr="008677DE">
        <w:rPr>
          <w:rFonts w:ascii="Verdana" w:hAnsi="Verdana" w:cs="Arial"/>
          <w:color w:val="000000" w:themeColor="text1"/>
          <w:lang w:val="es-ES_tradnl"/>
        </w:rPr>
        <w:t xml:space="preserve"> y de </w:t>
      </w:r>
      <w:r w:rsidRPr="008677DE">
        <w:rPr>
          <w:rFonts w:ascii="Verdana" w:hAnsi="Verdana" w:cs="Arial"/>
          <w:i/>
          <w:iCs/>
          <w:color w:val="000000" w:themeColor="text1"/>
          <w:lang w:val="es-ES_tradnl"/>
        </w:rPr>
        <w:t>servicios artísticos</w:t>
      </w:r>
      <w:r w:rsidRPr="008677DE">
        <w:rPr>
          <w:rFonts w:ascii="Verdana" w:hAnsi="Verdana" w:cs="Arial"/>
          <w:color w:val="000000" w:themeColor="text1"/>
          <w:lang w:val="es-ES_tradnl"/>
        </w:rPr>
        <w:t xml:space="preserve"> no involucran ese conocimiento profesional </w:t>
      </w:r>
      <w:r w:rsidRPr="008677DE">
        <w:rPr>
          <w:rFonts w:ascii="Verdana" w:hAnsi="Verdana" w:cs="Arial"/>
          <w:color w:val="000000" w:themeColor="text1"/>
        </w:rPr>
        <w:t xml:space="preserve">o especializados para su ejecución. En los contratos de apoyo a la gestión </w:t>
      </w:r>
      <w:r w:rsidRPr="008677DE">
        <w:rPr>
          <w:rFonts w:ascii="Verdana" w:hAnsi="Verdana" w:cs="Arial"/>
          <w:color w:val="000000" w:themeColor="text1"/>
          <w:lang w:val="es-ES_tradnl"/>
        </w:rPr>
        <w:t xml:space="preserve">el contratista desempeña un esfuerzo o actividad de apoyo, acompañamiento, o soporte, </w:t>
      </w:r>
      <w:r w:rsidRPr="008677DE">
        <w:rPr>
          <w:rFonts w:ascii="Verdana" w:hAnsi="Verdana" w:cs="Arial"/>
          <w:color w:val="000000" w:themeColor="text1"/>
        </w:rPr>
        <w:t xml:space="preserve">donde </w:t>
      </w:r>
      <w:r>
        <w:rPr>
          <w:rFonts w:ascii="Verdana" w:hAnsi="Verdana" w:cs="Arial"/>
          <w:color w:val="000000" w:themeColor="text1"/>
          <w:lang w:val="es-ES_tradnl"/>
        </w:rPr>
        <w:t>“</w:t>
      </w:r>
      <w:r w:rsidRPr="008677DE">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8677DE">
        <w:rPr>
          <w:rFonts w:ascii="Verdana" w:hAnsi="Verdana" w:cs="Arial"/>
          <w:color w:val="000000" w:themeColor="text1"/>
          <w:lang w:val="es-ES_tradnl"/>
        </w:rPr>
        <w:t>la misma</w:t>
      </w:r>
      <w:proofErr w:type="gramEnd"/>
      <w:r w:rsidRPr="008677DE">
        <w:rPr>
          <w:rFonts w:ascii="Verdana" w:hAnsi="Verdana" w:cs="Arial"/>
          <w:color w:val="000000" w:themeColor="text1"/>
          <w:lang w:val="es-ES_tradnl"/>
        </w:rPr>
        <w:t>, por personas no profesionales y que no implican el ejercicio de funciones públicas administrativas</w:t>
      </w:r>
      <w:r>
        <w:rPr>
          <w:rFonts w:ascii="Verdana" w:hAnsi="Verdana" w:cs="Arial"/>
          <w:color w:val="000000" w:themeColor="text1"/>
          <w:lang w:val="es-ES_tradnl"/>
        </w:rPr>
        <w:t>”</w:t>
      </w:r>
      <w:r w:rsidRPr="008677DE">
        <w:rPr>
          <w:rFonts w:ascii="Verdana" w:hAnsi="Verdana" w:cs="Arial"/>
          <w:color w:val="000000" w:themeColor="text1"/>
          <w:lang w:val="es-ES_tradnl"/>
        </w:rPr>
        <w:t xml:space="preserve">. Igualmente, en el contrato de prestación de servicios artísticos lo prevalente es que la persona que lo ejecute se trate de un artista, es decir, </w:t>
      </w:r>
      <w:r>
        <w:rPr>
          <w:rFonts w:ascii="Verdana" w:hAnsi="Verdana" w:cs="Arial"/>
          <w:color w:val="000000" w:themeColor="text1"/>
          <w:lang w:val="es-ES_tradnl"/>
        </w:rPr>
        <w:t>“</w:t>
      </w:r>
      <w:r w:rsidRPr="008677DE">
        <w:rPr>
          <w:rFonts w:ascii="Verdana" w:hAnsi="Verdana" w:cs="Arial"/>
          <w:color w:val="000000" w:themeColor="text1"/>
          <w:lang w:val="es-ES_tradnl"/>
        </w:rPr>
        <w:t>una persona reconocida como realizador o productor de arte, de obras de arte, ejecutor de trabajos artísticos</w:t>
      </w:r>
      <w:r>
        <w:rPr>
          <w:rFonts w:ascii="Verdana" w:hAnsi="Verdana" w:cs="Arial"/>
          <w:color w:val="000000" w:themeColor="text1"/>
          <w:lang w:val="es-ES_tradnl"/>
        </w:rPr>
        <w:t>”</w:t>
      </w:r>
      <w:r w:rsidRPr="008677DE">
        <w:rPr>
          <w:rFonts w:ascii="Verdana" w:hAnsi="Verdana" w:cs="Arial"/>
          <w:color w:val="000000" w:themeColor="text1"/>
          <w:lang w:val="es-ES_tradnl"/>
        </w:rPr>
        <w:t>, para lo cual es indiferente el carácter de profesional.</w:t>
      </w:r>
    </w:p>
    <w:p w14:paraId="4BE42AAE" w14:textId="77777777" w:rsidR="000273DF" w:rsidRDefault="000273DF" w:rsidP="000273DF">
      <w:pPr>
        <w:spacing w:after="120" w:line="276" w:lineRule="auto"/>
        <w:ind w:firstLine="709"/>
        <w:jc w:val="both"/>
        <w:textAlignment w:val="baseline"/>
        <w:rPr>
          <w:rFonts w:ascii="Verdana" w:hAnsi="Verdana"/>
          <w:i/>
          <w:iCs/>
        </w:rPr>
      </w:pPr>
      <w:r w:rsidRPr="005B6D96">
        <w:rPr>
          <w:rFonts w:ascii="Verdana" w:hAnsi="Verdana" w:cs="Arial"/>
          <w:lang w:val="es-ES"/>
        </w:rPr>
        <w:t>En relación con la solicitud objeto de análisis, esta tiene como finalidad establecer un concepto jurídico sobre el intervalo que debe mediar entre la terminación de un contrato de prestación de servicios y la suscripción de uno nuevo</w:t>
      </w:r>
      <w:r>
        <w:rPr>
          <w:rFonts w:ascii="Verdana" w:eastAsia="Calibri" w:hAnsi="Verdana" w:cs="Times New Roman"/>
        </w:rPr>
        <w:t xml:space="preserve">. </w:t>
      </w:r>
      <w:r w:rsidRPr="00D203B0">
        <w:rPr>
          <w:rFonts w:ascii="Verdana" w:eastAsia="Calibri" w:hAnsi="Verdana" w:cs="Times New Roman"/>
        </w:rPr>
        <w:t>Para abordar adecuadamente esta cuestión, resulta pertinente introducir preliminarmente el concepto de “solución de continuidad”</w:t>
      </w:r>
      <w:r>
        <w:rPr>
          <w:rFonts w:ascii="Verdana" w:eastAsia="Calibri" w:hAnsi="Verdana" w:cs="Arial"/>
          <w:color w:val="000000"/>
          <w:szCs w:val="24"/>
          <w:lang w:eastAsia="es-ES_tradnl"/>
        </w:rPr>
        <w:t>, por lo que es necesario precisar que</w:t>
      </w:r>
      <w:r w:rsidRPr="00376CD8">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e</w:t>
      </w:r>
      <w:r w:rsidRPr="00376CD8">
        <w:rPr>
          <w:rFonts w:ascii="Verdana" w:eastAsia="Calibri" w:hAnsi="Verdana" w:cs="Arial"/>
          <w:color w:val="000000"/>
          <w:szCs w:val="24"/>
          <w:lang w:eastAsia="es-ES_tradnl"/>
        </w:rPr>
        <w:t>l Diccionario de la Lengua Española, define solución de continuidad como “</w:t>
      </w:r>
      <w:r w:rsidRPr="00376CD8">
        <w:rPr>
          <w:rFonts w:ascii="Verdana" w:eastAsia="Calibri" w:hAnsi="Verdana" w:cs="Arial"/>
          <w:i/>
          <w:iCs/>
          <w:color w:val="000000"/>
          <w:szCs w:val="24"/>
          <w:lang w:eastAsia="es-ES_tradnl"/>
        </w:rPr>
        <w:t>Interrupción o falta de continuidad”</w:t>
      </w:r>
      <w:r>
        <w:rPr>
          <w:rStyle w:val="Refdenotaalpie"/>
          <w:rFonts w:ascii="Verdana" w:eastAsia="Calibri" w:hAnsi="Verdana" w:cs="Arial"/>
          <w:i/>
          <w:iCs/>
          <w:color w:val="000000"/>
          <w:szCs w:val="24"/>
          <w:lang w:eastAsia="es-ES_tradnl"/>
        </w:rPr>
        <w:footnoteReference w:id="19"/>
      </w:r>
      <w:r>
        <w:rPr>
          <w:rFonts w:ascii="Verdana" w:eastAsia="Calibri" w:hAnsi="Verdana" w:cs="Arial"/>
          <w:i/>
          <w:iCs/>
          <w:color w:val="000000"/>
          <w:szCs w:val="24"/>
          <w:lang w:eastAsia="es-ES_tradnl"/>
        </w:rPr>
        <w:t xml:space="preserve"> </w:t>
      </w:r>
      <w:r w:rsidRPr="00D90035">
        <w:rPr>
          <w:rFonts w:ascii="Verdana" w:eastAsia="Calibri" w:hAnsi="Verdana" w:cs="Arial"/>
          <w:color w:val="000000"/>
          <w:szCs w:val="24"/>
          <w:lang w:eastAsia="es-ES_tradnl"/>
        </w:rPr>
        <w:t>lo cual adquiere relevancia en el contexto de la contratación estatal cuando se evalúa la existencia de vínculos sucesivos que podrían configurar una relación laboral encubierta</w:t>
      </w:r>
      <w:r>
        <w:rPr>
          <w:rFonts w:ascii="Verdana" w:eastAsia="Calibri" w:hAnsi="Verdana" w:cs="Arial"/>
          <w:color w:val="000000"/>
          <w:szCs w:val="24"/>
          <w:lang w:eastAsia="es-ES_tradnl"/>
        </w:rPr>
        <w:t xml:space="preserve"> bajo un contrato de prestación de servicios, a la luz de </w:t>
      </w:r>
      <w:r>
        <w:rPr>
          <w:rFonts w:ascii="Verdana" w:hAnsi="Verdana"/>
        </w:rPr>
        <w:t xml:space="preserve">Sentencia de Unificación con radicado interno 1317-2016 </w:t>
      </w:r>
      <w:r w:rsidRPr="00232683">
        <w:rPr>
          <w:rStyle w:val="normaltextrun"/>
          <w:rFonts w:ascii="Verdana" w:hAnsi="Verdana" w:cs="Arial"/>
          <w:color w:val="000000"/>
          <w:shd w:val="clear" w:color="auto" w:fill="FFFFFF"/>
        </w:rPr>
        <w:t>del 9 de septiembre de 2021</w:t>
      </w:r>
      <w:r>
        <w:rPr>
          <w:rFonts w:ascii="Verdana" w:eastAsia="Calibri" w:hAnsi="Verdana" w:cs="Times New Roman"/>
        </w:rPr>
        <w:t xml:space="preserve"> y al </w:t>
      </w:r>
      <w:r>
        <w:rPr>
          <w:rFonts w:ascii="Verdana" w:hAnsi="Verdana"/>
        </w:rPr>
        <w:t xml:space="preserve">denominado </w:t>
      </w:r>
      <w:r w:rsidRPr="00A91C5D">
        <w:rPr>
          <w:rFonts w:ascii="Verdana" w:hAnsi="Verdana"/>
          <w:i/>
          <w:iCs/>
        </w:rPr>
        <w:t>contrato realidad</w:t>
      </w:r>
      <w:r>
        <w:rPr>
          <w:rFonts w:ascii="Verdana" w:hAnsi="Verdana"/>
          <w:i/>
          <w:iCs/>
        </w:rPr>
        <w:t>.</w:t>
      </w:r>
    </w:p>
    <w:p w14:paraId="0B462F34" w14:textId="77777777" w:rsidR="000273DF" w:rsidRDefault="000273DF" w:rsidP="000273DF">
      <w:pPr>
        <w:spacing w:after="120" w:line="276" w:lineRule="auto"/>
        <w:ind w:firstLine="709"/>
        <w:jc w:val="both"/>
        <w:textAlignment w:val="baseline"/>
        <w:rPr>
          <w:rFonts w:ascii="Verdana" w:hAnsi="Verdana"/>
        </w:rPr>
      </w:pPr>
      <w:r w:rsidRPr="00D90035">
        <w:rPr>
          <w:rFonts w:ascii="Verdana" w:hAnsi="Verdana"/>
        </w:rPr>
        <w:t>Este</w:t>
      </w:r>
      <w:r>
        <w:rPr>
          <w:rFonts w:ascii="Verdana" w:hAnsi="Verdana"/>
        </w:rPr>
        <w:t xml:space="preserve"> se configura al constatarse que existe una continuada prestación del servicio que se ejecuta de manera personal, que recibe dicho contratista una remuneración por su ejecución, que dichas actividades son propias de la actividad misional de la entidad, bajo el cumplimiento de órdenes y cumplimiento de horarios, que limitan la autonomía de los contratistas, siendo dependientes y subordinados como ocurre en las relaciones laborales típicas.</w:t>
      </w:r>
    </w:p>
    <w:p w14:paraId="1E8D9723" w14:textId="77777777" w:rsidR="000273DF" w:rsidRPr="00376CD8" w:rsidRDefault="000273DF" w:rsidP="000273DF">
      <w:pPr>
        <w:spacing w:after="120" w:line="276" w:lineRule="auto"/>
        <w:ind w:firstLine="708"/>
        <w:jc w:val="both"/>
        <w:rPr>
          <w:rFonts w:ascii="Verdana" w:eastAsia="Calibri" w:hAnsi="Verdana" w:cs="Arial"/>
          <w:color w:val="000000"/>
          <w:szCs w:val="24"/>
          <w:lang w:eastAsia="es-ES_tradnl"/>
        </w:rPr>
      </w:pPr>
      <w:r w:rsidRPr="00376CD8">
        <w:rPr>
          <w:rFonts w:ascii="Verdana" w:eastAsia="Calibri" w:hAnsi="Verdana" w:cs="Arial"/>
          <w:color w:val="000000"/>
          <w:szCs w:val="24"/>
          <w:lang w:eastAsia="es-ES_tradnl"/>
        </w:rPr>
        <w:lastRenderedPageBreak/>
        <w:t>Quiere decir esto, que por solución de continuidad se entiende la interrupción o falta de relación laboral entre una y otra vinculación con la entidad pública. Caso contrario, se entiende “sin solución de continuidad”, cuando la prestación del servicio es continua, sin suspensión o ruptura de la relación laboral.</w:t>
      </w:r>
    </w:p>
    <w:p w14:paraId="38EBEADD" w14:textId="77777777" w:rsidR="000273DF" w:rsidRPr="00376CD8" w:rsidRDefault="000273DF" w:rsidP="000273DF">
      <w:pPr>
        <w:spacing w:after="120" w:line="276" w:lineRule="auto"/>
        <w:ind w:firstLine="708"/>
        <w:jc w:val="both"/>
        <w:rPr>
          <w:rFonts w:ascii="Verdana" w:eastAsia="Calibri" w:hAnsi="Verdana" w:cs="Arial"/>
          <w:color w:val="000000"/>
          <w:szCs w:val="24"/>
          <w:lang w:eastAsia="es-ES_tradnl"/>
        </w:rPr>
      </w:pPr>
      <w:r w:rsidRPr="00376CD8">
        <w:rPr>
          <w:rFonts w:ascii="Verdana" w:eastAsia="Calibri" w:hAnsi="Verdana" w:cs="Arial"/>
          <w:color w:val="000000"/>
          <w:szCs w:val="24"/>
          <w:lang w:eastAsia="es-ES_tradnl"/>
        </w:rPr>
        <w:t>La “no solución de continuidad”, se predica en aquellos casos en los cuales haya terminación del vínculo laboral con una entidad y una nueva vinculación en la misma entidad o el ingreso a otra, que debe estar expresamente consagrada en la respectiva disposición legal que contemple las prestaciones, salarios y beneficios laborales, disposición que a su vez establecerá el número de días de interrupción del vínculo que no implicarán solución de continuidad.</w:t>
      </w:r>
    </w:p>
    <w:p w14:paraId="4D9DEF42" w14:textId="77777777" w:rsidR="000273DF" w:rsidRDefault="000273DF" w:rsidP="000273DF">
      <w:pPr>
        <w:shd w:val="clear" w:color="auto" w:fill="FFFFFF"/>
        <w:spacing w:after="120" w:line="276" w:lineRule="auto"/>
        <w:ind w:firstLine="567"/>
        <w:jc w:val="both"/>
        <w:rPr>
          <w:rFonts w:ascii="Verdana" w:hAnsi="Verdana"/>
        </w:rPr>
      </w:pPr>
      <w:r>
        <w:rPr>
          <w:rFonts w:ascii="Verdana" w:hAnsi="Verdana"/>
        </w:rPr>
        <w:t xml:space="preserve">Con arreglo de lo dicho por el Consejo de Estado en la Sentencia de Unificación con radicado interno 1317-2016 </w:t>
      </w:r>
      <w:r w:rsidRPr="00232683">
        <w:rPr>
          <w:rStyle w:val="normaltextrun"/>
          <w:rFonts w:ascii="Verdana" w:hAnsi="Verdana" w:cs="Arial"/>
          <w:color w:val="000000"/>
          <w:shd w:val="clear" w:color="auto" w:fill="FFFFFF"/>
        </w:rPr>
        <w:t>del 9 de septiembre de 2021</w:t>
      </w:r>
      <w:r>
        <w:rPr>
          <w:rFonts w:ascii="Verdana" w:hAnsi="Verdana"/>
        </w:rPr>
        <w:t xml:space="preserve">, el término de los treinta (30) días </w:t>
      </w:r>
      <w:r w:rsidRPr="008A4800">
        <w:rPr>
          <w:rFonts w:ascii="Verdana" w:hAnsi="Verdana"/>
        </w:rPr>
        <w:t>hábiles que deberían pasar entre la fecha de terminación de una vinculación y la fecha de inicio de la siguiente</w:t>
      </w:r>
      <w:r>
        <w:rPr>
          <w:rFonts w:ascii="Verdana" w:hAnsi="Verdana"/>
        </w:rPr>
        <w:t xml:space="preserve"> vinculación, se instituye con el propósito de </w:t>
      </w:r>
      <w:r w:rsidRPr="008A4800">
        <w:rPr>
          <w:rFonts w:ascii="Verdana" w:hAnsi="Verdana"/>
        </w:rPr>
        <w:t xml:space="preserve">que se entienda que hay solución de continuidad </w:t>
      </w:r>
      <w:r>
        <w:rPr>
          <w:rFonts w:ascii="Verdana" w:hAnsi="Verdana"/>
        </w:rPr>
        <w:t xml:space="preserve">y </w:t>
      </w:r>
      <w:r w:rsidRPr="008A4800">
        <w:rPr>
          <w:rFonts w:ascii="Verdana" w:hAnsi="Verdana"/>
        </w:rPr>
        <w:t xml:space="preserve">solo tiene cabida si se evidencia que hay un </w:t>
      </w:r>
      <w:r w:rsidRPr="008A4800">
        <w:rPr>
          <w:rFonts w:ascii="Verdana" w:hAnsi="Verdana"/>
          <w:i/>
          <w:iCs/>
        </w:rPr>
        <w:t>contrato realidad</w:t>
      </w:r>
      <w:r w:rsidRPr="008A4800">
        <w:rPr>
          <w:rFonts w:ascii="Verdana" w:hAnsi="Verdana"/>
        </w:rPr>
        <w:t xml:space="preserve"> </w:t>
      </w:r>
      <w:r>
        <w:rPr>
          <w:rFonts w:ascii="Verdana" w:hAnsi="Verdana"/>
        </w:rPr>
        <w:t>única y exclusivamente</w:t>
      </w:r>
      <w:r w:rsidRPr="008A4800">
        <w:rPr>
          <w:rFonts w:ascii="Verdana" w:hAnsi="Verdana"/>
        </w:rPr>
        <w:t xml:space="preserve"> para contabilizar la prescripción de los derechos laborales y prestacionales aplicables</w:t>
      </w:r>
      <w:r>
        <w:rPr>
          <w:rFonts w:ascii="Verdana" w:hAnsi="Verdana"/>
        </w:rPr>
        <w:t xml:space="preserve">. Por lo tanto, </w:t>
      </w:r>
      <w:r w:rsidRPr="008A4800">
        <w:rPr>
          <w:rFonts w:ascii="Verdana" w:hAnsi="Verdana"/>
        </w:rPr>
        <w:t>los contratos de prestación de servicio</w:t>
      </w:r>
      <w:r>
        <w:rPr>
          <w:rFonts w:ascii="Verdana" w:hAnsi="Verdana"/>
        </w:rPr>
        <w:t>s</w:t>
      </w:r>
      <w:r w:rsidRPr="008A4800">
        <w:rPr>
          <w:rFonts w:ascii="Verdana" w:hAnsi="Verdana"/>
        </w:rPr>
        <w:t xml:space="preserve"> que sí están sujetos a </w:t>
      </w:r>
      <w:r>
        <w:rPr>
          <w:rFonts w:ascii="Verdana" w:hAnsi="Verdana"/>
        </w:rPr>
        <w:t xml:space="preserve">lo contemplado en el </w:t>
      </w:r>
      <w:r w:rsidRPr="008A4800">
        <w:rPr>
          <w:rFonts w:ascii="Verdana" w:hAnsi="Verdana"/>
        </w:rPr>
        <w:t xml:space="preserve">artículo 32.3 de la Ley 80 de 1993 no </w:t>
      </w:r>
      <w:r>
        <w:rPr>
          <w:rFonts w:ascii="Verdana" w:hAnsi="Verdana"/>
        </w:rPr>
        <w:t>les aplica la imposición de</w:t>
      </w:r>
      <w:r w:rsidRPr="008A4800">
        <w:rPr>
          <w:rFonts w:ascii="Verdana" w:hAnsi="Verdana"/>
        </w:rPr>
        <w:t xml:space="preserve"> ningún límite temporal</w:t>
      </w:r>
      <w:r>
        <w:rPr>
          <w:rFonts w:ascii="Verdana" w:hAnsi="Verdana"/>
        </w:rPr>
        <w:t xml:space="preserve"> para su celebración</w:t>
      </w:r>
      <w:r w:rsidRPr="008A4800">
        <w:rPr>
          <w:rFonts w:ascii="Verdana" w:hAnsi="Verdana"/>
        </w:rPr>
        <w:t>.</w:t>
      </w:r>
    </w:p>
    <w:p w14:paraId="3EF0A20D" w14:textId="77777777" w:rsidR="000273DF" w:rsidRPr="00232683" w:rsidRDefault="000273DF" w:rsidP="000273DF">
      <w:pPr>
        <w:spacing w:after="120" w:line="276" w:lineRule="auto"/>
        <w:ind w:firstLine="709"/>
        <w:jc w:val="both"/>
        <w:textAlignment w:val="baseline"/>
        <w:rPr>
          <w:rFonts w:ascii="Verdana" w:eastAsia="Calibri" w:hAnsi="Verdana" w:cs="Arial"/>
          <w:lang w:val="es-ES"/>
        </w:rPr>
      </w:pPr>
      <w:r w:rsidRPr="00473029">
        <w:rPr>
          <w:rFonts w:ascii="Verdana" w:hAnsi="Verdana" w:cs="Arial"/>
          <w:lang w:val="es-ES" w:eastAsia="es-CO"/>
        </w:rPr>
        <w:t>En este sentido, la Agencia Nacional de Contratación Pública – Colombia Compra Eficiente no es el órgano autorizado para conceptuar sobre las implicaciones de los contratos realidad, tampoco para establecer el alcance de las sentencias de unificación del Consejo de Estado sobre conflictos en temas laborales. En otras palabras, esta entidad no puede establecer directrices al respecto, especialmente porque los lineamientos para evitar la configuración de daños antijurídicos en dicha materia corresponden a una entidad distinta.</w:t>
      </w:r>
    </w:p>
    <w:p w14:paraId="308595DB" w14:textId="77777777" w:rsidR="000273DF" w:rsidRPr="00232683" w:rsidRDefault="000273DF" w:rsidP="000273DF">
      <w:pPr>
        <w:spacing w:after="120" w:line="276" w:lineRule="auto"/>
        <w:ind w:firstLine="708"/>
        <w:jc w:val="both"/>
        <w:rPr>
          <w:rFonts w:ascii="Verdana" w:eastAsia="Calibri" w:hAnsi="Verdana" w:cs="Arial"/>
        </w:rPr>
      </w:pPr>
      <w:bookmarkStart w:id="4" w:name="_Hlk88117383"/>
      <w:r>
        <w:rPr>
          <w:rFonts w:ascii="Verdana" w:eastAsia="Calibri" w:hAnsi="Verdana" w:cs="Arial"/>
          <w:lang w:val="es-ES"/>
        </w:rPr>
        <w:t xml:space="preserve">En todo caso, es importante recordar que esta Agencia </w:t>
      </w:r>
      <w:r w:rsidRPr="00232683">
        <w:rPr>
          <w:rFonts w:ascii="Verdana" w:eastAsia="Calibri" w:hAnsi="Verdana" w:cs="Arial"/>
          <w:lang w:val="es-ES"/>
        </w:rPr>
        <w:t>solo</w:t>
      </w:r>
      <w:r>
        <w:rPr>
          <w:rFonts w:ascii="Verdana" w:eastAsia="Calibri" w:hAnsi="Verdana" w:cs="Arial"/>
          <w:lang w:val="es-ES"/>
        </w:rPr>
        <w:t xml:space="preserve"> se encuentra facultada para</w:t>
      </w:r>
      <w:r w:rsidRPr="00232683">
        <w:rPr>
          <w:rFonts w:ascii="Verdana" w:eastAsia="Calibri" w:hAnsi="Verdana" w:cs="Arial"/>
          <w:lang w:val="es-ES"/>
        </w:rPr>
        <w:t xml:space="preserve"> res</w:t>
      </w:r>
      <w:r>
        <w:rPr>
          <w:rFonts w:ascii="Verdana" w:eastAsia="Calibri" w:hAnsi="Verdana" w:cs="Arial"/>
          <w:lang w:val="es-ES"/>
        </w:rPr>
        <w:t>olver</w:t>
      </w:r>
      <w:r w:rsidRPr="00232683">
        <w:rPr>
          <w:rFonts w:ascii="Verdana" w:eastAsia="Calibri" w:hAnsi="Verdana" w:cs="Arial"/>
          <w:lang w:val="es-ES"/>
        </w:rPr>
        <w:t xml:space="preserve"> consultas sobre normas generales del sistema de compras y contratación pública. No obstante, </w:t>
      </w:r>
      <w:r w:rsidRPr="00232683">
        <w:rPr>
          <w:rStyle w:val="normaltextrun"/>
          <w:rFonts w:ascii="Verdana" w:hAnsi="Verdana" w:cs="Arial"/>
          <w:color w:val="000000"/>
          <w:shd w:val="clear" w:color="auto" w:fill="FFFFFF"/>
        </w:rPr>
        <w:t xml:space="preserve">si bien la jurisprudencia es una pauta de autoridad para entender el contenido de las leyes y los reglamentos, la sentencia de unificación del 9 de septiembre de 2021 fue expedida por la Sección Segunda del Consejo de Estado, la cual se encarga principalmente de resolver controversias judiciales en materia laboral, </w:t>
      </w:r>
      <w:r>
        <w:rPr>
          <w:rStyle w:val="normaltextrun"/>
          <w:rFonts w:ascii="Verdana" w:hAnsi="Verdana" w:cs="Arial"/>
          <w:color w:val="000000"/>
          <w:shd w:val="clear" w:color="auto" w:fill="FFFFFF"/>
        </w:rPr>
        <w:t>las cuales</w:t>
      </w:r>
      <w:r w:rsidRPr="00232683">
        <w:rPr>
          <w:rStyle w:val="normaltextrun"/>
          <w:rFonts w:ascii="Verdana" w:hAnsi="Verdana" w:cs="Arial"/>
          <w:color w:val="000000"/>
          <w:shd w:val="clear" w:color="auto" w:fill="FFFFFF"/>
        </w:rPr>
        <w:t xml:space="preserve"> son ajenas a las competencias de la Agencia </w:t>
      </w:r>
      <w:r>
        <w:rPr>
          <w:rStyle w:val="normaltextrun"/>
          <w:rFonts w:ascii="Verdana" w:hAnsi="Verdana" w:cs="Arial"/>
          <w:color w:val="000000"/>
          <w:shd w:val="clear" w:color="auto" w:fill="FFFFFF"/>
        </w:rPr>
        <w:t>N</w:t>
      </w:r>
      <w:r w:rsidRPr="00232683">
        <w:rPr>
          <w:rStyle w:val="normaltextrun"/>
          <w:rFonts w:ascii="Verdana" w:hAnsi="Verdana" w:cs="Arial"/>
          <w:color w:val="000000"/>
          <w:shd w:val="clear" w:color="auto" w:fill="FFFFFF"/>
        </w:rPr>
        <w:t>acional de Contratación Pública.</w:t>
      </w:r>
      <w:r w:rsidRPr="00232683">
        <w:rPr>
          <w:rFonts w:ascii="Verdana" w:eastAsia="Calibri" w:hAnsi="Verdana" w:cs="Arial"/>
          <w:lang w:val="es-ES"/>
        </w:rPr>
        <w:t xml:space="preserve"> </w:t>
      </w:r>
      <w:r w:rsidRPr="00F35BD5">
        <w:rPr>
          <w:rFonts w:ascii="Verdana" w:eastAsia="Calibri" w:hAnsi="Verdana" w:cs="Arial"/>
          <w:lang w:val="es-ES"/>
        </w:rPr>
        <w:t>Por otra parte,</w:t>
      </w:r>
      <w:r w:rsidRPr="00232683">
        <w:rPr>
          <w:rFonts w:ascii="Verdana" w:eastAsia="Calibri" w:hAnsi="Verdana" w:cs="Arial"/>
          <w:lang w:val="es-ES"/>
        </w:rPr>
        <w:t xml:space="preserve"> es </w:t>
      </w:r>
      <w:r w:rsidRPr="00232683">
        <w:rPr>
          <w:rFonts w:ascii="Verdana" w:eastAsia="Calibri" w:hAnsi="Verdana" w:cs="Arial"/>
          <w:lang w:val="es-ES"/>
        </w:rPr>
        <w:lastRenderedPageBreak/>
        <w:t xml:space="preserve">necesario tener en cuenta que la Directiva de la Procuraduría General de la República 001 del 4 de enero de 2021 dispuso </w:t>
      </w:r>
      <w:r w:rsidRPr="00EB30BA">
        <w:rPr>
          <w:rFonts w:ascii="Verdana" w:eastAsia="Calibri" w:hAnsi="Verdana" w:cs="Arial"/>
          <w:i/>
          <w:iCs/>
          <w:lang w:val="es-ES"/>
        </w:rPr>
        <w:t>“</w:t>
      </w:r>
      <w:r w:rsidRPr="00EB30BA">
        <w:rPr>
          <w:rFonts w:ascii="Verdana" w:eastAsia="Calibri" w:hAnsi="Verdana" w:cs="Arial"/>
          <w:i/>
          <w:iCs/>
        </w:rPr>
        <w:t>Exhortar a la Agencia Nacional de Defensa Jurídica del Estado, a continuar adelantando, en la órbita de la función preventiva judicial, actividades para evitar el contrato realidad con las entidades de la rama ejecutiva del nivel nacional y hacer pedagogía y brindar apoyo a las entidades territoriales”</w:t>
      </w:r>
      <w:r w:rsidRPr="00232683">
        <w:rPr>
          <w:rFonts w:ascii="Verdana" w:eastAsia="Calibri" w:hAnsi="Verdana" w:cs="Arial"/>
        </w:rPr>
        <w:t>.</w:t>
      </w:r>
    </w:p>
    <w:p w14:paraId="0FD2B0D4" w14:textId="77777777" w:rsidR="000273DF" w:rsidRDefault="000273DF" w:rsidP="005E7D92">
      <w:pPr>
        <w:spacing w:after="0" w:line="276" w:lineRule="auto"/>
        <w:ind w:firstLine="708"/>
        <w:jc w:val="both"/>
        <w:rPr>
          <w:rFonts w:ascii="Verdana" w:eastAsia="Calibri" w:hAnsi="Verdana" w:cs="Arial"/>
          <w:lang w:val="es-ES"/>
        </w:rPr>
      </w:pPr>
      <w:r w:rsidRPr="00232683">
        <w:rPr>
          <w:rFonts w:ascii="Verdana" w:eastAsia="Calibri" w:hAnsi="Verdana" w:cs="Arial"/>
          <w:lang w:val="es-ES"/>
        </w:rPr>
        <w:t xml:space="preserve">Teniendo en cuenta lo anterior, con fundamento en los criterios establecidos en la sentencia de unificación de jurisprudencia, la </w:t>
      </w:r>
      <w:r w:rsidRPr="009C5407">
        <w:rPr>
          <w:rFonts w:ascii="Verdana" w:eastAsia="Calibri" w:hAnsi="Verdana" w:cs="Arial"/>
          <w:lang w:val="es-ES"/>
        </w:rPr>
        <w:t>Agencia Nacional de Defensa Jurídica del Estado</w:t>
      </w:r>
      <w:r w:rsidRPr="00232683">
        <w:rPr>
          <w:rFonts w:ascii="Verdana" w:eastAsia="Calibri" w:hAnsi="Verdana" w:cs="Arial"/>
          <w:lang w:val="es-ES"/>
        </w:rPr>
        <w:t xml:space="preserve"> estableció lineamientos en torno a la forma de prevenir la configuración de contratos realidad. </w:t>
      </w:r>
      <w:bookmarkEnd w:id="4"/>
      <w:r w:rsidRPr="00232683">
        <w:rPr>
          <w:rFonts w:ascii="Verdana" w:eastAsia="Calibri" w:hAnsi="Verdana" w:cs="Arial"/>
          <w:lang w:val="es-ES"/>
        </w:rPr>
        <w:t xml:space="preserve">De esta manera, conforme a la Comunicación Interinstitucional del 20 de octubre de 2021, dicha Agencia precisó lo siguiente: </w:t>
      </w:r>
    </w:p>
    <w:p w14:paraId="79D31EDC" w14:textId="77777777" w:rsidR="005E7D92" w:rsidRPr="00232683" w:rsidRDefault="005E7D92" w:rsidP="00177A85">
      <w:pPr>
        <w:spacing w:after="0" w:line="276" w:lineRule="auto"/>
        <w:ind w:firstLine="708"/>
        <w:jc w:val="both"/>
        <w:rPr>
          <w:rFonts w:ascii="Verdana" w:eastAsia="Calibri" w:hAnsi="Verdana" w:cs="Arial"/>
          <w:lang w:val="es-ES"/>
        </w:rPr>
      </w:pPr>
    </w:p>
    <w:p w14:paraId="20D66652"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b/>
          <w:sz w:val="20"/>
          <w:szCs w:val="20"/>
        </w:rPr>
      </w:pPr>
      <w:r w:rsidRPr="00EB30BA">
        <w:rPr>
          <w:rFonts w:ascii="Verdana" w:hAnsi="Verdana" w:cs="Arial"/>
          <w:b/>
          <w:sz w:val="20"/>
          <w:szCs w:val="20"/>
        </w:rPr>
        <w:t xml:space="preserve">“V. Recomendaciones adicionales en materia de prevención del daño antijurídico </w:t>
      </w:r>
    </w:p>
    <w:p w14:paraId="5C201F32"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b/>
          <w:sz w:val="20"/>
          <w:szCs w:val="20"/>
        </w:rPr>
      </w:pPr>
      <w:r w:rsidRPr="00EB30BA">
        <w:rPr>
          <w:rFonts w:ascii="Verdana" w:hAnsi="Verdana" w:cs="Arial"/>
          <w:b/>
          <w:sz w:val="20"/>
          <w:szCs w:val="20"/>
        </w:rPr>
        <w:t>a. En la fase precontractual:</w:t>
      </w:r>
    </w:p>
    <w:p w14:paraId="57599EF9"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 Abstenerse en todo momento de dar instrucciones, impartir ordenes, o solicitar el cumplimiento de actividades a personas cuya relación contractual con la entidad ha finiquitado, aún en los eventos en los que se requiera volver a contratar con la misma persona. Este hecho constituye un comportamiento que incrementa de manera grave el riesgo jurídico de configurar una verdadera relación laboral. </w:t>
      </w:r>
    </w:p>
    <w:p w14:paraId="2434A02F"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w:t>
      </w:r>
      <w:r w:rsidRPr="00EB30BA">
        <w:rPr>
          <w:rFonts w:ascii="Verdana" w:hAnsi="Verdana" w:cs="Arial"/>
          <w:i/>
          <w:iCs/>
          <w:sz w:val="20"/>
          <w:szCs w:val="20"/>
        </w:rPr>
        <w:t xml:space="preserve">Acudir al contrato de prestación de servicios cuando sea estrictamente necesario y evitar que a través </w:t>
      </w:r>
      <w:proofErr w:type="gramStart"/>
      <w:r w:rsidRPr="00EB30BA">
        <w:rPr>
          <w:rFonts w:ascii="Verdana" w:hAnsi="Verdana" w:cs="Arial"/>
          <w:i/>
          <w:iCs/>
          <w:sz w:val="20"/>
          <w:szCs w:val="20"/>
        </w:rPr>
        <w:t>del mismo</w:t>
      </w:r>
      <w:proofErr w:type="gramEnd"/>
      <w:r w:rsidRPr="00EB30BA">
        <w:rPr>
          <w:rFonts w:ascii="Verdana" w:hAnsi="Verdana" w:cs="Arial"/>
          <w:i/>
          <w:iCs/>
          <w:sz w:val="20"/>
          <w:szCs w:val="20"/>
        </w:rPr>
        <w:t xml:space="preserve"> se desarrollen funciones de carácter permanente de la administración.</w:t>
      </w:r>
      <w:r w:rsidRPr="00EB30BA">
        <w:rPr>
          <w:rFonts w:ascii="Verdana" w:hAnsi="Verdana" w:cs="Arial"/>
          <w:sz w:val="20"/>
          <w:szCs w:val="20"/>
        </w:rPr>
        <w:t xml:space="preserve"> </w:t>
      </w:r>
    </w:p>
    <w:p w14:paraId="11F1E9DE"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Elaborar estudios previos respetando el principio de planeación y legalidad, en los cuales se deben establecer y justificar las necesidades de la entidad y la temporalidad de </w:t>
      </w:r>
      <w:proofErr w:type="gramStart"/>
      <w:r w:rsidRPr="00EB30BA">
        <w:rPr>
          <w:rFonts w:ascii="Verdana" w:hAnsi="Verdana" w:cs="Arial"/>
          <w:sz w:val="20"/>
          <w:szCs w:val="20"/>
        </w:rPr>
        <w:t>las mismas</w:t>
      </w:r>
      <w:proofErr w:type="gramEnd"/>
      <w:r w:rsidRPr="00EB30BA">
        <w:rPr>
          <w:rFonts w:ascii="Verdana" w:hAnsi="Verdana" w:cs="Arial"/>
          <w:sz w:val="20"/>
          <w:szCs w:val="20"/>
        </w:rPr>
        <w:t xml:space="preserve">. </w:t>
      </w:r>
    </w:p>
    <w:p w14:paraId="08A5A55F"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Establecer expresamente en los estudios previos la necesidad de la contratación y la temporalidad del objeto contractual. </w:t>
      </w:r>
    </w:p>
    <w:p w14:paraId="55C5D812"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Evitar contratar la realización de tareas idénticas, semejantes o equivalentes a las asignadas en forma permanente a los funcionarios o empleados de planta de la entidad. </w:t>
      </w:r>
    </w:p>
    <w:p w14:paraId="21FF0AF9"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w:t>
      </w:r>
      <w:r w:rsidRPr="00EB30BA">
        <w:rPr>
          <w:rFonts w:ascii="Verdana" w:hAnsi="Verdana" w:cs="Arial"/>
          <w:i/>
          <w:iCs/>
          <w:sz w:val="20"/>
          <w:szCs w:val="20"/>
        </w:rPr>
        <w:t>En los eventos en que se acuda a la prórroga del contrato, se debe soportar la situación por las cuales se hace necesario la modificación o ampliación del plazo inicialmente pactado.</w:t>
      </w:r>
      <w:r w:rsidRPr="00EB30BA">
        <w:rPr>
          <w:rFonts w:ascii="Verdana" w:hAnsi="Verdana" w:cs="Arial"/>
          <w:sz w:val="20"/>
          <w:szCs w:val="20"/>
        </w:rPr>
        <w:t xml:space="preserve"> </w:t>
      </w:r>
    </w:p>
    <w:p w14:paraId="5054C387"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b/>
          <w:sz w:val="20"/>
          <w:szCs w:val="20"/>
        </w:rPr>
      </w:pPr>
      <w:r w:rsidRPr="00EB30BA">
        <w:rPr>
          <w:rFonts w:ascii="Verdana" w:hAnsi="Verdana" w:cs="Arial"/>
          <w:b/>
          <w:sz w:val="20"/>
          <w:szCs w:val="20"/>
        </w:rPr>
        <w:t xml:space="preserve">b. En la fase de ejecución contractual: </w:t>
      </w:r>
    </w:p>
    <w:p w14:paraId="5EDE0069"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La subordinación o dependencia continuada del trabajador constituye un elemento subjetivo determinante que distingue las relaciones de carácter laboral de las demás prestaciones de servicios, en razón la entidad debe abstenerse de:</w:t>
      </w:r>
    </w:p>
    <w:p w14:paraId="05C2AB58"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sz w:val="20"/>
          <w:szCs w:val="20"/>
        </w:rPr>
        <w:t xml:space="preserve"> </w:t>
      </w:r>
      <w:r w:rsidRPr="00EB30BA">
        <w:rPr>
          <w:rFonts w:ascii="Segoe UI Symbol" w:hAnsi="Segoe UI Symbol" w:cs="Segoe UI Symbol"/>
          <w:sz w:val="20"/>
          <w:szCs w:val="20"/>
        </w:rPr>
        <w:t>➢</w:t>
      </w:r>
      <w:r w:rsidRPr="00EB30BA">
        <w:rPr>
          <w:rFonts w:ascii="Verdana" w:hAnsi="Verdana" w:cs="Arial"/>
          <w:sz w:val="20"/>
          <w:szCs w:val="20"/>
        </w:rPr>
        <w:t xml:space="preserve"> Exigir al contratista el cumplimiento de órdenes. En sentido contrario, la entidad sí puede efectuar una coordinación de actividades. Así lo indicó </w:t>
      </w:r>
      <w:r w:rsidRPr="00EB30BA">
        <w:rPr>
          <w:rFonts w:ascii="Verdana" w:hAnsi="Verdana" w:cs="Arial"/>
          <w:sz w:val="20"/>
          <w:szCs w:val="20"/>
        </w:rPr>
        <w:lastRenderedPageBreak/>
        <w:t xml:space="preserve">la sentencia de unificación al señalar que “lo que debe existir entre contratante y contratista es una relación de coordinación de actividades, la cual implica que el segundo se somete a las condiciones necesarias para el desarrollo eficiente del objeto contractual, como puede ser el cumplimiento de un horario o el hecho de recibir una serie de instrucciones de sus superiores, o tener que reportar informes sobre sus resultados”. </w:t>
      </w:r>
    </w:p>
    <w:p w14:paraId="1833F15D"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Segoe UI Symbol" w:hAnsi="Segoe UI Symbol" w:cs="Segoe UI Symbol"/>
          <w:sz w:val="20"/>
          <w:szCs w:val="20"/>
        </w:rPr>
        <w:t>➢</w:t>
      </w:r>
      <w:r w:rsidRPr="00EB30BA">
        <w:rPr>
          <w:rFonts w:ascii="Verdana" w:hAnsi="Verdana" w:cs="Arial"/>
          <w:sz w:val="20"/>
          <w:szCs w:val="20"/>
        </w:rPr>
        <w:t xml:space="preserve"> Imponer el cumplimiento de jornada y horario, salvo que las necesidades del servicio así lo requieran, siempre y cuando exista una justificación estricta y precisa. </w:t>
      </w:r>
    </w:p>
    <w:p w14:paraId="1BBF3E93"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Segoe UI Symbol" w:hAnsi="Segoe UI Symbol" w:cs="Segoe UI Symbol"/>
          <w:sz w:val="20"/>
          <w:szCs w:val="20"/>
        </w:rPr>
        <w:t>➢</w:t>
      </w:r>
      <w:r w:rsidRPr="00EB30BA">
        <w:rPr>
          <w:rFonts w:ascii="Verdana" w:hAnsi="Verdana" w:cs="Arial"/>
          <w:sz w:val="20"/>
          <w:szCs w:val="20"/>
        </w:rPr>
        <w:t xml:space="preserve"> Imponer al contratista los protocolos de la organización y someterlo a su poder disciplinario. </w:t>
      </w:r>
    </w:p>
    <w:p w14:paraId="12D05350"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Segoe UI Symbol" w:hAnsi="Segoe UI Symbol" w:cs="Segoe UI Symbol"/>
          <w:sz w:val="20"/>
          <w:szCs w:val="20"/>
        </w:rPr>
        <w:t>➢</w:t>
      </w:r>
      <w:r w:rsidRPr="00EB30BA">
        <w:rPr>
          <w:rFonts w:ascii="Verdana" w:hAnsi="Verdana" w:cs="Arial"/>
          <w:sz w:val="20"/>
          <w:szCs w:val="20"/>
        </w:rPr>
        <w:t xml:space="preserve"> Exigir al contratista la asistencia presencial a la entidad para el cumplimiento de sus actividades, lo anterior siempre y cuando dicha necesidad no esté justificada en los estudios previos y la minuta del contrato. </w:t>
      </w:r>
    </w:p>
    <w:p w14:paraId="5D18E998"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Segoe UI Symbol" w:hAnsi="Segoe UI Symbol" w:cs="Segoe UI Symbol"/>
          <w:sz w:val="20"/>
          <w:szCs w:val="20"/>
        </w:rPr>
        <w:t>➢</w:t>
      </w:r>
      <w:r w:rsidRPr="00EB30BA">
        <w:rPr>
          <w:rFonts w:ascii="Verdana" w:hAnsi="Verdana" w:cs="Arial"/>
          <w:sz w:val="20"/>
          <w:szCs w:val="20"/>
        </w:rPr>
        <w:t xml:space="preserve"> Evitar exigirle al contratista la participación obligatoria en capacitaciones o eventos que no se encuentren estipulados en el contrato de prestación de servicios. </w:t>
      </w:r>
    </w:p>
    <w:p w14:paraId="1FC65BA4" w14:textId="77777777" w:rsidR="000273DF" w:rsidRPr="00EB30BA" w:rsidRDefault="000273DF" w:rsidP="00177A85">
      <w:pPr>
        <w:shd w:val="clear" w:color="auto" w:fill="FFFFFF"/>
        <w:spacing w:after="0" w:line="240" w:lineRule="auto"/>
        <w:ind w:left="709" w:right="709"/>
        <w:jc w:val="both"/>
        <w:textAlignment w:val="baseline"/>
        <w:rPr>
          <w:rFonts w:ascii="Verdana" w:hAnsi="Verdana" w:cs="Arial"/>
          <w:sz w:val="20"/>
          <w:szCs w:val="20"/>
        </w:rPr>
      </w:pPr>
      <w:r w:rsidRPr="00EB30BA">
        <w:rPr>
          <w:rFonts w:ascii="Verdana" w:hAnsi="Verdana" w:cs="Arial"/>
          <w:i/>
          <w:iCs/>
          <w:sz w:val="20"/>
          <w:szCs w:val="20"/>
        </w:rPr>
        <w:t>• La entidad debe garantizar que las funciones del contratista se desarrollen con alto grado de autonomía, sin perjuicio de la necesidad de coordinación con la entidad contratante</w:t>
      </w:r>
      <w:r w:rsidRPr="00EB30BA">
        <w:rPr>
          <w:rFonts w:ascii="Verdana" w:hAnsi="Verdana" w:cs="Arial"/>
          <w:sz w:val="20"/>
          <w:szCs w:val="20"/>
        </w:rPr>
        <w:t>.</w:t>
      </w:r>
    </w:p>
    <w:p w14:paraId="17B659E1" w14:textId="77777777" w:rsidR="000273DF" w:rsidRDefault="000273DF" w:rsidP="005E7D92">
      <w:pPr>
        <w:shd w:val="clear" w:color="auto" w:fill="FFFFFF"/>
        <w:spacing w:after="0" w:line="240" w:lineRule="auto"/>
        <w:ind w:left="709" w:right="709"/>
        <w:jc w:val="both"/>
        <w:textAlignment w:val="baseline"/>
        <w:rPr>
          <w:rFonts w:ascii="Verdana" w:hAnsi="Verdana" w:cs="Arial"/>
        </w:rPr>
      </w:pPr>
      <w:r w:rsidRPr="00EB30BA">
        <w:rPr>
          <w:rFonts w:ascii="Verdana" w:hAnsi="Verdana" w:cs="Arial"/>
          <w:sz w:val="20"/>
          <w:szCs w:val="20"/>
        </w:rPr>
        <w:t xml:space="preserve"> • Debe también capacitar de manera permanente a los supervisores de los contratos de prestación de servicios para el debido ejercicio de las funciones y evitar la desnaturalización </w:t>
      </w:r>
      <w:proofErr w:type="gramStart"/>
      <w:r w:rsidRPr="00EB30BA">
        <w:rPr>
          <w:rFonts w:ascii="Verdana" w:hAnsi="Verdana" w:cs="Arial"/>
          <w:sz w:val="20"/>
          <w:szCs w:val="20"/>
        </w:rPr>
        <w:t>del mismo</w:t>
      </w:r>
      <w:proofErr w:type="gramEnd"/>
      <w:r w:rsidRPr="00EB30BA">
        <w:rPr>
          <w:rFonts w:ascii="Verdana" w:hAnsi="Verdana" w:cs="Arial"/>
          <w:sz w:val="20"/>
          <w:szCs w:val="20"/>
        </w:rPr>
        <w:t xml:space="preserve">”. </w:t>
      </w:r>
      <w:r w:rsidRPr="00AA7AD9">
        <w:rPr>
          <w:rFonts w:ascii="Verdana" w:hAnsi="Verdana" w:cs="Arial"/>
        </w:rPr>
        <w:t xml:space="preserve">[Énfasis fuera de texto]. </w:t>
      </w:r>
    </w:p>
    <w:p w14:paraId="751C5745" w14:textId="77777777" w:rsidR="005E7D92" w:rsidRPr="00AA7AD9" w:rsidRDefault="005E7D92" w:rsidP="00177A85">
      <w:pPr>
        <w:shd w:val="clear" w:color="auto" w:fill="FFFFFF"/>
        <w:spacing w:after="0" w:line="240" w:lineRule="auto"/>
        <w:ind w:left="709" w:right="709"/>
        <w:jc w:val="both"/>
        <w:textAlignment w:val="baseline"/>
        <w:rPr>
          <w:rFonts w:ascii="Verdana" w:hAnsi="Verdana" w:cs="Arial"/>
        </w:rPr>
      </w:pPr>
    </w:p>
    <w:p w14:paraId="49A2C229" w14:textId="77777777" w:rsidR="000273DF" w:rsidRPr="00232683" w:rsidRDefault="000273DF" w:rsidP="000273DF">
      <w:pPr>
        <w:shd w:val="clear" w:color="auto" w:fill="FFFFFF"/>
        <w:spacing w:after="120" w:line="276" w:lineRule="auto"/>
        <w:ind w:firstLine="708"/>
        <w:jc w:val="both"/>
        <w:textAlignment w:val="baseline"/>
        <w:rPr>
          <w:rFonts w:ascii="Verdana" w:hAnsi="Verdana" w:cs="Arial"/>
          <w:lang w:eastAsia="es-CO"/>
        </w:rPr>
      </w:pPr>
      <w:r w:rsidRPr="00232683">
        <w:rPr>
          <w:rFonts w:ascii="Verdana" w:hAnsi="Verdana" w:cs="Arial"/>
          <w:lang w:eastAsia="es-CO"/>
        </w:rPr>
        <w:t>La Presidencia de la República también expidió la Directiva 07 del 28 de octubre de 2021 con el fin de determinar el alcance de la sentencia de unificación jurisprudencial, la cual sirve de guía para las decisiones que deberán tomar las diferentes entidades públicas. Además, en armonía con lo expuesto anteriormente, el numeral 5 de dicha Directiva reitera la competencia de la</w:t>
      </w:r>
      <w:r w:rsidRPr="00232683">
        <w:rPr>
          <w:rFonts w:ascii="Verdana" w:eastAsia="Calibri" w:hAnsi="Verdana" w:cs="Arial"/>
          <w:lang w:val="es-ES"/>
        </w:rPr>
        <w:t xml:space="preserve"> </w:t>
      </w:r>
      <w:r w:rsidRPr="00D90035">
        <w:rPr>
          <w:rFonts w:ascii="Verdana" w:eastAsia="Calibri" w:hAnsi="Verdana" w:cs="Arial"/>
        </w:rPr>
        <w:t>Agencia Nacional de Defensa Jurídica del Estado</w:t>
      </w:r>
      <w:r>
        <w:rPr>
          <w:rFonts w:ascii="Verdana" w:eastAsia="Calibri" w:hAnsi="Verdana" w:cs="Arial"/>
          <w:lang w:val="es-ES"/>
        </w:rPr>
        <w:t xml:space="preserve">- </w:t>
      </w:r>
      <w:r w:rsidRPr="00232683">
        <w:rPr>
          <w:rFonts w:ascii="Verdana" w:eastAsia="Calibri" w:hAnsi="Verdana" w:cs="Arial"/>
          <w:lang w:val="es-ES"/>
        </w:rPr>
        <w:t>ANDJE</w:t>
      </w:r>
      <w:r w:rsidRPr="00232683">
        <w:rPr>
          <w:rFonts w:ascii="Verdana" w:hAnsi="Verdana" w:cs="Arial"/>
          <w:lang w:eastAsia="es-CO"/>
        </w:rPr>
        <w:t xml:space="preserve"> al disponer que «Se deben atender los lineamientos que, sobre este asunto, imparta la Agencia Nacional de Defensa Jurídica del Estado, dentro de su función de prevención del daño antijurídico»</w:t>
      </w:r>
      <w:r w:rsidRPr="00232683">
        <w:rPr>
          <w:rStyle w:val="Refdenotaalpie"/>
          <w:rFonts w:ascii="Verdana" w:hAnsi="Verdana" w:cs="Arial"/>
          <w:lang w:eastAsia="es-CO"/>
        </w:rPr>
        <w:footnoteReference w:id="20"/>
      </w:r>
      <w:r w:rsidRPr="00232683">
        <w:rPr>
          <w:rFonts w:ascii="Verdana" w:hAnsi="Verdana" w:cs="Arial"/>
          <w:lang w:eastAsia="es-CO"/>
        </w:rPr>
        <w:t>. Esto resalta que Colombia Compra Eficiente carece de competencia para pronunciarse de fondo sobre este tema, pues los lineamientos para evitar daños antijurídicos en la configuración de contratos realidad corresponden a la Agencia anteriormente mencionada</w:t>
      </w:r>
      <w:r w:rsidRPr="00232683">
        <w:rPr>
          <w:rStyle w:val="Refdenotaalpie"/>
          <w:rFonts w:ascii="Verdana" w:hAnsi="Verdana" w:cs="Arial"/>
          <w:lang w:eastAsia="es-CO"/>
        </w:rPr>
        <w:footnoteReference w:id="21"/>
      </w:r>
      <w:r w:rsidRPr="00232683">
        <w:rPr>
          <w:rFonts w:ascii="Verdana" w:hAnsi="Verdana" w:cs="Arial"/>
          <w:lang w:eastAsia="es-CO"/>
        </w:rPr>
        <w:t xml:space="preserve">. </w:t>
      </w:r>
    </w:p>
    <w:p w14:paraId="03FF8C4B" w14:textId="77777777" w:rsidR="000273DF" w:rsidRPr="00232683" w:rsidRDefault="000273DF" w:rsidP="000273DF">
      <w:pPr>
        <w:shd w:val="clear" w:color="auto" w:fill="FFFFFF"/>
        <w:spacing w:after="120" w:line="276" w:lineRule="auto"/>
        <w:ind w:firstLine="708"/>
        <w:jc w:val="both"/>
        <w:textAlignment w:val="baseline"/>
        <w:rPr>
          <w:rFonts w:ascii="Verdana" w:eastAsia="Calibri" w:hAnsi="Verdana" w:cs="Arial"/>
          <w:lang w:val="es-ES"/>
        </w:rPr>
      </w:pPr>
      <w:r w:rsidRPr="00232683">
        <w:rPr>
          <w:rFonts w:ascii="Verdana" w:hAnsi="Verdana" w:cs="Arial"/>
          <w:lang w:eastAsia="es-CO"/>
        </w:rPr>
        <w:lastRenderedPageBreak/>
        <w:t>De otro lado, conforme al artículo 10 de la Ley 1437 de 2011, se precisa que las sentencias de unificación son de obligatorio cumplimiento</w:t>
      </w:r>
      <w:r w:rsidRPr="00232683">
        <w:rPr>
          <w:rStyle w:val="Refdenotaalpie"/>
          <w:rFonts w:ascii="Verdana" w:hAnsi="Verdana" w:cs="Arial"/>
          <w:lang w:eastAsia="es-CO"/>
        </w:rPr>
        <w:footnoteReference w:id="22"/>
      </w:r>
      <w:r w:rsidRPr="00232683">
        <w:rPr>
          <w:rFonts w:ascii="Verdana" w:hAnsi="Verdana" w:cs="Arial"/>
          <w:color w:val="4B4949"/>
        </w:rPr>
        <w:t>.</w:t>
      </w:r>
      <w:r w:rsidRPr="00232683">
        <w:rPr>
          <w:rFonts w:ascii="Verdana" w:hAnsi="Verdana" w:cs="Arial"/>
          <w:lang w:eastAsia="es-CO"/>
        </w:rPr>
        <w:t xml:space="preserve"> </w:t>
      </w:r>
      <w:r w:rsidRPr="00232683">
        <w:rPr>
          <w:rFonts w:ascii="Verdana" w:eastAsia="Calibri" w:hAnsi="Verdana" w:cs="Arial"/>
          <w:lang w:val="es-ES"/>
        </w:rPr>
        <w:t>Por ello, previo análisis de los lineamientos de la Agencia Nacional de Defensa Jurídica del Estado y la Directiva presidencial relacionados en el presente oficio, las autoridades tienen autonomía administrativa para el ejercicio de las funciones y competencias que les fueron atribuidas por el ordenamiento jurídico. Por esa razón, como responsables de su actividad contractual, les corresponde adoptar las decisiones y adelantar las actuaciones que estimen pertinentes para desarrollarla.</w:t>
      </w:r>
    </w:p>
    <w:p w14:paraId="7DB5D436" w14:textId="77777777" w:rsidR="000273DF" w:rsidRDefault="000273DF" w:rsidP="000273DF">
      <w:pPr>
        <w:spacing w:line="276" w:lineRule="auto"/>
        <w:ind w:firstLine="708"/>
        <w:jc w:val="both"/>
        <w:rPr>
          <w:rFonts w:ascii="Verdana" w:eastAsia="Calibri" w:hAnsi="Verdana" w:cs="Times New Roman"/>
        </w:rPr>
      </w:pPr>
      <w:r>
        <w:rPr>
          <w:rFonts w:ascii="Verdana" w:hAnsi="Verdana" w:cs="Arial"/>
          <w:bCs/>
          <w:color w:val="000000" w:themeColor="text1"/>
        </w:rPr>
        <w:t>Así las cosas</w:t>
      </w:r>
      <w:r w:rsidRPr="00523EE3">
        <w:rPr>
          <w:rFonts w:ascii="Verdana" w:hAnsi="Verdana" w:cs="Arial"/>
          <w:bCs/>
          <w:color w:val="000000" w:themeColor="text1"/>
        </w:rPr>
        <w:t xml:space="preserve">, corresponde a cada entidad pública, en ejercicio de su competencia y previa valoración de los elementos fácticos y jurídicos, </w:t>
      </w:r>
      <w:r>
        <w:rPr>
          <w:rFonts w:ascii="Verdana" w:hAnsi="Verdana" w:cs="Arial"/>
          <w:bCs/>
          <w:color w:val="000000" w:themeColor="text1"/>
        </w:rPr>
        <w:t xml:space="preserve">determinar la viabilidad de </w:t>
      </w:r>
      <w:r w:rsidRPr="00B44494">
        <w:rPr>
          <w:rFonts w:ascii="Verdana" w:eastAsia="Calibri" w:hAnsi="Verdana" w:cs="Times New Roman"/>
        </w:rPr>
        <w:t xml:space="preserve">la renovación </w:t>
      </w:r>
      <w:r>
        <w:rPr>
          <w:rFonts w:ascii="Verdana" w:eastAsia="Calibri" w:hAnsi="Verdana" w:cs="Times New Roman"/>
        </w:rPr>
        <w:t xml:space="preserve">de un contrato de prestación de servicios con o </w:t>
      </w:r>
      <w:r w:rsidRPr="00B44494">
        <w:rPr>
          <w:rFonts w:ascii="Verdana" w:eastAsia="Calibri" w:hAnsi="Verdana" w:cs="Times New Roman"/>
        </w:rPr>
        <w:t>sin solución de continuidad</w:t>
      </w:r>
      <w:r>
        <w:rPr>
          <w:rFonts w:ascii="Verdana" w:eastAsia="Calibri" w:hAnsi="Verdana" w:cs="Times New Roman"/>
        </w:rPr>
        <w:t>.</w:t>
      </w:r>
    </w:p>
    <w:p w14:paraId="439B19F2" w14:textId="77777777" w:rsidR="000273DF" w:rsidRDefault="000273DF" w:rsidP="004E0BBC">
      <w:pPr>
        <w:spacing w:after="0" w:line="276" w:lineRule="auto"/>
        <w:ind w:firstLine="708"/>
        <w:jc w:val="both"/>
        <w:rPr>
          <w:rFonts w:ascii="Verdana" w:hAnsi="Verdana" w:cs="Arial"/>
          <w:bCs/>
          <w:color w:val="000000" w:themeColor="text1"/>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p>
    <w:p w14:paraId="5B11432A" w14:textId="77777777" w:rsidR="004E0BBC" w:rsidRPr="004E0BBC" w:rsidRDefault="004E0BBC" w:rsidP="00177A85">
      <w:pPr>
        <w:spacing w:after="0" w:line="276" w:lineRule="auto"/>
        <w:ind w:firstLine="708"/>
        <w:jc w:val="both"/>
        <w:rPr>
          <w:rFonts w:ascii="Verdana" w:eastAsia="Calibri" w:hAnsi="Verdana" w:cs="Arial"/>
        </w:rPr>
      </w:pPr>
    </w:p>
    <w:bookmarkEnd w:id="3"/>
    <w:p w14:paraId="303F3C58" w14:textId="77777777" w:rsidR="000273DF" w:rsidRPr="004E0BBC" w:rsidRDefault="000273DF" w:rsidP="004E0BBC">
      <w:pPr>
        <w:tabs>
          <w:tab w:val="left" w:pos="142"/>
          <w:tab w:val="left" w:pos="284"/>
        </w:tabs>
        <w:spacing w:after="0" w:line="276" w:lineRule="auto"/>
        <w:jc w:val="both"/>
        <w:rPr>
          <w:rFonts w:ascii="Verdana" w:eastAsia="Century Gothic" w:hAnsi="Verdana" w:cs="Century Gothic"/>
          <w:b/>
          <w:bCs/>
        </w:rPr>
      </w:pPr>
      <w:r w:rsidRPr="004E0BBC">
        <w:rPr>
          <w:rFonts w:ascii="Verdana" w:eastAsia="Century Gothic" w:hAnsi="Verdana" w:cs="Century Gothic"/>
          <w:b/>
          <w:bCs/>
        </w:rPr>
        <w:t>4. Referencias normativas, jurisprudenciales y otras fuentes:</w:t>
      </w:r>
    </w:p>
    <w:p w14:paraId="6CE7885B" w14:textId="77777777" w:rsidR="004E0BBC" w:rsidRPr="004E0BBC" w:rsidRDefault="004E0BBC" w:rsidP="004E0BBC">
      <w:pPr>
        <w:tabs>
          <w:tab w:val="left" w:pos="142"/>
          <w:tab w:val="left" w:pos="284"/>
        </w:tabs>
        <w:spacing w:after="0" w:line="276" w:lineRule="auto"/>
        <w:jc w:val="both"/>
        <w:rPr>
          <w:rFonts w:ascii="Verdana" w:eastAsia="Century Gothic" w:hAnsi="Verdana" w:cs="Century Gothic"/>
          <w:b/>
          <w:bCs/>
        </w:rPr>
      </w:pPr>
    </w:p>
    <w:tbl>
      <w:tblPr>
        <w:tblStyle w:val="Tablaconcuadrcula"/>
        <w:tblW w:w="8647" w:type="dxa"/>
        <w:tblInd w:w="137" w:type="dxa"/>
        <w:tblLayout w:type="fixed"/>
        <w:tblLook w:val="04A0" w:firstRow="1" w:lastRow="0" w:firstColumn="1" w:lastColumn="0" w:noHBand="0" w:noVBand="1"/>
      </w:tblPr>
      <w:tblGrid>
        <w:gridCol w:w="8647"/>
      </w:tblGrid>
      <w:tr w:rsidR="000273DF" w:rsidRPr="004E0BBC" w14:paraId="690DF1C4" w14:textId="77777777" w:rsidTr="000A7F61">
        <w:trPr>
          <w:trHeight w:val="870"/>
        </w:trPr>
        <w:tc>
          <w:tcPr>
            <w:tcW w:w="8647" w:type="dxa"/>
          </w:tcPr>
          <w:p w14:paraId="04FAD73C"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Ley 80 de 1993.</w:t>
            </w:r>
          </w:p>
          <w:p w14:paraId="261FD56A"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 xml:space="preserve">Ley 1150 de 2007, artículo 2. </w:t>
            </w:r>
          </w:p>
          <w:p w14:paraId="2E4B1B53"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Artículo 10 de la Ley 1437 de 2011</w:t>
            </w:r>
          </w:p>
          <w:p w14:paraId="12641480"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Artículo 11 del Decreto 4170 de 2011</w:t>
            </w:r>
          </w:p>
          <w:p w14:paraId="247321B5"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 xml:space="preserve">Consejo de Estado. Sección Segunda. Sentencia del 9 de septiembre </w:t>
            </w:r>
            <w:r w:rsidRPr="004E0BBC">
              <w:rPr>
                <w:rFonts w:ascii="Verdana" w:hAnsi="Verdana" w:cs="Arial"/>
              </w:rPr>
              <w:lastRenderedPageBreak/>
              <w:t>de 2021. Expediente No. 05001-23-33-000-2013-01143-01(1317-16). M.P. Dra. Sandra Lisset Ibarra Vélez.</w:t>
            </w:r>
          </w:p>
          <w:p w14:paraId="6FE0E0DC"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Decreto 1082 de 2015.</w:t>
            </w:r>
          </w:p>
          <w:p w14:paraId="211F5C66"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Directiva de la Procuraduría General de la República 001 del 4 de enero de 2021.</w:t>
            </w:r>
          </w:p>
          <w:p w14:paraId="4B286DED" w14:textId="77777777" w:rsidR="000273DF" w:rsidRPr="004E0BBC" w:rsidRDefault="000273DF" w:rsidP="00177A85">
            <w:pPr>
              <w:pStyle w:val="Prrafodelista"/>
              <w:widowControl w:val="0"/>
              <w:numPr>
                <w:ilvl w:val="0"/>
                <w:numId w:val="16"/>
              </w:numPr>
              <w:autoSpaceDE w:val="0"/>
              <w:autoSpaceDN w:val="0"/>
              <w:spacing w:line="276" w:lineRule="auto"/>
              <w:contextualSpacing w:val="0"/>
              <w:jc w:val="both"/>
              <w:rPr>
                <w:rFonts w:ascii="Verdana" w:hAnsi="Verdana" w:cs="Arial"/>
              </w:rPr>
            </w:pPr>
            <w:r w:rsidRPr="004E0BBC">
              <w:rPr>
                <w:rFonts w:ascii="Verdana" w:hAnsi="Verdana" w:cs="Arial"/>
              </w:rPr>
              <w:t>Directiva presidencial 07 del 28 de octubre de 2021.</w:t>
            </w:r>
          </w:p>
        </w:tc>
      </w:tr>
    </w:tbl>
    <w:p w14:paraId="5700CFC8" w14:textId="77777777" w:rsidR="000273DF" w:rsidRPr="004E0BBC" w:rsidRDefault="000273DF" w:rsidP="004E0BB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53014DB" w14:textId="77777777" w:rsidR="000273DF" w:rsidRPr="004E0BBC" w:rsidRDefault="000273DF" w:rsidP="004E0BB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E0BBC">
        <w:rPr>
          <w:rFonts w:ascii="Verdana" w:eastAsia="Century Gothic" w:hAnsi="Verdana" w:cs="Century Gothic"/>
          <w:b/>
          <w:bCs/>
        </w:rPr>
        <w:t>5. Doctrina de la Agencia Nacional de Contratación Pública:</w:t>
      </w:r>
    </w:p>
    <w:p w14:paraId="309CF04C" w14:textId="77777777" w:rsidR="000273DF" w:rsidRPr="004E0BBC" w:rsidRDefault="000273DF" w:rsidP="004E0BBC">
      <w:pPr>
        <w:spacing w:after="0" w:line="276" w:lineRule="auto"/>
        <w:ind w:firstLine="709"/>
        <w:jc w:val="both"/>
        <w:rPr>
          <w:rFonts w:ascii="Verdana" w:eastAsia="Times New Roman" w:hAnsi="Verdana" w:cs="Arial"/>
          <w:szCs w:val="24"/>
          <w:lang w:eastAsia="es-ES_tradnl"/>
        </w:rPr>
      </w:pPr>
    </w:p>
    <w:p w14:paraId="0FBB6C2E" w14:textId="77777777" w:rsidR="000273DF" w:rsidRPr="004E0BBC" w:rsidRDefault="000273DF" w:rsidP="004E0BBC">
      <w:pPr>
        <w:widowControl w:val="0"/>
        <w:autoSpaceDE w:val="0"/>
        <w:autoSpaceDN w:val="0"/>
        <w:spacing w:after="0" w:line="276" w:lineRule="auto"/>
        <w:jc w:val="both"/>
        <w:rPr>
          <w:rFonts w:ascii="Verdana" w:eastAsia="Calibri" w:hAnsi="Verdana" w:cs="Arial"/>
          <w:lang w:eastAsia="es-ES_tradnl"/>
        </w:rPr>
      </w:pPr>
      <w:r w:rsidRPr="004E0BBC">
        <w:rPr>
          <w:rFonts w:ascii="Verdana" w:hAnsi="Verdana" w:cs="Arial"/>
          <w:shd w:val="clear" w:color="auto" w:fill="FFFFFF"/>
        </w:rPr>
        <w:t xml:space="preserve">Esta Subdirección se ha pronunciado sobre el concepto y límites del contrato de prestación de servicios profesionales y de apoyo a la gestión en los conceptos C-105 del 12 de marzo de 2020, C-156 del 3 de abril de 2020, C-208 del 24 de abril de 2020; C-484 del 6 de agosto de 2020, C-106 de 07 de abril de 2021, C-145 de 8 de abril de 2021, C-491 del 14 de septiembre de 2021 y C- 517 del 30 de septiembre de 2021, C-019 de 21 de febrero de 2022, </w:t>
      </w:r>
      <w:r w:rsidRPr="004E0BBC">
        <w:rPr>
          <w:rStyle w:val="normaltextrun"/>
          <w:rFonts w:ascii="Verdana" w:hAnsi="Verdana" w:cs="Arial"/>
          <w:shd w:val="clear" w:color="auto" w:fill="FFFFFF"/>
          <w:lang w:val="es-ES"/>
        </w:rPr>
        <w:t xml:space="preserve">C-181 del 7 de abril de 2022, </w:t>
      </w:r>
      <w:r w:rsidRPr="004E0BBC">
        <w:rPr>
          <w:rFonts w:ascii="Verdana" w:hAnsi="Verdana" w:cs="Arial"/>
          <w:shd w:val="clear" w:color="auto" w:fill="FFFFFF"/>
        </w:rPr>
        <w:t xml:space="preserve">C-707 de 17 de enero de 2022, </w:t>
      </w:r>
      <w:r w:rsidRPr="004E0BBC">
        <w:rPr>
          <w:rStyle w:val="normaltextrun"/>
          <w:rFonts w:ascii="Verdana" w:hAnsi="Verdana" w:cs="Arial"/>
          <w:shd w:val="clear" w:color="auto" w:fill="FFFFFF"/>
          <w:lang w:val="es-ES"/>
        </w:rPr>
        <w:t xml:space="preserve">C-966 del 1 de febrero de 2023, C-414 del 11 de septiembre de 2024, </w:t>
      </w:r>
      <w:r w:rsidRPr="004E0BBC">
        <w:rPr>
          <w:rFonts w:ascii="Verdana" w:hAnsi="Verdana" w:cs="Arial"/>
          <w:shd w:val="clear" w:color="auto" w:fill="FFFFFF"/>
          <w:lang w:val="es-ES"/>
        </w:rPr>
        <w:t xml:space="preserve">C-079 del 4 de marzo de 2025, </w:t>
      </w:r>
      <w:r w:rsidRPr="004E0BBC">
        <w:rPr>
          <w:rFonts w:ascii="Verdana" w:hAnsi="Verdana" w:cs="Arial"/>
          <w:shd w:val="clear" w:color="auto" w:fill="FFFFFF"/>
        </w:rPr>
        <w:t>C-970 del 17 de diciembre de 2024 y 411 del 13 de mayo de 2025</w:t>
      </w:r>
      <w:r w:rsidRPr="004E0BBC">
        <w:rPr>
          <w:rFonts w:ascii="Verdana" w:eastAsia="Calibri" w:hAnsi="Verdana" w:cs="Arial"/>
          <w:lang w:eastAsia="es-ES"/>
        </w:rPr>
        <w:t xml:space="preserve">. </w:t>
      </w:r>
      <w:r w:rsidRPr="004E0BBC">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4E0BBC">
          <w:rPr>
            <w:rStyle w:val="Hipervnculo"/>
            <w:rFonts w:ascii="Verdana" w:eastAsia="Calibri" w:hAnsi="Verdana" w:cs="Arial"/>
            <w:lang w:eastAsia="es-ES_tradnl"/>
          </w:rPr>
          <w:t>https://relatoria.colombiacompra.gov.co/</w:t>
        </w:r>
      </w:hyperlink>
      <w:r w:rsidRPr="004E0BBC">
        <w:rPr>
          <w:rFonts w:ascii="Verdana" w:eastAsia="Calibri" w:hAnsi="Verdana" w:cs="Arial"/>
          <w:lang w:eastAsia="es-ES_tradnl"/>
        </w:rPr>
        <w:t> </w:t>
      </w:r>
    </w:p>
    <w:p w14:paraId="2431C8A6" w14:textId="77777777" w:rsidR="000273DF" w:rsidRPr="004E0BBC" w:rsidRDefault="000273DF" w:rsidP="004E0BBC">
      <w:pPr>
        <w:spacing w:after="0" w:line="276" w:lineRule="auto"/>
        <w:jc w:val="both"/>
        <w:rPr>
          <w:rFonts w:ascii="Verdana" w:hAnsi="Verdana"/>
        </w:rPr>
      </w:pPr>
    </w:p>
    <w:p w14:paraId="24EB5B07" w14:textId="77777777" w:rsidR="000273DF" w:rsidRPr="004E0BBC" w:rsidRDefault="000273DF" w:rsidP="004E0BBC">
      <w:pPr>
        <w:spacing w:after="0" w:line="276" w:lineRule="auto"/>
        <w:jc w:val="both"/>
        <w:rPr>
          <w:rFonts w:ascii="Verdana" w:hAnsi="Verdana"/>
          <w:u w:val="single"/>
        </w:rPr>
      </w:pPr>
      <w:r w:rsidRPr="004E0BBC">
        <w:rPr>
          <w:rFonts w:ascii="Verdana" w:hAnsi="Verdana"/>
        </w:rPr>
        <w:t>Le contamos que ya se encuentra disponible la </w:t>
      </w:r>
      <w:r w:rsidRPr="004E0BBC">
        <w:rPr>
          <w:rFonts w:ascii="Verdana" w:hAnsi="Verdana"/>
          <w:b/>
          <w:bCs/>
        </w:rPr>
        <w:t>Guía de lineamientos de transparencia y selección objetiva para el departamento de La Guajira – Objetivo sexto constitucional de la Sentencia T-302 del 2017. </w:t>
      </w:r>
      <w:r w:rsidRPr="004E0BBC">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E0BBC">
        <w:rPr>
          <w:rFonts w:ascii="Verdana" w:hAnsi="Verdana"/>
        </w:rPr>
        <w:t>Wayúu</w:t>
      </w:r>
      <w:proofErr w:type="spellEnd"/>
      <w:r w:rsidRPr="004E0BBC">
        <w:rPr>
          <w:rFonts w:ascii="Verdana" w:hAnsi="Verdana"/>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4E0BBC">
          <w:rPr>
            <w:rStyle w:val="Hipervnculo"/>
            <w:rFonts w:ascii="Verdana" w:hAnsi="Verdana"/>
          </w:rPr>
          <w:t>Guía de lineamientos de transparencia y selección objetiva para el departamento de La Guajira – Objetivo sexto constitucional de la Sentencia T-302 del 2017</w:t>
        </w:r>
      </w:hyperlink>
      <w:r w:rsidRPr="004E0BBC">
        <w:rPr>
          <w:rFonts w:ascii="Verdana" w:hAnsi="Verdana"/>
          <w:u w:val="single"/>
        </w:rPr>
        <w:t>"</w:t>
      </w:r>
    </w:p>
    <w:p w14:paraId="52722597" w14:textId="77777777" w:rsidR="000273DF" w:rsidRPr="004E0BBC" w:rsidRDefault="000273DF" w:rsidP="004E0BBC">
      <w:pPr>
        <w:spacing w:after="0" w:line="276" w:lineRule="auto"/>
        <w:jc w:val="both"/>
        <w:rPr>
          <w:rFonts w:ascii="Verdana" w:hAnsi="Verdana"/>
          <w:u w:val="single"/>
        </w:rPr>
      </w:pPr>
    </w:p>
    <w:p w14:paraId="0018FCEF" w14:textId="77777777" w:rsidR="000273DF" w:rsidRPr="004E0BBC" w:rsidRDefault="000273DF" w:rsidP="004E0BBC">
      <w:pPr>
        <w:spacing w:after="0" w:line="276" w:lineRule="auto"/>
        <w:jc w:val="both"/>
        <w:rPr>
          <w:rFonts w:ascii="Verdana" w:hAnsi="Verdana"/>
        </w:rPr>
      </w:pPr>
      <w:r w:rsidRPr="004E0BBC">
        <w:rPr>
          <w:rFonts w:ascii="Verdana" w:hAnsi="Verdana"/>
        </w:rPr>
        <w:lastRenderedPageBreak/>
        <w:t xml:space="preserve">Por último, lo invitamos a seguirnos en las redes sociales en las cuales se difunde información institucional: </w:t>
      </w:r>
    </w:p>
    <w:p w14:paraId="59ABFF97" w14:textId="77777777" w:rsidR="000273DF" w:rsidRPr="004E0BBC" w:rsidRDefault="000273DF" w:rsidP="004E0BBC">
      <w:pPr>
        <w:spacing w:after="0" w:line="276" w:lineRule="auto"/>
        <w:jc w:val="both"/>
        <w:rPr>
          <w:rFonts w:ascii="Verdana" w:hAnsi="Verdana"/>
        </w:rPr>
      </w:pPr>
    </w:p>
    <w:p w14:paraId="3679287D" w14:textId="77777777" w:rsidR="000273DF" w:rsidRPr="004E0BBC" w:rsidRDefault="000273DF" w:rsidP="004E0BBC">
      <w:pPr>
        <w:spacing w:after="0" w:line="276" w:lineRule="auto"/>
        <w:jc w:val="both"/>
        <w:rPr>
          <w:rFonts w:ascii="Verdana" w:hAnsi="Verdana"/>
        </w:rPr>
      </w:pPr>
      <w:r w:rsidRPr="004E0BBC">
        <w:rPr>
          <w:rFonts w:ascii="Verdana" w:hAnsi="Verdana"/>
        </w:rPr>
        <w:t xml:space="preserve">Twitter: </w:t>
      </w:r>
      <w:r w:rsidRPr="004E0BBC">
        <w:rPr>
          <w:rStyle w:val="Hipervnculo"/>
          <w:rFonts w:ascii="Verdana" w:hAnsi="Verdana"/>
          <w:color w:val="4472C4" w:themeColor="accent1"/>
        </w:rPr>
        <w:t>@colombiacompra</w:t>
      </w:r>
      <w:r w:rsidRPr="004E0BBC">
        <w:rPr>
          <w:rFonts w:ascii="Verdana" w:hAnsi="Verdana"/>
          <w:color w:val="4472C4" w:themeColor="accent1"/>
        </w:rPr>
        <w:t xml:space="preserve"> </w:t>
      </w:r>
    </w:p>
    <w:p w14:paraId="61130259" w14:textId="77777777" w:rsidR="000273DF" w:rsidRPr="004E0BBC" w:rsidRDefault="000273DF" w:rsidP="004E0BBC">
      <w:pPr>
        <w:spacing w:after="0" w:line="276" w:lineRule="auto"/>
        <w:jc w:val="both"/>
        <w:rPr>
          <w:rFonts w:ascii="Verdana" w:hAnsi="Verdana"/>
        </w:rPr>
      </w:pPr>
      <w:r w:rsidRPr="004E0BBC">
        <w:rPr>
          <w:rFonts w:ascii="Verdana" w:hAnsi="Verdana"/>
        </w:rPr>
        <w:t xml:space="preserve">Facebook: </w:t>
      </w:r>
      <w:proofErr w:type="spellStart"/>
      <w:r w:rsidRPr="004E0BBC">
        <w:rPr>
          <w:rStyle w:val="Hipervnculo"/>
          <w:rFonts w:ascii="Verdana" w:hAnsi="Verdana"/>
          <w:color w:val="4472C4" w:themeColor="accent1"/>
        </w:rPr>
        <w:t>ColombiaCompraEficiente</w:t>
      </w:r>
      <w:proofErr w:type="spellEnd"/>
    </w:p>
    <w:p w14:paraId="314E005A" w14:textId="77777777" w:rsidR="000273DF" w:rsidRPr="004E0BBC" w:rsidRDefault="000273DF" w:rsidP="004E0BBC">
      <w:pPr>
        <w:spacing w:after="0" w:line="276" w:lineRule="auto"/>
        <w:jc w:val="both"/>
        <w:rPr>
          <w:rFonts w:ascii="Verdana" w:hAnsi="Verdana"/>
        </w:rPr>
      </w:pPr>
      <w:r w:rsidRPr="004E0BBC">
        <w:rPr>
          <w:rFonts w:ascii="Verdana" w:hAnsi="Verdana"/>
        </w:rPr>
        <w:t xml:space="preserve">LinkedIn: </w:t>
      </w:r>
      <w:r w:rsidRPr="004E0BBC">
        <w:rPr>
          <w:rStyle w:val="Hipervnculo"/>
          <w:rFonts w:ascii="Verdana" w:hAnsi="Verdana"/>
          <w:color w:val="4472C4" w:themeColor="accent1"/>
        </w:rPr>
        <w:t>Agencia Nacional de Contratación Pública - Colombia Compra Eficiente</w:t>
      </w:r>
      <w:r w:rsidRPr="004E0BBC">
        <w:rPr>
          <w:rFonts w:ascii="Verdana" w:hAnsi="Verdana"/>
          <w:color w:val="4472C4" w:themeColor="accent1"/>
        </w:rPr>
        <w:t xml:space="preserve"> </w:t>
      </w:r>
      <w:r w:rsidRPr="004E0BBC">
        <w:rPr>
          <w:rFonts w:ascii="Verdana" w:hAnsi="Verdana"/>
        </w:rPr>
        <w:t xml:space="preserve">Instagram: </w:t>
      </w:r>
      <w:r w:rsidRPr="004E0BBC">
        <w:rPr>
          <w:rStyle w:val="Hipervnculo"/>
          <w:rFonts w:ascii="Verdana" w:hAnsi="Verdana"/>
          <w:color w:val="4472C4" w:themeColor="accent1"/>
        </w:rPr>
        <w:t>@colombiacompraeficiente_cce</w:t>
      </w:r>
    </w:p>
    <w:p w14:paraId="18704561" w14:textId="77777777" w:rsidR="000273DF" w:rsidRPr="004E0BBC" w:rsidRDefault="000273DF" w:rsidP="004E0BBC">
      <w:pPr>
        <w:widowControl w:val="0"/>
        <w:autoSpaceDE w:val="0"/>
        <w:autoSpaceDN w:val="0"/>
        <w:spacing w:after="0" w:line="276" w:lineRule="auto"/>
        <w:jc w:val="both"/>
        <w:rPr>
          <w:rFonts w:ascii="Verdana" w:hAnsi="Verdana"/>
        </w:rPr>
      </w:pPr>
    </w:p>
    <w:p w14:paraId="2622550F" w14:textId="77777777" w:rsidR="000273DF" w:rsidRPr="004E0BBC" w:rsidRDefault="000273DF" w:rsidP="004E0BBC">
      <w:pPr>
        <w:widowControl w:val="0"/>
        <w:autoSpaceDE w:val="0"/>
        <w:autoSpaceDN w:val="0"/>
        <w:spacing w:after="0" w:line="276" w:lineRule="auto"/>
        <w:jc w:val="both"/>
        <w:rPr>
          <w:rFonts w:ascii="Verdana" w:hAnsi="Verdana" w:cs="Arial"/>
        </w:rPr>
      </w:pPr>
      <w:r w:rsidRPr="004E0BB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E25EA7B" w14:textId="77777777" w:rsidR="000273DF" w:rsidRPr="004E0BBC" w:rsidRDefault="000273DF" w:rsidP="004E0BBC">
      <w:pPr>
        <w:spacing w:after="0" w:line="276" w:lineRule="auto"/>
        <w:ind w:firstLine="709"/>
        <w:jc w:val="both"/>
        <w:rPr>
          <w:rFonts w:ascii="Verdana" w:eastAsia="Times New Roman" w:hAnsi="Verdana" w:cs="Arial"/>
          <w:szCs w:val="24"/>
          <w:lang w:eastAsia="es-ES_tradnl"/>
        </w:rPr>
      </w:pPr>
    </w:p>
    <w:p w14:paraId="5FA135D7" w14:textId="77777777" w:rsidR="000273DF" w:rsidRPr="004E0BBC" w:rsidRDefault="000273DF" w:rsidP="004E0BBC">
      <w:pPr>
        <w:spacing w:after="0" w:line="276" w:lineRule="auto"/>
        <w:jc w:val="both"/>
        <w:rPr>
          <w:rFonts w:ascii="Verdana" w:eastAsia="Calibri" w:hAnsi="Verdana" w:cs="Arial"/>
          <w:lang w:val="es-ES_tradnl" w:eastAsia="es-CO"/>
        </w:rPr>
      </w:pPr>
      <w:bookmarkStart w:id="5" w:name="_Hlk117695077"/>
      <w:r w:rsidRPr="004E0BBC">
        <w:rPr>
          <w:rFonts w:ascii="Verdana" w:eastAsia="Times New Roman" w:hAnsi="Verdana" w:cs="Arial"/>
          <w:lang w:eastAsia="es-CO"/>
        </w:rPr>
        <w:t>Atentamente,</w:t>
      </w:r>
      <w:bookmarkEnd w:id="5"/>
      <w:r w:rsidRPr="004E0BBC">
        <w:rPr>
          <w:rFonts w:ascii="Verdana" w:eastAsia="Times New Roman" w:hAnsi="Verdana" w:cs="Arial"/>
          <w:lang w:val="es-ES_tradnl" w:eastAsia="es-CO"/>
        </w:rPr>
        <w:t xml:space="preserve"> </w:t>
      </w:r>
    </w:p>
    <w:p w14:paraId="469B6C0C" w14:textId="63DC29E1" w:rsidR="000273DF" w:rsidRPr="005622BB" w:rsidRDefault="00520D14" w:rsidP="000273DF">
      <w:pPr>
        <w:spacing w:after="0" w:line="240"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103F8D82" wp14:editId="712475D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538CD443" w14:textId="77777777" w:rsidR="000273DF" w:rsidRPr="005622BB" w:rsidRDefault="000273DF" w:rsidP="000273DF">
      <w:pPr>
        <w:spacing w:line="276" w:lineRule="auto"/>
        <w:jc w:val="center"/>
        <w:rPr>
          <w:rFonts w:ascii="Verdana" w:eastAsia="Calibri" w:hAnsi="Verdana" w:cs="Arial"/>
          <w:noProof/>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73DF" w:rsidRPr="00733C4A" w14:paraId="5C5F04B3" w14:textId="77777777" w:rsidTr="000A7F61">
        <w:trPr>
          <w:trHeight w:val="315"/>
        </w:trPr>
        <w:tc>
          <w:tcPr>
            <w:tcW w:w="893" w:type="dxa"/>
            <w:vAlign w:val="center"/>
            <w:hideMark/>
          </w:tcPr>
          <w:p w14:paraId="5CB7E841" w14:textId="77777777" w:rsidR="000273DF" w:rsidRPr="00733C4A" w:rsidRDefault="000273DF" w:rsidP="000A7F61">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1655DE42" w14:textId="77777777" w:rsidR="000273DF" w:rsidRPr="00733C4A" w:rsidRDefault="000273DF" w:rsidP="000A7F61">
            <w:pPr>
              <w:rPr>
                <w:rFonts w:ascii="Verdana" w:eastAsia="Arial" w:hAnsi="Verdana" w:cs="Arial"/>
                <w:sz w:val="16"/>
                <w:szCs w:val="16"/>
                <w:lang w:val="es-ES"/>
              </w:rPr>
            </w:pPr>
            <w:r w:rsidRPr="5AEFD6A1">
              <w:rPr>
                <w:rFonts w:ascii="Verdana" w:eastAsia="Arial" w:hAnsi="Verdana" w:cs="Arial"/>
                <w:sz w:val="16"/>
                <w:szCs w:val="16"/>
                <w:lang w:val="es-ES"/>
              </w:rPr>
              <w:t>María Joshira Nieto Manzano</w:t>
            </w:r>
          </w:p>
          <w:p w14:paraId="773C38E1" w14:textId="77777777" w:rsidR="000273DF" w:rsidRPr="00733C4A" w:rsidRDefault="000273DF" w:rsidP="000A7F61">
            <w:pPr>
              <w:rPr>
                <w:rFonts w:ascii="Verdana" w:eastAsia="Arial" w:hAnsi="Verdana" w:cs="Arial"/>
                <w:sz w:val="16"/>
                <w:szCs w:val="16"/>
                <w:lang w:val="es-ES_tradnl"/>
              </w:rPr>
            </w:pPr>
            <w:r w:rsidRPr="00733C4A">
              <w:rPr>
                <w:rFonts w:ascii="Verdana" w:eastAsia="Arial" w:hAnsi="Verdana" w:cs="Arial"/>
                <w:sz w:val="16"/>
                <w:szCs w:val="16"/>
                <w:lang w:val="es-ES_tradnl"/>
              </w:rPr>
              <w:t xml:space="preserve">Contratista de la Subdirección de Gestión Contractual </w:t>
            </w:r>
          </w:p>
        </w:tc>
      </w:tr>
      <w:tr w:rsidR="000273DF" w:rsidRPr="00733C4A" w14:paraId="7908684D" w14:textId="77777777" w:rsidTr="000A7F61">
        <w:trPr>
          <w:trHeight w:val="330"/>
        </w:trPr>
        <w:tc>
          <w:tcPr>
            <w:tcW w:w="893" w:type="dxa"/>
            <w:vAlign w:val="center"/>
            <w:hideMark/>
          </w:tcPr>
          <w:p w14:paraId="444435B2" w14:textId="77777777" w:rsidR="000273DF" w:rsidRPr="00733C4A" w:rsidRDefault="000273DF" w:rsidP="000A7F61">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CCD25F" w14:textId="77777777" w:rsidR="000273DF" w:rsidRPr="00733C4A" w:rsidRDefault="000273DF" w:rsidP="000A7F61">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Diana Lucía Saavedra</w:t>
            </w:r>
          </w:p>
          <w:p w14:paraId="57AF3EC8" w14:textId="77777777" w:rsidR="000273DF" w:rsidRPr="00733C4A" w:rsidRDefault="000273DF" w:rsidP="000A7F61">
            <w:pPr>
              <w:textAlignment w:val="baseline"/>
              <w:rPr>
                <w:rFonts w:ascii="Verdana" w:eastAsia="Times New Roman" w:hAnsi="Verdana" w:cs="Segoe UI"/>
                <w:sz w:val="16"/>
                <w:szCs w:val="16"/>
                <w:lang w:val="es-ES_tradnl" w:eastAsia="es-ES_tradnl"/>
              </w:rPr>
            </w:pPr>
            <w:r w:rsidRPr="00733C4A">
              <w:rPr>
                <w:rFonts w:ascii="Verdana" w:eastAsia="Times New Roman" w:hAnsi="Verdana" w:cs="Arial"/>
                <w:sz w:val="16"/>
                <w:szCs w:val="16"/>
                <w:lang w:val="es-ES_tradnl" w:eastAsia="es-ES_tradnl"/>
              </w:rPr>
              <w:t>Contratista de la Subdirección de Gestión Contractual </w:t>
            </w:r>
          </w:p>
        </w:tc>
      </w:tr>
      <w:tr w:rsidR="000273DF" w:rsidRPr="00733C4A" w14:paraId="67F79421" w14:textId="77777777" w:rsidTr="000A7F61">
        <w:trPr>
          <w:trHeight w:val="300"/>
        </w:trPr>
        <w:tc>
          <w:tcPr>
            <w:tcW w:w="893" w:type="dxa"/>
            <w:vAlign w:val="center"/>
          </w:tcPr>
          <w:p w14:paraId="52965685" w14:textId="77777777" w:rsidR="000273DF" w:rsidRPr="00733C4A" w:rsidRDefault="000273DF" w:rsidP="000A7F61">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C821297" w14:textId="77777777" w:rsidR="000273DF" w:rsidRPr="00733C4A" w:rsidRDefault="000273DF" w:rsidP="000A7F61">
            <w:pPr>
              <w:rPr>
                <w:rFonts w:ascii="Verdana" w:eastAsia="Calibri" w:hAnsi="Verdana" w:cs="Arial"/>
                <w:sz w:val="16"/>
                <w:szCs w:val="16"/>
                <w:lang w:val="es-ES" w:eastAsia="es-ES"/>
              </w:rPr>
            </w:pPr>
            <w:r w:rsidRPr="00733C4A">
              <w:rPr>
                <w:rFonts w:ascii="Verdana" w:eastAsia="Calibri" w:hAnsi="Verdana" w:cs="Arial"/>
                <w:sz w:val="16"/>
                <w:szCs w:val="16"/>
                <w:lang w:val="es-ES" w:eastAsia="es-ES"/>
              </w:rPr>
              <w:t>Carolina Quintero Gacharná</w:t>
            </w:r>
          </w:p>
          <w:p w14:paraId="551028BC" w14:textId="77777777" w:rsidR="000273DF" w:rsidRPr="00733C4A" w:rsidRDefault="000273DF" w:rsidP="000A7F61">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Subdirectora de Gestión Contractual ANCP – CCE</w:t>
            </w:r>
          </w:p>
        </w:tc>
      </w:tr>
      <w:bookmarkEnd w:id="2"/>
    </w:tbl>
    <w:p w14:paraId="1FFA9C0B" w14:textId="77777777" w:rsidR="000273DF" w:rsidRDefault="000273DF" w:rsidP="000273DF"/>
    <w:bookmarkEnd w:id="0"/>
    <w:p w14:paraId="62357DF3" w14:textId="77777777" w:rsidR="002707A2" w:rsidRPr="0044528D" w:rsidRDefault="002707A2" w:rsidP="00E245AB">
      <w:pPr>
        <w:spacing w:after="0"/>
        <w:jc w:val="both"/>
        <w:rPr>
          <w:rStyle w:val="Hipervnculo"/>
          <w:rFonts w:ascii="Verdana" w:hAnsi="Verdana"/>
        </w:rPr>
      </w:pPr>
    </w:p>
    <w:sectPr w:rsidR="002707A2"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7CE54" w14:textId="77777777" w:rsidR="00E23D16" w:rsidRDefault="00E23D16" w:rsidP="004A1847">
      <w:pPr>
        <w:spacing w:after="0" w:line="240" w:lineRule="auto"/>
      </w:pPr>
      <w:r>
        <w:separator/>
      </w:r>
    </w:p>
  </w:endnote>
  <w:endnote w:type="continuationSeparator" w:id="0">
    <w:p w14:paraId="53A8C7B7" w14:textId="77777777" w:rsidR="00E23D16" w:rsidRDefault="00E23D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E94C2" w14:textId="77777777" w:rsidR="00E23D16" w:rsidRDefault="00E23D16" w:rsidP="004A1847">
      <w:pPr>
        <w:spacing w:after="0" w:line="240" w:lineRule="auto"/>
      </w:pPr>
      <w:r>
        <w:separator/>
      </w:r>
    </w:p>
  </w:footnote>
  <w:footnote w:type="continuationSeparator" w:id="0">
    <w:p w14:paraId="7089FDED" w14:textId="77777777" w:rsidR="00E23D16" w:rsidRDefault="00E23D16" w:rsidP="004A1847">
      <w:pPr>
        <w:spacing w:after="0" w:line="240" w:lineRule="auto"/>
      </w:pPr>
      <w:r>
        <w:continuationSeparator/>
      </w:r>
    </w:p>
  </w:footnote>
  <w:footnote w:id="1">
    <w:p w14:paraId="4BC2BBCB" w14:textId="77777777" w:rsidR="000273DF" w:rsidRPr="00EB30BA" w:rsidRDefault="000273DF" w:rsidP="000273DF">
      <w:pPr>
        <w:pStyle w:val="Textonotapie"/>
        <w:ind w:firstLine="709"/>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Consejo de Estado. Sección Segunda. Sentencia del 9 de septiembre de 2021. Expediente No. 05001-23-33-000-2013-01143-01(1317-16). M.P. Dra. Sandra Lisset Ibarra Vélez.</w:t>
      </w:r>
    </w:p>
  </w:footnote>
  <w:footnote w:id="2">
    <w:p w14:paraId="08AB27ED" w14:textId="77777777" w:rsidR="000273DF" w:rsidRPr="00EB30BA" w:rsidRDefault="000273DF" w:rsidP="000273DF">
      <w:pPr>
        <w:pStyle w:val="Textonotapie"/>
        <w:ind w:firstLine="709"/>
        <w:jc w:val="both"/>
        <w:rPr>
          <w:rFonts w:ascii="Verdana" w:hAnsi="Verdana" w:cs="Arial"/>
          <w:sz w:val="16"/>
          <w:szCs w:val="16"/>
          <w:lang w:val="es-ES_tradnl"/>
        </w:rPr>
      </w:pPr>
      <w:r w:rsidRPr="00EB30BA">
        <w:rPr>
          <w:rStyle w:val="Refdenotaalpie"/>
          <w:rFonts w:ascii="Verdana" w:hAnsi="Verdana" w:cs="Arial"/>
          <w:sz w:val="16"/>
          <w:szCs w:val="16"/>
        </w:rPr>
        <w:footnoteRef/>
      </w:r>
      <w:r w:rsidRPr="00EB30BA">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29276606"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footnote>
  <w:footnote w:id="4">
    <w:p w14:paraId="6781AD20"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4DB8042"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3D469CD"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El Gobierno nacional reglamentará el mecanismo para realizar la mensualización de que trata el presente artículo.</w:t>
      </w:r>
    </w:p>
    <w:p w14:paraId="26EBA0D6" w14:textId="77777777" w:rsidR="000273DF" w:rsidRPr="00EB30BA" w:rsidRDefault="000273DF" w:rsidP="000273DF">
      <w:pPr>
        <w:pStyle w:val="Textonotapie"/>
        <w:ind w:firstLine="709"/>
        <w:jc w:val="both"/>
        <w:rPr>
          <w:rFonts w:ascii="Verdana" w:hAnsi="Verdana" w:cs="Arial"/>
          <w:sz w:val="16"/>
          <w:szCs w:val="16"/>
          <w:lang w:val="pt-BR"/>
        </w:rPr>
      </w:pPr>
      <w:r w:rsidRPr="00EB30BA">
        <w:rPr>
          <w:rFonts w:ascii="Verdana" w:hAnsi="Verdana" w:cs="Arial"/>
          <w:sz w:val="16"/>
          <w:szCs w:val="16"/>
          <w:lang w:val="pt-BR"/>
        </w:rPr>
        <w:t>[…]».</w:t>
      </w:r>
    </w:p>
  </w:footnote>
  <w:footnote w:id="5">
    <w:p w14:paraId="3885F088"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lang w:val="pt-BR"/>
        </w:rPr>
        <w:t xml:space="preserve"> Corte Constitucional. Sentencia C-154 de 1997. </w:t>
      </w:r>
      <w:r w:rsidRPr="00EB30BA">
        <w:rPr>
          <w:rFonts w:ascii="Verdana" w:hAnsi="Verdana" w:cs="Arial"/>
          <w:sz w:val="16"/>
          <w:szCs w:val="16"/>
          <w:lang w:val="es-ES"/>
        </w:rPr>
        <w:t>MP: Hernando Herrera Vergara.</w:t>
      </w:r>
    </w:p>
    <w:p w14:paraId="0569737E" w14:textId="77777777" w:rsidR="000273DF" w:rsidRPr="00EB30BA" w:rsidRDefault="000273DF" w:rsidP="000273DF">
      <w:pPr>
        <w:pStyle w:val="Textonotapie"/>
        <w:ind w:firstLine="709"/>
        <w:jc w:val="both"/>
        <w:rPr>
          <w:rFonts w:ascii="Verdana" w:hAnsi="Verdana" w:cs="Arial"/>
          <w:sz w:val="16"/>
          <w:szCs w:val="16"/>
          <w:lang w:val="es-ES"/>
        </w:rPr>
      </w:pPr>
    </w:p>
  </w:footnote>
  <w:footnote w:id="6">
    <w:p w14:paraId="39805355" w14:textId="77777777" w:rsidR="000273DF" w:rsidRPr="00EB30BA" w:rsidRDefault="000273DF" w:rsidP="000273DF">
      <w:pPr>
        <w:pStyle w:val="Textonotapie"/>
        <w:ind w:firstLine="709"/>
        <w:jc w:val="both"/>
        <w:rPr>
          <w:rFonts w:ascii="Verdana" w:hAnsi="Verdana" w:cs="Arial"/>
          <w:color w:val="000000" w:themeColor="text1"/>
          <w:sz w:val="16"/>
          <w:szCs w:val="16"/>
          <w:lang w:val="es-CO"/>
        </w:rPr>
      </w:pPr>
      <w:r w:rsidRPr="00EB30BA">
        <w:rPr>
          <w:rStyle w:val="Refdenotaalpie"/>
          <w:rFonts w:ascii="Verdana" w:hAnsi="Verdana"/>
          <w:sz w:val="16"/>
          <w:szCs w:val="16"/>
        </w:rPr>
        <w:footnoteRef/>
      </w:r>
      <w:r w:rsidRPr="00EB30BA">
        <w:rPr>
          <w:rFonts w:ascii="Verdana" w:hAnsi="Verdana"/>
          <w:sz w:val="16"/>
          <w:szCs w:val="16"/>
        </w:rPr>
        <w:t xml:space="preserve"> </w:t>
      </w:r>
      <w:r w:rsidRPr="00EB30BA">
        <w:rPr>
          <w:rFonts w:ascii="Verdana" w:hAnsi="Verdana" w:cs="Arial"/>
          <w:color w:val="000000" w:themeColor="text1"/>
          <w:sz w:val="16"/>
          <w:szCs w:val="16"/>
          <w:lang w:val="es-ES"/>
        </w:rPr>
        <w:t xml:space="preserve">Consejo de Estado. Sección Segunda. Sentencia de Unificación Jurisprudencial </w:t>
      </w:r>
      <w:r w:rsidRPr="00EB30BA">
        <w:rPr>
          <w:rFonts w:ascii="Verdana" w:hAnsi="Verdana" w:cs="Arial"/>
          <w:color w:val="000000" w:themeColor="text1"/>
          <w:sz w:val="16"/>
          <w:szCs w:val="16"/>
          <w:lang w:val="es-CO"/>
        </w:rPr>
        <w:t>SUJ-025-CE-S2-2021.</w:t>
      </w:r>
      <w:r w:rsidRPr="00EB30BA">
        <w:rPr>
          <w:rFonts w:ascii="Verdana" w:hAnsi="Verdana" w:cs="Arial"/>
          <w:color w:val="000000" w:themeColor="text1"/>
          <w:sz w:val="16"/>
          <w:szCs w:val="16"/>
          <w:lang w:val="es-ES"/>
        </w:rPr>
        <w:t xml:space="preserve"> Radicado (1317-2016). El numeral primero de la parte resolutiva de la sentencia señala lo siguiente:</w:t>
      </w:r>
      <w:r w:rsidRPr="00EB30BA">
        <w:rPr>
          <w:rFonts w:ascii="Verdana" w:eastAsia="Times New Roman" w:hAnsi="Verdana" w:cs="Times New Roman"/>
          <w:sz w:val="16"/>
          <w:szCs w:val="16"/>
          <w:lang w:val="es-CO" w:eastAsia="es-ES_tradnl"/>
        </w:rPr>
        <w:t xml:space="preserve"> </w:t>
      </w:r>
      <w:r w:rsidRPr="00EB30BA">
        <w:rPr>
          <w:rFonts w:ascii="Verdana" w:hAnsi="Verdana" w:cs="Arial"/>
          <w:noProof/>
          <w:sz w:val="16"/>
          <w:szCs w:val="16"/>
          <w:lang w:val="es-ES_tradnl"/>
        </w:rPr>
        <w:t>«</w:t>
      </w:r>
      <w:r w:rsidRPr="00EB30BA">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0B09C451" w14:textId="77777777" w:rsidR="000273DF" w:rsidRPr="00EB30BA" w:rsidRDefault="000273DF" w:rsidP="000273DF">
      <w:pPr>
        <w:pStyle w:val="Textonotapie"/>
        <w:ind w:firstLine="709"/>
        <w:jc w:val="both"/>
        <w:rPr>
          <w:rFonts w:ascii="Verdana" w:hAnsi="Verdana" w:cs="Arial"/>
          <w:color w:val="000000" w:themeColor="text1"/>
          <w:sz w:val="16"/>
          <w:szCs w:val="16"/>
          <w:lang w:val="es-CO"/>
        </w:rPr>
      </w:pPr>
      <w:r w:rsidRPr="00EB30BA">
        <w:rPr>
          <w:rFonts w:ascii="Verdana" w:hAnsi="Verdana" w:cs="Arial"/>
          <w:color w:val="000000" w:themeColor="text1"/>
          <w:sz w:val="16"/>
          <w:szCs w:val="16"/>
          <w:lang w:val="es-ES"/>
        </w:rPr>
        <w:t xml:space="preserve"> </w:t>
      </w:r>
      <w:r w:rsidRPr="00EB30BA">
        <w:rPr>
          <w:rFonts w:ascii="Verdana" w:hAnsi="Verdana" w:cs="Arial"/>
          <w:sz w:val="16"/>
          <w:szCs w:val="16"/>
          <w:lang w:val="pt-BR"/>
        </w:rPr>
        <w:t>»</w:t>
      </w:r>
      <w:r w:rsidRPr="00EB30BA">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10BD0223" w14:textId="77777777" w:rsidR="000273DF" w:rsidRPr="00EB30BA" w:rsidRDefault="000273DF" w:rsidP="000273DF">
      <w:pPr>
        <w:pStyle w:val="Textonotapie"/>
        <w:ind w:firstLine="709"/>
        <w:jc w:val="both"/>
        <w:rPr>
          <w:rFonts w:ascii="Verdana" w:hAnsi="Verdana" w:cs="Arial"/>
          <w:color w:val="000000" w:themeColor="text1"/>
          <w:sz w:val="16"/>
          <w:szCs w:val="16"/>
          <w:lang w:val="es-CO"/>
        </w:rPr>
      </w:pPr>
      <w:r w:rsidRPr="00EB30BA">
        <w:rPr>
          <w:rFonts w:ascii="Verdana" w:hAnsi="Verdana" w:cs="Arial"/>
          <w:sz w:val="16"/>
          <w:szCs w:val="16"/>
          <w:lang w:val="pt-BR"/>
        </w:rPr>
        <w:t>»</w:t>
      </w:r>
      <w:r w:rsidRPr="00EB30BA">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3E07C0B9" w14:textId="77777777" w:rsidR="000273DF" w:rsidRPr="00EB30BA" w:rsidRDefault="000273DF" w:rsidP="000273DF">
      <w:pPr>
        <w:pStyle w:val="Textonotapie"/>
        <w:ind w:firstLine="709"/>
        <w:jc w:val="both"/>
        <w:rPr>
          <w:rFonts w:ascii="Verdana" w:hAnsi="Verdana"/>
          <w:sz w:val="16"/>
          <w:szCs w:val="16"/>
          <w:lang w:val="es-CO"/>
        </w:rPr>
      </w:pPr>
      <w:r w:rsidRPr="00EB30BA">
        <w:rPr>
          <w:rFonts w:ascii="Verdana" w:hAnsi="Verdana" w:cs="Arial"/>
          <w:sz w:val="16"/>
          <w:szCs w:val="16"/>
          <w:lang w:val="pt-BR"/>
        </w:rPr>
        <w:t>»</w:t>
      </w:r>
      <w:r w:rsidRPr="00EB30BA">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EB30BA">
        <w:rPr>
          <w:rFonts w:ascii="Verdana" w:hAnsi="Verdana" w:cs="Arial"/>
          <w:sz w:val="16"/>
          <w:szCs w:val="16"/>
          <w:lang w:val="pt-BR"/>
        </w:rPr>
        <w:t>».</w:t>
      </w:r>
    </w:p>
  </w:footnote>
  <w:footnote w:id="7">
    <w:p w14:paraId="4A794209" w14:textId="77777777" w:rsidR="000273DF" w:rsidRPr="00EB30BA" w:rsidRDefault="000273DF" w:rsidP="000273DF">
      <w:pPr>
        <w:pStyle w:val="Textonotapie"/>
        <w:ind w:firstLine="709"/>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EB30BA">
        <w:rPr>
          <w:rFonts w:ascii="Verdana" w:hAnsi="Verdana" w:cs="Arial"/>
          <w:b/>
          <w:bCs/>
          <w:sz w:val="16"/>
          <w:szCs w:val="16"/>
        </w:rPr>
        <w:t>solo para efectos de la prescripción de derechos laborales</w:t>
      </w:r>
      <w:r w:rsidRPr="00EB30BA">
        <w:rPr>
          <w:rFonts w:ascii="Verdana" w:hAnsi="Verdana" w:cs="Arial"/>
          <w:sz w:val="16"/>
          <w:szCs w:val="16"/>
        </w:rPr>
        <w:t>» (Énfasis dentro del texto).</w:t>
      </w:r>
    </w:p>
    <w:p w14:paraId="28E74264" w14:textId="77777777" w:rsidR="000273DF" w:rsidRPr="00EB30BA" w:rsidRDefault="000273DF" w:rsidP="000273DF">
      <w:pPr>
        <w:pStyle w:val="Textonotapie"/>
        <w:ind w:firstLine="709"/>
        <w:rPr>
          <w:rFonts w:ascii="Verdana" w:hAnsi="Verdana"/>
          <w:sz w:val="16"/>
          <w:szCs w:val="16"/>
        </w:rPr>
      </w:pPr>
    </w:p>
  </w:footnote>
  <w:footnote w:id="8">
    <w:p w14:paraId="4AEAB81D"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Ibíd.</w:t>
      </w:r>
    </w:p>
  </w:footnote>
  <w:footnote w:id="9">
    <w:p w14:paraId="29A61CCF" w14:textId="77777777" w:rsidR="000273DF" w:rsidRPr="00EB30BA" w:rsidRDefault="000273DF" w:rsidP="000273DF">
      <w:pPr>
        <w:pStyle w:val="Textonotapie"/>
        <w:ind w:firstLine="709"/>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EB30BA">
        <w:rPr>
          <w:rFonts w:ascii="Verdana" w:hAnsi="Verdana" w:cs="Arial"/>
          <w:sz w:val="16"/>
          <w:szCs w:val="16"/>
        </w:rPr>
        <w:t xml:space="preserve"> </w:t>
      </w:r>
    </w:p>
    <w:p w14:paraId="64ABF6BB"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425535A"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16FB815C"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footnote>
  <w:footnote w:id="10">
    <w:p w14:paraId="499E5BD8"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5B365ADD"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»1. La causal que invoca para contratar directamente.</w:t>
      </w:r>
    </w:p>
    <w:p w14:paraId="4F48B19E"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»2. El objeto del contrato.</w:t>
      </w:r>
    </w:p>
    <w:p w14:paraId="32D2D25E"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»3. El presupuesto para la contratación y las condiciones que exigirá al contratista.</w:t>
      </w:r>
    </w:p>
    <w:p w14:paraId="5CDD1D10"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»4. El lugar en el cual los interesados pueden consultar los estudios y documentos previos.</w:t>
      </w:r>
    </w:p>
    <w:p w14:paraId="29B0E281"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01EE33BA" w14:textId="77777777" w:rsidR="000273DF" w:rsidRPr="00EB30BA" w:rsidRDefault="000273DF" w:rsidP="000273DF">
      <w:pPr>
        <w:pStyle w:val="Textonotapie"/>
        <w:ind w:firstLine="709"/>
        <w:jc w:val="both"/>
        <w:rPr>
          <w:rFonts w:ascii="Verdana" w:hAnsi="Verdana" w:cs="Arial"/>
          <w:sz w:val="16"/>
          <w:szCs w:val="16"/>
        </w:rPr>
      </w:pPr>
    </w:p>
    <w:p w14:paraId="2A431746"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 xml:space="preserve">La norma expresa: «Art. 14. </w:t>
      </w:r>
      <w:r w:rsidRPr="00EB30BA">
        <w:rPr>
          <w:rFonts w:ascii="Verdana" w:hAnsi="Verdana" w:cs="Arial"/>
          <w:sz w:val="16"/>
          <w:szCs w:val="16"/>
        </w:rPr>
        <w:t>P</w:t>
      </w:r>
      <w:r w:rsidRPr="00EB30BA">
        <w:rPr>
          <w:rFonts w:ascii="Verdana" w:hAnsi="Verdana" w:cs="Arial"/>
          <w:sz w:val="16"/>
          <w:szCs w:val="16"/>
          <w:lang w:val="es-ES"/>
        </w:rPr>
        <w:t>ara el cumplimiento de los fines de la contratación, las entidades estatales al celebrar un contrato:</w:t>
      </w:r>
    </w:p>
    <w:p w14:paraId="6AE0B4D1"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w:t>
      </w:r>
    </w:p>
    <w:p w14:paraId="4985A558"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2724FEB5"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Las entidades estatales podrán pactar estas cláusulas en los contratos de suministro y de prestación de servicios.</w:t>
      </w:r>
    </w:p>
    <w:p w14:paraId="514C2225"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lang w:val="es-ES"/>
        </w:rPr>
        <w:t>[…]».</w:t>
      </w:r>
    </w:p>
  </w:footnote>
  <w:footnote w:id="12">
    <w:p w14:paraId="70C6CEB7"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footnote>
  <w:footnote w:id="13">
    <w:p w14:paraId="15F52431" w14:textId="77777777" w:rsidR="000273DF" w:rsidRPr="00EB30BA" w:rsidRDefault="000273DF" w:rsidP="000273DF">
      <w:pPr>
        <w:pStyle w:val="Textonotapie"/>
        <w:ind w:firstLine="709"/>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87A19E1" w14:textId="77777777" w:rsidR="000273DF" w:rsidRPr="00EB30BA" w:rsidRDefault="000273DF" w:rsidP="000273DF">
      <w:pPr>
        <w:pStyle w:val="Textonotapie"/>
        <w:ind w:firstLine="709"/>
        <w:jc w:val="both"/>
        <w:rPr>
          <w:rFonts w:ascii="Verdana" w:hAnsi="Verdana" w:cs="Arial"/>
          <w:sz w:val="16"/>
          <w:szCs w:val="16"/>
        </w:rPr>
      </w:pPr>
      <w:r w:rsidRPr="00EB30BA">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F3FC1C6" w14:textId="77777777" w:rsidR="000273DF" w:rsidRPr="00EB30BA" w:rsidRDefault="000273DF" w:rsidP="000273DF">
      <w:pPr>
        <w:pStyle w:val="Textonotapie"/>
        <w:ind w:firstLine="709"/>
        <w:jc w:val="both"/>
        <w:rPr>
          <w:rFonts w:ascii="Verdana" w:hAnsi="Verdana" w:cs="Arial"/>
          <w:sz w:val="16"/>
          <w:szCs w:val="16"/>
          <w:lang w:val="es-ES"/>
        </w:rPr>
      </w:pPr>
      <w:r w:rsidRPr="00EB30BA">
        <w:rPr>
          <w:rFonts w:ascii="Verdana" w:hAnsi="Verdana" w:cs="Arial"/>
          <w:sz w:val="16"/>
          <w:szCs w:val="16"/>
        </w:rPr>
        <w:t>[…]».</w:t>
      </w:r>
    </w:p>
  </w:footnote>
  <w:footnote w:id="14">
    <w:p w14:paraId="4BF9BEA4" w14:textId="77777777" w:rsidR="000273DF" w:rsidRPr="00EB30BA" w:rsidRDefault="000273DF" w:rsidP="000273DF">
      <w:pPr>
        <w:pStyle w:val="Textonotapie"/>
        <w:ind w:firstLine="709"/>
        <w:jc w:val="both"/>
        <w:rPr>
          <w:rFonts w:ascii="Verdana" w:hAnsi="Verdana" w:cs="Arial"/>
          <w:sz w:val="16"/>
          <w:szCs w:val="16"/>
          <w:lang w:val="es-ES"/>
        </w:rPr>
      </w:pPr>
      <w:r w:rsidRPr="00EB30BA">
        <w:rPr>
          <w:rStyle w:val="Refdenotaalpie"/>
          <w:rFonts w:ascii="Verdana" w:hAnsi="Verdana" w:cs="Arial"/>
          <w:sz w:val="16"/>
          <w:szCs w:val="16"/>
        </w:rPr>
        <w:footnoteRef/>
      </w:r>
      <w:r w:rsidRPr="00EB30BA">
        <w:rPr>
          <w:rFonts w:ascii="Verdana" w:hAnsi="Verdana" w:cs="Arial"/>
          <w:sz w:val="16"/>
          <w:szCs w:val="16"/>
        </w:rPr>
        <w:t xml:space="preserve"> </w:t>
      </w:r>
      <w:r w:rsidRPr="00EB30BA">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47138134" w14:textId="77777777" w:rsidR="000273DF" w:rsidRPr="00EB30BA" w:rsidRDefault="000273DF" w:rsidP="000273DF">
      <w:pPr>
        <w:pStyle w:val="Textonotapie"/>
        <w:ind w:firstLine="709"/>
        <w:jc w:val="both"/>
        <w:rPr>
          <w:rFonts w:ascii="Verdana" w:hAnsi="Verdana" w:cs="Arial"/>
          <w:sz w:val="16"/>
          <w:szCs w:val="16"/>
          <w:lang w:val="es-ES"/>
        </w:rPr>
      </w:pPr>
    </w:p>
  </w:footnote>
  <w:footnote w:id="15">
    <w:p w14:paraId="525089BF"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r w:rsidRPr="00EB30BA">
        <w:rPr>
          <w:rStyle w:val="Refdenotaalpie"/>
          <w:rFonts w:ascii="Verdana" w:hAnsi="Verdana" w:cs="Arial"/>
          <w:color w:val="000000" w:themeColor="text1"/>
          <w:sz w:val="16"/>
          <w:szCs w:val="16"/>
        </w:rPr>
        <w:footnoteRef/>
      </w:r>
      <w:r w:rsidRPr="00EB30BA">
        <w:rPr>
          <w:rFonts w:ascii="Verdana" w:hAnsi="Verdana" w:cs="Arial"/>
          <w:color w:val="000000" w:themeColor="text1"/>
          <w:sz w:val="16"/>
          <w:szCs w:val="16"/>
        </w:rPr>
        <w:t xml:space="preserve"> </w:t>
      </w:r>
      <w:r w:rsidRPr="00EB30B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6C146C4"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r w:rsidRPr="00EB30B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FC4B9FF"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r w:rsidRPr="00EB30BA">
        <w:rPr>
          <w:rFonts w:ascii="Verdana" w:hAnsi="Verdana" w:cs="Arial"/>
          <w:color w:val="000000" w:themeColor="text1"/>
          <w:sz w:val="16"/>
          <w:szCs w:val="16"/>
          <w:lang w:val="es-ES"/>
        </w:rPr>
        <w:t>»La Entidad Estatal, para la contratación de trabajos artísticos que solamente puedan en</w:t>
      </w:r>
      <w:r w:rsidRPr="00EB30BA">
        <w:rPr>
          <w:rFonts w:ascii="Verdana" w:hAnsi="Verdana" w:cs="Arial"/>
          <w:color w:val="000000" w:themeColor="text1"/>
          <w:sz w:val="16"/>
          <w:szCs w:val="16"/>
          <w:lang w:val="es-ES"/>
        </w:rPr>
        <w:softHyphen/>
        <w:t>comendarse a determinadas personas naturales, debe justificar esta situación en los estudios y documentos previos».</w:t>
      </w:r>
    </w:p>
    <w:p w14:paraId="692061F2"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p>
  </w:footnote>
  <w:footnote w:id="16">
    <w:p w14:paraId="1A5A79ED"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r w:rsidRPr="00EB30BA">
        <w:rPr>
          <w:rStyle w:val="Refdenotaalpie"/>
          <w:rFonts w:ascii="Verdana" w:hAnsi="Verdana" w:cs="Arial"/>
          <w:color w:val="000000" w:themeColor="text1"/>
          <w:sz w:val="16"/>
          <w:szCs w:val="16"/>
        </w:rPr>
        <w:footnoteRef/>
      </w:r>
      <w:r w:rsidRPr="00EB30BA">
        <w:rPr>
          <w:rFonts w:ascii="Verdana" w:hAnsi="Verdana" w:cs="Arial"/>
          <w:color w:val="000000" w:themeColor="text1"/>
          <w:sz w:val="16"/>
          <w:szCs w:val="16"/>
        </w:rPr>
        <w:t xml:space="preserve"> </w:t>
      </w:r>
      <w:r w:rsidRPr="00EB30B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footnote>
  <w:footnote w:id="17">
    <w:p w14:paraId="1C0439FD" w14:textId="77777777" w:rsidR="000273DF" w:rsidRPr="00EB30BA" w:rsidRDefault="000273DF" w:rsidP="000273DF">
      <w:pPr>
        <w:pStyle w:val="Textonotapie"/>
        <w:ind w:firstLine="709"/>
        <w:contextualSpacing/>
        <w:jc w:val="both"/>
        <w:rPr>
          <w:rFonts w:ascii="Verdana" w:hAnsi="Verdana" w:cs="Arial"/>
          <w:color w:val="000000" w:themeColor="text1"/>
          <w:sz w:val="16"/>
          <w:szCs w:val="16"/>
          <w:lang w:val="es-ES"/>
        </w:rPr>
      </w:pPr>
      <w:r w:rsidRPr="00EB30BA">
        <w:rPr>
          <w:rStyle w:val="Refdenotaalpie"/>
          <w:rFonts w:ascii="Verdana" w:hAnsi="Verdana" w:cs="Arial"/>
          <w:color w:val="000000" w:themeColor="text1"/>
          <w:sz w:val="16"/>
          <w:szCs w:val="16"/>
        </w:rPr>
        <w:footnoteRef/>
      </w:r>
      <w:r w:rsidRPr="00EB30BA">
        <w:rPr>
          <w:rFonts w:ascii="Verdana" w:hAnsi="Verdana" w:cs="Arial"/>
          <w:color w:val="000000" w:themeColor="text1"/>
          <w:sz w:val="16"/>
          <w:szCs w:val="16"/>
        </w:rPr>
        <w:t xml:space="preserve"> </w:t>
      </w:r>
      <w:r w:rsidRPr="00EB30BA">
        <w:rPr>
          <w:rFonts w:ascii="Verdana" w:hAnsi="Verdana" w:cs="Arial"/>
          <w:i/>
          <w:iCs/>
          <w:color w:val="000000" w:themeColor="text1"/>
          <w:sz w:val="16"/>
          <w:szCs w:val="16"/>
          <w:lang w:val="es-ES"/>
        </w:rPr>
        <w:t>Ibíd</w:t>
      </w:r>
      <w:r w:rsidRPr="00EB30BA">
        <w:rPr>
          <w:rFonts w:ascii="Verdana" w:hAnsi="Verdana" w:cs="Arial"/>
          <w:color w:val="000000" w:themeColor="text1"/>
          <w:sz w:val="16"/>
          <w:szCs w:val="16"/>
          <w:lang w:val="es-ES"/>
        </w:rPr>
        <w:t>.</w:t>
      </w:r>
    </w:p>
  </w:footnote>
  <w:footnote w:id="18">
    <w:p w14:paraId="69315DEC" w14:textId="77777777" w:rsidR="000273DF" w:rsidRPr="00EB30BA" w:rsidRDefault="000273DF" w:rsidP="000273DF">
      <w:pPr>
        <w:pStyle w:val="Textonotapie"/>
        <w:ind w:firstLine="709"/>
        <w:contextualSpacing/>
        <w:jc w:val="both"/>
        <w:rPr>
          <w:rFonts w:ascii="Verdana" w:hAnsi="Verdana" w:cs="Arial"/>
          <w:color w:val="000000" w:themeColor="text1"/>
          <w:sz w:val="16"/>
          <w:szCs w:val="16"/>
          <w:lang w:val="es-ES"/>
        </w:rPr>
      </w:pPr>
      <w:r w:rsidRPr="00EB30BA">
        <w:rPr>
          <w:rStyle w:val="Refdenotaalpie"/>
          <w:rFonts w:ascii="Verdana" w:hAnsi="Verdana" w:cs="Arial"/>
          <w:color w:val="000000" w:themeColor="text1"/>
          <w:sz w:val="16"/>
          <w:szCs w:val="16"/>
        </w:rPr>
        <w:footnoteRef/>
      </w:r>
      <w:r w:rsidRPr="00EB30BA">
        <w:rPr>
          <w:rFonts w:ascii="Verdana" w:hAnsi="Verdana" w:cs="Arial"/>
          <w:color w:val="000000" w:themeColor="text1"/>
          <w:sz w:val="16"/>
          <w:szCs w:val="16"/>
        </w:rPr>
        <w:t xml:space="preserve"> </w:t>
      </w:r>
      <w:r w:rsidRPr="00EB30BA">
        <w:rPr>
          <w:rFonts w:ascii="Verdana" w:hAnsi="Verdana" w:cs="Arial"/>
          <w:i/>
          <w:iCs/>
          <w:color w:val="000000" w:themeColor="text1"/>
          <w:sz w:val="16"/>
          <w:szCs w:val="16"/>
          <w:lang w:val="es-ES"/>
        </w:rPr>
        <w:t>Ibíd</w:t>
      </w:r>
      <w:r w:rsidRPr="00EB30BA">
        <w:rPr>
          <w:rFonts w:ascii="Verdana" w:hAnsi="Verdana" w:cs="Arial"/>
          <w:color w:val="000000" w:themeColor="text1"/>
          <w:sz w:val="16"/>
          <w:szCs w:val="16"/>
          <w:lang w:val="es-ES"/>
        </w:rPr>
        <w:t>.</w:t>
      </w:r>
    </w:p>
    <w:p w14:paraId="25ED1DB9" w14:textId="77777777" w:rsidR="000273DF" w:rsidRPr="00EB30BA" w:rsidRDefault="000273DF" w:rsidP="000273DF">
      <w:pPr>
        <w:pStyle w:val="Textonotapie"/>
        <w:ind w:firstLine="709"/>
        <w:jc w:val="both"/>
        <w:rPr>
          <w:rFonts w:ascii="Verdana" w:hAnsi="Verdana" w:cs="Arial"/>
          <w:color w:val="000000" w:themeColor="text1"/>
          <w:sz w:val="16"/>
          <w:szCs w:val="16"/>
          <w:lang w:val="es-ES"/>
        </w:rPr>
      </w:pPr>
    </w:p>
  </w:footnote>
  <w:footnote w:id="19">
    <w:p w14:paraId="149A06C5" w14:textId="77777777" w:rsidR="000273DF" w:rsidRPr="00D90035" w:rsidRDefault="000273DF" w:rsidP="000273DF">
      <w:pPr>
        <w:pStyle w:val="Textonotapie"/>
        <w:rPr>
          <w:lang w:val="es-ES"/>
        </w:rPr>
      </w:pPr>
      <w:r>
        <w:rPr>
          <w:rStyle w:val="Refdenotaalpie"/>
        </w:rPr>
        <w:footnoteRef/>
      </w:r>
      <w:r>
        <w:t xml:space="preserve"> </w:t>
      </w:r>
      <w:hyperlink r:id="rId1" w:history="1">
        <w:r w:rsidRPr="009E6A81">
          <w:rPr>
            <w:rStyle w:val="Hipervnculo"/>
          </w:rPr>
          <w:t>https://dle.rae.es/soluci%C3%B3n</w:t>
        </w:r>
      </w:hyperlink>
    </w:p>
  </w:footnote>
  <w:footnote w:id="20">
    <w:p w14:paraId="74026EC2" w14:textId="77777777" w:rsidR="000273DF" w:rsidRPr="00EB30BA" w:rsidRDefault="000273DF" w:rsidP="000273DF">
      <w:pPr>
        <w:pStyle w:val="Textonotapie"/>
        <w:ind w:firstLine="709"/>
        <w:contextualSpacing/>
        <w:jc w:val="both"/>
        <w:rPr>
          <w:rStyle w:val="Hipervnculo"/>
          <w:rFonts w:ascii="Verdana" w:hAnsi="Verdana" w:cs="Arial"/>
          <w:color w:val="44546A" w:themeColor="text2"/>
          <w:sz w:val="16"/>
          <w:szCs w:val="16"/>
        </w:rPr>
      </w:pPr>
      <w:r w:rsidRPr="00EB30BA">
        <w:rPr>
          <w:rStyle w:val="Refdenotaalpie"/>
          <w:rFonts w:ascii="Verdana" w:hAnsi="Verdana" w:cs="Arial"/>
          <w:sz w:val="16"/>
          <w:szCs w:val="16"/>
        </w:rPr>
        <w:footnoteRef/>
      </w:r>
      <w:hyperlink r:id="rId2" w:history="1">
        <w:r w:rsidRPr="00EB30BA">
          <w:rPr>
            <w:rStyle w:val="Hipervnculo"/>
            <w:rFonts w:ascii="Verdana" w:hAnsi="Verdana" w:cs="Arial"/>
            <w:color w:val="44546A" w:themeColor="text2"/>
            <w:sz w:val="16"/>
            <w:szCs w:val="16"/>
          </w:rPr>
          <w:t>https://dapre.presidencia.gov.co/normativa/normativa/DIRECTIVA%20PRESIDENCIAL%2007%20DEL%2028%20DE%20OCTUBRE%20DE%202021.pdf</w:t>
        </w:r>
      </w:hyperlink>
    </w:p>
    <w:p w14:paraId="1C5FF55A" w14:textId="77777777" w:rsidR="000273DF" w:rsidRPr="00EB30BA" w:rsidRDefault="000273DF" w:rsidP="000273DF">
      <w:pPr>
        <w:pStyle w:val="Textonotapie"/>
        <w:ind w:firstLine="709"/>
        <w:contextualSpacing/>
        <w:jc w:val="both"/>
        <w:rPr>
          <w:rFonts w:ascii="Verdana" w:hAnsi="Verdana" w:cs="Arial"/>
          <w:sz w:val="16"/>
          <w:szCs w:val="16"/>
        </w:rPr>
      </w:pPr>
      <w:r w:rsidRPr="00EB30BA">
        <w:rPr>
          <w:rFonts w:ascii="Verdana" w:hAnsi="Verdana" w:cs="Arial"/>
          <w:sz w:val="16"/>
          <w:szCs w:val="16"/>
        </w:rPr>
        <w:t xml:space="preserve">. </w:t>
      </w:r>
    </w:p>
  </w:footnote>
  <w:footnote w:id="21">
    <w:p w14:paraId="28542E53" w14:textId="77777777" w:rsidR="000273DF" w:rsidRPr="00EB30BA" w:rsidRDefault="000273DF" w:rsidP="000273DF">
      <w:pPr>
        <w:pStyle w:val="Textonotapie"/>
        <w:ind w:firstLine="709"/>
        <w:contextualSpacing/>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Conforme al artículo 2 del Decreto Ley 4085 de 2011, la Agencia Nacional de Defensa Jurídica del Estado tiene como objetivo «[…] el diseño de estrategias, planes y acciones dirigidos a dar cumplimiento a las políticas de defensa jurídica de la Nación y del Estado definidas por el Gobierno Nacional; la formulación, evaluación y difusión de las políticas en materia de prevención de las conductas antijurídicas por parte de servidores y entidades públicas, del daño antijurídico y la extensión de sus efectos, y la dirección, coordinación y ejecución de las acciones que aseguren la adecuada implementación de las mismas, para la defensa de los intereses litigiosos de la Nación».</w:t>
      </w:r>
    </w:p>
  </w:footnote>
  <w:footnote w:id="22">
    <w:p w14:paraId="4081FB92" w14:textId="77777777" w:rsidR="000273DF" w:rsidRPr="00EB30BA" w:rsidRDefault="000273DF" w:rsidP="000273DF">
      <w:pPr>
        <w:pStyle w:val="Textonotapie"/>
        <w:ind w:firstLine="709"/>
        <w:contextualSpacing/>
        <w:jc w:val="both"/>
        <w:rPr>
          <w:rFonts w:ascii="Verdana" w:hAnsi="Verdana" w:cs="Arial"/>
          <w:sz w:val="16"/>
          <w:szCs w:val="16"/>
        </w:rPr>
      </w:pPr>
      <w:r w:rsidRPr="00EB30BA">
        <w:rPr>
          <w:rStyle w:val="Refdenotaalpie"/>
          <w:rFonts w:ascii="Verdana" w:hAnsi="Verdana" w:cs="Arial"/>
          <w:sz w:val="16"/>
          <w:szCs w:val="16"/>
        </w:rPr>
        <w:footnoteRef/>
      </w:r>
      <w:r w:rsidRPr="00EB30BA">
        <w:rPr>
          <w:rFonts w:ascii="Verdana" w:hAnsi="Verdana" w:cs="Arial"/>
          <w:sz w:val="16"/>
          <w:szCs w:val="16"/>
        </w:rPr>
        <w:t xml:space="preserve"> La norma dispone que «Al resolver los asuntos de su competencia, las autoridades aplicarán las disposiciones constitucionales, legales y reglamentarias de manera uniforme a situaciones que tengan los mismos supuestos fácticos y jurídicos. Con este propósito, al adoptar las decisiones de su competencia, deberán tener en cuenta las sentencias de unificación jurisprudencial del Consejo de Estado en las que se interpreten y apliquen dichas normas».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1"/>
  </w:num>
  <w:num w:numId="7" w16cid:durableId="1946422806">
    <w:abstractNumId w:val="4"/>
  </w:num>
  <w:num w:numId="8" w16cid:durableId="152644682">
    <w:abstractNumId w:val="10"/>
  </w:num>
  <w:num w:numId="9" w16cid:durableId="1317221377">
    <w:abstractNumId w:val="6"/>
  </w:num>
  <w:num w:numId="10" w16cid:durableId="1471245386">
    <w:abstractNumId w:val="9"/>
  </w:num>
  <w:num w:numId="11" w16cid:durableId="289172385">
    <w:abstractNumId w:val="7"/>
  </w:num>
  <w:num w:numId="12" w16cid:durableId="1470781324">
    <w:abstractNumId w:val="0"/>
  </w:num>
  <w:num w:numId="13" w16cid:durableId="1512908409">
    <w:abstractNumId w:val="2"/>
  </w:num>
  <w:num w:numId="14" w16cid:durableId="895897244">
    <w:abstractNumId w:val="12"/>
  </w:num>
  <w:num w:numId="15" w16cid:durableId="390349800">
    <w:abstractNumId w:val="8"/>
  </w:num>
  <w:num w:numId="16" w16cid:durableId="135033325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3DF"/>
    <w:rsid w:val="00046945"/>
    <w:rsid w:val="00061B2A"/>
    <w:rsid w:val="00082362"/>
    <w:rsid w:val="000A683E"/>
    <w:rsid w:val="000B19B9"/>
    <w:rsid w:val="000C2914"/>
    <w:rsid w:val="000D0334"/>
    <w:rsid w:val="000F6486"/>
    <w:rsid w:val="00125105"/>
    <w:rsid w:val="00127233"/>
    <w:rsid w:val="00177A85"/>
    <w:rsid w:val="00182887"/>
    <w:rsid w:val="001E4177"/>
    <w:rsid w:val="001F7DC6"/>
    <w:rsid w:val="002328D4"/>
    <w:rsid w:val="002421BB"/>
    <w:rsid w:val="0025796E"/>
    <w:rsid w:val="002707A2"/>
    <w:rsid w:val="002951A0"/>
    <w:rsid w:val="002962BC"/>
    <w:rsid w:val="002A093D"/>
    <w:rsid w:val="002A0DD0"/>
    <w:rsid w:val="002A49AC"/>
    <w:rsid w:val="002A64FD"/>
    <w:rsid w:val="002C7A84"/>
    <w:rsid w:val="002E4FD9"/>
    <w:rsid w:val="00313449"/>
    <w:rsid w:val="00322A85"/>
    <w:rsid w:val="00324168"/>
    <w:rsid w:val="00341224"/>
    <w:rsid w:val="003448F4"/>
    <w:rsid w:val="00366396"/>
    <w:rsid w:val="00374F5E"/>
    <w:rsid w:val="00377E3E"/>
    <w:rsid w:val="00383886"/>
    <w:rsid w:val="003A779E"/>
    <w:rsid w:val="003D0F4D"/>
    <w:rsid w:val="003D5B0D"/>
    <w:rsid w:val="003E0499"/>
    <w:rsid w:val="003F3941"/>
    <w:rsid w:val="00406575"/>
    <w:rsid w:val="00414C74"/>
    <w:rsid w:val="0042722E"/>
    <w:rsid w:val="0044528D"/>
    <w:rsid w:val="0046353E"/>
    <w:rsid w:val="004A1847"/>
    <w:rsid w:val="004A305D"/>
    <w:rsid w:val="004E0BBC"/>
    <w:rsid w:val="004F21C4"/>
    <w:rsid w:val="004F685F"/>
    <w:rsid w:val="00520D14"/>
    <w:rsid w:val="005566E8"/>
    <w:rsid w:val="00574867"/>
    <w:rsid w:val="005864C5"/>
    <w:rsid w:val="005873DA"/>
    <w:rsid w:val="00591460"/>
    <w:rsid w:val="005C3777"/>
    <w:rsid w:val="005C5CDC"/>
    <w:rsid w:val="005D476C"/>
    <w:rsid w:val="005E7D92"/>
    <w:rsid w:val="006219F8"/>
    <w:rsid w:val="006302F7"/>
    <w:rsid w:val="00642CB2"/>
    <w:rsid w:val="00665D70"/>
    <w:rsid w:val="006900D9"/>
    <w:rsid w:val="006A760C"/>
    <w:rsid w:val="00706C16"/>
    <w:rsid w:val="00735CC4"/>
    <w:rsid w:val="007501D6"/>
    <w:rsid w:val="00756841"/>
    <w:rsid w:val="007649AB"/>
    <w:rsid w:val="00771D0C"/>
    <w:rsid w:val="007833AC"/>
    <w:rsid w:val="007B268C"/>
    <w:rsid w:val="007B7171"/>
    <w:rsid w:val="007C0C0F"/>
    <w:rsid w:val="007C3DC2"/>
    <w:rsid w:val="007E5497"/>
    <w:rsid w:val="00806F5F"/>
    <w:rsid w:val="008113E8"/>
    <w:rsid w:val="00820278"/>
    <w:rsid w:val="008205E4"/>
    <w:rsid w:val="008253E7"/>
    <w:rsid w:val="0083343B"/>
    <w:rsid w:val="00867F95"/>
    <w:rsid w:val="008843B6"/>
    <w:rsid w:val="00891928"/>
    <w:rsid w:val="00893BAA"/>
    <w:rsid w:val="00897A3A"/>
    <w:rsid w:val="008A446D"/>
    <w:rsid w:val="008B7D66"/>
    <w:rsid w:val="008D180B"/>
    <w:rsid w:val="008F0EA7"/>
    <w:rsid w:val="00900C0D"/>
    <w:rsid w:val="00923EEF"/>
    <w:rsid w:val="009419F9"/>
    <w:rsid w:val="0095685E"/>
    <w:rsid w:val="00961B09"/>
    <w:rsid w:val="00965334"/>
    <w:rsid w:val="0097093E"/>
    <w:rsid w:val="00973053"/>
    <w:rsid w:val="00993C63"/>
    <w:rsid w:val="009A0DFA"/>
    <w:rsid w:val="009A6F75"/>
    <w:rsid w:val="009B25A8"/>
    <w:rsid w:val="009B2D26"/>
    <w:rsid w:val="009C71FA"/>
    <w:rsid w:val="009C72E7"/>
    <w:rsid w:val="009D3058"/>
    <w:rsid w:val="009F3A13"/>
    <w:rsid w:val="00A122D3"/>
    <w:rsid w:val="00A17F13"/>
    <w:rsid w:val="00A20739"/>
    <w:rsid w:val="00A33C78"/>
    <w:rsid w:val="00A45796"/>
    <w:rsid w:val="00A55E45"/>
    <w:rsid w:val="00AB0ADB"/>
    <w:rsid w:val="00AF085A"/>
    <w:rsid w:val="00B00C0E"/>
    <w:rsid w:val="00B01B1A"/>
    <w:rsid w:val="00B35F25"/>
    <w:rsid w:val="00B44A47"/>
    <w:rsid w:val="00B72CD3"/>
    <w:rsid w:val="00B72FFF"/>
    <w:rsid w:val="00BC3D36"/>
    <w:rsid w:val="00BD7F72"/>
    <w:rsid w:val="00BF7BAB"/>
    <w:rsid w:val="00C04FB3"/>
    <w:rsid w:val="00C276F4"/>
    <w:rsid w:val="00C330EB"/>
    <w:rsid w:val="00C538D3"/>
    <w:rsid w:val="00C754BE"/>
    <w:rsid w:val="00C76B1C"/>
    <w:rsid w:val="00CB6357"/>
    <w:rsid w:val="00CC1B26"/>
    <w:rsid w:val="00D423A2"/>
    <w:rsid w:val="00D520D8"/>
    <w:rsid w:val="00D63AC2"/>
    <w:rsid w:val="00D7383B"/>
    <w:rsid w:val="00DA231B"/>
    <w:rsid w:val="00DC39FC"/>
    <w:rsid w:val="00DF5254"/>
    <w:rsid w:val="00E16408"/>
    <w:rsid w:val="00E20894"/>
    <w:rsid w:val="00E23D16"/>
    <w:rsid w:val="00E245AB"/>
    <w:rsid w:val="00E2764C"/>
    <w:rsid w:val="00E27F2E"/>
    <w:rsid w:val="00E50AFE"/>
    <w:rsid w:val="00E55466"/>
    <w:rsid w:val="00E73321"/>
    <w:rsid w:val="00E75C92"/>
    <w:rsid w:val="00E771DC"/>
    <w:rsid w:val="00E8772A"/>
    <w:rsid w:val="00E90F6B"/>
    <w:rsid w:val="00E92C27"/>
    <w:rsid w:val="00EA0E3D"/>
    <w:rsid w:val="00EC38A7"/>
    <w:rsid w:val="00ED277C"/>
    <w:rsid w:val="00EE1AA8"/>
    <w:rsid w:val="00F31EDC"/>
    <w:rsid w:val="00F462B3"/>
    <w:rsid w:val="00F5664F"/>
    <w:rsid w:val="00F6496C"/>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273D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273D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OMERORIVERO7@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dapre.presidencia.gov.co/normativa/normativa/DIRECTIVA%20PRESIDENCIAL%2007%20DEL%2028%20DE%20OCTUBRE%20DE%202021.pdf" TargetMode="External"/><Relationship Id="rId1" Type="http://schemas.openxmlformats.org/officeDocument/2006/relationships/hyperlink" Target="https://dle.rae.es/soluci%C3%B3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AE90F1D-8D84-4DE5-B1E0-BD6127EE9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19</Pages>
  <Words>5960</Words>
  <Characters>32666</Characters>
  <Application>Microsoft Office Word</Application>
  <DocSecurity>0</DocSecurity>
  <Lines>640</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2025-10-04T14:47:00Z</dcterms:created>
  <dcterms:modified xsi:type="dcterms:W3CDTF">2025-10-04T14:47:00Z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