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A8CC90" w14:textId="77777777" w:rsidR="004C0F29" w:rsidRPr="003E4F32" w:rsidRDefault="004C0F29" w:rsidP="004C0F29">
      <w:pPr>
        <w:spacing w:after="0" w:line="240" w:lineRule="auto"/>
        <w:jc w:val="both"/>
        <w:rPr>
          <w:rFonts w:ascii="Verdana" w:hAnsi="Verdana"/>
          <w:b/>
          <w:lang w:val="es-ES"/>
        </w:rPr>
      </w:pPr>
      <w:bookmarkStart w:id="0" w:name="_Hlk143780582"/>
      <w:r w:rsidRPr="003E4F32">
        <w:rPr>
          <w:rFonts w:ascii="Verdana" w:hAnsi="Verdana"/>
          <w:b/>
          <w:lang w:val="es-ES"/>
        </w:rPr>
        <w:t xml:space="preserve">CONTRATOS Y CONVENIOS INTERADMINISTRATIVOS – Noción – Diferencias </w:t>
      </w:r>
    </w:p>
    <w:p w14:paraId="21BCA115" w14:textId="77777777" w:rsidR="004C0F29" w:rsidRDefault="004C0F29" w:rsidP="004C0F29">
      <w:pPr>
        <w:spacing w:after="0" w:line="240" w:lineRule="auto"/>
        <w:jc w:val="both"/>
        <w:rPr>
          <w:rFonts w:ascii="Verdana" w:hAnsi="Verdana"/>
          <w:b/>
          <w:lang w:val="es-ES"/>
        </w:rPr>
      </w:pPr>
    </w:p>
    <w:p w14:paraId="5C7C6457" w14:textId="77777777" w:rsidR="004C0F29" w:rsidRDefault="004C0F29" w:rsidP="004C0F29">
      <w:pPr>
        <w:spacing w:after="0" w:line="240" w:lineRule="auto"/>
        <w:jc w:val="both"/>
        <w:rPr>
          <w:rFonts w:ascii="Verdana" w:hAnsi="Verdana"/>
          <w:sz w:val="20"/>
        </w:rPr>
      </w:pPr>
      <w:r w:rsidRPr="003E4F32">
        <w:rPr>
          <w:rFonts w:ascii="Verdana" w:hAnsi="Verdana"/>
          <w:sz w:val="20"/>
        </w:rPr>
        <w:t>La tipología del contrato interadministrativo fue creada en la Ley 80 de 1993, y el Decreto 1082 de 2015 la califica como aquella contratación entre Entidades Estatales. De acuerdo con lo anterior, el contrato o el convenio interadministrativo es el acuerdo donde concurre la voluntad de dos o más personas jurídicas de derecho público con la finalidad de cumplir, en el marco de sus objetivos misionales y sus competencias, con los fines del Estado. Es decir, los contratos o convenios interadministrativos están determinados por un criterio orgánico, al ser necesario que los extremos de la relación contractual sean Entidades Estatales.</w:t>
      </w:r>
    </w:p>
    <w:p w14:paraId="2B2242E9" w14:textId="77777777" w:rsidR="004C0F29" w:rsidRPr="003E4F32" w:rsidRDefault="004C0F29" w:rsidP="004C0F29">
      <w:pPr>
        <w:spacing w:after="0" w:line="240" w:lineRule="auto"/>
        <w:jc w:val="both"/>
        <w:rPr>
          <w:rFonts w:ascii="Verdana" w:hAnsi="Verdana"/>
          <w:sz w:val="20"/>
        </w:rPr>
      </w:pPr>
    </w:p>
    <w:p w14:paraId="5C6DAE4C" w14:textId="77777777" w:rsidR="004C0F29" w:rsidRPr="003E4F32" w:rsidRDefault="004C0F29" w:rsidP="004C0F29">
      <w:pPr>
        <w:spacing w:after="0" w:line="240" w:lineRule="auto"/>
        <w:jc w:val="both"/>
        <w:rPr>
          <w:rFonts w:ascii="Verdana" w:hAnsi="Verdana"/>
          <w:sz w:val="20"/>
        </w:rPr>
      </w:pPr>
      <w:r w:rsidRPr="003E4F32">
        <w:rPr>
          <w:rFonts w:ascii="Verdana" w:hAnsi="Verdana"/>
          <w:sz w:val="20"/>
        </w:rPr>
        <w:t>Si bien los contratos interadministrativos están previstos en la Ley 80 de 1993, en la Ley 1150 de 2007 y en el Decreto en el 1082 de 2015, no quiere decir que solo puedan celebrarse entre Entidades Estatales que apliquen el régimen de contratación allí previsto, pues bien puede una Entidad Estatal sometida a la Ley 80 de 1993 celebrar esta clase de negocios jurídicos con una Entidad Estatal de régimen especial y no por ello dejará de ser un contrato o convenio interadministrativo.</w:t>
      </w:r>
    </w:p>
    <w:p w14:paraId="76C488A6" w14:textId="77777777" w:rsidR="004C0F29" w:rsidRPr="003E4F32" w:rsidRDefault="004C0F29" w:rsidP="004C0F29">
      <w:pPr>
        <w:spacing w:after="0" w:line="240" w:lineRule="auto"/>
        <w:jc w:val="both"/>
        <w:rPr>
          <w:rFonts w:ascii="Verdana" w:hAnsi="Verdana"/>
          <w:b/>
        </w:rPr>
      </w:pPr>
    </w:p>
    <w:p w14:paraId="6CBB4FD9" w14:textId="77777777" w:rsidR="004C0F29" w:rsidRPr="003E4F32" w:rsidRDefault="004C0F29" w:rsidP="004C0F29">
      <w:pPr>
        <w:spacing w:after="0" w:line="240" w:lineRule="auto"/>
        <w:jc w:val="both"/>
        <w:rPr>
          <w:rFonts w:ascii="Verdana" w:hAnsi="Verdana"/>
          <w:b/>
          <w:lang w:val="es-ES"/>
        </w:rPr>
      </w:pPr>
      <w:r w:rsidRPr="003E4F32">
        <w:rPr>
          <w:rFonts w:ascii="Verdana" w:hAnsi="Verdana"/>
          <w:b/>
          <w:lang w:val="es-ES"/>
        </w:rPr>
        <w:t xml:space="preserve">CONVENIO INTERADMINISTRATIVO – Naturaleza – Inaplicabilidad – Ley 80 de 1993 </w:t>
      </w:r>
    </w:p>
    <w:p w14:paraId="68F3284C" w14:textId="77777777" w:rsidR="004C0F29" w:rsidRDefault="004C0F29" w:rsidP="004C0F29">
      <w:pPr>
        <w:spacing w:after="0" w:line="240" w:lineRule="auto"/>
        <w:jc w:val="both"/>
        <w:rPr>
          <w:rFonts w:ascii="Verdana" w:hAnsi="Verdana"/>
          <w:b/>
          <w:lang w:val="es-ES"/>
        </w:rPr>
      </w:pPr>
    </w:p>
    <w:p w14:paraId="535DDE2D" w14:textId="77777777" w:rsidR="004C0F29" w:rsidRPr="003E4F32" w:rsidRDefault="004C0F29" w:rsidP="004C0F29">
      <w:pPr>
        <w:spacing w:after="0" w:line="240" w:lineRule="auto"/>
        <w:jc w:val="both"/>
        <w:rPr>
          <w:rFonts w:ascii="Verdana" w:hAnsi="Verdana"/>
          <w:sz w:val="20"/>
        </w:rPr>
      </w:pPr>
      <w:r w:rsidRPr="003E4F32">
        <w:rPr>
          <w:rFonts w:ascii="Verdana" w:hAnsi="Verdana"/>
          <w:sz w:val="20"/>
        </w:rPr>
        <w:t xml:space="preserve">Bajo esta postura del Consejo de Estado, se determina que el convenio interadministrativo es el negocio jurídico en el cual convergen dos entidades públicas, cuyo objeto se relaciona con la coordinación o cooperación para el cumplimiento de los fines comunes de las partes. Por otro lado, el contrato interadministrativo es un negocio jurídico, cuyo objeto está relacionado con la prestación de bienes y servicios, en el que una de las partes actúa como contratante y otra como contratista. </w:t>
      </w:r>
    </w:p>
    <w:p w14:paraId="532133C5" w14:textId="77777777" w:rsidR="004C0F29" w:rsidRPr="003E4F32" w:rsidRDefault="004C0F29" w:rsidP="004C0F29">
      <w:pPr>
        <w:spacing w:after="0" w:line="240" w:lineRule="auto"/>
        <w:jc w:val="both"/>
        <w:rPr>
          <w:rFonts w:ascii="Verdana" w:hAnsi="Verdana"/>
          <w:sz w:val="20"/>
        </w:rPr>
      </w:pPr>
    </w:p>
    <w:p w14:paraId="3BCBFB16" w14:textId="77777777" w:rsidR="004C0F29" w:rsidRPr="003E4F32" w:rsidRDefault="004C0F29" w:rsidP="004C0F29">
      <w:pPr>
        <w:spacing w:after="0" w:line="240" w:lineRule="auto"/>
        <w:jc w:val="both"/>
        <w:rPr>
          <w:rFonts w:ascii="Verdana" w:hAnsi="Verdana"/>
          <w:sz w:val="20"/>
        </w:rPr>
      </w:pPr>
      <w:r w:rsidRPr="003E4F32">
        <w:rPr>
          <w:rFonts w:ascii="Verdana" w:hAnsi="Verdana"/>
          <w:sz w:val="20"/>
        </w:rPr>
        <w:t>Ahora bien, esta distinción conceptual entre contratos y convenios interadministrativos resulta relevante para precisar ámbito de aplicación de las instituciones del EGCAP. Al respecto, el Consejo ha destacado la finalidad asociativa de los convenios interadministrativos, los cuales se caracterizan por la autorregulación de sus propias estipulaciones, que son el resultado de la autonomía de la voluntad de las entidades que actúan como colaboradoras o cooperantes, sin que pueda aludirse a la preponderancia de ciertos regímenes, por lo que no es procedente la aplicación automática del régimen contractual de los contratos estatales.</w:t>
      </w:r>
    </w:p>
    <w:p w14:paraId="6A517F99" w14:textId="4317BF46" w:rsidR="004C0F29" w:rsidRDefault="004C0F29" w:rsidP="004C0F29">
      <w:pPr>
        <w:spacing w:after="0" w:line="240" w:lineRule="auto"/>
        <w:rPr>
          <w:rFonts w:ascii="Verdana" w:hAnsi="Verdana"/>
        </w:rPr>
      </w:pPr>
    </w:p>
    <w:p w14:paraId="2BB3C924" w14:textId="77777777" w:rsidR="004C0F29" w:rsidRPr="004C0F29" w:rsidRDefault="004C0F29" w:rsidP="004C0F29">
      <w:pPr>
        <w:spacing w:after="0" w:line="240" w:lineRule="auto"/>
        <w:rPr>
          <w:rFonts w:ascii="Verdana" w:hAnsi="Verdana" w:cs="Arial"/>
          <w:b/>
          <w:bCs/>
          <w:lang w:val="es-ES_tradnl"/>
        </w:rPr>
      </w:pPr>
      <w:r w:rsidRPr="004C0F29">
        <w:rPr>
          <w:rFonts w:ascii="Verdana" w:hAnsi="Verdana" w:cs="Arial"/>
          <w:b/>
          <w:bCs/>
          <w:lang w:val="es-ES_tradnl"/>
        </w:rPr>
        <w:t xml:space="preserve">ASOCIACIONES DE MUNICIPIOS – Naturaleza </w:t>
      </w:r>
    </w:p>
    <w:p w14:paraId="51973232" w14:textId="77777777" w:rsidR="004C0F29" w:rsidRDefault="004C0F29" w:rsidP="004C0F29">
      <w:pPr>
        <w:spacing w:after="0" w:line="240" w:lineRule="auto"/>
        <w:rPr>
          <w:rFonts w:ascii="Verdana" w:hAnsi="Verdana" w:cs="Arial"/>
          <w:bCs/>
          <w:lang w:val="es-ES_tradnl"/>
        </w:rPr>
      </w:pPr>
    </w:p>
    <w:p w14:paraId="1A7B833B" w14:textId="77777777" w:rsidR="004C0F29" w:rsidRPr="004C0F29" w:rsidRDefault="004C0F29" w:rsidP="004C0F29">
      <w:pPr>
        <w:spacing w:after="0" w:line="240" w:lineRule="auto"/>
        <w:jc w:val="both"/>
        <w:rPr>
          <w:rFonts w:ascii="Verdana" w:hAnsi="Verdana" w:cs="Arial"/>
          <w:bCs/>
          <w:sz w:val="20"/>
        </w:rPr>
      </w:pPr>
      <w:r w:rsidRPr="004C0F29">
        <w:rPr>
          <w:rFonts w:ascii="Verdana" w:hAnsi="Verdana" w:cs="Arial"/>
          <w:bCs/>
          <w:sz w:val="20"/>
        </w:rPr>
        <w:t xml:space="preserve">En lo referente a la </w:t>
      </w:r>
      <w:r w:rsidRPr="004C0F29">
        <w:rPr>
          <w:rFonts w:ascii="Verdana" w:hAnsi="Verdana" w:cs="Arial"/>
          <w:bCs/>
          <w:i/>
          <w:iCs/>
          <w:sz w:val="20"/>
        </w:rPr>
        <w:t>asociación de municipios</w:t>
      </w:r>
      <w:r w:rsidRPr="004C0F29">
        <w:rPr>
          <w:rFonts w:ascii="Verdana" w:hAnsi="Verdana" w:cs="Arial"/>
          <w:bCs/>
          <w:sz w:val="20"/>
        </w:rPr>
        <w:t>, la Ley 136 de 1994, en el artículo 149 señaló que esas asociaciones “son entidades administrativas de derecho público, con personería jurídica y patrimonio propio e independiente de los entes que la conforman; se rige por sus propios estatutos y gozarán para el desarrollo de su objetivo, de los mismos derechos, privilegios, excepciones y prerrogativas otorgadas por la ley a los municipios. Los actos de las asociaciones son revisables y anulables por la Jurisdicción Contencioso-administrativa”.</w:t>
      </w:r>
    </w:p>
    <w:p w14:paraId="0F662A88" w14:textId="77777777" w:rsidR="004C0F29" w:rsidRPr="004C0F29" w:rsidRDefault="004C0F29" w:rsidP="001C01E9">
      <w:pPr>
        <w:spacing w:after="0" w:line="240" w:lineRule="auto"/>
        <w:jc w:val="both"/>
        <w:rPr>
          <w:rFonts w:ascii="Verdana" w:hAnsi="Verdana" w:cs="Arial"/>
          <w:bCs/>
          <w:sz w:val="20"/>
        </w:rPr>
      </w:pPr>
      <w:r w:rsidRPr="004C0F29">
        <w:rPr>
          <w:rFonts w:ascii="Verdana" w:hAnsi="Verdana" w:cs="Arial"/>
          <w:bCs/>
          <w:sz w:val="20"/>
        </w:rPr>
        <w:lastRenderedPageBreak/>
        <w:t>Por su parte, el artículo 148 de la referida Ley 136 de 1994 autorizó que “Dos o más municipios de uno o más departamentos podrán asociarse para organizar conjuntamente la prestación de servicios públicos, la ejecución de obras o el cumplimiento de funciones administrativas, procurando eficiencia y eficacia en los mismos, así como el desarrollo integral de sus territorios y colaborar mutuamente en la ejecución de obras públicas”.</w:t>
      </w:r>
    </w:p>
    <w:p w14:paraId="5D7A4A71" w14:textId="6C6D27CD" w:rsidR="004C0F29" w:rsidRPr="004C0F29" w:rsidRDefault="004C0F29" w:rsidP="001C01E9">
      <w:pPr>
        <w:spacing w:after="0" w:line="240" w:lineRule="auto"/>
        <w:jc w:val="both"/>
        <w:rPr>
          <w:rFonts w:ascii="Verdana" w:hAnsi="Verdana" w:cs="Arial"/>
          <w:bCs/>
          <w:sz w:val="20"/>
        </w:rPr>
      </w:pPr>
      <w:r w:rsidRPr="004C0F29">
        <w:rPr>
          <w:rFonts w:ascii="Verdana" w:hAnsi="Verdana" w:cs="Arial"/>
          <w:bCs/>
          <w:sz w:val="20"/>
        </w:rPr>
        <w:t xml:space="preserve">A su vez, la Ley 1454 de 2011, orgánica del ordenamiento territorial, concibió a las asociaciones de municipios como una clase de los denominados esquemas asociativos territoriales, sobre los que el artículo 17 señala que “son entidades administrativas de derecho público, con personería jurídica y patrimonio propio e independiente de los entes que la conforman”. </w:t>
      </w:r>
    </w:p>
    <w:p w14:paraId="7AB99561" w14:textId="77777777" w:rsidR="004C0F29" w:rsidRPr="004C0F29" w:rsidRDefault="004C0F29" w:rsidP="001C01E9">
      <w:pPr>
        <w:spacing w:after="0" w:line="240" w:lineRule="auto"/>
        <w:rPr>
          <w:rFonts w:ascii="Verdana" w:hAnsi="Verdana" w:cs="Arial"/>
          <w:bCs/>
        </w:rPr>
      </w:pPr>
    </w:p>
    <w:p w14:paraId="4CED60D7" w14:textId="77777777" w:rsidR="004C0F29" w:rsidRPr="007B2914" w:rsidRDefault="004C0F29" w:rsidP="001C01E9">
      <w:pPr>
        <w:spacing w:after="0" w:line="240" w:lineRule="auto"/>
        <w:rPr>
          <w:rFonts w:ascii="Verdana" w:hAnsi="Verdana" w:cs="Arial"/>
          <w:b/>
          <w:bCs/>
          <w:lang w:val="es-ES_tradnl"/>
        </w:rPr>
      </w:pPr>
      <w:r w:rsidRPr="007B2914">
        <w:rPr>
          <w:rFonts w:ascii="Verdana" w:hAnsi="Verdana" w:cs="Arial"/>
          <w:b/>
          <w:bCs/>
          <w:lang w:val="es-ES_tradnl"/>
        </w:rPr>
        <w:t xml:space="preserve">ASOCIACIONES DE MUNICIPIOS - - Régimen Jurídico </w:t>
      </w:r>
    </w:p>
    <w:p w14:paraId="2A443CEC" w14:textId="612CD265" w:rsidR="004C0F29" w:rsidRDefault="004C0F29" w:rsidP="001C01E9">
      <w:pPr>
        <w:spacing w:after="0" w:line="240" w:lineRule="auto"/>
        <w:rPr>
          <w:rFonts w:ascii="Verdana" w:hAnsi="Verdana" w:cs="Arial"/>
          <w:bCs/>
          <w:lang w:val="es-ES_tradnl"/>
        </w:rPr>
      </w:pPr>
    </w:p>
    <w:p w14:paraId="0F906328" w14:textId="73E61115" w:rsidR="004C0F29" w:rsidRPr="007B2914" w:rsidRDefault="007B2914" w:rsidP="001C01E9">
      <w:pPr>
        <w:spacing w:after="0" w:line="240" w:lineRule="auto"/>
        <w:jc w:val="both"/>
        <w:rPr>
          <w:rFonts w:ascii="Verdana" w:hAnsi="Verdana" w:cs="Arial"/>
          <w:bCs/>
          <w:sz w:val="20"/>
          <w:lang w:val="es-ES"/>
        </w:rPr>
      </w:pPr>
      <w:r w:rsidRPr="007B2914">
        <w:rPr>
          <w:rFonts w:ascii="Verdana" w:hAnsi="Verdana" w:cs="Arial"/>
          <w:bCs/>
          <w:sz w:val="20"/>
        </w:rPr>
        <w:t xml:space="preserve">La Ley 80 de 1993, en el parágrafo 1 del artículo 2, incluía a las cooperativas y asociaciones de entidades territoriales dentro de la categoría de entidades estatales sometidas a la Ley 80 de 1993, y las facultaba para suscribir convenios interadministrativos: </w:t>
      </w:r>
      <w:r w:rsidRPr="007B2914">
        <w:rPr>
          <w:rFonts w:ascii="Verdana" w:hAnsi="Verdana" w:cs="Arial"/>
          <w:bCs/>
          <w:sz w:val="20"/>
          <w:lang w:val="es-ES"/>
        </w:rPr>
        <w:t>“Parágrafo 1. Para los solos efectos de esta ley, también se denominan entidades estatales las cooperativas y asociaciones conformadas por entidades territoriales, las cuales estarán sujetas a las disposiciones del presente estatuto, especialmente cuando en desarrollo de convenios interadministrativos celebren contratos por cuenta de dichas entidades”.</w:t>
      </w:r>
    </w:p>
    <w:p w14:paraId="5C2A5869" w14:textId="77777777" w:rsidR="007B2914" w:rsidRPr="004C0F29" w:rsidRDefault="007B2914" w:rsidP="001C01E9">
      <w:pPr>
        <w:spacing w:after="0" w:line="240" w:lineRule="auto"/>
        <w:rPr>
          <w:rFonts w:ascii="Verdana" w:hAnsi="Verdana" w:cs="Arial"/>
          <w:b/>
          <w:bCs/>
          <w:lang w:val="es-ES_tradnl"/>
        </w:rPr>
      </w:pPr>
    </w:p>
    <w:p w14:paraId="03FF3DF0" w14:textId="77777777" w:rsidR="004C0F29" w:rsidRPr="004C0F29" w:rsidRDefault="004C0F29" w:rsidP="001C01E9">
      <w:pPr>
        <w:spacing w:after="0" w:line="240" w:lineRule="auto"/>
        <w:jc w:val="both"/>
        <w:rPr>
          <w:rFonts w:ascii="Verdana" w:hAnsi="Verdana" w:cs="Arial"/>
          <w:b/>
          <w:bCs/>
          <w:lang w:val="es-ES_tradnl"/>
        </w:rPr>
      </w:pPr>
      <w:r w:rsidRPr="004C0F29">
        <w:rPr>
          <w:rFonts w:ascii="Verdana" w:hAnsi="Verdana" w:cs="Arial"/>
          <w:b/>
          <w:bCs/>
          <w:lang w:val="es-ES_tradnl"/>
        </w:rPr>
        <w:t>CONTRATOS INTERADMINISTRATIVOS – Asociaciones de Municipios – Prohibición – Contratación Directa</w:t>
      </w:r>
    </w:p>
    <w:p w14:paraId="0423CE83" w14:textId="4291AB5A" w:rsidR="004C0F29" w:rsidRDefault="004C0F29" w:rsidP="001C01E9">
      <w:pPr>
        <w:spacing w:after="0" w:line="240" w:lineRule="auto"/>
        <w:rPr>
          <w:rFonts w:ascii="Verdana" w:hAnsi="Verdana" w:cs="Arial"/>
          <w:bCs/>
          <w:lang w:val="es-ES_tradnl"/>
        </w:rPr>
      </w:pPr>
    </w:p>
    <w:p w14:paraId="0C04F78F" w14:textId="1E547ED8" w:rsidR="004C0F29" w:rsidRDefault="004C0F29" w:rsidP="001C01E9">
      <w:pPr>
        <w:spacing w:after="0" w:line="240" w:lineRule="auto"/>
        <w:jc w:val="both"/>
        <w:rPr>
          <w:rFonts w:ascii="Verdana" w:hAnsi="Verdana" w:cs="Arial"/>
          <w:bCs/>
          <w:sz w:val="20"/>
          <w:lang w:val="es-ES"/>
        </w:rPr>
      </w:pPr>
      <w:r w:rsidRPr="004C0F29">
        <w:rPr>
          <w:rFonts w:ascii="Verdana" w:hAnsi="Verdana" w:cs="Arial"/>
          <w:bCs/>
          <w:sz w:val="20"/>
          <w:lang w:val="es-ES"/>
        </w:rPr>
        <w:t xml:space="preserve">[…] la celebración de contratos con entidades estatales, las cooperativas y asociaciones conformadas por entidades territoriales deben someterse a los procesos de selección de la Ley 1150 de 2007, en igualdad de condiciones con los particulares. Así las cosas, la finalidad de la norma consiste en establecer que las cooperativas, las asociaciones conformadas por entidades territoriales y en general los entes solidarios de carácter público que pretendan celebrar contratos con las entidades estatales pueden hacerlo siempre y cuando lo realicen a través de procedimientos competitivos, limitándose, en consecuencia, la modalidad de contratación directa. </w:t>
      </w:r>
    </w:p>
    <w:p w14:paraId="2A92F1A6" w14:textId="77777777" w:rsidR="004C0F29" w:rsidRPr="004C0F29" w:rsidRDefault="004C0F29" w:rsidP="001C01E9">
      <w:pPr>
        <w:spacing w:after="0" w:line="240" w:lineRule="auto"/>
        <w:jc w:val="both"/>
        <w:rPr>
          <w:rFonts w:ascii="Verdana" w:hAnsi="Verdana" w:cs="Arial"/>
          <w:bCs/>
          <w:sz w:val="20"/>
          <w:lang w:val="es-ES"/>
        </w:rPr>
      </w:pPr>
    </w:p>
    <w:p w14:paraId="3599E857" w14:textId="77777777" w:rsidR="004C0F29" w:rsidRPr="004C0F29" w:rsidRDefault="004C0F29" w:rsidP="001C01E9">
      <w:pPr>
        <w:spacing w:after="0" w:line="240" w:lineRule="auto"/>
        <w:jc w:val="both"/>
        <w:rPr>
          <w:rFonts w:ascii="Verdana" w:hAnsi="Verdana" w:cs="Arial"/>
          <w:bCs/>
          <w:sz w:val="20"/>
          <w:lang w:val="es-ES"/>
        </w:rPr>
      </w:pPr>
      <w:r w:rsidRPr="004C0F29">
        <w:rPr>
          <w:rFonts w:ascii="Verdana" w:hAnsi="Verdana" w:cs="Arial"/>
          <w:bCs/>
          <w:sz w:val="20"/>
          <w:lang w:val="es-ES"/>
        </w:rPr>
        <w:t xml:space="preserve">De la evolución normativa expuesta se advierte que la prohibición de celebrar contratos mediante la modalidad de contratación directa, incluyendo la imposibilidad de acudir a la causal de contratos interadministrativos, por parte de asociaciones de entidades territoriales tiene como fundamento: i) la derogatoria expresa del artículo 32 de la Ley 1150 de 2007, que dejó sin efectos el parágrafo 1 del artículo 2 de la Ley 80 de 1993; y, particularmente, </w:t>
      </w:r>
      <w:proofErr w:type="spellStart"/>
      <w:r w:rsidRPr="004C0F29">
        <w:rPr>
          <w:rFonts w:ascii="Verdana" w:hAnsi="Verdana" w:cs="Arial"/>
          <w:bCs/>
          <w:sz w:val="20"/>
          <w:lang w:val="es-ES"/>
        </w:rPr>
        <w:t>ii</w:t>
      </w:r>
      <w:proofErr w:type="spellEnd"/>
      <w:r w:rsidRPr="004C0F29">
        <w:rPr>
          <w:rFonts w:ascii="Verdana" w:hAnsi="Verdana" w:cs="Arial"/>
          <w:bCs/>
          <w:sz w:val="20"/>
          <w:lang w:val="es-ES"/>
        </w:rPr>
        <w:t>) el artículo 10 de la ley 1150 de 2007 que establece que la celebración de contratos entre una entidad estatal con, entre otras, asociaciones de entidades territoriales  únicamente pueden realizarse mediante un proceso competitivo, pues deben participar “en igualdad de condiciones con los particulares” y no mediante la modalidad de contratación directa, incluyendo en la prohibición acudir a la causal de los contratos interadministrativos.</w:t>
      </w:r>
    </w:p>
    <w:p w14:paraId="6967796E" w14:textId="77777777" w:rsidR="004C0F29" w:rsidRPr="004C0F29" w:rsidRDefault="004C0F29" w:rsidP="001C01E9">
      <w:pPr>
        <w:spacing w:after="0" w:line="240" w:lineRule="auto"/>
        <w:rPr>
          <w:rFonts w:ascii="Verdana" w:hAnsi="Verdana" w:cs="Arial"/>
          <w:bCs/>
          <w:lang w:val="es-ES"/>
        </w:rPr>
      </w:pPr>
    </w:p>
    <w:p w14:paraId="0111A631" w14:textId="58D99A6E" w:rsidR="004C0F29" w:rsidRPr="004C0F29" w:rsidRDefault="004C0F29" w:rsidP="001C01E9">
      <w:pPr>
        <w:spacing w:after="0" w:line="240" w:lineRule="auto"/>
        <w:rPr>
          <w:rFonts w:ascii="Verdana" w:hAnsi="Verdana"/>
          <w:b/>
        </w:rPr>
      </w:pPr>
      <w:r w:rsidRPr="004C0F29">
        <w:rPr>
          <w:rFonts w:ascii="Verdana" w:hAnsi="Verdana" w:cs="Arial"/>
          <w:b/>
          <w:bCs/>
          <w:lang w:val="es-ES_tradnl"/>
        </w:rPr>
        <w:lastRenderedPageBreak/>
        <w:t>CONVENIOS INTERADMINISTRATIVOS – Procedencia – Contratación Directa</w:t>
      </w:r>
      <w:r w:rsidRPr="004C0F29">
        <w:rPr>
          <w:rFonts w:ascii="Verdana" w:hAnsi="Verdana" w:cs="Arial"/>
          <w:b/>
          <w:bCs/>
          <w:color w:val="000000"/>
          <w:kern w:val="2"/>
          <w:lang w:val="es-MX"/>
          <w14:ligatures w14:val="standardContextual"/>
        </w:rPr>
        <w:t xml:space="preserve"> </w:t>
      </w:r>
    </w:p>
    <w:p w14:paraId="29752763" w14:textId="29708A38" w:rsidR="004C0F29" w:rsidRDefault="004C0F29" w:rsidP="001C01E9">
      <w:pPr>
        <w:spacing w:after="0" w:line="240" w:lineRule="auto"/>
        <w:rPr>
          <w:rFonts w:ascii="Verdana" w:hAnsi="Verdana"/>
        </w:rPr>
      </w:pPr>
    </w:p>
    <w:p w14:paraId="7B37BC79" w14:textId="087BFA35" w:rsidR="004C0F29" w:rsidRPr="004C0F29" w:rsidRDefault="004C0F29" w:rsidP="001C01E9">
      <w:pPr>
        <w:spacing w:after="0" w:line="240" w:lineRule="auto"/>
        <w:jc w:val="both"/>
        <w:rPr>
          <w:rFonts w:ascii="Verdana" w:hAnsi="Verdana"/>
          <w:sz w:val="20"/>
        </w:rPr>
      </w:pPr>
      <w:r>
        <w:rPr>
          <w:rFonts w:ascii="Verdana" w:hAnsi="Verdana"/>
          <w:sz w:val="20"/>
          <w:lang w:val="es-ES"/>
        </w:rPr>
        <w:t xml:space="preserve">[…] </w:t>
      </w:r>
      <w:r w:rsidRPr="004C0F29">
        <w:rPr>
          <w:rFonts w:ascii="Verdana" w:hAnsi="Verdana"/>
          <w:sz w:val="20"/>
          <w:lang w:val="es-ES"/>
        </w:rPr>
        <w:t xml:space="preserve">estos efectos jurídicos de prohibición de contratación directa no son extensibles a los convenios interadministrativos, como se ha expresado en los Conceptos C-605 del 27 de junio de 2025, </w:t>
      </w:r>
      <w:r w:rsidRPr="004C0F29">
        <w:rPr>
          <w:rFonts w:ascii="Verdana" w:hAnsi="Verdana"/>
          <w:sz w:val="20"/>
        </w:rPr>
        <w:t xml:space="preserve">C-1046 del 9 de septiembre de 2025, C-1152 del 23 de septiembre de 2025 y como se explica en el primer apartado </w:t>
      </w:r>
      <w:r w:rsidRPr="004C0F29">
        <w:rPr>
          <w:rFonts w:ascii="Verdana" w:hAnsi="Verdana"/>
          <w:sz w:val="20"/>
          <w:lang w:val="es-ES_tradnl"/>
        </w:rPr>
        <w:t xml:space="preserve">no hay aplicación automática del Estatuto General de Contratación de la Administración. </w:t>
      </w:r>
      <w:r w:rsidRPr="004C0F29">
        <w:rPr>
          <w:rFonts w:ascii="Verdana" w:hAnsi="Verdana"/>
          <w:sz w:val="20"/>
        </w:rPr>
        <w:t>Estos negocios jurídicos se caracterizan por estar sujetos a la autorregulación establecida a través de sus propias estipulaciones, que son el resultado de la autonomía de la voluntad de las entidades que actúan como colaboradoras o cooperantes. En efecto, en los convenios interadministrativos puros o genuinos, el valor del negocio jurídico es determinado por los aportes en dinero y/o en especie requeridos para ejecutar el objeto, los cuales pueden ser realizados por ambos cooperantes en los montos que estos estipulen.</w:t>
      </w:r>
    </w:p>
    <w:p w14:paraId="60D3C998" w14:textId="77777777" w:rsidR="004C0F29" w:rsidRDefault="004C0F29" w:rsidP="001C01E9">
      <w:pPr>
        <w:spacing w:after="0" w:line="240" w:lineRule="auto"/>
        <w:jc w:val="both"/>
        <w:rPr>
          <w:rFonts w:ascii="Verdana" w:hAnsi="Verdana"/>
          <w:sz w:val="20"/>
        </w:rPr>
      </w:pPr>
    </w:p>
    <w:p w14:paraId="24467428" w14:textId="25186451" w:rsidR="004C0F29" w:rsidRDefault="004C0F29" w:rsidP="001C01E9">
      <w:pPr>
        <w:spacing w:after="0" w:line="240" w:lineRule="auto"/>
        <w:jc w:val="both"/>
        <w:rPr>
          <w:rFonts w:ascii="Verdana" w:hAnsi="Verdana"/>
          <w:sz w:val="20"/>
          <w:lang w:val="es-ES_tradnl"/>
        </w:rPr>
      </w:pPr>
      <w:r w:rsidRPr="004C0F29">
        <w:rPr>
          <w:rFonts w:ascii="Verdana" w:hAnsi="Verdana"/>
          <w:sz w:val="20"/>
        </w:rPr>
        <w:t xml:space="preserve">En estos términos, en los convenios interadministrativos no se alude a las categorías de contratante y contratista, sino que ambas partes son cooperantes o colaboradoras. En el marco de su relación de colaboración </w:t>
      </w:r>
      <w:r w:rsidRPr="004C0F29">
        <w:rPr>
          <w:rFonts w:ascii="Verdana" w:hAnsi="Verdana"/>
          <w:sz w:val="20"/>
          <w:lang w:val="es-ES_tradnl"/>
        </w:rPr>
        <w:t xml:space="preserve">pueden estipularse diferentes formas de vinculación de las partes, donde pueden configurar condiciones y cláusulas de mandatos con o sin representación bajo la forma de una administración delegada. En este aspecto, puede pactarse que una de las entidades cooperantes actué como la ejecutora de las principales obligaciones del convenio. En este caso, una de las entidades cooperantes puede encargarse de la administración y ejecución del convenio, sin que pueda estipularse categorías conceptuales como la utilidad o costos por concepto de pago de honorarios.  </w:t>
      </w:r>
    </w:p>
    <w:p w14:paraId="33CD4414" w14:textId="77777777" w:rsidR="004C0F29" w:rsidRPr="004C0F29" w:rsidRDefault="004C0F29" w:rsidP="001C01E9">
      <w:pPr>
        <w:spacing w:after="0" w:line="240" w:lineRule="auto"/>
        <w:jc w:val="both"/>
        <w:rPr>
          <w:rFonts w:ascii="Verdana" w:hAnsi="Verdana"/>
          <w:sz w:val="20"/>
        </w:rPr>
      </w:pPr>
    </w:p>
    <w:p w14:paraId="5D7344AF" w14:textId="1FAD58FE" w:rsidR="004C0F29" w:rsidRDefault="00BD2E7B" w:rsidP="001C01E9">
      <w:pPr>
        <w:spacing w:after="0" w:line="240" w:lineRule="auto"/>
        <w:rPr>
          <w:rFonts w:ascii="Verdana" w:hAnsi="Verdana"/>
        </w:rPr>
      </w:pPr>
      <w:r w:rsidRPr="004C0F29">
        <w:rPr>
          <w:rFonts w:ascii="Verdana" w:hAnsi="Verdana" w:cs="Arial"/>
          <w:b/>
          <w:bCs/>
          <w:color w:val="000000"/>
          <w:kern w:val="2"/>
          <w:lang w:val="es-ES_tradnl"/>
          <w14:ligatures w14:val="standardContextual"/>
        </w:rPr>
        <w:t>LEY 2195 DE 2022 – Artículo 56 – Aplicación.</w:t>
      </w:r>
    </w:p>
    <w:p w14:paraId="048BD542" w14:textId="08AF7266" w:rsidR="007B2914" w:rsidRDefault="007B2914" w:rsidP="001C01E9">
      <w:pPr>
        <w:spacing w:after="0" w:line="240" w:lineRule="auto"/>
        <w:rPr>
          <w:rFonts w:ascii="Verdana" w:hAnsi="Verdana"/>
        </w:rPr>
      </w:pPr>
    </w:p>
    <w:p w14:paraId="672F2FD9" w14:textId="1349F783" w:rsidR="00BD2E7B" w:rsidRPr="001C01E9" w:rsidRDefault="00BD2E7B" w:rsidP="001C01E9">
      <w:pPr>
        <w:spacing w:after="0" w:line="240" w:lineRule="auto"/>
        <w:jc w:val="both"/>
        <w:rPr>
          <w:rFonts w:ascii="Verdana" w:hAnsi="Verdana"/>
          <w:bCs/>
          <w:sz w:val="20"/>
          <w:lang w:val="es-ES_tradnl"/>
        </w:rPr>
      </w:pPr>
      <w:r w:rsidRPr="001C01E9">
        <w:rPr>
          <w:rFonts w:ascii="Verdana" w:hAnsi="Verdana"/>
          <w:sz w:val="20"/>
          <w:lang w:val="es-ES"/>
        </w:rPr>
        <w:t xml:space="preserve">Finalmente, es preciso indicar que la celebración de estos convenios interadministrativos también se encuentra supeditada a lo dispuesto por el artículo 56 de la Ley 2195 de 2022, que establece un mandato </w:t>
      </w:r>
      <w:r w:rsidRPr="001C01E9">
        <w:rPr>
          <w:rFonts w:ascii="Verdana" w:hAnsi="Verdana"/>
          <w:bCs/>
          <w:sz w:val="20"/>
          <w:lang w:val="es-ES_tradnl"/>
        </w:rPr>
        <w:t>dirigido a las Entidades Estatales sometidas al EGCAP, para que, en la adquisición de bienes, obras o servicios, apliquen los Documentos Tipo expedidos por esta Agencia, cuando celebren contratos o convenios interadministrativos o de cualquier otra índole con otra Entidad Estatal, o con patrimonios autónomos o con personas naturales o jurídicas, cuyo régimen de contratación sea especial o de derecho privado. Ello es así en la medida en que, como se explicó, en los términos d</w:t>
      </w:r>
      <w:r w:rsidRPr="001C01E9">
        <w:rPr>
          <w:rFonts w:ascii="Verdana" w:hAnsi="Verdana"/>
          <w:sz w:val="20"/>
        </w:rPr>
        <w:t xml:space="preserve">el numeral 1 del artículo 2 de la Ley 80 de 1993, las asociaciones de municipios son entidades estatales. </w:t>
      </w:r>
    </w:p>
    <w:p w14:paraId="4DC46435" w14:textId="6AFDA9F5" w:rsidR="007B2914" w:rsidRPr="00BD2E7B" w:rsidRDefault="007B2914" w:rsidP="00475DAF">
      <w:pPr>
        <w:spacing w:after="0"/>
        <w:rPr>
          <w:rFonts w:ascii="Verdana" w:hAnsi="Verdana"/>
          <w:lang w:val="es-ES"/>
        </w:rPr>
      </w:pPr>
    </w:p>
    <w:p w14:paraId="206E123E" w14:textId="4389C6BA" w:rsidR="007B2914" w:rsidRDefault="007B2914" w:rsidP="00475DAF">
      <w:pPr>
        <w:spacing w:after="0"/>
        <w:rPr>
          <w:rFonts w:ascii="Verdana" w:hAnsi="Verdana"/>
        </w:rPr>
      </w:pPr>
    </w:p>
    <w:p w14:paraId="1799B87F" w14:textId="7A12973D" w:rsidR="007B2914" w:rsidRDefault="007B2914" w:rsidP="00475DAF">
      <w:pPr>
        <w:spacing w:after="0"/>
        <w:rPr>
          <w:rFonts w:ascii="Verdana" w:hAnsi="Verdana"/>
        </w:rPr>
      </w:pPr>
    </w:p>
    <w:p w14:paraId="3640FD31" w14:textId="351ECF43" w:rsidR="007B2914" w:rsidRDefault="007B2914" w:rsidP="00475DAF">
      <w:pPr>
        <w:spacing w:after="0"/>
        <w:rPr>
          <w:rFonts w:ascii="Verdana" w:hAnsi="Verdana"/>
        </w:rPr>
      </w:pPr>
    </w:p>
    <w:p w14:paraId="7A0204E5" w14:textId="5A9A1CD7" w:rsidR="007B2914" w:rsidRDefault="007B2914" w:rsidP="00475DAF">
      <w:pPr>
        <w:spacing w:after="0"/>
        <w:rPr>
          <w:rFonts w:ascii="Verdana" w:hAnsi="Verdana"/>
        </w:rPr>
      </w:pPr>
    </w:p>
    <w:p w14:paraId="05D2DC2B" w14:textId="79F5DCC8" w:rsidR="00475DAF" w:rsidRPr="0044528D" w:rsidRDefault="007B2914" w:rsidP="00475DAF">
      <w:pPr>
        <w:spacing w:after="0"/>
        <w:rPr>
          <w:rFonts w:ascii="Verdana" w:hAnsi="Verdana"/>
        </w:rPr>
      </w:pPr>
      <w:r w:rsidRPr="007B2914">
        <w:rPr>
          <w:rFonts w:ascii="Verdana" w:hAnsi="Verdana"/>
          <w:noProof/>
          <w:lang w:val="en-US"/>
        </w:rPr>
        <w:lastRenderedPageBreak/>
        <w:drawing>
          <wp:anchor distT="0" distB="0" distL="114300" distR="114300" simplePos="0" relativeHeight="251658240" behindDoc="0" locked="0" layoutInCell="1" allowOverlap="1" wp14:anchorId="6AEF034C" wp14:editId="0035C429">
            <wp:simplePos x="0" y="0"/>
            <wp:positionH relativeFrom="margin">
              <wp:align>right</wp:align>
            </wp:positionH>
            <wp:positionV relativeFrom="paragraph">
              <wp:posOffset>12700</wp:posOffset>
            </wp:positionV>
            <wp:extent cx="2740660" cy="777240"/>
            <wp:effectExtent l="0" t="0" r="2540" b="3810"/>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740660" cy="7772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C0F29">
        <w:rPr>
          <w:rFonts w:ascii="Verdana" w:hAnsi="Verdana"/>
        </w:rPr>
        <w:t xml:space="preserve">Bogotá D.C., 6 de octubre de 2025. </w:t>
      </w:r>
    </w:p>
    <w:p w14:paraId="05551586" w14:textId="77777777" w:rsidR="00475DAF" w:rsidRPr="00DB56B2" w:rsidRDefault="00475DAF" w:rsidP="00475DAF">
      <w:pPr>
        <w:spacing w:after="0" w:line="240" w:lineRule="auto"/>
        <w:rPr>
          <w:rFonts w:ascii="Verdana" w:hAnsi="Verdana"/>
        </w:rPr>
      </w:pPr>
    </w:p>
    <w:p w14:paraId="2C275620" w14:textId="77777777" w:rsidR="00475DAF" w:rsidRPr="00DB56B2" w:rsidRDefault="00475DAF" w:rsidP="00475DAF">
      <w:pPr>
        <w:spacing w:after="0" w:line="240" w:lineRule="auto"/>
        <w:rPr>
          <w:rFonts w:ascii="Verdana" w:hAnsi="Verdana"/>
        </w:rPr>
      </w:pPr>
    </w:p>
    <w:p w14:paraId="7C1FD60C" w14:textId="77777777" w:rsidR="00475DAF" w:rsidRPr="00B06E13" w:rsidRDefault="00475DAF" w:rsidP="00475DAF">
      <w:pPr>
        <w:spacing w:after="0" w:line="240" w:lineRule="auto"/>
        <w:rPr>
          <w:rFonts w:ascii="Verdana" w:eastAsia="Calibri" w:hAnsi="Verdana" w:cs="Times New Roman"/>
          <w:lang w:val="en-US"/>
        </w:rPr>
      </w:pPr>
      <w:proofErr w:type="spellStart"/>
      <w:r w:rsidRPr="00B06E13">
        <w:rPr>
          <w:rFonts w:ascii="Verdana" w:eastAsia="Calibri" w:hAnsi="Verdana" w:cs="Times New Roman"/>
          <w:lang w:val="en-US"/>
        </w:rPr>
        <w:t>Señor</w:t>
      </w:r>
      <w:proofErr w:type="spellEnd"/>
    </w:p>
    <w:p w14:paraId="6C63950D" w14:textId="77777777" w:rsidR="00475DAF" w:rsidRPr="00B06E13" w:rsidRDefault="00475DAF" w:rsidP="00475DAF">
      <w:pPr>
        <w:spacing w:after="0" w:line="240" w:lineRule="auto"/>
        <w:rPr>
          <w:rFonts w:ascii="Verdana" w:hAnsi="Verdana"/>
          <w:b/>
          <w:lang w:val="en-US"/>
        </w:rPr>
      </w:pPr>
      <w:r w:rsidRPr="00B06E13">
        <w:rPr>
          <w:rFonts w:ascii="Verdana" w:hAnsi="Verdana"/>
          <w:b/>
          <w:lang w:val="en-US"/>
        </w:rPr>
        <w:t>Wilson David Bustos Ortega</w:t>
      </w:r>
    </w:p>
    <w:p w14:paraId="4359F5F4" w14:textId="77777777" w:rsidR="00475DAF" w:rsidRPr="00B06E13" w:rsidRDefault="00475DAF" w:rsidP="00475DAF">
      <w:pPr>
        <w:spacing w:after="0" w:line="240" w:lineRule="auto"/>
        <w:rPr>
          <w:rFonts w:ascii="Verdana" w:hAnsi="Verdana"/>
          <w:lang w:val="en-US"/>
        </w:rPr>
      </w:pPr>
      <w:hyperlink r:id="rId12" w:history="1">
        <w:r w:rsidRPr="00B06E13">
          <w:rPr>
            <w:rStyle w:val="Hipervnculo"/>
            <w:rFonts w:ascii="Verdana" w:hAnsi="Verdana"/>
            <w:lang w:val="en-US"/>
          </w:rPr>
          <w:t>wdbustosabogado@gmail.com</w:t>
        </w:r>
      </w:hyperlink>
      <w:r w:rsidRPr="00B06E13">
        <w:rPr>
          <w:rFonts w:ascii="Verdana" w:hAnsi="Verdana"/>
          <w:lang w:val="en-US"/>
        </w:rPr>
        <w:t xml:space="preserve"> </w:t>
      </w:r>
    </w:p>
    <w:p w14:paraId="6D3D7093" w14:textId="77777777" w:rsidR="00475DAF" w:rsidRPr="00A404DA" w:rsidRDefault="00475DAF" w:rsidP="00475DAF">
      <w:pPr>
        <w:spacing w:after="0" w:line="240" w:lineRule="auto"/>
        <w:rPr>
          <w:rFonts w:ascii="Verdana" w:eastAsia="Calibri" w:hAnsi="Verdana" w:cs="Times New Roman"/>
        </w:rPr>
      </w:pPr>
      <w:r w:rsidRPr="00A404DA">
        <w:rPr>
          <w:rFonts w:ascii="Verdana" w:eastAsia="Calibri" w:hAnsi="Verdana" w:cs="Times New Roman"/>
        </w:rPr>
        <w:t xml:space="preserve">Bogotá D.C. </w:t>
      </w:r>
    </w:p>
    <w:p w14:paraId="6914968F" w14:textId="77777777" w:rsidR="00475DAF" w:rsidRPr="00A404DA" w:rsidRDefault="00475DAF" w:rsidP="00475DAF">
      <w:pPr>
        <w:spacing w:after="0" w:line="240" w:lineRule="auto"/>
        <w:rPr>
          <w:rFonts w:ascii="Verdana" w:eastAsia="Calibri" w:hAnsi="Verdana" w:cs="Times New Roman"/>
        </w:rPr>
      </w:pPr>
    </w:p>
    <w:p w14:paraId="55E0E029" w14:textId="77777777" w:rsidR="00475DAF" w:rsidRPr="009563E7" w:rsidRDefault="00475DAF" w:rsidP="00475DAF">
      <w:pPr>
        <w:spacing w:after="0" w:line="240" w:lineRule="auto"/>
        <w:rPr>
          <w:rFonts w:ascii="Verdana" w:eastAsia="Calibri" w:hAnsi="Verdana" w:cs="Times New Roman"/>
        </w:rPr>
      </w:pPr>
    </w:p>
    <w:p w14:paraId="2F047A89" w14:textId="77777777" w:rsidR="00475DAF" w:rsidRPr="009563E7" w:rsidRDefault="00475DAF" w:rsidP="00475DAF">
      <w:pPr>
        <w:spacing w:after="0" w:line="240" w:lineRule="auto"/>
        <w:rPr>
          <w:rFonts w:ascii="Verdana" w:eastAsia="Calibri" w:hAnsi="Verdana" w:cs="Times New Roman"/>
          <w:b/>
          <w:bCs/>
          <w:lang w:val="es-ES"/>
        </w:rPr>
      </w:pPr>
      <w:r w:rsidRPr="009563E7">
        <w:rPr>
          <w:rFonts w:ascii="Verdana" w:eastAsia="Calibri" w:hAnsi="Verdana" w:cs="Times New Roman"/>
          <w:b/>
          <w:bCs/>
          <w:lang w:val="es-ES"/>
        </w:rPr>
        <w:t xml:space="preserve">                                    </w:t>
      </w:r>
      <w:r>
        <w:rPr>
          <w:rFonts w:ascii="Verdana" w:eastAsia="Calibri" w:hAnsi="Verdana" w:cs="Times New Roman"/>
          <w:b/>
          <w:bCs/>
          <w:lang w:val="es-ES"/>
        </w:rPr>
        <w:t>Concepto C–1194</w:t>
      </w:r>
      <w:r w:rsidRPr="009563E7">
        <w:rPr>
          <w:rFonts w:ascii="Verdana" w:eastAsia="Calibri" w:hAnsi="Verdana" w:cs="Times New Roman"/>
          <w:b/>
          <w:bCs/>
          <w:lang w:val="es-ES"/>
        </w:rPr>
        <w:t xml:space="preserve"> de 2025</w:t>
      </w:r>
    </w:p>
    <w:p w14:paraId="59DD93FD" w14:textId="77777777" w:rsidR="00475DAF" w:rsidRPr="009563E7" w:rsidRDefault="00475DAF" w:rsidP="00475DAF">
      <w:pPr>
        <w:spacing w:after="0" w:line="240" w:lineRule="auto"/>
        <w:rPr>
          <w:rFonts w:ascii="Verdana" w:eastAsia="Calibri" w:hAnsi="Verdana" w:cs="Times New Roman"/>
          <w:lang w:val="es-ES_tradnl"/>
        </w:rPr>
      </w:pPr>
    </w:p>
    <w:tbl>
      <w:tblPr>
        <w:tblStyle w:val="Tablaconcuadrcula11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475DAF" w:rsidRPr="009563E7" w14:paraId="36F781E9" w14:textId="77777777" w:rsidTr="005F31E7">
        <w:trPr>
          <w:trHeight w:val="80"/>
        </w:trPr>
        <w:tc>
          <w:tcPr>
            <w:tcW w:w="2685" w:type="dxa"/>
            <w:hideMark/>
          </w:tcPr>
          <w:p w14:paraId="24832FEC" w14:textId="77777777" w:rsidR="00475DAF" w:rsidRPr="009563E7" w:rsidRDefault="00475DAF" w:rsidP="005F31E7">
            <w:pPr>
              <w:rPr>
                <w:rFonts w:ascii="Verdana" w:hAnsi="Verdana"/>
                <w:b/>
                <w:bCs/>
                <w:lang w:val="es-ES_tradnl"/>
              </w:rPr>
            </w:pPr>
            <w:r w:rsidRPr="009563E7">
              <w:rPr>
                <w:rFonts w:ascii="Verdana" w:hAnsi="Verdana"/>
                <w:b/>
                <w:bCs/>
                <w:lang w:val="es-ES_tradnl"/>
              </w:rPr>
              <w:t xml:space="preserve">Temas:                   </w:t>
            </w:r>
          </w:p>
        </w:tc>
        <w:tc>
          <w:tcPr>
            <w:tcW w:w="6241" w:type="dxa"/>
            <w:hideMark/>
          </w:tcPr>
          <w:p w14:paraId="57D2307F" w14:textId="77777777" w:rsidR="00475DAF" w:rsidRPr="005669A9" w:rsidRDefault="00475DAF" w:rsidP="005F31E7">
            <w:pPr>
              <w:spacing w:line="276" w:lineRule="auto"/>
              <w:jc w:val="both"/>
              <w:rPr>
                <w:rFonts w:ascii="Verdana" w:hAnsi="Verdana" w:cs="Arial"/>
                <w:bCs/>
                <w:color w:val="000000"/>
                <w:kern w:val="2"/>
                <w:lang w:val="es-ES_tradnl"/>
                <w14:ligatures w14:val="standardContextual"/>
              </w:rPr>
            </w:pPr>
            <w:r w:rsidRPr="00B57A1B">
              <w:rPr>
                <w:rFonts w:ascii="Verdana" w:hAnsi="Verdana" w:cs="Arial"/>
                <w:lang w:val="es-ES" w:eastAsia="es-ES"/>
              </w:rPr>
              <w:t xml:space="preserve">CONTRATOS Y CONVENIOS INTERADMINISTRATIVOS – Noción – Diferencias / CONVENIO INTERADMINISTRATIVO – Naturaleza – Inaplicabilidad – Ley 80 de 1993 / </w:t>
            </w:r>
            <w:r w:rsidRPr="00C45C5D">
              <w:rPr>
                <w:rFonts w:ascii="Verdana" w:hAnsi="Verdana" w:cs="Arial"/>
                <w:bCs/>
                <w:lang w:val="es-ES_tradnl"/>
              </w:rPr>
              <w:t xml:space="preserve">ASOCIACIONES DE MUNICIPIOS – Naturaleza </w:t>
            </w:r>
            <w:r>
              <w:rPr>
                <w:rFonts w:ascii="Verdana" w:hAnsi="Verdana" w:cs="Arial"/>
                <w:bCs/>
                <w:lang w:val="es-ES_tradnl"/>
              </w:rPr>
              <w:t>/ ASOCIACIONES DE MUNICIPIOS - - Régimen Jurídico / CONTRATO</w:t>
            </w:r>
            <w:r w:rsidRPr="00C45C5D">
              <w:rPr>
                <w:rFonts w:ascii="Verdana" w:hAnsi="Verdana" w:cs="Arial"/>
                <w:bCs/>
                <w:lang w:val="es-ES_tradnl"/>
              </w:rPr>
              <w:t>S INTERADMINISTRATIVOS – Asociaciones de Municipios</w:t>
            </w:r>
            <w:r>
              <w:rPr>
                <w:rFonts w:ascii="Verdana" w:hAnsi="Verdana" w:cs="Arial"/>
                <w:bCs/>
                <w:lang w:val="es-ES_tradnl"/>
              </w:rPr>
              <w:t xml:space="preserve"> – Prohibición – Contratación Directa / CONVENIOS INTERADMINISTRATIVOS – Procedencia – Contratación Directa</w:t>
            </w:r>
            <w:r w:rsidRPr="009563E7">
              <w:rPr>
                <w:rFonts w:ascii="Verdana" w:hAnsi="Verdana" w:cs="Arial"/>
                <w:bCs/>
                <w:color w:val="000000"/>
                <w:kern w:val="2"/>
                <w:lang w:val="es-MX"/>
                <w14:ligatures w14:val="standardContextual"/>
              </w:rPr>
              <w:t xml:space="preserve"> </w:t>
            </w:r>
            <w:r>
              <w:rPr>
                <w:rFonts w:ascii="Verdana" w:hAnsi="Verdana" w:cs="Arial"/>
                <w:bCs/>
                <w:color w:val="000000"/>
                <w:kern w:val="2"/>
                <w:lang w:val="es-MX"/>
                <w14:ligatures w14:val="standardContextual"/>
              </w:rPr>
              <w:t xml:space="preserve">/ </w:t>
            </w:r>
            <w:r>
              <w:rPr>
                <w:rFonts w:ascii="Verdana" w:hAnsi="Verdana" w:cs="Arial"/>
                <w:bCs/>
                <w:color w:val="000000"/>
                <w:kern w:val="2"/>
                <w:lang w:val="es-ES_tradnl"/>
                <w14:ligatures w14:val="standardContextual"/>
              </w:rPr>
              <w:t xml:space="preserve">LEY 2195 DE 2022 – Artículo 56 – Aplicación. </w:t>
            </w:r>
          </w:p>
          <w:p w14:paraId="359B6815" w14:textId="77777777" w:rsidR="00475DAF" w:rsidRPr="009563E7" w:rsidRDefault="00475DAF" w:rsidP="005F31E7">
            <w:pPr>
              <w:spacing w:line="276" w:lineRule="auto"/>
              <w:jc w:val="both"/>
              <w:rPr>
                <w:rFonts w:ascii="Verdana" w:hAnsi="Verdana"/>
                <w:lang w:val="es-MX"/>
              </w:rPr>
            </w:pPr>
          </w:p>
        </w:tc>
        <w:tc>
          <w:tcPr>
            <w:tcW w:w="6237" w:type="dxa"/>
          </w:tcPr>
          <w:p w14:paraId="25F4AF58" w14:textId="77777777" w:rsidR="00475DAF" w:rsidRPr="009563E7" w:rsidRDefault="00475DAF" w:rsidP="005F31E7">
            <w:pPr>
              <w:rPr>
                <w:rFonts w:ascii="Verdana" w:hAnsi="Verdana"/>
              </w:rPr>
            </w:pPr>
          </w:p>
        </w:tc>
      </w:tr>
      <w:tr w:rsidR="00475DAF" w:rsidRPr="001B10CB" w14:paraId="0ADB1104" w14:textId="77777777" w:rsidTr="005F31E7">
        <w:tc>
          <w:tcPr>
            <w:tcW w:w="2685" w:type="dxa"/>
          </w:tcPr>
          <w:p w14:paraId="503F914C" w14:textId="77777777" w:rsidR="00475DAF" w:rsidRPr="009563E7" w:rsidRDefault="00475DAF" w:rsidP="005F31E7">
            <w:pPr>
              <w:rPr>
                <w:rFonts w:ascii="Verdana" w:hAnsi="Verdana"/>
                <w:lang w:val="es-ES_tradnl"/>
              </w:rPr>
            </w:pPr>
          </w:p>
          <w:p w14:paraId="31B5FFA8" w14:textId="77777777" w:rsidR="00475DAF" w:rsidRPr="009563E7" w:rsidRDefault="00475DAF" w:rsidP="005F31E7">
            <w:pPr>
              <w:rPr>
                <w:rFonts w:ascii="Verdana" w:hAnsi="Verdana"/>
                <w:b/>
                <w:bCs/>
                <w:lang w:val="es-ES_tradnl"/>
              </w:rPr>
            </w:pPr>
            <w:r w:rsidRPr="009563E7">
              <w:rPr>
                <w:rFonts w:ascii="Verdana" w:hAnsi="Verdana"/>
                <w:b/>
                <w:bCs/>
                <w:lang w:val="es-ES_tradnl"/>
              </w:rPr>
              <w:t xml:space="preserve">Radicación:               </w:t>
            </w:r>
          </w:p>
        </w:tc>
        <w:tc>
          <w:tcPr>
            <w:tcW w:w="6241" w:type="dxa"/>
          </w:tcPr>
          <w:p w14:paraId="2E1D8ADA" w14:textId="77777777" w:rsidR="00475DAF" w:rsidRPr="001B10CB" w:rsidRDefault="00475DAF" w:rsidP="005F31E7">
            <w:pPr>
              <w:rPr>
                <w:rFonts w:ascii="Verdana" w:hAnsi="Verdana"/>
                <w:lang w:val="es-ES_tradnl"/>
              </w:rPr>
            </w:pPr>
          </w:p>
          <w:p w14:paraId="3E64973A" w14:textId="77777777" w:rsidR="00475DAF" w:rsidRPr="001B10CB" w:rsidRDefault="00475DAF" w:rsidP="005F31E7">
            <w:pPr>
              <w:jc w:val="both"/>
              <w:rPr>
                <w:rFonts w:ascii="Verdana" w:hAnsi="Verdana"/>
                <w:lang w:val="es-ES_tradnl"/>
              </w:rPr>
            </w:pPr>
            <w:r w:rsidRPr="001B10CB">
              <w:rPr>
                <w:rFonts w:ascii="Verdana" w:hAnsi="Verdana"/>
                <w:lang w:val="es-ES_tradnl"/>
              </w:rPr>
              <w:t xml:space="preserve">Respuesta a consulta con radicado </w:t>
            </w:r>
            <w:proofErr w:type="gramStart"/>
            <w:r w:rsidRPr="001B10CB">
              <w:rPr>
                <w:rFonts w:ascii="Verdana" w:hAnsi="Verdana"/>
                <w:lang w:val="es-ES_tradnl"/>
              </w:rPr>
              <w:t xml:space="preserve">No.  </w:t>
            </w:r>
            <w:r w:rsidRPr="001B10CB">
              <w:rPr>
                <w:rFonts w:ascii="Verdana" w:hAnsi="Verdana"/>
              </w:rPr>
              <w:t>1</w:t>
            </w:r>
            <w:proofErr w:type="gramEnd"/>
            <w:r w:rsidRPr="001B10CB">
              <w:rPr>
                <w:rFonts w:ascii="Verdana" w:hAnsi="Verdana"/>
              </w:rPr>
              <w:t>_2025_08_25_009000</w:t>
            </w:r>
          </w:p>
        </w:tc>
        <w:tc>
          <w:tcPr>
            <w:tcW w:w="6237" w:type="dxa"/>
          </w:tcPr>
          <w:p w14:paraId="340A513B" w14:textId="77777777" w:rsidR="00475DAF" w:rsidRPr="001B10CB" w:rsidRDefault="00475DAF" w:rsidP="005F31E7">
            <w:pPr>
              <w:rPr>
                <w:rFonts w:ascii="Verdana" w:hAnsi="Verdana"/>
                <w:lang w:val="es-ES_tradnl"/>
              </w:rPr>
            </w:pPr>
          </w:p>
        </w:tc>
      </w:tr>
    </w:tbl>
    <w:p w14:paraId="11286BFF" w14:textId="77777777" w:rsidR="00475DAF" w:rsidRDefault="00475DAF" w:rsidP="00475DAF">
      <w:pPr>
        <w:spacing w:after="0" w:line="240" w:lineRule="auto"/>
        <w:rPr>
          <w:rFonts w:ascii="Verdana" w:eastAsia="Calibri" w:hAnsi="Verdana" w:cs="Times New Roman"/>
          <w:lang w:val="es-ES_tradnl"/>
        </w:rPr>
      </w:pPr>
    </w:p>
    <w:p w14:paraId="56C3C930" w14:textId="77777777" w:rsidR="00475DAF" w:rsidRPr="009563E7" w:rsidRDefault="00475DAF" w:rsidP="00475DAF">
      <w:pPr>
        <w:spacing w:after="0" w:line="240" w:lineRule="auto"/>
        <w:rPr>
          <w:rFonts w:ascii="Verdana" w:eastAsia="Calibri" w:hAnsi="Verdana" w:cs="Times New Roman"/>
          <w:lang w:val="es-ES_tradnl"/>
        </w:rPr>
      </w:pPr>
    </w:p>
    <w:p w14:paraId="300A0F14" w14:textId="77777777" w:rsidR="00475DAF" w:rsidRPr="009563E7" w:rsidRDefault="00475DAF" w:rsidP="00475DAF">
      <w:pPr>
        <w:spacing w:after="0" w:line="256" w:lineRule="auto"/>
        <w:rPr>
          <w:rFonts w:ascii="Verdana" w:eastAsia="Calibri" w:hAnsi="Verdana" w:cs="Times New Roman"/>
          <w:lang w:val="es-ES"/>
        </w:rPr>
      </w:pPr>
      <w:r w:rsidRPr="009563E7">
        <w:rPr>
          <w:rFonts w:ascii="Verdana" w:eastAsia="Calibri" w:hAnsi="Verdana" w:cs="Times New Roman"/>
          <w:lang w:val="es-ES"/>
        </w:rPr>
        <w:t>Estimado Señor</w:t>
      </w:r>
      <w:r>
        <w:rPr>
          <w:rFonts w:ascii="Verdana" w:eastAsia="Calibri" w:hAnsi="Verdana" w:cs="Times New Roman"/>
          <w:lang w:val="es-ES"/>
        </w:rPr>
        <w:t xml:space="preserve"> Bustos Ortega</w:t>
      </w:r>
      <w:r w:rsidRPr="009563E7">
        <w:rPr>
          <w:rFonts w:ascii="Verdana" w:eastAsia="Calibri" w:hAnsi="Verdana" w:cs="Times New Roman"/>
          <w:lang w:val="es-ES"/>
        </w:rPr>
        <w:t xml:space="preserve">: </w:t>
      </w:r>
    </w:p>
    <w:p w14:paraId="0CF1478A" w14:textId="77777777" w:rsidR="00475DAF" w:rsidRPr="009563E7" w:rsidRDefault="00475DAF" w:rsidP="00475DAF">
      <w:pPr>
        <w:spacing w:after="0" w:line="276" w:lineRule="auto"/>
        <w:rPr>
          <w:rFonts w:ascii="Verdana" w:eastAsia="Calibri" w:hAnsi="Verdana" w:cs="Times New Roman"/>
          <w:lang w:val="es-ES"/>
        </w:rPr>
      </w:pPr>
    </w:p>
    <w:p w14:paraId="1F52215F" w14:textId="77777777" w:rsidR="00475DAF" w:rsidRDefault="00475DAF" w:rsidP="00475DAF">
      <w:pPr>
        <w:spacing w:after="0" w:line="276" w:lineRule="auto"/>
        <w:jc w:val="both"/>
        <w:rPr>
          <w:rFonts w:ascii="Verdana" w:eastAsia="Calibri" w:hAnsi="Verdana" w:cs="Times New Roman"/>
          <w:bCs/>
          <w:lang w:val="es-ES" w:bidi="es-ES"/>
        </w:rPr>
      </w:pPr>
      <w:r w:rsidRPr="00B57A1B">
        <w:rPr>
          <w:rFonts w:ascii="Verdana" w:eastAsia="Calibri" w:hAnsi="Verdana" w:cs="Times New Roman"/>
          <w:bCs/>
          <w:lang w:val="es-ES" w:bidi="es-ES"/>
        </w:rPr>
        <w:t xml:space="preserve">En ejercicio de la competencia otorgada por los artículos 3, numeral 5º, y 11, numeral 8º, del Decreto Ley 4170 de 2011, </w:t>
      </w:r>
      <w:r w:rsidRPr="00B57A1B">
        <w:rPr>
          <w:rFonts w:ascii="Verdana" w:eastAsia="Calibri" w:hAnsi="Verdana" w:cs="Times New Roman"/>
          <w:bCs/>
        </w:rPr>
        <w:t xml:space="preserve">así como lo establecido por la Resolución 469 de 2025 expedida por esta Entidad, </w:t>
      </w:r>
      <w:r w:rsidRPr="00B57A1B">
        <w:rPr>
          <w:rFonts w:ascii="Verdana" w:eastAsia="Calibri" w:hAnsi="Verdana" w:cs="Times New Roman"/>
          <w:bCs/>
          <w:lang w:val="es-ES" w:bidi="es-ES"/>
        </w:rPr>
        <w:t>la Agencia Nacional de Contratación Pública – Colombia Compra Eficien</w:t>
      </w:r>
      <w:r>
        <w:rPr>
          <w:rFonts w:ascii="Verdana" w:eastAsia="Calibri" w:hAnsi="Verdana" w:cs="Times New Roman"/>
          <w:bCs/>
          <w:lang w:val="es-ES" w:bidi="es-ES"/>
        </w:rPr>
        <w:t>te– responde la solicitud del 25 de agosto</w:t>
      </w:r>
      <w:r w:rsidRPr="00B57A1B">
        <w:rPr>
          <w:rFonts w:ascii="Verdana" w:eastAsia="Calibri" w:hAnsi="Verdana" w:cs="Times New Roman"/>
          <w:bCs/>
          <w:lang w:val="es-ES" w:bidi="es-ES"/>
        </w:rPr>
        <w:t>, en la cual manifiesta:</w:t>
      </w:r>
    </w:p>
    <w:p w14:paraId="2CD701BE" w14:textId="77777777" w:rsidR="00475DAF" w:rsidRDefault="00475DAF" w:rsidP="00475DAF">
      <w:pPr>
        <w:spacing w:after="0" w:line="276" w:lineRule="auto"/>
        <w:jc w:val="both"/>
        <w:rPr>
          <w:rFonts w:ascii="Verdana" w:eastAsia="Calibri" w:hAnsi="Verdana" w:cs="Times New Roman"/>
          <w:lang w:val="es-ES"/>
        </w:rPr>
      </w:pPr>
    </w:p>
    <w:p w14:paraId="4F6AB3C2" w14:textId="77777777" w:rsidR="00475DAF" w:rsidRPr="001B10CB" w:rsidRDefault="00475DAF" w:rsidP="00475DAF">
      <w:pPr>
        <w:spacing w:after="0" w:line="240" w:lineRule="auto"/>
        <w:ind w:left="709" w:right="709"/>
        <w:jc w:val="both"/>
        <w:rPr>
          <w:rFonts w:ascii="Verdana" w:eastAsia="Calibri" w:hAnsi="Verdana" w:cs="Times New Roman"/>
          <w:iCs/>
          <w:sz w:val="20"/>
          <w:szCs w:val="20"/>
        </w:rPr>
      </w:pPr>
      <w:r w:rsidRPr="00197991">
        <w:rPr>
          <w:rFonts w:ascii="Verdana" w:eastAsia="Calibri" w:hAnsi="Verdana" w:cs="Times New Roman"/>
          <w:iCs/>
          <w:sz w:val="20"/>
          <w:szCs w:val="20"/>
        </w:rPr>
        <w:t>”</w:t>
      </w:r>
      <w:r w:rsidRPr="001B10CB">
        <w:rPr>
          <w:rFonts w:ascii="Verdana" w:eastAsia="Calibri" w:hAnsi="Verdana" w:cs="Times New Roman"/>
          <w:iCs/>
          <w:sz w:val="20"/>
          <w:szCs w:val="20"/>
        </w:rPr>
        <w:t>1. Pueden las asociaciones de municipios ejecutar mediante convenio y/o</w:t>
      </w:r>
      <w:r>
        <w:rPr>
          <w:rFonts w:ascii="Verdana" w:eastAsia="Calibri" w:hAnsi="Verdana" w:cs="Times New Roman"/>
          <w:iCs/>
          <w:sz w:val="20"/>
          <w:szCs w:val="20"/>
        </w:rPr>
        <w:t xml:space="preserve"> </w:t>
      </w:r>
      <w:r w:rsidRPr="001B10CB">
        <w:rPr>
          <w:rFonts w:ascii="Verdana" w:eastAsia="Calibri" w:hAnsi="Verdana" w:cs="Times New Roman"/>
          <w:iCs/>
          <w:sz w:val="20"/>
          <w:szCs w:val="20"/>
        </w:rPr>
        <w:t>contratos interadministrativos por contratación directa, obras civiles y proyectos</w:t>
      </w:r>
      <w:r>
        <w:rPr>
          <w:rFonts w:ascii="Verdana" w:eastAsia="Calibri" w:hAnsi="Verdana" w:cs="Times New Roman"/>
          <w:iCs/>
          <w:sz w:val="20"/>
          <w:szCs w:val="20"/>
        </w:rPr>
        <w:t xml:space="preserve"> </w:t>
      </w:r>
      <w:r w:rsidRPr="001B10CB">
        <w:rPr>
          <w:rFonts w:ascii="Verdana" w:eastAsia="Calibri" w:hAnsi="Verdana" w:cs="Times New Roman"/>
          <w:iCs/>
          <w:sz w:val="20"/>
          <w:szCs w:val="20"/>
        </w:rPr>
        <w:t>de infraestructura con municipios?</w:t>
      </w:r>
    </w:p>
    <w:p w14:paraId="4B7EFC3B" w14:textId="77777777" w:rsidR="00475DAF" w:rsidRPr="001B10CB" w:rsidRDefault="00475DAF" w:rsidP="00475DAF">
      <w:pPr>
        <w:spacing w:after="0" w:line="240" w:lineRule="auto"/>
        <w:ind w:left="709" w:right="709"/>
        <w:jc w:val="both"/>
        <w:rPr>
          <w:rFonts w:ascii="Verdana" w:eastAsia="Calibri" w:hAnsi="Verdana" w:cs="Times New Roman"/>
          <w:iCs/>
          <w:sz w:val="20"/>
          <w:szCs w:val="20"/>
        </w:rPr>
      </w:pPr>
      <w:r w:rsidRPr="001B10CB">
        <w:rPr>
          <w:rFonts w:ascii="Verdana" w:eastAsia="Calibri" w:hAnsi="Verdana" w:cs="Times New Roman"/>
          <w:iCs/>
          <w:sz w:val="20"/>
          <w:szCs w:val="20"/>
        </w:rPr>
        <w:t>2. Pueden los municipios suscribir contratos y/o convenios interadministrativos</w:t>
      </w:r>
      <w:r>
        <w:rPr>
          <w:rFonts w:ascii="Verdana" w:eastAsia="Calibri" w:hAnsi="Verdana" w:cs="Times New Roman"/>
          <w:iCs/>
          <w:sz w:val="20"/>
          <w:szCs w:val="20"/>
        </w:rPr>
        <w:t xml:space="preserve"> </w:t>
      </w:r>
      <w:r w:rsidRPr="001B10CB">
        <w:rPr>
          <w:rFonts w:ascii="Verdana" w:eastAsia="Calibri" w:hAnsi="Verdana" w:cs="Times New Roman"/>
          <w:iCs/>
          <w:sz w:val="20"/>
          <w:szCs w:val="20"/>
        </w:rPr>
        <w:t>de administración delegadas con asociaciones de municipios para la ejecución de</w:t>
      </w:r>
      <w:r>
        <w:rPr>
          <w:rFonts w:ascii="Verdana" w:eastAsia="Calibri" w:hAnsi="Verdana" w:cs="Times New Roman"/>
          <w:iCs/>
          <w:sz w:val="20"/>
          <w:szCs w:val="20"/>
        </w:rPr>
        <w:t xml:space="preserve"> </w:t>
      </w:r>
      <w:r w:rsidRPr="001B10CB">
        <w:rPr>
          <w:rFonts w:ascii="Verdana" w:eastAsia="Calibri" w:hAnsi="Verdana" w:cs="Times New Roman"/>
          <w:iCs/>
          <w:sz w:val="20"/>
          <w:szCs w:val="20"/>
        </w:rPr>
        <w:t>proyectos y/</w:t>
      </w:r>
      <w:proofErr w:type="spellStart"/>
      <w:r w:rsidRPr="001B10CB">
        <w:rPr>
          <w:rFonts w:ascii="Verdana" w:eastAsia="Calibri" w:hAnsi="Verdana" w:cs="Times New Roman"/>
          <w:iCs/>
          <w:sz w:val="20"/>
          <w:szCs w:val="20"/>
        </w:rPr>
        <w:t>o</w:t>
      </w:r>
      <w:proofErr w:type="spellEnd"/>
      <w:r w:rsidRPr="001B10CB">
        <w:rPr>
          <w:rFonts w:ascii="Verdana" w:eastAsia="Calibri" w:hAnsi="Verdana" w:cs="Times New Roman"/>
          <w:iCs/>
          <w:sz w:val="20"/>
          <w:szCs w:val="20"/>
        </w:rPr>
        <w:t xml:space="preserve"> obras de infraestructura?</w:t>
      </w:r>
    </w:p>
    <w:p w14:paraId="619F4CB5" w14:textId="77777777" w:rsidR="00475DAF" w:rsidRPr="001B10CB" w:rsidRDefault="00475DAF" w:rsidP="00475DAF">
      <w:pPr>
        <w:spacing w:after="0" w:line="240" w:lineRule="auto"/>
        <w:ind w:left="709" w:right="709"/>
        <w:jc w:val="both"/>
        <w:rPr>
          <w:rFonts w:ascii="Verdana" w:eastAsia="Calibri" w:hAnsi="Verdana" w:cs="Times New Roman"/>
          <w:iCs/>
          <w:sz w:val="20"/>
          <w:szCs w:val="20"/>
        </w:rPr>
      </w:pPr>
      <w:r w:rsidRPr="001B10CB">
        <w:rPr>
          <w:rFonts w:ascii="Verdana" w:eastAsia="Calibri" w:hAnsi="Verdana" w:cs="Times New Roman"/>
          <w:iCs/>
          <w:sz w:val="20"/>
          <w:szCs w:val="20"/>
        </w:rPr>
        <w:t>4. Las asociaciones de municipios son iguales que las asociaciones de entidades</w:t>
      </w:r>
      <w:r>
        <w:rPr>
          <w:rFonts w:ascii="Verdana" w:eastAsia="Calibri" w:hAnsi="Verdana" w:cs="Times New Roman"/>
          <w:iCs/>
          <w:sz w:val="20"/>
          <w:szCs w:val="20"/>
        </w:rPr>
        <w:t xml:space="preserve"> </w:t>
      </w:r>
      <w:r w:rsidRPr="001B10CB">
        <w:rPr>
          <w:rFonts w:ascii="Verdana" w:eastAsia="Calibri" w:hAnsi="Verdana" w:cs="Times New Roman"/>
          <w:iCs/>
          <w:sz w:val="20"/>
          <w:szCs w:val="20"/>
        </w:rPr>
        <w:t>públicas y asociaciones de entidades territoriales?</w:t>
      </w:r>
    </w:p>
    <w:p w14:paraId="374E9D76" w14:textId="77777777" w:rsidR="00475DAF" w:rsidRPr="00197991" w:rsidRDefault="00475DAF" w:rsidP="00475DAF">
      <w:pPr>
        <w:spacing w:after="0" w:line="240" w:lineRule="auto"/>
        <w:ind w:left="709" w:right="709"/>
        <w:jc w:val="both"/>
        <w:rPr>
          <w:rFonts w:ascii="Verdana" w:eastAsia="Calibri" w:hAnsi="Verdana" w:cs="Times New Roman"/>
          <w:iCs/>
          <w:sz w:val="20"/>
          <w:szCs w:val="20"/>
        </w:rPr>
      </w:pPr>
      <w:r w:rsidRPr="001B10CB">
        <w:rPr>
          <w:rFonts w:ascii="Verdana" w:eastAsia="Calibri" w:hAnsi="Verdana" w:cs="Times New Roman"/>
          <w:iCs/>
          <w:sz w:val="20"/>
          <w:szCs w:val="20"/>
        </w:rPr>
        <w:lastRenderedPageBreak/>
        <w:t>5. Las asociaciones de municipio se encuentran inmersas en las asociaciones de</w:t>
      </w:r>
      <w:r>
        <w:rPr>
          <w:rFonts w:ascii="Verdana" w:eastAsia="Calibri" w:hAnsi="Verdana" w:cs="Times New Roman"/>
          <w:iCs/>
          <w:sz w:val="20"/>
          <w:szCs w:val="20"/>
        </w:rPr>
        <w:t xml:space="preserve"> </w:t>
      </w:r>
      <w:r w:rsidRPr="001B10CB">
        <w:rPr>
          <w:rFonts w:ascii="Verdana" w:eastAsia="Calibri" w:hAnsi="Verdana" w:cs="Times New Roman"/>
          <w:iCs/>
          <w:sz w:val="20"/>
          <w:szCs w:val="20"/>
        </w:rPr>
        <w:t>entidades públicas?</w:t>
      </w:r>
      <w:r w:rsidRPr="00197991">
        <w:rPr>
          <w:rFonts w:ascii="Verdana" w:eastAsia="Calibri" w:hAnsi="Verdana" w:cs="Times New Roman"/>
          <w:iCs/>
          <w:sz w:val="20"/>
          <w:szCs w:val="20"/>
        </w:rPr>
        <w:t>”</w:t>
      </w:r>
    </w:p>
    <w:p w14:paraId="5DFB8C4F" w14:textId="77777777" w:rsidR="00475DAF" w:rsidRPr="00803F91" w:rsidRDefault="00475DAF" w:rsidP="00475DAF">
      <w:pPr>
        <w:spacing w:after="0" w:line="240" w:lineRule="auto"/>
        <w:ind w:left="709" w:right="709"/>
        <w:jc w:val="both"/>
        <w:rPr>
          <w:rFonts w:ascii="Verdana" w:eastAsia="Calibri" w:hAnsi="Verdana" w:cs="Times New Roman"/>
          <w:iCs/>
        </w:rPr>
      </w:pPr>
    </w:p>
    <w:p w14:paraId="1642A7BD" w14:textId="77777777" w:rsidR="00475DAF" w:rsidRPr="009563E7" w:rsidRDefault="00475DAF" w:rsidP="00475DAF">
      <w:pPr>
        <w:spacing w:after="120" w:line="276" w:lineRule="auto"/>
        <w:ind w:firstLine="709"/>
        <w:jc w:val="both"/>
        <w:rPr>
          <w:rFonts w:ascii="Verdana" w:eastAsia="Calibri" w:hAnsi="Verdana" w:cs="Times New Roman"/>
          <w:lang w:val="es-ES"/>
        </w:rPr>
      </w:pPr>
      <w:r w:rsidRPr="009563E7">
        <w:rPr>
          <w:rFonts w:ascii="Verdana" w:eastAsia="Calibri" w:hAnsi="Verdana" w:cs="Times New Roman"/>
          <w:lang w:val="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1629CCDD" w14:textId="77777777" w:rsidR="00475DAF" w:rsidRPr="009563E7" w:rsidRDefault="00475DAF" w:rsidP="00475DAF">
      <w:pPr>
        <w:spacing w:after="0" w:line="276" w:lineRule="auto"/>
        <w:ind w:firstLine="708"/>
        <w:jc w:val="both"/>
        <w:rPr>
          <w:rFonts w:ascii="Verdana" w:eastAsia="Calibri" w:hAnsi="Verdana" w:cs="Times New Roman"/>
          <w:lang w:val="es-ES"/>
        </w:rPr>
      </w:pPr>
      <w:r w:rsidRPr="009563E7">
        <w:rPr>
          <w:rFonts w:ascii="Verdana" w:eastAsia="Calibri" w:hAnsi="Verdana" w:cs="Times New Roman"/>
          <w:lang w:val="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señalando algunas consideraciones sobre las normas generales relacionadas con </w:t>
      </w:r>
      <w:r>
        <w:rPr>
          <w:rFonts w:ascii="Verdana" w:eastAsia="Calibri" w:hAnsi="Verdana" w:cs="Times New Roman"/>
          <w:lang w:val="es-ES"/>
        </w:rPr>
        <w:t xml:space="preserve">los problemas jurídicos de su consulta. </w:t>
      </w:r>
    </w:p>
    <w:p w14:paraId="5CA4ED89" w14:textId="77777777" w:rsidR="00475DAF" w:rsidRPr="009563E7" w:rsidRDefault="00475DAF" w:rsidP="00475DAF">
      <w:pPr>
        <w:spacing w:after="0" w:line="256" w:lineRule="auto"/>
        <w:rPr>
          <w:rFonts w:ascii="Verdana" w:eastAsia="Calibri" w:hAnsi="Verdana" w:cs="Times New Roman"/>
          <w:lang w:val="es-ES"/>
        </w:rPr>
      </w:pPr>
    </w:p>
    <w:p w14:paraId="3E3983E6" w14:textId="77777777" w:rsidR="00475DAF" w:rsidRPr="009563E7" w:rsidRDefault="00475DAF" w:rsidP="00475DAF">
      <w:pPr>
        <w:numPr>
          <w:ilvl w:val="0"/>
          <w:numId w:val="19"/>
        </w:numPr>
        <w:spacing w:after="0" w:line="256" w:lineRule="auto"/>
        <w:contextualSpacing/>
        <w:rPr>
          <w:rFonts w:ascii="Verdana" w:eastAsia="Calibri" w:hAnsi="Verdana" w:cs="Times New Roman"/>
          <w:b/>
          <w:bCs/>
          <w:lang w:val="es-ES"/>
        </w:rPr>
      </w:pPr>
      <w:r w:rsidRPr="009563E7">
        <w:rPr>
          <w:rFonts w:ascii="Verdana" w:eastAsia="Calibri" w:hAnsi="Verdana" w:cs="Times New Roman"/>
          <w:b/>
          <w:bCs/>
          <w:lang w:val="es-ES"/>
        </w:rPr>
        <w:t>Problema planteado:</w:t>
      </w:r>
    </w:p>
    <w:p w14:paraId="3F85F44F" w14:textId="77777777" w:rsidR="00475DAF" w:rsidRPr="009563E7" w:rsidRDefault="00475DAF" w:rsidP="00475DAF">
      <w:pPr>
        <w:spacing w:after="0" w:line="256" w:lineRule="auto"/>
        <w:rPr>
          <w:rFonts w:ascii="Verdana" w:eastAsia="Calibri" w:hAnsi="Verdana" w:cs="Times New Roman"/>
        </w:rPr>
      </w:pPr>
    </w:p>
    <w:p w14:paraId="10FA47CE" w14:textId="77777777" w:rsidR="00475DAF" w:rsidRPr="003E4DDB" w:rsidRDefault="00475DAF" w:rsidP="00475DAF">
      <w:pPr>
        <w:spacing w:after="0" w:line="276" w:lineRule="auto"/>
        <w:jc w:val="both"/>
        <w:rPr>
          <w:rFonts w:ascii="Verdana" w:eastAsia="Calibri" w:hAnsi="Verdana" w:cs="Times New Roman"/>
          <w:iCs/>
        </w:rPr>
      </w:pPr>
      <w:r w:rsidRPr="009563E7">
        <w:rPr>
          <w:rFonts w:ascii="Verdana" w:eastAsia="Calibri" w:hAnsi="Verdana" w:cs="Times New Roman"/>
        </w:rPr>
        <w:t>De acuerdo con el contenido de</w:t>
      </w:r>
      <w:r>
        <w:rPr>
          <w:rFonts w:ascii="Verdana" w:eastAsia="Calibri" w:hAnsi="Verdana" w:cs="Times New Roman"/>
        </w:rPr>
        <w:t xml:space="preserve"> sus solicitudes</w:t>
      </w:r>
      <w:r w:rsidRPr="009563E7">
        <w:rPr>
          <w:rFonts w:ascii="Verdana" w:eastAsia="Calibri" w:hAnsi="Verdana" w:cs="Times New Roman"/>
        </w:rPr>
        <w:t>, es</w:t>
      </w:r>
      <w:r>
        <w:rPr>
          <w:rFonts w:ascii="Verdana" w:eastAsia="Calibri" w:hAnsi="Verdana" w:cs="Times New Roman"/>
        </w:rPr>
        <w:t>ta Agencia procede a resolver los siguientes problemas jurídicos</w:t>
      </w:r>
      <w:r w:rsidRPr="009563E7">
        <w:rPr>
          <w:rFonts w:ascii="Verdana" w:eastAsia="Calibri" w:hAnsi="Verdana" w:cs="Times New Roman"/>
        </w:rPr>
        <w:t xml:space="preserve">: </w:t>
      </w:r>
      <w:r>
        <w:rPr>
          <w:rFonts w:ascii="Verdana" w:eastAsia="Calibri" w:hAnsi="Verdana" w:cs="Times New Roman"/>
        </w:rPr>
        <w:t>i) ¿Es asimilable l</w:t>
      </w:r>
      <w:r w:rsidRPr="00A06991">
        <w:rPr>
          <w:rFonts w:ascii="Verdana" w:eastAsia="Calibri" w:hAnsi="Verdana" w:cs="Times New Roman"/>
          <w:iCs/>
        </w:rPr>
        <w:t xml:space="preserve">as </w:t>
      </w:r>
      <w:r>
        <w:rPr>
          <w:rFonts w:ascii="Verdana" w:eastAsia="Calibri" w:hAnsi="Verdana" w:cs="Times New Roman"/>
          <w:iCs/>
        </w:rPr>
        <w:t>asociaciones de municipios a</w:t>
      </w:r>
      <w:r w:rsidRPr="00A06991">
        <w:rPr>
          <w:rFonts w:ascii="Verdana" w:eastAsia="Calibri" w:hAnsi="Verdana" w:cs="Times New Roman"/>
          <w:iCs/>
        </w:rPr>
        <w:t xml:space="preserve"> las asociaciones de entidades públicas y asociaciones de entidades territoriales?</w:t>
      </w:r>
      <w:r>
        <w:rPr>
          <w:rFonts w:ascii="Verdana" w:eastAsia="Calibri" w:hAnsi="Verdana" w:cs="Times New Roman"/>
          <w:iCs/>
        </w:rPr>
        <w:t xml:space="preserve">; </w:t>
      </w:r>
      <w:proofErr w:type="spellStart"/>
      <w:r>
        <w:rPr>
          <w:rFonts w:ascii="Verdana" w:eastAsia="Calibri" w:hAnsi="Verdana" w:cs="Times New Roman"/>
          <w:iCs/>
        </w:rPr>
        <w:t>ii</w:t>
      </w:r>
      <w:proofErr w:type="spellEnd"/>
      <w:r>
        <w:rPr>
          <w:rFonts w:ascii="Verdana" w:eastAsia="Calibri" w:hAnsi="Verdana" w:cs="Times New Roman"/>
          <w:iCs/>
        </w:rPr>
        <w:t xml:space="preserve">) </w:t>
      </w:r>
      <w:r>
        <w:rPr>
          <w:rFonts w:ascii="Verdana" w:eastAsia="Calibri" w:hAnsi="Verdana" w:cs="Times New Roman"/>
        </w:rPr>
        <w:t xml:space="preserve">¿Es procedente que </w:t>
      </w:r>
      <w:r w:rsidRPr="003E4DDB">
        <w:rPr>
          <w:rFonts w:ascii="Verdana" w:eastAsia="Calibri" w:hAnsi="Verdana" w:cs="Times New Roman"/>
          <w:iCs/>
        </w:rPr>
        <w:t>las aso</w:t>
      </w:r>
      <w:r>
        <w:rPr>
          <w:rFonts w:ascii="Verdana" w:eastAsia="Calibri" w:hAnsi="Verdana" w:cs="Times New Roman"/>
          <w:iCs/>
        </w:rPr>
        <w:t>ciaciones de municipios ejecuten</w:t>
      </w:r>
      <w:r w:rsidRPr="003E4DDB">
        <w:rPr>
          <w:rFonts w:ascii="Verdana" w:eastAsia="Calibri" w:hAnsi="Verdana" w:cs="Times New Roman"/>
          <w:iCs/>
        </w:rPr>
        <w:t xml:space="preserve"> mediante </w:t>
      </w:r>
      <w:r>
        <w:rPr>
          <w:rFonts w:ascii="Verdana" w:eastAsia="Calibri" w:hAnsi="Verdana" w:cs="Times New Roman"/>
          <w:iCs/>
        </w:rPr>
        <w:t>contrato</w:t>
      </w:r>
      <w:r w:rsidRPr="003E4DDB">
        <w:rPr>
          <w:rFonts w:ascii="Verdana" w:eastAsia="Calibri" w:hAnsi="Verdana" w:cs="Times New Roman"/>
          <w:iCs/>
        </w:rPr>
        <w:t>s interadministrativos</w:t>
      </w:r>
      <w:r>
        <w:rPr>
          <w:rFonts w:ascii="Verdana" w:eastAsia="Calibri" w:hAnsi="Verdana" w:cs="Times New Roman"/>
          <w:iCs/>
        </w:rPr>
        <w:t xml:space="preserve"> de administración delegada mediante la modalidad de</w:t>
      </w:r>
      <w:r w:rsidRPr="003E4DDB">
        <w:rPr>
          <w:rFonts w:ascii="Verdana" w:eastAsia="Calibri" w:hAnsi="Verdana" w:cs="Times New Roman"/>
          <w:iCs/>
        </w:rPr>
        <w:t xml:space="preserve"> contratación directa, obras civiles y proyectos de infraestructura con municipios?</w:t>
      </w:r>
      <w:r>
        <w:rPr>
          <w:rFonts w:ascii="Verdana" w:eastAsia="Calibri" w:hAnsi="Verdana" w:cs="Times New Roman"/>
          <w:iCs/>
        </w:rPr>
        <w:t xml:space="preserve">; </w:t>
      </w:r>
      <w:proofErr w:type="spellStart"/>
      <w:r>
        <w:rPr>
          <w:rFonts w:ascii="Verdana" w:eastAsia="Calibri" w:hAnsi="Verdana" w:cs="Times New Roman"/>
          <w:iCs/>
        </w:rPr>
        <w:t>iii</w:t>
      </w:r>
      <w:proofErr w:type="spellEnd"/>
      <w:r>
        <w:rPr>
          <w:rFonts w:ascii="Verdana" w:eastAsia="Calibri" w:hAnsi="Verdana" w:cs="Times New Roman"/>
          <w:iCs/>
        </w:rPr>
        <w:t xml:space="preserve">) </w:t>
      </w:r>
      <w:r>
        <w:rPr>
          <w:rFonts w:ascii="Verdana" w:eastAsia="Calibri" w:hAnsi="Verdana" w:cs="Times New Roman"/>
        </w:rPr>
        <w:t xml:space="preserve">¿Es procedente que </w:t>
      </w:r>
      <w:r w:rsidRPr="003E4DDB">
        <w:rPr>
          <w:rFonts w:ascii="Verdana" w:eastAsia="Calibri" w:hAnsi="Verdana" w:cs="Times New Roman"/>
          <w:iCs/>
        </w:rPr>
        <w:t>las aso</w:t>
      </w:r>
      <w:r>
        <w:rPr>
          <w:rFonts w:ascii="Verdana" w:eastAsia="Calibri" w:hAnsi="Verdana" w:cs="Times New Roman"/>
          <w:iCs/>
        </w:rPr>
        <w:t>ciaciones de municipios celebren de forma directa convenios</w:t>
      </w:r>
      <w:r w:rsidRPr="003E4DDB">
        <w:rPr>
          <w:rFonts w:ascii="Verdana" w:eastAsia="Calibri" w:hAnsi="Verdana" w:cs="Times New Roman"/>
          <w:iCs/>
        </w:rPr>
        <w:t xml:space="preserve"> interadministrativos</w:t>
      </w:r>
      <w:r>
        <w:rPr>
          <w:rFonts w:ascii="Verdana" w:eastAsia="Calibri" w:hAnsi="Verdana" w:cs="Times New Roman"/>
          <w:iCs/>
        </w:rPr>
        <w:t xml:space="preserve"> de administración delegada para la ejecución de</w:t>
      </w:r>
      <w:r w:rsidRPr="003E4DDB">
        <w:rPr>
          <w:rFonts w:ascii="Verdana" w:eastAsia="Calibri" w:hAnsi="Verdana" w:cs="Times New Roman"/>
          <w:iCs/>
        </w:rPr>
        <w:t xml:space="preserve"> obras civiles y proyectos de infraestructura con municipios?</w:t>
      </w:r>
      <w:r>
        <w:rPr>
          <w:rFonts w:ascii="Verdana" w:eastAsia="Calibri" w:hAnsi="Verdana" w:cs="Times New Roman"/>
          <w:iCs/>
        </w:rPr>
        <w:t xml:space="preserve">;  </w:t>
      </w:r>
    </w:p>
    <w:p w14:paraId="6CA159CA" w14:textId="77777777" w:rsidR="00475DAF" w:rsidRPr="009563E7" w:rsidRDefault="00475DAF" w:rsidP="00475DAF">
      <w:pPr>
        <w:spacing w:after="0" w:line="256" w:lineRule="auto"/>
        <w:rPr>
          <w:rFonts w:ascii="Verdana" w:eastAsia="Calibri" w:hAnsi="Verdana" w:cs="Times New Roman"/>
        </w:rPr>
      </w:pPr>
    </w:p>
    <w:p w14:paraId="04FE7DD1" w14:textId="77777777" w:rsidR="00475DAF" w:rsidRPr="009563E7" w:rsidRDefault="00475DAF" w:rsidP="00475DAF">
      <w:pPr>
        <w:numPr>
          <w:ilvl w:val="0"/>
          <w:numId w:val="19"/>
        </w:numPr>
        <w:spacing w:after="0" w:line="256" w:lineRule="auto"/>
        <w:contextualSpacing/>
        <w:rPr>
          <w:rFonts w:ascii="Verdana" w:eastAsia="Calibri" w:hAnsi="Verdana" w:cs="Times New Roman"/>
          <w:b/>
          <w:bCs/>
          <w:lang w:val="es-ES"/>
        </w:rPr>
      </w:pPr>
      <w:r w:rsidRPr="009563E7">
        <w:rPr>
          <w:rFonts w:ascii="Verdana" w:eastAsia="Calibri" w:hAnsi="Verdana" w:cs="Times New Roman"/>
          <w:b/>
          <w:bCs/>
          <w:lang w:val="es-ES"/>
        </w:rPr>
        <w:t>Respuesta:</w:t>
      </w:r>
    </w:p>
    <w:p w14:paraId="322D6FE7" w14:textId="77777777" w:rsidR="00475DAF" w:rsidRPr="009563E7" w:rsidRDefault="00475DAF" w:rsidP="00475DAF">
      <w:pPr>
        <w:spacing w:after="0" w:line="276" w:lineRule="auto"/>
        <w:rPr>
          <w:rFonts w:ascii="Verdana" w:eastAsia="Calibri" w:hAnsi="Verdana" w:cs="Times New Roman"/>
          <w:b/>
          <w:bCs/>
          <w:lang w:val="es-ES"/>
        </w:rPr>
      </w:pPr>
    </w:p>
    <w:tbl>
      <w:tblPr>
        <w:tblStyle w:val="Tablaconcuadrcula11"/>
        <w:tblW w:w="878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784"/>
      </w:tblGrid>
      <w:tr w:rsidR="00475DAF" w:rsidRPr="009563E7" w14:paraId="574457A8" w14:textId="77777777" w:rsidTr="005F31E7">
        <w:trPr>
          <w:trHeight w:val="870"/>
          <w:jc w:val="center"/>
        </w:trPr>
        <w:tc>
          <w:tcPr>
            <w:tcW w:w="8784" w:type="dxa"/>
          </w:tcPr>
          <w:p w14:paraId="142AB482" w14:textId="77777777" w:rsidR="00475DAF" w:rsidRDefault="00475DAF" w:rsidP="005F31E7">
            <w:pPr>
              <w:spacing w:before="120" w:after="120" w:line="276" w:lineRule="auto"/>
              <w:jc w:val="both"/>
              <w:rPr>
                <w:rFonts w:ascii="Verdana" w:hAnsi="Verdana" w:cs="Arial"/>
                <w:bCs/>
              </w:rPr>
            </w:pPr>
            <w:r>
              <w:rPr>
                <w:rFonts w:ascii="Verdana" w:hAnsi="Verdana" w:cs="Arial"/>
                <w:bCs/>
              </w:rPr>
              <w:lastRenderedPageBreak/>
              <w:t>Para responder a los problemas jurídicos, objeto de consulta, se señala:</w:t>
            </w:r>
          </w:p>
          <w:p w14:paraId="455B8C8F" w14:textId="77777777" w:rsidR="00475DAF" w:rsidRPr="00C45C5D" w:rsidRDefault="00475DAF" w:rsidP="005F31E7">
            <w:pPr>
              <w:spacing w:before="120" w:line="276" w:lineRule="auto"/>
              <w:jc w:val="both"/>
              <w:rPr>
                <w:rFonts w:ascii="Verdana" w:eastAsia="Calibri" w:hAnsi="Verdana" w:cs="Times New Roman"/>
                <w:color w:val="000000"/>
              </w:rPr>
            </w:pPr>
            <w:r>
              <w:rPr>
                <w:rFonts w:ascii="Verdana" w:hAnsi="Verdana" w:cs="Arial"/>
                <w:bCs/>
              </w:rPr>
              <w:t>i. E</w:t>
            </w:r>
            <w:r w:rsidRPr="00C45C5D">
              <w:rPr>
                <w:rFonts w:ascii="Verdana" w:eastAsia="Calibri" w:hAnsi="Verdana" w:cs="Times New Roman"/>
                <w:color w:val="000000"/>
              </w:rPr>
              <w:t>l artículo 148 de la referida Ley 136 de 1994 autorizó que “Dos o más municipios de uno o más departamentos podrán asociarse para organizar conjuntamente la prestación de servicios públicos, la ejecución de obras o el cumplimiento de funciones administrativas, procurando eficiencia y eficacia en los mismos, así como el desarrollo integral de sus territorios y colaborar mutuamente en la ejecución de obras públicas”.</w:t>
            </w:r>
          </w:p>
          <w:p w14:paraId="642C1FAA" w14:textId="77777777" w:rsidR="00475DAF" w:rsidRPr="00FC2F50" w:rsidRDefault="00475DAF" w:rsidP="005F31E7">
            <w:pPr>
              <w:spacing w:before="120" w:after="120" w:line="276" w:lineRule="auto"/>
              <w:ind w:firstLine="709"/>
              <w:jc w:val="both"/>
              <w:rPr>
                <w:rFonts w:ascii="Verdana" w:eastAsia="Calibri" w:hAnsi="Verdana" w:cs="Times New Roman"/>
                <w:color w:val="000000"/>
              </w:rPr>
            </w:pPr>
            <w:r w:rsidRPr="00C45C5D">
              <w:rPr>
                <w:rFonts w:ascii="Verdana" w:eastAsia="Calibri" w:hAnsi="Verdana" w:cs="Times New Roman"/>
                <w:color w:val="000000"/>
              </w:rPr>
              <w:t xml:space="preserve">A su vez, la Ley 1454 de 2011, </w:t>
            </w:r>
            <w:r>
              <w:rPr>
                <w:rFonts w:ascii="Verdana" w:eastAsia="Calibri" w:hAnsi="Verdana" w:cs="Times New Roman"/>
                <w:color w:val="000000"/>
              </w:rPr>
              <w:t>“</w:t>
            </w:r>
            <w:r w:rsidRPr="00987D4B">
              <w:rPr>
                <w:rFonts w:ascii="Verdana" w:eastAsia="Calibri" w:hAnsi="Verdana" w:cs="Times New Roman"/>
                <w:color w:val="000000"/>
              </w:rPr>
              <w:t>Por la cual se dictan normas orgánicas sobre ordenamiento territorial y se modifican otras disposiciones</w:t>
            </w:r>
            <w:r>
              <w:rPr>
                <w:rFonts w:ascii="Verdana" w:eastAsia="Calibri" w:hAnsi="Verdana" w:cs="Times New Roman"/>
                <w:color w:val="000000"/>
              </w:rPr>
              <w:t>”</w:t>
            </w:r>
            <w:r w:rsidRPr="00C45C5D">
              <w:rPr>
                <w:rFonts w:ascii="Verdana" w:eastAsia="Calibri" w:hAnsi="Verdana" w:cs="Times New Roman"/>
                <w:color w:val="000000"/>
              </w:rPr>
              <w:t>, concibió a las asociaciones de municipios como una clase de los denominados esquemas asociativos territoriales</w:t>
            </w:r>
            <w:r>
              <w:rPr>
                <w:rFonts w:ascii="Verdana" w:eastAsia="Calibri" w:hAnsi="Verdana" w:cs="Times New Roman"/>
                <w:color w:val="000000"/>
              </w:rPr>
              <w:t xml:space="preserve">, sobre los que el artículo 17 dispone </w:t>
            </w:r>
            <w:r w:rsidRPr="00C45C5D">
              <w:rPr>
                <w:rFonts w:ascii="Verdana" w:eastAsia="Calibri" w:hAnsi="Verdana" w:cs="Times New Roman"/>
                <w:color w:val="000000"/>
              </w:rPr>
              <w:t xml:space="preserve">que “son entidades administrativas de derecho público, con personería jurídica y patrimonio propio e independiente de los entes que la conforman”. De igual forma, el parágrafo de esa norma indica que “en concordancia con lo previsto en el artículo 95 de la Ley 489 de 1998, las entidades territoriales podrán continuar asociándose mediante la celebración de convenios interadministrativos o mediante la conformación de personas jurídicas de derecho público o derecho privado”. Es decir, la diferencia entre las asociaciones de entidades territoriales y las asociaciones de municipios es de género y especie: si bien todas las asociaciones de municipios son asociaciones de entidades territoriales, no todas las asociaciones de entidades territoriales </w:t>
            </w:r>
            <w:r>
              <w:rPr>
                <w:rFonts w:ascii="Verdana" w:eastAsia="Calibri" w:hAnsi="Verdana" w:cs="Times New Roman"/>
                <w:color w:val="000000"/>
              </w:rPr>
              <w:t>son asociaciones de municipios.</w:t>
            </w:r>
          </w:p>
          <w:p w14:paraId="0BC7B52C" w14:textId="77777777" w:rsidR="00475DAF" w:rsidRPr="00C45C5D" w:rsidRDefault="00475DAF" w:rsidP="005F31E7">
            <w:pPr>
              <w:spacing w:after="120" w:line="276" w:lineRule="auto"/>
              <w:ind w:right="108"/>
              <w:jc w:val="both"/>
              <w:rPr>
                <w:rFonts w:ascii="Verdana" w:eastAsia="Times New Roman" w:hAnsi="Verdana" w:cs="Times New Roman"/>
                <w:color w:val="000000" w:themeColor="text1"/>
                <w:lang w:eastAsia="es-CO"/>
              </w:rPr>
            </w:pPr>
            <w:proofErr w:type="spellStart"/>
            <w:r>
              <w:rPr>
                <w:rFonts w:ascii="Verdana" w:hAnsi="Verdana" w:cs="Arial"/>
                <w:bCs/>
              </w:rPr>
              <w:t>ii</w:t>
            </w:r>
            <w:proofErr w:type="spellEnd"/>
            <w:r>
              <w:rPr>
                <w:rFonts w:ascii="Verdana" w:hAnsi="Verdana" w:cs="Arial"/>
                <w:bCs/>
              </w:rPr>
              <w:t>. De acuerdo, al segundo problema jurídico, objeto de consulta, y e</w:t>
            </w:r>
            <w:r>
              <w:rPr>
                <w:rFonts w:ascii="Verdana" w:eastAsia="Times New Roman" w:hAnsi="Verdana" w:cs="Times New Roman"/>
                <w:color w:val="000000" w:themeColor="text1"/>
                <w:lang w:eastAsia="es-CO"/>
              </w:rPr>
              <w:t xml:space="preserve">n </w:t>
            </w:r>
            <w:r w:rsidRPr="00C45C5D">
              <w:rPr>
                <w:rFonts w:ascii="Verdana" w:eastAsia="Times New Roman" w:hAnsi="Verdana" w:cs="Times New Roman"/>
                <w:color w:val="000000" w:themeColor="text1"/>
                <w:lang w:eastAsia="es-CO"/>
              </w:rPr>
              <w:t xml:space="preserve">función de la naturaleza jurídica que se termine en cada caso concreto, deben observarse las prohibiciones establecidas en el artículo 10 de la Ley 1150 de 2007 y en el artículo 92 de la Ley 1474 de 2011, los cuales limitan la modalidad de contratación directa. </w:t>
            </w:r>
          </w:p>
          <w:p w14:paraId="077E087E" w14:textId="77777777" w:rsidR="00475DAF" w:rsidRPr="00C45C5D" w:rsidRDefault="00475DAF" w:rsidP="005F31E7">
            <w:pPr>
              <w:spacing w:after="120" w:line="276" w:lineRule="auto"/>
              <w:ind w:right="108" w:firstLine="709"/>
              <w:jc w:val="both"/>
              <w:rPr>
                <w:rFonts w:ascii="Verdana" w:eastAsia="Times New Roman" w:hAnsi="Verdana" w:cs="Times New Roman"/>
                <w:color w:val="000000"/>
                <w:shd w:val="clear" w:color="auto" w:fill="FFFFFF"/>
                <w:lang w:eastAsia="es-CO"/>
              </w:rPr>
            </w:pPr>
            <w:r w:rsidRPr="00C45C5D">
              <w:rPr>
                <w:rFonts w:ascii="Verdana" w:eastAsia="Times New Roman" w:hAnsi="Verdana" w:cs="Times New Roman"/>
                <w:color w:val="000000" w:themeColor="text1"/>
                <w:lang w:eastAsia="es-CO"/>
              </w:rPr>
              <w:t xml:space="preserve">Por un lado, la celebración de contratos con entidades estatales, las cooperativas y asociaciones conformadas por entidades territoriales deben someterse a los procesos de selección de la Ley 1150 de 2007, en igualdad de condiciones con los particulares. </w:t>
            </w:r>
            <w:r w:rsidRPr="00C45C5D">
              <w:rPr>
                <w:rFonts w:ascii="Verdana" w:eastAsia="Times New Roman" w:hAnsi="Verdana" w:cs="Times New Roman"/>
                <w:color w:val="000000"/>
                <w:shd w:val="clear" w:color="auto" w:fill="FFFFFF"/>
                <w:lang w:eastAsia="es-CO"/>
              </w:rPr>
              <w:t xml:space="preserve">Así las cosas, la finalidad del artículo 10 </w:t>
            </w:r>
            <w:r w:rsidRPr="00C45C5D">
              <w:rPr>
                <w:rFonts w:ascii="Verdana" w:eastAsia="Times New Roman" w:hAnsi="Verdana" w:cs="Times New Roman"/>
                <w:i/>
                <w:iCs/>
                <w:color w:val="000000"/>
                <w:shd w:val="clear" w:color="auto" w:fill="FFFFFF"/>
                <w:lang w:eastAsia="es-CO"/>
              </w:rPr>
              <w:t>ibidem</w:t>
            </w:r>
            <w:r w:rsidRPr="00C45C5D">
              <w:rPr>
                <w:rFonts w:ascii="Verdana" w:eastAsia="Times New Roman" w:hAnsi="Verdana" w:cs="Times New Roman"/>
                <w:color w:val="000000"/>
                <w:shd w:val="clear" w:color="auto" w:fill="FFFFFF"/>
                <w:lang w:eastAsia="es-CO"/>
              </w:rPr>
              <w:t xml:space="preserve"> consiste en establecer que las cooperativas, las asociaciones conformadas por entidades territoriales y en general los entes solidarios de carácter público que pretendan celebrar contratos con las entidades estatales pueden hacerlo siempre y cuando lo realicen a través de procedimientos </w:t>
            </w:r>
            <w:r w:rsidRPr="00C45C5D">
              <w:rPr>
                <w:rFonts w:ascii="Verdana" w:eastAsia="Times New Roman" w:hAnsi="Verdana" w:cs="Times New Roman"/>
                <w:color w:val="000000"/>
                <w:shd w:val="clear" w:color="auto" w:fill="FFFFFF"/>
                <w:lang w:eastAsia="es-CO"/>
              </w:rPr>
              <w:lastRenderedPageBreak/>
              <w:t xml:space="preserve">competitivos, limitándose, en consecuencia, la modalidad de contratación directa. </w:t>
            </w:r>
          </w:p>
          <w:p w14:paraId="09188366" w14:textId="77777777" w:rsidR="00475DAF" w:rsidRDefault="00475DAF" w:rsidP="005F31E7">
            <w:pPr>
              <w:spacing w:before="120" w:after="120" w:line="276" w:lineRule="auto"/>
              <w:ind w:firstLine="709"/>
              <w:jc w:val="both"/>
              <w:rPr>
                <w:rFonts w:ascii="Verdana" w:eastAsia="Times New Roman" w:hAnsi="Verdana" w:cs="Times New Roman"/>
                <w:color w:val="000000" w:themeColor="text1"/>
                <w:lang w:eastAsia="es-CO"/>
              </w:rPr>
            </w:pPr>
            <w:r w:rsidRPr="00C45C5D">
              <w:rPr>
                <w:rFonts w:ascii="Verdana" w:eastAsia="Times New Roman" w:hAnsi="Verdana" w:cs="Times New Roman"/>
                <w:color w:val="000000"/>
                <w:shd w:val="clear" w:color="auto" w:fill="FFFFFF"/>
                <w:lang w:eastAsia="es-CO"/>
              </w:rPr>
              <w:t xml:space="preserve">Por otra parte, </w:t>
            </w:r>
            <w:r w:rsidRPr="00C45C5D">
              <w:rPr>
                <w:rFonts w:ascii="Verdana" w:eastAsia="Times New Roman" w:hAnsi="Verdana" w:cs="Times New Roman"/>
                <w:color w:val="000000" w:themeColor="text1"/>
                <w:lang w:eastAsia="es-CO"/>
              </w:rPr>
              <w:t xml:space="preserve">el artículo 92 de la Ley 1474 de 2011 </w:t>
            </w:r>
            <w:r>
              <w:rPr>
                <w:rFonts w:ascii="Verdana" w:eastAsia="Times New Roman" w:hAnsi="Verdana" w:cs="Times New Roman"/>
                <w:color w:val="000000" w:themeColor="text1"/>
                <w:lang w:eastAsia="es-CO"/>
              </w:rPr>
              <w:t xml:space="preserve">que modifica </w:t>
            </w:r>
            <w:r w:rsidRPr="004E0510">
              <w:rPr>
                <w:rFonts w:ascii="Verdana" w:eastAsia="Times New Roman" w:hAnsi="Verdana" w:cs="Times New Roman"/>
                <w:color w:val="000000" w:themeColor="text1"/>
                <w:lang w:val="es-ES_tradnl" w:eastAsia="es-CO"/>
              </w:rPr>
              <w:t>el artículo 2, numeral 4, literal c) de la Ley 1150 de 2007</w:t>
            </w:r>
            <w:r>
              <w:rPr>
                <w:rFonts w:ascii="Verdana" w:eastAsia="Times New Roman" w:hAnsi="Verdana" w:cs="Times New Roman"/>
                <w:color w:val="000000" w:themeColor="text1"/>
                <w:lang w:val="es-ES_tradnl" w:eastAsia="es-CO"/>
              </w:rPr>
              <w:t xml:space="preserve">, </w:t>
            </w:r>
            <w:r w:rsidRPr="00C45C5D">
              <w:rPr>
                <w:rFonts w:ascii="Verdana" w:eastAsia="Times New Roman" w:hAnsi="Verdana" w:cs="Times New Roman"/>
                <w:color w:val="000000" w:themeColor="text1"/>
                <w:lang w:eastAsia="es-CO"/>
              </w:rPr>
              <w:t>constituye otra prohibición precisa para celebrar ciertos objetos y tipologías contractuales por parte de personas jurídicas sin ánimo de lucro conformadas por la asociación de entidades públicas. En particular, se exceptúa la posibilidad de acudir a la causal de contratos interadministrativos para celebrar directamente contratos de obra, suministro, prestación de servicios de evaluación de conformidad respecto de las normas o reglamentos técnicos, encargos fiduciarios y fiducia pública. Teniendo en cuenta que es una norma de excepción, no es posible aplicarla extensiva ni analógicamente. Por tanto, corresponde a cada ente verificar su naturaleza jurídica para determinar si es o no una persona jurídica sin ánimo de lucro conformada por la asociación de entidades públicas, lo cual podrá validar –por ejemplo– con los fundamentos, el contenido del respe</w:t>
            </w:r>
            <w:r>
              <w:rPr>
                <w:rFonts w:ascii="Verdana" w:eastAsia="Times New Roman" w:hAnsi="Verdana" w:cs="Times New Roman"/>
                <w:color w:val="000000" w:themeColor="text1"/>
                <w:lang w:eastAsia="es-CO"/>
              </w:rPr>
              <w:t>c</w:t>
            </w:r>
            <w:r w:rsidRPr="00C45C5D">
              <w:rPr>
                <w:rFonts w:ascii="Verdana" w:eastAsia="Times New Roman" w:hAnsi="Verdana" w:cs="Times New Roman"/>
                <w:color w:val="000000" w:themeColor="text1"/>
                <w:lang w:eastAsia="es-CO"/>
              </w:rPr>
              <w:t>tivo acto de creación y su objeto.</w:t>
            </w:r>
          </w:p>
          <w:p w14:paraId="0C758752" w14:textId="77777777" w:rsidR="00475DAF" w:rsidRPr="006F248B" w:rsidRDefault="00475DAF" w:rsidP="005F31E7">
            <w:pPr>
              <w:spacing w:before="120" w:after="120" w:line="276" w:lineRule="auto"/>
              <w:ind w:firstLine="709"/>
              <w:jc w:val="both"/>
              <w:rPr>
                <w:rFonts w:ascii="Verdana" w:eastAsia="Arial" w:hAnsi="Verdana" w:cs="Arial"/>
                <w:color w:val="000000"/>
                <w:lang w:val="es-ES"/>
              </w:rPr>
            </w:pPr>
            <w:r>
              <w:rPr>
                <w:rFonts w:ascii="Verdana" w:eastAsia="Times New Roman" w:hAnsi="Verdana" w:cs="Times New Roman"/>
                <w:color w:val="000000" w:themeColor="text1"/>
                <w:lang w:eastAsia="es-CO"/>
              </w:rPr>
              <w:t>Ahora bien, con respecto a la posibilidad de celebrarse contratos interadministrativos mediante administración delegada</w:t>
            </w:r>
            <w:r w:rsidRPr="00987D4B">
              <w:rPr>
                <w:rFonts w:ascii="Verdana" w:hAnsi="Verdana" w:cs="Arial"/>
                <w:color w:val="000000" w:themeColor="text1"/>
                <w:lang w:val="es-ES_tradnl"/>
              </w:rPr>
              <w:t>,</w:t>
            </w:r>
            <w:r>
              <w:rPr>
                <w:rFonts w:ascii="Verdana" w:hAnsi="Verdana" w:cs="Arial"/>
                <w:color w:val="000000" w:themeColor="text1"/>
                <w:lang w:val="es-ES_tradnl"/>
              </w:rPr>
              <w:t xml:space="preserve"> se precisa que puede entenderse como</w:t>
            </w:r>
            <w:r w:rsidRPr="00987D4B">
              <w:rPr>
                <w:rFonts w:ascii="Verdana" w:hAnsi="Verdana" w:cs="Arial"/>
                <w:color w:val="000000" w:themeColor="text1"/>
                <w:lang w:val="es-ES_tradnl"/>
              </w:rPr>
              <w:t xml:space="preserve"> forma de mandato o como modalidad de administración de los re</w:t>
            </w:r>
            <w:r>
              <w:rPr>
                <w:rFonts w:ascii="Verdana" w:hAnsi="Verdana" w:cs="Arial"/>
                <w:color w:val="000000" w:themeColor="text1"/>
                <w:lang w:val="es-ES_tradnl"/>
              </w:rPr>
              <w:t xml:space="preserve">cursos destinados a la obra. Teniendo </w:t>
            </w:r>
            <w:r w:rsidRPr="00987D4B">
              <w:rPr>
                <w:rFonts w:ascii="Verdana" w:hAnsi="Verdana" w:cs="Arial"/>
                <w:color w:val="000000" w:themeColor="text1"/>
                <w:lang w:val="es-ES_tradnl"/>
              </w:rPr>
              <w:t xml:space="preserve">en cuenta la remisión de los </w:t>
            </w:r>
            <w:r>
              <w:rPr>
                <w:rFonts w:ascii="Verdana" w:hAnsi="Verdana" w:cs="Arial"/>
                <w:color w:val="000000" w:themeColor="text1"/>
                <w:lang w:val="es-ES_tradnl"/>
              </w:rPr>
              <w:t xml:space="preserve">artículos </w:t>
            </w:r>
            <w:r w:rsidRPr="00987D4B">
              <w:rPr>
                <w:rFonts w:ascii="Verdana" w:hAnsi="Verdana" w:cs="Arial"/>
                <w:color w:val="000000" w:themeColor="text1"/>
                <w:lang w:val="es-ES_tradnl"/>
              </w:rPr>
              <w:t xml:space="preserve">13, 32 y 40 de la Ley 80 de 1993 a las normas comerciales </w:t>
            </w:r>
            <w:r>
              <w:rPr>
                <w:rFonts w:ascii="Verdana" w:hAnsi="Verdana" w:cs="Arial"/>
                <w:color w:val="000000" w:themeColor="text1"/>
                <w:lang w:val="es-ES_tradnl"/>
              </w:rPr>
              <w:t xml:space="preserve">y civiles y a partir del análisis realizado, se enmarca </w:t>
            </w:r>
            <w:r w:rsidRPr="00987D4B">
              <w:rPr>
                <w:rFonts w:ascii="Verdana" w:hAnsi="Verdana" w:cs="Arial"/>
                <w:color w:val="000000" w:themeColor="text1"/>
                <w:lang w:val="es-ES_tradnl"/>
              </w:rPr>
              <w:t xml:space="preserve">en </w:t>
            </w:r>
            <w:r w:rsidRPr="00C45C5D">
              <w:rPr>
                <w:rFonts w:ascii="Verdana" w:eastAsia="Arial" w:hAnsi="Verdana" w:cs="Arial"/>
                <w:color w:val="000000"/>
                <w:lang w:val="es-ES"/>
              </w:rPr>
              <w:t>las prohibiciones establecidas en el artículo 10 de la Ley 1150 de 2007 y en el artículo 92 de la Ley 1474 de 2011</w:t>
            </w:r>
            <w:r>
              <w:rPr>
                <w:rFonts w:ascii="Verdana" w:eastAsia="Arial" w:hAnsi="Verdana" w:cs="Arial"/>
                <w:color w:val="000000"/>
                <w:lang w:val="es-ES"/>
              </w:rPr>
              <w:t xml:space="preserve"> que modifica el literal c del artículo 2 numeral 4° de la Ley 1150 de 2007</w:t>
            </w:r>
            <w:r w:rsidRPr="00C45C5D">
              <w:rPr>
                <w:rFonts w:ascii="Verdana" w:eastAsia="Arial" w:hAnsi="Verdana" w:cs="Arial"/>
                <w:color w:val="000000"/>
                <w:lang w:val="es-ES"/>
              </w:rPr>
              <w:t>, los cuales limitan la modalidad de contratación directa.</w:t>
            </w:r>
          </w:p>
          <w:p w14:paraId="13D50F29" w14:textId="77777777" w:rsidR="00475DAF" w:rsidRPr="00B57A1B" w:rsidRDefault="00475DAF" w:rsidP="005F31E7">
            <w:pPr>
              <w:widowControl w:val="0"/>
              <w:autoSpaceDE w:val="0"/>
              <w:autoSpaceDN w:val="0"/>
              <w:spacing w:after="120" w:line="276" w:lineRule="auto"/>
              <w:jc w:val="both"/>
              <w:rPr>
                <w:rFonts w:ascii="Verdana" w:eastAsia="Arial MT" w:hAnsi="Verdana" w:cs="Arial MT"/>
              </w:rPr>
            </w:pPr>
            <w:proofErr w:type="spellStart"/>
            <w:r>
              <w:rPr>
                <w:rFonts w:ascii="Verdana" w:hAnsi="Verdana" w:cs="Arial"/>
                <w:color w:val="000000" w:themeColor="text1"/>
                <w:lang w:val="es-ES_tradnl"/>
              </w:rPr>
              <w:t>iii</w:t>
            </w:r>
            <w:proofErr w:type="spellEnd"/>
            <w:r>
              <w:rPr>
                <w:rFonts w:ascii="Verdana" w:hAnsi="Verdana" w:cs="Arial"/>
                <w:color w:val="000000" w:themeColor="text1"/>
                <w:lang w:val="es-ES_tradnl"/>
              </w:rPr>
              <w:t xml:space="preserve">. </w:t>
            </w:r>
            <w:r>
              <w:rPr>
                <w:rFonts w:ascii="Verdana" w:eastAsia="Arial" w:hAnsi="Verdana" w:cs="Arial"/>
                <w:color w:val="000000"/>
                <w:lang w:val="es-ES_tradnl"/>
              </w:rPr>
              <w:t xml:space="preserve">La </w:t>
            </w:r>
            <w:r>
              <w:rPr>
                <w:rFonts w:ascii="Verdana" w:eastAsia="Arial" w:hAnsi="Verdana" w:cs="Arial"/>
                <w:color w:val="000000"/>
                <w:lang w:val="es-ES"/>
              </w:rPr>
              <w:t xml:space="preserve">prohibición de contratación directa no son extensibles a los convenios interadministrativos, como se ha expresado en los Conceptos C-605 del 27 de junio, </w:t>
            </w:r>
            <w:r w:rsidRPr="00B57A1B">
              <w:rPr>
                <w:rFonts w:ascii="Verdana" w:hAnsi="Verdana" w:cs="Arial"/>
                <w:shd w:val="clear" w:color="auto" w:fill="FFFFFF"/>
              </w:rPr>
              <w:t>C-1046 del 9 de septiembre de 2025</w:t>
            </w:r>
            <w:r>
              <w:rPr>
                <w:rFonts w:ascii="Verdana" w:hAnsi="Verdana" w:cs="Arial"/>
                <w:shd w:val="clear" w:color="auto" w:fill="FFFFFF"/>
              </w:rPr>
              <w:t xml:space="preserve">, C-1152 del 23 de septiembre de 2025 y como se explica en las razones de la respuesta, en el sentido de que </w:t>
            </w:r>
            <w:r>
              <w:rPr>
                <w:rFonts w:ascii="Verdana" w:eastAsia="Calibri" w:hAnsi="Verdana" w:cs="Arial"/>
                <w:color w:val="000000" w:themeColor="text1"/>
                <w:lang w:val="es-ES_tradnl"/>
              </w:rPr>
              <w:t xml:space="preserve">no hay aplicación automática del Estatuto General de Contratación de la Administración. </w:t>
            </w:r>
            <w:r w:rsidRPr="00B57A1B">
              <w:rPr>
                <w:rFonts w:ascii="Verdana" w:eastAsia="Arial MT" w:hAnsi="Verdana" w:cs="Arial MT"/>
              </w:rPr>
              <w:t xml:space="preserve">Estos negocios jurídicos se caracterizan por estar sujetos a la autorregulación establecida a través de sus propias estipulaciones, que son el resultado de la autonomía de la voluntad de las entidades que actúan como colaboradoras o cooperantes. En efecto, en los convenios interadministrativos puros o genuinos, el valor del negocio jurídico es determinado por los aportes en dinero y/o en especie requeridos para ejecutar el objeto, los cuales pueden </w:t>
            </w:r>
            <w:r w:rsidRPr="00B57A1B">
              <w:rPr>
                <w:rFonts w:ascii="Verdana" w:eastAsia="Arial MT" w:hAnsi="Verdana" w:cs="Arial MT"/>
              </w:rPr>
              <w:lastRenderedPageBreak/>
              <w:t>ser realizados por ambos cooperantes en los montos que estos estipulen.</w:t>
            </w:r>
          </w:p>
          <w:p w14:paraId="6FB35E79" w14:textId="77777777" w:rsidR="00475DAF" w:rsidRPr="0067295A" w:rsidRDefault="00475DAF" w:rsidP="005F31E7">
            <w:pPr>
              <w:spacing w:after="120" w:line="276" w:lineRule="auto"/>
              <w:jc w:val="both"/>
              <w:rPr>
                <w:rFonts w:ascii="Verdana" w:eastAsia="Calibri" w:hAnsi="Verdana" w:cs="Arial"/>
                <w:color w:val="000000" w:themeColor="text1"/>
              </w:rPr>
            </w:pPr>
            <w:r>
              <w:rPr>
                <w:rFonts w:ascii="Verdana" w:eastAsia="Calibri" w:hAnsi="Verdana" w:cs="Arial"/>
                <w:color w:val="000000" w:themeColor="text1"/>
              </w:rPr>
              <w:tab/>
              <w:t xml:space="preserve">En estos términos, en los convenios interadministrativos no se alude a las categorías de contratante y contratista, sino que ambas partes son cooperantes o colaboradoras. En el marco de su relación de colaboración </w:t>
            </w:r>
            <w:r>
              <w:rPr>
                <w:rFonts w:ascii="Verdana" w:eastAsia="Calibri" w:hAnsi="Verdana" w:cs="Arial"/>
                <w:color w:val="000000" w:themeColor="text1"/>
                <w:lang w:val="es-ES_tradnl"/>
              </w:rPr>
              <w:t xml:space="preserve">pueden estipularse diferentes formas de vinculación de las partes, donde pueden configurar condiciones y cláusulas de mandatos con o sin representación bajo la forma de una administración delegada. En este aspecto, puede pactarse que </w:t>
            </w:r>
            <w:r w:rsidRPr="00B57A1B">
              <w:rPr>
                <w:rFonts w:ascii="Verdana" w:eastAsia="Calibri" w:hAnsi="Verdana" w:cs="Arial"/>
                <w:color w:val="000000" w:themeColor="text1"/>
                <w:lang w:val="es-ES_tradnl"/>
              </w:rPr>
              <w:t xml:space="preserve">una de las entidades cooperantes actué como la ejecutora de las principales obligaciones del convenio. En este caso, una de las entidades cooperantes puede encargarse de </w:t>
            </w:r>
            <w:r>
              <w:rPr>
                <w:rFonts w:ascii="Verdana" w:eastAsia="Calibri" w:hAnsi="Verdana" w:cs="Arial"/>
                <w:color w:val="000000" w:themeColor="text1"/>
                <w:lang w:val="es-ES_tradnl"/>
              </w:rPr>
              <w:t xml:space="preserve">la administración y ejecución del convenio, sin que pueda estipularse categorías conceptuales como la utilidad o costos por concepto de pago de honorarios. A </w:t>
            </w:r>
            <w:r w:rsidRPr="00B57A1B">
              <w:rPr>
                <w:rFonts w:ascii="Verdana" w:eastAsia="Calibri" w:hAnsi="Verdana" w:cs="Arial"/>
                <w:color w:val="000000" w:themeColor="text1"/>
                <w:lang w:val="es-ES_tradnl"/>
              </w:rPr>
              <w:t xml:space="preserve">diferencia de los contratos </w:t>
            </w:r>
            <w:r w:rsidRPr="00B57A1B">
              <w:rPr>
                <w:rFonts w:ascii="Verdana" w:eastAsia="Arial MT" w:hAnsi="Verdana" w:cs="Arial MT"/>
              </w:rPr>
              <w:t>interadministrativos, en tanto negocios jurídicos típicamente conmutativos, su valor está determinado por el precio al que equivale la contraprestación a recibir por la entidad contratista, a cambio del suministro del bien, obra o servicio requerido por la entidad contratante, como puede ocurrir cuando se pacte por administración delegada</w:t>
            </w:r>
            <w:r w:rsidRPr="00B57A1B">
              <w:rPr>
                <w:rFonts w:ascii="Verdana" w:eastAsia="Calibri" w:hAnsi="Verdana" w:cs="Arial"/>
                <w:color w:val="000000" w:themeColor="text1"/>
                <w:lang w:val="es-ES_tradnl"/>
              </w:rPr>
              <w:t xml:space="preserve">. </w:t>
            </w:r>
          </w:p>
          <w:p w14:paraId="4F3C4C34" w14:textId="77777777" w:rsidR="00475DAF" w:rsidRPr="001649B6" w:rsidRDefault="00475DAF" w:rsidP="005F31E7">
            <w:pPr>
              <w:spacing w:after="120" w:line="276" w:lineRule="auto"/>
              <w:jc w:val="both"/>
              <w:rPr>
                <w:rFonts w:ascii="Verdana" w:eastAsiaTheme="minorEastAsia" w:hAnsi="Verdana" w:cs="Arial"/>
                <w:lang w:eastAsia="es-CO"/>
              </w:rPr>
            </w:pPr>
            <w:r>
              <w:rPr>
                <w:rFonts w:ascii="Verdana" w:eastAsia="Calibri" w:hAnsi="Verdana" w:cs="Arial"/>
                <w:color w:val="000000" w:themeColor="text1"/>
                <w:lang w:val="es-ES_tradnl"/>
              </w:rPr>
              <w:tab/>
              <w:t>Teniendo en cuenta esta precisión, para determinar si es contrato o convenio interadministrativo no está determinada por la denominación que se haga en el negocio jurídico entre entidades, sino por las cláusulas y condiciones que se pactaron.</w:t>
            </w:r>
            <w:r w:rsidRPr="00B57A1B">
              <w:rPr>
                <w:rFonts w:ascii="Verdana" w:eastAsia="Calibri" w:hAnsi="Verdana" w:cs="Arial"/>
                <w:color w:val="000000" w:themeColor="text1"/>
                <w:lang w:val="es-ES_tradnl"/>
              </w:rPr>
              <w:t xml:space="preserve"> </w:t>
            </w:r>
            <w:r>
              <w:rPr>
                <w:rFonts w:ascii="Verdana" w:eastAsiaTheme="minorEastAsia" w:hAnsi="Verdana" w:cs="Arial"/>
                <w:lang w:eastAsia="es-CO"/>
              </w:rPr>
              <w:t xml:space="preserve">Entonces, será </w:t>
            </w:r>
            <w:r w:rsidRPr="00B57A1B">
              <w:rPr>
                <w:rFonts w:ascii="Verdana" w:eastAsiaTheme="minorEastAsia" w:hAnsi="Verdana" w:cs="Arial"/>
                <w:lang w:eastAsia="es-CO"/>
              </w:rPr>
              <w:t xml:space="preserve">convenio interadministrativo </w:t>
            </w:r>
            <w:r>
              <w:rPr>
                <w:rFonts w:ascii="Verdana" w:eastAsiaTheme="minorEastAsia" w:hAnsi="Verdana" w:cs="Arial"/>
                <w:lang w:eastAsia="es-CO"/>
              </w:rPr>
              <w:t xml:space="preserve">si su </w:t>
            </w:r>
            <w:r w:rsidRPr="00B57A1B">
              <w:rPr>
                <w:rFonts w:ascii="Verdana" w:eastAsiaTheme="minorEastAsia" w:hAnsi="Verdana" w:cs="Arial"/>
                <w:lang w:eastAsia="es-CO"/>
              </w:rPr>
              <w:t>objeto</w:t>
            </w:r>
            <w:r>
              <w:rPr>
                <w:rFonts w:ascii="Verdana" w:eastAsiaTheme="minorEastAsia" w:hAnsi="Verdana" w:cs="Arial"/>
                <w:lang w:eastAsia="es-CO"/>
              </w:rPr>
              <w:t xml:space="preserve"> y demás cláusulas</w:t>
            </w:r>
            <w:r w:rsidRPr="00B57A1B">
              <w:rPr>
                <w:rFonts w:ascii="Verdana" w:eastAsiaTheme="minorEastAsia" w:hAnsi="Verdana" w:cs="Arial"/>
                <w:lang w:eastAsia="es-CO"/>
              </w:rPr>
              <w:t xml:space="preserve"> se relaciona</w:t>
            </w:r>
            <w:r>
              <w:rPr>
                <w:rFonts w:ascii="Verdana" w:eastAsiaTheme="minorEastAsia" w:hAnsi="Verdana" w:cs="Arial"/>
                <w:lang w:eastAsia="es-CO"/>
              </w:rPr>
              <w:t>n</w:t>
            </w:r>
            <w:r w:rsidRPr="00B57A1B">
              <w:rPr>
                <w:rFonts w:ascii="Verdana" w:eastAsiaTheme="minorEastAsia" w:hAnsi="Verdana" w:cs="Arial"/>
                <w:lang w:eastAsia="es-CO"/>
              </w:rPr>
              <w:t xml:space="preserve"> con la coordinación o cooperación para el cumplimiento de los fines comunes </w:t>
            </w:r>
            <w:r>
              <w:rPr>
                <w:rFonts w:ascii="Verdana" w:eastAsiaTheme="minorEastAsia" w:hAnsi="Verdana" w:cs="Arial"/>
                <w:lang w:eastAsia="es-CO"/>
              </w:rPr>
              <w:t>de las partes, y por tanto no será aplicable el Estatuto General de Contratación de la Administración Pública. Por otro lado, será</w:t>
            </w:r>
            <w:r w:rsidRPr="00B57A1B">
              <w:rPr>
                <w:rFonts w:ascii="Verdana" w:eastAsiaTheme="minorEastAsia" w:hAnsi="Verdana" w:cs="Arial"/>
                <w:lang w:eastAsia="es-CO"/>
              </w:rPr>
              <w:t xml:space="preserve"> contrato interadministrativo </w:t>
            </w:r>
            <w:r>
              <w:rPr>
                <w:rFonts w:ascii="Verdana" w:eastAsiaTheme="minorEastAsia" w:hAnsi="Verdana" w:cs="Arial"/>
                <w:lang w:eastAsia="es-CO"/>
              </w:rPr>
              <w:t xml:space="preserve">si su objeto </w:t>
            </w:r>
            <w:r w:rsidRPr="00B57A1B">
              <w:rPr>
                <w:rFonts w:ascii="Verdana" w:eastAsiaTheme="minorEastAsia" w:hAnsi="Verdana" w:cs="Arial"/>
                <w:lang w:eastAsia="es-CO"/>
              </w:rPr>
              <w:t>está relacionado con la prestación de bienes y servicios, en el que una de las partes actúa como contratante y otra como contratista</w:t>
            </w:r>
            <w:r>
              <w:rPr>
                <w:rFonts w:ascii="Verdana" w:eastAsiaTheme="minorEastAsia" w:hAnsi="Verdana" w:cs="Arial"/>
                <w:lang w:eastAsia="es-CO"/>
              </w:rPr>
              <w:t xml:space="preserve">, y en el supuesto genérico que nos incumbe estará sujeto a las restricciones de contratación directa, conforme </w:t>
            </w:r>
            <w:r w:rsidRPr="00C45C5D">
              <w:rPr>
                <w:rFonts w:ascii="Verdana" w:eastAsia="Arial" w:hAnsi="Verdana" w:cs="Arial"/>
                <w:color w:val="000000"/>
                <w:lang w:val="es-ES"/>
              </w:rPr>
              <w:t>en el artículo 10 de la Ley 1150 de 2007 y en el artículo 92 de la Ley 1474 de 2011</w:t>
            </w:r>
            <w:r>
              <w:rPr>
                <w:rFonts w:ascii="Verdana" w:eastAsia="Arial" w:hAnsi="Verdana" w:cs="Arial"/>
                <w:color w:val="000000"/>
                <w:lang w:val="es-ES"/>
              </w:rPr>
              <w:t xml:space="preserve"> que modifica el literal c del artículo 2 numeral 4° de la Ley 1150 de 2007.</w:t>
            </w:r>
          </w:p>
        </w:tc>
      </w:tr>
    </w:tbl>
    <w:p w14:paraId="73E3B007" w14:textId="77777777" w:rsidR="00475DAF" w:rsidRPr="009563E7" w:rsidRDefault="00475DAF" w:rsidP="00475DAF">
      <w:pPr>
        <w:spacing w:after="0" w:line="276" w:lineRule="auto"/>
        <w:jc w:val="both"/>
        <w:rPr>
          <w:rFonts w:ascii="Verdana" w:eastAsia="Calibri" w:hAnsi="Verdana" w:cs="Arial"/>
          <w:bCs/>
          <w:color w:val="000000" w:themeColor="text1"/>
        </w:rPr>
      </w:pPr>
    </w:p>
    <w:p w14:paraId="00E5013F" w14:textId="77777777" w:rsidR="00475DAF" w:rsidRPr="009563E7" w:rsidRDefault="00475DAF" w:rsidP="00475DAF">
      <w:pPr>
        <w:numPr>
          <w:ilvl w:val="0"/>
          <w:numId w:val="19"/>
        </w:numPr>
        <w:spacing w:after="0" w:line="256" w:lineRule="auto"/>
        <w:rPr>
          <w:rFonts w:ascii="Verdana" w:eastAsia="Calibri" w:hAnsi="Verdana" w:cs="Times New Roman"/>
          <w:b/>
          <w:bCs/>
          <w:lang w:val="es-ES"/>
        </w:rPr>
      </w:pPr>
      <w:r w:rsidRPr="009563E7">
        <w:rPr>
          <w:rFonts w:ascii="Verdana" w:eastAsia="Calibri" w:hAnsi="Verdana" w:cs="Times New Roman"/>
          <w:b/>
          <w:bCs/>
          <w:lang w:val="es-ES"/>
        </w:rPr>
        <w:t>Razones de la respuesta:</w:t>
      </w:r>
    </w:p>
    <w:p w14:paraId="6C6D755F" w14:textId="77777777" w:rsidR="00475DAF" w:rsidRPr="00C45C5D" w:rsidRDefault="00475DAF" w:rsidP="00475DAF">
      <w:pPr>
        <w:spacing w:after="0" w:line="276" w:lineRule="auto"/>
        <w:jc w:val="both"/>
        <w:rPr>
          <w:rFonts w:ascii="Verdana" w:eastAsia="Calibri" w:hAnsi="Verdana" w:cs="Arial"/>
          <w:color w:val="7030A0"/>
          <w:lang w:val="es-ES"/>
        </w:rPr>
      </w:pPr>
    </w:p>
    <w:p w14:paraId="3E3CB327" w14:textId="77777777" w:rsidR="00475DAF" w:rsidRPr="00C45C5D" w:rsidRDefault="00475DAF" w:rsidP="00475DAF">
      <w:pPr>
        <w:spacing w:after="0" w:line="276" w:lineRule="auto"/>
        <w:jc w:val="both"/>
        <w:rPr>
          <w:rFonts w:ascii="Verdana" w:eastAsia="Calibri" w:hAnsi="Verdana" w:cs="Arial"/>
          <w:lang w:val="es-ES"/>
        </w:rPr>
      </w:pPr>
      <w:r w:rsidRPr="00C45C5D">
        <w:rPr>
          <w:rFonts w:ascii="Verdana" w:eastAsia="Calibri" w:hAnsi="Verdana" w:cs="Arial"/>
          <w:lang w:val="es-ES"/>
        </w:rPr>
        <w:t>Lo anterior se sustenta en las siguientes consideraciones:</w:t>
      </w:r>
    </w:p>
    <w:p w14:paraId="39B1A4ED" w14:textId="77777777" w:rsidR="00475DAF" w:rsidRPr="00C45C5D" w:rsidRDefault="00475DAF" w:rsidP="00475DAF">
      <w:pPr>
        <w:spacing w:after="0" w:line="276" w:lineRule="auto"/>
        <w:jc w:val="both"/>
        <w:rPr>
          <w:rFonts w:ascii="Verdana" w:eastAsia="Calibri" w:hAnsi="Verdana" w:cs="Arial"/>
          <w:color w:val="000000" w:themeColor="text1"/>
        </w:rPr>
      </w:pPr>
    </w:p>
    <w:p w14:paraId="6F10F60E" w14:textId="77777777" w:rsidR="00475DAF" w:rsidRPr="00C45C5D" w:rsidRDefault="00475DAF" w:rsidP="00475DAF">
      <w:pPr>
        <w:spacing w:after="120" w:line="276" w:lineRule="auto"/>
        <w:jc w:val="both"/>
        <w:rPr>
          <w:rFonts w:ascii="Verdana" w:eastAsia="Times New Roman" w:hAnsi="Verdana" w:cs="Arial"/>
          <w:color w:val="000000"/>
          <w:lang w:eastAsia="es-CO"/>
        </w:rPr>
      </w:pPr>
      <w:r w:rsidRPr="00C45C5D">
        <w:rPr>
          <w:rFonts w:ascii="Verdana" w:eastAsia="Times New Roman" w:hAnsi="Verdana" w:cs="Arial"/>
          <w:color w:val="000000"/>
          <w:lang w:val="es-ES_tradnl" w:eastAsia="es-CO"/>
        </w:rPr>
        <w:lastRenderedPageBreak/>
        <w:t>i. La contratación Estatal constituye un instrumento a través del cual las Entidades Públicas realizan el aprovisionamiento de sus bienes, obras y servicios, con el propósito de satisfacer las necesidades e intereses colectivos</w:t>
      </w:r>
      <w:r w:rsidRPr="00C45C5D">
        <w:rPr>
          <w:vertAlign w:val="superscript"/>
          <w:lang w:eastAsia="es-CO"/>
        </w:rPr>
        <w:footnoteReference w:id="2"/>
      </w:r>
      <w:r w:rsidRPr="00C45C5D">
        <w:rPr>
          <w:rFonts w:ascii="Verdana" w:eastAsia="Times New Roman" w:hAnsi="Verdana" w:cs="Arial"/>
          <w:color w:val="000000"/>
          <w:lang w:val="es-ES_tradnl" w:eastAsia="es-CO"/>
        </w:rPr>
        <w:t xml:space="preserve">. Para este propósito se sirve de la colaboración de los particulares o de otras entidades que integran la administración pública. </w:t>
      </w:r>
      <w:r w:rsidRPr="00C45C5D">
        <w:rPr>
          <w:rFonts w:ascii="Verdana" w:eastAsia="Times New Roman" w:hAnsi="Verdana" w:cs="Arial"/>
          <w:color w:val="000000"/>
          <w:lang w:eastAsia="es-CO"/>
        </w:rPr>
        <w:t>Cuando se trata de contratos celebrados por dos Entidades Estatales, tales negocios jurídicos se han denominado como interadministrativos, en el entendido de que son celebrados entre Entidades Públicas. En efecto, la doctrina ha señalado que “se denominan contratos interadministrativos los contratos bilaterales celebrados entre dos entidades estatales”</w:t>
      </w:r>
      <w:r w:rsidRPr="00C45C5D">
        <w:rPr>
          <w:vertAlign w:val="superscript"/>
          <w:lang w:eastAsia="es-CO"/>
        </w:rPr>
        <w:footnoteReference w:id="3"/>
      </w:r>
      <w:r w:rsidRPr="00C45C5D">
        <w:rPr>
          <w:rFonts w:ascii="Verdana" w:eastAsia="Times New Roman" w:hAnsi="Verdana" w:cs="Arial"/>
          <w:color w:val="000000"/>
          <w:lang w:eastAsia="es-CO"/>
        </w:rPr>
        <w:t xml:space="preserve">. </w:t>
      </w:r>
    </w:p>
    <w:p w14:paraId="78BC6EBE" w14:textId="77777777" w:rsidR="00475DAF" w:rsidRPr="00B57A1B" w:rsidRDefault="00475DAF" w:rsidP="00475DAF">
      <w:pPr>
        <w:spacing w:after="120" w:line="276" w:lineRule="auto"/>
        <w:ind w:firstLine="707"/>
        <w:jc w:val="both"/>
        <w:rPr>
          <w:rFonts w:ascii="Verdana" w:eastAsiaTheme="minorEastAsia" w:hAnsi="Verdana" w:cs="Arial"/>
          <w:lang w:eastAsia="es-CO"/>
        </w:rPr>
      </w:pPr>
      <w:r w:rsidRPr="00B57A1B">
        <w:rPr>
          <w:rFonts w:ascii="Verdana" w:eastAsiaTheme="minorEastAsia" w:hAnsi="Verdana" w:cs="Arial"/>
          <w:lang w:eastAsia="es-CO"/>
        </w:rPr>
        <w:t>Si bien los contratos interadministrativos están previstos en la Ley 80 de 1993, en la Ley 1150 de 2007 y en el Decreto en el 1082 de 2015, no quiere decir que solo puedan celebrarse entre Entidades Estatales que apliquen el régimen de contratación allí previsto, pues bien puede una Entidad Estatal sometida a la Ley 80 de 1993 celebrar esta clase de negocios jurídicos con una Entidad Estatal de régimen especial y no por ello dejará de ser un contrato o convenio interadministrativo.</w:t>
      </w:r>
    </w:p>
    <w:p w14:paraId="6FF1725F" w14:textId="77777777" w:rsidR="00475DAF" w:rsidRPr="00B57A1B" w:rsidRDefault="00475DAF" w:rsidP="00475DAF">
      <w:pPr>
        <w:spacing w:after="120" w:line="276" w:lineRule="auto"/>
        <w:ind w:firstLine="707"/>
        <w:jc w:val="both"/>
        <w:rPr>
          <w:rFonts w:ascii="Verdana" w:eastAsiaTheme="minorEastAsia" w:hAnsi="Verdana" w:cs="Arial"/>
          <w:lang w:eastAsia="es-CO"/>
        </w:rPr>
      </w:pPr>
      <w:r w:rsidRPr="00B57A1B">
        <w:rPr>
          <w:rFonts w:ascii="Verdana" w:eastAsiaTheme="minorEastAsia" w:hAnsi="Verdana" w:cs="Arial"/>
          <w:lang w:eastAsia="es-CO"/>
        </w:rPr>
        <w:t>Un contrato interadministrativo no está determinado por la modalidad de selección utilizada para celebrarlo. La Ley 1150 de 2007 dispone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con pluralidad de oferentes</w:t>
      </w:r>
      <w:r w:rsidRPr="00B57A1B">
        <w:rPr>
          <w:rFonts w:ascii="Verdana" w:eastAsiaTheme="minorEastAsia" w:hAnsi="Verdana" w:cs="Arial"/>
          <w:vertAlign w:val="superscript"/>
          <w:lang w:eastAsia="es-CO"/>
        </w:rPr>
        <w:footnoteReference w:id="4"/>
      </w:r>
      <w:r w:rsidRPr="00B57A1B">
        <w:rPr>
          <w:rFonts w:ascii="Verdana" w:eastAsiaTheme="minorEastAsia" w:hAnsi="Verdana" w:cs="Arial"/>
          <w:lang w:eastAsia="es-CO"/>
        </w:rPr>
        <w:t>. Nótese que, en este caso, lo que cambia es la modalidad de selección y no la naturaleza de contrato</w:t>
      </w:r>
      <w:r w:rsidRPr="00B57A1B">
        <w:rPr>
          <w:rFonts w:ascii="Verdana" w:eastAsiaTheme="minorEastAsia" w:hAnsi="Verdana" w:cs="Arial"/>
          <w:spacing w:val="-18"/>
          <w:lang w:eastAsia="es-CO"/>
        </w:rPr>
        <w:t xml:space="preserve"> </w:t>
      </w:r>
      <w:r w:rsidRPr="00B57A1B">
        <w:rPr>
          <w:rFonts w:ascii="Verdana" w:eastAsiaTheme="minorEastAsia" w:hAnsi="Verdana" w:cs="Arial"/>
          <w:lang w:eastAsia="es-CO"/>
        </w:rPr>
        <w:t>interadministrativo.</w:t>
      </w:r>
    </w:p>
    <w:p w14:paraId="1CBD9063" w14:textId="77777777" w:rsidR="00475DAF" w:rsidRPr="00B57A1B" w:rsidRDefault="00475DAF" w:rsidP="00475DAF">
      <w:pPr>
        <w:spacing w:after="120" w:line="276" w:lineRule="auto"/>
        <w:ind w:firstLine="709"/>
        <w:jc w:val="both"/>
        <w:rPr>
          <w:rFonts w:ascii="Verdana" w:eastAsiaTheme="minorEastAsia" w:hAnsi="Verdana" w:cs="Arial"/>
          <w:lang w:eastAsia="es-CO"/>
        </w:rPr>
      </w:pPr>
      <w:r w:rsidRPr="00B57A1B">
        <w:rPr>
          <w:rFonts w:ascii="Verdana" w:eastAsiaTheme="minorEastAsia" w:hAnsi="Verdana" w:cs="Arial"/>
          <w:lang w:eastAsia="es-CO"/>
        </w:rPr>
        <w:t xml:space="preserve">La Corte Constitucional, en Sentencia C-671 de 2015, expresó que “Lo que hace interadministrativo a un contrato o convenio no es el procedimiento de selección aplicable, sino la calidad de los sujetos contratantes, esto es que las </w:t>
      </w:r>
      <w:r w:rsidRPr="00B57A1B">
        <w:rPr>
          <w:rFonts w:ascii="Verdana" w:eastAsiaTheme="minorEastAsia" w:hAnsi="Verdana" w:cs="Arial"/>
          <w:lang w:eastAsia="es-CO"/>
        </w:rPr>
        <w:lastRenderedPageBreak/>
        <w:t>dos partes de la relación jurídica contractual formen parte de la administración pública”</w:t>
      </w:r>
      <w:r w:rsidRPr="00B57A1B">
        <w:rPr>
          <w:rFonts w:ascii="Verdana" w:eastAsiaTheme="minorEastAsia" w:hAnsi="Verdana" w:cs="Arial"/>
          <w:vertAlign w:val="superscript"/>
          <w:lang w:eastAsia="es-CO"/>
        </w:rPr>
        <w:footnoteReference w:id="5"/>
      </w:r>
      <w:r w:rsidRPr="00B57A1B">
        <w:rPr>
          <w:rFonts w:ascii="Verdana" w:eastAsiaTheme="minorEastAsia" w:hAnsi="Verdana" w:cs="Arial"/>
          <w:lang w:eastAsia="es-CO"/>
        </w:rPr>
        <w:t xml:space="preserve">. Así las cosas, esta clase de acuerdos de voluntades se definen por un criterio orgánico, por lo que uno de sus elementos esenciales es que en los extremos de la relación jurídico negocial concurran personas de derecho público. </w:t>
      </w:r>
    </w:p>
    <w:p w14:paraId="2F58F2C5" w14:textId="77777777" w:rsidR="00475DAF" w:rsidRPr="00B57A1B" w:rsidRDefault="00475DAF" w:rsidP="00475DAF">
      <w:pPr>
        <w:spacing w:after="0" w:line="276" w:lineRule="auto"/>
        <w:ind w:firstLine="709"/>
        <w:jc w:val="both"/>
        <w:rPr>
          <w:rFonts w:ascii="Verdana" w:eastAsiaTheme="minorEastAsia" w:hAnsi="Verdana" w:cs="Arial"/>
          <w:lang w:eastAsia="es-CO"/>
        </w:rPr>
      </w:pPr>
      <w:r w:rsidRPr="00B57A1B">
        <w:rPr>
          <w:rFonts w:ascii="Verdana" w:eastAsiaTheme="minorEastAsia" w:hAnsi="Verdana" w:cs="Arial"/>
          <w:lang w:eastAsia="es-CO"/>
        </w:rPr>
        <w:t xml:space="preserve">Es decir, lo que hace que un contrato o convenio sea interadministrativo es la naturaleza de las partes, independiente del régimen jurídico aplicable. Sin embargo, en los últimos se está diferenciando los conceptos “contrato interadministrativo” y “convenio interadministrativo” como dos instituciones jurídicas independientes con producción de efectos jurídicos distintos. Al respecto, el Consejo de Estado distingue las dos instituciones, de la siguiente forma: </w:t>
      </w:r>
    </w:p>
    <w:p w14:paraId="02662A04" w14:textId="77777777" w:rsidR="00475DAF" w:rsidRPr="00B57A1B" w:rsidRDefault="00475DAF" w:rsidP="00475DAF">
      <w:pPr>
        <w:spacing w:after="0" w:line="276" w:lineRule="auto"/>
        <w:ind w:firstLine="709"/>
        <w:jc w:val="both"/>
        <w:rPr>
          <w:rFonts w:ascii="Verdana" w:eastAsiaTheme="minorEastAsia" w:hAnsi="Verdana" w:cs="Arial"/>
          <w:lang w:eastAsia="es-CO"/>
        </w:rPr>
      </w:pPr>
    </w:p>
    <w:p w14:paraId="246682A5" w14:textId="77777777" w:rsidR="00475DAF" w:rsidRPr="00B06E13" w:rsidRDefault="00475DAF" w:rsidP="00475DAF">
      <w:pPr>
        <w:spacing w:after="0" w:line="240" w:lineRule="auto"/>
        <w:ind w:left="709" w:right="709"/>
        <w:jc w:val="both"/>
        <w:rPr>
          <w:rFonts w:ascii="Verdana" w:eastAsiaTheme="minorEastAsia" w:hAnsi="Verdana" w:cs="Arial"/>
          <w:sz w:val="20"/>
          <w:szCs w:val="20"/>
          <w:lang w:eastAsia="es-CO"/>
        </w:rPr>
      </w:pPr>
      <w:r w:rsidRPr="00B06E13">
        <w:rPr>
          <w:rFonts w:ascii="Verdana" w:eastAsiaTheme="minorEastAsia" w:hAnsi="Verdana" w:cs="Arial"/>
          <w:sz w:val="20"/>
          <w:szCs w:val="20"/>
          <w:lang w:eastAsia="es-CO"/>
        </w:rPr>
        <w:t>"Si bien las nociones 'contrato' y 'convenio' interadministrativo tienen notas comunes como la de ser acuerdos de voluntades generadores de obligaciones entre entidades estatales, también resulta incontrovertible que tienen naturaleza, finalidad y características disímiles como son:</w:t>
      </w:r>
    </w:p>
    <w:p w14:paraId="0BAEA759" w14:textId="77777777" w:rsidR="00475DAF" w:rsidRPr="00B06E13" w:rsidRDefault="00475DAF" w:rsidP="00475DAF">
      <w:pPr>
        <w:numPr>
          <w:ilvl w:val="0"/>
          <w:numId w:val="27"/>
        </w:numPr>
        <w:spacing w:after="0" w:line="240" w:lineRule="auto"/>
        <w:ind w:left="709" w:right="709"/>
        <w:contextualSpacing/>
        <w:jc w:val="both"/>
        <w:rPr>
          <w:rFonts w:ascii="Verdana" w:eastAsiaTheme="minorEastAsia" w:hAnsi="Verdana" w:cs="Arial"/>
          <w:sz w:val="20"/>
          <w:szCs w:val="20"/>
          <w:lang w:val="es-ES" w:eastAsia="es-CO"/>
        </w:rPr>
      </w:pPr>
      <w:r w:rsidRPr="00B06E13">
        <w:rPr>
          <w:rFonts w:ascii="Verdana" w:eastAsiaTheme="minorEastAsia" w:hAnsi="Verdana" w:cs="Arial"/>
          <w:sz w:val="20"/>
          <w:szCs w:val="20"/>
          <w:lang w:val="es-ES" w:eastAsia="es-CO"/>
        </w:rPr>
        <w:t xml:space="preserve">El objeto de los contratos lo constituyen obligaciones de contenido patrimonial y, por </w:t>
      </w:r>
      <w:r w:rsidRPr="00B06E13">
        <w:rPr>
          <w:rFonts w:ascii="Verdana" w:eastAsiaTheme="minorEastAsia" w:hAnsi="Verdana" w:cs="Arial"/>
          <w:sz w:val="20"/>
          <w:szCs w:val="20"/>
          <w:lang w:eastAsia="es-CO"/>
        </w:rPr>
        <w:t>lo mismo, son onerosos, lo que implica el gravamen de cada parte en beneficio de la otra. En el contrato, como verdadero acuerdo de voluntades productor de efectos jurídicos, las partes actúan con intereses disímiles y contrapuestos; la entidad estatal contratante en un interés público, la entidad estatal contratista en su propio interés específico económico o de índole privado (es claro que una entidad estatal, puede y debe obtener ganancias, o generar valor respecto de su patrimonio, productos o actividad, si así lo autoriza su objeto social, o las funciones que le haya otorgado la ley);</w:t>
      </w:r>
    </w:p>
    <w:p w14:paraId="4656BCAD" w14:textId="77777777" w:rsidR="00475DAF" w:rsidRPr="00B06E13" w:rsidRDefault="00475DAF" w:rsidP="00475DAF">
      <w:pPr>
        <w:numPr>
          <w:ilvl w:val="0"/>
          <w:numId w:val="27"/>
        </w:numPr>
        <w:spacing w:after="0" w:line="240" w:lineRule="auto"/>
        <w:ind w:left="709" w:right="709"/>
        <w:contextualSpacing/>
        <w:jc w:val="both"/>
        <w:rPr>
          <w:rFonts w:ascii="Verdana" w:eastAsiaTheme="minorEastAsia" w:hAnsi="Verdana" w:cs="Arial"/>
          <w:sz w:val="20"/>
          <w:szCs w:val="20"/>
          <w:lang w:val="es-ES" w:eastAsia="es-CO"/>
        </w:rPr>
      </w:pPr>
      <w:r w:rsidRPr="00B06E13">
        <w:rPr>
          <w:rFonts w:ascii="Verdana" w:eastAsiaTheme="minorEastAsia" w:hAnsi="Verdana" w:cs="Arial"/>
          <w:sz w:val="20"/>
          <w:szCs w:val="20"/>
          <w:lang w:eastAsia="es-CO"/>
        </w:rPr>
        <w:t>Los convenios no tienen un interés puramente económico (es decir, destinados a obtener una ganancia) y su objeto es ejecutar actividades que contribuyen directamente al fin común de los sujetos vinculados al convenio; es decir, las partes tienen intereses convergentes, coincidentes o comunes (cumplimiento de funciones administrativas o prestación de servicios a su cargo que coinciden con el interés general) y cooperan para alcanzar en forma eficaz la finalidad estatal prevista en la Constitución o la ley sin que por esto se reciba por ninguna de ellas el pago de un precio o contraprestación;</w:t>
      </w:r>
    </w:p>
    <w:p w14:paraId="08910D4C" w14:textId="77777777" w:rsidR="00475DAF" w:rsidRPr="00B06E13" w:rsidRDefault="00475DAF" w:rsidP="00475DAF">
      <w:pPr>
        <w:numPr>
          <w:ilvl w:val="0"/>
          <w:numId w:val="27"/>
        </w:numPr>
        <w:spacing w:after="0" w:line="240" w:lineRule="auto"/>
        <w:ind w:left="709" w:right="709"/>
        <w:contextualSpacing/>
        <w:jc w:val="both"/>
        <w:rPr>
          <w:rFonts w:ascii="Verdana" w:eastAsiaTheme="minorEastAsia" w:hAnsi="Verdana" w:cs="Arial"/>
          <w:sz w:val="20"/>
          <w:szCs w:val="20"/>
          <w:lang w:val="es-ES" w:eastAsia="es-CO"/>
        </w:rPr>
      </w:pPr>
      <w:r w:rsidRPr="00B06E13">
        <w:rPr>
          <w:rFonts w:ascii="Verdana" w:eastAsiaTheme="minorEastAsia" w:hAnsi="Verdana" w:cs="Arial"/>
          <w:sz w:val="20"/>
          <w:szCs w:val="20"/>
          <w:lang w:eastAsia="es-CO"/>
        </w:rPr>
        <w:t xml:space="preserve">Los intereses de los que son titulares las partes (entidades públicas contrayentes) y las finalidades que persiguen alcanzar, en virtud del ánimo de cooperación, indican que en los convenios las partes se relacionan en un paralelismo de intereses bajo un ámbito o posición de igualdad o equivalencia, en tanto que los contratos, dados los intereses y finalidades analizadas, se desarrollan en un ámbito de preeminencia o  superioridad jurídica de la entidad estatal contratante respecto de la entidad contratista y, por lo mismo, podrá haber prerrogativas a favor de una de las partes. </w:t>
      </w:r>
      <w:r w:rsidRPr="00B06E13">
        <w:rPr>
          <w:rFonts w:ascii="Verdana" w:eastAsiaTheme="minorEastAsia" w:hAnsi="Verdana" w:cs="Arial"/>
          <w:sz w:val="20"/>
          <w:szCs w:val="20"/>
          <w:lang w:eastAsia="es-CO"/>
        </w:rPr>
        <w:lastRenderedPageBreak/>
        <w:t>De esta manera, en el contrato 'se puede identificar contratante y contratista, y el segundo, aunque persona pública, tiene intereses y está en un mercado de forma similar a como lo hace un particular”</w:t>
      </w:r>
      <w:r w:rsidRPr="00B06E13">
        <w:rPr>
          <w:rFonts w:ascii="Verdana" w:eastAsiaTheme="minorEastAsia" w:hAnsi="Verdana" w:cs="Arial"/>
          <w:sz w:val="20"/>
          <w:szCs w:val="20"/>
          <w:vertAlign w:val="superscript"/>
          <w:lang w:eastAsia="es-CO"/>
        </w:rPr>
        <w:footnoteReference w:id="6"/>
      </w:r>
      <w:r w:rsidRPr="00B06E13">
        <w:rPr>
          <w:rFonts w:ascii="Verdana" w:eastAsiaTheme="minorEastAsia" w:hAnsi="Verdana" w:cs="Arial"/>
          <w:sz w:val="20"/>
          <w:szCs w:val="20"/>
          <w:lang w:eastAsia="es-CO"/>
        </w:rPr>
        <w:t>.</w:t>
      </w:r>
    </w:p>
    <w:p w14:paraId="3FB7C4EC" w14:textId="77777777" w:rsidR="00475DAF" w:rsidRPr="00B57A1B" w:rsidRDefault="00475DAF" w:rsidP="00475DAF">
      <w:pPr>
        <w:spacing w:after="0" w:line="276" w:lineRule="auto"/>
        <w:ind w:right="709"/>
        <w:jc w:val="both"/>
        <w:rPr>
          <w:rFonts w:ascii="Verdana" w:eastAsia="Times New Roman" w:hAnsi="Verdana" w:cs="Arial"/>
          <w:lang w:eastAsia="es-ES_tradnl"/>
        </w:rPr>
      </w:pPr>
    </w:p>
    <w:p w14:paraId="080A60F0" w14:textId="77777777" w:rsidR="00475DAF" w:rsidRPr="00B57A1B" w:rsidRDefault="00475DAF" w:rsidP="00475DAF">
      <w:pPr>
        <w:spacing w:after="0" w:line="276" w:lineRule="auto"/>
        <w:ind w:firstLine="709"/>
        <w:jc w:val="both"/>
        <w:rPr>
          <w:rFonts w:ascii="Verdana" w:eastAsiaTheme="minorEastAsia" w:hAnsi="Verdana" w:cs="Arial"/>
          <w:lang w:eastAsia="es-CO"/>
        </w:rPr>
      </w:pPr>
      <w:r w:rsidRPr="00B57A1B">
        <w:rPr>
          <w:rFonts w:ascii="Verdana" w:eastAsiaTheme="minorEastAsia" w:hAnsi="Verdana" w:cs="Arial"/>
          <w:lang w:eastAsia="es-CO"/>
        </w:rPr>
        <w:t xml:space="preserve">Bajo esta postura del Consejo de Estado, se determina que el convenio interadministrativo es el negocio jurídico en el cual convergen dos entidades públicas, cuyo objeto se relaciona con la coordinación o cooperación para el cumplimiento de los fines comunes de las partes. Por otro lado, el contrato interadministrativo es un negocio jurídico, cuyo objeto está relacionado con la prestación de bienes y servicios, en el que una de las partes actúa como contratante y otra como contratista. Al respecto, la doctrina expresa: </w:t>
      </w:r>
    </w:p>
    <w:p w14:paraId="11358A71" w14:textId="77777777" w:rsidR="00475DAF" w:rsidRPr="00B57A1B" w:rsidRDefault="00475DAF" w:rsidP="00475DAF">
      <w:pPr>
        <w:spacing w:after="0" w:line="276" w:lineRule="auto"/>
        <w:ind w:firstLine="709"/>
        <w:jc w:val="both"/>
        <w:rPr>
          <w:rFonts w:ascii="Verdana" w:eastAsiaTheme="minorEastAsia" w:hAnsi="Verdana" w:cs="Arial"/>
          <w:lang w:eastAsia="es-CO"/>
        </w:rPr>
      </w:pPr>
    </w:p>
    <w:p w14:paraId="4E0CCDD1" w14:textId="77777777" w:rsidR="00475DAF" w:rsidRPr="00B06E13" w:rsidRDefault="00475DAF" w:rsidP="00475DAF">
      <w:pPr>
        <w:spacing w:after="0" w:line="240" w:lineRule="auto"/>
        <w:ind w:left="709" w:right="709"/>
        <w:jc w:val="both"/>
        <w:rPr>
          <w:rFonts w:ascii="Verdana" w:eastAsiaTheme="minorEastAsia" w:hAnsi="Verdana" w:cs="Arial"/>
          <w:sz w:val="20"/>
          <w:szCs w:val="20"/>
          <w:lang w:eastAsia="es-CO"/>
        </w:rPr>
      </w:pPr>
      <w:r w:rsidRPr="00B06E13">
        <w:rPr>
          <w:rFonts w:ascii="Verdana" w:eastAsiaTheme="minorEastAsia" w:hAnsi="Verdana" w:cs="Arial"/>
          <w:sz w:val="20"/>
          <w:szCs w:val="20"/>
          <w:lang w:eastAsia="es-CO"/>
        </w:rPr>
        <w:t>“De acuerdo con todo lo anteriormente expuesto, podemos manifestar que el convenio interadministrativo es el negocio jurídico en el cual están presentes dos entidades públicas en desarrollo de relaciones interadministrativas cuyo objeto es coordinar, cooperar, colaborar o distribuir competencias en la realización de funciones administrativas de interés común a los sujetos negociales.</w:t>
      </w:r>
    </w:p>
    <w:p w14:paraId="5C40B0AD" w14:textId="77777777" w:rsidR="00475DAF" w:rsidRPr="00B06E13" w:rsidRDefault="00475DAF" w:rsidP="00475DAF">
      <w:pPr>
        <w:spacing w:after="0" w:line="240" w:lineRule="auto"/>
        <w:ind w:left="709" w:right="709"/>
        <w:jc w:val="both"/>
        <w:rPr>
          <w:rFonts w:ascii="Verdana" w:eastAsiaTheme="minorEastAsia" w:hAnsi="Verdana" w:cs="Arial"/>
          <w:sz w:val="20"/>
          <w:szCs w:val="20"/>
          <w:lang w:eastAsia="es-CO"/>
        </w:rPr>
      </w:pPr>
      <w:r w:rsidRPr="00B06E13">
        <w:rPr>
          <w:rFonts w:ascii="Verdana" w:eastAsiaTheme="minorEastAsia" w:hAnsi="Verdana" w:cs="Arial"/>
          <w:sz w:val="20"/>
          <w:szCs w:val="20"/>
          <w:lang w:eastAsia="es-CO"/>
        </w:rPr>
        <w:t>[…]</w:t>
      </w:r>
    </w:p>
    <w:p w14:paraId="38C6D050" w14:textId="77777777" w:rsidR="00475DAF" w:rsidRPr="00B06E13" w:rsidRDefault="00475DAF" w:rsidP="00475DAF">
      <w:pPr>
        <w:autoSpaceDE w:val="0"/>
        <w:autoSpaceDN w:val="0"/>
        <w:adjustRightInd w:val="0"/>
        <w:spacing w:after="0" w:line="240" w:lineRule="auto"/>
        <w:ind w:left="709" w:right="709"/>
        <w:jc w:val="both"/>
        <w:rPr>
          <w:rFonts w:ascii="Verdana" w:hAnsi="Verdana" w:cs="Weiss"/>
          <w:sz w:val="20"/>
          <w:szCs w:val="20"/>
        </w:rPr>
      </w:pPr>
      <w:r w:rsidRPr="00B06E13">
        <w:rPr>
          <w:rFonts w:ascii="Verdana" w:hAnsi="Verdana" w:cs="Weiss"/>
          <w:sz w:val="20"/>
          <w:szCs w:val="20"/>
        </w:rPr>
        <w:t>El contrato interadministrativo, por su parte, es también celebrado entre dos entidades públicas con capacidad de tener relaciones interadministrativas, con la particularidad de que el contrato es negocio jurídico generador de obligaciones al cual acuden las partes con diversidad de intereses. En el contrato se pueden identificar contratante y contratista, y el segundo, aunque persona pública, tiene intereses y está en un mercado de forma similar a como lo hace el particular”</w:t>
      </w:r>
      <w:r w:rsidRPr="00B06E13">
        <w:rPr>
          <w:rFonts w:ascii="Verdana" w:hAnsi="Verdana" w:cs="Weiss"/>
          <w:sz w:val="20"/>
          <w:szCs w:val="20"/>
          <w:vertAlign w:val="superscript"/>
        </w:rPr>
        <w:footnoteReference w:id="7"/>
      </w:r>
      <w:r w:rsidRPr="00B06E13">
        <w:rPr>
          <w:rFonts w:ascii="Verdana" w:hAnsi="Verdana" w:cs="Weiss"/>
          <w:sz w:val="20"/>
          <w:szCs w:val="20"/>
        </w:rPr>
        <w:t>.</w:t>
      </w:r>
    </w:p>
    <w:p w14:paraId="3E326361" w14:textId="77777777" w:rsidR="00475DAF" w:rsidRPr="00B06E13" w:rsidRDefault="00475DAF" w:rsidP="00475DAF">
      <w:pPr>
        <w:spacing w:after="120" w:line="276" w:lineRule="auto"/>
        <w:jc w:val="both"/>
        <w:rPr>
          <w:rFonts w:ascii="Verdana" w:eastAsiaTheme="minorEastAsia" w:hAnsi="Verdana" w:cs="Arial"/>
          <w:sz w:val="20"/>
          <w:szCs w:val="20"/>
          <w:lang w:eastAsia="es-CO"/>
        </w:rPr>
      </w:pPr>
    </w:p>
    <w:p w14:paraId="2E1B63AB" w14:textId="77777777" w:rsidR="00475DAF" w:rsidRPr="00B57A1B" w:rsidRDefault="00475DAF" w:rsidP="00475DAF">
      <w:pPr>
        <w:spacing w:after="0" w:line="276" w:lineRule="auto"/>
        <w:ind w:firstLine="709"/>
        <w:jc w:val="both"/>
        <w:rPr>
          <w:rFonts w:ascii="Verdana" w:eastAsiaTheme="minorEastAsia" w:hAnsi="Verdana" w:cs="Arial"/>
          <w:lang w:eastAsia="es-CO"/>
        </w:rPr>
      </w:pPr>
      <w:r w:rsidRPr="00B57A1B">
        <w:rPr>
          <w:rFonts w:ascii="Verdana" w:eastAsiaTheme="minorEastAsia" w:hAnsi="Verdana" w:cs="Arial"/>
          <w:lang w:eastAsia="es-CO"/>
        </w:rPr>
        <w:t xml:space="preserve">Ahora bien, esta distinción conceptual entre contratos y convenios interadministrativos resulta relevante para precisar ámbito de aplicación de las instituciones del EGCAP. Al respecto, el Consejo ha destacado la finalidad asociativa de los convenios interadministrativos, los cuales se caracterizan por la autorregulación de sus propias estipulaciones, que son el resultado de la </w:t>
      </w:r>
      <w:r w:rsidRPr="00B57A1B">
        <w:rPr>
          <w:rFonts w:ascii="Verdana" w:eastAsiaTheme="minorEastAsia" w:hAnsi="Verdana" w:cs="Arial"/>
          <w:lang w:eastAsia="es-CO"/>
        </w:rPr>
        <w:lastRenderedPageBreak/>
        <w:t>autonomía de la voluntad de las entidades que actúan como colaboradoras o cooperantes, sin que pueda aludirse a la preponderancia de ciertos regímenes, por lo que no es procedente la aplicación automática del régimen contractual de los contratos estatales</w:t>
      </w:r>
      <w:r w:rsidRPr="00B57A1B">
        <w:rPr>
          <w:rFonts w:ascii="Verdana" w:eastAsiaTheme="minorEastAsia" w:hAnsi="Verdana" w:cs="Arial"/>
          <w:vertAlign w:val="superscript"/>
          <w:lang w:eastAsia="es-CO"/>
        </w:rPr>
        <w:footnoteReference w:id="8"/>
      </w:r>
      <w:r w:rsidRPr="00B57A1B">
        <w:rPr>
          <w:rFonts w:ascii="Verdana" w:eastAsiaTheme="minorEastAsia" w:hAnsi="Verdana" w:cs="Arial"/>
          <w:lang w:eastAsia="es-CO"/>
        </w:rPr>
        <w:t xml:space="preserve">. De esta manera, el Consejo de Estado expresa:  </w:t>
      </w:r>
    </w:p>
    <w:p w14:paraId="6BCB7262" w14:textId="77777777" w:rsidR="00475DAF" w:rsidRPr="00B57A1B" w:rsidRDefault="00475DAF" w:rsidP="00475DAF">
      <w:pPr>
        <w:widowControl w:val="0"/>
        <w:autoSpaceDE w:val="0"/>
        <w:autoSpaceDN w:val="0"/>
        <w:spacing w:after="120" w:line="276" w:lineRule="auto"/>
        <w:jc w:val="both"/>
        <w:rPr>
          <w:rFonts w:ascii="Verdana" w:eastAsia="Arial MT" w:hAnsi="Verdana" w:cs="Arial MT"/>
        </w:rPr>
      </w:pPr>
    </w:p>
    <w:p w14:paraId="76EFFC94" w14:textId="77777777" w:rsidR="00475DAF" w:rsidRPr="00B06E13" w:rsidRDefault="00475DAF" w:rsidP="00475DAF">
      <w:pPr>
        <w:widowControl w:val="0"/>
        <w:autoSpaceDE w:val="0"/>
        <w:autoSpaceDN w:val="0"/>
        <w:spacing w:after="0" w:line="240" w:lineRule="auto"/>
        <w:ind w:left="709" w:right="709"/>
        <w:jc w:val="both"/>
        <w:rPr>
          <w:rFonts w:ascii="Verdana" w:eastAsia="Arial MT" w:hAnsi="Verdana" w:cs="Arial MT"/>
          <w:i/>
          <w:iCs/>
          <w:sz w:val="20"/>
          <w:szCs w:val="20"/>
        </w:rPr>
      </w:pPr>
      <w:r w:rsidRPr="00B06E13">
        <w:rPr>
          <w:rFonts w:ascii="Verdana" w:eastAsia="Arial MT" w:hAnsi="Verdana" w:cs="Arial MT"/>
          <w:i/>
          <w:iCs/>
          <w:sz w:val="20"/>
          <w:szCs w:val="20"/>
        </w:rPr>
        <w:t xml:space="preserve">“La finalidad asociativa de los “convenios interadministrativos” previstos en el artículo 95 de la Ley 489 de 1998, en el plano de derecho público en el que se enmarcan, impide una aplicación automática del régimen contractual de los contratos estatales, imbuido por lo demás por las disposiciones civiles y comerciales, salvo las materias especialmente reguladas en el EGCAP. </w:t>
      </w:r>
    </w:p>
    <w:p w14:paraId="6FB9B804" w14:textId="77777777" w:rsidR="00475DAF" w:rsidRPr="00B06E13" w:rsidRDefault="00475DAF" w:rsidP="00475DAF">
      <w:pPr>
        <w:widowControl w:val="0"/>
        <w:autoSpaceDE w:val="0"/>
        <w:autoSpaceDN w:val="0"/>
        <w:spacing w:after="0" w:line="240" w:lineRule="auto"/>
        <w:ind w:left="709" w:right="709"/>
        <w:jc w:val="both"/>
        <w:rPr>
          <w:rFonts w:ascii="Verdana" w:eastAsia="Arial MT" w:hAnsi="Verdana" w:cs="Arial MT"/>
          <w:sz w:val="20"/>
          <w:szCs w:val="20"/>
        </w:rPr>
      </w:pPr>
    </w:p>
    <w:p w14:paraId="42D57434" w14:textId="77777777" w:rsidR="00475DAF" w:rsidRPr="00B06E13" w:rsidRDefault="00475DAF" w:rsidP="00475DAF">
      <w:pPr>
        <w:widowControl w:val="0"/>
        <w:autoSpaceDE w:val="0"/>
        <w:autoSpaceDN w:val="0"/>
        <w:spacing w:after="0" w:line="240" w:lineRule="auto"/>
        <w:ind w:left="709" w:right="709"/>
        <w:jc w:val="both"/>
        <w:rPr>
          <w:rFonts w:ascii="Verdana" w:eastAsia="Arial MT" w:hAnsi="Verdana" w:cs="Arial MT"/>
          <w:i/>
          <w:iCs/>
          <w:sz w:val="20"/>
          <w:szCs w:val="20"/>
        </w:rPr>
      </w:pPr>
      <w:r w:rsidRPr="00B06E13">
        <w:rPr>
          <w:rFonts w:ascii="Verdana" w:eastAsia="Arial MT" w:hAnsi="Verdana" w:cs="Arial MT"/>
          <w:i/>
          <w:iCs/>
          <w:sz w:val="20"/>
          <w:szCs w:val="20"/>
        </w:rPr>
        <w:t xml:space="preserve">En ese sentido, más allá de la concurrencia de voluntades, se trata de la asunción de objetivos comunes orientados predominantemente por una finalidad de derecho público que, además de que justifica la existencia de dichos convenios, rebasa o excede el sentido tradicional del concepto de “contrato”, por lo que, en cuanto a la normativa aplicable se refiere y en el estado actual de las cosas, aquellos deben interpretarse de forma tal que la regulación del EGCAP y del derecho privado sea de aplicación supletoria, esto es, solo en la medida en que exista una verdadera laguna o falta de regulación normativa y/o convencional. </w:t>
      </w:r>
    </w:p>
    <w:p w14:paraId="11D7C762" w14:textId="77777777" w:rsidR="00475DAF" w:rsidRPr="00B06E13" w:rsidRDefault="00475DAF" w:rsidP="00475DAF">
      <w:pPr>
        <w:widowControl w:val="0"/>
        <w:autoSpaceDE w:val="0"/>
        <w:autoSpaceDN w:val="0"/>
        <w:spacing w:after="0" w:line="240" w:lineRule="auto"/>
        <w:ind w:left="709" w:right="709"/>
        <w:jc w:val="both"/>
        <w:rPr>
          <w:rFonts w:ascii="Verdana" w:eastAsia="Arial MT" w:hAnsi="Verdana" w:cs="Arial MT"/>
          <w:sz w:val="20"/>
          <w:szCs w:val="20"/>
        </w:rPr>
      </w:pPr>
    </w:p>
    <w:p w14:paraId="1E08C1F0" w14:textId="77777777" w:rsidR="00475DAF" w:rsidRPr="00B06E13" w:rsidRDefault="00475DAF" w:rsidP="00475DAF">
      <w:pPr>
        <w:widowControl w:val="0"/>
        <w:autoSpaceDE w:val="0"/>
        <w:autoSpaceDN w:val="0"/>
        <w:spacing w:after="0" w:line="240" w:lineRule="auto"/>
        <w:ind w:left="709" w:right="709"/>
        <w:jc w:val="both"/>
        <w:rPr>
          <w:rFonts w:ascii="Verdana" w:eastAsia="Arial MT" w:hAnsi="Verdana" w:cs="Arial MT"/>
          <w:sz w:val="20"/>
          <w:szCs w:val="20"/>
          <w:lang w:val="es-ES"/>
        </w:rPr>
      </w:pPr>
      <w:r w:rsidRPr="00B06E13">
        <w:rPr>
          <w:rFonts w:ascii="Verdana" w:eastAsia="Arial MT" w:hAnsi="Verdana" w:cs="Arial MT"/>
          <w:i/>
          <w:iCs/>
          <w:sz w:val="20"/>
          <w:szCs w:val="20"/>
        </w:rPr>
        <w:t>Además, de acuerdo con la Corte Constitucional, el diseño de las normas contenidas en el EGCAP primordialmente ha estado orientado por un criterio del “contrato estatal” como instrumento de aprovisionamiento de bienes y servicios por parte de los órganos públicos para la consecución de los fines del Estado, razón por la cual una aplicación irrestricta de las normas de dicho estatuto, así concebidas, frente a convenios que, según la Corte Constitucional, están ideados esencialmente para concretar la coordinación de las actuaciones entre las autoridades administrativas, conduciría a resultados que malogren y/o desincentiven la cooperación entre ellas, producto de las incompatibilidades que puedan presentarse”</w:t>
      </w:r>
      <w:r w:rsidRPr="00B06E13">
        <w:rPr>
          <w:rFonts w:ascii="Verdana" w:eastAsia="Arial MT" w:hAnsi="Verdana" w:cs="Arial MT"/>
          <w:i/>
          <w:iCs/>
          <w:sz w:val="20"/>
          <w:szCs w:val="20"/>
          <w:vertAlign w:val="superscript"/>
        </w:rPr>
        <w:footnoteReference w:id="9"/>
      </w:r>
      <w:r w:rsidRPr="00B06E13">
        <w:rPr>
          <w:rFonts w:ascii="Verdana" w:eastAsia="Arial MT" w:hAnsi="Verdana" w:cs="Arial MT"/>
          <w:i/>
          <w:iCs/>
          <w:sz w:val="20"/>
          <w:szCs w:val="20"/>
        </w:rPr>
        <w:t>.</w:t>
      </w:r>
    </w:p>
    <w:p w14:paraId="5104C4AA" w14:textId="77777777" w:rsidR="00475DAF" w:rsidRPr="00B06E13" w:rsidRDefault="00475DAF" w:rsidP="00475DAF">
      <w:pPr>
        <w:spacing w:after="0" w:line="276" w:lineRule="auto"/>
        <w:ind w:firstLine="708"/>
        <w:jc w:val="both"/>
        <w:rPr>
          <w:rFonts w:ascii="Verdana" w:eastAsiaTheme="minorEastAsia" w:hAnsi="Verdana" w:cs="Arial"/>
          <w:sz w:val="20"/>
          <w:szCs w:val="20"/>
          <w:lang w:val="es-ES" w:eastAsia="es-CO"/>
        </w:rPr>
      </w:pPr>
    </w:p>
    <w:p w14:paraId="3EF99B9A" w14:textId="77777777" w:rsidR="00475DAF" w:rsidRDefault="00475DAF" w:rsidP="00475DAF">
      <w:pPr>
        <w:spacing w:after="0" w:line="276" w:lineRule="auto"/>
        <w:ind w:firstLine="708"/>
        <w:jc w:val="both"/>
        <w:rPr>
          <w:rFonts w:ascii="Verdana" w:eastAsia="Calibri" w:hAnsi="Verdana" w:cs="Arial"/>
          <w:lang w:val="es-ES_tradnl"/>
        </w:rPr>
      </w:pPr>
      <w:r w:rsidRPr="00B57A1B">
        <w:rPr>
          <w:rFonts w:ascii="Verdana" w:eastAsiaTheme="minorEastAsia" w:hAnsi="Verdana" w:cs="Arial"/>
          <w:lang w:eastAsia="es-CO"/>
        </w:rPr>
        <w:t xml:space="preserve">Teniendo en cuenta, </w:t>
      </w:r>
      <w:r>
        <w:rPr>
          <w:rFonts w:ascii="Verdana" w:eastAsiaTheme="minorEastAsia" w:hAnsi="Verdana" w:cs="Arial"/>
          <w:lang w:eastAsia="es-CO"/>
        </w:rPr>
        <w:t xml:space="preserve">será menester analizar la procedencia de suscribir contratos interadministrativos, así como convenios interadministrativos entre las asociaciones de municipios con los municipios, para la ejecución contratos, en especial los de obra o infraestructura, precisando que la jurisprudencia del Consejo de Estado los ha diferenciado. </w:t>
      </w:r>
    </w:p>
    <w:p w14:paraId="08D347BA" w14:textId="77777777" w:rsidR="00475DAF" w:rsidRPr="00C45C5D" w:rsidRDefault="00475DAF" w:rsidP="00475DAF">
      <w:pPr>
        <w:spacing w:before="120" w:after="0" w:line="276" w:lineRule="auto"/>
        <w:ind w:firstLine="708"/>
        <w:jc w:val="both"/>
        <w:rPr>
          <w:rFonts w:ascii="Verdana" w:eastAsia="Calibri" w:hAnsi="Verdana" w:cs="Arial"/>
          <w:lang w:val="es-ES_tradnl"/>
        </w:rPr>
      </w:pPr>
    </w:p>
    <w:p w14:paraId="2C7369D0" w14:textId="77777777" w:rsidR="00475DAF" w:rsidRPr="00C45C5D" w:rsidRDefault="00475DAF" w:rsidP="00475DAF">
      <w:pPr>
        <w:spacing w:after="0" w:line="276" w:lineRule="auto"/>
        <w:jc w:val="both"/>
        <w:rPr>
          <w:rFonts w:ascii="Verdana" w:eastAsia="Calibri" w:hAnsi="Verdana" w:cs="Times New Roman"/>
          <w:color w:val="000000"/>
        </w:rPr>
      </w:pPr>
      <w:proofErr w:type="spellStart"/>
      <w:r w:rsidRPr="00C45C5D">
        <w:rPr>
          <w:rFonts w:ascii="Verdana" w:eastAsia="Calibri" w:hAnsi="Verdana" w:cs="Arial"/>
          <w:lang w:val="es-ES_tradnl"/>
        </w:rPr>
        <w:t>ii</w:t>
      </w:r>
      <w:proofErr w:type="spellEnd"/>
      <w:r w:rsidRPr="00C45C5D">
        <w:rPr>
          <w:rFonts w:ascii="Verdana" w:eastAsia="Calibri" w:hAnsi="Verdana" w:cs="Arial"/>
          <w:lang w:val="es-ES_tradnl"/>
        </w:rPr>
        <w:t xml:space="preserve">. </w:t>
      </w:r>
      <w:r w:rsidRPr="00C45C5D">
        <w:rPr>
          <w:rFonts w:ascii="Verdana" w:eastAsia="Calibri" w:hAnsi="Verdana" w:cs="Times New Roman"/>
          <w:color w:val="000000"/>
        </w:rPr>
        <w:t xml:space="preserve">En lo referente a la </w:t>
      </w:r>
      <w:r w:rsidRPr="00C45C5D">
        <w:rPr>
          <w:rFonts w:ascii="Verdana" w:eastAsia="Calibri" w:hAnsi="Verdana" w:cs="Times New Roman"/>
          <w:i/>
          <w:iCs/>
          <w:color w:val="000000"/>
        </w:rPr>
        <w:t>asociación de municipios</w:t>
      </w:r>
      <w:r w:rsidRPr="00C45C5D">
        <w:rPr>
          <w:rFonts w:ascii="Verdana" w:eastAsia="Calibri" w:hAnsi="Verdana" w:cs="Times New Roman"/>
          <w:color w:val="000000"/>
        </w:rPr>
        <w:t>, la Ley 136 de 1994, en el artículo 149 señaló que esas asociaciones “son entidades administrativas de derecho público, con personería jurídica y patrimonio propio e independiente de los entes que la conforman; se rige por sus propios estatutos y gozarán para el desarrollo de su objetivo, de los mismos derechos, privilegios, excepciones y prerrogativas otorgadas por la ley a los municipios. Los actos de las asociaciones son revisables y anulables por la Jurisdicción Contencioso-administrativa”.</w:t>
      </w:r>
    </w:p>
    <w:p w14:paraId="62AF0FBA" w14:textId="77777777" w:rsidR="00475DAF" w:rsidRPr="00C45C5D" w:rsidRDefault="00475DAF" w:rsidP="00475DAF">
      <w:pPr>
        <w:spacing w:before="120" w:after="0" w:line="276" w:lineRule="auto"/>
        <w:ind w:firstLine="708"/>
        <w:jc w:val="both"/>
        <w:rPr>
          <w:rFonts w:ascii="Verdana" w:eastAsia="Calibri" w:hAnsi="Verdana" w:cs="Times New Roman"/>
          <w:color w:val="000000"/>
        </w:rPr>
      </w:pPr>
      <w:r w:rsidRPr="00C45C5D">
        <w:rPr>
          <w:rFonts w:ascii="Verdana" w:eastAsia="Calibri" w:hAnsi="Verdana" w:cs="Times New Roman"/>
          <w:color w:val="000000"/>
        </w:rPr>
        <w:t>Por su parte, el artículo 148 de la referida Ley 136 de 1994 autorizó que “Dos o más municipios de uno o más departamentos podrán asociarse para organizar conjuntamente la prestación de servicios públicos, la ejecución de obras o el cumplimiento de funciones administrativas, procurando eficiencia y eficacia en los mismos, así como el desarrollo integral de sus territorios y colaborar mutuamente en la ejecución de obras públicas”.</w:t>
      </w:r>
    </w:p>
    <w:p w14:paraId="70FB3121" w14:textId="77777777" w:rsidR="00475DAF" w:rsidRPr="00C45C5D" w:rsidRDefault="00475DAF" w:rsidP="00475DAF">
      <w:pPr>
        <w:spacing w:before="120" w:after="0" w:line="276" w:lineRule="auto"/>
        <w:ind w:firstLine="708"/>
        <w:jc w:val="both"/>
        <w:rPr>
          <w:rFonts w:ascii="Verdana" w:eastAsia="Calibri" w:hAnsi="Verdana" w:cs="Times New Roman"/>
          <w:color w:val="000000"/>
        </w:rPr>
      </w:pPr>
      <w:r w:rsidRPr="00C45C5D">
        <w:rPr>
          <w:rFonts w:ascii="Verdana" w:eastAsia="Calibri" w:hAnsi="Verdana" w:cs="Times New Roman"/>
          <w:color w:val="000000"/>
        </w:rPr>
        <w:t>A su vez, la Ley 1454 de 2011, orgánica del ordenamiento territorial, concibió a las asociaciones de municipios como una clase de los denominados esquemas asociativos territoriales</w:t>
      </w:r>
      <w:r w:rsidRPr="00C45C5D">
        <w:rPr>
          <w:rFonts w:ascii="Verdana" w:eastAsia="Calibri" w:hAnsi="Verdana" w:cs="Times New Roman"/>
          <w:vertAlign w:val="superscript"/>
        </w:rPr>
        <w:footnoteReference w:id="10"/>
      </w:r>
      <w:r w:rsidRPr="00C45C5D">
        <w:rPr>
          <w:rFonts w:ascii="Verdana" w:eastAsia="Calibri" w:hAnsi="Verdana" w:cs="Times New Roman"/>
          <w:color w:val="000000"/>
        </w:rPr>
        <w:t>, sobre los que el artículo 17 señala que “son entidades administrativas de derecho público, con personería jurídica y patrimonio propio e independiente de los entes que la conforman”. De igual forma, el parágrafo de esa norma indica que “en concordancia con lo previsto en el artículo 95 de la Ley 489 de 1998, las entidades territoriales podrán continuar asociándose mediante la celebración de convenios interadministrativos o mediante la conformación de personas jurídicas de derecho público o derecho privado”. Es decir, la diferencia entre las asociaciones de entidades territoriales y las asociaciones de municipios es de género y especie: si bien todas las asociaciones de municipios son asociaciones de entidades territoriales, no todas las asociaciones de entidades territoriales son asociaciones de municipios.</w:t>
      </w:r>
    </w:p>
    <w:p w14:paraId="6F98A1AB" w14:textId="77777777" w:rsidR="00475DAF" w:rsidRPr="00C45C5D" w:rsidRDefault="00475DAF" w:rsidP="00475DAF">
      <w:pPr>
        <w:spacing w:before="120" w:after="0" w:line="276" w:lineRule="auto"/>
        <w:ind w:firstLine="708"/>
        <w:jc w:val="both"/>
        <w:rPr>
          <w:rFonts w:ascii="Verdana" w:eastAsia="Calibri" w:hAnsi="Verdana" w:cs="Times New Roman"/>
          <w:color w:val="000000"/>
        </w:rPr>
      </w:pPr>
      <w:r w:rsidRPr="00C45C5D">
        <w:rPr>
          <w:rFonts w:ascii="Verdana" w:eastAsia="Calibri" w:hAnsi="Verdana" w:cs="Times New Roman"/>
          <w:color w:val="000000"/>
        </w:rPr>
        <w:t>En cuanto a la manera como se conforman las asociaciones de municipios, tanto la Ley 136 de 1994 –artículo 150–</w:t>
      </w:r>
      <w:r w:rsidRPr="00C45C5D">
        <w:rPr>
          <w:rFonts w:ascii="Verdana" w:eastAsia="Calibri" w:hAnsi="Verdana" w:cs="Times New Roman"/>
          <w:vertAlign w:val="superscript"/>
        </w:rPr>
        <w:footnoteReference w:id="11"/>
      </w:r>
      <w:r w:rsidRPr="00C45C5D">
        <w:rPr>
          <w:rFonts w:ascii="Verdana" w:eastAsia="Calibri" w:hAnsi="Verdana" w:cs="Times New Roman"/>
          <w:color w:val="000000"/>
        </w:rPr>
        <w:t xml:space="preserve">, como la Ley 1454 de 2011 –artículo 14–, establecen que se hace a través de convenios, en los términos indicados </w:t>
      </w:r>
      <w:r w:rsidRPr="00C45C5D">
        <w:rPr>
          <w:rFonts w:ascii="Verdana" w:eastAsia="Calibri" w:hAnsi="Verdana" w:cs="Times New Roman"/>
          <w:color w:val="000000"/>
        </w:rPr>
        <w:lastRenderedPageBreak/>
        <w:t>en dichas disposiciones</w:t>
      </w:r>
      <w:r w:rsidRPr="00C45C5D">
        <w:rPr>
          <w:rFonts w:ascii="Verdana" w:eastAsia="Calibri" w:hAnsi="Verdana" w:cs="Times New Roman"/>
          <w:vertAlign w:val="superscript"/>
        </w:rPr>
        <w:footnoteReference w:id="12"/>
      </w:r>
      <w:r w:rsidRPr="00C45C5D">
        <w:rPr>
          <w:rFonts w:ascii="Verdana" w:eastAsia="Calibri" w:hAnsi="Verdana" w:cs="Times New Roman"/>
          <w:color w:val="000000"/>
        </w:rPr>
        <w:t>. El citado parágrafo del artículo 17 de la Ley 1454 de 2011 reconoce que las entidades territoriales pueden seguir asociándose a través de convenios interadministrativos, por lo que se entiende que la suscripción de convenios es un mecanismo para que las entidades territoriales se asocien. Además, la naturaleza y el carácter de persona jurídica que dichas leyes le atribuyen a las asociaciones de municipios conducen a entender que son entidades diferentes a los municipios que las conforman.</w:t>
      </w:r>
    </w:p>
    <w:p w14:paraId="4D7EFF80" w14:textId="77777777" w:rsidR="00475DAF" w:rsidRPr="00C45C5D" w:rsidRDefault="00475DAF" w:rsidP="00475DAF">
      <w:pPr>
        <w:spacing w:before="120" w:after="0" w:line="276" w:lineRule="auto"/>
        <w:ind w:firstLine="708"/>
        <w:jc w:val="both"/>
        <w:rPr>
          <w:rFonts w:ascii="Verdana" w:eastAsia="Calibri" w:hAnsi="Verdana" w:cs="Times New Roman"/>
          <w:color w:val="000000"/>
        </w:rPr>
      </w:pPr>
      <w:r w:rsidRPr="00C45C5D">
        <w:rPr>
          <w:rFonts w:ascii="Verdana" w:eastAsia="Calibri" w:hAnsi="Verdana" w:cs="Times New Roman"/>
          <w:color w:val="000000"/>
        </w:rPr>
        <w:t>Ahora bien, la normativa expuesta se relaciona con las asociaciones de entidades territoriales, particularmente de municipios. Sin embargo, lo anterior no implica desconocer la posibilidad que existe, en general, para las demás entidades estatales para asociarse, particularmente, con fundamento en lo prescrito en el artículo 95 de la Ley 489 de 1998, que permite la asociación de entidades públicas, estableciendo la posibilidad de conformar personas jurídicas sin ánimo de lucro</w:t>
      </w:r>
      <w:r w:rsidRPr="00C45C5D">
        <w:rPr>
          <w:rFonts w:ascii="Verdana" w:eastAsia="Calibri" w:hAnsi="Verdana" w:cs="Times New Roman"/>
          <w:color w:val="000000"/>
          <w:vertAlign w:val="superscript"/>
        </w:rPr>
        <w:footnoteReference w:id="13"/>
      </w:r>
      <w:r w:rsidRPr="00C45C5D">
        <w:rPr>
          <w:rFonts w:ascii="Verdana" w:eastAsia="Calibri" w:hAnsi="Verdana" w:cs="Times New Roman"/>
          <w:color w:val="000000"/>
        </w:rPr>
        <w:t xml:space="preserve">. </w:t>
      </w:r>
      <w:r w:rsidRPr="00C45C5D">
        <w:rPr>
          <w:rFonts w:ascii="Verdana" w:eastAsia="Calibri" w:hAnsi="Verdana" w:cs="Times New Roman"/>
          <w:color w:val="000000"/>
          <w:shd w:val="clear" w:color="auto" w:fill="FFFFFF"/>
        </w:rPr>
        <w:t>De este modo, la naturaleza y el carácter de persona jurídica que dichas leyes le atribuyen a las asociaciones de municipios conducen a entender que son entidades diferentes a los municipios que las conforman. </w:t>
      </w:r>
    </w:p>
    <w:p w14:paraId="1C1CBE60" w14:textId="77777777" w:rsidR="00475DAF" w:rsidRPr="00C45C5D" w:rsidRDefault="00475DAF" w:rsidP="00475DAF">
      <w:pPr>
        <w:spacing w:before="120" w:after="0" w:line="276" w:lineRule="auto"/>
        <w:ind w:firstLine="708"/>
        <w:jc w:val="both"/>
        <w:rPr>
          <w:rFonts w:ascii="Verdana" w:eastAsia="Calibri" w:hAnsi="Verdana" w:cs="Segoe UI"/>
          <w:sz w:val="18"/>
          <w:szCs w:val="18"/>
        </w:rPr>
      </w:pPr>
      <w:r w:rsidRPr="00C45C5D">
        <w:rPr>
          <w:rFonts w:ascii="Verdana" w:eastAsia="Calibri" w:hAnsi="Verdana" w:cs="Arial"/>
          <w:color w:val="000000"/>
        </w:rPr>
        <w:t xml:space="preserve">Dicho lo anterior, en relación con la naturaleza jurídica de las asociaciones de municipios, puede afirmarse que su régimen de contratación es el general. Lo anterior se desprende, además, de lo previsto en </w:t>
      </w:r>
      <w:bookmarkStart w:id="1" w:name="_Hlk190464686"/>
      <w:r w:rsidRPr="00C45C5D">
        <w:rPr>
          <w:rFonts w:ascii="Verdana" w:eastAsia="Calibri" w:hAnsi="Verdana" w:cs="Arial"/>
          <w:color w:val="000000"/>
        </w:rPr>
        <w:t xml:space="preserve">el numeral 1 del artículo 2 de la Ley 80 de 1993, que define como entidades estatales, sujetas a dicho estatuto a: “La Nación, las regiones, los departamentos, las provincias, el distrito capital y los distritos especiales, las áreas metropolitanas, </w:t>
      </w:r>
      <w:r w:rsidRPr="00C45C5D">
        <w:rPr>
          <w:rFonts w:ascii="Verdana" w:eastAsia="Calibri" w:hAnsi="Verdana" w:cs="Arial"/>
          <w:i/>
          <w:iCs/>
          <w:color w:val="000000"/>
        </w:rPr>
        <w:t>las asociaciones de municipios</w:t>
      </w:r>
      <w:r w:rsidRPr="00C45C5D">
        <w:rPr>
          <w:rFonts w:ascii="Verdana" w:eastAsia="Calibri" w:hAnsi="Verdana" w:cs="Arial"/>
          <w:color w:val="000000"/>
        </w:rPr>
        <w:t>, los territorios indígenas y los munic</w:t>
      </w:r>
      <w:r>
        <w:rPr>
          <w:rFonts w:ascii="Verdana" w:eastAsia="Calibri" w:hAnsi="Verdana" w:cs="Arial"/>
          <w:color w:val="000000"/>
        </w:rPr>
        <w:t>ipios […]</w:t>
      </w:r>
      <w:r w:rsidRPr="00C45C5D">
        <w:rPr>
          <w:rFonts w:ascii="Verdana" w:eastAsia="Calibri" w:hAnsi="Verdana" w:cs="Arial"/>
          <w:color w:val="000000"/>
        </w:rPr>
        <w:t>” (Énfasis fuera de texto). Así las cosas, el Estatuto General de Contratación de la Administración Pública establece que las asociaciones de municipios son entidades estatales para efectos contractuales, razón por la cual se someten a dicho estatuto</w:t>
      </w:r>
      <w:bookmarkEnd w:id="1"/>
      <w:r w:rsidRPr="00C45C5D">
        <w:rPr>
          <w:rFonts w:ascii="Verdana" w:eastAsia="Calibri" w:hAnsi="Verdana" w:cs="Arial"/>
          <w:color w:val="000000"/>
        </w:rPr>
        <w:t>.  </w:t>
      </w:r>
      <w:r w:rsidRPr="00C45C5D">
        <w:rPr>
          <w:rFonts w:ascii="Verdana" w:eastAsia="Arial" w:hAnsi="Verdana" w:cs="Times New Roman"/>
          <w:color w:val="000000"/>
        </w:rPr>
        <w:t> </w:t>
      </w:r>
    </w:p>
    <w:p w14:paraId="15C0196E" w14:textId="77777777" w:rsidR="00475DAF" w:rsidRDefault="00475DAF" w:rsidP="00475DAF">
      <w:pPr>
        <w:spacing w:before="120" w:after="0" w:line="276" w:lineRule="auto"/>
        <w:ind w:firstLine="708"/>
        <w:jc w:val="both"/>
        <w:rPr>
          <w:rFonts w:ascii="Verdana" w:eastAsia="Calibri" w:hAnsi="Verdana" w:cs="Arial"/>
          <w:color w:val="000000"/>
        </w:rPr>
      </w:pPr>
      <w:r w:rsidRPr="00C45C5D">
        <w:rPr>
          <w:rFonts w:ascii="Verdana" w:eastAsia="Calibri" w:hAnsi="Verdana" w:cs="Arial"/>
          <w:color w:val="000000"/>
        </w:rPr>
        <w:lastRenderedPageBreak/>
        <w:t>De forma más precisa, el artículo 10 de la Ley 1150 de 2007 establece que “Las cooperativas, las asociaciones conformadas por entidades territoriales y en general los entes solidarios de carácter público estarán sometidos a las disposiciones del Estatuto General de Contratación de la Administración Pública […]”. Dicho lo anterior, resulta claro que el régimen contractual de las asociaciones de municipios no es especial, puesto que por mandato legal se someten al EGCAP.</w:t>
      </w:r>
    </w:p>
    <w:p w14:paraId="059C5F6A" w14:textId="77777777" w:rsidR="00475DAF" w:rsidRPr="00380E4B" w:rsidRDefault="00475DAF" w:rsidP="00475DAF">
      <w:pPr>
        <w:spacing w:before="120" w:after="120" w:line="276" w:lineRule="auto"/>
        <w:ind w:firstLine="708"/>
        <w:jc w:val="both"/>
        <w:rPr>
          <w:rFonts w:ascii="Calibri" w:eastAsia="Calibri" w:hAnsi="Calibri" w:cs="Arial"/>
          <w:color w:val="000000"/>
        </w:rPr>
      </w:pPr>
    </w:p>
    <w:p w14:paraId="5B051FCD" w14:textId="77777777" w:rsidR="00475DAF" w:rsidRPr="00380E4B" w:rsidRDefault="00475DAF" w:rsidP="00475DAF">
      <w:pPr>
        <w:spacing w:before="120" w:after="120" w:line="276" w:lineRule="auto"/>
        <w:jc w:val="both"/>
        <w:rPr>
          <w:rFonts w:ascii="Calibri" w:eastAsia="Calibri" w:hAnsi="Calibri" w:cs="Times New Roman"/>
          <w:color w:val="000000"/>
          <w:lang w:val="es-ES"/>
        </w:rPr>
      </w:pPr>
      <w:proofErr w:type="spellStart"/>
      <w:r w:rsidRPr="00380E4B">
        <w:rPr>
          <w:rFonts w:ascii="Verdana" w:eastAsia="Calibri" w:hAnsi="Verdana" w:cs="Times New Roman"/>
          <w:color w:val="000000"/>
        </w:rPr>
        <w:t>iii</w:t>
      </w:r>
      <w:proofErr w:type="spellEnd"/>
      <w:r w:rsidRPr="00380E4B">
        <w:rPr>
          <w:rFonts w:ascii="Verdana" w:eastAsia="Calibri" w:hAnsi="Verdana" w:cs="Times New Roman"/>
          <w:color w:val="000000"/>
        </w:rPr>
        <w:t>. La Ley 80 de 1993, en el parágrafo 1 del artículo 2, incluía a las cooperativas y asociaciones de entidades territoriales dentro de la categoría de entidades estatales sometidas a la Ley 80 de 1993, y las facultaba para suscribir convenios</w:t>
      </w:r>
      <w:r w:rsidRPr="00380E4B">
        <w:rPr>
          <w:rFonts w:ascii="Verdana" w:eastAsia="Calibri" w:hAnsi="Verdana" w:cs="Times New Roman"/>
          <w:color w:val="000000"/>
          <w:spacing w:val="-18"/>
        </w:rPr>
        <w:t xml:space="preserve"> </w:t>
      </w:r>
      <w:r w:rsidRPr="00380E4B">
        <w:rPr>
          <w:rFonts w:ascii="Verdana" w:eastAsia="Calibri" w:hAnsi="Verdana" w:cs="Times New Roman"/>
          <w:color w:val="000000"/>
        </w:rPr>
        <w:t>interadministrativos:</w:t>
      </w:r>
      <w:r w:rsidRPr="00380E4B">
        <w:rPr>
          <w:rFonts w:ascii="Calibri" w:eastAsia="Calibri" w:hAnsi="Calibri" w:cs="Times New Roman"/>
          <w:color w:val="000000"/>
        </w:rPr>
        <w:t xml:space="preserve"> </w:t>
      </w:r>
      <w:r w:rsidRPr="00380E4B">
        <w:rPr>
          <w:rFonts w:ascii="Verdana" w:eastAsia="Arial" w:hAnsi="Verdana" w:cs="Arial"/>
          <w:color w:val="000000"/>
          <w:lang w:val="es-ES"/>
        </w:rPr>
        <w:t>“Parágrafo 1. Para los solos efectos de esta ley, también se denominan entidades estatales las cooperativas y asociaciones conformadas por entidades territoriales, las cuales estarán sujetas a las disposiciones del presente estatuto, especialmente cuando en desarrollo de convenios interadministrativos celebren contratos por cuenta de dichas entidades”.</w:t>
      </w:r>
    </w:p>
    <w:p w14:paraId="6EA1E173" w14:textId="77777777" w:rsidR="00475DAF" w:rsidRPr="00C45C5D" w:rsidRDefault="00475DAF" w:rsidP="00475DAF">
      <w:pPr>
        <w:widowControl w:val="0"/>
        <w:autoSpaceDE w:val="0"/>
        <w:autoSpaceDN w:val="0"/>
        <w:spacing w:after="0" w:line="276" w:lineRule="auto"/>
        <w:ind w:right="108" w:firstLine="709"/>
        <w:jc w:val="both"/>
        <w:rPr>
          <w:rFonts w:ascii="Verdana" w:eastAsia="Arial" w:hAnsi="Verdana" w:cs="Arial"/>
          <w:color w:val="000000"/>
          <w:lang w:val="es-ES"/>
        </w:rPr>
      </w:pPr>
      <w:r w:rsidRPr="00C45C5D">
        <w:rPr>
          <w:rFonts w:ascii="Verdana" w:eastAsia="Arial" w:hAnsi="Verdana" w:cs="Arial"/>
          <w:color w:val="000000"/>
          <w:lang w:val="es-ES"/>
        </w:rPr>
        <w:t>En virtud de lo anterior, el parágrafo del artículo 2 de la Ley 80 de 1993 facultaba a las cooperativas y asociaciones de entidades t</w:t>
      </w:r>
      <w:r>
        <w:rPr>
          <w:rFonts w:ascii="Verdana" w:eastAsia="Arial" w:hAnsi="Verdana" w:cs="Arial"/>
          <w:color w:val="000000"/>
          <w:lang w:val="es-ES"/>
        </w:rPr>
        <w:t>erritoriales para celebrar contratos</w:t>
      </w:r>
      <w:r w:rsidRPr="00C45C5D">
        <w:rPr>
          <w:rFonts w:ascii="Verdana" w:eastAsia="Arial" w:hAnsi="Verdana" w:cs="Arial"/>
          <w:color w:val="000000"/>
          <w:lang w:val="es-ES"/>
        </w:rPr>
        <w:t xml:space="preserve"> interadministrativos. Posteriormente, el numeral 2 del artículo 14 Decreto 2170 de 2002 desarrolló la posibilidad de que los entes solidarios de carácter público, como las cooperativas y las asociaciones de entidades territoriales, pudieran suscribir directamente, sin necesidad de adelantar procesos de s</w:t>
      </w:r>
      <w:r>
        <w:rPr>
          <w:rFonts w:ascii="Verdana" w:eastAsia="Arial" w:hAnsi="Verdana" w:cs="Arial"/>
          <w:color w:val="000000"/>
          <w:lang w:val="es-ES"/>
        </w:rPr>
        <w:t>elección competitivos, contratos</w:t>
      </w:r>
      <w:r w:rsidRPr="00C45C5D">
        <w:rPr>
          <w:rFonts w:ascii="Verdana" w:eastAsia="Arial" w:hAnsi="Verdana" w:cs="Arial"/>
          <w:color w:val="000000"/>
          <w:lang w:val="es-ES"/>
        </w:rPr>
        <w:t xml:space="preserve"> interadministrativos, siempre que se acreditaran los siguientes requisitos establecidos en la norma indicada:</w:t>
      </w:r>
    </w:p>
    <w:p w14:paraId="5352DAC8" w14:textId="77777777" w:rsidR="00475DAF" w:rsidRPr="00C45C5D" w:rsidRDefault="00475DAF" w:rsidP="00475DAF">
      <w:pPr>
        <w:widowControl w:val="0"/>
        <w:autoSpaceDE w:val="0"/>
        <w:autoSpaceDN w:val="0"/>
        <w:spacing w:before="2" w:after="0" w:line="276" w:lineRule="auto"/>
        <w:rPr>
          <w:rFonts w:ascii="Verdana" w:eastAsia="Arial" w:hAnsi="Verdana" w:cs="Arial"/>
          <w:color w:val="000000"/>
          <w:lang w:val="es-ES"/>
        </w:rPr>
      </w:pPr>
    </w:p>
    <w:p w14:paraId="2CA01AFA" w14:textId="77777777" w:rsidR="00475DAF" w:rsidRPr="00C45C5D" w:rsidRDefault="00475DAF" w:rsidP="00475DAF">
      <w:pPr>
        <w:widowControl w:val="0"/>
        <w:autoSpaceDE w:val="0"/>
        <w:autoSpaceDN w:val="0"/>
        <w:spacing w:after="0" w:line="240" w:lineRule="auto"/>
        <w:ind w:left="709" w:right="709"/>
        <w:jc w:val="both"/>
        <w:rPr>
          <w:rFonts w:ascii="Verdana" w:eastAsia="Arial" w:hAnsi="Verdana" w:cs="Arial"/>
          <w:color w:val="000000"/>
          <w:sz w:val="20"/>
          <w:szCs w:val="20"/>
          <w:lang w:val="es-ES"/>
        </w:rPr>
      </w:pPr>
      <w:r w:rsidRPr="00C45C5D">
        <w:rPr>
          <w:rFonts w:ascii="Verdana" w:eastAsia="Arial" w:hAnsi="Verdana" w:cs="Arial"/>
          <w:color w:val="000000"/>
          <w:sz w:val="20"/>
          <w:szCs w:val="20"/>
          <w:lang w:val="es-ES"/>
        </w:rPr>
        <w:t>“Artículo 14. De conformidad con lo previsto en el parágrafo del artículo 2o. de la Ley 80 de 1993, los contratos que se celebren en desarrollo de los convenios interadministrativos estarán sujetos a dicha ley.</w:t>
      </w:r>
    </w:p>
    <w:p w14:paraId="1537A704" w14:textId="77777777" w:rsidR="00475DAF" w:rsidRPr="00C45C5D" w:rsidRDefault="00475DAF" w:rsidP="00475DAF">
      <w:pPr>
        <w:widowControl w:val="0"/>
        <w:autoSpaceDE w:val="0"/>
        <w:autoSpaceDN w:val="0"/>
        <w:spacing w:after="120" w:line="240" w:lineRule="auto"/>
        <w:ind w:left="709" w:right="709"/>
        <w:jc w:val="both"/>
        <w:rPr>
          <w:rFonts w:ascii="Verdana" w:eastAsia="Arial" w:hAnsi="Verdana" w:cs="Arial"/>
          <w:color w:val="000000"/>
          <w:sz w:val="20"/>
          <w:szCs w:val="20"/>
          <w:lang w:val="es-ES"/>
        </w:rPr>
      </w:pPr>
      <w:r w:rsidRPr="00C45C5D">
        <w:rPr>
          <w:rFonts w:ascii="Verdana" w:eastAsia="Arial" w:hAnsi="Verdana" w:cs="Arial"/>
          <w:color w:val="000000"/>
          <w:sz w:val="20"/>
          <w:szCs w:val="20"/>
          <w:lang w:val="es-ES"/>
        </w:rPr>
        <w:t>[…]</w:t>
      </w:r>
    </w:p>
    <w:p w14:paraId="130EEECA" w14:textId="77777777" w:rsidR="00475DAF" w:rsidRPr="00C45C5D" w:rsidRDefault="00475DAF" w:rsidP="00475DAF">
      <w:pPr>
        <w:widowControl w:val="0"/>
        <w:autoSpaceDE w:val="0"/>
        <w:autoSpaceDN w:val="0"/>
        <w:spacing w:after="0" w:line="240" w:lineRule="auto"/>
        <w:ind w:left="709" w:right="709"/>
        <w:jc w:val="both"/>
        <w:rPr>
          <w:rFonts w:ascii="Verdana" w:eastAsia="Arial" w:hAnsi="Verdana" w:cs="Arial"/>
          <w:color w:val="000000"/>
          <w:sz w:val="20"/>
          <w:szCs w:val="20"/>
          <w:lang w:val="es-ES"/>
        </w:rPr>
      </w:pPr>
      <w:r w:rsidRPr="00C45C5D">
        <w:rPr>
          <w:rFonts w:ascii="Verdana" w:eastAsia="Arial" w:hAnsi="Verdana" w:cs="Arial"/>
          <w:color w:val="000000"/>
          <w:sz w:val="20"/>
          <w:szCs w:val="20"/>
          <w:lang w:val="es-ES"/>
        </w:rPr>
        <w:t>Cuando el objeto del contrato solamente pueda ser desarrollado por una entidad, el mismo se celebrará sin necesidad de adelantar proceso de selección alguno, circunstancia que deberá ser certificada por la Superintendencia de Economía Solidaria o quien haga sus veces en el caso de cooperativas o por el Ministerio del Interior en el caso de asociaciones de entidades territoriales”.</w:t>
      </w:r>
    </w:p>
    <w:p w14:paraId="3EEB86E9" w14:textId="77777777" w:rsidR="00475DAF" w:rsidRPr="00C45C5D" w:rsidRDefault="00475DAF" w:rsidP="00475DAF">
      <w:pPr>
        <w:widowControl w:val="0"/>
        <w:autoSpaceDE w:val="0"/>
        <w:autoSpaceDN w:val="0"/>
        <w:spacing w:before="3" w:after="0" w:line="276" w:lineRule="auto"/>
        <w:rPr>
          <w:rFonts w:ascii="Verdana" w:eastAsia="Arial" w:hAnsi="Verdana" w:cs="Arial"/>
          <w:color w:val="000000"/>
          <w:lang w:val="es-ES"/>
        </w:rPr>
      </w:pPr>
    </w:p>
    <w:p w14:paraId="6CA37614" w14:textId="77777777" w:rsidR="00475DAF" w:rsidRPr="00C45C5D" w:rsidRDefault="00475DAF" w:rsidP="00475DAF">
      <w:pPr>
        <w:widowControl w:val="0"/>
        <w:autoSpaceDE w:val="0"/>
        <w:autoSpaceDN w:val="0"/>
        <w:spacing w:after="0" w:line="276" w:lineRule="auto"/>
        <w:ind w:right="108" w:firstLine="709"/>
        <w:jc w:val="both"/>
        <w:rPr>
          <w:rFonts w:ascii="Verdana" w:eastAsia="Arial" w:hAnsi="Verdana" w:cs="Arial"/>
          <w:color w:val="000000"/>
          <w:lang w:val="es-ES"/>
        </w:rPr>
      </w:pPr>
      <w:r w:rsidRPr="00C45C5D">
        <w:rPr>
          <w:rFonts w:ascii="Verdana" w:eastAsia="Arial" w:hAnsi="Verdana" w:cs="Arial"/>
          <w:color w:val="000000"/>
          <w:lang w:val="es-ES"/>
        </w:rPr>
        <w:t>No obstante, el artículo 1 del Decreto 4375 de 2006 modificó el artículo 14 del Decreto 2170 de 2002, para restringir la celebración de los co</w:t>
      </w:r>
      <w:r>
        <w:rPr>
          <w:rFonts w:ascii="Verdana" w:eastAsia="Arial" w:hAnsi="Verdana" w:cs="Arial"/>
          <w:color w:val="000000"/>
          <w:lang w:val="es-ES"/>
        </w:rPr>
        <w:t>ntratos</w:t>
      </w:r>
      <w:r w:rsidRPr="00C45C5D">
        <w:rPr>
          <w:rFonts w:ascii="Verdana" w:eastAsia="Arial" w:hAnsi="Verdana" w:cs="Arial"/>
          <w:color w:val="000000"/>
          <w:lang w:val="es-ES"/>
        </w:rPr>
        <w:t xml:space="preserve"> </w:t>
      </w:r>
      <w:r w:rsidRPr="00C45C5D">
        <w:rPr>
          <w:rFonts w:ascii="Verdana" w:eastAsia="Arial" w:hAnsi="Verdana" w:cs="Arial"/>
          <w:color w:val="000000"/>
          <w:lang w:val="es-ES"/>
        </w:rPr>
        <w:lastRenderedPageBreak/>
        <w:t>interadministrativos por parte de dichas entidades, al introducir como requisito para su celebración la aplicación del artículo</w:t>
      </w:r>
      <w:r w:rsidRPr="00C45C5D">
        <w:rPr>
          <w:rFonts w:ascii="Verdana" w:eastAsia="Arial" w:hAnsi="Verdana" w:cs="Arial"/>
          <w:color w:val="000000"/>
          <w:spacing w:val="40"/>
          <w:lang w:val="es-ES"/>
        </w:rPr>
        <w:t xml:space="preserve"> </w:t>
      </w:r>
      <w:r w:rsidRPr="00C45C5D">
        <w:rPr>
          <w:rFonts w:ascii="Verdana" w:eastAsia="Arial" w:hAnsi="Verdana" w:cs="Arial"/>
          <w:color w:val="000000"/>
          <w:lang w:val="es-ES"/>
        </w:rPr>
        <w:t>29</w:t>
      </w:r>
      <w:r w:rsidRPr="00C45C5D">
        <w:rPr>
          <w:rFonts w:ascii="Verdana" w:eastAsia="Arial" w:hAnsi="Verdana" w:cs="Arial"/>
          <w:color w:val="000000"/>
          <w:spacing w:val="40"/>
          <w:lang w:val="es-ES"/>
        </w:rPr>
        <w:t xml:space="preserve"> </w:t>
      </w:r>
      <w:r w:rsidRPr="00C45C5D">
        <w:rPr>
          <w:rFonts w:ascii="Verdana" w:eastAsia="Arial" w:hAnsi="Verdana" w:cs="Arial"/>
          <w:color w:val="000000"/>
          <w:lang w:val="es-ES"/>
        </w:rPr>
        <w:t>de</w:t>
      </w:r>
      <w:r w:rsidRPr="00C45C5D">
        <w:rPr>
          <w:rFonts w:ascii="Verdana" w:eastAsia="Arial" w:hAnsi="Verdana" w:cs="Arial"/>
          <w:color w:val="000000"/>
          <w:spacing w:val="41"/>
          <w:lang w:val="es-ES"/>
        </w:rPr>
        <w:t xml:space="preserve"> </w:t>
      </w:r>
      <w:r w:rsidRPr="00C45C5D">
        <w:rPr>
          <w:rFonts w:ascii="Verdana" w:eastAsia="Arial" w:hAnsi="Verdana" w:cs="Arial"/>
          <w:color w:val="000000"/>
          <w:lang w:val="es-ES"/>
        </w:rPr>
        <w:t>la</w:t>
      </w:r>
      <w:r w:rsidRPr="00C45C5D">
        <w:rPr>
          <w:rFonts w:ascii="Verdana" w:eastAsia="Arial" w:hAnsi="Verdana" w:cs="Arial"/>
          <w:color w:val="000000"/>
          <w:spacing w:val="40"/>
          <w:lang w:val="es-ES"/>
        </w:rPr>
        <w:t xml:space="preserve"> </w:t>
      </w:r>
      <w:r w:rsidRPr="00C45C5D">
        <w:rPr>
          <w:rFonts w:ascii="Verdana" w:eastAsia="Arial" w:hAnsi="Verdana" w:cs="Arial"/>
          <w:color w:val="000000"/>
          <w:lang w:val="es-ES"/>
        </w:rPr>
        <w:t>Ley</w:t>
      </w:r>
      <w:r w:rsidRPr="00C45C5D">
        <w:rPr>
          <w:rFonts w:ascii="Verdana" w:eastAsia="Arial" w:hAnsi="Verdana" w:cs="Arial"/>
          <w:color w:val="000000"/>
          <w:spacing w:val="38"/>
          <w:lang w:val="es-ES"/>
        </w:rPr>
        <w:t xml:space="preserve"> </w:t>
      </w:r>
      <w:r w:rsidRPr="00C45C5D">
        <w:rPr>
          <w:rFonts w:ascii="Verdana" w:eastAsia="Arial" w:hAnsi="Verdana" w:cs="Arial"/>
          <w:color w:val="000000"/>
          <w:lang w:val="es-ES"/>
        </w:rPr>
        <w:t>80</w:t>
      </w:r>
      <w:r w:rsidRPr="00C45C5D">
        <w:rPr>
          <w:rFonts w:ascii="Verdana" w:eastAsia="Arial" w:hAnsi="Verdana" w:cs="Arial"/>
          <w:color w:val="000000"/>
          <w:spacing w:val="44"/>
          <w:lang w:val="es-ES"/>
        </w:rPr>
        <w:t xml:space="preserve"> </w:t>
      </w:r>
      <w:r w:rsidRPr="00C45C5D">
        <w:rPr>
          <w:rFonts w:ascii="Verdana" w:eastAsia="Arial" w:hAnsi="Verdana" w:cs="Arial"/>
          <w:color w:val="000000"/>
          <w:lang w:val="es-ES"/>
        </w:rPr>
        <w:t>de</w:t>
      </w:r>
      <w:r w:rsidRPr="00C45C5D">
        <w:rPr>
          <w:rFonts w:ascii="Verdana" w:eastAsia="Arial" w:hAnsi="Verdana" w:cs="Arial"/>
          <w:color w:val="000000"/>
          <w:spacing w:val="40"/>
          <w:lang w:val="es-ES"/>
        </w:rPr>
        <w:t xml:space="preserve"> </w:t>
      </w:r>
      <w:r w:rsidRPr="00C45C5D">
        <w:rPr>
          <w:rFonts w:ascii="Verdana" w:eastAsia="Arial" w:hAnsi="Verdana" w:cs="Arial"/>
          <w:color w:val="000000"/>
          <w:lang w:val="es-ES"/>
        </w:rPr>
        <w:t>1993,</w:t>
      </w:r>
      <w:r w:rsidRPr="00C45C5D">
        <w:rPr>
          <w:rFonts w:ascii="Verdana" w:eastAsia="Arial" w:hAnsi="Verdana" w:cs="Arial"/>
          <w:color w:val="000000"/>
          <w:spacing w:val="39"/>
          <w:lang w:val="es-ES"/>
        </w:rPr>
        <w:t xml:space="preserve"> </w:t>
      </w:r>
      <w:r w:rsidRPr="00C45C5D">
        <w:rPr>
          <w:rFonts w:ascii="Verdana" w:eastAsia="Arial" w:hAnsi="Verdana" w:cs="Arial"/>
          <w:color w:val="000000"/>
          <w:lang w:val="es-ES"/>
        </w:rPr>
        <w:t>normativa</w:t>
      </w:r>
      <w:r w:rsidRPr="00C45C5D">
        <w:rPr>
          <w:rFonts w:ascii="Verdana" w:eastAsia="Arial" w:hAnsi="Verdana" w:cs="Arial"/>
          <w:color w:val="000000"/>
          <w:spacing w:val="41"/>
          <w:lang w:val="es-ES"/>
        </w:rPr>
        <w:t xml:space="preserve"> </w:t>
      </w:r>
      <w:r w:rsidRPr="00C45C5D">
        <w:rPr>
          <w:rFonts w:ascii="Verdana" w:eastAsia="Arial" w:hAnsi="Verdana" w:cs="Arial"/>
          <w:color w:val="000000"/>
          <w:lang w:val="es-ES"/>
        </w:rPr>
        <w:t>que</w:t>
      </w:r>
      <w:r w:rsidRPr="00C45C5D">
        <w:rPr>
          <w:rFonts w:ascii="Verdana" w:eastAsia="Arial" w:hAnsi="Verdana" w:cs="Arial"/>
          <w:color w:val="000000"/>
          <w:spacing w:val="41"/>
          <w:lang w:val="es-ES"/>
        </w:rPr>
        <w:t xml:space="preserve"> </w:t>
      </w:r>
      <w:r w:rsidRPr="00C45C5D">
        <w:rPr>
          <w:rFonts w:ascii="Verdana" w:eastAsia="Arial" w:hAnsi="Verdana" w:cs="Arial"/>
          <w:color w:val="000000"/>
          <w:lang w:val="es-ES"/>
        </w:rPr>
        <w:t>desarrolla</w:t>
      </w:r>
      <w:r w:rsidRPr="00C45C5D">
        <w:rPr>
          <w:rFonts w:ascii="Verdana" w:eastAsia="Arial" w:hAnsi="Verdana" w:cs="Arial"/>
          <w:color w:val="000000"/>
          <w:spacing w:val="40"/>
          <w:lang w:val="es-ES"/>
        </w:rPr>
        <w:t xml:space="preserve"> </w:t>
      </w:r>
      <w:r w:rsidRPr="00C45C5D">
        <w:rPr>
          <w:rFonts w:ascii="Verdana" w:eastAsia="Arial" w:hAnsi="Verdana" w:cs="Arial"/>
          <w:color w:val="000000"/>
          <w:lang w:val="es-ES"/>
        </w:rPr>
        <w:t>la</w:t>
      </w:r>
      <w:r w:rsidRPr="00C45C5D">
        <w:rPr>
          <w:rFonts w:ascii="Verdana" w:eastAsia="Arial" w:hAnsi="Verdana" w:cs="Arial"/>
          <w:color w:val="000000"/>
          <w:spacing w:val="41"/>
          <w:lang w:val="es-ES"/>
        </w:rPr>
        <w:t xml:space="preserve"> </w:t>
      </w:r>
      <w:r w:rsidRPr="00C45C5D">
        <w:rPr>
          <w:rFonts w:ascii="Verdana" w:eastAsia="Arial" w:hAnsi="Verdana" w:cs="Arial"/>
          <w:color w:val="000000"/>
          <w:lang w:val="es-ES"/>
        </w:rPr>
        <w:t>selección</w:t>
      </w:r>
      <w:r w:rsidRPr="00C45C5D">
        <w:rPr>
          <w:rFonts w:ascii="Verdana" w:eastAsia="Arial" w:hAnsi="Verdana" w:cs="Arial"/>
          <w:color w:val="000000"/>
          <w:spacing w:val="38"/>
          <w:lang w:val="es-ES"/>
        </w:rPr>
        <w:t xml:space="preserve"> </w:t>
      </w:r>
      <w:r w:rsidRPr="00C45C5D">
        <w:rPr>
          <w:rFonts w:ascii="Verdana" w:eastAsia="Arial" w:hAnsi="Verdana" w:cs="Arial"/>
          <w:color w:val="000000"/>
          <w:lang w:val="es-ES"/>
        </w:rPr>
        <w:t>objetiva</w:t>
      </w:r>
      <w:r w:rsidRPr="00C45C5D">
        <w:rPr>
          <w:rFonts w:ascii="Verdana" w:eastAsia="Arial" w:hAnsi="Verdana" w:cs="Arial"/>
          <w:color w:val="000000"/>
          <w:spacing w:val="41"/>
          <w:lang w:val="es-ES"/>
        </w:rPr>
        <w:t xml:space="preserve"> </w:t>
      </w:r>
      <w:r w:rsidRPr="00C45C5D">
        <w:rPr>
          <w:rFonts w:ascii="Verdana" w:eastAsia="Arial" w:hAnsi="Verdana" w:cs="Arial"/>
          <w:color w:val="000000"/>
          <w:lang w:val="es-ES"/>
        </w:rPr>
        <w:t>como principio orientador para los procesos de selección sometidos al Estatuto General de Contratación de la Administración Pública:</w:t>
      </w:r>
    </w:p>
    <w:p w14:paraId="55F5CA83" w14:textId="77777777" w:rsidR="00475DAF" w:rsidRPr="00C45C5D" w:rsidRDefault="00475DAF" w:rsidP="00475DAF">
      <w:pPr>
        <w:widowControl w:val="0"/>
        <w:autoSpaceDE w:val="0"/>
        <w:autoSpaceDN w:val="0"/>
        <w:spacing w:before="1" w:after="0" w:line="276" w:lineRule="auto"/>
        <w:rPr>
          <w:rFonts w:ascii="Verdana" w:eastAsia="Arial" w:hAnsi="Verdana" w:cs="Arial"/>
          <w:color w:val="000000"/>
          <w:lang w:val="es-ES"/>
        </w:rPr>
      </w:pPr>
    </w:p>
    <w:p w14:paraId="5166D722" w14:textId="77777777" w:rsidR="00475DAF" w:rsidRPr="00C45C5D" w:rsidRDefault="00475DAF" w:rsidP="00475DAF">
      <w:pPr>
        <w:widowControl w:val="0"/>
        <w:autoSpaceDE w:val="0"/>
        <w:autoSpaceDN w:val="0"/>
        <w:spacing w:after="120" w:line="240" w:lineRule="auto"/>
        <w:ind w:left="709" w:right="709"/>
        <w:jc w:val="both"/>
        <w:rPr>
          <w:rFonts w:ascii="Verdana" w:eastAsia="Arial" w:hAnsi="Verdana" w:cs="Arial"/>
          <w:color w:val="000000"/>
          <w:sz w:val="20"/>
          <w:szCs w:val="20"/>
          <w:lang w:val="es-ES"/>
        </w:rPr>
      </w:pPr>
      <w:r w:rsidRPr="00C45C5D">
        <w:rPr>
          <w:rFonts w:ascii="Verdana" w:eastAsia="Arial" w:hAnsi="Verdana" w:cs="Arial"/>
          <w:color w:val="000000"/>
          <w:sz w:val="20"/>
          <w:szCs w:val="20"/>
          <w:lang w:val="es-ES"/>
        </w:rPr>
        <w:t>“Artículo 14. De los contratos interadministrativos con cooperativas y asociaciones conformadas por entidades territoriales. De conformidad con lo previsto en el parágrafo del artículo 2o de la Ley 80 de 1993, los contratos que se celebren en desarrollo de los convenios interadministrativos estarán sujetos a dicha ley.</w:t>
      </w:r>
    </w:p>
    <w:p w14:paraId="7158217E" w14:textId="77777777" w:rsidR="00475DAF" w:rsidRPr="00C45C5D" w:rsidRDefault="00475DAF" w:rsidP="00475DAF">
      <w:pPr>
        <w:widowControl w:val="0"/>
        <w:autoSpaceDE w:val="0"/>
        <w:autoSpaceDN w:val="0"/>
        <w:spacing w:after="120" w:line="240" w:lineRule="auto"/>
        <w:ind w:left="709" w:right="709"/>
        <w:jc w:val="both"/>
        <w:rPr>
          <w:rFonts w:ascii="Verdana" w:eastAsia="Arial" w:hAnsi="Verdana" w:cs="Arial"/>
          <w:color w:val="000000"/>
          <w:sz w:val="20"/>
          <w:szCs w:val="20"/>
          <w:lang w:val="es-ES"/>
        </w:rPr>
      </w:pPr>
      <w:r w:rsidRPr="00C45C5D">
        <w:rPr>
          <w:rFonts w:ascii="Verdana" w:eastAsia="Arial" w:hAnsi="Verdana" w:cs="Arial"/>
          <w:color w:val="000000"/>
          <w:sz w:val="20"/>
          <w:szCs w:val="20"/>
          <w:lang w:val="es-ES"/>
        </w:rPr>
        <w:t>La selección de estas entidades se hará conforme a las siguientes reglas:</w:t>
      </w:r>
    </w:p>
    <w:p w14:paraId="5D09DF6D" w14:textId="77777777" w:rsidR="00475DAF" w:rsidRPr="00C45C5D" w:rsidRDefault="00475DAF" w:rsidP="00475DAF">
      <w:pPr>
        <w:widowControl w:val="0"/>
        <w:autoSpaceDE w:val="0"/>
        <w:autoSpaceDN w:val="0"/>
        <w:spacing w:after="120" w:line="240" w:lineRule="auto"/>
        <w:ind w:left="709" w:right="709"/>
        <w:jc w:val="both"/>
        <w:rPr>
          <w:rFonts w:ascii="Verdana" w:eastAsia="Arial" w:hAnsi="Verdana" w:cs="Arial"/>
          <w:color w:val="000000"/>
          <w:sz w:val="20"/>
          <w:szCs w:val="20"/>
          <w:lang w:val="es-ES"/>
        </w:rPr>
      </w:pPr>
      <w:r w:rsidRPr="00C45C5D">
        <w:rPr>
          <w:rFonts w:ascii="Verdana" w:eastAsia="Arial" w:hAnsi="Verdana" w:cs="Arial"/>
          <w:color w:val="000000"/>
          <w:sz w:val="20"/>
          <w:szCs w:val="20"/>
          <w:lang w:val="es-ES"/>
        </w:rPr>
        <w:t>La entidad demandante del bien, obra o servicio invitará a presentar ofertas a todas aquellas cooperativas o asociaciones de entidades territoriales que puedan ejecutar el contrato, para adelantar entre ellas un concurso que permita la selección de la oferta más favorable en los términos del artículo 29 de la Ley 80 de 1993.</w:t>
      </w:r>
    </w:p>
    <w:p w14:paraId="5ECD2DCA" w14:textId="77777777" w:rsidR="00475DAF" w:rsidRPr="00C45C5D" w:rsidRDefault="00475DAF" w:rsidP="00475DAF">
      <w:pPr>
        <w:widowControl w:val="0"/>
        <w:autoSpaceDE w:val="0"/>
        <w:autoSpaceDN w:val="0"/>
        <w:spacing w:after="0" w:line="240" w:lineRule="auto"/>
        <w:ind w:left="709" w:right="709"/>
        <w:jc w:val="both"/>
        <w:rPr>
          <w:rFonts w:ascii="Verdana" w:eastAsia="Arial" w:hAnsi="Verdana" w:cs="Arial"/>
          <w:color w:val="000000"/>
          <w:sz w:val="20"/>
          <w:szCs w:val="20"/>
          <w:lang w:val="es-ES"/>
        </w:rPr>
      </w:pPr>
      <w:r w:rsidRPr="00C45C5D">
        <w:rPr>
          <w:rFonts w:ascii="Verdana" w:eastAsia="Arial" w:hAnsi="Verdana" w:cs="Arial"/>
          <w:color w:val="000000"/>
          <w:sz w:val="20"/>
          <w:szCs w:val="20"/>
          <w:lang w:val="es-ES"/>
        </w:rPr>
        <w:t>Las entidades a que se refiere el presente artículo deberán inscribirse en el RUP, en relación con los contratos a que se refiere el artículo 22 de la Ley 80 de 1993 y sólo podrán celebrar contratos respecto de los cuales posean la debida y comprobada experiencia, solidez financiera, capacidad técnica, administrativa y jurídica que les permita ejecutar directamente y sin la necesidad de ningún tercero el correspondiente contrato”.</w:t>
      </w:r>
    </w:p>
    <w:p w14:paraId="00628C62" w14:textId="77777777" w:rsidR="00475DAF" w:rsidRPr="00C45C5D" w:rsidRDefault="00475DAF" w:rsidP="00475DAF">
      <w:pPr>
        <w:widowControl w:val="0"/>
        <w:autoSpaceDE w:val="0"/>
        <w:autoSpaceDN w:val="0"/>
        <w:spacing w:after="0" w:line="276" w:lineRule="auto"/>
        <w:ind w:left="668" w:right="531"/>
        <w:jc w:val="both"/>
        <w:rPr>
          <w:rFonts w:ascii="Verdana" w:eastAsia="Arial" w:hAnsi="Verdana" w:cs="Arial"/>
          <w:color w:val="000000"/>
          <w:sz w:val="20"/>
          <w:szCs w:val="20"/>
          <w:lang w:val="es-ES"/>
        </w:rPr>
      </w:pPr>
      <w:r w:rsidRPr="00C45C5D">
        <w:rPr>
          <w:rFonts w:ascii="Verdana" w:eastAsia="Arial" w:hAnsi="Verdana" w:cs="Arial"/>
          <w:color w:val="000000"/>
          <w:sz w:val="20"/>
          <w:szCs w:val="20"/>
          <w:lang w:val="es-ES"/>
        </w:rPr>
        <w:tab/>
      </w:r>
    </w:p>
    <w:p w14:paraId="5FB03197" w14:textId="77777777" w:rsidR="00475DAF" w:rsidRPr="00C45C5D" w:rsidRDefault="00475DAF" w:rsidP="00475DAF">
      <w:pPr>
        <w:widowControl w:val="0"/>
        <w:autoSpaceDE w:val="0"/>
        <w:autoSpaceDN w:val="0"/>
        <w:spacing w:after="120" w:line="276" w:lineRule="auto"/>
        <w:ind w:right="108" w:firstLine="709"/>
        <w:jc w:val="both"/>
        <w:rPr>
          <w:rFonts w:ascii="Verdana" w:eastAsia="Arial" w:hAnsi="Verdana" w:cs="Arial"/>
          <w:color w:val="000000"/>
          <w:lang w:val="es-ES"/>
        </w:rPr>
      </w:pPr>
      <w:r w:rsidRPr="00C45C5D">
        <w:rPr>
          <w:rFonts w:ascii="Verdana" w:eastAsia="Arial" w:hAnsi="Verdana" w:cs="Arial"/>
          <w:color w:val="000000"/>
          <w:lang w:val="es-ES"/>
        </w:rPr>
        <w:t>De este modo, la modificación realizada por el artículo 1 del Decreto 4375 de 2006 restringió la libertad contractual de las cooperativas y asociaciones de entidades t</w:t>
      </w:r>
      <w:r>
        <w:rPr>
          <w:rFonts w:ascii="Verdana" w:eastAsia="Arial" w:hAnsi="Verdana" w:cs="Arial"/>
          <w:color w:val="000000"/>
          <w:lang w:val="es-ES"/>
        </w:rPr>
        <w:t>erritoriales para celebrar contrato</w:t>
      </w:r>
      <w:r w:rsidRPr="00C45C5D">
        <w:rPr>
          <w:rFonts w:ascii="Verdana" w:eastAsia="Arial" w:hAnsi="Verdana" w:cs="Arial"/>
          <w:color w:val="000000"/>
          <w:lang w:val="es-ES"/>
        </w:rPr>
        <w:t>s interadministrativos de forma directa, sometiéndolas a las reglas de la selección objetiva indicadas en caso de que estas pretendieran contratar o ser contratadas por una entidad</w:t>
      </w:r>
      <w:r w:rsidRPr="00C45C5D">
        <w:rPr>
          <w:rFonts w:ascii="Verdana" w:eastAsia="Arial" w:hAnsi="Verdana" w:cs="Arial"/>
          <w:color w:val="000000"/>
          <w:spacing w:val="-2"/>
          <w:lang w:val="es-ES"/>
        </w:rPr>
        <w:t xml:space="preserve"> </w:t>
      </w:r>
      <w:r w:rsidRPr="00C45C5D">
        <w:rPr>
          <w:rFonts w:ascii="Verdana" w:eastAsia="Arial" w:hAnsi="Verdana" w:cs="Arial"/>
          <w:color w:val="000000"/>
          <w:lang w:val="es-ES"/>
        </w:rPr>
        <w:t>estatal.</w:t>
      </w:r>
    </w:p>
    <w:p w14:paraId="056B4B39" w14:textId="77777777" w:rsidR="00475DAF" w:rsidRPr="00C45C5D" w:rsidRDefault="00475DAF" w:rsidP="00475DAF">
      <w:pPr>
        <w:widowControl w:val="0"/>
        <w:autoSpaceDE w:val="0"/>
        <w:autoSpaceDN w:val="0"/>
        <w:spacing w:after="0" w:line="276" w:lineRule="auto"/>
        <w:ind w:right="108" w:firstLine="709"/>
        <w:jc w:val="both"/>
        <w:rPr>
          <w:rFonts w:ascii="Verdana" w:eastAsia="Arial" w:hAnsi="Verdana" w:cs="Arial"/>
          <w:color w:val="000000"/>
          <w:lang w:val="es-ES"/>
        </w:rPr>
      </w:pPr>
      <w:r w:rsidRPr="00C45C5D">
        <w:rPr>
          <w:rFonts w:ascii="Verdana" w:eastAsia="Arial" w:hAnsi="Verdana" w:cs="Arial"/>
          <w:color w:val="000000"/>
          <w:lang w:val="es-ES"/>
        </w:rPr>
        <w:t xml:space="preserve">A su vez, con la vigencia de la Ley 1150 de 2007, normativa que </w:t>
      </w:r>
      <w:r>
        <w:rPr>
          <w:rFonts w:ascii="Verdana" w:eastAsia="Arial" w:hAnsi="Verdana" w:cs="Arial"/>
          <w:color w:val="000000"/>
          <w:lang w:val="es-ES"/>
        </w:rPr>
        <w:t xml:space="preserve">estableció </w:t>
      </w:r>
      <w:r w:rsidRPr="00C45C5D">
        <w:rPr>
          <w:rFonts w:ascii="Verdana" w:eastAsia="Arial" w:hAnsi="Verdana" w:cs="Arial"/>
          <w:color w:val="000000"/>
          <w:lang w:val="es-ES"/>
        </w:rPr>
        <w:t xml:space="preserve">medidas para la eficiencia y la transparencia en </w:t>
      </w:r>
      <w:r>
        <w:rPr>
          <w:rFonts w:ascii="Verdana" w:eastAsia="Arial" w:hAnsi="Verdana" w:cs="Arial"/>
          <w:color w:val="000000"/>
          <w:lang w:val="es-ES"/>
        </w:rPr>
        <w:t xml:space="preserve">la contratación pública, se dispusieron </w:t>
      </w:r>
      <w:r w:rsidRPr="00C45C5D">
        <w:rPr>
          <w:rFonts w:ascii="Verdana" w:eastAsia="Arial" w:hAnsi="Verdana" w:cs="Arial"/>
          <w:color w:val="000000"/>
          <w:lang w:val="es-ES"/>
        </w:rPr>
        <w:t>nuevos criter</w:t>
      </w:r>
      <w:r>
        <w:rPr>
          <w:rFonts w:ascii="Verdana" w:eastAsia="Arial" w:hAnsi="Verdana" w:cs="Arial"/>
          <w:color w:val="000000"/>
          <w:lang w:val="es-ES"/>
        </w:rPr>
        <w:t xml:space="preserve">ios para la celebración de </w:t>
      </w:r>
      <w:proofErr w:type="spellStart"/>
      <w:r>
        <w:rPr>
          <w:rFonts w:ascii="Verdana" w:eastAsia="Arial" w:hAnsi="Verdana" w:cs="Arial"/>
          <w:color w:val="000000"/>
          <w:lang w:val="es-ES"/>
        </w:rPr>
        <w:t>contra</w:t>
      </w:r>
      <w:r w:rsidRPr="00C45C5D">
        <w:rPr>
          <w:rFonts w:ascii="Verdana" w:eastAsia="Arial" w:hAnsi="Verdana" w:cs="Arial"/>
          <w:color w:val="000000"/>
          <w:lang w:val="es-ES"/>
        </w:rPr>
        <w:t>nios</w:t>
      </w:r>
      <w:proofErr w:type="spellEnd"/>
      <w:r w:rsidRPr="00C45C5D">
        <w:rPr>
          <w:rFonts w:ascii="Verdana" w:eastAsia="Arial" w:hAnsi="Verdana" w:cs="Arial"/>
          <w:color w:val="000000"/>
          <w:lang w:val="es-ES"/>
        </w:rPr>
        <w:t xml:space="preserve"> interadministrativos para la actividad contractual de cooperativas y asociaciones de entidades territoriales. Particularmente, el artículo 32 de la Ley 1150 de 2007 derogó de manera expresa el parágrafo 1 del artículo 2 de la Ley 80 de 1993, que p</w:t>
      </w:r>
      <w:r>
        <w:rPr>
          <w:rFonts w:ascii="Verdana" w:eastAsia="Arial" w:hAnsi="Verdana" w:cs="Arial"/>
          <w:color w:val="000000"/>
          <w:lang w:val="es-ES"/>
        </w:rPr>
        <w:t>ermitía la celebración de contrato</w:t>
      </w:r>
      <w:r w:rsidRPr="00C45C5D">
        <w:rPr>
          <w:rFonts w:ascii="Verdana" w:eastAsia="Arial" w:hAnsi="Verdana" w:cs="Arial"/>
          <w:color w:val="000000"/>
          <w:lang w:val="es-ES"/>
        </w:rPr>
        <w:t>s interadministrativos por parte de cooperativas y asociaciones de entidades</w:t>
      </w:r>
      <w:r w:rsidRPr="00C45C5D">
        <w:rPr>
          <w:rFonts w:ascii="Verdana" w:eastAsia="Arial" w:hAnsi="Verdana" w:cs="Arial"/>
          <w:color w:val="000000"/>
          <w:spacing w:val="-12"/>
          <w:lang w:val="es-ES"/>
        </w:rPr>
        <w:t xml:space="preserve"> </w:t>
      </w:r>
      <w:r w:rsidRPr="00C45C5D">
        <w:rPr>
          <w:rFonts w:ascii="Verdana" w:eastAsia="Arial" w:hAnsi="Verdana" w:cs="Arial"/>
          <w:color w:val="000000"/>
          <w:lang w:val="es-ES"/>
        </w:rPr>
        <w:t>territoriales</w:t>
      </w:r>
      <w:r w:rsidRPr="00C45C5D">
        <w:rPr>
          <w:rFonts w:ascii="Verdana" w:eastAsia="Arial" w:hAnsi="Verdana" w:cs="Arial"/>
          <w:color w:val="000000"/>
          <w:vertAlign w:val="superscript"/>
          <w:lang w:val="es-ES"/>
        </w:rPr>
        <w:footnoteReference w:id="14"/>
      </w:r>
      <w:r w:rsidRPr="00C45C5D">
        <w:rPr>
          <w:rFonts w:ascii="Verdana" w:eastAsia="Arial" w:hAnsi="Verdana" w:cs="Arial"/>
          <w:color w:val="000000"/>
          <w:lang w:val="es-ES"/>
        </w:rPr>
        <w:t xml:space="preserve">. Además, en </w:t>
      </w:r>
      <w:r w:rsidRPr="00C45C5D">
        <w:rPr>
          <w:rFonts w:ascii="Verdana" w:eastAsia="Arial" w:hAnsi="Verdana" w:cs="Arial"/>
          <w:color w:val="000000"/>
          <w:lang w:val="es-ES"/>
        </w:rPr>
        <w:lastRenderedPageBreak/>
        <w:t>armonía con lo anterior, el artículo 10</w:t>
      </w:r>
      <w:r>
        <w:rPr>
          <w:rFonts w:ascii="Verdana" w:eastAsia="Arial" w:hAnsi="Verdana" w:cs="Arial"/>
          <w:color w:val="000000"/>
          <w:lang w:val="es-ES"/>
        </w:rPr>
        <w:t xml:space="preserve"> de la Ley 1150 de 2007 prescrib</w:t>
      </w:r>
      <w:r w:rsidRPr="00C45C5D">
        <w:rPr>
          <w:rFonts w:ascii="Verdana" w:eastAsia="Arial" w:hAnsi="Verdana" w:cs="Arial"/>
          <w:color w:val="000000"/>
          <w:lang w:val="es-ES"/>
        </w:rPr>
        <w:t>ió:</w:t>
      </w:r>
    </w:p>
    <w:p w14:paraId="003171A6" w14:textId="77777777" w:rsidR="00475DAF" w:rsidRPr="00C45C5D" w:rsidRDefault="00475DAF" w:rsidP="00475DAF">
      <w:pPr>
        <w:widowControl w:val="0"/>
        <w:autoSpaceDE w:val="0"/>
        <w:autoSpaceDN w:val="0"/>
        <w:spacing w:before="8" w:after="0" w:line="276" w:lineRule="auto"/>
        <w:rPr>
          <w:rFonts w:ascii="Verdana" w:eastAsia="Arial" w:hAnsi="Verdana" w:cs="Arial"/>
          <w:color w:val="000000"/>
          <w:lang w:val="es-ES"/>
        </w:rPr>
      </w:pPr>
    </w:p>
    <w:p w14:paraId="03E199AB" w14:textId="77777777" w:rsidR="00475DAF" w:rsidRPr="00C45C5D" w:rsidRDefault="00475DAF" w:rsidP="00475DAF">
      <w:pPr>
        <w:widowControl w:val="0"/>
        <w:autoSpaceDE w:val="0"/>
        <w:autoSpaceDN w:val="0"/>
        <w:spacing w:after="0" w:line="240" w:lineRule="auto"/>
        <w:ind w:left="709" w:right="709"/>
        <w:jc w:val="both"/>
        <w:rPr>
          <w:rFonts w:ascii="Verdana" w:eastAsia="Arial" w:hAnsi="Verdana" w:cs="Arial"/>
          <w:color w:val="000000"/>
          <w:sz w:val="20"/>
          <w:szCs w:val="20"/>
          <w:lang w:val="es-ES"/>
        </w:rPr>
      </w:pPr>
      <w:r w:rsidRPr="00C45C5D">
        <w:rPr>
          <w:rFonts w:ascii="Verdana" w:eastAsia="Arial" w:hAnsi="Verdana" w:cs="Arial"/>
          <w:color w:val="000000"/>
          <w:sz w:val="20"/>
          <w:szCs w:val="20"/>
          <w:lang w:val="es-ES"/>
        </w:rPr>
        <w:t>“Artículo 10. Tratamiento para las cooperativas y asociaciones de entidades territoriales. Las cooperativas, las asociaciones conformadas por entidades territoriales y en general los entes solidarios de carácter público estarán sometidos a las disposiciones del Estatuto General de Contratación de la Administración Pública. La celebración de contratos de entidades estatales con asociaciones o cooperativas de entidades territoriales y en general con entes solidarios, se someterá a los procesos de selección de que trata la presente ley, en los que participarán en igualdad de condiciones con los particulares”.</w:t>
      </w:r>
    </w:p>
    <w:p w14:paraId="00D0D69F" w14:textId="77777777" w:rsidR="00475DAF" w:rsidRPr="00C45C5D" w:rsidRDefault="00475DAF" w:rsidP="00475DAF">
      <w:pPr>
        <w:widowControl w:val="0"/>
        <w:autoSpaceDE w:val="0"/>
        <w:autoSpaceDN w:val="0"/>
        <w:spacing w:before="4" w:after="0" w:line="276" w:lineRule="auto"/>
        <w:rPr>
          <w:rFonts w:ascii="Verdana" w:eastAsia="Arial" w:hAnsi="Verdana" w:cs="Arial"/>
          <w:color w:val="000000"/>
          <w:lang w:val="es-ES"/>
        </w:rPr>
      </w:pPr>
    </w:p>
    <w:p w14:paraId="66C634AA" w14:textId="77777777" w:rsidR="00475DAF" w:rsidRPr="00C45C5D" w:rsidRDefault="00475DAF" w:rsidP="00475DAF">
      <w:pPr>
        <w:widowControl w:val="0"/>
        <w:autoSpaceDE w:val="0"/>
        <w:autoSpaceDN w:val="0"/>
        <w:spacing w:after="120" w:line="276" w:lineRule="auto"/>
        <w:ind w:right="108" w:firstLine="709"/>
        <w:jc w:val="both"/>
        <w:rPr>
          <w:rFonts w:ascii="Verdana" w:eastAsia="Arial" w:hAnsi="Verdana" w:cs="Arial"/>
          <w:color w:val="000000"/>
          <w:lang w:val="es-ES"/>
        </w:rPr>
      </w:pPr>
      <w:r w:rsidRPr="00C45C5D">
        <w:rPr>
          <w:rFonts w:ascii="Verdana" w:eastAsia="Arial" w:hAnsi="Verdana" w:cs="Arial"/>
          <w:color w:val="000000"/>
          <w:lang w:val="es-ES"/>
        </w:rPr>
        <w:t xml:space="preserve">A partir de la norma citada, la celebración de contratos con entidades estatales, las cooperativas y asociaciones conformadas por entidades territoriales deben someterse a los procesos de selección de la Ley 1150 de 2007, en igualdad de condiciones con los particulares. </w:t>
      </w:r>
      <w:r w:rsidRPr="00C45C5D">
        <w:rPr>
          <w:rFonts w:ascii="Verdana" w:eastAsia="Arial" w:hAnsi="Verdana" w:cs="Arial"/>
          <w:color w:val="000000"/>
          <w:shd w:val="clear" w:color="auto" w:fill="FFFFFF"/>
          <w:lang w:val="es-ES"/>
        </w:rPr>
        <w:t xml:space="preserve">Así las cosas, la finalidad de la norma consiste en establecer que las cooperativas, las asociaciones conformadas por entidades territoriales y en general los entes solidarios de carácter público que pretendan celebrar contratos con las entidades estatales pueden hacerlo siempre y cuando lo realicen a través de procedimientos competitivos, limitándose, en consecuencia, la modalidad de contratación directa. </w:t>
      </w:r>
    </w:p>
    <w:p w14:paraId="5CDF3970" w14:textId="77777777" w:rsidR="00475DAF" w:rsidRPr="00C45C5D" w:rsidRDefault="00475DAF" w:rsidP="00475DAF">
      <w:pPr>
        <w:widowControl w:val="0"/>
        <w:autoSpaceDE w:val="0"/>
        <w:autoSpaceDN w:val="0"/>
        <w:spacing w:after="120" w:line="276" w:lineRule="auto"/>
        <w:ind w:right="108" w:firstLine="709"/>
        <w:jc w:val="both"/>
        <w:rPr>
          <w:rFonts w:ascii="Verdana" w:eastAsia="Arial" w:hAnsi="Verdana" w:cs="Arial"/>
          <w:color w:val="000000"/>
          <w:lang w:val="es-ES"/>
        </w:rPr>
      </w:pPr>
      <w:r w:rsidRPr="00C45C5D">
        <w:rPr>
          <w:rFonts w:ascii="Verdana" w:eastAsia="Arial" w:hAnsi="Verdana" w:cs="Arial"/>
          <w:color w:val="000000"/>
          <w:lang w:val="es-ES"/>
        </w:rPr>
        <w:t xml:space="preserve">De la evolución normativa expuesta se advierte que la prohibición de celebrar contratos mediante la modalidad de contratación directa, incluyendo la imposibilidad de acudir a la causal de contratos interadministrativos, por parte de asociaciones de entidades territoriales tiene como fundamento: i) la derogatoria expresa del artículo 32 de la Ley 1150 de 2007, que dejó sin efectos el parágrafo 1 del artículo 2 de la Ley 80 de 1993; y, particularmente, </w:t>
      </w:r>
      <w:proofErr w:type="spellStart"/>
      <w:r w:rsidRPr="00C45C5D">
        <w:rPr>
          <w:rFonts w:ascii="Verdana" w:eastAsia="Arial" w:hAnsi="Verdana" w:cs="Arial"/>
          <w:color w:val="000000"/>
          <w:lang w:val="es-ES"/>
        </w:rPr>
        <w:t>ii</w:t>
      </w:r>
      <w:proofErr w:type="spellEnd"/>
      <w:r w:rsidRPr="00C45C5D">
        <w:rPr>
          <w:rFonts w:ascii="Verdana" w:eastAsia="Arial" w:hAnsi="Verdana" w:cs="Arial"/>
          <w:color w:val="000000"/>
          <w:lang w:val="es-ES"/>
        </w:rPr>
        <w:t>) el artículo 10 de la ley 1150 de 2007 que establece que la celebración de contratos entre una entidad estatal con, entre otras, asociaciones de entidad</w:t>
      </w:r>
      <w:r>
        <w:rPr>
          <w:rFonts w:ascii="Verdana" w:eastAsia="Arial" w:hAnsi="Verdana" w:cs="Arial"/>
          <w:color w:val="000000"/>
          <w:lang w:val="es-ES"/>
        </w:rPr>
        <w:t xml:space="preserve">es territoriales  únicamente </w:t>
      </w:r>
      <w:r w:rsidRPr="00C45C5D">
        <w:rPr>
          <w:rFonts w:ascii="Verdana" w:eastAsia="Arial" w:hAnsi="Verdana" w:cs="Arial"/>
          <w:color w:val="000000"/>
          <w:lang w:val="es-ES"/>
        </w:rPr>
        <w:t>pueden realizar</w:t>
      </w:r>
      <w:r>
        <w:rPr>
          <w:rFonts w:ascii="Verdana" w:eastAsia="Arial" w:hAnsi="Verdana" w:cs="Arial"/>
          <w:color w:val="000000"/>
          <w:lang w:val="es-ES"/>
        </w:rPr>
        <w:t>se</w:t>
      </w:r>
      <w:r w:rsidRPr="00C45C5D">
        <w:rPr>
          <w:rFonts w:ascii="Verdana" w:eastAsia="Arial" w:hAnsi="Verdana" w:cs="Arial"/>
          <w:color w:val="000000"/>
          <w:lang w:val="es-ES"/>
        </w:rPr>
        <w:t xml:space="preserve"> mediante un proceso competitivo, pues deben participar “en igualdad de condiciones con los particulares” y no mediante la modalidad de contratación directa, incluyendo en la prohibición acudir a la causal de los contratos interadministrativos.</w:t>
      </w:r>
    </w:p>
    <w:p w14:paraId="7AAB6097" w14:textId="77777777" w:rsidR="00475DAF" w:rsidRPr="00C45C5D" w:rsidRDefault="00475DAF" w:rsidP="00475DAF">
      <w:pPr>
        <w:widowControl w:val="0"/>
        <w:autoSpaceDE w:val="0"/>
        <w:autoSpaceDN w:val="0"/>
        <w:spacing w:after="0" w:line="276" w:lineRule="auto"/>
        <w:ind w:right="108" w:firstLine="709"/>
        <w:jc w:val="both"/>
        <w:rPr>
          <w:rFonts w:ascii="Verdana" w:eastAsia="Arial" w:hAnsi="Verdana" w:cs="Arial"/>
          <w:color w:val="000000"/>
          <w:lang w:val="es-ES"/>
        </w:rPr>
      </w:pPr>
      <w:r w:rsidRPr="00C45C5D">
        <w:rPr>
          <w:rFonts w:ascii="Verdana" w:eastAsia="Arial" w:hAnsi="Verdana" w:cs="Arial"/>
          <w:color w:val="000000"/>
          <w:lang w:val="es-ES"/>
        </w:rPr>
        <w:t xml:space="preserve">No obstante, continuando con el análisis del desarrollo normativo, debe tenerse en cuenta que posterior a la Ley 1150 de 2007 se expidió la Ley 1454 de 2011, que en el parágrafo del artículo 17 es concluyente frente a la posibilidad que tienen las asociaciones de departamentos, las provincias y las asociaciones de distritos y de municipios de suscribir convenios </w:t>
      </w:r>
      <w:r w:rsidRPr="00C45C5D">
        <w:rPr>
          <w:rFonts w:ascii="Verdana" w:eastAsia="Arial" w:hAnsi="Verdana" w:cs="Arial"/>
          <w:color w:val="000000"/>
          <w:lang w:val="es-ES"/>
        </w:rPr>
        <w:lastRenderedPageBreak/>
        <w:t>interadministrativos, en los términos establecidos en el artículo 95 de la ley 489 de 1998</w:t>
      </w:r>
      <w:r>
        <w:rPr>
          <w:rFonts w:ascii="Verdana" w:eastAsia="Arial" w:hAnsi="Verdana" w:cs="Arial"/>
          <w:color w:val="000000"/>
          <w:lang w:val="es-ES"/>
        </w:rPr>
        <w:t xml:space="preserve"> o mediante la conformación de personas jurídicas de derecho público o de derecho privado</w:t>
      </w:r>
      <w:r w:rsidRPr="00C45C5D">
        <w:rPr>
          <w:rFonts w:ascii="Verdana" w:eastAsia="Arial" w:hAnsi="Verdana" w:cs="Arial"/>
          <w:color w:val="000000"/>
          <w:lang w:val="es-ES"/>
        </w:rPr>
        <w:t>:</w:t>
      </w:r>
    </w:p>
    <w:p w14:paraId="1BA57812" w14:textId="77777777" w:rsidR="00475DAF" w:rsidRPr="00C45C5D" w:rsidRDefault="00475DAF" w:rsidP="00475DAF">
      <w:pPr>
        <w:widowControl w:val="0"/>
        <w:autoSpaceDE w:val="0"/>
        <w:autoSpaceDN w:val="0"/>
        <w:spacing w:after="0" w:line="276" w:lineRule="auto"/>
        <w:ind w:right="108" w:firstLine="709"/>
        <w:jc w:val="both"/>
        <w:rPr>
          <w:rFonts w:ascii="Verdana" w:eastAsia="Arial" w:hAnsi="Verdana" w:cs="Arial"/>
          <w:color w:val="000000"/>
          <w:lang w:val="es-ES"/>
        </w:rPr>
      </w:pPr>
    </w:p>
    <w:p w14:paraId="35FBFDB7" w14:textId="77777777" w:rsidR="00475DAF" w:rsidRPr="00B06E13" w:rsidRDefault="00475DAF" w:rsidP="00475DAF">
      <w:pPr>
        <w:widowControl w:val="0"/>
        <w:autoSpaceDE w:val="0"/>
        <w:autoSpaceDN w:val="0"/>
        <w:spacing w:after="0" w:line="240" w:lineRule="auto"/>
        <w:ind w:left="709" w:right="709"/>
        <w:jc w:val="both"/>
        <w:rPr>
          <w:rFonts w:ascii="Verdana" w:eastAsia="Arial" w:hAnsi="Verdana" w:cs="Arial"/>
          <w:color w:val="000000"/>
          <w:sz w:val="20"/>
          <w:szCs w:val="20"/>
          <w:lang w:val="es-ES"/>
        </w:rPr>
      </w:pPr>
      <w:r w:rsidRPr="00B06E13">
        <w:rPr>
          <w:rFonts w:ascii="Verdana" w:eastAsia="Arial" w:hAnsi="Verdana" w:cs="Arial"/>
          <w:color w:val="000000"/>
          <w:sz w:val="20"/>
          <w:szCs w:val="20"/>
          <w:lang w:val="es-ES"/>
        </w:rPr>
        <w:t xml:space="preserve">“Artículo 17. Naturaleza y funcionamiento de los esquemas asociativos. Las asociaciones de departamentos, las provincias y las </w:t>
      </w:r>
      <w:r w:rsidRPr="00B06E13">
        <w:rPr>
          <w:rFonts w:ascii="Verdana" w:eastAsia="Arial" w:hAnsi="Verdana" w:cs="Arial"/>
          <w:i/>
          <w:iCs/>
          <w:color w:val="000000"/>
          <w:sz w:val="20"/>
          <w:szCs w:val="20"/>
          <w:lang w:val="es-ES"/>
        </w:rPr>
        <w:t>asociaciones de distritos y de municipios</w:t>
      </w:r>
      <w:r w:rsidRPr="00B06E13">
        <w:rPr>
          <w:rFonts w:ascii="Verdana" w:eastAsia="Arial" w:hAnsi="Verdana" w:cs="Arial"/>
          <w:color w:val="000000"/>
          <w:sz w:val="20"/>
          <w:szCs w:val="20"/>
          <w:lang w:val="es-ES"/>
        </w:rPr>
        <w:t xml:space="preserve"> son entidades administrativas de derecho público, con personería jurídica y patrimonio propio e independiente de los entes que la conforman.</w:t>
      </w:r>
    </w:p>
    <w:p w14:paraId="1F4131A5" w14:textId="77777777" w:rsidR="00475DAF" w:rsidRPr="00B06E13" w:rsidRDefault="00475DAF" w:rsidP="00475DAF">
      <w:pPr>
        <w:widowControl w:val="0"/>
        <w:autoSpaceDE w:val="0"/>
        <w:autoSpaceDN w:val="0"/>
        <w:spacing w:after="0" w:line="240" w:lineRule="auto"/>
        <w:ind w:left="709" w:right="709"/>
        <w:jc w:val="both"/>
        <w:rPr>
          <w:rFonts w:ascii="Verdana" w:eastAsia="Arial" w:hAnsi="Verdana" w:cs="Arial"/>
          <w:color w:val="000000"/>
          <w:sz w:val="20"/>
          <w:szCs w:val="20"/>
          <w:lang w:val="es-ES"/>
        </w:rPr>
      </w:pPr>
    </w:p>
    <w:p w14:paraId="231A4A74" w14:textId="77777777" w:rsidR="00475DAF" w:rsidRPr="00B06E13" w:rsidRDefault="00475DAF" w:rsidP="00475DAF">
      <w:pPr>
        <w:widowControl w:val="0"/>
        <w:autoSpaceDE w:val="0"/>
        <w:autoSpaceDN w:val="0"/>
        <w:spacing w:after="0" w:line="240" w:lineRule="auto"/>
        <w:ind w:left="709" w:right="709"/>
        <w:jc w:val="both"/>
        <w:rPr>
          <w:rFonts w:ascii="Verdana" w:eastAsia="Arial" w:hAnsi="Verdana" w:cs="Arial"/>
          <w:color w:val="000000"/>
          <w:sz w:val="20"/>
          <w:szCs w:val="20"/>
          <w:lang w:val="es-ES"/>
        </w:rPr>
      </w:pPr>
      <w:r w:rsidRPr="00B06E13">
        <w:rPr>
          <w:rFonts w:ascii="Verdana" w:eastAsia="Arial" w:hAnsi="Verdana" w:cs="Arial"/>
          <w:color w:val="000000"/>
          <w:sz w:val="20"/>
          <w:szCs w:val="20"/>
          <w:lang w:val="es-ES"/>
        </w:rPr>
        <w:t>Las asociaciones de departamentos podrán constituirse en regiones administrativas y de planificación, previa autorización de sus asambleas departamentales.</w:t>
      </w:r>
    </w:p>
    <w:p w14:paraId="42A710DE" w14:textId="77777777" w:rsidR="00475DAF" w:rsidRPr="00B06E13" w:rsidRDefault="00475DAF" w:rsidP="00475DAF">
      <w:pPr>
        <w:widowControl w:val="0"/>
        <w:autoSpaceDE w:val="0"/>
        <w:autoSpaceDN w:val="0"/>
        <w:spacing w:after="0" w:line="240" w:lineRule="auto"/>
        <w:ind w:left="709" w:right="709"/>
        <w:jc w:val="both"/>
        <w:rPr>
          <w:rFonts w:ascii="Verdana" w:eastAsia="Arial" w:hAnsi="Verdana" w:cs="Arial"/>
          <w:color w:val="000000"/>
          <w:sz w:val="20"/>
          <w:szCs w:val="20"/>
          <w:lang w:val="es-ES"/>
        </w:rPr>
      </w:pPr>
    </w:p>
    <w:p w14:paraId="1E3EEE7D" w14:textId="77777777" w:rsidR="00475DAF" w:rsidRPr="00B06E13" w:rsidRDefault="00475DAF" w:rsidP="00475DAF">
      <w:pPr>
        <w:widowControl w:val="0"/>
        <w:autoSpaceDE w:val="0"/>
        <w:autoSpaceDN w:val="0"/>
        <w:spacing w:after="0" w:line="240" w:lineRule="auto"/>
        <w:ind w:left="709" w:right="709"/>
        <w:jc w:val="both"/>
        <w:rPr>
          <w:rFonts w:ascii="Verdana" w:eastAsia="Arial" w:hAnsi="Verdana" w:cs="Arial"/>
          <w:color w:val="000000"/>
          <w:sz w:val="20"/>
          <w:szCs w:val="20"/>
          <w:lang w:val="es-ES"/>
        </w:rPr>
      </w:pPr>
      <w:r w:rsidRPr="00B06E13">
        <w:rPr>
          <w:rFonts w:ascii="Verdana" w:eastAsia="Arial" w:hAnsi="Verdana" w:cs="Arial"/>
          <w:color w:val="000000"/>
          <w:sz w:val="20"/>
          <w:szCs w:val="20"/>
          <w:lang w:val="es-ES"/>
        </w:rPr>
        <w:t>En ningún caso las entidades territoriales que se asocien podrán generar gastos de funcionamiento adicionales con cargo a su presupuesto o al presupuesto general de la Nación, ni incrementar la planta burocrática de las respectivas entidades que las conformen.</w:t>
      </w:r>
    </w:p>
    <w:p w14:paraId="6F500314" w14:textId="77777777" w:rsidR="00475DAF" w:rsidRPr="00B06E13" w:rsidRDefault="00475DAF" w:rsidP="00475DAF">
      <w:pPr>
        <w:widowControl w:val="0"/>
        <w:autoSpaceDE w:val="0"/>
        <w:autoSpaceDN w:val="0"/>
        <w:spacing w:after="0" w:line="240" w:lineRule="auto"/>
        <w:ind w:left="709" w:right="709"/>
        <w:jc w:val="both"/>
        <w:rPr>
          <w:rFonts w:ascii="Verdana" w:eastAsia="Arial" w:hAnsi="Verdana" w:cs="Arial"/>
          <w:color w:val="000000"/>
          <w:sz w:val="20"/>
          <w:szCs w:val="20"/>
          <w:lang w:val="es-ES"/>
        </w:rPr>
      </w:pPr>
    </w:p>
    <w:p w14:paraId="6B931604" w14:textId="77777777" w:rsidR="00475DAF" w:rsidRPr="00B06E13" w:rsidRDefault="00475DAF" w:rsidP="00475DAF">
      <w:pPr>
        <w:widowControl w:val="0"/>
        <w:autoSpaceDE w:val="0"/>
        <w:autoSpaceDN w:val="0"/>
        <w:spacing w:after="0" w:line="240" w:lineRule="auto"/>
        <w:ind w:left="709" w:right="709"/>
        <w:jc w:val="both"/>
        <w:rPr>
          <w:rFonts w:ascii="Verdana" w:eastAsia="Arial" w:hAnsi="Verdana" w:cs="Arial"/>
          <w:color w:val="000000"/>
          <w:sz w:val="20"/>
          <w:szCs w:val="20"/>
          <w:lang w:val="es-ES"/>
        </w:rPr>
      </w:pPr>
      <w:r w:rsidRPr="00B06E13">
        <w:rPr>
          <w:rFonts w:ascii="Verdana" w:eastAsia="Arial" w:hAnsi="Verdana" w:cs="Arial"/>
          <w:color w:val="000000"/>
          <w:sz w:val="20"/>
          <w:szCs w:val="20"/>
          <w:lang w:val="es-ES"/>
        </w:rPr>
        <w:t>PARÁGRAFO. En concordancia con lo previsto en el artículo </w:t>
      </w:r>
      <w:hyperlink r:id="rId13" w:anchor="95" w:history="1">
        <w:r w:rsidRPr="00B06E13">
          <w:rPr>
            <w:rFonts w:ascii="Verdana" w:eastAsia="Arial" w:hAnsi="Verdana" w:cs="Arial"/>
            <w:color w:val="000000"/>
            <w:sz w:val="20"/>
            <w:szCs w:val="20"/>
            <w:lang w:val="es-ES"/>
          </w:rPr>
          <w:t>95</w:t>
        </w:r>
      </w:hyperlink>
      <w:r w:rsidRPr="00B06E13">
        <w:rPr>
          <w:rFonts w:ascii="Verdana" w:eastAsia="Arial" w:hAnsi="Verdana" w:cs="Arial"/>
          <w:color w:val="000000"/>
          <w:sz w:val="20"/>
          <w:szCs w:val="20"/>
          <w:lang w:val="es-ES"/>
        </w:rPr>
        <w:t xml:space="preserve"> de la Ley 489 de 1998, las Entidades Territoriales podrán continuar asociándose mediante la celebración de convenios interadministrativos o mediante la conformación de personas jurídicas de derecho público o derecho privado”. </w:t>
      </w:r>
    </w:p>
    <w:p w14:paraId="04C08C1F" w14:textId="77777777" w:rsidR="00475DAF" w:rsidRPr="00C45C5D" w:rsidRDefault="00475DAF" w:rsidP="00475DAF">
      <w:pPr>
        <w:widowControl w:val="0"/>
        <w:autoSpaceDE w:val="0"/>
        <w:autoSpaceDN w:val="0"/>
        <w:spacing w:after="0" w:line="276" w:lineRule="auto"/>
        <w:ind w:right="108" w:firstLine="709"/>
        <w:jc w:val="both"/>
        <w:rPr>
          <w:rFonts w:ascii="Verdana" w:eastAsia="Arial" w:hAnsi="Verdana" w:cs="Arial"/>
          <w:color w:val="000000"/>
          <w:lang w:val="es-ES"/>
        </w:rPr>
      </w:pPr>
    </w:p>
    <w:p w14:paraId="69CC2DB1" w14:textId="77777777" w:rsidR="00475DAF" w:rsidRPr="00C45C5D" w:rsidRDefault="00475DAF" w:rsidP="00475DAF">
      <w:pPr>
        <w:widowControl w:val="0"/>
        <w:autoSpaceDE w:val="0"/>
        <w:autoSpaceDN w:val="0"/>
        <w:spacing w:after="0" w:line="276" w:lineRule="auto"/>
        <w:ind w:right="108"/>
        <w:jc w:val="both"/>
        <w:rPr>
          <w:rFonts w:ascii="Verdana" w:eastAsia="Arial" w:hAnsi="Verdana" w:cs="Arial"/>
          <w:color w:val="000000"/>
          <w:lang w:val="es-ES"/>
        </w:rPr>
      </w:pPr>
      <w:r w:rsidRPr="00C45C5D">
        <w:rPr>
          <w:rFonts w:ascii="Verdana" w:eastAsia="Arial" w:hAnsi="Verdana" w:cs="Arial"/>
          <w:color w:val="000000"/>
          <w:lang w:val="es-ES"/>
        </w:rPr>
        <w:tab/>
        <w:t>Para finalizar el recuento normativo, es necesario hacer referencia a la modificación realizada por el artículo 92 de la Ley 1474 de 2011 al literal </w:t>
      </w:r>
      <w:hyperlink r:id="rId14" w:anchor="2.4.c" w:history="1">
        <w:r w:rsidRPr="00C45C5D">
          <w:rPr>
            <w:rFonts w:ascii="Verdana" w:eastAsia="Arial" w:hAnsi="Verdana" w:cs="Arial"/>
            <w:color w:val="000000"/>
            <w:lang w:val="es-ES"/>
          </w:rPr>
          <w:t>c)</w:t>
        </w:r>
      </w:hyperlink>
      <w:r w:rsidRPr="00C45C5D">
        <w:rPr>
          <w:rFonts w:ascii="Verdana" w:eastAsia="Arial" w:hAnsi="Verdana" w:cs="Arial"/>
          <w:color w:val="000000"/>
          <w:lang w:val="es-ES"/>
        </w:rPr>
        <w:t> del numeral 4 del artículo 2 de la Ley 1150 de 2007. En efecto, el artículo 92 indicado prohíbe acudir a la causal de contratación directa para celebrar ciertas tipologías y objetos contractuales por parte de ciertas entidades, donde se incluye esta restricción precisa frente a las asociaciones de entidades públicas. En efecto, la disposición establece:</w:t>
      </w:r>
    </w:p>
    <w:p w14:paraId="5901D47D" w14:textId="77777777" w:rsidR="00475DAF" w:rsidRPr="00C45C5D" w:rsidRDefault="00475DAF" w:rsidP="00475DAF">
      <w:pPr>
        <w:widowControl w:val="0"/>
        <w:autoSpaceDE w:val="0"/>
        <w:autoSpaceDN w:val="0"/>
        <w:spacing w:after="0" w:line="276" w:lineRule="auto"/>
        <w:ind w:right="108" w:firstLine="708"/>
        <w:jc w:val="both"/>
        <w:rPr>
          <w:rFonts w:ascii="Verdana" w:eastAsia="Arial" w:hAnsi="Verdana" w:cs="Arial"/>
          <w:color w:val="000000"/>
          <w:lang w:val="es-ES"/>
        </w:rPr>
      </w:pPr>
    </w:p>
    <w:p w14:paraId="36419C8C" w14:textId="77777777" w:rsidR="00475DAF" w:rsidRDefault="00475DAF" w:rsidP="00475DAF">
      <w:pPr>
        <w:widowControl w:val="0"/>
        <w:autoSpaceDE w:val="0"/>
        <w:autoSpaceDN w:val="0"/>
        <w:spacing w:after="0" w:line="240" w:lineRule="auto"/>
        <w:ind w:left="709" w:right="709"/>
        <w:jc w:val="both"/>
        <w:rPr>
          <w:rFonts w:ascii="Verdana" w:eastAsia="Arial" w:hAnsi="Verdana" w:cs="Arial"/>
          <w:color w:val="000000"/>
          <w:sz w:val="20"/>
          <w:szCs w:val="20"/>
          <w:lang w:val="es-ES"/>
        </w:rPr>
      </w:pPr>
      <w:r w:rsidRPr="00C45C5D">
        <w:rPr>
          <w:rFonts w:ascii="Verdana" w:eastAsia="Arial" w:hAnsi="Verdana" w:cs="Arial"/>
          <w:color w:val="000000"/>
          <w:sz w:val="20"/>
          <w:szCs w:val="20"/>
          <w:lang w:val="es-ES"/>
        </w:rPr>
        <w:t xml:space="preserve">“Artículo 92. Contratos interadministrativos. </w:t>
      </w:r>
      <w:proofErr w:type="spellStart"/>
      <w:r w:rsidRPr="00C45C5D">
        <w:rPr>
          <w:rFonts w:ascii="Verdana" w:eastAsia="Arial" w:hAnsi="Verdana" w:cs="Arial"/>
          <w:color w:val="000000"/>
          <w:sz w:val="20"/>
          <w:szCs w:val="20"/>
          <w:lang w:val="es-ES"/>
        </w:rPr>
        <w:t>Modifícase</w:t>
      </w:r>
      <w:proofErr w:type="spellEnd"/>
      <w:r w:rsidRPr="00C45C5D">
        <w:rPr>
          <w:rFonts w:ascii="Verdana" w:eastAsia="Arial" w:hAnsi="Verdana" w:cs="Arial"/>
          <w:color w:val="000000"/>
          <w:sz w:val="20"/>
          <w:szCs w:val="20"/>
          <w:lang w:val="es-ES"/>
        </w:rPr>
        <w:t xml:space="preserve"> el inciso primero del literal c) del numeral 4 del artículo 2o de la Ley 1150 de 2007, el cual quedará así:</w:t>
      </w:r>
    </w:p>
    <w:p w14:paraId="0E1F783C" w14:textId="77777777" w:rsidR="00475DAF" w:rsidRPr="00C45C5D" w:rsidRDefault="00475DAF" w:rsidP="00475DAF">
      <w:pPr>
        <w:widowControl w:val="0"/>
        <w:autoSpaceDE w:val="0"/>
        <w:autoSpaceDN w:val="0"/>
        <w:spacing w:after="0" w:line="240" w:lineRule="auto"/>
        <w:ind w:left="709" w:right="709"/>
        <w:jc w:val="both"/>
        <w:rPr>
          <w:rFonts w:ascii="Verdana" w:eastAsia="Arial" w:hAnsi="Verdana" w:cs="Arial"/>
          <w:color w:val="000000"/>
          <w:sz w:val="20"/>
          <w:szCs w:val="20"/>
          <w:lang w:val="es-ES"/>
        </w:rPr>
      </w:pPr>
    </w:p>
    <w:p w14:paraId="68545350" w14:textId="77777777" w:rsidR="00475DAF" w:rsidRDefault="00475DAF" w:rsidP="00475DAF">
      <w:pPr>
        <w:widowControl w:val="0"/>
        <w:autoSpaceDE w:val="0"/>
        <w:autoSpaceDN w:val="0"/>
        <w:spacing w:after="0" w:line="240" w:lineRule="auto"/>
        <w:ind w:left="709" w:right="709"/>
        <w:jc w:val="both"/>
        <w:rPr>
          <w:rFonts w:ascii="Verdana" w:eastAsia="Arial" w:hAnsi="Verdana" w:cs="Arial"/>
          <w:color w:val="000000"/>
          <w:sz w:val="20"/>
          <w:szCs w:val="20"/>
          <w:lang w:val="es-ES"/>
        </w:rPr>
      </w:pPr>
      <w:r w:rsidRPr="00C45C5D">
        <w:rPr>
          <w:rFonts w:ascii="Verdana" w:eastAsia="Arial" w:hAnsi="Verdana" w:cs="Arial"/>
          <w:color w:val="000000"/>
          <w:sz w:val="20"/>
          <w:szCs w:val="20"/>
          <w:lang w:val="es-ES"/>
        </w:rPr>
        <w:t>c) Contratos interadministrativos, siempre que las obligaciones derivadas del mismo tengan relación directa con el objeto de la entidad ejecutora señalado en la ley o en sus reglamentos.</w:t>
      </w:r>
    </w:p>
    <w:p w14:paraId="060D02C7" w14:textId="77777777" w:rsidR="00475DAF" w:rsidRPr="00C45C5D" w:rsidRDefault="00475DAF" w:rsidP="00475DAF">
      <w:pPr>
        <w:widowControl w:val="0"/>
        <w:autoSpaceDE w:val="0"/>
        <w:autoSpaceDN w:val="0"/>
        <w:spacing w:after="0" w:line="240" w:lineRule="auto"/>
        <w:ind w:left="709" w:right="709"/>
        <w:jc w:val="both"/>
        <w:rPr>
          <w:rFonts w:ascii="Verdana" w:eastAsia="Arial" w:hAnsi="Verdana" w:cs="Arial"/>
          <w:color w:val="000000"/>
          <w:sz w:val="20"/>
          <w:szCs w:val="20"/>
          <w:lang w:val="es-ES"/>
        </w:rPr>
      </w:pPr>
    </w:p>
    <w:p w14:paraId="3C30302F" w14:textId="77777777" w:rsidR="00475DAF" w:rsidRPr="00C45C5D" w:rsidRDefault="00475DAF" w:rsidP="00475DAF">
      <w:pPr>
        <w:widowControl w:val="0"/>
        <w:autoSpaceDE w:val="0"/>
        <w:autoSpaceDN w:val="0"/>
        <w:spacing w:after="0" w:line="240" w:lineRule="auto"/>
        <w:ind w:left="709" w:right="709"/>
        <w:jc w:val="both"/>
        <w:rPr>
          <w:rFonts w:ascii="Verdana" w:eastAsia="Arial" w:hAnsi="Verdana" w:cs="Arial"/>
          <w:color w:val="000000"/>
          <w:sz w:val="20"/>
          <w:szCs w:val="20"/>
          <w:lang w:val="es-ES"/>
        </w:rPr>
      </w:pPr>
      <w:r w:rsidRPr="00C45C5D">
        <w:rPr>
          <w:rFonts w:ascii="Verdana" w:eastAsia="Arial" w:hAnsi="Verdana" w:cs="Arial"/>
          <w:i/>
          <w:iCs/>
          <w:color w:val="000000"/>
          <w:sz w:val="20"/>
          <w:szCs w:val="20"/>
          <w:lang w:val="es-ES"/>
        </w:rPr>
        <w:t>Se exceptúan los contratos de obra, suministro, prestación de servicios de evaluación de conformidad respecto de las normas o reglamentos técnicos, encargos fiduciarios y fiducia pública cuando</w:t>
      </w:r>
      <w:r w:rsidRPr="00C45C5D">
        <w:rPr>
          <w:rFonts w:ascii="Verdana" w:eastAsia="Arial" w:hAnsi="Verdana" w:cs="Arial"/>
          <w:color w:val="000000"/>
          <w:sz w:val="20"/>
          <w:szCs w:val="20"/>
          <w:lang w:val="es-ES"/>
        </w:rPr>
        <w:t xml:space="preserve"> las instituciones de educación superior públicas o las Sociedades de Economía Mixta con participación mayoritaria del Estado, o </w:t>
      </w:r>
      <w:r w:rsidRPr="00C45C5D">
        <w:rPr>
          <w:rFonts w:ascii="Verdana" w:eastAsia="Arial" w:hAnsi="Verdana" w:cs="Arial"/>
          <w:i/>
          <w:iCs/>
          <w:color w:val="000000"/>
          <w:sz w:val="20"/>
          <w:szCs w:val="20"/>
          <w:lang w:val="es-ES"/>
        </w:rPr>
        <w:t xml:space="preserve">las personas jurídicas sin ánimo de </w:t>
      </w:r>
      <w:r w:rsidRPr="00C45C5D">
        <w:rPr>
          <w:rFonts w:ascii="Verdana" w:eastAsia="Arial" w:hAnsi="Verdana" w:cs="Arial"/>
          <w:i/>
          <w:iCs/>
          <w:color w:val="000000"/>
          <w:sz w:val="20"/>
          <w:szCs w:val="20"/>
          <w:lang w:val="es-ES"/>
        </w:rPr>
        <w:lastRenderedPageBreak/>
        <w:t>lucro conformadas por la asociación de entidades públicas</w:t>
      </w:r>
      <w:r w:rsidRPr="00C45C5D">
        <w:rPr>
          <w:rFonts w:ascii="Verdana" w:eastAsia="Arial" w:hAnsi="Verdana" w:cs="Arial"/>
          <w:color w:val="000000"/>
          <w:sz w:val="20"/>
          <w:szCs w:val="20"/>
          <w:lang w:val="es-ES"/>
        </w:rPr>
        <w:t>, o</w:t>
      </w:r>
      <w:r w:rsidRPr="00C45C5D">
        <w:rPr>
          <w:rFonts w:ascii="Verdana" w:eastAsia="Arial" w:hAnsi="Verdana" w:cs="Arial"/>
          <w:i/>
          <w:iCs/>
          <w:color w:val="000000"/>
          <w:sz w:val="20"/>
          <w:szCs w:val="20"/>
          <w:lang w:val="es-ES"/>
        </w:rPr>
        <w:t xml:space="preserve"> </w:t>
      </w:r>
      <w:r w:rsidRPr="00C45C5D">
        <w:rPr>
          <w:rFonts w:ascii="Verdana" w:eastAsia="Arial" w:hAnsi="Verdana" w:cs="Arial"/>
          <w:color w:val="000000"/>
          <w:sz w:val="20"/>
          <w:szCs w:val="20"/>
          <w:lang w:val="es-ES"/>
        </w:rPr>
        <w:t>las federaciones de entidades territoriales</w:t>
      </w:r>
      <w:r w:rsidRPr="00C45C5D">
        <w:rPr>
          <w:rFonts w:ascii="Verdana" w:eastAsia="Arial" w:hAnsi="Verdana" w:cs="Arial"/>
          <w:i/>
          <w:iCs/>
          <w:color w:val="000000"/>
          <w:sz w:val="20"/>
          <w:szCs w:val="20"/>
          <w:lang w:val="es-ES"/>
        </w:rPr>
        <w:t xml:space="preserve"> sean las ejecutoras</w:t>
      </w:r>
      <w:r w:rsidRPr="00C45C5D">
        <w:rPr>
          <w:rFonts w:ascii="Verdana" w:eastAsia="Arial" w:hAnsi="Verdana" w:cs="Arial"/>
          <w:color w:val="000000"/>
          <w:sz w:val="20"/>
          <w:szCs w:val="20"/>
          <w:lang w:val="es-ES"/>
        </w:rPr>
        <w:t>. Estos contratos podrán ser ejecutados por las mismas, siempre que participen en procesos de licitación pública o contratación abreviada de acuerdo con lo dispuesto por los numerales 1 y 2 del presente artículo”. (Énfasis fuera de texto)</w:t>
      </w:r>
    </w:p>
    <w:p w14:paraId="1FB55524" w14:textId="77777777" w:rsidR="00475DAF" w:rsidRPr="00C45C5D" w:rsidRDefault="00475DAF" w:rsidP="00475DAF">
      <w:pPr>
        <w:widowControl w:val="0"/>
        <w:autoSpaceDE w:val="0"/>
        <w:autoSpaceDN w:val="0"/>
        <w:spacing w:after="0" w:line="276" w:lineRule="auto"/>
        <w:ind w:right="108" w:firstLine="709"/>
        <w:jc w:val="both"/>
        <w:rPr>
          <w:rFonts w:ascii="Verdana" w:eastAsia="Arial" w:hAnsi="Verdana" w:cs="Arial"/>
          <w:color w:val="000000"/>
          <w:lang w:val="es-ES"/>
        </w:rPr>
      </w:pPr>
    </w:p>
    <w:p w14:paraId="0A90064C" w14:textId="77777777" w:rsidR="00475DAF" w:rsidRPr="00C45C5D" w:rsidRDefault="00475DAF" w:rsidP="00475DAF">
      <w:pPr>
        <w:widowControl w:val="0"/>
        <w:autoSpaceDE w:val="0"/>
        <w:autoSpaceDN w:val="0"/>
        <w:spacing w:after="120" w:line="276" w:lineRule="auto"/>
        <w:ind w:right="108" w:firstLine="709"/>
        <w:jc w:val="both"/>
        <w:rPr>
          <w:rFonts w:ascii="Verdana" w:eastAsia="Arial" w:hAnsi="Verdana" w:cs="Arial"/>
          <w:color w:val="000000"/>
          <w:lang w:val="es-ES"/>
        </w:rPr>
      </w:pPr>
      <w:r w:rsidRPr="00C45C5D">
        <w:rPr>
          <w:rFonts w:ascii="Verdana" w:eastAsia="Arial" w:hAnsi="Verdana" w:cs="Arial"/>
          <w:color w:val="000000"/>
          <w:lang w:val="es-ES"/>
        </w:rPr>
        <w:t xml:space="preserve">La anterior constituye </w:t>
      </w:r>
      <w:r>
        <w:rPr>
          <w:rFonts w:ascii="Verdana" w:eastAsia="Arial" w:hAnsi="Verdana" w:cs="Arial"/>
          <w:color w:val="000000"/>
          <w:lang w:val="es-ES"/>
        </w:rPr>
        <w:t xml:space="preserve">una </w:t>
      </w:r>
      <w:r w:rsidRPr="00C45C5D">
        <w:rPr>
          <w:rFonts w:ascii="Verdana" w:eastAsia="Arial" w:hAnsi="Verdana" w:cs="Arial"/>
          <w:color w:val="000000"/>
          <w:lang w:val="es-ES"/>
        </w:rPr>
        <w:t xml:space="preserve">prohibición precisa para celebrar ciertos objetos y tipologías contractuales por parte de personas jurídicas sin ánimo de lucro conformadas por la asociación de entidades públicas. En particular, se exceptúa la posibilidad de acudir a la causal de contratos interadministrativos para celebrar directamente contratos de obra, suministro, prestación de servicios de evaluación de conformidad respecto de las normas o reglamentos técnicos, encargos fiduciarios y fiducia pública. </w:t>
      </w:r>
    </w:p>
    <w:p w14:paraId="524E3846" w14:textId="77777777" w:rsidR="00475DAF" w:rsidRPr="00216AE7" w:rsidRDefault="00475DAF" w:rsidP="00475DAF">
      <w:pPr>
        <w:spacing w:before="120" w:after="120" w:line="276" w:lineRule="auto"/>
        <w:ind w:firstLine="709"/>
        <w:jc w:val="both"/>
        <w:rPr>
          <w:rFonts w:ascii="Verdana" w:eastAsia="Times New Roman" w:hAnsi="Verdana" w:cs="Times New Roman"/>
          <w:color w:val="000000" w:themeColor="text1"/>
          <w:lang w:val="es-ES_tradnl" w:eastAsia="es-CO"/>
        </w:rPr>
      </w:pPr>
      <w:r>
        <w:rPr>
          <w:rFonts w:ascii="Verdana" w:eastAsia="Times New Roman" w:hAnsi="Verdana" w:cs="Times New Roman"/>
          <w:color w:val="000000" w:themeColor="text1"/>
          <w:lang w:eastAsia="es-CO"/>
        </w:rPr>
        <w:t>Ahora bien, con respecto a la posibilidad de celebrarse contratos interadministrativos mediante administración delegada</w:t>
      </w:r>
      <w:r w:rsidRPr="00987D4B">
        <w:rPr>
          <w:rFonts w:ascii="Verdana" w:hAnsi="Verdana" w:cs="Arial"/>
          <w:color w:val="000000" w:themeColor="text1"/>
          <w:lang w:val="es-ES_tradnl"/>
        </w:rPr>
        <w:t>,</w:t>
      </w:r>
      <w:r>
        <w:rPr>
          <w:rFonts w:ascii="Verdana" w:hAnsi="Verdana" w:cs="Arial"/>
          <w:color w:val="000000" w:themeColor="text1"/>
          <w:lang w:val="es-ES_tradnl"/>
        </w:rPr>
        <w:t xml:space="preserve"> se precisa que puede entenderse como</w:t>
      </w:r>
      <w:r w:rsidRPr="00987D4B">
        <w:rPr>
          <w:rFonts w:ascii="Verdana" w:hAnsi="Verdana" w:cs="Arial"/>
          <w:color w:val="000000" w:themeColor="text1"/>
          <w:lang w:val="es-ES_tradnl"/>
        </w:rPr>
        <w:t xml:space="preserve"> forma de mandato o como modalidad de administración de los re</w:t>
      </w:r>
      <w:r>
        <w:rPr>
          <w:rFonts w:ascii="Verdana" w:hAnsi="Verdana" w:cs="Arial"/>
          <w:color w:val="000000" w:themeColor="text1"/>
          <w:lang w:val="es-ES_tradnl"/>
        </w:rPr>
        <w:t xml:space="preserve">cursos destinados a la obra. Teniendo </w:t>
      </w:r>
      <w:r w:rsidRPr="00987D4B">
        <w:rPr>
          <w:rFonts w:ascii="Verdana" w:hAnsi="Verdana" w:cs="Arial"/>
          <w:color w:val="000000" w:themeColor="text1"/>
          <w:lang w:val="es-ES_tradnl"/>
        </w:rPr>
        <w:t xml:space="preserve">en cuenta la remisión de los </w:t>
      </w:r>
      <w:r>
        <w:rPr>
          <w:rFonts w:ascii="Verdana" w:hAnsi="Verdana" w:cs="Arial"/>
          <w:color w:val="000000" w:themeColor="text1"/>
          <w:lang w:val="es-ES_tradnl"/>
        </w:rPr>
        <w:t xml:space="preserve">artículos </w:t>
      </w:r>
      <w:r w:rsidRPr="00987D4B">
        <w:rPr>
          <w:rFonts w:ascii="Verdana" w:hAnsi="Verdana" w:cs="Arial"/>
          <w:color w:val="000000" w:themeColor="text1"/>
          <w:lang w:val="es-ES_tradnl"/>
        </w:rPr>
        <w:t xml:space="preserve">13, 32 y 40 de la Ley 80 de 1993 a las normas comerciales </w:t>
      </w:r>
      <w:r>
        <w:rPr>
          <w:rFonts w:ascii="Verdana" w:hAnsi="Verdana" w:cs="Arial"/>
          <w:color w:val="000000" w:themeColor="text1"/>
          <w:lang w:val="es-ES_tradnl"/>
        </w:rPr>
        <w:t xml:space="preserve">y civiles y a partir del análisis realizado, se enmarca </w:t>
      </w:r>
      <w:r w:rsidRPr="00987D4B">
        <w:rPr>
          <w:rFonts w:ascii="Verdana" w:hAnsi="Verdana" w:cs="Arial"/>
          <w:color w:val="000000" w:themeColor="text1"/>
          <w:lang w:val="es-ES_tradnl"/>
        </w:rPr>
        <w:t xml:space="preserve">en </w:t>
      </w:r>
      <w:r w:rsidRPr="00C45C5D">
        <w:rPr>
          <w:rFonts w:ascii="Verdana" w:eastAsia="Arial" w:hAnsi="Verdana" w:cs="Arial"/>
          <w:color w:val="000000"/>
          <w:lang w:val="es-ES"/>
        </w:rPr>
        <w:t>las prohibiciones establecidas en el artículo 10 de la Ley 1150 de 2007 y en el artículo 92 de la Ley 1474 de 2011</w:t>
      </w:r>
      <w:r>
        <w:rPr>
          <w:rFonts w:ascii="Verdana" w:eastAsia="Arial" w:hAnsi="Verdana" w:cs="Arial"/>
          <w:color w:val="000000"/>
          <w:lang w:val="es-ES"/>
        </w:rPr>
        <w:t xml:space="preserve"> que modifica el literal c del artículo 2 numeral 4° de la Ley 1150 de 2007</w:t>
      </w:r>
      <w:r w:rsidRPr="00C45C5D">
        <w:rPr>
          <w:rFonts w:ascii="Verdana" w:eastAsia="Arial" w:hAnsi="Verdana" w:cs="Arial"/>
          <w:color w:val="000000"/>
          <w:lang w:val="es-ES"/>
        </w:rPr>
        <w:t>, los cuales limitan la modalidad de contratación directa.</w:t>
      </w:r>
    </w:p>
    <w:p w14:paraId="1DD1A4C8" w14:textId="77777777" w:rsidR="00475DAF" w:rsidRPr="006E5249" w:rsidRDefault="00475DAF" w:rsidP="00475DAF">
      <w:pPr>
        <w:tabs>
          <w:tab w:val="left" w:pos="0"/>
        </w:tabs>
        <w:spacing w:after="120" w:line="276" w:lineRule="auto"/>
        <w:jc w:val="both"/>
        <w:rPr>
          <w:rFonts w:ascii="Verdana" w:hAnsi="Verdana" w:cs="Arial"/>
          <w:lang w:val="es-ES" w:eastAsia="es-ES"/>
        </w:rPr>
      </w:pPr>
      <w:r>
        <w:rPr>
          <w:rFonts w:ascii="Verdana" w:hAnsi="Verdana" w:cs="Arial"/>
          <w:lang w:val="es-ES" w:eastAsia="es-ES"/>
        </w:rPr>
        <w:tab/>
      </w:r>
      <w:r w:rsidRPr="1AE1532E">
        <w:rPr>
          <w:rFonts w:ascii="Verdana" w:hAnsi="Verdana" w:cs="Arial"/>
          <w:lang w:val="es-ES" w:eastAsia="es-ES"/>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0EAB4DD9" w14:textId="77777777" w:rsidR="00475DAF" w:rsidRPr="00B57A1B" w:rsidRDefault="00475DAF" w:rsidP="00475DAF">
      <w:pPr>
        <w:widowControl w:val="0"/>
        <w:autoSpaceDE w:val="0"/>
        <w:autoSpaceDN w:val="0"/>
        <w:spacing w:before="120" w:after="120" w:line="276" w:lineRule="auto"/>
        <w:ind w:firstLine="708"/>
        <w:jc w:val="both"/>
        <w:rPr>
          <w:rFonts w:ascii="Verdana" w:eastAsia="Arial MT" w:hAnsi="Verdana" w:cs="Arial MT"/>
        </w:rPr>
      </w:pPr>
      <w:r>
        <w:rPr>
          <w:rFonts w:ascii="Verdana" w:eastAsia="Arial" w:hAnsi="Verdana" w:cs="Arial"/>
          <w:color w:val="000000"/>
          <w:lang w:val="es-ES"/>
        </w:rPr>
        <w:t xml:space="preserve">No obstante, estos efectos jurídicos de prohibición de contratación directa no son extensibles a los convenios interadministrativos, como se ha expresado en los Conceptos C-605 del 27 de junio de 2025, </w:t>
      </w:r>
      <w:r w:rsidRPr="00B57A1B">
        <w:rPr>
          <w:rFonts w:ascii="Verdana" w:hAnsi="Verdana" w:cs="Arial"/>
          <w:shd w:val="clear" w:color="auto" w:fill="FFFFFF"/>
        </w:rPr>
        <w:t>C-1046 del 9 de septiembre de 2025</w:t>
      </w:r>
      <w:r>
        <w:rPr>
          <w:rFonts w:ascii="Verdana" w:hAnsi="Verdana" w:cs="Arial"/>
          <w:shd w:val="clear" w:color="auto" w:fill="FFFFFF"/>
        </w:rPr>
        <w:t xml:space="preserve">, C-1152 del 23 de septiembre de 2025 y como se explica en el primer apartado </w:t>
      </w:r>
      <w:r>
        <w:rPr>
          <w:rFonts w:ascii="Verdana" w:eastAsia="Calibri" w:hAnsi="Verdana" w:cs="Arial"/>
          <w:color w:val="000000" w:themeColor="text1"/>
          <w:lang w:val="es-ES_tradnl"/>
        </w:rPr>
        <w:t xml:space="preserve">no hay aplicación automática del Estatuto General de Contratación de la Administración. </w:t>
      </w:r>
      <w:r w:rsidRPr="00B57A1B">
        <w:rPr>
          <w:rFonts w:ascii="Verdana" w:eastAsia="Arial MT" w:hAnsi="Verdana" w:cs="Arial MT"/>
        </w:rPr>
        <w:t xml:space="preserve">Estos negocios jurídicos se caracterizan por estar sujetos a la autorregulación establecida a través de sus propias estipulaciones, que son el </w:t>
      </w:r>
      <w:r w:rsidRPr="00B57A1B">
        <w:rPr>
          <w:rFonts w:ascii="Verdana" w:eastAsia="Arial MT" w:hAnsi="Verdana" w:cs="Arial MT"/>
        </w:rPr>
        <w:lastRenderedPageBreak/>
        <w:t>resultado de la autonomía de la voluntad de las entidades que actúan como colaboradoras o cooperantes. En efecto, en los convenios interadministrativos puros o genuinos, el valor del negocio jurídico es determinado por los aportes en dinero y/o en especie requeridos para ejecutar el objeto, los cuales pueden ser realizados por ambos cooperantes en los montos que estos estipulen.</w:t>
      </w:r>
    </w:p>
    <w:p w14:paraId="5CD6325B" w14:textId="77777777" w:rsidR="00475DAF" w:rsidRPr="00EF2B06" w:rsidRDefault="00475DAF" w:rsidP="00475DAF">
      <w:pPr>
        <w:spacing w:after="120" w:line="276" w:lineRule="auto"/>
        <w:jc w:val="both"/>
        <w:rPr>
          <w:rFonts w:ascii="Verdana" w:eastAsia="Calibri" w:hAnsi="Verdana" w:cs="Arial"/>
          <w:color w:val="000000" w:themeColor="text1"/>
        </w:rPr>
      </w:pPr>
      <w:r>
        <w:rPr>
          <w:rFonts w:ascii="Verdana" w:eastAsia="Calibri" w:hAnsi="Verdana" w:cs="Arial"/>
          <w:color w:val="000000" w:themeColor="text1"/>
        </w:rPr>
        <w:tab/>
        <w:t xml:space="preserve">En estos términos, en los convenios interadministrativos no se alude a las categorías de contratante y contratista, sino que ambas partes son cooperantes o colaboradoras. En el marco de su relación de colaboración </w:t>
      </w:r>
      <w:r>
        <w:rPr>
          <w:rFonts w:ascii="Verdana" w:eastAsia="Calibri" w:hAnsi="Verdana" w:cs="Arial"/>
          <w:color w:val="000000" w:themeColor="text1"/>
          <w:lang w:val="es-ES_tradnl"/>
        </w:rPr>
        <w:t xml:space="preserve">pueden estipularse diferentes formas de vinculación de las partes, donde pueden configurar condiciones y cláusulas de mandatos con o sin representación bajo la forma de una administración delegada. En este aspecto, puede pactarse que </w:t>
      </w:r>
      <w:r w:rsidRPr="00B57A1B">
        <w:rPr>
          <w:rFonts w:ascii="Verdana" w:eastAsia="Calibri" w:hAnsi="Verdana" w:cs="Arial"/>
          <w:color w:val="000000" w:themeColor="text1"/>
          <w:lang w:val="es-ES_tradnl"/>
        </w:rPr>
        <w:t xml:space="preserve">una de las entidades cooperantes actué como la ejecutora de las principales obligaciones del convenio. En este caso, una de las entidades cooperantes puede encargarse de </w:t>
      </w:r>
      <w:r>
        <w:rPr>
          <w:rFonts w:ascii="Verdana" w:eastAsia="Calibri" w:hAnsi="Verdana" w:cs="Arial"/>
          <w:color w:val="000000" w:themeColor="text1"/>
          <w:lang w:val="es-ES_tradnl"/>
        </w:rPr>
        <w:t xml:space="preserve">la administración y ejecución del convenio, sin que pueda estipularse categorías conceptuales como la utilidad o costos por concepto de pago de honorarios.  </w:t>
      </w:r>
    </w:p>
    <w:p w14:paraId="2056B390" w14:textId="77777777" w:rsidR="00475DAF" w:rsidRPr="00FC0901" w:rsidRDefault="00475DAF" w:rsidP="00475DAF">
      <w:pPr>
        <w:spacing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lang w:val="es-ES_tradnl"/>
        </w:rPr>
        <w:t xml:space="preserve">En los convenios interadministrativos bajo la forma de una administración delegada como mandato pueden incluirse </w:t>
      </w:r>
      <w:r>
        <w:rPr>
          <w:rFonts w:ascii="Verdana" w:eastAsia="Calibri" w:hAnsi="Verdana" w:cs="Arial"/>
          <w:color w:val="000000" w:themeColor="text1"/>
          <w:lang w:val="es-ES"/>
        </w:rPr>
        <w:t>los costos directos y</w:t>
      </w:r>
      <w:r w:rsidRPr="00AF3B7F">
        <w:rPr>
          <w:rFonts w:ascii="Verdana" w:eastAsia="Calibri" w:hAnsi="Verdana" w:cs="Arial"/>
          <w:color w:val="000000" w:themeColor="text1"/>
          <w:lang w:val="es-ES"/>
        </w:rPr>
        <w:t xml:space="preserve"> los costos administrativos</w:t>
      </w:r>
      <w:r>
        <w:rPr>
          <w:rFonts w:ascii="Verdana" w:eastAsia="Calibri" w:hAnsi="Verdana" w:cs="Arial"/>
          <w:color w:val="000000" w:themeColor="text1"/>
          <w:lang w:val="es-ES_tradnl"/>
        </w:rPr>
        <w:t xml:space="preserve">, que son aquellos </w:t>
      </w:r>
      <w:r w:rsidRPr="00AF3B7F">
        <w:rPr>
          <w:rFonts w:ascii="Verdana" w:eastAsia="Calibri" w:hAnsi="Verdana" w:cs="Arial"/>
          <w:color w:val="000000" w:themeColor="text1"/>
        </w:rPr>
        <w:t xml:space="preserve">gastos que </w:t>
      </w:r>
      <w:r>
        <w:rPr>
          <w:rFonts w:ascii="Verdana" w:eastAsia="Calibri" w:hAnsi="Verdana" w:cs="Arial"/>
          <w:color w:val="000000" w:themeColor="text1"/>
        </w:rPr>
        <w:t xml:space="preserve">están </w:t>
      </w:r>
      <w:r w:rsidRPr="00AF3B7F">
        <w:rPr>
          <w:rFonts w:ascii="Verdana" w:eastAsia="Calibri" w:hAnsi="Verdana" w:cs="Arial"/>
          <w:color w:val="000000" w:themeColor="text1"/>
        </w:rPr>
        <w:t xml:space="preserve">directamente relacionados con la gestión, seguimiento y administración del convenio. </w:t>
      </w:r>
      <w:r w:rsidRPr="00FC0901">
        <w:rPr>
          <w:rFonts w:ascii="Verdana" w:eastAsia="Calibri" w:hAnsi="Verdana" w:cs="Arial"/>
          <w:color w:val="000000" w:themeColor="text1"/>
        </w:rPr>
        <w:t xml:space="preserve">De esta manera, si los costos de honorarios de un contador, así como los costos de legalización e impuestos </w:t>
      </w:r>
      <w:r>
        <w:rPr>
          <w:rFonts w:ascii="Verdana" w:eastAsia="Calibri" w:hAnsi="Verdana" w:cs="Arial"/>
          <w:color w:val="000000" w:themeColor="text1"/>
        </w:rPr>
        <w:t>están vinculados</w:t>
      </w:r>
      <w:r w:rsidRPr="00FC0901">
        <w:rPr>
          <w:rFonts w:ascii="Verdana" w:eastAsia="Calibri" w:hAnsi="Verdana" w:cs="Arial"/>
          <w:color w:val="000000" w:themeColor="text1"/>
        </w:rPr>
        <w:t xml:space="preserve"> con la ejecución del convenio, podrían incluirse dentro del ru</w:t>
      </w:r>
      <w:r>
        <w:rPr>
          <w:rFonts w:ascii="Verdana" w:eastAsia="Calibri" w:hAnsi="Verdana" w:cs="Arial"/>
          <w:color w:val="000000" w:themeColor="text1"/>
        </w:rPr>
        <w:t>bro de costos administrativos</w:t>
      </w:r>
      <w:r w:rsidRPr="00FC0901">
        <w:rPr>
          <w:rFonts w:ascii="Verdana" w:eastAsia="Calibri" w:hAnsi="Verdana" w:cs="Arial"/>
          <w:color w:val="000000" w:themeColor="text1"/>
        </w:rPr>
        <w:t>.</w:t>
      </w:r>
      <w:r>
        <w:rPr>
          <w:rFonts w:ascii="Verdana" w:eastAsia="Calibri" w:hAnsi="Verdana" w:cs="Arial"/>
          <w:color w:val="000000" w:themeColor="text1"/>
        </w:rPr>
        <w:t xml:space="preserve"> </w:t>
      </w:r>
      <w:r w:rsidRPr="00FC0901">
        <w:rPr>
          <w:rFonts w:ascii="Verdana" w:eastAsia="Calibri" w:hAnsi="Verdana" w:cs="Arial"/>
          <w:color w:val="000000" w:themeColor="text1"/>
        </w:rPr>
        <w:t xml:space="preserve">Estos costos deberán incluirse en el ejercicio de planeación que realice </w:t>
      </w:r>
      <w:r>
        <w:rPr>
          <w:rFonts w:ascii="Verdana" w:eastAsia="Calibri" w:hAnsi="Verdana" w:cs="Arial"/>
          <w:color w:val="000000" w:themeColor="text1"/>
        </w:rPr>
        <w:t xml:space="preserve">las entidades cooperantes </w:t>
      </w:r>
      <w:r w:rsidRPr="00FC0901">
        <w:rPr>
          <w:rFonts w:ascii="Verdana" w:eastAsia="Calibri" w:hAnsi="Verdana" w:cs="Arial"/>
          <w:color w:val="000000" w:themeColor="text1"/>
        </w:rPr>
        <w:t>y estar debidamente justificados.</w:t>
      </w:r>
    </w:p>
    <w:p w14:paraId="3933615F" w14:textId="77777777" w:rsidR="00475DAF" w:rsidRDefault="00475DAF" w:rsidP="00475DAF">
      <w:pPr>
        <w:spacing w:after="120" w:line="276" w:lineRule="auto"/>
        <w:ind w:firstLine="709"/>
        <w:jc w:val="both"/>
        <w:rPr>
          <w:rFonts w:ascii="Verdana" w:eastAsia="Calibri" w:hAnsi="Verdana" w:cs="Arial"/>
          <w:color w:val="000000" w:themeColor="text1"/>
          <w:lang w:val="es-ES_tradnl"/>
        </w:rPr>
      </w:pPr>
      <w:r w:rsidRPr="00AF3B7F">
        <w:rPr>
          <w:rFonts w:ascii="Verdana" w:eastAsia="Calibri" w:hAnsi="Verdana" w:cs="Arial"/>
          <w:color w:val="000000" w:themeColor="text1"/>
        </w:rPr>
        <w:t>D</w:t>
      </w:r>
      <w:r>
        <w:rPr>
          <w:rFonts w:ascii="Verdana" w:eastAsia="Calibri" w:hAnsi="Verdana" w:cs="Arial"/>
          <w:color w:val="000000" w:themeColor="text1"/>
        </w:rPr>
        <w:t xml:space="preserve">e esta forma, puede estipularse en el marco del convenio interadministrativo diferentes aspectos a resaltar: i) los aportes en dinero o en especie de las entidades cooperantes; </w:t>
      </w:r>
      <w:proofErr w:type="spellStart"/>
      <w:r>
        <w:rPr>
          <w:rFonts w:ascii="Verdana" w:eastAsia="Calibri" w:hAnsi="Verdana" w:cs="Arial"/>
          <w:color w:val="000000" w:themeColor="text1"/>
        </w:rPr>
        <w:t>ii</w:t>
      </w:r>
      <w:proofErr w:type="spellEnd"/>
      <w:r>
        <w:rPr>
          <w:rFonts w:ascii="Verdana" w:eastAsia="Calibri" w:hAnsi="Verdana" w:cs="Arial"/>
          <w:color w:val="000000" w:themeColor="text1"/>
        </w:rPr>
        <w:t xml:space="preserve">) el valor del convenio; </w:t>
      </w:r>
      <w:proofErr w:type="spellStart"/>
      <w:r>
        <w:rPr>
          <w:rFonts w:ascii="Verdana" w:eastAsia="Calibri" w:hAnsi="Verdana" w:cs="Arial"/>
          <w:color w:val="000000" w:themeColor="text1"/>
        </w:rPr>
        <w:t>iii</w:t>
      </w:r>
      <w:proofErr w:type="spellEnd"/>
      <w:r>
        <w:rPr>
          <w:rFonts w:ascii="Verdana" w:eastAsia="Calibri" w:hAnsi="Verdana" w:cs="Arial"/>
          <w:color w:val="000000" w:themeColor="text1"/>
        </w:rPr>
        <w:t xml:space="preserve">) la entidad o entidades ejecutoras del convenio; </w:t>
      </w:r>
      <w:proofErr w:type="spellStart"/>
      <w:r>
        <w:rPr>
          <w:rFonts w:ascii="Verdana" w:eastAsia="Calibri" w:hAnsi="Verdana" w:cs="Arial"/>
          <w:color w:val="000000" w:themeColor="text1"/>
        </w:rPr>
        <w:t>iii</w:t>
      </w:r>
      <w:proofErr w:type="spellEnd"/>
      <w:r>
        <w:rPr>
          <w:rFonts w:ascii="Verdana" w:eastAsia="Calibri" w:hAnsi="Verdana" w:cs="Arial"/>
          <w:color w:val="000000" w:themeColor="text1"/>
        </w:rPr>
        <w:t xml:space="preserve">) los costos directos y costos administrativos propios del convenio, así como otras formas que se requieren para la ejecución del convenio. </w:t>
      </w:r>
      <w:r>
        <w:rPr>
          <w:rFonts w:ascii="Verdana" w:eastAsia="Calibri" w:hAnsi="Verdana" w:cs="Arial"/>
          <w:color w:val="000000" w:themeColor="text1"/>
          <w:lang w:val="es-ES_tradnl"/>
        </w:rPr>
        <w:t xml:space="preserve">En esta línea, pueden estipularse convenios interadministrativos bajo la forma de una administración delegada sin el pacto de costos por concepto de honorarios, donde la entidad como actúa como administradora y ejecutora del convenio. A </w:t>
      </w:r>
      <w:r w:rsidRPr="00B57A1B">
        <w:rPr>
          <w:rFonts w:ascii="Verdana" w:eastAsia="Calibri" w:hAnsi="Verdana" w:cs="Arial"/>
          <w:color w:val="000000" w:themeColor="text1"/>
          <w:lang w:val="es-ES_tradnl"/>
        </w:rPr>
        <w:t xml:space="preserve">diferencia de los contratos </w:t>
      </w:r>
      <w:r w:rsidRPr="00B57A1B">
        <w:rPr>
          <w:rFonts w:ascii="Verdana" w:eastAsia="Arial MT" w:hAnsi="Verdana" w:cs="Arial MT"/>
        </w:rPr>
        <w:t xml:space="preserve">interadministrativos, en tanto negocios jurídicos típicamente conmutativos, su valor está determinado por el precio al que equivale la contraprestación a recibir por la entidad contratista, a cambio del suministro del bien, obra o servicio </w:t>
      </w:r>
      <w:r w:rsidRPr="00B57A1B">
        <w:rPr>
          <w:rFonts w:ascii="Verdana" w:eastAsia="Arial MT" w:hAnsi="Verdana" w:cs="Arial MT"/>
        </w:rPr>
        <w:lastRenderedPageBreak/>
        <w:t>requerido por la entidad contratante, como puede ocurrir cuando se pacte por administración delegada</w:t>
      </w:r>
      <w:r w:rsidRPr="00B57A1B">
        <w:rPr>
          <w:rFonts w:ascii="Verdana" w:eastAsia="Calibri" w:hAnsi="Verdana" w:cs="Arial"/>
          <w:color w:val="000000" w:themeColor="text1"/>
          <w:lang w:val="es-ES_tradnl"/>
        </w:rPr>
        <w:t>. De este modo, el contrato interadministrativo puede estipularse como administración o modalidad de pago, con o sin representación.</w:t>
      </w:r>
    </w:p>
    <w:p w14:paraId="032B4CFC" w14:textId="77777777" w:rsidR="00475DAF" w:rsidRPr="006E5249" w:rsidRDefault="00475DAF" w:rsidP="00475DAF">
      <w:pPr>
        <w:spacing w:after="120" w:line="276" w:lineRule="auto"/>
        <w:jc w:val="both"/>
        <w:rPr>
          <w:rFonts w:ascii="Verdana" w:eastAsia="Calibri" w:hAnsi="Verdana" w:cs="Arial"/>
          <w:color w:val="000000" w:themeColor="text1"/>
          <w:lang w:val="es-ES_tradnl"/>
        </w:rPr>
      </w:pPr>
      <w:r>
        <w:rPr>
          <w:rFonts w:ascii="Verdana" w:eastAsia="Calibri" w:hAnsi="Verdana" w:cs="Arial"/>
          <w:color w:val="000000" w:themeColor="text1"/>
          <w:lang w:val="es-ES_tradnl"/>
        </w:rPr>
        <w:tab/>
        <w:t>Teniendo en cuenta esta precisión, para determinar si es contrato o convenio interadministrativo no está determinada por la denominación que se haga en el negocio jurídico entre entidades, sino por las cláusulas y condiciones que se pactaron.</w:t>
      </w:r>
      <w:r w:rsidRPr="00B57A1B">
        <w:rPr>
          <w:rFonts w:ascii="Verdana" w:eastAsia="Calibri" w:hAnsi="Verdana" w:cs="Arial"/>
          <w:color w:val="000000" w:themeColor="text1"/>
          <w:lang w:val="es-ES_tradnl"/>
        </w:rPr>
        <w:t xml:space="preserve"> </w:t>
      </w:r>
      <w:r>
        <w:rPr>
          <w:rFonts w:ascii="Verdana" w:eastAsiaTheme="minorEastAsia" w:hAnsi="Verdana" w:cs="Arial"/>
          <w:lang w:eastAsia="es-CO"/>
        </w:rPr>
        <w:t xml:space="preserve">Entonces, será </w:t>
      </w:r>
      <w:r w:rsidRPr="00B57A1B">
        <w:rPr>
          <w:rFonts w:ascii="Verdana" w:eastAsiaTheme="minorEastAsia" w:hAnsi="Verdana" w:cs="Arial"/>
          <w:lang w:eastAsia="es-CO"/>
        </w:rPr>
        <w:t xml:space="preserve">convenio interadministrativo </w:t>
      </w:r>
      <w:r>
        <w:rPr>
          <w:rFonts w:ascii="Verdana" w:eastAsiaTheme="minorEastAsia" w:hAnsi="Verdana" w:cs="Arial"/>
          <w:lang w:eastAsia="es-CO"/>
        </w:rPr>
        <w:t xml:space="preserve">si su </w:t>
      </w:r>
      <w:r w:rsidRPr="00B57A1B">
        <w:rPr>
          <w:rFonts w:ascii="Verdana" w:eastAsiaTheme="minorEastAsia" w:hAnsi="Verdana" w:cs="Arial"/>
          <w:lang w:eastAsia="es-CO"/>
        </w:rPr>
        <w:t>objeto</w:t>
      </w:r>
      <w:r>
        <w:rPr>
          <w:rFonts w:ascii="Verdana" w:eastAsiaTheme="minorEastAsia" w:hAnsi="Verdana" w:cs="Arial"/>
          <w:lang w:eastAsia="es-CO"/>
        </w:rPr>
        <w:t xml:space="preserve"> y demás cláusulas</w:t>
      </w:r>
      <w:r w:rsidRPr="00B57A1B">
        <w:rPr>
          <w:rFonts w:ascii="Verdana" w:eastAsiaTheme="minorEastAsia" w:hAnsi="Verdana" w:cs="Arial"/>
          <w:lang w:eastAsia="es-CO"/>
        </w:rPr>
        <w:t xml:space="preserve"> se relaciona</w:t>
      </w:r>
      <w:r>
        <w:rPr>
          <w:rFonts w:ascii="Verdana" w:eastAsiaTheme="minorEastAsia" w:hAnsi="Verdana" w:cs="Arial"/>
          <w:lang w:eastAsia="es-CO"/>
        </w:rPr>
        <w:t>n</w:t>
      </w:r>
      <w:r w:rsidRPr="00B57A1B">
        <w:rPr>
          <w:rFonts w:ascii="Verdana" w:eastAsiaTheme="minorEastAsia" w:hAnsi="Verdana" w:cs="Arial"/>
          <w:lang w:eastAsia="es-CO"/>
        </w:rPr>
        <w:t xml:space="preserve"> con la coordinación o cooperación para el cumplimiento de los fines comunes </w:t>
      </w:r>
      <w:r>
        <w:rPr>
          <w:rFonts w:ascii="Verdana" w:eastAsiaTheme="minorEastAsia" w:hAnsi="Verdana" w:cs="Arial"/>
          <w:lang w:eastAsia="es-CO"/>
        </w:rPr>
        <w:t>de las partes. Por otro lado, será</w:t>
      </w:r>
      <w:r w:rsidRPr="00B57A1B">
        <w:rPr>
          <w:rFonts w:ascii="Verdana" w:eastAsiaTheme="minorEastAsia" w:hAnsi="Verdana" w:cs="Arial"/>
          <w:lang w:eastAsia="es-CO"/>
        </w:rPr>
        <w:t xml:space="preserve"> contrato interadministrativo </w:t>
      </w:r>
      <w:r>
        <w:rPr>
          <w:rFonts w:ascii="Verdana" w:eastAsiaTheme="minorEastAsia" w:hAnsi="Verdana" w:cs="Arial"/>
          <w:lang w:eastAsia="es-CO"/>
        </w:rPr>
        <w:t xml:space="preserve">si su objeto </w:t>
      </w:r>
      <w:r w:rsidRPr="00B57A1B">
        <w:rPr>
          <w:rFonts w:ascii="Verdana" w:eastAsiaTheme="minorEastAsia" w:hAnsi="Verdana" w:cs="Arial"/>
          <w:lang w:eastAsia="es-CO"/>
        </w:rPr>
        <w:t xml:space="preserve">está relacionado con la prestación de bienes y servicios, en el que una de las partes actúa como contratante y otra como contratista. </w:t>
      </w:r>
      <w:r w:rsidRPr="00B57A1B">
        <w:rPr>
          <w:rFonts w:ascii="Verdana" w:eastAsia="Calibri" w:hAnsi="Verdana" w:cs="Arial"/>
          <w:color w:val="000000" w:themeColor="text1"/>
          <w:lang w:val="es-ES_tradnl"/>
        </w:rPr>
        <w:t xml:space="preserve"> </w:t>
      </w:r>
    </w:p>
    <w:p w14:paraId="2F35205C" w14:textId="77777777" w:rsidR="00475DAF" w:rsidRPr="00C45C5D" w:rsidRDefault="00475DAF" w:rsidP="00475DAF">
      <w:pPr>
        <w:tabs>
          <w:tab w:val="left" w:pos="0"/>
        </w:tabs>
        <w:spacing w:after="120" w:line="276" w:lineRule="auto"/>
        <w:ind w:firstLine="709"/>
        <w:jc w:val="both"/>
        <w:rPr>
          <w:rFonts w:ascii="Verdana" w:eastAsia="Calibri" w:hAnsi="Verdana" w:cs="Arial"/>
          <w:bCs/>
          <w:lang w:val="es-ES_tradnl" w:eastAsia="es-ES_tradnl"/>
        </w:rPr>
      </w:pPr>
      <w:r w:rsidRPr="00C45C5D">
        <w:rPr>
          <w:rFonts w:ascii="Verdana" w:eastAsia="Arial" w:hAnsi="Verdana" w:cs="Arial"/>
          <w:color w:val="000000"/>
          <w:lang w:val="es-ES"/>
        </w:rPr>
        <w:t xml:space="preserve">Finalmente, es preciso indicar que la celebración de estos convenios interadministrativos también se encuentra supeditada a lo dispuesto por el artículo 56 de la Ley 2195 de 2022, que establece un mandato </w:t>
      </w:r>
      <w:r w:rsidRPr="00C45C5D">
        <w:rPr>
          <w:rFonts w:ascii="Verdana" w:eastAsia="Calibri" w:hAnsi="Verdana" w:cs="Arial"/>
          <w:bCs/>
          <w:lang w:val="es-ES_tradnl" w:eastAsia="es-ES_tradnl"/>
        </w:rPr>
        <w:t>dirigido a las Entidades Estatales sometidas al EGCAP, para que, en la adquisición de bienes, obras o servicios, apliquen los Documentos Tipo expedidos por esta Agencia, cuando celebren contratos o convenios interadministrativos o de cualquier otra índole con otra Entidad Estatal, o con patrimonios autónomos o con personas naturales o jurídicas, cuyo régimen de contratación sea especial o de derecho privado</w:t>
      </w:r>
      <w:r w:rsidRPr="00C45C5D">
        <w:rPr>
          <w:rFonts w:ascii="Verdana" w:eastAsia="Calibri" w:hAnsi="Verdana" w:cs="Arial"/>
          <w:bCs/>
          <w:vertAlign w:val="superscript"/>
          <w:lang w:val="es-ES_tradnl" w:eastAsia="es-ES_tradnl"/>
        </w:rPr>
        <w:footnoteReference w:id="15"/>
      </w:r>
      <w:r w:rsidRPr="00C45C5D">
        <w:rPr>
          <w:rFonts w:ascii="Verdana" w:eastAsia="Calibri" w:hAnsi="Verdana" w:cs="Arial"/>
          <w:bCs/>
          <w:lang w:val="es-ES_tradnl" w:eastAsia="es-ES_tradnl"/>
        </w:rPr>
        <w:t>. Ello es así en la medida en que, como se explicó, en los términos d</w:t>
      </w:r>
      <w:r w:rsidRPr="00C45C5D">
        <w:rPr>
          <w:rFonts w:ascii="Verdana" w:eastAsia="Calibri" w:hAnsi="Verdana" w:cs="Arial"/>
          <w:color w:val="000000"/>
        </w:rPr>
        <w:t xml:space="preserve">el numeral 1 del artículo 2 de la Ley 80 de 1993, las asociaciones de municipios son entidades estatales. </w:t>
      </w:r>
    </w:p>
    <w:p w14:paraId="242747D6" w14:textId="77777777" w:rsidR="00475DAF" w:rsidRPr="00C45C5D" w:rsidRDefault="00475DAF" w:rsidP="00475DAF">
      <w:pPr>
        <w:spacing w:after="120" w:line="276" w:lineRule="auto"/>
        <w:ind w:firstLine="708"/>
        <w:jc w:val="both"/>
        <w:rPr>
          <w:rFonts w:ascii="Verdana" w:eastAsia="Calibri" w:hAnsi="Verdana" w:cs="Arial"/>
          <w:lang w:val="es-ES" w:eastAsia="es-ES"/>
        </w:rPr>
      </w:pPr>
      <w:bookmarkStart w:id="2" w:name="_Hlk144075437"/>
      <w:r w:rsidRPr="00C45C5D">
        <w:rPr>
          <w:rFonts w:ascii="Verdana" w:eastAsia="Times New Roman" w:hAnsi="Verdana" w:cs="Arial"/>
          <w:lang w:eastAsia="es-ES_tradnl"/>
        </w:rPr>
        <w:t xml:space="preserve">Sobre este aspecto, es pertinente indicar que esta Agencia ha considerado en sus diferentes conceptos, que </w:t>
      </w:r>
      <w:r w:rsidRPr="00C45C5D">
        <w:rPr>
          <w:rFonts w:ascii="Verdana" w:eastAsia="Calibri" w:hAnsi="Verdana" w:cs="Arial"/>
          <w:lang w:val="es-ES" w:eastAsia="es-ES"/>
        </w:rPr>
        <w:t xml:space="preserve">el artículo 56 de la Ley 2195 de 2022 surge como una disposición complementaria de la Ley 2022 de 2020, en la medida en </w:t>
      </w:r>
      <w:r w:rsidRPr="00C45C5D">
        <w:rPr>
          <w:rFonts w:ascii="Verdana" w:eastAsia="Calibri" w:hAnsi="Verdana" w:cs="Arial"/>
          <w:lang w:val="es-ES" w:eastAsia="es-ES"/>
        </w:rPr>
        <w:lastRenderedPageBreak/>
        <w:t xml:space="preserve">que la norma busca extender la aplicación obligatoria de los Documentos Tipo para las entidades regidas por EGCAP cuando celebren contratos o convenios interadministrativos o de otra índole. Por lo tanto, ante la presencia de estos negocios jurídicos que, antes de la expedición de la norma en comento, estaban relevados de aplicar los Documentos Tipo, debido a la existencia de disposiciones como la contenida en el inciso 2 del literal c) del artículo 2-4 de la Ley 1150 de 2007, ahora deberán tenerse en cuenta las siguientes reglas: </w:t>
      </w:r>
      <w:bookmarkStart w:id="3" w:name="_Hlk176862658"/>
      <w:r w:rsidRPr="00C45C5D">
        <w:rPr>
          <w:rFonts w:ascii="Verdana" w:eastAsia="Calibri" w:hAnsi="Verdana" w:cs="Arial"/>
          <w:lang w:val="es-ES" w:eastAsia="es-ES"/>
        </w:rPr>
        <w:t xml:space="preserve">i) </w:t>
      </w:r>
      <w:r w:rsidRPr="00C45C5D">
        <w:rPr>
          <w:rFonts w:ascii="Verdana" w:eastAsia="Calibri" w:hAnsi="Verdana" w:cs="Arial"/>
          <w:i/>
          <w:lang w:val="es-ES" w:eastAsia="es-ES"/>
        </w:rPr>
        <w:t>en el caso de los convenios interadministrativos o de cualquier otra índole:</w:t>
      </w:r>
      <w:r w:rsidRPr="00C45C5D">
        <w:rPr>
          <w:rFonts w:ascii="Verdana" w:eastAsia="Calibri" w:hAnsi="Verdana" w:cs="Arial"/>
          <w:lang w:val="es-ES" w:eastAsia="es-ES"/>
        </w:rPr>
        <w:t xml:space="preserve"> la obligación de llevar a cabo la selección de los Procesos de Contratación y celebrar los respectivos contratos para adquirir aquellas obras o servicios para cuya contratación le fuese aplicable los Documentos Tipo vigentes y que deban contratarse en el marco del convenio, deberán ser adelantados por la entidad sometida al EGCAP; y, </w:t>
      </w:r>
      <w:proofErr w:type="spellStart"/>
      <w:r w:rsidRPr="00C45C5D">
        <w:rPr>
          <w:rFonts w:ascii="Verdana" w:eastAsia="Calibri" w:hAnsi="Verdana" w:cs="Arial"/>
          <w:lang w:val="es-ES" w:eastAsia="es-ES"/>
        </w:rPr>
        <w:t>ii</w:t>
      </w:r>
      <w:proofErr w:type="spellEnd"/>
      <w:r w:rsidRPr="00C45C5D">
        <w:rPr>
          <w:rFonts w:ascii="Verdana" w:eastAsia="Calibri" w:hAnsi="Verdana" w:cs="Arial"/>
          <w:lang w:val="es-ES" w:eastAsia="es-ES"/>
        </w:rPr>
        <w:t xml:space="preserve">) </w:t>
      </w:r>
      <w:r w:rsidRPr="00C45C5D">
        <w:rPr>
          <w:rFonts w:ascii="Verdana" w:eastAsia="Calibri" w:hAnsi="Verdana" w:cs="Arial"/>
          <w:i/>
          <w:lang w:val="es-ES" w:eastAsia="es-ES"/>
        </w:rPr>
        <w:t>en el caso de los contratos interadministrativos</w:t>
      </w:r>
      <w:r w:rsidRPr="00C45C5D">
        <w:rPr>
          <w:rFonts w:ascii="Verdana" w:eastAsia="Calibri" w:hAnsi="Verdana" w:cs="Arial"/>
          <w:lang w:val="es-ES" w:eastAsia="es-ES"/>
        </w:rPr>
        <w:t xml:space="preserve"> </w:t>
      </w:r>
      <w:r w:rsidRPr="00C45C5D">
        <w:rPr>
          <w:rFonts w:ascii="Verdana" w:eastAsia="Calibri" w:hAnsi="Verdana" w:cs="Arial"/>
          <w:i/>
          <w:lang w:val="es-ES" w:eastAsia="es-ES"/>
        </w:rPr>
        <w:t>o de cualquier otra índole</w:t>
      </w:r>
      <w:r w:rsidRPr="00C45C5D">
        <w:rPr>
          <w:rFonts w:ascii="Verdana" w:eastAsia="Calibri" w:hAnsi="Verdana" w:cs="Arial"/>
          <w:lang w:val="es-ES" w:eastAsia="es-ES"/>
        </w:rPr>
        <w:t xml:space="preserve">: </w:t>
      </w:r>
      <w:r w:rsidRPr="00C45C5D">
        <w:rPr>
          <w:rFonts w:ascii="Verdana" w:eastAsia="Times New Roman" w:hAnsi="Verdana" w:cs="Arial"/>
          <w:lang w:eastAsia="es-ES"/>
        </w:rPr>
        <w:t xml:space="preserve">implica que si las Entidades Estatales exceptuadas, los patrimonios autónomos y las personas naturales o jurídicas de derecho privado pretenden ser adjudicatarias de estos contratos, deben someterse a un proceso de selección en el que se apliquen Documentos Tipo expedidos por esta Agencia a cargo de la </w:t>
      </w:r>
      <w:r w:rsidRPr="00C45C5D">
        <w:rPr>
          <w:rFonts w:ascii="Verdana" w:eastAsia="Calibri" w:hAnsi="Verdana" w:cs="Arial"/>
          <w:lang w:val="es-ES" w:eastAsia="es-ES"/>
        </w:rPr>
        <w:t>entidad sometida al EGCAP</w:t>
      </w:r>
      <w:bookmarkEnd w:id="2"/>
      <w:bookmarkEnd w:id="3"/>
      <w:r w:rsidRPr="00C45C5D">
        <w:rPr>
          <w:rFonts w:ascii="Verdana" w:eastAsia="Arial" w:hAnsi="Verdana" w:cs="Arial"/>
          <w:color w:val="000000"/>
        </w:rPr>
        <w:t>.</w:t>
      </w:r>
    </w:p>
    <w:p w14:paraId="11FBA221" w14:textId="77777777" w:rsidR="00475DAF" w:rsidRDefault="00475DAF" w:rsidP="00475DAF">
      <w:pPr>
        <w:tabs>
          <w:tab w:val="left" w:pos="0"/>
        </w:tabs>
        <w:spacing w:after="0" w:line="276" w:lineRule="auto"/>
        <w:ind w:firstLine="709"/>
        <w:jc w:val="both"/>
        <w:rPr>
          <w:rFonts w:ascii="Verdana" w:eastAsia="Arial" w:hAnsi="Verdana" w:cs="Arial"/>
          <w:color w:val="000000"/>
          <w:lang w:val="es-ES"/>
        </w:rPr>
      </w:pPr>
      <w:r w:rsidRPr="00C45C5D">
        <w:rPr>
          <w:rFonts w:ascii="Verdana" w:eastAsia="Arial" w:hAnsi="Verdana" w:cs="Arial"/>
          <w:color w:val="000000"/>
          <w:lang w:val="es-ES"/>
        </w:rPr>
        <w:t>En consecuencia, de acuerdo con la interpretación del artículo 56 de la Ley 2195 de 2022, las entidades estatales que tienen como régimen contractual el EGCAP no puedan eludir su aplicación, ni la de los Documentos Tipo que resulten obligatorios, celebrando convenios o contratos con entidades exceptuadas o particulares sometidos al derecho privado, haciendo prevalecer el régimen de las entidades no sometidas, con el fin inaplicar los Documentos Tipo y el EGCAP.</w:t>
      </w:r>
    </w:p>
    <w:p w14:paraId="7D87871A" w14:textId="77777777" w:rsidR="00475DAF" w:rsidRDefault="00475DAF" w:rsidP="00475DAF">
      <w:pPr>
        <w:tabs>
          <w:tab w:val="left" w:pos="0"/>
        </w:tabs>
        <w:spacing w:after="0" w:line="276" w:lineRule="auto"/>
        <w:ind w:firstLine="709"/>
        <w:jc w:val="both"/>
        <w:rPr>
          <w:rFonts w:ascii="Verdana" w:eastAsia="Arial" w:hAnsi="Verdana" w:cs="Arial"/>
          <w:color w:val="000000"/>
          <w:lang w:val="es-ES"/>
        </w:rPr>
      </w:pPr>
    </w:p>
    <w:p w14:paraId="5356FCB6" w14:textId="77777777" w:rsidR="00475DAF" w:rsidRPr="00DB7367" w:rsidRDefault="00475DAF" w:rsidP="00475DAF">
      <w:pPr>
        <w:pStyle w:val="Prrafodelista"/>
        <w:numPr>
          <w:ilvl w:val="0"/>
          <w:numId w:val="19"/>
        </w:numPr>
        <w:tabs>
          <w:tab w:val="left" w:pos="0"/>
        </w:tabs>
        <w:spacing w:after="120" w:line="276" w:lineRule="auto"/>
        <w:jc w:val="both"/>
        <w:rPr>
          <w:rFonts w:ascii="Verdana" w:eastAsia="Arial" w:hAnsi="Verdana" w:cs="Arial"/>
          <w:b/>
          <w:color w:val="000000"/>
        </w:rPr>
      </w:pPr>
      <w:r w:rsidRPr="00DB7367">
        <w:rPr>
          <w:rFonts w:ascii="Verdana" w:eastAsia="Arial" w:hAnsi="Verdana" w:cs="Arial"/>
          <w:b/>
          <w:color w:val="000000"/>
        </w:rPr>
        <w:t>Referencias normativas, jurisprudenciales y otras fuentes</w:t>
      </w: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475DAF" w:rsidRPr="00C45C5D" w14:paraId="75E933C8" w14:textId="77777777" w:rsidTr="005F31E7">
        <w:trPr>
          <w:trHeight w:val="491"/>
          <w:jc w:val="center"/>
        </w:trPr>
        <w:tc>
          <w:tcPr>
            <w:tcW w:w="8647" w:type="dxa"/>
          </w:tcPr>
          <w:p w14:paraId="4B29AD28" w14:textId="77777777" w:rsidR="00475DAF" w:rsidRPr="00161BD7" w:rsidRDefault="00475DAF" w:rsidP="00475DAF">
            <w:pPr>
              <w:numPr>
                <w:ilvl w:val="0"/>
                <w:numId w:val="20"/>
              </w:numPr>
              <w:spacing w:before="120" w:after="120" w:line="276" w:lineRule="auto"/>
              <w:rPr>
                <w:rFonts w:ascii="Verdana" w:eastAsia="Calibri" w:hAnsi="Verdana" w:cs="Arial"/>
                <w:color w:val="000000"/>
                <w:lang w:val="es-MX" w:eastAsia="es-ES"/>
              </w:rPr>
            </w:pPr>
            <w:r w:rsidRPr="00161BD7">
              <w:rPr>
                <w:rFonts w:ascii="Verdana" w:eastAsia="Arial MT" w:hAnsi="Verdana" w:cs="Arial"/>
                <w:lang w:val="es-MX" w:eastAsia="es-ES" w:bidi="es-ES"/>
              </w:rPr>
              <w:t xml:space="preserve">Ley 80 de 1993, artículo 41, parágrafo 1 del artículo 2 </w:t>
            </w:r>
          </w:p>
          <w:p w14:paraId="18E4A59C" w14:textId="77777777" w:rsidR="00475DAF" w:rsidRPr="00161BD7" w:rsidRDefault="00475DAF" w:rsidP="00475DAF">
            <w:pPr>
              <w:numPr>
                <w:ilvl w:val="0"/>
                <w:numId w:val="20"/>
              </w:numPr>
              <w:spacing w:before="120" w:after="120" w:line="276" w:lineRule="auto"/>
              <w:jc w:val="both"/>
              <w:rPr>
                <w:rFonts w:ascii="Verdana" w:eastAsia="Calibri" w:hAnsi="Verdana" w:cs="Arial"/>
                <w:shd w:val="clear" w:color="auto" w:fill="FFFFFF"/>
                <w:lang w:val="es-MX"/>
              </w:rPr>
            </w:pPr>
            <w:r w:rsidRPr="00161BD7">
              <w:rPr>
                <w:rFonts w:ascii="Verdana" w:eastAsia="Calibri" w:hAnsi="Verdana" w:cs="Arial"/>
                <w:shd w:val="clear" w:color="auto" w:fill="FFFFFF"/>
                <w:lang w:val="es-MX"/>
              </w:rPr>
              <w:t>Ley 136 de 1994, artículo 148, 149 y 150.</w:t>
            </w:r>
          </w:p>
          <w:p w14:paraId="16B20F7E" w14:textId="77777777" w:rsidR="00475DAF" w:rsidRPr="00161BD7" w:rsidRDefault="00475DAF" w:rsidP="00475DAF">
            <w:pPr>
              <w:numPr>
                <w:ilvl w:val="0"/>
                <w:numId w:val="20"/>
              </w:numPr>
              <w:spacing w:before="120" w:after="120" w:line="276" w:lineRule="auto"/>
              <w:jc w:val="both"/>
              <w:rPr>
                <w:rFonts w:ascii="Verdana" w:eastAsia="Calibri" w:hAnsi="Verdana" w:cs="Arial"/>
                <w:shd w:val="clear" w:color="auto" w:fill="FFFFFF"/>
                <w:lang w:val="es-MX"/>
              </w:rPr>
            </w:pPr>
            <w:r w:rsidRPr="00161BD7">
              <w:rPr>
                <w:rFonts w:ascii="Verdana" w:eastAsia="Calibri" w:hAnsi="Verdana" w:cs="Arial"/>
                <w:shd w:val="clear" w:color="auto" w:fill="FFFFFF"/>
                <w:lang w:val="es-MX"/>
              </w:rPr>
              <w:t xml:space="preserve">Ley 489 de 1998, artículo 95. </w:t>
            </w:r>
          </w:p>
          <w:p w14:paraId="480902A1" w14:textId="77777777" w:rsidR="00475DAF" w:rsidRPr="00161BD7" w:rsidRDefault="00475DAF" w:rsidP="00475DAF">
            <w:pPr>
              <w:numPr>
                <w:ilvl w:val="0"/>
                <w:numId w:val="20"/>
              </w:numPr>
              <w:spacing w:before="120" w:after="120" w:line="276" w:lineRule="auto"/>
              <w:jc w:val="both"/>
              <w:rPr>
                <w:rFonts w:ascii="Verdana" w:eastAsia="Calibri" w:hAnsi="Verdana" w:cs="Arial"/>
                <w:shd w:val="clear" w:color="auto" w:fill="FFFFFF"/>
                <w:lang w:val="es-MX"/>
              </w:rPr>
            </w:pPr>
            <w:r w:rsidRPr="00161BD7">
              <w:rPr>
                <w:rFonts w:ascii="Verdana" w:eastAsia="Calibri" w:hAnsi="Verdana" w:cs="Arial"/>
                <w:color w:val="000000"/>
                <w:lang w:val="es-MX" w:eastAsia="es-ES"/>
              </w:rPr>
              <w:t>Ley 1150 de 2007, artículo 2, numeral 4, literal c, artículo 32.</w:t>
            </w:r>
          </w:p>
          <w:p w14:paraId="1CB6BAA0" w14:textId="77777777" w:rsidR="00475DAF" w:rsidRPr="00161BD7" w:rsidRDefault="00475DAF" w:rsidP="00475DAF">
            <w:pPr>
              <w:numPr>
                <w:ilvl w:val="0"/>
                <w:numId w:val="20"/>
              </w:numPr>
              <w:spacing w:before="120" w:after="120" w:line="276" w:lineRule="auto"/>
              <w:jc w:val="both"/>
              <w:rPr>
                <w:rFonts w:ascii="Verdana" w:eastAsia="Calibri" w:hAnsi="Verdana" w:cs="Arial"/>
                <w:shd w:val="clear" w:color="auto" w:fill="FFFFFF"/>
                <w:lang w:val="es-MX"/>
              </w:rPr>
            </w:pPr>
            <w:r w:rsidRPr="00161BD7">
              <w:rPr>
                <w:rFonts w:ascii="Verdana" w:hAnsi="Verdana"/>
                <w:color w:val="000000" w:themeColor="text1"/>
                <w:lang w:val="es-MX"/>
              </w:rPr>
              <w:t xml:space="preserve">Ley 1454 de 2011, artículo 17. </w:t>
            </w:r>
          </w:p>
          <w:p w14:paraId="29224153" w14:textId="77777777" w:rsidR="00475DAF" w:rsidRPr="00161BD7" w:rsidRDefault="00475DAF" w:rsidP="00475DAF">
            <w:pPr>
              <w:numPr>
                <w:ilvl w:val="0"/>
                <w:numId w:val="20"/>
              </w:numPr>
              <w:spacing w:before="120" w:after="120" w:line="276" w:lineRule="auto"/>
              <w:jc w:val="both"/>
              <w:rPr>
                <w:rFonts w:ascii="Verdana" w:eastAsia="Calibri" w:hAnsi="Verdana" w:cs="Arial"/>
                <w:shd w:val="clear" w:color="auto" w:fill="FFFFFF"/>
                <w:lang w:val="es-MX"/>
              </w:rPr>
            </w:pPr>
            <w:r w:rsidRPr="00161BD7">
              <w:rPr>
                <w:rFonts w:ascii="Verdana" w:eastAsia="Calibri" w:hAnsi="Verdana" w:cs="Arial"/>
                <w:shd w:val="clear" w:color="auto" w:fill="FFFFFF"/>
                <w:lang w:val="es-MX"/>
              </w:rPr>
              <w:t xml:space="preserve">Ley 1474 de 2011, artículo 92. </w:t>
            </w:r>
          </w:p>
          <w:p w14:paraId="2230E5A5" w14:textId="77777777" w:rsidR="00475DAF" w:rsidRPr="00161BD7" w:rsidRDefault="00475DAF" w:rsidP="00475DAF">
            <w:pPr>
              <w:numPr>
                <w:ilvl w:val="0"/>
                <w:numId w:val="20"/>
              </w:numPr>
              <w:spacing w:before="120" w:after="120" w:line="276" w:lineRule="auto"/>
              <w:jc w:val="both"/>
              <w:rPr>
                <w:rFonts w:ascii="Verdana" w:eastAsia="Calibri" w:hAnsi="Verdana" w:cs="Arial"/>
                <w:shd w:val="clear" w:color="auto" w:fill="FFFFFF"/>
                <w:lang w:val="es-MX"/>
              </w:rPr>
            </w:pPr>
            <w:r w:rsidRPr="00161BD7">
              <w:rPr>
                <w:rFonts w:ascii="Verdana" w:eastAsia="Calibri" w:hAnsi="Verdana" w:cs="Arial"/>
                <w:shd w:val="clear" w:color="auto" w:fill="FFFFFF"/>
                <w:lang w:val="es-MX"/>
              </w:rPr>
              <w:t>Decreto 1082 de 2015, artículo 2.2.1.2.1.4.4.</w:t>
            </w:r>
          </w:p>
          <w:p w14:paraId="48E6B246" w14:textId="77777777" w:rsidR="00475DAF" w:rsidRPr="006F248B" w:rsidRDefault="00475DAF" w:rsidP="00475DAF">
            <w:pPr>
              <w:numPr>
                <w:ilvl w:val="0"/>
                <w:numId w:val="20"/>
              </w:numPr>
              <w:spacing w:before="120" w:after="120" w:line="276" w:lineRule="auto"/>
              <w:jc w:val="both"/>
              <w:rPr>
                <w:rFonts w:ascii="Verdana" w:eastAsia="Calibri" w:hAnsi="Verdana" w:cs="Arial"/>
                <w:shd w:val="clear" w:color="auto" w:fill="FFFFFF"/>
                <w:lang w:val="es-MX"/>
              </w:rPr>
            </w:pPr>
            <w:r w:rsidRPr="00161BD7">
              <w:rPr>
                <w:rFonts w:ascii="Verdana" w:eastAsia="Calibri" w:hAnsi="Verdana" w:cs="Arial"/>
                <w:shd w:val="clear" w:color="auto" w:fill="FFFFFF"/>
                <w:lang w:val="es-MX"/>
              </w:rPr>
              <w:lastRenderedPageBreak/>
              <w:t xml:space="preserve">Ley 2156 de 2021, artículo 56.  </w:t>
            </w:r>
          </w:p>
          <w:p w14:paraId="5551FE45" w14:textId="77777777" w:rsidR="00475DAF" w:rsidRDefault="00475DAF" w:rsidP="00475DAF">
            <w:pPr>
              <w:numPr>
                <w:ilvl w:val="0"/>
                <w:numId w:val="20"/>
              </w:numPr>
              <w:spacing w:before="120" w:after="120" w:line="276" w:lineRule="auto"/>
              <w:jc w:val="both"/>
              <w:rPr>
                <w:rFonts w:ascii="Verdana" w:eastAsia="Calibri" w:hAnsi="Verdana" w:cs="Arial"/>
                <w:shd w:val="clear" w:color="auto" w:fill="FFFFFF"/>
                <w:lang w:val="es-MX"/>
              </w:rPr>
            </w:pPr>
            <w:r w:rsidRPr="006F248B">
              <w:rPr>
                <w:rFonts w:ascii="Verdana" w:eastAsia="Calibri" w:hAnsi="Verdana" w:cs="Arial"/>
                <w:shd w:val="clear" w:color="auto" w:fill="FFFFFF"/>
                <w:lang w:val="es-MX"/>
              </w:rPr>
              <w:t>Consejo de Estado, Sala de lo Contencioso Administrativo, Sección Tercera, Sentencia del 3 de diciembre de 2007, expedientes acumulados: (25206, 25409, 24524, 27834, 25410, 26105, 28244, 31447).</w:t>
            </w:r>
          </w:p>
          <w:p w14:paraId="45948AE9" w14:textId="77777777" w:rsidR="00475DAF" w:rsidRPr="006F248B" w:rsidRDefault="00475DAF" w:rsidP="00475DAF">
            <w:pPr>
              <w:numPr>
                <w:ilvl w:val="0"/>
                <w:numId w:val="20"/>
              </w:numPr>
              <w:spacing w:before="120" w:after="120" w:line="276" w:lineRule="auto"/>
              <w:jc w:val="both"/>
              <w:rPr>
                <w:rFonts w:ascii="Verdana" w:eastAsia="Calibri" w:hAnsi="Verdana" w:cs="Arial"/>
                <w:shd w:val="clear" w:color="auto" w:fill="FFFFFF"/>
                <w:lang w:val="es-MX"/>
              </w:rPr>
            </w:pPr>
            <w:r w:rsidRPr="006F248B">
              <w:rPr>
                <w:rFonts w:ascii="Verdana" w:eastAsia="Calibri" w:hAnsi="Verdana" w:cs="Arial"/>
                <w:shd w:val="clear" w:color="auto" w:fill="FFFFFF"/>
                <w:lang w:val="es-MX"/>
              </w:rPr>
              <w:t xml:space="preserve">Consejo de Estado, Sección Tercera, Subsección A. Sentencia del 23 de junio de 2010. C.P. Mauricio Fajardo Gómez. </w:t>
            </w:r>
            <w:proofErr w:type="spellStart"/>
            <w:r w:rsidRPr="006F248B">
              <w:rPr>
                <w:rFonts w:ascii="Verdana" w:eastAsia="Calibri" w:hAnsi="Verdana" w:cs="Arial"/>
                <w:shd w:val="clear" w:color="auto" w:fill="FFFFFF"/>
                <w:lang w:val="es-MX"/>
              </w:rPr>
              <w:t>Exp</w:t>
            </w:r>
            <w:proofErr w:type="spellEnd"/>
            <w:r w:rsidRPr="006F248B">
              <w:rPr>
                <w:rFonts w:ascii="Verdana" w:eastAsia="Calibri" w:hAnsi="Verdana" w:cs="Arial"/>
                <w:shd w:val="clear" w:color="auto" w:fill="FFFFFF"/>
                <w:lang w:val="es-MX"/>
              </w:rPr>
              <w:t xml:space="preserve"> 17860. </w:t>
            </w:r>
          </w:p>
          <w:p w14:paraId="6EA1F16C" w14:textId="77777777" w:rsidR="00475DAF" w:rsidRPr="006F248B" w:rsidRDefault="00475DAF" w:rsidP="00475DAF">
            <w:pPr>
              <w:numPr>
                <w:ilvl w:val="0"/>
                <w:numId w:val="20"/>
              </w:numPr>
              <w:spacing w:before="120" w:after="120" w:line="276" w:lineRule="auto"/>
              <w:jc w:val="both"/>
              <w:rPr>
                <w:rFonts w:ascii="Verdana" w:eastAsia="Calibri" w:hAnsi="Verdana" w:cs="Arial"/>
                <w:shd w:val="clear" w:color="auto" w:fill="FFFFFF"/>
                <w:lang w:val="es-MX"/>
              </w:rPr>
            </w:pPr>
            <w:r w:rsidRPr="006F248B">
              <w:rPr>
                <w:rFonts w:ascii="Verdana" w:eastAsia="Calibri" w:hAnsi="Verdana" w:cs="Arial"/>
                <w:shd w:val="clear" w:color="auto" w:fill="FFFFFF"/>
                <w:lang w:val="es-MX"/>
              </w:rPr>
              <w:t xml:space="preserve">Consejo de Estado, Sala de Consulta y Servicio Civil. Concepto no. 2257 del 26 de julio de 2016, C.P. Álvaro </w:t>
            </w:r>
            <w:proofErr w:type="spellStart"/>
            <w:r w:rsidRPr="006F248B">
              <w:rPr>
                <w:rFonts w:ascii="Verdana" w:eastAsia="Calibri" w:hAnsi="Verdana" w:cs="Arial"/>
                <w:shd w:val="clear" w:color="auto" w:fill="FFFFFF"/>
                <w:lang w:val="es-MX"/>
              </w:rPr>
              <w:t>Namén</w:t>
            </w:r>
            <w:proofErr w:type="spellEnd"/>
            <w:r w:rsidRPr="006F248B">
              <w:rPr>
                <w:rFonts w:ascii="Verdana" w:eastAsia="Calibri" w:hAnsi="Verdana" w:cs="Arial"/>
                <w:shd w:val="clear" w:color="auto" w:fill="FFFFFF"/>
                <w:lang w:val="es-MX"/>
              </w:rPr>
              <w:t xml:space="preserve"> Vargas.</w:t>
            </w:r>
          </w:p>
          <w:p w14:paraId="55B7A1D6" w14:textId="77777777" w:rsidR="00475DAF" w:rsidRPr="006F248B" w:rsidRDefault="00475DAF" w:rsidP="00475DAF">
            <w:pPr>
              <w:numPr>
                <w:ilvl w:val="0"/>
                <w:numId w:val="20"/>
              </w:numPr>
              <w:spacing w:before="120" w:after="120" w:line="276" w:lineRule="auto"/>
              <w:jc w:val="both"/>
              <w:rPr>
                <w:rFonts w:ascii="Verdana" w:eastAsia="Calibri" w:hAnsi="Verdana" w:cs="Arial"/>
                <w:shd w:val="clear" w:color="auto" w:fill="FFFFFF"/>
                <w:lang w:val="es-MX"/>
              </w:rPr>
            </w:pPr>
            <w:r w:rsidRPr="006F248B">
              <w:rPr>
                <w:rFonts w:ascii="Verdana" w:eastAsia="Calibri" w:hAnsi="Verdana" w:cs="Arial"/>
                <w:shd w:val="clear" w:color="auto" w:fill="FFFFFF"/>
                <w:lang w:val="es-MX"/>
              </w:rPr>
              <w:t>Consejo de Estado. Sección Tercera, Subsección A. Sentencia del 14 de junio de 2019, C.P.: Marta Nubia Velásquez Rico. Rad.: 25000-23-37-000-2010-02552-01 (AP).</w:t>
            </w:r>
          </w:p>
          <w:p w14:paraId="00C87446" w14:textId="77777777" w:rsidR="00475DAF" w:rsidRPr="006F248B" w:rsidRDefault="00475DAF" w:rsidP="00475DAF">
            <w:pPr>
              <w:numPr>
                <w:ilvl w:val="0"/>
                <w:numId w:val="20"/>
              </w:numPr>
              <w:spacing w:before="120" w:after="120" w:line="276" w:lineRule="auto"/>
              <w:jc w:val="both"/>
              <w:rPr>
                <w:rFonts w:ascii="Verdana" w:eastAsia="Calibri" w:hAnsi="Verdana" w:cs="Arial"/>
                <w:shd w:val="clear" w:color="auto" w:fill="FFFFFF"/>
                <w:lang w:val="es-MX"/>
              </w:rPr>
            </w:pPr>
            <w:r w:rsidRPr="006F248B">
              <w:rPr>
                <w:rFonts w:ascii="Verdana" w:eastAsia="Calibri" w:hAnsi="Verdana" w:cs="Arial"/>
                <w:shd w:val="clear" w:color="auto" w:fill="FFFFFF"/>
                <w:lang w:val="es-MX"/>
              </w:rPr>
              <w:t xml:space="preserve">Consejo de Estado. Sección Tercera, Subsección A. Sentencia del 16 de agosto de 2022, C.P.: María Adriana Marín. </w:t>
            </w:r>
            <w:proofErr w:type="spellStart"/>
            <w:r w:rsidRPr="006F248B">
              <w:rPr>
                <w:rFonts w:ascii="Verdana" w:eastAsia="Calibri" w:hAnsi="Verdana" w:cs="Arial"/>
                <w:shd w:val="clear" w:color="auto" w:fill="FFFFFF"/>
                <w:lang w:val="es-MX"/>
              </w:rPr>
              <w:t>Exp</w:t>
            </w:r>
            <w:proofErr w:type="spellEnd"/>
            <w:r w:rsidRPr="006F248B">
              <w:rPr>
                <w:rFonts w:ascii="Verdana" w:eastAsia="Calibri" w:hAnsi="Verdana" w:cs="Arial"/>
                <w:shd w:val="clear" w:color="auto" w:fill="FFFFFF"/>
                <w:lang w:val="es-MX"/>
              </w:rPr>
              <w:t>. 60434.</w:t>
            </w:r>
          </w:p>
          <w:p w14:paraId="252159A1" w14:textId="77777777" w:rsidR="00475DAF" w:rsidRPr="006F248B" w:rsidRDefault="00475DAF" w:rsidP="00475DAF">
            <w:pPr>
              <w:numPr>
                <w:ilvl w:val="0"/>
                <w:numId w:val="20"/>
              </w:numPr>
              <w:spacing w:before="120" w:after="120" w:line="276" w:lineRule="auto"/>
              <w:jc w:val="both"/>
              <w:rPr>
                <w:rFonts w:ascii="Verdana" w:eastAsia="Calibri" w:hAnsi="Verdana" w:cs="Arial"/>
                <w:shd w:val="clear" w:color="auto" w:fill="FFFFFF"/>
                <w:lang w:val="es-MX"/>
              </w:rPr>
            </w:pPr>
            <w:r w:rsidRPr="006F248B">
              <w:rPr>
                <w:rFonts w:ascii="Verdana" w:eastAsia="Calibri" w:hAnsi="Verdana" w:cs="Arial"/>
                <w:shd w:val="clear" w:color="auto" w:fill="FFFFFF"/>
                <w:lang w:val="es-MX"/>
              </w:rPr>
              <w:t xml:space="preserve">Consejo de Estado. Sección Tercera. Auto del 4 de octubre de 2024. C.P. Fredy Ibarra Martínez. </w:t>
            </w:r>
            <w:proofErr w:type="spellStart"/>
            <w:r w:rsidRPr="006F248B">
              <w:rPr>
                <w:rFonts w:ascii="Verdana" w:eastAsia="Calibri" w:hAnsi="Verdana" w:cs="Arial"/>
                <w:shd w:val="clear" w:color="auto" w:fill="FFFFFF"/>
                <w:lang w:val="es-MX"/>
              </w:rPr>
              <w:t>Exp</w:t>
            </w:r>
            <w:proofErr w:type="spellEnd"/>
            <w:r w:rsidRPr="006F248B">
              <w:rPr>
                <w:rFonts w:ascii="Verdana" w:eastAsia="Calibri" w:hAnsi="Verdana" w:cs="Arial"/>
                <w:shd w:val="clear" w:color="auto" w:fill="FFFFFF"/>
                <w:lang w:val="es-MX"/>
              </w:rPr>
              <w:t xml:space="preserve"> 70313. </w:t>
            </w:r>
          </w:p>
          <w:p w14:paraId="0B7831CF" w14:textId="77777777" w:rsidR="00475DAF" w:rsidRPr="00161BD7" w:rsidRDefault="00475DAF" w:rsidP="00475DAF">
            <w:pPr>
              <w:numPr>
                <w:ilvl w:val="0"/>
                <w:numId w:val="20"/>
              </w:numPr>
              <w:spacing w:before="120" w:after="120" w:line="276" w:lineRule="auto"/>
              <w:jc w:val="both"/>
              <w:rPr>
                <w:rFonts w:ascii="Verdana" w:eastAsia="Calibri" w:hAnsi="Verdana" w:cs="Arial"/>
                <w:shd w:val="clear" w:color="auto" w:fill="FFFFFF"/>
                <w:lang w:val="es-MX"/>
              </w:rPr>
            </w:pPr>
            <w:r w:rsidRPr="006F248B">
              <w:rPr>
                <w:rFonts w:ascii="Verdana" w:eastAsia="Calibri" w:hAnsi="Verdana" w:cs="Arial"/>
                <w:shd w:val="clear" w:color="auto" w:fill="FFFFFF"/>
                <w:lang w:val="es-MX"/>
              </w:rPr>
              <w:t xml:space="preserve">Consejo de Estado. Sección Tercera, Subsección A. Sentencia del 25 de mayo de 2025. C.P. María Adriana Marín Hernández. </w:t>
            </w:r>
            <w:proofErr w:type="spellStart"/>
            <w:r w:rsidRPr="006F248B">
              <w:rPr>
                <w:rFonts w:ascii="Verdana" w:eastAsia="Calibri" w:hAnsi="Verdana" w:cs="Arial"/>
                <w:shd w:val="clear" w:color="auto" w:fill="FFFFFF"/>
                <w:lang w:val="es-MX"/>
              </w:rPr>
              <w:t>Exp</w:t>
            </w:r>
            <w:proofErr w:type="spellEnd"/>
            <w:r w:rsidRPr="006F248B">
              <w:rPr>
                <w:rFonts w:ascii="Verdana" w:eastAsia="Calibri" w:hAnsi="Verdana" w:cs="Arial"/>
                <w:shd w:val="clear" w:color="auto" w:fill="FFFFFF"/>
                <w:lang w:val="es-MX"/>
              </w:rPr>
              <w:t>. 70.504.</w:t>
            </w:r>
          </w:p>
          <w:p w14:paraId="1D1B99A5" w14:textId="77777777" w:rsidR="00475DAF" w:rsidRPr="002E326F" w:rsidRDefault="00475DAF" w:rsidP="00475DAF">
            <w:pPr>
              <w:numPr>
                <w:ilvl w:val="0"/>
                <w:numId w:val="20"/>
              </w:numPr>
              <w:spacing w:before="120" w:after="120" w:line="276" w:lineRule="auto"/>
              <w:ind w:left="714" w:hanging="357"/>
              <w:jc w:val="both"/>
              <w:rPr>
                <w:rFonts w:ascii="Verdana" w:eastAsia="Calibri" w:hAnsi="Verdana" w:cs="Arial"/>
                <w:shd w:val="clear" w:color="auto" w:fill="FFFFFF"/>
                <w:lang w:val="pt-BR"/>
              </w:rPr>
            </w:pPr>
            <w:r w:rsidRPr="002E326F">
              <w:rPr>
                <w:rFonts w:ascii="Verdana" w:eastAsia="Calibri" w:hAnsi="Verdana" w:cs="Arial"/>
                <w:shd w:val="clear" w:color="auto" w:fill="FFFFFF"/>
                <w:lang w:val="pt-BR"/>
              </w:rPr>
              <w:t xml:space="preserve">Corte Constitucional, Sentencia C-449 de 1992.  </w:t>
            </w:r>
          </w:p>
          <w:p w14:paraId="46E21D0E" w14:textId="77777777" w:rsidR="00475DAF" w:rsidRPr="00161BD7" w:rsidRDefault="00475DAF" w:rsidP="00475DAF">
            <w:pPr>
              <w:numPr>
                <w:ilvl w:val="0"/>
                <w:numId w:val="20"/>
              </w:numPr>
              <w:spacing w:before="120" w:after="120" w:line="276" w:lineRule="auto"/>
              <w:ind w:left="714" w:hanging="357"/>
              <w:jc w:val="both"/>
              <w:rPr>
                <w:rFonts w:ascii="Verdana" w:eastAsia="Calibri" w:hAnsi="Verdana" w:cs="Arial"/>
                <w:shd w:val="clear" w:color="auto" w:fill="FFFFFF"/>
                <w:lang w:val="es-MX"/>
              </w:rPr>
            </w:pPr>
            <w:r w:rsidRPr="002A30BB">
              <w:rPr>
                <w:rFonts w:ascii="Verdana" w:eastAsia="Calibri" w:hAnsi="Verdana" w:cs="Times New Roman"/>
                <w:lang w:val="pt-BR"/>
              </w:rPr>
              <w:t xml:space="preserve">Corte Constitucional. Sentencia C-671 de 2005. </w:t>
            </w:r>
            <w:r w:rsidRPr="002A30BB">
              <w:rPr>
                <w:rFonts w:ascii="Verdana" w:eastAsia="Calibri" w:hAnsi="Verdana" w:cs="Times New Roman"/>
                <w:lang w:val="es-MX"/>
              </w:rPr>
              <w:t>M.P. Álvaro Tafur Galvis.</w:t>
            </w:r>
          </w:p>
          <w:p w14:paraId="6B817691" w14:textId="77777777" w:rsidR="00475DAF" w:rsidRPr="00FC2F50" w:rsidRDefault="00475DAF" w:rsidP="00475DAF">
            <w:pPr>
              <w:widowControl w:val="0"/>
              <w:numPr>
                <w:ilvl w:val="0"/>
                <w:numId w:val="20"/>
              </w:numPr>
              <w:autoSpaceDE w:val="0"/>
              <w:autoSpaceDN w:val="0"/>
              <w:spacing w:before="120" w:after="120" w:line="276" w:lineRule="auto"/>
              <w:ind w:left="714" w:hanging="357"/>
              <w:jc w:val="both"/>
              <w:rPr>
                <w:rFonts w:ascii="Verdana" w:hAnsi="Verdana" w:cs="Arial"/>
                <w:lang w:val="es-ES_tradnl"/>
              </w:rPr>
            </w:pPr>
            <w:r w:rsidRPr="00C45C5D">
              <w:rPr>
                <w:rFonts w:ascii="Verdana" w:eastAsia="Calibri" w:hAnsi="Verdana" w:cs="Arial"/>
                <w:shd w:val="clear" w:color="auto" w:fill="FFFFFF"/>
              </w:rPr>
              <w:t>DÁVILA VINUEZA. Luis Guillermo. Régimen jurídico de la contratación estatal. 3ª ed. Bogotá: Temis, 2016. p. 494.</w:t>
            </w:r>
          </w:p>
          <w:p w14:paraId="60AE7DFA" w14:textId="77777777" w:rsidR="00475DAF" w:rsidRPr="00FC2F50" w:rsidRDefault="00475DAF" w:rsidP="00475DAF">
            <w:pPr>
              <w:widowControl w:val="0"/>
              <w:numPr>
                <w:ilvl w:val="0"/>
                <w:numId w:val="20"/>
              </w:numPr>
              <w:autoSpaceDE w:val="0"/>
              <w:autoSpaceDN w:val="0"/>
              <w:spacing w:before="120" w:after="120" w:line="276" w:lineRule="auto"/>
              <w:jc w:val="both"/>
              <w:rPr>
                <w:rFonts w:ascii="Verdana" w:hAnsi="Verdana" w:cs="Arial"/>
                <w:lang w:val="es-ES_tradnl"/>
              </w:rPr>
            </w:pPr>
            <w:r w:rsidRPr="00FC2F50">
              <w:rPr>
                <w:rFonts w:ascii="Verdana" w:hAnsi="Verdana" w:cs="Arial"/>
                <w:lang w:val="es-ES_tradnl"/>
              </w:rPr>
              <w:t xml:space="preserve">CHAVÉZ MARÍN, Augusto Ramón. Los convenios de la Administración. Entre la gestión pública y la actividad contractual. Bogotá: Temis, 2020. </w:t>
            </w:r>
          </w:p>
          <w:p w14:paraId="2123CFD7" w14:textId="77777777" w:rsidR="00475DAF" w:rsidRPr="00C45C5D" w:rsidRDefault="00475DAF" w:rsidP="00475DAF">
            <w:pPr>
              <w:widowControl w:val="0"/>
              <w:numPr>
                <w:ilvl w:val="0"/>
                <w:numId w:val="20"/>
              </w:numPr>
              <w:autoSpaceDE w:val="0"/>
              <w:autoSpaceDN w:val="0"/>
              <w:spacing w:before="120" w:after="120" w:line="276" w:lineRule="auto"/>
              <w:jc w:val="both"/>
              <w:rPr>
                <w:rFonts w:ascii="Verdana" w:hAnsi="Verdana" w:cs="Arial"/>
                <w:lang w:val="es-ES_tradnl"/>
              </w:rPr>
            </w:pPr>
            <w:r w:rsidRPr="00FC2F50">
              <w:rPr>
                <w:rFonts w:ascii="Verdana" w:hAnsi="Verdana" w:cs="Arial"/>
                <w:lang w:val="es-ES_tradnl"/>
              </w:rPr>
              <w:t>SANTOS RODRÍGUEZ, Jorge Enrique. Consideraciones sobre los contratos y convenios interadministrativos. En: Revista Digital de Derecho Administrativo, 2008.</w:t>
            </w:r>
          </w:p>
        </w:tc>
      </w:tr>
    </w:tbl>
    <w:p w14:paraId="0E748734" w14:textId="77777777" w:rsidR="00475DAF" w:rsidRPr="00C45C5D" w:rsidRDefault="00475DAF" w:rsidP="00475DAF">
      <w:pPr>
        <w:widowControl w:val="0"/>
        <w:autoSpaceDE w:val="0"/>
        <w:autoSpaceDN w:val="0"/>
        <w:spacing w:after="0" w:line="276" w:lineRule="auto"/>
        <w:jc w:val="both"/>
        <w:rPr>
          <w:rFonts w:ascii="Verdana" w:hAnsi="Verdana" w:cs="Arial"/>
        </w:rPr>
      </w:pPr>
    </w:p>
    <w:p w14:paraId="27739FFF" w14:textId="77777777" w:rsidR="00475DAF" w:rsidRPr="00DB7367" w:rsidRDefault="00475DAF" w:rsidP="00475DAF">
      <w:pPr>
        <w:pStyle w:val="Prrafodelista"/>
        <w:numPr>
          <w:ilvl w:val="0"/>
          <w:numId w:val="19"/>
        </w:numPr>
        <w:tabs>
          <w:tab w:val="left" w:pos="142"/>
          <w:tab w:val="left" w:pos="284"/>
        </w:tabs>
        <w:spacing w:after="0" w:line="276" w:lineRule="auto"/>
        <w:jc w:val="both"/>
        <w:rPr>
          <w:rFonts w:ascii="Verdana" w:eastAsia="Century Gothic" w:hAnsi="Verdana" w:cs="Century Gothic"/>
          <w:b/>
          <w:bCs/>
        </w:rPr>
      </w:pPr>
      <w:r w:rsidRPr="00DB7367">
        <w:rPr>
          <w:rFonts w:ascii="Verdana" w:eastAsia="Century Gothic" w:hAnsi="Verdana" w:cs="Century Gothic"/>
          <w:b/>
          <w:bCs/>
        </w:rPr>
        <w:t>Doctrina de la Agencia Nacional de Contratación Pública:</w:t>
      </w:r>
    </w:p>
    <w:p w14:paraId="19CDC5C4" w14:textId="77777777" w:rsidR="00475DAF" w:rsidRPr="00C45C5D" w:rsidRDefault="00475DAF" w:rsidP="00475DAF">
      <w:pPr>
        <w:widowControl w:val="0"/>
        <w:autoSpaceDE w:val="0"/>
        <w:autoSpaceDN w:val="0"/>
        <w:spacing w:after="0" w:line="276" w:lineRule="auto"/>
        <w:jc w:val="both"/>
        <w:rPr>
          <w:rFonts w:ascii="Verdana" w:hAnsi="Verdana" w:cs="Arial"/>
        </w:rPr>
      </w:pPr>
    </w:p>
    <w:p w14:paraId="0628B8AA" w14:textId="77777777" w:rsidR="00475DAF" w:rsidRPr="00FC2F50" w:rsidRDefault="00475DAF" w:rsidP="00475DAF">
      <w:pPr>
        <w:widowControl w:val="0"/>
        <w:autoSpaceDE w:val="0"/>
        <w:autoSpaceDN w:val="0"/>
        <w:spacing w:after="0" w:line="276" w:lineRule="auto"/>
        <w:jc w:val="both"/>
        <w:rPr>
          <w:rFonts w:ascii="Verdana" w:hAnsi="Verdana" w:cs="Arial"/>
          <w:shd w:val="clear" w:color="auto" w:fill="FFFFFF"/>
          <w:lang w:val="es-ES"/>
        </w:rPr>
      </w:pPr>
      <w:r w:rsidRPr="00C45C5D">
        <w:rPr>
          <w:rFonts w:ascii="Verdana" w:eastAsia="Calibri" w:hAnsi="Verdana" w:cs="Arial"/>
          <w:color w:val="000000" w:themeColor="text1"/>
          <w:lang w:val="es-ES" w:eastAsia="es-ES_tradnl"/>
        </w:rPr>
        <w:t xml:space="preserve">La Agencia Nacional de Contratación Pública – Colombia Compra Eficiente, en </w:t>
      </w:r>
      <w:r w:rsidRPr="00C45C5D">
        <w:rPr>
          <w:rFonts w:ascii="Verdana" w:eastAsia="Calibri" w:hAnsi="Verdana" w:cs="Arial"/>
          <w:color w:val="000000" w:themeColor="text1"/>
          <w:lang w:val="es-ES" w:eastAsia="es-ES_tradnl"/>
        </w:rPr>
        <w:lastRenderedPageBreak/>
        <w:t>los Conceptos 2201913000005444 del 30 de julio de 2019, 2201913000005649 del 8 de agosto de 2019, 4201912000007676 del 20 de diciembre de 2019, C-059 del 25 de febrero de 2020, C-659 del 10 de noviembre de 2020,</w:t>
      </w:r>
      <w:r w:rsidRPr="00C45C5D">
        <w:rPr>
          <w:rFonts w:ascii="Verdana" w:eastAsia="Calibri" w:hAnsi="Verdana" w:cs="Arial"/>
          <w:color w:val="000000" w:themeColor="text1"/>
          <w:lang w:val="es-MX" w:eastAsia="es-ES_tradnl"/>
        </w:rPr>
        <w:t xml:space="preserve"> C-788 del 21 de enero de 2021, C-054 del 10 de marzo de 2021, C-116 del 30 de marzo de 2021, C-149 de 8 de abril de 2021, C-173 del 16 de abril de 2021, C-214 del 13 de mayo de 2021, C-284 del 18 de junio de 2021, C-347 del 23 de julio de 2021, C-664 del 30 de agosto de 2021, C-554 del 6 de octubre de 2021, C-249 del 16 de junio de 2022, C-033 del 27 de febrero de 2023, C-285 del 4 de julio de 2023</w:t>
      </w:r>
      <w:r w:rsidRPr="00C45C5D">
        <w:rPr>
          <w:rFonts w:ascii="Verdana" w:eastAsia="Calibri" w:hAnsi="Verdana" w:cs="Arial"/>
          <w:color w:val="000000" w:themeColor="text1"/>
          <w:lang w:val="es-ES" w:eastAsia="es-ES_tradnl"/>
        </w:rPr>
        <w:t>, C-379 del 29 de octubre de 2023 y C-1044 del 11 de febrero de 2025</w:t>
      </w:r>
      <w:r>
        <w:rPr>
          <w:rFonts w:ascii="Verdana" w:eastAsia="Calibri" w:hAnsi="Verdana" w:cs="Arial"/>
          <w:color w:val="000000" w:themeColor="text1"/>
          <w:lang w:val="es-ES" w:eastAsia="es-ES_tradnl"/>
        </w:rPr>
        <w:t>, C-049</w:t>
      </w:r>
      <w:r w:rsidRPr="00C45C5D">
        <w:rPr>
          <w:rFonts w:ascii="Verdana" w:eastAsia="Calibri" w:hAnsi="Verdana" w:cs="Arial"/>
          <w:color w:val="000000" w:themeColor="text1"/>
          <w:lang w:val="es-ES" w:eastAsia="es-ES_tradnl"/>
        </w:rPr>
        <w:t xml:space="preserve"> </w:t>
      </w:r>
      <w:r>
        <w:rPr>
          <w:rFonts w:ascii="Verdana" w:eastAsia="Calibri" w:hAnsi="Verdana" w:cs="Arial"/>
          <w:color w:val="000000" w:themeColor="text1"/>
          <w:lang w:val="es-ES" w:eastAsia="es-ES_tradnl"/>
        </w:rPr>
        <w:t xml:space="preserve">del 17 de febrero de 2025, entre otros, </w:t>
      </w:r>
      <w:r w:rsidRPr="00C45C5D">
        <w:rPr>
          <w:rFonts w:ascii="Verdana" w:eastAsia="Calibri" w:hAnsi="Verdana" w:cs="Arial"/>
          <w:color w:val="000000" w:themeColor="text1"/>
          <w:lang w:val="es-ES" w:eastAsia="es-ES_tradnl"/>
        </w:rPr>
        <w:t>se ha pronunciado sobre los esquemas asociativos de entidades territoriales</w:t>
      </w:r>
      <w:r w:rsidRPr="00C45C5D">
        <w:rPr>
          <w:rFonts w:ascii="Verdana" w:hAnsi="Verdana" w:cs="Arial"/>
          <w:shd w:val="clear" w:color="auto" w:fill="FFFFFF"/>
          <w:lang w:val="es-ES"/>
        </w:rPr>
        <w:t>.</w:t>
      </w:r>
      <w:r>
        <w:rPr>
          <w:rFonts w:ascii="Verdana" w:hAnsi="Verdana" w:cs="Arial"/>
          <w:shd w:val="clear" w:color="auto" w:fill="FFFFFF"/>
          <w:lang w:val="es-ES"/>
        </w:rPr>
        <w:t xml:space="preserve"> En torno a la celebración de convenios interadministrativos y su diferencia con los contratos interadministrativos se han expedido los siguientes conceptos </w:t>
      </w:r>
      <w:r>
        <w:rPr>
          <w:rFonts w:ascii="Verdana" w:eastAsia="Arial" w:hAnsi="Verdana" w:cs="Arial"/>
          <w:color w:val="000000"/>
          <w:lang w:val="es-ES"/>
        </w:rPr>
        <w:t xml:space="preserve">C-605 del 27 de junio de 2025, </w:t>
      </w:r>
      <w:r w:rsidRPr="00B57A1B">
        <w:rPr>
          <w:rFonts w:ascii="Verdana" w:hAnsi="Verdana" w:cs="Arial"/>
          <w:shd w:val="clear" w:color="auto" w:fill="FFFFFF"/>
        </w:rPr>
        <w:t>C-1046 del 9 de septiembre de 2025</w:t>
      </w:r>
      <w:r>
        <w:rPr>
          <w:rFonts w:ascii="Verdana" w:hAnsi="Verdana" w:cs="Arial"/>
          <w:shd w:val="clear" w:color="auto" w:fill="FFFFFF"/>
        </w:rPr>
        <w:t>, C-1152 del 23 de septiembre de 2025</w:t>
      </w:r>
      <w:r>
        <w:rPr>
          <w:rFonts w:ascii="Verdana" w:hAnsi="Verdana" w:cs="Arial"/>
          <w:shd w:val="clear" w:color="auto" w:fill="FFFFFF"/>
          <w:lang w:val="es-ES"/>
        </w:rPr>
        <w:t>, entre otros.</w:t>
      </w:r>
      <w:r w:rsidRPr="00C45C5D">
        <w:rPr>
          <w:rFonts w:ascii="Verdana" w:hAnsi="Verdana" w:cs="Arial"/>
          <w:shd w:val="clear" w:color="auto" w:fill="FFFFFF"/>
          <w:lang w:val="es-ES"/>
        </w:rPr>
        <w:t xml:space="preserve"> </w:t>
      </w:r>
      <w:r w:rsidRPr="00392E13">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6340F7AB" w14:textId="77777777" w:rsidR="00475DAF" w:rsidRPr="00392E13" w:rsidRDefault="00475DAF" w:rsidP="00475DAF">
      <w:pPr>
        <w:spacing w:after="0" w:line="256" w:lineRule="auto"/>
        <w:jc w:val="both"/>
        <w:rPr>
          <w:rFonts w:ascii="Verdana" w:eastAsia="Calibri" w:hAnsi="Verdana" w:cs="Times New Roman"/>
        </w:rPr>
      </w:pPr>
      <w:hyperlink r:id="rId15" w:history="1">
        <w:r w:rsidRPr="00E47CAB">
          <w:rPr>
            <w:rStyle w:val="Hipervnculo"/>
            <w:rFonts w:ascii="Verdana" w:hAnsi="Verdana"/>
          </w:rPr>
          <w:t>https://www.colombiacompra.gov.co/normativa-y-relatoria/conoce-la-relatoria</w:t>
        </w:r>
      </w:hyperlink>
      <w:r w:rsidRPr="00E47CAB">
        <w:rPr>
          <w:rFonts w:ascii="Verdana" w:hAnsi="Verdana"/>
        </w:rPr>
        <w:t xml:space="preserve"> </w:t>
      </w:r>
    </w:p>
    <w:p w14:paraId="4E6A57E0" w14:textId="77777777" w:rsidR="00475DAF" w:rsidRPr="009563E7" w:rsidRDefault="00475DAF" w:rsidP="00475DAF">
      <w:pPr>
        <w:widowControl w:val="0"/>
        <w:autoSpaceDE w:val="0"/>
        <w:autoSpaceDN w:val="0"/>
        <w:spacing w:after="0" w:line="276" w:lineRule="auto"/>
        <w:jc w:val="both"/>
        <w:rPr>
          <w:rFonts w:ascii="Verdana" w:hAnsi="Verdana"/>
        </w:rPr>
      </w:pPr>
    </w:p>
    <w:p w14:paraId="60BA16C6" w14:textId="77777777" w:rsidR="00475DAF" w:rsidRPr="00EC0E3F" w:rsidRDefault="00475DAF" w:rsidP="00475DAF">
      <w:pPr>
        <w:spacing w:after="0" w:line="256" w:lineRule="auto"/>
        <w:jc w:val="both"/>
        <w:rPr>
          <w:rFonts w:ascii="Verdana" w:eastAsia="Calibri" w:hAnsi="Verdana" w:cs="Times New Roman"/>
        </w:rPr>
      </w:pPr>
      <w:r w:rsidRPr="00EC0E3F">
        <w:rPr>
          <w:rFonts w:ascii="Verdana" w:eastAsia="Calibri" w:hAnsi="Verdana" w:cs="Times New Roman"/>
        </w:rPr>
        <w:t xml:space="preserve">Te informamos que ya se encuentra disponible la </w:t>
      </w:r>
      <w:r w:rsidRPr="00EC0E3F">
        <w:rPr>
          <w:rFonts w:ascii="Verdana" w:eastAsia="Calibri" w:hAnsi="Verdana" w:cs="Times New Roman"/>
          <w:b/>
          <w:bCs/>
        </w:rPr>
        <w:t xml:space="preserve">Guía de lineamientos de transparencia y selección objetiva para el departamento de La Guajira – Objetivo sexto constitucional de la Sentencia T-302 del 2017. </w:t>
      </w:r>
      <w:r w:rsidRPr="00EC0E3F">
        <w:rPr>
          <w:rFonts w:ascii="Verdana" w:eastAsia="Calibri" w:hAnsi="Verdana" w:cs="Times New Roman"/>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EC0E3F">
        <w:rPr>
          <w:rFonts w:ascii="Verdana" w:eastAsia="Calibri" w:hAnsi="Verdana" w:cs="Times New Roman"/>
        </w:rPr>
        <w:t>Wayúu</w:t>
      </w:r>
      <w:proofErr w:type="spellEnd"/>
      <w:r w:rsidRPr="00EC0E3F">
        <w:rPr>
          <w:rFonts w:ascii="Verdana" w:eastAsia="Calibri" w:hAnsi="Verdana" w:cs="Times New Roman"/>
        </w:rPr>
        <w:t xml:space="preserve">. Puede consultar la guía en el siguiente enlace: Guía de lineamientos de transparencia y selección objetiva para el departamento de La Guajira – Objetivo sexto constitucional de la Sentencia T-302 del 2017". </w:t>
      </w:r>
    </w:p>
    <w:p w14:paraId="5E088112" w14:textId="77777777" w:rsidR="00475DAF" w:rsidRPr="009563E7" w:rsidRDefault="00475DAF" w:rsidP="00475DAF">
      <w:pPr>
        <w:spacing w:after="0" w:line="276" w:lineRule="auto"/>
        <w:jc w:val="both"/>
        <w:rPr>
          <w:rFonts w:ascii="Verdana" w:hAnsi="Verdana"/>
        </w:rPr>
      </w:pPr>
    </w:p>
    <w:p w14:paraId="074C72E6" w14:textId="77777777" w:rsidR="00475DAF" w:rsidRPr="009563E7" w:rsidRDefault="00475DAF" w:rsidP="00475DAF">
      <w:pPr>
        <w:spacing w:after="0" w:line="276" w:lineRule="auto"/>
        <w:jc w:val="both"/>
        <w:rPr>
          <w:rFonts w:ascii="Verdana" w:eastAsia="Calibri" w:hAnsi="Verdana" w:cs="Times New Roman"/>
          <w:bCs/>
          <w:lang w:val="es-ES_tradnl"/>
        </w:rPr>
      </w:pPr>
      <w:r w:rsidRPr="009563E7">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1AE08F7D" w14:textId="77777777" w:rsidR="00475DAF" w:rsidRPr="009563E7" w:rsidRDefault="00475DAF" w:rsidP="00475DAF">
      <w:pPr>
        <w:spacing w:after="0" w:line="276" w:lineRule="auto"/>
        <w:jc w:val="both"/>
        <w:rPr>
          <w:rFonts w:ascii="Verdana" w:hAnsi="Verdana"/>
        </w:rPr>
      </w:pPr>
    </w:p>
    <w:p w14:paraId="33ED6F26" w14:textId="77777777" w:rsidR="00475DAF" w:rsidRPr="00D47296" w:rsidRDefault="00475DAF" w:rsidP="00475DAF">
      <w:pPr>
        <w:spacing w:after="0" w:line="276" w:lineRule="auto"/>
        <w:jc w:val="both"/>
        <w:rPr>
          <w:rFonts w:ascii="Verdana" w:hAnsi="Verdana"/>
          <w:lang w:val="es-MX"/>
        </w:rPr>
      </w:pPr>
      <w:r w:rsidRPr="009563E7">
        <w:rPr>
          <w:rFonts w:ascii="Verdana" w:hAnsi="Verdana"/>
          <w:lang w:val="es-MX"/>
        </w:rPr>
        <w:t>Cordialmente,</w:t>
      </w:r>
    </w:p>
    <w:p w14:paraId="36CDDC3F" w14:textId="51D227A9" w:rsidR="00475DAF" w:rsidRDefault="00475DAF" w:rsidP="00475DAF">
      <w:pPr>
        <w:spacing w:after="0" w:line="256" w:lineRule="auto"/>
        <w:jc w:val="center"/>
        <w:rPr>
          <w:noProof/>
          <w:lang w:val="en-US"/>
        </w:rPr>
      </w:pPr>
    </w:p>
    <w:p w14:paraId="064869FF" w14:textId="4504E961" w:rsidR="004C0F29" w:rsidRPr="00DB7367" w:rsidRDefault="004C0F29" w:rsidP="00475DAF">
      <w:pPr>
        <w:spacing w:after="0" w:line="256" w:lineRule="auto"/>
        <w:jc w:val="center"/>
        <w:rPr>
          <w:rFonts w:ascii="Century Gothic" w:hAnsi="Century Gothic"/>
          <w:noProof/>
          <w:lang w:val="en-US"/>
        </w:rPr>
      </w:pPr>
      <w:r w:rsidRPr="002C3AD6">
        <w:rPr>
          <w:rFonts w:ascii="Century Gothic" w:hAnsi="Century Gothic"/>
          <w:noProof/>
          <w:lang w:val="en-US"/>
        </w:rPr>
        <w:drawing>
          <wp:inline distT="0" distB="0" distL="0" distR="0" wp14:anchorId="687A054E" wp14:editId="2C2A5DB9">
            <wp:extent cx="3279697" cy="1217463"/>
            <wp:effectExtent l="0" t="0" r="0" b="1905"/>
            <wp:docPr id="1"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6"/>
                    <a:stretch>
                      <a:fillRect/>
                    </a:stretch>
                  </pic:blipFill>
                  <pic:spPr>
                    <a:xfrm>
                      <a:off x="0" y="0"/>
                      <a:ext cx="3312722" cy="1229722"/>
                    </a:xfrm>
                    <a:prstGeom prst="rect">
                      <a:avLst/>
                    </a:prstGeom>
                  </pic:spPr>
                </pic:pic>
              </a:graphicData>
            </a:graphic>
          </wp:inline>
        </w:drawing>
      </w:r>
    </w:p>
    <w:p w14:paraId="128735C1" w14:textId="77777777" w:rsidR="00475DAF" w:rsidRPr="00DB7367" w:rsidRDefault="00475DAF" w:rsidP="00475DAF">
      <w:pPr>
        <w:spacing w:after="0" w:line="256" w:lineRule="auto"/>
        <w:jc w:val="center"/>
        <w:rPr>
          <w:rFonts w:ascii="Century Gothic" w:hAnsi="Century Gothic"/>
          <w:noProof/>
          <w:lang w:val="en-US"/>
        </w:rPr>
      </w:pP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475DAF" w:rsidRPr="00DB7367" w14:paraId="75D1E2C0" w14:textId="77777777" w:rsidTr="005F31E7">
        <w:trPr>
          <w:trHeight w:val="409"/>
        </w:trPr>
        <w:tc>
          <w:tcPr>
            <w:tcW w:w="817" w:type="dxa"/>
            <w:tcBorders>
              <w:top w:val="nil"/>
              <w:left w:val="nil"/>
              <w:bottom w:val="nil"/>
              <w:right w:val="nil"/>
            </w:tcBorders>
            <w:vAlign w:val="center"/>
            <w:hideMark/>
          </w:tcPr>
          <w:p w14:paraId="6825F0EC" w14:textId="77777777" w:rsidR="00475DAF" w:rsidRPr="00DB7367" w:rsidRDefault="00475DAF" w:rsidP="005F31E7">
            <w:pPr>
              <w:spacing w:after="0" w:line="256" w:lineRule="auto"/>
              <w:rPr>
                <w:rFonts w:ascii="Verdana" w:eastAsia="Calibri" w:hAnsi="Verdana" w:cs="Times New Roman"/>
                <w:sz w:val="16"/>
                <w:szCs w:val="16"/>
              </w:rPr>
            </w:pPr>
            <w:r w:rsidRPr="00DB7367">
              <w:rPr>
                <w:rFonts w:ascii="Verdana" w:eastAsia="Calibri" w:hAnsi="Verdana" w:cs="Times New Roman"/>
                <w:sz w:val="16"/>
                <w:szCs w:val="16"/>
              </w:rPr>
              <w:t>Elaboró: </w:t>
            </w:r>
          </w:p>
        </w:tc>
        <w:tc>
          <w:tcPr>
            <w:tcW w:w="4937" w:type="dxa"/>
            <w:tcBorders>
              <w:top w:val="nil"/>
              <w:left w:val="nil"/>
              <w:bottom w:val="dotted" w:sz="6" w:space="0" w:color="7F7F7F" w:themeColor="text1" w:themeTint="80"/>
              <w:right w:val="nil"/>
            </w:tcBorders>
            <w:vAlign w:val="center"/>
            <w:hideMark/>
          </w:tcPr>
          <w:p w14:paraId="12987656" w14:textId="77777777" w:rsidR="00475DAF" w:rsidRPr="00DB7367" w:rsidRDefault="00475DAF" w:rsidP="005F31E7">
            <w:pPr>
              <w:spacing w:after="0" w:line="256" w:lineRule="auto"/>
              <w:rPr>
                <w:rFonts w:ascii="Verdana" w:eastAsia="Calibri" w:hAnsi="Verdana" w:cs="Times New Roman"/>
                <w:sz w:val="16"/>
                <w:szCs w:val="16"/>
              </w:rPr>
            </w:pPr>
            <w:r w:rsidRPr="00DB7367">
              <w:rPr>
                <w:rFonts w:ascii="Verdana" w:eastAsia="Calibri" w:hAnsi="Verdana" w:cs="Times New Roman"/>
                <w:sz w:val="16"/>
                <w:szCs w:val="16"/>
              </w:rPr>
              <w:t>José Luis Sánchez Cardona</w:t>
            </w:r>
          </w:p>
          <w:p w14:paraId="7E008A98" w14:textId="77777777" w:rsidR="00475DAF" w:rsidRPr="00DB7367" w:rsidRDefault="00475DAF" w:rsidP="005F31E7">
            <w:pPr>
              <w:spacing w:after="0" w:line="256" w:lineRule="auto"/>
              <w:rPr>
                <w:rFonts w:ascii="Verdana" w:eastAsia="Calibri" w:hAnsi="Verdana" w:cs="Times New Roman"/>
                <w:sz w:val="16"/>
                <w:szCs w:val="16"/>
              </w:rPr>
            </w:pPr>
            <w:r w:rsidRPr="00DB7367">
              <w:rPr>
                <w:rFonts w:ascii="Verdana" w:eastAsia="Calibri" w:hAnsi="Verdana" w:cs="Times New Roman"/>
                <w:sz w:val="16"/>
                <w:szCs w:val="16"/>
              </w:rPr>
              <w:t>Contratista de la Subdirección de Gestión Contractual</w:t>
            </w:r>
          </w:p>
        </w:tc>
      </w:tr>
      <w:tr w:rsidR="00475DAF" w:rsidRPr="00DB7367" w14:paraId="70127E53" w14:textId="77777777" w:rsidTr="005F31E7">
        <w:trPr>
          <w:trHeight w:val="409"/>
        </w:trPr>
        <w:tc>
          <w:tcPr>
            <w:tcW w:w="817" w:type="dxa"/>
            <w:tcBorders>
              <w:top w:val="nil"/>
              <w:left w:val="nil"/>
              <w:bottom w:val="nil"/>
              <w:right w:val="nil"/>
            </w:tcBorders>
            <w:vAlign w:val="center"/>
            <w:hideMark/>
          </w:tcPr>
          <w:p w14:paraId="0FF4D192" w14:textId="77777777" w:rsidR="00475DAF" w:rsidRPr="00DB7367" w:rsidRDefault="00475DAF" w:rsidP="005F31E7">
            <w:pPr>
              <w:spacing w:after="0" w:line="256" w:lineRule="auto"/>
              <w:rPr>
                <w:rFonts w:ascii="Verdana" w:eastAsia="Calibri" w:hAnsi="Verdana" w:cs="Times New Roman"/>
                <w:sz w:val="16"/>
                <w:szCs w:val="16"/>
              </w:rPr>
            </w:pPr>
            <w:r w:rsidRPr="00DB7367">
              <w:rPr>
                <w:rFonts w:ascii="Verdana" w:eastAsia="Calibri" w:hAnsi="Verdana" w:cs="Times New Roman"/>
                <w:sz w:val="16"/>
                <w:szCs w:val="16"/>
              </w:rPr>
              <w:t>Revisó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3E187E38" w14:textId="77777777" w:rsidR="00475DAF" w:rsidRPr="00DB7367" w:rsidRDefault="00475DAF" w:rsidP="005F31E7">
            <w:pPr>
              <w:spacing w:after="0" w:line="256" w:lineRule="auto"/>
              <w:rPr>
                <w:rFonts w:ascii="Verdana" w:eastAsia="Calibri" w:hAnsi="Verdana" w:cs="Times New Roman"/>
                <w:sz w:val="16"/>
                <w:szCs w:val="16"/>
              </w:rPr>
            </w:pPr>
            <w:r w:rsidRPr="00DB7367">
              <w:rPr>
                <w:rFonts w:ascii="Verdana" w:eastAsia="Calibri" w:hAnsi="Verdana" w:cs="Times New Roman"/>
                <w:sz w:val="16"/>
                <w:szCs w:val="16"/>
              </w:rPr>
              <w:t>Alejandro Sarmiento Cantillo</w:t>
            </w:r>
          </w:p>
          <w:p w14:paraId="4CAEFC51" w14:textId="77777777" w:rsidR="00475DAF" w:rsidRPr="00DB7367" w:rsidRDefault="00475DAF" w:rsidP="005F31E7">
            <w:pPr>
              <w:spacing w:after="0" w:line="256" w:lineRule="auto"/>
              <w:rPr>
                <w:rFonts w:ascii="Verdana" w:eastAsia="Calibri" w:hAnsi="Verdana" w:cs="Times New Roman"/>
                <w:sz w:val="16"/>
                <w:szCs w:val="16"/>
              </w:rPr>
            </w:pPr>
            <w:r w:rsidRPr="00DB7367">
              <w:rPr>
                <w:rFonts w:ascii="Verdana" w:eastAsia="Calibri" w:hAnsi="Verdana" w:cs="Times New Roman"/>
                <w:sz w:val="16"/>
                <w:szCs w:val="16"/>
              </w:rPr>
              <w:t>Gestor T1-15 de la Subdirección de Gestión Contractual </w:t>
            </w:r>
          </w:p>
        </w:tc>
      </w:tr>
      <w:tr w:rsidR="00475DAF" w:rsidRPr="00DB7367" w14:paraId="7775E756" w14:textId="77777777" w:rsidTr="005F31E7">
        <w:trPr>
          <w:trHeight w:val="389"/>
        </w:trPr>
        <w:tc>
          <w:tcPr>
            <w:tcW w:w="817" w:type="dxa"/>
            <w:tcBorders>
              <w:top w:val="nil"/>
              <w:left w:val="nil"/>
              <w:bottom w:val="nil"/>
              <w:right w:val="nil"/>
            </w:tcBorders>
            <w:vAlign w:val="center"/>
            <w:hideMark/>
          </w:tcPr>
          <w:p w14:paraId="10851A42" w14:textId="77777777" w:rsidR="00475DAF" w:rsidRPr="00DB7367" w:rsidRDefault="00475DAF" w:rsidP="005F31E7">
            <w:pPr>
              <w:spacing w:after="0" w:line="256" w:lineRule="auto"/>
              <w:rPr>
                <w:rFonts w:ascii="Verdana" w:eastAsia="Calibri" w:hAnsi="Verdana" w:cs="Times New Roman"/>
                <w:sz w:val="16"/>
                <w:szCs w:val="16"/>
              </w:rPr>
            </w:pPr>
            <w:r w:rsidRPr="00DB7367">
              <w:rPr>
                <w:rFonts w:ascii="Verdana" w:eastAsia="Calibri" w:hAnsi="Verdana" w:cs="Times New Roman"/>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5D4D233A" w14:textId="77777777" w:rsidR="00475DAF" w:rsidRPr="00DB7367" w:rsidRDefault="00475DAF" w:rsidP="005F31E7">
            <w:pPr>
              <w:spacing w:after="0" w:line="256" w:lineRule="auto"/>
              <w:rPr>
                <w:rFonts w:ascii="Verdana" w:eastAsia="Calibri" w:hAnsi="Verdana" w:cs="Times New Roman"/>
                <w:sz w:val="16"/>
                <w:szCs w:val="16"/>
              </w:rPr>
            </w:pPr>
            <w:r w:rsidRPr="00DB7367">
              <w:rPr>
                <w:rFonts w:ascii="Verdana" w:eastAsia="Calibri" w:hAnsi="Verdana" w:cs="Times New Roman"/>
                <w:sz w:val="16"/>
                <w:szCs w:val="16"/>
              </w:rPr>
              <w:t xml:space="preserve">Carolina Quintero </w:t>
            </w:r>
            <w:proofErr w:type="spellStart"/>
            <w:r w:rsidRPr="00DB7367">
              <w:rPr>
                <w:rFonts w:ascii="Verdana" w:eastAsia="Calibri" w:hAnsi="Verdana" w:cs="Times New Roman"/>
                <w:sz w:val="16"/>
                <w:szCs w:val="16"/>
              </w:rPr>
              <w:t>Gacharná</w:t>
            </w:r>
            <w:proofErr w:type="spellEnd"/>
          </w:p>
          <w:p w14:paraId="734D4C52" w14:textId="77777777" w:rsidR="00475DAF" w:rsidRPr="00DB7367" w:rsidRDefault="00475DAF" w:rsidP="005F31E7">
            <w:pPr>
              <w:spacing w:after="0" w:line="256" w:lineRule="auto"/>
              <w:rPr>
                <w:rFonts w:ascii="Verdana" w:eastAsia="Calibri" w:hAnsi="Verdana" w:cs="Times New Roman"/>
                <w:sz w:val="16"/>
                <w:szCs w:val="16"/>
              </w:rPr>
            </w:pPr>
            <w:r w:rsidRPr="00DB7367">
              <w:rPr>
                <w:rFonts w:ascii="Verdana" w:eastAsia="Calibri" w:hAnsi="Verdana" w:cs="Times New Roman"/>
                <w:sz w:val="16"/>
                <w:szCs w:val="16"/>
              </w:rPr>
              <w:t>Subdirectora de Gestión Contractual ANCP – CCE</w:t>
            </w:r>
          </w:p>
        </w:tc>
      </w:tr>
      <w:bookmarkEnd w:id="0"/>
    </w:tbl>
    <w:p w14:paraId="0138D0B2" w14:textId="77777777" w:rsidR="00475DAF" w:rsidRPr="0044528D" w:rsidRDefault="00475DAF" w:rsidP="00475DAF">
      <w:pPr>
        <w:spacing w:after="0"/>
        <w:rPr>
          <w:rFonts w:ascii="Verdana" w:hAnsi="Verdana"/>
        </w:rPr>
      </w:pPr>
    </w:p>
    <w:p w14:paraId="0F293BF4" w14:textId="7E84C67D" w:rsidR="00127233" w:rsidRPr="00475DAF" w:rsidRDefault="00127233" w:rsidP="00475DAF"/>
    <w:sectPr w:rsidR="00127233" w:rsidRPr="00475DAF"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E1881A" w14:textId="77777777" w:rsidR="00E369F1" w:rsidRDefault="00E369F1" w:rsidP="004A1847">
      <w:pPr>
        <w:spacing w:after="0" w:line="240" w:lineRule="auto"/>
      </w:pPr>
      <w:r>
        <w:separator/>
      </w:r>
    </w:p>
  </w:endnote>
  <w:endnote w:type="continuationSeparator" w:id="0">
    <w:p w14:paraId="46A41176" w14:textId="77777777" w:rsidR="00E369F1" w:rsidRDefault="00E369F1" w:rsidP="004A1847">
      <w:pPr>
        <w:spacing w:after="0" w:line="240" w:lineRule="auto"/>
      </w:pPr>
      <w:r>
        <w:continuationSeparator/>
      </w:r>
    </w:p>
  </w:endnote>
  <w:endnote w:type="continuationNotice" w:id="1">
    <w:p w14:paraId="411EB156" w14:textId="77777777" w:rsidR="00E369F1" w:rsidRDefault="00E369F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eomanist Light">
    <w:altName w:val="Arial"/>
    <w:panose1 w:val="00000000000000000000"/>
    <w:charset w:val="00"/>
    <w:family w:val="modern"/>
    <w:notTrueType/>
    <w:pitch w:val="variable"/>
    <w:sig w:usb0="A000002F" w:usb1="1000004A" w:usb2="00000000" w:usb3="00000000" w:csb0="00000193" w:csb1="00000000"/>
  </w:font>
  <w:font w:name="Geomanist">
    <w:altName w:val="Arial"/>
    <w:panose1 w:val="00000000000000000000"/>
    <w:charset w:val="00"/>
    <w:family w:val="modern"/>
    <w:notTrueType/>
    <w:pitch w:val="variable"/>
    <w:sig w:usb0="A000002F" w:usb1="1000004A" w:usb2="00000000" w:usb3="00000000" w:csb0="00000193"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Weiss">
    <w:panose1 w:val="00000000000000000000"/>
    <w:charset w:val="00"/>
    <w:family w:val="roman"/>
    <w:notTrueType/>
    <w:pitch w:val="default"/>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2F4280" w:rsidRDefault="002F4280">
    <w:pPr>
      <w:pStyle w:val="Piedepgina"/>
    </w:pPr>
  </w:p>
  <w:p w14:paraId="594D6D9F" w14:textId="6A69D999" w:rsidR="002F4280" w:rsidRPr="00174B77" w:rsidRDefault="002F4280"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sidR="001C01E9" w:rsidRPr="001C01E9">
      <w:rPr>
        <w:rFonts w:ascii="Verdana" w:eastAsiaTheme="minorEastAsia" w:hAnsi="Verdana"/>
        <w:b/>
        <w:bCs/>
        <w:noProof/>
        <w:sz w:val="16"/>
        <w:szCs w:val="16"/>
      </w:rPr>
      <w:t>25</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2F4280" w:rsidRDefault="002F4280"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2F4280" w:rsidRPr="00E41027" w:rsidRDefault="002F4280"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2F4280" w:rsidRDefault="002F4280"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Versión</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2</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5EB47A" w14:textId="77777777" w:rsidR="00E369F1" w:rsidRDefault="00E369F1" w:rsidP="004A1847">
      <w:pPr>
        <w:spacing w:after="0" w:line="240" w:lineRule="auto"/>
      </w:pPr>
      <w:r>
        <w:separator/>
      </w:r>
    </w:p>
  </w:footnote>
  <w:footnote w:type="continuationSeparator" w:id="0">
    <w:p w14:paraId="59B38FD1" w14:textId="77777777" w:rsidR="00E369F1" w:rsidRDefault="00E369F1" w:rsidP="004A1847">
      <w:pPr>
        <w:spacing w:after="0" w:line="240" w:lineRule="auto"/>
      </w:pPr>
      <w:r>
        <w:continuationSeparator/>
      </w:r>
    </w:p>
  </w:footnote>
  <w:footnote w:type="continuationNotice" w:id="1">
    <w:p w14:paraId="3A11A0C3" w14:textId="77777777" w:rsidR="00E369F1" w:rsidRDefault="00E369F1">
      <w:pPr>
        <w:spacing w:after="0" w:line="240" w:lineRule="auto"/>
      </w:pPr>
    </w:p>
  </w:footnote>
  <w:footnote w:id="2">
    <w:p w14:paraId="0EC02F58" w14:textId="77777777" w:rsidR="00475DAF" w:rsidRPr="00B91C08" w:rsidRDefault="00475DAF" w:rsidP="00475DAF">
      <w:pPr>
        <w:pStyle w:val="Textonotapie"/>
        <w:ind w:firstLine="708"/>
        <w:jc w:val="both"/>
        <w:rPr>
          <w:rFonts w:ascii="Verdana" w:hAnsi="Verdana" w:cs="Arial"/>
          <w:sz w:val="16"/>
          <w:szCs w:val="16"/>
        </w:rPr>
      </w:pPr>
      <w:r w:rsidRPr="00B91C08">
        <w:rPr>
          <w:rFonts w:ascii="Verdana" w:hAnsi="Verdana"/>
          <w:sz w:val="16"/>
          <w:szCs w:val="16"/>
          <w:vertAlign w:val="superscript"/>
        </w:rPr>
        <w:footnoteRef/>
      </w:r>
      <w:r w:rsidRPr="00B91C08">
        <w:rPr>
          <w:rFonts w:ascii="Verdana" w:hAnsi="Verdana" w:cs="Arial"/>
          <w:sz w:val="16"/>
          <w:szCs w:val="16"/>
        </w:rPr>
        <w:t xml:space="preserve"> Corte Constitucional, Sentencia C-449 de 1992, y Consejo de Estado, Sala de lo Contencioso Administrativo, Sección Tercera, Sentencia del 3 de diciembre de 2007, expedientes acumulados: (25206, 25409, 24524, 27834, 25410, 26105, 28244, 31447).</w:t>
      </w:r>
    </w:p>
  </w:footnote>
  <w:footnote w:id="3">
    <w:p w14:paraId="7DE4F11F" w14:textId="77777777" w:rsidR="00475DAF" w:rsidRPr="00B91C08" w:rsidRDefault="00475DAF" w:rsidP="00475DAF">
      <w:pPr>
        <w:pStyle w:val="Textonotapie"/>
        <w:ind w:firstLine="708"/>
        <w:jc w:val="both"/>
        <w:rPr>
          <w:rFonts w:ascii="Verdana" w:hAnsi="Verdana" w:cs="Arial"/>
          <w:sz w:val="16"/>
          <w:szCs w:val="16"/>
        </w:rPr>
      </w:pPr>
      <w:r w:rsidRPr="00B91C08">
        <w:rPr>
          <w:rFonts w:ascii="Verdana" w:hAnsi="Verdana"/>
          <w:sz w:val="16"/>
          <w:szCs w:val="16"/>
          <w:vertAlign w:val="superscript"/>
        </w:rPr>
        <w:footnoteRef/>
      </w:r>
      <w:r w:rsidRPr="00B91C08">
        <w:rPr>
          <w:rFonts w:ascii="Verdana" w:hAnsi="Verdana" w:cs="Arial"/>
          <w:sz w:val="16"/>
          <w:szCs w:val="16"/>
          <w:vertAlign w:val="superscript"/>
        </w:rPr>
        <w:t xml:space="preserve"> </w:t>
      </w:r>
      <w:r w:rsidRPr="00B91C08">
        <w:rPr>
          <w:rFonts w:ascii="Verdana" w:hAnsi="Verdana" w:cs="Arial"/>
          <w:sz w:val="16"/>
          <w:szCs w:val="16"/>
        </w:rPr>
        <w:t>DÁVILA VINUEZA. Luis Guillermo. Régimen jurídico de la contratación estatal. 3ª ed. Bogotá: Temis, 2016. p. 494</w:t>
      </w:r>
    </w:p>
  </w:footnote>
  <w:footnote w:id="4">
    <w:p w14:paraId="53032E44" w14:textId="77777777" w:rsidR="00475DAF" w:rsidRPr="00B91C08" w:rsidRDefault="00475DAF" w:rsidP="00475DAF">
      <w:pPr>
        <w:spacing w:after="0" w:line="240" w:lineRule="auto"/>
        <w:ind w:firstLine="709"/>
        <w:contextualSpacing/>
        <w:jc w:val="both"/>
        <w:rPr>
          <w:rFonts w:ascii="Verdana" w:hAnsi="Verdana" w:cs="Arial"/>
          <w:sz w:val="16"/>
          <w:szCs w:val="16"/>
        </w:rPr>
      </w:pPr>
      <w:r w:rsidRPr="00B91C08">
        <w:rPr>
          <w:rStyle w:val="Refdenotaalpie"/>
          <w:rFonts w:ascii="Verdana" w:hAnsi="Verdana" w:cs="Arial"/>
          <w:sz w:val="16"/>
          <w:szCs w:val="16"/>
        </w:rPr>
        <w:footnoteRef/>
      </w:r>
      <w:r w:rsidRPr="00B91C08">
        <w:rPr>
          <w:rFonts w:ascii="Verdana" w:hAnsi="Verdana" w:cs="Arial"/>
          <w:sz w:val="16"/>
          <w:szCs w:val="16"/>
        </w:rPr>
        <w:t xml:space="preserve"> 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w:t>
      </w:r>
      <w:r w:rsidRPr="00B91C08">
        <w:rPr>
          <w:rFonts w:ascii="Verdana" w:hAnsi="Verdana" w:cs="Arial"/>
          <w:spacing w:val="-6"/>
          <w:sz w:val="16"/>
          <w:szCs w:val="16"/>
        </w:rPr>
        <w:t xml:space="preserve"> </w:t>
      </w:r>
      <w:r w:rsidRPr="00B91C08">
        <w:rPr>
          <w:rFonts w:ascii="Verdana" w:hAnsi="Verdana" w:cs="Arial"/>
          <w:sz w:val="16"/>
          <w:szCs w:val="16"/>
        </w:rPr>
        <w:t>artículo”.</w:t>
      </w:r>
    </w:p>
  </w:footnote>
  <w:footnote w:id="5">
    <w:p w14:paraId="3C12D838" w14:textId="77777777" w:rsidR="00475DAF" w:rsidRPr="00161BD7" w:rsidRDefault="00475DAF" w:rsidP="00475DAF">
      <w:pPr>
        <w:pStyle w:val="Textonotapie"/>
        <w:ind w:firstLine="708"/>
        <w:rPr>
          <w:rFonts w:ascii="Verdana" w:hAnsi="Verdana"/>
          <w:sz w:val="16"/>
          <w:szCs w:val="16"/>
        </w:rPr>
      </w:pPr>
      <w:r w:rsidRPr="00161BD7">
        <w:rPr>
          <w:rStyle w:val="Refdenotaalpie"/>
          <w:rFonts w:ascii="Verdana" w:hAnsi="Verdana"/>
          <w:sz w:val="16"/>
          <w:szCs w:val="16"/>
        </w:rPr>
        <w:footnoteRef/>
      </w:r>
      <w:r w:rsidRPr="00161BD7">
        <w:rPr>
          <w:rFonts w:ascii="Verdana" w:hAnsi="Verdana"/>
          <w:sz w:val="16"/>
          <w:szCs w:val="16"/>
          <w:lang w:val="pt-BR"/>
        </w:rPr>
        <w:t xml:space="preserve"> Corte Constitucional. Sentencia C-671 de 2005. </w:t>
      </w:r>
      <w:r w:rsidRPr="00161BD7">
        <w:rPr>
          <w:rFonts w:ascii="Verdana" w:hAnsi="Verdana"/>
          <w:sz w:val="16"/>
          <w:szCs w:val="16"/>
        </w:rPr>
        <w:t xml:space="preserve">M.P. Álvaro Tafur Galvis. </w:t>
      </w:r>
    </w:p>
  </w:footnote>
  <w:footnote w:id="6">
    <w:p w14:paraId="39FDBD4D" w14:textId="77777777" w:rsidR="00475DAF" w:rsidRPr="00B91C08" w:rsidRDefault="00475DAF" w:rsidP="00475DAF">
      <w:pPr>
        <w:pStyle w:val="Textonotapie"/>
        <w:ind w:firstLine="708"/>
        <w:jc w:val="both"/>
        <w:rPr>
          <w:rFonts w:ascii="Verdana" w:hAnsi="Verdana"/>
          <w:sz w:val="16"/>
          <w:szCs w:val="16"/>
          <w:lang w:val="es-CO"/>
        </w:rPr>
      </w:pPr>
      <w:r w:rsidRPr="00B91C08">
        <w:rPr>
          <w:rStyle w:val="Refdenotaalpie"/>
          <w:rFonts w:ascii="Verdana" w:hAnsi="Verdana"/>
          <w:sz w:val="16"/>
          <w:szCs w:val="16"/>
        </w:rPr>
        <w:footnoteRef/>
      </w:r>
      <w:r w:rsidRPr="00B91C08">
        <w:rPr>
          <w:rFonts w:ascii="Verdana" w:hAnsi="Verdana"/>
          <w:sz w:val="16"/>
          <w:szCs w:val="16"/>
        </w:rPr>
        <w:t xml:space="preserve"> </w:t>
      </w:r>
      <w:r>
        <w:rPr>
          <w:rFonts w:ascii="Verdana" w:hAnsi="Verdana"/>
          <w:sz w:val="16"/>
          <w:szCs w:val="16"/>
          <w:lang w:val="es-CO"/>
        </w:rPr>
        <w:t>Consejo d</w:t>
      </w:r>
      <w:r w:rsidRPr="00B91C08">
        <w:rPr>
          <w:rFonts w:ascii="Verdana" w:hAnsi="Verdana"/>
          <w:sz w:val="16"/>
          <w:szCs w:val="16"/>
          <w:lang w:val="es-CO"/>
        </w:rPr>
        <w:t>e Estado</w:t>
      </w:r>
      <w:r>
        <w:rPr>
          <w:rFonts w:ascii="Verdana" w:hAnsi="Verdana"/>
          <w:sz w:val="16"/>
          <w:szCs w:val="16"/>
          <w:lang w:val="es-CO"/>
        </w:rPr>
        <w:t>.</w:t>
      </w:r>
      <w:r w:rsidRPr="00B91C08">
        <w:rPr>
          <w:rFonts w:ascii="Verdana" w:hAnsi="Verdana"/>
          <w:sz w:val="16"/>
          <w:szCs w:val="16"/>
          <w:lang w:val="es-CO"/>
        </w:rPr>
        <w:t xml:space="preserve"> Sala de Consulta y Servicio Civil. Concepto no. 2257 del 26 de julio de 2016, C.P. Álvaro Namén Vargas; CONSEJO DE ESTADO, Sección Tercera, Subsección A. Sentencia del 23 de junio de 2010. C.P. Mauricio Fajardo Gómez. Exp 17860; Sección Tercera. Auto del 4 de octubre de 2024. C.P. Fredy Ibarra Martínez. Exp </w:t>
      </w:r>
      <w:r w:rsidRPr="00B91C08">
        <w:rPr>
          <w:rFonts w:ascii="Verdana" w:hAnsi="Verdana"/>
          <w:bCs/>
          <w:sz w:val="16"/>
          <w:szCs w:val="16"/>
        </w:rPr>
        <w:t xml:space="preserve">70313. </w:t>
      </w:r>
    </w:p>
  </w:footnote>
  <w:footnote w:id="7">
    <w:p w14:paraId="56540E76" w14:textId="77777777" w:rsidR="00475DAF" w:rsidRPr="00B91C08" w:rsidRDefault="00475DAF" w:rsidP="00475DAF">
      <w:pPr>
        <w:pStyle w:val="Textonotapie"/>
        <w:ind w:firstLine="708"/>
        <w:jc w:val="both"/>
        <w:rPr>
          <w:rFonts w:ascii="Verdana" w:hAnsi="Verdana"/>
          <w:sz w:val="16"/>
          <w:szCs w:val="16"/>
          <w:lang w:val="es-CO"/>
        </w:rPr>
      </w:pPr>
      <w:r w:rsidRPr="00B91C08">
        <w:rPr>
          <w:rStyle w:val="Refdenotaalpie"/>
          <w:rFonts w:ascii="Verdana" w:hAnsi="Verdana"/>
          <w:sz w:val="16"/>
          <w:szCs w:val="16"/>
        </w:rPr>
        <w:footnoteRef/>
      </w:r>
      <w:r w:rsidRPr="00B91C08">
        <w:rPr>
          <w:rFonts w:ascii="Verdana" w:hAnsi="Verdana"/>
          <w:sz w:val="16"/>
          <w:szCs w:val="16"/>
        </w:rPr>
        <w:t xml:space="preserve"> SANTOS RODRÍGUEZ, Jorge Enrique. Consideraciones sobre los contratos y convenios interadministrativos. En: Revista Digital de Derecho Administrativo, 2008. p.p. 10-11. De igual forma, Augusto Ramón Chavéz Marín expresa: “</w:t>
      </w:r>
      <w:r w:rsidRPr="00B91C08">
        <w:rPr>
          <w:rFonts w:ascii="Verdana" w:hAnsi="Verdana"/>
          <w:sz w:val="16"/>
          <w:szCs w:val="16"/>
          <w:lang w:val="es-CO"/>
        </w:rPr>
        <w:t xml:space="preserve">Los convenios interadministrativos se distinguen de los contratos interadministrativos porque estos últimos, celebrados al igual que los primeros entre personas jurídicas públicas, no tienen como objeto la realización común de intereses compartidos como ocurre con los convenios interadministrativos típicos, sino el logro de los fines estatales de alguna de las partes. En los contratos interadministrativos se busca obtener de otra persona jurídica publica la prestación de un servicio específico, la ejecución de una obra o el suministro de un bien, en fin, la realización de una actividad determinada que podría llevar a cabo un particular” (CHAVÉZ MARÍN, Augusto Ramón. Los convenios de la Administración. Entre la gestión pública y la actividad contractual. Bogotá: Temis, 2020. p. 126). </w:t>
      </w:r>
    </w:p>
  </w:footnote>
  <w:footnote w:id="8">
    <w:p w14:paraId="71BB9663" w14:textId="77777777" w:rsidR="00475DAF" w:rsidRPr="00B91C08" w:rsidRDefault="00475DAF" w:rsidP="00475DAF">
      <w:pPr>
        <w:pStyle w:val="Textonotapie"/>
        <w:ind w:firstLine="708"/>
        <w:jc w:val="both"/>
        <w:rPr>
          <w:rFonts w:ascii="Verdana" w:hAnsi="Verdana"/>
          <w:sz w:val="16"/>
          <w:szCs w:val="16"/>
          <w:lang w:val="es-ES"/>
        </w:rPr>
      </w:pPr>
      <w:r w:rsidRPr="00B91C08">
        <w:rPr>
          <w:rStyle w:val="Refdenotaalpie"/>
          <w:rFonts w:ascii="Verdana" w:hAnsi="Verdana"/>
          <w:sz w:val="16"/>
          <w:szCs w:val="16"/>
        </w:rPr>
        <w:footnoteRef/>
      </w:r>
      <w:r w:rsidRPr="00B91C08">
        <w:rPr>
          <w:rFonts w:ascii="Verdana" w:hAnsi="Verdana"/>
          <w:sz w:val="16"/>
          <w:szCs w:val="16"/>
        </w:rPr>
        <w:t xml:space="preserve"> </w:t>
      </w:r>
      <w:r>
        <w:rPr>
          <w:rFonts w:ascii="Verdana" w:hAnsi="Verdana"/>
          <w:sz w:val="16"/>
          <w:szCs w:val="16"/>
        </w:rPr>
        <w:t>Consejo d</w:t>
      </w:r>
      <w:r w:rsidRPr="00B91C08">
        <w:rPr>
          <w:rFonts w:ascii="Verdana" w:hAnsi="Verdana"/>
          <w:sz w:val="16"/>
          <w:szCs w:val="16"/>
        </w:rPr>
        <w:t>e Estado. Sección Tercera, Subsección A. Sentencia del 25 de mayo de 2025. C.P. María Adriana Marín Hernández. Exp. 70.504; Sección Tercera, Subsección A. Sentencia del 16 de agosto de 2022, C.P.: María Adriana Marín. Exp. 60434.</w:t>
      </w:r>
    </w:p>
  </w:footnote>
  <w:footnote w:id="9">
    <w:p w14:paraId="448545C8" w14:textId="77777777" w:rsidR="00475DAF" w:rsidRPr="00B91C08" w:rsidRDefault="00475DAF" w:rsidP="00475DAF">
      <w:pPr>
        <w:pStyle w:val="Textonotapie"/>
        <w:ind w:firstLine="708"/>
        <w:jc w:val="both"/>
        <w:rPr>
          <w:rFonts w:ascii="Verdana" w:hAnsi="Verdana"/>
          <w:sz w:val="16"/>
          <w:szCs w:val="16"/>
          <w:lang w:val="es-ES"/>
        </w:rPr>
      </w:pPr>
      <w:r w:rsidRPr="00B91C08">
        <w:rPr>
          <w:rStyle w:val="Refdenotaalpie"/>
          <w:rFonts w:ascii="Verdana" w:hAnsi="Verdana"/>
          <w:sz w:val="16"/>
          <w:szCs w:val="16"/>
        </w:rPr>
        <w:footnoteRef/>
      </w:r>
      <w:r w:rsidRPr="00B91C08">
        <w:rPr>
          <w:rFonts w:ascii="Verdana" w:hAnsi="Verdana"/>
          <w:sz w:val="16"/>
          <w:szCs w:val="16"/>
        </w:rPr>
        <w:t xml:space="preserve"> </w:t>
      </w:r>
      <w:r>
        <w:rPr>
          <w:rFonts w:ascii="Verdana" w:hAnsi="Verdana"/>
          <w:sz w:val="16"/>
          <w:szCs w:val="16"/>
          <w:lang w:val="es-CO"/>
        </w:rPr>
        <w:t>Consejo d</w:t>
      </w:r>
      <w:r w:rsidRPr="00B91C08">
        <w:rPr>
          <w:rFonts w:ascii="Verdana" w:hAnsi="Verdana"/>
          <w:sz w:val="16"/>
          <w:szCs w:val="16"/>
          <w:lang w:val="es-CO"/>
        </w:rPr>
        <w:t xml:space="preserve">e Estado. Sección Tercera, Subsección A. Sentencia del 14 de junio de 2019, C.P.: Marta Nubia Velásquez Rico. Rad.: 25000-23-37-000-2010-02552-01 (AP); Sección Tercera, Subsección A. Sentencia del 25 de mayo de 2025. C.P. María Adriana Marín Hernández. Exp. 70.504. </w:t>
      </w:r>
    </w:p>
  </w:footnote>
  <w:footnote w:id="10">
    <w:p w14:paraId="47D2E033" w14:textId="77777777" w:rsidR="00475DAF" w:rsidRPr="00B91C08" w:rsidRDefault="00475DAF" w:rsidP="00475DAF">
      <w:pPr>
        <w:spacing w:after="0" w:line="240" w:lineRule="auto"/>
        <w:ind w:firstLine="720"/>
        <w:jc w:val="both"/>
        <w:rPr>
          <w:rFonts w:ascii="Verdana" w:hAnsi="Verdana" w:cs="Arial"/>
          <w:sz w:val="16"/>
          <w:szCs w:val="16"/>
        </w:rPr>
      </w:pPr>
      <w:r w:rsidRPr="00B91C08">
        <w:rPr>
          <w:rStyle w:val="Refdenotaalpie"/>
          <w:rFonts w:ascii="Verdana" w:hAnsi="Verdana" w:cs="Arial"/>
          <w:sz w:val="16"/>
          <w:szCs w:val="16"/>
        </w:rPr>
        <w:footnoteRef/>
      </w:r>
      <w:r w:rsidRPr="00B91C08">
        <w:rPr>
          <w:rFonts w:ascii="Verdana" w:hAnsi="Verdana" w:cs="Arial"/>
          <w:sz w:val="16"/>
          <w:szCs w:val="16"/>
        </w:rPr>
        <w:t xml:space="preserve"> “Artículo 10. Esquemas Asociativos Territoriales. Constituirán esquemas asociativos territoriales las regiones administrativas y de planificación, las regiones de planeación y gestión, las asociaciones de departamentos, las áreas metropolitanas, las asociaciones de distritos especiales, las provincias administrativas y de planificación, y las asociaciones de municipios”.</w:t>
      </w:r>
    </w:p>
  </w:footnote>
  <w:footnote w:id="11">
    <w:p w14:paraId="7FEFD67F" w14:textId="77777777" w:rsidR="00475DAF" w:rsidRPr="00B91C08" w:rsidRDefault="00475DAF" w:rsidP="00475DAF">
      <w:pPr>
        <w:spacing w:after="0" w:line="240" w:lineRule="auto"/>
        <w:ind w:firstLine="720"/>
        <w:jc w:val="both"/>
        <w:rPr>
          <w:rFonts w:ascii="Verdana" w:hAnsi="Verdana" w:cs="Arial"/>
          <w:color w:val="000000"/>
          <w:sz w:val="16"/>
          <w:szCs w:val="16"/>
        </w:rPr>
      </w:pPr>
      <w:r w:rsidRPr="00B91C08">
        <w:rPr>
          <w:rStyle w:val="Refdenotaalpie"/>
          <w:rFonts w:ascii="Verdana" w:hAnsi="Verdana" w:cs="Arial"/>
          <w:sz w:val="16"/>
          <w:szCs w:val="16"/>
        </w:rPr>
        <w:footnoteRef/>
      </w:r>
      <w:r w:rsidRPr="00B91C08">
        <w:rPr>
          <w:rFonts w:ascii="Verdana" w:hAnsi="Verdana" w:cs="Arial"/>
          <w:sz w:val="16"/>
          <w:szCs w:val="16"/>
        </w:rPr>
        <w:t xml:space="preserve"> Ley 136 de 1994: </w:t>
      </w:r>
      <w:r w:rsidRPr="00B91C08">
        <w:rPr>
          <w:rFonts w:ascii="Verdana" w:hAnsi="Verdana" w:cs="Arial"/>
          <w:color w:val="000000"/>
          <w:sz w:val="16"/>
          <w:szCs w:val="16"/>
        </w:rPr>
        <w:t>“Artículo 150. Conformación y funcionamiento. Las asociaciones para su conformación y funcionamiento se sujetarán a las siguientes reglas:</w:t>
      </w:r>
    </w:p>
    <w:p w14:paraId="2F04BB67" w14:textId="77777777" w:rsidR="00475DAF" w:rsidRPr="00B91C08" w:rsidRDefault="00475DAF" w:rsidP="00475DAF">
      <w:pPr>
        <w:spacing w:after="0" w:line="240" w:lineRule="auto"/>
        <w:ind w:firstLine="720"/>
        <w:jc w:val="both"/>
        <w:rPr>
          <w:rFonts w:ascii="Verdana" w:hAnsi="Verdana" w:cs="Arial"/>
          <w:color w:val="000000"/>
          <w:sz w:val="16"/>
          <w:szCs w:val="16"/>
        </w:rPr>
      </w:pPr>
      <w:r w:rsidRPr="00B91C08">
        <w:rPr>
          <w:rFonts w:ascii="Verdana" w:hAnsi="Verdana" w:cs="Arial"/>
          <w:color w:val="000000"/>
          <w:sz w:val="16"/>
          <w:szCs w:val="16"/>
        </w:rPr>
        <w:t xml:space="preserve">1. Toda asociación de municipios será siempre voluntaria. </w:t>
      </w:r>
      <w:r w:rsidRPr="00B91C08">
        <w:rPr>
          <w:rFonts w:ascii="Verdana" w:hAnsi="Verdana" w:cs="Arial"/>
          <w:i/>
          <w:iCs/>
          <w:color w:val="000000"/>
          <w:sz w:val="16"/>
          <w:szCs w:val="16"/>
        </w:rPr>
        <w:t>Se conformará mediante convenio</w:t>
      </w:r>
      <w:r w:rsidRPr="00B91C08">
        <w:rPr>
          <w:rFonts w:ascii="Verdana" w:hAnsi="Verdana" w:cs="Arial"/>
          <w:color w:val="000000"/>
          <w:sz w:val="16"/>
          <w:szCs w:val="16"/>
        </w:rPr>
        <w:t xml:space="preserve"> suscrito por sus alcaldes, previa autorización de los respectivos concejos” (Cursiva fuera de texto).</w:t>
      </w:r>
    </w:p>
  </w:footnote>
  <w:footnote w:id="12">
    <w:p w14:paraId="63961C3B" w14:textId="77777777" w:rsidR="00475DAF" w:rsidRPr="00B91C08" w:rsidRDefault="00475DAF" w:rsidP="00475DAF">
      <w:pPr>
        <w:spacing w:after="0" w:line="240" w:lineRule="auto"/>
        <w:ind w:firstLine="720"/>
        <w:jc w:val="both"/>
        <w:rPr>
          <w:rFonts w:ascii="Verdana" w:hAnsi="Verdana" w:cs="Arial"/>
          <w:color w:val="000000"/>
          <w:sz w:val="16"/>
          <w:szCs w:val="16"/>
        </w:rPr>
      </w:pPr>
      <w:r w:rsidRPr="00B91C08">
        <w:rPr>
          <w:rStyle w:val="Refdenotaalpie"/>
          <w:rFonts w:ascii="Verdana" w:hAnsi="Verdana" w:cs="Arial"/>
          <w:sz w:val="16"/>
          <w:szCs w:val="16"/>
        </w:rPr>
        <w:footnoteRef/>
      </w:r>
      <w:r w:rsidRPr="00B91C08">
        <w:rPr>
          <w:rFonts w:ascii="Verdana" w:hAnsi="Verdana" w:cs="Arial"/>
          <w:sz w:val="16"/>
          <w:szCs w:val="16"/>
        </w:rPr>
        <w:t xml:space="preserve"> </w:t>
      </w:r>
      <w:r w:rsidRPr="00B91C08">
        <w:rPr>
          <w:rFonts w:ascii="Verdana" w:hAnsi="Verdana" w:cs="Arial"/>
          <w:color w:val="000000"/>
          <w:position w:val="6"/>
          <w:sz w:val="16"/>
          <w:szCs w:val="16"/>
        </w:rPr>
        <w:t xml:space="preserve"> </w:t>
      </w:r>
      <w:r w:rsidRPr="00B91C08">
        <w:rPr>
          <w:rFonts w:ascii="Verdana" w:hAnsi="Verdana" w:cs="Arial"/>
          <w:color w:val="000000"/>
          <w:sz w:val="16"/>
          <w:szCs w:val="16"/>
        </w:rPr>
        <w:t xml:space="preserve">Ley 1454 de 2011: “Artículo 14. Asociaciones de municipios. Dos o más municipios de un mismo departamento o de varios departamentos, podrán asociarse administrativa y políticamente para organizar conjuntamente la prestación de servicios públicos, la ejecución de obras de ámbito regional y el cumplimiento de funciones administrativas propias, </w:t>
      </w:r>
      <w:r w:rsidRPr="00B91C08">
        <w:rPr>
          <w:rFonts w:ascii="Verdana" w:hAnsi="Verdana" w:cs="Arial"/>
          <w:i/>
          <w:iCs/>
          <w:color w:val="000000"/>
          <w:sz w:val="16"/>
          <w:szCs w:val="16"/>
        </w:rPr>
        <w:t>mediante convenio o contrato-plan</w:t>
      </w:r>
      <w:r w:rsidRPr="00B91C08">
        <w:rPr>
          <w:rFonts w:ascii="Verdana" w:hAnsi="Verdana" w:cs="Arial"/>
          <w:color w:val="000000"/>
          <w:sz w:val="16"/>
          <w:szCs w:val="16"/>
        </w:rPr>
        <w:t xml:space="preserve"> suscrito por los alcaldes respectivos, previamente autorizados por los concejos municipales o distritales y para el ejercicio de competencias concertadas entre sí en un marco de acción que integre sus respectivos planes de desarrollo en un modelo de planificación integral conjunto” (Cursiva fuera de texto).</w:t>
      </w:r>
    </w:p>
  </w:footnote>
  <w:footnote w:id="13">
    <w:p w14:paraId="10C5FE05" w14:textId="77777777" w:rsidR="00475DAF" w:rsidRPr="00B91C08" w:rsidRDefault="00475DAF" w:rsidP="00475DAF">
      <w:pPr>
        <w:spacing w:after="0" w:line="240" w:lineRule="auto"/>
        <w:ind w:firstLine="720"/>
        <w:jc w:val="both"/>
        <w:rPr>
          <w:rFonts w:ascii="Verdana" w:hAnsi="Verdana" w:cs="Arial"/>
          <w:color w:val="000000"/>
          <w:sz w:val="16"/>
          <w:szCs w:val="16"/>
        </w:rPr>
      </w:pPr>
      <w:r w:rsidRPr="00B91C08">
        <w:rPr>
          <w:rStyle w:val="Refdenotaalpie"/>
          <w:rFonts w:ascii="Verdana" w:hAnsi="Verdana" w:cs="Arial"/>
          <w:sz w:val="16"/>
          <w:szCs w:val="16"/>
        </w:rPr>
        <w:footnoteRef/>
      </w:r>
      <w:r w:rsidRPr="00B91C08">
        <w:rPr>
          <w:rFonts w:ascii="Verdana" w:hAnsi="Verdana" w:cs="Arial"/>
          <w:sz w:val="16"/>
          <w:szCs w:val="16"/>
        </w:rPr>
        <w:t xml:space="preserve"> </w:t>
      </w:r>
      <w:r w:rsidRPr="00B91C08">
        <w:rPr>
          <w:rFonts w:ascii="Verdana" w:hAnsi="Verdana" w:cs="Arial"/>
          <w:color w:val="000000"/>
          <w:sz w:val="16"/>
          <w:szCs w:val="16"/>
        </w:rPr>
        <w:t>“Artículo 95. Asociación entre entidades públicas. Las entidades públicas podrán asociarse con el fin de cooperar en el cumplimiento de funciones administrativas o de prestar conjuntamente servicios que se hallen a su cargo, mediante la celebración de convenios interadministrativos o la conformación de personas jurídicas sin ánimo de</w:t>
      </w:r>
      <w:r w:rsidRPr="00B91C08">
        <w:rPr>
          <w:rFonts w:ascii="Verdana" w:hAnsi="Verdana" w:cs="Arial"/>
          <w:color w:val="000000"/>
          <w:spacing w:val="-4"/>
          <w:sz w:val="16"/>
          <w:szCs w:val="16"/>
        </w:rPr>
        <w:t xml:space="preserve"> </w:t>
      </w:r>
      <w:r w:rsidRPr="00B91C08">
        <w:rPr>
          <w:rFonts w:ascii="Verdana" w:hAnsi="Verdana" w:cs="Arial"/>
          <w:color w:val="000000"/>
          <w:sz w:val="16"/>
          <w:szCs w:val="16"/>
        </w:rPr>
        <w:t>lucro.</w:t>
      </w:r>
    </w:p>
    <w:p w14:paraId="16AEBF97" w14:textId="77777777" w:rsidR="00475DAF" w:rsidRPr="00B91C08" w:rsidRDefault="00475DAF" w:rsidP="00475DAF">
      <w:pPr>
        <w:spacing w:after="0" w:line="240" w:lineRule="auto"/>
        <w:ind w:firstLine="720"/>
        <w:jc w:val="both"/>
        <w:rPr>
          <w:rFonts w:ascii="Verdana" w:hAnsi="Verdana" w:cs="Arial"/>
          <w:color w:val="000000"/>
          <w:sz w:val="16"/>
          <w:szCs w:val="16"/>
        </w:rPr>
      </w:pPr>
      <w:r w:rsidRPr="00B91C08">
        <w:rPr>
          <w:rFonts w:ascii="Verdana" w:hAnsi="Verdana" w:cs="Arial"/>
          <w:color w:val="000000"/>
          <w:sz w:val="16"/>
          <w:szCs w:val="16"/>
        </w:rPr>
        <w:t>Las personas jurídicas sin ánimo de lucro que se conformen por la asociación exclusiva de entidades públicas, se sujetan a las disposiciones previstas en el Código Civil y en las normas para las entidades de este género. Sus Juntas o Consejos Directivos estarán integrados en la forma que prevean los correspondientes estatutos internos, los cuales proveerán igualmente sobre la designación de su representante legal”.</w:t>
      </w:r>
    </w:p>
  </w:footnote>
  <w:footnote w:id="14">
    <w:p w14:paraId="48F8B90E" w14:textId="77777777" w:rsidR="00475DAF" w:rsidRPr="00B91C08" w:rsidRDefault="00475DAF" w:rsidP="00475DAF">
      <w:pPr>
        <w:spacing w:after="0" w:line="240" w:lineRule="auto"/>
        <w:ind w:firstLine="720"/>
        <w:jc w:val="both"/>
        <w:rPr>
          <w:rFonts w:ascii="Verdana" w:hAnsi="Verdana" w:cs="Arial"/>
          <w:color w:val="000000"/>
          <w:sz w:val="16"/>
          <w:szCs w:val="16"/>
        </w:rPr>
      </w:pPr>
      <w:r w:rsidRPr="00B91C08">
        <w:rPr>
          <w:rStyle w:val="Refdenotaalpie"/>
          <w:rFonts w:ascii="Verdana" w:hAnsi="Verdana" w:cs="Arial"/>
          <w:sz w:val="16"/>
          <w:szCs w:val="16"/>
        </w:rPr>
        <w:footnoteRef/>
      </w:r>
      <w:r w:rsidRPr="00B91C08">
        <w:rPr>
          <w:rFonts w:ascii="Verdana" w:hAnsi="Verdana" w:cs="Arial"/>
          <w:sz w:val="16"/>
          <w:szCs w:val="16"/>
        </w:rPr>
        <w:t xml:space="preserve"> </w:t>
      </w:r>
      <w:r w:rsidRPr="00B91C08">
        <w:rPr>
          <w:rFonts w:ascii="Verdana" w:hAnsi="Verdana" w:cs="Arial"/>
          <w:color w:val="000000"/>
          <w:sz w:val="16"/>
          <w:szCs w:val="16"/>
        </w:rPr>
        <w:t>“Parágrafo 1. Para los solos efectos de esta ley, también se denominan entidades estatales las cooperativas y asociaciones conformadas por entidades territoriales, las cuales estarán sujetas a las disposiciones del presente estatuto, especialmente cuando en desarrollo de convenios interadministrativos celebren contratos por cuenta de dichas</w:t>
      </w:r>
      <w:r w:rsidRPr="00B91C08">
        <w:rPr>
          <w:rFonts w:ascii="Verdana" w:hAnsi="Verdana" w:cs="Arial"/>
          <w:color w:val="000000"/>
          <w:spacing w:val="-5"/>
          <w:sz w:val="16"/>
          <w:szCs w:val="16"/>
        </w:rPr>
        <w:t xml:space="preserve"> </w:t>
      </w:r>
      <w:r w:rsidRPr="00B91C08">
        <w:rPr>
          <w:rFonts w:ascii="Verdana" w:hAnsi="Verdana" w:cs="Arial"/>
          <w:color w:val="000000"/>
          <w:sz w:val="16"/>
          <w:szCs w:val="16"/>
        </w:rPr>
        <w:t>entidades”.</w:t>
      </w:r>
    </w:p>
  </w:footnote>
  <w:footnote w:id="15">
    <w:p w14:paraId="08E02694" w14:textId="77777777" w:rsidR="00475DAF" w:rsidRPr="007B2F28" w:rsidRDefault="00475DAF" w:rsidP="00475DAF">
      <w:pPr>
        <w:tabs>
          <w:tab w:val="left" w:pos="0"/>
        </w:tabs>
        <w:spacing w:after="0" w:line="240" w:lineRule="auto"/>
        <w:ind w:right="51" w:firstLine="851"/>
        <w:contextualSpacing/>
        <w:jc w:val="both"/>
        <w:rPr>
          <w:rFonts w:ascii="Verdana" w:eastAsia="Times New Roman" w:hAnsi="Verdana" w:cs="Arial"/>
          <w:sz w:val="16"/>
          <w:szCs w:val="16"/>
          <w:lang w:val="es-ES_tradnl" w:eastAsia="es-ES_tradnl"/>
        </w:rPr>
      </w:pPr>
      <w:r w:rsidRPr="007B2F28">
        <w:rPr>
          <w:rStyle w:val="Refdenotaalpie"/>
          <w:rFonts w:ascii="Verdana" w:hAnsi="Verdana"/>
          <w:sz w:val="16"/>
          <w:szCs w:val="16"/>
        </w:rPr>
        <w:footnoteRef/>
      </w:r>
      <w:r w:rsidRPr="007B2F28">
        <w:rPr>
          <w:rFonts w:ascii="Verdana" w:hAnsi="Verdana"/>
          <w:sz w:val="16"/>
          <w:szCs w:val="16"/>
        </w:rPr>
        <w:t xml:space="preserve"> </w:t>
      </w:r>
      <w:r w:rsidRPr="007B2F28">
        <w:rPr>
          <w:rFonts w:ascii="Verdana" w:eastAsia="Times New Roman" w:hAnsi="Verdana" w:cs="Arial"/>
          <w:sz w:val="16"/>
          <w:szCs w:val="16"/>
          <w:lang w:val="es-ES_tradnl" w:eastAsia="es-ES_tradnl"/>
        </w:rPr>
        <w:t xml:space="preserve">“Artículo 56. Aplicación de los documentos tipo a entidades de régimen especial. Para la adquisición de bienes, obras o servicios, las entidades estatales sometidas al Estatuto General de Contratación de la Administración Pública que celebren contratos o convenios interadministrativos o de cualquier otra índole, con otra Entidad Estatal o con patrimonios autónomos o con personas naturales o jurídicas de derecho privado, cuyo régimen de contratación sea especial o de derecho privado, deberán aplicar los documentos tipo adoptados por la Agencia Nacional de Contratación Pública - Colombia Compra Eficiente o quien haga sus veces, conforme al parágrafo 7 del artículo 2 de la Ley 1150 de 2007 o las normas que lo modifiquen o sustituyan. </w:t>
      </w:r>
    </w:p>
    <w:p w14:paraId="1A34C31A" w14:textId="77777777" w:rsidR="00475DAF" w:rsidRPr="007B2F28" w:rsidRDefault="00475DAF" w:rsidP="00475DAF">
      <w:pPr>
        <w:tabs>
          <w:tab w:val="left" w:pos="0"/>
        </w:tabs>
        <w:spacing w:after="0" w:line="240" w:lineRule="auto"/>
        <w:ind w:right="51" w:firstLine="851"/>
        <w:contextualSpacing/>
        <w:jc w:val="both"/>
        <w:rPr>
          <w:rFonts w:ascii="Verdana" w:eastAsia="Times New Roman" w:hAnsi="Verdana" w:cs="Arial"/>
          <w:sz w:val="16"/>
          <w:szCs w:val="16"/>
          <w:lang w:val="es-ES_tradnl" w:eastAsia="es-ES_tradnl"/>
        </w:rPr>
      </w:pPr>
      <w:r w:rsidRPr="007B2F28">
        <w:rPr>
          <w:rFonts w:ascii="Verdana" w:eastAsia="Times New Roman" w:hAnsi="Verdana" w:cs="Arial"/>
          <w:sz w:val="16"/>
          <w:szCs w:val="16"/>
          <w:lang w:val="es-ES_tradnl" w:eastAsia="es-ES_tradnl"/>
        </w:rPr>
        <w:t xml:space="preserve">Los procedimientos de selección y los contratos que realicen en desarrollo de los anteriores negocios jurídicos, donde apliquen los documentos tipo se regirán por el Estatuto General de Contratación de la Administración Pública. </w:t>
      </w:r>
    </w:p>
    <w:p w14:paraId="752D6CEC" w14:textId="77777777" w:rsidR="00475DAF" w:rsidRPr="007B2F28" w:rsidRDefault="00475DAF" w:rsidP="00475DAF">
      <w:pPr>
        <w:tabs>
          <w:tab w:val="left" w:pos="0"/>
        </w:tabs>
        <w:spacing w:after="0" w:line="240" w:lineRule="auto"/>
        <w:ind w:right="51" w:firstLine="851"/>
        <w:contextualSpacing/>
        <w:jc w:val="both"/>
        <w:rPr>
          <w:rFonts w:ascii="Verdana" w:eastAsia="Times New Roman" w:hAnsi="Verdana" w:cs="Arial"/>
          <w:sz w:val="16"/>
          <w:szCs w:val="16"/>
          <w:lang w:val="es-ES_tradnl" w:eastAsia="es-ES_tradnl"/>
        </w:rPr>
      </w:pPr>
      <w:r w:rsidRPr="007B2F28">
        <w:rPr>
          <w:rFonts w:ascii="Verdana" w:eastAsia="Times New Roman" w:hAnsi="Verdana" w:cs="Arial"/>
          <w:sz w:val="16"/>
          <w:szCs w:val="16"/>
          <w:lang w:val="es-ES" w:eastAsia="es-ES"/>
        </w:rPr>
        <w:t>Parágrafo. Se exceptúan del presente artículo las Instituciones de Educación Superior públicas, las empresas sociales del Estado, las sociedades de economía mixta y las empresas industriales y comerciales del Estado, únicamente en cuanto a la contratación de su giro ordinario. En estos casos, en los manuales de contratación de estas entidades, se fomentará como buena práctica la aplicación de los pliegos tipo”.</w:t>
      </w:r>
    </w:p>
    <w:p w14:paraId="6AB88794" w14:textId="77777777" w:rsidR="00475DAF" w:rsidRPr="007B2F28" w:rsidRDefault="00475DAF" w:rsidP="00475DAF">
      <w:pPr>
        <w:pStyle w:val="Textonotapie"/>
        <w:rPr>
          <w:sz w:val="16"/>
          <w:szCs w:val="16"/>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2F4280" w:rsidRDefault="002F4280">
    <w:pPr>
      <w:pStyle w:val="Encabezado"/>
    </w:pPr>
    <w:r>
      <w:rPr>
        <w:rFonts w:ascii="Geomanist Bold" w:hAnsi="Geomanist Bold"/>
        <w:b/>
        <w:bCs/>
        <w:noProof/>
        <w:color w:val="002060"/>
        <w:sz w:val="24"/>
        <w:szCs w:val="24"/>
        <w:lang w:val="en-US"/>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lang w:val="en-US"/>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2F4280" w:rsidRDefault="002F4280">
    <w:pPr>
      <w:pStyle w:val="Encabezado"/>
    </w:pPr>
  </w:p>
  <w:p w14:paraId="3079FC11" w14:textId="77777777" w:rsidR="002F4280" w:rsidRDefault="002F4280" w:rsidP="004A305D">
    <w:pPr>
      <w:spacing w:after="0"/>
      <w:rPr>
        <w:rFonts w:ascii="Verdana" w:hAnsi="Verdana"/>
        <w:b/>
        <w:bCs/>
      </w:rPr>
    </w:pPr>
  </w:p>
  <w:p w14:paraId="5E18350A" w14:textId="705F7B76" w:rsidR="002F4280" w:rsidRPr="004A305D" w:rsidRDefault="002F4280" w:rsidP="00B01B1A">
    <w:pPr>
      <w:spacing w:after="0" w:line="120" w:lineRule="auto"/>
      <w:rPr>
        <w:rFonts w:ascii="Century Gothic" w:eastAsia="Geo" w:hAnsi="Century Gothic" w:cs="Geo"/>
        <w:sz w:val="16"/>
        <w:szCs w:val="16"/>
        <w:lang w:eastAsia="es-CO"/>
      </w:rPr>
    </w:pPr>
  </w:p>
  <w:p w14:paraId="1FD1C243" w14:textId="6D74A3CF" w:rsidR="002F4280" w:rsidRDefault="002F4280"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85pt;height:11.8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3520020"/>
    <w:multiLevelType w:val="hybridMultilevel"/>
    <w:tmpl w:val="D6F4F646"/>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3"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 w15:restartNumberingAfterBreak="0">
    <w:nsid w:val="117A1800"/>
    <w:multiLevelType w:val="hybridMultilevel"/>
    <w:tmpl w:val="9C3292A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5" w15:restartNumberingAfterBreak="0">
    <w:nsid w:val="23036501"/>
    <w:multiLevelType w:val="hybridMultilevel"/>
    <w:tmpl w:val="0C9E4C5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D5425A2"/>
    <w:multiLevelType w:val="hybridMultilevel"/>
    <w:tmpl w:val="405C6ADC"/>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4" w15:restartNumberingAfterBreak="0">
    <w:nsid w:val="39EF4B51"/>
    <w:multiLevelType w:val="hybridMultilevel"/>
    <w:tmpl w:val="8B70B36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45D655E8"/>
    <w:multiLevelType w:val="hybridMultilevel"/>
    <w:tmpl w:val="0C9E4C5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6" w15:restartNumberingAfterBreak="0">
    <w:nsid w:val="5AE07B1E"/>
    <w:multiLevelType w:val="multilevel"/>
    <w:tmpl w:val="6F14CB5E"/>
    <w:lvl w:ilvl="0">
      <w:start w:val="1"/>
      <w:numFmt w:val="decimal"/>
      <w:lvlText w:val="%1."/>
      <w:lvlJc w:val="left"/>
      <w:pPr>
        <w:ind w:left="360" w:hanging="360"/>
      </w:pPr>
      <w:rPr>
        <w:rFonts w:hint="default"/>
        <w:b/>
        <w:bCs/>
      </w:rPr>
    </w:lvl>
    <w:lvl w:ilvl="1">
      <w:start w:val="1"/>
      <w:numFmt w:val="decimal"/>
      <w:isLgl/>
      <w:lvlText w:val="%1.%2"/>
      <w:lvlJc w:val="left"/>
      <w:pPr>
        <w:ind w:left="372" w:hanging="372"/>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7"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8"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730C755D"/>
    <w:multiLevelType w:val="hybridMultilevel"/>
    <w:tmpl w:val="EEC2153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C5E69C5"/>
    <w:multiLevelType w:val="hybridMultilevel"/>
    <w:tmpl w:val="D1EA8408"/>
    <w:lvl w:ilvl="0" w:tplc="04090001">
      <w:start w:val="1"/>
      <w:numFmt w:val="bullet"/>
      <w:lvlText w:val=""/>
      <w:lvlJc w:val="left"/>
      <w:pPr>
        <w:ind w:left="1428" w:hanging="360"/>
      </w:pPr>
      <w:rPr>
        <w:rFonts w:ascii="Symbol" w:hAnsi="Symbol" w:hint="default"/>
      </w:rPr>
    </w:lvl>
    <w:lvl w:ilvl="1" w:tplc="04090003" w:tentative="1">
      <w:start w:val="1"/>
      <w:numFmt w:val="bullet"/>
      <w:lvlText w:val="o"/>
      <w:lvlJc w:val="left"/>
      <w:pPr>
        <w:ind w:left="2148" w:hanging="360"/>
      </w:pPr>
      <w:rPr>
        <w:rFonts w:ascii="Courier New" w:hAnsi="Courier New" w:cs="Courier New" w:hint="default"/>
      </w:rPr>
    </w:lvl>
    <w:lvl w:ilvl="2" w:tplc="04090005" w:tentative="1">
      <w:start w:val="1"/>
      <w:numFmt w:val="bullet"/>
      <w:lvlText w:val=""/>
      <w:lvlJc w:val="left"/>
      <w:pPr>
        <w:ind w:left="2868" w:hanging="360"/>
      </w:pPr>
      <w:rPr>
        <w:rFonts w:ascii="Wingdings" w:hAnsi="Wingdings" w:hint="default"/>
      </w:rPr>
    </w:lvl>
    <w:lvl w:ilvl="3" w:tplc="04090001" w:tentative="1">
      <w:start w:val="1"/>
      <w:numFmt w:val="bullet"/>
      <w:lvlText w:val=""/>
      <w:lvlJc w:val="left"/>
      <w:pPr>
        <w:ind w:left="3588" w:hanging="360"/>
      </w:pPr>
      <w:rPr>
        <w:rFonts w:ascii="Symbol" w:hAnsi="Symbol" w:hint="default"/>
      </w:rPr>
    </w:lvl>
    <w:lvl w:ilvl="4" w:tplc="04090003" w:tentative="1">
      <w:start w:val="1"/>
      <w:numFmt w:val="bullet"/>
      <w:lvlText w:val="o"/>
      <w:lvlJc w:val="left"/>
      <w:pPr>
        <w:ind w:left="4308" w:hanging="360"/>
      </w:pPr>
      <w:rPr>
        <w:rFonts w:ascii="Courier New" w:hAnsi="Courier New" w:cs="Courier New" w:hint="default"/>
      </w:rPr>
    </w:lvl>
    <w:lvl w:ilvl="5" w:tplc="04090005" w:tentative="1">
      <w:start w:val="1"/>
      <w:numFmt w:val="bullet"/>
      <w:lvlText w:val=""/>
      <w:lvlJc w:val="left"/>
      <w:pPr>
        <w:ind w:left="5028" w:hanging="360"/>
      </w:pPr>
      <w:rPr>
        <w:rFonts w:ascii="Wingdings" w:hAnsi="Wingdings" w:hint="default"/>
      </w:rPr>
    </w:lvl>
    <w:lvl w:ilvl="6" w:tplc="04090001" w:tentative="1">
      <w:start w:val="1"/>
      <w:numFmt w:val="bullet"/>
      <w:lvlText w:val=""/>
      <w:lvlJc w:val="left"/>
      <w:pPr>
        <w:ind w:left="5748" w:hanging="360"/>
      </w:pPr>
      <w:rPr>
        <w:rFonts w:ascii="Symbol" w:hAnsi="Symbol" w:hint="default"/>
      </w:rPr>
    </w:lvl>
    <w:lvl w:ilvl="7" w:tplc="04090003" w:tentative="1">
      <w:start w:val="1"/>
      <w:numFmt w:val="bullet"/>
      <w:lvlText w:val="o"/>
      <w:lvlJc w:val="left"/>
      <w:pPr>
        <w:ind w:left="6468" w:hanging="360"/>
      </w:pPr>
      <w:rPr>
        <w:rFonts w:ascii="Courier New" w:hAnsi="Courier New" w:cs="Courier New" w:hint="default"/>
      </w:rPr>
    </w:lvl>
    <w:lvl w:ilvl="8" w:tplc="04090005" w:tentative="1">
      <w:start w:val="1"/>
      <w:numFmt w:val="bullet"/>
      <w:lvlText w:val=""/>
      <w:lvlJc w:val="left"/>
      <w:pPr>
        <w:ind w:left="7188" w:hanging="360"/>
      </w:pPr>
      <w:rPr>
        <w:rFonts w:ascii="Wingdings" w:hAnsi="Wingdings" w:hint="default"/>
      </w:rPr>
    </w:lvl>
  </w:abstractNum>
  <w:num w:numId="1" w16cid:durableId="729033371">
    <w:abstractNumId w:val="10"/>
  </w:num>
  <w:num w:numId="2" w16cid:durableId="1206455367">
    <w:abstractNumId w:val="3"/>
  </w:num>
  <w:num w:numId="3" w16cid:durableId="114754431">
    <w:abstractNumId w:val="8"/>
  </w:num>
  <w:num w:numId="4" w16cid:durableId="103897117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973558534">
    <w:abstractNumId w:val="3"/>
  </w:num>
  <w:num w:numId="6" w16cid:durableId="1768161475">
    <w:abstractNumId w:val="20"/>
  </w:num>
  <w:num w:numId="7" w16cid:durableId="171603174">
    <w:abstractNumId w:val="9"/>
  </w:num>
  <w:num w:numId="8" w16cid:durableId="1978294004">
    <w:abstractNumId w:val="19"/>
  </w:num>
  <w:num w:numId="9" w16cid:durableId="1524632681">
    <w:abstractNumId w:val="11"/>
  </w:num>
  <w:num w:numId="10" w16cid:durableId="1342008622">
    <w:abstractNumId w:val="18"/>
  </w:num>
  <w:num w:numId="11" w16cid:durableId="1903908594">
    <w:abstractNumId w:val="12"/>
  </w:num>
  <w:num w:numId="12" w16cid:durableId="880673665">
    <w:abstractNumId w:val="1"/>
  </w:num>
  <w:num w:numId="13" w16cid:durableId="1761559409">
    <w:abstractNumId w:val="6"/>
  </w:num>
  <w:num w:numId="14" w16cid:durableId="1913857057">
    <w:abstractNumId w:val="21"/>
  </w:num>
  <w:num w:numId="15" w16cid:durableId="1865240876">
    <w:abstractNumId w:val="17"/>
  </w:num>
  <w:num w:numId="16" w16cid:durableId="1471632701">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189755334">
    <w:abstractNumId w:val="4"/>
  </w:num>
  <w:num w:numId="18" w16cid:durableId="280961968">
    <w:abstractNumId w:val="16"/>
  </w:num>
  <w:num w:numId="19" w16cid:durableId="616446756">
    <w:abstractNumId w:val="7"/>
  </w:num>
  <w:num w:numId="20" w16cid:durableId="1091438902">
    <w:abstractNumId w:val="13"/>
  </w:num>
  <w:num w:numId="21" w16cid:durableId="1810201865">
    <w:abstractNumId w:val="23"/>
  </w:num>
  <w:num w:numId="22" w16cid:durableId="2094858448">
    <w:abstractNumId w:val="15"/>
  </w:num>
  <w:num w:numId="23" w16cid:durableId="447092610">
    <w:abstractNumId w:val="5"/>
  </w:num>
  <w:num w:numId="24" w16cid:durableId="1424690557">
    <w:abstractNumId w:val="14"/>
  </w:num>
  <w:num w:numId="25" w16cid:durableId="1667977758">
    <w:abstractNumId w:val="2"/>
  </w:num>
  <w:num w:numId="26" w16cid:durableId="1740859426">
    <w:abstractNumId w:val="0"/>
  </w:num>
  <w:num w:numId="27" w16cid:durableId="1037705014">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5"/>
  <w:proofState w:spelling="clean" w:grammar="clean"/>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1847"/>
    <w:rsid w:val="000039A2"/>
    <w:rsid w:val="000062F3"/>
    <w:rsid w:val="0000797D"/>
    <w:rsid w:val="0001328B"/>
    <w:rsid w:val="00020D86"/>
    <w:rsid w:val="000224F2"/>
    <w:rsid w:val="00023C3E"/>
    <w:rsid w:val="0002653B"/>
    <w:rsid w:val="00034682"/>
    <w:rsid w:val="00035E21"/>
    <w:rsid w:val="0004434A"/>
    <w:rsid w:val="0005281E"/>
    <w:rsid w:val="0005682C"/>
    <w:rsid w:val="00056D71"/>
    <w:rsid w:val="00061B2A"/>
    <w:rsid w:val="000626A0"/>
    <w:rsid w:val="00062BAF"/>
    <w:rsid w:val="000630B9"/>
    <w:rsid w:val="000643B2"/>
    <w:rsid w:val="00065E80"/>
    <w:rsid w:val="0007022C"/>
    <w:rsid w:val="00071DE6"/>
    <w:rsid w:val="0007235A"/>
    <w:rsid w:val="000754B0"/>
    <w:rsid w:val="00075C16"/>
    <w:rsid w:val="0007719D"/>
    <w:rsid w:val="00077439"/>
    <w:rsid w:val="000774B8"/>
    <w:rsid w:val="00082362"/>
    <w:rsid w:val="0008328D"/>
    <w:rsid w:val="0009387A"/>
    <w:rsid w:val="0009387B"/>
    <w:rsid w:val="000963C6"/>
    <w:rsid w:val="0009762F"/>
    <w:rsid w:val="000A31B9"/>
    <w:rsid w:val="000A3330"/>
    <w:rsid w:val="000A3D63"/>
    <w:rsid w:val="000A683A"/>
    <w:rsid w:val="000A683E"/>
    <w:rsid w:val="000B0B05"/>
    <w:rsid w:val="000B19B9"/>
    <w:rsid w:val="000B2DC1"/>
    <w:rsid w:val="000C2889"/>
    <w:rsid w:val="000C3673"/>
    <w:rsid w:val="000D0152"/>
    <w:rsid w:val="000D0334"/>
    <w:rsid w:val="000D0B4D"/>
    <w:rsid w:val="000D3B29"/>
    <w:rsid w:val="000E06F4"/>
    <w:rsid w:val="000E1AC7"/>
    <w:rsid w:val="000E4CE4"/>
    <w:rsid w:val="000F6486"/>
    <w:rsid w:val="000F669F"/>
    <w:rsid w:val="001063B3"/>
    <w:rsid w:val="00107ACA"/>
    <w:rsid w:val="001114A9"/>
    <w:rsid w:val="00111979"/>
    <w:rsid w:val="00116537"/>
    <w:rsid w:val="00120766"/>
    <w:rsid w:val="00121D60"/>
    <w:rsid w:val="001240BD"/>
    <w:rsid w:val="00125105"/>
    <w:rsid w:val="00127233"/>
    <w:rsid w:val="00130189"/>
    <w:rsid w:val="001372FC"/>
    <w:rsid w:val="00143E81"/>
    <w:rsid w:val="00143FD9"/>
    <w:rsid w:val="00145047"/>
    <w:rsid w:val="00146C57"/>
    <w:rsid w:val="00150ADA"/>
    <w:rsid w:val="00161BD7"/>
    <w:rsid w:val="0016332F"/>
    <w:rsid w:val="001649B6"/>
    <w:rsid w:val="0016642E"/>
    <w:rsid w:val="00166C52"/>
    <w:rsid w:val="001717E9"/>
    <w:rsid w:val="0017238A"/>
    <w:rsid w:val="00172B22"/>
    <w:rsid w:val="001800BA"/>
    <w:rsid w:val="00180A30"/>
    <w:rsid w:val="00181648"/>
    <w:rsid w:val="001820D4"/>
    <w:rsid w:val="00185EE9"/>
    <w:rsid w:val="00187F79"/>
    <w:rsid w:val="00197274"/>
    <w:rsid w:val="001A237A"/>
    <w:rsid w:val="001A26CF"/>
    <w:rsid w:val="001A2919"/>
    <w:rsid w:val="001B10CB"/>
    <w:rsid w:val="001B2CFE"/>
    <w:rsid w:val="001C01E9"/>
    <w:rsid w:val="001C222E"/>
    <w:rsid w:val="001C22F9"/>
    <w:rsid w:val="001C3E7D"/>
    <w:rsid w:val="001D16E9"/>
    <w:rsid w:val="001D1C29"/>
    <w:rsid w:val="001D2638"/>
    <w:rsid w:val="001E3C06"/>
    <w:rsid w:val="001E4177"/>
    <w:rsid w:val="001F0A0F"/>
    <w:rsid w:val="001F4EFD"/>
    <w:rsid w:val="001F5E13"/>
    <w:rsid w:val="001F6D11"/>
    <w:rsid w:val="001F7196"/>
    <w:rsid w:val="001F7DC6"/>
    <w:rsid w:val="0020188E"/>
    <w:rsid w:val="00202886"/>
    <w:rsid w:val="002047E7"/>
    <w:rsid w:val="00205784"/>
    <w:rsid w:val="00213510"/>
    <w:rsid w:val="0021372A"/>
    <w:rsid w:val="00215CEF"/>
    <w:rsid w:val="00216AE7"/>
    <w:rsid w:val="00217A08"/>
    <w:rsid w:val="00220B77"/>
    <w:rsid w:val="00221D27"/>
    <w:rsid w:val="00237233"/>
    <w:rsid w:val="002402D3"/>
    <w:rsid w:val="002421BB"/>
    <w:rsid w:val="00246A81"/>
    <w:rsid w:val="00247133"/>
    <w:rsid w:val="00251A5F"/>
    <w:rsid w:val="0025796E"/>
    <w:rsid w:val="002603E5"/>
    <w:rsid w:val="00260981"/>
    <w:rsid w:val="002638B2"/>
    <w:rsid w:val="00263BAB"/>
    <w:rsid w:val="00264E91"/>
    <w:rsid w:val="002660F2"/>
    <w:rsid w:val="002664BB"/>
    <w:rsid w:val="002707A2"/>
    <w:rsid w:val="00272EAF"/>
    <w:rsid w:val="002835A6"/>
    <w:rsid w:val="002844ED"/>
    <w:rsid w:val="00286C70"/>
    <w:rsid w:val="002951A0"/>
    <w:rsid w:val="002962BC"/>
    <w:rsid w:val="002A093D"/>
    <w:rsid w:val="002A0DD0"/>
    <w:rsid w:val="002A1D2F"/>
    <w:rsid w:val="002A3B6F"/>
    <w:rsid w:val="002A49AC"/>
    <w:rsid w:val="002A64FD"/>
    <w:rsid w:val="002A6BBF"/>
    <w:rsid w:val="002B1E57"/>
    <w:rsid w:val="002B1F7F"/>
    <w:rsid w:val="002B290B"/>
    <w:rsid w:val="002C110E"/>
    <w:rsid w:val="002C379A"/>
    <w:rsid w:val="002C765E"/>
    <w:rsid w:val="002C7A84"/>
    <w:rsid w:val="002D13A1"/>
    <w:rsid w:val="002D3F0D"/>
    <w:rsid w:val="002E1D98"/>
    <w:rsid w:val="002E2C3F"/>
    <w:rsid w:val="002E4FD9"/>
    <w:rsid w:val="002E6F15"/>
    <w:rsid w:val="002F13FD"/>
    <w:rsid w:val="002F4280"/>
    <w:rsid w:val="002F53FB"/>
    <w:rsid w:val="00303544"/>
    <w:rsid w:val="003039C1"/>
    <w:rsid w:val="00310DBE"/>
    <w:rsid w:val="00313882"/>
    <w:rsid w:val="0031430F"/>
    <w:rsid w:val="00320BBD"/>
    <w:rsid w:val="00322A85"/>
    <w:rsid w:val="00324168"/>
    <w:rsid w:val="0033032A"/>
    <w:rsid w:val="00334C6A"/>
    <w:rsid w:val="00336C05"/>
    <w:rsid w:val="00342675"/>
    <w:rsid w:val="00343512"/>
    <w:rsid w:val="003448F4"/>
    <w:rsid w:val="00345330"/>
    <w:rsid w:val="003522B4"/>
    <w:rsid w:val="003528DF"/>
    <w:rsid w:val="00352C12"/>
    <w:rsid w:val="00354BCA"/>
    <w:rsid w:val="00362DEE"/>
    <w:rsid w:val="0036594E"/>
    <w:rsid w:val="003664E8"/>
    <w:rsid w:val="003665EE"/>
    <w:rsid w:val="0037010E"/>
    <w:rsid w:val="003734F4"/>
    <w:rsid w:val="00374F5E"/>
    <w:rsid w:val="00377E3E"/>
    <w:rsid w:val="00380E4B"/>
    <w:rsid w:val="003815B3"/>
    <w:rsid w:val="003815E8"/>
    <w:rsid w:val="00386D13"/>
    <w:rsid w:val="00392A49"/>
    <w:rsid w:val="003A26D1"/>
    <w:rsid w:val="003A3B30"/>
    <w:rsid w:val="003A477B"/>
    <w:rsid w:val="003A629F"/>
    <w:rsid w:val="003A6CF9"/>
    <w:rsid w:val="003A779E"/>
    <w:rsid w:val="003B005A"/>
    <w:rsid w:val="003B0636"/>
    <w:rsid w:val="003B3775"/>
    <w:rsid w:val="003B78C4"/>
    <w:rsid w:val="003C3FA5"/>
    <w:rsid w:val="003D0F4D"/>
    <w:rsid w:val="003D1B5E"/>
    <w:rsid w:val="003D5B0D"/>
    <w:rsid w:val="003E0499"/>
    <w:rsid w:val="003E40F2"/>
    <w:rsid w:val="003E4DDB"/>
    <w:rsid w:val="003F29AA"/>
    <w:rsid w:val="003F3941"/>
    <w:rsid w:val="00400676"/>
    <w:rsid w:val="004008A9"/>
    <w:rsid w:val="0040480E"/>
    <w:rsid w:val="00406575"/>
    <w:rsid w:val="004069AB"/>
    <w:rsid w:val="00410906"/>
    <w:rsid w:val="0041655A"/>
    <w:rsid w:val="00426FD7"/>
    <w:rsid w:val="0042722E"/>
    <w:rsid w:val="00427DA0"/>
    <w:rsid w:val="00440391"/>
    <w:rsid w:val="004426AD"/>
    <w:rsid w:val="00442C7F"/>
    <w:rsid w:val="004443A2"/>
    <w:rsid w:val="0044528D"/>
    <w:rsid w:val="00450920"/>
    <w:rsid w:val="004530EA"/>
    <w:rsid w:val="00454D48"/>
    <w:rsid w:val="004554F9"/>
    <w:rsid w:val="0046004D"/>
    <w:rsid w:val="00461A6A"/>
    <w:rsid w:val="004633DE"/>
    <w:rsid w:val="00465E71"/>
    <w:rsid w:val="00466430"/>
    <w:rsid w:val="004734BD"/>
    <w:rsid w:val="00475DAF"/>
    <w:rsid w:val="00480BAF"/>
    <w:rsid w:val="00482608"/>
    <w:rsid w:val="00483749"/>
    <w:rsid w:val="00484809"/>
    <w:rsid w:val="00484BB1"/>
    <w:rsid w:val="00487E7C"/>
    <w:rsid w:val="004A0980"/>
    <w:rsid w:val="004A0B8B"/>
    <w:rsid w:val="004A1847"/>
    <w:rsid w:val="004A305D"/>
    <w:rsid w:val="004A3312"/>
    <w:rsid w:val="004B740F"/>
    <w:rsid w:val="004C0F29"/>
    <w:rsid w:val="004C4B37"/>
    <w:rsid w:val="004C6074"/>
    <w:rsid w:val="004D026D"/>
    <w:rsid w:val="004D36F1"/>
    <w:rsid w:val="004E0510"/>
    <w:rsid w:val="004E221E"/>
    <w:rsid w:val="004E2892"/>
    <w:rsid w:val="004E4C0B"/>
    <w:rsid w:val="004E505B"/>
    <w:rsid w:val="004F21C4"/>
    <w:rsid w:val="004F3012"/>
    <w:rsid w:val="004F3B9E"/>
    <w:rsid w:val="004F5559"/>
    <w:rsid w:val="004F685F"/>
    <w:rsid w:val="004F7EC9"/>
    <w:rsid w:val="00504CBE"/>
    <w:rsid w:val="005129DE"/>
    <w:rsid w:val="00514598"/>
    <w:rsid w:val="005150A0"/>
    <w:rsid w:val="005163B5"/>
    <w:rsid w:val="0052543A"/>
    <w:rsid w:val="00525FDB"/>
    <w:rsid w:val="0052785C"/>
    <w:rsid w:val="005339E3"/>
    <w:rsid w:val="00533E1B"/>
    <w:rsid w:val="00534765"/>
    <w:rsid w:val="00540C2D"/>
    <w:rsid w:val="00543859"/>
    <w:rsid w:val="00552502"/>
    <w:rsid w:val="005566E8"/>
    <w:rsid w:val="00557C16"/>
    <w:rsid w:val="00560CB5"/>
    <w:rsid w:val="00564F8B"/>
    <w:rsid w:val="005669A9"/>
    <w:rsid w:val="00574122"/>
    <w:rsid w:val="00574867"/>
    <w:rsid w:val="00577D09"/>
    <w:rsid w:val="0058087F"/>
    <w:rsid w:val="005900B0"/>
    <w:rsid w:val="00591460"/>
    <w:rsid w:val="00592628"/>
    <w:rsid w:val="00594164"/>
    <w:rsid w:val="00597C75"/>
    <w:rsid w:val="005A0868"/>
    <w:rsid w:val="005A0CFB"/>
    <w:rsid w:val="005A282F"/>
    <w:rsid w:val="005A2AC9"/>
    <w:rsid w:val="005B2CCE"/>
    <w:rsid w:val="005B58C1"/>
    <w:rsid w:val="005B6033"/>
    <w:rsid w:val="005C2488"/>
    <w:rsid w:val="005C3777"/>
    <w:rsid w:val="005C5CDC"/>
    <w:rsid w:val="005D17C8"/>
    <w:rsid w:val="005D2B2B"/>
    <w:rsid w:val="005D476C"/>
    <w:rsid w:val="005D5F91"/>
    <w:rsid w:val="005D7B25"/>
    <w:rsid w:val="005F7C43"/>
    <w:rsid w:val="00601DFC"/>
    <w:rsid w:val="00605A00"/>
    <w:rsid w:val="00610812"/>
    <w:rsid w:val="00612CE7"/>
    <w:rsid w:val="006219F8"/>
    <w:rsid w:val="0063165E"/>
    <w:rsid w:val="00632C08"/>
    <w:rsid w:val="00650F43"/>
    <w:rsid w:val="00650FF7"/>
    <w:rsid w:val="00656421"/>
    <w:rsid w:val="00660F6A"/>
    <w:rsid w:val="00665D70"/>
    <w:rsid w:val="00671DAC"/>
    <w:rsid w:val="0067295A"/>
    <w:rsid w:val="00673531"/>
    <w:rsid w:val="006747C7"/>
    <w:rsid w:val="006827AC"/>
    <w:rsid w:val="006859A3"/>
    <w:rsid w:val="006900D9"/>
    <w:rsid w:val="00693B52"/>
    <w:rsid w:val="0069492E"/>
    <w:rsid w:val="0069570C"/>
    <w:rsid w:val="00697B17"/>
    <w:rsid w:val="006A0008"/>
    <w:rsid w:val="006A10DF"/>
    <w:rsid w:val="006A3147"/>
    <w:rsid w:val="006A5470"/>
    <w:rsid w:val="006B04BF"/>
    <w:rsid w:val="006B25DE"/>
    <w:rsid w:val="006C0173"/>
    <w:rsid w:val="006C0240"/>
    <w:rsid w:val="006C5595"/>
    <w:rsid w:val="006D12F8"/>
    <w:rsid w:val="006D1F4A"/>
    <w:rsid w:val="006D4E33"/>
    <w:rsid w:val="006E319A"/>
    <w:rsid w:val="006E5249"/>
    <w:rsid w:val="006F0D40"/>
    <w:rsid w:val="006F1816"/>
    <w:rsid w:val="006F248B"/>
    <w:rsid w:val="006F2501"/>
    <w:rsid w:val="00701D2C"/>
    <w:rsid w:val="00704D9B"/>
    <w:rsid w:val="00705E5F"/>
    <w:rsid w:val="00706C16"/>
    <w:rsid w:val="00711C85"/>
    <w:rsid w:val="0071458F"/>
    <w:rsid w:val="0071627C"/>
    <w:rsid w:val="00723A7F"/>
    <w:rsid w:val="007312C3"/>
    <w:rsid w:val="00737C53"/>
    <w:rsid w:val="00737DFA"/>
    <w:rsid w:val="00741D10"/>
    <w:rsid w:val="00756841"/>
    <w:rsid w:val="0076136E"/>
    <w:rsid w:val="00762AA9"/>
    <w:rsid w:val="007649AB"/>
    <w:rsid w:val="007670E3"/>
    <w:rsid w:val="00771D0C"/>
    <w:rsid w:val="00771FD2"/>
    <w:rsid w:val="007820ED"/>
    <w:rsid w:val="007821FD"/>
    <w:rsid w:val="007833AC"/>
    <w:rsid w:val="00784D58"/>
    <w:rsid w:val="00786FBF"/>
    <w:rsid w:val="00790AB7"/>
    <w:rsid w:val="00791769"/>
    <w:rsid w:val="00796340"/>
    <w:rsid w:val="007A23EA"/>
    <w:rsid w:val="007A5189"/>
    <w:rsid w:val="007B0D88"/>
    <w:rsid w:val="007B268C"/>
    <w:rsid w:val="007B2914"/>
    <w:rsid w:val="007B2F28"/>
    <w:rsid w:val="007B7171"/>
    <w:rsid w:val="007B7D02"/>
    <w:rsid w:val="007C0C0F"/>
    <w:rsid w:val="007C3DC2"/>
    <w:rsid w:val="007D0457"/>
    <w:rsid w:val="007D43C9"/>
    <w:rsid w:val="007D6299"/>
    <w:rsid w:val="007E4F3C"/>
    <w:rsid w:val="007E5497"/>
    <w:rsid w:val="007E7637"/>
    <w:rsid w:val="007F000A"/>
    <w:rsid w:val="007F28CA"/>
    <w:rsid w:val="007F52A4"/>
    <w:rsid w:val="007F60FB"/>
    <w:rsid w:val="007F7B94"/>
    <w:rsid w:val="00800789"/>
    <w:rsid w:val="00803F91"/>
    <w:rsid w:val="00804981"/>
    <w:rsid w:val="00806F5F"/>
    <w:rsid w:val="008163D7"/>
    <w:rsid w:val="00820278"/>
    <w:rsid w:val="00834554"/>
    <w:rsid w:val="00834B31"/>
    <w:rsid w:val="0083767A"/>
    <w:rsid w:val="00840ADC"/>
    <w:rsid w:val="00843BF7"/>
    <w:rsid w:val="008449B3"/>
    <w:rsid w:val="00846276"/>
    <w:rsid w:val="00850E23"/>
    <w:rsid w:val="00851137"/>
    <w:rsid w:val="00853978"/>
    <w:rsid w:val="0085432F"/>
    <w:rsid w:val="00864209"/>
    <w:rsid w:val="0087325B"/>
    <w:rsid w:val="00877EBA"/>
    <w:rsid w:val="00881ABA"/>
    <w:rsid w:val="0088243A"/>
    <w:rsid w:val="008843B6"/>
    <w:rsid w:val="00886C89"/>
    <w:rsid w:val="00887569"/>
    <w:rsid w:val="00890A17"/>
    <w:rsid w:val="00891928"/>
    <w:rsid w:val="00894B8B"/>
    <w:rsid w:val="008961BA"/>
    <w:rsid w:val="00896E8A"/>
    <w:rsid w:val="008A00A4"/>
    <w:rsid w:val="008A446D"/>
    <w:rsid w:val="008A7A64"/>
    <w:rsid w:val="008A7F08"/>
    <w:rsid w:val="008B2F0E"/>
    <w:rsid w:val="008B5A2E"/>
    <w:rsid w:val="008C43AD"/>
    <w:rsid w:val="008D180B"/>
    <w:rsid w:val="008D40A5"/>
    <w:rsid w:val="008D7227"/>
    <w:rsid w:val="008E1F92"/>
    <w:rsid w:val="008E7333"/>
    <w:rsid w:val="008E7B09"/>
    <w:rsid w:val="008F0EA7"/>
    <w:rsid w:val="008F7395"/>
    <w:rsid w:val="008F7BB9"/>
    <w:rsid w:val="00904692"/>
    <w:rsid w:val="00910097"/>
    <w:rsid w:val="00911C7C"/>
    <w:rsid w:val="0091561E"/>
    <w:rsid w:val="0091757F"/>
    <w:rsid w:val="00923EEF"/>
    <w:rsid w:val="009411F5"/>
    <w:rsid w:val="009419F9"/>
    <w:rsid w:val="00953AA4"/>
    <w:rsid w:val="00955305"/>
    <w:rsid w:val="009563E7"/>
    <w:rsid w:val="0095685E"/>
    <w:rsid w:val="009572D9"/>
    <w:rsid w:val="009600D2"/>
    <w:rsid w:val="00961409"/>
    <w:rsid w:val="00961B09"/>
    <w:rsid w:val="00962300"/>
    <w:rsid w:val="00965334"/>
    <w:rsid w:val="0097093E"/>
    <w:rsid w:val="00976025"/>
    <w:rsid w:val="00976F04"/>
    <w:rsid w:val="009800BE"/>
    <w:rsid w:val="00982E41"/>
    <w:rsid w:val="00984649"/>
    <w:rsid w:val="009858BE"/>
    <w:rsid w:val="00987D4B"/>
    <w:rsid w:val="009A0DFA"/>
    <w:rsid w:val="009A3C2C"/>
    <w:rsid w:val="009A4A40"/>
    <w:rsid w:val="009B0AEB"/>
    <w:rsid w:val="009B2D26"/>
    <w:rsid w:val="009B3595"/>
    <w:rsid w:val="009B3AF3"/>
    <w:rsid w:val="009B5228"/>
    <w:rsid w:val="009B780F"/>
    <w:rsid w:val="009C2DD0"/>
    <w:rsid w:val="009C3AC7"/>
    <w:rsid w:val="009C71FA"/>
    <w:rsid w:val="009C72E7"/>
    <w:rsid w:val="009D0555"/>
    <w:rsid w:val="009D3058"/>
    <w:rsid w:val="009D3A11"/>
    <w:rsid w:val="009D44C4"/>
    <w:rsid w:val="009D6427"/>
    <w:rsid w:val="009D67FD"/>
    <w:rsid w:val="009E584F"/>
    <w:rsid w:val="009E5A30"/>
    <w:rsid w:val="009E7C05"/>
    <w:rsid w:val="009F15C5"/>
    <w:rsid w:val="009F3831"/>
    <w:rsid w:val="009F3832"/>
    <w:rsid w:val="009F3A13"/>
    <w:rsid w:val="009F4AB2"/>
    <w:rsid w:val="009F73F7"/>
    <w:rsid w:val="00A02465"/>
    <w:rsid w:val="00A03415"/>
    <w:rsid w:val="00A04A81"/>
    <w:rsid w:val="00A06991"/>
    <w:rsid w:val="00A122D3"/>
    <w:rsid w:val="00A14D3D"/>
    <w:rsid w:val="00A17F13"/>
    <w:rsid w:val="00A20739"/>
    <w:rsid w:val="00A211D0"/>
    <w:rsid w:val="00A23361"/>
    <w:rsid w:val="00A241DD"/>
    <w:rsid w:val="00A24433"/>
    <w:rsid w:val="00A2443A"/>
    <w:rsid w:val="00A25580"/>
    <w:rsid w:val="00A332DD"/>
    <w:rsid w:val="00A339A9"/>
    <w:rsid w:val="00A33C78"/>
    <w:rsid w:val="00A34B38"/>
    <w:rsid w:val="00A34D87"/>
    <w:rsid w:val="00A35538"/>
    <w:rsid w:val="00A3685A"/>
    <w:rsid w:val="00A3783B"/>
    <w:rsid w:val="00A37BC4"/>
    <w:rsid w:val="00A404DA"/>
    <w:rsid w:val="00A42050"/>
    <w:rsid w:val="00A43292"/>
    <w:rsid w:val="00A445C0"/>
    <w:rsid w:val="00A52D82"/>
    <w:rsid w:val="00A56959"/>
    <w:rsid w:val="00A56FCA"/>
    <w:rsid w:val="00A6004A"/>
    <w:rsid w:val="00A613C2"/>
    <w:rsid w:val="00A745FA"/>
    <w:rsid w:val="00A74DE6"/>
    <w:rsid w:val="00A75D19"/>
    <w:rsid w:val="00A8086A"/>
    <w:rsid w:val="00A80F32"/>
    <w:rsid w:val="00A828F1"/>
    <w:rsid w:val="00A868C2"/>
    <w:rsid w:val="00A87F7D"/>
    <w:rsid w:val="00A9244C"/>
    <w:rsid w:val="00A94D14"/>
    <w:rsid w:val="00A95106"/>
    <w:rsid w:val="00AA0CF5"/>
    <w:rsid w:val="00AA23BB"/>
    <w:rsid w:val="00AB0ADB"/>
    <w:rsid w:val="00AB3FD1"/>
    <w:rsid w:val="00AB75FF"/>
    <w:rsid w:val="00AC0DF9"/>
    <w:rsid w:val="00AC0EAB"/>
    <w:rsid w:val="00AC4701"/>
    <w:rsid w:val="00AC49A2"/>
    <w:rsid w:val="00AD73E2"/>
    <w:rsid w:val="00AE2631"/>
    <w:rsid w:val="00AE3D6C"/>
    <w:rsid w:val="00AF03EA"/>
    <w:rsid w:val="00AF1BEC"/>
    <w:rsid w:val="00B009B8"/>
    <w:rsid w:val="00B01B1A"/>
    <w:rsid w:val="00B07DDD"/>
    <w:rsid w:val="00B14E03"/>
    <w:rsid w:val="00B26B98"/>
    <w:rsid w:val="00B35201"/>
    <w:rsid w:val="00B35ADC"/>
    <w:rsid w:val="00B36B39"/>
    <w:rsid w:val="00B37C24"/>
    <w:rsid w:val="00B40FBC"/>
    <w:rsid w:val="00B43248"/>
    <w:rsid w:val="00B46F27"/>
    <w:rsid w:val="00B47FD7"/>
    <w:rsid w:val="00B51F75"/>
    <w:rsid w:val="00B52169"/>
    <w:rsid w:val="00B53E27"/>
    <w:rsid w:val="00B558AF"/>
    <w:rsid w:val="00B615BA"/>
    <w:rsid w:val="00B62D8B"/>
    <w:rsid w:val="00B72CD3"/>
    <w:rsid w:val="00B72FFF"/>
    <w:rsid w:val="00B76CEB"/>
    <w:rsid w:val="00B8257D"/>
    <w:rsid w:val="00B82B8B"/>
    <w:rsid w:val="00B86FE2"/>
    <w:rsid w:val="00B87378"/>
    <w:rsid w:val="00B91186"/>
    <w:rsid w:val="00B91C08"/>
    <w:rsid w:val="00B93423"/>
    <w:rsid w:val="00B948E8"/>
    <w:rsid w:val="00BA0A22"/>
    <w:rsid w:val="00BA2EF4"/>
    <w:rsid w:val="00BA62A2"/>
    <w:rsid w:val="00BB22DA"/>
    <w:rsid w:val="00BB2C9D"/>
    <w:rsid w:val="00BC0036"/>
    <w:rsid w:val="00BC05A6"/>
    <w:rsid w:val="00BC3D36"/>
    <w:rsid w:val="00BC4B34"/>
    <w:rsid w:val="00BD2E7B"/>
    <w:rsid w:val="00BD37EA"/>
    <w:rsid w:val="00BD7F72"/>
    <w:rsid w:val="00BE03BC"/>
    <w:rsid w:val="00BE0A18"/>
    <w:rsid w:val="00BE5F4C"/>
    <w:rsid w:val="00BF0D99"/>
    <w:rsid w:val="00BF1201"/>
    <w:rsid w:val="00BF1D4A"/>
    <w:rsid w:val="00BF230F"/>
    <w:rsid w:val="00C002E3"/>
    <w:rsid w:val="00C012CC"/>
    <w:rsid w:val="00C04FB3"/>
    <w:rsid w:val="00C147D0"/>
    <w:rsid w:val="00C159C1"/>
    <w:rsid w:val="00C16346"/>
    <w:rsid w:val="00C21B15"/>
    <w:rsid w:val="00C21B8C"/>
    <w:rsid w:val="00C32062"/>
    <w:rsid w:val="00C32523"/>
    <w:rsid w:val="00C3281B"/>
    <w:rsid w:val="00C330EB"/>
    <w:rsid w:val="00C36000"/>
    <w:rsid w:val="00C371C9"/>
    <w:rsid w:val="00C40E9F"/>
    <w:rsid w:val="00C41481"/>
    <w:rsid w:val="00C42469"/>
    <w:rsid w:val="00C46D91"/>
    <w:rsid w:val="00C47A07"/>
    <w:rsid w:val="00C47B74"/>
    <w:rsid w:val="00C50855"/>
    <w:rsid w:val="00C57281"/>
    <w:rsid w:val="00C65D65"/>
    <w:rsid w:val="00C67703"/>
    <w:rsid w:val="00C7173F"/>
    <w:rsid w:val="00C730B6"/>
    <w:rsid w:val="00C754BE"/>
    <w:rsid w:val="00C76466"/>
    <w:rsid w:val="00C76B1C"/>
    <w:rsid w:val="00C915DD"/>
    <w:rsid w:val="00C91B94"/>
    <w:rsid w:val="00C92665"/>
    <w:rsid w:val="00C9305E"/>
    <w:rsid w:val="00CA538F"/>
    <w:rsid w:val="00CA6A9D"/>
    <w:rsid w:val="00CA7F6B"/>
    <w:rsid w:val="00CB0AD1"/>
    <w:rsid w:val="00CB6357"/>
    <w:rsid w:val="00CC0FA3"/>
    <w:rsid w:val="00CC1B26"/>
    <w:rsid w:val="00CC49F7"/>
    <w:rsid w:val="00CC54DB"/>
    <w:rsid w:val="00CC7787"/>
    <w:rsid w:val="00CD087D"/>
    <w:rsid w:val="00CD239E"/>
    <w:rsid w:val="00CD41CB"/>
    <w:rsid w:val="00CD5EE0"/>
    <w:rsid w:val="00CE3273"/>
    <w:rsid w:val="00CE509A"/>
    <w:rsid w:val="00CE5414"/>
    <w:rsid w:val="00CF241F"/>
    <w:rsid w:val="00CF710A"/>
    <w:rsid w:val="00CF7826"/>
    <w:rsid w:val="00D0157A"/>
    <w:rsid w:val="00D036D8"/>
    <w:rsid w:val="00D038ED"/>
    <w:rsid w:val="00D06D26"/>
    <w:rsid w:val="00D10B75"/>
    <w:rsid w:val="00D13351"/>
    <w:rsid w:val="00D15E25"/>
    <w:rsid w:val="00D20368"/>
    <w:rsid w:val="00D22361"/>
    <w:rsid w:val="00D22598"/>
    <w:rsid w:val="00D2339F"/>
    <w:rsid w:val="00D26924"/>
    <w:rsid w:val="00D36CB5"/>
    <w:rsid w:val="00D413F6"/>
    <w:rsid w:val="00D4231B"/>
    <w:rsid w:val="00D423A2"/>
    <w:rsid w:val="00D4556B"/>
    <w:rsid w:val="00D47296"/>
    <w:rsid w:val="00D520D8"/>
    <w:rsid w:val="00D52961"/>
    <w:rsid w:val="00D53A84"/>
    <w:rsid w:val="00D55048"/>
    <w:rsid w:val="00D57EB1"/>
    <w:rsid w:val="00D57FA4"/>
    <w:rsid w:val="00D62DE7"/>
    <w:rsid w:val="00D63AC2"/>
    <w:rsid w:val="00D665B4"/>
    <w:rsid w:val="00D7383B"/>
    <w:rsid w:val="00D7609E"/>
    <w:rsid w:val="00D81A63"/>
    <w:rsid w:val="00D81D25"/>
    <w:rsid w:val="00D85C60"/>
    <w:rsid w:val="00D91C0D"/>
    <w:rsid w:val="00D91F8B"/>
    <w:rsid w:val="00D94C40"/>
    <w:rsid w:val="00D962BC"/>
    <w:rsid w:val="00DA231B"/>
    <w:rsid w:val="00DA23A0"/>
    <w:rsid w:val="00DA7F66"/>
    <w:rsid w:val="00DB186F"/>
    <w:rsid w:val="00DB7367"/>
    <w:rsid w:val="00DC39FC"/>
    <w:rsid w:val="00DC4385"/>
    <w:rsid w:val="00DC484F"/>
    <w:rsid w:val="00DC4C27"/>
    <w:rsid w:val="00DC51BC"/>
    <w:rsid w:val="00DC78A7"/>
    <w:rsid w:val="00DC793F"/>
    <w:rsid w:val="00DD0891"/>
    <w:rsid w:val="00DD1A37"/>
    <w:rsid w:val="00DE3BDD"/>
    <w:rsid w:val="00DE4629"/>
    <w:rsid w:val="00DE6EAA"/>
    <w:rsid w:val="00DF11FD"/>
    <w:rsid w:val="00DF5254"/>
    <w:rsid w:val="00E0164D"/>
    <w:rsid w:val="00E05B31"/>
    <w:rsid w:val="00E12426"/>
    <w:rsid w:val="00E16408"/>
    <w:rsid w:val="00E20894"/>
    <w:rsid w:val="00E23B70"/>
    <w:rsid w:val="00E245AB"/>
    <w:rsid w:val="00E26239"/>
    <w:rsid w:val="00E2764C"/>
    <w:rsid w:val="00E27F2E"/>
    <w:rsid w:val="00E35539"/>
    <w:rsid w:val="00E369F1"/>
    <w:rsid w:val="00E413EA"/>
    <w:rsid w:val="00E47F28"/>
    <w:rsid w:val="00E50AFE"/>
    <w:rsid w:val="00E52E49"/>
    <w:rsid w:val="00E52F44"/>
    <w:rsid w:val="00E561D3"/>
    <w:rsid w:val="00E577AC"/>
    <w:rsid w:val="00E578B6"/>
    <w:rsid w:val="00E61547"/>
    <w:rsid w:val="00E61702"/>
    <w:rsid w:val="00E75B66"/>
    <w:rsid w:val="00E75C92"/>
    <w:rsid w:val="00E761BC"/>
    <w:rsid w:val="00E76808"/>
    <w:rsid w:val="00E770CD"/>
    <w:rsid w:val="00E771DC"/>
    <w:rsid w:val="00E77478"/>
    <w:rsid w:val="00E77E1B"/>
    <w:rsid w:val="00E8013F"/>
    <w:rsid w:val="00E847D2"/>
    <w:rsid w:val="00E85AA8"/>
    <w:rsid w:val="00E870E5"/>
    <w:rsid w:val="00E8772A"/>
    <w:rsid w:val="00E90F6B"/>
    <w:rsid w:val="00E91079"/>
    <w:rsid w:val="00E92C27"/>
    <w:rsid w:val="00E92E10"/>
    <w:rsid w:val="00EA0A8D"/>
    <w:rsid w:val="00EA0E3D"/>
    <w:rsid w:val="00EA1CD8"/>
    <w:rsid w:val="00EA29F8"/>
    <w:rsid w:val="00EA393B"/>
    <w:rsid w:val="00EA39A5"/>
    <w:rsid w:val="00EB2C4B"/>
    <w:rsid w:val="00EB3B79"/>
    <w:rsid w:val="00EB7E00"/>
    <w:rsid w:val="00EC1A2C"/>
    <w:rsid w:val="00EC1FE1"/>
    <w:rsid w:val="00EC38A7"/>
    <w:rsid w:val="00ED042A"/>
    <w:rsid w:val="00ED0D4A"/>
    <w:rsid w:val="00ED501A"/>
    <w:rsid w:val="00ED5B3A"/>
    <w:rsid w:val="00EE1AA8"/>
    <w:rsid w:val="00EF26C3"/>
    <w:rsid w:val="00EF2B06"/>
    <w:rsid w:val="00EF419E"/>
    <w:rsid w:val="00EF489F"/>
    <w:rsid w:val="00EF5E27"/>
    <w:rsid w:val="00F11213"/>
    <w:rsid w:val="00F11BAA"/>
    <w:rsid w:val="00F177C1"/>
    <w:rsid w:val="00F17EB6"/>
    <w:rsid w:val="00F238B3"/>
    <w:rsid w:val="00F238F2"/>
    <w:rsid w:val="00F260AA"/>
    <w:rsid w:val="00F27B26"/>
    <w:rsid w:val="00F31EDC"/>
    <w:rsid w:val="00F34D02"/>
    <w:rsid w:val="00F34E84"/>
    <w:rsid w:val="00F40BAD"/>
    <w:rsid w:val="00F462B3"/>
    <w:rsid w:val="00F5184B"/>
    <w:rsid w:val="00F54218"/>
    <w:rsid w:val="00F5491E"/>
    <w:rsid w:val="00F55081"/>
    <w:rsid w:val="00F55168"/>
    <w:rsid w:val="00F558D9"/>
    <w:rsid w:val="00F5664F"/>
    <w:rsid w:val="00F626C4"/>
    <w:rsid w:val="00F64D9E"/>
    <w:rsid w:val="00F666C4"/>
    <w:rsid w:val="00F7684C"/>
    <w:rsid w:val="00F76AFC"/>
    <w:rsid w:val="00F80CBE"/>
    <w:rsid w:val="00F85198"/>
    <w:rsid w:val="00F85237"/>
    <w:rsid w:val="00F86F45"/>
    <w:rsid w:val="00F92BB4"/>
    <w:rsid w:val="00F939CB"/>
    <w:rsid w:val="00F94459"/>
    <w:rsid w:val="00F9479C"/>
    <w:rsid w:val="00F965EE"/>
    <w:rsid w:val="00F97949"/>
    <w:rsid w:val="00FA1110"/>
    <w:rsid w:val="00FA1361"/>
    <w:rsid w:val="00FA358D"/>
    <w:rsid w:val="00FA47C0"/>
    <w:rsid w:val="00FB4425"/>
    <w:rsid w:val="00FB5615"/>
    <w:rsid w:val="00FB5CB7"/>
    <w:rsid w:val="00FB5DD1"/>
    <w:rsid w:val="00FB5F87"/>
    <w:rsid w:val="00FB675F"/>
    <w:rsid w:val="00FC07B5"/>
    <w:rsid w:val="00FC2B5D"/>
    <w:rsid w:val="00FC2F50"/>
    <w:rsid w:val="00FD00BB"/>
    <w:rsid w:val="00FD00E9"/>
    <w:rsid w:val="00FD03E3"/>
    <w:rsid w:val="00FD108E"/>
    <w:rsid w:val="00FE06C8"/>
    <w:rsid w:val="00FE122A"/>
    <w:rsid w:val="00FE20E6"/>
    <w:rsid w:val="00FF1187"/>
    <w:rsid w:val="00FF1449"/>
    <w:rsid w:val="00FF3F03"/>
    <w:rsid w:val="00FF4187"/>
    <w:rsid w:val="00FF74EA"/>
    <w:rsid w:val="0FB71FC4"/>
    <w:rsid w:val="2832C13D"/>
    <w:rsid w:val="5CEADB7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75DAF"/>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Mencinsinresolver1">
    <w:name w:val="Mención sin resolver1"/>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08328D"/>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08328D"/>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08328D"/>
    <w:rPr>
      <w:rFonts w:ascii="Geomanist Light" w:hAnsi="Geomanist Light"/>
      <w:lang w:val="es-ES"/>
    </w:rPr>
  </w:style>
  <w:style w:type="character" w:styleId="Textoennegrita">
    <w:name w:val="Strong"/>
    <w:basedOn w:val="Fuentedeprrafopredeter"/>
    <w:uiPriority w:val="22"/>
    <w:qFormat/>
    <w:rsid w:val="0008328D"/>
    <w:rPr>
      <w:b/>
      <w:bCs/>
    </w:rPr>
  </w:style>
  <w:style w:type="paragraph" w:customStyle="1" w:styleId="fn1">
    <w:name w:val="fn1"/>
    <w:basedOn w:val="Normal"/>
    <w:next w:val="Textonotapie"/>
    <w:uiPriority w:val="99"/>
    <w:unhideWhenUsed/>
    <w:qFormat/>
    <w:rsid w:val="004F3012"/>
    <w:pPr>
      <w:spacing w:after="0" w:line="240" w:lineRule="auto"/>
    </w:pPr>
    <w:rPr>
      <w:sz w:val="20"/>
      <w:szCs w:val="20"/>
      <w:lang w:val="es-MX"/>
    </w:rPr>
  </w:style>
  <w:style w:type="paragraph" w:styleId="Textoindependiente">
    <w:name w:val="Body Text"/>
    <w:basedOn w:val="Normal"/>
    <w:link w:val="TextoindependienteCar"/>
    <w:uiPriority w:val="1"/>
    <w:qFormat/>
    <w:rsid w:val="00FF74EA"/>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1"/>
    <w:rsid w:val="00FF74EA"/>
    <w:rPr>
      <w:rFonts w:ascii="Arial" w:eastAsia="Arial" w:hAnsi="Arial" w:cs="Arial"/>
      <w:lang w:val="es-ES"/>
    </w:rPr>
  </w:style>
  <w:style w:type="character" w:customStyle="1" w:styleId="NormalWebCar">
    <w:name w:val="Normal (Web) Car"/>
    <w:link w:val="NormalWeb"/>
    <w:uiPriority w:val="99"/>
    <w:locked/>
    <w:rsid w:val="00FF74EA"/>
    <w:rPr>
      <w:rFonts w:ascii="Times New Roman" w:eastAsia="Times New Roman" w:hAnsi="Times New Roman" w:cs="Times New Roman"/>
      <w:sz w:val="24"/>
      <w:szCs w:val="24"/>
      <w:lang w:eastAsia="es-CO"/>
    </w:rPr>
  </w:style>
  <w:style w:type="character" w:styleId="nfasis">
    <w:name w:val="Emphasis"/>
    <w:basedOn w:val="Fuentedeprrafopredeter"/>
    <w:uiPriority w:val="20"/>
    <w:qFormat/>
    <w:rsid w:val="00A24433"/>
    <w:rPr>
      <w:i/>
      <w:iCs/>
    </w:rPr>
  </w:style>
  <w:style w:type="character" w:styleId="Refdecomentario">
    <w:name w:val="annotation reference"/>
    <w:basedOn w:val="Fuentedeprrafopredeter"/>
    <w:uiPriority w:val="99"/>
    <w:semiHidden/>
    <w:unhideWhenUsed/>
    <w:rsid w:val="0052785C"/>
    <w:rPr>
      <w:sz w:val="16"/>
      <w:szCs w:val="16"/>
    </w:rPr>
  </w:style>
  <w:style w:type="paragraph" w:styleId="Textocomentario">
    <w:name w:val="annotation text"/>
    <w:basedOn w:val="Normal"/>
    <w:link w:val="TextocomentarioCar"/>
    <w:uiPriority w:val="99"/>
    <w:unhideWhenUsed/>
    <w:rsid w:val="0052785C"/>
    <w:pPr>
      <w:spacing w:line="240" w:lineRule="auto"/>
    </w:pPr>
    <w:rPr>
      <w:sz w:val="20"/>
      <w:szCs w:val="20"/>
    </w:rPr>
  </w:style>
  <w:style w:type="character" w:customStyle="1" w:styleId="TextocomentarioCar">
    <w:name w:val="Texto comentario Car"/>
    <w:basedOn w:val="Fuentedeprrafopredeter"/>
    <w:link w:val="Textocomentario"/>
    <w:uiPriority w:val="99"/>
    <w:rsid w:val="0052785C"/>
    <w:rPr>
      <w:sz w:val="20"/>
      <w:szCs w:val="20"/>
    </w:rPr>
  </w:style>
  <w:style w:type="paragraph" w:styleId="Asuntodelcomentario">
    <w:name w:val="annotation subject"/>
    <w:basedOn w:val="Textocomentario"/>
    <w:next w:val="Textocomentario"/>
    <w:link w:val="AsuntodelcomentarioCar"/>
    <w:uiPriority w:val="99"/>
    <w:semiHidden/>
    <w:unhideWhenUsed/>
    <w:rsid w:val="0052785C"/>
    <w:rPr>
      <w:b/>
      <w:bCs/>
    </w:rPr>
  </w:style>
  <w:style w:type="character" w:customStyle="1" w:styleId="AsuntodelcomentarioCar">
    <w:name w:val="Asunto del comentario Car"/>
    <w:basedOn w:val="TextocomentarioCar"/>
    <w:link w:val="Asuntodelcomentario"/>
    <w:uiPriority w:val="99"/>
    <w:semiHidden/>
    <w:rsid w:val="0052785C"/>
    <w:rPr>
      <w:b/>
      <w:bCs/>
      <w:sz w:val="20"/>
      <w:szCs w:val="20"/>
    </w:rPr>
  </w:style>
  <w:style w:type="paragraph" w:styleId="Textodeglobo">
    <w:name w:val="Balloon Text"/>
    <w:basedOn w:val="Normal"/>
    <w:link w:val="TextodegloboCar"/>
    <w:uiPriority w:val="99"/>
    <w:semiHidden/>
    <w:unhideWhenUsed/>
    <w:rsid w:val="0012076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120766"/>
    <w:rPr>
      <w:rFonts w:ascii="Segoe UI" w:hAnsi="Segoe UI" w:cs="Segoe UI"/>
      <w:sz w:val="18"/>
      <w:szCs w:val="18"/>
    </w:rPr>
  </w:style>
  <w:style w:type="paragraph" w:styleId="Subttulo">
    <w:name w:val="Subtitle"/>
    <w:basedOn w:val="Normal"/>
    <w:next w:val="Normal"/>
    <w:link w:val="SubttuloCar"/>
    <w:uiPriority w:val="11"/>
    <w:qFormat/>
    <w:rsid w:val="00AC0DF9"/>
    <w:pPr>
      <w:numPr>
        <w:ilvl w:val="1"/>
      </w:numPr>
    </w:pPr>
    <w:rPr>
      <w:rFonts w:eastAsiaTheme="minorEastAsia"/>
      <w:color w:val="5A5A5A" w:themeColor="text1" w:themeTint="A5"/>
      <w:spacing w:val="15"/>
    </w:rPr>
  </w:style>
  <w:style w:type="character" w:customStyle="1" w:styleId="SubttuloCar">
    <w:name w:val="Subtítulo Car"/>
    <w:basedOn w:val="Fuentedeprrafopredeter"/>
    <w:link w:val="Subttulo"/>
    <w:uiPriority w:val="11"/>
    <w:rsid w:val="00AC0DF9"/>
    <w:rPr>
      <w:rFonts w:eastAsiaTheme="minorEastAsia"/>
      <w:color w:val="5A5A5A" w:themeColor="text1" w:themeTint="A5"/>
      <w:spacing w:val="15"/>
    </w:rPr>
  </w:style>
  <w:style w:type="table" w:customStyle="1" w:styleId="Tablaconcuadrcula11">
    <w:name w:val="Tabla con cuadrícula11"/>
    <w:basedOn w:val="Tablanormal"/>
    <w:next w:val="Tablaconcuadrcula"/>
    <w:uiPriority w:val="39"/>
    <w:qFormat/>
    <w:rsid w:val="009563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1">
    <w:name w:val="Tabla con cuadrícula111"/>
    <w:basedOn w:val="Tablanormal"/>
    <w:next w:val="Tablaconcuadrcula"/>
    <w:uiPriority w:val="39"/>
    <w:qFormat/>
    <w:rsid w:val="009563E7"/>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aj">
    <w:name w:val="b_aj"/>
    <w:basedOn w:val="Fuentedeprrafopredeter"/>
    <w:rsid w:val="001B10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3835437">
      <w:bodyDiv w:val="1"/>
      <w:marLeft w:val="0"/>
      <w:marRight w:val="0"/>
      <w:marTop w:val="0"/>
      <w:marBottom w:val="0"/>
      <w:divBdr>
        <w:top w:val="none" w:sz="0" w:space="0" w:color="auto"/>
        <w:left w:val="none" w:sz="0" w:space="0" w:color="auto"/>
        <w:bottom w:val="none" w:sz="0" w:space="0" w:color="auto"/>
        <w:right w:val="none" w:sz="0" w:space="0" w:color="auto"/>
      </w:divBdr>
    </w:div>
    <w:div w:id="460877566">
      <w:bodyDiv w:val="1"/>
      <w:marLeft w:val="0"/>
      <w:marRight w:val="0"/>
      <w:marTop w:val="0"/>
      <w:marBottom w:val="0"/>
      <w:divBdr>
        <w:top w:val="none" w:sz="0" w:space="0" w:color="auto"/>
        <w:left w:val="none" w:sz="0" w:space="0" w:color="auto"/>
        <w:bottom w:val="none" w:sz="0" w:space="0" w:color="auto"/>
        <w:right w:val="none" w:sz="0" w:space="0" w:color="auto"/>
      </w:divBdr>
    </w:div>
    <w:div w:id="502475250">
      <w:bodyDiv w:val="1"/>
      <w:marLeft w:val="0"/>
      <w:marRight w:val="0"/>
      <w:marTop w:val="0"/>
      <w:marBottom w:val="0"/>
      <w:divBdr>
        <w:top w:val="none" w:sz="0" w:space="0" w:color="auto"/>
        <w:left w:val="none" w:sz="0" w:space="0" w:color="auto"/>
        <w:bottom w:val="none" w:sz="0" w:space="0" w:color="auto"/>
        <w:right w:val="none" w:sz="0" w:space="0" w:color="auto"/>
      </w:divBdr>
    </w:div>
    <w:div w:id="513416965">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15736660">
      <w:bodyDiv w:val="1"/>
      <w:marLeft w:val="0"/>
      <w:marRight w:val="0"/>
      <w:marTop w:val="0"/>
      <w:marBottom w:val="0"/>
      <w:divBdr>
        <w:top w:val="none" w:sz="0" w:space="0" w:color="auto"/>
        <w:left w:val="none" w:sz="0" w:space="0" w:color="auto"/>
        <w:bottom w:val="none" w:sz="0" w:space="0" w:color="auto"/>
        <w:right w:val="none" w:sz="0" w:space="0" w:color="auto"/>
      </w:divBdr>
    </w:div>
    <w:div w:id="748189111">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23744084">
      <w:bodyDiv w:val="1"/>
      <w:marLeft w:val="0"/>
      <w:marRight w:val="0"/>
      <w:marTop w:val="0"/>
      <w:marBottom w:val="0"/>
      <w:divBdr>
        <w:top w:val="none" w:sz="0" w:space="0" w:color="auto"/>
        <w:left w:val="none" w:sz="0" w:space="0" w:color="auto"/>
        <w:bottom w:val="none" w:sz="0" w:space="0" w:color="auto"/>
        <w:right w:val="none" w:sz="0" w:space="0" w:color="auto"/>
      </w:divBdr>
      <w:divsChild>
        <w:div w:id="1665283950">
          <w:marLeft w:val="0"/>
          <w:marRight w:val="0"/>
          <w:marTop w:val="0"/>
          <w:marBottom w:val="160"/>
          <w:divBdr>
            <w:top w:val="none" w:sz="0" w:space="0" w:color="auto"/>
            <w:left w:val="none" w:sz="0" w:space="0" w:color="auto"/>
            <w:bottom w:val="none" w:sz="0" w:space="0" w:color="auto"/>
            <w:right w:val="none" w:sz="0" w:space="0" w:color="auto"/>
          </w:divBdr>
        </w:div>
        <w:div w:id="133375842">
          <w:marLeft w:val="0"/>
          <w:marRight w:val="0"/>
          <w:marTop w:val="0"/>
          <w:marBottom w:val="160"/>
          <w:divBdr>
            <w:top w:val="none" w:sz="0" w:space="0" w:color="auto"/>
            <w:left w:val="none" w:sz="0" w:space="0" w:color="auto"/>
            <w:bottom w:val="none" w:sz="0" w:space="0" w:color="auto"/>
            <w:right w:val="none" w:sz="0" w:space="0" w:color="auto"/>
          </w:divBdr>
        </w:div>
        <w:div w:id="1806265997">
          <w:marLeft w:val="0"/>
          <w:marRight w:val="0"/>
          <w:marTop w:val="0"/>
          <w:marBottom w:val="160"/>
          <w:divBdr>
            <w:top w:val="none" w:sz="0" w:space="0" w:color="auto"/>
            <w:left w:val="none" w:sz="0" w:space="0" w:color="auto"/>
            <w:bottom w:val="none" w:sz="0" w:space="0" w:color="auto"/>
            <w:right w:val="none" w:sz="0" w:space="0" w:color="auto"/>
          </w:divBdr>
        </w:div>
      </w:divsChild>
    </w:div>
    <w:div w:id="828248822">
      <w:bodyDiv w:val="1"/>
      <w:marLeft w:val="0"/>
      <w:marRight w:val="0"/>
      <w:marTop w:val="0"/>
      <w:marBottom w:val="0"/>
      <w:divBdr>
        <w:top w:val="none" w:sz="0" w:space="0" w:color="auto"/>
        <w:left w:val="none" w:sz="0" w:space="0" w:color="auto"/>
        <w:bottom w:val="none" w:sz="0" w:space="0" w:color="auto"/>
        <w:right w:val="none" w:sz="0" w:space="0" w:color="auto"/>
      </w:divBdr>
    </w:div>
    <w:div w:id="910313656">
      <w:bodyDiv w:val="1"/>
      <w:marLeft w:val="0"/>
      <w:marRight w:val="0"/>
      <w:marTop w:val="0"/>
      <w:marBottom w:val="0"/>
      <w:divBdr>
        <w:top w:val="none" w:sz="0" w:space="0" w:color="auto"/>
        <w:left w:val="none" w:sz="0" w:space="0" w:color="auto"/>
        <w:bottom w:val="none" w:sz="0" w:space="0" w:color="auto"/>
        <w:right w:val="none" w:sz="0" w:space="0" w:color="auto"/>
      </w:divBdr>
    </w:div>
    <w:div w:id="939751492">
      <w:bodyDiv w:val="1"/>
      <w:marLeft w:val="0"/>
      <w:marRight w:val="0"/>
      <w:marTop w:val="0"/>
      <w:marBottom w:val="0"/>
      <w:divBdr>
        <w:top w:val="none" w:sz="0" w:space="0" w:color="auto"/>
        <w:left w:val="none" w:sz="0" w:space="0" w:color="auto"/>
        <w:bottom w:val="none" w:sz="0" w:space="0" w:color="auto"/>
        <w:right w:val="none" w:sz="0" w:space="0" w:color="auto"/>
      </w:divBdr>
    </w:div>
    <w:div w:id="976298735">
      <w:bodyDiv w:val="1"/>
      <w:marLeft w:val="0"/>
      <w:marRight w:val="0"/>
      <w:marTop w:val="0"/>
      <w:marBottom w:val="0"/>
      <w:divBdr>
        <w:top w:val="none" w:sz="0" w:space="0" w:color="auto"/>
        <w:left w:val="none" w:sz="0" w:space="0" w:color="auto"/>
        <w:bottom w:val="none" w:sz="0" w:space="0" w:color="auto"/>
        <w:right w:val="none" w:sz="0" w:space="0" w:color="auto"/>
      </w:divBdr>
    </w:div>
    <w:div w:id="1002976885">
      <w:bodyDiv w:val="1"/>
      <w:marLeft w:val="0"/>
      <w:marRight w:val="0"/>
      <w:marTop w:val="0"/>
      <w:marBottom w:val="0"/>
      <w:divBdr>
        <w:top w:val="none" w:sz="0" w:space="0" w:color="auto"/>
        <w:left w:val="none" w:sz="0" w:space="0" w:color="auto"/>
        <w:bottom w:val="none" w:sz="0" w:space="0" w:color="auto"/>
        <w:right w:val="none" w:sz="0" w:space="0" w:color="auto"/>
      </w:divBdr>
    </w:div>
    <w:div w:id="1025399029">
      <w:bodyDiv w:val="1"/>
      <w:marLeft w:val="0"/>
      <w:marRight w:val="0"/>
      <w:marTop w:val="0"/>
      <w:marBottom w:val="0"/>
      <w:divBdr>
        <w:top w:val="none" w:sz="0" w:space="0" w:color="auto"/>
        <w:left w:val="none" w:sz="0" w:space="0" w:color="auto"/>
        <w:bottom w:val="none" w:sz="0" w:space="0" w:color="auto"/>
        <w:right w:val="none" w:sz="0" w:space="0" w:color="auto"/>
      </w:divBdr>
    </w:div>
    <w:div w:id="1078407130">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36013034">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343514720">
      <w:bodyDiv w:val="1"/>
      <w:marLeft w:val="0"/>
      <w:marRight w:val="0"/>
      <w:marTop w:val="0"/>
      <w:marBottom w:val="0"/>
      <w:divBdr>
        <w:top w:val="none" w:sz="0" w:space="0" w:color="auto"/>
        <w:left w:val="none" w:sz="0" w:space="0" w:color="auto"/>
        <w:bottom w:val="none" w:sz="0" w:space="0" w:color="auto"/>
        <w:right w:val="none" w:sz="0" w:space="0" w:color="auto"/>
      </w:divBdr>
    </w:div>
    <w:div w:id="1388527428">
      <w:bodyDiv w:val="1"/>
      <w:marLeft w:val="0"/>
      <w:marRight w:val="0"/>
      <w:marTop w:val="0"/>
      <w:marBottom w:val="0"/>
      <w:divBdr>
        <w:top w:val="none" w:sz="0" w:space="0" w:color="auto"/>
        <w:left w:val="none" w:sz="0" w:space="0" w:color="auto"/>
        <w:bottom w:val="none" w:sz="0" w:space="0" w:color="auto"/>
        <w:right w:val="none" w:sz="0" w:space="0" w:color="auto"/>
      </w:divBdr>
      <w:divsChild>
        <w:div w:id="1126967197">
          <w:marLeft w:val="0"/>
          <w:marRight w:val="0"/>
          <w:marTop w:val="0"/>
          <w:marBottom w:val="160"/>
          <w:divBdr>
            <w:top w:val="none" w:sz="0" w:space="0" w:color="auto"/>
            <w:left w:val="none" w:sz="0" w:space="0" w:color="auto"/>
            <w:bottom w:val="none" w:sz="0" w:space="0" w:color="auto"/>
            <w:right w:val="none" w:sz="0" w:space="0" w:color="auto"/>
          </w:divBdr>
        </w:div>
        <w:div w:id="1450123274">
          <w:marLeft w:val="0"/>
          <w:marRight w:val="0"/>
          <w:marTop w:val="0"/>
          <w:marBottom w:val="160"/>
          <w:divBdr>
            <w:top w:val="none" w:sz="0" w:space="0" w:color="auto"/>
            <w:left w:val="none" w:sz="0" w:space="0" w:color="auto"/>
            <w:bottom w:val="none" w:sz="0" w:space="0" w:color="auto"/>
            <w:right w:val="none" w:sz="0" w:space="0" w:color="auto"/>
          </w:divBdr>
        </w:div>
        <w:div w:id="522205550">
          <w:marLeft w:val="0"/>
          <w:marRight w:val="0"/>
          <w:marTop w:val="0"/>
          <w:marBottom w:val="160"/>
          <w:divBdr>
            <w:top w:val="none" w:sz="0" w:space="0" w:color="auto"/>
            <w:left w:val="none" w:sz="0" w:space="0" w:color="auto"/>
            <w:bottom w:val="none" w:sz="0" w:space="0" w:color="auto"/>
            <w:right w:val="none" w:sz="0" w:space="0" w:color="auto"/>
          </w:divBdr>
        </w:div>
      </w:divsChild>
    </w:div>
    <w:div w:id="1390762709">
      <w:bodyDiv w:val="1"/>
      <w:marLeft w:val="0"/>
      <w:marRight w:val="0"/>
      <w:marTop w:val="0"/>
      <w:marBottom w:val="0"/>
      <w:divBdr>
        <w:top w:val="none" w:sz="0" w:space="0" w:color="auto"/>
        <w:left w:val="none" w:sz="0" w:space="0" w:color="auto"/>
        <w:bottom w:val="none" w:sz="0" w:space="0" w:color="auto"/>
        <w:right w:val="none" w:sz="0" w:space="0" w:color="auto"/>
      </w:divBdr>
    </w:div>
    <w:div w:id="1471678187">
      <w:bodyDiv w:val="1"/>
      <w:marLeft w:val="0"/>
      <w:marRight w:val="0"/>
      <w:marTop w:val="0"/>
      <w:marBottom w:val="0"/>
      <w:divBdr>
        <w:top w:val="none" w:sz="0" w:space="0" w:color="auto"/>
        <w:left w:val="none" w:sz="0" w:space="0" w:color="auto"/>
        <w:bottom w:val="none" w:sz="0" w:space="0" w:color="auto"/>
        <w:right w:val="none" w:sz="0" w:space="0" w:color="auto"/>
      </w:divBdr>
      <w:divsChild>
        <w:div w:id="331952033">
          <w:marLeft w:val="0"/>
          <w:marRight w:val="0"/>
          <w:marTop w:val="0"/>
          <w:marBottom w:val="0"/>
          <w:divBdr>
            <w:top w:val="none" w:sz="0" w:space="0" w:color="auto"/>
            <w:left w:val="none" w:sz="0" w:space="0" w:color="auto"/>
            <w:bottom w:val="none" w:sz="0" w:space="0" w:color="auto"/>
            <w:right w:val="none" w:sz="0" w:space="0" w:color="auto"/>
          </w:divBdr>
        </w:div>
        <w:div w:id="1549146269">
          <w:marLeft w:val="0"/>
          <w:marRight w:val="0"/>
          <w:marTop w:val="0"/>
          <w:marBottom w:val="0"/>
          <w:divBdr>
            <w:top w:val="none" w:sz="0" w:space="0" w:color="auto"/>
            <w:left w:val="none" w:sz="0" w:space="0" w:color="auto"/>
            <w:bottom w:val="none" w:sz="0" w:space="0" w:color="auto"/>
            <w:right w:val="none" w:sz="0" w:space="0" w:color="auto"/>
          </w:divBdr>
        </w:div>
      </w:divsChild>
    </w:div>
    <w:div w:id="1496797806">
      <w:bodyDiv w:val="1"/>
      <w:marLeft w:val="0"/>
      <w:marRight w:val="0"/>
      <w:marTop w:val="0"/>
      <w:marBottom w:val="0"/>
      <w:divBdr>
        <w:top w:val="none" w:sz="0" w:space="0" w:color="auto"/>
        <w:left w:val="none" w:sz="0" w:space="0" w:color="auto"/>
        <w:bottom w:val="none" w:sz="0" w:space="0" w:color="auto"/>
        <w:right w:val="none" w:sz="0" w:space="0" w:color="auto"/>
      </w:divBdr>
    </w:div>
    <w:div w:id="1661929042">
      <w:bodyDiv w:val="1"/>
      <w:marLeft w:val="0"/>
      <w:marRight w:val="0"/>
      <w:marTop w:val="0"/>
      <w:marBottom w:val="0"/>
      <w:divBdr>
        <w:top w:val="none" w:sz="0" w:space="0" w:color="auto"/>
        <w:left w:val="none" w:sz="0" w:space="0" w:color="auto"/>
        <w:bottom w:val="none" w:sz="0" w:space="0" w:color="auto"/>
        <w:right w:val="none" w:sz="0" w:space="0" w:color="auto"/>
      </w:divBdr>
      <w:divsChild>
        <w:div w:id="1221401708">
          <w:marLeft w:val="0"/>
          <w:marRight w:val="0"/>
          <w:marTop w:val="0"/>
          <w:marBottom w:val="160"/>
          <w:divBdr>
            <w:top w:val="none" w:sz="0" w:space="0" w:color="auto"/>
            <w:left w:val="none" w:sz="0" w:space="0" w:color="auto"/>
            <w:bottom w:val="none" w:sz="0" w:space="0" w:color="auto"/>
            <w:right w:val="none" w:sz="0" w:space="0" w:color="auto"/>
          </w:divBdr>
        </w:div>
        <w:div w:id="1959291753">
          <w:marLeft w:val="0"/>
          <w:marRight w:val="0"/>
          <w:marTop w:val="0"/>
          <w:marBottom w:val="160"/>
          <w:divBdr>
            <w:top w:val="none" w:sz="0" w:space="0" w:color="auto"/>
            <w:left w:val="none" w:sz="0" w:space="0" w:color="auto"/>
            <w:bottom w:val="none" w:sz="0" w:space="0" w:color="auto"/>
            <w:right w:val="none" w:sz="0" w:space="0" w:color="auto"/>
          </w:divBdr>
        </w:div>
        <w:div w:id="1179394306">
          <w:marLeft w:val="0"/>
          <w:marRight w:val="0"/>
          <w:marTop w:val="0"/>
          <w:marBottom w:val="160"/>
          <w:divBdr>
            <w:top w:val="none" w:sz="0" w:space="0" w:color="auto"/>
            <w:left w:val="none" w:sz="0" w:space="0" w:color="auto"/>
            <w:bottom w:val="none" w:sz="0" w:space="0" w:color="auto"/>
            <w:right w:val="none" w:sz="0" w:space="0" w:color="auto"/>
          </w:divBdr>
        </w:div>
      </w:divsChild>
    </w:div>
    <w:div w:id="1786272649">
      <w:bodyDiv w:val="1"/>
      <w:marLeft w:val="0"/>
      <w:marRight w:val="0"/>
      <w:marTop w:val="0"/>
      <w:marBottom w:val="0"/>
      <w:divBdr>
        <w:top w:val="none" w:sz="0" w:space="0" w:color="auto"/>
        <w:left w:val="none" w:sz="0" w:space="0" w:color="auto"/>
        <w:bottom w:val="none" w:sz="0" w:space="0" w:color="auto"/>
        <w:right w:val="none" w:sz="0" w:space="0" w:color="auto"/>
      </w:divBdr>
    </w:div>
    <w:div w:id="2003848616">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secretariasenado.gov.co/senado/basedoc/ley_0489_1998_pr002.html"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wdbustosabogado@gmail.com"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hyperlink" Target="https://www.colombiacompra.gov.co/normativa-y-relatoria/conoce-la-relatoria"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funcionpublica.gov.co/eva/gestornormativo/norma.php?i=25678"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SharedWithUsers xmlns="a6cb9e4b-f1d1-4245-83ec-6cad768d538a">
      <UserInfo>
        <DisplayName>Poxta IOIP</DisplayName>
        <AccountId>719</AccountId>
        <AccountType/>
      </UserInfo>
    </SharedWithUsers>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E13505DD-BD8A-4C72-9BF3-E233AAE1D48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AD9C3222-BF49-44AC-8692-D6C79AF4CF8E}">
  <ds:schemaRefs>
    <ds:schemaRef ds:uri="http://schemas.openxmlformats.org/officeDocument/2006/bibliography"/>
  </ds:schemaRefs>
</ds:datastoreItem>
</file>

<file path=customXml/itemProps4.xml><?xml version="1.0" encoding="utf-8"?>
<ds:datastoreItem xmlns:ds="http://schemas.openxmlformats.org/officeDocument/2006/customXml" ds:itemID="{163618BE-28CB-4D69-955E-CDA788483BED}">
  <ds:schemaRefs>
    <ds:schemaRef ds:uri="http://schemas.openxmlformats.org/package/2006/metadata/core-properties"/>
    <ds:schemaRef ds:uri="9d85dbaf-23eb-4e57-a637-93dcacc8b1a1"/>
    <ds:schemaRef ds:uri="http://www.w3.org/XML/1998/namespace"/>
    <ds:schemaRef ds:uri="a6cb9e4b-f1d1-4245-83ec-6cad768d538a"/>
    <ds:schemaRef ds:uri="http://purl.org/dc/terms/"/>
    <ds:schemaRef ds:uri="http://schemas.microsoft.com/office/2006/documentManagement/types"/>
    <ds:schemaRef ds:uri="http://purl.org/dc/dcmitype/"/>
    <ds:schemaRef ds:uri="http://schemas.microsoft.com/office/2006/metadata/properties"/>
    <ds:schemaRef ds:uri="http://purl.org/dc/elements/1.1/"/>
    <ds:schemaRef ds:uri="http://schemas.microsoft.com/office/infopath/2007/PartnerControl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0</TotalTime>
  <Pages>25</Pages>
  <Words>8920</Words>
  <Characters>49062</Characters>
  <Application>Microsoft Office Word</Application>
  <DocSecurity>0</DocSecurity>
  <Lines>408</Lines>
  <Paragraphs>115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57867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2</cp:revision>
  <cp:lastPrinted>2025-02-25T15:45:00Z</cp:lastPrinted>
  <dcterms:created xsi:type="dcterms:W3CDTF">2025-10-06T20:14:00Z</dcterms:created>
  <dcterms:modified xsi:type="dcterms:W3CDTF">2025-10-06T20:14:00Z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