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AD6257" w14:textId="77777777" w:rsidR="0052446B" w:rsidRPr="00A815F8" w:rsidRDefault="0052446B" w:rsidP="00445813">
      <w:pPr>
        <w:snapToGrid w:val="0"/>
        <w:spacing w:after="0" w:line="240" w:lineRule="auto"/>
        <w:contextualSpacing/>
        <w:jc w:val="both"/>
        <w:rPr>
          <w:rFonts w:ascii="Verdana" w:eastAsia="Calibri" w:hAnsi="Verdana" w:cs="Arial"/>
          <w:b/>
          <w:bCs/>
          <w:lang w:val="es-ES" w:eastAsia="es-ES"/>
        </w:rPr>
      </w:pPr>
      <w:r w:rsidRPr="00A815F8">
        <w:rPr>
          <w:rFonts w:ascii="Verdana" w:eastAsia="Calibri" w:hAnsi="Verdana" w:cs="Arial"/>
          <w:b/>
          <w:bCs/>
          <w:lang w:val="es-ES" w:eastAsia="es-ES"/>
        </w:rPr>
        <w:t>LEY DE GARANTÍAS ELECTORALES – Finalidad</w:t>
      </w:r>
    </w:p>
    <w:p w14:paraId="43331FF3" w14:textId="77777777" w:rsidR="00B97117" w:rsidRPr="00445813" w:rsidRDefault="00B97117" w:rsidP="00445813">
      <w:pPr>
        <w:snapToGrid w:val="0"/>
        <w:spacing w:after="0" w:line="240" w:lineRule="auto"/>
        <w:contextualSpacing/>
        <w:jc w:val="both"/>
        <w:rPr>
          <w:rFonts w:ascii="Verdana" w:eastAsia="Calibri" w:hAnsi="Verdana" w:cs="Arial"/>
          <w:b/>
          <w:bCs/>
          <w:sz w:val="20"/>
          <w:szCs w:val="20"/>
          <w:lang w:val="es-ES" w:eastAsia="es-ES"/>
        </w:rPr>
      </w:pPr>
    </w:p>
    <w:p w14:paraId="6B83192F" w14:textId="32FB69EF" w:rsidR="00B97117" w:rsidRPr="00445813" w:rsidRDefault="00B97117" w:rsidP="00445813">
      <w:pPr>
        <w:tabs>
          <w:tab w:val="left" w:pos="426"/>
        </w:tabs>
        <w:snapToGrid w:val="0"/>
        <w:spacing w:after="0" w:line="240" w:lineRule="auto"/>
        <w:contextualSpacing/>
        <w:jc w:val="both"/>
        <w:rPr>
          <w:rFonts w:ascii="Verdana" w:eastAsia="Calibri" w:hAnsi="Verdana" w:cs="Arial"/>
          <w:sz w:val="20"/>
          <w:szCs w:val="20"/>
          <w:lang w:val="es-ES"/>
        </w:rPr>
      </w:pPr>
      <w:r w:rsidRPr="00445813">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445813">
        <w:rPr>
          <w:rFonts w:ascii="Verdana" w:eastAsia="Calibri" w:hAnsi="Verdana" w:cs="Arial"/>
          <w:sz w:val="20"/>
          <w:szCs w:val="20"/>
          <w:lang w:val="es-ES"/>
        </w:rPr>
        <w:t xml:space="preserve"> </w:t>
      </w:r>
    </w:p>
    <w:p w14:paraId="093A1E34" w14:textId="77777777" w:rsidR="0052446B" w:rsidRPr="00445813" w:rsidRDefault="0052446B" w:rsidP="00445813">
      <w:pPr>
        <w:snapToGrid w:val="0"/>
        <w:spacing w:after="0" w:line="240" w:lineRule="auto"/>
        <w:contextualSpacing/>
        <w:jc w:val="both"/>
        <w:rPr>
          <w:rFonts w:ascii="Verdana" w:eastAsia="Calibri" w:hAnsi="Verdana" w:cs="Arial"/>
          <w:b/>
          <w:bCs/>
          <w:sz w:val="20"/>
          <w:szCs w:val="20"/>
          <w:lang w:val="es-ES" w:eastAsia="es-ES"/>
        </w:rPr>
      </w:pPr>
    </w:p>
    <w:p w14:paraId="5E30DA56" w14:textId="77777777" w:rsidR="0052446B" w:rsidRPr="00A815F8" w:rsidRDefault="0052446B" w:rsidP="00445813">
      <w:pPr>
        <w:snapToGrid w:val="0"/>
        <w:spacing w:after="0" w:line="240" w:lineRule="auto"/>
        <w:contextualSpacing/>
        <w:jc w:val="both"/>
        <w:rPr>
          <w:rFonts w:ascii="Verdana" w:eastAsia="Calibri" w:hAnsi="Verdana" w:cs="Arial"/>
          <w:b/>
          <w:bCs/>
          <w:lang w:val="es-ES" w:eastAsia="es-ES"/>
        </w:rPr>
      </w:pPr>
      <w:r w:rsidRPr="00A815F8">
        <w:rPr>
          <w:rFonts w:ascii="Verdana" w:eastAsia="Calibri" w:hAnsi="Verdana" w:cs="Arial"/>
          <w:b/>
          <w:bCs/>
          <w:lang w:val="es-ES" w:eastAsia="es-ES"/>
        </w:rPr>
        <w:t>LEY DE GARANTÍAS ELECTORALES ‒ Restricciones ‒ Contratación ‒ Tipos de elección</w:t>
      </w:r>
    </w:p>
    <w:p w14:paraId="2FAA1EB9" w14:textId="77777777" w:rsidR="0052446B" w:rsidRPr="00445813" w:rsidRDefault="0052446B" w:rsidP="00445813">
      <w:pPr>
        <w:snapToGrid w:val="0"/>
        <w:spacing w:after="0" w:line="240" w:lineRule="auto"/>
        <w:contextualSpacing/>
        <w:jc w:val="both"/>
        <w:rPr>
          <w:rFonts w:ascii="Verdana" w:eastAsia="Calibri" w:hAnsi="Verdana" w:cs="Arial"/>
          <w:b/>
          <w:bCs/>
          <w:sz w:val="20"/>
          <w:szCs w:val="20"/>
          <w:lang w:val="es-ES" w:eastAsia="es-ES"/>
        </w:rPr>
      </w:pPr>
    </w:p>
    <w:p w14:paraId="329A7B1A" w14:textId="77777777" w:rsidR="00B97117" w:rsidRPr="00445813" w:rsidRDefault="00B97117" w:rsidP="00445813">
      <w:pPr>
        <w:snapToGrid w:val="0"/>
        <w:spacing w:after="0" w:line="240" w:lineRule="auto"/>
        <w:contextualSpacing/>
        <w:jc w:val="both"/>
        <w:rPr>
          <w:rFonts w:ascii="Verdana" w:eastAsia="Arial" w:hAnsi="Verdana" w:cs="Arial"/>
          <w:sz w:val="20"/>
          <w:szCs w:val="20"/>
          <w:lang w:val="es-ES" w:eastAsia="es-ES" w:bidi="es-ES"/>
        </w:rPr>
      </w:pPr>
      <w:r w:rsidRPr="00445813">
        <w:rPr>
          <w:rFonts w:ascii="Verdana" w:eastAsia="Arial" w:hAnsi="Verdana" w:cs="Arial"/>
          <w:sz w:val="20"/>
          <w:szCs w:val="20"/>
          <w:lang w:val="es-ES" w:eastAsia="es-ES" w:bidi="es-ES"/>
        </w:rPr>
        <w:t xml:space="preserve">De conformidad con lo anterior, la Ley 996 de 2005 establece dos (2) tipos de restricciones en materia de contratación, las cuales coinciden parcialmente. </w:t>
      </w:r>
      <w:r w:rsidRPr="00445813">
        <w:rPr>
          <w:rFonts w:ascii="Verdana" w:eastAsia="Arial" w:hAnsi="Verdana" w:cs="Arial"/>
          <w:i/>
          <w:sz w:val="20"/>
          <w:szCs w:val="20"/>
          <w:lang w:val="es-ES" w:eastAsia="es-ES" w:bidi="es-ES"/>
        </w:rPr>
        <w:t>En primer lugar</w:t>
      </w:r>
      <w:r w:rsidRPr="00445813">
        <w:rPr>
          <w:rFonts w:ascii="Verdana" w:eastAsia="Arial" w:hAnsi="Verdana" w:cs="Arial"/>
          <w:sz w:val="20"/>
          <w:szCs w:val="20"/>
          <w:lang w:val="es-ES" w:eastAsia="es-ES" w:bidi="es-ES"/>
        </w:rPr>
        <w:t xml:space="preserve">, la del artículo 33 que aplica solo respecto de las elecciones presidenciales, en virtud de la cual queda proscrita la </w:t>
      </w:r>
      <w:r w:rsidRPr="00445813">
        <w:rPr>
          <w:rFonts w:ascii="Verdana" w:eastAsia="Arial" w:hAnsi="Verdana" w:cs="Arial"/>
          <w:i/>
          <w:iCs/>
          <w:sz w:val="20"/>
          <w:szCs w:val="20"/>
          <w:lang w:val="es-ES" w:eastAsia="es-ES" w:bidi="es-ES"/>
        </w:rPr>
        <w:t>contratación directa</w:t>
      </w:r>
      <w:r w:rsidRPr="00445813">
        <w:rPr>
          <w:rFonts w:ascii="Verdana" w:eastAsia="Arial" w:hAnsi="Verdana" w:cs="Arial"/>
          <w:sz w:val="20"/>
          <w:szCs w:val="20"/>
          <w:lang w:val="es-ES" w:eastAsia="es-ES" w:bidi="es-ES"/>
        </w:rPr>
        <w:t xml:space="preserve">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445813">
        <w:rPr>
          <w:rFonts w:ascii="Verdana" w:eastAsia="Arial" w:hAnsi="Verdana" w:cs="Arial"/>
          <w:i/>
          <w:sz w:val="20"/>
          <w:szCs w:val="20"/>
          <w:lang w:val="es-ES" w:eastAsia="es-ES" w:bidi="es-ES"/>
        </w:rPr>
        <w:t>En segundo lugar</w:t>
      </w:r>
      <w:r w:rsidRPr="00445813">
        <w:rPr>
          <w:rFonts w:ascii="Verdana" w:eastAsia="Arial" w:hAnsi="Verdana" w:cs="Arial"/>
          <w:sz w:val="20"/>
          <w:szCs w:val="20"/>
          <w:lang w:val="es-ES" w:eastAsia="es-ES" w:bidi="es-ES"/>
        </w:rPr>
        <w:t xml:space="preserve">, también se encuentra la prohibición del parágrafo del artículo 38, el cual debe aplicarse respecto de cualquier tipo de contienda electoral, y que prohíbe la celebración de </w:t>
      </w:r>
      <w:r w:rsidRPr="00445813">
        <w:rPr>
          <w:rFonts w:ascii="Verdana" w:eastAsia="Arial" w:hAnsi="Verdana" w:cs="Arial"/>
          <w:i/>
          <w:iCs/>
          <w:sz w:val="20"/>
          <w:szCs w:val="20"/>
          <w:lang w:val="es-ES" w:eastAsia="es-ES" w:bidi="es-ES"/>
        </w:rPr>
        <w:t>convenios interadministrativos</w:t>
      </w:r>
      <w:r w:rsidRPr="00445813">
        <w:rPr>
          <w:rFonts w:ascii="Verdana" w:eastAsia="Arial" w:hAnsi="Verdana" w:cs="Arial"/>
          <w:sz w:val="20"/>
          <w:szCs w:val="20"/>
          <w:lang w:val="es-ES" w:eastAsia="es-ES" w:bidi="es-ES"/>
        </w:rPr>
        <w:t xml:space="preserve"> que impliquen la ejecución de recursos públicos dentro de los cuatro (4) meses anteriores a la respectiva jornada de votaciones.</w:t>
      </w:r>
    </w:p>
    <w:p w14:paraId="4EF67074" w14:textId="77777777" w:rsidR="00B97117" w:rsidRPr="00445813" w:rsidRDefault="00B97117" w:rsidP="00445813">
      <w:pPr>
        <w:snapToGrid w:val="0"/>
        <w:spacing w:after="0" w:line="240" w:lineRule="auto"/>
        <w:contextualSpacing/>
        <w:jc w:val="both"/>
        <w:rPr>
          <w:rFonts w:ascii="Verdana" w:eastAsia="Calibri" w:hAnsi="Verdana" w:cs="Arial"/>
          <w:b/>
          <w:bCs/>
          <w:sz w:val="20"/>
          <w:szCs w:val="20"/>
          <w:lang w:val="es-ES" w:eastAsia="es-ES"/>
        </w:rPr>
      </w:pPr>
    </w:p>
    <w:p w14:paraId="01F2B594" w14:textId="0C68EF8C" w:rsidR="0052446B" w:rsidRPr="00A815F8" w:rsidRDefault="0052446B" w:rsidP="00445813">
      <w:pPr>
        <w:snapToGrid w:val="0"/>
        <w:spacing w:after="0" w:line="240" w:lineRule="auto"/>
        <w:contextualSpacing/>
        <w:jc w:val="both"/>
        <w:rPr>
          <w:rFonts w:ascii="Verdana" w:eastAsia="Calibri" w:hAnsi="Verdana" w:cs="Arial"/>
          <w:b/>
          <w:bCs/>
          <w:lang w:val="es-ES" w:eastAsia="es-ES"/>
        </w:rPr>
      </w:pPr>
      <w:r w:rsidRPr="00A815F8">
        <w:rPr>
          <w:rFonts w:ascii="Verdana" w:eastAsia="Calibri" w:hAnsi="Verdana" w:cs="Arial"/>
          <w:b/>
          <w:bCs/>
          <w:lang w:val="es-ES" w:eastAsia="es-ES"/>
        </w:rPr>
        <w:t>LEY DE GARANTÍAS ELECTORALES ‒ Artículo 33 ‒ Ámbito material</w:t>
      </w:r>
      <w:r w:rsidR="00B97117" w:rsidRPr="00A815F8">
        <w:rPr>
          <w:rFonts w:ascii="Verdana" w:eastAsia="Calibri" w:hAnsi="Verdana" w:cs="Arial"/>
          <w:b/>
          <w:bCs/>
          <w:lang w:val="es-ES" w:eastAsia="es-ES"/>
        </w:rPr>
        <w:t xml:space="preserve"> y sujetos</w:t>
      </w:r>
    </w:p>
    <w:p w14:paraId="0E58C6F8" w14:textId="77777777" w:rsidR="00B97117" w:rsidRPr="00445813" w:rsidRDefault="00B97117" w:rsidP="00445813">
      <w:pPr>
        <w:snapToGrid w:val="0"/>
        <w:spacing w:after="0" w:line="240" w:lineRule="auto"/>
        <w:contextualSpacing/>
        <w:jc w:val="both"/>
        <w:rPr>
          <w:rFonts w:ascii="Verdana" w:eastAsia="Calibri" w:hAnsi="Verdana" w:cs="Arial"/>
          <w:b/>
          <w:bCs/>
          <w:sz w:val="20"/>
          <w:szCs w:val="20"/>
          <w:lang w:val="es-ES" w:eastAsia="es-ES"/>
        </w:rPr>
      </w:pPr>
    </w:p>
    <w:p w14:paraId="69FDFC92" w14:textId="63B5B429" w:rsidR="00B97117" w:rsidRPr="00445813" w:rsidRDefault="00B97117" w:rsidP="00445813">
      <w:pPr>
        <w:snapToGrid w:val="0"/>
        <w:spacing w:after="0" w:line="240" w:lineRule="auto"/>
        <w:contextualSpacing/>
        <w:jc w:val="both"/>
        <w:rPr>
          <w:rFonts w:ascii="Verdana" w:eastAsia="Times New Roman" w:hAnsi="Verdana" w:cs="Arial"/>
          <w:sz w:val="20"/>
          <w:szCs w:val="20"/>
          <w:lang w:val="es-ES"/>
        </w:rPr>
      </w:pPr>
      <w:r w:rsidRPr="00445813">
        <w:rPr>
          <w:rFonts w:ascii="Verdana" w:eastAsia="Times New Roman" w:hAnsi="Verdana" w:cs="Arial"/>
          <w:sz w:val="20"/>
          <w:szCs w:val="20"/>
          <w:lang w:val="es-ES"/>
        </w:rPr>
        <w:t xml:space="preserve">De lo anterior se desprende que la restricción aplica, sin perjuicio de las excepciones establecidas en la misma ley, para celebrar </w:t>
      </w:r>
      <w:r w:rsidRPr="00445813">
        <w:rPr>
          <w:rFonts w:ascii="Verdana" w:eastAsia="Times New Roman" w:hAnsi="Verdana" w:cs="Arial"/>
          <w:i/>
          <w:iCs/>
          <w:sz w:val="20"/>
          <w:szCs w:val="20"/>
          <w:lang w:val="es-ES"/>
        </w:rPr>
        <w:t>cualquier contrato de forma directa</w:t>
      </w:r>
      <w:r w:rsidRPr="00445813">
        <w:rPr>
          <w:rFonts w:ascii="Verdana" w:eastAsia="Times New Roman" w:hAnsi="Verdana" w:cs="Arial"/>
          <w:sz w:val="20"/>
          <w:szCs w:val="20"/>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0F929001" w14:textId="77777777" w:rsidR="00A815F8" w:rsidRDefault="00A815F8" w:rsidP="00445813">
      <w:pPr>
        <w:snapToGrid w:val="0"/>
        <w:spacing w:after="0" w:line="240" w:lineRule="auto"/>
        <w:contextualSpacing/>
        <w:jc w:val="both"/>
        <w:rPr>
          <w:rFonts w:ascii="Verdana" w:eastAsia="Times New Roman" w:hAnsi="Verdana" w:cs="Arial"/>
          <w:sz w:val="20"/>
          <w:szCs w:val="20"/>
          <w:lang w:val="es-ES"/>
        </w:rPr>
      </w:pPr>
    </w:p>
    <w:p w14:paraId="7C3A6658" w14:textId="6C0B7BA0" w:rsidR="00B97117" w:rsidRPr="00445813" w:rsidRDefault="00B97117" w:rsidP="00445813">
      <w:pPr>
        <w:snapToGrid w:val="0"/>
        <w:spacing w:after="0" w:line="240" w:lineRule="auto"/>
        <w:contextualSpacing/>
        <w:jc w:val="both"/>
        <w:rPr>
          <w:rFonts w:ascii="Verdana" w:eastAsia="Times New Roman" w:hAnsi="Verdana" w:cs="Arial"/>
          <w:sz w:val="20"/>
          <w:szCs w:val="20"/>
          <w:lang w:val="es-ES"/>
        </w:rPr>
      </w:pPr>
      <w:r w:rsidRPr="00445813">
        <w:rPr>
          <w:rFonts w:ascii="Verdana" w:eastAsia="Times New Roman" w:hAnsi="Verdana" w:cs="Arial"/>
          <w:sz w:val="20"/>
          <w:szCs w:val="20"/>
          <w:lang w:val="es-ES"/>
        </w:rPr>
        <w:t>[…]</w:t>
      </w:r>
    </w:p>
    <w:p w14:paraId="37B594A8" w14:textId="77777777" w:rsidR="00A815F8" w:rsidRDefault="00A815F8" w:rsidP="00445813">
      <w:pPr>
        <w:snapToGrid w:val="0"/>
        <w:spacing w:after="0" w:line="240" w:lineRule="auto"/>
        <w:contextualSpacing/>
        <w:jc w:val="both"/>
        <w:rPr>
          <w:rFonts w:ascii="Verdana" w:eastAsia="Arial" w:hAnsi="Verdana" w:cs="Arial"/>
          <w:color w:val="000000" w:themeColor="text1"/>
          <w:sz w:val="20"/>
          <w:szCs w:val="20"/>
          <w:lang w:val="es-ES"/>
        </w:rPr>
      </w:pPr>
    </w:p>
    <w:p w14:paraId="4055B710" w14:textId="04AB38FA" w:rsidR="00B97117" w:rsidRPr="00445813" w:rsidRDefault="00B97117" w:rsidP="00445813">
      <w:pPr>
        <w:snapToGrid w:val="0"/>
        <w:spacing w:after="0" w:line="240" w:lineRule="auto"/>
        <w:contextualSpacing/>
        <w:jc w:val="both"/>
        <w:rPr>
          <w:rFonts w:ascii="Verdana" w:eastAsia="Arial" w:hAnsi="Verdana" w:cs="Arial"/>
          <w:bCs/>
          <w:color w:val="000000" w:themeColor="text1"/>
          <w:sz w:val="20"/>
          <w:szCs w:val="20"/>
          <w:lang w:val="es-ES"/>
        </w:rPr>
      </w:pPr>
      <w:r w:rsidRPr="00445813">
        <w:rPr>
          <w:rFonts w:ascii="Verdana" w:eastAsia="Arial" w:hAnsi="Verdana" w:cs="Arial"/>
          <w:color w:val="000000" w:themeColor="text1"/>
          <w:sz w:val="20"/>
          <w:szCs w:val="20"/>
          <w:lang w:val="es-ES"/>
        </w:rPr>
        <w:t xml:space="preserve">Por lo tanto, la restricción del artículo 33 prevista en la Ley 996 de 2005, teniendo en cuenta la finalidad de la ley de garantías electorales, cobija a </w:t>
      </w:r>
      <w:r w:rsidRPr="00445813">
        <w:rPr>
          <w:rFonts w:ascii="Verdana" w:eastAsia="Arial" w:hAnsi="Verdana" w:cs="Arial"/>
          <w:i/>
          <w:iCs/>
          <w:color w:val="000000" w:themeColor="text1"/>
          <w:sz w:val="20"/>
          <w:szCs w:val="20"/>
          <w:lang w:val="es-ES"/>
        </w:rPr>
        <w:t xml:space="preserve">cualquier </w:t>
      </w:r>
      <w:r w:rsidRPr="00445813">
        <w:rPr>
          <w:rFonts w:ascii="Verdana" w:eastAsia="Arial" w:hAnsi="Verdana" w:cs="Arial"/>
          <w:color w:val="000000" w:themeColor="text1"/>
          <w:sz w:val="20"/>
          <w:szCs w:val="20"/>
          <w:lang w:val="es-ES"/>
        </w:rPr>
        <w:t xml:space="preserve">ente público que pueda a través de la contratación directa romper el equilibrio entre los partidos y los </w:t>
      </w:r>
      <w:r w:rsidRPr="00445813">
        <w:rPr>
          <w:rFonts w:ascii="Verdana" w:eastAsia="Arial" w:hAnsi="Verdana" w:cs="Arial"/>
          <w:color w:val="000000" w:themeColor="text1"/>
          <w:sz w:val="20"/>
          <w:szCs w:val="20"/>
          <w:lang w:val="es-ES"/>
        </w:rPr>
        <w:lastRenderedPageBreak/>
        <w:t>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6281339F" w14:textId="77777777" w:rsidR="0052446B" w:rsidRPr="00445813" w:rsidRDefault="0052446B" w:rsidP="00445813">
      <w:pPr>
        <w:snapToGrid w:val="0"/>
        <w:spacing w:after="0" w:line="240" w:lineRule="auto"/>
        <w:contextualSpacing/>
        <w:jc w:val="both"/>
        <w:rPr>
          <w:rFonts w:ascii="Verdana" w:eastAsia="Calibri" w:hAnsi="Verdana" w:cs="Arial"/>
          <w:b/>
          <w:bCs/>
          <w:sz w:val="20"/>
          <w:szCs w:val="20"/>
          <w:lang w:val="es-ES" w:eastAsia="es-ES"/>
        </w:rPr>
      </w:pPr>
    </w:p>
    <w:p w14:paraId="70AA8360" w14:textId="34CFCF8E" w:rsidR="0052446B" w:rsidRPr="00A815F8" w:rsidRDefault="0052446B" w:rsidP="00445813">
      <w:pPr>
        <w:snapToGrid w:val="0"/>
        <w:spacing w:after="0" w:line="240" w:lineRule="auto"/>
        <w:contextualSpacing/>
        <w:jc w:val="both"/>
        <w:rPr>
          <w:rFonts w:ascii="Verdana" w:eastAsia="Calibri" w:hAnsi="Verdana" w:cs="Arial"/>
          <w:b/>
          <w:bCs/>
          <w:lang w:val="es-ES" w:eastAsia="es-ES"/>
        </w:rPr>
      </w:pPr>
      <w:r w:rsidRPr="00A815F8">
        <w:rPr>
          <w:rFonts w:ascii="Verdana" w:eastAsia="Calibri" w:hAnsi="Verdana" w:cs="Arial"/>
          <w:b/>
          <w:bCs/>
          <w:lang w:val="es-ES" w:eastAsia="es-ES"/>
        </w:rPr>
        <w:t>ESQUEMAS ASOCIATIVOS TERRITORIALES –</w:t>
      </w:r>
      <w:r w:rsidR="00B97117" w:rsidRPr="00A815F8">
        <w:rPr>
          <w:rFonts w:ascii="Verdana" w:eastAsia="Calibri" w:hAnsi="Verdana" w:cs="Arial"/>
          <w:b/>
          <w:bCs/>
          <w:lang w:val="es-ES" w:eastAsia="es-ES"/>
        </w:rPr>
        <w:t xml:space="preserve"> </w:t>
      </w:r>
      <w:r w:rsidRPr="00A815F8">
        <w:rPr>
          <w:rFonts w:ascii="Verdana" w:eastAsia="Calibri" w:hAnsi="Verdana" w:cs="Arial"/>
          <w:b/>
          <w:bCs/>
          <w:lang w:val="es-ES" w:eastAsia="es-ES"/>
        </w:rPr>
        <w:t>Régimen contractual</w:t>
      </w:r>
      <w:r w:rsidR="00B97117" w:rsidRPr="00A815F8">
        <w:rPr>
          <w:rFonts w:ascii="Verdana" w:eastAsia="Calibri" w:hAnsi="Verdana" w:cs="Arial"/>
          <w:b/>
          <w:bCs/>
          <w:lang w:val="es-ES" w:eastAsia="es-ES"/>
        </w:rPr>
        <w:t xml:space="preserve"> </w:t>
      </w:r>
      <w:r w:rsidR="00B97117" w:rsidRPr="00A815F8">
        <w:rPr>
          <w:rFonts w:ascii="Verdana" w:eastAsia="Calibri" w:hAnsi="Verdana" w:cs="Arial"/>
          <w:b/>
          <w:bCs/>
          <w:lang w:val="es-ES" w:eastAsia="es-ES"/>
        </w:rPr>
        <w:t>– Conformación</w:t>
      </w:r>
      <w:r w:rsidR="00B97117" w:rsidRPr="00A815F8">
        <w:rPr>
          <w:rFonts w:ascii="Verdana" w:eastAsia="Calibri" w:hAnsi="Verdana" w:cs="Arial"/>
          <w:b/>
          <w:bCs/>
          <w:lang w:val="es-ES" w:eastAsia="es-ES"/>
        </w:rPr>
        <w:t xml:space="preserve"> </w:t>
      </w:r>
      <w:r w:rsidR="00B97117" w:rsidRPr="00A815F8">
        <w:rPr>
          <w:rFonts w:ascii="Verdana" w:eastAsia="Calibri" w:hAnsi="Verdana" w:cs="Arial"/>
          <w:b/>
          <w:bCs/>
          <w:lang w:val="es-ES" w:eastAsia="es-ES"/>
        </w:rPr>
        <w:t>–</w:t>
      </w:r>
      <w:r w:rsidR="00B97117" w:rsidRPr="00A815F8">
        <w:rPr>
          <w:rFonts w:ascii="Verdana" w:eastAsia="Calibri" w:hAnsi="Verdana" w:cs="Arial"/>
          <w:b/>
          <w:bCs/>
          <w:lang w:val="es-ES" w:eastAsia="es-ES"/>
        </w:rPr>
        <w:t xml:space="preserve"> Convenios interadministrativos</w:t>
      </w:r>
    </w:p>
    <w:p w14:paraId="354B42E2" w14:textId="77777777" w:rsidR="00B97117" w:rsidRPr="00445813" w:rsidRDefault="00B97117" w:rsidP="00445813">
      <w:pPr>
        <w:snapToGrid w:val="0"/>
        <w:spacing w:after="0" w:line="240" w:lineRule="auto"/>
        <w:contextualSpacing/>
        <w:jc w:val="both"/>
        <w:rPr>
          <w:rFonts w:ascii="Verdana" w:eastAsia="Calibri" w:hAnsi="Verdana" w:cs="Arial"/>
          <w:b/>
          <w:bCs/>
          <w:sz w:val="20"/>
          <w:szCs w:val="20"/>
          <w:lang w:val="es-ES" w:eastAsia="es-ES"/>
        </w:rPr>
      </w:pPr>
    </w:p>
    <w:p w14:paraId="6FC85C8E" w14:textId="12435CE2" w:rsidR="00B97117" w:rsidRPr="00445813" w:rsidRDefault="00B97117" w:rsidP="00445813">
      <w:pPr>
        <w:pStyle w:val="BodyText"/>
        <w:snapToGrid w:val="0"/>
        <w:spacing w:after="0" w:line="240" w:lineRule="auto"/>
        <w:ind w:right="108"/>
        <w:contextualSpacing/>
        <w:jc w:val="both"/>
        <w:rPr>
          <w:rFonts w:ascii="Verdana" w:eastAsia="Verdana" w:hAnsi="Verdana" w:cs="Verdana"/>
          <w:sz w:val="20"/>
          <w:szCs w:val="20"/>
          <w:lang w:val="es-ES"/>
        </w:rPr>
      </w:pPr>
      <w:r w:rsidRPr="00445813">
        <w:rPr>
          <w:rFonts w:ascii="Verdana" w:eastAsia="Verdana" w:hAnsi="Verdana" w:cs="Verdana"/>
          <w:sz w:val="20"/>
          <w:szCs w:val="20"/>
          <w:lang w:val="es-ES"/>
        </w:rPr>
        <w:t>En cuanto a la manera como se conforman las asociaciones de municipios, tanto la Ley 136 de 1994 –artículo 150–, como la Ley 1454 de 2011 –artículo 14–, establecen que se hace a través de convenios, en los términos indicados en dichas disposiciones. El parágrafo del citado artículo 17 de la Ley 1454 de 2011 señala que,</w:t>
      </w:r>
      <w:r w:rsidRPr="00445813">
        <w:rPr>
          <w:rFonts w:ascii="Verdana" w:eastAsia="Verdana" w:hAnsi="Verdana" w:cs="Verdana"/>
          <w:b/>
          <w:bCs/>
          <w:sz w:val="20"/>
          <w:szCs w:val="20"/>
          <w:lang w:val="es-ES"/>
        </w:rPr>
        <w:t xml:space="preserve"> </w:t>
      </w:r>
      <w:r w:rsidRPr="00445813">
        <w:rPr>
          <w:rFonts w:ascii="Verdana" w:eastAsia="Verdana" w:hAnsi="Verdana" w:cs="Verdana"/>
          <w:sz w:val="20"/>
          <w:szCs w:val="20"/>
          <w:lang w:val="es-ES"/>
        </w:rPr>
        <w:t xml:space="preserve">en concordancia con lo previsto en el artículo 95 de la Ley 489 de 1998, las Entidades Territoriales pueden seguir asociándose mediante la celebración de convenios interadministrativos o mediante la conformación de personas jurídicas de derecho público o derecho privado. De esta manera, se entiende que la suscripción de convenios interadministrativos es uno de los mecanismos para que las entidades territoriales se asocien. </w:t>
      </w:r>
    </w:p>
    <w:p w14:paraId="2DB018D0" w14:textId="77777777" w:rsidR="00445813" w:rsidRDefault="00445813" w:rsidP="00445813">
      <w:pPr>
        <w:pStyle w:val="paragraph"/>
        <w:shd w:val="clear" w:color="auto" w:fill="FFFFFF"/>
        <w:snapToGrid w:val="0"/>
        <w:spacing w:before="0" w:beforeAutospacing="0" w:after="0" w:afterAutospacing="0"/>
        <w:contextualSpacing/>
        <w:jc w:val="both"/>
        <w:textAlignment w:val="baseline"/>
        <w:rPr>
          <w:rStyle w:val="normaltextrun"/>
          <w:rFonts w:ascii="Verdana" w:hAnsi="Verdana" w:cs="Arial"/>
          <w:color w:val="000000"/>
          <w:sz w:val="20"/>
          <w:szCs w:val="20"/>
          <w:lang w:val="es-ES"/>
        </w:rPr>
      </w:pPr>
    </w:p>
    <w:p w14:paraId="7493ABB1" w14:textId="721BC060" w:rsidR="00B97117" w:rsidRPr="00445813" w:rsidRDefault="00B97117" w:rsidP="00445813">
      <w:pPr>
        <w:pStyle w:val="paragraph"/>
        <w:shd w:val="clear" w:color="auto" w:fill="FFFFFF"/>
        <w:snapToGrid w:val="0"/>
        <w:spacing w:before="0" w:beforeAutospacing="0" w:after="0" w:afterAutospacing="0"/>
        <w:contextualSpacing/>
        <w:jc w:val="both"/>
        <w:textAlignment w:val="baseline"/>
        <w:rPr>
          <w:rStyle w:val="normaltextrun"/>
          <w:rFonts w:ascii="Verdana" w:eastAsia="Verdana" w:hAnsi="Verdana" w:cs="Arial"/>
          <w:color w:val="000000"/>
          <w:sz w:val="20"/>
          <w:szCs w:val="20"/>
          <w:lang w:val="es-ES"/>
        </w:rPr>
      </w:pPr>
      <w:r w:rsidRPr="00445813">
        <w:rPr>
          <w:rStyle w:val="normaltextrun"/>
          <w:rFonts w:ascii="Verdana" w:hAnsi="Verdana" w:cs="Arial"/>
          <w:color w:val="000000"/>
          <w:sz w:val="20"/>
          <w:szCs w:val="20"/>
          <w:lang w:val="es-ES"/>
        </w:rPr>
        <w:t xml:space="preserve">Dicho lo anterior, en relación con la naturaleza jurídica de las asociaciones de municipios, puede afirmarse que su régimen de contratación es el general. Lo anterior se desprende de lo previsto en el numeral 1 del artículo 2 de la Ley 80 de 1993, que también incluyó como parte de las Entidades Estatales sujetas al EGCAP a </w:t>
      </w:r>
      <w:r w:rsidRPr="00445813">
        <w:rPr>
          <w:rStyle w:val="normaltextrun"/>
          <w:rFonts w:ascii="Verdana" w:hAnsi="Verdana" w:cs="Arial"/>
          <w:i/>
          <w:iCs/>
          <w:color w:val="000000"/>
          <w:sz w:val="20"/>
          <w:szCs w:val="20"/>
          <w:lang w:val="es-ES"/>
        </w:rPr>
        <w:t>las asociaciones de municipios</w:t>
      </w:r>
      <w:r w:rsidRPr="00445813">
        <w:rPr>
          <w:rStyle w:val="normaltextrun"/>
          <w:rFonts w:ascii="Verdana" w:hAnsi="Verdana" w:cs="Arial"/>
          <w:color w:val="000000"/>
          <w:sz w:val="20"/>
          <w:szCs w:val="20"/>
          <w:lang w:val="es-ES"/>
        </w:rPr>
        <w:t>. Así las cosas, el Estatuto General de Contratación de la Administración Pública establece que las asociaciones de municipios son entidades estatales para efectos contractuales, razón por la cual se someten a esta normativa.  </w:t>
      </w:r>
      <w:r w:rsidRPr="00445813">
        <w:rPr>
          <w:rStyle w:val="eop"/>
          <w:rFonts w:ascii="Verdana" w:eastAsia="Verdana" w:hAnsi="Verdana" w:cs="Arial"/>
          <w:color w:val="000000"/>
          <w:sz w:val="20"/>
          <w:szCs w:val="20"/>
          <w:lang w:val="es-ES"/>
        </w:rPr>
        <w:t> </w:t>
      </w:r>
      <w:r w:rsidRPr="00445813">
        <w:rPr>
          <w:rStyle w:val="normaltextrun"/>
          <w:rFonts w:ascii="Verdana" w:hAnsi="Verdana" w:cs="Arial"/>
          <w:color w:val="000000"/>
          <w:sz w:val="20"/>
          <w:szCs w:val="20"/>
          <w:lang w:val="es-ES"/>
        </w:rPr>
        <w:t>De forma más precisa, el artículo 10 de la Ley 1150 de 2007 establece que “Las cooperativas, las asociaciones conformadas por entidades territoriales y en general los entes solidarios de carácter público estarán sometidos a las disposiciones del Estatuto General de Contratación de la Administración Pública […]”. Dicho lo anterior, resulta claro que el régimen contractual de las asociaciones de municipios no es especial, puesto que por mandato legal se someten al EGCAP.</w:t>
      </w:r>
    </w:p>
    <w:p w14:paraId="7D63F8B0" w14:textId="77777777" w:rsidR="0052446B" w:rsidRPr="00445813" w:rsidRDefault="0052446B" w:rsidP="00445813">
      <w:pPr>
        <w:snapToGrid w:val="0"/>
        <w:spacing w:after="0" w:line="240" w:lineRule="auto"/>
        <w:contextualSpacing/>
        <w:jc w:val="both"/>
        <w:rPr>
          <w:rFonts w:ascii="Verdana" w:eastAsia="Calibri" w:hAnsi="Verdana" w:cs="Arial"/>
          <w:b/>
          <w:bCs/>
          <w:sz w:val="20"/>
          <w:szCs w:val="20"/>
          <w:lang w:val="es-ES" w:eastAsia="es-ES"/>
        </w:rPr>
      </w:pPr>
    </w:p>
    <w:p w14:paraId="3800BD73" w14:textId="30CC2876" w:rsidR="0052446B" w:rsidRPr="00A815F8" w:rsidRDefault="0052446B" w:rsidP="00445813">
      <w:pPr>
        <w:snapToGrid w:val="0"/>
        <w:spacing w:after="0" w:line="240" w:lineRule="auto"/>
        <w:contextualSpacing/>
        <w:jc w:val="both"/>
        <w:rPr>
          <w:rFonts w:ascii="Verdana" w:eastAsia="Calibri" w:hAnsi="Verdana" w:cs="Arial"/>
          <w:b/>
          <w:bCs/>
          <w:lang w:val="es-ES" w:eastAsia="es-ES"/>
        </w:rPr>
      </w:pPr>
      <w:r w:rsidRPr="00A815F8">
        <w:rPr>
          <w:rFonts w:ascii="Verdana" w:eastAsia="Calibri" w:hAnsi="Verdana" w:cs="Arial"/>
          <w:b/>
          <w:bCs/>
          <w:lang w:val="es-ES" w:eastAsia="es-ES"/>
        </w:rPr>
        <w:t xml:space="preserve">LEY 99 DE 1993 – Artículo 111 – </w:t>
      </w:r>
      <w:r w:rsidR="00F74D34" w:rsidRPr="00A815F8">
        <w:rPr>
          <w:rFonts w:ascii="Verdana" w:eastAsia="Calibri" w:hAnsi="Verdana" w:cs="Arial"/>
          <w:b/>
          <w:bCs/>
          <w:lang w:val="es-ES" w:eastAsia="es-ES"/>
        </w:rPr>
        <w:t xml:space="preserve">Ley de garantías </w:t>
      </w:r>
      <w:r w:rsidR="00F74D34" w:rsidRPr="00A815F8">
        <w:rPr>
          <w:rFonts w:ascii="Verdana" w:eastAsia="Calibri" w:hAnsi="Verdana" w:cs="Arial"/>
          <w:b/>
          <w:bCs/>
          <w:lang w:val="es-ES" w:eastAsia="es-ES"/>
        </w:rPr>
        <w:t>–</w:t>
      </w:r>
      <w:r w:rsidR="00F74D34" w:rsidRPr="00A815F8">
        <w:rPr>
          <w:rFonts w:ascii="Verdana" w:eastAsia="Calibri" w:hAnsi="Verdana" w:cs="Arial"/>
          <w:b/>
          <w:bCs/>
          <w:lang w:val="es-ES" w:eastAsia="es-ES"/>
        </w:rPr>
        <w:t xml:space="preserve"> Aplicación</w:t>
      </w:r>
    </w:p>
    <w:p w14:paraId="4B48F04C" w14:textId="77777777" w:rsidR="00445813" w:rsidRDefault="00445813" w:rsidP="00445813">
      <w:pPr>
        <w:pStyle w:val="paragraph"/>
        <w:shd w:val="clear" w:color="auto" w:fill="FFFFFF"/>
        <w:snapToGrid w:val="0"/>
        <w:spacing w:before="0" w:beforeAutospacing="0" w:after="0" w:afterAutospacing="0"/>
        <w:contextualSpacing/>
        <w:jc w:val="both"/>
        <w:textAlignment w:val="baseline"/>
        <w:rPr>
          <w:rStyle w:val="normaltextrun"/>
          <w:rFonts w:ascii="Verdana" w:hAnsi="Verdana" w:cs="Arial"/>
          <w:color w:val="000000"/>
          <w:sz w:val="20"/>
          <w:szCs w:val="20"/>
          <w:lang w:val="es-ES"/>
        </w:rPr>
      </w:pPr>
    </w:p>
    <w:p w14:paraId="02FAE924" w14:textId="57B4B9CE" w:rsidR="00F74D34" w:rsidRDefault="00F74D34" w:rsidP="00445813">
      <w:pPr>
        <w:pStyle w:val="paragraph"/>
        <w:shd w:val="clear" w:color="auto" w:fill="FFFFFF"/>
        <w:snapToGrid w:val="0"/>
        <w:spacing w:before="0" w:beforeAutospacing="0" w:after="0" w:afterAutospacing="0"/>
        <w:contextualSpacing/>
        <w:jc w:val="both"/>
        <w:textAlignment w:val="baseline"/>
        <w:rPr>
          <w:rFonts w:ascii="Verdana" w:hAnsi="Verdana" w:cs="Arial"/>
          <w:color w:val="000000"/>
          <w:sz w:val="20"/>
          <w:szCs w:val="20"/>
          <w:lang w:val="es-ES"/>
        </w:rPr>
      </w:pPr>
      <w:r w:rsidRPr="00445813">
        <w:rPr>
          <w:rStyle w:val="normaltextrun"/>
          <w:rFonts w:ascii="Verdana" w:hAnsi="Verdana" w:cs="Arial"/>
          <w:color w:val="000000"/>
          <w:sz w:val="20"/>
          <w:szCs w:val="20"/>
          <w:lang w:val="es-ES"/>
        </w:rPr>
        <w:t>En este sentido, los procesos de contratación que adelanten los</w:t>
      </w:r>
      <w:r w:rsidRPr="00445813">
        <w:rPr>
          <w:rFonts w:ascii="Verdana" w:hAnsi="Verdana" w:cs="Arial"/>
          <w:color w:val="000000"/>
          <w:sz w:val="20"/>
          <w:szCs w:val="20"/>
          <w:lang w:val="es-ES"/>
        </w:rPr>
        <w:t xml:space="preserve"> departamentos, distritos y municipios, de forma independiente o como parte de </w:t>
      </w:r>
      <w:r w:rsidRPr="00445813">
        <w:rPr>
          <w:rFonts w:ascii="Verdana" w:eastAsia="Verdana" w:hAnsi="Verdana" w:cs="Verdana"/>
          <w:sz w:val="20"/>
          <w:szCs w:val="20"/>
          <w:lang w:val="es-ES"/>
        </w:rPr>
        <w:t xml:space="preserve">esquemas asociativos territoriales, </w:t>
      </w:r>
      <w:r w:rsidRPr="00445813">
        <w:rPr>
          <w:rFonts w:ascii="Verdana" w:eastAsiaTheme="minorHAnsi" w:hAnsi="Verdana" w:cstheme="minorBidi"/>
          <w:color w:val="333333"/>
          <w:sz w:val="20"/>
          <w:szCs w:val="20"/>
          <w:shd w:val="clear" w:color="auto" w:fill="FFFFFF"/>
          <w:lang w:val="es-ES" w:eastAsia="en-US"/>
        </w:rPr>
        <w:t xml:space="preserve">para la </w:t>
      </w:r>
      <w:r w:rsidRPr="00445813">
        <w:rPr>
          <w:rFonts w:ascii="Verdana" w:hAnsi="Verdana" w:cs="Arial"/>
          <w:color w:val="000000"/>
          <w:sz w:val="20"/>
          <w:szCs w:val="20"/>
          <w:lang w:val="es-ES"/>
        </w:rPr>
        <w:t xml:space="preserve">adquisición o mantenimiento de las áreas de interés se encuentran sometidos a las modalidades de selección y tipologías contractuales establecidas en el EGCAP. Adicionalmente, la restricción establecida en el artículo 33 de la Ley de Garantías Electorales </w:t>
      </w:r>
      <w:r w:rsidRPr="00445813">
        <w:rPr>
          <w:rFonts w:ascii="Verdana" w:hAnsi="Verdana" w:cs="Arial"/>
          <w:color w:val="000000"/>
          <w:sz w:val="20"/>
          <w:szCs w:val="20"/>
          <w:u w:val="single"/>
          <w:lang w:val="es-ES"/>
        </w:rPr>
        <w:t>no</w:t>
      </w:r>
      <w:r w:rsidRPr="00445813">
        <w:rPr>
          <w:rFonts w:ascii="Verdana" w:hAnsi="Verdana" w:cs="Arial"/>
          <w:color w:val="000000"/>
          <w:sz w:val="20"/>
          <w:szCs w:val="20"/>
          <w:lang w:val="es-ES"/>
        </w:rPr>
        <w:t xml:space="preserve"> será aplicable respecto de dichos procedimientos cuando la entidad o el esquema asociativo contrate mediante procedimientos de selección competitivos, como la licitación pública, la selección abreviada, el concurso de méritos o la mínima cuantía. Por otra parte, la prohibición del parágrafo del artículo 38 </w:t>
      </w:r>
      <w:r w:rsidRPr="00445813">
        <w:rPr>
          <w:rFonts w:ascii="Verdana" w:hAnsi="Verdana" w:cs="Arial"/>
          <w:color w:val="000000"/>
          <w:sz w:val="20"/>
          <w:szCs w:val="20"/>
          <w:u w:val="single"/>
          <w:lang w:val="es-ES"/>
        </w:rPr>
        <w:t>no</w:t>
      </w:r>
      <w:r w:rsidRPr="00445813">
        <w:rPr>
          <w:rFonts w:ascii="Verdana" w:hAnsi="Verdana" w:cs="Arial"/>
          <w:color w:val="000000"/>
          <w:sz w:val="20"/>
          <w:szCs w:val="20"/>
          <w:lang w:val="es-ES"/>
        </w:rPr>
        <w:t xml:space="preserve"> será aplicable cuando los </w:t>
      </w:r>
      <w:r w:rsidRPr="00445813">
        <w:rPr>
          <w:rFonts w:ascii="Verdana" w:hAnsi="Verdana" w:cs="Arial"/>
          <w:color w:val="000000"/>
          <w:sz w:val="20"/>
          <w:szCs w:val="20"/>
          <w:lang w:val="es-ES"/>
        </w:rPr>
        <w:lastRenderedPageBreak/>
        <w:t>gobernadores, alcaldes municipales y/o distritales celebren negocios jurídicos distintos a los convenios interadministrativos.</w:t>
      </w:r>
    </w:p>
    <w:p w14:paraId="1B4424C6" w14:textId="77777777" w:rsidR="00A815F8" w:rsidRPr="00445813" w:rsidRDefault="00A815F8" w:rsidP="00445813">
      <w:pPr>
        <w:pStyle w:val="paragraph"/>
        <w:shd w:val="clear" w:color="auto" w:fill="FFFFFF"/>
        <w:snapToGrid w:val="0"/>
        <w:spacing w:before="0" w:beforeAutospacing="0" w:after="0" w:afterAutospacing="0"/>
        <w:contextualSpacing/>
        <w:jc w:val="both"/>
        <w:textAlignment w:val="baseline"/>
        <w:rPr>
          <w:rFonts w:ascii="Verdana" w:hAnsi="Verdana" w:cs="Arial"/>
          <w:color w:val="000000"/>
          <w:sz w:val="20"/>
          <w:szCs w:val="20"/>
          <w:lang w:val="es-ES"/>
        </w:rPr>
      </w:pPr>
    </w:p>
    <w:p w14:paraId="1A9C65DB" w14:textId="77777777" w:rsidR="00445813" w:rsidRDefault="00F74D34" w:rsidP="00445813">
      <w:pPr>
        <w:pStyle w:val="paragraph"/>
        <w:shd w:val="clear" w:color="auto" w:fill="FFFFFF"/>
        <w:snapToGrid w:val="0"/>
        <w:spacing w:before="0" w:beforeAutospacing="0" w:after="0" w:afterAutospacing="0"/>
        <w:contextualSpacing/>
        <w:jc w:val="both"/>
        <w:textAlignment w:val="baseline"/>
        <w:rPr>
          <w:rFonts w:ascii="Verdana" w:hAnsi="Verdana" w:cs="Arial"/>
          <w:color w:val="000000"/>
          <w:sz w:val="20"/>
          <w:szCs w:val="20"/>
          <w:lang w:val="es-ES"/>
        </w:rPr>
      </w:pPr>
      <w:r w:rsidRPr="00445813">
        <w:rPr>
          <w:rFonts w:ascii="Verdana" w:hAnsi="Verdana" w:cs="Arial"/>
          <w:color w:val="000000"/>
          <w:sz w:val="20"/>
          <w:szCs w:val="20"/>
          <w:lang w:val="es-ES"/>
        </w:rPr>
        <w:t xml:space="preserve">[…] </w:t>
      </w:r>
    </w:p>
    <w:p w14:paraId="56E00C41" w14:textId="77777777" w:rsidR="00A815F8" w:rsidRDefault="00A815F8" w:rsidP="00445813">
      <w:pPr>
        <w:pStyle w:val="paragraph"/>
        <w:shd w:val="clear" w:color="auto" w:fill="FFFFFF"/>
        <w:snapToGrid w:val="0"/>
        <w:spacing w:before="0" w:beforeAutospacing="0" w:after="0" w:afterAutospacing="0"/>
        <w:contextualSpacing/>
        <w:jc w:val="both"/>
        <w:textAlignment w:val="baseline"/>
        <w:rPr>
          <w:rFonts w:ascii="Verdana" w:hAnsi="Verdana" w:cs="Arial"/>
          <w:color w:val="000000"/>
          <w:sz w:val="20"/>
          <w:szCs w:val="20"/>
          <w:lang w:val="es-ES"/>
        </w:rPr>
      </w:pPr>
    </w:p>
    <w:p w14:paraId="222945E5" w14:textId="3D4EFF14" w:rsidR="00F74D34" w:rsidRPr="00445813" w:rsidRDefault="00F74D34" w:rsidP="00445813">
      <w:pPr>
        <w:pStyle w:val="paragraph"/>
        <w:shd w:val="clear" w:color="auto" w:fill="FFFFFF"/>
        <w:snapToGrid w:val="0"/>
        <w:spacing w:before="0" w:beforeAutospacing="0" w:after="0" w:afterAutospacing="0"/>
        <w:contextualSpacing/>
        <w:jc w:val="both"/>
        <w:textAlignment w:val="baseline"/>
        <w:rPr>
          <w:rFonts w:ascii="Verdana" w:eastAsia="Verdana" w:hAnsi="Verdana" w:cs="Verdana"/>
          <w:sz w:val="20"/>
          <w:szCs w:val="20"/>
          <w:lang w:val="es-ES"/>
        </w:rPr>
      </w:pPr>
      <w:r w:rsidRPr="00445813">
        <w:rPr>
          <w:rFonts w:ascii="Verdana" w:hAnsi="Verdana" w:cs="Arial"/>
          <w:color w:val="000000"/>
          <w:sz w:val="20"/>
          <w:szCs w:val="20"/>
          <w:lang w:val="es-ES"/>
        </w:rPr>
        <w:t xml:space="preserve">Por otra parte, cuando las entidades referidas en el artículo 111 de la Ley 99 de 1993 opten por conformar los esquemas asociativos referidos en la </w:t>
      </w:r>
      <w:r w:rsidRPr="00445813">
        <w:rPr>
          <w:rFonts w:ascii="Verdana" w:eastAsia="Verdana" w:hAnsi="Verdana" w:cs="Verdana"/>
          <w:sz w:val="20"/>
          <w:szCs w:val="20"/>
          <w:lang w:val="es-ES"/>
        </w:rPr>
        <w:t xml:space="preserve">Ley 1454 de 2011 para la ejecución de los proyectos de adquisición o mantenimiento de las áreas de interés, podrán hacerlo mediante la celebración de convenios interadministrativos, tal como lo dispone el artículo 17 de la Ley 1454 de 2011. En este caso será aplicable la restricción establecida en el artículo 33 de la Ley 996 de 2005, pues prohíbe la celebración directa de contratos por cualquier ente del estado; también será aplicable la prohibición expresa del artículo 38  frente a la celebración de convenios interadministrativos por parte de los gobernadores, alcaldes municipales y/o distritales para la ejecución de recursos públicos. De esta forma, la conformación de los esquemas asociativos para las adquisiciones o el mantenimiento referido en el artículo 111 de la </w:t>
      </w:r>
      <w:r w:rsidRPr="00445813">
        <w:rPr>
          <w:rFonts w:ascii="Verdana" w:hAnsi="Verdana" w:cs="Arial"/>
          <w:color w:val="000000"/>
          <w:sz w:val="20"/>
          <w:szCs w:val="20"/>
          <w:lang w:val="es-ES"/>
        </w:rPr>
        <w:t xml:space="preserve">Ley 99 de 1993 </w:t>
      </w:r>
      <w:r w:rsidRPr="00445813">
        <w:rPr>
          <w:rFonts w:ascii="Verdana" w:eastAsia="Verdana" w:hAnsi="Verdana" w:cs="Verdana"/>
          <w:sz w:val="20"/>
          <w:szCs w:val="20"/>
          <w:lang w:val="es-ES"/>
        </w:rPr>
        <w:t xml:space="preserve">no estarán sujetas a las prohibiciones de la Ley de Garantías Electorales cuando se trate de convenios interadministrativos que no impliquen la ejecución de recursos públicos o cuando se realice mediante la constitución de personas jurídicas. </w:t>
      </w:r>
    </w:p>
    <w:p w14:paraId="47ED917E" w14:textId="77777777" w:rsidR="0052446B" w:rsidRPr="00445813" w:rsidRDefault="0052446B" w:rsidP="00445813">
      <w:pPr>
        <w:snapToGrid w:val="0"/>
        <w:spacing w:after="0" w:line="240" w:lineRule="auto"/>
        <w:contextualSpacing/>
        <w:jc w:val="both"/>
        <w:rPr>
          <w:rFonts w:ascii="Verdana" w:eastAsia="Calibri" w:hAnsi="Verdana" w:cs="Arial"/>
          <w:b/>
          <w:bCs/>
          <w:sz w:val="20"/>
          <w:szCs w:val="20"/>
          <w:lang w:val="es-ES" w:eastAsia="es-ES"/>
        </w:rPr>
      </w:pPr>
    </w:p>
    <w:p w14:paraId="748B3DEF" w14:textId="59C03757" w:rsidR="0052446B" w:rsidRPr="00A815F8" w:rsidRDefault="0052446B" w:rsidP="00445813">
      <w:pPr>
        <w:snapToGrid w:val="0"/>
        <w:spacing w:after="0" w:line="240" w:lineRule="auto"/>
        <w:contextualSpacing/>
        <w:jc w:val="both"/>
        <w:rPr>
          <w:rFonts w:ascii="Verdana" w:eastAsia="Calibri" w:hAnsi="Verdana" w:cs="Arial"/>
          <w:b/>
          <w:bCs/>
          <w:lang w:val="es-ES" w:eastAsia="es-ES"/>
        </w:rPr>
      </w:pPr>
      <w:r w:rsidRPr="00A815F8">
        <w:rPr>
          <w:rFonts w:ascii="Verdana" w:eastAsia="Calibri" w:hAnsi="Verdana" w:cs="Arial"/>
          <w:b/>
          <w:bCs/>
          <w:lang w:val="es-ES" w:eastAsia="es-ES"/>
        </w:rPr>
        <w:t>ENAJENACIÓN VOLUNTARIA – Ley de Garantías Electorales – Aplicación</w:t>
      </w:r>
    </w:p>
    <w:p w14:paraId="71C6138B" w14:textId="77777777" w:rsidR="00445813" w:rsidRDefault="00445813" w:rsidP="00445813">
      <w:pPr>
        <w:tabs>
          <w:tab w:val="left" w:pos="709"/>
        </w:tabs>
        <w:snapToGrid w:val="0"/>
        <w:spacing w:after="0" w:line="240" w:lineRule="auto"/>
        <w:contextualSpacing/>
        <w:jc w:val="both"/>
        <w:rPr>
          <w:rFonts w:ascii="Verdana" w:eastAsia="Calibri" w:hAnsi="Verdana" w:cs="Arial"/>
          <w:b/>
          <w:bCs/>
          <w:sz w:val="20"/>
          <w:szCs w:val="20"/>
          <w:lang w:val="es-ES" w:eastAsia="es-ES"/>
        </w:rPr>
      </w:pPr>
    </w:p>
    <w:p w14:paraId="254E941C" w14:textId="7CFC2FE3" w:rsidR="00445813" w:rsidRDefault="00445813" w:rsidP="00445813">
      <w:pPr>
        <w:tabs>
          <w:tab w:val="left" w:pos="709"/>
        </w:tabs>
        <w:snapToGrid w:val="0"/>
        <w:spacing w:after="0" w:line="240" w:lineRule="auto"/>
        <w:contextualSpacing/>
        <w:jc w:val="both"/>
        <w:rPr>
          <w:rFonts w:ascii="Verdana" w:eastAsia="Times New Roman" w:hAnsi="Verdana" w:cs="Arial"/>
          <w:sz w:val="20"/>
          <w:szCs w:val="20"/>
          <w:lang w:val="es-ES" w:eastAsia="es-ES_tradnl"/>
        </w:rPr>
      </w:pPr>
      <w:r w:rsidRPr="00445813">
        <w:rPr>
          <w:rFonts w:ascii="Verdana" w:eastAsia="Times New Roman" w:hAnsi="Verdana" w:cs="Arial"/>
          <w:sz w:val="20"/>
          <w:szCs w:val="20"/>
          <w:lang w:val="es-ES" w:eastAsia="es-ES_tradnl"/>
        </w:rPr>
        <w:t xml:space="preserve">Dado que el procedimiento establecido podría culminar con la celebración de una promesa de compraventa o en un contrato de compraventa, en el que participan entidades estatales y se invierten recursos de naturaleza pública, bien puede afirmarse que estos actos jurídicos negociales son auténticos contratos estatales, según el criterio orgánico establecido en el artículo 32 de la Ley 80 de 1993, en concordancia el artículo 2 </w:t>
      </w:r>
      <w:r w:rsidRPr="00445813">
        <w:rPr>
          <w:rFonts w:ascii="Verdana" w:eastAsia="Times New Roman" w:hAnsi="Verdana" w:cs="Arial"/>
          <w:i/>
          <w:iCs/>
          <w:sz w:val="20"/>
          <w:szCs w:val="20"/>
          <w:lang w:val="es-ES" w:eastAsia="es-ES_tradnl"/>
        </w:rPr>
        <w:t>ibidem</w:t>
      </w:r>
      <w:r w:rsidRPr="00445813">
        <w:rPr>
          <w:rFonts w:ascii="Verdana" w:eastAsia="Times New Roman" w:hAnsi="Verdana" w:cs="Arial"/>
          <w:sz w:val="20"/>
          <w:szCs w:val="20"/>
          <w:lang w:val="es-ES" w:eastAsia="es-ES_tradnl"/>
        </w:rPr>
        <w:t xml:space="preserve"> y en armonía con lo dispuesto por el artículo 1 de la Ley 1150 de 2007.</w:t>
      </w:r>
    </w:p>
    <w:p w14:paraId="15AEEE9C" w14:textId="77777777" w:rsidR="00A815F8" w:rsidRPr="00445813" w:rsidRDefault="00A815F8" w:rsidP="00445813">
      <w:pPr>
        <w:tabs>
          <w:tab w:val="left" w:pos="709"/>
        </w:tabs>
        <w:snapToGrid w:val="0"/>
        <w:spacing w:after="0" w:line="240" w:lineRule="auto"/>
        <w:contextualSpacing/>
        <w:jc w:val="both"/>
        <w:rPr>
          <w:rFonts w:ascii="Verdana" w:eastAsia="Times New Roman" w:hAnsi="Verdana" w:cs="Arial"/>
          <w:sz w:val="20"/>
          <w:szCs w:val="20"/>
          <w:lang w:val="es-ES" w:eastAsia="es-ES_tradnl"/>
        </w:rPr>
      </w:pPr>
    </w:p>
    <w:p w14:paraId="6F337CFB" w14:textId="5294B170" w:rsidR="00445813" w:rsidRPr="00445813" w:rsidRDefault="00445813" w:rsidP="00445813">
      <w:pPr>
        <w:snapToGrid w:val="0"/>
        <w:spacing w:after="0" w:line="240" w:lineRule="auto"/>
        <w:contextualSpacing/>
        <w:jc w:val="both"/>
        <w:rPr>
          <w:rFonts w:ascii="Verdana" w:hAnsi="Verdana" w:cs="Arial"/>
          <w:sz w:val="20"/>
          <w:szCs w:val="20"/>
          <w:lang w:val="es-ES" w:eastAsia="es-ES_tradnl"/>
        </w:rPr>
      </w:pPr>
      <w:r w:rsidRPr="00445813">
        <w:rPr>
          <w:rFonts w:ascii="Verdana" w:hAnsi="Verdana" w:cs="Arial"/>
          <w:sz w:val="20"/>
          <w:szCs w:val="20"/>
          <w:lang w:val="es-ES" w:eastAsia="es-ES_tradnl"/>
        </w:rPr>
        <w:t>Sin embargo, el procedimiento de adquisición de bienes inmuebles establecido en el Estatuto General de Contratación de la Administración Pública no resulta aplicable. Tal y como ha sido aclarado por esta Agencia, el procedimiento para la adquisición de bienes inmuebles con fines de utilidad pública e interés social se encuentra excluido de la aplicación de tal estatuto, por cuanto es un procedimiento regulado en un régimen especial y exceptuado.</w:t>
      </w:r>
    </w:p>
    <w:p w14:paraId="742DEBB1" w14:textId="77777777" w:rsidR="00445813" w:rsidRPr="00445813" w:rsidRDefault="00445813" w:rsidP="00445813">
      <w:pPr>
        <w:snapToGrid w:val="0"/>
        <w:spacing w:after="0" w:line="240" w:lineRule="auto"/>
        <w:contextualSpacing/>
        <w:jc w:val="both"/>
        <w:rPr>
          <w:rFonts w:ascii="Verdana" w:hAnsi="Verdana" w:cs="Arial"/>
          <w:sz w:val="20"/>
          <w:szCs w:val="20"/>
          <w:lang w:val="es-ES" w:eastAsia="es-ES_tradnl"/>
        </w:rPr>
      </w:pPr>
    </w:p>
    <w:p w14:paraId="79731040" w14:textId="77777777" w:rsidR="00445813" w:rsidRPr="00445813" w:rsidRDefault="00445813" w:rsidP="00445813">
      <w:pPr>
        <w:tabs>
          <w:tab w:val="left" w:pos="426"/>
        </w:tabs>
        <w:snapToGrid w:val="0"/>
        <w:spacing w:after="0" w:line="240" w:lineRule="auto"/>
        <w:contextualSpacing/>
        <w:jc w:val="both"/>
        <w:rPr>
          <w:rFonts w:ascii="Verdana" w:eastAsia="Times New Roman" w:hAnsi="Verdana" w:cs="Arial"/>
          <w:sz w:val="20"/>
          <w:szCs w:val="20"/>
          <w:lang w:val="es-ES" w:eastAsia="es-ES_tradnl"/>
        </w:rPr>
      </w:pPr>
      <w:r w:rsidRPr="00445813">
        <w:rPr>
          <w:rFonts w:ascii="Verdana" w:eastAsia="Times New Roman" w:hAnsi="Verdana" w:cs="Arial"/>
          <w:sz w:val="20"/>
          <w:szCs w:val="20"/>
          <w:lang w:val="es-ES" w:eastAsia="es-ES_tradnl"/>
        </w:rPr>
        <w:t xml:space="preserve">En virtud de lo expuesto, la adquisición de los predios considerados áreas de interés para los acueductos departamentales, municipales y distritales que se realice por enajenación voluntaria estará sometida a un régimen especial de contratación. Sin embargo, como se explicó antes, esta culmina con la suscripción de un contrato de compraventa entre la entidad y la persona, con lo cual se trata de un procedimiento de contratación estatal no competitivo que se encuentra restringido por la prohibición establecida en el artículo 33 de la Ley 996 de 2005. En contraste, cuando la adquisición ocurra por el procedimiento expropiatorio no se materializa en la celebración de un contrato. En consecuencia, en este supuesto no se configuran las prohibiciones a la contratación establecidas en los artículos 33 y 38 de la Ley de Garantías Electorales. </w:t>
      </w:r>
    </w:p>
    <w:p w14:paraId="60711014" w14:textId="77777777" w:rsidR="00A815F8" w:rsidRDefault="00A815F8" w:rsidP="00D93852">
      <w:pPr>
        <w:spacing w:after="0"/>
        <w:rPr>
          <w:rFonts w:ascii="Verdana" w:eastAsia="Calibri" w:hAnsi="Verdana" w:cs="Arial"/>
          <w:b/>
          <w:bCs/>
          <w:lang w:val="es-ES" w:eastAsia="es-ES"/>
        </w:rPr>
      </w:pPr>
    </w:p>
    <w:p w14:paraId="543A9B50" w14:textId="6C42F9AB" w:rsidR="00D93852" w:rsidRPr="00E8636D" w:rsidRDefault="00D93852" w:rsidP="00D93852">
      <w:pPr>
        <w:spacing w:after="0"/>
        <w:rPr>
          <w:rFonts w:ascii="Verdana" w:hAnsi="Verdana"/>
          <w:lang w:val="es-ES"/>
        </w:rPr>
      </w:pPr>
      <w:r w:rsidRPr="00E8636D">
        <w:rPr>
          <w:rFonts w:ascii="Verdana" w:hAnsi="Verdana"/>
          <w:lang w:val="es-ES"/>
        </w:rPr>
        <w:lastRenderedPageBreak/>
        <w:t xml:space="preserve">Bogotá D.C., </w:t>
      </w:r>
      <w:r w:rsidR="003509E8">
        <w:rPr>
          <w:rFonts w:ascii="Verdana" w:hAnsi="Verdana"/>
          <w:lang w:val="es-ES"/>
        </w:rPr>
        <w:t>03 Octubre 2025</w:t>
      </w:r>
      <w:r w:rsidRPr="00E8636D">
        <w:rPr>
          <w:rFonts w:ascii="Verdana" w:hAnsi="Verdana"/>
          <w:lang w:val="es-ES"/>
        </w:rPr>
        <w:tab/>
      </w:r>
    </w:p>
    <w:p w14:paraId="676534CF" w14:textId="2F82821C" w:rsidR="00D93852" w:rsidRPr="00E8636D" w:rsidRDefault="00D93852" w:rsidP="00D93852">
      <w:pPr>
        <w:spacing w:after="0"/>
        <w:rPr>
          <w:rFonts w:ascii="Verdana" w:hAnsi="Verdana"/>
          <w:lang w:val="es-ES"/>
        </w:rPr>
      </w:pPr>
    </w:p>
    <w:p w14:paraId="30A7E6DB" w14:textId="3CC62F4F" w:rsidR="00D93852" w:rsidRPr="00E8636D" w:rsidRDefault="003509E8" w:rsidP="00D93852">
      <w:pPr>
        <w:spacing w:after="0" w:line="240" w:lineRule="auto"/>
        <w:rPr>
          <w:rFonts w:ascii="Verdana" w:hAnsi="Verdana"/>
          <w:lang w:val="es-ES"/>
        </w:rPr>
      </w:pPr>
      <w:bookmarkStart w:id="0" w:name="_Hlk143780582"/>
      <w:r>
        <w:rPr>
          <w:rFonts w:ascii="Verdana" w:hAnsi="Verdana"/>
          <w:noProof/>
          <w:lang w:val="es-ES"/>
        </w:rPr>
        <w:drawing>
          <wp:anchor distT="0" distB="0" distL="114300" distR="114300" simplePos="0" relativeHeight="251660288" behindDoc="0" locked="0" layoutInCell="1" allowOverlap="1" wp14:anchorId="4DC820EE" wp14:editId="2663B155">
            <wp:simplePos x="0" y="0"/>
            <wp:positionH relativeFrom="column">
              <wp:posOffset>2931049</wp:posOffset>
            </wp:positionH>
            <wp:positionV relativeFrom="page">
              <wp:posOffset>1731645</wp:posOffset>
            </wp:positionV>
            <wp:extent cx="2422525" cy="642620"/>
            <wp:effectExtent l="0" t="0" r="3175" b="5080"/>
            <wp:wrapSquare wrapText="bothSides"/>
            <wp:docPr id="9581900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190060" name="Picture 95819006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22525" cy="642620"/>
                    </a:xfrm>
                    <a:prstGeom prst="rect">
                      <a:avLst/>
                    </a:prstGeom>
                  </pic:spPr>
                </pic:pic>
              </a:graphicData>
            </a:graphic>
            <wp14:sizeRelH relativeFrom="page">
              <wp14:pctWidth>0</wp14:pctWidth>
            </wp14:sizeRelH>
            <wp14:sizeRelV relativeFrom="page">
              <wp14:pctHeight>0</wp14:pctHeight>
            </wp14:sizeRelV>
          </wp:anchor>
        </w:drawing>
      </w:r>
      <w:r w:rsidR="00D93852" w:rsidRPr="00E8636D">
        <w:rPr>
          <w:rFonts w:ascii="Verdana" w:eastAsia="Calibri" w:hAnsi="Verdana" w:cs="Arial"/>
          <w:color w:val="000000" w:themeColor="text1"/>
          <w:lang w:val="es-ES" w:eastAsia="es-ES"/>
        </w:rPr>
        <w:t>Señora</w:t>
      </w:r>
    </w:p>
    <w:p w14:paraId="34502A7D" w14:textId="77777777" w:rsidR="00D93852" w:rsidRPr="00E8636D" w:rsidRDefault="00D93852" w:rsidP="00D93852">
      <w:pPr>
        <w:spacing w:after="0"/>
        <w:rPr>
          <w:rFonts w:ascii="Verdana" w:eastAsia="Calibri" w:hAnsi="Verdana" w:cs="Arial"/>
          <w:b/>
          <w:bCs/>
          <w:color w:val="000000" w:themeColor="text1"/>
          <w:lang w:val="es-ES" w:eastAsia="es-ES"/>
        </w:rPr>
      </w:pPr>
      <w:r w:rsidRPr="00E8636D">
        <w:rPr>
          <w:rFonts w:ascii="Verdana" w:eastAsia="Calibri" w:hAnsi="Verdana" w:cs="Arial"/>
          <w:b/>
          <w:bCs/>
          <w:color w:val="000000" w:themeColor="text1"/>
          <w:lang w:val="es-ES" w:eastAsia="es-ES"/>
        </w:rPr>
        <w:t xml:space="preserve">Laura Valencia Vélez </w:t>
      </w:r>
    </w:p>
    <w:p w14:paraId="027AC977" w14:textId="77777777" w:rsidR="00D93852" w:rsidRPr="00E8636D" w:rsidRDefault="00D93852" w:rsidP="00D93852">
      <w:pPr>
        <w:spacing w:after="0"/>
        <w:rPr>
          <w:rFonts w:ascii="Verdana" w:eastAsia="Calibri" w:hAnsi="Verdana" w:cs="Arial"/>
          <w:color w:val="000000" w:themeColor="text1"/>
          <w:lang w:val="es-ES" w:eastAsia="es-ES"/>
        </w:rPr>
      </w:pPr>
      <w:hyperlink r:id="rId11" w:history="1">
        <w:r w:rsidRPr="00E8636D">
          <w:rPr>
            <w:rStyle w:val="Hyperlink"/>
            <w:rFonts w:ascii="Verdana" w:eastAsia="Calibri" w:hAnsi="Verdana" w:cs="Arial"/>
            <w:lang w:val="es-ES" w:eastAsia="es-ES"/>
          </w:rPr>
          <w:t>lau.valencia0420@gmail.com</w:t>
        </w:r>
      </w:hyperlink>
      <w:r w:rsidRPr="00E8636D">
        <w:rPr>
          <w:rFonts w:ascii="Verdana" w:eastAsia="Calibri" w:hAnsi="Verdana" w:cs="Arial"/>
          <w:color w:val="000000" w:themeColor="text1"/>
          <w:lang w:val="es-ES" w:eastAsia="es-ES"/>
        </w:rPr>
        <w:t xml:space="preserve">  </w:t>
      </w:r>
    </w:p>
    <w:p w14:paraId="3B8F9BB8" w14:textId="77777777" w:rsidR="00D93852" w:rsidRPr="00E8636D" w:rsidRDefault="00D93852" w:rsidP="00D93852">
      <w:pPr>
        <w:spacing w:after="0"/>
        <w:rPr>
          <w:rFonts w:ascii="Verdana" w:eastAsia="Calibri" w:hAnsi="Verdana" w:cs="Arial"/>
          <w:color w:val="000000" w:themeColor="text1"/>
          <w:lang w:val="es-ES" w:eastAsia="es-ES"/>
        </w:rPr>
      </w:pPr>
      <w:r w:rsidRPr="00E8636D">
        <w:rPr>
          <w:rFonts w:ascii="Verdana" w:eastAsia="Calibri" w:hAnsi="Verdana" w:cs="Arial"/>
          <w:color w:val="000000" w:themeColor="text1"/>
          <w:lang w:val="es-ES" w:eastAsia="es-ES"/>
        </w:rPr>
        <w:t>Manizales, Caldas</w:t>
      </w:r>
    </w:p>
    <w:p w14:paraId="0F55B23F" w14:textId="77777777" w:rsidR="00D93852" w:rsidRPr="00E8636D" w:rsidRDefault="00D93852" w:rsidP="00D93852">
      <w:pPr>
        <w:spacing w:after="0" w:line="240" w:lineRule="auto"/>
        <w:rPr>
          <w:rFonts w:ascii="Verdana" w:eastAsia="Calibri" w:hAnsi="Verdana" w:cs="Arial"/>
          <w:b/>
          <w:color w:val="000000" w:themeColor="text1"/>
          <w:lang w:val="es-ES" w:eastAsia="es-ES"/>
        </w:rPr>
      </w:pPr>
    </w:p>
    <w:p w14:paraId="65A3E18B" w14:textId="77777777" w:rsidR="00D93852" w:rsidRPr="00E8636D" w:rsidRDefault="00D93852" w:rsidP="00D93852">
      <w:pPr>
        <w:spacing w:after="0" w:line="240" w:lineRule="auto"/>
        <w:rPr>
          <w:rFonts w:ascii="Verdana" w:eastAsia="Calibri" w:hAnsi="Verdana" w:cs="Arial"/>
          <w:b/>
          <w:bCs/>
          <w:color w:val="000000" w:themeColor="text1"/>
          <w:lang w:val="es-ES" w:eastAsia="es-ES"/>
        </w:rPr>
      </w:pPr>
    </w:p>
    <w:tbl>
      <w:tblPr>
        <w:tblStyle w:val="TableGrid"/>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D93852" w:rsidRPr="00E8636D" w14:paraId="560E9216" w14:textId="77777777" w:rsidTr="00974497">
        <w:trPr>
          <w:trHeight w:val="300"/>
        </w:trPr>
        <w:tc>
          <w:tcPr>
            <w:tcW w:w="2410" w:type="dxa"/>
          </w:tcPr>
          <w:p w14:paraId="5B107659" w14:textId="77777777" w:rsidR="00D93852" w:rsidRPr="00E8636D" w:rsidRDefault="00D93852" w:rsidP="00974497">
            <w:pPr>
              <w:ind w:left="-142"/>
              <w:jc w:val="both"/>
              <w:rPr>
                <w:rFonts w:ascii="Verdana" w:eastAsia="Calibri" w:hAnsi="Verdana" w:cs="Arial"/>
                <w:b/>
                <w:bCs/>
                <w:color w:val="000000" w:themeColor="text1"/>
                <w:lang w:val="es-ES" w:eastAsia="es-ES_tradnl"/>
              </w:rPr>
            </w:pPr>
          </w:p>
        </w:tc>
        <w:tc>
          <w:tcPr>
            <w:tcW w:w="6100" w:type="dxa"/>
          </w:tcPr>
          <w:p w14:paraId="219920E8" w14:textId="6B33D63E" w:rsidR="00D93852" w:rsidRPr="00E8636D" w:rsidRDefault="00D93852" w:rsidP="00974497">
            <w:pPr>
              <w:ind w:left="3"/>
              <w:jc w:val="both"/>
              <w:rPr>
                <w:rFonts w:ascii="Verdana" w:eastAsia="Calibri" w:hAnsi="Verdana" w:cs="Arial"/>
                <w:b/>
                <w:bCs/>
                <w:color w:val="000000" w:themeColor="text1"/>
                <w:lang w:val="es-ES" w:eastAsia="es-ES"/>
              </w:rPr>
            </w:pPr>
            <w:r w:rsidRPr="00E8636D">
              <w:rPr>
                <w:rFonts w:ascii="Verdana" w:eastAsia="Calibri" w:hAnsi="Verdana" w:cs="Arial"/>
                <w:b/>
                <w:bCs/>
                <w:color w:val="000000" w:themeColor="text1"/>
                <w:lang w:val="es-ES" w:eastAsia="es-ES"/>
              </w:rPr>
              <w:t>Concepto C-</w:t>
            </w:r>
            <w:r w:rsidR="00502B68" w:rsidRPr="00E8636D">
              <w:rPr>
                <w:rFonts w:ascii="Verdana" w:eastAsia="Calibri" w:hAnsi="Verdana" w:cs="Arial"/>
                <w:b/>
                <w:bCs/>
                <w:color w:val="000000" w:themeColor="text1"/>
                <w:lang w:val="es-ES" w:eastAsia="es-ES"/>
              </w:rPr>
              <w:t>1195</w:t>
            </w:r>
            <w:r w:rsidRPr="00E8636D">
              <w:rPr>
                <w:rFonts w:ascii="Verdana" w:eastAsia="Calibri" w:hAnsi="Verdana" w:cs="Arial"/>
                <w:b/>
                <w:bCs/>
                <w:color w:val="000000" w:themeColor="text1"/>
                <w:lang w:val="es-ES" w:eastAsia="es-ES"/>
              </w:rPr>
              <w:t xml:space="preserve"> de 2025</w:t>
            </w:r>
          </w:p>
          <w:p w14:paraId="0A901F54" w14:textId="77777777" w:rsidR="00D93852" w:rsidRPr="00E8636D" w:rsidRDefault="00D93852" w:rsidP="00974497">
            <w:pPr>
              <w:ind w:left="3"/>
              <w:jc w:val="both"/>
              <w:rPr>
                <w:rFonts w:ascii="Verdana" w:eastAsia="Calibri" w:hAnsi="Verdana" w:cs="Arial"/>
                <w:b/>
                <w:bCs/>
                <w:color w:val="000000" w:themeColor="text1"/>
                <w:lang w:val="es-ES" w:eastAsia="es-ES"/>
              </w:rPr>
            </w:pPr>
          </w:p>
        </w:tc>
      </w:tr>
      <w:tr w:rsidR="00D93852" w:rsidRPr="00E8636D" w14:paraId="6E68D127" w14:textId="77777777" w:rsidTr="00974497">
        <w:trPr>
          <w:trHeight w:val="300"/>
        </w:trPr>
        <w:tc>
          <w:tcPr>
            <w:tcW w:w="2410" w:type="dxa"/>
          </w:tcPr>
          <w:p w14:paraId="08073528" w14:textId="77777777" w:rsidR="00D93852" w:rsidRPr="00E8636D" w:rsidRDefault="00D93852" w:rsidP="00974497">
            <w:pPr>
              <w:ind w:left="424" w:firstLine="142"/>
              <w:jc w:val="both"/>
              <w:rPr>
                <w:rFonts w:ascii="Verdana" w:eastAsia="Calibri" w:hAnsi="Verdana" w:cs="Arial"/>
                <w:color w:val="000000" w:themeColor="text1"/>
                <w:lang w:val="es-ES" w:eastAsia="es-ES_tradnl"/>
              </w:rPr>
            </w:pPr>
            <w:r w:rsidRPr="00E8636D">
              <w:rPr>
                <w:rFonts w:ascii="Verdana" w:eastAsia="Calibri" w:hAnsi="Verdana" w:cs="Arial"/>
                <w:b/>
                <w:color w:val="000000" w:themeColor="text1"/>
                <w:lang w:val="es-ES" w:eastAsia="es-ES_tradnl"/>
              </w:rPr>
              <w:t>Temas:</w:t>
            </w:r>
            <w:r w:rsidRPr="00E8636D">
              <w:rPr>
                <w:rFonts w:ascii="Verdana" w:eastAsia="Calibri" w:hAnsi="Verdana" w:cs="Arial"/>
                <w:color w:val="000000" w:themeColor="text1"/>
                <w:lang w:val="es-ES" w:eastAsia="es-ES_tradnl"/>
              </w:rPr>
              <w:t xml:space="preserve">                  </w:t>
            </w:r>
          </w:p>
        </w:tc>
        <w:tc>
          <w:tcPr>
            <w:tcW w:w="6100" w:type="dxa"/>
          </w:tcPr>
          <w:p w14:paraId="178EE6DF" w14:textId="7F2B77F4" w:rsidR="00D93852" w:rsidRPr="00E8636D" w:rsidRDefault="00D93852" w:rsidP="00921105">
            <w:pPr>
              <w:spacing w:line="276" w:lineRule="auto"/>
              <w:jc w:val="both"/>
              <w:rPr>
                <w:rFonts w:ascii="Verdana" w:eastAsia="Calibri" w:hAnsi="Verdana" w:cs="Arial"/>
                <w:lang w:val="es-ES" w:eastAsia="es-ES"/>
              </w:rPr>
            </w:pPr>
            <w:r w:rsidRPr="00E8636D">
              <w:rPr>
                <w:rFonts w:ascii="Verdana" w:eastAsia="Calibri" w:hAnsi="Verdana" w:cs="Arial"/>
                <w:lang w:val="es-ES" w:eastAsia="es-ES"/>
              </w:rPr>
              <w:t>LEY DE GARANTÍAS ELECTORALES – Finalidad / LEY DE GARANTÍAS ELECTORALES ‒ Restricciones ‒ Contratación ‒ Tipos de elección / LEY DE GARANTÍAS ELECTORALES ‒ Artículo 33 ‒ Ámbito material</w:t>
            </w:r>
            <w:r w:rsidR="00A74B68">
              <w:rPr>
                <w:rFonts w:ascii="Verdana" w:eastAsia="Calibri" w:hAnsi="Verdana" w:cs="Arial"/>
                <w:lang w:val="es-ES" w:eastAsia="es-ES"/>
              </w:rPr>
              <w:t xml:space="preserve"> y sujetos</w:t>
            </w:r>
            <w:r w:rsidRPr="00E8636D">
              <w:rPr>
                <w:rFonts w:ascii="Verdana" w:eastAsia="Calibri" w:hAnsi="Verdana" w:cs="Arial"/>
                <w:lang w:val="es-ES" w:eastAsia="es-ES"/>
              </w:rPr>
              <w:t xml:space="preserve"> / ESQUEMAS ASOCIATIVOS TERRITORIALES –</w:t>
            </w:r>
            <w:r w:rsidR="00A74B68">
              <w:rPr>
                <w:rFonts w:ascii="Verdana" w:eastAsia="Calibri" w:hAnsi="Verdana" w:cs="Arial"/>
                <w:lang w:val="es-ES" w:eastAsia="es-ES"/>
              </w:rPr>
              <w:t xml:space="preserve"> </w:t>
            </w:r>
            <w:r w:rsidRPr="00E8636D">
              <w:rPr>
                <w:rFonts w:ascii="Verdana" w:eastAsia="Calibri" w:hAnsi="Verdana" w:cs="Arial"/>
                <w:lang w:val="es-ES" w:eastAsia="es-ES"/>
              </w:rPr>
              <w:t>Régimen contractual</w:t>
            </w:r>
            <w:r w:rsidR="00A74B68">
              <w:rPr>
                <w:rFonts w:ascii="Verdana" w:eastAsia="Calibri" w:hAnsi="Verdana" w:cs="Arial"/>
                <w:lang w:val="es-ES" w:eastAsia="es-ES"/>
              </w:rPr>
              <w:t xml:space="preserve"> </w:t>
            </w:r>
            <w:r w:rsidR="00A74B68" w:rsidRPr="00E8636D">
              <w:rPr>
                <w:rFonts w:ascii="Verdana" w:eastAsia="Calibri" w:hAnsi="Verdana" w:cs="Arial"/>
                <w:lang w:val="es-ES" w:eastAsia="es-ES"/>
              </w:rPr>
              <w:t>–</w:t>
            </w:r>
            <w:r w:rsidR="00A74B68">
              <w:rPr>
                <w:rFonts w:ascii="Verdana" w:eastAsia="Calibri" w:hAnsi="Verdana" w:cs="Arial"/>
                <w:lang w:val="es-ES" w:eastAsia="es-ES"/>
              </w:rPr>
              <w:t xml:space="preserve"> Convenios interadministrativos</w:t>
            </w:r>
            <w:r w:rsidRPr="00E8636D">
              <w:rPr>
                <w:rFonts w:ascii="Verdana" w:eastAsia="Calibri" w:hAnsi="Verdana" w:cs="Arial"/>
                <w:lang w:val="es-ES" w:eastAsia="es-ES"/>
              </w:rPr>
              <w:t xml:space="preserve"> / / LEY 99 DE 1993 – Artículo 111 – </w:t>
            </w:r>
            <w:r w:rsidR="00A74B68" w:rsidRPr="00E8636D">
              <w:rPr>
                <w:rFonts w:ascii="Verdana" w:eastAsia="Calibri" w:hAnsi="Verdana" w:cs="Arial"/>
                <w:lang w:val="es-ES" w:eastAsia="es-ES"/>
              </w:rPr>
              <w:t>Ley de Garantías</w:t>
            </w:r>
            <w:r w:rsidR="00A74B68">
              <w:rPr>
                <w:rFonts w:ascii="Verdana" w:eastAsia="Calibri" w:hAnsi="Verdana" w:cs="Arial"/>
                <w:lang w:val="es-ES" w:eastAsia="es-ES"/>
              </w:rPr>
              <w:t xml:space="preserve"> </w:t>
            </w:r>
            <w:r w:rsidR="00A74B68" w:rsidRPr="00E8636D">
              <w:rPr>
                <w:rFonts w:ascii="Verdana" w:eastAsia="Calibri" w:hAnsi="Verdana" w:cs="Arial"/>
                <w:lang w:val="es-ES" w:eastAsia="es-ES"/>
              </w:rPr>
              <w:t>–</w:t>
            </w:r>
            <w:r w:rsidR="00A74B68">
              <w:rPr>
                <w:rFonts w:ascii="Verdana" w:eastAsia="Calibri" w:hAnsi="Verdana" w:cs="Arial"/>
                <w:lang w:val="es-ES" w:eastAsia="es-ES"/>
              </w:rPr>
              <w:t xml:space="preserve"> Aplicación</w:t>
            </w:r>
            <w:r w:rsidRPr="00E8636D">
              <w:rPr>
                <w:rFonts w:ascii="Verdana" w:eastAsia="Calibri" w:hAnsi="Verdana" w:cs="Arial"/>
                <w:lang w:val="es-ES" w:eastAsia="es-ES"/>
              </w:rPr>
              <w:t xml:space="preserve"> / </w:t>
            </w:r>
            <w:r w:rsidR="00A74B68">
              <w:rPr>
                <w:rFonts w:ascii="Verdana" w:eastAsia="Calibri" w:hAnsi="Verdana" w:cs="Arial"/>
                <w:lang w:val="es-ES" w:eastAsia="es-ES"/>
              </w:rPr>
              <w:t xml:space="preserve"> </w:t>
            </w:r>
            <w:r w:rsidRPr="00E8636D">
              <w:rPr>
                <w:rFonts w:ascii="Verdana" w:eastAsia="Calibri" w:hAnsi="Verdana" w:cs="Arial"/>
                <w:lang w:val="es-ES" w:eastAsia="es-ES"/>
              </w:rPr>
              <w:t>ENAJENACIÓN VOLUNTARIA – Ley de Garantías Electorales – Aplicación</w:t>
            </w:r>
          </w:p>
          <w:p w14:paraId="603BBA59" w14:textId="77777777" w:rsidR="00D93852" w:rsidRPr="00E8636D" w:rsidRDefault="00D93852" w:rsidP="00974497">
            <w:pPr>
              <w:spacing w:line="276" w:lineRule="auto"/>
              <w:jc w:val="both"/>
              <w:rPr>
                <w:rFonts w:ascii="Verdana" w:eastAsia="Calibri" w:hAnsi="Verdana" w:cs="Arial"/>
                <w:lang w:val="es-ES" w:eastAsia="es-ES"/>
              </w:rPr>
            </w:pPr>
          </w:p>
        </w:tc>
      </w:tr>
      <w:tr w:rsidR="00D93852" w:rsidRPr="00E8636D" w14:paraId="03D3CEC2" w14:textId="77777777" w:rsidTr="00974497">
        <w:tc>
          <w:tcPr>
            <w:tcW w:w="2410" w:type="dxa"/>
          </w:tcPr>
          <w:p w14:paraId="462CC9CA" w14:textId="77777777" w:rsidR="00D93852" w:rsidRPr="00E8636D" w:rsidRDefault="00D93852" w:rsidP="00974497">
            <w:pPr>
              <w:ind w:left="561"/>
              <w:jc w:val="both"/>
              <w:rPr>
                <w:rFonts w:ascii="Verdana" w:eastAsia="Calibri" w:hAnsi="Verdana" w:cs="Arial"/>
                <w:b/>
                <w:color w:val="000000" w:themeColor="text1"/>
                <w:lang w:val="es-ES" w:eastAsia="es-ES_tradnl"/>
              </w:rPr>
            </w:pPr>
            <w:r w:rsidRPr="00E8636D">
              <w:rPr>
                <w:rFonts w:ascii="Verdana" w:eastAsia="Calibri" w:hAnsi="Verdana" w:cs="Arial"/>
                <w:b/>
                <w:color w:val="000000" w:themeColor="text1"/>
                <w:lang w:val="es-ES" w:eastAsia="es-ES_tradnl"/>
              </w:rPr>
              <w:t xml:space="preserve"> Radicación:</w:t>
            </w:r>
            <w:r w:rsidRPr="00E8636D">
              <w:rPr>
                <w:rFonts w:ascii="Verdana" w:eastAsia="Calibri" w:hAnsi="Verdana" w:cs="Arial"/>
                <w:color w:val="000000" w:themeColor="text1"/>
                <w:lang w:val="es-ES" w:eastAsia="es-ES_tradnl"/>
              </w:rPr>
              <w:t xml:space="preserve">              </w:t>
            </w:r>
          </w:p>
        </w:tc>
        <w:tc>
          <w:tcPr>
            <w:tcW w:w="6100" w:type="dxa"/>
          </w:tcPr>
          <w:p w14:paraId="3F4637B4" w14:textId="77777777" w:rsidR="00D93852" w:rsidRPr="00E8636D" w:rsidRDefault="00D93852" w:rsidP="00974497">
            <w:pPr>
              <w:ind w:left="3"/>
              <w:jc w:val="both"/>
              <w:rPr>
                <w:rFonts w:ascii="Verdana" w:hAnsi="Verdana"/>
                <w:color w:val="000000"/>
                <w:lang w:val="es-ES"/>
              </w:rPr>
            </w:pPr>
            <w:r w:rsidRPr="00E8636D">
              <w:rPr>
                <w:rFonts w:ascii="Verdana" w:eastAsia="Calibri" w:hAnsi="Verdana" w:cs="Arial"/>
                <w:color w:val="000000" w:themeColor="text1"/>
                <w:lang w:val="es-ES" w:eastAsia="es-ES"/>
              </w:rPr>
              <w:t>Respuesta a consulta con radicado No. 1_2025_08_25_008999</w:t>
            </w:r>
          </w:p>
        </w:tc>
      </w:tr>
    </w:tbl>
    <w:p w14:paraId="6FAF9E33" w14:textId="77777777" w:rsidR="00D93852" w:rsidRPr="00E8636D" w:rsidRDefault="00D93852" w:rsidP="00D93852">
      <w:pPr>
        <w:spacing w:after="0" w:line="276" w:lineRule="auto"/>
        <w:jc w:val="both"/>
        <w:rPr>
          <w:rFonts w:ascii="Verdana" w:eastAsia="Calibri" w:hAnsi="Verdana" w:cs="Arial"/>
          <w:color w:val="000000" w:themeColor="text1"/>
          <w:lang w:val="es-ES" w:eastAsia="es-ES"/>
        </w:rPr>
      </w:pPr>
    </w:p>
    <w:p w14:paraId="3F54ED6F" w14:textId="77777777" w:rsidR="00D93852" w:rsidRPr="00E8636D" w:rsidRDefault="00D93852" w:rsidP="00D93852">
      <w:pPr>
        <w:spacing w:after="0" w:line="276" w:lineRule="auto"/>
        <w:jc w:val="both"/>
        <w:rPr>
          <w:rFonts w:ascii="Verdana" w:eastAsia="Calibri" w:hAnsi="Verdana" w:cs="Arial"/>
          <w:color w:val="000000" w:themeColor="text1"/>
          <w:lang w:val="es-ES" w:eastAsia="es-ES"/>
        </w:rPr>
      </w:pPr>
    </w:p>
    <w:p w14:paraId="38258C2C" w14:textId="77777777" w:rsidR="00D93852" w:rsidRPr="00E8636D" w:rsidRDefault="00D93852" w:rsidP="00D93852">
      <w:pPr>
        <w:spacing w:after="0" w:line="276" w:lineRule="auto"/>
        <w:jc w:val="both"/>
        <w:rPr>
          <w:rFonts w:ascii="Verdana" w:eastAsia="Calibri" w:hAnsi="Verdana" w:cs="Arial"/>
          <w:color w:val="000000" w:themeColor="text1"/>
          <w:lang w:val="es-ES" w:eastAsia="es-ES"/>
        </w:rPr>
      </w:pPr>
      <w:r w:rsidRPr="00E8636D">
        <w:rPr>
          <w:rFonts w:ascii="Verdana" w:eastAsia="Calibri" w:hAnsi="Verdana" w:cs="Arial"/>
          <w:color w:val="000000" w:themeColor="text1"/>
          <w:lang w:val="es-ES" w:eastAsia="es-ES"/>
        </w:rPr>
        <w:t xml:space="preserve">Estimada señora González: </w:t>
      </w:r>
    </w:p>
    <w:p w14:paraId="137F4D74" w14:textId="77777777" w:rsidR="00D93852" w:rsidRPr="00E8636D" w:rsidRDefault="00D93852" w:rsidP="00D93852">
      <w:pPr>
        <w:tabs>
          <w:tab w:val="left" w:pos="3768"/>
        </w:tabs>
        <w:spacing w:after="0" w:line="276" w:lineRule="auto"/>
        <w:jc w:val="both"/>
        <w:rPr>
          <w:rFonts w:ascii="Verdana" w:eastAsia="Calibri" w:hAnsi="Verdana" w:cs="Arial"/>
          <w:color w:val="000000" w:themeColor="text1"/>
          <w:lang w:val="es-ES" w:eastAsia="es-ES"/>
        </w:rPr>
      </w:pPr>
      <w:r w:rsidRPr="00E8636D">
        <w:rPr>
          <w:rFonts w:ascii="Verdana" w:eastAsia="Calibri" w:hAnsi="Verdana" w:cs="Arial"/>
          <w:color w:val="000000" w:themeColor="text1"/>
          <w:lang w:val="es-ES" w:eastAsia="es-ES"/>
        </w:rPr>
        <w:tab/>
      </w:r>
    </w:p>
    <w:p w14:paraId="15CB09F9" w14:textId="77777777" w:rsidR="00D93852" w:rsidRPr="00E8636D" w:rsidRDefault="00D93852" w:rsidP="00D93852">
      <w:pPr>
        <w:spacing w:after="0" w:line="276" w:lineRule="auto"/>
        <w:jc w:val="both"/>
        <w:rPr>
          <w:rFonts w:ascii="Verdana" w:eastAsia="Calibri" w:hAnsi="Verdana" w:cs="Arial"/>
          <w:color w:val="000000" w:themeColor="text1"/>
          <w:lang w:val="es-ES" w:eastAsia="es-ES"/>
        </w:rPr>
      </w:pPr>
      <w:r w:rsidRPr="00E8636D">
        <w:rPr>
          <w:rFonts w:ascii="Verdana" w:eastAsia="Calibri" w:hAnsi="Verdana" w:cs="Arial"/>
          <w:color w:val="000000" w:themeColor="text1"/>
          <w:lang w:val="es-ES" w:eastAsia="es-ES"/>
        </w:rPr>
        <w:t>En ejercicio de la competencia otorgada por los artículos 3, numeral 5º, y 11, numeral 8º, del Decreto Ley 4170 de 2011,</w:t>
      </w:r>
      <w:r w:rsidRPr="00E8636D">
        <w:rPr>
          <w:rFonts w:ascii="Verdana" w:eastAsia="Arial MT" w:hAnsi="Verdana" w:cs="Arial MT"/>
          <w:color w:val="000000" w:themeColor="text1"/>
          <w:lang w:val="es-ES" w:eastAsia="es-ES"/>
        </w:rPr>
        <w:t xml:space="preserve"> </w:t>
      </w:r>
      <w:r w:rsidRPr="00E8636D">
        <w:rPr>
          <w:rFonts w:ascii="Verdana" w:hAnsi="Verdana" w:cs="Arial"/>
          <w:color w:val="000000" w:themeColor="text1"/>
          <w:lang w:val="es-ES"/>
        </w:rPr>
        <w:t xml:space="preserve">así como lo establecido en el artículo 4 de la Resolución 1707 de 2018 expedida por esta Entidad, </w:t>
      </w:r>
      <w:r w:rsidRPr="00E8636D">
        <w:rPr>
          <w:rFonts w:ascii="Verdana" w:eastAsia="Calibri" w:hAnsi="Verdana" w:cs="Arial"/>
          <w:color w:val="000000" w:themeColor="text1"/>
          <w:lang w:val="es-ES" w:eastAsia="es-ES"/>
        </w:rPr>
        <w:t xml:space="preserve">la Agencia Nacional de Contratación Pública – Colombia Compra Eficiente– responde su solicitud de consulta de fecha 25 de agosto de 2025, en la cual manifiesta lo siguiente: </w:t>
      </w:r>
    </w:p>
    <w:p w14:paraId="294A5D17" w14:textId="77777777" w:rsidR="00D93852" w:rsidRPr="00E8636D" w:rsidRDefault="00D93852" w:rsidP="00D93852">
      <w:pPr>
        <w:tabs>
          <w:tab w:val="left" w:pos="142"/>
          <w:tab w:val="left" w:pos="284"/>
        </w:tabs>
        <w:spacing w:after="0" w:line="276" w:lineRule="auto"/>
        <w:contextualSpacing/>
        <w:jc w:val="both"/>
        <w:rPr>
          <w:rFonts w:ascii="Verdana" w:eastAsia="Century Gothic" w:hAnsi="Verdana" w:cs="Century Gothic"/>
          <w:b/>
          <w:bCs/>
          <w:color w:val="000000" w:themeColor="text1"/>
          <w:lang w:val="es-ES"/>
        </w:rPr>
      </w:pPr>
    </w:p>
    <w:p w14:paraId="24E207B6" w14:textId="6959B9EB" w:rsidR="00D93852" w:rsidRPr="00E8636D" w:rsidRDefault="00D93852" w:rsidP="00D93852">
      <w:pPr>
        <w:spacing w:before="120" w:after="120"/>
        <w:ind w:left="709" w:right="709"/>
        <w:contextualSpacing/>
        <w:jc w:val="both"/>
        <w:rPr>
          <w:rFonts w:ascii="Verdana" w:eastAsia="Century Gothic" w:hAnsi="Verdana" w:cs="Century Gothic"/>
          <w:i/>
          <w:iCs/>
          <w:color w:val="000000" w:themeColor="text1"/>
          <w:sz w:val="20"/>
          <w:szCs w:val="20"/>
          <w:lang w:val="es-ES"/>
        </w:rPr>
      </w:pPr>
      <w:r w:rsidRPr="00E8636D">
        <w:rPr>
          <w:rFonts w:ascii="Verdana" w:eastAsia="Century Gothic" w:hAnsi="Verdana" w:cs="Century Gothic"/>
          <w:i/>
          <w:iCs/>
          <w:color w:val="000000" w:themeColor="text1"/>
          <w:sz w:val="20"/>
          <w:szCs w:val="20"/>
          <w:lang w:val="es-ES"/>
        </w:rPr>
        <w:t xml:space="preserve">“¿En vigencia de la Ley de Garantías se puede ejecutar la adquisición predial para el desarrollo mediante </w:t>
      </w:r>
      <w:r w:rsidR="00B97117" w:rsidRPr="00E8636D">
        <w:rPr>
          <w:rFonts w:ascii="Verdana" w:eastAsia="Century Gothic" w:hAnsi="Verdana" w:cs="Century Gothic"/>
          <w:i/>
          <w:iCs/>
          <w:color w:val="000000" w:themeColor="text1"/>
          <w:sz w:val="20"/>
          <w:szCs w:val="20"/>
          <w:lang w:val="es-ES"/>
        </w:rPr>
        <w:t>negociación</w:t>
      </w:r>
      <w:r w:rsidRPr="00E8636D">
        <w:rPr>
          <w:rFonts w:ascii="Verdana" w:eastAsia="Century Gothic" w:hAnsi="Verdana" w:cs="Century Gothic"/>
          <w:i/>
          <w:iCs/>
          <w:color w:val="000000" w:themeColor="text1"/>
          <w:sz w:val="20"/>
          <w:szCs w:val="20"/>
          <w:lang w:val="es-ES"/>
        </w:rPr>
        <w:t xml:space="preserve"> voluntaria y </w:t>
      </w:r>
      <w:r w:rsidR="00B97117" w:rsidRPr="00E8636D">
        <w:rPr>
          <w:rFonts w:ascii="Verdana" w:eastAsia="Century Gothic" w:hAnsi="Verdana" w:cs="Century Gothic"/>
          <w:i/>
          <w:iCs/>
          <w:color w:val="000000" w:themeColor="text1"/>
          <w:sz w:val="20"/>
          <w:szCs w:val="20"/>
          <w:lang w:val="es-ES"/>
        </w:rPr>
        <w:t>expropiación</w:t>
      </w:r>
      <w:r w:rsidRPr="00E8636D">
        <w:rPr>
          <w:rFonts w:ascii="Verdana" w:eastAsia="Century Gothic" w:hAnsi="Verdana" w:cs="Century Gothic"/>
          <w:i/>
          <w:iCs/>
          <w:color w:val="000000" w:themeColor="text1"/>
          <w:sz w:val="20"/>
          <w:szCs w:val="20"/>
          <w:lang w:val="es-ES"/>
        </w:rPr>
        <w:t xml:space="preserve"> por vía administrativa para la </w:t>
      </w:r>
      <w:r w:rsidR="00B97117" w:rsidRPr="00E8636D">
        <w:rPr>
          <w:rFonts w:ascii="Verdana" w:eastAsia="Century Gothic" w:hAnsi="Verdana" w:cs="Century Gothic"/>
          <w:i/>
          <w:iCs/>
          <w:color w:val="000000" w:themeColor="text1"/>
          <w:sz w:val="20"/>
          <w:szCs w:val="20"/>
          <w:lang w:val="es-ES"/>
        </w:rPr>
        <w:t>protección</w:t>
      </w:r>
      <w:r w:rsidRPr="00E8636D">
        <w:rPr>
          <w:rFonts w:ascii="Verdana" w:eastAsia="Century Gothic" w:hAnsi="Verdana" w:cs="Century Gothic"/>
          <w:i/>
          <w:iCs/>
          <w:color w:val="000000" w:themeColor="text1"/>
          <w:sz w:val="20"/>
          <w:szCs w:val="20"/>
          <w:lang w:val="es-ES"/>
        </w:rPr>
        <w:t xml:space="preserve"> del recurso </w:t>
      </w:r>
      <w:r w:rsidR="00B97117" w:rsidRPr="00E8636D">
        <w:rPr>
          <w:rFonts w:ascii="Verdana" w:eastAsia="Century Gothic" w:hAnsi="Verdana" w:cs="Century Gothic"/>
          <w:i/>
          <w:iCs/>
          <w:color w:val="000000" w:themeColor="text1"/>
          <w:sz w:val="20"/>
          <w:szCs w:val="20"/>
          <w:lang w:val="es-ES"/>
        </w:rPr>
        <w:t>hídrico</w:t>
      </w:r>
      <w:r w:rsidRPr="00E8636D">
        <w:rPr>
          <w:rFonts w:ascii="Verdana" w:eastAsia="Century Gothic" w:hAnsi="Verdana" w:cs="Century Gothic"/>
          <w:i/>
          <w:iCs/>
          <w:color w:val="000000" w:themeColor="text1"/>
          <w:sz w:val="20"/>
          <w:szCs w:val="20"/>
          <w:lang w:val="es-ES"/>
        </w:rPr>
        <w:t xml:space="preserve"> normada en el </w:t>
      </w:r>
      <w:r w:rsidR="00B97117" w:rsidRPr="00E8636D">
        <w:rPr>
          <w:rFonts w:ascii="Verdana" w:eastAsia="Century Gothic" w:hAnsi="Verdana" w:cs="Century Gothic"/>
          <w:i/>
          <w:iCs/>
          <w:color w:val="000000" w:themeColor="text1"/>
          <w:sz w:val="20"/>
          <w:szCs w:val="20"/>
          <w:lang w:val="es-ES"/>
        </w:rPr>
        <w:t>artículo</w:t>
      </w:r>
      <w:r w:rsidRPr="00E8636D">
        <w:rPr>
          <w:rFonts w:ascii="Verdana" w:eastAsia="Century Gothic" w:hAnsi="Verdana" w:cs="Century Gothic"/>
          <w:i/>
          <w:iCs/>
          <w:color w:val="000000" w:themeColor="text1"/>
          <w:sz w:val="20"/>
          <w:szCs w:val="20"/>
          <w:lang w:val="es-ES"/>
        </w:rPr>
        <w:t xml:space="preserve"> 111 de la ley 99 de 1993?”</w:t>
      </w:r>
      <w:r w:rsidR="009A3E62" w:rsidRPr="00E8636D">
        <w:rPr>
          <w:rFonts w:ascii="Verdana" w:eastAsia="Century Gothic" w:hAnsi="Verdana" w:cs="Century Gothic"/>
          <w:i/>
          <w:iCs/>
          <w:color w:val="000000" w:themeColor="text1"/>
          <w:sz w:val="20"/>
          <w:szCs w:val="20"/>
          <w:lang w:val="es-ES"/>
        </w:rPr>
        <w:t xml:space="preserve">. </w:t>
      </w:r>
    </w:p>
    <w:p w14:paraId="0E4E881E" w14:textId="77777777" w:rsidR="00D93852" w:rsidRPr="00E8636D" w:rsidRDefault="00D93852" w:rsidP="00D93852">
      <w:pPr>
        <w:spacing w:before="120" w:after="120"/>
        <w:ind w:left="709" w:right="709"/>
        <w:contextualSpacing/>
        <w:jc w:val="both"/>
        <w:rPr>
          <w:rFonts w:ascii="Verdana" w:hAnsi="Verdana"/>
          <w:i/>
          <w:iCs/>
          <w:sz w:val="20"/>
          <w:szCs w:val="20"/>
          <w:lang w:val="es-ES"/>
        </w:rPr>
      </w:pPr>
    </w:p>
    <w:p w14:paraId="75C8A6CF" w14:textId="77777777" w:rsidR="00D93852" w:rsidRPr="00E8636D" w:rsidRDefault="00D93852" w:rsidP="00D93852">
      <w:pPr>
        <w:spacing w:after="120" w:line="276" w:lineRule="auto"/>
        <w:ind w:firstLine="708"/>
        <w:jc w:val="both"/>
        <w:rPr>
          <w:rFonts w:ascii="Verdana" w:eastAsia="Calibri" w:hAnsi="Verdana" w:cs="Arial"/>
          <w:color w:val="000000" w:themeColor="text1"/>
          <w:lang w:val="es-ES" w:eastAsia="es-ES"/>
        </w:rPr>
      </w:pPr>
      <w:r w:rsidRPr="00E8636D">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w:t>
      </w:r>
      <w:r w:rsidRPr="00E8636D">
        <w:rPr>
          <w:rFonts w:ascii="Verdana" w:eastAsia="Calibri" w:hAnsi="Verdana" w:cs="Arial"/>
          <w:color w:val="000000" w:themeColor="text1"/>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8636D">
        <w:rPr>
          <w:lang w:val="es-ES"/>
        </w:rPr>
        <w:tab/>
      </w:r>
    </w:p>
    <w:p w14:paraId="2DB45115" w14:textId="77777777" w:rsidR="00D93852" w:rsidRPr="00E8636D" w:rsidRDefault="00D93852" w:rsidP="00D93852">
      <w:pPr>
        <w:spacing w:after="0" w:line="276" w:lineRule="auto"/>
        <w:ind w:firstLine="709"/>
        <w:jc w:val="both"/>
        <w:rPr>
          <w:rFonts w:ascii="Verdana" w:eastAsia="Calibri" w:hAnsi="Verdana" w:cs="Arial"/>
          <w:color w:val="000000" w:themeColor="text1"/>
          <w:lang w:val="es-ES" w:eastAsia="es-ES"/>
        </w:rPr>
      </w:pPr>
      <w:r w:rsidRPr="00E8636D">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9974C19" w14:textId="77777777" w:rsidR="00D93852" w:rsidRPr="00E8636D" w:rsidRDefault="00D93852" w:rsidP="00D93852">
      <w:pPr>
        <w:spacing w:after="0" w:line="276" w:lineRule="auto"/>
        <w:ind w:firstLine="709"/>
        <w:jc w:val="both"/>
        <w:rPr>
          <w:rFonts w:ascii="Verdana" w:eastAsia="Calibri" w:hAnsi="Verdana" w:cs="Arial"/>
          <w:color w:val="000000" w:themeColor="text1"/>
          <w:lang w:val="es-ES" w:eastAsia="es-ES"/>
        </w:rPr>
      </w:pPr>
    </w:p>
    <w:p w14:paraId="3C4F4123" w14:textId="77777777" w:rsidR="00D93852" w:rsidRPr="00E8636D" w:rsidRDefault="00D93852" w:rsidP="00D93852">
      <w:pPr>
        <w:tabs>
          <w:tab w:val="left" w:pos="142"/>
          <w:tab w:val="left" w:pos="284"/>
        </w:tabs>
        <w:spacing w:after="0" w:line="276" w:lineRule="auto"/>
        <w:contextualSpacing/>
        <w:jc w:val="both"/>
        <w:rPr>
          <w:rFonts w:ascii="Verdana" w:eastAsia="Century Gothic" w:hAnsi="Verdana" w:cs="Century Gothic"/>
          <w:b/>
          <w:color w:val="000000" w:themeColor="text1"/>
          <w:lang w:val="es-ES"/>
        </w:rPr>
      </w:pPr>
      <w:r w:rsidRPr="00E8636D">
        <w:rPr>
          <w:rFonts w:ascii="Verdana" w:eastAsia="Century Gothic" w:hAnsi="Verdana" w:cs="Century Gothic"/>
          <w:b/>
          <w:color w:val="000000" w:themeColor="text1"/>
          <w:lang w:val="es-ES"/>
        </w:rPr>
        <w:t>1.Problema planteado:</w:t>
      </w:r>
    </w:p>
    <w:p w14:paraId="47829E7A" w14:textId="77777777" w:rsidR="00D93852" w:rsidRPr="00E8636D" w:rsidRDefault="00D93852" w:rsidP="00D93852">
      <w:pPr>
        <w:tabs>
          <w:tab w:val="left" w:pos="426"/>
        </w:tabs>
        <w:spacing w:after="0" w:line="276" w:lineRule="auto"/>
        <w:jc w:val="both"/>
        <w:rPr>
          <w:rFonts w:ascii="Verdana" w:eastAsia="Century Gothic" w:hAnsi="Verdana" w:cs="Century Gothic"/>
          <w:color w:val="000000" w:themeColor="text1"/>
          <w:lang w:val="es-ES"/>
        </w:rPr>
      </w:pPr>
    </w:p>
    <w:p w14:paraId="79068216" w14:textId="77777777" w:rsidR="00D93852" w:rsidRPr="00E8636D" w:rsidRDefault="00D93852" w:rsidP="00D93852">
      <w:pPr>
        <w:spacing w:after="0" w:line="276" w:lineRule="auto"/>
        <w:jc w:val="both"/>
        <w:rPr>
          <w:rFonts w:ascii="Verdana" w:eastAsia="Century Gothic" w:hAnsi="Verdana" w:cs="Century Gothic"/>
          <w:color w:val="000000" w:themeColor="text1"/>
          <w:lang w:val="es-ES"/>
        </w:rPr>
      </w:pPr>
      <w:r w:rsidRPr="00E8636D">
        <w:rPr>
          <w:rFonts w:ascii="Verdana" w:eastAsia="Century Gothic" w:hAnsi="Verdana" w:cs="Century Gothic"/>
          <w:color w:val="000000" w:themeColor="text1"/>
          <w:lang w:val="es-ES"/>
        </w:rPr>
        <w:t>De acuerdo con el contenido de su solicitud, esta Agencia resolverá el siguiente problema jurídico: ¿Cuál es el marco jurídico para la aplicación de la Ley de Garantías Electorales a los procesos que adelanten las entidades para la adquisición o mantenimiento de áreas de interés para acueductos municipales, distritales y regionales regulada en el artículo 111 de la Ley 99 de 1993?</w:t>
      </w:r>
    </w:p>
    <w:p w14:paraId="09B9890C" w14:textId="77777777" w:rsidR="00D93852" w:rsidRPr="00E8636D" w:rsidRDefault="00D93852" w:rsidP="00D93852">
      <w:pPr>
        <w:spacing w:after="0" w:line="276" w:lineRule="auto"/>
        <w:jc w:val="both"/>
        <w:rPr>
          <w:rFonts w:ascii="Verdana" w:eastAsia="Calibri" w:hAnsi="Verdana" w:cs="Arial"/>
          <w:color w:val="000000" w:themeColor="text1"/>
          <w:lang w:val="es-ES"/>
        </w:rPr>
      </w:pPr>
    </w:p>
    <w:p w14:paraId="2DCB38FF" w14:textId="77777777" w:rsidR="00D93852" w:rsidRPr="00E8636D" w:rsidRDefault="00D93852" w:rsidP="00D93852">
      <w:pPr>
        <w:tabs>
          <w:tab w:val="left" w:pos="142"/>
          <w:tab w:val="left" w:pos="284"/>
        </w:tabs>
        <w:spacing w:after="0" w:line="276" w:lineRule="auto"/>
        <w:jc w:val="both"/>
        <w:rPr>
          <w:rFonts w:ascii="Verdana" w:eastAsia="Century Gothic" w:hAnsi="Verdana" w:cs="Century Gothic"/>
          <w:b/>
          <w:color w:val="000000" w:themeColor="text1"/>
          <w:lang w:val="es-ES"/>
        </w:rPr>
      </w:pPr>
      <w:r w:rsidRPr="00E8636D">
        <w:rPr>
          <w:rFonts w:ascii="Verdana" w:eastAsia="Century Gothic" w:hAnsi="Verdana" w:cs="Century Gothic"/>
          <w:b/>
          <w:color w:val="000000" w:themeColor="text1"/>
          <w:lang w:val="es-ES"/>
        </w:rPr>
        <w:t>2.Respuesta:</w:t>
      </w:r>
    </w:p>
    <w:p w14:paraId="68566BD8" w14:textId="77777777" w:rsidR="00D93852" w:rsidRPr="00E8636D" w:rsidRDefault="00D93852" w:rsidP="00D93852">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93852" w:rsidRPr="00E8636D" w14:paraId="7D0BC0E8" w14:textId="77777777" w:rsidTr="00974497">
        <w:tc>
          <w:tcPr>
            <w:tcW w:w="8828" w:type="dxa"/>
          </w:tcPr>
          <w:p w14:paraId="56743C2C" w14:textId="77777777" w:rsidR="00D93852" w:rsidRPr="00E8636D" w:rsidRDefault="00D93852" w:rsidP="00974497">
            <w:pPr>
              <w:spacing w:before="120" w:after="120" w:line="276" w:lineRule="auto"/>
              <w:jc w:val="both"/>
              <w:rPr>
                <w:rFonts w:ascii="Verdana" w:eastAsia="Calibri" w:hAnsi="Verdana" w:cs="Arial"/>
                <w:lang w:val="es-ES"/>
              </w:rPr>
            </w:pPr>
            <w:r w:rsidRPr="00E8636D">
              <w:rPr>
                <w:rFonts w:ascii="Verdana" w:eastAsia="Calibri" w:hAnsi="Verdana" w:cs="Arial"/>
                <w:color w:val="000000" w:themeColor="text1"/>
                <w:lang w:val="es-ES"/>
              </w:rPr>
              <w:t>E</w:t>
            </w:r>
            <w:r w:rsidRPr="00E8636D">
              <w:rPr>
                <w:rFonts w:ascii="Verdana" w:eastAsia="Calibri" w:hAnsi="Verdana" w:cs="Arial"/>
                <w:lang w:val="es-ES"/>
              </w:rPr>
              <w:t xml:space="preserve">l </w:t>
            </w:r>
            <w:r w:rsidRPr="00E8636D">
              <w:rPr>
                <w:rFonts w:ascii="Verdana" w:eastAsia="Calibri" w:hAnsi="Verdana" w:cs="Arial"/>
                <w:i/>
                <w:iCs/>
                <w:lang w:val="es-ES"/>
              </w:rPr>
              <w:t>artículo 33</w:t>
            </w:r>
            <w:r w:rsidRPr="00E8636D">
              <w:rPr>
                <w:rFonts w:ascii="Verdana" w:eastAsia="Calibri" w:hAnsi="Verdana" w:cs="Arial"/>
                <w:lang w:val="es-ES"/>
              </w:rPr>
              <w:t xml:space="preserve">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43543BE" w14:textId="77777777" w:rsidR="00D93852" w:rsidRPr="00E8636D" w:rsidRDefault="00D93852" w:rsidP="00974497">
            <w:pPr>
              <w:widowControl w:val="0"/>
              <w:autoSpaceDE w:val="0"/>
              <w:autoSpaceDN w:val="0"/>
              <w:spacing w:after="120" w:line="276" w:lineRule="auto"/>
              <w:ind w:right="113" w:firstLine="709"/>
              <w:jc w:val="both"/>
              <w:rPr>
                <w:rFonts w:ascii="Verdana" w:eastAsia="Arial" w:hAnsi="Verdana" w:cs="Arial"/>
                <w:lang w:val="es-ES" w:eastAsia="es-ES" w:bidi="es-ES"/>
              </w:rPr>
            </w:pPr>
            <w:r w:rsidRPr="00E8636D">
              <w:rPr>
                <w:rFonts w:ascii="Verdana" w:eastAsia="Calibri" w:hAnsi="Verdana" w:cs="Arial"/>
                <w:lang w:val="es-ES"/>
              </w:rPr>
              <w:t xml:space="preserve">Por otro lado, </w:t>
            </w:r>
            <w:r w:rsidRPr="00E8636D">
              <w:rPr>
                <w:rFonts w:ascii="Verdana" w:eastAsia="Calibri" w:hAnsi="Verdana" w:cs="Arial"/>
                <w:i/>
                <w:iCs/>
                <w:lang w:val="es-ES"/>
              </w:rPr>
              <w:t xml:space="preserve">el parágrafo del artículo 38 </w:t>
            </w:r>
            <w:r w:rsidRPr="00E8636D">
              <w:rPr>
                <w:rFonts w:ascii="Verdana" w:eastAsia="Calibri" w:hAnsi="Verdana" w:cs="Arial"/>
                <w:lang w:val="es-ES"/>
              </w:rPr>
              <w:t xml:space="preserve">de la Ley 996 de 2005 prevé </w:t>
            </w:r>
            <w:r w:rsidRPr="00E8636D">
              <w:rPr>
                <w:rFonts w:ascii="Verdana" w:eastAsia="Calibri" w:hAnsi="Verdana" w:cs="Arial"/>
                <w:lang w:val="es-ES"/>
              </w:rPr>
              <w:lastRenderedPageBreak/>
              <w:t>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8636D">
              <w:rPr>
                <w:rFonts w:ascii="Verdana" w:eastAsia="Arial" w:hAnsi="Verdana" w:cs="Arial"/>
                <w:lang w:val="es-ES" w:eastAsia="es-ES" w:bidi="es-ES"/>
              </w:rPr>
              <w:t xml:space="preserve"> </w:t>
            </w:r>
          </w:p>
          <w:p w14:paraId="4A74AF1B" w14:textId="77777777" w:rsidR="00D93852" w:rsidRPr="00E8636D" w:rsidRDefault="00D93852" w:rsidP="00974497">
            <w:pPr>
              <w:tabs>
                <w:tab w:val="left" w:pos="426"/>
              </w:tabs>
              <w:spacing w:after="120" w:line="276" w:lineRule="auto"/>
              <w:ind w:firstLine="709"/>
              <w:jc w:val="both"/>
              <w:rPr>
                <w:rFonts w:ascii="Verdana" w:eastAsia="Verdana" w:hAnsi="Verdana" w:cs="Verdana"/>
                <w:lang w:val="es-ES"/>
              </w:rPr>
            </w:pPr>
            <w:r w:rsidRPr="00E8636D">
              <w:rPr>
                <w:rFonts w:ascii="Verdana" w:hAnsi="Verdana" w:cs="Arial"/>
                <w:bCs/>
                <w:color w:val="000000" w:themeColor="text1"/>
                <w:lang w:val="es-ES"/>
              </w:rPr>
              <w:t xml:space="preserve">Teniendo en cuenta el tema de su consulta, es importante señalar que el artículo 11 de la Ley 99 de 1993 </w:t>
            </w:r>
            <w:r w:rsidRPr="00E8636D">
              <w:rPr>
                <w:rFonts w:ascii="Verdana" w:hAnsi="Verdana" w:cs="Arial"/>
                <w:bCs/>
                <w:lang w:val="es-ES" w:eastAsia="es-CO"/>
              </w:rPr>
              <w:t>modificado por el artículo 3 de la Ley 2320 de 2023 establece que los departamentos, distritos y municipios deben dedicar al menos el uno por ciento (1%) de sus ingresos corrientes de libre destinación para la adquisición o el mantenimiento de las áreas de importancia estratégica para la conservación de recursos hídricos que surten de agua</w:t>
            </w:r>
            <w:r w:rsidRPr="00E8636D">
              <w:rPr>
                <w:rFonts w:ascii="Verdana" w:eastAsia="Verdana" w:hAnsi="Verdana" w:cs="Verdana"/>
                <w:lang w:val="es-ES"/>
              </w:rPr>
              <w:t xml:space="preserve"> sus acueductos. Sobre los mecanismos que tienen a disposición estas entidades para la ejecución de los proyectos de adquisición o mantenimiento, el parágrafo cuarto del artículo 111 </w:t>
            </w:r>
            <w:r w:rsidRPr="00E8636D">
              <w:rPr>
                <w:rFonts w:ascii="Verdana" w:hAnsi="Verdana" w:cs="Arial"/>
                <w:bCs/>
                <w:lang w:val="es-ES" w:eastAsia="es-CO"/>
              </w:rPr>
              <w:t xml:space="preserve">Ley 99 de 1993 </w:t>
            </w:r>
            <w:r w:rsidRPr="00E8636D">
              <w:rPr>
                <w:rFonts w:ascii="Verdana" w:eastAsia="Verdana" w:hAnsi="Verdana" w:cs="Verdana"/>
                <w:lang w:val="es-ES"/>
              </w:rPr>
              <w:t>señala que: “Los municipios podrán hacer uso de los esquemas asociativos territoriales y demás mecanismos de colaboración, cooperación y coordinación con otros municipios, departamentos o autoridades ambientales competentes para invertir los recursos a los que hace referencia el presente artículo”.</w:t>
            </w:r>
          </w:p>
          <w:p w14:paraId="796E8BE7" w14:textId="4B5B4EBE" w:rsidR="00D93852" w:rsidRPr="00E8636D" w:rsidRDefault="00D93852" w:rsidP="00974497">
            <w:pPr>
              <w:spacing w:before="120" w:after="120" w:line="276" w:lineRule="auto"/>
              <w:ind w:firstLine="709"/>
              <w:jc w:val="both"/>
              <w:rPr>
                <w:rFonts w:ascii="Verdana" w:eastAsia="Verdana" w:hAnsi="Verdana" w:cs="Verdana"/>
                <w:lang w:val="es-ES"/>
              </w:rPr>
            </w:pPr>
            <w:r w:rsidRPr="00E8636D">
              <w:rPr>
                <w:rFonts w:ascii="Verdana" w:eastAsia="Verdana" w:hAnsi="Verdana" w:cs="Verdana"/>
                <w:lang w:val="es-ES"/>
              </w:rPr>
              <w:t xml:space="preserve">En efecto, los departamentos, municipios y distritos pueden contratar </w:t>
            </w:r>
            <w:r w:rsidRPr="00E8636D">
              <w:rPr>
                <w:rFonts w:ascii="Verdana" w:hAnsi="Verdana" w:cs="Arial"/>
                <w:bCs/>
                <w:lang w:val="es-ES" w:eastAsia="es-CO"/>
              </w:rPr>
              <w:t>la adquisición o el mantenimiento de las áreas de importancia estratégica para la conservación de recursos hídricos que surten de agua</w:t>
            </w:r>
            <w:r w:rsidRPr="00E8636D">
              <w:rPr>
                <w:rFonts w:ascii="Verdana" w:eastAsia="Verdana" w:hAnsi="Verdana" w:cs="Verdana"/>
                <w:lang w:val="es-ES"/>
              </w:rPr>
              <w:t xml:space="preserve"> sus acueductos de manera individual, o utilizar los esquemas asociativos territoriales determinados en la Ley 1454 de 2011. En ambos supuestos, su actividad contractual estará sometida al EGCAP, en virtud de lo establecido en el </w:t>
            </w:r>
            <w:r w:rsidRPr="00E8636D">
              <w:rPr>
                <w:rStyle w:val="normaltextrun"/>
                <w:rFonts w:ascii="Verdana" w:hAnsi="Verdana" w:cs="Arial"/>
                <w:color w:val="000000"/>
                <w:lang w:val="es-ES"/>
              </w:rPr>
              <w:t xml:space="preserve">numeral 1 del artículo 2 de la Ley 80 de 1993. Por otra parte, el artículo 17 de la </w:t>
            </w:r>
            <w:r w:rsidRPr="00E8636D">
              <w:rPr>
                <w:rFonts w:ascii="Verdana" w:eastAsia="Verdana" w:hAnsi="Verdana" w:cs="Verdana"/>
                <w:lang w:val="es-ES"/>
              </w:rPr>
              <w:t>Ley 1454 de 2011, señala que las entidades territoriales podrán continuar asociándose mediante la celebración de convenios interadministrativos o mediante la conformación de personas jurídicas de derecho público o derecho privado</w:t>
            </w:r>
            <w:r w:rsidR="001146AE" w:rsidRPr="00E8636D">
              <w:rPr>
                <w:rFonts w:ascii="Verdana" w:eastAsia="Verdana" w:hAnsi="Verdana" w:cs="Verdana"/>
                <w:lang w:val="es-ES"/>
              </w:rPr>
              <w:t>.</w:t>
            </w:r>
          </w:p>
          <w:p w14:paraId="20FA08BE" w14:textId="77777777" w:rsidR="00D93852" w:rsidRPr="00E8636D" w:rsidRDefault="00D93852" w:rsidP="00974497">
            <w:pPr>
              <w:pStyle w:val="paragraph"/>
              <w:shd w:val="clear" w:color="auto" w:fill="FFFFFF"/>
              <w:spacing w:before="0" w:beforeAutospacing="0" w:after="120" w:afterAutospacing="0" w:line="276" w:lineRule="auto"/>
              <w:ind w:firstLine="703"/>
              <w:jc w:val="both"/>
              <w:textAlignment w:val="baseline"/>
              <w:rPr>
                <w:rFonts w:ascii="Verdana" w:hAnsi="Verdana" w:cs="Arial"/>
                <w:color w:val="000000"/>
                <w:sz w:val="22"/>
                <w:szCs w:val="22"/>
                <w:lang w:val="es-ES"/>
              </w:rPr>
            </w:pPr>
            <w:r w:rsidRPr="00E8636D">
              <w:rPr>
                <w:rStyle w:val="normaltextrun"/>
                <w:rFonts w:ascii="Verdana" w:hAnsi="Verdana" w:cs="Arial"/>
                <w:color w:val="000000"/>
                <w:sz w:val="22"/>
                <w:szCs w:val="22"/>
                <w:lang w:val="es-ES"/>
              </w:rPr>
              <w:t>En este sentido, los procesos de contratación que adelanten los</w:t>
            </w:r>
            <w:r w:rsidRPr="00E8636D">
              <w:rPr>
                <w:rFonts w:ascii="Verdana" w:hAnsi="Verdana" w:cs="Arial"/>
                <w:color w:val="000000"/>
                <w:sz w:val="22"/>
                <w:szCs w:val="22"/>
                <w:lang w:val="es-ES"/>
              </w:rPr>
              <w:t xml:space="preserve"> departamentos, distritos y municipios, de forma independiente o como parte de </w:t>
            </w:r>
            <w:r w:rsidRPr="00E8636D">
              <w:rPr>
                <w:rFonts w:ascii="Verdana" w:eastAsia="Verdana" w:hAnsi="Verdana" w:cs="Verdana"/>
                <w:sz w:val="22"/>
                <w:szCs w:val="22"/>
                <w:lang w:val="es-ES"/>
              </w:rPr>
              <w:t xml:space="preserve">esquemas asociativos territoriales, </w:t>
            </w:r>
            <w:r w:rsidRPr="00E8636D">
              <w:rPr>
                <w:rFonts w:ascii="Verdana" w:eastAsiaTheme="minorHAnsi" w:hAnsi="Verdana" w:cstheme="minorBidi"/>
                <w:color w:val="333333"/>
                <w:sz w:val="22"/>
                <w:szCs w:val="22"/>
                <w:shd w:val="clear" w:color="auto" w:fill="FFFFFF"/>
                <w:lang w:val="es-ES" w:eastAsia="en-US"/>
              </w:rPr>
              <w:t xml:space="preserve">para la </w:t>
            </w:r>
            <w:r w:rsidRPr="00E8636D">
              <w:rPr>
                <w:rFonts w:ascii="Verdana" w:hAnsi="Verdana" w:cs="Arial"/>
                <w:color w:val="000000"/>
                <w:sz w:val="22"/>
                <w:szCs w:val="22"/>
                <w:lang w:val="es-ES"/>
              </w:rPr>
              <w:t xml:space="preserve">adquisición o mantenimiento de las áreas de interés se encuentran sometidos a las modalidades de selección </w:t>
            </w:r>
            <w:r w:rsidRPr="00E8636D">
              <w:rPr>
                <w:rFonts w:ascii="Verdana" w:hAnsi="Verdana" w:cs="Arial"/>
                <w:color w:val="000000"/>
                <w:sz w:val="22"/>
                <w:szCs w:val="22"/>
                <w:lang w:val="es-ES"/>
              </w:rPr>
              <w:lastRenderedPageBreak/>
              <w:t xml:space="preserve">y tipologías contractuales establecidas en el EGCAP. Adicionalmente, la restricción establecida en el artículo 33 de la Ley de Garantías Electorales </w:t>
            </w:r>
            <w:r w:rsidRPr="00E8636D">
              <w:rPr>
                <w:rFonts w:ascii="Verdana" w:hAnsi="Verdana" w:cs="Arial"/>
                <w:color w:val="000000"/>
                <w:sz w:val="22"/>
                <w:szCs w:val="22"/>
                <w:u w:val="single"/>
                <w:lang w:val="es-ES"/>
              </w:rPr>
              <w:t>no</w:t>
            </w:r>
            <w:r w:rsidRPr="00E8636D">
              <w:rPr>
                <w:rFonts w:ascii="Verdana" w:hAnsi="Verdana" w:cs="Arial"/>
                <w:color w:val="000000"/>
                <w:sz w:val="22"/>
                <w:szCs w:val="22"/>
                <w:lang w:val="es-ES"/>
              </w:rPr>
              <w:t xml:space="preserve"> será aplicable respecto de dichos procedimientos cuando la entidad o el esquema asociativo contrate mediante procedimientos de selección competitivos, como la licitación pública, la selección abreviada, el concurso de méritos o la mínima cuantía. Por otra parte, la prohibición del parágrafo del artículo 38 </w:t>
            </w:r>
            <w:r w:rsidRPr="00E8636D">
              <w:rPr>
                <w:rFonts w:ascii="Verdana" w:hAnsi="Verdana" w:cs="Arial"/>
                <w:color w:val="000000"/>
                <w:sz w:val="22"/>
                <w:szCs w:val="22"/>
                <w:u w:val="single"/>
                <w:lang w:val="es-ES"/>
              </w:rPr>
              <w:t>no</w:t>
            </w:r>
            <w:r w:rsidRPr="00E8636D">
              <w:rPr>
                <w:rFonts w:ascii="Verdana" w:hAnsi="Verdana" w:cs="Arial"/>
                <w:color w:val="000000"/>
                <w:sz w:val="22"/>
                <w:szCs w:val="22"/>
                <w:lang w:val="es-ES"/>
              </w:rPr>
              <w:t xml:space="preserve"> será aplicable cuando los gobernadores, alcaldes municipales y/o distritales celebren negocios jurídicos distintos a los convenios interadministrativos.</w:t>
            </w:r>
          </w:p>
          <w:p w14:paraId="332E2330" w14:textId="77777777" w:rsidR="00D93852" w:rsidRPr="00E8636D" w:rsidRDefault="00D93852" w:rsidP="00974497">
            <w:pPr>
              <w:pStyle w:val="paragraph"/>
              <w:shd w:val="clear" w:color="auto" w:fill="FFFFFF"/>
              <w:spacing w:before="0" w:beforeAutospacing="0" w:after="0" w:afterAutospacing="0" w:line="276" w:lineRule="auto"/>
              <w:ind w:firstLine="703"/>
              <w:jc w:val="both"/>
              <w:textAlignment w:val="baseline"/>
              <w:rPr>
                <w:rFonts w:ascii="Verdana" w:eastAsia="Verdana" w:hAnsi="Verdana" w:cs="Verdana"/>
                <w:sz w:val="22"/>
                <w:szCs w:val="22"/>
                <w:lang w:val="es-ES"/>
              </w:rPr>
            </w:pPr>
            <w:r w:rsidRPr="00E8636D">
              <w:rPr>
                <w:rFonts w:ascii="Verdana" w:hAnsi="Verdana" w:cs="Arial"/>
                <w:color w:val="000000"/>
                <w:sz w:val="22"/>
                <w:szCs w:val="22"/>
                <w:lang w:val="es-ES"/>
              </w:rPr>
              <w:t xml:space="preserve">Por otra parte, cuando las entidades referidas en el artículo 111 de la Ley 99 de 1993 opten por conformar los esquemas asociativos referidos en la </w:t>
            </w:r>
            <w:r w:rsidRPr="00E8636D">
              <w:rPr>
                <w:rFonts w:ascii="Verdana" w:eastAsia="Verdana" w:hAnsi="Verdana" w:cs="Verdana"/>
                <w:sz w:val="22"/>
                <w:szCs w:val="22"/>
                <w:lang w:val="es-ES"/>
              </w:rPr>
              <w:t xml:space="preserve">Ley 1454 de 2011 para la ejecución de los proyectos de adquisición o mantenimiento de las áreas de interés, podrán hacerlo mediante la celebración de convenios interadministrativos, tal como lo dispone el artículo 17 de la Ley 1454 de 2011. En este caso será aplicable la restricción establecida en el artículo 33 de la Ley 996 de 2005, pues prohíbe la celebración directa de contratos por cualquier ente del estado; también será aplicable la prohibición expresa del artículo 38  frente a la celebración de convenios interadministrativos por parte de los gobernadores, alcaldes municipales y/o distritales para la ejecución de recursos públicos. De esta forma, la conformación de los esquemas asociativos para las adquisiciones o el mantenimiento referido en el artículo 111 de la </w:t>
            </w:r>
            <w:r w:rsidRPr="00E8636D">
              <w:rPr>
                <w:rFonts w:ascii="Verdana" w:hAnsi="Verdana" w:cs="Arial"/>
                <w:color w:val="000000"/>
                <w:sz w:val="22"/>
                <w:szCs w:val="22"/>
                <w:lang w:val="es-ES"/>
              </w:rPr>
              <w:t xml:space="preserve">Ley 99 de 1993 </w:t>
            </w:r>
            <w:r w:rsidRPr="00E8636D">
              <w:rPr>
                <w:rFonts w:ascii="Verdana" w:eastAsia="Verdana" w:hAnsi="Verdana" w:cs="Verdana"/>
                <w:sz w:val="22"/>
                <w:szCs w:val="22"/>
                <w:lang w:val="es-ES"/>
              </w:rPr>
              <w:t xml:space="preserve">no estarán sujetas a las prohibiciones de la Ley de Garantías Electorales cuando se trate de convenios interadministrativos que no impliquen la ejecución de recursos públicos o cuando se realice mediante la constitución de personas jurídicas. </w:t>
            </w:r>
          </w:p>
          <w:p w14:paraId="0C08AAD4" w14:textId="77777777" w:rsidR="00D93852" w:rsidRPr="00E8636D" w:rsidRDefault="00D93852" w:rsidP="00974497">
            <w:pPr>
              <w:spacing w:before="120" w:after="120" w:line="276" w:lineRule="auto"/>
              <w:ind w:firstLine="709"/>
              <w:jc w:val="both"/>
              <w:rPr>
                <w:rFonts w:ascii="Verdana" w:eastAsia="Times New Roman" w:hAnsi="Verdana" w:cs="Arial"/>
                <w:lang w:val="es-ES" w:eastAsia="es-ES_tradnl"/>
              </w:rPr>
            </w:pPr>
            <w:r w:rsidRPr="00E8636D">
              <w:rPr>
                <w:rFonts w:ascii="Verdana" w:eastAsia="Verdana" w:hAnsi="Verdana" w:cs="Verdana"/>
                <w:lang w:val="es-ES"/>
              </w:rPr>
              <w:t>Con respecto a</w:t>
            </w:r>
            <w:r w:rsidRPr="00E8636D">
              <w:rPr>
                <w:rFonts w:ascii="ArialMT" w:eastAsia="Times New Roman" w:hAnsi="ArialMT" w:cs="Times New Roman"/>
                <w:sz w:val="24"/>
                <w:szCs w:val="24"/>
                <w:lang w:val="es-ES"/>
              </w:rPr>
              <w:t xml:space="preserve"> </w:t>
            </w:r>
            <w:r w:rsidRPr="00E8636D">
              <w:rPr>
                <w:rFonts w:ascii="ArialMT" w:hAnsi="ArialMT"/>
                <w:lang w:val="es-ES"/>
              </w:rPr>
              <w:t>l</w:t>
            </w:r>
            <w:r w:rsidRPr="00E8636D">
              <w:rPr>
                <w:rFonts w:ascii="Verdana" w:eastAsia="Verdana" w:hAnsi="Verdana" w:cs="Verdana"/>
                <w:lang w:val="es-ES"/>
              </w:rPr>
              <w:t xml:space="preserve">a adquisición predial que realicen las entidades para el desarrollo de los proyectos establecidos en el artículo 111 de la Ley 99 de 1993, esta puede ocurrir por enajenación voluntaria o por expropiación por vía administrativa. </w:t>
            </w:r>
            <w:r w:rsidRPr="00E8636D">
              <w:rPr>
                <w:rFonts w:ascii="Verdana" w:eastAsia="Times New Roman" w:hAnsi="Verdana" w:cs="Arial"/>
                <w:lang w:val="es-ES" w:eastAsia="es-ES_tradnl"/>
              </w:rPr>
              <w:t xml:space="preserve">en los casos de enajenación voluntaria y negociación directa, la adquisición se realiza como resultado de un negocio jurídico autónomo, en el que la obligación de pago se determinará de común acuerdo entre el Estado y el vendedor, pues, en tales eventos no se trata de una expropiación. Una vez se ha efectuado la notificación del acto de oferta empieza a correr el término durante el cual se llevará a cabo la negociación con el propietario del inmueble. Si en este plazo se logra el acuerdo se celebrará un </w:t>
            </w:r>
            <w:r w:rsidRPr="00E8636D">
              <w:rPr>
                <w:rFonts w:ascii="Verdana" w:eastAsia="Times New Roman" w:hAnsi="Verdana" w:cs="Arial"/>
                <w:i/>
                <w:iCs/>
                <w:lang w:val="es-ES" w:eastAsia="es-ES_tradnl"/>
              </w:rPr>
              <w:t xml:space="preserve">contrato de </w:t>
            </w:r>
            <w:r w:rsidRPr="00E8636D">
              <w:rPr>
                <w:rFonts w:ascii="Verdana" w:eastAsia="Times New Roman" w:hAnsi="Verdana" w:cs="Arial"/>
                <w:i/>
                <w:iCs/>
                <w:lang w:val="es-ES" w:eastAsia="es-ES_tradnl"/>
              </w:rPr>
              <w:lastRenderedPageBreak/>
              <w:t>compraventa</w:t>
            </w:r>
            <w:r w:rsidRPr="00E8636D">
              <w:rPr>
                <w:rFonts w:ascii="Verdana" w:eastAsia="Times New Roman" w:hAnsi="Verdana" w:cs="Arial"/>
                <w:lang w:val="es-ES" w:eastAsia="es-ES_tradnl"/>
              </w:rPr>
              <w:t xml:space="preserve"> o de promesa de compraventa. En caso contrario se deberá dar inicio al proceso de expropiación.</w:t>
            </w:r>
          </w:p>
          <w:p w14:paraId="438E37F2" w14:textId="77777777" w:rsidR="00D93852" w:rsidRPr="00E8636D" w:rsidRDefault="00D93852" w:rsidP="00974497">
            <w:pPr>
              <w:spacing w:before="120" w:after="120" w:line="276" w:lineRule="auto"/>
              <w:ind w:firstLine="709"/>
              <w:jc w:val="both"/>
              <w:rPr>
                <w:rFonts w:ascii="Verdana" w:eastAsia="Times New Roman" w:hAnsi="Verdana" w:cs="Arial"/>
                <w:lang w:val="es-ES" w:eastAsia="es-ES_tradnl"/>
              </w:rPr>
            </w:pPr>
            <w:r w:rsidRPr="00E8636D">
              <w:rPr>
                <w:rFonts w:ascii="Verdana" w:hAnsi="Verdana" w:cs="Arial"/>
                <w:lang w:val="es-ES" w:eastAsia="es-ES_tradnl"/>
              </w:rPr>
              <w:t xml:space="preserve">En cualquier caso, el </w:t>
            </w:r>
            <w:r w:rsidRPr="00E8636D">
              <w:rPr>
                <w:rFonts w:ascii="Verdana" w:eastAsia="Times New Roman" w:hAnsi="Verdana" w:cs="Arial"/>
                <w:lang w:val="es-ES" w:eastAsia="es-ES_tradnl"/>
              </w:rPr>
              <w:t xml:space="preserve">procedimiento de adquisición de bienes inmuebles </w:t>
            </w:r>
            <w:r w:rsidRPr="00E8636D">
              <w:rPr>
                <w:rFonts w:ascii="Verdana" w:hAnsi="Verdana" w:cs="Arial"/>
                <w:lang w:val="es-ES" w:eastAsia="es-ES_tradnl"/>
              </w:rPr>
              <w:t xml:space="preserve">establecido en </w:t>
            </w:r>
            <w:r w:rsidRPr="00E8636D">
              <w:rPr>
                <w:rFonts w:ascii="Verdana" w:eastAsia="Times New Roman" w:hAnsi="Verdana" w:cs="Arial"/>
                <w:lang w:val="es-ES" w:eastAsia="es-ES_tradnl"/>
              </w:rPr>
              <w:t>el Estatuto General de Contratación de la Administración Pública</w:t>
            </w:r>
            <w:r w:rsidRPr="00E8636D">
              <w:rPr>
                <w:rFonts w:ascii="Verdana" w:hAnsi="Verdana" w:cs="Arial"/>
                <w:lang w:val="es-ES" w:eastAsia="es-ES_tradnl"/>
              </w:rPr>
              <w:t xml:space="preserve"> no resulta aplicable a dicho supuesto</w:t>
            </w:r>
            <w:r w:rsidRPr="00E8636D">
              <w:rPr>
                <w:rFonts w:ascii="Verdana" w:eastAsia="Times New Roman" w:hAnsi="Verdana" w:cs="Arial"/>
                <w:lang w:val="es-ES" w:eastAsia="es-ES_tradnl"/>
              </w:rPr>
              <w:t xml:space="preserve">. </w:t>
            </w:r>
            <w:r w:rsidRPr="00E8636D">
              <w:rPr>
                <w:rFonts w:ascii="Verdana" w:hAnsi="Verdana" w:cs="Arial"/>
                <w:lang w:val="es-ES" w:eastAsia="es-ES_tradnl"/>
              </w:rPr>
              <w:t>T</w:t>
            </w:r>
            <w:r w:rsidRPr="00E8636D">
              <w:rPr>
                <w:rFonts w:ascii="Verdana" w:eastAsia="Times New Roman" w:hAnsi="Verdana" w:cs="Arial"/>
                <w:lang w:val="es-ES" w:eastAsia="es-ES_tradnl"/>
              </w:rPr>
              <w:t>al y como ha sido aclarado por esta Agencia, el procedimiento para la adquisición de bienes inmuebles con fines de utilidad pública e interés social se encuentra excluido de la aplicación de tal estatuto, por cuanto es un procedimiento regulado en un régimen especial y exceptuado.</w:t>
            </w:r>
          </w:p>
          <w:p w14:paraId="420509D8" w14:textId="77777777" w:rsidR="00D93852" w:rsidRPr="00E8636D" w:rsidRDefault="00D93852" w:rsidP="00974497">
            <w:pPr>
              <w:tabs>
                <w:tab w:val="left" w:pos="426"/>
              </w:tabs>
              <w:spacing w:line="276" w:lineRule="auto"/>
              <w:ind w:firstLine="735"/>
              <w:jc w:val="both"/>
              <w:rPr>
                <w:rFonts w:ascii="Verdana" w:eastAsia="Times New Roman" w:hAnsi="Verdana" w:cs="Arial"/>
                <w:lang w:val="es-ES" w:eastAsia="es-ES_tradnl"/>
              </w:rPr>
            </w:pPr>
            <w:r w:rsidRPr="00E8636D">
              <w:rPr>
                <w:rFonts w:ascii="Verdana" w:eastAsia="Times New Roman" w:hAnsi="Verdana" w:cs="Arial"/>
                <w:lang w:val="es-ES" w:eastAsia="es-ES_tradnl"/>
              </w:rPr>
              <w:t xml:space="preserve">En virtud de lo expuesto, la adquisición de los predios considerados áreas de interés para los acueductos departamentales, municipales y distritales que se realice por enajenación voluntaria estará sometida a un régimen especial de contratación. Sin embargo, como se explicó antes, esta culmina con la suscripción de un contrato de compraventa entre la entidad y la persona, con lo cual se trata de un procedimiento de contratación estatal no competitivo que se encuentra restringido por la prohibición establecida en el artículo 33 de la Ley 996 de 2005. En contraste, cuando la adquisición ocurra por el procedimiento expropiatorio no se materializa en la celebración de un contrato, en este supuesto no se configuran las prohibiciones a la contratación establecidas en los artículos 33 y el parágrafo del artículo 38 de la Ley de Garantías Electorales. </w:t>
            </w:r>
          </w:p>
          <w:p w14:paraId="56576F85" w14:textId="77777777" w:rsidR="00D93852" w:rsidRPr="00E8636D" w:rsidRDefault="00D93852" w:rsidP="00974497">
            <w:pPr>
              <w:shd w:val="clear" w:color="auto" w:fill="FFFFFF"/>
              <w:spacing w:before="120" w:after="120" w:line="276" w:lineRule="auto"/>
              <w:ind w:firstLine="708"/>
              <w:jc w:val="both"/>
              <w:rPr>
                <w:rFonts w:ascii="Verdana" w:eastAsia="Calibri" w:hAnsi="Verdana" w:cs="Arial"/>
                <w:lang w:val="es-ES"/>
              </w:rPr>
            </w:pPr>
            <w:r w:rsidRPr="00E8636D">
              <w:rPr>
                <w:rFonts w:ascii="Verdana" w:eastAsia="Calibri" w:hAnsi="Verdana" w:cs="Arial"/>
                <w:lang w:val="es-ES"/>
              </w:rPr>
              <w:t>En suma, corresponderá a cada Entidad Estatal, incluyendo a aquellas autorizadas para la adquisición o mantenimiento de áreas de interés para los acueductos municipales, distritales y regionales, determinar la procedencia de celebrar un contrato estatal específico, para lo cual deberán tener en cuenta las prohibiciones establecidas en materia contractual en la Ley de Garantías Electorales de acuerdo con lo explicado en las consideraciones de este concepto.</w:t>
            </w:r>
          </w:p>
          <w:p w14:paraId="735E292A" w14:textId="77777777" w:rsidR="00D93852" w:rsidRPr="00E8636D" w:rsidRDefault="00D93852" w:rsidP="00974497">
            <w:pPr>
              <w:shd w:val="clear" w:color="auto" w:fill="FFFFFF"/>
              <w:spacing w:after="120" w:line="276" w:lineRule="auto"/>
              <w:ind w:firstLine="708"/>
              <w:jc w:val="both"/>
              <w:rPr>
                <w:rFonts w:ascii="Verdana" w:eastAsia="Calibri" w:hAnsi="Verdana" w:cs="Arial"/>
                <w:lang w:val="es-ES"/>
              </w:rPr>
            </w:pPr>
            <w:r w:rsidRPr="00E8636D">
              <w:rPr>
                <w:rFonts w:ascii="Verdana" w:eastAsia="Calibri" w:hAnsi="Verdana" w:cs="Arial"/>
                <w:lang w:val="es-ES"/>
              </w:rPr>
              <w:t>En particular, corresponde a cada Entidad Estatal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justificando las razones que avalan su procedencia</w:t>
            </w:r>
            <w:r w:rsidRPr="00E8636D">
              <w:rPr>
                <w:rFonts w:ascii="Verdana" w:hAnsi="Verdana" w:cs="Arial"/>
                <w:lang w:val="es-ES" w:eastAsia="es-CO"/>
              </w:rPr>
              <w:t xml:space="preserve">. Por el contrario, si el estudio determina que no aplica excepción </w:t>
            </w:r>
            <w:r w:rsidRPr="00E8636D">
              <w:rPr>
                <w:rFonts w:ascii="Verdana" w:hAnsi="Verdana" w:cs="Arial"/>
                <w:lang w:val="es-ES" w:eastAsia="es-CO"/>
              </w:rPr>
              <w:lastRenderedPageBreak/>
              <w:t>alguna, estará vedada la celebración de contratos de manera directa. Lo anterior, sin perjuicio de la prohibición establecida en el parágrafo del artículo 38 de la Ley de Garantías Electorales. En cualquier caso, las entidades podrán considerar la posibilidad de adelantar modalidades distintas a la contratación directa o tipologías distintas a la contratación interadministrativa, es decir, aquellas que no se encuentren restringidas por el artículo 33 o el parágrafo del artículo 38 de la Ley 996 de 2005.</w:t>
            </w:r>
          </w:p>
          <w:p w14:paraId="7E5E2704" w14:textId="77777777" w:rsidR="00D93852" w:rsidRPr="00E8636D" w:rsidRDefault="00D93852" w:rsidP="00974497">
            <w:pPr>
              <w:spacing w:after="120" w:line="276" w:lineRule="auto"/>
              <w:ind w:firstLine="708"/>
              <w:jc w:val="both"/>
              <w:rPr>
                <w:rFonts w:ascii="Verdana" w:eastAsia="Times New Roman" w:hAnsi="Verdana" w:cs="Arial"/>
                <w:bCs/>
                <w:lang w:val="es-ES" w:eastAsia="es-CO"/>
              </w:rPr>
            </w:pPr>
            <w:r w:rsidRPr="00E8636D">
              <w:rPr>
                <w:rFonts w:ascii="Verdana" w:eastAsia="Arial" w:hAnsi="Verdana" w:cs="Arial"/>
                <w:color w:val="000000" w:themeColor="text1"/>
                <w:lang w:val="es-ES"/>
              </w:rPr>
              <w:t xml:space="preserve">Finalmente, es importante advertir que </w:t>
            </w:r>
            <w:r w:rsidRPr="00E8636D">
              <w:rPr>
                <w:rFonts w:ascii="Verdana" w:eastAsia="Times New Roman" w:hAnsi="Verdana" w:cs="Arial"/>
                <w:lang w:val="es-ES"/>
              </w:rPr>
              <w:t xml:space="preserve">compete a cada Entidad Estatal que considera celebrar un contrato específico definir si este se enmarca en alguna de las prohibiciones de la Ley de Garantías Electorales. </w:t>
            </w:r>
            <w:r w:rsidRPr="00E8636D">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w:t>
            </w:r>
          </w:p>
        </w:tc>
      </w:tr>
    </w:tbl>
    <w:p w14:paraId="46F4793F" w14:textId="77777777" w:rsidR="00D93852" w:rsidRPr="00E8636D" w:rsidRDefault="00D93852" w:rsidP="00D93852">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2BDC2E32" w14:textId="77777777" w:rsidR="00D93852" w:rsidRPr="00E8636D" w:rsidRDefault="00D93852" w:rsidP="00D93852">
      <w:pPr>
        <w:tabs>
          <w:tab w:val="left" w:pos="142"/>
          <w:tab w:val="left" w:pos="284"/>
        </w:tabs>
        <w:spacing w:after="0" w:line="276" w:lineRule="auto"/>
        <w:jc w:val="both"/>
        <w:rPr>
          <w:rFonts w:ascii="Verdana" w:eastAsia="Century Gothic" w:hAnsi="Verdana" w:cs="Century Gothic"/>
          <w:b/>
          <w:color w:val="000000" w:themeColor="text1"/>
          <w:lang w:val="es-ES"/>
        </w:rPr>
      </w:pPr>
      <w:r w:rsidRPr="00E8636D">
        <w:rPr>
          <w:rFonts w:ascii="Verdana" w:eastAsia="Century Gothic" w:hAnsi="Verdana" w:cs="Century Gothic"/>
          <w:b/>
          <w:color w:val="000000" w:themeColor="text1"/>
          <w:lang w:val="es-ES"/>
        </w:rPr>
        <w:t>3.Razones de la respuesta:</w:t>
      </w:r>
    </w:p>
    <w:p w14:paraId="38E4F281" w14:textId="77777777" w:rsidR="00D93852" w:rsidRPr="00E8636D" w:rsidRDefault="00D93852" w:rsidP="00D93852">
      <w:pPr>
        <w:spacing w:after="0" w:line="276" w:lineRule="auto"/>
        <w:jc w:val="both"/>
        <w:rPr>
          <w:rFonts w:ascii="Verdana" w:eastAsia="Calibri" w:hAnsi="Verdana" w:cs="Arial"/>
          <w:color w:val="000000" w:themeColor="text1"/>
          <w:lang w:val="es-ES"/>
        </w:rPr>
      </w:pPr>
    </w:p>
    <w:p w14:paraId="42381D7F" w14:textId="77777777" w:rsidR="00D93852" w:rsidRPr="00E8636D" w:rsidRDefault="00D93852" w:rsidP="00D93852">
      <w:pPr>
        <w:spacing w:after="0" w:line="276" w:lineRule="auto"/>
        <w:jc w:val="both"/>
        <w:rPr>
          <w:rFonts w:ascii="Verdana" w:eastAsia="Calibri" w:hAnsi="Verdana" w:cs="Arial"/>
          <w:lang w:val="es-ES"/>
        </w:rPr>
      </w:pPr>
      <w:bookmarkStart w:id="1" w:name="_Hlk102983874"/>
      <w:bookmarkStart w:id="2" w:name="_Hlk102388095"/>
      <w:r w:rsidRPr="00E8636D">
        <w:rPr>
          <w:rFonts w:ascii="Verdana" w:eastAsia="Calibri" w:hAnsi="Verdana" w:cs="Arial"/>
          <w:lang w:val="es-ES"/>
        </w:rPr>
        <w:t>Lo anterior se sustenta en las siguientes consideraciones:</w:t>
      </w:r>
    </w:p>
    <w:p w14:paraId="7DD07AC8" w14:textId="77777777" w:rsidR="00D93852" w:rsidRPr="00E8636D" w:rsidRDefault="00D93852" w:rsidP="00D93852">
      <w:pPr>
        <w:spacing w:after="0" w:line="276" w:lineRule="auto"/>
        <w:jc w:val="both"/>
        <w:rPr>
          <w:rFonts w:ascii="Verdana" w:eastAsia="Calibri" w:hAnsi="Verdana" w:cs="Arial"/>
          <w:lang w:val="es-ES"/>
        </w:rPr>
      </w:pPr>
    </w:p>
    <w:p w14:paraId="42034F34" w14:textId="77777777" w:rsidR="00D93852" w:rsidRPr="00E8636D" w:rsidRDefault="00D93852" w:rsidP="00D93852">
      <w:pPr>
        <w:tabs>
          <w:tab w:val="left" w:pos="426"/>
        </w:tabs>
        <w:spacing w:after="120" w:line="276" w:lineRule="auto"/>
        <w:jc w:val="both"/>
        <w:rPr>
          <w:rFonts w:ascii="Verdana" w:eastAsia="Times New Roman" w:hAnsi="Verdana" w:cs="Arial"/>
          <w:lang w:val="es-ES" w:eastAsia="es-CO"/>
        </w:rPr>
      </w:pPr>
      <w:r w:rsidRPr="00E8636D">
        <w:rPr>
          <w:rFonts w:ascii="Verdana" w:eastAsia="Verdana" w:hAnsi="Verdana" w:cs="Verdana"/>
          <w:lang w:val="es-ES"/>
        </w:rPr>
        <w:t xml:space="preserve">i) </w:t>
      </w:r>
      <w:r w:rsidRPr="00E8636D">
        <w:rPr>
          <w:rFonts w:ascii="Verdana" w:eastAsia="Calibri" w:hAnsi="Verdana" w:cs="Arial"/>
          <w:lang w:val="es-ES"/>
        </w:rPr>
        <w:t>El ordenamiento jurídico colombiano contempla medidas para evitar la obtención de beneficios personales en asuntos propios de la administración pública</w:t>
      </w:r>
      <w:r w:rsidRPr="00E8636D">
        <w:rPr>
          <w:rFonts w:ascii="Verdana" w:eastAsia="Calibri" w:hAnsi="Verdana" w:cs="Arial"/>
          <w:i/>
          <w:lang w:val="es-ES"/>
        </w:rPr>
        <w:t xml:space="preserve">. </w:t>
      </w:r>
      <w:r w:rsidRPr="00E8636D">
        <w:rPr>
          <w:rFonts w:ascii="Verdana" w:eastAsia="Calibri"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E8636D">
        <w:rPr>
          <w:rFonts w:ascii="Verdana" w:hAnsi="Verdana"/>
          <w:vertAlign w:val="superscript"/>
          <w:lang w:val="es-ES"/>
        </w:rPr>
        <w:footnoteReference w:id="2"/>
      </w:r>
      <w:r w:rsidRPr="00E8636D">
        <w:rPr>
          <w:rFonts w:ascii="Verdana" w:eastAsia="Calibri" w:hAnsi="Verdana" w:cs="Arial"/>
          <w:lang w:val="es-ES"/>
        </w:rPr>
        <w:t xml:space="preserve">. </w:t>
      </w:r>
    </w:p>
    <w:p w14:paraId="1402642C" w14:textId="1E3467F5" w:rsidR="00D93852" w:rsidRPr="00E8636D" w:rsidRDefault="00D93852" w:rsidP="00D93852">
      <w:pPr>
        <w:tabs>
          <w:tab w:val="left" w:pos="426"/>
        </w:tabs>
        <w:spacing w:after="120" w:line="276" w:lineRule="auto"/>
        <w:ind w:firstLine="709"/>
        <w:jc w:val="both"/>
        <w:rPr>
          <w:rFonts w:ascii="Verdana" w:eastAsia="Calibri" w:hAnsi="Verdana" w:cs="Arial"/>
          <w:lang w:val="es-ES"/>
        </w:rPr>
      </w:pPr>
      <w:r w:rsidRPr="00E8636D">
        <w:rPr>
          <w:rFonts w:ascii="Verdana" w:eastAsia="Times New Roman" w:hAnsi="Verdana" w:cs="Arial"/>
          <w:lang w:val="es-ES" w:eastAsia="es-CO"/>
        </w:rPr>
        <w:lastRenderedPageBreak/>
        <w:t xml:space="preserve">En el mismo sentido, la Ley 996 de 2005, conocida como “Ley de Garantías Electorales”, se suma al andamiaje constitucional y legal que busca evitar la injerencia inadecuada de intereses particulares en el ejercicio de la función pública. Esta </w:t>
      </w:r>
      <w:r w:rsidR="00B97117">
        <w:rPr>
          <w:rFonts w:ascii="Verdana" w:eastAsia="Times New Roman" w:hAnsi="Verdana" w:cs="Arial"/>
          <w:lang w:val="es-ES" w:eastAsia="es-CO"/>
        </w:rPr>
        <w:t>l</w:t>
      </w:r>
      <w:r w:rsidRPr="00E8636D">
        <w:rPr>
          <w:rFonts w:ascii="Verdana" w:eastAsia="Times New Roman" w:hAnsi="Verdana" w:cs="Arial"/>
          <w:lang w:val="es-ES" w:eastAsia="es-CO"/>
        </w:rPr>
        <w:t>ey tiene como propósito evitar cualquier tipo de arbitrariedad, de ventaja injustificada, de uso irregular de los recursos del Estado en las campañas o falta de garantías en la elección presidencial</w:t>
      </w:r>
      <w:r w:rsidRPr="00E8636D">
        <w:rPr>
          <w:rFonts w:ascii="Verdana" w:eastAsia="Times New Roman" w:hAnsi="Verdana" w:cs="Arial"/>
          <w:vertAlign w:val="superscript"/>
          <w:lang w:val="es-ES" w:eastAsia="es-CO"/>
        </w:rPr>
        <w:footnoteReference w:id="3"/>
      </w:r>
      <w:r w:rsidRPr="00E8636D">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E8636D">
        <w:rPr>
          <w:rFonts w:ascii="Verdana" w:eastAsia="Calibri" w:hAnsi="Verdana" w:cs="Arial"/>
          <w:lang w:val="es-ES"/>
        </w:rPr>
        <w:t xml:space="preserve"> </w:t>
      </w:r>
    </w:p>
    <w:p w14:paraId="3AC99D23" w14:textId="77777777" w:rsidR="00D93852" w:rsidRPr="00E8636D" w:rsidRDefault="00D93852" w:rsidP="00D93852">
      <w:pPr>
        <w:tabs>
          <w:tab w:val="left" w:pos="426"/>
        </w:tabs>
        <w:spacing w:after="0" w:line="276" w:lineRule="auto"/>
        <w:ind w:firstLine="709"/>
        <w:jc w:val="both"/>
        <w:rPr>
          <w:rFonts w:ascii="Verdana" w:eastAsia="Calibri" w:hAnsi="Verdana" w:cs="Arial"/>
          <w:lang w:val="es-ES"/>
        </w:rPr>
      </w:pPr>
      <w:r w:rsidRPr="00E8636D">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639E278C" w14:textId="77777777" w:rsidR="00D93852" w:rsidRPr="00E8636D" w:rsidRDefault="00D93852" w:rsidP="00D93852">
      <w:pPr>
        <w:spacing w:after="0" w:line="276" w:lineRule="auto"/>
        <w:ind w:right="709"/>
        <w:jc w:val="both"/>
        <w:rPr>
          <w:rFonts w:ascii="Verdana" w:eastAsia="Times New Roman" w:hAnsi="Verdana" w:cs="Arial"/>
          <w:lang w:val="es-ES" w:eastAsia="es-CO"/>
        </w:rPr>
      </w:pPr>
    </w:p>
    <w:p w14:paraId="45600BE9" w14:textId="77777777" w:rsidR="00D93852" w:rsidRPr="00E8636D" w:rsidRDefault="00D93852" w:rsidP="00D93852">
      <w:pPr>
        <w:spacing w:after="0" w:line="240" w:lineRule="auto"/>
        <w:ind w:left="709" w:right="709"/>
        <w:contextualSpacing/>
        <w:jc w:val="both"/>
        <w:rPr>
          <w:rFonts w:ascii="Verdana" w:eastAsia="Times New Roman" w:hAnsi="Verdana" w:cs="Arial"/>
          <w:sz w:val="20"/>
          <w:szCs w:val="20"/>
          <w:lang w:val="es-ES" w:eastAsia="es-CO"/>
        </w:rPr>
      </w:pPr>
      <w:r w:rsidRPr="00E8636D">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10B5D29F" w14:textId="77777777" w:rsidR="00D93852" w:rsidRPr="00E8636D" w:rsidRDefault="00D93852" w:rsidP="00D93852">
      <w:pPr>
        <w:spacing w:after="0" w:line="240" w:lineRule="auto"/>
        <w:ind w:left="709" w:right="709"/>
        <w:contextualSpacing/>
        <w:jc w:val="both"/>
        <w:rPr>
          <w:rFonts w:ascii="Verdana" w:eastAsia="Times New Roman" w:hAnsi="Verdana" w:cs="Arial"/>
          <w:sz w:val="20"/>
          <w:szCs w:val="20"/>
          <w:lang w:val="es-ES" w:eastAsia="es-CO"/>
        </w:rPr>
      </w:pPr>
      <w:r w:rsidRPr="00E8636D">
        <w:rPr>
          <w:rFonts w:ascii="Verdana" w:eastAsia="Times New Roman" w:hAnsi="Verdana" w:cs="Arial"/>
          <w:sz w:val="20"/>
          <w:szCs w:val="20"/>
          <w:lang w:val="es-ES" w:eastAsia="es-CO"/>
        </w:rPr>
        <w:t xml:space="preserve">[…] </w:t>
      </w:r>
    </w:p>
    <w:p w14:paraId="2A5DE399" w14:textId="77777777" w:rsidR="00D93852" w:rsidRPr="00E8636D" w:rsidRDefault="00D93852" w:rsidP="00D93852">
      <w:pPr>
        <w:spacing w:after="0" w:line="240" w:lineRule="auto"/>
        <w:ind w:left="709" w:right="709"/>
        <w:contextualSpacing/>
        <w:jc w:val="both"/>
        <w:rPr>
          <w:rFonts w:ascii="Verdana" w:eastAsia="Times New Roman" w:hAnsi="Verdana" w:cs="Arial"/>
          <w:sz w:val="20"/>
          <w:szCs w:val="20"/>
          <w:lang w:val="es-ES" w:eastAsia="es-CO"/>
        </w:rPr>
      </w:pPr>
      <w:r w:rsidRPr="00E8636D">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8636D">
        <w:rPr>
          <w:rFonts w:ascii="Verdana" w:eastAsia="Calibri" w:hAnsi="Verdana" w:cs="Arial"/>
          <w:sz w:val="20"/>
          <w:szCs w:val="20"/>
          <w:vertAlign w:val="superscript"/>
          <w:lang w:val="es-ES"/>
        </w:rPr>
        <w:footnoteReference w:id="4"/>
      </w:r>
    </w:p>
    <w:p w14:paraId="6EF12325" w14:textId="77777777" w:rsidR="00D93852" w:rsidRPr="00E8636D" w:rsidRDefault="00D93852" w:rsidP="00D93852">
      <w:pPr>
        <w:spacing w:after="0" w:line="276" w:lineRule="auto"/>
        <w:ind w:firstLine="709"/>
        <w:jc w:val="both"/>
        <w:rPr>
          <w:rFonts w:ascii="Verdana" w:eastAsia="Times New Roman" w:hAnsi="Verdana" w:cs="Arial"/>
          <w:lang w:val="es-ES" w:eastAsia="es-CO"/>
        </w:rPr>
      </w:pPr>
    </w:p>
    <w:p w14:paraId="33DE35FB" w14:textId="77777777" w:rsidR="00D93852" w:rsidRPr="00E8636D" w:rsidRDefault="00D93852" w:rsidP="00D93852">
      <w:pPr>
        <w:spacing w:after="0" w:line="276" w:lineRule="auto"/>
        <w:ind w:firstLine="709"/>
        <w:jc w:val="both"/>
        <w:rPr>
          <w:rFonts w:ascii="Verdana" w:eastAsia="Times New Roman" w:hAnsi="Verdana" w:cs="Arial"/>
          <w:lang w:val="es-ES" w:eastAsia="es-CO"/>
        </w:rPr>
      </w:pPr>
      <w:r w:rsidRPr="00E8636D">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6EC9BB9E" w14:textId="77777777" w:rsidR="00D93852" w:rsidRPr="00E8636D" w:rsidRDefault="00D93852" w:rsidP="00D93852">
      <w:pPr>
        <w:spacing w:after="0" w:line="276" w:lineRule="auto"/>
        <w:ind w:firstLine="709"/>
        <w:jc w:val="both"/>
        <w:rPr>
          <w:rFonts w:ascii="Verdana" w:eastAsia="Times New Roman" w:hAnsi="Verdana" w:cs="Arial"/>
          <w:lang w:val="es-ES" w:eastAsia="es-CO"/>
        </w:rPr>
      </w:pPr>
    </w:p>
    <w:p w14:paraId="4C2F89A5" w14:textId="77777777" w:rsidR="00D93852" w:rsidRPr="00E8636D" w:rsidRDefault="00D93852" w:rsidP="00D93852">
      <w:pPr>
        <w:spacing w:after="0" w:line="240" w:lineRule="auto"/>
        <w:ind w:left="709" w:right="709"/>
        <w:jc w:val="both"/>
        <w:rPr>
          <w:rFonts w:ascii="Verdana" w:eastAsia="Times New Roman" w:hAnsi="Verdana" w:cs="Arial"/>
          <w:sz w:val="20"/>
          <w:szCs w:val="20"/>
          <w:lang w:val="es-ES" w:eastAsia="es-CO"/>
        </w:rPr>
      </w:pPr>
      <w:r w:rsidRPr="00E8636D">
        <w:rPr>
          <w:rFonts w:ascii="Verdana" w:eastAsia="Times New Roman" w:hAnsi="Verdana" w:cs="Arial"/>
          <w:sz w:val="20"/>
          <w:szCs w:val="20"/>
          <w:lang w:val="es-ES" w:eastAsia="es-CO"/>
        </w:rPr>
        <w:lastRenderedPageBreak/>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8636D">
        <w:rPr>
          <w:rFonts w:ascii="Verdana" w:eastAsia="Times New Roman" w:hAnsi="Verdana" w:cs="Arial"/>
          <w:sz w:val="20"/>
          <w:szCs w:val="20"/>
          <w:lang w:val="es-ES" w:eastAsia="es-CO"/>
        </w:rPr>
        <w:t>legis</w:t>
      </w:r>
      <w:proofErr w:type="spellEnd"/>
      <w:r w:rsidRPr="00E8636D">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6C0527C" w14:textId="77777777" w:rsidR="00D93852" w:rsidRPr="00E8636D" w:rsidRDefault="00D93852" w:rsidP="00D93852">
      <w:pPr>
        <w:spacing w:after="0" w:line="240" w:lineRule="auto"/>
        <w:ind w:right="709"/>
        <w:jc w:val="both"/>
        <w:rPr>
          <w:rFonts w:ascii="Verdana" w:eastAsia="Times New Roman" w:hAnsi="Verdana" w:cs="Arial"/>
          <w:lang w:val="es-ES" w:eastAsia="es-CO"/>
        </w:rPr>
      </w:pPr>
    </w:p>
    <w:p w14:paraId="2B294D31" w14:textId="77777777" w:rsidR="00D93852" w:rsidRPr="00E8636D" w:rsidRDefault="00D93852" w:rsidP="00D93852">
      <w:pPr>
        <w:spacing w:after="0" w:line="240" w:lineRule="auto"/>
        <w:ind w:left="709" w:right="709"/>
        <w:jc w:val="both"/>
        <w:rPr>
          <w:rFonts w:ascii="Verdana" w:eastAsia="Times New Roman" w:hAnsi="Verdana" w:cs="Arial"/>
          <w:sz w:val="20"/>
          <w:szCs w:val="20"/>
          <w:lang w:val="es-ES" w:eastAsia="es-CO"/>
        </w:rPr>
      </w:pPr>
      <w:r w:rsidRPr="00E8636D">
        <w:rPr>
          <w:rFonts w:ascii="Verdana" w:eastAsia="Times New Roman" w:hAnsi="Verdana" w:cs="Arial"/>
          <w:sz w:val="20"/>
          <w:szCs w:val="20"/>
          <w:lang w:val="es-ES" w:eastAsia="es-CO"/>
        </w:rPr>
        <w:t>La jurisprudencia de la Corte Constitucional</w:t>
      </w:r>
      <w:r w:rsidRPr="00E8636D">
        <w:rPr>
          <w:rFonts w:ascii="Verdana" w:eastAsia="Times New Roman" w:hAnsi="Verdana" w:cs="Arial"/>
          <w:sz w:val="20"/>
          <w:szCs w:val="20"/>
          <w:vertAlign w:val="superscript"/>
          <w:lang w:val="es-ES" w:eastAsia="es-CO"/>
        </w:rPr>
        <w:footnoteReference w:id="5"/>
      </w:r>
      <w:r w:rsidRPr="00E8636D">
        <w:rPr>
          <w:rFonts w:ascii="Verdana" w:eastAsia="Times New Roman" w:hAnsi="Verdana" w:cs="Arial"/>
          <w:sz w:val="20"/>
          <w:szCs w:val="20"/>
          <w:lang w:val="es-ES" w:eastAsia="es-CO"/>
        </w:rPr>
        <w:t> y del Consejo de Estado</w:t>
      </w:r>
      <w:r w:rsidRPr="00E8636D">
        <w:rPr>
          <w:rFonts w:ascii="Verdana" w:eastAsia="Times New Roman" w:hAnsi="Verdana" w:cs="Arial"/>
          <w:sz w:val="20"/>
          <w:szCs w:val="20"/>
          <w:vertAlign w:val="superscript"/>
          <w:lang w:val="es-ES" w:eastAsia="es-CO"/>
        </w:rPr>
        <w:footnoteReference w:id="6"/>
      </w:r>
      <w:r w:rsidRPr="00E8636D">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8636D">
        <w:rPr>
          <w:rFonts w:ascii="Verdana" w:eastAsia="Times New Roman" w:hAnsi="Verdana" w:cs="Arial"/>
          <w:sz w:val="20"/>
          <w:szCs w:val="20"/>
          <w:vertAlign w:val="superscript"/>
          <w:lang w:val="es-ES" w:eastAsia="es-CO"/>
        </w:rPr>
        <w:footnoteReference w:id="7"/>
      </w:r>
      <w:r w:rsidRPr="00E8636D">
        <w:rPr>
          <w:rFonts w:ascii="Verdana" w:eastAsia="Times New Roman" w:hAnsi="Verdana" w:cs="Arial"/>
          <w:sz w:val="20"/>
          <w:szCs w:val="20"/>
          <w:lang w:val="es-ES" w:eastAsia="es-CO"/>
        </w:rPr>
        <w:t>.</w:t>
      </w:r>
    </w:p>
    <w:p w14:paraId="6A832B16" w14:textId="77777777" w:rsidR="00D93852" w:rsidRPr="00E8636D" w:rsidRDefault="00D93852" w:rsidP="00D93852">
      <w:pPr>
        <w:spacing w:after="0" w:line="276" w:lineRule="auto"/>
        <w:jc w:val="both"/>
        <w:rPr>
          <w:rFonts w:ascii="Verdana" w:eastAsia="Calibri" w:hAnsi="Verdana" w:cs="Arial"/>
          <w:bCs/>
          <w:lang w:val="es-ES"/>
        </w:rPr>
      </w:pPr>
    </w:p>
    <w:p w14:paraId="4518E679" w14:textId="77777777" w:rsidR="00D93852" w:rsidRPr="00E8636D" w:rsidRDefault="00D93852" w:rsidP="00D93852">
      <w:pPr>
        <w:spacing w:after="0" w:line="276" w:lineRule="auto"/>
        <w:ind w:firstLine="709"/>
        <w:jc w:val="both"/>
        <w:rPr>
          <w:rFonts w:ascii="Verdana" w:eastAsia="Arial" w:hAnsi="Verdana" w:cs="Arial"/>
          <w:lang w:val="es-ES" w:eastAsia="es-ES" w:bidi="es-ES"/>
        </w:rPr>
      </w:pPr>
      <w:r w:rsidRPr="00E8636D">
        <w:rPr>
          <w:rFonts w:ascii="Verdana" w:eastAsia="Times New Roman" w:hAnsi="Verdana" w:cs="Arial"/>
          <w:lang w:val="es-ES" w:eastAsia="es-CO"/>
        </w:rPr>
        <w:t>De</w:t>
      </w:r>
      <w:r w:rsidRPr="00E8636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674E96FB" w14:textId="77777777" w:rsidR="00D93852" w:rsidRPr="00E8636D" w:rsidRDefault="00D93852" w:rsidP="00D93852">
      <w:pPr>
        <w:spacing w:after="0" w:line="276" w:lineRule="auto"/>
        <w:ind w:firstLine="709"/>
        <w:jc w:val="both"/>
        <w:rPr>
          <w:rFonts w:ascii="Verdana" w:eastAsia="Arial" w:hAnsi="Verdana" w:cs="Arial"/>
          <w:lang w:val="es-ES" w:eastAsia="es-ES" w:bidi="es-ES"/>
        </w:rPr>
      </w:pPr>
    </w:p>
    <w:p w14:paraId="4D031205" w14:textId="77777777" w:rsidR="00D93852" w:rsidRPr="00E8636D" w:rsidRDefault="00D93852" w:rsidP="00D93852">
      <w:pPr>
        <w:spacing w:after="120" w:line="276" w:lineRule="auto"/>
        <w:jc w:val="both"/>
        <w:rPr>
          <w:rFonts w:ascii="Verdana" w:eastAsia="Arial" w:hAnsi="Verdana" w:cs="Arial"/>
          <w:lang w:val="es-ES" w:eastAsia="es-ES" w:bidi="es-ES"/>
        </w:rPr>
      </w:pPr>
      <w:proofErr w:type="spellStart"/>
      <w:r w:rsidRPr="00E8636D">
        <w:rPr>
          <w:rFonts w:ascii="Verdana" w:eastAsia="Arial" w:hAnsi="Verdana" w:cs="Arial"/>
          <w:lang w:val="es-ES" w:eastAsia="es-ES" w:bidi="es-ES"/>
        </w:rPr>
        <w:t>ii</w:t>
      </w:r>
      <w:proofErr w:type="spellEnd"/>
      <w:r w:rsidRPr="00E8636D">
        <w:rPr>
          <w:rFonts w:ascii="Verdana" w:eastAsia="Arial" w:hAnsi="Verdana" w:cs="Arial"/>
          <w:lang w:val="es-ES" w:eastAsia="es-ES" w:bidi="es-ES"/>
        </w:rPr>
        <w:t>) 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09D726CE" w14:textId="77777777" w:rsidR="00D93852" w:rsidRPr="00E8636D" w:rsidRDefault="00D93852" w:rsidP="00D93852">
      <w:pPr>
        <w:spacing w:after="120" w:line="276" w:lineRule="auto"/>
        <w:ind w:firstLine="708"/>
        <w:jc w:val="both"/>
        <w:rPr>
          <w:rFonts w:ascii="Verdana" w:eastAsia="Calibri" w:hAnsi="Verdana" w:cs="Arial"/>
          <w:lang w:val="es-ES"/>
        </w:rPr>
      </w:pPr>
      <w:r w:rsidRPr="00E8636D">
        <w:rPr>
          <w:rFonts w:ascii="Verdana" w:eastAsia="Calibri" w:hAnsi="Verdana" w:cs="Arial"/>
          <w:lang w:val="es-ES"/>
        </w:rPr>
        <w:lastRenderedPageBreak/>
        <w:t xml:space="preserve">Por un lado, el </w:t>
      </w:r>
      <w:r w:rsidRPr="00E8636D">
        <w:rPr>
          <w:rFonts w:ascii="Verdana" w:eastAsia="Calibri" w:hAnsi="Verdana" w:cs="Arial"/>
          <w:i/>
          <w:iCs/>
          <w:lang w:val="es-ES"/>
        </w:rPr>
        <w:t xml:space="preserve">artículo 33 </w:t>
      </w:r>
      <w:r w:rsidRPr="00E8636D">
        <w:rPr>
          <w:rFonts w:ascii="Verdana" w:eastAsia="Calibri" w:hAnsi="Verdana" w:cs="Arial"/>
          <w:lang w:val="es-ES"/>
        </w:rPr>
        <w:t xml:space="preserve">de la Ley 996 de 2005 prohíbe “[…] la contratación directa por parte de </w:t>
      </w:r>
      <w:r w:rsidRPr="00E8636D">
        <w:rPr>
          <w:rFonts w:ascii="Verdana" w:eastAsia="Calibri" w:hAnsi="Verdana" w:cs="Arial"/>
          <w:i/>
          <w:iCs/>
          <w:lang w:val="es-ES"/>
        </w:rPr>
        <w:t>todos los entes del Estado</w:t>
      </w:r>
      <w:r w:rsidRPr="00E8636D">
        <w:rPr>
          <w:rFonts w:ascii="Verdana" w:eastAsia="Calibri" w:hAnsi="Verdana" w:cs="Arial"/>
          <w:lang w:val="es-ES"/>
        </w:rPr>
        <w:t xml:space="preserve">” durante los cuatro (4) meses anteriores a las </w:t>
      </w:r>
      <w:r w:rsidRPr="00E8636D">
        <w:rPr>
          <w:rFonts w:ascii="Verdana" w:eastAsia="Calibri" w:hAnsi="Verdana" w:cs="Arial"/>
          <w:i/>
          <w:iCs/>
          <w:lang w:val="es-ES"/>
        </w:rPr>
        <w:t>elecciones presidenciales</w:t>
      </w:r>
      <w:r w:rsidRPr="00E8636D">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8636D">
        <w:rPr>
          <w:rFonts w:ascii="Verdana" w:eastAsia="Calibri" w:hAnsi="Verdana" w:cs="Arial"/>
          <w:vertAlign w:val="superscript"/>
          <w:lang w:val="es-ES"/>
        </w:rPr>
        <w:footnoteReference w:id="8"/>
      </w:r>
      <w:r w:rsidRPr="00E8636D">
        <w:rPr>
          <w:rFonts w:ascii="Verdana" w:eastAsia="Calibri" w:hAnsi="Verdana" w:cs="Arial"/>
          <w:lang w:val="es-ES"/>
        </w:rPr>
        <w:t>.</w:t>
      </w:r>
    </w:p>
    <w:p w14:paraId="1DF87046" w14:textId="77777777" w:rsidR="00D93852" w:rsidRPr="00E8636D" w:rsidRDefault="00D93852" w:rsidP="00D93852">
      <w:pPr>
        <w:widowControl w:val="0"/>
        <w:autoSpaceDE w:val="0"/>
        <w:autoSpaceDN w:val="0"/>
        <w:spacing w:after="120" w:line="276" w:lineRule="auto"/>
        <w:ind w:right="113" w:firstLine="709"/>
        <w:jc w:val="both"/>
        <w:rPr>
          <w:rFonts w:ascii="Verdana" w:eastAsia="Arial" w:hAnsi="Verdana" w:cs="Arial"/>
          <w:lang w:val="es-ES" w:eastAsia="es-ES" w:bidi="es-ES"/>
        </w:rPr>
      </w:pPr>
      <w:r w:rsidRPr="00E8636D">
        <w:rPr>
          <w:rFonts w:ascii="Verdana" w:eastAsia="Calibri" w:hAnsi="Verdana" w:cs="Arial"/>
          <w:lang w:val="es-ES"/>
        </w:rPr>
        <w:t xml:space="preserve">Por otro lado, </w:t>
      </w:r>
      <w:r w:rsidRPr="00E8636D">
        <w:rPr>
          <w:rFonts w:ascii="Verdana" w:eastAsia="Calibri" w:hAnsi="Verdana" w:cs="Arial"/>
          <w:i/>
          <w:iCs/>
          <w:lang w:val="es-ES"/>
        </w:rPr>
        <w:t xml:space="preserve">el parágrafo del artículo 38 </w:t>
      </w:r>
      <w:r w:rsidRPr="00E8636D">
        <w:rPr>
          <w:rFonts w:ascii="Verdana" w:eastAsia="Calibri" w:hAnsi="Verdana" w:cs="Arial"/>
          <w:lang w:val="es-ES"/>
        </w:rPr>
        <w:t xml:space="preserve">de la Ley 996 de 2005 prevé una restricción, aplicable respecto de </w:t>
      </w:r>
      <w:r w:rsidRPr="00E8636D">
        <w:rPr>
          <w:rFonts w:ascii="Verdana" w:eastAsia="Calibri" w:hAnsi="Verdana" w:cs="Arial"/>
          <w:i/>
          <w:iCs/>
          <w:lang w:val="es-ES"/>
        </w:rPr>
        <w:t>cualquier tipo de contienda electoral</w:t>
      </w:r>
      <w:r w:rsidRPr="00E8636D">
        <w:rPr>
          <w:rFonts w:ascii="Verdana" w:eastAsia="Calibri"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8636D">
        <w:rPr>
          <w:rFonts w:ascii="Verdana" w:eastAsia="Calibri" w:hAnsi="Verdana" w:cs="Arial"/>
          <w:vertAlign w:val="superscript"/>
          <w:lang w:val="es-ES"/>
        </w:rPr>
        <w:footnoteReference w:id="9"/>
      </w:r>
      <w:r w:rsidRPr="00E8636D">
        <w:rPr>
          <w:rFonts w:ascii="Verdana" w:eastAsia="Calibri" w:hAnsi="Verdana" w:cs="Arial"/>
          <w:lang w:val="es-ES"/>
        </w:rPr>
        <w:t>.</w:t>
      </w:r>
      <w:r w:rsidRPr="00E8636D">
        <w:rPr>
          <w:rFonts w:ascii="Verdana" w:eastAsia="Arial" w:hAnsi="Verdana" w:cs="Arial"/>
          <w:lang w:val="es-ES" w:eastAsia="es-ES" w:bidi="es-ES"/>
        </w:rPr>
        <w:t xml:space="preserve"> </w:t>
      </w:r>
    </w:p>
    <w:p w14:paraId="5EF7F330" w14:textId="77777777" w:rsidR="00D93852" w:rsidRPr="00E8636D" w:rsidRDefault="00D93852" w:rsidP="00D93852">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E8636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69395665" w14:textId="77777777" w:rsidR="00D93852" w:rsidRPr="00E8636D" w:rsidRDefault="00D93852" w:rsidP="00D93852">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57B4585A" w14:textId="77777777" w:rsidR="00D93852" w:rsidRPr="00E8636D" w:rsidRDefault="00D93852" w:rsidP="00D93852">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E8636D">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w:t>
      </w:r>
      <w:r w:rsidRPr="00E8636D">
        <w:rPr>
          <w:rFonts w:ascii="Verdana" w:eastAsia="Arial" w:hAnsi="Verdana" w:cs="Arial"/>
          <w:sz w:val="20"/>
          <w:szCs w:val="20"/>
          <w:lang w:val="es-ES" w:eastAsia="es-ES" w:bidi="es-ES"/>
        </w:rPr>
        <w:lastRenderedPageBreak/>
        <w:t>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8636D">
        <w:rPr>
          <w:rFonts w:ascii="Verdana" w:eastAsia="Arial" w:hAnsi="Verdana" w:cs="Arial"/>
          <w:sz w:val="20"/>
          <w:szCs w:val="20"/>
          <w:vertAlign w:val="superscript"/>
          <w:lang w:val="es-ES" w:eastAsia="es-ES" w:bidi="es-ES"/>
        </w:rPr>
        <w:footnoteReference w:id="10"/>
      </w:r>
    </w:p>
    <w:p w14:paraId="3CAE519B" w14:textId="77777777" w:rsidR="00D93852" w:rsidRPr="00E8636D" w:rsidRDefault="00D93852" w:rsidP="00D93852">
      <w:pPr>
        <w:widowControl w:val="0"/>
        <w:autoSpaceDE w:val="0"/>
        <w:autoSpaceDN w:val="0"/>
        <w:spacing w:after="0" w:line="276" w:lineRule="auto"/>
        <w:contextualSpacing/>
        <w:rPr>
          <w:rFonts w:ascii="Verdana" w:eastAsia="Arial" w:hAnsi="Verdana" w:cs="Arial"/>
          <w:lang w:val="es-ES" w:eastAsia="es-ES" w:bidi="es-ES"/>
        </w:rPr>
      </w:pPr>
    </w:p>
    <w:p w14:paraId="067D8A25" w14:textId="77777777" w:rsidR="00D93852" w:rsidRPr="00E8636D" w:rsidRDefault="00D93852" w:rsidP="00D93852">
      <w:pPr>
        <w:spacing w:after="120" w:line="276" w:lineRule="auto"/>
        <w:ind w:firstLine="709"/>
        <w:jc w:val="both"/>
        <w:rPr>
          <w:rFonts w:ascii="Verdana" w:eastAsia="Arial" w:hAnsi="Verdana" w:cs="Arial"/>
          <w:lang w:val="es-ES" w:eastAsia="es-ES" w:bidi="es-ES"/>
        </w:rPr>
      </w:pPr>
      <w:r w:rsidRPr="00E8636D">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E8636D">
        <w:rPr>
          <w:rFonts w:ascii="Verdana" w:eastAsia="Arial" w:hAnsi="Verdana" w:cs="Arial"/>
          <w:i/>
          <w:lang w:val="es-ES" w:eastAsia="es-ES" w:bidi="es-ES"/>
        </w:rPr>
        <w:t>En primer lugar</w:t>
      </w:r>
      <w:r w:rsidRPr="00E8636D">
        <w:rPr>
          <w:rFonts w:ascii="Verdana" w:eastAsia="Arial" w:hAnsi="Verdana" w:cs="Arial"/>
          <w:lang w:val="es-ES" w:eastAsia="es-ES" w:bidi="es-ES"/>
        </w:rPr>
        <w:t xml:space="preserve">, la del artículo 33 que aplica solo respecto de las elecciones presidenciales, en virtud de la cual queda proscrita la </w:t>
      </w:r>
      <w:r w:rsidRPr="00E8636D">
        <w:rPr>
          <w:rFonts w:ascii="Verdana" w:eastAsia="Arial" w:hAnsi="Verdana" w:cs="Arial"/>
          <w:i/>
          <w:iCs/>
          <w:lang w:val="es-ES" w:eastAsia="es-ES" w:bidi="es-ES"/>
        </w:rPr>
        <w:t>contratación directa</w:t>
      </w:r>
      <w:r w:rsidRPr="00E8636D">
        <w:rPr>
          <w:rFonts w:ascii="Verdana" w:eastAsia="Arial" w:hAnsi="Verdana" w:cs="Arial"/>
          <w:lang w:val="es-ES" w:eastAsia="es-ES" w:bidi="es-ES"/>
        </w:rPr>
        <w:t xml:space="preserve">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8636D">
        <w:rPr>
          <w:rFonts w:ascii="Verdana" w:eastAsia="Arial" w:hAnsi="Verdana" w:cs="Arial"/>
          <w:i/>
          <w:lang w:val="es-ES" w:eastAsia="es-ES" w:bidi="es-ES"/>
        </w:rPr>
        <w:t>En segundo lugar</w:t>
      </w:r>
      <w:r w:rsidRPr="00E8636D">
        <w:rPr>
          <w:rFonts w:ascii="Verdana" w:eastAsia="Arial" w:hAnsi="Verdana" w:cs="Arial"/>
          <w:lang w:val="es-ES" w:eastAsia="es-ES" w:bidi="es-ES"/>
        </w:rPr>
        <w:t xml:space="preserve">, también se encuentra la prohibición del parágrafo del artículo 38, el cual debe aplicarse respecto de cualquier tipo de contienda electoral, y que prohíbe la celebración de </w:t>
      </w:r>
      <w:r w:rsidRPr="00E8636D">
        <w:rPr>
          <w:rFonts w:ascii="Verdana" w:eastAsia="Arial" w:hAnsi="Verdana" w:cs="Arial"/>
          <w:i/>
          <w:iCs/>
          <w:lang w:val="es-ES" w:eastAsia="es-ES" w:bidi="es-ES"/>
        </w:rPr>
        <w:t>convenios interadministrativos</w:t>
      </w:r>
      <w:r w:rsidRPr="00E8636D">
        <w:rPr>
          <w:rFonts w:ascii="Verdana" w:eastAsia="Arial" w:hAnsi="Verdana" w:cs="Arial"/>
          <w:lang w:val="es-ES" w:eastAsia="es-ES" w:bidi="es-ES"/>
        </w:rPr>
        <w:t xml:space="preserve"> que impliquen la ejecución de recursos públicos dentro de los cuatro (4) meses anteriores a la respectiva jornada de votaciones.</w:t>
      </w:r>
    </w:p>
    <w:p w14:paraId="192950F6" w14:textId="77777777" w:rsidR="00D93852" w:rsidRPr="00E8636D" w:rsidRDefault="00D93852" w:rsidP="00D93852">
      <w:pPr>
        <w:spacing w:after="120" w:line="276" w:lineRule="auto"/>
        <w:ind w:firstLine="709"/>
        <w:jc w:val="both"/>
        <w:rPr>
          <w:rFonts w:ascii="Verdana" w:eastAsia="Arial" w:hAnsi="Verdana" w:cs="Arial"/>
          <w:lang w:val="es-ES" w:eastAsia="es-ES" w:bidi="es-ES"/>
        </w:rPr>
      </w:pPr>
      <w:r w:rsidRPr="00E8636D">
        <w:rPr>
          <w:rFonts w:ascii="Verdana" w:eastAsia="Arial" w:hAnsi="Verdana" w:cs="Arial"/>
          <w:lang w:val="es-ES" w:eastAsia="es-ES" w:bidi="es-ES"/>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6113A496" w14:textId="77777777" w:rsidR="00D93852" w:rsidRPr="00E8636D" w:rsidRDefault="00D93852" w:rsidP="00D93852">
      <w:pPr>
        <w:spacing w:after="0" w:line="276" w:lineRule="auto"/>
        <w:ind w:firstLine="709"/>
        <w:jc w:val="both"/>
        <w:rPr>
          <w:rFonts w:ascii="Verdana" w:eastAsia="Arial" w:hAnsi="Verdana" w:cs="Arial"/>
          <w:lang w:val="es-ES" w:eastAsia="es-ES" w:bidi="es-ES"/>
        </w:rPr>
      </w:pPr>
      <w:r w:rsidRPr="00E8636D">
        <w:rPr>
          <w:rFonts w:ascii="Verdana" w:eastAsia="Arial" w:hAnsi="Verdana" w:cs="Arial"/>
          <w:lang w:val="es-ES" w:eastAsia="es-ES" w:bidi="es-ES"/>
        </w:rPr>
        <w:lastRenderedPageBreak/>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499E09AD" w14:textId="77777777" w:rsidR="00D93852" w:rsidRPr="00E8636D" w:rsidRDefault="00D93852" w:rsidP="00D93852">
      <w:pPr>
        <w:spacing w:after="0" w:line="276" w:lineRule="auto"/>
        <w:ind w:firstLine="709"/>
        <w:jc w:val="both"/>
        <w:rPr>
          <w:rFonts w:ascii="Verdana" w:eastAsia="Arial" w:hAnsi="Verdana" w:cs="Arial"/>
          <w:lang w:val="es-ES" w:eastAsia="es-ES" w:bidi="es-ES"/>
        </w:rPr>
      </w:pPr>
    </w:p>
    <w:p w14:paraId="4EE5FD00" w14:textId="77777777" w:rsidR="00D93852" w:rsidRPr="00E8636D" w:rsidRDefault="00D93852" w:rsidP="00D93852">
      <w:pPr>
        <w:spacing w:after="120" w:line="276" w:lineRule="auto"/>
        <w:jc w:val="both"/>
        <w:rPr>
          <w:rFonts w:ascii="Verdana" w:eastAsia="Times New Roman" w:hAnsi="Verdana" w:cs="Arial"/>
          <w:bCs/>
          <w:lang w:val="es-ES" w:eastAsia="es-CO"/>
        </w:rPr>
      </w:pPr>
      <w:proofErr w:type="spellStart"/>
      <w:r w:rsidRPr="00E8636D">
        <w:rPr>
          <w:rFonts w:ascii="Verdana" w:eastAsia="Calibri" w:hAnsi="Verdana" w:cs="Arial"/>
          <w:lang w:val="es-ES"/>
        </w:rPr>
        <w:t>iii</w:t>
      </w:r>
      <w:proofErr w:type="spellEnd"/>
      <w:r w:rsidRPr="00E8636D">
        <w:rPr>
          <w:rFonts w:ascii="Verdana" w:eastAsia="Calibri" w:hAnsi="Verdana" w:cs="Arial"/>
          <w:lang w:val="es-ES"/>
        </w:rPr>
        <w:t xml:space="preserve">) </w:t>
      </w:r>
      <w:r w:rsidRPr="00E8636D">
        <w:rPr>
          <w:rFonts w:ascii="Verdana" w:eastAsia="Arial" w:hAnsi="Verdana" w:cs="Arial"/>
          <w:lang w:val="es-ES" w:eastAsia="es-ES" w:bidi="es-ES"/>
        </w:rPr>
        <w:t xml:space="preserve">Ahora bien, </w:t>
      </w:r>
      <w:r w:rsidRPr="00E8636D">
        <w:rPr>
          <w:rFonts w:ascii="Verdana" w:eastAsia="Calibri" w:hAnsi="Verdana" w:cs="Arial"/>
          <w:lang w:val="es-ES" w:eastAsia="es-ES" w:bidi="es-ES"/>
        </w:rPr>
        <w:t xml:space="preserve">para responder al problema jurídico planteado es necesario precisar el alcance de la prohibición </w:t>
      </w:r>
      <w:r w:rsidRPr="00E8636D">
        <w:rPr>
          <w:rFonts w:ascii="Verdana" w:eastAsia="Arial" w:hAnsi="Verdana" w:cs="Arial"/>
          <w:lang w:val="es-ES" w:eastAsia="es-ES" w:bidi="es-ES"/>
        </w:rPr>
        <w:t>establecida en e</w:t>
      </w:r>
      <w:r w:rsidRPr="00E8636D">
        <w:rPr>
          <w:rFonts w:ascii="Verdana" w:eastAsia="Calibri" w:hAnsi="Verdana" w:cs="Arial"/>
          <w:lang w:val="es-ES"/>
        </w:rPr>
        <w:t xml:space="preserve">l </w:t>
      </w:r>
      <w:r w:rsidRPr="00E8636D">
        <w:rPr>
          <w:rFonts w:ascii="Verdana" w:eastAsia="Times New Roman" w:hAnsi="Verdana" w:cs="Arial"/>
          <w:lang w:val="es-ES"/>
        </w:rPr>
        <w:t xml:space="preserve">artículo 33 de la Ley 996 de 2005. El ámbito material de esta prohibición está delimitado por la expresión </w:t>
      </w:r>
      <w:r w:rsidRPr="00E8636D">
        <w:rPr>
          <w:rFonts w:ascii="Verdana" w:eastAsia="Calibri" w:hAnsi="Verdana" w:cs="Arial"/>
          <w:bCs/>
          <w:lang w:val="es-ES"/>
        </w:rPr>
        <w:t>“</w:t>
      </w:r>
      <w:r w:rsidRPr="00E8636D">
        <w:rPr>
          <w:rFonts w:ascii="Verdana" w:eastAsia="Times New Roman" w:hAnsi="Verdana" w:cs="Arial"/>
          <w:lang w:val="es-ES"/>
        </w:rPr>
        <w:t>queda prohibida la contratación directa</w:t>
      </w:r>
      <w:r w:rsidRPr="00E8636D">
        <w:rPr>
          <w:rFonts w:ascii="Verdana" w:eastAsia="Calibri" w:hAnsi="Verdana" w:cs="Arial"/>
          <w:lang w:val="es-ES"/>
        </w:rPr>
        <w:t>”</w:t>
      </w:r>
      <w:r w:rsidRPr="00E8636D">
        <w:rPr>
          <w:rFonts w:ascii="Verdana" w:eastAsia="Times New Roman" w:hAnsi="Verdana" w:cs="Arial"/>
          <w:lang w:val="es-ES"/>
        </w:rPr>
        <w:t xml:space="preserve">. </w:t>
      </w:r>
      <w:r w:rsidRPr="00E8636D">
        <w:rPr>
          <w:rFonts w:ascii="Verdana" w:eastAsia="Times New Roman" w:hAnsi="Verdana" w:cs="Arial"/>
          <w:lang w:val="es-ES" w:eastAsia="es-CO"/>
        </w:rPr>
        <w:t>A propósito de esta restricción de la Ley de Garantías Electorales, la Sala de Consulta y Servicio Civil del Consejo de Estado ha considerado que:</w:t>
      </w:r>
    </w:p>
    <w:p w14:paraId="6827C9F5" w14:textId="77777777" w:rsidR="00D93852" w:rsidRPr="00E8636D" w:rsidRDefault="00D93852" w:rsidP="00D93852">
      <w:pPr>
        <w:spacing w:after="0" w:line="240" w:lineRule="auto"/>
        <w:ind w:left="709" w:right="709"/>
        <w:jc w:val="both"/>
        <w:rPr>
          <w:rFonts w:ascii="Verdana" w:eastAsia="Calibri" w:hAnsi="Verdana" w:cs="Arial"/>
          <w:sz w:val="20"/>
          <w:szCs w:val="20"/>
          <w:lang w:val="es-ES"/>
        </w:rPr>
      </w:pPr>
      <w:r w:rsidRPr="00E8636D">
        <w:rPr>
          <w:rFonts w:ascii="Verdana" w:eastAsia="Calibri" w:hAnsi="Verdana" w:cs="Arial"/>
          <w:sz w:val="20"/>
          <w:szCs w:val="20"/>
          <w:lang w:val="es-ES"/>
        </w:rPr>
        <w:t>“[…] 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E8636D">
        <w:rPr>
          <w:rFonts w:ascii="Verdana" w:eastAsia="Times New Roman" w:hAnsi="Verdana" w:cs="Arial"/>
          <w:sz w:val="20"/>
          <w:szCs w:val="20"/>
          <w:vertAlign w:val="superscript"/>
          <w:lang w:val="es-ES"/>
        </w:rPr>
        <w:footnoteReference w:id="11"/>
      </w:r>
      <w:r w:rsidRPr="00E8636D">
        <w:rPr>
          <w:rFonts w:ascii="Verdana" w:eastAsia="Times New Roman" w:hAnsi="Verdana" w:cs="Arial"/>
          <w:sz w:val="20"/>
          <w:szCs w:val="20"/>
          <w:vertAlign w:val="superscript"/>
          <w:lang w:val="es-ES"/>
        </w:rPr>
        <w:t>.</w:t>
      </w:r>
      <w:r w:rsidRPr="00E8636D">
        <w:rPr>
          <w:rFonts w:ascii="Verdana" w:eastAsia="Calibri"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E8636D">
        <w:rPr>
          <w:rFonts w:ascii="Verdana" w:eastAsia="Times New Roman" w:hAnsi="Verdana" w:cs="Arial"/>
          <w:sz w:val="20"/>
          <w:szCs w:val="20"/>
          <w:vertAlign w:val="superscript"/>
          <w:lang w:val="es-ES" w:eastAsia="es-CO"/>
        </w:rPr>
        <w:footnoteReference w:id="12"/>
      </w:r>
      <w:r w:rsidRPr="00E8636D">
        <w:rPr>
          <w:rFonts w:ascii="Verdana" w:eastAsia="Calibri" w:hAnsi="Verdana" w:cs="Arial"/>
          <w:sz w:val="20"/>
          <w:szCs w:val="20"/>
          <w:lang w:val="es-ES"/>
        </w:rPr>
        <w:t xml:space="preserve"> .</w:t>
      </w:r>
    </w:p>
    <w:p w14:paraId="597B977D" w14:textId="77777777" w:rsidR="00D93852" w:rsidRPr="00E8636D" w:rsidRDefault="00D93852" w:rsidP="00D93852">
      <w:pPr>
        <w:shd w:val="clear" w:color="auto" w:fill="FFFFFF" w:themeFill="background1"/>
        <w:spacing w:after="0" w:line="276" w:lineRule="auto"/>
        <w:ind w:firstLine="709"/>
        <w:jc w:val="both"/>
        <w:rPr>
          <w:rFonts w:ascii="Verdana" w:eastAsia="Times New Roman" w:hAnsi="Verdana" w:cs="Arial"/>
          <w:lang w:val="es-ES" w:eastAsia="x-none"/>
        </w:rPr>
      </w:pPr>
    </w:p>
    <w:p w14:paraId="756F8E4B" w14:textId="77777777" w:rsidR="00D93852" w:rsidRPr="00E8636D" w:rsidRDefault="00D93852" w:rsidP="00D93852">
      <w:pPr>
        <w:spacing w:after="120" w:line="276" w:lineRule="auto"/>
        <w:ind w:firstLine="708"/>
        <w:jc w:val="both"/>
        <w:rPr>
          <w:rFonts w:ascii="Verdana" w:eastAsia="Times New Roman" w:hAnsi="Verdana" w:cs="Arial"/>
          <w:bCs/>
          <w:lang w:val="es-ES" w:eastAsia="x-none"/>
        </w:rPr>
      </w:pPr>
      <w:r w:rsidRPr="00E8636D">
        <w:rPr>
          <w:rFonts w:ascii="Verdana" w:eastAsia="Times New Roman" w:hAnsi="Verdana" w:cs="Arial"/>
          <w:lang w:val="es-ES" w:eastAsia="x-none"/>
        </w:rPr>
        <w:t xml:space="preserve">De acuerdo con este concepto, la prohibición del artículo 33 de la Ley de Garantías Electorales se refiere a </w:t>
      </w:r>
      <w:r w:rsidRPr="00E8636D">
        <w:rPr>
          <w:rFonts w:ascii="Verdana" w:eastAsia="Times New Roman" w:hAnsi="Verdana" w:cs="Arial"/>
          <w:sz w:val="19"/>
          <w:szCs w:val="19"/>
          <w:lang w:val="es-ES" w:eastAsia="en-GB"/>
        </w:rPr>
        <w:t>“</w:t>
      </w:r>
      <w:r w:rsidRPr="00E8636D">
        <w:rPr>
          <w:rFonts w:ascii="Verdana" w:eastAsia="Times New Roman" w:hAnsi="Verdana" w:cs="Arial"/>
          <w:lang w:val="es-ES" w:eastAsia="x-none"/>
        </w:rPr>
        <w:t>cualquier sistema que no implique convocatoria pública y posibilidad de pluralidad de oferentes</w:t>
      </w:r>
      <w:r w:rsidRPr="00E8636D">
        <w:rPr>
          <w:rFonts w:ascii="Verdana" w:eastAsia="Times New Roman" w:hAnsi="Verdana" w:cs="Arial"/>
          <w:lang w:val="es-ES" w:eastAsia="en-GB"/>
        </w:rPr>
        <w:t>”</w:t>
      </w:r>
      <w:r w:rsidRPr="00E8636D">
        <w:rPr>
          <w:rFonts w:ascii="Verdana" w:eastAsia="Times New Roman" w:hAnsi="Verdana" w:cs="Arial"/>
          <w:lang w:val="es-ES" w:eastAsia="x-none"/>
        </w:rPr>
        <w:t xml:space="preserve">, por lo que excluye </w:t>
      </w:r>
      <w:r w:rsidRPr="00E8636D">
        <w:rPr>
          <w:rFonts w:ascii="Verdana" w:eastAsia="Times New Roman" w:hAnsi="Verdana" w:cs="Arial"/>
          <w:lang w:val="es-ES" w:eastAsia="x-none"/>
        </w:rPr>
        <w:lastRenderedPageBreak/>
        <w:t xml:space="preserve">las demás modalidades de contratación previstas en la Ley 1150 de 2007, es decir, la licitación pública, la selección abreviada, el concurso de méritos </w:t>
      </w:r>
      <w:r w:rsidRPr="00E8636D">
        <w:rPr>
          <w:rFonts w:ascii="Verdana" w:eastAsia="Times New Roman" w:hAnsi="Verdana" w:cs="Arial"/>
          <w:lang w:val="es-ES"/>
        </w:rPr>
        <w:t>y la mínima cuantía</w:t>
      </w:r>
      <w:r w:rsidRPr="00E8636D" w:rsidDel="00A85D9F">
        <w:rPr>
          <w:rFonts w:ascii="Verdana" w:eastAsia="Times New Roman" w:hAnsi="Verdana" w:cs="Arial"/>
          <w:lang w:val="es-ES" w:eastAsia="x-none"/>
        </w:rPr>
        <w:t xml:space="preserve"> </w:t>
      </w:r>
      <w:r w:rsidRPr="00E8636D">
        <w:rPr>
          <w:rFonts w:ascii="Verdana" w:eastAsia="Times New Roman" w:hAnsi="Verdana" w:cs="Arial"/>
          <w:lang w:val="es-ES"/>
        </w:rPr>
        <w:t xml:space="preserve">u otros previstos en normas especiales. </w:t>
      </w:r>
      <w:r w:rsidRPr="00E8636D">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E8636D">
        <w:rPr>
          <w:rFonts w:ascii="Verdana" w:eastAsia="Times New Roman" w:hAnsi="Verdana" w:cs="Arial"/>
          <w:vertAlign w:val="superscript"/>
          <w:lang w:val="es-ES" w:eastAsia="x-none"/>
        </w:rPr>
        <w:footnoteReference w:id="13"/>
      </w:r>
      <w:r w:rsidRPr="00E8636D">
        <w:rPr>
          <w:rFonts w:ascii="Verdana" w:eastAsia="Times New Roman" w:hAnsi="Verdana" w:cs="Arial"/>
          <w:lang w:val="es-ES" w:eastAsia="x-none"/>
        </w:rPr>
        <w:t xml:space="preserve"> y sistematizó las causales de contratación directa</w:t>
      </w:r>
      <w:r w:rsidRPr="00E8636D">
        <w:rPr>
          <w:rFonts w:ascii="Verdana" w:eastAsia="Times New Roman" w:hAnsi="Verdana" w:cs="Arial"/>
          <w:vertAlign w:val="superscript"/>
          <w:lang w:val="es-ES" w:eastAsia="x-none"/>
        </w:rPr>
        <w:footnoteReference w:id="14"/>
      </w:r>
      <w:r w:rsidRPr="00E8636D">
        <w:rPr>
          <w:rFonts w:ascii="Verdana" w:eastAsia="Times New Roman" w:hAnsi="Verdana" w:cs="Arial"/>
          <w:lang w:val="es-ES" w:eastAsia="x-none"/>
        </w:rPr>
        <w:t xml:space="preserve">, </w:t>
      </w:r>
      <w:r w:rsidRPr="00E8636D">
        <w:rPr>
          <w:rFonts w:ascii="Verdana" w:eastAsia="Calibri"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53B2C510" w14:textId="77777777" w:rsidR="00D93852" w:rsidRPr="00E8636D" w:rsidRDefault="00D93852" w:rsidP="00D93852">
      <w:pPr>
        <w:spacing w:after="120" w:line="276" w:lineRule="auto"/>
        <w:ind w:firstLine="708"/>
        <w:jc w:val="both"/>
        <w:rPr>
          <w:rFonts w:ascii="Verdana" w:eastAsia="Times New Roman" w:hAnsi="Verdana" w:cs="Arial"/>
          <w:bCs/>
          <w:lang w:val="es-ES" w:eastAsia="es-CO"/>
        </w:rPr>
      </w:pPr>
      <w:r w:rsidRPr="00E8636D">
        <w:rPr>
          <w:rFonts w:ascii="Verdana" w:eastAsia="Times New Roman" w:hAnsi="Verdana" w:cs="Arial"/>
          <w:bCs/>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E8636D">
        <w:rPr>
          <w:rFonts w:ascii="Verdana" w:eastAsia="Times New Roman" w:hAnsi="Verdana" w:cs="Arial"/>
          <w:bCs/>
          <w:i/>
          <w:iCs/>
          <w:lang w:val="es-ES" w:eastAsia="es-CO"/>
        </w:rPr>
        <w:t>, sino también frente a las entidades que tengan un régimen especial de contratación</w:t>
      </w:r>
      <w:r w:rsidRPr="00E8636D">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E8636D">
        <w:rPr>
          <w:rFonts w:ascii="Verdana" w:eastAsia="Times New Roman" w:hAnsi="Verdana" w:cs="Arial"/>
          <w:lang w:val="es-ES"/>
        </w:rPr>
        <w:t>Así,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E8636D">
        <w:rPr>
          <w:rFonts w:ascii="Verdana" w:eastAsia="Times New Roman" w:hAnsi="Verdana" w:cs="Arial"/>
          <w:vertAlign w:val="superscript"/>
          <w:lang w:val="es-ES" w:eastAsia="x-none"/>
        </w:rPr>
        <w:footnoteReference w:id="15"/>
      </w:r>
      <w:r w:rsidRPr="00E8636D">
        <w:rPr>
          <w:rFonts w:ascii="Verdana" w:eastAsia="Times New Roman" w:hAnsi="Verdana" w:cs="Arial"/>
          <w:lang w:val="es-ES"/>
        </w:rPr>
        <w:t>.</w:t>
      </w:r>
      <w:r w:rsidRPr="00E8636D">
        <w:rPr>
          <w:rFonts w:ascii="Verdana" w:eastAsia="Times New Roman" w:hAnsi="Verdana" w:cs="Arial"/>
          <w:vertAlign w:val="superscript"/>
          <w:lang w:val="es-ES" w:eastAsia="x-none"/>
        </w:rPr>
        <w:t xml:space="preserve"> </w:t>
      </w:r>
    </w:p>
    <w:p w14:paraId="0C3ECD5C" w14:textId="77777777" w:rsidR="00D93852" w:rsidRPr="00E8636D" w:rsidRDefault="00D93852" w:rsidP="00D93852">
      <w:pPr>
        <w:spacing w:after="0" w:line="276" w:lineRule="auto"/>
        <w:ind w:firstLine="708"/>
        <w:jc w:val="both"/>
        <w:rPr>
          <w:rFonts w:ascii="Verdana" w:eastAsia="Times New Roman" w:hAnsi="Verdana" w:cs="Arial"/>
          <w:lang w:val="es-ES"/>
        </w:rPr>
      </w:pPr>
      <w:r w:rsidRPr="00E8636D">
        <w:rPr>
          <w:rFonts w:ascii="Verdana" w:eastAsia="Times New Roman" w:hAnsi="Verdana" w:cs="Arial"/>
          <w:lang w:val="es-ES"/>
        </w:rPr>
        <w:t xml:space="preserve">De lo anterior se desprende que la restricción aplica, sin perjuicio de las excepciones establecidas en la misma ley, para celebrar </w:t>
      </w:r>
      <w:r w:rsidRPr="00E8636D">
        <w:rPr>
          <w:rFonts w:ascii="Verdana" w:eastAsia="Times New Roman" w:hAnsi="Verdana" w:cs="Arial"/>
          <w:i/>
          <w:iCs/>
          <w:lang w:val="es-ES"/>
        </w:rPr>
        <w:t>cualquier contrato de forma directa</w:t>
      </w:r>
      <w:r w:rsidRPr="00E8636D">
        <w:rPr>
          <w:rFonts w:ascii="Verdana" w:eastAsia="Times New Roman" w:hAnsi="Verdana" w:cs="Arial"/>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6058EE07" w14:textId="77777777" w:rsidR="00D93852" w:rsidRPr="00E8636D" w:rsidRDefault="00D93852" w:rsidP="00D93852">
      <w:pPr>
        <w:spacing w:after="0" w:line="276" w:lineRule="auto"/>
        <w:ind w:firstLine="708"/>
        <w:jc w:val="both"/>
        <w:rPr>
          <w:rFonts w:ascii="Verdana" w:eastAsia="Times New Roman" w:hAnsi="Verdana" w:cs="Arial"/>
          <w:lang w:val="es-ES"/>
        </w:rPr>
      </w:pPr>
    </w:p>
    <w:p w14:paraId="4EB077CE" w14:textId="77777777" w:rsidR="00D93852" w:rsidRPr="00E8636D" w:rsidRDefault="00D93852" w:rsidP="00D93852">
      <w:pPr>
        <w:spacing w:after="0" w:line="276" w:lineRule="auto"/>
        <w:jc w:val="both"/>
        <w:rPr>
          <w:rFonts w:ascii="Verdana" w:eastAsia="Times New Roman" w:hAnsi="Verdana" w:cs="Arial"/>
          <w:lang w:val="es-ES"/>
        </w:rPr>
      </w:pPr>
      <w:proofErr w:type="spellStart"/>
      <w:r w:rsidRPr="00E8636D">
        <w:rPr>
          <w:rFonts w:ascii="Verdana" w:eastAsia="Times New Roman" w:hAnsi="Verdana" w:cs="Arial"/>
          <w:bCs/>
          <w:lang w:val="es-ES" w:eastAsia="es-CO"/>
        </w:rPr>
        <w:t>iv</w:t>
      </w:r>
      <w:proofErr w:type="spellEnd"/>
      <w:r w:rsidRPr="00E8636D">
        <w:rPr>
          <w:rFonts w:ascii="Verdana" w:eastAsia="Times New Roman" w:hAnsi="Verdana" w:cs="Arial"/>
          <w:bCs/>
          <w:lang w:val="es-ES" w:eastAsia="es-CO"/>
        </w:rPr>
        <w:t xml:space="preserve">) Con respecto a los </w:t>
      </w:r>
      <w:r w:rsidRPr="00E8636D">
        <w:rPr>
          <w:rFonts w:ascii="Verdana" w:eastAsia="Times New Roman" w:hAnsi="Verdana" w:cs="Arial"/>
          <w:bCs/>
          <w:i/>
          <w:iCs/>
          <w:lang w:val="es-ES" w:eastAsia="es-CO"/>
        </w:rPr>
        <w:t>sujetos</w:t>
      </w:r>
      <w:r w:rsidRPr="00E8636D">
        <w:rPr>
          <w:rFonts w:ascii="Verdana" w:eastAsia="Times New Roman" w:hAnsi="Verdana" w:cs="Arial"/>
          <w:bCs/>
          <w:lang w:val="es-ES" w:eastAsia="es-CO"/>
        </w:rPr>
        <w:t xml:space="preserve"> que se encuentran enmarcados en la prohibición del artículo 33, </w:t>
      </w:r>
      <w:r w:rsidRPr="00E8636D">
        <w:rPr>
          <w:rFonts w:ascii="Verdana" w:eastAsia="Times New Roman" w:hAnsi="Verdana" w:cs="Arial"/>
          <w:lang w:val="es-ES"/>
        </w:rPr>
        <w:t>la Ley 996 de 2005 señala expresamente que son “</w:t>
      </w:r>
      <w:r w:rsidRPr="00E8636D">
        <w:rPr>
          <w:rFonts w:ascii="Verdana" w:eastAsia="Times New Roman" w:hAnsi="Verdana" w:cs="Arial"/>
          <w:i/>
          <w:iCs/>
          <w:u w:val="single"/>
          <w:lang w:val="es-ES"/>
        </w:rPr>
        <w:t>todos</w:t>
      </w:r>
      <w:r w:rsidRPr="00E8636D">
        <w:rPr>
          <w:rFonts w:ascii="Verdana" w:eastAsia="Times New Roman" w:hAnsi="Verdana" w:cs="Arial"/>
          <w:i/>
          <w:iCs/>
          <w:lang w:val="es-ES"/>
        </w:rPr>
        <w:t xml:space="preserve"> los </w:t>
      </w:r>
      <w:r w:rsidRPr="00E8636D">
        <w:rPr>
          <w:rFonts w:ascii="Verdana" w:eastAsia="Times New Roman" w:hAnsi="Verdana" w:cs="Arial"/>
          <w:i/>
          <w:iCs/>
          <w:lang w:val="es-ES"/>
        </w:rPr>
        <w:lastRenderedPageBreak/>
        <w:t>entes del Estado</w:t>
      </w:r>
      <w:r w:rsidRPr="00E8636D">
        <w:rPr>
          <w:rFonts w:ascii="Verdana" w:eastAsia="Times New Roman" w:hAnsi="Verdana" w:cs="Arial"/>
          <w:lang w:val="es-ES"/>
        </w:rPr>
        <w:t>” [énfasis propio]. Al respecto la Sala De Consulta y Servicio Civil del Consejo de Estado señaló lo siguiente:</w:t>
      </w:r>
    </w:p>
    <w:p w14:paraId="62F0FDF0" w14:textId="77777777" w:rsidR="00D93852" w:rsidRPr="00E8636D" w:rsidRDefault="00D93852" w:rsidP="00D93852">
      <w:pPr>
        <w:spacing w:after="0" w:line="276" w:lineRule="auto"/>
        <w:ind w:firstLine="708"/>
        <w:jc w:val="both"/>
        <w:rPr>
          <w:rFonts w:ascii="Verdana" w:eastAsia="Times New Roman" w:hAnsi="Verdana" w:cs="Arial"/>
          <w:lang w:val="es-ES"/>
        </w:rPr>
      </w:pPr>
    </w:p>
    <w:p w14:paraId="524AD3CD" w14:textId="77777777" w:rsidR="00D93852" w:rsidRPr="00E8636D" w:rsidRDefault="00D93852" w:rsidP="00D93852">
      <w:pPr>
        <w:spacing w:after="0" w:line="240" w:lineRule="auto"/>
        <w:ind w:left="709" w:right="709"/>
        <w:jc w:val="both"/>
        <w:rPr>
          <w:rFonts w:ascii="Verdana" w:eastAsia="Times New Roman" w:hAnsi="Verdana" w:cs="Arial"/>
          <w:bCs/>
          <w:lang w:val="es-ES" w:eastAsia="es-CO"/>
        </w:rPr>
      </w:pPr>
      <w:r w:rsidRPr="00E8636D">
        <w:rPr>
          <w:rFonts w:ascii="Verdana" w:eastAsia="Times New Roman" w:hAnsi="Verdana" w:cs="Arial"/>
          <w:bCs/>
          <w:sz w:val="20"/>
          <w:szCs w:val="20"/>
          <w:lang w:val="es-ES"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E8636D">
        <w:rPr>
          <w:rStyle w:val="FootnoteReference"/>
          <w:rFonts w:ascii="Verdana" w:eastAsia="Times New Roman" w:hAnsi="Verdana" w:cs="Arial"/>
          <w:bCs/>
          <w:sz w:val="20"/>
          <w:szCs w:val="20"/>
          <w:lang w:val="es-ES" w:eastAsia="es-CO"/>
        </w:rPr>
        <w:footnoteReference w:id="16"/>
      </w:r>
      <w:r w:rsidRPr="00E8636D">
        <w:rPr>
          <w:rFonts w:ascii="Verdana" w:eastAsia="Times New Roman" w:hAnsi="Verdana" w:cs="Arial"/>
          <w:bCs/>
          <w:sz w:val="20"/>
          <w:szCs w:val="20"/>
          <w:lang w:val="es-ES" w:eastAsia="es-CO"/>
        </w:rPr>
        <w:t>.</w:t>
      </w:r>
    </w:p>
    <w:p w14:paraId="1BAC43BB" w14:textId="77777777" w:rsidR="00D93852" w:rsidRPr="00E8636D" w:rsidRDefault="00D93852" w:rsidP="00D93852">
      <w:pPr>
        <w:spacing w:before="240" w:line="276" w:lineRule="auto"/>
        <w:ind w:firstLine="708"/>
        <w:jc w:val="both"/>
        <w:rPr>
          <w:rFonts w:ascii="Verdana" w:hAnsi="Verdana" w:cs="Arial"/>
          <w:bCs/>
          <w:sz w:val="20"/>
          <w:szCs w:val="20"/>
          <w:lang w:val="es-ES" w:eastAsia="es-CO"/>
        </w:rPr>
      </w:pPr>
      <w:r w:rsidRPr="00E8636D">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E8636D">
        <w:rPr>
          <w:rFonts w:ascii="Verdana" w:hAnsi="Verdana"/>
          <w:lang w:val="es-ES"/>
        </w:rPr>
        <w:t xml:space="preserve"> </w:t>
      </w:r>
      <w:r w:rsidRPr="00E8636D">
        <w:rPr>
          <w:rFonts w:ascii="Verdana" w:hAnsi="Verdana" w:cs="Arial"/>
          <w:bCs/>
          <w:lang w:val="es-ES" w:eastAsia="x-none"/>
        </w:rPr>
        <w:t>En efecto, tal como lo ha sostenido el Consejo de Estado, el vocablo “todos” utilizado por el legislador comprende</w:t>
      </w:r>
      <w:r w:rsidRPr="00E8636D">
        <w:rPr>
          <w:rFonts w:ascii="Verdana" w:hAnsi="Verdana"/>
          <w:lang w:val="es-ES"/>
        </w:rPr>
        <w:t xml:space="preserve"> </w:t>
      </w:r>
      <w:r w:rsidRPr="00E8636D">
        <w:rPr>
          <w:rFonts w:ascii="Verdana" w:hAnsi="Verdana" w:cs="Arial"/>
          <w:bCs/>
          <w:lang w:val="es-ES"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E8636D">
        <w:rPr>
          <w:rStyle w:val="FootnoteReference"/>
          <w:rFonts w:ascii="Verdana" w:hAnsi="Verdana" w:cs="Arial"/>
          <w:bCs/>
          <w:sz w:val="20"/>
          <w:szCs w:val="20"/>
          <w:lang w:val="es-ES" w:eastAsia="x-none"/>
        </w:rPr>
        <w:footnoteReference w:id="17"/>
      </w:r>
      <w:r w:rsidRPr="00E8636D">
        <w:rPr>
          <w:rFonts w:ascii="Verdana" w:hAnsi="Verdana" w:cs="Arial"/>
          <w:bCs/>
          <w:sz w:val="20"/>
          <w:szCs w:val="20"/>
          <w:lang w:val="es-ES" w:eastAsia="x-none"/>
        </w:rPr>
        <w:t>.</w:t>
      </w:r>
      <w:r w:rsidRPr="00E8636D">
        <w:rPr>
          <w:rFonts w:ascii="Verdana" w:hAnsi="Verdana" w:cs="Arial"/>
          <w:bCs/>
          <w:sz w:val="20"/>
          <w:szCs w:val="20"/>
          <w:lang w:val="es-ES" w:eastAsia="es-CO"/>
        </w:rPr>
        <w:t>”</w:t>
      </w:r>
    </w:p>
    <w:p w14:paraId="3AAF11C2" w14:textId="77777777" w:rsidR="00D93852" w:rsidRPr="00E8636D" w:rsidRDefault="00D93852" w:rsidP="00D93852">
      <w:pPr>
        <w:spacing w:line="276" w:lineRule="auto"/>
        <w:ind w:firstLine="709"/>
        <w:jc w:val="both"/>
        <w:rPr>
          <w:rFonts w:ascii="Verdana" w:eastAsia="Arial" w:hAnsi="Verdana" w:cs="Arial"/>
          <w:bCs/>
          <w:color w:val="000000" w:themeColor="text1"/>
          <w:lang w:val="es-ES"/>
        </w:rPr>
      </w:pPr>
      <w:r w:rsidRPr="00E8636D">
        <w:rPr>
          <w:rFonts w:ascii="Verdana" w:eastAsia="Arial" w:hAnsi="Verdana" w:cs="Arial"/>
          <w:color w:val="000000" w:themeColor="text1"/>
          <w:lang w:val="es-ES"/>
        </w:rPr>
        <w:t xml:space="preserve">Por lo tanto, la restricción del artículo 33 prevista en la Ley 996 de 2005, teniendo en cuenta la finalidad de la ley de garantías electorales, cobija a </w:t>
      </w:r>
      <w:r w:rsidRPr="00E8636D">
        <w:rPr>
          <w:rFonts w:ascii="Verdana" w:eastAsia="Arial" w:hAnsi="Verdana" w:cs="Arial"/>
          <w:i/>
          <w:iCs/>
          <w:color w:val="000000" w:themeColor="text1"/>
          <w:lang w:val="es-ES"/>
        </w:rPr>
        <w:t xml:space="preserve">cualquier </w:t>
      </w:r>
      <w:r w:rsidRPr="00E8636D">
        <w:rPr>
          <w:rFonts w:ascii="Verdana" w:eastAsia="Arial" w:hAnsi="Verdana" w:cs="Arial"/>
          <w:color w:val="000000" w:themeColor="text1"/>
          <w:lang w:val="es-ES"/>
        </w:rPr>
        <w:t>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69491B7C" w14:textId="77777777" w:rsidR="00D93852" w:rsidRPr="00E8636D" w:rsidRDefault="00D93852" w:rsidP="00D93852">
      <w:pPr>
        <w:spacing w:before="120" w:line="276" w:lineRule="auto"/>
        <w:ind w:firstLine="709"/>
        <w:jc w:val="both"/>
        <w:rPr>
          <w:rFonts w:ascii="Verdana" w:hAnsi="Verdana" w:cs="Arial"/>
          <w:bCs/>
          <w:color w:val="000000" w:themeColor="text1"/>
          <w:lang w:val="es-ES"/>
        </w:rPr>
      </w:pPr>
      <w:r w:rsidRPr="00E8636D">
        <w:rPr>
          <w:rFonts w:ascii="Verdana" w:eastAsia="Arial" w:hAnsi="Verdana" w:cs="Arial"/>
          <w:bCs/>
          <w:color w:val="000000" w:themeColor="text1"/>
          <w:lang w:val="es-ES"/>
        </w:rPr>
        <w:lastRenderedPageBreak/>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E8636D">
        <w:rPr>
          <w:rFonts w:ascii="Verdana" w:hAnsi="Verdana" w:cs="Arial"/>
          <w:bCs/>
          <w:color w:val="000000" w:themeColor="text1"/>
          <w:lang w:val="es-ES"/>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34B06659" w14:textId="77777777" w:rsidR="00D93852" w:rsidRPr="00E8636D" w:rsidRDefault="00D93852" w:rsidP="00D93852">
      <w:pPr>
        <w:pStyle w:val="ListParagraph"/>
        <w:numPr>
          <w:ilvl w:val="0"/>
          <w:numId w:val="20"/>
        </w:numPr>
        <w:tabs>
          <w:tab w:val="left" w:pos="709"/>
        </w:tabs>
        <w:spacing w:before="120" w:line="276" w:lineRule="auto"/>
        <w:jc w:val="both"/>
        <w:rPr>
          <w:rFonts w:ascii="Verdana" w:hAnsi="Verdana" w:cs="Arial"/>
          <w:bCs/>
          <w:color w:val="000000" w:themeColor="text1"/>
        </w:rPr>
      </w:pPr>
      <w:r w:rsidRPr="00E8636D">
        <w:rPr>
          <w:rFonts w:ascii="Verdana" w:hAnsi="Verdana" w:cs="Arial"/>
          <w:bCs/>
          <w:color w:val="000000" w:themeColor="text1"/>
        </w:rPr>
        <w:t>La contratación referente a la defensa y seguridad del Estado;</w:t>
      </w:r>
    </w:p>
    <w:p w14:paraId="6E53394C" w14:textId="77777777" w:rsidR="00D93852" w:rsidRPr="00E8636D" w:rsidRDefault="00D93852" w:rsidP="00D93852">
      <w:pPr>
        <w:pStyle w:val="ListParagraph"/>
        <w:numPr>
          <w:ilvl w:val="0"/>
          <w:numId w:val="20"/>
        </w:numPr>
        <w:tabs>
          <w:tab w:val="left" w:pos="709"/>
        </w:tabs>
        <w:spacing w:before="120" w:line="276" w:lineRule="auto"/>
        <w:jc w:val="both"/>
        <w:rPr>
          <w:rFonts w:ascii="Verdana" w:hAnsi="Verdana" w:cs="Arial"/>
          <w:bCs/>
          <w:color w:val="000000" w:themeColor="text1"/>
        </w:rPr>
      </w:pPr>
      <w:r w:rsidRPr="00E8636D">
        <w:rPr>
          <w:rFonts w:ascii="Verdana" w:hAnsi="Verdana" w:cs="Arial"/>
          <w:bCs/>
          <w:color w:val="000000" w:themeColor="text1"/>
        </w:rPr>
        <w:t>Los contratos de crédito público;</w:t>
      </w:r>
    </w:p>
    <w:p w14:paraId="09CA1811" w14:textId="77777777" w:rsidR="00D93852" w:rsidRPr="00E8636D" w:rsidRDefault="00D93852" w:rsidP="00D93852">
      <w:pPr>
        <w:pStyle w:val="ListParagraph"/>
        <w:numPr>
          <w:ilvl w:val="0"/>
          <w:numId w:val="20"/>
        </w:numPr>
        <w:tabs>
          <w:tab w:val="left" w:pos="709"/>
        </w:tabs>
        <w:spacing w:before="120" w:line="276" w:lineRule="auto"/>
        <w:jc w:val="both"/>
        <w:rPr>
          <w:rFonts w:ascii="Verdana" w:hAnsi="Verdana" w:cs="Arial"/>
          <w:bCs/>
          <w:color w:val="000000" w:themeColor="text1"/>
        </w:rPr>
      </w:pPr>
      <w:r w:rsidRPr="00E8636D">
        <w:rPr>
          <w:rFonts w:ascii="Verdana" w:hAnsi="Verdana" w:cs="Arial"/>
          <w:bCs/>
          <w:color w:val="000000" w:themeColor="text1"/>
        </w:rPr>
        <w:t xml:space="preserve">Los contratos requeridos para cubrir las emergencias educativas, sanitarias y desastres; </w:t>
      </w:r>
    </w:p>
    <w:p w14:paraId="2909F69B" w14:textId="77777777" w:rsidR="00D93852" w:rsidRPr="00E8636D" w:rsidRDefault="00D93852" w:rsidP="00D93852">
      <w:pPr>
        <w:pStyle w:val="ListParagraph"/>
        <w:numPr>
          <w:ilvl w:val="0"/>
          <w:numId w:val="20"/>
        </w:numPr>
        <w:tabs>
          <w:tab w:val="left" w:pos="709"/>
        </w:tabs>
        <w:spacing w:before="120" w:line="276" w:lineRule="auto"/>
        <w:jc w:val="both"/>
        <w:rPr>
          <w:rFonts w:ascii="Verdana" w:hAnsi="Verdana" w:cs="Arial"/>
          <w:bCs/>
          <w:color w:val="000000" w:themeColor="text1"/>
        </w:rPr>
      </w:pPr>
      <w:r w:rsidRPr="00E8636D">
        <w:rPr>
          <w:rFonts w:ascii="Verdana" w:hAnsi="Verdana" w:cs="Arial"/>
          <w:bCs/>
          <w:color w:val="000000" w:themeColor="text1"/>
        </w:rPr>
        <w:t>La contratación para la reconstrucción de vías, puentes, carreteras, infraestructura energética y de comunicaciones, en caso de que hayan sido objeto de atentados, acciones terroristas, desastres naturales o casos de fuerza mayor y;</w:t>
      </w:r>
    </w:p>
    <w:p w14:paraId="7E465526" w14:textId="77777777" w:rsidR="00D93852" w:rsidRPr="00E8636D" w:rsidRDefault="00D93852" w:rsidP="00D93852">
      <w:pPr>
        <w:pStyle w:val="ListParagraph"/>
        <w:numPr>
          <w:ilvl w:val="0"/>
          <w:numId w:val="20"/>
        </w:numPr>
        <w:tabs>
          <w:tab w:val="left" w:pos="709"/>
        </w:tabs>
        <w:spacing w:before="120" w:line="276" w:lineRule="auto"/>
        <w:jc w:val="both"/>
        <w:rPr>
          <w:rFonts w:ascii="Verdana" w:hAnsi="Verdana" w:cs="Arial"/>
          <w:bCs/>
          <w:color w:val="000000" w:themeColor="text1"/>
        </w:rPr>
      </w:pPr>
      <w:r w:rsidRPr="00E8636D">
        <w:rPr>
          <w:rFonts w:ascii="Verdana" w:hAnsi="Verdana" w:cs="Arial"/>
          <w:bCs/>
          <w:color w:val="000000" w:themeColor="text1"/>
        </w:rPr>
        <w:t xml:space="preserve">La contratación que deban realizar las entidades sanitarias y hospitalarias. </w:t>
      </w:r>
    </w:p>
    <w:p w14:paraId="6B3D7F86" w14:textId="77777777" w:rsidR="00D93852" w:rsidRPr="00E8636D" w:rsidRDefault="00D93852" w:rsidP="00D93852">
      <w:pPr>
        <w:spacing w:before="240" w:line="276" w:lineRule="auto"/>
        <w:ind w:firstLine="709"/>
        <w:jc w:val="both"/>
        <w:rPr>
          <w:rFonts w:ascii="Verdana" w:hAnsi="Verdana" w:cs="Arial"/>
          <w:lang w:val="es-ES" w:eastAsia="x-none"/>
        </w:rPr>
      </w:pPr>
      <w:r w:rsidRPr="00E8636D">
        <w:rPr>
          <w:rFonts w:ascii="Verdana" w:hAnsi="Verdana" w:cs="Arial"/>
          <w:lang w:val="es-ES" w:eastAsia="x-none"/>
        </w:rPr>
        <w:t>Como lo anotó la Corte Constitucional, en Sentencia C-1153 de noviembre 11 de 2005,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E8636D">
        <w:rPr>
          <w:rFonts w:ascii="Verdana" w:hAnsi="Verdana" w:cs="Arial"/>
          <w:color w:val="000000" w:themeColor="text1"/>
          <w:vertAlign w:val="superscript"/>
          <w:lang w:val="es-ES" w:eastAsia="es-CO"/>
        </w:rPr>
        <w:t xml:space="preserve"> </w:t>
      </w:r>
      <w:r w:rsidRPr="00E8636D">
        <w:rPr>
          <w:rFonts w:ascii="Verdana" w:hAnsi="Verdana" w:cs="Arial"/>
          <w:color w:val="000000" w:themeColor="text1"/>
          <w:vertAlign w:val="superscript"/>
          <w:lang w:val="es-ES" w:eastAsia="es-CO"/>
        </w:rPr>
        <w:footnoteReference w:id="18"/>
      </w:r>
      <w:r w:rsidRPr="00E8636D">
        <w:rPr>
          <w:rFonts w:ascii="Verdana" w:hAnsi="Verdana" w:cs="Arial"/>
          <w:lang w:val="es-ES"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31522719" w14:textId="77777777" w:rsidR="00D93852" w:rsidRPr="00E8636D" w:rsidRDefault="00D93852" w:rsidP="00D93852">
      <w:pPr>
        <w:tabs>
          <w:tab w:val="left" w:pos="426"/>
        </w:tabs>
        <w:spacing w:before="120" w:line="276" w:lineRule="auto"/>
        <w:ind w:firstLine="709"/>
        <w:jc w:val="both"/>
        <w:rPr>
          <w:rFonts w:ascii="Verdana" w:hAnsi="Verdana" w:cs="Arial"/>
          <w:bCs/>
          <w:color w:val="000000" w:themeColor="text1"/>
          <w:lang w:val="es-ES"/>
        </w:rPr>
      </w:pPr>
      <w:r w:rsidRPr="00E8636D">
        <w:rPr>
          <w:rFonts w:ascii="Verdana" w:hAnsi="Verdana" w:cs="Arial"/>
          <w:bCs/>
          <w:color w:val="000000" w:themeColor="text1"/>
          <w:lang w:val="es-ES"/>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37B2C7D1" w14:textId="77777777" w:rsidR="00D93852" w:rsidRPr="00E8636D" w:rsidRDefault="00D93852" w:rsidP="00D93852">
      <w:pPr>
        <w:shd w:val="clear" w:color="auto" w:fill="FFFFFF"/>
        <w:ind w:left="709" w:right="709"/>
        <w:jc w:val="both"/>
        <w:rPr>
          <w:rFonts w:ascii="Verdana" w:hAnsi="Verdana" w:cs="Arial"/>
          <w:color w:val="000000" w:themeColor="text1"/>
          <w:sz w:val="20"/>
          <w:szCs w:val="20"/>
          <w:lang w:val="es-ES" w:eastAsia="es-CO"/>
        </w:rPr>
      </w:pPr>
      <w:r w:rsidRPr="00E8636D">
        <w:rPr>
          <w:rFonts w:ascii="Verdana" w:hAnsi="Verdana" w:cs="Arial"/>
          <w:color w:val="000000" w:themeColor="text1"/>
          <w:sz w:val="20"/>
          <w:szCs w:val="20"/>
          <w:lang w:val="es-ES" w:eastAsia="es-CO"/>
        </w:rPr>
        <w:t xml:space="preserve">“[…] Las excepciones establecidas en los artículos 32 y 33 en comento, guardan relación, exclusivamente, con algunos servicios públicos que por </w:t>
      </w:r>
      <w:r w:rsidRPr="00E8636D">
        <w:rPr>
          <w:rFonts w:ascii="Verdana" w:hAnsi="Verdana" w:cs="Arial"/>
          <w:color w:val="000000" w:themeColor="text1"/>
          <w:sz w:val="20"/>
          <w:szCs w:val="20"/>
          <w:lang w:val="es-ES" w:eastAsia="es-CO"/>
        </w:rPr>
        <w:lastRenderedPageBreak/>
        <w:t>su naturaleza no admiten postergaciones en la atención de sus necesidades de personal, bienes y servicios [...]</w:t>
      </w:r>
      <w:r w:rsidRPr="00E8636D">
        <w:rPr>
          <w:rFonts w:ascii="Verdana" w:hAnsi="Verdana" w:cs="Arial"/>
          <w:color w:val="000000" w:themeColor="text1"/>
          <w:sz w:val="20"/>
          <w:szCs w:val="20"/>
          <w:vertAlign w:val="superscript"/>
          <w:lang w:val="es-ES" w:eastAsia="es-CO"/>
        </w:rPr>
        <w:footnoteReference w:id="19"/>
      </w:r>
      <w:r w:rsidRPr="00E8636D">
        <w:rPr>
          <w:rFonts w:ascii="Verdana" w:hAnsi="Verdana" w:cs="Arial"/>
          <w:color w:val="000000" w:themeColor="text1"/>
          <w:sz w:val="20"/>
          <w:szCs w:val="20"/>
          <w:lang w:val="es-ES" w:eastAsia="es-CO"/>
        </w:rPr>
        <w:t xml:space="preserve">”. </w:t>
      </w:r>
    </w:p>
    <w:p w14:paraId="60A87FAE" w14:textId="77777777" w:rsidR="00D93852" w:rsidRPr="00E8636D" w:rsidRDefault="00D93852" w:rsidP="00D93852">
      <w:pPr>
        <w:tabs>
          <w:tab w:val="left" w:pos="426"/>
        </w:tabs>
        <w:spacing w:before="120" w:after="0" w:line="276" w:lineRule="auto"/>
        <w:ind w:firstLine="709"/>
        <w:jc w:val="both"/>
        <w:rPr>
          <w:rFonts w:ascii="Verdana" w:hAnsi="Verdana" w:cs="Arial"/>
          <w:color w:val="000000" w:themeColor="text1"/>
          <w:lang w:val="es-ES"/>
        </w:rPr>
      </w:pPr>
      <w:r w:rsidRPr="00E8636D">
        <w:rPr>
          <w:rFonts w:ascii="Verdana" w:hAnsi="Verdana" w:cs="Arial"/>
          <w:bCs/>
          <w:color w:val="000000" w:themeColor="text1"/>
          <w:lang w:val="es-ES"/>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E8636D">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w:t>
      </w:r>
    </w:p>
    <w:p w14:paraId="3B371F7C" w14:textId="77777777" w:rsidR="00D93852" w:rsidRPr="00E8636D" w:rsidRDefault="00D93852" w:rsidP="00D93852">
      <w:pPr>
        <w:tabs>
          <w:tab w:val="left" w:pos="426"/>
        </w:tabs>
        <w:spacing w:after="0" w:line="276" w:lineRule="auto"/>
        <w:ind w:firstLine="709"/>
        <w:jc w:val="both"/>
        <w:rPr>
          <w:rFonts w:ascii="Verdana" w:hAnsi="Verdana" w:cs="Arial"/>
          <w:color w:val="000000" w:themeColor="text1"/>
          <w:lang w:val="es-ES"/>
        </w:rPr>
      </w:pPr>
    </w:p>
    <w:p w14:paraId="4CBFB9C1" w14:textId="77777777" w:rsidR="00D93852" w:rsidRPr="00E8636D" w:rsidRDefault="00D93852" w:rsidP="00D93852">
      <w:pPr>
        <w:tabs>
          <w:tab w:val="left" w:pos="426"/>
        </w:tabs>
        <w:spacing w:after="0"/>
        <w:ind w:right="709"/>
        <w:jc w:val="both"/>
        <w:rPr>
          <w:rFonts w:ascii="Verdana" w:hAnsi="Verdana" w:cs="Arial"/>
          <w:color w:val="000000" w:themeColor="text1"/>
          <w:sz w:val="20"/>
          <w:szCs w:val="20"/>
          <w:lang w:val="es-ES"/>
        </w:rPr>
      </w:pPr>
      <w:r w:rsidRPr="00E8636D">
        <w:rPr>
          <w:rFonts w:ascii="Arial" w:hAnsi="Arial" w:cs="Arial"/>
          <w:color w:val="000000" w:themeColor="text1"/>
          <w:sz w:val="21"/>
          <w:szCs w:val="21"/>
          <w:lang w:val="es-ES"/>
        </w:rPr>
        <w:tab/>
      </w:r>
      <w:r w:rsidRPr="00E8636D">
        <w:rPr>
          <w:rFonts w:ascii="Arial" w:hAnsi="Arial" w:cs="Arial"/>
          <w:color w:val="000000" w:themeColor="text1"/>
          <w:sz w:val="21"/>
          <w:szCs w:val="21"/>
          <w:lang w:val="es-ES"/>
        </w:rPr>
        <w:tab/>
        <w:t>“</w:t>
      </w:r>
      <w:r w:rsidRPr="00E8636D">
        <w:rPr>
          <w:rFonts w:ascii="Verdana" w:hAnsi="Verdana" w:cs="Arial"/>
          <w:color w:val="000000" w:themeColor="text1"/>
          <w:sz w:val="20"/>
          <w:szCs w:val="20"/>
          <w:lang w:val="es-ES"/>
        </w:rPr>
        <w:t xml:space="preserve">[…] </w:t>
      </w:r>
      <w:r w:rsidRPr="00E8636D">
        <w:rPr>
          <w:rFonts w:ascii="Verdana" w:hAnsi="Verdana" w:cs="Arial"/>
          <w:i/>
          <w:color w:val="000000" w:themeColor="text1"/>
          <w:sz w:val="20"/>
          <w:szCs w:val="20"/>
          <w:lang w:val="es-ES"/>
        </w:rPr>
        <w:t>Las excepciones aplicables a la restricción de contratación pública</w:t>
      </w:r>
    </w:p>
    <w:p w14:paraId="7245F58E" w14:textId="77777777" w:rsidR="00D93852" w:rsidRPr="00E8636D" w:rsidRDefault="00D93852" w:rsidP="00D93852">
      <w:pPr>
        <w:spacing w:after="0"/>
        <w:ind w:left="709" w:right="709"/>
        <w:jc w:val="both"/>
        <w:rPr>
          <w:rFonts w:ascii="Verdana" w:hAnsi="Verdana" w:cs="Arial"/>
          <w:color w:val="000000" w:themeColor="text1"/>
          <w:sz w:val="20"/>
          <w:szCs w:val="20"/>
          <w:shd w:val="clear" w:color="auto" w:fill="FFFFFF"/>
          <w:lang w:val="es-ES"/>
        </w:rPr>
      </w:pPr>
      <w:r w:rsidRPr="00E8636D">
        <w:rPr>
          <w:rFonts w:ascii="Verdana" w:hAnsi="Verdana" w:cs="Arial"/>
          <w:color w:val="000000" w:themeColor="text1"/>
          <w:sz w:val="20"/>
          <w:szCs w:val="20"/>
          <w:shd w:val="clear" w:color="auto" w:fill="FFFFFF"/>
          <w:lang w:val="es-ES"/>
        </w:rPr>
        <w:t>Ahora bien, las únicas excepciones a las disposiciones previstas en la Ley de Garantías se encuentran numeradas taxativamente en el último inciso del artículo 33 de la ley 996 de 2005, dentro de las que se encuentran […]</w:t>
      </w:r>
      <w:r w:rsidRPr="00E8636D">
        <w:rPr>
          <w:rFonts w:ascii="Verdana" w:hAnsi="Verdana" w:cs="Arial"/>
          <w:color w:val="000000" w:themeColor="text1"/>
          <w:sz w:val="20"/>
          <w:szCs w:val="20"/>
          <w:shd w:val="clear" w:color="auto" w:fill="FFFFFF"/>
          <w:vertAlign w:val="superscript"/>
          <w:lang w:val="es-ES"/>
        </w:rPr>
        <w:footnoteReference w:id="20"/>
      </w:r>
      <w:r w:rsidRPr="00E8636D">
        <w:rPr>
          <w:rFonts w:ascii="Verdana" w:hAnsi="Verdana" w:cs="Arial"/>
          <w:color w:val="000000" w:themeColor="text1"/>
          <w:sz w:val="20"/>
          <w:szCs w:val="20"/>
          <w:shd w:val="clear" w:color="auto" w:fill="FFFFFF"/>
          <w:lang w:val="es-ES"/>
        </w:rPr>
        <w:t>.</w:t>
      </w:r>
    </w:p>
    <w:p w14:paraId="00EA3DA1" w14:textId="77777777" w:rsidR="00D93852" w:rsidRPr="00E8636D" w:rsidRDefault="00D93852" w:rsidP="00D93852">
      <w:pPr>
        <w:spacing w:after="0"/>
        <w:ind w:left="709" w:right="709"/>
        <w:jc w:val="both"/>
        <w:rPr>
          <w:rFonts w:ascii="Verdana" w:hAnsi="Verdana" w:cs="Arial"/>
          <w:color w:val="000000" w:themeColor="text1"/>
          <w:sz w:val="20"/>
          <w:szCs w:val="20"/>
          <w:shd w:val="clear" w:color="auto" w:fill="FFFFFF"/>
          <w:lang w:val="es-ES"/>
        </w:rPr>
      </w:pPr>
    </w:p>
    <w:p w14:paraId="354AF27A" w14:textId="77777777" w:rsidR="00D93852" w:rsidRPr="00E8636D" w:rsidRDefault="00D93852" w:rsidP="00D93852">
      <w:pPr>
        <w:tabs>
          <w:tab w:val="left" w:pos="426"/>
        </w:tabs>
        <w:spacing w:line="276" w:lineRule="auto"/>
        <w:ind w:firstLine="709"/>
        <w:jc w:val="both"/>
        <w:rPr>
          <w:rFonts w:ascii="Verdana" w:hAnsi="Verdana" w:cs="Arial"/>
          <w:bCs/>
          <w:color w:val="000000" w:themeColor="text1"/>
          <w:lang w:val="es-ES"/>
        </w:rPr>
      </w:pPr>
      <w:r w:rsidRPr="00E8636D">
        <w:rPr>
          <w:rFonts w:ascii="Verdana" w:hAnsi="Verdana" w:cs="Arial"/>
          <w:bCs/>
          <w:color w:val="000000" w:themeColor="text1"/>
          <w:lang w:val="es-ES"/>
        </w:rPr>
        <w:t>Lo anterior implica que las excepciones al artículo 33 en comento deben interpretarse y aplicarse de manera estricta. En otras palabras, no es factible hacer interpretaciones extensivas</w:t>
      </w:r>
      <w:r w:rsidRPr="00E8636D">
        <w:rPr>
          <w:rFonts w:ascii="Verdana" w:hAnsi="Verdana" w:cs="Arial"/>
          <w:bCs/>
          <w:i/>
          <w:iCs/>
          <w:color w:val="000000" w:themeColor="text1"/>
          <w:lang w:val="es-ES"/>
        </w:rPr>
        <w:t xml:space="preserve"> </w:t>
      </w:r>
      <w:r w:rsidRPr="00E8636D">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1744F383" w14:textId="77777777" w:rsidR="00D93852" w:rsidRPr="00E8636D" w:rsidRDefault="00D93852" w:rsidP="00D93852">
      <w:pPr>
        <w:spacing w:before="240" w:line="276" w:lineRule="auto"/>
        <w:jc w:val="both"/>
        <w:rPr>
          <w:rFonts w:ascii="Verdana" w:hAnsi="Verdana" w:cs="Arial"/>
          <w:lang w:val="es-ES"/>
        </w:rPr>
      </w:pPr>
      <w:r w:rsidRPr="00E8636D">
        <w:rPr>
          <w:rFonts w:ascii="Verdana" w:eastAsia="Arial" w:hAnsi="Verdana" w:cs="Arial"/>
          <w:bCs/>
          <w:color w:val="000000" w:themeColor="text1"/>
          <w:lang w:val="es-ES"/>
        </w:rPr>
        <w:t xml:space="preserve">v) Por otro lado, la prohibición establecida en el </w:t>
      </w:r>
      <w:r w:rsidRPr="00E8636D">
        <w:rPr>
          <w:rFonts w:ascii="Verdana" w:eastAsia="Arial" w:hAnsi="Verdana" w:cs="Arial"/>
          <w:bCs/>
          <w:i/>
          <w:iCs/>
          <w:color w:val="000000" w:themeColor="text1"/>
          <w:lang w:val="es-ES"/>
        </w:rPr>
        <w:t xml:space="preserve">parágrafo del artículo 38 </w:t>
      </w:r>
      <w:r w:rsidRPr="00E8636D">
        <w:rPr>
          <w:rFonts w:ascii="Verdana" w:eastAsia="Calibri" w:hAnsi="Verdana" w:cs="Arial"/>
          <w:bCs/>
          <w:lang w:val="es-ES"/>
        </w:rPr>
        <w:t>de la Ley 996 de 2005 dispone que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w:t>
      </w:r>
      <w:r w:rsidRPr="00E8636D">
        <w:rPr>
          <w:rFonts w:ascii="Verdana" w:hAnsi="Verdana" w:cs="Arial"/>
          <w:bCs/>
          <w:iCs/>
          <w:lang w:val="es-ES" w:eastAsia="x-none"/>
        </w:rPr>
        <w:t xml:space="preserve"> Los convenios interadministrativos que se restringen en el parágrafo del artículo 38 de la Ley 996 de 2005, son únicamente aquellos en que se dispone la ejecución de recursos públicos, para </w:t>
      </w:r>
      <w:r w:rsidRPr="00E8636D">
        <w:rPr>
          <w:rFonts w:ascii="Verdana" w:hAnsi="Verdana" w:cs="Arial"/>
          <w:bCs/>
          <w:iCs/>
          <w:lang w:val="es-ES" w:eastAsia="x-none"/>
        </w:rPr>
        <w:lastRenderedPageBreak/>
        <w:t>evitar que mediante la suscripción de estos se comprometa el erario con fines políticos o partidistas</w:t>
      </w:r>
      <w:r w:rsidRPr="00E8636D">
        <w:rPr>
          <w:rStyle w:val="FootnoteReference"/>
          <w:rFonts w:ascii="Verdana" w:hAnsi="Verdana" w:cs="Arial"/>
          <w:bCs/>
          <w:iCs/>
          <w:lang w:val="es-ES" w:eastAsia="x-none"/>
        </w:rPr>
        <w:footnoteReference w:id="21"/>
      </w:r>
      <w:r w:rsidRPr="00E8636D">
        <w:rPr>
          <w:rFonts w:ascii="Verdana" w:hAnsi="Verdana" w:cs="Arial"/>
          <w:bCs/>
          <w:iCs/>
          <w:lang w:val="es-ES" w:eastAsia="x-none"/>
        </w:rPr>
        <w:t>.</w:t>
      </w:r>
      <w:r w:rsidRPr="00E8636D">
        <w:rPr>
          <w:rFonts w:ascii="Verdana" w:hAnsi="Verdana" w:cs="Arial"/>
          <w:lang w:val="es-ES"/>
        </w:rPr>
        <w:t xml:space="preserve"> </w:t>
      </w:r>
      <w:bookmarkStart w:id="3" w:name="_Hlk78820161"/>
    </w:p>
    <w:p w14:paraId="4B3EA89E" w14:textId="77777777" w:rsidR="00D93852" w:rsidRPr="00E8636D" w:rsidRDefault="00D93852" w:rsidP="00D93852">
      <w:pPr>
        <w:spacing w:before="120" w:after="120" w:line="276" w:lineRule="auto"/>
        <w:ind w:firstLine="708"/>
        <w:jc w:val="both"/>
        <w:rPr>
          <w:rFonts w:ascii="Verdana" w:hAnsi="Verdana" w:cs="Arial"/>
          <w:lang w:val="es-ES"/>
        </w:rPr>
      </w:pPr>
      <w:r w:rsidRPr="00E8636D">
        <w:rPr>
          <w:rFonts w:ascii="Verdana" w:hAnsi="Verdana" w:cs="Arial"/>
          <w:lang w:val="es-ES"/>
        </w:rPr>
        <w:t xml:space="preserve">Aunque la ley no definió ni desarrolló </w:t>
      </w:r>
      <w:r w:rsidRPr="00E8636D">
        <w:rPr>
          <w:rFonts w:ascii="Verdana" w:eastAsia="Calibri" w:hAnsi="Verdana" w:cs="Arial"/>
          <w:bCs/>
          <w:lang w:val="es-ES"/>
        </w:rPr>
        <w:t>la tipología de convenios interadministrativos</w:t>
      </w:r>
      <w:r w:rsidRPr="00E8636D">
        <w:rPr>
          <w:rFonts w:ascii="Verdana" w:hAnsi="Verdana" w:cs="Arial"/>
          <w:lang w:val="es-ES"/>
        </w:rPr>
        <w:t>, el Decreto 1082 de 2015 califica a los convenios interadministrativos como aquella contratación entre entidades estatales</w:t>
      </w:r>
      <w:r w:rsidRPr="00E8636D">
        <w:rPr>
          <w:rStyle w:val="FootnoteReference"/>
          <w:rFonts w:ascii="Verdana" w:hAnsi="Verdana" w:cs="Arial"/>
          <w:lang w:val="es-ES"/>
        </w:rPr>
        <w:footnoteReference w:id="22"/>
      </w:r>
      <w:r w:rsidRPr="00E8636D">
        <w:rPr>
          <w:rFonts w:ascii="Verdana" w:hAnsi="Verdana" w:cs="Arial"/>
          <w:lang w:val="es-ES"/>
        </w:rPr>
        <w:t>. De acuerdo con lo anterior, el convenio interadministrativo es el acuerdo donde concurre la voluntad de dos o más personas jurídicas de derecho público con la finalidad de cumplir, en el marco de sus objetivos misionales y sus competencias, con los fines del Estado. Es decir, los convenios interadministrativos están determinados por un criterio orgánico, pues es necesario que los extremos de la relación contractual sean Entidades</w:t>
      </w:r>
      <w:r w:rsidRPr="00E8636D">
        <w:rPr>
          <w:rFonts w:ascii="Verdana" w:hAnsi="Verdana" w:cs="Arial"/>
          <w:spacing w:val="-6"/>
          <w:lang w:val="es-ES"/>
        </w:rPr>
        <w:t xml:space="preserve"> </w:t>
      </w:r>
      <w:r w:rsidRPr="00E8636D">
        <w:rPr>
          <w:rFonts w:ascii="Verdana" w:hAnsi="Verdana" w:cs="Arial"/>
          <w:lang w:val="es-ES"/>
        </w:rPr>
        <w:t>Estatales.</w:t>
      </w:r>
      <w:bookmarkStart w:id="4" w:name="_Hlk78820654"/>
      <w:bookmarkEnd w:id="3"/>
    </w:p>
    <w:p w14:paraId="3DD78430" w14:textId="77777777" w:rsidR="00D93852" w:rsidRPr="00E8636D" w:rsidRDefault="00D93852" w:rsidP="00D93852">
      <w:pPr>
        <w:spacing w:before="120" w:after="120" w:line="276" w:lineRule="auto"/>
        <w:ind w:firstLine="708"/>
        <w:jc w:val="both"/>
        <w:rPr>
          <w:rFonts w:ascii="Verdana" w:hAnsi="Verdana" w:cs="Arial"/>
          <w:lang w:val="es-ES"/>
        </w:rPr>
      </w:pPr>
      <w:r w:rsidRPr="00E8636D">
        <w:rPr>
          <w:rFonts w:ascii="Verdana" w:hAnsi="Verdana" w:cs="Arial"/>
          <w:lang w:val="es-ES"/>
        </w:rPr>
        <w:t>Si bien los convenios interadministrativos están previstos en la Ley 80 de 1993, en la Ley 1150 de 2007 y en el Decreto en el 1082 de 2015, no quiere decir que solo puedan celebrarse entre Entidades Estatales que apliquen el régimen de contratación allí previsto, pues una Entidad Estatal sometida a la Ley 80 de 1993 puede celebrar esta clase de convenios con una de régimen especial y no por ello dejará de ser un contrato o convenio interadministrativo.</w:t>
      </w:r>
      <w:bookmarkEnd w:id="4"/>
    </w:p>
    <w:p w14:paraId="0FF6EBE0" w14:textId="77777777" w:rsidR="00D93852" w:rsidRPr="00E8636D" w:rsidRDefault="00D93852" w:rsidP="00D93852">
      <w:pPr>
        <w:spacing w:before="120" w:after="120" w:line="276" w:lineRule="auto"/>
        <w:ind w:firstLine="708"/>
        <w:jc w:val="both"/>
        <w:rPr>
          <w:rFonts w:ascii="Verdana" w:hAnsi="Verdana" w:cs="Arial"/>
          <w:lang w:val="es-ES"/>
        </w:rPr>
      </w:pPr>
      <w:r w:rsidRPr="00E8636D">
        <w:rPr>
          <w:rFonts w:ascii="Verdana" w:hAnsi="Verdana" w:cs="Arial"/>
          <w:lang w:val="es-ES"/>
        </w:rPr>
        <w:t>Adicionalmente, se deriva del criterio orgánico referido que 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E8636D">
        <w:rPr>
          <w:rStyle w:val="FootnoteReference"/>
          <w:rFonts w:ascii="Verdana" w:hAnsi="Verdana" w:cs="Arial"/>
          <w:lang w:val="es-ES"/>
        </w:rPr>
        <w:footnoteReference w:id="23"/>
      </w:r>
      <w:r w:rsidRPr="00E8636D">
        <w:rPr>
          <w:rFonts w:ascii="Verdana" w:hAnsi="Verdana" w:cs="Arial"/>
          <w:lang w:val="es-ES"/>
        </w:rPr>
        <w:t>. Nótese que, en este caso, lo que cambia es la modalidad de selección y no la naturaleza de contrato</w:t>
      </w:r>
      <w:r w:rsidRPr="00E8636D">
        <w:rPr>
          <w:rFonts w:ascii="Verdana" w:hAnsi="Verdana" w:cs="Arial"/>
          <w:spacing w:val="-18"/>
          <w:lang w:val="es-ES"/>
        </w:rPr>
        <w:t xml:space="preserve"> </w:t>
      </w:r>
      <w:r w:rsidRPr="00E8636D">
        <w:rPr>
          <w:rFonts w:ascii="Verdana" w:hAnsi="Verdana" w:cs="Arial"/>
          <w:lang w:val="es-ES"/>
        </w:rPr>
        <w:lastRenderedPageBreak/>
        <w:t xml:space="preserve">interadministrativo. Teniendo en cuenta lo anterior, se reitera la conclusión de que los convenios interadministrativos están definidos por la naturaleza de las partes, de manera que se identifican por un criterio orgánico y serán aquellos celebrados entre entidades estatales. </w:t>
      </w:r>
    </w:p>
    <w:p w14:paraId="0EC399F7" w14:textId="6558DB94" w:rsidR="00D93852" w:rsidRPr="00E8636D" w:rsidRDefault="00D93852" w:rsidP="00D93852">
      <w:pPr>
        <w:spacing w:before="120" w:after="120" w:line="276" w:lineRule="auto"/>
        <w:ind w:firstLine="708"/>
        <w:jc w:val="both"/>
        <w:rPr>
          <w:rFonts w:ascii="Verdana" w:hAnsi="Verdana" w:cs="Arial"/>
          <w:lang w:val="es-ES"/>
        </w:rPr>
      </w:pPr>
      <w:r w:rsidRPr="00E8636D">
        <w:rPr>
          <w:rFonts w:ascii="Verdana" w:hAnsi="Verdana" w:cs="Arial"/>
          <w:lang w:val="es-ES"/>
        </w:rPr>
        <w:t xml:space="preserve">Por otra parte, es importante aclarar que de acuerdo con la </w:t>
      </w:r>
      <w:r w:rsidR="00B97117" w:rsidRPr="00E8636D">
        <w:rPr>
          <w:rFonts w:ascii="Verdana" w:hAnsi="Verdana" w:cs="Arial"/>
          <w:lang w:val="es-ES"/>
        </w:rPr>
        <w:t>interpretación</w:t>
      </w:r>
      <w:r w:rsidRPr="00E8636D">
        <w:rPr>
          <w:rFonts w:ascii="Verdana" w:hAnsi="Verdana" w:cs="Arial"/>
          <w:lang w:val="es-ES"/>
        </w:rPr>
        <w:t xml:space="preserve"> realizada por el Consejo de Estado, la norma </w:t>
      </w:r>
      <w:r w:rsidR="00B97117" w:rsidRPr="00E8636D">
        <w:rPr>
          <w:rFonts w:ascii="Verdana" w:hAnsi="Verdana" w:cs="Arial"/>
          <w:lang w:val="es-ES"/>
        </w:rPr>
        <w:t>prohíbe</w:t>
      </w:r>
      <w:r w:rsidRPr="00E8636D">
        <w:rPr>
          <w:rFonts w:ascii="Verdana" w:hAnsi="Verdana" w:cs="Arial"/>
          <w:lang w:val="es-ES"/>
        </w:rPr>
        <w:t xml:space="preserve"> a los alcaldes, gobernadores, secretarios, gerentes y directores de las entidades del orden municipal, departamental o distrital celebrar </w:t>
      </w:r>
      <w:r w:rsidRPr="00E8636D">
        <w:rPr>
          <w:rFonts w:ascii="Verdana" w:hAnsi="Verdana" w:cs="Arial"/>
          <w:i/>
          <w:iCs/>
          <w:lang w:val="es-ES"/>
        </w:rPr>
        <w:t xml:space="preserve">convenios </w:t>
      </w:r>
      <w:r w:rsidRPr="00E8636D">
        <w:rPr>
          <w:rFonts w:ascii="Verdana" w:hAnsi="Verdana" w:cs="Arial"/>
          <w:lang w:val="es-ES"/>
        </w:rPr>
        <w:t xml:space="preserve">interadministrativos para la </w:t>
      </w:r>
      <w:r w:rsidR="00B97117" w:rsidRPr="00E8636D">
        <w:rPr>
          <w:rFonts w:ascii="Verdana" w:hAnsi="Verdana" w:cs="Arial"/>
          <w:lang w:val="es-ES"/>
        </w:rPr>
        <w:t>ejecución</w:t>
      </w:r>
      <w:r w:rsidRPr="00E8636D">
        <w:rPr>
          <w:rFonts w:ascii="Verdana" w:hAnsi="Verdana" w:cs="Arial"/>
          <w:lang w:val="es-ES"/>
        </w:rPr>
        <w:t xml:space="preserve"> de recursos </w:t>
      </w:r>
      <w:r w:rsidR="00B97117" w:rsidRPr="00E8636D">
        <w:rPr>
          <w:rFonts w:ascii="Verdana" w:hAnsi="Verdana" w:cs="Arial"/>
          <w:lang w:val="es-ES"/>
        </w:rPr>
        <w:t>públicos</w:t>
      </w:r>
      <w:r w:rsidRPr="00E8636D">
        <w:rPr>
          <w:rStyle w:val="FootnoteReference"/>
          <w:rFonts w:ascii="Verdana" w:hAnsi="Verdana" w:cs="Arial"/>
          <w:lang w:val="es-ES"/>
        </w:rPr>
        <w:footnoteReference w:id="24"/>
      </w:r>
      <w:r w:rsidR="00B97117">
        <w:rPr>
          <w:rFonts w:ascii="Verdana" w:hAnsi="Verdana" w:cs="Arial"/>
          <w:lang w:val="es-ES"/>
        </w:rPr>
        <w:t>.</w:t>
      </w:r>
      <w:r w:rsidRPr="00E8636D">
        <w:rPr>
          <w:rFonts w:ascii="Verdana" w:hAnsi="Verdana" w:cs="Arial"/>
          <w:lang w:val="es-ES"/>
        </w:rPr>
        <w:t xml:space="preserve"> La alta corporación </w:t>
      </w:r>
      <w:r w:rsidRPr="00E8636D">
        <w:rPr>
          <w:rFonts w:ascii="Verdana" w:hAnsi="Verdana"/>
          <w:lang w:val="es-ES"/>
        </w:rPr>
        <w:t xml:space="preserve">parte de la </w:t>
      </w:r>
      <w:r w:rsidR="00B97117" w:rsidRPr="00E8636D">
        <w:rPr>
          <w:rFonts w:ascii="Verdana" w:hAnsi="Verdana"/>
          <w:lang w:val="es-ES"/>
        </w:rPr>
        <w:t>distinción</w:t>
      </w:r>
      <w:r w:rsidRPr="00E8636D">
        <w:rPr>
          <w:rFonts w:ascii="Verdana" w:hAnsi="Verdana"/>
          <w:lang w:val="es-ES"/>
        </w:rPr>
        <w:t xml:space="preserve"> entre los conceptos de “convenio” y “contrato” interadministrativos, para diferenciarlos en su naturaleza, contenido y alcance, lo cual ha servido de fundamento para que tanto la Sección Tercera como la Sala de Consulta y Servicio Civil hayan realizado la distinción entre uno y otro negocio jurídico. En este contexto, esta Agencia debe manifestar que, si bien respeta y acata las decisiones proferidas por el Consejo de Estado no comparte los argumentos expuestos sobre esta distinción. Esto, en la medida que, a juicio de esta Entidad, señalar que la Ley de Garantías Electorales no aplica para el caso de los contratos interadministrativos deja sin efecto el propósito buscado por la norma, que no es otro que evitar cualquier tipo de arbitrariedad, de ventaja injustificada, de uso irregular de los recursos del Estado en las campañas políticas, o que los recursos del Estado se ejecuten para lograr apoyos indebidos mediante la suscripción de contratos y/o convenios, que para efectos de la Ley de Garantías tienen la misma connotación y propósitos. Por esta razón, esta Agencia recomienda que los sujetos señalados en la norma se abstengan de celebrar </w:t>
      </w:r>
      <w:r w:rsidRPr="00E8636D">
        <w:rPr>
          <w:rFonts w:ascii="Verdana" w:hAnsi="Verdana"/>
          <w:i/>
          <w:iCs/>
          <w:lang w:val="es-ES"/>
        </w:rPr>
        <w:t xml:space="preserve">tanto convenios como contratos interadministrativos </w:t>
      </w:r>
      <w:r w:rsidRPr="00E8636D">
        <w:rPr>
          <w:rFonts w:ascii="Verdana" w:hAnsi="Verdana"/>
          <w:lang w:val="es-ES"/>
        </w:rPr>
        <w:t>durante el periodo previo a esas elecciones.</w:t>
      </w:r>
    </w:p>
    <w:p w14:paraId="00F644F1" w14:textId="77777777" w:rsidR="00D93852" w:rsidRPr="00E8636D" w:rsidRDefault="00D93852" w:rsidP="00D93852">
      <w:pPr>
        <w:spacing w:before="120" w:after="0" w:line="276" w:lineRule="auto"/>
        <w:ind w:firstLine="708"/>
        <w:jc w:val="both"/>
        <w:rPr>
          <w:rFonts w:ascii="Verdana" w:hAnsi="Verdana" w:cs="Arial"/>
          <w:bCs/>
          <w:lang w:val="es-ES" w:eastAsia="es-CO"/>
        </w:rPr>
      </w:pPr>
      <w:r w:rsidRPr="00E8636D">
        <w:rPr>
          <w:rFonts w:ascii="Verdana" w:eastAsia="Calibri" w:hAnsi="Verdana" w:cs="Arial"/>
          <w:bCs/>
          <w:lang w:val="es-ES"/>
        </w:rPr>
        <w:lastRenderedPageBreak/>
        <w:t xml:space="preserve">En suma, </w:t>
      </w:r>
      <w:r w:rsidRPr="00E8636D">
        <w:rPr>
          <w:rFonts w:ascii="Verdana" w:hAnsi="Verdana" w:cs="Arial"/>
          <w:bCs/>
          <w:lang w:val="es-ES" w:eastAsia="es-CO"/>
        </w:rPr>
        <w:t xml:space="preserve">el parágrafo del artículo 38 de la Ley 996 de 2005 prohíbe a los alcaldes, gobernadores, secretarios, gerentes y directores de las entidades del orden municipal, departamental o distrital celebrar </w:t>
      </w:r>
      <w:r w:rsidRPr="00E8636D">
        <w:rPr>
          <w:rFonts w:ascii="Verdana" w:hAnsi="Verdana" w:cs="Arial"/>
          <w:bCs/>
          <w:i/>
          <w:iCs/>
          <w:lang w:val="es-ES" w:eastAsia="es-CO"/>
        </w:rPr>
        <w:t xml:space="preserve">convenios interadministrativos </w:t>
      </w:r>
      <w:r w:rsidRPr="00E8636D">
        <w:rPr>
          <w:rFonts w:ascii="Verdana" w:hAnsi="Verdana" w:cs="Arial"/>
          <w:bCs/>
          <w:lang w:val="es-ES" w:eastAsia="es-CO"/>
        </w:rPr>
        <w:t>para la ejecución de recursos públicos. En este sentido, si una o ambas partes de la relación contractual es una entidad de aquellas descritas en el parágrafo de dicho artículo, no podrá celebrar tales convenios durante la aplicación de la ley de garantías, toda vez que la citada disposición hace referencia a dicha tipología contractual sin que el legislador hubiere contemplado excepción alguna frente a la modalidad de selección o naturaleza de su objeto</w:t>
      </w:r>
      <w:r w:rsidRPr="00E8636D">
        <w:rPr>
          <w:rFonts w:ascii="Verdana" w:hAnsi="Verdana" w:cs="Arial"/>
          <w:vertAlign w:val="superscript"/>
          <w:lang w:val="es-ES"/>
        </w:rPr>
        <w:footnoteReference w:id="25"/>
      </w:r>
      <w:r w:rsidRPr="00E8636D">
        <w:rPr>
          <w:rFonts w:ascii="Verdana" w:hAnsi="Verdana" w:cs="Arial"/>
          <w:bCs/>
          <w:lang w:val="es-ES" w:eastAsia="es-CO"/>
        </w:rPr>
        <w:t xml:space="preserve">. </w:t>
      </w:r>
    </w:p>
    <w:p w14:paraId="02BF8B79" w14:textId="77777777" w:rsidR="00D93852" w:rsidRPr="00E8636D" w:rsidRDefault="00D93852" w:rsidP="00D93852">
      <w:pPr>
        <w:spacing w:after="0" w:line="276" w:lineRule="auto"/>
        <w:jc w:val="both"/>
        <w:rPr>
          <w:rFonts w:ascii="Verdana" w:eastAsia="Arial" w:hAnsi="Verdana" w:cs="Arial"/>
          <w:bCs/>
          <w:color w:val="000000" w:themeColor="text1"/>
          <w:lang w:val="es-ES"/>
        </w:rPr>
      </w:pPr>
    </w:p>
    <w:p w14:paraId="09566419" w14:textId="77777777" w:rsidR="00D93852" w:rsidRPr="00E8636D" w:rsidRDefault="00D93852" w:rsidP="00D93852">
      <w:pPr>
        <w:spacing w:after="120" w:line="276" w:lineRule="auto"/>
        <w:jc w:val="both"/>
        <w:rPr>
          <w:rFonts w:ascii="Verdana" w:eastAsia="Calibri" w:hAnsi="Verdana" w:cs="Arial"/>
          <w:color w:val="000000" w:themeColor="text1"/>
          <w:lang w:val="es-ES"/>
        </w:rPr>
      </w:pPr>
      <w:r w:rsidRPr="00E8636D">
        <w:rPr>
          <w:rFonts w:ascii="Verdana" w:hAnsi="Verdana" w:cs="Arial"/>
          <w:bCs/>
          <w:lang w:val="es-ES" w:eastAsia="es-CO"/>
        </w:rPr>
        <w:t>vi) Con respecto al problema planteado en su consulta, el artículo 111 de la Ley 99 de 1993</w:t>
      </w:r>
      <w:r w:rsidRPr="00E8636D">
        <w:rPr>
          <w:rStyle w:val="FootnoteReference"/>
          <w:rFonts w:ascii="Verdana" w:hAnsi="Verdana" w:cs="Arial"/>
          <w:bCs/>
          <w:lang w:val="es-ES" w:eastAsia="es-CO"/>
        </w:rPr>
        <w:footnoteReference w:id="26"/>
      </w:r>
      <w:r w:rsidRPr="00E8636D">
        <w:rPr>
          <w:rFonts w:ascii="Verdana" w:hAnsi="Verdana" w:cs="Arial"/>
          <w:bCs/>
          <w:lang w:val="es-ES" w:eastAsia="es-CO"/>
        </w:rPr>
        <w:t xml:space="preserve">, modificado por el artículo 3 de la Ley 2320 de 2023 establece que </w:t>
      </w:r>
      <w:r w:rsidRPr="00E8636D">
        <w:rPr>
          <w:rFonts w:ascii="Verdana" w:hAnsi="Verdana" w:cs="Arial"/>
          <w:bCs/>
          <w:lang w:val="es-ES" w:eastAsia="es-CO"/>
        </w:rPr>
        <w:lastRenderedPageBreak/>
        <w:t>los departamentos, distritos y municipios deben dedicar al menos el uno por ciento (1%) de sus ingresos corrientes de libre destinación para la adquisición o el mantenimiento de las áreas de importancia estratégica para la conservación de recursos hídricos que surten de agua</w:t>
      </w:r>
      <w:r w:rsidRPr="00E8636D">
        <w:rPr>
          <w:rFonts w:ascii="Verdana" w:eastAsia="Verdana" w:hAnsi="Verdana" w:cs="Verdana"/>
          <w:lang w:val="es-ES"/>
        </w:rPr>
        <w:t xml:space="preserve"> sus acueductos. Se trata entonces de recursos de destinación específica, de modo que solo podrán utilizarse para lo fines previstos en dicha norma. </w:t>
      </w:r>
    </w:p>
    <w:p w14:paraId="524AC877" w14:textId="77777777" w:rsidR="00D93852" w:rsidRPr="00E8636D" w:rsidRDefault="00D93852" w:rsidP="00D93852">
      <w:pPr>
        <w:tabs>
          <w:tab w:val="left" w:pos="426"/>
        </w:tabs>
        <w:spacing w:after="120" w:line="276" w:lineRule="auto"/>
        <w:ind w:firstLine="709"/>
        <w:jc w:val="both"/>
        <w:rPr>
          <w:rFonts w:ascii="Verdana" w:eastAsia="Verdana" w:hAnsi="Verdana" w:cs="Verdana"/>
          <w:lang w:val="es-ES"/>
        </w:rPr>
      </w:pPr>
      <w:r w:rsidRPr="00E8636D">
        <w:rPr>
          <w:rFonts w:ascii="Verdana" w:eastAsia="Verdana" w:hAnsi="Verdana" w:cs="Verdana"/>
          <w:lang w:val="es-ES"/>
        </w:rPr>
        <w:t>Dichas entidades territoriales serán las responsables de identificar las áreas estratégicas, realizar los estudios técnicos y ejecutar los proyectos de adquisición o conservación de las mismas. Para dar cumplimiento a lo anterior, el inciso tercero señala que recibirán el apoyo técnico por parte de la autoridad ambiental competente, es decir, las Corporaciones Autónomas Regionales (CAR), las autoridades Ambientales Urbanas y de los Grandes Centros Urbanos, encargadas de la gestión de los recursos naturales en sus jurisdicciones correspondientes.</w:t>
      </w:r>
    </w:p>
    <w:p w14:paraId="19F96355" w14:textId="77777777" w:rsidR="00D93852" w:rsidRPr="00E8636D" w:rsidRDefault="00D93852" w:rsidP="00D93852">
      <w:pPr>
        <w:tabs>
          <w:tab w:val="left" w:pos="426"/>
        </w:tabs>
        <w:spacing w:after="120" w:line="276" w:lineRule="auto"/>
        <w:ind w:firstLine="709"/>
        <w:jc w:val="both"/>
        <w:rPr>
          <w:rFonts w:ascii="Verdana" w:eastAsia="Verdana" w:hAnsi="Verdana" w:cs="Verdana"/>
          <w:lang w:val="es-ES"/>
        </w:rPr>
      </w:pPr>
      <w:r w:rsidRPr="00E8636D">
        <w:rPr>
          <w:rFonts w:ascii="Verdana" w:eastAsia="Verdana" w:hAnsi="Verdana" w:cs="Verdana"/>
          <w:lang w:val="es-ES"/>
        </w:rPr>
        <w:t>Sobre la adquisición o mantenimiento, el referido artículo dispone que “las inversiones en el mantenimiento de áreas de importancia estratégica para la conservación de recursos hídricos se realizarán en los predios adquiridos por las entidades territoriales cualquiera sea su forma de adquisición y fuente de financiamiento […]”. Adicionalmente, el último inciso establece que las entidades territoriales son las encargadas de administrar las áreas prioritarias y  que deben garantizar la inclusión de los recursos para su adquisición o mantenimiento dentro de sus planes de desarrollo y presupuestos anuales respectivos, individualizando la partida para tal fin. En este sentido, la destinación de estos recursos debe estar incluida en los instrumentos de planeación de la entidad.</w:t>
      </w:r>
    </w:p>
    <w:p w14:paraId="0F64760B" w14:textId="77777777" w:rsidR="00D93852" w:rsidRPr="00E8636D" w:rsidRDefault="00D93852" w:rsidP="00D93852">
      <w:pPr>
        <w:tabs>
          <w:tab w:val="left" w:pos="426"/>
        </w:tabs>
        <w:spacing w:after="120" w:line="276" w:lineRule="auto"/>
        <w:ind w:firstLine="709"/>
        <w:jc w:val="both"/>
        <w:rPr>
          <w:rFonts w:ascii="Verdana" w:eastAsia="Verdana" w:hAnsi="Verdana" w:cs="Verdana"/>
          <w:lang w:val="es-ES"/>
        </w:rPr>
      </w:pPr>
      <w:r w:rsidRPr="00E8636D">
        <w:rPr>
          <w:rFonts w:ascii="Verdana" w:eastAsia="Verdana" w:hAnsi="Verdana" w:cs="Verdana"/>
          <w:lang w:val="es-ES"/>
        </w:rPr>
        <w:lastRenderedPageBreak/>
        <w:t>La ejecución del 1% antes referido debe ser el resultado de un proceso planificado y técnico, en el cual se identifiquen las áreas que son estratégicas para la producción y regulación íntegra. Para esto, formularán proyectos de inversión para la adquisición o mantenimiento que incluyan un diagnóstico del área, los objetivos, las actividades a realizar, compra de predios, reforestación, aislamiento de zona, el cronograma y el presupuesto. Formulado el proyecto, la entidad procederá a la compra de los terrenos para, luego, realizar las acciones de mantenimiento y gestión que permitan asegurar la conservación a largo plazo. En este sentido, la compra exclusiva de los predios no garantiza por sí misma la conservación efectiva, por lo que los proyectos pueden incluir la contratación de personal, la adquisición de bienes y servicios para garantizar la mano de obra, así como los conocimientos técnicos y logísticos necesarios para la implementación. De esta forma, los recursos cubren la compra de tierras y los costos operativos para la ejecución adecuada del proyecto de conservación</w:t>
      </w:r>
      <w:r w:rsidRPr="00E8636D">
        <w:rPr>
          <w:rStyle w:val="FootnoteReference"/>
          <w:rFonts w:ascii="Verdana" w:eastAsia="Verdana" w:hAnsi="Verdana" w:cs="Verdana"/>
          <w:lang w:val="es-ES"/>
        </w:rPr>
        <w:footnoteReference w:id="27"/>
      </w:r>
      <w:r w:rsidRPr="00E8636D">
        <w:rPr>
          <w:rFonts w:ascii="Verdana" w:eastAsia="Verdana" w:hAnsi="Verdana" w:cs="Verdana"/>
          <w:lang w:val="es-ES"/>
        </w:rPr>
        <w:t>.</w:t>
      </w:r>
    </w:p>
    <w:p w14:paraId="1C114663" w14:textId="77777777" w:rsidR="00D93852" w:rsidRPr="00E8636D" w:rsidRDefault="00D93852" w:rsidP="00D93852">
      <w:pPr>
        <w:tabs>
          <w:tab w:val="left" w:pos="426"/>
        </w:tabs>
        <w:spacing w:after="120" w:line="276" w:lineRule="auto"/>
        <w:ind w:firstLine="709"/>
        <w:jc w:val="both"/>
        <w:rPr>
          <w:rFonts w:ascii="Verdana" w:eastAsia="Verdana" w:hAnsi="Verdana" w:cs="Verdana"/>
          <w:lang w:val="es-ES"/>
        </w:rPr>
      </w:pPr>
      <w:r w:rsidRPr="00E8636D">
        <w:rPr>
          <w:rFonts w:ascii="Verdana" w:eastAsia="Verdana" w:hAnsi="Verdana" w:cs="Verdana"/>
          <w:lang w:val="es-ES"/>
        </w:rPr>
        <w:t xml:space="preserve">Sobre los mecanismos que tienen a disposición estas entidades para la ejecución de los proyectos de adquisición o mantenimiento, el parágrafo cuarto del artículo 111 </w:t>
      </w:r>
      <w:r w:rsidRPr="00E8636D">
        <w:rPr>
          <w:rFonts w:ascii="Verdana" w:hAnsi="Verdana" w:cs="Arial"/>
          <w:bCs/>
          <w:lang w:val="es-ES" w:eastAsia="es-CO"/>
        </w:rPr>
        <w:t xml:space="preserve">Ley 99 de 1993 </w:t>
      </w:r>
      <w:r w:rsidRPr="00E8636D">
        <w:rPr>
          <w:rFonts w:ascii="Verdana" w:eastAsia="Verdana" w:hAnsi="Verdana" w:cs="Verdana"/>
          <w:lang w:val="es-ES"/>
        </w:rPr>
        <w:t>señala que: “Los municipios podrán hacer uso de los esquemas asociativos territoriales y demás mecanismos de colaboración, cooperación y coordinación con otros municipios, departamentos o autoridades ambientales competentes para invertir los recursos a los que hace referencia el presente artículo”.</w:t>
      </w:r>
    </w:p>
    <w:p w14:paraId="5DC5F4E4" w14:textId="77777777" w:rsidR="00D93852" w:rsidRPr="00E8636D" w:rsidRDefault="00D93852" w:rsidP="00D93852">
      <w:pPr>
        <w:tabs>
          <w:tab w:val="left" w:pos="426"/>
        </w:tabs>
        <w:spacing w:after="120" w:line="276" w:lineRule="auto"/>
        <w:ind w:firstLine="709"/>
        <w:jc w:val="both"/>
        <w:rPr>
          <w:rFonts w:ascii="Verdana" w:eastAsia="Verdana" w:hAnsi="Verdana" w:cs="Verdana"/>
          <w:lang w:val="es-ES"/>
        </w:rPr>
      </w:pPr>
      <w:r w:rsidRPr="00E8636D">
        <w:rPr>
          <w:rFonts w:ascii="Verdana" w:eastAsia="Verdana" w:hAnsi="Verdana" w:cs="Verdana"/>
          <w:lang w:val="es-ES"/>
        </w:rPr>
        <w:t xml:space="preserve">En efecto, los departamentos, municipios y distritos pueden contratar </w:t>
      </w:r>
      <w:r w:rsidRPr="00E8636D">
        <w:rPr>
          <w:rFonts w:ascii="Verdana" w:hAnsi="Verdana" w:cs="Arial"/>
          <w:bCs/>
          <w:lang w:val="es-ES" w:eastAsia="es-CO"/>
        </w:rPr>
        <w:t>la adquisición o el mantenimiento de las áreas de importancia estratégica para la conservación de recursos hídricos que surten de agua</w:t>
      </w:r>
      <w:r w:rsidRPr="00E8636D">
        <w:rPr>
          <w:rFonts w:ascii="Verdana" w:eastAsia="Verdana" w:hAnsi="Verdana" w:cs="Verdana"/>
          <w:lang w:val="es-ES"/>
        </w:rPr>
        <w:t xml:space="preserve"> sus acueductos de manera individual, o utilizar los esquemas asociativos territoriales determinados en la Ley 1454 de 2011. En ambos supuestos, su actividad contractual estará sometida al EGCAP. En el primer caso, dado el carácter de Entidades Estatales que tienen las los distritos, municipios y departamentos, según lo dispuesto en el </w:t>
      </w:r>
      <w:r w:rsidRPr="00E8636D">
        <w:rPr>
          <w:rStyle w:val="normaltextrun"/>
          <w:rFonts w:ascii="Verdana" w:hAnsi="Verdana" w:cs="Arial"/>
          <w:color w:val="000000"/>
          <w:lang w:val="es-ES"/>
        </w:rPr>
        <w:t>numeral 1 del artículo 2 de la Ley 80 de 1993, que define como entidades sujetas a dicho estatuto a: “La Nación, las regiones, los departamentos, las provincias, el distrito capital y los distritos especiales, las áreas metropolitanas, las asociaciones de municipios, los territorios indígenas y los municipios […]”.</w:t>
      </w:r>
    </w:p>
    <w:p w14:paraId="0E50C020" w14:textId="77777777" w:rsidR="00D93852" w:rsidRPr="00E8636D" w:rsidRDefault="00D93852" w:rsidP="00D93852">
      <w:pPr>
        <w:pStyle w:val="BodyText"/>
        <w:spacing w:line="276" w:lineRule="auto"/>
        <w:ind w:right="108" w:firstLine="709"/>
        <w:jc w:val="both"/>
        <w:rPr>
          <w:rFonts w:ascii="Verdana" w:eastAsia="Verdana" w:hAnsi="Verdana" w:cs="Verdana"/>
          <w:lang w:val="es-ES"/>
        </w:rPr>
      </w:pPr>
      <w:r w:rsidRPr="00E8636D">
        <w:rPr>
          <w:rFonts w:ascii="Verdana" w:eastAsia="Verdana" w:hAnsi="Verdana" w:cs="Verdana"/>
          <w:lang w:val="es-ES"/>
        </w:rPr>
        <w:t xml:space="preserve">En cuanto al segundo supuesto, la Ley 1454 de 2011, orgánica del ordenamiento territorial, concibió a las asociaciones de municipios como una </w:t>
      </w:r>
      <w:r w:rsidRPr="00E8636D">
        <w:rPr>
          <w:rFonts w:ascii="Verdana" w:eastAsia="Verdana" w:hAnsi="Verdana" w:cs="Verdana"/>
          <w:lang w:val="es-ES"/>
        </w:rPr>
        <w:lastRenderedPageBreak/>
        <w:t>clase de los denominados esquemas asociativos territoriales</w:t>
      </w:r>
      <w:r w:rsidRPr="00E8636D">
        <w:rPr>
          <w:rFonts w:ascii="Verdana" w:eastAsia="Verdana" w:hAnsi="Verdana" w:cs="Verdana"/>
          <w:vertAlign w:val="superscript"/>
          <w:lang w:val="es-ES"/>
        </w:rPr>
        <w:footnoteReference w:id="28"/>
      </w:r>
      <w:r w:rsidRPr="00E8636D">
        <w:rPr>
          <w:rFonts w:ascii="Verdana" w:eastAsia="Verdana" w:hAnsi="Verdana" w:cs="Verdana"/>
          <w:lang w:val="es-ES"/>
        </w:rPr>
        <w:t xml:space="preserve">, sobre los que el artículo 17 señala que “son entidades administrativas de derecho público, con personería jurídica y patrimonio propio e independiente de los entes que la conforman”. De igual forma, el parágrafo de esa norma indica que “en concordancia con lo previsto en el artículo 95 de la Ley 489 de 1998, las entidades territoriales podrán continuar asociándose mediante la celebración de convenios interadministrativos o mediante la conformación de personas jurídicas de derecho público o derecho privado”. </w:t>
      </w:r>
    </w:p>
    <w:p w14:paraId="4AE73150" w14:textId="77777777" w:rsidR="00D93852" w:rsidRPr="00E8636D" w:rsidRDefault="00D93852" w:rsidP="00D93852">
      <w:pPr>
        <w:pStyle w:val="BodyText"/>
        <w:spacing w:line="276" w:lineRule="auto"/>
        <w:ind w:right="108" w:firstLine="709"/>
        <w:jc w:val="both"/>
        <w:rPr>
          <w:rFonts w:ascii="Verdana" w:eastAsia="Verdana" w:hAnsi="Verdana" w:cs="Verdana"/>
          <w:lang w:val="es-ES"/>
        </w:rPr>
      </w:pPr>
      <w:r w:rsidRPr="00E8636D">
        <w:rPr>
          <w:rFonts w:ascii="Verdana" w:eastAsia="Verdana" w:hAnsi="Verdana" w:cs="Verdana"/>
          <w:lang w:val="es-ES"/>
        </w:rPr>
        <w:t>En cuanto a la manera como se conforman las asociaciones de municipios, tanto la Ley 136 de 1994 –artículo 150–</w:t>
      </w:r>
      <w:r w:rsidRPr="00E8636D">
        <w:rPr>
          <w:rFonts w:ascii="Verdana" w:eastAsia="Verdana" w:hAnsi="Verdana" w:cs="Verdana"/>
          <w:lang w:val="es-ES"/>
        </w:rPr>
        <w:footnoteReference w:id="29"/>
      </w:r>
      <w:r w:rsidRPr="00E8636D">
        <w:rPr>
          <w:rFonts w:ascii="Verdana" w:eastAsia="Verdana" w:hAnsi="Verdana" w:cs="Verdana"/>
          <w:lang w:val="es-ES"/>
        </w:rPr>
        <w:t>, como la Ley 1454 de 2011 –artículo 14–, establecen que se hace a través de convenios, en los términos indicados en dichas disposiciones</w:t>
      </w:r>
      <w:r w:rsidRPr="00E8636D">
        <w:rPr>
          <w:rFonts w:ascii="Verdana" w:eastAsia="Verdana" w:hAnsi="Verdana" w:cs="Verdana"/>
          <w:vertAlign w:val="superscript"/>
          <w:lang w:val="es-ES"/>
        </w:rPr>
        <w:footnoteReference w:id="30"/>
      </w:r>
      <w:r w:rsidRPr="00E8636D">
        <w:rPr>
          <w:rFonts w:ascii="Verdana" w:eastAsia="Verdana" w:hAnsi="Verdana" w:cs="Verdana"/>
          <w:lang w:val="es-ES"/>
        </w:rPr>
        <w:t>. El parágrafo del citado artículo 17 de la Ley 1454 de 2011 señala que,</w:t>
      </w:r>
      <w:r w:rsidRPr="00E8636D">
        <w:rPr>
          <w:rFonts w:ascii="Verdana" w:eastAsia="Verdana" w:hAnsi="Verdana" w:cs="Verdana"/>
          <w:b/>
          <w:bCs/>
          <w:lang w:val="es-ES"/>
        </w:rPr>
        <w:t xml:space="preserve"> </w:t>
      </w:r>
      <w:r w:rsidRPr="00E8636D">
        <w:rPr>
          <w:rFonts w:ascii="Verdana" w:eastAsia="Verdana" w:hAnsi="Verdana" w:cs="Verdana"/>
          <w:lang w:val="es-ES"/>
        </w:rPr>
        <w:t xml:space="preserve">en concordancia con lo previsto en el artículo 95 de la Ley 489 de 1998, las Entidades Territoriales pueden seguir asociándose mediante la celebración de convenios interadministrativos o mediante la conformación de personas jurídicas de derecho público o derecho privado. De esta manera, se entiende que la suscripción de convenios interadministrativos es uno de los mecanismos para que las entidades territoriales se asocien. </w:t>
      </w:r>
    </w:p>
    <w:p w14:paraId="225BB1EA" w14:textId="77777777" w:rsidR="00D93852" w:rsidRPr="00E8636D" w:rsidRDefault="00D93852" w:rsidP="00D93852">
      <w:pPr>
        <w:pStyle w:val="paragraph"/>
        <w:shd w:val="clear" w:color="auto" w:fill="FFFFFF"/>
        <w:spacing w:before="0" w:beforeAutospacing="0" w:after="120" w:afterAutospacing="0" w:line="276" w:lineRule="auto"/>
        <w:ind w:firstLine="703"/>
        <w:jc w:val="both"/>
        <w:textAlignment w:val="baseline"/>
        <w:rPr>
          <w:rStyle w:val="normaltextrun"/>
          <w:rFonts w:ascii="Verdana" w:eastAsia="Verdana" w:hAnsi="Verdana" w:cs="Arial"/>
          <w:color w:val="000000"/>
          <w:sz w:val="22"/>
          <w:szCs w:val="22"/>
          <w:lang w:val="es-ES"/>
        </w:rPr>
      </w:pPr>
      <w:r w:rsidRPr="00E8636D">
        <w:rPr>
          <w:rStyle w:val="normaltextrun"/>
          <w:rFonts w:ascii="Verdana" w:hAnsi="Verdana" w:cs="Arial"/>
          <w:color w:val="000000"/>
          <w:sz w:val="22"/>
          <w:szCs w:val="22"/>
          <w:lang w:val="es-ES"/>
        </w:rPr>
        <w:t xml:space="preserve">Dicho lo anterior, en relación con la naturaleza jurídica de las asociaciones de municipios, puede afirmarse que su régimen de contratación es el general. Lo anterior se desprende de lo previsto en el numeral 1 del artículo 2 de la Ley 80 de 1993, que también incluyó como parte de las Entidades Estatales sujetas al EGCAP a </w:t>
      </w:r>
      <w:r w:rsidRPr="00E8636D">
        <w:rPr>
          <w:rStyle w:val="normaltextrun"/>
          <w:rFonts w:ascii="Verdana" w:hAnsi="Verdana" w:cs="Arial"/>
          <w:i/>
          <w:iCs/>
          <w:color w:val="000000"/>
          <w:sz w:val="22"/>
          <w:szCs w:val="22"/>
          <w:lang w:val="es-ES"/>
        </w:rPr>
        <w:t>las asociaciones de municipios</w:t>
      </w:r>
      <w:r w:rsidRPr="00E8636D">
        <w:rPr>
          <w:rStyle w:val="normaltextrun"/>
          <w:rFonts w:ascii="Verdana" w:hAnsi="Verdana" w:cs="Arial"/>
          <w:color w:val="000000"/>
          <w:sz w:val="22"/>
          <w:szCs w:val="22"/>
          <w:lang w:val="es-ES"/>
        </w:rPr>
        <w:t xml:space="preserve">. Así las cosas, el Estatuto General de Contratación de la Administración Pública establece que las asociaciones de municipios son entidades estatales para efectos contractuales, razón por la </w:t>
      </w:r>
      <w:r w:rsidRPr="00E8636D">
        <w:rPr>
          <w:rStyle w:val="normaltextrun"/>
          <w:rFonts w:ascii="Verdana" w:hAnsi="Verdana" w:cs="Arial"/>
          <w:color w:val="000000"/>
          <w:sz w:val="22"/>
          <w:szCs w:val="22"/>
          <w:lang w:val="es-ES"/>
        </w:rPr>
        <w:lastRenderedPageBreak/>
        <w:t>cual se someten a esta normativa.  </w:t>
      </w:r>
      <w:r w:rsidRPr="00E8636D">
        <w:rPr>
          <w:rStyle w:val="eop"/>
          <w:rFonts w:ascii="Verdana" w:eastAsia="Verdana" w:hAnsi="Verdana" w:cs="Arial"/>
          <w:color w:val="000000"/>
          <w:sz w:val="22"/>
          <w:szCs w:val="22"/>
          <w:lang w:val="es-ES"/>
        </w:rPr>
        <w:t> </w:t>
      </w:r>
      <w:r w:rsidRPr="00E8636D">
        <w:rPr>
          <w:rStyle w:val="normaltextrun"/>
          <w:rFonts w:ascii="Verdana" w:hAnsi="Verdana" w:cs="Arial"/>
          <w:color w:val="000000"/>
          <w:sz w:val="22"/>
          <w:szCs w:val="22"/>
          <w:lang w:val="es-ES"/>
        </w:rPr>
        <w:t>De forma más precisa, el artículo 10 de la Ley 1150 de 2007 establece que “Las cooperativas, las asociaciones conformadas por entidades territoriales y en general los entes solidarios de carácter público estarán sometidos a las disposiciones del Estatuto General de Contratación de la Administración Pública […]”. Dicho lo anterior, resulta claro que el régimen contractual de las asociaciones de municipios no es especial, puesto que por mandato legal se someten al EGCAP.</w:t>
      </w:r>
    </w:p>
    <w:p w14:paraId="32C52E68" w14:textId="77777777" w:rsidR="00D93852" w:rsidRPr="00E8636D" w:rsidRDefault="00D93852" w:rsidP="00D93852">
      <w:pPr>
        <w:pStyle w:val="paragraph"/>
        <w:shd w:val="clear" w:color="auto" w:fill="FFFFFF"/>
        <w:spacing w:before="0" w:beforeAutospacing="0" w:after="120" w:afterAutospacing="0" w:line="276" w:lineRule="auto"/>
        <w:ind w:firstLine="703"/>
        <w:jc w:val="both"/>
        <w:textAlignment w:val="baseline"/>
        <w:rPr>
          <w:rFonts w:ascii="Verdana" w:hAnsi="Verdana" w:cs="Arial"/>
          <w:color w:val="000000"/>
          <w:sz w:val="22"/>
          <w:szCs w:val="22"/>
          <w:lang w:val="es-ES"/>
        </w:rPr>
      </w:pPr>
      <w:r w:rsidRPr="00E8636D">
        <w:rPr>
          <w:rStyle w:val="normaltextrun"/>
          <w:rFonts w:ascii="Verdana" w:hAnsi="Verdana" w:cs="Arial"/>
          <w:color w:val="000000"/>
          <w:sz w:val="22"/>
          <w:szCs w:val="22"/>
          <w:lang w:val="es-ES"/>
        </w:rPr>
        <w:t>En este sentido, los procesos de contratación que adelanten los</w:t>
      </w:r>
      <w:r w:rsidRPr="00E8636D">
        <w:rPr>
          <w:rFonts w:ascii="Verdana" w:hAnsi="Verdana" w:cs="Arial"/>
          <w:color w:val="000000"/>
          <w:sz w:val="22"/>
          <w:szCs w:val="22"/>
          <w:lang w:val="es-ES"/>
        </w:rPr>
        <w:t xml:space="preserve"> departamentos, distritos y municipios, de forma independiente o como parte de </w:t>
      </w:r>
      <w:r w:rsidRPr="00E8636D">
        <w:rPr>
          <w:rFonts w:ascii="Verdana" w:eastAsia="Verdana" w:hAnsi="Verdana" w:cs="Verdana"/>
          <w:sz w:val="22"/>
          <w:szCs w:val="22"/>
          <w:lang w:val="es-ES"/>
        </w:rPr>
        <w:t xml:space="preserve">esquemas asociativos territoriales, </w:t>
      </w:r>
      <w:r w:rsidRPr="00E8636D">
        <w:rPr>
          <w:rFonts w:ascii="Verdana" w:eastAsiaTheme="minorHAnsi" w:hAnsi="Verdana" w:cstheme="minorBidi"/>
          <w:color w:val="333333"/>
          <w:sz w:val="22"/>
          <w:szCs w:val="22"/>
          <w:shd w:val="clear" w:color="auto" w:fill="FFFFFF"/>
          <w:lang w:val="es-ES" w:eastAsia="en-US"/>
        </w:rPr>
        <w:t xml:space="preserve">para la </w:t>
      </w:r>
      <w:r w:rsidRPr="00E8636D">
        <w:rPr>
          <w:rFonts w:ascii="Verdana" w:hAnsi="Verdana" w:cs="Arial"/>
          <w:color w:val="000000"/>
          <w:sz w:val="22"/>
          <w:szCs w:val="22"/>
          <w:lang w:val="es-ES"/>
        </w:rPr>
        <w:t xml:space="preserve">adquisición o mantenimiento de las áreas de interés se encuentran sometidos a las modalidades de selección y tipologías contractuales establecidas en el EGCAP. Adicionalmente, la restricción establecida en el artículo 33 de la Ley de Garantías Electorales </w:t>
      </w:r>
      <w:r w:rsidRPr="00E8636D">
        <w:rPr>
          <w:rFonts w:ascii="Verdana" w:hAnsi="Verdana" w:cs="Arial"/>
          <w:color w:val="000000"/>
          <w:sz w:val="22"/>
          <w:szCs w:val="22"/>
          <w:u w:val="single"/>
          <w:lang w:val="es-ES"/>
        </w:rPr>
        <w:t>no</w:t>
      </w:r>
      <w:r w:rsidRPr="00E8636D">
        <w:rPr>
          <w:rFonts w:ascii="Verdana" w:hAnsi="Verdana" w:cs="Arial"/>
          <w:color w:val="000000"/>
          <w:sz w:val="22"/>
          <w:szCs w:val="22"/>
          <w:lang w:val="es-ES"/>
        </w:rPr>
        <w:t xml:space="preserve"> será aplicable respecto de dichos procedimientos cuando la entidad o el esquema asociativo contrate mediante procedimientos de selección competitivos, como la licitación pública, la selección abreviada, el concurso de méritos o la mínima cuantía. Por otra parte, la prohibición del parágrafo del artículo 38 </w:t>
      </w:r>
      <w:r w:rsidRPr="00E8636D">
        <w:rPr>
          <w:rFonts w:ascii="Verdana" w:hAnsi="Verdana" w:cs="Arial"/>
          <w:color w:val="000000"/>
          <w:sz w:val="22"/>
          <w:szCs w:val="22"/>
          <w:u w:val="single"/>
          <w:lang w:val="es-ES"/>
        </w:rPr>
        <w:t>no</w:t>
      </w:r>
      <w:r w:rsidRPr="00E8636D">
        <w:rPr>
          <w:rFonts w:ascii="Verdana" w:hAnsi="Verdana" w:cs="Arial"/>
          <w:color w:val="000000"/>
          <w:sz w:val="22"/>
          <w:szCs w:val="22"/>
          <w:lang w:val="es-ES"/>
        </w:rPr>
        <w:t xml:space="preserve"> será aplicable cuando los gobernadores, alcaldes municipales y/o distritales celebren negocios jurídicos distintos a los convenios interadministrativos.</w:t>
      </w:r>
    </w:p>
    <w:p w14:paraId="6E277D07" w14:textId="5A03D79D" w:rsidR="00D93852" w:rsidRPr="00E8636D" w:rsidRDefault="00D93852" w:rsidP="00F74D34">
      <w:pPr>
        <w:pStyle w:val="paragraph"/>
        <w:shd w:val="clear" w:color="auto" w:fill="FFFFFF"/>
        <w:spacing w:before="0" w:beforeAutospacing="0" w:after="0" w:afterAutospacing="0" w:line="276" w:lineRule="auto"/>
        <w:ind w:firstLine="703"/>
        <w:jc w:val="both"/>
        <w:textAlignment w:val="baseline"/>
        <w:rPr>
          <w:rFonts w:ascii="Verdana" w:eastAsia="Verdana" w:hAnsi="Verdana" w:cs="Verdana"/>
          <w:sz w:val="22"/>
          <w:szCs w:val="22"/>
          <w:lang w:val="es-ES"/>
        </w:rPr>
      </w:pPr>
      <w:r w:rsidRPr="00E8636D">
        <w:rPr>
          <w:rFonts w:ascii="Verdana" w:hAnsi="Verdana" w:cs="Arial"/>
          <w:color w:val="000000"/>
          <w:sz w:val="22"/>
          <w:szCs w:val="22"/>
          <w:lang w:val="es-ES"/>
        </w:rPr>
        <w:t xml:space="preserve">Por otra parte, cuando las entidades referidas en el artículo 111 de la Ley 99 de 1993 opten por conformar los esquemas asociativos referidos en la </w:t>
      </w:r>
      <w:r w:rsidRPr="00E8636D">
        <w:rPr>
          <w:rFonts w:ascii="Verdana" w:eastAsia="Verdana" w:hAnsi="Verdana" w:cs="Verdana"/>
          <w:sz w:val="22"/>
          <w:szCs w:val="22"/>
          <w:lang w:val="es-ES"/>
        </w:rPr>
        <w:t xml:space="preserve">Ley 1454 de 2011 para la ejecución de los proyectos de adquisición o mantenimiento de las áreas de interés, podrán hacerlo mediante la celebración de convenios interadministrativos, tal como lo dispone el artículo 17 de la Ley 1454 de 2011. En este caso será aplicable la restricción establecida en el artículo 33 de la Ley 996 de 2005, pues prohíbe la celebración directa de contratos por cualquier ente del estado; también será aplicable la prohibición expresa del artículo 38  frente a la celebración de convenios interadministrativos por parte de los gobernadores, alcaldes municipales y/o distritales para la ejecución de recursos públicos. De esta forma, la conformación de los esquemas asociativos para las adquisiciones o el mantenimiento referido en el artículo 111 de la </w:t>
      </w:r>
      <w:r w:rsidRPr="00E8636D">
        <w:rPr>
          <w:rFonts w:ascii="Verdana" w:hAnsi="Verdana" w:cs="Arial"/>
          <w:color w:val="000000"/>
          <w:sz w:val="22"/>
          <w:szCs w:val="22"/>
          <w:lang w:val="es-ES"/>
        </w:rPr>
        <w:t xml:space="preserve">Ley 99 de 1993 </w:t>
      </w:r>
      <w:r w:rsidRPr="00E8636D">
        <w:rPr>
          <w:rFonts w:ascii="Verdana" w:eastAsia="Verdana" w:hAnsi="Verdana" w:cs="Verdana"/>
          <w:sz w:val="22"/>
          <w:szCs w:val="22"/>
          <w:lang w:val="es-ES"/>
        </w:rPr>
        <w:t xml:space="preserve">no estarán sujetas a las prohibiciones de la Ley de Garantías Electorales cuando se trate de convenios interadministrativos que no impliquen la ejecución de recursos públicos o cuando se realice mediante la constitución de personas jurídicas. </w:t>
      </w:r>
    </w:p>
    <w:p w14:paraId="7BF46149" w14:textId="77777777" w:rsidR="00D93852" w:rsidRPr="00E8636D" w:rsidRDefault="00D93852" w:rsidP="00D93852">
      <w:pPr>
        <w:pStyle w:val="paragraph"/>
        <w:shd w:val="clear" w:color="auto" w:fill="FFFFFF"/>
        <w:spacing w:before="0" w:beforeAutospacing="0" w:after="0" w:afterAutospacing="0" w:line="276" w:lineRule="auto"/>
        <w:ind w:firstLine="703"/>
        <w:jc w:val="both"/>
        <w:textAlignment w:val="baseline"/>
        <w:rPr>
          <w:rFonts w:ascii="Verdana" w:eastAsia="Verdana" w:hAnsi="Verdana" w:cs="Verdana"/>
          <w:sz w:val="22"/>
          <w:szCs w:val="22"/>
          <w:lang w:val="es-ES"/>
        </w:rPr>
      </w:pPr>
    </w:p>
    <w:p w14:paraId="69453583" w14:textId="77777777" w:rsidR="00D93852" w:rsidRPr="00E8636D" w:rsidRDefault="00D93852" w:rsidP="00D93852">
      <w:pPr>
        <w:pStyle w:val="paragraph"/>
        <w:shd w:val="clear" w:color="auto" w:fill="FFFFFF"/>
        <w:spacing w:before="0" w:beforeAutospacing="0" w:after="120" w:afterAutospacing="0" w:line="276" w:lineRule="auto"/>
        <w:jc w:val="both"/>
        <w:textAlignment w:val="baseline"/>
        <w:rPr>
          <w:rFonts w:ascii="Verdana" w:eastAsia="Verdana" w:hAnsi="Verdana" w:cs="Verdana"/>
          <w:sz w:val="22"/>
          <w:szCs w:val="22"/>
          <w:lang w:val="es-ES"/>
        </w:rPr>
      </w:pPr>
      <w:proofErr w:type="spellStart"/>
      <w:r w:rsidRPr="00E8636D">
        <w:rPr>
          <w:rFonts w:ascii="Verdana" w:eastAsia="Verdana" w:hAnsi="Verdana" w:cs="Verdana"/>
          <w:sz w:val="22"/>
          <w:szCs w:val="22"/>
          <w:lang w:val="es-ES"/>
        </w:rPr>
        <w:lastRenderedPageBreak/>
        <w:t>vii</w:t>
      </w:r>
      <w:proofErr w:type="spellEnd"/>
      <w:r w:rsidRPr="00E8636D">
        <w:rPr>
          <w:rFonts w:ascii="Verdana" w:eastAsia="Verdana" w:hAnsi="Verdana" w:cs="Verdana"/>
          <w:sz w:val="22"/>
          <w:szCs w:val="22"/>
          <w:lang w:val="es-ES"/>
        </w:rPr>
        <w:t>) Con respecto a</w:t>
      </w:r>
      <w:r w:rsidRPr="00E8636D">
        <w:rPr>
          <w:rFonts w:ascii="ArialMT" w:hAnsi="ArialMT"/>
          <w:lang w:val="es-ES"/>
        </w:rPr>
        <w:t xml:space="preserve"> l</w:t>
      </w:r>
      <w:r w:rsidRPr="00E8636D">
        <w:rPr>
          <w:rFonts w:ascii="Verdana" w:eastAsia="Verdana" w:hAnsi="Verdana" w:cs="Verdana"/>
          <w:sz w:val="22"/>
          <w:szCs w:val="22"/>
          <w:lang w:val="es-ES"/>
        </w:rPr>
        <w:t xml:space="preserve">a adquisición predial que realicen las entidades para el desarrollo de los proyectos establecidos en el artículo 111 de la Ley 99 de 1993 mediante enajenación voluntaria o por expropiación por vía administrativa, es importante distinguir entre estas figuras. </w:t>
      </w:r>
      <w:bookmarkStart w:id="5" w:name="_Hlk79760203"/>
    </w:p>
    <w:p w14:paraId="1F22D682" w14:textId="77777777" w:rsidR="00D93852" w:rsidRPr="00E8636D" w:rsidRDefault="00D93852" w:rsidP="00D93852">
      <w:pPr>
        <w:pStyle w:val="paragraph"/>
        <w:shd w:val="clear" w:color="auto" w:fill="FFFFFF"/>
        <w:spacing w:before="0" w:beforeAutospacing="0" w:after="120" w:afterAutospacing="0" w:line="276" w:lineRule="auto"/>
        <w:ind w:firstLine="708"/>
        <w:jc w:val="both"/>
        <w:textAlignment w:val="baseline"/>
        <w:rPr>
          <w:rFonts w:ascii="Verdana" w:eastAsia="Verdana" w:hAnsi="Verdana" w:cs="Verdana"/>
          <w:sz w:val="22"/>
          <w:szCs w:val="22"/>
          <w:lang w:val="es-ES"/>
        </w:rPr>
      </w:pPr>
      <w:r w:rsidRPr="00E8636D">
        <w:rPr>
          <w:rFonts w:ascii="Verdana" w:hAnsi="Verdana"/>
          <w:sz w:val="22"/>
          <w:szCs w:val="22"/>
          <w:lang w:val="es-ES"/>
        </w:rPr>
        <w:t>La expropiación es un procedimiento administrativo por medio del cual el Estado, por razones de utilidad pública o interés social, priva coactivamente de la titularidad de un bien a un particular, de acuerdo con un procedimiento específico, con intervención de la autoridad judicial –expropiación por vía judicial– o mediante la utilización de los poderes públicos propios del régimen administrativo –expropiación por vía administrativa–, y previo pago de una indemnización</w:t>
      </w:r>
      <w:r w:rsidRPr="00E8636D">
        <w:rPr>
          <w:rStyle w:val="FootnoteReference"/>
          <w:rFonts w:ascii="Verdana" w:hAnsi="Verdana"/>
          <w:sz w:val="22"/>
          <w:szCs w:val="22"/>
          <w:lang w:val="es-ES"/>
        </w:rPr>
        <w:footnoteReference w:id="31"/>
      </w:r>
      <w:r w:rsidRPr="00E8636D">
        <w:rPr>
          <w:rFonts w:ascii="Verdana" w:hAnsi="Verdana"/>
          <w:sz w:val="22"/>
          <w:szCs w:val="22"/>
          <w:lang w:val="es-ES"/>
        </w:rPr>
        <w:t>.</w:t>
      </w:r>
    </w:p>
    <w:p w14:paraId="168BECA1" w14:textId="77777777" w:rsidR="00D93852" w:rsidRPr="00E8636D" w:rsidRDefault="00D93852" w:rsidP="00D93852">
      <w:pPr>
        <w:spacing w:after="120" w:line="276" w:lineRule="auto"/>
        <w:ind w:firstLine="708"/>
        <w:jc w:val="both"/>
        <w:rPr>
          <w:rFonts w:ascii="Verdana" w:eastAsia="Times New Roman" w:hAnsi="Verdana" w:cs="Arial"/>
          <w:lang w:val="es-ES" w:eastAsia="es-ES_tradnl"/>
        </w:rPr>
      </w:pPr>
      <w:r w:rsidRPr="00E8636D">
        <w:rPr>
          <w:rFonts w:ascii="Verdana" w:eastAsia="Times New Roman" w:hAnsi="Verdana" w:cs="Arial"/>
          <w:lang w:val="es-ES" w:eastAsia="es-ES_tradnl"/>
        </w:rPr>
        <w:t>El Legislador, por medio de la Ley 9 de 1989 reguló, entre otros aspectos, lo concerniente al procedimiento para la enajenación voluntaria y expropiación de bienes inmuebles con el fin de desarrollar las actividades que la misma ley –artículo 10– declaró como de utilidad pública</w:t>
      </w:r>
      <w:r w:rsidRPr="00E8636D">
        <w:rPr>
          <w:rStyle w:val="FootnoteReference"/>
          <w:rFonts w:ascii="Verdana" w:eastAsia="Times New Roman" w:hAnsi="Verdana" w:cs="Arial"/>
          <w:lang w:val="es-ES" w:eastAsia="es-ES_tradnl"/>
        </w:rPr>
        <w:footnoteReference w:id="32"/>
      </w:r>
      <w:r w:rsidRPr="00E8636D">
        <w:rPr>
          <w:rFonts w:ascii="Verdana" w:eastAsia="Times New Roman" w:hAnsi="Verdana" w:cs="Arial"/>
          <w:lang w:val="es-ES" w:eastAsia="es-ES_tradnl"/>
        </w:rPr>
        <w:t>. Dicha ley fue modificada por la Ley 388 de 1997</w:t>
      </w:r>
      <w:r w:rsidRPr="00E8636D">
        <w:rPr>
          <w:rStyle w:val="FootnoteReference"/>
          <w:rFonts w:ascii="Verdana" w:eastAsia="Times New Roman" w:hAnsi="Verdana" w:cs="Arial"/>
          <w:lang w:val="es-ES" w:eastAsia="es-ES_tradnl"/>
        </w:rPr>
        <w:footnoteReference w:id="33"/>
      </w:r>
      <w:r w:rsidRPr="00E8636D">
        <w:rPr>
          <w:rFonts w:ascii="Verdana" w:eastAsia="Times New Roman" w:hAnsi="Verdana" w:cs="Arial"/>
          <w:lang w:val="es-ES" w:eastAsia="es-ES_tradnl"/>
        </w:rPr>
        <w:t xml:space="preserve"> que tuvo entre sus objetivos armonizar la legislación con las nuevas normas de la Constitución Política de 1991</w:t>
      </w:r>
      <w:r w:rsidRPr="00E8636D">
        <w:rPr>
          <w:rStyle w:val="FootnoteReference"/>
          <w:rFonts w:ascii="Verdana" w:eastAsia="Times New Roman" w:hAnsi="Verdana" w:cs="Arial"/>
          <w:lang w:val="es-ES" w:eastAsia="es-ES_tradnl"/>
        </w:rPr>
        <w:footnoteReference w:id="34"/>
      </w:r>
      <w:r w:rsidRPr="00E8636D">
        <w:rPr>
          <w:rFonts w:ascii="Verdana" w:eastAsia="Times New Roman" w:hAnsi="Verdana" w:cs="Arial"/>
          <w:lang w:val="es-ES" w:eastAsia="es-ES_tradnl"/>
        </w:rPr>
        <w:t xml:space="preserve">, y en sus artículos 58 y siguientes desarrolló lo relativo a la “adquisición de inmuebles por enajenación voluntaria y expropiación judicial”. Estas normas constituyen, principalmente, el régimen general de la expropiación por vía judicial y por vía administrativa, y regulan también aspectos de la enajenación voluntaria y de la negociación directa, de manera que “contienen las directrices que deben seguir las </w:t>
      </w:r>
      <w:r w:rsidRPr="00E8636D">
        <w:rPr>
          <w:rFonts w:ascii="Verdana" w:eastAsia="Times New Roman" w:hAnsi="Verdana" w:cs="Arial"/>
          <w:lang w:val="es-ES" w:eastAsia="es-ES_tradnl"/>
        </w:rPr>
        <w:lastRenderedPageBreak/>
        <w:t>administraciones locales y los ciudadanos para cumplir con los fines sociales y de utilidad pública del ordenamiento urbano”</w:t>
      </w:r>
      <w:r w:rsidRPr="00E8636D">
        <w:rPr>
          <w:rStyle w:val="FootnoteReference"/>
          <w:rFonts w:ascii="Verdana" w:eastAsia="Times New Roman" w:hAnsi="Verdana" w:cs="Arial"/>
          <w:lang w:val="es-ES" w:eastAsia="es-ES_tradnl"/>
        </w:rPr>
        <w:footnoteReference w:id="35"/>
      </w:r>
      <w:r w:rsidRPr="00E8636D">
        <w:rPr>
          <w:rFonts w:ascii="Verdana" w:eastAsia="Times New Roman" w:hAnsi="Verdana" w:cs="Arial"/>
          <w:lang w:val="es-ES" w:eastAsia="es-ES_tradnl"/>
        </w:rPr>
        <w:t>.</w:t>
      </w:r>
    </w:p>
    <w:bookmarkEnd w:id="5"/>
    <w:p w14:paraId="1101A732" w14:textId="77777777" w:rsidR="00D93852" w:rsidRPr="00E8636D" w:rsidRDefault="00D93852" w:rsidP="00D93852">
      <w:pPr>
        <w:spacing w:after="120" w:line="276" w:lineRule="auto"/>
        <w:ind w:firstLine="708"/>
        <w:jc w:val="both"/>
        <w:rPr>
          <w:rFonts w:ascii="Verdana" w:hAnsi="Verdana" w:cs="Arial"/>
          <w:lang w:val="es-ES"/>
        </w:rPr>
      </w:pPr>
      <w:r w:rsidRPr="00E8636D">
        <w:rPr>
          <w:rFonts w:ascii="Verdana" w:hAnsi="Verdana" w:cs="Arial"/>
          <w:lang w:val="es-ES"/>
        </w:rPr>
        <w:t>El trámite de expropiación, como se dijo, puede realizarse por vía</w:t>
      </w:r>
      <w:bookmarkStart w:id="6" w:name="_Hlk78998965"/>
      <w:r w:rsidRPr="00E8636D">
        <w:rPr>
          <w:rFonts w:ascii="Verdana" w:hAnsi="Verdana" w:cs="Arial"/>
          <w:lang w:val="es-ES"/>
        </w:rPr>
        <w:t xml:space="preserve"> judicial o por vía administrativa. La jurisprudencia constitucional ha hecho énfasis</w:t>
      </w:r>
      <w:r w:rsidRPr="00E8636D">
        <w:rPr>
          <w:rFonts w:ascii="Verdana" w:hAnsi="Verdana" w:cs="Arial"/>
          <w:spacing w:val="19"/>
          <w:lang w:val="es-ES"/>
        </w:rPr>
        <w:t xml:space="preserve"> </w:t>
      </w:r>
      <w:r w:rsidRPr="00E8636D">
        <w:rPr>
          <w:rFonts w:ascii="Verdana" w:hAnsi="Verdana" w:cs="Arial"/>
          <w:lang w:val="es-ES"/>
        </w:rPr>
        <w:t>en que, sin importar la vía por la que se adelante la expropiación, este proceso debe ser garantista y respetar el debido proceso</w:t>
      </w:r>
      <w:r w:rsidRPr="00E8636D">
        <w:rPr>
          <w:rStyle w:val="FootnoteReference"/>
          <w:rFonts w:ascii="Verdana" w:hAnsi="Verdana" w:cs="Arial"/>
          <w:lang w:val="es-ES"/>
        </w:rPr>
        <w:footnoteReference w:id="36"/>
      </w:r>
      <w:r w:rsidRPr="00E8636D">
        <w:rPr>
          <w:rFonts w:ascii="Verdana" w:hAnsi="Verdana" w:cs="Arial"/>
          <w:lang w:val="es-ES"/>
        </w:rPr>
        <w:t xml:space="preserve">. De esta manera, la garantía del debido proceso en el marco de un proceso de expropiación implica el cumplimiento de una serie de etapas previas definidas por las leyes antes mencionadas, tales como: i) la oferta de compra, </w:t>
      </w:r>
      <w:proofErr w:type="spellStart"/>
      <w:r w:rsidRPr="00E8636D">
        <w:rPr>
          <w:rFonts w:ascii="Verdana" w:hAnsi="Verdana" w:cs="Arial"/>
          <w:lang w:val="es-ES"/>
        </w:rPr>
        <w:t>ii</w:t>
      </w:r>
      <w:proofErr w:type="spellEnd"/>
      <w:r w:rsidRPr="00E8636D">
        <w:rPr>
          <w:rFonts w:ascii="Verdana" w:hAnsi="Verdana" w:cs="Arial"/>
          <w:lang w:val="es-ES"/>
        </w:rPr>
        <w:t xml:space="preserve">) la negociación directa y </w:t>
      </w:r>
      <w:proofErr w:type="spellStart"/>
      <w:r w:rsidRPr="00E8636D">
        <w:rPr>
          <w:rFonts w:ascii="Verdana" w:hAnsi="Verdana" w:cs="Arial"/>
          <w:lang w:val="es-ES"/>
        </w:rPr>
        <w:t>iii</w:t>
      </w:r>
      <w:proofErr w:type="spellEnd"/>
      <w:r w:rsidRPr="00E8636D">
        <w:rPr>
          <w:rFonts w:ascii="Verdana" w:hAnsi="Verdana" w:cs="Arial"/>
          <w:lang w:val="es-ES"/>
        </w:rPr>
        <w:t>) el proceso expropiatorio.</w:t>
      </w:r>
    </w:p>
    <w:p w14:paraId="0777E051" w14:textId="77777777" w:rsidR="00D93852" w:rsidRPr="00E8636D" w:rsidRDefault="00D93852" w:rsidP="00D93852">
      <w:pPr>
        <w:spacing w:after="120" w:line="276" w:lineRule="auto"/>
        <w:ind w:firstLine="708"/>
        <w:jc w:val="both"/>
        <w:rPr>
          <w:rFonts w:ascii="Verdana" w:hAnsi="Verdana" w:cs="Arial"/>
          <w:lang w:val="es-ES"/>
        </w:rPr>
      </w:pPr>
      <w:r w:rsidRPr="00E8636D">
        <w:rPr>
          <w:rFonts w:ascii="Verdana" w:hAnsi="Verdana" w:cs="Arial"/>
          <w:lang w:val="es-ES"/>
        </w:rPr>
        <w:t>La primera etapa, relativa a la oferta de compra, que aplica tanto en los procesos de expropiación judicial como administrativa, hace referencia a la oferta de compra que hace la autoridad al propietario del bien. La segunda etapa de negociación o de enajenación voluntaria es aquella en virtud de la cual el particular y la entidad llegan a un acuerdo a través de la celebración de un contrato de compraventa o de promesa de compraventa, pero si en esta etapa no se logra un acuerdo entre el propietario del bien y la Administración se debe adelantar el procedimiento expropiatorio. La tercera y última etapa es la expropiación, ya sea administrativa o judicial.</w:t>
      </w:r>
    </w:p>
    <w:bookmarkEnd w:id="6"/>
    <w:p w14:paraId="1CE52AEA" w14:textId="77777777" w:rsidR="00D93852" w:rsidRPr="00E8636D" w:rsidRDefault="00D93852" w:rsidP="00D93852">
      <w:pPr>
        <w:spacing w:after="120" w:line="276" w:lineRule="auto"/>
        <w:ind w:firstLine="708"/>
        <w:jc w:val="both"/>
        <w:rPr>
          <w:rFonts w:ascii="Verdana" w:eastAsia="Times New Roman" w:hAnsi="Verdana" w:cs="Arial"/>
          <w:lang w:val="es-ES" w:eastAsia="es-ES_tradnl"/>
        </w:rPr>
      </w:pPr>
      <w:r w:rsidRPr="00E8636D">
        <w:rPr>
          <w:rFonts w:ascii="Verdana" w:eastAsia="Times New Roman" w:hAnsi="Verdana" w:cs="Arial"/>
          <w:lang w:val="es-ES" w:eastAsia="es-ES_tradnl"/>
        </w:rPr>
        <w:t>Por consiguiente, el procedimiento para la adquisición de bienes inmuebles destinados a actividades de utilidad pública e interés social contempla que la entidad pública adquirente efectúe previamente el trámite de adquisición a través de la enajenación voluntaria y negociada con el propietario del inmueble, antes de acudir a los procedimientos especiales para la expropiación judicial o administrativa.</w:t>
      </w:r>
      <w:r w:rsidRPr="00E8636D">
        <w:rPr>
          <w:rFonts w:ascii="Verdana" w:hAnsi="Verdana"/>
          <w:lang w:val="es-ES"/>
        </w:rPr>
        <w:t xml:space="preserve"> </w:t>
      </w:r>
      <w:r w:rsidRPr="00E8636D">
        <w:rPr>
          <w:rFonts w:ascii="Verdana" w:eastAsia="Times New Roman" w:hAnsi="Verdana" w:cs="Arial"/>
          <w:lang w:val="es-ES" w:eastAsia="es-ES_tradnl"/>
        </w:rPr>
        <w:t>Así, en los casos de enajenación voluntaria y negociación directa, la adquisición se realiza como resultado de un negocio jurídico autónomo, en el que la obligación de pago se determinará de común acuerdo entre el Estado y el vendedor, pues, en tales eventos no se trata de una expropiación</w:t>
      </w:r>
      <w:r w:rsidRPr="00E8636D">
        <w:rPr>
          <w:rStyle w:val="FootnoteReference"/>
          <w:rFonts w:ascii="Verdana" w:eastAsia="Times New Roman" w:hAnsi="Verdana" w:cs="Arial"/>
          <w:lang w:val="es-ES" w:eastAsia="es-ES_tradnl"/>
        </w:rPr>
        <w:footnoteReference w:id="37"/>
      </w:r>
      <w:r w:rsidRPr="00E8636D">
        <w:rPr>
          <w:rFonts w:ascii="Verdana" w:eastAsia="Times New Roman" w:hAnsi="Verdana" w:cs="Arial"/>
          <w:lang w:val="es-ES" w:eastAsia="es-ES_tradnl"/>
        </w:rPr>
        <w:t>.</w:t>
      </w:r>
    </w:p>
    <w:p w14:paraId="1EAC2249" w14:textId="77777777" w:rsidR="00D93852" w:rsidRPr="00E8636D" w:rsidRDefault="00D93852" w:rsidP="00D93852">
      <w:pPr>
        <w:spacing w:after="0" w:line="276" w:lineRule="auto"/>
        <w:ind w:firstLine="708"/>
        <w:jc w:val="both"/>
        <w:rPr>
          <w:rFonts w:ascii="Verdana" w:eastAsia="Times New Roman" w:hAnsi="Verdana" w:cs="Arial"/>
          <w:lang w:val="es-ES" w:eastAsia="es-ES_tradnl"/>
        </w:rPr>
      </w:pPr>
      <w:r w:rsidRPr="00E8636D">
        <w:rPr>
          <w:rFonts w:ascii="Verdana" w:eastAsia="Times New Roman" w:hAnsi="Verdana" w:cs="Arial"/>
          <w:lang w:val="es-ES" w:eastAsia="es-ES_tradnl"/>
        </w:rPr>
        <w:lastRenderedPageBreak/>
        <w:t xml:space="preserve">Una vez se ha efectuado la notificación del acto de oferta empieza a correr el término durante el cual se llevará a cabo la negociación con el propietario del inmueble. Si en este plazo se logra el acuerdo se celebrará un </w:t>
      </w:r>
      <w:r w:rsidRPr="00E8636D">
        <w:rPr>
          <w:rFonts w:ascii="Verdana" w:eastAsia="Times New Roman" w:hAnsi="Verdana" w:cs="Arial"/>
          <w:i/>
          <w:iCs/>
          <w:lang w:val="es-ES" w:eastAsia="es-ES_tradnl"/>
        </w:rPr>
        <w:t>contrato de compraventa</w:t>
      </w:r>
      <w:r w:rsidRPr="00E8636D">
        <w:rPr>
          <w:rFonts w:ascii="Verdana" w:eastAsia="Times New Roman" w:hAnsi="Verdana" w:cs="Arial"/>
          <w:lang w:val="es-ES" w:eastAsia="es-ES_tradnl"/>
        </w:rPr>
        <w:t xml:space="preserve"> o de promesa de compraventa</w:t>
      </w:r>
      <w:r w:rsidRPr="00E8636D">
        <w:rPr>
          <w:rStyle w:val="FootnoteReference"/>
          <w:rFonts w:ascii="Verdana" w:eastAsia="Times New Roman" w:hAnsi="Verdana" w:cs="Arial"/>
          <w:lang w:val="es-ES" w:eastAsia="es-ES_tradnl"/>
        </w:rPr>
        <w:footnoteReference w:id="38"/>
      </w:r>
      <w:r w:rsidRPr="00E8636D">
        <w:rPr>
          <w:rFonts w:ascii="Verdana" w:eastAsia="Times New Roman" w:hAnsi="Verdana" w:cs="Arial"/>
          <w:lang w:val="es-ES" w:eastAsia="es-ES_tradnl"/>
        </w:rPr>
        <w:t xml:space="preserve">. En caso contrario se deberá dar inicio al proceso de expropiación. Finalmente, en caso de acuerdo, realizada la entrega material del inmueble a favor de la entidad adquirente, el pago del precio se efectuará de conformidad con lo convenido dentro del respectivo contrato de compraventa. </w:t>
      </w:r>
    </w:p>
    <w:p w14:paraId="4CAC04BD" w14:textId="77777777" w:rsidR="00D93852" w:rsidRPr="00E8636D" w:rsidRDefault="00D93852" w:rsidP="00D93852">
      <w:pPr>
        <w:spacing w:before="120" w:after="0" w:line="276" w:lineRule="auto"/>
        <w:ind w:firstLine="708"/>
        <w:jc w:val="both"/>
        <w:rPr>
          <w:rFonts w:ascii="Verdana" w:eastAsia="Times New Roman" w:hAnsi="Verdana" w:cs="Arial"/>
          <w:lang w:val="es-ES" w:eastAsia="es-ES_tradnl"/>
        </w:rPr>
      </w:pPr>
      <w:r w:rsidRPr="00E8636D">
        <w:rPr>
          <w:rFonts w:ascii="Verdana" w:eastAsia="Times New Roman" w:hAnsi="Verdana" w:cs="Arial"/>
          <w:lang w:val="es-ES" w:eastAsia="es-ES_tradnl"/>
        </w:rPr>
        <w:t>En efecto, en los procesos de expropiación judicial o expropiación administrativa existe una etapa previa de negociación, en la cual la administración intenta adquirir voluntariamente el bien, de suerte que se evite iniciar el proceso forzoso expropiatorio. Esta etapa comienza con una oferta de la entidad al particular para adquirir el bien por el precio base fijado con fundamento en un avalúo. Posteriormente, pasa a una etapa de negociación directa con el particular. En caso de que el proceso de negociación directa se concrete, culmina con la etapa de transferencia del bien y de pago del precio acordado. Pero, si el proceso de negociación se frustra, inicia la etapa expropiatoria, mediante los procesos judicial o administrativo, según el caso, hasta obtener el título traslaticio de dominio al Estado, la tradición del bien y realizar el pago de la indemnización al particular expropiado.</w:t>
      </w:r>
    </w:p>
    <w:p w14:paraId="7E3EA5AA" w14:textId="77777777" w:rsidR="00D93852" w:rsidRPr="00E8636D" w:rsidRDefault="00D93852" w:rsidP="00D93852">
      <w:pPr>
        <w:tabs>
          <w:tab w:val="left" w:pos="709"/>
        </w:tabs>
        <w:spacing w:before="120" w:after="120" w:line="276" w:lineRule="auto"/>
        <w:ind w:firstLine="708"/>
        <w:jc w:val="both"/>
        <w:rPr>
          <w:rFonts w:ascii="Verdana" w:eastAsia="Times New Roman" w:hAnsi="Verdana" w:cs="Arial"/>
          <w:lang w:val="es-ES" w:eastAsia="es-ES_tradnl"/>
        </w:rPr>
      </w:pPr>
      <w:bookmarkStart w:id="7" w:name="_Hlk79760762"/>
      <w:r w:rsidRPr="00E8636D">
        <w:rPr>
          <w:rFonts w:ascii="Verdana" w:eastAsia="Times New Roman" w:hAnsi="Verdana" w:cs="Arial"/>
          <w:lang w:val="es-ES" w:eastAsia="es-ES_tradnl"/>
        </w:rPr>
        <w:t xml:space="preserve">Dado que el procedimiento establecido podría culminar con la celebración de </w:t>
      </w:r>
      <w:bookmarkStart w:id="8" w:name="_Hlk79003065"/>
      <w:r w:rsidRPr="00E8636D">
        <w:rPr>
          <w:rFonts w:ascii="Verdana" w:eastAsia="Times New Roman" w:hAnsi="Verdana" w:cs="Arial"/>
          <w:lang w:val="es-ES" w:eastAsia="es-ES_tradnl"/>
        </w:rPr>
        <w:t xml:space="preserve">una promesa de compraventa o en un contrato de compraventa, </w:t>
      </w:r>
      <w:bookmarkEnd w:id="8"/>
      <w:r w:rsidRPr="00E8636D">
        <w:rPr>
          <w:rFonts w:ascii="Verdana" w:eastAsia="Times New Roman" w:hAnsi="Verdana" w:cs="Arial"/>
          <w:lang w:val="es-ES" w:eastAsia="es-ES_tradnl"/>
        </w:rPr>
        <w:t xml:space="preserve">en el que participan entidades estatales y se invierten recursos de naturaleza pública, bien puede afirmarse que estos actos jurídicos negociales son auténticos contratos estatales, según el criterio orgánico establecido en el artículo 32 de la Ley 80 de 1993, en concordancia el artículo 2 </w:t>
      </w:r>
      <w:r w:rsidRPr="00E8636D">
        <w:rPr>
          <w:rFonts w:ascii="Verdana" w:eastAsia="Times New Roman" w:hAnsi="Verdana" w:cs="Arial"/>
          <w:i/>
          <w:iCs/>
          <w:lang w:val="es-ES" w:eastAsia="es-ES_tradnl"/>
        </w:rPr>
        <w:t>ibidem</w:t>
      </w:r>
      <w:r w:rsidRPr="00E8636D">
        <w:rPr>
          <w:rFonts w:ascii="Verdana" w:eastAsia="Times New Roman" w:hAnsi="Verdana" w:cs="Arial"/>
          <w:lang w:val="es-ES" w:eastAsia="es-ES_tradnl"/>
        </w:rPr>
        <w:t xml:space="preserve"> y en armonía con lo dispuesto por el artículo 1 de la Ley 1150 de 2007.</w:t>
      </w:r>
    </w:p>
    <w:p w14:paraId="44667740" w14:textId="77777777" w:rsidR="00D93852" w:rsidRPr="00E8636D" w:rsidRDefault="00D93852" w:rsidP="00D93852">
      <w:pPr>
        <w:pStyle w:val="paragraph"/>
        <w:shd w:val="clear" w:color="auto" w:fill="FFFFFF"/>
        <w:spacing w:before="0" w:beforeAutospacing="0" w:after="120" w:afterAutospacing="0" w:line="276" w:lineRule="auto"/>
        <w:ind w:firstLine="703"/>
        <w:jc w:val="both"/>
        <w:textAlignment w:val="baseline"/>
        <w:rPr>
          <w:rFonts w:ascii="Verdana" w:hAnsi="Verdana" w:cs="Arial"/>
          <w:sz w:val="22"/>
          <w:szCs w:val="22"/>
          <w:lang w:val="es-ES" w:eastAsia="es-ES_tradnl"/>
        </w:rPr>
      </w:pPr>
      <w:r w:rsidRPr="00E8636D">
        <w:rPr>
          <w:rFonts w:ascii="Verdana" w:hAnsi="Verdana" w:cs="Arial"/>
          <w:sz w:val="22"/>
          <w:szCs w:val="22"/>
          <w:lang w:val="es-ES" w:eastAsia="es-ES_tradnl"/>
        </w:rPr>
        <w:t xml:space="preserve">Sin embargo, el procedimiento de adquisición de bienes inmuebles establecido en el Estatuto General de Contratación de la Administración Pública no resulta aplicable. Tal y como ha sido aclarado por esta Agencia, el procedimiento para la adquisición de bienes inmuebles con fines de utilidad </w:t>
      </w:r>
      <w:r w:rsidRPr="00E8636D">
        <w:rPr>
          <w:rFonts w:ascii="Verdana" w:hAnsi="Verdana" w:cs="Arial"/>
          <w:sz w:val="22"/>
          <w:szCs w:val="22"/>
          <w:lang w:val="es-ES" w:eastAsia="es-ES_tradnl"/>
        </w:rPr>
        <w:lastRenderedPageBreak/>
        <w:t>pública e interés social se encuentra excluido de la aplicación de tal estatuto, por cuanto es un procedimiento regulado en un régimen especial y exceptuado.</w:t>
      </w:r>
      <w:bookmarkEnd w:id="7"/>
      <w:r w:rsidRPr="00E8636D">
        <w:rPr>
          <w:rFonts w:ascii="Verdana" w:hAnsi="Verdana" w:cs="Arial"/>
          <w:sz w:val="22"/>
          <w:szCs w:val="22"/>
          <w:lang w:val="es-ES" w:eastAsia="es-ES_tradnl"/>
        </w:rPr>
        <w:t xml:space="preserve"> Al respecto, se reitera lo señalado por esta Agencia mediante Concepto C-159 de 2020, en los siguientes términos:</w:t>
      </w:r>
    </w:p>
    <w:p w14:paraId="29F99BE8" w14:textId="77777777" w:rsidR="00D93852" w:rsidRPr="00E8636D" w:rsidRDefault="00D93852" w:rsidP="00D93852">
      <w:pPr>
        <w:spacing w:after="0" w:line="240" w:lineRule="auto"/>
        <w:ind w:left="708" w:right="709"/>
        <w:jc w:val="both"/>
        <w:rPr>
          <w:rFonts w:ascii="Verdana" w:eastAsia="Times New Roman" w:hAnsi="Verdana" w:cs="Arial"/>
          <w:sz w:val="20"/>
          <w:szCs w:val="20"/>
          <w:lang w:val="es-ES" w:eastAsia="es-ES_tradnl"/>
        </w:rPr>
      </w:pPr>
      <w:r w:rsidRPr="00E8636D">
        <w:rPr>
          <w:rFonts w:ascii="Verdana" w:eastAsia="Calibri" w:hAnsi="Verdana" w:cs="Arial"/>
          <w:color w:val="000000" w:themeColor="text1"/>
          <w:sz w:val="20"/>
          <w:szCs w:val="20"/>
          <w:lang w:val="es-ES"/>
        </w:rPr>
        <w:t>“Al observar lo anterior y contrastarlo con la normativa de contratación pública, esta entidad concluyó que, a pesar de que la Ley 80 de 1993 regula los contratos de las entidades, la excepción a esta regla debe tener origen constitucional o legal, y por ello, en virtud de la especialidad del procedimiento, el trámite de enajenación voluntaria directa, al que se refiere la Ley 9 de 1989, modificada por la Ley 388 de 1997, no hace parte de la normativa de contratación pública, toda vez que si bien dicho trámite implica la celebración de un contrato de compraventa, ese contrato tiene origen o razón de ser en la declaración previa de los bienes de «utilidad pública o interés social» en los términos del artículo 58 de la Ley 388 de 1997”</w:t>
      </w:r>
      <w:r w:rsidRPr="00E8636D">
        <w:rPr>
          <w:rStyle w:val="FootnoteReference"/>
          <w:rFonts w:ascii="Verdana" w:eastAsia="Calibri" w:hAnsi="Verdana" w:cs="Arial"/>
          <w:color w:val="000000" w:themeColor="text1"/>
          <w:sz w:val="20"/>
          <w:szCs w:val="20"/>
          <w:lang w:val="es-ES"/>
        </w:rPr>
        <w:footnoteReference w:id="39"/>
      </w:r>
      <w:r w:rsidRPr="00E8636D">
        <w:rPr>
          <w:rFonts w:ascii="Verdana" w:eastAsia="Calibri" w:hAnsi="Verdana" w:cs="Arial"/>
          <w:color w:val="000000" w:themeColor="text1"/>
          <w:sz w:val="20"/>
          <w:szCs w:val="20"/>
          <w:lang w:val="es-ES"/>
        </w:rPr>
        <w:t>.</w:t>
      </w:r>
    </w:p>
    <w:p w14:paraId="67DEDBF6" w14:textId="77777777" w:rsidR="00D93852" w:rsidRPr="00E8636D" w:rsidRDefault="00D93852" w:rsidP="00D93852">
      <w:pPr>
        <w:spacing w:after="0" w:line="240" w:lineRule="auto"/>
        <w:jc w:val="both"/>
        <w:rPr>
          <w:rFonts w:ascii="Verdana" w:eastAsia="Times New Roman" w:hAnsi="Verdana" w:cs="Arial"/>
          <w:sz w:val="20"/>
          <w:szCs w:val="20"/>
          <w:lang w:val="es-ES" w:eastAsia="es-ES_tradnl"/>
        </w:rPr>
      </w:pPr>
    </w:p>
    <w:p w14:paraId="6BA94D8C" w14:textId="77777777" w:rsidR="00D93852" w:rsidRPr="00E8636D" w:rsidRDefault="00D93852" w:rsidP="00D93852">
      <w:pPr>
        <w:spacing w:after="120" w:line="276" w:lineRule="auto"/>
        <w:ind w:firstLine="708"/>
        <w:jc w:val="both"/>
        <w:rPr>
          <w:rFonts w:ascii="Verdana" w:eastAsia="Times New Roman" w:hAnsi="Verdana" w:cs="Arial"/>
          <w:lang w:val="es-ES" w:eastAsia="es-ES_tradnl"/>
        </w:rPr>
      </w:pPr>
      <w:r w:rsidRPr="00E8636D">
        <w:rPr>
          <w:rFonts w:ascii="Verdana" w:eastAsia="Times New Roman" w:hAnsi="Verdana" w:cs="Arial"/>
          <w:lang w:val="es-ES" w:eastAsia="es-ES_tradnl"/>
        </w:rPr>
        <w:t xml:space="preserve">En efecto, pese a que existe un régimen normativo aplicable de manera general a la contratación del Estado, el legislador ha establecido regímenes especiales para algunas entidades estatales en consideración a su actividad o para algunos contratos estatales en razón de su objeto, que contienen una serie de normas distintas o específicas que se aplican a la actividad contractual de tales entidades o en la celebración de dichos contratos, o simplemente remiten al Derecho privado. Por ende, no resultan aplicables aquellas materias reguladas por el citado Estatuto y las normas que lo modifiquen o adicionen, como por ejemplo los mecanismos de selección, las cláusulas excepcionales, la liquidación del contrato, entre otros, salvo que el régimen especial así lo autorice. </w:t>
      </w:r>
    </w:p>
    <w:p w14:paraId="5910E440" w14:textId="77777777" w:rsidR="00D93852" w:rsidRPr="00E8636D" w:rsidRDefault="00D93852" w:rsidP="00D93852">
      <w:pPr>
        <w:spacing w:after="120" w:line="276" w:lineRule="auto"/>
        <w:ind w:firstLine="708"/>
        <w:jc w:val="both"/>
        <w:rPr>
          <w:rFonts w:ascii="Verdana" w:eastAsia="Times New Roman" w:hAnsi="Verdana" w:cs="Arial"/>
          <w:lang w:val="es-ES" w:eastAsia="es-ES_tradnl"/>
        </w:rPr>
      </w:pPr>
      <w:r w:rsidRPr="00E8636D">
        <w:rPr>
          <w:rFonts w:ascii="Verdana" w:eastAsia="Times New Roman" w:hAnsi="Verdana" w:cs="Arial"/>
          <w:lang w:val="es-ES" w:eastAsia="es-ES_tradnl"/>
        </w:rPr>
        <w:t xml:space="preserve">Sin embargo, no debe pasarse por alto que, al margen de su especialidad, el procedimiento administrativo </w:t>
      </w:r>
      <w:bookmarkStart w:id="9" w:name="_Hlk79133236"/>
      <w:r w:rsidRPr="00E8636D">
        <w:rPr>
          <w:rFonts w:ascii="Verdana" w:eastAsia="Times New Roman" w:hAnsi="Verdana" w:cs="Arial"/>
          <w:lang w:val="es-ES" w:eastAsia="es-ES_tradnl"/>
        </w:rPr>
        <w:t xml:space="preserve">para la adquisición de inmuebles por utilidad pública e interés social mediante enajenación voluntaria, </w:t>
      </w:r>
      <w:bookmarkEnd w:id="9"/>
      <w:r w:rsidRPr="00E8636D">
        <w:rPr>
          <w:rFonts w:ascii="Verdana" w:eastAsia="Times New Roman" w:hAnsi="Verdana" w:cs="Arial"/>
          <w:lang w:val="es-ES" w:eastAsia="es-ES_tradnl"/>
        </w:rPr>
        <w:t>implica el ejercicio de funciones administrativas, lo que, por ende, conlleva la aplicación de los principios de igualdad, moralidad, eficacia, economía, celeridad, imparcialidad y publicidad contenidos en el artículo 209 de la Constitución, varios de los cuales encuentran manifestaciones prácticas y concretas dentro de la regulación de las leyes 9 de 1989, 388 de 1997 y 1682 de 2013.</w:t>
      </w:r>
      <w:bookmarkStart w:id="10" w:name="_Hlk79760844"/>
      <w:r w:rsidRPr="00E8636D">
        <w:rPr>
          <w:rFonts w:ascii="Verdana" w:eastAsia="Times New Roman" w:hAnsi="Verdana" w:cs="Arial"/>
          <w:lang w:val="es-ES" w:eastAsia="es-ES_tradnl"/>
        </w:rPr>
        <w:t xml:space="preserve"> Toda vez que a través de la adquisición de bienes inmuebles mediante enajenación directa se comprometen dineros provenientes del erario, resultan también aplicables los principios </w:t>
      </w:r>
      <w:r w:rsidRPr="00E8636D">
        <w:rPr>
          <w:rFonts w:ascii="Verdana" w:eastAsia="Times New Roman" w:hAnsi="Verdana" w:cs="Arial"/>
          <w:lang w:val="es-ES" w:eastAsia="es-ES_tradnl"/>
        </w:rPr>
        <w:lastRenderedPageBreak/>
        <w:t>propios del Estado Social de Derecho y de la Administración pública como los principios de transparencia, publicidad entre otros.</w:t>
      </w:r>
    </w:p>
    <w:p w14:paraId="781156C5" w14:textId="77777777" w:rsidR="00D93852" w:rsidRPr="00E8636D" w:rsidRDefault="00D93852" w:rsidP="00D93852">
      <w:pPr>
        <w:tabs>
          <w:tab w:val="left" w:pos="426"/>
        </w:tabs>
        <w:spacing w:after="0" w:line="276" w:lineRule="auto"/>
        <w:jc w:val="both"/>
        <w:rPr>
          <w:rFonts w:ascii="Verdana" w:eastAsia="Times New Roman" w:hAnsi="Verdana" w:cs="Arial"/>
          <w:lang w:val="es-ES" w:eastAsia="es-ES_tradnl"/>
        </w:rPr>
      </w:pPr>
      <w:r w:rsidRPr="00E8636D">
        <w:rPr>
          <w:rFonts w:ascii="Verdana" w:eastAsia="Times New Roman" w:hAnsi="Verdana" w:cs="Arial"/>
          <w:lang w:val="es-ES" w:eastAsia="es-ES_tradnl"/>
        </w:rPr>
        <w:tab/>
      </w:r>
      <w:r w:rsidRPr="00E8636D">
        <w:rPr>
          <w:rFonts w:ascii="Verdana" w:eastAsia="Times New Roman" w:hAnsi="Verdana" w:cs="Arial"/>
          <w:lang w:val="es-ES" w:eastAsia="es-ES_tradnl"/>
        </w:rPr>
        <w:tab/>
        <w:t>En virtud de lo expuesto, la adquisición de los predios considerados áreas de interés para los acueductos departamentales, municipales y distritales que se realice por enajenación voluntaria estará sometida a un régimen especial de contratación. Sin embargo, como se explicó antes, esta culmina con la suscripción de un contrato de compraventa entre la entidad y la persona, con lo cual se trata de un procedimiento de contratación estatal no competitivo que se encuentra restringido por la prohibición establecida en el artículo 33 de la Ley 996 de 2005</w:t>
      </w:r>
      <w:bookmarkEnd w:id="10"/>
      <w:r w:rsidRPr="00E8636D">
        <w:rPr>
          <w:rFonts w:ascii="Verdana" w:eastAsia="Times New Roman" w:hAnsi="Verdana" w:cs="Arial"/>
          <w:lang w:val="es-ES" w:eastAsia="es-ES_tradnl"/>
        </w:rPr>
        <w:t xml:space="preserve">. En contraste, cuando la adquisición ocurra por el procedimiento expropiatorio no se materializa en la celebración de un contrato. En consecuencia, en este supuesto no se configuran las prohibiciones a la contratación establecidas en los artículos 33 y 38 de la Ley de Garantías Electorales. </w:t>
      </w:r>
    </w:p>
    <w:p w14:paraId="4C3AB682" w14:textId="77777777" w:rsidR="00D93852" w:rsidRPr="00E8636D" w:rsidRDefault="00D93852" w:rsidP="00D93852">
      <w:pPr>
        <w:tabs>
          <w:tab w:val="left" w:pos="426"/>
        </w:tabs>
        <w:spacing w:after="0" w:line="276" w:lineRule="auto"/>
        <w:jc w:val="both"/>
        <w:rPr>
          <w:rFonts w:ascii="Verdana" w:eastAsia="Times New Roman" w:hAnsi="Verdana" w:cs="Arial"/>
          <w:lang w:val="es-ES" w:eastAsia="es-ES_tradnl"/>
        </w:rPr>
      </w:pPr>
    </w:p>
    <w:p w14:paraId="03786548" w14:textId="77777777" w:rsidR="00D93852" w:rsidRPr="00E8636D" w:rsidRDefault="00D93852" w:rsidP="00D93852">
      <w:pPr>
        <w:spacing w:after="120" w:line="276" w:lineRule="auto"/>
        <w:jc w:val="both"/>
        <w:rPr>
          <w:rFonts w:ascii="Verdana" w:eastAsia="Arial" w:hAnsi="Verdana" w:cs="Arial"/>
          <w:bCs/>
          <w:color w:val="000000" w:themeColor="text1"/>
          <w:lang w:val="es-ES"/>
        </w:rPr>
      </w:pPr>
      <w:proofErr w:type="spellStart"/>
      <w:r w:rsidRPr="00E8636D">
        <w:rPr>
          <w:rFonts w:ascii="Verdana" w:eastAsia="Arial" w:hAnsi="Verdana" w:cs="Arial"/>
          <w:bCs/>
          <w:color w:val="000000" w:themeColor="text1"/>
          <w:lang w:val="es-ES"/>
        </w:rPr>
        <w:t>viii</w:t>
      </w:r>
      <w:proofErr w:type="spellEnd"/>
      <w:r w:rsidRPr="00E8636D">
        <w:rPr>
          <w:rFonts w:ascii="Verdana" w:eastAsia="Arial" w:hAnsi="Verdana" w:cs="Arial"/>
          <w:bCs/>
          <w:color w:val="000000" w:themeColor="text1"/>
          <w:lang w:val="es-ES"/>
        </w:rPr>
        <w:t xml:space="preserve">) Conforme con lo expuesto, las entidades que requieran adelantar procesos de contratación directa durante el periodo de garantías electorales deberán analizar, primero, si se configuran los supuestos establecidos en </w:t>
      </w:r>
      <w:r w:rsidRPr="00E8636D">
        <w:rPr>
          <w:rFonts w:ascii="Verdana" w:eastAsia="Arial" w:hAnsi="Verdana" w:cs="Arial"/>
          <w:bCs/>
          <w:i/>
          <w:iCs/>
          <w:color w:val="000000" w:themeColor="text1"/>
          <w:lang w:val="es-ES"/>
        </w:rPr>
        <w:t>el artículo 33</w:t>
      </w:r>
      <w:r w:rsidRPr="00E8636D">
        <w:rPr>
          <w:rFonts w:ascii="Verdana" w:eastAsia="Arial" w:hAnsi="Verdana" w:cs="Arial"/>
          <w:bCs/>
          <w:color w:val="000000" w:themeColor="text1"/>
          <w:lang w:val="es-ES"/>
        </w:rPr>
        <w:t xml:space="preserve"> de la Ley 996 de 2005, es decir, si se trata de cualquier entidad pública que pretenda adelantar un proceso no competitivo. Adicionalmente, será pertinente analizar si se configura alguna de las excepciones previstas en la norma. En este caso, será relevante determinar, por ejemplo, si se trata de contratos celebrados para la atención de desastres. De configurarse alguno de los supuestos señalados en el artículo 33 como excepción, la entidad podrá llevar a cabo la contratación directa, a pesar de que haya iniciado el periodo de garantías electorales correspondiente a esta prohibición.</w:t>
      </w:r>
    </w:p>
    <w:p w14:paraId="3CD23CA5" w14:textId="77777777" w:rsidR="00D93852" w:rsidRPr="00E8636D" w:rsidRDefault="00D93852" w:rsidP="00D93852">
      <w:pPr>
        <w:spacing w:before="120" w:after="120" w:line="276" w:lineRule="auto"/>
        <w:jc w:val="both"/>
        <w:rPr>
          <w:rFonts w:ascii="Verdana" w:eastAsia="Arial" w:hAnsi="Verdana" w:cs="Arial"/>
          <w:bCs/>
          <w:color w:val="000000" w:themeColor="text1"/>
          <w:lang w:val="es-ES"/>
        </w:rPr>
      </w:pPr>
      <w:r w:rsidRPr="00E8636D">
        <w:rPr>
          <w:rFonts w:ascii="Verdana" w:eastAsia="Arial" w:hAnsi="Verdana" w:cs="Arial"/>
          <w:bCs/>
          <w:color w:val="000000" w:themeColor="text1"/>
          <w:lang w:val="es-ES"/>
        </w:rPr>
        <w:tab/>
        <w:t xml:space="preserve">Con respecto al </w:t>
      </w:r>
      <w:r w:rsidRPr="00E8636D">
        <w:rPr>
          <w:rFonts w:ascii="Verdana" w:eastAsia="Arial" w:hAnsi="Verdana" w:cs="Arial"/>
          <w:bCs/>
          <w:i/>
          <w:iCs/>
          <w:color w:val="000000" w:themeColor="text1"/>
          <w:lang w:val="es-ES"/>
        </w:rPr>
        <w:t>parágrafo del artículo 38</w:t>
      </w:r>
      <w:r w:rsidRPr="00E8636D">
        <w:rPr>
          <w:rFonts w:ascii="Verdana" w:eastAsia="Arial" w:hAnsi="Verdana" w:cs="Arial"/>
          <w:bCs/>
          <w:color w:val="000000" w:themeColor="text1"/>
          <w:lang w:val="es-ES"/>
        </w:rPr>
        <w:t xml:space="preserve">, es necesario verificar si los Alcaldes, Gobernadores, Secretarios, Gerentes y Directores pretenden adelantar un convenio interadministrativo para la ejecución de recursos públicos. Cuando este sea el caso, operará la restricción señalada en el parágrafo y estará prohibido llevar a cabo la contratación en los cuatro meses anteriores a cualquier contienda electoral. Es importante resaltar que para esta prohibición la norma no contempló ninguna excepción. </w:t>
      </w:r>
    </w:p>
    <w:p w14:paraId="686D5656" w14:textId="77777777" w:rsidR="00D93852" w:rsidRPr="00E8636D" w:rsidRDefault="00D93852" w:rsidP="00D93852">
      <w:pPr>
        <w:shd w:val="clear" w:color="auto" w:fill="FFFFFF"/>
        <w:spacing w:after="120" w:line="276" w:lineRule="auto"/>
        <w:ind w:firstLine="708"/>
        <w:jc w:val="both"/>
        <w:rPr>
          <w:rFonts w:ascii="Verdana" w:eastAsia="Calibri" w:hAnsi="Verdana" w:cs="Arial"/>
          <w:lang w:val="es-ES"/>
        </w:rPr>
      </w:pPr>
      <w:r w:rsidRPr="00E8636D">
        <w:rPr>
          <w:rFonts w:ascii="Verdana" w:eastAsia="Calibri" w:hAnsi="Verdana" w:cs="Arial"/>
          <w:lang w:val="es-ES"/>
        </w:rPr>
        <w:t xml:space="preserve">En suma, corresponderá a cada entidad estatal, incluyendo a aquellas autorizadas para la adquisición o mantenimiento de áreas de interés para los acueductos municipales, distritales y regionales, determinar la procedencia de </w:t>
      </w:r>
      <w:r w:rsidRPr="00E8636D">
        <w:rPr>
          <w:rFonts w:ascii="Verdana" w:eastAsia="Calibri" w:hAnsi="Verdana" w:cs="Arial"/>
          <w:lang w:val="es-ES"/>
        </w:rPr>
        <w:lastRenderedPageBreak/>
        <w:t>celebrar un contrato estatal específico, para lo cual deberán tener en cuenta las prohibiciones establecidas en materia contractual en la Ley de Garantías Electorales de acuerdo con lo explicado en las consideraciones de este concepto.</w:t>
      </w:r>
    </w:p>
    <w:p w14:paraId="45961DA0" w14:textId="77777777" w:rsidR="00D93852" w:rsidRPr="00E8636D" w:rsidRDefault="00D93852" w:rsidP="00D93852">
      <w:pPr>
        <w:shd w:val="clear" w:color="auto" w:fill="FFFFFF"/>
        <w:spacing w:after="120" w:line="276" w:lineRule="auto"/>
        <w:ind w:firstLine="708"/>
        <w:jc w:val="both"/>
        <w:rPr>
          <w:rFonts w:ascii="Verdana" w:eastAsia="Calibri" w:hAnsi="Verdana" w:cs="Arial"/>
          <w:lang w:val="es-ES"/>
        </w:rPr>
      </w:pPr>
      <w:r w:rsidRPr="00E8636D">
        <w:rPr>
          <w:rFonts w:ascii="Verdana" w:eastAsia="Calibri" w:hAnsi="Verdana" w:cs="Arial"/>
          <w:lang w:val="es-ES"/>
        </w:rPr>
        <w:t>En particular, corresponde a cada Entidad Estatal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justificando las razones que avalan su procedencia</w:t>
      </w:r>
      <w:r w:rsidRPr="00E8636D">
        <w:rPr>
          <w:rFonts w:ascii="Verdana" w:hAnsi="Verdana" w:cs="Arial"/>
          <w:lang w:val="es-ES"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 En cualquier caso, las entidades podrán considerar la posibilidad de adelantar modalidades distintas a la contratación directa o tipologías distintas a la contratación interadministrativa, es decir, aquellas que no se encuentren restringidas por el artículo 33 o el parágrafo del artículo 38 de la Ley 996 de 2005.</w:t>
      </w:r>
    </w:p>
    <w:p w14:paraId="2AFB4AAF" w14:textId="77777777" w:rsidR="00D93852" w:rsidRPr="00E8636D" w:rsidRDefault="00D93852" w:rsidP="00D93852">
      <w:pPr>
        <w:spacing w:after="120" w:line="276" w:lineRule="auto"/>
        <w:ind w:firstLine="708"/>
        <w:jc w:val="both"/>
        <w:rPr>
          <w:rFonts w:ascii="Verdana" w:eastAsia="Times New Roman" w:hAnsi="Verdana" w:cs="Arial"/>
          <w:bCs/>
          <w:lang w:val="es-ES" w:eastAsia="es-CO"/>
        </w:rPr>
      </w:pPr>
      <w:r w:rsidRPr="00E8636D">
        <w:rPr>
          <w:rFonts w:ascii="Verdana" w:eastAsia="Arial" w:hAnsi="Verdana" w:cs="Arial"/>
          <w:color w:val="000000" w:themeColor="text1"/>
          <w:lang w:val="es-ES"/>
        </w:rPr>
        <w:t xml:space="preserve">Finalmente, es importante advertir que </w:t>
      </w:r>
      <w:r w:rsidRPr="00E8636D">
        <w:rPr>
          <w:rFonts w:ascii="Verdana" w:eastAsia="Times New Roman" w:hAnsi="Verdana" w:cs="Arial"/>
          <w:lang w:val="es-ES"/>
        </w:rPr>
        <w:t xml:space="preserve">compete a cada Entidad Estatal que considera celebrar un contrato específico definir si este se enmarca en alguna de las prohibiciones de la Ley de Garantías Electorales. </w:t>
      </w:r>
      <w:r w:rsidRPr="00E8636D">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056CE0F6" w14:textId="77777777" w:rsidR="00D93852" w:rsidRPr="00E8636D" w:rsidRDefault="00D93852" w:rsidP="00D93852">
      <w:pPr>
        <w:spacing w:after="0" w:line="276" w:lineRule="auto"/>
        <w:ind w:firstLine="708"/>
        <w:jc w:val="both"/>
        <w:rPr>
          <w:rFonts w:ascii="Verdana" w:eastAsia="Calibri" w:hAnsi="Verdana" w:cs="Arial"/>
          <w:lang w:val="es-ES"/>
        </w:rPr>
      </w:pPr>
    </w:p>
    <w:bookmarkEnd w:id="1"/>
    <w:bookmarkEnd w:id="2"/>
    <w:p w14:paraId="3CFEF87C" w14:textId="77777777" w:rsidR="00D93852" w:rsidRPr="00E8636D" w:rsidRDefault="00D93852" w:rsidP="00D93852">
      <w:pPr>
        <w:tabs>
          <w:tab w:val="left" w:pos="142"/>
          <w:tab w:val="left" w:pos="284"/>
        </w:tabs>
        <w:spacing w:after="0" w:line="276" w:lineRule="auto"/>
        <w:jc w:val="both"/>
        <w:rPr>
          <w:rFonts w:ascii="Verdana" w:eastAsia="Century Gothic" w:hAnsi="Verdana" w:cs="Century Gothic"/>
          <w:b/>
          <w:color w:val="000000" w:themeColor="text1"/>
          <w:lang w:val="es-ES"/>
        </w:rPr>
      </w:pPr>
      <w:r w:rsidRPr="00E8636D">
        <w:rPr>
          <w:rFonts w:ascii="Verdana" w:eastAsia="Century Gothic" w:hAnsi="Verdana" w:cs="Century Gothic"/>
          <w:b/>
          <w:color w:val="000000" w:themeColor="text1"/>
          <w:lang w:val="es-ES"/>
        </w:rPr>
        <w:t>4.Referencias normativas, jurisprudenciales y otras fuentes:</w:t>
      </w:r>
    </w:p>
    <w:p w14:paraId="1C8F92F4" w14:textId="77777777" w:rsidR="00D93852" w:rsidRPr="00E8636D" w:rsidRDefault="00D93852" w:rsidP="00D93852">
      <w:pPr>
        <w:widowControl w:val="0"/>
        <w:autoSpaceDE w:val="0"/>
        <w:autoSpaceDN w:val="0"/>
        <w:spacing w:after="0" w:line="276" w:lineRule="auto"/>
        <w:jc w:val="both"/>
        <w:rPr>
          <w:rFonts w:ascii="Verdana" w:hAnsi="Verdana" w:cs="Arial"/>
          <w:color w:val="000000" w:themeColor="text1"/>
          <w:lang w:val="es-ES"/>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93852" w:rsidRPr="00E8636D" w14:paraId="7B45D471" w14:textId="77777777" w:rsidTr="00974497">
        <w:trPr>
          <w:trHeight w:val="870"/>
        </w:trPr>
        <w:tc>
          <w:tcPr>
            <w:tcW w:w="8647" w:type="dxa"/>
          </w:tcPr>
          <w:p w14:paraId="4B054F51" w14:textId="77777777" w:rsidR="00D93852" w:rsidRPr="00E8636D" w:rsidRDefault="00D93852" w:rsidP="00974497">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E8636D">
              <w:rPr>
                <w:rFonts w:ascii="Verdana" w:eastAsia="Arial MT" w:hAnsi="Verdana" w:cs="Arial"/>
                <w:lang w:val="es-ES" w:eastAsia="es-ES" w:bidi="es-ES"/>
              </w:rPr>
              <w:t>Constitución Política, artículo 127.</w:t>
            </w:r>
          </w:p>
          <w:p w14:paraId="25C0A481" w14:textId="77777777" w:rsidR="00D93852" w:rsidRPr="00E8636D" w:rsidRDefault="00D93852" w:rsidP="00974497">
            <w:pPr>
              <w:pStyle w:val="ListParagraph"/>
              <w:numPr>
                <w:ilvl w:val="0"/>
                <w:numId w:val="16"/>
              </w:numPr>
              <w:spacing w:line="276" w:lineRule="auto"/>
              <w:ind w:left="714" w:hanging="357"/>
              <w:jc w:val="both"/>
              <w:rPr>
                <w:rFonts w:ascii="Verdana" w:hAnsi="Verdana" w:cs="Arial"/>
              </w:rPr>
            </w:pPr>
            <w:r w:rsidRPr="00E8636D">
              <w:rPr>
                <w:rFonts w:ascii="Verdana" w:hAnsi="Verdana" w:cs="Arial"/>
              </w:rPr>
              <w:t>Ley 80 de 1993, artículos 30 y 32.</w:t>
            </w:r>
          </w:p>
          <w:p w14:paraId="6A73A6AD" w14:textId="77777777" w:rsidR="00D93852" w:rsidRPr="00E8636D" w:rsidRDefault="00D93852" w:rsidP="00974497">
            <w:pPr>
              <w:pStyle w:val="ListParagraph"/>
              <w:numPr>
                <w:ilvl w:val="0"/>
                <w:numId w:val="16"/>
              </w:numPr>
              <w:spacing w:line="276" w:lineRule="auto"/>
              <w:ind w:left="714" w:hanging="357"/>
              <w:jc w:val="both"/>
              <w:rPr>
                <w:rFonts w:ascii="Verdana" w:hAnsi="Verdana" w:cs="Arial"/>
              </w:rPr>
            </w:pPr>
            <w:r w:rsidRPr="00E8636D">
              <w:rPr>
                <w:rFonts w:ascii="Verdana" w:hAnsi="Verdana" w:cs="Arial"/>
                <w:color w:val="000000" w:themeColor="text1"/>
              </w:rPr>
              <w:t>Ley 100 de 1993: artículo 94 y 197</w:t>
            </w:r>
          </w:p>
          <w:p w14:paraId="71CE356D" w14:textId="77777777" w:rsidR="00D93852" w:rsidRPr="00E8636D" w:rsidRDefault="00D93852" w:rsidP="00974497">
            <w:pPr>
              <w:pStyle w:val="ListParagraph"/>
              <w:widowControl w:val="0"/>
              <w:numPr>
                <w:ilvl w:val="0"/>
                <w:numId w:val="16"/>
              </w:numPr>
              <w:autoSpaceDE w:val="0"/>
              <w:autoSpaceDN w:val="0"/>
              <w:spacing w:line="276" w:lineRule="auto"/>
              <w:ind w:left="714" w:hanging="357"/>
              <w:jc w:val="both"/>
              <w:rPr>
                <w:rFonts w:ascii="Verdana" w:hAnsi="Verdana" w:cs="Arial"/>
              </w:rPr>
            </w:pPr>
            <w:r w:rsidRPr="00E8636D">
              <w:rPr>
                <w:rFonts w:ascii="Verdana" w:hAnsi="Verdana" w:cs="Arial"/>
              </w:rPr>
              <w:t>Ley 813 de 2003: artículos 8, 10, 11 y 12.</w:t>
            </w:r>
          </w:p>
          <w:p w14:paraId="0EE49D19" w14:textId="77777777" w:rsidR="00D93852" w:rsidRPr="00E8636D" w:rsidRDefault="00D93852" w:rsidP="00974497">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E8636D">
              <w:rPr>
                <w:rFonts w:ascii="Verdana" w:eastAsia="Arial MT" w:hAnsi="Verdana" w:cs="Arial"/>
                <w:bCs/>
                <w:lang w:val="es-ES" w:eastAsia="es-ES" w:bidi="es-ES"/>
              </w:rPr>
              <w:lastRenderedPageBreak/>
              <w:t>Ley 996 de 2005: artículos 33 y 38.</w:t>
            </w:r>
          </w:p>
          <w:p w14:paraId="736B7D5A" w14:textId="77777777" w:rsidR="00D93852" w:rsidRPr="00E8636D" w:rsidRDefault="00D93852" w:rsidP="00974497">
            <w:pPr>
              <w:pStyle w:val="ListParagraph"/>
              <w:widowControl w:val="0"/>
              <w:numPr>
                <w:ilvl w:val="0"/>
                <w:numId w:val="16"/>
              </w:numPr>
              <w:autoSpaceDE w:val="0"/>
              <w:autoSpaceDN w:val="0"/>
              <w:spacing w:line="276" w:lineRule="auto"/>
              <w:ind w:left="714" w:hanging="357"/>
              <w:jc w:val="both"/>
              <w:rPr>
                <w:rFonts w:ascii="Verdana" w:hAnsi="Verdana" w:cs="Arial"/>
              </w:rPr>
            </w:pPr>
            <w:r w:rsidRPr="00E8636D">
              <w:rPr>
                <w:rFonts w:ascii="Verdana" w:hAnsi="Verdana" w:cs="Arial"/>
              </w:rPr>
              <w:t>Ley 1483 de 2011.</w:t>
            </w:r>
          </w:p>
          <w:p w14:paraId="7DB4EB84" w14:textId="77777777" w:rsidR="00D93852" w:rsidRPr="00E8636D" w:rsidRDefault="00D93852" w:rsidP="00974497">
            <w:pPr>
              <w:pStyle w:val="ListParagraph"/>
              <w:widowControl w:val="0"/>
              <w:numPr>
                <w:ilvl w:val="0"/>
                <w:numId w:val="16"/>
              </w:numPr>
              <w:autoSpaceDE w:val="0"/>
              <w:autoSpaceDN w:val="0"/>
              <w:spacing w:line="276" w:lineRule="auto"/>
              <w:ind w:left="714" w:hanging="357"/>
              <w:jc w:val="both"/>
              <w:rPr>
                <w:rFonts w:ascii="Verdana" w:hAnsi="Verdana" w:cs="Arial"/>
              </w:rPr>
            </w:pPr>
            <w:r w:rsidRPr="00E8636D">
              <w:rPr>
                <w:rFonts w:ascii="Verdana" w:hAnsi="Verdana" w:cs="Arial"/>
              </w:rPr>
              <w:t>Decreto 111 de 1996.</w:t>
            </w:r>
          </w:p>
          <w:p w14:paraId="20BC10AE" w14:textId="77777777" w:rsidR="00D93852" w:rsidRPr="00E8636D" w:rsidRDefault="00D93852" w:rsidP="00974497">
            <w:pPr>
              <w:pStyle w:val="ListParagraph"/>
              <w:widowControl w:val="0"/>
              <w:numPr>
                <w:ilvl w:val="0"/>
                <w:numId w:val="16"/>
              </w:numPr>
              <w:autoSpaceDE w:val="0"/>
              <w:autoSpaceDN w:val="0"/>
              <w:spacing w:line="276" w:lineRule="auto"/>
              <w:ind w:left="714" w:hanging="357"/>
              <w:jc w:val="both"/>
              <w:rPr>
                <w:rFonts w:ascii="Verdana" w:hAnsi="Verdana" w:cs="Arial"/>
              </w:rPr>
            </w:pPr>
            <w:r w:rsidRPr="00E8636D">
              <w:rPr>
                <w:rFonts w:ascii="Verdana" w:hAnsi="Verdana" w:cs="Arial"/>
              </w:rPr>
              <w:t xml:space="preserve">Decreto 1068 de 2015: artículo 2.8.3.4. </w:t>
            </w:r>
          </w:p>
          <w:p w14:paraId="69D8A213" w14:textId="77777777" w:rsidR="00D93852" w:rsidRPr="00E8636D" w:rsidRDefault="00D93852" w:rsidP="00974497">
            <w:pPr>
              <w:pStyle w:val="ListParagraph"/>
              <w:widowControl w:val="0"/>
              <w:numPr>
                <w:ilvl w:val="0"/>
                <w:numId w:val="16"/>
              </w:numPr>
              <w:autoSpaceDE w:val="0"/>
              <w:autoSpaceDN w:val="0"/>
              <w:spacing w:line="276" w:lineRule="auto"/>
              <w:ind w:left="714" w:hanging="357"/>
              <w:jc w:val="both"/>
              <w:rPr>
                <w:rFonts w:ascii="Verdana" w:hAnsi="Verdana" w:cs="Arial"/>
              </w:rPr>
            </w:pPr>
            <w:r w:rsidRPr="00E8636D">
              <w:rPr>
                <w:rFonts w:ascii="Verdana" w:eastAsia="Arial" w:hAnsi="Verdana" w:cs="Arial"/>
                <w:bCs/>
                <w:color w:val="000000" w:themeColor="text1"/>
              </w:rPr>
              <w:t>Decreto 780 de 2016: artículo 2.8.8.1.1.3</w:t>
            </w:r>
          </w:p>
          <w:p w14:paraId="36CE9BF4" w14:textId="77777777" w:rsidR="00D93852" w:rsidRPr="00E8636D" w:rsidRDefault="00D93852" w:rsidP="00974497">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E8636D">
              <w:rPr>
                <w:rFonts w:ascii="Verdana" w:eastAsia="Calibri" w:hAnsi="Verdana" w:cs="Arial"/>
                <w:lang w:val="es-ES"/>
              </w:rPr>
              <w:t>Decreto 2770 de 2006.</w:t>
            </w:r>
          </w:p>
          <w:p w14:paraId="2F41AC72" w14:textId="77777777" w:rsidR="00D93852" w:rsidRPr="00E8636D" w:rsidRDefault="00D93852" w:rsidP="00974497">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E8636D">
              <w:rPr>
                <w:rFonts w:ascii="Verdana" w:eastAsia="Times New Roman" w:hAnsi="Verdana" w:cs="Times New Roman"/>
                <w:lang w:val="es-ES" w:eastAsia="es-MX"/>
              </w:rPr>
              <w:t xml:space="preserve">Ley 1150 de 2007: </w:t>
            </w:r>
            <w:r w:rsidRPr="00E8636D">
              <w:rPr>
                <w:rFonts w:ascii="Verdana" w:eastAsia="Arial MT" w:hAnsi="Verdana" w:cs="Arial"/>
                <w:lang w:val="es-ES" w:eastAsia="es-ES" w:bidi="es-ES"/>
              </w:rPr>
              <w:t xml:space="preserve">artículo 2, numeral 4. </w:t>
            </w:r>
          </w:p>
          <w:p w14:paraId="05814BDD" w14:textId="77777777" w:rsidR="00D93852" w:rsidRPr="00E8636D" w:rsidRDefault="00D93852" w:rsidP="00974497">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E8636D">
              <w:rPr>
                <w:rFonts w:ascii="Verdana" w:eastAsia="Arial MT" w:hAnsi="Verdana" w:cs="Arial"/>
                <w:lang w:val="es-ES" w:eastAsia="es-ES" w:bidi="es-ES"/>
              </w:rPr>
              <w:t>Estatuto Orgánico del Presupuesto: artículo 89.</w:t>
            </w:r>
          </w:p>
          <w:p w14:paraId="4C480479" w14:textId="77777777" w:rsidR="00D93852" w:rsidRPr="00E8636D" w:rsidRDefault="00D93852" w:rsidP="00974497">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E8636D">
              <w:rPr>
                <w:rFonts w:ascii="Verdana" w:eastAsia="Arial MT" w:hAnsi="Verdana" w:cs="Arial"/>
                <w:lang w:val="es-ES" w:eastAsia="es-ES" w:bidi="es-ES"/>
              </w:rPr>
              <w:t>Decreto 1082 de 2015: artículo 2.2.1.2.1.4.4</w:t>
            </w:r>
          </w:p>
          <w:p w14:paraId="01E06FBA" w14:textId="77777777" w:rsidR="00D93852" w:rsidRPr="00E8636D" w:rsidRDefault="00D93852" w:rsidP="00974497">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E8636D">
              <w:rPr>
                <w:rFonts w:ascii="Verdana" w:eastAsia="Arial MT" w:hAnsi="Verdana" w:cs="Arial"/>
                <w:lang w:val="es-ES" w:eastAsia="es-ES" w:bidi="es-ES"/>
              </w:rPr>
              <w:t>Consejo de Estado. Sala de Consulta y Servicio Civil. Concepto del 18 de febrero 2010. Rad. 11001-03-06-000-2010-00006-00 (1985). C.P. Enrique José Arboleda Perdomo.</w:t>
            </w:r>
          </w:p>
          <w:p w14:paraId="1A2AD6EA" w14:textId="77777777" w:rsidR="00D93852" w:rsidRPr="00E8636D" w:rsidRDefault="00D93852" w:rsidP="00974497">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E8636D">
              <w:rPr>
                <w:rFonts w:ascii="Verdana" w:eastAsia="Arial MT" w:hAnsi="Verdana" w:cs="Arial"/>
                <w:lang w:val="es-ES" w:eastAsia="es-ES" w:bidi="es-ES"/>
              </w:rPr>
              <w:t xml:space="preserve">Consejo de Estado, Sección Primera. Sentencia de 3 de marzo de 2005, </w:t>
            </w:r>
            <w:proofErr w:type="spellStart"/>
            <w:r w:rsidRPr="00E8636D">
              <w:rPr>
                <w:rFonts w:ascii="Verdana" w:eastAsia="Arial MT" w:hAnsi="Verdana" w:cs="Arial"/>
                <w:lang w:val="es-ES" w:eastAsia="es-ES" w:bidi="es-ES"/>
              </w:rPr>
              <w:t>Exp</w:t>
            </w:r>
            <w:proofErr w:type="spellEnd"/>
            <w:r w:rsidRPr="00E8636D">
              <w:rPr>
                <w:rFonts w:ascii="Verdana" w:eastAsia="Arial MT" w:hAnsi="Verdana" w:cs="Arial"/>
                <w:lang w:val="es-ES" w:eastAsia="es-ES" w:bidi="es-ES"/>
              </w:rPr>
              <w:t xml:space="preserve">. 2004-00823-01(PI). </w:t>
            </w:r>
          </w:p>
          <w:p w14:paraId="78838627" w14:textId="77777777" w:rsidR="00D93852" w:rsidRPr="00E8636D" w:rsidRDefault="00D93852" w:rsidP="00974497">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E8636D">
              <w:rPr>
                <w:rFonts w:ascii="Verdana" w:eastAsia="Arial MT" w:hAnsi="Verdana" w:cs="Arial"/>
                <w:lang w:val="es-ES" w:eastAsia="es-ES" w:bidi="es-ES"/>
              </w:rPr>
              <w:t>Consejo de Estado, Sala de Consulta y Servicio Civil, Concepto de fecha 8 de mayo de 2018, No. 2382. C. P. Álvaro Namén Vargas.</w:t>
            </w:r>
          </w:p>
          <w:p w14:paraId="68BE9162" w14:textId="77777777" w:rsidR="00D93852" w:rsidRPr="00E8636D" w:rsidRDefault="00D93852" w:rsidP="00974497">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E8636D">
              <w:rPr>
                <w:rFonts w:ascii="Verdana" w:eastAsia="Arial MT" w:hAnsi="Verdana" w:cs="Arial"/>
                <w:lang w:val="es-ES" w:eastAsia="es-ES" w:bidi="es-ES"/>
              </w:rPr>
              <w:t>Consejo de Estado. Sala de Consulta y Servicio Civil. Concepto del 02 de septiembre de 2013. Rad. 11001-03-06-000-2013-00412-00 (2168). C.P. Álvaro Namén Vargas.</w:t>
            </w:r>
          </w:p>
          <w:p w14:paraId="71DC4952" w14:textId="77777777" w:rsidR="00D93852" w:rsidRPr="00E8636D" w:rsidRDefault="00D93852" w:rsidP="00974497">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E8636D">
              <w:rPr>
                <w:rFonts w:ascii="Verdana" w:eastAsia="Arial MT" w:hAnsi="Verdana" w:cs="Arial"/>
                <w:lang w:val="es-ES" w:eastAsia="es-ES" w:bidi="es-ES"/>
              </w:rPr>
              <w:t xml:space="preserve">Consejo de Estado, Sala de Consulta y Servicio Civil, Concepto de fecha 24 de julio de 2013, Rad. 2166, C. P. Álvaro Namén Vargas. </w:t>
            </w:r>
          </w:p>
          <w:p w14:paraId="2AF5BE22" w14:textId="77777777" w:rsidR="00D93852" w:rsidRPr="00E8636D" w:rsidRDefault="00D93852" w:rsidP="00974497">
            <w:pPr>
              <w:pStyle w:val="ListParagraph"/>
              <w:numPr>
                <w:ilvl w:val="0"/>
                <w:numId w:val="16"/>
              </w:numPr>
              <w:spacing w:line="276" w:lineRule="auto"/>
              <w:ind w:left="714" w:hanging="357"/>
              <w:jc w:val="both"/>
              <w:rPr>
                <w:rFonts w:ascii="Verdana" w:eastAsia="Arial MT" w:hAnsi="Verdana" w:cs="Arial"/>
                <w:lang w:eastAsia="es-ES" w:bidi="es-ES"/>
              </w:rPr>
            </w:pPr>
            <w:r w:rsidRPr="00E8636D">
              <w:rPr>
                <w:rFonts w:ascii="Verdana" w:eastAsia="Arial MT" w:hAnsi="Verdana" w:cs="Arial"/>
                <w:lang w:eastAsia="es-ES" w:bidi="es-ES"/>
              </w:rPr>
              <w:t>Consejo de Estado. Sala de Consulta y Servicio Civil. Concepto del 17 de febrero de 2015. C.P. William Zambrano Cetina. Radicación No. 11001-03-06-000-2015-00164-00(2269).</w:t>
            </w:r>
          </w:p>
          <w:p w14:paraId="308BF532" w14:textId="77777777" w:rsidR="00D93852" w:rsidRPr="00E8636D" w:rsidRDefault="00D93852" w:rsidP="00974497">
            <w:pPr>
              <w:pStyle w:val="ListParagraph"/>
              <w:numPr>
                <w:ilvl w:val="0"/>
                <w:numId w:val="16"/>
              </w:numPr>
              <w:spacing w:line="276" w:lineRule="auto"/>
              <w:ind w:left="714" w:hanging="357"/>
              <w:jc w:val="both"/>
              <w:rPr>
                <w:rFonts w:ascii="Verdana" w:eastAsia="Arial MT" w:hAnsi="Verdana" w:cs="Arial"/>
                <w:lang w:eastAsia="es-ES" w:bidi="es-ES"/>
              </w:rPr>
            </w:pPr>
            <w:r w:rsidRPr="00E8636D">
              <w:rPr>
                <w:rFonts w:ascii="Verdana" w:eastAsia="Arial MT" w:hAnsi="Verdana" w:cs="Arial"/>
                <w:lang w:eastAsia="es-ES" w:bidi="es-ES"/>
              </w:rPr>
              <w:t>Consejo de Estado, Sala de Consulta y Servicio Civil, Concepto de fecha 8 de mayo de 2018, No. 2382. C. P. Álvaro Namén Vargas.</w:t>
            </w:r>
          </w:p>
          <w:p w14:paraId="044A46A6" w14:textId="77777777" w:rsidR="00D93852" w:rsidRPr="00E8636D" w:rsidRDefault="00D93852" w:rsidP="00974497">
            <w:pPr>
              <w:pStyle w:val="ListParagraph"/>
              <w:numPr>
                <w:ilvl w:val="0"/>
                <w:numId w:val="16"/>
              </w:numPr>
              <w:spacing w:line="276" w:lineRule="auto"/>
              <w:ind w:left="714" w:hanging="357"/>
              <w:jc w:val="both"/>
              <w:rPr>
                <w:rFonts w:ascii="Verdana" w:eastAsia="Arial MT" w:hAnsi="Verdana" w:cs="Arial"/>
                <w:lang w:eastAsia="es-ES" w:bidi="es-ES"/>
              </w:rPr>
            </w:pPr>
            <w:r w:rsidRPr="00E8636D">
              <w:rPr>
                <w:rFonts w:ascii="Verdana" w:eastAsia="Arial MT" w:hAnsi="Verdana" w:cs="Arial"/>
                <w:lang w:eastAsia="es-ES" w:bidi="es-ES"/>
              </w:rPr>
              <w:t>Corte Constitucional. Sentencia C-1153 de 2005 M.P. Marco Gerardo Monroy Cabra.</w:t>
            </w:r>
          </w:p>
          <w:p w14:paraId="30850CB9" w14:textId="77777777" w:rsidR="00D93852" w:rsidRPr="00E8636D" w:rsidRDefault="00D93852" w:rsidP="00974497">
            <w:pPr>
              <w:pStyle w:val="ListParagraph"/>
              <w:numPr>
                <w:ilvl w:val="0"/>
                <w:numId w:val="16"/>
              </w:numPr>
              <w:spacing w:line="276" w:lineRule="auto"/>
              <w:ind w:left="714" w:hanging="357"/>
              <w:jc w:val="both"/>
              <w:rPr>
                <w:rFonts w:ascii="Verdana" w:hAnsi="Verdana" w:cs="Arial"/>
              </w:rPr>
            </w:pPr>
            <w:r w:rsidRPr="00E8636D">
              <w:rPr>
                <w:rFonts w:ascii="Verdana" w:eastAsia="Arial MT" w:hAnsi="Verdana" w:cs="Arial"/>
                <w:lang w:eastAsia="es-ES" w:bidi="es-ES"/>
              </w:rPr>
              <w:t>Ministerio de Salud y Protección Social, Resolución 04 del 12 de Enero de 2018.</w:t>
            </w:r>
          </w:p>
        </w:tc>
      </w:tr>
    </w:tbl>
    <w:p w14:paraId="40F3FEF1" w14:textId="77777777" w:rsidR="00D93852" w:rsidRPr="00E8636D" w:rsidRDefault="00D93852" w:rsidP="00D93852">
      <w:pPr>
        <w:widowControl w:val="0"/>
        <w:autoSpaceDE w:val="0"/>
        <w:autoSpaceDN w:val="0"/>
        <w:spacing w:after="0" w:line="276" w:lineRule="auto"/>
        <w:jc w:val="both"/>
        <w:rPr>
          <w:rFonts w:ascii="Verdana" w:hAnsi="Verdana" w:cs="Arial"/>
          <w:color w:val="000000" w:themeColor="text1"/>
          <w:lang w:val="es-ES"/>
        </w:rPr>
      </w:pPr>
    </w:p>
    <w:p w14:paraId="6B88422F" w14:textId="77777777" w:rsidR="00D93852" w:rsidRPr="00E8636D" w:rsidRDefault="00D93852" w:rsidP="00D93852">
      <w:pPr>
        <w:tabs>
          <w:tab w:val="left" w:pos="142"/>
          <w:tab w:val="left" w:pos="284"/>
        </w:tabs>
        <w:spacing w:after="0" w:line="276" w:lineRule="auto"/>
        <w:jc w:val="both"/>
        <w:rPr>
          <w:rFonts w:ascii="Verdana" w:eastAsia="Century Gothic" w:hAnsi="Verdana" w:cs="Century Gothic"/>
          <w:b/>
          <w:color w:val="000000" w:themeColor="text1"/>
          <w:lang w:val="es-ES"/>
        </w:rPr>
      </w:pPr>
      <w:r w:rsidRPr="00E8636D">
        <w:rPr>
          <w:rFonts w:ascii="Verdana" w:eastAsia="Century Gothic" w:hAnsi="Verdana" w:cs="Century Gothic"/>
          <w:b/>
          <w:color w:val="000000" w:themeColor="text1"/>
          <w:lang w:val="es-ES"/>
        </w:rPr>
        <w:t>5.Doctrina de la Agencia Nacional de Contratación Pública:</w:t>
      </w:r>
    </w:p>
    <w:p w14:paraId="655FEEB9" w14:textId="77777777" w:rsidR="00D93852" w:rsidRPr="00E8636D" w:rsidRDefault="00D93852" w:rsidP="00D93852">
      <w:pPr>
        <w:widowControl w:val="0"/>
        <w:autoSpaceDE w:val="0"/>
        <w:autoSpaceDN w:val="0"/>
        <w:spacing w:after="0" w:line="276" w:lineRule="auto"/>
        <w:jc w:val="both"/>
        <w:rPr>
          <w:rFonts w:ascii="Verdana" w:hAnsi="Verdana" w:cs="Arial"/>
          <w:color w:val="000000" w:themeColor="text1"/>
          <w:lang w:val="es-ES"/>
        </w:rPr>
      </w:pPr>
    </w:p>
    <w:p w14:paraId="2C560D8B" w14:textId="77777777" w:rsidR="00D93852" w:rsidRPr="00E8636D" w:rsidRDefault="00D93852" w:rsidP="00FD4A51">
      <w:pPr>
        <w:spacing w:after="120"/>
        <w:jc w:val="both"/>
        <w:rPr>
          <w:rFonts w:ascii="Arial" w:eastAsia="Calibri" w:hAnsi="Arial" w:cs="Arial"/>
          <w:b/>
          <w:bCs/>
          <w:color w:val="000000" w:themeColor="text1"/>
          <w:lang w:val="es-ES"/>
        </w:rPr>
      </w:pPr>
      <w:r w:rsidRPr="00E8636D">
        <w:rPr>
          <w:rFonts w:ascii="Verdana" w:eastAsia="Calibri" w:hAnsi="Verdana" w:cs="Arial"/>
          <w:lang w:val="es-ES"/>
        </w:rPr>
        <w:t xml:space="preserve">La Agencia Nacional de Contratación Pública – Colombia Compra Eficiente se ha referido </w:t>
      </w:r>
      <w:r w:rsidRPr="00E8636D">
        <w:rPr>
          <w:rFonts w:ascii="Verdana" w:hAnsi="Verdana" w:cs="Arial"/>
          <w:shd w:val="clear" w:color="auto" w:fill="FFFFFF"/>
          <w:lang w:val="es-ES"/>
        </w:rPr>
        <w:t xml:space="preserve">sobre la Ley de Garantías Electorales en los conceptos con radicado 4201913000006306 del 21 de octubre de 2019, 4201912000006552 del 07 de noviembre de 2019, 4201913000006604 del 17 de diciembre de 2019,  C-227 </w:t>
      </w:r>
      <w:r w:rsidRPr="00E8636D">
        <w:rPr>
          <w:rFonts w:ascii="Verdana" w:hAnsi="Verdana" w:cs="Arial"/>
          <w:shd w:val="clear" w:color="auto" w:fill="FFFFFF"/>
          <w:lang w:val="es-ES"/>
        </w:rPr>
        <w:lastRenderedPageBreak/>
        <w:t>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junio de 2025, C -635 del 27 de junio de 2025, C–750 de 17 de julio 2025, C-729 del 15 de Julio de 2015 y C-273-A de 2025, entre otros. Sobre la los esquemas asociativos de se refirió en los conceptos C–471 del 19 de mayo de 2025 y C–723 del 25 de agosto de 2025, entre otros. Estos</w:t>
      </w:r>
      <w:r w:rsidRPr="00E8636D">
        <w:rPr>
          <w:rFonts w:ascii="Verdana" w:hAnsi="Verdana"/>
          <w:lang w:val="es-ES"/>
        </w:rPr>
        <w:t xml:space="preserve"> y otros se encuentran disponibles para consulta en el Sistema de relatoría de la Agencia, al cual se puede acceder a través del siguiente enlace:</w:t>
      </w:r>
      <w:r w:rsidRPr="00E8636D">
        <w:rPr>
          <w:rFonts w:ascii="Verdana" w:hAnsi="Verdana" w:cs="Arial"/>
          <w:shd w:val="clear" w:color="auto" w:fill="FFFFFF"/>
          <w:lang w:val="es-ES"/>
        </w:rPr>
        <w:t xml:space="preserve"> </w:t>
      </w:r>
      <w:hyperlink r:id="rId12" w:history="1">
        <w:r w:rsidRPr="00E8636D">
          <w:rPr>
            <w:rFonts w:ascii="Verdana" w:hAnsi="Verdana" w:cs="Arial"/>
            <w:color w:val="0000FF"/>
            <w:u w:val="single"/>
            <w:shd w:val="clear" w:color="auto" w:fill="FFFFFF"/>
            <w:lang w:val="es-ES"/>
          </w:rPr>
          <w:t>https://relatoria.colombiacompra.gov.co/busqueda/concept os</w:t>
        </w:r>
      </w:hyperlink>
      <w:r w:rsidRPr="00E8636D">
        <w:rPr>
          <w:rFonts w:ascii="Verdana" w:hAnsi="Verdana" w:cs="Arial"/>
          <w:shd w:val="clear" w:color="auto" w:fill="FFFFFF"/>
          <w:lang w:val="es-ES"/>
        </w:rPr>
        <w:t>.</w:t>
      </w:r>
      <w:r w:rsidRPr="00E8636D">
        <w:rPr>
          <w:rFonts w:ascii="Verdana" w:hAnsi="Verdana" w:cs="Arial"/>
          <w:color w:val="FF0000"/>
          <w:shd w:val="clear" w:color="auto" w:fill="FFFFFF"/>
          <w:lang w:val="es-ES"/>
        </w:rPr>
        <w:t xml:space="preserve"> </w:t>
      </w:r>
      <w:r w:rsidRPr="00E8636D">
        <w:rPr>
          <w:rFonts w:ascii="Verdana" w:hAnsi="Verdana" w:cs="Arial"/>
          <w:color w:val="000000" w:themeColor="text1"/>
          <w:shd w:val="clear" w:color="auto" w:fill="FFFFFF"/>
          <w:lang w:val="es-ES"/>
        </w:rPr>
        <w:t>  </w:t>
      </w:r>
    </w:p>
    <w:p w14:paraId="7EDA7377" w14:textId="77777777" w:rsidR="00FD4A51" w:rsidRPr="00E8636D" w:rsidRDefault="00FD4A51" w:rsidP="00D93852">
      <w:pPr>
        <w:widowControl w:val="0"/>
        <w:autoSpaceDE w:val="0"/>
        <w:autoSpaceDN w:val="0"/>
        <w:spacing w:after="0" w:line="276" w:lineRule="auto"/>
        <w:jc w:val="both"/>
        <w:rPr>
          <w:rFonts w:ascii="Verdana" w:hAnsi="Verdana" w:cs="Arial"/>
          <w:lang w:val="es-ES"/>
        </w:rPr>
      </w:pPr>
    </w:p>
    <w:p w14:paraId="7C525B45" w14:textId="07025097" w:rsidR="00D93852" w:rsidRPr="00E8636D" w:rsidRDefault="00D93852" w:rsidP="00D93852">
      <w:pPr>
        <w:widowControl w:val="0"/>
        <w:autoSpaceDE w:val="0"/>
        <w:autoSpaceDN w:val="0"/>
        <w:spacing w:after="0" w:line="276" w:lineRule="auto"/>
        <w:jc w:val="both"/>
        <w:rPr>
          <w:rFonts w:ascii="Verdana" w:hAnsi="Verdana" w:cs="Arial"/>
          <w:lang w:val="es-ES"/>
        </w:rPr>
      </w:pPr>
      <w:r w:rsidRPr="00E8636D">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E8454BB" w14:textId="17B7952D" w:rsidR="00D93852" w:rsidRPr="00E8636D" w:rsidRDefault="00D93852" w:rsidP="00D93852">
      <w:pPr>
        <w:widowControl w:val="0"/>
        <w:autoSpaceDE w:val="0"/>
        <w:autoSpaceDN w:val="0"/>
        <w:spacing w:after="0" w:line="276" w:lineRule="auto"/>
        <w:jc w:val="both"/>
        <w:rPr>
          <w:rFonts w:ascii="Verdana" w:hAnsi="Verdana" w:cs="Arial"/>
          <w:lang w:val="es-ES"/>
        </w:rPr>
      </w:pPr>
    </w:p>
    <w:p w14:paraId="35B39514" w14:textId="4EB7CE6C" w:rsidR="00D93852" w:rsidRPr="00E8636D" w:rsidRDefault="00D93852" w:rsidP="00D93852">
      <w:pPr>
        <w:spacing w:after="0" w:line="276" w:lineRule="auto"/>
        <w:rPr>
          <w:rFonts w:ascii="Verdana" w:hAnsi="Verdana" w:cs="Arial"/>
          <w:color w:val="000000" w:themeColor="text1"/>
          <w:lang w:val="es-ES" w:eastAsia="es-CO"/>
        </w:rPr>
      </w:pPr>
      <w:r w:rsidRPr="00E8636D">
        <w:rPr>
          <w:rFonts w:ascii="Verdana" w:eastAsia="Times New Roman" w:hAnsi="Verdana" w:cs="Arial"/>
          <w:color w:val="000000" w:themeColor="text1"/>
          <w:lang w:val="es-ES" w:eastAsia="es-CO"/>
        </w:rPr>
        <w:t>Atentamente,</w:t>
      </w:r>
      <w:r w:rsidRPr="00E8636D">
        <w:rPr>
          <w:rFonts w:ascii="Verdana" w:hAnsi="Verdana" w:cs="Arial"/>
          <w:color w:val="000000" w:themeColor="text1"/>
          <w:lang w:val="es-ES" w:eastAsia="es-CO"/>
        </w:rPr>
        <w:t xml:space="preserve"> </w:t>
      </w:r>
    </w:p>
    <w:p w14:paraId="456ADF94" w14:textId="78E2AB2C" w:rsidR="00D93852" w:rsidRPr="00E8636D" w:rsidRDefault="009B565D" w:rsidP="00D93852">
      <w:pPr>
        <w:spacing w:after="0" w:line="276" w:lineRule="auto"/>
        <w:jc w:val="center"/>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59264" behindDoc="0" locked="0" layoutInCell="1" allowOverlap="1" wp14:anchorId="196B4E41" wp14:editId="2D744E23">
            <wp:simplePos x="0" y="0"/>
            <wp:positionH relativeFrom="column">
              <wp:posOffset>1201402</wp:posOffset>
            </wp:positionH>
            <wp:positionV relativeFrom="paragraph">
              <wp:posOffset>72900</wp:posOffset>
            </wp:positionV>
            <wp:extent cx="3771900" cy="1400175"/>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93852" w:rsidRPr="00E8636D" w14:paraId="05C18B45" w14:textId="77777777" w:rsidTr="00974497">
        <w:trPr>
          <w:trHeight w:val="315"/>
        </w:trPr>
        <w:tc>
          <w:tcPr>
            <w:tcW w:w="893" w:type="dxa"/>
            <w:vAlign w:val="center"/>
            <w:hideMark/>
          </w:tcPr>
          <w:p w14:paraId="30101D43" w14:textId="77777777" w:rsidR="00D93852" w:rsidRPr="00E8636D" w:rsidRDefault="00D93852" w:rsidP="00974497">
            <w:pPr>
              <w:contextualSpacing/>
              <w:rPr>
                <w:rFonts w:ascii="Verdana" w:hAnsi="Verdana" w:cs="Arial"/>
                <w:sz w:val="16"/>
                <w:szCs w:val="16"/>
                <w:lang w:val="es-ES" w:eastAsia="es-ES"/>
              </w:rPr>
            </w:pPr>
            <w:r w:rsidRPr="00E8636D">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53F6DC6" w14:textId="77777777" w:rsidR="00D93852" w:rsidRPr="00E8636D" w:rsidRDefault="00D93852" w:rsidP="00974497">
            <w:pPr>
              <w:contextualSpacing/>
              <w:rPr>
                <w:rFonts w:ascii="Verdana" w:eastAsia="Arial" w:hAnsi="Verdana" w:cs="Arial"/>
                <w:color w:val="000000" w:themeColor="text1"/>
                <w:sz w:val="16"/>
                <w:szCs w:val="16"/>
                <w:lang w:val="es-ES"/>
              </w:rPr>
            </w:pPr>
            <w:r w:rsidRPr="00E8636D">
              <w:rPr>
                <w:rFonts w:ascii="Verdana" w:eastAsia="Arial" w:hAnsi="Verdana" w:cs="Arial"/>
                <w:color w:val="000000" w:themeColor="text1"/>
                <w:sz w:val="16"/>
                <w:szCs w:val="16"/>
                <w:lang w:val="es-ES"/>
              </w:rPr>
              <w:t>Anamaría Bonilla Prieto</w:t>
            </w:r>
          </w:p>
          <w:p w14:paraId="1D634E5A" w14:textId="77777777" w:rsidR="00D93852" w:rsidRPr="00E8636D" w:rsidRDefault="00D93852" w:rsidP="00974497">
            <w:pPr>
              <w:contextualSpacing/>
              <w:rPr>
                <w:rFonts w:ascii="Verdana" w:eastAsia="Arial" w:hAnsi="Verdana" w:cs="Arial"/>
                <w:sz w:val="16"/>
                <w:szCs w:val="16"/>
                <w:lang w:val="es-ES"/>
              </w:rPr>
            </w:pPr>
            <w:r w:rsidRPr="00E8636D">
              <w:rPr>
                <w:rStyle w:val="normaltextrun"/>
                <w:rFonts w:ascii="Verdana" w:eastAsia="Arial" w:hAnsi="Verdana" w:cs="Arial"/>
                <w:color w:val="000000" w:themeColor="text1"/>
                <w:sz w:val="16"/>
                <w:szCs w:val="16"/>
                <w:lang w:val="es-ES"/>
              </w:rPr>
              <w:t xml:space="preserve">Contratista de la Subdirección </w:t>
            </w:r>
            <w:r w:rsidRPr="00E8636D">
              <w:rPr>
                <w:rStyle w:val="normaltextrun"/>
                <w:rFonts w:ascii="Verdana" w:eastAsia="Arial" w:hAnsi="Verdana" w:cs="Arial"/>
                <w:sz w:val="16"/>
                <w:szCs w:val="16"/>
                <w:lang w:val="es-ES"/>
              </w:rPr>
              <w:t>de Gestión Contractual</w:t>
            </w:r>
          </w:p>
        </w:tc>
      </w:tr>
      <w:tr w:rsidR="00D93852" w:rsidRPr="00E8636D" w14:paraId="6E8AA1A8" w14:textId="77777777" w:rsidTr="00974497">
        <w:trPr>
          <w:trHeight w:val="330"/>
        </w:trPr>
        <w:tc>
          <w:tcPr>
            <w:tcW w:w="893" w:type="dxa"/>
            <w:vAlign w:val="center"/>
            <w:hideMark/>
          </w:tcPr>
          <w:p w14:paraId="6D088EDC" w14:textId="77777777" w:rsidR="00D93852" w:rsidRPr="00E8636D" w:rsidRDefault="00D93852" w:rsidP="00974497">
            <w:pPr>
              <w:contextualSpacing/>
              <w:rPr>
                <w:rFonts w:ascii="Verdana" w:hAnsi="Verdana" w:cs="Arial"/>
                <w:sz w:val="16"/>
                <w:szCs w:val="16"/>
                <w:lang w:val="es-ES" w:eastAsia="es-ES"/>
              </w:rPr>
            </w:pPr>
            <w:r w:rsidRPr="00E8636D">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C5D81FC" w14:textId="77777777" w:rsidR="00D93852" w:rsidRPr="00E8636D" w:rsidRDefault="00D93852" w:rsidP="00974497">
            <w:pPr>
              <w:spacing w:line="276" w:lineRule="auto"/>
              <w:contextualSpacing/>
              <w:textAlignment w:val="baseline"/>
              <w:rPr>
                <w:rFonts w:ascii="Verdana" w:eastAsia="Times New Roman" w:hAnsi="Verdana" w:cs="Arial"/>
                <w:sz w:val="16"/>
                <w:szCs w:val="16"/>
                <w:lang w:val="es-ES" w:eastAsia="es-ES_tradnl"/>
              </w:rPr>
            </w:pPr>
            <w:r w:rsidRPr="00E8636D">
              <w:rPr>
                <w:rFonts w:ascii="Verdana" w:eastAsia="Times New Roman" w:hAnsi="Verdana" w:cs="Arial"/>
                <w:sz w:val="16"/>
                <w:szCs w:val="16"/>
                <w:lang w:val="es-ES" w:eastAsia="es-ES_tradnl"/>
              </w:rPr>
              <w:t>Alejandro Sarmiento Cantillo</w:t>
            </w:r>
          </w:p>
          <w:p w14:paraId="2A508853" w14:textId="77777777" w:rsidR="00D93852" w:rsidRPr="00E8636D" w:rsidRDefault="00D93852" w:rsidP="00974497">
            <w:pPr>
              <w:pStyle w:val="paragraph"/>
              <w:spacing w:before="0" w:beforeAutospacing="0" w:after="0" w:afterAutospacing="0"/>
              <w:contextualSpacing/>
              <w:textAlignment w:val="baseline"/>
              <w:rPr>
                <w:rFonts w:ascii="Verdana" w:hAnsi="Verdana" w:cs="Segoe UI"/>
                <w:sz w:val="16"/>
                <w:szCs w:val="16"/>
                <w:lang w:val="es-ES"/>
              </w:rPr>
            </w:pPr>
            <w:r w:rsidRPr="00E8636D">
              <w:rPr>
                <w:rFonts w:ascii="Verdana" w:hAnsi="Verdana" w:cs="Arial"/>
                <w:sz w:val="16"/>
                <w:szCs w:val="16"/>
                <w:lang w:val="es-ES"/>
              </w:rPr>
              <w:t xml:space="preserve">Gestor T1 – 15 </w:t>
            </w:r>
            <w:r w:rsidRPr="00E8636D">
              <w:rPr>
                <w:rStyle w:val="normaltextrun"/>
                <w:rFonts w:ascii="Verdana" w:hAnsi="Verdana" w:cs="Arial"/>
                <w:sz w:val="16"/>
                <w:szCs w:val="16"/>
                <w:lang w:val="es-ES"/>
              </w:rPr>
              <w:t>de la Subdirección de Gestión Contractual</w:t>
            </w:r>
            <w:r w:rsidRPr="00E8636D">
              <w:rPr>
                <w:rStyle w:val="eop"/>
                <w:rFonts w:ascii="Verdana" w:hAnsi="Verdana" w:cs="Arial"/>
                <w:sz w:val="16"/>
                <w:szCs w:val="16"/>
                <w:lang w:val="es-ES"/>
              </w:rPr>
              <w:t> </w:t>
            </w:r>
          </w:p>
        </w:tc>
      </w:tr>
      <w:tr w:rsidR="00D93852" w:rsidRPr="00E8636D" w14:paraId="16F56AA0" w14:textId="77777777" w:rsidTr="00974497">
        <w:trPr>
          <w:trHeight w:val="300"/>
        </w:trPr>
        <w:tc>
          <w:tcPr>
            <w:tcW w:w="893" w:type="dxa"/>
            <w:vAlign w:val="center"/>
          </w:tcPr>
          <w:p w14:paraId="57688B23" w14:textId="77777777" w:rsidR="00D93852" w:rsidRPr="00E8636D" w:rsidRDefault="00D93852" w:rsidP="00974497">
            <w:pPr>
              <w:contextualSpacing/>
              <w:rPr>
                <w:rFonts w:ascii="Verdana" w:hAnsi="Verdana" w:cs="Arial"/>
                <w:sz w:val="16"/>
                <w:szCs w:val="16"/>
                <w:lang w:val="es-ES" w:eastAsia="es-ES"/>
              </w:rPr>
            </w:pPr>
            <w:r w:rsidRPr="00E8636D">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0AEA723" w14:textId="77777777" w:rsidR="00D93852" w:rsidRPr="00E8636D" w:rsidRDefault="00D93852" w:rsidP="00974497">
            <w:pPr>
              <w:contextualSpacing/>
              <w:rPr>
                <w:rFonts w:ascii="Verdana" w:eastAsia="Calibri" w:hAnsi="Verdana" w:cs="Arial"/>
                <w:sz w:val="16"/>
                <w:szCs w:val="16"/>
                <w:lang w:val="es-ES" w:eastAsia="es-ES"/>
              </w:rPr>
            </w:pPr>
            <w:r w:rsidRPr="00E8636D">
              <w:rPr>
                <w:rFonts w:ascii="Verdana" w:eastAsia="Calibri" w:hAnsi="Verdana" w:cs="Arial"/>
                <w:sz w:val="16"/>
                <w:szCs w:val="16"/>
                <w:lang w:val="es-ES" w:eastAsia="es-ES"/>
              </w:rPr>
              <w:t>Carolina Quintero Gacharná</w:t>
            </w:r>
          </w:p>
          <w:p w14:paraId="274ED95C" w14:textId="77777777" w:rsidR="00D93852" w:rsidRPr="00E8636D" w:rsidRDefault="00D93852" w:rsidP="00974497">
            <w:pPr>
              <w:contextualSpacing/>
              <w:rPr>
                <w:rFonts w:ascii="Verdana" w:eastAsia="Calibri" w:hAnsi="Verdana" w:cs="Arial"/>
                <w:sz w:val="16"/>
                <w:szCs w:val="16"/>
                <w:lang w:val="es-ES" w:eastAsia="es-ES"/>
              </w:rPr>
            </w:pPr>
            <w:r w:rsidRPr="00E8636D">
              <w:rPr>
                <w:rFonts w:ascii="Verdana" w:eastAsia="Calibri" w:hAnsi="Verdana" w:cs="Arial"/>
                <w:sz w:val="16"/>
                <w:szCs w:val="16"/>
                <w:lang w:val="es-ES" w:eastAsia="es-ES"/>
              </w:rPr>
              <w:t>Subdirectora de Gestión Contractual ANCP – CCE</w:t>
            </w:r>
          </w:p>
        </w:tc>
      </w:tr>
      <w:bookmarkEnd w:id="0"/>
    </w:tbl>
    <w:p w14:paraId="0F293BF4" w14:textId="0C3800BB" w:rsidR="00127233" w:rsidRPr="00E8636D" w:rsidRDefault="00127233" w:rsidP="003378D8">
      <w:pPr>
        <w:rPr>
          <w:lang w:val="es-ES"/>
        </w:rPr>
      </w:pPr>
    </w:p>
    <w:sectPr w:rsidR="00127233" w:rsidRPr="00E8636D"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56048D" w14:textId="77777777" w:rsidR="007A3A01" w:rsidRDefault="007A3A01" w:rsidP="004A1847">
      <w:pPr>
        <w:spacing w:after="0" w:line="240" w:lineRule="auto"/>
      </w:pPr>
      <w:r>
        <w:separator/>
      </w:r>
    </w:p>
  </w:endnote>
  <w:endnote w:type="continuationSeparator" w:id="0">
    <w:p w14:paraId="1396D0F4" w14:textId="77777777" w:rsidR="007A3A01" w:rsidRDefault="007A3A01" w:rsidP="004A1847">
      <w:pPr>
        <w:spacing w:after="0" w:line="240" w:lineRule="auto"/>
      </w:pPr>
      <w:r>
        <w:continuationSeparator/>
      </w:r>
    </w:p>
  </w:endnote>
  <w:endnote w:type="continuationNotice" w:id="1">
    <w:p w14:paraId="37193CC6" w14:textId="77777777" w:rsidR="007A3A01" w:rsidRDefault="007A3A0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ACFF"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MT">
    <w:altName w:val="Arial"/>
    <w:panose1 w:val="020B0604020202020204"/>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8931D7" w14:textId="77777777" w:rsidR="007A3A01" w:rsidRDefault="007A3A01" w:rsidP="004A1847">
      <w:pPr>
        <w:spacing w:after="0" w:line="240" w:lineRule="auto"/>
      </w:pPr>
      <w:r>
        <w:separator/>
      </w:r>
    </w:p>
  </w:footnote>
  <w:footnote w:type="continuationSeparator" w:id="0">
    <w:p w14:paraId="403028A2" w14:textId="77777777" w:rsidR="007A3A01" w:rsidRDefault="007A3A01" w:rsidP="004A1847">
      <w:pPr>
        <w:spacing w:after="0" w:line="240" w:lineRule="auto"/>
      </w:pPr>
      <w:r>
        <w:continuationSeparator/>
      </w:r>
    </w:p>
  </w:footnote>
  <w:footnote w:type="continuationNotice" w:id="1">
    <w:p w14:paraId="46EC1244" w14:textId="77777777" w:rsidR="007A3A01" w:rsidRDefault="007A3A01">
      <w:pPr>
        <w:spacing w:after="0" w:line="240" w:lineRule="auto"/>
      </w:pPr>
    </w:p>
  </w:footnote>
  <w:footnote w:id="2">
    <w:p w14:paraId="69D131C9" w14:textId="77777777" w:rsidR="00D93852" w:rsidRPr="00D50FED" w:rsidRDefault="00D93852" w:rsidP="00D93852">
      <w:pPr>
        <w:pStyle w:val="FootnoteText"/>
        <w:snapToGrid w:val="0"/>
        <w:ind w:firstLine="709"/>
        <w:contextualSpacing/>
        <w:jc w:val="both"/>
        <w:rPr>
          <w:rFonts w:ascii="Verdana" w:hAnsi="Verdana" w:cs="Arial"/>
          <w:sz w:val="16"/>
          <w:szCs w:val="16"/>
        </w:rPr>
      </w:pPr>
      <w:r w:rsidRPr="00D50FED">
        <w:rPr>
          <w:rStyle w:val="FootnoteReference"/>
          <w:rFonts w:ascii="Verdana" w:hAnsi="Verdana" w:cs="Arial"/>
          <w:sz w:val="16"/>
          <w:szCs w:val="16"/>
        </w:rPr>
        <w:footnoteRef/>
      </w:r>
      <w:r w:rsidRPr="00D50FED">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96FDF90" w14:textId="77777777" w:rsidR="00D93852" w:rsidRPr="00D50FED" w:rsidRDefault="00D93852" w:rsidP="00D93852">
      <w:pPr>
        <w:pStyle w:val="FootnoteText"/>
        <w:snapToGrid w:val="0"/>
        <w:ind w:firstLine="709"/>
        <w:contextualSpacing/>
        <w:jc w:val="both"/>
        <w:rPr>
          <w:rFonts w:ascii="Verdana" w:hAnsi="Verdana" w:cs="Arial"/>
          <w:sz w:val="16"/>
          <w:szCs w:val="16"/>
        </w:rPr>
      </w:pPr>
      <w:r w:rsidRPr="00D50FED">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73E04E3B" w14:textId="77777777" w:rsidR="00D93852" w:rsidRPr="00D50FED" w:rsidRDefault="00D93852" w:rsidP="00D93852">
      <w:pPr>
        <w:pStyle w:val="FootnoteText"/>
        <w:snapToGrid w:val="0"/>
        <w:ind w:firstLine="709"/>
        <w:contextualSpacing/>
        <w:jc w:val="both"/>
        <w:rPr>
          <w:rFonts w:ascii="Verdana" w:hAnsi="Verdana" w:cs="Arial"/>
          <w:sz w:val="16"/>
          <w:szCs w:val="16"/>
        </w:rPr>
      </w:pPr>
      <w:r w:rsidRPr="00D50FED">
        <w:rPr>
          <w:rStyle w:val="FootnoteReference"/>
          <w:rFonts w:ascii="Verdana" w:hAnsi="Verdana" w:cs="Arial"/>
          <w:sz w:val="16"/>
          <w:szCs w:val="16"/>
        </w:rPr>
        <w:footnoteRef/>
      </w:r>
      <w:r w:rsidRPr="00D50FED">
        <w:rPr>
          <w:rFonts w:ascii="Verdana" w:hAnsi="Verdana" w:cs="Arial"/>
          <w:sz w:val="16"/>
          <w:szCs w:val="16"/>
        </w:rPr>
        <w:t xml:space="preserve"> </w:t>
      </w:r>
      <w:r w:rsidRPr="00D50FED">
        <w:rPr>
          <w:rFonts w:ascii="Verdana" w:hAnsi="Verdana" w:cs="Arial"/>
          <w:sz w:val="16"/>
          <w:szCs w:val="16"/>
        </w:rPr>
        <w:t>Gaceta del Congreso de la República No. 71 del 2005.</w:t>
      </w:r>
    </w:p>
  </w:footnote>
  <w:footnote w:id="4">
    <w:p w14:paraId="7F26331A" w14:textId="77777777" w:rsidR="00D93852" w:rsidRPr="00D50FED" w:rsidRDefault="00D93852" w:rsidP="00D93852">
      <w:pPr>
        <w:pStyle w:val="FootnoteText"/>
        <w:snapToGrid w:val="0"/>
        <w:ind w:firstLine="709"/>
        <w:contextualSpacing/>
        <w:jc w:val="both"/>
        <w:rPr>
          <w:rFonts w:ascii="Verdana" w:hAnsi="Verdana" w:cs="Arial"/>
          <w:sz w:val="16"/>
          <w:szCs w:val="16"/>
          <w:lang w:val="pt-BR"/>
        </w:rPr>
      </w:pPr>
      <w:r w:rsidRPr="00D50FED">
        <w:rPr>
          <w:rStyle w:val="FootnoteReference"/>
          <w:rFonts w:ascii="Verdana" w:hAnsi="Verdana" w:cs="Arial"/>
          <w:sz w:val="16"/>
          <w:szCs w:val="16"/>
        </w:rPr>
        <w:footnoteRef/>
      </w:r>
      <w:r w:rsidRPr="00D50FED">
        <w:rPr>
          <w:rFonts w:ascii="Verdana" w:hAnsi="Verdana" w:cs="Arial"/>
          <w:sz w:val="16"/>
          <w:szCs w:val="16"/>
          <w:lang w:val="pt-BR"/>
        </w:rPr>
        <w:t xml:space="preserve"> Corte Constitucional, Sentencia C- 1153 de 2005, M.P. Marco Gerardo Monroy Cabra.</w:t>
      </w:r>
    </w:p>
  </w:footnote>
  <w:footnote w:id="5">
    <w:p w14:paraId="77836E71" w14:textId="77777777" w:rsidR="00D93852" w:rsidRPr="00D50FED" w:rsidRDefault="00D93852" w:rsidP="00D93852">
      <w:pPr>
        <w:pStyle w:val="FootnoteText"/>
        <w:snapToGrid w:val="0"/>
        <w:ind w:firstLine="709"/>
        <w:contextualSpacing/>
        <w:jc w:val="both"/>
        <w:rPr>
          <w:rFonts w:ascii="Verdana" w:hAnsi="Verdana" w:cs="Arial"/>
          <w:sz w:val="16"/>
          <w:szCs w:val="16"/>
          <w:lang w:val="pt-BR"/>
        </w:rPr>
      </w:pPr>
      <w:r w:rsidRPr="00D50FED">
        <w:rPr>
          <w:rStyle w:val="FootnoteReference"/>
          <w:rFonts w:ascii="Verdana" w:hAnsi="Verdana" w:cs="Arial"/>
          <w:sz w:val="16"/>
          <w:szCs w:val="16"/>
        </w:rPr>
        <w:footnoteRef/>
      </w:r>
      <w:r w:rsidRPr="00D50FED">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0830EAF4" w14:textId="77777777" w:rsidR="00D93852" w:rsidRPr="00D50FED" w:rsidRDefault="00D93852" w:rsidP="00D93852">
      <w:pPr>
        <w:pStyle w:val="FootnoteText"/>
        <w:snapToGrid w:val="0"/>
        <w:ind w:firstLine="709"/>
        <w:contextualSpacing/>
        <w:jc w:val="both"/>
        <w:rPr>
          <w:rFonts w:ascii="Verdana" w:hAnsi="Verdana" w:cs="Arial"/>
          <w:sz w:val="16"/>
          <w:szCs w:val="16"/>
          <w:lang w:val="es-CO"/>
        </w:rPr>
      </w:pPr>
      <w:r w:rsidRPr="00D50FED">
        <w:rPr>
          <w:rStyle w:val="FootnoteReference"/>
          <w:rFonts w:ascii="Verdana" w:hAnsi="Verdana" w:cs="Arial"/>
          <w:sz w:val="16"/>
          <w:szCs w:val="16"/>
        </w:rPr>
        <w:footnoteRef/>
      </w:r>
      <w:r w:rsidRPr="00D50FED">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57B23688" w14:textId="77777777" w:rsidR="00D93852" w:rsidRPr="00D50FED" w:rsidRDefault="00D93852" w:rsidP="00D93852">
      <w:pPr>
        <w:pStyle w:val="FootnoteText"/>
        <w:snapToGrid w:val="0"/>
        <w:ind w:firstLine="709"/>
        <w:contextualSpacing/>
        <w:jc w:val="both"/>
        <w:rPr>
          <w:rFonts w:ascii="Verdana" w:hAnsi="Verdana" w:cs="Arial"/>
          <w:sz w:val="16"/>
          <w:szCs w:val="16"/>
        </w:rPr>
      </w:pPr>
      <w:r w:rsidRPr="00D50FED">
        <w:rPr>
          <w:rStyle w:val="FootnoteReference"/>
          <w:rFonts w:ascii="Verdana" w:hAnsi="Verdana" w:cs="Arial"/>
          <w:sz w:val="16"/>
          <w:szCs w:val="16"/>
        </w:rPr>
        <w:footnoteRef/>
      </w:r>
      <w:r w:rsidRPr="00D50FED">
        <w:rPr>
          <w:rFonts w:ascii="Verdana" w:hAnsi="Verdana" w:cs="Arial"/>
          <w:sz w:val="16"/>
          <w:szCs w:val="16"/>
        </w:rPr>
        <w:t xml:space="preserve"> Consejo de Estado, Sala de Consulta y Servicio Civil de fecha 24 de julio de 2013, Rad. 2166, C. P. Álvaro Namén Vargas.  </w:t>
      </w:r>
    </w:p>
  </w:footnote>
  <w:footnote w:id="8">
    <w:p w14:paraId="6AE2D978" w14:textId="77777777" w:rsidR="00D93852" w:rsidRPr="00D50FED" w:rsidRDefault="00D93852" w:rsidP="00D93852">
      <w:pPr>
        <w:snapToGrid w:val="0"/>
        <w:spacing w:after="0" w:line="240" w:lineRule="auto"/>
        <w:ind w:firstLine="709"/>
        <w:contextualSpacing/>
        <w:jc w:val="both"/>
        <w:rPr>
          <w:rFonts w:ascii="Verdana" w:eastAsia="Times New Roman" w:hAnsi="Verdana" w:cs="Arial"/>
          <w:sz w:val="16"/>
          <w:szCs w:val="16"/>
        </w:rPr>
      </w:pPr>
      <w:r w:rsidRPr="00D50FED">
        <w:rPr>
          <w:rStyle w:val="FootnoteReference"/>
          <w:rFonts w:ascii="Verdana" w:hAnsi="Verdana" w:cs="Arial"/>
          <w:sz w:val="16"/>
          <w:szCs w:val="16"/>
        </w:rPr>
        <w:footnoteRef/>
      </w:r>
      <w:r w:rsidRPr="00D50FED">
        <w:rPr>
          <w:rFonts w:ascii="Verdana" w:hAnsi="Verdana" w:cs="Arial"/>
          <w:sz w:val="16"/>
          <w:szCs w:val="16"/>
        </w:rPr>
        <w:t xml:space="preserve"> </w:t>
      </w:r>
      <w:r w:rsidRPr="00D50FED">
        <w:rPr>
          <w:rFonts w:ascii="Verdana" w:eastAsia="Calibri" w:hAnsi="Verdana" w:cs="Arial"/>
          <w:color w:val="000000"/>
          <w:sz w:val="16"/>
          <w:szCs w:val="16"/>
        </w:rPr>
        <w:t>“</w:t>
      </w:r>
      <w:r w:rsidRPr="00D50FED">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1BBDB72C" w14:textId="77777777" w:rsidR="00D93852" w:rsidRPr="00D50FED" w:rsidRDefault="00D93852" w:rsidP="00D93852">
      <w:pPr>
        <w:snapToGrid w:val="0"/>
        <w:spacing w:after="0" w:line="240" w:lineRule="auto"/>
        <w:ind w:firstLine="709"/>
        <w:contextualSpacing/>
        <w:jc w:val="both"/>
        <w:rPr>
          <w:rFonts w:ascii="Verdana" w:eastAsia="Times New Roman" w:hAnsi="Verdana" w:cs="Arial"/>
          <w:sz w:val="16"/>
          <w:szCs w:val="16"/>
        </w:rPr>
      </w:pPr>
      <w:r w:rsidRPr="00D50FED">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D50FED">
        <w:rPr>
          <w:rFonts w:ascii="Verdana" w:eastAsia="Calibri" w:hAnsi="Verdana" w:cs="Arial"/>
          <w:color w:val="000000"/>
          <w:sz w:val="16"/>
          <w:szCs w:val="16"/>
        </w:rPr>
        <w:t>”</w:t>
      </w:r>
      <w:r w:rsidRPr="00D50FED">
        <w:rPr>
          <w:rFonts w:ascii="Verdana" w:eastAsia="Times New Roman" w:hAnsi="Verdana" w:cs="Arial"/>
          <w:sz w:val="16"/>
          <w:szCs w:val="16"/>
        </w:rPr>
        <w:t>.</w:t>
      </w:r>
    </w:p>
  </w:footnote>
  <w:footnote w:id="9">
    <w:p w14:paraId="5828E016" w14:textId="77777777" w:rsidR="00D93852" w:rsidRPr="00D50FED" w:rsidRDefault="00D93852" w:rsidP="00D93852">
      <w:pPr>
        <w:pStyle w:val="NormalWeb"/>
        <w:snapToGrid w:val="0"/>
        <w:spacing w:before="0" w:beforeAutospacing="0" w:after="0" w:afterAutospacing="0"/>
        <w:ind w:firstLine="709"/>
        <w:contextualSpacing/>
        <w:jc w:val="both"/>
        <w:rPr>
          <w:rFonts w:ascii="Verdana" w:hAnsi="Verdana" w:cs="Arial"/>
          <w:sz w:val="16"/>
          <w:szCs w:val="16"/>
          <w:lang w:val="es-MX"/>
        </w:rPr>
      </w:pPr>
      <w:r w:rsidRPr="00D50FED">
        <w:rPr>
          <w:rStyle w:val="FootnoteReference"/>
          <w:rFonts w:ascii="Verdana" w:hAnsi="Verdana" w:cs="Arial"/>
          <w:sz w:val="16"/>
          <w:szCs w:val="16"/>
        </w:rPr>
        <w:footnoteRef/>
      </w:r>
      <w:r w:rsidRPr="00D50FED">
        <w:rPr>
          <w:rFonts w:ascii="Verdana" w:hAnsi="Verdana" w:cs="Arial"/>
          <w:sz w:val="16"/>
          <w:szCs w:val="16"/>
        </w:rPr>
        <w:t xml:space="preserve"> </w:t>
      </w:r>
      <w:r w:rsidRPr="00D50FED">
        <w:rPr>
          <w:rFonts w:ascii="Verdana" w:eastAsia="Calibri" w:hAnsi="Verdana" w:cs="Arial"/>
          <w:color w:val="000000"/>
          <w:sz w:val="16"/>
          <w:szCs w:val="16"/>
        </w:rPr>
        <w:t>“</w:t>
      </w:r>
      <w:r w:rsidRPr="00D50FED">
        <w:rPr>
          <w:rFonts w:ascii="Verdana" w:hAnsi="Verdana" w:cs="Arial"/>
          <w:sz w:val="16"/>
          <w:szCs w:val="16"/>
          <w:lang w:val="es-MX"/>
        </w:rPr>
        <w:t>Artículo 38. Prohibiciones para los servidores públicos. A los empleados del Estado les está prohibido: […]</w:t>
      </w:r>
    </w:p>
    <w:p w14:paraId="33298250" w14:textId="77777777" w:rsidR="00D93852" w:rsidRPr="00D50FED" w:rsidRDefault="00D93852" w:rsidP="00D93852">
      <w:pPr>
        <w:pStyle w:val="NormalWeb"/>
        <w:snapToGrid w:val="0"/>
        <w:spacing w:before="0" w:beforeAutospacing="0" w:after="0" w:afterAutospacing="0"/>
        <w:ind w:firstLine="709"/>
        <w:contextualSpacing/>
        <w:jc w:val="both"/>
        <w:rPr>
          <w:rFonts w:ascii="Verdana" w:hAnsi="Verdana" w:cs="Arial"/>
          <w:sz w:val="16"/>
          <w:szCs w:val="16"/>
          <w:lang w:val="es-MX"/>
        </w:rPr>
      </w:pPr>
      <w:r w:rsidRPr="00D50FED">
        <w:rPr>
          <w:rStyle w:val="baj"/>
          <w:rFonts w:ascii="Verdana" w:hAnsi="Verdana" w:cs="Arial"/>
          <w:sz w:val="16"/>
          <w:szCs w:val="16"/>
          <w:lang w:val="es-MX"/>
        </w:rPr>
        <w:t>Parágrafo.</w:t>
      </w:r>
      <w:r w:rsidRPr="00D50FED">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D50FED">
        <w:rPr>
          <w:rFonts w:ascii="Verdana" w:eastAsia="Calibri" w:hAnsi="Verdana" w:cs="Arial"/>
          <w:color w:val="000000"/>
          <w:sz w:val="16"/>
          <w:szCs w:val="16"/>
        </w:rPr>
        <w:t>”</w:t>
      </w:r>
      <w:r w:rsidRPr="00D50FED">
        <w:rPr>
          <w:rFonts w:ascii="Verdana" w:hAnsi="Verdana" w:cs="Arial"/>
          <w:sz w:val="16"/>
          <w:szCs w:val="16"/>
          <w:lang w:val="es-MX"/>
        </w:rPr>
        <w:t>.</w:t>
      </w:r>
    </w:p>
  </w:footnote>
  <w:footnote w:id="10">
    <w:p w14:paraId="5A78F421" w14:textId="77777777" w:rsidR="00D93852" w:rsidRPr="00D50FED" w:rsidRDefault="00D93852" w:rsidP="00D93852">
      <w:pPr>
        <w:snapToGrid w:val="0"/>
        <w:spacing w:after="0" w:line="240" w:lineRule="auto"/>
        <w:ind w:left="100" w:right="244" w:firstLine="709"/>
        <w:contextualSpacing/>
        <w:jc w:val="both"/>
        <w:rPr>
          <w:rFonts w:ascii="Verdana" w:hAnsi="Verdana" w:cs="Arial"/>
          <w:sz w:val="16"/>
          <w:szCs w:val="16"/>
          <w:lang w:val="es-ES"/>
        </w:rPr>
      </w:pPr>
      <w:r w:rsidRPr="00D50FED">
        <w:rPr>
          <w:rStyle w:val="FootnoteReference"/>
          <w:rFonts w:ascii="Verdana" w:hAnsi="Verdana" w:cs="Arial"/>
          <w:sz w:val="16"/>
          <w:szCs w:val="16"/>
        </w:rPr>
        <w:footnoteRef/>
      </w:r>
      <w:r w:rsidRPr="00D50FED">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6D3A7140" w14:textId="77777777" w:rsidR="00D93852" w:rsidRPr="00D50FED" w:rsidRDefault="00D93852" w:rsidP="00D93852">
      <w:pPr>
        <w:pStyle w:val="FootnoteText"/>
        <w:snapToGrid w:val="0"/>
        <w:ind w:right="51" w:firstLine="709"/>
        <w:contextualSpacing/>
        <w:jc w:val="both"/>
        <w:rPr>
          <w:rFonts w:ascii="Verdana" w:hAnsi="Verdana" w:cs="Arial"/>
          <w:sz w:val="16"/>
          <w:szCs w:val="16"/>
        </w:rPr>
      </w:pPr>
      <w:r w:rsidRPr="00D50FED">
        <w:rPr>
          <w:rStyle w:val="FootnoteReference"/>
          <w:rFonts w:ascii="Verdana" w:hAnsi="Verdana" w:cs="Arial"/>
          <w:sz w:val="16"/>
          <w:szCs w:val="16"/>
        </w:rPr>
        <w:footnoteRef/>
      </w:r>
      <w:r w:rsidRPr="00D50FED">
        <w:rPr>
          <w:rFonts w:ascii="Verdana" w:hAnsi="Verdana" w:cs="Arial"/>
          <w:sz w:val="16"/>
          <w:szCs w:val="16"/>
        </w:rPr>
        <w:t xml:space="preserve"> “</w:t>
      </w:r>
      <w:r w:rsidRPr="00D50FED">
        <w:rPr>
          <w:rFonts w:ascii="Verdana" w:hAnsi="Verdana" w:cs="Arial"/>
          <w:sz w:val="16"/>
          <w:szCs w:val="16"/>
          <w:lang w:val="es-ES"/>
        </w:rPr>
        <w:t xml:space="preserve">[26] </w:t>
      </w:r>
      <w:r w:rsidRPr="00D50FED">
        <w:rPr>
          <w:rFonts w:ascii="Verdana" w:hAnsi="Verdana" w:cs="Arial"/>
          <w:sz w:val="16"/>
          <w:szCs w:val="16"/>
        </w:rPr>
        <w:t>Al respecto ver el concepto 1712 de 2 de febrero de 2006. Consejo de Estado Sala de Consulta y Servicio Civil”.</w:t>
      </w:r>
    </w:p>
  </w:footnote>
  <w:footnote w:id="12">
    <w:p w14:paraId="7617873A" w14:textId="77777777" w:rsidR="00D93852" w:rsidRPr="00D50FED" w:rsidRDefault="00D93852" w:rsidP="00D93852">
      <w:pPr>
        <w:pStyle w:val="FootnoteText"/>
        <w:snapToGrid w:val="0"/>
        <w:ind w:firstLine="709"/>
        <w:contextualSpacing/>
        <w:jc w:val="both"/>
        <w:rPr>
          <w:rFonts w:ascii="Verdana" w:hAnsi="Verdana" w:cs="Arial"/>
          <w:sz w:val="16"/>
          <w:szCs w:val="16"/>
        </w:rPr>
      </w:pPr>
      <w:r w:rsidRPr="00D50FED">
        <w:rPr>
          <w:rStyle w:val="FootnoteReference"/>
          <w:rFonts w:ascii="Verdana" w:hAnsi="Verdana" w:cs="Arial"/>
          <w:sz w:val="16"/>
          <w:szCs w:val="16"/>
        </w:rPr>
        <w:footnoteRef/>
      </w:r>
      <w:r w:rsidRPr="00D50FED">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3">
    <w:p w14:paraId="7FABBA52" w14:textId="77777777" w:rsidR="00D93852" w:rsidRPr="00D50FED" w:rsidRDefault="00D93852" w:rsidP="00D93852">
      <w:pPr>
        <w:pStyle w:val="FootnoteText"/>
        <w:snapToGrid w:val="0"/>
        <w:ind w:firstLine="709"/>
        <w:contextualSpacing/>
        <w:jc w:val="both"/>
        <w:rPr>
          <w:rFonts w:ascii="Verdana" w:hAnsi="Verdana" w:cs="Arial"/>
          <w:sz w:val="16"/>
          <w:szCs w:val="16"/>
          <w:lang w:val="es-ES"/>
        </w:rPr>
      </w:pPr>
      <w:r w:rsidRPr="00D50FED">
        <w:rPr>
          <w:rStyle w:val="FootnoteReference"/>
          <w:rFonts w:ascii="Verdana" w:hAnsi="Verdana" w:cs="Arial"/>
          <w:sz w:val="16"/>
          <w:szCs w:val="16"/>
        </w:rPr>
        <w:footnoteRef/>
      </w:r>
      <w:r w:rsidRPr="00D50FED">
        <w:rPr>
          <w:rFonts w:ascii="Verdana" w:hAnsi="Verdana" w:cs="Arial"/>
          <w:sz w:val="16"/>
          <w:szCs w:val="16"/>
        </w:rPr>
        <w:t xml:space="preserve"> </w:t>
      </w:r>
      <w:r w:rsidRPr="00D50FED">
        <w:rPr>
          <w:rFonts w:ascii="Verdana" w:hAnsi="Verdana" w:cs="Arial"/>
          <w:sz w:val="16"/>
          <w:szCs w:val="16"/>
          <w:lang w:val="es-ES"/>
        </w:rPr>
        <w:t xml:space="preserve">Artículo 2. </w:t>
      </w:r>
    </w:p>
  </w:footnote>
  <w:footnote w:id="14">
    <w:p w14:paraId="7A17DE89" w14:textId="77777777" w:rsidR="00D93852" w:rsidRPr="00D50FED" w:rsidRDefault="00D93852" w:rsidP="00D93852">
      <w:pPr>
        <w:pStyle w:val="FootnoteText"/>
        <w:snapToGrid w:val="0"/>
        <w:ind w:firstLine="709"/>
        <w:contextualSpacing/>
        <w:jc w:val="both"/>
        <w:rPr>
          <w:rFonts w:ascii="Verdana" w:hAnsi="Verdana" w:cs="Arial"/>
          <w:sz w:val="16"/>
          <w:szCs w:val="16"/>
          <w:lang w:val="es-ES"/>
        </w:rPr>
      </w:pPr>
      <w:r w:rsidRPr="00D50FED">
        <w:rPr>
          <w:rStyle w:val="FootnoteReference"/>
          <w:rFonts w:ascii="Verdana" w:hAnsi="Verdana" w:cs="Arial"/>
          <w:sz w:val="16"/>
          <w:szCs w:val="16"/>
        </w:rPr>
        <w:footnoteRef/>
      </w:r>
      <w:r w:rsidRPr="00D50FED">
        <w:rPr>
          <w:rFonts w:ascii="Verdana" w:hAnsi="Verdana" w:cs="Arial"/>
          <w:sz w:val="16"/>
          <w:szCs w:val="16"/>
        </w:rPr>
        <w:t xml:space="preserve"> </w:t>
      </w:r>
      <w:r w:rsidRPr="00D50FED">
        <w:rPr>
          <w:rFonts w:ascii="Verdana" w:hAnsi="Verdana" w:cs="Arial"/>
          <w:i/>
          <w:sz w:val="16"/>
          <w:szCs w:val="16"/>
          <w:lang w:val="es-ES"/>
        </w:rPr>
        <w:t>Ídem</w:t>
      </w:r>
      <w:r w:rsidRPr="00D50FED">
        <w:rPr>
          <w:rFonts w:ascii="Verdana" w:hAnsi="Verdana" w:cs="Arial"/>
          <w:sz w:val="16"/>
          <w:szCs w:val="16"/>
          <w:lang w:val="es-ES"/>
        </w:rPr>
        <w:t>.</w:t>
      </w:r>
    </w:p>
  </w:footnote>
  <w:footnote w:id="15">
    <w:p w14:paraId="00C12CA1" w14:textId="77777777" w:rsidR="00D93852" w:rsidRPr="00D50FED" w:rsidRDefault="00D93852" w:rsidP="00D93852">
      <w:pPr>
        <w:pStyle w:val="FootnoteText"/>
        <w:snapToGrid w:val="0"/>
        <w:ind w:firstLine="709"/>
        <w:contextualSpacing/>
        <w:jc w:val="both"/>
        <w:rPr>
          <w:rFonts w:ascii="Verdana" w:hAnsi="Verdana" w:cs="Arial"/>
          <w:sz w:val="16"/>
          <w:szCs w:val="16"/>
        </w:rPr>
      </w:pPr>
      <w:r w:rsidRPr="00D50FED">
        <w:rPr>
          <w:rStyle w:val="FootnoteReference"/>
          <w:rFonts w:ascii="Verdana" w:hAnsi="Verdana" w:cs="Arial"/>
          <w:sz w:val="16"/>
          <w:szCs w:val="16"/>
        </w:rPr>
        <w:footnoteRef/>
      </w:r>
      <w:r w:rsidRPr="00D50FED">
        <w:rPr>
          <w:rFonts w:ascii="Verdana" w:hAnsi="Verdana" w:cs="Arial"/>
          <w:sz w:val="16"/>
          <w:szCs w:val="16"/>
        </w:rPr>
        <w:t xml:space="preserve"> Consejo de Estado. Sala de Consulta y Servicio Civil. Concepto del 08 de mayo de 2018. Exp. 2.382. C.P. Álvaro Namén Vargas.</w:t>
      </w:r>
    </w:p>
  </w:footnote>
  <w:footnote w:id="16">
    <w:p w14:paraId="0DD9BD89" w14:textId="77777777" w:rsidR="00D93852" w:rsidRPr="00D50FED" w:rsidRDefault="00D93852" w:rsidP="00D93852">
      <w:pPr>
        <w:pStyle w:val="FootnoteText"/>
        <w:snapToGrid w:val="0"/>
        <w:ind w:firstLine="708"/>
        <w:contextualSpacing/>
        <w:jc w:val="both"/>
        <w:rPr>
          <w:rFonts w:ascii="Verdana" w:hAnsi="Verdana"/>
          <w:sz w:val="16"/>
          <w:szCs w:val="16"/>
          <w:lang w:val="es-ES"/>
        </w:rPr>
      </w:pPr>
      <w:r w:rsidRPr="00D50FED">
        <w:rPr>
          <w:rStyle w:val="FootnoteReference"/>
          <w:rFonts w:ascii="Verdana" w:hAnsi="Verdana"/>
          <w:sz w:val="16"/>
          <w:szCs w:val="16"/>
        </w:rPr>
        <w:footnoteRef/>
      </w:r>
      <w:r w:rsidRPr="00D50FED">
        <w:rPr>
          <w:rFonts w:ascii="Verdana" w:hAnsi="Verdana"/>
          <w:sz w:val="16"/>
          <w:szCs w:val="16"/>
        </w:rPr>
        <w:t xml:space="preserve"> </w:t>
      </w:r>
      <w:r w:rsidRPr="00D50FED">
        <w:rPr>
          <w:rFonts w:ascii="Verdana" w:eastAsia="Calibri" w:hAnsi="Verdana" w:cs="Arial"/>
          <w:sz w:val="16"/>
          <w:szCs w:val="16"/>
          <w:lang w:val="es-ES"/>
        </w:rPr>
        <w:t xml:space="preserve">Consejo de Estado, Sala de Consulta y Servicio Civil, Concepto de fecha 8 de mayo de 2018, No. </w:t>
      </w:r>
      <w:r w:rsidRPr="00D50FED">
        <w:rPr>
          <w:rFonts w:ascii="Verdana" w:hAnsi="Verdana"/>
          <w:sz w:val="16"/>
          <w:szCs w:val="16"/>
          <w:lang w:val="es-CO"/>
        </w:rPr>
        <w:t>2382.</w:t>
      </w:r>
      <w:r w:rsidRPr="00D50FED">
        <w:rPr>
          <w:rFonts w:ascii="Verdana" w:hAnsi="Verdana"/>
          <w:sz w:val="16"/>
          <w:szCs w:val="16"/>
        </w:rPr>
        <w:t xml:space="preserve"> </w:t>
      </w:r>
      <w:r w:rsidRPr="00D50FED">
        <w:rPr>
          <w:rFonts w:ascii="Verdana" w:hAnsi="Verdana"/>
          <w:sz w:val="16"/>
          <w:szCs w:val="16"/>
          <w:lang w:val="es-CO"/>
        </w:rPr>
        <w:t>C. P. Álvaro Namén Vargas.</w:t>
      </w:r>
    </w:p>
  </w:footnote>
  <w:footnote w:id="17">
    <w:p w14:paraId="7548E837" w14:textId="77777777" w:rsidR="00D93852" w:rsidRPr="00D50FED" w:rsidRDefault="00D93852" w:rsidP="00D93852">
      <w:pPr>
        <w:snapToGrid w:val="0"/>
        <w:spacing w:after="0" w:line="240" w:lineRule="auto"/>
        <w:ind w:firstLine="709"/>
        <w:contextualSpacing/>
        <w:jc w:val="both"/>
        <w:rPr>
          <w:rFonts w:ascii="Verdana" w:hAnsi="Verdana" w:cs="Arial"/>
          <w:color w:val="000000" w:themeColor="text1"/>
          <w:sz w:val="16"/>
          <w:szCs w:val="16"/>
        </w:rPr>
      </w:pPr>
      <w:r w:rsidRPr="00D50FED">
        <w:rPr>
          <w:rStyle w:val="FootnoteReferenc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8">
    <w:p w14:paraId="09017B36" w14:textId="77777777" w:rsidR="00D93852" w:rsidRPr="00D50FED" w:rsidRDefault="00D93852" w:rsidP="00D93852">
      <w:pPr>
        <w:pStyle w:val="FootnoteText"/>
        <w:snapToGrid w:val="0"/>
        <w:ind w:firstLine="708"/>
        <w:contextualSpacing/>
        <w:jc w:val="both"/>
        <w:rPr>
          <w:rFonts w:ascii="Verdana" w:hAnsi="Verdana" w:cs="Arial"/>
          <w:color w:val="000000" w:themeColor="text1"/>
          <w:sz w:val="16"/>
          <w:szCs w:val="16"/>
        </w:rPr>
      </w:pPr>
      <w:r w:rsidRPr="00D50FED">
        <w:rPr>
          <w:rStyle w:val="FootnoteReferenc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Corte Constitucional. Sentencia C-1153 de 2005 M.P. Marco Gerardo Monroy Cabra. </w:t>
      </w:r>
    </w:p>
  </w:footnote>
  <w:footnote w:id="19">
    <w:p w14:paraId="18E06DCF" w14:textId="77777777" w:rsidR="00D93852" w:rsidRPr="00D50FED" w:rsidRDefault="00D93852" w:rsidP="00D93852">
      <w:pPr>
        <w:pStyle w:val="FootnoteText"/>
        <w:snapToGrid w:val="0"/>
        <w:ind w:firstLine="708"/>
        <w:contextualSpacing/>
        <w:jc w:val="both"/>
        <w:rPr>
          <w:rFonts w:ascii="Verdana" w:hAnsi="Verdana" w:cs="Arial"/>
          <w:color w:val="000000" w:themeColor="text1"/>
          <w:sz w:val="16"/>
          <w:szCs w:val="16"/>
        </w:rPr>
      </w:pPr>
      <w:r w:rsidRPr="00D50FED">
        <w:rPr>
          <w:rStyle w:val="FootnoteReferenc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Consejo de Estado. Sala de Consulta y Servicio Civil. Concepto del 18 de febrero 2010. Rad. 11001-03-06-000-2010-00006-00 (1985). C.P. Enrique José Arboleda Perdomo.</w:t>
      </w:r>
    </w:p>
  </w:footnote>
  <w:footnote w:id="20">
    <w:p w14:paraId="74E15199" w14:textId="77777777" w:rsidR="00D93852" w:rsidRPr="00D50FED" w:rsidRDefault="00D93852" w:rsidP="00D93852">
      <w:pPr>
        <w:pStyle w:val="FootnoteText"/>
        <w:snapToGrid w:val="0"/>
        <w:ind w:firstLine="708"/>
        <w:contextualSpacing/>
        <w:jc w:val="both"/>
        <w:rPr>
          <w:rFonts w:ascii="Verdana" w:hAnsi="Verdana" w:cs="Arial"/>
          <w:color w:val="000000" w:themeColor="text1"/>
          <w:sz w:val="16"/>
          <w:szCs w:val="16"/>
        </w:rPr>
      </w:pPr>
      <w:r w:rsidRPr="00D50FED">
        <w:rPr>
          <w:rStyle w:val="FootnoteReferenc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Consejo de Estado. Sala de Consulta y Servicio Civil. Concepto del 02 de septiembre de 2013. Rad. 11001-03-06-000-2013-00412-00 (2168). C.P. Álvaro Namén Vargas.</w:t>
      </w:r>
    </w:p>
  </w:footnote>
  <w:footnote w:id="21">
    <w:p w14:paraId="03044BA7" w14:textId="77777777" w:rsidR="00D93852" w:rsidRPr="00D50FED" w:rsidRDefault="00D93852" w:rsidP="00D93852">
      <w:pPr>
        <w:pStyle w:val="FootnoteText"/>
        <w:snapToGrid w:val="0"/>
        <w:ind w:firstLine="709"/>
        <w:contextualSpacing/>
        <w:jc w:val="both"/>
        <w:rPr>
          <w:rFonts w:ascii="Verdana" w:hAnsi="Verdana" w:cs="Arial"/>
          <w:color w:val="000000" w:themeColor="text1"/>
          <w:sz w:val="16"/>
          <w:szCs w:val="16"/>
        </w:rPr>
      </w:pPr>
      <w:r w:rsidRPr="00D50FED">
        <w:rPr>
          <w:rStyle w:val="FootnoteReferenc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Consejo de Estado. Sala de Consulta y Servicio Civil. Concepto de 20 de febrero de2006. Radicación 11001-03-06-000-2006-00023-00(1724). Consejero Ponente: Flavio Augusto Rodríguez Arce.</w:t>
      </w:r>
    </w:p>
  </w:footnote>
  <w:footnote w:id="22">
    <w:p w14:paraId="56D6FCE4" w14:textId="77777777" w:rsidR="00D93852" w:rsidRPr="00D50FED" w:rsidRDefault="00D93852" w:rsidP="00D93852">
      <w:pPr>
        <w:snapToGrid w:val="0"/>
        <w:spacing w:after="0" w:line="240" w:lineRule="auto"/>
        <w:ind w:firstLine="709"/>
        <w:contextualSpacing/>
        <w:jc w:val="both"/>
        <w:rPr>
          <w:rFonts w:ascii="Verdana" w:hAnsi="Verdana" w:cs="Arial"/>
          <w:color w:val="000000" w:themeColor="text1"/>
          <w:sz w:val="16"/>
          <w:szCs w:val="16"/>
        </w:rPr>
      </w:pPr>
      <w:r w:rsidRPr="00D50FED">
        <w:rPr>
          <w:rStyle w:val="FootnoteReferenc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10B08BA7" w14:textId="77777777" w:rsidR="00D93852" w:rsidRPr="00D50FED" w:rsidRDefault="00D93852" w:rsidP="00D93852">
      <w:pPr>
        <w:snapToGrid w:val="0"/>
        <w:spacing w:after="0" w:line="240" w:lineRule="auto"/>
        <w:ind w:firstLine="709"/>
        <w:contextualSpacing/>
        <w:jc w:val="both"/>
        <w:rPr>
          <w:rFonts w:ascii="Verdana" w:hAnsi="Verdana" w:cs="Arial"/>
          <w:color w:val="000000" w:themeColor="text1"/>
          <w:sz w:val="16"/>
          <w:szCs w:val="16"/>
        </w:rPr>
      </w:pPr>
      <w:r w:rsidRPr="00D50FED">
        <w:rPr>
          <w:rFonts w:ascii="Verdana" w:hAnsi="Verdana" w:cs="Arial"/>
          <w:color w:val="000000" w:themeColor="text1"/>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D50FED">
        <w:rPr>
          <w:rFonts w:ascii="Verdana" w:hAnsi="Verdana" w:cs="Arial"/>
          <w:color w:val="000000" w:themeColor="text1"/>
          <w:spacing w:val="-1"/>
          <w:sz w:val="16"/>
          <w:szCs w:val="16"/>
        </w:rPr>
        <w:t xml:space="preserve"> </w:t>
      </w:r>
      <w:r w:rsidRPr="00D50FED">
        <w:rPr>
          <w:rFonts w:ascii="Verdana" w:hAnsi="Verdana" w:cs="Arial"/>
          <w:color w:val="000000" w:themeColor="text1"/>
          <w:sz w:val="16"/>
          <w:szCs w:val="16"/>
        </w:rPr>
        <w:t>Estatales».</w:t>
      </w:r>
    </w:p>
  </w:footnote>
  <w:footnote w:id="23">
    <w:p w14:paraId="5FEA4176" w14:textId="77777777" w:rsidR="00D93852" w:rsidRPr="00D50FED" w:rsidRDefault="00D93852" w:rsidP="00D93852">
      <w:pPr>
        <w:snapToGrid w:val="0"/>
        <w:spacing w:after="0" w:line="240" w:lineRule="auto"/>
        <w:ind w:firstLine="709"/>
        <w:contextualSpacing/>
        <w:jc w:val="both"/>
        <w:rPr>
          <w:rFonts w:ascii="Verdana" w:hAnsi="Verdana" w:cs="Arial"/>
          <w:color w:val="000000" w:themeColor="text1"/>
          <w:sz w:val="16"/>
          <w:szCs w:val="16"/>
        </w:rPr>
      </w:pPr>
      <w:r w:rsidRPr="00D50FED">
        <w:rPr>
          <w:rStyle w:val="FootnoteReferenc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D50FED">
        <w:rPr>
          <w:rFonts w:ascii="Verdana" w:hAnsi="Verdana" w:cs="Arial"/>
          <w:color w:val="000000" w:themeColor="text1"/>
          <w:spacing w:val="-6"/>
          <w:sz w:val="16"/>
          <w:szCs w:val="16"/>
        </w:rPr>
        <w:t xml:space="preserve"> </w:t>
      </w:r>
      <w:r w:rsidRPr="00D50FED">
        <w:rPr>
          <w:rFonts w:ascii="Verdana" w:hAnsi="Verdana" w:cs="Arial"/>
          <w:color w:val="000000" w:themeColor="text1"/>
          <w:sz w:val="16"/>
          <w:szCs w:val="16"/>
        </w:rPr>
        <w:t>artículo”.</w:t>
      </w:r>
    </w:p>
  </w:footnote>
  <w:footnote w:id="24">
    <w:p w14:paraId="38DE23C2" w14:textId="77777777" w:rsidR="00D93852" w:rsidRPr="00D50FED" w:rsidRDefault="00D93852" w:rsidP="00D93852">
      <w:pPr>
        <w:pStyle w:val="FootnoteText"/>
        <w:snapToGrid w:val="0"/>
        <w:contextualSpacing/>
        <w:jc w:val="both"/>
        <w:rPr>
          <w:rFonts w:ascii="Verdana" w:hAnsi="Verdana"/>
          <w:sz w:val="16"/>
          <w:szCs w:val="16"/>
        </w:rPr>
      </w:pPr>
      <w:r w:rsidRPr="00D50FED">
        <w:rPr>
          <w:rStyle w:val="FootnoteReference"/>
          <w:rFonts w:ascii="Verdana" w:hAnsi="Verdana"/>
          <w:sz w:val="16"/>
          <w:szCs w:val="16"/>
        </w:rPr>
        <w:footnoteRef/>
      </w:r>
      <w:r w:rsidRPr="00D50FED">
        <w:rPr>
          <w:rFonts w:ascii="Verdana" w:hAnsi="Verdana"/>
          <w:sz w:val="16"/>
          <w:szCs w:val="16"/>
        </w:rPr>
        <w:t xml:space="preserve"> Mediante auto de 4 de octubre del 2024, expediente 70.313, la Sección Tercera del Consejo de Estado decretó medida de suspensión provisional parcial del numeral 16.2 de la Circular Externa Única de 2022 expedida por la Agencia Nacional de Contratación Pública -Colombia Compra Eficiente-, concretamente, respecto de los siguientes apartes normativos: i) el inciso segundo 2 que dispone: “Esta restricción es aplicable tanto a los convenios como a los contratos interadministrativos, toda vez que, al no existir definición legal que diferencie el concepto de convenio del concepto de contrato, la denominación prevista por la Ley 80 de 1993 y la Ley 1150 de 2007 para tal fin se entenderán en el mismo sentido. Es así como el Decreto 1082 de 2015 trata indistintamente a los convenios y contratos interadministrativos, al establecer la contratación directa como la modalidad de selección para la contratación entre entidades públicas a través de estas dos figuras jurídicas” y, ii) la expresión y el siguiente párrafo contenidos en el inciso cuarto “contratos” y “En este sentido, la prohibición que establece el parágrafo del artículo 38 de la Ley de Garantías consiste en evitar que los recursos del Estado se ejecuten para lograr apoyos indebidos mediante la suscripción de contratos y/o convenios, que, para efectos de la Ley de Garantías, tienen la misma connotación y propósito”. </w:t>
      </w:r>
    </w:p>
    <w:p w14:paraId="3D0EA5CA" w14:textId="77777777" w:rsidR="00D93852" w:rsidRPr="00D50FED" w:rsidRDefault="00D93852" w:rsidP="00D93852">
      <w:pPr>
        <w:pStyle w:val="FootnoteText"/>
        <w:snapToGrid w:val="0"/>
        <w:contextualSpacing/>
        <w:jc w:val="both"/>
        <w:rPr>
          <w:rFonts w:ascii="Verdana" w:hAnsi="Verdana"/>
          <w:sz w:val="16"/>
          <w:szCs w:val="16"/>
        </w:rPr>
      </w:pPr>
    </w:p>
  </w:footnote>
  <w:footnote w:id="25">
    <w:p w14:paraId="75FB07D4" w14:textId="77777777" w:rsidR="00D93852" w:rsidRPr="00D50FED" w:rsidRDefault="00D93852" w:rsidP="00D93852">
      <w:pPr>
        <w:pStyle w:val="FootnoteText"/>
        <w:snapToGrid w:val="0"/>
        <w:ind w:firstLine="708"/>
        <w:contextualSpacing/>
        <w:jc w:val="both"/>
        <w:rPr>
          <w:rFonts w:ascii="Verdana" w:hAnsi="Verdana" w:cs="Arial"/>
          <w:color w:val="000000" w:themeColor="text1"/>
          <w:sz w:val="16"/>
          <w:szCs w:val="16"/>
        </w:rPr>
      </w:pPr>
      <w:r w:rsidRPr="00D50FED">
        <w:rPr>
          <w:rStyle w:val="FootnoteReferenc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Lo anterior, salvo que se traten de organismos internacionales que se rijan por normas internacionales y se financien con cargo a recursos de esos organismos (Cfr. Colombia Compra Eficiente. Concepto C-559 del 31 de agosto de 2021). </w:t>
      </w:r>
    </w:p>
  </w:footnote>
  <w:footnote w:id="26">
    <w:p w14:paraId="3A683ADD" w14:textId="77777777" w:rsidR="00D93852" w:rsidRPr="00D50FED" w:rsidRDefault="00D93852" w:rsidP="00D93852">
      <w:pPr>
        <w:pStyle w:val="FootnoteText"/>
        <w:snapToGrid w:val="0"/>
        <w:ind w:firstLine="708"/>
        <w:contextualSpacing/>
        <w:jc w:val="both"/>
        <w:rPr>
          <w:rFonts w:ascii="Verdana" w:hAnsi="Verdana"/>
          <w:sz w:val="16"/>
          <w:szCs w:val="16"/>
        </w:rPr>
      </w:pPr>
      <w:r w:rsidRPr="00D50FED">
        <w:rPr>
          <w:rStyle w:val="FootnoteReference"/>
          <w:rFonts w:ascii="Verdana" w:hAnsi="Verdana"/>
          <w:sz w:val="16"/>
          <w:szCs w:val="16"/>
        </w:rPr>
        <w:footnoteRef/>
      </w:r>
      <w:r w:rsidRPr="00D50FED">
        <w:rPr>
          <w:rFonts w:ascii="Verdana" w:hAnsi="Verdana"/>
          <w:sz w:val="16"/>
          <w:szCs w:val="16"/>
        </w:rPr>
        <w:t xml:space="preserve"> Artículo 111. Adquisición o mantenimiento de áreas de interés para acueductos municipales, distritales y regionales. Declárense de interés público las áreas de importancia estratégica para la conservación de recursos hídricos que surten de agua los acueductos municipales, distritales y regionales. Los departamentos, distritos y municipios dedicarán un porcentaje no inferior al uno por ciento (1 %) de sus ingresos corrientes de libre destinación para la adquisición o el mantenimiento de dichas áreas. Lo anterior se podrá realizar a través de la cofinanciación de que trata el artículo 108 de la Ley 99 de 1993.</w:t>
      </w:r>
    </w:p>
    <w:p w14:paraId="4BA70B06" w14:textId="77777777" w:rsidR="00D93852" w:rsidRPr="00D50FED" w:rsidRDefault="00D93852" w:rsidP="00D93852">
      <w:pPr>
        <w:pStyle w:val="FootnoteText"/>
        <w:snapToGrid w:val="0"/>
        <w:ind w:firstLine="708"/>
        <w:contextualSpacing/>
        <w:jc w:val="both"/>
        <w:rPr>
          <w:rFonts w:ascii="Verdana" w:hAnsi="Verdana"/>
          <w:sz w:val="16"/>
          <w:szCs w:val="16"/>
        </w:rPr>
      </w:pPr>
      <w:r w:rsidRPr="00D50FED">
        <w:rPr>
          <w:rFonts w:ascii="Verdana" w:hAnsi="Verdana"/>
          <w:sz w:val="16"/>
          <w:szCs w:val="16"/>
        </w:rPr>
        <w:t>Estas inversiones deberán realizarse con enfoque de Soluciones basadas en la Naturaleza (SbN) , adaptación al cambio climático, restauración, rehabilitación y recuperación ecológica, o para financiar esquemas de pago por servicios ambientales (PSA) en las referidas áreas de importancia estratégica. Lo anterior de conformidad con la reglamentación que expidan las autoridades competentes. La autoridad ambiental competente brindará el apoyo técnico requerido por la entidad territorial para dar cumplimiento a lo dispuesto en el presente artículo.</w:t>
      </w:r>
    </w:p>
    <w:p w14:paraId="625EBDBE" w14:textId="77777777" w:rsidR="00D93852" w:rsidRPr="00D50FED" w:rsidRDefault="00D93852" w:rsidP="00D93852">
      <w:pPr>
        <w:pStyle w:val="FootnoteText"/>
        <w:snapToGrid w:val="0"/>
        <w:ind w:firstLine="708"/>
        <w:contextualSpacing/>
        <w:jc w:val="both"/>
        <w:rPr>
          <w:rFonts w:ascii="Verdana" w:hAnsi="Verdana"/>
          <w:sz w:val="16"/>
          <w:szCs w:val="16"/>
        </w:rPr>
      </w:pPr>
      <w:r w:rsidRPr="00D50FED">
        <w:rPr>
          <w:rFonts w:ascii="Verdana" w:hAnsi="Verdana"/>
          <w:sz w:val="16"/>
          <w:szCs w:val="16"/>
        </w:rPr>
        <w:t>Las inversiones en el mantenimiento de áreas de importancia estratégica para la conservación de recursos hídricos, se realizarán en los predios adquiridos por las entidades territoriales cualquiera sea su forma de adquisición y fuente de financiamiento para el mantenimiento de las cuencas abastecedoras de acueductos municipales, distritales y regionales.</w:t>
      </w:r>
    </w:p>
    <w:p w14:paraId="67A216AF" w14:textId="77777777" w:rsidR="00D93852" w:rsidRPr="00D50FED" w:rsidRDefault="00D93852" w:rsidP="00D93852">
      <w:pPr>
        <w:pStyle w:val="FootnoteText"/>
        <w:snapToGrid w:val="0"/>
        <w:ind w:firstLine="708"/>
        <w:contextualSpacing/>
        <w:jc w:val="both"/>
        <w:rPr>
          <w:rFonts w:ascii="Verdana" w:hAnsi="Verdana"/>
          <w:sz w:val="16"/>
          <w:szCs w:val="16"/>
        </w:rPr>
      </w:pPr>
      <w:r w:rsidRPr="00D50FED">
        <w:rPr>
          <w:rFonts w:ascii="Verdana" w:hAnsi="Verdana"/>
          <w:sz w:val="16"/>
          <w:szCs w:val="16"/>
        </w:rPr>
        <w:t>Las autoridades ambientales o administrativas correspondientes deberán actualizar el inventario de las áreas prioritarias a ser adquiridas o intervenidas con estos recursos o donde se deben implementar los esquemas por pagos de servicios ambientales, las cuales deben registrarse en el Registro de Ecosistemas y Áreas Ambientales (REAA), sin perjuicio de que se trate de áreas protegidas registradas en el Registro Único Nacional de Áreas Protegidas (Runap), de acuerdo con la reglamentación que el Ministerio de Ambiente y Desarrollo Sostenible expida para el efecto.</w:t>
      </w:r>
    </w:p>
    <w:p w14:paraId="504D30A8" w14:textId="77777777" w:rsidR="00D93852" w:rsidRPr="00D50FED" w:rsidRDefault="00D93852" w:rsidP="00D93852">
      <w:pPr>
        <w:pStyle w:val="FootnoteText"/>
        <w:snapToGrid w:val="0"/>
        <w:ind w:firstLine="708"/>
        <w:contextualSpacing/>
        <w:jc w:val="both"/>
        <w:rPr>
          <w:rFonts w:ascii="Verdana" w:hAnsi="Verdana"/>
          <w:sz w:val="16"/>
          <w:szCs w:val="16"/>
        </w:rPr>
      </w:pPr>
      <w:r w:rsidRPr="00D50FED">
        <w:rPr>
          <w:rFonts w:ascii="Verdana" w:hAnsi="Verdana"/>
          <w:sz w:val="16"/>
          <w:szCs w:val="16"/>
        </w:rPr>
        <w:t>La administración de las áreas prioritarias corresponderá al respectivo departamento, distrito o municipio. Los municipios, distritos y departamentos garantizarán la inclusión de los recursos dentro de sus planes de desarrollo y presupuestos anuales respectivos, individualizándose la partida destinada para tal fin.</w:t>
      </w:r>
    </w:p>
    <w:p w14:paraId="3C508B40" w14:textId="77777777" w:rsidR="00D93852" w:rsidRPr="00D50FED" w:rsidRDefault="00D93852" w:rsidP="00D93852">
      <w:pPr>
        <w:pStyle w:val="FootnoteText"/>
        <w:snapToGrid w:val="0"/>
        <w:contextualSpacing/>
        <w:jc w:val="both"/>
        <w:rPr>
          <w:rFonts w:ascii="Verdana" w:hAnsi="Verdana"/>
          <w:sz w:val="16"/>
          <w:szCs w:val="16"/>
        </w:rPr>
      </w:pPr>
      <w:r w:rsidRPr="00D50FED">
        <w:rPr>
          <w:rFonts w:ascii="Verdana" w:hAnsi="Verdana"/>
          <w:sz w:val="16"/>
          <w:szCs w:val="16"/>
        </w:rPr>
        <w:t>Parágrafo 1°. Los proyectos de construcción y operación de distritos de riego deberán dedicar un porcentaje no inferior al uno por ciento (1 %) del valor de la obra a la adquisición de áreas estratégicas para la conservación de los recursos hídricos que los surten de agua. Para los distritos de riego que requieren licencia ambiental, aplicará lo contenido en el parágrafo del artículo 43 de la Ley 99 de 1993.</w:t>
      </w:r>
    </w:p>
    <w:p w14:paraId="78FAF781" w14:textId="77777777" w:rsidR="00D93852" w:rsidRPr="00D50FED" w:rsidRDefault="00D93852" w:rsidP="00D93852">
      <w:pPr>
        <w:pStyle w:val="FootnoteText"/>
        <w:snapToGrid w:val="0"/>
        <w:ind w:firstLine="708"/>
        <w:contextualSpacing/>
        <w:jc w:val="both"/>
        <w:rPr>
          <w:rFonts w:ascii="Verdana" w:hAnsi="Verdana"/>
          <w:sz w:val="16"/>
          <w:szCs w:val="16"/>
        </w:rPr>
      </w:pPr>
      <w:r w:rsidRPr="00D50FED">
        <w:rPr>
          <w:rFonts w:ascii="Verdana" w:hAnsi="Verdana"/>
          <w:sz w:val="16"/>
          <w:szCs w:val="16"/>
        </w:rPr>
        <w:t>Parágrafo 2°. El Ministerio de Ambiente y Desarrollo Sostenible, las entidades científicas adscritas y vinculadas, Parques Nacionales Naturales de Colombia, las Corporaciones Autónomas Regionales y de Desarrollo Sostenible, las Autoridades Ambientales Urbanas y de los Grandes Centros Urbanos, deberán en el marco de sus competencias, efectuar los aportes técnicos y operativos requeridos para implementar los esquemas de pagos por servicios ambientales, también podrán actuar en modelos de conservación bajo el enfoque de Soluciones basadas en la Naturaleza (SbN), adaptación al cambio climático, restauración, rehabilitación y recuperación ecológica.</w:t>
      </w:r>
    </w:p>
    <w:p w14:paraId="4EF60739" w14:textId="77777777" w:rsidR="00D93852" w:rsidRPr="00D50FED" w:rsidRDefault="00D93852" w:rsidP="00D93852">
      <w:pPr>
        <w:pStyle w:val="FootnoteText"/>
        <w:snapToGrid w:val="0"/>
        <w:ind w:firstLine="708"/>
        <w:contextualSpacing/>
        <w:jc w:val="both"/>
        <w:rPr>
          <w:rFonts w:ascii="Verdana" w:hAnsi="Verdana"/>
          <w:sz w:val="16"/>
          <w:szCs w:val="16"/>
        </w:rPr>
      </w:pPr>
      <w:r w:rsidRPr="00D50FED">
        <w:rPr>
          <w:rFonts w:ascii="Verdana" w:hAnsi="Verdana"/>
          <w:sz w:val="16"/>
          <w:szCs w:val="16"/>
        </w:rPr>
        <w:t>Parágrafo 3°. El Ministerio de Ambiente y Desarrollo Sostenible diseñará e implementará un programa de fortalecimiento de capacidades dirigido a las entidades territoriales y autoridades ambientales para el cumplimiento del presente artículo. Este programa de fortalecimiento de capacidades será ejecutado al inicio de cada periodo institucional de los alcaldes y los gobernadores. Así mismo, en coordinación con el DNP, el Ministerio de Ambiente y Desarrollo Sostenible diseñará e implementará un programa de capacitación a las alcaldías y las gobernaciones sobre el reporte y ejecución de los recursos que menciona el presente artículo en el Sistema de Información del Formulario Único Territorial -SISFUT-. Los alcaldes y gobernadores deberán presentar anualmente dicho reporte sobre la gestión y ejecución de estos recursos a los concejos municipales y distritales y a las asambleas departamentales según corresponda.</w:t>
      </w:r>
    </w:p>
    <w:p w14:paraId="4F7FFD2F" w14:textId="77777777" w:rsidR="00D93852" w:rsidRPr="00D50FED" w:rsidRDefault="00D93852" w:rsidP="00D93852">
      <w:pPr>
        <w:pStyle w:val="FootnoteText"/>
        <w:snapToGrid w:val="0"/>
        <w:ind w:firstLine="708"/>
        <w:contextualSpacing/>
        <w:jc w:val="both"/>
        <w:rPr>
          <w:rFonts w:ascii="Verdana" w:hAnsi="Verdana"/>
          <w:sz w:val="16"/>
          <w:szCs w:val="16"/>
        </w:rPr>
      </w:pPr>
      <w:r w:rsidRPr="00D50FED">
        <w:rPr>
          <w:rFonts w:ascii="Verdana" w:hAnsi="Verdana"/>
          <w:sz w:val="16"/>
          <w:szCs w:val="16"/>
        </w:rPr>
        <w:t>Parágrafo 4°. Los municipios podrán hacer uso de los esquemas asociativos territoriales y demás mecanismos de colaboración, cooperación y coordinación con otros municipios, departamentos o autoridades ambientales competentes para invertir los recursos a los que hace referencia el presente artículo.</w:t>
      </w:r>
    </w:p>
    <w:p w14:paraId="7C20C7FE" w14:textId="77777777" w:rsidR="00D93852" w:rsidRPr="00D50FED" w:rsidRDefault="00D93852" w:rsidP="00D93852">
      <w:pPr>
        <w:pStyle w:val="FootnoteText"/>
        <w:snapToGrid w:val="0"/>
        <w:ind w:firstLine="708"/>
        <w:contextualSpacing/>
        <w:jc w:val="both"/>
        <w:rPr>
          <w:rFonts w:ascii="Verdana" w:hAnsi="Verdana"/>
          <w:sz w:val="16"/>
          <w:szCs w:val="16"/>
        </w:rPr>
      </w:pPr>
      <w:r>
        <w:rPr>
          <w:rFonts w:ascii="Verdana" w:hAnsi="Verdana"/>
          <w:sz w:val="16"/>
          <w:szCs w:val="16"/>
        </w:rPr>
        <w:t>[…]</w:t>
      </w:r>
      <w:r w:rsidRPr="00D50FED">
        <w:rPr>
          <w:rFonts w:ascii="Verdana" w:hAnsi="Verdana"/>
          <w:sz w:val="16"/>
          <w:szCs w:val="16"/>
        </w:rPr>
        <w:t>"</w:t>
      </w:r>
    </w:p>
  </w:footnote>
  <w:footnote w:id="27">
    <w:p w14:paraId="10A545E6" w14:textId="77777777" w:rsidR="00D93852" w:rsidRPr="00D50FED" w:rsidRDefault="00D93852" w:rsidP="00D93852">
      <w:pPr>
        <w:pStyle w:val="FootnoteText"/>
        <w:snapToGrid w:val="0"/>
        <w:ind w:firstLine="708"/>
        <w:contextualSpacing/>
        <w:jc w:val="both"/>
        <w:rPr>
          <w:rFonts w:ascii="Verdana" w:hAnsi="Verdana"/>
          <w:sz w:val="16"/>
          <w:szCs w:val="16"/>
          <w:lang w:val="es-ES"/>
        </w:rPr>
      </w:pPr>
      <w:r w:rsidRPr="00D50FED">
        <w:rPr>
          <w:rStyle w:val="FootnoteReference"/>
          <w:rFonts w:ascii="Verdana" w:hAnsi="Verdana"/>
          <w:sz w:val="16"/>
          <w:szCs w:val="16"/>
        </w:rPr>
        <w:footnoteRef/>
      </w:r>
      <w:r w:rsidRPr="00D50FED">
        <w:rPr>
          <w:rFonts w:ascii="Verdana" w:hAnsi="Verdana"/>
          <w:sz w:val="16"/>
          <w:szCs w:val="16"/>
        </w:rPr>
        <w:t xml:space="preserve"> Audit</w:t>
      </w:r>
      <w:r>
        <w:rPr>
          <w:rFonts w:ascii="Verdana" w:hAnsi="Verdana"/>
          <w:sz w:val="16"/>
          <w:szCs w:val="16"/>
        </w:rPr>
        <w:t>o</w:t>
      </w:r>
      <w:r w:rsidRPr="00D50FED">
        <w:rPr>
          <w:rFonts w:ascii="Verdana" w:hAnsi="Verdana"/>
          <w:sz w:val="16"/>
          <w:szCs w:val="16"/>
        </w:rPr>
        <w:t>r</w:t>
      </w:r>
      <w:r>
        <w:rPr>
          <w:rFonts w:ascii="Verdana" w:hAnsi="Verdana"/>
          <w:sz w:val="16"/>
          <w:szCs w:val="16"/>
        </w:rPr>
        <w:t>í</w:t>
      </w:r>
      <w:r w:rsidRPr="00D50FED">
        <w:rPr>
          <w:rFonts w:ascii="Verdana" w:hAnsi="Verdana"/>
          <w:sz w:val="16"/>
          <w:szCs w:val="16"/>
        </w:rPr>
        <w:t>a General de la República</w:t>
      </w:r>
      <w:r>
        <w:rPr>
          <w:rFonts w:ascii="Verdana" w:hAnsi="Verdana"/>
          <w:sz w:val="16"/>
          <w:szCs w:val="16"/>
        </w:rPr>
        <w:t>.</w:t>
      </w:r>
      <w:r w:rsidRPr="00D50FED">
        <w:rPr>
          <w:rFonts w:ascii="Verdana" w:hAnsi="Verdana"/>
          <w:sz w:val="16"/>
          <w:szCs w:val="16"/>
        </w:rPr>
        <w:t xml:space="preserve"> </w:t>
      </w:r>
      <w:r w:rsidRPr="00D50FED">
        <w:rPr>
          <w:rFonts w:ascii="Verdana" w:hAnsi="Verdana"/>
          <w:sz w:val="16"/>
          <w:szCs w:val="16"/>
          <w:lang w:val="es-ES"/>
        </w:rPr>
        <w:t xml:space="preserve">Concepto </w:t>
      </w:r>
      <w:r w:rsidRPr="00D50FED">
        <w:rPr>
          <w:rFonts w:ascii="Verdana" w:hAnsi="Verdana"/>
          <w:sz w:val="16"/>
          <w:szCs w:val="16"/>
          <w:lang w:val="es-CO"/>
        </w:rPr>
        <w:t>110.044.2025. Disponible en:</w:t>
      </w:r>
      <w:r w:rsidRPr="006F73B6">
        <w:t xml:space="preserve"> </w:t>
      </w:r>
      <w:hyperlink r:id="rId1" w:history="1">
        <w:r w:rsidRPr="00AC285A">
          <w:rPr>
            <w:rStyle w:val="Hyperlink"/>
          </w:rPr>
          <w:t>https://www.auditoria.gov.co/vigente/-/document_library/oatcORItavl8/view/3253128</w:t>
        </w:r>
      </w:hyperlink>
      <w:r>
        <w:t xml:space="preserve"> </w:t>
      </w:r>
    </w:p>
  </w:footnote>
  <w:footnote w:id="28">
    <w:p w14:paraId="2F774E50" w14:textId="77777777" w:rsidR="00D93852" w:rsidRPr="00D50FED" w:rsidRDefault="00D93852" w:rsidP="00D93852">
      <w:pPr>
        <w:snapToGrid w:val="0"/>
        <w:spacing w:after="0" w:line="240" w:lineRule="auto"/>
        <w:ind w:firstLine="720"/>
        <w:contextualSpacing/>
        <w:jc w:val="both"/>
        <w:rPr>
          <w:rFonts w:ascii="Verdana" w:hAnsi="Verdana" w:cs="Arial"/>
          <w:sz w:val="16"/>
          <w:szCs w:val="16"/>
        </w:rPr>
      </w:pPr>
      <w:r w:rsidRPr="00D50FED">
        <w:rPr>
          <w:rStyle w:val="FootnoteReference"/>
          <w:rFonts w:ascii="Verdana" w:hAnsi="Verdana" w:cs="Arial"/>
          <w:sz w:val="16"/>
          <w:szCs w:val="16"/>
        </w:rPr>
        <w:footnoteRef/>
      </w:r>
      <w:r w:rsidRPr="00D50FED">
        <w:rPr>
          <w:rFonts w:ascii="Verdana" w:hAnsi="Verdana" w:cs="Arial"/>
          <w:sz w:val="16"/>
          <w:szCs w:val="16"/>
        </w:rPr>
        <w:t xml:space="preserve"> “Artículo 10. Esquemas Asociativos Territoriales. Constituirán esquemas asociativos territoriales las regiones administrativas y de planificación, las regiones de planeación y gestión, las asociaciones de departamentos, las áreas metropolitanas, las asociaciones de distritos especiales, las provincias administrativas y de planificación, y las asociaciones de municipios”.</w:t>
      </w:r>
    </w:p>
  </w:footnote>
  <w:footnote w:id="29">
    <w:p w14:paraId="0F043107" w14:textId="77777777" w:rsidR="00D93852" w:rsidRPr="00D50FED" w:rsidRDefault="00D93852" w:rsidP="00D93852">
      <w:pPr>
        <w:snapToGrid w:val="0"/>
        <w:spacing w:after="0" w:line="240" w:lineRule="auto"/>
        <w:ind w:firstLine="720"/>
        <w:contextualSpacing/>
        <w:jc w:val="both"/>
        <w:rPr>
          <w:rFonts w:ascii="Verdana" w:hAnsi="Verdana" w:cs="Arial"/>
          <w:color w:val="000000" w:themeColor="text1"/>
          <w:sz w:val="16"/>
          <w:szCs w:val="16"/>
        </w:rPr>
      </w:pPr>
      <w:r w:rsidRPr="00D50FED">
        <w:rPr>
          <w:rStyle w:val="FootnoteReference"/>
          <w:rFonts w:ascii="Verdana" w:hAnsi="Verdana" w:cs="Arial"/>
          <w:sz w:val="16"/>
          <w:szCs w:val="16"/>
        </w:rPr>
        <w:footnoteRef/>
      </w:r>
      <w:r w:rsidRPr="00D50FED">
        <w:rPr>
          <w:rFonts w:ascii="Verdana" w:hAnsi="Verdana" w:cs="Arial"/>
          <w:sz w:val="16"/>
          <w:szCs w:val="16"/>
        </w:rPr>
        <w:t xml:space="preserve"> Ley 136 de 1994: </w:t>
      </w:r>
      <w:r w:rsidRPr="00D50FED">
        <w:rPr>
          <w:rFonts w:ascii="Verdana" w:hAnsi="Verdana" w:cs="Arial"/>
          <w:color w:val="000000" w:themeColor="text1"/>
          <w:sz w:val="16"/>
          <w:szCs w:val="16"/>
        </w:rPr>
        <w:t>“Artículo 150. Conformación y funcionamiento. Las asociaciones para su conformación y funcionamiento se sujetarán a las siguientes reglas:</w:t>
      </w:r>
    </w:p>
    <w:p w14:paraId="2ED9847A" w14:textId="77777777" w:rsidR="00D93852" w:rsidRPr="00D50FED" w:rsidRDefault="00D93852" w:rsidP="00D93852">
      <w:pPr>
        <w:snapToGrid w:val="0"/>
        <w:spacing w:after="0" w:line="240" w:lineRule="auto"/>
        <w:ind w:firstLine="720"/>
        <w:contextualSpacing/>
        <w:jc w:val="both"/>
        <w:rPr>
          <w:rFonts w:ascii="Verdana" w:hAnsi="Verdana" w:cs="Arial"/>
          <w:color w:val="000000" w:themeColor="text1"/>
          <w:sz w:val="16"/>
          <w:szCs w:val="16"/>
        </w:rPr>
      </w:pPr>
      <w:r w:rsidRPr="00D50FED">
        <w:rPr>
          <w:rFonts w:ascii="Verdana" w:hAnsi="Verdana" w:cs="Arial"/>
          <w:color w:val="000000" w:themeColor="text1"/>
          <w:sz w:val="16"/>
          <w:szCs w:val="16"/>
        </w:rPr>
        <w:t xml:space="preserve">1. Toda asociación de municipios será siempre voluntaria. </w:t>
      </w:r>
      <w:r w:rsidRPr="00D50FED">
        <w:rPr>
          <w:rFonts w:ascii="Verdana" w:hAnsi="Verdana" w:cs="Arial"/>
          <w:i/>
          <w:iCs/>
          <w:color w:val="000000" w:themeColor="text1"/>
          <w:sz w:val="16"/>
          <w:szCs w:val="16"/>
        </w:rPr>
        <w:t>Se conformará mediante convenio</w:t>
      </w:r>
      <w:r w:rsidRPr="00D50FED">
        <w:rPr>
          <w:rFonts w:ascii="Verdana" w:hAnsi="Verdana" w:cs="Arial"/>
          <w:color w:val="000000" w:themeColor="text1"/>
          <w:sz w:val="16"/>
          <w:szCs w:val="16"/>
        </w:rPr>
        <w:t xml:space="preserve"> suscrito por sus alcaldes, previa autorización de los respectivos concejos” (Cursiva fuera de texto).</w:t>
      </w:r>
    </w:p>
  </w:footnote>
  <w:footnote w:id="30">
    <w:p w14:paraId="69BC193B" w14:textId="77777777" w:rsidR="00D93852" w:rsidRPr="00D50FED" w:rsidRDefault="00D93852" w:rsidP="00D93852">
      <w:pPr>
        <w:snapToGrid w:val="0"/>
        <w:spacing w:after="0" w:line="240" w:lineRule="auto"/>
        <w:ind w:firstLine="720"/>
        <w:contextualSpacing/>
        <w:jc w:val="both"/>
        <w:rPr>
          <w:rFonts w:ascii="Verdana" w:hAnsi="Verdana" w:cs="Arial"/>
          <w:color w:val="000000" w:themeColor="text1"/>
          <w:sz w:val="16"/>
          <w:szCs w:val="16"/>
        </w:rPr>
      </w:pPr>
      <w:r w:rsidRPr="00D50FED">
        <w:rPr>
          <w:rStyle w:val="FootnoteReference"/>
          <w:rFonts w:ascii="Verdana" w:hAnsi="Verdana" w:cs="Arial"/>
          <w:sz w:val="16"/>
          <w:szCs w:val="16"/>
        </w:rPr>
        <w:footnoteRef/>
      </w:r>
      <w:r w:rsidRPr="00D50FED">
        <w:rPr>
          <w:rFonts w:ascii="Verdana" w:hAnsi="Verdana" w:cs="Arial"/>
          <w:sz w:val="16"/>
          <w:szCs w:val="16"/>
        </w:rPr>
        <w:t xml:space="preserve"> </w:t>
      </w:r>
      <w:r w:rsidRPr="00D50FED">
        <w:rPr>
          <w:rFonts w:ascii="Verdana" w:hAnsi="Verdana" w:cs="Arial"/>
          <w:color w:val="000000" w:themeColor="text1"/>
          <w:position w:val="6"/>
          <w:sz w:val="16"/>
          <w:szCs w:val="16"/>
        </w:rPr>
        <w:t xml:space="preserve"> </w:t>
      </w:r>
      <w:r w:rsidRPr="00D50FED">
        <w:rPr>
          <w:rFonts w:ascii="Verdana" w:hAnsi="Verdana" w:cs="Arial"/>
          <w:color w:val="000000" w:themeColor="text1"/>
          <w:sz w:val="16"/>
          <w:szCs w:val="16"/>
        </w:rPr>
        <w:t xml:space="preserve">Ley 1454 de 2011: “Artículo 14. Asociaciones de municipios. Dos o más municipios de un mismo departamento o de varios departamentos, podrán asociarse administrativa y políticamente para organizar conjuntamente la prestación de servicios públicos, la ejecución de obras de ámbito regional y el cumplimiento de funciones administrativas propias, </w:t>
      </w:r>
      <w:r w:rsidRPr="00D50FED">
        <w:rPr>
          <w:rFonts w:ascii="Verdana" w:hAnsi="Verdana" w:cs="Arial"/>
          <w:i/>
          <w:iCs/>
          <w:color w:val="000000" w:themeColor="text1"/>
          <w:sz w:val="16"/>
          <w:szCs w:val="16"/>
        </w:rPr>
        <w:t>mediante convenio o contrato-plan</w:t>
      </w:r>
      <w:r w:rsidRPr="00D50FED">
        <w:rPr>
          <w:rFonts w:ascii="Verdana" w:hAnsi="Verdana" w:cs="Arial"/>
          <w:color w:val="000000" w:themeColor="text1"/>
          <w:sz w:val="16"/>
          <w:szCs w:val="16"/>
        </w:rPr>
        <w:t xml:space="preserve"> suscrito por los alcaldes respectivos, previamente autorizados por los concejos municipales o distritales y para el ejercicio de competencias concertadas entre sí en un marco de acción que integre sus respectivos planes de desarrollo en un modelo de planificación integral conjunto” (Cursiva fuera de texto).</w:t>
      </w:r>
    </w:p>
  </w:footnote>
  <w:footnote w:id="31">
    <w:p w14:paraId="7020CF43" w14:textId="77777777" w:rsidR="00D93852" w:rsidRPr="00D50FED" w:rsidRDefault="00D93852" w:rsidP="00D93852">
      <w:pPr>
        <w:snapToGrid w:val="0"/>
        <w:spacing w:after="0" w:line="240" w:lineRule="auto"/>
        <w:ind w:firstLine="709"/>
        <w:contextualSpacing/>
        <w:jc w:val="both"/>
        <w:rPr>
          <w:rFonts w:ascii="Verdana" w:hAnsi="Verdana" w:cs="Arial"/>
          <w:color w:val="000000" w:themeColor="text1"/>
          <w:sz w:val="16"/>
          <w:szCs w:val="16"/>
        </w:rPr>
      </w:pPr>
      <w:r w:rsidRPr="00D50FED">
        <w:rPr>
          <w:rStyle w:val="FootnoteReferenc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Corte Constitucional. Sentencia C- 474 del 10 de mayo de 2005, Magistrado Ponente: Humberto Antonio Sierra Porto. Sentencia C - 428 de 1994 del 29 de septiembre de 1994, Magistrado Ponente, Antonio Barrera Carbonell.</w:t>
      </w:r>
    </w:p>
    <w:p w14:paraId="35BC2D95" w14:textId="77777777" w:rsidR="00D93852" w:rsidRPr="00D50FED" w:rsidRDefault="00D93852" w:rsidP="00D93852">
      <w:pPr>
        <w:snapToGrid w:val="0"/>
        <w:spacing w:after="0" w:line="240" w:lineRule="auto"/>
        <w:ind w:left="300" w:firstLine="709"/>
        <w:contextualSpacing/>
        <w:jc w:val="both"/>
        <w:rPr>
          <w:rFonts w:ascii="Verdana" w:hAnsi="Verdana" w:cs="Arial"/>
          <w:color w:val="000000" w:themeColor="text1"/>
          <w:sz w:val="16"/>
          <w:szCs w:val="16"/>
        </w:rPr>
      </w:pPr>
    </w:p>
  </w:footnote>
  <w:footnote w:id="32">
    <w:p w14:paraId="0F2D8ADE" w14:textId="77777777" w:rsidR="00D93852" w:rsidRPr="00D50FED" w:rsidRDefault="00D93852" w:rsidP="00D93852">
      <w:pPr>
        <w:snapToGrid w:val="0"/>
        <w:spacing w:after="0" w:line="240" w:lineRule="auto"/>
        <w:ind w:firstLine="709"/>
        <w:contextualSpacing/>
        <w:jc w:val="both"/>
        <w:rPr>
          <w:rFonts w:ascii="Verdana" w:eastAsia="Times New Roman" w:hAnsi="Verdana" w:cs="Arial"/>
          <w:color w:val="000000" w:themeColor="text1"/>
          <w:sz w:val="16"/>
          <w:szCs w:val="16"/>
          <w:shd w:val="clear" w:color="auto" w:fill="FFFFFF"/>
          <w:lang w:eastAsia="es-ES_tradnl"/>
        </w:rPr>
      </w:pPr>
      <w:r w:rsidRPr="00D50FED">
        <w:rPr>
          <w:rStyle w:val="FootnoteReferenc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w:t>
      </w:r>
      <w:r>
        <w:rPr>
          <w:rFonts w:ascii="Verdana" w:hAnsi="Verdana" w:cs="Arial"/>
          <w:color w:val="000000" w:themeColor="text1"/>
          <w:sz w:val="16"/>
          <w:szCs w:val="16"/>
        </w:rPr>
        <w:t>“</w:t>
      </w:r>
      <w:r w:rsidRPr="00D50FED">
        <w:rPr>
          <w:rFonts w:ascii="Verdana" w:eastAsia="Times New Roman" w:hAnsi="Verdana" w:cs="Arial"/>
          <w:color w:val="000000" w:themeColor="text1"/>
          <w:sz w:val="16"/>
          <w:szCs w:val="16"/>
          <w:shd w:val="clear" w:color="auto" w:fill="FFFFFF"/>
          <w:lang w:eastAsia="es-ES_tradnl"/>
        </w:rPr>
        <w:t>Por la cual se dictan normas sobre planes de desarrollo municipal, compraventa y expropiación de bienes y se dictan otras disposiciones</w:t>
      </w:r>
      <w:r>
        <w:rPr>
          <w:rFonts w:ascii="Verdana" w:eastAsia="Times New Roman" w:hAnsi="Verdana" w:cs="Arial"/>
          <w:color w:val="000000" w:themeColor="text1"/>
          <w:sz w:val="16"/>
          <w:szCs w:val="16"/>
          <w:shd w:val="clear" w:color="auto" w:fill="FFFFFF"/>
          <w:lang w:eastAsia="es-ES_tradnl"/>
        </w:rPr>
        <w:t>”</w:t>
      </w:r>
      <w:r w:rsidRPr="00D50FED">
        <w:rPr>
          <w:rFonts w:ascii="Verdana" w:eastAsia="Times New Roman" w:hAnsi="Verdana" w:cs="Arial"/>
          <w:color w:val="000000" w:themeColor="text1"/>
          <w:sz w:val="16"/>
          <w:szCs w:val="16"/>
          <w:shd w:val="clear" w:color="auto" w:fill="FFFFFF"/>
          <w:lang w:eastAsia="es-ES_tradnl"/>
        </w:rPr>
        <w:t>. En el Capítulo III se reguló específicamente la adquisición de bienes por enajenación voluntaria y por expropiación.</w:t>
      </w:r>
    </w:p>
    <w:p w14:paraId="6135230A" w14:textId="77777777" w:rsidR="00D93852" w:rsidRPr="004471A1" w:rsidRDefault="00D93852" w:rsidP="00D93852">
      <w:pPr>
        <w:snapToGrid w:val="0"/>
        <w:spacing w:after="0" w:line="240" w:lineRule="auto"/>
        <w:ind w:firstLine="709"/>
        <w:contextualSpacing/>
        <w:jc w:val="both"/>
        <w:rPr>
          <w:rFonts w:ascii="Verdana" w:eastAsia="Times New Roman" w:hAnsi="Verdana" w:cs="Arial"/>
          <w:color w:val="000000" w:themeColor="text1"/>
          <w:sz w:val="16"/>
          <w:szCs w:val="16"/>
          <w:lang w:eastAsia="es-ES_tradnl"/>
        </w:rPr>
      </w:pPr>
      <w:r w:rsidRPr="00D50FED">
        <w:rPr>
          <w:rFonts w:ascii="Verdana" w:eastAsia="Times New Roman" w:hAnsi="Verdana" w:cs="Arial"/>
          <w:color w:val="000000" w:themeColor="text1"/>
          <w:sz w:val="16"/>
          <w:szCs w:val="16"/>
          <w:lang w:eastAsia="es-ES_tradnl"/>
        </w:rPr>
        <w:t xml:space="preserve">Esta normativa se expidió con fundamento el acto legislativo 1 de 1936, que había modificado el artículo 30 de la Constitución Política de 1886, a cuyo tenor: </w:t>
      </w:r>
      <w:r>
        <w:rPr>
          <w:rFonts w:ascii="Verdana" w:eastAsia="Times New Roman" w:hAnsi="Verdana" w:cs="Arial"/>
          <w:color w:val="000000" w:themeColor="text1"/>
          <w:sz w:val="16"/>
          <w:szCs w:val="16"/>
          <w:lang w:eastAsia="es-ES_tradnl"/>
        </w:rPr>
        <w:t>“</w:t>
      </w:r>
      <w:r w:rsidRPr="00D50FED">
        <w:rPr>
          <w:rFonts w:ascii="Verdana" w:eastAsia="Times New Roman" w:hAnsi="Verdana" w:cs="Arial"/>
          <w:color w:val="000000" w:themeColor="text1"/>
          <w:sz w:val="16"/>
          <w:szCs w:val="16"/>
          <w:lang w:eastAsia="es-ES_tradnl"/>
        </w:rPr>
        <w:t>Artículo 30. Se garantizan la propiedad privada y los demás derechos adquiridos con justo título, con arreglo a las leyes civiles, por personas naturales o jurídicas, los cuales no pueden ser desconocidos ni vulnerados por leyes posteriores. Cuando de la aplicación de una ley expedida por motivos de utilidad pública o interés social, resultaren en conflicto los derechos de particulares con la necesidad reconocida por la misma ley, el interés privado deberá ceder ante el interés público o social. // La propiedad es una función social que implica obligaciones. // Por motivos de utilidad pública o de interés social definidos por el legislador, podrá haber expropiación, mediante sentencia judicial e indemnización previa. // Con todo, el legislador, por razones de equidad, podrá determinar los casos en que no haya lugar a indemnización, mediante el voto favorable de la mayoría absoluta de los miembros de una y otra Cámara</w:t>
      </w:r>
      <w:r>
        <w:rPr>
          <w:rFonts w:ascii="Verdana" w:eastAsia="Times New Roman" w:hAnsi="Verdana" w:cs="Arial"/>
          <w:color w:val="000000" w:themeColor="text1"/>
          <w:sz w:val="16"/>
          <w:szCs w:val="16"/>
          <w:lang w:eastAsia="es-ES_tradnl"/>
        </w:rPr>
        <w:t>”</w:t>
      </w:r>
      <w:r w:rsidRPr="00D50FED">
        <w:rPr>
          <w:rFonts w:ascii="Verdana" w:eastAsia="Times New Roman" w:hAnsi="Verdana" w:cs="Arial"/>
          <w:color w:val="000000" w:themeColor="text1"/>
          <w:sz w:val="16"/>
          <w:szCs w:val="16"/>
          <w:lang w:eastAsia="es-ES_tradnl"/>
        </w:rPr>
        <w:t>.</w:t>
      </w:r>
    </w:p>
  </w:footnote>
  <w:footnote w:id="33">
    <w:p w14:paraId="4E8E1FE8" w14:textId="77777777" w:rsidR="00D93852" w:rsidRPr="00D50FED" w:rsidRDefault="00D93852" w:rsidP="00D93852">
      <w:pPr>
        <w:snapToGrid w:val="0"/>
        <w:spacing w:after="0" w:line="240" w:lineRule="auto"/>
        <w:ind w:firstLine="709"/>
        <w:contextualSpacing/>
        <w:jc w:val="both"/>
        <w:rPr>
          <w:rFonts w:ascii="Verdana" w:eastAsia="Times New Roman" w:hAnsi="Verdana" w:cs="Arial"/>
          <w:color w:val="000000" w:themeColor="text1"/>
          <w:sz w:val="16"/>
          <w:szCs w:val="16"/>
          <w:lang w:eastAsia="es-ES_tradnl"/>
        </w:rPr>
      </w:pPr>
      <w:r w:rsidRPr="00D50FED">
        <w:rPr>
          <w:rStyle w:val="FootnoteReferenc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w:t>
      </w:r>
      <w:r w:rsidRPr="00D50FED">
        <w:rPr>
          <w:rFonts w:ascii="Verdana" w:eastAsia="Times New Roman" w:hAnsi="Verdana" w:cs="Arial"/>
          <w:color w:val="000000" w:themeColor="text1"/>
          <w:sz w:val="16"/>
          <w:szCs w:val="16"/>
          <w:lang w:eastAsia="es-ES_tradnl"/>
        </w:rPr>
        <w:t>Por la cual se modifica la Ley 9 de 1989, y la Ley 2 de 1991 y se dictan otras disposiciones.</w:t>
      </w:r>
    </w:p>
  </w:footnote>
  <w:footnote w:id="34">
    <w:p w14:paraId="3D6AE8FD" w14:textId="77777777" w:rsidR="00D93852" w:rsidRPr="004471A1" w:rsidRDefault="00D93852" w:rsidP="00D93852">
      <w:pPr>
        <w:snapToGrid w:val="0"/>
        <w:spacing w:after="0" w:line="240" w:lineRule="auto"/>
        <w:ind w:firstLine="709"/>
        <w:contextualSpacing/>
        <w:jc w:val="both"/>
        <w:rPr>
          <w:rFonts w:ascii="Verdana" w:eastAsia="Times New Roman" w:hAnsi="Verdana" w:cs="Arial"/>
          <w:b/>
          <w:bCs/>
          <w:color w:val="000000" w:themeColor="text1"/>
          <w:sz w:val="16"/>
          <w:szCs w:val="16"/>
          <w:shd w:val="clear" w:color="auto" w:fill="FFFFFF"/>
          <w:lang w:eastAsia="es-ES_tradnl"/>
        </w:rPr>
      </w:pPr>
      <w:r w:rsidRPr="00D50FED">
        <w:rPr>
          <w:rStyle w:val="FootnoteReferenc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w:t>
      </w:r>
      <w:r w:rsidRPr="00D50FED">
        <w:rPr>
          <w:rFonts w:ascii="Verdana" w:hAnsi="Verdana" w:cs="Arial"/>
          <w:color w:val="000000" w:themeColor="text1"/>
          <w:sz w:val="16"/>
          <w:szCs w:val="16"/>
          <w:lang w:val="es-ES"/>
        </w:rPr>
        <w:t xml:space="preserve">Consejo de Estado. Sala de Consulta y Servicio Civil. Concepto del 10 de abril de 2008. Rad. </w:t>
      </w:r>
      <w:r w:rsidRPr="00D50FED">
        <w:rPr>
          <w:rFonts w:ascii="Verdana" w:eastAsia="Times New Roman" w:hAnsi="Verdana" w:cs="Arial"/>
          <w:color w:val="000000" w:themeColor="text1"/>
          <w:sz w:val="16"/>
          <w:szCs w:val="16"/>
          <w:shd w:val="clear" w:color="auto" w:fill="FFFFFF"/>
          <w:lang w:eastAsia="es-ES_tradnl"/>
        </w:rPr>
        <w:t>11001-03-06-000-2008-00017-00. M.P. Gustavo Aponte Santos.</w:t>
      </w:r>
      <w:r w:rsidRPr="00D50FED">
        <w:rPr>
          <w:rFonts w:ascii="Verdana" w:eastAsia="Times New Roman" w:hAnsi="Verdana" w:cs="Arial"/>
          <w:b/>
          <w:bCs/>
          <w:color w:val="000000" w:themeColor="text1"/>
          <w:sz w:val="16"/>
          <w:szCs w:val="16"/>
          <w:shd w:val="clear" w:color="auto" w:fill="FFFFFF"/>
          <w:lang w:eastAsia="es-ES_tradnl"/>
        </w:rPr>
        <w:t xml:space="preserve"> </w:t>
      </w:r>
    </w:p>
  </w:footnote>
  <w:footnote w:id="35">
    <w:p w14:paraId="4979065B" w14:textId="77777777" w:rsidR="00D93852" w:rsidRPr="00D50FED" w:rsidRDefault="00D93852" w:rsidP="00D93852">
      <w:pPr>
        <w:pStyle w:val="FootnoteText"/>
        <w:snapToGrid w:val="0"/>
        <w:ind w:firstLine="709"/>
        <w:contextualSpacing/>
        <w:jc w:val="both"/>
        <w:rPr>
          <w:rFonts w:ascii="Verdana" w:hAnsi="Verdana" w:cs="Arial"/>
          <w:color w:val="000000" w:themeColor="text1"/>
          <w:sz w:val="16"/>
          <w:szCs w:val="16"/>
          <w:lang w:val="es-CO"/>
        </w:rPr>
      </w:pPr>
      <w:r w:rsidRPr="00D50FED">
        <w:rPr>
          <w:rStyle w:val="FootnoteReferenc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w:t>
      </w:r>
      <w:r w:rsidRPr="00D50FED">
        <w:rPr>
          <w:rFonts w:ascii="Verdana" w:hAnsi="Verdana" w:cs="Arial"/>
          <w:color w:val="000000" w:themeColor="text1"/>
          <w:sz w:val="16"/>
          <w:szCs w:val="16"/>
          <w:lang w:val="es-CO"/>
        </w:rPr>
        <w:t>Corte Constitucional. Sentencia C - 1074 de 4 de diciembre de 2002. M.P. Manuel José Cepeda Espinoza.</w:t>
      </w:r>
    </w:p>
  </w:footnote>
  <w:footnote w:id="36">
    <w:p w14:paraId="42F59FBC" w14:textId="77777777" w:rsidR="00D93852" w:rsidRPr="00D50FED" w:rsidRDefault="00D93852" w:rsidP="00D93852">
      <w:pPr>
        <w:snapToGrid w:val="0"/>
        <w:spacing w:after="0" w:line="240" w:lineRule="auto"/>
        <w:ind w:firstLine="708"/>
        <w:contextualSpacing/>
        <w:jc w:val="both"/>
        <w:rPr>
          <w:rFonts w:ascii="Verdana" w:hAnsi="Verdana" w:cs="Arial"/>
          <w:color w:val="000000" w:themeColor="text1"/>
          <w:sz w:val="16"/>
          <w:szCs w:val="16"/>
        </w:rPr>
      </w:pPr>
      <w:r w:rsidRPr="00D50FED">
        <w:rPr>
          <w:rStyle w:val="FootnoteReferenc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Corte Constitucional, Sala Plena, Magistrado Ponente: Luis Ernesto Vargas Silva, Sentencia C - 669 de 28 de octubre de 2015.</w:t>
      </w:r>
    </w:p>
  </w:footnote>
  <w:footnote w:id="37">
    <w:p w14:paraId="63FDBE7F" w14:textId="77777777" w:rsidR="00D93852" w:rsidRPr="00D50FED" w:rsidRDefault="00D93852" w:rsidP="00D93852">
      <w:pPr>
        <w:pStyle w:val="FootnoteText"/>
        <w:snapToGrid w:val="0"/>
        <w:ind w:firstLine="709"/>
        <w:contextualSpacing/>
        <w:jc w:val="both"/>
        <w:rPr>
          <w:rFonts w:ascii="Verdana" w:hAnsi="Verdana" w:cs="Arial"/>
          <w:color w:val="000000" w:themeColor="text1"/>
          <w:sz w:val="16"/>
          <w:szCs w:val="16"/>
        </w:rPr>
      </w:pPr>
      <w:r w:rsidRPr="00D50FED">
        <w:rPr>
          <w:rStyle w:val="FootnoteReferenc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w:t>
      </w:r>
      <w:r>
        <w:rPr>
          <w:rFonts w:ascii="Verdana" w:hAnsi="Verdana" w:cs="Arial"/>
          <w:color w:val="000000" w:themeColor="text1"/>
          <w:sz w:val="16"/>
          <w:szCs w:val="16"/>
        </w:rPr>
        <w:t>“</w:t>
      </w:r>
      <w:r w:rsidRPr="00D50FED">
        <w:rPr>
          <w:rFonts w:ascii="Verdana" w:hAnsi="Verdana" w:cs="Arial"/>
          <w:color w:val="000000" w:themeColor="text1"/>
          <w:sz w:val="16"/>
          <w:szCs w:val="16"/>
        </w:rPr>
        <w:t>La expropiación no es un contrato, no es una venta, ni siquiera forzada, como la que se verifica en subasta pública en determinados casos; es una figura esencialmente distinta, de derecho público, enderezada al bien de la comunidad y en virtud de la cual, por motivos superiores, la Administración toma la propiedad particular, y como esta medida genera un daño, y no un precio, se satisface mediante una indemnización. Se indemniza el perjuicio en diferentes órdenes de la responsabilidad contractual y extracontractual, y se indemniza al expropiado el daño que para él implica esta forma de expropiación –que opera contra su voluntad- pero en provecho público</w:t>
      </w:r>
      <w:r>
        <w:rPr>
          <w:rFonts w:ascii="Verdana" w:hAnsi="Verdana" w:cs="Arial"/>
          <w:color w:val="000000" w:themeColor="text1"/>
          <w:sz w:val="16"/>
          <w:szCs w:val="16"/>
        </w:rPr>
        <w:t>”</w:t>
      </w:r>
      <w:r w:rsidRPr="00D50FED">
        <w:rPr>
          <w:rFonts w:ascii="Verdana" w:hAnsi="Verdana" w:cs="Arial"/>
          <w:color w:val="000000" w:themeColor="text1"/>
          <w:sz w:val="16"/>
          <w:szCs w:val="16"/>
        </w:rPr>
        <w:t>. (Corte Constitucional. Sentencia C - 153 de 24 de marzo de 1994. M.P. Alejandro Martínez Caballero).</w:t>
      </w:r>
    </w:p>
  </w:footnote>
  <w:footnote w:id="38">
    <w:p w14:paraId="1881E7C1" w14:textId="77777777" w:rsidR="00D93852" w:rsidRPr="00D50FED" w:rsidRDefault="00D93852" w:rsidP="00D93852">
      <w:pPr>
        <w:snapToGrid w:val="0"/>
        <w:spacing w:after="0" w:line="240" w:lineRule="auto"/>
        <w:ind w:firstLine="709"/>
        <w:contextualSpacing/>
        <w:jc w:val="both"/>
        <w:rPr>
          <w:rFonts w:ascii="Verdana" w:eastAsia="Times New Roman" w:hAnsi="Verdana" w:cs="Arial"/>
          <w:color w:val="000000" w:themeColor="text1"/>
          <w:sz w:val="16"/>
          <w:szCs w:val="16"/>
          <w:lang w:eastAsia="es-ES_tradnl"/>
        </w:rPr>
      </w:pPr>
      <w:r w:rsidRPr="00D50FED">
        <w:rPr>
          <w:rStyle w:val="FootnoteReferenc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Una vez otorgada la correspondiente escritura pública de compraventa, esta deberá ser inscrita en la Oficina de Instrumentos Públicos respectiva, conforme a lo previsto en el artículo 14 de la Ley 9 de 1989, modificado por el artículo 34 de la Ley 3 de 1991</w:t>
      </w:r>
      <w:r w:rsidRPr="00D50FED">
        <w:rPr>
          <w:rFonts w:ascii="Verdana" w:eastAsia="Times New Roman" w:hAnsi="Verdana" w:cs="Arial"/>
          <w:color w:val="000000" w:themeColor="text1"/>
          <w:sz w:val="16"/>
          <w:szCs w:val="16"/>
          <w:lang w:eastAsia="es-ES_tradnl"/>
        </w:rPr>
        <w:t>.</w:t>
      </w:r>
    </w:p>
  </w:footnote>
  <w:footnote w:id="39">
    <w:p w14:paraId="4AA493E1" w14:textId="77777777" w:rsidR="00D93852" w:rsidRPr="00D50FED" w:rsidRDefault="00D93852" w:rsidP="00D93852">
      <w:pPr>
        <w:pStyle w:val="FootnoteText"/>
        <w:snapToGrid w:val="0"/>
        <w:ind w:firstLine="708"/>
        <w:contextualSpacing/>
        <w:jc w:val="both"/>
        <w:rPr>
          <w:rFonts w:ascii="Verdana" w:hAnsi="Verdana" w:cs="Arial"/>
          <w:color w:val="000000" w:themeColor="text1"/>
          <w:sz w:val="16"/>
          <w:szCs w:val="16"/>
          <w:lang w:val="es-CO"/>
        </w:rPr>
      </w:pPr>
      <w:r w:rsidRPr="00D50FED">
        <w:rPr>
          <w:rStyle w:val="FootnoteReferenc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Postura que también fue desarrollada con mayor detalle en el concepto con radicado de salida No. 2201913000008597 del 19 de noviembre de 2019 –rad. De entrada 2201913000008597–, proferido por esta Agencia. (Disponible en: </w:t>
      </w:r>
      <w:hyperlink r:id="rId2" w:history="1">
        <w:r w:rsidRPr="00D50FED">
          <w:rPr>
            <w:rStyle w:val="Hyperlink"/>
            <w:rFonts w:ascii="Verdana" w:hAnsi="Verdana" w:cs="Arial"/>
            <w:color w:val="000000" w:themeColor="text1"/>
            <w:sz w:val="16"/>
            <w:szCs w:val="16"/>
          </w:rPr>
          <w:t>https://relatoria.colombiacompra.gov.co/ficha/4201912000005718</w:t>
        </w:r>
      </w:hyperlink>
      <w:r w:rsidRPr="00D50FED">
        <w:rPr>
          <w:rFonts w:ascii="Verdana" w:hAnsi="Verdana" w:cs="Arial"/>
          <w:color w:val="000000" w:themeColor="text1"/>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Header"/>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Header"/>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45" type="#_x0000_t75" style="width:15.25pt;height:15.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A7072FC"/>
    <w:multiLevelType w:val="hybridMultilevel"/>
    <w:tmpl w:val="7F2E9ED0"/>
    <w:lvl w:ilvl="0" w:tplc="8BCEE1AE">
      <w:start w:val="1"/>
      <w:numFmt w:val="lowerRoman"/>
      <w:lvlText w:val="%1)"/>
      <w:lvlJc w:val="left"/>
      <w:pPr>
        <w:ind w:left="800" w:hanging="720"/>
      </w:pPr>
      <w:rPr>
        <w:rFonts w:eastAsia="Arial" w:hint="default"/>
      </w:rPr>
    </w:lvl>
    <w:lvl w:ilvl="1" w:tplc="04090019" w:tentative="1">
      <w:start w:val="1"/>
      <w:numFmt w:val="lowerLetter"/>
      <w:lvlText w:val="%2."/>
      <w:lvlJc w:val="left"/>
      <w:pPr>
        <w:ind w:left="1160" w:hanging="360"/>
      </w:pPr>
    </w:lvl>
    <w:lvl w:ilvl="2" w:tplc="0409001B" w:tentative="1">
      <w:start w:val="1"/>
      <w:numFmt w:val="lowerRoman"/>
      <w:lvlText w:val="%3."/>
      <w:lvlJc w:val="right"/>
      <w:pPr>
        <w:ind w:left="1880" w:hanging="180"/>
      </w:pPr>
    </w:lvl>
    <w:lvl w:ilvl="3" w:tplc="0409000F" w:tentative="1">
      <w:start w:val="1"/>
      <w:numFmt w:val="decimal"/>
      <w:lvlText w:val="%4."/>
      <w:lvlJc w:val="left"/>
      <w:pPr>
        <w:ind w:left="2600" w:hanging="360"/>
      </w:pPr>
    </w:lvl>
    <w:lvl w:ilvl="4" w:tplc="04090019" w:tentative="1">
      <w:start w:val="1"/>
      <w:numFmt w:val="lowerLetter"/>
      <w:lvlText w:val="%5."/>
      <w:lvlJc w:val="left"/>
      <w:pPr>
        <w:ind w:left="3320" w:hanging="360"/>
      </w:pPr>
    </w:lvl>
    <w:lvl w:ilvl="5" w:tplc="0409001B" w:tentative="1">
      <w:start w:val="1"/>
      <w:numFmt w:val="lowerRoman"/>
      <w:lvlText w:val="%6."/>
      <w:lvlJc w:val="right"/>
      <w:pPr>
        <w:ind w:left="4040" w:hanging="180"/>
      </w:pPr>
    </w:lvl>
    <w:lvl w:ilvl="6" w:tplc="0409000F" w:tentative="1">
      <w:start w:val="1"/>
      <w:numFmt w:val="decimal"/>
      <w:lvlText w:val="%7."/>
      <w:lvlJc w:val="left"/>
      <w:pPr>
        <w:ind w:left="4760" w:hanging="360"/>
      </w:pPr>
    </w:lvl>
    <w:lvl w:ilvl="7" w:tplc="04090019" w:tentative="1">
      <w:start w:val="1"/>
      <w:numFmt w:val="lowerLetter"/>
      <w:lvlText w:val="%8."/>
      <w:lvlJc w:val="left"/>
      <w:pPr>
        <w:ind w:left="5480" w:hanging="360"/>
      </w:pPr>
    </w:lvl>
    <w:lvl w:ilvl="8" w:tplc="0409001B" w:tentative="1">
      <w:start w:val="1"/>
      <w:numFmt w:val="lowerRoman"/>
      <w:lvlText w:val="%9."/>
      <w:lvlJc w:val="right"/>
      <w:pPr>
        <w:ind w:left="620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C76683A"/>
    <w:multiLevelType w:val="hybridMultilevel"/>
    <w:tmpl w:val="192E4DD8"/>
    <w:lvl w:ilvl="0" w:tplc="2B9EC12A">
      <w:start w:val="1"/>
      <w:numFmt w:val="bullet"/>
      <w:lvlText w:val="-"/>
      <w:lvlJc w:val="left"/>
      <w:pPr>
        <w:ind w:left="1069" w:hanging="360"/>
      </w:pPr>
      <w:rPr>
        <w:rFonts w:ascii="Verdana" w:eastAsia="Verdana" w:hAnsi="Verdana" w:cs="Verdana"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3DFE6C8D"/>
    <w:multiLevelType w:val="hybridMultilevel"/>
    <w:tmpl w:val="78E2F300"/>
    <w:lvl w:ilvl="0" w:tplc="0409000F">
      <w:start w:val="1"/>
      <w:numFmt w:val="decimal"/>
      <w:lvlText w:val="%1."/>
      <w:lvlJc w:val="left"/>
      <w:pPr>
        <w:ind w:left="1070" w:hanging="360"/>
      </w:p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2"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2A578F2"/>
    <w:multiLevelType w:val="hybridMultilevel"/>
    <w:tmpl w:val="FC782C22"/>
    <w:lvl w:ilvl="0" w:tplc="27ECD8AC">
      <w:start w:val="1"/>
      <w:numFmt w:val="lowerRoman"/>
      <w:lvlText w:val="%1)"/>
      <w:lvlJc w:val="left"/>
      <w:pPr>
        <w:ind w:left="1420" w:hanging="720"/>
      </w:pPr>
      <w:rPr>
        <w:rFonts w:hint="default"/>
      </w:r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num w:numId="1" w16cid:durableId="948779781">
    <w:abstractNumId w:val="7"/>
  </w:num>
  <w:num w:numId="2" w16cid:durableId="19822139">
    <w:abstractNumId w:val="1"/>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6"/>
  </w:num>
  <w:num w:numId="7" w16cid:durableId="1946422806">
    <w:abstractNumId w:val="6"/>
  </w:num>
  <w:num w:numId="8" w16cid:durableId="152644682">
    <w:abstractNumId w:val="15"/>
  </w:num>
  <w:num w:numId="9" w16cid:durableId="1317221377">
    <w:abstractNumId w:val="8"/>
  </w:num>
  <w:num w:numId="10" w16cid:durableId="1471245386">
    <w:abstractNumId w:val="14"/>
  </w:num>
  <w:num w:numId="11" w16cid:durableId="289172385">
    <w:abstractNumId w:val="9"/>
  </w:num>
  <w:num w:numId="12" w16cid:durableId="1470781324">
    <w:abstractNumId w:val="0"/>
  </w:num>
  <w:num w:numId="13" w16cid:durableId="1512908409">
    <w:abstractNumId w:val="3"/>
  </w:num>
  <w:num w:numId="14" w16cid:durableId="895897244">
    <w:abstractNumId w:val="17"/>
  </w:num>
  <w:num w:numId="15" w16cid:durableId="390349800">
    <w:abstractNumId w:val="13"/>
  </w:num>
  <w:num w:numId="16" w16cid:durableId="153255849">
    <w:abstractNumId w:val="12"/>
  </w:num>
  <w:num w:numId="17" w16cid:durableId="319966317">
    <w:abstractNumId w:val="2"/>
  </w:num>
  <w:num w:numId="18" w16cid:durableId="679089576">
    <w:abstractNumId w:val="10"/>
  </w:num>
  <w:num w:numId="19" w16cid:durableId="697318691">
    <w:abstractNumId w:val="4"/>
  </w:num>
  <w:num w:numId="20" w16cid:durableId="484509577">
    <w:abstractNumId w:val="11"/>
  </w:num>
  <w:num w:numId="21" w16cid:durableId="106568571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3B6"/>
    <w:rsid w:val="00016F78"/>
    <w:rsid w:val="00034572"/>
    <w:rsid w:val="00046945"/>
    <w:rsid w:val="00061B2A"/>
    <w:rsid w:val="000716AF"/>
    <w:rsid w:val="00082362"/>
    <w:rsid w:val="000977C7"/>
    <w:rsid w:val="000A515D"/>
    <w:rsid w:val="000A683E"/>
    <w:rsid w:val="000B19B9"/>
    <w:rsid w:val="000D0334"/>
    <w:rsid w:val="000F6486"/>
    <w:rsid w:val="001146AE"/>
    <w:rsid w:val="00125105"/>
    <w:rsid w:val="00127233"/>
    <w:rsid w:val="0017691C"/>
    <w:rsid w:val="001E4177"/>
    <w:rsid w:val="001F7DC6"/>
    <w:rsid w:val="002421BB"/>
    <w:rsid w:val="0025796E"/>
    <w:rsid w:val="00265E68"/>
    <w:rsid w:val="002707A2"/>
    <w:rsid w:val="002951A0"/>
    <w:rsid w:val="002962BC"/>
    <w:rsid w:val="002A093D"/>
    <w:rsid w:val="002A0DD0"/>
    <w:rsid w:val="002A49AC"/>
    <w:rsid w:val="002A64FD"/>
    <w:rsid w:val="002C7A84"/>
    <w:rsid w:val="002E4FD9"/>
    <w:rsid w:val="00322A85"/>
    <w:rsid w:val="00324168"/>
    <w:rsid w:val="003378D8"/>
    <w:rsid w:val="003448F4"/>
    <w:rsid w:val="003509E8"/>
    <w:rsid w:val="00374F5E"/>
    <w:rsid w:val="00377E3E"/>
    <w:rsid w:val="003A09EE"/>
    <w:rsid w:val="003A779E"/>
    <w:rsid w:val="003D0F4D"/>
    <w:rsid w:val="003D5B0D"/>
    <w:rsid w:val="003E0499"/>
    <w:rsid w:val="003F3941"/>
    <w:rsid w:val="00406575"/>
    <w:rsid w:val="00414C74"/>
    <w:rsid w:val="0042722E"/>
    <w:rsid w:val="0044528D"/>
    <w:rsid w:val="00445813"/>
    <w:rsid w:val="004A1847"/>
    <w:rsid w:val="004A305D"/>
    <w:rsid w:val="004D43C1"/>
    <w:rsid w:val="004F21C4"/>
    <w:rsid w:val="004F685F"/>
    <w:rsid w:val="00502B68"/>
    <w:rsid w:val="0052446B"/>
    <w:rsid w:val="005566E8"/>
    <w:rsid w:val="00563664"/>
    <w:rsid w:val="00574867"/>
    <w:rsid w:val="00591460"/>
    <w:rsid w:val="005C3777"/>
    <w:rsid w:val="005C5CDC"/>
    <w:rsid w:val="005D476C"/>
    <w:rsid w:val="006219F8"/>
    <w:rsid w:val="006302F7"/>
    <w:rsid w:val="00665D70"/>
    <w:rsid w:val="006900D9"/>
    <w:rsid w:val="006A760C"/>
    <w:rsid w:val="00706C16"/>
    <w:rsid w:val="00723093"/>
    <w:rsid w:val="00756841"/>
    <w:rsid w:val="007649AB"/>
    <w:rsid w:val="00771D0C"/>
    <w:rsid w:val="00773420"/>
    <w:rsid w:val="007833AC"/>
    <w:rsid w:val="00797BD0"/>
    <w:rsid w:val="007A3A01"/>
    <w:rsid w:val="007B268C"/>
    <w:rsid w:val="007B7171"/>
    <w:rsid w:val="007C0C0F"/>
    <w:rsid w:val="007C3DC2"/>
    <w:rsid w:val="007E5497"/>
    <w:rsid w:val="00806F5F"/>
    <w:rsid w:val="00816D70"/>
    <w:rsid w:val="00820278"/>
    <w:rsid w:val="00867F95"/>
    <w:rsid w:val="008843B6"/>
    <w:rsid w:val="00891928"/>
    <w:rsid w:val="00897A3A"/>
    <w:rsid w:val="008A446D"/>
    <w:rsid w:val="008D180B"/>
    <w:rsid w:val="008F0EA7"/>
    <w:rsid w:val="00921105"/>
    <w:rsid w:val="00923EEF"/>
    <w:rsid w:val="00934109"/>
    <w:rsid w:val="009419F9"/>
    <w:rsid w:val="0095685E"/>
    <w:rsid w:val="00961B09"/>
    <w:rsid w:val="00965334"/>
    <w:rsid w:val="0097093E"/>
    <w:rsid w:val="009855B8"/>
    <w:rsid w:val="009A0DFA"/>
    <w:rsid w:val="009A3E62"/>
    <w:rsid w:val="009B25A8"/>
    <w:rsid w:val="009B2D26"/>
    <w:rsid w:val="009B565D"/>
    <w:rsid w:val="009C71FA"/>
    <w:rsid w:val="009C72E7"/>
    <w:rsid w:val="009D3058"/>
    <w:rsid w:val="009F3A13"/>
    <w:rsid w:val="00A122D3"/>
    <w:rsid w:val="00A17F13"/>
    <w:rsid w:val="00A20739"/>
    <w:rsid w:val="00A33C78"/>
    <w:rsid w:val="00A40428"/>
    <w:rsid w:val="00A74B68"/>
    <w:rsid w:val="00A815F8"/>
    <w:rsid w:val="00A82F71"/>
    <w:rsid w:val="00AB0ADB"/>
    <w:rsid w:val="00AD612F"/>
    <w:rsid w:val="00B00C0E"/>
    <w:rsid w:val="00B01B1A"/>
    <w:rsid w:val="00B0244A"/>
    <w:rsid w:val="00B360FC"/>
    <w:rsid w:val="00B44A47"/>
    <w:rsid w:val="00B72CD3"/>
    <w:rsid w:val="00B72FFF"/>
    <w:rsid w:val="00B97117"/>
    <w:rsid w:val="00BC3D36"/>
    <w:rsid w:val="00BD7F72"/>
    <w:rsid w:val="00C04FB3"/>
    <w:rsid w:val="00C330EB"/>
    <w:rsid w:val="00C754BE"/>
    <w:rsid w:val="00C76B1C"/>
    <w:rsid w:val="00CB6357"/>
    <w:rsid w:val="00CC1B26"/>
    <w:rsid w:val="00D423A2"/>
    <w:rsid w:val="00D520D8"/>
    <w:rsid w:val="00D63AC2"/>
    <w:rsid w:val="00D7383B"/>
    <w:rsid w:val="00D93852"/>
    <w:rsid w:val="00DA231B"/>
    <w:rsid w:val="00DC39FC"/>
    <w:rsid w:val="00DF5254"/>
    <w:rsid w:val="00DF6B07"/>
    <w:rsid w:val="00E16408"/>
    <w:rsid w:val="00E20894"/>
    <w:rsid w:val="00E245AB"/>
    <w:rsid w:val="00E2764C"/>
    <w:rsid w:val="00E27F2E"/>
    <w:rsid w:val="00E50AFE"/>
    <w:rsid w:val="00E67879"/>
    <w:rsid w:val="00E75C92"/>
    <w:rsid w:val="00E771DC"/>
    <w:rsid w:val="00E8636D"/>
    <w:rsid w:val="00E8772A"/>
    <w:rsid w:val="00E90F6B"/>
    <w:rsid w:val="00E92C27"/>
    <w:rsid w:val="00EA0E3D"/>
    <w:rsid w:val="00EA15E7"/>
    <w:rsid w:val="00EA5A0C"/>
    <w:rsid w:val="00EC38A7"/>
    <w:rsid w:val="00EC4D09"/>
    <w:rsid w:val="00EE1AA8"/>
    <w:rsid w:val="00F31EDC"/>
    <w:rsid w:val="00F462B3"/>
    <w:rsid w:val="00F5664F"/>
    <w:rsid w:val="00F666C4"/>
    <w:rsid w:val="00F74D34"/>
    <w:rsid w:val="00F76AFC"/>
    <w:rsid w:val="00FA47C0"/>
    <w:rsid w:val="00FB5DD1"/>
    <w:rsid w:val="00FC2B5D"/>
    <w:rsid w:val="00FD4A51"/>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link w:val="NormalWebCh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D93852"/>
    <w:pPr>
      <w:spacing w:line="240" w:lineRule="exact"/>
    </w:pPr>
    <w:rPr>
      <w:vertAlign w:val="superscript"/>
    </w:rPr>
  </w:style>
  <w:style w:type="character" w:customStyle="1" w:styleId="baj">
    <w:name w:val="b_aj"/>
    <w:basedOn w:val="DefaultParagraphFont"/>
    <w:rsid w:val="00D93852"/>
  </w:style>
  <w:style w:type="character" w:customStyle="1" w:styleId="NormalWebChar">
    <w:name w:val="Normal (Web) Char"/>
    <w:link w:val="NormalWeb"/>
    <w:uiPriority w:val="99"/>
    <w:locked/>
    <w:rsid w:val="00D93852"/>
    <w:rPr>
      <w:rFonts w:ascii="Times New Roman" w:eastAsia="Times New Roman" w:hAnsi="Times New Roman" w:cs="Times New Roman"/>
      <w:sz w:val="24"/>
      <w:szCs w:val="24"/>
      <w:lang w:eastAsia="es-CO"/>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D93852"/>
    <w:rPr>
      <w:rFonts w:ascii="Geomanist Light" w:hAnsi="Geomanist Light"/>
      <w:lang w:val="es-ES"/>
    </w:rPr>
  </w:style>
  <w:style w:type="paragraph" w:styleId="BodyText">
    <w:name w:val="Body Text"/>
    <w:basedOn w:val="Normal"/>
    <w:link w:val="BodyTextChar"/>
    <w:uiPriority w:val="1"/>
    <w:unhideWhenUsed/>
    <w:qFormat/>
    <w:rsid w:val="00D93852"/>
    <w:pPr>
      <w:spacing w:after="120"/>
    </w:pPr>
  </w:style>
  <w:style w:type="character" w:customStyle="1" w:styleId="BodyTextChar">
    <w:name w:val="Body Text Char"/>
    <w:basedOn w:val="DefaultParagraphFont"/>
    <w:link w:val="BodyText"/>
    <w:uiPriority w:val="1"/>
    <w:rsid w:val="00D938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20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au.valencia0420@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s://relatoria.colombiacompra.gov.co/ficha/4201912000005718" TargetMode="External"/><Relationship Id="rId1" Type="http://schemas.openxmlformats.org/officeDocument/2006/relationships/hyperlink" Target="https://www.auditoria.gov.co/vigente/-/document_library/oatcORItavl8/view/325312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f2aded54591a7fd7c71e00322775124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8225e9d864fb3b86d94084293229f75"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339AE0C-8F75-430F-B428-6882D6D99C9D}"/>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33</Pages>
  <Words>10899</Words>
  <Characters>62126</Characters>
  <Application>Microsoft Office Word</Application>
  <DocSecurity>0</DocSecurity>
  <Lines>517</Lines>
  <Paragraphs>145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72880</CharactersWithSpaces>
  <SharedDoc>false</SharedDoc>
  <HLinks>
    <vt:vector size="24" baseType="variant">
      <vt:variant>
        <vt:i4>7209021</vt:i4>
      </vt:variant>
      <vt:variant>
        <vt:i4>3</vt:i4>
      </vt:variant>
      <vt:variant>
        <vt:i4>0</vt:i4>
      </vt:variant>
      <vt:variant>
        <vt:i4>5</vt:i4>
      </vt:variant>
      <vt:variant>
        <vt:lpwstr>https://relatoria.colombiacompra.gov.co/busqueda/concept os</vt:lpwstr>
      </vt:variant>
      <vt:variant>
        <vt:lpwstr/>
      </vt:variant>
      <vt:variant>
        <vt:i4>6357006</vt:i4>
      </vt:variant>
      <vt:variant>
        <vt:i4>0</vt:i4>
      </vt:variant>
      <vt:variant>
        <vt:i4>0</vt:i4>
      </vt:variant>
      <vt:variant>
        <vt:i4>5</vt:i4>
      </vt:variant>
      <vt:variant>
        <vt:lpwstr>mailto:lau.valencia0420@gmail.com</vt:lpwstr>
      </vt:variant>
      <vt:variant>
        <vt:lpwstr/>
      </vt:variant>
      <vt:variant>
        <vt:i4>4063265</vt:i4>
      </vt:variant>
      <vt:variant>
        <vt:i4>3</vt:i4>
      </vt:variant>
      <vt:variant>
        <vt:i4>0</vt:i4>
      </vt:variant>
      <vt:variant>
        <vt:i4>5</vt:i4>
      </vt:variant>
      <vt:variant>
        <vt:lpwstr>https://relatoria.colombiacompra.gov.co/ficha/4201912000005718</vt:lpwstr>
      </vt:variant>
      <vt:variant>
        <vt:lpwstr/>
      </vt:variant>
      <vt:variant>
        <vt:i4>3997708</vt:i4>
      </vt:variant>
      <vt:variant>
        <vt:i4>0</vt:i4>
      </vt:variant>
      <vt:variant>
        <vt:i4>0</vt:i4>
      </vt:variant>
      <vt:variant>
        <vt:i4>5</vt:i4>
      </vt:variant>
      <vt:variant>
        <vt:lpwstr>https://www.auditoria.gov.co/vigente/-/document_library/oatcORItavl8/view/3253128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4</cp:revision>
  <cp:lastPrinted>2023-01-10T21:18:00Z</cp:lastPrinted>
  <dcterms:created xsi:type="dcterms:W3CDTF">2025-10-08T19:11:00Z</dcterms:created>
  <dcterms:modified xsi:type="dcterms:W3CDTF">2025-10-08T19:14:00Z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