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240F7" w14:textId="77777777" w:rsidR="00294773" w:rsidRPr="003D0433" w:rsidRDefault="00294773" w:rsidP="00294773">
      <w:pPr>
        <w:spacing w:line="276" w:lineRule="auto"/>
        <w:jc w:val="both"/>
        <w:rPr>
          <w:rFonts w:ascii="Verdana" w:eastAsia="Calibri" w:hAnsi="Verdana" w:cs="Arial"/>
          <w:b/>
        </w:rPr>
      </w:pPr>
      <w:bookmarkStart w:id="0" w:name="_Hlk143780582"/>
      <w:r w:rsidRPr="003D0433">
        <w:rPr>
          <w:rFonts w:ascii="Verdana" w:eastAsia="Calibri" w:hAnsi="Verdana" w:cs="Arial"/>
          <w:b/>
        </w:rPr>
        <w:t xml:space="preserve">SUBSANABILIDAD DE LAS OFERTAS – Alcance de la regla – Ley 1882 de 2018 – Ámbito temporal – Criterio material </w:t>
      </w:r>
    </w:p>
    <w:p w14:paraId="17B33A6B" w14:textId="77777777" w:rsidR="00294773" w:rsidRPr="00773D24" w:rsidRDefault="00294773" w:rsidP="00294773">
      <w:pPr>
        <w:spacing w:line="276" w:lineRule="auto"/>
        <w:jc w:val="both"/>
        <w:rPr>
          <w:rFonts w:ascii="Verdana" w:eastAsia="Calibri" w:hAnsi="Verdana" w:cs="Arial"/>
          <w:sz w:val="20"/>
        </w:rPr>
      </w:pPr>
      <w:r w:rsidRPr="00773D24">
        <w:rPr>
          <w:rFonts w:ascii="Verdana" w:eastAsia="Calibri" w:hAnsi="Verdana" w:cs="Arial"/>
          <w:sz w:val="20"/>
        </w:rPr>
        <w:t xml:space="preserve">En ese orden de ideas, extendiendo las anteriores consideraciones a la regla de </w:t>
      </w:r>
      <w:proofErr w:type="spellStart"/>
      <w:r w:rsidRPr="00773D24">
        <w:rPr>
          <w:rFonts w:ascii="Verdana" w:eastAsia="Calibri" w:hAnsi="Verdana" w:cs="Arial"/>
          <w:sz w:val="20"/>
        </w:rPr>
        <w:t>subsanabilidad</w:t>
      </w:r>
      <w:proofErr w:type="spellEnd"/>
      <w:r w:rsidRPr="00773D24">
        <w:rPr>
          <w:rFonts w:ascii="Verdana" w:eastAsia="Calibri" w:hAnsi="Verdana" w:cs="Arial"/>
          <w:sz w:val="20"/>
        </w:rPr>
        <w:t xml:space="preserve"> consagrada en el parágrafo 1 del artículo 5 de la Ley 1150 de 2007 –modificado por la Ley 1882 de 2018–</w:t>
      </w:r>
      <w:r w:rsidRPr="00773D24">
        <w:rPr>
          <w:rFonts w:ascii="Verdana" w:eastAsia="Calibri" w:hAnsi="Verdana" w:cs="Arial"/>
          <w:i/>
          <w:iCs/>
          <w:sz w:val="20"/>
        </w:rPr>
        <w:t>,</w:t>
      </w:r>
      <w:r w:rsidRPr="00773D24">
        <w:rPr>
          <w:rFonts w:ascii="Verdana" w:eastAsia="Calibri" w:hAnsi="Verdana" w:cs="Arial"/>
          <w:sz w:val="20"/>
        </w:rPr>
        <w:t xml:space="preserve"> en el caso de la modalidad de licitación pública, los proponentes podrán subsanar los requisitos habilitantes que sean solicitados en el informe de evaluación durante el traslado del informe de evaluación, de cinco (5) días hábiles, por lo que después de finalizado el plazo señalado y expedido el informe de evaluación definitivo, los proponentes únicamente podrán pronunciarse sobre las respuestas dadas por la Entidad Estatal a las observaciones presentadas respecto del informe de evaluación definitivo, lo cual no implica una nueva oportunidad para mejorar o modificar, es decir no podrían subsanar ningún requisito habilitante a la luz de lo señalado en el numeral 1 del artículo 2.2.1.2.1.1.2. del Decreto 1082 de 2015, vencido el término de traslado del respectivo informe de evaluación</w:t>
      </w:r>
      <w:r>
        <w:rPr>
          <w:rFonts w:ascii="Verdana" w:eastAsia="Calibri" w:hAnsi="Verdana" w:cs="Arial"/>
          <w:sz w:val="20"/>
        </w:rPr>
        <w:t>.</w:t>
      </w:r>
    </w:p>
    <w:p w14:paraId="51D4E9EB" w14:textId="77777777" w:rsidR="00294773" w:rsidRDefault="00294773" w:rsidP="00294773">
      <w:pPr>
        <w:spacing w:line="276" w:lineRule="auto"/>
        <w:jc w:val="both"/>
        <w:rPr>
          <w:rFonts w:ascii="Verdana" w:eastAsia="Calibri" w:hAnsi="Verdana" w:cs="Arial"/>
        </w:rPr>
      </w:pPr>
    </w:p>
    <w:p w14:paraId="701ECE69" w14:textId="77777777" w:rsidR="00294773" w:rsidRPr="003D0433" w:rsidRDefault="00294773" w:rsidP="00294773">
      <w:pPr>
        <w:spacing w:line="276" w:lineRule="auto"/>
        <w:jc w:val="both"/>
        <w:rPr>
          <w:rFonts w:ascii="Verdana" w:eastAsia="Calibri" w:hAnsi="Verdana" w:cs="Arial"/>
          <w:b/>
          <w:lang w:val="es-ES_tradnl"/>
        </w:rPr>
      </w:pPr>
      <w:r w:rsidRPr="003D0433">
        <w:rPr>
          <w:rFonts w:ascii="Verdana" w:eastAsia="Calibri" w:hAnsi="Verdana" w:cs="Arial"/>
          <w:b/>
        </w:rPr>
        <w:t xml:space="preserve">LICITACIÓN PÚBLICA – Regla de </w:t>
      </w:r>
      <w:proofErr w:type="spellStart"/>
      <w:r w:rsidRPr="003D0433">
        <w:rPr>
          <w:rFonts w:ascii="Verdana" w:eastAsia="Calibri" w:hAnsi="Verdana" w:cs="Arial"/>
          <w:b/>
        </w:rPr>
        <w:t>subsanabilidad</w:t>
      </w:r>
      <w:proofErr w:type="spellEnd"/>
      <w:r w:rsidRPr="003D0433">
        <w:rPr>
          <w:rFonts w:ascii="Verdana" w:eastAsia="Calibri" w:hAnsi="Verdana" w:cs="Arial"/>
          <w:b/>
        </w:rPr>
        <w:t xml:space="preserve"> – Tiempo límite – Alcance normativo </w:t>
      </w:r>
    </w:p>
    <w:p w14:paraId="68E17D84" w14:textId="77777777" w:rsidR="00294773" w:rsidRDefault="00294773" w:rsidP="00294773">
      <w:pPr>
        <w:spacing w:after="0"/>
        <w:jc w:val="both"/>
        <w:rPr>
          <w:rFonts w:ascii="Verdana" w:eastAsia="Calibri" w:hAnsi="Verdana" w:cs="Arial"/>
          <w:sz w:val="20"/>
        </w:rPr>
      </w:pPr>
      <w:r w:rsidRPr="00773D24">
        <w:rPr>
          <w:rFonts w:ascii="Verdana" w:eastAsia="Calibri" w:hAnsi="Verdana" w:cs="Arial"/>
          <w:sz w:val="20"/>
        </w:rPr>
        <w:t>De lo anterior se encuentra que para el proceso de licitación pública, luego del traslado al informe de evaluación durante cinco (5) días hables, en donde los proponentes pueden realizar subsanaciones y presentar observaciones respecto al informe de evaluación, la Entidad contratante procederá a expedir un informe final de los requisitos habilitantes y los requisitos ponderables diferentes a la oferta económica, el cual se puede entender como el informe de evaluación definitivo, previo a la realización de la audiencia de adjudicación de la que hace mención el numeral 10 del artículo 30 de la Ley 80 de 1993, y que se encuentra desarrollada en el artículo 2.2.1.2.1.1.2. del Decreto 1082 de 2015.</w:t>
      </w:r>
    </w:p>
    <w:p w14:paraId="2D991608" w14:textId="77777777" w:rsidR="00294773" w:rsidRDefault="00294773" w:rsidP="00294773">
      <w:pPr>
        <w:spacing w:after="0"/>
        <w:jc w:val="both"/>
        <w:rPr>
          <w:rFonts w:ascii="Verdana" w:eastAsia="Calibri" w:hAnsi="Verdana" w:cs="Arial"/>
          <w:sz w:val="20"/>
        </w:rPr>
      </w:pPr>
    </w:p>
    <w:p w14:paraId="64EF0C04" w14:textId="77777777" w:rsidR="00294773" w:rsidRDefault="00294773" w:rsidP="00294773">
      <w:pPr>
        <w:spacing w:after="0" w:line="240" w:lineRule="auto"/>
        <w:jc w:val="both"/>
        <w:rPr>
          <w:rFonts w:ascii="Verdana" w:hAnsi="Verdana"/>
          <w:b/>
        </w:rPr>
      </w:pPr>
      <w:r>
        <w:rPr>
          <w:rFonts w:ascii="Verdana" w:eastAsia="Calibri" w:hAnsi="Verdana" w:cs="Arial"/>
          <w:b/>
          <w:lang w:val="es-ES" w:eastAsia="es-ES"/>
        </w:rPr>
        <w:t xml:space="preserve">REQUISITOS HABILITANTES – Noción – Fijación </w:t>
      </w:r>
      <w:r w:rsidRPr="00DF024B">
        <w:rPr>
          <w:rFonts w:ascii="Verdana" w:eastAsia="Calibri" w:hAnsi="Verdana" w:cs="Arial"/>
          <w:b/>
          <w:bCs/>
          <w:lang w:val="es-ES" w:eastAsia="es-ES"/>
        </w:rPr>
        <w:t>–</w:t>
      </w:r>
      <w:r>
        <w:rPr>
          <w:rFonts w:ascii="Verdana" w:eastAsia="Calibri" w:hAnsi="Verdana" w:cs="Arial"/>
          <w:b/>
          <w:lang w:val="es-ES" w:eastAsia="es-ES"/>
        </w:rPr>
        <w:t xml:space="preserve"> Parámetros</w:t>
      </w:r>
    </w:p>
    <w:p w14:paraId="41ACF0DC" w14:textId="77777777" w:rsidR="00294773" w:rsidRDefault="00294773" w:rsidP="00294773">
      <w:pPr>
        <w:spacing w:after="0" w:line="240" w:lineRule="auto"/>
        <w:jc w:val="both"/>
        <w:rPr>
          <w:rFonts w:ascii="Verdana" w:eastAsia="Arial" w:hAnsi="Verdana" w:cs="Arial"/>
          <w:bCs/>
          <w:color w:val="000000" w:themeColor="text1"/>
          <w:sz w:val="20"/>
          <w:szCs w:val="20"/>
        </w:rPr>
      </w:pPr>
    </w:p>
    <w:p w14:paraId="22A107FB" w14:textId="77777777" w:rsidR="00294773" w:rsidRDefault="00294773" w:rsidP="00294773">
      <w:pPr>
        <w:spacing w:after="0" w:line="240" w:lineRule="auto"/>
        <w:jc w:val="both"/>
        <w:rPr>
          <w:rFonts w:ascii="Verdana" w:eastAsia="Arial" w:hAnsi="Verdana" w:cs="Arial"/>
          <w:bCs/>
          <w:color w:val="000000" w:themeColor="text1"/>
          <w:sz w:val="20"/>
          <w:szCs w:val="20"/>
        </w:rPr>
      </w:pPr>
      <w:r>
        <w:rPr>
          <w:rFonts w:ascii="Verdana" w:eastAsia="Arial" w:hAnsi="Verdana" w:cs="Arial"/>
          <w:bCs/>
          <w:color w:val="000000" w:themeColor="text1"/>
          <w:sz w:val="20"/>
          <w:szCs w:val="20"/>
        </w:rPr>
        <w:t xml:space="preserve">Los requisitos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16BBFCC8" w14:textId="77777777" w:rsidR="00294773" w:rsidRDefault="00294773" w:rsidP="00294773">
      <w:pPr>
        <w:spacing w:after="0" w:line="240" w:lineRule="auto"/>
        <w:jc w:val="both"/>
        <w:rPr>
          <w:rFonts w:ascii="Verdana" w:eastAsia="Arial" w:hAnsi="Verdana" w:cs="Arial"/>
          <w:bCs/>
          <w:color w:val="000000" w:themeColor="text1"/>
          <w:sz w:val="20"/>
          <w:szCs w:val="20"/>
        </w:rPr>
      </w:pPr>
    </w:p>
    <w:p w14:paraId="44DD3AE8" w14:textId="77777777" w:rsidR="00294773" w:rsidRDefault="00294773" w:rsidP="00294773">
      <w:pPr>
        <w:spacing w:after="0" w:line="240" w:lineRule="auto"/>
        <w:jc w:val="both"/>
        <w:rPr>
          <w:rFonts w:ascii="Verdana" w:hAnsi="Verdana" w:cs="Arial"/>
          <w:bCs/>
          <w:sz w:val="20"/>
          <w:szCs w:val="20"/>
          <w:lang w:eastAsia="es-ES" w:bidi="es-ES"/>
        </w:rPr>
      </w:pPr>
      <w:r>
        <w:rPr>
          <w:rFonts w:ascii="Verdana" w:eastAsia="Times New Roman" w:hAnsi="Verdana" w:cs="Arial"/>
          <w:sz w:val="20"/>
          <w:szCs w:val="20"/>
          <w:lang w:val="es-ES_tradnl" w:eastAsia="es-MX"/>
        </w:rPr>
        <w:t xml:space="preserve">Ahora bien, para determinar cuáles son los requisitos habilitantes que deben exigir dentro de los procesos de contratación es necesario tener en cuenta </w:t>
      </w:r>
      <w:r>
        <w:rPr>
          <w:rFonts w:ascii="Verdana" w:hAnsi="Verdana" w:cs="Arial"/>
          <w:bCs/>
          <w:sz w:val="20"/>
          <w:szCs w:val="20"/>
          <w:lang w:val="es-MX" w:eastAsia="es-ES" w:bidi="es-ES"/>
        </w:rPr>
        <w:t xml:space="preserve">el </w:t>
      </w:r>
      <w:r>
        <w:rPr>
          <w:rFonts w:ascii="Verdana" w:hAnsi="Verdana" w:cs="Arial"/>
          <w:bCs/>
          <w:i/>
          <w:iCs/>
          <w:sz w:val="20"/>
          <w:szCs w:val="20"/>
          <w:lang w:val="es-MX" w:eastAsia="es-ES" w:bidi="es-ES"/>
        </w:rPr>
        <w:t xml:space="preserve">Manual para </w:t>
      </w:r>
      <w:r>
        <w:rPr>
          <w:rFonts w:ascii="Verdana" w:hAnsi="Verdana" w:cs="Arial"/>
          <w:bCs/>
          <w:i/>
          <w:iCs/>
          <w:sz w:val="20"/>
          <w:szCs w:val="20"/>
          <w:lang w:val="es-MX" w:eastAsia="es-ES" w:bidi="es-ES"/>
        </w:rPr>
        <w:lastRenderedPageBreak/>
        <w:t>determinar y verificar los requisitos habilitantes en los procesos de contratación</w:t>
      </w:r>
      <w:r>
        <w:rPr>
          <w:rFonts w:ascii="Verdana" w:hAnsi="Verdana" w:cs="Arial"/>
          <w:bCs/>
          <w:iCs/>
          <w:sz w:val="20"/>
          <w:szCs w:val="20"/>
          <w:lang w:val="es-MX" w:eastAsia="es-ES" w:bidi="es-ES"/>
        </w:rPr>
        <w:t xml:space="preserve"> expedido por la Agencia, en la que se precisa</w:t>
      </w:r>
      <w:r>
        <w:rPr>
          <w:rFonts w:ascii="Verdana" w:hAnsi="Verdana" w:cs="Arial"/>
          <w:bCs/>
          <w:sz w:val="20"/>
          <w:szCs w:val="20"/>
          <w:lang w:val="es-MX" w:eastAsia="es-ES" w:bidi="es-ES"/>
        </w:rPr>
        <w:t xml:space="preserve">: “[…] </w:t>
      </w:r>
      <w:r>
        <w:rPr>
          <w:rFonts w:ascii="Verdana" w:hAnsi="Verdana" w:cs="Arial"/>
          <w:bCs/>
          <w:sz w:val="20"/>
          <w:szCs w:val="20"/>
          <w:lang w:eastAsia="es-ES" w:bidi="es-ES"/>
        </w:rPr>
        <w:t>la Entidad Estatal debe tener como parámetros: (i) el Riesgo del Proceso de Contratación; (</w:t>
      </w:r>
      <w:proofErr w:type="spellStart"/>
      <w:r>
        <w:rPr>
          <w:rFonts w:ascii="Verdana" w:hAnsi="Verdana" w:cs="Arial"/>
          <w:bCs/>
          <w:sz w:val="20"/>
          <w:szCs w:val="20"/>
          <w:lang w:eastAsia="es-ES" w:bidi="es-ES"/>
        </w:rPr>
        <w:t>ii</w:t>
      </w:r>
      <w:proofErr w:type="spellEnd"/>
      <w:r>
        <w:rPr>
          <w:rFonts w:ascii="Verdana" w:hAnsi="Verdana" w:cs="Arial"/>
          <w:bCs/>
          <w:sz w:val="20"/>
          <w:szCs w:val="20"/>
          <w:lang w:eastAsia="es-ES" w:bidi="es-ES"/>
        </w:rPr>
        <w:t>) el valor del contrato objeto del Proceso de Contratación; (</w:t>
      </w:r>
      <w:proofErr w:type="spellStart"/>
      <w:r>
        <w:rPr>
          <w:rFonts w:ascii="Verdana" w:hAnsi="Verdana" w:cs="Arial"/>
          <w:bCs/>
          <w:sz w:val="20"/>
          <w:szCs w:val="20"/>
          <w:lang w:eastAsia="es-ES" w:bidi="es-ES"/>
        </w:rPr>
        <w:t>iii</w:t>
      </w:r>
      <w:proofErr w:type="spellEnd"/>
      <w:r>
        <w:rPr>
          <w:rFonts w:ascii="Verdana" w:hAnsi="Verdana" w:cs="Arial"/>
          <w:bCs/>
          <w:sz w:val="20"/>
          <w:szCs w:val="20"/>
          <w:lang w:eastAsia="es-ES" w:bidi="es-ES"/>
        </w:rPr>
        <w:t>) el análisis del sector económico respectivo; y (</w:t>
      </w:r>
      <w:proofErr w:type="spellStart"/>
      <w:r>
        <w:rPr>
          <w:rFonts w:ascii="Verdana" w:hAnsi="Verdana" w:cs="Arial"/>
          <w:bCs/>
          <w:sz w:val="20"/>
          <w:szCs w:val="20"/>
          <w:lang w:eastAsia="es-ES" w:bidi="es-ES"/>
        </w:rPr>
        <w:t>iv</w:t>
      </w:r>
      <w:proofErr w:type="spellEnd"/>
      <w:r>
        <w:rPr>
          <w:rFonts w:ascii="Verdana" w:hAnsi="Verdana" w:cs="Arial"/>
          <w:bCs/>
          <w:sz w:val="20"/>
          <w:szCs w:val="20"/>
          <w:lang w:eastAsia="es-ES" w:bidi="es-ES"/>
        </w:rPr>
        <w:t xml:space="preserve">) el conocimiento de fondo de los posibles oferentes desde la perspectiva comercial”. Además, la Agencia expresa: “Entidades Estatales deben fijar los requisitos habilitantes que se incluirán en los pliegos de condiciones o documentos equivalentes durante la etapa de planeación del contrato estatal, después de haber adelantado el análisis del sector relativo al objeto del Proceso de Contratación, de tal manera que la determinación de las condiciones habilitantes se realice a partir del conocimiento de fondo de los posibles oferentes desde el punto de vista comercial y el análisis de Riesgo. </w:t>
      </w:r>
    </w:p>
    <w:p w14:paraId="76299D3C" w14:textId="77777777" w:rsidR="00294773" w:rsidRDefault="00294773" w:rsidP="00294773">
      <w:pPr>
        <w:spacing w:after="0" w:line="240" w:lineRule="auto"/>
        <w:jc w:val="both"/>
        <w:rPr>
          <w:rFonts w:ascii="Verdana" w:hAnsi="Verdana" w:cs="Arial"/>
          <w:bCs/>
          <w:sz w:val="20"/>
          <w:szCs w:val="20"/>
          <w:lang w:val="es-ES_tradnl" w:eastAsia="es-ES" w:bidi="es-ES"/>
        </w:rPr>
      </w:pPr>
    </w:p>
    <w:p w14:paraId="35820786" w14:textId="77777777" w:rsidR="00294773" w:rsidRDefault="00294773" w:rsidP="00294773">
      <w:pPr>
        <w:spacing w:after="0" w:line="240" w:lineRule="auto"/>
        <w:jc w:val="both"/>
        <w:rPr>
          <w:rFonts w:ascii="Verdana" w:hAnsi="Verdana" w:cs="Arial"/>
          <w:bCs/>
          <w:sz w:val="20"/>
          <w:szCs w:val="20"/>
          <w:lang w:eastAsia="es-ES" w:bidi="es-ES"/>
        </w:rPr>
      </w:pPr>
      <w:r>
        <w:rPr>
          <w:rFonts w:ascii="Verdana" w:hAnsi="Verdana" w:cs="Arial"/>
          <w:bCs/>
          <w:sz w:val="20"/>
          <w:szCs w:val="20"/>
          <w:lang w:val="es-ES_tradnl" w:eastAsia="es-ES" w:bidi="es-ES"/>
        </w:rPr>
        <w:t>En el marco de los procesos de contratación, que las entidades estatales tienen restricciones para fijar cierto tipo de documentos como habilitantes, como es el caso, el artículo 5° del parágrafo 2° de la Ley 1150 de 2007, que prescribe: “</w:t>
      </w:r>
      <w:r>
        <w:rPr>
          <w:rFonts w:ascii="Verdana" w:hAnsi="Verdana" w:cs="Arial"/>
          <w:bCs/>
          <w:sz w:val="20"/>
          <w:szCs w:val="20"/>
          <w:lang w:eastAsia="es-ES" w:bidi="es-ES"/>
        </w:rPr>
        <w:t>Las certificaciones de sistemas de gestión de calidad no serán objeto de calificación, ni podrán establecerse como documento habilitante para participar en licitaciones o concursos”.</w:t>
      </w:r>
    </w:p>
    <w:p w14:paraId="58677BEA" w14:textId="77777777" w:rsidR="00294773" w:rsidRDefault="00294773" w:rsidP="00294773">
      <w:pPr>
        <w:spacing w:after="0" w:line="240" w:lineRule="auto"/>
        <w:jc w:val="both"/>
        <w:rPr>
          <w:rFonts w:ascii="Verdana" w:eastAsia="Arial" w:hAnsi="Verdana" w:cs="Arial"/>
          <w:bCs/>
          <w:color w:val="000000" w:themeColor="text1"/>
          <w:sz w:val="20"/>
          <w:szCs w:val="20"/>
        </w:rPr>
      </w:pPr>
    </w:p>
    <w:p w14:paraId="1509B0DA" w14:textId="77777777" w:rsidR="00294773" w:rsidRDefault="00294773" w:rsidP="00294773">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CAPACIDAD – Personas naturales – Personas jurídicas – Objeto social – Actividades principales y conexas</w:t>
      </w:r>
    </w:p>
    <w:p w14:paraId="2FD263CD" w14:textId="77777777" w:rsidR="00294773" w:rsidRDefault="00294773" w:rsidP="00294773">
      <w:pPr>
        <w:spacing w:after="0" w:line="240" w:lineRule="auto"/>
        <w:jc w:val="both"/>
        <w:rPr>
          <w:rFonts w:ascii="Verdana" w:eastAsia="Calibri" w:hAnsi="Verdana" w:cs="Arial"/>
          <w:bCs/>
          <w:color w:val="000000" w:themeColor="text1"/>
          <w:sz w:val="20"/>
          <w:szCs w:val="20"/>
          <w:lang w:val="es-ES_tradnl"/>
        </w:rPr>
      </w:pPr>
    </w:p>
    <w:p w14:paraId="354B89B0" w14:textId="77777777" w:rsidR="00294773" w:rsidRDefault="00294773" w:rsidP="00294773">
      <w:pPr>
        <w:spacing w:after="0" w:line="240" w:lineRule="auto"/>
        <w:jc w:val="both"/>
        <w:rPr>
          <w:rFonts w:ascii="Verdana" w:hAnsi="Verdana" w:cs="Arial"/>
          <w:color w:val="000000" w:themeColor="text1"/>
          <w:sz w:val="20"/>
          <w:szCs w:val="20"/>
        </w:rPr>
      </w:pPr>
      <w:r>
        <w:rPr>
          <w:rFonts w:ascii="Verdana" w:hAnsi="Verdana" w:cs="Arial"/>
          <w:i/>
          <w:iCs/>
          <w:color w:val="000000" w:themeColor="text1"/>
          <w:sz w:val="20"/>
          <w:szCs w:val="20"/>
        </w:rPr>
        <w:t>Respecto a la capacidad jurídica</w:t>
      </w:r>
      <w:r>
        <w:rPr>
          <w:rFonts w:ascii="Verdana" w:hAnsi="Verdana" w:cs="Arial"/>
          <w:color w:val="000000" w:themeColor="text1"/>
          <w:sz w:val="20"/>
          <w:szCs w:val="20"/>
        </w:rPr>
        <w:t xml:space="preserve">, ésta es un presupuesto de la validez de contrato. No en vano, en concordancia con el numeral 1 del artículo 1502 del Código Civil, el artículo 6 de la Ley 80 de 1993 dispone que “Pueden celebrar contratos con las entidades estatales las personas consideradas legalmente capaces en las disposiciones vigentes […]”. Para estos efectos, tratándose de </w:t>
      </w:r>
      <w:r>
        <w:rPr>
          <w:rFonts w:ascii="Verdana" w:hAnsi="Verdana" w:cs="Arial"/>
          <w:i/>
          <w:iCs/>
          <w:color w:val="000000" w:themeColor="text1"/>
          <w:sz w:val="20"/>
          <w:szCs w:val="20"/>
        </w:rPr>
        <w:t>personas naturales</w:t>
      </w:r>
      <w:r>
        <w:rPr>
          <w:rFonts w:ascii="Verdana" w:hAnsi="Verdana" w:cs="Arial"/>
          <w:color w:val="000000" w:themeColor="text1"/>
          <w:sz w:val="20"/>
          <w:szCs w:val="20"/>
        </w:rPr>
        <w:t xml:space="preserve">, si bien todos los seres humanos, por el hecho de gozar de personalidad jurídica, son sujetos de derechos y obligaciones, algunas no pueden ejercerlos por sí mismos, sino a través de interpuesta persona. Lo anterior significa que, si bien todas las personas tienen </w:t>
      </w:r>
      <w:r>
        <w:rPr>
          <w:rFonts w:ascii="Verdana" w:hAnsi="Verdana" w:cs="Arial"/>
          <w:i/>
          <w:color w:val="000000" w:themeColor="text1"/>
          <w:sz w:val="20"/>
          <w:szCs w:val="20"/>
        </w:rPr>
        <w:t>capacidad de goce</w:t>
      </w:r>
      <w:r>
        <w:rPr>
          <w:rFonts w:ascii="Verdana" w:hAnsi="Verdana" w:cs="Arial"/>
          <w:color w:val="000000" w:themeColor="text1"/>
          <w:sz w:val="20"/>
          <w:szCs w:val="20"/>
        </w:rPr>
        <w:t xml:space="preserve">, no todas tienen </w:t>
      </w:r>
      <w:r>
        <w:rPr>
          <w:rFonts w:ascii="Verdana" w:hAnsi="Verdana" w:cs="Arial"/>
          <w:i/>
          <w:color w:val="000000" w:themeColor="text1"/>
          <w:sz w:val="20"/>
          <w:szCs w:val="20"/>
        </w:rPr>
        <w:t>capacidad de ejercicio</w:t>
      </w:r>
      <w:r>
        <w:rPr>
          <w:rFonts w:ascii="Verdana" w:hAnsi="Verdana" w:cs="Arial"/>
          <w:color w:val="000000" w:themeColor="text1"/>
          <w:sz w:val="20"/>
          <w:szCs w:val="20"/>
        </w:rPr>
        <w:t>.</w:t>
      </w:r>
    </w:p>
    <w:p w14:paraId="2DEDF317" w14:textId="77777777" w:rsidR="00294773" w:rsidRDefault="00294773" w:rsidP="00294773">
      <w:pPr>
        <w:spacing w:after="0" w:line="240" w:lineRule="auto"/>
        <w:jc w:val="both"/>
        <w:rPr>
          <w:rFonts w:ascii="Verdana" w:hAnsi="Verdana" w:cs="Arial"/>
          <w:color w:val="000000" w:themeColor="text1"/>
          <w:sz w:val="20"/>
          <w:szCs w:val="20"/>
        </w:rPr>
      </w:pPr>
    </w:p>
    <w:p w14:paraId="1C937E24" w14:textId="77777777" w:rsidR="00294773" w:rsidRDefault="00294773" w:rsidP="00294773">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Al ser distintas de las </w:t>
      </w:r>
      <w:r>
        <w:rPr>
          <w:rFonts w:ascii="Verdana" w:hAnsi="Verdana" w:cs="Arial"/>
          <w:i/>
          <w:iCs/>
          <w:color w:val="000000" w:themeColor="text1"/>
          <w:sz w:val="20"/>
          <w:szCs w:val="20"/>
        </w:rPr>
        <w:t>personas naturales</w:t>
      </w:r>
      <w:r>
        <w:rPr>
          <w:rFonts w:ascii="Verdana" w:hAnsi="Verdana" w:cs="Arial"/>
          <w:color w:val="000000" w:themeColor="text1"/>
          <w:sz w:val="20"/>
          <w:szCs w:val="20"/>
        </w:rPr>
        <w:t xml:space="preserve">, la capacidad de las </w:t>
      </w:r>
      <w:r>
        <w:rPr>
          <w:rFonts w:ascii="Verdana" w:hAnsi="Verdana" w:cs="Arial"/>
          <w:i/>
          <w:iCs/>
          <w:color w:val="000000" w:themeColor="text1"/>
          <w:sz w:val="20"/>
          <w:szCs w:val="20"/>
        </w:rPr>
        <w:t>personas jurídicas</w:t>
      </w:r>
      <w:r>
        <w:rPr>
          <w:rFonts w:ascii="Verdana" w:hAnsi="Verdana" w:cs="Arial"/>
          <w:color w:val="000000" w:themeColor="text1"/>
          <w:sz w:val="20"/>
          <w:szCs w:val="20"/>
        </w:rPr>
        <w:t xml:space="preserve"> tiene carácter especial, no general. Tratándose de las sociedades tipificadas en el Código de Comercio, uno de los requisitos para su constitución –conforme al art. 110.4 </w:t>
      </w:r>
      <w:r>
        <w:rPr>
          <w:rFonts w:ascii="Verdana" w:hAnsi="Verdana" w:cs="Arial"/>
          <w:i/>
          <w:iCs/>
          <w:color w:val="000000" w:themeColor="text1"/>
          <w:sz w:val="20"/>
          <w:szCs w:val="20"/>
        </w:rPr>
        <w:t>ibidem</w:t>
      </w:r>
      <w:r>
        <w:rPr>
          <w:rFonts w:ascii="Verdana" w:hAnsi="Verdana" w:cs="Arial"/>
          <w:color w:val="000000" w:themeColor="text1"/>
          <w:sz w:val="20"/>
          <w:szCs w:val="20"/>
        </w:rPr>
        <w:t xml:space="preserve">– es “El objeto social, esto es, la empresa o negocio de la sociedad, haciendo una enunciación clara y completa de las actividades principales. Será ineficaz la estipulación en virtud de la cual el objeto social se extienda a actividades enunciadas en forma indeterminada o que no tengan una relación directa con aquél”. De esta manera, como indica el artículo 99 </w:t>
      </w:r>
      <w:r>
        <w:rPr>
          <w:rFonts w:ascii="Verdana" w:hAnsi="Verdana" w:cs="Arial"/>
          <w:i/>
          <w:iCs/>
          <w:color w:val="000000" w:themeColor="text1"/>
          <w:sz w:val="20"/>
          <w:szCs w:val="20"/>
        </w:rPr>
        <w:t>ibidem</w:t>
      </w:r>
      <w:r>
        <w:rPr>
          <w:rFonts w:ascii="Verdana" w:hAnsi="Verdana" w:cs="Arial"/>
          <w:color w:val="000000" w:themeColor="text1"/>
          <w:sz w:val="20"/>
          <w:szCs w:val="20"/>
        </w:rPr>
        <w:t xml:space="preserve">, “La capacidad de la sociedad se circunscribirá al desarrollo de la empresa o actividad prevista en su objeto. Se entenderán incluidos en el objeto social los actos directamente relacionados con el mismo y los que tengan como finalidad ejercer los derechos o cumplir las obligaciones, legal o convencionalmente derivados de la existencia y actividad de la sociedad”. </w:t>
      </w:r>
    </w:p>
    <w:p w14:paraId="615AFB2D" w14:textId="77777777" w:rsidR="00294773" w:rsidRDefault="00294773" w:rsidP="00294773">
      <w:pPr>
        <w:spacing w:after="0" w:line="240" w:lineRule="auto"/>
        <w:jc w:val="both"/>
        <w:rPr>
          <w:rFonts w:ascii="Verdana" w:hAnsi="Verdana" w:cs="Arial"/>
          <w:color w:val="000000" w:themeColor="text1"/>
          <w:sz w:val="20"/>
          <w:szCs w:val="20"/>
        </w:rPr>
      </w:pPr>
    </w:p>
    <w:p w14:paraId="7A62CDDA" w14:textId="77777777" w:rsidR="00294773" w:rsidRDefault="00294773" w:rsidP="00294773">
      <w:pPr>
        <w:spacing w:after="0" w:line="240" w:lineRule="auto"/>
        <w:jc w:val="both"/>
        <w:rPr>
          <w:rFonts w:ascii="Verdana" w:hAnsi="Verdana" w:cs="Arial"/>
          <w:bCs/>
          <w:color w:val="000000" w:themeColor="text1"/>
          <w:sz w:val="20"/>
          <w:szCs w:val="20"/>
          <w:lang w:val="es-ES_tradnl"/>
        </w:rPr>
      </w:pPr>
      <w:r>
        <w:rPr>
          <w:rFonts w:ascii="Verdana" w:hAnsi="Verdana" w:cs="Arial"/>
          <w:color w:val="000000" w:themeColor="text1"/>
          <w:sz w:val="20"/>
          <w:szCs w:val="20"/>
          <w:lang w:val="es-ES"/>
        </w:rPr>
        <w:t xml:space="preserve">Aunque lo descrito en el párrafo precedente constituye regla general, excepcionalmente el ordenamiento jurídico permite la constitución de personas jurídicas con objeto indeterminado. Este es el caso de las sociedades por acciones simplificadas, </w:t>
      </w:r>
      <w:r>
        <w:rPr>
          <w:rFonts w:ascii="Verdana" w:hAnsi="Verdana" w:cs="Arial"/>
          <w:color w:val="000000" w:themeColor="text1"/>
          <w:sz w:val="20"/>
          <w:szCs w:val="20"/>
          <w:lang w:val="es-ES"/>
        </w:rPr>
        <w:lastRenderedPageBreak/>
        <w:t>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Pr>
          <w:rFonts w:ascii="Verdana" w:hAnsi="Verdana" w:cs="Arial"/>
          <w:bCs/>
          <w:color w:val="000000" w:themeColor="text1"/>
          <w:sz w:val="20"/>
          <w:szCs w:val="20"/>
          <w:lang w:val="es-ES_tradnl"/>
        </w:rPr>
        <w:t>.</w:t>
      </w:r>
    </w:p>
    <w:p w14:paraId="3B80229A" w14:textId="77777777" w:rsidR="00294773" w:rsidRDefault="00294773" w:rsidP="00294773">
      <w:pPr>
        <w:spacing w:after="0" w:line="240" w:lineRule="auto"/>
        <w:jc w:val="both"/>
        <w:rPr>
          <w:rFonts w:ascii="Verdana" w:eastAsia="Calibri" w:hAnsi="Verdana" w:cs="Arial"/>
          <w:b/>
          <w:color w:val="000000" w:themeColor="text1"/>
          <w:lang w:val="es-ES_tradnl"/>
        </w:rPr>
      </w:pPr>
    </w:p>
    <w:p w14:paraId="3DBC31E8" w14:textId="77777777" w:rsidR="00294773" w:rsidRDefault="00294773" w:rsidP="00294773">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 xml:space="preserve">CLASIFICACIÓN INDUSTRIAL INTERNACIONAL UNIFORME CIIU – Efectos declarativos </w:t>
      </w:r>
    </w:p>
    <w:p w14:paraId="77D36174" w14:textId="77777777" w:rsidR="00294773" w:rsidRDefault="00294773" w:rsidP="00294773">
      <w:pPr>
        <w:spacing w:after="0" w:line="240" w:lineRule="auto"/>
        <w:jc w:val="both"/>
        <w:rPr>
          <w:rFonts w:ascii="Verdana" w:eastAsia="Calibri" w:hAnsi="Verdana" w:cs="Arial"/>
          <w:bCs/>
          <w:color w:val="000000" w:themeColor="text1"/>
          <w:sz w:val="20"/>
          <w:szCs w:val="20"/>
          <w:lang w:val="es-ES_tradnl"/>
        </w:rPr>
      </w:pPr>
    </w:p>
    <w:p w14:paraId="034E869F" w14:textId="77777777" w:rsidR="00294773" w:rsidRDefault="00294773" w:rsidP="00294773">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Ninguna de las normas citadas condiciona la capacidad de las </w:t>
      </w:r>
      <w:r>
        <w:rPr>
          <w:rFonts w:ascii="Verdana" w:hAnsi="Verdana" w:cs="Arial"/>
          <w:i/>
          <w:iCs/>
          <w:color w:val="000000" w:themeColor="text1"/>
          <w:sz w:val="20"/>
          <w:szCs w:val="20"/>
        </w:rPr>
        <w:t>personas jurídicas</w:t>
      </w:r>
      <w:r>
        <w:rPr>
          <w:rFonts w:ascii="Verdana" w:hAnsi="Verdana" w:cs="Arial"/>
          <w:color w:val="000000" w:themeColor="text1"/>
          <w:sz w:val="20"/>
          <w:szCs w:val="20"/>
        </w:rPr>
        <w:t xml:space="preserve"> a los códigos de la </w:t>
      </w:r>
      <w:r>
        <w:rPr>
          <w:rFonts w:ascii="Verdana" w:hAnsi="Verdana" w:cs="Arial"/>
          <w:color w:val="000000" w:themeColor="text1"/>
          <w:sz w:val="20"/>
          <w:szCs w:val="20"/>
          <w:lang w:val="es-ES_tradnl"/>
        </w:rPr>
        <w:t>Clasificación Industrial Internacional Uniforme –CIIU–</w:t>
      </w:r>
      <w:r>
        <w:rPr>
          <w:rFonts w:ascii="Verdana" w:hAnsi="Verdana" w:cs="Arial"/>
          <w:color w:val="000000" w:themeColor="text1"/>
          <w:sz w:val="20"/>
          <w:szCs w:val="20"/>
        </w:rPr>
        <w:t xml:space="preserve">. Ésta corresponde a un sistema estandarizado desarrollado por las Naciones Unidas para clasificar las actividades económicas en distintos sectores. Como explica el DANE, su objetivo es facilitar la recopilación, análisis y comparación de datos estadísticos a nivel nacional e internacional. </w:t>
      </w:r>
    </w:p>
    <w:p w14:paraId="768F2F64" w14:textId="77777777" w:rsidR="00294773" w:rsidRDefault="00294773" w:rsidP="00294773">
      <w:pPr>
        <w:spacing w:after="0" w:line="240" w:lineRule="auto"/>
        <w:jc w:val="both"/>
        <w:rPr>
          <w:rFonts w:ascii="Verdana" w:hAnsi="Verdana" w:cs="Arial"/>
          <w:color w:val="000000" w:themeColor="text1"/>
          <w:sz w:val="20"/>
          <w:szCs w:val="20"/>
          <w:lang w:val="es-ES"/>
        </w:rPr>
      </w:pPr>
    </w:p>
    <w:p w14:paraId="6E1A00EB" w14:textId="77777777" w:rsidR="00294773" w:rsidRDefault="00294773" w:rsidP="00294773">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De esta manera, la </w:t>
      </w:r>
      <w:r>
        <w:rPr>
          <w:rFonts w:ascii="Verdana" w:hAnsi="Verdana" w:cs="Arial"/>
          <w:color w:val="000000" w:themeColor="text1"/>
          <w:sz w:val="20"/>
          <w:szCs w:val="20"/>
          <w:lang w:val="es-ES_tradnl"/>
        </w:rPr>
        <w:t>CIIU</w:t>
      </w:r>
      <w:r>
        <w:rPr>
          <w:rFonts w:ascii="Verdana" w:hAnsi="Verdana" w:cs="Arial"/>
          <w:color w:val="000000" w:themeColor="text1"/>
          <w:sz w:val="20"/>
          <w:szCs w:val="20"/>
        </w:rPr>
        <w:t xml:space="preserve"> tienen efectos declarativos, no constitutivos. Por ello, existe capacidad si el objeto del contrato está relacionado con el objeto social de la </w:t>
      </w:r>
      <w:r>
        <w:rPr>
          <w:rFonts w:ascii="Verdana" w:hAnsi="Verdana" w:cs="Arial"/>
          <w:i/>
          <w:iCs/>
          <w:color w:val="000000" w:themeColor="text1"/>
          <w:sz w:val="20"/>
          <w:szCs w:val="20"/>
        </w:rPr>
        <w:t>persona jurídica</w:t>
      </w:r>
      <w:r>
        <w:rPr>
          <w:rFonts w:ascii="Verdana" w:hAnsi="Verdana" w:cs="Arial"/>
          <w:color w:val="000000" w:themeColor="text1"/>
          <w:sz w:val="20"/>
          <w:szCs w:val="20"/>
        </w:rPr>
        <w:t xml:space="preserve">, y aquella se mantiene, aunque la actividad económica no se haya recogido en la clasificación. De la misma forma, si el código registrado es ajeno al objeto social, dicha situación no hace que la empresa adquiera la capacidad para ejecutar esa actividad en particular. Además, en sociedades con objeto indeterminado –como las sociedades por acciones simplificadas– los códigos del </w:t>
      </w:r>
      <w:r>
        <w:rPr>
          <w:rFonts w:ascii="Verdana" w:hAnsi="Verdana" w:cs="Arial"/>
          <w:color w:val="000000" w:themeColor="text1"/>
          <w:sz w:val="20"/>
          <w:szCs w:val="20"/>
          <w:lang w:val="es-ES_tradnl"/>
        </w:rPr>
        <w:t xml:space="preserve">CIIU no restringen la capacidad de la </w:t>
      </w:r>
      <w:r>
        <w:rPr>
          <w:rFonts w:ascii="Verdana" w:hAnsi="Verdana" w:cs="Arial"/>
          <w:i/>
          <w:iCs/>
          <w:color w:val="000000" w:themeColor="text1"/>
          <w:sz w:val="20"/>
          <w:szCs w:val="20"/>
          <w:lang w:val="es-ES_tradnl"/>
        </w:rPr>
        <w:t>persona jurídica</w:t>
      </w:r>
      <w:r>
        <w:rPr>
          <w:rFonts w:ascii="Verdana" w:hAnsi="Verdana" w:cs="Arial"/>
          <w:color w:val="000000" w:themeColor="text1"/>
          <w:sz w:val="20"/>
          <w:szCs w:val="20"/>
          <w:lang w:val="es-ES_tradnl"/>
        </w:rPr>
        <w:t>, ya que –en las condiciones del</w:t>
      </w:r>
      <w:r>
        <w:rPr>
          <w:rFonts w:ascii="Verdana" w:hAnsi="Verdana" w:cs="Arial"/>
          <w:color w:val="000000" w:themeColor="text1"/>
          <w:sz w:val="20"/>
          <w:szCs w:val="20"/>
        </w:rPr>
        <w:t xml:space="preserve"> artículo 5.4 de la Ley 1258 de 2008– </w:t>
      </w:r>
      <w:r>
        <w:rPr>
          <w:rFonts w:ascii="Verdana" w:hAnsi="Verdana" w:cs="Arial"/>
          <w:color w:val="000000" w:themeColor="text1"/>
          <w:sz w:val="20"/>
          <w:szCs w:val="20"/>
          <w:lang w:val="es-ES_tradnl"/>
        </w:rPr>
        <w:t xml:space="preserve">pueden ejecutar cualquier actividad lícita. </w:t>
      </w:r>
    </w:p>
    <w:p w14:paraId="76A2365F" w14:textId="77777777" w:rsidR="00294773" w:rsidRDefault="00294773" w:rsidP="00294773">
      <w:pPr>
        <w:spacing w:after="0" w:line="240" w:lineRule="auto"/>
        <w:jc w:val="both"/>
        <w:rPr>
          <w:rFonts w:ascii="Verdana" w:hAnsi="Verdana" w:cs="Arial"/>
          <w:color w:val="000000" w:themeColor="text1"/>
          <w:sz w:val="20"/>
          <w:szCs w:val="20"/>
        </w:rPr>
      </w:pPr>
    </w:p>
    <w:p w14:paraId="480CD638" w14:textId="77777777" w:rsidR="00294773" w:rsidRPr="00B146A6" w:rsidRDefault="00294773" w:rsidP="00294773">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rPr>
        <w:t xml:space="preserve">Sin perjuicio de lo anterior, sumado a las implicaciones estadísticas de la </w:t>
      </w:r>
      <w:r>
        <w:rPr>
          <w:rFonts w:ascii="Verdana" w:hAnsi="Verdana" w:cs="Arial"/>
          <w:color w:val="000000" w:themeColor="text1"/>
          <w:sz w:val="20"/>
          <w:szCs w:val="20"/>
          <w:lang w:val="es-ES_tradnl"/>
        </w:rPr>
        <w:t>CIIU, los interesados deben registrar adecuadamente los códigos de sus actividades económicas en el RUES. Lo anterior teniendo en cuenta que son un parámetro para la DIAN en lo relativo al control y determinación de los impuestos y demás obligaciones tributarias, aduaneras y cambiarias</w:t>
      </w:r>
      <w:r>
        <w:rPr>
          <w:rFonts w:ascii="Verdana" w:hAnsi="Verdana" w:cs="Arial"/>
          <w:color w:val="000000" w:themeColor="text1"/>
          <w:sz w:val="20"/>
          <w:szCs w:val="20"/>
        </w:rPr>
        <w:t>.</w:t>
      </w:r>
    </w:p>
    <w:p w14:paraId="2F82F7FD" w14:textId="77777777" w:rsidR="00294773" w:rsidRDefault="00294773" w:rsidP="00294773">
      <w:pPr>
        <w:tabs>
          <w:tab w:val="left" w:pos="362"/>
        </w:tabs>
        <w:spacing w:after="0"/>
        <w:jc w:val="both"/>
        <w:rPr>
          <w:rFonts w:ascii="Verdana" w:eastAsia="Geomanist Light" w:hAnsi="Verdana" w:cs="Arial"/>
          <w:color w:val="000000" w:themeColor="text1"/>
        </w:rPr>
      </w:pPr>
    </w:p>
    <w:p w14:paraId="4E706FFD" w14:textId="77777777" w:rsidR="00294773" w:rsidRPr="00773D24" w:rsidRDefault="00294773" w:rsidP="00294773">
      <w:pPr>
        <w:spacing w:after="0"/>
        <w:jc w:val="both"/>
        <w:rPr>
          <w:rFonts w:ascii="Verdana" w:eastAsia="Calibri" w:hAnsi="Verdana" w:cs="Arial"/>
          <w:sz w:val="20"/>
        </w:rPr>
      </w:pPr>
    </w:p>
    <w:p w14:paraId="4A8516E6" w14:textId="77777777" w:rsidR="00294773" w:rsidRDefault="00294773" w:rsidP="00294773">
      <w:pPr>
        <w:rPr>
          <w:rFonts w:ascii="Verdana" w:eastAsia="Calibri" w:hAnsi="Verdana" w:cs="Times New Roman"/>
        </w:rPr>
      </w:pPr>
      <w:r>
        <w:rPr>
          <w:rFonts w:ascii="Verdana" w:eastAsia="Calibri" w:hAnsi="Verdana" w:cs="Times New Roman"/>
        </w:rPr>
        <w:br w:type="page"/>
      </w:r>
    </w:p>
    <w:p w14:paraId="3D7D1A38" w14:textId="77777777" w:rsidR="00294773" w:rsidRDefault="00294773" w:rsidP="00E245AB">
      <w:pPr>
        <w:spacing w:after="0"/>
        <w:rPr>
          <w:rFonts w:ascii="Verdana" w:hAnsi="Verdana"/>
        </w:rPr>
      </w:pPr>
    </w:p>
    <w:p w14:paraId="23A13EC8" w14:textId="77777777" w:rsidR="00294773" w:rsidRDefault="00294773" w:rsidP="00E245AB">
      <w:pPr>
        <w:spacing w:after="0"/>
        <w:rPr>
          <w:rFonts w:ascii="Verdana" w:hAnsi="Verdana"/>
        </w:rPr>
      </w:pPr>
    </w:p>
    <w:p w14:paraId="3FE2184B" w14:textId="7F0E1089" w:rsidR="00E245AB" w:rsidRPr="0044528D" w:rsidRDefault="00897A3A" w:rsidP="00E245AB">
      <w:pPr>
        <w:spacing w:after="0"/>
        <w:rPr>
          <w:rFonts w:ascii="Verdana" w:hAnsi="Verdana"/>
        </w:rPr>
      </w:pPr>
      <w:r w:rsidRPr="0044528D">
        <w:rPr>
          <w:rFonts w:ascii="Verdana" w:hAnsi="Verdana"/>
        </w:rPr>
        <w:t xml:space="preserve">Bogotá D.C., </w:t>
      </w:r>
      <w:r w:rsidR="006C004F">
        <w:rPr>
          <w:rFonts w:ascii="Verdana" w:hAnsi="Verdana"/>
        </w:rPr>
        <w:t>3 de octubre de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74E319E9" w14:textId="77777777" w:rsidR="00670EF8" w:rsidRDefault="00670EF8" w:rsidP="00670EF8">
      <w:pPr>
        <w:spacing w:after="0"/>
        <w:jc w:val="both"/>
        <w:rPr>
          <w:rFonts w:ascii="Verdana" w:hAnsi="Verdana"/>
          <w:lang w:val="es-MX"/>
        </w:rPr>
      </w:pPr>
      <w:r w:rsidRPr="00CC2A30">
        <w:rPr>
          <w:rFonts w:ascii="Verdana" w:hAnsi="Verdana"/>
          <w:lang w:val="es-MX"/>
        </w:rPr>
        <w:t>Seño</w:t>
      </w:r>
      <w:r>
        <w:rPr>
          <w:rFonts w:ascii="Verdana" w:hAnsi="Verdana"/>
          <w:lang w:val="es-MX"/>
        </w:rPr>
        <w:t>ra</w:t>
      </w:r>
    </w:p>
    <w:p w14:paraId="4765F80E" w14:textId="77777777" w:rsidR="00670EF8" w:rsidRDefault="00670EF8" w:rsidP="00670EF8">
      <w:pPr>
        <w:spacing w:after="0"/>
        <w:jc w:val="both"/>
        <w:rPr>
          <w:rFonts w:ascii="Verdana" w:hAnsi="Verdana"/>
          <w:b/>
          <w:bCs/>
        </w:rPr>
      </w:pPr>
      <w:r w:rsidRPr="00D60943">
        <w:rPr>
          <w:rFonts w:ascii="Verdana" w:hAnsi="Verdana"/>
          <w:b/>
          <w:bCs/>
        </w:rPr>
        <w:t xml:space="preserve">Diana Leonor Morón </w:t>
      </w:r>
      <w:proofErr w:type="spellStart"/>
      <w:r w:rsidRPr="00D60943">
        <w:rPr>
          <w:rFonts w:ascii="Verdana" w:hAnsi="Verdana"/>
          <w:b/>
          <w:bCs/>
        </w:rPr>
        <w:t>Morón</w:t>
      </w:r>
      <w:proofErr w:type="spellEnd"/>
      <w:r w:rsidRPr="00D60943">
        <w:rPr>
          <w:rFonts w:ascii="Verdana" w:hAnsi="Verdana"/>
          <w:b/>
          <w:bCs/>
        </w:rPr>
        <w:t xml:space="preserve"> </w:t>
      </w:r>
    </w:p>
    <w:p w14:paraId="2DEA0708" w14:textId="77777777" w:rsidR="00670EF8" w:rsidRPr="00712805" w:rsidRDefault="00670EF8" w:rsidP="00670EF8">
      <w:pPr>
        <w:spacing w:after="0"/>
        <w:jc w:val="both"/>
        <w:rPr>
          <w:rFonts w:ascii="Verdana" w:hAnsi="Verdana"/>
          <w:u w:val="single"/>
          <w:lang w:val="fr-FR"/>
        </w:rPr>
      </w:pPr>
      <w:r w:rsidRPr="00712805">
        <w:rPr>
          <w:rFonts w:ascii="Verdana" w:hAnsi="Verdana"/>
          <w:u w:val="single"/>
          <w:lang w:val="fr-FR"/>
        </w:rPr>
        <w:t>dianalmm@yahoo.com</w:t>
      </w:r>
    </w:p>
    <w:p w14:paraId="35864914" w14:textId="77777777" w:rsidR="009E522C" w:rsidRDefault="00670EF8" w:rsidP="009E522C">
      <w:pPr>
        <w:spacing w:after="0"/>
        <w:rPr>
          <w:rFonts w:ascii="Verdana" w:hAnsi="Verdana"/>
          <w:lang w:val="es-MX"/>
        </w:rPr>
      </w:pPr>
      <w:r w:rsidRPr="00712805">
        <w:rPr>
          <w:rFonts w:ascii="Verdana" w:hAnsi="Verdana"/>
          <w:lang w:val="es-MX"/>
        </w:rPr>
        <w:t>San Andrés</w:t>
      </w:r>
    </w:p>
    <w:p w14:paraId="061C7E80" w14:textId="71B48604" w:rsidR="00670EF8" w:rsidRPr="009E522C" w:rsidRDefault="00670EF8" w:rsidP="009E522C">
      <w:pPr>
        <w:spacing w:after="0"/>
        <w:jc w:val="right"/>
        <w:rPr>
          <w:rFonts w:ascii="Verdana" w:hAnsi="Verdana"/>
          <w:lang w:val="es-MX"/>
        </w:rPr>
      </w:pPr>
      <w:r w:rsidRPr="00712805">
        <w:rPr>
          <w:rFonts w:ascii="Verdana" w:hAnsi="Verdana"/>
          <w:bCs/>
          <w:lang w:val="fr-FR"/>
        </w:rPr>
        <w:br/>
      </w:r>
      <w:r w:rsidR="00294773" w:rsidRPr="00294773">
        <w:rPr>
          <w:rFonts w:ascii="Verdana" w:hAnsi="Verdana"/>
          <w:lang w:val="fr-FR"/>
        </w:rPr>
        <w:drawing>
          <wp:inline distT="0" distB="0" distL="0" distR="0" wp14:anchorId="07B1E49E" wp14:editId="4E9C39E5">
            <wp:extent cx="2705334" cy="876376"/>
            <wp:effectExtent l="0" t="0" r="0" b="0"/>
            <wp:docPr id="3257766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776692" name=""/>
                    <pic:cNvPicPr/>
                  </pic:nvPicPr>
                  <pic:blipFill>
                    <a:blip r:embed="rId10"/>
                    <a:stretch>
                      <a:fillRect/>
                    </a:stretch>
                  </pic:blipFill>
                  <pic:spPr>
                    <a:xfrm>
                      <a:off x="0" y="0"/>
                      <a:ext cx="2705334" cy="876376"/>
                    </a:xfrm>
                    <a:prstGeom prst="rect">
                      <a:avLst/>
                    </a:prstGeom>
                  </pic:spPr>
                </pic:pic>
              </a:graphicData>
            </a:graphic>
          </wp:inline>
        </w:drawing>
      </w:r>
    </w:p>
    <w:p w14:paraId="0E2D97A5" w14:textId="77777777" w:rsidR="00670EF8" w:rsidRPr="00712805" w:rsidRDefault="00670EF8" w:rsidP="00670EF8">
      <w:pPr>
        <w:spacing w:after="0"/>
        <w:jc w:val="both"/>
        <w:rPr>
          <w:rFonts w:ascii="Verdana" w:hAnsi="Verdana"/>
          <w:lang w:val="fr-FR"/>
        </w:rPr>
      </w:pPr>
    </w:p>
    <w:p w14:paraId="061F4FB0" w14:textId="77777777" w:rsidR="00670EF8" w:rsidRPr="00CC2A30" w:rsidRDefault="00670EF8" w:rsidP="00670EF8">
      <w:pPr>
        <w:spacing w:after="0" w:line="240" w:lineRule="auto"/>
        <w:ind w:left="2694"/>
        <w:jc w:val="both"/>
        <w:rPr>
          <w:rFonts w:ascii="Verdana" w:eastAsia="Calibri" w:hAnsi="Verdana" w:cs="Arial"/>
          <w:b/>
          <w:bCs/>
          <w:lang w:val="es-ES" w:eastAsia="es-ES"/>
        </w:rPr>
      </w:pPr>
      <w:r w:rsidRPr="00CC2A30">
        <w:rPr>
          <w:rFonts w:ascii="Verdana" w:eastAsia="Calibri" w:hAnsi="Verdana" w:cs="Arial"/>
          <w:b/>
          <w:bCs/>
          <w:lang w:val="es-ES" w:eastAsia="es-ES"/>
        </w:rPr>
        <w:t>Concepto C–</w:t>
      </w:r>
      <w:r>
        <w:rPr>
          <w:rFonts w:ascii="Verdana" w:eastAsia="Calibri" w:hAnsi="Verdana" w:cs="Arial"/>
          <w:b/>
          <w:bCs/>
          <w:lang w:val="es-ES" w:eastAsia="es-ES"/>
        </w:rPr>
        <w:t>1198</w:t>
      </w:r>
      <w:r w:rsidRPr="00CC2A30">
        <w:rPr>
          <w:rFonts w:ascii="Verdana" w:eastAsia="Calibri" w:hAnsi="Verdana" w:cs="Arial"/>
          <w:b/>
          <w:bCs/>
          <w:lang w:val="es-ES" w:eastAsia="es-ES"/>
        </w:rPr>
        <w:t xml:space="preserve"> de 202</w:t>
      </w:r>
      <w:r>
        <w:rPr>
          <w:rFonts w:ascii="Verdana" w:eastAsia="Calibri" w:hAnsi="Verdana" w:cs="Arial"/>
          <w:b/>
          <w:bCs/>
          <w:lang w:val="es-ES" w:eastAsia="es-ES"/>
        </w:rPr>
        <w:t>5</w:t>
      </w:r>
    </w:p>
    <w:p w14:paraId="7A40D5FF" w14:textId="77777777" w:rsidR="00670EF8" w:rsidRPr="00CC2A30" w:rsidRDefault="00670EF8" w:rsidP="00670EF8">
      <w:pPr>
        <w:spacing w:after="0" w:line="240" w:lineRule="auto"/>
        <w:jc w:val="both"/>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091"/>
        <w:gridCol w:w="6237"/>
      </w:tblGrid>
      <w:tr w:rsidR="00670EF8" w:rsidRPr="00CC2A30" w14:paraId="588C5776" w14:textId="77777777" w:rsidTr="005653B5">
        <w:trPr>
          <w:trHeight w:val="884"/>
        </w:trPr>
        <w:tc>
          <w:tcPr>
            <w:tcW w:w="2835" w:type="dxa"/>
            <w:hideMark/>
          </w:tcPr>
          <w:p w14:paraId="245E8748" w14:textId="77777777" w:rsidR="00670EF8" w:rsidRPr="00CC2A30" w:rsidRDefault="00670EF8" w:rsidP="005653B5">
            <w:pPr>
              <w:jc w:val="both"/>
              <w:rPr>
                <w:rFonts w:ascii="Verdana" w:eastAsia="Calibri" w:hAnsi="Verdana" w:cs="Arial"/>
                <w:b/>
                <w:bCs/>
                <w:szCs w:val="24"/>
                <w:lang w:val="es-ES_tradnl" w:eastAsia="es-ES_tradnl"/>
              </w:rPr>
            </w:pPr>
            <w:r w:rsidRPr="00CC2A30">
              <w:rPr>
                <w:rFonts w:ascii="Verdana" w:eastAsia="Calibri" w:hAnsi="Verdana" w:cs="Arial"/>
                <w:b/>
                <w:bCs/>
                <w:szCs w:val="24"/>
                <w:lang w:val="es-ES_tradnl" w:eastAsia="es-ES_tradnl"/>
              </w:rPr>
              <w:t xml:space="preserve">Temas:                   </w:t>
            </w:r>
          </w:p>
        </w:tc>
        <w:tc>
          <w:tcPr>
            <w:tcW w:w="6091" w:type="dxa"/>
            <w:hideMark/>
          </w:tcPr>
          <w:p w14:paraId="5978A182" w14:textId="77777777" w:rsidR="00670EF8" w:rsidRPr="00FA4CEE" w:rsidRDefault="00670EF8" w:rsidP="005653B5">
            <w:pPr>
              <w:jc w:val="both"/>
              <w:rPr>
                <w:rFonts w:ascii="Verdana" w:eastAsia="Times New Roman" w:hAnsi="Verdana"/>
                <w:lang w:val="es-ES_tradnl" w:eastAsia="es-ES_tradnl"/>
              </w:rPr>
            </w:pPr>
            <w:r w:rsidRPr="004C6846">
              <w:rPr>
                <w:rFonts w:ascii="Verdana" w:eastAsia="Calibri" w:hAnsi="Verdana" w:cs="Arial"/>
              </w:rPr>
              <w:t>SUBSANABILIDAD DE LAS OFERTAS – Alcance de la regla – Ley 1882 de 2018</w:t>
            </w:r>
            <w:r>
              <w:rPr>
                <w:rFonts w:ascii="Verdana" w:eastAsia="Calibri" w:hAnsi="Verdana" w:cs="Arial"/>
              </w:rPr>
              <w:t xml:space="preserve"> </w:t>
            </w:r>
            <w:r w:rsidRPr="004C6846">
              <w:rPr>
                <w:rFonts w:ascii="Verdana" w:eastAsia="Calibri" w:hAnsi="Verdana" w:cs="Arial"/>
              </w:rPr>
              <w:t xml:space="preserve">– Ámbito temporal – Criterio material / </w:t>
            </w:r>
            <w:r>
              <w:rPr>
                <w:rFonts w:ascii="Verdana" w:eastAsia="Calibri" w:hAnsi="Verdana" w:cs="Arial"/>
              </w:rPr>
              <w:t>LICITACIÓN PÚBLICA</w:t>
            </w:r>
            <w:r w:rsidRPr="004C6846">
              <w:rPr>
                <w:rFonts w:ascii="Verdana" w:eastAsia="Calibri" w:hAnsi="Verdana" w:cs="Arial"/>
              </w:rPr>
              <w:t xml:space="preserve"> – Regla de </w:t>
            </w:r>
            <w:proofErr w:type="spellStart"/>
            <w:r w:rsidRPr="004C6846">
              <w:rPr>
                <w:rFonts w:ascii="Verdana" w:eastAsia="Calibri" w:hAnsi="Verdana" w:cs="Arial"/>
              </w:rPr>
              <w:t>subsanabilidad</w:t>
            </w:r>
            <w:proofErr w:type="spellEnd"/>
            <w:r w:rsidRPr="004C6846">
              <w:rPr>
                <w:rFonts w:ascii="Verdana" w:eastAsia="Calibri" w:hAnsi="Verdana" w:cs="Arial"/>
              </w:rPr>
              <w:t xml:space="preserve"> – Tiempo límite – Alcance normativo </w:t>
            </w:r>
            <w:r>
              <w:rPr>
                <w:rFonts w:ascii="Verdana" w:eastAsia="Calibri" w:hAnsi="Verdana" w:cs="Arial"/>
              </w:rPr>
              <w:t>/</w:t>
            </w:r>
            <w:r w:rsidRPr="00952B28">
              <w:rPr>
                <w:rFonts w:ascii="Verdana" w:eastAsia="Calibri" w:hAnsi="Verdana" w:cs="Arial"/>
                <w:lang w:val="es-ES" w:eastAsia="es-ES"/>
              </w:rPr>
              <w:t xml:space="preserve"> REQUISITOS HABILITANTES – Noción – Fijación - Parámetros / CAPACIDAD – Personas naturales – Personas jurídicas – Objeto social – Actividades principales y conexas / CLASIFICACIÓN INDUSTRIAL INTERNACIONAL UNIFORME CIIU – Efectos declarativos</w:t>
            </w:r>
          </w:p>
          <w:p w14:paraId="03D8D597" w14:textId="77777777" w:rsidR="00670EF8" w:rsidRPr="004C6846" w:rsidRDefault="00670EF8" w:rsidP="005653B5">
            <w:pPr>
              <w:spacing w:line="276" w:lineRule="auto"/>
              <w:jc w:val="both"/>
              <w:rPr>
                <w:rFonts w:ascii="Verdana" w:eastAsia="Calibri" w:hAnsi="Verdana" w:cs="Arial"/>
                <w:lang w:val="es-ES_tradnl"/>
              </w:rPr>
            </w:pPr>
          </w:p>
          <w:p w14:paraId="3086C1C5" w14:textId="77777777" w:rsidR="00670EF8" w:rsidRPr="00CC2A30" w:rsidRDefault="00670EF8" w:rsidP="005653B5">
            <w:pPr>
              <w:spacing w:line="276" w:lineRule="auto"/>
              <w:jc w:val="both"/>
              <w:rPr>
                <w:rFonts w:ascii="Verdana" w:hAnsi="Verdana"/>
              </w:rPr>
            </w:pPr>
          </w:p>
        </w:tc>
        <w:tc>
          <w:tcPr>
            <w:tcW w:w="6237" w:type="dxa"/>
          </w:tcPr>
          <w:p w14:paraId="3CC47A15" w14:textId="77777777" w:rsidR="00670EF8" w:rsidRPr="00CC2A30" w:rsidRDefault="00670EF8" w:rsidP="005653B5">
            <w:pPr>
              <w:jc w:val="both"/>
              <w:rPr>
                <w:rFonts w:ascii="Verdana" w:hAnsi="Verdana" w:cs="Arial"/>
                <w:lang w:val="es-ES"/>
              </w:rPr>
            </w:pPr>
          </w:p>
        </w:tc>
      </w:tr>
      <w:tr w:rsidR="00670EF8" w:rsidRPr="00CC2A30" w14:paraId="1CED6730" w14:textId="77777777" w:rsidTr="005653B5">
        <w:tc>
          <w:tcPr>
            <w:tcW w:w="2835" w:type="dxa"/>
            <w:hideMark/>
          </w:tcPr>
          <w:p w14:paraId="1B042FEC" w14:textId="77777777" w:rsidR="00670EF8" w:rsidRPr="00CC2A30" w:rsidRDefault="00670EF8" w:rsidP="005653B5">
            <w:pPr>
              <w:spacing w:before="120"/>
              <w:jc w:val="both"/>
              <w:rPr>
                <w:rFonts w:ascii="Verdana" w:eastAsia="Calibri" w:hAnsi="Verdana" w:cs="Arial"/>
                <w:b/>
                <w:bCs/>
                <w:szCs w:val="24"/>
                <w:lang w:val="es-ES_tradnl" w:eastAsia="es-ES_tradnl"/>
              </w:rPr>
            </w:pPr>
            <w:r w:rsidRPr="00CC2A30">
              <w:rPr>
                <w:rFonts w:ascii="Verdana" w:eastAsia="Calibri" w:hAnsi="Verdana" w:cs="Arial"/>
                <w:b/>
                <w:bCs/>
                <w:szCs w:val="24"/>
                <w:lang w:val="es-ES_tradnl" w:eastAsia="es-ES_tradnl"/>
              </w:rPr>
              <w:t xml:space="preserve">Radicación:               </w:t>
            </w:r>
          </w:p>
        </w:tc>
        <w:tc>
          <w:tcPr>
            <w:tcW w:w="6091" w:type="dxa"/>
            <w:hideMark/>
          </w:tcPr>
          <w:p w14:paraId="0AAF3359" w14:textId="77777777" w:rsidR="00670EF8" w:rsidRPr="00CC2A30" w:rsidRDefault="00670EF8" w:rsidP="005653B5">
            <w:pPr>
              <w:spacing w:before="120" w:line="276" w:lineRule="auto"/>
              <w:jc w:val="both"/>
              <w:rPr>
                <w:rFonts w:ascii="Verdana" w:eastAsia="Calibri" w:hAnsi="Verdana" w:cs="Arial"/>
                <w:szCs w:val="24"/>
                <w:lang w:val="es-ES_tradnl" w:eastAsia="es-ES_tradnl"/>
              </w:rPr>
            </w:pPr>
            <w:r w:rsidRPr="00CC2A30">
              <w:rPr>
                <w:rFonts w:ascii="Verdana" w:eastAsia="Calibri" w:hAnsi="Verdana" w:cs="Arial"/>
                <w:szCs w:val="24"/>
                <w:lang w:val="es-ES_tradnl" w:eastAsia="es-ES_tradnl"/>
              </w:rPr>
              <w:t>Respuesta a consulta</w:t>
            </w:r>
            <w:r>
              <w:rPr>
                <w:rFonts w:ascii="Verdana" w:eastAsia="Calibri" w:hAnsi="Verdana" w:cs="Arial"/>
                <w:szCs w:val="24"/>
                <w:lang w:val="es-ES_tradnl" w:eastAsia="es-ES_tradnl"/>
              </w:rPr>
              <w:t>s</w:t>
            </w:r>
            <w:r w:rsidRPr="00CC2A30">
              <w:rPr>
                <w:rFonts w:ascii="Verdana" w:eastAsia="Calibri" w:hAnsi="Verdana" w:cs="Arial"/>
                <w:szCs w:val="24"/>
                <w:lang w:val="es-ES_tradnl" w:eastAsia="es-ES_tradnl"/>
              </w:rPr>
              <w:t xml:space="preserve"> con radicado No. </w:t>
            </w:r>
            <w:r w:rsidRPr="00712805">
              <w:rPr>
                <w:rFonts w:ascii="Verdana" w:eastAsia="Calibri" w:hAnsi="Verdana" w:cs="Arial"/>
                <w:szCs w:val="24"/>
                <w:lang w:eastAsia="es-ES_tradnl"/>
              </w:rPr>
              <w:t>1_2025_08_25_0090</w:t>
            </w:r>
            <w:r>
              <w:rPr>
                <w:rFonts w:ascii="Verdana" w:eastAsia="Calibri" w:hAnsi="Verdana" w:cs="Arial"/>
                <w:szCs w:val="24"/>
                <w:lang w:eastAsia="es-ES_tradnl"/>
              </w:rPr>
              <w:t>21 acumulada con el radicado No. 1</w:t>
            </w:r>
            <w:r w:rsidRPr="00712805">
              <w:rPr>
                <w:rFonts w:ascii="Verdana" w:eastAsia="Calibri" w:hAnsi="Verdana" w:cs="Arial"/>
                <w:szCs w:val="24"/>
                <w:lang w:eastAsia="es-ES_tradnl"/>
              </w:rPr>
              <w:t>_2025_08_25_009034</w:t>
            </w:r>
          </w:p>
        </w:tc>
        <w:tc>
          <w:tcPr>
            <w:tcW w:w="6237" w:type="dxa"/>
          </w:tcPr>
          <w:p w14:paraId="7E51A329" w14:textId="77777777" w:rsidR="00670EF8" w:rsidRPr="00CC2A30" w:rsidRDefault="00670EF8" w:rsidP="005653B5">
            <w:pPr>
              <w:spacing w:before="120"/>
              <w:jc w:val="both"/>
              <w:rPr>
                <w:rFonts w:ascii="Verdana" w:eastAsia="Calibri" w:hAnsi="Verdana" w:cs="Arial"/>
                <w:szCs w:val="24"/>
                <w:lang w:val="es-ES_tradnl" w:eastAsia="es-ES_tradnl"/>
              </w:rPr>
            </w:pPr>
          </w:p>
        </w:tc>
      </w:tr>
    </w:tbl>
    <w:p w14:paraId="5A9C69B0" w14:textId="77777777" w:rsidR="00670EF8" w:rsidRPr="00CC2A30" w:rsidRDefault="00670EF8" w:rsidP="00670EF8">
      <w:pPr>
        <w:spacing w:after="0" w:line="240" w:lineRule="auto"/>
        <w:jc w:val="both"/>
        <w:rPr>
          <w:rFonts w:ascii="Verdana" w:eastAsia="Calibri" w:hAnsi="Verdana" w:cs="Arial"/>
          <w:szCs w:val="24"/>
          <w:lang w:val="es-ES_tradnl" w:eastAsia="es-ES_tradnl"/>
        </w:rPr>
      </w:pPr>
    </w:p>
    <w:p w14:paraId="3D8F6931" w14:textId="77777777" w:rsidR="00670EF8" w:rsidRPr="00CC2A30" w:rsidRDefault="00670EF8" w:rsidP="00670EF8">
      <w:pPr>
        <w:spacing w:after="0" w:line="240" w:lineRule="auto"/>
        <w:jc w:val="both"/>
        <w:rPr>
          <w:rFonts w:ascii="Verdana" w:eastAsia="Calibri" w:hAnsi="Verdana" w:cs="Arial"/>
          <w:lang w:val="es-ES" w:eastAsia="es-ES"/>
        </w:rPr>
      </w:pPr>
      <w:r>
        <w:rPr>
          <w:rFonts w:ascii="Verdana" w:eastAsia="Calibri" w:hAnsi="Verdana" w:cs="Arial"/>
          <w:lang w:val="es-ES" w:eastAsia="es-ES"/>
        </w:rPr>
        <w:t>Estimada señora Morón</w:t>
      </w:r>
      <w:r w:rsidRPr="00CC2A30">
        <w:rPr>
          <w:rFonts w:ascii="Verdana" w:eastAsia="Calibri" w:hAnsi="Verdana" w:cs="Arial"/>
          <w:lang w:val="es-ES" w:eastAsia="es-ES"/>
        </w:rPr>
        <w:t xml:space="preserve">: </w:t>
      </w:r>
    </w:p>
    <w:p w14:paraId="41C357FD" w14:textId="77777777" w:rsidR="00670EF8" w:rsidRPr="00CC2A30" w:rsidRDefault="00670EF8" w:rsidP="00670EF8">
      <w:pPr>
        <w:spacing w:after="0" w:line="240" w:lineRule="auto"/>
        <w:jc w:val="both"/>
        <w:rPr>
          <w:rFonts w:ascii="Verdana" w:eastAsia="Calibri" w:hAnsi="Verdana" w:cs="Arial"/>
          <w:lang w:val="es-ES" w:eastAsia="es-ES"/>
        </w:rPr>
      </w:pPr>
    </w:p>
    <w:p w14:paraId="7E1360EB" w14:textId="77777777" w:rsidR="00670EF8" w:rsidRDefault="00670EF8" w:rsidP="00670EF8">
      <w:pPr>
        <w:spacing w:after="120" w:line="276" w:lineRule="auto"/>
        <w:jc w:val="both"/>
        <w:rPr>
          <w:rFonts w:ascii="Verdana" w:eastAsia="Calibri" w:hAnsi="Verdana" w:cs="Arial"/>
          <w:sz w:val="20"/>
          <w:szCs w:val="20"/>
          <w:lang w:val="es-ES" w:eastAsia="es-ES"/>
        </w:rPr>
      </w:pPr>
      <w:r w:rsidRPr="00CC2A30">
        <w:rPr>
          <w:rFonts w:ascii="Verdana" w:eastAsia="Calibri" w:hAnsi="Verdana" w:cs="Arial"/>
          <w:lang w:val="es-ES" w:eastAsia="es-ES"/>
        </w:rPr>
        <w:t>En ejercicio de la competencia otorgada por los artículos 3, numeral 5º, y 11, numeral 8º, del Decreto Ley 4170 de 2011,</w:t>
      </w:r>
      <w:r w:rsidRPr="00CC2A30">
        <w:rPr>
          <w:rFonts w:ascii="Verdana" w:eastAsia="Arial MT" w:hAnsi="Verdana" w:cs="Arial MT"/>
          <w:lang w:val="es-ES" w:eastAsia="es-ES"/>
        </w:rPr>
        <w:t xml:space="preserve"> </w:t>
      </w:r>
      <w:r w:rsidRPr="00CC2A30">
        <w:rPr>
          <w:rFonts w:ascii="Verdana" w:eastAsia="Calibri" w:hAnsi="Verdana" w:cs="Arial"/>
          <w:lang w:val="es-ES" w:eastAsia="es-ES"/>
        </w:rPr>
        <w:t>la Agencia Nacional de Contratación Pública – Colombia Compra Eficiente– responde la</w:t>
      </w:r>
      <w:r>
        <w:rPr>
          <w:rFonts w:ascii="Verdana" w:eastAsia="Calibri" w:hAnsi="Verdana" w:cs="Arial"/>
          <w:lang w:val="es-ES" w:eastAsia="es-ES"/>
        </w:rPr>
        <w:t>s</w:t>
      </w:r>
      <w:r w:rsidRPr="00CC2A30">
        <w:rPr>
          <w:rFonts w:ascii="Verdana" w:eastAsia="Calibri" w:hAnsi="Verdana" w:cs="Arial"/>
          <w:lang w:val="es-ES" w:eastAsia="es-ES"/>
        </w:rPr>
        <w:t xml:space="preserve"> solicitud</w:t>
      </w:r>
      <w:r>
        <w:rPr>
          <w:rFonts w:ascii="Verdana" w:eastAsia="Calibri" w:hAnsi="Verdana" w:cs="Arial"/>
          <w:lang w:val="es-ES" w:eastAsia="es-ES"/>
        </w:rPr>
        <w:t>es</w:t>
      </w:r>
      <w:r w:rsidRPr="00CC2A30">
        <w:rPr>
          <w:rFonts w:ascii="Verdana" w:eastAsia="Calibri" w:hAnsi="Verdana" w:cs="Arial"/>
          <w:lang w:val="es-ES" w:eastAsia="es-ES"/>
        </w:rPr>
        <w:t xml:space="preserve"> de consulta del </w:t>
      </w:r>
      <w:r>
        <w:rPr>
          <w:rFonts w:ascii="Verdana" w:eastAsia="Calibri" w:hAnsi="Verdana" w:cs="Arial"/>
          <w:lang w:val="es-ES" w:eastAsia="es-ES"/>
        </w:rPr>
        <w:t>25</w:t>
      </w:r>
      <w:r w:rsidRPr="00CC2A30">
        <w:rPr>
          <w:rFonts w:ascii="Verdana" w:eastAsia="Calibri" w:hAnsi="Verdana" w:cs="Arial"/>
          <w:lang w:val="es-ES" w:eastAsia="es-ES"/>
        </w:rPr>
        <w:t xml:space="preserve"> de </w:t>
      </w:r>
      <w:r>
        <w:rPr>
          <w:rFonts w:ascii="Verdana" w:eastAsia="Calibri" w:hAnsi="Verdana" w:cs="Arial"/>
          <w:lang w:val="es-ES" w:eastAsia="es-ES"/>
        </w:rPr>
        <w:t xml:space="preserve">agosto </w:t>
      </w:r>
      <w:r w:rsidRPr="00CC2A30">
        <w:rPr>
          <w:rFonts w:ascii="Verdana" w:eastAsia="Calibri" w:hAnsi="Verdana" w:cs="Arial"/>
          <w:lang w:val="es-ES" w:eastAsia="es-ES"/>
        </w:rPr>
        <w:t>de 202</w:t>
      </w:r>
      <w:r>
        <w:rPr>
          <w:rFonts w:ascii="Verdana" w:eastAsia="Calibri" w:hAnsi="Verdana" w:cs="Arial"/>
          <w:lang w:val="es-ES" w:eastAsia="es-ES"/>
        </w:rPr>
        <w:t>5,</w:t>
      </w:r>
      <w:r w:rsidRPr="00CC2A30">
        <w:rPr>
          <w:rFonts w:ascii="Verdana" w:eastAsia="Calibri" w:hAnsi="Verdana" w:cs="Arial"/>
          <w:lang w:val="es-ES" w:eastAsia="es-ES"/>
        </w:rPr>
        <w:t xml:space="preserve"> </w:t>
      </w:r>
      <w:r>
        <w:rPr>
          <w:rFonts w:ascii="Verdana" w:eastAsia="Calibri" w:hAnsi="Verdana" w:cs="Arial"/>
          <w:lang w:val="es-ES" w:eastAsia="es-ES"/>
        </w:rPr>
        <w:t>e</w:t>
      </w:r>
      <w:r w:rsidRPr="00CC2A30">
        <w:rPr>
          <w:rFonts w:ascii="Verdana" w:eastAsia="Calibri" w:hAnsi="Verdana" w:cs="Arial"/>
          <w:lang w:val="es-ES" w:eastAsia="es-ES"/>
        </w:rPr>
        <w:t>n la</w:t>
      </w:r>
      <w:r>
        <w:rPr>
          <w:rFonts w:ascii="Verdana" w:eastAsia="Calibri" w:hAnsi="Verdana" w:cs="Arial"/>
          <w:lang w:val="es-ES" w:eastAsia="es-ES"/>
        </w:rPr>
        <w:t>s</w:t>
      </w:r>
      <w:r w:rsidRPr="00CC2A30">
        <w:rPr>
          <w:rFonts w:ascii="Verdana" w:eastAsia="Calibri" w:hAnsi="Verdana" w:cs="Arial"/>
          <w:lang w:val="es-ES" w:eastAsia="es-ES"/>
        </w:rPr>
        <w:t xml:space="preserve"> cual</w:t>
      </w:r>
      <w:r>
        <w:rPr>
          <w:rFonts w:ascii="Verdana" w:eastAsia="Calibri" w:hAnsi="Verdana" w:cs="Arial"/>
          <w:lang w:val="es-ES" w:eastAsia="es-ES"/>
        </w:rPr>
        <w:t>es</w:t>
      </w:r>
      <w:r w:rsidRPr="00CC2A30">
        <w:rPr>
          <w:rFonts w:ascii="Verdana" w:eastAsia="Calibri" w:hAnsi="Verdana" w:cs="Arial"/>
          <w:lang w:val="es-ES" w:eastAsia="es-ES"/>
        </w:rPr>
        <w:t xml:space="preserve"> manifiesta lo siguiente:</w:t>
      </w:r>
    </w:p>
    <w:p w14:paraId="487A19AC" w14:textId="77777777" w:rsidR="00670EF8" w:rsidRDefault="00670EF8" w:rsidP="00670EF8">
      <w:pPr>
        <w:spacing w:after="0" w:line="240" w:lineRule="auto"/>
        <w:ind w:right="709"/>
        <w:jc w:val="both"/>
        <w:rPr>
          <w:rFonts w:ascii="Verdana" w:eastAsia="Calibri" w:hAnsi="Verdana" w:cs="Arial"/>
          <w:szCs w:val="24"/>
          <w:lang w:eastAsia="es-ES_tradnl"/>
        </w:rPr>
      </w:pPr>
      <w:r>
        <w:rPr>
          <w:rFonts w:ascii="Verdana" w:eastAsia="Calibri" w:hAnsi="Verdana" w:cs="Arial"/>
          <w:sz w:val="20"/>
          <w:szCs w:val="20"/>
          <w:lang w:val="es-ES" w:eastAsia="es-ES"/>
        </w:rPr>
        <w:tab/>
        <w:t xml:space="preserve">Radicado </w:t>
      </w:r>
      <w:r w:rsidRPr="006D241F">
        <w:rPr>
          <w:rFonts w:ascii="Verdana" w:eastAsia="Calibri" w:hAnsi="Verdana" w:cs="Arial"/>
          <w:szCs w:val="24"/>
          <w:lang w:eastAsia="es-ES_tradnl"/>
        </w:rPr>
        <w:t>1_2025_08_25_0090</w:t>
      </w:r>
      <w:r>
        <w:rPr>
          <w:rFonts w:ascii="Verdana" w:eastAsia="Calibri" w:hAnsi="Verdana" w:cs="Arial"/>
          <w:szCs w:val="24"/>
          <w:lang w:eastAsia="es-ES_tradnl"/>
        </w:rPr>
        <w:t>21</w:t>
      </w:r>
    </w:p>
    <w:p w14:paraId="0F37B088" w14:textId="77777777" w:rsidR="00670EF8" w:rsidRDefault="00670EF8" w:rsidP="00670EF8">
      <w:pPr>
        <w:spacing w:after="0" w:line="240" w:lineRule="auto"/>
        <w:ind w:right="709"/>
        <w:jc w:val="both"/>
        <w:rPr>
          <w:rFonts w:ascii="Verdana" w:eastAsia="Calibri" w:hAnsi="Verdana" w:cs="Arial"/>
          <w:sz w:val="20"/>
          <w:szCs w:val="20"/>
          <w:lang w:val="es-ES" w:eastAsia="es-ES"/>
        </w:rPr>
      </w:pPr>
    </w:p>
    <w:p w14:paraId="667C0B19" w14:textId="77777777" w:rsidR="00670EF8" w:rsidRDefault="00670EF8" w:rsidP="00670EF8">
      <w:pPr>
        <w:spacing w:after="0" w:line="240" w:lineRule="auto"/>
        <w:ind w:left="709" w:right="709"/>
        <w:jc w:val="both"/>
        <w:rPr>
          <w:rFonts w:ascii="Verdana" w:eastAsia="Calibri" w:hAnsi="Verdana" w:cs="Arial"/>
          <w:sz w:val="20"/>
          <w:szCs w:val="20"/>
          <w:lang w:eastAsia="es-ES"/>
        </w:rPr>
      </w:pPr>
      <w:r w:rsidRPr="00CC2A30">
        <w:rPr>
          <w:rFonts w:ascii="Verdana" w:eastAsia="Calibri" w:hAnsi="Verdana" w:cs="Arial"/>
          <w:sz w:val="20"/>
          <w:szCs w:val="20"/>
          <w:lang w:val="es-ES" w:eastAsia="es-ES"/>
        </w:rPr>
        <w:lastRenderedPageBreak/>
        <w:t>“(…)</w:t>
      </w:r>
      <w:r>
        <w:rPr>
          <w:rFonts w:ascii="Verdana" w:eastAsia="Calibri" w:hAnsi="Verdana" w:cs="Arial"/>
          <w:sz w:val="20"/>
          <w:szCs w:val="20"/>
          <w:lang w:val="es-ES" w:eastAsia="es-ES"/>
        </w:rPr>
        <w:t xml:space="preserve"> para el caso de una licitación pública s</w:t>
      </w:r>
      <w:proofErr w:type="spellStart"/>
      <w:r w:rsidRPr="006D241F">
        <w:rPr>
          <w:rFonts w:ascii="Verdana" w:eastAsia="Calibri" w:hAnsi="Verdana" w:cs="Arial"/>
          <w:sz w:val="20"/>
          <w:szCs w:val="20"/>
          <w:lang w:eastAsia="es-ES"/>
        </w:rPr>
        <w:t>olicito</w:t>
      </w:r>
      <w:proofErr w:type="spellEnd"/>
      <w:r w:rsidRPr="006D241F">
        <w:rPr>
          <w:rFonts w:ascii="Verdana" w:eastAsia="Calibri" w:hAnsi="Verdana" w:cs="Arial"/>
          <w:sz w:val="20"/>
          <w:szCs w:val="20"/>
          <w:lang w:eastAsia="es-ES"/>
        </w:rPr>
        <w:t xml:space="preserve"> concepto, </w:t>
      </w:r>
      <w:proofErr w:type="spellStart"/>
      <w:r w:rsidRPr="006D241F">
        <w:rPr>
          <w:rFonts w:ascii="Verdana" w:eastAsia="Calibri" w:hAnsi="Verdana" w:cs="Arial"/>
          <w:sz w:val="20"/>
          <w:szCs w:val="20"/>
          <w:lang w:eastAsia="es-ES"/>
        </w:rPr>
        <w:t>sena</w:t>
      </w:r>
      <w:proofErr w:type="spellEnd"/>
      <w:r w:rsidRPr="006D241F">
        <w:rPr>
          <w:rFonts w:ascii="Verdana" w:eastAsia="Calibri" w:hAnsi="Verdana" w:cs="Arial"/>
          <w:sz w:val="20"/>
          <w:szCs w:val="20"/>
          <w:lang w:eastAsia="es-ES"/>
        </w:rPr>
        <w:t xml:space="preserve"> tiene obligación leer contestar mensajes, adjudicaron proceso, sin leer y dar respuesta observaciones segunda acta MC-RSAI-00398- 2025presentadas por DIANA MORON segunda acta evaluación TECNOSYSTEM SAS, a la fecha NO han sido leídos por parte del SENA están en la </w:t>
      </w:r>
      <w:proofErr w:type="spellStart"/>
      <w:r w:rsidRPr="006D241F">
        <w:rPr>
          <w:rFonts w:ascii="Verdana" w:eastAsia="Calibri" w:hAnsi="Verdana" w:cs="Arial"/>
          <w:sz w:val="20"/>
          <w:szCs w:val="20"/>
          <w:lang w:eastAsia="es-ES"/>
        </w:rPr>
        <w:t>pagina</w:t>
      </w:r>
      <w:proofErr w:type="spellEnd"/>
      <w:r w:rsidRPr="006D241F">
        <w:rPr>
          <w:rFonts w:ascii="Verdana" w:eastAsia="Calibri" w:hAnsi="Verdana" w:cs="Arial"/>
          <w:sz w:val="20"/>
          <w:szCs w:val="20"/>
          <w:lang w:eastAsia="es-ES"/>
        </w:rPr>
        <w:t xml:space="preserve">, AUN ASI EL CONTRATO FUE ADJUDICADO, esto se puede adjudicar </w:t>
      </w:r>
      <w:proofErr w:type="spellStart"/>
      <w:r w:rsidRPr="006D241F">
        <w:rPr>
          <w:rFonts w:ascii="Verdana" w:eastAsia="Calibri" w:hAnsi="Verdana" w:cs="Arial"/>
          <w:sz w:val="20"/>
          <w:szCs w:val="20"/>
          <w:lang w:eastAsia="es-ES"/>
        </w:rPr>
        <w:t>asi</w:t>
      </w:r>
      <w:proofErr w:type="spellEnd"/>
      <w:r w:rsidRPr="006D241F">
        <w:rPr>
          <w:rFonts w:ascii="Verdana" w:eastAsia="Calibri" w:hAnsi="Verdana" w:cs="Arial"/>
          <w:sz w:val="20"/>
          <w:szCs w:val="20"/>
          <w:lang w:eastAsia="es-ES"/>
        </w:rPr>
        <w:t xml:space="preserve">, con supuestos errores. 2. la empresa </w:t>
      </w:r>
      <w:proofErr w:type="spellStart"/>
      <w:r w:rsidRPr="006D241F">
        <w:rPr>
          <w:rFonts w:ascii="Verdana" w:eastAsia="Calibri" w:hAnsi="Verdana" w:cs="Arial"/>
          <w:sz w:val="20"/>
          <w:szCs w:val="20"/>
          <w:lang w:eastAsia="es-ES"/>
        </w:rPr>
        <w:t>tecnosystem</w:t>
      </w:r>
      <w:proofErr w:type="spellEnd"/>
      <w:r w:rsidRPr="006D241F">
        <w:rPr>
          <w:rFonts w:ascii="Verdana" w:eastAsia="Calibri" w:hAnsi="Verdana" w:cs="Arial"/>
          <w:sz w:val="20"/>
          <w:szCs w:val="20"/>
          <w:lang w:eastAsia="es-ES"/>
        </w:rPr>
        <w:t xml:space="preserve"> no tiene en sus </w:t>
      </w:r>
      <w:proofErr w:type="spellStart"/>
      <w:r w:rsidRPr="006D241F">
        <w:rPr>
          <w:rFonts w:ascii="Verdana" w:eastAsia="Calibri" w:hAnsi="Verdana" w:cs="Arial"/>
          <w:sz w:val="20"/>
          <w:szCs w:val="20"/>
          <w:lang w:eastAsia="es-ES"/>
        </w:rPr>
        <w:t>codigos</w:t>
      </w:r>
      <w:proofErr w:type="spellEnd"/>
      <w:r w:rsidRPr="006D241F">
        <w:rPr>
          <w:rFonts w:ascii="Verdana" w:eastAsia="Calibri" w:hAnsi="Verdana" w:cs="Arial"/>
          <w:sz w:val="20"/>
          <w:szCs w:val="20"/>
          <w:lang w:eastAsia="es-ES"/>
        </w:rPr>
        <w:t xml:space="preserve"> SIU nada con el objeto del contrato, se puede asignar a esta empresa. 3.solicito el tiempo que dieron de un </w:t>
      </w:r>
      <w:proofErr w:type="spellStart"/>
      <w:r w:rsidRPr="006D241F">
        <w:rPr>
          <w:rFonts w:ascii="Verdana" w:eastAsia="Calibri" w:hAnsi="Verdana" w:cs="Arial"/>
          <w:sz w:val="20"/>
          <w:szCs w:val="20"/>
          <w:lang w:eastAsia="es-ES"/>
        </w:rPr>
        <w:t>dia</w:t>
      </w:r>
      <w:proofErr w:type="spellEnd"/>
      <w:r w:rsidRPr="006D241F">
        <w:rPr>
          <w:rFonts w:ascii="Verdana" w:eastAsia="Calibri" w:hAnsi="Verdana" w:cs="Arial"/>
          <w:sz w:val="20"/>
          <w:szCs w:val="20"/>
          <w:lang w:eastAsia="es-ES"/>
        </w:rPr>
        <w:t xml:space="preserve"> </w:t>
      </w:r>
      <w:proofErr w:type="spellStart"/>
      <w:r w:rsidRPr="006D241F">
        <w:rPr>
          <w:rFonts w:ascii="Verdana" w:eastAsia="Calibri" w:hAnsi="Verdana" w:cs="Arial"/>
          <w:sz w:val="20"/>
          <w:szCs w:val="20"/>
          <w:lang w:eastAsia="es-ES"/>
        </w:rPr>
        <w:t>habil</w:t>
      </w:r>
      <w:proofErr w:type="spellEnd"/>
      <w:r w:rsidRPr="006D241F">
        <w:rPr>
          <w:rFonts w:ascii="Verdana" w:eastAsia="Calibri" w:hAnsi="Verdana" w:cs="Arial"/>
          <w:sz w:val="20"/>
          <w:szCs w:val="20"/>
          <w:lang w:eastAsia="es-ES"/>
        </w:rPr>
        <w:t xml:space="preserve"> para presentar las observaciones, cuando </w:t>
      </w:r>
      <w:proofErr w:type="spellStart"/>
      <w:r w:rsidRPr="006D241F">
        <w:rPr>
          <w:rFonts w:ascii="Verdana" w:eastAsia="Calibri" w:hAnsi="Verdana" w:cs="Arial"/>
          <w:sz w:val="20"/>
          <w:szCs w:val="20"/>
          <w:lang w:eastAsia="es-ES"/>
        </w:rPr>
        <w:t>empezo</w:t>
      </w:r>
      <w:proofErr w:type="spellEnd"/>
      <w:r w:rsidRPr="006D241F">
        <w:rPr>
          <w:rFonts w:ascii="Verdana" w:eastAsia="Calibri" w:hAnsi="Verdana" w:cs="Arial"/>
          <w:sz w:val="20"/>
          <w:szCs w:val="20"/>
          <w:lang w:eastAsia="es-ES"/>
        </w:rPr>
        <w:t xml:space="preserve"> y cuando termino.: </w:t>
      </w:r>
    </w:p>
    <w:p w14:paraId="3FC2B90A" w14:textId="77777777" w:rsidR="00670EF8" w:rsidRDefault="00670EF8" w:rsidP="00670EF8">
      <w:pPr>
        <w:spacing w:after="0" w:line="240" w:lineRule="auto"/>
        <w:ind w:left="709" w:right="709"/>
        <w:jc w:val="both"/>
        <w:rPr>
          <w:rFonts w:ascii="Verdana" w:eastAsia="Calibri" w:hAnsi="Verdana" w:cs="Arial"/>
          <w:sz w:val="20"/>
          <w:szCs w:val="20"/>
          <w:lang w:eastAsia="es-ES"/>
        </w:rPr>
      </w:pPr>
    </w:p>
    <w:p w14:paraId="2C41913F" w14:textId="77777777" w:rsidR="00670EF8" w:rsidRDefault="00670EF8" w:rsidP="00670EF8">
      <w:pPr>
        <w:spacing w:after="0" w:line="240" w:lineRule="auto"/>
        <w:ind w:left="709" w:right="709"/>
        <w:jc w:val="both"/>
        <w:rPr>
          <w:rFonts w:ascii="Verdana" w:eastAsia="Calibri" w:hAnsi="Verdana" w:cs="Arial"/>
          <w:sz w:val="20"/>
          <w:szCs w:val="20"/>
          <w:lang w:val="es-ES" w:eastAsia="es-ES"/>
        </w:rPr>
      </w:pPr>
      <w:r>
        <w:rPr>
          <w:rFonts w:ascii="Verdana" w:eastAsia="Calibri" w:hAnsi="Verdana" w:cs="Arial"/>
          <w:sz w:val="20"/>
          <w:szCs w:val="20"/>
          <w:lang w:val="es-ES" w:eastAsia="es-ES"/>
        </w:rPr>
        <w:t xml:space="preserve">Radicado </w:t>
      </w:r>
      <w:r w:rsidRPr="006D241F">
        <w:rPr>
          <w:rFonts w:ascii="Verdana" w:eastAsia="Calibri" w:hAnsi="Verdana" w:cs="Arial"/>
          <w:szCs w:val="24"/>
          <w:lang w:eastAsia="es-ES_tradnl"/>
        </w:rPr>
        <w:t>1_2025_08_25_009034</w:t>
      </w:r>
    </w:p>
    <w:p w14:paraId="6A6DE4D7" w14:textId="77777777" w:rsidR="00670EF8" w:rsidRDefault="00670EF8" w:rsidP="00670EF8">
      <w:pPr>
        <w:spacing w:after="0" w:line="240" w:lineRule="auto"/>
        <w:ind w:left="709" w:right="709"/>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14F10CD6" w14:textId="77777777" w:rsidR="00670EF8" w:rsidRPr="00F63FB1" w:rsidRDefault="00670EF8" w:rsidP="00670EF8">
      <w:pPr>
        <w:spacing w:after="0" w:line="240" w:lineRule="auto"/>
        <w:ind w:left="709" w:right="709"/>
        <w:jc w:val="both"/>
        <w:rPr>
          <w:rFonts w:ascii="Verdana" w:hAnsi="Verdana"/>
          <w:sz w:val="20"/>
          <w:szCs w:val="20"/>
        </w:rPr>
      </w:pPr>
      <w:r w:rsidRPr="00F63FB1">
        <w:rPr>
          <w:rFonts w:ascii="Verdana" w:hAnsi="Verdana"/>
          <w:sz w:val="20"/>
          <w:szCs w:val="20"/>
        </w:rPr>
        <w:t xml:space="preserve">una vez </w:t>
      </w:r>
      <w:proofErr w:type="spellStart"/>
      <w:r w:rsidRPr="00F63FB1">
        <w:rPr>
          <w:rFonts w:ascii="Verdana" w:hAnsi="Verdana"/>
          <w:sz w:val="20"/>
          <w:szCs w:val="20"/>
        </w:rPr>
        <w:t>venciso</w:t>
      </w:r>
      <w:proofErr w:type="spellEnd"/>
      <w:r w:rsidRPr="00F63FB1">
        <w:rPr>
          <w:rFonts w:ascii="Verdana" w:hAnsi="Verdana"/>
          <w:sz w:val="20"/>
          <w:szCs w:val="20"/>
        </w:rPr>
        <w:t xml:space="preserve"> el </w:t>
      </w:r>
      <w:proofErr w:type="spellStart"/>
      <w:r w:rsidRPr="00F63FB1">
        <w:rPr>
          <w:rFonts w:ascii="Verdana" w:hAnsi="Verdana"/>
          <w:sz w:val="20"/>
          <w:szCs w:val="20"/>
        </w:rPr>
        <w:t>termino</w:t>
      </w:r>
      <w:proofErr w:type="spellEnd"/>
      <w:r w:rsidRPr="00F63FB1">
        <w:rPr>
          <w:rFonts w:ascii="Verdana" w:hAnsi="Verdana"/>
          <w:sz w:val="20"/>
          <w:szCs w:val="20"/>
        </w:rPr>
        <w:t xml:space="preserve"> del traslado del informe evaluador se pueden presentar observaciones o serian </w:t>
      </w:r>
      <w:proofErr w:type="spellStart"/>
      <w:r w:rsidRPr="00F63FB1">
        <w:rPr>
          <w:rFonts w:ascii="Verdana" w:hAnsi="Verdana"/>
          <w:sz w:val="20"/>
          <w:szCs w:val="20"/>
        </w:rPr>
        <w:t>extemporaneas</w:t>
      </w:r>
      <w:proofErr w:type="spellEnd"/>
      <w:r w:rsidRPr="00F63FB1">
        <w:rPr>
          <w:rFonts w:ascii="Verdana" w:hAnsi="Verdana"/>
          <w:sz w:val="20"/>
          <w:szCs w:val="20"/>
        </w:rPr>
        <w:t xml:space="preserve"> y si se publica el informe evaluador definitivo se pueden presentar nuevas observaciones a este siendo ya </w:t>
      </w:r>
      <w:proofErr w:type="spellStart"/>
      <w:r w:rsidRPr="00F63FB1">
        <w:rPr>
          <w:rFonts w:ascii="Verdana" w:hAnsi="Verdana"/>
          <w:sz w:val="20"/>
          <w:szCs w:val="20"/>
        </w:rPr>
        <w:t>ya</w:t>
      </w:r>
      <w:proofErr w:type="spellEnd"/>
      <w:r w:rsidRPr="00F63FB1">
        <w:rPr>
          <w:rFonts w:ascii="Verdana" w:hAnsi="Verdana"/>
          <w:sz w:val="20"/>
          <w:szCs w:val="20"/>
        </w:rPr>
        <w:t xml:space="preserve"> finalizo la etapa</w:t>
      </w:r>
    </w:p>
    <w:p w14:paraId="7E862376" w14:textId="3855381D" w:rsidR="00670EF8" w:rsidRDefault="00670EF8" w:rsidP="00670EF8">
      <w:pPr>
        <w:spacing w:after="0" w:line="240" w:lineRule="auto"/>
        <w:ind w:left="709" w:right="709"/>
        <w:jc w:val="both"/>
        <w:rPr>
          <w:rFonts w:ascii="Verdana" w:eastAsia="Calibri" w:hAnsi="Verdana" w:cs="Arial"/>
          <w:sz w:val="20"/>
          <w:szCs w:val="20"/>
          <w:lang w:val="es-ES" w:eastAsia="es-ES"/>
        </w:rPr>
      </w:pPr>
      <w:r w:rsidRPr="04AE9A76">
        <w:rPr>
          <w:rFonts w:ascii="Verdana" w:eastAsia="Calibri" w:hAnsi="Verdana" w:cs="Arial"/>
          <w:sz w:val="20"/>
          <w:szCs w:val="20"/>
          <w:lang w:val="es-ES" w:eastAsia="es-ES"/>
        </w:rPr>
        <w:t>(…)</w:t>
      </w:r>
      <w:r w:rsidR="459EEDF0" w:rsidRPr="04AE9A76">
        <w:rPr>
          <w:rFonts w:ascii="Verdana" w:eastAsia="Calibri" w:hAnsi="Verdana" w:cs="Arial"/>
          <w:sz w:val="20"/>
          <w:szCs w:val="20"/>
          <w:lang w:val="es-ES" w:eastAsia="es-ES"/>
        </w:rPr>
        <w:t xml:space="preserve"> (sic)</w:t>
      </w:r>
      <w:r w:rsidRPr="04AE9A76">
        <w:rPr>
          <w:rFonts w:ascii="Verdana" w:eastAsia="Calibri" w:hAnsi="Verdana" w:cs="Arial"/>
          <w:sz w:val="20"/>
          <w:szCs w:val="20"/>
          <w:lang w:val="es-ES" w:eastAsia="es-ES"/>
        </w:rPr>
        <w:t>”</w:t>
      </w:r>
    </w:p>
    <w:p w14:paraId="7B0B6F22" w14:textId="77777777" w:rsidR="00670EF8" w:rsidRPr="00CC2A30" w:rsidRDefault="00670EF8" w:rsidP="00670EF8">
      <w:pPr>
        <w:spacing w:after="0" w:line="240" w:lineRule="auto"/>
        <w:ind w:left="709" w:right="709"/>
        <w:jc w:val="both"/>
        <w:rPr>
          <w:rFonts w:ascii="Verdana" w:eastAsia="Calibri" w:hAnsi="Verdana" w:cs="Arial"/>
          <w:sz w:val="20"/>
          <w:szCs w:val="20"/>
          <w:lang w:val="es-ES" w:eastAsia="es-ES"/>
        </w:rPr>
      </w:pPr>
    </w:p>
    <w:p w14:paraId="00B36291" w14:textId="77777777" w:rsidR="00670EF8" w:rsidRPr="00CC2A30" w:rsidRDefault="00670EF8" w:rsidP="00670EF8">
      <w:pPr>
        <w:spacing w:after="120" w:line="276" w:lineRule="auto"/>
        <w:jc w:val="both"/>
        <w:rPr>
          <w:rFonts w:ascii="Verdana" w:eastAsia="Calibri" w:hAnsi="Verdana" w:cs="Arial"/>
          <w:lang w:val="es-ES" w:eastAsia="es-ES"/>
        </w:rPr>
      </w:pPr>
      <w:r w:rsidRPr="00CC2A30">
        <w:rPr>
          <w:rFonts w:ascii="Verdana" w:eastAsia="Calibri" w:hAnsi="Verdana" w:cs="Arial"/>
          <w:lang w:val="es-ES_tradnl" w:eastAsia="es-ES_tradnl"/>
        </w:rPr>
        <w:tab/>
      </w:r>
      <w:r w:rsidRPr="00CC2A30">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CD907D9" w14:textId="77777777" w:rsidR="00670EF8" w:rsidRPr="00CC2A30" w:rsidRDefault="00670EF8" w:rsidP="00670EF8">
      <w:pPr>
        <w:spacing w:after="0" w:line="276" w:lineRule="auto"/>
        <w:jc w:val="both"/>
        <w:rPr>
          <w:rFonts w:ascii="Verdana" w:eastAsia="Calibri" w:hAnsi="Verdana" w:cs="Arial"/>
          <w:lang w:val="es-ES" w:eastAsia="es-ES"/>
        </w:rPr>
      </w:pPr>
      <w:r w:rsidRPr="00CC2A30">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D0F125C" w14:textId="77777777" w:rsidR="00670EF8" w:rsidRPr="00CC2A30" w:rsidRDefault="00670EF8" w:rsidP="00670EF8">
      <w:pPr>
        <w:spacing w:after="0" w:line="276" w:lineRule="auto"/>
        <w:jc w:val="both"/>
        <w:rPr>
          <w:rFonts w:ascii="Verdana" w:eastAsia="Calibri" w:hAnsi="Verdana" w:cs="Arial"/>
          <w:lang w:val="es-ES" w:eastAsia="es-ES"/>
        </w:rPr>
      </w:pPr>
    </w:p>
    <w:p w14:paraId="36402279" w14:textId="77777777" w:rsidR="00670EF8" w:rsidRPr="00CC2A30" w:rsidRDefault="00670EF8" w:rsidP="00670E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Problema planteado:</w:t>
      </w:r>
    </w:p>
    <w:p w14:paraId="557747A2" w14:textId="77777777" w:rsidR="00670EF8" w:rsidRPr="00CC2A30" w:rsidRDefault="00670EF8" w:rsidP="00670EF8">
      <w:pPr>
        <w:spacing w:after="0" w:line="240" w:lineRule="auto"/>
        <w:jc w:val="both"/>
        <w:rPr>
          <w:rFonts w:ascii="Verdana" w:eastAsia="Century Gothic" w:hAnsi="Verdana" w:cs="Century Gothic"/>
        </w:rPr>
      </w:pPr>
    </w:p>
    <w:p w14:paraId="5C03FD39" w14:textId="77777777" w:rsidR="00670EF8" w:rsidRPr="00CC2A30" w:rsidRDefault="00670EF8" w:rsidP="00670EF8">
      <w:pPr>
        <w:spacing w:after="0" w:line="276" w:lineRule="auto"/>
        <w:jc w:val="both"/>
        <w:rPr>
          <w:rFonts w:ascii="Verdana" w:hAnsi="Verdana"/>
        </w:rPr>
      </w:pPr>
      <w:r w:rsidRPr="00EB4013">
        <w:rPr>
          <w:rFonts w:ascii="Verdana" w:eastAsia="Century Gothic" w:hAnsi="Verdana" w:cs="Century Gothic"/>
        </w:rPr>
        <w:lastRenderedPageBreak/>
        <w:t>De acuerdo con el contenido de su</w:t>
      </w:r>
      <w:r>
        <w:rPr>
          <w:rFonts w:ascii="Verdana" w:eastAsia="Century Gothic" w:hAnsi="Verdana" w:cs="Century Gothic"/>
        </w:rPr>
        <w:t xml:space="preserve">s </w:t>
      </w:r>
      <w:r w:rsidRPr="00EB4013">
        <w:rPr>
          <w:rFonts w:ascii="Verdana" w:eastAsia="Century Gothic" w:hAnsi="Verdana" w:cs="Century Gothic"/>
        </w:rPr>
        <w:t>solicitud</w:t>
      </w:r>
      <w:r>
        <w:rPr>
          <w:rFonts w:ascii="Verdana" w:eastAsia="Century Gothic" w:hAnsi="Verdana" w:cs="Century Gothic"/>
        </w:rPr>
        <w:t>es y que versan sobre la modalidad de licitación pública</w:t>
      </w:r>
      <w:r w:rsidRPr="00EB4013">
        <w:rPr>
          <w:rFonts w:ascii="Verdana" w:eastAsia="Century Gothic" w:hAnsi="Verdana" w:cs="Century Gothic"/>
        </w:rPr>
        <w:t xml:space="preserve">, esta Agencia resolverá </w:t>
      </w:r>
      <w:r>
        <w:rPr>
          <w:rFonts w:ascii="Verdana" w:eastAsia="Century Gothic" w:hAnsi="Verdana" w:cs="Century Gothic"/>
        </w:rPr>
        <w:t xml:space="preserve">los </w:t>
      </w:r>
      <w:r w:rsidRPr="00EB4013">
        <w:rPr>
          <w:rFonts w:ascii="Verdana" w:eastAsia="Century Gothic" w:hAnsi="Verdana" w:cs="Century Gothic"/>
        </w:rPr>
        <w:t>siguiente</w:t>
      </w:r>
      <w:r>
        <w:rPr>
          <w:rFonts w:ascii="Verdana" w:eastAsia="Century Gothic" w:hAnsi="Verdana" w:cs="Century Gothic"/>
        </w:rPr>
        <w:t>s</w:t>
      </w:r>
      <w:r w:rsidRPr="00EB4013">
        <w:rPr>
          <w:rFonts w:ascii="Verdana" w:eastAsia="Century Gothic" w:hAnsi="Verdana" w:cs="Century Gothic"/>
        </w:rPr>
        <w:t xml:space="preserve"> problema</w:t>
      </w:r>
      <w:r>
        <w:rPr>
          <w:rFonts w:ascii="Verdana" w:eastAsia="Century Gothic" w:hAnsi="Verdana" w:cs="Century Gothic"/>
        </w:rPr>
        <w:t>s</w:t>
      </w:r>
      <w:r w:rsidRPr="00EB4013">
        <w:rPr>
          <w:rFonts w:ascii="Verdana" w:eastAsia="Century Gothic" w:hAnsi="Verdana" w:cs="Century Gothic"/>
        </w:rPr>
        <w:t xml:space="preserve"> jurídico</w:t>
      </w:r>
      <w:r>
        <w:rPr>
          <w:rFonts w:ascii="Verdana" w:eastAsia="Century Gothic" w:hAnsi="Verdana" w:cs="Century Gothic"/>
        </w:rPr>
        <w:t>s</w:t>
      </w:r>
      <w:r w:rsidRPr="00EB4013">
        <w:rPr>
          <w:rFonts w:ascii="Verdana" w:eastAsia="Century Gothic" w:hAnsi="Verdana" w:cs="Century Gothic"/>
        </w:rPr>
        <w:t>: (i) ¿</w:t>
      </w:r>
      <w:r>
        <w:rPr>
          <w:rFonts w:ascii="Verdana" w:eastAsia="Century Gothic" w:hAnsi="Verdana" w:cs="Century Gothic"/>
        </w:rPr>
        <w:t>D</w:t>
      </w:r>
      <w:r w:rsidRPr="00EB4013">
        <w:rPr>
          <w:rFonts w:ascii="Verdana" w:eastAsia="Century Gothic" w:hAnsi="Verdana" w:cs="Century Gothic"/>
        </w:rPr>
        <w:t>espués de vencido el término de traslado del informe de evaluación</w:t>
      </w:r>
      <w:r>
        <w:rPr>
          <w:rFonts w:ascii="Verdana" w:eastAsia="Century Gothic" w:hAnsi="Verdana" w:cs="Century Gothic"/>
        </w:rPr>
        <w:t xml:space="preserve"> preliminar o definitivo</w:t>
      </w:r>
      <w:r w:rsidRPr="00EB4013">
        <w:rPr>
          <w:rFonts w:ascii="Verdana" w:eastAsia="Century Gothic" w:hAnsi="Verdana" w:cs="Century Gothic"/>
        </w:rPr>
        <w:t xml:space="preserve"> en un proceso de licitación pública, los proponentes pueden subsanar requisitos habilitantes?</w:t>
      </w:r>
      <w:r>
        <w:rPr>
          <w:rFonts w:ascii="Verdana" w:eastAsia="Century Gothic" w:hAnsi="Verdana" w:cs="Century Gothic"/>
        </w:rPr>
        <w:t xml:space="preserve"> </w:t>
      </w:r>
      <w:r w:rsidRPr="00EB4013">
        <w:rPr>
          <w:rFonts w:ascii="Verdana" w:eastAsia="Century Gothic" w:hAnsi="Verdana" w:cs="Century Gothic"/>
        </w:rPr>
        <w:t>(</w:t>
      </w:r>
      <w:proofErr w:type="spellStart"/>
      <w:r w:rsidRPr="00EB4013">
        <w:rPr>
          <w:rFonts w:ascii="Verdana" w:eastAsia="Century Gothic" w:hAnsi="Verdana" w:cs="Century Gothic"/>
        </w:rPr>
        <w:t>i</w:t>
      </w:r>
      <w:r>
        <w:rPr>
          <w:rFonts w:ascii="Verdana" w:eastAsia="Century Gothic" w:hAnsi="Verdana" w:cs="Century Gothic"/>
        </w:rPr>
        <w:t>i</w:t>
      </w:r>
      <w:proofErr w:type="spellEnd"/>
      <w:r w:rsidRPr="00EB4013">
        <w:rPr>
          <w:rFonts w:ascii="Verdana" w:eastAsia="Century Gothic" w:hAnsi="Verdana" w:cs="Century Gothic"/>
        </w:rPr>
        <w:t xml:space="preserve">) </w:t>
      </w:r>
      <w:r>
        <w:rPr>
          <w:rFonts w:ascii="Verdana" w:eastAsia="Century Gothic" w:hAnsi="Verdana" w:cs="Century Gothic"/>
        </w:rPr>
        <w:t>¿Después de la apertura del sobre económico en la audiencia de adjudicación, se pueden hacer nuevas observaciones? (</w:t>
      </w:r>
      <w:proofErr w:type="spellStart"/>
      <w:r>
        <w:rPr>
          <w:rFonts w:ascii="Verdana" w:eastAsia="Century Gothic" w:hAnsi="Verdana" w:cs="Century Gothic"/>
        </w:rPr>
        <w:t>iii</w:t>
      </w:r>
      <w:proofErr w:type="spellEnd"/>
      <w:r>
        <w:rPr>
          <w:rFonts w:ascii="Verdana" w:eastAsia="Century Gothic" w:hAnsi="Verdana" w:cs="Century Gothic"/>
        </w:rPr>
        <w:t xml:space="preserve">) </w:t>
      </w:r>
      <w:r w:rsidRPr="00FA4CEE">
        <w:rPr>
          <w:rFonts w:ascii="Verdana" w:eastAsia="Century Gothic" w:hAnsi="Verdana" w:cs="Century Gothic"/>
        </w:rPr>
        <w:t>¿</w:t>
      </w:r>
      <w:r>
        <w:rPr>
          <w:rFonts w:ascii="Verdana" w:eastAsia="Century Gothic" w:hAnsi="Verdana" w:cs="Century Gothic"/>
        </w:rPr>
        <w:t>Una entidad contratante puede exigir</w:t>
      </w:r>
      <w:r w:rsidRPr="00FA4CEE">
        <w:rPr>
          <w:rFonts w:ascii="Verdana" w:eastAsia="Century Gothic" w:hAnsi="Verdana" w:cs="Century Gothic"/>
        </w:rPr>
        <w:t xml:space="preserve"> los códigos de la Clasificación Industrial Internacional Uniforme –CIIU- como requisito habilitante?</w:t>
      </w:r>
    </w:p>
    <w:p w14:paraId="201658B6" w14:textId="77777777" w:rsidR="00670EF8" w:rsidRPr="00CC2A30" w:rsidRDefault="00670EF8" w:rsidP="00670EF8">
      <w:pPr>
        <w:spacing w:after="0" w:line="276" w:lineRule="auto"/>
        <w:jc w:val="both"/>
        <w:rPr>
          <w:rFonts w:ascii="Verdana" w:eastAsia="Century Gothic" w:hAnsi="Verdana" w:cs="Century Gothic"/>
        </w:rPr>
      </w:pPr>
    </w:p>
    <w:p w14:paraId="14561244" w14:textId="77777777" w:rsidR="00670EF8" w:rsidRPr="00CC2A30" w:rsidRDefault="00670EF8" w:rsidP="00670E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Respuesta:</w:t>
      </w:r>
    </w:p>
    <w:p w14:paraId="45076D81" w14:textId="77777777" w:rsidR="00670EF8" w:rsidRPr="00CC2A30" w:rsidRDefault="00670EF8" w:rsidP="00670EF8">
      <w:pPr>
        <w:pStyle w:val="Prrafodelista"/>
        <w:tabs>
          <w:tab w:val="left" w:pos="142"/>
          <w:tab w:val="left" w:pos="284"/>
        </w:tabs>
        <w:spacing w:after="0" w:line="276" w:lineRule="auto"/>
        <w:ind w:left="0"/>
        <w:jc w:val="both"/>
        <w:rPr>
          <w:rFonts w:ascii="Verdana" w:eastAsia="Century Gothic" w:hAnsi="Verdana" w:cs="Century Gothic"/>
          <w:b/>
          <w:bCs/>
        </w:rPr>
      </w:pPr>
    </w:p>
    <w:p w14:paraId="4900CD8C" w14:textId="77777777" w:rsidR="00670EF8" w:rsidRDefault="00670EF8" w:rsidP="00670EF8">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cs="Arial"/>
        </w:rPr>
      </w:pPr>
      <w:r>
        <w:rPr>
          <w:rFonts w:ascii="Verdana" w:eastAsia="Calibri" w:hAnsi="Verdana" w:cs="Arial"/>
          <w:lang w:val="es-ES"/>
        </w:rPr>
        <w:t xml:space="preserve">i) Respecto al </w:t>
      </w:r>
      <w:r w:rsidRPr="00F03F62">
        <w:rPr>
          <w:rFonts w:ascii="Verdana" w:eastAsia="Calibri" w:hAnsi="Verdana" w:cs="Arial"/>
          <w:i/>
          <w:iCs/>
          <w:lang w:val="es-ES"/>
        </w:rPr>
        <w:t>primer interrogante</w:t>
      </w:r>
      <w:r>
        <w:rPr>
          <w:rFonts w:ascii="Verdana" w:eastAsia="Calibri" w:hAnsi="Verdana" w:cs="Arial"/>
          <w:lang w:val="es-ES"/>
        </w:rPr>
        <w:t>, se debe precisar e</w:t>
      </w:r>
      <w:r w:rsidRPr="004C6846">
        <w:rPr>
          <w:rFonts w:ascii="Verdana" w:eastAsia="Calibri" w:hAnsi="Verdana" w:cs="Arial"/>
        </w:rPr>
        <w:t xml:space="preserve">n torno a la </w:t>
      </w:r>
      <w:proofErr w:type="spellStart"/>
      <w:r w:rsidRPr="004C6846">
        <w:rPr>
          <w:rFonts w:ascii="Verdana" w:eastAsia="Calibri" w:hAnsi="Verdana" w:cs="Arial"/>
        </w:rPr>
        <w:t>subsanabilidad</w:t>
      </w:r>
      <w:proofErr w:type="spellEnd"/>
      <w:r w:rsidRPr="004C6846">
        <w:rPr>
          <w:rFonts w:ascii="Verdana" w:eastAsia="Calibri" w:hAnsi="Verdana" w:cs="Arial"/>
        </w:rPr>
        <w:t xml:space="preserve"> de las ofertas </w:t>
      </w:r>
      <w:r>
        <w:rPr>
          <w:rFonts w:ascii="Verdana" w:eastAsia="Calibri" w:hAnsi="Verdana" w:cs="Arial"/>
        </w:rPr>
        <w:t>que</w:t>
      </w:r>
      <w:r w:rsidRPr="004C6846">
        <w:rPr>
          <w:rFonts w:ascii="Verdana" w:eastAsia="Calibri" w:hAnsi="Verdana" w:cs="Arial"/>
        </w:rPr>
        <w:t xml:space="preserve"> las reglas dispuestas en la Ley 1882 de 2018, mantiene</w:t>
      </w:r>
      <w:r>
        <w:rPr>
          <w:rFonts w:ascii="Verdana" w:eastAsia="Calibri" w:hAnsi="Verdana" w:cs="Arial"/>
        </w:rPr>
        <w:t>n</w:t>
      </w:r>
      <w:r w:rsidRPr="004C6846">
        <w:rPr>
          <w:rFonts w:ascii="Verdana" w:eastAsia="Calibri" w:hAnsi="Verdana" w:cs="Arial"/>
        </w:rPr>
        <w:t xml:space="preserve"> el criterio de la Ley 80 de 1993, relativo a que todo lo que no sea necesario para la comparación de propuestas no es argumento suficiente para su rechazo; y</w:t>
      </w:r>
      <w:r>
        <w:rPr>
          <w:rFonts w:ascii="Verdana" w:eastAsia="Calibri" w:hAnsi="Verdana" w:cs="Arial"/>
        </w:rPr>
        <w:t xml:space="preserve"> también</w:t>
      </w:r>
      <w:r w:rsidRPr="004C6846">
        <w:rPr>
          <w:rFonts w:ascii="Verdana" w:eastAsia="Calibri" w:hAnsi="Verdana" w:cs="Arial"/>
        </w:rPr>
        <w:t xml:space="preserve"> se mantiene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 </w:t>
      </w:r>
    </w:p>
    <w:p w14:paraId="3EDA4BFA" w14:textId="77777777" w:rsidR="00670EF8" w:rsidRDefault="00670EF8" w:rsidP="00670EF8">
      <w:pPr>
        <w:pBdr>
          <w:top w:val="single" w:sz="4" w:space="1" w:color="auto"/>
          <w:left w:val="single" w:sz="4" w:space="4" w:color="auto"/>
          <w:bottom w:val="single" w:sz="4" w:space="1" w:color="auto"/>
          <w:right w:val="single" w:sz="4" w:space="4" w:color="auto"/>
        </w:pBdr>
        <w:spacing w:line="276" w:lineRule="auto"/>
        <w:ind w:firstLine="708"/>
        <w:jc w:val="both"/>
        <w:rPr>
          <w:rFonts w:ascii="Verdana" w:eastAsia="Calibri" w:hAnsi="Verdana" w:cs="Arial"/>
        </w:rPr>
      </w:pPr>
      <w:r w:rsidRPr="00AD390A">
        <w:rPr>
          <w:rFonts w:ascii="Verdana" w:eastAsia="Calibri" w:hAnsi="Verdana" w:cs="Arial"/>
        </w:rPr>
        <w:t>En</w:t>
      </w:r>
      <w:r w:rsidRPr="004C6846">
        <w:rPr>
          <w:rFonts w:ascii="Verdana" w:eastAsia="Calibri" w:hAnsi="Verdana" w:cs="Arial"/>
        </w:rPr>
        <w:t xml:space="preserve"> ese orden de ideas, extendiendo las anteriores consideraciones a la regla de </w:t>
      </w:r>
      <w:proofErr w:type="spellStart"/>
      <w:r w:rsidRPr="004C6846">
        <w:rPr>
          <w:rFonts w:ascii="Verdana" w:eastAsia="Calibri" w:hAnsi="Verdana" w:cs="Arial"/>
        </w:rPr>
        <w:t>subsanabilidad</w:t>
      </w:r>
      <w:proofErr w:type="spellEnd"/>
      <w:r w:rsidRPr="004C6846">
        <w:rPr>
          <w:rFonts w:ascii="Verdana" w:eastAsia="Calibri" w:hAnsi="Verdana" w:cs="Arial"/>
        </w:rPr>
        <w:t xml:space="preserve"> consagrada en el parágrafo </w:t>
      </w:r>
      <w:r>
        <w:rPr>
          <w:rFonts w:ascii="Verdana" w:eastAsia="Calibri" w:hAnsi="Verdana" w:cs="Arial"/>
        </w:rPr>
        <w:t>1</w:t>
      </w:r>
      <w:r w:rsidRPr="004C6846">
        <w:rPr>
          <w:rFonts w:ascii="Verdana" w:eastAsia="Calibri" w:hAnsi="Verdana" w:cs="Arial"/>
        </w:rPr>
        <w:t xml:space="preserve"> del artículo 5 de la Ley 1150 de 2007</w:t>
      </w:r>
      <w:r>
        <w:rPr>
          <w:rFonts w:ascii="Verdana" w:eastAsia="Calibri" w:hAnsi="Verdana" w:cs="Arial"/>
        </w:rPr>
        <w:t xml:space="preserve"> </w:t>
      </w:r>
      <w:r w:rsidRPr="004C6846">
        <w:rPr>
          <w:rFonts w:ascii="Verdana" w:eastAsia="Calibri" w:hAnsi="Verdana" w:cs="Arial"/>
        </w:rPr>
        <w:t>–modificad</w:t>
      </w:r>
      <w:r>
        <w:rPr>
          <w:rFonts w:ascii="Verdana" w:eastAsia="Calibri" w:hAnsi="Verdana" w:cs="Arial"/>
        </w:rPr>
        <w:t>o</w:t>
      </w:r>
      <w:r w:rsidRPr="004C6846">
        <w:rPr>
          <w:rFonts w:ascii="Verdana" w:eastAsia="Calibri" w:hAnsi="Verdana" w:cs="Arial"/>
        </w:rPr>
        <w:t xml:space="preserve"> por la Ley 1882 de 2018–</w:t>
      </w:r>
      <w:r>
        <w:rPr>
          <w:rFonts w:ascii="Verdana" w:eastAsia="Calibri" w:hAnsi="Verdana" w:cs="Arial"/>
          <w:i/>
          <w:iCs/>
        </w:rPr>
        <w:t>,</w:t>
      </w:r>
      <w:r>
        <w:rPr>
          <w:rFonts w:ascii="Verdana" w:eastAsia="Calibri" w:hAnsi="Verdana" w:cs="Arial"/>
        </w:rPr>
        <w:t xml:space="preserve"> en el caso de la modalidad de licitación pública, los proponentes podrán subsanar los requisitos habilitantes que sean solicitados en el informe de evaluación durante el traslado del informe de evaluación, de cinco (5) días hábiles, por lo que después de finalizado el plazo señalado y expedido el informe de evaluación definitivo, los proponentes únicamente podrán </w:t>
      </w:r>
      <w:r w:rsidRPr="00474E24">
        <w:rPr>
          <w:rFonts w:ascii="Verdana" w:eastAsia="Calibri" w:hAnsi="Verdana" w:cs="Arial"/>
        </w:rPr>
        <w:t>pronunciarse sobre las respuestas dadas por la Entidad Estatal a las observaciones presentadas respecto del informe de evaluación</w:t>
      </w:r>
      <w:r>
        <w:rPr>
          <w:rFonts w:ascii="Verdana" w:eastAsia="Calibri" w:hAnsi="Verdana" w:cs="Arial"/>
        </w:rPr>
        <w:t xml:space="preserve"> definitivo</w:t>
      </w:r>
      <w:r w:rsidRPr="00474E24">
        <w:rPr>
          <w:rFonts w:ascii="Verdana" w:eastAsia="Calibri" w:hAnsi="Verdana" w:cs="Arial"/>
        </w:rPr>
        <w:t>, lo cual no implica una nueva oportunidad para mejorar o modificar</w:t>
      </w:r>
      <w:r>
        <w:rPr>
          <w:rFonts w:ascii="Verdana" w:eastAsia="Calibri" w:hAnsi="Verdana" w:cs="Arial"/>
        </w:rPr>
        <w:t xml:space="preserve">, es decir no podrían subsanar ningún requisito habilitante a la luz de lo señalado en el numeral 1 del </w:t>
      </w:r>
      <w:r w:rsidRPr="00393E08">
        <w:rPr>
          <w:rFonts w:ascii="Verdana" w:eastAsia="Calibri" w:hAnsi="Verdana" w:cs="Arial"/>
        </w:rPr>
        <w:t>artículo 2.2.1.2.1.1.2. del Decreto 1082 de 2015</w:t>
      </w:r>
      <w:r>
        <w:rPr>
          <w:rFonts w:ascii="Verdana" w:eastAsia="Calibri" w:hAnsi="Verdana" w:cs="Arial"/>
        </w:rPr>
        <w:t>, vencido el término de traslado del respectivo informe de evaluación.</w:t>
      </w:r>
    </w:p>
    <w:p w14:paraId="57A180AC" w14:textId="0EA80CD7" w:rsidR="00670EF8" w:rsidRDefault="00670EF8" w:rsidP="00670EF8">
      <w:pPr>
        <w:pBdr>
          <w:top w:val="single" w:sz="4" w:space="1" w:color="auto"/>
          <w:left w:val="single" w:sz="4" w:space="4" w:color="auto"/>
          <w:bottom w:val="single" w:sz="4" w:space="1" w:color="auto"/>
          <w:right w:val="single" w:sz="4" w:space="4" w:color="auto"/>
        </w:pBdr>
        <w:spacing w:line="276" w:lineRule="auto"/>
        <w:ind w:firstLine="708"/>
        <w:jc w:val="both"/>
        <w:rPr>
          <w:rFonts w:ascii="Verdana" w:eastAsia="Calibri" w:hAnsi="Verdana"/>
        </w:rPr>
      </w:pPr>
      <w:proofErr w:type="spellStart"/>
      <w:r>
        <w:rPr>
          <w:rFonts w:ascii="Verdana" w:eastAsia="Calibri" w:hAnsi="Verdana"/>
        </w:rPr>
        <w:t>ii</w:t>
      </w:r>
      <w:proofErr w:type="spellEnd"/>
      <w:r>
        <w:rPr>
          <w:rFonts w:ascii="Verdana" w:eastAsia="Calibri" w:hAnsi="Verdana"/>
        </w:rPr>
        <w:t>) Respecto</w:t>
      </w:r>
      <w:r w:rsidRPr="00C85229">
        <w:rPr>
          <w:rFonts w:ascii="Verdana" w:eastAsia="Calibri" w:hAnsi="Verdana"/>
        </w:rPr>
        <w:t xml:space="preserve"> al </w:t>
      </w:r>
      <w:r>
        <w:rPr>
          <w:rFonts w:ascii="Verdana" w:eastAsia="Calibri" w:hAnsi="Verdana"/>
        </w:rPr>
        <w:t>segundo</w:t>
      </w:r>
      <w:r w:rsidRPr="00C85229">
        <w:rPr>
          <w:rFonts w:ascii="Verdana" w:eastAsia="Calibri" w:hAnsi="Verdana"/>
        </w:rPr>
        <w:t xml:space="preserve"> interrogante planteado, de conformidad </w:t>
      </w:r>
      <w:r w:rsidR="66B71389" w:rsidRPr="04AE9A76">
        <w:rPr>
          <w:rFonts w:ascii="Verdana" w:eastAsia="Calibri" w:hAnsi="Verdana"/>
        </w:rPr>
        <w:t>con</w:t>
      </w:r>
      <w:r w:rsidRPr="00C85229">
        <w:rPr>
          <w:rFonts w:ascii="Verdana" w:eastAsia="Calibri" w:hAnsi="Verdana"/>
        </w:rPr>
        <w:t xml:space="preserve"> lo establecido en el inciso final del parágrafo 3 del artículo 30 de la Ley 80 de 1993,</w:t>
      </w:r>
      <w:r>
        <w:rPr>
          <w:rFonts w:ascii="Verdana" w:eastAsia="Calibri" w:hAnsi="Verdana"/>
        </w:rPr>
        <w:t xml:space="preserve"> </w:t>
      </w:r>
      <w:r>
        <w:rPr>
          <w:rFonts w:ascii="Verdana" w:eastAsia="Calibri" w:hAnsi="Verdana"/>
        </w:rPr>
        <w:lastRenderedPageBreak/>
        <w:t xml:space="preserve">después de realizar la </w:t>
      </w:r>
      <w:r>
        <w:rPr>
          <w:rFonts w:ascii="Verdana" w:eastAsia="Century Gothic" w:hAnsi="Verdana" w:cs="Century Gothic"/>
        </w:rPr>
        <w:t>apertura del sobre económico en la audiencia de adjudicación, se pueden hacer nuevas observaciones, para lo cual</w:t>
      </w:r>
      <w:r w:rsidRPr="00C85229">
        <w:rPr>
          <w:rFonts w:ascii="Verdana" w:eastAsia="Calibri" w:hAnsi="Verdana"/>
        </w:rPr>
        <w:t xml:space="preserve"> la entidad dará traslado a los proponentes habilitados</w:t>
      </w:r>
      <w:r>
        <w:rPr>
          <w:rFonts w:ascii="Verdana" w:eastAsia="Calibri" w:hAnsi="Verdana"/>
        </w:rPr>
        <w:t xml:space="preserve">, advirtiendo que estas observaciones deberán versar sobre </w:t>
      </w:r>
      <w:r w:rsidRPr="00C85229">
        <w:rPr>
          <w:rFonts w:ascii="Verdana" w:eastAsia="Calibri" w:hAnsi="Verdana"/>
        </w:rPr>
        <w:t>la ponderación de la oferta económica, con lo cual se aclara que los proponentes no podrían hacer observaciones sobre condiciones o situaciones diferentes.</w:t>
      </w:r>
      <w:r>
        <w:rPr>
          <w:rFonts w:ascii="Verdana" w:eastAsia="Calibri" w:hAnsi="Verdana"/>
        </w:rPr>
        <w:t xml:space="preserve"> </w:t>
      </w:r>
    </w:p>
    <w:p w14:paraId="69D231EE" w14:textId="77777777" w:rsidR="00670EF8" w:rsidRDefault="00670EF8" w:rsidP="00670EF8">
      <w:pPr>
        <w:pBdr>
          <w:top w:val="single" w:sz="4" w:space="1" w:color="auto"/>
          <w:left w:val="single" w:sz="4" w:space="4" w:color="auto"/>
          <w:bottom w:val="single" w:sz="4" w:space="1" w:color="auto"/>
          <w:right w:val="single" w:sz="4" w:space="4" w:color="auto"/>
        </w:pBdr>
        <w:spacing w:after="120" w:line="276" w:lineRule="auto"/>
        <w:ind w:firstLine="708"/>
        <w:jc w:val="both"/>
        <w:rPr>
          <w:rFonts w:ascii="Verdana" w:eastAsia="Calibri" w:hAnsi="Verdana" w:cs="Arial"/>
          <w:color w:val="000000" w:themeColor="text1"/>
          <w:lang w:val="es-ES_tradnl"/>
        </w:rPr>
      </w:pPr>
      <w:proofErr w:type="spellStart"/>
      <w:r>
        <w:rPr>
          <w:rFonts w:ascii="Verdana" w:eastAsia="Calibri" w:hAnsi="Verdana"/>
        </w:rPr>
        <w:t>iii</w:t>
      </w:r>
      <w:proofErr w:type="spellEnd"/>
      <w:r>
        <w:rPr>
          <w:rFonts w:ascii="Verdana" w:eastAsia="Calibri" w:hAnsi="Verdana"/>
        </w:rPr>
        <w:t xml:space="preserve">) </w:t>
      </w:r>
      <w:r w:rsidRPr="00FA4CEE">
        <w:rPr>
          <w:rFonts w:ascii="Verdana" w:hAnsi="Verdana" w:cs="Arial"/>
        </w:rPr>
        <w:t>L</w:t>
      </w:r>
      <w:r w:rsidRPr="00FA4CEE">
        <w:rPr>
          <w:rFonts w:ascii="Verdana" w:eastAsia="Calibri" w:hAnsi="Verdana" w:cs="Arial"/>
          <w:color w:val="000000" w:themeColor="text1"/>
        </w:rPr>
        <w:t xml:space="preserve">os códigos del </w:t>
      </w:r>
      <w:r w:rsidRPr="00FA4CEE">
        <w:rPr>
          <w:rFonts w:ascii="Verdana" w:eastAsia="Times New Roman" w:hAnsi="Verdana" w:cs="Arial"/>
          <w:color w:val="000000" w:themeColor="text1"/>
          <w:lang w:val="es-ES_tradnl" w:eastAsia="es-ES_tradnl"/>
        </w:rPr>
        <w:t>CIIU</w:t>
      </w:r>
      <w:r w:rsidRPr="00FA4CEE">
        <w:rPr>
          <w:rFonts w:ascii="Verdana" w:eastAsia="Calibri" w:hAnsi="Verdana" w:cs="Arial"/>
          <w:color w:val="000000" w:themeColor="text1"/>
        </w:rPr>
        <w:t xml:space="preserve"> tienen efectos declarativos, no constitutivos</w:t>
      </w:r>
      <w:r>
        <w:rPr>
          <w:rFonts w:ascii="Verdana" w:eastAsia="Calibri" w:hAnsi="Verdana" w:cs="Arial"/>
          <w:color w:val="000000" w:themeColor="text1"/>
        </w:rPr>
        <w:t>, y en todo caso no se pueden considerar un requisito habilitante.</w:t>
      </w:r>
      <w:r w:rsidRPr="00FA4CEE">
        <w:rPr>
          <w:rFonts w:ascii="Verdana" w:eastAsia="Calibri" w:hAnsi="Verdana" w:cs="Arial"/>
          <w:color w:val="000000" w:themeColor="text1"/>
        </w:rPr>
        <w:t xml:space="preserve"> Por ello, existe capacidad si el objeto del contrato está relacionado con el objeto social de la </w:t>
      </w:r>
      <w:r w:rsidRPr="00FA4CEE">
        <w:rPr>
          <w:rFonts w:ascii="Verdana" w:eastAsia="Calibri" w:hAnsi="Verdana" w:cs="Arial"/>
          <w:i/>
          <w:iCs/>
          <w:color w:val="000000" w:themeColor="text1"/>
        </w:rPr>
        <w:t>persona jurídica</w:t>
      </w:r>
      <w:r w:rsidRPr="00FA4CEE">
        <w:rPr>
          <w:rFonts w:ascii="Verdana" w:eastAsia="Calibri" w:hAnsi="Verdana" w:cs="Arial"/>
          <w:color w:val="000000" w:themeColor="text1"/>
        </w:rPr>
        <w:t xml:space="preserve">, y aquella se mantiene, aunque la actividad económica no se haya recogido en la clasificación. De la misma forma, si el código registrado es ajeno al objeto social, dicha situación no hace que la empresa adquiera la capacidad para ejecutar esa actividad en particular. Además, en sociedades con objeto indeterminado –como las sociedades por acciones simplificadas– los códigos del </w:t>
      </w:r>
      <w:r w:rsidRPr="00FA4CEE">
        <w:rPr>
          <w:rFonts w:ascii="Verdana" w:eastAsia="Times New Roman" w:hAnsi="Verdana" w:cs="Arial"/>
          <w:color w:val="000000" w:themeColor="text1"/>
          <w:lang w:val="es-ES_tradnl" w:eastAsia="es-ES_tradnl"/>
        </w:rPr>
        <w:t xml:space="preserve">CIIU no restringen la capacidad de la </w:t>
      </w:r>
      <w:r w:rsidRPr="00FA4CEE">
        <w:rPr>
          <w:rFonts w:ascii="Verdana" w:eastAsia="Times New Roman" w:hAnsi="Verdana" w:cs="Arial"/>
          <w:i/>
          <w:iCs/>
          <w:color w:val="000000" w:themeColor="text1"/>
          <w:lang w:val="es-ES_tradnl" w:eastAsia="es-ES_tradnl"/>
        </w:rPr>
        <w:t>persona jurídica</w:t>
      </w:r>
      <w:r w:rsidRPr="00FA4CEE">
        <w:rPr>
          <w:rFonts w:ascii="Verdana" w:eastAsia="Times New Roman" w:hAnsi="Verdana" w:cs="Arial"/>
          <w:color w:val="000000" w:themeColor="text1"/>
          <w:lang w:val="es-ES_tradnl" w:eastAsia="es-ES_tradnl"/>
        </w:rPr>
        <w:t>, ya que –en las condiciones del</w:t>
      </w:r>
      <w:r w:rsidRPr="00FA4CEE">
        <w:rPr>
          <w:rFonts w:ascii="Verdana" w:eastAsia="Calibri" w:hAnsi="Verdana" w:cs="Arial"/>
          <w:color w:val="000000" w:themeColor="text1"/>
          <w:lang w:val="es-ES_tradnl"/>
        </w:rPr>
        <w:t xml:space="preserve"> </w:t>
      </w:r>
      <w:r w:rsidRPr="00FA4CEE">
        <w:rPr>
          <w:rFonts w:ascii="Verdana" w:eastAsia="Calibri" w:hAnsi="Verdana" w:cs="Arial"/>
          <w:color w:val="000000" w:themeColor="text1"/>
        </w:rPr>
        <w:t xml:space="preserve">artículo 5.4 de la Ley 1258 de 2008– </w:t>
      </w:r>
      <w:r w:rsidRPr="00FA4CEE">
        <w:rPr>
          <w:rFonts w:ascii="Verdana" w:eastAsia="Times New Roman" w:hAnsi="Verdana" w:cs="Arial"/>
          <w:color w:val="000000" w:themeColor="text1"/>
          <w:lang w:val="es-ES_tradnl" w:eastAsia="es-ES_tradnl"/>
        </w:rPr>
        <w:t>pueden ejecutar cualquier actividad lícita.</w:t>
      </w:r>
      <w:r w:rsidRPr="00FA4CEE">
        <w:rPr>
          <w:rFonts w:ascii="Verdana" w:eastAsia="Calibri" w:hAnsi="Verdana" w:cs="Arial"/>
          <w:color w:val="000000" w:themeColor="text1"/>
          <w:lang w:val="es-ES_tradnl"/>
        </w:rPr>
        <w:t xml:space="preserve"> </w:t>
      </w:r>
    </w:p>
    <w:p w14:paraId="3FD2636F" w14:textId="77777777" w:rsidR="00670EF8" w:rsidRDefault="00670EF8" w:rsidP="00670EF8">
      <w:pPr>
        <w:pBdr>
          <w:top w:val="single" w:sz="4" w:space="1" w:color="auto"/>
          <w:left w:val="single" w:sz="4" w:space="4" w:color="auto"/>
          <w:bottom w:val="single" w:sz="4" w:space="1" w:color="auto"/>
          <w:right w:val="single" w:sz="4" w:space="4" w:color="auto"/>
        </w:pBdr>
        <w:spacing w:after="120" w:line="276" w:lineRule="auto"/>
        <w:ind w:firstLine="708"/>
        <w:jc w:val="both"/>
        <w:rPr>
          <w:rFonts w:ascii="Verdana" w:eastAsia="Calibri" w:hAnsi="Verdana"/>
        </w:rPr>
      </w:pPr>
      <w:r w:rsidRPr="00AD390A">
        <w:rPr>
          <w:rFonts w:ascii="Verdana" w:eastAsia="Calibri" w:hAnsi="Verdana"/>
          <w:color w:val="000000" w:themeColor="text1"/>
        </w:rPr>
        <w:t>En</w:t>
      </w:r>
      <w:r w:rsidRPr="00FA4CEE">
        <w:rPr>
          <w:rFonts w:ascii="Verdana" w:eastAsia="Calibri" w:hAnsi="Verdana"/>
          <w:color w:val="000000" w:themeColor="text1"/>
        </w:rPr>
        <w:t xml:space="preserve"> esta línea, atendiendo a que la CIIU no es un requisito que dé cuenta de la capacidad jurídica de los proponentes, no existe objeto para requerir este requisito como habilitante en proceso de contratación alguno, exceptuando aquellos casos en los que de manera inequívoca así lo determinase la ley. Sin perjuicio de lo anterior, sumado a las implicaciones estadísticas de la </w:t>
      </w:r>
      <w:r w:rsidRPr="00FA4CEE">
        <w:rPr>
          <w:rFonts w:ascii="Verdana" w:eastAsia="Times New Roman" w:hAnsi="Verdana"/>
          <w:color w:val="000000" w:themeColor="text1"/>
          <w:lang w:val="es-ES_tradnl" w:eastAsia="es-ES_tradnl"/>
        </w:rPr>
        <w:t>CIIU, los interesados deben registrar adecuadamente los códigos de sus actividades económicas en el RUES. Lo anterior teniendo en cuenta que son un parámetro para la DIAN en lo relativo al control y determinación de los impuestos y demás obligaciones tributarias, aduaneras y cambiarias.</w:t>
      </w:r>
    </w:p>
    <w:p w14:paraId="053D695A" w14:textId="77777777" w:rsidR="00670EF8" w:rsidRDefault="00670EF8" w:rsidP="00670EF8">
      <w:pPr>
        <w:pStyle w:val="Textoindependiente"/>
        <w:spacing w:before="1" w:line="276" w:lineRule="auto"/>
        <w:ind w:right="205"/>
        <w:jc w:val="both"/>
        <w:rPr>
          <w:rFonts w:ascii="Verdana" w:eastAsia="Calibri" w:hAnsi="Verdana"/>
          <w:lang w:val="es-CO"/>
        </w:rPr>
      </w:pPr>
    </w:p>
    <w:p w14:paraId="1FFF54E0" w14:textId="77777777" w:rsidR="00670EF8" w:rsidRPr="00CC2A30" w:rsidRDefault="00670EF8" w:rsidP="00670E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Razones de la respuesta:</w:t>
      </w:r>
    </w:p>
    <w:p w14:paraId="2167CB2D" w14:textId="77777777" w:rsidR="00670EF8" w:rsidRPr="00CC2A30" w:rsidRDefault="00670EF8" w:rsidP="00670EF8">
      <w:pPr>
        <w:pStyle w:val="Prrafodelista"/>
        <w:tabs>
          <w:tab w:val="left" w:pos="142"/>
          <w:tab w:val="left" w:pos="284"/>
        </w:tabs>
        <w:spacing w:after="0" w:line="276" w:lineRule="auto"/>
        <w:ind w:left="0"/>
        <w:jc w:val="both"/>
        <w:rPr>
          <w:rFonts w:ascii="Verdana" w:eastAsia="Century Gothic" w:hAnsi="Verdana" w:cs="Century Gothic"/>
          <w:b/>
          <w:bCs/>
        </w:rPr>
      </w:pPr>
    </w:p>
    <w:p w14:paraId="25EA40DC" w14:textId="77777777" w:rsidR="00670EF8" w:rsidRPr="00CC2A30" w:rsidRDefault="00670EF8" w:rsidP="00670EF8">
      <w:pPr>
        <w:spacing w:after="0" w:line="276" w:lineRule="auto"/>
        <w:jc w:val="both"/>
        <w:rPr>
          <w:rFonts w:ascii="Verdana" w:eastAsia="Calibri" w:hAnsi="Verdana" w:cs="Arial"/>
          <w:lang w:val="es-ES"/>
        </w:rPr>
      </w:pPr>
      <w:r w:rsidRPr="00CC2A30">
        <w:rPr>
          <w:rFonts w:ascii="Verdana" w:eastAsia="Calibri" w:hAnsi="Verdana" w:cs="Arial"/>
          <w:lang w:val="es-ES"/>
        </w:rPr>
        <w:t xml:space="preserve">Lo anterior se sustenta en las siguientes consideraciones: </w:t>
      </w:r>
    </w:p>
    <w:p w14:paraId="26C704A6" w14:textId="77777777" w:rsidR="00670EF8" w:rsidRDefault="00670EF8" w:rsidP="00670EF8">
      <w:pPr>
        <w:spacing w:after="0" w:line="276" w:lineRule="auto"/>
        <w:jc w:val="both"/>
        <w:rPr>
          <w:rFonts w:ascii="Verdana" w:eastAsia="Calibri" w:hAnsi="Verdana" w:cs="Arial"/>
          <w:lang w:val="es-ES"/>
        </w:rPr>
      </w:pPr>
    </w:p>
    <w:p w14:paraId="3C0A2E25" w14:textId="148B1F8A" w:rsidR="00670EF8" w:rsidRDefault="00670EF8" w:rsidP="00670EF8">
      <w:pPr>
        <w:pStyle w:val="Prrafodelista"/>
        <w:numPr>
          <w:ilvl w:val="0"/>
          <w:numId w:val="20"/>
        </w:numPr>
        <w:spacing w:after="0"/>
        <w:ind w:left="360"/>
        <w:jc w:val="both"/>
        <w:rPr>
          <w:rFonts w:ascii="Verdana" w:eastAsia="Calibri" w:hAnsi="Verdana" w:cs="Arial"/>
          <w:color w:val="000000" w:themeColor="text1"/>
        </w:rPr>
      </w:pPr>
      <w:r w:rsidRPr="04AE9A76">
        <w:rPr>
          <w:rFonts w:ascii="Verdana" w:eastAsia="Calibri" w:hAnsi="Verdana" w:cs="Arial"/>
          <w:lang w:eastAsia="es-MX"/>
        </w:rPr>
        <w:t>Para iniciar la sustentación de la respuesta, se debe hacer referencia a la estructura del proceso de licitación pública, que es la modalidad mencionada en la consulta, para lo cual es pertinente indicar que l</w:t>
      </w:r>
      <w:r>
        <w:rPr>
          <w:rFonts w:ascii="Verdana" w:hAnsi="Verdana"/>
        </w:rPr>
        <w:t>os Procesos de Contratación que deben adelantar las Entidades Estatales para</w:t>
      </w:r>
      <w:r w:rsidRPr="0007375E">
        <w:rPr>
          <w:rFonts w:ascii="Verdana" w:eastAsia="Calibri" w:hAnsi="Verdana" w:cs="Arial"/>
          <w:color w:val="000000" w:themeColor="text1"/>
        </w:rPr>
        <w:t xml:space="preserve"> adquirir </w:t>
      </w:r>
      <w:r>
        <w:rPr>
          <w:rFonts w:ascii="Verdana" w:eastAsia="Calibri" w:hAnsi="Verdana" w:cs="Arial"/>
          <w:color w:val="000000" w:themeColor="text1"/>
        </w:rPr>
        <w:t xml:space="preserve">los </w:t>
      </w:r>
      <w:r w:rsidRPr="0007375E">
        <w:rPr>
          <w:rFonts w:ascii="Verdana" w:eastAsia="Calibri" w:hAnsi="Verdana" w:cs="Arial"/>
          <w:color w:val="000000" w:themeColor="text1"/>
        </w:rPr>
        <w:lastRenderedPageBreak/>
        <w:t>bienes</w:t>
      </w:r>
      <w:r>
        <w:rPr>
          <w:rFonts w:ascii="Verdana" w:eastAsia="Calibri" w:hAnsi="Verdana" w:cs="Arial"/>
          <w:color w:val="000000" w:themeColor="text1"/>
        </w:rPr>
        <w:t>,</w:t>
      </w:r>
      <w:r w:rsidRPr="0007375E">
        <w:rPr>
          <w:rFonts w:ascii="Verdana" w:eastAsia="Calibri" w:hAnsi="Verdana" w:cs="Arial"/>
          <w:color w:val="000000" w:themeColor="text1"/>
        </w:rPr>
        <w:t xml:space="preserve"> o</w:t>
      </w:r>
      <w:r>
        <w:rPr>
          <w:rFonts w:ascii="Verdana" w:eastAsia="Calibri" w:hAnsi="Verdana" w:cs="Arial"/>
          <w:color w:val="000000" w:themeColor="text1"/>
        </w:rPr>
        <w:t xml:space="preserve">bras o </w:t>
      </w:r>
      <w:r w:rsidRPr="0007375E">
        <w:rPr>
          <w:rFonts w:ascii="Verdana" w:eastAsia="Calibri" w:hAnsi="Verdana" w:cs="Arial"/>
          <w:color w:val="000000" w:themeColor="text1"/>
        </w:rPr>
        <w:t xml:space="preserve">servicios </w:t>
      </w:r>
      <w:r>
        <w:rPr>
          <w:rFonts w:ascii="Verdana" w:eastAsia="Calibri" w:hAnsi="Verdana" w:cs="Arial"/>
          <w:color w:val="000000" w:themeColor="text1"/>
        </w:rPr>
        <w:t>que se requieren, se rigen por procedimientos establecidos por la ley y el reglamento</w:t>
      </w:r>
      <w:r w:rsidRPr="0007375E">
        <w:rPr>
          <w:rFonts w:ascii="Verdana" w:eastAsia="Calibri" w:hAnsi="Verdana" w:cs="Arial"/>
          <w:color w:val="000000" w:themeColor="text1"/>
        </w:rPr>
        <w:t>.</w:t>
      </w:r>
      <w:r>
        <w:rPr>
          <w:rFonts w:ascii="Verdana" w:eastAsia="Calibri" w:hAnsi="Verdana" w:cs="Arial"/>
          <w:color w:val="000000" w:themeColor="text1"/>
        </w:rPr>
        <w:t xml:space="preserve"> </w:t>
      </w:r>
    </w:p>
    <w:p w14:paraId="6D99131C" w14:textId="77777777" w:rsidR="00670EF8" w:rsidRPr="00B627EF" w:rsidRDefault="00670EF8" w:rsidP="00670EF8">
      <w:pPr>
        <w:pStyle w:val="Prrafodelista"/>
        <w:spacing w:after="0"/>
        <w:ind w:left="360"/>
        <w:jc w:val="both"/>
        <w:rPr>
          <w:rFonts w:ascii="Verdana" w:hAnsi="Verdana" w:cs="Arial"/>
          <w:color w:val="000000" w:themeColor="text1"/>
        </w:rPr>
      </w:pPr>
    </w:p>
    <w:p w14:paraId="247F18ED" w14:textId="77777777" w:rsidR="00670EF8" w:rsidRPr="0007375E" w:rsidRDefault="00670EF8" w:rsidP="00670EF8">
      <w:pPr>
        <w:pStyle w:val="Prrafodelista"/>
        <w:numPr>
          <w:ilvl w:val="0"/>
          <w:numId w:val="20"/>
        </w:numPr>
        <w:spacing w:after="0"/>
        <w:ind w:left="360"/>
        <w:jc w:val="both"/>
        <w:rPr>
          <w:rFonts w:ascii="Verdana" w:hAnsi="Verdana" w:cs="Arial"/>
          <w:color w:val="000000" w:themeColor="text1"/>
        </w:rPr>
      </w:pPr>
      <w:r>
        <w:rPr>
          <w:rFonts w:ascii="Verdana" w:eastAsia="Calibri" w:hAnsi="Verdana" w:cs="Arial"/>
        </w:rPr>
        <w:t>L</w:t>
      </w:r>
      <w:r w:rsidRPr="00013611">
        <w:rPr>
          <w:rFonts w:ascii="Verdana" w:eastAsia="Calibri" w:hAnsi="Verdana" w:cs="Arial"/>
        </w:rPr>
        <w:t>a</w:t>
      </w:r>
      <w:r>
        <w:rPr>
          <w:rFonts w:ascii="Verdana" w:eastAsia="Calibri" w:hAnsi="Verdana" w:cs="Arial"/>
        </w:rPr>
        <w:t xml:space="preserve"> modalidad de selección de contratistas por regla general y determinada por parte del legislador es la</w:t>
      </w:r>
      <w:r w:rsidRPr="00013611">
        <w:rPr>
          <w:rFonts w:ascii="Verdana" w:eastAsia="Calibri" w:hAnsi="Verdana" w:cs="Arial"/>
        </w:rPr>
        <w:t xml:space="preserve"> licitación pública, </w:t>
      </w:r>
      <w:r>
        <w:rPr>
          <w:rFonts w:ascii="Verdana" w:eastAsia="Calibri" w:hAnsi="Verdana" w:cs="Arial"/>
        </w:rPr>
        <w:t xml:space="preserve">la cual tiene en </w:t>
      </w:r>
      <w:r w:rsidRPr="00013611">
        <w:rPr>
          <w:rFonts w:ascii="Verdana" w:eastAsia="Calibri" w:hAnsi="Verdana" w:cs="Arial"/>
        </w:rPr>
        <w:t>el artículo 30 de la Ley 80 de 1993</w:t>
      </w:r>
      <w:r>
        <w:rPr>
          <w:rFonts w:ascii="Verdana" w:eastAsia="Calibri" w:hAnsi="Verdana" w:cs="Arial"/>
        </w:rPr>
        <w:t xml:space="preserve">, </w:t>
      </w:r>
      <w:r w:rsidRPr="00013611">
        <w:rPr>
          <w:rFonts w:ascii="Verdana" w:eastAsia="Calibri" w:hAnsi="Verdana" w:cs="Arial"/>
        </w:rPr>
        <w:t>la estructura del proceso y sus fases.</w:t>
      </w:r>
      <w:r w:rsidRPr="0007375E">
        <w:rPr>
          <w:rFonts w:ascii="Verdana" w:hAnsi="Verdana" w:cs="Arial"/>
          <w:color w:val="000000" w:themeColor="text1"/>
        </w:rPr>
        <w:t xml:space="preserve"> </w:t>
      </w:r>
    </w:p>
    <w:p w14:paraId="3AEC0A66" w14:textId="77777777" w:rsidR="00670EF8" w:rsidRPr="00187799" w:rsidRDefault="00670EF8" w:rsidP="00670EF8">
      <w:pPr>
        <w:pStyle w:val="Prrafodelista"/>
        <w:rPr>
          <w:rFonts w:ascii="Verdana" w:hAnsi="Verdana" w:cs="Arial"/>
          <w:color w:val="000000" w:themeColor="text1"/>
        </w:rPr>
      </w:pPr>
    </w:p>
    <w:p w14:paraId="0C57BDC7" w14:textId="77777777" w:rsidR="00670EF8" w:rsidRDefault="00670EF8" w:rsidP="00670EF8">
      <w:pPr>
        <w:pStyle w:val="Prrafodelista"/>
        <w:numPr>
          <w:ilvl w:val="0"/>
          <w:numId w:val="20"/>
        </w:numPr>
        <w:spacing w:after="0"/>
        <w:ind w:left="360"/>
        <w:jc w:val="both"/>
        <w:rPr>
          <w:rStyle w:val="normaltextrun"/>
          <w:rFonts w:ascii="Verdana" w:hAnsi="Verdana" w:cs="Arial"/>
          <w:color w:val="000000"/>
          <w:shd w:val="clear" w:color="auto" w:fill="FFFFFF"/>
        </w:rPr>
      </w:pPr>
      <w:r w:rsidRPr="00187799">
        <w:rPr>
          <w:rFonts w:ascii="Verdana" w:hAnsi="Verdana" w:cs="Arial"/>
          <w:color w:val="000000" w:themeColor="text1"/>
        </w:rPr>
        <w:t xml:space="preserve">El </w:t>
      </w:r>
      <w:r>
        <w:rPr>
          <w:rFonts w:ascii="Verdana" w:hAnsi="Verdana" w:cs="Arial"/>
          <w:color w:val="000000" w:themeColor="text1"/>
        </w:rPr>
        <w:t xml:space="preserve">numeral 1, del </w:t>
      </w:r>
      <w:r w:rsidRPr="00187799">
        <w:rPr>
          <w:rFonts w:ascii="Verdana" w:hAnsi="Verdana" w:cs="Arial"/>
          <w:color w:val="000000" w:themeColor="text1"/>
        </w:rPr>
        <w:t xml:space="preserve">artículo 30 de la Ley 80 establece que el jefe o representante de la entidad ordenará la apertura mediante un acto administrativo, en la forma prevista en el artículo </w:t>
      </w:r>
      <w:bookmarkStart w:id="1" w:name="_Hlk177288819"/>
      <w:r w:rsidRPr="00187799">
        <w:rPr>
          <w:rFonts w:ascii="Verdana" w:hAnsi="Verdana" w:cs="Arial"/>
          <w:color w:val="000000" w:themeColor="text1"/>
        </w:rPr>
        <w:t xml:space="preserve">2.2.1.1.2.1.5. </w:t>
      </w:r>
      <w:bookmarkEnd w:id="1"/>
      <w:r w:rsidRPr="00187799">
        <w:rPr>
          <w:rFonts w:ascii="Verdana" w:hAnsi="Verdana" w:cs="Arial"/>
          <w:color w:val="000000" w:themeColor="text1"/>
        </w:rPr>
        <w:t xml:space="preserve">del Decreto 1082 de 2015, y deberá expedirse el pliego de condiciones definitivo. Con este acto de apertura inicia la etapa de licitación propiamente dicha, en la que –previa resolución de las observaciones que se realicen– los interesados podrán presentar ofertas. </w:t>
      </w:r>
      <w:r w:rsidRPr="00187799">
        <w:rPr>
          <w:rStyle w:val="normaltextrun"/>
          <w:rFonts w:ascii="Verdana" w:hAnsi="Verdana" w:cs="Arial"/>
          <w:color w:val="000000"/>
          <w:shd w:val="clear" w:color="auto" w:fill="FFFFFF"/>
        </w:rPr>
        <w:t>Esta etapa fue denominada por el legislador como </w:t>
      </w:r>
      <w:r w:rsidRPr="00187799">
        <w:rPr>
          <w:rStyle w:val="normaltextrun"/>
          <w:rFonts w:ascii="Verdana" w:hAnsi="Verdana" w:cs="Arial"/>
          <w:i/>
          <w:iCs/>
          <w:color w:val="000000"/>
          <w:shd w:val="clear" w:color="auto" w:fill="FFFFFF"/>
        </w:rPr>
        <w:t>plazo de licitación, </w:t>
      </w:r>
      <w:r w:rsidRPr="00187799">
        <w:rPr>
          <w:rStyle w:val="normaltextrun"/>
          <w:rFonts w:ascii="Verdana" w:hAnsi="Verdana" w:cs="Arial"/>
          <w:color w:val="000000"/>
          <w:shd w:val="clear" w:color="auto" w:fill="FFFFFF"/>
        </w:rPr>
        <w:t>y alude a la oportunidad que tienen los proponentes para presentar ofertas. Este plazo, según el numeral 5 del inciso del artículo 30 de la Ley 80 de 1993, se computa desde la fecha a partir de la cual se pueden presentar propuestas y hasta la de su cierre, según lo defina el pliego de condiciones. </w:t>
      </w:r>
    </w:p>
    <w:p w14:paraId="1D184327" w14:textId="77777777" w:rsidR="00670EF8" w:rsidRPr="0078753A" w:rsidRDefault="00670EF8" w:rsidP="00670EF8">
      <w:pPr>
        <w:pStyle w:val="Prrafodelista"/>
        <w:rPr>
          <w:rFonts w:ascii="Verdana" w:hAnsi="Verdana" w:cs="Arial"/>
          <w:color w:val="000000" w:themeColor="text1"/>
        </w:rPr>
      </w:pPr>
    </w:p>
    <w:p w14:paraId="46D4EA10" w14:textId="77777777" w:rsidR="00670EF8" w:rsidRPr="00B30959" w:rsidRDefault="00670EF8" w:rsidP="00670EF8">
      <w:pPr>
        <w:pStyle w:val="Prrafodelista"/>
        <w:numPr>
          <w:ilvl w:val="0"/>
          <w:numId w:val="20"/>
        </w:numPr>
        <w:spacing w:after="0"/>
        <w:ind w:left="360"/>
        <w:jc w:val="both"/>
        <w:rPr>
          <w:rFonts w:ascii="Verdana" w:hAnsi="Verdana" w:cs="Arial"/>
          <w:color w:val="000000"/>
          <w:shd w:val="clear" w:color="auto" w:fill="FFFFFF"/>
        </w:rPr>
      </w:pPr>
      <w:r w:rsidRPr="0078753A">
        <w:rPr>
          <w:rFonts w:ascii="Verdana" w:hAnsi="Verdana" w:cs="Arial"/>
          <w:color w:val="000000" w:themeColor="text1"/>
        </w:rPr>
        <w:t>Así las cosas, la entidad pública es quien define el término con que contarán los oferentes para preparar y presentar sus ofertas, que deberá, en todo caso, responder a la naturaleza, objeto y cuantía del contrato. Además, los numerales 4 y 5 de la noma facultan a la entidad para prorrogar este término, pues, de un lado, el numeral 4 permite a la entidad prorrogar este plazo hasta por 6 días hábiles, cuando de la audiencia de que trata este numeral el jefe de la entidad expida las modificaciones a los pliegos; y de otro, el numeral 5 prevé que antes de su vencimiento, y cuando la entidad interesada lo estime conveniente, podrá prorrogarlo por un término no superior a la mitad del inicialmente fijado, aunque en todo caso no podrán expedirse una adenda dentro de los 3 días anteriores al cierre de la licitación. De todos modos, el término fijado es perentorio y de obligatorio cumplimiento para los oferente</w:t>
      </w:r>
      <w:r>
        <w:rPr>
          <w:rFonts w:ascii="Verdana" w:hAnsi="Verdana" w:cs="Arial"/>
          <w:color w:val="000000" w:themeColor="text1"/>
        </w:rPr>
        <w:t>s.</w:t>
      </w:r>
    </w:p>
    <w:p w14:paraId="712438CF" w14:textId="77777777" w:rsidR="00670EF8" w:rsidRPr="00B30959" w:rsidRDefault="00670EF8" w:rsidP="00670EF8">
      <w:pPr>
        <w:pStyle w:val="Prrafodelista"/>
        <w:rPr>
          <w:rFonts w:ascii="Verdana" w:hAnsi="Verdana" w:cs="Arial"/>
          <w:color w:val="000000"/>
          <w:shd w:val="clear" w:color="auto" w:fill="FFFFFF"/>
        </w:rPr>
      </w:pPr>
    </w:p>
    <w:p w14:paraId="15A4449A" w14:textId="77777777" w:rsidR="00670EF8" w:rsidRDefault="00670EF8" w:rsidP="00670EF8">
      <w:pPr>
        <w:pStyle w:val="Prrafodelista"/>
        <w:numPr>
          <w:ilvl w:val="0"/>
          <w:numId w:val="20"/>
        </w:numPr>
        <w:spacing w:after="0"/>
        <w:ind w:left="360"/>
        <w:jc w:val="both"/>
        <w:rPr>
          <w:rFonts w:ascii="Verdana" w:hAnsi="Verdana" w:cs="Arial"/>
          <w:color w:val="000000" w:themeColor="text1"/>
        </w:rPr>
      </w:pPr>
      <w:r w:rsidRPr="00B30959">
        <w:rPr>
          <w:rFonts w:ascii="Verdana" w:hAnsi="Verdana" w:cs="Arial"/>
          <w:color w:val="000000" w:themeColor="text1"/>
        </w:rPr>
        <w:t>Es pertinente señalar que en esta etapa de presentación de propuestas se</w:t>
      </w:r>
      <w:r w:rsidRPr="0007375E">
        <w:rPr>
          <w:rFonts w:ascii="Verdana" w:hAnsi="Verdana" w:cs="Arial"/>
          <w:color w:val="000000" w:themeColor="text1"/>
        </w:rPr>
        <w:t xml:space="preserve"> surtirán otras actuaciones. El numeral 4 de la misma disposición establece una de ellas: la audiencia para precisar el alcance de los pliegos de condiciones y de asignación de riesgos. La oportunidad para celebrar esta audiencia es dentro de los tres (3) días hábiles siguientes al inicio del plazo de licitación.</w:t>
      </w:r>
    </w:p>
    <w:p w14:paraId="59E894E5" w14:textId="77777777" w:rsidR="00670EF8" w:rsidRPr="00D8283A" w:rsidRDefault="00670EF8" w:rsidP="00670EF8">
      <w:pPr>
        <w:pStyle w:val="Prrafodelista"/>
        <w:rPr>
          <w:rFonts w:ascii="Verdana" w:hAnsi="Verdana" w:cs="Arial"/>
          <w:color w:val="000000" w:themeColor="text1"/>
        </w:rPr>
      </w:pPr>
    </w:p>
    <w:p w14:paraId="4AA503EF" w14:textId="77777777" w:rsidR="00670EF8" w:rsidRDefault="00670EF8" w:rsidP="00670EF8">
      <w:pPr>
        <w:pStyle w:val="Prrafodelista"/>
        <w:numPr>
          <w:ilvl w:val="0"/>
          <w:numId w:val="20"/>
        </w:numPr>
        <w:spacing w:after="0"/>
        <w:ind w:left="360"/>
        <w:jc w:val="both"/>
        <w:rPr>
          <w:rFonts w:ascii="Verdana" w:hAnsi="Verdana" w:cs="Arial"/>
          <w:color w:val="000000" w:themeColor="text1"/>
        </w:rPr>
      </w:pPr>
      <w:r w:rsidRPr="009745B0">
        <w:rPr>
          <w:rFonts w:ascii="Verdana" w:hAnsi="Verdana" w:cs="Arial"/>
          <w:color w:val="000000" w:themeColor="text1"/>
        </w:rPr>
        <w:lastRenderedPageBreak/>
        <w:t xml:space="preserve">Una vez precluida la oportunidad para presentar ofertas, en el plazo que señala el pliego de condiciones </w:t>
      </w:r>
      <w:r w:rsidRPr="009745B0">
        <w:rPr>
          <w:rFonts w:ascii="Verdana" w:eastAsia="Calibri" w:hAnsi="Verdana" w:cs="Arial"/>
          <w:bCs/>
          <w:color w:val="000000" w:themeColor="text1"/>
        </w:rPr>
        <w:t>conforme al</w:t>
      </w:r>
      <w:r>
        <w:rPr>
          <w:rFonts w:ascii="Verdana" w:eastAsia="Calibri" w:hAnsi="Verdana" w:cs="Arial"/>
          <w:bCs/>
          <w:color w:val="000000" w:themeColor="text1"/>
        </w:rPr>
        <w:t xml:space="preserve"> numeral 7 del </w:t>
      </w:r>
      <w:r w:rsidRPr="009745B0">
        <w:rPr>
          <w:rFonts w:ascii="Verdana" w:eastAsia="Calibri" w:hAnsi="Verdana" w:cs="Arial"/>
          <w:bCs/>
          <w:color w:val="000000" w:themeColor="text1"/>
        </w:rPr>
        <w:t>artículo 30 de la Ley 80 de 1993</w:t>
      </w:r>
      <w:r w:rsidRPr="009745B0">
        <w:rPr>
          <w:rFonts w:ascii="Verdana" w:hAnsi="Verdana" w:cs="Arial"/>
          <w:bCs/>
          <w:color w:val="000000" w:themeColor="text1"/>
        </w:rPr>
        <w:t>,</w:t>
      </w:r>
      <w:r w:rsidRPr="009745B0">
        <w:rPr>
          <w:rFonts w:ascii="Verdana" w:hAnsi="Verdana" w:cs="Arial"/>
          <w:color w:val="000000" w:themeColor="text1"/>
        </w:rPr>
        <w:t xml:space="preserve"> el comité evaluador de la entidad realizará “los estudios técnicos, económicos y jurídicos necesarios para la evaluación de las propuestas” y además podrá pedir a los proponentes las aclaraciones y explicaciones que considere pertinentes.  </w:t>
      </w:r>
    </w:p>
    <w:p w14:paraId="3794D37F" w14:textId="77777777" w:rsidR="00670EF8" w:rsidRPr="003A329D" w:rsidRDefault="00670EF8" w:rsidP="00670EF8">
      <w:pPr>
        <w:pStyle w:val="Prrafodelista"/>
        <w:rPr>
          <w:rFonts w:ascii="Verdana" w:hAnsi="Verdana" w:cs="Arial"/>
          <w:color w:val="000000" w:themeColor="text1"/>
        </w:rPr>
      </w:pPr>
    </w:p>
    <w:p w14:paraId="638289A6" w14:textId="77777777" w:rsidR="00670EF8" w:rsidRPr="009745B0" w:rsidRDefault="00670EF8" w:rsidP="00670EF8">
      <w:pPr>
        <w:pStyle w:val="Prrafodelista"/>
        <w:numPr>
          <w:ilvl w:val="0"/>
          <w:numId w:val="20"/>
        </w:numPr>
        <w:spacing w:after="0"/>
        <w:ind w:left="360"/>
        <w:jc w:val="both"/>
        <w:rPr>
          <w:rFonts w:ascii="Verdana" w:hAnsi="Verdana" w:cs="Arial"/>
          <w:color w:val="000000" w:themeColor="text1"/>
        </w:rPr>
      </w:pPr>
      <w:r w:rsidRPr="009745B0">
        <w:rPr>
          <w:rFonts w:ascii="Verdana" w:hAnsi="Verdana" w:cs="Arial"/>
          <w:color w:val="000000" w:themeColor="text1"/>
        </w:rPr>
        <w:t>Al respecto, el artículo 2.2.1.1.2.2.3 del Decreto 1082 de 2015 consagra el deber de los comités evaluadores de actuar de manera objetiva y de conformidad con los criterios señalados en el pliego de condiciones, y fija una cláusula de responsabilidad por el ejercicio de la labor encomendada.</w:t>
      </w:r>
    </w:p>
    <w:p w14:paraId="21E78F55" w14:textId="77777777" w:rsidR="00670EF8" w:rsidRDefault="00670EF8" w:rsidP="00670EF8">
      <w:pPr>
        <w:pStyle w:val="Prrafodelista"/>
        <w:spacing w:after="0"/>
        <w:ind w:left="360"/>
        <w:jc w:val="both"/>
        <w:rPr>
          <w:rFonts w:ascii="Verdana" w:eastAsia="Calibri" w:hAnsi="Verdana" w:cs="Arial"/>
          <w:lang w:val="es-ES_tradnl"/>
        </w:rPr>
      </w:pPr>
    </w:p>
    <w:p w14:paraId="4B72642E" w14:textId="364ACC3F" w:rsidR="00670EF8" w:rsidRPr="00F85199" w:rsidRDefault="00670EF8" w:rsidP="00670EF8">
      <w:pPr>
        <w:pStyle w:val="Prrafodelista"/>
        <w:numPr>
          <w:ilvl w:val="0"/>
          <w:numId w:val="19"/>
        </w:numPr>
        <w:spacing w:after="0"/>
        <w:jc w:val="both"/>
        <w:rPr>
          <w:rFonts w:ascii="Verdana" w:eastAsia="Calibri" w:hAnsi="Verdana" w:cs="Arial"/>
        </w:rPr>
      </w:pPr>
      <w:r w:rsidRPr="04AE9A76">
        <w:rPr>
          <w:rFonts w:ascii="Verdana" w:eastAsia="Calibri" w:hAnsi="Verdana" w:cs="Arial"/>
        </w:rPr>
        <w:t>A su turno señala el numeral 8 del citado artículo 30 de la Ley 80 de 1993, que el</w:t>
      </w:r>
      <w:r w:rsidRPr="00F85199">
        <w:rPr>
          <w:rFonts w:ascii="Verdana" w:eastAsia="Calibri" w:hAnsi="Verdana" w:cs="Arial"/>
          <w:lang w:val="es-CO"/>
        </w:rPr>
        <w:t xml:space="preserve"> informe de evaluación de las propuestas permanecerá en la secretaría de la entidad por un término de cinco (5) días hábiles para que los oferentes presenten las observaciones que estimen pertinentes. En ejercicio de esta facultad, los oferentes no podrán completar, adicionar, modificar o mejorar sus propuestas. </w:t>
      </w:r>
    </w:p>
    <w:p w14:paraId="7E7A0A4E" w14:textId="77777777" w:rsidR="00670EF8" w:rsidRPr="007F04FF" w:rsidRDefault="00670EF8" w:rsidP="00670EF8">
      <w:pPr>
        <w:pStyle w:val="Prrafodelista"/>
        <w:spacing w:after="0"/>
        <w:ind w:left="360"/>
        <w:jc w:val="both"/>
        <w:rPr>
          <w:rFonts w:ascii="Verdana" w:eastAsia="Calibri" w:hAnsi="Verdana" w:cs="Arial"/>
          <w:lang w:val="es-ES_tradnl"/>
        </w:rPr>
      </w:pPr>
    </w:p>
    <w:p w14:paraId="2AEA4B1F" w14:textId="77777777" w:rsidR="00670EF8" w:rsidRDefault="00670EF8" w:rsidP="00670EF8">
      <w:pPr>
        <w:pStyle w:val="Prrafodelista"/>
        <w:numPr>
          <w:ilvl w:val="0"/>
          <w:numId w:val="19"/>
        </w:numPr>
        <w:spacing w:after="0"/>
        <w:jc w:val="both"/>
        <w:rPr>
          <w:rFonts w:ascii="Verdana" w:eastAsia="Calibri" w:hAnsi="Verdana" w:cs="Arial"/>
          <w:lang w:val="es-ES_tradnl"/>
        </w:rPr>
      </w:pPr>
      <w:r>
        <w:rPr>
          <w:rFonts w:ascii="Verdana" w:eastAsia="Calibri" w:hAnsi="Verdana" w:cs="Arial"/>
        </w:rPr>
        <w:t xml:space="preserve">En este escenario al momento de la verificación de las propuestas, es donde hace aparición la </w:t>
      </w:r>
      <w:r w:rsidRPr="004C6846">
        <w:rPr>
          <w:rFonts w:ascii="Verdana" w:eastAsia="Calibri" w:hAnsi="Verdana" w:cs="Arial"/>
        </w:rPr>
        <w:t xml:space="preserve">regla de </w:t>
      </w:r>
      <w:proofErr w:type="spellStart"/>
      <w:r w:rsidRPr="004C6846">
        <w:rPr>
          <w:rFonts w:ascii="Verdana" w:eastAsia="Calibri" w:hAnsi="Verdana" w:cs="Arial"/>
        </w:rPr>
        <w:t>subsanabilidad</w:t>
      </w:r>
      <w:proofErr w:type="spellEnd"/>
      <w:r w:rsidRPr="004C6846">
        <w:rPr>
          <w:rFonts w:ascii="Verdana" w:eastAsia="Calibri" w:hAnsi="Verdana" w:cs="Arial"/>
        </w:rPr>
        <w:t xml:space="preserve">, </w:t>
      </w:r>
      <w:r w:rsidRPr="004C6846">
        <w:rPr>
          <w:rFonts w:ascii="Verdana" w:eastAsia="Calibri" w:hAnsi="Verdana" w:cs="Arial"/>
          <w:lang w:val="es-ES_tradnl"/>
        </w:rPr>
        <w:t xml:space="preserve">contenida en el artículo 5 de la Ley 1150 de 2007, se concreta en los siguientes supuestos a saber: i) la falta de entrega o </w:t>
      </w:r>
      <w:proofErr w:type="spellStart"/>
      <w:r w:rsidRPr="004C6846">
        <w:rPr>
          <w:rFonts w:ascii="Verdana" w:eastAsia="Calibri" w:hAnsi="Verdana" w:cs="Arial"/>
          <w:lang w:val="es-ES_tradnl"/>
        </w:rPr>
        <w:t>ii</w:t>
      </w:r>
      <w:proofErr w:type="spellEnd"/>
      <w:r w:rsidRPr="004C6846">
        <w:rPr>
          <w:rFonts w:ascii="Verdana" w:eastAsia="Calibri" w:hAnsi="Verdana" w:cs="Arial"/>
          <w:lang w:val="es-ES_tradnl"/>
        </w:rPr>
        <w:t xml:space="preserve">) los defectos de los requisitos habilitantes. Así las cosas, la norma en mención dispone un criterio claro para determinar si la ausencia de documentos o requisitos de la oferta conlleva a su rechazo o al requerimiento del proponente para que la subsane. </w:t>
      </w:r>
    </w:p>
    <w:p w14:paraId="7950B69B" w14:textId="77777777" w:rsidR="00670EF8" w:rsidRPr="0016243E" w:rsidRDefault="00670EF8" w:rsidP="00670EF8">
      <w:pPr>
        <w:pStyle w:val="Prrafodelista"/>
        <w:rPr>
          <w:rFonts w:ascii="Verdana" w:eastAsia="Calibri" w:hAnsi="Verdana" w:cs="Arial"/>
          <w:lang w:val="es-ES_tradnl"/>
        </w:rPr>
      </w:pPr>
    </w:p>
    <w:p w14:paraId="287A4A0D" w14:textId="77777777" w:rsidR="00670EF8" w:rsidRPr="00D2444C" w:rsidRDefault="00670EF8" w:rsidP="00670EF8">
      <w:pPr>
        <w:pStyle w:val="Prrafodelista"/>
        <w:numPr>
          <w:ilvl w:val="0"/>
          <w:numId w:val="19"/>
        </w:numPr>
        <w:spacing w:after="0"/>
        <w:jc w:val="both"/>
        <w:rPr>
          <w:rFonts w:ascii="Verdana" w:eastAsia="Calibri" w:hAnsi="Verdana" w:cs="Arial"/>
          <w:lang w:val="es-ES_tradnl"/>
        </w:rPr>
      </w:pPr>
      <w:r w:rsidRPr="004C6846">
        <w:rPr>
          <w:rFonts w:ascii="Verdana" w:eastAsia="Calibri" w:hAnsi="Verdana" w:cs="Arial"/>
          <w:lang w:val="es-ES_tradnl"/>
        </w:rPr>
        <w:t>Bajo este contexto, debe tenerse en consideración que los requisitos o documentos que no sean necesarios para la comparación de las ofertas pueden subsanarse</w:t>
      </w:r>
      <w:r>
        <w:rPr>
          <w:rFonts w:ascii="Verdana" w:eastAsia="Calibri" w:hAnsi="Verdana" w:cs="Arial"/>
          <w:lang w:val="es-ES_tradnl"/>
        </w:rPr>
        <w:t xml:space="preserve"> y que de acuerdo a lo señalado en el artículo 5 de la Ley 1150 de 2007, modificado por el artículo 5 de la Ley 1882 de 2018, </w:t>
      </w:r>
      <w:r w:rsidRPr="00F01D72">
        <w:rPr>
          <w:rFonts w:ascii="Verdana" w:eastAsia="Calibri" w:hAnsi="Verdana" w:cs="Arial"/>
          <w:lang w:val="es-CO"/>
        </w:rPr>
        <w:t>deberán ser solicitados por las entidades estatales y deberán ser entregados por los proponentes hasta el término de traslado del informe de evaluación que corresponda a cada modalidad de selección</w:t>
      </w:r>
      <w:r>
        <w:rPr>
          <w:rFonts w:ascii="Verdana" w:eastAsia="Calibri" w:hAnsi="Verdana" w:cs="Arial"/>
          <w:lang w:val="es-CO"/>
        </w:rPr>
        <w:t xml:space="preserve">, y en licitación pública, como ya se indicó es de cinco (5) días hábiles. </w:t>
      </w:r>
    </w:p>
    <w:p w14:paraId="7677A45E" w14:textId="77777777" w:rsidR="00670EF8" w:rsidRPr="004C6846" w:rsidRDefault="00670EF8" w:rsidP="00670EF8">
      <w:pPr>
        <w:pStyle w:val="Prrafodelista"/>
        <w:rPr>
          <w:rFonts w:ascii="Verdana" w:eastAsia="Calibri" w:hAnsi="Verdana" w:cs="Arial"/>
          <w:lang w:val="es-ES_tradnl"/>
        </w:rPr>
      </w:pPr>
    </w:p>
    <w:p w14:paraId="66E9AD92" w14:textId="77777777" w:rsidR="00670EF8" w:rsidRDefault="00670EF8" w:rsidP="00670EF8">
      <w:pPr>
        <w:pStyle w:val="Prrafodelista"/>
        <w:numPr>
          <w:ilvl w:val="0"/>
          <w:numId w:val="19"/>
        </w:numPr>
        <w:spacing w:after="0"/>
        <w:jc w:val="both"/>
        <w:rPr>
          <w:rFonts w:ascii="Verdana" w:eastAsia="Calibri" w:hAnsi="Verdana" w:cs="Arial"/>
          <w:lang w:val="es-ES_tradnl"/>
        </w:rPr>
      </w:pPr>
      <w:r w:rsidRPr="004C6846">
        <w:rPr>
          <w:rFonts w:ascii="Verdana" w:eastAsia="Calibri" w:hAnsi="Verdana" w:cs="Arial"/>
          <w:lang w:val="es-ES_tradnl"/>
        </w:rPr>
        <w:t xml:space="preserve">En línea con lo expuesto, se evidencia que en lo relacionado al ámbito temporal para subsanar la oferta se cuenta con una regla general y una excepción. La regla general es que el límite para que la entidad solicite y para </w:t>
      </w:r>
      <w:r w:rsidRPr="004C6846">
        <w:rPr>
          <w:rFonts w:ascii="Verdana" w:eastAsia="Calibri" w:hAnsi="Verdana" w:cs="Arial"/>
          <w:lang w:val="es-ES_tradnl"/>
        </w:rPr>
        <w:lastRenderedPageBreak/>
        <w:t>que el proponente corrija lo que haga falta es hasta el término de traslado del informe de evaluación</w:t>
      </w:r>
      <w:r>
        <w:rPr>
          <w:rFonts w:ascii="Verdana" w:eastAsia="Calibri" w:hAnsi="Verdana" w:cs="Arial"/>
          <w:lang w:val="es-ES_tradnl"/>
        </w:rPr>
        <w:t xml:space="preserve">. </w:t>
      </w:r>
    </w:p>
    <w:p w14:paraId="2DB4AAF5" w14:textId="77777777" w:rsidR="00670EF8" w:rsidRPr="00254690" w:rsidRDefault="00670EF8" w:rsidP="00670EF8">
      <w:pPr>
        <w:pStyle w:val="Prrafodelista"/>
        <w:rPr>
          <w:rFonts w:ascii="Verdana" w:eastAsia="Calibri" w:hAnsi="Verdana" w:cs="Arial"/>
          <w:lang w:val="es-ES_tradnl"/>
        </w:rPr>
      </w:pPr>
    </w:p>
    <w:p w14:paraId="070F4895" w14:textId="77777777" w:rsidR="00670EF8" w:rsidRDefault="00670EF8" w:rsidP="00670EF8">
      <w:pPr>
        <w:pStyle w:val="Prrafodelista"/>
        <w:numPr>
          <w:ilvl w:val="0"/>
          <w:numId w:val="19"/>
        </w:numPr>
        <w:spacing w:after="0"/>
        <w:jc w:val="both"/>
        <w:rPr>
          <w:rFonts w:ascii="Verdana" w:eastAsia="Calibri" w:hAnsi="Verdana" w:cs="Arial"/>
          <w:lang w:val="es-ES_tradnl"/>
        </w:rPr>
      </w:pPr>
      <w:r>
        <w:rPr>
          <w:rFonts w:ascii="Verdana" w:eastAsia="Calibri" w:hAnsi="Verdana" w:cs="Arial"/>
          <w:lang w:val="es-ES_tradnl"/>
        </w:rPr>
        <w:t xml:space="preserve">Ahora bien, resulta pertinente resaltar la inclusión del parágrafo 3 al artículo 30 de la Ley 80 de 1993, mediante el artículo 1 de la Ley 1882 de 2018, en donde se incluye lo siguiente: </w:t>
      </w:r>
    </w:p>
    <w:p w14:paraId="70602BDB" w14:textId="77777777" w:rsidR="00670EF8" w:rsidRDefault="00670EF8" w:rsidP="00670EF8">
      <w:pPr>
        <w:spacing w:after="0" w:line="240" w:lineRule="auto"/>
        <w:ind w:left="360" w:right="900"/>
        <w:jc w:val="both"/>
        <w:rPr>
          <w:rFonts w:ascii="Verdana" w:eastAsia="Calibri" w:hAnsi="Verdana" w:cs="Arial"/>
          <w:sz w:val="20"/>
          <w:szCs w:val="20"/>
        </w:rPr>
      </w:pPr>
    </w:p>
    <w:p w14:paraId="347F6573" w14:textId="77777777" w:rsidR="00670EF8" w:rsidRPr="006816A2" w:rsidRDefault="00670EF8" w:rsidP="00670EF8">
      <w:pPr>
        <w:spacing w:after="0" w:line="240" w:lineRule="auto"/>
        <w:ind w:left="360" w:right="900"/>
        <w:jc w:val="both"/>
        <w:rPr>
          <w:rFonts w:ascii="Verdana" w:eastAsia="Calibri" w:hAnsi="Verdana" w:cs="Arial"/>
          <w:sz w:val="20"/>
          <w:szCs w:val="20"/>
        </w:rPr>
      </w:pPr>
      <w:r>
        <w:rPr>
          <w:rFonts w:ascii="Verdana" w:eastAsia="Calibri" w:hAnsi="Verdana" w:cs="Arial"/>
          <w:sz w:val="20"/>
          <w:szCs w:val="20"/>
        </w:rPr>
        <w:t>(…)</w:t>
      </w:r>
    </w:p>
    <w:p w14:paraId="1663AE0B" w14:textId="77777777" w:rsidR="00670EF8" w:rsidRDefault="00670EF8" w:rsidP="00670EF8">
      <w:pPr>
        <w:spacing w:after="0" w:line="240" w:lineRule="auto"/>
        <w:ind w:left="360" w:right="900"/>
        <w:jc w:val="both"/>
        <w:rPr>
          <w:rFonts w:ascii="Verdana" w:eastAsia="Calibri" w:hAnsi="Verdana" w:cs="Arial"/>
          <w:sz w:val="20"/>
          <w:szCs w:val="20"/>
        </w:rPr>
      </w:pPr>
      <w:r w:rsidRPr="006816A2">
        <w:rPr>
          <w:rFonts w:ascii="Verdana" w:eastAsia="Calibri" w:hAnsi="Verdana" w:cs="Arial"/>
          <w:b/>
          <w:bCs/>
          <w:sz w:val="20"/>
          <w:szCs w:val="20"/>
        </w:rPr>
        <w:t>Parágrafo 3°. </w:t>
      </w:r>
      <w:r w:rsidRPr="006816A2">
        <w:rPr>
          <w:rFonts w:ascii="Verdana" w:eastAsia="Calibri" w:hAnsi="Verdana" w:cs="Arial"/>
          <w:sz w:val="20"/>
          <w:szCs w:val="20"/>
        </w:rPr>
        <w:t>En los procesos de licitación pública para seleccionar contratistas de obra pública, las entidades estatales deberán publicar el informe de evaluación relacionado con los documentos de los requisitos habilitantes y los requisitos que sean objeto de puntuación diferente a la oferta económica incluida en el primer sobre, dentro del plazo establecido en el pliego de condiciones.</w:t>
      </w:r>
    </w:p>
    <w:p w14:paraId="0918977E" w14:textId="77777777" w:rsidR="00670EF8" w:rsidRPr="006816A2" w:rsidRDefault="00670EF8" w:rsidP="00670EF8">
      <w:pPr>
        <w:spacing w:after="0" w:line="240" w:lineRule="auto"/>
        <w:ind w:left="360" w:right="900"/>
        <w:jc w:val="both"/>
        <w:rPr>
          <w:rFonts w:ascii="Verdana" w:eastAsia="Calibri" w:hAnsi="Verdana" w:cs="Arial"/>
          <w:sz w:val="20"/>
          <w:szCs w:val="20"/>
        </w:rPr>
      </w:pPr>
      <w:r w:rsidRPr="006816A2">
        <w:rPr>
          <w:rFonts w:ascii="Verdana" w:eastAsia="Calibri" w:hAnsi="Verdana" w:cs="Arial"/>
          <w:sz w:val="20"/>
          <w:szCs w:val="20"/>
        </w:rPr>
        <w:t> </w:t>
      </w:r>
    </w:p>
    <w:p w14:paraId="0F7878CB" w14:textId="77777777" w:rsidR="00670EF8" w:rsidRDefault="00670EF8" w:rsidP="00670EF8">
      <w:pPr>
        <w:spacing w:after="0" w:line="240" w:lineRule="auto"/>
        <w:ind w:left="360" w:right="900"/>
        <w:jc w:val="both"/>
        <w:rPr>
          <w:rFonts w:ascii="Verdana" w:eastAsia="Calibri" w:hAnsi="Verdana" w:cs="Arial"/>
          <w:sz w:val="20"/>
          <w:szCs w:val="20"/>
        </w:rPr>
      </w:pPr>
      <w:r w:rsidRPr="006816A2">
        <w:rPr>
          <w:rFonts w:ascii="Verdana" w:eastAsia="Calibri" w:hAnsi="Verdana" w:cs="Arial"/>
          <w:sz w:val="20"/>
          <w:szCs w:val="20"/>
        </w:rPr>
        <w:t xml:space="preserve">En estos procesos el informe permanecerá publicado en el SECOP </w:t>
      </w:r>
      <w:r w:rsidRPr="006816A2">
        <w:rPr>
          <w:rFonts w:ascii="Verdana" w:eastAsia="Calibri" w:hAnsi="Verdana" w:cs="Arial"/>
          <w:sz w:val="20"/>
          <w:szCs w:val="20"/>
          <w:u w:val="single"/>
        </w:rPr>
        <w:t>durante cinco (5) días hábiles, término hasta el cual los proponentes podrán hacer las observaciones que consideren y entregar los documentos y la información solicitada por la entidad estatal</w:t>
      </w:r>
      <w:r w:rsidRPr="006816A2">
        <w:rPr>
          <w:rFonts w:ascii="Verdana" w:eastAsia="Calibri" w:hAnsi="Verdana" w:cs="Arial"/>
          <w:sz w:val="20"/>
          <w:szCs w:val="20"/>
        </w:rPr>
        <w:t xml:space="preserve">. Al finalizar este plazo, la entidad estatal se pronunciará sobre las observaciones y publicará el </w:t>
      </w:r>
      <w:r w:rsidRPr="006816A2">
        <w:rPr>
          <w:rFonts w:ascii="Verdana" w:eastAsia="Calibri" w:hAnsi="Verdana" w:cs="Arial"/>
          <w:sz w:val="20"/>
          <w:szCs w:val="20"/>
          <w:u w:val="single"/>
        </w:rPr>
        <w:t>informe final de evaluación de los requisitos habilitantes</w:t>
      </w:r>
      <w:r w:rsidRPr="006816A2">
        <w:rPr>
          <w:rFonts w:ascii="Verdana" w:eastAsia="Calibri" w:hAnsi="Verdana" w:cs="Arial"/>
          <w:sz w:val="20"/>
          <w:szCs w:val="20"/>
        </w:rPr>
        <w:t xml:space="preserve"> y los requisitos objeto de puntuación distintos a la oferta económica.</w:t>
      </w:r>
    </w:p>
    <w:p w14:paraId="1BBECA2E" w14:textId="77777777" w:rsidR="00670EF8" w:rsidRDefault="00670EF8" w:rsidP="00670EF8">
      <w:pPr>
        <w:spacing w:after="0" w:line="240" w:lineRule="auto"/>
        <w:ind w:left="360" w:right="900"/>
        <w:jc w:val="both"/>
        <w:rPr>
          <w:rFonts w:ascii="Verdana" w:eastAsia="Calibri" w:hAnsi="Verdana" w:cs="Arial"/>
          <w:sz w:val="20"/>
          <w:szCs w:val="20"/>
        </w:rPr>
      </w:pPr>
    </w:p>
    <w:p w14:paraId="015F16AA" w14:textId="77777777" w:rsidR="00670EF8" w:rsidRDefault="00670EF8" w:rsidP="00670EF8">
      <w:pPr>
        <w:spacing w:after="0" w:line="240" w:lineRule="auto"/>
        <w:ind w:left="360" w:right="900"/>
        <w:jc w:val="both"/>
        <w:rPr>
          <w:rFonts w:ascii="Verdana" w:eastAsia="Calibri" w:hAnsi="Verdana" w:cs="Arial"/>
          <w:sz w:val="20"/>
          <w:szCs w:val="20"/>
        </w:rPr>
      </w:pPr>
      <w:r w:rsidRPr="000B3976">
        <w:rPr>
          <w:rFonts w:ascii="Verdana" w:eastAsia="Calibri" w:hAnsi="Verdana" w:cs="Arial"/>
          <w:sz w:val="20"/>
          <w:szCs w:val="20"/>
        </w:rPr>
        <w:t>Para estos procesos, el segundo sobre, que contiene la oferta económica, se mantendrá cerrado hasta la audiencia efectiva de adjudicación,</w:t>
      </w:r>
      <w:r w:rsidRPr="001F4141">
        <w:rPr>
          <w:rFonts w:ascii="Verdana" w:eastAsia="Calibri" w:hAnsi="Verdana" w:cs="Arial"/>
          <w:sz w:val="20"/>
          <w:szCs w:val="20"/>
          <w:u w:val="single"/>
        </w:rPr>
        <w:t xml:space="preserve"> momento en el cual se podrán hacer observaciones al informe de evaluación</w:t>
      </w:r>
      <w:r w:rsidRPr="000B3976">
        <w:rPr>
          <w:rFonts w:ascii="Verdana" w:eastAsia="Calibri" w:hAnsi="Verdana" w:cs="Arial"/>
          <w:sz w:val="20"/>
          <w:szCs w:val="20"/>
        </w:rPr>
        <w:t xml:space="preserve">, las cuales se decidirán en la misma. Durante esta audiencia se dará apertura al sobre, se evaluará la oferta económica a través del mecanismo escogido mediante el método aleatorio que se establezca en los pliegos de condiciones, </w:t>
      </w:r>
      <w:r w:rsidRPr="00A208B1">
        <w:rPr>
          <w:rFonts w:ascii="Verdana" w:eastAsia="Calibri" w:hAnsi="Verdana" w:cs="Arial"/>
          <w:sz w:val="20"/>
          <w:szCs w:val="20"/>
          <w:u w:val="single"/>
        </w:rPr>
        <w:t>corriendo traslado a los proponentes habilitados en la misma diligencia solo para la revisión del aspecto económico y se establecerá el orden de elegibilidad</w:t>
      </w:r>
      <w:r w:rsidRPr="000B3976">
        <w:rPr>
          <w:rFonts w:ascii="Verdana" w:eastAsia="Calibri" w:hAnsi="Verdana" w:cs="Arial"/>
          <w:sz w:val="20"/>
          <w:szCs w:val="20"/>
        </w:rPr>
        <w:t>. </w:t>
      </w:r>
      <w:r>
        <w:rPr>
          <w:rFonts w:ascii="Verdana" w:eastAsia="Calibri" w:hAnsi="Verdana" w:cs="Arial"/>
          <w:sz w:val="20"/>
          <w:szCs w:val="20"/>
        </w:rPr>
        <w:t>” (Subrayado fuera de texto)</w:t>
      </w:r>
    </w:p>
    <w:p w14:paraId="37F523F7" w14:textId="77777777" w:rsidR="00670EF8" w:rsidRDefault="00670EF8" w:rsidP="00670EF8">
      <w:pPr>
        <w:spacing w:after="0" w:line="240" w:lineRule="auto"/>
        <w:ind w:left="360" w:right="900"/>
        <w:jc w:val="both"/>
        <w:rPr>
          <w:rFonts w:ascii="Verdana" w:eastAsia="Calibri" w:hAnsi="Verdana" w:cs="Arial"/>
          <w:sz w:val="20"/>
          <w:szCs w:val="20"/>
        </w:rPr>
      </w:pPr>
      <w:r>
        <w:rPr>
          <w:rFonts w:ascii="Verdana" w:eastAsia="Calibri" w:hAnsi="Verdana" w:cs="Arial"/>
          <w:sz w:val="20"/>
          <w:szCs w:val="20"/>
        </w:rPr>
        <w:t>(…)</w:t>
      </w:r>
    </w:p>
    <w:p w14:paraId="52719B04" w14:textId="77777777" w:rsidR="00670EF8" w:rsidRDefault="00670EF8" w:rsidP="00670EF8">
      <w:pPr>
        <w:spacing w:after="0" w:line="240" w:lineRule="auto"/>
        <w:ind w:left="360" w:right="900"/>
        <w:jc w:val="both"/>
        <w:rPr>
          <w:rFonts w:ascii="Verdana" w:eastAsia="Calibri" w:hAnsi="Verdana" w:cs="Arial"/>
          <w:sz w:val="20"/>
          <w:szCs w:val="20"/>
        </w:rPr>
      </w:pPr>
    </w:p>
    <w:p w14:paraId="6B54B70D" w14:textId="77777777" w:rsidR="00670EF8" w:rsidRPr="00393E08" w:rsidRDefault="00670EF8" w:rsidP="00670EF8">
      <w:pPr>
        <w:pStyle w:val="Prrafodelista"/>
        <w:numPr>
          <w:ilvl w:val="0"/>
          <w:numId w:val="19"/>
        </w:numPr>
        <w:spacing w:after="0"/>
        <w:jc w:val="both"/>
        <w:rPr>
          <w:rFonts w:ascii="Verdana" w:eastAsia="Calibri" w:hAnsi="Verdana" w:cs="Arial"/>
          <w:lang w:val="es-CO"/>
        </w:rPr>
      </w:pPr>
      <w:r w:rsidRPr="00393E08">
        <w:rPr>
          <w:rFonts w:ascii="Verdana" w:eastAsia="Calibri" w:hAnsi="Verdana" w:cs="Arial"/>
          <w:lang w:val="es-CO"/>
        </w:rPr>
        <w:t>De lo anterior se encuentra que para el proceso de licitación pública, luego del traslado al informe de evaluación durante cinco (5) días hables, en donde los proponentes pueden realizar subsanaciones y presentar observaciones respecto al informe de evaluación, la Entidad contratante procederá a expedir un informe final de los requisitos habilitantes y los requisitos ponderables diferentes a la oferta económica, el cual se puede entender como el informe de evaluación definitivo, previo a la realización de la audiencia de adjudicación de la que hace mención el numeral 10 del artículo 30 de la Ley 80 de 1993, y que se encuentra desarrollada en el artículo 2.2.1.2.1.1.2. del Decreto 1082 de 2015.</w:t>
      </w:r>
    </w:p>
    <w:p w14:paraId="2BFF5C52" w14:textId="77777777" w:rsidR="00670EF8" w:rsidRPr="00393E08" w:rsidRDefault="00670EF8" w:rsidP="00670EF8">
      <w:pPr>
        <w:pStyle w:val="Prrafodelista"/>
        <w:spacing w:after="0"/>
        <w:ind w:left="360"/>
        <w:jc w:val="both"/>
        <w:rPr>
          <w:rFonts w:ascii="Verdana" w:eastAsia="Calibri" w:hAnsi="Verdana" w:cs="Arial"/>
          <w:lang w:val="es-CO"/>
        </w:rPr>
      </w:pPr>
    </w:p>
    <w:p w14:paraId="7E856D28" w14:textId="77777777" w:rsidR="00670EF8" w:rsidRPr="00393E08" w:rsidRDefault="00670EF8" w:rsidP="00670EF8">
      <w:pPr>
        <w:pStyle w:val="Prrafodelista"/>
        <w:numPr>
          <w:ilvl w:val="0"/>
          <w:numId w:val="19"/>
        </w:numPr>
        <w:spacing w:after="0"/>
        <w:jc w:val="both"/>
        <w:rPr>
          <w:rFonts w:ascii="Verdana" w:eastAsia="Calibri" w:hAnsi="Verdana" w:cs="Arial"/>
          <w:lang w:val="es-CO"/>
        </w:rPr>
      </w:pPr>
      <w:r w:rsidRPr="00393E08">
        <w:rPr>
          <w:rFonts w:ascii="Verdana" w:eastAsia="Calibri" w:hAnsi="Verdana" w:cs="Arial"/>
          <w:lang w:val="es-CO"/>
        </w:rPr>
        <w:t xml:space="preserve">El mentado artículo señala la estructura de la audiencia de adjudicación en los siguientes términos: </w:t>
      </w:r>
    </w:p>
    <w:p w14:paraId="5FB9A0A6" w14:textId="77777777" w:rsidR="00670EF8" w:rsidRDefault="00670EF8" w:rsidP="00670EF8">
      <w:pPr>
        <w:spacing w:line="240" w:lineRule="auto"/>
        <w:ind w:left="426" w:right="900"/>
        <w:jc w:val="both"/>
        <w:rPr>
          <w:rFonts w:ascii="Verdana" w:eastAsia="Calibri" w:hAnsi="Verdana" w:cs="Arial"/>
          <w:sz w:val="20"/>
          <w:szCs w:val="20"/>
        </w:rPr>
      </w:pPr>
    </w:p>
    <w:p w14:paraId="6F54E9BA" w14:textId="77777777" w:rsidR="00670EF8" w:rsidRPr="00DF353E" w:rsidRDefault="00670EF8" w:rsidP="00670EF8">
      <w:pPr>
        <w:spacing w:line="240" w:lineRule="auto"/>
        <w:ind w:left="426" w:right="900"/>
        <w:jc w:val="both"/>
        <w:rPr>
          <w:rFonts w:ascii="Verdana" w:eastAsia="Calibri" w:hAnsi="Verdana" w:cs="Arial"/>
          <w:sz w:val="20"/>
          <w:szCs w:val="20"/>
        </w:rPr>
      </w:pPr>
      <w:r>
        <w:rPr>
          <w:rFonts w:ascii="Verdana" w:eastAsia="Calibri" w:hAnsi="Verdana" w:cs="Arial"/>
          <w:sz w:val="20"/>
          <w:szCs w:val="20"/>
        </w:rPr>
        <w:t>(…)</w:t>
      </w:r>
    </w:p>
    <w:p w14:paraId="27977437" w14:textId="77777777" w:rsidR="00670EF8" w:rsidRPr="007E69C1" w:rsidRDefault="00670EF8" w:rsidP="00670EF8">
      <w:pPr>
        <w:spacing w:line="240" w:lineRule="auto"/>
        <w:ind w:left="426" w:right="900"/>
        <w:jc w:val="both"/>
        <w:rPr>
          <w:rFonts w:ascii="Verdana" w:eastAsia="Calibri" w:hAnsi="Verdana" w:cs="Arial"/>
          <w:i/>
          <w:iCs/>
          <w:sz w:val="20"/>
          <w:szCs w:val="20"/>
        </w:rPr>
      </w:pPr>
      <w:r w:rsidRPr="00DF353E">
        <w:rPr>
          <w:rFonts w:ascii="Verdana" w:eastAsia="Calibri" w:hAnsi="Verdana" w:cs="Arial"/>
          <w:i/>
          <w:iCs/>
          <w:sz w:val="20"/>
          <w:szCs w:val="20"/>
        </w:rPr>
        <w:t>La Entidad Estatal debe realizar la audiencia de adjudicación en la fecha y hora establecida en el Cronograma, la cual se realizará de acuerdo</w:t>
      </w:r>
      <w:r w:rsidRPr="007E69C1">
        <w:rPr>
          <w:rFonts w:ascii="Verdana" w:eastAsia="Calibri" w:hAnsi="Verdana" w:cs="Arial"/>
          <w:i/>
          <w:iCs/>
          <w:sz w:val="20"/>
          <w:szCs w:val="20"/>
        </w:rPr>
        <w:t xml:space="preserve"> con las reglas establecidas para el efecto en los mismos y las siguientes consideraciones: </w:t>
      </w:r>
    </w:p>
    <w:p w14:paraId="78522E54" w14:textId="77777777" w:rsidR="00670EF8" w:rsidRPr="007E69C1" w:rsidRDefault="00670EF8" w:rsidP="00670EF8">
      <w:pPr>
        <w:spacing w:line="240" w:lineRule="auto"/>
        <w:ind w:left="426" w:right="900"/>
        <w:jc w:val="both"/>
        <w:rPr>
          <w:rFonts w:ascii="Verdana" w:eastAsia="Calibri" w:hAnsi="Verdana" w:cs="Arial"/>
          <w:i/>
          <w:iCs/>
          <w:sz w:val="20"/>
          <w:szCs w:val="20"/>
        </w:rPr>
      </w:pPr>
      <w:r w:rsidRPr="007E69C1">
        <w:rPr>
          <w:rFonts w:ascii="Verdana" w:eastAsia="Calibri" w:hAnsi="Verdana" w:cs="Arial"/>
          <w:i/>
          <w:iCs/>
          <w:sz w:val="20"/>
          <w:szCs w:val="20"/>
        </w:rPr>
        <w:t xml:space="preserve"> 1. </w:t>
      </w:r>
      <w:r w:rsidRPr="007E69C1">
        <w:rPr>
          <w:rFonts w:ascii="Verdana" w:eastAsia="Calibri" w:hAnsi="Verdana" w:cs="Arial"/>
          <w:i/>
          <w:iCs/>
          <w:sz w:val="20"/>
          <w:szCs w:val="20"/>
          <w:u w:val="single"/>
        </w:rPr>
        <w:t>En la audiencia los oferentes pueden pronunciarse sobre las respuestas dadas por la Entidad Estatal a las observaciones presentadas respecto del informe de evaluación, lo cual no implica una nueva oportunidad para mejorar o modificar la oferta</w:t>
      </w:r>
      <w:r w:rsidRPr="007E69C1">
        <w:rPr>
          <w:rFonts w:ascii="Verdana" w:eastAsia="Calibri" w:hAnsi="Verdana" w:cs="Arial"/>
          <w:i/>
          <w:iCs/>
          <w:sz w:val="20"/>
          <w:szCs w:val="20"/>
        </w:rPr>
        <w:t>.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 </w:t>
      </w:r>
    </w:p>
    <w:p w14:paraId="03C8503E" w14:textId="77777777" w:rsidR="00670EF8" w:rsidRPr="007E69C1" w:rsidRDefault="00670EF8" w:rsidP="00670EF8">
      <w:pPr>
        <w:spacing w:line="240" w:lineRule="auto"/>
        <w:ind w:left="426" w:right="900"/>
        <w:jc w:val="both"/>
        <w:rPr>
          <w:rFonts w:ascii="Verdana" w:eastAsia="Calibri" w:hAnsi="Verdana" w:cs="Arial"/>
          <w:i/>
          <w:iCs/>
          <w:sz w:val="20"/>
          <w:szCs w:val="20"/>
        </w:rPr>
      </w:pPr>
      <w:r w:rsidRPr="007E69C1">
        <w:rPr>
          <w:rFonts w:ascii="Verdana" w:eastAsia="Calibri" w:hAnsi="Verdana" w:cs="Arial"/>
          <w:i/>
          <w:iCs/>
          <w:sz w:val="20"/>
          <w:szCs w:val="20"/>
        </w:rPr>
        <w:t>2. La Entidad Estatal debe conceder el uso de la palabra por una única vez al oferente que así lo solicite, para que responda a las observaciones que sobre la evaluación de su oferta hayan hecho los intervinientes. </w:t>
      </w:r>
    </w:p>
    <w:p w14:paraId="36BB1A97" w14:textId="77777777" w:rsidR="00670EF8" w:rsidRPr="007E69C1" w:rsidRDefault="00670EF8" w:rsidP="00670EF8">
      <w:pPr>
        <w:spacing w:line="240" w:lineRule="auto"/>
        <w:ind w:left="426" w:right="900"/>
        <w:jc w:val="both"/>
        <w:rPr>
          <w:rFonts w:ascii="Verdana" w:eastAsia="Calibri" w:hAnsi="Verdana" w:cs="Arial"/>
          <w:i/>
          <w:iCs/>
          <w:sz w:val="20"/>
          <w:szCs w:val="20"/>
        </w:rPr>
      </w:pPr>
      <w:r w:rsidRPr="007E69C1">
        <w:rPr>
          <w:rFonts w:ascii="Verdana" w:eastAsia="Calibri" w:hAnsi="Verdana" w:cs="Arial"/>
          <w:i/>
          <w:iCs/>
          <w:sz w:val="20"/>
          <w:szCs w:val="20"/>
        </w:rPr>
        <w:t>3. Toda intervención debe ser hecha por la persona o las personas previamente designadas por el oferente, y estar limitada a la duración máxima que la Entidad Estatal haya señalado con anterioridad. </w:t>
      </w:r>
    </w:p>
    <w:p w14:paraId="42F7D1F2" w14:textId="77777777" w:rsidR="00670EF8" w:rsidRPr="007E69C1" w:rsidRDefault="00670EF8" w:rsidP="00670EF8">
      <w:pPr>
        <w:spacing w:line="240" w:lineRule="auto"/>
        <w:ind w:left="426" w:right="900"/>
        <w:jc w:val="both"/>
        <w:rPr>
          <w:rFonts w:ascii="Verdana" w:eastAsia="Calibri" w:hAnsi="Verdana" w:cs="Arial"/>
          <w:i/>
          <w:iCs/>
          <w:sz w:val="20"/>
          <w:szCs w:val="20"/>
        </w:rPr>
      </w:pPr>
      <w:r w:rsidRPr="007E69C1">
        <w:rPr>
          <w:rFonts w:ascii="Verdana" w:eastAsia="Calibri" w:hAnsi="Verdana" w:cs="Arial"/>
          <w:i/>
          <w:iCs/>
          <w:sz w:val="20"/>
          <w:szCs w:val="20"/>
        </w:rPr>
        <w:t xml:space="preserve">4. La Entidad Estatal puede prescindir de la lectura del borrador del acto administrativo de adjudicación siempre que lo haya publicado en el </w:t>
      </w:r>
      <w:proofErr w:type="spellStart"/>
      <w:r w:rsidRPr="007E69C1">
        <w:rPr>
          <w:rFonts w:ascii="Verdana" w:eastAsia="Calibri" w:hAnsi="Verdana" w:cs="Arial"/>
          <w:i/>
          <w:iCs/>
          <w:sz w:val="20"/>
          <w:szCs w:val="20"/>
        </w:rPr>
        <w:t>Secop</w:t>
      </w:r>
      <w:proofErr w:type="spellEnd"/>
      <w:r w:rsidRPr="007E69C1">
        <w:rPr>
          <w:rFonts w:ascii="Verdana" w:eastAsia="Calibri" w:hAnsi="Verdana" w:cs="Arial"/>
          <w:i/>
          <w:iCs/>
          <w:sz w:val="20"/>
          <w:szCs w:val="20"/>
        </w:rPr>
        <w:t xml:space="preserve"> con antelación. </w:t>
      </w:r>
    </w:p>
    <w:p w14:paraId="383E0882" w14:textId="77777777" w:rsidR="00670EF8" w:rsidRDefault="00670EF8" w:rsidP="00670EF8">
      <w:pPr>
        <w:spacing w:line="240" w:lineRule="auto"/>
        <w:ind w:left="426" w:right="900"/>
        <w:jc w:val="both"/>
        <w:rPr>
          <w:rFonts w:ascii="Verdana" w:eastAsia="Calibri" w:hAnsi="Verdana" w:cs="Arial"/>
          <w:sz w:val="20"/>
          <w:szCs w:val="20"/>
        </w:rPr>
      </w:pPr>
      <w:r w:rsidRPr="007E69C1">
        <w:rPr>
          <w:rFonts w:ascii="Verdana" w:eastAsia="Calibri" w:hAnsi="Verdana" w:cs="Arial"/>
          <w:i/>
          <w:iCs/>
          <w:sz w:val="20"/>
          <w:szCs w:val="20"/>
        </w:rPr>
        <w:t> 5. Terminadas las intervenciones de los asistentes a la audiencia, se procederá a adoptar la decisión que corresponda. </w:t>
      </w:r>
      <w:r>
        <w:rPr>
          <w:rFonts w:ascii="Verdana" w:eastAsia="Calibri" w:hAnsi="Verdana" w:cs="Arial"/>
          <w:sz w:val="20"/>
          <w:szCs w:val="20"/>
        </w:rPr>
        <w:t>(…)</w:t>
      </w:r>
    </w:p>
    <w:p w14:paraId="3ED923AA" w14:textId="77777777" w:rsidR="00670EF8" w:rsidRPr="00826C00" w:rsidRDefault="00670EF8" w:rsidP="00670EF8">
      <w:pPr>
        <w:pStyle w:val="Prrafodelista"/>
        <w:numPr>
          <w:ilvl w:val="0"/>
          <w:numId w:val="21"/>
        </w:numPr>
        <w:spacing w:before="120" w:after="0" w:line="276" w:lineRule="auto"/>
        <w:ind w:left="360" w:right="49"/>
        <w:jc w:val="both"/>
        <w:rPr>
          <w:rFonts w:ascii="Verdana" w:hAnsi="Verdana" w:cs="Arial"/>
        </w:rPr>
      </w:pPr>
      <w:r w:rsidRPr="00CE5CFB">
        <w:rPr>
          <w:rFonts w:ascii="Verdana" w:eastAsia="Calibri" w:hAnsi="Verdana" w:cs="Arial"/>
        </w:rPr>
        <w:t>Como se evidencia en el numeral 1 antes citado, se da la oportunidad en el desarrollo de la audiencia de adjudicación, para que los proponentes se pronuncien sobre las respuestas dadas al informe de evaluación, lo cual, como lo señala el legislador, no puede entenderse como una nueva oportunidad para mejorar o modificar la oferta, es decir que aquellos aspectos que no resultaron subsanados durante la etapa del traslado del informe de evaluación no podrían llegar a ser presentados y subsanados por parte del proponente, lo anterior en atención al  principio de economía</w:t>
      </w:r>
      <w:r w:rsidRPr="00CE5CFB">
        <w:rPr>
          <w:rStyle w:val="Refdenotaalpie"/>
          <w:rFonts w:ascii="Verdana" w:eastAsia="Calibri" w:hAnsi="Verdana" w:cs="Arial"/>
        </w:rPr>
        <w:footnoteReference w:id="1"/>
      </w:r>
      <w:r w:rsidRPr="00CE5CFB">
        <w:rPr>
          <w:rFonts w:ascii="Verdana" w:eastAsia="Calibri" w:hAnsi="Verdana" w:cs="Arial"/>
        </w:rPr>
        <w:t xml:space="preserve">, el </w:t>
      </w:r>
      <w:r w:rsidRPr="00CE5CFB">
        <w:rPr>
          <w:rFonts w:ascii="Verdana" w:eastAsia="Calibri" w:hAnsi="Verdana" w:cs="Arial"/>
        </w:rPr>
        <w:lastRenderedPageBreak/>
        <w:t xml:space="preserve">cual impone que los términos serán preclusivos y perentorios en las diferentes etapas de proceso de selección.  </w:t>
      </w:r>
    </w:p>
    <w:p w14:paraId="2B3A12B1" w14:textId="77777777" w:rsidR="00670EF8" w:rsidRPr="00CE5CFB" w:rsidRDefault="00670EF8" w:rsidP="00670EF8">
      <w:pPr>
        <w:pStyle w:val="Prrafodelista"/>
        <w:spacing w:before="120" w:after="0" w:line="276" w:lineRule="auto"/>
        <w:ind w:left="360" w:right="49"/>
        <w:jc w:val="both"/>
        <w:rPr>
          <w:rFonts w:ascii="Verdana" w:hAnsi="Verdana" w:cs="Arial"/>
        </w:rPr>
      </w:pPr>
    </w:p>
    <w:p w14:paraId="6DEBD349" w14:textId="77777777" w:rsidR="00670EF8" w:rsidRDefault="00670EF8" w:rsidP="00670EF8">
      <w:pPr>
        <w:pStyle w:val="Textoindependiente"/>
        <w:numPr>
          <w:ilvl w:val="0"/>
          <w:numId w:val="21"/>
        </w:numPr>
        <w:spacing w:before="1" w:line="276" w:lineRule="auto"/>
        <w:ind w:left="284" w:right="49"/>
        <w:jc w:val="both"/>
        <w:rPr>
          <w:rFonts w:ascii="Verdana" w:eastAsia="Calibri" w:hAnsi="Verdana"/>
          <w:lang w:val="es-CO"/>
        </w:rPr>
      </w:pPr>
      <w:r>
        <w:rPr>
          <w:rFonts w:ascii="Verdana" w:eastAsia="Calibri" w:hAnsi="Verdana"/>
          <w:lang w:val="es-CO"/>
        </w:rPr>
        <w:t>Ahora bien, es preciso resaltar la modificación con la adición</w:t>
      </w:r>
      <w:r w:rsidRPr="00CE5CFB">
        <w:rPr>
          <w:rFonts w:ascii="Verdana" w:eastAsia="Calibri" w:hAnsi="Verdana"/>
          <w:lang w:val="es-CO"/>
        </w:rPr>
        <w:t xml:space="preserve"> </w:t>
      </w:r>
      <w:r>
        <w:rPr>
          <w:rFonts w:ascii="Verdana" w:eastAsia="Calibri" w:hAnsi="Verdana"/>
          <w:lang w:val="es-CO"/>
        </w:rPr>
        <w:t>de un parágrafo 3 al artículo 30 de la Ley 80 de 1993, mediante el artículo 1 de la Ley 1882 de 2018</w:t>
      </w:r>
      <w:r w:rsidRPr="00CE5CFB">
        <w:rPr>
          <w:rFonts w:ascii="Verdana" w:eastAsia="Calibri" w:hAnsi="Verdana"/>
          <w:lang w:val="es-CO"/>
        </w:rPr>
        <w:t>,</w:t>
      </w:r>
      <w:r>
        <w:rPr>
          <w:rFonts w:ascii="Verdana" w:eastAsia="Calibri" w:hAnsi="Verdana"/>
          <w:lang w:val="es-CO"/>
        </w:rPr>
        <w:t xml:space="preserve"> el cual reza de la siguiente manera: </w:t>
      </w:r>
    </w:p>
    <w:p w14:paraId="0B158033" w14:textId="77777777" w:rsidR="00670EF8" w:rsidRDefault="00670EF8" w:rsidP="00670EF8">
      <w:pPr>
        <w:ind w:left="284"/>
        <w:rPr>
          <w:rFonts w:ascii="Verdana" w:eastAsia="Calibri" w:hAnsi="Verdana"/>
        </w:rPr>
      </w:pPr>
    </w:p>
    <w:p w14:paraId="52E3CE90" w14:textId="77777777" w:rsidR="00670EF8" w:rsidRDefault="00670EF8" w:rsidP="00670EF8">
      <w:pPr>
        <w:ind w:left="284"/>
        <w:rPr>
          <w:rFonts w:ascii="Verdana" w:eastAsia="Calibri" w:hAnsi="Verdana"/>
        </w:rPr>
      </w:pPr>
      <w:r>
        <w:rPr>
          <w:rFonts w:ascii="Verdana" w:eastAsia="Calibri" w:hAnsi="Verdana"/>
        </w:rPr>
        <w:t>(…)</w:t>
      </w:r>
    </w:p>
    <w:p w14:paraId="08784055" w14:textId="77777777" w:rsidR="00670EF8" w:rsidRDefault="00670EF8" w:rsidP="00670EF8">
      <w:pPr>
        <w:spacing w:line="240" w:lineRule="auto"/>
        <w:ind w:left="284"/>
        <w:jc w:val="both"/>
        <w:rPr>
          <w:rFonts w:ascii="Verdana" w:eastAsia="Calibri" w:hAnsi="Verdana"/>
          <w:i/>
          <w:iCs/>
          <w:sz w:val="20"/>
          <w:szCs w:val="20"/>
        </w:rPr>
      </w:pPr>
      <w:r w:rsidRPr="00545EF3">
        <w:rPr>
          <w:rFonts w:ascii="Verdana" w:eastAsia="Calibri" w:hAnsi="Verdana"/>
          <w:i/>
          <w:iCs/>
          <w:sz w:val="20"/>
          <w:szCs w:val="20"/>
        </w:rPr>
        <w:t xml:space="preserve">Para estos procesos, el segundo sobre, que contiene la oferta económica, se mantendrá cerrado hasta la audiencia efectiva de adjudicación, momento en el cual se podrán hacer observaciones al informe de evaluación, las cuales se decidirán en la misma. Durante esta audiencia se dará apertura al sobre, se evaluará la oferta económica a través del mecanismo escogido mediante el método aleatorio que se establezca en los pliegos de condiciones, </w:t>
      </w:r>
      <w:r w:rsidRPr="00545EF3">
        <w:rPr>
          <w:rFonts w:ascii="Verdana" w:eastAsia="Calibri" w:hAnsi="Verdana"/>
          <w:i/>
          <w:iCs/>
          <w:sz w:val="20"/>
          <w:szCs w:val="20"/>
          <w:u w:val="single"/>
        </w:rPr>
        <w:t>corriendo traslado a los proponentes habilitados en la misma diligencia solo para la revisión del aspecto económico y se establecerá el orden de elegibilidad.</w:t>
      </w:r>
    </w:p>
    <w:p w14:paraId="0848C470" w14:textId="77777777" w:rsidR="00670EF8" w:rsidRPr="00545EF3" w:rsidRDefault="00670EF8" w:rsidP="00670EF8">
      <w:pPr>
        <w:ind w:left="284"/>
        <w:rPr>
          <w:rFonts w:ascii="Verdana" w:eastAsia="Calibri" w:hAnsi="Verdana"/>
        </w:rPr>
      </w:pPr>
      <w:r w:rsidRPr="00545EF3">
        <w:rPr>
          <w:rFonts w:ascii="Verdana" w:eastAsia="Calibri" w:hAnsi="Verdana"/>
        </w:rPr>
        <w:t>(…</w:t>
      </w:r>
      <w:r>
        <w:rPr>
          <w:rFonts w:ascii="Verdana" w:eastAsia="Calibri" w:hAnsi="Verdana"/>
        </w:rPr>
        <w:t>)</w:t>
      </w:r>
    </w:p>
    <w:p w14:paraId="6AA4C212" w14:textId="77777777" w:rsidR="00670EF8" w:rsidRDefault="00670EF8" w:rsidP="00670EF8">
      <w:pPr>
        <w:pStyle w:val="Textoindependiente"/>
        <w:numPr>
          <w:ilvl w:val="0"/>
          <w:numId w:val="21"/>
        </w:numPr>
        <w:spacing w:before="1" w:line="276" w:lineRule="auto"/>
        <w:ind w:right="49"/>
        <w:jc w:val="both"/>
        <w:rPr>
          <w:rFonts w:ascii="Verdana" w:eastAsia="Calibri" w:hAnsi="Verdana"/>
          <w:lang w:val="es-CO"/>
        </w:rPr>
      </w:pPr>
      <w:r>
        <w:rPr>
          <w:rFonts w:ascii="Verdana" w:eastAsia="Calibri" w:hAnsi="Verdana"/>
          <w:lang w:val="es-CO"/>
        </w:rPr>
        <w:t xml:space="preserve">De lo anterior se precisa que una vez se realice la apertura del sobre que contiene la oferta económica, se dará traslado a los proponentes que fueron habilitados, para realizar </w:t>
      </w:r>
      <w:r w:rsidRPr="00CE5CFB">
        <w:rPr>
          <w:rFonts w:ascii="Verdana" w:eastAsia="Calibri" w:hAnsi="Verdana"/>
          <w:lang w:val="es-CO"/>
        </w:rPr>
        <w:t xml:space="preserve">observaciones </w:t>
      </w:r>
      <w:r>
        <w:rPr>
          <w:rFonts w:ascii="Verdana" w:eastAsia="Calibri" w:hAnsi="Verdana"/>
          <w:lang w:val="es-CO"/>
        </w:rPr>
        <w:t xml:space="preserve">si es del caso y que </w:t>
      </w:r>
      <w:r w:rsidRPr="00CE5CFB">
        <w:rPr>
          <w:rFonts w:ascii="Verdana" w:eastAsia="Calibri" w:hAnsi="Verdana"/>
          <w:lang w:val="es-CO"/>
        </w:rPr>
        <w:t xml:space="preserve">deberán versar sobre la ponderación de la oferta económica, con lo cual se aclara que los proponentes no podrían hacer observaciones sobre condiciones o situaciones diferentes. </w:t>
      </w:r>
    </w:p>
    <w:p w14:paraId="4DB60E05" w14:textId="77777777" w:rsidR="00670EF8" w:rsidRDefault="00670EF8" w:rsidP="00670EF8">
      <w:pPr>
        <w:pStyle w:val="Textoindependiente"/>
        <w:spacing w:before="1" w:line="276" w:lineRule="auto"/>
        <w:ind w:left="284" w:right="49" w:firstLine="424"/>
        <w:jc w:val="both"/>
        <w:rPr>
          <w:rFonts w:ascii="Verdana" w:eastAsia="Calibri" w:hAnsi="Verdana"/>
          <w:lang w:val="es-CO"/>
        </w:rPr>
      </w:pPr>
    </w:p>
    <w:p w14:paraId="5C44BBB8" w14:textId="77777777" w:rsidR="00670EF8" w:rsidRDefault="00670EF8" w:rsidP="00670EF8">
      <w:pPr>
        <w:pStyle w:val="Prrafodelista"/>
        <w:numPr>
          <w:ilvl w:val="0"/>
          <w:numId w:val="21"/>
        </w:num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L</w:t>
      </w:r>
      <w:r w:rsidRPr="00904ECD">
        <w:rPr>
          <w:rFonts w:ascii="Verdana" w:eastAsia="Calibri" w:hAnsi="Verdana" w:cs="Arial"/>
          <w:color w:val="000000" w:themeColor="text1"/>
        </w:rPr>
        <w:t xml:space="preserve">a capacidad de las </w:t>
      </w:r>
      <w:r w:rsidRPr="00904ECD">
        <w:rPr>
          <w:rFonts w:ascii="Verdana" w:eastAsia="Calibri" w:hAnsi="Verdana" w:cs="Arial"/>
          <w:i/>
          <w:iCs/>
          <w:color w:val="000000" w:themeColor="text1"/>
        </w:rPr>
        <w:t>personas jurídicas</w:t>
      </w:r>
      <w:r w:rsidRPr="00904ECD">
        <w:rPr>
          <w:rFonts w:ascii="Verdana" w:eastAsia="Calibri" w:hAnsi="Verdana" w:cs="Arial"/>
          <w:color w:val="000000" w:themeColor="text1"/>
        </w:rPr>
        <w:t xml:space="preserve"> se circunscribe a las actividades principales y conexas del objeto social. 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w:t>
      </w:r>
      <w:r w:rsidRPr="00904ECD">
        <w:rPr>
          <w:rFonts w:ascii="Verdana" w:eastAsia="Calibri" w:hAnsi="Verdana" w:cs="Arial"/>
          <w:color w:val="000000" w:themeColor="text1"/>
        </w:rPr>
        <w:lastRenderedPageBreak/>
        <w:t>fines principales de la empresa, así como los necesarios para el ejercicio de los derechos de la sociedad o para cumplir obligaciones derivadas de su existencia o actividad</w:t>
      </w:r>
      <w:r w:rsidRPr="00FA4CEE">
        <w:rPr>
          <w:vertAlign w:val="superscript"/>
        </w:rPr>
        <w:footnoteReference w:id="2"/>
      </w:r>
      <w:r w:rsidRPr="00904ECD">
        <w:rPr>
          <w:rFonts w:ascii="Verdana" w:eastAsia="Calibri" w:hAnsi="Verdana" w:cs="Arial"/>
          <w:color w:val="000000" w:themeColor="text1"/>
        </w:rPr>
        <w:t>. Estas limitaciones a la capacidad se justifican en la medida que "[…] los aportes al fondo social se hacen precisamente para los negocios sociales y, por eso, no pueden ser distraídos en actividades distintas, para no desvirtuar y dejar de cumplir el contrato social”</w:t>
      </w:r>
      <w:r w:rsidRPr="00FA4CEE">
        <w:rPr>
          <w:vertAlign w:val="superscript"/>
        </w:rPr>
        <w:footnoteReference w:id="3"/>
      </w:r>
      <w:r w:rsidRPr="00904ECD">
        <w:rPr>
          <w:rFonts w:ascii="Verdana" w:eastAsia="Calibri" w:hAnsi="Verdana" w:cs="Arial"/>
          <w:color w:val="000000" w:themeColor="text1"/>
        </w:rPr>
        <w:t>.</w:t>
      </w:r>
    </w:p>
    <w:p w14:paraId="53E25CE1" w14:textId="77777777" w:rsidR="00670EF8" w:rsidRPr="00904ECD" w:rsidRDefault="00670EF8" w:rsidP="00670EF8">
      <w:pPr>
        <w:pStyle w:val="Prrafodelista"/>
        <w:spacing w:after="120" w:line="276" w:lineRule="auto"/>
        <w:jc w:val="both"/>
        <w:rPr>
          <w:rFonts w:ascii="Verdana" w:eastAsia="Calibri" w:hAnsi="Verdana" w:cs="Arial"/>
          <w:color w:val="000000" w:themeColor="text1"/>
        </w:rPr>
      </w:pPr>
    </w:p>
    <w:p w14:paraId="2E12182E" w14:textId="77777777" w:rsidR="00670EF8" w:rsidRDefault="00670EF8" w:rsidP="00670EF8">
      <w:pPr>
        <w:pStyle w:val="Prrafodelista"/>
        <w:numPr>
          <w:ilvl w:val="0"/>
          <w:numId w:val="21"/>
        </w:numPr>
        <w:spacing w:after="120" w:line="276" w:lineRule="auto"/>
        <w:jc w:val="both"/>
        <w:rPr>
          <w:rFonts w:ascii="Verdana" w:eastAsia="Calibri" w:hAnsi="Verdana" w:cs="Arial"/>
          <w:color w:val="000000" w:themeColor="text1"/>
        </w:rPr>
      </w:pPr>
      <w:r w:rsidRPr="00904ECD">
        <w:rPr>
          <w:rFonts w:ascii="Verdana" w:eastAsia="Calibri" w:hAnsi="Verdana" w:cs="Arial"/>
          <w:color w:val="000000" w:themeColor="text1"/>
        </w:rPr>
        <w:t>Aunque lo descrito en los párrafos precedentes constituye regla general, excepcionalmente el ordenamiento jurídico permite la constitución de personas jurídicas con objeto indeterminado. Este es el caso de las sociedades por acciones simplificadas, 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sidRPr="00FA4CEE">
        <w:rPr>
          <w:vertAlign w:val="superscript"/>
        </w:rPr>
        <w:footnoteReference w:id="4"/>
      </w:r>
      <w:r w:rsidRPr="00904ECD">
        <w:rPr>
          <w:rFonts w:ascii="Verdana" w:eastAsia="Calibri" w:hAnsi="Verdana" w:cs="Arial"/>
          <w:color w:val="000000" w:themeColor="text1"/>
        </w:rPr>
        <w:t xml:space="preserve">. </w:t>
      </w:r>
    </w:p>
    <w:p w14:paraId="07365A88" w14:textId="77777777" w:rsidR="00670EF8" w:rsidRPr="00904ECD" w:rsidRDefault="00670EF8" w:rsidP="00670EF8">
      <w:pPr>
        <w:spacing w:after="120" w:line="276" w:lineRule="auto"/>
        <w:jc w:val="both"/>
        <w:rPr>
          <w:rFonts w:ascii="Verdana" w:eastAsia="Calibri" w:hAnsi="Verdana" w:cs="Arial"/>
          <w:color w:val="000000" w:themeColor="text1"/>
        </w:rPr>
      </w:pPr>
    </w:p>
    <w:p w14:paraId="4B3BC143" w14:textId="77777777" w:rsidR="00670EF8" w:rsidRPr="00904ECD" w:rsidRDefault="00670EF8" w:rsidP="00670EF8">
      <w:pPr>
        <w:pStyle w:val="Prrafodelista"/>
        <w:numPr>
          <w:ilvl w:val="0"/>
          <w:numId w:val="21"/>
        </w:numPr>
        <w:spacing w:after="120" w:line="276" w:lineRule="auto"/>
        <w:jc w:val="both"/>
        <w:rPr>
          <w:rFonts w:ascii="Verdana" w:eastAsia="Calibri" w:hAnsi="Verdana" w:cs="Arial"/>
          <w:lang w:eastAsia="es-ES_tradnl"/>
        </w:rPr>
      </w:pPr>
      <w:r w:rsidRPr="00904ECD">
        <w:rPr>
          <w:rFonts w:ascii="Verdana" w:eastAsia="Calibri" w:hAnsi="Verdana" w:cs="Arial"/>
          <w:color w:val="000000" w:themeColor="text1"/>
        </w:rPr>
        <w:t xml:space="preserve">Conforme a lo expuesto, </w:t>
      </w:r>
      <w:r w:rsidRPr="00904ECD">
        <w:rPr>
          <w:rFonts w:ascii="Verdana" w:eastAsia="Calibri" w:hAnsi="Verdana" w:cs="Arial"/>
          <w:lang w:val="es-ES_tradnl" w:eastAsia="es-ES_tradnl"/>
        </w:rPr>
        <w:t xml:space="preserve">en el ordenamiento colombiano pueden celebrar contratos estatales las personas jurídicas que tengan dentro de su objeto social actividades relacionadas con el objeto a contratar, independientemente que se trate de actividades principales o actividades conexas al objeto social.  Sobre este aspecto la doctrina señala </w:t>
      </w:r>
      <w:r w:rsidRPr="00904ECD">
        <w:rPr>
          <w:rFonts w:ascii="Verdana" w:eastAsia="Calibri" w:hAnsi="Verdana" w:cs="Arial"/>
          <w:lang w:eastAsia="es-ES_tradnl"/>
        </w:rPr>
        <w:t xml:space="preserve">“Toda sociedad, por el hecho de existir, se beneficia del atributo de la capacidad de goce; por ende, puede ser titular de derecho y sujeto de obligaciones. Sin embargo, la capacidad legal de la sociedad se circunscribe al objeto social, como lo advierte el art. 99 del Código de Comercio. Es decir, </w:t>
      </w:r>
      <w:r w:rsidRPr="00904ECD">
        <w:rPr>
          <w:rFonts w:ascii="Verdana" w:eastAsia="Calibri" w:hAnsi="Verdana" w:cs="Arial"/>
          <w:i/>
          <w:iCs/>
          <w:lang w:eastAsia="es-ES_tradnl"/>
        </w:rPr>
        <w:t>la sociedad goza de capacidad jurídica para llevar adelante los actos propios de sus actividades principales o que constituyan actos conexos”</w:t>
      </w:r>
      <w:r w:rsidRPr="00FA4CEE">
        <w:rPr>
          <w:vertAlign w:val="superscript"/>
          <w:lang w:eastAsia="es-ES_tradnl"/>
        </w:rPr>
        <w:footnoteReference w:id="5"/>
      </w:r>
      <w:r w:rsidRPr="00904ECD">
        <w:rPr>
          <w:rFonts w:ascii="Verdana" w:eastAsia="Calibri" w:hAnsi="Verdana" w:cs="Arial"/>
          <w:lang w:eastAsia="es-ES_tradnl"/>
        </w:rPr>
        <w:t>.</w:t>
      </w:r>
    </w:p>
    <w:p w14:paraId="4E720779" w14:textId="77777777" w:rsidR="00670EF8" w:rsidRDefault="00670EF8" w:rsidP="00670EF8">
      <w:pPr>
        <w:pStyle w:val="Prrafodelista"/>
        <w:spacing w:after="120" w:line="276" w:lineRule="auto"/>
        <w:jc w:val="both"/>
        <w:rPr>
          <w:rFonts w:ascii="Verdana" w:eastAsia="Calibri" w:hAnsi="Verdana" w:cs="Arial"/>
          <w:lang w:val="es-ES_tradnl" w:eastAsia="es-ES_tradnl"/>
        </w:rPr>
      </w:pPr>
    </w:p>
    <w:p w14:paraId="07958886" w14:textId="77777777" w:rsidR="00670EF8" w:rsidRPr="00904ECD" w:rsidRDefault="00670EF8" w:rsidP="00670EF8">
      <w:pPr>
        <w:pStyle w:val="Prrafodelista"/>
        <w:numPr>
          <w:ilvl w:val="0"/>
          <w:numId w:val="21"/>
        </w:numPr>
        <w:spacing w:after="120" w:line="276" w:lineRule="auto"/>
        <w:jc w:val="both"/>
        <w:rPr>
          <w:rFonts w:ascii="Verdana" w:eastAsia="Times New Roman" w:hAnsi="Verdana" w:cs="Arial"/>
          <w:color w:val="000000" w:themeColor="text1"/>
          <w:lang w:val="es-ES_tradnl" w:eastAsia="es-ES_tradnl"/>
        </w:rPr>
      </w:pPr>
      <w:r w:rsidRPr="00904ECD">
        <w:rPr>
          <w:rFonts w:ascii="Verdana" w:eastAsia="Calibri" w:hAnsi="Verdana" w:cs="Arial"/>
          <w:lang w:val="es-ES_tradnl" w:eastAsia="es-ES_tradnl"/>
        </w:rPr>
        <w:t xml:space="preserve">En el </w:t>
      </w:r>
      <w:r w:rsidRPr="00904ECD">
        <w:rPr>
          <w:rFonts w:ascii="Verdana" w:eastAsia="Times New Roman" w:hAnsi="Verdana" w:cs="Arial"/>
          <w:color w:val="000000" w:themeColor="text1"/>
          <w:lang w:eastAsia="es-ES"/>
        </w:rPr>
        <w:t xml:space="preserve">Registro Único Empresarial y Social –en adelante </w:t>
      </w:r>
      <w:r w:rsidRPr="00904ECD">
        <w:rPr>
          <w:rFonts w:ascii="Verdana" w:eastAsia="Times New Roman" w:hAnsi="Verdana" w:cs="Arial"/>
          <w:color w:val="000000" w:themeColor="text1"/>
          <w:lang w:val="es-ES_tradnl" w:eastAsia="es-ES_tradnl"/>
        </w:rPr>
        <w:t>RUES</w:t>
      </w:r>
      <w:r w:rsidRPr="00904ECD">
        <w:rPr>
          <w:rFonts w:ascii="Verdana" w:eastAsia="Times New Roman" w:hAnsi="Verdana" w:cs="Arial"/>
          <w:color w:val="000000" w:themeColor="text1"/>
          <w:lang w:eastAsia="es-ES"/>
        </w:rPr>
        <w:t>–</w:t>
      </w:r>
      <w:r w:rsidRPr="00904ECD">
        <w:rPr>
          <w:rFonts w:ascii="Verdana" w:eastAsia="Times New Roman" w:hAnsi="Verdana" w:cs="Arial"/>
          <w:color w:val="000000" w:themeColor="text1"/>
          <w:lang w:val="es-ES_tradnl" w:eastAsia="es-ES_tradnl"/>
        </w:rPr>
        <w:t xml:space="preserve">, administrado por las cámaras de comercio, se encuentra el listado de las actividades económicas que desarrolla cada empresa, según los códigos de la Clasificación Industrial Internacional Uniforme –CIIU–, en virtud de lo dispuesto en el artículo 11 de la Ley 590 de 2000 y el artículo 166 del Decreto Ley 019 de 2012. </w:t>
      </w:r>
    </w:p>
    <w:p w14:paraId="0EA32ECF" w14:textId="77777777" w:rsidR="00670EF8" w:rsidRPr="00904ECD" w:rsidRDefault="00670EF8" w:rsidP="00670EF8">
      <w:pPr>
        <w:pStyle w:val="Prrafodelista"/>
        <w:spacing w:after="120" w:line="276" w:lineRule="auto"/>
        <w:jc w:val="both"/>
        <w:rPr>
          <w:rFonts w:ascii="Verdana" w:eastAsia="Calibri" w:hAnsi="Verdana" w:cs="Arial"/>
          <w:lang w:val="es-ES_tradnl" w:eastAsia="es-ES_tradnl"/>
        </w:rPr>
      </w:pPr>
    </w:p>
    <w:p w14:paraId="25478288" w14:textId="77777777" w:rsidR="00670EF8" w:rsidRPr="00904ECD" w:rsidRDefault="00670EF8" w:rsidP="00670EF8">
      <w:pPr>
        <w:pStyle w:val="Prrafodelista"/>
        <w:numPr>
          <w:ilvl w:val="0"/>
          <w:numId w:val="21"/>
        </w:numPr>
        <w:spacing w:after="120" w:line="276" w:lineRule="auto"/>
        <w:jc w:val="both"/>
        <w:rPr>
          <w:rFonts w:ascii="Verdana" w:eastAsia="Calibri" w:hAnsi="Verdana" w:cs="Arial"/>
          <w:color w:val="000000" w:themeColor="text1"/>
        </w:rPr>
      </w:pPr>
      <w:r w:rsidRPr="00904ECD">
        <w:rPr>
          <w:rFonts w:ascii="Verdana" w:eastAsia="Calibri" w:hAnsi="Verdana" w:cs="Arial"/>
          <w:color w:val="000000" w:themeColor="text1"/>
        </w:rPr>
        <w:t xml:space="preserve">Sin embargo, ninguna de las normas citadas en el acápite precedente condiciona la capacidad de las </w:t>
      </w:r>
      <w:r w:rsidRPr="00904ECD">
        <w:rPr>
          <w:rFonts w:ascii="Verdana" w:eastAsia="Calibri" w:hAnsi="Verdana" w:cs="Arial"/>
          <w:i/>
          <w:iCs/>
          <w:color w:val="000000" w:themeColor="text1"/>
        </w:rPr>
        <w:t>personas jurídicas</w:t>
      </w:r>
      <w:r w:rsidRPr="00904ECD">
        <w:rPr>
          <w:rFonts w:ascii="Verdana" w:eastAsia="Calibri" w:hAnsi="Verdana" w:cs="Arial"/>
          <w:color w:val="000000" w:themeColor="text1"/>
        </w:rPr>
        <w:t xml:space="preserve"> a los códigos mencionados. La </w:t>
      </w:r>
      <w:r w:rsidRPr="00904ECD">
        <w:rPr>
          <w:rFonts w:ascii="Verdana" w:eastAsia="Times New Roman" w:hAnsi="Verdana" w:cs="Arial"/>
          <w:color w:val="000000" w:themeColor="text1"/>
          <w:lang w:val="es-ES_tradnl" w:eastAsia="es-ES_tradnl"/>
        </w:rPr>
        <w:t>CIIU</w:t>
      </w:r>
      <w:r w:rsidRPr="00904ECD">
        <w:rPr>
          <w:rFonts w:ascii="Verdana" w:eastAsia="Calibri" w:hAnsi="Verdana" w:cs="Arial"/>
          <w:color w:val="000000" w:themeColor="text1"/>
        </w:rPr>
        <w:t xml:space="preserve"> corresponde a un sistema estandarizado desarrollado por las Naciones Unidas para clasificar las actividades económicas en distintos sectores. Como explica el DANE, su objetivo es facilitar la recopilación, análisis y comparación de datos estadísticos a nivel nacional e internacional:</w:t>
      </w:r>
    </w:p>
    <w:p w14:paraId="43677240" w14:textId="77777777" w:rsidR="00670EF8" w:rsidRPr="00FA4CEE" w:rsidRDefault="00670EF8" w:rsidP="00670EF8">
      <w:pPr>
        <w:spacing w:after="0" w:line="276" w:lineRule="auto"/>
        <w:ind w:firstLine="708"/>
        <w:jc w:val="both"/>
        <w:rPr>
          <w:rFonts w:ascii="Verdana" w:eastAsia="Calibri" w:hAnsi="Verdana" w:cs="Arial"/>
          <w:color w:val="000000" w:themeColor="text1"/>
        </w:rPr>
      </w:pPr>
    </w:p>
    <w:p w14:paraId="7296C8BB" w14:textId="77777777" w:rsidR="00670EF8" w:rsidRPr="00FA4CEE" w:rsidRDefault="00670EF8" w:rsidP="00670EF8">
      <w:pPr>
        <w:spacing w:after="0" w:line="240" w:lineRule="auto"/>
        <w:ind w:left="709" w:right="709"/>
        <w:jc w:val="both"/>
        <w:rPr>
          <w:rFonts w:ascii="Verdana" w:eastAsia="Calibri" w:hAnsi="Verdana" w:cs="Arial"/>
          <w:color w:val="000000" w:themeColor="text1"/>
          <w:sz w:val="20"/>
          <w:szCs w:val="20"/>
        </w:rPr>
      </w:pPr>
      <w:r w:rsidRPr="00FA4CEE">
        <w:rPr>
          <w:rFonts w:ascii="Verdana" w:eastAsia="Calibri" w:hAnsi="Verdana" w:cs="Arial"/>
          <w:color w:val="000000" w:themeColor="text1"/>
          <w:sz w:val="20"/>
          <w:szCs w:val="20"/>
        </w:rPr>
        <w:lastRenderedPageBreak/>
        <w:t>“La CIIU tiene por finalidad establecer una clasificación uniforme de las actividades económicas productivas. Su propósito principal es ofrecer un conjunto de categorías de actividades económicas que se pueda utilizar para la reunión y presentación de estadísticas de acuerdo con esas actividades. Por consiguiente, la CIIU se propone presentar ese conjunto de categorías de actividades de tal modo que las entidades puedan clasificarse según la actividad económica que realizan. Las categorías de la CIIU se han definido vinculándolas, en la medida de lo posible, con la forma en que el proceso económico está estructurado en diferentes tipos de unidades estadísticas y la manera como se describe ese proceso en las estadísticas económicas”</w:t>
      </w:r>
      <w:r w:rsidRPr="00FA4CEE">
        <w:rPr>
          <w:rFonts w:ascii="Verdana" w:eastAsia="Calibri" w:hAnsi="Verdana" w:cs="Arial"/>
          <w:color w:val="000000" w:themeColor="text1"/>
          <w:sz w:val="20"/>
          <w:szCs w:val="20"/>
          <w:vertAlign w:val="superscript"/>
        </w:rPr>
        <w:footnoteReference w:id="6"/>
      </w:r>
      <w:r w:rsidRPr="00FA4CEE">
        <w:rPr>
          <w:rFonts w:ascii="Verdana" w:eastAsia="Calibri" w:hAnsi="Verdana" w:cs="Arial"/>
          <w:color w:val="000000" w:themeColor="text1"/>
          <w:sz w:val="20"/>
          <w:szCs w:val="20"/>
        </w:rPr>
        <w:t xml:space="preserve">. </w:t>
      </w:r>
    </w:p>
    <w:p w14:paraId="1D9F92B7" w14:textId="77777777" w:rsidR="00670EF8" w:rsidRPr="00FA4CEE" w:rsidRDefault="00670EF8" w:rsidP="00670EF8">
      <w:pPr>
        <w:spacing w:after="0" w:line="276" w:lineRule="auto"/>
        <w:jc w:val="both"/>
        <w:rPr>
          <w:rFonts w:ascii="Verdana" w:eastAsia="Calibri" w:hAnsi="Verdana" w:cs="Arial"/>
          <w:color w:val="000000" w:themeColor="text1"/>
        </w:rPr>
      </w:pPr>
    </w:p>
    <w:p w14:paraId="0DCC35CC" w14:textId="77777777" w:rsidR="00670EF8" w:rsidRDefault="00670EF8" w:rsidP="00670EF8">
      <w:pPr>
        <w:pStyle w:val="Prrafodelista"/>
        <w:numPr>
          <w:ilvl w:val="0"/>
          <w:numId w:val="22"/>
        </w:numPr>
        <w:spacing w:after="120" w:line="276" w:lineRule="auto"/>
        <w:jc w:val="both"/>
        <w:rPr>
          <w:rFonts w:ascii="Verdana" w:eastAsia="Calibri" w:hAnsi="Verdana" w:cs="Arial"/>
          <w:color w:val="000000" w:themeColor="text1"/>
          <w:lang w:val="es-ES_tradnl"/>
        </w:rPr>
      </w:pPr>
      <w:r w:rsidRPr="00904ECD">
        <w:rPr>
          <w:rFonts w:ascii="Verdana" w:eastAsia="Calibri" w:hAnsi="Verdana" w:cs="Arial"/>
          <w:color w:val="000000" w:themeColor="text1"/>
        </w:rPr>
        <w:t xml:space="preserve">De esta manera, los códigos del </w:t>
      </w:r>
      <w:r w:rsidRPr="00904ECD">
        <w:rPr>
          <w:rFonts w:ascii="Verdana" w:eastAsia="Times New Roman" w:hAnsi="Verdana" w:cs="Arial"/>
          <w:color w:val="000000" w:themeColor="text1"/>
          <w:lang w:val="es-ES_tradnl" w:eastAsia="es-ES_tradnl"/>
        </w:rPr>
        <w:t>CIIU</w:t>
      </w:r>
      <w:r w:rsidRPr="00904ECD">
        <w:rPr>
          <w:rFonts w:ascii="Verdana" w:eastAsia="Calibri" w:hAnsi="Verdana" w:cs="Arial"/>
          <w:color w:val="000000" w:themeColor="text1"/>
        </w:rPr>
        <w:t xml:space="preserve"> tienen efectos declarativos, no constitutivos. Por ello, existe capacidad si el objeto del contrato está relacionado con el objeto social de la </w:t>
      </w:r>
      <w:r w:rsidRPr="00904ECD">
        <w:rPr>
          <w:rFonts w:ascii="Verdana" w:eastAsia="Calibri" w:hAnsi="Verdana" w:cs="Arial"/>
          <w:i/>
          <w:iCs/>
          <w:color w:val="000000" w:themeColor="text1"/>
        </w:rPr>
        <w:t>persona jurídica</w:t>
      </w:r>
      <w:r w:rsidRPr="00904ECD">
        <w:rPr>
          <w:rFonts w:ascii="Verdana" w:eastAsia="Calibri" w:hAnsi="Verdana" w:cs="Arial"/>
          <w:color w:val="000000" w:themeColor="text1"/>
        </w:rPr>
        <w:t xml:space="preserve">, y aquella se mantiene, aunque la actividad económica no se haya recogido en la clasificación. De la misma forma, si el código registrado es ajeno al objeto social, dicha situación no hace que la empresa adquiera la capacidad para ejecutar esa actividad en particular. Además, en sociedades con objeto indeterminado –como las sociedades por acciones simplificadas– los códigos del </w:t>
      </w:r>
      <w:r w:rsidRPr="00904ECD">
        <w:rPr>
          <w:rFonts w:ascii="Verdana" w:eastAsia="Times New Roman" w:hAnsi="Verdana" w:cs="Arial"/>
          <w:color w:val="000000" w:themeColor="text1"/>
          <w:lang w:val="es-ES_tradnl" w:eastAsia="es-ES_tradnl"/>
        </w:rPr>
        <w:t xml:space="preserve">CIIU no restringen la capacidad de la </w:t>
      </w:r>
      <w:r w:rsidRPr="00904ECD">
        <w:rPr>
          <w:rFonts w:ascii="Verdana" w:eastAsia="Times New Roman" w:hAnsi="Verdana" w:cs="Arial"/>
          <w:i/>
          <w:iCs/>
          <w:color w:val="000000" w:themeColor="text1"/>
          <w:lang w:val="es-ES_tradnl" w:eastAsia="es-ES_tradnl"/>
        </w:rPr>
        <w:t>persona jurídica</w:t>
      </w:r>
      <w:r w:rsidRPr="00904ECD">
        <w:rPr>
          <w:rFonts w:ascii="Verdana" w:eastAsia="Times New Roman" w:hAnsi="Verdana" w:cs="Arial"/>
          <w:color w:val="000000" w:themeColor="text1"/>
          <w:lang w:val="es-ES_tradnl" w:eastAsia="es-ES_tradnl"/>
        </w:rPr>
        <w:t>, ya que –en las condiciones del</w:t>
      </w:r>
      <w:r w:rsidRPr="00904ECD">
        <w:rPr>
          <w:rFonts w:ascii="Verdana" w:eastAsia="Calibri" w:hAnsi="Verdana" w:cs="Arial"/>
          <w:color w:val="000000" w:themeColor="text1"/>
          <w:lang w:val="es-ES_tradnl"/>
        </w:rPr>
        <w:t xml:space="preserve"> </w:t>
      </w:r>
      <w:r w:rsidRPr="00904ECD">
        <w:rPr>
          <w:rFonts w:ascii="Verdana" w:eastAsia="Calibri" w:hAnsi="Verdana" w:cs="Arial"/>
          <w:color w:val="000000" w:themeColor="text1"/>
        </w:rPr>
        <w:t xml:space="preserve">artículo 5.4 de la Ley 1258 de 2008– </w:t>
      </w:r>
      <w:r w:rsidRPr="00904ECD">
        <w:rPr>
          <w:rFonts w:ascii="Verdana" w:eastAsia="Times New Roman" w:hAnsi="Verdana" w:cs="Arial"/>
          <w:color w:val="000000" w:themeColor="text1"/>
          <w:lang w:val="es-ES_tradnl" w:eastAsia="es-ES_tradnl"/>
        </w:rPr>
        <w:t>pueden ejecutar cualquier actividad lícita.</w:t>
      </w:r>
      <w:r w:rsidRPr="00904ECD">
        <w:rPr>
          <w:rFonts w:ascii="Verdana" w:eastAsia="Calibri" w:hAnsi="Verdana" w:cs="Arial"/>
          <w:color w:val="000000" w:themeColor="text1"/>
          <w:lang w:val="es-ES_tradnl"/>
        </w:rPr>
        <w:t xml:space="preserve"> </w:t>
      </w:r>
    </w:p>
    <w:p w14:paraId="6E38993D" w14:textId="77777777" w:rsidR="00670EF8" w:rsidRPr="00904ECD" w:rsidRDefault="00670EF8" w:rsidP="00670EF8">
      <w:pPr>
        <w:pStyle w:val="Prrafodelista"/>
        <w:spacing w:after="120" w:line="276" w:lineRule="auto"/>
        <w:jc w:val="both"/>
        <w:rPr>
          <w:rFonts w:ascii="Verdana" w:eastAsia="Calibri" w:hAnsi="Verdana" w:cs="Arial"/>
          <w:color w:val="000000" w:themeColor="text1"/>
          <w:lang w:val="es-ES_tradnl"/>
        </w:rPr>
      </w:pPr>
    </w:p>
    <w:p w14:paraId="0C5BB9F7" w14:textId="77777777" w:rsidR="00670EF8" w:rsidRPr="00904ECD" w:rsidRDefault="00670EF8" w:rsidP="00670EF8">
      <w:pPr>
        <w:pStyle w:val="Prrafodelista"/>
        <w:numPr>
          <w:ilvl w:val="0"/>
          <w:numId w:val="22"/>
        </w:numPr>
        <w:spacing w:after="120" w:line="276" w:lineRule="auto"/>
        <w:jc w:val="both"/>
        <w:rPr>
          <w:rFonts w:ascii="Verdana" w:eastAsia="Times New Roman" w:hAnsi="Verdana" w:cs="Arial"/>
          <w:color w:val="000000" w:themeColor="text1"/>
          <w:lang w:val="es-ES_tradnl" w:eastAsia="es-ES_tradnl"/>
        </w:rPr>
      </w:pPr>
      <w:r w:rsidRPr="00904ECD">
        <w:rPr>
          <w:rFonts w:ascii="Verdana" w:eastAsia="Calibri" w:hAnsi="Verdana" w:cs="Arial"/>
          <w:color w:val="000000" w:themeColor="text1"/>
        </w:rPr>
        <w:t xml:space="preserve">Sin perjuicio de lo anterior, sumado a las implicaciones estadísticas de la </w:t>
      </w:r>
      <w:r w:rsidRPr="00904ECD">
        <w:rPr>
          <w:rFonts w:ascii="Verdana" w:eastAsia="Times New Roman" w:hAnsi="Verdana" w:cs="Arial"/>
          <w:color w:val="000000" w:themeColor="text1"/>
          <w:lang w:val="es-ES_tradnl" w:eastAsia="es-ES_tradnl"/>
        </w:rPr>
        <w:t>CIIU, los interesados deben registrar adecuadamente los códigos de sus actividades económicas en el RUES. Lo anterior teniendo en cuenta que son un parámetro para la DIAN en lo relativo al control y determinación de los impuestos y demás obligaciones tributarias, aduaneras y cambiarias.</w:t>
      </w:r>
    </w:p>
    <w:p w14:paraId="35F9F580" w14:textId="77777777" w:rsidR="00670EF8" w:rsidRDefault="00670EF8" w:rsidP="00670EF8">
      <w:pPr>
        <w:pStyle w:val="Prrafodelista"/>
        <w:spacing w:after="120" w:line="276" w:lineRule="auto"/>
        <w:jc w:val="both"/>
        <w:rPr>
          <w:rFonts w:ascii="Verdana" w:eastAsia="Calibri" w:hAnsi="Verdana" w:cs="Arial"/>
        </w:rPr>
      </w:pPr>
    </w:p>
    <w:p w14:paraId="514BEEE3" w14:textId="77777777" w:rsidR="00670EF8" w:rsidRPr="00904ECD" w:rsidRDefault="00670EF8" w:rsidP="00670EF8">
      <w:pPr>
        <w:pStyle w:val="Prrafodelista"/>
        <w:numPr>
          <w:ilvl w:val="0"/>
          <w:numId w:val="22"/>
        </w:numPr>
        <w:spacing w:after="120" w:line="276" w:lineRule="auto"/>
        <w:jc w:val="both"/>
        <w:rPr>
          <w:rFonts w:ascii="Verdana" w:eastAsia="Calibri" w:hAnsi="Verdana" w:cs="Arial"/>
        </w:rPr>
      </w:pPr>
      <w:r w:rsidRPr="00904ECD">
        <w:rPr>
          <w:rFonts w:ascii="Verdana" w:eastAsia="Calibri" w:hAnsi="Verdana" w:cs="Arial"/>
        </w:rPr>
        <w:t xml:space="preserve">Por último, debe advertirse que el análisis requerido para resolver problemas específicos en torno a la gestión contractual de las entidades debe ser realizado por quienes tengan interés en ello. De esta manera, las afirmaciones aquí realizadas no pueden ser interpretadas como juicios de valor sobre circunstancias concretas relacionadas con los hechos que </w:t>
      </w:r>
      <w:r w:rsidRPr="00904ECD">
        <w:rPr>
          <w:rFonts w:ascii="Verdana" w:eastAsia="Calibri" w:hAnsi="Verdana" w:cs="Arial"/>
        </w:rPr>
        <w:lastRenderedPageBreak/>
        <w:t xml:space="preserve">motivan la consulta. Por lo anterior, previo concepto de sus asesores, la solución de situaciones particulares corresponde a los interesados de adoptar la decisión y, en caso de conflicto, a las autoridades judiciales, fiscales y disciplinarias.  </w:t>
      </w:r>
    </w:p>
    <w:p w14:paraId="69186DED" w14:textId="77777777" w:rsidR="00670EF8" w:rsidRDefault="00670EF8" w:rsidP="00670EF8">
      <w:pPr>
        <w:pStyle w:val="Prrafodelista"/>
        <w:spacing w:after="120" w:line="276" w:lineRule="auto"/>
        <w:jc w:val="both"/>
        <w:rPr>
          <w:rFonts w:ascii="Verdana" w:eastAsia="Calibri" w:hAnsi="Verdana" w:cs="Arial"/>
        </w:rPr>
      </w:pPr>
    </w:p>
    <w:p w14:paraId="693E19C7" w14:textId="77777777" w:rsidR="00670EF8" w:rsidRPr="00904ECD" w:rsidRDefault="00670EF8" w:rsidP="00670EF8">
      <w:pPr>
        <w:pStyle w:val="Prrafodelista"/>
        <w:numPr>
          <w:ilvl w:val="0"/>
          <w:numId w:val="22"/>
        </w:numPr>
        <w:spacing w:after="120" w:line="276" w:lineRule="auto"/>
        <w:jc w:val="both"/>
        <w:rPr>
          <w:rFonts w:ascii="Verdana" w:eastAsia="Calibri" w:hAnsi="Verdana" w:cs="Arial"/>
        </w:rPr>
      </w:pPr>
      <w:r w:rsidRPr="00904ECD">
        <w:rPr>
          <w:rFonts w:ascii="Verdana" w:eastAsia="Calibri" w:hAnsi="Verdana" w:cs="Arial"/>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904ECD">
        <w:rPr>
          <w:rFonts w:ascii="Verdana" w:eastAsia="Calibri" w:hAnsi="Verdana" w:cs="Arial"/>
          <w:bCs/>
          <w:color w:val="000000"/>
        </w:rPr>
        <w:t xml:space="preserve">. </w:t>
      </w:r>
    </w:p>
    <w:p w14:paraId="0E6FCABA" w14:textId="77777777" w:rsidR="00670EF8" w:rsidRDefault="00670EF8" w:rsidP="00670EF8">
      <w:pPr>
        <w:pStyle w:val="Textoindependiente"/>
        <w:spacing w:before="1" w:line="276" w:lineRule="auto"/>
        <w:ind w:left="284" w:right="49" w:firstLine="424"/>
        <w:jc w:val="both"/>
        <w:rPr>
          <w:rFonts w:ascii="Verdana" w:eastAsia="Calibri" w:hAnsi="Verdana"/>
          <w:lang w:val="es-CO"/>
        </w:rPr>
      </w:pPr>
    </w:p>
    <w:p w14:paraId="71C0F678" w14:textId="77777777" w:rsidR="00670EF8" w:rsidRPr="00CC2A30" w:rsidRDefault="00670EF8" w:rsidP="00670EF8">
      <w:pPr>
        <w:numPr>
          <w:ilvl w:val="0"/>
          <w:numId w:val="17"/>
        </w:numPr>
        <w:tabs>
          <w:tab w:val="left" w:pos="142"/>
          <w:tab w:val="left" w:pos="284"/>
        </w:tabs>
        <w:spacing w:after="0" w:line="276" w:lineRule="auto"/>
        <w:ind w:left="0" w:firstLine="0"/>
        <w:jc w:val="both"/>
        <w:rPr>
          <w:rFonts w:ascii="Verdana" w:eastAsia="Century Gothic" w:hAnsi="Verdana" w:cs="Century Gothic"/>
          <w:b/>
          <w:bCs/>
          <w:lang w:val="es-ES"/>
        </w:rPr>
      </w:pPr>
      <w:r w:rsidRPr="00CC2A30">
        <w:rPr>
          <w:rFonts w:ascii="Verdana" w:eastAsia="Century Gothic" w:hAnsi="Verdana" w:cs="Century Gothic"/>
          <w:b/>
          <w:bCs/>
          <w:lang w:val="es-ES"/>
        </w:rPr>
        <w:t>Referencias normativas, jurisprudenciales y otras fuentes:</w:t>
      </w:r>
    </w:p>
    <w:p w14:paraId="12BC3C94" w14:textId="77777777" w:rsidR="00670EF8" w:rsidRDefault="00670EF8" w:rsidP="00670EF8">
      <w:pPr>
        <w:pStyle w:val="Prrafodelista"/>
        <w:widowControl w:val="0"/>
        <w:autoSpaceDE w:val="0"/>
        <w:autoSpaceDN w:val="0"/>
        <w:spacing w:after="120" w:line="276" w:lineRule="auto"/>
        <w:contextualSpacing w:val="0"/>
        <w:jc w:val="both"/>
        <w:rPr>
          <w:rFonts w:ascii="Verdana" w:hAnsi="Verdana" w:cs="Arial"/>
        </w:rPr>
      </w:pPr>
    </w:p>
    <w:p w14:paraId="5A6CAB4B" w14:textId="77777777" w:rsidR="00670EF8" w:rsidRPr="00E15CF6" w:rsidRDefault="00670EF8" w:rsidP="00670EF8">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E15CF6">
        <w:rPr>
          <w:rFonts w:ascii="Verdana" w:hAnsi="Verdana" w:cs="Arial"/>
        </w:rPr>
        <w:t xml:space="preserve">Ley 80 de 1993, artículo 24, artículo 25, artículo 30. Disponible en: </w:t>
      </w:r>
      <w:hyperlink r:id="rId11" w:history="1">
        <w:r w:rsidRPr="00E15CF6">
          <w:rPr>
            <w:rStyle w:val="Hipervnculo"/>
            <w:rFonts w:ascii="Verdana" w:hAnsi="Verdana" w:cs="Arial"/>
          </w:rPr>
          <w:t>https://relatoria.colombiacompra.gov.co/normativa/ley-80-de-1993/</w:t>
        </w:r>
      </w:hyperlink>
    </w:p>
    <w:p w14:paraId="15F43890" w14:textId="77777777" w:rsidR="00670EF8" w:rsidRPr="00E15CF6" w:rsidRDefault="00670EF8" w:rsidP="00670EF8">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E15CF6">
        <w:rPr>
          <w:rFonts w:ascii="Verdana" w:hAnsi="Verdana" w:cs="Arial"/>
        </w:rPr>
        <w:t xml:space="preserve">Ley 1150 de 2007, artículo 5. Disponible en: </w:t>
      </w:r>
      <w:hyperlink r:id="rId12" w:history="1">
        <w:r w:rsidRPr="00E15CF6">
          <w:rPr>
            <w:rStyle w:val="Hipervnculo"/>
            <w:rFonts w:ascii="Verdana" w:hAnsi="Verdana" w:cs="Arial"/>
          </w:rPr>
          <w:t>https://relatoria.colombiacompra.gov.co/normativa/ley-1150-de-2007/</w:t>
        </w:r>
      </w:hyperlink>
    </w:p>
    <w:p w14:paraId="552A9765" w14:textId="77777777" w:rsidR="00670EF8" w:rsidRPr="00E15CF6" w:rsidRDefault="00670EF8" w:rsidP="00670EF8">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E15CF6">
        <w:rPr>
          <w:rFonts w:ascii="Verdana" w:hAnsi="Verdana" w:cs="Arial"/>
        </w:rPr>
        <w:t xml:space="preserve">Ley 1882 de 2018, artículo 1, artículo 5. Disponible en: </w:t>
      </w:r>
      <w:hyperlink r:id="rId13" w:history="1">
        <w:r w:rsidRPr="00E15CF6">
          <w:rPr>
            <w:rStyle w:val="Hipervnculo"/>
            <w:rFonts w:ascii="Verdana" w:hAnsi="Verdana" w:cs="Arial"/>
          </w:rPr>
          <w:t>https://relatoria.colombiacompra.gov.co/normativa/ley-1882-de-2018/</w:t>
        </w:r>
      </w:hyperlink>
    </w:p>
    <w:p w14:paraId="5DFEE88A" w14:textId="77777777" w:rsidR="00670EF8" w:rsidRPr="005078CC" w:rsidRDefault="00670EF8" w:rsidP="00670EF8">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E15CF6">
        <w:rPr>
          <w:rFonts w:ascii="Verdana" w:hAnsi="Verdana" w:cs="Arial"/>
        </w:rPr>
        <w:t xml:space="preserve">Decreto 1082 de 2015, artículo </w:t>
      </w:r>
      <w:r w:rsidRPr="00E15CF6">
        <w:rPr>
          <w:rFonts w:ascii="Verdana" w:hAnsi="Verdana"/>
        </w:rPr>
        <w:t xml:space="preserve">2.2.1.1.2.1.1, artículo </w:t>
      </w:r>
      <w:r w:rsidRPr="00E15CF6">
        <w:rPr>
          <w:rFonts w:ascii="Verdana" w:hAnsi="Verdana" w:cs="Arial"/>
          <w:color w:val="000000" w:themeColor="text1"/>
        </w:rPr>
        <w:t xml:space="preserve">2.2.1.1.2.1.3 </w:t>
      </w:r>
      <w:r w:rsidRPr="00E15CF6">
        <w:rPr>
          <w:rFonts w:ascii="Verdana" w:eastAsia="Calibri" w:hAnsi="Verdana" w:cs="Arial"/>
          <w:lang w:val="es-CO"/>
        </w:rPr>
        <w:t>artículo 2.2.1.2.1.1.2</w:t>
      </w:r>
      <w:r w:rsidRPr="00E15CF6">
        <w:rPr>
          <w:rFonts w:ascii="Verdana" w:hAnsi="Verdana" w:cs="Arial"/>
          <w:color w:val="000000" w:themeColor="text1"/>
        </w:rPr>
        <w:t xml:space="preserve">. </w:t>
      </w:r>
      <w:r w:rsidRPr="00E15CF6">
        <w:rPr>
          <w:rFonts w:ascii="Verdana" w:hAnsi="Verdana"/>
        </w:rPr>
        <w:t xml:space="preserve"> </w:t>
      </w:r>
      <w:r w:rsidRPr="00E15CF6">
        <w:rPr>
          <w:rFonts w:ascii="Verdana" w:hAnsi="Verdana" w:cs="Arial"/>
        </w:rPr>
        <w:t>Disponible en:</w:t>
      </w:r>
      <w:r w:rsidRPr="00E15CF6">
        <w:rPr>
          <w:rFonts w:ascii="Verdana" w:hAnsi="Verdana" w:cs="Arial"/>
        </w:rPr>
        <w:tab/>
        <w:t xml:space="preserve"> </w:t>
      </w:r>
      <w:hyperlink r:id="rId14" w:history="1">
        <w:r w:rsidRPr="00A9265C">
          <w:rPr>
            <w:rStyle w:val="Hipervnculo"/>
            <w:rFonts w:ascii="Verdana" w:hAnsi="Verdana" w:cs="Arial"/>
          </w:rPr>
          <w:t>https://relatoria.colombiacompra.gov.co/normativa/decreto-1082-de-2015/</w:t>
        </w:r>
      </w:hyperlink>
    </w:p>
    <w:p w14:paraId="172BD0B9" w14:textId="77777777" w:rsidR="00670EF8" w:rsidRPr="00E15CF6" w:rsidRDefault="00670EF8" w:rsidP="00670EF8">
      <w:pPr>
        <w:pStyle w:val="Prrafodelista"/>
        <w:widowControl w:val="0"/>
        <w:autoSpaceDE w:val="0"/>
        <w:autoSpaceDN w:val="0"/>
        <w:spacing w:after="120" w:line="276" w:lineRule="auto"/>
        <w:contextualSpacing w:val="0"/>
        <w:jc w:val="both"/>
        <w:rPr>
          <w:rFonts w:ascii="Verdana" w:hAnsi="Verdana" w:cs="Arial"/>
        </w:rPr>
      </w:pPr>
    </w:p>
    <w:p w14:paraId="06F313D7" w14:textId="77777777" w:rsidR="00670EF8" w:rsidRPr="00CC2A30" w:rsidRDefault="00670EF8" w:rsidP="00670E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Doctrina de la Agencia Nacional de Contratación Pública:</w:t>
      </w:r>
    </w:p>
    <w:p w14:paraId="364CCF49" w14:textId="77777777" w:rsidR="00670EF8" w:rsidRPr="00CC2A30" w:rsidRDefault="00670EF8" w:rsidP="00670EF8">
      <w:pPr>
        <w:widowControl w:val="0"/>
        <w:autoSpaceDE w:val="0"/>
        <w:autoSpaceDN w:val="0"/>
        <w:spacing w:after="0" w:line="276" w:lineRule="auto"/>
        <w:jc w:val="both"/>
        <w:rPr>
          <w:rFonts w:ascii="Verdana" w:eastAsia="Calibri" w:hAnsi="Verdana" w:cs="Arial"/>
          <w:lang w:val="es-ES" w:eastAsia="es-ES"/>
        </w:rPr>
      </w:pPr>
    </w:p>
    <w:p w14:paraId="3BB8F57E" w14:textId="77777777" w:rsidR="00670EF8" w:rsidRDefault="00670EF8" w:rsidP="00670EF8">
      <w:pPr>
        <w:widowControl w:val="0"/>
        <w:autoSpaceDE w:val="0"/>
        <w:autoSpaceDN w:val="0"/>
        <w:spacing w:after="0" w:line="276" w:lineRule="auto"/>
        <w:jc w:val="both"/>
        <w:rPr>
          <w:rFonts w:ascii="Verdana" w:eastAsia="Calibri" w:hAnsi="Verdana" w:cs="Arial"/>
          <w:color w:val="000000" w:themeColor="text1"/>
          <w:lang w:val="es-ES"/>
        </w:rPr>
      </w:pPr>
      <w:r>
        <w:rPr>
          <w:rFonts w:ascii="Verdana" w:eastAsia="Calibri" w:hAnsi="Verdana" w:cs="Arial"/>
        </w:rPr>
        <w:t>La</w:t>
      </w:r>
      <w:r w:rsidRPr="0007375E">
        <w:rPr>
          <w:rFonts w:ascii="Verdana" w:eastAsia="Calibri" w:hAnsi="Verdana" w:cs="Arial"/>
        </w:rPr>
        <w:t xml:space="preserve"> Agencia Nacional de Contratación Pública − Colombia Compra Eficiente se ha pronunciado </w:t>
      </w:r>
      <w:r>
        <w:rPr>
          <w:rStyle w:val="normaltextrun"/>
          <w:rFonts w:ascii="Verdana" w:hAnsi="Verdana" w:cs="Arial"/>
          <w:shd w:val="clear" w:color="auto" w:fill="FFFFFF"/>
          <w:lang w:val="es-ES"/>
        </w:rPr>
        <w:t>s</w:t>
      </w:r>
      <w:r w:rsidRPr="00CC2A30">
        <w:rPr>
          <w:rStyle w:val="normaltextrun"/>
          <w:rFonts w:ascii="Verdana" w:hAnsi="Verdana" w:cs="Arial"/>
          <w:shd w:val="clear" w:color="auto" w:fill="FFFFFF"/>
          <w:lang w:val="es-ES"/>
        </w:rPr>
        <w:t xml:space="preserve">obre </w:t>
      </w:r>
      <w:r w:rsidRPr="00CC2A30">
        <w:rPr>
          <w:rFonts w:ascii="Verdana" w:eastAsia="Calibri" w:hAnsi="Verdana" w:cs="Arial"/>
          <w:color w:val="000000" w:themeColor="text1"/>
          <w:lang w:val="es-ES"/>
        </w:rPr>
        <w:t>el</w:t>
      </w:r>
      <w:r>
        <w:rPr>
          <w:rFonts w:ascii="Verdana" w:eastAsia="Calibri" w:hAnsi="Verdana" w:cs="Arial"/>
          <w:color w:val="000000" w:themeColor="text1"/>
          <w:lang w:val="es-ES"/>
        </w:rPr>
        <w:t xml:space="preserve"> </w:t>
      </w:r>
      <w:r w:rsidRPr="00E3764A">
        <w:rPr>
          <w:rFonts w:ascii="Verdana" w:eastAsia="Calibri" w:hAnsi="Verdana" w:cs="Arial"/>
          <w:color w:val="000000" w:themeColor="text1"/>
          <w:lang w:val="es-ES"/>
        </w:rPr>
        <w:t>principio de transparencia en la contratación pública</w:t>
      </w:r>
      <w:r>
        <w:rPr>
          <w:rFonts w:ascii="Verdana" w:eastAsia="Calibri" w:hAnsi="Verdana" w:cs="Arial"/>
          <w:color w:val="000000" w:themeColor="text1"/>
          <w:lang w:val="es-ES"/>
        </w:rPr>
        <w:t xml:space="preserve"> </w:t>
      </w:r>
      <w:r w:rsidRPr="00E3764A">
        <w:rPr>
          <w:rFonts w:ascii="Verdana" w:eastAsia="Calibri" w:hAnsi="Verdana" w:cs="Arial"/>
          <w:color w:val="000000" w:themeColor="text1"/>
          <w:lang w:val="es-ES"/>
        </w:rPr>
        <w:t xml:space="preserve">en los conceptos C-124 del 5 de marzo de 2020, C-171 del 7 de abril de 2020, C-419 </w:t>
      </w:r>
      <w:r w:rsidRPr="00E3764A">
        <w:rPr>
          <w:rFonts w:ascii="Verdana" w:eastAsia="Calibri" w:hAnsi="Verdana" w:cs="Arial"/>
          <w:color w:val="000000" w:themeColor="text1"/>
          <w:lang w:val="es-ES"/>
        </w:rPr>
        <w:lastRenderedPageBreak/>
        <w:t>del 12 de agosto de 2021, C-746 del 11 de noviembre de 2022, C-366 del 8 de septiembre de 2023</w:t>
      </w:r>
      <w:r>
        <w:rPr>
          <w:rFonts w:ascii="Verdana" w:eastAsia="Calibri" w:hAnsi="Verdana" w:cs="Arial"/>
          <w:color w:val="000000" w:themeColor="text1"/>
          <w:lang w:val="es-ES"/>
        </w:rPr>
        <w:t xml:space="preserve"> y C-017 del 26 de febrero de 2024,</w:t>
      </w:r>
      <w:r w:rsidRPr="00E3764A">
        <w:rPr>
          <w:rFonts w:ascii="Verdana" w:eastAsia="Calibri" w:hAnsi="Verdana" w:cs="Arial"/>
          <w:color w:val="000000" w:themeColor="text1"/>
          <w:lang w:val="es-ES"/>
        </w:rPr>
        <w:t xml:space="preserve"> entre otros</w:t>
      </w:r>
      <w:r>
        <w:rPr>
          <w:rFonts w:ascii="Verdana" w:eastAsia="Calibri" w:hAnsi="Verdana" w:cs="Arial"/>
          <w:color w:val="000000" w:themeColor="text1"/>
          <w:lang w:val="es-ES"/>
        </w:rPr>
        <w:t xml:space="preserve">. </w:t>
      </w:r>
    </w:p>
    <w:p w14:paraId="41AEB1AC" w14:textId="77777777" w:rsidR="00670EF8" w:rsidRDefault="00670EF8" w:rsidP="00670EF8">
      <w:pPr>
        <w:widowControl w:val="0"/>
        <w:autoSpaceDE w:val="0"/>
        <w:autoSpaceDN w:val="0"/>
        <w:spacing w:after="0" w:line="276" w:lineRule="auto"/>
        <w:jc w:val="both"/>
        <w:rPr>
          <w:rFonts w:ascii="Verdana" w:eastAsia="Calibri" w:hAnsi="Verdana" w:cs="Arial"/>
        </w:rPr>
      </w:pPr>
    </w:p>
    <w:p w14:paraId="65E2F796" w14:textId="77777777" w:rsidR="00670EF8" w:rsidRDefault="00670EF8" w:rsidP="00670EF8">
      <w:pPr>
        <w:widowControl w:val="0"/>
        <w:autoSpaceDE w:val="0"/>
        <w:autoSpaceDN w:val="0"/>
        <w:spacing w:after="0" w:line="276" w:lineRule="auto"/>
        <w:jc w:val="both"/>
        <w:rPr>
          <w:rFonts w:ascii="Verdana" w:eastAsia="Calibri" w:hAnsi="Verdana" w:cs="Arial"/>
        </w:rPr>
      </w:pPr>
      <w:r>
        <w:rPr>
          <w:rFonts w:ascii="Verdana" w:eastAsia="Calibri" w:hAnsi="Verdana" w:cs="Arial"/>
        </w:rPr>
        <w:t>Finalmente respecto a la r</w:t>
      </w:r>
      <w:proofErr w:type="spellStart"/>
      <w:r w:rsidRPr="00D16A5E">
        <w:rPr>
          <w:rFonts w:ascii="Verdana" w:eastAsia="Calibri" w:hAnsi="Verdana" w:cs="Arial"/>
          <w:lang w:val="es-ES"/>
        </w:rPr>
        <w:t>egla</w:t>
      </w:r>
      <w:proofErr w:type="spellEnd"/>
      <w:r w:rsidRPr="00D16A5E">
        <w:rPr>
          <w:rFonts w:ascii="Verdana" w:eastAsia="Calibri" w:hAnsi="Verdana" w:cs="Arial"/>
          <w:lang w:val="es-ES"/>
        </w:rPr>
        <w:t xml:space="preserve"> de </w:t>
      </w:r>
      <w:proofErr w:type="spellStart"/>
      <w:r w:rsidRPr="00D16A5E">
        <w:rPr>
          <w:rFonts w:ascii="Verdana" w:eastAsia="Calibri" w:hAnsi="Verdana" w:cs="Arial"/>
          <w:lang w:val="es-ES"/>
        </w:rPr>
        <w:t>subsanabilidad</w:t>
      </w:r>
      <w:proofErr w:type="spellEnd"/>
      <w:r w:rsidRPr="00D16A5E">
        <w:rPr>
          <w:rFonts w:ascii="Verdana" w:eastAsia="Calibri" w:hAnsi="Verdana" w:cs="Arial"/>
          <w:lang w:val="es-ES"/>
        </w:rPr>
        <w:t xml:space="preserve"> en los procesos de selección,</w:t>
      </w:r>
      <w:r w:rsidRPr="00D16A5E">
        <w:rPr>
          <w:rStyle w:val="superscript"/>
          <w:rFonts w:ascii="Verdana" w:hAnsi="Verdana" w:cs="Arial"/>
          <w:shd w:val="clear" w:color="auto" w:fill="FFFFFF"/>
          <w:lang w:val="es-ES"/>
        </w:rPr>
        <w:t xml:space="preserve"> </w:t>
      </w:r>
      <w:r w:rsidRPr="00D16A5E">
        <w:rPr>
          <w:rStyle w:val="normaltextrun"/>
          <w:rFonts w:ascii="Verdana" w:hAnsi="Verdana" w:cs="Arial"/>
          <w:shd w:val="clear" w:color="auto" w:fill="FFFFFF"/>
          <w:lang w:val="es-ES"/>
        </w:rPr>
        <w:t>se pronunció esta Subdirección</w:t>
      </w:r>
      <w:r>
        <w:rPr>
          <w:rStyle w:val="normaltextrun"/>
          <w:rFonts w:ascii="Verdana" w:hAnsi="Verdana" w:cs="Arial"/>
          <w:shd w:val="clear" w:color="auto" w:fill="FFFFFF"/>
          <w:lang w:val="es-ES"/>
        </w:rPr>
        <w:t xml:space="preserve"> </w:t>
      </w:r>
      <w:r w:rsidRPr="00D16A5E">
        <w:rPr>
          <w:rFonts w:ascii="Verdana" w:eastAsia="Calibri" w:hAnsi="Verdana" w:cs="Arial"/>
          <w:lang w:val="es-ES"/>
        </w:rPr>
        <w:t>en los conceptos 4201913000007643 del 26 de diciembre de 2019, C-343 del 17 de junio de 2020, C-518 del 9 de septiembre de 2020, C-614 del 5 de octubre de 2022, C-882 del 21 de diciembre de 2022</w:t>
      </w:r>
      <w:r>
        <w:rPr>
          <w:rFonts w:ascii="Verdana" w:eastAsia="Calibri" w:hAnsi="Verdana" w:cs="Arial"/>
          <w:lang w:val="es-ES"/>
        </w:rPr>
        <w:t>,</w:t>
      </w:r>
      <w:r w:rsidRPr="00D16A5E">
        <w:rPr>
          <w:rFonts w:ascii="Verdana" w:eastAsia="Calibri" w:hAnsi="Verdana" w:cs="Arial"/>
          <w:lang w:val="es-ES"/>
        </w:rPr>
        <w:t xml:space="preserve"> C-172 del 6 de junio de 2023</w:t>
      </w:r>
      <w:r>
        <w:rPr>
          <w:rFonts w:ascii="Verdana" w:eastAsia="Calibri" w:hAnsi="Verdana" w:cs="Arial"/>
          <w:lang w:val="es-ES"/>
        </w:rPr>
        <w:t xml:space="preserve">,C-696 del 20 de noviembre de 2024, C-720 del 25 de noviembre de 2024 y C-748 del 29 de noviembre de 2024 y </w:t>
      </w:r>
      <w:r w:rsidRPr="00FA4CEE">
        <w:rPr>
          <w:rFonts w:ascii="Verdana" w:eastAsia="Calibri" w:hAnsi="Verdana" w:cs="Arial"/>
          <w:lang w:val="es-ES_tradnl"/>
        </w:rPr>
        <w:t>conceptos sobre requisitos habilitantes y los códigos CIIU, tales como: C-296 del 26 de marzo de 2025, C- 187 del 25 de marzo de 2025, C-662 del 29 de enero de 2025, C- 337 del 18 de agosto de 2023, C-397 del 7 de mayo de 2025, C-926 del 18 de agosto de 2025</w:t>
      </w:r>
      <w:r>
        <w:rPr>
          <w:rFonts w:ascii="Verdana" w:eastAsia="Calibri" w:hAnsi="Verdana" w:cs="Arial"/>
          <w:lang w:val="es-ES_tradnl"/>
        </w:rPr>
        <w:t>, C-1014 del 1 de septiembre de 2025,</w:t>
      </w:r>
      <w:r w:rsidRPr="00FA4CEE">
        <w:rPr>
          <w:rFonts w:ascii="Verdana" w:eastAsia="Calibri" w:hAnsi="Verdana" w:cs="Arial"/>
          <w:lang w:val="es-ES_tradnl"/>
        </w:rPr>
        <w:t xml:space="preserve"> entre otros</w:t>
      </w:r>
      <w:r w:rsidRPr="00FA4CEE">
        <w:rPr>
          <w:rFonts w:ascii="Verdana" w:eastAsia="Calibri" w:hAnsi="Verdana" w:cs="Arial"/>
          <w:lang w:val="es-ES" w:eastAsia="es-ES_tradnl"/>
        </w:rPr>
        <w:t xml:space="preserve">. </w:t>
      </w:r>
      <w:r>
        <w:rPr>
          <w:rFonts w:ascii="Verdana" w:eastAsia="Calibri" w:hAnsi="Verdana" w:cs="Arial"/>
          <w:lang w:val="es-ES"/>
        </w:rPr>
        <w:t xml:space="preserve"> </w:t>
      </w:r>
    </w:p>
    <w:p w14:paraId="4F41291B" w14:textId="77777777" w:rsidR="00670EF8" w:rsidRPr="00CC2A30" w:rsidRDefault="00670EF8" w:rsidP="00670EF8">
      <w:pPr>
        <w:widowControl w:val="0"/>
        <w:autoSpaceDE w:val="0"/>
        <w:autoSpaceDN w:val="0"/>
        <w:spacing w:after="0" w:line="276" w:lineRule="auto"/>
        <w:jc w:val="both"/>
        <w:rPr>
          <w:rFonts w:ascii="Verdana" w:eastAsia="Calibri" w:hAnsi="Verdana" w:cs="Arial"/>
          <w:color w:val="000000" w:themeColor="text1"/>
          <w:lang w:val="es-ES"/>
        </w:rPr>
      </w:pPr>
    </w:p>
    <w:p w14:paraId="11D2D511" w14:textId="77777777" w:rsidR="00670EF8" w:rsidRPr="00CC2A30" w:rsidRDefault="00670EF8" w:rsidP="00670EF8">
      <w:pPr>
        <w:widowControl w:val="0"/>
        <w:autoSpaceDE w:val="0"/>
        <w:autoSpaceDN w:val="0"/>
        <w:spacing w:after="0" w:line="276" w:lineRule="auto"/>
        <w:jc w:val="both"/>
        <w:rPr>
          <w:rFonts w:ascii="Verdana" w:hAnsi="Verdana"/>
        </w:rPr>
      </w:pPr>
      <w:r w:rsidRPr="00CC2A30">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CC2A30">
        <w:rPr>
          <w:rFonts w:ascii="Verdana" w:hAnsi="Verdana"/>
        </w:rPr>
        <w:t>, accede a través del siguiente enlace:</w:t>
      </w:r>
    </w:p>
    <w:p w14:paraId="6044A200" w14:textId="77777777" w:rsidR="00670EF8" w:rsidRPr="00CC2A30" w:rsidRDefault="00670EF8" w:rsidP="00670EF8">
      <w:pPr>
        <w:widowControl w:val="0"/>
        <w:autoSpaceDE w:val="0"/>
        <w:autoSpaceDN w:val="0"/>
        <w:spacing w:after="0" w:line="276" w:lineRule="auto"/>
        <w:jc w:val="both"/>
        <w:rPr>
          <w:rFonts w:ascii="Verdana" w:hAnsi="Verdana"/>
        </w:rPr>
      </w:pPr>
    </w:p>
    <w:p w14:paraId="4407B603" w14:textId="77777777" w:rsidR="00670EF8" w:rsidRPr="00CC2A30" w:rsidRDefault="00670EF8" w:rsidP="00670EF8">
      <w:pPr>
        <w:widowControl w:val="0"/>
        <w:autoSpaceDE w:val="0"/>
        <w:autoSpaceDN w:val="0"/>
        <w:spacing w:after="0" w:line="276" w:lineRule="auto"/>
        <w:jc w:val="both"/>
        <w:rPr>
          <w:rStyle w:val="normaltextrun"/>
          <w:rFonts w:ascii="Verdana" w:hAnsi="Verdana"/>
        </w:rPr>
      </w:pPr>
      <w:hyperlink r:id="rId15" w:history="1">
        <w:r w:rsidRPr="00CC2A30">
          <w:rPr>
            <w:rStyle w:val="Hipervnculo"/>
            <w:rFonts w:ascii="Verdana" w:hAnsi="Verdana" w:cs="Arial"/>
            <w:shd w:val="clear" w:color="auto" w:fill="FFFFFF"/>
            <w:lang w:val="es-ES"/>
          </w:rPr>
          <w:t>https://relatoria.colombiacompra.gov.co/busqueda/conceptos</w:t>
        </w:r>
      </w:hyperlink>
      <w:r w:rsidRPr="00CC2A30">
        <w:rPr>
          <w:rStyle w:val="normaltextrun"/>
          <w:rFonts w:ascii="Verdana" w:hAnsi="Verdana" w:cs="Arial"/>
          <w:shd w:val="clear" w:color="auto" w:fill="FFFFFF"/>
        </w:rPr>
        <w:t xml:space="preserve">. </w:t>
      </w:r>
    </w:p>
    <w:p w14:paraId="76DE6D06" w14:textId="77777777" w:rsidR="00670EF8" w:rsidRPr="00CC2A30" w:rsidRDefault="00670EF8" w:rsidP="00670EF8">
      <w:pPr>
        <w:spacing w:after="0" w:line="240" w:lineRule="auto"/>
        <w:jc w:val="both"/>
        <w:rPr>
          <w:rFonts w:ascii="Verdana" w:eastAsia="Calibri" w:hAnsi="Verdana"/>
        </w:rPr>
      </w:pPr>
    </w:p>
    <w:p w14:paraId="4E097A83" w14:textId="77777777" w:rsidR="00670EF8" w:rsidRPr="00CC2A30" w:rsidRDefault="00670EF8" w:rsidP="00670EF8">
      <w:pPr>
        <w:spacing w:after="0" w:line="254" w:lineRule="auto"/>
        <w:rPr>
          <w:rFonts w:ascii="Verdana" w:eastAsia="Calibri" w:hAnsi="Verdana" w:cs="Times New Roman"/>
        </w:rPr>
      </w:pPr>
      <w:r w:rsidRPr="00CC2A30">
        <w:rPr>
          <w:rFonts w:ascii="Verdana" w:eastAsia="Calibri" w:hAnsi="Verdana" w:cs="Times New Roman"/>
        </w:rPr>
        <w:t xml:space="preserve">Por último, lo invitamos a seguirnos en las redes sociales en las cuales se difunde información institucional: </w:t>
      </w:r>
    </w:p>
    <w:p w14:paraId="5CADCCD4" w14:textId="77777777" w:rsidR="00670EF8" w:rsidRPr="00CC2A30" w:rsidRDefault="00670EF8" w:rsidP="00670EF8">
      <w:pPr>
        <w:spacing w:after="0" w:line="254" w:lineRule="auto"/>
        <w:rPr>
          <w:rFonts w:ascii="Verdana" w:eastAsia="Calibri" w:hAnsi="Verdana" w:cs="Times New Roman"/>
        </w:rPr>
      </w:pPr>
    </w:p>
    <w:p w14:paraId="1297C7AC" w14:textId="77777777" w:rsidR="00670EF8" w:rsidRPr="00CC2A30" w:rsidRDefault="00670EF8" w:rsidP="00670EF8">
      <w:pPr>
        <w:spacing w:after="0" w:line="254" w:lineRule="auto"/>
        <w:rPr>
          <w:rFonts w:ascii="Verdana" w:eastAsia="Calibri" w:hAnsi="Verdana" w:cs="Times New Roman"/>
        </w:rPr>
      </w:pPr>
      <w:r w:rsidRPr="00CC2A30">
        <w:rPr>
          <w:rFonts w:ascii="Verdana" w:eastAsia="Calibri" w:hAnsi="Verdana" w:cs="Times New Roman"/>
        </w:rPr>
        <w:t xml:space="preserve">Twitter: </w:t>
      </w:r>
      <w:r w:rsidRPr="00CC2A30">
        <w:rPr>
          <w:rFonts w:ascii="Verdana" w:eastAsia="Calibri" w:hAnsi="Verdana" w:cs="Times New Roman"/>
          <w:u w:val="single"/>
        </w:rPr>
        <w:t>@colombiacompra</w:t>
      </w:r>
      <w:r w:rsidRPr="00CC2A30">
        <w:rPr>
          <w:rFonts w:ascii="Verdana" w:eastAsia="Calibri" w:hAnsi="Verdana" w:cs="Times New Roman"/>
        </w:rPr>
        <w:t xml:space="preserve"> </w:t>
      </w:r>
    </w:p>
    <w:p w14:paraId="63D3BF1D" w14:textId="77777777" w:rsidR="00670EF8" w:rsidRPr="00CC2A30" w:rsidRDefault="00670EF8" w:rsidP="00670EF8">
      <w:pPr>
        <w:spacing w:after="0" w:line="254" w:lineRule="auto"/>
        <w:rPr>
          <w:rFonts w:ascii="Verdana" w:eastAsia="Calibri" w:hAnsi="Verdana" w:cs="Times New Roman"/>
        </w:rPr>
      </w:pPr>
      <w:r w:rsidRPr="00CC2A30">
        <w:rPr>
          <w:rFonts w:ascii="Verdana" w:eastAsia="Calibri" w:hAnsi="Verdana" w:cs="Times New Roman"/>
        </w:rPr>
        <w:t xml:space="preserve">Facebook: </w:t>
      </w:r>
      <w:proofErr w:type="spellStart"/>
      <w:r w:rsidRPr="00CC2A30">
        <w:rPr>
          <w:rFonts w:ascii="Verdana" w:eastAsia="Calibri" w:hAnsi="Verdana" w:cs="Times New Roman"/>
          <w:u w:val="single"/>
        </w:rPr>
        <w:t>ColombiaCompraEficiente</w:t>
      </w:r>
      <w:proofErr w:type="spellEnd"/>
    </w:p>
    <w:p w14:paraId="4D57AD20" w14:textId="77777777" w:rsidR="00670EF8" w:rsidRPr="00CC2A30" w:rsidRDefault="00670EF8" w:rsidP="00670EF8">
      <w:pPr>
        <w:spacing w:after="0" w:line="254" w:lineRule="auto"/>
        <w:rPr>
          <w:rFonts w:ascii="Verdana" w:eastAsia="Calibri" w:hAnsi="Verdana" w:cs="Times New Roman"/>
          <w:u w:val="single"/>
        </w:rPr>
      </w:pPr>
      <w:r w:rsidRPr="00CC2A30">
        <w:rPr>
          <w:rFonts w:ascii="Verdana" w:eastAsia="Calibri" w:hAnsi="Verdana" w:cs="Times New Roman"/>
        </w:rPr>
        <w:t xml:space="preserve">LinkedIn: </w:t>
      </w:r>
      <w:r w:rsidRPr="00CC2A30">
        <w:rPr>
          <w:rFonts w:ascii="Verdana" w:eastAsia="Calibri" w:hAnsi="Verdana" w:cs="Times New Roman"/>
          <w:u w:val="single"/>
        </w:rPr>
        <w:t>Agencia Nacional de Contratación Pública - Colombia Compra Eficiente</w:t>
      </w:r>
      <w:r w:rsidRPr="00CC2A30">
        <w:rPr>
          <w:rFonts w:ascii="Verdana" w:eastAsia="Calibri" w:hAnsi="Verdana" w:cs="Times New Roman"/>
        </w:rPr>
        <w:t xml:space="preserve"> Instagram: </w:t>
      </w:r>
      <w:r w:rsidRPr="00CC2A30">
        <w:rPr>
          <w:rFonts w:ascii="Verdana" w:eastAsia="Calibri" w:hAnsi="Verdana" w:cs="Times New Roman"/>
          <w:u w:val="single"/>
        </w:rPr>
        <w:t>@colombiacompraeficiente_cce</w:t>
      </w:r>
    </w:p>
    <w:p w14:paraId="37998C8D" w14:textId="77777777" w:rsidR="00670EF8" w:rsidRPr="00CC2A30" w:rsidRDefault="00670EF8" w:rsidP="00670EF8">
      <w:pPr>
        <w:spacing w:after="0" w:line="254" w:lineRule="auto"/>
        <w:rPr>
          <w:rFonts w:ascii="Verdana" w:eastAsia="Calibri" w:hAnsi="Verdana" w:cs="Times New Roman"/>
          <w:b/>
          <w:bCs/>
        </w:rPr>
      </w:pPr>
    </w:p>
    <w:p w14:paraId="18B1D497" w14:textId="77777777" w:rsidR="00670EF8" w:rsidRPr="00CC2A30" w:rsidRDefault="00670EF8" w:rsidP="00670EF8">
      <w:pPr>
        <w:spacing w:after="0" w:line="254" w:lineRule="auto"/>
        <w:jc w:val="both"/>
        <w:rPr>
          <w:rFonts w:ascii="Verdana" w:eastAsia="Calibri" w:hAnsi="Verdana" w:cs="Times New Roman"/>
          <w:lang w:val="es-ES_tradnl"/>
        </w:rPr>
      </w:pPr>
      <w:r w:rsidRPr="00CC2A3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93576C0" w14:textId="77777777" w:rsidR="00670EF8" w:rsidRDefault="00670EF8" w:rsidP="00670EF8">
      <w:pPr>
        <w:spacing w:after="0" w:line="240" w:lineRule="auto"/>
        <w:jc w:val="both"/>
        <w:rPr>
          <w:rFonts w:ascii="Verdana" w:eastAsia="Calibri" w:hAnsi="Verdana"/>
        </w:rPr>
      </w:pPr>
    </w:p>
    <w:p w14:paraId="1319920C" w14:textId="7861531E" w:rsidR="00670EF8" w:rsidRPr="001F1916" w:rsidRDefault="009007BC" w:rsidP="00670EF8">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48BE90AC" wp14:editId="51C0EA2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57049838" w14:textId="77777777" w:rsidR="00670EF8" w:rsidRPr="001F1916" w:rsidRDefault="00670EF8" w:rsidP="00670EF8">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70EF8" w:rsidRPr="001F1916" w14:paraId="2CDF7742" w14:textId="77777777" w:rsidTr="005653B5">
        <w:trPr>
          <w:trHeight w:val="315"/>
        </w:trPr>
        <w:tc>
          <w:tcPr>
            <w:tcW w:w="893" w:type="dxa"/>
            <w:vAlign w:val="center"/>
            <w:hideMark/>
          </w:tcPr>
          <w:p w14:paraId="66508F95" w14:textId="77777777" w:rsidR="00670EF8" w:rsidRPr="001F1916" w:rsidRDefault="00670EF8" w:rsidP="005653B5">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A12EE8" w14:textId="77777777" w:rsidR="00670EF8" w:rsidRPr="001F1916" w:rsidRDefault="00670EF8" w:rsidP="005653B5">
            <w:pPr>
              <w:spacing w:line="276" w:lineRule="auto"/>
              <w:contextualSpacing/>
              <w:rPr>
                <w:rFonts w:ascii="Verdana" w:eastAsia="Arial" w:hAnsi="Verdana" w:cs="Arial"/>
                <w:color w:val="000000" w:themeColor="text1"/>
                <w:sz w:val="16"/>
                <w:szCs w:val="16"/>
              </w:rPr>
            </w:pPr>
            <w:r w:rsidRPr="001F1916">
              <w:rPr>
                <w:rFonts w:ascii="Verdana" w:eastAsia="Arial" w:hAnsi="Verdana" w:cs="Arial"/>
                <w:color w:val="000000" w:themeColor="text1"/>
                <w:sz w:val="16"/>
                <w:szCs w:val="16"/>
              </w:rPr>
              <w:t xml:space="preserve">Diana Carolina Blanco Rodriguez </w:t>
            </w:r>
          </w:p>
          <w:p w14:paraId="319143B6" w14:textId="77777777" w:rsidR="00670EF8" w:rsidRPr="001F1916" w:rsidRDefault="00670EF8" w:rsidP="005653B5">
            <w:pPr>
              <w:spacing w:line="276" w:lineRule="auto"/>
              <w:contextualSpacing/>
              <w:rPr>
                <w:rFonts w:ascii="Verdana" w:eastAsia="Arial" w:hAnsi="Verdana" w:cs="Arial"/>
                <w:sz w:val="16"/>
                <w:szCs w:val="16"/>
              </w:rPr>
            </w:pPr>
            <w:r w:rsidRPr="001F1916">
              <w:rPr>
                <w:rFonts w:ascii="Verdana" w:eastAsia="Arial" w:hAnsi="Verdana" w:cs="Arial"/>
                <w:color w:val="000000" w:themeColor="text1"/>
                <w:sz w:val="16"/>
                <w:szCs w:val="16"/>
              </w:rPr>
              <w:t xml:space="preserve">Contratista de la Subdirección </w:t>
            </w:r>
            <w:r w:rsidRPr="001F1916">
              <w:rPr>
                <w:rFonts w:ascii="Verdana" w:eastAsia="Arial" w:hAnsi="Verdana" w:cs="Arial"/>
                <w:sz w:val="16"/>
                <w:szCs w:val="16"/>
              </w:rPr>
              <w:t>de Gestión Contractual</w:t>
            </w:r>
          </w:p>
        </w:tc>
      </w:tr>
      <w:tr w:rsidR="00670EF8" w:rsidRPr="001F1916" w14:paraId="17445D32" w14:textId="77777777" w:rsidTr="005653B5">
        <w:trPr>
          <w:trHeight w:val="330"/>
        </w:trPr>
        <w:tc>
          <w:tcPr>
            <w:tcW w:w="893" w:type="dxa"/>
            <w:vAlign w:val="center"/>
            <w:hideMark/>
          </w:tcPr>
          <w:p w14:paraId="13EEE629" w14:textId="77777777" w:rsidR="00670EF8" w:rsidRPr="001F1916" w:rsidRDefault="00670EF8" w:rsidP="005653B5">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007BCD" w14:textId="77777777" w:rsidR="00670EF8" w:rsidRPr="001F1916" w:rsidRDefault="00670EF8" w:rsidP="005653B5">
            <w:pPr>
              <w:spacing w:line="276" w:lineRule="auto"/>
              <w:contextualSpacing/>
              <w:textAlignment w:val="baseline"/>
              <w:rPr>
                <w:rFonts w:ascii="Verdana" w:eastAsia="Times New Roman" w:hAnsi="Verdana" w:cs="Arial"/>
                <w:sz w:val="16"/>
                <w:szCs w:val="16"/>
                <w:lang w:val="es-ES" w:eastAsia="es-ES_tradnl"/>
              </w:rPr>
            </w:pPr>
            <w:r w:rsidRPr="001F1916">
              <w:rPr>
                <w:rFonts w:ascii="Verdana" w:eastAsia="Times New Roman" w:hAnsi="Verdana" w:cs="Arial"/>
                <w:sz w:val="16"/>
                <w:szCs w:val="16"/>
                <w:lang w:val="es-ES" w:eastAsia="es-ES_tradnl"/>
              </w:rPr>
              <w:t>Juan Carlos González Vásquez</w:t>
            </w:r>
          </w:p>
          <w:p w14:paraId="609A3732" w14:textId="77777777" w:rsidR="00670EF8" w:rsidRPr="001F1916" w:rsidRDefault="00670EF8" w:rsidP="005653B5">
            <w:pPr>
              <w:spacing w:line="276" w:lineRule="auto"/>
              <w:contextualSpacing/>
              <w:textAlignment w:val="baseline"/>
              <w:rPr>
                <w:rFonts w:ascii="Verdana" w:eastAsia="Times New Roman" w:hAnsi="Verdana" w:cs="Segoe UI"/>
                <w:sz w:val="16"/>
                <w:szCs w:val="16"/>
                <w:lang w:eastAsia="es-ES_tradnl"/>
              </w:rPr>
            </w:pPr>
            <w:r w:rsidRPr="001F1916">
              <w:rPr>
                <w:rFonts w:ascii="Verdana" w:eastAsia="Times New Roman" w:hAnsi="Verdana" w:cs="Arial"/>
                <w:sz w:val="16"/>
                <w:szCs w:val="16"/>
                <w:lang w:val="es-ES" w:eastAsia="es-ES_tradnl"/>
              </w:rPr>
              <w:t>Contratista de la Subdirección de Gestión Contractual</w:t>
            </w:r>
            <w:r w:rsidRPr="001F1916">
              <w:rPr>
                <w:rFonts w:ascii="Verdana" w:eastAsia="Times New Roman" w:hAnsi="Verdana" w:cs="Arial"/>
                <w:sz w:val="16"/>
                <w:szCs w:val="16"/>
                <w:lang w:eastAsia="es-ES_tradnl"/>
              </w:rPr>
              <w:t> </w:t>
            </w:r>
          </w:p>
        </w:tc>
      </w:tr>
      <w:tr w:rsidR="00670EF8" w:rsidRPr="001F1916" w14:paraId="1A93E3B3" w14:textId="77777777" w:rsidTr="005653B5">
        <w:trPr>
          <w:trHeight w:val="300"/>
        </w:trPr>
        <w:tc>
          <w:tcPr>
            <w:tcW w:w="893" w:type="dxa"/>
            <w:vAlign w:val="center"/>
          </w:tcPr>
          <w:p w14:paraId="34B80D73" w14:textId="77777777" w:rsidR="00670EF8" w:rsidRPr="001F1916" w:rsidRDefault="00670EF8" w:rsidP="005653B5">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E8B6CB" w14:textId="77777777" w:rsidR="00670EF8" w:rsidRPr="001F1916" w:rsidRDefault="00670EF8" w:rsidP="005653B5">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val="pt-BR" w:eastAsia="es-ES"/>
              </w:rPr>
              <w:t xml:space="preserve">Carolina Quintero </w:t>
            </w:r>
            <w:proofErr w:type="spellStart"/>
            <w:r w:rsidRPr="001F1916">
              <w:rPr>
                <w:rFonts w:ascii="Verdana" w:eastAsia="Calibri" w:hAnsi="Verdana" w:cs="Arial"/>
                <w:sz w:val="16"/>
                <w:szCs w:val="16"/>
                <w:lang w:val="pt-BR" w:eastAsia="es-ES"/>
              </w:rPr>
              <w:t>Gacharná</w:t>
            </w:r>
            <w:proofErr w:type="spellEnd"/>
          </w:p>
          <w:p w14:paraId="61B93E32" w14:textId="77777777" w:rsidR="00670EF8" w:rsidRPr="001F1916" w:rsidRDefault="00670EF8" w:rsidP="005653B5">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eastAsia="es-ES"/>
              </w:rPr>
              <w:t>Subdirectora</w:t>
            </w:r>
            <w:r w:rsidRPr="001F1916">
              <w:rPr>
                <w:rFonts w:ascii="Verdana" w:eastAsia="Calibri" w:hAnsi="Verdana" w:cs="Arial"/>
                <w:sz w:val="16"/>
                <w:szCs w:val="16"/>
                <w:lang w:val="pt-BR" w:eastAsia="es-ES"/>
              </w:rPr>
              <w:t xml:space="preserve"> de Gestión </w:t>
            </w:r>
            <w:proofErr w:type="spellStart"/>
            <w:r w:rsidRPr="001F1916">
              <w:rPr>
                <w:rFonts w:ascii="Verdana" w:eastAsia="Calibri" w:hAnsi="Verdana" w:cs="Arial"/>
                <w:sz w:val="16"/>
                <w:szCs w:val="16"/>
                <w:lang w:val="pt-BR" w:eastAsia="es-ES"/>
              </w:rPr>
              <w:t>Contractual</w:t>
            </w:r>
            <w:proofErr w:type="spellEnd"/>
            <w:r w:rsidRPr="001F1916">
              <w:rPr>
                <w:rFonts w:ascii="Verdana" w:eastAsia="Calibri" w:hAnsi="Verdana" w:cs="Arial"/>
                <w:sz w:val="16"/>
                <w:szCs w:val="16"/>
                <w:lang w:val="pt-BR" w:eastAsia="es-ES"/>
              </w:rPr>
              <w:t xml:space="preserve"> ANCP – CCE</w:t>
            </w:r>
          </w:p>
        </w:tc>
      </w:tr>
    </w:tbl>
    <w:p w14:paraId="36931435" w14:textId="77777777" w:rsidR="00670EF8" w:rsidRPr="000365B6" w:rsidRDefault="00670EF8" w:rsidP="00670EF8"/>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BD18C" w14:textId="77777777" w:rsidR="004015F5" w:rsidRDefault="004015F5" w:rsidP="004A1847">
      <w:pPr>
        <w:spacing w:after="0" w:line="240" w:lineRule="auto"/>
      </w:pPr>
      <w:r>
        <w:separator/>
      </w:r>
    </w:p>
  </w:endnote>
  <w:endnote w:type="continuationSeparator" w:id="0">
    <w:p w14:paraId="2E546565" w14:textId="77777777" w:rsidR="004015F5" w:rsidRDefault="004015F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39D9B" w14:textId="77777777" w:rsidR="004015F5" w:rsidRDefault="004015F5" w:rsidP="004A1847">
      <w:pPr>
        <w:spacing w:after="0" w:line="240" w:lineRule="auto"/>
      </w:pPr>
      <w:r>
        <w:separator/>
      </w:r>
    </w:p>
  </w:footnote>
  <w:footnote w:type="continuationSeparator" w:id="0">
    <w:p w14:paraId="3EC82869" w14:textId="77777777" w:rsidR="004015F5" w:rsidRDefault="004015F5" w:rsidP="004A1847">
      <w:pPr>
        <w:spacing w:after="0" w:line="240" w:lineRule="auto"/>
      </w:pPr>
      <w:r>
        <w:continuationSeparator/>
      </w:r>
    </w:p>
  </w:footnote>
  <w:footnote w:id="1">
    <w:p w14:paraId="21BEE48F" w14:textId="77777777" w:rsidR="00670EF8" w:rsidRDefault="00670EF8" w:rsidP="00670EF8">
      <w:pPr>
        <w:pStyle w:val="Textonotapie"/>
        <w:ind w:firstLine="708"/>
        <w:jc w:val="both"/>
      </w:pPr>
      <w:r>
        <w:rPr>
          <w:rStyle w:val="Refdenotaalpie"/>
        </w:rPr>
        <w:footnoteRef/>
      </w:r>
      <w:r>
        <w:t xml:space="preserve"> </w:t>
      </w:r>
      <w:r w:rsidRPr="007016C9">
        <w:rPr>
          <w:rFonts w:ascii="Verdana" w:hAnsi="Verdana"/>
          <w:sz w:val="16"/>
          <w:szCs w:val="16"/>
        </w:rPr>
        <w:t xml:space="preserve">Ley 80 de 1993, artículo 5 numeral 1: (…) </w:t>
      </w:r>
      <w:r w:rsidRPr="007016C9">
        <w:rPr>
          <w:rFonts w:ascii="Verdana" w:hAnsi="Verdana"/>
          <w:sz w:val="16"/>
          <w:szCs w:val="16"/>
          <w:lang w:val="es-CO"/>
        </w:rPr>
        <w:t>1o. En las normas de selección y en los pliegos de condiciones o términos de referencia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 (…)</w:t>
      </w:r>
    </w:p>
  </w:footnote>
  <w:footnote w:id="2">
    <w:p w14:paraId="335314D2" w14:textId="77777777" w:rsidR="00670EF8" w:rsidRPr="00F455A3" w:rsidRDefault="00670EF8" w:rsidP="00670EF8">
      <w:pPr>
        <w:pStyle w:val="Textonotapie"/>
        <w:ind w:firstLine="708"/>
        <w:jc w:val="both"/>
        <w:rPr>
          <w:rFonts w:ascii="Verdana" w:hAnsi="Verdana"/>
          <w:sz w:val="16"/>
          <w:szCs w:val="16"/>
        </w:rPr>
      </w:pPr>
      <w:r w:rsidRPr="00F455A3">
        <w:rPr>
          <w:rStyle w:val="Refdenotaalpie"/>
          <w:rFonts w:ascii="Verdana" w:hAnsi="Verdana"/>
          <w:sz w:val="16"/>
          <w:szCs w:val="16"/>
        </w:rPr>
        <w:footnoteRef/>
      </w:r>
      <w:r w:rsidRPr="00F455A3">
        <w:rPr>
          <w:rFonts w:ascii="Verdana" w:hAnsi="Verdana"/>
          <w:sz w:val="16"/>
          <w:szCs w:val="16"/>
        </w:rPr>
        <w:t xml:space="preserve"> Sobre este punto, “La doctrina distingue entre un objeto social </w:t>
      </w:r>
      <w:r w:rsidRPr="00F455A3">
        <w:rPr>
          <w:rFonts w:ascii="Verdana" w:hAnsi="Verdana"/>
          <w:i/>
          <w:iCs/>
          <w:sz w:val="16"/>
          <w:szCs w:val="16"/>
        </w:rPr>
        <w:t>principal</w:t>
      </w:r>
      <w:r w:rsidRPr="00F455A3">
        <w:rPr>
          <w:rFonts w:ascii="Verdana" w:hAnsi="Verdana"/>
          <w:sz w:val="16"/>
          <w:szCs w:val="16"/>
        </w:rPr>
        <w:t xml:space="preserve"> representado por las actividades que forman parte de la </w:t>
      </w:r>
      <w:r w:rsidRPr="00F455A3">
        <w:rPr>
          <w:rFonts w:ascii="Verdana" w:hAnsi="Verdana"/>
          <w:i/>
          <w:iCs/>
          <w:sz w:val="16"/>
          <w:szCs w:val="16"/>
        </w:rPr>
        <w:t>empresa socia</w:t>
      </w:r>
      <w:r w:rsidRPr="00F455A3">
        <w:rPr>
          <w:rFonts w:ascii="Verdana" w:hAnsi="Verdana"/>
          <w:sz w:val="16"/>
          <w:szCs w:val="16"/>
        </w:rPr>
        <w:t xml:space="preserve">l, y un objeto </w:t>
      </w:r>
      <w:r w:rsidRPr="00F455A3">
        <w:rPr>
          <w:rFonts w:ascii="Verdana" w:hAnsi="Verdana"/>
          <w:i/>
          <w:iCs/>
          <w:sz w:val="16"/>
          <w:szCs w:val="16"/>
        </w:rPr>
        <w:t>secundario</w:t>
      </w:r>
      <w:r w:rsidRPr="00F455A3">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455A3">
        <w:rPr>
          <w:rFonts w:ascii="Verdana" w:hAnsi="Verdana"/>
          <w:i/>
          <w:iCs/>
          <w:sz w:val="16"/>
          <w:szCs w:val="16"/>
        </w:rPr>
        <w:t>secundario</w:t>
      </w:r>
      <w:r w:rsidRPr="00F455A3">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15529216" w14:textId="77777777" w:rsidR="00670EF8" w:rsidRPr="00F455A3" w:rsidRDefault="00670EF8" w:rsidP="00670EF8">
      <w:pPr>
        <w:pStyle w:val="Textonotapie"/>
        <w:ind w:firstLine="708"/>
        <w:jc w:val="both"/>
        <w:rPr>
          <w:rFonts w:ascii="Verdana" w:hAnsi="Verdana"/>
          <w:sz w:val="16"/>
          <w:szCs w:val="16"/>
        </w:rPr>
      </w:pPr>
      <w:r w:rsidRPr="00F455A3">
        <w:rPr>
          <w:rFonts w:ascii="Verdana" w:hAnsi="Verdana"/>
          <w:sz w:val="16"/>
          <w:szCs w:val="16"/>
        </w:rPr>
        <w:t xml:space="preserve">Podría, inclusive, afirmarse que el objeto social </w:t>
      </w:r>
      <w:r w:rsidRPr="00F455A3">
        <w:rPr>
          <w:rFonts w:ascii="Verdana" w:hAnsi="Verdana"/>
          <w:i/>
          <w:iCs/>
          <w:sz w:val="16"/>
          <w:szCs w:val="16"/>
        </w:rPr>
        <w:t>secundario</w:t>
      </w:r>
      <w:r w:rsidRPr="00F455A3">
        <w:rPr>
          <w:rFonts w:ascii="Verdana" w:hAnsi="Verdana"/>
          <w:sz w:val="16"/>
          <w:szCs w:val="16"/>
        </w:rPr>
        <w:t xml:space="preserve"> es presunto o que por ser un elemento de la </w:t>
      </w:r>
      <w:r w:rsidRPr="00F455A3">
        <w:rPr>
          <w:rFonts w:ascii="Verdana" w:hAnsi="Verdana"/>
          <w:i/>
          <w:iCs/>
          <w:sz w:val="16"/>
          <w:szCs w:val="16"/>
        </w:rPr>
        <w:t>naturaleza</w:t>
      </w:r>
      <w:r w:rsidRPr="00F455A3">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455A3">
        <w:rPr>
          <w:rFonts w:ascii="Verdana" w:hAnsi="Verdana"/>
          <w:i/>
          <w:iCs/>
          <w:sz w:val="16"/>
          <w:szCs w:val="16"/>
        </w:rPr>
        <w:t>desarrollo de su objeto social</w:t>
      </w:r>
      <w:r w:rsidRPr="00F455A3">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3">
    <w:p w14:paraId="1BBB08A5" w14:textId="77777777" w:rsidR="00670EF8" w:rsidRPr="00F455A3" w:rsidRDefault="00670EF8" w:rsidP="00670EF8">
      <w:pPr>
        <w:pStyle w:val="Textonotapie"/>
        <w:ind w:firstLine="708"/>
        <w:jc w:val="both"/>
        <w:rPr>
          <w:rFonts w:ascii="Verdana" w:hAnsi="Verdana"/>
          <w:sz w:val="16"/>
          <w:szCs w:val="16"/>
          <w:lang w:val="es-CO"/>
        </w:rPr>
      </w:pPr>
      <w:r w:rsidRPr="00F455A3">
        <w:rPr>
          <w:rStyle w:val="Refdenotaalpie"/>
          <w:rFonts w:ascii="Verdana" w:hAnsi="Verdana"/>
          <w:sz w:val="16"/>
          <w:szCs w:val="16"/>
        </w:rPr>
        <w:footnoteRef/>
      </w:r>
      <w:r w:rsidRPr="00F455A3">
        <w:rPr>
          <w:rFonts w:ascii="Verdana" w:hAnsi="Verdana"/>
          <w:sz w:val="16"/>
          <w:szCs w:val="16"/>
        </w:rPr>
        <w:t xml:space="preserve"> PINZÓN, Gabino. Sociedades comerciales. Bogotá: Temis, 1977. p. 186.</w:t>
      </w:r>
    </w:p>
  </w:footnote>
  <w:footnote w:id="4">
    <w:p w14:paraId="714773AF" w14:textId="77777777" w:rsidR="00670EF8" w:rsidRPr="00F455A3" w:rsidRDefault="00670EF8" w:rsidP="00670EF8">
      <w:pPr>
        <w:pStyle w:val="Textonotapie"/>
        <w:ind w:firstLine="708"/>
        <w:jc w:val="both"/>
        <w:rPr>
          <w:rFonts w:ascii="Verdana" w:hAnsi="Verdana"/>
          <w:sz w:val="16"/>
          <w:szCs w:val="16"/>
        </w:rPr>
      </w:pPr>
      <w:r w:rsidRPr="00F455A3">
        <w:rPr>
          <w:rStyle w:val="Refdenotaalpie"/>
          <w:rFonts w:ascii="Verdana" w:hAnsi="Verdana"/>
          <w:sz w:val="16"/>
          <w:szCs w:val="16"/>
        </w:rPr>
        <w:footnoteRef/>
      </w:r>
      <w:r w:rsidRPr="00F455A3">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w:t>
      </w:r>
      <w:r w:rsidRPr="00F455A3">
        <w:rPr>
          <w:rFonts w:ascii="Verdana" w:hAnsi="Verdana"/>
          <w:sz w:val="16"/>
          <w:szCs w:val="16"/>
        </w:rPr>
        <w:t xml:space="preserve">d 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455A3">
        <w:rPr>
          <w:rFonts w:ascii="Verdana" w:hAnsi="Verdana"/>
          <w:i/>
          <w:iCs/>
          <w:sz w:val="16"/>
          <w:szCs w:val="16"/>
        </w:rPr>
        <w:t>ibidem</w:t>
      </w:r>
      <w:r w:rsidRPr="00F455A3">
        <w:rPr>
          <w:rFonts w:ascii="Verdana" w:hAnsi="Verdana"/>
          <w:sz w:val="16"/>
          <w:szCs w:val="16"/>
        </w:rPr>
        <w:t>.</w:t>
      </w:r>
    </w:p>
    <w:p w14:paraId="5D2E074B" w14:textId="77777777" w:rsidR="00670EF8" w:rsidRPr="00F455A3" w:rsidRDefault="00670EF8" w:rsidP="00670EF8">
      <w:pPr>
        <w:pStyle w:val="Textonotapie"/>
        <w:ind w:firstLine="708"/>
        <w:jc w:val="both"/>
        <w:rPr>
          <w:rFonts w:ascii="Verdana" w:hAnsi="Verdana"/>
          <w:sz w:val="16"/>
          <w:szCs w:val="16"/>
        </w:rPr>
      </w:pPr>
      <w:r w:rsidRPr="00F455A3">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49DAB8DD" w14:textId="77777777" w:rsidR="00670EF8" w:rsidRPr="00F455A3" w:rsidRDefault="00670EF8" w:rsidP="00670EF8">
      <w:pPr>
        <w:pStyle w:val="Textonotapie"/>
        <w:ind w:firstLine="708"/>
        <w:jc w:val="both"/>
        <w:rPr>
          <w:rFonts w:ascii="Verdana" w:hAnsi="Verdana"/>
          <w:sz w:val="16"/>
          <w:szCs w:val="16"/>
        </w:rPr>
      </w:pPr>
      <w:r w:rsidRPr="00F455A3">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66F2D059" w14:textId="77777777" w:rsidR="00670EF8" w:rsidRPr="00F455A3" w:rsidRDefault="00670EF8" w:rsidP="00670EF8">
      <w:pPr>
        <w:pStyle w:val="Textonotapie"/>
        <w:ind w:firstLine="708"/>
        <w:jc w:val="both"/>
        <w:rPr>
          <w:rFonts w:ascii="Verdana" w:hAnsi="Verdana"/>
          <w:sz w:val="16"/>
          <w:szCs w:val="16"/>
        </w:rPr>
      </w:pPr>
      <w:r w:rsidRPr="00F455A3">
        <w:rPr>
          <w:rFonts w:ascii="Verdana" w:hAnsi="Verdana"/>
          <w:sz w:val="16"/>
          <w:szCs w:val="16"/>
        </w:rPr>
        <w:t>De no expresarse nada en los estatutos, necesariamente debe entenderse que la compañía puede efectuar cualquier actividad licita”.</w:t>
      </w:r>
    </w:p>
  </w:footnote>
  <w:footnote w:id="5">
    <w:p w14:paraId="0C2FCCEA" w14:textId="77777777" w:rsidR="00670EF8" w:rsidRPr="00F455A3" w:rsidRDefault="00670EF8" w:rsidP="00670EF8">
      <w:pPr>
        <w:pStyle w:val="Textonotapie"/>
        <w:ind w:firstLine="709"/>
        <w:jc w:val="both"/>
        <w:rPr>
          <w:rFonts w:ascii="Verdana" w:hAnsi="Verdana" w:cs="Arial"/>
          <w:sz w:val="16"/>
          <w:szCs w:val="16"/>
        </w:rPr>
      </w:pPr>
      <w:r w:rsidRPr="00F455A3">
        <w:rPr>
          <w:rStyle w:val="Refdenotaalpie"/>
          <w:rFonts w:ascii="Verdana" w:hAnsi="Verdana"/>
          <w:sz w:val="16"/>
          <w:szCs w:val="16"/>
        </w:rPr>
        <w:footnoteRef/>
      </w:r>
      <w:r w:rsidRPr="00F455A3">
        <w:rPr>
          <w:rFonts w:ascii="Verdana" w:hAnsi="Verdana"/>
          <w:sz w:val="16"/>
          <w:szCs w:val="16"/>
        </w:rPr>
        <w:t xml:space="preserve"> </w:t>
      </w:r>
      <w:r w:rsidRPr="00F455A3">
        <w:rPr>
          <w:rFonts w:ascii="Verdana" w:hAnsi="Verdana" w:cs="Arial"/>
          <w:sz w:val="16"/>
          <w:szCs w:val="16"/>
        </w:rPr>
        <w:t>MARTÍNEZ NEIRA, Néstor Humberto. Cátedra de Derecho Contractual Societario, regulación comercial y bursátil de los actos y contratos societarios. Editorial Abeledo Perrot, Buenos Aires, 1ª. Edición, 2010, p. 153.</w:t>
      </w:r>
    </w:p>
    <w:p w14:paraId="20D4D3AC" w14:textId="77777777" w:rsidR="00670EF8" w:rsidRPr="00F455A3" w:rsidRDefault="00670EF8" w:rsidP="00670EF8">
      <w:pPr>
        <w:pStyle w:val="Textonotapie"/>
        <w:ind w:firstLine="709"/>
        <w:jc w:val="both"/>
        <w:rPr>
          <w:rFonts w:ascii="Verdana" w:hAnsi="Verdana" w:cs="Arial"/>
          <w:sz w:val="16"/>
          <w:szCs w:val="16"/>
        </w:rPr>
      </w:pPr>
    </w:p>
  </w:footnote>
  <w:footnote w:id="6">
    <w:p w14:paraId="1FC93CD6" w14:textId="77777777" w:rsidR="00670EF8" w:rsidRPr="00F455A3" w:rsidRDefault="00670EF8" w:rsidP="00670EF8">
      <w:pPr>
        <w:pStyle w:val="Textonotapie"/>
        <w:ind w:firstLine="708"/>
        <w:jc w:val="both"/>
        <w:rPr>
          <w:rFonts w:ascii="Verdana" w:hAnsi="Verdana"/>
          <w:sz w:val="16"/>
          <w:szCs w:val="16"/>
        </w:rPr>
      </w:pPr>
      <w:r w:rsidRPr="00F455A3">
        <w:rPr>
          <w:rStyle w:val="Refdenotaalpie"/>
          <w:rFonts w:ascii="Verdana" w:hAnsi="Verdana"/>
          <w:sz w:val="16"/>
          <w:szCs w:val="16"/>
        </w:rPr>
        <w:footnoteRef/>
      </w:r>
      <w:r w:rsidRPr="00F455A3">
        <w:rPr>
          <w:rFonts w:ascii="Verdana" w:hAnsi="Verdana"/>
          <w:sz w:val="16"/>
          <w:szCs w:val="16"/>
        </w:rPr>
        <w:t xml:space="preserve"> DEPARTAMENTO ADMINISTRATIVO NACIONAL DE ESTADÍSTICA. Clasificación Industrial Internacional Uniforme de todas las actividades económicas. Revisión 4 Adaptada para Colombia. 2022. Consultado el 19 de marzo de 2025 en la página web </w:t>
      </w:r>
      <w:hyperlink r:id="rId1" w:history="1">
        <w:r w:rsidRPr="00F455A3">
          <w:rPr>
            <w:rStyle w:val="Hipervnculo"/>
            <w:rFonts w:ascii="Verdana" w:hAnsi="Verdana"/>
            <w:sz w:val="16"/>
            <w:szCs w:val="16"/>
          </w:rPr>
          <w:t>https://www.dane.gov.co/files/sen/nomenclatura/ciiu/CIIU_Rev_4_AC2022.pdf</w:t>
        </w:r>
      </w:hyperlink>
      <w:r w:rsidRPr="00F455A3">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6A1A1D"/>
    <w:multiLevelType w:val="hybridMultilevel"/>
    <w:tmpl w:val="482E9D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B79719B"/>
    <w:multiLevelType w:val="hybridMultilevel"/>
    <w:tmpl w:val="39246A5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F14C50"/>
    <w:multiLevelType w:val="hybridMultilevel"/>
    <w:tmpl w:val="EB6E89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18C0F7F"/>
    <w:multiLevelType w:val="hybridMultilevel"/>
    <w:tmpl w:val="5156E3DA"/>
    <w:lvl w:ilvl="0" w:tplc="240A0001">
      <w:start w:val="1"/>
      <w:numFmt w:val="bullet"/>
      <w:lvlText w:val=""/>
      <w:lvlJc w:val="left"/>
      <w:pPr>
        <w:ind w:left="1446" w:hanging="360"/>
      </w:pPr>
      <w:rPr>
        <w:rFonts w:ascii="Symbol" w:hAnsi="Symbol" w:hint="default"/>
      </w:rPr>
    </w:lvl>
    <w:lvl w:ilvl="1" w:tplc="240A0003" w:tentative="1">
      <w:start w:val="1"/>
      <w:numFmt w:val="bullet"/>
      <w:lvlText w:val="o"/>
      <w:lvlJc w:val="left"/>
      <w:pPr>
        <w:ind w:left="2166" w:hanging="360"/>
      </w:pPr>
      <w:rPr>
        <w:rFonts w:ascii="Courier New" w:hAnsi="Courier New" w:cs="Courier New" w:hint="default"/>
      </w:rPr>
    </w:lvl>
    <w:lvl w:ilvl="2" w:tplc="240A0005" w:tentative="1">
      <w:start w:val="1"/>
      <w:numFmt w:val="bullet"/>
      <w:lvlText w:val=""/>
      <w:lvlJc w:val="left"/>
      <w:pPr>
        <w:ind w:left="2886" w:hanging="360"/>
      </w:pPr>
      <w:rPr>
        <w:rFonts w:ascii="Wingdings" w:hAnsi="Wingdings" w:hint="default"/>
      </w:rPr>
    </w:lvl>
    <w:lvl w:ilvl="3" w:tplc="240A0001" w:tentative="1">
      <w:start w:val="1"/>
      <w:numFmt w:val="bullet"/>
      <w:lvlText w:val=""/>
      <w:lvlJc w:val="left"/>
      <w:pPr>
        <w:ind w:left="3606" w:hanging="360"/>
      </w:pPr>
      <w:rPr>
        <w:rFonts w:ascii="Symbol" w:hAnsi="Symbol" w:hint="default"/>
      </w:rPr>
    </w:lvl>
    <w:lvl w:ilvl="4" w:tplc="240A0003" w:tentative="1">
      <w:start w:val="1"/>
      <w:numFmt w:val="bullet"/>
      <w:lvlText w:val="o"/>
      <w:lvlJc w:val="left"/>
      <w:pPr>
        <w:ind w:left="4326" w:hanging="360"/>
      </w:pPr>
      <w:rPr>
        <w:rFonts w:ascii="Courier New" w:hAnsi="Courier New" w:cs="Courier New" w:hint="default"/>
      </w:rPr>
    </w:lvl>
    <w:lvl w:ilvl="5" w:tplc="240A0005" w:tentative="1">
      <w:start w:val="1"/>
      <w:numFmt w:val="bullet"/>
      <w:lvlText w:val=""/>
      <w:lvlJc w:val="left"/>
      <w:pPr>
        <w:ind w:left="5046" w:hanging="360"/>
      </w:pPr>
      <w:rPr>
        <w:rFonts w:ascii="Wingdings" w:hAnsi="Wingdings" w:hint="default"/>
      </w:rPr>
    </w:lvl>
    <w:lvl w:ilvl="6" w:tplc="240A0001" w:tentative="1">
      <w:start w:val="1"/>
      <w:numFmt w:val="bullet"/>
      <w:lvlText w:val=""/>
      <w:lvlJc w:val="left"/>
      <w:pPr>
        <w:ind w:left="5766" w:hanging="360"/>
      </w:pPr>
      <w:rPr>
        <w:rFonts w:ascii="Symbol" w:hAnsi="Symbol" w:hint="default"/>
      </w:rPr>
    </w:lvl>
    <w:lvl w:ilvl="7" w:tplc="240A0003" w:tentative="1">
      <w:start w:val="1"/>
      <w:numFmt w:val="bullet"/>
      <w:lvlText w:val="o"/>
      <w:lvlJc w:val="left"/>
      <w:pPr>
        <w:ind w:left="6486" w:hanging="360"/>
      </w:pPr>
      <w:rPr>
        <w:rFonts w:ascii="Courier New" w:hAnsi="Courier New" w:cs="Courier New" w:hint="default"/>
      </w:rPr>
    </w:lvl>
    <w:lvl w:ilvl="8" w:tplc="240A0005" w:tentative="1">
      <w:start w:val="1"/>
      <w:numFmt w:val="bullet"/>
      <w:lvlText w:val=""/>
      <w:lvlJc w:val="left"/>
      <w:pPr>
        <w:ind w:left="7206"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89963370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59578584">
    <w:abstractNumId w:val="0"/>
  </w:num>
  <w:num w:numId="18" w16cid:durableId="1074937993">
    <w:abstractNumId w:val="18"/>
  </w:num>
  <w:num w:numId="19" w16cid:durableId="971637073">
    <w:abstractNumId w:val="5"/>
  </w:num>
  <w:num w:numId="20" w16cid:durableId="1612207271">
    <w:abstractNumId w:val="12"/>
  </w:num>
  <w:num w:numId="21" w16cid:durableId="1698503818">
    <w:abstractNumId w:val="11"/>
  </w:num>
  <w:num w:numId="22" w16cid:durableId="8171141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1F97"/>
    <w:rsid w:val="00082362"/>
    <w:rsid w:val="000A683E"/>
    <w:rsid w:val="000B19B9"/>
    <w:rsid w:val="000D0334"/>
    <w:rsid w:val="000F6486"/>
    <w:rsid w:val="00125105"/>
    <w:rsid w:val="00127233"/>
    <w:rsid w:val="001E4177"/>
    <w:rsid w:val="001F5027"/>
    <w:rsid w:val="001F7DC6"/>
    <w:rsid w:val="002421BB"/>
    <w:rsid w:val="0025796E"/>
    <w:rsid w:val="002707A2"/>
    <w:rsid w:val="00294773"/>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15F5"/>
    <w:rsid w:val="00406575"/>
    <w:rsid w:val="00414C74"/>
    <w:rsid w:val="0042722E"/>
    <w:rsid w:val="0044528D"/>
    <w:rsid w:val="00464ADB"/>
    <w:rsid w:val="004A1847"/>
    <w:rsid w:val="004A305D"/>
    <w:rsid w:val="004F21C4"/>
    <w:rsid w:val="004F685F"/>
    <w:rsid w:val="005566E8"/>
    <w:rsid w:val="00574867"/>
    <w:rsid w:val="00591460"/>
    <w:rsid w:val="005C24F5"/>
    <w:rsid w:val="005C3777"/>
    <w:rsid w:val="005C5CDC"/>
    <w:rsid w:val="005D476C"/>
    <w:rsid w:val="0060089F"/>
    <w:rsid w:val="006219F8"/>
    <w:rsid w:val="006302F7"/>
    <w:rsid w:val="00665D70"/>
    <w:rsid w:val="00670EF8"/>
    <w:rsid w:val="006900D9"/>
    <w:rsid w:val="006A760C"/>
    <w:rsid w:val="006C004F"/>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3B77"/>
    <w:rsid w:val="008A446D"/>
    <w:rsid w:val="008D180B"/>
    <w:rsid w:val="008F0EA7"/>
    <w:rsid w:val="009007BC"/>
    <w:rsid w:val="00923EEF"/>
    <w:rsid w:val="00930E91"/>
    <w:rsid w:val="009419F9"/>
    <w:rsid w:val="0095685E"/>
    <w:rsid w:val="00961B09"/>
    <w:rsid w:val="00965334"/>
    <w:rsid w:val="0097093E"/>
    <w:rsid w:val="009A0DFA"/>
    <w:rsid w:val="009B25A8"/>
    <w:rsid w:val="009B2D26"/>
    <w:rsid w:val="009C71FA"/>
    <w:rsid w:val="009C72E7"/>
    <w:rsid w:val="009D3058"/>
    <w:rsid w:val="009E522C"/>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55825"/>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04AE9A76"/>
    <w:rsid w:val="409BF30B"/>
    <w:rsid w:val="42C3AB60"/>
    <w:rsid w:val="459EEDF0"/>
    <w:rsid w:val="66B71389"/>
    <w:rsid w:val="6D24AB74"/>
    <w:rsid w:val="7337A5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70EF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70EF8"/>
    <w:rPr>
      <w:rFonts w:ascii="Geomanist Light" w:hAnsi="Geomanist Light"/>
      <w:lang w:val="es-ES"/>
    </w:rPr>
  </w:style>
  <w:style w:type="paragraph" w:styleId="Textoindependiente">
    <w:name w:val="Body Text"/>
    <w:basedOn w:val="Normal"/>
    <w:link w:val="TextoindependienteCar"/>
    <w:uiPriority w:val="1"/>
    <w:qFormat/>
    <w:rsid w:val="00670EF8"/>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670EF8"/>
    <w:rPr>
      <w:rFonts w:ascii="Arial" w:eastAsia="Arial" w:hAnsi="Arial" w:cs="Arial"/>
      <w:lang w:val="es-ES"/>
    </w:rPr>
  </w:style>
  <w:style w:type="character" w:customStyle="1" w:styleId="superscript">
    <w:name w:val="superscript"/>
    <w:basedOn w:val="Fuentedeprrafopredeter"/>
    <w:rsid w:val="00670E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882-de-20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normativa/ley-1150-de-2007/"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ley-80-de-1993/"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decreto-1082-de-2015/"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dane.gov.co/files/sen/nomenclatura/ciiu/CIIU_Rev_4_AC20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68722EF-AF81-4E5C-8A6E-3B450F2627C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18</Pages>
  <Words>5826</Words>
  <Characters>31580</Characters>
  <Application>Microsoft Office Word</Application>
  <DocSecurity>0</DocSecurity>
  <Lines>644</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6</cp:revision>
  <cp:lastPrinted>2023-01-10T21:18:00Z</cp:lastPrinted>
  <dcterms:created xsi:type="dcterms:W3CDTF">2025-10-02T22:26:00Z</dcterms:created>
  <dcterms:modified xsi:type="dcterms:W3CDTF">2025-10-06T02:43:00Z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