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0D5D0D" w14:textId="77777777" w:rsidR="000A04D0" w:rsidRPr="000A04D0" w:rsidRDefault="000A04D0" w:rsidP="000A04D0">
      <w:pPr>
        <w:spacing w:line="276" w:lineRule="auto"/>
        <w:jc w:val="both"/>
        <w:rPr>
          <w:rFonts w:ascii="Verdana" w:hAnsi="Verdana" w:cs="Arial"/>
          <w:b/>
          <w:bCs/>
          <w:color w:val="000000" w:themeColor="text1"/>
          <w:lang w:val="es-ES"/>
        </w:rPr>
      </w:pPr>
      <w:bookmarkStart w:id="0" w:name="_Hlk143780582"/>
      <w:bookmarkStart w:id="1" w:name="_Hlk202875225"/>
      <w:bookmarkStart w:id="2" w:name="_Hlk203032812"/>
      <w:bookmarkStart w:id="3" w:name="_Hlk204367265"/>
      <w:bookmarkStart w:id="4" w:name="_Hlk206116713"/>
      <w:bookmarkStart w:id="5" w:name="_Hlk210415567"/>
      <w:r w:rsidRPr="000A04D0">
        <w:rPr>
          <w:rFonts w:ascii="Verdana" w:hAnsi="Verdana" w:cs="Arial"/>
          <w:b/>
          <w:bCs/>
          <w:color w:val="000000" w:themeColor="text1"/>
          <w:lang w:val="es-ES"/>
        </w:rPr>
        <w:t xml:space="preserve">MÍNIMA CUANTÍA – Modalidad de selección </w:t>
      </w:r>
    </w:p>
    <w:p w14:paraId="6283F4E0" w14:textId="394F5C2C" w:rsidR="000A04D0" w:rsidRPr="000A04D0" w:rsidRDefault="000A04D0" w:rsidP="000A04D0">
      <w:pPr>
        <w:spacing w:after="0" w:line="240" w:lineRule="auto"/>
        <w:jc w:val="both"/>
        <w:rPr>
          <w:rFonts w:ascii="Verdana" w:hAnsi="Verdana" w:cs="Arial"/>
          <w:color w:val="000000" w:themeColor="text1"/>
          <w:sz w:val="20"/>
          <w:szCs w:val="20"/>
          <w:lang w:val="es-ES"/>
        </w:rPr>
      </w:pPr>
      <w:r w:rsidRPr="000A04D0">
        <w:rPr>
          <w:rFonts w:ascii="Verdana" w:eastAsia="Calibri" w:hAnsi="Verdana" w:cs="Arial"/>
          <w:color w:val="000000" w:themeColor="text1"/>
          <w:sz w:val="20"/>
          <w:szCs w:val="20"/>
          <w:lang w:val="es-ES"/>
        </w:rPr>
        <w:t>El artículo 30 de la Ley 2069 de 2020 modificó el numeral 5 del artículo 2 de la Ley 1150 de 2007, el cual regula el proceso de contratación a través de la mínima cuantía. Esta es una modalidad de selección en virtud de la cual, la entidad estatal realiza una convocatoria pública para recibir ofertas de bienes, obras o servicios cuyo valor no excede el diez por ciento (10%) de la menor cuantía. El factor determinante para llevar a cabo tal procedimiento es la cuantía –calculada como presupuesto oficial a partir del estudio del sector–, independientemente de su objeto</w:t>
      </w:r>
      <w:r>
        <w:rPr>
          <w:rFonts w:ascii="Verdana" w:eastAsia="Calibri" w:hAnsi="Verdana" w:cs="Arial"/>
          <w:color w:val="000000" w:themeColor="text1"/>
          <w:sz w:val="20"/>
          <w:szCs w:val="20"/>
          <w:lang w:val="es-ES"/>
        </w:rPr>
        <w:t>.</w:t>
      </w:r>
    </w:p>
    <w:p w14:paraId="41EE5A6E" w14:textId="77777777" w:rsidR="003A002D" w:rsidRDefault="003A002D" w:rsidP="003A002D">
      <w:pPr>
        <w:spacing w:after="0" w:line="240" w:lineRule="auto"/>
        <w:jc w:val="both"/>
        <w:rPr>
          <w:rFonts w:ascii="Verdana" w:hAnsi="Verdana" w:cs="Arial"/>
          <w:color w:val="000000" w:themeColor="text1"/>
          <w:lang w:val="es-ES"/>
        </w:rPr>
      </w:pPr>
    </w:p>
    <w:p w14:paraId="01A570FE" w14:textId="77777777" w:rsidR="003A002D" w:rsidRPr="003A002D" w:rsidRDefault="000A04D0" w:rsidP="003A002D">
      <w:pPr>
        <w:spacing w:after="0" w:line="240" w:lineRule="auto"/>
        <w:jc w:val="both"/>
        <w:rPr>
          <w:rFonts w:ascii="Verdana" w:eastAsia="Century Gothic" w:hAnsi="Verdana" w:cs="Century Gothic"/>
          <w:b/>
        </w:rPr>
      </w:pPr>
      <w:r w:rsidRPr="003A002D">
        <w:rPr>
          <w:rFonts w:ascii="Verdana" w:eastAsia="Century Gothic" w:hAnsi="Verdana" w:cs="Century Gothic"/>
          <w:b/>
        </w:rPr>
        <w:t xml:space="preserve">DECRETO 1860 DE 2021 – Convocatorias limitadas a MiPymes – Normas reglamentarias – Mínima cuantía </w:t>
      </w:r>
    </w:p>
    <w:p w14:paraId="71922A9F" w14:textId="77777777" w:rsidR="003A002D" w:rsidRDefault="003A002D" w:rsidP="003A002D">
      <w:pPr>
        <w:spacing w:after="0" w:line="240" w:lineRule="auto"/>
        <w:jc w:val="both"/>
        <w:rPr>
          <w:rFonts w:ascii="Verdana" w:eastAsia="Century Gothic" w:hAnsi="Verdana" w:cs="Century Gothic"/>
          <w:bCs/>
        </w:rPr>
      </w:pPr>
    </w:p>
    <w:p w14:paraId="644890F7" w14:textId="77777777" w:rsidR="00F73127" w:rsidRDefault="003A002D" w:rsidP="003A002D">
      <w:pPr>
        <w:spacing w:after="0" w:line="240" w:lineRule="auto"/>
        <w:jc w:val="both"/>
        <w:rPr>
          <w:rFonts w:ascii="Verdana" w:hAnsi="Verdana" w:cs="Arial"/>
          <w:bCs/>
          <w:sz w:val="20"/>
          <w:szCs w:val="20"/>
          <w:lang w:val="es-ES_tradnl" w:eastAsia="es-ES"/>
        </w:rPr>
      </w:pPr>
      <w:r w:rsidRPr="003A002D">
        <w:rPr>
          <w:rFonts w:ascii="Verdana" w:eastAsia="Century Gothic" w:hAnsi="Verdana" w:cs="Century Gothic"/>
          <w:bCs/>
          <w:sz w:val="20"/>
          <w:szCs w:val="20"/>
        </w:rPr>
        <w:t xml:space="preserve">[…] </w:t>
      </w:r>
      <w:r w:rsidRPr="003A002D">
        <w:rPr>
          <w:rFonts w:ascii="Verdana" w:eastAsia="Calibri" w:hAnsi="Verdana" w:cs="Arial"/>
          <w:bCs/>
          <w:color w:val="000000" w:themeColor="text1"/>
          <w:sz w:val="20"/>
          <w:szCs w:val="20"/>
          <w:lang w:val="es-ES_tradnl"/>
        </w:rPr>
        <w:t>el Gobierno Nacional expidió el Decreto 1860 del 24 de diciembre de 2021</w:t>
      </w:r>
      <w:r w:rsidRPr="003A002D">
        <w:rPr>
          <w:rFonts w:ascii="Verdana" w:eastAsia="Calibri" w:hAnsi="Verdana" w:cs="Arial"/>
          <w:bCs/>
          <w:color w:val="000000" w:themeColor="text1"/>
          <w:sz w:val="20"/>
          <w:szCs w:val="20"/>
          <w:lang w:val="es-ES_tradnl"/>
        </w:rPr>
        <w:t xml:space="preserve"> </w:t>
      </w:r>
      <w:r>
        <w:rPr>
          <w:rFonts w:ascii="Verdana" w:eastAsia="Calibri" w:hAnsi="Verdana" w:cs="Arial"/>
          <w:bCs/>
          <w:color w:val="000000" w:themeColor="text1"/>
          <w:sz w:val="20"/>
          <w:szCs w:val="20"/>
          <w:lang w:val="es-ES_tradnl"/>
        </w:rPr>
        <w:t>[…]</w:t>
      </w:r>
      <w:r w:rsidRPr="003A002D">
        <w:rPr>
          <w:rFonts w:ascii="Verdana" w:eastAsia="Calibri" w:hAnsi="Verdana" w:cs="Arial"/>
          <w:bCs/>
          <w:color w:val="000000" w:themeColor="text1"/>
          <w:sz w:val="20"/>
          <w:szCs w:val="20"/>
          <w:lang w:val="es-ES_tradnl"/>
        </w:rPr>
        <w:t xml:space="preserve"> </w:t>
      </w:r>
      <w:r w:rsidRPr="003A002D">
        <w:rPr>
          <w:rFonts w:ascii="Verdana" w:eastAsia="Calibri" w:hAnsi="Verdana" w:cs="Arial"/>
          <w:color w:val="000000" w:themeColor="text1"/>
          <w:sz w:val="20"/>
          <w:szCs w:val="20"/>
          <w:lang w:val="es-ES"/>
        </w:rPr>
        <w:t>Entre los aspectos reglamentados por el mencionado decreto se encuentra el procedimiento de mínima cuantía</w:t>
      </w:r>
      <w:r w:rsidRPr="003A002D">
        <w:rPr>
          <w:rFonts w:ascii="Verdana" w:eastAsia="Calibri" w:hAnsi="Verdana" w:cs="Arial"/>
          <w:color w:val="000000" w:themeColor="text1"/>
          <w:sz w:val="20"/>
          <w:szCs w:val="20"/>
          <w:lang w:val="es-ES"/>
        </w:rPr>
        <w:t xml:space="preserve"> […] </w:t>
      </w:r>
      <w:r w:rsidRPr="003A002D">
        <w:rPr>
          <w:rFonts w:ascii="Verdana" w:hAnsi="Verdana" w:cs="Arial"/>
          <w:bCs/>
          <w:sz w:val="20"/>
          <w:szCs w:val="20"/>
          <w:lang w:val="es-ES_tradnl" w:eastAsia="es-ES"/>
        </w:rPr>
        <w:t xml:space="preserve">el artículo 5 del Decreto 1860 de 2021 modificó </w:t>
      </w:r>
      <w:r w:rsidRPr="003A002D">
        <w:rPr>
          <w:rFonts w:ascii="Verdana" w:hAnsi="Verdana" w:cs="Arial"/>
          <w:bCs/>
          <w:sz w:val="20"/>
          <w:szCs w:val="20"/>
          <w:lang w:eastAsia="es-ES"/>
        </w:rPr>
        <w:t>los artículos 2.2.1.2.4.2.2., 2.2.1.2.4.2.3. y 2.2.1.2.4.2.4. de la Subsección 2 de la Sección 4 del Capítulo 2 del Título 1 de la Parte 2 del Libro 2 del Decreto 1082 de 2015, reglamentando</w:t>
      </w:r>
      <w:r w:rsidRPr="003A002D">
        <w:rPr>
          <w:rFonts w:ascii="Verdana" w:hAnsi="Verdana" w:cs="Arial"/>
          <w:bCs/>
          <w:sz w:val="20"/>
          <w:szCs w:val="20"/>
          <w:lang w:val="es-ES_tradnl" w:eastAsia="es-ES"/>
        </w:rPr>
        <w:t xml:space="preserve"> las convocatorias limitadas a </w:t>
      </w:r>
      <w:proofErr w:type="spellStart"/>
      <w:r w:rsidRPr="003A002D">
        <w:rPr>
          <w:rFonts w:ascii="Verdana" w:hAnsi="Verdana" w:cs="Arial"/>
          <w:bCs/>
          <w:sz w:val="20"/>
          <w:szCs w:val="20"/>
          <w:lang w:val="es-ES_tradnl" w:eastAsia="es-ES"/>
        </w:rPr>
        <w:t>Mipyme</w:t>
      </w:r>
      <w:proofErr w:type="spellEnd"/>
      <w:r w:rsidRPr="003A002D">
        <w:rPr>
          <w:rFonts w:ascii="Verdana" w:hAnsi="Verdana" w:cs="Arial"/>
          <w:bCs/>
          <w:sz w:val="20"/>
          <w:szCs w:val="20"/>
          <w:lang w:val="es-ES_tradnl" w:eastAsia="es-ES"/>
        </w:rPr>
        <w:t xml:space="preserve">, con fundamento en lo establecido en el artículo 34 de la Ley 2069 de 2020. </w:t>
      </w:r>
    </w:p>
    <w:p w14:paraId="2775D0BD" w14:textId="77777777" w:rsidR="00F73127" w:rsidRDefault="00F73127" w:rsidP="003A002D">
      <w:pPr>
        <w:spacing w:after="0" w:line="240" w:lineRule="auto"/>
        <w:jc w:val="both"/>
        <w:rPr>
          <w:rFonts w:ascii="Verdana" w:hAnsi="Verdana" w:cs="Arial"/>
          <w:bCs/>
          <w:sz w:val="20"/>
          <w:szCs w:val="20"/>
          <w:lang w:val="es-ES_tradnl" w:eastAsia="es-ES"/>
        </w:rPr>
      </w:pPr>
    </w:p>
    <w:p w14:paraId="27EC61F0" w14:textId="77777777" w:rsidR="00F73127" w:rsidRPr="003A002D" w:rsidRDefault="00F73127" w:rsidP="00F73127">
      <w:pPr>
        <w:spacing w:after="0" w:line="240" w:lineRule="auto"/>
        <w:jc w:val="both"/>
        <w:rPr>
          <w:rFonts w:ascii="Verdana" w:hAnsi="Verdana" w:cs="Arial"/>
          <w:b/>
          <w:sz w:val="20"/>
          <w:szCs w:val="20"/>
          <w:lang w:eastAsia="es-ES"/>
        </w:rPr>
      </w:pPr>
      <w:r w:rsidRPr="003A002D">
        <w:rPr>
          <w:rFonts w:ascii="Verdana" w:eastAsia="Century Gothic" w:hAnsi="Verdana" w:cs="Century Gothic"/>
          <w:b/>
        </w:rPr>
        <w:t xml:space="preserve">CONVOCATORIAS LIMITADAS A MIPYME – Aplicación </w:t>
      </w:r>
    </w:p>
    <w:p w14:paraId="3BB30BEA" w14:textId="77777777" w:rsidR="00F73127" w:rsidRDefault="00F73127" w:rsidP="003A002D">
      <w:pPr>
        <w:spacing w:after="0" w:line="240" w:lineRule="auto"/>
        <w:jc w:val="both"/>
        <w:rPr>
          <w:rFonts w:ascii="Verdana" w:hAnsi="Verdana" w:cs="Arial"/>
          <w:bCs/>
          <w:sz w:val="20"/>
          <w:szCs w:val="20"/>
          <w:lang w:val="es-ES_tradnl" w:eastAsia="es-ES"/>
        </w:rPr>
      </w:pPr>
    </w:p>
    <w:p w14:paraId="42610908" w14:textId="6DD5BCA6" w:rsidR="003A002D" w:rsidRDefault="003A002D" w:rsidP="003A002D">
      <w:pPr>
        <w:spacing w:after="0" w:line="240" w:lineRule="auto"/>
        <w:jc w:val="both"/>
        <w:rPr>
          <w:rFonts w:ascii="Verdana" w:hAnsi="Verdana" w:cs="Arial"/>
          <w:bCs/>
          <w:sz w:val="20"/>
          <w:szCs w:val="20"/>
          <w:lang w:eastAsia="es-ES"/>
        </w:rPr>
      </w:pPr>
      <w:r w:rsidRPr="003A002D">
        <w:rPr>
          <w:rFonts w:ascii="Verdana" w:hAnsi="Verdana" w:cs="Arial"/>
          <w:bCs/>
          <w:sz w:val="20"/>
          <w:szCs w:val="20"/>
          <w:lang w:val="es-ES_tradnl" w:eastAsia="es-ES"/>
        </w:rPr>
        <w:t xml:space="preserve">Esta nueva Subsección 2 contempla los siguientes aspectos: i) requisitos para limitar la convocatoria de los </w:t>
      </w:r>
      <w:r w:rsidRPr="003A002D">
        <w:rPr>
          <w:rFonts w:ascii="Verdana" w:hAnsi="Verdana" w:cs="Arial"/>
          <w:bCs/>
          <w:sz w:val="20"/>
          <w:szCs w:val="20"/>
          <w:lang w:eastAsia="es-ES"/>
        </w:rPr>
        <w:t>procesos de contratación con pluralidad de oferentes</w:t>
      </w:r>
      <w:r w:rsidRPr="003A002D">
        <w:rPr>
          <w:rFonts w:ascii="Verdana" w:hAnsi="Verdana" w:cs="Arial"/>
          <w:bCs/>
          <w:sz w:val="20"/>
          <w:szCs w:val="20"/>
          <w:lang w:val="es-ES_tradnl" w:eastAsia="es-ES"/>
        </w:rPr>
        <w:t xml:space="preserve"> a las </w:t>
      </w:r>
      <w:proofErr w:type="spellStart"/>
      <w:r w:rsidRPr="003A002D">
        <w:rPr>
          <w:rFonts w:ascii="Verdana" w:hAnsi="Verdana" w:cs="Arial"/>
          <w:bCs/>
          <w:sz w:val="20"/>
          <w:szCs w:val="20"/>
          <w:lang w:val="es-ES_tradnl" w:eastAsia="es-ES"/>
        </w:rPr>
        <w:t>Mipyme</w:t>
      </w:r>
      <w:proofErr w:type="spellEnd"/>
      <w:r w:rsidRPr="003A002D">
        <w:rPr>
          <w:rFonts w:ascii="Verdana" w:hAnsi="Verdana" w:cs="Arial"/>
          <w:bCs/>
          <w:sz w:val="20"/>
          <w:szCs w:val="20"/>
          <w:lang w:val="es-ES_tradnl" w:eastAsia="es-ES"/>
        </w:rPr>
        <w:t xml:space="preserve"> colombianas con mínimo un (1) año de existencia – artículo </w:t>
      </w:r>
      <w:r w:rsidRPr="003A002D">
        <w:rPr>
          <w:rFonts w:ascii="Verdana" w:hAnsi="Verdana" w:cs="Arial"/>
          <w:bCs/>
          <w:sz w:val="20"/>
          <w:szCs w:val="20"/>
          <w:lang w:eastAsia="es-ES"/>
        </w:rPr>
        <w:t>2.2.1.2.4.2.2-</w:t>
      </w:r>
      <w:r w:rsidRPr="003A002D">
        <w:rPr>
          <w:rFonts w:ascii="Verdana" w:hAnsi="Verdana" w:cs="Arial"/>
          <w:bCs/>
          <w:sz w:val="20"/>
          <w:szCs w:val="20"/>
          <w:lang w:val="es-ES_tradnl" w:eastAsia="es-ES"/>
        </w:rPr>
        <w:t xml:space="preserve"> , </w:t>
      </w:r>
      <w:proofErr w:type="spellStart"/>
      <w:r w:rsidRPr="003A002D">
        <w:rPr>
          <w:rFonts w:ascii="Verdana" w:hAnsi="Verdana" w:cs="Arial"/>
          <w:bCs/>
          <w:sz w:val="20"/>
          <w:szCs w:val="20"/>
          <w:lang w:val="es-ES_tradnl" w:eastAsia="es-ES"/>
        </w:rPr>
        <w:t>ii</w:t>
      </w:r>
      <w:proofErr w:type="spellEnd"/>
      <w:r w:rsidRPr="003A002D">
        <w:rPr>
          <w:rFonts w:ascii="Verdana" w:hAnsi="Verdana" w:cs="Arial"/>
          <w:bCs/>
          <w:sz w:val="20"/>
          <w:szCs w:val="20"/>
          <w:lang w:val="es-ES_tradnl" w:eastAsia="es-ES"/>
        </w:rPr>
        <w:t xml:space="preserve">) desarrolla las </w:t>
      </w:r>
      <w:r w:rsidRPr="003A002D">
        <w:rPr>
          <w:rFonts w:ascii="Verdana" w:hAnsi="Verdana" w:cs="Arial"/>
          <w:bCs/>
          <w:sz w:val="20"/>
          <w:szCs w:val="20"/>
          <w:lang w:eastAsia="es-ES"/>
        </w:rPr>
        <w:t xml:space="preserve">convocatorias limitadas a </w:t>
      </w:r>
      <w:proofErr w:type="spellStart"/>
      <w:r w:rsidRPr="003A002D">
        <w:rPr>
          <w:rFonts w:ascii="Verdana" w:hAnsi="Verdana" w:cs="Arial"/>
          <w:bCs/>
          <w:sz w:val="20"/>
          <w:szCs w:val="20"/>
          <w:lang w:eastAsia="es-ES"/>
        </w:rPr>
        <w:t>Mipyme</w:t>
      </w:r>
      <w:proofErr w:type="spellEnd"/>
      <w:r w:rsidRPr="003A002D">
        <w:rPr>
          <w:rFonts w:ascii="Verdana" w:hAnsi="Verdana" w:cs="Arial"/>
          <w:bCs/>
          <w:sz w:val="20"/>
          <w:szCs w:val="20"/>
          <w:lang w:eastAsia="es-ES"/>
        </w:rPr>
        <w:t xml:space="preserve"> colombianas que tengan domicilio en los departamentos o municipios en donde se va a ejecutar el contrato – artículo 2.2.1.2.4.2.3.,</w:t>
      </w:r>
      <w:r w:rsidRPr="003A002D">
        <w:rPr>
          <w:rFonts w:ascii="Verdana" w:hAnsi="Verdana" w:cs="Arial"/>
          <w:bCs/>
          <w:sz w:val="20"/>
          <w:szCs w:val="20"/>
          <w:lang w:val="es-ES_tradnl" w:eastAsia="es-ES"/>
        </w:rPr>
        <w:t xml:space="preserve"> y </w:t>
      </w:r>
      <w:proofErr w:type="spellStart"/>
      <w:r w:rsidRPr="003A002D">
        <w:rPr>
          <w:rFonts w:ascii="Verdana" w:hAnsi="Verdana" w:cs="Arial"/>
          <w:bCs/>
          <w:sz w:val="20"/>
          <w:szCs w:val="20"/>
          <w:lang w:val="es-ES_tradnl" w:eastAsia="es-ES"/>
        </w:rPr>
        <w:t>iii</w:t>
      </w:r>
      <w:proofErr w:type="spellEnd"/>
      <w:r w:rsidRPr="003A002D">
        <w:rPr>
          <w:rFonts w:ascii="Verdana" w:hAnsi="Verdana" w:cs="Arial"/>
          <w:bCs/>
          <w:sz w:val="20"/>
          <w:szCs w:val="20"/>
          <w:lang w:val="es-ES_tradnl" w:eastAsia="es-ES"/>
        </w:rPr>
        <w:t xml:space="preserve">) </w:t>
      </w:r>
      <w:r w:rsidRPr="003A002D">
        <w:rPr>
          <w:rFonts w:ascii="Verdana" w:hAnsi="Verdana" w:cs="Arial"/>
          <w:bCs/>
          <w:sz w:val="20"/>
          <w:szCs w:val="20"/>
          <w:lang w:eastAsia="es-ES"/>
        </w:rPr>
        <w:t>regula la acreditación de requisitos para participar en convocatorias limitadas – artículo 2.2.1.2.4.2.4-.</w:t>
      </w:r>
    </w:p>
    <w:p w14:paraId="7E7C1712" w14:textId="77777777" w:rsidR="003A002D" w:rsidRDefault="003A002D" w:rsidP="003A002D">
      <w:pPr>
        <w:spacing w:after="0" w:line="240" w:lineRule="auto"/>
        <w:jc w:val="both"/>
        <w:rPr>
          <w:rFonts w:ascii="Verdana" w:hAnsi="Verdana" w:cs="Arial"/>
          <w:bCs/>
          <w:sz w:val="20"/>
          <w:szCs w:val="20"/>
          <w:lang w:eastAsia="es-ES"/>
        </w:rPr>
      </w:pPr>
    </w:p>
    <w:p w14:paraId="1A9B45AD" w14:textId="6A3E86D7" w:rsidR="003A002D" w:rsidRPr="00F73127" w:rsidRDefault="00F73127" w:rsidP="003A002D">
      <w:pPr>
        <w:spacing w:after="0" w:line="240" w:lineRule="auto"/>
        <w:jc w:val="both"/>
        <w:rPr>
          <w:rFonts w:ascii="Verdana" w:eastAsia="Arial" w:hAnsi="Verdana" w:cs="Arial"/>
          <w:b/>
          <w:color w:val="000000"/>
        </w:rPr>
      </w:pPr>
      <w:r w:rsidRPr="00F73127">
        <w:rPr>
          <w:rFonts w:ascii="Verdana" w:eastAsia="Century Gothic" w:hAnsi="Verdana" w:cs="Century Gothic"/>
          <w:b/>
        </w:rPr>
        <w:t>CONVOCATORIAS LIMITADAS A MIPYMES NACIONALES – Requisit</w:t>
      </w:r>
      <w:r>
        <w:rPr>
          <w:rFonts w:ascii="Verdana" w:eastAsia="Century Gothic" w:hAnsi="Verdana" w:cs="Century Gothic"/>
          <w:b/>
        </w:rPr>
        <w:t>os</w:t>
      </w:r>
    </w:p>
    <w:p w14:paraId="31E854F8" w14:textId="77777777" w:rsidR="00F73127" w:rsidRDefault="00F73127" w:rsidP="00F73127">
      <w:pPr>
        <w:spacing w:after="0" w:line="240" w:lineRule="auto"/>
        <w:jc w:val="both"/>
        <w:rPr>
          <w:rFonts w:ascii="Verdana" w:eastAsia="Arial" w:hAnsi="Verdana" w:cs="Arial"/>
          <w:color w:val="000000"/>
          <w:sz w:val="20"/>
          <w:szCs w:val="20"/>
        </w:rPr>
      </w:pPr>
    </w:p>
    <w:p w14:paraId="11FF64FB" w14:textId="622EA121" w:rsidR="003A002D" w:rsidRDefault="003A002D" w:rsidP="00867BA1">
      <w:pPr>
        <w:spacing w:after="0" w:line="240" w:lineRule="auto"/>
        <w:jc w:val="both"/>
        <w:rPr>
          <w:rFonts w:ascii="Verdana" w:eastAsia="Arial" w:hAnsi="Verdana" w:cs="Arial"/>
          <w:color w:val="000000"/>
          <w:sz w:val="20"/>
          <w:szCs w:val="20"/>
        </w:rPr>
      </w:pPr>
      <w:r w:rsidRPr="003A002D">
        <w:rPr>
          <w:rFonts w:ascii="Verdana" w:eastAsia="Arial" w:hAnsi="Verdana" w:cs="Arial"/>
          <w:color w:val="000000"/>
          <w:sz w:val="20"/>
          <w:szCs w:val="20"/>
        </w:rPr>
        <w:t xml:space="preserve">En este contexto, el artículo 2.2.1.2.4.2.2. del Decreto 1082 de 2015 –modificado por el Decreto 1860 de 2021– establece los requisitos que se deben acreditar en las “convocatorias limitadas a </w:t>
      </w:r>
      <w:proofErr w:type="spellStart"/>
      <w:r w:rsidRPr="003A002D">
        <w:rPr>
          <w:rFonts w:ascii="Verdana" w:eastAsia="Arial" w:hAnsi="Verdana" w:cs="Arial"/>
          <w:color w:val="000000"/>
          <w:sz w:val="20"/>
          <w:szCs w:val="20"/>
        </w:rPr>
        <w:t>Mipymes</w:t>
      </w:r>
      <w:proofErr w:type="spellEnd"/>
      <w:r w:rsidRPr="003A002D">
        <w:rPr>
          <w:rFonts w:ascii="Verdana" w:eastAsia="Arial" w:hAnsi="Verdana" w:cs="Arial"/>
          <w:color w:val="000000"/>
          <w:sz w:val="20"/>
          <w:szCs w:val="20"/>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3A002D">
        <w:rPr>
          <w:rFonts w:ascii="Verdana" w:eastAsia="Arial" w:hAnsi="Verdana" w:cs="Arial"/>
          <w:color w:val="000000"/>
          <w:sz w:val="20"/>
          <w:szCs w:val="20"/>
        </w:rPr>
        <w:t>Mipyme</w:t>
      </w:r>
      <w:proofErr w:type="spellEnd"/>
      <w:r w:rsidRPr="003A002D">
        <w:rPr>
          <w:rFonts w:ascii="Verdana" w:eastAsia="Arial" w:hAnsi="Verdana" w:cs="Arial"/>
          <w:color w:val="000000"/>
          <w:sz w:val="20"/>
          <w:szCs w:val="20"/>
        </w:rPr>
        <w:t xml:space="preserve"> colombianas con mínimo un (1) año de existencia, siempre que se cumplan los requisitos señalados allí.</w:t>
      </w:r>
    </w:p>
    <w:p w14:paraId="3A796C77" w14:textId="77777777" w:rsidR="00867BA1" w:rsidRDefault="00867BA1" w:rsidP="00867BA1">
      <w:pPr>
        <w:spacing w:after="0" w:line="240" w:lineRule="auto"/>
        <w:jc w:val="both"/>
        <w:rPr>
          <w:rFonts w:ascii="Verdana" w:eastAsia="Century Gothic" w:hAnsi="Verdana" w:cs="Century Gothic"/>
          <w:bCs/>
          <w:sz w:val="20"/>
          <w:szCs w:val="20"/>
        </w:rPr>
      </w:pPr>
    </w:p>
    <w:p w14:paraId="322F78CC" w14:textId="1455CBD5" w:rsidR="00F73127" w:rsidRPr="00F73127" w:rsidRDefault="00F73127" w:rsidP="00867BA1">
      <w:pPr>
        <w:spacing w:after="0" w:line="240" w:lineRule="auto"/>
        <w:jc w:val="both"/>
        <w:rPr>
          <w:rFonts w:ascii="Verdana" w:eastAsia="Century Gothic" w:hAnsi="Verdana" w:cs="Century Gothic"/>
          <w:bCs/>
          <w:sz w:val="20"/>
          <w:szCs w:val="20"/>
        </w:rPr>
      </w:pPr>
      <w:r w:rsidRPr="00F73127">
        <w:rPr>
          <w:rFonts w:ascii="Verdana" w:eastAsia="Century Gothic" w:hAnsi="Verdana" w:cs="Century Gothic"/>
          <w:bCs/>
          <w:sz w:val="20"/>
          <w:szCs w:val="20"/>
        </w:rPr>
        <w:t xml:space="preserve">[…] </w:t>
      </w:r>
    </w:p>
    <w:p w14:paraId="377E3E6E" w14:textId="77777777" w:rsidR="00F73127" w:rsidRDefault="00F73127" w:rsidP="00867BA1">
      <w:pPr>
        <w:spacing w:after="0" w:line="240" w:lineRule="auto"/>
        <w:jc w:val="both"/>
        <w:rPr>
          <w:rFonts w:ascii="Verdana" w:eastAsia="Century Gothic" w:hAnsi="Verdana" w:cs="Century Gothic"/>
          <w:bCs/>
          <w:sz w:val="20"/>
          <w:szCs w:val="20"/>
        </w:rPr>
      </w:pPr>
    </w:p>
    <w:p w14:paraId="3C96907F" w14:textId="37E71786" w:rsidR="00F73127" w:rsidRDefault="00F73127" w:rsidP="00867BA1">
      <w:pPr>
        <w:spacing w:after="0" w:line="240" w:lineRule="auto"/>
        <w:jc w:val="both"/>
        <w:rPr>
          <w:rFonts w:ascii="Verdana" w:eastAsia="Arial" w:hAnsi="Verdana" w:cs="Arial"/>
          <w:color w:val="000000"/>
          <w:sz w:val="20"/>
          <w:szCs w:val="20"/>
        </w:rPr>
      </w:pPr>
      <w:r w:rsidRPr="00F73127">
        <w:rPr>
          <w:rFonts w:ascii="Verdana" w:eastAsia="Century Gothic" w:hAnsi="Verdana" w:cs="Century Gothic"/>
          <w:bCs/>
          <w:sz w:val="20"/>
          <w:szCs w:val="20"/>
        </w:rPr>
        <w:t xml:space="preserve">[…] </w:t>
      </w:r>
      <w:r w:rsidRPr="00F73127">
        <w:rPr>
          <w:rFonts w:ascii="Verdana" w:eastAsia="Arial" w:hAnsi="Verdana" w:cs="Arial"/>
          <w:color w:val="000000"/>
          <w:sz w:val="20"/>
          <w:szCs w:val="20"/>
        </w:rPr>
        <w:t xml:space="preserve">Según se evidencia, el numeral primero limita cuantitativamente los procesos contractuales en los que se puede hacer esa convocatoria limitada a </w:t>
      </w:r>
      <w:proofErr w:type="spellStart"/>
      <w:r w:rsidRPr="00F73127">
        <w:rPr>
          <w:rFonts w:ascii="Verdana" w:eastAsia="Arial" w:hAnsi="Verdana" w:cs="Arial"/>
          <w:color w:val="000000"/>
          <w:sz w:val="20"/>
          <w:szCs w:val="20"/>
        </w:rPr>
        <w:t>Mipyme</w:t>
      </w:r>
      <w:proofErr w:type="spellEnd"/>
      <w:r w:rsidRPr="00F73127">
        <w:rPr>
          <w:rFonts w:ascii="Verdana" w:eastAsia="Arial" w:hAnsi="Verdana" w:cs="Arial"/>
          <w:color w:val="000000"/>
          <w:sz w:val="20"/>
          <w:szCs w:val="20"/>
        </w:rPr>
        <w:t xml:space="preserve">, en la </w:t>
      </w:r>
      <w:r w:rsidRPr="00F73127">
        <w:rPr>
          <w:rFonts w:ascii="Verdana" w:eastAsia="Arial" w:hAnsi="Verdana" w:cs="Arial"/>
          <w:color w:val="000000"/>
          <w:sz w:val="20"/>
          <w:szCs w:val="20"/>
        </w:rPr>
        <w:lastRenderedPageBreak/>
        <w:t>medida en que el valor del proceso de contratación tendrá que ser “menor a ciento veinticinco mil dólares de los Estados Unidos de América”.</w:t>
      </w:r>
    </w:p>
    <w:p w14:paraId="6446CDCE" w14:textId="77777777" w:rsidR="00867BA1" w:rsidRDefault="00867BA1" w:rsidP="00867BA1">
      <w:pPr>
        <w:spacing w:after="0" w:line="240" w:lineRule="auto"/>
        <w:jc w:val="both"/>
        <w:rPr>
          <w:rFonts w:ascii="Verdana" w:eastAsia="Arial" w:hAnsi="Verdana" w:cs="Arial"/>
          <w:color w:val="000000"/>
          <w:sz w:val="20"/>
          <w:szCs w:val="20"/>
        </w:rPr>
      </w:pPr>
    </w:p>
    <w:p w14:paraId="46CE89CE" w14:textId="5C131CDA" w:rsidR="00F73127" w:rsidRPr="00F73127" w:rsidRDefault="00F73127" w:rsidP="00867BA1">
      <w:pPr>
        <w:spacing w:after="0" w:line="240" w:lineRule="auto"/>
        <w:jc w:val="both"/>
        <w:rPr>
          <w:rFonts w:ascii="Verdana" w:eastAsia="Arial" w:hAnsi="Verdana" w:cs="Arial"/>
          <w:color w:val="000000"/>
          <w:sz w:val="20"/>
          <w:szCs w:val="20"/>
        </w:rPr>
      </w:pPr>
      <w:r w:rsidRPr="00F73127">
        <w:rPr>
          <w:rFonts w:ascii="Verdana" w:eastAsia="Arial" w:hAnsi="Verdana" w:cs="Arial"/>
          <w:color w:val="000000"/>
          <w:sz w:val="20"/>
          <w:szCs w:val="20"/>
        </w:rPr>
        <w:t xml:space="preserve">Por su parte, el numeral segundo establece dos exigencias: por un lado, que al menos dos (2) </w:t>
      </w:r>
      <w:proofErr w:type="spellStart"/>
      <w:r w:rsidRPr="00F73127">
        <w:rPr>
          <w:rFonts w:ascii="Verdana" w:eastAsia="Arial" w:hAnsi="Verdana" w:cs="Arial"/>
          <w:color w:val="000000"/>
          <w:sz w:val="20"/>
          <w:szCs w:val="20"/>
        </w:rPr>
        <w:t>Mipymes</w:t>
      </w:r>
      <w:proofErr w:type="spellEnd"/>
      <w:r w:rsidRPr="00F73127">
        <w:rPr>
          <w:rFonts w:ascii="Verdana" w:eastAsia="Arial" w:hAnsi="Verdana" w:cs="Arial"/>
          <w:color w:val="000000"/>
          <w:sz w:val="20"/>
          <w:szCs w:val="20"/>
        </w:rPr>
        <w:t xml:space="preserve"> colombianas presenten a la entidad la solicitud de limitar el proceso contractual y, por el otro, que hagan la solicitud por lo menos un día (1) hábil antes de la expedición del acto administrativo de apertura </w:t>
      </w:r>
      <w:r w:rsidRPr="00F73127">
        <w:rPr>
          <w:rFonts w:ascii="Verdana" w:eastAsia="Arial" w:hAnsi="Verdana" w:cs="Arial"/>
          <w:color w:val="000000"/>
          <w:sz w:val="20"/>
          <w:szCs w:val="20"/>
          <w:lang w:val="es-ES_tradnl"/>
        </w:rPr>
        <w:t>o el que haga sus veces de acuerdo con la normativa aplicable a cada proceso de contratación</w:t>
      </w:r>
      <w:r w:rsidRPr="00F73127">
        <w:rPr>
          <w:rFonts w:ascii="Verdana" w:eastAsia="Arial" w:hAnsi="Verdana" w:cs="Arial"/>
          <w:color w:val="000000"/>
          <w:sz w:val="20"/>
          <w:szCs w:val="20"/>
        </w:rPr>
        <w:t xml:space="preserve">. Además, la norma señala que, </w:t>
      </w:r>
      <w:r w:rsidRPr="00F73127">
        <w:rPr>
          <w:rFonts w:ascii="Verdana" w:eastAsia="Arial" w:hAnsi="Verdana" w:cs="Arial"/>
          <w:color w:val="000000"/>
          <w:sz w:val="20"/>
          <w:szCs w:val="20"/>
          <w:lang w:val="es-ES_tradnl"/>
        </w:rPr>
        <w:t xml:space="preserve">tratándose de personas jurídicas, las solicitudes solo las podrán realizar </w:t>
      </w:r>
      <w:proofErr w:type="spellStart"/>
      <w:r w:rsidRPr="00F73127">
        <w:rPr>
          <w:rFonts w:ascii="Verdana" w:eastAsia="Arial" w:hAnsi="Verdana" w:cs="Arial"/>
          <w:color w:val="000000"/>
          <w:sz w:val="20"/>
          <w:szCs w:val="20"/>
          <w:lang w:val="es-ES_tradnl"/>
        </w:rPr>
        <w:t>Mipymes</w:t>
      </w:r>
      <w:proofErr w:type="spellEnd"/>
      <w:r w:rsidRPr="00F73127">
        <w:rPr>
          <w:rFonts w:ascii="Verdana" w:eastAsia="Arial" w:hAnsi="Verdana" w:cs="Arial"/>
          <w:color w:val="000000"/>
          <w:sz w:val="20"/>
          <w:szCs w:val="20"/>
          <w:lang w:val="es-ES_tradnl"/>
        </w:rPr>
        <w:t xml:space="preserve">, cuyo objeto social les permita ejecutar el contrato relacionado con el proceso contractual. Asimismo, este artículo incluye a las cooperativas y demás entidades de economía solidaria dentro de los sujetos que pueden solicitar y participar en las convocatorias limitadas a </w:t>
      </w:r>
      <w:proofErr w:type="spellStart"/>
      <w:r w:rsidRPr="00F73127">
        <w:rPr>
          <w:rFonts w:ascii="Verdana" w:eastAsia="Arial" w:hAnsi="Verdana" w:cs="Arial"/>
          <w:color w:val="000000"/>
          <w:sz w:val="20"/>
          <w:szCs w:val="20"/>
          <w:lang w:val="es-ES_tradnl"/>
        </w:rPr>
        <w:t>Mipymes</w:t>
      </w:r>
      <w:proofErr w:type="spellEnd"/>
      <w:r w:rsidRPr="00F73127">
        <w:rPr>
          <w:rFonts w:ascii="Verdana" w:eastAsia="Arial" w:hAnsi="Verdana" w:cs="Arial"/>
          <w:color w:val="000000"/>
          <w:sz w:val="20"/>
          <w:szCs w:val="20"/>
          <w:lang w:val="es-ES_tradnl"/>
        </w:rPr>
        <w:t xml:space="preserve">, siempre que estas cumplan con las condiciones señaladas en el artículo. </w:t>
      </w:r>
    </w:p>
    <w:p w14:paraId="21E8E1D2" w14:textId="77777777" w:rsidR="00F73127" w:rsidRPr="00F73127" w:rsidRDefault="00F73127" w:rsidP="00F73127">
      <w:pPr>
        <w:spacing w:after="0" w:line="240" w:lineRule="auto"/>
        <w:jc w:val="both"/>
        <w:rPr>
          <w:rFonts w:ascii="Verdana" w:eastAsia="Century Gothic" w:hAnsi="Verdana" w:cs="Century Gothic"/>
          <w:bCs/>
          <w:sz w:val="20"/>
          <w:szCs w:val="20"/>
        </w:rPr>
      </w:pPr>
    </w:p>
    <w:p w14:paraId="1C90510A" w14:textId="77777777" w:rsidR="00A939D8" w:rsidRDefault="000A04D0" w:rsidP="00A939D8">
      <w:pPr>
        <w:jc w:val="both"/>
        <w:rPr>
          <w:rFonts w:ascii="Verdana" w:eastAsia="Century Gothic" w:hAnsi="Verdana" w:cs="Century Gothic"/>
          <w:b/>
        </w:rPr>
      </w:pPr>
      <w:r w:rsidRPr="00A939D8">
        <w:rPr>
          <w:rFonts w:ascii="Verdana" w:eastAsia="Century Gothic" w:hAnsi="Verdana" w:cs="Century Gothic"/>
          <w:b/>
        </w:rPr>
        <w:t xml:space="preserve">CONVOCATORIAS LIMITADAS A MIPYMES EN EL ÁMBITO TERRITORIAL – Limitación territorial – Facultad discrecional </w:t>
      </w:r>
    </w:p>
    <w:p w14:paraId="51E82D8E" w14:textId="780A43A6" w:rsidR="00A939D8" w:rsidRDefault="00A939D8" w:rsidP="00867BA1">
      <w:pPr>
        <w:spacing w:after="0" w:line="240" w:lineRule="auto"/>
        <w:jc w:val="both"/>
        <w:rPr>
          <w:rFonts w:ascii="Verdana" w:eastAsia="Calibri" w:hAnsi="Verdana" w:cs="Arial"/>
          <w:sz w:val="20"/>
          <w:szCs w:val="20"/>
          <w:lang w:val="es-ES"/>
        </w:rPr>
      </w:pPr>
      <w:r w:rsidRPr="00A939D8">
        <w:rPr>
          <w:rFonts w:ascii="Verdana" w:eastAsia="Calibri" w:hAnsi="Verdana" w:cs="Arial"/>
          <w:sz w:val="20"/>
          <w:szCs w:val="20"/>
          <w:lang w:val="es-ES"/>
        </w:rPr>
        <w:t xml:space="preserve">En relación con las limitaciones territoriales </w:t>
      </w:r>
      <w:r w:rsidRPr="00A939D8">
        <w:rPr>
          <w:rFonts w:ascii="Verdana" w:hAnsi="Verdana" w:cs="Arial"/>
          <w:sz w:val="20"/>
          <w:szCs w:val="20"/>
          <w:lang w:val="es-ES"/>
        </w:rPr>
        <w:t xml:space="preserve">de las convocatorias a </w:t>
      </w:r>
      <w:proofErr w:type="spellStart"/>
      <w:r w:rsidRPr="00A939D8">
        <w:rPr>
          <w:rFonts w:ascii="Verdana" w:hAnsi="Verdana" w:cs="Arial"/>
          <w:sz w:val="20"/>
          <w:szCs w:val="20"/>
          <w:lang w:val="es-ES"/>
        </w:rPr>
        <w:t>Mipymes</w:t>
      </w:r>
      <w:proofErr w:type="spellEnd"/>
      <w:r w:rsidRPr="00A939D8">
        <w:rPr>
          <w:rFonts w:ascii="Verdana" w:eastAsia="Calibri" w:hAnsi="Verdana" w:cs="Arial"/>
          <w:sz w:val="20"/>
          <w:szCs w:val="20"/>
          <w:lang w:val="es-ES"/>
        </w:rPr>
        <w:t xml:space="preserve"> el texto del actual artículo 2.2.1.2.4.2.3, modificado por el artículo 5 del Decreto 1860 de 2021, determina que toda empresa constituida bajo las leyes colombianas o que tenga su domicilio principal en el territorio colombiano y, además, cumpla los criterios previstos por la Ley 590 de 2000 y el Decreto 957 de 2019, será considerada </w:t>
      </w:r>
      <w:proofErr w:type="spellStart"/>
      <w:r w:rsidRPr="00A939D8">
        <w:rPr>
          <w:rFonts w:ascii="Verdana" w:eastAsia="Calibri" w:hAnsi="Verdana" w:cs="Arial"/>
          <w:sz w:val="20"/>
          <w:szCs w:val="20"/>
          <w:lang w:val="es-ES"/>
        </w:rPr>
        <w:t>Mipymes</w:t>
      </w:r>
      <w:proofErr w:type="spellEnd"/>
      <w:r w:rsidRPr="00A939D8">
        <w:rPr>
          <w:rFonts w:ascii="Verdana" w:eastAsia="Calibri" w:hAnsi="Verdana" w:cs="Arial"/>
          <w:sz w:val="20"/>
          <w:szCs w:val="20"/>
          <w:lang w:val="es-ES"/>
        </w:rPr>
        <w:t xml:space="preserve"> del orden nacional. Otra cosa es que las normas de contratación permitan que las MiPymes nacionales con “domicilio” en un municipio o departamento, puedan beneficiarse en la ejecución de un contrato dentro de la entidad territorial en la que tienen su “domicilio”</w:t>
      </w:r>
      <w:r>
        <w:rPr>
          <w:rFonts w:ascii="Verdana" w:eastAsia="Calibri" w:hAnsi="Verdana" w:cs="Arial"/>
          <w:sz w:val="20"/>
          <w:szCs w:val="20"/>
          <w:lang w:val="es-ES"/>
        </w:rPr>
        <w:t xml:space="preserve">. </w:t>
      </w:r>
      <w:r w:rsidRPr="00A939D8">
        <w:rPr>
          <w:rFonts w:ascii="Verdana" w:eastAsia="Calibri" w:hAnsi="Verdana" w:cs="Arial"/>
          <w:sz w:val="20"/>
          <w:szCs w:val="20"/>
          <w:lang w:val="es-ES"/>
        </w:rPr>
        <w:t xml:space="preserve">En consecuencia, no es procedente distinguir entre </w:t>
      </w:r>
      <w:proofErr w:type="spellStart"/>
      <w:r w:rsidRPr="00A939D8">
        <w:rPr>
          <w:rFonts w:ascii="Verdana" w:eastAsia="Calibri" w:hAnsi="Verdana" w:cs="Arial"/>
          <w:sz w:val="20"/>
          <w:szCs w:val="20"/>
          <w:lang w:val="es-ES"/>
        </w:rPr>
        <w:t>Mipymes</w:t>
      </w:r>
      <w:proofErr w:type="spellEnd"/>
      <w:r w:rsidRPr="00A939D8">
        <w:rPr>
          <w:rFonts w:ascii="Verdana" w:eastAsia="Calibri" w:hAnsi="Verdana" w:cs="Arial"/>
          <w:sz w:val="20"/>
          <w:szCs w:val="20"/>
          <w:lang w:val="es-ES"/>
        </w:rPr>
        <w:t xml:space="preserve"> nacionales y </w:t>
      </w:r>
      <w:proofErr w:type="spellStart"/>
      <w:r w:rsidRPr="00A939D8">
        <w:rPr>
          <w:rFonts w:ascii="Verdana" w:eastAsia="Calibri" w:hAnsi="Verdana" w:cs="Arial"/>
          <w:sz w:val="20"/>
          <w:szCs w:val="20"/>
          <w:lang w:val="es-ES"/>
        </w:rPr>
        <w:t>Mipymes</w:t>
      </w:r>
      <w:proofErr w:type="spellEnd"/>
      <w:r w:rsidRPr="00A939D8">
        <w:rPr>
          <w:rFonts w:ascii="Verdana" w:eastAsia="Calibri" w:hAnsi="Verdana" w:cs="Arial"/>
          <w:sz w:val="20"/>
          <w:szCs w:val="20"/>
          <w:lang w:val="es-ES"/>
        </w:rPr>
        <w:t xml:space="preserve"> municipales o departamentales, habida cuenta que estas últimas no existen como categoría dentro del ordenamiento normativo.</w:t>
      </w:r>
    </w:p>
    <w:p w14:paraId="660D3A64" w14:textId="570DBD5A" w:rsidR="00A939D8" w:rsidRPr="00A939D8" w:rsidRDefault="00A939D8" w:rsidP="00867BA1">
      <w:pPr>
        <w:spacing w:after="0" w:line="240" w:lineRule="auto"/>
        <w:jc w:val="both"/>
        <w:rPr>
          <w:rFonts w:ascii="Verdana" w:eastAsia="Century Gothic" w:hAnsi="Verdana" w:cs="Century Gothic"/>
          <w:bCs/>
          <w:sz w:val="20"/>
          <w:szCs w:val="20"/>
          <w:lang w:val="es-ES"/>
        </w:rPr>
      </w:pPr>
      <w:r w:rsidRPr="00A939D8">
        <w:rPr>
          <w:rFonts w:ascii="Verdana" w:eastAsia="Century Gothic" w:hAnsi="Verdana" w:cs="Century Gothic"/>
          <w:bCs/>
          <w:sz w:val="20"/>
          <w:szCs w:val="20"/>
          <w:lang w:val="es-ES"/>
        </w:rPr>
        <w:t xml:space="preserve">[…] </w:t>
      </w:r>
    </w:p>
    <w:p w14:paraId="38E1785A" w14:textId="77777777" w:rsidR="00A939D8" w:rsidRDefault="00A939D8" w:rsidP="00867BA1">
      <w:pPr>
        <w:spacing w:after="0" w:line="240" w:lineRule="auto"/>
        <w:jc w:val="both"/>
        <w:rPr>
          <w:rFonts w:ascii="Verdana" w:eastAsia="Calibri" w:hAnsi="Verdana" w:cs="Arial"/>
          <w:bCs/>
          <w:sz w:val="20"/>
          <w:szCs w:val="20"/>
          <w:lang w:val="es-ES"/>
        </w:rPr>
      </w:pPr>
    </w:p>
    <w:p w14:paraId="5AACCE8F" w14:textId="2E20BC38" w:rsidR="00A939D8" w:rsidRPr="00A939D8" w:rsidRDefault="00A939D8" w:rsidP="00867BA1">
      <w:pPr>
        <w:spacing w:after="0" w:line="240" w:lineRule="auto"/>
        <w:jc w:val="both"/>
        <w:rPr>
          <w:rFonts w:ascii="Verdana" w:eastAsia="Calibri" w:hAnsi="Verdana" w:cs="Arial"/>
          <w:bCs/>
          <w:sz w:val="20"/>
          <w:szCs w:val="20"/>
          <w:lang w:val="es-ES"/>
        </w:rPr>
      </w:pPr>
      <w:r w:rsidRPr="00A939D8">
        <w:rPr>
          <w:rFonts w:ascii="Verdana" w:eastAsia="Calibri" w:hAnsi="Verdana" w:cs="Arial"/>
          <w:bCs/>
          <w:sz w:val="20"/>
          <w:szCs w:val="20"/>
          <w:lang w:val="es-ES"/>
        </w:rPr>
        <w:t xml:space="preserve">La norma reglamentaria coincide con la redacción del parágrafo 1 del artículo 34 de la Ley 2069 de 2020, según el cual, solo es posible limitar convocatorias a la participación de </w:t>
      </w:r>
      <w:proofErr w:type="spellStart"/>
      <w:r w:rsidRPr="00A939D8">
        <w:rPr>
          <w:rFonts w:ascii="Verdana" w:eastAsia="Calibri" w:hAnsi="Verdana" w:cs="Arial"/>
          <w:bCs/>
          <w:sz w:val="20"/>
          <w:szCs w:val="20"/>
          <w:lang w:val="es-ES"/>
        </w:rPr>
        <w:t>Mipymes</w:t>
      </w:r>
      <w:proofErr w:type="spellEnd"/>
      <w:r w:rsidRPr="00A939D8">
        <w:rPr>
          <w:rFonts w:ascii="Verdana" w:eastAsia="Calibri" w:hAnsi="Verdana" w:cs="Arial"/>
          <w:bCs/>
          <w:sz w:val="20"/>
          <w:szCs w:val="20"/>
          <w:lang w:val="es-ES"/>
        </w:rPr>
        <w:t xml:space="preserve"> “(…) del ámbito municipal o departamental correspondiente al de la ejecución del contrato”. En tales términos, la norma citada solo contempla la posibilidad de limitar convocatorias a </w:t>
      </w:r>
      <w:proofErr w:type="spellStart"/>
      <w:r w:rsidRPr="00A939D8">
        <w:rPr>
          <w:rFonts w:ascii="Verdana" w:eastAsia="Calibri" w:hAnsi="Verdana" w:cs="Arial"/>
          <w:bCs/>
          <w:sz w:val="20"/>
          <w:szCs w:val="20"/>
          <w:lang w:val="es-ES"/>
        </w:rPr>
        <w:t>Mipymes</w:t>
      </w:r>
      <w:proofErr w:type="spellEnd"/>
      <w:r w:rsidRPr="00A939D8">
        <w:rPr>
          <w:rFonts w:ascii="Verdana" w:eastAsia="Calibri" w:hAnsi="Verdana" w:cs="Arial"/>
          <w:bCs/>
          <w:sz w:val="20"/>
          <w:szCs w:val="20"/>
          <w:lang w:val="es-ES"/>
        </w:rPr>
        <w:t xml:space="preserve"> con domicilio en esos dos tipos de entidades territoriales. </w:t>
      </w:r>
    </w:p>
    <w:p w14:paraId="7CD4F0A8" w14:textId="77777777" w:rsidR="00A939D8" w:rsidRDefault="00A939D8" w:rsidP="00867BA1">
      <w:pPr>
        <w:spacing w:after="0" w:line="240" w:lineRule="auto"/>
        <w:jc w:val="both"/>
        <w:rPr>
          <w:rFonts w:ascii="Verdana" w:eastAsia="Century Gothic" w:hAnsi="Verdana" w:cs="Century Gothic"/>
          <w:b/>
          <w:sz w:val="20"/>
          <w:szCs w:val="20"/>
          <w:lang w:val="es-ES"/>
        </w:rPr>
      </w:pPr>
    </w:p>
    <w:p w14:paraId="26D72E32" w14:textId="7E9D8A70" w:rsidR="00A939D8" w:rsidRPr="00A939D8" w:rsidRDefault="00A939D8" w:rsidP="00867BA1">
      <w:pPr>
        <w:spacing w:after="0" w:line="240" w:lineRule="auto"/>
        <w:jc w:val="both"/>
        <w:rPr>
          <w:rFonts w:ascii="Verdana" w:eastAsia="Century Gothic" w:hAnsi="Verdana" w:cs="Century Gothic"/>
          <w:bCs/>
          <w:sz w:val="20"/>
          <w:szCs w:val="20"/>
          <w:lang w:val="es-ES"/>
        </w:rPr>
      </w:pPr>
      <w:r w:rsidRPr="00A939D8">
        <w:rPr>
          <w:rFonts w:ascii="Verdana" w:eastAsia="Century Gothic" w:hAnsi="Verdana" w:cs="Century Gothic"/>
          <w:bCs/>
          <w:sz w:val="20"/>
          <w:szCs w:val="20"/>
          <w:lang w:val="es-ES"/>
        </w:rPr>
        <w:t xml:space="preserve">[…] </w:t>
      </w:r>
    </w:p>
    <w:p w14:paraId="69B5278B" w14:textId="77777777" w:rsidR="00A939D8" w:rsidRDefault="00A939D8" w:rsidP="00867BA1">
      <w:pPr>
        <w:spacing w:after="0" w:line="240" w:lineRule="auto"/>
        <w:jc w:val="both"/>
        <w:rPr>
          <w:rFonts w:ascii="Verdana" w:eastAsia="Arial" w:hAnsi="Verdana" w:cs="Arial"/>
          <w:bCs/>
          <w:color w:val="000000"/>
          <w:sz w:val="20"/>
          <w:szCs w:val="20"/>
          <w:lang w:val="es-ES"/>
        </w:rPr>
      </w:pPr>
    </w:p>
    <w:p w14:paraId="7802B4FB" w14:textId="049750DD" w:rsidR="00A939D8" w:rsidRDefault="00A939D8" w:rsidP="00867BA1">
      <w:pPr>
        <w:spacing w:after="0" w:line="240" w:lineRule="auto"/>
        <w:jc w:val="both"/>
        <w:rPr>
          <w:rFonts w:ascii="Verdana" w:eastAsia="Arial" w:hAnsi="Verdana" w:cs="Arial"/>
          <w:bCs/>
          <w:color w:val="000000"/>
          <w:sz w:val="20"/>
          <w:szCs w:val="20"/>
          <w:lang w:val="es-ES"/>
        </w:rPr>
      </w:pPr>
      <w:r w:rsidRPr="00A939D8">
        <w:rPr>
          <w:rFonts w:ascii="Verdana" w:eastAsia="Arial" w:hAnsi="Verdana" w:cs="Arial"/>
          <w:bCs/>
          <w:color w:val="000000"/>
          <w:sz w:val="20"/>
          <w:szCs w:val="20"/>
          <w:lang w:val="es-ES"/>
        </w:rPr>
        <w:t xml:space="preserve">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00A939D8">
        <w:rPr>
          <w:rFonts w:ascii="Verdana" w:eastAsia="Arial" w:hAnsi="Verdana" w:cs="Arial"/>
          <w:bCs/>
          <w:color w:val="000000"/>
          <w:sz w:val="20"/>
          <w:szCs w:val="20"/>
          <w:lang w:val="es-ES"/>
        </w:rPr>
        <w:t>Mipymes</w:t>
      </w:r>
      <w:proofErr w:type="spellEnd"/>
      <w:r w:rsidRPr="00A939D8">
        <w:rPr>
          <w:rFonts w:ascii="Verdana" w:eastAsia="Arial" w:hAnsi="Verdana" w:cs="Arial"/>
          <w:bCs/>
          <w:color w:val="000000"/>
          <w:sz w:val="20"/>
          <w:szCs w:val="20"/>
          <w:lang w:val="es-ES"/>
        </w:rPr>
        <w:t xml:space="preserve">, no puede </w:t>
      </w:r>
      <w:r w:rsidRPr="00A939D8">
        <w:rPr>
          <w:rFonts w:ascii="Verdana" w:eastAsia="Arial" w:hAnsi="Verdana" w:cs="Arial"/>
          <w:bCs/>
          <w:i/>
          <w:color w:val="000000"/>
          <w:sz w:val="20"/>
          <w:szCs w:val="20"/>
          <w:lang w:val="es-ES"/>
        </w:rPr>
        <w:t xml:space="preserve">motu proprio </w:t>
      </w:r>
      <w:r w:rsidRPr="00A939D8">
        <w:rPr>
          <w:rFonts w:ascii="Verdana" w:eastAsia="Arial" w:hAnsi="Verdana" w:cs="Arial"/>
          <w:bCs/>
          <w:color w:val="000000"/>
          <w:sz w:val="20"/>
          <w:szCs w:val="20"/>
          <w:lang w:val="es-ES"/>
        </w:rPr>
        <w:t xml:space="preserve">proceder con la “limitación territorial” de que trata el artículo 2.2.1.2.4.2.3. </w:t>
      </w:r>
      <w:r w:rsidRPr="00A939D8">
        <w:rPr>
          <w:rFonts w:ascii="Verdana" w:eastAsia="Arial" w:hAnsi="Verdana" w:cs="Arial"/>
          <w:bCs/>
          <w:color w:val="000000"/>
          <w:sz w:val="20"/>
          <w:szCs w:val="20"/>
          <w:lang w:val="es-ES"/>
        </w:rPr>
        <w:lastRenderedPageBreak/>
        <w:t>del Decreto 1082 de 2015. Esto debido a que el ejercicio de esta facultad solo puede darse ante la “limitación a MiPymes colombianas”, lo cual supone verificar los supuestos legales establecidos en los mencionados numerales.</w:t>
      </w:r>
    </w:p>
    <w:p w14:paraId="68FA40D8" w14:textId="77777777" w:rsidR="00A939D8" w:rsidRDefault="00A939D8" w:rsidP="00867BA1">
      <w:pPr>
        <w:spacing w:after="0" w:line="240" w:lineRule="auto"/>
        <w:jc w:val="both"/>
        <w:rPr>
          <w:rFonts w:ascii="Verdana" w:eastAsia="Arial" w:hAnsi="Verdana" w:cs="Arial"/>
          <w:bCs/>
          <w:color w:val="000000"/>
          <w:sz w:val="20"/>
          <w:szCs w:val="20"/>
          <w:lang w:val="es-ES"/>
        </w:rPr>
      </w:pPr>
    </w:p>
    <w:p w14:paraId="20A8E852" w14:textId="1FA3F592" w:rsidR="00A939D8" w:rsidRPr="00A939D8" w:rsidRDefault="00A939D8" w:rsidP="00867BA1">
      <w:pPr>
        <w:spacing w:after="0" w:line="240" w:lineRule="auto"/>
        <w:jc w:val="both"/>
        <w:rPr>
          <w:rFonts w:ascii="Verdana" w:eastAsia="Arial" w:hAnsi="Verdana" w:cs="Arial"/>
          <w:bCs/>
          <w:color w:val="000000"/>
          <w:sz w:val="20"/>
          <w:szCs w:val="20"/>
          <w:lang w:val="es-ES"/>
        </w:rPr>
      </w:pPr>
      <w:r w:rsidRPr="00A939D8">
        <w:rPr>
          <w:rFonts w:ascii="Verdana" w:eastAsia="Arial" w:hAnsi="Verdana" w:cs="Arial"/>
          <w:bCs/>
          <w:color w:val="000000"/>
          <w:sz w:val="20"/>
          <w:szCs w:val="20"/>
          <w:lang w:val="es-ES"/>
        </w:rPr>
        <w:t xml:space="preserve">[…] </w:t>
      </w:r>
    </w:p>
    <w:p w14:paraId="482D9026" w14:textId="77777777" w:rsidR="00A939D8" w:rsidRPr="00A939D8" w:rsidRDefault="00A939D8" w:rsidP="00867BA1">
      <w:pPr>
        <w:spacing w:after="0" w:line="240" w:lineRule="auto"/>
        <w:jc w:val="both"/>
        <w:rPr>
          <w:rFonts w:ascii="Verdana" w:eastAsia="Arial" w:hAnsi="Verdana" w:cs="Arial"/>
          <w:bCs/>
          <w:color w:val="000000"/>
          <w:sz w:val="20"/>
          <w:szCs w:val="20"/>
          <w:lang w:val="es-ES"/>
        </w:rPr>
      </w:pPr>
    </w:p>
    <w:p w14:paraId="23B10A3F" w14:textId="4B3EE35B" w:rsidR="00A939D8" w:rsidRDefault="00A939D8" w:rsidP="00867BA1">
      <w:pPr>
        <w:spacing w:after="0" w:line="240" w:lineRule="auto"/>
        <w:jc w:val="both"/>
        <w:rPr>
          <w:rFonts w:ascii="Verdana" w:hAnsi="Verdana" w:cs="Arial"/>
          <w:color w:val="000000" w:themeColor="text1"/>
          <w:sz w:val="20"/>
          <w:szCs w:val="20"/>
        </w:rPr>
      </w:pPr>
      <w:r w:rsidRPr="00A939D8">
        <w:rPr>
          <w:rFonts w:ascii="Verdana" w:eastAsia="Calibri" w:hAnsi="Verdana" w:cs="Arial"/>
          <w:color w:val="000000" w:themeColor="text1"/>
          <w:sz w:val="20"/>
          <w:szCs w:val="20"/>
        </w:rPr>
        <w:t>Colombia Compra Eficiente ha sostenido que la decisión de limitar territorialmente un</w:t>
      </w:r>
      <w:r w:rsidRPr="00A939D8">
        <w:rPr>
          <w:rFonts w:ascii="Verdana" w:hAnsi="Verdana" w:cs="Arial"/>
          <w:color w:val="000000" w:themeColor="text1"/>
          <w:sz w:val="20"/>
          <w:szCs w:val="20"/>
        </w:rPr>
        <w:t xml:space="preserve">a convocatoria a </w:t>
      </w:r>
      <w:proofErr w:type="spellStart"/>
      <w:r w:rsidRPr="00A939D8">
        <w:rPr>
          <w:rFonts w:ascii="Verdana" w:hAnsi="Verdana" w:cs="Arial"/>
          <w:color w:val="000000" w:themeColor="text1"/>
          <w:sz w:val="20"/>
          <w:szCs w:val="20"/>
        </w:rPr>
        <w:t>Mipymes</w:t>
      </w:r>
      <w:proofErr w:type="spellEnd"/>
      <w:r w:rsidRPr="00A939D8">
        <w:rPr>
          <w:rFonts w:ascii="Verdana" w:hAnsi="Verdana" w:cs="Arial"/>
          <w:color w:val="000000" w:themeColor="text1"/>
          <w:sz w:val="20"/>
          <w:szCs w:val="20"/>
        </w:rPr>
        <w:t xml:space="preserve"> </w:t>
      </w:r>
      <w:r w:rsidRPr="00A939D8">
        <w:rPr>
          <w:rFonts w:ascii="Verdana" w:eastAsia="Calibri" w:hAnsi="Verdana" w:cs="Arial"/>
          <w:color w:val="000000" w:themeColor="text1"/>
          <w:sz w:val="20"/>
          <w:szCs w:val="20"/>
        </w:rPr>
        <w:t xml:space="preserve">es discrecional de la entidad, sin embargo, la decisión debe estar justificada en los correspondientes “estudios del sector”. Lo anterior por cuanto el </w:t>
      </w:r>
      <w:r w:rsidRPr="00A939D8">
        <w:rPr>
          <w:rFonts w:ascii="Verdana" w:hAnsi="Verdana" w:cs="Arial"/>
          <w:color w:val="000000" w:themeColor="text1"/>
          <w:sz w:val="20"/>
          <w:szCs w:val="20"/>
        </w:rPr>
        <w:t xml:space="preserve">artículo 2.2.1.2.4.2.3. del Decreto 1082 de 2015, indicó que las </w:t>
      </w:r>
      <w:proofErr w:type="spellStart"/>
      <w:r w:rsidRPr="00A939D8">
        <w:rPr>
          <w:rFonts w:ascii="Verdana" w:hAnsi="Verdana" w:cs="Arial"/>
          <w:color w:val="000000" w:themeColor="text1"/>
          <w:sz w:val="20"/>
          <w:szCs w:val="20"/>
        </w:rPr>
        <w:t>Mipymes</w:t>
      </w:r>
      <w:proofErr w:type="spellEnd"/>
      <w:r w:rsidRPr="00A939D8">
        <w:rPr>
          <w:rFonts w:ascii="Verdana" w:eastAsia="Calibri" w:hAnsi="Verdana" w:cs="Arial"/>
          <w:color w:val="000000" w:themeColor="text1"/>
          <w:sz w:val="20"/>
          <w:szCs w:val="20"/>
        </w:rPr>
        <w:t xml:space="preserve"> beneficiadas deben tener su domicilio principal en el municipio o departamento donde se ejecutará el contrato para poder participar en una convocatoria limitada territorialmente.</w:t>
      </w:r>
      <w:r w:rsidRPr="00A939D8">
        <w:rPr>
          <w:rFonts w:ascii="Verdana" w:hAnsi="Verdana" w:cs="Arial"/>
          <w:color w:val="000000" w:themeColor="text1"/>
          <w:sz w:val="20"/>
          <w:szCs w:val="20"/>
        </w:rPr>
        <w:t xml:space="preserve"> Esta tesis sigue vigente, puesto que el nuevo contenido del artículo 2.2.1.2.4.2.3. del Decreto 1082 de 2015, modificado por el artículo 5 del Decreto 1860 de 2021, mantiene la facultad de la Administración para limitar territorialmente la convocatoria teniendo en cuenta el domicilio de ejecución del contrato.</w:t>
      </w:r>
    </w:p>
    <w:p w14:paraId="11F4EC0A" w14:textId="77777777" w:rsidR="00A939D8" w:rsidRDefault="00A939D8" w:rsidP="00A939D8">
      <w:pPr>
        <w:spacing w:after="0" w:line="240" w:lineRule="auto"/>
        <w:jc w:val="both"/>
        <w:rPr>
          <w:rFonts w:ascii="Verdana" w:hAnsi="Verdana" w:cs="Arial"/>
          <w:color w:val="000000" w:themeColor="text1"/>
          <w:sz w:val="20"/>
          <w:szCs w:val="20"/>
        </w:rPr>
      </w:pPr>
    </w:p>
    <w:p w14:paraId="1012FBDB" w14:textId="77777777" w:rsidR="00A939D8" w:rsidRPr="00A939D8" w:rsidRDefault="000A04D0" w:rsidP="000A04D0">
      <w:pPr>
        <w:spacing w:line="276" w:lineRule="auto"/>
        <w:jc w:val="both"/>
        <w:rPr>
          <w:rFonts w:ascii="Verdana" w:eastAsia="Times New Roman" w:hAnsi="Verdana" w:cs="Arial"/>
          <w:b/>
          <w:lang w:val="es-MX" w:eastAsia="es-ES_tradnl"/>
        </w:rPr>
      </w:pPr>
      <w:r w:rsidRPr="00A939D8">
        <w:rPr>
          <w:rFonts w:ascii="Verdana" w:eastAsia="Times New Roman" w:hAnsi="Verdana" w:cs="Arial"/>
          <w:b/>
          <w:lang w:val="es-MX" w:eastAsia="es-ES_tradnl"/>
        </w:rPr>
        <w:t xml:space="preserve">ACEPTACIÓN DE LA OFERTA – Perfeccionamiento del contrato </w:t>
      </w:r>
    </w:p>
    <w:p w14:paraId="41F08B14" w14:textId="77777777" w:rsidR="000F658A" w:rsidRPr="000F658A" w:rsidRDefault="000F658A" w:rsidP="00867BA1">
      <w:pPr>
        <w:spacing w:after="0" w:line="240" w:lineRule="auto"/>
        <w:jc w:val="both"/>
        <w:rPr>
          <w:rFonts w:ascii="Verdana" w:hAnsi="Verdana" w:cs="Arial"/>
          <w:color w:val="000000" w:themeColor="text1"/>
          <w:sz w:val="20"/>
          <w:szCs w:val="20"/>
        </w:rPr>
      </w:pPr>
      <w:r w:rsidRPr="000F658A">
        <w:rPr>
          <w:rFonts w:ascii="Verdana" w:hAnsi="Verdana" w:cs="Arial"/>
          <w:color w:val="000000" w:themeColor="text1"/>
          <w:sz w:val="20"/>
          <w:szCs w:val="20"/>
        </w:rPr>
        <w:t xml:space="preserve">[…] </w:t>
      </w:r>
      <w:r w:rsidRPr="000F658A">
        <w:rPr>
          <w:rFonts w:ascii="Verdana" w:hAnsi="Verdana" w:cs="Arial"/>
          <w:color w:val="000000" w:themeColor="text1"/>
          <w:sz w:val="20"/>
          <w:szCs w:val="20"/>
        </w:rPr>
        <w:t xml:space="preserve">en el evento en que el proceso de selección de mínima cuantía se haya limitado a </w:t>
      </w:r>
      <w:proofErr w:type="spellStart"/>
      <w:r w:rsidRPr="000F658A">
        <w:rPr>
          <w:rFonts w:ascii="Verdana" w:hAnsi="Verdana" w:cs="Arial"/>
          <w:color w:val="000000" w:themeColor="text1"/>
          <w:sz w:val="20"/>
          <w:szCs w:val="20"/>
        </w:rPr>
        <w:t>Mipymes</w:t>
      </w:r>
      <w:proofErr w:type="spellEnd"/>
      <w:r w:rsidRPr="000F658A">
        <w:rPr>
          <w:rFonts w:ascii="Verdana" w:hAnsi="Verdana" w:cs="Arial"/>
          <w:color w:val="000000" w:themeColor="text1"/>
          <w:sz w:val="20"/>
          <w:szCs w:val="20"/>
        </w:rPr>
        <w:t xml:space="preserve">, la entidad estatal, deberá aceptar las ofertas MiPymes o de proponentes plurales integrados únicamente por MiPymes y continuar como lo dispone el cronograma del proceso hasta que se acepte por parte de la entidad la oferta que haya cumplido los requisitos establecidos en la invitación y ofrecido el precio más bajo, mediante documento electrónico o físico.  </w:t>
      </w:r>
    </w:p>
    <w:p w14:paraId="5AC43E25" w14:textId="77777777" w:rsidR="000F658A" w:rsidRPr="000F658A" w:rsidRDefault="000F658A" w:rsidP="00867BA1">
      <w:pPr>
        <w:spacing w:after="0" w:line="240" w:lineRule="auto"/>
        <w:jc w:val="both"/>
        <w:rPr>
          <w:rFonts w:ascii="Verdana" w:hAnsi="Verdana" w:cs="Arial"/>
          <w:color w:val="000000" w:themeColor="text1"/>
          <w:sz w:val="20"/>
          <w:szCs w:val="20"/>
        </w:rPr>
      </w:pPr>
    </w:p>
    <w:p w14:paraId="65CFAE93" w14:textId="44145316" w:rsidR="000F658A" w:rsidRPr="000F658A" w:rsidRDefault="000F658A" w:rsidP="00867BA1">
      <w:pPr>
        <w:spacing w:after="0" w:line="240" w:lineRule="auto"/>
        <w:jc w:val="both"/>
        <w:rPr>
          <w:rFonts w:ascii="Verdana" w:hAnsi="Verdana" w:cs="Arial"/>
          <w:color w:val="000000" w:themeColor="text1"/>
          <w:sz w:val="20"/>
          <w:szCs w:val="20"/>
        </w:rPr>
      </w:pPr>
      <w:r w:rsidRPr="000F658A">
        <w:rPr>
          <w:rFonts w:ascii="Verdana" w:hAnsi="Verdana" w:cs="Arial"/>
          <w:color w:val="000000" w:themeColor="text1"/>
          <w:sz w:val="20"/>
          <w:szCs w:val="20"/>
        </w:rPr>
        <w:t>De conformidad con lo expuesto, y con fundamento en lo previsto en el numeral 9 del artículo 2.2.1.2.1.5.2. del Decreto 1082 del 2015 según el cual “la oferta y su aceptación constituyen el contrato estatal”, es claro que la comunicación de la aceptación de la oferta por parte de la entidad al proponente perfecciona los requisitos de existencia del contrato. Esta particularidad en relación con el procedimiento de mínima cuantía se deriva de lo establecido en el literal d) del numeral 5 del artículo 2 de la Ley 1150 de 2007 que de manera expresa dispone que "la comunicación de aceptación junto con la oferta constituye para todos los efectos el contrato celebrado, con base en lo cual se efectuará el respectivo registro presupuestal". Esto implica que, en este tipo de procedimientos, el contrato se entiende perfeccionado en el momento en que se produce dicha comunicación, sin necesidad de cumplir con requisitos adicionales.</w:t>
      </w:r>
    </w:p>
    <w:p w14:paraId="28D499E2" w14:textId="77777777" w:rsidR="000F658A" w:rsidRDefault="000F658A" w:rsidP="000F658A">
      <w:pPr>
        <w:spacing w:after="0" w:line="240" w:lineRule="auto"/>
        <w:jc w:val="both"/>
        <w:rPr>
          <w:rFonts w:ascii="Verdana" w:eastAsia="Times New Roman" w:hAnsi="Verdana" w:cs="Arial"/>
          <w:bCs/>
          <w:lang w:eastAsia="es-ES_tradnl"/>
        </w:rPr>
      </w:pPr>
    </w:p>
    <w:p w14:paraId="1403D8EF" w14:textId="77777777" w:rsidR="000F658A" w:rsidRDefault="000A04D0" w:rsidP="000A04D0">
      <w:pPr>
        <w:spacing w:line="276" w:lineRule="auto"/>
        <w:jc w:val="both"/>
        <w:rPr>
          <w:rFonts w:ascii="Verdana" w:eastAsia="Times New Roman" w:hAnsi="Verdana" w:cs="Arial"/>
          <w:b/>
          <w:lang w:val="es-MX" w:eastAsia="es-ES_tradnl"/>
        </w:rPr>
      </w:pPr>
      <w:r w:rsidRPr="000F658A">
        <w:rPr>
          <w:rFonts w:ascii="Verdana" w:eastAsia="Times New Roman" w:hAnsi="Verdana" w:cs="Arial"/>
          <w:b/>
          <w:lang w:val="es-MX" w:eastAsia="es-ES_tradnl"/>
        </w:rPr>
        <w:t xml:space="preserve">REVOCACIÓN DIRECTA – Acto Administrativos – Eventos </w:t>
      </w:r>
    </w:p>
    <w:p w14:paraId="7901BD67" w14:textId="77777777" w:rsidR="000F658A" w:rsidRDefault="000F658A" w:rsidP="000F658A">
      <w:pPr>
        <w:spacing w:after="0" w:line="240" w:lineRule="auto"/>
        <w:jc w:val="both"/>
        <w:rPr>
          <w:rFonts w:ascii="Verdana" w:hAnsi="Verdana" w:cs="Arial"/>
          <w:color w:val="000000" w:themeColor="text1"/>
          <w:sz w:val="20"/>
          <w:szCs w:val="20"/>
        </w:rPr>
      </w:pPr>
      <w:r w:rsidRPr="000F658A">
        <w:rPr>
          <w:rFonts w:ascii="Verdana" w:hAnsi="Verdana" w:cs="Arial"/>
          <w:color w:val="000000" w:themeColor="text1"/>
          <w:sz w:val="20"/>
          <w:szCs w:val="20"/>
        </w:rPr>
        <w:t xml:space="preserve">[…] </w:t>
      </w:r>
      <w:r w:rsidRPr="000F658A">
        <w:rPr>
          <w:rFonts w:ascii="Verdana" w:hAnsi="Verdana" w:cs="Arial"/>
          <w:color w:val="000000" w:themeColor="text1"/>
          <w:sz w:val="20"/>
          <w:szCs w:val="20"/>
        </w:rPr>
        <w:t>la revocación directa</w:t>
      </w:r>
      <w:r w:rsidRPr="000F658A">
        <w:rPr>
          <w:rFonts w:ascii="Verdana" w:hAnsi="Verdana" w:cs="Arial"/>
          <w:color w:val="000000" w:themeColor="text1"/>
          <w:sz w:val="20"/>
          <w:szCs w:val="20"/>
        </w:rPr>
        <w:t xml:space="preserve"> […] </w:t>
      </w:r>
      <w:r w:rsidRPr="000F658A">
        <w:rPr>
          <w:rFonts w:ascii="Verdana" w:hAnsi="Verdana" w:cs="Arial"/>
          <w:color w:val="000000" w:themeColor="text1"/>
          <w:sz w:val="20"/>
          <w:szCs w:val="20"/>
        </w:rPr>
        <w:t>puede definirse como una de las especies de extinción de los actos administrativos en sede administrativa</w:t>
      </w:r>
      <w:r w:rsidRPr="000F658A">
        <w:rPr>
          <w:rFonts w:ascii="Verdana" w:hAnsi="Verdana" w:cs="Arial"/>
          <w:color w:val="000000" w:themeColor="text1"/>
          <w:sz w:val="20"/>
          <w:szCs w:val="20"/>
        </w:rPr>
        <w:t xml:space="preserve"> […] </w:t>
      </w:r>
      <w:r w:rsidRPr="000F658A">
        <w:rPr>
          <w:rFonts w:ascii="Verdana" w:hAnsi="Verdana" w:cs="Arial"/>
          <w:color w:val="000000" w:themeColor="text1"/>
          <w:sz w:val="20"/>
          <w:szCs w:val="20"/>
        </w:rPr>
        <w:t>debe decirse que se trata de un mecanismo unilateral de la administración, otorgado por el legislador para que esta revise sus propias decisiones.</w:t>
      </w:r>
    </w:p>
    <w:p w14:paraId="1A7E226E" w14:textId="77777777" w:rsidR="00867BA1" w:rsidRDefault="00867BA1" w:rsidP="00867BA1">
      <w:pPr>
        <w:spacing w:after="0" w:line="240" w:lineRule="auto"/>
        <w:jc w:val="both"/>
        <w:rPr>
          <w:rFonts w:ascii="Verdana" w:hAnsi="Verdana" w:cs="Arial"/>
          <w:color w:val="000000" w:themeColor="text1"/>
          <w:sz w:val="20"/>
          <w:szCs w:val="20"/>
        </w:rPr>
      </w:pPr>
    </w:p>
    <w:p w14:paraId="4170F554" w14:textId="40190268" w:rsidR="003D665F" w:rsidRDefault="003D665F" w:rsidP="00867BA1">
      <w:pPr>
        <w:spacing w:after="120" w:line="276" w:lineRule="auto"/>
        <w:jc w:val="both"/>
        <w:rPr>
          <w:rFonts w:ascii="Verdana" w:hAnsi="Verdana" w:cs="Arial"/>
          <w:color w:val="000000" w:themeColor="text1"/>
          <w:sz w:val="20"/>
          <w:szCs w:val="20"/>
        </w:rPr>
      </w:pPr>
      <w:r>
        <w:rPr>
          <w:rFonts w:ascii="Verdana" w:hAnsi="Verdana" w:cs="Arial"/>
          <w:color w:val="000000" w:themeColor="text1"/>
          <w:sz w:val="20"/>
          <w:szCs w:val="20"/>
        </w:rPr>
        <w:t xml:space="preserve">[…] </w:t>
      </w:r>
    </w:p>
    <w:p w14:paraId="2A8967ED" w14:textId="00E7388C" w:rsidR="003D665F" w:rsidRPr="003D665F" w:rsidRDefault="003D665F" w:rsidP="003D665F">
      <w:pPr>
        <w:spacing w:after="0" w:line="240" w:lineRule="auto"/>
        <w:jc w:val="both"/>
        <w:rPr>
          <w:rFonts w:ascii="Verdana" w:hAnsi="Verdana" w:cs="Arial"/>
          <w:color w:val="000000" w:themeColor="text1"/>
          <w:sz w:val="20"/>
          <w:szCs w:val="20"/>
          <w:lang w:val="es-ES"/>
        </w:rPr>
      </w:pPr>
      <w:r w:rsidRPr="003D665F">
        <w:rPr>
          <w:rFonts w:ascii="Verdana" w:eastAsia="Calibri" w:hAnsi="Verdana" w:cs="Arial"/>
          <w:color w:val="000000" w:themeColor="text1"/>
          <w:sz w:val="20"/>
          <w:szCs w:val="20"/>
          <w:lang w:val="es-ES"/>
        </w:rPr>
        <w:lastRenderedPageBreak/>
        <w:t xml:space="preserve">El derogado Código de lo Contencioso Administrativo, Decreto 01 de 1984, preveía en su artículo 74 que cuando un acto administrativo hubiese creado o modificado una situación de carácter particular y concreto o reconocido un derecho, este no podría ser revocado sin el consentimiento expreso y escrito del respectivo titular. Ello era así, salvo cuando esos actos resultasen como consecuencia de la aplicación del silencio administrativo positivo y se evidenciaba una de las causales de revocación, o si fuese evidente que el acto ocurrió por medios ilegales. Es decir, que los actos administrativos de contenido particular eran en general irrevocables sin consentimiento del titular, salvo cuando se verificara alguna de las dos condiciones recién mencionadas que permitían su revocación, según lo normado por el artículo 74 del CCA.   </w:t>
      </w:r>
    </w:p>
    <w:p w14:paraId="4978424D" w14:textId="77777777" w:rsidR="003D665F" w:rsidRDefault="003D665F" w:rsidP="003D665F">
      <w:pPr>
        <w:spacing w:after="0" w:line="240" w:lineRule="auto"/>
        <w:jc w:val="both"/>
        <w:rPr>
          <w:rFonts w:ascii="Verdana" w:eastAsia="Calibri" w:hAnsi="Verdana" w:cs="Arial"/>
          <w:color w:val="000000" w:themeColor="text1"/>
          <w:sz w:val="20"/>
          <w:szCs w:val="20"/>
          <w:lang w:val="es-ES"/>
        </w:rPr>
      </w:pPr>
    </w:p>
    <w:p w14:paraId="7464B275" w14:textId="6D03E515" w:rsidR="003D665F" w:rsidRPr="003D665F" w:rsidRDefault="003D665F" w:rsidP="003D665F">
      <w:pPr>
        <w:spacing w:after="0" w:line="240" w:lineRule="auto"/>
        <w:jc w:val="both"/>
        <w:rPr>
          <w:rFonts w:ascii="Verdana" w:hAnsi="Verdana" w:cs="Arial"/>
          <w:color w:val="000000" w:themeColor="text1"/>
          <w:sz w:val="20"/>
          <w:szCs w:val="20"/>
          <w:lang w:val="es-ES"/>
        </w:rPr>
      </w:pPr>
      <w:r w:rsidRPr="003D665F">
        <w:rPr>
          <w:rFonts w:ascii="Verdana" w:eastAsia="Calibri" w:hAnsi="Verdana" w:cs="Arial"/>
          <w:color w:val="000000" w:themeColor="text1"/>
          <w:sz w:val="20"/>
          <w:szCs w:val="20"/>
          <w:lang w:val="es-ES"/>
        </w:rPr>
        <w:t xml:space="preserve">De otro lado, las disposiciones que regulaban la contratación estatal contenían una norma especial sobre la posibilidad de revocar el acto de adjudicación. El numeral 11 del artículo 30 de la Ley 80 de 1993, hoy derogado, disponía que “El acto de adjudicación es irrevocable y obliga a la entidad y al adjudicatario”. Nótese cómo la norma citada, sin lugar a duda, contiene un régimen de revocabilidad mucho más estricto que aquel contenido en las normas sobre procedimiento administrativo general vigente para ese entonces. Lo anterior es así, pues mientras el CCA admitía la revocación en dos casos –silencio administrativo y obtención por medios ilegales–, la Ley 80 de 1993 no permitía la revocación ni si quiera en esos casos, pues claramente postulaba la irrevocabilidad del acto de adjudicación en términos absolutos.  </w:t>
      </w:r>
    </w:p>
    <w:p w14:paraId="433BA312" w14:textId="561F17A8" w:rsidR="003D665F" w:rsidRPr="003D665F" w:rsidRDefault="003D665F" w:rsidP="003D665F">
      <w:pPr>
        <w:spacing w:after="0" w:line="240" w:lineRule="auto"/>
        <w:jc w:val="both"/>
        <w:rPr>
          <w:rFonts w:ascii="Verdana" w:hAnsi="Verdana" w:cs="Arial"/>
          <w:color w:val="000000" w:themeColor="text1"/>
          <w:sz w:val="20"/>
          <w:szCs w:val="20"/>
          <w:lang w:val="es-ES"/>
        </w:rPr>
      </w:pPr>
    </w:p>
    <w:p w14:paraId="480CCDA3" w14:textId="63DE6814" w:rsidR="000F658A" w:rsidRDefault="003D665F" w:rsidP="003D665F">
      <w:pPr>
        <w:spacing w:after="0" w:line="240" w:lineRule="auto"/>
        <w:jc w:val="both"/>
        <w:rPr>
          <w:rFonts w:ascii="Verdana" w:eastAsia="Times New Roman" w:hAnsi="Verdana" w:cs="Arial"/>
          <w:bCs/>
          <w:sz w:val="20"/>
          <w:szCs w:val="20"/>
          <w:lang w:eastAsia="es-ES_tradnl"/>
        </w:rPr>
      </w:pPr>
      <w:r w:rsidRPr="003D665F">
        <w:rPr>
          <w:rFonts w:ascii="Verdana" w:eastAsia="Times New Roman" w:hAnsi="Verdana" w:cs="Arial"/>
          <w:bCs/>
          <w:sz w:val="20"/>
          <w:szCs w:val="20"/>
          <w:lang w:eastAsia="es-ES_tradnl"/>
        </w:rPr>
        <w:t>La Ley 1150 de 2007, particularmente su artículo 9, reemplazó esta regla absoluta de irrevocabilidad y estableció dos excepciones. La primera, cuando entre la adjudicación y la suscripción del contrato sobreviene una inhabilidad o incompatibilidad y, la segunda, cuando se demuestra que el acto se obtuvo por medios ilegales. En estos casos, la norma prescribe que “este podrá ser revocado</w:t>
      </w:r>
      <w:r>
        <w:rPr>
          <w:rFonts w:ascii="Verdana" w:eastAsia="Times New Roman" w:hAnsi="Verdana" w:cs="Arial"/>
          <w:bCs/>
          <w:sz w:val="20"/>
          <w:szCs w:val="20"/>
          <w:lang w:eastAsia="es-ES_tradnl"/>
        </w:rPr>
        <w:t>.</w:t>
      </w:r>
    </w:p>
    <w:p w14:paraId="7F258955" w14:textId="77777777" w:rsidR="003D665F" w:rsidRPr="003D665F" w:rsidRDefault="003D665F" w:rsidP="003D665F">
      <w:pPr>
        <w:spacing w:after="0" w:line="240" w:lineRule="auto"/>
        <w:jc w:val="both"/>
        <w:rPr>
          <w:rFonts w:ascii="Verdana" w:eastAsia="Times New Roman" w:hAnsi="Verdana" w:cs="Arial"/>
          <w:bCs/>
          <w:sz w:val="20"/>
          <w:szCs w:val="20"/>
          <w:lang w:eastAsia="es-ES_tradnl"/>
        </w:rPr>
      </w:pPr>
    </w:p>
    <w:p w14:paraId="4E2E1FA0" w14:textId="77777777" w:rsidR="003D665F" w:rsidRDefault="000A04D0" w:rsidP="000A04D0">
      <w:pPr>
        <w:spacing w:line="276" w:lineRule="auto"/>
        <w:jc w:val="both"/>
        <w:rPr>
          <w:rFonts w:ascii="Verdana" w:eastAsia="Times New Roman" w:hAnsi="Verdana" w:cs="Arial"/>
          <w:b/>
          <w:lang w:val="es-MX" w:eastAsia="es-ES_tradnl"/>
        </w:rPr>
      </w:pPr>
      <w:r w:rsidRPr="003D665F">
        <w:rPr>
          <w:rFonts w:ascii="Verdana" w:eastAsia="Times New Roman" w:hAnsi="Verdana" w:cs="Arial"/>
          <w:b/>
          <w:lang w:val="es-MX" w:eastAsia="es-ES_tradnl"/>
        </w:rPr>
        <w:t xml:space="preserve">REVOCACIÓN DIRECTA – Acto de Apertura – Tesis </w:t>
      </w:r>
    </w:p>
    <w:p w14:paraId="0D6D6D45" w14:textId="77777777" w:rsidR="008827DC" w:rsidRPr="008827DC" w:rsidRDefault="008827DC" w:rsidP="008827DC">
      <w:pPr>
        <w:spacing w:after="0" w:line="240" w:lineRule="auto"/>
        <w:jc w:val="both"/>
        <w:rPr>
          <w:rFonts w:ascii="Verdana" w:eastAsia="Calibri" w:hAnsi="Verdana" w:cs="Arial"/>
          <w:bCs/>
          <w:color w:val="000000" w:themeColor="text1"/>
          <w:sz w:val="20"/>
          <w:szCs w:val="20"/>
        </w:rPr>
      </w:pPr>
      <w:r w:rsidRPr="008827DC">
        <w:rPr>
          <w:rFonts w:ascii="Verdana" w:eastAsia="Calibri" w:hAnsi="Verdana" w:cs="Arial"/>
          <w:bCs/>
          <w:color w:val="000000" w:themeColor="text1"/>
          <w:sz w:val="20"/>
          <w:szCs w:val="20"/>
        </w:rPr>
        <w:t xml:space="preserve">[…] </w:t>
      </w:r>
      <w:r w:rsidRPr="008827DC">
        <w:rPr>
          <w:rFonts w:ascii="Verdana" w:eastAsia="Calibri" w:hAnsi="Verdana" w:cs="Arial"/>
          <w:bCs/>
          <w:color w:val="000000" w:themeColor="text1"/>
          <w:sz w:val="20"/>
          <w:szCs w:val="20"/>
        </w:rPr>
        <w:t>la jurisprudencia de la Sección Tercera del Consejo de Estado ha distinguido 2 momentos para efectos de examinar la posibilidad de revocar de manera unilateral el acto de apertura</w:t>
      </w:r>
      <w:r w:rsidRPr="008827DC">
        <w:rPr>
          <w:rFonts w:ascii="Verdana" w:eastAsia="Calibri" w:hAnsi="Verdana" w:cs="Arial"/>
          <w:bCs/>
          <w:color w:val="000000" w:themeColor="text1"/>
          <w:sz w:val="20"/>
          <w:szCs w:val="20"/>
        </w:rPr>
        <w:t xml:space="preserve"> </w:t>
      </w:r>
    </w:p>
    <w:p w14:paraId="2FCE6631" w14:textId="77777777" w:rsidR="008827DC" w:rsidRPr="008827DC" w:rsidRDefault="008827DC" w:rsidP="008827DC">
      <w:pPr>
        <w:spacing w:after="0" w:line="240" w:lineRule="auto"/>
        <w:jc w:val="both"/>
        <w:rPr>
          <w:rFonts w:ascii="Verdana" w:eastAsia="Calibri" w:hAnsi="Verdana" w:cs="Arial"/>
          <w:bCs/>
          <w:color w:val="000000" w:themeColor="text1"/>
          <w:sz w:val="20"/>
          <w:szCs w:val="20"/>
        </w:rPr>
      </w:pPr>
    </w:p>
    <w:p w14:paraId="09A465F3" w14:textId="6A6B41F6" w:rsidR="008827DC" w:rsidRPr="008827DC" w:rsidRDefault="008827DC" w:rsidP="008827DC">
      <w:pPr>
        <w:spacing w:after="0" w:line="240" w:lineRule="auto"/>
        <w:jc w:val="both"/>
        <w:rPr>
          <w:rFonts w:ascii="Verdana" w:hAnsi="Verdana" w:cs="Arial"/>
          <w:color w:val="000000" w:themeColor="text1"/>
          <w:sz w:val="20"/>
          <w:szCs w:val="20"/>
        </w:rPr>
      </w:pPr>
      <w:r w:rsidRPr="008827DC">
        <w:rPr>
          <w:rFonts w:ascii="Verdana" w:eastAsia="Calibri" w:hAnsi="Verdana" w:cs="Arial"/>
          <w:bCs/>
          <w:color w:val="000000" w:themeColor="text1"/>
          <w:sz w:val="20"/>
          <w:szCs w:val="20"/>
        </w:rPr>
        <w:t xml:space="preserve">a. </w:t>
      </w:r>
      <w:r w:rsidRPr="008827DC">
        <w:rPr>
          <w:rFonts w:ascii="Verdana" w:eastAsia="Calibri" w:hAnsi="Verdana" w:cs="Arial"/>
          <w:bCs/>
          <w:color w:val="000000" w:themeColor="text1"/>
          <w:sz w:val="20"/>
          <w:szCs w:val="20"/>
        </w:rPr>
        <w:t xml:space="preserve">El primer momento es antes de que se presenten ofertas, en el cual hay unanimidad de criterio respecto a la posibilidad de revocarlo unilateralmente, porque no se ha configurado ninguna situación particular. </w:t>
      </w:r>
    </w:p>
    <w:p w14:paraId="02E7DA4C" w14:textId="77777777" w:rsidR="008827DC" w:rsidRPr="008827DC" w:rsidRDefault="008827DC" w:rsidP="008827DC">
      <w:pPr>
        <w:spacing w:after="0" w:line="240" w:lineRule="auto"/>
        <w:jc w:val="both"/>
        <w:rPr>
          <w:rFonts w:ascii="Verdana" w:eastAsia="Calibri" w:hAnsi="Verdana" w:cs="Arial"/>
          <w:bCs/>
          <w:color w:val="000000" w:themeColor="text1"/>
          <w:sz w:val="20"/>
          <w:szCs w:val="20"/>
        </w:rPr>
      </w:pPr>
      <w:r w:rsidRPr="008827DC">
        <w:rPr>
          <w:rFonts w:ascii="Verdana" w:eastAsia="Calibri" w:hAnsi="Verdana" w:cs="Arial"/>
          <w:bCs/>
          <w:color w:val="000000" w:themeColor="text1"/>
          <w:sz w:val="20"/>
          <w:szCs w:val="20"/>
        </w:rPr>
        <w:t xml:space="preserve">b. El segundo momento cuando se presentan las ofertas en el proceso de selección, evento en el cual la jurisprudencia ha planteado las siguientes tesis: </w:t>
      </w:r>
    </w:p>
    <w:p w14:paraId="718E113E" w14:textId="77777777" w:rsidR="008827DC" w:rsidRPr="008827DC" w:rsidRDefault="008827DC" w:rsidP="008827DC">
      <w:pPr>
        <w:spacing w:after="0" w:line="240" w:lineRule="auto"/>
        <w:jc w:val="both"/>
        <w:rPr>
          <w:rFonts w:ascii="Verdana" w:hAnsi="Verdana" w:cs="Arial"/>
          <w:color w:val="000000" w:themeColor="text1"/>
          <w:sz w:val="20"/>
          <w:szCs w:val="20"/>
        </w:rPr>
      </w:pPr>
    </w:p>
    <w:p w14:paraId="13AE3FDF" w14:textId="0E1205A2" w:rsidR="008827DC" w:rsidRPr="008827DC" w:rsidRDefault="008827DC" w:rsidP="008827DC">
      <w:pPr>
        <w:spacing w:after="0" w:line="240" w:lineRule="auto"/>
        <w:jc w:val="both"/>
        <w:rPr>
          <w:rFonts w:ascii="Verdana" w:hAnsi="Verdana" w:cs="Arial"/>
          <w:color w:val="000000" w:themeColor="text1"/>
          <w:sz w:val="20"/>
          <w:szCs w:val="20"/>
        </w:rPr>
      </w:pPr>
      <w:r w:rsidRPr="008827DC">
        <w:rPr>
          <w:rFonts w:ascii="Verdana" w:eastAsia="Calibri" w:hAnsi="Verdana" w:cs="Arial"/>
          <w:bCs/>
          <w:color w:val="000000" w:themeColor="text1"/>
          <w:sz w:val="20"/>
          <w:szCs w:val="20"/>
        </w:rPr>
        <w:t xml:space="preserve">Tesis 1: </w:t>
      </w:r>
      <w:r w:rsidRPr="008827DC">
        <w:rPr>
          <w:rFonts w:ascii="Verdana" w:eastAsia="Calibri" w:hAnsi="Verdana" w:cs="Arial"/>
          <w:bCs/>
          <w:color w:val="000000" w:themeColor="text1"/>
          <w:sz w:val="20"/>
          <w:szCs w:val="20"/>
          <w:lang w:val="es-ES"/>
        </w:rPr>
        <w:t>Antes de adjudicar un proceso de contratación, es revocable de manera unilateral el acto de apertura, siempre que concurra alguna causal prevista en el artículo 93 del CPACA, por remisión del artículo 77 de la Ley 80 de 1993</w:t>
      </w:r>
      <w:r w:rsidRPr="008827DC">
        <w:rPr>
          <w:rFonts w:ascii="Verdana" w:eastAsia="Calibri" w:hAnsi="Verdana" w:cs="Arial"/>
          <w:i/>
          <w:color w:val="000000" w:themeColor="text1"/>
          <w:sz w:val="20"/>
          <w:szCs w:val="20"/>
          <w:lang w:val="es-ES"/>
        </w:rPr>
        <w:t xml:space="preserve">. </w:t>
      </w:r>
      <w:r w:rsidRPr="008827DC">
        <w:rPr>
          <w:rFonts w:ascii="Verdana" w:eastAsia="Calibri" w:hAnsi="Verdana" w:cs="Arial"/>
          <w:color w:val="000000" w:themeColor="text1"/>
          <w:sz w:val="20"/>
          <w:szCs w:val="20"/>
          <w:lang w:val="es-ES"/>
        </w:rPr>
        <w:t xml:space="preserve">Sin embargo, en la medida en que esté más avanzado el proceso de selección se irán consolidando “expectativas” jurídicas y económicas de los participantes, y en esa misma medida se incrementan los riesgos de causar daños ciertos y personales, que en caso de proferirse </w:t>
      </w:r>
      <w:r w:rsidRPr="008827DC">
        <w:rPr>
          <w:rFonts w:ascii="Verdana" w:eastAsia="Calibri" w:hAnsi="Verdana" w:cs="Arial"/>
          <w:color w:val="000000" w:themeColor="text1"/>
          <w:sz w:val="20"/>
          <w:szCs w:val="20"/>
          <w:lang w:val="es-ES"/>
        </w:rPr>
        <w:lastRenderedPageBreak/>
        <w:t>una revocatoria, podrán ser objeto de indemnización por parte de la administración, siempre y cuando exista prueba de su configuración.</w:t>
      </w:r>
      <w:r w:rsidRPr="008827DC">
        <w:rPr>
          <w:rFonts w:ascii="Verdana" w:eastAsia="Calibri" w:hAnsi="Verdana" w:cs="Arial"/>
          <w:bCs/>
          <w:color w:val="000000" w:themeColor="text1"/>
          <w:sz w:val="20"/>
          <w:szCs w:val="20"/>
          <w:lang w:val="es-ES"/>
        </w:rPr>
        <w:t xml:space="preserve"> </w:t>
      </w:r>
    </w:p>
    <w:p w14:paraId="615354FC" w14:textId="77777777" w:rsidR="008827DC" w:rsidRDefault="008827DC" w:rsidP="008827DC">
      <w:pPr>
        <w:spacing w:after="0" w:line="240" w:lineRule="auto"/>
        <w:jc w:val="both"/>
        <w:rPr>
          <w:rFonts w:ascii="Verdana" w:eastAsia="Calibri" w:hAnsi="Verdana" w:cs="Arial"/>
          <w:i/>
          <w:color w:val="000000" w:themeColor="text1"/>
          <w:sz w:val="20"/>
          <w:szCs w:val="20"/>
          <w:lang w:val="es-ES"/>
        </w:rPr>
      </w:pPr>
    </w:p>
    <w:p w14:paraId="1ED51293" w14:textId="789E05D9" w:rsidR="008827DC" w:rsidRPr="008827DC" w:rsidRDefault="008827DC" w:rsidP="008827DC">
      <w:pPr>
        <w:spacing w:after="0" w:line="240" w:lineRule="auto"/>
        <w:jc w:val="both"/>
        <w:rPr>
          <w:rFonts w:ascii="Verdana" w:hAnsi="Verdana" w:cs="Arial"/>
          <w:color w:val="000000" w:themeColor="text1"/>
          <w:sz w:val="20"/>
          <w:szCs w:val="20"/>
        </w:rPr>
      </w:pPr>
      <w:r w:rsidRPr="008827DC">
        <w:rPr>
          <w:rFonts w:ascii="Verdana" w:eastAsia="Calibri" w:hAnsi="Verdana" w:cs="Arial"/>
          <w:i/>
          <w:color w:val="000000" w:themeColor="text1"/>
          <w:sz w:val="20"/>
          <w:szCs w:val="20"/>
          <w:lang w:val="es-ES"/>
        </w:rPr>
        <w:t>Tesis 2.</w:t>
      </w:r>
      <w:r w:rsidRPr="008827DC">
        <w:rPr>
          <w:rFonts w:ascii="Verdana" w:eastAsia="Calibri" w:hAnsi="Verdana" w:cs="Arial"/>
          <w:b/>
          <w:color w:val="000000" w:themeColor="text1"/>
          <w:sz w:val="20"/>
          <w:szCs w:val="20"/>
          <w:lang w:val="es-ES"/>
        </w:rPr>
        <w:t xml:space="preserve"> </w:t>
      </w:r>
      <w:r w:rsidRPr="008827DC">
        <w:rPr>
          <w:rFonts w:ascii="Verdana" w:eastAsia="Calibri" w:hAnsi="Verdana" w:cs="Arial"/>
          <w:color w:val="000000" w:themeColor="text1"/>
          <w:sz w:val="20"/>
          <w:szCs w:val="20"/>
          <w:lang w:val="es-ES"/>
        </w:rPr>
        <w:t>No es posible revocar unilateralmente el acto de apertura, por cuanto la administración debe iniciar la actuación y solicitar el consentimiento de quien o quienes hayan presentado ofertas dentro del plazo previsto en los pliegos de condiciones. Lo anterior por cuanto una vez los interesados presentan sus respectivas ofertas, se genera la legítima expectativa de que su propuesta sea considerada y, en ese momento, la oferta pública de la administración, contenida en el acto de apertura del proceso de selección, se particulariza y se convierte en irrevocable, salvo que haya sido obtenida por medios ilegales</w:t>
      </w:r>
      <w:r w:rsidRPr="008827DC">
        <w:rPr>
          <w:rFonts w:ascii="Verdana" w:eastAsia="Calibri" w:hAnsi="Verdana" w:cs="Arial"/>
          <w:color w:val="000000" w:themeColor="text1"/>
          <w:sz w:val="20"/>
          <w:szCs w:val="20"/>
        </w:rPr>
        <w:t>.</w:t>
      </w:r>
    </w:p>
    <w:p w14:paraId="1CA7D458" w14:textId="77777777" w:rsidR="008827DC" w:rsidRDefault="008827DC" w:rsidP="008827DC">
      <w:pPr>
        <w:spacing w:after="0" w:line="240" w:lineRule="auto"/>
        <w:jc w:val="both"/>
        <w:rPr>
          <w:rFonts w:ascii="Verdana" w:eastAsia="Calibri" w:hAnsi="Verdana" w:cs="Arial"/>
          <w:bCs/>
          <w:i/>
          <w:color w:val="000000" w:themeColor="text1"/>
          <w:sz w:val="20"/>
          <w:szCs w:val="20"/>
          <w:lang w:val="es-ES"/>
        </w:rPr>
      </w:pPr>
    </w:p>
    <w:p w14:paraId="6F366399" w14:textId="54F02AD3" w:rsidR="008827DC" w:rsidRPr="008827DC" w:rsidRDefault="008827DC" w:rsidP="008827DC">
      <w:pPr>
        <w:spacing w:after="0" w:line="240" w:lineRule="auto"/>
        <w:jc w:val="both"/>
        <w:rPr>
          <w:rFonts w:ascii="Verdana" w:hAnsi="Verdana" w:cs="Arial"/>
          <w:color w:val="000000" w:themeColor="text1"/>
          <w:sz w:val="20"/>
          <w:szCs w:val="20"/>
        </w:rPr>
      </w:pPr>
      <w:r w:rsidRPr="008827DC">
        <w:rPr>
          <w:rFonts w:ascii="Verdana" w:eastAsia="Calibri" w:hAnsi="Verdana" w:cs="Arial"/>
          <w:bCs/>
          <w:i/>
          <w:color w:val="000000" w:themeColor="text1"/>
          <w:sz w:val="20"/>
          <w:szCs w:val="20"/>
          <w:lang w:val="es-ES"/>
        </w:rPr>
        <w:t>Tesis 3</w:t>
      </w:r>
      <w:r w:rsidRPr="008827DC">
        <w:rPr>
          <w:rFonts w:ascii="Verdana" w:eastAsia="Calibri" w:hAnsi="Verdana" w:cs="Arial"/>
          <w:bCs/>
          <w:color w:val="000000" w:themeColor="text1"/>
          <w:sz w:val="20"/>
          <w:szCs w:val="20"/>
          <w:lang w:val="es-ES"/>
        </w:rPr>
        <w:t xml:space="preserve">. Una vez se han recibido las propuestas, el acto de apertura no puede ser objeto de revocatoria directa en forma unilateral por parte de la Administración, sin el consentimiento expreso del mejor proponente, toda vez que las reglas de la propia convocatoria - no es otra que la de la oferta mercantil aceptada-, la cual se concreta en el derecho a suscribir el contrato estatal, del cual se genera dos derechos, uno para los proponentes de ser evaluados y otro para aquel que tenga la mejor propuesta el cual consiste en ser seleccionado y a ejecutar el contrato estatal que le debe ser adjudicado. </w:t>
      </w:r>
    </w:p>
    <w:p w14:paraId="611BB415" w14:textId="77777777" w:rsidR="008827DC" w:rsidRDefault="008827DC" w:rsidP="008827DC">
      <w:pPr>
        <w:spacing w:after="0" w:line="240" w:lineRule="auto"/>
        <w:jc w:val="both"/>
        <w:rPr>
          <w:rFonts w:ascii="Verdana" w:eastAsia="Calibri" w:hAnsi="Verdana" w:cs="Arial"/>
          <w:bCs/>
          <w:i/>
          <w:color w:val="000000" w:themeColor="text1"/>
          <w:sz w:val="20"/>
          <w:szCs w:val="20"/>
          <w:lang w:val="es-ES"/>
        </w:rPr>
      </w:pPr>
    </w:p>
    <w:p w14:paraId="1497C864" w14:textId="6D89F8D3" w:rsidR="008827DC" w:rsidRPr="008827DC" w:rsidRDefault="008827DC" w:rsidP="008827DC">
      <w:pPr>
        <w:spacing w:after="0" w:line="240" w:lineRule="auto"/>
        <w:jc w:val="both"/>
        <w:rPr>
          <w:rFonts w:ascii="Verdana" w:hAnsi="Verdana" w:cs="Arial"/>
          <w:color w:val="000000" w:themeColor="text1"/>
          <w:sz w:val="20"/>
          <w:szCs w:val="20"/>
          <w:lang w:val="es-ES"/>
        </w:rPr>
      </w:pPr>
      <w:r w:rsidRPr="008827DC">
        <w:rPr>
          <w:rFonts w:ascii="Verdana" w:eastAsia="Calibri" w:hAnsi="Verdana" w:cs="Arial"/>
          <w:bCs/>
          <w:i/>
          <w:color w:val="000000" w:themeColor="text1"/>
          <w:sz w:val="20"/>
          <w:szCs w:val="20"/>
          <w:lang w:val="es-ES"/>
        </w:rPr>
        <w:t>Tesis 4</w:t>
      </w:r>
      <w:r w:rsidRPr="008827DC">
        <w:rPr>
          <w:rFonts w:ascii="Verdana" w:eastAsia="Calibri" w:hAnsi="Verdana" w:cs="Arial"/>
          <w:b/>
          <w:bCs/>
          <w:i/>
          <w:color w:val="000000" w:themeColor="text1"/>
          <w:sz w:val="20"/>
          <w:szCs w:val="20"/>
          <w:lang w:val="es-ES"/>
        </w:rPr>
        <w:t>.</w:t>
      </w:r>
      <w:r w:rsidRPr="008827DC">
        <w:rPr>
          <w:rFonts w:ascii="Verdana" w:eastAsia="Calibri" w:hAnsi="Verdana" w:cs="Arial"/>
          <w:b/>
          <w:bCs/>
          <w:color w:val="000000" w:themeColor="text1"/>
          <w:sz w:val="20"/>
          <w:szCs w:val="20"/>
          <w:lang w:val="es-ES"/>
        </w:rPr>
        <w:t xml:space="preserve"> </w:t>
      </w:r>
      <w:r w:rsidRPr="008827DC">
        <w:rPr>
          <w:rFonts w:ascii="Verdana" w:eastAsia="Calibri" w:hAnsi="Verdana" w:cs="Arial"/>
          <w:bCs/>
          <w:color w:val="000000" w:themeColor="text1"/>
          <w:sz w:val="20"/>
          <w:szCs w:val="20"/>
          <w:lang w:val="es-ES"/>
        </w:rPr>
        <w:t>Se puede revocar unilateralmente el acto de apertura del proceso de selección, si se advierte la configuración de alguna de las causales y demás requisitos que dan paso a su procedencia, toda vez que al ser un acto administrativo de carácter general se torna evidente que la Administración no está condicionada a obtener el consentimiento previo y expreso de los proponentes o del mejor proponente para revocarlo; además, no se consolidan derechos a favor de los proponentes, toda vez que hasta ese momento solo existen “</w:t>
      </w:r>
      <w:r w:rsidRPr="008827DC">
        <w:rPr>
          <w:rFonts w:ascii="Verdana" w:eastAsia="Calibri" w:hAnsi="Verdana" w:cs="Arial"/>
          <w:bCs/>
          <w:i/>
          <w:color w:val="000000" w:themeColor="text1"/>
          <w:sz w:val="20"/>
          <w:szCs w:val="20"/>
          <w:lang w:val="es-ES"/>
        </w:rPr>
        <w:t xml:space="preserve">meras expectativas” </w:t>
      </w:r>
      <w:r w:rsidRPr="008827DC">
        <w:rPr>
          <w:rFonts w:ascii="Verdana" w:eastAsia="Calibri" w:hAnsi="Verdana" w:cs="Arial"/>
          <w:bCs/>
          <w:color w:val="000000" w:themeColor="text1"/>
          <w:sz w:val="20"/>
          <w:szCs w:val="20"/>
          <w:lang w:val="es-ES"/>
        </w:rPr>
        <w:t xml:space="preserve">y, en algunas circunstancias, </w:t>
      </w:r>
      <w:r w:rsidRPr="008827DC">
        <w:rPr>
          <w:rFonts w:ascii="Verdana" w:eastAsia="Calibri" w:hAnsi="Verdana" w:cs="Arial"/>
          <w:bCs/>
          <w:i/>
          <w:color w:val="000000" w:themeColor="text1"/>
          <w:sz w:val="20"/>
          <w:szCs w:val="20"/>
          <w:lang w:val="es-ES"/>
        </w:rPr>
        <w:t xml:space="preserve">expectativas legítimas </w:t>
      </w:r>
      <w:r w:rsidRPr="008827DC">
        <w:rPr>
          <w:rFonts w:ascii="Verdana" w:eastAsia="Calibri" w:hAnsi="Verdana" w:cs="Arial"/>
          <w:bCs/>
          <w:color w:val="000000" w:themeColor="text1"/>
          <w:sz w:val="20"/>
          <w:szCs w:val="20"/>
          <w:lang w:val="es-ES"/>
        </w:rPr>
        <w:t>a favor de algún participante; conceptos jurídicos que alinderan tanto la existencia y alcance de un eventual derecho o expectativa, y el punto límite de proyección del atributo de la revocatoria del acto administrativo.</w:t>
      </w:r>
    </w:p>
    <w:p w14:paraId="5B29587C" w14:textId="77777777" w:rsidR="00146353" w:rsidRDefault="00146353" w:rsidP="00146353">
      <w:pPr>
        <w:spacing w:after="0" w:line="240" w:lineRule="auto"/>
        <w:jc w:val="both"/>
        <w:rPr>
          <w:rFonts w:ascii="Verdana" w:eastAsia="Times New Roman" w:hAnsi="Verdana" w:cs="Arial"/>
          <w:b/>
          <w:lang w:val="es-ES" w:eastAsia="es-ES_tradnl"/>
        </w:rPr>
      </w:pPr>
    </w:p>
    <w:p w14:paraId="5B95A304" w14:textId="0BA88600" w:rsidR="00146353" w:rsidRPr="00146353" w:rsidRDefault="000A04D0" w:rsidP="000A04D0">
      <w:pPr>
        <w:spacing w:line="276" w:lineRule="auto"/>
        <w:jc w:val="both"/>
        <w:rPr>
          <w:rFonts w:ascii="Verdana" w:eastAsia="Times New Roman" w:hAnsi="Verdana" w:cs="Arial"/>
          <w:b/>
          <w:lang w:val="es-MX" w:eastAsia="es-ES_tradnl"/>
        </w:rPr>
      </w:pPr>
      <w:r w:rsidRPr="00146353">
        <w:rPr>
          <w:rFonts w:ascii="Verdana" w:eastAsia="Times New Roman" w:hAnsi="Verdana" w:cs="Arial"/>
          <w:b/>
          <w:lang w:val="es-MX" w:eastAsia="es-ES_tradnl"/>
        </w:rPr>
        <w:t xml:space="preserve">REVOCACIÓN DIRECTA – Mínima Cuantía </w:t>
      </w:r>
    </w:p>
    <w:p w14:paraId="0657214E" w14:textId="77777777" w:rsidR="00146353" w:rsidRDefault="00146353" w:rsidP="00146353">
      <w:pPr>
        <w:spacing w:after="0" w:line="240" w:lineRule="auto"/>
        <w:jc w:val="both"/>
        <w:rPr>
          <w:rFonts w:ascii="Verdana" w:eastAsia="Calibri" w:hAnsi="Verdana" w:cs="Arial"/>
          <w:bCs/>
          <w:color w:val="000000" w:themeColor="text1"/>
          <w:sz w:val="20"/>
          <w:szCs w:val="20"/>
          <w:lang w:val="es-ES"/>
        </w:rPr>
      </w:pPr>
      <w:r w:rsidRPr="00146353">
        <w:rPr>
          <w:rFonts w:ascii="Verdana" w:eastAsia="Calibri" w:hAnsi="Verdana" w:cs="Arial"/>
          <w:bCs/>
          <w:color w:val="000000" w:themeColor="text1"/>
          <w:sz w:val="20"/>
          <w:szCs w:val="20"/>
          <w:lang w:val="es-ES"/>
        </w:rPr>
        <w:t xml:space="preserve">[…] </w:t>
      </w:r>
      <w:r w:rsidRPr="00146353">
        <w:rPr>
          <w:rFonts w:ascii="Verdana" w:eastAsia="Calibri" w:hAnsi="Verdana" w:cs="Arial"/>
          <w:bCs/>
          <w:color w:val="000000" w:themeColor="text1"/>
          <w:sz w:val="20"/>
          <w:szCs w:val="20"/>
          <w:lang w:val="es-ES"/>
        </w:rPr>
        <w:t xml:space="preserve">es menester analizar la posibilidad de revocar un proceso de contratación cuya modalidad de selección es la mínima cuantía, la cual caracteriza porque no cuenta con un acto administrativo de apertura, ni puede aludirse al acto de adjudicación, como si ocurre en las demás modalidades de selección –Licitación Pública, Selección Abreviada y Concurso de Méritos-. En el caso de la mínima cuantía se caracteriza por un proceso competitivo simplificado, que se estructura a partir de una invitación pública asimilable al acto administrativo de apertura, así como al pliego de condiciones de dicho proceso, constituyéndose en la hoja de ruta o plan sobre el cual se diseña, estructura y concreta el procedimiento de selección de contratistas. </w:t>
      </w:r>
    </w:p>
    <w:p w14:paraId="7ECA99DE" w14:textId="77777777" w:rsidR="00146353" w:rsidRDefault="00146353" w:rsidP="00146353">
      <w:pPr>
        <w:spacing w:after="0" w:line="240" w:lineRule="auto"/>
        <w:jc w:val="both"/>
        <w:rPr>
          <w:rFonts w:ascii="Verdana" w:eastAsia="Calibri" w:hAnsi="Verdana" w:cs="Arial"/>
          <w:bCs/>
          <w:color w:val="000000" w:themeColor="text1"/>
          <w:sz w:val="20"/>
          <w:szCs w:val="20"/>
          <w:lang w:val="es-ES"/>
        </w:rPr>
      </w:pPr>
    </w:p>
    <w:p w14:paraId="2E5E7B12" w14:textId="57A562C2" w:rsidR="00146353" w:rsidRPr="00146353" w:rsidRDefault="000A04D0" w:rsidP="00146353">
      <w:pPr>
        <w:spacing w:after="0" w:line="240" w:lineRule="auto"/>
        <w:jc w:val="both"/>
        <w:rPr>
          <w:rFonts w:ascii="Verdana" w:eastAsia="Calibri" w:hAnsi="Verdana" w:cs="Arial"/>
          <w:b/>
          <w:color w:val="000000" w:themeColor="text1"/>
          <w:sz w:val="20"/>
          <w:szCs w:val="20"/>
          <w:lang w:val="es-ES"/>
        </w:rPr>
      </w:pPr>
      <w:r w:rsidRPr="00146353">
        <w:rPr>
          <w:rFonts w:ascii="Verdana" w:eastAsia="Times New Roman" w:hAnsi="Verdana" w:cs="Arial"/>
          <w:b/>
          <w:lang w:val="es-MX" w:eastAsia="es-ES_tradnl"/>
        </w:rPr>
        <w:t xml:space="preserve">IRREVOCABILIDAD – Comunicación de Aceptación </w:t>
      </w:r>
    </w:p>
    <w:p w14:paraId="213AC503" w14:textId="77777777" w:rsidR="00146353" w:rsidRDefault="00146353" w:rsidP="00146353">
      <w:pPr>
        <w:spacing w:after="120" w:line="276" w:lineRule="auto"/>
        <w:jc w:val="both"/>
        <w:rPr>
          <w:rFonts w:ascii="Verdana" w:eastAsia="Calibri" w:hAnsi="Verdana" w:cs="Arial"/>
          <w:bCs/>
          <w:color w:val="000000" w:themeColor="text1"/>
        </w:rPr>
      </w:pPr>
    </w:p>
    <w:p w14:paraId="46FEA0A0" w14:textId="3D7DE158" w:rsidR="00146353" w:rsidRPr="00146353" w:rsidRDefault="00146353" w:rsidP="00146353">
      <w:pPr>
        <w:spacing w:after="0" w:line="240" w:lineRule="auto"/>
        <w:jc w:val="both"/>
        <w:rPr>
          <w:rFonts w:ascii="Verdana" w:hAnsi="Verdana" w:cs="Arial"/>
          <w:color w:val="000000" w:themeColor="text1"/>
          <w:sz w:val="20"/>
          <w:szCs w:val="20"/>
        </w:rPr>
      </w:pPr>
      <w:r w:rsidRPr="00146353">
        <w:rPr>
          <w:rFonts w:ascii="Verdana" w:eastAsia="Calibri" w:hAnsi="Verdana" w:cs="Arial"/>
          <w:bCs/>
          <w:color w:val="000000" w:themeColor="text1"/>
          <w:sz w:val="20"/>
          <w:szCs w:val="20"/>
        </w:rPr>
        <w:lastRenderedPageBreak/>
        <w:t xml:space="preserve">[…] </w:t>
      </w:r>
      <w:r w:rsidRPr="00146353">
        <w:rPr>
          <w:rFonts w:ascii="Verdana" w:eastAsia="Calibri" w:hAnsi="Verdana" w:cs="Arial"/>
          <w:bCs/>
          <w:color w:val="000000" w:themeColor="text1"/>
          <w:sz w:val="20"/>
          <w:szCs w:val="20"/>
        </w:rPr>
        <w:t xml:space="preserve">no es posible que se revoque un proceso de mínima cuantía en el que ya se ha comunicado la aceptación de la oferta por algún vicio, en el entendido de que ya se perfeccionó el contrato, pues hacerlo significaría: i) el desconocimiento de la regla de irrevocabilidad de la adjudicación del artículo 9 de la Ley 1150 de 2007; y </w:t>
      </w:r>
      <w:proofErr w:type="spellStart"/>
      <w:r w:rsidRPr="00146353">
        <w:rPr>
          <w:rFonts w:ascii="Verdana" w:eastAsia="Calibri" w:hAnsi="Verdana" w:cs="Arial"/>
          <w:bCs/>
          <w:color w:val="000000" w:themeColor="text1"/>
          <w:sz w:val="20"/>
          <w:szCs w:val="20"/>
        </w:rPr>
        <w:t>ii</w:t>
      </w:r>
      <w:proofErr w:type="spellEnd"/>
      <w:r w:rsidRPr="00146353">
        <w:rPr>
          <w:rFonts w:ascii="Verdana" w:eastAsia="Calibri" w:hAnsi="Verdana" w:cs="Arial"/>
          <w:bCs/>
          <w:color w:val="000000" w:themeColor="text1"/>
          <w:sz w:val="20"/>
          <w:szCs w:val="20"/>
        </w:rPr>
        <w:t xml:space="preserve">) el incumplimiento del contrato por parte de la entidad estatal. </w:t>
      </w:r>
    </w:p>
    <w:p w14:paraId="0D303DD5" w14:textId="77777777" w:rsidR="00146353" w:rsidRDefault="00146353" w:rsidP="00146353">
      <w:pPr>
        <w:spacing w:after="0" w:line="240" w:lineRule="auto"/>
        <w:jc w:val="both"/>
        <w:rPr>
          <w:rFonts w:ascii="Verdana" w:eastAsia="Times New Roman" w:hAnsi="Verdana" w:cs="Arial"/>
          <w:bCs/>
          <w:lang w:eastAsia="es-ES_tradnl"/>
        </w:rPr>
      </w:pPr>
    </w:p>
    <w:p w14:paraId="177D4EAD" w14:textId="77777777" w:rsidR="00146353" w:rsidRDefault="000A04D0" w:rsidP="000A04D0">
      <w:pPr>
        <w:spacing w:line="276" w:lineRule="auto"/>
        <w:jc w:val="both"/>
        <w:rPr>
          <w:rFonts w:ascii="Verdana" w:hAnsi="Verdana"/>
          <w:b/>
          <w:lang w:val="es-ES"/>
        </w:rPr>
      </w:pPr>
      <w:r w:rsidRPr="00146353">
        <w:rPr>
          <w:rFonts w:ascii="Verdana" w:hAnsi="Verdana"/>
          <w:b/>
          <w:lang w:val="es-ES"/>
        </w:rPr>
        <w:t xml:space="preserve">TERMINACIÓN UNILATERAL DEL CONTRATO ESTATAL – Noción </w:t>
      </w:r>
    </w:p>
    <w:p w14:paraId="55012A88" w14:textId="77777777" w:rsidR="00D31F47" w:rsidRDefault="00C6576A" w:rsidP="00D31F47">
      <w:pPr>
        <w:spacing w:after="0" w:line="240" w:lineRule="auto"/>
        <w:jc w:val="both"/>
        <w:rPr>
          <w:rFonts w:ascii="Verdana" w:hAnsi="Verdana" w:cs="Arial"/>
          <w:bCs/>
          <w:color w:val="000000" w:themeColor="text1"/>
          <w:sz w:val="20"/>
          <w:szCs w:val="20"/>
        </w:rPr>
      </w:pPr>
      <w:r w:rsidRPr="00C6576A">
        <w:rPr>
          <w:rFonts w:ascii="Verdana" w:hAnsi="Verdana"/>
          <w:bCs/>
          <w:sz w:val="20"/>
          <w:szCs w:val="20"/>
          <w:lang w:val="es-ES"/>
        </w:rPr>
        <w:t>[…]</w:t>
      </w:r>
      <w:r>
        <w:rPr>
          <w:rFonts w:ascii="Verdana" w:hAnsi="Verdana"/>
          <w:bCs/>
          <w:sz w:val="20"/>
          <w:szCs w:val="20"/>
          <w:lang w:val="es-ES"/>
        </w:rPr>
        <w:t xml:space="preserve"> la</w:t>
      </w:r>
      <w:r w:rsidRPr="00C6576A">
        <w:rPr>
          <w:rFonts w:ascii="Verdana" w:hAnsi="Verdana"/>
          <w:bCs/>
          <w:sz w:val="20"/>
          <w:szCs w:val="20"/>
          <w:lang w:val="es-ES"/>
        </w:rPr>
        <w:t xml:space="preserve"> </w:t>
      </w:r>
      <w:r w:rsidRPr="00C6576A">
        <w:rPr>
          <w:rFonts w:ascii="Verdana" w:hAnsi="Verdana" w:cs="Arial"/>
          <w:bCs/>
          <w:color w:val="000000" w:themeColor="text1"/>
          <w:sz w:val="20"/>
          <w:szCs w:val="20"/>
        </w:rPr>
        <w:t xml:space="preserve">terminación unilateral del contrato, si bien la ley otorga a las entidades públicas la potestad de actuar en ejercicio de una facultad exorbitante, les impone el cumplimiento de presupuestos de imperativa aplicación y a la vez restringe la medida a los eventos previstos en la misma. Efectivamente, para declarar la terminación unilateral se requiere i) que la manifestación de la voluntad de la administración se materialice en un acto administrativo, </w:t>
      </w:r>
      <w:proofErr w:type="spellStart"/>
      <w:r w:rsidRPr="00C6576A">
        <w:rPr>
          <w:rFonts w:ascii="Verdana" w:hAnsi="Verdana" w:cs="Arial"/>
          <w:bCs/>
          <w:color w:val="000000" w:themeColor="text1"/>
          <w:sz w:val="20"/>
          <w:szCs w:val="20"/>
        </w:rPr>
        <w:t>ii</w:t>
      </w:r>
      <w:proofErr w:type="spellEnd"/>
      <w:r w:rsidRPr="00C6576A">
        <w:rPr>
          <w:rFonts w:ascii="Verdana" w:hAnsi="Verdana" w:cs="Arial"/>
          <w:bCs/>
          <w:color w:val="000000" w:themeColor="text1"/>
          <w:sz w:val="20"/>
          <w:szCs w:val="20"/>
        </w:rPr>
        <w:t xml:space="preserve">) que dicho acto debe ser el resultado de un análisis soportado en la realidad del contrato, es decir, debe estar debidamente motivado y </w:t>
      </w:r>
      <w:proofErr w:type="spellStart"/>
      <w:r w:rsidRPr="00C6576A">
        <w:rPr>
          <w:rFonts w:ascii="Verdana" w:hAnsi="Verdana" w:cs="Arial"/>
          <w:bCs/>
          <w:color w:val="000000" w:themeColor="text1"/>
          <w:sz w:val="20"/>
          <w:szCs w:val="20"/>
        </w:rPr>
        <w:t>iii</w:t>
      </w:r>
      <w:proofErr w:type="spellEnd"/>
      <w:r w:rsidRPr="00C6576A">
        <w:rPr>
          <w:rFonts w:ascii="Verdana" w:hAnsi="Verdana" w:cs="Arial"/>
          <w:bCs/>
          <w:color w:val="000000" w:themeColor="text1"/>
          <w:sz w:val="20"/>
          <w:szCs w:val="20"/>
        </w:rPr>
        <w:t>) que la causal que se alegue en la decisión se encuentre enmarcada en los eventos que la ley ha dispuesto.</w:t>
      </w:r>
    </w:p>
    <w:p w14:paraId="551BA874" w14:textId="77777777" w:rsidR="00D31F47" w:rsidRDefault="00D31F47" w:rsidP="00D31F47">
      <w:pPr>
        <w:spacing w:after="0" w:line="240" w:lineRule="auto"/>
        <w:jc w:val="both"/>
        <w:rPr>
          <w:rFonts w:ascii="Verdana" w:hAnsi="Verdana" w:cs="Arial"/>
          <w:bCs/>
          <w:color w:val="000000" w:themeColor="text1"/>
          <w:sz w:val="20"/>
          <w:szCs w:val="20"/>
        </w:rPr>
      </w:pPr>
    </w:p>
    <w:p w14:paraId="18E3B85A" w14:textId="28C97F0C" w:rsidR="00146353" w:rsidRPr="00D31F47" w:rsidRDefault="000A04D0" w:rsidP="00D31F47">
      <w:pPr>
        <w:spacing w:after="0" w:line="240" w:lineRule="auto"/>
        <w:jc w:val="both"/>
        <w:rPr>
          <w:rFonts w:ascii="Verdana" w:hAnsi="Verdana" w:cs="Arial"/>
          <w:bCs/>
          <w:color w:val="000000" w:themeColor="text1"/>
          <w:sz w:val="20"/>
          <w:szCs w:val="20"/>
        </w:rPr>
      </w:pPr>
      <w:r w:rsidRPr="00D31F47">
        <w:rPr>
          <w:rFonts w:ascii="Verdana" w:hAnsi="Verdana"/>
          <w:b/>
          <w:lang w:val="es-ES"/>
        </w:rPr>
        <w:t>TERMINACIÓN UNILATERAL DEL CONTRATO ESTATAL</w:t>
      </w:r>
      <w:r w:rsidR="00146353" w:rsidRPr="00D31F47">
        <w:rPr>
          <w:rFonts w:ascii="Verdana" w:hAnsi="Verdana"/>
          <w:b/>
          <w:lang w:val="es-ES"/>
        </w:rPr>
        <w:t xml:space="preserve"> </w:t>
      </w:r>
      <w:r w:rsidRPr="00D31F47">
        <w:rPr>
          <w:rFonts w:ascii="Verdana" w:hAnsi="Verdana"/>
          <w:b/>
          <w:lang w:val="es-ES"/>
        </w:rPr>
        <w:t xml:space="preserve">- Causales </w:t>
      </w:r>
    </w:p>
    <w:p w14:paraId="0A0A6AB3" w14:textId="77777777" w:rsidR="00D31F47" w:rsidRDefault="00D31F47" w:rsidP="00D31F47">
      <w:pPr>
        <w:spacing w:after="0" w:line="240" w:lineRule="auto"/>
        <w:jc w:val="both"/>
        <w:rPr>
          <w:rFonts w:ascii="Verdana" w:hAnsi="Verdana" w:cs="Arial"/>
          <w:color w:val="000000" w:themeColor="text1"/>
          <w:sz w:val="20"/>
          <w:szCs w:val="20"/>
        </w:rPr>
      </w:pPr>
    </w:p>
    <w:p w14:paraId="52BFAF5E" w14:textId="77777777" w:rsidR="00D31F47" w:rsidRDefault="00D31F47" w:rsidP="00D31F47">
      <w:pPr>
        <w:spacing w:after="0" w:line="240" w:lineRule="auto"/>
        <w:jc w:val="both"/>
        <w:rPr>
          <w:rFonts w:ascii="Verdana" w:hAnsi="Verdana" w:cs="Arial"/>
          <w:color w:val="000000" w:themeColor="text1"/>
          <w:sz w:val="20"/>
          <w:szCs w:val="20"/>
        </w:rPr>
      </w:pPr>
      <w:r w:rsidRPr="00D31F47">
        <w:rPr>
          <w:rFonts w:ascii="Verdana" w:hAnsi="Verdana" w:cs="Arial"/>
          <w:color w:val="000000" w:themeColor="text1"/>
          <w:sz w:val="20"/>
          <w:szCs w:val="20"/>
        </w:rPr>
        <w:t>El artículo 17 de la Ley 80 de 1993 establece expresamente los eventos en que procede la terminación unilateral del contrato. Al efecto, la norma establece las siguientes causales:</w:t>
      </w:r>
      <w:r w:rsidRPr="00D31F47">
        <w:rPr>
          <w:rFonts w:ascii="Verdana" w:hAnsi="Verdana" w:cs="Arial"/>
          <w:color w:val="000000" w:themeColor="text1"/>
          <w:sz w:val="20"/>
          <w:szCs w:val="20"/>
        </w:rPr>
        <w:t xml:space="preserve"> […] </w:t>
      </w:r>
      <w:r w:rsidRPr="00D31F47">
        <w:rPr>
          <w:rFonts w:ascii="Verdana" w:hAnsi="Verdana" w:cs="Arial"/>
          <w:color w:val="000000"/>
          <w:sz w:val="20"/>
          <w:szCs w:val="20"/>
          <w:lang w:eastAsia="es-CO"/>
        </w:rPr>
        <w:t>1o. Cuando las exigencias del servicio público lo requieran o la situación de orden público lo imponga. 2o. Por muerte o incapacidad física permanente del contratista, si es persona natural, o por disolución de la persona jurídica del contratista. 3o. Por interdicción judicial o declaración de quiebra del contratista.</w:t>
      </w:r>
      <w:r w:rsidRPr="00D31F47">
        <w:rPr>
          <w:rFonts w:ascii="Verdana" w:hAnsi="Verdana" w:cs="Arial"/>
          <w:color w:val="000000"/>
          <w:sz w:val="20"/>
          <w:szCs w:val="20"/>
          <w:lang w:eastAsia="es-CO"/>
        </w:rPr>
        <w:t xml:space="preserve"> </w:t>
      </w:r>
      <w:r w:rsidRPr="00D31F47">
        <w:rPr>
          <w:rFonts w:ascii="Verdana" w:hAnsi="Verdana" w:cs="Arial"/>
          <w:color w:val="000000"/>
          <w:sz w:val="20"/>
          <w:szCs w:val="20"/>
          <w:lang w:eastAsia="es-CO"/>
        </w:rPr>
        <w:t>4o. Por cesación de pagos, concurso de acreedores o embargos judiciales del contratista que afecten de manera grave el cumplimiento del contrato. Sin embargo, en los casos a que se refieren los numerales 2o. y 3o. de este artículo podrá continuarse la ejecución con el garante de la obligación. La iniciación de trámite concordatario no dará lugar a la declaratoria de terminación unilateral. En tal evento la ejecución se hará con sujeción a las normas sobre administración de negocios del deudor en concordato. La entidad dispondrá las medidas de inspección, control y vigilancia necesarias para asegurar el cumplimiento del objeto contractual e impedir la paralización del servicio. </w:t>
      </w:r>
    </w:p>
    <w:p w14:paraId="01FDAC04" w14:textId="77777777" w:rsidR="00D31F47" w:rsidRDefault="00D31F47" w:rsidP="00D31F47">
      <w:pPr>
        <w:spacing w:after="0" w:line="240" w:lineRule="auto"/>
        <w:jc w:val="both"/>
        <w:rPr>
          <w:rFonts w:ascii="Verdana" w:hAnsi="Verdana" w:cs="Arial"/>
          <w:color w:val="000000" w:themeColor="text1"/>
          <w:sz w:val="20"/>
          <w:szCs w:val="20"/>
        </w:rPr>
      </w:pPr>
    </w:p>
    <w:p w14:paraId="0A8A345D" w14:textId="1EB78889" w:rsidR="00146353" w:rsidRPr="00D31F47" w:rsidRDefault="000A04D0" w:rsidP="00D31F47">
      <w:pPr>
        <w:spacing w:after="0" w:line="240" w:lineRule="auto"/>
        <w:jc w:val="both"/>
        <w:rPr>
          <w:rFonts w:ascii="Verdana" w:hAnsi="Verdana" w:cs="Arial"/>
          <w:color w:val="000000" w:themeColor="text1"/>
          <w:sz w:val="20"/>
          <w:szCs w:val="20"/>
        </w:rPr>
      </w:pPr>
      <w:r w:rsidRPr="00D31F47">
        <w:rPr>
          <w:rFonts w:ascii="Verdana" w:hAnsi="Verdana"/>
          <w:b/>
          <w:lang w:val="es-ES"/>
        </w:rPr>
        <w:t xml:space="preserve">TERMINACIÓN ANTICIPADA POR MUTUO DISENSO – Autonomía de la voluntad  </w:t>
      </w:r>
    </w:p>
    <w:p w14:paraId="47553CE5" w14:textId="77777777" w:rsidR="00D31F47" w:rsidRDefault="00D31F47" w:rsidP="00D31F47">
      <w:pPr>
        <w:spacing w:after="0" w:line="240" w:lineRule="auto"/>
        <w:jc w:val="both"/>
        <w:rPr>
          <w:rFonts w:ascii="Verdana" w:hAnsi="Verdana" w:cs="Arial"/>
          <w:color w:val="000000"/>
          <w:sz w:val="20"/>
          <w:szCs w:val="20"/>
          <w:shd w:val="clear" w:color="auto" w:fill="FFFFFF"/>
          <w:lang w:eastAsia="es-CO"/>
        </w:rPr>
      </w:pPr>
    </w:p>
    <w:p w14:paraId="476CB479" w14:textId="7C28E139" w:rsidR="00D31F47" w:rsidRPr="00D31F47" w:rsidRDefault="00D31F47" w:rsidP="00D31F47">
      <w:pPr>
        <w:spacing w:after="0" w:line="240" w:lineRule="auto"/>
        <w:jc w:val="both"/>
        <w:rPr>
          <w:rFonts w:ascii="Verdana" w:hAnsi="Verdana" w:cs="Arial"/>
          <w:color w:val="000000"/>
          <w:sz w:val="20"/>
          <w:szCs w:val="20"/>
          <w:shd w:val="clear" w:color="auto" w:fill="FFFFFF"/>
          <w:lang w:eastAsia="es-CO"/>
        </w:rPr>
      </w:pPr>
      <w:r w:rsidRPr="00D31F47">
        <w:rPr>
          <w:rFonts w:ascii="Verdana" w:hAnsi="Verdana" w:cs="Arial"/>
          <w:color w:val="000000"/>
          <w:sz w:val="20"/>
          <w:szCs w:val="20"/>
          <w:shd w:val="clear" w:color="auto" w:fill="FFFFFF"/>
          <w:lang w:eastAsia="es-CO"/>
        </w:rPr>
        <w:t xml:space="preserve">Ahora bien, en virtud de la autonomía de la voluntad, las partes podrán dar por terminado de común acuerdo el contrato estatal, según las pautas definidas en el artículo 40 de la Ley 80 de 1993. </w:t>
      </w:r>
    </w:p>
    <w:p w14:paraId="3103E5F9" w14:textId="77777777" w:rsidR="00D31F47" w:rsidRDefault="00D31F47" w:rsidP="00D31F47">
      <w:pPr>
        <w:spacing w:after="0" w:line="240" w:lineRule="auto"/>
        <w:jc w:val="both"/>
        <w:rPr>
          <w:rFonts w:ascii="Verdana" w:hAnsi="Verdana" w:cs="Arial"/>
          <w:color w:val="000000"/>
          <w:sz w:val="20"/>
          <w:szCs w:val="20"/>
          <w:shd w:val="clear" w:color="auto" w:fill="FFFFFF"/>
          <w:lang w:eastAsia="es-CO"/>
        </w:rPr>
      </w:pPr>
    </w:p>
    <w:p w14:paraId="5EFA995D" w14:textId="77777777" w:rsidR="00D31F47" w:rsidRDefault="00D31F47" w:rsidP="00D31F47">
      <w:pPr>
        <w:spacing w:after="0" w:line="240" w:lineRule="auto"/>
        <w:jc w:val="both"/>
        <w:rPr>
          <w:rFonts w:ascii="Verdana" w:hAnsi="Verdana" w:cs="Arial"/>
          <w:color w:val="000000"/>
          <w:sz w:val="20"/>
          <w:szCs w:val="20"/>
          <w:shd w:val="clear" w:color="auto" w:fill="FFFFFF"/>
          <w:lang w:eastAsia="es-CO"/>
        </w:rPr>
      </w:pPr>
      <w:r>
        <w:rPr>
          <w:rFonts w:ascii="Verdana" w:hAnsi="Verdana" w:cs="Arial"/>
          <w:color w:val="000000"/>
          <w:sz w:val="20"/>
          <w:szCs w:val="20"/>
          <w:shd w:val="clear" w:color="auto" w:fill="FFFFFF"/>
          <w:lang w:eastAsia="es-CO"/>
        </w:rPr>
        <w:t>[…]</w:t>
      </w:r>
    </w:p>
    <w:p w14:paraId="2EBFA002" w14:textId="77777777" w:rsidR="00D31F47" w:rsidRDefault="00D31F47" w:rsidP="00D31F47">
      <w:pPr>
        <w:spacing w:after="0" w:line="240" w:lineRule="auto"/>
        <w:jc w:val="both"/>
        <w:rPr>
          <w:rFonts w:ascii="Verdana" w:hAnsi="Verdana" w:cs="Arial"/>
          <w:color w:val="000000"/>
          <w:sz w:val="20"/>
          <w:szCs w:val="20"/>
          <w:shd w:val="clear" w:color="auto" w:fill="FFFFFF"/>
          <w:lang w:eastAsia="es-CO"/>
        </w:rPr>
      </w:pPr>
    </w:p>
    <w:p w14:paraId="6DC29615" w14:textId="487CC92C" w:rsidR="00D31F47" w:rsidRPr="00D31F47" w:rsidRDefault="00D31F47" w:rsidP="00D31F47">
      <w:pPr>
        <w:spacing w:after="0" w:line="240" w:lineRule="auto"/>
        <w:jc w:val="both"/>
        <w:rPr>
          <w:rFonts w:ascii="Verdana" w:hAnsi="Verdana" w:cs="Arial"/>
          <w:color w:val="000000"/>
          <w:sz w:val="20"/>
          <w:szCs w:val="20"/>
          <w:shd w:val="clear" w:color="auto" w:fill="FFFFFF"/>
          <w:lang w:eastAsia="es-CO"/>
        </w:rPr>
      </w:pPr>
      <w:r>
        <w:rPr>
          <w:rFonts w:ascii="Verdana" w:hAnsi="Verdana" w:cs="Arial"/>
          <w:color w:val="000000"/>
          <w:sz w:val="20"/>
          <w:szCs w:val="20"/>
          <w:shd w:val="clear" w:color="auto" w:fill="FFFFFF"/>
          <w:lang w:eastAsia="es-CO"/>
        </w:rPr>
        <w:t xml:space="preserve">[…] </w:t>
      </w:r>
      <w:r w:rsidRPr="00D31F47">
        <w:rPr>
          <w:rFonts w:ascii="Verdana" w:hAnsi="Verdana" w:cs="Arial"/>
          <w:color w:val="000000"/>
          <w:sz w:val="20"/>
          <w:szCs w:val="20"/>
          <w:shd w:val="clear" w:color="auto" w:fill="FFFFFF"/>
          <w:lang w:eastAsia="es-CO"/>
        </w:rPr>
        <w:t xml:space="preserve">al tener pleno soporte constitucional y legal en las normas mercantiles y civiles, cobra aplicación para la contratación estatal por disposición expresa y directa de los artículos 13, 32 y 40 de la ley 80 de 1993. No obstante, para dicha terminación no basta </w:t>
      </w:r>
      <w:r w:rsidRPr="00D31F47">
        <w:rPr>
          <w:rFonts w:ascii="Verdana" w:hAnsi="Verdana" w:cs="Arial"/>
          <w:color w:val="000000"/>
          <w:sz w:val="20"/>
          <w:szCs w:val="20"/>
          <w:shd w:val="clear" w:color="auto" w:fill="FFFFFF"/>
          <w:lang w:eastAsia="es-CO"/>
        </w:rPr>
        <w:lastRenderedPageBreak/>
        <w:t>el simple acuerdo de las partes, sino que debe verificarse que la extinción del vínculo contractual este conforme con la finalidad de interés público ínsita en la contratación estatal y la observancia de los principios constitucionales de la función administrativa.</w:t>
      </w:r>
    </w:p>
    <w:p w14:paraId="55899FA3" w14:textId="77777777" w:rsidR="00D31F47" w:rsidRDefault="00D31F47" w:rsidP="00867BA1">
      <w:pPr>
        <w:spacing w:after="0" w:line="240" w:lineRule="auto"/>
        <w:jc w:val="both"/>
        <w:rPr>
          <w:rFonts w:ascii="Verdana" w:hAnsi="Verdana"/>
          <w:bCs/>
        </w:rPr>
      </w:pPr>
    </w:p>
    <w:p w14:paraId="30F5FCA2" w14:textId="65C81EEB" w:rsidR="00146353" w:rsidRPr="00867BA1" w:rsidRDefault="000A04D0" w:rsidP="000A04D0">
      <w:pPr>
        <w:spacing w:line="276" w:lineRule="auto"/>
        <w:jc w:val="both"/>
        <w:rPr>
          <w:rFonts w:ascii="Verdana" w:hAnsi="Verdana"/>
          <w:b/>
          <w:lang w:val="es-ES"/>
        </w:rPr>
      </w:pPr>
      <w:r w:rsidRPr="00867BA1">
        <w:rPr>
          <w:rFonts w:ascii="Verdana" w:hAnsi="Verdana"/>
          <w:b/>
          <w:lang w:val="es-ES"/>
        </w:rPr>
        <w:t xml:space="preserve">NULIDAD – Contrato </w:t>
      </w:r>
    </w:p>
    <w:p w14:paraId="6CDC566B" w14:textId="77777777" w:rsidR="00867BA1" w:rsidRPr="00867BA1" w:rsidRDefault="00D31F47" w:rsidP="00867BA1">
      <w:pPr>
        <w:spacing w:after="0" w:line="240" w:lineRule="auto"/>
        <w:jc w:val="both"/>
        <w:rPr>
          <w:rFonts w:ascii="Verdana" w:eastAsia="Calibri" w:hAnsi="Verdana" w:cs="Arial"/>
          <w:sz w:val="20"/>
          <w:szCs w:val="20"/>
          <w:lang w:val="es-ES"/>
        </w:rPr>
      </w:pPr>
      <w:r w:rsidRPr="00867BA1">
        <w:rPr>
          <w:rFonts w:ascii="Verdana" w:hAnsi="Verdana" w:cs="Arial"/>
          <w:color w:val="000000"/>
          <w:sz w:val="20"/>
          <w:szCs w:val="20"/>
          <w:shd w:val="clear" w:color="auto" w:fill="FFFFFF"/>
          <w:lang w:eastAsia="es-CO"/>
        </w:rPr>
        <w:t xml:space="preserve">[…] </w:t>
      </w:r>
      <w:r w:rsidRPr="00867BA1">
        <w:rPr>
          <w:rFonts w:ascii="Verdana" w:hAnsi="Verdana" w:cs="Arial"/>
          <w:color w:val="000000"/>
          <w:sz w:val="20"/>
          <w:szCs w:val="20"/>
          <w:shd w:val="clear" w:color="auto" w:fill="FFFFFF"/>
          <w:lang w:eastAsia="es-CO"/>
        </w:rPr>
        <w:t>si la entidad dentro de su juicio analítico considera que el mismo está incurso en alguna de las causales de nulidad que prevé el derecho común y aquellas definidas en el artículo 44 de la Ley 80 de 1993, tendrá la facultad de proceder con la solicitud ante el juez del contrato de su declaratoria</w:t>
      </w:r>
      <w:r w:rsidRPr="00867BA1">
        <w:rPr>
          <w:rFonts w:ascii="Verdana" w:eastAsia="Calibri" w:hAnsi="Verdana" w:cs="Arial"/>
          <w:sz w:val="20"/>
          <w:szCs w:val="20"/>
          <w:lang w:val="es-ES"/>
        </w:rPr>
        <w:t xml:space="preserve"> […]</w:t>
      </w:r>
      <w:r w:rsidRPr="00867BA1">
        <w:rPr>
          <w:rFonts w:ascii="Verdana" w:eastAsia="Calibri" w:hAnsi="Verdana" w:cs="Arial"/>
          <w:sz w:val="20"/>
          <w:szCs w:val="20"/>
          <w:lang w:val="es-ES"/>
        </w:rPr>
        <w:t xml:space="preserve"> la nulidad del contrato, por su parte, ha sido definida por el Consejo de Estado como una sanción que es declarada por un juez, con la finalidad de hacer desaparecer el contrato del mundo jurídico por su falta de validez</w:t>
      </w:r>
      <w:r w:rsidRPr="00867BA1">
        <w:rPr>
          <w:rFonts w:ascii="Verdana" w:eastAsia="Calibri" w:hAnsi="Verdana" w:cs="Arial"/>
          <w:sz w:val="20"/>
          <w:szCs w:val="20"/>
          <w:lang w:val="es-ES"/>
        </w:rPr>
        <w:t>.</w:t>
      </w:r>
    </w:p>
    <w:p w14:paraId="12285F77" w14:textId="77777777" w:rsidR="0001030B" w:rsidRDefault="0001030B" w:rsidP="0001030B">
      <w:pPr>
        <w:spacing w:after="0" w:line="240" w:lineRule="auto"/>
        <w:jc w:val="both"/>
        <w:rPr>
          <w:rFonts w:ascii="Verdana" w:hAnsi="Verdana"/>
          <w:b/>
          <w:lang w:val="es-ES"/>
        </w:rPr>
      </w:pPr>
    </w:p>
    <w:p w14:paraId="04A5F274" w14:textId="66637FBD" w:rsidR="00146353" w:rsidRPr="00867BA1" w:rsidRDefault="000A04D0" w:rsidP="00867BA1">
      <w:pPr>
        <w:spacing w:after="0" w:line="240" w:lineRule="auto"/>
        <w:jc w:val="both"/>
        <w:rPr>
          <w:rFonts w:ascii="Verdana" w:eastAsia="Calibri" w:hAnsi="Verdana" w:cs="Arial"/>
          <w:lang w:val="es-ES"/>
        </w:rPr>
      </w:pPr>
      <w:r w:rsidRPr="00867BA1">
        <w:rPr>
          <w:rFonts w:ascii="Verdana" w:hAnsi="Verdana"/>
          <w:b/>
          <w:lang w:val="es-ES"/>
        </w:rPr>
        <w:t xml:space="preserve">NULIDAD ABSOLUTA – Causales </w:t>
      </w:r>
    </w:p>
    <w:p w14:paraId="0DAF8C48" w14:textId="77777777" w:rsidR="00867BA1" w:rsidRDefault="00867BA1" w:rsidP="00867BA1">
      <w:pPr>
        <w:spacing w:after="0" w:line="240" w:lineRule="auto"/>
        <w:jc w:val="both"/>
        <w:rPr>
          <w:rFonts w:ascii="Verdana" w:eastAsia="Calibri" w:hAnsi="Verdana" w:cs="Arial"/>
          <w:lang w:val="es-ES"/>
        </w:rPr>
      </w:pPr>
    </w:p>
    <w:p w14:paraId="77EE285B" w14:textId="77777777" w:rsidR="00867BA1" w:rsidRDefault="00867BA1" w:rsidP="00867BA1">
      <w:pPr>
        <w:spacing w:after="0" w:line="240" w:lineRule="auto"/>
        <w:jc w:val="both"/>
        <w:rPr>
          <w:rFonts w:ascii="Verdana" w:eastAsia="Calibri" w:hAnsi="Verdana" w:cs="Arial"/>
          <w:sz w:val="20"/>
          <w:szCs w:val="20"/>
          <w:lang w:val="es-ES"/>
        </w:rPr>
      </w:pPr>
      <w:r w:rsidRPr="00867BA1">
        <w:rPr>
          <w:rFonts w:ascii="Verdana" w:eastAsia="Calibri" w:hAnsi="Verdana" w:cs="Arial"/>
          <w:sz w:val="20"/>
          <w:szCs w:val="20"/>
          <w:lang w:val="es-ES"/>
        </w:rPr>
        <w:t>De acuerdo con lo anterior, ante un vicio del contrato derivado del proceso de mínima cuantía, se precisa que la entidad estatal debe revisar si el contrato estatal está viciado de nulidad absoluta, de acuerdo con las causales prescritas en la Ley 80 y en las normas civiles o comerciales, o en su defecto, la nulidad relativa, teniendo en cuenta las causales y vicios dispuestas en el derecho común, las cuales pueden sanearse según lo prescrito en la Ley 80 de 1993</w:t>
      </w:r>
      <w:r>
        <w:rPr>
          <w:rFonts w:ascii="Verdana" w:eastAsia="Calibri" w:hAnsi="Verdana" w:cs="Arial"/>
          <w:sz w:val="20"/>
          <w:szCs w:val="20"/>
          <w:lang w:val="es-ES"/>
        </w:rPr>
        <w:t>.</w:t>
      </w:r>
    </w:p>
    <w:p w14:paraId="444C002C" w14:textId="77777777" w:rsidR="00867BA1" w:rsidRDefault="00867BA1" w:rsidP="00867BA1">
      <w:pPr>
        <w:spacing w:after="0" w:line="240" w:lineRule="auto"/>
        <w:jc w:val="both"/>
        <w:rPr>
          <w:rFonts w:ascii="Verdana" w:hAnsi="Verdana"/>
          <w:b/>
          <w:lang w:val="es-ES"/>
        </w:rPr>
      </w:pPr>
    </w:p>
    <w:p w14:paraId="27C8DDDE" w14:textId="42BF69D6" w:rsidR="00146353" w:rsidRDefault="000A04D0" w:rsidP="00867BA1">
      <w:pPr>
        <w:spacing w:after="0" w:line="240" w:lineRule="auto"/>
        <w:jc w:val="both"/>
        <w:rPr>
          <w:rFonts w:ascii="Verdana" w:hAnsi="Verdana"/>
          <w:b/>
          <w:lang w:val="es-ES"/>
        </w:rPr>
      </w:pPr>
      <w:r w:rsidRPr="00867BA1">
        <w:rPr>
          <w:rFonts w:ascii="Verdana" w:hAnsi="Verdana"/>
          <w:b/>
          <w:lang w:val="es-ES"/>
        </w:rPr>
        <w:t xml:space="preserve">RESPONSABLES DE LA ACTIVIDAD CONTRACTUAL – </w:t>
      </w:r>
      <w:proofErr w:type="gramStart"/>
      <w:r w:rsidRPr="00867BA1">
        <w:rPr>
          <w:rFonts w:ascii="Verdana" w:hAnsi="Verdana"/>
          <w:b/>
          <w:lang w:val="es-ES"/>
        </w:rPr>
        <w:t>Jefes</w:t>
      </w:r>
      <w:proofErr w:type="gramEnd"/>
      <w:r w:rsidRPr="00867BA1">
        <w:rPr>
          <w:rFonts w:ascii="Verdana" w:hAnsi="Verdana"/>
          <w:b/>
          <w:lang w:val="es-ES"/>
        </w:rPr>
        <w:t xml:space="preserve"> o representantes legales de entidades estatales </w:t>
      </w:r>
    </w:p>
    <w:p w14:paraId="4B8092AB" w14:textId="77777777" w:rsidR="00867BA1" w:rsidRDefault="00867BA1" w:rsidP="00867BA1">
      <w:pPr>
        <w:spacing w:after="0" w:line="240" w:lineRule="auto"/>
        <w:jc w:val="both"/>
        <w:rPr>
          <w:rFonts w:ascii="Verdana" w:eastAsia="Calibri" w:hAnsi="Verdana" w:cs="Arial"/>
          <w:sz w:val="20"/>
          <w:szCs w:val="20"/>
          <w:lang w:val="es-ES"/>
        </w:rPr>
      </w:pPr>
    </w:p>
    <w:p w14:paraId="21DF2725" w14:textId="4514D6C8" w:rsidR="00867BA1" w:rsidRPr="00867BA1" w:rsidRDefault="00867BA1" w:rsidP="00867BA1">
      <w:pPr>
        <w:spacing w:after="0" w:line="240" w:lineRule="auto"/>
        <w:jc w:val="both"/>
        <w:rPr>
          <w:rFonts w:ascii="Verdana" w:eastAsia="Calibri" w:hAnsi="Verdana" w:cs="Arial"/>
          <w:sz w:val="20"/>
          <w:szCs w:val="20"/>
          <w:lang w:val="es-ES"/>
        </w:rPr>
      </w:pPr>
      <w:r>
        <w:rPr>
          <w:rFonts w:ascii="Verdana" w:eastAsia="Calibri" w:hAnsi="Verdana" w:cs="Arial"/>
          <w:sz w:val="20"/>
          <w:szCs w:val="20"/>
          <w:lang w:val="es-ES"/>
        </w:rPr>
        <w:t xml:space="preserve">[…] </w:t>
      </w:r>
      <w:r w:rsidRPr="00867BA1">
        <w:rPr>
          <w:rFonts w:ascii="Verdana" w:eastAsia="Calibri" w:hAnsi="Verdana" w:cs="Arial"/>
          <w:sz w:val="20"/>
          <w:szCs w:val="20"/>
          <w:lang w:val="es-ES"/>
        </w:rPr>
        <w:t xml:space="preserve">todos los servidores públicos que intervienen en la contratación estatal, ya sea que lo hagan en calidad de jefes o representantes legales, o en calidad de delegatarios o en calidad de funcionarios a cargo de alguna actuación derivada de la etapa precontractual, contractual o </w:t>
      </w:r>
      <w:proofErr w:type="spellStart"/>
      <w:r w:rsidRPr="00867BA1">
        <w:rPr>
          <w:rFonts w:ascii="Verdana" w:eastAsia="Calibri" w:hAnsi="Verdana" w:cs="Arial"/>
          <w:sz w:val="20"/>
          <w:szCs w:val="20"/>
          <w:lang w:val="es-ES"/>
        </w:rPr>
        <w:t>postcontractual</w:t>
      </w:r>
      <w:proofErr w:type="spellEnd"/>
      <w:r w:rsidRPr="00867BA1">
        <w:rPr>
          <w:rFonts w:ascii="Verdana" w:eastAsia="Calibri" w:hAnsi="Verdana" w:cs="Arial"/>
          <w:sz w:val="20"/>
          <w:szCs w:val="20"/>
          <w:lang w:val="es-ES"/>
        </w:rPr>
        <w:t xml:space="preserve"> del proceso de contratación en razón de sus funciones asignadas en la ley, el reglamento, el manual de funciones o por el superior jerárquico, están sometidos al cumplimiento del principio de responsabilidad previsto en el artículo 26 de la Ley 80 de 1993</w:t>
      </w:r>
      <w:r w:rsidRPr="00867BA1">
        <w:rPr>
          <w:rFonts w:ascii="Verdana" w:eastAsia="Calibri" w:hAnsi="Verdana" w:cs="Arial"/>
          <w:sz w:val="20"/>
          <w:szCs w:val="20"/>
          <w:lang w:val="es-ES"/>
        </w:rPr>
        <w:t>.</w:t>
      </w:r>
    </w:p>
    <w:p w14:paraId="648050FE" w14:textId="77777777" w:rsidR="00867BA1" w:rsidRDefault="00867BA1" w:rsidP="00867BA1">
      <w:pPr>
        <w:spacing w:after="0" w:line="240" w:lineRule="auto"/>
        <w:jc w:val="both"/>
        <w:rPr>
          <w:rFonts w:ascii="Verdana" w:eastAsia="Calibri" w:hAnsi="Verdana" w:cs="Arial"/>
          <w:sz w:val="20"/>
          <w:szCs w:val="20"/>
          <w:lang w:val="es-ES_tradnl"/>
        </w:rPr>
      </w:pPr>
    </w:p>
    <w:p w14:paraId="70E4FF1A" w14:textId="3AFBAF49" w:rsidR="00867BA1" w:rsidRPr="00867BA1" w:rsidRDefault="00867BA1" w:rsidP="00867BA1">
      <w:pPr>
        <w:spacing w:after="0" w:line="240" w:lineRule="auto"/>
        <w:jc w:val="both"/>
        <w:rPr>
          <w:rFonts w:ascii="Verdana" w:eastAsia="Calibri" w:hAnsi="Verdana" w:cs="Arial"/>
          <w:sz w:val="20"/>
          <w:szCs w:val="20"/>
          <w:lang w:val="es-ES_tradnl"/>
        </w:rPr>
      </w:pPr>
      <w:r w:rsidRPr="00867BA1">
        <w:rPr>
          <w:rFonts w:ascii="Verdana" w:eastAsia="Calibri" w:hAnsi="Verdana" w:cs="Arial"/>
          <w:sz w:val="20"/>
          <w:szCs w:val="20"/>
          <w:lang w:val="es-ES_tradnl"/>
        </w:rPr>
        <w:t>En consecuencia, las actuaciones de los servidores públicos que participan en la contratación estatal están sometidos a los controles jurídicos, de diversa índole, que existen en el ordenamiento jurídico para el efecto, cuyo ejercicio está atribuido a distintas autoridades y procedimientos especiales. Estas autoridades, luego de actuar dentro del marco del principio de legalidad, el derecho al debido proceso y de desvirtuar la garantía de la presunción de inocencia, pueden encontrar la responsabilidad penal, disciplinaria, fiscal y/o patrimonial de los servidores públicos que hayan actuado indebidamente en la actividad contractual del Estado, tal y como lo reafirma el artículo 51 de la ley 80 de 1993: “El servidor público responderá disciplinaria, civil y penalmente por sus acciones y omisiones en la actuación contractual en los términos de la Constitución y de la ley”.</w:t>
      </w:r>
    </w:p>
    <w:p w14:paraId="66D412E0" w14:textId="77777777" w:rsidR="00867BA1" w:rsidRPr="00867BA1" w:rsidRDefault="00867BA1" w:rsidP="00867BA1">
      <w:pPr>
        <w:spacing w:after="0" w:line="240" w:lineRule="auto"/>
        <w:jc w:val="both"/>
        <w:rPr>
          <w:rFonts w:ascii="Verdana" w:eastAsia="Calibri" w:hAnsi="Verdana" w:cs="Arial"/>
          <w:b/>
          <w:sz w:val="20"/>
          <w:szCs w:val="20"/>
          <w:lang w:val="es-ES_tradnl"/>
        </w:rPr>
      </w:pPr>
    </w:p>
    <w:p w14:paraId="430DE485" w14:textId="068F17C9" w:rsidR="000A04D0" w:rsidRPr="00867BA1" w:rsidRDefault="000A04D0" w:rsidP="000A04D0">
      <w:pPr>
        <w:spacing w:line="276" w:lineRule="auto"/>
        <w:jc w:val="both"/>
        <w:rPr>
          <w:rFonts w:ascii="Verdana" w:eastAsia="Times New Roman" w:hAnsi="Verdana" w:cs="Arial"/>
          <w:b/>
          <w:bCs/>
          <w:lang w:val="es-MX" w:eastAsia="es-ES_tradnl"/>
        </w:rPr>
      </w:pPr>
      <w:r w:rsidRPr="00867BA1">
        <w:rPr>
          <w:rFonts w:ascii="Verdana" w:eastAsia="Times New Roman" w:hAnsi="Verdana" w:cs="Arial"/>
          <w:b/>
          <w:bCs/>
          <w:lang w:eastAsia="es-ES_tradnl"/>
        </w:rPr>
        <w:t>RESPUESTAS A OBSERVACIONES – Deber de responder</w:t>
      </w:r>
    </w:p>
    <w:p w14:paraId="63CC8626" w14:textId="77777777" w:rsidR="00867BA1" w:rsidRPr="00867BA1" w:rsidRDefault="00867BA1" w:rsidP="00867BA1">
      <w:pPr>
        <w:widowControl w:val="0"/>
        <w:autoSpaceDE w:val="0"/>
        <w:autoSpaceDN w:val="0"/>
        <w:spacing w:after="0" w:line="240" w:lineRule="auto"/>
        <w:jc w:val="both"/>
        <w:rPr>
          <w:rFonts w:ascii="Verdana" w:eastAsia="Arial" w:hAnsi="Verdana" w:cs="Arial"/>
          <w:sz w:val="20"/>
          <w:szCs w:val="20"/>
          <w:lang w:val="es-ES" w:eastAsia="es-ES" w:bidi="es-ES"/>
        </w:rPr>
      </w:pPr>
      <w:r w:rsidRPr="00867BA1">
        <w:rPr>
          <w:rFonts w:ascii="Verdana" w:eastAsia="Calibri" w:hAnsi="Verdana" w:cs="Arial"/>
          <w:sz w:val="20"/>
          <w:szCs w:val="20"/>
          <w:lang w:val="es-ES_tradnl"/>
        </w:rPr>
        <w:lastRenderedPageBreak/>
        <w:t xml:space="preserve">Por último, respecto de la obligatoriedad de dar respuesta a los mensajes que se presentan dentro de un proceso de selección, </w:t>
      </w:r>
      <w:r w:rsidRPr="00867BA1">
        <w:rPr>
          <w:rFonts w:ascii="Verdana" w:eastAsia="Arial" w:hAnsi="Verdana" w:cs="Arial"/>
          <w:sz w:val="20"/>
          <w:szCs w:val="20"/>
          <w:lang w:val="es-ES" w:eastAsia="es-ES" w:bidi="es-ES"/>
        </w:rPr>
        <w:t>en virtud de que las respuestas a las observaciones y/o aclaraciones hacen parte de la institución del derecho de petición como herramienta fundamental para la convergencia entre los administrados y las autoridades administrativas en la gestión de lo público, las entidades estatales deben asegurarse de dar respuestas de fondo y claras, en el sentido de que la exposición de las razones por las cuales acepta o rechaza las observaciones legitima el proceso, para impedir que su ausencia o una falsa motivación conduzca a la invalidez de lo actuado, atentando contra los principios de transparencia y debida contradicción fundamentales en las actuaciones administrativas.</w:t>
      </w:r>
    </w:p>
    <w:p w14:paraId="6E3A063B" w14:textId="77777777" w:rsidR="000A04D0" w:rsidRPr="00867BA1" w:rsidRDefault="000A04D0" w:rsidP="00122D5E">
      <w:pPr>
        <w:spacing w:after="0" w:line="240" w:lineRule="auto"/>
        <w:jc w:val="both"/>
        <w:rPr>
          <w:rFonts w:ascii="Verdana" w:hAnsi="Verdana"/>
          <w:lang w:val="es-ES"/>
        </w:rPr>
      </w:pPr>
    </w:p>
    <w:p w14:paraId="1A812883" w14:textId="77777777" w:rsidR="00867BA1" w:rsidRDefault="00867BA1" w:rsidP="00122D5E">
      <w:pPr>
        <w:spacing w:after="0" w:line="240" w:lineRule="auto"/>
        <w:jc w:val="both"/>
        <w:rPr>
          <w:rFonts w:ascii="Verdana" w:hAnsi="Verdana"/>
        </w:rPr>
      </w:pPr>
    </w:p>
    <w:p w14:paraId="45457C5F" w14:textId="77777777" w:rsidR="00867BA1" w:rsidRDefault="00867BA1" w:rsidP="00122D5E">
      <w:pPr>
        <w:spacing w:after="0" w:line="240" w:lineRule="auto"/>
        <w:jc w:val="both"/>
        <w:rPr>
          <w:rFonts w:ascii="Verdana" w:hAnsi="Verdana"/>
        </w:rPr>
      </w:pPr>
    </w:p>
    <w:p w14:paraId="2EF6355C" w14:textId="77777777" w:rsidR="00867BA1" w:rsidRDefault="00867BA1" w:rsidP="00122D5E">
      <w:pPr>
        <w:spacing w:after="0" w:line="240" w:lineRule="auto"/>
        <w:jc w:val="both"/>
        <w:rPr>
          <w:rFonts w:ascii="Verdana" w:hAnsi="Verdana"/>
        </w:rPr>
      </w:pPr>
    </w:p>
    <w:p w14:paraId="12C9452B" w14:textId="77777777" w:rsidR="00867BA1" w:rsidRDefault="00867BA1" w:rsidP="00122D5E">
      <w:pPr>
        <w:spacing w:after="0" w:line="240" w:lineRule="auto"/>
        <w:jc w:val="both"/>
        <w:rPr>
          <w:rFonts w:ascii="Verdana" w:hAnsi="Verdana"/>
        </w:rPr>
      </w:pPr>
    </w:p>
    <w:p w14:paraId="1C474593" w14:textId="77777777" w:rsidR="00867BA1" w:rsidRDefault="00867BA1" w:rsidP="00122D5E">
      <w:pPr>
        <w:spacing w:after="0" w:line="240" w:lineRule="auto"/>
        <w:jc w:val="both"/>
        <w:rPr>
          <w:rFonts w:ascii="Verdana" w:hAnsi="Verdana"/>
        </w:rPr>
      </w:pPr>
    </w:p>
    <w:p w14:paraId="6D62107B" w14:textId="77777777" w:rsidR="00867BA1" w:rsidRDefault="00867BA1" w:rsidP="00122D5E">
      <w:pPr>
        <w:spacing w:after="0" w:line="240" w:lineRule="auto"/>
        <w:jc w:val="both"/>
        <w:rPr>
          <w:rFonts w:ascii="Verdana" w:hAnsi="Verdana"/>
        </w:rPr>
      </w:pPr>
    </w:p>
    <w:p w14:paraId="5868D473" w14:textId="77777777" w:rsidR="00867BA1" w:rsidRDefault="00867BA1" w:rsidP="00122D5E">
      <w:pPr>
        <w:spacing w:after="0" w:line="240" w:lineRule="auto"/>
        <w:jc w:val="both"/>
        <w:rPr>
          <w:rFonts w:ascii="Verdana" w:hAnsi="Verdana"/>
        </w:rPr>
      </w:pPr>
    </w:p>
    <w:p w14:paraId="6B2D0417" w14:textId="77777777" w:rsidR="00867BA1" w:rsidRDefault="00867BA1" w:rsidP="00122D5E">
      <w:pPr>
        <w:spacing w:after="0" w:line="240" w:lineRule="auto"/>
        <w:jc w:val="both"/>
        <w:rPr>
          <w:rFonts w:ascii="Verdana" w:hAnsi="Verdana"/>
        </w:rPr>
      </w:pPr>
    </w:p>
    <w:p w14:paraId="3A5A66EA" w14:textId="77777777" w:rsidR="00867BA1" w:rsidRDefault="00867BA1" w:rsidP="00122D5E">
      <w:pPr>
        <w:spacing w:after="0" w:line="240" w:lineRule="auto"/>
        <w:jc w:val="both"/>
        <w:rPr>
          <w:rFonts w:ascii="Verdana" w:hAnsi="Verdana"/>
        </w:rPr>
      </w:pPr>
    </w:p>
    <w:p w14:paraId="3E29AA91" w14:textId="77777777" w:rsidR="00867BA1" w:rsidRDefault="00867BA1" w:rsidP="00122D5E">
      <w:pPr>
        <w:spacing w:after="0" w:line="240" w:lineRule="auto"/>
        <w:jc w:val="both"/>
        <w:rPr>
          <w:rFonts w:ascii="Verdana" w:hAnsi="Verdana"/>
        </w:rPr>
      </w:pPr>
    </w:p>
    <w:p w14:paraId="0198A3D8" w14:textId="77777777" w:rsidR="00867BA1" w:rsidRDefault="00867BA1" w:rsidP="00122D5E">
      <w:pPr>
        <w:spacing w:after="0" w:line="240" w:lineRule="auto"/>
        <w:jc w:val="both"/>
        <w:rPr>
          <w:rFonts w:ascii="Verdana" w:hAnsi="Verdana"/>
        </w:rPr>
      </w:pPr>
    </w:p>
    <w:p w14:paraId="36B2FB34" w14:textId="77777777" w:rsidR="00867BA1" w:rsidRDefault="00867BA1" w:rsidP="00122D5E">
      <w:pPr>
        <w:spacing w:after="0" w:line="240" w:lineRule="auto"/>
        <w:jc w:val="both"/>
        <w:rPr>
          <w:rFonts w:ascii="Verdana" w:hAnsi="Verdana"/>
        </w:rPr>
      </w:pPr>
    </w:p>
    <w:p w14:paraId="5C2FC61B" w14:textId="77777777" w:rsidR="00867BA1" w:rsidRDefault="00867BA1" w:rsidP="00122D5E">
      <w:pPr>
        <w:spacing w:after="0" w:line="240" w:lineRule="auto"/>
        <w:jc w:val="both"/>
        <w:rPr>
          <w:rFonts w:ascii="Verdana" w:hAnsi="Verdana"/>
        </w:rPr>
      </w:pPr>
    </w:p>
    <w:p w14:paraId="54394A7E" w14:textId="77777777" w:rsidR="00867BA1" w:rsidRDefault="00867BA1" w:rsidP="00122D5E">
      <w:pPr>
        <w:spacing w:after="0" w:line="240" w:lineRule="auto"/>
        <w:jc w:val="both"/>
        <w:rPr>
          <w:rFonts w:ascii="Verdana" w:hAnsi="Verdana"/>
        </w:rPr>
      </w:pPr>
    </w:p>
    <w:p w14:paraId="4DCB248D" w14:textId="77777777" w:rsidR="00867BA1" w:rsidRDefault="00867BA1" w:rsidP="00122D5E">
      <w:pPr>
        <w:spacing w:after="0" w:line="240" w:lineRule="auto"/>
        <w:jc w:val="both"/>
        <w:rPr>
          <w:rFonts w:ascii="Verdana" w:hAnsi="Verdana"/>
        </w:rPr>
      </w:pPr>
    </w:p>
    <w:p w14:paraId="6DC21334" w14:textId="77777777" w:rsidR="00867BA1" w:rsidRDefault="00867BA1" w:rsidP="00122D5E">
      <w:pPr>
        <w:spacing w:after="0" w:line="240" w:lineRule="auto"/>
        <w:jc w:val="both"/>
        <w:rPr>
          <w:rFonts w:ascii="Verdana" w:hAnsi="Verdana"/>
        </w:rPr>
      </w:pPr>
    </w:p>
    <w:p w14:paraId="28286B7D" w14:textId="77777777" w:rsidR="00867BA1" w:rsidRDefault="00867BA1" w:rsidP="00122D5E">
      <w:pPr>
        <w:spacing w:after="0" w:line="240" w:lineRule="auto"/>
        <w:jc w:val="both"/>
        <w:rPr>
          <w:rFonts w:ascii="Verdana" w:hAnsi="Verdana"/>
        </w:rPr>
      </w:pPr>
    </w:p>
    <w:p w14:paraId="55551BDE" w14:textId="77777777" w:rsidR="00867BA1" w:rsidRDefault="00867BA1" w:rsidP="00122D5E">
      <w:pPr>
        <w:spacing w:after="0" w:line="240" w:lineRule="auto"/>
        <w:jc w:val="both"/>
        <w:rPr>
          <w:rFonts w:ascii="Verdana" w:hAnsi="Verdana"/>
        </w:rPr>
      </w:pPr>
    </w:p>
    <w:p w14:paraId="4CFBC73F" w14:textId="77777777" w:rsidR="00867BA1" w:rsidRDefault="00867BA1" w:rsidP="00122D5E">
      <w:pPr>
        <w:spacing w:after="0" w:line="240" w:lineRule="auto"/>
        <w:jc w:val="both"/>
        <w:rPr>
          <w:rFonts w:ascii="Verdana" w:hAnsi="Verdana"/>
        </w:rPr>
      </w:pPr>
    </w:p>
    <w:p w14:paraId="0D95B538" w14:textId="77777777" w:rsidR="00867BA1" w:rsidRDefault="00867BA1" w:rsidP="00122D5E">
      <w:pPr>
        <w:spacing w:after="0" w:line="240" w:lineRule="auto"/>
        <w:jc w:val="both"/>
        <w:rPr>
          <w:rFonts w:ascii="Verdana" w:hAnsi="Verdana"/>
        </w:rPr>
      </w:pPr>
    </w:p>
    <w:p w14:paraId="52122370" w14:textId="77777777" w:rsidR="00867BA1" w:rsidRDefault="00867BA1" w:rsidP="00122D5E">
      <w:pPr>
        <w:spacing w:after="0" w:line="240" w:lineRule="auto"/>
        <w:jc w:val="both"/>
        <w:rPr>
          <w:rFonts w:ascii="Verdana" w:hAnsi="Verdana"/>
        </w:rPr>
      </w:pPr>
    </w:p>
    <w:p w14:paraId="4FAE778E" w14:textId="77777777" w:rsidR="00867BA1" w:rsidRDefault="00867BA1" w:rsidP="00122D5E">
      <w:pPr>
        <w:spacing w:after="0" w:line="240" w:lineRule="auto"/>
        <w:jc w:val="both"/>
        <w:rPr>
          <w:rFonts w:ascii="Verdana" w:hAnsi="Verdana"/>
        </w:rPr>
      </w:pPr>
    </w:p>
    <w:p w14:paraId="2E119557" w14:textId="77777777" w:rsidR="00867BA1" w:rsidRDefault="00867BA1" w:rsidP="00122D5E">
      <w:pPr>
        <w:spacing w:after="0" w:line="240" w:lineRule="auto"/>
        <w:jc w:val="both"/>
        <w:rPr>
          <w:rFonts w:ascii="Verdana" w:hAnsi="Verdana"/>
        </w:rPr>
      </w:pPr>
    </w:p>
    <w:p w14:paraId="1B5CEE3B" w14:textId="77777777" w:rsidR="00867BA1" w:rsidRDefault="00867BA1" w:rsidP="00122D5E">
      <w:pPr>
        <w:spacing w:after="0" w:line="240" w:lineRule="auto"/>
        <w:jc w:val="both"/>
        <w:rPr>
          <w:rFonts w:ascii="Verdana" w:hAnsi="Verdana"/>
        </w:rPr>
      </w:pPr>
    </w:p>
    <w:p w14:paraId="4D8AC38F" w14:textId="77777777" w:rsidR="00867BA1" w:rsidRDefault="00867BA1" w:rsidP="00122D5E">
      <w:pPr>
        <w:spacing w:after="0" w:line="240" w:lineRule="auto"/>
        <w:jc w:val="both"/>
        <w:rPr>
          <w:rFonts w:ascii="Verdana" w:hAnsi="Verdana"/>
        </w:rPr>
      </w:pPr>
    </w:p>
    <w:p w14:paraId="5E18BCCB" w14:textId="77777777" w:rsidR="00867BA1" w:rsidRDefault="00867BA1" w:rsidP="00122D5E">
      <w:pPr>
        <w:spacing w:after="0" w:line="240" w:lineRule="auto"/>
        <w:jc w:val="both"/>
        <w:rPr>
          <w:rFonts w:ascii="Verdana" w:hAnsi="Verdana"/>
        </w:rPr>
      </w:pPr>
    </w:p>
    <w:p w14:paraId="52C345F3" w14:textId="77777777" w:rsidR="00867BA1" w:rsidRDefault="00867BA1" w:rsidP="00122D5E">
      <w:pPr>
        <w:spacing w:after="0" w:line="240" w:lineRule="auto"/>
        <w:jc w:val="both"/>
        <w:rPr>
          <w:rFonts w:ascii="Verdana" w:hAnsi="Verdana"/>
        </w:rPr>
      </w:pPr>
    </w:p>
    <w:p w14:paraId="6EEC1390" w14:textId="77777777" w:rsidR="00867BA1" w:rsidRDefault="00867BA1" w:rsidP="00122D5E">
      <w:pPr>
        <w:spacing w:after="0" w:line="240" w:lineRule="auto"/>
        <w:jc w:val="both"/>
        <w:rPr>
          <w:rFonts w:ascii="Verdana" w:hAnsi="Verdana"/>
        </w:rPr>
      </w:pPr>
    </w:p>
    <w:p w14:paraId="276C044E" w14:textId="77777777" w:rsidR="00867BA1" w:rsidRDefault="00867BA1" w:rsidP="00122D5E">
      <w:pPr>
        <w:spacing w:after="0" w:line="240" w:lineRule="auto"/>
        <w:jc w:val="both"/>
        <w:rPr>
          <w:rFonts w:ascii="Verdana" w:hAnsi="Verdana"/>
        </w:rPr>
      </w:pPr>
    </w:p>
    <w:p w14:paraId="4379B5D5" w14:textId="77777777" w:rsidR="00867BA1" w:rsidRDefault="00867BA1" w:rsidP="00122D5E">
      <w:pPr>
        <w:spacing w:after="0" w:line="240" w:lineRule="auto"/>
        <w:jc w:val="both"/>
        <w:rPr>
          <w:rFonts w:ascii="Verdana" w:hAnsi="Verdana"/>
        </w:rPr>
      </w:pPr>
    </w:p>
    <w:p w14:paraId="4E2C9CBF" w14:textId="77777777" w:rsidR="00867BA1" w:rsidRDefault="00867BA1" w:rsidP="00122D5E">
      <w:pPr>
        <w:spacing w:after="0" w:line="240" w:lineRule="auto"/>
        <w:jc w:val="both"/>
        <w:rPr>
          <w:rFonts w:ascii="Verdana" w:hAnsi="Verdana"/>
        </w:rPr>
      </w:pPr>
    </w:p>
    <w:p w14:paraId="55EE7C9A" w14:textId="77777777" w:rsidR="00867BA1" w:rsidRDefault="00867BA1" w:rsidP="00122D5E">
      <w:pPr>
        <w:spacing w:after="0" w:line="240" w:lineRule="auto"/>
        <w:jc w:val="both"/>
        <w:rPr>
          <w:rFonts w:ascii="Verdana" w:hAnsi="Verdana"/>
        </w:rPr>
      </w:pPr>
    </w:p>
    <w:p w14:paraId="0228489A" w14:textId="77777777" w:rsidR="00867BA1" w:rsidRDefault="00867BA1" w:rsidP="00122D5E">
      <w:pPr>
        <w:spacing w:after="0" w:line="240" w:lineRule="auto"/>
        <w:jc w:val="both"/>
        <w:rPr>
          <w:rFonts w:ascii="Verdana" w:hAnsi="Verdana"/>
        </w:rPr>
      </w:pPr>
    </w:p>
    <w:p w14:paraId="005D84F3" w14:textId="2F41961B" w:rsidR="00122D5E" w:rsidRDefault="00122D5E" w:rsidP="00122D5E">
      <w:pPr>
        <w:spacing w:after="0" w:line="240" w:lineRule="auto"/>
        <w:jc w:val="both"/>
        <w:rPr>
          <w:rFonts w:ascii="Verdana" w:hAnsi="Verdana"/>
        </w:rPr>
      </w:pPr>
      <w:r w:rsidRPr="00FF007A">
        <w:rPr>
          <w:rFonts w:ascii="Verdana" w:hAnsi="Verdana"/>
        </w:rPr>
        <w:lastRenderedPageBreak/>
        <w:t xml:space="preserve">Bogotá D.C., </w:t>
      </w:r>
      <w:r w:rsidR="000A04D0">
        <w:rPr>
          <w:rFonts w:ascii="Verdana" w:hAnsi="Verdana"/>
        </w:rPr>
        <w:t xml:space="preserve">03 de octubre de 2025 </w:t>
      </w:r>
      <w:r w:rsidRPr="00FF007A">
        <w:rPr>
          <w:rFonts w:ascii="Verdana" w:hAnsi="Verdana"/>
        </w:rPr>
        <w:tab/>
      </w:r>
    </w:p>
    <w:p w14:paraId="6AE64873" w14:textId="77777777" w:rsidR="000A04D0" w:rsidRDefault="000A04D0" w:rsidP="00122D5E">
      <w:pPr>
        <w:spacing w:after="0" w:line="240" w:lineRule="auto"/>
        <w:jc w:val="both"/>
        <w:rPr>
          <w:rFonts w:ascii="Verdana" w:hAnsi="Verdana"/>
        </w:rPr>
      </w:pPr>
    </w:p>
    <w:p w14:paraId="1EC202B2" w14:textId="5C9A5852" w:rsidR="00122D5E" w:rsidRPr="00867BA1" w:rsidRDefault="000A04D0" w:rsidP="00867BA1">
      <w:pPr>
        <w:spacing w:after="0" w:line="240" w:lineRule="auto"/>
        <w:jc w:val="right"/>
        <w:rPr>
          <w:rFonts w:ascii="Verdana" w:hAnsi="Verdana"/>
        </w:rPr>
      </w:pPr>
      <w:r w:rsidRPr="000A04D0">
        <w:rPr>
          <w:rFonts w:ascii="Verdana" w:hAnsi="Verdana"/>
        </w:rPr>
        <w:drawing>
          <wp:inline distT="0" distB="0" distL="0" distR="0" wp14:anchorId="6551D1F0" wp14:editId="323955B9">
            <wp:extent cx="2254313" cy="672237"/>
            <wp:effectExtent l="0" t="0" r="0" b="0"/>
            <wp:docPr id="1137538822"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538822" name="Imagen 1" descr="Texto&#10;&#10;El contenido generado por IA puede ser incorrecto."/>
                    <pic:cNvPicPr/>
                  </pic:nvPicPr>
                  <pic:blipFill>
                    <a:blip r:embed="rId11"/>
                    <a:stretch>
                      <a:fillRect/>
                    </a:stretch>
                  </pic:blipFill>
                  <pic:spPr>
                    <a:xfrm>
                      <a:off x="0" y="0"/>
                      <a:ext cx="2279526" cy="679756"/>
                    </a:xfrm>
                    <a:prstGeom prst="rect">
                      <a:avLst/>
                    </a:prstGeom>
                  </pic:spPr>
                </pic:pic>
              </a:graphicData>
            </a:graphic>
          </wp:inline>
        </w:drawing>
      </w:r>
      <w:bookmarkStart w:id="6" w:name="_Hlk197462763"/>
      <w:bookmarkStart w:id="7" w:name="_Hlk197529996"/>
    </w:p>
    <w:p w14:paraId="13EE24C9" w14:textId="77777777" w:rsidR="00122D5E" w:rsidRPr="00FF007A" w:rsidRDefault="00122D5E" w:rsidP="00122D5E">
      <w:pPr>
        <w:spacing w:after="0" w:line="240" w:lineRule="auto"/>
        <w:jc w:val="both"/>
        <w:rPr>
          <w:rFonts w:ascii="Verdana" w:eastAsia="Calibri" w:hAnsi="Verdana" w:cs="Arial"/>
          <w:lang w:eastAsia="es-ES"/>
        </w:rPr>
      </w:pPr>
      <w:r w:rsidRPr="00FF007A">
        <w:rPr>
          <w:rFonts w:ascii="Verdana" w:eastAsia="Calibri" w:hAnsi="Verdana" w:cs="Arial"/>
          <w:lang w:eastAsia="es-ES"/>
        </w:rPr>
        <w:t>Señora</w:t>
      </w:r>
    </w:p>
    <w:p w14:paraId="3205E4C6" w14:textId="77777777" w:rsidR="00122D5E" w:rsidRPr="009C2BBB" w:rsidRDefault="00122D5E" w:rsidP="00122D5E">
      <w:pPr>
        <w:spacing w:after="0" w:line="240" w:lineRule="auto"/>
        <w:jc w:val="both"/>
        <w:rPr>
          <w:rFonts w:ascii="Verdana" w:eastAsia="Calibri" w:hAnsi="Verdana" w:cs="Arial"/>
          <w:b/>
          <w:lang w:eastAsia="es-ES_tradnl"/>
        </w:rPr>
      </w:pPr>
      <w:r w:rsidRPr="009C2BBB">
        <w:rPr>
          <w:rFonts w:ascii="Verdana" w:eastAsia="Calibri" w:hAnsi="Verdana" w:cs="Arial"/>
          <w:b/>
          <w:lang w:eastAsia="es-ES_tradnl"/>
        </w:rPr>
        <w:t>Diana Leonor</w:t>
      </w:r>
      <w:r>
        <w:rPr>
          <w:rFonts w:ascii="Verdana" w:eastAsia="Calibri" w:hAnsi="Verdana" w:cs="Arial"/>
          <w:b/>
          <w:lang w:eastAsia="es-ES_tradnl"/>
        </w:rPr>
        <w:t xml:space="preserve"> </w:t>
      </w:r>
      <w:r w:rsidRPr="009C2BBB">
        <w:rPr>
          <w:rFonts w:ascii="Verdana" w:eastAsia="Calibri" w:hAnsi="Verdana" w:cs="Arial"/>
          <w:b/>
          <w:lang w:eastAsia="es-ES_tradnl"/>
        </w:rPr>
        <w:t>Mor</w:t>
      </w:r>
      <w:r>
        <w:rPr>
          <w:rFonts w:ascii="Verdana" w:eastAsia="Calibri" w:hAnsi="Verdana" w:cs="Arial"/>
          <w:b/>
          <w:lang w:eastAsia="es-ES_tradnl"/>
        </w:rPr>
        <w:t>ó</w:t>
      </w:r>
      <w:r w:rsidRPr="009C2BBB">
        <w:rPr>
          <w:rFonts w:ascii="Verdana" w:eastAsia="Calibri" w:hAnsi="Verdana" w:cs="Arial"/>
          <w:b/>
          <w:lang w:eastAsia="es-ES_tradnl"/>
        </w:rPr>
        <w:t xml:space="preserve">n </w:t>
      </w:r>
      <w:proofErr w:type="spellStart"/>
      <w:r w:rsidRPr="009C2BBB">
        <w:rPr>
          <w:rFonts w:ascii="Verdana" w:eastAsia="Calibri" w:hAnsi="Verdana" w:cs="Arial"/>
          <w:b/>
          <w:lang w:eastAsia="es-ES_tradnl"/>
        </w:rPr>
        <w:t>Mor</w:t>
      </w:r>
      <w:r>
        <w:rPr>
          <w:rFonts w:ascii="Verdana" w:eastAsia="Calibri" w:hAnsi="Verdana" w:cs="Arial"/>
          <w:b/>
          <w:lang w:eastAsia="es-ES_tradnl"/>
        </w:rPr>
        <w:t>ó</w:t>
      </w:r>
      <w:r w:rsidRPr="009C2BBB">
        <w:rPr>
          <w:rFonts w:ascii="Verdana" w:eastAsia="Calibri" w:hAnsi="Verdana" w:cs="Arial"/>
          <w:b/>
          <w:lang w:eastAsia="es-ES_tradnl"/>
        </w:rPr>
        <w:t>n</w:t>
      </w:r>
      <w:proofErr w:type="spellEnd"/>
    </w:p>
    <w:p w14:paraId="27264AC9" w14:textId="77777777" w:rsidR="00122D5E" w:rsidRPr="009C2BBB" w:rsidRDefault="00122D5E" w:rsidP="00122D5E">
      <w:pPr>
        <w:spacing w:after="0" w:line="240" w:lineRule="auto"/>
        <w:jc w:val="both"/>
        <w:rPr>
          <w:rFonts w:ascii="Verdana" w:hAnsi="Verdana"/>
          <w:b/>
          <w:bCs/>
        </w:rPr>
      </w:pPr>
      <w:hyperlink r:id="rId12" w:history="1">
        <w:r w:rsidRPr="009C2BBB">
          <w:rPr>
            <w:rStyle w:val="Hipervnculo"/>
            <w:rFonts w:ascii="Verdana" w:hAnsi="Verdana"/>
            <w:b/>
            <w:bCs/>
          </w:rPr>
          <w:t>dianalmm@yahoo.com</w:t>
        </w:r>
      </w:hyperlink>
    </w:p>
    <w:p w14:paraId="030FC61C" w14:textId="77777777" w:rsidR="00122D5E" w:rsidRDefault="00122D5E" w:rsidP="00122D5E">
      <w:pPr>
        <w:spacing w:after="0" w:line="240" w:lineRule="auto"/>
        <w:jc w:val="both"/>
        <w:rPr>
          <w:rFonts w:ascii="Verdana" w:hAnsi="Verdana"/>
        </w:rPr>
      </w:pPr>
      <w:r>
        <w:rPr>
          <w:rFonts w:ascii="Verdana" w:hAnsi="Verdana"/>
        </w:rPr>
        <w:t xml:space="preserve">San Andrés </w:t>
      </w:r>
    </w:p>
    <w:p w14:paraId="0F2FBF6C" w14:textId="77777777" w:rsidR="00122D5E" w:rsidRPr="00FF007A" w:rsidRDefault="00122D5E" w:rsidP="00122D5E">
      <w:pPr>
        <w:spacing w:after="0" w:line="240" w:lineRule="auto"/>
        <w:jc w:val="both"/>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985"/>
        <w:gridCol w:w="6804"/>
      </w:tblGrid>
      <w:tr w:rsidR="00122D5E" w:rsidRPr="00FF007A" w14:paraId="5D15BA06" w14:textId="77777777" w:rsidTr="002F4446">
        <w:trPr>
          <w:trHeight w:val="162"/>
        </w:trPr>
        <w:tc>
          <w:tcPr>
            <w:tcW w:w="1985" w:type="dxa"/>
          </w:tcPr>
          <w:p w14:paraId="35CF3BE6" w14:textId="77777777" w:rsidR="00122D5E" w:rsidRPr="00FF007A" w:rsidRDefault="00122D5E" w:rsidP="00D04A83">
            <w:pPr>
              <w:jc w:val="both"/>
              <w:rPr>
                <w:rFonts w:ascii="Verdana" w:eastAsia="Calibri" w:hAnsi="Verdana" w:cs="Arial"/>
                <w:b/>
                <w:bCs/>
                <w:color w:val="7030A0"/>
                <w:lang w:eastAsia="es-ES_tradnl"/>
              </w:rPr>
            </w:pPr>
          </w:p>
        </w:tc>
        <w:tc>
          <w:tcPr>
            <w:tcW w:w="6804" w:type="dxa"/>
          </w:tcPr>
          <w:p w14:paraId="6A39B0BB" w14:textId="77777777" w:rsidR="00122D5E" w:rsidRPr="00FF007A" w:rsidRDefault="00122D5E" w:rsidP="00D04A83">
            <w:pPr>
              <w:jc w:val="both"/>
              <w:rPr>
                <w:rFonts w:ascii="Verdana" w:eastAsia="Calibri" w:hAnsi="Verdana" w:cs="Arial"/>
                <w:b/>
                <w:bCs/>
                <w:lang w:eastAsia="es-ES"/>
              </w:rPr>
            </w:pPr>
            <w:r w:rsidRPr="00FF007A">
              <w:rPr>
                <w:rFonts w:ascii="Verdana" w:eastAsia="Calibri" w:hAnsi="Verdana" w:cs="Arial"/>
                <w:b/>
                <w:bCs/>
                <w:lang w:eastAsia="es-ES"/>
              </w:rPr>
              <w:t>Concepto C-11</w:t>
            </w:r>
            <w:r>
              <w:rPr>
                <w:rFonts w:ascii="Verdana" w:eastAsia="Calibri" w:hAnsi="Verdana" w:cs="Arial"/>
                <w:b/>
                <w:bCs/>
                <w:lang w:eastAsia="es-ES"/>
              </w:rPr>
              <w:t>99</w:t>
            </w:r>
            <w:r w:rsidRPr="00FF007A">
              <w:rPr>
                <w:rFonts w:ascii="Verdana" w:eastAsia="Calibri" w:hAnsi="Verdana" w:cs="Arial"/>
                <w:b/>
                <w:bCs/>
                <w:lang w:eastAsia="es-ES"/>
              </w:rPr>
              <w:t xml:space="preserve"> de 2025</w:t>
            </w:r>
          </w:p>
          <w:p w14:paraId="423DEF64" w14:textId="77777777" w:rsidR="00122D5E" w:rsidRPr="00FF007A" w:rsidRDefault="00122D5E" w:rsidP="00D04A83">
            <w:pPr>
              <w:jc w:val="both"/>
              <w:rPr>
                <w:rFonts w:ascii="Verdana" w:eastAsia="Calibri" w:hAnsi="Verdana" w:cs="Arial"/>
                <w:b/>
                <w:bCs/>
                <w:color w:val="7030A0"/>
                <w:lang w:eastAsia="es-ES"/>
              </w:rPr>
            </w:pPr>
          </w:p>
        </w:tc>
      </w:tr>
      <w:tr w:rsidR="00122D5E" w:rsidRPr="00FF007A" w14:paraId="6C5101D3" w14:textId="77777777" w:rsidTr="002F4446">
        <w:trPr>
          <w:trHeight w:val="884"/>
        </w:trPr>
        <w:tc>
          <w:tcPr>
            <w:tcW w:w="1985" w:type="dxa"/>
          </w:tcPr>
          <w:p w14:paraId="258E6B32" w14:textId="77777777" w:rsidR="00122D5E" w:rsidRPr="00FF007A" w:rsidRDefault="00122D5E" w:rsidP="00D04A83">
            <w:pPr>
              <w:jc w:val="both"/>
              <w:rPr>
                <w:rFonts w:ascii="Verdana" w:eastAsia="Calibri" w:hAnsi="Verdana" w:cs="Arial"/>
                <w:color w:val="000000"/>
                <w:lang w:eastAsia="es-ES_tradnl"/>
              </w:rPr>
            </w:pPr>
            <w:r w:rsidRPr="00FF007A">
              <w:rPr>
                <w:rFonts w:ascii="Verdana" w:eastAsia="Calibri" w:hAnsi="Verdana" w:cs="Arial"/>
                <w:b/>
                <w:color w:val="000000"/>
                <w:lang w:eastAsia="es-ES_tradnl"/>
              </w:rPr>
              <w:t>Temas:</w:t>
            </w:r>
            <w:r w:rsidRPr="00FF007A">
              <w:rPr>
                <w:rFonts w:ascii="Verdana" w:eastAsia="Calibri" w:hAnsi="Verdana" w:cs="Arial"/>
                <w:color w:val="000000"/>
                <w:lang w:eastAsia="es-ES_tradnl"/>
              </w:rPr>
              <w:t xml:space="preserve">                   </w:t>
            </w:r>
          </w:p>
        </w:tc>
        <w:tc>
          <w:tcPr>
            <w:tcW w:w="6804" w:type="dxa"/>
          </w:tcPr>
          <w:p w14:paraId="63B33008" w14:textId="77777777" w:rsidR="00122D5E" w:rsidRPr="00C02F37" w:rsidRDefault="00122D5E" w:rsidP="00D04A83">
            <w:pPr>
              <w:spacing w:line="276" w:lineRule="auto"/>
              <w:jc w:val="both"/>
              <w:rPr>
                <w:rFonts w:ascii="Verdana" w:eastAsia="Century Gothic" w:hAnsi="Verdana" w:cs="Century Gothic"/>
                <w:bCs/>
              </w:rPr>
            </w:pPr>
            <w:r>
              <w:rPr>
                <w:rFonts w:ascii="Verdana" w:hAnsi="Verdana" w:cs="Arial"/>
                <w:color w:val="000000" w:themeColor="text1"/>
                <w:lang w:val="es-ES"/>
              </w:rPr>
              <w:t xml:space="preserve">MÍNIMA </w:t>
            </w:r>
            <w:r w:rsidRPr="001C213E">
              <w:rPr>
                <w:rFonts w:ascii="Verdana" w:hAnsi="Verdana" w:cs="Arial"/>
                <w:color w:val="000000" w:themeColor="text1"/>
                <w:lang w:val="es-ES"/>
              </w:rPr>
              <w:t xml:space="preserve">CUANTÍA – Modalidad de selección / </w:t>
            </w:r>
            <w:r w:rsidRPr="001C213E">
              <w:rPr>
                <w:rFonts w:ascii="Verdana" w:eastAsia="Century Gothic" w:hAnsi="Verdana" w:cs="Century Gothic"/>
                <w:bCs/>
              </w:rPr>
              <w:t>DECRETO 1860 DE 2021 – Convocatorias limitadas a MiPymes – Normas reglamentarias – Mínima cuantía / CONVOCATORIAS LIMITADAS A MIPYME – Aplicación - CONVOCATORIAS LIMITADAS A MIPYMES NACIONALES – Requisitos / CONVOCATORIAS LIMITADAS A MIPYMES EN EL ÁMBITO TERRITORIAL</w:t>
            </w:r>
            <w:r w:rsidRPr="00C02F37">
              <w:rPr>
                <w:rFonts w:ascii="Verdana" w:eastAsia="Century Gothic" w:hAnsi="Verdana" w:cs="Century Gothic"/>
                <w:bCs/>
              </w:rPr>
              <w:t xml:space="preserve"> – Limitación territorial – Facultad discrecional </w:t>
            </w:r>
            <w:r>
              <w:rPr>
                <w:rFonts w:ascii="Verdana" w:eastAsia="Century Gothic" w:hAnsi="Verdana" w:cs="Century Gothic"/>
                <w:bCs/>
              </w:rPr>
              <w:t>/</w:t>
            </w:r>
            <w:r w:rsidRPr="0030549B">
              <w:rPr>
                <w:rFonts w:ascii="Verdana" w:eastAsia="Times New Roman" w:hAnsi="Verdana" w:cs="Arial"/>
                <w:bCs/>
                <w:lang w:val="es-MX" w:eastAsia="es-ES_tradnl"/>
              </w:rPr>
              <w:t xml:space="preserve"> ACEPTACIÓN DE LA OFERTA – Perfeccionamiento del contrato /</w:t>
            </w:r>
            <w:r>
              <w:rPr>
                <w:rFonts w:ascii="Verdana" w:eastAsia="Times New Roman" w:hAnsi="Verdana" w:cs="Arial"/>
                <w:bCs/>
                <w:lang w:val="es-MX" w:eastAsia="es-ES_tradnl"/>
              </w:rPr>
              <w:t xml:space="preserve"> REVOCACIÓN DIRECTA – Acto Administrativos – Eventos / REVOCACIÓN DIRECTA – Acto de Apertura – Tesis / REVOCACIÓN DIRECTA – Mínima Cuantía / IRREVOCABILIDAD – Comunicación de Aceptación /</w:t>
            </w:r>
            <w:r>
              <w:rPr>
                <w:rFonts w:ascii="Verdana" w:hAnsi="Verdana"/>
                <w:bCs/>
                <w:lang w:val="es-ES"/>
              </w:rPr>
              <w:t xml:space="preserve"> TERMINACIÓN UNILATERAL DEL CONTRATO ESTATAL – Noción / TERMINACIÓN UNILATERAL DEL CONTRATO ESTATAL- Causales / TERMINACIÓN ANTICIPADA POR MUTUO DISENSO – Autonomía de la voluntad / NULIDAD – Contrato – NULIDAD ABSOLUTA – Causales - </w:t>
            </w:r>
            <w:r w:rsidRPr="00303D5E">
              <w:rPr>
                <w:rFonts w:ascii="Verdana" w:hAnsi="Verdana"/>
                <w:bCs/>
                <w:lang w:val="es-ES"/>
              </w:rPr>
              <w:t>RESPONSABLES DE LA ACTIVIDAD CONTRACTUAL – Jefes o representantes legales de entidades estatales</w:t>
            </w:r>
            <w:r>
              <w:rPr>
                <w:rFonts w:ascii="Verdana" w:hAnsi="Verdana"/>
                <w:bCs/>
                <w:lang w:val="es-ES"/>
              </w:rPr>
              <w:t xml:space="preserve"> </w:t>
            </w:r>
            <w:r>
              <w:rPr>
                <w:rFonts w:ascii="Verdana" w:eastAsia="Times New Roman" w:hAnsi="Verdana" w:cs="Arial"/>
                <w:lang w:eastAsia="es-ES_tradnl"/>
              </w:rPr>
              <w:t>/ RESPUESTAS A OBSERVACIONES – Deber de responder</w:t>
            </w:r>
          </w:p>
          <w:p w14:paraId="6C469F0F" w14:textId="77777777" w:rsidR="00122D5E" w:rsidRPr="001C213E" w:rsidRDefault="00122D5E" w:rsidP="00D04A83">
            <w:pPr>
              <w:spacing w:line="276" w:lineRule="auto"/>
              <w:jc w:val="both"/>
              <w:rPr>
                <w:rFonts w:ascii="Verdana" w:hAnsi="Verdana" w:cs="Arial"/>
                <w:color w:val="000000" w:themeColor="text1"/>
              </w:rPr>
            </w:pPr>
          </w:p>
        </w:tc>
      </w:tr>
      <w:tr w:rsidR="00122D5E" w:rsidRPr="00FF007A" w14:paraId="1D352E94" w14:textId="77777777" w:rsidTr="002F4446">
        <w:tc>
          <w:tcPr>
            <w:tcW w:w="1985" w:type="dxa"/>
          </w:tcPr>
          <w:p w14:paraId="7ABFF3C2" w14:textId="77777777" w:rsidR="00122D5E" w:rsidRPr="00FF007A" w:rsidRDefault="00122D5E" w:rsidP="00D04A83">
            <w:pPr>
              <w:jc w:val="both"/>
              <w:rPr>
                <w:rFonts w:ascii="Verdana" w:eastAsia="Calibri" w:hAnsi="Verdana" w:cs="Arial"/>
                <w:b/>
                <w:lang w:eastAsia="es-ES_tradnl"/>
              </w:rPr>
            </w:pPr>
            <w:r w:rsidRPr="00FF007A">
              <w:rPr>
                <w:rFonts w:ascii="Verdana" w:eastAsia="Calibri" w:hAnsi="Verdana" w:cs="Arial"/>
                <w:b/>
                <w:lang w:eastAsia="es-ES_tradnl"/>
              </w:rPr>
              <w:t>Radicación:</w:t>
            </w:r>
            <w:r w:rsidRPr="00FF007A">
              <w:rPr>
                <w:rFonts w:ascii="Verdana" w:eastAsia="Calibri" w:hAnsi="Verdana" w:cs="Arial"/>
                <w:lang w:eastAsia="es-ES_tradnl"/>
              </w:rPr>
              <w:t xml:space="preserve">               </w:t>
            </w:r>
          </w:p>
        </w:tc>
        <w:tc>
          <w:tcPr>
            <w:tcW w:w="6804" w:type="dxa"/>
          </w:tcPr>
          <w:p w14:paraId="30F76046" w14:textId="77777777" w:rsidR="00122D5E" w:rsidRPr="00FF007A" w:rsidRDefault="00122D5E" w:rsidP="00D04A83">
            <w:pPr>
              <w:jc w:val="both"/>
              <w:rPr>
                <w:rFonts w:ascii="Verdana" w:eastAsia="Calibri" w:hAnsi="Verdana" w:cs="Arial"/>
                <w:lang w:eastAsia="es-ES_tradnl"/>
              </w:rPr>
            </w:pPr>
            <w:r w:rsidRPr="00FF007A">
              <w:rPr>
                <w:rFonts w:ascii="Verdana" w:eastAsia="Calibri" w:hAnsi="Verdana" w:cs="Arial"/>
                <w:lang w:eastAsia="es-ES_tradnl"/>
              </w:rPr>
              <w:t xml:space="preserve">Respuesta a consulta con radicado </w:t>
            </w:r>
            <w:r>
              <w:rPr>
                <w:rFonts w:ascii="Verdana" w:eastAsia="Calibri" w:hAnsi="Verdana" w:cs="Arial"/>
                <w:lang w:eastAsia="es-ES_tradnl"/>
              </w:rPr>
              <w:t>1</w:t>
            </w:r>
            <w:r w:rsidRPr="009C2BBB">
              <w:rPr>
                <w:rFonts w:ascii="Verdana" w:eastAsia="Calibri" w:hAnsi="Verdana" w:cs="Arial"/>
                <w:lang w:eastAsia="es-ES_tradnl"/>
              </w:rPr>
              <w:t>_2025_08_25_009035</w:t>
            </w:r>
          </w:p>
        </w:tc>
      </w:tr>
    </w:tbl>
    <w:p w14:paraId="1C48B2BE" w14:textId="77777777" w:rsidR="00122D5E" w:rsidRPr="00FF007A" w:rsidRDefault="00122D5E" w:rsidP="00122D5E">
      <w:pPr>
        <w:spacing w:after="0" w:line="276" w:lineRule="auto"/>
        <w:jc w:val="both"/>
        <w:rPr>
          <w:rFonts w:ascii="Verdana" w:eastAsia="Calibri" w:hAnsi="Verdana" w:cs="Arial"/>
          <w:lang w:eastAsia="es-ES_tradnl"/>
        </w:rPr>
      </w:pPr>
    </w:p>
    <w:p w14:paraId="2BFDE7BC" w14:textId="77777777" w:rsidR="00122D5E" w:rsidRPr="00FF007A" w:rsidRDefault="00122D5E" w:rsidP="00122D5E">
      <w:pPr>
        <w:spacing w:after="0" w:line="276" w:lineRule="auto"/>
        <w:jc w:val="both"/>
        <w:rPr>
          <w:rFonts w:ascii="Verdana" w:eastAsia="Calibri" w:hAnsi="Verdana" w:cs="Arial"/>
          <w:lang w:eastAsia="es-ES"/>
        </w:rPr>
      </w:pPr>
      <w:r w:rsidRPr="00FF007A">
        <w:rPr>
          <w:rFonts w:ascii="Verdana" w:eastAsia="Calibri" w:hAnsi="Verdana" w:cs="Arial"/>
          <w:lang w:eastAsia="es-ES"/>
        </w:rPr>
        <w:t>Estimada señora</w:t>
      </w:r>
      <w:r>
        <w:rPr>
          <w:rFonts w:ascii="Verdana" w:eastAsia="Calibri" w:hAnsi="Verdana" w:cs="Arial"/>
          <w:lang w:eastAsia="es-ES"/>
        </w:rPr>
        <w:t xml:space="preserve"> </w:t>
      </w:r>
      <w:r w:rsidRPr="009C2BBB">
        <w:rPr>
          <w:rFonts w:ascii="Verdana" w:eastAsia="Calibri" w:hAnsi="Verdana" w:cs="Arial"/>
          <w:lang w:eastAsia="es-ES"/>
        </w:rPr>
        <w:t>Diana Leonor</w:t>
      </w:r>
      <w:r w:rsidRPr="00FF007A">
        <w:rPr>
          <w:rFonts w:ascii="Verdana" w:eastAsia="Calibri" w:hAnsi="Verdana" w:cs="Arial"/>
          <w:lang w:eastAsia="es-ES"/>
        </w:rPr>
        <w:t xml:space="preserve">: </w:t>
      </w:r>
    </w:p>
    <w:p w14:paraId="46AFE06D" w14:textId="77777777" w:rsidR="00122D5E" w:rsidRPr="00FF007A" w:rsidRDefault="00122D5E" w:rsidP="00122D5E">
      <w:pPr>
        <w:tabs>
          <w:tab w:val="left" w:pos="3768"/>
        </w:tabs>
        <w:spacing w:after="0" w:line="240" w:lineRule="auto"/>
        <w:jc w:val="both"/>
        <w:rPr>
          <w:rFonts w:ascii="Verdana" w:eastAsia="Calibri" w:hAnsi="Verdana" w:cs="Arial"/>
          <w:lang w:eastAsia="es-ES"/>
        </w:rPr>
      </w:pPr>
    </w:p>
    <w:p w14:paraId="43C67ABD" w14:textId="2AD6A448" w:rsidR="00122D5E" w:rsidRPr="0001237A" w:rsidRDefault="00122D5E" w:rsidP="0001237A">
      <w:pPr>
        <w:tabs>
          <w:tab w:val="left" w:pos="3768"/>
        </w:tabs>
        <w:spacing w:after="0" w:line="276" w:lineRule="auto"/>
        <w:jc w:val="both"/>
        <w:rPr>
          <w:rFonts w:ascii="Verdana" w:eastAsia="Calibri" w:hAnsi="Verdana" w:cs="Arial"/>
          <w:lang w:eastAsia="es-ES"/>
        </w:rPr>
      </w:pPr>
      <w:r w:rsidRPr="00E05649">
        <w:rPr>
          <w:rFonts w:ascii="Verdana" w:eastAsia="Calibri" w:hAnsi="Verdana" w:cs="Arial"/>
          <w:lang w:eastAsia="es-ES"/>
        </w:rPr>
        <w:lastRenderedPageBreak/>
        <w:t>En ejercicio de la competencia otorgada por los artículos 3, numeral 5º, y 11, numeral 8º, del Decreto Ley 4170 de 2011,</w:t>
      </w:r>
      <w:r w:rsidRPr="00E05649">
        <w:rPr>
          <w:rFonts w:ascii="Verdana" w:eastAsia="Arial MT" w:hAnsi="Verdana" w:cs="Arial MT"/>
          <w:lang w:eastAsia="es-ES"/>
        </w:rPr>
        <w:t xml:space="preserve"> </w:t>
      </w:r>
      <w:r w:rsidRPr="00E05649">
        <w:rPr>
          <w:rFonts w:ascii="Verdana" w:hAnsi="Verdana" w:cs="Arial"/>
        </w:rPr>
        <w:t xml:space="preserve">así como lo establecido en el artículo 4 de la Resolución 1707 de 2018 expedida por esta Entidad, </w:t>
      </w:r>
      <w:r w:rsidRPr="00E05649">
        <w:rPr>
          <w:rFonts w:ascii="Verdana" w:eastAsia="Calibri" w:hAnsi="Verdana" w:cs="Arial"/>
          <w:lang w:eastAsia="es-ES"/>
        </w:rPr>
        <w:t xml:space="preserve">la Agencia Nacional de Contratación Pública – Colombia Compra Eficiente– responde su solicitud de consulta de fecha </w:t>
      </w:r>
      <w:r>
        <w:rPr>
          <w:rFonts w:ascii="Verdana" w:eastAsia="Calibri" w:hAnsi="Verdana" w:cs="Arial"/>
          <w:lang w:eastAsia="es-ES"/>
        </w:rPr>
        <w:t xml:space="preserve">25 de agosto de 2025, </w:t>
      </w:r>
      <w:r w:rsidRPr="00E05649">
        <w:rPr>
          <w:rFonts w:ascii="Verdana" w:eastAsia="Calibri" w:hAnsi="Verdana" w:cs="Arial"/>
          <w:lang w:eastAsia="es-ES"/>
        </w:rPr>
        <w:t xml:space="preserve">en la cual manifiesta lo siguiente: </w:t>
      </w:r>
    </w:p>
    <w:p w14:paraId="01F57AC1" w14:textId="77777777" w:rsidR="00867BA1" w:rsidRDefault="00867BA1" w:rsidP="00122D5E">
      <w:pPr>
        <w:spacing w:after="0" w:line="240" w:lineRule="auto"/>
        <w:ind w:left="709" w:right="709"/>
        <w:jc w:val="both"/>
        <w:rPr>
          <w:rFonts w:ascii="Verdana" w:eastAsia="Century Gothic" w:hAnsi="Verdana" w:cs="Century Gothic"/>
          <w:sz w:val="20"/>
          <w:szCs w:val="20"/>
        </w:rPr>
      </w:pPr>
      <w:bookmarkStart w:id="8" w:name="_Hlk192699624"/>
      <w:bookmarkStart w:id="9" w:name="_Hlk199394899"/>
    </w:p>
    <w:p w14:paraId="305F6C11" w14:textId="283B31E2" w:rsidR="00122D5E" w:rsidRDefault="00122D5E" w:rsidP="00122D5E">
      <w:pPr>
        <w:spacing w:after="0" w:line="240" w:lineRule="auto"/>
        <w:ind w:left="709" w:right="709"/>
        <w:jc w:val="both"/>
        <w:rPr>
          <w:rFonts w:ascii="Verdana" w:eastAsia="Century Gothic" w:hAnsi="Verdana" w:cs="Century Gothic"/>
          <w:sz w:val="20"/>
          <w:szCs w:val="20"/>
        </w:rPr>
      </w:pPr>
      <w:r w:rsidRPr="007C7B24">
        <w:rPr>
          <w:rFonts w:ascii="Verdana" w:eastAsia="Century Gothic" w:hAnsi="Verdana" w:cs="Century Gothic"/>
          <w:sz w:val="20"/>
          <w:szCs w:val="20"/>
        </w:rPr>
        <w:t xml:space="preserve">“(…) </w:t>
      </w:r>
      <w:bookmarkEnd w:id="8"/>
      <w:bookmarkEnd w:id="9"/>
      <w:r w:rsidRPr="009C2BBB">
        <w:rPr>
          <w:rFonts w:ascii="Verdana" w:eastAsia="Century Gothic" w:hAnsi="Verdana" w:cs="Century Gothic"/>
          <w:sz w:val="20"/>
          <w:szCs w:val="20"/>
        </w:rPr>
        <w:t xml:space="preserve">el </w:t>
      </w:r>
      <w:proofErr w:type="spellStart"/>
      <w:r w:rsidRPr="009C2BBB">
        <w:rPr>
          <w:rFonts w:ascii="Verdana" w:eastAsia="Century Gothic" w:hAnsi="Verdana" w:cs="Century Gothic"/>
          <w:sz w:val="20"/>
          <w:szCs w:val="20"/>
        </w:rPr>
        <w:t>sena</w:t>
      </w:r>
      <w:proofErr w:type="spellEnd"/>
      <w:r w:rsidRPr="009C2BBB">
        <w:rPr>
          <w:rFonts w:ascii="Verdana" w:eastAsia="Century Gothic" w:hAnsi="Verdana" w:cs="Century Gothic"/>
          <w:sz w:val="20"/>
          <w:szCs w:val="20"/>
        </w:rPr>
        <w:t xml:space="preserve"> </w:t>
      </w:r>
      <w:r>
        <w:rPr>
          <w:rFonts w:ascii="Verdana" w:eastAsia="Century Gothic" w:hAnsi="Verdana" w:cs="Century Gothic"/>
          <w:sz w:val="20"/>
          <w:szCs w:val="20"/>
        </w:rPr>
        <w:t xml:space="preserve">(sic) </w:t>
      </w:r>
      <w:r w:rsidRPr="009C2BBB">
        <w:rPr>
          <w:rFonts w:ascii="Verdana" w:eastAsia="Century Gothic" w:hAnsi="Verdana" w:cs="Century Gothic"/>
          <w:sz w:val="20"/>
          <w:szCs w:val="20"/>
        </w:rPr>
        <w:t>san</w:t>
      </w:r>
      <w:r>
        <w:rPr>
          <w:rFonts w:ascii="Verdana" w:eastAsia="Century Gothic" w:hAnsi="Verdana" w:cs="Century Gothic"/>
          <w:sz w:val="20"/>
          <w:szCs w:val="20"/>
        </w:rPr>
        <w:t xml:space="preserve"> (sic)</w:t>
      </w:r>
      <w:r w:rsidRPr="009C2BBB">
        <w:rPr>
          <w:rFonts w:ascii="Verdana" w:eastAsia="Century Gothic" w:hAnsi="Verdana" w:cs="Century Gothic"/>
          <w:sz w:val="20"/>
          <w:szCs w:val="20"/>
        </w:rPr>
        <w:t xml:space="preserve"> </w:t>
      </w:r>
      <w:proofErr w:type="spellStart"/>
      <w:r w:rsidRPr="009C2BBB">
        <w:rPr>
          <w:rFonts w:ascii="Verdana" w:eastAsia="Century Gothic" w:hAnsi="Verdana" w:cs="Century Gothic"/>
          <w:sz w:val="20"/>
          <w:szCs w:val="20"/>
        </w:rPr>
        <w:t>andres</w:t>
      </w:r>
      <w:proofErr w:type="spellEnd"/>
      <w:r w:rsidRPr="009C2BBB">
        <w:rPr>
          <w:rFonts w:ascii="Verdana" w:eastAsia="Century Gothic" w:hAnsi="Verdana" w:cs="Century Gothic"/>
          <w:sz w:val="20"/>
          <w:szCs w:val="20"/>
        </w:rPr>
        <w:t xml:space="preserve"> </w:t>
      </w:r>
      <w:r>
        <w:rPr>
          <w:rFonts w:ascii="Verdana" w:eastAsia="Century Gothic" w:hAnsi="Verdana" w:cs="Century Gothic"/>
          <w:sz w:val="20"/>
          <w:szCs w:val="20"/>
        </w:rPr>
        <w:t xml:space="preserve">(sic) </w:t>
      </w:r>
      <w:r w:rsidRPr="009C2BBB">
        <w:rPr>
          <w:rFonts w:ascii="Verdana" w:eastAsia="Century Gothic" w:hAnsi="Verdana" w:cs="Century Gothic"/>
          <w:sz w:val="20"/>
          <w:szCs w:val="20"/>
        </w:rPr>
        <w:t>islas, adjudico</w:t>
      </w:r>
      <w:r>
        <w:rPr>
          <w:rFonts w:ascii="Verdana" w:eastAsia="Century Gothic" w:hAnsi="Verdana" w:cs="Century Gothic"/>
          <w:sz w:val="20"/>
          <w:szCs w:val="20"/>
        </w:rPr>
        <w:t xml:space="preserve"> (sic)</w:t>
      </w:r>
      <w:r w:rsidRPr="009C2BBB">
        <w:rPr>
          <w:rFonts w:ascii="Verdana" w:eastAsia="Century Gothic" w:hAnsi="Verdana" w:cs="Century Gothic"/>
          <w:sz w:val="20"/>
          <w:szCs w:val="20"/>
        </w:rPr>
        <w:t xml:space="preserve"> una licitación mínima cuantía a una empresa que no cumple con la </w:t>
      </w:r>
      <w:proofErr w:type="spellStart"/>
      <w:r w:rsidRPr="009C2BBB">
        <w:rPr>
          <w:rFonts w:ascii="Verdana" w:eastAsia="Century Gothic" w:hAnsi="Verdana" w:cs="Century Gothic"/>
          <w:sz w:val="20"/>
          <w:szCs w:val="20"/>
        </w:rPr>
        <w:t>limitacion</w:t>
      </w:r>
      <w:proofErr w:type="spellEnd"/>
      <w:r w:rsidRPr="009C2BBB">
        <w:rPr>
          <w:rFonts w:ascii="Verdana" w:eastAsia="Century Gothic" w:hAnsi="Verdana" w:cs="Century Gothic"/>
          <w:sz w:val="20"/>
          <w:szCs w:val="20"/>
        </w:rPr>
        <w:t xml:space="preserve"> </w:t>
      </w:r>
      <w:r>
        <w:rPr>
          <w:rFonts w:ascii="Verdana" w:eastAsia="Century Gothic" w:hAnsi="Verdana" w:cs="Century Gothic"/>
          <w:sz w:val="20"/>
          <w:szCs w:val="20"/>
        </w:rPr>
        <w:t xml:space="preserve">(sic) </w:t>
      </w:r>
      <w:r w:rsidRPr="009C2BBB">
        <w:rPr>
          <w:rFonts w:ascii="Verdana" w:eastAsia="Century Gothic" w:hAnsi="Verdana" w:cs="Century Gothic"/>
          <w:sz w:val="20"/>
          <w:szCs w:val="20"/>
        </w:rPr>
        <w:t xml:space="preserve">a </w:t>
      </w:r>
      <w:proofErr w:type="spellStart"/>
      <w:r w:rsidRPr="009C2BBB">
        <w:rPr>
          <w:rFonts w:ascii="Verdana" w:eastAsia="Century Gothic" w:hAnsi="Verdana" w:cs="Century Gothic"/>
          <w:sz w:val="20"/>
          <w:szCs w:val="20"/>
        </w:rPr>
        <w:t>my</w:t>
      </w:r>
      <w:proofErr w:type="spellEnd"/>
      <w:r w:rsidRPr="009C2BBB">
        <w:rPr>
          <w:rFonts w:ascii="Verdana" w:eastAsia="Century Gothic" w:hAnsi="Verdana" w:cs="Century Gothic"/>
          <w:sz w:val="20"/>
          <w:szCs w:val="20"/>
        </w:rPr>
        <w:t xml:space="preserve"> pymes </w:t>
      </w:r>
      <w:r>
        <w:rPr>
          <w:rFonts w:ascii="Verdana" w:eastAsia="Century Gothic" w:hAnsi="Verdana" w:cs="Century Gothic"/>
          <w:sz w:val="20"/>
          <w:szCs w:val="20"/>
        </w:rPr>
        <w:t xml:space="preserve">(sic) </w:t>
      </w:r>
      <w:r w:rsidRPr="009C2BBB">
        <w:rPr>
          <w:rFonts w:ascii="Verdana" w:eastAsia="Century Gothic" w:hAnsi="Verdana" w:cs="Century Gothic"/>
          <w:sz w:val="20"/>
          <w:szCs w:val="20"/>
        </w:rPr>
        <w:t xml:space="preserve">san </w:t>
      </w:r>
      <w:proofErr w:type="spellStart"/>
      <w:r w:rsidRPr="009C2BBB">
        <w:rPr>
          <w:rFonts w:ascii="Verdana" w:eastAsia="Century Gothic" w:hAnsi="Verdana" w:cs="Century Gothic"/>
          <w:sz w:val="20"/>
          <w:szCs w:val="20"/>
        </w:rPr>
        <w:t>andres</w:t>
      </w:r>
      <w:proofErr w:type="spellEnd"/>
      <w:r w:rsidRPr="009C2BBB">
        <w:rPr>
          <w:rFonts w:ascii="Verdana" w:eastAsia="Century Gothic" w:hAnsi="Verdana" w:cs="Century Gothic"/>
          <w:sz w:val="20"/>
          <w:szCs w:val="20"/>
        </w:rPr>
        <w:t xml:space="preserve">, es esto legal? </w:t>
      </w:r>
    </w:p>
    <w:p w14:paraId="57C1A5FC" w14:textId="77777777" w:rsidR="00122D5E" w:rsidRDefault="00122D5E" w:rsidP="00122D5E">
      <w:pPr>
        <w:spacing w:after="0" w:line="240" w:lineRule="auto"/>
        <w:ind w:left="709" w:right="709"/>
        <w:jc w:val="both"/>
        <w:rPr>
          <w:rFonts w:ascii="Verdana" w:eastAsia="Century Gothic" w:hAnsi="Verdana" w:cs="Century Gothic"/>
          <w:sz w:val="20"/>
          <w:szCs w:val="20"/>
        </w:rPr>
      </w:pPr>
      <w:r w:rsidRPr="009C2BBB">
        <w:rPr>
          <w:rFonts w:ascii="Verdana" w:eastAsia="Century Gothic" w:hAnsi="Verdana" w:cs="Century Gothic"/>
          <w:sz w:val="20"/>
          <w:szCs w:val="20"/>
        </w:rPr>
        <w:t xml:space="preserve">2. que </w:t>
      </w:r>
      <w:r>
        <w:rPr>
          <w:rFonts w:ascii="Verdana" w:eastAsia="Century Gothic" w:hAnsi="Verdana" w:cs="Century Gothic"/>
          <w:sz w:val="20"/>
          <w:szCs w:val="20"/>
        </w:rPr>
        <w:t xml:space="preserve">(sic) </w:t>
      </w:r>
      <w:r w:rsidRPr="009C2BBB">
        <w:rPr>
          <w:rFonts w:ascii="Verdana" w:eastAsia="Century Gothic" w:hAnsi="Verdana" w:cs="Century Gothic"/>
          <w:sz w:val="20"/>
          <w:szCs w:val="20"/>
        </w:rPr>
        <w:t xml:space="preserve">se puede hacer si ya fue adjudicada </w:t>
      </w:r>
    </w:p>
    <w:p w14:paraId="3B099E45" w14:textId="77777777" w:rsidR="00122D5E" w:rsidRDefault="00122D5E" w:rsidP="00122D5E">
      <w:pPr>
        <w:spacing w:after="0" w:line="240" w:lineRule="auto"/>
        <w:ind w:left="709" w:right="709"/>
        <w:jc w:val="both"/>
        <w:rPr>
          <w:rFonts w:ascii="Verdana" w:eastAsia="Century Gothic" w:hAnsi="Verdana" w:cs="Century Gothic"/>
          <w:sz w:val="20"/>
          <w:szCs w:val="20"/>
        </w:rPr>
      </w:pPr>
      <w:r w:rsidRPr="009C2BBB">
        <w:rPr>
          <w:rFonts w:ascii="Verdana" w:eastAsia="Century Gothic" w:hAnsi="Verdana" w:cs="Century Gothic"/>
          <w:sz w:val="20"/>
          <w:szCs w:val="20"/>
        </w:rPr>
        <w:t xml:space="preserve">3. mecanismos para evitar esto a futuro </w:t>
      </w:r>
    </w:p>
    <w:p w14:paraId="7B09A237" w14:textId="77777777" w:rsidR="00122D5E" w:rsidRDefault="00122D5E" w:rsidP="00122D5E">
      <w:pPr>
        <w:spacing w:after="0" w:line="240" w:lineRule="auto"/>
        <w:ind w:left="709" w:right="709"/>
        <w:jc w:val="both"/>
        <w:rPr>
          <w:rFonts w:ascii="Verdana" w:eastAsia="Century Gothic" w:hAnsi="Verdana" w:cs="Century Gothic"/>
          <w:sz w:val="20"/>
          <w:szCs w:val="20"/>
        </w:rPr>
      </w:pPr>
      <w:r w:rsidRPr="009C2BBB">
        <w:rPr>
          <w:rFonts w:ascii="Verdana" w:eastAsia="Century Gothic" w:hAnsi="Verdana" w:cs="Century Gothic"/>
          <w:sz w:val="20"/>
          <w:szCs w:val="20"/>
        </w:rPr>
        <w:t>4. hay alguna sanción para la entidad y los funcionarios responsables del acta de adjudicación y del director que firmo</w:t>
      </w:r>
      <w:r>
        <w:rPr>
          <w:rFonts w:ascii="Verdana" w:eastAsia="Century Gothic" w:hAnsi="Verdana" w:cs="Century Gothic"/>
          <w:sz w:val="20"/>
          <w:szCs w:val="20"/>
        </w:rPr>
        <w:t xml:space="preserve"> (sic)</w:t>
      </w:r>
      <w:r w:rsidRPr="009C2BBB">
        <w:rPr>
          <w:rFonts w:ascii="Verdana" w:eastAsia="Century Gothic" w:hAnsi="Verdana" w:cs="Century Gothic"/>
          <w:sz w:val="20"/>
          <w:szCs w:val="20"/>
        </w:rPr>
        <w:t xml:space="preserve"> adjudicándolo </w:t>
      </w:r>
    </w:p>
    <w:p w14:paraId="3BA1206D" w14:textId="77777777" w:rsidR="00122D5E" w:rsidRDefault="00122D5E" w:rsidP="00122D5E">
      <w:pPr>
        <w:spacing w:after="0" w:line="240" w:lineRule="auto"/>
        <w:ind w:left="709" w:right="709"/>
        <w:jc w:val="both"/>
        <w:rPr>
          <w:rFonts w:ascii="Verdana" w:eastAsia="Century Gothic" w:hAnsi="Verdana" w:cs="Century Gothic"/>
          <w:sz w:val="20"/>
          <w:szCs w:val="20"/>
        </w:rPr>
      </w:pPr>
      <w:r w:rsidRPr="009C2BBB">
        <w:rPr>
          <w:rFonts w:ascii="Verdana" w:eastAsia="Century Gothic" w:hAnsi="Verdana" w:cs="Century Gothic"/>
          <w:sz w:val="20"/>
          <w:szCs w:val="20"/>
        </w:rPr>
        <w:t xml:space="preserve">5- es obligación de la entidad contestar los mensajes en el </w:t>
      </w:r>
      <w:proofErr w:type="spellStart"/>
      <w:r w:rsidRPr="009C2BBB">
        <w:rPr>
          <w:rFonts w:ascii="Verdana" w:eastAsia="Century Gothic" w:hAnsi="Verdana" w:cs="Century Gothic"/>
          <w:sz w:val="20"/>
          <w:szCs w:val="20"/>
        </w:rPr>
        <w:t>secop</w:t>
      </w:r>
      <w:proofErr w:type="spellEnd"/>
      <w:r w:rsidRPr="009C2BBB">
        <w:rPr>
          <w:rFonts w:ascii="Verdana" w:eastAsia="Century Gothic" w:hAnsi="Verdana" w:cs="Century Gothic"/>
          <w:sz w:val="20"/>
          <w:szCs w:val="20"/>
        </w:rPr>
        <w:t xml:space="preserve"> </w:t>
      </w:r>
    </w:p>
    <w:p w14:paraId="2F65C699" w14:textId="77777777" w:rsidR="00122D5E" w:rsidRPr="00FF007A" w:rsidRDefault="00122D5E" w:rsidP="00122D5E">
      <w:pPr>
        <w:spacing w:after="0" w:line="240" w:lineRule="auto"/>
        <w:ind w:left="709" w:right="709"/>
        <w:jc w:val="both"/>
        <w:rPr>
          <w:rFonts w:ascii="Verdana" w:eastAsia="Century Gothic" w:hAnsi="Verdana" w:cs="Century Gothic"/>
          <w:sz w:val="20"/>
          <w:szCs w:val="20"/>
        </w:rPr>
      </w:pPr>
      <w:r w:rsidRPr="009C2BBB">
        <w:rPr>
          <w:rFonts w:ascii="Verdana" w:eastAsia="Century Gothic" w:hAnsi="Verdana" w:cs="Century Gothic"/>
          <w:sz w:val="20"/>
          <w:szCs w:val="20"/>
        </w:rPr>
        <w:t xml:space="preserve">6. donde se radican las quejas para las investigaciones </w:t>
      </w:r>
      <w:r w:rsidRPr="007C7B24">
        <w:rPr>
          <w:rFonts w:ascii="Verdana" w:hAnsi="Verdana"/>
          <w:sz w:val="20"/>
          <w:szCs w:val="20"/>
        </w:rPr>
        <w:t>(…)”.</w:t>
      </w:r>
    </w:p>
    <w:p w14:paraId="6E809C9E" w14:textId="77777777" w:rsidR="00122D5E" w:rsidRPr="00FF007A" w:rsidRDefault="00122D5E" w:rsidP="00122D5E">
      <w:pPr>
        <w:spacing w:after="0" w:line="240" w:lineRule="auto"/>
        <w:ind w:left="709" w:right="709"/>
        <w:jc w:val="both"/>
        <w:rPr>
          <w:rFonts w:ascii="Verdana" w:hAnsi="Verdana"/>
          <w:sz w:val="20"/>
          <w:szCs w:val="20"/>
        </w:rPr>
      </w:pPr>
    </w:p>
    <w:p w14:paraId="57054CB6" w14:textId="77777777" w:rsidR="00122D5E" w:rsidRPr="00FF007A" w:rsidRDefault="00122D5E" w:rsidP="00122D5E">
      <w:pPr>
        <w:spacing w:after="120"/>
        <w:ind w:firstLine="709"/>
        <w:jc w:val="both"/>
        <w:rPr>
          <w:rFonts w:ascii="Verdana" w:eastAsia="Calibri" w:hAnsi="Verdana" w:cs="Arial"/>
          <w:color w:val="000000"/>
          <w:szCs w:val="24"/>
          <w:lang w:eastAsia="es-ES_tradnl"/>
        </w:rPr>
      </w:pPr>
      <w:r w:rsidRPr="00FF007A">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15CD0F1" w14:textId="77777777" w:rsidR="00122D5E" w:rsidRPr="00983C76" w:rsidRDefault="00122D5E" w:rsidP="005A7121">
      <w:pPr>
        <w:spacing w:after="0"/>
        <w:ind w:firstLine="709"/>
        <w:jc w:val="both"/>
        <w:rPr>
          <w:rFonts w:ascii="Verdana" w:eastAsia="Calibri" w:hAnsi="Verdana" w:cs="Arial"/>
          <w:color w:val="000000"/>
          <w:lang w:eastAsia="es-ES"/>
        </w:rPr>
      </w:pPr>
      <w:r w:rsidRPr="00FF007A">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w:t>
      </w:r>
      <w:r>
        <w:rPr>
          <w:rFonts w:ascii="Verdana" w:eastAsia="Calibri" w:hAnsi="Verdana" w:cs="Arial"/>
          <w:color w:val="000000"/>
          <w:lang w:eastAsia="es-ES"/>
        </w:rPr>
        <w:t>los problemas jurídicos</w:t>
      </w:r>
      <w:r w:rsidRPr="00FF007A">
        <w:rPr>
          <w:rFonts w:ascii="Verdana" w:eastAsia="Calibri" w:hAnsi="Verdana" w:cs="Arial"/>
          <w:color w:val="000000"/>
          <w:lang w:eastAsia="es-ES"/>
        </w:rPr>
        <w:t xml:space="preserve"> de su consulta.  </w:t>
      </w:r>
    </w:p>
    <w:p w14:paraId="753FEC95" w14:textId="77777777" w:rsidR="005A7121" w:rsidRPr="00983C76" w:rsidRDefault="005A7121" w:rsidP="002F4446">
      <w:pPr>
        <w:spacing w:after="0"/>
        <w:ind w:firstLine="709"/>
        <w:jc w:val="both"/>
        <w:rPr>
          <w:rFonts w:ascii="Verdana" w:eastAsia="Calibri" w:hAnsi="Verdana" w:cs="Arial"/>
          <w:color w:val="000000"/>
          <w:lang w:eastAsia="es-ES"/>
        </w:rPr>
      </w:pPr>
    </w:p>
    <w:p w14:paraId="60C85376" w14:textId="77777777" w:rsidR="00122D5E" w:rsidRPr="002C54E7" w:rsidRDefault="00122D5E" w:rsidP="00122D5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2C54E7">
        <w:rPr>
          <w:rFonts w:ascii="Verdana" w:eastAsia="Century Gothic" w:hAnsi="Verdana" w:cs="Century Gothic"/>
          <w:b/>
          <w:bCs/>
          <w:lang w:val="es-CO"/>
        </w:rPr>
        <w:t>Problema planteado:</w:t>
      </w:r>
    </w:p>
    <w:p w14:paraId="0036D2A1" w14:textId="77777777" w:rsidR="00122D5E" w:rsidRPr="002C54E7" w:rsidRDefault="00122D5E" w:rsidP="00061FAB">
      <w:pPr>
        <w:spacing w:after="0" w:line="240" w:lineRule="auto"/>
        <w:jc w:val="both"/>
        <w:rPr>
          <w:rFonts w:ascii="Verdana" w:eastAsia="Calibri" w:hAnsi="Verdana" w:cs="Arial"/>
          <w:color w:val="000000"/>
          <w:lang w:eastAsia="es-ES"/>
        </w:rPr>
      </w:pPr>
    </w:p>
    <w:p w14:paraId="523B13A0" w14:textId="77777777" w:rsidR="00122D5E" w:rsidRPr="005779FD" w:rsidRDefault="00122D5E" w:rsidP="00122D5E">
      <w:pPr>
        <w:spacing w:after="120"/>
        <w:jc w:val="both"/>
        <w:rPr>
          <w:rFonts w:ascii="Verdana" w:eastAsia="Calibri" w:hAnsi="Verdana" w:cs="Arial"/>
          <w:color w:val="000000"/>
          <w:lang w:eastAsia="es-ES"/>
        </w:rPr>
      </w:pPr>
      <w:r w:rsidRPr="005779FD">
        <w:rPr>
          <w:rFonts w:ascii="Verdana" w:eastAsia="Calibri" w:hAnsi="Verdana" w:cs="Arial"/>
          <w:color w:val="000000"/>
          <w:lang w:eastAsia="es-ES"/>
        </w:rPr>
        <w:t xml:space="preserve">De acuerdo con el contenido de su solicitud, esta Agencia resolverá los siguientes problemas jurídicos i) ¿En los procesos de selección a través de la modalidad de mínima cuantía es obligatoria la limitación a MiPymes? </w:t>
      </w:r>
      <w:proofErr w:type="spellStart"/>
      <w:r w:rsidRPr="005779FD">
        <w:rPr>
          <w:rFonts w:ascii="Verdana" w:eastAsia="Calibri" w:hAnsi="Verdana" w:cs="Arial"/>
          <w:color w:val="000000"/>
          <w:lang w:eastAsia="es-ES"/>
        </w:rPr>
        <w:t>ii</w:t>
      </w:r>
      <w:proofErr w:type="spellEnd"/>
      <w:r w:rsidRPr="005779FD">
        <w:rPr>
          <w:rFonts w:ascii="Verdana" w:eastAsia="Calibri" w:hAnsi="Verdana" w:cs="Arial"/>
          <w:color w:val="000000"/>
          <w:lang w:eastAsia="es-ES"/>
        </w:rPr>
        <w:t xml:space="preserve">) ¿Si </w:t>
      </w:r>
      <w:r>
        <w:rPr>
          <w:rFonts w:ascii="Verdana" w:eastAsia="Calibri" w:hAnsi="Verdana" w:cs="Arial"/>
          <w:color w:val="000000"/>
          <w:lang w:eastAsia="es-ES"/>
        </w:rPr>
        <w:t xml:space="preserve">el proceso de selección a través de la modalidad de mínima cuantía se limitó a </w:t>
      </w:r>
      <w:proofErr w:type="spellStart"/>
      <w:r>
        <w:rPr>
          <w:rFonts w:ascii="Verdana" w:eastAsia="Calibri" w:hAnsi="Verdana" w:cs="Arial"/>
          <w:color w:val="000000"/>
          <w:lang w:eastAsia="es-ES"/>
        </w:rPr>
        <w:t>Mipymes</w:t>
      </w:r>
      <w:proofErr w:type="spellEnd"/>
      <w:r>
        <w:rPr>
          <w:rFonts w:ascii="Verdana" w:eastAsia="Calibri" w:hAnsi="Verdana" w:cs="Arial"/>
          <w:color w:val="000000"/>
          <w:lang w:eastAsia="es-ES"/>
        </w:rPr>
        <w:t xml:space="preserve"> y la entidad aceptó una oferta y comunicó dicha aceptación que no cumplía con las </w:t>
      </w:r>
      <w:r>
        <w:rPr>
          <w:rFonts w:ascii="Verdana" w:eastAsia="Calibri" w:hAnsi="Verdana" w:cs="Arial"/>
          <w:color w:val="000000"/>
          <w:lang w:eastAsia="es-ES"/>
        </w:rPr>
        <w:lastRenderedPageBreak/>
        <w:t xml:space="preserve">exigencias de la limitación, </w:t>
      </w:r>
      <w:r w:rsidRPr="005779FD">
        <w:rPr>
          <w:rFonts w:ascii="Verdana" w:eastAsia="Calibri" w:hAnsi="Verdana" w:cs="Arial"/>
          <w:color w:val="000000"/>
          <w:lang w:eastAsia="es-ES"/>
        </w:rPr>
        <w:t xml:space="preserve">qué alternativas tiene la entidad estatal para corregir la situación? </w:t>
      </w:r>
      <w:proofErr w:type="spellStart"/>
      <w:r w:rsidRPr="005779FD">
        <w:rPr>
          <w:rFonts w:ascii="Verdana" w:eastAsia="Calibri" w:hAnsi="Verdana" w:cs="Arial"/>
          <w:color w:val="000000"/>
          <w:lang w:eastAsia="es-ES"/>
        </w:rPr>
        <w:t>iii</w:t>
      </w:r>
      <w:proofErr w:type="spellEnd"/>
      <w:r w:rsidRPr="005779FD">
        <w:rPr>
          <w:rFonts w:ascii="Verdana" w:eastAsia="Calibri" w:hAnsi="Verdana" w:cs="Arial"/>
          <w:color w:val="000000"/>
          <w:lang w:eastAsia="es-ES"/>
        </w:rPr>
        <w:t>) ¿</w:t>
      </w:r>
      <w:r>
        <w:rPr>
          <w:rFonts w:ascii="Verdana" w:eastAsia="Calibri" w:hAnsi="Verdana" w:cs="Arial"/>
          <w:color w:val="000000"/>
          <w:lang w:eastAsia="es-ES"/>
        </w:rPr>
        <w:t>Cuál es la responsabilidad de los servidores</w:t>
      </w:r>
      <w:r w:rsidRPr="005779FD">
        <w:rPr>
          <w:rFonts w:ascii="Verdana" w:eastAsia="Calibri" w:hAnsi="Verdana" w:cs="Arial"/>
          <w:color w:val="000000"/>
          <w:lang w:eastAsia="es-ES"/>
        </w:rPr>
        <w:t xml:space="preserve"> públicos que participaron dentro del proceso de selección</w:t>
      </w:r>
      <w:r>
        <w:rPr>
          <w:rFonts w:ascii="Verdana" w:eastAsia="Calibri" w:hAnsi="Verdana" w:cs="Arial"/>
          <w:color w:val="000000"/>
          <w:lang w:eastAsia="es-ES"/>
        </w:rPr>
        <w:t xml:space="preserve"> de mínima cuantía que desconocieron la limitación a </w:t>
      </w:r>
      <w:proofErr w:type="spellStart"/>
      <w:r>
        <w:rPr>
          <w:rFonts w:ascii="Verdana" w:eastAsia="Calibri" w:hAnsi="Verdana" w:cs="Arial"/>
          <w:color w:val="000000"/>
          <w:lang w:eastAsia="es-ES"/>
        </w:rPr>
        <w:t>Mipymes</w:t>
      </w:r>
      <w:proofErr w:type="spellEnd"/>
      <w:r w:rsidRPr="005779FD">
        <w:rPr>
          <w:rFonts w:ascii="Verdana" w:eastAsia="Calibri" w:hAnsi="Verdana" w:cs="Arial"/>
          <w:color w:val="000000"/>
          <w:lang w:eastAsia="es-ES"/>
        </w:rPr>
        <w:t xml:space="preserve">? </w:t>
      </w:r>
      <w:proofErr w:type="spellStart"/>
      <w:r w:rsidRPr="005779FD">
        <w:rPr>
          <w:rFonts w:ascii="Verdana" w:eastAsia="Calibri" w:hAnsi="Verdana" w:cs="Arial"/>
          <w:color w:val="000000"/>
          <w:lang w:eastAsia="es-ES"/>
        </w:rPr>
        <w:t>iv</w:t>
      </w:r>
      <w:proofErr w:type="spellEnd"/>
      <w:r w:rsidRPr="005779FD">
        <w:rPr>
          <w:rFonts w:ascii="Verdana" w:eastAsia="Calibri" w:hAnsi="Verdana" w:cs="Arial"/>
          <w:color w:val="000000"/>
          <w:lang w:eastAsia="es-ES"/>
        </w:rPr>
        <w:t xml:space="preserve">) </w:t>
      </w:r>
      <w:r>
        <w:rPr>
          <w:rFonts w:ascii="Verdana" w:eastAsia="Calibri" w:hAnsi="Verdana" w:cs="Arial"/>
          <w:color w:val="000000"/>
          <w:lang w:eastAsia="es-ES"/>
        </w:rPr>
        <w:t>¿</w:t>
      </w:r>
      <w:r w:rsidRPr="005779FD">
        <w:rPr>
          <w:rFonts w:ascii="Verdana" w:eastAsia="Calibri" w:hAnsi="Verdana" w:cs="Arial"/>
          <w:color w:val="000000"/>
          <w:lang w:eastAsia="es-ES"/>
        </w:rPr>
        <w:t xml:space="preserve">Los mensajes remitidos por los interesados a través de  SECOP II deben ser respondidos por la entidad estatal? </w:t>
      </w:r>
    </w:p>
    <w:p w14:paraId="3F6CB040" w14:textId="77777777" w:rsidR="00122D5E" w:rsidRPr="00FF007A" w:rsidRDefault="00122D5E" w:rsidP="00122D5E">
      <w:pPr>
        <w:spacing w:after="0" w:line="276" w:lineRule="auto"/>
        <w:jc w:val="both"/>
        <w:rPr>
          <w:rFonts w:ascii="Verdana" w:eastAsia="Century Gothic" w:hAnsi="Verdana" w:cs="Century Gothic"/>
          <w:b/>
          <w:bCs/>
        </w:rPr>
      </w:pPr>
      <w:r w:rsidRPr="00FF007A">
        <w:rPr>
          <w:rFonts w:ascii="Verdana" w:eastAsia="Century Gothic" w:hAnsi="Verdana" w:cs="Century Gothic"/>
          <w:b/>
          <w:bCs/>
        </w:rPr>
        <w:t>2. Respuesta:</w:t>
      </w:r>
    </w:p>
    <w:p w14:paraId="47B26848" w14:textId="77777777" w:rsidR="00122D5E" w:rsidRPr="00FF007A" w:rsidRDefault="00122D5E" w:rsidP="00122D5E">
      <w:pPr>
        <w:tabs>
          <w:tab w:val="left" w:pos="142"/>
          <w:tab w:val="left" w:pos="284"/>
        </w:tabs>
        <w:spacing w:after="0" w:line="240"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122D5E" w:rsidRPr="00FF007A" w14:paraId="5BA2B0A3" w14:textId="77777777" w:rsidTr="00D04A83">
        <w:tc>
          <w:tcPr>
            <w:tcW w:w="8828" w:type="dxa"/>
          </w:tcPr>
          <w:p w14:paraId="2257749D" w14:textId="041976E4" w:rsidR="00122D5E" w:rsidRPr="00061FAB" w:rsidRDefault="00122D5E" w:rsidP="00061FAB">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061FAB">
              <w:rPr>
                <w:rFonts w:ascii="Verdana" w:eastAsia="Calibri" w:hAnsi="Verdana" w:cs="Arial"/>
                <w:color w:val="000000" w:themeColor="text1"/>
                <w:lang w:val="es-ES"/>
              </w:rPr>
              <w:t xml:space="preserve">i) En el procedimiento de mínima cuantía, la limitación de la convocatoria a </w:t>
            </w:r>
            <w:proofErr w:type="spellStart"/>
            <w:r w:rsidRPr="00061FAB">
              <w:rPr>
                <w:rFonts w:ascii="Verdana" w:eastAsia="Calibri" w:hAnsi="Verdana" w:cs="Arial"/>
                <w:color w:val="000000" w:themeColor="text1"/>
                <w:lang w:val="es-ES"/>
              </w:rPr>
              <w:t>Mipymes</w:t>
            </w:r>
            <w:proofErr w:type="spellEnd"/>
            <w:r w:rsidRPr="00061FAB">
              <w:rPr>
                <w:rFonts w:ascii="Verdana" w:eastAsia="Calibri" w:hAnsi="Verdana" w:cs="Arial"/>
                <w:color w:val="000000" w:themeColor="text1"/>
                <w:lang w:val="es-ES"/>
              </w:rPr>
              <w:t xml:space="preserve"> se debe hacer mediante la publicación de un aviso en el SECOP, luego de analizadas las solicitudes presentadas dentro del término de publicación de la invitación previsto en el numeral 3 del artículo 2.2.1.2.1.5.2. del Decreto 1082 de 2015, modificado por el artículo 2 del Decreto 1860 de 2021. De igual modo, en dicho aviso, se deberá indicar si en el proceso pueden participar las </w:t>
            </w:r>
            <w:proofErr w:type="spellStart"/>
            <w:r w:rsidR="007A1E26" w:rsidRPr="00061FAB">
              <w:rPr>
                <w:rFonts w:ascii="Verdana" w:eastAsia="Calibri" w:hAnsi="Verdana" w:cs="Arial"/>
                <w:color w:val="000000" w:themeColor="text1"/>
                <w:lang w:val="es-ES"/>
              </w:rPr>
              <w:t>Mipymes</w:t>
            </w:r>
            <w:proofErr w:type="spellEnd"/>
            <w:r w:rsidRPr="00061FAB">
              <w:rPr>
                <w:rFonts w:ascii="Verdana" w:eastAsia="Calibri" w:hAnsi="Verdana" w:cs="Arial"/>
                <w:color w:val="000000" w:themeColor="text1"/>
                <w:lang w:val="es-ES"/>
              </w:rPr>
              <w:t xml:space="preserve"> domiciliadas en el municipio o departamento, según corresponda, o cualquier </w:t>
            </w:r>
            <w:proofErr w:type="spellStart"/>
            <w:r w:rsidR="004B5C18" w:rsidRPr="00061FAB">
              <w:rPr>
                <w:rFonts w:ascii="Verdana" w:eastAsia="Calibri" w:hAnsi="Verdana" w:cs="Arial"/>
                <w:color w:val="000000" w:themeColor="text1"/>
                <w:lang w:val="es-ES"/>
              </w:rPr>
              <w:t>Mipymes</w:t>
            </w:r>
            <w:proofErr w:type="spellEnd"/>
            <w:r w:rsidRPr="00061FAB">
              <w:rPr>
                <w:rFonts w:ascii="Verdana" w:eastAsia="Calibri" w:hAnsi="Verdana" w:cs="Arial"/>
                <w:color w:val="000000" w:themeColor="text1"/>
                <w:lang w:val="es-ES"/>
              </w:rPr>
              <w:t xml:space="preserve"> nacional. </w:t>
            </w:r>
          </w:p>
          <w:p w14:paraId="10217870" w14:textId="07692CC3" w:rsidR="00122D5E" w:rsidRPr="00061FAB" w:rsidRDefault="00122D5E" w:rsidP="00061FAB">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061FAB">
              <w:rPr>
                <w:rFonts w:ascii="Verdana" w:eastAsia="Calibri" w:hAnsi="Verdana" w:cs="Arial"/>
                <w:color w:val="000000" w:themeColor="text1"/>
                <w:lang w:val="es-ES"/>
              </w:rPr>
              <w:t>Precisado lo anterior</w:t>
            </w:r>
            <w:r w:rsidR="00D620EE">
              <w:rPr>
                <w:rFonts w:ascii="Verdana" w:eastAsia="Calibri" w:hAnsi="Verdana" w:cs="Arial"/>
                <w:color w:val="000000" w:themeColor="text1"/>
                <w:lang w:val="es-ES"/>
              </w:rPr>
              <w:t>,</w:t>
            </w:r>
            <w:r w:rsidRPr="00061FAB">
              <w:rPr>
                <w:rFonts w:ascii="Verdana" w:eastAsia="Calibri" w:hAnsi="Verdana" w:cs="Arial"/>
                <w:color w:val="000000" w:themeColor="text1"/>
                <w:lang w:val="es-ES"/>
              </w:rPr>
              <w:t xml:space="preserve"> y en el evento en que el proceso de selección de mínima cuantía se haya limitado a </w:t>
            </w:r>
            <w:proofErr w:type="spellStart"/>
            <w:r w:rsidRPr="00061FAB">
              <w:rPr>
                <w:rFonts w:ascii="Verdana" w:eastAsia="Calibri" w:hAnsi="Verdana" w:cs="Arial"/>
                <w:color w:val="000000" w:themeColor="text1"/>
                <w:lang w:val="es-ES"/>
              </w:rPr>
              <w:t>Mipymes</w:t>
            </w:r>
            <w:proofErr w:type="spellEnd"/>
            <w:r w:rsidRPr="00061FAB">
              <w:rPr>
                <w:rFonts w:ascii="Verdana" w:eastAsia="Calibri" w:hAnsi="Verdana" w:cs="Arial"/>
                <w:color w:val="000000" w:themeColor="text1"/>
                <w:lang w:val="es-ES"/>
              </w:rPr>
              <w:t xml:space="preserve">, la entidad estatal deberá aceptar las ofertas </w:t>
            </w:r>
            <w:proofErr w:type="spellStart"/>
            <w:r w:rsidR="00D620EE" w:rsidRPr="00061FAB">
              <w:rPr>
                <w:rFonts w:ascii="Verdana" w:eastAsia="Calibri" w:hAnsi="Verdana" w:cs="Arial"/>
                <w:color w:val="000000" w:themeColor="text1"/>
                <w:lang w:val="es-ES"/>
              </w:rPr>
              <w:t>Mipymes</w:t>
            </w:r>
            <w:proofErr w:type="spellEnd"/>
            <w:r w:rsidRPr="00061FAB">
              <w:rPr>
                <w:rFonts w:ascii="Verdana" w:eastAsia="Calibri" w:hAnsi="Verdana" w:cs="Arial"/>
                <w:color w:val="000000" w:themeColor="text1"/>
                <w:lang w:val="es-ES"/>
              </w:rPr>
              <w:t xml:space="preserve"> o de proponentes plurales integrados únicamente por </w:t>
            </w:r>
            <w:proofErr w:type="spellStart"/>
            <w:r w:rsidR="00D620EE" w:rsidRPr="00061FAB">
              <w:rPr>
                <w:rFonts w:ascii="Verdana" w:eastAsia="Calibri" w:hAnsi="Verdana" w:cs="Arial"/>
                <w:color w:val="000000" w:themeColor="text1"/>
                <w:lang w:val="es-ES"/>
              </w:rPr>
              <w:t>Mipymes</w:t>
            </w:r>
            <w:proofErr w:type="spellEnd"/>
            <w:r w:rsidRPr="00061FAB">
              <w:rPr>
                <w:rFonts w:ascii="Verdana" w:eastAsia="Calibri" w:hAnsi="Verdana" w:cs="Arial"/>
                <w:color w:val="000000" w:themeColor="text1"/>
                <w:lang w:val="es-ES"/>
              </w:rPr>
              <w:t xml:space="preserve"> y continuar como lo dispone el cronograma del proceso hasta que se acepte por parte de la entidad la oferta que haya cumplido los requisitos establecidos en la invitación y ofrecido el precio más bajo, mediante documento electrónico o físico.  </w:t>
            </w:r>
          </w:p>
          <w:p w14:paraId="6F162C83" w14:textId="77777777" w:rsidR="00122D5E" w:rsidRPr="00061FAB" w:rsidRDefault="00122D5E" w:rsidP="00061FAB">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proofErr w:type="spellStart"/>
            <w:r w:rsidRPr="00061FAB">
              <w:rPr>
                <w:rFonts w:ascii="Verdana" w:eastAsia="Calibri" w:hAnsi="Verdana" w:cs="Arial"/>
                <w:color w:val="000000" w:themeColor="text1"/>
                <w:lang w:val="es-ES"/>
              </w:rPr>
              <w:t>ii</w:t>
            </w:r>
            <w:proofErr w:type="spellEnd"/>
            <w:r w:rsidRPr="00061FAB">
              <w:rPr>
                <w:rFonts w:ascii="Verdana" w:eastAsia="Calibri" w:hAnsi="Verdana" w:cs="Arial"/>
                <w:color w:val="000000" w:themeColor="text1"/>
                <w:lang w:val="es-ES"/>
              </w:rPr>
              <w:t xml:space="preserve">) En cuanto al segundo problema jurídico, no es posible que se revoque un proceso de mínima cuantía en el que ya se ha comunicado la aceptación de la oferta por algún vicio, en el entendido de que ya se perfeccionó el contrato, pues hacerlo significaría: i) el desconocimiento de la regla de irrevocabilidad de la adjudicación del artículo 9 de la Ley 1150 de 2007; y </w:t>
            </w:r>
            <w:proofErr w:type="spellStart"/>
            <w:r w:rsidRPr="00061FAB">
              <w:rPr>
                <w:rFonts w:ascii="Verdana" w:eastAsia="Calibri" w:hAnsi="Verdana" w:cs="Arial"/>
                <w:color w:val="000000" w:themeColor="text1"/>
                <w:lang w:val="es-ES"/>
              </w:rPr>
              <w:t>ii</w:t>
            </w:r>
            <w:proofErr w:type="spellEnd"/>
            <w:r w:rsidRPr="00061FAB">
              <w:rPr>
                <w:rFonts w:ascii="Verdana" w:eastAsia="Calibri" w:hAnsi="Verdana" w:cs="Arial"/>
                <w:color w:val="000000" w:themeColor="text1"/>
                <w:lang w:val="es-ES"/>
              </w:rPr>
              <w:t xml:space="preserve">) el incumplimiento del contrato por parte de la entidad estatal. </w:t>
            </w:r>
          </w:p>
          <w:p w14:paraId="40B696E6" w14:textId="68E51A5B" w:rsidR="00122D5E" w:rsidRPr="00061FAB" w:rsidRDefault="00122D5E" w:rsidP="00061FAB">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061FAB">
              <w:rPr>
                <w:rFonts w:ascii="Verdana" w:eastAsia="Calibri" w:hAnsi="Verdana" w:cs="Arial"/>
                <w:color w:val="000000" w:themeColor="text1"/>
                <w:lang w:val="es-ES"/>
              </w:rPr>
              <w:t xml:space="preserve">En materia del contrato estatal, el contrato estatal es un acto jurídico creador de obligaciones en cuya celebración concurre una de las Entidades </w:t>
            </w:r>
            <w:r w:rsidR="00462AB4" w:rsidRPr="00061FAB">
              <w:rPr>
                <w:rFonts w:ascii="Verdana" w:eastAsia="Calibri" w:hAnsi="Verdana" w:cs="Arial"/>
                <w:color w:val="000000" w:themeColor="text1"/>
                <w:lang w:val="es-ES"/>
              </w:rPr>
              <w:t>estatale</w:t>
            </w:r>
            <w:r w:rsidRPr="00061FAB">
              <w:rPr>
                <w:rFonts w:ascii="Verdana" w:eastAsia="Calibri" w:hAnsi="Verdana" w:cs="Arial"/>
                <w:color w:val="000000" w:themeColor="text1"/>
                <w:lang w:val="es-ES"/>
              </w:rPr>
              <w:t xml:space="preserve">s, independientemente de que se trate de contratos previstos o tipificados en el derecho privado, en disposiciones especiales o que sencillamente resulten del ejercicio de la autonomía de la voluntad, como sucede con los que se clasifican como atípicos e innominados –artículo 32 de la Ley 80–. En consecuencia, en el marco de lo señalado en el artículo 14 de la Ley 80 de 1993 y con el único objeto de evitar la paralización o la afectación </w:t>
            </w:r>
            <w:r w:rsidRPr="00061FAB">
              <w:rPr>
                <w:rFonts w:ascii="Verdana" w:eastAsia="Calibri" w:hAnsi="Verdana" w:cs="Arial"/>
                <w:color w:val="000000" w:themeColor="text1"/>
                <w:lang w:val="es-ES"/>
              </w:rPr>
              <w:lastRenderedPageBreak/>
              <w:t>grave de los servicios públicos y asegurar la inmediata, continua y adecuada prestación de los mismos, dichas entidades podrán interpretar los documentos contractuales y las estipulaciones en ellos contenidas, introducir modificaciones a lo pactado y, cuando las condiciones particulares de la prestación así lo exijan, terminar unilateralmente el contrato celebrado.</w:t>
            </w:r>
          </w:p>
          <w:p w14:paraId="37C7D264" w14:textId="77777777" w:rsidR="00122D5E" w:rsidRPr="00061FAB" w:rsidRDefault="00122D5E" w:rsidP="00061FAB">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061FAB">
              <w:rPr>
                <w:rFonts w:ascii="Verdana" w:eastAsia="Calibri" w:hAnsi="Verdana" w:cs="Arial"/>
                <w:color w:val="000000" w:themeColor="text1"/>
                <w:lang w:val="es-ES"/>
              </w:rPr>
              <w:t>En relación con las cláusulas excepcionales al derecho común de terminación, interpretación y modificación unilaterales, el numeral 2 del mencionado artículo 14 de la Ley 80 de 1993 regula su ejercicio en atención al tipo de contrato de que se trate. En este sentido, los motivos aducidos por la entidad estatal para ejercer las cláusulas excepcionales deben ser graves, ya que no cualquier hecho puede provocarla pues son inescindibles al interés general, sin que se pueda desconocer las compensaciones e indemnizaciones a que tendrán derecho las personas objeto de tales medidas, traducida en la contraprestación necesaria para mantener la igualdad contractual.</w:t>
            </w:r>
          </w:p>
          <w:p w14:paraId="07DF2232" w14:textId="77777777" w:rsidR="00122D5E" w:rsidRPr="00061FAB" w:rsidRDefault="00122D5E" w:rsidP="00061FAB">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061FAB">
              <w:rPr>
                <w:rFonts w:ascii="Verdana" w:eastAsia="Calibri" w:hAnsi="Verdana" w:cs="Arial"/>
                <w:color w:val="000000" w:themeColor="text1"/>
                <w:lang w:val="es-ES"/>
              </w:rPr>
              <w:t xml:space="preserve">En lo atinente a la terminación unilateral del contrato, si bien la ley otorga a las entidades públicas la potestad de actuar en ejercicio de una facultad exorbitante, les impone el cumplimiento de presupuestos de imperativa aplicación y a la vez restringe la medida a los eventos previstos en la misma. Efectivamente, para declarar la terminación unilateral se requiere i) que la manifestación de la voluntad de la administración se materialice en un acto administrativo, </w:t>
            </w:r>
            <w:proofErr w:type="spellStart"/>
            <w:r w:rsidRPr="00061FAB">
              <w:rPr>
                <w:rFonts w:ascii="Verdana" w:eastAsia="Calibri" w:hAnsi="Verdana" w:cs="Arial"/>
                <w:color w:val="000000" w:themeColor="text1"/>
                <w:lang w:val="es-ES"/>
              </w:rPr>
              <w:t>ii</w:t>
            </w:r>
            <w:proofErr w:type="spellEnd"/>
            <w:r w:rsidRPr="00061FAB">
              <w:rPr>
                <w:rFonts w:ascii="Verdana" w:eastAsia="Calibri" w:hAnsi="Verdana" w:cs="Arial"/>
                <w:color w:val="000000" w:themeColor="text1"/>
                <w:lang w:val="es-ES"/>
              </w:rPr>
              <w:t xml:space="preserve">) que dicho acto debe ser el resultado de un análisis soportado en la realidad del contrato, es decir, debe estar debidamente motivado y </w:t>
            </w:r>
            <w:proofErr w:type="spellStart"/>
            <w:r w:rsidRPr="00061FAB">
              <w:rPr>
                <w:rFonts w:ascii="Verdana" w:eastAsia="Calibri" w:hAnsi="Verdana" w:cs="Arial"/>
                <w:color w:val="000000" w:themeColor="text1"/>
                <w:lang w:val="es-ES"/>
              </w:rPr>
              <w:t>iii</w:t>
            </w:r>
            <w:proofErr w:type="spellEnd"/>
            <w:r w:rsidRPr="00061FAB">
              <w:rPr>
                <w:rFonts w:ascii="Verdana" w:eastAsia="Calibri" w:hAnsi="Verdana" w:cs="Arial"/>
                <w:color w:val="000000" w:themeColor="text1"/>
                <w:lang w:val="es-ES"/>
              </w:rPr>
              <w:t>) que la causal que se alegue en la decisión se encuentre enmarcada en los eventos que la ley ha dispuesto.</w:t>
            </w:r>
          </w:p>
          <w:p w14:paraId="59AD92D8" w14:textId="77777777" w:rsidR="00061FAB" w:rsidRDefault="00122D5E" w:rsidP="00061FAB">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061FAB">
              <w:rPr>
                <w:rFonts w:ascii="Verdana" w:eastAsia="Calibri" w:hAnsi="Verdana" w:cs="Arial"/>
                <w:color w:val="000000" w:themeColor="text1"/>
                <w:lang w:val="es-ES"/>
              </w:rPr>
              <w:t>Ahora bien, en virtud de la autonomía de la voluntad, las partes podrán dar por terminado de común acuerdo el contrato estatal, según las pautas definidas en el artículo 40 de la Ley 80 de 1993. No obstante, para dicha terminación no basta el simple acuerdo de las partes, sino que debe verificarse que la extinción del vínculo contractual este conforme con la finalidad de interés público ínsita en la contratación estatal y la observancia de los principios constitucionales de la función administrativa.</w:t>
            </w:r>
          </w:p>
          <w:p w14:paraId="547643D5" w14:textId="77777777" w:rsidR="00061FAB" w:rsidRDefault="00122D5E" w:rsidP="00061FAB">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061FAB">
              <w:rPr>
                <w:rFonts w:ascii="Verdana" w:eastAsia="Calibri" w:hAnsi="Verdana" w:cs="Arial"/>
                <w:color w:val="000000" w:themeColor="text1"/>
                <w:lang w:val="es-ES"/>
              </w:rPr>
              <w:t xml:space="preserve">Por último, un asunto importante a destacar corresponde al evento en que, existiendo un contrato en los términos establecidos en el ECGP, si la entidad dentro de su juicio analítico considera que el mismo está incurso en alguna de las causales de nulidad que prevé el derecho común y aquellas </w:t>
            </w:r>
            <w:r w:rsidRPr="00061FAB">
              <w:rPr>
                <w:rFonts w:ascii="Verdana" w:eastAsia="Calibri" w:hAnsi="Verdana" w:cs="Arial"/>
                <w:color w:val="000000" w:themeColor="text1"/>
                <w:lang w:val="es-ES"/>
              </w:rPr>
              <w:lastRenderedPageBreak/>
              <w:t xml:space="preserve">definidas en el artículo 44 de la Ley 80 de 1993, tendrá la facultad de proceder con la solicitud ante el juez del contrato de su declaratoria. De acuerdo con lo anterior, ante un vicio del contrato derivado del proceso de mínima cuantía, se precisa que la entidad estatal debe revisar si el contrato estatal está viciado de nulidad absoluta, de acuerdo con las causales prescritas en la Ley 80 y en las normas civiles o comerciales, o en su defecto, la nulidad relativa, teniendo en cuenta las causales y vicios dispuestas en el derecho común, las cuales pueden sanearse según lo prescrito en la Ley 80 de 1993. </w:t>
            </w:r>
          </w:p>
          <w:p w14:paraId="143A26E9" w14:textId="77777777" w:rsidR="00061FAB" w:rsidRDefault="00122D5E" w:rsidP="00061FAB">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proofErr w:type="spellStart"/>
            <w:r w:rsidRPr="00061FAB">
              <w:rPr>
                <w:rFonts w:ascii="Verdana" w:eastAsia="Calibri" w:hAnsi="Verdana" w:cs="Arial"/>
                <w:color w:val="000000" w:themeColor="text1"/>
                <w:lang w:val="es-ES"/>
              </w:rPr>
              <w:t>iii</w:t>
            </w:r>
            <w:proofErr w:type="spellEnd"/>
            <w:r w:rsidRPr="00061FAB">
              <w:rPr>
                <w:rFonts w:ascii="Verdana" w:eastAsia="Calibri" w:hAnsi="Verdana" w:cs="Arial"/>
                <w:color w:val="000000" w:themeColor="text1"/>
                <w:lang w:val="es-ES"/>
              </w:rPr>
              <w:t xml:space="preserve">) En cuanto al tercer problema jurídico, vale la pena resaltar que todos los servidores públicos que intervienen en la contratación estatal, ya sea que lo hagan en calidad de jefes o representantes legales, o en calidad de delegatarios o en calidad de funcionarios a cargo de alguna actuación derivada de la etapa precontractual, contractual o </w:t>
            </w:r>
            <w:proofErr w:type="spellStart"/>
            <w:r w:rsidRPr="00061FAB">
              <w:rPr>
                <w:rFonts w:ascii="Verdana" w:eastAsia="Calibri" w:hAnsi="Verdana" w:cs="Arial"/>
                <w:color w:val="000000" w:themeColor="text1"/>
                <w:lang w:val="es-ES"/>
              </w:rPr>
              <w:t>postcontractual</w:t>
            </w:r>
            <w:proofErr w:type="spellEnd"/>
            <w:r w:rsidRPr="00061FAB">
              <w:rPr>
                <w:rFonts w:ascii="Verdana" w:eastAsia="Calibri" w:hAnsi="Verdana" w:cs="Arial"/>
                <w:color w:val="000000" w:themeColor="text1"/>
                <w:lang w:val="es-ES"/>
              </w:rPr>
              <w:t xml:space="preserve"> del proceso de contratación en razón de sus funciones asignadas en la ley, el reglamento, el manual de funciones o por el superior jerárquico, están sometidos al cumplimiento del principio de responsabilidad previsto en el artículo 26 de la Ley 80 de 1993.</w:t>
            </w:r>
          </w:p>
          <w:p w14:paraId="1A418403" w14:textId="432F9A2A" w:rsidR="00122D5E" w:rsidRPr="00061FAB" w:rsidRDefault="00122D5E" w:rsidP="00061FAB">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061FAB">
              <w:rPr>
                <w:rFonts w:ascii="Verdana" w:eastAsia="Calibri" w:hAnsi="Verdana" w:cs="Arial"/>
                <w:color w:val="000000" w:themeColor="text1"/>
                <w:lang w:val="es-ES"/>
              </w:rPr>
              <w:t>En consecuencia, las actuaciones de los servidores públicos que participan en la contratación estatal están sometidos a los controles jurídicos, de diversa índole, que existen en el ordenamiento jurídico para el efecto, cuyo ejercicio está atribuido a distintas autoridades y procedimientos especiales. Estas autoridades, pueden encontrar la responsabilidad penal, disciplinaria, fiscal y/o patrimonial de los servidores públicos que hayan actuado indebidamente en la actividad contractual del Estado, tal y como lo reafirma el artículo 51 de la ley 80 de 1993.</w:t>
            </w:r>
          </w:p>
          <w:p w14:paraId="5E722282" w14:textId="77777777" w:rsidR="00122D5E" w:rsidRPr="007437A5" w:rsidRDefault="00122D5E" w:rsidP="00061FAB">
            <w:pPr>
              <w:shd w:val="clear" w:color="auto" w:fill="FFFFFF" w:themeFill="background1"/>
              <w:spacing w:after="120" w:line="276" w:lineRule="auto"/>
              <w:ind w:firstLine="708"/>
              <w:jc w:val="both"/>
              <w:textAlignment w:val="baseline"/>
              <w:rPr>
                <w:rFonts w:ascii="Verdana" w:eastAsia="Arial" w:hAnsi="Verdana" w:cs="Arial"/>
                <w:lang w:val="es-ES" w:eastAsia="es-ES" w:bidi="es-ES"/>
              </w:rPr>
            </w:pPr>
            <w:proofErr w:type="spellStart"/>
            <w:r w:rsidRPr="00061FAB">
              <w:rPr>
                <w:rFonts w:ascii="Verdana" w:eastAsia="Calibri" w:hAnsi="Verdana" w:cs="Arial"/>
                <w:color w:val="000000" w:themeColor="text1"/>
                <w:lang w:val="es-ES"/>
              </w:rPr>
              <w:t>iv</w:t>
            </w:r>
            <w:proofErr w:type="spellEnd"/>
            <w:r w:rsidRPr="00061FAB">
              <w:rPr>
                <w:rFonts w:ascii="Verdana" w:eastAsia="Calibri" w:hAnsi="Verdana" w:cs="Arial"/>
                <w:color w:val="000000" w:themeColor="text1"/>
                <w:lang w:val="es-ES"/>
              </w:rPr>
              <w:t xml:space="preserve">) Por último, respecto de la obligatoriedad de dar respuesta a los mensajes que se presentan dentro de un proceso de selección, en virtud de que las respuestas a las observaciones y/o aclaraciones hacen parte de la institución del derecho de petición como herramienta fundamental para la convergencia entre los administrados y las autoridades administrativas en la gestión de lo público, las entidades estatales deben asegurarse de dar respuestas de fondo y claras, en el sentido de que la exposición de las razones por las cuales acepta o rechaza las observaciones legitima el proceso, para impedir que su ausencia o una falsa motivación conduzca a la invalidez de lo </w:t>
            </w:r>
            <w:r w:rsidRPr="00061FAB">
              <w:rPr>
                <w:rFonts w:ascii="Verdana" w:eastAsia="Calibri" w:hAnsi="Verdana" w:cs="Arial"/>
                <w:color w:val="000000" w:themeColor="text1"/>
                <w:lang w:val="es-ES"/>
              </w:rPr>
              <w:lastRenderedPageBreak/>
              <w:t>actuado, atentando contra los principios de transparencia y debida contradicción fundamentales en las actuaciones administrativas.</w:t>
            </w:r>
          </w:p>
        </w:tc>
      </w:tr>
    </w:tbl>
    <w:p w14:paraId="0B5F4E23" w14:textId="77777777" w:rsidR="00122D5E" w:rsidRPr="00FF007A" w:rsidRDefault="00122D5E" w:rsidP="00122D5E">
      <w:pPr>
        <w:tabs>
          <w:tab w:val="left" w:pos="142"/>
          <w:tab w:val="left" w:pos="284"/>
        </w:tabs>
        <w:spacing w:after="0" w:line="276" w:lineRule="auto"/>
        <w:jc w:val="both"/>
        <w:rPr>
          <w:rFonts w:ascii="Verdana" w:eastAsia="Century Gothic" w:hAnsi="Verdana" w:cs="Century Gothic"/>
          <w:b/>
          <w:bCs/>
        </w:rPr>
      </w:pPr>
    </w:p>
    <w:p w14:paraId="62453DEC" w14:textId="77777777" w:rsidR="00122D5E" w:rsidRPr="00FF007A" w:rsidRDefault="00122D5E" w:rsidP="00122D5E">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3. Razones de la respuesta:</w:t>
      </w:r>
    </w:p>
    <w:p w14:paraId="15658331" w14:textId="77777777" w:rsidR="00122D5E" w:rsidRPr="00FF007A" w:rsidRDefault="00122D5E" w:rsidP="00122D5E">
      <w:pPr>
        <w:pStyle w:val="Prrafodelista"/>
        <w:tabs>
          <w:tab w:val="left" w:pos="142"/>
          <w:tab w:val="left" w:pos="284"/>
        </w:tabs>
        <w:spacing w:after="0" w:line="240" w:lineRule="auto"/>
        <w:ind w:left="0"/>
        <w:contextualSpacing w:val="0"/>
        <w:jc w:val="both"/>
        <w:rPr>
          <w:rFonts w:ascii="Verdana" w:eastAsia="Calibri" w:hAnsi="Verdana" w:cs="Arial"/>
          <w:lang w:val="es-CO"/>
        </w:rPr>
      </w:pPr>
    </w:p>
    <w:p w14:paraId="7266BD53" w14:textId="77777777" w:rsidR="00122D5E" w:rsidRDefault="00122D5E" w:rsidP="00122D5E">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FF007A">
        <w:rPr>
          <w:rFonts w:ascii="Verdana" w:eastAsia="Calibri" w:hAnsi="Verdana" w:cs="Arial"/>
          <w:lang w:val="es-CO"/>
        </w:rPr>
        <w:t xml:space="preserve">Lo anterior se sustenta en las siguientes consideraciones: </w:t>
      </w:r>
    </w:p>
    <w:p w14:paraId="6A7A00C7" w14:textId="77777777" w:rsidR="00122D5E" w:rsidRDefault="00122D5E" w:rsidP="00122D5E">
      <w:pPr>
        <w:shd w:val="clear" w:color="auto" w:fill="FFFFFF" w:themeFill="background1"/>
        <w:spacing w:after="0" w:line="240" w:lineRule="auto"/>
        <w:jc w:val="both"/>
        <w:textAlignment w:val="baseline"/>
        <w:rPr>
          <w:rFonts w:ascii="Verdana" w:eastAsia="Calibri" w:hAnsi="Verdana" w:cs="Arial"/>
          <w:color w:val="000000" w:themeColor="text1"/>
          <w:lang w:val="es-ES"/>
        </w:rPr>
      </w:pPr>
    </w:p>
    <w:p w14:paraId="657CB439" w14:textId="77777777" w:rsidR="00122D5E" w:rsidRPr="00C940A9" w:rsidRDefault="00122D5E" w:rsidP="00122D5E">
      <w:pPr>
        <w:shd w:val="clear" w:color="auto" w:fill="FFFFFF" w:themeFill="background1"/>
        <w:spacing w:after="120" w:line="276" w:lineRule="auto"/>
        <w:jc w:val="both"/>
        <w:textAlignment w:val="baseline"/>
        <w:rPr>
          <w:rFonts w:ascii="Verdana" w:eastAsia="Calibri" w:hAnsi="Verdana" w:cs="Arial"/>
          <w:color w:val="000000" w:themeColor="text1"/>
          <w:lang w:val="es-ES"/>
        </w:rPr>
      </w:pPr>
      <w:r>
        <w:rPr>
          <w:rFonts w:ascii="Verdana" w:eastAsia="Calibri" w:hAnsi="Verdana" w:cs="Arial"/>
          <w:color w:val="000000" w:themeColor="text1"/>
          <w:lang w:val="es-ES"/>
        </w:rPr>
        <w:t xml:space="preserve">i) </w:t>
      </w:r>
      <w:r w:rsidRPr="00C940A9">
        <w:rPr>
          <w:rFonts w:ascii="Verdana" w:eastAsia="Calibri" w:hAnsi="Verdana" w:cs="Arial"/>
          <w:color w:val="000000" w:themeColor="text1"/>
          <w:lang w:val="es-ES"/>
        </w:rPr>
        <w:t>El artículo 30 de la Ley 2069 de 2020 modificó el numeral 5 del artículo 2 de la Ley 1150 de 2007, el cual regula el proceso de contratación a través de la mínima cuantía. Esta es una modalidad de selección en virtud de la cual</w:t>
      </w:r>
      <w:r>
        <w:rPr>
          <w:rFonts w:ascii="Verdana" w:eastAsia="Calibri" w:hAnsi="Verdana" w:cs="Arial"/>
          <w:color w:val="000000" w:themeColor="text1"/>
          <w:lang w:val="es-ES"/>
        </w:rPr>
        <w:t>,</w:t>
      </w:r>
      <w:r w:rsidRPr="00C940A9">
        <w:rPr>
          <w:rFonts w:ascii="Verdana" w:eastAsia="Calibri" w:hAnsi="Verdana" w:cs="Arial"/>
          <w:color w:val="000000" w:themeColor="text1"/>
          <w:lang w:val="es-ES"/>
        </w:rPr>
        <w:t xml:space="preserve"> la entidad estatal realiza una convocatoria pública para recibir ofertas de bienes, obras o servicios cuyo valor no excede el diez por ciento (10%) de la menor cuantía. El factor determinante para llevar a cabo tal procedimiento es la cuantía –calculada como presupuesto oficial a partir del estudio del sector–, independientemente de su objeto</w:t>
      </w:r>
      <w:r w:rsidRPr="00C940A9">
        <w:rPr>
          <w:rFonts w:ascii="Verdana" w:eastAsia="Calibri" w:hAnsi="Verdana" w:cs="Arial"/>
          <w:color w:val="000000" w:themeColor="text1"/>
          <w:vertAlign w:val="superscript"/>
          <w:lang w:val="es-ES"/>
        </w:rPr>
        <w:footnoteReference w:id="1"/>
      </w:r>
      <w:r w:rsidRPr="00C940A9">
        <w:rPr>
          <w:rFonts w:ascii="Verdana" w:eastAsia="Calibri" w:hAnsi="Verdana" w:cs="Arial"/>
          <w:color w:val="000000" w:themeColor="text1"/>
          <w:lang w:val="es-ES"/>
        </w:rPr>
        <w:t xml:space="preserve">. </w:t>
      </w:r>
    </w:p>
    <w:p w14:paraId="7C1AD80E" w14:textId="77777777" w:rsidR="00122D5E" w:rsidRPr="00C940A9" w:rsidRDefault="00122D5E" w:rsidP="00122D5E">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C940A9">
        <w:rPr>
          <w:rFonts w:ascii="Verdana" w:eastAsia="Calibri" w:hAnsi="Verdana" w:cs="Arial"/>
          <w:color w:val="000000" w:themeColor="text1"/>
          <w:lang w:val="es-ES"/>
        </w:rPr>
        <w:t xml:space="preserve">El parágrafo 1 del artículo 30 de la Ley 2069 de 2020 dispone que el reglamento que expedirá el Gobierno nacional tiene como objetivo definir: i) las “particularidades del procedimiento de selección” y </w:t>
      </w:r>
      <w:proofErr w:type="spellStart"/>
      <w:r w:rsidRPr="00C940A9">
        <w:rPr>
          <w:rFonts w:ascii="Verdana" w:eastAsia="Calibri" w:hAnsi="Verdana" w:cs="Arial"/>
          <w:color w:val="000000" w:themeColor="text1"/>
          <w:lang w:val="es-ES"/>
        </w:rPr>
        <w:t>ii</w:t>
      </w:r>
      <w:proofErr w:type="spellEnd"/>
      <w:r w:rsidRPr="00C940A9">
        <w:rPr>
          <w:rFonts w:ascii="Verdana" w:eastAsia="Calibri" w:hAnsi="Verdana" w:cs="Arial"/>
          <w:color w:val="000000" w:themeColor="text1"/>
          <w:lang w:val="es-ES"/>
        </w:rPr>
        <w:t>) la posibilidad de realizar estas adquisiciones a MiPymes o establecimientos que correspondan a la definición de “gran almacén</w:t>
      </w:r>
      <w:r>
        <w:rPr>
          <w:rFonts w:ascii="Verdana" w:eastAsia="Calibri" w:hAnsi="Verdana" w:cs="Arial"/>
          <w:color w:val="000000" w:themeColor="text1"/>
          <w:lang w:val="es-ES"/>
        </w:rPr>
        <w:t>”</w:t>
      </w:r>
      <w:r w:rsidRPr="00C940A9">
        <w:rPr>
          <w:rFonts w:ascii="Verdana" w:eastAsia="Calibri" w:hAnsi="Verdana" w:cs="Arial"/>
          <w:color w:val="000000" w:themeColor="text1"/>
          <w:lang w:val="es-ES"/>
        </w:rPr>
        <w:t>.</w:t>
      </w:r>
    </w:p>
    <w:p w14:paraId="2CDF79C3" w14:textId="77777777" w:rsidR="00122D5E" w:rsidRPr="00C940A9" w:rsidRDefault="00122D5E" w:rsidP="00122D5E">
      <w:pPr>
        <w:shd w:val="clear" w:color="auto" w:fill="FFFFFF" w:themeFill="background1"/>
        <w:spacing w:after="120" w:line="276" w:lineRule="auto"/>
        <w:ind w:firstLine="708"/>
        <w:jc w:val="both"/>
        <w:textAlignment w:val="baseline"/>
        <w:rPr>
          <w:rFonts w:ascii="Verdana" w:eastAsia="Calibri" w:hAnsi="Verdana" w:cs="Arial"/>
          <w:bCs/>
          <w:color w:val="000000" w:themeColor="text1"/>
        </w:rPr>
      </w:pPr>
      <w:r w:rsidRPr="00C940A9">
        <w:rPr>
          <w:rFonts w:ascii="Verdana" w:eastAsia="Calibri" w:hAnsi="Verdana" w:cs="Arial"/>
          <w:bCs/>
          <w:color w:val="000000" w:themeColor="text1"/>
          <w:lang w:val="es-ES_tradnl"/>
        </w:rPr>
        <w:t xml:space="preserve">Con fundamento en lo anterior, el Gobierno Nacional expidió el Decreto 1860 del 24 de diciembre de 2021, “Por el cual se modifica y adiciona el Decreto 1082 de 2015, Único Reglamentario del Sector Administrativo de Planeación Nacional, con el fin de reglamentar los artículos 30, 31, 32, 34 y 35 de la Ley 2069 de 2020, en lo relativo al sistema de compras públicas y se dictan otras disposiciones”. El artículo 8 </w:t>
      </w:r>
      <w:r w:rsidRPr="00C940A9">
        <w:rPr>
          <w:rFonts w:ascii="Verdana" w:eastAsia="Calibri" w:hAnsi="Verdana" w:cs="Arial"/>
          <w:bCs/>
          <w:i/>
          <w:iCs/>
          <w:color w:val="000000" w:themeColor="text1"/>
          <w:lang w:val="es-ES_tradnl"/>
        </w:rPr>
        <w:t>ibidem</w:t>
      </w:r>
      <w:r w:rsidRPr="00C940A9">
        <w:rPr>
          <w:rFonts w:ascii="Verdana" w:eastAsia="Calibri" w:hAnsi="Verdana" w:cs="Arial"/>
          <w:bCs/>
          <w:color w:val="000000" w:themeColor="text1"/>
          <w:lang w:val="es-ES_tradnl"/>
        </w:rPr>
        <w:t xml:space="preserve"> sometió a un plazo la </w:t>
      </w:r>
      <w:proofErr w:type="gramStart"/>
      <w:r w:rsidRPr="00C940A9">
        <w:rPr>
          <w:rFonts w:ascii="Verdana" w:eastAsia="Calibri" w:hAnsi="Verdana" w:cs="Arial"/>
          <w:bCs/>
          <w:color w:val="000000" w:themeColor="text1"/>
          <w:lang w:val="es-ES_tradnl"/>
        </w:rPr>
        <w:t>entrada en vigencia</w:t>
      </w:r>
      <w:proofErr w:type="gramEnd"/>
      <w:r w:rsidRPr="00C940A9">
        <w:rPr>
          <w:rFonts w:ascii="Verdana" w:eastAsia="Calibri" w:hAnsi="Verdana" w:cs="Arial"/>
          <w:bCs/>
          <w:color w:val="000000" w:themeColor="text1"/>
          <w:lang w:val="es-ES_tradnl"/>
        </w:rPr>
        <w:t xml:space="preserve"> de sus disposiciones, al señalar que “aplicarán a los procedimientos de selección cuya invitación, aviso de convocatoria o documento equivalente se publique a los tres (3) meses contados a partir de su expedición”</w:t>
      </w:r>
      <w:r w:rsidRPr="00C940A9">
        <w:rPr>
          <w:rFonts w:ascii="Verdana" w:eastAsia="Calibri" w:hAnsi="Verdana" w:cs="Arial"/>
          <w:bCs/>
          <w:color w:val="000000" w:themeColor="text1"/>
          <w:vertAlign w:val="superscript"/>
          <w:lang w:val="es-ES_tradnl"/>
        </w:rPr>
        <w:footnoteReference w:id="2"/>
      </w:r>
      <w:r w:rsidRPr="00C940A9">
        <w:rPr>
          <w:rFonts w:ascii="Verdana" w:eastAsia="Calibri" w:hAnsi="Verdana" w:cs="Arial"/>
          <w:bCs/>
          <w:color w:val="000000" w:themeColor="text1"/>
        </w:rPr>
        <w:t xml:space="preserve">. </w:t>
      </w:r>
    </w:p>
    <w:p w14:paraId="144EFE3E" w14:textId="77777777" w:rsidR="00122D5E" w:rsidRDefault="00122D5E" w:rsidP="00122D5E">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C940A9">
        <w:rPr>
          <w:rFonts w:ascii="Verdana" w:eastAsia="Calibri" w:hAnsi="Verdana" w:cs="Arial"/>
          <w:color w:val="000000" w:themeColor="text1"/>
          <w:lang w:val="es-ES"/>
        </w:rPr>
        <w:lastRenderedPageBreak/>
        <w:t xml:space="preserve">Entre los aspectos reglamentados por el mencionado decreto se encuentra el procedimiento de mínima cuantía. Así las cosas, el artículo 2 modifica la Subsección 5 de la Sección 1 del Capítulo 2 del Título 1 de la Parte 2 del Libro 2 del Decreto 1082 de 2015, que se titula “mínima cuantía”, por lo que reglamenta esta modalidad de selección con fundamento en lo establecido en el artículo 30 de la Ley 2069 de 2020. Teniendo en cuenta lo anterior, la nueva Subsección 5 contiene los siguientes artículos: </w:t>
      </w:r>
    </w:p>
    <w:p w14:paraId="357C402E" w14:textId="77777777" w:rsidR="00122D5E" w:rsidRDefault="00122D5E" w:rsidP="00122D5E">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C940A9">
        <w:rPr>
          <w:rFonts w:ascii="Verdana" w:eastAsia="Calibri" w:hAnsi="Verdana" w:cs="Arial"/>
          <w:color w:val="000000" w:themeColor="text1"/>
          <w:lang w:val="es-ES"/>
        </w:rPr>
        <w:t xml:space="preserve">i) </w:t>
      </w:r>
      <w:bookmarkStart w:id="11" w:name="_Hlk194041046"/>
      <w:r>
        <w:rPr>
          <w:rFonts w:ascii="Verdana" w:eastAsia="Calibri" w:hAnsi="Verdana" w:cs="Arial"/>
          <w:color w:val="000000" w:themeColor="text1"/>
          <w:lang w:val="es-ES"/>
        </w:rPr>
        <w:t xml:space="preserve">El artículo </w:t>
      </w:r>
      <w:r w:rsidRPr="00C940A9">
        <w:rPr>
          <w:rFonts w:ascii="Verdana" w:eastAsia="Calibri" w:hAnsi="Verdana" w:cs="Arial"/>
          <w:color w:val="000000" w:themeColor="text1"/>
          <w:lang w:val="es-ES"/>
        </w:rPr>
        <w:t>2.2.1.2.1.5.1</w:t>
      </w:r>
      <w:bookmarkEnd w:id="11"/>
      <w:r w:rsidRPr="00C940A9">
        <w:rPr>
          <w:rFonts w:ascii="Verdana" w:eastAsia="Calibri" w:hAnsi="Verdana" w:cs="Arial"/>
          <w:color w:val="000000" w:themeColor="text1"/>
          <w:lang w:val="es-ES"/>
        </w:rPr>
        <w:t xml:space="preserve">. se ocupa de desarrollar el contenido de los estudios previos para la contratación de mínima cuantía. </w:t>
      </w:r>
    </w:p>
    <w:p w14:paraId="7AB6EC44" w14:textId="4CCE1208" w:rsidR="00122D5E" w:rsidRDefault="00122D5E" w:rsidP="00122D5E">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proofErr w:type="spellStart"/>
      <w:r w:rsidRPr="00C940A9">
        <w:rPr>
          <w:rFonts w:ascii="Verdana" w:eastAsia="Calibri" w:hAnsi="Verdana" w:cs="Arial"/>
          <w:color w:val="000000" w:themeColor="text1"/>
          <w:lang w:val="es-ES"/>
        </w:rPr>
        <w:t>ii</w:t>
      </w:r>
      <w:proofErr w:type="spellEnd"/>
      <w:r w:rsidRPr="00C940A9">
        <w:rPr>
          <w:rFonts w:ascii="Verdana" w:eastAsia="Calibri" w:hAnsi="Verdana" w:cs="Arial"/>
          <w:color w:val="000000" w:themeColor="text1"/>
          <w:lang w:val="es-ES"/>
        </w:rPr>
        <w:t xml:space="preserve">) </w:t>
      </w:r>
      <w:r>
        <w:rPr>
          <w:rFonts w:ascii="Verdana" w:eastAsia="Calibri" w:hAnsi="Verdana" w:cs="Arial"/>
          <w:color w:val="000000" w:themeColor="text1"/>
          <w:lang w:val="es-ES"/>
        </w:rPr>
        <w:t>El</w:t>
      </w:r>
      <w:r w:rsidRPr="00C940A9">
        <w:rPr>
          <w:rFonts w:ascii="Verdana" w:eastAsia="Calibri" w:hAnsi="Verdana" w:cs="Arial"/>
          <w:color w:val="000000" w:themeColor="text1"/>
          <w:lang w:val="es-ES"/>
        </w:rPr>
        <w:t xml:space="preserve"> 2.2.1.2.1.5.2. contiene el procedimiento general de la mínima cuantía, señalando el contenido mínimo de la “invitación” y las distintas etapas y reglas que estructuran esta modalidad de selección, incluyendo la forma en que procederán las convocatorias limitadas a </w:t>
      </w:r>
      <w:proofErr w:type="spellStart"/>
      <w:r w:rsidR="00FE3F67" w:rsidRPr="00C940A9">
        <w:rPr>
          <w:rFonts w:ascii="Verdana" w:eastAsia="Calibri" w:hAnsi="Verdana" w:cs="Arial"/>
          <w:color w:val="000000" w:themeColor="text1"/>
          <w:lang w:val="es-ES"/>
        </w:rPr>
        <w:t>Mipymes</w:t>
      </w:r>
      <w:proofErr w:type="spellEnd"/>
      <w:r w:rsidRPr="00C940A9">
        <w:rPr>
          <w:rFonts w:ascii="Verdana" w:eastAsia="Calibri" w:hAnsi="Verdana" w:cs="Arial"/>
          <w:color w:val="000000" w:themeColor="text1"/>
          <w:lang w:val="es-ES"/>
        </w:rPr>
        <w:t xml:space="preserve">, de acuerdo con el mandato del parágrafo 1 del artículo 30 de la Ley 2069 de 2020. </w:t>
      </w:r>
    </w:p>
    <w:p w14:paraId="5692D873" w14:textId="77777777" w:rsidR="00122D5E" w:rsidRDefault="00122D5E" w:rsidP="00122D5E">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proofErr w:type="spellStart"/>
      <w:r w:rsidRPr="00C940A9">
        <w:rPr>
          <w:rFonts w:ascii="Verdana" w:eastAsia="Calibri" w:hAnsi="Verdana" w:cs="Arial"/>
          <w:color w:val="000000" w:themeColor="text1"/>
          <w:lang w:val="es-ES"/>
        </w:rPr>
        <w:t>iii</w:t>
      </w:r>
      <w:proofErr w:type="spellEnd"/>
      <w:r w:rsidRPr="00C940A9">
        <w:rPr>
          <w:rFonts w:ascii="Verdana" w:eastAsia="Calibri" w:hAnsi="Verdana" w:cs="Arial"/>
          <w:color w:val="000000" w:themeColor="text1"/>
          <w:lang w:val="es-ES"/>
        </w:rPr>
        <w:t xml:space="preserve">) </w:t>
      </w:r>
      <w:r>
        <w:rPr>
          <w:rFonts w:ascii="Verdana" w:eastAsia="Calibri" w:hAnsi="Verdana" w:cs="Arial"/>
          <w:color w:val="000000" w:themeColor="text1"/>
          <w:lang w:val="es-ES"/>
        </w:rPr>
        <w:t>El</w:t>
      </w:r>
      <w:r w:rsidRPr="00C940A9">
        <w:rPr>
          <w:rFonts w:ascii="Verdana" w:eastAsia="Calibri" w:hAnsi="Verdana" w:cs="Arial"/>
          <w:color w:val="000000" w:themeColor="text1"/>
          <w:lang w:val="es-ES"/>
        </w:rPr>
        <w:t xml:space="preserve"> </w:t>
      </w:r>
      <w:bookmarkStart w:id="12" w:name="_Hlk194041070"/>
      <w:r w:rsidRPr="00C940A9">
        <w:rPr>
          <w:rFonts w:ascii="Verdana" w:eastAsia="Calibri" w:hAnsi="Verdana" w:cs="Arial"/>
          <w:color w:val="000000" w:themeColor="text1"/>
          <w:lang w:val="es-ES"/>
        </w:rPr>
        <w:t>2.2.1.2.1.5.3.</w:t>
      </w:r>
      <w:bookmarkEnd w:id="12"/>
      <w:r w:rsidRPr="00C940A9">
        <w:rPr>
          <w:rFonts w:ascii="Verdana" w:eastAsia="Calibri" w:hAnsi="Verdana" w:cs="Arial"/>
          <w:color w:val="000000" w:themeColor="text1"/>
          <w:lang w:val="es-ES"/>
        </w:rPr>
        <w:t xml:space="preserve"> </w:t>
      </w:r>
      <w:r>
        <w:rPr>
          <w:rFonts w:ascii="Verdana" w:eastAsia="Calibri" w:hAnsi="Verdana" w:cs="Arial"/>
          <w:color w:val="000000" w:themeColor="text1"/>
          <w:lang w:val="es-ES"/>
        </w:rPr>
        <w:t>r</w:t>
      </w:r>
      <w:r w:rsidRPr="00C940A9">
        <w:rPr>
          <w:rFonts w:ascii="Verdana" w:eastAsia="Calibri" w:hAnsi="Verdana" w:cs="Arial"/>
          <w:color w:val="000000" w:themeColor="text1"/>
          <w:lang w:val="es-ES"/>
        </w:rPr>
        <w:t xml:space="preserve">egula un procedimiento especial para las adquisiciones en grandes almacenes cuando se trate de mínima cuantía. </w:t>
      </w:r>
    </w:p>
    <w:p w14:paraId="5A869568" w14:textId="611AE994" w:rsidR="00122D5E" w:rsidRDefault="00122D5E" w:rsidP="00122D5E">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proofErr w:type="spellStart"/>
      <w:r w:rsidRPr="00C940A9">
        <w:rPr>
          <w:rFonts w:ascii="Verdana" w:eastAsia="Calibri" w:hAnsi="Verdana" w:cs="Arial"/>
          <w:color w:val="000000" w:themeColor="text1"/>
          <w:lang w:val="es-ES"/>
        </w:rPr>
        <w:t>iv</w:t>
      </w:r>
      <w:proofErr w:type="spellEnd"/>
      <w:r w:rsidRPr="00C940A9">
        <w:rPr>
          <w:rFonts w:ascii="Verdana" w:eastAsia="Calibri" w:hAnsi="Verdana" w:cs="Arial"/>
          <w:color w:val="000000" w:themeColor="text1"/>
          <w:lang w:val="es-ES"/>
        </w:rPr>
        <w:t xml:space="preserve">) </w:t>
      </w:r>
      <w:r>
        <w:rPr>
          <w:rFonts w:ascii="Verdana" w:eastAsia="Calibri" w:hAnsi="Verdana" w:cs="Arial"/>
          <w:color w:val="000000" w:themeColor="text1"/>
          <w:lang w:val="es-ES"/>
        </w:rPr>
        <w:t>El artículo</w:t>
      </w:r>
      <w:r w:rsidRPr="00C940A9">
        <w:rPr>
          <w:rFonts w:ascii="Verdana" w:eastAsia="Calibri" w:hAnsi="Verdana" w:cs="Arial"/>
          <w:color w:val="000000" w:themeColor="text1"/>
          <w:lang w:val="es-ES"/>
        </w:rPr>
        <w:t xml:space="preserve"> </w:t>
      </w:r>
      <w:bookmarkStart w:id="13" w:name="_Hlk194041078"/>
      <w:r w:rsidRPr="00C940A9">
        <w:rPr>
          <w:rFonts w:ascii="Verdana" w:eastAsia="Calibri" w:hAnsi="Verdana" w:cs="Arial"/>
          <w:color w:val="000000" w:themeColor="text1"/>
          <w:lang w:val="es-ES"/>
        </w:rPr>
        <w:t xml:space="preserve">2.2.1.2.1.5.4. </w:t>
      </w:r>
      <w:bookmarkEnd w:id="13"/>
      <w:r w:rsidRPr="00C940A9">
        <w:rPr>
          <w:rFonts w:ascii="Verdana" w:eastAsia="Calibri" w:hAnsi="Verdana" w:cs="Arial"/>
          <w:color w:val="000000" w:themeColor="text1"/>
          <w:lang w:val="es-ES"/>
        </w:rPr>
        <w:t>establece la posibilidad de que</w:t>
      </w:r>
      <w:r w:rsidRPr="001D4AC1">
        <w:rPr>
          <w:rFonts w:ascii="Century Gothic" w:eastAsia="Calibri" w:hAnsi="Century Gothic" w:cs="Arial"/>
          <w:color w:val="000000" w:themeColor="text1"/>
          <w:lang w:val="es-ES"/>
        </w:rPr>
        <w:t xml:space="preserve"> </w:t>
      </w:r>
      <w:r w:rsidRPr="00C940A9">
        <w:rPr>
          <w:rFonts w:ascii="Verdana" w:eastAsia="Calibri" w:hAnsi="Verdana" w:cs="Arial"/>
          <w:color w:val="000000" w:themeColor="text1"/>
          <w:lang w:val="es-ES"/>
        </w:rPr>
        <w:t xml:space="preserve">la Agencia Nacional de Contratación Pública – Colombia Compra Eficiente defina las reglas para la utilización de instrumentos de agregación de demanda en la Tienda Virtual del Estado Colombiano para adquisiciones hasta el monto de la mínima cuantía con </w:t>
      </w:r>
      <w:proofErr w:type="spellStart"/>
      <w:r w:rsidR="000429B6" w:rsidRPr="00C940A9">
        <w:rPr>
          <w:rFonts w:ascii="Verdana" w:eastAsia="Calibri" w:hAnsi="Verdana" w:cs="Arial"/>
          <w:color w:val="000000" w:themeColor="text1"/>
          <w:lang w:val="es-ES"/>
        </w:rPr>
        <w:t>Mipymes</w:t>
      </w:r>
      <w:proofErr w:type="spellEnd"/>
      <w:r w:rsidRPr="00C940A9">
        <w:rPr>
          <w:rFonts w:ascii="Verdana" w:eastAsia="Calibri" w:hAnsi="Verdana" w:cs="Arial"/>
          <w:color w:val="000000" w:themeColor="text1"/>
          <w:lang w:val="es-ES"/>
        </w:rPr>
        <w:t xml:space="preserve"> y con grandes almacenes. </w:t>
      </w:r>
    </w:p>
    <w:p w14:paraId="781EAA9E" w14:textId="77777777" w:rsidR="00122D5E" w:rsidRPr="00C940A9" w:rsidRDefault="00122D5E" w:rsidP="00122D5E">
      <w:pPr>
        <w:shd w:val="clear" w:color="auto" w:fill="FFFFFF" w:themeFill="background1"/>
        <w:spacing w:after="120" w:line="276" w:lineRule="auto"/>
        <w:ind w:firstLine="708"/>
        <w:jc w:val="both"/>
        <w:textAlignment w:val="baseline"/>
        <w:rPr>
          <w:rFonts w:ascii="Verdana" w:eastAsia="Calibri" w:hAnsi="Verdana" w:cs="Arial"/>
          <w:color w:val="000000" w:themeColor="text1"/>
          <w:lang w:val="es-ES"/>
        </w:rPr>
      </w:pPr>
      <w:r w:rsidRPr="00C940A9">
        <w:rPr>
          <w:rFonts w:ascii="Verdana" w:eastAsia="Calibri" w:hAnsi="Verdana" w:cs="Arial"/>
          <w:color w:val="000000" w:themeColor="text1"/>
          <w:lang w:val="es-ES"/>
        </w:rPr>
        <w:t xml:space="preserve">v) </w:t>
      </w:r>
      <w:r>
        <w:rPr>
          <w:rFonts w:ascii="Verdana" w:eastAsia="Calibri" w:hAnsi="Verdana" w:cs="Arial"/>
          <w:color w:val="000000" w:themeColor="text1"/>
          <w:lang w:val="es-ES"/>
        </w:rPr>
        <w:t xml:space="preserve">El artículo </w:t>
      </w:r>
      <w:r w:rsidRPr="00C940A9">
        <w:rPr>
          <w:rFonts w:ascii="Verdana" w:eastAsia="Calibri" w:hAnsi="Verdana" w:cs="Arial"/>
          <w:color w:val="000000" w:themeColor="text1"/>
          <w:lang w:val="es-ES"/>
        </w:rPr>
        <w:t xml:space="preserve">2.2.1.2.1.5.5. </w:t>
      </w:r>
      <w:r>
        <w:rPr>
          <w:rFonts w:ascii="Verdana" w:eastAsia="Calibri" w:hAnsi="Verdana" w:cs="Arial"/>
          <w:color w:val="000000" w:themeColor="text1"/>
          <w:lang w:val="es-ES"/>
        </w:rPr>
        <w:t>define</w:t>
      </w:r>
      <w:r w:rsidRPr="00C940A9">
        <w:rPr>
          <w:rFonts w:ascii="Verdana" w:eastAsia="Calibri" w:hAnsi="Verdana" w:cs="Arial"/>
          <w:color w:val="000000" w:themeColor="text1"/>
          <w:lang w:val="es-ES"/>
        </w:rPr>
        <w:t xml:space="preserve"> que la entidad estatal es libre de exigir o no garantías en el proceso de selección de mínima cuantía y en la adquisición de “grandes almacenes”.</w:t>
      </w:r>
    </w:p>
    <w:p w14:paraId="4B84688F" w14:textId="77777777" w:rsidR="00122D5E" w:rsidRPr="00C940A9" w:rsidRDefault="00122D5E" w:rsidP="00122D5E">
      <w:pPr>
        <w:spacing w:after="120" w:line="276" w:lineRule="auto"/>
        <w:ind w:firstLine="709"/>
        <w:jc w:val="both"/>
        <w:rPr>
          <w:rFonts w:ascii="Verdana" w:hAnsi="Verdana" w:cs="Arial"/>
          <w:bCs/>
          <w:lang w:eastAsia="es-ES"/>
        </w:rPr>
      </w:pPr>
      <w:r w:rsidRPr="00C940A9">
        <w:rPr>
          <w:rFonts w:ascii="Verdana" w:hAnsi="Verdana" w:cs="Arial"/>
          <w:bCs/>
          <w:lang w:val="es-ES_tradnl" w:eastAsia="es-ES"/>
        </w:rPr>
        <w:t xml:space="preserve">Ahora bien, el artículo 5 del Decreto 1860 de 2021 modificó </w:t>
      </w:r>
      <w:r w:rsidRPr="00C940A9">
        <w:rPr>
          <w:rFonts w:ascii="Verdana" w:hAnsi="Verdana" w:cs="Arial"/>
          <w:bCs/>
          <w:lang w:eastAsia="es-ES"/>
        </w:rPr>
        <w:t xml:space="preserve">los artículos </w:t>
      </w:r>
      <w:bookmarkStart w:id="14" w:name="_Hlk194041112"/>
      <w:r w:rsidRPr="00C940A9">
        <w:rPr>
          <w:rFonts w:ascii="Verdana" w:hAnsi="Verdana" w:cs="Arial"/>
          <w:bCs/>
          <w:lang w:eastAsia="es-ES"/>
        </w:rPr>
        <w:t>2.2.1.2.4.2.2., 2.2.1.2.4.2.3. y 2.2.1.2.4.2.4</w:t>
      </w:r>
      <w:bookmarkEnd w:id="14"/>
      <w:r w:rsidRPr="00C940A9">
        <w:rPr>
          <w:rFonts w:ascii="Verdana" w:hAnsi="Verdana" w:cs="Arial"/>
          <w:bCs/>
          <w:lang w:eastAsia="es-ES"/>
        </w:rPr>
        <w:t>. de la Subsección 2 de la Sección 4 del Capítulo 2 del Título 1 de la Parte 2 del Libro 2 del Decreto 1082 de 2015, reglamentando</w:t>
      </w:r>
      <w:r w:rsidRPr="00C940A9">
        <w:rPr>
          <w:rFonts w:ascii="Verdana" w:hAnsi="Verdana" w:cs="Arial"/>
          <w:bCs/>
          <w:lang w:val="es-ES_tradnl" w:eastAsia="es-ES"/>
        </w:rPr>
        <w:t xml:space="preserve"> las convocatorias limitadas a </w:t>
      </w:r>
      <w:proofErr w:type="spellStart"/>
      <w:r w:rsidRPr="00C940A9">
        <w:rPr>
          <w:rFonts w:ascii="Verdana" w:hAnsi="Verdana" w:cs="Arial"/>
          <w:bCs/>
          <w:lang w:val="es-ES_tradnl" w:eastAsia="es-ES"/>
        </w:rPr>
        <w:t>Mipyme</w:t>
      </w:r>
      <w:proofErr w:type="spellEnd"/>
      <w:r w:rsidRPr="00C940A9">
        <w:rPr>
          <w:rFonts w:ascii="Verdana" w:hAnsi="Verdana" w:cs="Arial"/>
          <w:bCs/>
          <w:lang w:val="es-ES_tradnl" w:eastAsia="es-ES"/>
        </w:rPr>
        <w:t xml:space="preserve">, con fundamento en lo establecido en el artículo 34 de la Ley 2069 de 2020. Esta nueva Subsección 2 contempla los siguientes aspectos: i) requisitos para limitar la convocatoria de los </w:t>
      </w:r>
      <w:r w:rsidRPr="00C940A9">
        <w:rPr>
          <w:rFonts w:ascii="Verdana" w:hAnsi="Verdana" w:cs="Arial"/>
          <w:bCs/>
          <w:lang w:eastAsia="es-ES"/>
        </w:rPr>
        <w:t>procesos de contratación con pluralidad de oferentes</w:t>
      </w:r>
      <w:r w:rsidRPr="00C940A9">
        <w:rPr>
          <w:rFonts w:ascii="Verdana" w:hAnsi="Verdana" w:cs="Arial"/>
          <w:bCs/>
          <w:lang w:val="es-ES_tradnl" w:eastAsia="es-ES"/>
        </w:rPr>
        <w:t xml:space="preserve"> a las </w:t>
      </w:r>
      <w:proofErr w:type="spellStart"/>
      <w:r w:rsidRPr="00C940A9">
        <w:rPr>
          <w:rFonts w:ascii="Verdana" w:hAnsi="Verdana" w:cs="Arial"/>
          <w:bCs/>
          <w:lang w:val="es-ES_tradnl" w:eastAsia="es-ES"/>
        </w:rPr>
        <w:t>Mipyme</w:t>
      </w:r>
      <w:proofErr w:type="spellEnd"/>
      <w:r w:rsidRPr="00C940A9">
        <w:rPr>
          <w:rFonts w:ascii="Verdana" w:hAnsi="Verdana" w:cs="Arial"/>
          <w:bCs/>
          <w:lang w:val="es-ES_tradnl" w:eastAsia="es-ES"/>
        </w:rPr>
        <w:t xml:space="preserve"> colombianas con mínimo un (1) año de existencia – artículo </w:t>
      </w:r>
      <w:r w:rsidRPr="00C940A9">
        <w:rPr>
          <w:rFonts w:ascii="Verdana" w:hAnsi="Verdana" w:cs="Arial"/>
          <w:bCs/>
          <w:lang w:eastAsia="es-ES"/>
        </w:rPr>
        <w:t>2.2.1.2.4.2.2-</w:t>
      </w:r>
      <w:r w:rsidRPr="00C940A9">
        <w:rPr>
          <w:rFonts w:ascii="Verdana" w:hAnsi="Verdana" w:cs="Arial"/>
          <w:bCs/>
          <w:lang w:val="es-ES_tradnl" w:eastAsia="es-ES"/>
        </w:rPr>
        <w:t xml:space="preserve"> , </w:t>
      </w:r>
      <w:proofErr w:type="spellStart"/>
      <w:r w:rsidRPr="00C940A9">
        <w:rPr>
          <w:rFonts w:ascii="Verdana" w:hAnsi="Verdana" w:cs="Arial"/>
          <w:bCs/>
          <w:lang w:val="es-ES_tradnl" w:eastAsia="es-ES"/>
        </w:rPr>
        <w:t>ii</w:t>
      </w:r>
      <w:proofErr w:type="spellEnd"/>
      <w:r w:rsidRPr="00C940A9">
        <w:rPr>
          <w:rFonts w:ascii="Verdana" w:hAnsi="Verdana" w:cs="Arial"/>
          <w:bCs/>
          <w:lang w:val="es-ES_tradnl" w:eastAsia="es-ES"/>
        </w:rPr>
        <w:t xml:space="preserve">) desarrolla las </w:t>
      </w:r>
      <w:r w:rsidRPr="00C940A9">
        <w:rPr>
          <w:rFonts w:ascii="Verdana" w:hAnsi="Verdana" w:cs="Arial"/>
          <w:bCs/>
          <w:lang w:eastAsia="es-ES"/>
        </w:rPr>
        <w:t xml:space="preserve">convocatorias limitadas a </w:t>
      </w:r>
      <w:proofErr w:type="spellStart"/>
      <w:r w:rsidRPr="00C940A9">
        <w:rPr>
          <w:rFonts w:ascii="Verdana" w:hAnsi="Verdana" w:cs="Arial"/>
          <w:bCs/>
          <w:lang w:eastAsia="es-ES"/>
        </w:rPr>
        <w:t>Mipyme</w:t>
      </w:r>
      <w:proofErr w:type="spellEnd"/>
      <w:r w:rsidRPr="00C940A9">
        <w:rPr>
          <w:rFonts w:ascii="Verdana" w:hAnsi="Verdana" w:cs="Arial"/>
          <w:bCs/>
          <w:lang w:eastAsia="es-ES"/>
        </w:rPr>
        <w:t xml:space="preserve"> colombianas que tengan domicilio en los departamentos o municipios en donde se va a ejecutar el </w:t>
      </w:r>
      <w:r w:rsidRPr="00C940A9">
        <w:rPr>
          <w:rFonts w:ascii="Verdana" w:hAnsi="Verdana" w:cs="Arial"/>
          <w:bCs/>
          <w:lang w:eastAsia="es-ES"/>
        </w:rPr>
        <w:lastRenderedPageBreak/>
        <w:t>contrato – artículo 2.2.1.2.4.2.3.,</w:t>
      </w:r>
      <w:r w:rsidRPr="00C940A9">
        <w:rPr>
          <w:rFonts w:ascii="Verdana" w:hAnsi="Verdana" w:cs="Arial"/>
          <w:bCs/>
          <w:lang w:val="es-ES_tradnl" w:eastAsia="es-ES"/>
        </w:rPr>
        <w:t xml:space="preserve"> y </w:t>
      </w:r>
      <w:proofErr w:type="spellStart"/>
      <w:r w:rsidRPr="00C940A9">
        <w:rPr>
          <w:rFonts w:ascii="Verdana" w:hAnsi="Verdana" w:cs="Arial"/>
          <w:bCs/>
          <w:lang w:val="es-ES_tradnl" w:eastAsia="es-ES"/>
        </w:rPr>
        <w:t>iii</w:t>
      </w:r>
      <w:proofErr w:type="spellEnd"/>
      <w:r w:rsidRPr="00C940A9">
        <w:rPr>
          <w:rFonts w:ascii="Verdana" w:hAnsi="Verdana" w:cs="Arial"/>
          <w:bCs/>
          <w:lang w:val="es-ES_tradnl" w:eastAsia="es-ES"/>
        </w:rPr>
        <w:t xml:space="preserve">) </w:t>
      </w:r>
      <w:r w:rsidRPr="00C940A9">
        <w:rPr>
          <w:rFonts w:ascii="Verdana" w:hAnsi="Verdana" w:cs="Arial"/>
          <w:bCs/>
          <w:lang w:eastAsia="es-ES"/>
        </w:rPr>
        <w:t>regula la acreditación de requisitos para participar en convocatorias limitadas – artículo 2.2.1.2.4.2.4-</w:t>
      </w:r>
      <w:r>
        <w:rPr>
          <w:rFonts w:ascii="Verdana" w:hAnsi="Verdana" w:cs="Arial"/>
          <w:bCs/>
          <w:lang w:eastAsia="es-ES"/>
        </w:rPr>
        <w:t>.</w:t>
      </w:r>
    </w:p>
    <w:p w14:paraId="31AC04DA" w14:textId="77777777" w:rsidR="00122D5E" w:rsidRPr="00C940A9" w:rsidRDefault="00122D5E" w:rsidP="00122D5E">
      <w:pPr>
        <w:spacing w:after="120" w:line="276" w:lineRule="auto"/>
        <w:ind w:firstLine="709"/>
        <w:jc w:val="both"/>
        <w:rPr>
          <w:rFonts w:ascii="Verdana" w:hAnsi="Verdana" w:cs="Arial"/>
          <w:lang w:val="es-ES" w:eastAsia="es-ES"/>
        </w:rPr>
      </w:pPr>
      <w:r w:rsidRPr="00C940A9">
        <w:rPr>
          <w:rFonts w:ascii="Verdana" w:hAnsi="Verdana" w:cs="Arial"/>
          <w:lang w:val="es-ES" w:eastAsia="es-ES"/>
        </w:rPr>
        <w:t xml:space="preserve">De esta </w:t>
      </w:r>
      <w:r w:rsidRPr="00CF430A">
        <w:rPr>
          <w:rFonts w:ascii="Verdana" w:hAnsi="Verdana" w:cs="Arial"/>
          <w:lang w:val="es-ES" w:eastAsia="es-ES"/>
        </w:rPr>
        <w:t xml:space="preserve">manera, el artículo 5 del Decreto 1860 de 2021, que modifica los artículos del Decreto 1082 de 2015 expuestos en el párrafo anterior, constituye la nueva reglamentación del artículo 34 de la Ley 2069 de 2020, al desarrollar las reglas aplicables a las convocatorias limitadas a </w:t>
      </w:r>
      <w:proofErr w:type="spellStart"/>
      <w:r w:rsidRPr="00CF430A">
        <w:rPr>
          <w:rFonts w:ascii="Verdana" w:hAnsi="Verdana" w:cs="Arial"/>
          <w:lang w:val="es-ES" w:eastAsia="es-ES"/>
        </w:rPr>
        <w:t>Mipyme</w:t>
      </w:r>
      <w:proofErr w:type="spellEnd"/>
      <w:r w:rsidRPr="00CF430A">
        <w:rPr>
          <w:rFonts w:ascii="Verdana" w:hAnsi="Verdana" w:cs="Arial"/>
          <w:lang w:val="es-ES" w:eastAsia="es-ES"/>
        </w:rPr>
        <w:t>,</w:t>
      </w:r>
      <w:r w:rsidRPr="00CF430A">
        <w:rPr>
          <w:rFonts w:ascii="Verdana" w:eastAsia="Calibri" w:hAnsi="Verdana" w:cs="Arial"/>
          <w:lang w:val="es-ES"/>
        </w:rPr>
        <w:t xml:space="preserve"> </w:t>
      </w:r>
      <w:r w:rsidRPr="00CF430A">
        <w:rPr>
          <w:rFonts w:ascii="Verdana" w:hAnsi="Verdana" w:cs="Arial"/>
          <w:lang w:val="es-ES" w:eastAsia="es-ES"/>
        </w:rPr>
        <w:t xml:space="preserve">disposición que entró a regir desde el 24 de marzo de 2022, pues, como se indicó, </w:t>
      </w:r>
      <w:r w:rsidRPr="00CF430A">
        <w:rPr>
          <w:rFonts w:ascii="Verdana" w:eastAsia="Calibri" w:hAnsi="Verdana" w:cs="Arial"/>
          <w:lang w:val="es-ES"/>
        </w:rPr>
        <w:t>el artículo 8 de dicho decreto sometió su vigencia al transcurso del periodo de 3 meses siguientes a su expedición.</w:t>
      </w:r>
    </w:p>
    <w:p w14:paraId="2F42DCF0" w14:textId="77777777" w:rsidR="00122D5E" w:rsidRPr="00C940A9" w:rsidRDefault="00122D5E" w:rsidP="00122D5E">
      <w:pPr>
        <w:spacing w:after="0" w:line="276" w:lineRule="auto"/>
        <w:ind w:firstLine="709"/>
        <w:jc w:val="both"/>
        <w:rPr>
          <w:rFonts w:ascii="Verdana" w:eastAsia="Arial" w:hAnsi="Verdana" w:cs="Arial"/>
          <w:color w:val="000000"/>
        </w:rPr>
      </w:pPr>
      <w:r w:rsidRPr="00C940A9">
        <w:rPr>
          <w:rFonts w:ascii="Verdana" w:eastAsia="Arial" w:hAnsi="Verdana" w:cs="Arial"/>
          <w:color w:val="000000"/>
        </w:rPr>
        <w:t xml:space="preserve">En este contexto, el artículo 2.2.1.2.4.2.2. del Decreto 1082 de 2015 –modificado por el Decreto 1860 de 2021– establece los requisitos que se deben acreditar en las “convocatorias limitadas a </w:t>
      </w:r>
      <w:proofErr w:type="spellStart"/>
      <w:r w:rsidRPr="00C940A9">
        <w:rPr>
          <w:rFonts w:ascii="Verdana" w:eastAsia="Arial" w:hAnsi="Verdana" w:cs="Arial"/>
          <w:color w:val="000000"/>
        </w:rPr>
        <w:t>Mipymes</w:t>
      </w:r>
      <w:proofErr w:type="spellEnd"/>
      <w:r w:rsidRPr="00C940A9">
        <w:rPr>
          <w:rFonts w:ascii="Verdana" w:eastAsia="Arial" w:hAnsi="Verdana" w:cs="Arial"/>
          <w:color w:val="000000"/>
        </w:rPr>
        <w:t xml:space="preserve">”. El inciso primero de la referida norma exige que las entidades estatales independientemente de su régimen de contratación, los patrimonios autónomos constituidos por entidades estatales y los particulares que ejecuten recursos públicos, limiten las convocatorias de los procesos de contratación a las </w:t>
      </w:r>
      <w:proofErr w:type="spellStart"/>
      <w:r w:rsidRPr="00C940A9">
        <w:rPr>
          <w:rFonts w:ascii="Verdana" w:eastAsia="Arial" w:hAnsi="Verdana" w:cs="Arial"/>
          <w:color w:val="000000"/>
        </w:rPr>
        <w:t>Mipyme</w:t>
      </w:r>
      <w:proofErr w:type="spellEnd"/>
      <w:r w:rsidRPr="00C940A9">
        <w:rPr>
          <w:rFonts w:ascii="Verdana" w:eastAsia="Arial" w:hAnsi="Verdana" w:cs="Arial"/>
          <w:color w:val="000000"/>
        </w:rPr>
        <w:t xml:space="preserve"> colombianas con mínimo un (1) año de existencia, siempre que se cumplan los requisitos señalados allí. Al respecto indica lo siguiente: </w:t>
      </w:r>
    </w:p>
    <w:p w14:paraId="3322B071" w14:textId="77777777" w:rsidR="00122D5E" w:rsidRDefault="00122D5E" w:rsidP="00122D5E">
      <w:pPr>
        <w:spacing w:after="0"/>
        <w:ind w:left="709" w:right="709"/>
        <w:jc w:val="both"/>
        <w:rPr>
          <w:rFonts w:ascii="Verdana" w:eastAsia="Calibri" w:hAnsi="Verdana" w:cs="Arial"/>
          <w:sz w:val="20"/>
          <w:szCs w:val="20"/>
          <w:lang w:val="es-ES"/>
        </w:rPr>
      </w:pPr>
    </w:p>
    <w:p w14:paraId="54D79CF1" w14:textId="77777777" w:rsidR="00122D5E" w:rsidRPr="00C940A9" w:rsidRDefault="00122D5E" w:rsidP="00122D5E">
      <w:pPr>
        <w:spacing w:after="0" w:line="240" w:lineRule="auto"/>
        <w:ind w:left="709" w:right="709"/>
        <w:jc w:val="both"/>
        <w:rPr>
          <w:rFonts w:ascii="Verdana" w:eastAsia="Calibri" w:hAnsi="Verdana" w:cs="Arial"/>
          <w:sz w:val="20"/>
          <w:szCs w:val="20"/>
          <w:lang w:val="es-ES"/>
        </w:rPr>
      </w:pPr>
      <w:r>
        <w:rPr>
          <w:rFonts w:ascii="Verdana" w:eastAsia="Calibri" w:hAnsi="Verdana" w:cs="Arial"/>
          <w:sz w:val="20"/>
          <w:szCs w:val="20"/>
          <w:lang w:val="es-ES"/>
        </w:rPr>
        <w:t>“</w:t>
      </w:r>
      <w:r w:rsidRPr="00C940A9">
        <w:rPr>
          <w:rFonts w:ascii="Verdana" w:eastAsia="Calibri" w:hAnsi="Verdana" w:cs="Arial"/>
          <w:sz w:val="20"/>
          <w:szCs w:val="20"/>
          <w:lang w:val="es-ES"/>
        </w:rPr>
        <w:t xml:space="preserve">Artículo 2.2.1.2.4.2.2. Convocatorias Imitadas a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colombianas con mínimo un (1) año de existencia, cuando concurran los siguientes requisitos: </w:t>
      </w:r>
    </w:p>
    <w:p w14:paraId="6EACA4BC" w14:textId="77777777" w:rsidR="00122D5E" w:rsidRPr="00C940A9" w:rsidRDefault="00122D5E" w:rsidP="00122D5E">
      <w:pPr>
        <w:spacing w:after="0" w:line="240" w:lineRule="auto"/>
        <w:ind w:left="709" w:right="709"/>
        <w:jc w:val="both"/>
        <w:rPr>
          <w:rFonts w:ascii="Verdana" w:eastAsia="Calibri" w:hAnsi="Verdana" w:cs="Arial"/>
          <w:sz w:val="20"/>
          <w:szCs w:val="20"/>
          <w:lang w:val="es-ES"/>
        </w:rPr>
      </w:pPr>
    </w:p>
    <w:p w14:paraId="7038C2AB" w14:textId="77777777" w:rsidR="00122D5E" w:rsidRPr="00C940A9" w:rsidRDefault="00122D5E" w:rsidP="00122D5E">
      <w:pPr>
        <w:spacing w:after="0" w:line="240" w:lineRule="auto"/>
        <w:ind w:left="709" w:right="709"/>
        <w:jc w:val="both"/>
        <w:rPr>
          <w:rFonts w:ascii="Verdana" w:eastAsia="Calibri" w:hAnsi="Verdana" w:cs="Arial"/>
          <w:sz w:val="20"/>
          <w:szCs w:val="20"/>
          <w:lang w:val="es-ES_tradnl"/>
        </w:rPr>
      </w:pPr>
      <w:r w:rsidRPr="00C940A9">
        <w:rPr>
          <w:rFonts w:ascii="Verdana" w:eastAsia="Calibri" w:hAnsi="Verdana" w:cs="Arial"/>
          <w:sz w:val="20"/>
          <w:szCs w:val="20"/>
          <w:lang w:val="es-ES_tradnl"/>
        </w:rPr>
        <w:t>1. El valor del Proceso de Contratación sea menor a ciento veinticinco mil dólares de los Estados Unidos de América (US$125.000), liquidados con la tasa de cambio que para el efecto determina cada dos años el Ministerio de Comercio, Industria y Turismo.</w:t>
      </w:r>
    </w:p>
    <w:p w14:paraId="4C911C6C" w14:textId="77777777" w:rsidR="00122D5E" w:rsidRDefault="00122D5E" w:rsidP="00122D5E">
      <w:pPr>
        <w:spacing w:after="0" w:line="240" w:lineRule="auto"/>
        <w:ind w:left="709" w:right="709"/>
        <w:jc w:val="both"/>
        <w:rPr>
          <w:rFonts w:ascii="Verdana" w:eastAsia="Calibri" w:hAnsi="Verdana" w:cs="Arial"/>
          <w:sz w:val="20"/>
          <w:szCs w:val="20"/>
          <w:lang w:val="es-ES"/>
        </w:rPr>
      </w:pPr>
    </w:p>
    <w:p w14:paraId="75FC3046" w14:textId="77777777" w:rsidR="00122D5E" w:rsidRPr="00C940A9" w:rsidRDefault="00122D5E" w:rsidP="00122D5E">
      <w:pPr>
        <w:spacing w:after="0" w:line="240" w:lineRule="auto"/>
        <w:ind w:left="709" w:right="709"/>
        <w:jc w:val="both"/>
        <w:rPr>
          <w:rFonts w:ascii="Verdana" w:eastAsia="Calibri" w:hAnsi="Verdana" w:cs="Arial"/>
          <w:sz w:val="20"/>
          <w:szCs w:val="20"/>
          <w:lang w:val="es-ES"/>
        </w:rPr>
      </w:pPr>
      <w:r w:rsidRPr="00C940A9">
        <w:rPr>
          <w:rFonts w:ascii="Verdana" w:eastAsia="Calibri" w:hAnsi="Verdana" w:cs="Arial"/>
          <w:sz w:val="20"/>
          <w:szCs w:val="20"/>
          <w:lang w:val="es-ES"/>
        </w:rPr>
        <w:t xml:space="preserve">2. Se hayan recibido solicitudes de por lo menos dos (2)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colombianas para limitar la convocatoria a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Tratándose de personas jurídicas, las </w:t>
      </w:r>
      <w:r w:rsidRPr="00C940A9">
        <w:rPr>
          <w:rFonts w:ascii="Verdana" w:eastAsia="Calibri" w:hAnsi="Verdana" w:cs="Arial"/>
          <w:sz w:val="20"/>
          <w:szCs w:val="20"/>
          <w:lang w:val="es-ES"/>
        </w:rPr>
        <w:lastRenderedPageBreak/>
        <w:t xml:space="preserve">solicitudes solo las podrán realizar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cuyo objeto social les permita ejecutar el contrato relacionado con el proceso contractual.</w:t>
      </w:r>
    </w:p>
    <w:p w14:paraId="66D4F3D9" w14:textId="77777777" w:rsidR="00122D5E" w:rsidRPr="00C940A9" w:rsidRDefault="00122D5E" w:rsidP="00122D5E">
      <w:pPr>
        <w:spacing w:after="0" w:line="240" w:lineRule="auto"/>
        <w:ind w:left="709" w:right="709"/>
        <w:jc w:val="both"/>
        <w:rPr>
          <w:rFonts w:ascii="Verdana" w:eastAsia="Calibri" w:hAnsi="Verdana" w:cs="Arial"/>
          <w:sz w:val="20"/>
          <w:szCs w:val="20"/>
          <w:lang w:val="es-ES"/>
        </w:rPr>
      </w:pPr>
    </w:p>
    <w:p w14:paraId="129BC6F1" w14:textId="77777777" w:rsidR="00122D5E" w:rsidRPr="00C940A9" w:rsidRDefault="00122D5E" w:rsidP="00122D5E">
      <w:pPr>
        <w:spacing w:after="0" w:line="240" w:lineRule="auto"/>
        <w:ind w:left="709" w:right="709"/>
        <w:jc w:val="both"/>
        <w:rPr>
          <w:rFonts w:ascii="Verdana" w:eastAsia="Calibri" w:hAnsi="Verdana" w:cs="Arial"/>
          <w:sz w:val="20"/>
          <w:szCs w:val="20"/>
          <w:lang w:val="es-ES"/>
        </w:rPr>
      </w:pPr>
      <w:r w:rsidRPr="00C940A9">
        <w:rPr>
          <w:rFonts w:ascii="Verdana" w:eastAsia="Calibri" w:hAnsi="Verdana" w:cs="Arial"/>
          <w:sz w:val="20"/>
          <w:szCs w:val="20"/>
          <w:lang w:val="es-ES"/>
        </w:rPr>
        <w:t xml:space="preserve">Parágrafo. Las cooperativas y demás entidades de economía solidaria, siempre que tengan la calidad de </w:t>
      </w:r>
      <w:proofErr w:type="spellStart"/>
      <w:r w:rsidRPr="00C940A9">
        <w:rPr>
          <w:rFonts w:ascii="Verdana" w:eastAsia="Calibri" w:hAnsi="Verdana" w:cs="Arial"/>
          <w:sz w:val="20"/>
          <w:szCs w:val="20"/>
          <w:lang w:val="es-ES"/>
        </w:rPr>
        <w:t>Mipyme</w:t>
      </w:r>
      <w:proofErr w:type="spellEnd"/>
      <w:r w:rsidRPr="00C940A9">
        <w:rPr>
          <w:rFonts w:ascii="Verdana" w:eastAsia="Calibri" w:hAnsi="Verdana" w:cs="Arial"/>
          <w:sz w:val="20"/>
          <w:szCs w:val="20"/>
          <w:lang w:val="es-ES"/>
        </w:rPr>
        <w:t>, podrán solicitar y participar en las convocatorias limitadas en las mismas condiciones dispuestas en el presente artículo</w:t>
      </w:r>
      <w:r>
        <w:rPr>
          <w:rFonts w:ascii="Verdana" w:eastAsia="Calibri" w:hAnsi="Verdana" w:cs="Arial"/>
          <w:sz w:val="20"/>
          <w:szCs w:val="20"/>
          <w:lang w:val="es-ES"/>
        </w:rPr>
        <w:t>”</w:t>
      </w:r>
      <w:r w:rsidRPr="00C940A9">
        <w:rPr>
          <w:rFonts w:ascii="Verdana" w:eastAsia="Calibri" w:hAnsi="Verdana" w:cs="Arial"/>
          <w:sz w:val="20"/>
          <w:szCs w:val="20"/>
          <w:lang w:val="es-ES"/>
        </w:rPr>
        <w:t>.</w:t>
      </w:r>
    </w:p>
    <w:p w14:paraId="7D2BCFBB" w14:textId="77777777" w:rsidR="00122D5E" w:rsidRPr="001D4AC1" w:rsidRDefault="00122D5E" w:rsidP="00122D5E">
      <w:pPr>
        <w:spacing w:after="0"/>
        <w:ind w:left="709" w:right="709"/>
        <w:jc w:val="both"/>
        <w:rPr>
          <w:rFonts w:ascii="Century Gothic" w:eastAsia="Arial" w:hAnsi="Century Gothic" w:cs="Arial"/>
          <w:color w:val="000000"/>
        </w:rPr>
      </w:pPr>
    </w:p>
    <w:p w14:paraId="14CD4461" w14:textId="77777777" w:rsidR="00122D5E" w:rsidRPr="00C940A9" w:rsidRDefault="00122D5E" w:rsidP="00122D5E">
      <w:pPr>
        <w:spacing w:after="120" w:line="276" w:lineRule="auto"/>
        <w:ind w:firstLine="709"/>
        <w:jc w:val="both"/>
        <w:rPr>
          <w:rFonts w:ascii="Verdana" w:eastAsia="Arial" w:hAnsi="Verdana" w:cs="Arial"/>
          <w:color w:val="000000"/>
        </w:rPr>
      </w:pPr>
      <w:r w:rsidRPr="00C940A9">
        <w:rPr>
          <w:rFonts w:ascii="Verdana" w:eastAsia="Arial" w:hAnsi="Verdana" w:cs="Arial"/>
          <w:color w:val="000000"/>
        </w:rPr>
        <w:t xml:space="preserve">Según se evidencia, el numeral primero limita cuantitativamente los procesos contractuales en los que se puede hacer esa convocatoria limitada a </w:t>
      </w:r>
      <w:proofErr w:type="spellStart"/>
      <w:r w:rsidRPr="00C940A9">
        <w:rPr>
          <w:rFonts w:ascii="Verdana" w:eastAsia="Arial" w:hAnsi="Verdana" w:cs="Arial"/>
          <w:color w:val="000000"/>
        </w:rPr>
        <w:t>Mipyme</w:t>
      </w:r>
      <w:proofErr w:type="spellEnd"/>
      <w:r w:rsidRPr="00C940A9">
        <w:rPr>
          <w:rFonts w:ascii="Verdana" w:eastAsia="Arial" w:hAnsi="Verdana" w:cs="Arial"/>
          <w:color w:val="000000"/>
        </w:rPr>
        <w:t>, en la medida en que el valor del proceso de contratación tendrá que ser “menor a ciento veinticinco mil dólares de los Estados Unidos de América”. Esta limitante, valga la pena aclarar, es establecida de acuerdo con la tasa que, para el efecto, determine cada dos años el Ministerio de Comercio, Industria y Turismo</w:t>
      </w:r>
      <w:r w:rsidRPr="00C940A9">
        <w:rPr>
          <w:rStyle w:val="Refdenotaalpie"/>
          <w:rFonts w:ascii="Verdana" w:eastAsia="Arial" w:hAnsi="Verdana" w:cs="Arial"/>
          <w:color w:val="000000"/>
        </w:rPr>
        <w:footnoteReference w:id="3"/>
      </w:r>
      <w:r w:rsidRPr="00C940A9">
        <w:rPr>
          <w:rFonts w:ascii="Verdana" w:eastAsia="Arial" w:hAnsi="Verdana" w:cs="Arial"/>
          <w:color w:val="000000"/>
        </w:rPr>
        <w:t xml:space="preserve">. </w:t>
      </w:r>
    </w:p>
    <w:p w14:paraId="21C4F211" w14:textId="77777777" w:rsidR="00122D5E" w:rsidRPr="005B1F06" w:rsidRDefault="00122D5E" w:rsidP="00122D5E">
      <w:pPr>
        <w:spacing w:after="120" w:line="276" w:lineRule="auto"/>
        <w:ind w:firstLine="709"/>
        <w:jc w:val="both"/>
        <w:rPr>
          <w:rFonts w:ascii="Verdana" w:eastAsia="Arial" w:hAnsi="Verdana" w:cs="Arial"/>
          <w:color w:val="000000"/>
        </w:rPr>
      </w:pPr>
      <w:r w:rsidRPr="00C940A9">
        <w:rPr>
          <w:rFonts w:ascii="Verdana" w:eastAsia="Arial" w:hAnsi="Verdana" w:cs="Arial"/>
          <w:color w:val="000000"/>
        </w:rPr>
        <w:t xml:space="preserve">Por su parte, el numeral segundo establece dos exigencias: por un lado, que al menos dos (2) </w:t>
      </w:r>
      <w:proofErr w:type="spellStart"/>
      <w:r w:rsidRPr="00C940A9">
        <w:rPr>
          <w:rFonts w:ascii="Verdana" w:eastAsia="Arial" w:hAnsi="Verdana" w:cs="Arial"/>
          <w:color w:val="000000"/>
        </w:rPr>
        <w:t>Mipymes</w:t>
      </w:r>
      <w:proofErr w:type="spellEnd"/>
      <w:r w:rsidRPr="00C940A9">
        <w:rPr>
          <w:rFonts w:ascii="Verdana" w:eastAsia="Arial" w:hAnsi="Verdana" w:cs="Arial"/>
          <w:color w:val="000000"/>
        </w:rPr>
        <w:t xml:space="preserve"> colombianas presenten a la entidad la solicitud de limitar el proceso contractual y, por el otro, que hagan la solicitud por lo menos un día (1) hábil antes de la expedición del acto administrativo de apertura </w:t>
      </w:r>
      <w:r w:rsidRPr="00C940A9">
        <w:rPr>
          <w:rFonts w:ascii="Verdana" w:eastAsia="Arial" w:hAnsi="Verdana" w:cs="Arial"/>
          <w:color w:val="000000"/>
          <w:lang w:val="es-ES_tradnl"/>
        </w:rPr>
        <w:t xml:space="preserve">o el que haga </w:t>
      </w:r>
      <w:r w:rsidRPr="005B1F06">
        <w:rPr>
          <w:rFonts w:ascii="Verdana" w:eastAsia="Arial" w:hAnsi="Verdana" w:cs="Arial"/>
          <w:color w:val="000000"/>
          <w:lang w:val="es-ES_tradnl"/>
        </w:rPr>
        <w:t>sus veces de acuerdo con la normativa aplicable a cada proceso de contratación</w:t>
      </w:r>
      <w:r w:rsidRPr="005B1F06">
        <w:rPr>
          <w:rFonts w:ascii="Verdana" w:eastAsia="Arial" w:hAnsi="Verdana" w:cs="Arial"/>
          <w:color w:val="000000"/>
        </w:rPr>
        <w:t xml:space="preserve">. Además, la norma señala que, </w:t>
      </w:r>
      <w:r w:rsidRPr="005B1F06">
        <w:rPr>
          <w:rFonts w:ascii="Verdana" w:eastAsia="Arial" w:hAnsi="Verdana" w:cs="Arial"/>
          <w:color w:val="000000"/>
          <w:lang w:val="es-ES_tradnl"/>
        </w:rPr>
        <w:t xml:space="preserve">tratándose de personas jurídicas, las solicitudes solo las podrán realizar </w:t>
      </w:r>
      <w:proofErr w:type="spellStart"/>
      <w:r w:rsidRPr="005B1F06">
        <w:rPr>
          <w:rFonts w:ascii="Verdana" w:eastAsia="Arial" w:hAnsi="Verdana" w:cs="Arial"/>
          <w:color w:val="000000"/>
          <w:lang w:val="es-ES_tradnl"/>
        </w:rPr>
        <w:t>Mipymes</w:t>
      </w:r>
      <w:proofErr w:type="spellEnd"/>
      <w:r w:rsidRPr="005B1F06">
        <w:rPr>
          <w:rFonts w:ascii="Verdana" w:eastAsia="Arial" w:hAnsi="Verdana" w:cs="Arial"/>
          <w:color w:val="000000"/>
          <w:lang w:val="es-ES_tradnl"/>
        </w:rPr>
        <w:t xml:space="preserve">, cuyo objeto social les permita ejecutar el contrato relacionado con el proceso contractual. Asimismo, este artículo incluye a las cooperativas y demás entidades de economía solidaria dentro de los sujetos que pueden solicitar y participar en las convocatorias limitadas a </w:t>
      </w:r>
      <w:proofErr w:type="spellStart"/>
      <w:r w:rsidRPr="005B1F06">
        <w:rPr>
          <w:rFonts w:ascii="Verdana" w:eastAsia="Arial" w:hAnsi="Verdana" w:cs="Arial"/>
          <w:color w:val="000000"/>
          <w:lang w:val="es-ES_tradnl"/>
        </w:rPr>
        <w:t>Mipymes</w:t>
      </w:r>
      <w:proofErr w:type="spellEnd"/>
      <w:r w:rsidRPr="005B1F06">
        <w:rPr>
          <w:rFonts w:ascii="Verdana" w:eastAsia="Arial" w:hAnsi="Verdana" w:cs="Arial"/>
          <w:color w:val="000000"/>
          <w:lang w:val="es-ES_tradnl"/>
        </w:rPr>
        <w:t xml:space="preserve">, siempre que estas cumplan con las condiciones señaladas en el artículo. </w:t>
      </w:r>
    </w:p>
    <w:p w14:paraId="1B872BD4" w14:textId="77777777" w:rsidR="00122D5E" w:rsidRPr="005B1F06" w:rsidRDefault="00122D5E" w:rsidP="00122D5E">
      <w:pPr>
        <w:spacing w:after="120" w:line="276" w:lineRule="auto"/>
        <w:ind w:firstLine="709"/>
        <w:jc w:val="both"/>
        <w:rPr>
          <w:rFonts w:ascii="Verdana" w:hAnsi="Verdana" w:cs="Arial"/>
          <w:lang w:val="es-ES" w:eastAsia="es-MX"/>
        </w:rPr>
      </w:pPr>
      <w:r w:rsidRPr="005B1F06">
        <w:rPr>
          <w:rFonts w:ascii="Verdana" w:eastAsia="Arial" w:hAnsi="Verdana" w:cs="Arial"/>
          <w:color w:val="000000"/>
          <w:lang w:val="es-ES_tradnl"/>
        </w:rPr>
        <w:t>Así las cosas,</w:t>
      </w:r>
      <w:r w:rsidRPr="005B1F06">
        <w:rPr>
          <w:rFonts w:ascii="Verdana" w:hAnsi="Verdana" w:cs="Arial"/>
          <w:lang w:val="es-ES" w:eastAsia="es-MX"/>
        </w:rPr>
        <w:t xml:space="preserve"> las entidades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5B1F06">
        <w:rPr>
          <w:rFonts w:ascii="Verdana" w:hAnsi="Verdana" w:cs="Arial"/>
          <w:lang w:val="es-ES" w:eastAsia="es-MX"/>
        </w:rPr>
        <w:t>Mipymes</w:t>
      </w:r>
      <w:proofErr w:type="spellEnd"/>
      <w:r w:rsidRPr="005B1F06">
        <w:rPr>
          <w:rFonts w:ascii="Verdana" w:hAnsi="Verdana" w:cs="Arial"/>
          <w:lang w:val="es-ES" w:eastAsia="es-MX"/>
        </w:rPr>
        <w:t xml:space="preserve"> colombianas con mínimo un (1) año de existencia, cuando se cumplan los requisitos previstos en el artículo 2.2.1.2.4.2.2 del Decreto 1082 de 2015 anteriormente señalado.</w:t>
      </w:r>
    </w:p>
    <w:p w14:paraId="2BA91997" w14:textId="77777777" w:rsidR="00122D5E" w:rsidRPr="005B1F06" w:rsidRDefault="00122D5E" w:rsidP="00122D5E">
      <w:pPr>
        <w:spacing w:after="120" w:line="276" w:lineRule="auto"/>
        <w:ind w:firstLine="708"/>
        <w:jc w:val="both"/>
        <w:rPr>
          <w:rFonts w:ascii="Verdana" w:eastAsia="Calibri" w:hAnsi="Verdana" w:cs="Arial"/>
          <w:lang w:val="es-ES"/>
        </w:rPr>
      </w:pPr>
      <w:r w:rsidRPr="706726C8">
        <w:rPr>
          <w:rFonts w:ascii="Verdana" w:eastAsia="Calibri" w:hAnsi="Verdana" w:cs="Arial"/>
          <w:lang w:val="es-ES"/>
        </w:rPr>
        <w:lastRenderedPageBreak/>
        <w:t xml:space="preserve">En relación con las limitaciones territoriales </w:t>
      </w:r>
      <w:r w:rsidRPr="706726C8">
        <w:rPr>
          <w:rFonts w:ascii="Verdana" w:hAnsi="Verdana" w:cs="Arial"/>
          <w:lang w:val="es-ES"/>
        </w:rPr>
        <w:t xml:space="preserve">de las convocatorias a </w:t>
      </w:r>
      <w:proofErr w:type="spellStart"/>
      <w:r w:rsidRPr="706726C8">
        <w:rPr>
          <w:rFonts w:ascii="Verdana" w:hAnsi="Verdana" w:cs="Arial"/>
          <w:lang w:val="es-ES"/>
        </w:rPr>
        <w:t>Mipymes</w:t>
      </w:r>
      <w:proofErr w:type="spellEnd"/>
      <w:r w:rsidRPr="706726C8">
        <w:rPr>
          <w:rFonts w:ascii="Verdana" w:eastAsia="Calibri" w:hAnsi="Verdana" w:cs="Arial"/>
          <w:lang w:val="es-ES"/>
        </w:rPr>
        <w:t xml:space="preserve"> el texto del actual artículo 2.2.1.2.4.2.3, modificado por el artículo 5 del Decreto 1860 de 2021, determina que toda empresa constituida bajo las leyes colombianas o que tenga su domicilio principal en el territorio colombiano y, además, cumpla los criterios previstos por la </w:t>
      </w:r>
      <w:bookmarkStart w:id="15" w:name="_Hlk194041590"/>
      <w:r w:rsidRPr="706726C8">
        <w:rPr>
          <w:rFonts w:ascii="Verdana" w:eastAsia="Calibri" w:hAnsi="Verdana" w:cs="Arial"/>
          <w:lang w:val="es-ES"/>
        </w:rPr>
        <w:t>Ley 590 de 2000 y el Decreto 957 de 2019</w:t>
      </w:r>
      <w:bookmarkEnd w:id="15"/>
      <w:r w:rsidRPr="706726C8">
        <w:rPr>
          <w:rFonts w:ascii="Verdana" w:eastAsia="Calibri" w:hAnsi="Verdana" w:cs="Arial"/>
          <w:lang w:val="es-ES"/>
        </w:rPr>
        <w:t xml:space="preserve">, será considerada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del orden nacional. Otra cosa es que las normas de contratación permitan que las MiPymes nacionales con “domicilio” en un municipio o departamento, puedan beneficiarse en la ejecución de un contrato dentro de la entidad territorial en la que tienen su “domicilio”. De todos modos, las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domiciliadas en un municipio o departamento son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nacionales. En consecuencia, no es procedente distinguir entre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nacionales y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municipales o departamentales, habida cuenta que estas últimas no existen como categoría dentro del ordenamiento normativo. </w:t>
      </w:r>
    </w:p>
    <w:p w14:paraId="11478AD4" w14:textId="77777777" w:rsidR="00122D5E" w:rsidRPr="005B1F06" w:rsidRDefault="00122D5E" w:rsidP="00122D5E">
      <w:pPr>
        <w:spacing w:after="0" w:line="276" w:lineRule="auto"/>
        <w:ind w:firstLine="708"/>
        <w:jc w:val="both"/>
        <w:rPr>
          <w:rFonts w:ascii="Verdana" w:eastAsia="Calibri" w:hAnsi="Verdana" w:cs="Arial"/>
          <w:lang w:val="es-ES_tradnl"/>
        </w:rPr>
      </w:pPr>
      <w:r w:rsidRPr="005B1F06">
        <w:rPr>
          <w:rFonts w:ascii="Verdana" w:eastAsia="Calibri" w:hAnsi="Verdana" w:cs="Arial"/>
          <w:lang w:val="es-ES_tradnl"/>
        </w:rPr>
        <w:t xml:space="preserve">El texto normativo dispone lo siguiente:  </w:t>
      </w:r>
    </w:p>
    <w:p w14:paraId="00A599BF" w14:textId="77777777" w:rsidR="00122D5E" w:rsidRDefault="00122D5E" w:rsidP="00122D5E">
      <w:pPr>
        <w:spacing w:after="0" w:line="276" w:lineRule="auto"/>
        <w:ind w:left="709" w:right="758" w:hanging="1"/>
        <w:jc w:val="both"/>
        <w:rPr>
          <w:rFonts w:ascii="Verdana" w:hAnsi="Verdana" w:cs="Arial"/>
          <w:sz w:val="20"/>
          <w:szCs w:val="20"/>
          <w:lang w:val="es-ES_tradnl"/>
        </w:rPr>
      </w:pPr>
    </w:p>
    <w:p w14:paraId="6C07E6BC" w14:textId="77777777" w:rsidR="00122D5E" w:rsidRPr="005B1F06" w:rsidRDefault="00122D5E" w:rsidP="00122D5E">
      <w:pPr>
        <w:spacing w:after="0" w:line="240" w:lineRule="auto"/>
        <w:ind w:left="709" w:right="758" w:hanging="1"/>
        <w:jc w:val="both"/>
        <w:rPr>
          <w:rFonts w:ascii="Verdana" w:hAnsi="Verdana" w:cs="Arial"/>
          <w:sz w:val="20"/>
          <w:szCs w:val="20"/>
          <w:lang w:val="es-ES_tradnl"/>
        </w:rPr>
      </w:pPr>
      <w:r>
        <w:rPr>
          <w:rFonts w:ascii="Verdana" w:hAnsi="Verdana" w:cs="Arial"/>
          <w:sz w:val="20"/>
          <w:szCs w:val="20"/>
          <w:lang w:val="es-ES_tradnl"/>
        </w:rPr>
        <w:t>“</w:t>
      </w:r>
      <w:r w:rsidRPr="005B1F06">
        <w:rPr>
          <w:rFonts w:ascii="Verdana" w:hAnsi="Verdana" w:cs="Arial"/>
          <w:sz w:val="20"/>
          <w:szCs w:val="20"/>
          <w:lang w:val="es-ES_tradnl"/>
        </w:rPr>
        <w:t>ARTÍCULO  5. Modificaci</w:t>
      </w:r>
      <w:r w:rsidRPr="005B1F06">
        <w:rPr>
          <w:rFonts w:ascii="Verdana" w:hAnsi="Verdana" w:cs="Century Gothic"/>
          <w:sz w:val="20"/>
          <w:szCs w:val="20"/>
          <w:lang w:val="es-ES_tradnl"/>
        </w:rPr>
        <w:t>ó</w:t>
      </w:r>
      <w:r w:rsidRPr="005B1F06">
        <w:rPr>
          <w:rFonts w:ascii="Verdana" w:hAnsi="Verdana" w:cs="Arial"/>
          <w:sz w:val="20"/>
          <w:szCs w:val="20"/>
          <w:lang w:val="es-ES_tradnl"/>
        </w:rPr>
        <w:t>n de la Subsecci</w:t>
      </w:r>
      <w:r w:rsidRPr="005B1F06">
        <w:rPr>
          <w:rFonts w:ascii="Verdana" w:hAnsi="Verdana" w:cs="Century Gothic"/>
          <w:sz w:val="20"/>
          <w:szCs w:val="20"/>
          <w:lang w:val="es-ES_tradnl"/>
        </w:rPr>
        <w:t>ó</w:t>
      </w:r>
      <w:r w:rsidRPr="005B1F06">
        <w:rPr>
          <w:rFonts w:ascii="Verdana" w:hAnsi="Verdana" w:cs="Arial"/>
          <w:sz w:val="20"/>
          <w:szCs w:val="20"/>
          <w:lang w:val="es-ES_tradnl"/>
        </w:rPr>
        <w:t>n 2 de la Secci</w:t>
      </w:r>
      <w:r w:rsidRPr="005B1F06">
        <w:rPr>
          <w:rFonts w:ascii="Verdana" w:hAnsi="Verdana" w:cs="Century Gothic"/>
          <w:sz w:val="20"/>
          <w:szCs w:val="20"/>
          <w:lang w:val="es-ES_tradnl"/>
        </w:rPr>
        <w:t>ó</w:t>
      </w:r>
      <w:r w:rsidRPr="005B1F06">
        <w:rPr>
          <w:rFonts w:ascii="Verdana" w:hAnsi="Verdana" w:cs="Arial"/>
          <w:sz w:val="20"/>
          <w:szCs w:val="20"/>
          <w:lang w:val="es-ES_tradnl"/>
        </w:rPr>
        <w:t>n 4 del Cap</w:t>
      </w:r>
      <w:r w:rsidRPr="005B1F06">
        <w:rPr>
          <w:rFonts w:ascii="Verdana" w:hAnsi="Verdana" w:cs="Century Gothic"/>
          <w:sz w:val="20"/>
          <w:szCs w:val="20"/>
          <w:lang w:val="es-ES_tradnl"/>
        </w:rPr>
        <w:t>í</w:t>
      </w:r>
      <w:r w:rsidRPr="005B1F06">
        <w:rPr>
          <w:rFonts w:ascii="Verdana" w:hAnsi="Verdana" w:cs="Arial"/>
          <w:sz w:val="20"/>
          <w:szCs w:val="20"/>
          <w:lang w:val="es-ES_tradnl"/>
        </w:rPr>
        <w:t>tulo 2 del T</w:t>
      </w:r>
      <w:r w:rsidRPr="005B1F06">
        <w:rPr>
          <w:rFonts w:ascii="Verdana" w:hAnsi="Verdana" w:cs="Century Gothic"/>
          <w:sz w:val="20"/>
          <w:szCs w:val="20"/>
          <w:lang w:val="es-ES_tradnl"/>
        </w:rPr>
        <w:t>í</w:t>
      </w:r>
      <w:r w:rsidRPr="005B1F06">
        <w:rPr>
          <w:rFonts w:ascii="Verdana" w:hAnsi="Verdana" w:cs="Arial"/>
          <w:sz w:val="20"/>
          <w:szCs w:val="20"/>
          <w:lang w:val="es-ES_tradnl"/>
        </w:rPr>
        <w:t>tulo 1 de la Parte 2 del Libro 2 del Decreto 1082 de 2015. Modif</w:t>
      </w:r>
      <w:r w:rsidRPr="005B1F06">
        <w:rPr>
          <w:rFonts w:ascii="Verdana" w:hAnsi="Verdana" w:cs="Century Gothic"/>
          <w:sz w:val="20"/>
          <w:szCs w:val="20"/>
          <w:lang w:val="es-ES_tradnl"/>
        </w:rPr>
        <w:t>í</w:t>
      </w:r>
      <w:r w:rsidRPr="005B1F06">
        <w:rPr>
          <w:rFonts w:ascii="Verdana" w:hAnsi="Verdana" w:cs="Arial"/>
          <w:sz w:val="20"/>
          <w:szCs w:val="20"/>
          <w:lang w:val="es-ES_tradnl"/>
        </w:rPr>
        <w:t>quense los art</w:t>
      </w:r>
      <w:r w:rsidRPr="005B1F06">
        <w:rPr>
          <w:rFonts w:ascii="Verdana" w:hAnsi="Verdana" w:cs="Century Gothic"/>
          <w:sz w:val="20"/>
          <w:szCs w:val="20"/>
          <w:lang w:val="es-ES_tradnl"/>
        </w:rPr>
        <w:t>í</w:t>
      </w:r>
      <w:r w:rsidRPr="005B1F06">
        <w:rPr>
          <w:rFonts w:ascii="Verdana" w:hAnsi="Verdana" w:cs="Arial"/>
          <w:sz w:val="20"/>
          <w:szCs w:val="20"/>
          <w:lang w:val="es-ES_tradnl"/>
        </w:rPr>
        <w:t>culos 2.2.1.2.4.2.2., 2.2.1.2.4.2.3. y 2.2.1.2.4.2.4. de la Subsecci</w:t>
      </w:r>
      <w:r w:rsidRPr="005B1F06">
        <w:rPr>
          <w:rFonts w:ascii="Verdana" w:hAnsi="Verdana" w:cs="Century Gothic"/>
          <w:sz w:val="20"/>
          <w:szCs w:val="20"/>
          <w:lang w:val="es-ES_tradnl"/>
        </w:rPr>
        <w:t>ó</w:t>
      </w:r>
      <w:r w:rsidRPr="005B1F06">
        <w:rPr>
          <w:rFonts w:ascii="Verdana" w:hAnsi="Verdana" w:cs="Arial"/>
          <w:sz w:val="20"/>
          <w:szCs w:val="20"/>
          <w:lang w:val="es-ES_tradnl"/>
        </w:rPr>
        <w:t>n 2 de la Secci</w:t>
      </w:r>
      <w:r w:rsidRPr="005B1F06">
        <w:rPr>
          <w:rFonts w:ascii="Verdana" w:hAnsi="Verdana" w:cs="Century Gothic"/>
          <w:sz w:val="20"/>
          <w:szCs w:val="20"/>
          <w:lang w:val="es-ES_tradnl"/>
        </w:rPr>
        <w:t>ó</w:t>
      </w:r>
      <w:r w:rsidRPr="005B1F06">
        <w:rPr>
          <w:rFonts w:ascii="Verdana" w:hAnsi="Verdana" w:cs="Arial"/>
          <w:sz w:val="20"/>
          <w:szCs w:val="20"/>
          <w:lang w:val="es-ES_tradnl"/>
        </w:rPr>
        <w:t>n 4 del Cap</w:t>
      </w:r>
      <w:r w:rsidRPr="005B1F06">
        <w:rPr>
          <w:rFonts w:ascii="Verdana" w:hAnsi="Verdana" w:cs="Century Gothic"/>
          <w:sz w:val="20"/>
          <w:szCs w:val="20"/>
          <w:lang w:val="es-ES_tradnl"/>
        </w:rPr>
        <w:t>í</w:t>
      </w:r>
      <w:r w:rsidRPr="005B1F06">
        <w:rPr>
          <w:rFonts w:ascii="Verdana" w:hAnsi="Verdana" w:cs="Arial"/>
          <w:sz w:val="20"/>
          <w:szCs w:val="20"/>
          <w:lang w:val="es-ES_tradnl"/>
        </w:rPr>
        <w:t>tulo 2 del T</w:t>
      </w:r>
      <w:r w:rsidRPr="005B1F06">
        <w:rPr>
          <w:rFonts w:ascii="Verdana" w:hAnsi="Verdana" w:cs="Century Gothic"/>
          <w:sz w:val="20"/>
          <w:szCs w:val="20"/>
          <w:lang w:val="es-ES_tradnl"/>
        </w:rPr>
        <w:t>í</w:t>
      </w:r>
      <w:r w:rsidRPr="005B1F06">
        <w:rPr>
          <w:rFonts w:ascii="Verdana" w:hAnsi="Verdana" w:cs="Arial"/>
          <w:sz w:val="20"/>
          <w:szCs w:val="20"/>
          <w:lang w:val="es-ES_tradnl"/>
        </w:rPr>
        <w:t>tulo 1 de la Parte 2 del Libro 2 del Decreto 1082 de 2015, los cuales quedar</w:t>
      </w:r>
      <w:r w:rsidRPr="005B1F06">
        <w:rPr>
          <w:rFonts w:ascii="Verdana" w:hAnsi="Verdana" w:cs="Century Gothic"/>
          <w:sz w:val="20"/>
          <w:szCs w:val="20"/>
          <w:lang w:val="es-ES_tradnl"/>
        </w:rPr>
        <w:t>á</w:t>
      </w:r>
      <w:r w:rsidRPr="005B1F06">
        <w:rPr>
          <w:rFonts w:ascii="Verdana" w:hAnsi="Verdana" w:cs="Arial"/>
          <w:sz w:val="20"/>
          <w:szCs w:val="20"/>
          <w:lang w:val="es-ES_tradnl"/>
        </w:rPr>
        <w:t>n as</w:t>
      </w:r>
      <w:r w:rsidRPr="005B1F06">
        <w:rPr>
          <w:rFonts w:ascii="Verdana" w:hAnsi="Verdana" w:cs="Century Gothic"/>
          <w:sz w:val="20"/>
          <w:szCs w:val="20"/>
          <w:lang w:val="es-ES_tradnl"/>
        </w:rPr>
        <w:t>í</w:t>
      </w:r>
      <w:r w:rsidRPr="005B1F06">
        <w:rPr>
          <w:rFonts w:ascii="Verdana" w:hAnsi="Verdana" w:cs="Arial"/>
          <w:sz w:val="20"/>
          <w:szCs w:val="20"/>
          <w:lang w:val="es-ES_tradnl"/>
        </w:rPr>
        <w:t>:</w:t>
      </w:r>
    </w:p>
    <w:p w14:paraId="062BBCE7" w14:textId="77777777" w:rsidR="00122D5E" w:rsidRDefault="00122D5E" w:rsidP="00122D5E">
      <w:pPr>
        <w:spacing w:after="0" w:line="240" w:lineRule="auto"/>
        <w:ind w:left="709" w:right="758" w:hanging="1"/>
        <w:jc w:val="both"/>
        <w:rPr>
          <w:rFonts w:ascii="Verdana" w:hAnsi="Verdana" w:cs="Arial"/>
          <w:sz w:val="20"/>
          <w:szCs w:val="20"/>
          <w:lang w:val="es-ES_tradnl"/>
        </w:rPr>
      </w:pPr>
    </w:p>
    <w:p w14:paraId="56FA99A5" w14:textId="77777777" w:rsidR="00122D5E" w:rsidRPr="005B1F06" w:rsidRDefault="00122D5E" w:rsidP="00122D5E">
      <w:pPr>
        <w:spacing w:after="0" w:line="240" w:lineRule="auto"/>
        <w:ind w:left="709" w:right="758" w:hanging="1"/>
        <w:jc w:val="both"/>
        <w:rPr>
          <w:rFonts w:ascii="Verdana" w:hAnsi="Verdana" w:cs="Arial"/>
          <w:sz w:val="20"/>
          <w:szCs w:val="20"/>
          <w:lang w:val="es-ES_tradnl"/>
        </w:rPr>
      </w:pPr>
      <w:r>
        <w:rPr>
          <w:rFonts w:ascii="Verdana" w:hAnsi="Verdana" w:cs="Arial"/>
          <w:sz w:val="20"/>
          <w:szCs w:val="20"/>
          <w:lang w:val="es-ES_tradnl"/>
        </w:rPr>
        <w:t xml:space="preserve">(…) </w:t>
      </w:r>
    </w:p>
    <w:p w14:paraId="66E543D4" w14:textId="77777777" w:rsidR="00122D5E" w:rsidRDefault="00122D5E" w:rsidP="00122D5E">
      <w:pPr>
        <w:spacing w:after="0" w:line="240" w:lineRule="auto"/>
        <w:ind w:left="709" w:right="709"/>
        <w:jc w:val="both"/>
        <w:rPr>
          <w:rFonts w:ascii="Verdana" w:hAnsi="Verdana" w:cs="Arial"/>
          <w:sz w:val="20"/>
          <w:szCs w:val="20"/>
          <w:lang w:val="es-ES_tradnl"/>
        </w:rPr>
      </w:pPr>
    </w:p>
    <w:p w14:paraId="046803A5" w14:textId="77777777" w:rsidR="00122D5E" w:rsidRDefault="00122D5E" w:rsidP="00122D5E">
      <w:pPr>
        <w:spacing w:after="0" w:line="240" w:lineRule="auto"/>
        <w:ind w:left="709" w:right="709"/>
        <w:jc w:val="both"/>
        <w:rPr>
          <w:rFonts w:ascii="Verdana" w:hAnsi="Verdana" w:cs="Arial"/>
          <w:sz w:val="20"/>
          <w:szCs w:val="20"/>
          <w:lang w:val="es-ES_tradnl"/>
        </w:rPr>
      </w:pPr>
      <w:r w:rsidRPr="005B1F06">
        <w:rPr>
          <w:rFonts w:ascii="Verdana" w:hAnsi="Verdana" w:cs="Arial"/>
          <w:sz w:val="20"/>
          <w:szCs w:val="20"/>
          <w:lang w:val="es-ES_tradnl"/>
        </w:rPr>
        <w:t>ARTÍCULO 2.2.1.2.4.2.3. Limitaciones territoriales. De conformidad con el par</w:t>
      </w:r>
      <w:r w:rsidRPr="005B1F06">
        <w:rPr>
          <w:rFonts w:ascii="Verdana" w:hAnsi="Verdana" w:cs="Century Gothic"/>
          <w:sz w:val="20"/>
          <w:szCs w:val="20"/>
          <w:lang w:val="es-ES_tradnl"/>
        </w:rPr>
        <w:t>á</w:t>
      </w:r>
      <w:r w:rsidRPr="005B1F06">
        <w:rPr>
          <w:rFonts w:ascii="Verdana" w:hAnsi="Verdana" w:cs="Arial"/>
          <w:sz w:val="20"/>
          <w:szCs w:val="20"/>
          <w:lang w:val="es-ES_tradnl"/>
        </w:rPr>
        <w:t>grafo 1 del art</w:t>
      </w:r>
      <w:r w:rsidRPr="005B1F06">
        <w:rPr>
          <w:rFonts w:ascii="Verdana" w:hAnsi="Verdana" w:cs="Century Gothic"/>
          <w:sz w:val="20"/>
          <w:szCs w:val="20"/>
          <w:lang w:val="es-ES_tradnl"/>
        </w:rPr>
        <w:t>í</w:t>
      </w:r>
      <w:r w:rsidRPr="005B1F06">
        <w:rPr>
          <w:rFonts w:ascii="Verdana" w:hAnsi="Verdana" w:cs="Arial"/>
          <w:sz w:val="20"/>
          <w:szCs w:val="20"/>
          <w:lang w:val="es-ES_tradnl"/>
        </w:rPr>
        <w:t>culo 12 de la Ley 1150 de 2007, las Entidades Estatales, independientemente de su r</w:t>
      </w:r>
      <w:r w:rsidRPr="005B1F06">
        <w:rPr>
          <w:rFonts w:ascii="Verdana" w:hAnsi="Verdana" w:cs="Century Gothic"/>
          <w:sz w:val="20"/>
          <w:szCs w:val="20"/>
          <w:lang w:val="es-ES_tradnl"/>
        </w:rPr>
        <w:t>é</w:t>
      </w:r>
      <w:r w:rsidRPr="005B1F06">
        <w:rPr>
          <w:rFonts w:ascii="Verdana" w:hAnsi="Verdana" w:cs="Arial"/>
          <w:sz w:val="20"/>
          <w:szCs w:val="20"/>
          <w:lang w:val="es-ES_tradnl"/>
        </w:rPr>
        <w:t>gimen de contrataci</w:t>
      </w:r>
      <w:r w:rsidRPr="005B1F06">
        <w:rPr>
          <w:rFonts w:ascii="Verdana" w:hAnsi="Verdana" w:cs="Century Gothic"/>
          <w:sz w:val="20"/>
          <w:szCs w:val="20"/>
          <w:lang w:val="es-ES_tradnl"/>
        </w:rPr>
        <w:t>ó</w:t>
      </w:r>
      <w:r w:rsidRPr="005B1F06">
        <w:rPr>
          <w:rFonts w:ascii="Verdana" w:hAnsi="Verdana" w:cs="Arial"/>
          <w:sz w:val="20"/>
          <w:szCs w:val="20"/>
          <w:lang w:val="es-ES_tradnl"/>
        </w:rPr>
        <w:t>n, los patrimonios aut</w:t>
      </w:r>
      <w:r w:rsidRPr="005B1F06">
        <w:rPr>
          <w:rFonts w:ascii="Verdana" w:hAnsi="Verdana" w:cs="Century Gothic"/>
          <w:sz w:val="20"/>
          <w:szCs w:val="20"/>
          <w:lang w:val="es-ES_tradnl"/>
        </w:rPr>
        <w:t>ó</w:t>
      </w:r>
      <w:r w:rsidRPr="005B1F06">
        <w:rPr>
          <w:rFonts w:ascii="Verdana" w:hAnsi="Verdana" w:cs="Arial"/>
          <w:sz w:val="20"/>
          <w:szCs w:val="20"/>
          <w:lang w:val="es-ES_tradnl"/>
        </w:rPr>
        <w:t>nomos constituidos por Entidades Estatales y los particulares que ejecuten recursos p</w:t>
      </w:r>
      <w:r w:rsidRPr="005B1F06">
        <w:rPr>
          <w:rFonts w:ascii="Verdana" w:hAnsi="Verdana" w:cs="Century Gothic"/>
          <w:sz w:val="20"/>
          <w:szCs w:val="20"/>
          <w:lang w:val="es-ES_tradnl"/>
        </w:rPr>
        <w:t>ú</w:t>
      </w:r>
      <w:r w:rsidRPr="005B1F06">
        <w:rPr>
          <w:rFonts w:ascii="Verdana" w:hAnsi="Verdana" w:cs="Arial"/>
          <w:sz w:val="20"/>
          <w:szCs w:val="20"/>
          <w:lang w:val="es-ES_tradnl"/>
        </w:rPr>
        <w:t>blicos, pueden realizar convocatorias limitadas a MiPymes colombianas que tengan domicilio en los departamentos o municipios en donde se va a ejecutar el contrato. Cada MiPymes deber</w:t>
      </w:r>
      <w:r w:rsidRPr="005B1F06">
        <w:rPr>
          <w:rFonts w:ascii="Verdana" w:hAnsi="Verdana" w:cs="Century Gothic"/>
          <w:sz w:val="20"/>
          <w:szCs w:val="20"/>
          <w:lang w:val="es-ES_tradnl"/>
        </w:rPr>
        <w:t>á</w:t>
      </w:r>
      <w:r w:rsidRPr="005B1F06">
        <w:rPr>
          <w:rFonts w:ascii="Verdana" w:hAnsi="Verdana" w:cs="Arial"/>
          <w:sz w:val="20"/>
          <w:szCs w:val="20"/>
          <w:lang w:val="es-ES_tradnl"/>
        </w:rPr>
        <w:t xml:space="preserve"> acreditar su domicilio con los documentos a los que se refiere el siguiente artículo</w:t>
      </w:r>
      <w:r>
        <w:rPr>
          <w:rFonts w:ascii="Verdana" w:hAnsi="Verdana" w:cs="Arial"/>
          <w:sz w:val="20"/>
          <w:szCs w:val="20"/>
          <w:lang w:val="es-ES_tradnl"/>
        </w:rPr>
        <w:t>”</w:t>
      </w:r>
      <w:r w:rsidRPr="005B1F06">
        <w:rPr>
          <w:rFonts w:ascii="Verdana" w:hAnsi="Verdana" w:cs="Arial"/>
          <w:sz w:val="20"/>
          <w:szCs w:val="20"/>
          <w:lang w:val="es-ES_tradnl"/>
        </w:rPr>
        <w:t xml:space="preserve">. </w:t>
      </w:r>
    </w:p>
    <w:p w14:paraId="25608C70" w14:textId="77777777" w:rsidR="00122D5E" w:rsidRPr="005A75AB" w:rsidRDefault="00122D5E" w:rsidP="00122D5E">
      <w:pPr>
        <w:spacing w:after="0" w:line="276" w:lineRule="auto"/>
        <w:ind w:left="709" w:right="709"/>
        <w:jc w:val="both"/>
        <w:rPr>
          <w:rFonts w:ascii="Verdana" w:eastAsia="Calibri" w:hAnsi="Verdana" w:cs="Arial"/>
          <w:lang w:val="es-ES_tradnl"/>
        </w:rPr>
      </w:pPr>
    </w:p>
    <w:p w14:paraId="03F860B6" w14:textId="77777777" w:rsidR="00122D5E" w:rsidRPr="005B1F06" w:rsidRDefault="00122D5E" w:rsidP="00122D5E">
      <w:pPr>
        <w:spacing w:after="120" w:line="276" w:lineRule="auto"/>
        <w:ind w:firstLine="709"/>
        <w:jc w:val="both"/>
        <w:rPr>
          <w:rFonts w:ascii="Verdana" w:eastAsia="Calibri" w:hAnsi="Verdana" w:cs="Arial"/>
          <w:lang w:val="es-ES"/>
        </w:rPr>
      </w:pPr>
      <w:r w:rsidRPr="706726C8">
        <w:rPr>
          <w:rFonts w:ascii="Verdana" w:eastAsia="Calibri" w:hAnsi="Verdana" w:cs="Arial"/>
          <w:lang w:val="es-ES"/>
        </w:rPr>
        <w:t xml:space="preserve">La norma reglamentaria coincide con la redacción del parágrafo 1 del artículo 34 de la Ley 2069 de 2020, según el cual, solo es posible limitar convocatorias a la participación de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w:t>
      </w:r>
      <w:r>
        <w:rPr>
          <w:rFonts w:ascii="Verdana" w:eastAsia="Calibri" w:hAnsi="Verdana" w:cs="Arial"/>
          <w:lang w:val="es-ES"/>
        </w:rPr>
        <w:t>(…)</w:t>
      </w:r>
      <w:r w:rsidRPr="706726C8">
        <w:rPr>
          <w:rFonts w:ascii="Verdana" w:eastAsia="Calibri" w:hAnsi="Verdana" w:cs="Arial"/>
          <w:lang w:val="es-ES"/>
        </w:rPr>
        <w:t xml:space="preserve"> del ámbito municipal o departamental correspondiente al de la ejecución del contrato”. En tales términos, la norma citada solo contempla la posibilidad de limitar convocatorias a </w:t>
      </w:r>
      <w:proofErr w:type="spellStart"/>
      <w:r w:rsidRPr="706726C8">
        <w:rPr>
          <w:rFonts w:ascii="Verdana" w:eastAsia="Calibri" w:hAnsi="Verdana" w:cs="Arial"/>
          <w:lang w:val="es-ES"/>
        </w:rPr>
        <w:t>Mipymes</w:t>
      </w:r>
      <w:proofErr w:type="spellEnd"/>
      <w:r w:rsidRPr="706726C8">
        <w:rPr>
          <w:rFonts w:ascii="Verdana" w:eastAsia="Calibri" w:hAnsi="Verdana" w:cs="Arial"/>
          <w:lang w:val="es-ES"/>
        </w:rPr>
        <w:t xml:space="preserve"> con domicilio en esos dos tipos de entidades territoriales. </w:t>
      </w:r>
    </w:p>
    <w:p w14:paraId="6AA2C62F" w14:textId="77777777" w:rsidR="00122D5E" w:rsidRPr="005B1F06" w:rsidRDefault="00122D5E" w:rsidP="00122D5E">
      <w:pPr>
        <w:spacing w:after="120" w:line="276" w:lineRule="auto"/>
        <w:ind w:firstLine="709"/>
        <w:jc w:val="both"/>
        <w:rPr>
          <w:rFonts w:ascii="Verdana" w:eastAsia="Arial" w:hAnsi="Verdana" w:cs="Arial"/>
          <w:color w:val="000000"/>
          <w:lang w:val="es-ES"/>
        </w:rPr>
      </w:pPr>
      <w:r w:rsidRPr="005B1F06">
        <w:rPr>
          <w:rFonts w:ascii="Verdana" w:eastAsia="Arial" w:hAnsi="Verdana" w:cs="Arial"/>
          <w:color w:val="000000" w:themeColor="text1"/>
          <w:lang w:val="es-ES"/>
        </w:rPr>
        <w:lastRenderedPageBreak/>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5B1F06">
        <w:rPr>
          <w:rFonts w:ascii="Verdana" w:eastAsia="Arial" w:hAnsi="Verdana" w:cs="Arial"/>
          <w:color w:val="000000" w:themeColor="text1"/>
          <w:lang w:val="es-ES"/>
        </w:rPr>
        <w:t>Mipymes</w:t>
      </w:r>
      <w:proofErr w:type="spellEnd"/>
      <w:r w:rsidRPr="005B1F06">
        <w:rPr>
          <w:rFonts w:ascii="Verdana" w:eastAsia="Arial" w:hAnsi="Verdana" w:cs="Arial"/>
          <w:color w:val="000000" w:themeColor="text1"/>
          <w:lang w:val="es-ES"/>
        </w:rPr>
        <w:t xml:space="preserve"> nacional. Además, las normas de contratación permiten que las </w:t>
      </w:r>
      <w:proofErr w:type="spellStart"/>
      <w:r w:rsidRPr="005B1F06">
        <w:rPr>
          <w:rFonts w:ascii="Verdana" w:eastAsia="Arial" w:hAnsi="Verdana" w:cs="Arial"/>
          <w:color w:val="000000" w:themeColor="text1"/>
          <w:lang w:val="es-ES"/>
        </w:rPr>
        <w:t>Mipymes</w:t>
      </w:r>
      <w:proofErr w:type="spellEnd"/>
      <w:r w:rsidRPr="005B1F06">
        <w:rPr>
          <w:rFonts w:ascii="Verdana" w:eastAsia="Arial" w:hAnsi="Verdana" w:cs="Arial"/>
          <w:color w:val="000000" w:themeColor="text1"/>
          <w:lang w:val="es-ES"/>
        </w:rPr>
        <w:t xml:space="preserve"> nacionales puedan beneficiarse de la ejecución de un contrato dentro de la entidad territorial en la que tienen su “domicilio”. </w:t>
      </w:r>
    </w:p>
    <w:p w14:paraId="0199EF64" w14:textId="77777777" w:rsidR="00122D5E" w:rsidRPr="005B1F06" w:rsidRDefault="00122D5E" w:rsidP="00122D5E">
      <w:pPr>
        <w:spacing w:after="120" w:line="276" w:lineRule="auto"/>
        <w:ind w:firstLine="709"/>
        <w:jc w:val="both"/>
        <w:rPr>
          <w:rFonts w:ascii="Verdana" w:eastAsia="Arial" w:hAnsi="Verdana" w:cs="Arial"/>
          <w:color w:val="000000"/>
          <w:lang w:val="es-ES"/>
        </w:rPr>
      </w:pPr>
      <w:r w:rsidRPr="706726C8">
        <w:rPr>
          <w:rFonts w:ascii="Verdana" w:eastAsia="Arial" w:hAnsi="Verdana" w:cs="Arial"/>
          <w:color w:val="000000" w:themeColor="text1"/>
          <w:lang w:val="es-ES"/>
        </w:rPr>
        <w:t xml:space="preserve">Ahora bien, el artículo 2.2.1.2.4.2.3. del Decreto 1082 de 2015, modificado por el artículo 5 del Decreto 1860 de 2021, se refiere a las “MiPymes colombianas que tengan domicilio en los departamentos o municipios en donde se va a ejecutar el contrato”. Esta precisión es importante, pues el incentivo previsto en la norma únicamente aplica en el lugar de ejecución del contratado en el que la </w:t>
      </w:r>
      <w:proofErr w:type="spellStart"/>
      <w:r w:rsidRPr="706726C8">
        <w:rPr>
          <w:rFonts w:ascii="Verdana" w:eastAsia="Arial" w:hAnsi="Verdana" w:cs="Arial"/>
          <w:color w:val="000000" w:themeColor="text1"/>
          <w:lang w:val="es-ES"/>
        </w:rPr>
        <w:t>Mipymes</w:t>
      </w:r>
      <w:proofErr w:type="spellEnd"/>
      <w:r w:rsidRPr="706726C8">
        <w:rPr>
          <w:rFonts w:ascii="Verdana" w:eastAsia="Arial" w:hAnsi="Verdana" w:cs="Arial"/>
          <w:color w:val="000000" w:themeColor="text1"/>
          <w:lang w:val="es-ES"/>
        </w:rPr>
        <w:t xml:space="preserve"> tiene su “domicilio”, y no en donde tiene sucursales. </w:t>
      </w:r>
    </w:p>
    <w:p w14:paraId="09817B8A" w14:textId="77777777" w:rsidR="00122D5E" w:rsidRPr="005B1F06" w:rsidRDefault="00122D5E" w:rsidP="00122D5E">
      <w:pPr>
        <w:spacing w:after="120" w:line="276" w:lineRule="auto"/>
        <w:ind w:firstLine="709"/>
        <w:jc w:val="both"/>
        <w:rPr>
          <w:rFonts w:ascii="Verdana" w:eastAsia="Arial" w:hAnsi="Verdana" w:cs="Arial"/>
          <w:color w:val="000000"/>
          <w:lang w:val="es-ES"/>
        </w:rPr>
      </w:pPr>
      <w:r w:rsidRPr="005B1F06">
        <w:rPr>
          <w:rFonts w:ascii="Verdana" w:eastAsia="Arial" w:hAnsi="Verdana" w:cs="Arial"/>
          <w:color w:val="000000" w:themeColor="text1"/>
          <w:lang w:val="es-ES"/>
        </w:rPr>
        <w:t>El artículo 263 del Código de Comercio define las sucursales como “los establecimientos de comercio abiertos por una sociedad, dentro o fuera de su domicilio, para el desarrollo de los negocios sociales o parte de ellos, administrados por mandatarios con facultades para representar la sociedad”. Nótese que la norma se refiere a los conceptos de “sucursal” y “domicilio” de forma diferente, de lo que se deriva que las sociedades comerciales tienen un domicilio y pueden tener</w:t>
      </w:r>
      <w:r w:rsidRPr="7F14F77F">
        <w:rPr>
          <w:rFonts w:ascii="Century Gothic" w:eastAsia="Arial" w:hAnsi="Century Gothic" w:cs="Arial"/>
          <w:color w:val="000000" w:themeColor="text1"/>
          <w:lang w:val="es-ES"/>
        </w:rPr>
        <w:t xml:space="preserve"> </w:t>
      </w:r>
      <w:r w:rsidRPr="005B1F06">
        <w:rPr>
          <w:rFonts w:ascii="Verdana" w:eastAsia="Arial" w:hAnsi="Verdana" w:cs="Arial"/>
          <w:color w:val="000000" w:themeColor="text1"/>
          <w:lang w:val="es-ES"/>
        </w:rPr>
        <w:t xml:space="preserve">una o varias sucursales que son establecimientos de comercio, esto es, bienes mercantiles pertenecientes a la sociedad. En ese mismo sentido, los artículos 110 y 111 </w:t>
      </w:r>
      <w:proofErr w:type="spellStart"/>
      <w:r w:rsidRPr="005B1F06">
        <w:rPr>
          <w:rFonts w:ascii="Verdana" w:eastAsia="Arial" w:hAnsi="Verdana" w:cs="Arial"/>
          <w:i/>
          <w:color w:val="000000" w:themeColor="text1"/>
          <w:lang w:val="es-ES"/>
        </w:rPr>
        <w:t>ibídem</w:t>
      </w:r>
      <w:proofErr w:type="spellEnd"/>
      <w:r w:rsidRPr="005B1F06">
        <w:rPr>
          <w:rFonts w:ascii="Verdana" w:eastAsia="Arial" w:hAnsi="Verdana" w:cs="Arial"/>
          <w:color w:val="000000" w:themeColor="text1"/>
          <w:lang w:val="es-ES"/>
        </w:rPr>
        <w:t xml:space="preserve"> se refieren a tales conceptos de forma independiente. El uno para referirse a los requisitos de constitución de una sociedad comercial y el otro para determinar el lugar donde se debe inscribir la escritura pública de constitución de la sociedad comercial. De acuerdo con lo anterior, si el legislador distinguió entre uno y otro y si el reglamento se refiere al “domicilio”, se entiende que no es procedente extender el beneficio contenido en el artículo 2.2.1.2.4.2.3. </w:t>
      </w:r>
      <w:proofErr w:type="spellStart"/>
      <w:r w:rsidRPr="005B1F06">
        <w:rPr>
          <w:rFonts w:ascii="Verdana" w:eastAsia="Arial" w:hAnsi="Verdana" w:cs="Arial"/>
          <w:i/>
          <w:color w:val="000000" w:themeColor="text1"/>
          <w:lang w:val="es-ES"/>
        </w:rPr>
        <w:t>ibídem</w:t>
      </w:r>
      <w:proofErr w:type="spellEnd"/>
      <w:r w:rsidRPr="005B1F06">
        <w:rPr>
          <w:rFonts w:ascii="Verdana" w:eastAsia="Arial" w:hAnsi="Verdana" w:cs="Arial"/>
          <w:i/>
          <w:color w:val="000000" w:themeColor="text1"/>
          <w:lang w:val="es-ES"/>
        </w:rPr>
        <w:t xml:space="preserve"> </w:t>
      </w:r>
      <w:r w:rsidRPr="005B1F06">
        <w:rPr>
          <w:rFonts w:ascii="Verdana" w:eastAsia="Arial" w:hAnsi="Verdana" w:cs="Arial"/>
          <w:color w:val="000000" w:themeColor="text1"/>
          <w:lang w:val="es-ES"/>
        </w:rPr>
        <w:t>a las entidades que tienen “sucursales” en el municipio o departamento en donde se va a ejecutar el contrato estatal.</w:t>
      </w:r>
    </w:p>
    <w:p w14:paraId="476D170E" w14:textId="77777777" w:rsidR="00122D5E" w:rsidRPr="005B1F06" w:rsidRDefault="00122D5E" w:rsidP="00122D5E">
      <w:pPr>
        <w:spacing w:after="120" w:line="276" w:lineRule="auto"/>
        <w:ind w:firstLine="709"/>
        <w:jc w:val="both"/>
        <w:rPr>
          <w:rFonts w:ascii="Verdana" w:eastAsia="Arial" w:hAnsi="Verdana" w:cs="Arial"/>
          <w:color w:val="000000"/>
          <w:lang w:val="es-ES"/>
        </w:rPr>
      </w:pPr>
      <w:r w:rsidRPr="706726C8">
        <w:rPr>
          <w:rFonts w:ascii="Verdana" w:eastAsia="Arial" w:hAnsi="Verdana" w:cs="Arial"/>
          <w:color w:val="000000"/>
          <w:lang w:val="es-ES"/>
        </w:rPr>
        <w:t>Sin perjuicio de lo anterior, no puede perderse de vista que la decisión de limitar “a MiPymes colombianas que tengan domicilio en los departamentos o municipios en donde se va a ejecutar el contrato”, aunque es facultativa de la entidad, está supeditada a que se verifiquen los requisitos establecidos en los numerales 1 y 2 del artículo 2.2.1.2.4.2.2. del Decreto 1082 de 2015, modificado por el Decreto 1860 de 2021</w:t>
      </w:r>
      <w:r w:rsidRPr="706726C8">
        <w:rPr>
          <w:rStyle w:val="Refdenotaalpie"/>
          <w:rFonts w:ascii="Verdana" w:eastAsia="Arial" w:hAnsi="Verdana" w:cs="Arial"/>
          <w:color w:val="000000"/>
          <w:lang w:val="es-ES"/>
        </w:rPr>
        <w:footnoteReference w:id="4"/>
      </w:r>
      <w:r w:rsidRPr="706726C8">
        <w:rPr>
          <w:rFonts w:ascii="Verdana" w:eastAsia="Arial" w:hAnsi="Verdana" w:cs="Arial"/>
          <w:color w:val="000000"/>
          <w:lang w:val="es-ES"/>
        </w:rPr>
        <w:t xml:space="preserve">. En ese sentido, si la entidad no recibió las </w:t>
      </w:r>
      <w:r w:rsidRPr="706726C8">
        <w:rPr>
          <w:rFonts w:ascii="Verdana" w:eastAsia="Arial" w:hAnsi="Verdana" w:cs="Arial"/>
          <w:color w:val="000000"/>
          <w:lang w:val="es-ES"/>
        </w:rPr>
        <w:lastRenderedPageBreak/>
        <w:t xml:space="preserve">solicitudes para limitar la convocatoria a </w:t>
      </w:r>
      <w:proofErr w:type="spellStart"/>
      <w:r w:rsidRPr="706726C8">
        <w:rPr>
          <w:rFonts w:ascii="Verdana" w:eastAsia="Arial" w:hAnsi="Verdana" w:cs="Arial"/>
          <w:color w:val="000000"/>
          <w:lang w:val="es-ES"/>
        </w:rPr>
        <w:t>Mipymes</w:t>
      </w:r>
      <w:proofErr w:type="spellEnd"/>
      <w:r w:rsidRPr="706726C8">
        <w:rPr>
          <w:rFonts w:ascii="Verdana" w:eastAsia="Arial" w:hAnsi="Verdana" w:cs="Arial"/>
          <w:color w:val="000000"/>
          <w:lang w:val="es-ES"/>
        </w:rPr>
        <w:t xml:space="preserve">, no puede </w:t>
      </w:r>
      <w:r w:rsidRPr="706726C8">
        <w:rPr>
          <w:rFonts w:ascii="Verdana" w:eastAsia="Arial" w:hAnsi="Verdana" w:cs="Arial"/>
          <w:i/>
          <w:color w:val="000000"/>
          <w:lang w:val="es-ES"/>
        </w:rPr>
        <w:t xml:space="preserve">motu proprio </w:t>
      </w:r>
      <w:r w:rsidRPr="706726C8">
        <w:rPr>
          <w:rFonts w:ascii="Verdana" w:eastAsia="Arial" w:hAnsi="Verdana" w:cs="Arial"/>
          <w:color w:val="000000"/>
          <w:lang w:val="es-ES"/>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3F1A42B9" w14:textId="77777777" w:rsidR="00122D5E" w:rsidRPr="005B1F06" w:rsidRDefault="00122D5E" w:rsidP="00122D5E">
      <w:pPr>
        <w:spacing w:after="120" w:line="276" w:lineRule="auto"/>
        <w:ind w:firstLine="708"/>
        <w:jc w:val="both"/>
        <w:rPr>
          <w:rFonts w:ascii="Verdana" w:hAnsi="Verdana" w:cs="Arial"/>
          <w:color w:val="000000" w:themeColor="text1"/>
        </w:rPr>
      </w:pPr>
      <w:r w:rsidRPr="005B1F06">
        <w:rPr>
          <w:rFonts w:ascii="Verdana" w:hAnsi="Verdana" w:cs="Arial"/>
          <w:color w:val="000000" w:themeColor="text1"/>
        </w:rPr>
        <w:t xml:space="preserve">Cumplidos los dos requisitos del artículo 2.2.1.2.4.2.2. </w:t>
      </w:r>
      <w:proofErr w:type="spellStart"/>
      <w:r w:rsidRPr="005B1F06">
        <w:rPr>
          <w:rFonts w:ascii="Verdana" w:hAnsi="Verdana" w:cs="Arial"/>
          <w:i/>
          <w:iCs/>
          <w:color w:val="000000" w:themeColor="text1"/>
        </w:rPr>
        <w:t>ibídem</w:t>
      </w:r>
      <w:proofErr w:type="spellEnd"/>
      <w:r w:rsidRPr="005B1F06">
        <w:rPr>
          <w:rFonts w:ascii="Verdana" w:hAnsi="Verdana" w:cs="Arial"/>
          <w:color w:val="000000" w:themeColor="text1"/>
        </w:rPr>
        <w:t xml:space="preserve">, la entidad estatal, independientemente de su régimen de contratación, los patrimonios autónomos constituidos por entidades estatales y los particulares que ejecuten recursos públicos, pueden ─no tienen que─ decidir si limitan la convocatoria a las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 domiciliadas en el municipio o departamento en el que se</w:t>
      </w:r>
      <w:r w:rsidRPr="001D4AC1">
        <w:rPr>
          <w:rFonts w:ascii="Century Gothic" w:hAnsi="Century Gothic" w:cs="Arial"/>
          <w:color w:val="000000" w:themeColor="text1"/>
        </w:rPr>
        <w:t xml:space="preserve"> </w:t>
      </w:r>
      <w:r w:rsidRPr="005B1F06">
        <w:rPr>
          <w:rFonts w:ascii="Verdana" w:hAnsi="Verdana" w:cs="Arial"/>
          <w:color w:val="000000" w:themeColor="text1"/>
        </w:rPr>
        <w:t>ejecutará el contrato</w:t>
      </w:r>
      <w:r w:rsidRPr="005B1F06">
        <w:rPr>
          <w:rFonts w:ascii="Verdana" w:hAnsi="Verdana" w:cs="Arial"/>
          <w:color w:val="000000" w:themeColor="text1"/>
          <w:vertAlign w:val="superscript"/>
        </w:rPr>
        <w:footnoteReference w:id="5"/>
      </w:r>
      <w:r w:rsidRPr="005B1F06">
        <w:rPr>
          <w:rFonts w:ascii="Verdana" w:hAnsi="Verdana" w:cs="Arial"/>
          <w:color w:val="000000" w:themeColor="text1"/>
        </w:rPr>
        <w:t xml:space="preserve">. Esto de acuerdo con lo establecido en artículo 2.2.1.2.4.2.3. del Decreto 1082 de 2015 </w:t>
      </w:r>
      <w:r w:rsidRPr="005B1F06">
        <w:rPr>
          <w:rFonts w:ascii="Verdana" w:eastAsia="Arial" w:hAnsi="Verdana" w:cs="Arial"/>
          <w:color w:val="000000"/>
          <w:lang w:val="es-ES_tradnl"/>
        </w:rPr>
        <w:t>modificado por el Decreto 1860 de 2021</w:t>
      </w:r>
      <w:r w:rsidRPr="005B1F06">
        <w:rPr>
          <w:rFonts w:ascii="Verdana" w:hAnsi="Verdana" w:cs="Arial"/>
          <w:color w:val="000000" w:themeColor="text1"/>
        </w:rPr>
        <w:t xml:space="preserve">, norma que se refiere a la facultad de la administración con el verbo infinitivo “poder”, no “deber”. </w:t>
      </w:r>
    </w:p>
    <w:p w14:paraId="6D7E9210" w14:textId="5B8EE385" w:rsidR="00122D5E" w:rsidRPr="005B1F06" w:rsidRDefault="00122D5E" w:rsidP="00122D5E">
      <w:pPr>
        <w:spacing w:after="120" w:line="276" w:lineRule="auto"/>
        <w:ind w:firstLine="709"/>
        <w:jc w:val="both"/>
        <w:rPr>
          <w:rFonts w:ascii="Verdana" w:eastAsia="Calibri" w:hAnsi="Verdana" w:cs="Arial"/>
          <w:color w:val="000000" w:themeColor="text1"/>
        </w:rPr>
      </w:pPr>
      <w:r w:rsidRPr="005B1F06">
        <w:rPr>
          <w:rFonts w:ascii="Verdana" w:eastAsia="Calibri" w:hAnsi="Verdana" w:cs="Arial"/>
          <w:color w:val="000000" w:themeColor="text1"/>
        </w:rPr>
        <w:t>Colombia Compra Eficiente ha sostenido que la decisión de limitar territorialmente un</w:t>
      </w:r>
      <w:r w:rsidRPr="005B1F06">
        <w:rPr>
          <w:rFonts w:ascii="Verdana" w:hAnsi="Verdana" w:cs="Arial"/>
          <w:color w:val="000000" w:themeColor="text1"/>
        </w:rPr>
        <w:t xml:space="preserve">a convocatoria a </w:t>
      </w:r>
      <w:proofErr w:type="spellStart"/>
      <w:r w:rsidR="00E740A7" w:rsidRPr="005B1F06">
        <w:rPr>
          <w:rFonts w:ascii="Verdana" w:hAnsi="Verdana" w:cs="Arial"/>
          <w:color w:val="000000" w:themeColor="text1"/>
        </w:rPr>
        <w:t>Mipymes</w:t>
      </w:r>
      <w:proofErr w:type="spellEnd"/>
      <w:r w:rsidRPr="005B1F06">
        <w:rPr>
          <w:rFonts w:ascii="Verdana" w:hAnsi="Verdana" w:cs="Arial"/>
          <w:color w:val="000000" w:themeColor="text1"/>
        </w:rPr>
        <w:t xml:space="preserve"> </w:t>
      </w:r>
      <w:r w:rsidRPr="005B1F06">
        <w:rPr>
          <w:rFonts w:ascii="Verdana" w:eastAsia="Calibri" w:hAnsi="Verdana" w:cs="Arial"/>
          <w:color w:val="000000" w:themeColor="text1"/>
        </w:rPr>
        <w:t xml:space="preserve">es discrecional de la entidad, sin embargo, la decisión debe estar justificada en los correspondientes “estudios del sector”. Lo anterior por cuanto el </w:t>
      </w:r>
      <w:r w:rsidRPr="005B1F06">
        <w:rPr>
          <w:rFonts w:ascii="Verdana" w:hAnsi="Verdana" w:cs="Arial"/>
          <w:color w:val="000000" w:themeColor="text1"/>
        </w:rPr>
        <w:t xml:space="preserve">artículo 2.2.1.2.4.2.3. del Decreto 1082 de 2015, indicó que las </w:t>
      </w:r>
      <w:proofErr w:type="spellStart"/>
      <w:r w:rsidRPr="005B1F06">
        <w:rPr>
          <w:rFonts w:ascii="Verdana" w:hAnsi="Verdana" w:cs="Arial"/>
          <w:color w:val="000000" w:themeColor="text1"/>
        </w:rPr>
        <w:t>Mipymes</w:t>
      </w:r>
      <w:proofErr w:type="spellEnd"/>
      <w:r w:rsidRPr="005B1F06">
        <w:rPr>
          <w:rFonts w:ascii="Verdana" w:eastAsia="Calibri" w:hAnsi="Verdana" w:cs="Arial"/>
          <w:color w:val="000000" w:themeColor="text1"/>
        </w:rPr>
        <w:t xml:space="preserve"> beneficiadas deben tener su domicilio principal en el municipio o departamento donde se ejecutará el contrato para poder participar en una convocatoria limitada territorialmente.</w:t>
      </w:r>
      <w:r w:rsidRPr="005B1F06">
        <w:rPr>
          <w:rStyle w:val="Refdenotaalpie"/>
          <w:rFonts w:ascii="Verdana" w:hAnsi="Verdana" w:cs="Arial"/>
          <w:color w:val="000000" w:themeColor="text1"/>
        </w:rPr>
        <w:footnoteReference w:id="6"/>
      </w:r>
      <w:r w:rsidRPr="005B1F06">
        <w:rPr>
          <w:rFonts w:ascii="Verdana" w:hAnsi="Verdana" w:cs="Arial"/>
          <w:color w:val="000000" w:themeColor="text1"/>
        </w:rPr>
        <w:t xml:space="preserve"> Esta tesis sigue vigente, puesto que el nuevo contenido del artículo 2.2.1.2.4.2.3. del Decreto 1082 de 2015, modificado por el artículo 5 del Decreto 1860 de 2021, mantiene la facultad de </w:t>
      </w:r>
      <w:r w:rsidRPr="005B1F06">
        <w:rPr>
          <w:rFonts w:ascii="Verdana" w:hAnsi="Verdana" w:cs="Arial"/>
          <w:color w:val="000000" w:themeColor="text1"/>
        </w:rPr>
        <w:lastRenderedPageBreak/>
        <w:t>la Administración para limitar territorialmente la convocatoria teniendo en cuenta el domicilio de ejecución del contrato.</w:t>
      </w:r>
    </w:p>
    <w:p w14:paraId="2BB66E5E" w14:textId="77777777" w:rsidR="00122D5E" w:rsidRPr="005B1F06" w:rsidRDefault="00122D5E" w:rsidP="00122D5E">
      <w:pPr>
        <w:spacing w:after="120" w:line="276" w:lineRule="auto"/>
        <w:ind w:firstLine="709"/>
        <w:jc w:val="both"/>
        <w:rPr>
          <w:rFonts w:ascii="Verdana" w:eastAsia="Calibri" w:hAnsi="Verdana" w:cs="Arial"/>
          <w:color w:val="000000" w:themeColor="text1"/>
        </w:rPr>
      </w:pPr>
      <w:r w:rsidRPr="005B1F06">
        <w:rPr>
          <w:rFonts w:ascii="Verdana" w:hAnsi="Verdana" w:cs="Arial"/>
          <w:color w:val="000000" w:themeColor="text1"/>
        </w:rPr>
        <w:t>En tal sentido, s</w:t>
      </w:r>
      <w:r w:rsidRPr="005B1F06">
        <w:rPr>
          <w:rFonts w:ascii="Verdana" w:eastAsia="Calibri" w:hAnsi="Verdana" w:cs="Arial"/>
          <w:color w:val="000000" w:themeColor="text1"/>
        </w:rPr>
        <w:t>e debe tener presente que lo que sucede de pleno derecho es la</w:t>
      </w:r>
      <w:r w:rsidRPr="005B1F06">
        <w:rPr>
          <w:rFonts w:ascii="Verdana" w:hAnsi="Verdana" w:cs="Arial"/>
          <w:color w:val="000000" w:themeColor="text1"/>
        </w:rPr>
        <w:t xml:space="preserve"> limitación a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w:t>
      </w:r>
      <w:r w:rsidRPr="005B1F06">
        <w:rPr>
          <w:rFonts w:ascii="Verdana" w:eastAsia="Calibri" w:hAnsi="Verdana" w:cs="Arial"/>
          <w:color w:val="000000" w:themeColor="text1"/>
        </w:rPr>
        <w:t xml:space="preserve"> a la que se refiere el artículo 2.2.1.2.4.2.2. del Decreto 1082 de 2015, pero no la “limitación territorial” referida en el artículo 2.2.1.2.4.2.3. </w:t>
      </w:r>
      <w:proofErr w:type="spellStart"/>
      <w:r w:rsidRPr="005B1F06">
        <w:rPr>
          <w:rFonts w:ascii="Verdana" w:eastAsia="Calibri" w:hAnsi="Verdana" w:cs="Arial"/>
          <w:i/>
          <w:iCs/>
          <w:color w:val="000000" w:themeColor="text1"/>
        </w:rPr>
        <w:t>ibídem</w:t>
      </w:r>
      <w:proofErr w:type="spellEnd"/>
      <w:r w:rsidRPr="005B1F06">
        <w:rPr>
          <w:rFonts w:ascii="Verdana" w:eastAsia="Calibri" w:hAnsi="Verdana" w:cs="Arial"/>
          <w:color w:val="000000" w:themeColor="text1"/>
        </w:rPr>
        <w:t>, pues esta, como ya se dijo, es facultativa para la entidad. Las únicas exigencias son: i) que la convocatoria esté l</w:t>
      </w:r>
      <w:r w:rsidRPr="005B1F06">
        <w:rPr>
          <w:rFonts w:ascii="Verdana" w:hAnsi="Verdana" w:cs="Arial"/>
          <w:color w:val="000000" w:themeColor="text1"/>
        </w:rPr>
        <w:t xml:space="preserve">imitada a las </w:t>
      </w:r>
      <w:proofErr w:type="spellStart"/>
      <w:r w:rsidRPr="005B1F06">
        <w:rPr>
          <w:rFonts w:ascii="Verdana" w:hAnsi="Verdana" w:cs="Arial"/>
          <w:color w:val="000000" w:themeColor="text1"/>
        </w:rPr>
        <w:t>Mipymes</w:t>
      </w:r>
      <w:proofErr w:type="spellEnd"/>
      <w:r w:rsidRPr="005B1F06">
        <w:rPr>
          <w:rFonts w:ascii="Verdana" w:hAnsi="Verdana" w:cs="Arial"/>
          <w:color w:val="000000" w:themeColor="text1"/>
        </w:rPr>
        <w:t xml:space="preserve"> colombianas</w:t>
      </w:r>
      <w:r w:rsidRPr="005B1F06">
        <w:rPr>
          <w:rFonts w:ascii="Verdana" w:eastAsia="Calibri" w:hAnsi="Verdana" w:cs="Arial"/>
          <w:color w:val="000000" w:themeColor="text1"/>
        </w:rPr>
        <w:t xml:space="preserve"> “domiciliadas en los departamentos o municipios en donde se va a ejecutar el contrato” y </w:t>
      </w:r>
      <w:proofErr w:type="spellStart"/>
      <w:r w:rsidRPr="005B1F06">
        <w:rPr>
          <w:rFonts w:ascii="Verdana" w:eastAsia="Calibri" w:hAnsi="Verdana" w:cs="Arial"/>
          <w:color w:val="000000" w:themeColor="text1"/>
        </w:rPr>
        <w:t>ii</w:t>
      </w:r>
      <w:proofErr w:type="spellEnd"/>
      <w:r w:rsidRPr="005B1F06">
        <w:rPr>
          <w:rFonts w:ascii="Verdana" w:eastAsia="Calibri" w:hAnsi="Verdana" w:cs="Arial"/>
          <w:color w:val="000000" w:themeColor="text1"/>
        </w:rPr>
        <w:t xml:space="preserve">) que la entidad justifique su decisión en los “estudios del sector”. No es procedente, entonces, que sean las </w:t>
      </w:r>
      <w:proofErr w:type="spellStart"/>
      <w:r w:rsidRPr="005B1F06">
        <w:rPr>
          <w:rFonts w:ascii="Verdana" w:eastAsia="Calibri" w:hAnsi="Verdana" w:cs="Arial"/>
          <w:color w:val="000000" w:themeColor="text1"/>
        </w:rPr>
        <w:t>Mipymes</w:t>
      </w:r>
      <w:proofErr w:type="spellEnd"/>
      <w:r w:rsidRPr="005B1F06">
        <w:rPr>
          <w:rFonts w:ascii="Verdana" w:eastAsia="Calibri" w:hAnsi="Verdana" w:cs="Arial"/>
          <w:color w:val="000000" w:themeColor="text1"/>
        </w:rPr>
        <w:t xml:space="preserve"> las que soliciten la “limitación territorial” a la que se refiere el artículo 2.2.1.2.4.2.3. del Decreto 1082 de 2015. </w:t>
      </w:r>
    </w:p>
    <w:p w14:paraId="10B4DE0C" w14:textId="77777777" w:rsidR="00122D5E" w:rsidRPr="00A4749D" w:rsidRDefault="00122D5E" w:rsidP="00122D5E">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De acuerdo con lo anterior</w:t>
      </w:r>
      <w:r w:rsidRPr="005B1F06">
        <w:rPr>
          <w:rFonts w:ascii="Verdana" w:eastAsia="Calibri" w:hAnsi="Verdana" w:cs="Arial"/>
          <w:color w:val="000000" w:themeColor="text1"/>
        </w:rPr>
        <w:t>, se debe reite</w:t>
      </w:r>
      <w:r w:rsidRPr="005B1F06">
        <w:rPr>
          <w:rFonts w:ascii="Verdana" w:hAnsi="Verdana" w:cs="Arial"/>
          <w:color w:val="000000" w:themeColor="text1"/>
        </w:rPr>
        <w:t xml:space="preserve">rar que el origen de las </w:t>
      </w:r>
      <w:proofErr w:type="spellStart"/>
      <w:r w:rsidRPr="005B1F06">
        <w:rPr>
          <w:rFonts w:ascii="Verdana" w:hAnsi="Verdana" w:cs="Arial"/>
          <w:color w:val="000000" w:themeColor="text1"/>
        </w:rPr>
        <w:t>Mipymes</w:t>
      </w:r>
      <w:proofErr w:type="spellEnd"/>
      <w:r w:rsidRPr="005B1F06">
        <w:rPr>
          <w:rFonts w:ascii="Verdana" w:eastAsia="Calibri" w:hAnsi="Verdana" w:cs="Arial"/>
          <w:color w:val="000000" w:themeColor="text1"/>
        </w:rPr>
        <w:t xml:space="preserve"> que solicitan la “limitación territorial” no es relevante frente a dicha decisión, por dos razo</w:t>
      </w:r>
      <w:r w:rsidRPr="005B1F06">
        <w:rPr>
          <w:rFonts w:ascii="Verdana" w:hAnsi="Verdana" w:cs="Arial"/>
          <w:color w:val="000000" w:themeColor="text1"/>
        </w:rPr>
        <w:t>nes: primero, porque las M</w:t>
      </w:r>
      <w:r>
        <w:rPr>
          <w:rFonts w:ascii="Verdana" w:hAnsi="Verdana" w:cs="Arial"/>
          <w:color w:val="000000" w:themeColor="text1"/>
        </w:rPr>
        <w:t>i</w:t>
      </w:r>
      <w:r w:rsidRPr="005B1F06">
        <w:rPr>
          <w:rFonts w:ascii="Verdana" w:hAnsi="Verdana" w:cs="Arial"/>
          <w:color w:val="000000" w:themeColor="text1"/>
        </w:rPr>
        <w:t>Pymes</w:t>
      </w:r>
      <w:r w:rsidRPr="005B1F06">
        <w:rPr>
          <w:rFonts w:ascii="Verdana" w:eastAsia="Calibri" w:hAnsi="Verdana" w:cs="Arial"/>
          <w:color w:val="000000" w:themeColor="text1"/>
        </w:rPr>
        <w:t xml:space="preserve"> no están habilitadas para pedir la “limitación territorial”, lo están para pedir la “convocatoria limitada a MiPymes”, y, segundo, porque el único criterio a tener en cuenta, una vez se ha decidido justificadamente</w:t>
      </w:r>
      <w:r w:rsidRPr="001D4AC1">
        <w:rPr>
          <w:rFonts w:ascii="Century Gothic" w:eastAsia="Calibri" w:hAnsi="Century Gothic" w:cs="Arial"/>
          <w:color w:val="000000" w:themeColor="text1"/>
        </w:rPr>
        <w:t xml:space="preserve"> </w:t>
      </w:r>
      <w:r w:rsidRPr="00A4749D">
        <w:rPr>
          <w:rFonts w:ascii="Verdana" w:eastAsia="Calibri" w:hAnsi="Verdana" w:cs="Arial"/>
          <w:color w:val="000000" w:themeColor="text1"/>
        </w:rPr>
        <w:t>limitar territorialmente la convocatori</w:t>
      </w:r>
      <w:r w:rsidRPr="00A4749D">
        <w:rPr>
          <w:rFonts w:ascii="Verdana" w:hAnsi="Verdana" w:cs="Arial"/>
          <w:color w:val="000000" w:themeColor="text1"/>
        </w:rPr>
        <w:t xml:space="preserve">a previamente limitada a </w:t>
      </w:r>
      <w:proofErr w:type="spellStart"/>
      <w:r w:rsidRPr="00A4749D">
        <w:rPr>
          <w:rFonts w:ascii="Verdana" w:hAnsi="Verdana" w:cs="Arial"/>
          <w:color w:val="000000" w:themeColor="text1"/>
        </w:rPr>
        <w:t>Mipymes</w:t>
      </w:r>
      <w:proofErr w:type="spellEnd"/>
      <w:r w:rsidRPr="00A4749D">
        <w:rPr>
          <w:rFonts w:ascii="Verdana" w:eastAsia="Calibri" w:hAnsi="Verdana" w:cs="Arial"/>
          <w:color w:val="000000" w:themeColor="text1"/>
        </w:rPr>
        <w:t>, es el lugar donde se va a ejecutar el contrato.</w:t>
      </w:r>
    </w:p>
    <w:p w14:paraId="05B73A4B" w14:textId="77777777" w:rsidR="00122D5E" w:rsidRPr="00A4749D" w:rsidRDefault="00122D5E" w:rsidP="00122D5E">
      <w:pPr>
        <w:spacing w:after="0" w:line="276" w:lineRule="auto"/>
        <w:ind w:firstLine="709"/>
        <w:jc w:val="both"/>
        <w:rPr>
          <w:rFonts w:ascii="Verdana" w:eastAsia="Arial" w:hAnsi="Verdana" w:cs="Arial"/>
          <w:color w:val="000000"/>
          <w:lang w:val="es-ES"/>
        </w:rPr>
      </w:pPr>
      <w:r w:rsidRPr="00A4749D">
        <w:rPr>
          <w:rFonts w:ascii="Verdana" w:eastAsia="Arial" w:hAnsi="Verdana" w:cs="Arial"/>
          <w:color w:val="000000" w:themeColor="text1"/>
          <w:lang w:val="es-ES"/>
        </w:rPr>
        <w:t xml:space="preserve">Conviene, igualmente, precisar que el domicilio de la </w:t>
      </w:r>
      <w:proofErr w:type="spellStart"/>
      <w:r w:rsidRPr="00A4749D">
        <w:rPr>
          <w:rFonts w:ascii="Verdana" w:eastAsia="Arial" w:hAnsi="Verdana" w:cs="Arial"/>
          <w:color w:val="000000" w:themeColor="text1"/>
          <w:lang w:val="es-ES"/>
        </w:rPr>
        <w:t>Mipymes</w:t>
      </w:r>
      <w:proofErr w:type="spellEnd"/>
      <w:r w:rsidRPr="00A4749D">
        <w:rPr>
          <w:rFonts w:ascii="Verdana" w:eastAsia="Arial" w:hAnsi="Verdana" w:cs="Arial"/>
          <w:color w:val="000000" w:themeColor="text1"/>
          <w:lang w:val="es-ES"/>
        </w:rPr>
        <w:t xml:space="preserve"> que quiera participar en una convocatoria limitada territorialmente se acredita con los documentos definidos en el artículo 2.2.1.2.4.2.4. del Decreto 1082 de 2015, modificado por el Decreto 1860 de 2021, en el cual se establecen los requisitos para participar en convocatorias que hayan sido limitadas a MiPymes. De igual manera, en el parágrafo 2 de dicho artículo se definen los requisitos que deben acompañar la solicitud de limitación a </w:t>
      </w:r>
      <w:proofErr w:type="spellStart"/>
      <w:r w:rsidRPr="00A4749D">
        <w:rPr>
          <w:rFonts w:ascii="Verdana" w:eastAsia="Arial" w:hAnsi="Verdana" w:cs="Arial"/>
          <w:color w:val="000000" w:themeColor="text1"/>
          <w:lang w:val="es-ES"/>
        </w:rPr>
        <w:t>Mipymes</w:t>
      </w:r>
      <w:proofErr w:type="spellEnd"/>
      <w:r w:rsidRPr="00A4749D">
        <w:rPr>
          <w:rFonts w:ascii="Verdana" w:eastAsia="Arial" w:hAnsi="Verdana" w:cs="Arial"/>
          <w:color w:val="000000" w:themeColor="text1"/>
          <w:lang w:val="es-ES"/>
        </w:rPr>
        <w:t>, al siguiente tenor:</w:t>
      </w:r>
    </w:p>
    <w:p w14:paraId="6144111B" w14:textId="77777777" w:rsidR="00122D5E" w:rsidRDefault="00122D5E" w:rsidP="00122D5E">
      <w:pPr>
        <w:spacing w:after="0"/>
        <w:ind w:left="709" w:right="709"/>
        <w:jc w:val="both"/>
        <w:rPr>
          <w:rFonts w:ascii="Verdana" w:hAnsi="Verdana" w:cs="Arial"/>
          <w:sz w:val="20"/>
          <w:szCs w:val="20"/>
          <w:shd w:val="clear" w:color="auto" w:fill="FFFFFF"/>
        </w:rPr>
      </w:pPr>
    </w:p>
    <w:p w14:paraId="0B512C0D" w14:textId="77777777" w:rsidR="00122D5E" w:rsidRDefault="00122D5E" w:rsidP="00122D5E">
      <w:pPr>
        <w:spacing w:after="0" w:line="240" w:lineRule="auto"/>
        <w:ind w:left="709" w:right="709"/>
        <w:jc w:val="both"/>
        <w:rPr>
          <w:rFonts w:ascii="Verdana" w:hAnsi="Verdana" w:cs="Arial"/>
          <w:sz w:val="20"/>
          <w:szCs w:val="20"/>
          <w:shd w:val="clear" w:color="auto" w:fill="FFFFFF"/>
        </w:rPr>
      </w:pPr>
      <w:r>
        <w:rPr>
          <w:rFonts w:ascii="Verdana" w:hAnsi="Verdana" w:cs="Arial"/>
          <w:sz w:val="20"/>
          <w:szCs w:val="20"/>
          <w:shd w:val="clear" w:color="auto" w:fill="FFFFFF"/>
        </w:rPr>
        <w:t>“</w:t>
      </w:r>
      <w:r w:rsidRPr="00A4749D">
        <w:rPr>
          <w:rFonts w:ascii="Verdana" w:hAnsi="Verdana" w:cs="Arial"/>
          <w:sz w:val="20"/>
          <w:szCs w:val="20"/>
          <w:shd w:val="clear" w:color="auto" w:fill="FFFFFF"/>
        </w:rPr>
        <w:t xml:space="preserve">Para efectos de la limitación a MiPymes,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w:t>
      </w:r>
      <w:r w:rsidRPr="00A4749D">
        <w:rPr>
          <w:rFonts w:ascii="Verdana" w:hAnsi="Verdana" w:cs="Arial"/>
          <w:i/>
          <w:sz w:val="20"/>
          <w:szCs w:val="20"/>
          <w:shd w:val="clear" w:color="auto" w:fill="FFFFFF"/>
        </w:rPr>
        <w:t>para solicitar la convocatoria limitada</w:t>
      </w:r>
      <w:r>
        <w:rPr>
          <w:rFonts w:ascii="Verdana" w:hAnsi="Verdana" w:cs="Arial"/>
          <w:i/>
          <w:sz w:val="20"/>
          <w:szCs w:val="20"/>
          <w:shd w:val="clear" w:color="auto" w:fill="FFFFFF"/>
        </w:rPr>
        <w:t>”</w:t>
      </w:r>
      <w:r w:rsidRPr="00A4749D">
        <w:rPr>
          <w:rFonts w:ascii="Verdana" w:hAnsi="Verdana" w:cs="Arial"/>
          <w:sz w:val="20"/>
          <w:szCs w:val="20"/>
          <w:shd w:val="clear" w:color="auto" w:fill="FFFFFF"/>
        </w:rPr>
        <w:t>. (Cursivas fuera del texto).</w:t>
      </w:r>
    </w:p>
    <w:p w14:paraId="4413B023" w14:textId="77777777" w:rsidR="00122D5E" w:rsidRDefault="00122D5E" w:rsidP="00122D5E">
      <w:pPr>
        <w:spacing w:after="0" w:line="276" w:lineRule="auto"/>
        <w:ind w:firstLine="709"/>
        <w:jc w:val="both"/>
        <w:rPr>
          <w:rFonts w:ascii="Verdana" w:eastAsia="Calibri" w:hAnsi="Verdana" w:cs="Arial"/>
          <w:lang w:val="es-ES"/>
        </w:rPr>
      </w:pPr>
    </w:p>
    <w:p w14:paraId="4258F825" w14:textId="77777777" w:rsidR="00122D5E" w:rsidRPr="005A75AB" w:rsidRDefault="00122D5E" w:rsidP="00122D5E">
      <w:pPr>
        <w:spacing w:after="120" w:line="276" w:lineRule="auto"/>
        <w:ind w:firstLine="709"/>
        <w:jc w:val="both"/>
        <w:rPr>
          <w:rFonts w:ascii="Verdana" w:eastAsia="Calibri" w:hAnsi="Verdana" w:cs="Arial"/>
          <w:lang w:val="es-ES"/>
        </w:rPr>
      </w:pPr>
      <w:r w:rsidRPr="005A75AB">
        <w:rPr>
          <w:rFonts w:ascii="Verdana" w:eastAsia="Calibri" w:hAnsi="Verdana" w:cs="Arial"/>
          <w:lang w:val="es-ES"/>
        </w:rPr>
        <w:t xml:space="preserve">Con todo, es preciso advertir que, el ejercicio de la facultad discrecional en orden de aplicar la limitación territorial en favor de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con domicilio en un municipio </w:t>
      </w:r>
      <w:r>
        <w:rPr>
          <w:rFonts w:ascii="Verdana" w:eastAsia="Calibri" w:hAnsi="Verdana" w:cs="Arial"/>
          <w:lang w:val="es-ES"/>
        </w:rPr>
        <w:t xml:space="preserve">o </w:t>
      </w:r>
      <w:r w:rsidRPr="005A75AB">
        <w:rPr>
          <w:rFonts w:ascii="Verdana" w:eastAsia="Calibri" w:hAnsi="Verdana" w:cs="Arial"/>
          <w:lang w:val="es-ES"/>
        </w:rPr>
        <w:t xml:space="preserve">en un departamento específico debe hacerse dentro del marco </w:t>
      </w:r>
      <w:r w:rsidRPr="005A75AB">
        <w:rPr>
          <w:rFonts w:ascii="Verdana" w:eastAsia="Calibri" w:hAnsi="Verdana" w:cs="Arial"/>
          <w:lang w:val="es-ES"/>
        </w:rPr>
        <w:lastRenderedPageBreak/>
        <w:t xml:space="preserve">de lo regulado por el artículo 2.2.1.2.4.2.3 </w:t>
      </w:r>
      <w:proofErr w:type="spellStart"/>
      <w:r w:rsidRPr="005A75AB">
        <w:rPr>
          <w:rFonts w:ascii="Verdana" w:eastAsia="Calibri" w:hAnsi="Verdana" w:cs="Arial"/>
          <w:i/>
          <w:iCs/>
          <w:lang w:val="es-ES"/>
        </w:rPr>
        <w:t>ejusdem</w:t>
      </w:r>
      <w:proofErr w:type="spellEnd"/>
      <w:r w:rsidRPr="005A75AB">
        <w:rPr>
          <w:rFonts w:ascii="Verdana" w:eastAsia="Calibri" w:hAnsi="Verdana" w:cs="Arial"/>
          <w:lang w:val="es-ES"/>
        </w:rPr>
        <w:t xml:space="preserve">, el cual establece como presupuesto para que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tengan su domicilio en el lugar en donde se va a ejecutar el contrato. Esto significa que, en el marco de estas convocatorias, la exigibilidad de que el domicilio de las </w:t>
      </w:r>
      <w:proofErr w:type="spellStart"/>
      <w:r w:rsidRPr="005A75AB">
        <w:rPr>
          <w:rFonts w:ascii="Verdana" w:eastAsia="Calibri" w:hAnsi="Verdana" w:cs="Arial"/>
          <w:lang w:val="es-ES"/>
        </w:rPr>
        <w:t>Mipymes</w:t>
      </w:r>
      <w:proofErr w:type="spellEnd"/>
      <w:r w:rsidRPr="005A75AB">
        <w:rPr>
          <w:rFonts w:ascii="Verdana" w:eastAsia="Calibri" w:hAnsi="Verdana" w:cs="Arial"/>
          <w:lang w:val="es-ES"/>
        </w:rPr>
        <w:t xml:space="preserve"> se ubique en un único municipio en particular o en alguno de los municipios que conforman un departamento en concreto, está ligada al ámbito territorial en el que se va a desarrollar el objeto contractual. </w:t>
      </w:r>
    </w:p>
    <w:p w14:paraId="6A347D94" w14:textId="77777777" w:rsidR="00122D5E" w:rsidRPr="005A75AB" w:rsidRDefault="00122D5E" w:rsidP="00122D5E">
      <w:pPr>
        <w:spacing w:line="276" w:lineRule="auto"/>
        <w:ind w:firstLine="708"/>
        <w:jc w:val="both"/>
        <w:rPr>
          <w:rFonts w:ascii="Verdana" w:eastAsia="Calibri" w:hAnsi="Verdana" w:cs="Arial"/>
          <w:lang w:val="es-ES"/>
        </w:rPr>
      </w:pPr>
      <w:r w:rsidRPr="005A75AB">
        <w:rPr>
          <w:rFonts w:ascii="Verdana" w:eastAsia="Calibri" w:hAnsi="Verdana" w:cs="Arial"/>
          <w:lang w:val="es-ES"/>
        </w:rPr>
        <w:t xml:space="preserve">De este modo, en el caso de un contrato que se va a ejecutar en su totalidad dentro del territorio de un municipio, la limitación territorial debe aplicarse en favor de las </w:t>
      </w:r>
      <w:proofErr w:type="spellStart"/>
      <w:r w:rsidRPr="005A75AB">
        <w:rPr>
          <w:rFonts w:ascii="Verdana" w:eastAsia="Calibri" w:hAnsi="Verdana" w:cs="Arial"/>
          <w:lang w:val="es-ES"/>
        </w:rPr>
        <w:t>Mipyme</w:t>
      </w:r>
      <w:proofErr w:type="spellEnd"/>
      <w:r w:rsidRPr="005A75AB">
        <w:rPr>
          <w:rFonts w:ascii="Verdana" w:eastAsia="Calibri" w:hAnsi="Verdana" w:cs="Arial"/>
          <w:lang w:val="es-ES"/>
        </w:rPr>
        <w:t xml:space="preserve"> que tengan su domicilio principal en dicha entidad territorial. En atención al mismo criterio, en el caso de un contrato cuya ejecución trasciende el ámbito municipal, extendiéndose a los diferentes municipios del departamento, resultará valido que la entidad que realiza la convocatoria la limite a las empresas que tengan su domicilio principal en alguno de los diferentes municipios que conforman el respectivo departamento, bajo el presupuesto de que estos se encuentran ubicados dentro del ámbito territorial en donde deberá cumplirse con el objeto contractual.   </w:t>
      </w:r>
    </w:p>
    <w:p w14:paraId="7AC2844F" w14:textId="77777777" w:rsidR="00122D5E" w:rsidRPr="001261BC" w:rsidRDefault="00122D5E" w:rsidP="00122D5E">
      <w:pPr>
        <w:spacing w:before="120" w:line="276" w:lineRule="auto"/>
        <w:ind w:firstLine="709"/>
        <w:jc w:val="both"/>
        <w:rPr>
          <w:rFonts w:ascii="Verdana" w:eastAsia="Calibri" w:hAnsi="Verdana" w:cs="Arial"/>
          <w:lang w:eastAsia="es-MX"/>
        </w:rPr>
      </w:pPr>
      <w:r>
        <w:rPr>
          <w:rFonts w:ascii="Verdana" w:eastAsia="Calibri" w:hAnsi="Verdana" w:cs="Arial"/>
          <w:lang w:val="es-MX"/>
        </w:rPr>
        <w:t xml:space="preserve">Así las cosas, esta </w:t>
      </w:r>
      <w:r w:rsidRPr="001261BC">
        <w:rPr>
          <w:rFonts w:ascii="Verdana" w:eastAsia="Calibri" w:hAnsi="Verdana" w:cs="Arial"/>
        </w:rPr>
        <w:t xml:space="preserve">Agencia considera que lo recomendable es que las entidades establezcan </w:t>
      </w:r>
      <w:r w:rsidRPr="001261BC">
        <w:rPr>
          <w:rFonts w:ascii="Verdana" w:eastAsia="Calibri" w:hAnsi="Verdana" w:cs="Arial"/>
          <w:i/>
          <w:iCs/>
        </w:rPr>
        <w:t>ex ante</w:t>
      </w:r>
      <w:r w:rsidRPr="001261BC">
        <w:rPr>
          <w:rFonts w:ascii="Verdana" w:eastAsia="Calibri" w:hAnsi="Verdana" w:cs="Arial"/>
        </w:rPr>
        <w:t xml:space="preserve"> las condiciones en las que, eventualmente, harían la </w:t>
      </w:r>
      <w:r>
        <w:rPr>
          <w:rFonts w:ascii="Verdana" w:eastAsia="Calibri" w:hAnsi="Verdana" w:cs="Arial"/>
        </w:rPr>
        <w:t>“</w:t>
      </w:r>
      <w:r w:rsidRPr="001261BC">
        <w:rPr>
          <w:rFonts w:ascii="Verdana" w:eastAsia="Calibri" w:hAnsi="Verdana" w:cs="Arial"/>
        </w:rPr>
        <w:t>limitación territorial</w:t>
      </w:r>
      <w:r>
        <w:rPr>
          <w:rFonts w:ascii="Verdana" w:eastAsia="Calibri" w:hAnsi="Verdana" w:cs="Arial"/>
        </w:rPr>
        <w:t>”</w:t>
      </w:r>
      <w:r w:rsidRPr="001261BC">
        <w:rPr>
          <w:rFonts w:ascii="Verdana" w:eastAsia="Calibri" w:hAnsi="Verdana" w:cs="Arial"/>
        </w:rPr>
        <w:t xml:space="preserve">. Para tales fines, en </w:t>
      </w:r>
      <w:r>
        <w:rPr>
          <w:rFonts w:ascii="Verdana" w:eastAsia="Calibri" w:hAnsi="Verdana" w:cs="Arial"/>
        </w:rPr>
        <w:t xml:space="preserve">los documentos del proceso </w:t>
      </w:r>
      <w:r w:rsidRPr="001261BC">
        <w:rPr>
          <w:rFonts w:ascii="Verdana" w:eastAsia="Calibri" w:hAnsi="Verdana" w:cs="Arial"/>
        </w:rPr>
        <w:t xml:space="preserve">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w:t>
      </w:r>
      <w:proofErr w:type="spellStart"/>
      <w:r w:rsidRPr="00E56231">
        <w:rPr>
          <w:rFonts w:ascii="Verdana" w:eastAsia="Calibri" w:hAnsi="Verdana" w:cs="Arial"/>
        </w:rPr>
        <w:t>Mipymes</w:t>
      </w:r>
      <w:proofErr w:type="spellEnd"/>
      <w:r w:rsidRPr="001261BC">
        <w:rPr>
          <w:rFonts w:ascii="Verdana" w:eastAsia="Calibri" w:hAnsi="Verdana" w:cs="Arial"/>
        </w:rPr>
        <w:t>, por ejemplo, en relación con cuál o cuáles municipios o departamentos harían la limitación territorial de que trata el artículo 2.2.1.2.4.2.3. del Decreto 1082 de 2015.</w:t>
      </w:r>
    </w:p>
    <w:p w14:paraId="0DA6FAE5" w14:textId="77777777" w:rsidR="0080289E" w:rsidRDefault="00122D5E" w:rsidP="00122D5E">
      <w:pPr>
        <w:spacing w:after="0" w:line="276" w:lineRule="auto"/>
        <w:ind w:firstLine="709"/>
        <w:jc w:val="both"/>
        <w:rPr>
          <w:rFonts w:ascii="Verdana" w:eastAsia="Calibri" w:hAnsi="Verdana" w:cs="Arial"/>
          <w:lang w:val="es-ES"/>
        </w:rPr>
      </w:pPr>
      <w:r>
        <w:rPr>
          <w:rFonts w:ascii="Verdana" w:eastAsia="Calibri" w:hAnsi="Verdana" w:cs="Arial"/>
          <w:lang w:val="es-ES"/>
        </w:rPr>
        <w:t>S</w:t>
      </w:r>
      <w:r w:rsidRPr="00A4749D">
        <w:rPr>
          <w:rFonts w:ascii="Verdana" w:eastAsia="Calibri" w:hAnsi="Verdana" w:cs="Arial"/>
          <w:lang w:val="es-ES"/>
        </w:rPr>
        <w:t xml:space="preserve">egún se explicó con anterioridad, actualmente el procedimiento de mínima cuantía se encuentra reglamentado por el artículo 2.2.1.2.1.5.2. del Decreto 1082 de 2015, modificado por el artículo 2 del Decreto 1860 de 2021. El numeral 3 del artículo en mención establece que “La invitación se publicará por un término no inferior a un (1) día hábil para que los interesados se informen de su contenido y formulen observaciones o comentarios </w:t>
      </w:r>
      <w:r>
        <w:rPr>
          <w:rFonts w:ascii="Verdana" w:eastAsia="Calibri" w:hAnsi="Verdana" w:cs="Arial"/>
          <w:lang w:val="es-ES"/>
        </w:rPr>
        <w:t>(…)</w:t>
      </w:r>
      <w:r w:rsidRPr="00A4749D">
        <w:rPr>
          <w:rFonts w:ascii="Verdana" w:eastAsia="Calibri" w:hAnsi="Verdana" w:cs="Arial"/>
          <w:lang w:val="es-ES"/>
        </w:rPr>
        <w:t xml:space="preserve">” y que “De conformidad con el parágrafo del presente artículo, dentro del mismo término para formular observaciones se podrán presentar las solicitudes para limitar la convocatoria a MiPymes colombianas”. </w:t>
      </w:r>
    </w:p>
    <w:p w14:paraId="64C94928" w14:textId="77777777" w:rsidR="00A73216" w:rsidRDefault="00A73216" w:rsidP="00122D5E">
      <w:pPr>
        <w:spacing w:after="0" w:line="276" w:lineRule="auto"/>
        <w:ind w:firstLine="709"/>
        <w:jc w:val="both"/>
        <w:rPr>
          <w:rFonts w:ascii="Verdana" w:eastAsia="Calibri" w:hAnsi="Verdana" w:cs="Arial"/>
          <w:lang w:val="es-ES"/>
        </w:rPr>
      </w:pPr>
    </w:p>
    <w:p w14:paraId="135AB9F9" w14:textId="72CF16B4" w:rsidR="00122D5E" w:rsidRPr="00A4749D" w:rsidRDefault="00122D5E" w:rsidP="00122D5E">
      <w:pPr>
        <w:spacing w:after="0" w:line="276" w:lineRule="auto"/>
        <w:ind w:firstLine="709"/>
        <w:jc w:val="both"/>
        <w:rPr>
          <w:rFonts w:ascii="Verdana" w:eastAsia="Calibri" w:hAnsi="Verdana" w:cs="Arial"/>
          <w:lang w:val="es-ES"/>
        </w:rPr>
      </w:pPr>
      <w:r w:rsidRPr="00A4749D">
        <w:rPr>
          <w:rFonts w:ascii="Verdana" w:eastAsia="Calibri" w:hAnsi="Verdana" w:cs="Arial"/>
          <w:lang w:val="es-ES"/>
        </w:rPr>
        <w:lastRenderedPageBreak/>
        <w:t xml:space="preserve">Adicionalmente, el numeral 4 dispone que en el cronograma se debe señalar “El momento en que publicará un aviso en el SECOP precisando si el proceso efectivamente se limitó a MiPymes o si podrá participar cualquier otro interesado”. Por otra parte, también es importante tener en cuenta el parágrafo del artículo 2.2.1.2.1.5.2., a cuyo tenor: </w:t>
      </w:r>
    </w:p>
    <w:p w14:paraId="1A9D2EE5" w14:textId="77777777" w:rsidR="00122D5E" w:rsidRPr="0087199B" w:rsidRDefault="00122D5E" w:rsidP="00061FAB">
      <w:pPr>
        <w:spacing w:after="0" w:line="240" w:lineRule="auto"/>
        <w:ind w:firstLine="709"/>
        <w:jc w:val="both"/>
        <w:rPr>
          <w:rFonts w:ascii="Verdana" w:eastAsia="Calibri" w:hAnsi="Verdana" w:cs="Arial"/>
          <w:lang w:val="es-ES"/>
        </w:rPr>
      </w:pPr>
    </w:p>
    <w:p w14:paraId="1B1CCBD4" w14:textId="77777777" w:rsidR="00122D5E" w:rsidRDefault="00122D5E" w:rsidP="00122D5E">
      <w:pPr>
        <w:spacing w:after="0" w:line="240" w:lineRule="auto"/>
        <w:ind w:left="709" w:right="709"/>
        <w:jc w:val="both"/>
        <w:rPr>
          <w:rFonts w:ascii="Verdana" w:eastAsia="Calibri" w:hAnsi="Verdana" w:cs="Arial"/>
          <w:sz w:val="20"/>
          <w:szCs w:val="20"/>
        </w:rPr>
      </w:pPr>
      <w:r w:rsidRPr="00A4749D">
        <w:rPr>
          <w:rFonts w:ascii="Verdana" w:eastAsia="Calibri" w:hAnsi="Verdana" w:cs="Arial"/>
          <w:sz w:val="20"/>
          <w:szCs w:val="20"/>
        </w:rPr>
        <w:t>De conformidad con el parágrafo 1 del artículo 30 y el artículo 34 de la Ley 2069 de 2020, en estos procedimientos de selección para MiPymes se aplicará lo prescrito en los artículos 2.2.1.2.4.2.2 a 2.2.1.2.4.2.4 de este Decreto. No obstante, de conformidad con el numeral 3 del presente artículo, las solicitudes para limitar el proceso a MiPymes se recibirán durante el término previsto en dicho numeral. Además, en el aviso de que trata el numeral 4 de este artículo se indicará si en el proceso aplican las limitaciones territoriales de que trata el artículo 2.2.1.2.4.2.3 o si podrá participar cualquier MiPymes nacional.</w:t>
      </w:r>
    </w:p>
    <w:p w14:paraId="3AC4462E" w14:textId="77777777" w:rsidR="00122D5E" w:rsidRPr="00A4749D" w:rsidRDefault="00122D5E" w:rsidP="00122D5E">
      <w:pPr>
        <w:spacing w:after="0" w:line="240" w:lineRule="auto"/>
        <w:ind w:left="709" w:right="709"/>
        <w:jc w:val="both"/>
        <w:rPr>
          <w:rFonts w:ascii="Verdana" w:eastAsia="Calibri" w:hAnsi="Verdana" w:cs="Arial"/>
          <w:sz w:val="20"/>
          <w:szCs w:val="20"/>
        </w:rPr>
      </w:pPr>
    </w:p>
    <w:p w14:paraId="16C5151A" w14:textId="77777777" w:rsidR="00122D5E" w:rsidRPr="003A2A18" w:rsidRDefault="00122D5E" w:rsidP="00122D5E">
      <w:pPr>
        <w:spacing w:after="120" w:line="276" w:lineRule="auto"/>
        <w:ind w:firstLine="708"/>
        <w:jc w:val="both"/>
        <w:rPr>
          <w:rFonts w:ascii="Verdana" w:eastAsia="Calibri" w:hAnsi="Verdana" w:cs="Arial"/>
          <w:lang w:val="es-ES"/>
        </w:rPr>
      </w:pPr>
      <w:r w:rsidRPr="00A4749D">
        <w:rPr>
          <w:rFonts w:ascii="Verdana" w:eastAsia="Calibri" w:hAnsi="Verdana" w:cs="Arial"/>
          <w:lang w:val="es-ES"/>
        </w:rPr>
        <w:t>Con base en lo anterior, en el procedimiento de mínima cuantía, la limitac</w:t>
      </w:r>
      <w:r w:rsidRPr="00A4749D">
        <w:rPr>
          <w:rFonts w:ascii="Verdana" w:hAnsi="Verdana" w:cs="Arial"/>
          <w:lang w:val="es-ES"/>
        </w:rPr>
        <w:t xml:space="preserve">ión de la convocatoria a </w:t>
      </w:r>
      <w:proofErr w:type="spellStart"/>
      <w:r w:rsidRPr="00A4749D">
        <w:rPr>
          <w:rFonts w:ascii="Verdana" w:hAnsi="Verdana" w:cs="Arial"/>
          <w:lang w:val="es-ES"/>
        </w:rPr>
        <w:t>Mipymes</w:t>
      </w:r>
      <w:proofErr w:type="spellEnd"/>
      <w:r w:rsidRPr="00A4749D">
        <w:rPr>
          <w:rFonts w:ascii="Verdana" w:eastAsia="Calibri" w:hAnsi="Verdana" w:cs="Arial"/>
          <w:lang w:val="es-ES"/>
        </w:rPr>
        <w:t xml:space="preserve"> se debe hacer mediante la publicación de un aviso en el SECOP, luego de analizadas las solicitudes presentadas dentro del término de publicación de la invitación previsto en el numeral 3 del artículo 2.2.1.2.1.5.2. del Decreto 1082 de 2015, modificado por el artículo 2 del Decreto 1860 de 2021. De igual modo, en dicho aviso, se deberá indicar si en el proceso pueden participar las MiPymes domiciliadas en el municipio o departamento, según corresponda, o cualquier MiPymes nacional. </w:t>
      </w:r>
    </w:p>
    <w:p w14:paraId="21C73760" w14:textId="77777777" w:rsidR="00122D5E" w:rsidRPr="008B2773" w:rsidRDefault="00122D5E" w:rsidP="0080289E">
      <w:pPr>
        <w:spacing w:after="0" w:line="276" w:lineRule="auto"/>
        <w:ind w:firstLine="708"/>
        <w:jc w:val="both"/>
        <w:rPr>
          <w:rFonts w:ascii="Verdana" w:hAnsi="Verdana" w:cs="Arial"/>
          <w:color w:val="000000" w:themeColor="text1"/>
        </w:rPr>
      </w:pPr>
      <w:r w:rsidRPr="008B2773">
        <w:rPr>
          <w:rFonts w:ascii="Verdana" w:hAnsi="Verdana" w:cs="Arial"/>
          <w:color w:val="000000" w:themeColor="text1"/>
        </w:rPr>
        <w:t xml:space="preserve">Precisado lo anterior y en el evento en que el proceso de selección de mínima cuantía se haya limitado a </w:t>
      </w:r>
      <w:proofErr w:type="spellStart"/>
      <w:r w:rsidRPr="008B2773">
        <w:rPr>
          <w:rFonts w:ascii="Verdana" w:hAnsi="Verdana" w:cs="Arial"/>
          <w:color w:val="000000" w:themeColor="text1"/>
        </w:rPr>
        <w:t>Mipymes</w:t>
      </w:r>
      <w:proofErr w:type="spellEnd"/>
      <w:r w:rsidRPr="008B2773">
        <w:rPr>
          <w:rFonts w:ascii="Verdana" w:hAnsi="Verdana" w:cs="Arial"/>
          <w:color w:val="000000" w:themeColor="text1"/>
        </w:rPr>
        <w:t>, la entidad estatal, deberá aceptar las ofertas MiPymes o de proponentes plurales integrados únicamente por MiPymes</w:t>
      </w:r>
      <w:r w:rsidRPr="00303D5E">
        <w:rPr>
          <w:vertAlign w:val="superscript"/>
        </w:rPr>
        <w:footnoteReference w:id="7"/>
      </w:r>
      <w:r w:rsidRPr="008B2773">
        <w:rPr>
          <w:rFonts w:ascii="Verdana" w:hAnsi="Verdana" w:cs="Arial"/>
          <w:color w:val="000000" w:themeColor="text1"/>
        </w:rPr>
        <w:t xml:space="preserve"> y continuar como lo dispone el cronograma del proceso hasta que se acepte por parte de la entidad la oferta que haya cumplido los requisitos establecidos en la invitación y ofrecido el precio más bajo, mediante documento electrónico o físico.  </w:t>
      </w:r>
    </w:p>
    <w:p w14:paraId="62158443" w14:textId="77777777" w:rsidR="0080289E" w:rsidRPr="008B2773" w:rsidRDefault="0080289E" w:rsidP="0071320D">
      <w:pPr>
        <w:spacing w:after="0" w:line="276" w:lineRule="auto"/>
        <w:ind w:firstLine="708"/>
        <w:jc w:val="both"/>
        <w:rPr>
          <w:rFonts w:ascii="Verdana" w:hAnsi="Verdana" w:cs="Arial"/>
          <w:color w:val="000000" w:themeColor="text1"/>
        </w:rPr>
      </w:pPr>
    </w:p>
    <w:p w14:paraId="72A428CD" w14:textId="77777777" w:rsidR="00122D5E" w:rsidRDefault="00122D5E" w:rsidP="0071320D">
      <w:pPr>
        <w:spacing w:after="120" w:line="276" w:lineRule="auto"/>
        <w:jc w:val="both"/>
        <w:rPr>
          <w:rFonts w:ascii="Verdana" w:hAnsi="Verdana" w:cs="Arial"/>
          <w:color w:val="000000" w:themeColor="text1"/>
        </w:rPr>
      </w:pPr>
      <w:proofErr w:type="spellStart"/>
      <w:r w:rsidRPr="008B2773">
        <w:rPr>
          <w:rFonts w:ascii="Verdana" w:hAnsi="Verdana" w:cs="Arial"/>
          <w:color w:val="000000" w:themeColor="text1"/>
        </w:rPr>
        <w:t>ii</w:t>
      </w:r>
      <w:proofErr w:type="spellEnd"/>
      <w:r w:rsidRPr="008B2773">
        <w:rPr>
          <w:rFonts w:ascii="Verdana" w:hAnsi="Verdana" w:cs="Arial"/>
          <w:color w:val="000000" w:themeColor="text1"/>
        </w:rPr>
        <w:t xml:space="preserve">) De conformidad con lo expuesto, y con fundamento en lo previsto en el numeral 9 del artículo 2.2.1.2.1.5.2. del Decreto 1082 del 2015 según el cual “la oferta y su aceptación constituyen el contrato estatal”, es claro que la </w:t>
      </w:r>
      <w:r w:rsidRPr="008B2773">
        <w:rPr>
          <w:rFonts w:ascii="Verdana" w:hAnsi="Verdana" w:cs="Arial"/>
          <w:color w:val="000000" w:themeColor="text1"/>
        </w:rPr>
        <w:lastRenderedPageBreak/>
        <w:t>comunicación de la aceptación de la oferta por parte de la entidad al proponente perfecciona los requisitos de existencia del contrato. Esta particularidad en relación con el procedimiento de mínima cuantía se deriva de lo establecido en el literal d) del numeral 5 del artículo 2 de la Ley 1150 de 2007 que de manera expresa dispone que "la comunicación de aceptación junto con la oferta constituye para todos los efectos el contrato celebrado, con base en lo cual se efectuará el respectivo registro presupuestal". Esto implica que, en este tipo de procedimientos, el contrato se entiende perfeccionado en el momento en que se produce dicha comunicación, sin necesidad de cumplir con requisitos adicionales.</w:t>
      </w:r>
    </w:p>
    <w:p w14:paraId="1EBE32E4" w14:textId="77777777" w:rsidR="00122D5E" w:rsidRDefault="00122D5E" w:rsidP="00122D5E">
      <w:pPr>
        <w:spacing w:after="120" w:line="276" w:lineRule="auto"/>
        <w:ind w:firstLine="708"/>
        <w:jc w:val="both"/>
        <w:rPr>
          <w:rFonts w:ascii="Verdana" w:hAnsi="Verdana" w:cs="Arial"/>
          <w:color w:val="000000" w:themeColor="text1"/>
        </w:rPr>
      </w:pPr>
      <w:r w:rsidRPr="008B2773">
        <w:rPr>
          <w:rFonts w:ascii="Verdana" w:hAnsi="Verdana" w:cs="Arial"/>
          <w:color w:val="000000" w:themeColor="text1"/>
        </w:rPr>
        <w:t>En este sentido, el legislador estableció que en los procesos de mínima cuantía no habría un “acto de adjudicación”, sino que en aras de la celeridad y economía que se busca con esta modalidad, la selección de la mejor oferta se realiza mediante una “comunicación de aceptación de la oferta”, y dicha comunicación, junto con la oferta presentada por el oferente seleccionado, constituyen el contrato. Así, la comunicación de aceptación de la oferta hace las veces del acto de adjudicación, en el entendido de que bajo dicha actuación la entidad selecciona a su contratista; solo que en estos casos mediante dicho acto además se perfecciona el contrato.</w:t>
      </w:r>
    </w:p>
    <w:p w14:paraId="01B31665" w14:textId="77777777" w:rsidR="00122D5E" w:rsidRDefault="00122D5E" w:rsidP="00122D5E">
      <w:pPr>
        <w:spacing w:after="120" w:line="276" w:lineRule="auto"/>
        <w:ind w:firstLine="708"/>
        <w:jc w:val="both"/>
        <w:rPr>
          <w:rFonts w:ascii="Verdana" w:hAnsi="Verdana" w:cs="Arial"/>
          <w:color w:val="000000" w:themeColor="text1"/>
        </w:rPr>
      </w:pPr>
      <w:r w:rsidRPr="008B2773">
        <w:rPr>
          <w:rFonts w:ascii="Verdana" w:hAnsi="Verdana" w:cs="Arial"/>
          <w:color w:val="000000" w:themeColor="text1"/>
        </w:rPr>
        <w:t>Sobre este aspecto, el Manual de la Modalidad de Selección de Mínima Cuantía expedido por la Agencia Nacional de Contratación Pública – Colombia Compra Eficiente</w:t>
      </w:r>
      <w:r w:rsidRPr="008B2773">
        <w:rPr>
          <w:rFonts w:ascii="Verdana" w:hAnsi="Verdana" w:cs="Arial"/>
          <w:color w:val="000000" w:themeColor="text1"/>
          <w:vertAlign w:val="superscript"/>
        </w:rPr>
        <w:footnoteReference w:id="8"/>
      </w:r>
      <w:r w:rsidRPr="008B2773">
        <w:rPr>
          <w:rFonts w:ascii="Verdana" w:hAnsi="Verdana" w:cs="Arial"/>
          <w:color w:val="000000" w:themeColor="text1"/>
        </w:rPr>
        <w:t>, señaló que “la Entidad Estatal debe aceptar la oferta del oferente que haya cumplido con los requisitos establecidos en la invitación y que haya ofrecido el precio más bajo, mediante documento electrónico o físico. En el documento de aceptación, la Entidad Estatal debe indicar el supervisor del contrato.</w:t>
      </w:r>
      <w:r w:rsidRPr="008B2773">
        <w:rPr>
          <w:rFonts w:ascii="Verdana" w:hAnsi="Verdana" w:cs="Arial"/>
          <w:color w:val="000000" w:themeColor="text1"/>
          <w:vertAlign w:val="superscript"/>
        </w:rPr>
        <w:footnoteReference w:id="9"/>
      </w:r>
      <w:r w:rsidRPr="008B2773">
        <w:rPr>
          <w:rFonts w:ascii="Verdana" w:hAnsi="Verdana" w:cs="Arial"/>
          <w:color w:val="000000" w:themeColor="text1"/>
        </w:rPr>
        <w:t xml:space="preserve">” (Énfasis por fuera de texto). De esta manera, desde el momento en que se efectúa dicha comunicación, ya sea mediante documento electrónico o físico, se entiende que el contrato ha quedado perfeccionado y tiene plena existencia, sin que sea necesario cumplir con ningún otro requisito adicional. </w:t>
      </w:r>
    </w:p>
    <w:p w14:paraId="4E6ED1B2" w14:textId="77777777" w:rsidR="00122D5E" w:rsidRDefault="00122D5E" w:rsidP="00122D5E">
      <w:pPr>
        <w:spacing w:after="120" w:line="276" w:lineRule="auto"/>
        <w:ind w:firstLine="708"/>
        <w:jc w:val="both"/>
        <w:rPr>
          <w:rFonts w:ascii="Verdana" w:hAnsi="Verdana" w:cs="Arial"/>
          <w:color w:val="000000" w:themeColor="text1"/>
        </w:rPr>
      </w:pPr>
      <w:r w:rsidRPr="008B2773">
        <w:rPr>
          <w:rFonts w:ascii="Verdana" w:hAnsi="Verdana" w:cs="Arial"/>
          <w:color w:val="000000" w:themeColor="text1"/>
        </w:rPr>
        <w:t xml:space="preserve">Ahora bien, para dar respuesta al segundo problema jurídico, en los procesos de contratación derivados de la Modalidad de Selección de Mínima Cuantía es pertinente tener presente el concepto de la revocación directa. Esta figura jurídica puede definirse como una de las especies de extinción de los actos </w:t>
      </w:r>
      <w:r w:rsidRPr="008B2773">
        <w:rPr>
          <w:rFonts w:ascii="Verdana" w:hAnsi="Verdana" w:cs="Arial"/>
          <w:color w:val="000000" w:themeColor="text1"/>
        </w:rPr>
        <w:lastRenderedPageBreak/>
        <w:t>administrativos en sede administrativa</w:t>
      </w:r>
      <w:r w:rsidRPr="008B2773">
        <w:rPr>
          <w:rFonts w:ascii="Verdana" w:hAnsi="Verdana" w:cs="Arial"/>
          <w:color w:val="000000" w:themeColor="text1"/>
          <w:vertAlign w:val="superscript"/>
        </w:rPr>
        <w:footnoteReference w:id="10"/>
      </w:r>
      <w:r w:rsidRPr="008B2773">
        <w:rPr>
          <w:rFonts w:ascii="Verdana" w:hAnsi="Verdana" w:cs="Arial"/>
          <w:color w:val="000000" w:themeColor="text1"/>
        </w:rPr>
        <w:t>. Esta especie de extinción se diferencia de otras, pues “se trata de un mecanismo de extinción del acto administrativo y de sus efectos que opera por la voluntad de la propia administración. […] Esta figura debe distinguirse […] de la anulación, que es la desaparición o extinción del acto por decisión de autoridad jurisdiccional”</w:t>
      </w:r>
      <w:r w:rsidRPr="008B2773">
        <w:rPr>
          <w:rFonts w:ascii="Verdana" w:hAnsi="Verdana" w:cs="Arial"/>
          <w:color w:val="000000" w:themeColor="text1"/>
          <w:vertAlign w:val="superscript"/>
        </w:rPr>
        <w:footnoteReference w:id="11"/>
      </w:r>
      <w:r w:rsidRPr="008B2773">
        <w:rPr>
          <w:rFonts w:ascii="Verdana" w:hAnsi="Verdana" w:cs="Arial"/>
          <w:color w:val="000000" w:themeColor="text1"/>
        </w:rPr>
        <w:t>. Adicionalmente, sobre la particular manera en que el legislador ha reglamentado la revocación directa en Colombia, debe decirse que se trata de un mecanismo unilateral de la administración, otorgado por el legislador para que esta revise sus propias decisiones.</w:t>
      </w:r>
    </w:p>
    <w:p w14:paraId="0C6F6B91" w14:textId="77777777" w:rsidR="00122D5E" w:rsidRDefault="00122D5E" w:rsidP="00122D5E">
      <w:pPr>
        <w:spacing w:after="120" w:line="276" w:lineRule="auto"/>
        <w:ind w:firstLine="708"/>
        <w:jc w:val="both"/>
        <w:rPr>
          <w:rFonts w:ascii="Verdana" w:hAnsi="Verdana" w:cs="Arial"/>
          <w:color w:val="000000" w:themeColor="text1"/>
        </w:rPr>
      </w:pPr>
      <w:r w:rsidRPr="008B2773">
        <w:rPr>
          <w:rFonts w:ascii="Verdana" w:hAnsi="Verdana" w:cs="Arial"/>
          <w:color w:val="000000" w:themeColor="text1"/>
        </w:rPr>
        <w:t xml:space="preserve">De acuerdo con lo anterior, puede afirmarse que la revocación de los propios actos es una de las prerrogativas otorgadas en el ordenamiento jurídico a las administraciones públicas para lograr el cumplimiento de sus finalidades. En ese marco conceptual es preciso señalar que una de las labores fundamentales del legislador cuando reconoce o crea una prerrogativa es compatibilizar su uso y ejercicio con los derechos de los administrados potencialmente involucrados o afectados. Por lo anterior, en las normas generales sobre procedimiento administrativo, o en otras normas especiales de derecho administrativo que contemplan la institución de la revocatoria directa, existe una decisión particular del legislador que da cuenta de la armonización que se ha hecho, para el caso particular, entre los derechos de los administrados y los intereses públicos en juego. </w:t>
      </w:r>
    </w:p>
    <w:p w14:paraId="297E5240" w14:textId="77777777" w:rsidR="00122D5E" w:rsidRDefault="00122D5E" w:rsidP="00122D5E">
      <w:pPr>
        <w:spacing w:after="120" w:line="276" w:lineRule="auto"/>
        <w:ind w:firstLine="708"/>
        <w:jc w:val="both"/>
        <w:rPr>
          <w:rFonts w:ascii="Verdana" w:hAnsi="Verdana" w:cs="Arial"/>
          <w:color w:val="000000" w:themeColor="text1"/>
          <w:lang w:val="es-ES"/>
        </w:rPr>
      </w:pPr>
      <w:r w:rsidRPr="00E468F5">
        <w:rPr>
          <w:rFonts w:ascii="Verdana" w:eastAsia="Calibri" w:hAnsi="Verdana" w:cs="Arial"/>
          <w:color w:val="000000" w:themeColor="text1"/>
          <w:lang w:val="es-ES"/>
        </w:rPr>
        <w:t xml:space="preserve">El derogado Código de lo Contencioso Administrativo, Decreto 01 de 1984, preveía en su artículo 74 que cuando un acto administrativo hubiese creado o modificado una situación de carácter particular y concreto o reconocido un derecho, este no podría ser revocado sin el consentimiento expreso y escrito del respectivo titular. Ello era así, salvo cuando esos actos resultasen como consecuencia de la aplicación del silencio administrativo positivo y se evidenciaba una de las causales de revocación, o si fuese evidente que el acto ocurrió por medios ilegales. Es decir, que los actos administrativos de contenido particular eran en general irrevocables sin consentimiento del titular, salvo cuando se verificara alguna de las dos condiciones recién mencionadas que permitían su revocación, según lo normado por el artículo 74 del CCA.   </w:t>
      </w:r>
    </w:p>
    <w:p w14:paraId="6E261A0B" w14:textId="77777777" w:rsidR="00122D5E" w:rsidRDefault="00122D5E" w:rsidP="00122D5E">
      <w:pPr>
        <w:spacing w:after="120" w:line="276" w:lineRule="auto"/>
        <w:ind w:firstLine="708"/>
        <w:jc w:val="both"/>
        <w:rPr>
          <w:rFonts w:ascii="Verdana" w:hAnsi="Verdana" w:cs="Arial"/>
          <w:color w:val="000000" w:themeColor="text1"/>
          <w:lang w:val="es-ES"/>
        </w:rPr>
      </w:pPr>
      <w:r w:rsidRPr="00E468F5">
        <w:rPr>
          <w:rFonts w:ascii="Verdana" w:eastAsia="Calibri" w:hAnsi="Verdana" w:cs="Arial"/>
          <w:color w:val="000000" w:themeColor="text1"/>
          <w:lang w:val="es-ES"/>
        </w:rPr>
        <w:lastRenderedPageBreak/>
        <w:t xml:space="preserve">De otro lado, las disposiciones que regulaban la contratación estatal contenían una norma especial sobre la posibilidad de revocar el acto de adjudicación. El numeral 11 del artículo 30 de la Ley 80 de 1993, hoy derogado, disponía que “El acto de adjudicación es irrevocable y obliga a la entidad y al adjudicatario”. Nótese cómo la norma citada, sin lugar a duda, contiene un régimen de revocabilidad mucho más estricto que aquel contenido en las normas sobre procedimiento administrativo general vigente para ese entonces. Lo anterior es así, pues mientras el CCA admitía la revocación en dos casos –silencio administrativo y obtención por medios ilegales–, la Ley 80 de 1993 no permitía la revocación ni si quiera en esos casos, pues claramente postulaba la irrevocabilidad del acto de adjudicación en términos absolutos.  </w:t>
      </w:r>
    </w:p>
    <w:p w14:paraId="46C20C0F" w14:textId="77777777" w:rsidR="00122D5E" w:rsidRDefault="00122D5E" w:rsidP="00122D5E">
      <w:pPr>
        <w:spacing w:after="120" w:line="276" w:lineRule="auto"/>
        <w:ind w:firstLine="708"/>
        <w:jc w:val="both"/>
        <w:rPr>
          <w:rFonts w:ascii="Verdana" w:hAnsi="Verdana" w:cs="Arial"/>
          <w:color w:val="000000" w:themeColor="text1"/>
          <w:lang w:val="es-ES"/>
        </w:rPr>
      </w:pPr>
      <w:r w:rsidRPr="00E468F5">
        <w:rPr>
          <w:rFonts w:ascii="Verdana" w:eastAsia="Calibri" w:hAnsi="Verdana" w:cs="Arial"/>
          <w:color w:val="000000" w:themeColor="text1"/>
          <w:lang w:val="es-ES"/>
        </w:rPr>
        <w:t>La Ley 1150 de 2007, particularmente su artículo 9, reemplazó esta regla absoluta de irrevocabilidad y estableció dos excepciones. La primera, cuando entre la adjudicación y la suscripción del contrato sobreviene una inhabilidad o incompatibilidad y, la segunda, cuando se demuestra que el acto se obtuvo por medios ilegales. En estos casos, la norma prescribe que “este podrá ser revocado”</w:t>
      </w:r>
      <w:r w:rsidRPr="00E468F5">
        <w:rPr>
          <w:rFonts w:ascii="Verdana" w:eastAsia="Calibri" w:hAnsi="Verdana" w:cs="Arial"/>
          <w:color w:val="000000" w:themeColor="text1"/>
          <w:vertAlign w:val="superscript"/>
          <w:lang w:val="es-ES"/>
        </w:rPr>
        <w:footnoteReference w:id="12"/>
      </w:r>
      <w:r w:rsidRPr="00E468F5">
        <w:rPr>
          <w:rFonts w:ascii="Verdana" w:eastAsia="Calibri" w:hAnsi="Verdana" w:cs="Arial"/>
          <w:color w:val="000000" w:themeColor="text1"/>
          <w:lang w:val="es-ES"/>
        </w:rPr>
        <w:t>. Sobre esta nueva regla de origen legal, el Consejo de Estado considera que:</w:t>
      </w:r>
      <w:r>
        <w:rPr>
          <w:rFonts w:ascii="Verdana" w:eastAsia="Calibri" w:hAnsi="Verdana" w:cs="Arial"/>
          <w:color w:val="000000" w:themeColor="text1"/>
          <w:lang w:val="es-ES"/>
        </w:rPr>
        <w:t xml:space="preserve"> “</w:t>
      </w:r>
      <w:r w:rsidRPr="00E468F5">
        <w:rPr>
          <w:rFonts w:ascii="Verdana" w:eastAsia="Calibri" w:hAnsi="Verdana" w:cs="Arial"/>
          <w:color w:val="000000" w:themeColor="text1"/>
          <w:lang w:val="es-ES"/>
        </w:rPr>
        <w:t>Como se observa, el cambio principal que trajo esta norma, frente al numeral 11 del artículo 30 de la Ley 80, consiste en prever dos excepciones a la irrevocabilidad del acto de adjudicación, que antes estaba consagrada en términos absolutos. Tales salvedades son: (i) cuando el adjudicatario incurre en una inhabilidad o incompatibilidad sobreviniente, esto es, posterior a la adjudicación y anterior a la celebración del contrato, y (</w:t>
      </w:r>
      <w:proofErr w:type="spellStart"/>
      <w:r w:rsidRPr="00E468F5">
        <w:rPr>
          <w:rFonts w:ascii="Verdana" w:eastAsia="Calibri" w:hAnsi="Verdana" w:cs="Arial"/>
          <w:color w:val="000000" w:themeColor="text1"/>
          <w:lang w:val="es-ES"/>
        </w:rPr>
        <w:t>ii</w:t>
      </w:r>
      <w:proofErr w:type="spellEnd"/>
      <w:r w:rsidRPr="00E468F5">
        <w:rPr>
          <w:rFonts w:ascii="Verdana" w:eastAsia="Calibri" w:hAnsi="Verdana" w:cs="Arial"/>
          <w:color w:val="000000" w:themeColor="text1"/>
          <w:lang w:val="es-ES"/>
        </w:rPr>
        <w:t>) cuando pueda demostrarse que la adjudicación “se obtuvo por medios ilegales”</w:t>
      </w:r>
      <w:r w:rsidRPr="00E468F5">
        <w:rPr>
          <w:rFonts w:ascii="Verdana" w:eastAsia="Calibri" w:hAnsi="Verdana" w:cs="Arial"/>
          <w:color w:val="000000" w:themeColor="text1"/>
          <w:vertAlign w:val="superscript"/>
          <w:lang w:val="es-ES"/>
        </w:rPr>
        <w:footnoteReference w:id="13"/>
      </w:r>
      <w:r w:rsidRPr="00E468F5">
        <w:rPr>
          <w:rFonts w:ascii="Verdana" w:eastAsia="Calibri" w:hAnsi="Verdana" w:cs="Arial"/>
          <w:color w:val="000000" w:themeColor="text1"/>
          <w:lang w:val="es-ES"/>
        </w:rPr>
        <w:t>.</w:t>
      </w:r>
    </w:p>
    <w:p w14:paraId="1D55833A" w14:textId="77777777" w:rsidR="00122D5E" w:rsidRDefault="00122D5E" w:rsidP="00122D5E">
      <w:pPr>
        <w:spacing w:after="120" w:line="276" w:lineRule="auto"/>
        <w:ind w:firstLine="708"/>
        <w:jc w:val="both"/>
        <w:rPr>
          <w:rFonts w:ascii="Verdana" w:hAnsi="Verdana" w:cs="Arial"/>
          <w:color w:val="000000" w:themeColor="text1"/>
          <w:lang w:val="es-ES"/>
        </w:rPr>
      </w:pPr>
      <w:r w:rsidRPr="00E468F5">
        <w:rPr>
          <w:rFonts w:ascii="Verdana" w:eastAsia="Calibri" w:hAnsi="Verdana" w:cs="Arial"/>
          <w:color w:val="000000" w:themeColor="text1"/>
          <w:lang w:val="es-ES"/>
        </w:rPr>
        <w:lastRenderedPageBreak/>
        <w:t xml:space="preserve">Con base en lo dicho puede afirmarse que las normas vigentes en materia de contratación estatal prevén que el acto de adjudicación es por regla general irrevocable, salvo en las dos situaciones previstas por el artículo 9 de la Ley 1150 de 2007, en cuyo caso la entidad estatal podrá revocarlo. Se considera importante hacer énfasis en el hecho de que la norma utiliza el verbo </w:t>
      </w:r>
      <w:r w:rsidRPr="00E468F5">
        <w:rPr>
          <w:rFonts w:ascii="Verdana" w:eastAsia="Calibri" w:hAnsi="Verdana" w:cs="Arial"/>
          <w:i/>
          <w:iCs/>
          <w:color w:val="000000" w:themeColor="text1"/>
          <w:lang w:val="es-ES"/>
        </w:rPr>
        <w:t>podrá</w:t>
      </w:r>
      <w:r w:rsidRPr="00E468F5">
        <w:rPr>
          <w:rFonts w:ascii="Verdana" w:eastAsia="Calibri" w:hAnsi="Verdana" w:cs="Arial"/>
          <w:color w:val="000000" w:themeColor="text1"/>
          <w:lang w:val="es-ES"/>
        </w:rPr>
        <w:t xml:space="preserve">, sin indicación de ningún requisito adicional para el ejercicio de la prerrogativa de revocación del acto de adjudicación. </w:t>
      </w:r>
    </w:p>
    <w:p w14:paraId="7498117F" w14:textId="77777777" w:rsidR="00122D5E" w:rsidRDefault="00122D5E" w:rsidP="00122D5E">
      <w:pPr>
        <w:spacing w:after="120" w:line="276" w:lineRule="auto"/>
        <w:ind w:firstLine="708"/>
        <w:jc w:val="both"/>
        <w:rPr>
          <w:rFonts w:ascii="Verdana" w:hAnsi="Verdana" w:cs="Arial"/>
          <w:color w:val="000000" w:themeColor="text1"/>
        </w:rPr>
      </w:pPr>
      <w:r w:rsidRPr="00E468F5">
        <w:rPr>
          <w:rFonts w:ascii="Verdana" w:eastAsia="Calibri" w:hAnsi="Verdana" w:cs="Arial"/>
          <w:bCs/>
          <w:color w:val="000000" w:themeColor="text1"/>
          <w:lang w:val="es-ES"/>
        </w:rPr>
        <w:t xml:space="preserve">Ahora bien, en torno a la posibilidad de revocar actos administrativos diferentes al de adjudicación en los procesos de contratación, se destaca el acto de apertura, que </w:t>
      </w:r>
      <w:r w:rsidRPr="00E468F5">
        <w:rPr>
          <w:rFonts w:ascii="Verdana" w:eastAsia="Calibri" w:hAnsi="Verdana" w:cs="Arial"/>
          <w:bCs/>
          <w:color w:val="000000" w:themeColor="text1"/>
        </w:rPr>
        <w:t xml:space="preserve">del proceso de licitación agota sus efectos con la adjudicación o la declaratoria de desierta del proceso, según lo previsto en el Estatuto General de Contratación. En la actualidad el Decreto 1082 de 2015, no reguló la revocatoria del acto de apertura, quedando el tema en estado de incertidumbre. De acuerdo </w:t>
      </w:r>
      <w:r>
        <w:rPr>
          <w:rFonts w:ascii="Verdana" w:eastAsia="Calibri" w:hAnsi="Verdana" w:cs="Arial"/>
          <w:bCs/>
          <w:color w:val="000000" w:themeColor="text1"/>
        </w:rPr>
        <w:t>con</w:t>
      </w:r>
      <w:r w:rsidRPr="00E468F5">
        <w:rPr>
          <w:rFonts w:ascii="Verdana" w:eastAsia="Calibri" w:hAnsi="Verdana" w:cs="Arial"/>
          <w:bCs/>
          <w:color w:val="000000" w:themeColor="text1"/>
        </w:rPr>
        <w:t xml:space="preserve"> lo descrito, la jurisprudencia de la Sección Tercera del Consejo de Estado ha distinguido 2 momentos para efectos de examinar la posibilidad de revocar de manera unilateral el acto de apertura: </w:t>
      </w:r>
    </w:p>
    <w:p w14:paraId="08E435A4" w14:textId="77777777" w:rsidR="00122D5E" w:rsidRDefault="00122D5E" w:rsidP="00122D5E">
      <w:pPr>
        <w:spacing w:after="120" w:line="276" w:lineRule="auto"/>
        <w:ind w:firstLine="708"/>
        <w:jc w:val="both"/>
        <w:rPr>
          <w:rFonts w:ascii="Verdana" w:hAnsi="Verdana" w:cs="Arial"/>
          <w:color w:val="000000" w:themeColor="text1"/>
        </w:rPr>
      </w:pPr>
      <w:r w:rsidRPr="00E468F5">
        <w:rPr>
          <w:rFonts w:ascii="Verdana" w:eastAsia="Calibri" w:hAnsi="Verdana" w:cs="Arial"/>
          <w:bCs/>
          <w:color w:val="000000" w:themeColor="text1"/>
        </w:rPr>
        <w:t xml:space="preserve">a. El primer momento es antes de que se presenten ofertas, en el cual hay unanimidad de criterio respecto a la posibilidad de revocarlo unilateralmente, porque no se ha configurado ninguna situación particular. </w:t>
      </w:r>
    </w:p>
    <w:p w14:paraId="35EA9BD6" w14:textId="77777777" w:rsidR="00122D5E" w:rsidRDefault="00122D5E" w:rsidP="00122D5E">
      <w:pPr>
        <w:spacing w:after="120" w:line="276" w:lineRule="auto"/>
        <w:ind w:firstLine="708"/>
        <w:jc w:val="both"/>
        <w:rPr>
          <w:rFonts w:ascii="Verdana" w:hAnsi="Verdana" w:cs="Arial"/>
          <w:color w:val="000000" w:themeColor="text1"/>
        </w:rPr>
      </w:pPr>
      <w:r w:rsidRPr="00E468F5">
        <w:rPr>
          <w:rFonts w:ascii="Verdana" w:eastAsia="Calibri" w:hAnsi="Verdana" w:cs="Arial"/>
          <w:bCs/>
          <w:color w:val="000000" w:themeColor="text1"/>
        </w:rPr>
        <w:t xml:space="preserve">b. El segundo momento cuando se presentan las ofertas en el proceso de selección, evento en el cual la jurisprudencia ha planteado las siguientes tesis: </w:t>
      </w:r>
    </w:p>
    <w:p w14:paraId="0469309F" w14:textId="77777777" w:rsidR="00122D5E" w:rsidRDefault="00122D5E" w:rsidP="00122D5E">
      <w:pPr>
        <w:spacing w:after="120" w:line="276" w:lineRule="auto"/>
        <w:ind w:firstLine="708"/>
        <w:jc w:val="both"/>
        <w:rPr>
          <w:rFonts w:ascii="Verdana" w:hAnsi="Verdana" w:cs="Arial"/>
          <w:color w:val="000000" w:themeColor="text1"/>
        </w:rPr>
      </w:pPr>
      <w:r w:rsidRPr="00E468F5">
        <w:rPr>
          <w:rFonts w:ascii="Verdana" w:eastAsia="Calibri" w:hAnsi="Verdana" w:cs="Arial"/>
          <w:bCs/>
          <w:color w:val="000000" w:themeColor="text1"/>
        </w:rPr>
        <w:t xml:space="preserve">Tesis 1: </w:t>
      </w:r>
      <w:r w:rsidRPr="00E468F5">
        <w:rPr>
          <w:rFonts w:ascii="Verdana" w:eastAsia="Calibri" w:hAnsi="Verdana" w:cs="Arial"/>
          <w:bCs/>
          <w:color w:val="000000" w:themeColor="text1"/>
          <w:lang w:val="es-ES"/>
        </w:rPr>
        <w:t>Antes de adjudicar un proceso de contratación, es revocable de manera unilateral el acto de apertura, siempre que concurra alguna causal prevista en el artículo 93 del CPACA</w:t>
      </w:r>
      <w:r w:rsidRPr="00E468F5">
        <w:rPr>
          <w:rFonts w:ascii="Verdana" w:eastAsia="Calibri" w:hAnsi="Verdana" w:cs="Arial"/>
          <w:bCs/>
          <w:color w:val="000000" w:themeColor="text1"/>
          <w:vertAlign w:val="superscript"/>
          <w:lang w:val="es-ES"/>
        </w:rPr>
        <w:footnoteReference w:id="14"/>
      </w:r>
      <w:r w:rsidRPr="00E468F5">
        <w:rPr>
          <w:rFonts w:ascii="Verdana" w:eastAsia="Calibri" w:hAnsi="Verdana" w:cs="Arial"/>
          <w:bCs/>
          <w:color w:val="000000" w:themeColor="text1"/>
          <w:lang w:val="es-ES"/>
        </w:rPr>
        <w:t>, por remisión del artículo 77 de la Ley 80 de 1993</w:t>
      </w:r>
      <w:r w:rsidRPr="00E468F5">
        <w:rPr>
          <w:rFonts w:ascii="Verdana" w:eastAsia="Calibri" w:hAnsi="Verdana" w:cs="Arial"/>
          <w:i/>
          <w:color w:val="000000" w:themeColor="text1"/>
          <w:vertAlign w:val="superscript"/>
          <w:lang w:val="es-ES"/>
        </w:rPr>
        <w:footnoteReference w:id="15"/>
      </w:r>
      <w:r w:rsidRPr="00E468F5">
        <w:rPr>
          <w:rFonts w:ascii="Verdana" w:eastAsia="Calibri" w:hAnsi="Verdana" w:cs="Arial"/>
          <w:i/>
          <w:color w:val="000000" w:themeColor="text1"/>
          <w:lang w:val="es-ES"/>
        </w:rPr>
        <w:t xml:space="preserve">. </w:t>
      </w:r>
      <w:r w:rsidRPr="00E468F5">
        <w:rPr>
          <w:rFonts w:ascii="Verdana" w:eastAsia="Calibri" w:hAnsi="Verdana" w:cs="Arial"/>
          <w:color w:val="000000" w:themeColor="text1"/>
          <w:lang w:val="es-ES"/>
        </w:rPr>
        <w:t xml:space="preserve">Sin embargo, en la medida en que esté más avanzado el proceso de selección se irán consolidando “expectativas” jurídicas y económicas de los participantes, y en esa misma medida se incrementan los riesgos de causar daños ciertos y personales, que en caso de proferirse una revocatoria, podrán </w:t>
      </w:r>
      <w:r w:rsidRPr="00E468F5">
        <w:rPr>
          <w:rFonts w:ascii="Verdana" w:eastAsia="Calibri" w:hAnsi="Verdana" w:cs="Arial"/>
          <w:color w:val="000000" w:themeColor="text1"/>
          <w:lang w:val="es-ES"/>
        </w:rPr>
        <w:lastRenderedPageBreak/>
        <w:t>ser objeto de indemnización por parte de la administración, siempre y cuando exista prueba de su configuración.</w:t>
      </w:r>
      <w:r w:rsidRPr="00E468F5">
        <w:rPr>
          <w:rFonts w:ascii="Verdana" w:eastAsia="Calibri" w:hAnsi="Verdana" w:cs="Arial"/>
          <w:bCs/>
          <w:color w:val="000000" w:themeColor="text1"/>
          <w:lang w:val="es-ES"/>
        </w:rPr>
        <w:t xml:space="preserve"> </w:t>
      </w:r>
    </w:p>
    <w:p w14:paraId="527AE900" w14:textId="77777777" w:rsidR="00122D5E" w:rsidRDefault="00122D5E" w:rsidP="00122D5E">
      <w:pPr>
        <w:spacing w:after="120" w:line="276" w:lineRule="auto"/>
        <w:ind w:firstLine="708"/>
        <w:jc w:val="both"/>
        <w:rPr>
          <w:rFonts w:ascii="Verdana" w:hAnsi="Verdana" w:cs="Arial"/>
          <w:color w:val="000000" w:themeColor="text1"/>
        </w:rPr>
      </w:pPr>
      <w:r w:rsidRPr="00E468F5">
        <w:rPr>
          <w:rFonts w:ascii="Verdana" w:eastAsia="Calibri" w:hAnsi="Verdana" w:cs="Arial"/>
          <w:i/>
          <w:color w:val="000000" w:themeColor="text1"/>
          <w:lang w:val="es-ES"/>
        </w:rPr>
        <w:t>Tesis 2.</w:t>
      </w:r>
      <w:r w:rsidRPr="00E468F5">
        <w:rPr>
          <w:rFonts w:ascii="Verdana" w:eastAsia="Calibri" w:hAnsi="Verdana" w:cs="Arial"/>
          <w:b/>
          <w:color w:val="000000" w:themeColor="text1"/>
          <w:lang w:val="es-ES"/>
        </w:rPr>
        <w:t xml:space="preserve"> </w:t>
      </w:r>
      <w:r w:rsidRPr="00E468F5">
        <w:rPr>
          <w:rFonts w:ascii="Verdana" w:eastAsia="Calibri" w:hAnsi="Verdana" w:cs="Arial"/>
          <w:color w:val="000000" w:themeColor="text1"/>
          <w:lang w:val="es-ES"/>
        </w:rPr>
        <w:t>No es posible revocar unilateralmente el acto de apertura, por cuanto la administración debe iniciar la actuación y solicitar el consentimiento de quien o quienes hayan presentado ofertas dentro del plazo previsto en los pliegos de condiciones. Lo anterior por cuanto una vez los interesados presentan sus respectivas ofertas, se genera la legítima expectativa de que su propuesta sea considerada y, en ese momento, la oferta pública de la administración, contenida en el acto de apertura del proceso de selección, se particulariza y se convierte en irrevocable, salvo que haya sido obtenida por medios ilegales</w:t>
      </w:r>
      <w:r w:rsidRPr="00E468F5">
        <w:rPr>
          <w:rFonts w:ascii="Verdana" w:eastAsia="Calibri" w:hAnsi="Verdana" w:cs="Arial"/>
          <w:color w:val="000000" w:themeColor="text1"/>
          <w:vertAlign w:val="superscript"/>
        </w:rPr>
        <w:footnoteReference w:id="16"/>
      </w:r>
      <w:r w:rsidRPr="00E468F5">
        <w:rPr>
          <w:rFonts w:ascii="Verdana" w:eastAsia="Calibri" w:hAnsi="Verdana" w:cs="Arial"/>
          <w:color w:val="000000" w:themeColor="text1"/>
        </w:rPr>
        <w:t>.</w:t>
      </w:r>
    </w:p>
    <w:p w14:paraId="50498967" w14:textId="77777777" w:rsidR="00122D5E" w:rsidRDefault="00122D5E" w:rsidP="00122D5E">
      <w:pPr>
        <w:spacing w:after="120" w:line="276" w:lineRule="auto"/>
        <w:ind w:firstLine="708"/>
        <w:jc w:val="both"/>
        <w:rPr>
          <w:rFonts w:ascii="Verdana" w:hAnsi="Verdana" w:cs="Arial"/>
          <w:color w:val="000000" w:themeColor="text1"/>
        </w:rPr>
      </w:pPr>
      <w:r w:rsidRPr="00E468F5">
        <w:rPr>
          <w:rFonts w:ascii="Verdana" w:eastAsia="Calibri" w:hAnsi="Verdana" w:cs="Arial"/>
          <w:bCs/>
          <w:i/>
          <w:color w:val="000000" w:themeColor="text1"/>
          <w:lang w:val="es-ES"/>
        </w:rPr>
        <w:t>Tesis 3</w:t>
      </w:r>
      <w:r w:rsidRPr="00E468F5">
        <w:rPr>
          <w:rFonts w:ascii="Verdana" w:eastAsia="Calibri" w:hAnsi="Verdana" w:cs="Arial"/>
          <w:bCs/>
          <w:color w:val="000000" w:themeColor="text1"/>
          <w:lang w:val="es-ES"/>
        </w:rPr>
        <w:t>. Una vez se han recibido las propuestas, el acto de apertura no puede ser objeto de revocatoria directa en forma unilateral por parte de la Administración, sin el consentimiento expreso del mejor proponente, toda vez que las reglas de la propia convocatoria - no es otra que la de la oferta mercantil aceptada-, la cual se concreta en el derecho a suscribir el contrato estatal, del cual se genera dos derechos, uno para los proponentes de ser evaluados y otro para aquel que tenga la mejor propuesta el cual consiste en ser seleccionado y a ejecutar el contrato estatal que le debe ser adjudicado</w:t>
      </w:r>
      <w:r w:rsidRPr="00E468F5">
        <w:rPr>
          <w:rFonts w:ascii="Verdana" w:eastAsia="Calibri" w:hAnsi="Verdana" w:cs="Arial"/>
          <w:bCs/>
          <w:color w:val="000000" w:themeColor="text1"/>
          <w:vertAlign w:val="superscript"/>
          <w:lang w:val="es-ES"/>
        </w:rPr>
        <w:footnoteReference w:id="17"/>
      </w:r>
      <w:r w:rsidRPr="00E468F5">
        <w:rPr>
          <w:rFonts w:ascii="Verdana" w:eastAsia="Calibri" w:hAnsi="Verdana" w:cs="Arial"/>
          <w:bCs/>
          <w:color w:val="000000" w:themeColor="text1"/>
          <w:lang w:val="es-ES"/>
        </w:rPr>
        <w:t xml:space="preserve">. </w:t>
      </w:r>
    </w:p>
    <w:p w14:paraId="30291D8B" w14:textId="77777777" w:rsidR="00122D5E" w:rsidRDefault="00122D5E" w:rsidP="00122D5E">
      <w:pPr>
        <w:spacing w:after="120" w:line="276" w:lineRule="auto"/>
        <w:ind w:firstLine="708"/>
        <w:jc w:val="both"/>
        <w:rPr>
          <w:rFonts w:ascii="Verdana" w:hAnsi="Verdana" w:cs="Arial"/>
          <w:color w:val="000000" w:themeColor="text1"/>
          <w:lang w:val="es-ES"/>
        </w:rPr>
      </w:pPr>
      <w:r w:rsidRPr="00E468F5">
        <w:rPr>
          <w:rFonts w:ascii="Verdana" w:eastAsia="Calibri" w:hAnsi="Verdana" w:cs="Arial"/>
          <w:bCs/>
          <w:i/>
          <w:color w:val="000000" w:themeColor="text1"/>
          <w:lang w:val="es-ES"/>
        </w:rPr>
        <w:t>Tesis 4</w:t>
      </w:r>
      <w:r w:rsidRPr="00E468F5">
        <w:rPr>
          <w:rFonts w:ascii="Verdana" w:eastAsia="Calibri" w:hAnsi="Verdana" w:cs="Arial"/>
          <w:b/>
          <w:bCs/>
          <w:i/>
          <w:color w:val="000000" w:themeColor="text1"/>
          <w:lang w:val="es-ES"/>
        </w:rPr>
        <w:t>.</w:t>
      </w:r>
      <w:r w:rsidRPr="00E468F5">
        <w:rPr>
          <w:rFonts w:ascii="Verdana" w:eastAsia="Calibri" w:hAnsi="Verdana" w:cs="Arial"/>
          <w:b/>
          <w:bCs/>
          <w:color w:val="000000" w:themeColor="text1"/>
          <w:lang w:val="es-ES"/>
        </w:rPr>
        <w:t xml:space="preserve"> </w:t>
      </w:r>
      <w:r w:rsidRPr="00E468F5">
        <w:rPr>
          <w:rFonts w:ascii="Verdana" w:eastAsia="Calibri" w:hAnsi="Verdana" w:cs="Arial"/>
          <w:bCs/>
          <w:color w:val="000000" w:themeColor="text1"/>
          <w:lang w:val="es-ES"/>
        </w:rPr>
        <w:t>Se puede revocar unilateralmente el acto de apertura del proceso de selección, si se advierte la configuración de alguna de las causales y demás requisitos que dan paso a su procedencia, toda vez que al ser un acto administrativo de carácter general se torna evidente que la Administración no está condicionada a obtener el consentimiento previo y expreso de los proponentes o del mejor proponente para revocarlo; además, no se consolidan derechos a favor de los proponentes, toda vez que hasta ese momento solo existen “</w:t>
      </w:r>
      <w:r w:rsidRPr="00E468F5">
        <w:rPr>
          <w:rFonts w:ascii="Verdana" w:eastAsia="Calibri" w:hAnsi="Verdana" w:cs="Arial"/>
          <w:bCs/>
          <w:i/>
          <w:color w:val="000000" w:themeColor="text1"/>
          <w:lang w:val="es-ES"/>
        </w:rPr>
        <w:t xml:space="preserve">meras expectativas” </w:t>
      </w:r>
      <w:r w:rsidRPr="00E468F5">
        <w:rPr>
          <w:rFonts w:ascii="Verdana" w:eastAsia="Calibri" w:hAnsi="Verdana" w:cs="Arial"/>
          <w:bCs/>
          <w:color w:val="000000" w:themeColor="text1"/>
          <w:lang w:val="es-ES"/>
        </w:rPr>
        <w:t xml:space="preserve">y, en algunas circunstancias, </w:t>
      </w:r>
      <w:r w:rsidRPr="00E468F5">
        <w:rPr>
          <w:rFonts w:ascii="Verdana" w:eastAsia="Calibri" w:hAnsi="Verdana" w:cs="Arial"/>
          <w:bCs/>
          <w:i/>
          <w:color w:val="000000" w:themeColor="text1"/>
          <w:lang w:val="es-ES"/>
        </w:rPr>
        <w:t xml:space="preserve">expectativas legítimas </w:t>
      </w:r>
      <w:r w:rsidRPr="00E468F5">
        <w:rPr>
          <w:rFonts w:ascii="Verdana" w:eastAsia="Calibri" w:hAnsi="Verdana" w:cs="Arial"/>
          <w:bCs/>
          <w:color w:val="000000" w:themeColor="text1"/>
          <w:lang w:val="es-ES"/>
        </w:rPr>
        <w:t>a favor de algún participante; conceptos jurídicos que alinderan tanto la existencia y alcance de un eventual derecho o expectativa, y el punto límite de proyección del atributo de la revocatoria del acto administrativo</w:t>
      </w:r>
      <w:r w:rsidRPr="00E468F5">
        <w:rPr>
          <w:rFonts w:ascii="Verdana" w:eastAsia="Calibri" w:hAnsi="Verdana" w:cs="Arial"/>
          <w:bCs/>
          <w:color w:val="000000" w:themeColor="text1"/>
          <w:vertAlign w:val="superscript"/>
          <w:lang w:val="es-ES"/>
        </w:rPr>
        <w:footnoteReference w:id="18"/>
      </w:r>
      <w:r w:rsidRPr="00E468F5">
        <w:rPr>
          <w:rFonts w:ascii="Verdana" w:eastAsia="Calibri" w:hAnsi="Verdana" w:cs="Arial"/>
          <w:bCs/>
          <w:color w:val="000000" w:themeColor="text1"/>
          <w:lang w:val="es-ES"/>
        </w:rPr>
        <w:t>.</w:t>
      </w:r>
    </w:p>
    <w:p w14:paraId="345F3144" w14:textId="77777777" w:rsidR="00122D5E" w:rsidRDefault="00122D5E" w:rsidP="00122D5E">
      <w:pPr>
        <w:spacing w:after="120" w:line="276" w:lineRule="auto"/>
        <w:ind w:firstLine="708"/>
        <w:jc w:val="both"/>
        <w:rPr>
          <w:rFonts w:ascii="Verdana" w:hAnsi="Verdana" w:cs="Arial"/>
          <w:color w:val="000000" w:themeColor="text1"/>
          <w:lang w:val="es-ES"/>
        </w:rPr>
      </w:pPr>
      <w:r w:rsidRPr="00E468F5">
        <w:rPr>
          <w:rFonts w:ascii="Verdana" w:eastAsia="Calibri" w:hAnsi="Verdana" w:cs="Arial"/>
          <w:bCs/>
          <w:color w:val="000000" w:themeColor="text1"/>
          <w:lang w:val="es-ES"/>
        </w:rPr>
        <w:lastRenderedPageBreak/>
        <w:t xml:space="preserve">Esta Subdirección mediante Concepto C-896 del 17 de enero de 2023 expresó que la interpretación que mejor se ajusta al cumplimiento de los fines de la contratación estatal es la tesis 4, en tanto que la presentación de las propuestas e incluso la publicación del informe de evaluación no modifica el carácter general que ostenta el acto de apertura del proceso de selección contractual, pues quien concurre al llamado a presentar una propuesta o manifestar interés en presentarla, reconoce que de por medio está la realización de los fines de la contratación esperada, sin poder esgrimir expectativa alguna que se oponga a esa realización del interés general derivada de su participación y el cumplimiento de los requisitos que le hagan merecedor de una determinación definitiva, y a sabiendas de ello presenta la propuesta. En consecuencia, la revocabilidad procede por cuanto es primordial y tiene preferencia la constatación del interés de la contratación, que no es otro que la garantía de las necesidades públicas frente a las expectativas negociales que nacieron respecto de los proponentes. De igual modo, la Doctrina expresa: </w:t>
      </w:r>
    </w:p>
    <w:p w14:paraId="42F1DA64" w14:textId="77777777" w:rsidR="00122D5E" w:rsidRDefault="00122D5E" w:rsidP="00122D5E">
      <w:pPr>
        <w:spacing w:after="120" w:line="276" w:lineRule="auto"/>
        <w:ind w:firstLine="708"/>
        <w:jc w:val="both"/>
        <w:rPr>
          <w:rFonts w:ascii="Verdana" w:hAnsi="Verdana" w:cs="Arial"/>
          <w:color w:val="000000" w:themeColor="text1"/>
        </w:rPr>
      </w:pPr>
      <w:r w:rsidRPr="00E468F5">
        <w:rPr>
          <w:rFonts w:ascii="Verdana" w:eastAsia="Calibri" w:hAnsi="Verdana" w:cs="Arial"/>
          <w:bCs/>
          <w:color w:val="000000" w:themeColor="text1"/>
        </w:rPr>
        <w:t>Para la revocatoria del acto de apertura, no se requiere contar con el consentimiento previo, expreso y escrito de los posibles interesados u oferentes toda vez que se trata de un acto administrativo de contenido general, como expresamente lo reconoce el artículo 2.2.1.1_2.1.5 del Decreto 1082 de 2015 y también lo adujo el Consejo de Estado en varias providencias; sin embargo, si se realiza después de la presentación de propuestas, en criterio del máximo tribunal de lo contencioso administrativo, si se requeriría manifestación expresa de los proponentes, salvo que el acto se haya obtenido por medios ilegales, lo cual no compartimos por las razones más adelante expuestas</w:t>
      </w:r>
      <w:r w:rsidRPr="00E468F5">
        <w:rPr>
          <w:rFonts w:ascii="Verdana" w:eastAsia="Calibri" w:hAnsi="Verdana" w:cs="Arial"/>
          <w:bCs/>
          <w:color w:val="000000" w:themeColor="text1"/>
          <w:vertAlign w:val="superscript"/>
        </w:rPr>
        <w:footnoteReference w:id="19"/>
      </w:r>
      <w:r w:rsidRPr="00E468F5">
        <w:rPr>
          <w:rFonts w:ascii="Verdana" w:eastAsia="Calibri" w:hAnsi="Verdana" w:cs="Arial"/>
          <w:bCs/>
          <w:color w:val="000000" w:themeColor="text1"/>
        </w:rPr>
        <w:t>.</w:t>
      </w:r>
    </w:p>
    <w:p w14:paraId="19D35FCB" w14:textId="77777777" w:rsidR="0087057A" w:rsidRDefault="00122D5E" w:rsidP="00122D5E">
      <w:pPr>
        <w:spacing w:after="120" w:line="276" w:lineRule="auto"/>
        <w:ind w:firstLine="708"/>
        <w:jc w:val="both"/>
        <w:rPr>
          <w:rFonts w:ascii="Verdana" w:eastAsia="Calibri" w:hAnsi="Verdana" w:cs="Arial"/>
          <w:bCs/>
          <w:color w:val="000000" w:themeColor="text1"/>
          <w:lang w:val="es-ES"/>
        </w:rPr>
      </w:pPr>
      <w:r w:rsidRPr="00E468F5">
        <w:rPr>
          <w:rFonts w:ascii="Verdana" w:eastAsia="Calibri" w:hAnsi="Verdana" w:cs="Arial"/>
          <w:bCs/>
          <w:color w:val="000000" w:themeColor="text1"/>
          <w:lang w:val="es-ES"/>
        </w:rPr>
        <w:t xml:space="preserve">De acuerdo </w:t>
      </w:r>
      <w:r>
        <w:rPr>
          <w:rFonts w:ascii="Verdana" w:eastAsia="Calibri" w:hAnsi="Verdana" w:cs="Arial"/>
          <w:bCs/>
          <w:color w:val="000000" w:themeColor="text1"/>
          <w:lang w:val="es-ES"/>
        </w:rPr>
        <w:t>con</w:t>
      </w:r>
      <w:r w:rsidRPr="00E468F5">
        <w:rPr>
          <w:rFonts w:ascii="Verdana" w:eastAsia="Calibri" w:hAnsi="Verdana" w:cs="Arial"/>
          <w:bCs/>
          <w:color w:val="000000" w:themeColor="text1"/>
          <w:lang w:val="es-ES"/>
        </w:rPr>
        <w:t xml:space="preserve"> lo expuesto, es menester analizar la posibilidad de revocar un proceso de contratación cuya modalidad de selección es la mínima cuantía, la cual caracteriza porque no cuenta con un acto administrativo de apertura, ni puede aludirse al acto de adjudicación, como si ocurre en las demás modalidades de selección –Licitación Pública, Selección Abreviada y Concurso de Méritos-. En el caso de la mínima cuantía se caracteriza por un proceso competitivo simplificado, que se estructura a partir de una invitación pública asimilable al </w:t>
      </w:r>
      <w:r w:rsidRPr="00E468F5">
        <w:rPr>
          <w:rFonts w:ascii="Verdana" w:eastAsia="Calibri" w:hAnsi="Verdana" w:cs="Arial"/>
          <w:bCs/>
          <w:color w:val="000000" w:themeColor="text1"/>
          <w:lang w:val="es-ES"/>
        </w:rPr>
        <w:lastRenderedPageBreak/>
        <w:t>acto administrativo de apertura, así como al pliego de condiciones de dicho proceso, constituyéndose en la hoja de ruta o plan</w:t>
      </w:r>
      <w:r w:rsidRPr="00E468F5">
        <w:rPr>
          <w:rFonts w:ascii="Verdana" w:eastAsia="Calibri" w:hAnsi="Verdana" w:cs="Arial"/>
          <w:bCs/>
          <w:color w:val="000000" w:themeColor="text1"/>
          <w:vertAlign w:val="superscript"/>
          <w:lang w:val="es-ES"/>
        </w:rPr>
        <w:footnoteReference w:id="20"/>
      </w:r>
      <w:r w:rsidRPr="00E468F5">
        <w:rPr>
          <w:rFonts w:ascii="Verdana" w:eastAsia="Calibri" w:hAnsi="Verdana" w:cs="Arial"/>
          <w:bCs/>
          <w:color w:val="000000" w:themeColor="text1"/>
          <w:lang w:val="es-ES"/>
        </w:rPr>
        <w:t xml:space="preserve"> sobre el cual se diseña, estructura y concreta el procedimiento de selección de contratistas. </w:t>
      </w:r>
    </w:p>
    <w:p w14:paraId="5353FC41" w14:textId="3EB7520C" w:rsidR="00122D5E" w:rsidRDefault="00122D5E" w:rsidP="00122D5E">
      <w:pPr>
        <w:spacing w:after="120" w:line="276" w:lineRule="auto"/>
        <w:ind w:firstLine="708"/>
        <w:jc w:val="both"/>
        <w:rPr>
          <w:rFonts w:ascii="Verdana" w:hAnsi="Verdana" w:cs="Arial"/>
          <w:color w:val="000000" w:themeColor="text1"/>
        </w:rPr>
      </w:pPr>
      <w:r w:rsidRPr="00E468F5">
        <w:rPr>
          <w:rFonts w:ascii="Verdana" w:eastAsia="Calibri" w:hAnsi="Verdana" w:cs="Arial"/>
          <w:bCs/>
          <w:color w:val="000000" w:themeColor="text1"/>
          <w:lang w:val="es-ES"/>
        </w:rPr>
        <w:t xml:space="preserve">En este sentido, la invitación pública adquiere la naturaleza de ser un acto jurídico mixto, que comienza como un acto administrativo general que establece las condiciones del Proceso de Contratación, y que con la comunicación de aceptación se configura la adjudicación y suscripción del contrato estatal en un mismo momento, en la que algunos de los contenidos de la Invitación se transforman para incorporarse en cláusulas vinculantes del contrato. </w:t>
      </w:r>
      <w:r w:rsidRPr="00E468F5">
        <w:rPr>
          <w:rFonts w:ascii="Verdana" w:eastAsia="Calibri" w:hAnsi="Verdana" w:cs="Arial"/>
          <w:color w:val="000000" w:themeColor="text1"/>
          <w:lang w:val="es-ES_tradnl"/>
        </w:rPr>
        <w:t>En el marco de su discrecionalidad, cada entidad debe establecer la forma cómo se estructura la invitación pública, que está condicionado a la proporcionalidad de las decisiones, en aras de garantizar la pluralidad de oferentes y la selección objetiva</w:t>
      </w:r>
      <w:r w:rsidRPr="00E468F5">
        <w:rPr>
          <w:rFonts w:ascii="Verdana" w:eastAsia="Calibri" w:hAnsi="Verdana" w:cs="Arial"/>
          <w:color w:val="000000" w:themeColor="text1"/>
        </w:rPr>
        <w:t xml:space="preserve">. </w:t>
      </w:r>
    </w:p>
    <w:p w14:paraId="58011FDB" w14:textId="77777777" w:rsidR="00122D5E" w:rsidRDefault="00122D5E" w:rsidP="00122D5E">
      <w:pPr>
        <w:spacing w:after="120" w:line="276" w:lineRule="auto"/>
        <w:ind w:firstLine="708"/>
        <w:jc w:val="both"/>
        <w:rPr>
          <w:rFonts w:ascii="Verdana" w:hAnsi="Verdana" w:cs="Arial"/>
          <w:color w:val="000000" w:themeColor="text1"/>
          <w:lang w:val="es-ES"/>
        </w:rPr>
      </w:pPr>
      <w:r w:rsidRPr="00E468F5">
        <w:rPr>
          <w:rFonts w:ascii="Verdana" w:eastAsia="Calibri" w:hAnsi="Verdana" w:cs="Arial"/>
          <w:color w:val="000000" w:themeColor="text1"/>
        </w:rPr>
        <w:t xml:space="preserve">De esta manera, puede afirmarse que la invitación pública como un acto administrativo general que establece las condiciones del proceso de contratación puede revocarse, asumiendo </w:t>
      </w:r>
      <w:r w:rsidRPr="00E468F5">
        <w:rPr>
          <w:rFonts w:ascii="Verdana" w:eastAsia="Calibri" w:hAnsi="Verdana" w:cs="Arial"/>
          <w:bCs/>
          <w:color w:val="000000" w:themeColor="text1"/>
          <w:lang w:val="es-ES"/>
        </w:rPr>
        <w:t>que la presentación de las propuestas e incluso la publicación del informe de evaluación no transforma el carácter general que ostenta la invitación pública del proceso de selección contractual, pues quien concurre al llamado a presentar una propuesta o manifestar interés en presentarla, reconoce que de por medio está la realización de los fines de la contratación esperada, sin poder esgrimir expectativa alguna que se oponga a esa realización del interés general derivada de su participación y el cumplimiento de los requisitos que le hagan merecedor de una determinación definitiva, y a sabiendas de ello presenta la propuesta. Por tanto, la revocabilidad procede por cuanto es primordial y tiene preferencia la constatación del interés de la contratación, que no es otro que la garantía de las necesidades públicas frente a las expectativas negociales que nacieron respecto de los proponentes.</w:t>
      </w:r>
    </w:p>
    <w:p w14:paraId="3E2FF105" w14:textId="4F1C5978" w:rsidR="00122D5E" w:rsidRDefault="00122D5E" w:rsidP="00122D5E">
      <w:pPr>
        <w:spacing w:after="120" w:line="276" w:lineRule="auto"/>
        <w:ind w:firstLine="708"/>
        <w:jc w:val="both"/>
        <w:rPr>
          <w:rFonts w:ascii="Verdana" w:hAnsi="Verdana" w:cs="Arial"/>
          <w:color w:val="000000" w:themeColor="text1"/>
          <w:lang w:val="es-ES"/>
        </w:rPr>
      </w:pPr>
      <w:r w:rsidRPr="00E468F5">
        <w:rPr>
          <w:rFonts w:ascii="Verdana" w:eastAsia="Calibri" w:hAnsi="Verdana" w:cs="Arial"/>
          <w:bCs/>
          <w:color w:val="000000" w:themeColor="text1"/>
          <w:lang w:val="es-ES"/>
        </w:rPr>
        <w:t xml:space="preserve">En ese orden de ideas las </w:t>
      </w:r>
      <w:r w:rsidR="003A2F88" w:rsidRPr="00E468F5">
        <w:rPr>
          <w:rFonts w:ascii="Verdana" w:eastAsia="Calibri" w:hAnsi="Verdana" w:cs="Arial"/>
          <w:bCs/>
          <w:color w:val="000000" w:themeColor="text1"/>
          <w:lang w:val="es-ES"/>
        </w:rPr>
        <w:t>entidades estatales</w:t>
      </w:r>
      <w:r w:rsidRPr="00E468F5">
        <w:rPr>
          <w:rFonts w:ascii="Verdana" w:eastAsia="Calibri" w:hAnsi="Verdana" w:cs="Arial"/>
          <w:bCs/>
          <w:color w:val="000000" w:themeColor="text1"/>
          <w:lang w:val="es-ES"/>
        </w:rPr>
        <w:t xml:space="preserve"> no están condicionadas a obtener el consentimiento previo y expreso de los proponentes o del mejor proponente para revocar el Proceso de Mínima Cuantía como la facultad que tiene la Administración, de oficio o a petición de parte, de modificar, reformar, sustituir o extinguir los efectos jurídicos del acto con miras a su enmienda o corrección, en tanto se advierta que la decisión administrativa representada en el acto trasgrede el ordenamiento jurídico o va en contra del interés general, de </w:t>
      </w:r>
      <w:r w:rsidRPr="00E468F5">
        <w:rPr>
          <w:rFonts w:ascii="Verdana" w:eastAsia="Calibri" w:hAnsi="Verdana" w:cs="Arial"/>
          <w:bCs/>
          <w:color w:val="000000" w:themeColor="text1"/>
          <w:lang w:val="es-ES"/>
        </w:rPr>
        <w:lastRenderedPageBreak/>
        <w:t>conformidad con los requisitos dispuestos en el artículo 97 del CPACA, haciendo prevalecer el imperio de la ley, el interés público y la protección de los derechos.</w:t>
      </w:r>
    </w:p>
    <w:p w14:paraId="503E2C33" w14:textId="77777777" w:rsidR="00122D5E" w:rsidRDefault="00122D5E" w:rsidP="00122D5E">
      <w:pPr>
        <w:spacing w:after="120" w:line="276" w:lineRule="auto"/>
        <w:ind w:firstLine="708"/>
        <w:jc w:val="both"/>
        <w:rPr>
          <w:rFonts w:ascii="Verdana" w:hAnsi="Verdana" w:cs="Arial"/>
          <w:color w:val="000000" w:themeColor="text1"/>
        </w:rPr>
      </w:pPr>
      <w:r w:rsidRPr="00E468F5">
        <w:rPr>
          <w:rFonts w:ascii="Verdana" w:eastAsia="Calibri" w:hAnsi="Verdana" w:cs="Arial"/>
          <w:bCs/>
          <w:color w:val="000000" w:themeColor="text1"/>
          <w:lang w:val="es-ES"/>
        </w:rPr>
        <w:t xml:space="preserve">Si bien, </w:t>
      </w:r>
      <w:proofErr w:type="spellStart"/>
      <w:r w:rsidRPr="00E468F5">
        <w:rPr>
          <w:rFonts w:ascii="Verdana" w:eastAsia="Calibri" w:hAnsi="Verdana" w:cs="Arial"/>
          <w:bCs/>
          <w:color w:val="000000" w:themeColor="text1"/>
        </w:rPr>
        <w:t>como</w:t>
      </w:r>
      <w:proofErr w:type="spellEnd"/>
      <w:r w:rsidRPr="00E468F5">
        <w:rPr>
          <w:rFonts w:ascii="Verdana" w:eastAsia="Calibri" w:hAnsi="Verdana" w:cs="Arial"/>
          <w:bCs/>
          <w:color w:val="000000" w:themeColor="text1"/>
        </w:rPr>
        <w:t xml:space="preserve"> se argumenta, podría considerarse jurídicamente viable la revocación de un proceso de mínima cuantía, es importante establecer el alcance de tal posibilidad, en el escenario en el que se haya comunicado la aceptación de la oferta al oferente por parte de la Entidad Estatal. Esto comoquiera, si bien el proceso de mínima cuantía no existe un acto administrativo de adjudicación en estricto sentido, si existe de manera material. Además, es importante indicar que, en atención a lo dispuesto en el numeral 9 del art. 2.2.1.2.1.5.2, la comunicación de aceptación, así como la oferta son elementos que configuran la celebración del contrato. </w:t>
      </w:r>
    </w:p>
    <w:p w14:paraId="7C328321" w14:textId="77777777" w:rsidR="00122D5E" w:rsidRDefault="00122D5E" w:rsidP="00122D5E">
      <w:pPr>
        <w:spacing w:after="120" w:line="276" w:lineRule="auto"/>
        <w:ind w:firstLine="708"/>
        <w:jc w:val="both"/>
        <w:rPr>
          <w:rFonts w:ascii="Verdana" w:hAnsi="Verdana" w:cs="Arial"/>
          <w:color w:val="000000" w:themeColor="text1"/>
        </w:rPr>
      </w:pPr>
      <w:r>
        <w:rPr>
          <w:rFonts w:ascii="Verdana" w:eastAsia="Calibri" w:hAnsi="Verdana" w:cs="Arial"/>
          <w:bCs/>
          <w:color w:val="000000" w:themeColor="text1"/>
        </w:rPr>
        <w:t>De acuerdo con lo anterior</w:t>
      </w:r>
      <w:r w:rsidRPr="00E468F5">
        <w:rPr>
          <w:rFonts w:ascii="Verdana" w:eastAsia="Calibri" w:hAnsi="Verdana" w:cs="Arial"/>
          <w:bCs/>
          <w:color w:val="000000" w:themeColor="text1"/>
        </w:rPr>
        <w:t xml:space="preserve">, no es posible que se revoque un proceso de mínima cuantía en el que ya se ha comunicado la aceptación de la oferta por algún vicio, en el entendido </w:t>
      </w:r>
      <w:r>
        <w:rPr>
          <w:rFonts w:ascii="Verdana" w:eastAsia="Calibri" w:hAnsi="Verdana" w:cs="Arial"/>
          <w:bCs/>
          <w:color w:val="000000" w:themeColor="text1"/>
        </w:rPr>
        <w:t xml:space="preserve">de </w:t>
      </w:r>
      <w:r w:rsidRPr="00E468F5">
        <w:rPr>
          <w:rFonts w:ascii="Verdana" w:eastAsia="Calibri" w:hAnsi="Verdana" w:cs="Arial"/>
          <w:bCs/>
          <w:color w:val="000000" w:themeColor="text1"/>
        </w:rPr>
        <w:t xml:space="preserve">que ya se perfeccionó el contrato, pues hacerlo significaría: i) </w:t>
      </w:r>
      <w:r>
        <w:rPr>
          <w:rFonts w:ascii="Verdana" w:eastAsia="Calibri" w:hAnsi="Verdana" w:cs="Arial"/>
          <w:bCs/>
          <w:color w:val="000000" w:themeColor="text1"/>
        </w:rPr>
        <w:t xml:space="preserve">el </w:t>
      </w:r>
      <w:r w:rsidRPr="00E468F5">
        <w:rPr>
          <w:rFonts w:ascii="Verdana" w:eastAsia="Calibri" w:hAnsi="Verdana" w:cs="Arial"/>
          <w:bCs/>
          <w:color w:val="000000" w:themeColor="text1"/>
        </w:rPr>
        <w:t xml:space="preserve">desconocimiento de la regla de irrevocabilidad de la adjudicación del artículo 9 de la Ley 1150 de 2007; </w:t>
      </w:r>
      <w:r>
        <w:rPr>
          <w:rFonts w:ascii="Verdana" w:eastAsia="Calibri" w:hAnsi="Verdana" w:cs="Arial"/>
          <w:bCs/>
          <w:color w:val="000000" w:themeColor="text1"/>
        </w:rPr>
        <w:t>y</w:t>
      </w:r>
      <w:r w:rsidRPr="00E468F5">
        <w:rPr>
          <w:rFonts w:ascii="Verdana" w:eastAsia="Calibri" w:hAnsi="Verdana" w:cs="Arial"/>
          <w:bCs/>
          <w:color w:val="000000" w:themeColor="text1"/>
        </w:rPr>
        <w:t xml:space="preserve"> </w:t>
      </w:r>
      <w:proofErr w:type="spellStart"/>
      <w:r w:rsidRPr="00E468F5">
        <w:rPr>
          <w:rFonts w:ascii="Verdana" w:eastAsia="Calibri" w:hAnsi="Verdana" w:cs="Arial"/>
          <w:bCs/>
          <w:color w:val="000000" w:themeColor="text1"/>
        </w:rPr>
        <w:t>ii</w:t>
      </w:r>
      <w:proofErr w:type="spellEnd"/>
      <w:r w:rsidRPr="00E468F5">
        <w:rPr>
          <w:rFonts w:ascii="Verdana" w:eastAsia="Calibri" w:hAnsi="Verdana" w:cs="Arial"/>
          <w:bCs/>
          <w:color w:val="000000" w:themeColor="text1"/>
        </w:rPr>
        <w:t>)</w:t>
      </w:r>
      <w:r>
        <w:rPr>
          <w:rFonts w:ascii="Verdana" w:eastAsia="Calibri" w:hAnsi="Verdana" w:cs="Arial"/>
          <w:bCs/>
          <w:color w:val="000000" w:themeColor="text1"/>
        </w:rPr>
        <w:t xml:space="preserve"> el </w:t>
      </w:r>
      <w:r w:rsidRPr="00E468F5">
        <w:rPr>
          <w:rFonts w:ascii="Verdana" w:eastAsia="Calibri" w:hAnsi="Verdana" w:cs="Arial"/>
          <w:bCs/>
          <w:color w:val="000000" w:themeColor="text1"/>
        </w:rPr>
        <w:t xml:space="preserve">incumplimiento del contrato por parte de la entidad estatal. </w:t>
      </w:r>
    </w:p>
    <w:p w14:paraId="38DD8AB1" w14:textId="77777777" w:rsidR="00122D5E" w:rsidRPr="00E60501" w:rsidRDefault="00122D5E" w:rsidP="00122D5E">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Frente a lo anterior, el </w:t>
      </w:r>
      <w:r w:rsidRPr="001D1BFA">
        <w:rPr>
          <w:rFonts w:ascii="Verdana" w:hAnsi="Verdana" w:cs="Arial"/>
          <w:color w:val="000000" w:themeColor="text1"/>
          <w:lang w:val="es-ES_tradnl"/>
        </w:rPr>
        <w:t>contrato</w:t>
      </w:r>
      <w:r>
        <w:rPr>
          <w:rFonts w:ascii="Verdana" w:hAnsi="Verdana" w:cs="Arial"/>
          <w:color w:val="000000" w:themeColor="text1"/>
          <w:lang w:val="es-ES_tradnl"/>
        </w:rPr>
        <w:t xml:space="preserve"> en términos generales</w:t>
      </w:r>
      <w:r w:rsidRPr="001D1BFA">
        <w:rPr>
          <w:rFonts w:ascii="Verdana" w:hAnsi="Verdana" w:cs="Arial"/>
          <w:color w:val="000000" w:themeColor="text1"/>
          <w:lang w:val="es-ES_tradnl"/>
        </w:rPr>
        <w:t xml:space="preserve"> es un “acto jurídico voluntario, una declaración de voluntad, que tiene por objeto establecer una relación jurídica entre dos personas, obligando a la una para con otra a determinada prestación”</w:t>
      </w:r>
      <w:r w:rsidRPr="001D1BFA">
        <w:rPr>
          <w:rFonts w:ascii="Verdana" w:hAnsi="Verdana" w:cs="Arial"/>
          <w:color w:val="000000" w:themeColor="text1"/>
          <w:vertAlign w:val="superscript"/>
          <w:lang w:val="es-ES_tradnl"/>
        </w:rPr>
        <w:footnoteReference w:id="21"/>
      </w:r>
      <w:r w:rsidRPr="001D1BFA">
        <w:rPr>
          <w:rFonts w:ascii="Verdana" w:hAnsi="Verdana" w:cs="Arial"/>
          <w:color w:val="000000" w:themeColor="text1"/>
          <w:lang w:val="es-ES_tradnl"/>
        </w:rPr>
        <w:t>. Se trata de un negocio jurídico en el sentido de que es el resultado de un acto dispositivo o de autorregulación de intereses de dos o más sujetos con efectos jurídicos para crear, modificar o extinguir relaciones jurídicas</w:t>
      </w:r>
      <w:r w:rsidRPr="001D1BFA">
        <w:rPr>
          <w:rFonts w:ascii="Verdana" w:hAnsi="Verdana" w:cs="Arial"/>
          <w:color w:val="000000" w:themeColor="text1"/>
          <w:vertAlign w:val="superscript"/>
          <w:lang w:val="es-ES_tradnl"/>
        </w:rPr>
        <w:footnoteReference w:id="22"/>
      </w:r>
      <w:r w:rsidRPr="001D1BFA">
        <w:rPr>
          <w:rFonts w:ascii="Verdana" w:hAnsi="Verdana" w:cs="Arial"/>
          <w:color w:val="000000" w:themeColor="text1"/>
          <w:lang w:val="es-ES_tradnl"/>
        </w:rPr>
        <w:t xml:space="preserve">. </w:t>
      </w:r>
    </w:p>
    <w:p w14:paraId="261E6BF7" w14:textId="77777777" w:rsidR="00122D5E" w:rsidRDefault="00122D5E" w:rsidP="00122D5E">
      <w:pPr>
        <w:spacing w:before="120" w:after="120" w:line="276" w:lineRule="auto"/>
        <w:ind w:firstLine="708"/>
        <w:jc w:val="both"/>
        <w:rPr>
          <w:rFonts w:ascii="Verdana" w:hAnsi="Verdana" w:cs="Arial"/>
          <w:color w:val="000000" w:themeColor="text1"/>
          <w:lang w:val="es-ES_tradnl"/>
        </w:rPr>
      </w:pPr>
      <w:r>
        <w:rPr>
          <w:rFonts w:ascii="Verdana" w:hAnsi="Verdana" w:cs="Arial"/>
          <w:color w:val="000000" w:themeColor="text1"/>
          <w:lang w:val="es-ES_tradnl"/>
        </w:rPr>
        <w:t>En materia d</w:t>
      </w:r>
      <w:r w:rsidRPr="00927492">
        <w:rPr>
          <w:rFonts w:ascii="Verdana" w:hAnsi="Verdana" w:cs="Arial"/>
          <w:color w:val="000000" w:themeColor="text1"/>
          <w:lang w:val="es-ES_tradnl"/>
        </w:rPr>
        <w:t>el contrato estatal</w:t>
      </w:r>
      <w:r>
        <w:rPr>
          <w:rFonts w:ascii="Verdana" w:hAnsi="Verdana" w:cs="Arial"/>
          <w:color w:val="000000" w:themeColor="text1"/>
          <w:lang w:val="es-ES_tradnl"/>
        </w:rPr>
        <w:t xml:space="preserve">, corresponde a un </w:t>
      </w:r>
      <w:r w:rsidRPr="00927492">
        <w:rPr>
          <w:rFonts w:ascii="Verdana" w:hAnsi="Verdana" w:cs="Arial"/>
          <w:color w:val="000000" w:themeColor="text1"/>
          <w:lang w:val="es-ES_tradnl"/>
        </w:rPr>
        <w:t xml:space="preserve">acto jurídico creador de obligaciones en cuya celebración concurre una de las Entidades Estatales, independientemente de que se trate de contratos previstos o tipificados en el derecho privado, en disposiciones especiales o que sencillamente resulten del ejercicio de la autonomía de la voluntad, como sucede con los que se clasifican </w:t>
      </w:r>
      <w:r w:rsidRPr="00927492">
        <w:rPr>
          <w:rFonts w:ascii="Verdana" w:hAnsi="Verdana" w:cs="Arial"/>
          <w:color w:val="000000" w:themeColor="text1"/>
          <w:lang w:val="es-ES_tradnl"/>
        </w:rPr>
        <w:lastRenderedPageBreak/>
        <w:t xml:space="preserve">como atípicos e innominados –artículo 32 de la Ley 80–. Por lo tanto, </w:t>
      </w:r>
      <w:bookmarkStart w:id="17" w:name="_Hlk150759930"/>
      <w:r w:rsidRPr="00927492">
        <w:rPr>
          <w:rFonts w:ascii="Verdana" w:hAnsi="Verdana" w:cs="Arial"/>
          <w:color w:val="000000" w:themeColor="text1"/>
          <w:lang w:val="es-ES_tradnl"/>
        </w:rPr>
        <w:t>la Ley 80 de 1993 adoptó un criterio eminentemente orgánico, esto es, en atención a la naturaleza de los sujetos u órganos que intervienen en la formación del vínculo contractual, para efectos de determinar que los contratos podrán catalogarse como estatales únicamente en cuanto en uno de sus extremos, al menos, se encuentre una Entidad Estatal</w:t>
      </w:r>
      <w:r w:rsidRPr="00927492">
        <w:rPr>
          <w:rFonts w:ascii="Verdana" w:hAnsi="Verdana" w:cs="Arial"/>
          <w:color w:val="000000" w:themeColor="text1"/>
          <w:vertAlign w:val="superscript"/>
          <w:lang w:val="es-ES_tradnl"/>
        </w:rPr>
        <w:footnoteReference w:id="23"/>
      </w:r>
      <w:r w:rsidRPr="00927492">
        <w:rPr>
          <w:rFonts w:ascii="Verdana" w:hAnsi="Verdana" w:cs="Arial"/>
          <w:color w:val="000000" w:themeColor="text1"/>
          <w:lang w:val="es-ES_tradnl"/>
        </w:rPr>
        <w:t>, con independencia del régimen de derecho aplicable.</w:t>
      </w:r>
      <w:bookmarkEnd w:id="17"/>
    </w:p>
    <w:p w14:paraId="78209707" w14:textId="77777777" w:rsidR="00122D5E" w:rsidRPr="00927492" w:rsidRDefault="00122D5E" w:rsidP="002B4CBB">
      <w:pPr>
        <w:spacing w:before="120" w:after="0" w:line="276" w:lineRule="auto"/>
        <w:ind w:firstLine="708"/>
        <w:jc w:val="both"/>
        <w:rPr>
          <w:rFonts w:ascii="Verdana" w:hAnsi="Verdana" w:cs="Arial"/>
          <w:color w:val="000000" w:themeColor="text1"/>
        </w:rPr>
      </w:pPr>
      <w:r w:rsidRPr="00927492">
        <w:rPr>
          <w:rFonts w:ascii="Verdana" w:hAnsi="Verdana" w:cs="Arial"/>
          <w:color w:val="000000" w:themeColor="text1"/>
        </w:rPr>
        <w:t>Este entendimiento encuentra, además, recepción en los artículos 13 y 40 de la Ley 80 de 1993, los cuales integran al derecho contractual estatal “las disposiciones comerciales y civiles pertinentes”, cuando indican que estos se regirán de forma supletiva por ese régimen jurídico, salvo en las materias expresa y particularmente reguladas por el EGCAP, lo que permite concluir que “mediante la Ley 80, se pretendió que la actividad contractual del Estado quedará bajo la égida del contrato estatal, caracterizado por tener un régimen jurídico mixto, integrado por normas de derecho público y derecho privado”</w:t>
      </w:r>
      <w:r w:rsidRPr="00927492">
        <w:rPr>
          <w:rFonts w:ascii="Verdana" w:hAnsi="Verdana" w:cs="Arial"/>
          <w:color w:val="000000" w:themeColor="text1"/>
          <w:vertAlign w:val="superscript"/>
        </w:rPr>
        <w:footnoteReference w:id="24"/>
      </w:r>
      <w:r w:rsidRPr="00927492">
        <w:rPr>
          <w:rFonts w:ascii="Verdana" w:hAnsi="Verdana" w:cs="Arial"/>
          <w:color w:val="000000" w:themeColor="text1"/>
        </w:rPr>
        <w:t xml:space="preserve">. En armonía con lo anterior, la Sala de Consulta y Servicio Civil del Consejo de Estado, expresó que, </w:t>
      </w:r>
      <w:r w:rsidRPr="00927492">
        <w:rPr>
          <w:rFonts w:ascii="Verdana" w:hAnsi="Verdana" w:cs="Arial"/>
          <w:iCs/>
          <w:color w:val="000000" w:themeColor="text1"/>
        </w:rPr>
        <w:t>en tal virtud, p</w:t>
      </w:r>
      <w:r w:rsidRPr="00927492">
        <w:rPr>
          <w:rFonts w:ascii="Verdana" w:hAnsi="Verdana" w:cs="Arial"/>
          <w:color w:val="000000" w:themeColor="text1"/>
        </w:rPr>
        <w:t>or regla general:</w:t>
      </w:r>
    </w:p>
    <w:p w14:paraId="56E37FA5" w14:textId="77777777" w:rsidR="002B4CBB" w:rsidRPr="00927492" w:rsidRDefault="002B4CBB" w:rsidP="0071320D">
      <w:pPr>
        <w:spacing w:after="0" w:line="276" w:lineRule="auto"/>
        <w:ind w:firstLine="708"/>
        <w:jc w:val="both"/>
        <w:rPr>
          <w:rFonts w:ascii="Verdana" w:hAnsi="Verdana" w:cs="Arial"/>
          <w:color w:val="000000" w:themeColor="text1"/>
        </w:rPr>
      </w:pPr>
    </w:p>
    <w:p w14:paraId="154EDF82" w14:textId="77777777" w:rsidR="00122D5E" w:rsidRPr="00927492" w:rsidRDefault="00122D5E" w:rsidP="00614067">
      <w:pPr>
        <w:spacing w:after="0" w:line="240" w:lineRule="auto"/>
        <w:ind w:left="709" w:right="709"/>
        <w:jc w:val="both"/>
        <w:rPr>
          <w:rFonts w:ascii="Verdana" w:hAnsi="Verdana" w:cs="Arial"/>
          <w:b/>
          <w:color w:val="000000" w:themeColor="text1"/>
          <w:sz w:val="20"/>
          <w:szCs w:val="20"/>
        </w:rPr>
      </w:pPr>
      <w:r w:rsidRPr="00927492">
        <w:rPr>
          <w:rFonts w:ascii="Verdana" w:hAnsi="Verdana" w:cs="Arial"/>
          <w:color w:val="000000" w:themeColor="text1"/>
          <w:sz w:val="20"/>
          <w:szCs w:val="20"/>
        </w:rPr>
        <w:t>“[…] las entidades estatales dentro del ámbito de aplicación del Estatuto General de Contratación de la Administración Púbica, cuando celebren contratos deben cumplir las disposiciones del derecho privado (comerciales y civiles) que resulten aplicables, excepto en aquellas materias expresamente reguladas por el citado Estatuto y las normas que lo modifiquen o adicionen, verbigracia, los mecanismos de selección, los principios de transparencia, economía y responsabilidad, el deber de selección objetiva, las inhabilidades e incompatibilidades para contratar, los requisitos de perfeccionamiento y ejecución del contrato, el equilibrio económico y financiero del contrato, las cláusulas excepcionales (interpretación, modificación y terminación  unilaterales, caducidad, reversión y sometimiento de a las leyes nacionales), la imposición y efectividad de las multas y cláusula penal una vez pactadas, las garantías del contrato, las nulidades específicas del contrato estatal, el silencio administrativo positivo, la liquidación del contrato, entre otras”</w:t>
      </w:r>
      <w:r w:rsidRPr="00927492">
        <w:rPr>
          <w:rFonts w:ascii="Verdana" w:hAnsi="Verdana" w:cs="Arial"/>
          <w:color w:val="000000" w:themeColor="text1"/>
          <w:sz w:val="20"/>
          <w:szCs w:val="20"/>
          <w:vertAlign w:val="superscript"/>
        </w:rPr>
        <w:footnoteReference w:id="25"/>
      </w:r>
      <w:r w:rsidRPr="00927492">
        <w:rPr>
          <w:rFonts w:ascii="Verdana" w:hAnsi="Verdana" w:cs="Arial"/>
          <w:color w:val="000000" w:themeColor="text1"/>
          <w:sz w:val="20"/>
          <w:szCs w:val="20"/>
        </w:rPr>
        <w:t>.</w:t>
      </w:r>
      <w:r w:rsidRPr="00927492">
        <w:rPr>
          <w:rFonts w:ascii="Verdana" w:hAnsi="Verdana" w:cs="Arial"/>
          <w:b/>
          <w:color w:val="000000" w:themeColor="text1"/>
          <w:sz w:val="20"/>
          <w:szCs w:val="20"/>
        </w:rPr>
        <w:t xml:space="preserve"> </w:t>
      </w:r>
    </w:p>
    <w:p w14:paraId="1FE24B40" w14:textId="77777777" w:rsidR="00614067" w:rsidRPr="0071320D" w:rsidRDefault="00614067" w:rsidP="0071320D">
      <w:pPr>
        <w:spacing w:after="0" w:line="276" w:lineRule="auto"/>
        <w:ind w:left="709" w:right="709"/>
        <w:jc w:val="both"/>
        <w:rPr>
          <w:rFonts w:ascii="Verdana" w:hAnsi="Verdana" w:cs="Arial"/>
          <w:b/>
          <w:color w:val="000000" w:themeColor="text1"/>
        </w:rPr>
      </w:pPr>
    </w:p>
    <w:p w14:paraId="0DE12A5D" w14:textId="77777777" w:rsidR="00122D5E" w:rsidRPr="004826D0" w:rsidRDefault="00122D5E" w:rsidP="0071320D">
      <w:pPr>
        <w:spacing w:after="120" w:line="276" w:lineRule="auto"/>
        <w:ind w:firstLine="709"/>
        <w:jc w:val="both"/>
        <w:rPr>
          <w:rFonts w:ascii="Verdana" w:hAnsi="Verdana" w:cs="Arial"/>
          <w:color w:val="000000" w:themeColor="text1"/>
        </w:rPr>
      </w:pPr>
      <w:r>
        <w:rPr>
          <w:rFonts w:ascii="Verdana" w:hAnsi="Verdana" w:cs="Arial"/>
          <w:color w:val="000000" w:themeColor="text1"/>
        </w:rPr>
        <w:lastRenderedPageBreak/>
        <w:t>Por esta razón p</w:t>
      </w:r>
      <w:r w:rsidRPr="004826D0">
        <w:rPr>
          <w:rFonts w:ascii="Verdana" w:hAnsi="Verdana" w:cs="Arial"/>
          <w:color w:val="000000" w:themeColor="text1"/>
        </w:rPr>
        <w:t xml:space="preserve">ara el cumplimiento de los fines de la contratación, las entidades estatales tendrán la dirección general y la responsabilidad de ejercer el control y vigilancia de la ejecución del contrato. En consecuencia, en el marco de lo señalado en el artículo 14 de la Ley 80 de 1993 y con el único objeto de evitar la paralización o la afectación grave de los servicios públicos y asegurar la inmediata, continua y adecuada prestación de los mismos, dichas entidades podrán interpretar los documentos contractuales y las estipulaciones en ellos contenidas, introducir modificaciones a lo pactado y, cuando las condiciones particulares de la prestación así lo exijan, terminar unilateralmente el contrato celebrado. Es decir, las entidades estatales pueden usar estas potestades […] como manifestación de su </w:t>
      </w:r>
      <w:proofErr w:type="spellStart"/>
      <w:r w:rsidRPr="004826D0">
        <w:rPr>
          <w:rFonts w:ascii="Verdana" w:hAnsi="Verdana" w:cs="Arial"/>
          <w:i/>
          <w:iCs/>
          <w:color w:val="000000" w:themeColor="text1"/>
        </w:rPr>
        <w:t>imperium</w:t>
      </w:r>
      <w:proofErr w:type="spellEnd"/>
      <w:r w:rsidRPr="004826D0">
        <w:rPr>
          <w:rFonts w:ascii="Verdana" w:hAnsi="Verdana" w:cs="Arial"/>
          <w:i/>
          <w:iCs/>
          <w:color w:val="000000" w:themeColor="text1"/>
        </w:rPr>
        <w:t xml:space="preserve"> </w:t>
      </w:r>
      <w:r w:rsidRPr="004826D0">
        <w:rPr>
          <w:rFonts w:ascii="Verdana" w:hAnsi="Verdana" w:cs="Arial"/>
          <w:color w:val="000000" w:themeColor="text1"/>
        </w:rPr>
        <w:t>o poder de Estado, que se concreta en el poder jurídico para imponer coactivamente su voluntad, lo cual debe matizarse, dado que estás prerrogativas solo podrán ser ejercidas en las situaciones de hecho previamente establecidas por la ley y dentro de los limites señalados por la misma</w:t>
      </w:r>
      <w:r w:rsidRPr="004826D0">
        <w:rPr>
          <w:rStyle w:val="Refdenotaalpie"/>
          <w:rFonts w:ascii="Verdana" w:hAnsi="Verdana" w:cs="Arial"/>
          <w:color w:val="000000" w:themeColor="text1"/>
        </w:rPr>
        <w:footnoteReference w:id="26"/>
      </w:r>
      <w:r w:rsidRPr="00077877">
        <w:rPr>
          <w:rFonts w:ascii="Verdana" w:hAnsi="Verdana" w:cs="Arial"/>
          <w:bCs/>
        </w:rPr>
        <w:t>.</w:t>
      </w:r>
      <w:r w:rsidRPr="004826D0">
        <w:rPr>
          <w:rFonts w:ascii="Verdana" w:hAnsi="Verdana" w:cs="Arial"/>
          <w:color w:val="000000" w:themeColor="text1"/>
        </w:rPr>
        <w:t xml:space="preserve">  </w:t>
      </w:r>
    </w:p>
    <w:p w14:paraId="1222E4BD" w14:textId="77777777" w:rsidR="00122D5E" w:rsidRPr="004826D0" w:rsidRDefault="00122D5E" w:rsidP="00122D5E">
      <w:pPr>
        <w:spacing w:before="120" w:after="120" w:line="276" w:lineRule="auto"/>
        <w:jc w:val="both"/>
        <w:rPr>
          <w:rFonts w:ascii="Verdana" w:hAnsi="Verdana" w:cs="Arial"/>
          <w:color w:val="000000" w:themeColor="text1"/>
        </w:rPr>
      </w:pPr>
      <w:r w:rsidRPr="004826D0">
        <w:rPr>
          <w:rFonts w:ascii="Verdana" w:hAnsi="Verdana" w:cs="Arial"/>
          <w:color w:val="000000" w:themeColor="text1"/>
        </w:rPr>
        <w:t> </w:t>
      </w:r>
      <w:r w:rsidRPr="004826D0">
        <w:rPr>
          <w:rFonts w:ascii="Verdana" w:hAnsi="Verdana" w:cs="Arial"/>
          <w:color w:val="000000" w:themeColor="text1"/>
        </w:rPr>
        <w:tab/>
      </w:r>
      <w:r>
        <w:rPr>
          <w:rFonts w:ascii="Verdana" w:hAnsi="Verdana" w:cs="Arial"/>
          <w:color w:val="000000" w:themeColor="text1"/>
        </w:rPr>
        <w:t>En relación con</w:t>
      </w:r>
      <w:r w:rsidRPr="004826D0">
        <w:rPr>
          <w:rFonts w:ascii="Verdana" w:hAnsi="Verdana" w:cs="Arial"/>
          <w:color w:val="000000" w:themeColor="text1"/>
        </w:rPr>
        <w:t xml:space="preserve"> las cláusulas excepcionales al derecho común de terminación, interpretación y modificación unilaterales, el numeral 2 del mencionado artículo 14 </w:t>
      </w:r>
      <w:r>
        <w:rPr>
          <w:rFonts w:ascii="Verdana" w:hAnsi="Verdana" w:cs="Arial"/>
          <w:color w:val="000000" w:themeColor="text1"/>
        </w:rPr>
        <w:t xml:space="preserve">de la Ley 80 de 1993 </w:t>
      </w:r>
      <w:r w:rsidRPr="004826D0">
        <w:rPr>
          <w:rFonts w:ascii="Verdana" w:hAnsi="Verdana" w:cs="Arial"/>
          <w:color w:val="000000" w:themeColor="text1"/>
        </w:rPr>
        <w:t>regula su ejercicio en atención al tipo de contrato de que se trate. En este sentido, los motivos aducidos por la entidad estatal para ejercer las cláusulas excepcionales deben ser graves, ya que no cualquier hecho puede provocarla pues son inescindibles al interés general, sin que se pueda desconocer las compensaciones e indemnizaciones a que tendrán derecho las personas objeto de tales medidas, traducida en la contraprestación necesaria para mantener la igualdad contractual.</w:t>
      </w:r>
    </w:p>
    <w:p w14:paraId="5FADEDEA" w14:textId="77777777" w:rsidR="00122D5E" w:rsidRPr="004826D0" w:rsidRDefault="00122D5E" w:rsidP="00122D5E">
      <w:pPr>
        <w:spacing w:before="120" w:after="120" w:line="276" w:lineRule="auto"/>
        <w:jc w:val="both"/>
        <w:rPr>
          <w:rFonts w:ascii="Verdana" w:hAnsi="Verdana" w:cs="Arial"/>
          <w:color w:val="000000" w:themeColor="text1"/>
        </w:rPr>
      </w:pPr>
      <w:r w:rsidRPr="004826D0">
        <w:rPr>
          <w:rFonts w:ascii="Verdana" w:hAnsi="Verdana" w:cs="Arial"/>
          <w:color w:val="000000" w:themeColor="text1"/>
        </w:rPr>
        <w:t> </w:t>
      </w:r>
      <w:r w:rsidRPr="004826D0">
        <w:rPr>
          <w:rFonts w:ascii="Verdana" w:hAnsi="Verdana" w:cs="Arial"/>
          <w:color w:val="000000" w:themeColor="text1"/>
        </w:rPr>
        <w:tab/>
        <w:t>En lo atinente a la terminación unilateral del contrato, si bien la ley otorga a las entidades públicas la potestad de actuar en ejercicio de una faculta</w:t>
      </w:r>
      <w:r>
        <w:rPr>
          <w:rFonts w:ascii="Verdana" w:hAnsi="Verdana" w:cs="Arial"/>
          <w:color w:val="000000" w:themeColor="text1"/>
        </w:rPr>
        <w:t>d</w:t>
      </w:r>
      <w:r w:rsidRPr="004826D0">
        <w:rPr>
          <w:rFonts w:ascii="Verdana" w:hAnsi="Verdana" w:cs="Arial"/>
          <w:color w:val="000000" w:themeColor="text1"/>
        </w:rPr>
        <w:t xml:space="preserve"> exorbitante, les impone el cumplimiento de presupuestos de </w:t>
      </w:r>
      <w:r>
        <w:rPr>
          <w:rFonts w:ascii="Verdana" w:hAnsi="Verdana" w:cs="Arial"/>
          <w:color w:val="000000" w:themeColor="text1"/>
        </w:rPr>
        <w:t>imperativa</w:t>
      </w:r>
      <w:r w:rsidRPr="004826D0">
        <w:rPr>
          <w:rFonts w:ascii="Verdana" w:hAnsi="Verdana" w:cs="Arial"/>
          <w:color w:val="000000" w:themeColor="text1"/>
        </w:rPr>
        <w:t xml:space="preserve"> aplicación y a la vez restringe la medida a los eventos previstos en la misma. Efectivamente, para declarar la terminación unilateral se requiere i) que la manifestación de la voluntad de la administración se materialice en un acto administrativo, </w:t>
      </w:r>
      <w:proofErr w:type="spellStart"/>
      <w:r w:rsidRPr="004826D0">
        <w:rPr>
          <w:rFonts w:ascii="Verdana" w:hAnsi="Verdana" w:cs="Arial"/>
          <w:color w:val="000000" w:themeColor="text1"/>
        </w:rPr>
        <w:t>ii</w:t>
      </w:r>
      <w:proofErr w:type="spellEnd"/>
      <w:r w:rsidRPr="004826D0">
        <w:rPr>
          <w:rFonts w:ascii="Verdana" w:hAnsi="Verdana" w:cs="Arial"/>
          <w:color w:val="000000" w:themeColor="text1"/>
        </w:rPr>
        <w:t xml:space="preserve">) que dicho acto debe ser el resultado de un análisis soportado en la realidad del contrato, es decir, debe estar debidamente motivado y </w:t>
      </w:r>
      <w:proofErr w:type="spellStart"/>
      <w:r w:rsidRPr="004826D0">
        <w:rPr>
          <w:rFonts w:ascii="Verdana" w:hAnsi="Verdana" w:cs="Arial"/>
          <w:color w:val="000000" w:themeColor="text1"/>
        </w:rPr>
        <w:t>iii</w:t>
      </w:r>
      <w:proofErr w:type="spellEnd"/>
      <w:r w:rsidRPr="004826D0">
        <w:rPr>
          <w:rFonts w:ascii="Verdana" w:hAnsi="Verdana" w:cs="Arial"/>
          <w:color w:val="000000" w:themeColor="text1"/>
        </w:rPr>
        <w:t xml:space="preserve">) que </w:t>
      </w:r>
      <w:r w:rsidRPr="004826D0">
        <w:rPr>
          <w:rFonts w:ascii="Verdana" w:hAnsi="Verdana" w:cs="Arial"/>
          <w:color w:val="000000" w:themeColor="text1"/>
        </w:rPr>
        <w:lastRenderedPageBreak/>
        <w:t>la causal que se alegue en la decisión se encuentre enmarcada en los eventos que la ley ha dispuesto.</w:t>
      </w:r>
    </w:p>
    <w:p w14:paraId="2E8D203F" w14:textId="77777777" w:rsidR="00122D5E" w:rsidRPr="004826D0" w:rsidRDefault="00122D5E" w:rsidP="00635252">
      <w:pPr>
        <w:spacing w:before="120" w:after="0" w:line="276" w:lineRule="auto"/>
        <w:jc w:val="both"/>
        <w:rPr>
          <w:rFonts w:ascii="Verdana" w:hAnsi="Verdana" w:cs="Arial"/>
          <w:color w:val="000000" w:themeColor="text1"/>
        </w:rPr>
      </w:pPr>
      <w:r w:rsidRPr="004826D0">
        <w:rPr>
          <w:rFonts w:ascii="Verdana" w:hAnsi="Verdana" w:cs="Arial"/>
          <w:color w:val="000000" w:themeColor="text1"/>
        </w:rPr>
        <w:t> </w:t>
      </w:r>
      <w:r w:rsidRPr="004826D0">
        <w:rPr>
          <w:rFonts w:ascii="Verdana" w:hAnsi="Verdana" w:cs="Arial"/>
          <w:color w:val="000000" w:themeColor="text1"/>
        </w:rPr>
        <w:tab/>
        <w:t xml:space="preserve">El artículo 17 de la Ley 80 de 1993 establece expresamente </w:t>
      </w:r>
      <w:r>
        <w:rPr>
          <w:rFonts w:ascii="Verdana" w:hAnsi="Verdana" w:cs="Arial"/>
          <w:color w:val="000000" w:themeColor="text1"/>
        </w:rPr>
        <w:t>los</w:t>
      </w:r>
      <w:r w:rsidRPr="004826D0">
        <w:rPr>
          <w:rFonts w:ascii="Verdana" w:hAnsi="Verdana" w:cs="Arial"/>
          <w:color w:val="000000" w:themeColor="text1"/>
        </w:rPr>
        <w:t xml:space="preserve"> eventos </w:t>
      </w:r>
      <w:r>
        <w:rPr>
          <w:rFonts w:ascii="Verdana" w:hAnsi="Verdana" w:cs="Arial"/>
          <w:color w:val="000000" w:themeColor="text1"/>
        </w:rPr>
        <w:t xml:space="preserve">en que </w:t>
      </w:r>
      <w:r w:rsidRPr="004826D0">
        <w:rPr>
          <w:rFonts w:ascii="Verdana" w:hAnsi="Verdana" w:cs="Arial"/>
          <w:color w:val="000000" w:themeColor="text1"/>
        </w:rPr>
        <w:t>procede la terminación unilateral del contrato. Al efecto, la norma establece las siguientes causales:</w:t>
      </w:r>
    </w:p>
    <w:p w14:paraId="50349795" w14:textId="77777777" w:rsidR="00635252" w:rsidRPr="004826D0" w:rsidRDefault="00635252" w:rsidP="0071320D">
      <w:pPr>
        <w:spacing w:after="0" w:line="276" w:lineRule="auto"/>
        <w:jc w:val="both"/>
        <w:rPr>
          <w:rFonts w:ascii="Verdana" w:hAnsi="Verdana" w:cs="Arial"/>
          <w:color w:val="000000" w:themeColor="text1"/>
        </w:rPr>
      </w:pPr>
    </w:p>
    <w:p w14:paraId="771ADC7D" w14:textId="77777777" w:rsidR="00122D5E" w:rsidRPr="00C21D4D" w:rsidRDefault="00122D5E" w:rsidP="0071320D">
      <w:pPr>
        <w:spacing w:after="0" w:line="240" w:lineRule="auto"/>
        <w:ind w:left="709" w:right="709"/>
        <w:jc w:val="both"/>
        <w:rPr>
          <w:rFonts w:ascii="Verdana" w:hAnsi="Verdana" w:cs="Arial"/>
          <w:color w:val="000000"/>
          <w:sz w:val="20"/>
          <w:szCs w:val="20"/>
          <w:lang w:eastAsia="es-CO"/>
        </w:rPr>
      </w:pPr>
      <w:r w:rsidRPr="00C21D4D">
        <w:rPr>
          <w:rFonts w:ascii="Verdana" w:hAnsi="Verdana" w:cs="Arial"/>
          <w:color w:val="000000"/>
          <w:sz w:val="20"/>
          <w:szCs w:val="20"/>
          <w:lang w:eastAsia="es-CO"/>
        </w:rPr>
        <w:t>Artículo 17. De la terminación unilateral</w:t>
      </w:r>
      <w:r w:rsidRPr="00C21D4D">
        <w:rPr>
          <w:rFonts w:ascii="Verdana" w:hAnsi="Verdana" w:cs="Arial"/>
          <w:b/>
          <w:bCs/>
          <w:color w:val="000000"/>
          <w:sz w:val="20"/>
          <w:szCs w:val="20"/>
          <w:lang w:eastAsia="es-CO"/>
        </w:rPr>
        <w:t>.</w:t>
      </w:r>
      <w:r w:rsidRPr="00C21D4D">
        <w:rPr>
          <w:rFonts w:ascii="Verdana" w:hAnsi="Verdana" w:cs="Arial"/>
          <w:color w:val="000000"/>
          <w:sz w:val="20"/>
          <w:szCs w:val="20"/>
          <w:lang w:eastAsia="es-CO"/>
        </w:rPr>
        <w:t> La entidad en acto administrativo debidamente motivado dispondrá la terminación anticipada del contrato en los siguientes eventos: </w:t>
      </w:r>
    </w:p>
    <w:p w14:paraId="5C898BD0" w14:textId="77777777" w:rsidR="00122D5E" w:rsidRDefault="00122D5E" w:rsidP="0071320D">
      <w:pPr>
        <w:spacing w:after="0" w:line="240" w:lineRule="auto"/>
        <w:ind w:left="709" w:right="709"/>
        <w:jc w:val="both"/>
        <w:rPr>
          <w:rFonts w:ascii="Verdana" w:hAnsi="Verdana" w:cs="Arial"/>
          <w:color w:val="000000"/>
          <w:sz w:val="20"/>
          <w:szCs w:val="20"/>
          <w:lang w:eastAsia="es-CO"/>
        </w:rPr>
      </w:pPr>
    </w:p>
    <w:p w14:paraId="23C593B0" w14:textId="77777777" w:rsidR="00122D5E" w:rsidRPr="00C21D4D" w:rsidRDefault="00122D5E" w:rsidP="0071320D">
      <w:pPr>
        <w:spacing w:after="0" w:line="240" w:lineRule="auto"/>
        <w:ind w:left="709" w:right="709"/>
        <w:jc w:val="both"/>
        <w:rPr>
          <w:rFonts w:ascii="Verdana" w:hAnsi="Verdana" w:cs="Arial"/>
          <w:color w:val="000000"/>
          <w:sz w:val="20"/>
          <w:szCs w:val="20"/>
          <w:lang w:eastAsia="es-CO"/>
        </w:rPr>
      </w:pPr>
      <w:r w:rsidRPr="00C21D4D">
        <w:rPr>
          <w:rFonts w:ascii="Verdana" w:hAnsi="Verdana" w:cs="Arial"/>
          <w:color w:val="000000"/>
          <w:sz w:val="20"/>
          <w:szCs w:val="20"/>
          <w:lang w:eastAsia="es-CO"/>
        </w:rPr>
        <w:t>1o. Cuando las exigencias del servicio público lo requieran o la situación de orden público lo imponga. </w:t>
      </w:r>
    </w:p>
    <w:p w14:paraId="6DBF9AB4" w14:textId="77777777" w:rsidR="00122D5E" w:rsidRDefault="00122D5E" w:rsidP="0071320D">
      <w:pPr>
        <w:spacing w:after="0" w:line="240" w:lineRule="auto"/>
        <w:ind w:left="709" w:right="709"/>
        <w:jc w:val="both"/>
        <w:rPr>
          <w:rFonts w:ascii="Verdana" w:hAnsi="Verdana" w:cs="Arial"/>
          <w:color w:val="000000"/>
          <w:sz w:val="20"/>
          <w:szCs w:val="20"/>
          <w:lang w:eastAsia="es-CO"/>
        </w:rPr>
      </w:pPr>
    </w:p>
    <w:p w14:paraId="6A9EEE70" w14:textId="77777777" w:rsidR="00122D5E" w:rsidRPr="00C21D4D" w:rsidRDefault="00122D5E" w:rsidP="0071320D">
      <w:pPr>
        <w:spacing w:after="0" w:line="240" w:lineRule="auto"/>
        <w:ind w:left="709" w:right="709"/>
        <w:jc w:val="both"/>
        <w:rPr>
          <w:rFonts w:ascii="Verdana" w:hAnsi="Verdana" w:cs="Arial"/>
          <w:color w:val="000000"/>
          <w:sz w:val="20"/>
          <w:szCs w:val="20"/>
          <w:lang w:eastAsia="es-CO"/>
        </w:rPr>
      </w:pPr>
      <w:r w:rsidRPr="00C21D4D">
        <w:rPr>
          <w:rFonts w:ascii="Verdana" w:hAnsi="Verdana" w:cs="Arial"/>
          <w:color w:val="000000"/>
          <w:sz w:val="20"/>
          <w:szCs w:val="20"/>
          <w:lang w:eastAsia="es-CO"/>
        </w:rPr>
        <w:t>2o. Por muerte o incapacidad física permanente del contratista, si es persona natural, o por disolución de la persona jurídica del contratista. </w:t>
      </w:r>
    </w:p>
    <w:p w14:paraId="6E2E330C" w14:textId="77777777" w:rsidR="00122D5E" w:rsidRDefault="00122D5E" w:rsidP="0071320D">
      <w:pPr>
        <w:spacing w:after="0" w:line="240" w:lineRule="auto"/>
        <w:ind w:left="709" w:right="709"/>
        <w:jc w:val="both"/>
        <w:rPr>
          <w:rFonts w:ascii="Verdana" w:hAnsi="Verdana" w:cs="Arial"/>
          <w:color w:val="000000"/>
          <w:sz w:val="20"/>
          <w:szCs w:val="20"/>
          <w:lang w:eastAsia="es-CO"/>
        </w:rPr>
      </w:pPr>
    </w:p>
    <w:p w14:paraId="4D38E72A" w14:textId="38D790E4" w:rsidR="00122D5E" w:rsidRDefault="00122D5E" w:rsidP="00A73216">
      <w:pPr>
        <w:spacing w:after="0" w:line="240" w:lineRule="auto"/>
        <w:ind w:left="709" w:right="709"/>
        <w:jc w:val="both"/>
        <w:rPr>
          <w:rFonts w:ascii="Verdana" w:hAnsi="Verdana" w:cs="Arial"/>
          <w:color w:val="000000"/>
          <w:sz w:val="20"/>
          <w:szCs w:val="20"/>
          <w:lang w:eastAsia="es-CO"/>
        </w:rPr>
      </w:pPr>
      <w:r w:rsidRPr="00C21D4D">
        <w:rPr>
          <w:rFonts w:ascii="Verdana" w:hAnsi="Verdana" w:cs="Arial"/>
          <w:color w:val="000000"/>
          <w:sz w:val="20"/>
          <w:szCs w:val="20"/>
          <w:lang w:eastAsia="es-CO"/>
        </w:rPr>
        <w:t>3o. Por interdicción judicial o declaración de quiebra del contratista. </w:t>
      </w:r>
    </w:p>
    <w:p w14:paraId="1B091618" w14:textId="77777777" w:rsidR="00122D5E" w:rsidRPr="00C21D4D" w:rsidRDefault="00122D5E" w:rsidP="0071320D">
      <w:pPr>
        <w:spacing w:after="0" w:line="240" w:lineRule="auto"/>
        <w:ind w:left="709" w:right="709"/>
        <w:jc w:val="both"/>
        <w:rPr>
          <w:rFonts w:ascii="Verdana" w:hAnsi="Verdana" w:cs="Arial"/>
          <w:color w:val="000000"/>
          <w:sz w:val="20"/>
          <w:szCs w:val="20"/>
          <w:lang w:eastAsia="es-CO"/>
        </w:rPr>
      </w:pPr>
      <w:r w:rsidRPr="00C21D4D">
        <w:rPr>
          <w:rFonts w:ascii="Verdana" w:hAnsi="Verdana" w:cs="Arial"/>
          <w:color w:val="000000"/>
          <w:sz w:val="20"/>
          <w:szCs w:val="20"/>
          <w:lang w:eastAsia="es-CO"/>
        </w:rPr>
        <w:t>4o. Por cesación de pagos, concurso de acreedores o embargos judiciales del contratista que afecten de manera grave el cumplimiento del contrato. </w:t>
      </w:r>
    </w:p>
    <w:p w14:paraId="46A15668" w14:textId="77777777" w:rsidR="00122D5E" w:rsidRPr="00C21D4D" w:rsidRDefault="00122D5E" w:rsidP="00635252">
      <w:pPr>
        <w:spacing w:after="0" w:line="240" w:lineRule="auto"/>
        <w:ind w:left="709" w:right="709"/>
        <w:jc w:val="both"/>
        <w:rPr>
          <w:rFonts w:ascii="Verdana" w:hAnsi="Verdana" w:cs="Arial"/>
          <w:color w:val="000000"/>
          <w:sz w:val="20"/>
          <w:szCs w:val="20"/>
          <w:lang w:eastAsia="es-CO"/>
        </w:rPr>
      </w:pPr>
      <w:r w:rsidRPr="00C21D4D">
        <w:rPr>
          <w:rFonts w:ascii="Verdana" w:hAnsi="Verdana" w:cs="Arial"/>
          <w:color w:val="000000"/>
          <w:sz w:val="20"/>
          <w:szCs w:val="20"/>
          <w:lang w:eastAsia="es-CO"/>
        </w:rPr>
        <w:t>Sin embargo, en los casos a que se refieren los numerales 2o. y 3o. de este artículo podrá continuarse la ejecución con el garante de la obligación. </w:t>
      </w:r>
    </w:p>
    <w:p w14:paraId="62E3171B" w14:textId="77777777" w:rsidR="00635252" w:rsidRPr="00C21D4D" w:rsidRDefault="00635252" w:rsidP="0071320D">
      <w:pPr>
        <w:spacing w:after="0" w:line="240" w:lineRule="auto"/>
        <w:ind w:left="709" w:right="709"/>
        <w:jc w:val="both"/>
        <w:rPr>
          <w:rFonts w:ascii="Verdana" w:hAnsi="Verdana" w:cs="Arial"/>
          <w:color w:val="000000"/>
          <w:sz w:val="20"/>
          <w:szCs w:val="20"/>
          <w:lang w:eastAsia="es-CO"/>
        </w:rPr>
      </w:pPr>
    </w:p>
    <w:p w14:paraId="367CBCC2" w14:textId="77777777" w:rsidR="00122D5E" w:rsidRPr="00C21D4D" w:rsidRDefault="00122D5E" w:rsidP="0071320D">
      <w:pPr>
        <w:spacing w:after="0" w:line="240" w:lineRule="auto"/>
        <w:ind w:left="709" w:right="709"/>
        <w:jc w:val="both"/>
        <w:rPr>
          <w:rFonts w:ascii="Verdana" w:hAnsi="Verdana" w:cs="Arial"/>
          <w:color w:val="000000"/>
          <w:sz w:val="20"/>
          <w:szCs w:val="20"/>
          <w:lang w:eastAsia="es-CO"/>
        </w:rPr>
      </w:pPr>
      <w:r w:rsidRPr="00C21D4D">
        <w:rPr>
          <w:rFonts w:ascii="Verdana" w:hAnsi="Verdana" w:cs="Arial"/>
          <w:color w:val="000000"/>
          <w:sz w:val="20"/>
          <w:szCs w:val="20"/>
          <w:lang w:eastAsia="es-CO"/>
        </w:rPr>
        <w:t>La iniciación de trámite concordatario no dará lugar a la declaratoria de terminación unilateral. En tal evento la ejecución se hará con sujeción a las normas sobre administración de negocios del deudor en concordato. La entidad dispondrá las medidas de inspección, control y vigilancia necesarias para asegurar el cumplimiento del objeto contractual e impedir la paralización del servicio. </w:t>
      </w:r>
    </w:p>
    <w:p w14:paraId="6A62244F" w14:textId="77777777" w:rsidR="00122D5E" w:rsidRDefault="00122D5E" w:rsidP="0071320D">
      <w:pPr>
        <w:spacing w:after="0" w:line="276" w:lineRule="auto"/>
        <w:ind w:firstLine="709"/>
        <w:jc w:val="both"/>
        <w:rPr>
          <w:rFonts w:ascii="Verdana" w:hAnsi="Verdana" w:cs="Arial"/>
          <w:color w:val="000000" w:themeColor="text1"/>
        </w:rPr>
      </w:pPr>
    </w:p>
    <w:p w14:paraId="5217CFA0" w14:textId="77777777" w:rsidR="00122D5E" w:rsidRPr="00C21D4D" w:rsidRDefault="00122D5E" w:rsidP="00635252">
      <w:pPr>
        <w:spacing w:after="0" w:line="276" w:lineRule="auto"/>
        <w:ind w:firstLine="708"/>
        <w:jc w:val="both"/>
        <w:rPr>
          <w:rFonts w:ascii="Verdana" w:hAnsi="Verdana" w:cs="Arial"/>
          <w:color w:val="000000" w:themeColor="text1"/>
        </w:rPr>
      </w:pPr>
      <w:r w:rsidRPr="00C21D4D">
        <w:rPr>
          <w:rFonts w:ascii="Verdana" w:hAnsi="Verdana" w:cs="Arial"/>
          <w:color w:val="000000" w:themeColor="text1"/>
        </w:rPr>
        <w:t>Esta figura no tiene como finalidad sancionar al contratista</w:t>
      </w:r>
      <w:r>
        <w:rPr>
          <w:rFonts w:ascii="Verdana" w:hAnsi="Verdana" w:cs="Arial"/>
          <w:color w:val="000000" w:themeColor="text1"/>
        </w:rPr>
        <w:t>,</w:t>
      </w:r>
      <w:r w:rsidRPr="00C21D4D">
        <w:rPr>
          <w:rFonts w:ascii="Verdana" w:hAnsi="Verdana" w:cs="Arial"/>
          <w:color w:val="000000" w:themeColor="text1"/>
        </w:rPr>
        <w:t xml:space="preserve"> sino que se encuentra dirigida a evitar la paralización del contrato estatal y garantizar su correcta ejecución. La doctrina ha considerado que </w:t>
      </w:r>
      <w:r>
        <w:rPr>
          <w:rFonts w:ascii="Verdana" w:hAnsi="Verdana" w:cs="Arial"/>
          <w:color w:val="000000" w:themeColor="text1"/>
        </w:rPr>
        <w:t>“(</w:t>
      </w:r>
      <w:r w:rsidRPr="00C21D4D">
        <w:rPr>
          <w:rFonts w:ascii="Verdana" w:hAnsi="Verdana" w:cs="Arial"/>
          <w:color w:val="000000" w:themeColor="text1"/>
        </w:rPr>
        <w:t>…</w:t>
      </w:r>
      <w:r>
        <w:rPr>
          <w:rFonts w:ascii="Verdana" w:hAnsi="Verdana" w:cs="Arial"/>
          <w:color w:val="000000" w:themeColor="text1"/>
        </w:rPr>
        <w:t>)</w:t>
      </w:r>
      <w:r w:rsidRPr="00C21D4D">
        <w:rPr>
          <w:rFonts w:ascii="Verdana" w:hAnsi="Verdana" w:cs="Arial"/>
          <w:color w:val="000000" w:themeColor="text1"/>
        </w:rPr>
        <w:t xml:space="preserve"> el artículo 17 de la Ley 80 de 1993 consagra, en virtud del principio de legalidad regente para toda la actividad administrativa, la potestad de las entidades estatales de finiquitar la relación contractual con su contratista a partir de la configuración de cualquiera de las causales expresadas en dicha norma </w:t>
      </w:r>
      <w:r>
        <w:rPr>
          <w:rFonts w:ascii="Verdana" w:hAnsi="Verdana" w:cs="Arial"/>
          <w:color w:val="000000" w:themeColor="text1"/>
        </w:rPr>
        <w:t>(…)”</w:t>
      </w:r>
      <w:r w:rsidRPr="00C21D4D">
        <w:rPr>
          <w:rStyle w:val="Refdenotaalpie"/>
          <w:rFonts w:ascii="Verdana" w:hAnsi="Verdana" w:cs="Arial"/>
          <w:color w:val="000000" w:themeColor="text1"/>
        </w:rPr>
        <w:footnoteReference w:id="27"/>
      </w:r>
      <w:r w:rsidRPr="00C21D4D">
        <w:rPr>
          <w:rFonts w:ascii="Verdana" w:hAnsi="Verdana" w:cs="Arial"/>
          <w:color w:val="000000" w:themeColor="text1"/>
        </w:rPr>
        <w:t xml:space="preserve">. En igual sentido lo ha reconocido el Consejo de Estado al poner de presente que: </w:t>
      </w:r>
    </w:p>
    <w:p w14:paraId="104198F4" w14:textId="77777777" w:rsidR="00635252" w:rsidRPr="00C21D4D" w:rsidRDefault="00635252" w:rsidP="00611E54">
      <w:pPr>
        <w:spacing w:after="0" w:line="276" w:lineRule="auto"/>
        <w:ind w:firstLine="708"/>
        <w:jc w:val="both"/>
        <w:rPr>
          <w:rFonts w:ascii="Verdana" w:hAnsi="Verdana" w:cs="Arial"/>
          <w:color w:val="000000" w:themeColor="text1"/>
        </w:rPr>
      </w:pPr>
    </w:p>
    <w:p w14:paraId="768520A9" w14:textId="77777777" w:rsidR="00122D5E" w:rsidRPr="00C21D4D" w:rsidRDefault="00122D5E" w:rsidP="00122D5E">
      <w:pPr>
        <w:pStyle w:val="NormalWeb"/>
        <w:spacing w:before="0" w:beforeAutospacing="0" w:after="0" w:afterAutospacing="0"/>
        <w:ind w:left="709" w:right="616"/>
        <w:jc w:val="both"/>
        <w:rPr>
          <w:rFonts w:ascii="Verdana" w:hAnsi="Verdana" w:cs="Arial"/>
          <w:sz w:val="20"/>
          <w:szCs w:val="20"/>
        </w:rPr>
      </w:pPr>
      <w:r w:rsidRPr="00C21D4D">
        <w:rPr>
          <w:rFonts w:ascii="Verdana" w:hAnsi="Verdana" w:cs="Arial"/>
          <w:sz w:val="20"/>
          <w:szCs w:val="20"/>
        </w:rPr>
        <w:lastRenderedPageBreak/>
        <w:t xml:space="preserve">Según los explícitos dictados de la referida Ley 80, es claro que dicha forma de terminación unilateral tiene </w:t>
      </w:r>
      <w:r w:rsidRPr="00C21D4D">
        <w:rPr>
          <w:rFonts w:ascii="Verdana" w:hAnsi="Verdana" w:cs="Arial"/>
          <w:i/>
          <w:iCs/>
          <w:sz w:val="20"/>
          <w:szCs w:val="20"/>
        </w:rPr>
        <w:t xml:space="preserve">“(...) el exclusivo objeto de evitar la paralización o la afectación grave de los servicios públicos a su cargo </w:t>
      </w:r>
      <w:r w:rsidRPr="00C21D4D">
        <w:rPr>
          <w:rFonts w:ascii="Verdana" w:hAnsi="Verdana" w:cs="Arial"/>
          <w:sz w:val="20"/>
          <w:szCs w:val="20"/>
        </w:rPr>
        <w:t xml:space="preserve">[se refiere a la entidad estatal contratante] </w:t>
      </w:r>
      <w:r w:rsidRPr="00C21D4D">
        <w:rPr>
          <w:rFonts w:ascii="Verdana" w:hAnsi="Verdana" w:cs="Arial"/>
          <w:i/>
          <w:iCs/>
          <w:sz w:val="20"/>
          <w:szCs w:val="20"/>
        </w:rPr>
        <w:t xml:space="preserve">y asegurar la inmediata, continua y adecuada prestación (...)” </w:t>
      </w:r>
      <w:r w:rsidRPr="00C21D4D">
        <w:rPr>
          <w:rFonts w:ascii="Verdana" w:hAnsi="Verdana" w:cs="Arial"/>
          <w:sz w:val="20"/>
          <w:szCs w:val="20"/>
        </w:rPr>
        <w:t xml:space="preserve">de los mismos. </w:t>
      </w:r>
    </w:p>
    <w:p w14:paraId="6C42F70B" w14:textId="77777777" w:rsidR="00122D5E" w:rsidRPr="00C21D4D" w:rsidRDefault="00122D5E" w:rsidP="00122D5E">
      <w:pPr>
        <w:pStyle w:val="NormalWeb"/>
        <w:spacing w:before="0" w:beforeAutospacing="0" w:after="0" w:afterAutospacing="0"/>
        <w:ind w:left="709" w:right="616"/>
        <w:jc w:val="both"/>
        <w:rPr>
          <w:rFonts w:ascii="Verdana" w:hAnsi="Verdana" w:cs="Arial"/>
          <w:sz w:val="20"/>
          <w:szCs w:val="20"/>
        </w:rPr>
      </w:pPr>
    </w:p>
    <w:p w14:paraId="600C4061" w14:textId="77777777" w:rsidR="00122D5E" w:rsidRDefault="00122D5E" w:rsidP="00122D5E">
      <w:pPr>
        <w:pStyle w:val="NormalWeb"/>
        <w:spacing w:before="0" w:beforeAutospacing="0" w:after="0" w:afterAutospacing="0"/>
        <w:ind w:left="709" w:right="616"/>
        <w:jc w:val="both"/>
        <w:rPr>
          <w:rFonts w:ascii="Verdana" w:hAnsi="Verdana" w:cs="Arial"/>
          <w:sz w:val="20"/>
          <w:szCs w:val="20"/>
        </w:rPr>
      </w:pPr>
      <w:r w:rsidRPr="00C21D4D">
        <w:rPr>
          <w:rFonts w:ascii="Verdana" w:hAnsi="Verdana" w:cs="Arial"/>
          <w:sz w:val="20"/>
          <w:szCs w:val="20"/>
        </w:rPr>
        <w:t xml:space="preserve">Esta modalidad de terminación unilateral únicamente puede tener aplicación respecto de aquellos específicos contratos estatales señalados en el numeral 2o del artículo 14 de la Ley 80, esto es: </w:t>
      </w:r>
      <w:r w:rsidRPr="00C21D4D">
        <w:rPr>
          <w:rFonts w:ascii="Verdana" w:hAnsi="Verdana" w:cs="Arial"/>
          <w:i/>
          <w:iCs/>
          <w:sz w:val="20"/>
          <w:szCs w:val="20"/>
        </w:rPr>
        <w:t xml:space="preserve">a) “en los contratos que tengan por objeto el ejercicio de una actividad que constituya monopolio estatal”; b) </w:t>
      </w:r>
      <w:r w:rsidRPr="00C21D4D">
        <w:rPr>
          <w:rFonts w:ascii="Verdana" w:hAnsi="Verdana" w:cs="Arial"/>
          <w:sz w:val="20"/>
          <w:szCs w:val="20"/>
        </w:rPr>
        <w:t xml:space="preserve">en los contratos que tengan por objeto </w:t>
      </w:r>
      <w:r w:rsidRPr="00C21D4D">
        <w:rPr>
          <w:rFonts w:ascii="Verdana" w:hAnsi="Verdana" w:cs="Arial"/>
          <w:i/>
          <w:iCs/>
          <w:sz w:val="20"/>
          <w:szCs w:val="20"/>
        </w:rPr>
        <w:t xml:space="preserve">“la prestación de servicios públicos”; c) </w:t>
      </w:r>
      <w:r w:rsidRPr="00C21D4D">
        <w:rPr>
          <w:rFonts w:ascii="Verdana" w:hAnsi="Verdana" w:cs="Arial"/>
          <w:sz w:val="20"/>
          <w:szCs w:val="20"/>
        </w:rPr>
        <w:t xml:space="preserve">en los contratos que tengan por objeto </w:t>
      </w:r>
      <w:r w:rsidRPr="00C21D4D">
        <w:rPr>
          <w:rFonts w:ascii="Verdana" w:hAnsi="Verdana" w:cs="Arial"/>
          <w:i/>
          <w:iCs/>
          <w:sz w:val="20"/>
          <w:szCs w:val="20"/>
        </w:rPr>
        <w:t xml:space="preserve">“la explotación y concesión de bienes del Estado” </w:t>
      </w:r>
      <w:r w:rsidRPr="00C21D4D">
        <w:rPr>
          <w:rFonts w:ascii="Verdana" w:hAnsi="Verdana" w:cs="Arial"/>
          <w:sz w:val="20"/>
          <w:szCs w:val="20"/>
        </w:rPr>
        <w:t xml:space="preserve">y </w:t>
      </w:r>
      <w:r w:rsidRPr="00C21D4D">
        <w:rPr>
          <w:rFonts w:ascii="Verdana" w:hAnsi="Verdana" w:cs="Arial"/>
          <w:i/>
          <w:iCs/>
          <w:sz w:val="20"/>
          <w:szCs w:val="20"/>
        </w:rPr>
        <w:t>d) “en los contratos de obra”</w:t>
      </w:r>
      <w:r w:rsidRPr="00C21D4D">
        <w:rPr>
          <w:rFonts w:ascii="Verdana" w:hAnsi="Verdana" w:cs="Arial"/>
          <w:sz w:val="20"/>
          <w:szCs w:val="20"/>
        </w:rPr>
        <w:t xml:space="preserve">, en cuanto en todos ellos resulta imperativa la inclusión de la cláusula excepcional de terminación unilateral; así́ mismo podría aplicarse en aquellos </w:t>
      </w:r>
      <w:r w:rsidRPr="00C21D4D">
        <w:rPr>
          <w:rFonts w:ascii="Verdana" w:hAnsi="Verdana" w:cs="Arial"/>
          <w:i/>
          <w:iCs/>
          <w:sz w:val="20"/>
          <w:szCs w:val="20"/>
        </w:rPr>
        <w:t xml:space="preserve">f) “contratos de suministro” </w:t>
      </w:r>
      <w:r w:rsidRPr="00C21D4D">
        <w:rPr>
          <w:rFonts w:ascii="Verdana" w:hAnsi="Verdana" w:cs="Arial"/>
          <w:sz w:val="20"/>
          <w:szCs w:val="20"/>
        </w:rPr>
        <w:t xml:space="preserve">y </w:t>
      </w:r>
      <w:r w:rsidRPr="00C21D4D">
        <w:rPr>
          <w:rFonts w:ascii="Verdana" w:hAnsi="Verdana" w:cs="Arial"/>
          <w:i/>
          <w:iCs/>
          <w:sz w:val="20"/>
          <w:szCs w:val="20"/>
        </w:rPr>
        <w:t xml:space="preserve">g) </w:t>
      </w:r>
      <w:r w:rsidRPr="00C21D4D">
        <w:rPr>
          <w:rFonts w:ascii="Verdana" w:hAnsi="Verdana" w:cs="Arial"/>
          <w:sz w:val="20"/>
          <w:szCs w:val="20"/>
        </w:rPr>
        <w:t xml:space="preserve">contratos </w:t>
      </w:r>
      <w:r w:rsidRPr="00C21D4D">
        <w:rPr>
          <w:rFonts w:ascii="Verdana" w:hAnsi="Verdana" w:cs="Arial"/>
          <w:i/>
          <w:iCs/>
          <w:sz w:val="20"/>
          <w:szCs w:val="20"/>
        </w:rPr>
        <w:t xml:space="preserve">“de prestación de servicios”, </w:t>
      </w:r>
      <w:r w:rsidRPr="00C21D4D">
        <w:rPr>
          <w:rFonts w:ascii="Verdana" w:hAnsi="Verdana" w:cs="Arial"/>
          <w:sz w:val="20"/>
          <w:szCs w:val="20"/>
        </w:rPr>
        <w:t xml:space="preserve">en los cuales se hubiere incluido expresamente esa cláusula excepcional, comoquiera que en estos dos (2) últimos dicha estipulación resulta facultativa y, por tanto, se encuentra expresamente autorizada por la ley su inclusión. </w:t>
      </w:r>
    </w:p>
    <w:p w14:paraId="510EABEB" w14:textId="77777777" w:rsidR="00122D5E" w:rsidRPr="00C21D4D" w:rsidRDefault="00122D5E" w:rsidP="00122D5E">
      <w:pPr>
        <w:pStyle w:val="NormalWeb"/>
        <w:spacing w:before="0" w:beforeAutospacing="0" w:after="0" w:afterAutospacing="0"/>
        <w:ind w:left="709" w:right="709"/>
        <w:jc w:val="both"/>
        <w:rPr>
          <w:rFonts w:ascii="Verdana" w:hAnsi="Verdana" w:cs="Arial"/>
          <w:sz w:val="20"/>
          <w:szCs w:val="20"/>
        </w:rPr>
      </w:pPr>
    </w:p>
    <w:p w14:paraId="3AE638AD" w14:textId="77777777" w:rsidR="00122D5E" w:rsidRPr="00C21D4D" w:rsidRDefault="00122D5E" w:rsidP="00122D5E">
      <w:pPr>
        <w:pStyle w:val="NormalWeb"/>
        <w:spacing w:before="0" w:beforeAutospacing="0" w:after="0" w:afterAutospacing="0"/>
        <w:ind w:left="709" w:right="709"/>
        <w:jc w:val="both"/>
        <w:rPr>
          <w:rFonts w:ascii="Verdana" w:hAnsi="Verdana" w:cs="Arial"/>
          <w:sz w:val="20"/>
          <w:szCs w:val="20"/>
        </w:rPr>
      </w:pPr>
      <w:r w:rsidRPr="00C21D4D">
        <w:rPr>
          <w:rFonts w:ascii="Verdana" w:hAnsi="Verdana" w:cs="Arial"/>
          <w:sz w:val="20"/>
          <w:szCs w:val="20"/>
        </w:rPr>
        <w:t xml:space="preserve">Tal como lo ordena el inciso 2o del numeral 1o del citado artículo 14 de la Ley 80, cada vez que una entidad estatal ejerza esta potestad excepcional de terminación unilateral </w:t>
      </w:r>
      <w:r w:rsidRPr="00C21D4D">
        <w:rPr>
          <w:rFonts w:ascii="Verdana" w:hAnsi="Verdana" w:cs="Arial"/>
          <w:i/>
          <w:iCs/>
          <w:sz w:val="20"/>
          <w:szCs w:val="20"/>
        </w:rPr>
        <w:t xml:space="preserve">“(...) deberá́ procederse al reconocimiento y orden de pago de las compensación e indemnizaciones a que tengan derecho las personas objeto de tales medidas y se aplicarán los mecanismos de ajuste de las condiciones y términos contractuales a que haya lugar, todo ello con el fin de mantener la ecuación o equilibrio inicial”. </w:t>
      </w:r>
    </w:p>
    <w:p w14:paraId="2D192AAD" w14:textId="77777777" w:rsidR="00122D5E" w:rsidRPr="00C21D4D" w:rsidRDefault="00122D5E" w:rsidP="00122D5E">
      <w:pPr>
        <w:pStyle w:val="NormalWeb"/>
        <w:spacing w:before="0" w:beforeAutospacing="0" w:after="0" w:afterAutospacing="0"/>
        <w:ind w:left="709" w:right="709"/>
        <w:jc w:val="both"/>
        <w:rPr>
          <w:rFonts w:ascii="Verdana" w:hAnsi="Verdana" w:cs="Arial"/>
          <w:sz w:val="20"/>
          <w:szCs w:val="20"/>
        </w:rPr>
      </w:pPr>
    </w:p>
    <w:p w14:paraId="398702EB" w14:textId="77777777" w:rsidR="00122D5E" w:rsidRPr="00C21D4D" w:rsidRDefault="00122D5E" w:rsidP="00122D5E">
      <w:pPr>
        <w:pStyle w:val="NormalWeb"/>
        <w:spacing w:before="0" w:beforeAutospacing="0" w:after="0" w:afterAutospacing="0"/>
        <w:ind w:left="709" w:right="709"/>
        <w:jc w:val="both"/>
        <w:rPr>
          <w:rFonts w:ascii="Verdana" w:hAnsi="Verdana" w:cs="Arial"/>
          <w:sz w:val="20"/>
          <w:szCs w:val="20"/>
        </w:rPr>
      </w:pPr>
      <w:r w:rsidRPr="00C21D4D">
        <w:rPr>
          <w:rFonts w:ascii="Verdana" w:hAnsi="Verdana" w:cs="Arial"/>
          <w:sz w:val="20"/>
          <w:szCs w:val="20"/>
        </w:rPr>
        <w:t>El aspecto que se acaba de destacar pone de manifiesto que esta especie o modalidad de terminación unilateral de los contratos estatales no comporta la imposición de sanción alguna y, por tanto, a partir de su ejecutoria no se genera inhabilidad alguna en relación con el contratista afectado, lo cual, además, encuentra explicación suficiente en las causales, expresamente consagradas en la ley, que dan lugar a su aplicación</w:t>
      </w:r>
      <w:r w:rsidRPr="00C21D4D">
        <w:rPr>
          <w:rStyle w:val="Refdenotaalpie"/>
          <w:rFonts w:ascii="Verdana" w:hAnsi="Verdana" w:cs="Arial"/>
          <w:sz w:val="20"/>
          <w:szCs w:val="20"/>
        </w:rPr>
        <w:footnoteReference w:id="28"/>
      </w:r>
      <w:r>
        <w:rPr>
          <w:rFonts w:ascii="Verdana" w:hAnsi="Verdana" w:cs="Arial"/>
          <w:sz w:val="20"/>
          <w:szCs w:val="20"/>
        </w:rPr>
        <w:t>.</w:t>
      </w:r>
    </w:p>
    <w:p w14:paraId="0B87C392" w14:textId="77777777" w:rsidR="00122D5E" w:rsidRPr="00C21D4D" w:rsidRDefault="00122D5E" w:rsidP="00122D5E">
      <w:pPr>
        <w:pStyle w:val="NormalWeb"/>
        <w:spacing w:before="0" w:beforeAutospacing="0" w:after="0" w:afterAutospacing="0"/>
        <w:ind w:left="709" w:right="709"/>
        <w:jc w:val="both"/>
        <w:rPr>
          <w:rFonts w:ascii="Verdana" w:hAnsi="Verdana" w:cs="Arial"/>
          <w:sz w:val="20"/>
          <w:szCs w:val="20"/>
        </w:rPr>
      </w:pPr>
    </w:p>
    <w:p w14:paraId="7266757A" w14:textId="77777777" w:rsidR="00122D5E" w:rsidRDefault="00122D5E" w:rsidP="00122D5E">
      <w:pPr>
        <w:spacing w:line="276" w:lineRule="auto"/>
        <w:ind w:firstLine="708"/>
        <w:jc w:val="both"/>
        <w:rPr>
          <w:rFonts w:ascii="Verdana" w:hAnsi="Verdana" w:cs="Arial"/>
          <w:color w:val="000000" w:themeColor="text1"/>
        </w:rPr>
      </w:pPr>
      <w:r w:rsidRPr="00E60501">
        <w:rPr>
          <w:rFonts w:ascii="Verdana" w:hAnsi="Verdana" w:cs="Arial"/>
          <w:color w:val="000000" w:themeColor="text1"/>
        </w:rPr>
        <w:t xml:space="preserve">Conforme con lo anterior, la terminación unilateral del contrato es una prerrogativa excepcional que, lejos de fungir como un acto represivo contra el contratista o en contra de la ejecución del contrato mismo, constituye una herramienta cuyo fin exclusivo es el de lograr el cabal cumplimiento de los cometidos estatales. En todo caso, el ejercicio de esta potestad supone el reconocimiento y pago de las compensaciones e indemnizaciones a las que haya </w:t>
      </w:r>
      <w:r w:rsidRPr="00E60501">
        <w:rPr>
          <w:rFonts w:ascii="Verdana" w:hAnsi="Verdana" w:cs="Arial"/>
          <w:color w:val="000000" w:themeColor="text1"/>
        </w:rPr>
        <w:lastRenderedPageBreak/>
        <w:t>lugar, así como la aplicación de los mecanismos de reajuste. Lo anterior indica que la terminación unilateral del contrato estatal no entraña una sanción, por lo que, a partir de su ejecutoria no se genera inhabilidad para el contratista por este solo hecho.</w:t>
      </w:r>
    </w:p>
    <w:p w14:paraId="5FB5C76C" w14:textId="77777777" w:rsidR="00122D5E" w:rsidRPr="00E60501" w:rsidRDefault="00122D5E" w:rsidP="00122D5E">
      <w:pPr>
        <w:spacing w:line="276" w:lineRule="auto"/>
        <w:ind w:firstLine="708"/>
        <w:jc w:val="both"/>
        <w:rPr>
          <w:rFonts w:ascii="Verdana" w:hAnsi="Verdana" w:cs="Arial"/>
          <w:color w:val="000000" w:themeColor="text1"/>
        </w:rPr>
      </w:pPr>
      <w:r>
        <w:rPr>
          <w:rFonts w:ascii="Verdana" w:hAnsi="Verdana" w:cs="Arial"/>
          <w:color w:val="000000"/>
          <w:shd w:val="clear" w:color="auto" w:fill="FFFFFF"/>
          <w:lang w:eastAsia="es-CO"/>
        </w:rPr>
        <w:t xml:space="preserve">En definitiva, la entidad estatal solo podrá dar por terminado de manera unilateral por las causales establecidas en el artículo 17 de la Ley 80 de 1993. </w:t>
      </w:r>
    </w:p>
    <w:p w14:paraId="5BB06F0C" w14:textId="77777777" w:rsidR="00122D5E" w:rsidRDefault="00122D5E" w:rsidP="00122D5E">
      <w:pPr>
        <w:spacing w:line="276" w:lineRule="auto"/>
        <w:ind w:firstLine="708"/>
        <w:jc w:val="both"/>
        <w:rPr>
          <w:rFonts w:ascii="Verdana" w:hAnsi="Verdana" w:cs="Arial"/>
          <w:color w:val="000000"/>
          <w:shd w:val="clear" w:color="auto" w:fill="FFFFFF"/>
          <w:lang w:eastAsia="es-CO"/>
        </w:rPr>
      </w:pPr>
      <w:r>
        <w:rPr>
          <w:rFonts w:ascii="Verdana" w:hAnsi="Verdana" w:cs="Arial"/>
          <w:color w:val="000000"/>
          <w:shd w:val="clear" w:color="auto" w:fill="FFFFFF"/>
          <w:lang w:eastAsia="es-CO"/>
        </w:rPr>
        <w:t xml:space="preserve">Ahora bien, en virtud de la autonomía de la voluntad, las partes podrán dar por terminado de común acuerdo el contrato estatal, según las pautas definidas en el artículo 40 de la Ley 80 de 1993. </w:t>
      </w:r>
    </w:p>
    <w:p w14:paraId="1AA10005" w14:textId="77777777" w:rsidR="00122D5E" w:rsidRDefault="00122D5E" w:rsidP="00122D5E">
      <w:pPr>
        <w:spacing w:line="276" w:lineRule="auto"/>
        <w:ind w:firstLine="708"/>
        <w:jc w:val="both"/>
        <w:rPr>
          <w:rFonts w:ascii="Verdana" w:hAnsi="Verdana" w:cs="Arial"/>
          <w:color w:val="000000"/>
          <w:shd w:val="clear" w:color="auto" w:fill="FFFFFF"/>
          <w:lang w:eastAsia="es-CO"/>
        </w:rPr>
      </w:pPr>
      <w:r w:rsidRPr="00664DD0">
        <w:rPr>
          <w:rFonts w:ascii="Verdana" w:hAnsi="Verdana" w:cs="Arial"/>
          <w:color w:val="000000"/>
          <w:shd w:val="clear" w:color="auto" w:fill="FFFFFF"/>
          <w:lang w:eastAsia="es-CO"/>
        </w:rPr>
        <w:t xml:space="preserve">La normatividad aplicable a los contratos estatales parte de la Constitución Política, así como por las disposiciones comerciales y civiles pertinentes, salvo las materias especialmente reguladas en la ley 80 de 1993 (artículo 13). Por </w:t>
      </w:r>
      <w:r>
        <w:rPr>
          <w:rFonts w:ascii="Verdana" w:hAnsi="Verdana" w:cs="Arial"/>
          <w:color w:val="000000"/>
          <w:shd w:val="clear" w:color="auto" w:fill="FFFFFF"/>
          <w:lang w:eastAsia="es-CO"/>
        </w:rPr>
        <w:t>otro lado,</w:t>
      </w:r>
      <w:r w:rsidRPr="00664DD0">
        <w:rPr>
          <w:rFonts w:ascii="Verdana" w:hAnsi="Verdana" w:cs="Arial"/>
          <w:color w:val="000000"/>
          <w:shd w:val="clear" w:color="auto" w:fill="FFFFFF"/>
          <w:lang w:eastAsia="es-CO"/>
        </w:rPr>
        <w:t xml:space="preserve"> el artículo 32 </w:t>
      </w:r>
      <w:proofErr w:type="spellStart"/>
      <w:r w:rsidRPr="00664DD0">
        <w:rPr>
          <w:rFonts w:ascii="Verdana" w:hAnsi="Verdana" w:cs="Arial"/>
          <w:color w:val="000000"/>
          <w:shd w:val="clear" w:color="auto" w:fill="FFFFFF"/>
          <w:lang w:eastAsia="es-CO"/>
        </w:rPr>
        <w:t>ibídem</w:t>
      </w:r>
      <w:proofErr w:type="spellEnd"/>
      <w:r w:rsidRPr="00664DD0">
        <w:rPr>
          <w:rFonts w:ascii="Verdana" w:hAnsi="Verdana" w:cs="Arial"/>
          <w:color w:val="000000"/>
          <w:shd w:val="clear" w:color="auto" w:fill="FFFFFF"/>
          <w:lang w:eastAsia="es-CO"/>
        </w:rPr>
        <w:t xml:space="preserve"> define los contratos estatales como “…todos los actos jurídicos generadores de obligaciones que celebren las entidades a que se refiere el presente estatuto, previstos en el derecho privado o en disposiciones especiales, o derivados del ejercicio de la autonomía de la voluntad, así como los que, a título enunciativo, se definen a continuación…”. En concordancia con lo anterior, el artículo 40 de la ley 80 reitera el ejercicio de la autonomía de la voluntad en la contratación estatal, permitiéndola en la negociación de las estipulaciones contractuales, en el contexto de los fines</w:t>
      </w:r>
      <w:r>
        <w:rPr>
          <w:rFonts w:ascii="Verdana" w:hAnsi="Verdana" w:cs="Arial"/>
          <w:color w:val="000000"/>
          <w:shd w:val="clear" w:color="auto" w:fill="FFFFFF"/>
          <w:lang w:eastAsia="es-CO"/>
        </w:rPr>
        <w:t xml:space="preserve"> </w:t>
      </w:r>
      <w:r w:rsidRPr="00664DD0">
        <w:rPr>
          <w:rFonts w:ascii="Verdana" w:hAnsi="Verdana" w:cs="Arial"/>
          <w:color w:val="000000"/>
          <w:shd w:val="clear" w:color="auto" w:fill="FFFFFF"/>
          <w:lang w:eastAsia="es-CO"/>
        </w:rPr>
        <w:t xml:space="preserve">estatales, las cuales estarán “de acuerdo con las normas civiles, comerciales y las previstas en esta ley, (que) correspondan a su esencia y naturaleza”. Agrega además que en los contratos celebrados por las entidades estatales “podrán incluirse las modalidades, condiciones y en general, las cláusulas o estipulaciones que las partes consideren necesarias y convenientes, siempre que no sean contrarias a la Constitución, la ley, el orden público y a los principios y finalidades de esta ley y a los de la buena administración” (inciso 4º </w:t>
      </w:r>
      <w:proofErr w:type="spellStart"/>
      <w:r w:rsidRPr="00664DD0">
        <w:rPr>
          <w:rFonts w:ascii="Verdana" w:hAnsi="Verdana" w:cs="Arial"/>
          <w:color w:val="000000"/>
          <w:shd w:val="clear" w:color="auto" w:fill="FFFFFF"/>
          <w:lang w:eastAsia="es-CO"/>
        </w:rPr>
        <w:t>ibídem</w:t>
      </w:r>
      <w:proofErr w:type="spellEnd"/>
      <w:r w:rsidRPr="00664DD0">
        <w:rPr>
          <w:rFonts w:ascii="Verdana" w:hAnsi="Verdana" w:cs="Arial"/>
          <w:color w:val="000000"/>
          <w:shd w:val="clear" w:color="auto" w:fill="FFFFFF"/>
          <w:lang w:eastAsia="es-CO"/>
        </w:rPr>
        <w:t>).</w:t>
      </w:r>
    </w:p>
    <w:p w14:paraId="2D8A7F6F" w14:textId="77777777" w:rsidR="00122D5E" w:rsidRDefault="00122D5E" w:rsidP="00122D5E">
      <w:pPr>
        <w:spacing w:line="276" w:lineRule="auto"/>
        <w:ind w:firstLine="708"/>
        <w:jc w:val="both"/>
        <w:rPr>
          <w:rFonts w:ascii="Verdana" w:hAnsi="Verdana" w:cs="Arial"/>
          <w:color w:val="000000"/>
          <w:shd w:val="clear" w:color="auto" w:fill="FFFFFF"/>
          <w:lang w:eastAsia="es-CO"/>
        </w:rPr>
      </w:pPr>
      <w:r w:rsidRPr="00664DD0">
        <w:rPr>
          <w:rFonts w:ascii="Verdana" w:hAnsi="Verdana" w:cs="Arial"/>
          <w:color w:val="000000"/>
          <w:shd w:val="clear" w:color="auto" w:fill="FFFFFF"/>
          <w:lang w:eastAsia="es-CO"/>
        </w:rPr>
        <w:t>Así las cosas, lo dicho sobre la terminación anticipada por mutuo disenso de los contratos en el derecho privado, al tener pleno soporte constitucional y legal en las normas mercantiles y civiles, cobra aplicación para la contratación estatal por disposición expresa y directa de los artículos 13, 32 y 40 de la ley 80 de 1993. No obstante, para dicha terminación no basta el simple acuerdo de las partes, sino que debe verificarse que la extinción del vínculo contractual este conforme con la finalidad de interés público ínsita en la contratación estatal y la observancia de los principios constitucionales de la función administrativa</w:t>
      </w:r>
      <w:r>
        <w:rPr>
          <w:rFonts w:ascii="Verdana" w:hAnsi="Verdana" w:cs="Arial"/>
          <w:color w:val="000000"/>
          <w:shd w:val="clear" w:color="auto" w:fill="FFFFFF"/>
          <w:lang w:eastAsia="es-CO"/>
        </w:rPr>
        <w:t>.</w:t>
      </w:r>
    </w:p>
    <w:p w14:paraId="354780F8" w14:textId="77777777" w:rsidR="00122D5E" w:rsidRDefault="00122D5E" w:rsidP="00122D5E">
      <w:pPr>
        <w:spacing w:line="276" w:lineRule="auto"/>
        <w:ind w:firstLine="708"/>
        <w:jc w:val="both"/>
        <w:rPr>
          <w:rFonts w:ascii="Verdana" w:hAnsi="Verdana" w:cs="Arial"/>
          <w:color w:val="000000"/>
          <w:shd w:val="clear" w:color="auto" w:fill="FFFFFF"/>
          <w:lang w:eastAsia="es-CO"/>
        </w:rPr>
      </w:pPr>
      <w:r>
        <w:rPr>
          <w:rFonts w:ascii="Verdana" w:hAnsi="Verdana" w:cs="Arial"/>
          <w:color w:val="000000"/>
          <w:shd w:val="clear" w:color="auto" w:fill="FFFFFF"/>
          <w:lang w:eastAsia="es-CO"/>
        </w:rPr>
        <w:lastRenderedPageBreak/>
        <w:t>Por último, un asunto importante a destacar corresponde al evento en que, existiendo un contrato en los términos establecidos en el ECGP, si la entidad dentro de su juicio analítico considera que el mismo está incurso en alguna de las causales de nulidad que prevé el derecho común y aquellas definidas en el artículo 44 de la Ley 80 de 1993, tendrá la facultad de proceder con la solicitud ante el juez del contrato de su declaratoria</w:t>
      </w:r>
      <w:r>
        <w:rPr>
          <w:rStyle w:val="Refdenotaalpie"/>
          <w:rFonts w:ascii="Verdana" w:hAnsi="Verdana" w:cs="Arial"/>
          <w:color w:val="000000"/>
          <w:shd w:val="clear" w:color="auto" w:fill="FFFFFF"/>
          <w:lang w:eastAsia="es-CO"/>
        </w:rPr>
        <w:footnoteReference w:id="29"/>
      </w:r>
      <w:r>
        <w:rPr>
          <w:rFonts w:ascii="Verdana" w:hAnsi="Verdana" w:cs="Arial"/>
          <w:color w:val="000000"/>
          <w:shd w:val="clear" w:color="auto" w:fill="FFFFFF"/>
          <w:lang w:eastAsia="es-CO"/>
        </w:rPr>
        <w:t xml:space="preserve">. </w:t>
      </w:r>
    </w:p>
    <w:p w14:paraId="67AF3D96" w14:textId="2F6C933D" w:rsidR="00635252" w:rsidRDefault="00122D5E" w:rsidP="00611E54">
      <w:pPr>
        <w:spacing w:after="0" w:line="276" w:lineRule="auto"/>
        <w:ind w:firstLine="708"/>
        <w:jc w:val="both"/>
        <w:rPr>
          <w:rFonts w:ascii="Verdana" w:eastAsia="Calibri" w:hAnsi="Verdana" w:cs="Arial"/>
          <w:lang w:val="es-ES"/>
        </w:rPr>
      </w:pPr>
      <w:r w:rsidRPr="00331DEB">
        <w:rPr>
          <w:rFonts w:ascii="Verdana" w:eastAsia="Calibri" w:hAnsi="Verdana" w:cs="Arial"/>
          <w:lang w:val="es-ES"/>
        </w:rPr>
        <w:t>De esta forma, la nulidad del contrato, por su parte, ha sido definida por el Consejo de Estado como una sanción que es declarada por un juez, con la finalidad de hacer desaparecer el contrato del mundo jurídico por su falta de validez, en los siguientes términos:</w:t>
      </w:r>
    </w:p>
    <w:p w14:paraId="722699F7" w14:textId="77777777" w:rsidR="00867BA1" w:rsidRPr="00611E54" w:rsidRDefault="00867BA1" w:rsidP="00867BA1">
      <w:pPr>
        <w:spacing w:after="0" w:line="240" w:lineRule="auto"/>
        <w:ind w:firstLine="709"/>
        <w:jc w:val="both"/>
        <w:rPr>
          <w:rFonts w:ascii="Verdana" w:eastAsia="Calibri" w:hAnsi="Verdana" w:cs="Arial"/>
          <w:lang w:val="es-ES"/>
        </w:rPr>
      </w:pPr>
    </w:p>
    <w:p w14:paraId="050FD4EB" w14:textId="77777777" w:rsidR="00122D5E" w:rsidRPr="00331DEB" w:rsidRDefault="00122D5E" w:rsidP="00611E54">
      <w:pPr>
        <w:spacing w:after="0" w:line="240" w:lineRule="auto"/>
        <w:ind w:left="709" w:right="709"/>
        <w:contextualSpacing/>
        <w:jc w:val="both"/>
        <w:rPr>
          <w:rFonts w:ascii="Verdana" w:eastAsia="Calibri" w:hAnsi="Verdana" w:cs="Arial"/>
          <w:sz w:val="20"/>
          <w:szCs w:val="20"/>
          <w:lang w:val="es-ES"/>
        </w:rPr>
      </w:pPr>
      <w:r w:rsidRPr="00331DEB">
        <w:rPr>
          <w:rFonts w:ascii="Verdana" w:eastAsia="Calibri" w:hAnsi="Verdana" w:cs="Arial"/>
          <w:sz w:val="20"/>
          <w:szCs w:val="20"/>
          <w:lang w:val="es-ES"/>
        </w:rPr>
        <w:t xml:space="preserve">“En tal virtud, la nulidad es la sanción de invalidez del contrato </w:t>
      </w:r>
      <w:proofErr w:type="gramStart"/>
      <w:r w:rsidRPr="00331DEB">
        <w:rPr>
          <w:rFonts w:ascii="Verdana" w:eastAsia="Calibri" w:hAnsi="Verdana" w:cs="Arial"/>
          <w:sz w:val="20"/>
          <w:szCs w:val="20"/>
          <w:lang w:val="es-ES"/>
        </w:rPr>
        <w:t>que</w:t>
      </w:r>
      <w:proofErr w:type="gramEnd"/>
      <w:r w:rsidRPr="00331DEB">
        <w:rPr>
          <w:rFonts w:ascii="Verdana" w:eastAsia="Calibri" w:hAnsi="Verdana" w:cs="Arial"/>
          <w:sz w:val="20"/>
          <w:szCs w:val="20"/>
          <w:lang w:val="es-ES"/>
        </w:rPr>
        <w:t xml:space="preserve"> nacido a la vida jurídica, presenta irregularidades o vicios, por la omisión o incumplimiento de los requisitos señalados por la ley para el valor del acto o contrato, y está instituida en defensa del orden jurídico, como quiera que a través de ella el ordenamiento reacciona para reprimir los contratos ilegales, prohibidos o inmorales, en los términos descritos. Es, pues, la respuesta del ordenamiento a conductas dispositivas irregulares y que se contraponen a él, pues hace desaparecer del mundo jurídico la relación que nació viciada, o la cláusula pactada cuando el vicio recae únicamente sobre alguna de las estipulaciones del contrato, es decir, aniquila, suprime y borra sus efectos jurídicos, con el fin de que las cosas vuelvan al estado en que se encontraban antes de la celebración del contrato.</w:t>
      </w:r>
    </w:p>
    <w:p w14:paraId="4B67E5B5" w14:textId="77777777" w:rsidR="00122D5E" w:rsidRPr="00331DEB" w:rsidRDefault="00122D5E" w:rsidP="00611E54">
      <w:pPr>
        <w:spacing w:after="0" w:line="240" w:lineRule="auto"/>
        <w:ind w:left="709" w:right="709"/>
        <w:contextualSpacing/>
        <w:jc w:val="both"/>
        <w:rPr>
          <w:rFonts w:ascii="Verdana" w:eastAsia="Calibri" w:hAnsi="Verdana" w:cs="Arial"/>
          <w:sz w:val="20"/>
          <w:szCs w:val="20"/>
          <w:lang w:val="es-ES_tradnl"/>
        </w:rPr>
      </w:pPr>
      <w:r w:rsidRPr="00331DEB">
        <w:rPr>
          <w:rFonts w:ascii="Verdana" w:eastAsia="Calibri" w:hAnsi="Verdana" w:cs="Arial"/>
          <w:sz w:val="20"/>
          <w:szCs w:val="20"/>
          <w:lang w:val="es-ES_tradnl"/>
        </w:rPr>
        <w:t>[…]</w:t>
      </w:r>
    </w:p>
    <w:p w14:paraId="6BE41C47" w14:textId="77777777" w:rsidR="00122D5E" w:rsidRPr="00331DEB" w:rsidRDefault="00122D5E" w:rsidP="00611E54">
      <w:pPr>
        <w:spacing w:after="0" w:line="240" w:lineRule="auto"/>
        <w:ind w:left="709" w:right="709"/>
        <w:contextualSpacing/>
        <w:jc w:val="both"/>
        <w:rPr>
          <w:rFonts w:ascii="Verdana" w:eastAsia="Calibri" w:hAnsi="Verdana" w:cs="Arial"/>
          <w:sz w:val="20"/>
          <w:szCs w:val="20"/>
          <w:lang w:val="es-ES"/>
        </w:rPr>
      </w:pPr>
      <w:r w:rsidRPr="00331DEB">
        <w:rPr>
          <w:rFonts w:ascii="Verdana" w:eastAsia="Calibri" w:hAnsi="Verdana" w:cs="Arial"/>
          <w:sz w:val="20"/>
          <w:szCs w:val="20"/>
          <w:lang w:val="es-ES"/>
        </w:rPr>
        <w:t xml:space="preserve">El contrato que alcanza a nacer, porque recorrió con la definición prevista por las normas jurídicas para su formación, pero concluyó de manera irregular por contrariar o vulnerar alguna norma o requisito que determina su validez (1502 y ss. del Código Civil), es inválido, o sea nulo por valoración negativa posterior o anulable bien por nulidad absoluta o por nulidad relativa, lo cual requiere de una declaración judicial que así señale esta sanción legal (artículos 1740 y ss. del Código Civil, 899 y ss. del Código de Comercio., 44 de la Ley 80 de 1993). (…) la nulidad es la sanción de invalidez del contrato </w:t>
      </w:r>
      <w:proofErr w:type="gramStart"/>
      <w:r w:rsidRPr="00331DEB">
        <w:rPr>
          <w:rFonts w:ascii="Verdana" w:eastAsia="Calibri" w:hAnsi="Verdana" w:cs="Arial"/>
          <w:sz w:val="20"/>
          <w:szCs w:val="20"/>
          <w:lang w:val="es-ES"/>
        </w:rPr>
        <w:t>que</w:t>
      </w:r>
      <w:proofErr w:type="gramEnd"/>
      <w:r w:rsidRPr="00331DEB">
        <w:rPr>
          <w:rFonts w:ascii="Verdana" w:eastAsia="Calibri" w:hAnsi="Verdana" w:cs="Arial"/>
          <w:sz w:val="20"/>
          <w:szCs w:val="20"/>
          <w:lang w:val="es-ES"/>
        </w:rPr>
        <w:t xml:space="preserve"> nacido a la vida jurídica, presenta irregularidades o vicios, por la omisión o incumplimiento de los requisitos señalados por la ley para el valor del acto o contrato, y está instituida en defensa del orden jurídico, como quiera que a través de ella el ordenamiento reacciona para reprimir los contratos ilegales, prohibidos o inmorales, en los términos descritos”</w:t>
      </w:r>
      <w:r>
        <w:rPr>
          <w:rStyle w:val="Refdenotaalpie"/>
          <w:rFonts w:ascii="Verdana" w:eastAsia="Calibri" w:hAnsi="Verdana" w:cs="Arial"/>
          <w:sz w:val="20"/>
          <w:szCs w:val="20"/>
          <w:lang w:val="es-ES"/>
        </w:rPr>
        <w:footnoteReference w:id="30"/>
      </w:r>
      <w:r w:rsidRPr="00331DEB">
        <w:rPr>
          <w:rFonts w:ascii="Verdana" w:eastAsia="Calibri" w:hAnsi="Verdana" w:cs="Arial"/>
          <w:sz w:val="20"/>
          <w:szCs w:val="20"/>
          <w:lang w:val="es-ES"/>
        </w:rPr>
        <w:t>.</w:t>
      </w:r>
    </w:p>
    <w:p w14:paraId="291DD398" w14:textId="77777777" w:rsidR="00122D5E" w:rsidRPr="00331DEB" w:rsidRDefault="00122D5E" w:rsidP="00122D5E">
      <w:pPr>
        <w:spacing w:after="0" w:line="276" w:lineRule="auto"/>
        <w:ind w:left="360"/>
        <w:contextualSpacing/>
        <w:jc w:val="both"/>
        <w:rPr>
          <w:rFonts w:ascii="Verdana" w:eastAsia="Calibri" w:hAnsi="Verdana" w:cs="Arial"/>
          <w:lang w:val="es-ES_tradnl"/>
        </w:rPr>
      </w:pPr>
    </w:p>
    <w:p w14:paraId="784B352C" w14:textId="77777777" w:rsidR="00122D5E" w:rsidRDefault="00122D5E" w:rsidP="00635252">
      <w:pPr>
        <w:spacing w:after="0" w:line="276" w:lineRule="auto"/>
        <w:ind w:firstLine="708"/>
        <w:jc w:val="both"/>
        <w:rPr>
          <w:rFonts w:ascii="Verdana" w:eastAsia="Calibri" w:hAnsi="Verdana" w:cs="Arial"/>
          <w:lang w:val="es-ES"/>
        </w:rPr>
      </w:pPr>
      <w:r w:rsidRPr="00E60501">
        <w:rPr>
          <w:rFonts w:ascii="Verdana" w:eastAsia="Calibri" w:hAnsi="Verdana" w:cs="Arial"/>
          <w:lang w:val="es-ES"/>
        </w:rPr>
        <w:lastRenderedPageBreak/>
        <w:t xml:space="preserve">De acuerdo con lo anterior, ante un vicio del contrato derivado del proceso de mínima cuantía, se precisa que la entidad estatal debe revisar si el contrato estatal está viciado de nulidad absoluta, de acuerdo con las causales prescritas en la Ley 80 y en las normas civiles o comerciales, o en su defecto, la nulidad relativa, teniendo en cuenta las causales y vicios dispuestas en el derecho común, las cuales pueden sanearse según lo prescrito en la Ley 80 de 1993. </w:t>
      </w:r>
    </w:p>
    <w:p w14:paraId="0CDA7291" w14:textId="77777777" w:rsidR="00635252" w:rsidRDefault="00635252" w:rsidP="00611E54">
      <w:pPr>
        <w:spacing w:after="0" w:line="276" w:lineRule="auto"/>
        <w:ind w:firstLine="708"/>
        <w:jc w:val="both"/>
        <w:rPr>
          <w:rFonts w:ascii="Verdana" w:eastAsia="Calibri" w:hAnsi="Verdana" w:cs="Arial"/>
          <w:lang w:val="es-ES"/>
        </w:rPr>
      </w:pPr>
    </w:p>
    <w:p w14:paraId="7843D9B5" w14:textId="77777777" w:rsidR="00122D5E" w:rsidRPr="00E60501" w:rsidRDefault="00122D5E" w:rsidP="515BCCAA">
      <w:pPr>
        <w:spacing w:after="0" w:line="276" w:lineRule="auto"/>
        <w:jc w:val="both"/>
        <w:rPr>
          <w:rFonts w:ascii="Verdana" w:eastAsia="Calibri" w:hAnsi="Verdana" w:cs="Arial"/>
          <w:lang w:val="es-ES"/>
        </w:rPr>
      </w:pPr>
      <w:proofErr w:type="spellStart"/>
      <w:r w:rsidRPr="515BCCAA">
        <w:rPr>
          <w:rFonts w:ascii="Verdana" w:eastAsia="Calibri" w:hAnsi="Verdana" w:cs="Arial"/>
          <w:lang w:val="es-ES"/>
        </w:rPr>
        <w:t>iii</w:t>
      </w:r>
      <w:proofErr w:type="spellEnd"/>
      <w:r w:rsidRPr="515BCCAA">
        <w:rPr>
          <w:rFonts w:ascii="Verdana" w:eastAsia="Calibri" w:hAnsi="Verdana" w:cs="Arial"/>
          <w:lang w:val="es-ES"/>
        </w:rPr>
        <w:t xml:space="preserve">) En cuanto al tercer problema jurídico, vale la pena resaltar que todos los servidores públicos que intervienen en la contratación estatal, ya sea que lo hagan en calidad de jefes o representantes legales, o en calidad de delegatarios o en calidad de funcionarios a cargo de alguna actuación derivada de la etapa precontractual, contractual o </w:t>
      </w:r>
      <w:proofErr w:type="spellStart"/>
      <w:r w:rsidRPr="515BCCAA">
        <w:rPr>
          <w:rFonts w:ascii="Verdana" w:eastAsia="Calibri" w:hAnsi="Verdana" w:cs="Arial"/>
          <w:lang w:val="es-ES"/>
        </w:rPr>
        <w:t>postcontractual</w:t>
      </w:r>
      <w:proofErr w:type="spellEnd"/>
      <w:r w:rsidRPr="515BCCAA">
        <w:rPr>
          <w:rFonts w:ascii="Verdana" w:eastAsia="Calibri" w:hAnsi="Verdana" w:cs="Arial"/>
          <w:lang w:val="es-ES"/>
        </w:rPr>
        <w:t xml:space="preserve"> del proceso de contratación en razón de sus funciones asignadas en la ley, el reglamento, el manual de funciones o por el superior jerárquico, están sometidos al cumplimiento del principio de responsabilidad previsto en el artículo 26 de la Ley 80 de 1993 que establece lo siguiente: </w:t>
      </w:r>
    </w:p>
    <w:p w14:paraId="25A081AF" w14:textId="77777777" w:rsidR="00635252" w:rsidRPr="00E60501" w:rsidRDefault="00635252" w:rsidP="00611E54">
      <w:pPr>
        <w:spacing w:after="0" w:line="276" w:lineRule="auto"/>
        <w:jc w:val="both"/>
        <w:rPr>
          <w:rFonts w:ascii="Verdana" w:eastAsia="Calibri" w:hAnsi="Verdana" w:cs="Arial"/>
          <w:lang w:val="es-ES"/>
        </w:rPr>
      </w:pPr>
    </w:p>
    <w:p w14:paraId="5E03F75A" w14:textId="17DF4EC9" w:rsidR="00122D5E" w:rsidRPr="00CE17E7" w:rsidRDefault="00635252" w:rsidP="00611E54">
      <w:pPr>
        <w:spacing w:after="0" w:line="240" w:lineRule="auto"/>
        <w:ind w:left="709" w:right="709"/>
        <w:jc w:val="both"/>
        <w:rPr>
          <w:rFonts w:ascii="Verdana" w:eastAsia="Calibri" w:hAnsi="Verdana" w:cs="Arial"/>
          <w:sz w:val="20"/>
          <w:szCs w:val="20"/>
        </w:rPr>
      </w:pPr>
      <w:r>
        <w:rPr>
          <w:rFonts w:ascii="Verdana" w:eastAsia="Calibri" w:hAnsi="Verdana" w:cs="Arial"/>
          <w:sz w:val="20"/>
          <w:szCs w:val="20"/>
        </w:rPr>
        <w:t>“</w:t>
      </w:r>
      <w:r w:rsidR="00122D5E" w:rsidRPr="00CE17E7">
        <w:rPr>
          <w:rFonts w:ascii="Verdana" w:eastAsia="Calibri" w:hAnsi="Verdana" w:cs="Arial"/>
          <w:sz w:val="20"/>
          <w:szCs w:val="20"/>
        </w:rPr>
        <w:t>Artículo 26. Del Principio de Responsabilidad. En virtud de este principio:</w:t>
      </w:r>
    </w:p>
    <w:p w14:paraId="5935289C" w14:textId="77777777" w:rsidR="00122D5E" w:rsidRPr="00CE17E7" w:rsidRDefault="00122D5E" w:rsidP="00611E54">
      <w:pPr>
        <w:spacing w:after="0" w:line="240" w:lineRule="auto"/>
        <w:ind w:left="709" w:right="709"/>
        <w:jc w:val="both"/>
        <w:rPr>
          <w:rFonts w:ascii="Verdana" w:eastAsia="Calibri" w:hAnsi="Verdana" w:cs="Arial"/>
          <w:sz w:val="20"/>
          <w:szCs w:val="20"/>
        </w:rPr>
      </w:pPr>
      <w:r w:rsidRPr="00CE17E7">
        <w:rPr>
          <w:rFonts w:ascii="Verdana" w:eastAsia="Calibri" w:hAnsi="Verdana" w:cs="Arial"/>
          <w:sz w:val="20"/>
          <w:szCs w:val="20"/>
        </w:rPr>
        <w:t>1°. Los servidores públicos están obligados a buscar el cumplimiento de los fines de la contratación, a vigilar la correcta ejecución del objeto contratado y a proteger los derechos de la entidad, del contratista y de los terceros que puedan verse afectados por la ejecución del contrato.</w:t>
      </w:r>
    </w:p>
    <w:p w14:paraId="6763DE9B" w14:textId="77777777" w:rsidR="00122D5E" w:rsidRPr="00CE17E7" w:rsidRDefault="00122D5E" w:rsidP="00611E54">
      <w:pPr>
        <w:spacing w:after="0" w:line="240" w:lineRule="auto"/>
        <w:ind w:left="709" w:right="709"/>
        <w:jc w:val="both"/>
        <w:rPr>
          <w:rFonts w:ascii="Verdana" w:eastAsia="Calibri" w:hAnsi="Verdana" w:cs="Arial"/>
          <w:sz w:val="20"/>
          <w:szCs w:val="20"/>
        </w:rPr>
      </w:pPr>
      <w:r w:rsidRPr="00CE17E7">
        <w:rPr>
          <w:rFonts w:ascii="Verdana" w:eastAsia="Calibri" w:hAnsi="Verdana" w:cs="Arial"/>
          <w:sz w:val="20"/>
          <w:szCs w:val="20"/>
        </w:rPr>
        <w:t>2°. Los servidores públicos responderán por sus actuaciones y omisiones antijurídicas y deberán indemnizar los daños que se causen por razón de ellas.</w:t>
      </w:r>
    </w:p>
    <w:p w14:paraId="7D5FDCC3" w14:textId="77777777" w:rsidR="00122D5E" w:rsidRPr="00CE17E7" w:rsidRDefault="00122D5E" w:rsidP="00611E54">
      <w:pPr>
        <w:spacing w:after="0" w:line="240" w:lineRule="auto"/>
        <w:ind w:left="709" w:right="709"/>
        <w:jc w:val="both"/>
        <w:rPr>
          <w:rFonts w:ascii="Verdana" w:eastAsia="Calibri" w:hAnsi="Verdana" w:cs="Arial"/>
          <w:sz w:val="20"/>
          <w:szCs w:val="20"/>
        </w:rPr>
      </w:pPr>
      <w:r w:rsidRPr="00CE17E7">
        <w:rPr>
          <w:rFonts w:ascii="Verdana" w:eastAsia="Calibri" w:hAnsi="Verdana" w:cs="Arial"/>
          <w:sz w:val="20"/>
          <w:szCs w:val="20"/>
        </w:rPr>
        <w:t xml:space="preserve">3°. Las entidades y los servidores </w:t>
      </w:r>
      <w:proofErr w:type="gramStart"/>
      <w:r w:rsidRPr="00CE17E7">
        <w:rPr>
          <w:rFonts w:ascii="Verdana" w:eastAsia="Calibri" w:hAnsi="Verdana" w:cs="Arial"/>
          <w:sz w:val="20"/>
          <w:szCs w:val="20"/>
        </w:rPr>
        <w:t>públicos,</w:t>
      </w:r>
      <w:proofErr w:type="gramEnd"/>
      <w:r w:rsidRPr="00CE17E7">
        <w:rPr>
          <w:rFonts w:ascii="Verdana" w:eastAsia="Calibri" w:hAnsi="Verdana" w:cs="Arial"/>
          <w:sz w:val="20"/>
          <w:szCs w:val="20"/>
        </w:rPr>
        <w:t xml:space="preserve"> responderán cuando hubieren abierto licitaciones o concursos sin haber elaborado previamente los correspondientes pliegos de condiciones, diseños, estudios, planos y evaluaciones que fueren necesarios, o cuando los pliegos de condiciones o términos de referencia hayan sido elaborados en forma incompleta, ambigua o confusa que conduzcan a interpretaciones o decisiones de carácter subjetivo por parte de aquellos.</w:t>
      </w:r>
    </w:p>
    <w:p w14:paraId="61A519BA" w14:textId="77777777" w:rsidR="00122D5E" w:rsidRPr="00CE17E7" w:rsidRDefault="00122D5E" w:rsidP="00611E54">
      <w:pPr>
        <w:spacing w:after="0" w:line="240" w:lineRule="auto"/>
        <w:ind w:left="709" w:right="709"/>
        <w:jc w:val="both"/>
        <w:rPr>
          <w:rFonts w:ascii="Verdana" w:eastAsia="Calibri" w:hAnsi="Verdana" w:cs="Arial"/>
          <w:sz w:val="20"/>
          <w:szCs w:val="20"/>
        </w:rPr>
      </w:pPr>
      <w:r w:rsidRPr="00CE17E7">
        <w:rPr>
          <w:rFonts w:ascii="Verdana" w:eastAsia="Calibri" w:hAnsi="Verdana" w:cs="Arial"/>
          <w:sz w:val="20"/>
          <w:szCs w:val="20"/>
        </w:rPr>
        <w:t>4°. Las actuaciones de los servidores públicos estarán presididas por las reglas sobre administración de bienes ajenos y por los mandatos y postulados que gobiernan una conducta ajustada a la ética y a la justicia.</w:t>
      </w:r>
    </w:p>
    <w:p w14:paraId="15D8DC33" w14:textId="77777777" w:rsidR="00122D5E" w:rsidRPr="00CE17E7" w:rsidRDefault="00122D5E" w:rsidP="00611E54">
      <w:pPr>
        <w:spacing w:after="0" w:line="240" w:lineRule="auto"/>
        <w:ind w:left="709" w:right="709"/>
        <w:jc w:val="both"/>
        <w:rPr>
          <w:rFonts w:ascii="Verdana" w:eastAsia="Calibri" w:hAnsi="Verdana" w:cs="Arial"/>
          <w:sz w:val="20"/>
          <w:szCs w:val="20"/>
          <w:lang w:val="es-ES_tradnl"/>
        </w:rPr>
      </w:pPr>
      <w:r w:rsidRPr="00CE17E7">
        <w:rPr>
          <w:rFonts w:ascii="Verdana" w:eastAsia="Calibri" w:hAnsi="Verdana" w:cs="Arial"/>
          <w:sz w:val="20"/>
          <w:szCs w:val="20"/>
        </w:rPr>
        <w:t xml:space="preserve">5°. La responsabilidad de la dirección y manejo de la actividad contractual y la de los procesos de selección será del jefe o representante de la entidad estatal quien no podrá trasladarla a las juntas o consejos directivos de la entidad, ni a las corporaciones de elección popular, a los comités asesores, ni a los organismos de control y vigilancia de </w:t>
      </w:r>
      <w:proofErr w:type="gramStart"/>
      <w:r w:rsidRPr="00CE17E7">
        <w:rPr>
          <w:rFonts w:ascii="Verdana" w:eastAsia="Calibri" w:hAnsi="Verdana" w:cs="Arial"/>
          <w:sz w:val="20"/>
          <w:szCs w:val="20"/>
        </w:rPr>
        <w:t>la misma</w:t>
      </w:r>
      <w:proofErr w:type="gramEnd"/>
      <w:r w:rsidRPr="00CE17E7">
        <w:rPr>
          <w:rFonts w:ascii="Verdana" w:eastAsia="Calibri" w:hAnsi="Verdana" w:cs="Arial"/>
          <w:sz w:val="20"/>
          <w:szCs w:val="20"/>
        </w:rPr>
        <w:t>.</w:t>
      </w:r>
    </w:p>
    <w:p w14:paraId="3B844C05" w14:textId="1263866D" w:rsidR="00122D5E" w:rsidRPr="00CE17E7" w:rsidRDefault="00122D5E" w:rsidP="00803CE4">
      <w:pPr>
        <w:tabs>
          <w:tab w:val="left" w:pos="851"/>
        </w:tabs>
        <w:spacing w:after="0" w:line="240" w:lineRule="auto"/>
        <w:ind w:firstLine="708"/>
        <w:jc w:val="both"/>
        <w:rPr>
          <w:rFonts w:ascii="Verdana" w:eastAsia="Calibri" w:hAnsi="Verdana" w:cs="Arial"/>
          <w:sz w:val="20"/>
          <w:szCs w:val="20"/>
          <w:lang w:val="es-ES_tradnl"/>
        </w:rPr>
      </w:pPr>
      <w:r w:rsidRPr="00CE17E7">
        <w:rPr>
          <w:rFonts w:ascii="Verdana" w:eastAsia="Calibri" w:hAnsi="Verdana" w:cs="Arial"/>
          <w:sz w:val="20"/>
          <w:szCs w:val="20"/>
          <w:lang w:val="es-ES_tradnl"/>
        </w:rPr>
        <w:t>[…]</w:t>
      </w:r>
      <w:r w:rsidR="00635252">
        <w:rPr>
          <w:rFonts w:ascii="Verdana" w:eastAsia="Calibri" w:hAnsi="Verdana" w:cs="Arial"/>
          <w:sz w:val="20"/>
          <w:szCs w:val="20"/>
          <w:lang w:val="es-ES_tradnl"/>
        </w:rPr>
        <w:t>”</w:t>
      </w:r>
      <w:r w:rsidR="00611E54">
        <w:rPr>
          <w:rFonts w:ascii="Verdana" w:eastAsia="Calibri" w:hAnsi="Verdana" w:cs="Arial"/>
          <w:sz w:val="20"/>
          <w:szCs w:val="20"/>
          <w:lang w:val="es-ES_tradnl"/>
        </w:rPr>
        <w:t>.</w:t>
      </w:r>
      <w:r w:rsidRPr="00CE17E7">
        <w:rPr>
          <w:rFonts w:ascii="Verdana" w:eastAsia="Calibri" w:hAnsi="Verdana" w:cs="Arial"/>
          <w:sz w:val="20"/>
          <w:szCs w:val="20"/>
          <w:lang w:val="es-ES_tradnl"/>
        </w:rPr>
        <w:t xml:space="preserve">  </w:t>
      </w:r>
    </w:p>
    <w:p w14:paraId="517B761B" w14:textId="77777777" w:rsidR="00803CE4" w:rsidRPr="00CE17E7" w:rsidRDefault="00803CE4" w:rsidP="00611E54">
      <w:pPr>
        <w:tabs>
          <w:tab w:val="left" w:pos="851"/>
        </w:tabs>
        <w:spacing w:after="0" w:line="276" w:lineRule="auto"/>
        <w:ind w:firstLine="709"/>
        <w:jc w:val="both"/>
        <w:rPr>
          <w:rFonts w:ascii="Verdana" w:eastAsia="Calibri" w:hAnsi="Verdana" w:cs="Arial"/>
          <w:sz w:val="20"/>
          <w:szCs w:val="20"/>
          <w:lang w:val="es-ES_tradnl"/>
        </w:rPr>
      </w:pPr>
    </w:p>
    <w:p w14:paraId="5D653E32" w14:textId="77777777" w:rsidR="00122D5E" w:rsidRDefault="00122D5E" w:rsidP="00122D5E">
      <w:pPr>
        <w:spacing w:line="276" w:lineRule="auto"/>
        <w:ind w:firstLine="708"/>
        <w:jc w:val="both"/>
        <w:rPr>
          <w:rFonts w:ascii="Verdana" w:eastAsia="Calibri" w:hAnsi="Verdana" w:cs="Arial"/>
          <w:lang w:val="es-ES_tradnl"/>
        </w:rPr>
      </w:pPr>
      <w:r w:rsidRPr="00CE17E7">
        <w:rPr>
          <w:rFonts w:ascii="Verdana" w:eastAsia="Calibri" w:hAnsi="Verdana" w:cs="Arial"/>
          <w:lang w:val="es-ES_tradnl"/>
        </w:rPr>
        <w:lastRenderedPageBreak/>
        <w:t xml:space="preserve">En consecuencia, las actuaciones de los servidores públicos que participan en la contratación estatal están sometidos a los controles jurídicos, de diversa índole, que existen en el ordenamiento jurídico para el efecto, cuyo ejercicio está atribuido a distintas autoridades y procedimientos especiales. Estas autoridades, luego de actuar dentro del marco del principio de legalidad, el derecho al debido proceso y de desvirtuar la garantía de la presunción de inocencia, pueden encontrar la responsabilidad penal, disciplinaria, fiscal y/o patrimonial de los servidores públicos que hayan actuado indebidamente en la actividad contractual del Estado, tal y como lo reafirma el artículo 51 de la ley 80 de 1993: </w:t>
      </w:r>
      <w:r>
        <w:rPr>
          <w:rFonts w:ascii="Verdana" w:eastAsia="Calibri" w:hAnsi="Verdana" w:cs="Arial"/>
          <w:lang w:val="es-ES_tradnl"/>
        </w:rPr>
        <w:t>“</w:t>
      </w:r>
      <w:r w:rsidRPr="00CE17E7">
        <w:rPr>
          <w:rFonts w:ascii="Verdana" w:eastAsia="Calibri" w:hAnsi="Verdana" w:cs="Arial"/>
          <w:lang w:val="es-ES_tradnl"/>
        </w:rPr>
        <w:t>El servidor público responderá disciplinaria, civil y penalmente por sus acciones y omisiones en la actuación contractual en los términos de la Constitución y de la ley</w:t>
      </w:r>
      <w:r>
        <w:rPr>
          <w:rFonts w:ascii="Verdana" w:eastAsia="Calibri" w:hAnsi="Verdana" w:cs="Arial"/>
          <w:lang w:val="es-ES_tradnl"/>
        </w:rPr>
        <w:t>”</w:t>
      </w:r>
      <w:r w:rsidRPr="00E60501">
        <w:rPr>
          <w:rFonts w:ascii="Verdana" w:eastAsia="Calibri" w:hAnsi="Verdana" w:cs="Arial"/>
          <w:lang w:val="es-ES_tradnl"/>
        </w:rPr>
        <w:t>.</w:t>
      </w:r>
    </w:p>
    <w:p w14:paraId="100FF0F7" w14:textId="77777777" w:rsidR="00122D5E" w:rsidRDefault="00122D5E" w:rsidP="515BCCAA">
      <w:pPr>
        <w:spacing w:after="0" w:line="276" w:lineRule="auto"/>
        <w:ind w:firstLine="709"/>
        <w:jc w:val="both"/>
        <w:rPr>
          <w:rFonts w:ascii="Verdana" w:eastAsia="Calibri" w:hAnsi="Verdana" w:cs="Arial"/>
          <w:lang w:val="es-ES"/>
        </w:rPr>
      </w:pPr>
      <w:r w:rsidRPr="515BCCAA">
        <w:rPr>
          <w:rFonts w:ascii="Verdana" w:eastAsia="Calibri" w:hAnsi="Verdana" w:cs="Arial"/>
          <w:lang w:val="es-ES"/>
        </w:rPr>
        <w:t xml:space="preserve">Aun cuando las circunstancias particulares de los juicios de responsabilidad de las conductas atribuibles a un servidor público dependen de las circunstancias y los hechos concretos objeto de análisis por la autoridad competente, para los efectos de este concepto, se aclara que la </w:t>
      </w:r>
      <w:r w:rsidRPr="515BCCAA">
        <w:rPr>
          <w:rFonts w:ascii="Verdana" w:eastAsia="Calibri" w:hAnsi="Verdana" w:cs="Arial"/>
          <w:i/>
          <w:lang w:val="es-ES"/>
        </w:rPr>
        <w:t>responsabilidad penal</w:t>
      </w:r>
      <w:r w:rsidRPr="515BCCAA">
        <w:rPr>
          <w:rFonts w:ascii="Verdana" w:eastAsia="Calibri" w:hAnsi="Verdana" w:cs="Arial"/>
          <w:lang w:val="es-ES"/>
        </w:rPr>
        <w:t xml:space="preserve"> es personal y se deriva de conductas imputables al servidor público, que en ejercicio o con ocasión de sus funciones, haya vulnerado bienes jurídicos protegidos por la ley penal, con conductas culposas o dolosas catalogadas como delitos. En cuanto a la </w:t>
      </w:r>
      <w:r w:rsidRPr="515BCCAA">
        <w:rPr>
          <w:rFonts w:ascii="Verdana" w:eastAsia="Calibri" w:hAnsi="Verdana" w:cs="Arial"/>
          <w:i/>
          <w:lang w:val="es-ES"/>
        </w:rPr>
        <w:t>responsabilidad disciplinaria</w:t>
      </w:r>
      <w:r w:rsidRPr="515BCCAA">
        <w:rPr>
          <w:rFonts w:ascii="Verdana" w:eastAsia="Calibri" w:hAnsi="Verdana" w:cs="Arial"/>
          <w:lang w:val="es-ES"/>
        </w:rPr>
        <w:t xml:space="preserve"> es personal y se deriva de conductas culposas o dolosas imputables al servidor público que impliquen un incumplimiento de sus deberes funcionales o una extralimitación de </w:t>
      </w:r>
      <w:proofErr w:type="gramStart"/>
      <w:r w:rsidRPr="515BCCAA">
        <w:rPr>
          <w:rFonts w:ascii="Verdana" w:eastAsia="Calibri" w:hAnsi="Verdana" w:cs="Arial"/>
          <w:lang w:val="es-ES"/>
        </w:rPr>
        <w:t>los mismos</w:t>
      </w:r>
      <w:proofErr w:type="gramEnd"/>
      <w:r w:rsidRPr="515BCCAA">
        <w:rPr>
          <w:rFonts w:ascii="Verdana" w:eastAsia="Calibri" w:hAnsi="Verdana" w:cs="Arial"/>
          <w:lang w:val="es-ES"/>
        </w:rPr>
        <w:t xml:space="preserve">. Por su parte, la </w:t>
      </w:r>
      <w:r w:rsidRPr="515BCCAA">
        <w:rPr>
          <w:rFonts w:ascii="Verdana" w:eastAsia="Calibri" w:hAnsi="Verdana" w:cs="Arial"/>
          <w:i/>
          <w:lang w:val="es-ES"/>
        </w:rPr>
        <w:t>responsabilidad fiscal</w:t>
      </w:r>
      <w:r w:rsidRPr="515BCCAA">
        <w:rPr>
          <w:rFonts w:ascii="Verdana" w:eastAsia="Calibri" w:hAnsi="Verdana" w:cs="Arial"/>
          <w:lang w:val="es-ES"/>
        </w:rPr>
        <w:t xml:space="preserve"> es una responsabilidad patrimonial y resarcitoria en que incurre un servidor público frente al Estado, por haber causado un menoscabo al patrimonio público con un actuar doloso o gravemente culposo.  </w:t>
      </w:r>
    </w:p>
    <w:p w14:paraId="6FAEBA70" w14:textId="77777777" w:rsidR="00305015" w:rsidRDefault="00305015" w:rsidP="00611E54">
      <w:pPr>
        <w:spacing w:after="0" w:line="276" w:lineRule="auto"/>
        <w:jc w:val="both"/>
        <w:rPr>
          <w:rFonts w:ascii="Verdana" w:eastAsia="Calibri" w:hAnsi="Verdana" w:cs="Arial"/>
          <w:lang w:val="es-ES_tradnl"/>
        </w:rPr>
      </w:pPr>
    </w:p>
    <w:p w14:paraId="4E9BDD51" w14:textId="77777777" w:rsidR="00122D5E" w:rsidRDefault="00122D5E" w:rsidP="00611E54">
      <w:pPr>
        <w:widowControl w:val="0"/>
        <w:autoSpaceDE w:val="0"/>
        <w:autoSpaceDN w:val="0"/>
        <w:spacing w:after="120" w:line="276" w:lineRule="auto"/>
        <w:jc w:val="both"/>
        <w:rPr>
          <w:rFonts w:ascii="Verdana" w:eastAsia="Arial" w:hAnsi="Verdana" w:cs="Arial"/>
          <w:lang w:val="es-ES" w:eastAsia="es-ES" w:bidi="es-ES"/>
        </w:rPr>
      </w:pPr>
      <w:proofErr w:type="spellStart"/>
      <w:r w:rsidRPr="003D6D14">
        <w:rPr>
          <w:rFonts w:ascii="Verdana" w:eastAsia="Calibri" w:hAnsi="Verdana" w:cs="Arial"/>
          <w:lang w:val="es-ES_tradnl"/>
        </w:rPr>
        <w:t>iv</w:t>
      </w:r>
      <w:proofErr w:type="spellEnd"/>
      <w:r w:rsidRPr="003D6D14">
        <w:rPr>
          <w:rFonts w:ascii="Verdana" w:eastAsia="Calibri" w:hAnsi="Verdana" w:cs="Arial"/>
          <w:lang w:val="es-ES_tradnl"/>
        </w:rPr>
        <w:t xml:space="preserve">) Por último, respecto de la obligatoriedad de dar respuesta a los mensajes que se presentan dentro de un proceso de selección, </w:t>
      </w:r>
      <w:r w:rsidRPr="003D6D14">
        <w:rPr>
          <w:rFonts w:ascii="Verdana" w:eastAsia="Arial" w:hAnsi="Verdana" w:cs="Arial"/>
          <w:lang w:val="es-ES" w:eastAsia="es-ES" w:bidi="es-ES"/>
        </w:rPr>
        <w:t>en virtud de que las respuestas a las observaciones y/o aclaraciones hacen parte de la institución del derecho de petición como herramienta fundamental para la convergencia entre los administrados y las autoridades administrativas en la gestión de lo público, las entidades estatales deben asegurarse de dar respuestas de fondo y claras, en el sentido de que la exposición de las razones por las cuales acepta o rechaza las observaciones legitima el proceso, para impedir que su ausencia o una falsa motivación conduzca a la invalidez de lo actuado, atentando contra los principios de transparencia y debida contradicción fundamentales en las actuaciones administrativas.</w:t>
      </w:r>
    </w:p>
    <w:p w14:paraId="4C863EFF" w14:textId="77777777" w:rsidR="00122D5E" w:rsidRPr="00E60501" w:rsidRDefault="00122D5E" w:rsidP="00611E54">
      <w:pPr>
        <w:spacing w:after="120" w:line="276" w:lineRule="auto"/>
        <w:ind w:firstLine="708"/>
        <w:jc w:val="both"/>
        <w:rPr>
          <w:rFonts w:ascii="Verdana" w:eastAsia="Calibri" w:hAnsi="Verdana" w:cs="Arial"/>
          <w:lang w:val="es-ES_tradnl"/>
        </w:rPr>
      </w:pPr>
      <w:r>
        <w:rPr>
          <w:rFonts w:ascii="Verdana" w:eastAsia="Calibri" w:hAnsi="Verdana" w:cs="Arial"/>
          <w:lang w:val="es-MX"/>
        </w:rPr>
        <w:lastRenderedPageBreak/>
        <w:t>De acuerdo con lo anterior, e</w:t>
      </w:r>
      <w:r w:rsidRPr="00224DFC">
        <w:rPr>
          <w:rFonts w:ascii="Verdana" w:eastAsia="Calibri" w:hAnsi="Verdana" w:cs="Arial"/>
          <w:lang w:val="es-MX"/>
        </w:rPr>
        <w:t>l artículo 3 de la Ley 1150 de 2007 señala que los actos relacionados con los procedimientos de contratación de las entidades pueden ser electrónicos, al igual que su publicidad, por lo que el Gobierno nacional debe definir los medios para llevarlo a cabo, y tiene la obligación de desarrollar el SECOP</w:t>
      </w:r>
      <w:r w:rsidRPr="00224DFC">
        <w:rPr>
          <w:rFonts w:ascii="Verdana" w:eastAsia="Calibri" w:hAnsi="Verdana" w:cs="Arial"/>
          <w:vertAlign w:val="superscript"/>
          <w:lang w:val="es-MX"/>
        </w:rPr>
        <w:footnoteReference w:id="31"/>
      </w:r>
      <w:r w:rsidRPr="00224DFC">
        <w:rPr>
          <w:rFonts w:ascii="Verdana" w:eastAsia="Calibri" w:hAnsi="Verdana" w:cs="Arial"/>
          <w:lang w:val="es-MX"/>
        </w:rPr>
        <w:t>. Este sistema debe contar con la información oficial de los procedimientos contractuales de las entidades, de lo cual será la única fuente, teniendo en cuenta que se ejecutan recursos públicos y por ende la ciudadanía tiene derecho a conocer cómo se invierten, y controlar que el objetivo sea la satisfacción de sus necesidades.</w:t>
      </w:r>
    </w:p>
    <w:p w14:paraId="552B9CEB" w14:textId="77777777" w:rsidR="00122D5E" w:rsidRDefault="00122D5E" w:rsidP="00611E54">
      <w:pPr>
        <w:spacing w:after="120" w:line="276" w:lineRule="auto"/>
        <w:ind w:firstLine="709"/>
        <w:jc w:val="both"/>
        <w:rPr>
          <w:rFonts w:ascii="Verdana" w:eastAsia="Calibri" w:hAnsi="Verdana" w:cs="Arial"/>
        </w:rPr>
      </w:pPr>
      <w:r w:rsidRPr="00224DFC">
        <w:rPr>
          <w:rFonts w:ascii="Verdana" w:eastAsia="Calibri" w:hAnsi="Verdana" w:cs="Arial"/>
          <w:lang w:val="es-MX"/>
        </w:rPr>
        <w:t xml:space="preserve">La norma citada genera un cambio en la contratación pública, donde las actuaciones de las entidades se realizaban por escrito y en papel, y ahora se crea un mecanismo eficiente que reduce costos para que se cumpla el principio de publicidad, como un deber de las </w:t>
      </w:r>
      <w:proofErr w:type="gramStart"/>
      <w:r w:rsidRPr="00224DFC">
        <w:rPr>
          <w:rFonts w:ascii="Verdana" w:eastAsia="Calibri" w:hAnsi="Verdana" w:cs="Arial"/>
          <w:lang w:val="es-MX"/>
        </w:rPr>
        <w:t>autoridades públicas</w:t>
      </w:r>
      <w:proofErr w:type="gramEnd"/>
      <w:r w:rsidRPr="00224DFC">
        <w:rPr>
          <w:rFonts w:ascii="Verdana" w:eastAsia="Calibri" w:hAnsi="Verdana" w:cs="Arial"/>
          <w:lang w:val="es-MX"/>
        </w:rPr>
        <w:t xml:space="preserve"> en el ejercicio de las funciones administrativas que la ley les otorga</w:t>
      </w:r>
      <w:r>
        <w:rPr>
          <w:rFonts w:ascii="Verdana" w:eastAsia="Calibri" w:hAnsi="Verdana" w:cs="Arial"/>
        </w:rPr>
        <w:t>.</w:t>
      </w:r>
    </w:p>
    <w:p w14:paraId="052FCCE0" w14:textId="77777777" w:rsidR="00122D5E" w:rsidRPr="00224DFC" w:rsidRDefault="00122D5E" w:rsidP="00611E54">
      <w:pPr>
        <w:spacing w:after="120" w:line="276" w:lineRule="auto"/>
        <w:ind w:firstLine="709"/>
        <w:jc w:val="both"/>
        <w:rPr>
          <w:rFonts w:ascii="Verdana" w:eastAsia="Calibri" w:hAnsi="Verdana" w:cs="Arial"/>
          <w:lang w:val="es-ES"/>
        </w:rPr>
      </w:pPr>
      <w:r>
        <w:rPr>
          <w:rFonts w:ascii="Verdana" w:eastAsia="Calibri" w:hAnsi="Verdana" w:cs="Arial"/>
          <w:lang w:val="es-ES"/>
        </w:rPr>
        <w:t>De acuerdo con lo anterior, e</w:t>
      </w:r>
      <w:r w:rsidRPr="00224DFC">
        <w:rPr>
          <w:rFonts w:ascii="Verdana" w:eastAsia="Calibri" w:hAnsi="Verdana" w:cs="Arial"/>
          <w:lang w:val="es-ES"/>
        </w:rPr>
        <w:t xml:space="preserve">l SECOP II es una plataforma transaccional, y permite gestionar en línea todos los procedimientos de contratación, con cuentas y usuarios asociados a éstas, para las entidades y los proveedores, y vista pública para cualquier interesado en hacer seguimiento a la contratación pública. Desde sus cuentas, las entidades crean, evalúan y adjudican procedimientos de contratación, y gestionan la fase de ejecución del contrato. </w:t>
      </w:r>
    </w:p>
    <w:p w14:paraId="15D35743" w14:textId="7BF7D3D2" w:rsidR="00122D5E" w:rsidRDefault="00122D5E" w:rsidP="00611E54">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En la </w:t>
      </w:r>
      <w:r w:rsidRPr="00010CCB">
        <w:rPr>
          <w:rFonts w:ascii="Verdana" w:eastAsia="Calibri" w:hAnsi="Verdana" w:cs="Arial"/>
          <w:lang w:val="es-ES"/>
        </w:rPr>
        <w:t>Guía</w:t>
      </w:r>
      <w:r>
        <w:rPr>
          <w:rFonts w:ascii="Verdana" w:eastAsia="Calibri" w:hAnsi="Verdana" w:cs="Arial"/>
          <w:lang w:val="es-ES"/>
        </w:rPr>
        <w:t xml:space="preserve"> sobre </w:t>
      </w:r>
      <w:r w:rsidRPr="008319C8">
        <w:rPr>
          <w:rFonts w:ascii="Verdana" w:eastAsia="Calibri" w:hAnsi="Verdana" w:cs="Arial"/>
          <w:lang w:val="es-ES"/>
        </w:rPr>
        <w:t>sobre el uso del SECOP II – Modalidades de contratación – Mínima cuantía</w:t>
      </w:r>
      <w:r>
        <w:rPr>
          <w:rStyle w:val="Refdenotaalpie"/>
          <w:rFonts w:ascii="Verdana" w:eastAsia="Calibri" w:hAnsi="Verdana" w:cs="Arial"/>
          <w:lang w:val="es-ES"/>
        </w:rPr>
        <w:footnoteReference w:id="32"/>
      </w:r>
      <w:r>
        <w:rPr>
          <w:rFonts w:ascii="Verdana" w:eastAsia="Calibri" w:hAnsi="Verdana" w:cs="Arial"/>
          <w:lang w:val="es-ES"/>
        </w:rPr>
        <w:t xml:space="preserve"> se presenta el área de trabajo de proceso donde la entidad </w:t>
      </w:r>
      <w:r>
        <w:rPr>
          <w:rFonts w:ascii="Verdana" w:eastAsia="Calibri" w:hAnsi="Verdana" w:cs="Arial"/>
          <w:lang w:val="es-ES"/>
        </w:rPr>
        <w:lastRenderedPageBreak/>
        <w:t xml:space="preserve">estatal podrá gestionar el proceso de contratación en línea e interactuar con los proponentes. Así, en la plataforma se puede analizar el módulo de observaciones mediante la cual permite recibir y contestar las observaciones al documento electrónico. </w:t>
      </w:r>
      <w:proofErr w:type="spellStart"/>
      <w:r>
        <w:rPr>
          <w:rFonts w:ascii="Verdana" w:eastAsia="Calibri" w:hAnsi="Verdana" w:cs="Arial"/>
          <w:lang w:val="es-ES"/>
        </w:rPr>
        <w:t>El</w:t>
      </w:r>
      <w:proofErr w:type="spellEnd"/>
      <w:r>
        <w:rPr>
          <w:rFonts w:ascii="Verdana" w:eastAsia="Calibri" w:hAnsi="Verdana" w:cs="Arial"/>
          <w:lang w:val="es-ES"/>
        </w:rPr>
        <w:t xml:space="preserve"> env</w:t>
      </w:r>
      <w:r w:rsidR="00061FAB">
        <w:rPr>
          <w:rFonts w:ascii="Verdana" w:eastAsia="Calibri" w:hAnsi="Verdana" w:cs="Arial"/>
          <w:lang w:val="es-ES"/>
        </w:rPr>
        <w:t>ió</w:t>
      </w:r>
      <w:r>
        <w:rPr>
          <w:rFonts w:ascii="Verdana" w:eastAsia="Calibri" w:hAnsi="Verdana" w:cs="Arial"/>
          <w:lang w:val="es-ES"/>
        </w:rPr>
        <w:t xml:space="preserve"> de observaciones a través de esta herramienta se deshabilita a los proponentes una vez se cumple la fecha límite establecida por la entidad en el cronograma del proceso. </w:t>
      </w:r>
    </w:p>
    <w:p w14:paraId="67C76D6B" w14:textId="77777777" w:rsidR="00122D5E" w:rsidRDefault="00122D5E" w:rsidP="00611E54">
      <w:pPr>
        <w:spacing w:after="120" w:line="276" w:lineRule="auto"/>
        <w:ind w:firstLine="709"/>
        <w:jc w:val="both"/>
        <w:rPr>
          <w:rFonts w:ascii="Verdana" w:eastAsia="Calibri" w:hAnsi="Verdana" w:cs="Arial"/>
          <w:lang w:val="es-ES"/>
        </w:rPr>
      </w:pPr>
      <w:r>
        <w:rPr>
          <w:rFonts w:ascii="Verdana" w:eastAsia="Calibri" w:hAnsi="Verdana" w:cs="Arial"/>
          <w:lang w:val="es-ES"/>
        </w:rPr>
        <w:t xml:space="preserve">Por su parte el módulo de mensajes es un canal de comunicación constante entre la entidad y los interesados. El SECOP II le permite a la entidad estatal recibir mensajes de los proponentes y responderlos, así como remitir mensajes públicos a todos los interesados. </w:t>
      </w:r>
    </w:p>
    <w:p w14:paraId="68BD9808" w14:textId="77777777" w:rsidR="00122D5E" w:rsidRDefault="00122D5E" w:rsidP="00611E54">
      <w:pPr>
        <w:spacing w:after="120" w:line="276" w:lineRule="auto"/>
        <w:ind w:firstLine="709"/>
        <w:jc w:val="both"/>
        <w:rPr>
          <w:rFonts w:ascii="Verdana" w:eastAsia="Calibri" w:hAnsi="Verdana" w:cs="Arial"/>
          <w:lang w:val="es-ES_tradnl"/>
        </w:rPr>
      </w:pPr>
      <w:r>
        <w:rPr>
          <w:rFonts w:ascii="Verdana" w:eastAsia="Calibri" w:hAnsi="Verdana" w:cs="Arial"/>
          <w:lang w:val="es-ES"/>
        </w:rPr>
        <w:t xml:space="preserve">Así mismo, </w:t>
      </w:r>
      <w:r>
        <w:rPr>
          <w:rFonts w:ascii="Verdana" w:eastAsia="Calibri" w:hAnsi="Verdana" w:cs="Arial"/>
          <w:lang w:val="es-ES_tradnl"/>
        </w:rPr>
        <w:t xml:space="preserve">la Agencia a través de la Guía de </w:t>
      </w:r>
      <w:r w:rsidRPr="00AB7A50">
        <w:rPr>
          <w:rFonts w:ascii="Verdana" w:eastAsia="Calibri" w:hAnsi="Verdana" w:cs="Arial"/>
          <w:lang w:val="es-ES_tradnl"/>
        </w:rPr>
        <w:t>Procesos de contratación: Presentación de observaciones en el SECOP II</w:t>
      </w:r>
      <w:r>
        <w:rPr>
          <w:rStyle w:val="Refdenotaalpie"/>
          <w:rFonts w:ascii="Verdana" w:eastAsia="Calibri" w:hAnsi="Verdana" w:cs="Arial"/>
          <w:lang w:val="es-ES_tradnl"/>
        </w:rPr>
        <w:footnoteReference w:id="33"/>
      </w:r>
      <w:r>
        <w:rPr>
          <w:rFonts w:ascii="Verdana" w:eastAsia="Calibri" w:hAnsi="Verdana" w:cs="Arial"/>
          <w:lang w:val="es-ES_tradnl"/>
        </w:rPr>
        <w:t xml:space="preserve"> se indica que los mensajes podrán ser visualizados por el público general, así como las respuestas dadas por la entidad estatal. </w:t>
      </w:r>
    </w:p>
    <w:p w14:paraId="4C7E55E7" w14:textId="77777777" w:rsidR="00122D5E" w:rsidRDefault="00122D5E" w:rsidP="00611E54">
      <w:pPr>
        <w:spacing w:after="120" w:line="276" w:lineRule="auto"/>
        <w:ind w:firstLine="709"/>
        <w:jc w:val="both"/>
        <w:rPr>
          <w:rFonts w:ascii="Verdana" w:eastAsia="Calibri" w:hAnsi="Verdana" w:cs="Arial"/>
          <w:lang w:val="es-ES"/>
        </w:rPr>
      </w:pPr>
      <w:r w:rsidRPr="515BCCAA">
        <w:rPr>
          <w:rFonts w:ascii="Verdana" w:eastAsia="Calibri" w:hAnsi="Verdana" w:cs="Arial"/>
          <w:lang w:val="es-ES"/>
        </w:rPr>
        <w:t xml:space="preserve">De esta manera, los interesados a través de la aplicación del SECOP II podrán presentar las observaciones dentro del proceso de contratación en los tiempos definidos dentro del cronograma definido en la modalidad de selección y la entidad estatal deberá dar contestación a ello con el fin de garantizar los principios de la contratación estatal, especialmente el de publicidad y transparencia. </w:t>
      </w:r>
    </w:p>
    <w:p w14:paraId="25B26772" w14:textId="77777777" w:rsidR="00122D5E" w:rsidRDefault="00122D5E" w:rsidP="00305015">
      <w:pPr>
        <w:spacing w:after="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Finalmente,</w:t>
      </w:r>
      <w:r w:rsidRPr="00E468F5">
        <w:rPr>
          <w:rFonts w:ascii="Verdana" w:eastAsia="Calibri" w:hAnsi="Verdana" w:cs="Arial"/>
          <w:color w:val="000000" w:themeColor="text1"/>
          <w:lang w:val="es-ES"/>
        </w:rPr>
        <w:t xml:space="preserve">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p>
    <w:p w14:paraId="38123220" w14:textId="77777777" w:rsidR="00305015" w:rsidRPr="00305015" w:rsidRDefault="00305015" w:rsidP="00611E54">
      <w:pPr>
        <w:spacing w:after="0" w:line="276" w:lineRule="auto"/>
        <w:ind w:firstLine="709"/>
        <w:jc w:val="both"/>
        <w:rPr>
          <w:rFonts w:ascii="Verdana" w:eastAsia="Calibri" w:hAnsi="Verdana" w:cs="Arial"/>
          <w:color w:val="000000" w:themeColor="text1"/>
          <w:lang w:val="es-ES"/>
        </w:rPr>
      </w:pPr>
    </w:p>
    <w:p w14:paraId="483742CD" w14:textId="77777777" w:rsidR="00122D5E" w:rsidRPr="00861D2F" w:rsidRDefault="00122D5E" w:rsidP="00611E54">
      <w:pPr>
        <w:tabs>
          <w:tab w:val="left" w:pos="142"/>
          <w:tab w:val="left" w:pos="284"/>
        </w:tabs>
        <w:spacing w:after="0" w:line="276" w:lineRule="auto"/>
        <w:rPr>
          <w:rFonts w:ascii="Verdana" w:eastAsia="Century Gothic" w:hAnsi="Verdana" w:cs="Century Gothic"/>
          <w:b/>
          <w:bCs/>
        </w:rPr>
      </w:pPr>
      <w:bookmarkStart w:id="18" w:name="_Hlk204854194"/>
      <w:r w:rsidRPr="00FF007A">
        <w:rPr>
          <w:rFonts w:ascii="Verdana" w:eastAsia="Century Gothic" w:hAnsi="Verdana" w:cs="Century Gothic"/>
          <w:b/>
          <w:bCs/>
        </w:rPr>
        <w:t>4. Referencias normativas:</w:t>
      </w:r>
      <w:bookmarkEnd w:id="18"/>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22D5E" w:rsidRPr="00FF007A" w14:paraId="3CFD0748" w14:textId="77777777" w:rsidTr="00D04A83">
        <w:trPr>
          <w:trHeight w:val="6302"/>
          <w:jc w:val="center"/>
        </w:trPr>
        <w:tc>
          <w:tcPr>
            <w:tcW w:w="8647" w:type="dxa"/>
          </w:tcPr>
          <w:p w14:paraId="0B0A89C5"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Pr>
                <w:rFonts w:ascii="Verdana" w:eastAsia="Arial MT" w:hAnsi="Verdana" w:cs="Arial"/>
                <w:lang w:val="es-CO" w:eastAsia="es-ES" w:bidi="es-ES"/>
              </w:rPr>
              <w:lastRenderedPageBreak/>
              <w:t xml:space="preserve">Ley 80 de 1993. Artículos: 13, 14, 17, 26, 32, 40, 44, 51. </w:t>
            </w:r>
          </w:p>
          <w:p w14:paraId="2E53EF22"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Pr>
                <w:rFonts w:ascii="Verdana" w:eastAsia="Arial MT" w:hAnsi="Verdana" w:cs="Arial"/>
                <w:lang w:val="es-CO" w:eastAsia="es-ES" w:bidi="es-ES"/>
              </w:rPr>
              <w:t xml:space="preserve">Ley 2069 de 2020. Artículos: 30, 34. </w:t>
            </w:r>
          </w:p>
          <w:p w14:paraId="6509B767"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Pr>
                <w:rFonts w:ascii="Verdana" w:eastAsia="Arial MT" w:hAnsi="Verdana" w:cs="Arial"/>
                <w:lang w:val="es-CO" w:eastAsia="es-ES" w:bidi="es-ES"/>
              </w:rPr>
              <w:t xml:space="preserve">Ley 1150 de 2007. Artículos: 2 numeral 5, 3, 9. </w:t>
            </w:r>
          </w:p>
          <w:p w14:paraId="40CDD245"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Pr>
                <w:rFonts w:ascii="Verdana" w:eastAsia="Arial MT" w:hAnsi="Verdana" w:cs="Arial"/>
                <w:lang w:val="es-CO" w:eastAsia="es-ES" w:bidi="es-ES"/>
              </w:rPr>
              <w:t xml:space="preserve">Decreto 1860 de 2021. Artículo: 5. </w:t>
            </w:r>
          </w:p>
          <w:p w14:paraId="33087177" w14:textId="77777777" w:rsidR="00122D5E" w:rsidRPr="00757605"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Pr>
                <w:rFonts w:ascii="Verdana" w:eastAsia="Arial MT" w:hAnsi="Verdana" w:cs="Arial"/>
                <w:lang w:val="es-CO" w:eastAsia="es-ES" w:bidi="es-ES"/>
              </w:rPr>
              <w:t xml:space="preserve">Decreto 1082 de 2015. Artículos: </w:t>
            </w:r>
            <w:r w:rsidRPr="00C940A9">
              <w:rPr>
                <w:rFonts w:ascii="Verdana" w:hAnsi="Verdana" w:cs="Arial"/>
                <w:bCs/>
                <w:lang w:eastAsia="es-ES"/>
              </w:rPr>
              <w:t>2.2.1.2.4.2.2, 2.2.1.2.4.2.3</w:t>
            </w:r>
            <w:r>
              <w:rPr>
                <w:rFonts w:ascii="Verdana" w:hAnsi="Verdana" w:cs="Arial"/>
                <w:bCs/>
                <w:lang w:eastAsia="es-ES"/>
              </w:rPr>
              <w:t>,</w:t>
            </w:r>
            <w:r w:rsidRPr="00C940A9">
              <w:rPr>
                <w:rFonts w:ascii="Verdana" w:hAnsi="Verdana" w:cs="Arial"/>
                <w:bCs/>
                <w:lang w:eastAsia="es-ES"/>
              </w:rPr>
              <w:t xml:space="preserve"> 2.2.1.2.4.2.4.</w:t>
            </w:r>
            <w:r>
              <w:rPr>
                <w:rFonts w:ascii="Verdana" w:hAnsi="Verdana" w:cs="Arial"/>
                <w:bCs/>
                <w:lang w:eastAsia="es-ES"/>
              </w:rPr>
              <w:t xml:space="preserve"> </w:t>
            </w:r>
            <w:r w:rsidRPr="00C940A9">
              <w:rPr>
                <w:rFonts w:ascii="Verdana" w:eastAsia="Calibri" w:hAnsi="Verdana" w:cs="Arial"/>
                <w:color w:val="000000" w:themeColor="text1"/>
              </w:rPr>
              <w:t>2.2.1.2.1.5.1</w:t>
            </w:r>
            <w:r>
              <w:rPr>
                <w:rFonts w:ascii="Verdana" w:eastAsia="Calibri" w:hAnsi="Verdana" w:cs="Arial"/>
                <w:color w:val="000000" w:themeColor="text1"/>
              </w:rPr>
              <w:t xml:space="preserve">, </w:t>
            </w:r>
            <w:r w:rsidRPr="00C940A9">
              <w:rPr>
                <w:rFonts w:ascii="Verdana" w:eastAsia="Calibri" w:hAnsi="Verdana" w:cs="Arial"/>
                <w:color w:val="000000" w:themeColor="text1"/>
              </w:rPr>
              <w:t>2.2.1.2.1.5.2</w:t>
            </w:r>
            <w:r>
              <w:rPr>
                <w:rFonts w:ascii="Verdana" w:eastAsia="Calibri" w:hAnsi="Verdana" w:cs="Arial"/>
                <w:color w:val="000000" w:themeColor="text1"/>
              </w:rPr>
              <w:t xml:space="preserve">, </w:t>
            </w:r>
            <w:r w:rsidRPr="00C940A9">
              <w:rPr>
                <w:rFonts w:ascii="Verdana" w:eastAsia="Calibri" w:hAnsi="Verdana" w:cs="Arial"/>
                <w:color w:val="000000" w:themeColor="text1"/>
              </w:rPr>
              <w:t>2.2.1.2.1.5.3</w:t>
            </w:r>
            <w:r>
              <w:rPr>
                <w:rFonts w:ascii="Verdana" w:eastAsia="Calibri" w:hAnsi="Verdana" w:cs="Arial"/>
                <w:color w:val="000000" w:themeColor="text1"/>
              </w:rPr>
              <w:t xml:space="preserve">, </w:t>
            </w:r>
            <w:r w:rsidRPr="00C940A9">
              <w:rPr>
                <w:rFonts w:ascii="Verdana" w:eastAsia="Calibri" w:hAnsi="Verdana" w:cs="Arial"/>
                <w:color w:val="000000" w:themeColor="text1"/>
              </w:rPr>
              <w:t>2.2.1.2.1.5.4</w:t>
            </w:r>
            <w:r>
              <w:rPr>
                <w:rFonts w:ascii="Verdana" w:eastAsia="Calibri" w:hAnsi="Verdana" w:cs="Arial"/>
                <w:color w:val="000000" w:themeColor="text1"/>
              </w:rPr>
              <w:t xml:space="preserve">, </w:t>
            </w:r>
            <w:r w:rsidRPr="00C940A9">
              <w:rPr>
                <w:rFonts w:ascii="Verdana" w:eastAsia="Calibri" w:hAnsi="Verdana" w:cs="Arial"/>
                <w:color w:val="000000" w:themeColor="text1"/>
              </w:rPr>
              <w:t>2.2.1.2.1.5.5</w:t>
            </w:r>
            <w:r>
              <w:rPr>
                <w:rFonts w:ascii="Verdana" w:eastAsia="Calibri" w:hAnsi="Verdana" w:cs="Arial"/>
                <w:color w:val="000000" w:themeColor="text1"/>
              </w:rPr>
              <w:t>.</w:t>
            </w:r>
          </w:p>
          <w:p w14:paraId="65F5B83F"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Pr>
                <w:rFonts w:ascii="Verdana" w:eastAsia="Arial MT" w:hAnsi="Verdana" w:cs="Arial"/>
                <w:lang w:val="es-CO" w:eastAsia="es-ES" w:bidi="es-ES"/>
              </w:rPr>
              <w:t xml:space="preserve">Código de Comercio. Artículo 263. </w:t>
            </w:r>
          </w:p>
          <w:p w14:paraId="1EAA36CF"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Pr>
                <w:rFonts w:ascii="Verdana" w:eastAsia="Arial MT" w:hAnsi="Verdana" w:cs="Arial"/>
                <w:lang w:val="es-CO" w:eastAsia="es-ES" w:bidi="es-ES"/>
              </w:rPr>
              <w:t xml:space="preserve">Decreto 01 de 1984. Artículo 74. </w:t>
            </w:r>
          </w:p>
          <w:p w14:paraId="03056896"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Pr>
                <w:rFonts w:ascii="Verdana" w:eastAsia="Arial MT" w:hAnsi="Verdana" w:cs="Arial"/>
                <w:lang w:val="es-CO" w:eastAsia="es-ES" w:bidi="es-ES"/>
              </w:rPr>
              <w:t xml:space="preserve">Ley 1437 de 2011. Artículo 93. </w:t>
            </w:r>
          </w:p>
          <w:p w14:paraId="0189FD9D"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eastAsia="Arial MT" w:hAnsi="Verdana" w:cs="Arial"/>
                <w:lang w:val="es-CO" w:eastAsia="es-ES" w:bidi="es-ES"/>
              </w:rPr>
              <w:t xml:space="preserve">Consejo de Estado. Sala de Consulta y Servicio Civil. Concepto de 15 de agosto de 2017. Radicación: 2346. C.P. Álvaro </w:t>
            </w:r>
            <w:proofErr w:type="spellStart"/>
            <w:r w:rsidRPr="005D52D2">
              <w:rPr>
                <w:rFonts w:ascii="Verdana" w:eastAsia="Arial MT" w:hAnsi="Verdana" w:cs="Arial"/>
                <w:lang w:val="es-CO" w:eastAsia="es-ES" w:bidi="es-ES"/>
              </w:rPr>
              <w:t>Namén</w:t>
            </w:r>
            <w:proofErr w:type="spellEnd"/>
            <w:r w:rsidRPr="005D52D2">
              <w:rPr>
                <w:rFonts w:ascii="Verdana" w:eastAsia="Arial MT" w:hAnsi="Verdana" w:cs="Arial"/>
                <w:lang w:val="es-CO" w:eastAsia="es-ES" w:bidi="es-ES"/>
              </w:rPr>
              <w:t xml:space="preserve"> Vargas.</w:t>
            </w:r>
          </w:p>
          <w:p w14:paraId="25D32F94"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eastAsia="Arial MT" w:hAnsi="Verdana" w:cs="Arial"/>
                <w:lang w:val="es-CO" w:eastAsia="es-ES" w:bidi="es-ES"/>
              </w:rPr>
              <w:t xml:space="preserve">Consejo de Estado. Sala de lo Contencioso Administrativo. Sección Tercera, Subsección C. Sentencia del 26 de marzo de 2014. C.P. Enrique Gil Botero. </w:t>
            </w:r>
            <w:proofErr w:type="spellStart"/>
            <w:r w:rsidRPr="005D52D2">
              <w:rPr>
                <w:rFonts w:ascii="Verdana" w:eastAsia="Arial MT" w:hAnsi="Verdana" w:cs="Arial"/>
                <w:lang w:val="es-CO" w:eastAsia="es-ES" w:bidi="es-ES"/>
              </w:rPr>
              <w:t>Exp</w:t>
            </w:r>
            <w:proofErr w:type="spellEnd"/>
            <w:r w:rsidRPr="005D52D2">
              <w:rPr>
                <w:rFonts w:ascii="Verdana" w:eastAsia="Arial MT" w:hAnsi="Verdana" w:cs="Arial"/>
                <w:lang w:val="es-CO" w:eastAsia="es-ES" w:bidi="es-ES"/>
              </w:rPr>
              <w:t>. 25.750.</w:t>
            </w:r>
          </w:p>
          <w:p w14:paraId="31D50C70" w14:textId="77777777" w:rsidR="00122D5E" w:rsidRPr="005D52D2"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eastAsia="Arial MT" w:hAnsi="Verdana" w:cs="Arial"/>
                <w:lang w:val="es-CO" w:eastAsia="es-ES" w:bidi="es-ES"/>
              </w:rPr>
              <w:t xml:space="preserve">Consejo de Estado. Sala de lo Contencioso Administrativo. Sección Tercera. Subsección A. Sentencia del 26 de noviembre de 2014. C.P. Carlos Alberto Zambrano Barrera. </w:t>
            </w:r>
            <w:proofErr w:type="spellStart"/>
            <w:r w:rsidRPr="005D52D2">
              <w:rPr>
                <w:rFonts w:ascii="Verdana" w:eastAsia="Arial MT" w:hAnsi="Verdana" w:cs="Arial"/>
                <w:lang w:val="es-CO" w:eastAsia="es-ES" w:bidi="es-ES"/>
              </w:rPr>
              <w:t>Exp</w:t>
            </w:r>
            <w:proofErr w:type="spellEnd"/>
            <w:r w:rsidRPr="005D52D2">
              <w:rPr>
                <w:rFonts w:ascii="Verdana" w:eastAsia="Arial MT" w:hAnsi="Verdana" w:cs="Arial"/>
                <w:lang w:val="es-CO" w:eastAsia="es-ES" w:bidi="es-ES"/>
              </w:rPr>
              <w:t>. 31.297.</w:t>
            </w:r>
          </w:p>
          <w:p w14:paraId="554AFCEA"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eastAsia="Arial MT" w:hAnsi="Verdana" w:cs="Arial"/>
                <w:lang w:val="es-CO" w:eastAsia="es-ES" w:bidi="es-ES"/>
              </w:rPr>
              <w:t xml:space="preserve">Consejo de Estado. Sala de lo Contencioso Administrativo. Sección Tercera. Subsección A. Sentencia del 27 de abril de 2016. C.P. Martha Nubia Velásquez Rico. </w:t>
            </w:r>
            <w:proofErr w:type="spellStart"/>
            <w:r w:rsidRPr="005D52D2">
              <w:rPr>
                <w:rFonts w:ascii="Verdana" w:eastAsia="Arial MT" w:hAnsi="Verdana" w:cs="Arial"/>
                <w:lang w:val="es-CO" w:eastAsia="es-ES" w:bidi="es-ES"/>
              </w:rPr>
              <w:t>Exp</w:t>
            </w:r>
            <w:proofErr w:type="spellEnd"/>
            <w:r w:rsidRPr="005D52D2">
              <w:rPr>
                <w:rFonts w:ascii="Verdana" w:eastAsia="Arial MT" w:hAnsi="Verdana" w:cs="Arial"/>
                <w:lang w:val="es-CO" w:eastAsia="es-ES" w:bidi="es-ES"/>
              </w:rPr>
              <w:t xml:space="preserve">. 46818. </w:t>
            </w:r>
          </w:p>
          <w:p w14:paraId="38D5857F" w14:textId="77777777" w:rsidR="00122D5E" w:rsidRPr="005D52D2"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eastAsia="Arial MT" w:hAnsi="Verdana" w:cs="Arial"/>
                <w:lang w:eastAsia="es-ES" w:bidi="es-ES"/>
              </w:rPr>
              <w:t xml:space="preserve">Consejo de Estado. Sala de lo Contencioso Administrativo. Sección Tercera. Subsección A. Sentencia del 2 de julio de 2021. C.P. José Roberto Sáchica Méndez. </w:t>
            </w:r>
            <w:proofErr w:type="spellStart"/>
            <w:r w:rsidRPr="005D52D2">
              <w:rPr>
                <w:rFonts w:ascii="Verdana" w:eastAsia="Arial MT" w:hAnsi="Verdana" w:cs="Arial"/>
                <w:lang w:eastAsia="es-ES" w:bidi="es-ES"/>
              </w:rPr>
              <w:t>Exp</w:t>
            </w:r>
            <w:proofErr w:type="spellEnd"/>
            <w:r w:rsidRPr="005D52D2">
              <w:rPr>
                <w:rFonts w:ascii="Verdana" w:eastAsia="Arial MT" w:hAnsi="Verdana" w:cs="Arial"/>
                <w:lang w:eastAsia="es-ES" w:bidi="es-ES"/>
              </w:rPr>
              <w:t>. 58372.</w:t>
            </w:r>
          </w:p>
          <w:p w14:paraId="726F2B41" w14:textId="77777777" w:rsidR="00122D5E" w:rsidRPr="005D52D2"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hAnsi="Verdana" w:cs="Arial"/>
              </w:rPr>
              <w:t>Consejo de Estado. Sala de lo Contencioso Administrativo. Sección Tercera. Auto del 30 de enero de 2008. Rad. 32.867, M.P. Mauricio Fajardo Gómez.</w:t>
            </w:r>
          </w:p>
          <w:p w14:paraId="2DDB5FD0" w14:textId="77777777" w:rsidR="00122D5E" w:rsidRPr="005D52D2"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hAnsi="Verdana" w:cs="Arial"/>
              </w:rPr>
              <w:t>Consejo de Estado. Sala de lo Contencioso Administrativo. Sección Tercera. Sentencia de 23 de septiembre de 1997, Rad. S-701.</w:t>
            </w:r>
          </w:p>
          <w:p w14:paraId="53F78A80" w14:textId="77777777" w:rsidR="00122D5E" w:rsidRPr="00861D2F"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hAnsi="Verdana" w:cs="Arial"/>
              </w:rPr>
              <w:t>Consejo de Estado. Sala de Consulta y Servicio Civil. Concepto de 15 de mayo de 2018, Rad. 2335.</w:t>
            </w:r>
            <w:r>
              <w:rPr>
                <w:rFonts w:ascii="Verdana" w:hAnsi="Verdana" w:cs="Arial"/>
              </w:rPr>
              <w:t xml:space="preserve"> </w:t>
            </w:r>
            <w:r w:rsidRPr="005D52D2">
              <w:rPr>
                <w:rFonts w:ascii="Verdana" w:eastAsia="Arial MT" w:hAnsi="Verdana" w:cs="Arial"/>
                <w:lang w:val="es-CO" w:eastAsia="es-ES" w:bidi="es-ES"/>
              </w:rPr>
              <w:t xml:space="preserve">C.P. Álvaro </w:t>
            </w:r>
            <w:proofErr w:type="spellStart"/>
            <w:r w:rsidRPr="005D52D2">
              <w:rPr>
                <w:rFonts w:ascii="Verdana" w:eastAsia="Arial MT" w:hAnsi="Verdana" w:cs="Arial"/>
                <w:lang w:val="es-CO" w:eastAsia="es-ES" w:bidi="es-ES"/>
              </w:rPr>
              <w:t>Namén</w:t>
            </w:r>
            <w:proofErr w:type="spellEnd"/>
            <w:r w:rsidRPr="005D52D2">
              <w:rPr>
                <w:rFonts w:ascii="Verdana" w:eastAsia="Arial MT" w:hAnsi="Verdana" w:cs="Arial"/>
                <w:lang w:val="es-CO" w:eastAsia="es-ES" w:bidi="es-ES"/>
              </w:rPr>
              <w:t xml:space="preserve"> Vargas.</w:t>
            </w:r>
          </w:p>
          <w:p w14:paraId="5A892578"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861D2F">
              <w:rPr>
                <w:rFonts w:ascii="Verdana" w:eastAsia="Arial MT" w:hAnsi="Verdana" w:cs="Arial"/>
                <w:lang w:val="es-CO" w:eastAsia="es-ES" w:bidi="es-ES"/>
              </w:rPr>
              <w:t xml:space="preserve">Consejo de Estado. Sala de lo Contencioso Administrativo. Sección Tercera. Subsección A. Sentencia de 9 de mayo de 2012. </w:t>
            </w:r>
            <w:proofErr w:type="spellStart"/>
            <w:r w:rsidRPr="00861D2F">
              <w:rPr>
                <w:rFonts w:ascii="Verdana" w:eastAsia="Arial MT" w:hAnsi="Verdana" w:cs="Arial"/>
                <w:lang w:val="es-CO" w:eastAsia="es-ES" w:bidi="es-ES"/>
              </w:rPr>
              <w:t>Exp</w:t>
            </w:r>
            <w:proofErr w:type="spellEnd"/>
            <w:r w:rsidRPr="00861D2F">
              <w:rPr>
                <w:rFonts w:ascii="Verdana" w:eastAsia="Arial MT" w:hAnsi="Verdana" w:cs="Arial"/>
                <w:lang w:val="es-CO" w:eastAsia="es-ES" w:bidi="es-ES"/>
              </w:rPr>
              <w:t>. 20.968. C.P. Mauricio Fajardo Gómez.</w:t>
            </w:r>
          </w:p>
          <w:p w14:paraId="5A6F45AF" w14:textId="77777777" w:rsidR="00122D5E" w:rsidRPr="00861D2F"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861D2F">
              <w:rPr>
                <w:rFonts w:ascii="Verdana" w:eastAsia="Arial MT" w:hAnsi="Verdana" w:cs="Arial"/>
                <w:lang w:val="es-CO" w:eastAsia="es-ES" w:bidi="es-ES"/>
              </w:rPr>
              <w:t>Consejo de Estado. Sala de Consulta y Servicio Civil. 30 de octubre de 2013. Radicación número: 11001-03-06-000-2013-00214-00</w:t>
            </w:r>
            <w:r>
              <w:rPr>
                <w:rFonts w:ascii="Verdana" w:eastAsia="Arial MT" w:hAnsi="Verdana" w:cs="Arial"/>
                <w:lang w:val="es-CO" w:eastAsia="es-ES" w:bidi="es-ES"/>
              </w:rPr>
              <w:t xml:space="preserve"> </w:t>
            </w:r>
            <w:r w:rsidRPr="00861D2F">
              <w:rPr>
                <w:rFonts w:ascii="Verdana" w:eastAsia="Arial MT" w:hAnsi="Verdana" w:cs="Arial"/>
                <w:lang w:val="es-CO" w:eastAsia="es-ES" w:bidi="es-ES"/>
              </w:rPr>
              <w:t xml:space="preserve">(2150). Consejero ponente: William Zambrano Cetina.  </w:t>
            </w:r>
          </w:p>
          <w:p w14:paraId="79D12349" w14:textId="77777777" w:rsidR="00122D5E" w:rsidRPr="005D52D2"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Pr>
                <w:rFonts w:ascii="Verdana" w:eastAsia="Arial MT" w:hAnsi="Verdana" w:cs="Arial"/>
                <w:lang w:val="es-CO" w:eastAsia="es-ES" w:bidi="es-ES"/>
              </w:rPr>
              <w:lastRenderedPageBreak/>
              <w:t>C</w:t>
            </w:r>
            <w:r w:rsidRPr="00861D2F">
              <w:rPr>
                <w:rFonts w:ascii="Verdana" w:eastAsia="Arial MT" w:hAnsi="Verdana" w:cs="Arial"/>
                <w:lang w:val="es-CO" w:eastAsia="es-ES" w:bidi="es-ES"/>
              </w:rPr>
              <w:t>onsejo de Estado. Sala de lo Contencioso Administrativo. Sección Tercera. Subsección B. Sentencia del 30 de abril de 2012. Radicado: 25000-23-26-000-1995-00704-01</w:t>
            </w:r>
            <w:r>
              <w:rPr>
                <w:rFonts w:ascii="Verdana" w:eastAsia="Arial MT" w:hAnsi="Verdana" w:cs="Arial"/>
                <w:lang w:val="es-CO" w:eastAsia="es-ES" w:bidi="es-ES"/>
              </w:rPr>
              <w:t xml:space="preserve"> </w:t>
            </w:r>
            <w:r w:rsidRPr="00861D2F">
              <w:rPr>
                <w:rFonts w:ascii="Verdana" w:eastAsia="Arial MT" w:hAnsi="Verdana" w:cs="Arial"/>
                <w:lang w:val="es-CO" w:eastAsia="es-ES" w:bidi="es-ES"/>
              </w:rPr>
              <w:t xml:space="preserve">(21699). Consejera ponente: Ruth Stella Correa Palacio.  </w:t>
            </w:r>
          </w:p>
          <w:p w14:paraId="6743AA1E"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eastAsia="Arial MT" w:hAnsi="Verdana" w:cs="Arial"/>
                <w:lang w:val="es-CO" w:eastAsia="es-ES" w:bidi="es-ES"/>
              </w:rPr>
              <w:t xml:space="preserve">SANTOS RODRÍGUEZ. Jorge Enrique. Construcción doctrinaria de la revocación del acto administrativo ilegal. Universidad Externado de Colombia, 2005. </w:t>
            </w:r>
          </w:p>
          <w:p w14:paraId="29E231D1"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eastAsia="Arial MT" w:hAnsi="Verdana" w:cs="Arial"/>
                <w:lang w:val="es-CO" w:eastAsia="es-ES" w:bidi="es-ES"/>
              </w:rPr>
              <w:t>RODRÍGUEZ. Libardo. Derecho Administrativo General y colombiano. Vigésima Edición. Tomo II. Editorial Temis, 2017.</w:t>
            </w:r>
          </w:p>
          <w:p w14:paraId="659DEE7F"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eastAsia="Arial MT" w:hAnsi="Verdana" w:cs="Arial"/>
                <w:lang w:val="es-CO" w:eastAsia="es-ES" w:bidi="es-ES"/>
              </w:rPr>
              <w:t>DÁVILA VINUEZA, Luis Guillermo. Régimen jurídico de la contratación estatal. 3° ed. Bogotá: Legis. 2016</w:t>
            </w:r>
            <w:r>
              <w:rPr>
                <w:rFonts w:ascii="Verdana" w:eastAsia="Arial MT" w:hAnsi="Verdana" w:cs="Arial"/>
                <w:lang w:val="es-CO" w:eastAsia="es-ES" w:bidi="es-ES"/>
              </w:rPr>
              <w:t>.</w:t>
            </w:r>
          </w:p>
          <w:p w14:paraId="76D37A97"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eastAsia="Arial MT" w:hAnsi="Verdana" w:cs="Arial"/>
                <w:lang w:val="es-CO" w:eastAsia="es-ES" w:bidi="es-ES"/>
              </w:rPr>
              <w:t xml:space="preserve">OSPINA MENA, Jesús Marino. Régimen de la Contratación Estatal. Un salto a la contratación líquida. Bogotá: Ed. 1ª. </w:t>
            </w:r>
            <w:proofErr w:type="spellStart"/>
            <w:r w:rsidRPr="005D52D2">
              <w:rPr>
                <w:rFonts w:ascii="Verdana" w:eastAsia="Arial MT" w:hAnsi="Verdana" w:cs="Arial"/>
                <w:lang w:val="es-CO" w:eastAsia="es-ES" w:bidi="es-ES"/>
              </w:rPr>
              <w:t>Diké</w:t>
            </w:r>
            <w:proofErr w:type="spellEnd"/>
            <w:r w:rsidRPr="005D52D2">
              <w:rPr>
                <w:rFonts w:ascii="Verdana" w:eastAsia="Arial MT" w:hAnsi="Verdana" w:cs="Arial"/>
                <w:lang w:val="es-CO" w:eastAsia="es-ES" w:bidi="es-ES"/>
              </w:rPr>
              <w:t>, 2020</w:t>
            </w:r>
            <w:r>
              <w:rPr>
                <w:rFonts w:ascii="Verdana" w:eastAsia="Arial MT" w:hAnsi="Verdana" w:cs="Arial"/>
                <w:lang w:val="es-CO" w:eastAsia="es-ES" w:bidi="es-ES"/>
              </w:rPr>
              <w:t>.</w:t>
            </w:r>
          </w:p>
          <w:p w14:paraId="2A12E7BF" w14:textId="77777777" w:rsidR="00122D5E"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eastAsia="Arial MT" w:hAnsi="Verdana" w:cs="Arial"/>
                <w:lang w:val="es-CO" w:eastAsia="es-ES" w:bidi="es-ES"/>
              </w:rPr>
              <w:t>CLARO SOLAR, Luis. Explicaciones de derecho civil chileno y comparado. Tomo Décimo – Obligaciones y contratos 1. Santiago de Chile, Nascimiento, 1936.</w:t>
            </w:r>
          </w:p>
          <w:p w14:paraId="32514BA7" w14:textId="77777777" w:rsidR="00122D5E" w:rsidRPr="005D52D2"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hAnsi="Verdana"/>
              </w:rPr>
              <w:t xml:space="preserve">HINESTROSA, Fernando, Tratado de las Obligaciones II De las fuentes de las obligaciones: </w:t>
            </w:r>
            <w:r w:rsidRPr="005D52D2">
              <w:rPr>
                <w:rFonts w:ascii="Verdana" w:hAnsi="Verdana"/>
                <w:i/>
              </w:rPr>
              <w:t>El Negocio Jurídico</w:t>
            </w:r>
            <w:r w:rsidRPr="005D52D2">
              <w:rPr>
                <w:rFonts w:ascii="Verdana" w:hAnsi="Verdana"/>
              </w:rPr>
              <w:t>, Volumen I, Universidad Externado de Colombia, Bogotá, 2015</w:t>
            </w:r>
            <w:r w:rsidRPr="0001237A">
              <w:rPr>
                <w:rFonts w:ascii="Verdana" w:hAnsi="Verdana"/>
              </w:rPr>
              <w:t>.</w:t>
            </w:r>
          </w:p>
          <w:p w14:paraId="73D00128" w14:textId="77777777" w:rsidR="00122D5E" w:rsidRPr="005D52D2"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eastAsia="Arial MT" w:hAnsi="Verdana" w:cs="Arial"/>
                <w:lang w:val="es-CO" w:eastAsia="es-ES" w:bidi="es-ES"/>
              </w:rPr>
              <w:t>EXPÓSITO VÉLEZ, Juan Carlos. Forma y contenido del contrato estatal, Bogotá: Universidad Externado de Colombia, 2013</w:t>
            </w:r>
            <w:r>
              <w:rPr>
                <w:rFonts w:ascii="Verdana" w:eastAsia="Arial MT" w:hAnsi="Verdana" w:cs="Arial"/>
                <w:lang w:val="es-CO" w:eastAsia="es-ES" w:bidi="es-ES"/>
              </w:rPr>
              <w:t>.</w:t>
            </w:r>
          </w:p>
          <w:p w14:paraId="0DC96447" w14:textId="77777777" w:rsidR="00122D5E" w:rsidRPr="00861D2F"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5D52D2">
              <w:rPr>
                <w:rFonts w:ascii="Verdana" w:hAnsi="Verdana" w:cs="Arial"/>
                <w:color w:val="000000"/>
                <w:lang w:val="es-CO"/>
              </w:rPr>
              <w:t xml:space="preserve">Manual de la Modalidad de Selección de Mínima Cuantía de Colombia Compra Eficiente, numeral 5. En </w:t>
            </w:r>
            <w:hyperlink r:id="rId13" w:history="1">
              <w:r w:rsidRPr="005D52D2">
                <w:rPr>
                  <w:rStyle w:val="Hipervnculo"/>
                  <w:rFonts w:ascii="Verdana" w:hAnsi="Verdana" w:cs="Arial"/>
                  <w:lang w:val="es-CO"/>
                </w:rPr>
                <w:t>manual_de_la_modalidad_de_seleccion_de_minima_cuantia.pdf</w:t>
              </w:r>
            </w:hyperlink>
          </w:p>
          <w:p w14:paraId="0218BE4E" w14:textId="77777777" w:rsidR="00122D5E" w:rsidRPr="00861D2F"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861D2F">
              <w:rPr>
                <w:rFonts w:ascii="Verdana" w:eastAsia="Calibri" w:hAnsi="Verdana" w:cs="Arial"/>
              </w:rPr>
              <w:t xml:space="preserve">Guía sobre el uso del SECOP II – Modalidades de contratación – Mínima cuantía. En </w:t>
            </w:r>
            <w:hyperlink r:id="rId14" w:history="1">
              <w:r w:rsidRPr="00861D2F">
                <w:rPr>
                  <w:rStyle w:val="Hipervnculo"/>
                  <w:rFonts w:ascii="Verdana" w:eastAsia="Calibri" w:hAnsi="Verdana" w:cs="Arial"/>
                </w:rPr>
                <w:t>cce-sec-gi-20guiasecopii_eemcminimacuantia20-04-2022_0-1.pdf</w:t>
              </w:r>
            </w:hyperlink>
          </w:p>
          <w:p w14:paraId="0A4966E5" w14:textId="77777777" w:rsidR="00122D5E" w:rsidRPr="00861D2F" w:rsidRDefault="00122D5E" w:rsidP="00611E54">
            <w:pPr>
              <w:pStyle w:val="Prrafodelista"/>
              <w:numPr>
                <w:ilvl w:val="0"/>
                <w:numId w:val="17"/>
              </w:numPr>
              <w:spacing w:line="276" w:lineRule="auto"/>
              <w:contextualSpacing w:val="0"/>
              <w:jc w:val="both"/>
              <w:rPr>
                <w:rFonts w:ascii="Verdana" w:eastAsia="Arial MT" w:hAnsi="Verdana" w:cs="Arial"/>
                <w:lang w:val="es-CO" w:eastAsia="es-ES" w:bidi="es-ES"/>
              </w:rPr>
            </w:pPr>
            <w:r w:rsidRPr="00861D2F">
              <w:rPr>
                <w:rFonts w:ascii="Verdana" w:hAnsi="Verdana"/>
              </w:rPr>
              <w:t xml:space="preserve">Guía de Procesos de contratación: Presentación de observaciones en el SECOP II. En </w:t>
            </w:r>
            <w:hyperlink r:id="rId15" w:history="1">
              <w:r w:rsidRPr="00861D2F">
                <w:rPr>
                  <w:rStyle w:val="Hipervnculo"/>
                  <w:rFonts w:ascii="Verdana" w:hAnsi="Verdana"/>
                  <w:lang w:val="es-CO"/>
                </w:rPr>
                <w:t>cce-sec-gi-03provpcpresentarobservaciones07-09-2020.pdf</w:t>
              </w:r>
            </w:hyperlink>
          </w:p>
        </w:tc>
      </w:tr>
    </w:tbl>
    <w:p w14:paraId="520D2671" w14:textId="77777777" w:rsidR="00122D5E" w:rsidRPr="00FF007A" w:rsidRDefault="00122D5E" w:rsidP="00122D5E">
      <w:pPr>
        <w:widowControl w:val="0"/>
        <w:autoSpaceDE w:val="0"/>
        <w:autoSpaceDN w:val="0"/>
        <w:spacing w:after="0" w:line="276" w:lineRule="auto"/>
        <w:jc w:val="both"/>
        <w:rPr>
          <w:rFonts w:ascii="Verdana" w:hAnsi="Verdana" w:cs="Arial"/>
        </w:rPr>
      </w:pPr>
    </w:p>
    <w:p w14:paraId="5D88B10A" w14:textId="77777777" w:rsidR="00122D5E" w:rsidRPr="00FF007A" w:rsidRDefault="00122D5E" w:rsidP="00122D5E">
      <w:pPr>
        <w:tabs>
          <w:tab w:val="left" w:pos="142"/>
          <w:tab w:val="left" w:pos="284"/>
        </w:tabs>
        <w:spacing w:after="0" w:line="276" w:lineRule="auto"/>
        <w:jc w:val="both"/>
        <w:rPr>
          <w:rFonts w:ascii="Verdana" w:eastAsia="Century Gothic" w:hAnsi="Verdana" w:cs="Century Gothic"/>
          <w:b/>
          <w:bCs/>
        </w:rPr>
      </w:pPr>
      <w:r w:rsidRPr="00FF007A">
        <w:rPr>
          <w:rFonts w:ascii="Verdana" w:eastAsia="Century Gothic" w:hAnsi="Verdana" w:cs="Century Gothic"/>
          <w:b/>
          <w:bCs/>
        </w:rPr>
        <w:t>5. Doctrina de la Agencia Nacional de Contratación Pública:</w:t>
      </w:r>
    </w:p>
    <w:p w14:paraId="5FFCAD5D" w14:textId="77777777" w:rsidR="00122D5E" w:rsidRDefault="00122D5E" w:rsidP="00122D5E">
      <w:pPr>
        <w:widowControl w:val="0"/>
        <w:autoSpaceDE w:val="0"/>
        <w:autoSpaceDN w:val="0"/>
        <w:spacing w:after="0" w:line="276" w:lineRule="auto"/>
        <w:jc w:val="both"/>
        <w:rPr>
          <w:rFonts w:ascii="Verdana" w:hAnsi="Verdana" w:cs="Arial"/>
          <w:shd w:val="clear" w:color="auto" w:fill="FFFFFF"/>
          <w:lang w:val="es-ES"/>
        </w:rPr>
      </w:pPr>
    </w:p>
    <w:p w14:paraId="7B93B5BA" w14:textId="77777777" w:rsidR="00122D5E" w:rsidRDefault="00122D5E" w:rsidP="00122D5E">
      <w:pPr>
        <w:widowControl w:val="0"/>
        <w:autoSpaceDE w:val="0"/>
        <w:autoSpaceDN w:val="0"/>
        <w:spacing w:after="0" w:line="276" w:lineRule="auto"/>
        <w:jc w:val="both"/>
        <w:rPr>
          <w:rFonts w:ascii="Verdana" w:eastAsia="Times New Roman" w:hAnsi="Verdana" w:cs="Arial"/>
          <w:shd w:val="clear" w:color="auto" w:fill="FFFFFF"/>
          <w:lang w:val="es-ES"/>
        </w:rPr>
      </w:pPr>
      <w:r w:rsidRPr="009C1EEE">
        <w:rPr>
          <w:rFonts w:ascii="Verdana" w:hAnsi="Verdana" w:cs="Arial"/>
          <w:shd w:val="clear" w:color="auto" w:fill="FFFFFF"/>
          <w:lang w:val="es-ES"/>
        </w:rPr>
        <w:t xml:space="preserve">Sobre las convocatorias limitadas a </w:t>
      </w:r>
      <w:r>
        <w:rPr>
          <w:rFonts w:ascii="Verdana" w:hAnsi="Verdana" w:cs="Arial"/>
          <w:shd w:val="clear" w:color="auto" w:fill="FFFFFF"/>
          <w:lang w:val="es-ES"/>
        </w:rPr>
        <w:t>MiPymes</w:t>
      </w:r>
      <w:r w:rsidRPr="009C1EEE">
        <w:rPr>
          <w:rFonts w:ascii="Verdana" w:hAnsi="Verdana" w:cs="Arial"/>
          <w:shd w:val="clear" w:color="auto" w:fill="FFFFFF"/>
          <w:lang w:val="es-ES"/>
        </w:rPr>
        <w:t xml:space="preserve">, según la modificación realizada por el Decreto 1860 de 2021 al Decreto 1082 de 2015, esta Subdirección se ha referido en los Conceptos </w:t>
      </w:r>
      <w:r>
        <w:rPr>
          <w:rFonts w:ascii="Verdana" w:hAnsi="Verdana" w:cs="Arial"/>
          <w:shd w:val="clear" w:color="auto" w:fill="FFFFFF"/>
          <w:lang w:val="es-ES"/>
        </w:rPr>
        <w:t>C</w:t>
      </w:r>
      <w:r w:rsidRPr="00126826">
        <w:rPr>
          <w:rFonts w:ascii="Verdana" w:hAnsi="Verdana" w:cs="Arial"/>
          <w:shd w:val="clear" w:color="auto" w:fill="FFFFFF"/>
          <w:lang w:val="es-ES"/>
        </w:rPr>
        <w:t xml:space="preserve">-037 del 26 de febrero de 2021, C-035 del 02 de marzo de 2021, C-126 del 06 de abril de 2021, C-127 del 06 de abril de 2021, </w:t>
      </w:r>
      <w:r w:rsidRPr="00126826">
        <w:rPr>
          <w:rFonts w:ascii="Verdana" w:hAnsi="Verdana" w:cs="Arial"/>
          <w:shd w:val="clear" w:color="auto" w:fill="FFFFFF"/>
          <w:lang w:val="es-ES"/>
        </w:rPr>
        <w:lastRenderedPageBreak/>
        <w:t>C-144 del 07 de abril de 2021, C-141 del 08 de abril de 2021, C-163 y C-164 del 19 de abril de 2021, C-242 del 25 de mayo de 2021, C-496 del 14 de septiembre de 2021, C-573 de 13 de octubre de 2021, C-001 del 17 de febrero de 2022, C-293 del 12 de abril de 2022, C-490 del 26 de julio de 2022, C-523 del 16 de agosto de 2022, C-539 del 29 de agosto de 2022, C-585 del 19 de septiembre de 2022, C-587 del 21 de septiembre de 2022, C-597 del 9 de septiembre de 2022, C-627 del 12 de septiembre de 2022, C-643 del 10 de octubre de 2022, C- 662 del 13 de octubre de 2022, C-699 del 25 de octubre de 2022, C-744 del 08 de noviembre de 2022, C-758 del 10 de noviembre de 2022</w:t>
      </w:r>
      <w:r>
        <w:rPr>
          <w:rFonts w:ascii="Verdana" w:hAnsi="Verdana" w:cs="Arial"/>
          <w:shd w:val="clear" w:color="auto" w:fill="FFFFFF"/>
          <w:lang w:val="es-ES"/>
        </w:rPr>
        <w:t>,</w:t>
      </w:r>
      <w:r w:rsidRPr="00126826">
        <w:rPr>
          <w:rFonts w:ascii="Verdana" w:hAnsi="Verdana" w:cs="Arial"/>
          <w:shd w:val="clear" w:color="auto" w:fill="FFFFFF"/>
          <w:lang w:val="es-ES"/>
        </w:rPr>
        <w:t xml:space="preserve"> C-895 del 27 de diciembre de 2022</w:t>
      </w:r>
      <w:r>
        <w:rPr>
          <w:rFonts w:ascii="Verdana" w:hAnsi="Verdana" w:cs="Arial"/>
          <w:shd w:val="clear" w:color="auto" w:fill="FFFFFF"/>
          <w:lang w:val="es-ES"/>
        </w:rPr>
        <w:t>, C- 201 del 2 de agosto de 2024, C-1021 del 27 de diciembre de 2024, C</w:t>
      </w:r>
      <w:r w:rsidRPr="00126826">
        <w:rPr>
          <w:rFonts w:ascii="Verdana" w:hAnsi="Verdana" w:cs="Arial"/>
          <w:shd w:val="clear" w:color="auto" w:fill="FFFFFF"/>
          <w:lang w:val="es-ES"/>
        </w:rPr>
        <w:t>-932 de</w:t>
      </w:r>
      <w:r>
        <w:rPr>
          <w:rFonts w:ascii="Verdana" w:hAnsi="Verdana" w:cs="Arial"/>
          <w:shd w:val="clear" w:color="auto" w:fill="FFFFFF"/>
          <w:lang w:val="es-ES"/>
        </w:rPr>
        <w:t>l 30 de diciembre de</w:t>
      </w:r>
      <w:r w:rsidRPr="00126826">
        <w:rPr>
          <w:rFonts w:ascii="Verdana" w:hAnsi="Verdana" w:cs="Arial"/>
          <w:shd w:val="clear" w:color="auto" w:fill="FFFFFF"/>
          <w:lang w:val="es-ES"/>
        </w:rPr>
        <w:t xml:space="preserve"> 2024</w:t>
      </w:r>
      <w:r>
        <w:rPr>
          <w:rFonts w:ascii="Verdana" w:hAnsi="Verdana" w:cs="Arial"/>
          <w:shd w:val="clear" w:color="auto" w:fill="FFFFFF"/>
          <w:lang w:val="es-ES"/>
        </w:rPr>
        <w:t>, C-263 del 7 de abril de 2025, C-1183 del 19 de septiembre de 2025 entre otros</w:t>
      </w:r>
      <w:r>
        <w:rPr>
          <w:rFonts w:ascii="Verdana" w:eastAsia="Times New Roman" w:hAnsi="Verdana" w:cs="Arial"/>
          <w:shd w:val="clear" w:color="auto" w:fill="FFFFFF"/>
          <w:lang w:val="es-ES"/>
        </w:rPr>
        <w:t>.</w:t>
      </w:r>
    </w:p>
    <w:p w14:paraId="6CAFA4D1" w14:textId="77777777" w:rsidR="00122D5E" w:rsidRDefault="00122D5E" w:rsidP="00867BA1">
      <w:pPr>
        <w:widowControl w:val="0"/>
        <w:autoSpaceDE w:val="0"/>
        <w:autoSpaceDN w:val="0"/>
        <w:spacing w:after="0" w:line="240" w:lineRule="auto"/>
        <w:jc w:val="both"/>
        <w:rPr>
          <w:rFonts w:ascii="Verdana" w:eastAsia="Times New Roman" w:hAnsi="Verdana" w:cs="Arial"/>
          <w:shd w:val="clear" w:color="auto" w:fill="FFFFFF"/>
          <w:lang w:val="es-ES"/>
        </w:rPr>
      </w:pPr>
    </w:p>
    <w:p w14:paraId="2952D6B2" w14:textId="77777777" w:rsidR="00122D5E" w:rsidRDefault="00122D5E" w:rsidP="00122D5E">
      <w:pPr>
        <w:spacing w:after="0" w:line="276" w:lineRule="auto"/>
        <w:jc w:val="both"/>
        <w:rPr>
          <w:rFonts w:ascii="Verdana" w:eastAsia="Calibri" w:hAnsi="Verdana" w:cs="Arial"/>
          <w:shd w:val="clear" w:color="auto" w:fill="FFFFFF"/>
        </w:rPr>
      </w:pPr>
      <w:r w:rsidRPr="00DA1FE4">
        <w:rPr>
          <w:rFonts w:ascii="Verdana" w:eastAsia="Calibri" w:hAnsi="Verdana" w:cs="Arial"/>
          <w:shd w:val="clear" w:color="auto" w:fill="FFFFFF"/>
        </w:rPr>
        <w:t>La Agencia Nacional de Contratación Pública – Colombia Compra Eficiente se pronunció sobre la revocatoria del acto de adjudicación en los conceptos C-524 de 18 de agosto de 2020, C-549 del 28 de agosto de 2020, C-524 de 18 de agosto de 2020, C-549 del 28 de agosto de 2020, C-363 del 14 de septiembre de 2021, C-618 del 5 de octubre de 2022, C-633 del 25 de octubre de 2022, C-750 del 1 de diciembre de 2022, C-252 del 7 de julio de 2023</w:t>
      </w:r>
      <w:r>
        <w:rPr>
          <w:rFonts w:ascii="Verdana" w:eastAsia="Calibri" w:hAnsi="Verdana" w:cs="Arial"/>
          <w:shd w:val="clear" w:color="auto" w:fill="FFFFFF"/>
        </w:rPr>
        <w:t>,</w:t>
      </w:r>
      <w:r w:rsidRPr="00DA1FE4">
        <w:rPr>
          <w:rFonts w:ascii="Verdana" w:eastAsia="Calibri" w:hAnsi="Verdana" w:cs="Arial"/>
          <w:shd w:val="clear" w:color="auto" w:fill="FFFFFF"/>
        </w:rPr>
        <w:t xml:space="preserve"> C-770 del 5 de diciembre de 2024, C-988 del 28 de enero de 2025,</w:t>
      </w:r>
      <w:r>
        <w:rPr>
          <w:rFonts w:ascii="Verdana" w:eastAsia="Calibri" w:hAnsi="Verdana" w:cs="Arial"/>
          <w:shd w:val="clear" w:color="auto" w:fill="FFFFFF"/>
        </w:rPr>
        <w:t xml:space="preserve"> C- 063 del 3 de marzo de 2025, C-945 del 23 de agosto de 2025,</w:t>
      </w:r>
      <w:r w:rsidRPr="00DA1FE4">
        <w:rPr>
          <w:rFonts w:ascii="Verdana" w:eastAsia="Calibri" w:hAnsi="Verdana" w:cs="Arial"/>
          <w:shd w:val="clear" w:color="auto" w:fill="FFFFFF"/>
        </w:rPr>
        <w:t xml:space="preserve"> entre otros.</w:t>
      </w:r>
      <w:r>
        <w:rPr>
          <w:rFonts w:ascii="Verdana" w:eastAsia="Calibri" w:hAnsi="Verdana" w:cs="Arial"/>
          <w:shd w:val="clear" w:color="auto" w:fill="FFFFFF"/>
        </w:rPr>
        <w:t xml:space="preserve"> Respecto de la terminación unilateral de los contratos estatales, esta Subdirección se ha pronunciado en los conceptos C-286 del 12 de mayo de 2022, C-005 del 29 de febrero de 2024, C-466 del 23 de septiembre de 2024, C-482 del 23 de mayo de 2025, entre otros.  </w:t>
      </w:r>
    </w:p>
    <w:p w14:paraId="6A032C60" w14:textId="77777777" w:rsidR="00122D5E" w:rsidRDefault="00122D5E" w:rsidP="00867BA1">
      <w:pPr>
        <w:spacing w:after="0" w:line="240" w:lineRule="auto"/>
        <w:jc w:val="both"/>
        <w:rPr>
          <w:rFonts w:ascii="Verdana" w:eastAsia="Calibri" w:hAnsi="Verdana" w:cs="Arial"/>
          <w:shd w:val="clear" w:color="auto" w:fill="FFFFFF"/>
        </w:rPr>
      </w:pPr>
    </w:p>
    <w:p w14:paraId="16CA442E" w14:textId="77777777" w:rsidR="00122D5E" w:rsidRDefault="00122D5E" w:rsidP="00122D5E">
      <w:pPr>
        <w:spacing w:after="0" w:line="276" w:lineRule="auto"/>
        <w:jc w:val="both"/>
        <w:rPr>
          <w:rFonts w:ascii="Verdana" w:eastAsia="Calibri" w:hAnsi="Verdana" w:cs="Arial"/>
          <w:shd w:val="clear" w:color="auto" w:fill="FFFFFF"/>
        </w:rPr>
      </w:pPr>
      <w:r>
        <w:rPr>
          <w:rFonts w:ascii="Verdana" w:eastAsia="Calibri" w:hAnsi="Verdana" w:cs="Arial"/>
          <w:shd w:val="clear" w:color="auto" w:fill="FFFFFF"/>
        </w:rPr>
        <w:t xml:space="preserve">En cuanto a la definición del contrato estatal y sus efectos, la Agencia Nacional de Contratación Pública se ha pronunciado en los conceptos </w:t>
      </w:r>
      <w:r w:rsidRPr="00CB718D">
        <w:rPr>
          <w:rFonts w:ascii="Verdana" w:eastAsia="Calibri" w:hAnsi="Verdana" w:cs="Arial"/>
          <w:bCs/>
          <w:shd w:val="clear" w:color="auto" w:fill="FFFFFF"/>
        </w:rPr>
        <w:t>4201912000006493 del 15 de noviembre de 2019, 4201912000006710 del 19 de noviembre de 2019, C-466 del 21 de julio de 2022, C-604 del 23 de septiembre de 2022 y C-823 del 21 de diciembre de 2022</w:t>
      </w:r>
      <w:r>
        <w:rPr>
          <w:rFonts w:ascii="Verdana" w:eastAsia="Calibri" w:hAnsi="Verdana" w:cs="Arial"/>
          <w:shd w:val="clear" w:color="auto" w:fill="FFFFFF"/>
        </w:rPr>
        <w:t xml:space="preserve"> C-043 del 4 de julio de 2024, entre otros. En cuanto a la nulidad absoluta del contrato estatal, esta Subdirección ha proferido los conceptos C</w:t>
      </w:r>
      <w:r w:rsidRPr="00331DEB">
        <w:rPr>
          <w:rFonts w:ascii="Verdana" w:eastAsia="Aptos" w:hAnsi="Verdana" w:cs="Arial"/>
          <w:shd w:val="clear" w:color="auto" w:fill="FFFFFF"/>
          <w:lang w:val="es-ES"/>
        </w:rPr>
        <w:t>-600 del 13 de octubre de 2020, C-378 del 31 de agosto de 2021, C-575 del 13 de octubre de 2021, C-896 del 17 de enero de 2023</w:t>
      </w:r>
      <w:r>
        <w:rPr>
          <w:rFonts w:ascii="Verdana" w:eastAsia="Aptos" w:hAnsi="Verdana" w:cs="Arial"/>
          <w:shd w:val="clear" w:color="auto" w:fill="FFFFFF"/>
          <w:lang w:val="es-ES"/>
        </w:rPr>
        <w:t>, C- 041 del 20 de febrero de 2025, entre otros.</w:t>
      </w:r>
      <w:r>
        <w:rPr>
          <w:rFonts w:ascii="Verdana" w:eastAsia="Calibri" w:hAnsi="Verdana" w:cs="Arial"/>
          <w:shd w:val="clear" w:color="auto" w:fill="FFFFFF"/>
        </w:rPr>
        <w:t xml:space="preserve"> </w:t>
      </w:r>
    </w:p>
    <w:p w14:paraId="68A6625D" w14:textId="77777777" w:rsidR="00122D5E" w:rsidRDefault="00122D5E" w:rsidP="00867BA1">
      <w:pPr>
        <w:spacing w:after="0" w:line="240" w:lineRule="auto"/>
        <w:jc w:val="both"/>
        <w:rPr>
          <w:rFonts w:ascii="Verdana" w:eastAsia="Calibri" w:hAnsi="Verdana" w:cs="Arial"/>
          <w:shd w:val="clear" w:color="auto" w:fill="FFFFFF"/>
        </w:rPr>
      </w:pPr>
    </w:p>
    <w:p w14:paraId="521878D4" w14:textId="77777777" w:rsidR="00122D5E" w:rsidRPr="004978B3" w:rsidRDefault="00122D5E" w:rsidP="00122D5E">
      <w:pPr>
        <w:spacing w:after="0" w:line="276" w:lineRule="auto"/>
        <w:jc w:val="both"/>
        <w:rPr>
          <w:rFonts w:ascii="Verdana" w:eastAsia="Calibri" w:hAnsi="Verdana" w:cs="Arial"/>
          <w:shd w:val="clear" w:color="auto" w:fill="FFFFFF"/>
        </w:rPr>
      </w:pPr>
      <w:r>
        <w:rPr>
          <w:rFonts w:ascii="Verdana" w:eastAsia="Calibri" w:hAnsi="Verdana" w:cs="Arial"/>
          <w:shd w:val="clear" w:color="auto" w:fill="FFFFFF"/>
        </w:rPr>
        <w:t xml:space="preserve">Así mismo, la Subdirección se ha pronunciado sobre la responsabilidad de los servidores públicos en el ejercicio de la responsabilidad </w:t>
      </w:r>
      <w:proofErr w:type="spellStart"/>
      <w:r>
        <w:rPr>
          <w:rFonts w:ascii="Verdana" w:eastAsia="Calibri" w:hAnsi="Verdana" w:cs="Arial"/>
          <w:shd w:val="clear" w:color="auto" w:fill="FFFFFF"/>
        </w:rPr>
        <w:t>preocntracrtual</w:t>
      </w:r>
      <w:proofErr w:type="spellEnd"/>
      <w:r>
        <w:rPr>
          <w:rFonts w:ascii="Verdana" w:eastAsia="Calibri" w:hAnsi="Verdana" w:cs="Arial"/>
          <w:shd w:val="clear" w:color="auto" w:fill="FFFFFF"/>
        </w:rPr>
        <w:t xml:space="preserve">, contractual y </w:t>
      </w:r>
      <w:proofErr w:type="spellStart"/>
      <w:r>
        <w:rPr>
          <w:rFonts w:ascii="Verdana" w:eastAsia="Calibri" w:hAnsi="Verdana" w:cs="Arial"/>
          <w:shd w:val="clear" w:color="auto" w:fill="FFFFFF"/>
        </w:rPr>
        <w:t>postcontractual</w:t>
      </w:r>
      <w:proofErr w:type="spellEnd"/>
      <w:r>
        <w:rPr>
          <w:rFonts w:ascii="Verdana" w:eastAsia="Calibri" w:hAnsi="Verdana" w:cs="Arial"/>
          <w:shd w:val="clear" w:color="auto" w:fill="FFFFFF"/>
        </w:rPr>
        <w:t xml:space="preserve"> en los conceptos </w:t>
      </w:r>
      <w:r w:rsidRPr="00CE1492">
        <w:rPr>
          <w:rFonts w:ascii="Verdana" w:eastAsia="Calibri" w:hAnsi="Verdana" w:cs="Arial"/>
          <w:shd w:val="clear" w:color="auto" w:fill="FFFFFF"/>
        </w:rPr>
        <w:t>C – 603</w:t>
      </w:r>
      <w:r>
        <w:rPr>
          <w:rFonts w:ascii="Verdana" w:eastAsia="Calibri" w:hAnsi="Verdana" w:cs="Arial"/>
          <w:shd w:val="clear" w:color="auto" w:fill="FFFFFF"/>
        </w:rPr>
        <w:t xml:space="preserve"> del 2 de noviembre</w:t>
      </w:r>
      <w:r w:rsidRPr="00CE1492">
        <w:rPr>
          <w:rFonts w:ascii="Verdana" w:eastAsia="Calibri" w:hAnsi="Verdana" w:cs="Arial"/>
          <w:shd w:val="clear" w:color="auto" w:fill="FFFFFF"/>
        </w:rPr>
        <w:t xml:space="preserve"> de </w:t>
      </w:r>
      <w:r w:rsidRPr="00CE1492">
        <w:rPr>
          <w:rFonts w:ascii="Verdana" w:eastAsia="Calibri" w:hAnsi="Verdana" w:cs="Arial"/>
          <w:shd w:val="clear" w:color="auto" w:fill="FFFFFF"/>
        </w:rPr>
        <w:lastRenderedPageBreak/>
        <w:t>2021</w:t>
      </w:r>
      <w:r>
        <w:rPr>
          <w:rFonts w:ascii="Verdana" w:eastAsia="Calibri" w:hAnsi="Verdana" w:cs="Arial"/>
          <w:shd w:val="clear" w:color="auto" w:fill="FFFFFF"/>
        </w:rPr>
        <w:t xml:space="preserve">, C-450 del 17 de septiembre de 2024, </w:t>
      </w:r>
      <w:r w:rsidRPr="00FF007A">
        <w:rPr>
          <w:rFonts w:ascii="Verdana" w:hAnsi="Verdana" w:cs="Arial"/>
        </w:rPr>
        <w:t xml:space="preserve">Estos y otros </w:t>
      </w:r>
      <w:r w:rsidRPr="00FF007A">
        <w:rPr>
          <w:rFonts w:ascii="Verdana" w:hAnsi="Verdana"/>
        </w:rPr>
        <w:t>conceptos se encuentran disponibles para consulta en el Sistema de relatoría de la Agencia, al cual se puede acceder a través del siguiente enlace:</w:t>
      </w:r>
      <w:r w:rsidRPr="00FF007A">
        <w:rPr>
          <w:rFonts w:ascii="Verdana" w:hAnsi="Verdana" w:cs="Arial"/>
          <w:shd w:val="clear" w:color="auto" w:fill="FFFFFF"/>
        </w:rPr>
        <w:t xml:space="preserve"> </w:t>
      </w:r>
    </w:p>
    <w:p w14:paraId="0FE03E33" w14:textId="77777777" w:rsidR="00122D5E" w:rsidRPr="00A454F0" w:rsidRDefault="00122D5E" w:rsidP="00122D5E">
      <w:pPr>
        <w:widowControl w:val="0"/>
        <w:autoSpaceDE w:val="0"/>
        <w:autoSpaceDN w:val="0"/>
        <w:spacing w:after="0" w:line="276" w:lineRule="auto"/>
        <w:jc w:val="both"/>
        <w:rPr>
          <w:rFonts w:ascii="Verdana" w:hAnsi="Verdana" w:cs="Arial"/>
          <w:shd w:val="clear" w:color="auto" w:fill="FFFFFF"/>
        </w:rPr>
      </w:pPr>
      <w:hyperlink r:id="rId16" w:history="1">
        <w:r w:rsidRPr="00E22850">
          <w:rPr>
            <w:rStyle w:val="Hipervnculo"/>
            <w:rFonts w:ascii="Verdana" w:hAnsi="Verdana" w:cs="Arial"/>
            <w:shd w:val="clear" w:color="auto" w:fill="FFFFFF"/>
          </w:rPr>
          <w:t>https://relatoria.colombiacompra.gov.co/busqueda/conceptos</w:t>
        </w:r>
      </w:hyperlink>
      <w:r w:rsidRPr="00FF007A">
        <w:rPr>
          <w:rFonts w:ascii="Verdana" w:hAnsi="Verdana" w:cs="Arial"/>
          <w:shd w:val="clear" w:color="auto" w:fill="FFFFFF"/>
        </w:rPr>
        <w:t>.</w:t>
      </w:r>
      <w:r w:rsidRPr="00FF007A">
        <w:rPr>
          <w:rFonts w:ascii="Verdana" w:hAnsi="Verdana" w:cs="Arial"/>
          <w:color w:val="FF0000"/>
          <w:shd w:val="clear" w:color="auto" w:fill="FFFFFF"/>
        </w:rPr>
        <w:t xml:space="preserve"> </w:t>
      </w:r>
      <w:r w:rsidRPr="00FF007A">
        <w:rPr>
          <w:rFonts w:ascii="Verdana" w:hAnsi="Verdana" w:cs="Arial"/>
          <w:color w:val="000000" w:themeColor="text1"/>
          <w:shd w:val="clear" w:color="auto" w:fill="FFFFFF"/>
        </w:rPr>
        <w:t>  </w:t>
      </w:r>
    </w:p>
    <w:p w14:paraId="28BEF48F" w14:textId="77777777" w:rsidR="00122D5E" w:rsidRDefault="00122D5E" w:rsidP="0001237A">
      <w:pPr>
        <w:spacing w:after="0" w:line="276" w:lineRule="auto"/>
        <w:jc w:val="both"/>
        <w:rPr>
          <w:rFonts w:ascii="Verdana" w:hAnsi="Verdana"/>
        </w:rPr>
      </w:pPr>
    </w:p>
    <w:p w14:paraId="40B8D71C" w14:textId="77777777" w:rsidR="00122D5E" w:rsidRDefault="00122D5E" w:rsidP="00305015">
      <w:pPr>
        <w:spacing w:after="0" w:line="276" w:lineRule="auto"/>
        <w:jc w:val="both"/>
        <w:rPr>
          <w:rFonts w:ascii="Verdana" w:hAnsi="Verdana"/>
        </w:rPr>
      </w:pPr>
      <w:r w:rsidRPr="00FF007A">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6729E49" w14:textId="77777777" w:rsidR="00305015" w:rsidRPr="00305015" w:rsidRDefault="00305015" w:rsidP="0001237A">
      <w:pPr>
        <w:spacing w:after="0" w:line="276" w:lineRule="auto"/>
        <w:jc w:val="both"/>
        <w:rPr>
          <w:rFonts w:ascii="Verdana" w:eastAsia="Calibri" w:hAnsi="Verdana" w:cs="Times New Roman"/>
        </w:rPr>
      </w:pPr>
    </w:p>
    <w:p w14:paraId="0E2119C1" w14:textId="77777777" w:rsidR="00122D5E" w:rsidRPr="00FF007A" w:rsidRDefault="00122D5E" w:rsidP="00122D5E">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nacional gratuita o servicio a la ciudadanía: 01800 0520808</w:t>
      </w:r>
    </w:p>
    <w:p w14:paraId="26E5A6A7" w14:textId="77777777" w:rsidR="00122D5E" w:rsidRPr="00FF007A" w:rsidRDefault="00122D5E" w:rsidP="00122D5E">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en Bogotá (Mesa de servicio): +57 601 7456788</w:t>
      </w:r>
    </w:p>
    <w:p w14:paraId="53372E95" w14:textId="77777777" w:rsidR="00122D5E" w:rsidRPr="00FF007A" w:rsidRDefault="00122D5E" w:rsidP="00122D5E">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Línea de servicio y atención al ciudadano: +57 601 7956600</w:t>
      </w:r>
    </w:p>
    <w:p w14:paraId="0702E2C6" w14:textId="77777777" w:rsidR="00122D5E" w:rsidRPr="00FF007A" w:rsidRDefault="00122D5E" w:rsidP="00122D5E">
      <w:pPr>
        <w:pStyle w:val="Prrafodelista"/>
        <w:numPr>
          <w:ilvl w:val="0"/>
          <w:numId w:val="15"/>
        </w:numPr>
        <w:spacing w:after="0" w:line="276" w:lineRule="auto"/>
        <w:contextualSpacing w:val="0"/>
        <w:jc w:val="both"/>
        <w:rPr>
          <w:rFonts w:ascii="Verdana" w:hAnsi="Verdana"/>
          <w:lang w:val="es-CO"/>
        </w:rPr>
      </w:pPr>
      <w:r w:rsidRPr="00FF007A">
        <w:rPr>
          <w:rFonts w:ascii="Verdana" w:hAnsi="Verdana"/>
          <w:lang w:val="es-CO"/>
        </w:rPr>
        <w:t xml:space="preserve">Página web: </w:t>
      </w:r>
      <w:hyperlink r:id="rId17" w:history="1">
        <w:r w:rsidRPr="00FF007A">
          <w:rPr>
            <w:rStyle w:val="Hipervnculo"/>
            <w:rFonts w:ascii="Verdana" w:hAnsi="Verdana"/>
            <w:lang w:val="es-CO"/>
          </w:rPr>
          <w:t>www.colombiacompra.gov.co</w:t>
        </w:r>
      </w:hyperlink>
    </w:p>
    <w:p w14:paraId="559095C4" w14:textId="77777777" w:rsidR="00305015" w:rsidRDefault="00305015" w:rsidP="00305015">
      <w:pPr>
        <w:spacing w:after="0" w:line="276" w:lineRule="auto"/>
        <w:jc w:val="both"/>
        <w:rPr>
          <w:rFonts w:ascii="Verdana" w:hAnsi="Verdana"/>
        </w:rPr>
      </w:pPr>
    </w:p>
    <w:p w14:paraId="14C274D6" w14:textId="0A28AD64" w:rsidR="00122D5E" w:rsidRPr="00FF007A" w:rsidRDefault="00122D5E" w:rsidP="0001237A">
      <w:pPr>
        <w:spacing w:after="0" w:line="276" w:lineRule="auto"/>
        <w:jc w:val="both"/>
        <w:rPr>
          <w:rFonts w:ascii="Verdana" w:hAnsi="Verdana"/>
        </w:rPr>
      </w:pPr>
      <w:r w:rsidRPr="00FF007A">
        <w:rPr>
          <w:rFonts w:ascii="Verdana" w:hAnsi="Verdana"/>
        </w:rPr>
        <w:t xml:space="preserve">Por último, lo invitamos a seguirnos en las redes sociales en las cuales se difunde información institucional: </w:t>
      </w:r>
    </w:p>
    <w:p w14:paraId="03090459" w14:textId="77777777" w:rsidR="00122D5E" w:rsidRPr="00FF007A" w:rsidRDefault="00122D5E" w:rsidP="0001237A">
      <w:pPr>
        <w:spacing w:after="0" w:line="276" w:lineRule="auto"/>
        <w:jc w:val="both"/>
        <w:rPr>
          <w:rFonts w:ascii="Verdana" w:hAnsi="Verdana"/>
        </w:rPr>
      </w:pPr>
    </w:p>
    <w:p w14:paraId="0BF86C34" w14:textId="77777777" w:rsidR="00122D5E" w:rsidRPr="00FF007A" w:rsidRDefault="00122D5E" w:rsidP="00122D5E">
      <w:pPr>
        <w:spacing w:after="0" w:line="276" w:lineRule="auto"/>
        <w:jc w:val="both"/>
        <w:rPr>
          <w:rFonts w:ascii="Verdana" w:hAnsi="Verdana"/>
        </w:rPr>
      </w:pPr>
      <w:r w:rsidRPr="00FF007A">
        <w:rPr>
          <w:rFonts w:ascii="Verdana" w:hAnsi="Verdana"/>
        </w:rPr>
        <w:t xml:space="preserve">Twitter: </w:t>
      </w:r>
      <w:r w:rsidRPr="00FF007A">
        <w:rPr>
          <w:rStyle w:val="Hipervnculo"/>
          <w:rFonts w:ascii="Verdana" w:hAnsi="Verdana"/>
        </w:rPr>
        <w:t>@colombiacompra</w:t>
      </w:r>
      <w:r w:rsidRPr="00FF007A">
        <w:rPr>
          <w:rFonts w:ascii="Verdana" w:hAnsi="Verdana"/>
        </w:rPr>
        <w:t xml:space="preserve"> </w:t>
      </w:r>
    </w:p>
    <w:p w14:paraId="545BBE44" w14:textId="77777777" w:rsidR="00122D5E" w:rsidRPr="00FF007A" w:rsidRDefault="00122D5E" w:rsidP="00122D5E">
      <w:pPr>
        <w:spacing w:after="0" w:line="276" w:lineRule="auto"/>
        <w:jc w:val="both"/>
        <w:rPr>
          <w:rFonts w:ascii="Verdana" w:hAnsi="Verdana"/>
        </w:rPr>
      </w:pPr>
      <w:r w:rsidRPr="00FF007A">
        <w:rPr>
          <w:rFonts w:ascii="Verdana" w:hAnsi="Verdana"/>
        </w:rPr>
        <w:t xml:space="preserve">Facebook: </w:t>
      </w:r>
      <w:proofErr w:type="spellStart"/>
      <w:r w:rsidRPr="00FF007A">
        <w:rPr>
          <w:rStyle w:val="Hipervnculo"/>
          <w:rFonts w:ascii="Verdana" w:hAnsi="Verdana"/>
        </w:rPr>
        <w:t>ColombiaCompraEficiente</w:t>
      </w:r>
      <w:proofErr w:type="spellEnd"/>
    </w:p>
    <w:p w14:paraId="5E9F0A16" w14:textId="77777777" w:rsidR="00122D5E" w:rsidRDefault="00122D5E" w:rsidP="00122D5E">
      <w:pPr>
        <w:spacing w:after="0" w:line="276" w:lineRule="auto"/>
        <w:jc w:val="both"/>
        <w:rPr>
          <w:rStyle w:val="Hipervnculo"/>
          <w:rFonts w:ascii="Verdana" w:hAnsi="Verdana"/>
        </w:rPr>
      </w:pPr>
      <w:r w:rsidRPr="00FF007A">
        <w:rPr>
          <w:rFonts w:ascii="Verdana" w:hAnsi="Verdana"/>
        </w:rPr>
        <w:t xml:space="preserve">LinkedIn: </w:t>
      </w:r>
      <w:r w:rsidRPr="00FF007A">
        <w:rPr>
          <w:rStyle w:val="Hipervnculo"/>
          <w:rFonts w:ascii="Verdana" w:hAnsi="Verdana"/>
        </w:rPr>
        <w:t>Agencia Nacional de Contratación Pública - Colombia Compra Eficiente</w:t>
      </w:r>
      <w:r w:rsidRPr="00FF007A">
        <w:rPr>
          <w:rFonts w:ascii="Verdana" w:hAnsi="Verdana"/>
        </w:rPr>
        <w:t xml:space="preserve"> Instagram: </w:t>
      </w:r>
      <w:r w:rsidRPr="00FF007A">
        <w:rPr>
          <w:rStyle w:val="Hipervnculo"/>
          <w:rFonts w:ascii="Verdana" w:hAnsi="Verdana"/>
        </w:rPr>
        <w:t>@colombiacompraeficiente_cce</w:t>
      </w:r>
    </w:p>
    <w:p w14:paraId="329B4C74" w14:textId="77777777" w:rsidR="00305015" w:rsidRPr="00305015" w:rsidRDefault="00305015" w:rsidP="00305015">
      <w:pPr>
        <w:spacing w:after="0" w:line="276" w:lineRule="auto"/>
        <w:jc w:val="both"/>
        <w:rPr>
          <w:rFonts w:ascii="Verdana" w:hAnsi="Verdana"/>
        </w:rPr>
      </w:pPr>
    </w:p>
    <w:p w14:paraId="1652E548" w14:textId="77777777" w:rsidR="00122D5E" w:rsidRPr="00FF007A" w:rsidRDefault="00122D5E" w:rsidP="0001237A">
      <w:pPr>
        <w:spacing w:after="0" w:line="276" w:lineRule="auto"/>
        <w:jc w:val="both"/>
        <w:rPr>
          <w:rFonts w:ascii="Verdana" w:hAnsi="Verdana"/>
        </w:rPr>
      </w:pPr>
      <w:r w:rsidRPr="00FF007A">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532B53B" w14:textId="77777777" w:rsidR="00122D5E" w:rsidRPr="00FF007A" w:rsidRDefault="00122D5E" w:rsidP="00122D5E">
      <w:pPr>
        <w:spacing w:after="0" w:line="276" w:lineRule="auto"/>
        <w:jc w:val="both"/>
        <w:rPr>
          <w:rFonts w:ascii="Verdana" w:eastAsia="Calibri" w:hAnsi="Verdana" w:cs="Times New Roman"/>
        </w:rPr>
      </w:pPr>
    </w:p>
    <w:p w14:paraId="055F4326" w14:textId="77777777" w:rsidR="00122D5E" w:rsidRPr="00FF007A" w:rsidRDefault="00122D5E" w:rsidP="00122D5E">
      <w:pPr>
        <w:spacing w:after="0" w:line="276" w:lineRule="auto"/>
        <w:jc w:val="both"/>
        <w:rPr>
          <w:rFonts w:ascii="Verdana" w:eastAsia="Calibri" w:hAnsi="Verdana" w:cs="Times New Roman"/>
        </w:rPr>
      </w:pPr>
      <w:r w:rsidRPr="00FF007A">
        <w:rPr>
          <w:rFonts w:ascii="Verdana" w:eastAsia="Calibri" w:hAnsi="Verdana" w:cs="Times New Roman"/>
        </w:rPr>
        <w:t>Atentamente,</w:t>
      </w:r>
    </w:p>
    <w:p w14:paraId="329FAA73" w14:textId="27ECD2AF" w:rsidR="00122D5E" w:rsidRPr="00FF007A" w:rsidRDefault="000A04D0" w:rsidP="00122D5E">
      <w:pPr>
        <w:spacing w:after="0" w:line="256" w:lineRule="auto"/>
        <w:jc w:val="center"/>
        <w:rPr>
          <w:rFonts w:ascii="Verdana" w:eastAsia="Calibri" w:hAnsi="Verdana" w:cs="Times New Roman"/>
        </w:rPr>
      </w:pPr>
      <w:r>
        <w:rPr>
          <w:noProof/>
        </w:rPr>
        <w:drawing>
          <wp:inline distT="0" distB="0" distL="0" distR="0" wp14:anchorId="435B510D" wp14:editId="5995948A">
            <wp:extent cx="3064598" cy="1443897"/>
            <wp:effectExtent l="0" t="0" r="2540" b="4445"/>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8"/>
                    <a:stretch>
                      <a:fillRect/>
                    </a:stretch>
                  </pic:blipFill>
                  <pic:spPr>
                    <a:xfrm>
                      <a:off x="0" y="0"/>
                      <a:ext cx="3072178" cy="1447468"/>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122D5E" w:rsidRPr="00FF007A" w14:paraId="7CF5C3A8" w14:textId="77777777" w:rsidTr="00D04A83">
        <w:trPr>
          <w:trHeight w:val="315"/>
        </w:trPr>
        <w:tc>
          <w:tcPr>
            <w:tcW w:w="893" w:type="dxa"/>
            <w:vAlign w:val="center"/>
            <w:hideMark/>
          </w:tcPr>
          <w:p w14:paraId="325AC69C" w14:textId="77777777" w:rsidR="00122D5E" w:rsidRPr="00FF007A" w:rsidRDefault="00122D5E" w:rsidP="00D04A83">
            <w:pPr>
              <w:contextualSpacing/>
              <w:rPr>
                <w:rFonts w:ascii="Verdana" w:hAnsi="Verdana" w:cs="Arial"/>
                <w:sz w:val="16"/>
                <w:szCs w:val="16"/>
                <w:lang w:eastAsia="es-ES"/>
              </w:rPr>
            </w:pPr>
            <w:r w:rsidRPr="00FF007A">
              <w:rPr>
                <w:rFonts w:ascii="Verdana" w:hAnsi="Verdana" w:cs="Arial"/>
                <w:sz w:val="16"/>
                <w:szCs w:val="16"/>
                <w:lang w:eastAsia="es-ES"/>
              </w:rPr>
              <w:lastRenderedPageBreak/>
              <w:t>Elaboró:</w:t>
            </w:r>
          </w:p>
        </w:tc>
        <w:tc>
          <w:tcPr>
            <w:tcW w:w="5061" w:type="dxa"/>
            <w:tcBorders>
              <w:top w:val="nil"/>
              <w:left w:val="nil"/>
              <w:bottom w:val="dotted" w:sz="4" w:space="0" w:color="7F7F7F" w:themeColor="text1" w:themeTint="80"/>
              <w:right w:val="nil"/>
            </w:tcBorders>
            <w:vAlign w:val="center"/>
            <w:hideMark/>
          </w:tcPr>
          <w:p w14:paraId="5F82176D" w14:textId="77777777" w:rsidR="00122D5E" w:rsidRPr="00FF007A" w:rsidRDefault="00122D5E" w:rsidP="00D04A83">
            <w:pPr>
              <w:contextualSpacing/>
              <w:rPr>
                <w:rStyle w:val="normaltextrun"/>
                <w:rFonts w:ascii="Verdana" w:hAnsi="Verdana"/>
                <w:sz w:val="16"/>
                <w:szCs w:val="16"/>
              </w:rPr>
            </w:pPr>
            <w:r w:rsidRPr="00FF007A">
              <w:rPr>
                <w:rStyle w:val="normaltextrun"/>
                <w:rFonts w:ascii="Verdana" w:hAnsi="Verdana"/>
                <w:sz w:val="16"/>
                <w:szCs w:val="16"/>
              </w:rPr>
              <w:t xml:space="preserve">Esperanza Contreras P </w:t>
            </w:r>
          </w:p>
          <w:p w14:paraId="1CC998C0" w14:textId="77777777" w:rsidR="00122D5E" w:rsidRPr="00FF007A" w:rsidRDefault="00122D5E" w:rsidP="00D04A83">
            <w:pPr>
              <w:contextualSpacing/>
              <w:rPr>
                <w:rFonts w:ascii="Verdana" w:eastAsia="Arial" w:hAnsi="Verdana" w:cs="Arial"/>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122D5E" w:rsidRPr="00FF007A" w14:paraId="120A29B2" w14:textId="77777777" w:rsidTr="00D04A83">
        <w:trPr>
          <w:trHeight w:val="330"/>
        </w:trPr>
        <w:tc>
          <w:tcPr>
            <w:tcW w:w="893" w:type="dxa"/>
            <w:vAlign w:val="center"/>
            <w:hideMark/>
          </w:tcPr>
          <w:p w14:paraId="7B5FEFED" w14:textId="77777777" w:rsidR="00122D5E" w:rsidRPr="00FF007A" w:rsidRDefault="00122D5E" w:rsidP="00D04A83">
            <w:pPr>
              <w:contextualSpacing/>
              <w:rPr>
                <w:rFonts w:ascii="Verdana" w:hAnsi="Verdana" w:cs="Arial"/>
                <w:sz w:val="16"/>
                <w:szCs w:val="16"/>
                <w:lang w:eastAsia="es-ES"/>
              </w:rPr>
            </w:pPr>
            <w:r w:rsidRPr="00FF007A">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2A844685" w14:textId="77777777" w:rsidR="00122D5E" w:rsidRPr="00FF007A" w:rsidRDefault="00122D5E" w:rsidP="00D04A83">
            <w:pPr>
              <w:pStyle w:val="paragraph"/>
              <w:spacing w:before="0" w:beforeAutospacing="0" w:after="0" w:afterAutospacing="0"/>
              <w:contextualSpacing/>
              <w:textAlignment w:val="baseline"/>
              <w:rPr>
                <w:rStyle w:val="normaltextrun"/>
                <w:rFonts w:ascii="Verdana" w:hAnsi="Verdana"/>
                <w:sz w:val="16"/>
                <w:szCs w:val="16"/>
              </w:rPr>
            </w:pPr>
            <w:r>
              <w:rPr>
                <w:rStyle w:val="normaltextrun"/>
                <w:rFonts w:ascii="Verdana" w:hAnsi="Verdana"/>
                <w:sz w:val="16"/>
                <w:szCs w:val="16"/>
              </w:rPr>
              <w:t>Diana Lucía Saavedra Castañeda</w:t>
            </w:r>
          </w:p>
          <w:p w14:paraId="2F9213B1" w14:textId="77777777" w:rsidR="00122D5E" w:rsidRPr="00FF007A" w:rsidRDefault="00122D5E" w:rsidP="00D04A83">
            <w:pPr>
              <w:pStyle w:val="paragraph"/>
              <w:spacing w:before="0" w:beforeAutospacing="0" w:after="0" w:afterAutospacing="0"/>
              <w:contextualSpacing/>
              <w:textAlignment w:val="baseline"/>
              <w:rPr>
                <w:rFonts w:ascii="Verdana" w:hAnsi="Verdana" w:cs="Segoe UI"/>
                <w:sz w:val="16"/>
                <w:szCs w:val="16"/>
              </w:rPr>
            </w:pPr>
            <w:r w:rsidRPr="00FF007A">
              <w:rPr>
                <w:rStyle w:val="normaltextrun"/>
                <w:rFonts w:ascii="Verdana" w:hAnsi="Verdana" w:cs="Arial"/>
                <w:sz w:val="16"/>
                <w:szCs w:val="16"/>
              </w:rPr>
              <w:t>Contratista de la Subdirección de Gestión Contractual</w:t>
            </w:r>
            <w:r w:rsidRPr="00FF007A">
              <w:rPr>
                <w:rStyle w:val="eop"/>
                <w:rFonts w:ascii="Verdana" w:hAnsi="Verdana" w:cs="Arial"/>
                <w:sz w:val="16"/>
                <w:szCs w:val="16"/>
              </w:rPr>
              <w:t> </w:t>
            </w:r>
          </w:p>
        </w:tc>
      </w:tr>
      <w:tr w:rsidR="00122D5E" w:rsidRPr="00FF007A" w14:paraId="26ED3F13" w14:textId="77777777" w:rsidTr="00D04A83">
        <w:trPr>
          <w:trHeight w:val="300"/>
        </w:trPr>
        <w:tc>
          <w:tcPr>
            <w:tcW w:w="893" w:type="dxa"/>
            <w:vAlign w:val="center"/>
          </w:tcPr>
          <w:p w14:paraId="2AEE5494" w14:textId="77777777" w:rsidR="00122D5E" w:rsidRPr="00FF007A" w:rsidRDefault="00122D5E" w:rsidP="00D04A83">
            <w:pPr>
              <w:contextualSpacing/>
              <w:rPr>
                <w:rFonts w:ascii="Verdana" w:hAnsi="Verdana" w:cs="Arial"/>
                <w:sz w:val="16"/>
                <w:szCs w:val="16"/>
                <w:lang w:eastAsia="es-ES"/>
              </w:rPr>
            </w:pPr>
            <w:r w:rsidRPr="00FF007A">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142F6D1D" w14:textId="77777777" w:rsidR="00122D5E" w:rsidRPr="00FF007A" w:rsidRDefault="00122D5E" w:rsidP="00D04A83">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 xml:space="preserve">Carolina Quintero </w:t>
            </w:r>
            <w:proofErr w:type="spellStart"/>
            <w:r w:rsidRPr="00FF007A">
              <w:rPr>
                <w:rFonts w:ascii="Verdana" w:eastAsia="Calibri" w:hAnsi="Verdana" w:cs="Arial"/>
                <w:sz w:val="16"/>
                <w:szCs w:val="16"/>
                <w:lang w:eastAsia="es-ES"/>
              </w:rPr>
              <w:t>Gacharná</w:t>
            </w:r>
            <w:proofErr w:type="spellEnd"/>
          </w:p>
          <w:p w14:paraId="7A799F9D" w14:textId="77777777" w:rsidR="00122D5E" w:rsidRPr="00FF007A" w:rsidRDefault="00122D5E" w:rsidP="00D04A83">
            <w:pPr>
              <w:contextualSpacing/>
              <w:rPr>
                <w:rFonts w:ascii="Verdana" w:eastAsia="Calibri" w:hAnsi="Verdana" w:cs="Arial"/>
                <w:sz w:val="16"/>
                <w:szCs w:val="16"/>
                <w:lang w:eastAsia="es-ES"/>
              </w:rPr>
            </w:pPr>
            <w:r w:rsidRPr="00FF007A">
              <w:rPr>
                <w:rFonts w:ascii="Verdana" w:eastAsia="Calibri" w:hAnsi="Verdana" w:cs="Arial"/>
                <w:sz w:val="16"/>
                <w:szCs w:val="16"/>
                <w:lang w:eastAsia="es-ES"/>
              </w:rPr>
              <w:t>Subdirectora de Gestión Contractual ANCP – CCE</w:t>
            </w:r>
          </w:p>
        </w:tc>
      </w:tr>
      <w:bookmarkEnd w:id="0"/>
      <w:bookmarkEnd w:id="1"/>
      <w:bookmarkEnd w:id="2"/>
      <w:bookmarkEnd w:id="3"/>
      <w:bookmarkEnd w:id="4"/>
      <w:bookmarkEnd w:id="6"/>
      <w:bookmarkEnd w:id="7"/>
    </w:tbl>
    <w:p w14:paraId="76998B40" w14:textId="77777777" w:rsidR="00122D5E" w:rsidRPr="00DA731C" w:rsidRDefault="00122D5E" w:rsidP="00122D5E"/>
    <w:bookmarkEnd w:id="5"/>
    <w:p w14:paraId="0F293BF4" w14:textId="3DB0FE2D" w:rsidR="00127233" w:rsidRPr="00046945" w:rsidRDefault="00127233" w:rsidP="00046945">
      <w:pPr>
        <w:spacing w:after="0" w:line="240" w:lineRule="auto"/>
        <w:jc w:val="both"/>
        <w:textAlignment w:val="baseline"/>
        <w:rPr>
          <w:rFonts w:ascii="Verdana" w:eastAsia="Times New Roman" w:hAnsi="Verdana" w:cs="Segoe UI"/>
          <w:sz w:val="18"/>
          <w:szCs w:val="18"/>
          <w:lang w:eastAsia="es-CO"/>
        </w:rPr>
      </w:pPr>
    </w:p>
    <w:sectPr w:rsidR="00127233" w:rsidRPr="00046945"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953FEC" w14:textId="77777777" w:rsidR="00A532EF" w:rsidRDefault="00A532EF" w:rsidP="004A1847">
      <w:pPr>
        <w:spacing w:after="0" w:line="240" w:lineRule="auto"/>
      </w:pPr>
      <w:r>
        <w:separator/>
      </w:r>
    </w:p>
  </w:endnote>
  <w:endnote w:type="continuationSeparator" w:id="0">
    <w:p w14:paraId="16B608C0" w14:textId="77777777" w:rsidR="00A532EF" w:rsidRDefault="00A532E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CA0D05" w14:textId="77777777" w:rsidR="00A532EF" w:rsidRDefault="00A532EF" w:rsidP="004A1847">
      <w:pPr>
        <w:spacing w:after="0" w:line="240" w:lineRule="auto"/>
      </w:pPr>
      <w:r>
        <w:separator/>
      </w:r>
    </w:p>
  </w:footnote>
  <w:footnote w:type="continuationSeparator" w:id="0">
    <w:p w14:paraId="33CA8B8D" w14:textId="77777777" w:rsidR="00A532EF" w:rsidRDefault="00A532EF" w:rsidP="004A1847">
      <w:pPr>
        <w:spacing w:after="0" w:line="240" w:lineRule="auto"/>
      </w:pPr>
      <w:r>
        <w:continuationSeparator/>
      </w:r>
    </w:p>
  </w:footnote>
  <w:footnote w:id="1">
    <w:p w14:paraId="2A0D7BBE" w14:textId="77777777" w:rsidR="00122D5E" w:rsidRPr="005775AF" w:rsidRDefault="00122D5E" w:rsidP="00122D5E">
      <w:pPr>
        <w:pStyle w:val="Textonotapie"/>
        <w:ind w:firstLine="709"/>
        <w:jc w:val="both"/>
        <w:rPr>
          <w:rFonts w:ascii="Verdana" w:hAnsi="Verdana" w:cs="Arial"/>
          <w:color w:val="000000"/>
          <w:sz w:val="14"/>
          <w:szCs w:val="14"/>
          <w:lang w:val="es-ES_tradnl"/>
        </w:rPr>
      </w:pPr>
      <w:r w:rsidRPr="005775AF">
        <w:rPr>
          <w:rStyle w:val="Refdenotaalpie"/>
          <w:rFonts w:ascii="Verdana" w:hAnsi="Verdana" w:cs="Arial"/>
          <w:color w:val="000000"/>
          <w:sz w:val="14"/>
          <w:szCs w:val="14"/>
          <w:lang w:val="es-ES_tradnl"/>
        </w:rPr>
        <w:footnoteRef/>
      </w:r>
      <w:r w:rsidRPr="005775AF">
        <w:rPr>
          <w:rFonts w:ascii="Verdana" w:hAnsi="Verdana" w:cs="Arial"/>
          <w:color w:val="000000"/>
          <w:sz w:val="14"/>
          <w:szCs w:val="14"/>
          <w:lang w:val="es-ES_tradnl"/>
        </w:rPr>
        <w:t xml:space="preserve"> Esto lo ratifica el </w:t>
      </w:r>
      <w:bookmarkStart w:id="10" w:name="_Hlk194040859"/>
      <w:r w:rsidRPr="005775AF">
        <w:rPr>
          <w:rFonts w:ascii="Verdana" w:hAnsi="Verdana" w:cs="Arial"/>
          <w:color w:val="000000"/>
          <w:sz w:val="14"/>
          <w:szCs w:val="14"/>
          <w:lang w:val="es-ES_tradnl"/>
        </w:rPr>
        <w:t xml:space="preserve">artículo 2.2.1.2.1.5.2. </w:t>
      </w:r>
      <w:bookmarkEnd w:id="10"/>
      <w:r w:rsidRPr="005775AF">
        <w:rPr>
          <w:rFonts w:ascii="Verdana" w:hAnsi="Verdana" w:cs="Arial"/>
          <w:color w:val="000000"/>
          <w:sz w:val="14"/>
          <w:szCs w:val="14"/>
          <w:lang w:val="es-ES_tradnl"/>
        </w:rPr>
        <w:t>del Decreto 1082 de 2015.</w:t>
      </w:r>
    </w:p>
    <w:p w14:paraId="6250ECE1" w14:textId="77777777" w:rsidR="00122D5E" w:rsidRPr="005775AF" w:rsidRDefault="00122D5E" w:rsidP="00122D5E">
      <w:pPr>
        <w:pStyle w:val="Textonotapie"/>
        <w:ind w:firstLine="709"/>
        <w:jc w:val="both"/>
        <w:rPr>
          <w:rFonts w:ascii="Verdana" w:hAnsi="Verdana" w:cs="Arial"/>
          <w:color w:val="000000"/>
          <w:sz w:val="14"/>
          <w:szCs w:val="14"/>
          <w:lang w:val="es-ES_tradnl"/>
        </w:rPr>
      </w:pPr>
    </w:p>
  </w:footnote>
  <w:footnote w:id="2">
    <w:p w14:paraId="559C712B" w14:textId="77777777" w:rsidR="00122D5E" w:rsidRPr="005775AF" w:rsidRDefault="00122D5E" w:rsidP="00122D5E">
      <w:pPr>
        <w:pStyle w:val="Textonotapie"/>
        <w:ind w:firstLine="708"/>
        <w:jc w:val="both"/>
        <w:rPr>
          <w:rFonts w:ascii="Century Gothic" w:hAnsi="Century Gothic" w:cs="Arial"/>
          <w:sz w:val="14"/>
          <w:szCs w:val="14"/>
        </w:rPr>
      </w:pPr>
      <w:r w:rsidRPr="005775AF">
        <w:rPr>
          <w:rStyle w:val="Refdenotaalpie"/>
          <w:rFonts w:ascii="Verdana" w:hAnsi="Verdana" w:cs="Arial"/>
          <w:sz w:val="14"/>
          <w:szCs w:val="14"/>
        </w:rPr>
        <w:footnoteRef/>
      </w:r>
      <w:r w:rsidRPr="005775AF">
        <w:rPr>
          <w:rFonts w:ascii="Verdana" w:hAnsi="Verdana" w:cs="Arial"/>
          <w:sz w:val="14"/>
          <w:szCs w:val="14"/>
        </w:rPr>
        <w:t xml:space="preserve"> El artículo completo es del siguiente tenor: “Artículo 8. Vigencia y derogatorias. Las disposiciones contenidas en el presente Decreto se aplicarán a los procedimientos de selección cuya invitación, aviso de convocatoria o documento equivalente se publique a los tres (3) meses contados a partir de su expedición. Este Decreto modifica la Subsección 5 de la Sección 1 del Capítulo 2 del Título 1 de la Parte 2 del Libro 2, así como los artículos 2.2.1.2.4.2.2., 2.2.1.2.4.2.3., 2.2.1.2.4.2.4., 2.2.1.2.1.2.2. Y 2.2.1.2.4.2.8.; adiciona los artículos 2.2.1.2.4.2.14., 2.2.1.2.4.2.15., 2.2.1.2.4.2.16., 2.2.1.2.4.2.17. Y 2.2.1.2.4.2.18.; adiciona un parágrafo al artículo 2.2.1.2.3.1.9; y deroga el artículo 2.2.1.1.2.2.9. del Decreto 1082 de 2015, Único Reglamentario del Sector Administrativo de Planeación Nacional”.</w:t>
      </w:r>
    </w:p>
  </w:footnote>
  <w:footnote w:id="3">
    <w:p w14:paraId="6DAE5B01" w14:textId="77777777" w:rsidR="00122D5E" w:rsidRPr="005775AF" w:rsidRDefault="00122D5E" w:rsidP="00122D5E">
      <w:pPr>
        <w:pStyle w:val="Textonotapie"/>
        <w:ind w:firstLine="708"/>
        <w:jc w:val="both"/>
        <w:rPr>
          <w:rFonts w:ascii="Verdana" w:hAnsi="Verdana" w:cs="Arial"/>
          <w:color w:val="000000" w:themeColor="text1"/>
          <w:sz w:val="14"/>
          <w:szCs w:val="14"/>
        </w:rPr>
      </w:pPr>
      <w:r w:rsidRPr="005775AF">
        <w:rPr>
          <w:rStyle w:val="Refdenotaalpie"/>
          <w:rFonts w:ascii="Verdana" w:hAnsi="Verdana" w:cs="Arial"/>
          <w:sz w:val="14"/>
          <w:szCs w:val="14"/>
        </w:rPr>
        <w:footnoteRef/>
      </w:r>
      <w:r w:rsidRPr="005775AF">
        <w:rPr>
          <w:rFonts w:ascii="Verdana" w:hAnsi="Verdana" w:cs="Arial"/>
          <w:sz w:val="14"/>
          <w:szCs w:val="14"/>
        </w:rPr>
        <w:t xml:space="preserve"> Este monto fue publicado por la Agencia Nacional de Contratación Pública – Colombia Compra Eficiente, de acuerdo con la información remitida por el Ministerio de Comercio Industria y Turismo, disponible en el siguiente enlace: </w:t>
      </w:r>
      <w:hyperlink r:id="rId1" w:history="1">
        <w:r w:rsidRPr="005775AF">
          <w:rPr>
            <w:rStyle w:val="Hipervnculo"/>
            <w:rFonts w:ascii="Verdana" w:hAnsi="Verdana"/>
            <w:sz w:val="14"/>
            <w:szCs w:val="14"/>
            <w:lang w:val="es-CO"/>
          </w:rPr>
          <w:t>umbral_de_mipymes_2025_oali.pdf</w:t>
        </w:r>
      </w:hyperlink>
    </w:p>
    <w:p w14:paraId="54E63424" w14:textId="77777777" w:rsidR="00122D5E" w:rsidRPr="005775AF" w:rsidRDefault="00122D5E" w:rsidP="00122D5E">
      <w:pPr>
        <w:pStyle w:val="Textonotapie"/>
        <w:ind w:firstLine="708"/>
        <w:jc w:val="both"/>
        <w:rPr>
          <w:rFonts w:ascii="Verdana" w:hAnsi="Verdana" w:cs="Arial"/>
          <w:sz w:val="14"/>
          <w:szCs w:val="14"/>
        </w:rPr>
      </w:pPr>
      <w:r w:rsidRPr="005775AF">
        <w:rPr>
          <w:rFonts w:ascii="Verdana" w:hAnsi="Verdana" w:cs="Arial"/>
          <w:color w:val="000000" w:themeColor="text1"/>
          <w:sz w:val="14"/>
          <w:szCs w:val="14"/>
        </w:rPr>
        <w:t xml:space="preserve"> </w:t>
      </w:r>
    </w:p>
  </w:footnote>
  <w:footnote w:id="4">
    <w:p w14:paraId="1E6B2FCF" w14:textId="77777777" w:rsidR="00122D5E" w:rsidRPr="005775AF" w:rsidRDefault="00122D5E" w:rsidP="00122D5E">
      <w:pPr>
        <w:pStyle w:val="Textonotapie"/>
        <w:ind w:firstLine="709"/>
        <w:jc w:val="both"/>
        <w:rPr>
          <w:rFonts w:ascii="Verdana" w:hAnsi="Verdana" w:cs="Arial"/>
          <w:sz w:val="14"/>
          <w:szCs w:val="14"/>
        </w:rPr>
      </w:pPr>
      <w:r w:rsidRPr="005775AF">
        <w:rPr>
          <w:rStyle w:val="Refdenotaalpie"/>
          <w:rFonts w:ascii="Verdana" w:hAnsi="Verdana" w:cs="Arial"/>
          <w:sz w:val="14"/>
          <w:szCs w:val="14"/>
        </w:rPr>
        <w:footnoteRef/>
      </w:r>
      <w:r w:rsidRPr="005775AF">
        <w:rPr>
          <w:rFonts w:ascii="Verdana" w:hAnsi="Verdana" w:cs="Arial"/>
          <w:sz w:val="14"/>
          <w:szCs w:val="14"/>
        </w:rPr>
        <w:t xml:space="preserve"> ARTÍCULO 2.2.1.2.4.2.2. Convocatorias limitadas a </w:t>
      </w:r>
      <w:proofErr w:type="spellStart"/>
      <w:r w:rsidRPr="005775AF">
        <w:rPr>
          <w:rFonts w:ascii="Verdana" w:hAnsi="Verdana" w:cs="Arial"/>
          <w:sz w:val="14"/>
          <w:szCs w:val="14"/>
        </w:rPr>
        <w:t>Mípyme</w:t>
      </w:r>
      <w:proofErr w:type="spellEnd"/>
      <w:r w:rsidRPr="005775AF">
        <w:rPr>
          <w:rFonts w:ascii="Verdana" w:hAnsi="Verdana" w:cs="Arial"/>
          <w:sz w:val="14"/>
          <w:szCs w:val="14"/>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5775AF">
        <w:rPr>
          <w:rFonts w:ascii="Verdana" w:hAnsi="Verdana" w:cs="Arial"/>
          <w:sz w:val="14"/>
          <w:szCs w:val="14"/>
        </w:rPr>
        <w:t>Mipyme</w:t>
      </w:r>
      <w:proofErr w:type="spellEnd"/>
      <w:r w:rsidRPr="005775AF">
        <w:rPr>
          <w:rFonts w:ascii="Verdana" w:hAnsi="Verdana" w:cs="Arial"/>
          <w:sz w:val="14"/>
          <w:szCs w:val="14"/>
        </w:rPr>
        <w:t xml:space="preserve"> colombianas con mínimo un (1) año de existencia, cuando concurran los siguientes requisitos: </w:t>
      </w:r>
    </w:p>
    <w:p w14:paraId="1115CCCD" w14:textId="77777777" w:rsidR="00122D5E" w:rsidRPr="005775AF" w:rsidRDefault="00122D5E" w:rsidP="00122D5E">
      <w:pPr>
        <w:pStyle w:val="Textonotapie"/>
        <w:ind w:firstLine="709"/>
        <w:jc w:val="both"/>
        <w:rPr>
          <w:rFonts w:ascii="Verdana" w:hAnsi="Verdana" w:cs="Arial"/>
          <w:sz w:val="14"/>
          <w:szCs w:val="14"/>
        </w:rPr>
      </w:pPr>
      <w:r w:rsidRPr="005775AF">
        <w:rPr>
          <w:rFonts w:ascii="Verdana" w:hAnsi="Verdana" w:cs="Arial"/>
          <w:sz w:val="14"/>
          <w:szCs w:val="14"/>
        </w:rPr>
        <w:t xml:space="preserve">1. El valor del Proceso de Contratación sea menor a ciento veinticinco mil dólares de los Estados Unidos de América (US$125.000), liquidados con la tasa de cambio que para el efecto determina cada dos años el Ministerio de Comercio, Industria y Turismo. </w:t>
      </w:r>
    </w:p>
    <w:p w14:paraId="0C5E9B95" w14:textId="77777777" w:rsidR="00122D5E" w:rsidRPr="005775AF" w:rsidRDefault="00122D5E" w:rsidP="00122D5E">
      <w:pPr>
        <w:pStyle w:val="Textonotapie"/>
        <w:ind w:firstLine="709"/>
        <w:jc w:val="both"/>
        <w:rPr>
          <w:rFonts w:ascii="Verdana" w:hAnsi="Verdana" w:cs="Arial"/>
          <w:sz w:val="14"/>
          <w:szCs w:val="14"/>
        </w:rPr>
      </w:pPr>
      <w:r w:rsidRPr="005775AF">
        <w:rPr>
          <w:rFonts w:ascii="Verdana" w:hAnsi="Verdana" w:cs="Arial"/>
          <w:sz w:val="14"/>
          <w:szCs w:val="14"/>
        </w:rPr>
        <w:t xml:space="preserve">2. Se hayan recibido solicitudes de por lo menos dos (2) </w:t>
      </w:r>
      <w:proofErr w:type="spellStart"/>
      <w:r w:rsidRPr="005775AF">
        <w:rPr>
          <w:rFonts w:ascii="Verdana" w:hAnsi="Verdana" w:cs="Arial"/>
          <w:sz w:val="14"/>
          <w:szCs w:val="14"/>
        </w:rPr>
        <w:t>Mipyme</w:t>
      </w:r>
      <w:proofErr w:type="spellEnd"/>
      <w:r w:rsidRPr="005775AF">
        <w:rPr>
          <w:rFonts w:ascii="Verdana" w:hAnsi="Verdana" w:cs="Arial"/>
          <w:sz w:val="14"/>
          <w:szCs w:val="14"/>
        </w:rPr>
        <w:t xml:space="preserve"> colombianas para limitar la convocatoria a </w:t>
      </w:r>
      <w:proofErr w:type="spellStart"/>
      <w:r w:rsidRPr="005775AF">
        <w:rPr>
          <w:rFonts w:ascii="Verdana" w:hAnsi="Verdana" w:cs="Arial"/>
          <w:sz w:val="14"/>
          <w:szCs w:val="14"/>
        </w:rPr>
        <w:t>Mipyme</w:t>
      </w:r>
      <w:proofErr w:type="spellEnd"/>
      <w:r w:rsidRPr="005775AF">
        <w:rPr>
          <w:rFonts w:ascii="Verdana" w:hAnsi="Verdana" w:cs="Arial"/>
          <w:sz w:val="14"/>
          <w:szCs w:val="14"/>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 </w:t>
      </w:r>
    </w:p>
    <w:p w14:paraId="24836511" w14:textId="77777777" w:rsidR="00122D5E" w:rsidRPr="005775AF" w:rsidRDefault="00122D5E" w:rsidP="00122D5E">
      <w:pPr>
        <w:pStyle w:val="Textonotapie"/>
        <w:ind w:firstLine="709"/>
        <w:jc w:val="both"/>
        <w:rPr>
          <w:rFonts w:ascii="Verdana" w:hAnsi="Verdana" w:cs="Arial"/>
          <w:sz w:val="14"/>
          <w:szCs w:val="14"/>
        </w:rPr>
      </w:pPr>
      <w:r w:rsidRPr="005775AF">
        <w:rPr>
          <w:rFonts w:ascii="Verdana" w:hAnsi="Verdana" w:cs="Arial"/>
          <w:sz w:val="14"/>
          <w:szCs w:val="14"/>
        </w:rPr>
        <w:t xml:space="preserve">Tratándose de personas jurídicas, las solicitudes solo las podrán realizar </w:t>
      </w:r>
      <w:proofErr w:type="spellStart"/>
      <w:r w:rsidRPr="005775AF">
        <w:rPr>
          <w:rFonts w:ascii="Verdana" w:hAnsi="Verdana" w:cs="Arial"/>
          <w:sz w:val="14"/>
          <w:szCs w:val="14"/>
        </w:rPr>
        <w:t>Mipyme</w:t>
      </w:r>
      <w:proofErr w:type="spellEnd"/>
      <w:r w:rsidRPr="005775AF">
        <w:rPr>
          <w:rFonts w:ascii="Verdana" w:hAnsi="Verdana" w:cs="Arial"/>
          <w:sz w:val="14"/>
          <w:szCs w:val="14"/>
        </w:rPr>
        <w:t xml:space="preserve">, cuyo objeto social les permita ejecutar el contrato relacionado con el proceso contractual. </w:t>
      </w:r>
    </w:p>
    <w:p w14:paraId="5FC91105" w14:textId="77777777" w:rsidR="00122D5E" w:rsidRPr="005775AF" w:rsidRDefault="00122D5E" w:rsidP="00122D5E">
      <w:pPr>
        <w:pStyle w:val="Textonotapie"/>
        <w:ind w:firstLine="709"/>
        <w:jc w:val="both"/>
        <w:rPr>
          <w:rFonts w:ascii="Century Gothic" w:hAnsi="Century Gothic" w:cs="Arial"/>
          <w:sz w:val="14"/>
          <w:szCs w:val="14"/>
        </w:rPr>
      </w:pPr>
      <w:r w:rsidRPr="005775AF">
        <w:rPr>
          <w:rFonts w:ascii="Verdana" w:hAnsi="Verdana" w:cs="Arial"/>
          <w:sz w:val="14"/>
          <w:szCs w:val="14"/>
        </w:rPr>
        <w:t>PARÁGRAFO. Las cooperativas y dem</w:t>
      </w:r>
      <w:r w:rsidRPr="005775AF">
        <w:rPr>
          <w:rFonts w:ascii="Verdana" w:hAnsi="Verdana" w:cs="Century Gothic"/>
          <w:sz w:val="14"/>
          <w:szCs w:val="14"/>
        </w:rPr>
        <w:t>á</w:t>
      </w:r>
      <w:r w:rsidRPr="005775AF">
        <w:rPr>
          <w:rFonts w:ascii="Verdana" w:hAnsi="Verdana" w:cs="Arial"/>
          <w:sz w:val="14"/>
          <w:szCs w:val="14"/>
        </w:rPr>
        <w:t>s entidades de econom</w:t>
      </w:r>
      <w:r w:rsidRPr="005775AF">
        <w:rPr>
          <w:rFonts w:ascii="Verdana" w:hAnsi="Verdana" w:cs="Century Gothic"/>
          <w:sz w:val="14"/>
          <w:szCs w:val="14"/>
        </w:rPr>
        <w:t>í</w:t>
      </w:r>
      <w:r w:rsidRPr="005775AF">
        <w:rPr>
          <w:rFonts w:ascii="Verdana" w:hAnsi="Verdana" w:cs="Arial"/>
          <w:sz w:val="14"/>
          <w:szCs w:val="14"/>
        </w:rPr>
        <w:t xml:space="preserve">a solidaria, siempre que tengan la calidad de </w:t>
      </w:r>
      <w:proofErr w:type="spellStart"/>
      <w:r w:rsidRPr="005775AF">
        <w:rPr>
          <w:rFonts w:ascii="Verdana" w:hAnsi="Verdana" w:cs="Arial"/>
          <w:sz w:val="14"/>
          <w:szCs w:val="14"/>
        </w:rPr>
        <w:t>M</w:t>
      </w:r>
      <w:r w:rsidRPr="005775AF">
        <w:rPr>
          <w:rFonts w:ascii="Verdana" w:hAnsi="Verdana" w:cs="Century Gothic"/>
          <w:sz w:val="14"/>
          <w:szCs w:val="14"/>
        </w:rPr>
        <w:t>í</w:t>
      </w:r>
      <w:r w:rsidRPr="005775AF">
        <w:rPr>
          <w:rFonts w:ascii="Verdana" w:hAnsi="Verdana" w:cs="Arial"/>
          <w:sz w:val="14"/>
          <w:szCs w:val="14"/>
        </w:rPr>
        <w:t>pyme</w:t>
      </w:r>
      <w:proofErr w:type="spellEnd"/>
      <w:r w:rsidRPr="005775AF">
        <w:rPr>
          <w:rFonts w:ascii="Verdana" w:hAnsi="Verdana" w:cs="Arial"/>
          <w:sz w:val="14"/>
          <w:szCs w:val="14"/>
        </w:rPr>
        <w:t>, podr</w:t>
      </w:r>
      <w:r w:rsidRPr="005775AF">
        <w:rPr>
          <w:rFonts w:ascii="Verdana" w:hAnsi="Verdana" w:cs="Century Gothic"/>
          <w:sz w:val="14"/>
          <w:szCs w:val="14"/>
        </w:rPr>
        <w:t>á</w:t>
      </w:r>
      <w:r w:rsidRPr="005775AF">
        <w:rPr>
          <w:rFonts w:ascii="Verdana" w:hAnsi="Verdana" w:cs="Arial"/>
          <w:sz w:val="14"/>
          <w:szCs w:val="14"/>
        </w:rPr>
        <w:t>n solicitar y participar en las convocatorias limitadas en las mismas condiciones dispuestas en el presente artículo.</w:t>
      </w:r>
    </w:p>
  </w:footnote>
  <w:footnote w:id="5">
    <w:p w14:paraId="3F9ED079" w14:textId="77777777" w:rsidR="00122D5E" w:rsidRPr="005775AF" w:rsidRDefault="00122D5E" w:rsidP="00122D5E">
      <w:pPr>
        <w:pStyle w:val="Textonotapie"/>
        <w:jc w:val="both"/>
        <w:rPr>
          <w:rFonts w:ascii="Century Gothic" w:hAnsi="Century Gothic" w:cs="Arial"/>
          <w:color w:val="000000" w:themeColor="text1"/>
          <w:sz w:val="14"/>
          <w:szCs w:val="14"/>
        </w:rPr>
      </w:pPr>
    </w:p>
    <w:p w14:paraId="4AB07BC3" w14:textId="77777777" w:rsidR="00122D5E" w:rsidRPr="005775AF" w:rsidRDefault="00122D5E" w:rsidP="00122D5E">
      <w:pPr>
        <w:pStyle w:val="Textonotapie"/>
        <w:ind w:firstLine="708"/>
        <w:jc w:val="both"/>
        <w:rPr>
          <w:rFonts w:ascii="Verdana" w:hAnsi="Verdana" w:cs="Arial"/>
          <w:color w:val="000000" w:themeColor="text1"/>
          <w:sz w:val="14"/>
          <w:szCs w:val="14"/>
        </w:rPr>
      </w:pPr>
      <w:r w:rsidRPr="005775AF">
        <w:rPr>
          <w:rStyle w:val="Refdenotaalpie"/>
          <w:rFonts w:ascii="Verdana" w:hAnsi="Verdana" w:cs="Arial"/>
          <w:color w:val="000000" w:themeColor="text1"/>
          <w:sz w:val="14"/>
          <w:szCs w:val="14"/>
        </w:rPr>
        <w:footnoteRef/>
      </w:r>
      <w:r>
        <w:rPr>
          <w:rFonts w:ascii="Verdana" w:hAnsi="Verdana" w:cs="Arial"/>
          <w:color w:val="000000" w:themeColor="text1"/>
          <w:sz w:val="14"/>
          <w:szCs w:val="14"/>
        </w:rPr>
        <w:t xml:space="preserve"> </w:t>
      </w:r>
      <w:r w:rsidRPr="005775AF">
        <w:rPr>
          <w:rFonts w:ascii="Verdana" w:hAnsi="Verdana" w:cs="Arial"/>
          <w:color w:val="000000" w:themeColor="text1"/>
          <w:sz w:val="14"/>
          <w:szCs w:val="14"/>
        </w:rPr>
        <w:t xml:space="preserve">Ley 1150 de 2007. Artículo 12 modificado por el artículo 34 de la Ley 2069 de 2020. “Parágrafo 1°: En los procesos de selección que se desarrollen con base en el primer inciso, las entidades podrán realizar las convocatorias limitadas que beneficien a las </w:t>
      </w:r>
      <w:proofErr w:type="spellStart"/>
      <w:r w:rsidRPr="005775AF">
        <w:rPr>
          <w:rFonts w:ascii="Verdana" w:hAnsi="Verdana" w:cs="Arial"/>
          <w:color w:val="000000" w:themeColor="text1"/>
          <w:sz w:val="14"/>
          <w:szCs w:val="14"/>
        </w:rPr>
        <w:t>Mipymes</w:t>
      </w:r>
      <w:proofErr w:type="spellEnd"/>
      <w:r w:rsidRPr="005775AF">
        <w:rPr>
          <w:rFonts w:ascii="Verdana" w:hAnsi="Verdana" w:cs="Arial"/>
          <w:color w:val="000000" w:themeColor="text1"/>
          <w:sz w:val="14"/>
          <w:szCs w:val="14"/>
        </w:rPr>
        <w:t xml:space="preserve"> del ámbito municipal o departamental correspondiente al de la ejecución del contrato”.</w:t>
      </w:r>
    </w:p>
    <w:p w14:paraId="6F88BE74" w14:textId="77777777" w:rsidR="00122D5E" w:rsidRPr="005775AF" w:rsidRDefault="00122D5E" w:rsidP="00122D5E">
      <w:pPr>
        <w:pStyle w:val="Textonotapie"/>
        <w:ind w:firstLine="708"/>
        <w:jc w:val="both"/>
        <w:rPr>
          <w:rFonts w:ascii="Verdana" w:hAnsi="Verdana" w:cs="Arial"/>
          <w:color w:val="000000" w:themeColor="text1"/>
          <w:sz w:val="14"/>
          <w:szCs w:val="14"/>
        </w:rPr>
      </w:pPr>
    </w:p>
  </w:footnote>
  <w:footnote w:id="6">
    <w:p w14:paraId="6BFF6771" w14:textId="77777777" w:rsidR="00122D5E" w:rsidRPr="005775AF" w:rsidRDefault="00122D5E" w:rsidP="00122D5E">
      <w:pPr>
        <w:pStyle w:val="Textonotapie"/>
        <w:ind w:firstLine="708"/>
        <w:jc w:val="both"/>
        <w:rPr>
          <w:rFonts w:ascii="Verdana" w:hAnsi="Verdana" w:cs="Arial"/>
          <w:color w:val="000000" w:themeColor="text1"/>
          <w:sz w:val="14"/>
          <w:szCs w:val="14"/>
        </w:rPr>
      </w:pPr>
      <w:r w:rsidRPr="005775AF">
        <w:rPr>
          <w:rStyle w:val="Refdenotaalpie"/>
          <w:rFonts w:ascii="Verdana" w:hAnsi="Verdana" w:cs="Arial"/>
          <w:color w:val="000000" w:themeColor="text1"/>
          <w:sz w:val="14"/>
          <w:szCs w:val="14"/>
        </w:rPr>
        <w:footnoteRef/>
      </w:r>
      <w:r w:rsidRPr="005775AF">
        <w:rPr>
          <w:rFonts w:ascii="Verdana" w:hAnsi="Verdana" w:cs="Arial"/>
          <w:color w:val="000000" w:themeColor="text1"/>
          <w:sz w:val="14"/>
          <w:szCs w:val="14"/>
        </w:rPr>
        <w:t xml:space="preserve"> Cfr. Concepto emitido en el radicado 4201913000005674, dictado el 27 de septiembre de 2019.</w:t>
      </w:r>
    </w:p>
    <w:p w14:paraId="40304B45" w14:textId="77777777" w:rsidR="00122D5E" w:rsidRPr="005775AF" w:rsidRDefault="00122D5E" w:rsidP="00122D5E">
      <w:pPr>
        <w:pStyle w:val="Textonotapie"/>
        <w:ind w:firstLine="708"/>
        <w:jc w:val="both"/>
        <w:rPr>
          <w:rFonts w:ascii="Verdana" w:hAnsi="Verdana" w:cs="Arial"/>
          <w:color w:val="000000" w:themeColor="text1"/>
          <w:sz w:val="14"/>
          <w:szCs w:val="14"/>
          <w:lang w:val="es-ES"/>
        </w:rPr>
      </w:pPr>
    </w:p>
  </w:footnote>
  <w:footnote w:id="7">
    <w:p w14:paraId="17C45B3A" w14:textId="77777777" w:rsidR="00122D5E" w:rsidRPr="005775AF" w:rsidRDefault="00122D5E" w:rsidP="00122D5E">
      <w:pPr>
        <w:pStyle w:val="Textonotapie"/>
        <w:ind w:firstLine="709"/>
        <w:jc w:val="both"/>
        <w:rPr>
          <w:rFonts w:ascii="Verdana" w:hAnsi="Verdana"/>
          <w:sz w:val="14"/>
          <w:szCs w:val="14"/>
          <w:lang w:val="es-CO"/>
        </w:rPr>
      </w:pPr>
      <w:r w:rsidRPr="005775AF">
        <w:rPr>
          <w:rStyle w:val="Refdenotaalpie"/>
          <w:rFonts w:ascii="Verdana" w:hAnsi="Verdana"/>
          <w:sz w:val="14"/>
          <w:szCs w:val="14"/>
        </w:rPr>
        <w:footnoteRef/>
      </w:r>
      <w:r w:rsidRPr="005775AF">
        <w:rPr>
          <w:rFonts w:ascii="Verdana" w:hAnsi="Verdana"/>
          <w:sz w:val="14"/>
          <w:szCs w:val="14"/>
        </w:rPr>
        <w:t xml:space="preserve"> </w:t>
      </w:r>
      <w:r w:rsidRPr="005775AF">
        <w:rPr>
          <w:rFonts w:ascii="Verdana" w:hAnsi="Verdana"/>
          <w:sz w:val="14"/>
          <w:szCs w:val="14"/>
          <w:lang w:val="es-CO"/>
        </w:rPr>
        <w:t xml:space="preserve">Parágrafo 3 del artículo 2.2.1.2.4.2.4 del Decreto 1082 de 2015. </w:t>
      </w:r>
      <w:r w:rsidRPr="005775AF">
        <w:rPr>
          <w:rFonts w:ascii="Verdana" w:hAnsi="Verdana"/>
          <w:b/>
          <w:bCs/>
          <w:sz w:val="14"/>
          <w:szCs w:val="14"/>
          <w:lang w:val="es-CO"/>
        </w:rPr>
        <w:t>PARÁGRAFO</w:t>
      </w:r>
      <w:bookmarkStart w:id="16" w:name="2.2.1.2.4.2.4.pt3"/>
      <w:bookmarkEnd w:id="16"/>
      <w:r w:rsidRPr="005775AF">
        <w:rPr>
          <w:rFonts w:ascii="Verdana" w:hAnsi="Verdana"/>
          <w:b/>
          <w:bCs/>
          <w:sz w:val="14"/>
          <w:szCs w:val="14"/>
          <w:lang w:val="es-CO"/>
        </w:rPr>
        <w:t> 3.</w:t>
      </w:r>
      <w:r w:rsidRPr="005775AF">
        <w:rPr>
          <w:rFonts w:ascii="Verdana" w:hAnsi="Verdana"/>
          <w:sz w:val="14"/>
          <w:szCs w:val="14"/>
          <w:lang w:val="es-CO"/>
        </w:rPr>
        <w:t xml:space="preserve"> En las convocatorias limitadas, las Entidades Estatales independientemente de su régimen de contratación, los patrimonios autónomos constituidos por Entidades Estatales y los particulares que ejecuten recursos públicos, solo deberán aceptar las ofertas de </w:t>
      </w:r>
      <w:proofErr w:type="spellStart"/>
      <w:r w:rsidRPr="005775AF">
        <w:rPr>
          <w:rFonts w:ascii="Verdana" w:hAnsi="Verdana"/>
          <w:sz w:val="14"/>
          <w:szCs w:val="14"/>
          <w:lang w:val="es-CO"/>
        </w:rPr>
        <w:t>Mipyme</w:t>
      </w:r>
      <w:proofErr w:type="spellEnd"/>
      <w:r w:rsidRPr="005775AF">
        <w:rPr>
          <w:rFonts w:ascii="Verdana" w:hAnsi="Verdana"/>
          <w:sz w:val="14"/>
          <w:szCs w:val="14"/>
          <w:lang w:val="es-CO"/>
        </w:rPr>
        <w:t xml:space="preserve"> o de proponentes plurales integrados únicamente por </w:t>
      </w:r>
      <w:proofErr w:type="spellStart"/>
      <w:r w:rsidRPr="005775AF">
        <w:rPr>
          <w:rFonts w:ascii="Verdana" w:hAnsi="Verdana"/>
          <w:sz w:val="14"/>
          <w:szCs w:val="14"/>
          <w:lang w:val="es-CO"/>
        </w:rPr>
        <w:t>Mipyme</w:t>
      </w:r>
      <w:proofErr w:type="spellEnd"/>
      <w:r w:rsidRPr="005775AF">
        <w:rPr>
          <w:rFonts w:ascii="Verdana" w:hAnsi="Verdana"/>
          <w:sz w:val="14"/>
          <w:szCs w:val="14"/>
          <w:lang w:val="es-CO"/>
        </w:rPr>
        <w:t>.</w:t>
      </w:r>
    </w:p>
    <w:p w14:paraId="62EC8CA5" w14:textId="77777777" w:rsidR="00122D5E" w:rsidRPr="005775AF" w:rsidRDefault="00122D5E" w:rsidP="00122D5E">
      <w:pPr>
        <w:pStyle w:val="Textonotapie"/>
        <w:ind w:firstLine="709"/>
        <w:jc w:val="both"/>
        <w:rPr>
          <w:sz w:val="14"/>
          <w:szCs w:val="14"/>
          <w:lang w:val="es-ES"/>
        </w:rPr>
      </w:pPr>
    </w:p>
  </w:footnote>
  <w:footnote w:id="8">
    <w:p w14:paraId="27DC8835" w14:textId="77777777" w:rsidR="00122D5E" w:rsidRPr="005775AF" w:rsidRDefault="00122D5E" w:rsidP="00122D5E">
      <w:pPr>
        <w:pStyle w:val="Textonotapie"/>
        <w:ind w:firstLine="708"/>
        <w:jc w:val="both"/>
        <w:rPr>
          <w:rFonts w:ascii="Verdana" w:hAnsi="Verdana" w:cs="Arial"/>
          <w:color w:val="000000"/>
          <w:sz w:val="14"/>
          <w:szCs w:val="14"/>
          <w:lang w:val="es-CO"/>
        </w:rPr>
      </w:pPr>
      <w:r w:rsidRPr="005775AF">
        <w:rPr>
          <w:rStyle w:val="Refdenotaalpie"/>
          <w:rFonts w:ascii="Verdana" w:hAnsi="Verdana" w:cs="Arial"/>
          <w:color w:val="000000"/>
          <w:sz w:val="14"/>
          <w:szCs w:val="14"/>
        </w:rPr>
        <w:footnoteRef/>
      </w:r>
      <w:r w:rsidRPr="005775AF">
        <w:rPr>
          <w:rFonts w:ascii="Verdana" w:hAnsi="Verdana" w:cs="Arial"/>
          <w:color w:val="000000"/>
          <w:sz w:val="14"/>
          <w:szCs w:val="14"/>
        </w:rPr>
        <w:t xml:space="preserve"> </w:t>
      </w:r>
      <w:r w:rsidRPr="005775AF">
        <w:rPr>
          <w:rFonts w:ascii="Verdana" w:hAnsi="Verdana" w:cs="Arial"/>
          <w:color w:val="000000"/>
          <w:sz w:val="14"/>
          <w:szCs w:val="14"/>
          <w:lang w:val="es-CO"/>
        </w:rPr>
        <w:t xml:space="preserve">Manual de la Modalidad de Selección de Mínima Cuantía de Colombia Compra Eficiente, numeral 5. En </w:t>
      </w:r>
      <w:hyperlink r:id="rId2" w:history="1">
        <w:r w:rsidRPr="005775AF">
          <w:rPr>
            <w:rStyle w:val="Hipervnculo"/>
            <w:rFonts w:ascii="Verdana" w:hAnsi="Verdana" w:cs="Arial"/>
            <w:sz w:val="14"/>
            <w:szCs w:val="14"/>
            <w:lang w:val="es-CO"/>
          </w:rPr>
          <w:t>manual_de_la_modalidad_de_seleccion_de_minima_cuantia.pdf</w:t>
        </w:r>
      </w:hyperlink>
    </w:p>
    <w:p w14:paraId="5262332B" w14:textId="77777777" w:rsidR="00122D5E" w:rsidRPr="005775AF" w:rsidRDefault="00122D5E" w:rsidP="00122D5E">
      <w:pPr>
        <w:pStyle w:val="Textonotapie"/>
        <w:ind w:firstLine="708"/>
        <w:jc w:val="both"/>
        <w:rPr>
          <w:rFonts w:ascii="Verdana" w:hAnsi="Verdana" w:cs="Arial"/>
          <w:color w:val="000000"/>
          <w:sz w:val="14"/>
          <w:szCs w:val="14"/>
          <w:lang w:val="es-CO"/>
        </w:rPr>
      </w:pPr>
      <w:r w:rsidRPr="005775AF">
        <w:rPr>
          <w:rFonts w:ascii="Verdana" w:hAnsi="Verdana" w:cs="Arial"/>
          <w:color w:val="000000"/>
          <w:sz w:val="14"/>
          <w:szCs w:val="14"/>
          <w:lang w:val="es-CO"/>
        </w:rPr>
        <w:t xml:space="preserve">  </w:t>
      </w:r>
    </w:p>
  </w:footnote>
  <w:footnote w:id="9">
    <w:p w14:paraId="1C51D144" w14:textId="77777777" w:rsidR="00122D5E" w:rsidRPr="005775AF" w:rsidRDefault="00122D5E" w:rsidP="00122D5E">
      <w:pPr>
        <w:pStyle w:val="Textonotapie"/>
        <w:ind w:firstLine="708"/>
        <w:jc w:val="both"/>
        <w:rPr>
          <w:rFonts w:ascii="Verdana" w:hAnsi="Verdana" w:cs="Arial"/>
          <w:color w:val="000000"/>
          <w:sz w:val="14"/>
          <w:szCs w:val="14"/>
        </w:rPr>
      </w:pPr>
      <w:r w:rsidRPr="005775AF">
        <w:rPr>
          <w:rStyle w:val="Refdenotaalpie"/>
          <w:rFonts w:ascii="Verdana" w:hAnsi="Verdana" w:cs="Arial"/>
          <w:color w:val="000000"/>
          <w:sz w:val="14"/>
          <w:szCs w:val="14"/>
        </w:rPr>
        <w:footnoteRef/>
      </w:r>
      <w:r w:rsidRPr="005775AF">
        <w:rPr>
          <w:rFonts w:ascii="Verdana" w:hAnsi="Verdana" w:cs="Arial"/>
          <w:i/>
          <w:color w:val="000000"/>
          <w:sz w:val="14"/>
          <w:szCs w:val="14"/>
        </w:rPr>
        <w:t xml:space="preserve"> </w:t>
      </w:r>
      <w:proofErr w:type="spellStart"/>
      <w:r w:rsidRPr="005775AF">
        <w:rPr>
          <w:rFonts w:ascii="Verdana" w:hAnsi="Verdana" w:cs="Arial"/>
          <w:i/>
          <w:color w:val="000000"/>
          <w:sz w:val="14"/>
          <w:szCs w:val="14"/>
        </w:rPr>
        <w:t>Ibídem</w:t>
      </w:r>
      <w:proofErr w:type="spellEnd"/>
      <w:r w:rsidRPr="005775AF">
        <w:rPr>
          <w:rFonts w:ascii="Verdana" w:hAnsi="Verdana" w:cs="Arial"/>
          <w:i/>
          <w:color w:val="000000"/>
          <w:sz w:val="14"/>
          <w:szCs w:val="14"/>
        </w:rPr>
        <w:t>.</w:t>
      </w:r>
      <w:r w:rsidRPr="005775AF">
        <w:rPr>
          <w:rFonts w:ascii="Verdana" w:hAnsi="Verdana" w:cs="Arial"/>
          <w:color w:val="000000"/>
          <w:sz w:val="14"/>
          <w:szCs w:val="14"/>
        </w:rPr>
        <w:t xml:space="preserve">  </w:t>
      </w:r>
    </w:p>
    <w:p w14:paraId="09D5CC9D" w14:textId="77777777" w:rsidR="00122D5E" w:rsidRPr="005775AF" w:rsidRDefault="00122D5E" w:rsidP="00122D5E">
      <w:pPr>
        <w:pStyle w:val="Textonotapie"/>
        <w:ind w:firstLine="708"/>
        <w:jc w:val="both"/>
        <w:rPr>
          <w:rFonts w:ascii="Verdana" w:hAnsi="Verdana" w:cs="Arial"/>
          <w:color w:val="000000"/>
          <w:sz w:val="14"/>
          <w:szCs w:val="14"/>
        </w:rPr>
      </w:pPr>
    </w:p>
  </w:footnote>
  <w:footnote w:id="10">
    <w:p w14:paraId="6A174B45" w14:textId="77777777" w:rsidR="00122D5E" w:rsidRPr="005775AF" w:rsidRDefault="00122D5E" w:rsidP="00122D5E">
      <w:pPr>
        <w:pStyle w:val="Textonotapie"/>
        <w:ind w:firstLine="708"/>
        <w:jc w:val="both"/>
        <w:rPr>
          <w:rFonts w:ascii="Verdana" w:eastAsia="Arial MT" w:hAnsi="Verdana" w:cs="Arial MT"/>
          <w:spacing w:val="-5"/>
          <w:sz w:val="14"/>
          <w:szCs w:val="14"/>
          <w:lang w:val="es-ES"/>
        </w:rPr>
      </w:pPr>
      <w:r w:rsidRPr="005775AF">
        <w:rPr>
          <w:rStyle w:val="Refdenotaalpie"/>
          <w:rFonts w:ascii="Verdana" w:hAnsi="Verdana"/>
          <w:sz w:val="14"/>
          <w:szCs w:val="14"/>
        </w:rPr>
        <w:footnoteRef/>
      </w:r>
      <w:r w:rsidRPr="005775AF">
        <w:rPr>
          <w:rFonts w:ascii="Verdana" w:hAnsi="Verdana"/>
          <w:sz w:val="14"/>
          <w:szCs w:val="14"/>
        </w:rPr>
        <w:t xml:space="preserve"> </w:t>
      </w:r>
      <w:r w:rsidRPr="005775AF">
        <w:rPr>
          <w:rFonts w:ascii="Verdana" w:eastAsia="Arial MT" w:hAnsi="Verdana" w:cs="Arial MT"/>
          <w:spacing w:val="-2"/>
          <w:sz w:val="14"/>
          <w:szCs w:val="14"/>
          <w:lang w:val="es-ES"/>
        </w:rPr>
        <w:t>SANTOS</w:t>
      </w:r>
      <w:r w:rsidRPr="005775AF">
        <w:rPr>
          <w:rFonts w:ascii="Verdana" w:eastAsia="Arial MT" w:hAnsi="Verdana" w:cs="Arial MT"/>
          <w:spacing w:val="3"/>
          <w:sz w:val="14"/>
          <w:szCs w:val="14"/>
          <w:lang w:val="es-ES"/>
        </w:rPr>
        <w:t xml:space="preserve"> </w:t>
      </w:r>
      <w:r w:rsidRPr="005775AF">
        <w:rPr>
          <w:rFonts w:ascii="Verdana" w:eastAsia="Arial MT" w:hAnsi="Verdana" w:cs="Arial MT"/>
          <w:spacing w:val="-2"/>
          <w:sz w:val="14"/>
          <w:szCs w:val="14"/>
          <w:lang w:val="es-ES"/>
        </w:rPr>
        <w:t>RODRÍGUEZ.</w:t>
      </w:r>
      <w:r w:rsidRPr="005775AF">
        <w:rPr>
          <w:rFonts w:ascii="Verdana" w:eastAsia="Arial MT" w:hAnsi="Verdana" w:cs="Arial MT"/>
          <w:spacing w:val="5"/>
          <w:sz w:val="14"/>
          <w:szCs w:val="14"/>
          <w:lang w:val="es-ES"/>
        </w:rPr>
        <w:t xml:space="preserve"> </w:t>
      </w:r>
      <w:r w:rsidRPr="005775AF">
        <w:rPr>
          <w:rFonts w:ascii="Verdana" w:eastAsia="Arial MT" w:hAnsi="Verdana" w:cs="Arial MT"/>
          <w:spacing w:val="-2"/>
          <w:sz w:val="14"/>
          <w:szCs w:val="14"/>
          <w:lang w:val="es-ES"/>
        </w:rPr>
        <w:t>Jorge</w:t>
      </w:r>
      <w:r w:rsidRPr="005775AF">
        <w:rPr>
          <w:rFonts w:ascii="Verdana" w:eastAsia="Arial MT" w:hAnsi="Verdana" w:cs="Arial MT"/>
          <w:spacing w:val="-1"/>
          <w:sz w:val="14"/>
          <w:szCs w:val="14"/>
          <w:lang w:val="es-ES"/>
        </w:rPr>
        <w:t xml:space="preserve"> </w:t>
      </w:r>
      <w:r w:rsidRPr="005775AF">
        <w:rPr>
          <w:rFonts w:ascii="Verdana" w:eastAsia="Arial MT" w:hAnsi="Verdana" w:cs="Arial MT"/>
          <w:spacing w:val="-2"/>
          <w:sz w:val="14"/>
          <w:szCs w:val="14"/>
          <w:lang w:val="es-ES"/>
        </w:rPr>
        <w:t>Enrique.</w:t>
      </w:r>
      <w:r w:rsidRPr="005775AF">
        <w:rPr>
          <w:rFonts w:ascii="Verdana" w:eastAsia="Arial MT" w:hAnsi="Verdana" w:cs="Arial MT"/>
          <w:spacing w:val="5"/>
          <w:sz w:val="14"/>
          <w:szCs w:val="14"/>
          <w:lang w:val="es-ES"/>
        </w:rPr>
        <w:t xml:space="preserve"> </w:t>
      </w:r>
      <w:r w:rsidRPr="005775AF">
        <w:rPr>
          <w:rFonts w:ascii="Verdana" w:eastAsia="Arial MT" w:hAnsi="Verdana" w:cs="Arial MT"/>
          <w:spacing w:val="-2"/>
          <w:sz w:val="14"/>
          <w:szCs w:val="14"/>
          <w:lang w:val="es-ES"/>
        </w:rPr>
        <w:t>Construcción</w:t>
      </w:r>
      <w:r w:rsidRPr="005775AF">
        <w:rPr>
          <w:rFonts w:ascii="Verdana" w:eastAsia="Arial MT" w:hAnsi="Verdana" w:cs="Arial MT"/>
          <w:spacing w:val="1"/>
          <w:sz w:val="14"/>
          <w:szCs w:val="14"/>
          <w:lang w:val="es-ES"/>
        </w:rPr>
        <w:t xml:space="preserve"> </w:t>
      </w:r>
      <w:r w:rsidRPr="005775AF">
        <w:rPr>
          <w:rFonts w:ascii="Verdana" w:eastAsia="Arial MT" w:hAnsi="Verdana" w:cs="Arial MT"/>
          <w:spacing w:val="-2"/>
          <w:sz w:val="14"/>
          <w:szCs w:val="14"/>
          <w:lang w:val="es-ES"/>
        </w:rPr>
        <w:t>doctrinaria</w:t>
      </w:r>
      <w:r w:rsidRPr="005775AF">
        <w:rPr>
          <w:rFonts w:ascii="Verdana" w:eastAsia="Arial MT" w:hAnsi="Verdana" w:cs="Arial MT"/>
          <w:spacing w:val="6"/>
          <w:sz w:val="14"/>
          <w:szCs w:val="14"/>
          <w:lang w:val="es-ES"/>
        </w:rPr>
        <w:t xml:space="preserve"> </w:t>
      </w:r>
      <w:r w:rsidRPr="005775AF">
        <w:rPr>
          <w:rFonts w:ascii="Verdana" w:eastAsia="Arial MT" w:hAnsi="Verdana" w:cs="Arial MT"/>
          <w:spacing w:val="-2"/>
          <w:sz w:val="14"/>
          <w:szCs w:val="14"/>
          <w:lang w:val="es-ES"/>
        </w:rPr>
        <w:t>de</w:t>
      </w:r>
      <w:r w:rsidRPr="005775AF">
        <w:rPr>
          <w:rFonts w:ascii="Verdana" w:eastAsia="Arial MT" w:hAnsi="Verdana" w:cs="Arial MT"/>
          <w:spacing w:val="1"/>
          <w:sz w:val="14"/>
          <w:szCs w:val="14"/>
          <w:lang w:val="es-ES"/>
        </w:rPr>
        <w:t xml:space="preserve"> </w:t>
      </w:r>
      <w:r w:rsidRPr="005775AF">
        <w:rPr>
          <w:rFonts w:ascii="Verdana" w:eastAsia="Arial MT" w:hAnsi="Verdana" w:cs="Arial MT"/>
          <w:spacing w:val="-2"/>
          <w:sz w:val="14"/>
          <w:szCs w:val="14"/>
          <w:lang w:val="es-ES"/>
        </w:rPr>
        <w:t>la</w:t>
      </w:r>
      <w:r w:rsidRPr="005775AF">
        <w:rPr>
          <w:rFonts w:ascii="Verdana" w:eastAsia="Arial MT" w:hAnsi="Verdana" w:cs="Arial MT"/>
          <w:sz w:val="14"/>
          <w:szCs w:val="14"/>
          <w:lang w:val="es-ES"/>
        </w:rPr>
        <w:t xml:space="preserve"> </w:t>
      </w:r>
      <w:r w:rsidRPr="005775AF">
        <w:rPr>
          <w:rFonts w:ascii="Verdana" w:eastAsia="Arial MT" w:hAnsi="Verdana" w:cs="Arial MT"/>
          <w:spacing w:val="-2"/>
          <w:sz w:val="14"/>
          <w:szCs w:val="14"/>
          <w:lang w:val="es-ES"/>
        </w:rPr>
        <w:t>revocación</w:t>
      </w:r>
      <w:r w:rsidRPr="005775AF">
        <w:rPr>
          <w:rFonts w:ascii="Verdana" w:eastAsia="Arial MT" w:hAnsi="Verdana" w:cs="Arial MT"/>
          <w:spacing w:val="2"/>
          <w:sz w:val="14"/>
          <w:szCs w:val="14"/>
          <w:lang w:val="es-ES"/>
        </w:rPr>
        <w:t xml:space="preserve"> </w:t>
      </w:r>
      <w:r w:rsidRPr="005775AF">
        <w:rPr>
          <w:rFonts w:ascii="Verdana" w:eastAsia="Arial MT" w:hAnsi="Verdana" w:cs="Arial MT"/>
          <w:spacing w:val="-2"/>
          <w:sz w:val="14"/>
          <w:szCs w:val="14"/>
          <w:lang w:val="es-ES"/>
        </w:rPr>
        <w:t>del</w:t>
      </w:r>
      <w:r w:rsidRPr="005775AF">
        <w:rPr>
          <w:rFonts w:ascii="Verdana" w:eastAsia="Arial MT" w:hAnsi="Verdana" w:cs="Arial MT"/>
          <w:spacing w:val="4"/>
          <w:sz w:val="14"/>
          <w:szCs w:val="14"/>
          <w:lang w:val="es-ES"/>
        </w:rPr>
        <w:t xml:space="preserve"> </w:t>
      </w:r>
      <w:r w:rsidRPr="005775AF">
        <w:rPr>
          <w:rFonts w:ascii="Verdana" w:eastAsia="Arial MT" w:hAnsi="Verdana" w:cs="Arial MT"/>
          <w:spacing w:val="-2"/>
          <w:sz w:val="14"/>
          <w:szCs w:val="14"/>
          <w:lang w:val="es-ES"/>
        </w:rPr>
        <w:t>acto</w:t>
      </w:r>
      <w:r w:rsidRPr="005775AF">
        <w:rPr>
          <w:rFonts w:ascii="Verdana" w:eastAsia="Arial MT" w:hAnsi="Verdana" w:cs="Arial MT"/>
          <w:spacing w:val="8"/>
          <w:sz w:val="14"/>
          <w:szCs w:val="14"/>
          <w:lang w:val="es-ES"/>
        </w:rPr>
        <w:t xml:space="preserve"> </w:t>
      </w:r>
      <w:r w:rsidRPr="005775AF">
        <w:rPr>
          <w:rFonts w:ascii="Verdana" w:eastAsia="Arial MT" w:hAnsi="Verdana" w:cs="Arial MT"/>
          <w:spacing w:val="-2"/>
          <w:sz w:val="14"/>
          <w:szCs w:val="14"/>
          <w:lang w:val="es-ES"/>
        </w:rPr>
        <w:t>administrativo</w:t>
      </w:r>
      <w:r w:rsidRPr="005775AF">
        <w:rPr>
          <w:rFonts w:ascii="Verdana" w:eastAsia="Arial MT" w:hAnsi="Verdana" w:cs="Arial MT"/>
          <w:spacing w:val="3"/>
          <w:sz w:val="14"/>
          <w:szCs w:val="14"/>
          <w:lang w:val="es-ES"/>
        </w:rPr>
        <w:t xml:space="preserve"> </w:t>
      </w:r>
      <w:r w:rsidRPr="005775AF">
        <w:rPr>
          <w:rFonts w:ascii="Verdana" w:eastAsia="Arial MT" w:hAnsi="Verdana" w:cs="Arial MT"/>
          <w:spacing w:val="-2"/>
          <w:sz w:val="14"/>
          <w:szCs w:val="14"/>
          <w:lang w:val="es-ES"/>
        </w:rPr>
        <w:t>ilegal.</w:t>
      </w:r>
      <w:r w:rsidRPr="005775AF">
        <w:rPr>
          <w:rFonts w:ascii="Verdana" w:eastAsia="Arial MT" w:hAnsi="Verdana" w:cs="Arial MT"/>
          <w:spacing w:val="6"/>
          <w:sz w:val="14"/>
          <w:szCs w:val="14"/>
          <w:lang w:val="es-ES"/>
        </w:rPr>
        <w:t xml:space="preserve"> </w:t>
      </w:r>
      <w:r w:rsidRPr="005775AF">
        <w:rPr>
          <w:rFonts w:ascii="Verdana" w:eastAsia="Arial MT" w:hAnsi="Verdana" w:cs="Arial MT"/>
          <w:spacing w:val="-2"/>
          <w:sz w:val="14"/>
          <w:szCs w:val="14"/>
          <w:lang w:val="es-ES"/>
        </w:rPr>
        <w:t>Universidad</w:t>
      </w:r>
      <w:r w:rsidRPr="005775AF">
        <w:rPr>
          <w:rFonts w:ascii="Verdana" w:eastAsia="Arial MT" w:hAnsi="Verdana" w:cs="Arial MT"/>
          <w:sz w:val="14"/>
          <w:szCs w:val="14"/>
          <w:lang w:val="es-ES"/>
        </w:rPr>
        <w:t xml:space="preserve"> </w:t>
      </w:r>
      <w:r w:rsidRPr="005775AF">
        <w:rPr>
          <w:rFonts w:ascii="Verdana" w:eastAsia="Arial MT" w:hAnsi="Verdana" w:cs="Arial MT"/>
          <w:spacing w:val="-2"/>
          <w:sz w:val="14"/>
          <w:szCs w:val="14"/>
          <w:lang w:val="es-ES"/>
        </w:rPr>
        <w:t>Externado</w:t>
      </w:r>
      <w:r w:rsidRPr="005775AF">
        <w:rPr>
          <w:rFonts w:ascii="Verdana" w:eastAsia="Arial MT" w:hAnsi="Verdana" w:cs="Arial MT"/>
          <w:spacing w:val="4"/>
          <w:sz w:val="14"/>
          <w:szCs w:val="14"/>
          <w:lang w:val="es-ES"/>
        </w:rPr>
        <w:t xml:space="preserve"> </w:t>
      </w:r>
      <w:r w:rsidRPr="005775AF">
        <w:rPr>
          <w:rFonts w:ascii="Verdana" w:eastAsia="Arial MT" w:hAnsi="Verdana" w:cs="Arial MT"/>
          <w:spacing w:val="-2"/>
          <w:sz w:val="14"/>
          <w:szCs w:val="14"/>
          <w:lang w:val="es-ES"/>
        </w:rPr>
        <w:t>de</w:t>
      </w:r>
      <w:r w:rsidRPr="005775AF">
        <w:rPr>
          <w:rFonts w:ascii="Verdana" w:eastAsia="Arial MT" w:hAnsi="Verdana" w:cs="Arial MT"/>
          <w:spacing w:val="6"/>
          <w:sz w:val="14"/>
          <w:szCs w:val="14"/>
          <w:lang w:val="es-ES"/>
        </w:rPr>
        <w:t xml:space="preserve"> </w:t>
      </w:r>
      <w:r w:rsidRPr="005775AF">
        <w:rPr>
          <w:rFonts w:ascii="Verdana" w:eastAsia="Arial MT" w:hAnsi="Verdana" w:cs="Arial MT"/>
          <w:spacing w:val="-2"/>
          <w:sz w:val="14"/>
          <w:szCs w:val="14"/>
          <w:lang w:val="es-ES"/>
        </w:rPr>
        <w:t>Colombia,</w:t>
      </w:r>
      <w:r w:rsidRPr="005775AF">
        <w:rPr>
          <w:rFonts w:ascii="Verdana" w:eastAsia="Arial MT" w:hAnsi="Verdana" w:cs="Arial MT"/>
          <w:spacing w:val="6"/>
          <w:sz w:val="14"/>
          <w:szCs w:val="14"/>
          <w:lang w:val="es-ES"/>
        </w:rPr>
        <w:t xml:space="preserve"> </w:t>
      </w:r>
      <w:r w:rsidRPr="005775AF">
        <w:rPr>
          <w:rFonts w:ascii="Verdana" w:eastAsia="Arial MT" w:hAnsi="Verdana" w:cs="Arial MT"/>
          <w:spacing w:val="-2"/>
          <w:sz w:val="14"/>
          <w:szCs w:val="14"/>
          <w:lang w:val="es-ES"/>
        </w:rPr>
        <w:t>2005.</w:t>
      </w:r>
      <w:r w:rsidRPr="005775AF">
        <w:rPr>
          <w:rFonts w:ascii="Verdana" w:eastAsia="Arial MT" w:hAnsi="Verdana" w:cs="Arial MT"/>
          <w:spacing w:val="7"/>
          <w:sz w:val="14"/>
          <w:szCs w:val="14"/>
          <w:lang w:val="es-ES"/>
        </w:rPr>
        <w:t xml:space="preserve"> </w:t>
      </w:r>
      <w:r w:rsidRPr="005775AF">
        <w:rPr>
          <w:rFonts w:ascii="Verdana" w:eastAsia="Arial MT" w:hAnsi="Verdana" w:cs="Arial MT"/>
          <w:spacing w:val="-2"/>
          <w:sz w:val="14"/>
          <w:szCs w:val="14"/>
          <w:lang w:val="es-ES"/>
        </w:rPr>
        <w:t>p.</w:t>
      </w:r>
      <w:r w:rsidRPr="005775AF">
        <w:rPr>
          <w:rFonts w:ascii="Verdana" w:eastAsia="Arial MT" w:hAnsi="Verdana" w:cs="Arial MT"/>
          <w:spacing w:val="6"/>
          <w:sz w:val="14"/>
          <w:szCs w:val="14"/>
          <w:lang w:val="es-ES"/>
        </w:rPr>
        <w:t xml:space="preserve"> </w:t>
      </w:r>
      <w:r w:rsidRPr="005775AF">
        <w:rPr>
          <w:rFonts w:ascii="Verdana" w:eastAsia="Arial MT" w:hAnsi="Verdana" w:cs="Arial MT"/>
          <w:spacing w:val="-5"/>
          <w:sz w:val="14"/>
          <w:szCs w:val="14"/>
          <w:lang w:val="es-ES"/>
        </w:rPr>
        <w:t xml:space="preserve">27. </w:t>
      </w:r>
    </w:p>
    <w:p w14:paraId="1AAF84AA" w14:textId="77777777" w:rsidR="00122D5E" w:rsidRDefault="00122D5E" w:rsidP="00122D5E">
      <w:pPr>
        <w:pStyle w:val="Textonotapie"/>
        <w:ind w:firstLine="708"/>
        <w:jc w:val="both"/>
        <w:rPr>
          <w:rFonts w:ascii="Verdana" w:eastAsia="Arial MT" w:hAnsi="Verdana" w:cs="Arial MT"/>
          <w:spacing w:val="-5"/>
          <w:sz w:val="16"/>
          <w:szCs w:val="16"/>
          <w:lang w:val="es-ES"/>
        </w:rPr>
      </w:pPr>
    </w:p>
  </w:footnote>
  <w:footnote w:id="11">
    <w:p w14:paraId="5A812521" w14:textId="77777777" w:rsidR="00122D5E" w:rsidRPr="005775AF" w:rsidRDefault="00122D5E" w:rsidP="00122D5E">
      <w:pPr>
        <w:pStyle w:val="Textonotapie"/>
        <w:ind w:firstLine="708"/>
        <w:jc w:val="both"/>
        <w:rPr>
          <w:rFonts w:ascii="Verdana" w:hAnsi="Verdana"/>
          <w:sz w:val="14"/>
          <w:szCs w:val="14"/>
          <w:lang w:val="es-ES"/>
        </w:rPr>
      </w:pPr>
      <w:r w:rsidRPr="005775AF">
        <w:rPr>
          <w:rStyle w:val="Refdenotaalpie"/>
          <w:rFonts w:ascii="Verdana" w:hAnsi="Verdana"/>
          <w:sz w:val="14"/>
          <w:szCs w:val="14"/>
        </w:rPr>
        <w:footnoteRef/>
      </w:r>
      <w:r w:rsidRPr="005775AF">
        <w:rPr>
          <w:rFonts w:ascii="Verdana" w:hAnsi="Verdana"/>
          <w:sz w:val="14"/>
          <w:szCs w:val="14"/>
        </w:rPr>
        <w:t xml:space="preserve"> </w:t>
      </w:r>
      <w:r w:rsidRPr="005775AF">
        <w:rPr>
          <w:rFonts w:ascii="Verdana" w:hAnsi="Verdana"/>
          <w:sz w:val="14"/>
          <w:szCs w:val="14"/>
          <w:lang w:val="es-ES"/>
        </w:rPr>
        <w:t xml:space="preserve">RODRÍGUEZ. Libardo. Derecho Administrativo General y colombiano. Vigésima Edición. Tomo II. Editorial Temis, 2017. p. 85. </w:t>
      </w:r>
    </w:p>
  </w:footnote>
  <w:footnote w:id="12">
    <w:p w14:paraId="277A45BF" w14:textId="77777777" w:rsidR="00122D5E" w:rsidRPr="005775AF" w:rsidRDefault="00122D5E" w:rsidP="00122D5E">
      <w:pPr>
        <w:pStyle w:val="Textonotapie"/>
        <w:ind w:firstLine="708"/>
        <w:jc w:val="both"/>
        <w:rPr>
          <w:rFonts w:ascii="Verdana" w:hAnsi="Verdana" w:cs="Arial"/>
          <w:sz w:val="14"/>
          <w:szCs w:val="14"/>
        </w:rPr>
      </w:pPr>
      <w:r w:rsidRPr="005775AF">
        <w:rPr>
          <w:rStyle w:val="Refdenotaalpie"/>
          <w:rFonts w:ascii="Verdana" w:hAnsi="Verdana" w:cs="Arial"/>
          <w:sz w:val="14"/>
          <w:szCs w:val="14"/>
        </w:rPr>
        <w:footnoteRef/>
      </w:r>
      <w:r w:rsidRPr="005775AF">
        <w:rPr>
          <w:rFonts w:ascii="Verdana" w:hAnsi="Verdana" w:cs="Arial"/>
          <w:sz w:val="14"/>
          <w:szCs w:val="14"/>
        </w:rPr>
        <w:t xml:space="preserve"> El citado artículo 9 de la Ley 1150 de 2007 dispone: “ARTÍCULO 9o. DE LA ADJUDICACIÓN. En el evento previsto en el artículo 273 de la Constitución Política y en general en los procesos de licitación pública, la adjudicación se hará de forma obligatoria en audiencia pública, mediante resolución motivada, que se entenderá notificada al proponente favorecido en dicha audiencia.</w:t>
      </w:r>
    </w:p>
    <w:p w14:paraId="18D2734D" w14:textId="77777777" w:rsidR="00122D5E" w:rsidRPr="005775AF" w:rsidRDefault="00122D5E" w:rsidP="00122D5E">
      <w:pPr>
        <w:pStyle w:val="Textonotapie"/>
        <w:ind w:firstLine="708"/>
        <w:jc w:val="both"/>
        <w:rPr>
          <w:rFonts w:ascii="Verdana" w:hAnsi="Verdana" w:cs="Arial"/>
          <w:sz w:val="14"/>
          <w:szCs w:val="14"/>
        </w:rPr>
      </w:pPr>
      <w:r w:rsidRPr="005775AF">
        <w:rPr>
          <w:rFonts w:ascii="Verdana" w:hAnsi="Verdana" w:cs="Arial"/>
          <w:sz w:val="14"/>
          <w:szCs w:val="14"/>
        </w:rPr>
        <w:t>Durante la misma audiencia, y previamente a la adopción de la decisión definitiva de adjudicación, los interesados podrán pronunciarse sobre la respuesta dada por la entidad contratante a las observaciones presentadas respecto de los informes de evaluación.</w:t>
      </w:r>
    </w:p>
    <w:p w14:paraId="5C9E0C50" w14:textId="77777777" w:rsidR="00122D5E" w:rsidRPr="005775AF" w:rsidRDefault="00122D5E" w:rsidP="00122D5E">
      <w:pPr>
        <w:pStyle w:val="Textonotapie"/>
        <w:ind w:firstLine="708"/>
        <w:jc w:val="both"/>
        <w:rPr>
          <w:rFonts w:ascii="Verdana" w:hAnsi="Verdana" w:cs="Arial"/>
          <w:sz w:val="14"/>
          <w:szCs w:val="14"/>
        </w:rPr>
      </w:pPr>
      <w:r w:rsidRPr="005775AF">
        <w:rPr>
          <w:rFonts w:ascii="Verdana" w:hAnsi="Verdana" w:cs="Arial"/>
          <w:sz w:val="14"/>
          <w:szCs w:val="14"/>
        </w:rPr>
        <w:t xml:space="preserve">El acto de adjudicación es irrevocable y obliga a la entidad y al adjudicatario. No </w:t>
      </w:r>
      <w:proofErr w:type="gramStart"/>
      <w:r w:rsidRPr="005775AF">
        <w:rPr>
          <w:rFonts w:ascii="Verdana" w:hAnsi="Verdana" w:cs="Arial"/>
          <w:sz w:val="14"/>
          <w:szCs w:val="14"/>
        </w:rPr>
        <w:t>obstante</w:t>
      </w:r>
      <w:proofErr w:type="gramEnd"/>
      <w:r w:rsidRPr="005775AF">
        <w:rPr>
          <w:rFonts w:ascii="Verdana" w:hAnsi="Verdana" w:cs="Arial"/>
          <w:sz w:val="14"/>
          <w:szCs w:val="14"/>
        </w:rPr>
        <w:t xml:space="preserve"> lo anterior, si dentro del plazo comprendido entre la adjudicación del contrato y la suscripción </w:t>
      </w:r>
      <w:proofErr w:type="gramStart"/>
      <w:r w:rsidRPr="005775AF">
        <w:rPr>
          <w:rFonts w:ascii="Verdana" w:hAnsi="Verdana" w:cs="Arial"/>
          <w:sz w:val="14"/>
          <w:szCs w:val="14"/>
        </w:rPr>
        <w:t>del mismo</w:t>
      </w:r>
      <w:proofErr w:type="gramEnd"/>
      <w:r w:rsidRPr="005775AF">
        <w:rPr>
          <w:rFonts w:ascii="Verdana" w:hAnsi="Verdana" w:cs="Arial"/>
          <w:sz w:val="14"/>
          <w:szCs w:val="14"/>
        </w:rPr>
        <w:t>, sobreviene una inhabilidad o incompatibilidad o si se demuestra que el acto se obtuvo por medios ilegales, este podrá ser revocado, caso en el cual, la entidad podrá aplicar lo previsto en el inciso final del numeral 12 del artículo 30 de la Ley 80 de 1993.</w:t>
      </w:r>
    </w:p>
    <w:p w14:paraId="364B53DF" w14:textId="77777777" w:rsidR="00122D5E" w:rsidRPr="005775AF" w:rsidRDefault="00122D5E" w:rsidP="00122D5E">
      <w:pPr>
        <w:pStyle w:val="Textonotapie"/>
        <w:ind w:firstLine="708"/>
        <w:jc w:val="both"/>
        <w:rPr>
          <w:rFonts w:ascii="Verdana" w:hAnsi="Verdana" w:cs="Arial"/>
          <w:sz w:val="14"/>
          <w:szCs w:val="14"/>
        </w:rPr>
      </w:pPr>
      <w:r w:rsidRPr="005775AF">
        <w:rPr>
          <w:rFonts w:ascii="Verdana" w:hAnsi="Verdana" w:cs="Arial"/>
          <w:sz w:val="14"/>
          <w:szCs w:val="14"/>
        </w:rPr>
        <w:t>Sin perjuicio de las potestades a que se refiere el artículo 18 de la Ley 80 de 1993, en aquellos casos en que la entidad declare la caducidad del contrato y se encuentre pendiente de ejecución un porcentaje igual o superior al cincuenta por ciento (50%) del mismo, con excepción de los contratos de concesión, se podrá contratar al proponente calificado en el segundo lugar en el proceso de selección respectivo, previa revisión de las condiciones a que haya lugar”.</w:t>
      </w:r>
    </w:p>
    <w:p w14:paraId="02DD60B1" w14:textId="77777777" w:rsidR="00122D5E" w:rsidRPr="005775AF" w:rsidRDefault="00122D5E" w:rsidP="00122D5E">
      <w:pPr>
        <w:pStyle w:val="Textonotapie"/>
        <w:ind w:firstLine="708"/>
        <w:jc w:val="both"/>
        <w:rPr>
          <w:rFonts w:ascii="Verdana" w:hAnsi="Verdana" w:cs="Arial"/>
          <w:sz w:val="14"/>
          <w:szCs w:val="14"/>
        </w:rPr>
      </w:pPr>
    </w:p>
  </w:footnote>
  <w:footnote w:id="13">
    <w:p w14:paraId="01D30F24" w14:textId="77777777" w:rsidR="00122D5E" w:rsidRPr="005775AF" w:rsidRDefault="00122D5E" w:rsidP="00122D5E">
      <w:pPr>
        <w:pStyle w:val="Textonotapie"/>
        <w:ind w:firstLine="708"/>
        <w:jc w:val="both"/>
        <w:rPr>
          <w:rFonts w:ascii="Verdana" w:hAnsi="Verdana" w:cs="Arial"/>
          <w:sz w:val="14"/>
          <w:szCs w:val="14"/>
          <w:lang w:val="es-ES"/>
        </w:rPr>
      </w:pPr>
      <w:r w:rsidRPr="005775AF">
        <w:rPr>
          <w:rStyle w:val="Refdenotaalpie"/>
          <w:rFonts w:ascii="Verdana" w:hAnsi="Verdana" w:cs="Arial"/>
          <w:sz w:val="14"/>
          <w:szCs w:val="14"/>
        </w:rPr>
        <w:footnoteRef/>
      </w:r>
      <w:r w:rsidRPr="005775AF">
        <w:rPr>
          <w:rFonts w:ascii="Verdana" w:hAnsi="Verdana" w:cs="Arial"/>
          <w:sz w:val="14"/>
          <w:szCs w:val="14"/>
        </w:rPr>
        <w:t xml:space="preserve"> Consejo de Estado. Sala de Consulta y Servicio Civil. Concepto de 15 de agosto de 2017. Radicación: 2346. C.P. Álvaro </w:t>
      </w:r>
      <w:proofErr w:type="spellStart"/>
      <w:r w:rsidRPr="005775AF">
        <w:rPr>
          <w:rFonts w:ascii="Verdana" w:hAnsi="Verdana" w:cs="Arial"/>
          <w:sz w:val="14"/>
          <w:szCs w:val="14"/>
        </w:rPr>
        <w:t>Namén</w:t>
      </w:r>
      <w:proofErr w:type="spellEnd"/>
      <w:r w:rsidRPr="005775AF">
        <w:rPr>
          <w:rFonts w:ascii="Verdana" w:hAnsi="Verdana" w:cs="Arial"/>
          <w:sz w:val="14"/>
          <w:szCs w:val="14"/>
        </w:rPr>
        <w:t xml:space="preserve"> Vargas. </w:t>
      </w:r>
    </w:p>
  </w:footnote>
  <w:footnote w:id="14">
    <w:p w14:paraId="18F88B56" w14:textId="77777777" w:rsidR="00122D5E" w:rsidRPr="005775AF" w:rsidRDefault="00122D5E" w:rsidP="00122D5E">
      <w:pPr>
        <w:pStyle w:val="Textonotapie"/>
        <w:ind w:firstLine="708"/>
        <w:jc w:val="both"/>
        <w:rPr>
          <w:rFonts w:ascii="Verdana" w:hAnsi="Verdana"/>
          <w:sz w:val="14"/>
          <w:szCs w:val="14"/>
          <w:lang w:val="es-CO"/>
        </w:rPr>
      </w:pPr>
      <w:r w:rsidRPr="005775AF">
        <w:rPr>
          <w:rStyle w:val="Refdenotaalpie"/>
          <w:rFonts w:ascii="Verdana" w:hAnsi="Verdana"/>
          <w:sz w:val="14"/>
          <w:szCs w:val="14"/>
        </w:rPr>
        <w:footnoteRef/>
      </w:r>
      <w:r w:rsidRPr="005775AF">
        <w:rPr>
          <w:rFonts w:ascii="Verdana" w:hAnsi="Verdana"/>
          <w:sz w:val="14"/>
          <w:szCs w:val="14"/>
        </w:rPr>
        <w:t xml:space="preserve"> </w:t>
      </w:r>
      <w:r w:rsidRPr="005775AF">
        <w:rPr>
          <w:rFonts w:ascii="Verdana" w:hAnsi="Verdana"/>
          <w:bCs/>
          <w:sz w:val="14"/>
          <w:szCs w:val="14"/>
          <w:lang w:val="es-CO"/>
        </w:rPr>
        <w:t>Artículo 93.</w:t>
      </w:r>
      <w:r w:rsidRPr="005775AF">
        <w:rPr>
          <w:rFonts w:ascii="Verdana" w:hAnsi="Verdana"/>
          <w:b/>
          <w:bCs/>
          <w:sz w:val="14"/>
          <w:szCs w:val="14"/>
          <w:lang w:val="es-CO"/>
        </w:rPr>
        <w:t xml:space="preserve"> </w:t>
      </w:r>
      <w:r w:rsidRPr="005775AF">
        <w:rPr>
          <w:rFonts w:ascii="Verdana" w:hAnsi="Verdana"/>
          <w:i/>
          <w:iCs/>
          <w:sz w:val="14"/>
          <w:szCs w:val="14"/>
          <w:lang w:val="es-CO"/>
        </w:rPr>
        <w:t>Causales de revocación.</w:t>
      </w:r>
      <w:r w:rsidRPr="005775AF">
        <w:rPr>
          <w:rFonts w:ascii="Verdana" w:hAnsi="Verdana"/>
          <w:sz w:val="14"/>
          <w:szCs w:val="14"/>
          <w:lang w:val="es-CO"/>
        </w:rPr>
        <w:t> Los actos administrativos deberán ser revocados por las mismas autoridades que los hayan expedido o por sus inmediatos superiores jerárquicos o funcionales, de oficio o a solicitud de parte, en cualquiera de los siguientes casos: </w:t>
      </w:r>
    </w:p>
    <w:p w14:paraId="12060FA6" w14:textId="77777777" w:rsidR="00122D5E" w:rsidRPr="005775AF" w:rsidRDefault="00122D5E" w:rsidP="00122D5E">
      <w:pPr>
        <w:pStyle w:val="Textonotapie"/>
        <w:ind w:firstLine="708"/>
        <w:jc w:val="both"/>
        <w:rPr>
          <w:rFonts w:ascii="Verdana" w:hAnsi="Verdana"/>
          <w:sz w:val="14"/>
          <w:szCs w:val="14"/>
          <w:lang w:val="es-CO"/>
        </w:rPr>
      </w:pPr>
      <w:r w:rsidRPr="005775AF">
        <w:rPr>
          <w:rFonts w:ascii="Verdana" w:hAnsi="Verdana"/>
          <w:sz w:val="14"/>
          <w:szCs w:val="14"/>
          <w:lang w:val="es-CO"/>
        </w:rPr>
        <w:t>1. Cuando sea manifiesta su oposición a la Constitución Política o a la ley. </w:t>
      </w:r>
    </w:p>
    <w:p w14:paraId="0D930202" w14:textId="77777777" w:rsidR="00122D5E" w:rsidRPr="005775AF" w:rsidRDefault="00122D5E" w:rsidP="00122D5E">
      <w:pPr>
        <w:pStyle w:val="Textonotapie"/>
        <w:ind w:firstLine="708"/>
        <w:jc w:val="both"/>
        <w:rPr>
          <w:rFonts w:ascii="Verdana" w:hAnsi="Verdana"/>
          <w:sz w:val="14"/>
          <w:szCs w:val="14"/>
          <w:lang w:val="es-CO"/>
        </w:rPr>
      </w:pPr>
      <w:r w:rsidRPr="005775AF">
        <w:rPr>
          <w:rFonts w:ascii="Verdana" w:hAnsi="Verdana"/>
          <w:sz w:val="14"/>
          <w:szCs w:val="14"/>
          <w:lang w:val="es-CO"/>
        </w:rPr>
        <w:t>2. Cuando no estén conformes con el interés público o social, o atenten contra él. </w:t>
      </w:r>
    </w:p>
    <w:p w14:paraId="5BC0B892" w14:textId="77777777" w:rsidR="00122D5E" w:rsidRPr="005775AF" w:rsidRDefault="00122D5E" w:rsidP="00122D5E">
      <w:pPr>
        <w:pStyle w:val="Textonotapie"/>
        <w:ind w:firstLine="708"/>
        <w:jc w:val="both"/>
        <w:rPr>
          <w:rFonts w:ascii="Verdana" w:hAnsi="Verdana"/>
          <w:sz w:val="14"/>
          <w:szCs w:val="14"/>
          <w:lang w:val="es-CO"/>
        </w:rPr>
      </w:pPr>
      <w:r w:rsidRPr="005775AF">
        <w:rPr>
          <w:rFonts w:ascii="Verdana" w:hAnsi="Verdana"/>
          <w:sz w:val="14"/>
          <w:szCs w:val="14"/>
          <w:lang w:val="es-CO"/>
        </w:rPr>
        <w:t>3. Cuando con ellos se cause agravio injustificado a una persona. </w:t>
      </w:r>
    </w:p>
    <w:p w14:paraId="0B75A961" w14:textId="77777777" w:rsidR="00122D5E" w:rsidRPr="005775AF" w:rsidRDefault="00122D5E" w:rsidP="00122D5E">
      <w:pPr>
        <w:pStyle w:val="Textonotapie"/>
        <w:ind w:firstLine="708"/>
        <w:jc w:val="both"/>
        <w:rPr>
          <w:rFonts w:ascii="Verdana" w:hAnsi="Verdana"/>
          <w:sz w:val="14"/>
          <w:szCs w:val="14"/>
          <w:lang w:val="es-CO"/>
        </w:rPr>
      </w:pPr>
    </w:p>
  </w:footnote>
  <w:footnote w:id="15">
    <w:p w14:paraId="3BEFA490" w14:textId="77777777" w:rsidR="00122D5E" w:rsidRPr="005775AF" w:rsidRDefault="00122D5E" w:rsidP="00122D5E">
      <w:pPr>
        <w:pStyle w:val="Textonotapie"/>
        <w:ind w:firstLine="708"/>
        <w:jc w:val="both"/>
        <w:rPr>
          <w:rFonts w:ascii="Verdana" w:hAnsi="Verdana"/>
          <w:sz w:val="14"/>
          <w:szCs w:val="14"/>
          <w:lang w:val="es-CO"/>
        </w:rPr>
      </w:pPr>
      <w:r w:rsidRPr="005775AF">
        <w:rPr>
          <w:rStyle w:val="Refdenotaalpie"/>
          <w:rFonts w:ascii="Verdana" w:hAnsi="Verdana"/>
          <w:sz w:val="14"/>
          <w:szCs w:val="14"/>
        </w:rPr>
        <w:footnoteRef/>
      </w:r>
      <w:r w:rsidRPr="005775AF">
        <w:rPr>
          <w:rFonts w:ascii="Verdana" w:hAnsi="Verdana"/>
          <w:sz w:val="14"/>
          <w:szCs w:val="14"/>
        </w:rPr>
        <w:t xml:space="preserve"> </w:t>
      </w:r>
      <w:r w:rsidRPr="005775AF">
        <w:rPr>
          <w:rFonts w:ascii="Verdana" w:hAnsi="Verdana"/>
          <w:sz w:val="14"/>
          <w:szCs w:val="14"/>
          <w:lang w:val="es-CO"/>
        </w:rPr>
        <w:t xml:space="preserve">Consejo de Estado. Sala de lo Contencioso Administrativo. Sección Tercera, Subsección C. Sentencia del 26 de marzo de 2014. C.P. Enrique Gil Botero. </w:t>
      </w:r>
      <w:proofErr w:type="spellStart"/>
      <w:r w:rsidRPr="005775AF">
        <w:rPr>
          <w:rFonts w:ascii="Verdana" w:hAnsi="Verdana"/>
          <w:sz w:val="14"/>
          <w:szCs w:val="14"/>
          <w:lang w:val="es-CO"/>
        </w:rPr>
        <w:t>Exp</w:t>
      </w:r>
      <w:proofErr w:type="spellEnd"/>
      <w:r w:rsidRPr="005775AF">
        <w:rPr>
          <w:rFonts w:ascii="Verdana" w:hAnsi="Verdana"/>
          <w:sz w:val="14"/>
          <w:szCs w:val="14"/>
          <w:lang w:val="es-CO"/>
        </w:rPr>
        <w:t xml:space="preserve">. 25.750. </w:t>
      </w:r>
    </w:p>
    <w:p w14:paraId="7388F63C" w14:textId="77777777" w:rsidR="00122D5E" w:rsidRDefault="00122D5E" w:rsidP="00122D5E">
      <w:pPr>
        <w:pStyle w:val="Textonotapie"/>
        <w:ind w:firstLine="708"/>
        <w:jc w:val="both"/>
        <w:rPr>
          <w:rFonts w:ascii="Verdana" w:hAnsi="Verdana"/>
          <w:sz w:val="16"/>
          <w:szCs w:val="16"/>
          <w:lang w:val="es-CO"/>
        </w:rPr>
      </w:pPr>
    </w:p>
  </w:footnote>
  <w:footnote w:id="16">
    <w:p w14:paraId="685B5867" w14:textId="77777777" w:rsidR="00122D5E" w:rsidRPr="005775AF" w:rsidRDefault="00122D5E" w:rsidP="00122D5E">
      <w:pPr>
        <w:pStyle w:val="Textonotapie"/>
        <w:ind w:firstLine="708"/>
        <w:jc w:val="both"/>
        <w:rPr>
          <w:rFonts w:ascii="Verdana" w:hAnsi="Verdana"/>
          <w:sz w:val="14"/>
          <w:szCs w:val="14"/>
          <w:lang w:val="es-ES"/>
        </w:rPr>
      </w:pPr>
      <w:r w:rsidRPr="005775AF">
        <w:rPr>
          <w:rStyle w:val="Refdenotaalpie"/>
          <w:rFonts w:ascii="Verdana" w:hAnsi="Verdana"/>
          <w:sz w:val="14"/>
          <w:szCs w:val="14"/>
        </w:rPr>
        <w:footnoteRef/>
      </w:r>
      <w:r w:rsidRPr="005775AF">
        <w:rPr>
          <w:rFonts w:ascii="Verdana" w:hAnsi="Verdana"/>
          <w:sz w:val="14"/>
          <w:szCs w:val="14"/>
        </w:rPr>
        <w:t xml:space="preserve"> </w:t>
      </w:r>
      <w:r w:rsidRPr="005775AF">
        <w:rPr>
          <w:rFonts w:ascii="Verdana" w:hAnsi="Verdana"/>
          <w:sz w:val="14"/>
          <w:szCs w:val="14"/>
          <w:lang w:val="es-ES"/>
        </w:rPr>
        <w:t xml:space="preserve">Consejo de Estado. Sala de lo Contencioso Administrativo. Sección Tercera. Subsección A. Sentencia del 26 de noviembre de 2014. C.P. Carlos Alberto Zambrano Barrera. </w:t>
      </w:r>
      <w:proofErr w:type="spellStart"/>
      <w:r w:rsidRPr="005775AF">
        <w:rPr>
          <w:rFonts w:ascii="Verdana" w:hAnsi="Verdana"/>
          <w:sz w:val="14"/>
          <w:szCs w:val="14"/>
          <w:lang w:val="es-ES"/>
        </w:rPr>
        <w:t>Exp</w:t>
      </w:r>
      <w:proofErr w:type="spellEnd"/>
      <w:r w:rsidRPr="005775AF">
        <w:rPr>
          <w:rFonts w:ascii="Verdana" w:hAnsi="Verdana"/>
          <w:sz w:val="14"/>
          <w:szCs w:val="14"/>
          <w:lang w:val="es-ES"/>
        </w:rPr>
        <w:t>. 31.297.</w:t>
      </w:r>
    </w:p>
    <w:p w14:paraId="135B43F5" w14:textId="77777777" w:rsidR="00122D5E" w:rsidRPr="005775AF" w:rsidRDefault="00122D5E" w:rsidP="00122D5E">
      <w:pPr>
        <w:pStyle w:val="Textonotapie"/>
        <w:ind w:firstLine="708"/>
        <w:jc w:val="both"/>
        <w:rPr>
          <w:rFonts w:ascii="Verdana" w:hAnsi="Verdana"/>
          <w:sz w:val="14"/>
          <w:szCs w:val="14"/>
          <w:lang w:val="es-ES"/>
        </w:rPr>
      </w:pPr>
    </w:p>
  </w:footnote>
  <w:footnote w:id="17">
    <w:p w14:paraId="2F4ACDFE" w14:textId="77777777" w:rsidR="00122D5E" w:rsidRPr="005775AF" w:rsidRDefault="00122D5E" w:rsidP="00122D5E">
      <w:pPr>
        <w:pStyle w:val="Textonotapie"/>
        <w:ind w:firstLine="708"/>
        <w:jc w:val="both"/>
        <w:rPr>
          <w:rFonts w:ascii="Verdana" w:hAnsi="Verdana"/>
          <w:sz w:val="14"/>
          <w:szCs w:val="14"/>
          <w:lang w:val="es-ES"/>
        </w:rPr>
      </w:pPr>
      <w:r w:rsidRPr="005775AF">
        <w:rPr>
          <w:rStyle w:val="Refdenotaalpie"/>
          <w:rFonts w:ascii="Verdana" w:hAnsi="Verdana"/>
          <w:sz w:val="14"/>
          <w:szCs w:val="14"/>
        </w:rPr>
        <w:footnoteRef/>
      </w:r>
      <w:r w:rsidRPr="005775AF">
        <w:rPr>
          <w:rFonts w:ascii="Verdana" w:hAnsi="Verdana"/>
          <w:sz w:val="14"/>
          <w:szCs w:val="14"/>
        </w:rPr>
        <w:t xml:space="preserve"> </w:t>
      </w:r>
      <w:r w:rsidRPr="005775AF">
        <w:rPr>
          <w:rFonts w:ascii="Verdana" w:hAnsi="Verdana"/>
          <w:sz w:val="14"/>
          <w:szCs w:val="14"/>
          <w:lang w:val="es-ES"/>
        </w:rPr>
        <w:t xml:space="preserve">Consejo de Estado. Sala de lo Contencioso Administrativo. Sección Tercera. Subsección A. Sentencia del 27 de abril de 2016. C.P. Martha Nubia Velásquez Rico. </w:t>
      </w:r>
      <w:proofErr w:type="spellStart"/>
      <w:r w:rsidRPr="005775AF">
        <w:rPr>
          <w:rFonts w:ascii="Verdana" w:hAnsi="Verdana"/>
          <w:sz w:val="14"/>
          <w:szCs w:val="14"/>
          <w:lang w:val="es-ES"/>
        </w:rPr>
        <w:t>Exp</w:t>
      </w:r>
      <w:proofErr w:type="spellEnd"/>
      <w:r w:rsidRPr="005775AF">
        <w:rPr>
          <w:rFonts w:ascii="Verdana" w:hAnsi="Verdana"/>
          <w:sz w:val="14"/>
          <w:szCs w:val="14"/>
          <w:lang w:val="es-ES"/>
        </w:rPr>
        <w:t xml:space="preserve">. 46818. </w:t>
      </w:r>
    </w:p>
    <w:p w14:paraId="63CD67C2" w14:textId="77777777" w:rsidR="00122D5E" w:rsidRPr="005775AF" w:rsidRDefault="00122D5E" w:rsidP="00122D5E">
      <w:pPr>
        <w:pStyle w:val="Textonotapie"/>
        <w:ind w:firstLine="708"/>
        <w:jc w:val="both"/>
        <w:rPr>
          <w:rFonts w:ascii="Verdana" w:hAnsi="Verdana"/>
          <w:sz w:val="14"/>
          <w:szCs w:val="14"/>
          <w:lang w:val="es-ES"/>
        </w:rPr>
      </w:pPr>
    </w:p>
  </w:footnote>
  <w:footnote w:id="18">
    <w:p w14:paraId="5A125930" w14:textId="77777777" w:rsidR="00122D5E" w:rsidRPr="005775AF" w:rsidRDefault="00122D5E" w:rsidP="00122D5E">
      <w:pPr>
        <w:pStyle w:val="Textonotapie"/>
        <w:ind w:firstLine="708"/>
        <w:jc w:val="both"/>
        <w:rPr>
          <w:sz w:val="14"/>
          <w:szCs w:val="14"/>
          <w:lang w:val="es-ES"/>
        </w:rPr>
      </w:pPr>
      <w:r w:rsidRPr="005775AF">
        <w:rPr>
          <w:rStyle w:val="Refdenotaalpie"/>
          <w:rFonts w:ascii="Verdana" w:hAnsi="Verdana"/>
          <w:sz w:val="14"/>
          <w:szCs w:val="14"/>
        </w:rPr>
        <w:footnoteRef/>
      </w:r>
      <w:r w:rsidRPr="005775AF">
        <w:rPr>
          <w:rFonts w:ascii="Verdana" w:hAnsi="Verdana"/>
          <w:sz w:val="14"/>
          <w:szCs w:val="14"/>
        </w:rPr>
        <w:t xml:space="preserve"> </w:t>
      </w:r>
      <w:r w:rsidRPr="005775AF">
        <w:rPr>
          <w:rFonts w:ascii="Verdana" w:hAnsi="Verdana"/>
          <w:sz w:val="14"/>
          <w:szCs w:val="14"/>
          <w:lang w:val="es-ES"/>
        </w:rPr>
        <w:t xml:space="preserve">Consejo de Estado. Sala de lo Contencioso Administrativo. Sección Tercera. Subsección A. Sentencia del 2 de julio de 2021. C.P. José Roberto Sáchica Méndez. </w:t>
      </w:r>
      <w:proofErr w:type="spellStart"/>
      <w:r w:rsidRPr="005775AF">
        <w:rPr>
          <w:rFonts w:ascii="Verdana" w:hAnsi="Verdana"/>
          <w:sz w:val="14"/>
          <w:szCs w:val="14"/>
          <w:lang w:val="es-ES"/>
        </w:rPr>
        <w:t>Exp</w:t>
      </w:r>
      <w:proofErr w:type="spellEnd"/>
      <w:r w:rsidRPr="005775AF">
        <w:rPr>
          <w:rFonts w:ascii="Verdana" w:hAnsi="Verdana"/>
          <w:sz w:val="14"/>
          <w:szCs w:val="14"/>
          <w:lang w:val="es-ES"/>
        </w:rPr>
        <w:t>. 58372.</w:t>
      </w:r>
    </w:p>
  </w:footnote>
  <w:footnote w:id="19">
    <w:p w14:paraId="0CF46CDE" w14:textId="77777777" w:rsidR="00122D5E" w:rsidRPr="005775AF" w:rsidRDefault="00122D5E" w:rsidP="00122D5E">
      <w:pPr>
        <w:pStyle w:val="Textonotapie"/>
        <w:ind w:firstLine="708"/>
        <w:jc w:val="both"/>
        <w:rPr>
          <w:rFonts w:ascii="Verdana" w:hAnsi="Verdana"/>
          <w:sz w:val="14"/>
          <w:szCs w:val="14"/>
          <w:lang w:val="es-ES"/>
        </w:rPr>
      </w:pPr>
      <w:r w:rsidRPr="005775AF">
        <w:rPr>
          <w:rStyle w:val="Refdenotaalpie"/>
          <w:rFonts w:ascii="Verdana" w:hAnsi="Verdana"/>
          <w:sz w:val="14"/>
          <w:szCs w:val="14"/>
        </w:rPr>
        <w:footnoteRef/>
      </w:r>
      <w:r w:rsidRPr="005775AF">
        <w:rPr>
          <w:rFonts w:ascii="Verdana" w:hAnsi="Verdana"/>
          <w:sz w:val="14"/>
          <w:szCs w:val="14"/>
        </w:rPr>
        <w:t xml:space="preserve"> </w:t>
      </w:r>
      <w:r w:rsidRPr="005775AF">
        <w:rPr>
          <w:rFonts w:ascii="Verdana" w:hAnsi="Verdana"/>
          <w:sz w:val="14"/>
          <w:szCs w:val="14"/>
          <w:lang w:val="es-ES"/>
        </w:rPr>
        <w:t xml:space="preserve">DÁVILA VINUEZA, Luis Guillermo. Régimen jurídico de la contratación estatal. 3° ed. Bogotá: Legis. 2016. p. 405. Al respecto, </w:t>
      </w:r>
      <w:proofErr w:type="spellStart"/>
      <w:r w:rsidRPr="005775AF">
        <w:rPr>
          <w:rFonts w:ascii="Verdana" w:hAnsi="Verdana"/>
          <w:sz w:val="14"/>
          <w:szCs w:val="14"/>
          <w:lang w:val="es-ES"/>
        </w:rPr>
        <w:t>Covilla</w:t>
      </w:r>
      <w:proofErr w:type="spellEnd"/>
      <w:r w:rsidRPr="005775AF">
        <w:rPr>
          <w:rFonts w:ascii="Verdana" w:hAnsi="Verdana"/>
          <w:sz w:val="14"/>
          <w:szCs w:val="14"/>
          <w:lang w:val="es-ES"/>
        </w:rPr>
        <w:t xml:space="preserve"> Martínez expresa: “La revocatoria del acto de apertura es un mecanismo que otorga el ordenamiento jurídico para que la Administración Pública pueda dejar sin efectos sus propios actos. Es, entonces, un mecanismo legal por el cual la entidad estatal puede revisar sus actos y que permite desaparecer de la vida jurídica actos administrativos cuando encuentre un error o situación imprevista (COVILLA MARTÍNEZ, Juan Carlos. La revocación del acto de apertura del procedimiento de selección de contratistas y la responsabilidad del Estado. Bogotá: Universidad Externado de Colombia, 2019. p. 233).</w:t>
      </w:r>
    </w:p>
    <w:p w14:paraId="18013FBE" w14:textId="77777777" w:rsidR="00122D5E" w:rsidRPr="005775AF" w:rsidRDefault="00122D5E" w:rsidP="00122D5E">
      <w:pPr>
        <w:pStyle w:val="Textonotapie"/>
        <w:ind w:firstLine="708"/>
        <w:jc w:val="both"/>
        <w:rPr>
          <w:rFonts w:ascii="Verdana" w:hAnsi="Verdana"/>
          <w:sz w:val="14"/>
          <w:szCs w:val="14"/>
          <w:lang w:val="es-ES"/>
        </w:rPr>
      </w:pPr>
    </w:p>
  </w:footnote>
  <w:footnote w:id="20">
    <w:p w14:paraId="02F70D41" w14:textId="77777777" w:rsidR="00122D5E" w:rsidRPr="005775AF" w:rsidRDefault="00122D5E" w:rsidP="00122D5E">
      <w:pPr>
        <w:pStyle w:val="Textonotapie"/>
        <w:ind w:firstLine="708"/>
        <w:jc w:val="both"/>
        <w:rPr>
          <w:rFonts w:ascii="Verdana" w:hAnsi="Verdana" w:cs="Arial"/>
          <w:sz w:val="14"/>
          <w:szCs w:val="14"/>
        </w:rPr>
      </w:pPr>
      <w:r w:rsidRPr="005775AF">
        <w:rPr>
          <w:rStyle w:val="Refdenotaalpie"/>
          <w:rFonts w:ascii="Verdana" w:hAnsi="Verdana" w:cs="Arial"/>
          <w:sz w:val="14"/>
          <w:szCs w:val="14"/>
        </w:rPr>
        <w:footnoteRef/>
      </w:r>
      <w:r w:rsidRPr="005775AF">
        <w:rPr>
          <w:rFonts w:ascii="Verdana" w:hAnsi="Verdana" w:cs="Arial"/>
          <w:sz w:val="14"/>
          <w:szCs w:val="14"/>
        </w:rPr>
        <w:t xml:space="preserve"> OSPINA MENA, Jesús Marino. Régimen de la Contratación Estatal. Un salto a la contratación líquida. Bogotá: Ed. 1ª. </w:t>
      </w:r>
      <w:proofErr w:type="spellStart"/>
      <w:r w:rsidRPr="005775AF">
        <w:rPr>
          <w:rFonts w:ascii="Verdana" w:hAnsi="Verdana" w:cs="Arial"/>
          <w:sz w:val="14"/>
          <w:szCs w:val="14"/>
        </w:rPr>
        <w:t>Diké</w:t>
      </w:r>
      <w:proofErr w:type="spellEnd"/>
      <w:r w:rsidRPr="005775AF">
        <w:rPr>
          <w:rFonts w:ascii="Verdana" w:hAnsi="Verdana" w:cs="Arial"/>
          <w:sz w:val="14"/>
          <w:szCs w:val="14"/>
        </w:rPr>
        <w:t>, 2020. p. 383.</w:t>
      </w:r>
    </w:p>
  </w:footnote>
  <w:footnote w:id="21">
    <w:p w14:paraId="5AC4370D" w14:textId="77777777" w:rsidR="00122D5E" w:rsidRDefault="00122D5E" w:rsidP="00122D5E">
      <w:pPr>
        <w:pStyle w:val="Textonotapie"/>
        <w:ind w:firstLine="708"/>
        <w:jc w:val="both"/>
        <w:rPr>
          <w:rFonts w:ascii="Verdana" w:hAnsi="Verdana" w:cs="Arial"/>
          <w:sz w:val="14"/>
          <w:szCs w:val="14"/>
          <w:lang w:val="es-CO"/>
        </w:rPr>
      </w:pPr>
      <w:r w:rsidRPr="005775AF">
        <w:rPr>
          <w:rStyle w:val="Refdenotaalpie"/>
          <w:rFonts w:ascii="Verdana" w:hAnsi="Verdana" w:cs="Arial"/>
          <w:sz w:val="14"/>
          <w:szCs w:val="14"/>
        </w:rPr>
        <w:footnoteRef/>
      </w:r>
      <w:r w:rsidRPr="005775AF">
        <w:rPr>
          <w:rFonts w:ascii="Verdana" w:hAnsi="Verdana" w:cs="Arial"/>
          <w:sz w:val="14"/>
          <w:szCs w:val="14"/>
        </w:rPr>
        <w:t xml:space="preserve"> </w:t>
      </w:r>
      <w:r w:rsidRPr="005775AF">
        <w:rPr>
          <w:rFonts w:ascii="Verdana" w:hAnsi="Verdana" w:cs="Arial"/>
          <w:sz w:val="14"/>
          <w:szCs w:val="14"/>
          <w:lang w:val="es-CO"/>
        </w:rPr>
        <w:t xml:space="preserve">CLARO SOLAR, Luis. Explicaciones de derecho civil chileno y comparado. Tomo Décimo – Obligaciones y contratos 1. Santiago de Chile, Nascimiento, 1936. </w:t>
      </w:r>
    </w:p>
    <w:p w14:paraId="3480CFA8" w14:textId="77777777" w:rsidR="00122D5E" w:rsidRPr="005775AF" w:rsidRDefault="00122D5E" w:rsidP="00122D5E">
      <w:pPr>
        <w:pStyle w:val="Textonotapie"/>
        <w:ind w:firstLine="708"/>
        <w:jc w:val="both"/>
        <w:rPr>
          <w:rFonts w:ascii="Verdana" w:hAnsi="Verdana" w:cs="Arial"/>
          <w:sz w:val="14"/>
          <w:szCs w:val="14"/>
          <w:lang w:val="es-CO"/>
        </w:rPr>
      </w:pPr>
    </w:p>
  </w:footnote>
  <w:footnote w:id="22">
    <w:p w14:paraId="4CAB3A05" w14:textId="77777777" w:rsidR="00122D5E" w:rsidRDefault="00122D5E" w:rsidP="00122D5E">
      <w:pPr>
        <w:pStyle w:val="Textoindependiente"/>
        <w:ind w:firstLine="708"/>
        <w:contextualSpacing/>
        <w:jc w:val="both"/>
        <w:rPr>
          <w:rFonts w:ascii="Verdana" w:hAnsi="Verdana"/>
          <w:sz w:val="14"/>
          <w:szCs w:val="14"/>
        </w:rPr>
      </w:pPr>
      <w:r w:rsidRPr="005775AF">
        <w:rPr>
          <w:rStyle w:val="Refdenotaalpie"/>
          <w:rFonts w:ascii="Verdana" w:hAnsi="Verdana"/>
          <w:sz w:val="14"/>
          <w:szCs w:val="14"/>
        </w:rPr>
        <w:footnoteRef/>
      </w:r>
      <w:r w:rsidRPr="005775AF">
        <w:rPr>
          <w:rFonts w:ascii="Verdana" w:hAnsi="Verdana"/>
          <w:sz w:val="14"/>
          <w:szCs w:val="14"/>
        </w:rPr>
        <w:t xml:space="preserve"> “[...] el negocio jurídico es un acto de autonomía privada jurídicamente relevante; acto de autorregulación de los propios intereses: la ley no delimita totalmente su contenido, señala orientaciones y límites a la actividad dispositiva, indaga sobre su observancia y, no hallando reparo que formular, interpreta el comportamiento, lo ubica dentro del marco de circunstancias en que se realizó y, una vez encasillado dentro de uno de los tipos socialmente reconocidos, le asigna los efectos que mejor correspondan a la determinación particular así alindada y calificada”. (HINESTROSA, Fernando, Tratado de las Obligaciones II De las fuentes de las obligaciones: </w:t>
      </w:r>
      <w:r w:rsidRPr="005775AF">
        <w:rPr>
          <w:rFonts w:ascii="Verdana" w:hAnsi="Verdana"/>
          <w:i/>
          <w:sz w:val="14"/>
          <w:szCs w:val="14"/>
        </w:rPr>
        <w:t>El Negocio Jurídico</w:t>
      </w:r>
      <w:r w:rsidRPr="005775AF">
        <w:rPr>
          <w:rFonts w:ascii="Verdana" w:hAnsi="Verdana"/>
          <w:sz w:val="14"/>
          <w:szCs w:val="14"/>
        </w:rPr>
        <w:t>, Volumen I, Universidad Externado de Colombia, Bogotá, 2015, pág. 107).</w:t>
      </w:r>
    </w:p>
    <w:p w14:paraId="5FDDB16C" w14:textId="77777777" w:rsidR="00122D5E" w:rsidRPr="005775AF" w:rsidRDefault="00122D5E" w:rsidP="00122D5E">
      <w:pPr>
        <w:pStyle w:val="Textoindependiente"/>
        <w:ind w:firstLine="708"/>
        <w:contextualSpacing/>
        <w:jc w:val="both"/>
        <w:rPr>
          <w:rFonts w:ascii="Verdana" w:hAnsi="Verdana"/>
          <w:sz w:val="14"/>
          <w:szCs w:val="14"/>
        </w:rPr>
      </w:pPr>
    </w:p>
  </w:footnote>
  <w:footnote w:id="23">
    <w:p w14:paraId="56EC73BE" w14:textId="77777777" w:rsidR="00122D5E" w:rsidRPr="005775AF" w:rsidRDefault="00122D5E" w:rsidP="00122D5E">
      <w:pPr>
        <w:spacing w:line="240" w:lineRule="auto"/>
        <w:ind w:firstLine="707"/>
        <w:contextualSpacing/>
        <w:jc w:val="both"/>
        <w:rPr>
          <w:rFonts w:ascii="Verdana" w:hAnsi="Verdana" w:cs="Arial"/>
          <w:sz w:val="14"/>
          <w:szCs w:val="14"/>
        </w:rPr>
      </w:pPr>
      <w:r w:rsidRPr="005775AF">
        <w:rPr>
          <w:rStyle w:val="Refdenotaalpie"/>
          <w:rFonts w:ascii="Verdana" w:hAnsi="Verdana" w:cs="Arial"/>
          <w:sz w:val="14"/>
          <w:szCs w:val="14"/>
        </w:rPr>
        <w:footnoteRef/>
      </w:r>
      <w:r w:rsidRPr="005775AF">
        <w:rPr>
          <w:rFonts w:ascii="Verdana" w:hAnsi="Verdana" w:cs="Arial"/>
          <w:sz w:val="14"/>
          <w:szCs w:val="14"/>
        </w:rPr>
        <w:t xml:space="preserve"> Consejo de Estado. Sala de lo Contencioso Administrativo. Sección Tercera. Auto del 30 de enero de 2008. Rad. 32.867, M.P. Mauricio Fajardo Gómez.</w:t>
      </w:r>
    </w:p>
    <w:p w14:paraId="4821355C" w14:textId="77777777" w:rsidR="00122D5E" w:rsidRPr="00927492" w:rsidRDefault="00122D5E" w:rsidP="00122D5E">
      <w:pPr>
        <w:spacing w:line="240" w:lineRule="auto"/>
        <w:ind w:firstLine="707"/>
        <w:contextualSpacing/>
        <w:jc w:val="both"/>
        <w:rPr>
          <w:rFonts w:ascii="Verdana" w:hAnsi="Verdana" w:cs="Arial"/>
          <w:sz w:val="16"/>
          <w:szCs w:val="16"/>
        </w:rPr>
      </w:pPr>
    </w:p>
  </w:footnote>
  <w:footnote w:id="24">
    <w:p w14:paraId="3D08F57F" w14:textId="77777777" w:rsidR="00122D5E" w:rsidRPr="005775AF" w:rsidRDefault="00122D5E" w:rsidP="00122D5E">
      <w:pPr>
        <w:spacing w:line="240" w:lineRule="auto"/>
        <w:ind w:firstLine="707"/>
        <w:contextualSpacing/>
        <w:jc w:val="both"/>
        <w:rPr>
          <w:rFonts w:ascii="Verdana" w:hAnsi="Verdana" w:cs="Arial"/>
          <w:sz w:val="14"/>
          <w:szCs w:val="14"/>
        </w:rPr>
      </w:pPr>
      <w:r w:rsidRPr="005775AF">
        <w:rPr>
          <w:rStyle w:val="Refdenotaalpie"/>
          <w:rFonts w:ascii="Verdana" w:hAnsi="Verdana" w:cs="Arial"/>
          <w:sz w:val="14"/>
          <w:szCs w:val="14"/>
        </w:rPr>
        <w:footnoteRef/>
      </w:r>
      <w:r w:rsidRPr="005775AF">
        <w:rPr>
          <w:rFonts w:ascii="Verdana" w:hAnsi="Verdana" w:cs="Arial"/>
          <w:sz w:val="14"/>
          <w:szCs w:val="14"/>
        </w:rPr>
        <w:t xml:space="preserve"> Consejo de Estado. Sala de lo Contencioso Administrativo. Sección Tercera. Sentencia de 23 de septiembre de 1997, Rad. S-701.</w:t>
      </w:r>
    </w:p>
    <w:p w14:paraId="1BBED245" w14:textId="77777777" w:rsidR="00122D5E" w:rsidRPr="005775AF" w:rsidRDefault="00122D5E" w:rsidP="00122D5E">
      <w:pPr>
        <w:spacing w:line="240" w:lineRule="auto"/>
        <w:ind w:firstLine="707"/>
        <w:contextualSpacing/>
        <w:jc w:val="both"/>
        <w:rPr>
          <w:rFonts w:ascii="Verdana" w:hAnsi="Verdana" w:cs="Arial"/>
          <w:sz w:val="14"/>
          <w:szCs w:val="14"/>
        </w:rPr>
      </w:pPr>
    </w:p>
  </w:footnote>
  <w:footnote w:id="25">
    <w:p w14:paraId="02955F56" w14:textId="77777777" w:rsidR="00122D5E" w:rsidRPr="005775AF" w:rsidRDefault="00122D5E" w:rsidP="00122D5E">
      <w:pPr>
        <w:spacing w:line="240" w:lineRule="auto"/>
        <w:ind w:firstLine="707"/>
        <w:contextualSpacing/>
        <w:jc w:val="both"/>
        <w:rPr>
          <w:rFonts w:ascii="Verdana" w:hAnsi="Verdana" w:cs="Arial"/>
          <w:sz w:val="14"/>
          <w:szCs w:val="14"/>
        </w:rPr>
      </w:pPr>
      <w:r w:rsidRPr="005775AF">
        <w:rPr>
          <w:rStyle w:val="Refdenotaalpie"/>
          <w:rFonts w:ascii="Verdana" w:hAnsi="Verdana" w:cs="Arial"/>
          <w:sz w:val="14"/>
          <w:szCs w:val="14"/>
        </w:rPr>
        <w:footnoteRef/>
      </w:r>
      <w:r w:rsidRPr="005775AF">
        <w:rPr>
          <w:rFonts w:ascii="Verdana" w:hAnsi="Verdana" w:cs="Arial"/>
          <w:sz w:val="14"/>
          <w:szCs w:val="14"/>
        </w:rPr>
        <w:t xml:space="preserve"> Consejo de Estado. Sala de Consulta y Servicio Civil. Concepto de 15 de mayo de 2018, Rad. 2335.</w:t>
      </w:r>
      <w:r>
        <w:rPr>
          <w:rFonts w:ascii="Verdana" w:hAnsi="Verdana" w:cs="Arial"/>
          <w:sz w:val="14"/>
          <w:szCs w:val="14"/>
        </w:rPr>
        <w:t xml:space="preserve"> C.P: Álvaro </w:t>
      </w:r>
      <w:proofErr w:type="spellStart"/>
      <w:r>
        <w:rPr>
          <w:rFonts w:ascii="Verdana" w:hAnsi="Verdana" w:cs="Arial"/>
          <w:sz w:val="14"/>
          <w:szCs w:val="14"/>
        </w:rPr>
        <w:t>Namén</w:t>
      </w:r>
      <w:proofErr w:type="spellEnd"/>
      <w:r>
        <w:rPr>
          <w:rFonts w:ascii="Verdana" w:hAnsi="Verdana" w:cs="Arial"/>
          <w:sz w:val="14"/>
          <w:szCs w:val="14"/>
        </w:rPr>
        <w:t xml:space="preserve"> Vargas. </w:t>
      </w:r>
    </w:p>
  </w:footnote>
  <w:footnote w:id="26">
    <w:p w14:paraId="3777178C" w14:textId="77777777" w:rsidR="00122D5E" w:rsidRPr="005775AF" w:rsidRDefault="00122D5E" w:rsidP="00122D5E">
      <w:pPr>
        <w:pStyle w:val="Textonotapie"/>
        <w:ind w:firstLine="708"/>
        <w:jc w:val="both"/>
        <w:rPr>
          <w:rFonts w:ascii="Verdana" w:hAnsi="Verdana" w:cs="Arial"/>
          <w:sz w:val="14"/>
          <w:szCs w:val="14"/>
        </w:rPr>
      </w:pPr>
      <w:r w:rsidRPr="005775AF">
        <w:rPr>
          <w:rStyle w:val="Refdenotaalpie"/>
          <w:rFonts w:ascii="Verdana" w:hAnsi="Verdana" w:cs="Arial"/>
          <w:sz w:val="14"/>
          <w:szCs w:val="14"/>
        </w:rPr>
        <w:footnoteRef/>
      </w:r>
      <w:r w:rsidRPr="005775AF">
        <w:rPr>
          <w:rFonts w:ascii="Verdana" w:hAnsi="Verdana" w:cs="Arial"/>
          <w:sz w:val="14"/>
          <w:szCs w:val="14"/>
        </w:rPr>
        <w:t xml:space="preserve"> EXPÓSITO VÉLEZ, Juan Carlos. Forma y contenido del contrato estatal, Bogotá: Universidad Externado de Colombia, 2013, p. 190. </w:t>
      </w:r>
    </w:p>
    <w:p w14:paraId="6ECF1D44" w14:textId="77777777" w:rsidR="00122D5E" w:rsidRPr="005775AF" w:rsidRDefault="00122D5E" w:rsidP="00122D5E">
      <w:pPr>
        <w:pStyle w:val="Textonotapie"/>
        <w:ind w:firstLine="708"/>
        <w:jc w:val="both"/>
        <w:rPr>
          <w:rFonts w:ascii="Verdana" w:hAnsi="Verdana" w:cs="Arial"/>
          <w:sz w:val="14"/>
          <w:szCs w:val="14"/>
        </w:rPr>
      </w:pPr>
    </w:p>
  </w:footnote>
  <w:footnote w:id="27">
    <w:p w14:paraId="1AA2AE85" w14:textId="77777777" w:rsidR="00122D5E" w:rsidRPr="005775AF" w:rsidRDefault="00122D5E" w:rsidP="00122D5E">
      <w:pPr>
        <w:pStyle w:val="Textonotapie"/>
        <w:ind w:firstLine="708"/>
        <w:jc w:val="both"/>
        <w:rPr>
          <w:rFonts w:ascii="Verdana" w:hAnsi="Verdana" w:cs="Arial"/>
          <w:sz w:val="14"/>
          <w:szCs w:val="14"/>
        </w:rPr>
      </w:pPr>
      <w:r w:rsidRPr="005775AF">
        <w:rPr>
          <w:rStyle w:val="Refdenotaalpie"/>
          <w:rFonts w:ascii="Verdana" w:hAnsi="Verdana" w:cs="Arial"/>
          <w:sz w:val="14"/>
          <w:szCs w:val="14"/>
        </w:rPr>
        <w:footnoteRef/>
      </w:r>
      <w:r w:rsidRPr="005775AF">
        <w:rPr>
          <w:rFonts w:ascii="Verdana" w:hAnsi="Verdana" w:cs="Arial"/>
          <w:sz w:val="14"/>
          <w:szCs w:val="14"/>
        </w:rPr>
        <w:t xml:space="preserve"> EXPÓSITO VÉLEZ, Juan Carlos. Forma y contenido del contrato estatal, Bogotá: Universidad Externado de Colombia, 2013, p. 202 y 203. </w:t>
      </w:r>
    </w:p>
    <w:p w14:paraId="6E0DDEAF" w14:textId="77777777" w:rsidR="00122D5E" w:rsidRPr="005775AF" w:rsidRDefault="00122D5E" w:rsidP="00122D5E">
      <w:pPr>
        <w:pStyle w:val="Textonotapie"/>
        <w:ind w:firstLine="708"/>
        <w:jc w:val="both"/>
        <w:rPr>
          <w:rFonts w:ascii="Verdana" w:hAnsi="Verdana" w:cs="Arial"/>
          <w:sz w:val="14"/>
          <w:szCs w:val="14"/>
        </w:rPr>
      </w:pPr>
    </w:p>
  </w:footnote>
  <w:footnote w:id="28">
    <w:p w14:paraId="2524CC86" w14:textId="77777777" w:rsidR="00122D5E" w:rsidRPr="005775AF" w:rsidRDefault="00122D5E" w:rsidP="00122D5E">
      <w:pPr>
        <w:pStyle w:val="Textonotapie"/>
        <w:ind w:firstLine="708"/>
        <w:jc w:val="both"/>
        <w:rPr>
          <w:rFonts w:ascii="Verdana" w:hAnsi="Verdana" w:cs="Arial"/>
          <w:sz w:val="14"/>
          <w:szCs w:val="14"/>
          <w:lang w:val="es-ES"/>
        </w:rPr>
      </w:pPr>
      <w:r w:rsidRPr="005775AF">
        <w:rPr>
          <w:rStyle w:val="Refdenotaalpie"/>
          <w:rFonts w:ascii="Verdana" w:hAnsi="Verdana" w:cs="Arial"/>
          <w:sz w:val="14"/>
          <w:szCs w:val="14"/>
        </w:rPr>
        <w:footnoteRef/>
      </w:r>
      <w:r w:rsidRPr="005775AF">
        <w:rPr>
          <w:rFonts w:ascii="Verdana" w:hAnsi="Verdana" w:cs="Arial"/>
          <w:sz w:val="14"/>
          <w:szCs w:val="14"/>
        </w:rPr>
        <w:t xml:space="preserve"> </w:t>
      </w:r>
      <w:r w:rsidRPr="005775AF">
        <w:rPr>
          <w:rFonts w:ascii="Verdana" w:hAnsi="Verdana" w:cs="Arial"/>
          <w:sz w:val="14"/>
          <w:szCs w:val="14"/>
          <w:lang w:val="es-ES"/>
        </w:rPr>
        <w:t xml:space="preserve">Consejo de Estado. Sala de lo Contencioso Administrativo. Sección Tercera. Subsección A. Sentencia de 9 de mayo de 2012. </w:t>
      </w:r>
      <w:proofErr w:type="spellStart"/>
      <w:r w:rsidRPr="005775AF">
        <w:rPr>
          <w:rFonts w:ascii="Verdana" w:hAnsi="Verdana" w:cs="Arial"/>
          <w:sz w:val="14"/>
          <w:szCs w:val="14"/>
          <w:lang w:val="es-ES"/>
        </w:rPr>
        <w:t>Exp</w:t>
      </w:r>
      <w:proofErr w:type="spellEnd"/>
      <w:r w:rsidRPr="005775AF">
        <w:rPr>
          <w:rFonts w:ascii="Verdana" w:hAnsi="Verdana" w:cs="Arial"/>
          <w:sz w:val="14"/>
          <w:szCs w:val="14"/>
          <w:lang w:val="es-ES"/>
        </w:rPr>
        <w:t>. 20.968. C.P. Mauricio Fajardo Gómez.</w:t>
      </w:r>
    </w:p>
  </w:footnote>
  <w:footnote w:id="29">
    <w:p w14:paraId="0FC6E85B" w14:textId="77777777" w:rsidR="00122D5E" w:rsidRPr="005775AF" w:rsidRDefault="00122D5E" w:rsidP="00122D5E">
      <w:pPr>
        <w:pStyle w:val="Textonotapie"/>
        <w:ind w:firstLine="709"/>
        <w:jc w:val="both"/>
        <w:rPr>
          <w:rFonts w:ascii="Verdana" w:hAnsi="Verdana"/>
          <w:sz w:val="14"/>
          <w:szCs w:val="14"/>
          <w:lang w:val="es-ES"/>
        </w:rPr>
      </w:pPr>
      <w:r w:rsidRPr="005775AF">
        <w:rPr>
          <w:rStyle w:val="Refdenotaalpie"/>
          <w:rFonts w:ascii="Verdana" w:hAnsi="Verdana"/>
          <w:sz w:val="14"/>
          <w:szCs w:val="14"/>
        </w:rPr>
        <w:footnoteRef/>
      </w:r>
      <w:r w:rsidRPr="005775AF">
        <w:rPr>
          <w:rFonts w:ascii="Verdana" w:hAnsi="Verdana"/>
          <w:sz w:val="14"/>
          <w:szCs w:val="14"/>
        </w:rPr>
        <w:t xml:space="preserve"> </w:t>
      </w:r>
      <w:r w:rsidRPr="005775AF">
        <w:rPr>
          <w:rFonts w:ascii="Verdana" w:hAnsi="Verdana"/>
          <w:sz w:val="14"/>
          <w:szCs w:val="14"/>
          <w:lang w:val="es-ES"/>
        </w:rPr>
        <w:t xml:space="preserve">Consejo de Estado. Sala de Consulta y Servicio Civil. 30 de octubre de 2013. </w:t>
      </w:r>
      <w:r w:rsidRPr="005775AF">
        <w:rPr>
          <w:rFonts w:ascii="Verdana" w:hAnsi="Verdana"/>
          <w:sz w:val="14"/>
          <w:szCs w:val="14"/>
          <w:lang w:val="es-CO"/>
        </w:rPr>
        <w:t xml:space="preserve">Radicación número: 11001-03-06-000-2013-00214-00(2150). Consejero ponente: William Zambrano Cetina. </w:t>
      </w:r>
      <w:r w:rsidRPr="005775AF">
        <w:rPr>
          <w:rFonts w:ascii="Verdana" w:hAnsi="Verdana"/>
          <w:sz w:val="14"/>
          <w:szCs w:val="14"/>
          <w:lang w:val="es-ES"/>
        </w:rPr>
        <w:t xml:space="preserve"> </w:t>
      </w:r>
    </w:p>
    <w:p w14:paraId="5CCC9CF6" w14:textId="77777777" w:rsidR="00122D5E" w:rsidRPr="00664DD0" w:rsidRDefault="00122D5E" w:rsidP="00122D5E">
      <w:pPr>
        <w:pStyle w:val="Textonotapie"/>
        <w:ind w:firstLine="709"/>
        <w:jc w:val="both"/>
        <w:rPr>
          <w:rFonts w:ascii="Verdana" w:hAnsi="Verdana"/>
          <w:sz w:val="16"/>
          <w:szCs w:val="16"/>
          <w:lang w:val="es-ES"/>
        </w:rPr>
      </w:pPr>
    </w:p>
  </w:footnote>
  <w:footnote w:id="30">
    <w:p w14:paraId="30AE6229" w14:textId="77777777" w:rsidR="00122D5E" w:rsidRPr="005775AF" w:rsidRDefault="00122D5E" w:rsidP="00122D5E">
      <w:pPr>
        <w:pStyle w:val="Textonotapie"/>
        <w:ind w:firstLine="709"/>
        <w:jc w:val="both"/>
        <w:rPr>
          <w:rFonts w:ascii="Verdana" w:hAnsi="Verdana"/>
          <w:sz w:val="14"/>
          <w:szCs w:val="14"/>
          <w:lang w:val="es-ES"/>
        </w:rPr>
      </w:pPr>
      <w:r w:rsidRPr="005775AF">
        <w:rPr>
          <w:rStyle w:val="Refdenotaalpie"/>
          <w:rFonts w:ascii="Verdana" w:hAnsi="Verdana"/>
          <w:sz w:val="14"/>
          <w:szCs w:val="14"/>
        </w:rPr>
        <w:footnoteRef/>
      </w:r>
      <w:r w:rsidRPr="005775AF">
        <w:rPr>
          <w:rFonts w:ascii="Verdana" w:hAnsi="Verdana"/>
          <w:sz w:val="14"/>
          <w:szCs w:val="14"/>
        </w:rPr>
        <w:t xml:space="preserve"> </w:t>
      </w:r>
      <w:r w:rsidRPr="005775AF">
        <w:rPr>
          <w:rFonts w:ascii="Verdana" w:hAnsi="Verdana"/>
          <w:sz w:val="14"/>
          <w:szCs w:val="14"/>
          <w:lang w:val="es-ES"/>
        </w:rPr>
        <w:t xml:space="preserve">Consejo de Estado. Sala de lo Contencioso Administrativo. Sección Tercera. Subsección B. Sentencia del 30 de abril de 2012. Radicado: </w:t>
      </w:r>
      <w:r w:rsidRPr="005775AF">
        <w:rPr>
          <w:rFonts w:ascii="Verdana" w:hAnsi="Verdana"/>
          <w:sz w:val="14"/>
          <w:szCs w:val="14"/>
          <w:lang w:val="es-CO"/>
        </w:rPr>
        <w:t xml:space="preserve">25000-23-26-000-1995-00704-01(21699). Consejera ponente: Ruth Stella Correa Palacio. </w:t>
      </w:r>
      <w:r w:rsidRPr="005775AF">
        <w:rPr>
          <w:rFonts w:ascii="Verdana" w:hAnsi="Verdana"/>
          <w:sz w:val="14"/>
          <w:szCs w:val="14"/>
          <w:lang w:val="es-ES"/>
        </w:rPr>
        <w:t xml:space="preserve"> </w:t>
      </w:r>
    </w:p>
  </w:footnote>
  <w:footnote w:id="31">
    <w:p w14:paraId="2CF87BBD" w14:textId="77777777" w:rsidR="00122D5E" w:rsidRPr="005775AF" w:rsidRDefault="00122D5E" w:rsidP="00122D5E">
      <w:pPr>
        <w:pStyle w:val="Textonotapie"/>
        <w:ind w:firstLine="708"/>
        <w:jc w:val="both"/>
        <w:rPr>
          <w:rFonts w:ascii="Verdana" w:hAnsi="Verdana" w:cs="Arial"/>
          <w:color w:val="000000" w:themeColor="text1"/>
          <w:sz w:val="14"/>
          <w:szCs w:val="14"/>
        </w:rPr>
      </w:pPr>
      <w:r w:rsidRPr="005775AF">
        <w:rPr>
          <w:rStyle w:val="Refdenotaalpie"/>
          <w:rFonts w:ascii="Verdana" w:hAnsi="Verdana" w:cs="Arial"/>
          <w:color w:val="000000" w:themeColor="text1"/>
          <w:sz w:val="14"/>
          <w:szCs w:val="14"/>
        </w:rPr>
        <w:footnoteRef/>
      </w:r>
      <w:r w:rsidRPr="005775AF">
        <w:rPr>
          <w:rFonts w:ascii="Verdana" w:hAnsi="Verdana" w:cs="Arial"/>
          <w:color w:val="000000" w:themeColor="text1"/>
          <w:sz w:val="14"/>
          <w:szCs w:val="14"/>
        </w:rPr>
        <w:t xml:space="preserve"> Ley 1150 de 2007: Artículo 3. De la contratación pública electrónica.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53AFC804" w14:textId="77777777" w:rsidR="00122D5E" w:rsidRPr="005775AF" w:rsidRDefault="00122D5E" w:rsidP="00122D5E">
      <w:pPr>
        <w:pStyle w:val="Textonotapie"/>
        <w:ind w:firstLine="708"/>
        <w:jc w:val="both"/>
        <w:rPr>
          <w:rFonts w:ascii="Verdana" w:hAnsi="Verdana" w:cs="Arial"/>
          <w:color w:val="000000" w:themeColor="text1"/>
          <w:sz w:val="14"/>
          <w:szCs w:val="14"/>
        </w:rPr>
      </w:pPr>
      <w:r w:rsidRPr="005775AF">
        <w:rPr>
          <w:rFonts w:ascii="Verdana" w:hAnsi="Verdana" w:cs="Arial"/>
          <w:color w:val="000000" w:themeColor="text1"/>
          <w:sz w:val="14"/>
          <w:szCs w:val="14"/>
        </w:rPr>
        <w:t>Lo anterior, sin perjuicio de las publicaciones previstas en el numeral 3 del artículo 30 de la Ley 80 de 1993.</w:t>
      </w:r>
    </w:p>
    <w:p w14:paraId="199930CD" w14:textId="77777777" w:rsidR="00122D5E" w:rsidRPr="005775AF" w:rsidRDefault="00122D5E" w:rsidP="00122D5E">
      <w:pPr>
        <w:pStyle w:val="Textonotapie"/>
        <w:ind w:firstLine="708"/>
        <w:jc w:val="both"/>
        <w:rPr>
          <w:rFonts w:ascii="Verdana" w:hAnsi="Verdana" w:cs="Arial"/>
          <w:color w:val="000000" w:themeColor="text1"/>
          <w:sz w:val="14"/>
          <w:szCs w:val="14"/>
        </w:rPr>
      </w:pPr>
      <w:r w:rsidRPr="005775AF">
        <w:rPr>
          <w:rFonts w:ascii="Verdana" w:hAnsi="Verdana" w:cs="Arial"/>
          <w:color w:val="000000" w:themeColor="text1"/>
          <w:sz w:val="14"/>
          <w:szCs w:val="14"/>
        </w:rPr>
        <w:t xml:space="preserve">Con el fin de materializar los objetivos a que se refiere el inciso anterior, el Gobierno Nacional desarrollará el Sistema Electrónico para la Contratación Pública, </w:t>
      </w:r>
      <w:proofErr w:type="spellStart"/>
      <w:r w:rsidRPr="005775AF">
        <w:rPr>
          <w:rFonts w:ascii="Verdana" w:hAnsi="Verdana" w:cs="Arial"/>
          <w:color w:val="000000" w:themeColor="text1"/>
          <w:sz w:val="14"/>
          <w:szCs w:val="14"/>
        </w:rPr>
        <w:t>Secop</w:t>
      </w:r>
      <w:proofErr w:type="spellEnd"/>
      <w:r w:rsidRPr="005775AF">
        <w:rPr>
          <w:rFonts w:ascii="Verdana" w:hAnsi="Verdana" w:cs="Arial"/>
          <w:color w:val="000000" w:themeColor="text1"/>
          <w:sz w:val="14"/>
          <w:szCs w:val="14"/>
        </w:rPr>
        <w:t>, el cual:</w:t>
      </w:r>
    </w:p>
    <w:p w14:paraId="24F1D8CE" w14:textId="77777777" w:rsidR="00122D5E" w:rsidRPr="005775AF" w:rsidRDefault="00122D5E" w:rsidP="00122D5E">
      <w:pPr>
        <w:pStyle w:val="Textonotapie"/>
        <w:ind w:firstLine="708"/>
        <w:jc w:val="both"/>
        <w:rPr>
          <w:rFonts w:ascii="Verdana" w:hAnsi="Verdana" w:cs="Arial"/>
          <w:color w:val="000000" w:themeColor="text1"/>
          <w:sz w:val="14"/>
          <w:szCs w:val="14"/>
        </w:rPr>
      </w:pPr>
      <w:r w:rsidRPr="005775AF">
        <w:rPr>
          <w:rFonts w:ascii="Verdana" w:hAnsi="Verdana" w:cs="Arial"/>
          <w:color w:val="000000" w:themeColor="text1"/>
          <w:sz w:val="14"/>
          <w:szCs w:val="14"/>
        </w:rPr>
        <w:t>a) Dispondrá de las funcionalidades tecnológicas para realizar procesos de contratación electrónicos bajo los métodos de selección señalados en el artículo 2o de la presente ley según lo defina el reglamento;</w:t>
      </w:r>
    </w:p>
    <w:p w14:paraId="6D171061" w14:textId="77777777" w:rsidR="00122D5E" w:rsidRPr="005775AF" w:rsidRDefault="00122D5E" w:rsidP="00122D5E">
      <w:pPr>
        <w:pStyle w:val="Textonotapie"/>
        <w:ind w:firstLine="708"/>
        <w:jc w:val="both"/>
        <w:rPr>
          <w:rFonts w:ascii="Verdana" w:hAnsi="Verdana" w:cs="Arial"/>
          <w:color w:val="000000" w:themeColor="text1"/>
          <w:sz w:val="14"/>
          <w:szCs w:val="14"/>
        </w:rPr>
      </w:pPr>
      <w:r w:rsidRPr="005775AF">
        <w:rPr>
          <w:rFonts w:ascii="Verdana" w:hAnsi="Verdana" w:cs="Arial"/>
          <w:color w:val="000000" w:themeColor="text1"/>
          <w:sz w:val="14"/>
          <w:szCs w:val="14"/>
        </w:rPr>
        <w:t>b) Servirá de punto único de ingreso de información y de generación de reportes para las entidades estatales y la ciudadanía;</w:t>
      </w:r>
    </w:p>
    <w:p w14:paraId="28DC4643" w14:textId="77777777" w:rsidR="00122D5E" w:rsidRPr="005775AF" w:rsidRDefault="00122D5E" w:rsidP="00122D5E">
      <w:pPr>
        <w:pStyle w:val="Textonotapie"/>
        <w:ind w:firstLine="708"/>
        <w:jc w:val="both"/>
        <w:rPr>
          <w:rFonts w:ascii="Verdana" w:hAnsi="Verdana" w:cs="Arial"/>
          <w:color w:val="000000" w:themeColor="text1"/>
          <w:sz w:val="14"/>
          <w:szCs w:val="14"/>
        </w:rPr>
      </w:pPr>
      <w:r w:rsidRPr="005775AF">
        <w:rPr>
          <w:rFonts w:ascii="Verdana" w:hAnsi="Verdana" w:cs="Arial"/>
          <w:color w:val="000000" w:themeColor="text1"/>
          <w:sz w:val="14"/>
          <w:szCs w:val="14"/>
        </w:rPr>
        <w:t>c) Contará con la información oficial de la contratación realizada con dineros públicos, para lo cual establecerá los patrones a que haya lugar y se encargará de su difusión a través de canales electrónicos y;</w:t>
      </w:r>
    </w:p>
    <w:p w14:paraId="258036E8" w14:textId="77777777" w:rsidR="00122D5E" w:rsidRPr="005775AF" w:rsidRDefault="00122D5E" w:rsidP="00122D5E">
      <w:pPr>
        <w:pStyle w:val="Textonotapie"/>
        <w:ind w:firstLine="708"/>
        <w:jc w:val="both"/>
        <w:rPr>
          <w:rFonts w:ascii="Verdana" w:hAnsi="Verdana" w:cs="Arial"/>
          <w:color w:val="000000" w:themeColor="text1"/>
          <w:sz w:val="14"/>
          <w:szCs w:val="14"/>
        </w:rPr>
      </w:pPr>
      <w:r w:rsidRPr="005775AF">
        <w:rPr>
          <w:rFonts w:ascii="Verdana" w:hAnsi="Verdana" w:cs="Arial"/>
          <w:color w:val="000000" w:themeColor="text1"/>
          <w:sz w:val="14"/>
          <w:szCs w:val="14"/>
        </w:rPr>
        <w:t>d) Integrará el Registro Único Empresarial de las Cámaras de Comercio, el Diario Único de Contratación Estatal y los demás sistemas que involucren la gestión contractual pública. Así mismo, se articulará con el Sistema de Información para la Vigilancia de la Contratación Estatal, SICE, creado por la Ley 598 de 2000, sin que este pierda su autonomía para el ejercicio del control fiscal a la contratación pública.</w:t>
      </w:r>
    </w:p>
    <w:p w14:paraId="42C72F75" w14:textId="77777777" w:rsidR="00122D5E" w:rsidRPr="005775AF" w:rsidRDefault="00122D5E" w:rsidP="00122D5E">
      <w:pPr>
        <w:pStyle w:val="Textonotapie"/>
        <w:jc w:val="both"/>
        <w:rPr>
          <w:rFonts w:ascii="Verdana" w:hAnsi="Verdana" w:cs="Arial"/>
          <w:color w:val="000000" w:themeColor="text1"/>
          <w:sz w:val="14"/>
          <w:szCs w:val="14"/>
        </w:rPr>
      </w:pPr>
    </w:p>
  </w:footnote>
  <w:footnote w:id="32">
    <w:p w14:paraId="6E7478CA" w14:textId="77777777" w:rsidR="00122D5E" w:rsidRPr="005775AF" w:rsidRDefault="00122D5E" w:rsidP="00122D5E">
      <w:pPr>
        <w:spacing w:line="276" w:lineRule="auto"/>
        <w:ind w:firstLine="709"/>
        <w:jc w:val="both"/>
        <w:rPr>
          <w:rFonts w:ascii="Verdana" w:eastAsia="Calibri" w:hAnsi="Verdana" w:cs="Arial"/>
          <w:sz w:val="14"/>
          <w:szCs w:val="14"/>
          <w:lang w:val="es-ES"/>
        </w:rPr>
      </w:pPr>
      <w:r w:rsidRPr="005775AF">
        <w:rPr>
          <w:rStyle w:val="Refdenotaalpie"/>
          <w:rFonts w:ascii="Verdana" w:hAnsi="Verdana"/>
          <w:sz w:val="14"/>
          <w:szCs w:val="14"/>
        </w:rPr>
        <w:footnoteRef/>
      </w:r>
      <w:r w:rsidRPr="005775AF">
        <w:rPr>
          <w:rFonts w:ascii="Verdana" w:hAnsi="Verdana"/>
          <w:sz w:val="14"/>
          <w:szCs w:val="14"/>
        </w:rPr>
        <w:t xml:space="preserve"> </w:t>
      </w:r>
      <w:r w:rsidRPr="005775AF">
        <w:rPr>
          <w:rFonts w:ascii="Verdana" w:eastAsia="Calibri" w:hAnsi="Verdana" w:cs="Arial"/>
          <w:sz w:val="14"/>
          <w:szCs w:val="14"/>
          <w:lang w:val="es-ES"/>
        </w:rPr>
        <w:t xml:space="preserve">Guía sobre el uso del SECOP II – Modalidades de contratación – Mínima cuantía. En </w:t>
      </w:r>
      <w:hyperlink r:id="rId3" w:history="1">
        <w:r w:rsidRPr="005775AF">
          <w:rPr>
            <w:rStyle w:val="Hipervnculo"/>
            <w:rFonts w:ascii="Verdana" w:eastAsia="Calibri" w:hAnsi="Verdana" w:cs="Arial"/>
            <w:sz w:val="14"/>
            <w:szCs w:val="14"/>
            <w:lang w:val="es-ES"/>
          </w:rPr>
          <w:t>cce-sec-gi-20guiasecopii_eemcminimacuantia20-04-2022_0-1.pdf</w:t>
        </w:r>
      </w:hyperlink>
    </w:p>
    <w:p w14:paraId="054ABCB2" w14:textId="77777777" w:rsidR="00122D5E" w:rsidRPr="00AD4683" w:rsidRDefault="00122D5E" w:rsidP="00122D5E">
      <w:pPr>
        <w:pStyle w:val="Textonotapie"/>
        <w:rPr>
          <w:rFonts w:ascii="Verdana" w:hAnsi="Verdana"/>
          <w:sz w:val="16"/>
          <w:szCs w:val="16"/>
        </w:rPr>
      </w:pPr>
    </w:p>
  </w:footnote>
  <w:footnote w:id="33">
    <w:p w14:paraId="1F35ADF1" w14:textId="77777777" w:rsidR="00122D5E" w:rsidRPr="005775AF" w:rsidRDefault="00122D5E" w:rsidP="00122D5E">
      <w:pPr>
        <w:pStyle w:val="Textonotapie"/>
        <w:ind w:firstLine="709"/>
        <w:jc w:val="both"/>
        <w:rPr>
          <w:rFonts w:ascii="Verdana" w:hAnsi="Verdana"/>
          <w:sz w:val="14"/>
          <w:szCs w:val="14"/>
          <w:lang w:val="es-ES"/>
        </w:rPr>
      </w:pPr>
      <w:r w:rsidRPr="005775AF">
        <w:rPr>
          <w:rStyle w:val="Refdenotaalpie"/>
          <w:rFonts w:ascii="Verdana" w:hAnsi="Verdana"/>
          <w:sz w:val="14"/>
          <w:szCs w:val="14"/>
        </w:rPr>
        <w:footnoteRef/>
      </w:r>
      <w:r w:rsidRPr="005775AF">
        <w:rPr>
          <w:rFonts w:ascii="Verdana" w:hAnsi="Verdana"/>
          <w:sz w:val="14"/>
          <w:szCs w:val="14"/>
        </w:rPr>
        <w:t xml:space="preserve"> </w:t>
      </w:r>
      <w:r w:rsidRPr="005775AF">
        <w:rPr>
          <w:rFonts w:ascii="Verdana" w:hAnsi="Verdana"/>
          <w:sz w:val="14"/>
          <w:szCs w:val="14"/>
          <w:lang w:val="es-ES"/>
        </w:rPr>
        <w:t xml:space="preserve">Guía de Procesos de contratación: Presentación de observaciones en el SECOP II. En </w:t>
      </w:r>
      <w:hyperlink r:id="rId4" w:history="1">
        <w:r w:rsidRPr="005775AF">
          <w:rPr>
            <w:rStyle w:val="Hipervnculo"/>
            <w:rFonts w:ascii="Verdana" w:hAnsi="Verdana"/>
            <w:sz w:val="14"/>
            <w:szCs w:val="14"/>
            <w:lang w:val="es-CO"/>
          </w:rPr>
          <w:t>cce-sec-gi-03provpcpresentarobservaciones07-09-2020.pdf</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59"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030B"/>
    <w:rsid w:val="0001237A"/>
    <w:rsid w:val="00016F78"/>
    <w:rsid w:val="000429B6"/>
    <w:rsid w:val="00046945"/>
    <w:rsid w:val="00061B2A"/>
    <w:rsid w:val="00061FAB"/>
    <w:rsid w:val="00082362"/>
    <w:rsid w:val="000A04D0"/>
    <w:rsid w:val="000A683E"/>
    <w:rsid w:val="000B19B9"/>
    <w:rsid w:val="000B413B"/>
    <w:rsid w:val="000D0334"/>
    <w:rsid w:val="000F6486"/>
    <w:rsid w:val="000F658A"/>
    <w:rsid w:val="00122D5E"/>
    <w:rsid w:val="00125105"/>
    <w:rsid w:val="00127233"/>
    <w:rsid w:val="00146353"/>
    <w:rsid w:val="001D5424"/>
    <w:rsid w:val="001E4177"/>
    <w:rsid w:val="001F7DC6"/>
    <w:rsid w:val="002421BB"/>
    <w:rsid w:val="0025796E"/>
    <w:rsid w:val="002707A2"/>
    <w:rsid w:val="002951A0"/>
    <w:rsid w:val="002962BC"/>
    <w:rsid w:val="002A093D"/>
    <w:rsid w:val="002A0DD0"/>
    <w:rsid w:val="002A49AC"/>
    <w:rsid w:val="002A64FD"/>
    <w:rsid w:val="002B4CBB"/>
    <w:rsid w:val="002C7A84"/>
    <w:rsid w:val="002E4FD9"/>
    <w:rsid w:val="002F4446"/>
    <w:rsid w:val="00305015"/>
    <w:rsid w:val="00322A85"/>
    <w:rsid w:val="00324168"/>
    <w:rsid w:val="003448F4"/>
    <w:rsid w:val="0037320A"/>
    <w:rsid w:val="00374F5E"/>
    <w:rsid w:val="00377E3E"/>
    <w:rsid w:val="003A002D"/>
    <w:rsid w:val="003A2F88"/>
    <w:rsid w:val="003A779E"/>
    <w:rsid w:val="003C36B3"/>
    <w:rsid w:val="003D0F4D"/>
    <w:rsid w:val="003D5B0D"/>
    <w:rsid w:val="003D665F"/>
    <w:rsid w:val="003E0499"/>
    <w:rsid w:val="003F3941"/>
    <w:rsid w:val="00406575"/>
    <w:rsid w:val="00414C74"/>
    <w:rsid w:val="0042722E"/>
    <w:rsid w:val="0044528D"/>
    <w:rsid w:val="00462AB4"/>
    <w:rsid w:val="004A1847"/>
    <w:rsid w:val="004A305D"/>
    <w:rsid w:val="004B5C18"/>
    <w:rsid w:val="004F21C4"/>
    <w:rsid w:val="004F685F"/>
    <w:rsid w:val="005566E8"/>
    <w:rsid w:val="00574867"/>
    <w:rsid w:val="00591460"/>
    <w:rsid w:val="005A7121"/>
    <w:rsid w:val="005C3777"/>
    <w:rsid w:val="005C5CDC"/>
    <w:rsid w:val="005D476C"/>
    <w:rsid w:val="005E2E2D"/>
    <w:rsid w:val="00611E54"/>
    <w:rsid w:val="00614067"/>
    <w:rsid w:val="006219F8"/>
    <w:rsid w:val="006302F7"/>
    <w:rsid w:val="00635252"/>
    <w:rsid w:val="00665D70"/>
    <w:rsid w:val="00686085"/>
    <w:rsid w:val="006900D9"/>
    <w:rsid w:val="006A760C"/>
    <w:rsid w:val="00706C16"/>
    <w:rsid w:val="00706E6F"/>
    <w:rsid w:val="0071320D"/>
    <w:rsid w:val="007447BF"/>
    <w:rsid w:val="00756841"/>
    <w:rsid w:val="007649AB"/>
    <w:rsid w:val="00771D0C"/>
    <w:rsid w:val="007833AC"/>
    <w:rsid w:val="007A1E26"/>
    <w:rsid w:val="007B268C"/>
    <w:rsid w:val="007B7171"/>
    <w:rsid w:val="007C0C0F"/>
    <w:rsid w:val="007C3DC2"/>
    <w:rsid w:val="007E5497"/>
    <w:rsid w:val="0080289E"/>
    <w:rsid w:val="00803CE4"/>
    <w:rsid w:val="00806F5F"/>
    <w:rsid w:val="00820278"/>
    <w:rsid w:val="00867BA1"/>
    <w:rsid w:val="00867F95"/>
    <w:rsid w:val="0087057A"/>
    <w:rsid w:val="008827DC"/>
    <w:rsid w:val="008843B6"/>
    <w:rsid w:val="00891928"/>
    <w:rsid w:val="00897A3A"/>
    <w:rsid w:val="008A446D"/>
    <w:rsid w:val="008A633D"/>
    <w:rsid w:val="008D180B"/>
    <w:rsid w:val="008F0EA7"/>
    <w:rsid w:val="00900C0D"/>
    <w:rsid w:val="00923EEF"/>
    <w:rsid w:val="009419F9"/>
    <w:rsid w:val="0095009D"/>
    <w:rsid w:val="0095685E"/>
    <w:rsid w:val="00961B09"/>
    <w:rsid w:val="00965334"/>
    <w:rsid w:val="0097093E"/>
    <w:rsid w:val="009A0A8D"/>
    <w:rsid w:val="009A0DFA"/>
    <w:rsid w:val="009B25A8"/>
    <w:rsid w:val="009B2D26"/>
    <w:rsid w:val="009C71FA"/>
    <w:rsid w:val="009C72E7"/>
    <w:rsid w:val="009D3058"/>
    <w:rsid w:val="009F3A13"/>
    <w:rsid w:val="00A122D3"/>
    <w:rsid w:val="00A17F13"/>
    <w:rsid w:val="00A20739"/>
    <w:rsid w:val="00A209DE"/>
    <w:rsid w:val="00A33C78"/>
    <w:rsid w:val="00A532EF"/>
    <w:rsid w:val="00A73216"/>
    <w:rsid w:val="00A939D8"/>
    <w:rsid w:val="00AB0ADB"/>
    <w:rsid w:val="00AF0E9C"/>
    <w:rsid w:val="00B00C0E"/>
    <w:rsid w:val="00B01B1A"/>
    <w:rsid w:val="00B24EDA"/>
    <w:rsid w:val="00B44A47"/>
    <w:rsid w:val="00B72CD3"/>
    <w:rsid w:val="00B72FFF"/>
    <w:rsid w:val="00BC3D36"/>
    <w:rsid w:val="00BD7F72"/>
    <w:rsid w:val="00BE0EB1"/>
    <w:rsid w:val="00C04FB3"/>
    <w:rsid w:val="00C11497"/>
    <w:rsid w:val="00C330EB"/>
    <w:rsid w:val="00C6576A"/>
    <w:rsid w:val="00C754BE"/>
    <w:rsid w:val="00C76B1C"/>
    <w:rsid w:val="00CB6357"/>
    <w:rsid w:val="00CC1B26"/>
    <w:rsid w:val="00D31F47"/>
    <w:rsid w:val="00D338F9"/>
    <w:rsid w:val="00D423A2"/>
    <w:rsid w:val="00D520D8"/>
    <w:rsid w:val="00D620EE"/>
    <w:rsid w:val="00D63AC2"/>
    <w:rsid w:val="00D7383B"/>
    <w:rsid w:val="00DA231B"/>
    <w:rsid w:val="00DC39FC"/>
    <w:rsid w:val="00DF5254"/>
    <w:rsid w:val="00E16408"/>
    <w:rsid w:val="00E20894"/>
    <w:rsid w:val="00E245AB"/>
    <w:rsid w:val="00E2764C"/>
    <w:rsid w:val="00E27F2E"/>
    <w:rsid w:val="00E50AFE"/>
    <w:rsid w:val="00E740A7"/>
    <w:rsid w:val="00E75C92"/>
    <w:rsid w:val="00E771DC"/>
    <w:rsid w:val="00E8772A"/>
    <w:rsid w:val="00E90F6B"/>
    <w:rsid w:val="00E92C27"/>
    <w:rsid w:val="00EA0E3D"/>
    <w:rsid w:val="00EC38A7"/>
    <w:rsid w:val="00EE1AA8"/>
    <w:rsid w:val="00F20DF8"/>
    <w:rsid w:val="00F31EDC"/>
    <w:rsid w:val="00F462B3"/>
    <w:rsid w:val="00F5664F"/>
    <w:rsid w:val="00F666C4"/>
    <w:rsid w:val="00F73127"/>
    <w:rsid w:val="00F76AFC"/>
    <w:rsid w:val="00F8505D"/>
    <w:rsid w:val="00FA47C0"/>
    <w:rsid w:val="00FB5DD1"/>
    <w:rsid w:val="00FC2B5D"/>
    <w:rsid w:val="00FD113B"/>
    <w:rsid w:val="00FE3F67"/>
    <w:rsid w:val="00FF1449"/>
    <w:rsid w:val="00FF560C"/>
    <w:rsid w:val="515BCCA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122D5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22D5E"/>
    <w:rPr>
      <w:rFonts w:ascii="Geomanist Light" w:hAnsi="Geomanist Light"/>
      <w:lang w:val="es-ES"/>
    </w:rPr>
  </w:style>
  <w:style w:type="character" w:customStyle="1" w:styleId="NormalWebCar">
    <w:name w:val="Normal (Web) Car"/>
    <w:link w:val="NormalWeb"/>
    <w:uiPriority w:val="99"/>
    <w:locked/>
    <w:rsid w:val="00122D5E"/>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1"/>
    <w:qFormat/>
    <w:rsid w:val="00122D5E"/>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122D5E"/>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wp-content/uploads/2024/08/manual_de_la_modalidad_de_seleccion_de_minima_cuantia.pdf"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dianalmm@yahoo.com" TargetMode="External"/><Relationship Id="rId17" Type="http://schemas.openxmlformats.org/officeDocument/2006/relationships/hyperlink" Target="http://www.colombiacompra.gov.co" TargetMode="External"/><Relationship Id="rId2" Type="http://schemas.openxmlformats.org/officeDocument/2006/relationships/customXml" Target="../customXml/item2.xml"/><Relationship Id="rId16" Type="http://schemas.openxmlformats.org/officeDocument/2006/relationships/hyperlink" Target="https://relatoria.colombiacompra.gov.co/busqueda/concepto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operaciones.colombiacompra.gov.co/sites/cce_public/files/cce_step/cce-sec-gi-03provpcpresentarobservaciones07-09-2020.pdf"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wp-content/uploads/2024/10/cce-sec-gi-20guiasecopii_eemcminimacuantia20-04-2022_0-1.pdf"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wp-content/uploads/2024/10/cce-sec-gi-20guiasecopii_eemcminimacuantia20-04-2022_0-1.pdf" TargetMode="External"/><Relationship Id="rId2" Type="http://schemas.openxmlformats.org/officeDocument/2006/relationships/hyperlink" Target="https://colombiacompra.gov.co/wp-content/uploads/2024/08/manual_de_la_modalidad_de_seleccion_de_minima_cuantia.pdf" TargetMode="External"/><Relationship Id="rId1" Type="http://schemas.openxmlformats.org/officeDocument/2006/relationships/hyperlink" Target="https://colombiacompra.gov.co/wp-content/uploads/2024/10/umbral_de_mipymes_2025_oali.pdf" TargetMode="External"/><Relationship Id="rId4" Type="http://schemas.openxmlformats.org/officeDocument/2006/relationships/hyperlink" Target="https://operaciones.colombiacompra.gov.co/sites/cce_public/files/cce_step/cce-sec-gi-03provpcpresentarobservaciones07-09-202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3C9D35F-FEC9-4246-81B2-AFD002B7A09D}"/>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A87FF2C3-BA8D-4C01-896A-C80A4E53A0CF}">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46</Pages>
  <Words>16842</Words>
  <Characters>89769</Characters>
  <Application>Microsoft Office Word</Application>
  <DocSecurity>0</DocSecurity>
  <Lines>1632</Lines>
  <Paragraphs>312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106299</CharactersWithSpaces>
  <SharedDoc>false</SharedDoc>
  <HLinks>
    <vt:vector size="60" baseType="variant">
      <vt:variant>
        <vt:i4>6029407</vt:i4>
      </vt:variant>
      <vt:variant>
        <vt:i4>15</vt:i4>
      </vt:variant>
      <vt:variant>
        <vt:i4>0</vt:i4>
      </vt:variant>
      <vt:variant>
        <vt:i4>5</vt:i4>
      </vt:variant>
      <vt:variant>
        <vt:lpwstr>http://www.colombiacompra.gov.co/</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6750258</vt:i4>
      </vt:variant>
      <vt:variant>
        <vt:i4>9</vt:i4>
      </vt:variant>
      <vt:variant>
        <vt:i4>0</vt:i4>
      </vt:variant>
      <vt:variant>
        <vt:i4>5</vt:i4>
      </vt:variant>
      <vt:variant>
        <vt:lpwstr>https://operaciones.colombiacompra.gov.co/sites/cce_public/files/cce_step/cce-sec-gi-03provpcpresentarobservaciones07-09-2020.pdf</vt:lpwstr>
      </vt:variant>
      <vt:variant>
        <vt:lpwstr/>
      </vt:variant>
      <vt:variant>
        <vt:i4>5373964</vt:i4>
      </vt:variant>
      <vt:variant>
        <vt:i4>6</vt:i4>
      </vt:variant>
      <vt:variant>
        <vt:i4>0</vt:i4>
      </vt:variant>
      <vt:variant>
        <vt:i4>5</vt:i4>
      </vt:variant>
      <vt:variant>
        <vt:lpwstr>https://www.colombiacompra.gov.co/wp-content/uploads/2024/10/cce-sec-gi-20guiasecopii_eemcminimacuantia20-04-2022_0-1.pdf</vt:lpwstr>
      </vt:variant>
      <vt:variant>
        <vt:lpwstr/>
      </vt:variant>
      <vt:variant>
        <vt:i4>3539003</vt:i4>
      </vt:variant>
      <vt:variant>
        <vt:i4>3</vt:i4>
      </vt:variant>
      <vt:variant>
        <vt:i4>0</vt:i4>
      </vt:variant>
      <vt:variant>
        <vt:i4>5</vt:i4>
      </vt:variant>
      <vt:variant>
        <vt:lpwstr>https://colombiacompra.gov.co/wp-content/uploads/2024/08/manual_de_la_modalidad_de_seleccion_de_minima_cuantia.pdf</vt:lpwstr>
      </vt:variant>
      <vt:variant>
        <vt:lpwstr/>
      </vt:variant>
      <vt:variant>
        <vt:i4>6553681</vt:i4>
      </vt:variant>
      <vt:variant>
        <vt:i4>0</vt:i4>
      </vt:variant>
      <vt:variant>
        <vt:i4>0</vt:i4>
      </vt:variant>
      <vt:variant>
        <vt:i4>5</vt:i4>
      </vt:variant>
      <vt:variant>
        <vt:lpwstr>mailto:dianalmm@yahoo.com</vt:lpwstr>
      </vt:variant>
      <vt:variant>
        <vt:lpwstr/>
      </vt:variant>
      <vt:variant>
        <vt:i4>6750258</vt:i4>
      </vt:variant>
      <vt:variant>
        <vt:i4>9</vt:i4>
      </vt:variant>
      <vt:variant>
        <vt:i4>0</vt:i4>
      </vt:variant>
      <vt:variant>
        <vt:i4>5</vt:i4>
      </vt:variant>
      <vt:variant>
        <vt:lpwstr>https://operaciones.colombiacompra.gov.co/sites/cce_public/files/cce_step/cce-sec-gi-03provpcpresentarobservaciones07-09-2020.pdf</vt:lpwstr>
      </vt:variant>
      <vt:variant>
        <vt:lpwstr/>
      </vt:variant>
      <vt:variant>
        <vt:i4>5373964</vt:i4>
      </vt:variant>
      <vt:variant>
        <vt:i4>6</vt:i4>
      </vt:variant>
      <vt:variant>
        <vt:i4>0</vt:i4>
      </vt:variant>
      <vt:variant>
        <vt:i4>5</vt:i4>
      </vt:variant>
      <vt:variant>
        <vt:lpwstr>https://www.colombiacompra.gov.co/wp-content/uploads/2024/10/cce-sec-gi-20guiasecopii_eemcminimacuantia20-04-2022_0-1.pdf</vt:lpwstr>
      </vt:variant>
      <vt:variant>
        <vt:lpwstr/>
      </vt:variant>
      <vt:variant>
        <vt:i4>3539003</vt:i4>
      </vt:variant>
      <vt:variant>
        <vt:i4>3</vt:i4>
      </vt:variant>
      <vt:variant>
        <vt:i4>0</vt:i4>
      </vt:variant>
      <vt:variant>
        <vt:i4>5</vt:i4>
      </vt:variant>
      <vt:variant>
        <vt:lpwstr>https://colombiacompra.gov.co/wp-content/uploads/2024/08/manual_de_la_modalidad_de_seleccion_de_minima_cuantia.pdf</vt:lpwstr>
      </vt:variant>
      <vt:variant>
        <vt:lpwstr/>
      </vt:variant>
      <vt:variant>
        <vt:i4>4653143</vt:i4>
      </vt:variant>
      <vt:variant>
        <vt:i4>0</vt:i4>
      </vt:variant>
      <vt:variant>
        <vt:i4>0</vt:i4>
      </vt:variant>
      <vt:variant>
        <vt:i4>5</vt:i4>
      </vt:variant>
      <vt:variant>
        <vt:lpwstr>https://colombiacompra.gov.co/wp-content/uploads/2024/10/umbral_de_mipymes_2025_oali.pdf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3</cp:revision>
  <cp:lastPrinted>2023-01-10T21:18:00Z</cp:lastPrinted>
  <dcterms:created xsi:type="dcterms:W3CDTF">2025-10-04T03:28:00Z</dcterms:created>
  <dcterms:modified xsi:type="dcterms:W3CDTF">2025-10-04T03:28:00Z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