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FFF3F" w14:textId="77777777" w:rsidR="002A22D8" w:rsidRPr="00A7167F" w:rsidRDefault="002A22D8" w:rsidP="002A22D8">
      <w:pPr>
        <w:spacing w:after="0" w:line="240" w:lineRule="auto"/>
        <w:jc w:val="both"/>
        <w:rPr>
          <w:rFonts w:ascii="Verdana" w:eastAsia="Calibri" w:hAnsi="Verdana" w:cs="Arial"/>
          <w:b/>
        </w:rPr>
      </w:pPr>
      <w:bookmarkStart w:id="0" w:name="_Hlk181166130"/>
      <w:bookmarkStart w:id="1" w:name="_Hlk209714638"/>
      <w:r w:rsidRPr="00A7167F">
        <w:rPr>
          <w:rFonts w:ascii="Verdana" w:eastAsia="Calibri" w:hAnsi="Verdana" w:cs="Arial"/>
          <w:b/>
        </w:rPr>
        <w:t>CONTRATO ESTATAL – Ejercicio – Funciones de control y vigilancia</w:t>
      </w:r>
    </w:p>
    <w:p w14:paraId="271FD8BF" w14:textId="77777777" w:rsidR="002A22D8" w:rsidRPr="00A7167F" w:rsidRDefault="002A22D8" w:rsidP="002A22D8">
      <w:pPr>
        <w:spacing w:after="0" w:line="240" w:lineRule="auto"/>
        <w:jc w:val="both"/>
        <w:rPr>
          <w:rFonts w:ascii="Verdana" w:eastAsia="Calibri" w:hAnsi="Verdana" w:cs="Arial"/>
          <w:b/>
          <w:sz w:val="20"/>
          <w:szCs w:val="20"/>
        </w:rPr>
      </w:pPr>
    </w:p>
    <w:p w14:paraId="0BCAEE75" w14:textId="77777777" w:rsidR="002A22D8" w:rsidRPr="00A7167F" w:rsidRDefault="002A22D8" w:rsidP="002A22D8">
      <w:pPr>
        <w:spacing w:after="0" w:line="240" w:lineRule="auto"/>
        <w:jc w:val="both"/>
        <w:rPr>
          <w:rFonts w:ascii="Verdana" w:hAnsi="Verdana" w:cs="Arial"/>
          <w:bCs/>
          <w:sz w:val="20"/>
          <w:szCs w:val="20"/>
          <w:lang w:eastAsia="es-MX"/>
        </w:rPr>
      </w:pPr>
      <w:r w:rsidRPr="00A7167F">
        <w:rPr>
          <w:rFonts w:ascii="Verdana" w:hAnsi="Verdana" w:cs="Arial"/>
          <w:bCs/>
          <w:sz w:val="20"/>
          <w:szCs w:val="20"/>
          <w:lang w:eastAsia="es-MX"/>
        </w:rPr>
        <w:t>[…]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32AB488" w14:textId="77777777" w:rsidR="002A22D8" w:rsidRPr="00A7167F" w:rsidRDefault="002A22D8" w:rsidP="002A22D8">
      <w:pPr>
        <w:spacing w:after="0" w:line="240" w:lineRule="auto"/>
        <w:jc w:val="both"/>
        <w:rPr>
          <w:rFonts w:ascii="Verdana" w:eastAsia="Calibri" w:hAnsi="Verdana" w:cs="Arial"/>
          <w:bCs/>
          <w:sz w:val="20"/>
          <w:szCs w:val="20"/>
        </w:rPr>
      </w:pPr>
    </w:p>
    <w:p w14:paraId="185C7776" w14:textId="77777777" w:rsidR="002A22D8" w:rsidRPr="00A7167F" w:rsidRDefault="002A22D8" w:rsidP="002A22D8">
      <w:pPr>
        <w:spacing w:after="0" w:line="240" w:lineRule="auto"/>
        <w:jc w:val="both"/>
        <w:rPr>
          <w:rFonts w:ascii="Verdana" w:eastAsia="Calibri" w:hAnsi="Verdana" w:cs="Arial"/>
          <w:b/>
        </w:rPr>
      </w:pPr>
      <w:r w:rsidRPr="00A7167F">
        <w:rPr>
          <w:rFonts w:ascii="Verdana" w:eastAsia="Calibri" w:hAnsi="Verdana" w:cs="Arial"/>
          <w:b/>
        </w:rPr>
        <w:t xml:space="preserve">CONTRATO ESTATAL – Funciones de control y vigilancia </w:t>
      </w:r>
    </w:p>
    <w:p w14:paraId="2E5FAA3C" w14:textId="77777777" w:rsidR="002A22D8" w:rsidRPr="00A7167F" w:rsidRDefault="002A22D8" w:rsidP="002A22D8">
      <w:pPr>
        <w:spacing w:after="0" w:line="240" w:lineRule="auto"/>
        <w:jc w:val="both"/>
        <w:rPr>
          <w:rFonts w:ascii="Verdana" w:eastAsia="Calibri" w:hAnsi="Verdana" w:cs="Arial"/>
          <w:b/>
          <w:sz w:val="20"/>
          <w:szCs w:val="20"/>
        </w:rPr>
      </w:pPr>
    </w:p>
    <w:p w14:paraId="27128B67" w14:textId="77777777" w:rsidR="002A22D8" w:rsidRDefault="002A22D8" w:rsidP="002A22D8">
      <w:pPr>
        <w:pStyle w:val="Sinespaciado"/>
        <w:jc w:val="both"/>
        <w:rPr>
          <w:rFonts w:ascii="Verdana" w:hAnsi="Verdana" w:cs="Arial"/>
          <w:sz w:val="20"/>
          <w:szCs w:val="20"/>
        </w:rPr>
      </w:pPr>
      <w:r w:rsidRPr="00A7167F">
        <w:rPr>
          <w:rFonts w:ascii="Verdana" w:hAnsi="Verdana" w:cs="Arial"/>
          <w:sz w:val="20"/>
          <w:szCs w:val="20"/>
        </w:rPr>
        <w:t xml:space="preserve">[…] Particularmente, la Ley 1474 de 2011 enmarcó el seguimiento, control y vigilancia de la ejecución del contrato estatal dentro del principio de moralidad administrativa. El artículo 83 </w:t>
      </w:r>
      <w:r w:rsidRPr="00A7167F">
        <w:rPr>
          <w:rFonts w:ascii="Verdana" w:hAnsi="Verdana" w:cs="Arial"/>
          <w:i/>
          <w:iCs/>
          <w:sz w:val="20"/>
          <w:szCs w:val="20"/>
        </w:rPr>
        <w:t xml:space="preserve">ibidem </w:t>
      </w:r>
      <w:r w:rsidRPr="00A7167F">
        <w:rPr>
          <w:rFonts w:ascii="Verdana" w:hAnsi="Verdana" w:cs="Arial"/>
          <w:sz w:val="20"/>
          <w:szCs w:val="20"/>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0D7AAC76" w14:textId="77777777" w:rsidR="002A22D8" w:rsidRPr="00A7167F" w:rsidRDefault="002A22D8" w:rsidP="002A22D8">
      <w:pPr>
        <w:pStyle w:val="Sinespaciado"/>
        <w:jc w:val="both"/>
        <w:rPr>
          <w:rFonts w:ascii="Verdana" w:hAnsi="Verdana" w:cs="Arial"/>
          <w:sz w:val="20"/>
          <w:szCs w:val="20"/>
        </w:rPr>
      </w:pPr>
    </w:p>
    <w:p w14:paraId="4763AEA0" w14:textId="77777777" w:rsidR="002A22D8" w:rsidRPr="005C2C6F" w:rsidRDefault="002A22D8" w:rsidP="002A22D8">
      <w:pPr>
        <w:spacing w:after="0" w:line="240" w:lineRule="auto"/>
        <w:jc w:val="both"/>
        <w:rPr>
          <w:rFonts w:ascii="Verdana" w:eastAsia="Calibri" w:hAnsi="Verdana" w:cs="Arial"/>
          <w:b/>
          <w:lang w:val="es-ES_tradnl"/>
        </w:rPr>
      </w:pPr>
      <w:r w:rsidRPr="005C2C6F">
        <w:rPr>
          <w:rFonts w:ascii="Verdana" w:eastAsia="Calibri" w:hAnsi="Verdana" w:cs="Arial"/>
          <w:b/>
          <w:lang w:val="es-ES_tradnl"/>
        </w:rPr>
        <w:t>LIQUIDACIÓN DEL CONTRATO – Definición – Objetivo</w:t>
      </w:r>
    </w:p>
    <w:p w14:paraId="562F1640" w14:textId="77777777" w:rsidR="002A22D8" w:rsidRDefault="002A22D8" w:rsidP="002A22D8">
      <w:pPr>
        <w:spacing w:after="0" w:line="240" w:lineRule="auto"/>
        <w:jc w:val="both"/>
        <w:rPr>
          <w:rFonts w:ascii="Verdana" w:eastAsia="Calibri" w:hAnsi="Verdana" w:cs="Arial"/>
          <w:sz w:val="20"/>
          <w:szCs w:val="20"/>
          <w:lang w:val="es-ES_tradnl"/>
        </w:rPr>
      </w:pPr>
    </w:p>
    <w:p w14:paraId="67758531" w14:textId="77777777" w:rsidR="002A22D8" w:rsidRPr="00A7167F" w:rsidRDefault="002A22D8" w:rsidP="002A22D8">
      <w:pPr>
        <w:spacing w:after="0" w:line="240" w:lineRule="auto"/>
        <w:jc w:val="both"/>
        <w:rPr>
          <w:rFonts w:ascii="Verdana" w:eastAsia="Calibri" w:hAnsi="Verdana" w:cs="Arial"/>
          <w:sz w:val="20"/>
          <w:szCs w:val="20"/>
          <w:lang w:val="es-ES_tradnl"/>
        </w:rPr>
      </w:pPr>
      <w:r w:rsidRPr="00A7167F">
        <w:rPr>
          <w:rFonts w:ascii="Verdana" w:eastAsia="Calibri" w:hAnsi="Verdana" w:cs="Arial"/>
          <w:sz w:val="20"/>
          <w:szCs w:val="20"/>
          <w:lang w:val="es-ES_tradnl"/>
        </w:rPr>
        <w:t xml:space="preserv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 </w:t>
      </w:r>
    </w:p>
    <w:p w14:paraId="228390E1" w14:textId="77777777" w:rsidR="002A22D8" w:rsidRPr="00A7167F" w:rsidRDefault="002A22D8" w:rsidP="002A22D8">
      <w:pPr>
        <w:spacing w:after="0" w:line="240" w:lineRule="auto"/>
        <w:jc w:val="both"/>
        <w:rPr>
          <w:rFonts w:ascii="Verdana" w:hAnsi="Verdana" w:cs="Arial"/>
          <w:sz w:val="20"/>
          <w:szCs w:val="20"/>
          <w:lang w:val="es-MX"/>
        </w:rPr>
      </w:pPr>
    </w:p>
    <w:p w14:paraId="2C59C6AE" w14:textId="77777777" w:rsidR="002A22D8" w:rsidRPr="00A7167F" w:rsidRDefault="002A22D8" w:rsidP="002A22D8">
      <w:pPr>
        <w:spacing w:after="0" w:line="240" w:lineRule="auto"/>
        <w:jc w:val="both"/>
        <w:rPr>
          <w:rFonts w:ascii="Verdana" w:eastAsia="Calibri" w:hAnsi="Verdana" w:cs="Arial"/>
          <w:bCs/>
          <w:sz w:val="20"/>
          <w:szCs w:val="20"/>
          <w:lang w:val="es-ES_tradnl"/>
        </w:rPr>
      </w:pPr>
      <w:r w:rsidRPr="00A7167F">
        <w:rPr>
          <w:rFonts w:ascii="Verdana" w:eastAsia="Times New Roman" w:hAnsi="Verdana" w:cs="Arial"/>
          <w:sz w:val="20"/>
          <w:szCs w:val="20"/>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A7167F">
        <w:rPr>
          <w:rFonts w:ascii="Verdana" w:eastAsia="Times New Roman" w:hAnsi="Verdana" w:cs="Arial"/>
          <w:i/>
          <w:iCs/>
          <w:sz w:val="20"/>
          <w:szCs w:val="20"/>
          <w:lang w:val="es-ES_tradnl" w:eastAsia="es-ES_tradnl"/>
        </w:rPr>
        <w:t>liquidar</w:t>
      </w:r>
      <w:r w:rsidRPr="00A7167F">
        <w:rPr>
          <w:rFonts w:ascii="Verdana" w:eastAsia="Times New Roman" w:hAnsi="Verdana" w:cs="Arial"/>
          <w:sz w:val="20"/>
          <w:szCs w:val="20"/>
          <w:lang w:val="es-ES_tradnl" w:eastAsia="es-ES_tradnl"/>
        </w:rPr>
        <w:t xml:space="preserve"> supone un ajuste en relación con las cuentas y el estado de cumplimiento del contrato estatal y, por el otro, que la </w:t>
      </w:r>
      <w:r w:rsidRPr="00A7167F">
        <w:rPr>
          <w:rFonts w:ascii="Verdana" w:eastAsia="Times New Roman" w:hAnsi="Verdana" w:cs="Arial"/>
          <w:i/>
          <w:iCs/>
          <w:sz w:val="20"/>
          <w:szCs w:val="20"/>
          <w:lang w:val="es-ES_tradnl" w:eastAsia="es-ES_tradnl"/>
        </w:rPr>
        <w:t>liquidación</w:t>
      </w:r>
      <w:r w:rsidRPr="00A7167F">
        <w:rPr>
          <w:rFonts w:ascii="Verdana" w:eastAsia="Times New Roman" w:hAnsi="Verdana" w:cs="Arial"/>
          <w:sz w:val="20"/>
          <w:szCs w:val="20"/>
          <w:lang w:val="es-ES_tradnl" w:eastAsia="es-ES_tradnl"/>
        </w:rPr>
        <w:t xml:space="preserve"> debe incluir el análisis de las condiciones de calidad y oportunidad en la entrega de los bienes, obras o servicios, así como el balance económico y el comportamiento financiero del negocio.</w:t>
      </w:r>
    </w:p>
    <w:p w14:paraId="0B27CADE" w14:textId="77777777" w:rsidR="002A22D8" w:rsidRDefault="002A22D8" w:rsidP="002A22D8">
      <w:pPr>
        <w:spacing w:after="0" w:line="240" w:lineRule="auto"/>
        <w:jc w:val="both"/>
        <w:rPr>
          <w:rFonts w:ascii="Verdana" w:eastAsia="Calibri" w:hAnsi="Verdana" w:cs="Arial"/>
          <w:bCs/>
          <w:sz w:val="20"/>
          <w:szCs w:val="20"/>
          <w:lang w:val="es-ES_tradnl"/>
        </w:rPr>
      </w:pPr>
    </w:p>
    <w:p w14:paraId="109E6F55" w14:textId="77777777" w:rsidR="002A22D8" w:rsidRPr="005C2C6F" w:rsidRDefault="002A22D8" w:rsidP="002A22D8">
      <w:pPr>
        <w:spacing w:after="0" w:line="240" w:lineRule="auto"/>
        <w:jc w:val="both"/>
        <w:rPr>
          <w:rFonts w:ascii="Verdana" w:eastAsia="Calibri" w:hAnsi="Verdana" w:cs="Arial"/>
          <w:b/>
          <w:lang w:val="es-ES_tradnl"/>
        </w:rPr>
      </w:pPr>
      <w:r w:rsidRPr="005C2C6F">
        <w:rPr>
          <w:rFonts w:ascii="Verdana" w:eastAsia="Calibri" w:hAnsi="Verdana" w:cs="Arial"/>
          <w:b/>
          <w:lang w:val="es-ES_tradnl"/>
        </w:rPr>
        <w:t>LIQUIDACIÓN DEL CONTRATO – Normativa</w:t>
      </w:r>
    </w:p>
    <w:p w14:paraId="2921CAB3" w14:textId="77777777" w:rsidR="002A22D8" w:rsidRDefault="002A22D8" w:rsidP="002A22D8">
      <w:pPr>
        <w:spacing w:after="0" w:line="240" w:lineRule="auto"/>
        <w:jc w:val="both"/>
        <w:rPr>
          <w:rFonts w:ascii="Verdana" w:eastAsia="Calibri" w:hAnsi="Verdana" w:cs="Arial"/>
          <w:sz w:val="20"/>
          <w:szCs w:val="20"/>
          <w:lang w:val="es-ES_tradnl"/>
        </w:rPr>
      </w:pPr>
    </w:p>
    <w:p w14:paraId="1069FF0F" w14:textId="77777777" w:rsidR="002A22D8" w:rsidRPr="00A7167F" w:rsidRDefault="002A22D8" w:rsidP="002A22D8">
      <w:pPr>
        <w:spacing w:after="0" w:line="240" w:lineRule="auto"/>
        <w:jc w:val="both"/>
        <w:rPr>
          <w:rFonts w:ascii="Verdana" w:eastAsia="Times New Roman" w:hAnsi="Verdana" w:cs="Arial"/>
          <w:sz w:val="20"/>
          <w:szCs w:val="20"/>
          <w:lang w:val="es-ES_tradnl" w:eastAsia="es-ES_tradnl"/>
        </w:rPr>
      </w:pPr>
      <w:r w:rsidRPr="00A7167F">
        <w:rPr>
          <w:rFonts w:ascii="Verdana" w:eastAsia="Calibri" w:hAnsi="Verdana" w:cs="Arial"/>
          <w:sz w:val="20"/>
          <w:szCs w:val="20"/>
          <w:lang w:val="es-ES_tradn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4D6AA79C" w14:textId="77777777" w:rsidR="002A22D8" w:rsidRPr="00A7167F" w:rsidRDefault="002A22D8" w:rsidP="002A22D8">
      <w:pPr>
        <w:spacing w:after="0" w:line="240" w:lineRule="auto"/>
        <w:jc w:val="both"/>
        <w:rPr>
          <w:rFonts w:ascii="Verdana" w:eastAsia="Calibri" w:hAnsi="Verdana" w:cs="Arial"/>
          <w:bCs/>
          <w:sz w:val="20"/>
          <w:szCs w:val="20"/>
          <w:lang w:val="es-ES_tradnl"/>
        </w:rPr>
      </w:pPr>
    </w:p>
    <w:p w14:paraId="0FACD840" w14:textId="77777777" w:rsidR="002A22D8" w:rsidRPr="005C2C6F" w:rsidRDefault="002A22D8" w:rsidP="002A22D8">
      <w:pPr>
        <w:spacing w:after="0" w:line="240" w:lineRule="auto"/>
        <w:jc w:val="both"/>
        <w:rPr>
          <w:rFonts w:ascii="Verdana" w:hAnsi="Verdana" w:cs="Arial"/>
          <w:b/>
          <w:lang w:val="es-ES_tradnl" w:eastAsia="es-ES"/>
        </w:rPr>
      </w:pPr>
      <w:r w:rsidRPr="005C2C6F">
        <w:rPr>
          <w:rFonts w:ascii="Verdana" w:eastAsia="Calibri" w:hAnsi="Verdana" w:cs="Arial"/>
          <w:b/>
          <w:lang w:val="es-ES_tradnl"/>
        </w:rPr>
        <w:t>L</w:t>
      </w:r>
      <w:r w:rsidRPr="005C2C6F">
        <w:rPr>
          <w:rFonts w:ascii="Verdana" w:hAnsi="Verdana" w:cs="Arial"/>
          <w:b/>
          <w:lang w:val="es-ES_tradnl" w:eastAsia="es-ES"/>
        </w:rPr>
        <w:t>IQUIDACIÓN – Competencia de la administración</w:t>
      </w:r>
    </w:p>
    <w:p w14:paraId="74F0DB26" w14:textId="77777777" w:rsidR="002A22D8" w:rsidRDefault="002A22D8" w:rsidP="002A22D8">
      <w:pPr>
        <w:spacing w:after="0" w:line="240" w:lineRule="auto"/>
        <w:jc w:val="both"/>
        <w:rPr>
          <w:rFonts w:ascii="Verdana" w:hAnsi="Verdana"/>
          <w:sz w:val="20"/>
          <w:szCs w:val="20"/>
        </w:rPr>
      </w:pPr>
    </w:p>
    <w:p w14:paraId="57144115" w14:textId="77777777" w:rsidR="002A22D8" w:rsidRPr="00A7167F" w:rsidRDefault="002A22D8" w:rsidP="002A22D8">
      <w:pPr>
        <w:spacing w:after="0" w:line="240" w:lineRule="auto"/>
        <w:jc w:val="both"/>
        <w:rPr>
          <w:rFonts w:ascii="Verdana" w:hAnsi="Verdana"/>
          <w:sz w:val="20"/>
          <w:szCs w:val="20"/>
        </w:rPr>
      </w:pPr>
      <w:r w:rsidRPr="00A7167F">
        <w:rPr>
          <w:rFonts w:ascii="Verdana" w:hAnsi="Verdana"/>
          <w:sz w:val="20"/>
          <w:szCs w:val="20"/>
        </w:rPr>
        <w:t xml:space="preserve">Conforme a lo expuesto, la competencia para realizar una actuación administrativa – como es el caso de la liquidación de un contrato – debe estar contemplada en el ordenamiento jurídico de forma expresa y precisa y solo podrá ser ejercida en las circunstancias de tiempo, modo y lugar que el mismo ordenamiento contemple. Así las cosas, en cada evento, será necesario determinar el funcionario que dentro de la Entidad Estatal ostenta la competencia para realizar la liquidación de los contratos estatales en el momento en que esta se va a efectuar. Dicha competencia puede estar establecida en el manual de funciones o incluso en los documentos del Proceso de Contratación, sin que sea necesario que se expida un acto administrativo de delegación. </w:t>
      </w:r>
    </w:p>
    <w:p w14:paraId="3F119B45" w14:textId="77777777" w:rsidR="002A22D8" w:rsidRPr="00A7167F" w:rsidRDefault="002A22D8" w:rsidP="002A22D8">
      <w:pPr>
        <w:spacing w:after="0" w:line="240" w:lineRule="auto"/>
        <w:jc w:val="both"/>
        <w:rPr>
          <w:sz w:val="20"/>
          <w:szCs w:val="20"/>
        </w:rPr>
      </w:pPr>
    </w:p>
    <w:p w14:paraId="091966DD" w14:textId="325BFFFC" w:rsidR="006B2C02" w:rsidRPr="00EC5C8D" w:rsidRDefault="002A22D8" w:rsidP="00EC5C8D">
      <w:pPr>
        <w:spacing w:after="0" w:line="240" w:lineRule="auto"/>
        <w:jc w:val="both"/>
        <w:rPr>
          <w:rFonts w:ascii="Verdana" w:hAnsi="Verdana"/>
          <w:b/>
          <w:bCs/>
        </w:rPr>
      </w:pPr>
      <w:r w:rsidRPr="00EC5C8D">
        <w:rPr>
          <w:rFonts w:ascii="Verdana" w:hAnsi="Verdana"/>
          <w:b/>
          <w:bCs/>
        </w:rPr>
        <w:t xml:space="preserve">RESPONSABILIDAD DEL SUPERVISOR </w:t>
      </w:r>
      <w:r w:rsidR="00EC5C8D" w:rsidRPr="00EC5C8D">
        <w:rPr>
          <w:rFonts w:ascii="Verdana" w:hAnsi="Verdana"/>
          <w:b/>
          <w:bCs/>
        </w:rPr>
        <w:t xml:space="preserve">– </w:t>
      </w:r>
      <w:r w:rsidR="00EC5C8D" w:rsidRPr="00EC5C8D">
        <w:rPr>
          <w:rFonts w:ascii="Verdana" w:eastAsia="Calibri" w:hAnsi="Verdana" w:cs="Arial"/>
          <w:b/>
          <w:bCs/>
          <w:color w:val="000000" w:themeColor="text1"/>
          <w:lang w:val="es-ES"/>
        </w:rPr>
        <w:t>civil – fiscal - penal y disciplinaria</w:t>
      </w:r>
      <w:r w:rsidR="004D2AAA">
        <w:rPr>
          <w:rFonts w:ascii="Verdana" w:eastAsia="Calibri" w:hAnsi="Verdana" w:cs="Arial"/>
          <w:b/>
          <w:bCs/>
          <w:color w:val="000000" w:themeColor="text1"/>
          <w:lang w:val="es-ES"/>
        </w:rPr>
        <w:t>.</w:t>
      </w:r>
    </w:p>
    <w:p w14:paraId="44BE2869" w14:textId="77777777" w:rsidR="006B2C02" w:rsidRDefault="006B2C02" w:rsidP="00103B90">
      <w:pPr>
        <w:spacing w:after="0" w:line="240" w:lineRule="auto"/>
        <w:rPr>
          <w:rFonts w:ascii="Verdana" w:hAnsi="Verdana"/>
        </w:rPr>
      </w:pPr>
    </w:p>
    <w:p w14:paraId="4E0684AE" w14:textId="1C079BD6" w:rsidR="00EC5C8D" w:rsidRPr="00EC5C8D" w:rsidRDefault="00EC5C8D" w:rsidP="00EC5C8D">
      <w:pPr>
        <w:spacing w:before="120" w:line="276"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L</w:t>
      </w:r>
      <w:r w:rsidRPr="00EC5C8D">
        <w:rPr>
          <w:rFonts w:ascii="Verdana" w:eastAsia="Calibri" w:hAnsi="Verdana" w:cs="Arial"/>
          <w:color w:val="000000" w:themeColor="text1"/>
          <w:sz w:val="20"/>
          <w:szCs w:val="20"/>
          <w:lang w:val="es-ES"/>
        </w:rPr>
        <w:t xml:space="preserve">a Guía para el ejercicio de las funciones de Supervisión e Interventoría de los contratos del Estado establece que </w:t>
      </w:r>
      <w:r w:rsidR="004D2AAA" w:rsidRPr="004D2AAA">
        <w:rPr>
          <w:rFonts w:ascii="Verdana" w:eastAsia="Calibri" w:hAnsi="Verdana" w:cs="Arial"/>
          <w:color w:val="000000" w:themeColor="text1"/>
          <w:sz w:val="20"/>
          <w:szCs w:val="20"/>
          <w:lang w:val="es-ES"/>
        </w:rPr>
        <w:t>los supervisores e interventores de las Entidades Estatales que intervienen en la celebración, ejecución y liquidación de los contratos son responsables por sus actuaciones y omisiones. En consecuencia, responden civil, fiscal, penal y disciplinariamente por las faltas que cometan en el ejercicio de sus funciones. Los contratistas que apoyan labores de supervisión y ejercen actividades de interventoría son considerados por la Ley como particulares que ejercen funciones públicas en lo que tiene que ver con la celebración, ejecución y liquidación de los contratos celebrados por las Entidades Estatales.</w:t>
      </w:r>
    </w:p>
    <w:p w14:paraId="73A0F3FD" w14:textId="77777777" w:rsidR="006B2C02" w:rsidRDefault="006B2C02" w:rsidP="00103B90">
      <w:pPr>
        <w:spacing w:after="0" w:line="240" w:lineRule="auto"/>
        <w:rPr>
          <w:rFonts w:ascii="Verdana" w:hAnsi="Verdana"/>
        </w:rPr>
      </w:pPr>
    </w:p>
    <w:p w14:paraId="18279C21" w14:textId="77777777" w:rsidR="00EC5C8D" w:rsidRDefault="00EC5C8D" w:rsidP="00103B90">
      <w:pPr>
        <w:spacing w:after="0" w:line="240" w:lineRule="auto"/>
        <w:rPr>
          <w:rFonts w:ascii="Verdana" w:hAnsi="Verdana"/>
        </w:rPr>
      </w:pPr>
    </w:p>
    <w:p w14:paraId="2B44D1A2" w14:textId="77777777" w:rsidR="00EC5C8D" w:rsidRDefault="00EC5C8D" w:rsidP="00103B90">
      <w:pPr>
        <w:spacing w:after="0" w:line="240" w:lineRule="auto"/>
        <w:rPr>
          <w:rFonts w:ascii="Verdana" w:hAnsi="Verdana"/>
        </w:rPr>
      </w:pPr>
    </w:p>
    <w:p w14:paraId="2DF8D0A9" w14:textId="77777777" w:rsidR="00EC5C8D" w:rsidRDefault="00EC5C8D" w:rsidP="00103B90">
      <w:pPr>
        <w:spacing w:after="0" w:line="240" w:lineRule="auto"/>
        <w:rPr>
          <w:rFonts w:ascii="Verdana" w:hAnsi="Verdana"/>
        </w:rPr>
      </w:pPr>
    </w:p>
    <w:p w14:paraId="18910662" w14:textId="77777777" w:rsidR="00EC5C8D" w:rsidRDefault="00EC5C8D" w:rsidP="00103B90">
      <w:pPr>
        <w:spacing w:after="0" w:line="240" w:lineRule="auto"/>
        <w:rPr>
          <w:rFonts w:ascii="Verdana" w:hAnsi="Verdana"/>
        </w:rPr>
      </w:pPr>
    </w:p>
    <w:p w14:paraId="5AB595CA" w14:textId="77777777" w:rsidR="00EC5C8D" w:rsidRDefault="00EC5C8D" w:rsidP="00103B90">
      <w:pPr>
        <w:spacing w:after="0" w:line="240" w:lineRule="auto"/>
        <w:rPr>
          <w:rFonts w:ascii="Verdana" w:hAnsi="Verdana"/>
        </w:rPr>
      </w:pPr>
    </w:p>
    <w:p w14:paraId="54316DC4" w14:textId="77777777" w:rsidR="00EC5C8D" w:rsidRDefault="00EC5C8D" w:rsidP="00103B90">
      <w:pPr>
        <w:spacing w:after="0" w:line="240" w:lineRule="auto"/>
        <w:rPr>
          <w:rFonts w:ascii="Verdana" w:hAnsi="Verdana"/>
        </w:rPr>
      </w:pPr>
    </w:p>
    <w:p w14:paraId="284582A1" w14:textId="77777777" w:rsidR="00EC5C8D" w:rsidRDefault="00EC5C8D" w:rsidP="00103B90">
      <w:pPr>
        <w:spacing w:after="0" w:line="240" w:lineRule="auto"/>
        <w:rPr>
          <w:rFonts w:ascii="Verdana" w:hAnsi="Verdana"/>
        </w:rPr>
      </w:pPr>
    </w:p>
    <w:p w14:paraId="409F933A" w14:textId="77777777" w:rsidR="004D2AAA" w:rsidRDefault="004D2AAA" w:rsidP="00103B90">
      <w:pPr>
        <w:spacing w:after="0" w:line="240" w:lineRule="auto"/>
        <w:rPr>
          <w:rFonts w:ascii="Verdana" w:hAnsi="Verdana"/>
        </w:rPr>
      </w:pPr>
    </w:p>
    <w:p w14:paraId="6253CAA2" w14:textId="77777777" w:rsidR="00EC5C8D" w:rsidRDefault="00EC5C8D" w:rsidP="00103B90">
      <w:pPr>
        <w:spacing w:after="0" w:line="240" w:lineRule="auto"/>
        <w:rPr>
          <w:rFonts w:ascii="Verdana" w:hAnsi="Verdana"/>
        </w:rPr>
      </w:pPr>
    </w:p>
    <w:p w14:paraId="4454A3AD" w14:textId="77777777" w:rsidR="00EC5C8D" w:rsidRDefault="00EC5C8D" w:rsidP="00103B90">
      <w:pPr>
        <w:spacing w:after="0" w:line="240" w:lineRule="auto"/>
        <w:rPr>
          <w:rFonts w:ascii="Verdana" w:hAnsi="Verdana"/>
        </w:rPr>
      </w:pPr>
    </w:p>
    <w:p w14:paraId="76BA39A5" w14:textId="77777777" w:rsidR="00EC5C8D" w:rsidRDefault="00EC5C8D" w:rsidP="00103B90">
      <w:pPr>
        <w:spacing w:after="0" w:line="240" w:lineRule="auto"/>
        <w:rPr>
          <w:rFonts w:ascii="Verdana" w:hAnsi="Verdana"/>
        </w:rPr>
      </w:pPr>
    </w:p>
    <w:p w14:paraId="4B613F31" w14:textId="77777777" w:rsidR="00EC5C8D" w:rsidRDefault="00EC5C8D" w:rsidP="00103B90">
      <w:pPr>
        <w:spacing w:after="0" w:line="240" w:lineRule="auto"/>
        <w:rPr>
          <w:rFonts w:ascii="Verdana" w:hAnsi="Verdana"/>
        </w:rPr>
      </w:pPr>
    </w:p>
    <w:p w14:paraId="6A7F61B1" w14:textId="77777777" w:rsidR="00EC5C8D" w:rsidRDefault="00EC5C8D" w:rsidP="00103B90">
      <w:pPr>
        <w:spacing w:after="0" w:line="240" w:lineRule="auto"/>
        <w:rPr>
          <w:rFonts w:ascii="Verdana" w:hAnsi="Verdana"/>
        </w:rPr>
      </w:pPr>
    </w:p>
    <w:p w14:paraId="59EF6C5A" w14:textId="77777777" w:rsidR="00EC5C8D" w:rsidRDefault="00EC5C8D" w:rsidP="00103B90">
      <w:pPr>
        <w:spacing w:after="0" w:line="240" w:lineRule="auto"/>
        <w:rPr>
          <w:rFonts w:ascii="Verdana" w:hAnsi="Verdana"/>
        </w:rPr>
      </w:pPr>
    </w:p>
    <w:p w14:paraId="4F766BB8" w14:textId="77777777" w:rsidR="00EC5C8D" w:rsidRDefault="00EC5C8D" w:rsidP="00103B90">
      <w:pPr>
        <w:spacing w:after="0" w:line="240" w:lineRule="auto"/>
        <w:rPr>
          <w:rFonts w:ascii="Verdana" w:hAnsi="Verdana"/>
        </w:rPr>
      </w:pPr>
    </w:p>
    <w:p w14:paraId="1E0E134D" w14:textId="77777777" w:rsidR="00EC5C8D" w:rsidRDefault="00EC5C8D" w:rsidP="00103B90">
      <w:pPr>
        <w:spacing w:after="0" w:line="240" w:lineRule="auto"/>
        <w:rPr>
          <w:rFonts w:ascii="Verdana" w:hAnsi="Verdana"/>
        </w:rPr>
      </w:pPr>
    </w:p>
    <w:p w14:paraId="38F97FD3" w14:textId="77777777" w:rsidR="00EC5C8D" w:rsidRDefault="00EC5C8D" w:rsidP="00103B90">
      <w:pPr>
        <w:spacing w:after="0" w:line="240" w:lineRule="auto"/>
        <w:rPr>
          <w:rFonts w:ascii="Verdana" w:hAnsi="Verdana"/>
        </w:rPr>
      </w:pPr>
    </w:p>
    <w:p w14:paraId="44153E91" w14:textId="77777777" w:rsidR="00EC5C8D" w:rsidRDefault="00EC5C8D" w:rsidP="00103B90">
      <w:pPr>
        <w:spacing w:after="0" w:line="240" w:lineRule="auto"/>
        <w:rPr>
          <w:rFonts w:ascii="Verdana" w:hAnsi="Verdana"/>
        </w:rPr>
      </w:pPr>
    </w:p>
    <w:p w14:paraId="753A3578" w14:textId="77777777" w:rsidR="006B2C02" w:rsidRDefault="006B2C02" w:rsidP="00103B90">
      <w:pPr>
        <w:spacing w:after="0" w:line="240" w:lineRule="auto"/>
        <w:rPr>
          <w:rFonts w:ascii="Verdana" w:hAnsi="Verdana"/>
        </w:rPr>
      </w:pPr>
    </w:p>
    <w:p w14:paraId="734BF481" w14:textId="518CE37B" w:rsidR="00A64017" w:rsidRDefault="00EF3A04" w:rsidP="00103B90">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536204C" wp14:editId="28B69FFC">
            <wp:simplePos x="0" y="0"/>
            <wp:positionH relativeFrom="column">
              <wp:posOffset>2999105</wp:posOffset>
            </wp:positionH>
            <wp:positionV relativeFrom="paragraph">
              <wp:posOffset>101307</wp:posOffset>
            </wp:positionV>
            <wp:extent cx="2606386" cy="800100"/>
            <wp:effectExtent l="0" t="0" r="3810" b="0"/>
            <wp:wrapNone/>
            <wp:docPr id="3921445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6386"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800B4">
        <w:rPr>
          <w:rFonts w:ascii="Verdana" w:hAnsi="Verdana"/>
        </w:rPr>
        <w:t>B</w:t>
      </w:r>
      <w:r w:rsidR="00A64017" w:rsidRPr="0044528D">
        <w:rPr>
          <w:rFonts w:ascii="Verdana" w:hAnsi="Verdana"/>
        </w:rPr>
        <w:t xml:space="preserve">ogotá D.C., </w:t>
      </w:r>
      <w:r w:rsidR="00CE32D1">
        <w:rPr>
          <w:rFonts w:ascii="Verdana" w:hAnsi="Verdana"/>
        </w:rPr>
        <w:t>07</w:t>
      </w:r>
      <w:r w:rsidR="00324E0B">
        <w:rPr>
          <w:rFonts w:ascii="Verdana" w:hAnsi="Verdana"/>
        </w:rPr>
        <w:t xml:space="preserve"> </w:t>
      </w:r>
      <w:r w:rsidR="00763E4A">
        <w:rPr>
          <w:rFonts w:ascii="Verdana" w:hAnsi="Verdana"/>
        </w:rPr>
        <w:t xml:space="preserve">de </w:t>
      </w:r>
      <w:r w:rsidR="00CE32D1">
        <w:rPr>
          <w:rFonts w:ascii="Verdana" w:hAnsi="Verdana"/>
        </w:rPr>
        <w:t>octubre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33E67607" w:rsidR="00A64017" w:rsidRDefault="00A64017" w:rsidP="00103B90">
      <w:pPr>
        <w:spacing w:after="0" w:line="240" w:lineRule="auto"/>
        <w:rPr>
          <w:rFonts w:ascii="Verdana" w:hAnsi="Verdana"/>
        </w:rPr>
      </w:pPr>
    </w:p>
    <w:p w14:paraId="24B08334" w14:textId="3CBA9BA0" w:rsidR="00331CD0" w:rsidRDefault="00331CD0" w:rsidP="00331CD0">
      <w:pPr>
        <w:spacing w:after="0" w:line="240" w:lineRule="auto"/>
        <w:jc w:val="right"/>
        <w:rPr>
          <w:rFonts w:ascii="Verdana" w:hAnsi="Verdana"/>
        </w:rPr>
      </w:pPr>
    </w:p>
    <w:p w14:paraId="32625BB2" w14:textId="396E24F7" w:rsidR="00CE32D1" w:rsidRDefault="00CE32D1" w:rsidP="00331CD0">
      <w:pPr>
        <w:spacing w:after="0" w:line="240" w:lineRule="auto"/>
        <w:jc w:val="right"/>
        <w:rPr>
          <w:rFonts w:ascii="Verdana" w:hAnsi="Verdana"/>
        </w:rPr>
      </w:pPr>
    </w:p>
    <w:p w14:paraId="6EF9D4E0" w14:textId="5C93F0C8"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FA3CFE">
        <w:rPr>
          <w:rFonts w:ascii="Verdana" w:eastAsia="Calibri" w:hAnsi="Verdana" w:cs="Arial"/>
          <w:lang w:eastAsia="es-ES"/>
        </w:rPr>
        <w:t>a</w:t>
      </w:r>
      <w:r w:rsidRPr="00631045">
        <w:rPr>
          <w:rFonts w:ascii="Verdana" w:eastAsia="Calibri" w:hAnsi="Verdana" w:cs="Arial"/>
          <w:lang w:eastAsia="es-ES"/>
        </w:rPr>
        <w:tab/>
      </w:r>
    </w:p>
    <w:p w14:paraId="200679A4" w14:textId="36E3E211" w:rsidR="00FA3CFE" w:rsidRDefault="0057166B" w:rsidP="00A64017">
      <w:pPr>
        <w:spacing w:after="0" w:line="240" w:lineRule="auto"/>
        <w:rPr>
          <w:rFonts w:ascii="Verdana" w:eastAsia="Calibri" w:hAnsi="Verdana" w:cs="Arial"/>
          <w:b/>
          <w:bCs/>
          <w:lang w:eastAsia="es-ES"/>
        </w:rPr>
      </w:pPr>
      <w:r w:rsidRPr="0057166B">
        <w:rPr>
          <w:rFonts w:ascii="Verdana" w:eastAsia="Calibri" w:hAnsi="Verdana" w:cs="Arial"/>
          <w:b/>
          <w:bCs/>
          <w:lang w:eastAsia="es-ES"/>
        </w:rPr>
        <w:t>MAYBELLINE</w:t>
      </w:r>
      <w:r w:rsidR="00FA3CFE" w:rsidRPr="00FA3CFE">
        <w:rPr>
          <w:rFonts w:ascii="Verdana" w:eastAsia="Calibri" w:hAnsi="Verdana" w:cs="Arial"/>
          <w:b/>
          <w:bCs/>
          <w:lang w:eastAsia="es-ES"/>
        </w:rPr>
        <w:t xml:space="preserve"> </w:t>
      </w:r>
      <w:bookmarkStart w:id="2" w:name="_Hlk210640070"/>
      <w:r w:rsidRPr="0057166B">
        <w:rPr>
          <w:rFonts w:ascii="Verdana" w:eastAsia="Calibri" w:hAnsi="Verdana" w:cs="Arial"/>
          <w:b/>
          <w:bCs/>
          <w:lang w:eastAsia="es-ES"/>
        </w:rPr>
        <w:t>ORELLANO</w:t>
      </w:r>
      <w:bookmarkEnd w:id="2"/>
    </w:p>
    <w:p w14:paraId="1FD85336" w14:textId="73DB9EEC" w:rsidR="00A64017" w:rsidRPr="0057166B" w:rsidRDefault="008F2453" w:rsidP="00A64017">
      <w:pPr>
        <w:spacing w:after="0" w:line="240" w:lineRule="auto"/>
        <w:rPr>
          <w:rFonts w:ascii="Verdana" w:hAnsi="Verdana"/>
        </w:rPr>
      </w:pPr>
      <w:hyperlink r:id="rId12" w:history="1">
        <w:r w:rsidR="0057166B" w:rsidRPr="0057166B">
          <w:rPr>
            <w:rStyle w:val="Hipervnculo"/>
            <w:rFonts w:ascii="Verdana" w:hAnsi="Verdana"/>
          </w:rPr>
          <w:t>maybeorelano83@gmail.com</w:t>
        </w:r>
      </w:hyperlink>
      <w:r w:rsidR="0057166B" w:rsidRPr="0057166B">
        <w:rPr>
          <w:rFonts w:ascii="Verdana" w:hAnsi="Verdana"/>
        </w:rPr>
        <w:t xml:space="preserve"> </w:t>
      </w:r>
      <w:r w:rsidR="00631045" w:rsidRPr="0057166B">
        <w:rPr>
          <w:rFonts w:ascii="Verdana" w:hAnsi="Verdana"/>
        </w:rPr>
        <w:t xml:space="preserve"> </w:t>
      </w:r>
    </w:p>
    <w:p w14:paraId="48FCFCCF" w14:textId="40E4BC1B" w:rsidR="00A64017" w:rsidRDefault="0057166B" w:rsidP="00A64017">
      <w:pPr>
        <w:spacing w:after="0" w:line="240" w:lineRule="auto"/>
        <w:rPr>
          <w:rFonts w:ascii="Verdana" w:hAnsi="Verdana"/>
        </w:rPr>
      </w:pPr>
      <w:r>
        <w:rPr>
          <w:rFonts w:ascii="Verdana" w:hAnsi="Verdana"/>
        </w:rPr>
        <w:t>Barranquilla (Atlántico)</w:t>
      </w:r>
      <w:r w:rsidR="00324E0B" w:rsidRPr="00631045">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39A63D0D"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57166B">
              <w:rPr>
                <w:rFonts w:ascii="Verdana" w:eastAsia="Calibri" w:hAnsi="Verdana" w:cs="Arial"/>
                <w:b/>
                <w:bCs/>
                <w:lang w:val="es-ES" w:eastAsia="es-ES"/>
              </w:rPr>
              <w:t>1202</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DDDE71B" w14:textId="7BFB7CAA" w:rsidR="002A22D8" w:rsidRPr="00905A2C" w:rsidRDefault="002A22D8" w:rsidP="002A22D8">
            <w:pPr>
              <w:jc w:val="both"/>
              <w:rPr>
                <w:rFonts w:ascii="Verdana" w:hAnsi="Verdana" w:cs="Arial"/>
                <w:lang w:val="es-ES_tradnl" w:eastAsia="es-ES"/>
              </w:rPr>
            </w:pPr>
            <w:r w:rsidRPr="00905A2C">
              <w:rPr>
                <w:rFonts w:ascii="Verdana" w:eastAsia="Calibri" w:hAnsi="Verdana" w:cs="Arial"/>
                <w:bCs/>
              </w:rPr>
              <w:t xml:space="preserve">CONTRATO ESTATAL – Ejercicio – Funciones de control y vigilancia / CONTRATO ESTATAL – Funciones de control y vigilancia / </w:t>
            </w:r>
            <w:r w:rsidRPr="00905A2C">
              <w:rPr>
                <w:rFonts w:ascii="Verdana" w:eastAsia="Calibri" w:hAnsi="Verdana" w:cs="Arial"/>
                <w:bCs/>
                <w:lang w:val="es-ES_tradnl"/>
              </w:rPr>
              <w:t>LIQUIDACIÓN DEL CONTRATO – Definición – Objetivo / LIQUIDACIÓN DEL CONTRATO – Normativa / L</w:t>
            </w:r>
            <w:r w:rsidRPr="00905A2C">
              <w:rPr>
                <w:rFonts w:ascii="Verdana" w:hAnsi="Verdana" w:cs="Arial"/>
                <w:lang w:val="es-ES_tradnl" w:eastAsia="es-ES"/>
              </w:rPr>
              <w:t>IQUIDACIÓN – Competencia de la administración</w:t>
            </w:r>
            <w:r w:rsidR="00EC5C8D">
              <w:rPr>
                <w:rFonts w:ascii="Verdana" w:hAnsi="Verdana" w:cs="Arial"/>
                <w:lang w:val="es-ES_tradnl" w:eastAsia="es-ES"/>
              </w:rPr>
              <w:t xml:space="preserve"> / </w:t>
            </w:r>
            <w:r w:rsidR="00EC5C8D" w:rsidRPr="00EC5C8D">
              <w:rPr>
                <w:rFonts w:ascii="Verdana" w:hAnsi="Verdana"/>
              </w:rPr>
              <w:t xml:space="preserve">RESPONSABILIDAD DEL SUPERVISOR – </w:t>
            </w:r>
            <w:r w:rsidR="00EC5C8D" w:rsidRPr="00EC5C8D">
              <w:rPr>
                <w:rFonts w:ascii="Verdana" w:eastAsia="Calibri" w:hAnsi="Verdana" w:cs="Arial"/>
                <w:color w:val="000000" w:themeColor="text1"/>
                <w:lang w:val="es-ES"/>
              </w:rPr>
              <w:t>civil – fiscal - penal y disciplinaria.</w:t>
            </w: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223454F8"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57166B" w:rsidRPr="0057166B">
              <w:rPr>
                <w:rFonts w:ascii="Verdana" w:eastAsia="Calibri" w:hAnsi="Verdana" w:cs="Arial"/>
                <w:lang w:val="es-ES_tradnl" w:eastAsia="es-ES_tradnl"/>
              </w:rPr>
              <w:t>1_2025_08_26_009096</w:t>
            </w:r>
            <w:r w:rsidR="00CE32D1">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76E67BC8"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FA3CFE">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FA3CFE">
        <w:rPr>
          <w:rFonts w:ascii="Verdana" w:eastAsia="Calibri" w:hAnsi="Verdana" w:cs="Arial"/>
          <w:lang w:val="es-ES" w:eastAsia="es-ES"/>
        </w:rPr>
        <w:t>a</w:t>
      </w:r>
      <w:r>
        <w:rPr>
          <w:rFonts w:ascii="Verdana" w:eastAsia="Calibri" w:hAnsi="Verdana" w:cs="Arial"/>
          <w:lang w:val="es-ES" w:eastAsia="es-ES"/>
        </w:rPr>
        <w:t xml:space="preserve"> </w:t>
      </w:r>
      <w:r w:rsidR="0057166B" w:rsidRPr="0057166B">
        <w:rPr>
          <w:rFonts w:ascii="Verdana" w:eastAsia="Calibri" w:hAnsi="Verdana" w:cs="Arial"/>
          <w:lang w:val="es-ES" w:eastAsia="es-ES"/>
        </w:rPr>
        <w:t>Orellano</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4EA2DFC3"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trasladada por el Departamento Administrativo de la Función Pública y radicada en esta entidad </w:t>
      </w:r>
      <w:r w:rsidRPr="00E5644F">
        <w:rPr>
          <w:rFonts w:ascii="Verdana" w:eastAsia="Calibri" w:hAnsi="Verdana" w:cs="Arial"/>
          <w:lang w:val="es-ES" w:eastAsia="es-ES"/>
        </w:rPr>
        <w:t xml:space="preserve">el </w:t>
      </w:r>
      <w:r w:rsidR="0057166B">
        <w:rPr>
          <w:rFonts w:ascii="Verdana" w:eastAsia="Calibri" w:hAnsi="Verdana" w:cs="Arial"/>
          <w:lang w:val="es-ES" w:eastAsia="es-ES"/>
        </w:rPr>
        <w:t>26</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631045">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3" w:name="_Hlk95313578"/>
    </w:p>
    <w:bookmarkEnd w:id="3"/>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4401E59" w14:textId="77777777" w:rsidR="00B350FE" w:rsidRPr="00B350FE" w:rsidRDefault="00B350FE"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1370F7A" w14:textId="49255A43"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En una entidad estatal donde se supervisa contratos de arriendos registrados en SECOP II, se le asigna la responsabilidad a un servidor, pero pasado un tiempo, se asigna un nuevo supervisor sin liquidar ni cerrar contratos ya finalizados (meses atrás) y sin entregar informe de su supervisión a la entidad ni al</w:t>
      </w:r>
      <w:r>
        <w:rPr>
          <w:rFonts w:ascii="Verdana" w:eastAsia="Century Gothic" w:hAnsi="Verdana" w:cs="Century Gothic"/>
          <w:i/>
          <w:iCs/>
          <w:sz w:val="20"/>
          <w:szCs w:val="20"/>
        </w:rPr>
        <w:t xml:space="preserve"> </w:t>
      </w:r>
      <w:r w:rsidRPr="00B350FE">
        <w:rPr>
          <w:rFonts w:ascii="Verdana" w:eastAsia="Century Gothic" w:hAnsi="Verdana" w:cs="Century Gothic"/>
          <w:i/>
          <w:iCs/>
          <w:sz w:val="20"/>
          <w:szCs w:val="20"/>
        </w:rPr>
        <w:t>nuevo supervisor:</w:t>
      </w:r>
    </w:p>
    <w:p w14:paraId="0FA7F87A" w14:textId="5743BA43"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1- ¿Qué implicaciones fiscales, civiles, penales y disciplinarias tiene el supervisor de los contratos finalizados, no liquidados?</w:t>
      </w:r>
    </w:p>
    <w:p w14:paraId="6229FBFB" w14:textId="24A9FE24"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2- ¿El supervisor de los actuales contratos en supervisión, puede liquidar y hacer el cierre de contratos que no estuvieron bajo su supervisión?</w:t>
      </w:r>
    </w:p>
    <w:p w14:paraId="51E7539E" w14:textId="6F345D5F"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lastRenderedPageBreak/>
        <w:t>En caso de hacerlo ¿Qué implicaciones fiscales, civiles, penales y disciplinarias habría para este supervisor?</w:t>
      </w:r>
    </w:p>
    <w:p w14:paraId="327FA83F" w14:textId="77777777"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¿Con que usuario SECOP II se debe tramitar la liquidación y cierre de un contrato?</w:t>
      </w:r>
    </w:p>
    <w:p w14:paraId="7A394C83" w14:textId="59D51992"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¿Podría rehusarse a realizar la liquidación y cierre de los contratos terminados, antes de la asignación como supervisor de los contratos de arriendos aun en ejecución? ¿Podría exigirle la entidad hacerlo?</w:t>
      </w:r>
    </w:p>
    <w:p w14:paraId="2C0626F7" w14:textId="50E49247" w:rsidR="00B350FE"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3- Si el supervisor de los contratos terminados aun labora en la entidad, dentro de la misma dependencia, ¿podría o debe realizar la liquidación y cierre de los contratos finalizados durante la asignación de sus funciones como supervisor? ¿Debe exigirle la entidad hacerlo?</w:t>
      </w:r>
    </w:p>
    <w:p w14:paraId="7D69F9FA" w14:textId="1EFDD4BA" w:rsidR="00A800B4" w:rsidRPr="00B350FE" w:rsidRDefault="00B350FE" w:rsidP="00B350FE">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4- ¿Cuáles son las responsabilidades </w:t>
      </w:r>
      <w:proofErr w:type="spellStart"/>
      <w:r w:rsidRPr="00B350FE">
        <w:rPr>
          <w:rFonts w:ascii="Verdana" w:eastAsia="Century Gothic" w:hAnsi="Verdana" w:cs="Century Gothic"/>
          <w:i/>
          <w:iCs/>
          <w:sz w:val="20"/>
          <w:szCs w:val="20"/>
        </w:rPr>
        <w:t>postcontractuales</w:t>
      </w:r>
      <w:proofErr w:type="spellEnd"/>
      <w:r w:rsidRPr="00B350FE">
        <w:rPr>
          <w:rFonts w:ascii="Verdana" w:eastAsia="Century Gothic" w:hAnsi="Verdana" w:cs="Century Gothic"/>
          <w:i/>
          <w:iCs/>
          <w:sz w:val="20"/>
          <w:szCs w:val="20"/>
        </w:rPr>
        <w:t xml:space="preserve"> de un supervisor de contratos, aun después de</w:t>
      </w:r>
      <w:r>
        <w:rPr>
          <w:rFonts w:ascii="Verdana" w:eastAsia="Century Gothic" w:hAnsi="Verdana" w:cs="Century Gothic"/>
          <w:i/>
          <w:iCs/>
          <w:sz w:val="20"/>
          <w:szCs w:val="20"/>
        </w:rPr>
        <w:t xml:space="preserve"> </w:t>
      </w:r>
      <w:r w:rsidRPr="00B350FE">
        <w:rPr>
          <w:rFonts w:ascii="Verdana" w:eastAsia="Century Gothic" w:hAnsi="Verdana" w:cs="Century Gothic"/>
          <w:i/>
          <w:iCs/>
          <w:sz w:val="20"/>
          <w:szCs w:val="20"/>
        </w:rPr>
        <w:t>terminado?</w:t>
      </w:r>
    </w:p>
    <w:p w14:paraId="2CDDC996" w14:textId="643ED0F7" w:rsidR="00A64017" w:rsidRPr="00B350FE"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8985346" w14:textId="70BB9581" w:rsidR="00D3590B" w:rsidRPr="00D3590B"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D3590B">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4" w:name="_Hlk196737317"/>
      <w:r>
        <w:rPr>
          <w:rFonts w:ascii="Verdana" w:eastAsia="Calibri" w:hAnsi="Verdana" w:cs="Arial"/>
          <w:lang w:eastAsia="es-ES"/>
        </w:rPr>
        <w:t xml:space="preserve"> </w:t>
      </w:r>
      <w:r w:rsidR="006905C0" w:rsidRPr="006905C0">
        <w:rPr>
          <w:rFonts w:ascii="Verdana" w:eastAsia="Century Gothic" w:hAnsi="Verdana" w:cs="Century Gothic"/>
        </w:rPr>
        <w:t>¿En qué casos y bajo qué condiciones los supervisores, deben responder civil, fiscal, penal y disciplinariamente por las actuaciones u omisiones derivadas de la celebración, ejecución y liquidación de los contratos estatales?</w:t>
      </w:r>
    </w:p>
    <w:p w14:paraId="76BF5ECC" w14:textId="77777777" w:rsidR="00D3590B" w:rsidRPr="00D3590B" w:rsidRDefault="00D3590B" w:rsidP="00D3590B">
      <w:pPr>
        <w:spacing w:after="0" w:line="276" w:lineRule="auto"/>
        <w:jc w:val="both"/>
        <w:rPr>
          <w:rFonts w:ascii="Verdana" w:eastAsia="Century Gothic" w:hAnsi="Verdana" w:cs="Century Gothic"/>
        </w:rPr>
      </w:pPr>
    </w:p>
    <w:bookmarkEnd w:id="4"/>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7AD55803" w14:textId="287E3892" w:rsidR="009C3869" w:rsidRDefault="009C3869" w:rsidP="009C3869">
            <w:pPr>
              <w:spacing w:before="120" w:line="276" w:lineRule="auto"/>
              <w:jc w:val="both"/>
              <w:rPr>
                <w:rFonts w:ascii="Verdana" w:eastAsia="Calibri" w:hAnsi="Verdana" w:cs="Arial"/>
                <w:color w:val="000000" w:themeColor="text1"/>
                <w:lang w:val="es-ES"/>
              </w:rPr>
            </w:pPr>
            <w:r>
              <w:rPr>
                <w:rFonts w:ascii="Verdana" w:eastAsia="Calibri" w:hAnsi="Verdana" w:cs="Arial"/>
                <w:lang w:val="es-ES_tradnl" w:eastAsia="es-ES"/>
              </w:rPr>
              <w:t xml:space="preserve">          </w:t>
            </w:r>
            <w:r w:rsidR="007F7470" w:rsidRPr="00B60BC4">
              <w:rPr>
                <w:rFonts w:ascii="Verdana" w:eastAsia="Calibri" w:hAnsi="Verdana" w:cs="Arial"/>
                <w:lang w:val="es-ES_tradnl" w:eastAsia="es-ES"/>
              </w:rPr>
              <w:t xml:space="preserve">De acuerdo con el artículo 83 de la Ley 1474 de 2011, </w:t>
            </w:r>
            <w:r w:rsidR="007F7470" w:rsidRPr="007F7470">
              <w:rPr>
                <w:rFonts w:ascii="Verdana" w:eastAsia="Calibri" w:hAnsi="Verdana" w:cs="Arial"/>
                <w:color w:val="000000" w:themeColor="text1"/>
                <w:lang w:val="es-ES"/>
              </w:rPr>
              <w:t>la supervisión consiste en el seguimiento técnico, administrativo, financiero, contable y jurídico sobre el cumplimiento del objeto del contrato, realizada directamente por la entidad estatal a través de un servidor público idóneo en particular designado para ejercer el rol de supervisor. En la medida que este seguimiento tiene la finalidad de garantizar el debido</w:t>
            </w:r>
            <w:r>
              <w:rPr>
                <w:rFonts w:ascii="Verdana" w:eastAsia="Calibri" w:hAnsi="Verdana" w:cs="Arial"/>
                <w:color w:val="000000" w:themeColor="text1"/>
                <w:lang w:val="es-ES"/>
              </w:rPr>
              <w:t xml:space="preserve"> </w:t>
            </w:r>
            <w:r w:rsidRPr="009C3869">
              <w:rPr>
                <w:rFonts w:ascii="Verdana" w:eastAsia="Calibri" w:hAnsi="Verdana" w:cs="Arial"/>
                <w:color w:val="000000" w:themeColor="text1"/>
                <w:lang w:val="es-ES"/>
              </w:rPr>
              <w:t xml:space="preserve">cumplimiento del contrato, su alcance se extiende principalmente durante la etapa de ejecución, que es el periodo donde se deben cumplir el grueso de las obligaciones contractuales. </w:t>
            </w:r>
          </w:p>
          <w:p w14:paraId="5F26DC88" w14:textId="64F73300" w:rsidR="009C3869" w:rsidRDefault="009C3869" w:rsidP="009C3869">
            <w:pPr>
              <w:spacing w:before="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         No obstante lo anterior</w:t>
            </w:r>
            <w:r w:rsidRPr="009C3869">
              <w:rPr>
                <w:rFonts w:ascii="Verdana" w:eastAsia="Calibri" w:hAnsi="Verdana" w:cs="Arial"/>
                <w:color w:val="000000" w:themeColor="text1"/>
                <w:lang w:val="es-ES"/>
              </w:rPr>
              <w:t>, es importante tener en cuenta que la “Guía para el ejercicio de las funciones de Supervisión e Interventoría de los contratos del Estado”</w:t>
            </w:r>
            <w:r>
              <w:rPr>
                <w:rStyle w:val="Refdenotaalpie"/>
                <w:rFonts w:ascii="Verdana" w:eastAsia="Calibri" w:hAnsi="Verdana" w:cs="Arial"/>
                <w:color w:val="000000" w:themeColor="text1"/>
                <w:lang w:val="es-ES"/>
              </w:rPr>
              <w:footnoteReference w:id="1"/>
            </w:r>
            <w:r w:rsidRPr="009C3869">
              <w:rPr>
                <w:rFonts w:ascii="Verdana" w:eastAsia="Calibri" w:hAnsi="Verdana" w:cs="Arial"/>
                <w:color w:val="000000" w:themeColor="text1"/>
                <w:lang w:val="es-ES"/>
              </w:rPr>
              <w:t xml:space="preserve"> de la Agencia Nacional de Contratación Colombia Compra eficiente en lo relacionado con las funciones de vigilancia en lo contable y financiero expresa que el supervisor debe recibir a satisfacción los bienes y servicios del objeto del contrato estatal y coordinar las instancias necesarias para adelantar los trámites para la liquidación del contrato y entregar los documentos soporte que le correspondan para efectuarla</w:t>
            </w:r>
            <w:r>
              <w:rPr>
                <w:rFonts w:ascii="Verdana" w:eastAsia="Calibri" w:hAnsi="Verdana" w:cs="Arial"/>
                <w:color w:val="000000" w:themeColor="text1"/>
                <w:lang w:val="es-ES"/>
              </w:rPr>
              <w:t>.</w:t>
            </w:r>
          </w:p>
          <w:p w14:paraId="3CB8F052" w14:textId="1DA8E728" w:rsidR="009C3869" w:rsidRDefault="009C3869" w:rsidP="009C3869">
            <w:pPr>
              <w:spacing w:before="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          Ahora bien, en cuanto al problema jurídico planteado es de precisar que la misma guía establece que</w:t>
            </w:r>
            <w:r w:rsidR="006905C0">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los supervisores e interventores </w:t>
            </w:r>
            <w:r w:rsidR="004D2AAA">
              <w:rPr>
                <w:rFonts w:ascii="Verdana" w:eastAsia="Calibri" w:hAnsi="Verdana" w:cs="Arial"/>
                <w:color w:val="000000" w:themeColor="text1"/>
                <w:lang w:val="es-ES"/>
              </w:rPr>
              <w:t xml:space="preserve">de </w:t>
            </w:r>
            <w:r>
              <w:rPr>
                <w:rFonts w:ascii="Verdana" w:eastAsia="Calibri" w:hAnsi="Verdana" w:cs="Arial"/>
                <w:color w:val="000000" w:themeColor="text1"/>
                <w:lang w:val="es-ES"/>
              </w:rPr>
              <w:t>l</w:t>
            </w:r>
            <w:r w:rsidRPr="009C3869">
              <w:rPr>
                <w:rFonts w:ascii="Verdana" w:eastAsia="Calibri" w:hAnsi="Verdana" w:cs="Arial"/>
                <w:color w:val="000000" w:themeColor="text1"/>
                <w:lang w:val="es-ES"/>
              </w:rPr>
              <w:t>as Entidades Estatales</w:t>
            </w:r>
            <w:r w:rsidR="004D2AAA">
              <w:rPr>
                <w:rFonts w:ascii="Verdana" w:eastAsia="Calibri" w:hAnsi="Verdana" w:cs="Arial"/>
                <w:color w:val="000000" w:themeColor="text1"/>
                <w:lang w:val="es-ES"/>
              </w:rPr>
              <w:t xml:space="preserve"> </w:t>
            </w:r>
            <w:r w:rsidRPr="009C3869">
              <w:rPr>
                <w:rFonts w:ascii="Verdana" w:eastAsia="Calibri" w:hAnsi="Verdana" w:cs="Arial"/>
                <w:color w:val="000000" w:themeColor="text1"/>
                <w:lang w:val="es-ES"/>
              </w:rPr>
              <w:t>que intervienen en la celebración, ejecución y liquidación de los contratos son responsables por sus actuaciones y omisiones. En consecuencia, responden civil, fiscal, penal y disciplinariamente por las faltas que cometan en el ejercicio de sus funciones. Los contratistas que apoyan labores de supervisión y ejercen actividades de interventoría son considerados por la Ley como particulares que ejercen funciones públicas en lo que tiene que ver con la celebración, ejecución y liquidación de los contratos celebrados por las Entidades Estatales.</w:t>
            </w:r>
          </w:p>
          <w:p w14:paraId="0F448001" w14:textId="31BFE8A9" w:rsidR="000B5583" w:rsidRPr="000B5583" w:rsidRDefault="000B5583" w:rsidP="000B5583">
            <w:pPr>
              <w:spacing w:before="120" w:after="120" w:line="276" w:lineRule="auto"/>
              <w:ind w:firstLine="709"/>
              <w:jc w:val="both"/>
              <w:rPr>
                <w:rFonts w:ascii="Verdana" w:eastAsia="Calibri" w:hAnsi="Verdana" w:cs="Arial"/>
                <w:lang w:eastAsia="es-ES"/>
              </w:rPr>
            </w:pPr>
            <w:r w:rsidRPr="000B5583">
              <w:rPr>
                <w:rFonts w:ascii="Verdana" w:eastAsia="Calibri" w:hAnsi="Verdana" w:cs="Arial"/>
                <w:lang w:eastAsia="es-ES"/>
              </w:rPr>
              <w:t xml:space="preserve">La responsabilidad principal por la liquidación de un contrato estatal (y su cierre en SECOP II) recae en la Entidad Estatal a través del supervisor o interventor designado. Si el supervisor original omite esta obligación en los términos legales, la Entidad debe designar un nuevo servidor público para asumir la etapa </w:t>
            </w:r>
            <w:proofErr w:type="spellStart"/>
            <w:r w:rsidRPr="000B5583">
              <w:rPr>
                <w:rFonts w:ascii="Verdana" w:eastAsia="Calibri" w:hAnsi="Verdana" w:cs="Arial"/>
                <w:lang w:eastAsia="es-ES"/>
              </w:rPr>
              <w:t>poscontractual</w:t>
            </w:r>
            <w:proofErr w:type="spellEnd"/>
            <w:r w:rsidRPr="000B5583">
              <w:rPr>
                <w:rFonts w:ascii="Verdana" w:eastAsia="Calibri" w:hAnsi="Verdana" w:cs="Arial"/>
                <w:lang w:eastAsia="es-ES"/>
              </w:rPr>
              <w:t xml:space="preserve"> y realizar la liquidación. </w:t>
            </w:r>
          </w:p>
          <w:p w14:paraId="4C893C7A" w14:textId="1F0FE55F" w:rsidR="000B5583" w:rsidRDefault="006905C0" w:rsidP="00A15B1F">
            <w:pPr>
              <w:pStyle w:val="Prrafodelista"/>
              <w:spacing w:before="120" w:after="120" w:line="276" w:lineRule="auto"/>
              <w:ind w:left="0" w:firstLine="708"/>
              <w:jc w:val="both"/>
              <w:rPr>
                <w:rFonts w:ascii="Verdana" w:eastAsia="Calibri" w:hAnsi="Verdana" w:cs="Arial"/>
                <w:lang w:eastAsia="es-ES"/>
              </w:rPr>
            </w:pPr>
            <w:r w:rsidRPr="006905C0">
              <w:rPr>
                <w:rFonts w:ascii="Verdana" w:eastAsia="Calibri" w:hAnsi="Verdana" w:cs="Arial"/>
                <w:lang w:val="es-CO" w:eastAsia="es-ES"/>
              </w:rPr>
              <w:lastRenderedPageBreak/>
              <w:t>En atención a lo anterior, se recomienda consultar la “Guía para el ejercicio de las funciones de Supervisión e Interventoría de los contratos del Estado” elaborada por la Agencia Nacional de Contratación Pública – Colombia Compra Eficiente, toda vez que en su capítulo V se desarrolla de manera detallada el régimen de responsabilidad civil, fiscal, penal y disciplinaria aplicable a los supervisores e interventores. Dicho capítulo constituye una herramienta fundamental para comprender el alcance jurídico de las actuaciones y omisiones en el ejercicio de estas funciones, así como las consecuencias derivadas del incumplimiento de los deberes propios de la supervisión y la interventoría contractual.</w:t>
            </w:r>
          </w:p>
          <w:p w14:paraId="350F52B3" w14:textId="77777777" w:rsidR="000B5583" w:rsidRDefault="000B5583" w:rsidP="00A15B1F">
            <w:pPr>
              <w:pStyle w:val="Prrafodelista"/>
              <w:spacing w:before="120" w:after="120" w:line="276" w:lineRule="auto"/>
              <w:ind w:left="0" w:firstLine="708"/>
              <w:jc w:val="both"/>
              <w:rPr>
                <w:rFonts w:ascii="Verdana" w:eastAsia="Calibri" w:hAnsi="Verdana" w:cs="Arial"/>
                <w:lang w:eastAsia="es-ES"/>
              </w:rPr>
            </w:pPr>
          </w:p>
          <w:p w14:paraId="4FED5380" w14:textId="65B03C89"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676C4CA1" w14:textId="54E6EB1D" w:rsidR="00C653EC" w:rsidRPr="00905A2C" w:rsidRDefault="00C653EC" w:rsidP="00C653EC">
      <w:pPr>
        <w:pStyle w:val="Prrafodelista"/>
        <w:tabs>
          <w:tab w:val="left" w:pos="284"/>
        </w:tabs>
        <w:spacing w:after="120" w:line="276" w:lineRule="auto"/>
        <w:ind w:left="0"/>
        <w:contextualSpacing w:val="0"/>
        <w:jc w:val="both"/>
        <w:rPr>
          <w:rFonts w:ascii="Verdana" w:eastAsia="Calibri" w:hAnsi="Verdana" w:cs="Arial"/>
          <w:bCs/>
          <w:lang w:eastAsia="es-MX"/>
        </w:rPr>
      </w:pPr>
      <w:bookmarkStart w:id="5" w:name="_Hlk108519028"/>
      <w:r>
        <w:rPr>
          <w:rFonts w:ascii="Verdana" w:eastAsia="Calibri" w:hAnsi="Verdana" w:cs="Arial"/>
          <w:color w:val="000000" w:themeColor="text1"/>
        </w:rPr>
        <w:t xml:space="preserve">        </w:t>
      </w:r>
      <w:r w:rsidRPr="00905A2C">
        <w:rPr>
          <w:rFonts w:ascii="Verdana" w:eastAsia="Calibri" w:hAnsi="Verdana" w:cs="Arial"/>
          <w:bCs/>
          <w:lang w:eastAsia="es-MX"/>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w:t>
      </w:r>
      <w:r w:rsidRPr="00905A2C">
        <w:rPr>
          <w:rStyle w:val="Refdenotaalpie"/>
          <w:rFonts w:ascii="Verdana" w:hAnsi="Verdana" w:cs="Arial"/>
        </w:rPr>
        <w:footnoteReference w:id="2"/>
      </w:r>
      <w:r w:rsidRPr="00905A2C">
        <w:rPr>
          <w:rFonts w:ascii="Verdana" w:eastAsia="Calibri" w:hAnsi="Verdana" w:cs="Arial"/>
          <w:bCs/>
          <w:lang w:eastAsia="es-MX"/>
        </w:rPr>
        <w:t xml:space="preserve">. Para la garantía </w:t>
      </w:r>
      <w:r w:rsidRPr="00905A2C">
        <w:rPr>
          <w:rFonts w:ascii="Verdana" w:eastAsia="Calibri" w:hAnsi="Verdana" w:cs="Arial"/>
          <w:bCs/>
          <w:lang w:eastAsia="es-MX"/>
        </w:rPr>
        <w:lastRenderedPageBreak/>
        <w:t xml:space="preserve">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Con esto se busca que las finalidades perseguidas con la celebración de los contratos estatales se logren de manera satisfactoria. </w:t>
      </w:r>
    </w:p>
    <w:p w14:paraId="40C4B845" w14:textId="77777777" w:rsidR="00C653EC" w:rsidRPr="00905A2C" w:rsidRDefault="00C653EC" w:rsidP="00C653EC">
      <w:pPr>
        <w:spacing w:after="120" w:line="276" w:lineRule="auto"/>
        <w:ind w:firstLine="708"/>
        <w:jc w:val="both"/>
        <w:rPr>
          <w:rFonts w:ascii="Verdana" w:hAnsi="Verdana" w:cs="Arial"/>
          <w:bCs/>
          <w:lang w:eastAsia="es-MX"/>
        </w:rPr>
      </w:pPr>
      <w:r w:rsidRPr="00905A2C">
        <w:rPr>
          <w:rFonts w:ascii="Verdana" w:hAnsi="Verdana" w:cs="Arial"/>
          <w:bCs/>
          <w:lang w:eastAsia="es-MX"/>
        </w:rPr>
        <w:t xml:space="preserve">Así, por ejemplo, </w:t>
      </w:r>
      <w:bookmarkStart w:id="6" w:name="_Hlk117850258"/>
      <w:r w:rsidRPr="00905A2C">
        <w:rPr>
          <w:rFonts w:ascii="Verdana" w:hAnsi="Verdana" w:cs="Arial"/>
          <w:bCs/>
          <w:lang w:eastAsia="es-MX"/>
        </w:rPr>
        <w:t>los artículos 4, 5, 12, 14 y 26 de la Ley 80 de 1993 consagran normas relacionadas con el control y vigilancia de la ejecución de los contratos estatales</w:t>
      </w:r>
      <w:bookmarkEnd w:id="6"/>
      <w:r w:rsidRPr="00905A2C">
        <w:rPr>
          <w:rFonts w:ascii="Verdana" w:hAnsi="Verdana" w:cs="Arial"/>
          <w:bCs/>
          <w:lang w:eastAsia="es-MX"/>
        </w:rPr>
        <w:t>.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55DE0B9A" w14:textId="77777777" w:rsidR="00C653EC" w:rsidRPr="00905A2C" w:rsidRDefault="00C653EC" w:rsidP="00C653EC">
      <w:pPr>
        <w:pStyle w:val="Sinespaciado"/>
        <w:spacing w:before="120" w:line="276" w:lineRule="auto"/>
        <w:ind w:firstLine="708"/>
        <w:jc w:val="both"/>
        <w:rPr>
          <w:rFonts w:ascii="Verdana" w:hAnsi="Verdana" w:cs="Arial"/>
          <w:bCs/>
          <w:sz w:val="22"/>
        </w:rPr>
      </w:pPr>
      <w:r w:rsidRPr="00905A2C">
        <w:rPr>
          <w:rFonts w:ascii="Verdana" w:hAnsi="Verdana" w:cs="Arial"/>
          <w:bCs/>
          <w:sz w:val="22"/>
        </w:rPr>
        <w:t>La jurisprudencia contencioso-administrativa ha considerado que la obligación de vigilar la correcta ejecución del objeto contractual es una función de la entidad contratante, en los siguientes términos:</w:t>
      </w:r>
    </w:p>
    <w:p w14:paraId="426FF94C" w14:textId="77777777" w:rsidR="00C653EC" w:rsidRPr="00905A2C" w:rsidRDefault="00C653EC" w:rsidP="00C653EC">
      <w:pPr>
        <w:pStyle w:val="Sinespaciado"/>
        <w:spacing w:line="276" w:lineRule="auto"/>
        <w:ind w:firstLine="708"/>
        <w:jc w:val="both"/>
        <w:rPr>
          <w:rFonts w:ascii="Verdana" w:hAnsi="Verdana" w:cs="Arial"/>
          <w:bCs/>
          <w:sz w:val="22"/>
        </w:rPr>
      </w:pPr>
    </w:p>
    <w:p w14:paraId="5CBBB718" w14:textId="77777777" w:rsidR="00C653EC" w:rsidRPr="00905A2C" w:rsidRDefault="00C653EC" w:rsidP="00C653EC">
      <w:pPr>
        <w:pStyle w:val="Sinespaciado"/>
        <w:ind w:left="709" w:right="709"/>
        <w:jc w:val="both"/>
        <w:rPr>
          <w:rFonts w:ascii="Verdana" w:hAnsi="Verdana" w:cs="Arial"/>
          <w:bCs/>
          <w:sz w:val="20"/>
          <w:szCs w:val="20"/>
          <w:lang w:val="es-CO"/>
        </w:rPr>
      </w:pPr>
      <w:r w:rsidRPr="00905A2C">
        <w:rPr>
          <w:rFonts w:ascii="Verdana" w:hAnsi="Verdana" w:cs="Arial"/>
          <w:bCs/>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905A2C">
        <w:rPr>
          <w:rStyle w:val="Refdenotaalpie"/>
          <w:rFonts w:ascii="Verdana" w:hAnsi="Verdana" w:cs="Arial"/>
          <w:bCs/>
          <w:sz w:val="20"/>
          <w:szCs w:val="20"/>
        </w:rPr>
        <w:footnoteReference w:id="3"/>
      </w:r>
      <w:r w:rsidRPr="00905A2C">
        <w:rPr>
          <w:rFonts w:ascii="Verdana" w:hAnsi="Verdana" w:cs="Arial"/>
          <w:bCs/>
          <w:sz w:val="20"/>
          <w:szCs w:val="20"/>
        </w:rPr>
        <w:t>.</w:t>
      </w:r>
    </w:p>
    <w:p w14:paraId="286BEF6F" w14:textId="77777777" w:rsidR="00C653EC" w:rsidRPr="00905A2C" w:rsidRDefault="00C653EC" w:rsidP="00C653EC">
      <w:pPr>
        <w:pStyle w:val="Sinespaciado"/>
        <w:spacing w:line="276" w:lineRule="auto"/>
        <w:ind w:firstLine="567"/>
        <w:jc w:val="both"/>
        <w:rPr>
          <w:rFonts w:ascii="Verdana" w:hAnsi="Verdana" w:cs="Arial"/>
          <w:bCs/>
          <w:sz w:val="22"/>
        </w:rPr>
      </w:pPr>
    </w:p>
    <w:p w14:paraId="4FCD3563" w14:textId="77777777" w:rsidR="00C653EC" w:rsidRPr="00905A2C" w:rsidRDefault="00C653EC" w:rsidP="00C653EC">
      <w:pPr>
        <w:pStyle w:val="Sinespaciado"/>
        <w:spacing w:line="276" w:lineRule="auto"/>
        <w:ind w:firstLine="567"/>
        <w:jc w:val="both"/>
        <w:rPr>
          <w:rFonts w:ascii="Verdana" w:hAnsi="Verdana" w:cs="Arial"/>
          <w:bCs/>
          <w:sz w:val="22"/>
        </w:rPr>
      </w:pPr>
      <w:r w:rsidRPr="00905A2C">
        <w:rPr>
          <w:rFonts w:ascii="Verdana" w:hAnsi="Verdana" w:cs="Arial"/>
          <w:bCs/>
          <w:sz w:val="22"/>
        </w:rPr>
        <w:t>Así mismo, esta Agencia se ha pronunciado sobre el deber de vigilancia y control del contrato estatal. En el concepto emitido por esta Agencia con el radicado 4201913000008240 del 20 de diciembre de 2019 se señaló que:</w:t>
      </w:r>
    </w:p>
    <w:p w14:paraId="0E85FC6C" w14:textId="77777777" w:rsidR="00C653EC" w:rsidRPr="00905A2C" w:rsidRDefault="00C653EC" w:rsidP="00C653EC">
      <w:pPr>
        <w:pStyle w:val="Sinespaciado"/>
        <w:spacing w:line="276" w:lineRule="auto"/>
        <w:ind w:firstLine="567"/>
        <w:jc w:val="both"/>
        <w:rPr>
          <w:rFonts w:ascii="Verdana" w:hAnsi="Verdana" w:cs="Arial"/>
          <w:bCs/>
          <w:sz w:val="22"/>
        </w:rPr>
      </w:pPr>
    </w:p>
    <w:p w14:paraId="45316C76" w14:textId="77777777" w:rsidR="00C653EC" w:rsidRPr="00905A2C" w:rsidRDefault="00C653EC" w:rsidP="00C653EC">
      <w:pPr>
        <w:pStyle w:val="Sinespaciado"/>
        <w:ind w:left="709" w:right="709"/>
        <w:jc w:val="both"/>
        <w:rPr>
          <w:rFonts w:ascii="Verdana" w:hAnsi="Verdana" w:cs="Arial"/>
          <w:bCs/>
          <w:sz w:val="20"/>
          <w:szCs w:val="20"/>
        </w:rPr>
      </w:pPr>
      <w:r w:rsidRPr="00905A2C">
        <w:rPr>
          <w:rFonts w:ascii="Verdana" w:hAnsi="Verdana" w:cs="Arial"/>
          <w:bCs/>
          <w:sz w:val="20"/>
          <w:szCs w:val="20"/>
        </w:rPr>
        <w:t xml:space="preserve">“el seguimiento de la ejecución del contrato para su dirección, control y vigilancia del correcto cumplimiento del objeto es un deber legal que </w:t>
      </w:r>
      <w:r w:rsidRPr="00905A2C">
        <w:rPr>
          <w:rFonts w:ascii="Verdana" w:hAnsi="Verdana" w:cs="Arial"/>
          <w:bCs/>
          <w:sz w:val="20"/>
          <w:szCs w:val="20"/>
        </w:rPr>
        <w:lastRenderedPageBreak/>
        <w:t>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141AD1AC" w14:textId="77777777" w:rsidR="00C653EC" w:rsidRPr="00905A2C" w:rsidRDefault="00C653EC" w:rsidP="00C653EC">
      <w:pPr>
        <w:pStyle w:val="Sinespaciado"/>
        <w:spacing w:line="276" w:lineRule="auto"/>
        <w:ind w:firstLine="567"/>
        <w:jc w:val="both"/>
        <w:rPr>
          <w:rFonts w:ascii="Verdana" w:hAnsi="Verdana" w:cs="Arial"/>
          <w:bCs/>
          <w:sz w:val="22"/>
        </w:rPr>
      </w:pPr>
    </w:p>
    <w:p w14:paraId="63EA6F0D" w14:textId="77777777" w:rsidR="00C653EC" w:rsidRPr="00905A2C" w:rsidRDefault="00C653EC" w:rsidP="00C653EC">
      <w:pPr>
        <w:pStyle w:val="Sinespaciado"/>
        <w:spacing w:after="120" w:line="276" w:lineRule="auto"/>
        <w:ind w:firstLine="709"/>
        <w:jc w:val="both"/>
        <w:rPr>
          <w:rFonts w:ascii="Verdana" w:hAnsi="Verdana" w:cs="Arial"/>
          <w:bCs/>
          <w:sz w:val="22"/>
        </w:rPr>
      </w:pPr>
      <w:r w:rsidRPr="00905A2C">
        <w:rPr>
          <w:rFonts w:ascii="Verdana" w:hAnsi="Verdana" w:cs="Arial"/>
          <w:bCs/>
          <w:sz w:val="22"/>
        </w:rPr>
        <w:t>Las Leyes 1150 de 2007 y 1474 de 2011 complementan el régimen jurídico de la obligación de vigilar la ejecución de los contratos estatales. Allí se impone, entre otros postulados, el debido proceso como principio rector en materia sancionatoria contractual, para la imposición de multas y la decisión de hacer efectiva la cláusula penal; principio que se debe respetar en el ejercicio del control y vigilancia de la ejecución contractual</w:t>
      </w:r>
      <w:r w:rsidRPr="00905A2C">
        <w:rPr>
          <w:rStyle w:val="Refdenotaalpie"/>
          <w:rFonts w:ascii="Verdana" w:hAnsi="Verdana" w:cs="Arial"/>
          <w:bCs/>
          <w:sz w:val="22"/>
        </w:rPr>
        <w:footnoteReference w:id="4"/>
      </w:r>
      <w:r w:rsidRPr="00905A2C">
        <w:rPr>
          <w:rFonts w:ascii="Verdana" w:hAnsi="Verdana" w:cs="Arial"/>
          <w:bCs/>
          <w:sz w:val="22"/>
        </w:rPr>
        <w:t>. También se establecen los límites de la responsabilidad del representante legal ante la delegación de sus funciones en materia contractual</w:t>
      </w:r>
      <w:r w:rsidRPr="00905A2C">
        <w:rPr>
          <w:rStyle w:val="Refdenotaalpie"/>
          <w:rFonts w:ascii="Verdana" w:hAnsi="Verdana" w:cs="Arial"/>
          <w:bCs/>
          <w:sz w:val="22"/>
        </w:rPr>
        <w:footnoteReference w:id="5"/>
      </w:r>
      <w:r w:rsidRPr="00905A2C">
        <w:rPr>
          <w:rFonts w:ascii="Verdana" w:hAnsi="Verdana" w:cs="Arial"/>
          <w:bCs/>
          <w:sz w:val="22"/>
        </w:rPr>
        <w:t>. Igualmente, se regula la supervisión y la interventoría de los contratos estatales</w:t>
      </w:r>
      <w:r w:rsidRPr="00905A2C">
        <w:rPr>
          <w:rStyle w:val="Refdenotaalpie"/>
          <w:rFonts w:ascii="Verdana" w:hAnsi="Verdana" w:cs="Arial"/>
          <w:bCs/>
          <w:sz w:val="22"/>
        </w:rPr>
        <w:footnoteReference w:id="6"/>
      </w:r>
      <w:r w:rsidRPr="00905A2C">
        <w:rPr>
          <w:rFonts w:ascii="Verdana" w:hAnsi="Verdana" w:cs="Arial"/>
          <w:bCs/>
          <w:sz w:val="22"/>
        </w:rPr>
        <w:t xml:space="preserve">.  </w:t>
      </w:r>
    </w:p>
    <w:p w14:paraId="33B32F13" w14:textId="77777777" w:rsidR="00C653EC" w:rsidRPr="00905A2C" w:rsidRDefault="00C653EC" w:rsidP="00C653EC">
      <w:pPr>
        <w:pStyle w:val="Sinespaciado"/>
        <w:spacing w:after="120" w:line="276" w:lineRule="auto"/>
        <w:ind w:firstLine="709"/>
        <w:jc w:val="both"/>
        <w:rPr>
          <w:rFonts w:ascii="Verdana" w:hAnsi="Verdana" w:cs="Arial"/>
          <w:sz w:val="22"/>
        </w:rPr>
      </w:pPr>
      <w:r w:rsidRPr="00905A2C">
        <w:rPr>
          <w:rFonts w:ascii="Verdana" w:hAnsi="Verdana" w:cs="Arial"/>
          <w:sz w:val="22"/>
        </w:rPr>
        <w:t xml:space="preserve">Particularmente, la Ley 1474 de 2011 enmarcó el seguimiento, control y vigilancia de la ejecución del contrato estatal dentro del principio de moralidad administrativa. El artículo 83 </w:t>
      </w:r>
      <w:r w:rsidRPr="00905A2C">
        <w:rPr>
          <w:rFonts w:ascii="Verdana" w:hAnsi="Verdana" w:cs="Arial"/>
          <w:i/>
          <w:iCs/>
          <w:sz w:val="22"/>
        </w:rPr>
        <w:t xml:space="preserve">ibidem </w:t>
      </w:r>
      <w:r w:rsidRPr="00905A2C">
        <w:rPr>
          <w:rFonts w:ascii="Verdana" w:hAnsi="Verdana" w:cs="Arial"/>
          <w:sz w:val="22"/>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7C21AE36" w14:textId="77777777" w:rsidR="00C653EC" w:rsidRPr="00905A2C" w:rsidRDefault="00C653EC" w:rsidP="00C653EC">
      <w:pPr>
        <w:pStyle w:val="Sinespaciado"/>
        <w:spacing w:line="276" w:lineRule="auto"/>
        <w:ind w:firstLine="709"/>
        <w:jc w:val="both"/>
        <w:rPr>
          <w:rFonts w:ascii="Verdana" w:hAnsi="Verdana" w:cs="Arial"/>
          <w:sz w:val="22"/>
        </w:rPr>
      </w:pPr>
      <w:r w:rsidRPr="00905A2C">
        <w:rPr>
          <w:rFonts w:ascii="Verdana" w:hAnsi="Verdana" w:cs="Arial"/>
          <w:sz w:val="22"/>
        </w:rPr>
        <w:t xml:space="preserve">El legislador además definió las nociones de </w:t>
      </w:r>
      <w:r w:rsidRPr="00905A2C">
        <w:rPr>
          <w:rFonts w:ascii="Verdana" w:hAnsi="Verdana" w:cs="Arial"/>
          <w:i/>
          <w:iCs/>
          <w:sz w:val="22"/>
        </w:rPr>
        <w:t>supervisión</w:t>
      </w:r>
      <w:r w:rsidRPr="00905A2C">
        <w:rPr>
          <w:rFonts w:ascii="Verdana" w:hAnsi="Verdana" w:cs="Arial"/>
          <w:sz w:val="22"/>
        </w:rPr>
        <w:t xml:space="preserve"> e </w:t>
      </w:r>
      <w:r w:rsidRPr="00905A2C">
        <w:rPr>
          <w:rFonts w:ascii="Verdana" w:hAnsi="Verdana" w:cs="Arial"/>
          <w:i/>
          <w:iCs/>
          <w:sz w:val="22"/>
        </w:rPr>
        <w:t>interventoría</w:t>
      </w:r>
      <w:r w:rsidRPr="00905A2C">
        <w:rPr>
          <w:rFonts w:ascii="Verdana" w:hAnsi="Verdana" w:cs="Arial"/>
          <w:sz w:val="22"/>
        </w:rPr>
        <w:t xml:space="preserve">, como mecanismos que pueden usar las Entidades Estatales para vigilar el contrato, en estos términos: </w:t>
      </w:r>
    </w:p>
    <w:p w14:paraId="3325444E" w14:textId="77777777" w:rsidR="00C653EC" w:rsidRPr="00905A2C" w:rsidRDefault="00C653EC" w:rsidP="00C653EC">
      <w:pPr>
        <w:pStyle w:val="Sinespaciado"/>
        <w:spacing w:line="276" w:lineRule="auto"/>
        <w:ind w:firstLine="709"/>
        <w:jc w:val="both"/>
        <w:rPr>
          <w:rFonts w:ascii="Verdana" w:hAnsi="Verdana" w:cs="Arial"/>
          <w:sz w:val="22"/>
        </w:rPr>
      </w:pPr>
    </w:p>
    <w:p w14:paraId="37BA3363" w14:textId="77777777" w:rsidR="00C653EC" w:rsidRPr="00905A2C" w:rsidRDefault="00C653EC" w:rsidP="00C653EC">
      <w:pPr>
        <w:pStyle w:val="Sinespaciado"/>
        <w:ind w:left="709" w:right="709"/>
        <w:jc w:val="both"/>
        <w:rPr>
          <w:rFonts w:ascii="Verdana" w:hAnsi="Verdana" w:cs="Arial"/>
          <w:sz w:val="20"/>
          <w:szCs w:val="20"/>
        </w:rPr>
      </w:pPr>
      <w:r w:rsidRPr="00905A2C">
        <w:rPr>
          <w:rFonts w:ascii="Verdana" w:hAnsi="Verdana" w:cs="Arial"/>
          <w:sz w:val="20"/>
          <w:szCs w:val="20"/>
        </w:rPr>
        <w:t xml:space="preserve">“La supervisión consistirá en el seguimiento técnico, administrativo, financiero, contable, y jurídico </w:t>
      </w:r>
      <w:proofErr w:type="gramStart"/>
      <w:r w:rsidRPr="00905A2C">
        <w:rPr>
          <w:rFonts w:ascii="Verdana" w:hAnsi="Verdana" w:cs="Arial"/>
          <w:sz w:val="20"/>
          <w:szCs w:val="20"/>
        </w:rPr>
        <w:t>que</w:t>
      </w:r>
      <w:proofErr w:type="gramEnd"/>
      <w:r w:rsidRPr="00905A2C">
        <w:rPr>
          <w:rFonts w:ascii="Verdana" w:hAnsi="Verdana" w:cs="Arial"/>
          <w:sz w:val="20"/>
          <w:szCs w:val="20"/>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7D5228A4" w14:textId="77777777" w:rsidR="00C653EC" w:rsidRPr="00905A2C" w:rsidRDefault="00C653EC" w:rsidP="00C653EC">
      <w:pPr>
        <w:pStyle w:val="Sinespaciado"/>
        <w:ind w:left="709" w:right="709"/>
        <w:jc w:val="both"/>
        <w:rPr>
          <w:rFonts w:ascii="Verdana" w:hAnsi="Verdana" w:cs="Arial"/>
          <w:sz w:val="20"/>
          <w:szCs w:val="20"/>
        </w:rPr>
      </w:pPr>
    </w:p>
    <w:p w14:paraId="53EE06F3" w14:textId="77777777" w:rsidR="00C653EC" w:rsidRPr="00905A2C" w:rsidRDefault="00C653EC" w:rsidP="00C653EC">
      <w:pPr>
        <w:pStyle w:val="Sinespaciado"/>
        <w:ind w:left="709" w:right="709"/>
        <w:jc w:val="both"/>
        <w:rPr>
          <w:rFonts w:ascii="Verdana" w:hAnsi="Verdana" w:cs="Arial"/>
          <w:sz w:val="20"/>
          <w:szCs w:val="20"/>
        </w:rPr>
      </w:pPr>
      <w:r w:rsidRPr="00905A2C">
        <w:rPr>
          <w:rFonts w:ascii="Verdana" w:hAnsi="Verdana" w:cs="Arial"/>
          <w:sz w:val="20"/>
          <w:szCs w:val="20"/>
        </w:rPr>
        <w:lastRenderedPageBreak/>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6D8D7D5A" w14:textId="77777777" w:rsidR="00C653EC" w:rsidRPr="00905A2C" w:rsidRDefault="00C653EC" w:rsidP="00C653EC">
      <w:pPr>
        <w:pStyle w:val="Sinespaciado"/>
        <w:spacing w:line="276" w:lineRule="auto"/>
        <w:jc w:val="both"/>
        <w:rPr>
          <w:rFonts w:ascii="Verdana" w:hAnsi="Verdana" w:cs="Arial"/>
          <w:sz w:val="22"/>
          <w:lang w:val="es-ES"/>
        </w:rPr>
      </w:pPr>
    </w:p>
    <w:p w14:paraId="680EE72B" w14:textId="77777777" w:rsidR="00C653EC" w:rsidRPr="00905A2C" w:rsidRDefault="00C653EC" w:rsidP="00C653EC">
      <w:pPr>
        <w:spacing w:after="120" w:line="276" w:lineRule="auto"/>
        <w:ind w:firstLine="709"/>
        <w:jc w:val="both"/>
        <w:rPr>
          <w:rFonts w:ascii="Verdana" w:eastAsia="Calibri" w:hAnsi="Verdana" w:cs="Arial"/>
          <w:lang w:val="es-ES"/>
        </w:rPr>
      </w:pPr>
      <w:r w:rsidRPr="00905A2C">
        <w:rPr>
          <w:rFonts w:ascii="Verdana" w:hAnsi="Verdana" w:cs="Arial"/>
        </w:rPr>
        <w:t>Del primer concepto, se extractan las siguientes características</w:t>
      </w:r>
      <w:r w:rsidRPr="00905A2C">
        <w:rPr>
          <w:rFonts w:ascii="Verdana" w:eastAsia="Calibri" w:hAnsi="Verdana" w:cs="Arial"/>
          <w:lang w:val="es-ES"/>
        </w:rPr>
        <w:t xml:space="preserve"> en relación con la supervisión: i) la labor de supervisión siempre existirá en relación con cualquier contrato estatal, salvo cuando se realice la vigilancia a través de la interventoría, caso en el cual podrán concurrir informando en el contrato de interventoría la división de dicha vigilancia. Por su parte, la interventoría se contratara dependiendo del análisis de su necesidad y extensión</w:t>
      </w:r>
      <w:r w:rsidRPr="00905A2C">
        <w:rPr>
          <w:rFonts w:ascii="Verdana" w:eastAsia="Calibri" w:hAnsi="Verdana" w:cs="Arial"/>
          <w:vertAlign w:val="superscript"/>
          <w:lang w:val="es-ES"/>
        </w:rPr>
        <w:footnoteReference w:id="7"/>
      </w:r>
      <w:r w:rsidRPr="00905A2C">
        <w:rPr>
          <w:rFonts w:ascii="Verdana" w:eastAsia="Calibri" w:hAnsi="Verdana" w:cs="Arial"/>
          <w:lang w:val="es-ES"/>
        </w:rPr>
        <w:t xml:space="preserve">; </w:t>
      </w:r>
      <w:proofErr w:type="spellStart"/>
      <w:r w:rsidRPr="00905A2C">
        <w:rPr>
          <w:rFonts w:ascii="Verdana" w:eastAsia="Calibri" w:hAnsi="Verdana" w:cs="Arial"/>
          <w:lang w:val="es-ES"/>
        </w:rPr>
        <w:t>ii</w:t>
      </w:r>
      <w:proofErr w:type="spellEnd"/>
      <w:r w:rsidRPr="00905A2C">
        <w:rPr>
          <w:rFonts w:ascii="Verdana" w:eastAsia="Calibri" w:hAnsi="Verdana" w:cs="Arial"/>
          <w:lang w:val="es-ES"/>
        </w:rPr>
        <w:t xml:space="preserve">) no requiere conocimientos especializados como la interventoría; </w:t>
      </w:r>
      <w:proofErr w:type="spellStart"/>
      <w:r w:rsidRPr="00905A2C">
        <w:rPr>
          <w:rFonts w:ascii="Verdana" w:eastAsia="Calibri" w:hAnsi="Verdana" w:cs="Arial"/>
          <w:lang w:val="es-ES"/>
        </w:rPr>
        <w:t>iii</w:t>
      </w:r>
      <w:proofErr w:type="spellEnd"/>
      <w:r w:rsidRPr="00905A2C">
        <w:rPr>
          <w:rFonts w:ascii="Verdana" w:eastAsia="Calibri" w:hAnsi="Verdana" w:cs="Arial"/>
          <w:lang w:val="es-ES"/>
        </w:rPr>
        <w:t xml:space="preserve">) se ejerce por la Entidad Estatal por conducto de la </w:t>
      </w:r>
      <w:r w:rsidRPr="00905A2C">
        <w:rPr>
          <w:rFonts w:ascii="Verdana" w:eastAsia="Calibri" w:hAnsi="Verdana" w:cs="Arial"/>
          <w:i/>
          <w:iCs/>
          <w:lang w:val="es-ES"/>
        </w:rPr>
        <w:t xml:space="preserve">designación </w:t>
      </w:r>
      <w:r w:rsidRPr="00905A2C">
        <w:rPr>
          <w:rFonts w:ascii="Verdana" w:eastAsia="Calibri" w:hAnsi="Verdana" w:cs="Arial"/>
          <w:lang w:val="es-ES"/>
        </w:rPr>
        <w:t xml:space="preserve">– y no por la delegación como se explicara más adelante – de servidores públicos idóneos para cumplir la función; </w:t>
      </w:r>
      <w:proofErr w:type="spellStart"/>
      <w:r w:rsidRPr="00905A2C">
        <w:rPr>
          <w:rFonts w:ascii="Verdana" w:eastAsia="Calibri" w:hAnsi="Verdana" w:cs="Arial"/>
          <w:lang w:val="es-ES"/>
        </w:rPr>
        <w:t>iv</w:t>
      </w:r>
      <w:proofErr w:type="spellEnd"/>
      <w:r w:rsidRPr="00905A2C">
        <w:rPr>
          <w:rFonts w:ascii="Verdana" w:eastAsia="Calibri" w:hAnsi="Verdana" w:cs="Arial"/>
          <w:lang w:val="es-ES"/>
        </w:rPr>
        <w:t>) puede recibir apoyo de personal contratado para tal fin mediante contratos de prestación de servicios; v) le es inherente el seguimiento técnico, administrativo, financiero, contable, y jurídico del contrato vigilado</w:t>
      </w:r>
      <w:r w:rsidRPr="00905A2C">
        <w:rPr>
          <w:rStyle w:val="Refdenotaalpie"/>
          <w:rFonts w:ascii="Verdana" w:hAnsi="Verdana" w:cs="Arial"/>
        </w:rPr>
        <w:footnoteReference w:id="8"/>
      </w:r>
      <w:r w:rsidRPr="00905A2C">
        <w:rPr>
          <w:rFonts w:ascii="Verdana" w:eastAsia="Calibri" w:hAnsi="Verdana" w:cs="Arial"/>
          <w:lang w:val="es-ES"/>
        </w:rPr>
        <w:t>.</w:t>
      </w:r>
    </w:p>
    <w:p w14:paraId="1EC75808" w14:textId="77777777" w:rsidR="00C653EC" w:rsidRPr="00905A2C" w:rsidRDefault="00C653EC" w:rsidP="00C653EC">
      <w:pPr>
        <w:pStyle w:val="Sinespaciado"/>
        <w:spacing w:after="120" w:line="276" w:lineRule="auto"/>
        <w:ind w:firstLine="709"/>
        <w:jc w:val="both"/>
        <w:rPr>
          <w:rFonts w:ascii="Verdana" w:hAnsi="Verdana" w:cs="Arial"/>
          <w:sz w:val="22"/>
        </w:rPr>
      </w:pPr>
      <w:r w:rsidRPr="00905A2C">
        <w:rPr>
          <w:rFonts w:ascii="Verdana" w:hAnsi="Verdana" w:cs="Arial"/>
          <w:sz w:val="22"/>
        </w:rPr>
        <w:t>En cuanto a la designación del supervisor, la Agencia Nacional de Contratación Pública – Colombia Compra Eficiente, en la “Guía para el ejercicio de las funciones de supervisión e interventoría de los contratos del Estado”</w:t>
      </w:r>
      <w:r w:rsidRPr="00905A2C">
        <w:rPr>
          <w:rStyle w:val="Refdenotaalpie"/>
          <w:rFonts w:ascii="Verdana" w:hAnsi="Verdana" w:cs="Arial"/>
          <w:sz w:val="22"/>
        </w:rPr>
        <w:footnoteReference w:id="9"/>
      </w:r>
      <w:r w:rsidRPr="00905A2C">
        <w:rPr>
          <w:rFonts w:ascii="Verdana" w:hAnsi="Verdana" w:cs="Arial"/>
          <w:sz w:val="22"/>
        </w:rPr>
        <w:t xml:space="preserve"> recomienda que esta se haga por un funcionario público quién pueda actuar al menos como par del contratista y que tenga asignadas funciones relacionadas con el objeto contractual. Así mismo, en dicha Guía se señala que la designación debe estar antecedida por un análisis de la carga operativa del funcionario al que se le asigna la función, para no incurrir en el riesgo de que el supervisor no pueda desempeñar la labor de manera adecuada. </w:t>
      </w:r>
    </w:p>
    <w:p w14:paraId="6088E499" w14:textId="77777777" w:rsidR="00C653EC" w:rsidRPr="00905A2C" w:rsidRDefault="00C653EC" w:rsidP="00C653EC">
      <w:pPr>
        <w:pStyle w:val="Sinespaciado"/>
        <w:spacing w:after="120" w:line="276" w:lineRule="auto"/>
        <w:ind w:firstLine="709"/>
        <w:jc w:val="both"/>
        <w:rPr>
          <w:rFonts w:ascii="Verdana" w:hAnsi="Verdana" w:cs="Arial"/>
          <w:sz w:val="22"/>
        </w:rPr>
      </w:pPr>
      <w:r w:rsidRPr="00905A2C">
        <w:rPr>
          <w:rFonts w:ascii="Verdana" w:hAnsi="Verdana" w:cs="Arial"/>
          <w:sz w:val="22"/>
        </w:rPr>
        <w:t xml:space="preserve">Ahora bien, en relación con el primer problema jurídico debe señalarse que, de acuerdo con la Ley 489 de 1998 la delegación es la transferencia del </w:t>
      </w:r>
      <w:r w:rsidRPr="00905A2C">
        <w:rPr>
          <w:rFonts w:ascii="Verdana" w:hAnsi="Verdana" w:cs="Arial"/>
          <w:sz w:val="22"/>
        </w:rPr>
        <w:lastRenderedPageBreak/>
        <w:t>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7EB6BC89" w14:textId="77777777" w:rsidR="00C653EC" w:rsidRPr="00905A2C" w:rsidRDefault="00C653EC" w:rsidP="00C653EC">
      <w:pPr>
        <w:pStyle w:val="Sinespaciado"/>
        <w:spacing w:after="120" w:line="276" w:lineRule="auto"/>
        <w:ind w:firstLine="709"/>
        <w:jc w:val="both"/>
        <w:rPr>
          <w:rFonts w:ascii="Verdana" w:hAnsi="Verdana" w:cs="Arial"/>
          <w:sz w:val="22"/>
        </w:rPr>
      </w:pPr>
      <w:r w:rsidRPr="00905A2C">
        <w:rPr>
          <w:rFonts w:ascii="Verdana" w:hAnsi="Verdana" w:cs="Arial"/>
          <w:sz w:val="22"/>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del mismo. </w:t>
      </w:r>
    </w:p>
    <w:p w14:paraId="436BD6BF" w14:textId="77777777" w:rsidR="00C653EC" w:rsidRPr="00905A2C" w:rsidRDefault="00C653EC" w:rsidP="00C653EC">
      <w:pPr>
        <w:pStyle w:val="Sinespaciado"/>
        <w:spacing w:after="120" w:line="276" w:lineRule="auto"/>
        <w:ind w:firstLine="709"/>
        <w:jc w:val="both"/>
        <w:rPr>
          <w:rFonts w:ascii="Verdana" w:hAnsi="Verdana" w:cs="Arial"/>
          <w:sz w:val="22"/>
        </w:rPr>
      </w:pPr>
      <w:r w:rsidRPr="00905A2C">
        <w:rPr>
          <w:rFonts w:ascii="Verdana" w:hAnsi="Verdana" w:cs="Arial"/>
          <w:sz w:val="22"/>
        </w:rPr>
        <w:t>Para tales efectos podrán definirse las funciones del supervisor en el pliego de condiciones, en una cláusula del contrato, en el manual de contratación o en el acto de la asignación de la función al servidor público escogido para ejercer la supervisión</w:t>
      </w:r>
      <w:r w:rsidRPr="00905A2C">
        <w:rPr>
          <w:rStyle w:val="Refdenotaalpie"/>
          <w:rFonts w:ascii="Verdana" w:hAnsi="Verdana" w:cs="Arial"/>
          <w:sz w:val="22"/>
        </w:rPr>
        <w:footnoteReference w:id="10"/>
      </w:r>
      <w:r w:rsidRPr="00905A2C">
        <w:rPr>
          <w:rFonts w:ascii="Verdana" w:hAnsi="Verdana" w:cs="Arial"/>
          <w:sz w:val="22"/>
        </w:rPr>
        <w:t xml:space="preserve">.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del mismo al funcionario designado informando que va a ser el supervisor. Así mismo, en los procesos adelantados a través de la plataforma SECOP II se debe realizar la designación a través de la misma.  </w:t>
      </w:r>
    </w:p>
    <w:p w14:paraId="54F11E55" w14:textId="1F9F2DBC" w:rsidR="00C653EC" w:rsidRPr="00905A2C" w:rsidRDefault="00C653EC" w:rsidP="00C653EC">
      <w:pPr>
        <w:spacing w:after="0" w:line="276" w:lineRule="auto"/>
        <w:ind w:firstLine="709"/>
        <w:jc w:val="both"/>
        <w:rPr>
          <w:rFonts w:ascii="Verdana" w:eastAsia="Calibri" w:hAnsi="Verdana" w:cs="Arial"/>
          <w:lang w:val="es-ES" w:eastAsia="es-ES"/>
        </w:rPr>
      </w:pPr>
      <w:r w:rsidRPr="00905A2C">
        <w:rPr>
          <w:rFonts w:ascii="Verdana" w:eastAsia="Calibri" w:hAnsi="Verdana" w:cs="Arial"/>
          <w:lang w:val="es-ES"/>
        </w:rPr>
        <w:t xml:space="preserve">Respecto </w:t>
      </w:r>
      <w:r>
        <w:rPr>
          <w:rFonts w:ascii="Verdana" w:eastAsia="Calibri" w:hAnsi="Verdana" w:cs="Arial"/>
          <w:lang w:val="es-ES"/>
        </w:rPr>
        <w:t xml:space="preserve">a la liquidación de los contratos </w:t>
      </w:r>
      <w:r w:rsidRPr="00905A2C">
        <w:rPr>
          <w:rFonts w:ascii="Verdana" w:eastAsia="Calibri" w:hAnsi="Verdana" w:cs="Arial"/>
          <w:lang w:val="es-ES"/>
        </w:rPr>
        <w:t xml:space="preserve">debe advertirse que, </w:t>
      </w:r>
      <w:r w:rsidRPr="00905A2C">
        <w:rPr>
          <w:rFonts w:ascii="Verdana" w:eastAsia="Calibri" w:hAnsi="Verdana" w:cs="Arial"/>
          <w:lang w:val="es-ES_tradnl"/>
        </w:rPr>
        <w:t xml:space="preserve">la liquidación es el momento en el cual, una vez concluido el contrato estatal, las partes cruzan cuentas respecto de sus obligaciones. Por tanto, su objetivo es determinar si pueden declararse a paz y salvo mutuo o si, por el contrario, </w:t>
      </w:r>
      <w:r w:rsidRPr="00905A2C">
        <w:rPr>
          <w:rFonts w:ascii="Verdana" w:eastAsia="Calibri" w:hAnsi="Verdana" w:cs="Arial"/>
          <w:lang w:val="es-ES_tradnl"/>
        </w:rPr>
        <w:lastRenderedPageBreak/>
        <w:t>existen aún obligaciones por cumplir, para acordar la forma en que deben ser cumplidas</w:t>
      </w:r>
      <w:r w:rsidRPr="00905A2C">
        <w:rPr>
          <w:rFonts w:ascii="Verdana" w:eastAsia="Calibri" w:hAnsi="Verdana" w:cs="Arial"/>
          <w:vertAlign w:val="superscript"/>
          <w:lang w:val="es-ES_tradnl"/>
        </w:rPr>
        <w:footnoteReference w:id="11"/>
      </w:r>
      <w:r w:rsidRPr="00905A2C">
        <w:rPr>
          <w:rFonts w:ascii="Verdana" w:eastAsia="Calibri" w:hAnsi="Verdana" w:cs="Arial"/>
          <w:lang w:val="es-ES_tradnl"/>
        </w:rPr>
        <w:t xml:space="preserve">. </w:t>
      </w:r>
      <w:r w:rsidRPr="00905A2C">
        <w:rPr>
          <w:rFonts w:ascii="Verdana" w:hAnsi="Verdana" w:cs="Arial"/>
          <w:lang w:val="es-ES_tradnl"/>
        </w:rPr>
        <w:t>En armonía con lo esto, la doctrina ha definido la liquidación de la siguiente manera:</w:t>
      </w:r>
    </w:p>
    <w:p w14:paraId="41257EF7" w14:textId="77777777" w:rsidR="00C653EC" w:rsidRPr="00905A2C" w:rsidRDefault="00C653EC" w:rsidP="00C653EC">
      <w:pPr>
        <w:spacing w:after="0" w:line="276" w:lineRule="auto"/>
        <w:jc w:val="both"/>
        <w:rPr>
          <w:rFonts w:ascii="Verdana" w:hAnsi="Verdana" w:cs="Arial"/>
          <w:lang w:val="es-ES_tradnl"/>
        </w:rPr>
      </w:pPr>
    </w:p>
    <w:p w14:paraId="5684ACA2" w14:textId="77777777" w:rsidR="00C653EC" w:rsidRPr="00905A2C" w:rsidRDefault="00C653EC" w:rsidP="00C653EC">
      <w:pPr>
        <w:spacing w:after="0" w:line="240" w:lineRule="auto"/>
        <w:ind w:left="709" w:right="709"/>
        <w:jc w:val="both"/>
        <w:rPr>
          <w:rFonts w:ascii="Verdana" w:hAnsi="Verdana" w:cs="Arial"/>
          <w:sz w:val="20"/>
          <w:szCs w:val="20"/>
          <w:lang w:val="es-MX"/>
        </w:rPr>
      </w:pPr>
      <w:r w:rsidRPr="00905A2C">
        <w:rPr>
          <w:rFonts w:ascii="Verdana" w:hAnsi="Verdana" w:cs="Arial"/>
          <w:sz w:val="20"/>
          <w:szCs w:val="20"/>
          <w:lang w:val="es-ES_tradnl"/>
        </w:rPr>
        <w:t>“</w:t>
      </w:r>
      <w:r w:rsidRPr="00905A2C">
        <w:rPr>
          <w:rFonts w:ascii="Verdana"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cuanto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905A2C">
        <w:rPr>
          <w:rFonts w:ascii="Verdana" w:hAnsi="Verdana" w:cs="Arial"/>
          <w:sz w:val="20"/>
          <w:szCs w:val="20"/>
          <w:lang w:val="es-MX"/>
        </w:rPr>
        <w:t>ii</w:t>
      </w:r>
      <w:proofErr w:type="spellEnd"/>
      <w:r w:rsidRPr="00905A2C">
        <w:rPr>
          <w:rFonts w:ascii="Verdana"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905A2C">
        <w:rPr>
          <w:rFonts w:ascii="Verdana" w:hAnsi="Verdana" w:cs="Arial"/>
          <w:sz w:val="20"/>
          <w:szCs w:val="20"/>
          <w:vertAlign w:val="superscript"/>
          <w:lang w:val="es-MX"/>
        </w:rPr>
        <w:footnoteReference w:id="12"/>
      </w:r>
      <w:r w:rsidRPr="00905A2C">
        <w:rPr>
          <w:rFonts w:ascii="Verdana" w:hAnsi="Verdana" w:cs="Arial"/>
          <w:sz w:val="20"/>
          <w:szCs w:val="20"/>
          <w:lang w:val="es-MX"/>
        </w:rPr>
        <w:t xml:space="preserve"> </w:t>
      </w:r>
    </w:p>
    <w:p w14:paraId="3ADFBA10" w14:textId="77777777" w:rsidR="00C653EC" w:rsidRPr="00905A2C" w:rsidRDefault="00C653EC" w:rsidP="00C653EC">
      <w:pPr>
        <w:spacing w:after="0" w:line="276" w:lineRule="auto"/>
        <w:jc w:val="both"/>
        <w:rPr>
          <w:rFonts w:ascii="Verdana" w:hAnsi="Verdana" w:cs="Arial"/>
          <w:lang w:val="es-MX"/>
        </w:rPr>
      </w:pPr>
    </w:p>
    <w:p w14:paraId="33F1D147" w14:textId="77777777" w:rsidR="00C653EC" w:rsidRPr="00905A2C" w:rsidRDefault="00C653EC" w:rsidP="00C653EC">
      <w:pPr>
        <w:spacing w:after="120" w:line="276" w:lineRule="auto"/>
        <w:ind w:firstLine="708"/>
        <w:jc w:val="both"/>
        <w:rPr>
          <w:rFonts w:ascii="Verdana" w:eastAsia="Times New Roman" w:hAnsi="Verdana" w:cs="Arial"/>
          <w:szCs w:val="24"/>
          <w:lang w:val="es-ES_tradnl" w:eastAsia="es-ES_tradnl"/>
        </w:rPr>
      </w:pPr>
      <w:r w:rsidRPr="00905A2C">
        <w:rPr>
          <w:rFonts w:ascii="Verdana" w:eastAsia="Times New Roman" w:hAnsi="Verdana" w:cs="Arial"/>
          <w:szCs w:val="24"/>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905A2C">
        <w:rPr>
          <w:rFonts w:ascii="Verdana" w:eastAsia="Times New Roman" w:hAnsi="Verdana" w:cs="Arial"/>
          <w:i/>
          <w:iCs/>
          <w:szCs w:val="24"/>
          <w:lang w:val="es-ES_tradnl" w:eastAsia="es-ES_tradnl"/>
        </w:rPr>
        <w:t>liquidar</w:t>
      </w:r>
      <w:r w:rsidRPr="00905A2C">
        <w:rPr>
          <w:rFonts w:ascii="Verdana" w:eastAsia="Times New Roman" w:hAnsi="Verdana" w:cs="Arial"/>
          <w:szCs w:val="24"/>
          <w:lang w:val="es-ES_tradnl" w:eastAsia="es-ES_tradnl"/>
        </w:rPr>
        <w:t xml:space="preserve"> supone un ajuste en relación con las cuentas y el estado de cumplimiento del contrato estatal y, por el otro, que la </w:t>
      </w:r>
      <w:r w:rsidRPr="00905A2C">
        <w:rPr>
          <w:rFonts w:ascii="Verdana" w:eastAsia="Times New Roman" w:hAnsi="Verdana" w:cs="Arial"/>
          <w:i/>
          <w:iCs/>
          <w:szCs w:val="24"/>
          <w:lang w:val="es-ES_tradnl" w:eastAsia="es-ES_tradnl"/>
        </w:rPr>
        <w:t>liquidación</w:t>
      </w:r>
      <w:r w:rsidRPr="00905A2C">
        <w:rPr>
          <w:rFonts w:ascii="Verdana" w:eastAsia="Times New Roman" w:hAnsi="Verdana" w:cs="Arial"/>
          <w:szCs w:val="24"/>
          <w:lang w:val="es-ES_tradnl" w:eastAsia="es-ES_tradnl"/>
        </w:rPr>
        <w:t xml:space="preserve"> debe incluir el análisis de las condiciones de calidad y oportunidad en la entrega de los bienes, obras o </w:t>
      </w:r>
      <w:r w:rsidRPr="00905A2C">
        <w:rPr>
          <w:rFonts w:ascii="Verdana" w:eastAsia="Times New Roman" w:hAnsi="Verdana" w:cs="Arial"/>
          <w:szCs w:val="24"/>
          <w:lang w:val="es-ES_tradnl" w:eastAsia="es-ES_tradnl"/>
        </w:rPr>
        <w:lastRenderedPageBreak/>
        <w:t>servicios, así como el balance económico y el comportamiento financiero del negocio</w:t>
      </w:r>
      <w:r w:rsidRPr="00905A2C">
        <w:rPr>
          <w:rFonts w:ascii="Verdana" w:eastAsia="Times New Roman" w:hAnsi="Verdana" w:cs="Arial"/>
          <w:szCs w:val="24"/>
          <w:vertAlign w:val="superscript"/>
          <w:lang w:val="es-ES_tradnl" w:eastAsia="es-ES_tradnl"/>
        </w:rPr>
        <w:footnoteReference w:id="13"/>
      </w:r>
      <w:r w:rsidRPr="00905A2C">
        <w:rPr>
          <w:rFonts w:ascii="Verdana" w:eastAsia="Times New Roman" w:hAnsi="Verdana" w:cs="Arial"/>
          <w:szCs w:val="24"/>
          <w:lang w:val="es-ES_tradnl" w:eastAsia="es-ES_tradnl"/>
        </w:rPr>
        <w:t xml:space="preserve">. </w:t>
      </w:r>
    </w:p>
    <w:p w14:paraId="5EF665FC" w14:textId="77777777" w:rsidR="00C653EC" w:rsidRPr="00905A2C" w:rsidRDefault="00C653EC" w:rsidP="00C653EC">
      <w:pPr>
        <w:spacing w:after="120" w:line="276" w:lineRule="auto"/>
        <w:ind w:firstLine="708"/>
        <w:jc w:val="both"/>
        <w:rPr>
          <w:rFonts w:ascii="Verdana" w:eastAsia="Times New Roman" w:hAnsi="Verdana" w:cs="Arial"/>
          <w:szCs w:val="24"/>
          <w:lang w:val="es-ES_tradnl" w:eastAsia="es-ES_tradnl"/>
        </w:rPr>
      </w:pPr>
      <w:r w:rsidRPr="00905A2C">
        <w:rPr>
          <w:rFonts w:ascii="Verdana" w:eastAsia="Calibri" w:hAnsi="Verdana" w:cs="Arial"/>
          <w:lang w:val="es-ES_tradn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2DB3628B" w14:textId="77777777" w:rsidR="00C653EC" w:rsidRPr="00905A2C" w:rsidRDefault="00C653EC" w:rsidP="00C653EC">
      <w:pPr>
        <w:spacing w:after="120" w:line="276" w:lineRule="auto"/>
        <w:ind w:firstLine="708"/>
        <w:jc w:val="both"/>
        <w:rPr>
          <w:rFonts w:ascii="Verdana" w:eastAsia="Calibri" w:hAnsi="Verdana" w:cs="Arial"/>
          <w:lang w:val="es-ES"/>
        </w:rPr>
      </w:pPr>
      <w:r w:rsidRPr="00905A2C">
        <w:rPr>
          <w:rFonts w:ascii="Verdana" w:eastAsia="Calibri" w:hAnsi="Verdana" w:cs="Arial"/>
          <w:lang w:val="es-ES"/>
        </w:rPr>
        <w:t>De acuerdo con el artículo 60 de la Ley 80 de 1993, los contratos de tracto sucesivo, aquellos cuyo cumplimiento o ejecución se prolongue en el tiempo y los demás que lo requieran “</w:t>
      </w:r>
      <w:r w:rsidRPr="00905A2C">
        <w:rPr>
          <w:rFonts w:ascii="Verdana" w:eastAsia="Calibri" w:hAnsi="Verdana" w:cs="Arial"/>
          <w:i/>
          <w:iCs/>
          <w:lang w:val="es-ES"/>
        </w:rPr>
        <w:t>serán objeto de liquidación</w:t>
      </w:r>
      <w:r w:rsidRPr="00905A2C">
        <w:rPr>
          <w:rFonts w:ascii="Verdana" w:eastAsia="Calibri" w:hAnsi="Verdana" w:cs="Arial"/>
          <w:lang w:val="es-ES"/>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905A2C">
        <w:rPr>
          <w:rFonts w:ascii="Verdana" w:eastAsia="Calibri" w:hAnsi="Verdana" w:cs="Arial"/>
          <w:vertAlign w:val="superscript"/>
          <w:lang w:val="es-ES"/>
        </w:rPr>
        <w:footnoteReference w:id="14"/>
      </w:r>
      <w:r w:rsidRPr="00905A2C">
        <w:rPr>
          <w:rFonts w:ascii="Verdana" w:eastAsia="Calibri" w:hAnsi="Verdana" w:cs="Arial"/>
          <w:lang w:val="es-ES"/>
        </w:rPr>
        <w:t xml:space="preserve">, así como la probabilidad de que puedan surgir diferencias durante la ejecución del contrato; sin perjuicio de que, como se indicó, todos los contratos estatales de </w:t>
      </w:r>
      <w:r w:rsidRPr="00905A2C">
        <w:rPr>
          <w:rFonts w:ascii="Verdana" w:eastAsia="Calibri" w:hAnsi="Verdana" w:cs="Arial"/>
          <w:i/>
          <w:iCs/>
          <w:lang w:val="es-ES"/>
        </w:rPr>
        <w:t>tracto sucesivo</w:t>
      </w:r>
      <w:r w:rsidRPr="00905A2C">
        <w:rPr>
          <w:rFonts w:ascii="Verdana" w:eastAsia="Calibri" w:hAnsi="Verdana" w:cs="Arial"/>
          <w:lang w:val="es-ES"/>
        </w:rPr>
        <w:t xml:space="preserve"> o aquellos cuya ejecución se prolongue en el tiempo siempre deban liquidarse. </w:t>
      </w:r>
    </w:p>
    <w:p w14:paraId="55D83AD9" w14:textId="77777777" w:rsidR="00C653EC" w:rsidRPr="00905A2C" w:rsidRDefault="00C653EC" w:rsidP="00C653EC">
      <w:pPr>
        <w:spacing w:after="120" w:line="276" w:lineRule="auto"/>
        <w:ind w:firstLine="708"/>
        <w:jc w:val="both"/>
        <w:rPr>
          <w:rFonts w:ascii="Verdana" w:eastAsia="Times New Roman" w:hAnsi="Verdana" w:cs="Arial"/>
          <w:lang w:val="es-ES" w:eastAsia="es-ES"/>
        </w:rPr>
      </w:pPr>
      <w:r w:rsidRPr="00905A2C">
        <w:rPr>
          <w:rFonts w:ascii="Verdana" w:eastAsia="Calibri" w:hAnsi="Verdana" w:cs="Arial"/>
          <w:lang w:val="es-ES"/>
        </w:rPr>
        <w:t>Por su parte, el artículo 11 de la Ley 1150 de 2007</w:t>
      </w:r>
      <w:r w:rsidRPr="00905A2C">
        <w:rPr>
          <w:rFonts w:ascii="Verdana" w:eastAsia="Calibri" w:hAnsi="Verdana" w:cs="Arial"/>
          <w:vertAlign w:val="superscript"/>
          <w:lang w:val="es-ES"/>
        </w:rPr>
        <w:footnoteReference w:id="15"/>
      </w:r>
      <w:r w:rsidRPr="00905A2C">
        <w:rPr>
          <w:rFonts w:ascii="Verdana" w:eastAsia="Calibri" w:hAnsi="Verdana" w:cs="Arial"/>
          <w:lang w:val="es-ES"/>
        </w:rPr>
        <w:t xml:space="preserve"> contiene las reglas de tipo procedimental para liquidar los contratos estatales. D</w:t>
      </w:r>
      <w:r w:rsidRPr="00905A2C">
        <w:rPr>
          <w:rFonts w:ascii="Verdana" w:eastAsia="Times New Roman" w:hAnsi="Verdana" w:cs="Arial"/>
          <w:lang w:val="es-ES" w:eastAsia="es-ES"/>
        </w:rPr>
        <w:t xml:space="preserve">e acuerdo con dicha </w:t>
      </w:r>
      <w:r w:rsidRPr="00905A2C">
        <w:rPr>
          <w:rFonts w:ascii="Verdana" w:eastAsia="Times New Roman" w:hAnsi="Verdana" w:cs="Arial"/>
          <w:lang w:val="es-ES" w:eastAsia="es-ES"/>
        </w:rPr>
        <w:lastRenderedPageBreak/>
        <w:t xml:space="preserve">disposición, existen tres tipos de liquidación: i) bilateral, </w:t>
      </w:r>
      <w:proofErr w:type="spellStart"/>
      <w:r w:rsidRPr="00905A2C">
        <w:rPr>
          <w:rFonts w:ascii="Verdana" w:eastAsia="Times New Roman" w:hAnsi="Verdana" w:cs="Arial"/>
          <w:lang w:val="es-ES" w:eastAsia="es-ES"/>
        </w:rPr>
        <w:t>ii</w:t>
      </w:r>
      <w:proofErr w:type="spellEnd"/>
      <w:r w:rsidRPr="00905A2C">
        <w:rPr>
          <w:rFonts w:ascii="Verdana" w:eastAsia="Times New Roman" w:hAnsi="Verdana" w:cs="Arial"/>
          <w:lang w:val="es-ES" w:eastAsia="es-ES"/>
        </w:rPr>
        <w:t xml:space="preserve">) unilateral y </w:t>
      </w:r>
      <w:proofErr w:type="spellStart"/>
      <w:r w:rsidRPr="00905A2C">
        <w:rPr>
          <w:rFonts w:ascii="Verdana" w:eastAsia="Times New Roman" w:hAnsi="Verdana" w:cs="Arial"/>
          <w:lang w:val="es-ES" w:eastAsia="es-ES"/>
        </w:rPr>
        <w:t>iii</w:t>
      </w:r>
      <w:proofErr w:type="spellEnd"/>
      <w:r w:rsidRPr="00905A2C">
        <w:rPr>
          <w:rFonts w:ascii="Verdana" w:eastAsia="Times New Roman" w:hAnsi="Verdana" w:cs="Arial"/>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dos (2) años contados a partir de los dos (2) meses establecidos en la Ley para realizar la liquidación unilateral, de conformidad con la citada sentencia de unificación del Consejo de Estado.</w:t>
      </w:r>
    </w:p>
    <w:p w14:paraId="63567431" w14:textId="77777777" w:rsidR="00C653EC" w:rsidRPr="00905A2C" w:rsidRDefault="00C653EC" w:rsidP="00C653EC">
      <w:pPr>
        <w:spacing w:after="120" w:line="276" w:lineRule="auto"/>
        <w:ind w:firstLine="705"/>
        <w:jc w:val="both"/>
        <w:rPr>
          <w:rFonts w:ascii="Verdana" w:eastAsia="Times New Roman" w:hAnsi="Verdana" w:cs="Arial"/>
          <w:bCs/>
          <w:szCs w:val="24"/>
          <w:lang w:eastAsia="es-ES_tradnl"/>
        </w:rPr>
      </w:pPr>
      <w:r w:rsidRPr="00905A2C">
        <w:rPr>
          <w:rFonts w:ascii="Verdana" w:eastAsia="Times New Roman" w:hAnsi="Verdana" w:cs="Arial"/>
          <w:bdr w:val="none" w:sz="0" w:space="0" w:color="auto" w:frame="1"/>
          <w:shd w:val="clear" w:color="auto" w:fill="FFFFFF"/>
          <w:lang w:eastAsia="es-ES"/>
        </w:rPr>
        <w:t>Igualmente</w:t>
      </w:r>
      <w:r w:rsidRPr="00905A2C">
        <w:rPr>
          <w:rFonts w:ascii="Verdana" w:eastAsia="Times New Roman" w:hAnsi="Verdana" w:cs="Arial"/>
          <w:bCs/>
          <w:szCs w:val="24"/>
          <w:lang w:eastAsia="es-ES_tradnl"/>
        </w:rPr>
        <w:t xml:space="preserve">, el artículo 11 de la Ley 1150 de 2007 determinó que dichos plazos inician a contarse desde la terminación de la ejecución del contrato, ya sea por vencimiento de plazo, o por expedición de acto administrativo de ordenó su terminación o la fecha de acuerdo entre las partes para ello. </w:t>
      </w:r>
    </w:p>
    <w:p w14:paraId="0D8FC6EB" w14:textId="2E1F180F" w:rsidR="00853C28" w:rsidRDefault="00853C28" w:rsidP="00853C28">
      <w:pPr>
        <w:spacing w:before="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          Ahora bien, en cuanto al problema jurídico planteado es de precisar que la misma guía establece que </w:t>
      </w:r>
      <w:r w:rsidR="004D2AAA" w:rsidRPr="004D2AAA">
        <w:rPr>
          <w:rFonts w:ascii="Verdana" w:eastAsia="Calibri" w:hAnsi="Verdana" w:cs="Arial"/>
          <w:color w:val="000000" w:themeColor="text1"/>
          <w:lang w:val="es-ES"/>
        </w:rPr>
        <w:t>los supervisores e interventores de las Entidades Estatales que intervienen en la celebración, ejecución y liquidación de los contratos son responsables por sus actuaciones y omisiones. En consecuencia, responden civil, fiscal, penal y disciplinariamente por las faltas que cometan en el ejercicio de sus funciones. Los contratistas que apoyan labores de supervisión y ejercen actividades de interventoría son considerados por la Ley como particulares que ejercen funciones públicas en lo que tiene que ver con la celebración, ejecución y liquidación de los contratos celebrados por las Entidades Estatales.</w:t>
      </w:r>
    </w:p>
    <w:p w14:paraId="1B9BA2F1" w14:textId="77777777" w:rsidR="00853C28" w:rsidRPr="000B5583" w:rsidRDefault="00853C28" w:rsidP="00853C28">
      <w:pPr>
        <w:spacing w:before="120" w:after="120" w:line="276" w:lineRule="auto"/>
        <w:ind w:firstLine="709"/>
        <w:jc w:val="both"/>
        <w:rPr>
          <w:rFonts w:ascii="Verdana" w:eastAsia="Calibri" w:hAnsi="Verdana" w:cs="Arial"/>
          <w:lang w:eastAsia="es-ES"/>
        </w:rPr>
      </w:pPr>
      <w:r w:rsidRPr="000B5583">
        <w:rPr>
          <w:rFonts w:ascii="Verdana" w:eastAsia="Calibri" w:hAnsi="Verdana" w:cs="Arial"/>
          <w:lang w:eastAsia="es-ES"/>
        </w:rPr>
        <w:t xml:space="preserve">La responsabilidad principal por la liquidación de un contrato estatal (y su cierre en SECOP II) recae en la Entidad Estatal a través del supervisor o interventor designado. Si el supervisor original omite esta obligación en los </w:t>
      </w:r>
      <w:r w:rsidRPr="000B5583">
        <w:rPr>
          <w:rFonts w:ascii="Verdana" w:eastAsia="Calibri" w:hAnsi="Verdana" w:cs="Arial"/>
          <w:lang w:eastAsia="es-ES"/>
        </w:rPr>
        <w:lastRenderedPageBreak/>
        <w:t xml:space="preserve">términos legales, la Entidad debe designar un nuevo servidor público para asumir la etapa </w:t>
      </w:r>
      <w:proofErr w:type="spellStart"/>
      <w:r w:rsidRPr="000B5583">
        <w:rPr>
          <w:rFonts w:ascii="Verdana" w:eastAsia="Calibri" w:hAnsi="Verdana" w:cs="Arial"/>
          <w:lang w:eastAsia="es-ES"/>
        </w:rPr>
        <w:t>poscontractual</w:t>
      </w:r>
      <w:proofErr w:type="spellEnd"/>
      <w:r w:rsidRPr="000B5583">
        <w:rPr>
          <w:rFonts w:ascii="Verdana" w:eastAsia="Calibri" w:hAnsi="Verdana" w:cs="Arial"/>
          <w:lang w:eastAsia="es-ES"/>
        </w:rPr>
        <w:t xml:space="preserve"> y realizar la liquidación. </w:t>
      </w:r>
    </w:p>
    <w:p w14:paraId="3CC6A987" w14:textId="77777777" w:rsidR="00853C28" w:rsidRDefault="00853C28" w:rsidP="00853C28">
      <w:pPr>
        <w:pStyle w:val="Prrafodelista"/>
        <w:spacing w:before="120" w:after="120" w:line="276" w:lineRule="auto"/>
        <w:ind w:left="0" w:firstLine="708"/>
        <w:jc w:val="both"/>
        <w:rPr>
          <w:rFonts w:ascii="Verdana" w:eastAsia="Calibri" w:hAnsi="Verdana" w:cs="Arial"/>
          <w:lang w:eastAsia="es-ES"/>
        </w:rPr>
      </w:pPr>
      <w:r w:rsidRPr="006905C0">
        <w:rPr>
          <w:rFonts w:ascii="Verdana" w:eastAsia="Calibri" w:hAnsi="Verdana" w:cs="Arial"/>
          <w:lang w:val="es-CO" w:eastAsia="es-ES"/>
        </w:rPr>
        <w:t>En atención a lo anterior, se recomienda consultar la “Guía para el ejercicio de las funciones de Supervisión e Interventoría de los contratos del Estado” elaborada por la Agencia Nacional de Contratación Pública – Colombia Compra Eficiente, toda vez que en su capítulo V se desarrolla de manera detallada el régimen de responsabilidad civil, fiscal, penal y disciplinaria aplicable a los supervisores e interventores. Dicho capítulo constituye una herramienta fundamental para comprender el alcance jurídico de las actuaciones y omisiones en el ejercicio de estas funciones, así como las consecuencias derivadas del incumplimiento de los deberes propios de la supervisión y la interventoría contractual.</w:t>
      </w:r>
    </w:p>
    <w:bookmarkEnd w:id="5"/>
    <w:p w14:paraId="1569DA98" w14:textId="77777777"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0F3722C3" w14:textId="77777777" w:rsidR="002A22D8" w:rsidRPr="00905A2C" w:rsidRDefault="002A22D8" w:rsidP="002A22D8">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 xml:space="preserve">Constitución Política de Colombia: Artículos 6 y 121. </w:t>
            </w:r>
          </w:p>
          <w:p w14:paraId="513D5167" w14:textId="77777777" w:rsidR="002A22D8" w:rsidRPr="00905A2C" w:rsidRDefault="002A22D8" w:rsidP="002A22D8">
            <w:pPr>
              <w:pStyle w:val="Sinespaciado"/>
              <w:spacing w:line="276" w:lineRule="auto"/>
              <w:jc w:val="both"/>
              <w:rPr>
                <w:rFonts w:ascii="Verdana" w:eastAsia="Calibri" w:hAnsi="Verdana" w:cs="Arial"/>
                <w:sz w:val="22"/>
                <w:lang w:val="es-ES_tradnl"/>
              </w:rPr>
            </w:pPr>
          </w:p>
          <w:p w14:paraId="3868CFF5" w14:textId="77777777" w:rsidR="002A22D8" w:rsidRPr="00905A2C" w:rsidRDefault="002A22D8" w:rsidP="002A22D8">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Ley 80 de 1993: Artículos 3 y 60.</w:t>
            </w:r>
          </w:p>
          <w:p w14:paraId="27FEC74B" w14:textId="77777777" w:rsidR="002A22D8" w:rsidRPr="00905A2C" w:rsidRDefault="002A22D8" w:rsidP="002A22D8">
            <w:pPr>
              <w:pStyle w:val="Sinespaciado"/>
              <w:spacing w:line="276" w:lineRule="auto"/>
              <w:jc w:val="both"/>
              <w:rPr>
                <w:rFonts w:ascii="Verdana" w:eastAsia="Calibri" w:hAnsi="Verdana" w:cs="Arial"/>
                <w:sz w:val="22"/>
                <w:lang w:val="es-ES_tradnl"/>
              </w:rPr>
            </w:pPr>
          </w:p>
          <w:p w14:paraId="74304130" w14:textId="77777777" w:rsidR="002A22D8" w:rsidRPr="00905A2C" w:rsidRDefault="002A22D8" w:rsidP="002A22D8">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 xml:space="preserve">Ley 1150 de 2007: Artículo 11. </w:t>
            </w:r>
          </w:p>
          <w:p w14:paraId="7A41D06F" w14:textId="77777777" w:rsidR="002A22D8" w:rsidRPr="00905A2C" w:rsidRDefault="002A22D8" w:rsidP="002A22D8">
            <w:pPr>
              <w:spacing w:line="276" w:lineRule="auto"/>
              <w:rPr>
                <w:rFonts w:ascii="Verdana" w:hAnsi="Verdana" w:cs="Arial"/>
                <w:color w:val="000000" w:themeColor="text1"/>
              </w:rPr>
            </w:pPr>
          </w:p>
          <w:p w14:paraId="49E63839" w14:textId="77777777" w:rsidR="002A22D8" w:rsidRPr="00905A2C" w:rsidRDefault="002A22D8" w:rsidP="002A22D8">
            <w:pPr>
              <w:pStyle w:val="Prrafodelista"/>
              <w:numPr>
                <w:ilvl w:val="0"/>
                <w:numId w:val="20"/>
              </w:numPr>
              <w:spacing w:line="276" w:lineRule="auto"/>
              <w:ind w:left="360"/>
              <w:rPr>
                <w:rFonts w:ascii="Verdana" w:hAnsi="Verdana" w:cs="Arial"/>
                <w:color w:val="000000" w:themeColor="text1"/>
              </w:rPr>
            </w:pPr>
            <w:r w:rsidRPr="00905A2C">
              <w:rPr>
                <w:rFonts w:ascii="Verdana" w:hAnsi="Verdana" w:cs="Arial"/>
                <w:color w:val="000000" w:themeColor="text1"/>
              </w:rPr>
              <w:t xml:space="preserve">Ley 1474 de 2011: Artículos 83 a 86. </w:t>
            </w:r>
          </w:p>
          <w:p w14:paraId="2007ACF7" w14:textId="77777777" w:rsidR="002A22D8" w:rsidRPr="00905A2C" w:rsidRDefault="002A22D8" w:rsidP="002A22D8">
            <w:pPr>
              <w:pStyle w:val="Textonotapie"/>
              <w:spacing w:line="276" w:lineRule="auto"/>
              <w:jc w:val="both"/>
              <w:rPr>
                <w:rFonts w:ascii="Verdana" w:hAnsi="Verdana" w:cs="Arial"/>
                <w:iCs/>
                <w:color w:val="1A1A1A" w:themeColor="background1" w:themeShade="1A"/>
                <w:sz w:val="22"/>
                <w:szCs w:val="22"/>
              </w:rPr>
            </w:pPr>
          </w:p>
          <w:p w14:paraId="6183336E" w14:textId="77777777" w:rsidR="002A22D8" w:rsidRPr="00905A2C" w:rsidRDefault="002A22D8" w:rsidP="002A22D8">
            <w:pPr>
              <w:pStyle w:val="Textonotapie"/>
              <w:numPr>
                <w:ilvl w:val="0"/>
                <w:numId w:val="20"/>
              </w:numPr>
              <w:spacing w:line="276" w:lineRule="auto"/>
              <w:ind w:left="360"/>
              <w:jc w:val="both"/>
              <w:rPr>
                <w:rFonts w:ascii="Verdana" w:hAnsi="Verdana" w:cs="Arial"/>
                <w:sz w:val="22"/>
                <w:szCs w:val="22"/>
              </w:rPr>
            </w:pPr>
            <w:r w:rsidRPr="00905A2C">
              <w:rPr>
                <w:rFonts w:ascii="Verdana" w:hAnsi="Verdana" w:cs="Arial"/>
                <w:sz w:val="22"/>
                <w:szCs w:val="22"/>
              </w:rPr>
              <w:t>Consejo de Estado. Sala de Consulta y Servicio Civil. Radicado No. 1453. Concepto de 6 de agosto de 2003. MP. Augusto Trejos.</w:t>
            </w:r>
          </w:p>
          <w:p w14:paraId="0158E98B" w14:textId="77777777" w:rsidR="002A22D8" w:rsidRPr="00905A2C" w:rsidRDefault="002A22D8" w:rsidP="002A22D8">
            <w:pPr>
              <w:spacing w:line="276" w:lineRule="auto"/>
              <w:jc w:val="both"/>
              <w:rPr>
                <w:rFonts w:ascii="Verdana" w:hAnsi="Verdana" w:cs="Arial"/>
              </w:rPr>
            </w:pPr>
          </w:p>
          <w:p w14:paraId="4B042029" w14:textId="77777777" w:rsidR="002A22D8" w:rsidRPr="00905A2C" w:rsidRDefault="002A22D8" w:rsidP="002A22D8">
            <w:pPr>
              <w:pStyle w:val="Prrafodelista"/>
              <w:numPr>
                <w:ilvl w:val="0"/>
                <w:numId w:val="20"/>
              </w:numPr>
              <w:spacing w:line="276" w:lineRule="auto"/>
              <w:ind w:left="360"/>
              <w:jc w:val="both"/>
              <w:rPr>
                <w:rFonts w:ascii="Verdana" w:hAnsi="Verdana" w:cs="Arial"/>
              </w:rPr>
            </w:pPr>
            <w:r w:rsidRPr="00905A2C">
              <w:rPr>
                <w:rFonts w:ascii="Verdana" w:hAnsi="Verdana" w:cs="Arial"/>
              </w:rPr>
              <w:t xml:space="preserve">Consejo de Estado. Sección Tercera. Subsección C. 20 de octubre de 2014, M.P: Enrique Gil Botero. </w:t>
            </w:r>
            <w:proofErr w:type="spellStart"/>
            <w:r w:rsidRPr="00905A2C">
              <w:rPr>
                <w:rFonts w:ascii="Verdana" w:hAnsi="Verdana" w:cs="Arial"/>
              </w:rPr>
              <w:t>Exp</w:t>
            </w:r>
            <w:proofErr w:type="spellEnd"/>
            <w:r w:rsidRPr="00905A2C">
              <w:rPr>
                <w:rFonts w:ascii="Verdana" w:hAnsi="Verdana" w:cs="Arial"/>
              </w:rPr>
              <w:t xml:space="preserve">. 27.777. </w:t>
            </w:r>
          </w:p>
          <w:p w14:paraId="7852943E" w14:textId="77777777" w:rsidR="002A22D8" w:rsidRPr="00905A2C" w:rsidRDefault="002A22D8" w:rsidP="002A22D8">
            <w:pPr>
              <w:pStyle w:val="Textonotapie"/>
              <w:spacing w:line="276" w:lineRule="auto"/>
              <w:ind w:left="-360"/>
              <w:jc w:val="both"/>
              <w:rPr>
                <w:rFonts w:ascii="Verdana" w:hAnsi="Verdana" w:cs="Arial"/>
                <w:iCs/>
                <w:color w:val="1A1A1A" w:themeColor="background1" w:themeShade="1A"/>
                <w:sz w:val="22"/>
                <w:szCs w:val="22"/>
              </w:rPr>
            </w:pPr>
          </w:p>
          <w:p w14:paraId="130E018B" w14:textId="77777777" w:rsidR="002A22D8" w:rsidRPr="00905A2C" w:rsidRDefault="002A22D8" w:rsidP="002A22D8">
            <w:pPr>
              <w:pStyle w:val="Textonotapie"/>
              <w:numPr>
                <w:ilvl w:val="0"/>
                <w:numId w:val="20"/>
              </w:numPr>
              <w:spacing w:line="276" w:lineRule="auto"/>
              <w:ind w:left="360"/>
              <w:jc w:val="both"/>
              <w:rPr>
                <w:rFonts w:ascii="Verdana" w:hAnsi="Verdana" w:cs="Arial"/>
                <w:iCs/>
                <w:color w:val="000000" w:themeColor="text1"/>
                <w:sz w:val="22"/>
                <w:szCs w:val="22"/>
              </w:rPr>
            </w:pPr>
            <w:r w:rsidRPr="00905A2C">
              <w:rPr>
                <w:rFonts w:ascii="Verdana" w:hAnsi="Verdana" w:cs="Arial"/>
                <w:iCs/>
                <w:color w:val="000000" w:themeColor="text1"/>
                <w:sz w:val="22"/>
                <w:szCs w:val="22"/>
              </w:rPr>
              <w:t xml:space="preserve">Consejo de Estado. Sección Tercera. Sentencia del 27 de noviembre de 2017. M.P. Jaime Orlando Santofimio. </w:t>
            </w:r>
            <w:proofErr w:type="spellStart"/>
            <w:r w:rsidRPr="00905A2C">
              <w:rPr>
                <w:rFonts w:ascii="Verdana" w:hAnsi="Verdana" w:cs="Arial"/>
                <w:iCs/>
                <w:color w:val="000000" w:themeColor="text1"/>
                <w:sz w:val="22"/>
                <w:szCs w:val="22"/>
              </w:rPr>
              <w:t>Exp</w:t>
            </w:r>
            <w:proofErr w:type="spellEnd"/>
            <w:r w:rsidRPr="00905A2C">
              <w:rPr>
                <w:rFonts w:ascii="Verdana" w:hAnsi="Verdana" w:cs="Arial"/>
                <w:iCs/>
                <w:color w:val="000000" w:themeColor="text1"/>
                <w:sz w:val="22"/>
                <w:szCs w:val="22"/>
              </w:rPr>
              <w:t>. 51.802.</w:t>
            </w:r>
          </w:p>
          <w:p w14:paraId="1B5DDE15" w14:textId="77777777" w:rsidR="002A22D8" w:rsidRPr="00905A2C" w:rsidRDefault="002A22D8" w:rsidP="002A22D8">
            <w:pPr>
              <w:pStyle w:val="Textonotapie"/>
              <w:spacing w:line="276" w:lineRule="auto"/>
              <w:jc w:val="both"/>
              <w:rPr>
                <w:rFonts w:ascii="Verdana" w:hAnsi="Verdana" w:cs="Arial"/>
                <w:color w:val="000000" w:themeColor="text1"/>
                <w:sz w:val="22"/>
                <w:szCs w:val="22"/>
              </w:rPr>
            </w:pPr>
          </w:p>
          <w:p w14:paraId="7B1D8206" w14:textId="77777777" w:rsidR="002A22D8" w:rsidRPr="00905A2C" w:rsidRDefault="002A22D8" w:rsidP="002A22D8">
            <w:pPr>
              <w:pStyle w:val="Textonotapie"/>
              <w:numPr>
                <w:ilvl w:val="0"/>
                <w:numId w:val="20"/>
              </w:numPr>
              <w:spacing w:line="276" w:lineRule="auto"/>
              <w:ind w:left="360"/>
              <w:jc w:val="both"/>
              <w:rPr>
                <w:rFonts w:ascii="Verdana" w:hAnsi="Verdana" w:cs="Arial"/>
                <w:iCs/>
                <w:color w:val="000000" w:themeColor="text1"/>
                <w:sz w:val="22"/>
                <w:szCs w:val="22"/>
              </w:rPr>
            </w:pPr>
            <w:r w:rsidRPr="00905A2C">
              <w:rPr>
                <w:rFonts w:ascii="Verdana" w:hAnsi="Verdana" w:cs="Arial"/>
                <w:sz w:val="22"/>
                <w:szCs w:val="22"/>
              </w:rPr>
              <w:t>Agencia Nacional de Contratación Pública – Colombia Compra Eficiente. “Guía para el ejercicio de las funciones de supervisión e interventoría de los contratos suscritos por las Entidades Estatales”.</w:t>
            </w:r>
            <w:r w:rsidRPr="00905A2C">
              <w:rPr>
                <w:rFonts w:ascii="Verdana" w:hAnsi="Verdana" w:cs="Arial"/>
                <w:iCs/>
                <w:color w:val="000000" w:themeColor="text1"/>
                <w:sz w:val="22"/>
                <w:szCs w:val="22"/>
              </w:rPr>
              <w:t xml:space="preserve"> Disponible en: </w:t>
            </w:r>
            <w:hyperlink r:id="rId13" w:history="1">
              <w:r w:rsidRPr="00905A2C">
                <w:rPr>
                  <w:rStyle w:val="Hipervnculo"/>
                  <w:rFonts w:ascii="Verdana" w:hAnsi="Verdana" w:cs="Arial"/>
                  <w:iCs/>
                  <w:sz w:val="22"/>
                  <w:szCs w:val="22"/>
                </w:rPr>
                <w:t>https://www.colombiacompra.gov.co/sites/cce_public/files/cce_documents/cce_guia_supervision_interventoria.pdf</w:t>
              </w:r>
            </w:hyperlink>
          </w:p>
          <w:p w14:paraId="41B92B91" w14:textId="77777777" w:rsidR="00C91AF4" w:rsidRPr="006E65CC" w:rsidRDefault="00C91AF4" w:rsidP="00C91AF4">
            <w:pPr>
              <w:pStyle w:val="Prrafodelista"/>
              <w:widowControl w:val="0"/>
              <w:autoSpaceDE w:val="0"/>
              <w:autoSpaceDN w:val="0"/>
              <w:ind w:left="714"/>
              <w:jc w:val="both"/>
              <w:rPr>
                <w:rFonts w:ascii="Verdana" w:hAnsi="Verdana" w:cs="Arial"/>
              </w:rPr>
            </w:pP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768A4A43" w:rsidR="00A64017" w:rsidRPr="002A22D8" w:rsidRDefault="002A22D8" w:rsidP="00A64017">
      <w:pPr>
        <w:widowControl w:val="0"/>
        <w:autoSpaceDE w:val="0"/>
        <w:autoSpaceDN w:val="0"/>
        <w:spacing w:after="0" w:line="276" w:lineRule="auto"/>
        <w:jc w:val="both"/>
        <w:rPr>
          <w:rFonts w:ascii="Verdana" w:hAnsi="Verdana" w:cs="Arial"/>
          <w:bCs/>
          <w:shd w:val="clear" w:color="auto" w:fill="FFFFFF"/>
        </w:rPr>
      </w:pPr>
      <w:r w:rsidRPr="00905A2C">
        <w:rPr>
          <w:rFonts w:ascii="Verdana" w:hAnsi="Verdana" w:cs="Arial"/>
        </w:rPr>
        <w:t xml:space="preserve">La </w:t>
      </w:r>
      <w:r w:rsidRPr="00905A2C">
        <w:rPr>
          <w:rFonts w:ascii="Verdana" w:eastAsia="Calibri" w:hAnsi="Verdana" w:cs="Arial"/>
        </w:rPr>
        <w:t>Agencia Nacional de Contratación Pública ― Colombia Compra Eficiente se ha pronunciado sobre la obligación de controlar y vigilar la ejecución de los contratos estatales, en los conceptos con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y C-173 del 11 de julio de 2023</w:t>
      </w:r>
      <w:r>
        <w:rPr>
          <w:rFonts w:ascii="Verdana" w:eastAsia="Calibri" w:hAnsi="Verdana" w:cs="Arial"/>
        </w:rPr>
        <w:t>, Concepto C-048 del 26 de febrero de 2025</w:t>
      </w:r>
      <w:r w:rsidRPr="00905A2C">
        <w:rPr>
          <w:rFonts w:ascii="Verdana" w:eastAsia="Calibri" w:hAnsi="Verdana" w:cs="Arial"/>
        </w:rPr>
        <w:t xml:space="preserve">. </w:t>
      </w:r>
      <w:r w:rsidRPr="00905A2C">
        <w:rPr>
          <w:rFonts w:ascii="Verdana" w:hAnsi="Verdana" w:cs="Arial"/>
          <w:shd w:val="clear" w:color="auto" w:fill="FFFFFF"/>
        </w:rPr>
        <w:t>Así mismo,</w:t>
      </w:r>
      <w:r w:rsidRPr="00905A2C">
        <w:rPr>
          <w:rFonts w:ascii="Verdana" w:hAnsi="Verdana" w:cs="Arial"/>
          <w:shd w:val="clear" w:color="auto" w:fill="FFFFFF"/>
          <w:lang w:val="es-ES"/>
        </w:rPr>
        <w:t xml:space="preserve"> se ha pronunciado </w:t>
      </w:r>
      <w:r w:rsidRPr="00905A2C">
        <w:rPr>
          <w:rFonts w:ascii="Verdana" w:eastAsia="Calibri" w:hAnsi="Verdana" w:cs="Arial"/>
          <w:lang w:val="es-ES_tradnl" w:eastAsia="es-ES_tradnl"/>
        </w:rPr>
        <w:t xml:space="preserve">sobre la liquidación de los contratos en los conceptos C-479 del 27 de julio de 2020, C-625 del 28 de septiembre del 2020, </w:t>
      </w:r>
      <w:r w:rsidRPr="00905A2C">
        <w:rPr>
          <w:rFonts w:ascii="Verdana" w:eastAsia="Calibri" w:hAnsi="Verdana" w:cs="Arial"/>
          <w:lang w:val="es-ES_tradnl" w:eastAsia="es-ES_tradnl"/>
        </w:rPr>
        <w:lastRenderedPageBreak/>
        <w:t>C-078 del 17 de marzo de 2021, C-769 del 16 de noviembre de 2022, C-015 del 24 de febrero del 2023, C-019 del 19 de abril del 2023, C-176 del 03 de mayo del 2023, C-158 del 06 de junio del 2023, C-307 del 25 de julio del 2023, entre otros</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8F2453"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1FFD24E9" w:rsidR="00331CD0" w:rsidRDefault="00331CD0" w:rsidP="00A64017">
      <w:pPr>
        <w:spacing w:line="276" w:lineRule="auto"/>
        <w:jc w:val="center"/>
        <w:rPr>
          <w:noProof/>
        </w:rPr>
      </w:pPr>
    </w:p>
    <w:p w14:paraId="6ABC9A35" w14:textId="77777777" w:rsidR="00CE32D1" w:rsidRDefault="00CE32D1" w:rsidP="00A64017">
      <w:pPr>
        <w:spacing w:line="276" w:lineRule="auto"/>
        <w:jc w:val="center"/>
        <w:rPr>
          <w:noProof/>
        </w:rPr>
      </w:pPr>
    </w:p>
    <w:p w14:paraId="1B1C15E8" w14:textId="77777777" w:rsidR="00CE32D1" w:rsidRDefault="00CE32D1" w:rsidP="00A64017">
      <w:pPr>
        <w:spacing w:line="276" w:lineRule="auto"/>
        <w:jc w:val="center"/>
        <w:rPr>
          <w:noProof/>
        </w:rPr>
      </w:pPr>
    </w:p>
    <w:p w14:paraId="3760337C" w14:textId="77777777" w:rsidR="00CE32D1" w:rsidRDefault="00CE32D1" w:rsidP="00A64017">
      <w:pPr>
        <w:spacing w:line="276" w:lineRule="auto"/>
        <w:jc w:val="center"/>
        <w:rPr>
          <w:noProof/>
        </w:rPr>
      </w:pPr>
    </w:p>
    <w:p w14:paraId="2BE944FA" w14:textId="77777777" w:rsidR="00CE32D1" w:rsidRDefault="00CE32D1" w:rsidP="00A64017">
      <w:pPr>
        <w:spacing w:line="276" w:lineRule="auto"/>
        <w:jc w:val="center"/>
        <w:rPr>
          <w:noProof/>
        </w:rPr>
      </w:pPr>
    </w:p>
    <w:p w14:paraId="5EADE6D6" w14:textId="47A3F3D7" w:rsidR="00CE32D1" w:rsidRDefault="00CE32D1" w:rsidP="00A64017">
      <w:pPr>
        <w:spacing w:line="276" w:lineRule="auto"/>
        <w:jc w:val="center"/>
        <w:rPr>
          <w:noProof/>
        </w:rPr>
      </w:pPr>
      <w:r>
        <w:rPr>
          <w:noProof/>
        </w:rPr>
        <w:lastRenderedPageBreak/>
        <w:drawing>
          <wp:inline distT="0" distB="0" distL="0" distR="0" wp14:anchorId="2F850D87" wp14:editId="1F43EF37">
            <wp:extent cx="3869055" cy="1660918"/>
            <wp:effectExtent l="0" t="0" r="0" b="0"/>
            <wp:docPr id="155618162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79011" cy="1665192"/>
                    </a:xfrm>
                    <a:prstGeom prst="rect">
                      <a:avLst/>
                    </a:prstGeom>
                    <a:noFill/>
                    <a:ln>
                      <a:noFill/>
                    </a:ln>
                  </pic:spPr>
                </pic:pic>
              </a:graphicData>
            </a:graphic>
          </wp:inline>
        </w:drawing>
      </w:r>
    </w:p>
    <w:p w14:paraId="1D168B7C" w14:textId="20828FE1" w:rsidR="00331CD0" w:rsidRDefault="00331CD0"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72D93B" w14:textId="0AF32DE6" w:rsidR="00A64017" w:rsidRDefault="00A64017" w:rsidP="00A15B1F">
            <w:pPr>
              <w:spacing w:line="276" w:lineRule="auto"/>
              <w:contextualSpacing/>
              <w:jc w:val="both"/>
              <w:rPr>
                <w:rFonts w:ascii="Verdana" w:hAnsi="Verdana"/>
                <w:sz w:val="16"/>
                <w:szCs w:val="16"/>
              </w:rPr>
            </w:pPr>
            <w:r>
              <w:rPr>
                <w:rFonts w:ascii="Verdana" w:hAnsi="Verdana"/>
                <w:sz w:val="16"/>
                <w:szCs w:val="16"/>
              </w:rPr>
              <w:t>Diana Lucia Saavedra</w:t>
            </w:r>
            <w:r w:rsidR="00E25A6A">
              <w:rPr>
                <w:rFonts w:ascii="Verdana" w:hAnsi="Verdana"/>
                <w:sz w:val="16"/>
                <w:szCs w:val="16"/>
              </w:rPr>
              <w:t xml:space="preserve"> Castañeda</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077CD" w14:textId="77777777" w:rsidR="008F2453" w:rsidRDefault="008F2453" w:rsidP="004A1847">
      <w:pPr>
        <w:spacing w:after="0" w:line="240" w:lineRule="auto"/>
      </w:pPr>
      <w:r>
        <w:separator/>
      </w:r>
    </w:p>
  </w:endnote>
  <w:endnote w:type="continuationSeparator" w:id="0">
    <w:p w14:paraId="2918DE09" w14:textId="77777777" w:rsidR="008F2453" w:rsidRDefault="008F245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6C735" w14:textId="77777777" w:rsidR="008F2453" w:rsidRDefault="008F2453" w:rsidP="004A1847">
      <w:pPr>
        <w:spacing w:after="0" w:line="240" w:lineRule="auto"/>
      </w:pPr>
      <w:r>
        <w:separator/>
      </w:r>
    </w:p>
  </w:footnote>
  <w:footnote w:type="continuationSeparator" w:id="0">
    <w:p w14:paraId="76479E3E" w14:textId="77777777" w:rsidR="008F2453" w:rsidRDefault="008F2453" w:rsidP="004A1847">
      <w:pPr>
        <w:spacing w:after="0" w:line="240" w:lineRule="auto"/>
      </w:pPr>
      <w:r>
        <w:continuationSeparator/>
      </w:r>
    </w:p>
  </w:footnote>
  <w:footnote w:id="1">
    <w:p w14:paraId="4DFE00BE" w14:textId="5C28768A" w:rsidR="009C3869" w:rsidRPr="009C3869" w:rsidRDefault="009C3869" w:rsidP="009C3869">
      <w:pPr>
        <w:pStyle w:val="Textonotapie"/>
        <w:jc w:val="both"/>
        <w:rPr>
          <w:rFonts w:ascii="Verdana" w:hAnsi="Verdana"/>
          <w:sz w:val="16"/>
          <w:szCs w:val="16"/>
          <w:lang w:val="es-ES"/>
        </w:rPr>
      </w:pPr>
      <w:r w:rsidRPr="009C3869">
        <w:rPr>
          <w:rStyle w:val="Refdenotaalpie"/>
          <w:rFonts w:ascii="Verdana" w:hAnsi="Verdana"/>
          <w:sz w:val="16"/>
          <w:szCs w:val="16"/>
        </w:rPr>
        <w:footnoteRef/>
      </w:r>
      <w:hyperlink r:id="rId1" w:history="1">
        <w:r w:rsidRPr="00095261">
          <w:rPr>
            <w:rStyle w:val="Hipervnculo"/>
            <w:rFonts w:ascii="Verdana" w:hAnsi="Verdana"/>
            <w:sz w:val="16"/>
            <w:szCs w:val="16"/>
          </w:rPr>
          <w:t>https://www.colombiacompra.gov.co/archivos/manual/guia-para-el-ejercicio-de-las-funciones-de-supervision-e-interventoria-de-los-contratos-suscritos-por-las-entidades-estatales</w:t>
        </w:r>
      </w:hyperlink>
      <w:r>
        <w:rPr>
          <w:rFonts w:ascii="Verdana" w:hAnsi="Verdana"/>
          <w:sz w:val="16"/>
          <w:szCs w:val="16"/>
        </w:rPr>
        <w:t xml:space="preserve"> </w:t>
      </w:r>
    </w:p>
  </w:footnote>
  <w:footnote w:id="2">
    <w:p w14:paraId="4CFB104D" w14:textId="39D687A2" w:rsidR="00C653EC" w:rsidRPr="00B10C77" w:rsidRDefault="00C653EC" w:rsidP="00C653EC">
      <w:pPr>
        <w:pStyle w:val="Textonotapie"/>
        <w:ind w:firstLine="709"/>
        <w:contextualSpacing/>
        <w:jc w:val="both"/>
        <w:rPr>
          <w:rFonts w:ascii="Verdana" w:hAnsi="Verdana" w:cs="Arial"/>
          <w:iCs/>
          <w:color w:val="1A1A1A" w:themeColor="background1" w:themeShade="1A"/>
          <w:sz w:val="16"/>
          <w:szCs w:val="16"/>
        </w:rPr>
      </w:pPr>
      <w:r w:rsidRPr="00B10C77">
        <w:rPr>
          <w:rStyle w:val="Refdenotaalpie"/>
          <w:rFonts w:ascii="Verdana" w:hAnsi="Verdana" w:cs="Arial"/>
          <w:color w:val="1A1A1A" w:themeColor="background1" w:themeShade="1A"/>
          <w:sz w:val="16"/>
          <w:szCs w:val="16"/>
        </w:rPr>
        <w:footnoteRef/>
      </w:r>
      <w:r w:rsidRPr="00B10C77">
        <w:rPr>
          <w:rFonts w:ascii="Verdana" w:hAnsi="Verdana" w:cs="Arial"/>
          <w:color w:val="1A1A1A" w:themeColor="background1" w:themeShade="1A"/>
          <w:sz w:val="16"/>
          <w:szCs w:val="16"/>
        </w:rPr>
        <w:t xml:space="preserve"> </w:t>
      </w:r>
      <w:r w:rsidRPr="00B10C77">
        <w:rPr>
          <w:rFonts w:ascii="Verdana" w:hAnsi="Verdana" w:cs="Arial"/>
          <w:iCs/>
          <w:color w:val="1A1A1A" w:themeColor="background1" w:themeShade="1A"/>
          <w:sz w:val="16"/>
          <w:szCs w:val="16"/>
        </w:rPr>
        <w:t>Artículo 3 de la Ley 80 de 1993.</w:t>
      </w:r>
    </w:p>
  </w:footnote>
  <w:footnote w:id="3">
    <w:p w14:paraId="56AD3EE6" w14:textId="77777777" w:rsidR="00C653EC" w:rsidRDefault="00C653EC" w:rsidP="00C653EC">
      <w:pPr>
        <w:pStyle w:val="Textonotapie"/>
        <w:ind w:firstLine="708"/>
        <w:contextualSpacing/>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Consejo de Estado. Sección 3ª. Sentencia del 27 de noviembre de 2017. M.P. Jaime Orlando Santofimio. Exp. 51.802.</w:t>
      </w:r>
    </w:p>
    <w:p w14:paraId="4F52F118" w14:textId="77777777" w:rsidR="00C653EC" w:rsidRPr="00D00295" w:rsidRDefault="00C653EC" w:rsidP="00C653EC">
      <w:pPr>
        <w:pStyle w:val="Textonotapie"/>
        <w:ind w:firstLine="708"/>
        <w:contextualSpacing/>
        <w:jc w:val="both"/>
        <w:rPr>
          <w:rFonts w:ascii="Verdana" w:hAnsi="Verdana" w:cs="Arial"/>
          <w:iCs/>
          <w:color w:val="000000" w:themeColor="text1"/>
          <w:sz w:val="16"/>
          <w:szCs w:val="16"/>
        </w:rPr>
      </w:pPr>
    </w:p>
  </w:footnote>
  <w:footnote w:id="4">
    <w:p w14:paraId="34981CAC" w14:textId="761E325B" w:rsidR="00C653EC" w:rsidRPr="00B10C77" w:rsidRDefault="00C653EC" w:rsidP="00C653EC">
      <w:pPr>
        <w:pStyle w:val="Textonotapie"/>
        <w:ind w:firstLine="708"/>
        <w:contextualSpacing/>
        <w:jc w:val="both"/>
        <w:rPr>
          <w:rFonts w:ascii="Verdana" w:hAnsi="Verdana" w:cs="Arial"/>
          <w:color w:val="000000" w:themeColor="text1"/>
          <w:sz w:val="16"/>
          <w:szCs w:val="16"/>
          <w:lang w:val="es-ES"/>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Artículo 17 de la Ley 1150 de 2007.</w:t>
      </w:r>
    </w:p>
  </w:footnote>
  <w:footnote w:id="5">
    <w:p w14:paraId="30405AB9" w14:textId="7F7ECB76" w:rsidR="00C653EC" w:rsidRPr="00B10C77" w:rsidRDefault="00C653EC" w:rsidP="00C653EC">
      <w:pPr>
        <w:pStyle w:val="Textonotapie"/>
        <w:ind w:firstLine="708"/>
        <w:contextualSpacing/>
        <w:jc w:val="both"/>
        <w:rPr>
          <w:rFonts w:ascii="Verdana" w:hAnsi="Verdana" w:cs="Arial"/>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Artículo 21 de la Ley 1150 de 2007.</w:t>
      </w:r>
    </w:p>
  </w:footnote>
  <w:footnote w:id="6">
    <w:p w14:paraId="2FE52E6B" w14:textId="77777777" w:rsidR="00C653EC" w:rsidRPr="00B10C77" w:rsidRDefault="00C653EC" w:rsidP="00C653EC">
      <w:pPr>
        <w:pStyle w:val="Textonotapie"/>
        <w:ind w:firstLine="708"/>
        <w:contextualSpacing/>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Artículos 83 a 86 de la Ley 1474 de 2011.</w:t>
      </w:r>
    </w:p>
    <w:p w14:paraId="06329617" w14:textId="77777777" w:rsidR="00C653EC" w:rsidRPr="00B10C77" w:rsidRDefault="00C653EC" w:rsidP="00C653EC">
      <w:pPr>
        <w:pStyle w:val="Textonotapie"/>
        <w:contextualSpacing/>
        <w:jc w:val="both"/>
        <w:rPr>
          <w:rFonts w:ascii="Verdana" w:hAnsi="Verdana" w:cs="Arial"/>
          <w:color w:val="000000" w:themeColor="text1"/>
          <w:sz w:val="16"/>
          <w:szCs w:val="16"/>
        </w:rPr>
      </w:pPr>
    </w:p>
  </w:footnote>
  <w:footnote w:id="7">
    <w:p w14:paraId="78765799" w14:textId="3E505831" w:rsidR="00C653EC" w:rsidRPr="00B10C77" w:rsidRDefault="00C653EC" w:rsidP="00C653EC">
      <w:pPr>
        <w:pStyle w:val="Textonotapie"/>
        <w:ind w:firstLine="708"/>
        <w:contextualSpacing/>
        <w:jc w:val="both"/>
        <w:rPr>
          <w:rFonts w:ascii="Verdana" w:hAnsi="Verdana" w:cs="Arial"/>
          <w:iCs/>
          <w:color w:val="000000"/>
          <w:sz w:val="16"/>
          <w:szCs w:val="16"/>
        </w:rPr>
      </w:pPr>
      <w:r w:rsidRPr="00B10C77">
        <w:rPr>
          <w:rStyle w:val="Refdenotaalpie"/>
          <w:rFonts w:ascii="Verdana" w:hAnsi="Verdana" w:cs="Arial"/>
          <w:color w:val="000000"/>
          <w:sz w:val="16"/>
          <w:szCs w:val="16"/>
        </w:rPr>
        <w:footnoteRef/>
      </w:r>
      <w:r w:rsidRPr="00B10C77">
        <w:rPr>
          <w:rFonts w:ascii="Verdana" w:hAnsi="Verdana" w:cs="Arial"/>
          <w:color w:val="000000"/>
          <w:sz w:val="16"/>
          <w:szCs w:val="16"/>
        </w:rPr>
        <w:t xml:space="preserve"> </w:t>
      </w:r>
      <w:r w:rsidRPr="00B10C77">
        <w:rPr>
          <w:rFonts w:ascii="Verdana" w:hAnsi="Verdana" w:cs="Arial"/>
          <w:iCs/>
          <w:color w:val="000000"/>
          <w:sz w:val="16"/>
          <w:szCs w:val="16"/>
        </w:rPr>
        <w:t>A excepción de la interventoría del contrato de obra adjudicado por licitación pública que es obligatoria según el numeral 1° del artículo 32 de la Ley 80 de 1993.</w:t>
      </w:r>
    </w:p>
  </w:footnote>
  <w:footnote w:id="8">
    <w:p w14:paraId="24D6C372" w14:textId="2B54200D" w:rsidR="00C653EC" w:rsidRPr="00B10C77" w:rsidRDefault="00C653EC" w:rsidP="00C653EC">
      <w:pPr>
        <w:pStyle w:val="Textonotapie"/>
        <w:ind w:firstLine="708"/>
        <w:contextualSpacing/>
        <w:jc w:val="both"/>
        <w:rPr>
          <w:rFonts w:ascii="Verdana" w:hAnsi="Verdana" w:cs="Arial"/>
          <w:color w:val="000000" w:themeColor="text1"/>
          <w:sz w:val="16"/>
          <w:szCs w:val="16"/>
          <w:lang w:val="es-ES"/>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Sobre las características de la supervisión de los contratos estatales se ha pronunciado esta Agencia en el concepto con radicado # 4201913000008240 del 20 de diciembre de 2019.</w:t>
      </w:r>
    </w:p>
  </w:footnote>
  <w:footnote w:id="9">
    <w:p w14:paraId="5E14B7B7" w14:textId="77777777" w:rsidR="00C653EC" w:rsidRDefault="00C653EC" w:rsidP="00C653EC">
      <w:pPr>
        <w:pStyle w:val="Textonotapie"/>
        <w:ind w:firstLine="708"/>
        <w:contextualSpacing/>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iCs/>
          <w:color w:val="000000" w:themeColor="text1"/>
          <w:sz w:val="16"/>
          <w:szCs w:val="16"/>
        </w:rPr>
        <w:t xml:space="preserve">Disponible en: </w:t>
      </w:r>
      <w:hyperlink r:id="rId2" w:history="1">
        <w:r w:rsidRPr="002D53C9">
          <w:rPr>
            <w:rStyle w:val="Hipervnculo"/>
            <w:rFonts w:ascii="Verdana" w:hAnsi="Verdana" w:cs="Arial"/>
            <w:iCs/>
            <w:sz w:val="16"/>
            <w:szCs w:val="16"/>
          </w:rPr>
          <w:t>https://www.colombiacompra.gov.co/sites/cce_public/files/cce_documents/cce_guia_supervision_interventoria.pdf</w:t>
        </w:r>
      </w:hyperlink>
    </w:p>
    <w:p w14:paraId="5BD8D65F" w14:textId="77777777" w:rsidR="00C653EC" w:rsidRPr="00B10C77" w:rsidRDefault="00C653EC" w:rsidP="00C653EC">
      <w:pPr>
        <w:pStyle w:val="Textonotapie"/>
        <w:contextualSpacing/>
        <w:jc w:val="both"/>
        <w:rPr>
          <w:rFonts w:ascii="Verdana" w:hAnsi="Verdana" w:cs="Arial"/>
          <w:iCs/>
          <w:color w:val="000000" w:themeColor="text1"/>
          <w:sz w:val="16"/>
          <w:szCs w:val="16"/>
        </w:rPr>
      </w:pPr>
    </w:p>
  </w:footnote>
  <w:footnote w:id="10">
    <w:p w14:paraId="28A4F41F" w14:textId="77777777" w:rsidR="00C653EC" w:rsidRPr="00B10C77" w:rsidRDefault="00C653EC" w:rsidP="00C653EC">
      <w:pPr>
        <w:pStyle w:val="Textonotapie"/>
        <w:ind w:firstLine="708"/>
        <w:contextualSpacing/>
        <w:jc w:val="both"/>
        <w:rPr>
          <w:rFonts w:ascii="Verdana" w:hAnsi="Verdana" w:cs="Arial"/>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Departamento Administrativo de la Función Pública. Concepto del 6 de mayo de 2019. Rad. 140.881.</w:t>
      </w:r>
    </w:p>
    <w:p w14:paraId="5B361B88" w14:textId="77777777" w:rsidR="00C653EC" w:rsidRPr="00B10C77" w:rsidRDefault="00C653EC" w:rsidP="00C653EC">
      <w:pPr>
        <w:pStyle w:val="Textonotapie"/>
        <w:contextualSpacing/>
        <w:jc w:val="both"/>
        <w:rPr>
          <w:rFonts w:ascii="Verdana" w:hAnsi="Verdana" w:cs="Arial"/>
          <w:color w:val="000000" w:themeColor="text1"/>
          <w:sz w:val="16"/>
          <w:szCs w:val="16"/>
        </w:rPr>
      </w:pPr>
    </w:p>
  </w:footnote>
  <w:footnote w:id="11">
    <w:p w14:paraId="45CB1B2E" w14:textId="77777777" w:rsidR="00C653EC" w:rsidRDefault="00C653EC" w:rsidP="00C653EC">
      <w:pPr>
        <w:pStyle w:val="Textonotapie"/>
        <w:ind w:firstLine="708"/>
        <w:contextualSpacing/>
        <w:jc w:val="both"/>
        <w:rPr>
          <w:rFonts w:ascii="Verdana" w:hAnsi="Verdana" w:cs="Arial"/>
          <w:sz w:val="16"/>
          <w:szCs w:val="16"/>
        </w:rPr>
      </w:pPr>
      <w:r w:rsidRPr="00B10C77">
        <w:rPr>
          <w:rStyle w:val="Refdenotaalpie"/>
          <w:rFonts w:ascii="Verdana" w:hAnsi="Verdana" w:cs="Arial"/>
          <w:sz w:val="16"/>
          <w:szCs w:val="16"/>
        </w:rPr>
        <w:footnoteRef/>
      </w:r>
      <w:r w:rsidRPr="00B10C77">
        <w:rPr>
          <w:rFonts w:ascii="Verdana" w:hAnsi="Verdana" w:cs="Arial"/>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 EXPOSITO, Juan Carlos. Forma y contenido del contrato estatal. Bogotá: Universidad Externado de Colombia, p. 89 y 90.</w:t>
      </w:r>
    </w:p>
    <w:p w14:paraId="1BDE8755" w14:textId="77777777" w:rsidR="00C653EC" w:rsidRPr="00B10C77" w:rsidRDefault="00C653EC" w:rsidP="00C653EC">
      <w:pPr>
        <w:pStyle w:val="Textonotapie"/>
        <w:ind w:firstLine="708"/>
        <w:contextualSpacing/>
        <w:jc w:val="both"/>
        <w:rPr>
          <w:rFonts w:ascii="Verdana" w:hAnsi="Verdana" w:cs="Arial"/>
          <w:sz w:val="16"/>
          <w:szCs w:val="16"/>
        </w:rPr>
      </w:pPr>
    </w:p>
  </w:footnote>
  <w:footnote w:id="12">
    <w:p w14:paraId="42FA96A1" w14:textId="77777777" w:rsidR="00C653EC" w:rsidRDefault="00C653EC" w:rsidP="00C653EC">
      <w:pPr>
        <w:pStyle w:val="Textonotapie"/>
        <w:ind w:firstLine="708"/>
        <w:contextualSpacing/>
        <w:jc w:val="both"/>
        <w:rPr>
          <w:rFonts w:ascii="Verdana" w:hAnsi="Verdana" w:cs="Arial"/>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DÍAZ DÍEZ, Cristian Andrés. La liquidación. Serie: Las Cláusulas del Contrato Estatal. Medellín: Librería Jurídica Sánchez y Centro de Estudios de Derecho Administrativo –CEDA–, 2013, pp. 53-54.</w:t>
      </w:r>
    </w:p>
    <w:p w14:paraId="227174A8" w14:textId="77777777" w:rsidR="00C653EC" w:rsidRPr="00B10C77" w:rsidRDefault="00C653EC" w:rsidP="00C653EC">
      <w:pPr>
        <w:pStyle w:val="Textonotapie"/>
        <w:ind w:firstLine="708"/>
        <w:contextualSpacing/>
        <w:jc w:val="both"/>
        <w:rPr>
          <w:rFonts w:ascii="Verdana" w:hAnsi="Verdana" w:cs="Arial"/>
          <w:color w:val="000000" w:themeColor="text1"/>
          <w:sz w:val="16"/>
          <w:szCs w:val="16"/>
        </w:rPr>
      </w:pPr>
    </w:p>
  </w:footnote>
  <w:footnote w:id="13">
    <w:p w14:paraId="75952686" w14:textId="77777777" w:rsidR="00C653EC" w:rsidRDefault="00C653EC" w:rsidP="00C653EC">
      <w:pPr>
        <w:spacing w:after="0" w:line="240" w:lineRule="auto"/>
        <w:ind w:firstLine="708"/>
        <w:contextualSpacing/>
        <w:jc w:val="both"/>
        <w:rPr>
          <w:rFonts w:ascii="Verdana" w:hAnsi="Verdana" w:cs="Arial"/>
          <w:sz w:val="16"/>
          <w:szCs w:val="16"/>
        </w:rPr>
      </w:pPr>
      <w:r w:rsidRPr="00B10C77">
        <w:rPr>
          <w:rStyle w:val="Refdenotaalpie"/>
          <w:rFonts w:ascii="Verdana" w:hAnsi="Verdana" w:cs="Arial"/>
          <w:sz w:val="16"/>
          <w:szCs w:val="16"/>
        </w:rPr>
        <w:footnoteRef/>
      </w:r>
      <w:r w:rsidRPr="00B10C77">
        <w:rPr>
          <w:rFonts w:ascii="Verdana" w:hAnsi="Verdana" w:cs="Arial"/>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75F3C62E" w14:textId="77777777" w:rsidR="00C653EC" w:rsidRPr="00B10C77" w:rsidRDefault="00C653EC" w:rsidP="00C653EC">
      <w:pPr>
        <w:spacing w:after="0" w:line="240" w:lineRule="auto"/>
        <w:ind w:firstLine="708"/>
        <w:contextualSpacing/>
        <w:jc w:val="both"/>
        <w:rPr>
          <w:rFonts w:ascii="Verdana" w:hAnsi="Verdana" w:cs="Arial"/>
          <w:sz w:val="16"/>
          <w:szCs w:val="16"/>
        </w:rPr>
      </w:pPr>
    </w:p>
  </w:footnote>
  <w:footnote w:id="14">
    <w:p w14:paraId="2406DB4F" w14:textId="77777777" w:rsidR="00C653EC" w:rsidRDefault="00C653EC" w:rsidP="00C653EC">
      <w:pPr>
        <w:pStyle w:val="Textonotapie"/>
        <w:ind w:firstLine="708"/>
        <w:contextualSpacing/>
        <w:jc w:val="both"/>
        <w:rPr>
          <w:rFonts w:ascii="Verdana" w:hAnsi="Verdana" w:cs="Arial"/>
          <w:sz w:val="16"/>
          <w:szCs w:val="16"/>
        </w:rPr>
      </w:pPr>
      <w:r w:rsidRPr="00B10C77">
        <w:rPr>
          <w:rStyle w:val="Refdenotaalpie"/>
          <w:rFonts w:ascii="Verdana" w:hAnsi="Verdana" w:cs="Arial"/>
          <w:sz w:val="16"/>
          <w:szCs w:val="16"/>
        </w:rPr>
        <w:footnoteRef/>
      </w:r>
      <w:r w:rsidRPr="00B10C77">
        <w:rPr>
          <w:rFonts w:ascii="Verdana" w:hAnsi="Verdana" w:cs="Arial"/>
          <w:sz w:val="16"/>
          <w:szCs w:val="16"/>
        </w:rPr>
        <w:t xml:space="preserve"> CONSEJO DE ESTADO, Sala de Consulta y Servicio Civil. Radicado No. 1453. Concepto de 6 de agosto de 2003. MP. Augusto Trejos.</w:t>
      </w:r>
    </w:p>
    <w:p w14:paraId="36181E45" w14:textId="77777777" w:rsidR="00C653EC" w:rsidRPr="00B10C77" w:rsidRDefault="00C653EC" w:rsidP="00C653EC">
      <w:pPr>
        <w:pStyle w:val="Textonotapie"/>
        <w:ind w:firstLine="708"/>
        <w:contextualSpacing/>
        <w:jc w:val="both"/>
        <w:rPr>
          <w:rFonts w:ascii="Verdana" w:hAnsi="Verdana" w:cs="Arial"/>
          <w:sz w:val="16"/>
          <w:szCs w:val="16"/>
        </w:rPr>
      </w:pPr>
    </w:p>
  </w:footnote>
  <w:footnote w:id="15">
    <w:p w14:paraId="564E1C39" w14:textId="77777777" w:rsidR="00C653EC" w:rsidRPr="00B10C77" w:rsidRDefault="00C653EC" w:rsidP="00C653EC">
      <w:pPr>
        <w:pStyle w:val="Textonotapie"/>
        <w:ind w:firstLine="708"/>
        <w:contextualSpacing/>
        <w:jc w:val="both"/>
        <w:rPr>
          <w:rFonts w:ascii="Verdana" w:hAnsi="Verdana" w:cs="Arial"/>
          <w:sz w:val="16"/>
          <w:szCs w:val="16"/>
          <w:lang w:val="es-ES"/>
        </w:rPr>
      </w:pPr>
      <w:r w:rsidRPr="00B10C77">
        <w:rPr>
          <w:rStyle w:val="Refdenotaalpie"/>
          <w:rFonts w:ascii="Verdana" w:hAnsi="Verdana" w:cs="Arial"/>
          <w:sz w:val="16"/>
          <w:szCs w:val="16"/>
        </w:rPr>
        <w:footnoteRef/>
      </w:r>
      <w:r w:rsidRPr="00B10C77">
        <w:rPr>
          <w:rFonts w:ascii="Verdana" w:hAnsi="Verdana" w:cs="Arial"/>
          <w:sz w:val="16"/>
          <w:szCs w:val="16"/>
        </w:rPr>
        <w:t xml:space="preserve"> </w:t>
      </w:r>
      <w:r w:rsidRPr="00B10C77">
        <w:rPr>
          <w:rFonts w:ascii="Verdana" w:hAnsi="Verdana" w:cs="Arial"/>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0D9DAAC6" w14:textId="77777777" w:rsidR="00C653EC" w:rsidRPr="00B10C77" w:rsidRDefault="00C653EC" w:rsidP="00C653EC">
      <w:pPr>
        <w:pStyle w:val="Textonotapie"/>
        <w:ind w:firstLine="708"/>
        <w:contextualSpacing/>
        <w:jc w:val="both"/>
        <w:rPr>
          <w:rFonts w:ascii="Verdana" w:hAnsi="Verdana" w:cs="Arial"/>
          <w:sz w:val="16"/>
          <w:szCs w:val="16"/>
          <w:lang w:val="es-ES"/>
        </w:rPr>
      </w:pPr>
      <w:r w:rsidRPr="00B10C77">
        <w:rPr>
          <w:rFonts w:ascii="Verdana" w:hAnsi="Verdana" w:cs="Arial"/>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74AD2F44" w14:textId="77777777" w:rsidR="00C653EC" w:rsidRPr="00B10C77" w:rsidRDefault="00C653EC" w:rsidP="00C653EC">
      <w:pPr>
        <w:pStyle w:val="Textonotapie"/>
        <w:ind w:firstLine="708"/>
        <w:contextualSpacing/>
        <w:jc w:val="both"/>
        <w:rPr>
          <w:rFonts w:ascii="Verdana" w:hAnsi="Verdana" w:cs="Arial"/>
          <w:sz w:val="16"/>
          <w:szCs w:val="16"/>
          <w:lang w:val="es-ES"/>
        </w:rPr>
      </w:pPr>
      <w:r w:rsidRPr="00B10C77">
        <w:rPr>
          <w:rFonts w:ascii="Verdana" w:hAnsi="Verdana" w:cs="Arial"/>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2FB2C87" w14:textId="77777777" w:rsidR="00C653EC" w:rsidRDefault="00C653EC" w:rsidP="00C653EC">
      <w:pPr>
        <w:pStyle w:val="Textonotapie"/>
        <w:ind w:firstLine="708"/>
        <w:contextualSpacing/>
        <w:jc w:val="both"/>
        <w:rPr>
          <w:rFonts w:ascii="Verdana" w:hAnsi="Verdana" w:cs="Arial"/>
          <w:sz w:val="16"/>
          <w:szCs w:val="16"/>
          <w:lang w:val="es-ES"/>
        </w:rPr>
      </w:pPr>
      <w:r w:rsidRPr="00B10C77">
        <w:rPr>
          <w:rFonts w:ascii="Verdana" w:hAnsi="Verdana" w:cs="Arial"/>
          <w:sz w:val="16"/>
          <w:szCs w:val="16"/>
          <w:lang w:val="es-ES"/>
        </w:rPr>
        <w:t>Los contratistas tendrán derecho a efectuar salvedades a la liquidación por mutuo acuerdo, y en este evento la liquidación unilateral solo procederá en relación con los aspectos que no hayan sido objeto de acuerdo”.</w:t>
      </w:r>
    </w:p>
    <w:p w14:paraId="68E81560" w14:textId="77777777" w:rsidR="00C653EC" w:rsidRPr="00B10C77" w:rsidRDefault="00C653EC" w:rsidP="00C653EC">
      <w:pPr>
        <w:pStyle w:val="Textonotapie"/>
        <w:ind w:firstLine="708"/>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5"/>
  </w:num>
  <w:num w:numId="9">
    <w:abstractNumId w:val="10"/>
  </w:num>
  <w:num w:numId="10">
    <w:abstractNumId w:val="14"/>
  </w:num>
  <w:num w:numId="11">
    <w:abstractNumId w:val="11"/>
  </w:num>
  <w:num w:numId="12">
    <w:abstractNumId w:val="1"/>
  </w:num>
  <w:num w:numId="13">
    <w:abstractNumId w:val="5"/>
  </w:num>
  <w:num w:numId="14">
    <w:abstractNumId w:val="17"/>
  </w:num>
  <w:num w:numId="15">
    <w:abstractNumId w:val="13"/>
  </w:num>
  <w:num w:numId="16">
    <w:abstractNumId w:val="0"/>
  </w:num>
  <w:num w:numId="17">
    <w:abstractNumId w:val="12"/>
  </w:num>
  <w:num w:numId="18">
    <w:abstractNumId w:val="3"/>
  </w:num>
  <w:num w:numId="19">
    <w:abstractNumId w:val="9"/>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82362"/>
    <w:rsid w:val="0008627A"/>
    <w:rsid w:val="000A683E"/>
    <w:rsid w:val="000B19B9"/>
    <w:rsid w:val="000B4FA5"/>
    <w:rsid w:val="000B5583"/>
    <w:rsid w:val="000D0334"/>
    <w:rsid w:val="000F2222"/>
    <w:rsid w:val="000F6486"/>
    <w:rsid w:val="00103B90"/>
    <w:rsid w:val="00125105"/>
    <w:rsid w:val="00127233"/>
    <w:rsid w:val="0013630D"/>
    <w:rsid w:val="001511A0"/>
    <w:rsid w:val="00194937"/>
    <w:rsid w:val="001D1756"/>
    <w:rsid w:val="001E4177"/>
    <w:rsid w:val="001F663F"/>
    <w:rsid w:val="001F7DC6"/>
    <w:rsid w:val="00203E0B"/>
    <w:rsid w:val="00205479"/>
    <w:rsid w:val="00215206"/>
    <w:rsid w:val="002421BB"/>
    <w:rsid w:val="00242FED"/>
    <w:rsid w:val="0025796E"/>
    <w:rsid w:val="002707A2"/>
    <w:rsid w:val="002951A0"/>
    <w:rsid w:val="002962BC"/>
    <w:rsid w:val="002A093D"/>
    <w:rsid w:val="002A0DD0"/>
    <w:rsid w:val="002A22D8"/>
    <w:rsid w:val="002A49AC"/>
    <w:rsid w:val="002A64FD"/>
    <w:rsid w:val="002A7DD8"/>
    <w:rsid w:val="002C0393"/>
    <w:rsid w:val="002C7A84"/>
    <w:rsid w:val="002E4FD9"/>
    <w:rsid w:val="00302C65"/>
    <w:rsid w:val="00310DA4"/>
    <w:rsid w:val="00322A85"/>
    <w:rsid w:val="00323054"/>
    <w:rsid w:val="00324168"/>
    <w:rsid w:val="00324E0B"/>
    <w:rsid w:val="00331CD0"/>
    <w:rsid w:val="003448F4"/>
    <w:rsid w:val="00361698"/>
    <w:rsid w:val="003639A5"/>
    <w:rsid w:val="00374F5E"/>
    <w:rsid w:val="00377E3E"/>
    <w:rsid w:val="00380918"/>
    <w:rsid w:val="003A2E2D"/>
    <w:rsid w:val="003A779E"/>
    <w:rsid w:val="003D0F4D"/>
    <w:rsid w:val="003D5B0D"/>
    <w:rsid w:val="003E0499"/>
    <w:rsid w:val="003E2F6B"/>
    <w:rsid w:val="003F3941"/>
    <w:rsid w:val="00406575"/>
    <w:rsid w:val="004138FA"/>
    <w:rsid w:val="00414C74"/>
    <w:rsid w:val="0042722E"/>
    <w:rsid w:val="0044528D"/>
    <w:rsid w:val="00487F18"/>
    <w:rsid w:val="0049089A"/>
    <w:rsid w:val="00493AF3"/>
    <w:rsid w:val="004A1847"/>
    <w:rsid w:val="004A305D"/>
    <w:rsid w:val="004B50C2"/>
    <w:rsid w:val="004C63BA"/>
    <w:rsid w:val="004D2AAA"/>
    <w:rsid w:val="004F21C4"/>
    <w:rsid w:val="004F685F"/>
    <w:rsid w:val="005566E8"/>
    <w:rsid w:val="00567040"/>
    <w:rsid w:val="0057166B"/>
    <w:rsid w:val="00574867"/>
    <w:rsid w:val="005806A6"/>
    <w:rsid w:val="00591460"/>
    <w:rsid w:val="005B3816"/>
    <w:rsid w:val="005B3FB2"/>
    <w:rsid w:val="005B65F1"/>
    <w:rsid w:val="005C3777"/>
    <w:rsid w:val="005C5CDC"/>
    <w:rsid w:val="005C7DAB"/>
    <w:rsid w:val="005D476C"/>
    <w:rsid w:val="0061329B"/>
    <w:rsid w:val="006219F8"/>
    <w:rsid w:val="00631045"/>
    <w:rsid w:val="00637BBF"/>
    <w:rsid w:val="00665D70"/>
    <w:rsid w:val="00675FED"/>
    <w:rsid w:val="006900D9"/>
    <w:rsid w:val="006905C0"/>
    <w:rsid w:val="006B2C02"/>
    <w:rsid w:val="006D7121"/>
    <w:rsid w:val="00706C16"/>
    <w:rsid w:val="0072552A"/>
    <w:rsid w:val="0073141C"/>
    <w:rsid w:val="00756841"/>
    <w:rsid w:val="00763E4A"/>
    <w:rsid w:val="007649AB"/>
    <w:rsid w:val="00771D0C"/>
    <w:rsid w:val="007733E9"/>
    <w:rsid w:val="007833AC"/>
    <w:rsid w:val="007B268C"/>
    <w:rsid w:val="007B285D"/>
    <w:rsid w:val="007B7171"/>
    <w:rsid w:val="007C0C0F"/>
    <w:rsid w:val="007C3DC2"/>
    <w:rsid w:val="007E5497"/>
    <w:rsid w:val="007F7470"/>
    <w:rsid w:val="00806F5F"/>
    <w:rsid w:val="00820278"/>
    <w:rsid w:val="00826A46"/>
    <w:rsid w:val="00836334"/>
    <w:rsid w:val="00853C28"/>
    <w:rsid w:val="008624D9"/>
    <w:rsid w:val="00862660"/>
    <w:rsid w:val="00867F95"/>
    <w:rsid w:val="008843B6"/>
    <w:rsid w:val="00891928"/>
    <w:rsid w:val="008A30DF"/>
    <w:rsid w:val="008A446D"/>
    <w:rsid w:val="008B22D4"/>
    <w:rsid w:val="008B5BD4"/>
    <w:rsid w:val="008D180B"/>
    <w:rsid w:val="008E2432"/>
    <w:rsid w:val="008F0EA7"/>
    <w:rsid w:val="008F2453"/>
    <w:rsid w:val="00916515"/>
    <w:rsid w:val="00923EEF"/>
    <w:rsid w:val="009419F9"/>
    <w:rsid w:val="009552F8"/>
    <w:rsid w:val="0095685E"/>
    <w:rsid w:val="00961B09"/>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A1AB8"/>
    <w:rsid w:val="00AB0ADB"/>
    <w:rsid w:val="00AC19F6"/>
    <w:rsid w:val="00AD1D1F"/>
    <w:rsid w:val="00B01B1A"/>
    <w:rsid w:val="00B023E1"/>
    <w:rsid w:val="00B0429C"/>
    <w:rsid w:val="00B23BA1"/>
    <w:rsid w:val="00B2560E"/>
    <w:rsid w:val="00B350FE"/>
    <w:rsid w:val="00B403F3"/>
    <w:rsid w:val="00B41E30"/>
    <w:rsid w:val="00B45CE8"/>
    <w:rsid w:val="00B66319"/>
    <w:rsid w:val="00B72CD3"/>
    <w:rsid w:val="00B72FFF"/>
    <w:rsid w:val="00B74C13"/>
    <w:rsid w:val="00BA7AA4"/>
    <w:rsid w:val="00BB5A06"/>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6357"/>
    <w:rsid w:val="00CC1B26"/>
    <w:rsid w:val="00CE32D1"/>
    <w:rsid w:val="00CE429E"/>
    <w:rsid w:val="00CE58F3"/>
    <w:rsid w:val="00D3590B"/>
    <w:rsid w:val="00D423A2"/>
    <w:rsid w:val="00D520D8"/>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AFE"/>
    <w:rsid w:val="00E75C92"/>
    <w:rsid w:val="00E771DC"/>
    <w:rsid w:val="00E8182D"/>
    <w:rsid w:val="00E8772A"/>
    <w:rsid w:val="00E90F6B"/>
    <w:rsid w:val="00E92C27"/>
    <w:rsid w:val="00EA0E3D"/>
    <w:rsid w:val="00EA70F7"/>
    <w:rsid w:val="00EC197C"/>
    <w:rsid w:val="00EC38A7"/>
    <w:rsid w:val="00EC5C8D"/>
    <w:rsid w:val="00ED706A"/>
    <w:rsid w:val="00ED7384"/>
    <w:rsid w:val="00EE1AA8"/>
    <w:rsid w:val="00EF3A04"/>
    <w:rsid w:val="00EF736C"/>
    <w:rsid w:val="00F30C63"/>
    <w:rsid w:val="00F31EDC"/>
    <w:rsid w:val="00F462B3"/>
    <w:rsid w:val="00F5664F"/>
    <w:rsid w:val="00F666C4"/>
    <w:rsid w:val="00F76AFC"/>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guia_supervision_interventoria.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ybeorelano83@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cce_guia_supervision_interventoria.pdf" TargetMode="External"/><Relationship Id="rId1" Type="http://schemas.openxmlformats.org/officeDocument/2006/relationships/hyperlink" Target="https://www.colombiacompra.gov.co/archivos/manual/guia-para-el-ejercicio-de-las-funciones-de-supervision-e-interventoria-de-los-contratos-suscritos-por-las-entidades-estatal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3.xml><?xml version="1.0" encoding="utf-8"?>
<ds:datastoreItem xmlns:ds="http://schemas.openxmlformats.org/officeDocument/2006/customXml" ds:itemID="{DA952441-A98C-4A33-B1CD-319293F271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17</Pages>
  <Words>5580</Words>
  <Characters>30694</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29</cp:revision>
  <cp:lastPrinted>2023-01-10T21:18:00Z</cp:lastPrinted>
  <dcterms:created xsi:type="dcterms:W3CDTF">2025-08-19T14:54:00Z</dcterms:created>
  <dcterms:modified xsi:type="dcterms:W3CDTF">2025-10-23T21:00:00Z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