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EEE31F" w14:textId="77777777" w:rsidR="00460A5F" w:rsidRPr="00460A5F" w:rsidRDefault="00460A5F" w:rsidP="00460A5F">
      <w:pPr>
        <w:spacing w:line="240" w:lineRule="auto"/>
        <w:jc w:val="both"/>
        <w:rPr>
          <w:rFonts w:ascii="Verdana" w:hAnsi="Verdana" w:cs="Arial"/>
          <w:b/>
          <w:color w:val="000000" w:themeColor="text1"/>
          <w:lang w:val="es-ES_tradnl"/>
        </w:rPr>
      </w:pPr>
      <w:r w:rsidRPr="00460A5F">
        <w:rPr>
          <w:rFonts w:ascii="Verdana" w:hAnsi="Verdana" w:cs="Arial"/>
          <w:b/>
          <w:color w:val="000000" w:themeColor="text1"/>
          <w:lang w:val="es-ES_tradnl"/>
        </w:rPr>
        <w:t xml:space="preserve">SUPERVISIÓN – Convenios Interadministrativos </w:t>
      </w:r>
    </w:p>
    <w:p w14:paraId="7D755221" w14:textId="77777777" w:rsidR="00460A5F" w:rsidRPr="00265303" w:rsidRDefault="00460A5F" w:rsidP="00460A5F">
      <w:pPr>
        <w:spacing w:after="120" w:line="276" w:lineRule="auto"/>
        <w:jc w:val="both"/>
        <w:rPr>
          <w:rFonts w:ascii="Verdana" w:eastAsia="Calibri" w:hAnsi="Verdana" w:cs="Arial"/>
          <w:color w:val="000000"/>
          <w:lang w:val="es-ES_tradnl"/>
        </w:rPr>
      </w:pPr>
      <w:r w:rsidRPr="00265303">
        <w:rPr>
          <w:rFonts w:ascii="Verdana" w:eastAsia="Calibri" w:hAnsi="Verdana" w:cs="Arial"/>
          <w:color w:val="000000"/>
        </w:rPr>
        <w:t xml:space="preserve">En particular, los convenios interadministrativos tienen un grado de excepcionalidad frente a las demás tipologías contractuales y se caracterizan por la autorregulación de sus propias estipulaciones, sin que pueda predicarse la aplicación automática de la generalidad de las normas del EGCAP, incluyendo aquellas referidas en el artículo 83 y siguientes de la Ley 1474 de 2011 en materia de supervisión contractual, pueste este régimen será de aplicación supletoria. </w:t>
      </w:r>
    </w:p>
    <w:p w14:paraId="18DCA9D6" w14:textId="77777777" w:rsidR="00460A5F" w:rsidRPr="00265303" w:rsidRDefault="00460A5F" w:rsidP="00460A5F">
      <w:pPr>
        <w:spacing w:after="120" w:line="276" w:lineRule="auto"/>
        <w:jc w:val="both"/>
        <w:rPr>
          <w:rFonts w:ascii="Verdana" w:eastAsia="Calibri" w:hAnsi="Verdana" w:cs="Arial"/>
          <w:color w:val="000000"/>
          <w:lang w:val="es-ES_tradnl"/>
        </w:rPr>
      </w:pPr>
      <w:r w:rsidRPr="009B0144">
        <w:rPr>
          <w:rFonts w:ascii="Verdana" w:hAnsi="Verdana"/>
        </w:rPr>
        <w:t xml:space="preserve">En virtud de lo anterior, las partes del convenio interadministrativo deberán establecer las condiciones y medidas que emplearán para verificar el cumplimiento de las actividades pactadas y para realizar una supervisión adecuada durante su ejecución. De cualquier modo, estas estipulaciones deben cumplir con el principio de responsabilidad que rige la contratación estatal, según el cual las entidades públicas están obligadas a vigilar la correcta ejecución del objeto contratado y a proteger tanto los derechos de la propia entidad como los del contratista, ejecutor y terceros que puedan verse afectados por la ejecución del contrato </w:t>
      </w:r>
    </w:p>
    <w:p w14:paraId="36AA817B" w14:textId="37CCD6B6" w:rsidR="00460A5F" w:rsidRPr="00460A5F" w:rsidRDefault="00460A5F" w:rsidP="00460A5F">
      <w:pPr>
        <w:spacing w:line="240" w:lineRule="auto"/>
        <w:jc w:val="both"/>
        <w:rPr>
          <w:rFonts w:ascii="Verdana" w:hAnsi="Verdana" w:cs="Arial"/>
          <w:b/>
          <w:color w:val="000000" w:themeColor="text1"/>
          <w:lang w:val="es-ES_tradnl"/>
        </w:rPr>
      </w:pPr>
      <w:r w:rsidRPr="00460A5F">
        <w:rPr>
          <w:rFonts w:ascii="Verdana" w:hAnsi="Verdana" w:cs="Arial"/>
          <w:b/>
          <w:color w:val="000000" w:themeColor="text1"/>
          <w:lang w:val="es-ES_tradnl"/>
        </w:rPr>
        <w:t xml:space="preserve">LEY 1474 DE 2011 – Supervisión contractual </w:t>
      </w:r>
    </w:p>
    <w:p w14:paraId="534F1E10" w14:textId="014F5BDB" w:rsidR="00460A5F" w:rsidRDefault="00460A5F" w:rsidP="00460A5F">
      <w:pPr>
        <w:spacing w:after="0" w:line="240" w:lineRule="auto"/>
        <w:jc w:val="both"/>
        <w:rPr>
          <w:rFonts w:ascii="Verdana" w:eastAsia="Geomanist Light" w:hAnsi="Verdana" w:cs="Arial"/>
          <w:color w:val="000000" w:themeColor="text1"/>
          <w:lang w:val="es-MX"/>
        </w:rPr>
      </w:pPr>
      <w:r w:rsidRPr="00460A5F">
        <w:rPr>
          <w:rFonts w:ascii="Verdana" w:eastAsia="Geomanist Light" w:hAnsi="Verdana" w:cs="Arial"/>
          <w:color w:val="000000" w:themeColor="text1"/>
          <w:lang w:val="es-MX"/>
        </w:rPr>
        <w:t>es importante precisar que, la normativa colombiana, particularmente la Ley 80 de 1993, las Leyes 1150 de 2007 y 1474 de 2011, establece que las entidades estatales son responsables de garantizar el cumplimiento de los contratos públicos, ejerciendo una vigilancia continua sobre su ejecución. Esta supervisión debe ser realizada por funcionarios públicos de la entidad, quienes pueden recibir apoyo de contratistas o personal especializado para tareas técnicas, pero siempre bajo su dirección y control. En ese sentido, la entidad contratante a través del ordenador del gasto es quien ejerce la supervisión o designa un supervisor; además, la Guía para el ejercicio de las funciones de Supervisión e Interventoría de los contratos del Estado de Colombia Compra Eficiente dispone que “El ordenador del gasto de la Entidad Estatal es responsable de la vigilancia y control de la ejecución del gasto y del contrato”.</w:t>
      </w:r>
    </w:p>
    <w:p w14:paraId="67F221F7" w14:textId="77777777" w:rsidR="00460A5F" w:rsidRDefault="00460A5F" w:rsidP="00A260FB">
      <w:pPr>
        <w:spacing w:after="0" w:line="240" w:lineRule="auto"/>
        <w:rPr>
          <w:rFonts w:ascii="Verdana" w:eastAsia="Geomanist Light" w:hAnsi="Verdana" w:cs="Arial"/>
          <w:color w:val="000000" w:themeColor="text1"/>
          <w:lang w:val="es-MX"/>
        </w:rPr>
      </w:pPr>
    </w:p>
    <w:p w14:paraId="66804B6B" w14:textId="77777777" w:rsidR="00460A5F" w:rsidRDefault="00460A5F" w:rsidP="00A260FB">
      <w:pPr>
        <w:spacing w:after="0" w:line="240" w:lineRule="auto"/>
        <w:rPr>
          <w:rFonts w:ascii="Verdana" w:eastAsia="Geomanist Light" w:hAnsi="Verdana" w:cs="Arial"/>
          <w:color w:val="000000" w:themeColor="text1"/>
          <w:lang w:val="es-MX"/>
        </w:rPr>
      </w:pPr>
    </w:p>
    <w:p w14:paraId="67995A46" w14:textId="77777777" w:rsidR="00460A5F" w:rsidRDefault="00460A5F" w:rsidP="00A260FB">
      <w:pPr>
        <w:spacing w:after="0" w:line="240" w:lineRule="auto"/>
        <w:rPr>
          <w:rFonts w:ascii="Verdana" w:eastAsia="Geomanist Light" w:hAnsi="Verdana" w:cs="Arial"/>
          <w:color w:val="000000" w:themeColor="text1"/>
          <w:lang w:val="es-MX"/>
        </w:rPr>
      </w:pPr>
    </w:p>
    <w:p w14:paraId="23E44DB9" w14:textId="77777777" w:rsidR="00460A5F" w:rsidRDefault="00460A5F" w:rsidP="00A260FB">
      <w:pPr>
        <w:spacing w:after="0" w:line="240" w:lineRule="auto"/>
        <w:rPr>
          <w:rFonts w:ascii="Verdana" w:eastAsia="Geomanist Light" w:hAnsi="Verdana" w:cs="Arial"/>
          <w:color w:val="000000" w:themeColor="text1"/>
          <w:lang w:val="es-MX"/>
        </w:rPr>
      </w:pPr>
    </w:p>
    <w:p w14:paraId="2BA671D2" w14:textId="77777777" w:rsidR="00460A5F" w:rsidRDefault="00460A5F" w:rsidP="00A260FB">
      <w:pPr>
        <w:spacing w:after="0" w:line="240" w:lineRule="auto"/>
        <w:rPr>
          <w:rFonts w:ascii="Verdana" w:eastAsia="Geomanist Light" w:hAnsi="Verdana" w:cs="Arial"/>
          <w:color w:val="000000" w:themeColor="text1"/>
          <w:lang w:val="es-MX"/>
        </w:rPr>
      </w:pPr>
    </w:p>
    <w:p w14:paraId="020212CB" w14:textId="77777777" w:rsidR="00460A5F" w:rsidRDefault="00460A5F" w:rsidP="00A260FB">
      <w:pPr>
        <w:spacing w:after="0" w:line="240" w:lineRule="auto"/>
        <w:rPr>
          <w:rFonts w:ascii="Verdana" w:eastAsia="Geomanist Light" w:hAnsi="Verdana" w:cs="Arial"/>
          <w:color w:val="000000" w:themeColor="text1"/>
          <w:lang w:val="es-MX"/>
        </w:rPr>
      </w:pPr>
    </w:p>
    <w:p w14:paraId="686ABB25" w14:textId="77777777" w:rsidR="00460A5F" w:rsidRDefault="00460A5F" w:rsidP="00A260FB">
      <w:pPr>
        <w:spacing w:after="0" w:line="240" w:lineRule="auto"/>
        <w:rPr>
          <w:rFonts w:ascii="Verdana" w:eastAsia="Geomanist Light" w:hAnsi="Verdana" w:cs="Arial"/>
          <w:color w:val="000000" w:themeColor="text1"/>
          <w:lang w:val="es-MX"/>
        </w:rPr>
      </w:pPr>
    </w:p>
    <w:p w14:paraId="79C3E2BC" w14:textId="77777777" w:rsidR="00460A5F" w:rsidRDefault="00460A5F" w:rsidP="00A260FB">
      <w:pPr>
        <w:spacing w:after="0" w:line="240" w:lineRule="auto"/>
        <w:rPr>
          <w:rFonts w:ascii="Verdana" w:eastAsia="Geomanist Light" w:hAnsi="Verdana" w:cs="Arial"/>
          <w:color w:val="000000" w:themeColor="text1"/>
          <w:lang w:val="es-MX"/>
        </w:rPr>
      </w:pPr>
    </w:p>
    <w:p w14:paraId="6D46229B" w14:textId="77777777" w:rsidR="00460A5F" w:rsidRDefault="00460A5F" w:rsidP="00A260FB">
      <w:pPr>
        <w:spacing w:after="0" w:line="240" w:lineRule="auto"/>
        <w:rPr>
          <w:rFonts w:ascii="Verdana" w:eastAsia="Geomanist Light" w:hAnsi="Verdana" w:cs="Arial"/>
          <w:color w:val="000000" w:themeColor="text1"/>
          <w:lang w:val="es-MX"/>
        </w:rPr>
      </w:pPr>
    </w:p>
    <w:p w14:paraId="39D53437" w14:textId="6ADE4D3E" w:rsidR="00A260FB" w:rsidRDefault="00A260FB" w:rsidP="00A260FB">
      <w:pPr>
        <w:spacing w:after="0" w:line="240" w:lineRule="auto"/>
        <w:rPr>
          <w:rFonts w:ascii="Verdana" w:eastAsia="Geomanist Light" w:hAnsi="Verdana" w:cs="Arial"/>
          <w:color w:val="201F1E"/>
          <w:lang w:val="es-MX"/>
        </w:rPr>
      </w:pPr>
      <w:r>
        <w:rPr>
          <w:rFonts w:ascii="Verdana" w:eastAsia="Geomanist Light" w:hAnsi="Verdana" w:cs="Arial"/>
          <w:color w:val="000000" w:themeColor="text1"/>
          <w:lang w:val="es-MX"/>
        </w:rPr>
        <w:t>Bogotá D.C., </w:t>
      </w:r>
      <w:r w:rsidR="00460A5F">
        <w:rPr>
          <w:rFonts w:ascii="Verdana" w:eastAsia="Geomanist Light" w:hAnsi="Verdana" w:cs="Arial"/>
          <w:color w:val="201F1E"/>
          <w:lang w:val="es-MX"/>
        </w:rPr>
        <w:t>07</w:t>
      </w:r>
      <w:r w:rsidRPr="00593A5F">
        <w:rPr>
          <w:rFonts w:ascii="Verdana" w:eastAsia="Geomanist Light" w:hAnsi="Verdana" w:cs="Arial"/>
          <w:color w:val="201F1E"/>
          <w:lang w:val="es-MX"/>
        </w:rPr>
        <w:t xml:space="preserve"> de </w:t>
      </w:r>
      <w:proofErr w:type="gramStart"/>
      <w:r w:rsidR="00460A5F">
        <w:rPr>
          <w:rFonts w:ascii="Verdana" w:eastAsia="Geomanist Light" w:hAnsi="Verdana" w:cs="Arial"/>
          <w:color w:val="201F1E"/>
          <w:lang w:val="es-MX"/>
        </w:rPr>
        <w:t>Octubre</w:t>
      </w:r>
      <w:proofErr w:type="gramEnd"/>
      <w:r w:rsidRPr="00593A5F">
        <w:rPr>
          <w:rFonts w:ascii="Verdana" w:eastAsia="Geomanist Light" w:hAnsi="Verdana" w:cs="Arial"/>
          <w:color w:val="201F1E"/>
          <w:lang w:val="es-MX"/>
        </w:rPr>
        <w:t xml:space="preserve"> de </w:t>
      </w:r>
      <w:r w:rsidR="00460A5F">
        <w:rPr>
          <w:rFonts w:ascii="Verdana" w:eastAsia="Geomanist Light" w:hAnsi="Verdana" w:cs="Arial"/>
          <w:color w:val="201F1E"/>
          <w:lang w:val="es-MX"/>
        </w:rPr>
        <w:t>2025</w:t>
      </w:r>
    </w:p>
    <w:p w14:paraId="4340FA9F" w14:textId="0916B347" w:rsidR="00A260FB" w:rsidRDefault="00460A5F" w:rsidP="00A260FB">
      <w:pPr>
        <w:spacing w:after="0" w:line="240" w:lineRule="auto"/>
        <w:jc w:val="both"/>
        <w:rPr>
          <w:rFonts w:ascii="Verdana" w:eastAsia="Calibri" w:hAnsi="Verdana" w:cs="Arial"/>
          <w:color w:val="000000"/>
          <w:lang w:val="es-ES"/>
        </w:rPr>
      </w:pPr>
      <w:r>
        <w:rPr>
          <w:rFonts w:ascii="Verdana" w:eastAsia="Geomanist Light" w:hAnsi="Verdana" w:cs="Arial"/>
          <w:noProof/>
          <w:color w:val="000000" w:themeColor="text1"/>
          <w:lang w:val="es-MX"/>
        </w:rPr>
        <w:drawing>
          <wp:anchor distT="0" distB="0" distL="114300" distR="114300" simplePos="0" relativeHeight="251658240" behindDoc="0" locked="0" layoutInCell="1" allowOverlap="1" wp14:anchorId="3349F622" wp14:editId="6BF2259F">
            <wp:simplePos x="0" y="0"/>
            <wp:positionH relativeFrom="column">
              <wp:posOffset>3263265</wp:posOffset>
            </wp:positionH>
            <wp:positionV relativeFrom="paragraph">
              <wp:posOffset>129540</wp:posOffset>
            </wp:positionV>
            <wp:extent cx="2546481" cy="806491"/>
            <wp:effectExtent l="0" t="0" r="635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1">
                      <a:extLst>
                        <a:ext uri="{28A0092B-C50C-407E-A947-70E740481C1C}">
                          <a14:useLocalDpi xmlns:a14="http://schemas.microsoft.com/office/drawing/2010/main" val="0"/>
                        </a:ext>
                      </a:extLst>
                    </a:blip>
                    <a:stretch>
                      <a:fillRect/>
                    </a:stretch>
                  </pic:blipFill>
                  <pic:spPr>
                    <a:xfrm>
                      <a:off x="0" y="0"/>
                      <a:ext cx="2546481" cy="806491"/>
                    </a:xfrm>
                    <a:prstGeom prst="rect">
                      <a:avLst/>
                    </a:prstGeom>
                  </pic:spPr>
                </pic:pic>
              </a:graphicData>
            </a:graphic>
            <wp14:sizeRelH relativeFrom="page">
              <wp14:pctWidth>0</wp14:pctWidth>
            </wp14:sizeRelH>
            <wp14:sizeRelV relativeFrom="page">
              <wp14:pctHeight>0</wp14:pctHeight>
            </wp14:sizeRelV>
          </wp:anchor>
        </w:drawing>
      </w:r>
    </w:p>
    <w:p w14:paraId="42F4991E" w14:textId="77777777" w:rsidR="00265303" w:rsidRPr="001F3B3D" w:rsidRDefault="00265303" w:rsidP="00A260FB">
      <w:pPr>
        <w:spacing w:after="0" w:line="240" w:lineRule="auto"/>
        <w:jc w:val="both"/>
        <w:rPr>
          <w:rFonts w:ascii="Verdana" w:eastAsia="Calibri" w:hAnsi="Verdana" w:cs="Arial"/>
          <w:color w:val="000000"/>
          <w:lang w:val="es-ES"/>
        </w:rPr>
      </w:pPr>
    </w:p>
    <w:p w14:paraId="2EDB7B08" w14:textId="77777777" w:rsidR="00A260FB" w:rsidRDefault="00A260FB" w:rsidP="00A260FB">
      <w:pPr>
        <w:spacing w:after="0" w:line="240" w:lineRule="auto"/>
        <w:jc w:val="both"/>
        <w:rPr>
          <w:rFonts w:ascii="Verdana" w:eastAsia="Calibri" w:hAnsi="Verdana" w:cs="Arial"/>
          <w:lang w:val="es-ES" w:eastAsia="es-ES"/>
        </w:rPr>
      </w:pPr>
      <w:bookmarkStart w:id="0" w:name="_Hlk208479311"/>
      <w:r>
        <w:rPr>
          <w:rFonts w:ascii="Verdana" w:eastAsia="Calibri" w:hAnsi="Verdana" w:cs="Arial"/>
          <w:lang w:val="es-ES" w:eastAsia="es-ES"/>
        </w:rPr>
        <w:t>Señor</w:t>
      </w:r>
    </w:p>
    <w:p w14:paraId="350BB082" w14:textId="77777777" w:rsidR="00A260FB" w:rsidRDefault="00A260FB" w:rsidP="00A260FB">
      <w:pPr>
        <w:spacing w:after="0" w:line="240" w:lineRule="auto"/>
        <w:rPr>
          <w:rFonts w:ascii="Verdana" w:eastAsia="Calibri" w:hAnsi="Verdana" w:cs="Arial"/>
          <w:b/>
          <w:lang w:val="es-ES" w:eastAsia="es-ES"/>
        </w:rPr>
      </w:pPr>
      <w:proofErr w:type="spellStart"/>
      <w:r>
        <w:rPr>
          <w:rFonts w:ascii="Verdana" w:eastAsia="Calibri" w:hAnsi="Verdana" w:cs="Arial"/>
          <w:b/>
          <w:lang w:val="es-ES" w:eastAsia="es-ES"/>
        </w:rPr>
        <w:t>Jose</w:t>
      </w:r>
      <w:proofErr w:type="spellEnd"/>
      <w:r>
        <w:rPr>
          <w:rFonts w:ascii="Verdana" w:eastAsia="Calibri" w:hAnsi="Verdana" w:cs="Arial"/>
          <w:b/>
          <w:lang w:val="es-ES" w:eastAsia="es-ES"/>
        </w:rPr>
        <w:t xml:space="preserve"> Luis </w:t>
      </w:r>
      <w:proofErr w:type="spellStart"/>
      <w:r>
        <w:rPr>
          <w:rFonts w:ascii="Verdana" w:eastAsia="Calibri" w:hAnsi="Verdana" w:cs="Arial"/>
          <w:b/>
          <w:lang w:val="es-ES" w:eastAsia="es-ES"/>
        </w:rPr>
        <w:t>Velasquez</w:t>
      </w:r>
      <w:proofErr w:type="spellEnd"/>
      <w:r>
        <w:rPr>
          <w:rFonts w:ascii="Verdana" w:eastAsia="Calibri" w:hAnsi="Verdana" w:cs="Arial"/>
          <w:b/>
          <w:lang w:val="es-ES" w:eastAsia="es-ES"/>
        </w:rPr>
        <w:t xml:space="preserve"> Soacha</w:t>
      </w:r>
    </w:p>
    <w:p w14:paraId="1C7F3376" w14:textId="77777777" w:rsidR="00A260FB" w:rsidRPr="00C53B42" w:rsidRDefault="00A260FB" w:rsidP="00A260FB">
      <w:pPr>
        <w:spacing w:after="0" w:line="240" w:lineRule="auto"/>
        <w:rPr>
          <w:rFonts w:ascii="Verdana" w:hAnsi="Verdana" w:cs="ArialMT"/>
        </w:rPr>
      </w:pPr>
      <w:hyperlink r:id="rId12" w:history="1">
        <w:r w:rsidRPr="001F3B3D">
          <w:rPr>
            <w:rStyle w:val="Hipervnculo"/>
            <w:rFonts w:ascii="Verdana" w:hAnsi="Verdana" w:cs="ArialMT"/>
          </w:rPr>
          <w:t>jlvelasquez1978@gmail.com</w:t>
        </w:r>
      </w:hyperlink>
      <w:r w:rsidRPr="001F3B3D">
        <w:rPr>
          <w:rFonts w:ascii="Verdana" w:hAnsi="Verdana" w:cs="ArialMT"/>
        </w:rPr>
        <w:t xml:space="preserve">   </w:t>
      </w:r>
    </w:p>
    <w:bookmarkEnd w:id="0"/>
    <w:p w14:paraId="56E5ED3D" w14:textId="77777777" w:rsidR="00A260FB" w:rsidRPr="00C53B42" w:rsidRDefault="00A260FB" w:rsidP="00A260FB">
      <w:pPr>
        <w:spacing w:after="0" w:line="240" w:lineRule="auto"/>
        <w:rPr>
          <w:rFonts w:ascii="Verdana" w:hAnsi="Verdana" w:cs="ArialMT"/>
        </w:rPr>
      </w:pPr>
      <w:r>
        <w:rPr>
          <w:rFonts w:ascii="Verdana" w:eastAsia="Calibri" w:hAnsi="Verdana" w:cs="Arial"/>
          <w:lang w:val="es-ES" w:eastAsia="es-ES"/>
        </w:rPr>
        <w:t>Acacias, Meta</w:t>
      </w:r>
    </w:p>
    <w:p w14:paraId="4DCB1FEA" w14:textId="77777777" w:rsidR="00A260FB" w:rsidRPr="00C53B42" w:rsidRDefault="00A260FB" w:rsidP="00A260FB">
      <w:pPr>
        <w:spacing w:after="0" w:line="240" w:lineRule="auto"/>
        <w:rPr>
          <w:rFonts w:ascii="Verdana" w:eastAsia="Calibri" w:hAnsi="Verdana" w:cs="Arial"/>
          <w:b/>
          <w:bCs/>
          <w:color w:val="000000"/>
          <w:lang w:val="es-ES_tradnl" w:eastAsia="es-ES_tradnl"/>
        </w:rPr>
      </w:pPr>
    </w:p>
    <w:p w14:paraId="166846B1" w14:textId="77777777" w:rsidR="00265303" w:rsidRPr="001F3B3D" w:rsidRDefault="00265303" w:rsidP="00A260FB">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260FB" w:rsidRPr="00C53B42" w14:paraId="70FDB0A0" w14:textId="77777777" w:rsidTr="002D18AA">
        <w:trPr>
          <w:trHeight w:val="218"/>
        </w:trPr>
        <w:tc>
          <w:tcPr>
            <w:tcW w:w="2689" w:type="dxa"/>
          </w:tcPr>
          <w:p w14:paraId="45FFD4DD" w14:textId="77777777" w:rsidR="00A260FB" w:rsidRPr="00C53B42" w:rsidRDefault="00A260FB" w:rsidP="002D18AA">
            <w:pPr>
              <w:spacing w:line="240" w:lineRule="auto"/>
              <w:jc w:val="both"/>
              <w:rPr>
                <w:rFonts w:ascii="Verdana" w:eastAsia="Calibri" w:hAnsi="Verdana" w:cs="Arial"/>
                <w:b/>
                <w:bCs/>
                <w:color w:val="7030A0"/>
                <w:lang w:val="es-ES_tradnl" w:eastAsia="es-ES_tradnl"/>
              </w:rPr>
            </w:pPr>
          </w:p>
        </w:tc>
        <w:tc>
          <w:tcPr>
            <w:tcW w:w="6100" w:type="dxa"/>
            <w:hideMark/>
          </w:tcPr>
          <w:p w14:paraId="0295F6BC" w14:textId="77777777" w:rsidR="00A260FB" w:rsidRPr="00C53B42" w:rsidRDefault="00A260FB" w:rsidP="002D18AA">
            <w:pPr>
              <w:spacing w:line="240" w:lineRule="auto"/>
              <w:jc w:val="both"/>
              <w:rPr>
                <w:rFonts w:ascii="Verdana" w:eastAsia="Calibri" w:hAnsi="Verdana" w:cs="Arial"/>
                <w:b/>
                <w:bCs/>
                <w:lang w:val="es-ES" w:eastAsia="es-ES"/>
              </w:rPr>
            </w:pPr>
            <w:r w:rsidRPr="00C53B42">
              <w:rPr>
                <w:rFonts w:ascii="Verdana" w:eastAsia="Calibri" w:hAnsi="Verdana" w:cs="Arial"/>
                <w:b/>
                <w:bCs/>
                <w:lang w:val="es-ES" w:eastAsia="es-ES"/>
              </w:rPr>
              <w:t>Concepto C</w:t>
            </w:r>
            <w:r>
              <w:rPr>
                <w:rFonts w:ascii="Verdana" w:eastAsia="Calibri" w:hAnsi="Verdana" w:cs="Arial"/>
                <w:b/>
                <w:bCs/>
                <w:lang w:val="es-ES" w:eastAsia="es-ES"/>
              </w:rPr>
              <w:t>-1207</w:t>
            </w:r>
            <w:r w:rsidRPr="00C53B42">
              <w:rPr>
                <w:rFonts w:ascii="Verdana" w:eastAsia="Calibri" w:hAnsi="Verdana" w:cs="Arial"/>
                <w:b/>
                <w:bCs/>
                <w:lang w:val="es-ES" w:eastAsia="es-ES"/>
              </w:rPr>
              <w:t xml:space="preserve"> de 2025</w:t>
            </w:r>
          </w:p>
          <w:p w14:paraId="50CD59DF" w14:textId="77777777" w:rsidR="00A260FB" w:rsidRPr="00C53B42" w:rsidRDefault="00A260FB" w:rsidP="002D18AA">
            <w:pPr>
              <w:spacing w:line="240" w:lineRule="auto"/>
              <w:jc w:val="both"/>
              <w:rPr>
                <w:rFonts w:ascii="Verdana" w:eastAsia="Calibri" w:hAnsi="Verdana" w:cs="Arial"/>
                <w:b/>
                <w:bCs/>
                <w:lang w:val="es-ES" w:eastAsia="es-ES"/>
              </w:rPr>
            </w:pPr>
          </w:p>
        </w:tc>
      </w:tr>
      <w:tr w:rsidR="00A260FB" w:rsidRPr="00C53B42" w14:paraId="21538FCA" w14:textId="77777777" w:rsidTr="002D18AA">
        <w:trPr>
          <w:trHeight w:val="884"/>
        </w:trPr>
        <w:tc>
          <w:tcPr>
            <w:tcW w:w="2689" w:type="dxa"/>
            <w:hideMark/>
          </w:tcPr>
          <w:p w14:paraId="4F6DEA8D" w14:textId="77777777" w:rsidR="00A260FB" w:rsidRPr="00C53B42" w:rsidRDefault="00A260FB" w:rsidP="002D18AA">
            <w:pPr>
              <w:spacing w:line="240" w:lineRule="auto"/>
              <w:jc w:val="both"/>
              <w:rPr>
                <w:rFonts w:ascii="Verdana" w:eastAsia="Calibri" w:hAnsi="Verdana" w:cs="Arial"/>
                <w:color w:val="000000"/>
                <w:lang w:val="es-ES_tradnl" w:eastAsia="es-ES_tradnl"/>
              </w:rPr>
            </w:pPr>
            <w:r w:rsidRPr="00C53B42">
              <w:rPr>
                <w:rFonts w:ascii="Verdana" w:eastAsia="Calibri" w:hAnsi="Verdana" w:cs="Arial"/>
                <w:b/>
                <w:color w:val="000000"/>
                <w:lang w:val="es-ES_tradnl" w:eastAsia="es-ES_tradnl"/>
              </w:rPr>
              <w:t>Temas:</w:t>
            </w:r>
            <w:r w:rsidRPr="00C53B42">
              <w:rPr>
                <w:rFonts w:ascii="Verdana" w:eastAsia="Calibri" w:hAnsi="Verdana" w:cs="Arial"/>
                <w:color w:val="000000"/>
                <w:lang w:val="es-ES_tradnl" w:eastAsia="es-ES_tradnl"/>
              </w:rPr>
              <w:t xml:space="preserve">                   </w:t>
            </w:r>
          </w:p>
        </w:tc>
        <w:tc>
          <w:tcPr>
            <w:tcW w:w="6100" w:type="dxa"/>
            <w:hideMark/>
          </w:tcPr>
          <w:p w14:paraId="46CC09F3" w14:textId="3E0FAFC2" w:rsidR="00A260FB" w:rsidRDefault="00A260FB" w:rsidP="002D18AA">
            <w:pPr>
              <w:spacing w:line="240" w:lineRule="auto"/>
              <w:jc w:val="both"/>
              <w:rPr>
                <w:rFonts w:ascii="Verdana" w:hAnsi="Verdana" w:cs="Arial"/>
                <w:bCs/>
                <w:color w:val="000000" w:themeColor="text1"/>
                <w:lang w:val="es-ES_tradnl"/>
              </w:rPr>
            </w:pPr>
            <w:r>
              <w:rPr>
                <w:rFonts w:ascii="Verdana" w:hAnsi="Verdana" w:cs="Arial"/>
                <w:bCs/>
                <w:color w:val="000000" w:themeColor="text1"/>
                <w:lang w:val="es-ES_tradnl"/>
              </w:rPr>
              <w:t xml:space="preserve">SUPERVISIÓN </w:t>
            </w:r>
            <w:r w:rsidR="003927C8">
              <w:rPr>
                <w:rFonts w:ascii="Verdana" w:hAnsi="Verdana" w:cs="Arial"/>
                <w:bCs/>
                <w:color w:val="000000" w:themeColor="text1"/>
                <w:lang w:val="es-ES_tradnl"/>
              </w:rPr>
              <w:t xml:space="preserve">– Convenios Interadministrativos / LEY 1474 DE 2011 </w:t>
            </w:r>
            <w:r w:rsidR="008157C0">
              <w:rPr>
                <w:rFonts w:ascii="Verdana" w:hAnsi="Verdana" w:cs="Arial"/>
                <w:bCs/>
                <w:color w:val="000000" w:themeColor="text1"/>
                <w:lang w:val="es-ES_tradnl"/>
              </w:rPr>
              <w:t>–</w:t>
            </w:r>
            <w:r w:rsidR="003927C8">
              <w:rPr>
                <w:rFonts w:ascii="Verdana" w:hAnsi="Verdana" w:cs="Arial"/>
                <w:bCs/>
                <w:color w:val="000000" w:themeColor="text1"/>
                <w:lang w:val="es-ES_tradnl"/>
              </w:rPr>
              <w:t xml:space="preserve"> </w:t>
            </w:r>
            <w:r w:rsidR="008157C0">
              <w:rPr>
                <w:rFonts w:ascii="Verdana" w:hAnsi="Verdana" w:cs="Arial"/>
                <w:bCs/>
                <w:color w:val="000000" w:themeColor="text1"/>
                <w:lang w:val="es-ES_tradnl"/>
              </w:rPr>
              <w:t xml:space="preserve">Supervisión contractual </w:t>
            </w:r>
          </w:p>
          <w:p w14:paraId="3C1233A2" w14:textId="77777777" w:rsidR="00A260FB" w:rsidRPr="006A06BA" w:rsidRDefault="00A260FB" w:rsidP="002D18AA">
            <w:pPr>
              <w:spacing w:line="240" w:lineRule="auto"/>
              <w:jc w:val="both"/>
              <w:rPr>
                <w:rFonts w:ascii="Verdana" w:eastAsia="Calibri" w:hAnsi="Verdana" w:cs="Arial"/>
                <w:highlight w:val="yellow"/>
                <w:lang w:val="es-ES" w:eastAsia="es-ES"/>
              </w:rPr>
            </w:pPr>
          </w:p>
        </w:tc>
      </w:tr>
      <w:tr w:rsidR="00A260FB" w14:paraId="3E9CD960" w14:textId="77777777" w:rsidTr="002D18AA">
        <w:tc>
          <w:tcPr>
            <w:tcW w:w="2689" w:type="dxa"/>
            <w:hideMark/>
          </w:tcPr>
          <w:p w14:paraId="1DC00C3B" w14:textId="77777777" w:rsidR="00A260FB" w:rsidRPr="00C53B42" w:rsidRDefault="00A260FB" w:rsidP="002D18AA">
            <w:pPr>
              <w:spacing w:line="240" w:lineRule="auto"/>
              <w:jc w:val="both"/>
              <w:rPr>
                <w:rFonts w:ascii="Verdana" w:eastAsia="Calibri" w:hAnsi="Verdana" w:cs="Arial"/>
                <w:b/>
                <w:color w:val="7030A0"/>
                <w:lang w:val="es-ES_tradnl" w:eastAsia="es-ES_tradnl"/>
              </w:rPr>
            </w:pPr>
            <w:r w:rsidRPr="00C53B42">
              <w:rPr>
                <w:rFonts w:ascii="Verdana" w:eastAsia="Calibri" w:hAnsi="Verdana" w:cs="Arial"/>
                <w:b/>
                <w:lang w:val="es-ES_tradnl" w:eastAsia="es-ES_tradnl"/>
              </w:rPr>
              <w:t>Radicación:</w:t>
            </w:r>
            <w:r w:rsidRPr="00C53B42">
              <w:rPr>
                <w:rFonts w:ascii="Verdana" w:eastAsia="Calibri" w:hAnsi="Verdana" w:cs="Arial"/>
                <w:lang w:val="es-ES_tradnl" w:eastAsia="es-ES_tradnl"/>
              </w:rPr>
              <w:t xml:space="preserve">               </w:t>
            </w:r>
          </w:p>
        </w:tc>
        <w:tc>
          <w:tcPr>
            <w:tcW w:w="6100" w:type="dxa"/>
          </w:tcPr>
          <w:p w14:paraId="6BA1F0B9" w14:textId="77777777" w:rsidR="00A260FB" w:rsidRPr="00C53B42" w:rsidRDefault="00A260FB" w:rsidP="002D18AA">
            <w:pPr>
              <w:spacing w:line="240" w:lineRule="auto"/>
              <w:jc w:val="both"/>
              <w:rPr>
                <w:rFonts w:ascii="Verdana" w:eastAsia="Calibri" w:hAnsi="Verdana" w:cs="Arial"/>
                <w:lang w:val="es-ES_tradnl" w:eastAsia="es-ES_tradnl"/>
              </w:rPr>
            </w:pPr>
            <w:r w:rsidRPr="00C53B42">
              <w:rPr>
                <w:rFonts w:ascii="Verdana" w:eastAsia="Calibri" w:hAnsi="Verdana" w:cs="Arial"/>
                <w:lang w:val="es-ES_tradnl" w:eastAsia="es-ES_tradnl"/>
              </w:rPr>
              <w:t xml:space="preserve">Respuesta a consulta con radicado No. </w:t>
            </w:r>
            <w:r w:rsidRPr="00217D12">
              <w:rPr>
                <w:rFonts w:ascii="Verdana" w:eastAsia="Calibri" w:hAnsi="Verdana" w:cs="Arial"/>
                <w:lang w:val="es-ES_tradnl" w:eastAsia="es-ES_tradnl"/>
              </w:rPr>
              <w:t>1_2025_08_26_009100</w:t>
            </w:r>
          </w:p>
        </w:tc>
      </w:tr>
    </w:tbl>
    <w:p w14:paraId="224C0E92" w14:textId="77777777" w:rsidR="00A260FB" w:rsidRDefault="00A260FB" w:rsidP="00A260FB">
      <w:pPr>
        <w:spacing w:after="0" w:line="240" w:lineRule="auto"/>
        <w:jc w:val="both"/>
        <w:rPr>
          <w:rFonts w:ascii="Verdana" w:eastAsia="Calibri" w:hAnsi="Verdana" w:cs="Arial"/>
          <w:color w:val="000000"/>
          <w:lang w:val="es-ES_tradnl" w:eastAsia="es-ES_tradnl"/>
        </w:rPr>
      </w:pPr>
    </w:p>
    <w:p w14:paraId="5AD7B095" w14:textId="77777777" w:rsidR="00A260FB" w:rsidRDefault="00A260FB" w:rsidP="00A260FB">
      <w:pPr>
        <w:spacing w:after="0" w:line="240" w:lineRule="auto"/>
        <w:jc w:val="both"/>
        <w:rPr>
          <w:rFonts w:ascii="Verdana" w:eastAsia="Calibri" w:hAnsi="Verdana" w:cs="Arial"/>
          <w:color w:val="000000"/>
          <w:lang w:val="es-ES_tradnl" w:eastAsia="es-ES_tradnl"/>
        </w:rPr>
      </w:pPr>
    </w:p>
    <w:p w14:paraId="1F9E3127" w14:textId="77777777" w:rsidR="00A260FB" w:rsidRDefault="00A260FB" w:rsidP="00A260FB">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Estimado señor </w:t>
      </w:r>
      <w:proofErr w:type="spellStart"/>
      <w:r>
        <w:rPr>
          <w:rFonts w:ascii="Verdana" w:eastAsia="Calibri" w:hAnsi="Verdana" w:cs="Arial"/>
          <w:color w:val="000000" w:themeColor="text1"/>
          <w:lang w:val="es-ES" w:eastAsia="es-ES"/>
        </w:rPr>
        <w:t>Velasquez</w:t>
      </w:r>
      <w:proofErr w:type="spellEnd"/>
      <w:r>
        <w:rPr>
          <w:rFonts w:ascii="Verdana" w:eastAsia="Calibri" w:hAnsi="Verdana" w:cs="Arial"/>
          <w:color w:val="000000" w:themeColor="text1"/>
          <w:lang w:val="es-ES" w:eastAsia="es-ES"/>
        </w:rPr>
        <w:t>,</w:t>
      </w:r>
    </w:p>
    <w:p w14:paraId="12D063A9" w14:textId="77777777" w:rsidR="00A260FB" w:rsidRDefault="00A260FB" w:rsidP="00A260FB">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5F8C109A" w14:textId="77777777" w:rsidR="00A260FB" w:rsidRDefault="00A260FB" w:rsidP="00A260FB">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su solicitud de consulta con fecha 26 de agosto de 2025, en la cual manifiesta lo siguiente: </w:t>
      </w:r>
    </w:p>
    <w:p w14:paraId="1B65C55B" w14:textId="77777777" w:rsidR="00A260FB" w:rsidRDefault="00A260FB" w:rsidP="00A260FB">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A50ECA2" w14:textId="77777777" w:rsidR="00A260FB" w:rsidRPr="00BF30E7" w:rsidRDefault="00A260FB" w:rsidP="009B0144">
      <w:pPr>
        <w:autoSpaceDE w:val="0"/>
        <w:autoSpaceDN w:val="0"/>
        <w:adjustRightInd w:val="0"/>
        <w:spacing w:after="0" w:line="240" w:lineRule="auto"/>
        <w:ind w:left="709" w:right="709"/>
        <w:jc w:val="both"/>
        <w:rPr>
          <w:rFonts w:ascii="Verdana" w:hAnsi="Verdana" w:cs="ArialMT"/>
          <w:sz w:val="20"/>
          <w:szCs w:val="20"/>
        </w:rPr>
      </w:pPr>
      <w:r w:rsidRPr="00BF30E7">
        <w:rPr>
          <w:rFonts w:ascii="Verdana" w:hAnsi="Verdana" w:cs="ArialMT"/>
          <w:sz w:val="20"/>
          <w:szCs w:val="20"/>
        </w:rPr>
        <w:t>“</w:t>
      </w:r>
      <w:proofErr w:type="gramStart"/>
      <w:r w:rsidRPr="00217D12">
        <w:rPr>
          <w:rFonts w:ascii="Verdana" w:hAnsi="Verdana" w:cs="ArialMT"/>
          <w:sz w:val="20"/>
          <w:szCs w:val="20"/>
        </w:rPr>
        <w:t>En un convenio interadministrativo, en el cual una de las entidades públicas</w:t>
      </w:r>
      <w:r>
        <w:rPr>
          <w:rFonts w:ascii="Verdana" w:hAnsi="Verdana" w:cs="ArialMT"/>
          <w:sz w:val="20"/>
          <w:szCs w:val="20"/>
        </w:rPr>
        <w:t xml:space="preserve"> </w:t>
      </w:r>
      <w:r w:rsidRPr="00217D12">
        <w:rPr>
          <w:rFonts w:ascii="Verdana" w:hAnsi="Verdana" w:cs="ArialMT"/>
          <w:sz w:val="20"/>
          <w:szCs w:val="20"/>
        </w:rPr>
        <w:t>asume la obligación de aportar los recursos, y la otra, asume la obligación de</w:t>
      </w:r>
      <w:r>
        <w:rPr>
          <w:rFonts w:ascii="Verdana" w:hAnsi="Verdana" w:cs="ArialMT"/>
          <w:sz w:val="20"/>
          <w:szCs w:val="20"/>
        </w:rPr>
        <w:t xml:space="preserve"> </w:t>
      </w:r>
      <w:r w:rsidRPr="00217D12">
        <w:rPr>
          <w:rFonts w:ascii="Verdana" w:hAnsi="Verdana" w:cs="ArialMT"/>
          <w:sz w:val="20"/>
          <w:szCs w:val="20"/>
        </w:rPr>
        <w:t>ejecutarlos, cada una de las entidades debe designar un supervisor que se</w:t>
      </w:r>
      <w:r>
        <w:rPr>
          <w:rFonts w:ascii="Verdana" w:hAnsi="Verdana" w:cs="ArialMT"/>
          <w:sz w:val="20"/>
          <w:szCs w:val="20"/>
        </w:rPr>
        <w:t xml:space="preserve"> </w:t>
      </w:r>
      <w:r w:rsidRPr="00217D12">
        <w:rPr>
          <w:rFonts w:ascii="Verdana" w:hAnsi="Verdana" w:cs="ArialMT"/>
          <w:sz w:val="20"/>
          <w:szCs w:val="20"/>
        </w:rPr>
        <w:t>encargue de la vigilancia de las obligaciones que le corresponden?</w:t>
      </w:r>
      <w:proofErr w:type="gramEnd"/>
      <w:r w:rsidRPr="00217D12">
        <w:rPr>
          <w:rFonts w:ascii="Verdana" w:hAnsi="Verdana" w:cs="ArialMT"/>
          <w:sz w:val="20"/>
          <w:szCs w:val="20"/>
        </w:rPr>
        <w:t xml:space="preserve"> / 2- Solamente</w:t>
      </w:r>
      <w:r>
        <w:rPr>
          <w:rFonts w:ascii="Verdana" w:hAnsi="Verdana" w:cs="ArialMT"/>
          <w:sz w:val="20"/>
          <w:szCs w:val="20"/>
        </w:rPr>
        <w:t xml:space="preserve"> </w:t>
      </w:r>
      <w:r w:rsidRPr="00217D12">
        <w:rPr>
          <w:rFonts w:ascii="Verdana" w:hAnsi="Verdana" w:cs="ArialMT"/>
          <w:sz w:val="20"/>
          <w:szCs w:val="20"/>
        </w:rPr>
        <w:t>la entidad que aporta los recursos DEBE designar el supervisor de dicho</w:t>
      </w:r>
      <w:r>
        <w:rPr>
          <w:rFonts w:ascii="Verdana" w:hAnsi="Verdana" w:cs="ArialMT"/>
          <w:sz w:val="20"/>
          <w:szCs w:val="20"/>
        </w:rPr>
        <w:t xml:space="preserve"> </w:t>
      </w:r>
      <w:r w:rsidRPr="00217D12">
        <w:rPr>
          <w:rFonts w:ascii="Verdana" w:hAnsi="Verdana" w:cs="ArialMT"/>
          <w:sz w:val="20"/>
          <w:szCs w:val="20"/>
        </w:rPr>
        <w:t>convenio?:</w:t>
      </w:r>
      <w:r w:rsidRPr="00BF30E7">
        <w:rPr>
          <w:rFonts w:ascii="Verdana" w:hAnsi="Verdana" w:cs="ArialMT"/>
          <w:sz w:val="20"/>
          <w:szCs w:val="20"/>
        </w:rPr>
        <w:t>”</w:t>
      </w:r>
    </w:p>
    <w:p w14:paraId="7D92BBA5" w14:textId="77777777" w:rsidR="00A260FB" w:rsidRPr="00924340" w:rsidRDefault="00A260FB" w:rsidP="009B0144">
      <w:pPr>
        <w:autoSpaceDE w:val="0"/>
        <w:autoSpaceDN w:val="0"/>
        <w:adjustRightInd w:val="0"/>
        <w:spacing w:after="0" w:line="276" w:lineRule="auto"/>
        <w:ind w:left="709" w:right="709"/>
        <w:jc w:val="both"/>
        <w:rPr>
          <w:rFonts w:ascii="Verdana" w:eastAsia="Century Gothic" w:hAnsi="Verdana" w:cs="Century Gothic"/>
          <w:b/>
        </w:rPr>
      </w:pPr>
    </w:p>
    <w:p w14:paraId="01359D02" w14:textId="77777777" w:rsidR="00A260FB" w:rsidRDefault="00A260FB" w:rsidP="00A260FB">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w:t>
      </w:r>
      <w:r>
        <w:rPr>
          <w:rFonts w:ascii="Verdana" w:eastAsia="Calibri" w:hAnsi="Verdana" w:cs="Arial"/>
          <w:color w:val="000000"/>
          <w:lang w:val="es-ES" w:eastAsia="es-ES"/>
        </w:rPr>
        <w:lastRenderedPageBreak/>
        <w:t xml:space="preserve">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00D51725" w14:textId="77777777" w:rsidR="00A260FB" w:rsidRDefault="00A260FB" w:rsidP="00A260FB">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09E58983" w14:textId="77777777" w:rsidR="00A260FB" w:rsidRPr="009B0144" w:rsidRDefault="00A260FB" w:rsidP="00A260FB">
      <w:pPr>
        <w:spacing w:after="0" w:line="276" w:lineRule="auto"/>
        <w:ind w:firstLine="709"/>
        <w:jc w:val="both"/>
        <w:rPr>
          <w:rFonts w:ascii="Verdana" w:eastAsia="Calibri" w:hAnsi="Verdana" w:cs="Arial"/>
          <w:lang w:val="es-ES" w:eastAsia="es-ES"/>
        </w:rPr>
      </w:pPr>
    </w:p>
    <w:p w14:paraId="45D925DD" w14:textId="77777777" w:rsidR="00A260FB" w:rsidRDefault="00A260FB" w:rsidP="00A260F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368E747C" w14:textId="77777777" w:rsidR="00A260FB" w:rsidRDefault="00A260FB" w:rsidP="00A260FB">
      <w:pPr>
        <w:tabs>
          <w:tab w:val="left" w:pos="426"/>
        </w:tabs>
        <w:spacing w:after="0" w:line="276" w:lineRule="auto"/>
        <w:jc w:val="both"/>
        <w:rPr>
          <w:rFonts w:ascii="Verdana" w:eastAsia="Century Gothic" w:hAnsi="Verdana" w:cs="Century Gothic"/>
          <w:lang w:val="es-ES"/>
        </w:rPr>
      </w:pPr>
    </w:p>
    <w:p w14:paraId="12179AAE" w14:textId="77777777" w:rsidR="00A260FB" w:rsidRDefault="00A260FB" w:rsidP="00A260FB">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su solicitud, esta Agencia resolverá el siguiente problema jurídico: ¿Quién debe designar al supervisor de un convenio interadministrativo? </w:t>
      </w:r>
    </w:p>
    <w:p w14:paraId="2E95D2B0" w14:textId="77777777" w:rsidR="00A260FB" w:rsidRPr="009B0144" w:rsidRDefault="00A260FB" w:rsidP="00A260FB">
      <w:pPr>
        <w:spacing w:after="0" w:line="276" w:lineRule="auto"/>
        <w:jc w:val="both"/>
        <w:rPr>
          <w:rFonts w:ascii="Verdana" w:eastAsia="Calibri" w:hAnsi="Verdana" w:cs="Arial"/>
          <w:lang w:val="es-ES"/>
        </w:rPr>
      </w:pPr>
    </w:p>
    <w:p w14:paraId="44C07CBC" w14:textId="77777777" w:rsidR="00A260FB" w:rsidRDefault="00A260FB" w:rsidP="00A260F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277E0720" w14:textId="77777777" w:rsidR="00A260FB" w:rsidRDefault="00A260FB" w:rsidP="00A260FB">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260FB" w:rsidRPr="001B5827" w14:paraId="66FC8DE1" w14:textId="77777777" w:rsidTr="002D18AA">
        <w:tc>
          <w:tcPr>
            <w:tcW w:w="8828" w:type="dxa"/>
            <w:tcBorders>
              <w:top w:val="dotted" w:sz="4" w:space="0" w:color="auto"/>
              <w:left w:val="dotted" w:sz="4" w:space="0" w:color="auto"/>
              <w:bottom w:val="dotted" w:sz="4" w:space="0" w:color="auto"/>
              <w:right w:val="dotted" w:sz="4" w:space="0" w:color="auto"/>
            </w:tcBorders>
          </w:tcPr>
          <w:p w14:paraId="28E40D66" w14:textId="6DEDDA88" w:rsidR="00A260FB" w:rsidRDefault="00A260FB" w:rsidP="009B0144">
            <w:pPr>
              <w:spacing w:after="120" w:line="276" w:lineRule="auto"/>
              <w:jc w:val="both"/>
              <w:rPr>
                <w:rFonts w:ascii="Verdana" w:hAnsi="Verdana" w:cs="Arial"/>
                <w:lang w:val="es-ES_tradnl" w:eastAsia="es-ES"/>
              </w:rPr>
            </w:pPr>
            <w:r>
              <w:rPr>
                <w:rFonts w:ascii="Verdana" w:hAnsi="Verdana" w:cs="Arial"/>
                <w:color w:val="000000"/>
              </w:rPr>
              <w:t>La</w:t>
            </w:r>
            <w:r w:rsidRPr="00B7290B">
              <w:rPr>
                <w:rFonts w:ascii="Verdana" w:hAnsi="Verdana" w:cs="Arial"/>
                <w:color w:val="000000"/>
              </w:rPr>
              <w:t xml:space="preserve"> normativa colombiana, particularmente la Ley 80 de 1993, las Leyes 1150 de 2007 y 1474 de 2011, establece que las entidades estatales son responsables de garantizar el cumplimiento de los contratos públicos, ejerciendo una vigilancia continua sobre su ejecución. Esta supervisión debe ser realizada por funcionarios públicos de la entidad, quienes pueden recibir apoyo de contratistas o personal especializado para tareas técnicas, pero siempre bajo su dirección y control.</w:t>
            </w:r>
            <w:r w:rsidRPr="006E7982">
              <w:rPr>
                <w:rFonts w:ascii="Verdana" w:hAnsi="Verdana" w:cs="Arial"/>
                <w:lang w:val="es-ES_tradnl" w:eastAsia="es-ES"/>
              </w:rPr>
              <w:t xml:space="preserve"> </w:t>
            </w:r>
            <w:r w:rsidRPr="0027034B">
              <w:rPr>
                <w:rFonts w:ascii="Verdana" w:hAnsi="Verdana" w:cs="Arial"/>
                <w:lang w:val="es-ES_tradnl" w:eastAsia="es-ES"/>
              </w:rPr>
              <w:t>En ese sentido, la entidad contratante a través del ordenador del gasto es quien ejerce la supervisión o designa un supervisor</w:t>
            </w:r>
            <w:r w:rsidR="0020567F" w:rsidRPr="00265303">
              <w:rPr>
                <w:rFonts w:ascii="Verdana" w:hAnsi="Verdana" w:cs="Arial"/>
                <w:lang w:val="es-ES_tradnl" w:eastAsia="es-ES"/>
              </w:rPr>
              <w:t>. A</w:t>
            </w:r>
            <w:r w:rsidRPr="00265303">
              <w:rPr>
                <w:rFonts w:ascii="Verdana" w:hAnsi="Verdana" w:cs="Arial"/>
                <w:lang w:val="es-ES_tradnl" w:eastAsia="es-ES"/>
              </w:rPr>
              <w:t>demás</w:t>
            </w:r>
            <w:r w:rsidRPr="0027034B">
              <w:rPr>
                <w:rFonts w:ascii="Verdana" w:hAnsi="Verdana" w:cs="Arial"/>
                <w:lang w:val="es-ES_tradnl" w:eastAsia="es-ES"/>
              </w:rPr>
              <w:t>, la Guía para el ejercicio de las funciones de Supervisión e Interventoría de los contratos del Estado de Colombia Compra Eficiente dispone que “El ordenador del gasto de la Entidad Estatal es responsable de la vigilancia y control de la ejecución del gasto y del contrato”.</w:t>
            </w:r>
          </w:p>
          <w:p w14:paraId="1EBA2FB3" w14:textId="54026385" w:rsidR="00265303" w:rsidRPr="00265303" w:rsidRDefault="00A260FB" w:rsidP="002D18AA">
            <w:pPr>
              <w:spacing w:after="120" w:line="276" w:lineRule="auto"/>
              <w:ind w:firstLine="709"/>
              <w:jc w:val="both"/>
              <w:rPr>
                <w:rFonts w:ascii="Verdana" w:eastAsia="Calibri" w:hAnsi="Verdana" w:cs="Arial"/>
                <w:color w:val="000000"/>
                <w:lang w:val="es-ES_tradnl"/>
              </w:rPr>
            </w:pPr>
            <w:r w:rsidRPr="00F821D7">
              <w:rPr>
                <w:rFonts w:ascii="Verdana" w:eastAsia="Calibri" w:hAnsi="Verdana" w:cs="Arial"/>
                <w:color w:val="000000"/>
                <w:lang w:val="es-ES_tradnl"/>
              </w:rPr>
              <w:t>Ahora bien,</w:t>
            </w:r>
            <w:r>
              <w:rPr>
                <w:rFonts w:ascii="Verdana" w:eastAsia="Calibri" w:hAnsi="Verdana" w:cs="Arial"/>
                <w:color w:val="000000"/>
                <w:lang w:val="es-ES_tradnl"/>
              </w:rPr>
              <w:t xml:space="preserve"> en relación con el</w:t>
            </w:r>
            <w:r w:rsidRPr="00F821D7">
              <w:rPr>
                <w:rFonts w:ascii="Verdana" w:eastAsia="Calibri" w:hAnsi="Verdana" w:cs="Arial"/>
                <w:color w:val="000000"/>
                <w:lang w:val="es-ES_tradnl"/>
              </w:rPr>
              <w:t xml:space="preserve"> objeto bajo consulta,</w:t>
            </w:r>
            <w:r>
              <w:rPr>
                <w:rFonts w:ascii="Verdana" w:eastAsia="Calibri" w:hAnsi="Verdana" w:cs="Arial"/>
                <w:color w:val="000000"/>
                <w:lang w:val="es-ES_tradnl"/>
              </w:rPr>
              <w:t xml:space="preserve"> se resalta que </w:t>
            </w:r>
            <w:r w:rsidR="00511283" w:rsidRPr="00265303">
              <w:rPr>
                <w:rFonts w:ascii="Verdana" w:eastAsia="Calibri" w:hAnsi="Verdana" w:cs="Arial"/>
                <w:color w:val="000000"/>
              </w:rPr>
              <w:t xml:space="preserve">una de sus características principales es que tienen como fuente la autonomía contractual. En particular, los convenios interadministrativos tienen un grado de excepcionalidad frente a las demás tipologías contractuales y se caracterizan por la autorregulación de sus propias estipulaciones, sin que pueda predicarse la aplicación automática de la generalidad de las normas del EGCAP, incluyendo aquellas referidas en el artículo 83 y siguientes de la Ley </w:t>
            </w:r>
            <w:r w:rsidR="00511283" w:rsidRPr="00265303">
              <w:rPr>
                <w:rFonts w:ascii="Verdana" w:eastAsia="Calibri" w:hAnsi="Verdana" w:cs="Arial"/>
                <w:color w:val="000000"/>
              </w:rPr>
              <w:lastRenderedPageBreak/>
              <w:t xml:space="preserve">1474 de 2011 en materia de supervisión contractual, pueste este régimen será de aplicación supletoria. </w:t>
            </w:r>
          </w:p>
          <w:p w14:paraId="76261094" w14:textId="0A8B5F89" w:rsidR="00563F2A" w:rsidRPr="00265303" w:rsidRDefault="00265303" w:rsidP="00563F2A">
            <w:pPr>
              <w:spacing w:after="120" w:line="276" w:lineRule="auto"/>
              <w:ind w:firstLine="709"/>
              <w:jc w:val="both"/>
              <w:rPr>
                <w:rFonts w:ascii="Verdana" w:eastAsia="Calibri" w:hAnsi="Verdana" w:cs="Arial"/>
                <w:color w:val="000000"/>
                <w:lang w:val="es-ES_tradnl"/>
              </w:rPr>
            </w:pPr>
            <w:r w:rsidRPr="009B0144">
              <w:rPr>
                <w:rFonts w:ascii="Verdana" w:hAnsi="Verdana"/>
              </w:rPr>
              <w:t xml:space="preserve">En virtud de lo anterior, las partes del convenio interadministrativo deberán establecer las condiciones y medidas que emplearán para verificar el cumplimiento de las actividades pactadas y para realizar una supervisión adecuada durante su ejecución. De cualquier modo, estas estipulaciones deben cumplir con el principio de responsabilidad que rige la contratación estatal, según el cual las entidades públicas están obligadas a vigilar la correcta ejecución del objeto contratado y a proteger tanto los derechos de la propia entidad como los del contratista, ejecutor y terceros que puedan verse afectados por la ejecución del contrato </w:t>
            </w:r>
          </w:p>
          <w:p w14:paraId="3174C028" w14:textId="634047CD" w:rsidR="00A260FB" w:rsidRPr="001B5827" w:rsidRDefault="00A260FB" w:rsidP="009B0144">
            <w:pPr>
              <w:spacing w:after="120" w:line="276" w:lineRule="auto"/>
              <w:ind w:firstLine="709"/>
              <w:jc w:val="both"/>
              <w:rPr>
                <w:rFonts w:ascii="Verdana" w:hAnsi="Verdana"/>
              </w:rPr>
            </w:pPr>
            <w:r w:rsidRPr="00F07825">
              <w:rPr>
                <w:rFonts w:ascii="Verdana" w:hAnsi="Verdana"/>
              </w:rPr>
              <w:t>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01DBD84B" w14:textId="77777777" w:rsidR="00A260FB" w:rsidRPr="001B5827" w:rsidRDefault="00A260FB" w:rsidP="00A260FB">
      <w:pPr>
        <w:tabs>
          <w:tab w:val="left" w:pos="142"/>
          <w:tab w:val="left" w:pos="284"/>
        </w:tabs>
        <w:spacing w:after="0" w:line="276" w:lineRule="auto"/>
        <w:jc w:val="both"/>
        <w:rPr>
          <w:rFonts w:ascii="Verdana" w:eastAsia="Century Gothic" w:hAnsi="Verdana" w:cs="Century Gothic"/>
          <w:b/>
          <w:bCs/>
          <w:lang w:val="es-ES"/>
        </w:rPr>
      </w:pPr>
    </w:p>
    <w:p w14:paraId="6A0569C5" w14:textId="77777777" w:rsidR="00A260FB" w:rsidRPr="001B5827" w:rsidRDefault="00A260FB" w:rsidP="00A260F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B5827">
        <w:rPr>
          <w:rFonts w:ascii="Verdana" w:eastAsia="Century Gothic" w:hAnsi="Verdana" w:cs="Century Gothic"/>
          <w:b/>
          <w:bCs/>
        </w:rPr>
        <w:t>Razones de la respuesta:</w:t>
      </w:r>
    </w:p>
    <w:p w14:paraId="6CB79111" w14:textId="77777777" w:rsidR="00A260FB" w:rsidRPr="001B5827" w:rsidRDefault="00A260FB" w:rsidP="00A260FB">
      <w:pPr>
        <w:spacing w:after="0" w:line="276" w:lineRule="auto"/>
        <w:jc w:val="both"/>
        <w:rPr>
          <w:rFonts w:ascii="Verdana" w:eastAsia="Calibri" w:hAnsi="Verdana" w:cs="Arial"/>
          <w:lang w:val="es-ES"/>
        </w:rPr>
      </w:pPr>
    </w:p>
    <w:p w14:paraId="59453C99" w14:textId="77777777" w:rsidR="00A260FB" w:rsidRDefault="00A260FB" w:rsidP="00A260FB">
      <w:pPr>
        <w:spacing w:after="0" w:line="276" w:lineRule="auto"/>
        <w:jc w:val="both"/>
        <w:rPr>
          <w:rFonts w:ascii="Verdana" w:eastAsia="Calibri" w:hAnsi="Verdana" w:cs="Arial"/>
          <w:lang w:val="es-ES"/>
        </w:rPr>
      </w:pPr>
      <w:r w:rsidRPr="001B5827">
        <w:rPr>
          <w:rFonts w:ascii="Verdana" w:eastAsia="Calibri" w:hAnsi="Verdana" w:cs="Arial"/>
          <w:lang w:val="es-ES"/>
        </w:rPr>
        <w:t xml:space="preserve">Lo anterior se sustenta en las siguientes consideraciones: </w:t>
      </w:r>
    </w:p>
    <w:p w14:paraId="5032AA80" w14:textId="77777777" w:rsidR="00A260FB" w:rsidRDefault="00A260FB" w:rsidP="00A260FB">
      <w:pPr>
        <w:spacing w:after="0" w:line="276" w:lineRule="auto"/>
        <w:jc w:val="both"/>
        <w:rPr>
          <w:rFonts w:ascii="Verdana" w:eastAsia="Calibri" w:hAnsi="Verdana" w:cs="Arial"/>
          <w:lang w:val="es-ES"/>
        </w:rPr>
      </w:pPr>
    </w:p>
    <w:p w14:paraId="42C3C013" w14:textId="77777777" w:rsidR="00A260FB" w:rsidRDefault="00A260FB" w:rsidP="00A260FB">
      <w:pPr>
        <w:spacing w:after="120" w:line="276" w:lineRule="auto"/>
        <w:jc w:val="both"/>
        <w:rPr>
          <w:rFonts w:ascii="Verdana" w:eastAsia="Calibri" w:hAnsi="Verdana" w:cs="Arial"/>
          <w:bCs/>
          <w:lang w:val="es-ES_tradnl"/>
        </w:rPr>
      </w:pPr>
      <w:r w:rsidRPr="0027034B">
        <w:rPr>
          <w:rFonts w:ascii="Verdana" w:eastAsia="Times New Roman" w:hAnsi="Verdana" w:cs="Arial"/>
          <w:shd w:val="clear" w:color="auto" w:fill="FFFFFF"/>
          <w:lang w:val="es-ES"/>
        </w:rPr>
        <w:t>La Ley 80 de 1993 establece en sus artículos 4, 5, 12, 14 y 26, entre otros aspectos, la obligación de las Entidades Estatales de velar por el correcto y oportuno cumplimiento de las prestaciones del contrato, las especificaciones de los bienes, obras y servicios de este,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su adecuado cumplimiento.</w:t>
      </w:r>
    </w:p>
    <w:p w14:paraId="6AAC6EFE" w14:textId="77777777" w:rsidR="00A260FB" w:rsidRPr="0027034B" w:rsidRDefault="00A260FB" w:rsidP="00A260FB">
      <w:pPr>
        <w:spacing w:after="0" w:line="276" w:lineRule="auto"/>
        <w:ind w:firstLine="709"/>
        <w:jc w:val="both"/>
        <w:rPr>
          <w:rFonts w:ascii="Verdana" w:eastAsia="Times New Roman" w:hAnsi="Verdana" w:cs="Arial"/>
          <w:lang w:val="es-ES" w:eastAsia="es-MX"/>
        </w:rPr>
      </w:pPr>
      <w:r>
        <w:rPr>
          <w:rFonts w:ascii="Verdana" w:eastAsia="Times New Roman" w:hAnsi="Verdana" w:cs="Arial"/>
          <w:lang w:val="es-ES" w:eastAsia="es-MX"/>
        </w:rPr>
        <w:t>L</w:t>
      </w:r>
      <w:r w:rsidRPr="0027034B">
        <w:rPr>
          <w:rFonts w:ascii="Verdana" w:eastAsia="Times New Roman" w:hAnsi="Verdana" w:cs="Arial"/>
          <w:lang w:val="es-ES" w:eastAsia="es-MX"/>
        </w:rPr>
        <w:t xml:space="preserve">a jurisprudencia contencioso-administrativa, por su parte, ha considerado que la obligación de vigilar la correcta ejecución del objeto contractual es una función de la entidad contratante, en los siguientes términos: </w:t>
      </w:r>
    </w:p>
    <w:p w14:paraId="742AFB29" w14:textId="77777777" w:rsidR="00A260FB" w:rsidRPr="0027034B" w:rsidRDefault="00A260FB" w:rsidP="00A260FB">
      <w:pPr>
        <w:spacing w:after="0"/>
        <w:ind w:left="709"/>
        <w:contextualSpacing/>
        <w:jc w:val="both"/>
        <w:rPr>
          <w:rFonts w:ascii="Verdana" w:eastAsia="Times New Roman" w:hAnsi="Verdana" w:cs="Arial"/>
          <w:lang w:val="es-ES_tradnl" w:eastAsia="es-MX"/>
        </w:rPr>
      </w:pPr>
    </w:p>
    <w:p w14:paraId="2FF23B86" w14:textId="77777777" w:rsidR="00A260FB" w:rsidRPr="0021572A" w:rsidRDefault="00A260FB" w:rsidP="00A260FB">
      <w:pPr>
        <w:spacing w:after="0" w:line="240" w:lineRule="auto"/>
        <w:ind w:left="709" w:right="709"/>
        <w:contextualSpacing/>
        <w:jc w:val="both"/>
        <w:rPr>
          <w:rFonts w:ascii="Verdana" w:eastAsia="Times New Roman" w:hAnsi="Verdana" w:cs="Arial"/>
          <w:sz w:val="20"/>
          <w:szCs w:val="20"/>
          <w:lang w:val="es-ES_tradnl" w:eastAsia="es-MX"/>
        </w:rPr>
      </w:pPr>
      <w:bookmarkStart w:id="1" w:name="_Hlk178671999"/>
      <w:r w:rsidRPr="0021572A">
        <w:rPr>
          <w:rFonts w:ascii="Verdana" w:eastAsia="Times New Roman" w:hAnsi="Verdana" w:cs="Arial"/>
          <w:sz w:val="20"/>
          <w:szCs w:val="20"/>
          <w:lang w:val="es-ES_tradnl" w:eastAsia="es-MX"/>
        </w:rPr>
        <w:lastRenderedPageBreak/>
        <w:t>“La función de vigilancia y control del contrato estatal supone el cuidado y la supervisión, de forma tal que en ejercicio de esa función</w:t>
      </w:r>
      <w:bookmarkEnd w:id="1"/>
      <w:r w:rsidRPr="0021572A">
        <w:rPr>
          <w:rFonts w:ascii="Verdana" w:eastAsia="Times New Roman" w:hAnsi="Verdana" w:cs="Arial"/>
          <w:sz w:val="20"/>
          <w:szCs w:val="20"/>
          <w:lang w:val="es-ES_tradnl" w:eastAsia="es-MX"/>
        </w:rPr>
        <w:t>, quien administra la adecuada y oportuna ejecución del contrato no sólo debe velar por que las partes den cumplimiento a las obligaciones contractuales, sino que el contrato se ejecute en el tiempo y la forma convenidos, para esta forma garantizar la satisfacción de las necesidades que la administración buscaba alcanzar con la celebración del respectivo contrato”</w:t>
      </w:r>
      <w:r w:rsidRPr="0021572A">
        <w:rPr>
          <w:rFonts w:ascii="Verdana" w:eastAsia="Times New Roman" w:hAnsi="Verdana" w:cs="Arial"/>
          <w:sz w:val="20"/>
          <w:szCs w:val="20"/>
          <w:vertAlign w:val="superscript"/>
          <w:lang w:val="es-ES_tradnl" w:eastAsia="es-MX"/>
        </w:rPr>
        <w:footnoteReference w:id="2"/>
      </w:r>
      <w:r w:rsidRPr="0021572A">
        <w:rPr>
          <w:rFonts w:ascii="Verdana" w:eastAsia="Times New Roman" w:hAnsi="Verdana" w:cs="Arial"/>
          <w:sz w:val="20"/>
          <w:szCs w:val="20"/>
          <w:lang w:val="es-ES_tradnl" w:eastAsia="es-MX"/>
        </w:rPr>
        <w:t>.</w:t>
      </w:r>
    </w:p>
    <w:p w14:paraId="7AE23F3F" w14:textId="77777777" w:rsidR="00A260FB" w:rsidRDefault="00A260FB" w:rsidP="00A260FB">
      <w:pPr>
        <w:spacing w:after="0" w:line="276" w:lineRule="auto"/>
        <w:jc w:val="both"/>
        <w:rPr>
          <w:rFonts w:ascii="Verdana" w:eastAsia="Calibri" w:hAnsi="Verdana" w:cs="Arial"/>
          <w:bCs/>
          <w:lang w:val="es-ES_tradnl"/>
        </w:rPr>
      </w:pPr>
    </w:p>
    <w:p w14:paraId="54A13D3C" w14:textId="77777777" w:rsidR="00A260FB" w:rsidRPr="00B7290B" w:rsidRDefault="00A260FB" w:rsidP="00A260FB">
      <w:pPr>
        <w:spacing w:after="0" w:line="276" w:lineRule="auto"/>
        <w:ind w:firstLine="708"/>
        <w:jc w:val="both"/>
        <w:rPr>
          <w:rFonts w:ascii="Verdana" w:eastAsia="Times New Roman" w:hAnsi="Verdana" w:cs="Arial"/>
          <w:lang w:val="es-ES" w:eastAsia="es-MX"/>
        </w:rPr>
      </w:pPr>
      <w:r>
        <w:rPr>
          <w:rFonts w:ascii="Verdana" w:eastAsia="Calibri" w:hAnsi="Verdana" w:cs="Arial"/>
          <w:bCs/>
          <w:lang w:val="es-ES_tradnl"/>
        </w:rPr>
        <w:t>En específico, l</w:t>
      </w:r>
      <w:r w:rsidRPr="00B7290B">
        <w:rPr>
          <w:rFonts w:ascii="Verdana" w:eastAsia="Calibri" w:hAnsi="Verdana" w:cs="Arial"/>
          <w:bCs/>
          <w:lang w:val="es-ES_tradnl"/>
        </w:rPr>
        <w:t xml:space="preserve">a </w:t>
      </w:r>
      <w:r>
        <w:rPr>
          <w:rFonts w:ascii="Verdana" w:eastAsia="Calibri" w:hAnsi="Verdana" w:cs="Arial"/>
          <w:bCs/>
          <w:lang w:val="es-ES_tradnl"/>
        </w:rPr>
        <w:t>s</w:t>
      </w:r>
      <w:r w:rsidRPr="00B7290B">
        <w:rPr>
          <w:rFonts w:ascii="Verdana" w:eastAsia="Calibri" w:hAnsi="Verdana" w:cs="Arial"/>
          <w:bCs/>
          <w:lang w:val="es-ES_tradnl"/>
        </w:rPr>
        <w:t xml:space="preserve">upervisión de los contratos estatales se encuentra regulada en la Ley 1174 de 2011, que </w:t>
      </w:r>
      <w:r w:rsidRPr="00B7290B">
        <w:rPr>
          <w:rFonts w:ascii="Verdana" w:eastAsia="Times New Roman" w:hAnsi="Verdana" w:cs="Arial"/>
          <w:lang w:val="es-ES" w:eastAsia="es-MX"/>
        </w:rPr>
        <w:t>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 y definió la supervisión como:</w:t>
      </w:r>
    </w:p>
    <w:p w14:paraId="48B70F9F" w14:textId="77777777" w:rsidR="00A260FB" w:rsidRPr="00B7290B" w:rsidRDefault="00A260FB" w:rsidP="00A260FB">
      <w:pPr>
        <w:spacing w:after="0" w:line="276" w:lineRule="auto"/>
        <w:ind w:firstLine="708"/>
        <w:jc w:val="both"/>
        <w:rPr>
          <w:rFonts w:ascii="Verdana" w:eastAsia="Times New Roman" w:hAnsi="Verdana" w:cs="Arial"/>
          <w:lang w:val="es-ES" w:eastAsia="es-MX"/>
        </w:rPr>
      </w:pPr>
    </w:p>
    <w:p w14:paraId="31DF2506" w14:textId="11E8023F" w:rsidR="00A260FB" w:rsidRDefault="007B3334" w:rsidP="00A260FB">
      <w:pPr>
        <w:spacing w:after="0" w:line="240" w:lineRule="auto"/>
        <w:ind w:left="709" w:right="709"/>
        <w:jc w:val="both"/>
        <w:textAlignment w:val="baseline"/>
        <w:rPr>
          <w:rFonts w:ascii="Verdana" w:eastAsia="Times New Roman" w:hAnsi="Verdana" w:cs="Arial"/>
          <w:sz w:val="20"/>
          <w:szCs w:val="20"/>
          <w:lang w:val="es-ES" w:eastAsia="es-MX"/>
        </w:rPr>
      </w:pPr>
      <w:r>
        <w:rPr>
          <w:rFonts w:ascii="Verdana" w:eastAsia="Times New Roman" w:hAnsi="Verdana" w:cs="Arial"/>
          <w:sz w:val="20"/>
          <w:szCs w:val="20"/>
          <w:lang w:val="es-ES" w:eastAsia="es-MX"/>
        </w:rPr>
        <w:t>“</w:t>
      </w:r>
      <w:r w:rsidR="00A260FB" w:rsidRPr="00AB1327">
        <w:rPr>
          <w:rFonts w:ascii="Verdana" w:eastAsia="Times New Roman" w:hAnsi="Verdana" w:cs="Arial"/>
          <w:sz w:val="20"/>
          <w:szCs w:val="20"/>
          <w:lang w:val="es-ES" w:eastAsia="es-MX"/>
        </w:rPr>
        <w:t>La supervisión consistirá en el seguimiento técnico, administrativo, financiero, contable, y jurídico que, sobre el cumplimiento del objeto del contrato, es ejercida por la misma entidad estatal cuando no requieran conocimientos especializados. Para la supervisión, la entidad estatal podrá contratar personal de apoyo, a través de los contratos de prestación de servicio que sean requeridos</w:t>
      </w:r>
      <w:r>
        <w:rPr>
          <w:rFonts w:ascii="Verdana" w:eastAsia="Times New Roman" w:hAnsi="Verdana" w:cs="Arial"/>
          <w:sz w:val="20"/>
          <w:szCs w:val="20"/>
          <w:lang w:val="es-ES" w:eastAsia="es-MX"/>
        </w:rPr>
        <w:t>”</w:t>
      </w:r>
      <w:r w:rsidR="00A260FB" w:rsidRPr="00AB1327">
        <w:rPr>
          <w:rFonts w:ascii="Verdana" w:eastAsia="Times New Roman" w:hAnsi="Verdana" w:cs="Arial"/>
          <w:sz w:val="20"/>
          <w:szCs w:val="20"/>
          <w:lang w:val="es-ES" w:eastAsia="es-MX"/>
        </w:rPr>
        <w:t>.</w:t>
      </w:r>
    </w:p>
    <w:p w14:paraId="589C1DFC" w14:textId="77777777" w:rsidR="00A260FB" w:rsidRPr="009B0144" w:rsidRDefault="00A260FB" w:rsidP="009B0144">
      <w:pPr>
        <w:spacing w:after="0" w:line="276" w:lineRule="auto"/>
        <w:ind w:left="709" w:right="709"/>
        <w:jc w:val="both"/>
        <w:textAlignment w:val="baseline"/>
        <w:rPr>
          <w:rFonts w:ascii="Verdana" w:eastAsia="Times New Roman" w:hAnsi="Verdana" w:cs="Arial"/>
          <w:lang w:val="es-ES" w:eastAsia="es-MX"/>
        </w:rPr>
      </w:pPr>
    </w:p>
    <w:p w14:paraId="78373F55" w14:textId="77777777" w:rsidR="00A260FB" w:rsidRPr="00B7290B" w:rsidRDefault="00A260FB" w:rsidP="00A260FB">
      <w:pPr>
        <w:pStyle w:val="NormalWeb"/>
        <w:spacing w:before="0" w:beforeAutospacing="0" w:after="120" w:afterAutospacing="0" w:line="276" w:lineRule="auto"/>
        <w:ind w:firstLine="708"/>
        <w:jc w:val="both"/>
        <w:rPr>
          <w:rFonts w:ascii="Verdana" w:hAnsi="Verdana" w:cs="Open Sans"/>
          <w:sz w:val="22"/>
          <w:szCs w:val="22"/>
        </w:rPr>
      </w:pPr>
      <w:r w:rsidRPr="00B7290B">
        <w:rPr>
          <w:rFonts w:ascii="Verdana" w:hAnsi="Verdana" w:cs="Arial"/>
          <w:bCs/>
          <w:sz w:val="22"/>
          <w:szCs w:val="22"/>
          <w:lang w:val="es-ES"/>
        </w:rPr>
        <w:t>Adicionalmente, el artículo 84 de la Ley 1174 de 2011 en relación con las facultades de los supervisores establece que “</w:t>
      </w:r>
      <w:r w:rsidRPr="00B7290B">
        <w:rPr>
          <w:rFonts w:ascii="Verdana" w:hAnsi="Verdana" w:cs="Open Sans"/>
          <w:sz w:val="22"/>
          <w:szCs w:val="22"/>
        </w:rPr>
        <w:t>implica el seguimiento al ejercicio del cumplimiento obligacional por la entidad contratante sobre las obligaciones a cargo del contratista”; estando facultados para solicitar aclaraciones, explicaciones e inform</w:t>
      </w:r>
      <w:r>
        <w:rPr>
          <w:rFonts w:ascii="Verdana" w:hAnsi="Verdana" w:cs="Open Sans"/>
          <w:sz w:val="22"/>
          <w:szCs w:val="22"/>
        </w:rPr>
        <w:t>e</w:t>
      </w:r>
      <w:r w:rsidRPr="00B7290B">
        <w:rPr>
          <w:rFonts w:ascii="Verdana" w:hAnsi="Verdana" w:cs="Open Sans"/>
          <w:sz w:val="22"/>
          <w:szCs w:val="22"/>
        </w:rPr>
        <w:t xml:space="preserve">s sobre la ejecución contractual. </w:t>
      </w:r>
    </w:p>
    <w:p w14:paraId="7A85AA91" w14:textId="77777777" w:rsidR="00A260FB" w:rsidRPr="00B7290B" w:rsidRDefault="00A260FB" w:rsidP="00A260FB">
      <w:pPr>
        <w:spacing w:after="120" w:line="276" w:lineRule="auto"/>
        <w:ind w:firstLine="708"/>
        <w:jc w:val="both"/>
        <w:rPr>
          <w:rFonts w:ascii="Verdana" w:eastAsia="Times New Roman" w:hAnsi="Verdana" w:cs="Arial"/>
          <w:shd w:val="clear" w:color="auto" w:fill="FFFFFF"/>
          <w:lang w:val="es-ES"/>
        </w:rPr>
      </w:pPr>
      <w:r w:rsidRPr="00B7290B">
        <w:rPr>
          <w:rFonts w:ascii="Verdana" w:eastAsia="Times New Roman" w:hAnsi="Verdana" w:cs="Arial"/>
          <w:bCs/>
          <w:lang w:val="es-ES"/>
        </w:rPr>
        <w:t xml:space="preserve">Sin perjuicio de lo anterior, según lo expresado por esta Agencia en el concepto No. 4201913000008240 del 20 de diciembre de 2019 y en el concepto C-972 de 2024,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w:t>
      </w:r>
      <w:r w:rsidRPr="00B7290B">
        <w:rPr>
          <w:rFonts w:ascii="Verdana" w:eastAsia="Times New Roman" w:hAnsi="Verdana" w:cs="Arial"/>
          <w:bCs/>
          <w:lang w:val="es-ES"/>
        </w:rPr>
        <w:lastRenderedPageBreak/>
        <w:t>interventoría que depende del análisis de su necesidad y extensión</w:t>
      </w:r>
      <w:r w:rsidRPr="00B7290B">
        <w:rPr>
          <w:rFonts w:ascii="Verdana" w:eastAsia="Times New Roman" w:hAnsi="Verdana" w:cs="Arial"/>
          <w:bCs/>
          <w:vertAlign w:val="superscript"/>
          <w:lang w:val="es-ES"/>
        </w:rPr>
        <w:footnoteReference w:id="3"/>
      </w:r>
      <w:r w:rsidRPr="00B7290B">
        <w:rPr>
          <w:rFonts w:ascii="Verdana" w:eastAsia="Times New Roman" w:hAnsi="Verdana" w:cs="Arial"/>
          <w:bCs/>
          <w:lang w:val="es-ES"/>
        </w:rPr>
        <w:t xml:space="preserve">–; </w:t>
      </w:r>
      <w:proofErr w:type="spellStart"/>
      <w:r w:rsidRPr="00B7290B">
        <w:rPr>
          <w:rFonts w:ascii="Verdana" w:eastAsia="Times New Roman" w:hAnsi="Verdana" w:cs="Arial"/>
          <w:bCs/>
          <w:lang w:val="es-ES"/>
        </w:rPr>
        <w:t>ii</w:t>
      </w:r>
      <w:proofErr w:type="spellEnd"/>
      <w:r w:rsidRPr="00B7290B">
        <w:rPr>
          <w:rFonts w:ascii="Verdana" w:eastAsia="Times New Roman" w:hAnsi="Verdana" w:cs="Arial"/>
          <w:bCs/>
          <w:lang w:val="es-ES"/>
        </w:rPr>
        <w:t xml:space="preserve">) no requiere conocimientos tan especializados como la interventoría; </w:t>
      </w:r>
      <w:proofErr w:type="spellStart"/>
      <w:r w:rsidRPr="00B7290B">
        <w:rPr>
          <w:rFonts w:ascii="Verdana" w:eastAsia="Times New Roman" w:hAnsi="Verdana" w:cs="Arial"/>
          <w:bCs/>
          <w:lang w:val="es-ES"/>
        </w:rPr>
        <w:t>iii</w:t>
      </w:r>
      <w:proofErr w:type="spellEnd"/>
      <w:r w:rsidRPr="00B7290B">
        <w:rPr>
          <w:rFonts w:ascii="Verdana" w:eastAsia="Times New Roman" w:hAnsi="Verdana" w:cs="Arial"/>
          <w:bCs/>
          <w:lang w:val="es-ES"/>
        </w:rPr>
        <w:t xml:space="preserve">) se ejerce por la Entidad Estatal por conducto de la designación de servidores públicos idóneos para cumplir la función; </w:t>
      </w:r>
      <w:proofErr w:type="spellStart"/>
      <w:r w:rsidRPr="00B7290B">
        <w:rPr>
          <w:rFonts w:ascii="Verdana" w:eastAsia="Times New Roman" w:hAnsi="Verdana" w:cs="Arial"/>
          <w:bCs/>
          <w:lang w:val="es-ES"/>
        </w:rPr>
        <w:t>iv</w:t>
      </w:r>
      <w:proofErr w:type="spellEnd"/>
      <w:r w:rsidRPr="00B7290B">
        <w:rPr>
          <w:rFonts w:ascii="Verdana" w:eastAsia="Times New Roman" w:hAnsi="Verdana" w:cs="Arial"/>
          <w:bCs/>
          <w:lang w:val="es-ES"/>
        </w:rPr>
        <w:t>) puede recibir apoyo de personal contratado para tal fin mediante contratos de prestación de servicios; y v) le es inseparable el seguimiento técnico, administrativo, financiero, contable y jurídico del contrato vigilado.</w:t>
      </w:r>
    </w:p>
    <w:p w14:paraId="74ED8544" w14:textId="77777777" w:rsidR="00A260FB" w:rsidRPr="00B7290B" w:rsidRDefault="00A260FB" w:rsidP="00A260FB">
      <w:pPr>
        <w:spacing w:after="120" w:line="276" w:lineRule="auto"/>
        <w:ind w:firstLine="709"/>
        <w:jc w:val="both"/>
        <w:rPr>
          <w:rFonts w:ascii="Verdana" w:eastAsia="Times New Roman" w:hAnsi="Verdana" w:cs="Arial"/>
          <w:shd w:val="clear" w:color="auto" w:fill="FFFFFF"/>
          <w:lang w:val="es-ES"/>
        </w:rPr>
      </w:pPr>
      <w:bookmarkStart w:id="2" w:name="_Hlk204066195"/>
      <w:r w:rsidRPr="00B7290B">
        <w:rPr>
          <w:rFonts w:ascii="Verdana" w:eastAsia="Times New Roman" w:hAnsi="Verdana" w:cs="Arial"/>
          <w:shd w:val="clear" w:color="auto" w:fill="FFFFFF"/>
          <w:lang w:val="es-ES"/>
        </w:rPr>
        <w:t>Así mismo, la Agencia</w:t>
      </w:r>
      <w:r w:rsidRPr="00B7290B">
        <w:rPr>
          <w:rFonts w:ascii="Verdana" w:eastAsia="Times New Roman" w:hAnsi="Verdana" w:cs="Arial"/>
          <w:color w:val="000000"/>
          <w:lang w:val="es-ES_tradnl" w:eastAsia="es-ES_tradnl"/>
        </w:rPr>
        <w:t xml:space="preserve"> en el ejercicio de sus funciones, expidió la “Guía para el ejercicio de las funciones de Supervisión e Interventoría de los contratos del Estado”, la cual constituye una herramienta pedagógica en la que se imparten lineamientos de buenas prácticas para el ejercicio de la supervisión e interventoría de los contratos estatales y se </w:t>
      </w:r>
      <w:r w:rsidRPr="00B7290B">
        <w:rPr>
          <w:rFonts w:ascii="Verdana" w:eastAsia="Times New Roman" w:hAnsi="Verdana" w:cs="Arial"/>
          <w:shd w:val="clear" w:color="auto" w:fill="FFFFFF"/>
          <w:lang w:val="es-ES"/>
        </w:rPr>
        <w:t>consagró que la supervisión del contrato estatal corresponde al funcionario público de la entidad. Sin embargo, dicha guía reiteró que las Entidades Estatales puedan celebrar contratos de prestación de servicios para apoyar las actividades de supervisión, consignando en ellos las actividades propias del apoyo a la supervisión. Con todo, el alcance de dicho apoyo dependerá del objeto y las obligaciones determinadas en el contrato de prestación de servicios, marco dentro del cual el contratista desarrollará las actividades tendientes a soportar el seguimiento del contrato y apoyar la verificación del cumplimiento, en las condiciones establecidas en el contrato vigilado, sin que ello implique que asuma directamente la supervisión</w:t>
      </w:r>
      <w:bookmarkEnd w:id="2"/>
      <w:r w:rsidRPr="00B7290B">
        <w:rPr>
          <w:rFonts w:ascii="Verdana" w:eastAsia="Times New Roman" w:hAnsi="Verdana" w:cs="Arial"/>
          <w:shd w:val="clear" w:color="auto" w:fill="FFFFFF"/>
          <w:lang w:val="es-ES"/>
        </w:rPr>
        <w:t xml:space="preserve">. </w:t>
      </w:r>
    </w:p>
    <w:p w14:paraId="571E8700" w14:textId="77777777" w:rsidR="00A260FB" w:rsidRPr="0027034B" w:rsidRDefault="00A260FB" w:rsidP="00A260FB">
      <w:pPr>
        <w:spacing w:after="120" w:line="276" w:lineRule="auto"/>
        <w:ind w:firstLine="709"/>
        <w:jc w:val="both"/>
        <w:rPr>
          <w:rFonts w:ascii="Verdana" w:hAnsi="Verdana" w:cs="Arial"/>
          <w:lang w:val="es-ES_tradnl" w:eastAsia="es-ES"/>
        </w:rPr>
      </w:pPr>
      <w:r w:rsidRPr="00B7290B">
        <w:rPr>
          <w:rFonts w:ascii="Verdana" w:hAnsi="Verdana" w:cs="Arial"/>
          <w:color w:val="000000"/>
        </w:rPr>
        <w:t xml:space="preserve">Con sustento en lo anterior, </w:t>
      </w:r>
      <w:bookmarkStart w:id="3" w:name="_Hlk211329708"/>
      <w:r w:rsidRPr="00B7290B">
        <w:rPr>
          <w:rFonts w:ascii="Verdana" w:hAnsi="Verdana" w:cs="Arial"/>
          <w:color w:val="000000"/>
        </w:rPr>
        <w:t xml:space="preserve">es importante precisar que, </w:t>
      </w:r>
      <w:r>
        <w:rPr>
          <w:rFonts w:ascii="Verdana" w:hAnsi="Verdana" w:cs="Arial"/>
          <w:color w:val="000000"/>
        </w:rPr>
        <w:t>la</w:t>
      </w:r>
      <w:r w:rsidRPr="00B7290B">
        <w:rPr>
          <w:rFonts w:ascii="Verdana" w:hAnsi="Verdana" w:cs="Arial"/>
          <w:color w:val="000000"/>
        </w:rPr>
        <w:t xml:space="preserve"> normativa colombiana, particularmente la Ley 80 de 1993, las Leyes 1150 de 2007 y 1474 de 2011, establece que las entidades estatales son responsables de garantizar el cumplimiento de los contratos públicos, ejerciendo una vigilancia continua sobre su ejecución. Esta supervisión debe ser realizada por funcionarios públicos de la entidad, quienes pueden recibir apoyo de contratistas o personal especializado para tareas técnicas, pero siempre bajo su dirección y control.</w:t>
      </w:r>
      <w:r w:rsidRPr="006E7982">
        <w:rPr>
          <w:rFonts w:ascii="Verdana" w:hAnsi="Verdana" w:cs="Arial"/>
          <w:lang w:val="es-ES_tradnl" w:eastAsia="es-ES"/>
        </w:rPr>
        <w:t xml:space="preserve"> </w:t>
      </w:r>
      <w:r w:rsidRPr="0027034B">
        <w:rPr>
          <w:rFonts w:ascii="Verdana" w:hAnsi="Verdana" w:cs="Arial"/>
          <w:lang w:val="es-ES_tradnl" w:eastAsia="es-ES"/>
        </w:rPr>
        <w:t>En ese sentido, la entidad contratante a través del ordenador del gasto es quien ejerce la supervisión o designa un supervisor; además, la Guía para el ejercicio de las funciones de Supervisión e Interventoría de los contratos del Estado de Colombia Compra Eficiente dispone que “El ordenador del gasto de la Entidad Estatal es responsable de la vigilancia y control de la ejecución del gasto y del contrato”.</w:t>
      </w:r>
      <w:bookmarkEnd w:id="3"/>
    </w:p>
    <w:p w14:paraId="492DEA3C" w14:textId="77777777" w:rsidR="00A260FB" w:rsidRDefault="00A260FB" w:rsidP="00A260FB">
      <w:pPr>
        <w:spacing w:after="120" w:line="276" w:lineRule="auto"/>
        <w:ind w:firstLine="709"/>
        <w:jc w:val="both"/>
        <w:rPr>
          <w:rFonts w:ascii="Verdana" w:hAnsi="Verdana" w:cs="Arial"/>
          <w:lang w:val="es-ES"/>
        </w:rPr>
      </w:pPr>
      <w:r w:rsidRPr="0027034B">
        <w:rPr>
          <w:rFonts w:ascii="Verdana" w:hAnsi="Verdana" w:cs="Arial"/>
          <w:lang w:val="es-ES"/>
        </w:rPr>
        <w:lastRenderedPageBreak/>
        <w:t>Por tanto, nada obsta para que el ordenador del gasto sea el supervisor de un contrato, ya que es su responsabilidad, o que decida designar un supervisor, siempre y cuando se garantice la adecuada vigilancia del contratista, para hacer el correcto seguimiento técnico, administrativo, financiero, contable, y jurídico del contrato.</w:t>
      </w:r>
    </w:p>
    <w:p w14:paraId="017FD478" w14:textId="77777777" w:rsidR="00A260FB" w:rsidRDefault="00A260FB" w:rsidP="001D04C3">
      <w:pPr>
        <w:spacing w:after="0" w:line="276" w:lineRule="auto"/>
        <w:ind w:firstLine="709"/>
        <w:jc w:val="both"/>
        <w:rPr>
          <w:rFonts w:ascii="Verdana" w:eastAsia="Calibri" w:hAnsi="Verdana" w:cs="Arial"/>
          <w:color w:val="000000"/>
          <w:lang w:val="es-ES_tradnl"/>
        </w:rPr>
      </w:pPr>
      <w:r w:rsidRPr="00F821D7">
        <w:rPr>
          <w:rFonts w:ascii="Verdana" w:eastAsia="Calibri" w:hAnsi="Verdana" w:cs="Arial"/>
          <w:color w:val="000000"/>
          <w:lang w:val="es-ES_tradnl"/>
        </w:rPr>
        <w:t>Ahora bien,</w:t>
      </w:r>
      <w:r>
        <w:rPr>
          <w:rFonts w:ascii="Verdana" w:eastAsia="Calibri" w:hAnsi="Verdana" w:cs="Arial"/>
          <w:color w:val="000000"/>
          <w:lang w:val="es-ES_tradnl"/>
        </w:rPr>
        <w:t xml:space="preserve"> en relación con el</w:t>
      </w:r>
      <w:r w:rsidRPr="00F821D7">
        <w:rPr>
          <w:rFonts w:ascii="Verdana" w:eastAsia="Calibri" w:hAnsi="Verdana" w:cs="Arial"/>
          <w:color w:val="000000"/>
          <w:lang w:val="es-ES_tradnl"/>
        </w:rPr>
        <w:t xml:space="preserve"> objeto bajo consulta,</w:t>
      </w:r>
      <w:r>
        <w:rPr>
          <w:rFonts w:ascii="Verdana" w:eastAsia="Calibri" w:hAnsi="Verdana" w:cs="Arial"/>
          <w:color w:val="000000"/>
          <w:lang w:val="es-ES_tradnl"/>
        </w:rPr>
        <w:t xml:space="preserve"> se resalta que el Consejo de Estado se ha pronunciado confirmando que el deber de supervisión y vigilancia también es aplicable a los convenios interadministrativos, como sigue:</w:t>
      </w:r>
    </w:p>
    <w:p w14:paraId="0E647E58" w14:textId="77777777" w:rsidR="001D04C3" w:rsidRDefault="001D04C3" w:rsidP="009B0144">
      <w:pPr>
        <w:spacing w:after="0" w:line="276" w:lineRule="auto"/>
        <w:ind w:firstLine="709"/>
        <w:jc w:val="both"/>
        <w:rPr>
          <w:rFonts w:ascii="Verdana" w:eastAsia="Calibri" w:hAnsi="Verdana" w:cs="Arial"/>
          <w:color w:val="000000"/>
          <w:lang w:val="es-ES_tradnl"/>
        </w:rPr>
      </w:pPr>
    </w:p>
    <w:p w14:paraId="2006BCD0" w14:textId="1834F0DC" w:rsidR="00A260FB" w:rsidRDefault="001D04C3" w:rsidP="001D04C3">
      <w:pPr>
        <w:spacing w:after="0" w:line="240" w:lineRule="auto"/>
        <w:ind w:left="709" w:right="709"/>
        <w:jc w:val="both"/>
        <w:rPr>
          <w:rFonts w:ascii="Verdana" w:hAnsi="Verdana"/>
          <w:sz w:val="20"/>
          <w:szCs w:val="20"/>
        </w:rPr>
      </w:pPr>
      <w:r>
        <w:rPr>
          <w:rFonts w:ascii="Verdana" w:hAnsi="Verdana"/>
          <w:sz w:val="20"/>
          <w:szCs w:val="20"/>
        </w:rPr>
        <w:t>“</w:t>
      </w:r>
      <w:r w:rsidR="00A260FB" w:rsidRPr="00A65B06">
        <w:rPr>
          <w:rFonts w:ascii="Verdana" w:hAnsi="Verdana"/>
          <w:sz w:val="20"/>
          <w:szCs w:val="20"/>
        </w:rPr>
        <w:t xml:space="preserve">El Estatuto General de Contratación de la Administración Pública (contenido en las Leyes 80 de 1993, 1150 de 2007 y 1474 de 2011, entre otras), impone el deber a las entidades estatales contratantes de supervisar en forma permanente la ejecución del contrato por parte del contratista, con el fin de verificar el estricto cumplimiento de sus obligaciones, exigir o tomar los correctivos que se requieran cuando dicho cumplimiento no se dé, y exigir la responsabilidad del contratista y de los garantes cuando se presente un incumplimiento que ocasione perjuicios a la entidad estatal. </w:t>
      </w:r>
    </w:p>
    <w:p w14:paraId="5F02FDCA" w14:textId="77777777" w:rsidR="001D04C3" w:rsidRPr="001D04C3" w:rsidRDefault="001D04C3" w:rsidP="009B0144">
      <w:pPr>
        <w:spacing w:after="0" w:line="240" w:lineRule="auto"/>
        <w:ind w:left="709" w:right="709"/>
        <w:jc w:val="both"/>
        <w:rPr>
          <w:rFonts w:ascii="Verdana" w:hAnsi="Verdana"/>
          <w:sz w:val="20"/>
          <w:szCs w:val="20"/>
        </w:rPr>
      </w:pPr>
    </w:p>
    <w:p w14:paraId="3D863A66" w14:textId="77777777" w:rsidR="00A260FB" w:rsidRDefault="00A260FB" w:rsidP="001D04C3">
      <w:pPr>
        <w:spacing w:after="0" w:line="240" w:lineRule="auto"/>
        <w:ind w:left="709" w:right="709"/>
        <w:jc w:val="both"/>
        <w:rPr>
          <w:rFonts w:ascii="Verdana" w:hAnsi="Verdana"/>
          <w:sz w:val="20"/>
          <w:szCs w:val="20"/>
        </w:rPr>
      </w:pPr>
      <w:r w:rsidRPr="00A65B06">
        <w:rPr>
          <w:rFonts w:ascii="Verdana" w:hAnsi="Verdana"/>
          <w:sz w:val="20"/>
          <w:szCs w:val="20"/>
        </w:rPr>
        <w:t>En particular, los artículos 83 y 84 de la ley 1474 de 2011, establecen como obligación esencial de responsabilidad del interventor o supervisor, según el caso, deberes de información respecto del contrato principal, especialmente frente a tres situaciones: (i) los incumplimientos del contrato; (</w:t>
      </w:r>
      <w:proofErr w:type="spellStart"/>
      <w:r w:rsidRPr="00A65B06">
        <w:rPr>
          <w:rFonts w:ascii="Verdana" w:hAnsi="Verdana"/>
          <w:sz w:val="20"/>
          <w:szCs w:val="20"/>
        </w:rPr>
        <w:t>ii</w:t>
      </w:r>
      <w:proofErr w:type="spellEnd"/>
      <w:r w:rsidRPr="00A65B06">
        <w:rPr>
          <w:rFonts w:ascii="Verdana" w:hAnsi="Verdana"/>
          <w:sz w:val="20"/>
          <w:szCs w:val="20"/>
        </w:rPr>
        <w:t>) las circunstancias que puedan constituir actos de corrupción tipificados como conductas punibles, y (</w:t>
      </w:r>
      <w:proofErr w:type="spellStart"/>
      <w:r w:rsidRPr="00A65B06">
        <w:rPr>
          <w:rFonts w:ascii="Verdana" w:hAnsi="Verdana"/>
          <w:sz w:val="20"/>
          <w:szCs w:val="20"/>
        </w:rPr>
        <w:t>iii</w:t>
      </w:r>
      <w:proofErr w:type="spellEnd"/>
      <w:r w:rsidRPr="00A65B06">
        <w:rPr>
          <w:rFonts w:ascii="Verdana" w:hAnsi="Verdana"/>
          <w:sz w:val="20"/>
          <w:szCs w:val="20"/>
        </w:rPr>
        <w:t xml:space="preserve">) aquellas que puedan poner o pongan en riesgo el cumplimiento del contrato, hasta el punto que su pretermisión se tipifica como falta gravísima y como causal de inhabilidad para contratar. </w:t>
      </w:r>
    </w:p>
    <w:p w14:paraId="0BFA3DDF" w14:textId="77777777" w:rsidR="001D04C3" w:rsidRPr="001D04C3" w:rsidRDefault="001D04C3" w:rsidP="009B0144">
      <w:pPr>
        <w:spacing w:after="0" w:line="240" w:lineRule="auto"/>
        <w:ind w:left="709" w:right="709"/>
        <w:jc w:val="both"/>
        <w:rPr>
          <w:rFonts w:ascii="Verdana" w:hAnsi="Verdana"/>
          <w:sz w:val="20"/>
          <w:szCs w:val="20"/>
        </w:rPr>
      </w:pPr>
    </w:p>
    <w:p w14:paraId="617B414B" w14:textId="0DE3EC41" w:rsidR="00A260FB" w:rsidRDefault="00A260FB" w:rsidP="001D04C3">
      <w:pPr>
        <w:spacing w:after="0" w:line="240" w:lineRule="auto"/>
        <w:ind w:left="709" w:right="709"/>
        <w:jc w:val="both"/>
        <w:rPr>
          <w:rFonts w:ascii="Verdana" w:hAnsi="Verdana"/>
          <w:sz w:val="20"/>
          <w:szCs w:val="20"/>
        </w:rPr>
      </w:pPr>
      <w:r w:rsidRPr="00A65B06">
        <w:rPr>
          <w:rFonts w:ascii="Verdana" w:hAnsi="Verdana"/>
          <w:sz w:val="20"/>
          <w:szCs w:val="20"/>
        </w:rPr>
        <w:t xml:space="preserve">Así, </w:t>
      </w:r>
      <w:proofErr w:type="gramStart"/>
      <w:r w:rsidRPr="00A65B06">
        <w:rPr>
          <w:rFonts w:ascii="Verdana" w:hAnsi="Verdana"/>
          <w:sz w:val="20"/>
          <w:szCs w:val="20"/>
        </w:rPr>
        <w:t xml:space="preserve">mutatis </w:t>
      </w:r>
      <w:proofErr w:type="spellStart"/>
      <w:r w:rsidRPr="00A65B06">
        <w:rPr>
          <w:rFonts w:ascii="Verdana" w:hAnsi="Verdana"/>
          <w:sz w:val="20"/>
          <w:szCs w:val="20"/>
        </w:rPr>
        <w:t>mutandi</w:t>
      </w:r>
      <w:proofErr w:type="spellEnd"/>
      <w:proofErr w:type="gramEnd"/>
      <w:r w:rsidRPr="00A65B06">
        <w:rPr>
          <w:rFonts w:ascii="Verdana" w:hAnsi="Verdana"/>
          <w:sz w:val="20"/>
          <w:szCs w:val="20"/>
        </w:rPr>
        <w:t>, este deber y la cláusula correspondiente de supervisión y vigilancia resulta necesaria en los contratos interadministrativos y también es aplicable en los convenios interadministrativos, con el fin de cerciorarse en estos últimos que los compromisos adquiridos por los firmantes, el objeto del convenio, la gestión y ejecución de los gastos financieros estén justificados y los resultados esperados se cumplan en los términos y a satisfacción de ambas partes</w:t>
      </w:r>
      <w:r w:rsidR="001D04C3">
        <w:rPr>
          <w:rFonts w:ascii="Verdana" w:hAnsi="Verdana"/>
          <w:sz w:val="20"/>
          <w:szCs w:val="20"/>
        </w:rPr>
        <w:t>”</w:t>
      </w:r>
      <w:r w:rsidRPr="009B0144">
        <w:rPr>
          <w:rFonts w:ascii="Verdana" w:hAnsi="Verdana"/>
          <w:sz w:val="20"/>
          <w:szCs w:val="20"/>
        </w:rPr>
        <w:t>.</w:t>
      </w:r>
      <w:r w:rsidRPr="009B0144">
        <w:rPr>
          <w:rStyle w:val="Refdenotaalpie"/>
          <w:rFonts w:ascii="Verdana" w:hAnsi="Verdana"/>
          <w:sz w:val="20"/>
          <w:szCs w:val="20"/>
        </w:rPr>
        <w:footnoteReference w:id="4"/>
      </w:r>
    </w:p>
    <w:p w14:paraId="735444DD" w14:textId="77777777" w:rsidR="001D04C3" w:rsidRPr="001D04C3" w:rsidRDefault="001D04C3" w:rsidP="009B0144">
      <w:pPr>
        <w:spacing w:after="0" w:line="276" w:lineRule="auto"/>
        <w:ind w:left="709" w:right="709"/>
        <w:jc w:val="both"/>
        <w:rPr>
          <w:rFonts w:ascii="Verdana" w:hAnsi="Verdana" w:cs="Arial"/>
          <w:color w:val="000000"/>
        </w:rPr>
      </w:pPr>
    </w:p>
    <w:p w14:paraId="29848660" w14:textId="48DA58BC" w:rsidR="006E5F10" w:rsidRDefault="006E5F10" w:rsidP="009B0144">
      <w:pPr>
        <w:spacing w:after="120" w:line="276" w:lineRule="auto"/>
        <w:ind w:firstLine="709"/>
        <w:jc w:val="both"/>
        <w:rPr>
          <w:rFonts w:ascii="Verdana" w:hAnsi="Verdana"/>
        </w:rPr>
      </w:pPr>
      <w:r w:rsidRPr="006E5F10">
        <w:rPr>
          <w:rFonts w:ascii="Verdana" w:hAnsi="Verdana"/>
        </w:rPr>
        <w:lastRenderedPageBreak/>
        <w:t>Con respecto a la supervisión de los convenios interadministrativos, es importante reiterar que una de sus características principales es que tienen como fuente la autonomía contractual. En particular, los convenios interadministrativos tienen un grado de excepcionalidad frente a las demás tipologías contractuales y se caracterizan por la autorregulación de sus propias estipulaciones, sin que pueda predicarse la aplicación automática de la generalidad de las normas del EGCAP, incluyendo aquellas referidas en el artículo 83 y siguientes de la Ley 1474 de 2011 en materia de supervisión contractual</w:t>
      </w:r>
      <w:r>
        <w:rPr>
          <w:rStyle w:val="Refdenotaalpie"/>
          <w:rFonts w:ascii="Verdana" w:hAnsi="Verdana"/>
        </w:rPr>
        <w:footnoteReference w:id="5"/>
      </w:r>
      <w:r w:rsidRPr="006E5F10">
        <w:rPr>
          <w:rFonts w:ascii="Verdana" w:hAnsi="Verdana"/>
        </w:rPr>
        <w:t xml:space="preserve">, pueste este régimen será de aplicación supletoria. </w:t>
      </w:r>
    </w:p>
    <w:p w14:paraId="06075029" w14:textId="67ECD1C0" w:rsidR="00E02E56" w:rsidRDefault="00E02E56" w:rsidP="00651226">
      <w:pPr>
        <w:spacing w:after="120" w:line="276" w:lineRule="auto"/>
        <w:ind w:firstLine="709"/>
        <w:jc w:val="both"/>
        <w:rPr>
          <w:rFonts w:ascii="Verdana" w:hAnsi="Verdana"/>
        </w:rPr>
      </w:pPr>
      <w:r w:rsidRPr="00E02E56">
        <w:rPr>
          <w:rFonts w:ascii="Verdana" w:hAnsi="Verdana"/>
        </w:rPr>
        <w:t>En virtud de lo anterior, las partes del convenio interadministrativo deberán establecer las condiciones y medidas que emplearán para verificar el cumplimiento de las actividades pactadas y para realizar una supervisión adecuada durante su ejecución. De cualquier modo, estas estipulaciones deben cumplir con el principio de responsabilidad que rige la contratación estatal, según el cual las entidades públicas están obligadas a vigilar la correcta ejecución del objeto contratado y a proteger tanto los derechos de la propia entidad como los del contratista, ejecutor y terceros que puedan verse afectados por la ejecución del contrato</w:t>
      </w:r>
      <w:r>
        <w:rPr>
          <w:rStyle w:val="Refdenotaalpie"/>
          <w:rFonts w:ascii="Verdana" w:hAnsi="Verdana"/>
        </w:rPr>
        <w:footnoteReference w:id="6"/>
      </w:r>
      <w:r w:rsidR="00764AC6">
        <w:rPr>
          <w:rFonts w:ascii="Verdana" w:hAnsi="Verdana"/>
        </w:rPr>
        <w:t xml:space="preserve">. </w:t>
      </w:r>
    </w:p>
    <w:p w14:paraId="3ACF5F3F" w14:textId="7EE8D647" w:rsidR="00764AC6" w:rsidRDefault="00764AC6" w:rsidP="009857CA">
      <w:pPr>
        <w:spacing w:after="0" w:line="276" w:lineRule="auto"/>
        <w:ind w:firstLine="709"/>
        <w:jc w:val="both"/>
        <w:rPr>
          <w:rFonts w:ascii="Verdana" w:hAnsi="Verdana"/>
        </w:rPr>
      </w:pPr>
      <w:r w:rsidRPr="00764AC6">
        <w:rPr>
          <w:rFonts w:ascii="Verdana" w:hAnsi="Verdana"/>
        </w:rPr>
        <w:t>Para lo anterior, las partes del convenio podrán adoptar mecanismos de supervisión que sean acordes con el modelo dispuesto para la contratación regida por el EGCAP. La jurisprudencia contencioso-administrativa ha considerado que la obligación de vigilar la correcta ejecución del objeto contractual es una función de la entidad contratante, en los siguientes términos:</w:t>
      </w:r>
    </w:p>
    <w:p w14:paraId="793619DC" w14:textId="77777777" w:rsidR="009857CA" w:rsidRDefault="009857CA" w:rsidP="009B0144">
      <w:pPr>
        <w:spacing w:after="0" w:line="276" w:lineRule="auto"/>
        <w:ind w:firstLine="709"/>
        <w:jc w:val="both"/>
        <w:rPr>
          <w:rFonts w:ascii="Verdana" w:hAnsi="Verdana"/>
        </w:rPr>
      </w:pPr>
    </w:p>
    <w:p w14:paraId="6E3F4678" w14:textId="3BD83F8A" w:rsidR="00764AC6" w:rsidRPr="009B0144" w:rsidRDefault="009857CA" w:rsidP="009B0144">
      <w:pPr>
        <w:spacing w:after="0" w:line="240" w:lineRule="auto"/>
        <w:ind w:left="709" w:right="709"/>
        <w:jc w:val="both"/>
        <w:rPr>
          <w:rFonts w:ascii="Verdana" w:hAnsi="Verdana"/>
          <w:sz w:val="20"/>
          <w:szCs w:val="20"/>
        </w:rPr>
      </w:pPr>
      <w:r w:rsidRPr="009B0144">
        <w:rPr>
          <w:rFonts w:ascii="Verdana" w:hAnsi="Verdana"/>
          <w:sz w:val="20"/>
          <w:szCs w:val="20"/>
        </w:rPr>
        <w:t xml:space="preserve">“La función de vigilancia y control del contrato estatal supone el cuidado y la supervisión, de forma tal que en ejercicio de esa función, quien administra la adecuada y oportuna ejecución del contrato no sólo debe velar por que las partes den cumplimiento a las obligaciones contractuales, sino que el contrato se ejecute en el tiempo y la forma convenidos, para esta forma garantizar la satisfacción de las necesidades que la </w:t>
      </w:r>
      <w:r w:rsidRPr="009B0144">
        <w:rPr>
          <w:rFonts w:ascii="Verdana" w:hAnsi="Verdana"/>
          <w:sz w:val="20"/>
          <w:szCs w:val="20"/>
        </w:rPr>
        <w:lastRenderedPageBreak/>
        <w:t>administración buscaba alcanzar con la celebración del respectivo contrato” .</w:t>
      </w:r>
    </w:p>
    <w:p w14:paraId="7A172FCA" w14:textId="77777777" w:rsidR="00764AC6" w:rsidRPr="006E5F10" w:rsidRDefault="00764AC6" w:rsidP="009B0144">
      <w:pPr>
        <w:spacing w:after="0" w:line="276" w:lineRule="auto"/>
        <w:ind w:firstLine="709"/>
        <w:jc w:val="both"/>
        <w:rPr>
          <w:rFonts w:ascii="Verdana" w:hAnsi="Verdana"/>
        </w:rPr>
      </w:pPr>
    </w:p>
    <w:p w14:paraId="6CA03A93" w14:textId="43595217" w:rsidR="00A260FB" w:rsidRPr="00F07825" w:rsidRDefault="00A260FB" w:rsidP="00A260FB">
      <w:pPr>
        <w:widowControl w:val="0"/>
        <w:autoSpaceDE w:val="0"/>
        <w:autoSpaceDN w:val="0"/>
        <w:spacing w:after="120" w:line="276" w:lineRule="auto"/>
        <w:ind w:firstLine="708"/>
        <w:jc w:val="both"/>
        <w:rPr>
          <w:rFonts w:ascii="Verdana" w:hAnsi="Verdana"/>
        </w:rPr>
      </w:pPr>
      <w:r w:rsidRPr="00F07825">
        <w:rPr>
          <w:rFonts w:ascii="Verdana" w:hAnsi="Verdana"/>
        </w:rPr>
        <w:t>Al margen de la explicación precedente debe advertirse que el análisis requerido para resolver problemas específicos en torno a la gestión contractual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9F40453" w14:textId="77777777" w:rsidR="00A260FB" w:rsidRDefault="00A260FB" w:rsidP="00A260FB">
      <w:pPr>
        <w:widowControl w:val="0"/>
        <w:autoSpaceDE w:val="0"/>
        <w:autoSpaceDN w:val="0"/>
        <w:spacing w:after="0" w:line="276" w:lineRule="auto"/>
        <w:ind w:right="176" w:firstLine="708"/>
        <w:jc w:val="both"/>
        <w:rPr>
          <w:rFonts w:ascii="Verdana" w:hAnsi="Verdana"/>
        </w:rPr>
      </w:pPr>
      <w:r w:rsidRPr="00F07825">
        <w:rPr>
          <w:rFonts w:ascii="Verdana" w:hAnsi="Verdana"/>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0156C5CA" w14:textId="77777777" w:rsidR="00A260FB" w:rsidRPr="00125A1D" w:rsidRDefault="00A260FB" w:rsidP="00A260FB">
      <w:pPr>
        <w:widowControl w:val="0"/>
        <w:autoSpaceDE w:val="0"/>
        <w:autoSpaceDN w:val="0"/>
        <w:spacing w:after="0" w:line="276" w:lineRule="auto"/>
        <w:jc w:val="both"/>
        <w:rPr>
          <w:rFonts w:ascii="Verdana" w:hAnsi="Verdana" w:cs="Arial"/>
        </w:rPr>
      </w:pPr>
    </w:p>
    <w:p w14:paraId="78EE7D7E" w14:textId="77777777" w:rsidR="00A260FB" w:rsidRPr="00125A1D" w:rsidRDefault="00A260FB" w:rsidP="00A260F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25A1D">
        <w:rPr>
          <w:rFonts w:ascii="Verdana" w:eastAsia="Century Gothic" w:hAnsi="Verdana" w:cs="Century Gothic"/>
          <w:b/>
          <w:bCs/>
        </w:rPr>
        <w:t>Referencias normativas, jurisprudenciales y otras fuentes:</w:t>
      </w:r>
    </w:p>
    <w:p w14:paraId="705143EE" w14:textId="77777777" w:rsidR="00A260FB" w:rsidRPr="00125A1D" w:rsidRDefault="00A260FB" w:rsidP="00A260FB">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A260FB" w:rsidRPr="00125A1D" w14:paraId="528BDF4E" w14:textId="77777777" w:rsidTr="002D18AA">
        <w:trPr>
          <w:trHeight w:val="870"/>
        </w:trPr>
        <w:tc>
          <w:tcPr>
            <w:tcW w:w="8647" w:type="dxa"/>
            <w:tcBorders>
              <w:top w:val="dotted" w:sz="4" w:space="0" w:color="auto"/>
              <w:left w:val="dotted" w:sz="4" w:space="0" w:color="auto"/>
              <w:bottom w:val="dotted" w:sz="4" w:space="0" w:color="auto"/>
              <w:right w:val="dotted" w:sz="4" w:space="0" w:color="auto"/>
            </w:tcBorders>
            <w:hideMark/>
          </w:tcPr>
          <w:p w14:paraId="78A80242" w14:textId="77777777" w:rsidR="00A260FB" w:rsidRPr="006E7982" w:rsidRDefault="00A260FB" w:rsidP="002D18AA">
            <w:pPr>
              <w:widowControl w:val="0"/>
              <w:numPr>
                <w:ilvl w:val="0"/>
                <w:numId w:val="17"/>
              </w:numPr>
              <w:autoSpaceDE w:val="0"/>
              <w:autoSpaceDN w:val="0"/>
              <w:spacing w:line="276" w:lineRule="auto"/>
              <w:ind w:left="720"/>
              <w:jc w:val="both"/>
              <w:rPr>
                <w:rFonts w:ascii="Verdana" w:hAnsi="Verdana" w:cs="Arial"/>
                <w:color w:val="000000" w:themeColor="text1"/>
              </w:rPr>
            </w:pPr>
            <w:r w:rsidRPr="0027034B">
              <w:rPr>
                <w:rFonts w:ascii="Verdana" w:hAnsi="Verdana" w:cs="Arial"/>
                <w:color w:val="000000" w:themeColor="text1"/>
              </w:rPr>
              <w:t>Ley 80 de 1993. Artículos 4, 5, 12, 14 y 26</w:t>
            </w:r>
          </w:p>
          <w:p w14:paraId="606BA778" w14:textId="77777777" w:rsidR="00A260FB" w:rsidRDefault="00A260FB" w:rsidP="009857CA">
            <w:pPr>
              <w:widowControl w:val="0"/>
              <w:numPr>
                <w:ilvl w:val="0"/>
                <w:numId w:val="17"/>
              </w:numPr>
              <w:autoSpaceDE w:val="0"/>
              <w:autoSpaceDN w:val="0"/>
              <w:spacing w:line="276" w:lineRule="auto"/>
              <w:ind w:left="720"/>
              <w:jc w:val="both"/>
              <w:rPr>
                <w:rFonts w:ascii="Verdana" w:eastAsia="Calibri" w:hAnsi="Verdana" w:cs="Arial"/>
                <w:lang w:val="es-ES"/>
              </w:rPr>
            </w:pPr>
            <w:r w:rsidRPr="00596A79">
              <w:rPr>
                <w:rFonts w:ascii="Verdana" w:eastAsia="Calibri" w:hAnsi="Verdana" w:cs="Arial"/>
                <w:lang w:val="es-ES"/>
              </w:rPr>
              <w:t>Ley 1474 de 2011. Artículos 83, 84, 85 y 86</w:t>
            </w:r>
          </w:p>
          <w:p w14:paraId="1D048C6C" w14:textId="77777777" w:rsidR="00A260FB" w:rsidRPr="00FE0EC0" w:rsidRDefault="00A260FB" w:rsidP="009857CA">
            <w:pPr>
              <w:widowControl w:val="0"/>
              <w:numPr>
                <w:ilvl w:val="0"/>
                <w:numId w:val="17"/>
              </w:numPr>
              <w:autoSpaceDE w:val="0"/>
              <w:autoSpaceDN w:val="0"/>
              <w:spacing w:line="276" w:lineRule="auto"/>
              <w:ind w:left="720"/>
              <w:jc w:val="both"/>
              <w:rPr>
                <w:rFonts w:ascii="Verdana" w:eastAsia="Calibri" w:hAnsi="Verdana" w:cs="Arial"/>
                <w:lang w:val="es-ES"/>
              </w:rPr>
            </w:pPr>
            <w:r w:rsidRPr="009857CA">
              <w:rPr>
                <w:rFonts w:ascii="Verdana" w:eastAsia="Calibri" w:hAnsi="Verdana" w:cs="Arial"/>
              </w:rPr>
              <w:t xml:space="preserve">Colombia Compra Eficiente. Guía para el ejercicio de las funciones de Supervisión e Interventoría de los contratos del Estado, disponible </w:t>
            </w:r>
            <w:hyperlink r:id="rId13" w:history="1">
              <w:r w:rsidRPr="009857CA">
                <w:rPr>
                  <w:rFonts w:ascii="Verdana" w:eastAsia="Calibri" w:hAnsi="Verdana" w:cs="Arial"/>
                  <w:color w:val="0000FF"/>
                  <w:u w:val="single"/>
                </w:rPr>
                <w:t>aquí</w:t>
              </w:r>
            </w:hyperlink>
          </w:p>
        </w:tc>
      </w:tr>
    </w:tbl>
    <w:p w14:paraId="5B028588" w14:textId="77777777" w:rsidR="00A260FB" w:rsidRPr="00125A1D" w:rsidRDefault="00A260FB" w:rsidP="00A260FB">
      <w:pPr>
        <w:widowControl w:val="0"/>
        <w:autoSpaceDE w:val="0"/>
        <w:autoSpaceDN w:val="0"/>
        <w:spacing w:after="0" w:line="276" w:lineRule="auto"/>
        <w:jc w:val="both"/>
        <w:rPr>
          <w:rFonts w:ascii="Verdana" w:hAnsi="Verdana" w:cs="Arial"/>
        </w:rPr>
      </w:pPr>
    </w:p>
    <w:p w14:paraId="0AC99637" w14:textId="77777777" w:rsidR="00A260FB" w:rsidRPr="00125A1D" w:rsidRDefault="00A260FB" w:rsidP="00A260F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25A1D">
        <w:rPr>
          <w:rFonts w:ascii="Verdana" w:eastAsia="Century Gothic" w:hAnsi="Verdana" w:cs="Century Gothic"/>
          <w:b/>
          <w:bCs/>
        </w:rPr>
        <w:t>Doctrina de la Agencia Nacional de Contratación Pública:</w:t>
      </w:r>
    </w:p>
    <w:p w14:paraId="72946D5B" w14:textId="77777777" w:rsidR="00A260FB" w:rsidRPr="00125A1D" w:rsidRDefault="00A260FB" w:rsidP="00A260FB">
      <w:pPr>
        <w:widowControl w:val="0"/>
        <w:autoSpaceDE w:val="0"/>
        <w:autoSpaceDN w:val="0"/>
        <w:spacing w:after="0" w:line="276" w:lineRule="auto"/>
        <w:jc w:val="both"/>
        <w:rPr>
          <w:rFonts w:ascii="Verdana" w:hAnsi="Verdana" w:cs="Arial"/>
        </w:rPr>
      </w:pPr>
    </w:p>
    <w:p w14:paraId="433430CC" w14:textId="77777777" w:rsidR="00A260FB" w:rsidRPr="00125A1D" w:rsidRDefault="00A260FB" w:rsidP="00A260FB">
      <w:pPr>
        <w:widowControl w:val="0"/>
        <w:autoSpaceDE w:val="0"/>
        <w:autoSpaceDN w:val="0"/>
        <w:spacing w:after="0" w:line="276" w:lineRule="auto"/>
        <w:jc w:val="both"/>
        <w:rPr>
          <w:rStyle w:val="normaltextrun"/>
          <w:rFonts w:ascii="Verdana" w:hAnsi="Verdana"/>
          <w:color w:val="FF0000"/>
          <w:shd w:val="clear" w:color="auto" w:fill="FFFFFF"/>
          <w:lang w:val="es-ES"/>
        </w:rPr>
      </w:pPr>
      <w:r w:rsidRPr="00E55233">
        <w:rPr>
          <w:rFonts w:ascii="Verdana" w:hAnsi="Verdana" w:cs="Arial"/>
          <w:color w:val="000000" w:themeColor="text1"/>
          <w:shd w:val="clear" w:color="auto" w:fill="FFFFFF"/>
          <w:lang w:val="es-ES"/>
        </w:rPr>
        <w:t xml:space="preserve">Sobre la obligación de controlar y vigilar la ejecución de los contratos estatales, esta Subdirección se ha referido en los Conceptos </w:t>
      </w:r>
      <w:r w:rsidRPr="00E55233">
        <w:rPr>
          <w:rFonts w:ascii="Verdana" w:hAnsi="Verdana" w:cs="Arial"/>
          <w:color w:val="000000" w:themeColor="text1"/>
          <w:shd w:val="clear" w:color="auto" w:fill="FFFFFF"/>
          <w:lang w:val="es-ES_tradnl"/>
        </w:rPr>
        <w:t xml:space="preserve">radicado 4201913000004799 del 30 de agosto de 2019, 4201913000008240 del 20 de diciembre de 2019, C-064 del 28 de febrero de 2020, C-071 del 4 de marzo de 2020, C–077 del 18 de </w:t>
      </w:r>
      <w:r w:rsidRPr="00E55233">
        <w:rPr>
          <w:rFonts w:ascii="Verdana" w:hAnsi="Verdana" w:cs="Arial"/>
          <w:color w:val="000000" w:themeColor="text1"/>
          <w:shd w:val="clear" w:color="auto" w:fill="FFFFFF"/>
          <w:lang w:val="es-ES_tradnl"/>
        </w:rPr>
        <w:lastRenderedPageBreak/>
        <w:t>marzo de 2020, C–150 del 18 de marzo de 2020, C–134 del 30 de marzo de 2020, C–180 del 13 de abril de 2020, C-344 del 26 de mayo de 2020, C-414 del 30 de junio de 2021, C-506 de 3 de agosto de 2022, C-579 del 9 de septiembre de 2022, C-577 del 15 de septiembre de 2022, C-620 del 27 de septiembre de 2022, C-650 del 27 de septiembre de 2022, C-679 de 24 de octubre de 2022, C-818 del 28 de noviembre de 2022, C-830 de 28 de noviembre de 2022, C-800 de 29 de noviembre de 2022, C-930 de 30 de diciembre de 2022, C-932 de 30 de diciembre de 2022, C-975 de 8 de marzo de 2032, C-191 de 27 de abril de 2023, C-089 de 2024 de 17 de julio de 2024, C-255 de 14 de agosto de 2024</w:t>
      </w:r>
      <w:r w:rsidRPr="00E55233">
        <w:rPr>
          <w:rFonts w:ascii="Verdana" w:hAnsi="Verdana" w:cs="Arial"/>
          <w:color w:val="000000" w:themeColor="text1"/>
          <w:shd w:val="clear" w:color="auto" w:fill="FFFFFF"/>
          <w:lang w:val="es-ES"/>
        </w:rPr>
        <w:t>,C-600 del 7 de octubre de 2024</w:t>
      </w:r>
      <w:r>
        <w:rPr>
          <w:rFonts w:ascii="Verdana" w:hAnsi="Verdana" w:cs="Arial"/>
          <w:color w:val="000000" w:themeColor="text1"/>
          <w:shd w:val="clear" w:color="auto" w:fill="FFFFFF"/>
          <w:lang w:val="es-ES"/>
        </w:rPr>
        <w:t xml:space="preserve">,  C-972 de 22 de enero de 2025, C-358 del 14 de abril de 2025, C-459 del 14 de mayo de 2025, </w:t>
      </w:r>
      <w:r w:rsidRPr="00125A1D">
        <w:rPr>
          <w:rFonts w:ascii="Verdana" w:hAnsi="Verdana" w:cs="Arial"/>
          <w:shd w:val="clear" w:color="auto" w:fill="FFFFFF"/>
        </w:rPr>
        <w:t>entre otros.</w:t>
      </w:r>
      <w:r w:rsidRPr="00125A1D">
        <w:rPr>
          <w:rStyle w:val="normaltextrun"/>
          <w:rFonts w:ascii="Verdana" w:hAnsi="Verdana" w:cs="Arial"/>
          <w:shd w:val="clear" w:color="auto" w:fill="FFFFFF"/>
          <w:lang w:val="es-ES"/>
        </w:rPr>
        <w:t xml:space="preserve"> Es</w:t>
      </w:r>
      <w:r w:rsidRPr="00125A1D">
        <w:rPr>
          <w:rFonts w:ascii="Verdana" w:hAnsi="Verdana"/>
        </w:rPr>
        <w:t>tos y otros conceptos se encuentran disponibles para consulta en el Sistema de relatoría de la Agencia, al cual se puede acceder a través del siguiente enlace:</w:t>
      </w:r>
      <w:r w:rsidRPr="00125A1D">
        <w:rPr>
          <w:rStyle w:val="normaltextrun"/>
          <w:rFonts w:ascii="Verdana" w:hAnsi="Verdana" w:cs="Arial"/>
          <w:shd w:val="clear" w:color="auto" w:fill="FFFFFF"/>
          <w:lang w:val="es-ES"/>
        </w:rPr>
        <w:t xml:space="preserve"> </w:t>
      </w:r>
      <w:hyperlink r:id="rId14" w:history="1">
        <w:r w:rsidRPr="009857CA">
          <w:rPr>
            <w:rStyle w:val="Hipervnculo"/>
            <w:rFonts w:ascii="Verdana" w:hAnsi="Verdana" w:cs="Arial"/>
            <w:shd w:val="clear" w:color="auto" w:fill="FFFFFF"/>
            <w:lang w:val="es-ES"/>
          </w:rPr>
          <w:t>https://relatoria.colombiacompra.gov.co/busqueda/conceptos</w:t>
        </w:r>
      </w:hyperlink>
      <w:r w:rsidRPr="009857CA">
        <w:rPr>
          <w:rStyle w:val="normaltextrun"/>
          <w:rFonts w:ascii="Verdana" w:hAnsi="Verdana" w:cs="Arial"/>
          <w:color w:val="FF0000"/>
          <w:shd w:val="clear" w:color="auto" w:fill="FFFFFF"/>
          <w:lang w:val="es-ES"/>
        </w:rPr>
        <w:t xml:space="preserve">. </w:t>
      </w:r>
    </w:p>
    <w:p w14:paraId="4440DBF3" w14:textId="77777777" w:rsidR="00A260FB" w:rsidRPr="00125A1D" w:rsidRDefault="00A260FB" w:rsidP="00A260FB">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0742CAF4" w14:textId="77777777" w:rsidR="00A260FB" w:rsidRPr="00125A1D" w:rsidRDefault="00A260FB" w:rsidP="00A260FB">
      <w:pPr>
        <w:shd w:val="clear" w:color="auto" w:fill="FFFFFF"/>
        <w:spacing w:after="0" w:line="276" w:lineRule="auto"/>
        <w:jc w:val="both"/>
        <w:textAlignment w:val="baseline"/>
        <w:rPr>
          <w:rFonts w:ascii="Verdana" w:hAnsi="Verdana"/>
          <w:color w:val="467886"/>
          <w:u w:val="single"/>
          <w:bdr w:val="none" w:sz="0" w:space="0" w:color="auto" w:frame="1"/>
        </w:rPr>
      </w:pPr>
      <w:r w:rsidRPr="00125A1D">
        <w:rPr>
          <w:rFonts w:ascii="Verdana" w:hAnsi="Verdana"/>
          <w:color w:val="000000"/>
          <w:bdr w:val="none" w:sz="0" w:space="0" w:color="auto" w:frame="1"/>
        </w:rPr>
        <w:t>Le contamos que ya se encuentra disponible la </w:t>
      </w:r>
      <w:r w:rsidRPr="00125A1D">
        <w:rPr>
          <w:rFonts w:ascii="Verdana" w:hAnsi="Verdana"/>
          <w:b/>
          <w:bCs/>
          <w:color w:val="000000"/>
          <w:bdr w:val="none" w:sz="0" w:space="0" w:color="auto" w:frame="1"/>
        </w:rPr>
        <w:t>Guía de lineamientos de transparencia y selección objetiva para el departamento de La Guajira – Objetivo sexto constitucional de la Sentencia T-302 del 2017. </w:t>
      </w:r>
      <w:r w:rsidRPr="00125A1D">
        <w:rPr>
          <w:rFonts w:ascii="Verdana" w:hAnsi="Verdana"/>
          <w:color w:val="000000"/>
          <w:bdr w:val="none" w:sz="0" w:space="0" w:color="auto" w:frame="1"/>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125A1D">
        <w:rPr>
          <w:rFonts w:ascii="Verdana" w:hAnsi="Verdana"/>
          <w:color w:val="000000"/>
          <w:bdr w:val="none" w:sz="0" w:space="0" w:color="auto" w:frame="1"/>
        </w:rPr>
        <w:t>Wayúu</w:t>
      </w:r>
      <w:proofErr w:type="spellEnd"/>
      <w:r w:rsidRPr="00125A1D">
        <w:rPr>
          <w:rFonts w:ascii="Verdana" w:hAnsi="Verdana"/>
          <w:color w:val="000000"/>
          <w:bdr w:val="none" w:sz="0" w:space="0" w:color="auto" w:frame="1"/>
        </w:rPr>
        <w:t xml:space="preserve">. </w:t>
      </w:r>
      <w:r w:rsidRPr="009857CA">
        <w:rPr>
          <w:rFonts w:ascii="Verdana" w:hAnsi="Verdana"/>
          <w:color w:val="000000"/>
          <w:bdr w:val="none" w:sz="0" w:space="0" w:color="auto" w:frame="1"/>
        </w:rPr>
        <w:t>Puede consultar la guía en el siguiente enlace: </w:t>
      </w:r>
      <w:hyperlink r:id="rId15" w:tgtFrame="_blank" w:tooltip="Dirección URL original: https://www.colombiacompra.gov.co/wp-content/uploads/2025/05/GUIA-DE-LINEAMIENTOS-DE-TRANSPARENCIA-Y-SELECCION-OBJETIVA-1.0.pdf. Haga clic o pulse si confía en este vínculo." w:history="1">
        <w:r w:rsidRPr="009857CA">
          <w:rPr>
            <w:rStyle w:val="Hipervnculo"/>
            <w:rFonts w:ascii="Verdana" w:hAnsi="Verdana"/>
            <w:color w:val="467886"/>
            <w:bdr w:val="none" w:sz="0" w:space="0" w:color="auto" w:frame="1"/>
          </w:rPr>
          <w:t>Guía de lineamientos de transparencia y selección objetiva para el departamento de La Guajira – Objetivo sexto constitucional de la Sentencia T-302 del 2017</w:t>
        </w:r>
      </w:hyperlink>
      <w:r w:rsidRPr="009857CA">
        <w:rPr>
          <w:rFonts w:ascii="Verdana" w:hAnsi="Verdana"/>
          <w:color w:val="467886"/>
          <w:u w:val="single"/>
          <w:bdr w:val="none" w:sz="0" w:space="0" w:color="auto" w:frame="1"/>
        </w:rPr>
        <w:t>"</w:t>
      </w:r>
    </w:p>
    <w:p w14:paraId="2870A5AB" w14:textId="77777777" w:rsidR="00A260FB" w:rsidRPr="00125A1D" w:rsidRDefault="00A260FB" w:rsidP="00A260FB">
      <w:pPr>
        <w:spacing w:after="0" w:line="276" w:lineRule="auto"/>
        <w:jc w:val="both"/>
        <w:rPr>
          <w:rFonts w:ascii="Verdana" w:hAnsi="Verdana"/>
        </w:rPr>
      </w:pPr>
    </w:p>
    <w:p w14:paraId="04905F5A" w14:textId="77777777" w:rsidR="00A260FB" w:rsidRPr="00125A1D" w:rsidRDefault="00A260FB" w:rsidP="00A260FB">
      <w:pPr>
        <w:spacing w:after="0" w:line="276" w:lineRule="auto"/>
        <w:jc w:val="both"/>
        <w:rPr>
          <w:rFonts w:ascii="Verdana" w:hAnsi="Verdana"/>
        </w:rPr>
      </w:pPr>
      <w:r w:rsidRPr="00125A1D">
        <w:rPr>
          <w:rFonts w:ascii="Verdana" w:hAnsi="Verdana"/>
        </w:rPr>
        <w:t xml:space="preserve">Por último, lo invitamos a seguirnos en las redes sociales en las cuales se difunde información institucional: </w:t>
      </w:r>
    </w:p>
    <w:p w14:paraId="31A6A516" w14:textId="77777777" w:rsidR="00A260FB" w:rsidRPr="00125A1D" w:rsidRDefault="00A260FB" w:rsidP="00A260FB">
      <w:pPr>
        <w:spacing w:after="0" w:line="276" w:lineRule="auto"/>
        <w:jc w:val="both"/>
        <w:rPr>
          <w:rFonts w:ascii="Verdana" w:hAnsi="Verdana"/>
        </w:rPr>
      </w:pPr>
    </w:p>
    <w:p w14:paraId="611808F8" w14:textId="77777777" w:rsidR="00A260FB" w:rsidRPr="00125A1D" w:rsidRDefault="00A260FB" w:rsidP="00A260FB">
      <w:pPr>
        <w:spacing w:after="0" w:line="276" w:lineRule="auto"/>
        <w:jc w:val="both"/>
        <w:rPr>
          <w:rFonts w:ascii="Verdana" w:hAnsi="Verdana"/>
        </w:rPr>
      </w:pPr>
      <w:r w:rsidRPr="00125A1D">
        <w:rPr>
          <w:rFonts w:ascii="Verdana" w:hAnsi="Verdana"/>
        </w:rPr>
        <w:t xml:space="preserve">Twitter: </w:t>
      </w:r>
      <w:r w:rsidRPr="00125A1D">
        <w:rPr>
          <w:rStyle w:val="Hipervnculo"/>
          <w:rFonts w:ascii="Verdana" w:hAnsi="Verdana"/>
          <w:color w:val="4472C4" w:themeColor="accent1"/>
        </w:rPr>
        <w:t>@colombiacompra</w:t>
      </w:r>
      <w:r w:rsidRPr="00125A1D">
        <w:rPr>
          <w:rFonts w:ascii="Verdana" w:hAnsi="Verdana"/>
          <w:color w:val="4472C4" w:themeColor="accent1"/>
        </w:rPr>
        <w:t xml:space="preserve"> </w:t>
      </w:r>
    </w:p>
    <w:p w14:paraId="721CF2F9" w14:textId="77777777" w:rsidR="00A260FB" w:rsidRPr="00125A1D" w:rsidRDefault="00A260FB" w:rsidP="00A260FB">
      <w:pPr>
        <w:spacing w:after="0" w:line="276" w:lineRule="auto"/>
        <w:jc w:val="both"/>
        <w:rPr>
          <w:rFonts w:ascii="Verdana" w:hAnsi="Verdana"/>
        </w:rPr>
      </w:pPr>
      <w:r w:rsidRPr="00125A1D">
        <w:rPr>
          <w:rFonts w:ascii="Verdana" w:hAnsi="Verdana"/>
        </w:rPr>
        <w:t xml:space="preserve">Facebook: </w:t>
      </w:r>
      <w:proofErr w:type="spellStart"/>
      <w:r w:rsidRPr="00125A1D">
        <w:rPr>
          <w:rStyle w:val="Hipervnculo"/>
          <w:rFonts w:ascii="Verdana" w:hAnsi="Verdana"/>
          <w:color w:val="4472C4" w:themeColor="accent1"/>
        </w:rPr>
        <w:t>ColombiaCompraEficiente</w:t>
      </w:r>
      <w:proofErr w:type="spellEnd"/>
    </w:p>
    <w:p w14:paraId="5BA23557" w14:textId="77777777" w:rsidR="00A260FB" w:rsidRPr="00125A1D" w:rsidRDefault="00A260FB" w:rsidP="00A260FB">
      <w:pPr>
        <w:spacing w:after="0" w:line="276" w:lineRule="auto"/>
        <w:jc w:val="both"/>
        <w:rPr>
          <w:rFonts w:ascii="Verdana" w:hAnsi="Verdana"/>
        </w:rPr>
      </w:pPr>
      <w:r w:rsidRPr="00125A1D">
        <w:rPr>
          <w:rFonts w:ascii="Verdana" w:hAnsi="Verdana"/>
        </w:rPr>
        <w:t xml:space="preserve">LinkedIn: </w:t>
      </w:r>
      <w:r w:rsidRPr="00125A1D">
        <w:rPr>
          <w:rStyle w:val="Hipervnculo"/>
          <w:rFonts w:ascii="Verdana" w:hAnsi="Verdana"/>
          <w:color w:val="4472C4" w:themeColor="accent1"/>
        </w:rPr>
        <w:t>Agencia Nacional de Contratación Pública - Colombia Compra Eficiente</w:t>
      </w:r>
      <w:r w:rsidRPr="00125A1D">
        <w:rPr>
          <w:rFonts w:ascii="Verdana" w:hAnsi="Verdana"/>
          <w:color w:val="4472C4" w:themeColor="accent1"/>
        </w:rPr>
        <w:t xml:space="preserve"> </w:t>
      </w:r>
      <w:r w:rsidRPr="00125A1D">
        <w:rPr>
          <w:rFonts w:ascii="Verdana" w:hAnsi="Verdana"/>
        </w:rPr>
        <w:t xml:space="preserve">Instagram: </w:t>
      </w:r>
      <w:r w:rsidRPr="00125A1D">
        <w:rPr>
          <w:rStyle w:val="Hipervnculo"/>
          <w:rFonts w:ascii="Verdana" w:hAnsi="Verdana"/>
          <w:color w:val="4472C4" w:themeColor="accent1"/>
        </w:rPr>
        <w:t>@colombiacompraeficiente_cce</w:t>
      </w:r>
    </w:p>
    <w:p w14:paraId="78E5203F" w14:textId="77777777" w:rsidR="00A260FB" w:rsidRPr="00125A1D" w:rsidRDefault="00A260FB" w:rsidP="00A260FB">
      <w:pPr>
        <w:widowControl w:val="0"/>
        <w:autoSpaceDE w:val="0"/>
        <w:autoSpaceDN w:val="0"/>
        <w:spacing w:after="0" w:line="276" w:lineRule="auto"/>
        <w:jc w:val="both"/>
        <w:rPr>
          <w:rFonts w:ascii="Verdana" w:hAnsi="Verdana" w:cs="Arial"/>
        </w:rPr>
      </w:pPr>
    </w:p>
    <w:p w14:paraId="09130255" w14:textId="77777777" w:rsidR="00A260FB" w:rsidRPr="00125A1D" w:rsidRDefault="00A260FB" w:rsidP="00A260FB">
      <w:pPr>
        <w:widowControl w:val="0"/>
        <w:autoSpaceDE w:val="0"/>
        <w:autoSpaceDN w:val="0"/>
        <w:spacing w:after="0" w:line="276" w:lineRule="auto"/>
        <w:jc w:val="both"/>
        <w:rPr>
          <w:rFonts w:ascii="Verdana" w:hAnsi="Verdana" w:cs="Arial"/>
          <w:lang w:val="es-ES_tradnl"/>
        </w:rPr>
      </w:pPr>
      <w:r w:rsidRPr="00125A1D">
        <w:rPr>
          <w:rFonts w:ascii="Verdana" w:hAnsi="Verdana" w:cs="Arial"/>
        </w:rPr>
        <w:t xml:space="preserve">Este concepto tiene el alcance previsto en el artículo 28 del Código de Procedimiento Administrativo y de lo Contencioso Administrativo </w:t>
      </w:r>
      <w:r w:rsidRPr="00125A1D">
        <w:rPr>
          <w:rFonts w:ascii="Verdana" w:hAnsi="Verdana" w:cs="Arial"/>
          <w:lang w:val="es-ES_tradnl"/>
        </w:rPr>
        <w:t xml:space="preserve">y las </w:t>
      </w:r>
      <w:r w:rsidRPr="00125A1D">
        <w:rPr>
          <w:rFonts w:ascii="Verdana" w:hAnsi="Verdana" w:cs="Arial"/>
          <w:lang w:val="es-ES_tradnl"/>
        </w:rPr>
        <w:lastRenderedPageBreak/>
        <w:t>expresiones aquí utilizadas con mayúscula inicial deben ser entendidas con el significado que les otorga el artículo 2.2.1.1.1.3.1. del Decreto 1082 de 2015.</w:t>
      </w:r>
    </w:p>
    <w:p w14:paraId="394D2AA8" w14:textId="77777777" w:rsidR="00A260FB" w:rsidRPr="00125A1D" w:rsidRDefault="00A260FB" w:rsidP="00A260FB">
      <w:pPr>
        <w:widowControl w:val="0"/>
        <w:autoSpaceDE w:val="0"/>
        <w:autoSpaceDN w:val="0"/>
        <w:spacing w:after="0" w:line="276" w:lineRule="auto"/>
        <w:jc w:val="both"/>
        <w:rPr>
          <w:rFonts w:ascii="Verdana" w:hAnsi="Verdana" w:cs="Arial"/>
        </w:rPr>
      </w:pPr>
    </w:p>
    <w:p w14:paraId="606A3636" w14:textId="77777777" w:rsidR="00A260FB" w:rsidRPr="00125A1D" w:rsidRDefault="00A260FB" w:rsidP="00A260FB">
      <w:pPr>
        <w:spacing w:after="0" w:line="276" w:lineRule="auto"/>
        <w:rPr>
          <w:rFonts w:ascii="Verdana" w:hAnsi="Verdana" w:cs="Arial"/>
          <w:lang w:eastAsia="es-CO"/>
        </w:rPr>
      </w:pPr>
      <w:bookmarkStart w:id="4" w:name="_Hlk208479366"/>
      <w:r w:rsidRPr="00125A1D">
        <w:rPr>
          <w:rFonts w:ascii="Verdana" w:eastAsia="Times New Roman" w:hAnsi="Verdana" w:cs="Arial"/>
          <w:lang w:eastAsia="es-CO"/>
        </w:rPr>
        <w:t>Atentamente,</w:t>
      </w:r>
      <w:r w:rsidRPr="00125A1D">
        <w:rPr>
          <w:rFonts w:ascii="Verdana" w:hAnsi="Verdana" w:cs="Arial"/>
          <w:lang w:eastAsia="es-CO"/>
        </w:rPr>
        <w:t xml:space="preserve"> </w:t>
      </w:r>
    </w:p>
    <w:p w14:paraId="65AEA4E2" w14:textId="038F2C9B" w:rsidR="00A260FB" w:rsidRDefault="00460A5F" w:rsidP="00A260FB">
      <w:pPr>
        <w:spacing w:line="276" w:lineRule="auto"/>
        <w:jc w:val="center"/>
        <w:rPr>
          <w:rFonts w:ascii="Verdana" w:hAnsi="Verdana" w:cs="Arial"/>
          <w:color w:val="000000"/>
          <w:lang w:val="es-ES_tradnl" w:eastAsia="es-CO"/>
        </w:rPr>
      </w:pPr>
      <w:r>
        <w:rPr>
          <w:noProof/>
        </w:rPr>
        <w:drawing>
          <wp:inline distT="0" distB="0" distL="0" distR="0" wp14:anchorId="26AEDA0D" wp14:editId="1CEFF0DA">
            <wp:extent cx="3768725" cy="1399540"/>
            <wp:effectExtent l="0" t="0" r="3175" b="0"/>
            <wp:docPr id="5" name="Imagen 5"/>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260FB" w14:paraId="6862FB9E" w14:textId="77777777" w:rsidTr="002D18AA">
        <w:trPr>
          <w:trHeight w:val="315"/>
        </w:trPr>
        <w:tc>
          <w:tcPr>
            <w:tcW w:w="893" w:type="dxa"/>
            <w:vAlign w:val="center"/>
            <w:hideMark/>
          </w:tcPr>
          <w:p w14:paraId="77F8682F" w14:textId="77777777" w:rsidR="00A260FB" w:rsidRDefault="00A260FB" w:rsidP="002D18AA">
            <w:pPr>
              <w:spacing w:after="255" w:line="240" w:lineRule="auto"/>
              <w:contextualSpacing/>
              <w:rPr>
                <w:rFonts w:ascii="Verdana" w:hAnsi="Verdana" w:cs="Arial"/>
                <w:sz w:val="16"/>
                <w:szCs w:val="16"/>
                <w:lang w:val="es-ES" w:eastAsia="es-ES"/>
              </w:rPr>
            </w:pPr>
            <w:r>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FC1DD78" w14:textId="77777777" w:rsidR="00A260FB" w:rsidRDefault="00A260FB" w:rsidP="002D18AA">
            <w:pPr>
              <w:spacing w:after="255" w:line="240" w:lineRule="auto"/>
              <w:contextualSpacing/>
              <w:rPr>
                <w:rFonts w:ascii="Verdana" w:eastAsia="Arial" w:hAnsi="Verdana" w:cs="Arial"/>
                <w:sz w:val="16"/>
                <w:szCs w:val="16"/>
              </w:rPr>
            </w:pPr>
            <w:r>
              <w:rPr>
                <w:rStyle w:val="normaltextrun"/>
                <w:rFonts w:ascii="Verdana" w:hAnsi="Verdana"/>
                <w:sz w:val="16"/>
                <w:szCs w:val="16"/>
              </w:rPr>
              <w:t xml:space="preserve">Catalina Cubides </w:t>
            </w:r>
            <w:proofErr w:type="spellStart"/>
            <w:r>
              <w:rPr>
                <w:rStyle w:val="normaltextrun"/>
                <w:rFonts w:ascii="Verdana" w:hAnsi="Verdana"/>
                <w:sz w:val="16"/>
                <w:szCs w:val="16"/>
              </w:rPr>
              <w:t>Estupiñan</w:t>
            </w:r>
            <w:proofErr w:type="spellEnd"/>
          </w:p>
          <w:p w14:paraId="1B5A0AF4" w14:textId="77777777" w:rsidR="00A260FB" w:rsidRDefault="00A260FB" w:rsidP="002D18AA">
            <w:pPr>
              <w:spacing w:after="255" w:line="240" w:lineRule="auto"/>
              <w:contextualSpacing/>
              <w:rPr>
                <w:rFonts w:ascii="Verdana" w:eastAsia="Arial" w:hAnsi="Verdana" w:cs="Arial"/>
                <w:sz w:val="16"/>
                <w:szCs w:val="16"/>
              </w:rPr>
            </w:pPr>
            <w:r>
              <w:rPr>
                <w:rStyle w:val="normaltextrun"/>
                <w:rFonts w:ascii="Verdana" w:eastAsia="Arial" w:hAnsi="Verdana" w:cs="Arial"/>
                <w:sz w:val="16"/>
                <w:szCs w:val="16"/>
              </w:rPr>
              <w:t>C</w:t>
            </w:r>
            <w:r>
              <w:rPr>
                <w:rStyle w:val="normaltextrun"/>
                <w:rFonts w:ascii="Verdana" w:eastAsia="Arial" w:hAnsi="Verdana"/>
                <w:sz w:val="16"/>
                <w:szCs w:val="16"/>
              </w:rPr>
              <w:t>ontratista d</w:t>
            </w:r>
            <w:r>
              <w:rPr>
                <w:rStyle w:val="normaltextrun"/>
                <w:rFonts w:ascii="Verdana" w:eastAsia="Arial" w:hAnsi="Verdana" w:cs="Arial"/>
                <w:sz w:val="16"/>
                <w:szCs w:val="16"/>
              </w:rPr>
              <w:t>e la Subdirección de Gestión Contractual</w:t>
            </w:r>
          </w:p>
        </w:tc>
      </w:tr>
      <w:tr w:rsidR="00A260FB" w14:paraId="34B9B218" w14:textId="77777777" w:rsidTr="002D18AA">
        <w:trPr>
          <w:trHeight w:val="330"/>
        </w:trPr>
        <w:tc>
          <w:tcPr>
            <w:tcW w:w="893" w:type="dxa"/>
            <w:vAlign w:val="center"/>
            <w:hideMark/>
          </w:tcPr>
          <w:p w14:paraId="385BD974" w14:textId="77777777" w:rsidR="00A260FB" w:rsidRDefault="00A260FB" w:rsidP="002D18AA">
            <w:pPr>
              <w:spacing w:after="255" w:line="240" w:lineRule="auto"/>
              <w:contextualSpacing/>
              <w:rPr>
                <w:rFonts w:ascii="Verdana" w:hAnsi="Verdana" w:cs="Arial"/>
                <w:sz w:val="16"/>
                <w:szCs w:val="16"/>
                <w:lang w:val="es-ES" w:eastAsia="es-ES"/>
              </w:rPr>
            </w:pPr>
            <w:r>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6B2170D" w14:textId="77777777" w:rsidR="00A260FB" w:rsidRDefault="00A260FB" w:rsidP="002D18AA">
            <w:pPr>
              <w:pStyle w:val="paragraph"/>
              <w:spacing w:before="0" w:beforeAutospacing="0" w:after="0" w:afterAutospacing="0"/>
              <w:contextualSpacing/>
              <w:textAlignment w:val="baseline"/>
              <w:rPr>
                <w:rFonts w:ascii="Verdana" w:hAnsi="Verdana" w:cs="Segoe UI"/>
                <w:sz w:val="16"/>
                <w:szCs w:val="16"/>
                <w:lang w:eastAsia="es-ES_tradnl"/>
              </w:rPr>
            </w:pPr>
            <w:r>
              <w:rPr>
                <w:rFonts w:ascii="Verdana" w:hAnsi="Verdana" w:cs="Segoe UI"/>
                <w:sz w:val="16"/>
                <w:szCs w:val="16"/>
              </w:rPr>
              <w:t>Diana Lucía Saavedra Castañeda</w:t>
            </w:r>
          </w:p>
          <w:p w14:paraId="692B1461" w14:textId="77777777" w:rsidR="00A260FB" w:rsidRDefault="00A260FB" w:rsidP="002D18AA">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
              </w:rPr>
              <w:t>Contratista de la Subdirección de Gestión Contractual</w:t>
            </w:r>
            <w:r>
              <w:rPr>
                <w:rStyle w:val="eop"/>
                <w:rFonts w:ascii="Verdana" w:hAnsi="Verdana" w:cs="Arial"/>
                <w:sz w:val="16"/>
                <w:szCs w:val="16"/>
              </w:rPr>
              <w:t> </w:t>
            </w:r>
          </w:p>
        </w:tc>
      </w:tr>
      <w:tr w:rsidR="00A260FB" w14:paraId="78FA6D44" w14:textId="77777777" w:rsidTr="002D18AA">
        <w:trPr>
          <w:trHeight w:val="300"/>
        </w:trPr>
        <w:tc>
          <w:tcPr>
            <w:tcW w:w="893" w:type="dxa"/>
            <w:vAlign w:val="center"/>
            <w:hideMark/>
          </w:tcPr>
          <w:p w14:paraId="52F208ED" w14:textId="77777777" w:rsidR="00A260FB" w:rsidRDefault="00A260FB" w:rsidP="002D18AA">
            <w:pPr>
              <w:spacing w:after="255" w:line="240" w:lineRule="auto"/>
              <w:contextualSpacing/>
              <w:rPr>
                <w:rFonts w:ascii="Verdana" w:hAnsi="Verdana" w:cs="Arial"/>
                <w:sz w:val="16"/>
                <w:szCs w:val="16"/>
                <w:lang w:val="es-ES" w:eastAsia="es-ES"/>
              </w:rPr>
            </w:pPr>
            <w:r>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A4D4D82" w14:textId="77777777" w:rsidR="00A260FB" w:rsidRDefault="00A260FB" w:rsidP="002D18AA">
            <w:pPr>
              <w:spacing w:after="255" w:line="240" w:lineRule="auto"/>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 xml:space="preserve">Carolina Quintero </w:t>
            </w:r>
            <w:proofErr w:type="spellStart"/>
            <w:r>
              <w:rPr>
                <w:rFonts w:ascii="Verdana" w:eastAsia="Calibri" w:hAnsi="Verdana" w:cs="Arial"/>
                <w:sz w:val="16"/>
                <w:szCs w:val="16"/>
                <w:lang w:val="pt-BR" w:eastAsia="es-ES"/>
              </w:rPr>
              <w:t>Gacharná</w:t>
            </w:r>
            <w:proofErr w:type="spellEnd"/>
          </w:p>
          <w:p w14:paraId="72A32CCB" w14:textId="77777777" w:rsidR="00A260FB" w:rsidRDefault="00A260FB" w:rsidP="002D18AA">
            <w:pPr>
              <w:spacing w:after="255" w:line="240" w:lineRule="auto"/>
              <w:contextualSpacing/>
              <w:rPr>
                <w:rFonts w:ascii="Verdana" w:eastAsia="Calibri" w:hAnsi="Verdana" w:cs="Arial"/>
                <w:sz w:val="16"/>
                <w:szCs w:val="16"/>
                <w:lang w:val="pt-BR" w:eastAsia="es-ES"/>
              </w:rPr>
            </w:pPr>
            <w:r>
              <w:rPr>
                <w:rFonts w:ascii="Verdana" w:eastAsia="Calibri" w:hAnsi="Verdana" w:cs="Arial"/>
                <w:sz w:val="16"/>
                <w:szCs w:val="16"/>
                <w:lang w:eastAsia="es-ES"/>
              </w:rPr>
              <w:t>Subdirectora</w:t>
            </w:r>
            <w:r>
              <w:rPr>
                <w:rFonts w:ascii="Verdana" w:eastAsia="Calibri" w:hAnsi="Verdana" w:cs="Arial"/>
                <w:sz w:val="16"/>
                <w:szCs w:val="16"/>
                <w:lang w:val="pt-BR" w:eastAsia="es-ES"/>
              </w:rPr>
              <w:t xml:space="preserve"> de Gestión </w:t>
            </w:r>
            <w:proofErr w:type="spellStart"/>
            <w:r>
              <w:rPr>
                <w:rFonts w:ascii="Verdana" w:eastAsia="Calibri" w:hAnsi="Verdana" w:cs="Arial"/>
                <w:sz w:val="16"/>
                <w:szCs w:val="16"/>
                <w:lang w:val="pt-BR" w:eastAsia="es-ES"/>
              </w:rPr>
              <w:t>Contractual</w:t>
            </w:r>
            <w:proofErr w:type="spellEnd"/>
            <w:r>
              <w:rPr>
                <w:rFonts w:ascii="Verdana" w:eastAsia="Calibri" w:hAnsi="Verdana" w:cs="Arial"/>
                <w:sz w:val="16"/>
                <w:szCs w:val="16"/>
                <w:lang w:val="pt-BR" w:eastAsia="es-ES"/>
              </w:rPr>
              <w:t xml:space="preserve"> ANCP – CCE</w:t>
            </w:r>
          </w:p>
        </w:tc>
      </w:tr>
      <w:bookmarkEnd w:id="4"/>
    </w:tbl>
    <w:p w14:paraId="0F293BF4" w14:textId="6E0FC37B" w:rsidR="00127233" w:rsidRPr="00AA7021" w:rsidRDefault="00127233" w:rsidP="00AA7021"/>
    <w:sectPr w:rsidR="00127233" w:rsidRPr="00AA7021"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BD2F33" w14:textId="77777777" w:rsidR="00497E7A" w:rsidRDefault="00497E7A" w:rsidP="004A1847">
      <w:pPr>
        <w:spacing w:after="0" w:line="240" w:lineRule="auto"/>
      </w:pPr>
      <w:r>
        <w:separator/>
      </w:r>
    </w:p>
  </w:endnote>
  <w:endnote w:type="continuationSeparator" w:id="0">
    <w:p w14:paraId="7A19A762" w14:textId="77777777" w:rsidR="00497E7A" w:rsidRDefault="00497E7A" w:rsidP="004A1847">
      <w:pPr>
        <w:spacing w:after="0" w:line="240" w:lineRule="auto"/>
      </w:pPr>
      <w:r>
        <w:continuationSeparator/>
      </w:r>
    </w:p>
  </w:endnote>
  <w:endnote w:type="continuationNotice" w:id="1">
    <w:p w14:paraId="7795034D" w14:textId="77777777" w:rsidR="00497E7A" w:rsidRDefault="00497E7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54E48B" w14:textId="77777777" w:rsidR="00497E7A" w:rsidRDefault="00497E7A" w:rsidP="004A1847">
      <w:pPr>
        <w:spacing w:after="0" w:line="240" w:lineRule="auto"/>
      </w:pPr>
      <w:r>
        <w:separator/>
      </w:r>
    </w:p>
  </w:footnote>
  <w:footnote w:type="continuationSeparator" w:id="0">
    <w:p w14:paraId="4E3322D5" w14:textId="77777777" w:rsidR="00497E7A" w:rsidRDefault="00497E7A" w:rsidP="004A1847">
      <w:pPr>
        <w:spacing w:after="0" w:line="240" w:lineRule="auto"/>
      </w:pPr>
      <w:r>
        <w:continuationSeparator/>
      </w:r>
    </w:p>
  </w:footnote>
  <w:footnote w:type="continuationNotice" w:id="1">
    <w:p w14:paraId="2440D43C" w14:textId="77777777" w:rsidR="00497E7A" w:rsidRDefault="00497E7A">
      <w:pPr>
        <w:spacing w:after="0" w:line="240" w:lineRule="auto"/>
      </w:pPr>
    </w:p>
  </w:footnote>
  <w:footnote w:id="2">
    <w:p w14:paraId="00F76A19" w14:textId="2EDF2C56" w:rsidR="00A260FB" w:rsidRDefault="00A260FB" w:rsidP="00A260FB">
      <w:pPr>
        <w:pStyle w:val="Textonotapie"/>
        <w:ind w:firstLine="709"/>
        <w:jc w:val="both"/>
        <w:rPr>
          <w:rFonts w:ascii="Verdana" w:hAnsi="Verdana"/>
          <w:sz w:val="16"/>
          <w:szCs w:val="16"/>
        </w:rPr>
      </w:pPr>
      <w:r>
        <w:rPr>
          <w:rFonts w:ascii="Verdana" w:hAnsi="Verdana"/>
          <w:sz w:val="16"/>
          <w:szCs w:val="16"/>
          <w:vertAlign w:val="superscript"/>
        </w:rPr>
        <w:footnoteRef/>
      </w:r>
      <w:r>
        <w:rPr>
          <w:rFonts w:ascii="Verdana" w:hAnsi="Verdana"/>
          <w:sz w:val="16"/>
          <w:szCs w:val="16"/>
        </w:rPr>
        <w:t xml:space="preserve"> Consejo de Estado. Sección 3ª. Sentencia del 27 de noviembre de 2017. M.P. Jaime Orlando Santofimio. </w:t>
      </w:r>
      <w:proofErr w:type="spellStart"/>
      <w:r>
        <w:rPr>
          <w:rFonts w:ascii="Verdana" w:hAnsi="Verdana"/>
          <w:sz w:val="16"/>
          <w:szCs w:val="16"/>
        </w:rPr>
        <w:t>Exp</w:t>
      </w:r>
      <w:proofErr w:type="spellEnd"/>
      <w:r>
        <w:rPr>
          <w:rFonts w:ascii="Verdana" w:hAnsi="Verdana"/>
          <w:sz w:val="16"/>
          <w:szCs w:val="16"/>
        </w:rPr>
        <w:t>. 51.802.</w:t>
      </w:r>
    </w:p>
  </w:footnote>
  <w:footnote w:id="3">
    <w:p w14:paraId="2EAE01E5" w14:textId="77777777" w:rsidR="00A260FB" w:rsidRPr="009B0144" w:rsidRDefault="00A260FB" w:rsidP="00A260FB">
      <w:pPr>
        <w:pStyle w:val="Textonotapie"/>
        <w:ind w:firstLine="709"/>
        <w:jc w:val="both"/>
        <w:rPr>
          <w:rFonts w:ascii="Verdana" w:hAnsi="Verdana"/>
          <w:sz w:val="16"/>
          <w:szCs w:val="16"/>
        </w:rPr>
      </w:pPr>
      <w:r w:rsidRPr="00C50ED3">
        <w:rPr>
          <w:rFonts w:ascii="Verdana" w:hAnsi="Verdana"/>
          <w:sz w:val="16"/>
          <w:szCs w:val="16"/>
          <w:vertAlign w:val="superscript"/>
        </w:rPr>
        <w:footnoteRef/>
      </w:r>
      <w:r w:rsidRPr="00C50ED3">
        <w:rPr>
          <w:rFonts w:ascii="Verdana" w:hAnsi="Verdana"/>
          <w:sz w:val="16"/>
          <w:szCs w:val="16"/>
        </w:rPr>
        <w:t xml:space="preserve"> A excepción de la interventoría del contrato de obra adjudicado por licitación pública que es obligatoria según el numeral 1° del</w:t>
      </w:r>
      <w:r w:rsidRPr="00C50ED3">
        <w:rPr>
          <w:rFonts w:ascii="Verdana" w:hAnsi="Verdana"/>
          <w:sz w:val="16"/>
          <w:szCs w:val="16"/>
        </w:rPr>
        <w:t xml:space="preserve"> artículo 32 de la Ley 80 de 1993.</w:t>
      </w:r>
    </w:p>
  </w:footnote>
  <w:footnote w:id="4">
    <w:p w14:paraId="648B8C9A" w14:textId="3191DFB5" w:rsidR="00A260FB" w:rsidRPr="009B0144" w:rsidRDefault="00A260FB" w:rsidP="009B0144">
      <w:pPr>
        <w:pStyle w:val="Textonotapie"/>
        <w:ind w:firstLine="709"/>
        <w:jc w:val="both"/>
        <w:rPr>
          <w:rFonts w:ascii="Verdana" w:hAnsi="Verdana"/>
          <w:sz w:val="16"/>
          <w:szCs w:val="16"/>
          <w:lang w:val="es-CO"/>
        </w:rPr>
      </w:pPr>
      <w:r w:rsidRPr="009B0144">
        <w:rPr>
          <w:rStyle w:val="Refdenotaalpie"/>
          <w:rFonts w:ascii="Verdana" w:hAnsi="Verdana"/>
          <w:sz w:val="16"/>
          <w:szCs w:val="16"/>
        </w:rPr>
        <w:footnoteRef/>
      </w:r>
      <w:r w:rsidRPr="009B0144">
        <w:rPr>
          <w:rFonts w:ascii="Verdana" w:hAnsi="Verdana"/>
          <w:sz w:val="16"/>
          <w:szCs w:val="16"/>
        </w:rPr>
        <w:t xml:space="preserve"> </w:t>
      </w:r>
      <w:r w:rsidR="00265303" w:rsidRPr="00265303">
        <w:rPr>
          <w:rFonts w:ascii="Verdana" w:hAnsi="Verdana"/>
          <w:sz w:val="16"/>
          <w:szCs w:val="16"/>
          <w:lang w:val="es-CO"/>
        </w:rPr>
        <w:t>Consejo de Estado. Sala de Consulta y Servicio Civil. Número Único</w:t>
      </w:r>
      <w:r w:rsidRPr="00265303">
        <w:rPr>
          <w:rFonts w:ascii="Verdana" w:hAnsi="Verdana"/>
          <w:sz w:val="16"/>
          <w:szCs w:val="16"/>
          <w:lang w:val="es-CO"/>
        </w:rPr>
        <w:t xml:space="preserve"> </w:t>
      </w:r>
      <w:r w:rsidRPr="00265303">
        <w:rPr>
          <w:rFonts w:ascii="Verdana" w:hAnsi="Verdana"/>
          <w:sz w:val="16"/>
          <w:szCs w:val="16"/>
        </w:rPr>
        <w:t xml:space="preserve">11001-03-06-000-2015-00102-00. </w:t>
      </w:r>
      <w:r w:rsidR="00265303" w:rsidRPr="00265303">
        <w:rPr>
          <w:rFonts w:ascii="Verdana" w:hAnsi="Verdana"/>
          <w:sz w:val="16"/>
          <w:szCs w:val="16"/>
        </w:rPr>
        <w:t>Sentencia del 26 de julio de 2016. C.P.: Álvaro Namén Vargas</w:t>
      </w:r>
    </w:p>
  </w:footnote>
  <w:footnote w:id="5">
    <w:p w14:paraId="7B8B0FE4" w14:textId="4DE337A9" w:rsidR="006E5F10" w:rsidRPr="009B0144" w:rsidRDefault="006E5F10" w:rsidP="009B0144">
      <w:pPr>
        <w:pStyle w:val="Textonotapie"/>
        <w:ind w:firstLine="709"/>
        <w:jc w:val="both"/>
        <w:rPr>
          <w:rFonts w:ascii="Verdana" w:hAnsi="Verdana"/>
          <w:sz w:val="16"/>
          <w:szCs w:val="16"/>
        </w:rPr>
      </w:pPr>
      <w:r w:rsidRPr="009B0144">
        <w:rPr>
          <w:rStyle w:val="Refdenotaalpie"/>
          <w:rFonts w:ascii="Verdana" w:hAnsi="Verdana"/>
          <w:sz w:val="16"/>
          <w:szCs w:val="16"/>
        </w:rPr>
        <w:footnoteRef/>
      </w:r>
      <w:r w:rsidRPr="009B0144">
        <w:rPr>
          <w:rFonts w:ascii="Verdana" w:hAnsi="Verdana"/>
          <w:sz w:val="16"/>
          <w:szCs w:val="16"/>
        </w:rPr>
        <w:t xml:space="preserve"> </w:t>
      </w:r>
      <w:r w:rsidR="00E02E56" w:rsidRPr="009B0144">
        <w:rPr>
          <w:rFonts w:ascii="Verdana" w:hAnsi="Verdana"/>
          <w:sz w:val="16"/>
          <w:szCs w:val="16"/>
          <w:lang w:val="es-CO"/>
        </w:rPr>
        <w:t xml:space="preserve">La Ley 1474 de 2011 enmarcó el seguimiento, control y vigilancia de la ejecución del contrato estatal dentro del principio de moralidad administrativa. </w:t>
      </w:r>
      <w:r w:rsidR="00E02E56" w:rsidRPr="009B0144">
        <w:rPr>
          <w:rFonts w:ascii="Verdana" w:hAnsi="Verdana"/>
          <w:sz w:val="16"/>
          <w:szCs w:val="16"/>
          <w:lang w:val="es-CO"/>
        </w:rPr>
        <w:t>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w:t>
      </w:r>
    </w:p>
  </w:footnote>
  <w:footnote w:id="6">
    <w:p w14:paraId="51A44D6C" w14:textId="05392752" w:rsidR="00651226" w:rsidRPr="009B0144" w:rsidRDefault="00E02E56" w:rsidP="009B0144">
      <w:pPr>
        <w:pStyle w:val="Textonotapie"/>
        <w:ind w:firstLine="709"/>
        <w:jc w:val="both"/>
        <w:rPr>
          <w:rFonts w:ascii="Verdana" w:hAnsi="Verdana"/>
          <w:sz w:val="16"/>
          <w:szCs w:val="16"/>
          <w:lang w:val="es-CO"/>
        </w:rPr>
      </w:pPr>
      <w:r w:rsidRPr="009B0144">
        <w:rPr>
          <w:rStyle w:val="Refdenotaalpie"/>
          <w:rFonts w:ascii="Verdana" w:hAnsi="Verdana"/>
          <w:sz w:val="16"/>
          <w:szCs w:val="16"/>
        </w:rPr>
        <w:footnoteRef/>
      </w:r>
      <w:r w:rsidRPr="009B0144">
        <w:rPr>
          <w:rFonts w:ascii="Verdana" w:hAnsi="Verdana"/>
          <w:sz w:val="16"/>
          <w:szCs w:val="16"/>
        </w:rPr>
        <w:t xml:space="preserve"> </w:t>
      </w:r>
      <w:r w:rsidR="00651226" w:rsidRPr="009B0144">
        <w:rPr>
          <w:rFonts w:ascii="Verdana" w:hAnsi="Verdana"/>
          <w:sz w:val="16"/>
          <w:szCs w:val="16"/>
          <w:lang w:val="es-CO"/>
        </w:rPr>
        <w:t xml:space="preserve">Ley 80 de 1993: “Artículo 26. Del principio de responsabilidad. En virtud de este principio: </w:t>
      </w:r>
    </w:p>
    <w:p w14:paraId="4289000A" w14:textId="273B09A5" w:rsidR="00E02E56" w:rsidRPr="009B0144" w:rsidRDefault="00651226" w:rsidP="009B0144">
      <w:pPr>
        <w:pStyle w:val="Textonotapie"/>
        <w:ind w:firstLine="709"/>
        <w:jc w:val="both"/>
        <w:rPr>
          <w:rFonts w:ascii="Verdana" w:hAnsi="Verdana"/>
          <w:sz w:val="16"/>
          <w:szCs w:val="16"/>
        </w:rPr>
      </w:pPr>
      <w:r w:rsidRPr="009B0144">
        <w:rPr>
          <w:rFonts w:ascii="Verdana" w:hAnsi="Verdana"/>
          <w:sz w:val="16"/>
          <w:szCs w:val="16"/>
          <w:lang w:val="es-CO"/>
        </w:rPr>
        <w:t>“1. Los servidores públicos están obligados a buscar el cumplimiento de los fines de la contratación, a vigilar la correcta ejecución del objeto contratado y a proteger los derechos de la entidad, del contratista y de los terceros que puedan verse afectados por la ejecución del contrato”.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5pt;height:1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7824824">
    <w:abstractNumId w:val="7"/>
  </w:num>
  <w:num w:numId="2" w16cid:durableId="1702440215">
    <w:abstractNumId w:val="2"/>
  </w:num>
  <w:num w:numId="3" w16cid:durableId="1260912650">
    <w:abstractNumId w:val="5"/>
  </w:num>
  <w:num w:numId="4" w16cid:durableId="86162685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319337628">
    <w:abstractNumId w:val="2"/>
  </w:num>
  <w:num w:numId="6" w16cid:durableId="690033009">
    <w:abstractNumId w:val="13"/>
  </w:num>
  <w:num w:numId="7" w16cid:durableId="1511063585">
    <w:abstractNumId w:val="6"/>
  </w:num>
  <w:num w:numId="8" w16cid:durableId="520317647">
    <w:abstractNumId w:val="12"/>
  </w:num>
  <w:num w:numId="9" w16cid:durableId="38895560">
    <w:abstractNumId w:val="8"/>
  </w:num>
  <w:num w:numId="10" w16cid:durableId="822624527">
    <w:abstractNumId w:val="11"/>
  </w:num>
  <w:num w:numId="11" w16cid:durableId="447283556">
    <w:abstractNumId w:val="9"/>
  </w:num>
  <w:num w:numId="12" w16cid:durableId="1599022955">
    <w:abstractNumId w:val="1"/>
  </w:num>
  <w:num w:numId="13" w16cid:durableId="1009452907">
    <w:abstractNumId w:val="4"/>
  </w:num>
  <w:num w:numId="14" w16cid:durableId="633143301">
    <w:abstractNumId w:val="14"/>
  </w:num>
  <w:num w:numId="15" w16cid:durableId="777682930">
    <w:abstractNumId w:val="10"/>
  </w:num>
  <w:num w:numId="16" w16cid:durableId="656418540">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1983522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73447"/>
    <w:rsid w:val="00082362"/>
    <w:rsid w:val="000A683E"/>
    <w:rsid w:val="000B19B9"/>
    <w:rsid w:val="000D0334"/>
    <w:rsid w:val="000F6486"/>
    <w:rsid w:val="00125105"/>
    <w:rsid w:val="00127233"/>
    <w:rsid w:val="0014102E"/>
    <w:rsid w:val="001665A2"/>
    <w:rsid w:val="001B7BC9"/>
    <w:rsid w:val="001D04C3"/>
    <w:rsid w:val="001E4177"/>
    <w:rsid w:val="001F3B3D"/>
    <w:rsid w:val="001F7DC6"/>
    <w:rsid w:val="00201DDF"/>
    <w:rsid w:val="0020451D"/>
    <w:rsid w:val="0020567F"/>
    <w:rsid w:val="002421BB"/>
    <w:rsid w:val="0025796E"/>
    <w:rsid w:val="00265303"/>
    <w:rsid w:val="002707A2"/>
    <w:rsid w:val="002800E8"/>
    <w:rsid w:val="002951A0"/>
    <w:rsid w:val="002962BC"/>
    <w:rsid w:val="002A093D"/>
    <w:rsid w:val="002A0DD0"/>
    <w:rsid w:val="002A49AC"/>
    <w:rsid w:val="002A64FD"/>
    <w:rsid w:val="002C3E4C"/>
    <w:rsid w:val="002C7A84"/>
    <w:rsid w:val="002E4FD9"/>
    <w:rsid w:val="002F7177"/>
    <w:rsid w:val="00322A85"/>
    <w:rsid w:val="00324168"/>
    <w:rsid w:val="003448F4"/>
    <w:rsid w:val="0034756D"/>
    <w:rsid w:val="00374F5E"/>
    <w:rsid w:val="00377E3E"/>
    <w:rsid w:val="003927C8"/>
    <w:rsid w:val="003A779E"/>
    <w:rsid w:val="003D0F4D"/>
    <w:rsid w:val="003D5B0D"/>
    <w:rsid w:val="003D74D4"/>
    <w:rsid w:val="003E0499"/>
    <w:rsid w:val="003F3941"/>
    <w:rsid w:val="00406575"/>
    <w:rsid w:val="00414C74"/>
    <w:rsid w:val="0042722E"/>
    <w:rsid w:val="0044528D"/>
    <w:rsid w:val="00460A5F"/>
    <w:rsid w:val="00497E7A"/>
    <w:rsid w:val="004A1847"/>
    <w:rsid w:val="004A305D"/>
    <w:rsid w:val="004D3AD2"/>
    <w:rsid w:val="004F21C4"/>
    <w:rsid w:val="004F685F"/>
    <w:rsid w:val="00511283"/>
    <w:rsid w:val="005566E8"/>
    <w:rsid w:val="00563F2A"/>
    <w:rsid w:val="00574867"/>
    <w:rsid w:val="005850D6"/>
    <w:rsid w:val="00591460"/>
    <w:rsid w:val="005C3777"/>
    <w:rsid w:val="005C5CDC"/>
    <w:rsid w:val="005D476C"/>
    <w:rsid w:val="006219F8"/>
    <w:rsid w:val="006302F7"/>
    <w:rsid w:val="00651226"/>
    <w:rsid w:val="00652B9F"/>
    <w:rsid w:val="00665D70"/>
    <w:rsid w:val="006900D9"/>
    <w:rsid w:val="006A760C"/>
    <w:rsid w:val="006E5F10"/>
    <w:rsid w:val="00706C16"/>
    <w:rsid w:val="00717F43"/>
    <w:rsid w:val="00756841"/>
    <w:rsid w:val="007649AB"/>
    <w:rsid w:val="00764AC6"/>
    <w:rsid w:val="00771D0C"/>
    <w:rsid w:val="007833AC"/>
    <w:rsid w:val="007A77AF"/>
    <w:rsid w:val="007B268C"/>
    <w:rsid w:val="007B3334"/>
    <w:rsid w:val="007B7171"/>
    <w:rsid w:val="007C0C0F"/>
    <w:rsid w:val="007C3DC2"/>
    <w:rsid w:val="007E5497"/>
    <w:rsid w:val="00806F5F"/>
    <w:rsid w:val="008157C0"/>
    <w:rsid w:val="00820278"/>
    <w:rsid w:val="00867CDC"/>
    <w:rsid w:val="00867F95"/>
    <w:rsid w:val="008843B6"/>
    <w:rsid w:val="00891928"/>
    <w:rsid w:val="00897A3A"/>
    <w:rsid w:val="008A446D"/>
    <w:rsid w:val="008D180B"/>
    <w:rsid w:val="008F0EA7"/>
    <w:rsid w:val="00923EEF"/>
    <w:rsid w:val="009419F9"/>
    <w:rsid w:val="0095685E"/>
    <w:rsid w:val="00961B09"/>
    <w:rsid w:val="00965334"/>
    <w:rsid w:val="0097093E"/>
    <w:rsid w:val="009857CA"/>
    <w:rsid w:val="009A0DFA"/>
    <w:rsid w:val="009B0144"/>
    <w:rsid w:val="009B25A8"/>
    <w:rsid w:val="009B2D26"/>
    <w:rsid w:val="009C71FA"/>
    <w:rsid w:val="009C72E7"/>
    <w:rsid w:val="009D3058"/>
    <w:rsid w:val="009F3A13"/>
    <w:rsid w:val="00A122D3"/>
    <w:rsid w:val="00A17F13"/>
    <w:rsid w:val="00A20739"/>
    <w:rsid w:val="00A260FB"/>
    <w:rsid w:val="00A33C78"/>
    <w:rsid w:val="00AA7021"/>
    <w:rsid w:val="00AB0ADB"/>
    <w:rsid w:val="00B00C0E"/>
    <w:rsid w:val="00B01B1A"/>
    <w:rsid w:val="00B44A47"/>
    <w:rsid w:val="00B72CD3"/>
    <w:rsid w:val="00B72FFF"/>
    <w:rsid w:val="00BC3D36"/>
    <w:rsid w:val="00BD7F72"/>
    <w:rsid w:val="00BF2472"/>
    <w:rsid w:val="00C04FB3"/>
    <w:rsid w:val="00C330EB"/>
    <w:rsid w:val="00C754BE"/>
    <w:rsid w:val="00C7569C"/>
    <w:rsid w:val="00C76B1C"/>
    <w:rsid w:val="00CB6357"/>
    <w:rsid w:val="00CC1B26"/>
    <w:rsid w:val="00D423A2"/>
    <w:rsid w:val="00D520D8"/>
    <w:rsid w:val="00D63AC2"/>
    <w:rsid w:val="00D7383B"/>
    <w:rsid w:val="00D97D4E"/>
    <w:rsid w:val="00DA231B"/>
    <w:rsid w:val="00DC39FC"/>
    <w:rsid w:val="00DF5254"/>
    <w:rsid w:val="00E02E56"/>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31EDC"/>
    <w:rsid w:val="00F462B3"/>
    <w:rsid w:val="00F5664F"/>
    <w:rsid w:val="00F666C4"/>
    <w:rsid w:val="00F76AFC"/>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60FB"/>
    <w:pPr>
      <w:spacing w:line="25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A260FB"/>
    <w:rPr>
      <w:rFonts w:ascii="Geomanist Light" w:hAnsi="Geomanist Light"/>
      <w:lang w:val="es-ES"/>
    </w:rPr>
  </w:style>
  <w:style w:type="paragraph" w:customStyle="1" w:styleId="Appelnotedebasde">
    <w:name w:val="Appel note de bas de..."/>
    <w:basedOn w:val="Normal"/>
    <w:link w:val="Refdenotaalpie"/>
    <w:uiPriority w:val="99"/>
    <w:rsid w:val="00A260FB"/>
    <w:pPr>
      <w:spacing w:line="240" w:lineRule="exact"/>
    </w:pPr>
    <w:rPr>
      <w:vertAlign w:val="superscript"/>
    </w:rPr>
  </w:style>
  <w:style w:type="character" w:customStyle="1" w:styleId="NormalWebCar">
    <w:name w:val="Normal (Web) Car"/>
    <w:link w:val="NormalWeb"/>
    <w:uiPriority w:val="99"/>
    <w:rsid w:val="00A260FB"/>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sites/cce_public/files/cce_documents/cce_guia_para_el_ejercicio_de_las_funciones_de_supervision_e_interventoria_de_los_contratos_del_estado.pdf"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jlvelasquez1978@g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tmp"/><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catalina.cubides%40colombiacompra.gov.co%7C7cfff6dece924643582c08dd97bfed90%7C7b09041e245149d08cb179d5e3d8c1be%7C0%7C0%7C638833572789617407%7CUnknown%7CTWFpbGZsb3d8eyJFbXB0eU1hcGkiOnRydWUsIlYiOiIwLjAuMDAwMCIsIlAiOiJXaW4zMiIsIkFOIjoiTWFpbCIsIldUIjoyfQ%3D%3D%7C0%7C%7C%7C&amp;sdata=9uKHGs1CT3BZvajf54ettWU83zMQL5yVTuUSLWeSBxw%3D&amp;reserved=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www.w3.org/XML/1998/namespace"/>
    <ds:schemaRef ds:uri="http://schemas.microsoft.com/office/2006/documentManagement/types"/>
    <ds:schemaRef ds:uri="http://purl.org/dc/dcmitype/"/>
    <ds:schemaRef ds:uri="http://schemas.microsoft.com/office/infopath/2007/PartnerControls"/>
    <ds:schemaRef ds:uri="http://purl.org/dc/terms/"/>
    <ds:schemaRef ds:uri="http://schemas.openxmlformats.org/package/2006/metadata/core-properties"/>
    <ds:schemaRef ds:uri="http://purl.org/dc/elements/1.1/"/>
    <ds:schemaRef ds:uri="a6cb9e4b-f1d1-4245-83ec-6cad768d538a"/>
    <ds:schemaRef ds:uri="9d85dbaf-23eb-4e57-a637-93dcacc8b1a1"/>
    <ds:schemaRef ds:uri="http://schemas.microsoft.com/office/2006/metadata/properties"/>
  </ds:schemaRefs>
</ds:datastoreItem>
</file>

<file path=customXml/itemProps3.xml><?xml version="1.0" encoding="utf-8"?>
<ds:datastoreItem xmlns:ds="http://schemas.openxmlformats.org/officeDocument/2006/customXml" ds:itemID="{AAF00F4A-E7EF-4752-A158-B86DAC2686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4BCD35-97DA-4747-ADD8-8BD472E02020}">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11</Pages>
  <Words>3622</Words>
  <Characters>19921</Characters>
  <Application>Microsoft Office Word</Application>
  <DocSecurity>0</DocSecurity>
  <Lines>166</Lines>
  <Paragraphs>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2025-10-15T14:59:00Z</dcterms:created>
  <dcterms:modified xsi:type="dcterms:W3CDTF">2025-10-15T14:59:00Z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