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5948D" w14:textId="77777777" w:rsidR="000428F8" w:rsidRPr="000428F8" w:rsidRDefault="000428F8" w:rsidP="000428F8">
      <w:pPr>
        <w:spacing w:after="0" w:line="240" w:lineRule="auto"/>
        <w:jc w:val="both"/>
        <w:rPr>
          <w:rFonts w:ascii="Verdana" w:hAnsi="Verdana"/>
          <w:b/>
          <w:lang w:val="es-ES"/>
        </w:rPr>
      </w:pPr>
      <w:bookmarkStart w:id="0" w:name="_Hlk143780582"/>
      <w:r w:rsidRPr="000428F8">
        <w:rPr>
          <w:rFonts w:ascii="Verdana" w:hAnsi="Verdana"/>
          <w:b/>
          <w:lang w:val="es-ES"/>
        </w:rPr>
        <w:t xml:space="preserve">CONTRATO ESTATAL – Régimen jurídico </w:t>
      </w:r>
    </w:p>
    <w:p w14:paraId="2140BEFD" w14:textId="77777777" w:rsidR="000428F8" w:rsidRPr="000428F8" w:rsidRDefault="000428F8" w:rsidP="000428F8">
      <w:pPr>
        <w:spacing w:after="0" w:line="240" w:lineRule="auto"/>
        <w:jc w:val="both"/>
        <w:rPr>
          <w:rFonts w:ascii="Verdana" w:hAnsi="Verdana"/>
          <w:b/>
          <w:lang w:val="es-ES"/>
        </w:rPr>
      </w:pPr>
    </w:p>
    <w:p w14:paraId="4BEBBA9D" w14:textId="77777777" w:rsidR="000428F8" w:rsidRPr="00191AB2" w:rsidRDefault="000428F8" w:rsidP="000428F8">
      <w:pPr>
        <w:spacing w:after="0" w:line="240" w:lineRule="auto"/>
        <w:jc w:val="both"/>
        <w:rPr>
          <w:rFonts w:ascii="Verdana" w:hAnsi="Verdana"/>
          <w:sz w:val="20"/>
        </w:rPr>
      </w:pPr>
      <w:r w:rsidRPr="00191AB2">
        <w:rPr>
          <w:rFonts w:ascii="Verdana" w:hAnsi="Verdana"/>
          <w:sz w:val="20"/>
          <w:lang w:val="es-ES"/>
        </w:rPr>
        <w:t xml:space="preserve">Respecto al régimen jurídico de las </w:t>
      </w:r>
      <w:r w:rsidRPr="00191AB2">
        <w:rPr>
          <w:rFonts w:ascii="Verdana" w:hAnsi="Verdana"/>
          <w:i/>
          <w:iCs/>
          <w:sz w:val="20"/>
          <w:lang w:val="es-ES"/>
        </w:rPr>
        <w:t>entidades sometidas</w:t>
      </w:r>
      <w:r w:rsidRPr="00191AB2">
        <w:rPr>
          <w:rFonts w:ascii="Verdana" w:hAnsi="Verdana"/>
          <w:sz w:val="20"/>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191AB2">
        <w:rPr>
          <w:rFonts w:ascii="Verdana" w:hAnsi="Verdana"/>
          <w:sz w:val="20"/>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2D62F68C" w14:textId="77777777" w:rsidR="000428F8" w:rsidRPr="000428F8" w:rsidRDefault="000428F8" w:rsidP="000428F8">
      <w:pPr>
        <w:spacing w:after="0" w:line="240" w:lineRule="auto"/>
        <w:jc w:val="both"/>
        <w:rPr>
          <w:rFonts w:ascii="Verdana" w:hAnsi="Verdana"/>
          <w:b/>
          <w:lang w:val="es-ES"/>
        </w:rPr>
      </w:pPr>
    </w:p>
    <w:p w14:paraId="489926B6" w14:textId="77777777" w:rsidR="000428F8" w:rsidRPr="000428F8" w:rsidRDefault="000428F8" w:rsidP="000428F8">
      <w:pPr>
        <w:spacing w:after="0" w:line="240" w:lineRule="auto"/>
        <w:jc w:val="both"/>
        <w:rPr>
          <w:rFonts w:ascii="Verdana" w:hAnsi="Verdana"/>
          <w:b/>
          <w:lang w:val="es-ES"/>
        </w:rPr>
      </w:pPr>
      <w:r w:rsidRPr="000428F8">
        <w:rPr>
          <w:rFonts w:ascii="Verdana" w:hAnsi="Verdana"/>
          <w:b/>
          <w:lang w:val="es-ES"/>
        </w:rPr>
        <w:t xml:space="preserve">RÉGIMEN EXCEPCIONAL – Justificación – Criterios de clasificación </w:t>
      </w:r>
    </w:p>
    <w:p w14:paraId="366EE364" w14:textId="77777777" w:rsidR="000428F8" w:rsidRPr="000428F8" w:rsidRDefault="000428F8" w:rsidP="000428F8">
      <w:pPr>
        <w:spacing w:after="0" w:line="240" w:lineRule="auto"/>
        <w:jc w:val="both"/>
        <w:rPr>
          <w:rFonts w:ascii="Verdana" w:hAnsi="Verdana"/>
          <w:b/>
          <w:lang w:val="es-ES"/>
        </w:rPr>
      </w:pPr>
    </w:p>
    <w:p w14:paraId="571653E9" w14:textId="77777777" w:rsidR="000428F8" w:rsidRPr="00191AB2" w:rsidRDefault="000428F8" w:rsidP="000428F8">
      <w:pPr>
        <w:spacing w:after="0" w:line="240" w:lineRule="auto"/>
        <w:jc w:val="both"/>
        <w:rPr>
          <w:rFonts w:ascii="Verdana" w:hAnsi="Verdana"/>
          <w:sz w:val="20"/>
          <w:lang w:val="es-ES_tradnl"/>
        </w:rPr>
      </w:pPr>
      <w:r w:rsidRPr="00191AB2">
        <w:rPr>
          <w:rFonts w:ascii="Verdana" w:hAnsi="Verdana"/>
          <w:sz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191AB2">
        <w:rPr>
          <w:rFonts w:ascii="Verdana" w:hAnsi="Verdana"/>
          <w:sz w:val="20"/>
        </w:rPr>
        <w:t>ii</w:t>
      </w:r>
      <w:proofErr w:type="spellEnd"/>
      <w:r w:rsidRPr="00191AB2">
        <w:rPr>
          <w:rFonts w:ascii="Verdana" w:hAnsi="Verdana"/>
          <w:sz w:val="20"/>
        </w:rPr>
        <w:t xml:space="preserve">) flexibilizar el ejercicio de la función administrativa –como en los contratos del Banco de la República o los de ciencia y tecnología– o </w:t>
      </w:r>
      <w:proofErr w:type="spellStart"/>
      <w:r w:rsidRPr="00191AB2">
        <w:rPr>
          <w:rFonts w:ascii="Verdana" w:hAnsi="Verdana"/>
          <w:sz w:val="20"/>
        </w:rPr>
        <w:t>iii</w:t>
      </w:r>
      <w:proofErr w:type="spellEnd"/>
      <w:r w:rsidRPr="00191AB2">
        <w:rPr>
          <w:rFonts w:ascii="Verdana" w:hAnsi="Verdana"/>
          <w:sz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191AB2">
        <w:rPr>
          <w:rFonts w:ascii="Verdana" w:hAnsi="Verdana"/>
          <w:sz w:val="20"/>
        </w:rPr>
        <w:t>ii</w:t>
      </w:r>
      <w:proofErr w:type="spellEnd"/>
      <w:r w:rsidRPr="00191AB2">
        <w:rPr>
          <w:rFonts w:ascii="Verdana" w:hAnsi="Verdana"/>
          <w:sz w:val="20"/>
        </w:rPr>
        <w:t xml:space="preserve">) la asignación de un esquema legal especial, </w:t>
      </w:r>
      <w:proofErr w:type="spellStart"/>
      <w:r w:rsidRPr="00191AB2">
        <w:rPr>
          <w:rFonts w:ascii="Verdana" w:hAnsi="Verdana"/>
          <w:sz w:val="20"/>
        </w:rPr>
        <w:t>iii</w:t>
      </w:r>
      <w:proofErr w:type="spellEnd"/>
      <w:r w:rsidRPr="00191AB2">
        <w:rPr>
          <w:rFonts w:ascii="Verdana" w:hAnsi="Verdana"/>
          <w:sz w:val="20"/>
        </w:rPr>
        <w:t xml:space="preserve">) el objeto del contrato celebrado y </w:t>
      </w:r>
      <w:proofErr w:type="spellStart"/>
      <w:r w:rsidRPr="00191AB2">
        <w:rPr>
          <w:rFonts w:ascii="Verdana" w:hAnsi="Verdana"/>
          <w:sz w:val="20"/>
        </w:rPr>
        <w:t>iv</w:t>
      </w:r>
      <w:proofErr w:type="spellEnd"/>
      <w:r w:rsidRPr="00191AB2">
        <w:rPr>
          <w:rFonts w:ascii="Verdana" w:hAnsi="Verdana"/>
          <w:sz w:val="20"/>
        </w:rPr>
        <w:t>) la existencia de fondos que administran recursos públicos</w:t>
      </w:r>
      <w:r w:rsidRPr="00191AB2">
        <w:rPr>
          <w:rFonts w:ascii="Verdana" w:hAnsi="Verdana"/>
          <w:sz w:val="20"/>
          <w:lang w:val="es-ES_tradnl"/>
        </w:rPr>
        <w:t>.</w:t>
      </w:r>
    </w:p>
    <w:p w14:paraId="2A3CBC6B" w14:textId="754A429D" w:rsidR="000428F8" w:rsidRDefault="000428F8" w:rsidP="000428F8">
      <w:pPr>
        <w:spacing w:after="0" w:line="240" w:lineRule="auto"/>
        <w:jc w:val="both"/>
        <w:rPr>
          <w:rFonts w:ascii="Verdana" w:hAnsi="Verdana"/>
        </w:rPr>
      </w:pPr>
    </w:p>
    <w:p w14:paraId="0128E398" w14:textId="77777777" w:rsidR="00191AB2" w:rsidRPr="00191AB2" w:rsidRDefault="00191AB2" w:rsidP="00191AB2">
      <w:pPr>
        <w:spacing w:after="0" w:line="240" w:lineRule="auto"/>
        <w:jc w:val="both"/>
        <w:rPr>
          <w:rFonts w:ascii="Verdana" w:hAnsi="Verdana"/>
          <w:b/>
          <w:lang w:val="es-ES_tradnl"/>
        </w:rPr>
      </w:pPr>
      <w:r w:rsidRPr="00191AB2">
        <w:rPr>
          <w:rFonts w:ascii="Verdana" w:hAnsi="Verdana"/>
          <w:b/>
          <w:lang w:val="es-ES_tradnl"/>
        </w:rPr>
        <w:t xml:space="preserve">EMPRESAS SOCIALES DEL ESTADO– Naturaleza – régimen especial </w:t>
      </w:r>
    </w:p>
    <w:p w14:paraId="18AFEC74" w14:textId="77777777" w:rsidR="00191AB2" w:rsidRPr="00191AB2" w:rsidRDefault="00191AB2" w:rsidP="00191AB2">
      <w:pPr>
        <w:spacing w:after="0" w:line="240" w:lineRule="auto"/>
        <w:jc w:val="both"/>
        <w:rPr>
          <w:rFonts w:ascii="Verdana" w:hAnsi="Verdana"/>
          <w:sz w:val="20"/>
          <w:lang w:val="es-ES_tradnl"/>
        </w:rPr>
      </w:pPr>
    </w:p>
    <w:p w14:paraId="300ED464" w14:textId="77777777" w:rsidR="00191AB2" w:rsidRPr="00191AB2" w:rsidRDefault="00191AB2" w:rsidP="00191AB2">
      <w:pPr>
        <w:spacing w:after="0" w:line="240" w:lineRule="auto"/>
        <w:jc w:val="both"/>
        <w:rPr>
          <w:rFonts w:ascii="Verdana" w:hAnsi="Verdana"/>
          <w:sz w:val="20"/>
          <w:lang w:val="es-ES"/>
        </w:rPr>
      </w:pPr>
      <w:r w:rsidRPr="00191AB2">
        <w:rPr>
          <w:rFonts w:ascii="Verdana" w:hAnsi="Verdana"/>
          <w:sz w:val="20"/>
          <w:lang w:val="es-ES"/>
        </w:rPr>
        <w:t xml:space="preserve">De la cita precedente puede concluirse entonces que, las Empresas Sociales del Estado </w:t>
      </w:r>
      <w:r w:rsidRPr="00191AB2">
        <w:rPr>
          <w:rFonts w:ascii="Verdana" w:hAnsi="Verdana"/>
          <w:sz w:val="20"/>
          <w:lang w:val="es-MX"/>
        </w:rPr>
        <w:t>–ESE–</w:t>
      </w:r>
      <w:r w:rsidRPr="00191AB2">
        <w:rPr>
          <w:rFonts w:ascii="Verdana" w:hAnsi="Verdana"/>
          <w:sz w:val="20"/>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43F6D2C9" w14:textId="77777777" w:rsidR="00191AB2" w:rsidRPr="00191AB2" w:rsidRDefault="00191AB2" w:rsidP="00191AB2">
      <w:pPr>
        <w:spacing w:after="0" w:line="240" w:lineRule="auto"/>
        <w:jc w:val="both"/>
        <w:rPr>
          <w:rFonts w:ascii="Verdana" w:hAnsi="Verdana"/>
          <w:sz w:val="20"/>
          <w:lang w:val="es-ES"/>
        </w:rPr>
      </w:pPr>
    </w:p>
    <w:p w14:paraId="6F015207" w14:textId="5E0BABBB" w:rsidR="00191AB2" w:rsidRDefault="00191AB2" w:rsidP="00191AB2">
      <w:pPr>
        <w:spacing w:after="0" w:line="240" w:lineRule="auto"/>
        <w:jc w:val="both"/>
        <w:rPr>
          <w:rFonts w:ascii="Verdana" w:hAnsi="Verdana"/>
          <w:sz w:val="20"/>
        </w:rPr>
      </w:pPr>
      <w:r w:rsidRPr="00191AB2">
        <w:rPr>
          <w:rFonts w:ascii="Verdana" w:hAnsi="Verdana"/>
          <w:sz w:val="20"/>
        </w:rPr>
        <w:t xml:space="preserve">Por su parte, en lo que a materia contractual se refiere, de conformidad con el numeral 6 del artículo 195 de la Ley 100 de 1993, el régimen de contratación de las </w:t>
      </w:r>
      <w:r w:rsidRPr="00191AB2">
        <w:rPr>
          <w:rFonts w:ascii="Verdana" w:hAnsi="Verdana"/>
          <w:sz w:val="20"/>
          <w:lang w:val="es-MX"/>
        </w:rPr>
        <w:t>–ESE–</w:t>
      </w:r>
      <w:r w:rsidRPr="00191AB2">
        <w:rPr>
          <w:rFonts w:ascii="Verdana" w:hAnsi="Verdana"/>
          <w:sz w:val="20"/>
        </w:rPr>
        <w:t xml:space="preserve"> es el de derecho privado, es decir, se rige por las disposiciones contenidas en el Código de Comercio y en el Código Civil, aplicables en lo que resulten pertinentes, salvo en las materias particularmente reguladas por el derecho público. La norma referida prescribe que: “En materia contractual se regirá por el derecho privado, </w:t>
      </w:r>
      <w:r w:rsidRPr="00191AB2">
        <w:rPr>
          <w:rFonts w:ascii="Verdana" w:hAnsi="Verdana"/>
          <w:i/>
          <w:sz w:val="20"/>
        </w:rPr>
        <w:t>pero podrá discrecionalmente utilizar las cláusulas exorbitantes previstas en el estatuto general de contratación de la administración pública”</w:t>
      </w:r>
      <w:r w:rsidRPr="00191AB2">
        <w:rPr>
          <w:rFonts w:ascii="Verdana" w:hAnsi="Verdana"/>
          <w:sz w:val="20"/>
        </w:rPr>
        <w:t xml:space="preserve"> (énfasis fuera de texto). </w:t>
      </w:r>
    </w:p>
    <w:p w14:paraId="00C81734" w14:textId="77777777" w:rsidR="00191AB2" w:rsidRPr="00191AB2" w:rsidRDefault="00191AB2" w:rsidP="00191AB2">
      <w:pPr>
        <w:spacing w:after="0" w:line="240" w:lineRule="auto"/>
        <w:jc w:val="both"/>
        <w:rPr>
          <w:rFonts w:ascii="Verdana" w:hAnsi="Verdana"/>
          <w:sz w:val="20"/>
        </w:rPr>
      </w:pPr>
    </w:p>
    <w:p w14:paraId="2451C8CF" w14:textId="77777777" w:rsidR="006D58A7" w:rsidRPr="006D58A7" w:rsidRDefault="006D58A7" w:rsidP="006D58A7">
      <w:pPr>
        <w:spacing w:after="0" w:line="240" w:lineRule="auto"/>
        <w:jc w:val="both"/>
        <w:rPr>
          <w:rFonts w:ascii="Verdana" w:hAnsi="Verdana"/>
          <w:b/>
          <w:lang w:val="es-ES"/>
        </w:rPr>
      </w:pPr>
      <w:r w:rsidRPr="006D58A7">
        <w:rPr>
          <w:rFonts w:ascii="Verdana" w:hAnsi="Verdana"/>
          <w:b/>
          <w:lang w:val="es-ES"/>
        </w:rPr>
        <w:t xml:space="preserve">EMPRESAS SOCIALES DEL ESTADO – Régimen especial – EGCAP – Cláusulas excepcionales </w:t>
      </w:r>
    </w:p>
    <w:p w14:paraId="422BADD0" w14:textId="3A72B6E0" w:rsidR="006D58A7" w:rsidRDefault="006D58A7" w:rsidP="006D58A7">
      <w:pPr>
        <w:spacing w:after="0" w:line="240" w:lineRule="auto"/>
        <w:jc w:val="both"/>
        <w:rPr>
          <w:rFonts w:ascii="Verdana" w:hAnsi="Verdana"/>
          <w:b/>
          <w:lang w:val="es-ES"/>
        </w:rPr>
      </w:pPr>
    </w:p>
    <w:p w14:paraId="5DDE6FD0" w14:textId="5C517245" w:rsidR="006D58A7" w:rsidRPr="006D58A7" w:rsidRDefault="006D58A7" w:rsidP="006D58A7">
      <w:pPr>
        <w:spacing w:after="0" w:line="240" w:lineRule="auto"/>
        <w:jc w:val="both"/>
        <w:rPr>
          <w:rFonts w:ascii="Verdana" w:hAnsi="Verdana"/>
          <w:sz w:val="20"/>
        </w:rPr>
      </w:pPr>
      <w:r w:rsidRPr="006D58A7">
        <w:rPr>
          <w:rFonts w:ascii="Verdana" w:hAnsi="Verdana"/>
          <w:sz w:val="20"/>
          <w:lang w:val="es-ES_tradnl"/>
        </w:rPr>
        <w:lastRenderedPageBreak/>
        <w:t xml:space="preserve">Ahora bien, hay entidades de régimen especial que tienen la competencia para hacer uso de cláusulas excepcionales, son las empresas prestadoras de servicios públicos domiciliarios y las empresas sociales del Estado, entre otras. En torno a las empresas sociales del Estado </w:t>
      </w:r>
      <w:r w:rsidRPr="006D58A7">
        <w:rPr>
          <w:rFonts w:ascii="Verdana" w:hAnsi="Verdana"/>
          <w:sz w:val="20"/>
        </w:rPr>
        <w:t>la regla aplicable es el derecho privado, salvo lo relacionado con cláusulas exorbitantes, materia en relación con la cual están habilitadas para aplicar las disposiciones del EGCAP, como lo prevé el citado artículo 195, numeral 6 de la Ley 100 de 1993.</w:t>
      </w:r>
    </w:p>
    <w:p w14:paraId="3B99AE76" w14:textId="77777777" w:rsidR="006D58A7" w:rsidRPr="006D58A7" w:rsidRDefault="006D58A7" w:rsidP="006D58A7">
      <w:pPr>
        <w:spacing w:after="0" w:line="240" w:lineRule="auto"/>
        <w:jc w:val="both"/>
        <w:rPr>
          <w:rFonts w:ascii="Verdana" w:hAnsi="Verdana"/>
          <w:b/>
          <w:lang w:val="es-ES"/>
        </w:rPr>
      </w:pPr>
    </w:p>
    <w:p w14:paraId="68062119" w14:textId="77777777" w:rsidR="006D58A7" w:rsidRPr="006D58A7" w:rsidRDefault="006D58A7" w:rsidP="006D58A7">
      <w:pPr>
        <w:spacing w:after="0" w:line="240" w:lineRule="auto"/>
        <w:jc w:val="both"/>
        <w:rPr>
          <w:rFonts w:ascii="Verdana" w:hAnsi="Verdana"/>
          <w:b/>
          <w:lang w:val="es-ES_tradnl"/>
        </w:rPr>
      </w:pPr>
      <w:r w:rsidRPr="006D58A7">
        <w:rPr>
          <w:rFonts w:ascii="Verdana" w:hAnsi="Verdana"/>
          <w:b/>
          <w:lang w:val="es-ES_tradnl"/>
        </w:rPr>
        <w:t xml:space="preserve">CLÁUSULAS EXCEPCIONALES – Remisión Especial – Empresas Sociales del Estado </w:t>
      </w:r>
    </w:p>
    <w:p w14:paraId="2E1869FB" w14:textId="17C3981A" w:rsidR="006D58A7" w:rsidRDefault="006D58A7" w:rsidP="006D58A7">
      <w:pPr>
        <w:spacing w:after="0" w:line="240" w:lineRule="auto"/>
        <w:jc w:val="both"/>
        <w:rPr>
          <w:rFonts w:ascii="Verdana" w:hAnsi="Verdana"/>
          <w:b/>
          <w:lang w:val="es-ES_tradnl"/>
        </w:rPr>
      </w:pPr>
    </w:p>
    <w:p w14:paraId="39ACF5F1" w14:textId="7F225DA1" w:rsidR="006D58A7" w:rsidRPr="006D58A7" w:rsidRDefault="006D58A7" w:rsidP="006D58A7">
      <w:pPr>
        <w:spacing w:after="0" w:line="240" w:lineRule="auto"/>
        <w:jc w:val="both"/>
        <w:rPr>
          <w:rFonts w:ascii="Verdana" w:hAnsi="Verdana"/>
          <w:sz w:val="20"/>
          <w:szCs w:val="20"/>
        </w:rPr>
      </w:pPr>
      <w:r w:rsidRPr="006D58A7">
        <w:rPr>
          <w:rFonts w:ascii="Verdana" w:hAnsi="Verdana"/>
          <w:sz w:val="20"/>
          <w:szCs w:val="20"/>
        </w:rPr>
        <w:t>En esta medida,</w:t>
      </w:r>
      <w:r w:rsidRPr="006D58A7">
        <w:rPr>
          <w:rFonts w:ascii="Verdana" w:hAnsi="Verdana"/>
          <w:bCs/>
          <w:sz w:val="20"/>
          <w:szCs w:val="20"/>
          <w:lang w:val="es-ES"/>
        </w:rPr>
        <w:t xml:space="preserve"> </w:t>
      </w:r>
      <w:r w:rsidRPr="006D58A7">
        <w:rPr>
          <w:rFonts w:ascii="Verdana" w:hAnsi="Verdana"/>
          <w:bCs/>
          <w:sz w:val="20"/>
          <w:szCs w:val="20"/>
        </w:rPr>
        <w:t xml:space="preserve">las ESE deben aplicar las disposiciones del EGCAP, por especial regulación de la Ley 100, que autoriza a estas empresas a incorporar las cláusulas excepcionales, siempre que decidan aplicarlas. Para entender este ejercicio, se acude a </w:t>
      </w:r>
      <w:r w:rsidRPr="006D58A7">
        <w:rPr>
          <w:rFonts w:ascii="Verdana" w:hAnsi="Verdana"/>
          <w:sz w:val="20"/>
          <w:szCs w:val="20"/>
          <w:lang w:val="es-ES"/>
        </w:rPr>
        <w:t xml:space="preserve">la Resolución No. 5185 de 2013, modificada por la Resolución 1440 del 14 de agosto de 2024, mediante la cual se fijan los lineamientos para que tales entidades adopten los manuales de contratación que regirán su actividad contractual. Este acto administrativo, dictado en ejercicio de las facultades conferidas por el artículo 76 de la Ley 1438 de 2011, contiene varios criterios que deberán tenerse cuenta en el momento de adoptar los manuales de contratación. En tal sentido, puede destacarse que, en la fase de planeación, las ESE deben contemplar: “[…] </w:t>
      </w:r>
      <w:r w:rsidRPr="006D58A7">
        <w:rPr>
          <w:rFonts w:ascii="Verdana" w:hAnsi="Verdana"/>
          <w:sz w:val="20"/>
          <w:szCs w:val="20"/>
        </w:rPr>
        <w:t xml:space="preserve">La aplicación o no de las cláusulas excepcionales previstas en el Estatuto General de la Administración Pública” –artículo 9.17 de </w:t>
      </w:r>
      <w:r w:rsidRPr="006D58A7">
        <w:rPr>
          <w:rFonts w:ascii="Verdana" w:hAnsi="Verdana"/>
          <w:sz w:val="20"/>
          <w:szCs w:val="20"/>
          <w:lang w:val="es-ES"/>
        </w:rPr>
        <w:t>la Resolución No. 5185 de 2013, modificada por la Resolución 1440 del 14 de agosto de 2024</w:t>
      </w:r>
      <w:r w:rsidRPr="006D58A7">
        <w:rPr>
          <w:rFonts w:ascii="Verdana" w:hAnsi="Verdana"/>
          <w:sz w:val="20"/>
          <w:szCs w:val="20"/>
        </w:rPr>
        <w:t xml:space="preserve">–; así como en la fase de ejecución se establece: “[…] La obligación de hacer efectivas las cláusulas excepcionales, en caso de haberlas pactado en los contratos, cuando haya lugar a ello, dentro del plazo del contrato” –artículo 12.4. de la Resolución No 5185 de 2013-. Ante este escenario, las ESE deben tener en cuenta en la estipulación de cláusulas excepcionales, así como en la aplicación de los contratos que suscribe.  </w:t>
      </w:r>
    </w:p>
    <w:p w14:paraId="45AECC5A" w14:textId="77777777" w:rsidR="006D58A7" w:rsidRPr="006D58A7" w:rsidRDefault="006D58A7" w:rsidP="006D58A7">
      <w:pPr>
        <w:spacing w:after="0" w:line="240" w:lineRule="auto"/>
        <w:jc w:val="both"/>
        <w:rPr>
          <w:rFonts w:ascii="Verdana" w:hAnsi="Verdana"/>
          <w:b/>
        </w:rPr>
      </w:pPr>
    </w:p>
    <w:p w14:paraId="7D5163AD" w14:textId="77777777" w:rsidR="006D58A7" w:rsidRPr="006D58A7" w:rsidRDefault="006D58A7" w:rsidP="006D58A7">
      <w:pPr>
        <w:spacing w:after="0" w:line="240" w:lineRule="auto"/>
        <w:jc w:val="both"/>
        <w:rPr>
          <w:rFonts w:ascii="Verdana" w:hAnsi="Verdana"/>
          <w:b/>
          <w:lang w:val="es-ES_tradnl"/>
        </w:rPr>
      </w:pPr>
      <w:r w:rsidRPr="006D58A7">
        <w:rPr>
          <w:rFonts w:ascii="Verdana" w:hAnsi="Verdana"/>
          <w:b/>
          <w:lang w:val="es-ES_tradnl"/>
        </w:rPr>
        <w:t xml:space="preserve">INCUMPLIMIENTO CONTRACTUAL – Noción </w:t>
      </w:r>
    </w:p>
    <w:p w14:paraId="6F365251" w14:textId="083AFAAC" w:rsidR="006D58A7" w:rsidRDefault="006D58A7" w:rsidP="006D58A7">
      <w:pPr>
        <w:spacing w:after="0" w:line="240" w:lineRule="auto"/>
        <w:jc w:val="both"/>
        <w:rPr>
          <w:rFonts w:ascii="Verdana" w:hAnsi="Verdana"/>
          <w:b/>
          <w:lang w:val="es-ES_tradnl"/>
        </w:rPr>
      </w:pPr>
    </w:p>
    <w:p w14:paraId="44420AE9" w14:textId="0A189D06" w:rsidR="006D58A7" w:rsidRPr="006D58A7" w:rsidRDefault="006D58A7" w:rsidP="006D58A7">
      <w:pPr>
        <w:spacing w:after="0" w:line="240" w:lineRule="auto"/>
        <w:jc w:val="both"/>
        <w:rPr>
          <w:rFonts w:ascii="Verdana" w:hAnsi="Verdana"/>
          <w:bCs/>
          <w:sz w:val="20"/>
        </w:rPr>
      </w:pPr>
      <w:r w:rsidRPr="006D58A7">
        <w:rPr>
          <w:rFonts w:ascii="Verdana" w:hAnsi="Verdana"/>
          <w:bCs/>
          <w:sz w:val="20"/>
        </w:rPr>
        <w:t>Teniendo en cuentas estas precisiones, se hace necesario entender el incumplimiento del contrato. Para ello, se acude al Diccionario al Español Jurídico que la define así: “1. </w:t>
      </w:r>
      <w:r w:rsidRPr="006D58A7">
        <w:rPr>
          <w:rFonts w:ascii="Verdana" w:hAnsi="Verdana"/>
          <w:bCs/>
          <w:i/>
          <w:iCs/>
          <w:sz w:val="20"/>
        </w:rPr>
        <w:t>Gral.</w:t>
      </w:r>
      <w:r w:rsidRPr="006D58A7">
        <w:rPr>
          <w:rFonts w:ascii="Verdana" w:hAnsi="Verdana"/>
          <w:bCs/>
          <w:sz w:val="20"/>
        </w:rPr>
        <w:t> Vulneración de lo estipulado en un contrato por una o ambas partes. En derecho civil, el incumplimiento por una de las partes da lugar a la facultad de resolver el contrato por la otra sin perjuicio de las indemnizaciones a que pueda dar lugar”. El supuesto más evidente del incumplimiento contractual es la ausencia de la prestación. Al respecto, la doctrina expresa: “[…] cuando un contratista se obliga a prestar un servicio, dar un bien o construir una obra y, al momento de la exigibilidad de estas, no existe ejecución material de aquello que satisface las necesidades de la entidad. En este punto es necesario verificar que el incumplimiento no sea producto de una fuerza mayor o un caso fortuito, pues las obligaciones se extinguen por la imposibilidad de la prestación debida bajo este supuesto”. En este escenario, se está ante un incumplimiento absoluto, que es el resultado de la actuación culposa del deudor, sin una causa justificada, no está cumpliendo con los compromisos. De igual manera, la doctrina señala otro tipo de incumplimientos:</w:t>
      </w:r>
    </w:p>
    <w:p w14:paraId="724D3FE1" w14:textId="77777777" w:rsidR="006D58A7" w:rsidRPr="006D58A7" w:rsidRDefault="006D58A7" w:rsidP="006D58A7">
      <w:pPr>
        <w:spacing w:after="0" w:line="240" w:lineRule="auto"/>
        <w:jc w:val="both"/>
        <w:rPr>
          <w:rFonts w:ascii="Verdana" w:hAnsi="Verdana"/>
          <w:bCs/>
          <w:sz w:val="20"/>
        </w:rPr>
      </w:pPr>
    </w:p>
    <w:p w14:paraId="18989CE4" w14:textId="204FA543" w:rsidR="006D58A7" w:rsidRPr="006D58A7" w:rsidRDefault="006D58A7" w:rsidP="006D58A7">
      <w:pPr>
        <w:spacing w:after="0" w:line="240" w:lineRule="auto"/>
        <w:jc w:val="both"/>
        <w:rPr>
          <w:rFonts w:ascii="Verdana" w:hAnsi="Verdana"/>
          <w:bCs/>
          <w:sz w:val="20"/>
        </w:rPr>
      </w:pPr>
      <w:r w:rsidRPr="006D58A7">
        <w:rPr>
          <w:rFonts w:ascii="Verdana" w:hAnsi="Verdana"/>
          <w:bCs/>
          <w:sz w:val="20"/>
        </w:rPr>
        <w:t>A partir de lo expuesto, el incumplimiento contractual en un sentido práctico es la no sujeción total o parcial de las obligaciones pactadas en el contrato. En efecto, puede evidenciarse un incumplimiento total, así como incumplimientos imparciales, derivado de ejecuciones imperfectas, ya sea cuantitativas o cualitativas, o el incumplimiento tardío, esto es, la tardanza en ejecutar sus prestaciones. Bajo este panorama, cada entidad debe revisar si las obligaciones estipuladas en el contrato se están incumpliendo, ya sea de forma total o parcial, a fin de que tome las medidas pertinentes, que consistan en el ejercicio de potestades exorbitantes si fueron incluidas por parte de las Empresas Sociales del Estado. Sin perjuicio, de otras medidas que busquen que se cumpla a cabalidad las obligaciones contractuales.</w:t>
      </w:r>
    </w:p>
    <w:p w14:paraId="59AF5EEA" w14:textId="77777777" w:rsidR="006D58A7" w:rsidRPr="006D58A7" w:rsidRDefault="006D58A7" w:rsidP="006D58A7">
      <w:pPr>
        <w:spacing w:after="0" w:line="240" w:lineRule="auto"/>
        <w:jc w:val="both"/>
        <w:rPr>
          <w:rFonts w:ascii="Verdana" w:hAnsi="Verdana"/>
          <w:b/>
        </w:rPr>
      </w:pPr>
    </w:p>
    <w:p w14:paraId="21C4841C" w14:textId="77777777" w:rsidR="006D58A7" w:rsidRPr="006D58A7" w:rsidRDefault="006D58A7" w:rsidP="006D58A7">
      <w:pPr>
        <w:spacing w:after="0" w:line="240" w:lineRule="auto"/>
        <w:jc w:val="both"/>
        <w:rPr>
          <w:rFonts w:ascii="Verdana" w:hAnsi="Verdana"/>
          <w:b/>
          <w:lang w:val="es-ES_tradnl"/>
        </w:rPr>
      </w:pPr>
      <w:r w:rsidRPr="006D58A7">
        <w:rPr>
          <w:rFonts w:ascii="Verdana" w:hAnsi="Verdana"/>
          <w:b/>
          <w:lang w:val="es-ES_tradnl"/>
        </w:rPr>
        <w:t xml:space="preserve">CLÁUSULAS EXCEPCIONALES – Incumplimiento </w:t>
      </w:r>
      <w:proofErr w:type="gramStart"/>
      <w:r w:rsidRPr="006D58A7">
        <w:rPr>
          <w:rFonts w:ascii="Verdana" w:hAnsi="Verdana"/>
          <w:b/>
          <w:lang w:val="es-ES_tradnl"/>
        </w:rPr>
        <w:t>-  Procedimiento</w:t>
      </w:r>
      <w:proofErr w:type="gramEnd"/>
      <w:r w:rsidRPr="006D58A7">
        <w:rPr>
          <w:rFonts w:ascii="Verdana" w:hAnsi="Verdana"/>
          <w:b/>
          <w:lang w:val="es-ES_tradnl"/>
        </w:rPr>
        <w:t xml:space="preserve"> Aplicable </w:t>
      </w:r>
    </w:p>
    <w:p w14:paraId="27774C9A" w14:textId="77777777" w:rsidR="006D58A7" w:rsidRPr="006D58A7" w:rsidRDefault="006D58A7" w:rsidP="006D58A7">
      <w:pPr>
        <w:spacing w:after="0" w:line="240" w:lineRule="auto"/>
        <w:jc w:val="both"/>
        <w:rPr>
          <w:rFonts w:ascii="Verdana" w:hAnsi="Verdana"/>
          <w:b/>
          <w:lang w:val="es-ES_tradnl"/>
        </w:rPr>
      </w:pPr>
    </w:p>
    <w:p w14:paraId="7F45CFF2" w14:textId="771FD8EC" w:rsidR="006D58A7" w:rsidRPr="00E17A50" w:rsidRDefault="006D58A7" w:rsidP="00E17A50">
      <w:pPr>
        <w:spacing w:after="0" w:line="240" w:lineRule="auto"/>
        <w:jc w:val="both"/>
        <w:rPr>
          <w:rFonts w:ascii="Verdana" w:hAnsi="Verdana"/>
          <w:bCs/>
          <w:sz w:val="20"/>
        </w:rPr>
      </w:pPr>
      <w:r w:rsidRPr="00E17A50">
        <w:rPr>
          <w:rFonts w:ascii="Verdana" w:hAnsi="Verdana"/>
          <w:bCs/>
          <w:sz w:val="20"/>
          <w:lang w:val="es-ES_tradnl"/>
        </w:rPr>
        <w:t>[</w:t>
      </w:r>
      <w:r w:rsidRPr="00E17A50">
        <w:rPr>
          <w:rFonts w:ascii="Verdana" w:hAnsi="Verdana"/>
          <w:bCs/>
          <w:sz w:val="20"/>
        </w:rPr>
        <w:t>…]las ESE deben aplicar las disposiciones del EGCAP, por especial disposición de la Ley 100, que autoriza a estas empresas a incorporar las cláusulas excepcionales, siempre que decidan pactarlas. Esto implica que le serán aplicables las reglas del procedimiento administrativo sancionatorio del artículo 86 de la Ley 1474 de 2011 cuando sea en ejercicio de potestades sancionadoras, pues en este escenario se entienden entidades sometidas al EGCAP. En otras palabras, cuando el legislador les brindó la autorización para pactar cláusulas excepcionales dispuestas en la Ley 80 de 1993, implica que se someten a las condiciones sustanciales, como procedimentales, sujetándose a la aplicación del artículo 86 de la Ley 1474 de 2011, en lo referente a potestades sancionatorias –caducidad e imposición unilateral de multas y cláusula penal pecuniaria-.</w:t>
      </w:r>
    </w:p>
    <w:p w14:paraId="0563FA73" w14:textId="3341D2EE" w:rsidR="006D58A7" w:rsidRPr="00E17A50" w:rsidRDefault="006D58A7" w:rsidP="00E17A50">
      <w:pPr>
        <w:spacing w:after="0" w:line="240" w:lineRule="auto"/>
        <w:jc w:val="both"/>
        <w:rPr>
          <w:rFonts w:ascii="Verdana" w:hAnsi="Verdana"/>
          <w:bCs/>
          <w:sz w:val="20"/>
        </w:rPr>
      </w:pPr>
      <w:r w:rsidRPr="00E17A50">
        <w:rPr>
          <w:rFonts w:ascii="Verdana" w:hAnsi="Verdana"/>
          <w:bCs/>
          <w:sz w:val="20"/>
        </w:rPr>
        <w:t xml:space="preserve"> </w:t>
      </w:r>
    </w:p>
    <w:p w14:paraId="678BB3B1" w14:textId="77777777" w:rsidR="006D58A7" w:rsidRPr="00E17A50" w:rsidRDefault="006D58A7" w:rsidP="00E17A50">
      <w:pPr>
        <w:spacing w:after="0" w:line="240" w:lineRule="auto"/>
        <w:jc w:val="both"/>
        <w:rPr>
          <w:rFonts w:ascii="Verdana" w:hAnsi="Verdana"/>
          <w:bCs/>
          <w:sz w:val="20"/>
        </w:rPr>
      </w:pPr>
      <w:r w:rsidRPr="00E17A50">
        <w:rPr>
          <w:rFonts w:ascii="Verdana" w:hAnsi="Verdana"/>
          <w:bCs/>
          <w:iCs/>
          <w:sz w:val="20"/>
          <w:lang w:val="es-MX"/>
        </w:rPr>
        <w:t xml:space="preserve">En referencia a esta variable, se resalta que el artículo 86 precitado regula el procedimiento especial sancionatorio con que deben regirse las entidades sometidas al Estatuto General de Contratación de la Administración Pública cuando se presenten posibles incumplimientos. Al respecto, el inciso primero del mencionado artículo dispone: </w:t>
      </w:r>
      <w:r w:rsidRPr="00E17A50">
        <w:rPr>
          <w:rFonts w:ascii="Verdana" w:hAnsi="Verdana"/>
          <w:bCs/>
          <w:sz w:val="20"/>
          <w:lang w:val="es-MX"/>
        </w:rPr>
        <w:t>“</w:t>
      </w:r>
      <w:r w:rsidRPr="00E17A50">
        <w:rPr>
          <w:rFonts w:ascii="Verdana" w:hAnsi="Verdana"/>
          <w:bCs/>
          <w:sz w:val="20"/>
        </w:rPr>
        <w:t xml:space="preserve">Las entidades sometidas al Estatuto General de Contratación de la Administración Pública </w:t>
      </w:r>
      <w:r w:rsidRPr="00E17A50">
        <w:rPr>
          <w:rFonts w:ascii="Verdana" w:hAnsi="Verdana"/>
          <w:bCs/>
          <w:i/>
          <w:sz w:val="20"/>
        </w:rPr>
        <w:t xml:space="preserve">podrán declarar el incumplimiento, cuantificando los perjuicios </w:t>
      </w:r>
      <w:proofErr w:type="gramStart"/>
      <w:r w:rsidRPr="00E17A50">
        <w:rPr>
          <w:rFonts w:ascii="Verdana" w:hAnsi="Verdana"/>
          <w:bCs/>
          <w:i/>
          <w:sz w:val="20"/>
        </w:rPr>
        <w:t>del mismo</w:t>
      </w:r>
      <w:proofErr w:type="gramEnd"/>
      <w:r w:rsidRPr="00E17A50">
        <w:rPr>
          <w:rFonts w:ascii="Verdana" w:hAnsi="Verdana"/>
          <w:bCs/>
          <w:i/>
          <w:sz w:val="20"/>
        </w:rPr>
        <w:t>, imponer las multas y sanciones pactadas en el contrato,</w:t>
      </w:r>
      <w:r w:rsidRPr="00E17A50">
        <w:rPr>
          <w:rFonts w:ascii="Verdana" w:hAnsi="Verdana"/>
          <w:bCs/>
          <w:sz w:val="20"/>
        </w:rPr>
        <w:t xml:space="preserve"> y hacer efectiva la cláusula penal […]</w:t>
      </w:r>
      <w:r w:rsidRPr="00E17A50">
        <w:rPr>
          <w:rFonts w:ascii="Verdana" w:hAnsi="Verdana"/>
          <w:bCs/>
          <w:iCs/>
          <w:sz w:val="20"/>
        </w:rPr>
        <w:t>” (énfasis fuera de texto)</w:t>
      </w:r>
      <w:r w:rsidRPr="00E17A50">
        <w:rPr>
          <w:rFonts w:ascii="Verdana" w:hAnsi="Verdana"/>
          <w:bCs/>
          <w:sz w:val="20"/>
        </w:rPr>
        <w:t xml:space="preserve">. En tal sentido, este es el procedimiento establecido para hacer efectivas las sanciones contractuales, como es la caducidad del contrato y la imposición unilateral de multas y cláusula penal contractual que se derivan del incumplimiento contractual. </w:t>
      </w:r>
    </w:p>
    <w:p w14:paraId="09D76B2B" w14:textId="77777777" w:rsidR="006D58A7" w:rsidRPr="006D58A7" w:rsidRDefault="006D58A7" w:rsidP="006D58A7">
      <w:pPr>
        <w:spacing w:after="0" w:line="240" w:lineRule="auto"/>
        <w:jc w:val="both"/>
        <w:rPr>
          <w:rFonts w:ascii="Verdana" w:hAnsi="Verdana"/>
          <w:b/>
        </w:rPr>
      </w:pPr>
    </w:p>
    <w:p w14:paraId="3CEA76D3" w14:textId="7BE48BE3" w:rsidR="006D58A7" w:rsidRPr="006D58A7" w:rsidRDefault="006D58A7" w:rsidP="006D58A7">
      <w:pPr>
        <w:spacing w:after="0" w:line="240" w:lineRule="auto"/>
        <w:jc w:val="both"/>
        <w:rPr>
          <w:rFonts w:ascii="Verdana" w:hAnsi="Verdana"/>
          <w:b/>
        </w:rPr>
      </w:pPr>
      <w:r w:rsidRPr="006D58A7">
        <w:rPr>
          <w:rFonts w:ascii="Verdana" w:hAnsi="Verdana"/>
          <w:b/>
          <w:lang w:val="es-ES_tradnl"/>
        </w:rPr>
        <w:t>PROCEDIMIENTO ADMINISTRATIVO SANCIONATORIO – Procedimiento administrativo electrónico - reglas.</w:t>
      </w:r>
    </w:p>
    <w:p w14:paraId="2D475433" w14:textId="6D2FD2BF" w:rsidR="000428F8" w:rsidRDefault="000428F8" w:rsidP="000428F8">
      <w:pPr>
        <w:spacing w:after="0" w:line="240" w:lineRule="auto"/>
        <w:jc w:val="both"/>
        <w:rPr>
          <w:rFonts w:ascii="Verdana" w:hAnsi="Verdana"/>
        </w:rPr>
      </w:pPr>
    </w:p>
    <w:p w14:paraId="0FF4DF67" w14:textId="77777777" w:rsidR="006D58A7" w:rsidRPr="00E17A50" w:rsidRDefault="006D58A7" w:rsidP="00E17A50">
      <w:pPr>
        <w:spacing w:after="0" w:line="240" w:lineRule="auto"/>
        <w:jc w:val="both"/>
        <w:rPr>
          <w:rFonts w:ascii="Verdana" w:hAnsi="Verdana"/>
          <w:sz w:val="20"/>
        </w:rPr>
      </w:pPr>
      <w:r w:rsidRPr="00E17A50">
        <w:rPr>
          <w:rFonts w:ascii="Verdana" w:hAnsi="Verdana"/>
          <w:sz w:val="20"/>
          <w:lang w:val="es-ES"/>
        </w:rPr>
        <w:t xml:space="preserve">Ahora bien, este procedimiento de carácter sancionatorio es compatible con </w:t>
      </w:r>
      <w:r w:rsidRPr="00E17A50">
        <w:rPr>
          <w:rFonts w:ascii="Verdana" w:hAnsi="Verdana"/>
          <w:sz w:val="20"/>
        </w:rPr>
        <w:t xml:space="preserve">el artículo 53 de la Ley 1437 de 2011 –en adelante CPACA- dispone que los procedimientos y trámites administrativos pueden realizarse por medios electrónicos, que se aplicarán </w:t>
      </w:r>
      <w:proofErr w:type="gramStart"/>
      <w:r w:rsidRPr="00E17A50">
        <w:rPr>
          <w:rFonts w:ascii="Verdana" w:hAnsi="Verdana"/>
          <w:sz w:val="20"/>
        </w:rPr>
        <w:t>de acuerdo a</w:t>
      </w:r>
      <w:proofErr w:type="gramEnd"/>
      <w:r w:rsidRPr="00E17A50">
        <w:rPr>
          <w:rFonts w:ascii="Verdana" w:hAnsi="Verdana"/>
          <w:sz w:val="20"/>
        </w:rPr>
        <w:t xml:space="preserve"> su concordancia con la Ley 527 de 1999. A partir de lo anterior, el CPACA establece reglas básicas para el uso de los medios electrónicos en los procedimientos </w:t>
      </w:r>
      <w:r w:rsidRPr="00E17A50">
        <w:rPr>
          <w:rFonts w:ascii="Verdana" w:hAnsi="Verdana"/>
          <w:sz w:val="20"/>
        </w:rPr>
        <w:lastRenderedPageBreak/>
        <w:t xml:space="preserve">administrativos, en las que se destaca: i) los documentos públicos en medios electrónicos que tienen la validez y fuerza probatoria que le confiere el Código General del Proceso –artículo 55–; </w:t>
      </w:r>
      <w:proofErr w:type="spellStart"/>
      <w:r w:rsidRPr="00E17A50">
        <w:rPr>
          <w:rFonts w:ascii="Verdana" w:hAnsi="Verdana"/>
          <w:sz w:val="20"/>
        </w:rPr>
        <w:t>ii</w:t>
      </w:r>
      <w:proofErr w:type="spellEnd"/>
      <w:r w:rsidRPr="00E17A50">
        <w:rPr>
          <w:rFonts w:ascii="Verdana" w:hAnsi="Verdana"/>
          <w:sz w:val="20"/>
        </w:rPr>
        <w:t xml:space="preserve">) la expedición de actos administrativos electrónicos –artículo 57–; </w:t>
      </w:r>
      <w:proofErr w:type="spellStart"/>
      <w:r w:rsidRPr="00E17A50">
        <w:rPr>
          <w:rFonts w:ascii="Verdana" w:hAnsi="Verdana"/>
          <w:sz w:val="20"/>
        </w:rPr>
        <w:t>iii</w:t>
      </w:r>
      <w:proofErr w:type="spellEnd"/>
      <w:r w:rsidRPr="00E17A50">
        <w:rPr>
          <w:rFonts w:ascii="Verdana" w:hAnsi="Verdana"/>
          <w:sz w:val="20"/>
        </w:rPr>
        <w:t xml:space="preserve">) el archivo electrónico de documentos –artículo 58–; </w:t>
      </w:r>
      <w:proofErr w:type="spellStart"/>
      <w:r w:rsidRPr="00E17A50">
        <w:rPr>
          <w:rFonts w:ascii="Verdana" w:hAnsi="Verdana"/>
          <w:sz w:val="20"/>
        </w:rPr>
        <w:t>iv</w:t>
      </w:r>
      <w:proofErr w:type="spellEnd"/>
      <w:r w:rsidRPr="00E17A50">
        <w:rPr>
          <w:rFonts w:ascii="Verdana" w:hAnsi="Verdana"/>
          <w:sz w:val="20"/>
        </w:rPr>
        <w:t>) la recepción de documentos electrónicos por parte de las autoridades –artículo 61, entre otros.</w:t>
      </w:r>
    </w:p>
    <w:p w14:paraId="708FBBE3" w14:textId="1183FFB1" w:rsidR="006D58A7" w:rsidRPr="00E17A50" w:rsidRDefault="006D58A7" w:rsidP="00E17A50">
      <w:pPr>
        <w:spacing w:after="0" w:line="240" w:lineRule="auto"/>
        <w:jc w:val="both"/>
        <w:rPr>
          <w:rFonts w:ascii="Verdana" w:hAnsi="Verdana"/>
          <w:sz w:val="20"/>
        </w:rPr>
      </w:pPr>
      <w:r w:rsidRPr="00E17A50">
        <w:rPr>
          <w:rFonts w:ascii="Verdana" w:hAnsi="Verdana"/>
          <w:sz w:val="20"/>
        </w:rPr>
        <w:t xml:space="preserve"> </w:t>
      </w:r>
    </w:p>
    <w:p w14:paraId="5527E129" w14:textId="511650D8" w:rsidR="006D58A7" w:rsidRPr="00E17A50" w:rsidRDefault="006D58A7" w:rsidP="00E17A50">
      <w:pPr>
        <w:spacing w:after="0" w:line="240" w:lineRule="auto"/>
        <w:jc w:val="both"/>
        <w:rPr>
          <w:rFonts w:ascii="Verdana" w:hAnsi="Verdana"/>
          <w:sz w:val="20"/>
        </w:rPr>
      </w:pPr>
      <w:r w:rsidRPr="00E17A50">
        <w:rPr>
          <w:rFonts w:ascii="Verdana" w:hAnsi="Verdana"/>
          <w:sz w:val="20"/>
        </w:rPr>
        <w:t xml:space="preserve">Así mismo, podrían utilizarse los medios electrónicos, para las diferentes actuaciones de trámite en el marco del procedimiento administrativo sancionatorio, como son los traslados, los asuntos de carácter probatorio, comunicaciones, y lo relacionado con la gestión documental y demás temas que surjan de dicho proceso. En esta línea, deben tenerse en cuenta, las reglas y lineamientos que establece el Archivo General de la Nación como entidad encargada de liderar la Política de archivo y gestión documental a nivel nacional, la cual expidió el Acuerdo 001 de 2024 “Por el cual se establece el Acuerdo Único de la Función Archivística, se definen los criterios técnicos y jurídicos para su implementación en el Estado Colombiano y se fijan otras disposiciones”. En dicho Acuerdo se establecen reglas y criterios para el manejo de expedientes electrónicos, que en su artículo 4.3.2.1. dispone, entre otras, que los expedientes electrónicos se conforman con todos los documentos de archivo que se generan en desarrollo de un mismo trámite, actuación o procedimiento, independiente del tipo de información y formato, sujetándose al principio de orden original y deben agruparse conforme a las series y subseries documentales. </w:t>
      </w:r>
    </w:p>
    <w:p w14:paraId="60284A67" w14:textId="18075834" w:rsidR="006D58A7" w:rsidRDefault="006D58A7" w:rsidP="006D58A7">
      <w:pPr>
        <w:spacing w:after="0" w:line="240" w:lineRule="auto"/>
        <w:jc w:val="both"/>
        <w:rPr>
          <w:rFonts w:ascii="Verdana" w:hAnsi="Verdana"/>
        </w:rPr>
      </w:pPr>
    </w:p>
    <w:p w14:paraId="6CCF70AB" w14:textId="34305672" w:rsidR="006D58A7" w:rsidRDefault="006D58A7" w:rsidP="006D58A7">
      <w:pPr>
        <w:spacing w:after="0" w:line="240" w:lineRule="auto"/>
        <w:jc w:val="both"/>
        <w:rPr>
          <w:rFonts w:ascii="Verdana" w:hAnsi="Verdana"/>
        </w:rPr>
      </w:pPr>
    </w:p>
    <w:p w14:paraId="3D711D85" w14:textId="6F5A4FF8" w:rsidR="006D58A7" w:rsidRDefault="006D58A7" w:rsidP="006D58A7">
      <w:pPr>
        <w:spacing w:after="0" w:line="240" w:lineRule="auto"/>
        <w:jc w:val="both"/>
        <w:rPr>
          <w:rFonts w:ascii="Verdana" w:hAnsi="Verdana"/>
        </w:rPr>
      </w:pPr>
    </w:p>
    <w:p w14:paraId="76BACE88" w14:textId="51B8C744" w:rsidR="006D58A7" w:rsidRDefault="006D58A7" w:rsidP="006D58A7">
      <w:pPr>
        <w:spacing w:after="0" w:line="240" w:lineRule="auto"/>
        <w:jc w:val="both"/>
        <w:rPr>
          <w:rFonts w:ascii="Verdana" w:hAnsi="Verdana"/>
        </w:rPr>
      </w:pPr>
    </w:p>
    <w:p w14:paraId="38C151CC" w14:textId="7C7C0A3B" w:rsidR="006D58A7" w:rsidRDefault="006D58A7" w:rsidP="006D58A7">
      <w:pPr>
        <w:spacing w:after="0" w:line="240" w:lineRule="auto"/>
        <w:jc w:val="both"/>
        <w:rPr>
          <w:rFonts w:ascii="Verdana" w:hAnsi="Verdana"/>
        </w:rPr>
      </w:pPr>
    </w:p>
    <w:p w14:paraId="3DA179DC" w14:textId="065D34C2" w:rsidR="006D58A7" w:rsidRDefault="006D58A7" w:rsidP="006D58A7">
      <w:pPr>
        <w:spacing w:after="0" w:line="240" w:lineRule="auto"/>
        <w:jc w:val="both"/>
        <w:rPr>
          <w:rFonts w:ascii="Verdana" w:hAnsi="Verdana"/>
        </w:rPr>
      </w:pPr>
    </w:p>
    <w:p w14:paraId="40BD9C2A" w14:textId="20A5CD7E" w:rsidR="006D58A7" w:rsidRDefault="006D58A7" w:rsidP="006D58A7">
      <w:pPr>
        <w:spacing w:after="0" w:line="240" w:lineRule="auto"/>
        <w:jc w:val="both"/>
        <w:rPr>
          <w:rFonts w:ascii="Verdana" w:hAnsi="Verdana"/>
        </w:rPr>
      </w:pPr>
    </w:p>
    <w:p w14:paraId="13C92CBF" w14:textId="41CC8028" w:rsidR="006D58A7" w:rsidRDefault="006D58A7" w:rsidP="006D58A7">
      <w:pPr>
        <w:spacing w:after="0" w:line="240" w:lineRule="auto"/>
        <w:jc w:val="both"/>
        <w:rPr>
          <w:rFonts w:ascii="Verdana" w:hAnsi="Verdana"/>
        </w:rPr>
      </w:pPr>
    </w:p>
    <w:p w14:paraId="5D5D4530" w14:textId="5D3B9328" w:rsidR="006D58A7" w:rsidRDefault="006D58A7" w:rsidP="006D58A7">
      <w:pPr>
        <w:spacing w:after="0" w:line="240" w:lineRule="auto"/>
        <w:jc w:val="both"/>
        <w:rPr>
          <w:rFonts w:ascii="Verdana" w:hAnsi="Verdana"/>
        </w:rPr>
      </w:pPr>
    </w:p>
    <w:p w14:paraId="51895819" w14:textId="0737FD5E" w:rsidR="006D58A7" w:rsidRDefault="006D58A7" w:rsidP="006D58A7">
      <w:pPr>
        <w:spacing w:after="0" w:line="240" w:lineRule="auto"/>
        <w:jc w:val="both"/>
        <w:rPr>
          <w:rFonts w:ascii="Verdana" w:hAnsi="Verdana"/>
        </w:rPr>
      </w:pPr>
    </w:p>
    <w:p w14:paraId="09FFB46D" w14:textId="4110D0A2" w:rsidR="006D58A7" w:rsidRDefault="006D58A7" w:rsidP="006D58A7">
      <w:pPr>
        <w:spacing w:after="0" w:line="240" w:lineRule="auto"/>
        <w:jc w:val="both"/>
        <w:rPr>
          <w:rFonts w:ascii="Verdana" w:hAnsi="Verdana"/>
        </w:rPr>
      </w:pPr>
    </w:p>
    <w:p w14:paraId="3D20AA79" w14:textId="508707D4" w:rsidR="006D58A7" w:rsidRDefault="006D58A7" w:rsidP="006D58A7">
      <w:pPr>
        <w:spacing w:after="0" w:line="240" w:lineRule="auto"/>
        <w:jc w:val="both"/>
        <w:rPr>
          <w:rFonts w:ascii="Verdana" w:hAnsi="Verdana"/>
        </w:rPr>
      </w:pPr>
    </w:p>
    <w:p w14:paraId="674443A1" w14:textId="3CDD308F" w:rsidR="006D58A7" w:rsidRDefault="006D58A7" w:rsidP="006D58A7">
      <w:pPr>
        <w:spacing w:after="0" w:line="240" w:lineRule="auto"/>
        <w:jc w:val="both"/>
        <w:rPr>
          <w:rFonts w:ascii="Verdana" w:hAnsi="Verdana"/>
        </w:rPr>
      </w:pPr>
    </w:p>
    <w:p w14:paraId="0C9C9F84" w14:textId="7C3E3B55" w:rsidR="006D58A7" w:rsidRDefault="006D58A7" w:rsidP="006D58A7">
      <w:pPr>
        <w:spacing w:after="0" w:line="240" w:lineRule="auto"/>
        <w:jc w:val="both"/>
        <w:rPr>
          <w:rFonts w:ascii="Verdana" w:hAnsi="Verdana"/>
        </w:rPr>
      </w:pPr>
    </w:p>
    <w:p w14:paraId="7A7731C6" w14:textId="694FFCFB" w:rsidR="006D58A7" w:rsidRDefault="006D58A7" w:rsidP="006D58A7">
      <w:pPr>
        <w:spacing w:after="0" w:line="240" w:lineRule="auto"/>
        <w:jc w:val="both"/>
        <w:rPr>
          <w:rFonts w:ascii="Verdana" w:hAnsi="Verdana"/>
        </w:rPr>
      </w:pPr>
    </w:p>
    <w:p w14:paraId="3CA91F7F" w14:textId="473D2B87" w:rsidR="00E17A50" w:rsidRDefault="00E17A50" w:rsidP="006D58A7">
      <w:pPr>
        <w:spacing w:after="0" w:line="240" w:lineRule="auto"/>
        <w:jc w:val="both"/>
        <w:rPr>
          <w:rFonts w:ascii="Verdana" w:hAnsi="Verdana"/>
        </w:rPr>
      </w:pPr>
    </w:p>
    <w:p w14:paraId="10BBB31E" w14:textId="19554536" w:rsidR="00E17A50" w:rsidRDefault="00E17A50" w:rsidP="006D58A7">
      <w:pPr>
        <w:spacing w:after="0" w:line="240" w:lineRule="auto"/>
        <w:jc w:val="both"/>
        <w:rPr>
          <w:rFonts w:ascii="Verdana" w:hAnsi="Verdana"/>
        </w:rPr>
      </w:pPr>
    </w:p>
    <w:p w14:paraId="774CE0BC" w14:textId="77777777" w:rsidR="00E17A50" w:rsidRDefault="00E17A50" w:rsidP="006D58A7">
      <w:pPr>
        <w:spacing w:after="0" w:line="240" w:lineRule="auto"/>
        <w:jc w:val="both"/>
        <w:rPr>
          <w:rFonts w:ascii="Verdana" w:hAnsi="Verdana"/>
        </w:rPr>
      </w:pPr>
    </w:p>
    <w:p w14:paraId="3C7338EE" w14:textId="25701A4D" w:rsidR="006D58A7" w:rsidRDefault="006D58A7" w:rsidP="006D58A7">
      <w:pPr>
        <w:spacing w:after="0" w:line="240" w:lineRule="auto"/>
        <w:jc w:val="both"/>
        <w:rPr>
          <w:rFonts w:ascii="Verdana" w:hAnsi="Verdana"/>
        </w:rPr>
      </w:pPr>
    </w:p>
    <w:p w14:paraId="58ADBDD5" w14:textId="2E95E694" w:rsidR="006D58A7" w:rsidRDefault="006D58A7" w:rsidP="006D58A7">
      <w:pPr>
        <w:spacing w:after="0" w:line="240" w:lineRule="auto"/>
        <w:jc w:val="both"/>
        <w:rPr>
          <w:rFonts w:ascii="Verdana" w:hAnsi="Verdana"/>
        </w:rPr>
      </w:pPr>
    </w:p>
    <w:p w14:paraId="47BB94DB" w14:textId="75DDC2E0" w:rsidR="00E17A50" w:rsidRDefault="00E17A50" w:rsidP="006D58A7">
      <w:pPr>
        <w:spacing w:after="0" w:line="240" w:lineRule="auto"/>
        <w:jc w:val="both"/>
        <w:rPr>
          <w:rFonts w:ascii="Verdana" w:hAnsi="Verdana"/>
        </w:rPr>
      </w:pPr>
    </w:p>
    <w:p w14:paraId="5789FB18" w14:textId="79F5C997" w:rsidR="00E17A50" w:rsidRDefault="00E17A50" w:rsidP="006D58A7">
      <w:pPr>
        <w:spacing w:after="0" w:line="240" w:lineRule="auto"/>
        <w:jc w:val="both"/>
        <w:rPr>
          <w:rFonts w:ascii="Verdana" w:hAnsi="Verdana"/>
        </w:rPr>
      </w:pPr>
    </w:p>
    <w:p w14:paraId="6543957F" w14:textId="61A5F80F" w:rsidR="00E17A50" w:rsidRDefault="00E17A50" w:rsidP="006D58A7">
      <w:pPr>
        <w:spacing w:after="0" w:line="240" w:lineRule="auto"/>
        <w:jc w:val="both"/>
        <w:rPr>
          <w:rFonts w:ascii="Verdana" w:hAnsi="Verdana"/>
        </w:rPr>
      </w:pPr>
    </w:p>
    <w:p w14:paraId="372A4020" w14:textId="46653AD9" w:rsidR="00E17A50" w:rsidRDefault="00E17A50" w:rsidP="006D58A7">
      <w:pPr>
        <w:spacing w:after="0" w:line="240" w:lineRule="auto"/>
        <w:jc w:val="both"/>
        <w:rPr>
          <w:rFonts w:ascii="Verdana" w:hAnsi="Verdana"/>
        </w:rPr>
      </w:pPr>
    </w:p>
    <w:p w14:paraId="348F7505" w14:textId="77777777" w:rsidR="00E17A50" w:rsidRPr="006D58A7" w:rsidRDefault="00E17A50" w:rsidP="006D58A7">
      <w:pPr>
        <w:spacing w:after="0" w:line="240" w:lineRule="auto"/>
        <w:jc w:val="both"/>
        <w:rPr>
          <w:rFonts w:ascii="Verdana" w:hAnsi="Verdana"/>
        </w:rPr>
      </w:pPr>
    </w:p>
    <w:p w14:paraId="039683B4" w14:textId="514B717C" w:rsidR="00135720" w:rsidRDefault="000428F8" w:rsidP="000428F8">
      <w:pPr>
        <w:spacing w:after="0" w:line="240" w:lineRule="auto"/>
        <w:jc w:val="both"/>
        <w:rPr>
          <w:rFonts w:ascii="Verdana" w:hAnsi="Verdana"/>
        </w:rPr>
      </w:pPr>
      <w:r>
        <w:rPr>
          <w:rFonts w:ascii="Verdana" w:hAnsi="Verdana"/>
        </w:rPr>
        <w:lastRenderedPageBreak/>
        <w:t>Bogotá D.C., 7 de octubre de 2025</w:t>
      </w:r>
    </w:p>
    <w:p w14:paraId="0B56728E" w14:textId="7E4CC4CD" w:rsidR="00135720" w:rsidRDefault="00157783" w:rsidP="00157783">
      <w:pPr>
        <w:spacing w:after="0" w:line="240" w:lineRule="auto"/>
        <w:jc w:val="both"/>
        <w:rPr>
          <w:rFonts w:ascii="Verdana" w:hAnsi="Verdana"/>
        </w:rPr>
      </w:pPr>
      <w:r w:rsidRPr="000428F8">
        <w:rPr>
          <w:rFonts w:ascii="Verdana" w:hAnsi="Verdana"/>
          <w:noProof/>
          <w:lang w:val="en-US"/>
        </w:rPr>
        <w:drawing>
          <wp:anchor distT="0" distB="0" distL="114300" distR="114300" simplePos="0" relativeHeight="251658240" behindDoc="0" locked="0" layoutInCell="1" allowOverlap="1" wp14:anchorId="5B60C3E3" wp14:editId="325E0FC1">
            <wp:simplePos x="0" y="0"/>
            <wp:positionH relativeFrom="margin">
              <wp:posOffset>2847340</wp:posOffset>
            </wp:positionH>
            <wp:positionV relativeFrom="paragraph">
              <wp:posOffset>6985</wp:posOffset>
            </wp:positionV>
            <wp:extent cx="2701290" cy="745490"/>
            <wp:effectExtent l="0" t="0" r="381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01290" cy="7454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26E69B" w14:textId="77777777" w:rsidR="00157783" w:rsidRPr="00157783" w:rsidRDefault="00157783" w:rsidP="00157783">
      <w:pPr>
        <w:spacing w:after="0" w:line="240" w:lineRule="auto"/>
        <w:jc w:val="both"/>
        <w:rPr>
          <w:rFonts w:ascii="Verdana" w:hAnsi="Verdana"/>
        </w:rPr>
      </w:pPr>
    </w:p>
    <w:p w14:paraId="0E755B8D" w14:textId="77777777" w:rsidR="00135720" w:rsidRPr="00E2345F" w:rsidRDefault="00135720" w:rsidP="00135720">
      <w:pPr>
        <w:widowControl w:val="0"/>
        <w:autoSpaceDE w:val="0"/>
        <w:autoSpaceDN w:val="0"/>
        <w:spacing w:after="0" w:line="240" w:lineRule="auto"/>
        <w:rPr>
          <w:rFonts w:ascii="Verdana" w:eastAsia="Verdana" w:hAnsi="Verdana" w:cs="Verdana"/>
          <w:lang w:val="es-ES"/>
        </w:rPr>
      </w:pPr>
      <w:r w:rsidRPr="00E2345F">
        <w:rPr>
          <w:rFonts w:ascii="Verdana" w:eastAsia="Verdana" w:hAnsi="Verdana" w:cs="Verdana"/>
          <w:spacing w:val="-2"/>
          <w:lang w:val="es-ES"/>
        </w:rPr>
        <w:t>Señora</w:t>
      </w:r>
    </w:p>
    <w:p w14:paraId="4745D8E9" w14:textId="77777777" w:rsidR="00135720" w:rsidRPr="00E2345F" w:rsidRDefault="00135720" w:rsidP="00135720">
      <w:pPr>
        <w:widowControl w:val="0"/>
        <w:autoSpaceDE w:val="0"/>
        <w:autoSpaceDN w:val="0"/>
        <w:spacing w:after="0" w:line="240" w:lineRule="auto"/>
        <w:outlineLvl w:val="0"/>
        <w:rPr>
          <w:rFonts w:ascii="Verdana" w:eastAsia="Verdana" w:hAnsi="Verdana" w:cs="Verdana"/>
          <w:b/>
          <w:bCs/>
        </w:rPr>
      </w:pPr>
      <w:r w:rsidRPr="00E2345F">
        <w:rPr>
          <w:rFonts w:ascii="Verdana" w:eastAsia="Verdana" w:hAnsi="Verdana" w:cs="Verdana"/>
          <w:b/>
          <w:bCs/>
        </w:rPr>
        <w:t>Diana Marcela Pachón Medina</w:t>
      </w:r>
    </w:p>
    <w:p w14:paraId="5D9F2E52" w14:textId="77777777" w:rsidR="00135720" w:rsidRPr="00E2345F" w:rsidRDefault="00135720" w:rsidP="00135720">
      <w:pPr>
        <w:widowControl w:val="0"/>
        <w:autoSpaceDE w:val="0"/>
        <w:autoSpaceDN w:val="0"/>
        <w:spacing w:before="5" w:after="0" w:line="240" w:lineRule="auto"/>
        <w:ind w:right="5055"/>
        <w:rPr>
          <w:rFonts w:ascii="Verdana" w:hAnsi="Verdana"/>
        </w:rPr>
      </w:pPr>
      <w:hyperlink r:id="rId12" w:history="1">
        <w:r w:rsidRPr="00E2345F">
          <w:rPr>
            <w:rStyle w:val="Hipervnculo"/>
            <w:rFonts w:ascii="Verdana" w:hAnsi="Verdana"/>
          </w:rPr>
          <w:t>diana.sarapachon2@gmail.com</w:t>
        </w:r>
      </w:hyperlink>
      <w:r w:rsidRPr="00E2345F">
        <w:rPr>
          <w:rFonts w:ascii="Verdana" w:hAnsi="Verdana"/>
        </w:rPr>
        <w:t xml:space="preserve"> </w:t>
      </w:r>
    </w:p>
    <w:p w14:paraId="3EC0EB29" w14:textId="77777777" w:rsidR="00135720" w:rsidRPr="00E2345F" w:rsidRDefault="00135720" w:rsidP="00135720">
      <w:pPr>
        <w:widowControl w:val="0"/>
        <w:autoSpaceDE w:val="0"/>
        <w:autoSpaceDN w:val="0"/>
        <w:spacing w:before="5" w:after="0" w:line="240" w:lineRule="auto"/>
        <w:ind w:right="5055"/>
        <w:rPr>
          <w:rFonts w:ascii="Verdana" w:eastAsia="Verdana" w:hAnsi="Verdana" w:cs="Verdana"/>
          <w:lang w:val="es-ES"/>
        </w:rPr>
      </w:pPr>
      <w:r w:rsidRPr="00E2345F">
        <w:rPr>
          <w:rFonts w:ascii="Verdana" w:eastAsia="Verdana" w:hAnsi="Verdana" w:cs="Verdana"/>
          <w:lang w:val="es-ES"/>
        </w:rPr>
        <w:t xml:space="preserve">Bogotá D.C. </w:t>
      </w:r>
    </w:p>
    <w:p w14:paraId="0A0A68E7" w14:textId="77777777" w:rsidR="00135720" w:rsidRPr="0041694B" w:rsidRDefault="00135720" w:rsidP="00135720">
      <w:pPr>
        <w:spacing w:after="0" w:line="240" w:lineRule="auto"/>
        <w:jc w:val="both"/>
        <w:rPr>
          <w:rFonts w:ascii="Verdana" w:hAnsi="Verdana" w:cs="Arial"/>
          <w:b/>
          <w:bCs/>
          <w:lang w:val="es-ES_tradnl" w:eastAsia="es-ES" w:bidi="es-ES"/>
        </w:rPr>
      </w:pPr>
    </w:p>
    <w:p w14:paraId="4C6713B3" w14:textId="77777777" w:rsidR="00135720" w:rsidRPr="0041694B" w:rsidRDefault="00135720" w:rsidP="00135720">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135720" w:rsidRPr="0041694B" w14:paraId="0F9ED32A" w14:textId="77777777" w:rsidTr="007A5FDB">
        <w:trPr>
          <w:trHeight w:val="884"/>
        </w:trPr>
        <w:tc>
          <w:tcPr>
            <w:tcW w:w="2689" w:type="dxa"/>
          </w:tcPr>
          <w:p w14:paraId="296B9332" w14:textId="77777777" w:rsidR="00135720" w:rsidRPr="0041694B" w:rsidRDefault="00135720" w:rsidP="007A5FDB">
            <w:pPr>
              <w:jc w:val="both"/>
              <w:rPr>
                <w:rFonts w:ascii="Verdana" w:hAnsi="Verdana" w:cs="Arial"/>
                <w:b/>
                <w:bCs/>
                <w:lang w:val="es-ES_tradnl" w:eastAsia="es-ES" w:bidi="es-ES"/>
              </w:rPr>
            </w:pPr>
          </w:p>
        </w:tc>
        <w:tc>
          <w:tcPr>
            <w:tcW w:w="6242" w:type="dxa"/>
          </w:tcPr>
          <w:p w14:paraId="1EFA9E7D" w14:textId="77777777" w:rsidR="00135720" w:rsidRPr="0041694B" w:rsidRDefault="00135720" w:rsidP="007A5FDB">
            <w:pPr>
              <w:jc w:val="both"/>
              <w:rPr>
                <w:rFonts w:ascii="Verdana" w:hAnsi="Verdana" w:cs="Arial"/>
                <w:b/>
                <w:bCs/>
                <w:lang w:val="es-MX" w:eastAsia="es-ES" w:bidi="es-ES"/>
              </w:rPr>
            </w:pPr>
            <w:r w:rsidRPr="0041694B">
              <w:rPr>
                <w:rFonts w:ascii="Verdana" w:hAnsi="Verdana" w:cs="Arial"/>
                <w:b/>
                <w:bCs/>
                <w:lang w:val="es-MX" w:eastAsia="es-ES" w:bidi="es-ES"/>
              </w:rPr>
              <w:t xml:space="preserve">Concepto C- </w:t>
            </w:r>
            <w:r>
              <w:rPr>
                <w:rFonts w:ascii="Verdana" w:hAnsi="Verdana" w:cs="Arial"/>
                <w:b/>
                <w:bCs/>
                <w:lang w:val="es-MX" w:eastAsia="es-ES" w:bidi="es-ES"/>
              </w:rPr>
              <w:t>1208 de 2025</w:t>
            </w:r>
          </w:p>
        </w:tc>
      </w:tr>
      <w:tr w:rsidR="00135720" w:rsidRPr="0041694B" w14:paraId="0614178A" w14:textId="77777777" w:rsidTr="007A5FDB">
        <w:trPr>
          <w:trHeight w:val="884"/>
        </w:trPr>
        <w:tc>
          <w:tcPr>
            <w:tcW w:w="2689" w:type="dxa"/>
          </w:tcPr>
          <w:p w14:paraId="5B17BD1C" w14:textId="77777777" w:rsidR="00135720" w:rsidRPr="00983F4C" w:rsidRDefault="00135720" w:rsidP="007A5FDB">
            <w:pPr>
              <w:spacing w:line="276" w:lineRule="auto"/>
              <w:jc w:val="both"/>
              <w:rPr>
                <w:rFonts w:ascii="Verdana" w:hAnsi="Verdana" w:cs="Arial"/>
                <w:b/>
                <w:bCs/>
                <w:lang w:val="es-MX" w:eastAsia="es-ES" w:bidi="es-ES"/>
              </w:rPr>
            </w:pPr>
            <w:r w:rsidRPr="00983F4C">
              <w:rPr>
                <w:rFonts w:ascii="Verdana" w:hAnsi="Verdana" w:cs="Arial"/>
                <w:b/>
                <w:bCs/>
                <w:lang w:val="es-MX" w:eastAsia="es-ES" w:bidi="es-ES"/>
              </w:rPr>
              <w:t xml:space="preserve">Temas:                   </w:t>
            </w:r>
          </w:p>
        </w:tc>
        <w:tc>
          <w:tcPr>
            <w:tcW w:w="6242" w:type="dxa"/>
          </w:tcPr>
          <w:p w14:paraId="38BEC69F" w14:textId="77777777" w:rsidR="00135720" w:rsidRDefault="00135720" w:rsidP="007A5FDB">
            <w:pPr>
              <w:spacing w:line="276" w:lineRule="auto"/>
              <w:jc w:val="both"/>
              <w:rPr>
                <w:rFonts w:ascii="Verdana" w:eastAsia="Calibri" w:hAnsi="Verdana" w:cs="Arial"/>
                <w:lang w:val="es-ES_tradnl" w:eastAsia="es-ES"/>
              </w:rPr>
            </w:pPr>
            <w:r w:rsidRPr="00AC39B6">
              <w:rPr>
                <w:rFonts w:ascii="Verdana" w:eastAsia="Calibri" w:hAnsi="Verdana" w:cs="Arial"/>
                <w:lang w:val="es-ES" w:eastAsia="es-ES"/>
              </w:rPr>
              <w:t xml:space="preserve">CONTRATO ESTATAL – Régimen jurídico / RÉGIMEN EXCEPCIONAL – Justificación – Criterios de clasificación / </w:t>
            </w:r>
            <w:r>
              <w:rPr>
                <w:rFonts w:ascii="Verdana" w:eastAsia="Calibri" w:hAnsi="Verdana" w:cs="Arial"/>
                <w:lang w:val="es-ES" w:eastAsia="es-ES"/>
              </w:rPr>
              <w:t xml:space="preserve">EMPRESAS SOCIALES DEL ESTADO– Naturaleza – régimen especial / EMPRESAS SOCIALES DEL ESTADO – Régimen especial – EGCAP – Cláusulas excepcionales </w:t>
            </w:r>
            <w:r w:rsidRPr="00AC39B6">
              <w:rPr>
                <w:rFonts w:ascii="Verdana" w:eastAsia="Calibri" w:hAnsi="Verdana" w:cs="Arial"/>
                <w:lang w:val="es-ES_tradnl" w:eastAsia="es-ES"/>
              </w:rPr>
              <w:t xml:space="preserve">/ </w:t>
            </w:r>
            <w:r>
              <w:rPr>
                <w:rFonts w:ascii="Verdana" w:eastAsia="Calibri" w:hAnsi="Verdana" w:cs="Arial"/>
                <w:lang w:val="es-ES_tradnl" w:eastAsia="es-ES"/>
              </w:rPr>
              <w:t xml:space="preserve">CLÁUSULAS EXCEPCIONALES – Remisión Especial – Empresas Sociales del Estado / INCUMPLIMIENTO CONTRACTUAL – Noción / CLÁUSULAS EXCEPCIONALES – Incumplimiento -  Procedimiento Aplicable / PROCEDIMIENTO ADMINISTRATIVO SANCIONATORIO – Procedimiento administrativo electrónico - reglas. </w:t>
            </w:r>
          </w:p>
          <w:p w14:paraId="09D68760" w14:textId="77777777" w:rsidR="00135720" w:rsidRPr="00333219" w:rsidRDefault="00135720" w:rsidP="007A5FDB">
            <w:pPr>
              <w:spacing w:line="276" w:lineRule="auto"/>
              <w:jc w:val="both"/>
              <w:rPr>
                <w:rFonts w:ascii="Verdana" w:eastAsia="Calibri" w:hAnsi="Verdana" w:cs="Arial"/>
                <w:lang w:val="es-ES_tradnl" w:eastAsia="es-ES"/>
              </w:rPr>
            </w:pPr>
          </w:p>
        </w:tc>
      </w:tr>
      <w:tr w:rsidR="00135720" w:rsidRPr="0041694B" w14:paraId="142089D7" w14:textId="77777777" w:rsidTr="007A5FDB">
        <w:tc>
          <w:tcPr>
            <w:tcW w:w="2689" w:type="dxa"/>
          </w:tcPr>
          <w:p w14:paraId="4BD7BC4F" w14:textId="77777777" w:rsidR="00135720" w:rsidRPr="00983F4C" w:rsidRDefault="00135720" w:rsidP="007A5FDB">
            <w:pPr>
              <w:jc w:val="both"/>
              <w:rPr>
                <w:rFonts w:ascii="Verdana" w:hAnsi="Verdana" w:cs="Arial"/>
                <w:b/>
                <w:bCs/>
                <w:lang w:val="es-MX" w:eastAsia="es-ES" w:bidi="es-ES"/>
              </w:rPr>
            </w:pPr>
            <w:r w:rsidRPr="00983F4C">
              <w:rPr>
                <w:rFonts w:ascii="Verdana" w:hAnsi="Verdana" w:cs="Arial"/>
                <w:b/>
                <w:bCs/>
                <w:lang w:val="es-MX" w:eastAsia="es-ES" w:bidi="es-ES"/>
              </w:rPr>
              <w:t xml:space="preserve">Radicación:               </w:t>
            </w:r>
          </w:p>
        </w:tc>
        <w:tc>
          <w:tcPr>
            <w:tcW w:w="6242" w:type="dxa"/>
          </w:tcPr>
          <w:p w14:paraId="5CD45AF0" w14:textId="77777777" w:rsidR="00135720" w:rsidRDefault="00135720" w:rsidP="007A5FDB">
            <w:pPr>
              <w:jc w:val="both"/>
              <w:rPr>
                <w:rFonts w:ascii="Verdana" w:hAnsi="Verdana" w:cs="Arial"/>
                <w:bCs/>
                <w:lang w:val="es-MX" w:eastAsia="es-ES" w:bidi="es-ES"/>
              </w:rPr>
            </w:pPr>
            <w:r w:rsidRPr="00AC39B6">
              <w:rPr>
                <w:rFonts w:ascii="Verdana" w:hAnsi="Verdana" w:cs="Arial"/>
                <w:bCs/>
                <w:lang w:val="es-MX" w:eastAsia="es-ES" w:bidi="es-ES"/>
              </w:rPr>
              <w:t xml:space="preserve">Respuesta a consulta con radicado </w:t>
            </w:r>
            <w:r w:rsidRPr="00AC39B6">
              <w:rPr>
                <w:rFonts w:ascii="Verdana" w:hAnsi="Verdana" w:cs="Arial"/>
                <w:bCs/>
                <w:lang w:eastAsia="es-ES" w:bidi="es-ES"/>
              </w:rPr>
              <w:t xml:space="preserve">No. </w:t>
            </w:r>
            <w:r w:rsidRPr="00EC7542">
              <w:rPr>
                <w:rFonts w:ascii="Verdana" w:hAnsi="Verdana" w:cs="Arial"/>
                <w:bCs/>
                <w:lang w:eastAsia="es-ES" w:bidi="es-ES"/>
              </w:rPr>
              <w:t>1_2025_08_27_009143</w:t>
            </w:r>
          </w:p>
          <w:p w14:paraId="33C127CC" w14:textId="07DA4D4E" w:rsidR="00157783" w:rsidRPr="00AC39B6" w:rsidRDefault="00157783" w:rsidP="007A5FDB">
            <w:pPr>
              <w:jc w:val="both"/>
              <w:rPr>
                <w:rFonts w:ascii="Verdana" w:hAnsi="Verdana" w:cs="Arial"/>
                <w:bCs/>
                <w:lang w:val="es-MX" w:eastAsia="es-ES" w:bidi="es-ES"/>
              </w:rPr>
            </w:pPr>
          </w:p>
        </w:tc>
      </w:tr>
    </w:tbl>
    <w:p w14:paraId="3F54B095" w14:textId="77777777" w:rsidR="00135720" w:rsidRPr="0041694B" w:rsidRDefault="00135720" w:rsidP="00135720">
      <w:pPr>
        <w:spacing w:after="0" w:line="240" w:lineRule="auto"/>
        <w:jc w:val="both"/>
        <w:rPr>
          <w:rFonts w:ascii="Verdana" w:hAnsi="Verdana" w:cs="Arial"/>
          <w:bCs/>
          <w:lang w:val="es-ES_tradnl" w:eastAsia="es-ES" w:bidi="es-ES"/>
        </w:rPr>
      </w:pPr>
    </w:p>
    <w:p w14:paraId="2F0715CD" w14:textId="77777777" w:rsidR="00135720" w:rsidRPr="0041694B" w:rsidRDefault="00135720" w:rsidP="00135720">
      <w:pPr>
        <w:spacing w:after="0" w:line="240" w:lineRule="auto"/>
        <w:jc w:val="both"/>
        <w:rPr>
          <w:rFonts w:ascii="Verdana" w:hAnsi="Verdana" w:cs="Arial"/>
          <w:bCs/>
          <w:lang w:val="es-MX" w:eastAsia="es-ES" w:bidi="es-ES"/>
        </w:rPr>
      </w:pPr>
      <w:r>
        <w:rPr>
          <w:rFonts w:ascii="Verdana" w:hAnsi="Verdana" w:cs="Arial"/>
          <w:bCs/>
          <w:lang w:val="es-MX" w:eastAsia="es-ES" w:bidi="es-ES"/>
        </w:rPr>
        <w:t xml:space="preserve">Estimada Señora Pachón Medina: </w:t>
      </w:r>
    </w:p>
    <w:p w14:paraId="3DDC32DD" w14:textId="77777777" w:rsidR="00135720" w:rsidRPr="0041694B" w:rsidRDefault="00135720" w:rsidP="00135720">
      <w:pPr>
        <w:spacing w:after="0" w:line="240" w:lineRule="auto"/>
        <w:jc w:val="both"/>
        <w:rPr>
          <w:rFonts w:ascii="Verdana" w:hAnsi="Verdana" w:cs="Arial"/>
          <w:bCs/>
          <w:lang w:val="es-ES" w:eastAsia="es-ES" w:bidi="es-ES"/>
        </w:rPr>
      </w:pPr>
      <w:r w:rsidRPr="0041694B">
        <w:rPr>
          <w:rFonts w:ascii="Verdana" w:hAnsi="Verdana" w:cs="Arial"/>
          <w:bCs/>
          <w:lang w:val="es-ES" w:eastAsia="es-ES" w:bidi="es-ES"/>
        </w:rPr>
        <w:tab/>
      </w:r>
    </w:p>
    <w:p w14:paraId="43981683" w14:textId="77777777" w:rsidR="00135720" w:rsidRPr="0041694B" w:rsidRDefault="00135720" w:rsidP="00135720">
      <w:pPr>
        <w:spacing w:after="0" w:line="276" w:lineRule="auto"/>
        <w:jc w:val="both"/>
        <w:rPr>
          <w:rFonts w:ascii="Verdana" w:hAnsi="Verdana" w:cs="Arial"/>
          <w:bCs/>
          <w:lang w:val="es-ES" w:eastAsia="es-ES" w:bidi="es-ES"/>
        </w:rPr>
      </w:pPr>
      <w:r w:rsidRPr="00EC0E3F">
        <w:rPr>
          <w:rFonts w:ascii="Verdana" w:hAnsi="Verdana" w:cs="Arial"/>
          <w:bCs/>
          <w:lang w:val="es-ES" w:eastAsia="es-ES" w:bidi="es-ES"/>
        </w:rPr>
        <w:t xml:space="preserve">En ejercicio de la competencia otorgada por los artículos 3, numeral 5º, y 11, numeral 8º, del Decreto Ley 4170 de 2011, </w:t>
      </w:r>
      <w:r w:rsidRPr="00EC0E3F">
        <w:rPr>
          <w:rFonts w:ascii="Verdana" w:hAnsi="Verdana" w:cs="Arial"/>
          <w:bCs/>
          <w:lang w:eastAsia="es-ES" w:bidi="es-ES"/>
        </w:rPr>
        <w:t xml:space="preserve">así como lo establecido por la Resolución 469 de 2025 expedida por esta Entidad, </w:t>
      </w:r>
      <w:r w:rsidRPr="00EC0E3F">
        <w:rPr>
          <w:rFonts w:ascii="Verdana" w:hAnsi="Verdana" w:cs="Arial"/>
          <w:bCs/>
          <w:lang w:val="es-ES" w:eastAsia="es-ES" w:bidi="es-ES"/>
        </w:rPr>
        <w:t xml:space="preserve">la Agencia Nacional de Contratación Pública – Colombia Compra Eficiente– responde </w:t>
      </w:r>
      <w:r>
        <w:rPr>
          <w:rFonts w:ascii="Verdana" w:hAnsi="Verdana" w:cs="Arial"/>
          <w:bCs/>
          <w:lang w:val="es-ES" w:eastAsia="es-ES" w:bidi="es-ES"/>
        </w:rPr>
        <w:t xml:space="preserve">la solicitud </w:t>
      </w:r>
      <w:r w:rsidRPr="00EC0E3F">
        <w:rPr>
          <w:rFonts w:ascii="Verdana" w:hAnsi="Verdana" w:cs="Arial"/>
          <w:bCs/>
          <w:lang w:val="es-ES" w:eastAsia="es-ES" w:bidi="es-ES"/>
        </w:rPr>
        <w:t>del</w:t>
      </w:r>
      <w:r>
        <w:rPr>
          <w:rFonts w:ascii="Verdana" w:hAnsi="Verdana" w:cs="Arial"/>
          <w:bCs/>
          <w:lang w:val="es-ES" w:eastAsia="es-ES" w:bidi="es-ES"/>
        </w:rPr>
        <w:t xml:space="preserve"> 27 de agosto de 2025</w:t>
      </w:r>
      <w:r w:rsidRPr="00EC0E3F">
        <w:rPr>
          <w:rFonts w:ascii="Verdana" w:hAnsi="Verdana" w:cs="Arial"/>
          <w:bCs/>
          <w:lang w:val="es-ES" w:eastAsia="es-ES" w:bidi="es-ES"/>
        </w:rPr>
        <w:t>, en la cual manifiesta:</w:t>
      </w:r>
      <w:r w:rsidRPr="0041694B">
        <w:rPr>
          <w:rFonts w:ascii="Verdana" w:hAnsi="Verdana" w:cs="Arial"/>
          <w:bCs/>
          <w:lang w:val="es-ES" w:eastAsia="es-ES" w:bidi="es-ES"/>
        </w:rPr>
        <w:t xml:space="preserve"> </w:t>
      </w:r>
    </w:p>
    <w:p w14:paraId="3CA46B58" w14:textId="77777777" w:rsidR="00135720" w:rsidRPr="0041694B" w:rsidRDefault="00135720" w:rsidP="00135720">
      <w:pPr>
        <w:spacing w:after="0" w:line="240" w:lineRule="auto"/>
        <w:jc w:val="both"/>
        <w:rPr>
          <w:rFonts w:ascii="Verdana" w:hAnsi="Verdana" w:cs="Arial"/>
          <w:b/>
          <w:bCs/>
          <w:lang w:val="es-ES" w:eastAsia="es-ES" w:bidi="es-ES"/>
        </w:rPr>
      </w:pPr>
    </w:p>
    <w:p w14:paraId="0AB6DAF3"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val="es-ES" w:eastAsia="es-ES" w:bidi="es-ES"/>
        </w:rPr>
        <w:t>“</w:t>
      </w:r>
      <w:r w:rsidRPr="00EC7542">
        <w:rPr>
          <w:rFonts w:ascii="Verdana" w:hAnsi="Verdana" w:cs="Arial"/>
          <w:bCs/>
          <w:sz w:val="20"/>
          <w:lang w:eastAsia="es-ES" w:bidi="es-ES"/>
        </w:rPr>
        <w:t xml:space="preserve">1. ¿Es procedente que una ESE (Empresa Social del Estado) </w:t>
      </w:r>
      <w:proofErr w:type="gramStart"/>
      <w:r w:rsidRPr="00EC7542">
        <w:rPr>
          <w:rFonts w:ascii="Verdana" w:hAnsi="Verdana" w:cs="Arial"/>
          <w:bCs/>
          <w:sz w:val="20"/>
          <w:lang w:eastAsia="es-ES" w:bidi="es-ES"/>
        </w:rPr>
        <w:t>Red de Servicios de Salud adelante</w:t>
      </w:r>
      <w:r>
        <w:rPr>
          <w:rFonts w:ascii="Verdana" w:hAnsi="Verdana" w:cs="Arial"/>
          <w:bCs/>
          <w:sz w:val="20"/>
          <w:lang w:eastAsia="es-ES" w:bidi="es-ES"/>
        </w:rPr>
        <w:t xml:space="preserve"> </w:t>
      </w:r>
      <w:r w:rsidRPr="00EC7542">
        <w:rPr>
          <w:rFonts w:ascii="Verdana" w:hAnsi="Verdana" w:cs="Arial"/>
          <w:bCs/>
          <w:sz w:val="20"/>
          <w:lang w:eastAsia="es-ES" w:bidi="es-ES"/>
        </w:rPr>
        <w:t>procedimiento sancionatorio contractual con fundamento en el artículo 86 de la Ley 1474 de 2011,</w:t>
      </w:r>
      <w:r>
        <w:rPr>
          <w:rFonts w:ascii="Verdana" w:hAnsi="Verdana" w:cs="Arial"/>
          <w:bCs/>
          <w:sz w:val="20"/>
          <w:lang w:eastAsia="es-ES" w:bidi="es-ES"/>
        </w:rPr>
        <w:t xml:space="preserve"> </w:t>
      </w:r>
      <w:r w:rsidRPr="00EC7542">
        <w:rPr>
          <w:rFonts w:ascii="Verdana" w:hAnsi="Verdana" w:cs="Arial"/>
          <w:bCs/>
          <w:sz w:val="20"/>
          <w:lang w:eastAsia="es-ES" w:bidi="es-ES"/>
        </w:rPr>
        <w:t>considerando que dicha entidad tiene un régimen especial de contratación regido por el derecho</w:t>
      </w:r>
      <w:r>
        <w:rPr>
          <w:rFonts w:ascii="Verdana" w:hAnsi="Verdana" w:cs="Arial"/>
          <w:bCs/>
          <w:sz w:val="20"/>
          <w:lang w:eastAsia="es-ES" w:bidi="es-ES"/>
        </w:rPr>
        <w:t xml:space="preserve"> </w:t>
      </w:r>
      <w:r w:rsidRPr="00EC7542">
        <w:rPr>
          <w:rFonts w:ascii="Verdana" w:hAnsi="Verdana" w:cs="Arial"/>
          <w:bCs/>
          <w:sz w:val="20"/>
          <w:lang w:eastAsia="es-ES" w:bidi="es-ES"/>
        </w:rPr>
        <w:t>privado?</w:t>
      </w:r>
      <w:proofErr w:type="gramEnd"/>
      <w:r w:rsidRPr="00EC7542">
        <w:rPr>
          <w:rFonts w:ascii="Verdana" w:hAnsi="Verdana" w:cs="Arial"/>
          <w:bCs/>
          <w:sz w:val="20"/>
          <w:lang w:eastAsia="es-ES" w:bidi="es-ES"/>
        </w:rPr>
        <w:t xml:space="preserve"> Sumado a lo anterior, la ESE no cuenta con un acto </w:t>
      </w:r>
      <w:r w:rsidRPr="00EC7542">
        <w:rPr>
          <w:rFonts w:ascii="Verdana" w:hAnsi="Verdana" w:cs="Arial"/>
          <w:bCs/>
          <w:sz w:val="20"/>
          <w:lang w:eastAsia="es-ES" w:bidi="es-ES"/>
        </w:rPr>
        <w:lastRenderedPageBreak/>
        <w:t>administrativo en donde se haya adoptado</w:t>
      </w:r>
      <w:r>
        <w:rPr>
          <w:rFonts w:ascii="Verdana" w:hAnsi="Verdana" w:cs="Arial"/>
          <w:bCs/>
          <w:sz w:val="20"/>
          <w:lang w:eastAsia="es-ES" w:bidi="es-ES"/>
        </w:rPr>
        <w:t xml:space="preserve"> </w:t>
      </w:r>
      <w:r w:rsidRPr="00EC7542">
        <w:rPr>
          <w:rFonts w:ascii="Verdana" w:hAnsi="Verdana" w:cs="Arial"/>
          <w:bCs/>
          <w:sz w:val="20"/>
          <w:lang w:eastAsia="es-ES" w:bidi="es-ES"/>
        </w:rPr>
        <w:t xml:space="preserve">el procedimiento o proceso </w:t>
      </w:r>
      <w:proofErr w:type="spellStart"/>
      <w:r w:rsidRPr="00EC7542">
        <w:rPr>
          <w:rFonts w:ascii="Verdana" w:hAnsi="Verdana" w:cs="Arial"/>
          <w:bCs/>
          <w:sz w:val="20"/>
          <w:lang w:eastAsia="es-ES" w:bidi="es-ES"/>
        </w:rPr>
        <w:t>dispeusto</w:t>
      </w:r>
      <w:proofErr w:type="spellEnd"/>
      <w:r w:rsidRPr="00EC7542">
        <w:rPr>
          <w:rFonts w:ascii="Verdana" w:hAnsi="Verdana" w:cs="Arial"/>
          <w:bCs/>
          <w:sz w:val="20"/>
          <w:lang w:eastAsia="es-ES" w:bidi="es-ES"/>
        </w:rPr>
        <w:t xml:space="preserve"> en el artículo 86 de la Ley 1474 de 2011</w:t>
      </w:r>
    </w:p>
    <w:p w14:paraId="23FA56CC"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eastAsia="es-ES" w:bidi="es-ES"/>
        </w:rPr>
        <w:t>2. ¿Puede una ESE surtir un proceso de incumplimiento sin contar con un acto administrativo en donde</w:t>
      </w:r>
      <w:r>
        <w:rPr>
          <w:rFonts w:ascii="Verdana" w:hAnsi="Verdana" w:cs="Arial"/>
          <w:bCs/>
          <w:sz w:val="20"/>
          <w:lang w:eastAsia="es-ES" w:bidi="es-ES"/>
        </w:rPr>
        <w:t xml:space="preserve"> </w:t>
      </w:r>
      <w:r w:rsidRPr="00EC7542">
        <w:rPr>
          <w:rFonts w:ascii="Verdana" w:hAnsi="Verdana" w:cs="Arial"/>
          <w:bCs/>
          <w:sz w:val="20"/>
          <w:lang w:eastAsia="es-ES" w:bidi="es-ES"/>
        </w:rPr>
        <w:t>se haya adoptado el procedimiento o proceso para tal efecto?</w:t>
      </w:r>
    </w:p>
    <w:p w14:paraId="55E0A4A1"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eastAsia="es-ES" w:bidi="es-ES"/>
        </w:rPr>
        <w:t xml:space="preserve">3. Si bien es cierto las ESE pueden aplicar las </w:t>
      </w:r>
      <w:proofErr w:type="spellStart"/>
      <w:r w:rsidRPr="00EC7542">
        <w:rPr>
          <w:rFonts w:ascii="Verdana" w:hAnsi="Verdana" w:cs="Arial"/>
          <w:bCs/>
          <w:sz w:val="20"/>
          <w:lang w:eastAsia="es-ES" w:bidi="es-ES"/>
        </w:rPr>
        <w:t>clausulas</w:t>
      </w:r>
      <w:proofErr w:type="spellEnd"/>
      <w:r w:rsidRPr="00EC7542">
        <w:rPr>
          <w:rFonts w:ascii="Verdana" w:hAnsi="Verdana" w:cs="Arial"/>
          <w:bCs/>
          <w:sz w:val="20"/>
          <w:lang w:eastAsia="es-ES" w:bidi="es-ES"/>
        </w:rPr>
        <w:t xml:space="preserve"> excepcionales o exorbitantes, a las que alude el</w:t>
      </w:r>
      <w:r>
        <w:rPr>
          <w:rFonts w:ascii="Verdana" w:hAnsi="Verdana" w:cs="Arial"/>
          <w:bCs/>
          <w:sz w:val="20"/>
          <w:lang w:eastAsia="es-ES" w:bidi="es-ES"/>
        </w:rPr>
        <w:t xml:space="preserve"> </w:t>
      </w:r>
      <w:r w:rsidRPr="00EC7542">
        <w:rPr>
          <w:rFonts w:ascii="Verdana" w:hAnsi="Verdana" w:cs="Arial"/>
          <w:bCs/>
          <w:sz w:val="20"/>
          <w:lang w:eastAsia="es-ES" w:bidi="es-ES"/>
        </w:rPr>
        <w:t>numeral 6° del artículo 185 de la ley 100 de 1993, ¿el procedimiento para tal fin debe estar previamente</w:t>
      </w:r>
      <w:r>
        <w:rPr>
          <w:rFonts w:ascii="Verdana" w:hAnsi="Verdana" w:cs="Arial"/>
          <w:bCs/>
          <w:sz w:val="20"/>
          <w:lang w:eastAsia="es-ES" w:bidi="es-ES"/>
        </w:rPr>
        <w:t xml:space="preserve"> </w:t>
      </w:r>
      <w:r w:rsidRPr="00EC7542">
        <w:rPr>
          <w:rFonts w:ascii="Verdana" w:hAnsi="Verdana" w:cs="Arial"/>
          <w:bCs/>
          <w:sz w:val="20"/>
          <w:lang w:eastAsia="es-ES" w:bidi="es-ES"/>
        </w:rPr>
        <w:t>dispuesto, es decir, debe existir un acto administrativo que indique como se llevaría el proceso, términos,</w:t>
      </w:r>
      <w:r>
        <w:rPr>
          <w:rFonts w:ascii="Verdana" w:hAnsi="Verdana" w:cs="Arial"/>
          <w:bCs/>
          <w:sz w:val="20"/>
          <w:lang w:eastAsia="es-ES" w:bidi="es-ES"/>
        </w:rPr>
        <w:t xml:space="preserve"> </w:t>
      </w:r>
      <w:r w:rsidRPr="00EC7542">
        <w:rPr>
          <w:rFonts w:ascii="Verdana" w:hAnsi="Verdana" w:cs="Arial"/>
          <w:bCs/>
          <w:sz w:val="20"/>
          <w:lang w:eastAsia="es-ES" w:bidi="es-ES"/>
        </w:rPr>
        <w:t xml:space="preserve">etapas, </w:t>
      </w:r>
      <w:proofErr w:type="spellStart"/>
      <w:r w:rsidRPr="00EC7542">
        <w:rPr>
          <w:rFonts w:ascii="Verdana" w:hAnsi="Verdana" w:cs="Arial"/>
          <w:bCs/>
          <w:sz w:val="20"/>
          <w:lang w:eastAsia="es-ES" w:bidi="es-ES"/>
        </w:rPr>
        <w:t>etc</w:t>
      </w:r>
      <w:proofErr w:type="spellEnd"/>
      <w:r w:rsidRPr="00EC7542">
        <w:rPr>
          <w:rFonts w:ascii="Verdana" w:hAnsi="Verdana" w:cs="Arial"/>
          <w:bCs/>
          <w:sz w:val="20"/>
          <w:lang w:eastAsia="es-ES" w:bidi="es-ES"/>
        </w:rPr>
        <w:t>?</w:t>
      </w:r>
    </w:p>
    <w:p w14:paraId="26188A22"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eastAsia="es-ES" w:bidi="es-ES"/>
        </w:rPr>
        <w:t xml:space="preserve">4. ¿Las sesiones de la audiencia de </w:t>
      </w:r>
      <w:proofErr w:type="spellStart"/>
      <w:r w:rsidRPr="00EC7542">
        <w:rPr>
          <w:rFonts w:ascii="Verdana" w:hAnsi="Verdana" w:cs="Arial"/>
          <w:bCs/>
          <w:sz w:val="20"/>
          <w:lang w:eastAsia="es-ES" w:bidi="es-ES"/>
        </w:rPr>
        <w:t>incumpimiento</w:t>
      </w:r>
      <w:proofErr w:type="spellEnd"/>
      <w:r w:rsidRPr="00EC7542">
        <w:rPr>
          <w:rFonts w:ascii="Verdana" w:hAnsi="Verdana" w:cs="Arial"/>
          <w:bCs/>
          <w:sz w:val="20"/>
          <w:lang w:eastAsia="es-ES" w:bidi="es-ES"/>
        </w:rPr>
        <w:t xml:space="preserve"> realizadas por la ESE con fundamento en el artículo</w:t>
      </w:r>
      <w:r>
        <w:rPr>
          <w:rFonts w:ascii="Verdana" w:hAnsi="Verdana" w:cs="Arial"/>
          <w:bCs/>
          <w:sz w:val="20"/>
          <w:lang w:eastAsia="es-ES" w:bidi="es-ES"/>
        </w:rPr>
        <w:t xml:space="preserve"> </w:t>
      </w:r>
      <w:r w:rsidRPr="00EC7542">
        <w:rPr>
          <w:rFonts w:ascii="Verdana" w:hAnsi="Verdana" w:cs="Arial"/>
          <w:bCs/>
          <w:sz w:val="20"/>
          <w:lang w:eastAsia="es-ES" w:bidi="es-ES"/>
        </w:rPr>
        <w:t>86 de la Ley 1474 de 2011, que se realizan de forma virtual deben ser grabadas?</w:t>
      </w:r>
    </w:p>
    <w:p w14:paraId="1678056F"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eastAsia="es-ES" w:bidi="es-ES"/>
        </w:rPr>
        <w:t>5. ¿</w:t>
      </w:r>
      <w:proofErr w:type="spellStart"/>
      <w:r w:rsidRPr="00EC7542">
        <w:rPr>
          <w:rFonts w:ascii="Verdana" w:hAnsi="Verdana" w:cs="Arial"/>
          <w:bCs/>
          <w:sz w:val="20"/>
          <w:lang w:eastAsia="es-ES" w:bidi="es-ES"/>
        </w:rPr>
        <w:t>Que</w:t>
      </w:r>
      <w:proofErr w:type="spellEnd"/>
      <w:r w:rsidRPr="00EC7542">
        <w:rPr>
          <w:rFonts w:ascii="Verdana" w:hAnsi="Verdana" w:cs="Arial"/>
          <w:bCs/>
          <w:sz w:val="20"/>
          <w:lang w:eastAsia="es-ES" w:bidi="es-ES"/>
        </w:rPr>
        <w:t xml:space="preserve"> sucede si las actas de las sesiones de la audiencia de </w:t>
      </w:r>
      <w:proofErr w:type="spellStart"/>
      <w:r w:rsidRPr="00EC7542">
        <w:rPr>
          <w:rFonts w:ascii="Verdana" w:hAnsi="Verdana" w:cs="Arial"/>
          <w:bCs/>
          <w:sz w:val="20"/>
          <w:lang w:eastAsia="es-ES" w:bidi="es-ES"/>
        </w:rPr>
        <w:t>incumpimiento</w:t>
      </w:r>
      <w:proofErr w:type="spellEnd"/>
      <w:r w:rsidRPr="00EC7542">
        <w:rPr>
          <w:rFonts w:ascii="Verdana" w:hAnsi="Verdana" w:cs="Arial"/>
          <w:bCs/>
          <w:sz w:val="20"/>
          <w:lang w:eastAsia="es-ES" w:bidi="es-ES"/>
        </w:rPr>
        <w:t xml:space="preserve"> adelantada por una ESE</w:t>
      </w:r>
      <w:r>
        <w:rPr>
          <w:rFonts w:ascii="Verdana" w:hAnsi="Verdana" w:cs="Arial"/>
          <w:bCs/>
          <w:sz w:val="20"/>
          <w:lang w:eastAsia="es-ES" w:bidi="es-ES"/>
        </w:rPr>
        <w:t xml:space="preserve"> </w:t>
      </w:r>
      <w:r w:rsidRPr="00EC7542">
        <w:rPr>
          <w:rFonts w:ascii="Verdana" w:hAnsi="Verdana" w:cs="Arial"/>
          <w:bCs/>
          <w:sz w:val="20"/>
          <w:lang w:eastAsia="es-ES" w:bidi="es-ES"/>
        </w:rPr>
        <w:t>con fundamento en el artículo 86 de la Ley 1474 de 2011 no contienen lo que las partes expusieron</w:t>
      </w:r>
      <w:r>
        <w:rPr>
          <w:rFonts w:ascii="Verdana" w:hAnsi="Verdana" w:cs="Arial"/>
          <w:bCs/>
          <w:sz w:val="20"/>
          <w:lang w:eastAsia="es-ES" w:bidi="es-ES"/>
        </w:rPr>
        <w:t xml:space="preserve"> </w:t>
      </w:r>
      <w:r w:rsidRPr="00EC7542">
        <w:rPr>
          <w:rFonts w:ascii="Verdana" w:hAnsi="Verdana" w:cs="Arial"/>
          <w:bCs/>
          <w:sz w:val="20"/>
          <w:lang w:eastAsia="es-ES" w:bidi="es-ES"/>
        </w:rPr>
        <w:t>durante la diligencia, y la entidad no grabó la diligencia?</w:t>
      </w:r>
    </w:p>
    <w:p w14:paraId="157526F4"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eastAsia="es-ES" w:bidi="es-ES"/>
        </w:rPr>
        <w:t>6. ¿</w:t>
      </w:r>
      <w:proofErr w:type="spellStart"/>
      <w:r w:rsidRPr="00EC7542">
        <w:rPr>
          <w:rFonts w:ascii="Verdana" w:hAnsi="Verdana" w:cs="Arial"/>
          <w:bCs/>
          <w:sz w:val="20"/>
          <w:lang w:eastAsia="es-ES" w:bidi="es-ES"/>
        </w:rPr>
        <w:t>Que</w:t>
      </w:r>
      <w:proofErr w:type="spellEnd"/>
      <w:r w:rsidRPr="00EC7542">
        <w:rPr>
          <w:rFonts w:ascii="Verdana" w:hAnsi="Verdana" w:cs="Arial"/>
          <w:bCs/>
          <w:sz w:val="20"/>
          <w:lang w:eastAsia="es-ES" w:bidi="es-ES"/>
        </w:rPr>
        <w:t xml:space="preserve"> sucede si no existe un procedimiento que permita establecer las reglas bajo las cuales una ESE</w:t>
      </w:r>
      <w:r>
        <w:rPr>
          <w:rFonts w:ascii="Verdana" w:hAnsi="Verdana" w:cs="Arial"/>
          <w:bCs/>
          <w:sz w:val="20"/>
          <w:lang w:eastAsia="es-ES" w:bidi="es-ES"/>
        </w:rPr>
        <w:t xml:space="preserve"> </w:t>
      </w:r>
      <w:r w:rsidRPr="00EC7542">
        <w:rPr>
          <w:rFonts w:ascii="Verdana" w:hAnsi="Verdana" w:cs="Arial"/>
          <w:bCs/>
          <w:sz w:val="20"/>
          <w:lang w:eastAsia="es-ES" w:bidi="es-ES"/>
        </w:rPr>
        <w:t>realizará una audiencia de incumplimiento con fundamento en el artículo 86 de la Ley 1474?</w:t>
      </w:r>
    </w:p>
    <w:p w14:paraId="4A6417E3"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eastAsia="es-ES" w:bidi="es-ES"/>
        </w:rPr>
        <w:t>7. ¿</w:t>
      </w:r>
      <w:proofErr w:type="spellStart"/>
      <w:r w:rsidRPr="00EC7542">
        <w:rPr>
          <w:rFonts w:ascii="Verdana" w:hAnsi="Verdana" w:cs="Arial"/>
          <w:bCs/>
          <w:sz w:val="20"/>
          <w:lang w:eastAsia="es-ES" w:bidi="es-ES"/>
        </w:rPr>
        <w:t>Que</w:t>
      </w:r>
      <w:proofErr w:type="spellEnd"/>
      <w:r w:rsidRPr="00EC7542">
        <w:rPr>
          <w:rFonts w:ascii="Verdana" w:hAnsi="Verdana" w:cs="Arial"/>
          <w:bCs/>
          <w:sz w:val="20"/>
          <w:lang w:eastAsia="es-ES" w:bidi="es-ES"/>
        </w:rPr>
        <w:t xml:space="preserve"> sucede si una ESE impulsa un proceso de incumplimiento con fundamento en el artículo 86 de la</w:t>
      </w:r>
      <w:r>
        <w:rPr>
          <w:rFonts w:ascii="Verdana" w:hAnsi="Verdana" w:cs="Arial"/>
          <w:bCs/>
          <w:sz w:val="20"/>
          <w:lang w:eastAsia="es-ES" w:bidi="es-ES"/>
        </w:rPr>
        <w:t xml:space="preserve"> </w:t>
      </w:r>
      <w:r w:rsidRPr="00EC7542">
        <w:rPr>
          <w:rFonts w:ascii="Verdana" w:hAnsi="Verdana" w:cs="Arial"/>
          <w:bCs/>
          <w:sz w:val="20"/>
          <w:lang w:eastAsia="es-ES" w:bidi="es-ES"/>
        </w:rPr>
        <w:t>Ley 1474, pero el mismo es contrario a lo dispuesto en el manual de contratación?</w:t>
      </w:r>
    </w:p>
    <w:p w14:paraId="7CF5309C" w14:textId="77777777" w:rsidR="00135720" w:rsidRPr="00EC7542" w:rsidRDefault="00135720" w:rsidP="00135720">
      <w:pPr>
        <w:spacing w:after="0" w:line="240" w:lineRule="auto"/>
        <w:ind w:left="709" w:right="709"/>
        <w:jc w:val="both"/>
        <w:rPr>
          <w:rFonts w:ascii="Verdana" w:hAnsi="Verdana" w:cs="Arial"/>
          <w:bCs/>
          <w:sz w:val="20"/>
          <w:lang w:eastAsia="es-ES" w:bidi="es-ES"/>
        </w:rPr>
      </w:pPr>
      <w:r w:rsidRPr="00EC7542">
        <w:rPr>
          <w:rFonts w:ascii="Verdana" w:hAnsi="Verdana" w:cs="Arial"/>
          <w:bCs/>
          <w:sz w:val="20"/>
          <w:lang w:eastAsia="es-ES" w:bidi="es-ES"/>
        </w:rPr>
        <w:t>8. ¿</w:t>
      </w:r>
      <w:proofErr w:type="spellStart"/>
      <w:r w:rsidRPr="00EC7542">
        <w:rPr>
          <w:rFonts w:ascii="Verdana" w:hAnsi="Verdana" w:cs="Arial"/>
          <w:bCs/>
          <w:sz w:val="20"/>
          <w:lang w:eastAsia="es-ES" w:bidi="es-ES"/>
        </w:rPr>
        <w:t>Que</w:t>
      </w:r>
      <w:proofErr w:type="spellEnd"/>
      <w:r w:rsidRPr="00EC7542">
        <w:rPr>
          <w:rFonts w:ascii="Verdana" w:hAnsi="Verdana" w:cs="Arial"/>
          <w:bCs/>
          <w:sz w:val="20"/>
          <w:lang w:eastAsia="es-ES" w:bidi="es-ES"/>
        </w:rPr>
        <w:t xml:space="preserve"> sucede si una ESE no cuenta con un manual de </w:t>
      </w:r>
      <w:proofErr w:type="spellStart"/>
      <w:r w:rsidRPr="00EC7542">
        <w:rPr>
          <w:rFonts w:ascii="Verdana" w:hAnsi="Verdana" w:cs="Arial"/>
          <w:bCs/>
          <w:sz w:val="20"/>
          <w:lang w:eastAsia="es-ES" w:bidi="es-ES"/>
        </w:rPr>
        <w:t>contratacion</w:t>
      </w:r>
      <w:proofErr w:type="spellEnd"/>
      <w:r w:rsidRPr="00EC7542">
        <w:rPr>
          <w:rFonts w:ascii="Verdana" w:hAnsi="Verdana" w:cs="Arial"/>
          <w:bCs/>
          <w:sz w:val="20"/>
          <w:lang w:eastAsia="es-ES" w:bidi="es-ES"/>
        </w:rPr>
        <w:t xml:space="preserve"> en donde se establezca el proceso</w:t>
      </w:r>
      <w:r>
        <w:rPr>
          <w:rFonts w:ascii="Verdana" w:hAnsi="Verdana" w:cs="Arial"/>
          <w:bCs/>
          <w:sz w:val="20"/>
          <w:lang w:eastAsia="es-ES" w:bidi="es-ES"/>
        </w:rPr>
        <w:t xml:space="preserve"> </w:t>
      </w:r>
      <w:r w:rsidRPr="00EC7542">
        <w:rPr>
          <w:rFonts w:ascii="Verdana" w:hAnsi="Verdana" w:cs="Arial"/>
          <w:bCs/>
          <w:sz w:val="20"/>
          <w:lang w:eastAsia="es-ES" w:bidi="es-ES"/>
        </w:rPr>
        <w:t>y procedimiento de la audiencia de incumplimiento, pero en el contrato determino en términos generales</w:t>
      </w:r>
      <w:r w:rsidRPr="00EC7542">
        <w:rPr>
          <w:rFonts w:ascii="Verdana" w:hAnsi="Verdana" w:cs="Arial"/>
          <w:bCs/>
          <w:i/>
          <w:iCs/>
          <w:sz w:val="20"/>
          <w:lang w:eastAsia="es-ES" w:bidi="es-ES"/>
        </w:rPr>
        <w:t xml:space="preserve"> la potestad de acudir a las </w:t>
      </w:r>
      <w:proofErr w:type="spellStart"/>
      <w:r w:rsidRPr="00EC7542">
        <w:rPr>
          <w:rFonts w:ascii="Verdana" w:hAnsi="Verdana" w:cs="Arial"/>
          <w:bCs/>
          <w:i/>
          <w:iCs/>
          <w:sz w:val="20"/>
          <w:lang w:eastAsia="es-ES" w:bidi="es-ES"/>
        </w:rPr>
        <w:t>clausulas</w:t>
      </w:r>
      <w:proofErr w:type="spellEnd"/>
      <w:r w:rsidRPr="00EC7542">
        <w:rPr>
          <w:rFonts w:ascii="Verdana" w:hAnsi="Verdana" w:cs="Arial"/>
          <w:bCs/>
          <w:i/>
          <w:iCs/>
          <w:sz w:val="20"/>
          <w:lang w:eastAsia="es-ES" w:bidi="es-ES"/>
        </w:rPr>
        <w:t xml:space="preserve"> exorbitantes ante un incumplimiento? ¿</w:t>
      </w:r>
      <w:proofErr w:type="spellStart"/>
      <w:r w:rsidRPr="00EC7542">
        <w:rPr>
          <w:rFonts w:ascii="Verdana" w:hAnsi="Verdana" w:cs="Arial"/>
          <w:bCs/>
          <w:i/>
          <w:iCs/>
          <w:sz w:val="20"/>
          <w:lang w:eastAsia="es-ES" w:bidi="es-ES"/>
        </w:rPr>
        <w:t>Que</w:t>
      </w:r>
      <w:proofErr w:type="spellEnd"/>
      <w:r w:rsidRPr="00EC7542">
        <w:rPr>
          <w:rFonts w:ascii="Verdana" w:hAnsi="Verdana" w:cs="Arial"/>
          <w:bCs/>
          <w:i/>
          <w:iCs/>
          <w:sz w:val="20"/>
          <w:lang w:eastAsia="es-ES" w:bidi="es-ES"/>
        </w:rPr>
        <w:t xml:space="preserve"> procedimiento se debería seguir y bajo que reglas?”</w:t>
      </w:r>
    </w:p>
    <w:p w14:paraId="6556C602" w14:textId="77777777" w:rsidR="00135720" w:rsidRPr="002D0DC9" w:rsidRDefault="00135720" w:rsidP="00135720">
      <w:pPr>
        <w:spacing w:after="0" w:line="240" w:lineRule="auto"/>
        <w:jc w:val="both"/>
        <w:rPr>
          <w:rFonts w:ascii="Verdana" w:hAnsi="Verdana" w:cs="Arial"/>
          <w:b/>
          <w:bCs/>
          <w:lang w:eastAsia="es-ES" w:bidi="es-ES"/>
        </w:rPr>
      </w:pPr>
    </w:p>
    <w:p w14:paraId="4CF725F3" w14:textId="77777777" w:rsidR="00135720" w:rsidRPr="00121EA1" w:rsidRDefault="00135720" w:rsidP="00135720">
      <w:pPr>
        <w:spacing w:after="120" w:line="276" w:lineRule="auto"/>
        <w:ind w:firstLine="709"/>
        <w:jc w:val="both"/>
        <w:rPr>
          <w:rFonts w:ascii="Verdana" w:eastAsia="Calibri" w:hAnsi="Verdana" w:cs="Times New Roman"/>
          <w:lang w:val="es-ES"/>
        </w:rPr>
      </w:pPr>
      <w:r w:rsidRPr="00121EA1">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077B258" w14:textId="77777777" w:rsidR="00135720" w:rsidRDefault="00135720" w:rsidP="00135720">
      <w:pPr>
        <w:spacing w:after="0" w:line="276" w:lineRule="auto"/>
        <w:ind w:firstLine="708"/>
        <w:jc w:val="both"/>
        <w:rPr>
          <w:rFonts w:ascii="Verdana" w:eastAsia="Calibri" w:hAnsi="Verdana" w:cs="Times New Roman"/>
          <w:lang w:val="es-ES"/>
        </w:rPr>
      </w:pPr>
      <w:r w:rsidRPr="00121EA1">
        <w:rPr>
          <w:rFonts w:ascii="Verdana" w:eastAsia="Calibri" w:hAnsi="Verdana" w:cs="Times New Roman"/>
          <w:lang w:val="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w:t>
      </w:r>
      <w:r w:rsidRPr="00121EA1">
        <w:rPr>
          <w:rFonts w:ascii="Verdana" w:eastAsia="Calibri" w:hAnsi="Verdana" w:cs="Times New Roman"/>
          <w:lang w:val="es-ES"/>
        </w:rPr>
        <w:t>de su consulta.</w:t>
      </w:r>
    </w:p>
    <w:p w14:paraId="4B01B65B" w14:textId="77777777" w:rsidR="00135720" w:rsidRPr="00121EA1" w:rsidRDefault="00135720" w:rsidP="00135720">
      <w:pPr>
        <w:spacing w:after="0" w:line="256" w:lineRule="auto"/>
        <w:rPr>
          <w:rFonts w:ascii="Verdana" w:eastAsia="Calibri" w:hAnsi="Verdana" w:cs="Times New Roman"/>
          <w:lang w:val="es-ES"/>
        </w:rPr>
      </w:pPr>
    </w:p>
    <w:p w14:paraId="1BBD997A" w14:textId="77777777" w:rsidR="00135720" w:rsidRPr="00121EA1" w:rsidRDefault="00135720" w:rsidP="00135720">
      <w:pPr>
        <w:numPr>
          <w:ilvl w:val="0"/>
          <w:numId w:val="19"/>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Problema planteado:</w:t>
      </w:r>
    </w:p>
    <w:p w14:paraId="53B59DAF" w14:textId="77777777" w:rsidR="00135720" w:rsidRPr="00121EA1" w:rsidRDefault="00135720" w:rsidP="00135720">
      <w:pPr>
        <w:spacing w:after="0" w:line="256" w:lineRule="auto"/>
        <w:rPr>
          <w:rFonts w:ascii="Verdana" w:eastAsia="Calibri" w:hAnsi="Verdana" w:cs="Times New Roman"/>
        </w:rPr>
      </w:pPr>
    </w:p>
    <w:p w14:paraId="796F1D89" w14:textId="77777777" w:rsidR="00135720" w:rsidRPr="003914FB" w:rsidRDefault="00135720" w:rsidP="00135720">
      <w:pPr>
        <w:spacing w:after="0" w:line="276" w:lineRule="auto"/>
        <w:jc w:val="both"/>
        <w:rPr>
          <w:rFonts w:ascii="Verdana" w:eastAsia="Calibri" w:hAnsi="Verdana" w:cs="Times New Roman"/>
        </w:rPr>
      </w:pPr>
      <w:r w:rsidRPr="00CF1121">
        <w:rPr>
          <w:rFonts w:ascii="Verdana" w:eastAsia="Calibri" w:hAnsi="Verdana" w:cs="Times New Roman"/>
        </w:rPr>
        <w:t xml:space="preserve">De acuerdo </w:t>
      </w:r>
      <w:r>
        <w:rPr>
          <w:rFonts w:ascii="Verdana" w:eastAsia="Calibri" w:hAnsi="Verdana" w:cs="Times New Roman"/>
        </w:rPr>
        <w:t>con el contenido de sus solicitudes</w:t>
      </w:r>
      <w:r w:rsidRPr="00CF1121">
        <w:rPr>
          <w:rFonts w:ascii="Verdana" w:eastAsia="Calibri" w:hAnsi="Verdana" w:cs="Times New Roman"/>
        </w:rPr>
        <w:t xml:space="preserve">, esta Agencia procede </w:t>
      </w:r>
      <w:r>
        <w:rPr>
          <w:rFonts w:ascii="Verdana" w:eastAsia="Calibri" w:hAnsi="Verdana" w:cs="Times New Roman"/>
        </w:rPr>
        <w:t xml:space="preserve">a condensarlas en los </w:t>
      </w:r>
      <w:r w:rsidRPr="00CF1121">
        <w:rPr>
          <w:rFonts w:ascii="Verdana" w:eastAsia="Calibri" w:hAnsi="Verdana" w:cs="Times New Roman"/>
        </w:rPr>
        <w:t>siguientes problemas jurídicos:</w:t>
      </w:r>
      <w:r>
        <w:rPr>
          <w:rFonts w:ascii="Verdana" w:eastAsia="Calibri" w:hAnsi="Verdana" w:cs="Times New Roman"/>
        </w:rPr>
        <w:t xml:space="preserve"> i) ¿Puede una ESE adelantar </w:t>
      </w:r>
      <w:r w:rsidRPr="003914FB">
        <w:rPr>
          <w:rFonts w:ascii="Verdana" w:eastAsia="Calibri" w:hAnsi="Verdana" w:cs="Times New Roman"/>
        </w:rPr>
        <w:t xml:space="preserve"> el procedimiento</w:t>
      </w:r>
      <w:r>
        <w:rPr>
          <w:rFonts w:ascii="Verdana" w:eastAsia="Calibri" w:hAnsi="Verdana" w:cs="Times New Roman"/>
        </w:rPr>
        <w:t xml:space="preserve"> administrativo</w:t>
      </w:r>
      <w:r w:rsidRPr="003914FB">
        <w:rPr>
          <w:rFonts w:ascii="Verdana" w:eastAsia="Calibri" w:hAnsi="Verdana" w:cs="Times New Roman"/>
        </w:rPr>
        <w:t xml:space="preserve"> del artículo 86 de la Ley 1474 de 2011, considerando que su régimen contractual es de derecho privado</w:t>
      </w:r>
      <w:r>
        <w:rPr>
          <w:rFonts w:ascii="Verdana" w:eastAsia="Calibri" w:hAnsi="Verdana" w:cs="Times New Roman"/>
        </w:rPr>
        <w:t xml:space="preserve"> y sin que se haya establecido en su manual de contratación?; </w:t>
      </w:r>
      <w:proofErr w:type="spellStart"/>
      <w:r>
        <w:rPr>
          <w:rFonts w:ascii="Verdana" w:eastAsia="Calibri" w:hAnsi="Verdana" w:cs="Times New Roman"/>
        </w:rPr>
        <w:t>ii</w:t>
      </w:r>
      <w:proofErr w:type="spellEnd"/>
      <w:r>
        <w:rPr>
          <w:rFonts w:ascii="Verdana" w:eastAsia="Calibri" w:hAnsi="Verdana" w:cs="Times New Roman"/>
        </w:rPr>
        <w:t>)</w:t>
      </w:r>
      <w:r w:rsidRPr="003914FB">
        <w:rPr>
          <w:rFonts w:ascii="Verdana" w:eastAsia="Calibri" w:hAnsi="Verdana" w:cs="Times New Roman"/>
        </w:rPr>
        <w:t xml:space="preserve"> </w:t>
      </w:r>
      <w:r>
        <w:rPr>
          <w:rFonts w:ascii="Verdana" w:eastAsia="Calibri" w:hAnsi="Verdana" w:cs="Times New Roman"/>
        </w:rPr>
        <w:t>¿Qué lineamientos deben tenerse en cuenta en l</w:t>
      </w:r>
      <w:r w:rsidRPr="003914FB">
        <w:rPr>
          <w:rFonts w:ascii="Verdana" w:eastAsia="Calibri" w:hAnsi="Verdana" w:cs="Times New Roman"/>
        </w:rPr>
        <w:t>as audiencias virtu</w:t>
      </w:r>
      <w:r>
        <w:rPr>
          <w:rFonts w:ascii="Verdana" w:eastAsia="Calibri" w:hAnsi="Verdana" w:cs="Times New Roman"/>
        </w:rPr>
        <w:t>ales de incumplimiento en el marco de un procedimiento sancionatorio</w:t>
      </w:r>
      <w:r w:rsidRPr="003914FB">
        <w:rPr>
          <w:rFonts w:ascii="Verdana" w:eastAsia="Calibri" w:hAnsi="Verdana" w:cs="Times New Roman"/>
        </w:rPr>
        <w:t>?</w:t>
      </w:r>
      <w:r>
        <w:rPr>
          <w:rFonts w:ascii="Verdana" w:eastAsia="Calibri" w:hAnsi="Verdana" w:cs="Times New Roman"/>
        </w:rPr>
        <w:t xml:space="preserve">; </w:t>
      </w:r>
      <w:proofErr w:type="spellStart"/>
      <w:r>
        <w:rPr>
          <w:rFonts w:ascii="Verdana" w:eastAsia="Calibri" w:hAnsi="Verdana" w:cs="Times New Roman"/>
        </w:rPr>
        <w:t>iii</w:t>
      </w:r>
      <w:proofErr w:type="spellEnd"/>
      <w:r>
        <w:rPr>
          <w:rFonts w:ascii="Verdana" w:eastAsia="Calibri" w:hAnsi="Verdana" w:cs="Times New Roman"/>
        </w:rPr>
        <w:t>)</w:t>
      </w:r>
      <w:r w:rsidRPr="003914FB">
        <w:rPr>
          <w:rFonts w:ascii="Verdana" w:eastAsia="Calibri" w:hAnsi="Verdana" w:cs="Times New Roman"/>
        </w:rPr>
        <w:t xml:space="preserve"> ¿Qué ocurre si el procedimiento aplicado contradice el manual de contratación o no está previsto en ningún documento institucional?</w:t>
      </w:r>
    </w:p>
    <w:p w14:paraId="36CCFE3E" w14:textId="77777777" w:rsidR="00135720" w:rsidRPr="00CF1121" w:rsidRDefault="00135720" w:rsidP="00135720">
      <w:pPr>
        <w:spacing w:after="0" w:line="276" w:lineRule="auto"/>
        <w:jc w:val="both"/>
        <w:rPr>
          <w:rFonts w:ascii="Verdana" w:eastAsia="Calibri" w:hAnsi="Verdana" w:cs="Times New Roman"/>
          <w:bCs/>
        </w:rPr>
      </w:pPr>
    </w:p>
    <w:p w14:paraId="71425288" w14:textId="77777777" w:rsidR="00135720" w:rsidRPr="00121EA1" w:rsidRDefault="00135720" w:rsidP="00135720">
      <w:pPr>
        <w:numPr>
          <w:ilvl w:val="0"/>
          <w:numId w:val="19"/>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Respuesta:</w:t>
      </w:r>
    </w:p>
    <w:p w14:paraId="18652C96" w14:textId="77777777" w:rsidR="00135720" w:rsidRDefault="00135720" w:rsidP="00135720">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35720" w:rsidRPr="001205D1" w14:paraId="6F2B1D31" w14:textId="77777777" w:rsidTr="007A5FDB">
        <w:trPr>
          <w:trHeight w:val="870"/>
          <w:jc w:val="center"/>
        </w:trPr>
        <w:tc>
          <w:tcPr>
            <w:tcW w:w="8647" w:type="dxa"/>
          </w:tcPr>
          <w:p w14:paraId="7C6C2FA9" w14:textId="77777777" w:rsidR="00135720" w:rsidRDefault="00135720" w:rsidP="007A5FDB">
            <w:pPr>
              <w:spacing w:before="120" w:line="276" w:lineRule="auto"/>
              <w:jc w:val="both"/>
              <w:rPr>
                <w:rFonts w:ascii="Verdana" w:hAnsi="Verdana" w:cs="Arial"/>
                <w:lang w:eastAsia="es-ES"/>
              </w:rPr>
            </w:pPr>
            <w:r>
              <w:rPr>
                <w:rFonts w:ascii="Verdana" w:hAnsi="Verdana" w:cs="Arial"/>
                <w:lang w:eastAsia="es-ES"/>
              </w:rPr>
              <w:t>De acuerdo con los problemas jurídicos, objeto de consulta, se expresa:</w:t>
            </w:r>
          </w:p>
          <w:p w14:paraId="5D6D56EF" w14:textId="77777777" w:rsidR="00135720" w:rsidRDefault="00135720" w:rsidP="007A5FDB">
            <w:pPr>
              <w:spacing w:before="120" w:after="120" w:line="276" w:lineRule="auto"/>
              <w:jc w:val="both"/>
              <w:rPr>
                <w:rFonts w:ascii="Verdana" w:hAnsi="Verdana" w:cs="Arial"/>
                <w:bCs/>
                <w:color w:val="000000" w:themeColor="text1"/>
              </w:rPr>
            </w:pPr>
            <w:r>
              <w:rPr>
                <w:rFonts w:ascii="Verdana" w:hAnsi="Verdana" w:cs="Arial"/>
                <w:lang w:val="es-ES" w:eastAsia="es-ES"/>
              </w:rPr>
              <w:t>i.</w:t>
            </w:r>
            <w:r>
              <w:rPr>
                <w:rFonts w:ascii="Verdana" w:hAnsi="Verdana" w:cs="Arial"/>
                <w:bCs/>
                <w:color w:val="000000" w:themeColor="text1"/>
                <w:lang w:val="es-ES"/>
              </w:rPr>
              <w:t xml:space="preserve"> Como se expresó en las razones de la respuesta, </w:t>
            </w:r>
            <w:r w:rsidRPr="007B07B6">
              <w:rPr>
                <w:rFonts w:ascii="Verdana" w:hAnsi="Verdana" w:cs="Arial"/>
                <w:bCs/>
                <w:color w:val="000000" w:themeColor="text1"/>
              </w:rPr>
              <w:t xml:space="preserve">las </w:t>
            </w:r>
            <w:r>
              <w:rPr>
                <w:rFonts w:ascii="Verdana" w:hAnsi="Verdana" w:cs="Arial"/>
                <w:bCs/>
                <w:color w:val="000000" w:themeColor="text1"/>
              </w:rPr>
              <w:t>ESE debe</w:t>
            </w:r>
            <w:r w:rsidRPr="007B07B6">
              <w:rPr>
                <w:rFonts w:ascii="Verdana" w:hAnsi="Verdana" w:cs="Arial"/>
                <w:bCs/>
                <w:color w:val="000000" w:themeColor="text1"/>
              </w:rPr>
              <w:t>n aplicar las disposici</w:t>
            </w:r>
            <w:r>
              <w:rPr>
                <w:rFonts w:ascii="Verdana" w:hAnsi="Verdana" w:cs="Arial"/>
                <w:bCs/>
                <w:color w:val="000000" w:themeColor="text1"/>
              </w:rPr>
              <w:t>ones del EGCAP, por especial regulación del artículo 195, numeral 6 de</w:t>
            </w:r>
            <w:r w:rsidRPr="007B07B6">
              <w:rPr>
                <w:rFonts w:ascii="Verdana" w:hAnsi="Verdana" w:cs="Arial"/>
                <w:bCs/>
                <w:color w:val="000000" w:themeColor="text1"/>
              </w:rPr>
              <w:t xml:space="preserve"> Ley 100</w:t>
            </w:r>
            <w:r>
              <w:rPr>
                <w:rFonts w:ascii="Verdana" w:hAnsi="Verdana" w:cs="Arial"/>
                <w:bCs/>
                <w:color w:val="000000" w:themeColor="text1"/>
              </w:rPr>
              <w:t xml:space="preserve"> de 1993</w:t>
            </w:r>
            <w:r w:rsidRPr="007B07B6">
              <w:rPr>
                <w:rFonts w:ascii="Verdana" w:hAnsi="Verdana" w:cs="Arial"/>
                <w:bCs/>
                <w:color w:val="000000" w:themeColor="text1"/>
              </w:rPr>
              <w:t>, que autoriza a estas empresas a incorporar las cláusulas excepcionales,</w:t>
            </w:r>
            <w:r>
              <w:rPr>
                <w:rFonts w:ascii="Verdana" w:hAnsi="Verdana" w:cs="Arial"/>
                <w:bCs/>
                <w:color w:val="000000" w:themeColor="text1"/>
              </w:rPr>
              <w:t xml:space="preserve"> siempre que decidan pactarlas. </w:t>
            </w:r>
            <w:r w:rsidRPr="00A75392">
              <w:rPr>
                <w:rFonts w:ascii="Verdana" w:hAnsi="Verdana" w:cs="Arial"/>
                <w:bCs/>
                <w:color w:val="000000" w:themeColor="text1"/>
              </w:rPr>
              <w:t xml:space="preserve">Para entender este ejercicio, se acude a </w:t>
            </w:r>
            <w:r w:rsidRPr="00A75392">
              <w:rPr>
                <w:rFonts w:ascii="Verdana" w:hAnsi="Verdana" w:cs="Arial"/>
                <w:bCs/>
                <w:color w:val="000000" w:themeColor="text1"/>
                <w:lang w:val="es-ES"/>
              </w:rPr>
              <w:t xml:space="preserve">la Resolución No. 5185 de 2013, modificada por la Resolución 1440 del 14 de agosto de 2024, mediante la cual se fijan los lineamientos para que tales entidades adopten los manuales de contratación que regirán su actividad contractual. Este acto administrativo, dictado en ejercicio de las facultades conferidas por el artículo 76 de la Ley 1438 de 2011, contiene varios criterios que deberán tenerse cuenta en el momento de adoptar los manuales de contratación. En tal sentido, puede destacarse que, en la fase de planeación, las ESE deben contemplar: “[…] </w:t>
            </w:r>
            <w:r w:rsidRPr="00A75392">
              <w:rPr>
                <w:rFonts w:ascii="Verdana" w:hAnsi="Verdana" w:cs="Arial"/>
                <w:bCs/>
                <w:color w:val="000000" w:themeColor="text1"/>
              </w:rPr>
              <w:t xml:space="preserve">La aplicación o no de las cláusulas excepcionales previstas en el Estatuto General de la Administración Pública” –artículo 9.17 de </w:t>
            </w:r>
            <w:r w:rsidRPr="00A75392">
              <w:rPr>
                <w:rFonts w:ascii="Verdana" w:hAnsi="Verdana" w:cs="Arial"/>
                <w:bCs/>
                <w:color w:val="000000" w:themeColor="text1"/>
                <w:lang w:val="es-ES"/>
              </w:rPr>
              <w:t>la Resolución No. 5185 de 2013, modificada por la Resolución 1440 del 14 de agosto de 2024</w:t>
            </w:r>
            <w:r w:rsidRPr="00A75392">
              <w:rPr>
                <w:rFonts w:ascii="Verdana" w:hAnsi="Verdana" w:cs="Arial"/>
                <w:bCs/>
                <w:color w:val="000000" w:themeColor="text1"/>
              </w:rPr>
              <w:t xml:space="preserve">–; así como en la fase de ejecución se establece: “[…] La obligación de hacer efectivas las cláusulas </w:t>
            </w:r>
            <w:r w:rsidRPr="00A75392">
              <w:rPr>
                <w:rFonts w:ascii="Verdana" w:hAnsi="Verdana" w:cs="Arial"/>
                <w:bCs/>
                <w:color w:val="000000" w:themeColor="text1"/>
              </w:rPr>
              <w:lastRenderedPageBreak/>
              <w:t xml:space="preserve">excepcionales, en caso de haberlas pactado en los contratos, cuando haya lugar a ello, dentro del plazo del contrato” –artículo 12.4. de la Resolución No 5185 de 2013-. Ante este escenario, las ESE deben tener en cuenta en la estipulación de cláusulas excepcionales, así como en la aplicación de los contratos que suscribe.  </w:t>
            </w:r>
          </w:p>
          <w:p w14:paraId="46AD086F" w14:textId="77777777" w:rsidR="00135720" w:rsidRDefault="00135720" w:rsidP="007A5FDB">
            <w:pPr>
              <w:spacing w:before="120" w:after="120" w:line="276" w:lineRule="auto"/>
              <w:ind w:firstLine="709"/>
              <w:jc w:val="both"/>
              <w:rPr>
                <w:rFonts w:ascii="Verdana" w:hAnsi="Verdana" w:cs="Arial"/>
                <w:bCs/>
                <w:color w:val="000000" w:themeColor="text1"/>
              </w:rPr>
            </w:pPr>
            <w:r>
              <w:rPr>
                <w:rFonts w:ascii="Verdana" w:hAnsi="Verdana" w:cs="Arial"/>
                <w:bCs/>
                <w:color w:val="000000" w:themeColor="text1"/>
              </w:rPr>
              <w:t>Esto</w:t>
            </w:r>
            <w:r w:rsidRPr="007B07B6">
              <w:rPr>
                <w:rFonts w:ascii="Verdana" w:hAnsi="Verdana" w:cs="Arial"/>
                <w:bCs/>
                <w:color w:val="000000" w:themeColor="text1"/>
              </w:rPr>
              <w:t xml:space="preserve"> implica que le serán aplicables las reglas del procedimiento administrativo sancionatorio del artículo 86 de la Ley 1474 de 2011</w:t>
            </w:r>
            <w:r>
              <w:rPr>
                <w:rFonts w:ascii="Verdana" w:hAnsi="Verdana" w:cs="Arial"/>
                <w:bCs/>
                <w:color w:val="000000" w:themeColor="text1"/>
              </w:rPr>
              <w:t xml:space="preserve"> cuando sea en ejercicio de potestades sancionadoras</w:t>
            </w:r>
            <w:r w:rsidRPr="007B07B6">
              <w:rPr>
                <w:rFonts w:ascii="Verdana" w:hAnsi="Verdana" w:cs="Arial"/>
                <w:bCs/>
                <w:color w:val="000000" w:themeColor="text1"/>
              </w:rPr>
              <w:t>, pues en este escenario se entienden entidades sometidas al EGCAP.</w:t>
            </w:r>
            <w:r>
              <w:rPr>
                <w:rFonts w:ascii="Verdana" w:hAnsi="Verdana" w:cs="Arial"/>
                <w:bCs/>
                <w:color w:val="000000" w:themeColor="text1"/>
              </w:rPr>
              <w:t xml:space="preserve"> En este escenario, se precisa que</w:t>
            </w:r>
            <w:r w:rsidRPr="0083282B">
              <w:rPr>
                <w:rFonts w:ascii="Verdana" w:hAnsi="Verdana" w:cs="Arial"/>
                <w:bCs/>
                <w:color w:val="000000" w:themeColor="text1"/>
              </w:rPr>
              <w:t xml:space="preserve">, cuando el legislador les brindó la autorización para pactar cláusulas excepcionales dispuestas en la Ley 80 de 1993, implica que se someten a las condiciones sustanciales, como procedimentales, </w:t>
            </w:r>
            <w:r>
              <w:rPr>
                <w:rFonts w:ascii="Verdana" w:hAnsi="Verdana" w:cs="Arial"/>
                <w:bCs/>
                <w:color w:val="000000" w:themeColor="text1"/>
              </w:rPr>
              <w:t xml:space="preserve">lo que significa que deban aplicar </w:t>
            </w:r>
            <w:r w:rsidRPr="0083282B">
              <w:rPr>
                <w:rFonts w:ascii="Verdana" w:hAnsi="Verdana" w:cs="Arial"/>
                <w:bCs/>
                <w:color w:val="000000" w:themeColor="text1"/>
              </w:rPr>
              <w:t xml:space="preserve">el artículo 86 de la Ley 1474 de 2011, en lo referente a potestades sancionatorias –caducidad e imposición unilateral de multas y cláusula penal pecuniaria-. </w:t>
            </w:r>
            <w:r>
              <w:rPr>
                <w:rFonts w:ascii="Verdana" w:hAnsi="Verdana" w:cs="Arial"/>
                <w:bCs/>
                <w:color w:val="000000" w:themeColor="text1"/>
              </w:rPr>
              <w:t>De este modo</w:t>
            </w:r>
            <w:r w:rsidRPr="005A7B33">
              <w:rPr>
                <w:rFonts w:ascii="Verdana" w:hAnsi="Verdana" w:cs="Arial"/>
                <w:bCs/>
                <w:color w:val="000000" w:themeColor="text1"/>
              </w:rPr>
              <w:t xml:space="preserve">, este es el procedimiento establecido para hacer efectivas las sanciones contractuales, </w:t>
            </w:r>
            <w:r>
              <w:rPr>
                <w:rFonts w:ascii="Verdana" w:hAnsi="Verdana" w:cs="Arial"/>
                <w:bCs/>
                <w:color w:val="000000" w:themeColor="text1"/>
              </w:rPr>
              <w:t xml:space="preserve">como es la </w:t>
            </w:r>
            <w:r w:rsidRPr="005A7B33">
              <w:rPr>
                <w:rFonts w:ascii="Verdana" w:hAnsi="Verdana" w:cs="Arial"/>
                <w:bCs/>
                <w:color w:val="000000" w:themeColor="text1"/>
              </w:rPr>
              <w:t>caducidad del contrato</w:t>
            </w:r>
            <w:r>
              <w:rPr>
                <w:rFonts w:ascii="Verdana" w:hAnsi="Verdana" w:cs="Arial"/>
                <w:bCs/>
                <w:color w:val="000000" w:themeColor="text1"/>
              </w:rPr>
              <w:t xml:space="preserve"> y la imposición unilateral de multas y cláusula penal contractual que se derivan del incumplimiento contractual, las cuales pueden estipularse de forma discrecional por la Empresa Social del Estado</w:t>
            </w:r>
            <w:r w:rsidRPr="005A7B33">
              <w:rPr>
                <w:rFonts w:ascii="Verdana" w:hAnsi="Verdana" w:cs="Arial"/>
                <w:bCs/>
                <w:color w:val="000000" w:themeColor="text1"/>
              </w:rPr>
              <w:t xml:space="preserve">. </w:t>
            </w:r>
          </w:p>
          <w:p w14:paraId="77295C98" w14:textId="77777777" w:rsidR="00135720" w:rsidRDefault="00135720" w:rsidP="007A5FDB">
            <w:pPr>
              <w:spacing w:before="120" w:after="120" w:line="276" w:lineRule="auto"/>
              <w:jc w:val="both"/>
              <w:rPr>
                <w:rFonts w:ascii="Verdana" w:hAnsi="Verdana" w:cs="Arial"/>
                <w:color w:val="000000" w:themeColor="text1"/>
              </w:rPr>
            </w:pPr>
            <w:proofErr w:type="spellStart"/>
            <w:r>
              <w:rPr>
                <w:rFonts w:ascii="Verdana" w:hAnsi="Verdana" w:cs="Arial"/>
                <w:bCs/>
                <w:color w:val="000000" w:themeColor="text1"/>
              </w:rPr>
              <w:t>ii</w:t>
            </w:r>
            <w:proofErr w:type="spellEnd"/>
            <w:r>
              <w:rPr>
                <w:rFonts w:ascii="Verdana" w:hAnsi="Verdana" w:cs="Arial"/>
                <w:bCs/>
                <w:color w:val="000000" w:themeColor="text1"/>
              </w:rPr>
              <w:t xml:space="preserve">. </w:t>
            </w:r>
            <w:r>
              <w:rPr>
                <w:rFonts w:ascii="Verdana" w:hAnsi="Verdana" w:cs="Arial"/>
                <w:color w:val="000000" w:themeColor="text1"/>
                <w:lang w:val="es-ES"/>
              </w:rPr>
              <w:t xml:space="preserve">El procedimiento sancionatorio contractual del artículo 86 de la Ley 1474 de 2011 es compatible con </w:t>
            </w:r>
            <w:r w:rsidRPr="00846F09">
              <w:rPr>
                <w:rFonts w:ascii="Verdana" w:hAnsi="Verdana" w:cs="Arial"/>
                <w:color w:val="000000" w:themeColor="text1"/>
              </w:rPr>
              <w:t>el artículo 53 de la Ley 1</w:t>
            </w:r>
            <w:r>
              <w:rPr>
                <w:rFonts w:ascii="Verdana" w:hAnsi="Verdana" w:cs="Arial"/>
                <w:color w:val="000000" w:themeColor="text1"/>
              </w:rPr>
              <w:t xml:space="preserve">437 de 2011 –en adelante CPACA-, el cual </w:t>
            </w:r>
            <w:r w:rsidRPr="00846F09">
              <w:rPr>
                <w:rFonts w:ascii="Verdana" w:hAnsi="Verdana" w:cs="Arial"/>
                <w:color w:val="000000" w:themeColor="text1"/>
              </w:rPr>
              <w:t xml:space="preserve">dispone que los procedimientos y trámites administrativos pueden realizarse por medios electrónicos, que se aplicarán </w:t>
            </w:r>
            <w:proofErr w:type="gramStart"/>
            <w:r w:rsidRPr="00846F09">
              <w:rPr>
                <w:rFonts w:ascii="Verdana" w:hAnsi="Verdana" w:cs="Arial"/>
                <w:color w:val="000000" w:themeColor="text1"/>
              </w:rPr>
              <w:t>de acuerdo a</w:t>
            </w:r>
            <w:proofErr w:type="gramEnd"/>
            <w:r w:rsidRPr="00846F09">
              <w:rPr>
                <w:rFonts w:ascii="Verdana" w:hAnsi="Verdana" w:cs="Arial"/>
                <w:color w:val="000000" w:themeColor="text1"/>
              </w:rPr>
              <w:t xml:space="preserve"> su co</w:t>
            </w:r>
            <w:r>
              <w:rPr>
                <w:rFonts w:ascii="Verdana" w:hAnsi="Verdana" w:cs="Arial"/>
                <w:color w:val="000000" w:themeColor="text1"/>
              </w:rPr>
              <w:t xml:space="preserve">ncordancia </w:t>
            </w:r>
            <w:r w:rsidRPr="00846F09">
              <w:rPr>
                <w:rFonts w:ascii="Verdana" w:hAnsi="Verdana" w:cs="Arial"/>
                <w:color w:val="000000" w:themeColor="text1"/>
              </w:rPr>
              <w:t xml:space="preserve">con la Ley 527 de 1999. A partir de lo anterior, el CPACA establece reglas básicas para el uso de los medios electrónicos en los procedimientos administrativos, en las que se destaca: i) los documentos públicos en medios electrónicos que tienen la validez y fuerza probatoria que le confiere el Código General del Proceso –artículo 55–; </w:t>
            </w:r>
            <w:proofErr w:type="spellStart"/>
            <w:r w:rsidRPr="00846F09">
              <w:rPr>
                <w:rFonts w:ascii="Verdana" w:hAnsi="Verdana" w:cs="Arial"/>
                <w:color w:val="000000" w:themeColor="text1"/>
              </w:rPr>
              <w:t>ii</w:t>
            </w:r>
            <w:proofErr w:type="spellEnd"/>
            <w:r w:rsidRPr="00846F09">
              <w:rPr>
                <w:rFonts w:ascii="Verdana" w:hAnsi="Verdana" w:cs="Arial"/>
                <w:color w:val="000000" w:themeColor="text1"/>
              </w:rPr>
              <w:t xml:space="preserve">) la expedición de actos administrativos electrónicos –artículo 57–; </w:t>
            </w:r>
            <w:proofErr w:type="spellStart"/>
            <w:r w:rsidRPr="00846F09">
              <w:rPr>
                <w:rFonts w:ascii="Verdana" w:hAnsi="Verdana" w:cs="Arial"/>
                <w:color w:val="000000" w:themeColor="text1"/>
              </w:rPr>
              <w:t>iii</w:t>
            </w:r>
            <w:proofErr w:type="spellEnd"/>
            <w:r w:rsidRPr="00846F09">
              <w:rPr>
                <w:rFonts w:ascii="Verdana" w:hAnsi="Verdana" w:cs="Arial"/>
                <w:color w:val="000000" w:themeColor="text1"/>
              </w:rPr>
              <w:t xml:space="preserve">) el archivo electrónico de documentos –artículo 58–; </w:t>
            </w:r>
            <w:proofErr w:type="spellStart"/>
            <w:r w:rsidRPr="00846F09">
              <w:rPr>
                <w:rFonts w:ascii="Verdana" w:hAnsi="Verdana" w:cs="Arial"/>
                <w:color w:val="000000" w:themeColor="text1"/>
              </w:rPr>
              <w:t>iv</w:t>
            </w:r>
            <w:proofErr w:type="spellEnd"/>
            <w:r w:rsidRPr="00846F09">
              <w:rPr>
                <w:rFonts w:ascii="Verdana" w:hAnsi="Verdana" w:cs="Arial"/>
                <w:color w:val="000000" w:themeColor="text1"/>
              </w:rPr>
              <w:t>) la recepción de documentos electrónicos por parte de las autoridades –artículo 61, entre otros.</w:t>
            </w:r>
            <w:r>
              <w:rPr>
                <w:rFonts w:ascii="Verdana" w:hAnsi="Verdana" w:cs="Arial"/>
                <w:color w:val="000000" w:themeColor="text1"/>
              </w:rPr>
              <w:t xml:space="preserve"> </w:t>
            </w:r>
          </w:p>
          <w:p w14:paraId="08D21DFF" w14:textId="77777777" w:rsidR="00135720" w:rsidRDefault="00135720" w:rsidP="007A5FDB">
            <w:pPr>
              <w:spacing w:before="120" w:after="120" w:line="276" w:lineRule="auto"/>
              <w:ind w:firstLine="708"/>
              <w:jc w:val="both"/>
              <w:rPr>
                <w:rFonts w:ascii="Verdana" w:hAnsi="Verdana" w:cs="Arial"/>
                <w:color w:val="000000" w:themeColor="text1"/>
              </w:rPr>
            </w:pPr>
            <w:r>
              <w:rPr>
                <w:rFonts w:ascii="Verdana" w:hAnsi="Verdana" w:cs="Arial"/>
                <w:color w:val="000000" w:themeColor="text1"/>
              </w:rPr>
              <w:t xml:space="preserve">Así mismo, podrían utilizarse los medios electrónicos, para las diferentes actuaciones de trámite en el marco del procedimiento administrativo sancionatorio, como </w:t>
            </w:r>
            <w:r w:rsidRPr="00846F09">
              <w:rPr>
                <w:rFonts w:ascii="Verdana" w:hAnsi="Verdana" w:cs="Arial"/>
                <w:color w:val="000000" w:themeColor="text1"/>
              </w:rPr>
              <w:t>son los traslados, los asuntos de carácter probatorio, comunicaciones, y lo relacionado con la gestión documental y demás temas que surjan de dicho proceso.</w:t>
            </w:r>
            <w:r>
              <w:rPr>
                <w:rFonts w:ascii="Verdana" w:hAnsi="Verdana" w:cs="Arial"/>
                <w:color w:val="000000" w:themeColor="text1"/>
              </w:rPr>
              <w:t xml:space="preserve"> En esta línea, deben tenerse en cuenta, las reglas y lineamientos que establece </w:t>
            </w:r>
            <w:r w:rsidRPr="00CE5FAA">
              <w:rPr>
                <w:rFonts w:ascii="Verdana" w:hAnsi="Verdana" w:cs="Arial"/>
                <w:color w:val="000000" w:themeColor="text1"/>
              </w:rPr>
              <w:t xml:space="preserve">el Archivo General de la </w:t>
            </w:r>
            <w:r w:rsidRPr="00CE5FAA">
              <w:rPr>
                <w:rFonts w:ascii="Verdana" w:hAnsi="Verdana" w:cs="Arial"/>
                <w:color w:val="000000" w:themeColor="text1"/>
              </w:rPr>
              <w:lastRenderedPageBreak/>
              <w:t>Nación como entidad encargada de liderar la Política de archivo y gestión documental a nivel nacional,</w:t>
            </w:r>
            <w:r>
              <w:rPr>
                <w:rFonts w:ascii="Verdana" w:hAnsi="Verdana" w:cs="Arial"/>
                <w:color w:val="000000" w:themeColor="text1"/>
              </w:rPr>
              <w:t xml:space="preserve"> la cual</w:t>
            </w:r>
            <w:r w:rsidRPr="00CE5FAA">
              <w:rPr>
                <w:rFonts w:ascii="Verdana" w:hAnsi="Verdana" w:cs="Arial"/>
                <w:color w:val="000000" w:themeColor="text1"/>
              </w:rPr>
              <w:t xml:space="preserve"> expidió el Acuerdo 001 de 2024 “Por el cual se establece el Acuerdo Único de la Función Archivística, se definen los criterios técnicos y jurídicos para su implementación en el Estado Colombiano </w:t>
            </w:r>
            <w:r>
              <w:rPr>
                <w:rFonts w:ascii="Verdana" w:hAnsi="Verdana" w:cs="Arial"/>
                <w:color w:val="000000" w:themeColor="text1"/>
              </w:rPr>
              <w:t>y se fijan otras disposiciones”. En dicho Acuerdo se establecen reglas y criterios para el manejo de expedientes electrónicos, que en su artículo 4.3.2.1. dispone, entre otras, que los expedientes electrónicos se conforman con todos los documentos de archivo que se generan</w:t>
            </w:r>
            <w:r w:rsidRPr="005A4FCC">
              <w:rPr>
                <w:rFonts w:ascii="Verdana" w:hAnsi="Verdana" w:cs="Arial"/>
                <w:color w:val="000000" w:themeColor="text1"/>
              </w:rPr>
              <w:t xml:space="preserve"> en desarrollo de un mismo trámite, actuación o procedimiento, independiente</w:t>
            </w:r>
            <w:r>
              <w:rPr>
                <w:rFonts w:ascii="Verdana" w:hAnsi="Verdana" w:cs="Arial"/>
                <w:color w:val="000000" w:themeColor="text1"/>
              </w:rPr>
              <w:t xml:space="preserve"> </w:t>
            </w:r>
            <w:r w:rsidRPr="005A4FCC">
              <w:rPr>
                <w:rFonts w:ascii="Verdana" w:hAnsi="Verdana" w:cs="Arial"/>
                <w:color w:val="000000" w:themeColor="text1"/>
              </w:rPr>
              <w:t>del t</w:t>
            </w:r>
            <w:r>
              <w:rPr>
                <w:rFonts w:ascii="Verdana" w:hAnsi="Verdana" w:cs="Arial"/>
                <w:color w:val="000000" w:themeColor="text1"/>
              </w:rPr>
              <w:t>ipo de información y formato, sujetándose a</w:t>
            </w:r>
            <w:r w:rsidRPr="005A4FCC">
              <w:rPr>
                <w:rFonts w:ascii="Verdana" w:hAnsi="Verdana" w:cs="Arial"/>
                <w:color w:val="000000" w:themeColor="text1"/>
              </w:rPr>
              <w:t>l principio de orden original y deben agruparse conforme a las series y subseries documentales</w:t>
            </w:r>
            <w:r>
              <w:rPr>
                <w:rFonts w:ascii="Verdana" w:hAnsi="Verdana" w:cs="Arial"/>
                <w:color w:val="000000" w:themeColor="text1"/>
              </w:rPr>
              <w:t xml:space="preserve">. </w:t>
            </w:r>
          </w:p>
          <w:p w14:paraId="7FD56CF7" w14:textId="77777777" w:rsidR="00135720" w:rsidRPr="00CE5FAA" w:rsidRDefault="00135720" w:rsidP="007A5FDB">
            <w:pPr>
              <w:spacing w:before="120" w:after="120" w:line="276" w:lineRule="auto"/>
              <w:ind w:firstLine="708"/>
              <w:jc w:val="both"/>
              <w:rPr>
                <w:rFonts w:ascii="Verdana" w:hAnsi="Verdana" w:cs="Arial"/>
                <w:color w:val="000000" w:themeColor="text1"/>
              </w:rPr>
            </w:pPr>
            <w:r>
              <w:rPr>
                <w:rFonts w:ascii="Verdana" w:hAnsi="Verdana" w:cs="Arial"/>
                <w:color w:val="000000" w:themeColor="text1"/>
              </w:rPr>
              <w:t xml:space="preserve">De esta manera, deben tenerse en cuenta las grabaciones, las actas de la audiencia y demás actuaciones de trámite como parte del expediente electrónico, las cuales deben incorporárseles mecanismos que salvaguarden </w:t>
            </w:r>
            <w:r w:rsidRPr="00B50B0E">
              <w:rPr>
                <w:rFonts w:ascii="Verdana" w:hAnsi="Verdana" w:cs="Arial"/>
                <w:color w:val="000000" w:themeColor="text1"/>
              </w:rPr>
              <w:t xml:space="preserve">la fiabilidad, autenticidad, integridad, veracidad, e inalterabilidad, durante todo el ciclo vital de los documentos, </w:t>
            </w:r>
            <w:r>
              <w:rPr>
                <w:rFonts w:ascii="Verdana" w:hAnsi="Verdana" w:cs="Arial"/>
                <w:color w:val="000000" w:themeColor="text1"/>
              </w:rPr>
              <w:t xml:space="preserve">a fin de impedir </w:t>
            </w:r>
            <w:r w:rsidRPr="00B50B0E">
              <w:rPr>
                <w:rFonts w:ascii="Verdana" w:hAnsi="Verdana" w:cs="Arial"/>
                <w:color w:val="000000" w:themeColor="text1"/>
              </w:rPr>
              <w:t>la utilización no autorizada, la modificación, el traslado, el ocultam</w:t>
            </w:r>
            <w:r>
              <w:rPr>
                <w:rFonts w:ascii="Verdana" w:hAnsi="Verdana" w:cs="Arial"/>
                <w:color w:val="000000" w:themeColor="text1"/>
              </w:rPr>
              <w:t xml:space="preserve">iento o su destrucción, como lo contempla el artículo 4.1.4. del Acuerdo 01 de 2024 del Archivo General de la Nación. </w:t>
            </w:r>
          </w:p>
          <w:p w14:paraId="39C23BD0" w14:textId="77777777" w:rsidR="00135720" w:rsidRPr="000D433E" w:rsidRDefault="00135720" w:rsidP="007A5FDB">
            <w:pPr>
              <w:spacing w:before="120" w:after="120" w:line="276" w:lineRule="auto"/>
              <w:ind w:firstLine="708"/>
              <w:jc w:val="both"/>
              <w:rPr>
                <w:rFonts w:ascii="Verdana" w:hAnsi="Verdana" w:cs="Arial"/>
                <w:color w:val="000000" w:themeColor="text1"/>
              </w:rPr>
            </w:pPr>
            <w:r>
              <w:rPr>
                <w:rFonts w:ascii="Verdana" w:hAnsi="Verdana" w:cs="Arial"/>
                <w:color w:val="000000" w:themeColor="text1"/>
              </w:rPr>
              <w:t>No hay que dejar de lado que, para salvaguardar</w:t>
            </w:r>
            <w:r w:rsidRPr="00846F09">
              <w:rPr>
                <w:rFonts w:ascii="Verdana" w:hAnsi="Verdana" w:cs="Arial"/>
                <w:color w:val="000000" w:themeColor="text1"/>
              </w:rPr>
              <w:t xml:space="preserve"> la integridad y confidencialidad de los procedimientos sancionatorios, las actuaciones </w:t>
            </w:r>
            <w:r>
              <w:rPr>
                <w:rFonts w:ascii="Verdana" w:hAnsi="Verdana" w:cs="Arial"/>
                <w:color w:val="000000" w:themeColor="text1"/>
              </w:rPr>
              <w:t xml:space="preserve">deben gestionarse </w:t>
            </w:r>
            <w:r w:rsidRPr="00846F09">
              <w:rPr>
                <w:rFonts w:ascii="Verdana" w:hAnsi="Verdana" w:cs="Arial"/>
                <w:color w:val="000000" w:themeColor="text1"/>
              </w:rPr>
              <w:t>mediante plata</w:t>
            </w:r>
            <w:r>
              <w:rPr>
                <w:rFonts w:ascii="Verdana" w:hAnsi="Verdana" w:cs="Arial"/>
                <w:color w:val="000000" w:themeColor="text1"/>
              </w:rPr>
              <w:t xml:space="preserve">formas electrónicas seguras, teniendo en cuenta </w:t>
            </w:r>
            <w:r w:rsidRPr="00846F09">
              <w:rPr>
                <w:rFonts w:ascii="Verdana" w:hAnsi="Verdana" w:cs="Arial"/>
                <w:color w:val="000000" w:themeColor="text1"/>
              </w:rPr>
              <w:t xml:space="preserve">de las disposiciones vigentes en materia de seguridad informática y protección de datos personales. </w:t>
            </w:r>
            <w:r>
              <w:rPr>
                <w:rFonts w:ascii="Verdana" w:hAnsi="Verdana" w:cs="Arial"/>
                <w:color w:val="000000" w:themeColor="text1"/>
              </w:rPr>
              <w:t>Estas plataformas debe</w:t>
            </w:r>
            <w:r w:rsidRPr="00846F09">
              <w:rPr>
                <w:rFonts w:ascii="Verdana" w:hAnsi="Verdana" w:cs="Arial"/>
                <w:color w:val="000000" w:themeColor="text1"/>
              </w:rPr>
              <w:t xml:space="preserve">n </w:t>
            </w:r>
            <w:r>
              <w:rPr>
                <w:rFonts w:ascii="Verdana" w:hAnsi="Verdana" w:cs="Arial"/>
                <w:color w:val="000000" w:themeColor="text1"/>
              </w:rPr>
              <w:t xml:space="preserve">establecer </w:t>
            </w:r>
            <w:r w:rsidRPr="00846F09">
              <w:rPr>
                <w:rFonts w:ascii="Verdana" w:hAnsi="Verdana" w:cs="Arial"/>
                <w:color w:val="000000" w:themeColor="text1"/>
              </w:rPr>
              <w:t>mecanismos de autenticación y trazabilidad que permitan registrar de manera confiable y en tiempo real cada actuación realizada durante el proceso.</w:t>
            </w:r>
            <w:r>
              <w:rPr>
                <w:rFonts w:ascii="Verdana" w:hAnsi="Verdana" w:cs="Arial"/>
                <w:color w:val="000000" w:themeColor="text1"/>
              </w:rPr>
              <w:t xml:space="preserve"> Ahora bien, s</w:t>
            </w:r>
            <w:r w:rsidRPr="00B50B0E">
              <w:rPr>
                <w:rFonts w:ascii="Verdana" w:hAnsi="Verdana" w:cs="Arial"/>
                <w:color w:val="000000" w:themeColor="text1"/>
              </w:rPr>
              <w:t>i no llegase a cumplir</w:t>
            </w:r>
            <w:r>
              <w:rPr>
                <w:rFonts w:ascii="Verdana" w:hAnsi="Verdana" w:cs="Arial"/>
                <w:color w:val="000000" w:themeColor="text1"/>
              </w:rPr>
              <w:t xml:space="preserve"> estos criterios y lineamientos expuestos podría aludirse a un vicio de validez de</w:t>
            </w:r>
            <w:r w:rsidRPr="00B50B0E">
              <w:rPr>
                <w:rFonts w:ascii="Verdana" w:hAnsi="Verdana" w:cs="Arial"/>
                <w:color w:val="000000" w:themeColor="text1"/>
              </w:rPr>
              <w:t xml:space="preserve">l </w:t>
            </w:r>
            <w:r>
              <w:rPr>
                <w:rFonts w:ascii="Verdana" w:hAnsi="Verdana" w:cs="Arial"/>
                <w:color w:val="000000" w:themeColor="text1"/>
              </w:rPr>
              <w:t xml:space="preserve">acto administrativo que impone la sanción o declara el archivo, así como el </w:t>
            </w:r>
            <w:r w:rsidRPr="00B50B0E">
              <w:rPr>
                <w:rFonts w:ascii="Verdana" w:hAnsi="Verdana" w:cs="Arial"/>
                <w:color w:val="000000" w:themeColor="text1"/>
              </w:rPr>
              <w:t>procedimiento administrativo sancionatorio</w:t>
            </w:r>
            <w:r>
              <w:rPr>
                <w:rFonts w:ascii="Verdana" w:hAnsi="Verdana" w:cs="Arial"/>
                <w:color w:val="000000" w:themeColor="text1"/>
              </w:rPr>
              <w:t xml:space="preserve"> que lo ampara</w:t>
            </w:r>
            <w:r w:rsidRPr="00B50B0E">
              <w:rPr>
                <w:rFonts w:ascii="Verdana" w:hAnsi="Verdana" w:cs="Arial"/>
                <w:color w:val="000000" w:themeColor="text1"/>
              </w:rPr>
              <w:t>.</w:t>
            </w:r>
          </w:p>
          <w:p w14:paraId="6B7D6C9B" w14:textId="77777777" w:rsidR="00135720" w:rsidRDefault="00135720" w:rsidP="007A5FDB">
            <w:pPr>
              <w:spacing w:before="120" w:after="120" w:line="276" w:lineRule="auto"/>
              <w:jc w:val="both"/>
              <w:rPr>
                <w:rFonts w:ascii="Verdana" w:hAnsi="Verdana" w:cs="Arial"/>
                <w:color w:val="000000" w:themeColor="text1"/>
                <w:lang w:val="es-ES"/>
              </w:rPr>
            </w:pPr>
            <w:proofErr w:type="spellStart"/>
            <w:r>
              <w:rPr>
                <w:rFonts w:ascii="Verdana" w:hAnsi="Verdana" w:cs="Arial"/>
                <w:color w:val="000000" w:themeColor="text1"/>
                <w:lang w:val="es-ES"/>
              </w:rPr>
              <w:t>iii</w:t>
            </w:r>
            <w:proofErr w:type="spellEnd"/>
            <w:r>
              <w:rPr>
                <w:rFonts w:ascii="Verdana" w:hAnsi="Verdana" w:cs="Arial"/>
                <w:color w:val="000000" w:themeColor="text1"/>
                <w:lang w:val="es-ES"/>
              </w:rPr>
              <w:t xml:space="preserve">. El procedimiento del artículo 86 de la Ley 1474 de 2011 </w:t>
            </w:r>
            <w:r w:rsidRPr="14DBD07D">
              <w:rPr>
                <w:rFonts w:ascii="Verdana" w:hAnsi="Verdana" w:cs="Arial"/>
                <w:color w:val="000000" w:themeColor="text1"/>
                <w:lang w:val="es-ES"/>
              </w:rPr>
              <w:t xml:space="preserve">es una manifestación de la </w:t>
            </w:r>
            <w:r w:rsidRPr="14DBD07D">
              <w:rPr>
                <w:rFonts w:ascii="Verdana" w:hAnsi="Verdana" w:cs="Arial"/>
                <w:i/>
                <w:color w:val="000000" w:themeColor="text1"/>
                <w:lang w:val="es-ES"/>
              </w:rPr>
              <w:t>legalidad de las formas de cada juicio</w:t>
            </w:r>
            <w:r w:rsidRPr="14DBD07D">
              <w:rPr>
                <w:rFonts w:ascii="Verdana" w:hAnsi="Verdana" w:cs="Arial"/>
                <w:color w:val="000000" w:themeColor="text1"/>
                <w:lang w:val="es-ES"/>
              </w:rPr>
              <w:t xml:space="preserve"> en la contratación estatal, la cual no solo se aplica en virtud del artículo 29 de la Constitución Política sino también con fundamento en el artículo 3.1, inciso primero, de la Ley 1437 de 2011. Esto último en la medida que “En virtud del principio del debido proceso, las actuaciones administrativas se adelantarán de conformidad con las normas de procedimiento y competencia establecidas </w:t>
            </w:r>
            <w:r w:rsidRPr="14DBD07D">
              <w:rPr>
                <w:rFonts w:ascii="Verdana" w:hAnsi="Verdana" w:cs="Arial"/>
                <w:color w:val="000000" w:themeColor="text1"/>
                <w:lang w:val="es-ES"/>
              </w:rPr>
              <w:lastRenderedPageBreak/>
              <w:t xml:space="preserve">en la Constitución y la ley, con plena garantía de los derechos de representación, defensa y contradicción”. </w:t>
            </w:r>
          </w:p>
          <w:p w14:paraId="45BC728A" w14:textId="77777777" w:rsidR="00135720" w:rsidRDefault="00135720" w:rsidP="007A5FDB">
            <w:pPr>
              <w:spacing w:before="120" w:after="120" w:line="276" w:lineRule="auto"/>
              <w:ind w:firstLine="708"/>
              <w:jc w:val="both"/>
              <w:rPr>
                <w:rFonts w:ascii="Verdana" w:hAnsi="Verdana" w:cs="Arial"/>
                <w:color w:val="000000" w:themeColor="text1"/>
                <w:lang w:val="es-ES"/>
              </w:rPr>
            </w:pPr>
            <w:r w:rsidRPr="260AD19C">
              <w:rPr>
                <w:rFonts w:ascii="Verdana" w:hAnsi="Verdana" w:cs="Arial"/>
                <w:color w:val="000000" w:themeColor="text1"/>
                <w:lang w:val="es-ES"/>
              </w:rPr>
              <w:t xml:space="preserve">De esta manera, las reglas y etapas que debe tener en cuenta una ESE, en ejercicio de potestades exorbitantes sancionadoras serán las del artículo 86 de la Ley 1474 de 2011. Por tanto, no es posible mediante manuales de contratación establecer otro procedimiento de carácter sancionatorio, al ser un tema que tiene reserva legal, teniendo en cuenta que la ESE en materia de cláusulas excepcionales es una entidad que se somete a las reglas del EGCAP. </w:t>
            </w:r>
          </w:p>
          <w:p w14:paraId="6982F843" w14:textId="77777777" w:rsidR="00135720" w:rsidRDefault="00135720" w:rsidP="007A5FDB">
            <w:pPr>
              <w:spacing w:before="120" w:after="120" w:line="276" w:lineRule="auto"/>
              <w:ind w:firstLine="708"/>
              <w:jc w:val="both"/>
              <w:rPr>
                <w:rFonts w:ascii="Verdana" w:hAnsi="Verdana" w:cs="Arial"/>
                <w:bCs/>
                <w:color w:val="000000" w:themeColor="text1"/>
              </w:rPr>
            </w:pPr>
            <w:r>
              <w:rPr>
                <w:rFonts w:ascii="Verdana" w:hAnsi="Verdana" w:cs="Arial"/>
                <w:bCs/>
                <w:color w:val="000000" w:themeColor="text1"/>
              </w:rPr>
              <w:t>E</w:t>
            </w:r>
            <w:r w:rsidRPr="00FC7D35">
              <w:rPr>
                <w:rFonts w:ascii="Verdana" w:hAnsi="Verdana" w:cs="Arial"/>
                <w:bCs/>
                <w:color w:val="000000" w:themeColor="text1"/>
              </w:rPr>
              <w:t xml:space="preserve">ste tipo de contenidos constituyen una </w:t>
            </w:r>
            <w:r w:rsidRPr="00FC7D35">
              <w:rPr>
                <w:rFonts w:ascii="Verdana" w:hAnsi="Verdana" w:cs="Arial"/>
                <w:bCs/>
                <w:i/>
                <w:color w:val="000000" w:themeColor="text1"/>
              </w:rPr>
              <w:t xml:space="preserve">reserva legal estricta, </w:t>
            </w:r>
            <w:r w:rsidRPr="00FC7D35">
              <w:rPr>
                <w:rFonts w:ascii="Verdana" w:hAnsi="Verdana" w:cs="Arial"/>
                <w:bCs/>
                <w:color w:val="000000" w:themeColor="text1"/>
              </w:rPr>
              <w:t>con fundamento en el artículo 29 constitucional que establece que nadie puede ser juzgado, sino mediante leyes preexistentes.</w:t>
            </w:r>
            <w:r w:rsidRPr="00FC7D35">
              <w:rPr>
                <w:rFonts w:ascii="Verdana" w:hAnsi="Verdana" w:cs="Arial"/>
                <w:bCs/>
                <w:color w:val="000000" w:themeColor="text1"/>
                <w:sz w:val="21"/>
                <w:szCs w:val="21"/>
              </w:rPr>
              <w:t xml:space="preserve"> </w:t>
            </w:r>
            <w:r w:rsidRPr="00FC7D35">
              <w:rPr>
                <w:rFonts w:ascii="Verdana" w:hAnsi="Verdana" w:cs="Arial"/>
                <w:bCs/>
                <w:color w:val="000000" w:themeColor="text1"/>
              </w:rPr>
              <w:t xml:space="preserve">De este modo, estas entidades de régimen especial se sujetan a las reglas y procedimientos del artículo 86 de la Ley 1474 de 2011, por lo que no les son aplicables su discrecionalidad y autoorganización administrativa para regular otros procedimientos que tengan un carácter sancionatorio. </w:t>
            </w:r>
          </w:p>
          <w:p w14:paraId="607B2444" w14:textId="77777777" w:rsidR="00135720" w:rsidRPr="000D433E" w:rsidRDefault="00135720" w:rsidP="007A5FDB">
            <w:pPr>
              <w:spacing w:before="120" w:after="120" w:line="276" w:lineRule="auto"/>
              <w:ind w:firstLine="708"/>
              <w:jc w:val="both"/>
              <w:rPr>
                <w:rFonts w:ascii="Verdana" w:hAnsi="Verdana" w:cs="Arial"/>
                <w:lang w:val="es-ES" w:eastAsia="es-ES"/>
              </w:rPr>
            </w:pPr>
            <w:r>
              <w:rPr>
                <w:rFonts w:ascii="Verdana" w:hAnsi="Verdana" w:cs="Arial"/>
                <w:lang w:val="es-ES" w:eastAsia="es-ES"/>
              </w:rPr>
              <w:t>En todo caso</w:t>
            </w:r>
            <w:r w:rsidRPr="1AE1532E">
              <w:rPr>
                <w:rFonts w:ascii="Verdana" w:hAnsi="Verdana" w:cs="Arial"/>
                <w:lang w:val="es-ES" w:eastAsia="es-ES"/>
              </w:rPr>
              <w:t xml:space="preserve">, la entidad contratante definirá en cada </w:t>
            </w:r>
            <w:r>
              <w:rPr>
                <w:rFonts w:ascii="Verdana" w:hAnsi="Verdana" w:cs="Arial"/>
                <w:lang w:val="es-ES" w:eastAsia="es-ES"/>
              </w:rPr>
              <w:t xml:space="preserve">supuesto </w:t>
            </w:r>
            <w:r w:rsidRPr="1AE1532E">
              <w:rPr>
                <w:rFonts w:ascii="Verdana" w:hAnsi="Verdana" w:cs="Arial"/>
                <w:lang w:val="es-ES" w:eastAsia="es-ES"/>
              </w:rPr>
              <w:t>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40BCE7E" w14:textId="77777777" w:rsidR="00135720" w:rsidRDefault="00135720" w:rsidP="00135720">
      <w:pPr>
        <w:spacing w:after="0" w:line="276" w:lineRule="auto"/>
        <w:jc w:val="both"/>
        <w:rPr>
          <w:rFonts w:ascii="Verdana" w:eastAsia="Calibri" w:hAnsi="Verdana" w:cs="Arial"/>
          <w:bCs/>
          <w:color w:val="000000" w:themeColor="text1"/>
        </w:rPr>
      </w:pPr>
    </w:p>
    <w:p w14:paraId="33FDB4FB" w14:textId="77777777" w:rsidR="00135720" w:rsidRPr="003F4BAF" w:rsidRDefault="00135720" w:rsidP="00135720">
      <w:pPr>
        <w:numPr>
          <w:ilvl w:val="0"/>
          <w:numId w:val="19"/>
        </w:numPr>
        <w:spacing w:after="0" w:line="256" w:lineRule="auto"/>
        <w:ind w:left="0" w:firstLine="0"/>
        <w:rPr>
          <w:rFonts w:ascii="Verdana" w:eastAsia="Calibri" w:hAnsi="Verdana" w:cs="Times New Roman"/>
          <w:b/>
          <w:bCs/>
          <w:lang w:val="es-ES"/>
        </w:rPr>
      </w:pPr>
      <w:r w:rsidRPr="003F4BAF">
        <w:rPr>
          <w:rFonts w:ascii="Verdana" w:eastAsia="Calibri" w:hAnsi="Verdana" w:cs="Times New Roman"/>
          <w:b/>
          <w:bCs/>
          <w:lang w:val="es-ES"/>
        </w:rPr>
        <w:t>Razones de la respuesta:</w:t>
      </w:r>
    </w:p>
    <w:p w14:paraId="2714C8AB" w14:textId="77777777" w:rsidR="00135720" w:rsidRPr="003F4BAF" w:rsidRDefault="00135720" w:rsidP="00135720">
      <w:pPr>
        <w:spacing w:after="0" w:line="256" w:lineRule="auto"/>
        <w:rPr>
          <w:rFonts w:ascii="Verdana" w:eastAsia="Calibri" w:hAnsi="Verdana" w:cs="Times New Roman"/>
          <w:b/>
          <w:bCs/>
          <w:lang w:val="es-ES"/>
        </w:rPr>
      </w:pPr>
    </w:p>
    <w:p w14:paraId="63630689" w14:textId="77777777" w:rsidR="00135720" w:rsidRPr="003F4BAF" w:rsidRDefault="00135720" w:rsidP="00135720">
      <w:pPr>
        <w:spacing w:after="0" w:line="276" w:lineRule="auto"/>
        <w:jc w:val="both"/>
        <w:rPr>
          <w:rFonts w:ascii="Verdana" w:eastAsia="Calibri" w:hAnsi="Verdana" w:cs="Arial"/>
          <w:lang w:val="es-ES"/>
        </w:rPr>
      </w:pPr>
      <w:r w:rsidRPr="003F4BAF">
        <w:rPr>
          <w:rFonts w:ascii="Verdana" w:eastAsia="Calibri" w:hAnsi="Verdana" w:cs="Arial"/>
          <w:lang w:val="es-ES"/>
        </w:rPr>
        <w:t xml:space="preserve">Lo anterior se sustenta en las siguientes consideraciones: </w:t>
      </w:r>
    </w:p>
    <w:p w14:paraId="68FE9B5F" w14:textId="77777777" w:rsidR="00135720" w:rsidRPr="00415608" w:rsidRDefault="00135720" w:rsidP="00135720">
      <w:pPr>
        <w:spacing w:after="0" w:line="276" w:lineRule="auto"/>
        <w:jc w:val="both"/>
        <w:rPr>
          <w:rFonts w:ascii="Verdana" w:eastAsia="Calibri" w:hAnsi="Verdana" w:cs="Arial"/>
          <w:lang w:val="es-ES"/>
        </w:rPr>
      </w:pPr>
    </w:p>
    <w:p w14:paraId="0A9B710B" w14:textId="77777777" w:rsidR="00135720" w:rsidRPr="00501E29" w:rsidRDefault="00135720" w:rsidP="00135720">
      <w:pPr>
        <w:spacing w:after="120" w:line="276" w:lineRule="auto"/>
        <w:jc w:val="both"/>
        <w:rPr>
          <w:rFonts w:ascii="Verdana" w:hAnsi="Verdana" w:cs="Arial"/>
        </w:rPr>
      </w:pPr>
      <w:r w:rsidRPr="00501E29">
        <w:rPr>
          <w:rFonts w:ascii="Verdana" w:eastAsia="Calibri" w:hAnsi="Verdana" w:cs="Arial"/>
          <w:bCs/>
          <w:lang w:val="es-ES_tradnl"/>
        </w:rPr>
        <w:t xml:space="preserve">i. </w:t>
      </w:r>
      <w:r w:rsidRPr="00501E29">
        <w:rPr>
          <w:rFonts w:ascii="Verdana" w:eastAsia="Calibri" w:hAnsi="Verdana" w:cs="Arial"/>
          <w:lang w:val="es-ES"/>
        </w:rPr>
        <w:t>Respecto al régimen jurídico</w:t>
      </w:r>
      <w:r>
        <w:rPr>
          <w:rFonts w:ascii="Verdana" w:eastAsia="Calibri" w:hAnsi="Verdana" w:cs="Arial"/>
          <w:lang w:val="es-ES"/>
        </w:rPr>
        <w:t xml:space="preserve"> de las </w:t>
      </w:r>
      <w:r w:rsidRPr="0089671A">
        <w:rPr>
          <w:rFonts w:ascii="Verdana" w:eastAsia="Calibri" w:hAnsi="Verdana" w:cs="Arial"/>
          <w:lang w:val="es-ES"/>
        </w:rPr>
        <w:t>Entidades Estatales</w:t>
      </w:r>
      <w:r w:rsidRPr="00501E29">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501E29">
        <w:rPr>
          <w:rFonts w:ascii="Verdana" w:hAnsi="Verdana" w:cs="Arial"/>
        </w:rPr>
        <w:t xml:space="preserve">el inciso primero del artículo 13 dispone que “Los contratos que celebren las entidades a que se refiere el artículo 2o. del </w:t>
      </w:r>
      <w:r w:rsidRPr="00501E29">
        <w:rPr>
          <w:rFonts w:ascii="Verdana" w:hAnsi="Verdana" w:cs="Arial"/>
        </w:rPr>
        <w:lastRenderedPageBreak/>
        <w:t xml:space="preserve">presente estatuto se regirán por las disposiciones comerciales y civiles pertinentes, salvo en las materias particularmente reguladas en esta ley”. </w:t>
      </w:r>
    </w:p>
    <w:p w14:paraId="084C6B32" w14:textId="77777777" w:rsidR="00135720" w:rsidRPr="00501E29" w:rsidRDefault="00135720" w:rsidP="00135720">
      <w:pPr>
        <w:spacing w:after="120" w:line="276" w:lineRule="auto"/>
        <w:ind w:firstLine="709"/>
        <w:jc w:val="both"/>
        <w:rPr>
          <w:rFonts w:ascii="Verdana" w:hAnsi="Verdana" w:cs="Arial"/>
        </w:rPr>
      </w:pPr>
      <w:r w:rsidRPr="00501E29">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w:t>
      </w:r>
      <w:r>
        <w:rPr>
          <w:rFonts w:ascii="Verdana" w:hAnsi="Verdana" w:cs="Arial"/>
        </w:rPr>
        <w:t>tonomía de la voluntad” –art. 32</w:t>
      </w:r>
      <w:r w:rsidRPr="00501E29">
        <w:rPr>
          <w:rFonts w:ascii="Verdana" w:hAnsi="Verdana" w:cs="Arial"/>
        </w:rPr>
        <w:t>, inciso primero–. Asimismo, dispone que “Las estipulaciones de los contratos serán las que</w:t>
      </w:r>
      <w:r>
        <w:rPr>
          <w:rFonts w:ascii="Verdana" w:hAnsi="Verdana" w:cs="Arial"/>
        </w:rPr>
        <w:t>,</w:t>
      </w:r>
      <w:r w:rsidRPr="00501E29">
        <w:rPr>
          <w:rFonts w:ascii="Verdana" w:hAnsi="Verdana" w:cs="Arial"/>
        </w:rPr>
        <w:t xml:space="preserve"> de acuerdo con las normas civiles, comerciales y las previstas en esta ley, correspondan a su esencia y naturaleza” –art. 40, inciso primero–.</w:t>
      </w:r>
    </w:p>
    <w:p w14:paraId="76B9197A" w14:textId="77777777" w:rsidR="00135720" w:rsidRPr="00501E29" w:rsidRDefault="00135720" w:rsidP="00135720">
      <w:pPr>
        <w:spacing w:after="0" w:line="276" w:lineRule="auto"/>
        <w:ind w:firstLine="708"/>
        <w:jc w:val="both"/>
        <w:rPr>
          <w:rFonts w:ascii="Verdana" w:hAnsi="Verdana" w:cs="Arial"/>
        </w:rPr>
      </w:pPr>
      <w:r w:rsidRPr="00501E29">
        <w:rPr>
          <w:rFonts w:ascii="Verdana" w:hAnsi="Verdana" w:cs="Arial"/>
        </w:rPr>
        <w:t>De esta manera, los contratos de las entidades s</w:t>
      </w:r>
      <w:r>
        <w:rPr>
          <w:rFonts w:ascii="Verdana" w:hAnsi="Verdana" w:cs="Arial"/>
        </w:rPr>
        <w:t>ujetas</w:t>
      </w:r>
      <w:r w:rsidRPr="00501E29">
        <w:rPr>
          <w:rFonts w:ascii="Verdana" w:hAnsi="Verdana" w:cs="Arial"/>
        </w:rPr>
        <w:t xml:space="preserve"> al Estatuto General de Contratación se rigen generalmente por el derecho privado y excepcionalmente por el derecho público, pues las normas civiles y comerciales son el derecho común de los contratos estatales</w:t>
      </w:r>
      <w:r w:rsidRPr="00501E29">
        <w:rPr>
          <w:rStyle w:val="Refdenotaalpie"/>
          <w:rFonts w:ascii="Verdana" w:hAnsi="Verdana" w:cs="Arial"/>
        </w:rPr>
        <w:footnoteReference w:id="2"/>
      </w:r>
      <w:r w:rsidRPr="00501E29">
        <w:rPr>
          <w:rFonts w:ascii="Verdana" w:hAnsi="Verdana" w:cs="Arial"/>
        </w:rPr>
        <w:t>. Para la doctrina, la mixtura del régimen contractual:</w:t>
      </w:r>
    </w:p>
    <w:p w14:paraId="361365FE" w14:textId="77777777" w:rsidR="00135720" w:rsidRPr="00501E29" w:rsidRDefault="00135720" w:rsidP="00135720">
      <w:pPr>
        <w:spacing w:after="0" w:line="276" w:lineRule="auto"/>
        <w:ind w:firstLine="709"/>
        <w:jc w:val="both"/>
        <w:rPr>
          <w:rFonts w:ascii="Verdana" w:hAnsi="Verdana" w:cs="Arial"/>
        </w:rPr>
      </w:pPr>
    </w:p>
    <w:p w14:paraId="213C80BD" w14:textId="77777777" w:rsidR="00135720" w:rsidRDefault="00135720" w:rsidP="00135720">
      <w:pPr>
        <w:spacing w:after="0" w:line="240" w:lineRule="auto"/>
        <w:ind w:left="709" w:right="709"/>
        <w:jc w:val="both"/>
        <w:rPr>
          <w:rFonts w:ascii="Verdana" w:hAnsi="Verdana" w:cs="Arial"/>
          <w:sz w:val="21"/>
          <w:szCs w:val="21"/>
        </w:rPr>
      </w:pPr>
      <w:r w:rsidRPr="00501E29">
        <w:rPr>
          <w:rFonts w:ascii="Verdana" w:hAnsi="Verdana" w:cs="Arial"/>
          <w:sz w:val="21"/>
          <w:szCs w:val="21"/>
        </w:rPr>
        <w:t xml:space="preserve">“[…] no hace otra cosa que aprovechar ciertos principios rectores de la contratación general </w:t>
      </w:r>
      <w:proofErr w:type="gramStart"/>
      <w:r w:rsidRPr="00501E29">
        <w:rPr>
          <w:rFonts w:ascii="Verdana" w:hAnsi="Verdana" w:cs="Arial"/>
          <w:sz w:val="21"/>
          <w:szCs w:val="21"/>
        </w:rPr>
        <w:t>que</w:t>
      </w:r>
      <w:proofErr w:type="gramEnd"/>
      <w:r w:rsidRPr="00501E29">
        <w:rPr>
          <w:rFonts w:ascii="Verdana" w:hAnsi="Verdana" w:cs="Arial"/>
          <w:sz w:val="21"/>
          <w:szCs w:val="21"/>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2923A6BB" w14:textId="77777777" w:rsidR="00135720" w:rsidRDefault="00135720" w:rsidP="00135720">
      <w:pPr>
        <w:spacing w:after="0" w:line="240" w:lineRule="auto"/>
        <w:ind w:left="709" w:right="709"/>
        <w:jc w:val="both"/>
        <w:rPr>
          <w:rFonts w:ascii="Verdana" w:hAnsi="Verdana" w:cs="Arial"/>
          <w:sz w:val="21"/>
          <w:szCs w:val="21"/>
        </w:rPr>
      </w:pPr>
    </w:p>
    <w:p w14:paraId="57C02621" w14:textId="77777777" w:rsidR="00135720" w:rsidRPr="000876F0" w:rsidRDefault="00135720" w:rsidP="00135720">
      <w:pPr>
        <w:spacing w:after="0" w:line="240" w:lineRule="auto"/>
        <w:ind w:left="709" w:right="709"/>
        <w:jc w:val="both"/>
        <w:rPr>
          <w:rFonts w:ascii="Verdana" w:hAnsi="Verdana" w:cs="Arial"/>
          <w:sz w:val="21"/>
          <w:szCs w:val="21"/>
        </w:rPr>
      </w:pPr>
      <w:r w:rsidRPr="00501E29">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501E29">
        <w:rPr>
          <w:rStyle w:val="Refdenotaalpie"/>
          <w:rFonts w:ascii="Verdana" w:hAnsi="Verdana" w:cs="Arial"/>
          <w:sz w:val="21"/>
          <w:szCs w:val="21"/>
        </w:rPr>
        <w:footnoteReference w:id="3"/>
      </w:r>
      <w:r w:rsidRPr="00501E29">
        <w:rPr>
          <w:rFonts w:ascii="Verdana" w:hAnsi="Verdana" w:cs="Arial"/>
          <w:sz w:val="21"/>
          <w:szCs w:val="21"/>
        </w:rPr>
        <w:t xml:space="preserve">. </w:t>
      </w:r>
    </w:p>
    <w:p w14:paraId="0183A3CC" w14:textId="77777777" w:rsidR="00135720" w:rsidRPr="00501E29" w:rsidRDefault="00135720" w:rsidP="00135720">
      <w:pPr>
        <w:spacing w:after="0" w:line="276" w:lineRule="auto"/>
        <w:ind w:left="709" w:right="709"/>
        <w:jc w:val="both"/>
        <w:rPr>
          <w:rFonts w:ascii="Verdana" w:hAnsi="Verdana" w:cs="Arial"/>
        </w:rPr>
      </w:pPr>
      <w:r w:rsidRPr="00501E29">
        <w:rPr>
          <w:rFonts w:ascii="Verdana" w:hAnsi="Verdana" w:cs="Arial"/>
        </w:rPr>
        <w:t xml:space="preserve"> </w:t>
      </w:r>
    </w:p>
    <w:p w14:paraId="322F7A7D" w14:textId="77777777" w:rsidR="00135720" w:rsidRDefault="00135720" w:rsidP="00135720">
      <w:pPr>
        <w:spacing w:after="120" w:line="276" w:lineRule="auto"/>
        <w:jc w:val="both"/>
        <w:rPr>
          <w:rFonts w:ascii="Verdana" w:hAnsi="Verdana" w:cs="Arial"/>
        </w:rPr>
      </w:pPr>
      <w:r w:rsidRPr="00501E29">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w:t>
      </w:r>
      <w:r w:rsidRPr="00501E29">
        <w:rPr>
          <w:rFonts w:ascii="Verdana" w:hAnsi="Verdana" w:cs="Arial"/>
        </w:rPr>
        <w:lastRenderedPageBreak/>
        <w:t>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627ADBC9" w14:textId="77777777" w:rsidR="00135720" w:rsidRPr="00D4240A" w:rsidRDefault="00135720" w:rsidP="00135720">
      <w:pPr>
        <w:spacing w:after="120" w:line="276" w:lineRule="auto"/>
        <w:ind w:firstLine="709"/>
        <w:jc w:val="both"/>
        <w:rPr>
          <w:rFonts w:ascii="Verdana" w:hAnsi="Verdana" w:cs="Arial"/>
        </w:rPr>
      </w:pP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E4E9336" w14:textId="77777777" w:rsidR="00135720" w:rsidRDefault="00135720" w:rsidP="00135720">
      <w:pPr>
        <w:spacing w:after="0" w:line="276" w:lineRule="auto"/>
        <w:ind w:firstLine="708"/>
        <w:jc w:val="both"/>
        <w:rPr>
          <w:rFonts w:ascii="Verdana" w:hAnsi="Verdana" w:cs="Arial"/>
        </w:rPr>
      </w:pPr>
      <w:r w:rsidRPr="00D4240A">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D4240A">
        <w:rPr>
          <w:rFonts w:ascii="Verdana" w:hAnsi="Verdana" w:cs="Arial"/>
        </w:rPr>
        <w:t>ii</w:t>
      </w:r>
      <w:proofErr w:type="spellEnd"/>
      <w:r w:rsidRPr="00D4240A">
        <w:rPr>
          <w:rFonts w:ascii="Verdana" w:hAnsi="Verdana" w:cs="Arial"/>
        </w:rPr>
        <w:t xml:space="preserve">) flexibilizar el ejercicio de la función administrativa –como en los contratos del Banco de la República o los de ciencia y tecnología– o </w:t>
      </w:r>
      <w:proofErr w:type="spellStart"/>
      <w:r w:rsidRPr="00D4240A">
        <w:rPr>
          <w:rFonts w:ascii="Verdana" w:hAnsi="Verdana" w:cs="Arial"/>
        </w:rPr>
        <w:t>iii</w:t>
      </w:r>
      <w:proofErr w:type="spellEnd"/>
      <w:r w:rsidRPr="00D4240A">
        <w:rPr>
          <w:rFonts w:ascii="Verdana" w:hAnsi="Verdana" w:cs="Arial"/>
        </w:rPr>
        <w:t>) establecer un régimen especial sin excluir por completo la aplicación de la Ley 80 de 1993 –como ocurre en la operaciones del crédito público–</w:t>
      </w:r>
      <w:r w:rsidRPr="00D4240A">
        <w:rPr>
          <w:rStyle w:val="Refdenotaalpie"/>
          <w:rFonts w:ascii="Verdana" w:hAnsi="Verdana" w:cs="Arial"/>
        </w:rPr>
        <w:footnoteReference w:id="4"/>
      </w:r>
      <w:r w:rsidRPr="00D4240A">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D4240A">
        <w:rPr>
          <w:rFonts w:ascii="Verdana" w:hAnsi="Verdana" w:cs="Arial"/>
        </w:rPr>
        <w:t>ii</w:t>
      </w:r>
      <w:proofErr w:type="spellEnd"/>
      <w:r w:rsidRPr="00D4240A">
        <w:rPr>
          <w:rFonts w:ascii="Verdana" w:hAnsi="Verdana" w:cs="Arial"/>
        </w:rPr>
        <w:t xml:space="preserve">) la asignación de un esquema legal especial, </w:t>
      </w:r>
      <w:proofErr w:type="spellStart"/>
      <w:r w:rsidRPr="00D4240A">
        <w:rPr>
          <w:rFonts w:ascii="Verdana" w:hAnsi="Verdana" w:cs="Arial"/>
        </w:rPr>
        <w:t>iii</w:t>
      </w:r>
      <w:proofErr w:type="spellEnd"/>
      <w:r w:rsidRPr="00D4240A">
        <w:rPr>
          <w:rFonts w:ascii="Verdana" w:hAnsi="Verdana" w:cs="Arial"/>
        </w:rPr>
        <w:t xml:space="preserve">) el objeto del contrato celebrado y </w:t>
      </w:r>
      <w:proofErr w:type="spellStart"/>
      <w:r w:rsidRPr="00D4240A">
        <w:rPr>
          <w:rFonts w:ascii="Verdana" w:hAnsi="Verdana" w:cs="Arial"/>
        </w:rPr>
        <w:t>iv</w:t>
      </w:r>
      <w:proofErr w:type="spellEnd"/>
      <w:r w:rsidRPr="00D4240A">
        <w:rPr>
          <w:rFonts w:ascii="Verdana" w:hAnsi="Verdana" w:cs="Arial"/>
        </w:rPr>
        <w:t>) la existencia de fondos que administran recursos públicos</w:t>
      </w:r>
      <w:r w:rsidRPr="00D4240A">
        <w:rPr>
          <w:rStyle w:val="Refdenotaalpie"/>
          <w:rFonts w:ascii="Verdana" w:hAnsi="Verdana" w:cs="Arial"/>
        </w:rPr>
        <w:footnoteReference w:id="5"/>
      </w:r>
      <w:r w:rsidRPr="00D4240A">
        <w:rPr>
          <w:rFonts w:ascii="Verdana" w:hAnsi="Verdana" w:cs="Arial"/>
        </w:rPr>
        <w:t>.</w:t>
      </w:r>
    </w:p>
    <w:p w14:paraId="4772510A" w14:textId="77777777" w:rsidR="00135720" w:rsidRDefault="00135720" w:rsidP="00135720">
      <w:pPr>
        <w:spacing w:after="0" w:line="276" w:lineRule="auto"/>
        <w:jc w:val="both"/>
        <w:rPr>
          <w:rFonts w:ascii="Verdana" w:hAnsi="Verdana" w:cs="Arial"/>
          <w:bCs/>
          <w:lang w:val="es-MX"/>
        </w:rPr>
      </w:pPr>
    </w:p>
    <w:p w14:paraId="079BBEFC" w14:textId="77777777" w:rsidR="00135720" w:rsidRPr="003A1844" w:rsidRDefault="00135720" w:rsidP="00135720">
      <w:pPr>
        <w:spacing w:after="0" w:line="276" w:lineRule="auto"/>
        <w:jc w:val="both"/>
        <w:rPr>
          <w:rFonts w:ascii="Verdana" w:hAnsi="Verdana" w:cs="Arial"/>
          <w:lang w:val="es-MX"/>
        </w:rPr>
      </w:pPr>
      <w:proofErr w:type="spellStart"/>
      <w:r w:rsidRPr="0094448B">
        <w:rPr>
          <w:rFonts w:ascii="Verdana" w:eastAsia="Arial MT" w:hAnsi="Verdana" w:cs="Arial MT"/>
          <w:lang w:val="es-ES"/>
        </w:rPr>
        <w:t>ii</w:t>
      </w:r>
      <w:proofErr w:type="spellEnd"/>
      <w:r w:rsidRPr="0094448B">
        <w:rPr>
          <w:rFonts w:ascii="Verdana" w:eastAsia="Arial MT" w:hAnsi="Verdana" w:cs="Arial MT"/>
          <w:lang w:val="es-ES"/>
        </w:rPr>
        <w:t xml:space="preserve">. </w:t>
      </w:r>
      <w:r w:rsidRPr="003A1844">
        <w:rPr>
          <w:rFonts w:ascii="Verdana" w:hAnsi="Verdana" w:cs="Arial"/>
          <w:lang w:val="es-MX"/>
        </w:rPr>
        <w:t xml:space="preserve">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w:t>
      </w:r>
      <w:r w:rsidRPr="003A1844">
        <w:rPr>
          <w:rFonts w:ascii="Verdana" w:hAnsi="Verdana" w:cs="Arial"/>
          <w:lang w:val="es-MX"/>
        </w:rPr>
        <w:lastRenderedPageBreak/>
        <w:t>administrativa</w:t>
      </w:r>
      <w:r w:rsidRPr="003A1844">
        <w:rPr>
          <w:rFonts w:ascii="Verdana" w:hAnsi="Verdana" w:cs="Arial"/>
          <w:vertAlign w:val="superscript"/>
          <w:lang w:val="es-MX"/>
        </w:rPr>
        <w:footnoteReference w:id="6"/>
      </w:r>
      <w:r w:rsidRPr="003A1844">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7CFA6E8F" w14:textId="77777777" w:rsidR="00135720" w:rsidRPr="003A1844" w:rsidRDefault="00135720" w:rsidP="00135720">
      <w:pPr>
        <w:spacing w:after="0" w:line="276" w:lineRule="auto"/>
        <w:ind w:firstLine="709"/>
        <w:jc w:val="both"/>
        <w:rPr>
          <w:rFonts w:ascii="Verdana" w:hAnsi="Verdana" w:cs="Arial"/>
          <w:lang w:val="es-MX"/>
        </w:rPr>
      </w:pPr>
    </w:p>
    <w:p w14:paraId="2E7059D0" w14:textId="77777777" w:rsidR="00135720" w:rsidRPr="003A1844" w:rsidRDefault="00135720" w:rsidP="00135720">
      <w:pPr>
        <w:spacing w:after="0" w:line="240" w:lineRule="auto"/>
        <w:ind w:left="709" w:right="709"/>
        <w:jc w:val="both"/>
        <w:rPr>
          <w:rFonts w:ascii="Verdana" w:eastAsia="Calibri" w:hAnsi="Verdana" w:cs="Arial"/>
          <w:sz w:val="20"/>
          <w:szCs w:val="20"/>
        </w:rPr>
      </w:pPr>
      <w:r w:rsidRPr="003A1844">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3A1844">
        <w:rPr>
          <w:rFonts w:ascii="Verdana" w:eastAsia="Calibri" w:hAnsi="Verdana" w:cs="Arial"/>
          <w:sz w:val="20"/>
          <w:szCs w:val="20"/>
          <w:vertAlign w:val="superscript"/>
        </w:rPr>
        <w:footnoteReference w:id="7"/>
      </w:r>
      <w:r w:rsidRPr="003A1844">
        <w:rPr>
          <w:rFonts w:ascii="Verdana" w:eastAsia="Calibri" w:hAnsi="Verdana" w:cs="Arial"/>
          <w:sz w:val="20"/>
          <w:szCs w:val="20"/>
        </w:rPr>
        <w:t xml:space="preserve">. </w:t>
      </w:r>
    </w:p>
    <w:p w14:paraId="27324FC3" w14:textId="77777777" w:rsidR="00135720" w:rsidRPr="003A1844" w:rsidRDefault="00135720" w:rsidP="00135720">
      <w:pPr>
        <w:spacing w:after="0" w:line="276" w:lineRule="auto"/>
        <w:ind w:left="709" w:right="709"/>
        <w:jc w:val="both"/>
        <w:rPr>
          <w:rFonts w:ascii="Verdana" w:eastAsia="Calibri" w:hAnsi="Verdana" w:cs="Arial"/>
        </w:rPr>
      </w:pPr>
    </w:p>
    <w:p w14:paraId="502AC574" w14:textId="77777777" w:rsidR="00135720" w:rsidRPr="003A1844" w:rsidRDefault="00135720" w:rsidP="00135720">
      <w:pPr>
        <w:widowControl w:val="0"/>
        <w:autoSpaceDE w:val="0"/>
        <w:autoSpaceDN w:val="0"/>
        <w:spacing w:after="120" w:line="276" w:lineRule="auto"/>
        <w:ind w:right="102" w:firstLine="709"/>
        <w:jc w:val="both"/>
        <w:rPr>
          <w:rFonts w:ascii="Verdana" w:eastAsia="Arial" w:hAnsi="Verdana" w:cs="Arial"/>
          <w:lang w:val="es-ES"/>
        </w:rPr>
      </w:pPr>
      <w:r>
        <w:rPr>
          <w:rFonts w:ascii="Verdana" w:eastAsia="Arial" w:hAnsi="Verdana" w:cs="Arial"/>
          <w:lang w:val="es-ES"/>
        </w:rPr>
        <w:t>De la cita precedente</w:t>
      </w:r>
      <w:r w:rsidRPr="003A1844">
        <w:rPr>
          <w:rFonts w:ascii="Verdana" w:eastAsia="Arial" w:hAnsi="Verdana" w:cs="Arial"/>
          <w:lang w:val="es-ES"/>
        </w:rPr>
        <w:t xml:space="preserve"> puede concluir</w:t>
      </w:r>
      <w:r>
        <w:rPr>
          <w:rFonts w:ascii="Verdana" w:eastAsia="Arial" w:hAnsi="Verdana" w:cs="Arial"/>
          <w:lang w:val="es-ES"/>
        </w:rPr>
        <w:t>se</w:t>
      </w:r>
      <w:r w:rsidRPr="003A1844">
        <w:rPr>
          <w:rFonts w:ascii="Verdana" w:eastAsia="Arial" w:hAnsi="Verdana" w:cs="Arial"/>
          <w:lang w:val="es-ES"/>
        </w:rPr>
        <w:t xml:space="preserve"> entonces que, las Empresas Sociales del Estado </w:t>
      </w:r>
      <w:r w:rsidRPr="003A1844">
        <w:rPr>
          <w:rFonts w:ascii="Verdana" w:eastAsia="Arial" w:hAnsi="Verdana" w:cs="Arial"/>
          <w:lang w:val="es-MX"/>
        </w:rPr>
        <w:t>–ESE–</w:t>
      </w:r>
      <w:r w:rsidRPr="003A1844">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13E5D646" w14:textId="77777777" w:rsidR="00135720" w:rsidRPr="003A1844" w:rsidRDefault="00135720" w:rsidP="00135720">
      <w:pPr>
        <w:spacing w:after="120" w:line="276" w:lineRule="auto"/>
        <w:ind w:firstLine="709"/>
        <w:jc w:val="both"/>
        <w:rPr>
          <w:rFonts w:ascii="Verdana" w:hAnsi="Verdana" w:cs="Arial"/>
        </w:rPr>
      </w:pPr>
      <w:r w:rsidRPr="003A1844">
        <w:rPr>
          <w:rFonts w:ascii="Verdana" w:hAnsi="Verdana" w:cs="Arial"/>
        </w:rPr>
        <w:t xml:space="preserve">Por su parte, en lo que a materia contractual se refiere, de conformidad con el numeral 6 del artículo 195 de la Ley 100 de 1993, el régimen de contratación de las </w:t>
      </w:r>
      <w:r w:rsidRPr="003A1844">
        <w:rPr>
          <w:rFonts w:ascii="Verdana" w:hAnsi="Verdana" w:cs="Arial"/>
          <w:lang w:val="es-MX"/>
        </w:rPr>
        <w:t>–ESE–</w:t>
      </w:r>
      <w:r w:rsidRPr="003A1844">
        <w:rPr>
          <w:rFonts w:ascii="Verdana" w:hAnsi="Verdana"/>
        </w:rPr>
        <w:t xml:space="preserve"> </w:t>
      </w:r>
      <w:r w:rsidRPr="003A1844">
        <w:rPr>
          <w:rFonts w:ascii="Verdana" w:hAnsi="Verdana" w:cs="Arial"/>
        </w:rPr>
        <w:t xml:space="preserve">es el de derecho privado, es decir, se rige por las disposiciones contenidas en el Código de Comercio y en el Código Civil, aplicables en lo que resulten pertinentes, salvo en las materias particularmente reguladas </w:t>
      </w:r>
      <w:r w:rsidRPr="003A1844">
        <w:rPr>
          <w:rFonts w:ascii="Verdana" w:eastAsia="Calibri" w:hAnsi="Verdana" w:cs="Arial"/>
        </w:rPr>
        <w:t xml:space="preserve">por el derecho público. </w:t>
      </w:r>
      <w:r w:rsidRPr="003A1844">
        <w:rPr>
          <w:rFonts w:ascii="Verdana" w:hAnsi="Verdana" w:cs="Arial"/>
        </w:rPr>
        <w:t xml:space="preserve">La norma referida prescribe que: “En materia contractual se regirá por el derecho privado, </w:t>
      </w:r>
      <w:r w:rsidRPr="00E2011B">
        <w:rPr>
          <w:rFonts w:ascii="Verdana" w:hAnsi="Verdana" w:cs="Arial"/>
          <w:i/>
        </w:rPr>
        <w:t>pero podrá discrecionalmente utilizar las cláusulas exorbitantes previstas en el estatuto general de contratación de la administración pública”</w:t>
      </w:r>
      <w:r>
        <w:rPr>
          <w:rFonts w:ascii="Verdana" w:hAnsi="Verdana" w:cs="Arial"/>
        </w:rPr>
        <w:t xml:space="preserve"> (énfasis fuera de texto). </w:t>
      </w:r>
    </w:p>
    <w:p w14:paraId="7359FAD1" w14:textId="77777777" w:rsidR="00135720" w:rsidRPr="003A1844" w:rsidRDefault="00135720" w:rsidP="00135720">
      <w:pPr>
        <w:widowControl w:val="0"/>
        <w:autoSpaceDE w:val="0"/>
        <w:autoSpaceDN w:val="0"/>
        <w:spacing w:after="0" w:line="276" w:lineRule="auto"/>
        <w:ind w:right="102" w:firstLine="709"/>
        <w:jc w:val="both"/>
        <w:rPr>
          <w:rFonts w:ascii="Verdana" w:eastAsia="Arial" w:hAnsi="Verdana" w:cs="Arial"/>
          <w:lang w:val="es-ES"/>
        </w:rPr>
      </w:pPr>
      <w:r w:rsidRPr="003A1844">
        <w:rPr>
          <w:rFonts w:ascii="Verdana" w:eastAsia="Arial" w:hAnsi="Verdana" w:cs="Arial"/>
          <w:lang w:val="es-ES"/>
        </w:rPr>
        <w:t xml:space="preserve">En consecuencia, </w:t>
      </w:r>
      <w:r w:rsidRPr="003A1844">
        <w:rPr>
          <w:rFonts w:ascii="Verdana" w:eastAsia="Calibri" w:hAnsi="Verdana" w:cs="Arial"/>
          <w:color w:val="000000" w:themeColor="text1"/>
          <w:lang w:val="es-MX"/>
        </w:rPr>
        <w:t xml:space="preserve">las </w:t>
      </w:r>
      <w:r w:rsidRPr="003A1844">
        <w:rPr>
          <w:rFonts w:ascii="Verdana" w:eastAsia="Arial" w:hAnsi="Verdana" w:cs="Arial"/>
          <w:lang w:val="es-MX"/>
        </w:rPr>
        <w:t>–ESE–</w:t>
      </w:r>
      <w:r w:rsidRPr="003A1844">
        <w:rPr>
          <w:rFonts w:ascii="Verdana" w:eastAsia="Arial" w:hAnsi="Verdana" w:cs="Arial"/>
          <w:lang w:val="es-ES"/>
        </w:rPr>
        <w:t xml:space="preserve"> </w:t>
      </w:r>
      <w:r w:rsidRPr="003A1844">
        <w:rPr>
          <w:rFonts w:ascii="Verdana" w:eastAsia="Calibri" w:hAnsi="Verdana" w:cs="Arial"/>
          <w:color w:val="000000" w:themeColor="text1"/>
          <w:lang w:val="es-MX"/>
        </w:rPr>
        <w:t xml:space="preserve">no están sometidas al EGCAP ni a las normas que lo reglamentan o complementan, ya que, por disposición expresa de la norma transcrita, sus </w:t>
      </w:r>
      <w:r w:rsidRPr="003A1844">
        <w:rPr>
          <w:rFonts w:ascii="Verdana" w:eastAsia="Arial" w:hAnsi="Verdana" w:cs="Arial"/>
          <w:lang w:val="es-ES"/>
        </w:rPr>
        <w:t xml:space="preserve">contratos se rigen por el derecho privado. Sin embargo, esta circunstancia no implica la inobservancia de los principios de la función </w:t>
      </w:r>
      <w:r w:rsidRPr="003A1844">
        <w:rPr>
          <w:rFonts w:ascii="Verdana" w:eastAsia="Arial" w:hAnsi="Verdana" w:cs="Arial"/>
          <w:lang w:val="es-ES"/>
        </w:rPr>
        <w:lastRenderedPageBreak/>
        <w:t>administrativa y la gestión fiscal, teniendo en cuenta que su objet</w:t>
      </w:r>
      <w:r>
        <w:rPr>
          <w:rFonts w:ascii="Verdana" w:eastAsia="Arial" w:hAnsi="Verdana" w:cs="Arial"/>
          <w:lang w:val="es-ES"/>
        </w:rPr>
        <w:t>o, conforme a la Sentencia C-665</w:t>
      </w:r>
      <w:r w:rsidRPr="003A1844">
        <w:rPr>
          <w:rFonts w:ascii="Verdana" w:eastAsia="Arial" w:hAnsi="Verdana" w:cs="Arial"/>
          <w:lang w:val="es-ES"/>
        </w:rPr>
        <w:t xml:space="preserve"> de 2000 de la Corte Constitucional, corresponde a la prestación del servicio de salud a cargo del Estado o como parte del servicio de seguridad social</w:t>
      </w:r>
      <w:r w:rsidRPr="003A1844">
        <w:rPr>
          <w:rFonts w:ascii="Verdana" w:eastAsia="Arial" w:hAnsi="Verdana" w:cs="Arial"/>
          <w:vertAlign w:val="superscript"/>
          <w:lang w:val="es-ES"/>
        </w:rPr>
        <w:footnoteReference w:id="8"/>
      </w:r>
      <w:r w:rsidRPr="003A1844">
        <w:rPr>
          <w:rFonts w:ascii="Verdana" w:eastAsia="Arial" w:hAnsi="Verdana" w:cs="Arial"/>
          <w:lang w:val="es-ES"/>
        </w:rPr>
        <w:t>. En esta misma línea, el artículo 83 de la Ley 489 de 1998, dispuso lo</w:t>
      </w:r>
      <w:r w:rsidRPr="003A1844">
        <w:rPr>
          <w:rFonts w:ascii="Verdana" w:eastAsia="Arial" w:hAnsi="Verdana" w:cs="Arial"/>
          <w:spacing w:val="-12"/>
          <w:lang w:val="es-ES"/>
        </w:rPr>
        <w:t xml:space="preserve"> </w:t>
      </w:r>
      <w:r w:rsidRPr="003A1844">
        <w:rPr>
          <w:rFonts w:ascii="Verdana" w:eastAsia="Arial" w:hAnsi="Verdana" w:cs="Arial"/>
          <w:lang w:val="es-ES"/>
        </w:rPr>
        <w:t>siguiente:</w:t>
      </w:r>
    </w:p>
    <w:p w14:paraId="5DF81764" w14:textId="77777777" w:rsidR="00135720" w:rsidRPr="003A1844" w:rsidRDefault="00135720" w:rsidP="00135720">
      <w:pPr>
        <w:widowControl w:val="0"/>
        <w:autoSpaceDE w:val="0"/>
        <w:autoSpaceDN w:val="0"/>
        <w:spacing w:after="0" w:line="276" w:lineRule="auto"/>
        <w:ind w:right="102" w:firstLine="709"/>
        <w:jc w:val="both"/>
        <w:rPr>
          <w:rFonts w:ascii="Verdana" w:eastAsia="Arial" w:hAnsi="Verdana" w:cs="Arial"/>
          <w:lang w:val="es-ES"/>
        </w:rPr>
      </w:pPr>
    </w:p>
    <w:p w14:paraId="11A62DB9" w14:textId="77777777" w:rsidR="00135720" w:rsidRPr="003A1844" w:rsidRDefault="00135720" w:rsidP="00135720">
      <w:pPr>
        <w:widowControl w:val="0"/>
        <w:autoSpaceDE w:val="0"/>
        <w:autoSpaceDN w:val="0"/>
        <w:spacing w:after="0" w:line="240" w:lineRule="auto"/>
        <w:ind w:left="709" w:right="709"/>
        <w:jc w:val="both"/>
        <w:rPr>
          <w:rFonts w:ascii="Verdana" w:eastAsia="Arial" w:hAnsi="Verdana" w:cs="Arial"/>
          <w:sz w:val="20"/>
          <w:szCs w:val="20"/>
          <w:lang w:val="es-ES"/>
        </w:rPr>
      </w:pPr>
      <w:r w:rsidRPr="003A1844">
        <w:rPr>
          <w:rFonts w:ascii="Verdana" w:eastAsia="Arial" w:hAnsi="Verdana" w:cs="Arial"/>
          <w:sz w:val="20"/>
          <w:szCs w:val="20"/>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3A1844">
        <w:rPr>
          <w:rFonts w:ascii="Verdana" w:eastAsia="Arial" w:hAnsi="Verdana" w:cs="Arial"/>
          <w:spacing w:val="-1"/>
          <w:sz w:val="20"/>
          <w:szCs w:val="20"/>
          <w:lang w:val="es-ES"/>
        </w:rPr>
        <w:t xml:space="preserve"> </w:t>
      </w:r>
      <w:r w:rsidRPr="003A1844">
        <w:rPr>
          <w:rFonts w:ascii="Verdana" w:eastAsia="Arial" w:hAnsi="Verdana" w:cs="Arial"/>
          <w:sz w:val="20"/>
          <w:szCs w:val="20"/>
          <w:lang w:val="es-ES"/>
        </w:rPr>
        <w:t>adicionen.”</w:t>
      </w:r>
    </w:p>
    <w:p w14:paraId="2F34D63E" w14:textId="77777777" w:rsidR="00135720" w:rsidRPr="003A1844" w:rsidRDefault="00135720" w:rsidP="00135720">
      <w:pPr>
        <w:widowControl w:val="0"/>
        <w:autoSpaceDE w:val="0"/>
        <w:autoSpaceDN w:val="0"/>
        <w:spacing w:after="0" w:line="276" w:lineRule="auto"/>
        <w:jc w:val="both"/>
        <w:rPr>
          <w:rFonts w:ascii="Verdana" w:eastAsia="Arial" w:hAnsi="Verdana" w:cs="Arial"/>
          <w:lang w:val="es-ES"/>
        </w:rPr>
      </w:pPr>
    </w:p>
    <w:p w14:paraId="190BDFAB" w14:textId="77777777" w:rsidR="00135720" w:rsidRPr="003A1844" w:rsidRDefault="00135720" w:rsidP="00135720">
      <w:pPr>
        <w:tabs>
          <w:tab w:val="left" w:pos="709"/>
        </w:tabs>
        <w:spacing w:after="120" w:line="276" w:lineRule="auto"/>
        <w:jc w:val="both"/>
        <w:rPr>
          <w:rFonts w:ascii="Verdana" w:eastAsia="Calibri" w:hAnsi="Verdana" w:cs="Arial"/>
          <w:color w:val="000000" w:themeColor="text1"/>
        </w:rPr>
      </w:pPr>
      <w:r w:rsidRPr="003A1844">
        <w:rPr>
          <w:rFonts w:ascii="Verdana" w:eastAsia="Calibri" w:hAnsi="Verdana" w:cs="Arial"/>
          <w:color w:val="000000" w:themeColor="text1"/>
          <w:lang w:val="es-ES"/>
        </w:rPr>
        <w:tab/>
        <w:t xml:space="preserve">Esta también ha sido la interpretación del Ministerio de Salud y Protección Social, que en el Concepto No. </w:t>
      </w:r>
      <w:r w:rsidRPr="003A1844">
        <w:rPr>
          <w:rFonts w:ascii="Verdana" w:eastAsia="Calibri" w:hAnsi="Verdana" w:cs="Arial"/>
          <w:color w:val="000000" w:themeColor="text1"/>
        </w:rPr>
        <w:t>201942301304712</w:t>
      </w:r>
      <w:r w:rsidRPr="003A1844">
        <w:rPr>
          <w:rFonts w:ascii="Verdana" w:eastAsia="Calibri" w:hAnsi="Verdana" w:cs="Arial"/>
          <w:color w:val="000000" w:themeColor="text1"/>
          <w:lang w:val="es-ES"/>
        </w:rPr>
        <w:t xml:space="preserve"> de 2019, reiterando lo expuesto por la Sala de Consulta y Servicio Civil del Consejo de Estado</w:t>
      </w:r>
      <w:r w:rsidRPr="003A1844">
        <w:rPr>
          <w:rFonts w:ascii="Verdana" w:eastAsia="Calibri" w:hAnsi="Verdana" w:cs="Arial"/>
          <w:color w:val="000000" w:themeColor="text1"/>
          <w:vertAlign w:val="superscript"/>
          <w:lang w:val="es-ES"/>
        </w:rPr>
        <w:footnoteReference w:id="9"/>
      </w:r>
      <w:r w:rsidRPr="003A1844">
        <w:rPr>
          <w:rFonts w:ascii="Verdana" w:eastAsia="Calibri" w:hAnsi="Verdana" w:cs="Arial"/>
          <w:color w:val="000000" w:themeColor="text1"/>
          <w:lang w:val="es-ES"/>
        </w:rPr>
        <w:t xml:space="preserve">, expresó que “[…] </w:t>
      </w:r>
      <w:r w:rsidRPr="003A1844">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3A1844">
        <w:rPr>
          <w:rFonts w:ascii="Verdana" w:eastAsia="Calibri" w:hAnsi="Verdana" w:cs="Arial"/>
          <w:color w:val="000000" w:themeColor="text1"/>
          <w:vertAlign w:val="superscript"/>
          <w:lang w:val="es-ES"/>
        </w:rPr>
        <w:footnoteReference w:id="10"/>
      </w:r>
      <w:r w:rsidRPr="003A1844">
        <w:rPr>
          <w:rFonts w:ascii="Verdana" w:eastAsia="Calibri" w:hAnsi="Verdana" w:cs="Arial"/>
          <w:color w:val="000000" w:themeColor="text1"/>
          <w:lang w:val="es-ES"/>
        </w:rPr>
        <w:t xml:space="preserve">. </w:t>
      </w:r>
    </w:p>
    <w:p w14:paraId="7790601C" w14:textId="77777777" w:rsidR="00135720" w:rsidRPr="003A1844" w:rsidRDefault="00135720" w:rsidP="00135720">
      <w:pPr>
        <w:spacing w:after="120" w:line="276" w:lineRule="auto"/>
        <w:ind w:firstLine="709"/>
        <w:jc w:val="both"/>
        <w:rPr>
          <w:rFonts w:ascii="Verdana" w:hAnsi="Verdana" w:cs="Arial"/>
          <w:lang w:val="es-ES"/>
        </w:rPr>
      </w:pPr>
      <w:r w:rsidRPr="003A1844">
        <w:rPr>
          <w:rFonts w:ascii="Verdana" w:hAnsi="Verdana"/>
        </w:rPr>
        <w:t xml:space="preserve">En consecuencia, por mandato del legislador, el régimen jurídico de los contratos de las </w:t>
      </w:r>
      <w:r w:rsidRPr="003A1844">
        <w:rPr>
          <w:rFonts w:ascii="Verdana" w:hAnsi="Verdana" w:cs="Arial"/>
          <w:lang w:val="es-MX"/>
        </w:rPr>
        <w:t>–ESE–</w:t>
      </w:r>
      <w:r w:rsidRPr="003A1844">
        <w:rPr>
          <w:rFonts w:ascii="Verdana" w:hAnsi="Verdana"/>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3A1844">
        <w:rPr>
          <w:rFonts w:ascii="Verdana" w:hAnsi="Verdana" w:cs="Arial"/>
          <w:lang w:val="es-MX"/>
        </w:rPr>
        <w:t>–ESE–</w:t>
      </w:r>
      <w:r w:rsidRPr="003A1844">
        <w:rPr>
          <w:rFonts w:ascii="Verdana" w:hAnsi="Verdana"/>
        </w:rPr>
        <w:t xml:space="preserve">,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w:t>
      </w:r>
      <w:r w:rsidRPr="003A1844">
        <w:rPr>
          <w:rFonts w:ascii="Verdana" w:hAnsi="Verdana"/>
        </w:rPr>
        <w:lastRenderedPageBreak/>
        <w:t>colombiano se reconoció que las entidades exceptuadas del EGCAP debían respetar los principios de la función administrativa, tesis que luego fue acogida por el legislador con la expedición de la Ley 1150 de 2007.</w:t>
      </w:r>
    </w:p>
    <w:p w14:paraId="78C40CD4" w14:textId="77777777" w:rsidR="00135720" w:rsidRPr="003A1844" w:rsidRDefault="00135720" w:rsidP="00135720">
      <w:pPr>
        <w:spacing w:after="120" w:line="276" w:lineRule="auto"/>
        <w:ind w:firstLine="709"/>
        <w:jc w:val="both"/>
        <w:rPr>
          <w:rFonts w:ascii="Verdana" w:hAnsi="Verdana" w:cs="Arial"/>
          <w:sz w:val="20"/>
          <w:szCs w:val="20"/>
          <w:lang w:val="es-MX"/>
        </w:rPr>
      </w:pPr>
      <w:r w:rsidRPr="003A1844">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3A1844">
        <w:rPr>
          <w:rFonts w:ascii="Verdana" w:hAnsi="Verdana" w:cs="Arial"/>
          <w:sz w:val="20"/>
          <w:szCs w:val="20"/>
          <w:lang w:val="es-MX"/>
        </w:rPr>
        <w:t xml:space="preserve">. </w:t>
      </w:r>
    </w:p>
    <w:p w14:paraId="142D0832" w14:textId="77777777" w:rsidR="00135720" w:rsidRDefault="00135720" w:rsidP="00157783">
      <w:pPr>
        <w:spacing w:after="0" w:line="276" w:lineRule="auto"/>
        <w:ind w:firstLine="709"/>
        <w:jc w:val="both"/>
        <w:rPr>
          <w:rFonts w:ascii="Verdana" w:hAnsi="Verdana" w:cs="Arial"/>
          <w:lang w:val="es-MX"/>
        </w:rPr>
      </w:pPr>
      <w:r w:rsidRPr="003A1844">
        <w:rPr>
          <w:rFonts w:ascii="Verdana"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3A1844">
        <w:rPr>
          <w:rFonts w:ascii="Verdana" w:hAnsi="Verdana"/>
        </w:rPr>
        <w:t xml:space="preserve"> </w:t>
      </w:r>
      <w:r w:rsidRPr="003A1844">
        <w:rPr>
          <w:rFonts w:ascii="Verdana"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r>
        <w:rPr>
          <w:rFonts w:ascii="Verdana" w:hAnsi="Verdana" w:cs="Arial"/>
          <w:lang w:val="es-MX"/>
        </w:rPr>
        <w:t>, así como el deber de publicar en la plataforma transaccional SECOP II</w:t>
      </w:r>
      <w:r w:rsidRPr="003A1844">
        <w:rPr>
          <w:rFonts w:ascii="Verdana" w:hAnsi="Verdana" w:cs="Arial"/>
          <w:lang w:val="es-MX"/>
        </w:rPr>
        <w:t>.</w:t>
      </w:r>
      <w:r>
        <w:rPr>
          <w:rFonts w:ascii="Verdana" w:hAnsi="Verdana" w:cs="Arial"/>
          <w:lang w:val="es-MX"/>
        </w:rPr>
        <w:t xml:space="preserve"> Al respecto, el artículo 13 de la Ley 1150 de 2007 modificado por el artículo 53 de la Ley 2195 de 2022:</w:t>
      </w:r>
    </w:p>
    <w:p w14:paraId="1EA01E4A" w14:textId="77777777" w:rsidR="00135720" w:rsidRDefault="00135720" w:rsidP="00157783">
      <w:pPr>
        <w:spacing w:after="0" w:line="276" w:lineRule="auto"/>
        <w:ind w:left="709" w:right="709"/>
        <w:jc w:val="both"/>
        <w:rPr>
          <w:rFonts w:ascii="Verdana" w:hAnsi="Verdana" w:cs="Arial"/>
          <w:lang w:val="es-MX"/>
        </w:rPr>
      </w:pPr>
    </w:p>
    <w:p w14:paraId="7FB6B23A" w14:textId="77777777" w:rsidR="00135720" w:rsidRPr="00BA51C0" w:rsidRDefault="00135720" w:rsidP="00135720">
      <w:pPr>
        <w:spacing w:after="0" w:line="240" w:lineRule="auto"/>
        <w:ind w:left="709" w:right="709"/>
        <w:jc w:val="both"/>
        <w:rPr>
          <w:rFonts w:ascii="Verdana" w:hAnsi="Verdana" w:cs="Arial"/>
          <w:bCs/>
        </w:rPr>
      </w:pPr>
      <w:r w:rsidRPr="00BA51C0">
        <w:rPr>
          <w:rFonts w:ascii="Verdana" w:hAnsi="Verdana" w:cs="Arial"/>
          <w:bCs/>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EE067DD" w14:textId="77777777" w:rsidR="00135720" w:rsidRPr="00BA51C0" w:rsidRDefault="00135720" w:rsidP="00135720">
      <w:pPr>
        <w:spacing w:after="0" w:line="240" w:lineRule="auto"/>
        <w:ind w:left="709" w:right="709" w:firstLine="709"/>
        <w:jc w:val="both"/>
        <w:rPr>
          <w:rFonts w:ascii="Verdana" w:hAnsi="Verdana" w:cs="Arial"/>
          <w:bCs/>
        </w:rPr>
      </w:pPr>
    </w:p>
    <w:p w14:paraId="21FD4874" w14:textId="77777777" w:rsidR="00135720" w:rsidRDefault="00135720" w:rsidP="00135720">
      <w:pPr>
        <w:spacing w:after="0" w:line="240" w:lineRule="auto"/>
        <w:ind w:left="709" w:right="709"/>
        <w:jc w:val="both"/>
        <w:rPr>
          <w:rFonts w:ascii="Verdana" w:hAnsi="Verdana" w:cs="Arial"/>
          <w:bCs/>
          <w:i/>
          <w:iCs/>
        </w:rPr>
      </w:pPr>
      <w:r w:rsidRPr="00BA51C0">
        <w:rPr>
          <w:rFonts w:ascii="Verdana" w:hAnsi="Verdana" w:cs="Arial"/>
          <w:bCs/>
          <w:i/>
          <w:iCs/>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BA51C0">
        <w:rPr>
          <w:rFonts w:ascii="Verdana" w:hAnsi="Verdana" w:cs="Arial"/>
          <w:bCs/>
          <w:i/>
          <w:iCs/>
        </w:rPr>
        <w:t>postcontractual</w:t>
      </w:r>
      <w:proofErr w:type="spellEnd"/>
      <w:r w:rsidRPr="00BA51C0">
        <w:rPr>
          <w:rFonts w:ascii="Verdana" w:hAnsi="Verdana" w:cs="Arial"/>
          <w:bCs/>
          <w:i/>
          <w:iCs/>
        </w:rPr>
        <w:t>.</w:t>
      </w:r>
    </w:p>
    <w:p w14:paraId="0CD14257" w14:textId="77777777" w:rsidR="00135720" w:rsidRDefault="00135720" w:rsidP="00135720">
      <w:pPr>
        <w:spacing w:after="0" w:line="240" w:lineRule="auto"/>
        <w:ind w:left="709" w:right="709"/>
        <w:jc w:val="both"/>
        <w:rPr>
          <w:rFonts w:ascii="Verdana" w:hAnsi="Verdana" w:cs="Arial"/>
          <w:bCs/>
          <w:i/>
          <w:iCs/>
        </w:rPr>
      </w:pPr>
    </w:p>
    <w:p w14:paraId="52EABFEC" w14:textId="77777777" w:rsidR="00135720" w:rsidRPr="008A6A36" w:rsidRDefault="00135720" w:rsidP="00135720">
      <w:pPr>
        <w:spacing w:after="0" w:line="240" w:lineRule="auto"/>
        <w:ind w:left="709" w:right="709"/>
        <w:jc w:val="both"/>
        <w:rPr>
          <w:rFonts w:ascii="Verdana" w:hAnsi="Verdana" w:cs="Arial"/>
          <w:bCs/>
          <w:i/>
          <w:iCs/>
        </w:rPr>
      </w:pPr>
      <w:r w:rsidRPr="00BA51C0">
        <w:rPr>
          <w:rFonts w:ascii="Verdana" w:hAnsi="Verdana" w:cs="Arial"/>
          <w:bCs/>
        </w:rPr>
        <w:t xml:space="preserve">A partir de la </w:t>
      </w:r>
      <w:proofErr w:type="gramStart"/>
      <w:r w:rsidRPr="00BA51C0">
        <w:rPr>
          <w:rFonts w:ascii="Verdana" w:hAnsi="Verdana" w:cs="Arial"/>
          <w:bCs/>
        </w:rPr>
        <w:t>entrada en vigencia</w:t>
      </w:r>
      <w:proofErr w:type="gramEnd"/>
      <w:r w:rsidRPr="00BA51C0">
        <w:rPr>
          <w:rFonts w:ascii="Verdana" w:hAnsi="Verdana" w:cs="Arial"/>
          <w:bCs/>
        </w:rPr>
        <w:t xml:space="preserve"> de la presente Ley, se establecerá un periodo de transición de seis (6) meses, para que las entidades den cumplimiento efectivo a lo aquí establecido”. (Cursiva fuera del original).</w:t>
      </w:r>
    </w:p>
    <w:p w14:paraId="12D1A30B" w14:textId="77777777" w:rsidR="00135720" w:rsidRPr="00BA51C0" w:rsidRDefault="00135720" w:rsidP="00157783">
      <w:pPr>
        <w:spacing w:after="0" w:line="276" w:lineRule="auto"/>
        <w:ind w:firstLine="709"/>
        <w:jc w:val="both"/>
        <w:rPr>
          <w:rFonts w:ascii="Verdana" w:hAnsi="Verdana" w:cs="Arial"/>
          <w:bCs/>
          <w:lang w:val="es-ES_tradnl"/>
        </w:rPr>
      </w:pPr>
    </w:p>
    <w:p w14:paraId="0F689C77" w14:textId="77777777" w:rsidR="00135720" w:rsidRPr="008A6A36" w:rsidRDefault="00135720" w:rsidP="00135720">
      <w:pPr>
        <w:spacing w:after="120" w:line="276" w:lineRule="auto"/>
        <w:ind w:firstLine="709"/>
        <w:jc w:val="both"/>
        <w:rPr>
          <w:rFonts w:ascii="Verdana" w:hAnsi="Verdana" w:cs="Arial"/>
          <w:bCs/>
          <w:iCs/>
        </w:rPr>
      </w:pPr>
      <w:r w:rsidRPr="00BA51C0">
        <w:rPr>
          <w:rFonts w:ascii="Verdana" w:hAnsi="Verdana" w:cs="Arial"/>
          <w:bCs/>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BA51C0">
        <w:rPr>
          <w:rFonts w:ascii="Verdana" w:hAnsi="Verdana" w:cs="Arial"/>
          <w:bCs/>
          <w:i/>
          <w:iCs/>
        </w:rPr>
        <w:t xml:space="preserve">de </w:t>
      </w:r>
      <w:r w:rsidRPr="00BA51C0">
        <w:rPr>
          <w:rFonts w:ascii="Verdana" w:hAnsi="Verdana" w:cs="Arial"/>
          <w:bCs/>
          <w:iCs/>
        </w:rPr>
        <w:t xml:space="preserve">publicar los documentos relacionados con su actividad contractual en el Sistema Electrónico para la Contratación Pública –SECOP II– o la plataforma transaccional que haga sus veces, sin perjuicio de las demás reglas que les aplique a la sociedad de economía exceptuada del EGCAP. </w:t>
      </w:r>
    </w:p>
    <w:p w14:paraId="3B472EF0" w14:textId="77777777" w:rsidR="00135720" w:rsidRPr="003A1844" w:rsidRDefault="00135720" w:rsidP="00135720">
      <w:pPr>
        <w:spacing w:before="120" w:after="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34E07F63" w14:textId="77777777" w:rsidR="00135720" w:rsidRPr="003A1844" w:rsidRDefault="00135720" w:rsidP="00135720">
      <w:pPr>
        <w:spacing w:after="0" w:line="240" w:lineRule="auto"/>
        <w:jc w:val="both"/>
        <w:rPr>
          <w:rFonts w:ascii="Verdana" w:eastAsia="Calibri" w:hAnsi="Verdana" w:cs="Arial"/>
          <w:color w:val="000000" w:themeColor="text1"/>
          <w:lang w:val="es-ES_tradnl"/>
        </w:rPr>
      </w:pPr>
    </w:p>
    <w:p w14:paraId="2383B668" w14:textId="77777777" w:rsidR="00135720" w:rsidRPr="003A1844" w:rsidRDefault="00135720" w:rsidP="00135720">
      <w:pPr>
        <w:spacing w:after="0" w:line="240" w:lineRule="auto"/>
        <w:ind w:left="709" w:right="709"/>
        <w:jc w:val="both"/>
        <w:rPr>
          <w:rFonts w:ascii="Verdana" w:eastAsia="Calibri" w:hAnsi="Verdana" w:cs="Arial"/>
          <w:color w:val="000000" w:themeColor="text1"/>
          <w:sz w:val="21"/>
          <w:szCs w:val="21"/>
          <w:lang w:val="es-ES_tradnl"/>
        </w:rPr>
      </w:pPr>
      <w:r w:rsidRPr="003A1844">
        <w:rPr>
          <w:rFonts w:ascii="Verdana" w:eastAsia="Calibri" w:hAnsi="Verdana" w:cs="Arial"/>
          <w:color w:val="000000" w:themeColor="text1"/>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EF98B87" w14:textId="77777777" w:rsidR="00135720" w:rsidRPr="003A1844" w:rsidRDefault="00135720" w:rsidP="00135720">
      <w:pPr>
        <w:spacing w:after="0" w:line="240" w:lineRule="auto"/>
        <w:ind w:left="709" w:right="709"/>
        <w:jc w:val="both"/>
        <w:rPr>
          <w:rFonts w:ascii="Verdana" w:eastAsia="Calibri" w:hAnsi="Verdana" w:cs="Arial"/>
          <w:color w:val="000000" w:themeColor="text1"/>
          <w:sz w:val="21"/>
          <w:szCs w:val="21"/>
          <w:lang w:val="es-ES_tradnl"/>
        </w:rPr>
      </w:pPr>
    </w:p>
    <w:p w14:paraId="166A620F" w14:textId="77777777" w:rsidR="00135720" w:rsidRPr="003A1844" w:rsidRDefault="00135720" w:rsidP="00135720">
      <w:pPr>
        <w:spacing w:after="0" w:line="240" w:lineRule="auto"/>
        <w:ind w:left="709" w:right="709"/>
        <w:jc w:val="both"/>
        <w:rPr>
          <w:rFonts w:ascii="Verdana" w:eastAsia="Calibri" w:hAnsi="Verdana" w:cs="Arial"/>
          <w:color w:val="000000" w:themeColor="text1"/>
          <w:sz w:val="21"/>
          <w:szCs w:val="21"/>
          <w:lang w:val="es-ES"/>
        </w:rPr>
      </w:pPr>
      <w:r w:rsidRPr="003A1844">
        <w:rPr>
          <w:rFonts w:ascii="Verdana" w:eastAsia="Calibri" w:hAnsi="Verdana" w:cs="Arial"/>
          <w:color w:val="000000" w:themeColor="text1"/>
          <w:sz w:val="21"/>
          <w:szCs w:val="21"/>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w:t>
      </w:r>
      <w:r w:rsidRPr="003A1844">
        <w:rPr>
          <w:rFonts w:ascii="Verdana" w:eastAsia="Calibri" w:hAnsi="Verdana" w:cs="Arial"/>
          <w:color w:val="000000" w:themeColor="text1"/>
          <w:sz w:val="21"/>
          <w:szCs w:val="21"/>
          <w:lang w:val="es-ES"/>
        </w:rPr>
        <w:lastRenderedPageBreak/>
        <w:t>conservando intacta la institución privada sino introduciéndole modificaciones”</w:t>
      </w:r>
      <w:r w:rsidRPr="003A1844">
        <w:rPr>
          <w:rFonts w:ascii="Verdana" w:eastAsia="Calibri" w:hAnsi="Verdana" w:cs="Arial"/>
          <w:color w:val="000000" w:themeColor="text1"/>
          <w:sz w:val="21"/>
          <w:szCs w:val="21"/>
          <w:vertAlign w:val="superscript"/>
          <w:lang w:val="es-ES_tradnl"/>
        </w:rPr>
        <w:footnoteReference w:id="11"/>
      </w:r>
      <w:r w:rsidRPr="003A1844">
        <w:rPr>
          <w:rFonts w:ascii="Verdana" w:eastAsia="Calibri" w:hAnsi="Verdana" w:cs="Arial"/>
          <w:color w:val="000000" w:themeColor="text1"/>
          <w:sz w:val="21"/>
          <w:szCs w:val="21"/>
          <w:lang w:val="es-ES"/>
        </w:rPr>
        <w:t>.</w:t>
      </w:r>
    </w:p>
    <w:p w14:paraId="0A408CC7" w14:textId="77777777" w:rsidR="00135720" w:rsidRPr="003A1844" w:rsidRDefault="00135720" w:rsidP="00135720">
      <w:pPr>
        <w:spacing w:after="0" w:line="276" w:lineRule="auto"/>
        <w:ind w:firstLine="709"/>
        <w:jc w:val="both"/>
        <w:rPr>
          <w:rFonts w:ascii="Verdana" w:hAnsi="Verdana" w:cs="Arial"/>
          <w:lang w:val="es-ES_tradnl"/>
        </w:rPr>
      </w:pPr>
    </w:p>
    <w:p w14:paraId="69657207" w14:textId="77777777" w:rsidR="00135720" w:rsidRPr="003A1844" w:rsidRDefault="00135720" w:rsidP="00135720">
      <w:pPr>
        <w:spacing w:after="120" w:line="276" w:lineRule="auto"/>
        <w:ind w:firstLine="709"/>
        <w:jc w:val="both"/>
        <w:rPr>
          <w:rFonts w:ascii="Verdana" w:eastAsia="Arial" w:hAnsi="Verdana" w:cs="Arial"/>
        </w:rPr>
      </w:pPr>
      <w:r w:rsidRPr="003A1844">
        <w:rPr>
          <w:rFonts w:ascii="Verdana" w:eastAsia="Arial" w:hAnsi="Verdana" w:cs="Arial"/>
        </w:rPr>
        <w:t xml:space="preserve">Ahora bien, puede decirse que una de las reglas para las </w:t>
      </w:r>
      <w:r w:rsidRPr="003A1844">
        <w:rPr>
          <w:rFonts w:ascii="Verdana" w:hAnsi="Verdana" w:cs="Arial"/>
          <w:lang w:val="es-MX"/>
        </w:rPr>
        <w:t>–ESE–</w:t>
      </w:r>
      <w:r w:rsidRPr="003A1844">
        <w:rPr>
          <w:rFonts w:ascii="Verdana" w:eastAsia="Arial" w:hAnsi="Verdana" w:cs="Arial"/>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73D4582C" w14:textId="77777777" w:rsidR="00135720" w:rsidRPr="003A1844" w:rsidRDefault="00135720" w:rsidP="00135720">
      <w:pPr>
        <w:spacing w:after="120" w:line="276" w:lineRule="auto"/>
        <w:ind w:firstLine="708"/>
        <w:jc w:val="both"/>
        <w:rPr>
          <w:rFonts w:ascii="Verdana" w:eastAsia="Calibri" w:hAnsi="Verdana" w:cs="Arial"/>
          <w:lang w:val="es-ES_tradnl"/>
        </w:rPr>
      </w:pPr>
      <w:r w:rsidRPr="003A1844">
        <w:rPr>
          <w:rFonts w:ascii="Verdana" w:eastAsia="Calibri" w:hAnsi="Verdana" w:cs="Arial"/>
          <w:lang w:val="es-ES_tradnl"/>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3A1844">
        <w:rPr>
          <w:rFonts w:ascii="Verdana" w:eastAsia="Calibri" w:hAnsi="Verdana" w:cs="Arial"/>
          <w:vertAlign w:val="superscript"/>
          <w:lang w:val="es-ES_tradnl"/>
        </w:rPr>
        <w:footnoteReference w:id="12"/>
      </w:r>
      <w:r w:rsidRPr="003A1844">
        <w:rPr>
          <w:rFonts w:ascii="Verdana" w:eastAsia="Calibri" w:hAnsi="Verdana" w:cs="Arial"/>
          <w:lang w:val="es-ES_tradnl"/>
        </w:rPr>
        <w:t>. Ahora bien, dicha libertad es similar a la reconocida a los particulares por el derecho privado, pero no es idéntica a aquella, en la medida en que encuentra importantes limitantes.</w:t>
      </w:r>
    </w:p>
    <w:p w14:paraId="344783D3" w14:textId="77777777" w:rsidR="00135720" w:rsidRPr="003A1844" w:rsidRDefault="00135720" w:rsidP="00135720">
      <w:pPr>
        <w:spacing w:after="120" w:line="276" w:lineRule="auto"/>
        <w:ind w:firstLine="709"/>
        <w:jc w:val="both"/>
        <w:rPr>
          <w:rFonts w:ascii="Verdana" w:eastAsia="Calibri" w:hAnsi="Verdana" w:cs="Arial"/>
          <w:lang w:val="es-ES"/>
        </w:rPr>
      </w:pPr>
      <w:r w:rsidRPr="003A1844">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3A1844">
        <w:rPr>
          <w:rFonts w:ascii="Verdana" w:eastAsia="Calibri" w:hAnsi="Verdana" w:cs="Arial"/>
          <w:vertAlign w:val="superscript"/>
          <w:lang w:val="es-ES"/>
        </w:rPr>
        <w:footnoteReference w:id="13"/>
      </w:r>
      <w:r w:rsidRPr="003A1844">
        <w:rPr>
          <w:rFonts w:ascii="Verdana" w:eastAsia="Calibri" w:hAnsi="Verdana" w:cs="Arial"/>
          <w:lang w:val="es-ES"/>
        </w:rPr>
        <w:t xml:space="preserve">. </w:t>
      </w:r>
    </w:p>
    <w:p w14:paraId="36990899" w14:textId="77777777" w:rsidR="00135720" w:rsidRPr="003A1844" w:rsidRDefault="00135720" w:rsidP="00135720">
      <w:pPr>
        <w:widowControl w:val="0"/>
        <w:autoSpaceDE w:val="0"/>
        <w:autoSpaceDN w:val="0"/>
        <w:spacing w:after="120" w:line="276" w:lineRule="auto"/>
        <w:ind w:firstLine="608"/>
        <w:jc w:val="both"/>
        <w:rPr>
          <w:rFonts w:ascii="Verdana" w:eastAsia="Arial" w:hAnsi="Verdana" w:cs="Arial"/>
          <w:lang w:val="es-ES"/>
        </w:rPr>
      </w:pPr>
      <w:r w:rsidRPr="003A1844">
        <w:rPr>
          <w:rFonts w:ascii="Verdana" w:eastAsia="Arial" w:hAnsi="Verdana" w:cs="Arial"/>
          <w:lang w:val="es-ES"/>
        </w:rPr>
        <w:t>De esta forma, las</w:t>
      </w:r>
      <w:r w:rsidRPr="003A1844">
        <w:rPr>
          <w:rFonts w:ascii="Verdana" w:eastAsia="Arial" w:hAnsi="Verdana" w:cs="Arial"/>
          <w:spacing w:val="-7"/>
          <w:lang w:val="es-ES"/>
        </w:rPr>
        <w:t xml:space="preserve"> </w:t>
      </w:r>
      <w:r w:rsidRPr="003A1844">
        <w:rPr>
          <w:rFonts w:ascii="Verdana" w:eastAsia="Arial" w:hAnsi="Verdana" w:cs="Arial"/>
          <w:lang w:val="es-ES"/>
        </w:rPr>
        <w:t>reglas</w:t>
      </w:r>
      <w:r w:rsidRPr="003A1844">
        <w:rPr>
          <w:rFonts w:ascii="Verdana" w:eastAsia="Arial" w:hAnsi="Verdana" w:cs="Arial"/>
          <w:spacing w:val="-6"/>
          <w:lang w:val="es-ES"/>
        </w:rPr>
        <w:t xml:space="preserve"> </w:t>
      </w:r>
      <w:r w:rsidRPr="003A1844">
        <w:rPr>
          <w:rFonts w:ascii="Verdana" w:eastAsia="Arial" w:hAnsi="Verdana" w:cs="Arial"/>
          <w:lang w:val="es-ES"/>
        </w:rPr>
        <w:t>establecidas</w:t>
      </w:r>
      <w:r w:rsidRPr="003A1844">
        <w:rPr>
          <w:rFonts w:ascii="Verdana" w:eastAsia="Arial" w:hAnsi="Verdana" w:cs="Arial"/>
          <w:spacing w:val="-5"/>
          <w:lang w:val="es-ES"/>
        </w:rPr>
        <w:t xml:space="preserve"> </w:t>
      </w:r>
      <w:r w:rsidRPr="003A1844">
        <w:rPr>
          <w:rFonts w:ascii="Verdana" w:eastAsia="Arial" w:hAnsi="Verdana" w:cs="Arial"/>
          <w:lang w:val="es-ES"/>
        </w:rPr>
        <w:t>en</w:t>
      </w:r>
      <w:r w:rsidRPr="003A1844">
        <w:rPr>
          <w:rFonts w:ascii="Verdana" w:eastAsia="Arial" w:hAnsi="Verdana" w:cs="Arial"/>
          <w:spacing w:val="-7"/>
          <w:lang w:val="es-ES"/>
        </w:rPr>
        <w:t xml:space="preserve"> </w:t>
      </w:r>
      <w:r w:rsidRPr="003A1844">
        <w:rPr>
          <w:rFonts w:ascii="Verdana" w:eastAsia="Arial" w:hAnsi="Verdana" w:cs="Arial"/>
          <w:lang w:val="es-ES"/>
        </w:rPr>
        <w:t>los</w:t>
      </w:r>
      <w:r w:rsidRPr="003A1844">
        <w:rPr>
          <w:rFonts w:ascii="Verdana" w:eastAsia="Arial" w:hAnsi="Verdana" w:cs="Arial"/>
          <w:spacing w:val="-6"/>
          <w:lang w:val="es-ES"/>
        </w:rPr>
        <w:t xml:space="preserve"> </w:t>
      </w:r>
      <w:r w:rsidRPr="003A1844">
        <w:rPr>
          <w:rFonts w:ascii="Verdana" w:eastAsia="Arial" w:hAnsi="Verdana" w:cs="Arial"/>
          <w:lang w:val="es-ES"/>
        </w:rPr>
        <w:t>manuales</w:t>
      </w:r>
      <w:r w:rsidRPr="003A1844">
        <w:rPr>
          <w:rFonts w:ascii="Verdana" w:eastAsia="Arial" w:hAnsi="Verdana" w:cs="Arial"/>
          <w:spacing w:val="-6"/>
          <w:lang w:val="es-ES"/>
        </w:rPr>
        <w:t xml:space="preserve"> </w:t>
      </w:r>
      <w:r w:rsidRPr="003A1844">
        <w:rPr>
          <w:rFonts w:ascii="Verdana" w:eastAsia="Arial" w:hAnsi="Verdana" w:cs="Arial"/>
          <w:lang w:val="es-ES"/>
        </w:rPr>
        <w:t>o</w:t>
      </w:r>
      <w:r w:rsidRPr="003A1844">
        <w:rPr>
          <w:rFonts w:ascii="Verdana" w:eastAsia="Arial" w:hAnsi="Verdana" w:cs="Arial"/>
          <w:spacing w:val="-6"/>
          <w:lang w:val="es-ES"/>
        </w:rPr>
        <w:t xml:space="preserve"> </w:t>
      </w:r>
      <w:r w:rsidRPr="003A1844">
        <w:rPr>
          <w:rFonts w:ascii="Verdana" w:eastAsia="Arial" w:hAnsi="Verdana" w:cs="Arial"/>
          <w:lang w:val="es-ES"/>
        </w:rPr>
        <w:t>reglamentos</w:t>
      </w:r>
      <w:r w:rsidRPr="003A1844">
        <w:rPr>
          <w:rFonts w:ascii="Verdana" w:eastAsia="Arial" w:hAnsi="Verdana" w:cs="Arial"/>
          <w:spacing w:val="-7"/>
          <w:lang w:val="es-ES"/>
        </w:rPr>
        <w:t xml:space="preserve"> </w:t>
      </w:r>
      <w:r w:rsidRPr="003A1844">
        <w:rPr>
          <w:rFonts w:ascii="Verdana" w:eastAsia="Arial" w:hAnsi="Verdana" w:cs="Arial"/>
          <w:lang w:val="es-ES"/>
        </w:rPr>
        <w:lastRenderedPageBreak/>
        <w:t>internos</w:t>
      </w:r>
      <w:r w:rsidRPr="003A1844">
        <w:rPr>
          <w:rFonts w:ascii="Verdana" w:eastAsia="Arial" w:hAnsi="Verdana" w:cs="Arial"/>
          <w:spacing w:val="-5"/>
          <w:lang w:val="es-ES"/>
        </w:rPr>
        <w:t xml:space="preserve"> </w:t>
      </w:r>
      <w:r w:rsidRPr="003A1844">
        <w:rPr>
          <w:rFonts w:ascii="Verdana" w:eastAsia="Arial" w:hAnsi="Verdana" w:cs="Arial"/>
          <w:lang w:val="es-ES"/>
        </w:rPr>
        <w:t>de</w:t>
      </w:r>
      <w:r w:rsidRPr="003A1844">
        <w:rPr>
          <w:rFonts w:ascii="Verdana" w:eastAsia="Arial" w:hAnsi="Verdana" w:cs="Arial"/>
          <w:spacing w:val="-6"/>
          <w:lang w:val="es-ES"/>
        </w:rPr>
        <w:t xml:space="preserve"> </w:t>
      </w:r>
      <w:r w:rsidRPr="003A1844">
        <w:rPr>
          <w:rFonts w:ascii="Verdana" w:eastAsia="Arial" w:hAnsi="Verdana" w:cs="Arial"/>
          <w:lang w:val="es-ES"/>
        </w:rPr>
        <w:t>contratación son muy importantes, toda vez que las entidades se obligan a cumplir su contenido.</w:t>
      </w:r>
      <w:r w:rsidRPr="003A1844">
        <w:rPr>
          <w:rFonts w:ascii="Verdana" w:eastAsia="Arial" w:hAnsi="Verdana" w:cs="Arial"/>
          <w:spacing w:val="1"/>
          <w:lang w:val="es-ES"/>
        </w:rPr>
        <w:t xml:space="preserve"> </w:t>
      </w:r>
      <w:r w:rsidRPr="003A1844">
        <w:rPr>
          <w:rFonts w:ascii="Verdana" w:eastAsia="Arial" w:hAnsi="Verdana" w:cs="Arial"/>
          <w:lang w:val="es-ES"/>
        </w:rPr>
        <w:t>Además, tratándose de un acto administrativo, concretamente de un reglamento, le</w:t>
      </w:r>
      <w:r w:rsidRPr="003A1844">
        <w:rPr>
          <w:rFonts w:ascii="Verdana" w:eastAsia="Arial" w:hAnsi="Verdana" w:cs="Arial"/>
          <w:spacing w:val="1"/>
          <w:lang w:val="es-ES"/>
        </w:rPr>
        <w:t xml:space="preserve"> </w:t>
      </w:r>
      <w:r w:rsidRPr="003A1844">
        <w:rPr>
          <w:rFonts w:ascii="Verdana" w:eastAsia="Arial" w:hAnsi="Verdana" w:cs="Arial"/>
          <w:lang w:val="es-ES"/>
        </w:rPr>
        <w:t>aplican</w:t>
      </w:r>
      <w:r w:rsidRPr="003A1844">
        <w:rPr>
          <w:rFonts w:ascii="Verdana" w:eastAsia="Arial" w:hAnsi="Verdana" w:cs="Arial"/>
          <w:spacing w:val="-10"/>
          <w:lang w:val="es-ES"/>
        </w:rPr>
        <w:t xml:space="preserve"> </w:t>
      </w:r>
      <w:r w:rsidRPr="003A1844">
        <w:rPr>
          <w:rFonts w:ascii="Verdana" w:eastAsia="Arial" w:hAnsi="Verdana" w:cs="Arial"/>
          <w:lang w:val="es-ES"/>
        </w:rPr>
        <w:t>los</w:t>
      </w:r>
      <w:r w:rsidRPr="003A1844">
        <w:rPr>
          <w:rFonts w:ascii="Verdana" w:eastAsia="Arial" w:hAnsi="Verdana" w:cs="Arial"/>
          <w:spacing w:val="-10"/>
          <w:lang w:val="es-ES"/>
        </w:rPr>
        <w:t xml:space="preserve"> </w:t>
      </w:r>
      <w:r w:rsidRPr="003A1844">
        <w:rPr>
          <w:rFonts w:ascii="Verdana" w:eastAsia="Arial" w:hAnsi="Verdana" w:cs="Arial"/>
          <w:lang w:val="es-ES"/>
        </w:rPr>
        <w:t>atributos</w:t>
      </w:r>
      <w:r w:rsidRPr="003A1844">
        <w:rPr>
          <w:rFonts w:ascii="Verdana" w:eastAsia="Arial" w:hAnsi="Verdana" w:cs="Arial"/>
          <w:spacing w:val="-10"/>
          <w:lang w:val="es-ES"/>
        </w:rPr>
        <w:t xml:space="preserve"> </w:t>
      </w:r>
      <w:r w:rsidRPr="003A1844">
        <w:rPr>
          <w:rFonts w:ascii="Verdana" w:eastAsia="Arial" w:hAnsi="Verdana" w:cs="Arial"/>
          <w:lang w:val="es-ES"/>
        </w:rPr>
        <w:t>propios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9"/>
          <w:lang w:val="es-ES"/>
        </w:rPr>
        <w:t xml:space="preserve"> </w:t>
      </w:r>
      <w:r w:rsidRPr="003A1844">
        <w:rPr>
          <w:rFonts w:ascii="Verdana" w:eastAsia="Arial" w:hAnsi="Verdana" w:cs="Arial"/>
          <w:lang w:val="es-ES"/>
        </w:rPr>
        <w:t>estos</w:t>
      </w:r>
      <w:r w:rsidRPr="003A1844">
        <w:rPr>
          <w:rFonts w:ascii="Verdana" w:eastAsia="Arial" w:hAnsi="Verdana" w:cs="Arial"/>
          <w:spacing w:val="-10"/>
          <w:lang w:val="es-ES"/>
        </w:rPr>
        <w:t xml:space="preserve"> </w:t>
      </w:r>
      <w:r w:rsidRPr="003A1844">
        <w:rPr>
          <w:rFonts w:ascii="Verdana" w:eastAsia="Arial" w:hAnsi="Verdana" w:cs="Arial"/>
          <w:lang w:val="es-ES"/>
        </w:rPr>
        <w:t>tipos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10"/>
          <w:lang w:val="es-ES"/>
        </w:rPr>
        <w:t xml:space="preserve"> </w:t>
      </w:r>
      <w:r w:rsidRPr="003A1844">
        <w:rPr>
          <w:rFonts w:ascii="Verdana" w:eastAsia="Arial" w:hAnsi="Verdana" w:cs="Arial"/>
          <w:lang w:val="es-ES"/>
        </w:rPr>
        <w:t>actos,</w:t>
      </w:r>
      <w:r w:rsidRPr="003A1844">
        <w:rPr>
          <w:rFonts w:ascii="Verdana" w:eastAsia="Arial" w:hAnsi="Verdana" w:cs="Arial"/>
          <w:spacing w:val="-9"/>
          <w:lang w:val="es-ES"/>
        </w:rPr>
        <w:t xml:space="preserve"> </w:t>
      </w:r>
      <w:r w:rsidRPr="003A1844">
        <w:rPr>
          <w:rFonts w:ascii="Verdana" w:eastAsia="Arial" w:hAnsi="Verdana" w:cs="Arial"/>
          <w:lang w:val="es-ES"/>
        </w:rPr>
        <w:t>entre</w:t>
      </w:r>
      <w:r w:rsidRPr="003A1844">
        <w:rPr>
          <w:rFonts w:ascii="Verdana" w:eastAsia="Arial" w:hAnsi="Verdana" w:cs="Arial"/>
          <w:spacing w:val="-10"/>
          <w:lang w:val="es-ES"/>
        </w:rPr>
        <w:t xml:space="preserve"> </w:t>
      </w:r>
      <w:r w:rsidRPr="003A1844">
        <w:rPr>
          <w:rFonts w:ascii="Verdana" w:eastAsia="Arial" w:hAnsi="Verdana" w:cs="Arial"/>
          <w:lang w:val="es-ES"/>
        </w:rPr>
        <w:t>otras</w:t>
      </w:r>
      <w:r w:rsidRPr="003A1844">
        <w:rPr>
          <w:rFonts w:ascii="Verdana" w:eastAsia="Arial" w:hAnsi="Verdana" w:cs="Arial"/>
          <w:spacing w:val="-10"/>
          <w:lang w:val="es-ES"/>
        </w:rPr>
        <w:t xml:space="preserve"> </w:t>
      </w:r>
      <w:r w:rsidRPr="003A1844">
        <w:rPr>
          <w:rFonts w:ascii="Verdana" w:eastAsia="Arial" w:hAnsi="Verdana" w:cs="Arial"/>
          <w:lang w:val="es-ES"/>
        </w:rPr>
        <w:t>cosas,</w:t>
      </w:r>
      <w:r w:rsidRPr="003A1844">
        <w:rPr>
          <w:rFonts w:ascii="Verdana" w:eastAsia="Arial" w:hAnsi="Verdana" w:cs="Arial"/>
          <w:spacing w:val="-10"/>
          <w:lang w:val="es-ES"/>
        </w:rPr>
        <w:t xml:space="preserve"> </w:t>
      </w:r>
      <w:r w:rsidRPr="003A1844">
        <w:rPr>
          <w:rFonts w:ascii="Verdana" w:eastAsia="Arial" w:hAnsi="Verdana" w:cs="Arial"/>
          <w:lang w:val="es-ES"/>
        </w:rPr>
        <w:t>la</w:t>
      </w:r>
      <w:r w:rsidRPr="003A1844">
        <w:rPr>
          <w:rFonts w:ascii="Verdana" w:eastAsia="Arial" w:hAnsi="Verdana" w:cs="Arial"/>
          <w:spacing w:val="-9"/>
          <w:lang w:val="es-ES"/>
        </w:rPr>
        <w:t xml:space="preserve"> </w:t>
      </w:r>
      <w:r w:rsidRPr="003A1844">
        <w:rPr>
          <w:rFonts w:ascii="Verdana" w:eastAsia="Arial" w:hAnsi="Verdana" w:cs="Arial"/>
          <w:lang w:val="es-ES"/>
        </w:rPr>
        <w:t>presunción</w:t>
      </w:r>
      <w:r w:rsidRPr="003A1844">
        <w:rPr>
          <w:rFonts w:ascii="Verdana" w:eastAsia="Arial" w:hAnsi="Verdana" w:cs="Arial"/>
          <w:spacing w:val="-10"/>
          <w:lang w:val="es-ES"/>
        </w:rPr>
        <w:t xml:space="preserve"> </w:t>
      </w:r>
      <w:r w:rsidRPr="003A1844">
        <w:rPr>
          <w:rFonts w:ascii="Verdana" w:eastAsia="Arial" w:hAnsi="Verdana" w:cs="Arial"/>
          <w:lang w:val="es-ES"/>
        </w:rPr>
        <w:t xml:space="preserve">de legalidad y la regla de </w:t>
      </w:r>
      <w:r w:rsidRPr="003A1844">
        <w:rPr>
          <w:rFonts w:ascii="Verdana" w:eastAsia="Arial" w:hAnsi="Verdana" w:cs="Arial"/>
          <w:i/>
          <w:lang w:val="es-ES"/>
        </w:rPr>
        <w:t>inderogabilidad singular del reglamento</w:t>
      </w:r>
      <w:r w:rsidRPr="003A1844">
        <w:rPr>
          <w:rFonts w:ascii="Verdana" w:eastAsia="Arial" w:hAnsi="Verdana" w:cs="Arial"/>
          <w:i/>
          <w:vertAlign w:val="superscript"/>
          <w:lang w:val="es-ES"/>
        </w:rPr>
        <w:footnoteReference w:id="14"/>
      </w:r>
      <w:r w:rsidRPr="003A1844">
        <w:rPr>
          <w:rFonts w:ascii="Verdana" w:eastAsia="Arial" w:hAnsi="Verdana" w:cs="Arial"/>
          <w:lang w:val="es-ES"/>
        </w:rPr>
        <w:t>. En tal sentido, su</w:t>
      </w:r>
      <w:r w:rsidRPr="003A1844">
        <w:rPr>
          <w:rFonts w:ascii="Verdana" w:eastAsia="Arial" w:hAnsi="Verdana" w:cs="Arial"/>
          <w:spacing w:val="1"/>
          <w:lang w:val="es-ES"/>
        </w:rPr>
        <w:t xml:space="preserve"> </w:t>
      </w:r>
      <w:r w:rsidRPr="003A1844">
        <w:rPr>
          <w:rFonts w:ascii="Verdana" w:eastAsia="Arial" w:hAnsi="Verdana" w:cs="Arial"/>
          <w:lang w:val="es-ES"/>
        </w:rPr>
        <w:t>contenido vincula a la propia entidad que lo expidió y no puede desconocerlo a su</w:t>
      </w:r>
      <w:r w:rsidRPr="003A1844">
        <w:rPr>
          <w:rFonts w:ascii="Verdana" w:eastAsia="Arial" w:hAnsi="Verdana" w:cs="Arial"/>
          <w:spacing w:val="1"/>
          <w:lang w:val="es-ES"/>
        </w:rPr>
        <w:t xml:space="preserve"> </w:t>
      </w:r>
      <w:r w:rsidRPr="003A1844">
        <w:rPr>
          <w:rFonts w:ascii="Verdana" w:eastAsia="Arial" w:hAnsi="Verdana" w:cs="Arial"/>
          <w:spacing w:val="-1"/>
          <w:lang w:val="es-ES"/>
        </w:rPr>
        <w:t>capricho</w:t>
      </w:r>
      <w:r w:rsidRPr="003A1844">
        <w:rPr>
          <w:rFonts w:ascii="Verdana" w:eastAsia="Arial" w:hAnsi="Verdana" w:cs="Arial"/>
          <w:spacing w:val="-15"/>
          <w:lang w:val="es-ES"/>
        </w:rPr>
        <w:t xml:space="preserve"> </w:t>
      </w:r>
      <w:r w:rsidRPr="003A1844">
        <w:rPr>
          <w:rFonts w:ascii="Verdana" w:eastAsia="Arial" w:hAnsi="Verdana" w:cs="Arial"/>
          <w:spacing w:val="-1"/>
          <w:lang w:val="es-ES"/>
        </w:rPr>
        <w:t>en</w:t>
      </w:r>
      <w:r w:rsidRPr="003A1844">
        <w:rPr>
          <w:rFonts w:ascii="Verdana" w:eastAsia="Arial" w:hAnsi="Verdana" w:cs="Arial"/>
          <w:spacing w:val="-14"/>
          <w:lang w:val="es-ES"/>
        </w:rPr>
        <w:t xml:space="preserve"> </w:t>
      </w:r>
      <w:r w:rsidRPr="003A1844">
        <w:rPr>
          <w:rFonts w:ascii="Verdana" w:eastAsia="Arial" w:hAnsi="Verdana" w:cs="Arial"/>
          <w:spacing w:val="-1"/>
          <w:lang w:val="es-ES"/>
        </w:rPr>
        <w:t>casos</w:t>
      </w:r>
      <w:r w:rsidRPr="003A1844">
        <w:rPr>
          <w:rFonts w:ascii="Verdana" w:eastAsia="Arial" w:hAnsi="Verdana" w:cs="Arial"/>
          <w:spacing w:val="-14"/>
          <w:lang w:val="es-ES"/>
        </w:rPr>
        <w:t xml:space="preserve"> </w:t>
      </w:r>
      <w:r w:rsidRPr="003A1844">
        <w:rPr>
          <w:rFonts w:ascii="Verdana" w:eastAsia="Arial" w:hAnsi="Verdana" w:cs="Arial"/>
          <w:spacing w:val="-1"/>
          <w:lang w:val="es-ES"/>
        </w:rPr>
        <w:t>específicos;</w:t>
      </w:r>
      <w:r w:rsidRPr="003A1844">
        <w:rPr>
          <w:rFonts w:ascii="Verdana" w:eastAsia="Arial" w:hAnsi="Verdana" w:cs="Arial"/>
          <w:spacing w:val="-15"/>
          <w:lang w:val="es-ES"/>
        </w:rPr>
        <w:t xml:space="preserve"> </w:t>
      </w:r>
      <w:r w:rsidRPr="003A1844">
        <w:rPr>
          <w:rFonts w:ascii="Verdana" w:eastAsia="Arial" w:hAnsi="Verdana" w:cs="Arial"/>
          <w:spacing w:val="-1"/>
          <w:lang w:val="es-ES"/>
        </w:rPr>
        <w:t>sin</w:t>
      </w:r>
      <w:r w:rsidRPr="003A1844">
        <w:rPr>
          <w:rFonts w:ascii="Verdana" w:eastAsia="Arial" w:hAnsi="Verdana" w:cs="Arial"/>
          <w:spacing w:val="-14"/>
          <w:lang w:val="es-ES"/>
        </w:rPr>
        <w:t xml:space="preserve"> </w:t>
      </w:r>
      <w:r w:rsidRPr="003A1844">
        <w:rPr>
          <w:rFonts w:ascii="Verdana" w:eastAsia="Arial" w:hAnsi="Verdana" w:cs="Arial"/>
          <w:spacing w:val="-1"/>
          <w:lang w:val="es-ES"/>
        </w:rPr>
        <w:t>perjuicio</w:t>
      </w:r>
      <w:r w:rsidRPr="003A1844">
        <w:rPr>
          <w:rFonts w:ascii="Verdana" w:eastAsia="Arial" w:hAnsi="Verdana" w:cs="Arial"/>
          <w:spacing w:val="-14"/>
          <w:lang w:val="es-ES"/>
        </w:rPr>
        <w:t xml:space="preserve"> </w:t>
      </w:r>
      <w:r w:rsidRPr="003A1844">
        <w:rPr>
          <w:rFonts w:ascii="Verdana" w:eastAsia="Arial" w:hAnsi="Verdana" w:cs="Arial"/>
          <w:spacing w:val="-1"/>
          <w:lang w:val="es-ES"/>
        </w:rPr>
        <w:t>de</w:t>
      </w:r>
      <w:r w:rsidRPr="003A1844">
        <w:rPr>
          <w:rFonts w:ascii="Verdana" w:eastAsia="Arial" w:hAnsi="Verdana" w:cs="Arial"/>
          <w:spacing w:val="-15"/>
          <w:lang w:val="es-ES"/>
        </w:rPr>
        <w:t xml:space="preserve"> </w:t>
      </w:r>
      <w:r w:rsidRPr="003A1844">
        <w:rPr>
          <w:rFonts w:ascii="Verdana" w:eastAsia="Arial" w:hAnsi="Verdana" w:cs="Arial"/>
          <w:spacing w:val="-1"/>
          <w:lang w:val="es-ES"/>
        </w:rPr>
        <w:t>la</w:t>
      </w:r>
      <w:r w:rsidRPr="003A1844">
        <w:rPr>
          <w:rFonts w:ascii="Verdana" w:eastAsia="Arial" w:hAnsi="Verdana" w:cs="Arial"/>
          <w:spacing w:val="-14"/>
          <w:lang w:val="es-ES"/>
        </w:rPr>
        <w:t xml:space="preserve"> </w:t>
      </w:r>
      <w:r w:rsidRPr="003A1844">
        <w:rPr>
          <w:rFonts w:ascii="Verdana" w:eastAsia="Arial" w:hAnsi="Verdana" w:cs="Arial"/>
          <w:spacing w:val="-1"/>
          <w:lang w:val="es-ES"/>
        </w:rPr>
        <w:t>posibilidad</w:t>
      </w:r>
      <w:r w:rsidRPr="003A1844">
        <w:rPr>
          <w:rFonts w:ascii="Verdana" w:eastAsia="Arial" w:hAnsi="Verdana" w:cs="Arial"/>
          <w:spacing w:val="-14"/>
          <w:lang w:val="es-ES"/>
        </w:rPr>
        <w:t xml:space="preserve"> </w:t>
      </w:r>
      <w:r w:rsidRPr="003A1844">
        <w:rPr>
          <w:rFonts w:ascii="Verdana" w:eastAsia="Arial" w:hAnsi="Verdana" w:cs="Arial"/>
          <w:lang w:val="es-ES"/>
        </w:rPr>
        <w:t>de</w:t>
      </w:r>
      <w:r w:rsidRPr="003A1844">
        <w:rPr>
          <w:rFonts w:ascii="Verdana" w:eastAsia="Arial" w:hAnsi="Verdana" w:cs="Arial"/>
          <w:spacing w:val="-14"/>
          <w:lang w:val="es-ES"/>
        </w:rPr>
        <w:t xml:space="preserve"> </w:t>
      </w:r>
      <w:r w:rsidRPr="003A1844">
        <w:rPr>
          <w:rFonts w:ascii="Verdana" w:eastAsia="Arial" w:hAnsi="Verdana" w:cs="Arial"/>
          <w:lang w:val="es-ES"/>
        </w:rPr>
        <w:t>expedir</w:t>
      </w:r>
      <w:r w:rsidRPr="003A1844">
        <w:rPr>
          <w:rFonts w:ascii="Verdana" w:eastAsia="Arial" w:hAnsi="Verdana" w:cs="Arial"/>
          <w:spacing w:val="-15"/>
          <w:lang w:val="es-ES"/>
        </w:rPr>
        <w:t xml:space="preserve"> </w:t>
      </w:r>
      <w:r w:rsidRPr="003A1844">
        <w:rPr>
          <w:rFonts w:ascii="Verdana" w:eastAsia="Arial" w:hAnsi="Verdana" w:cs="Arial"/>
          <w:lang w:val="es-ES"/>
        </w:rPr>
        <w:t>un</w:t>
      </w:r>
      <w:r w:rsidRPr="003A1844">
        <w:rPr>
          <w:rFonts w:ascii="Verdana" w:eastAsia="Arial" w:hAnsi="Verdana" w:cs="Arial"/>
          <w:spacing w:val="-14"/>
          <w:lang w:val="es-ES"/>
        </w:rPr>
        <w:t xml:space="preserve"> </w:t>
      </w:r>
      <w:r w:rsidRPr="003A1844">
        <w:rPr>
          <w:rFonts w:ascii="Verdana" w:eastAsia="Arial" w:hAnsi="Verdana" w:cs="Arial"/>
          <w:lang w:val="es-ES"/>
        </w:rPr>
        <w:t>nuevo</w:t>
      </w:r>
      <w:r w:rsidRPr="003A1844">
        <w:rPr>
          <w:rFonts w:ascii="Verdana" w:eastAsia="Arial" w:hAnsi="Verdana" w:cs="Arial"/>
          <w:spacing w:val="-14"/>
          <w:lang w:val="es-ES"/>
        </w:rPr>
        <w:t xml:space="preserve"> </w:t>
      </w:r>
      <w:r w:rsidRPr="003A1844">
        <w:rPr>
          <w:rFonts w:ascii="Verdana" w:eastAsia="Arial" w:hAnsi="Verdana" w:cs="Arial"/>
          <w:lang w:val="es-ES"/>
        </w:rPr>
        <w:t>manual o</w:t>
      </w:r>
      <w:r w:rsidRPr="003A1844">
        <w:rPr>
          <w:rFonts w:ascii="Verdana" w:eastAsia="Arial" w:hAnsi="Verdana" w:cs="Arial"/>
          <w:spacing w:val="-2"/>
          <w:lang w:val="es-ES"/>
        </w:rPr>
        <w:t xml:space="preserve"> </w:t>
      </w:r>
      <w:r w:rsidRPr="003A1844">
        <w:rPr>
          <w:rFonts w:ascii="Verdana" w:eastAsia="Arial" w:hAnsi="Verdana" w:cs="Arial"/>
          <w:lang w:val="es-ES"/>
        </w:rPr>
        <w:t>de</w:t>
      </w:r>
      <w:r w:rsidRPr="003A1844">
        <w:rPr>
          <w:rFonts w:ascii="Verdana" w:eastAsia="Arial" w:hAnsi="Verdana" w:cs="Arial"/>
          <w:spacing w:val="-1"/>
          <w:lang w:val="es-ES"/>
        </w:rPr>
        <w:t xml:space="preserve"> </w:t>
      </w:r>
      <w:r w:rsidRPr="003A1844">
        <w:rPr>
          <w:rFonts w:ascii="Verdana" w:eastAsia="Arial" w:hAnsi="Verdana" w:cs="Arial"/>
          <w:lang w:val="es-ES"/>
        </w:rPr>
        <w:t>modificar</w:t>
      </w:r>
      <w:r w:rsidRPr="003A1844">
        <w:rPr>
          <w:rFonts w:ascii="Verdana" w:eastAsia="Arial" w:hAnsi="Verdana" w:cs="Arial"/>
          <w:spacing w:val="-1"/>
          <w:lang w:val="es-ES"/>
        </w:rPr>
        <w:t xml:space="preserve"> </w:t>
      </w:r>
      <w:r w:rsidRPr="003A1844">
        <w:rPr>
          <w:rFonts w:ascii="Verdana" w:eastAsia="Arial" w:hAnsi="Verdana" w:cs="Arial"/>
          <w:lang w:val="es-ES"/>
        </w:rPr>
        <w:t>el</w:t>
      </w:r>
      <w:r w:rsidRPr="003A1844">
        <w:rPr>
          <w:rFonts w:ascii="Verdana" w:eastAsia="Arial" w:hAnsi="Verdana" w:cs="Arial"/>
          <w:spacing w:val="-1"/>
          <w:lang w:val="es-ES"/>
        </w:rPr>
        <w:t xml:space="preserve"> </w:t>
      </w:r>
      <w:r w:rsidRPr="003A1844">
        <w:rPr>
          <w:rFonts w:ascii="Verdana" w:eastAsia="Arial" w:hAnsi="Verdana" w:cs="Arial"/>
          <w:lang w:val="es-ES"/>
        </w:rPr>
        <w:t>existente.</w:t>
      </w:r>
    </w:p>
    <w:p w14:paraId="27EBB258" w14:textId="77777777" w:rsidR="00135720" w:rsidRPr="003A1844" w:rsidRDefault="00135720" w:rsidP="00135720">
      <w:pPr>
        <w:spacing w:after="12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1825AEDE" w14:textId="77777777" w:rsidR="00135720" w:rsidRPr="003A1844" w:rsidRDefault="00135720" w:rsidP="00135720">
      <w:pPr>
        <w:spacing w:after="120" w:line="276" w:lineRule="auto"/>
        <w:ind w:firstLine="709"/>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De otro lado,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w:t>
      </w:r>
      <w:r>
        <w:rPr>
          <w:rFonts w:ascii="Verdana" w:eastAsia="Calibri" w:hAnsi="Verdana" w:cs="Arial"/>
          <w:color w:val="000000" w:themeColor="text1"/>
          <w:lang w:val="es-ES"/>
        </w:rPr>
        <w:t xml:space="preserve">habilidad o incompatibilidad, </w:t>
      </w:r>
      <w:r w:rsidRPr="003A1844">
        <w:rPr>
          <w:rFonts w:ascii="Verdana" w:eastAsia="Calibri" w:hAnsi="Verdana" w:cs="Arial"/>
          <w:color w:val="000000" w:themeColor="text1"/>
          <w:lang w:val="es-ES"/>
        </w:rPr>
        <w:t>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3A1844">
        <w:rPr>
          <w:rFonts w:ascii="Verdana" w:eastAsia="Calibri" w:hAnsi="Verdana" w:cs="Arial"/>
          <w:color w:val="000000" w:themeColor="text1"/>
          <w:vertAlign w:val="superscript"/>
          <w:lang w:val="es-ES_tradnl"/>
        </w:rPr>
        <w:footnoteReference w:id="15"/>
      </w:r>
      <w:r w:rsidRPr="003A1844">
        <w:rPr>
          <w:rFonts w:ascii="Verdana" w:eastAsia="Calibri" w:hAnsi="Verdana" w:cs="Arial"/>
          <w:color w:val="000000" w:themeColor="text1"/>
          <w:lang w:val="es-ES"/>
        </w:rPr>
        <w:t>.</w:t>
      </w:r>
    </w:p>
    <w:p w14:paraId="6578409E" w14:textId="2B2B8509" w:rsidR="00135720" w:rsidRPr="006D58A7" w:rsidRDefault="00135720" w:rsidP="006D58A7">
      <w:pPr>
        <w:spacing w:after="120" w:line="276" w:lineRule="auto"/>
        <w:ind w:firstLine="708"/>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 xml:space="preserve">Sin perjuicio de lo anterior, existen múltiples contenidos que pueden ser objeto de regulación en el manual de contratación, por hacer parte del ámbito de configuración en desarrollo de su autonomía contractual, siempre que no </w:t>
      </w:r>
      <w:r w:rsidRPr="003A1844">
        <w:rPr>
          <w:rFonts w:ascii="Verdana" w:eastAsia="Calibri" w:hAnsi="Verdana" w:cs="Arial"/>
          <w:color w:val="000000" w:themeColor="text1"/>
          <w:lang w:val="es-ES"/>
        </w:rPr>
        <w:lastRenderedPageBreak/>
        <w:t>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w:t>
      </w:r>
      <w:r>
        <w:rPr>
          <w:rFonts w:ascii="Verdana" w:eastAsia="Calibri" w:hAnsi="Verdana" w:cs="Arial"/>
          <w:color w:val="000000" w:themeColor="text1"/>
          <w:lang w:val="es-ES"/>
        </w:rPr>
        <w:t>n.</w:t>
      </w:r>
    </w:p>
    <w:p w14:paraId="5153C956" w14:textId="77777777" w:rsidR="00135720" w:rsidRDefault="00135720" w:rsidP="00135720">
      <w:pPr>
        <w:spacing w:before="120" w:after="120" w:line="276" w:lineRule="auto"/>
        <w:jc w:val="both"/>
        <w:rPr>
          <w:rFonts w:ascii="Verdana" w:eastAsia="Calibri" w:hAnsi="Verdana" w:cs="Arial"/>
          <w:color w:val="000000" w:themeColor="text1"/>
          <w:lang w:val="es-ES"/>
        </w:rPr>
      </w:pPr>
    </w:p>
    <w:p w14:paraId="165FBD37" w14:textId="77777777" w:rsidR="00135720" w:rsidRPr="00CC7195" w:rsidRDefault="00135720" w:rsidP="00135720">
      <w:pPr>
        <w:spacing w:before="120"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Pr>
          <w:rFonts w:ascii="Verdana" w:eastAsia="Calibri" w:hAnsi="Verdana" w:cs="Arial"/>
          <w:color w:val="000000" w:themeColor="text1"/>
          <w:lang w:val="es-ES"/>
        </w:rPr>
        <w:t xml:space="preserve">. En torno a la aplicabilidad de las cláusulas excepcionales, </w:t>
      </w:r>
      <w:r w:rsidRPr="3957B322">
        <w:rPr>
          <w:rFonts w:ascii="Verdana" w:eastAsia="Calibri" w:hAnsi="Verdana" w:cs="Arial"/>
          <w:color w:val="000000" w:themeColor="text1"/>
          <w:lang w:val="es-ES"/>
        </w:rPr>
        <w:t>debe tener</w:t>
      </w:r>
      <w:r>
        <w:rPr>
          <w:rFonts w:ascii="Verdana" w:eastAsia="Calibri" w:hAnsi="Verdana" w:cs="Arial"/>
          <w:color w:val="000000" w:themeColor="text1"/>
          <w:lang w:val="es-ES"/>
        </w:rPr>
        <w:t>se</w:t>
      </w:r>
      <w:r w:rsidRPr="3957B322">
        <w:rPr>
          <w:rFonts w:ascii="Verdana" w:eastAsia="Calibri" w:hAnsi="Verdana" w:cs="Arial"/>
          <w:color w:val="000000" w:themeColor="text1"/>
          <w:lang w:val="es-ES"/>
        </w:rPr>
        <w:t xml:space="preserve"> en cuenta que </w:t>
      </w:r>
      <w:r>
        <w:rPr>
          <w:rFonts w:ascii="Verdana" w:eastAsia="Calibri" w:hAnsi="Verdana" w:cs="Arial"/>
          <w:color w:val="000000" w:themeColor="text1"/>
          <w:lang w:val="es-ES"/>
        </w:rPr>
        <w:t>dichas cláusulas no están</w:t>
      </w:r>
      <w:r w:rsidRPr="3957B322">
        <w:rPr>
          <w:rFonts w:ascii="Verdana" w:eastAsia="Calibri" w:hAnsi="Verdana" w:cs="Arial"/>
          <w:color w:val="000000" w:themeColor="text1"/>
          <w:lang w:val="es-ES"/>
        </w:rPr>
        <w:t xml:space="preserve">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debe acudir al juez competente.</w:t>
      </w:r>
    </w:p>
    <w:p w14:paraId="71EA99B4" w14:textId="77777777" w:rsidR="00135720" w:rsidRPr="00FD4874" w:rsidRDefault="00135720" w:rsidP="00135720">
      <w:pPr>
        <w:spacing w:before="120" w:line="276" w:lineRule="auto"/>
        <w:ind w:right="49" w:firstLine="709"/>
        <w:jc w:val="both"/>
        <w:rPr>
          <w:rFonts w:ascii="Verdana" w:hAnsi="Verdana" w:cs="Arial"/>
          <w:iCs/>
          <w:color w:val="000000" w:themeColor="text1"/>
        </w:rPr>
      </w:pPr>
      <w:r w:rsidRPr="00FD4874">
        <w:rPr>
          <w:rFonts w:ascii="Verdana" w:eastAsia="Calibri" w:hAnsi="Verdana" w:cs="Arial"/>
          <w:color w:val="000000" w:themeColor="text1"/>
          <w:lang w:val="es-ES"/>
        </w:rPr>
        <w:t xml:space="preserve">El hecho de que dichos entes tengan un régimen de contratación especial implica que en los contratos que celebren no resulta </w:t>
      </w:r>
      <w:r>
        <w:rPr>
          <w:rFonts w:ascii="Verdana" w:eastAsia="Calibri" w:hAnsi="Verdana" w:cs="Arial"/>
          <w:color w:val="000000" w:themeColor="text1"/>
          <w:lang w:val="es-ES"/>
        </w:rPr>
        <w:t>viable incorporar las cláusulas</w:t>
      </w:r>
      <w:r w:rsidRPr="00FD4874">
        <w:rPr>
          <w:rFonts w:ascii="Verdana" w:eastAsia="Calibri" w:hAnsi="Verdana" w:cs="Arial"/>
          <w:color w:val="000000" w:themeColor="text1"/>
          <w:lang w:val="es-ES"/>
        </w:rPr>
        <w:t xml:space="preserve"> exorbitantes o excepcionales, </w:t>
      </w:r>
      <w:r w:rsidRPr="003E2347">
        <w:rPr>
          <w:rFonts w:ascii="Verdana" w:hAnsi="Verdana" w:cs="Arial"/>
          <w:iCs/>
          <w:color w:val="000000" w:themeColor="text1"/>
        </w:rPr>
        <w:t xml:space="preserve">con base en las cuales la entidades sometidas al EGCAP ejercen la dirección general del contrato y realizan las actividades propias de vigilancia y control, entre las que se encuentran: i) las cláusulas excepcionales del artículo 14 de la Ley 80 de 1993, donde se encuentran la terminación unilateral, la interpretación unilateral, la modificación unilateral, la caducidad y la reversión, las cuales se desarrollan en los artículos 15 a 19 </w:t>
      </w:r>
      <w:r w:rsidRPr="003E2347">
        <w:rPr>
          <w:rFonts w:ascii="Verdana" w:hAnsi="Verdana" w:cs="Arial"/>
          <w:i/>
          <w:color w:val="000000" w:themeColor="text1"/>
        </w:rPr>
        <w:t>ibidem</w:t>
      </w:r>
      <w:r w:rsidRPr="003E2347">
        <w:rPr>
          <w:rFonts w:ascii="Verdana" w:hAnsi="Verdana" w:cs="Arial"/>
          <w:iCs/>
          <w:color w:val="000000" w:themeColor="text1"/>
        </w:rPr>
        <w:t xml:space="preserve">; </w:t>
      </w:r>
      <w:proofErr w:type="spellStart"/>
      <w:r w:rsidRPr="00EF4B98">
        <w:rPr>
          <w:rFonts w:ascii="Verdana" w:hAnsi="Verdana" w:cs="Arial"/>
          <w:iCs/>
          <w:color w:val="000000" w:themeColor="text1"/>
        </w:rPr>
        <w:t>ii</w:t>
      </w:r>
      <w:proofErr w:type="spellEnd"/>
      <w:r w:rsidRPr="00EF4B98">
        <w:rPr>
          <w:rFonts w:ascii="Verdana" w:hAnsi="Verdana" w:cs="Arial"/>
          <w:iCs/>
          <w:color w:val="000000" w:themeColor="text1"/>
        </w:rPr>
        <w:t xml:space="preserve">) en otras disposiciones también se encuentran establecidas otras potestades exorbitantes, como la liquidación unilateral y la declaratoria unilateral del siniestro; </w:t>
      </w:r>
      <w:r>
        <w:rPr>
          <w:rFonts w:ascii="Verdana" w:hAnsi="Verdana" w:cs="Arial"/>
          <w:iCs/>
          <w:color w:val="000000" w:themeColor="text1"/>
        </w:rPr>
        <w:t xml:space="preserve">y </w:t>
      </w:r>
      <w:proofErr w:type="spellStart"/>
      <w:r>
        <w:rPr>
          <w:rFonts w:ascii="Verdana" w:hAnsi="Verdana" w:cs="Arial"/>
          <w:iCs/>
          <w:color w:val="000000" w:themeColor="text1"/>
        </w:rPr>
        <w:t>i</w:t>
      </w:r>
      <w:r w:rsidRPr="003E2347">
        <w:rPr>
          <w:rFonts w:ascii="Verdana" w:hAnsi="Verdana" w:cs="Arial"/>
          <w:iCs/>
          <w:color w:val="000000" w:themeColor="text1"/>
        </w:rPr>
        <w:t>ii</w:t>
      </w:r>
      <w:proofErr w:type="spellEnd"/>
      <w:r w:rsidRPr="003E2347">
        <w:rPr>
          <w:rFonts w:ascii="Verdana" w:hAnsi="Verdana" w:cs="Arial"/>
          <w:iCs/>
          <w:color w:val="000000" w:themeColor="text1"/>
        </w:rPr>
        <w:t xml:space="preserve">) en otras disposiciones también se encuentran establecidas otras </w:t>
      </w:r>
      <w:r>
        <w:rPr>
          <w:rFonts w:ascii="Verdana" w:hAnsi="Verdana" w:cs="Arial"/>
          <w:iCs/>
          <w:color w:val="000000" w:themeColor="text1"/>
        </w:rPr>
        <w:t xml:space="preserve">las </w:t>
      </w:r>
      <w:r w:rsidRPr="003E2347">
        <w:rPr>
          <w:rFonts w:ascii="Verdana" w:hAnsi="Verdana" w:cs="Arial"/>
          <w:iCs/>
          <w:color w:val="000000" w:themeColor="text1"/>
        </w:rPr>
        <w:t xml:space="preserve">cláusulas excepcionales de </w:t>
      </w:r>
      <w:r w:rsidRPr="003E2347">
        <w:rPr>
          <w:rFonts w:ascii="Verdana" w:hAnsi="Verdana" w:cs="Arial"/>
          <w:i/>
          <w:color w:val="000000" w:themeColor="text1"/>
        </w:rPr>
        <w:t>imposición unilateral</w:t>
      </w:r>
      <w:r w:rsidRPr="003E2347">
        <w:rPr>
          <w:rFonts w:ascii="Verdana" w:hAnsi="Verdana" w:cs="Arial"/>
          <w:iCs/>
          <w:color w:val="000000" w:themeColor="text1"/>
        </w:rPr>
        <w:t xml:space="preserve"> de las cláusulas penales y de multas, cuya exorbitancia se refiere a su imposición unilateral</w:t>
      </w:r>
      <w:r>
        <w:rPr>
          <w:rFonts w:ascii="Verdana" w:hAnsi="Verdana" w:cs="Arial"/>
          <w:iCs/>
          <w:color w:val="000000" w:themeColor="text1"/>
        </w:rPr>
        <w:t>, a pesar que se ha discutido sobre su naturaleza o no exorbitante</w:t>
      </w:r>
      <w:r w:rsidRPr="00FD4874">
        <w:rPr>
          <w:rFonts w:ascii="Verdana" w:hAnsi="Verdana" w:cs="Arial"/>
          <w:iCs/>
          <w:color w:val="000000" w:themeColor="text1"/>
        </w:rPr>
        <w:t xml:space="preserve">. </w:t>
      </w:r>
    </w:p>
    <w:p w14:paraId="50178D78" w14:textId="77777777" w:rsidR="00135720" w:rsidRPr="003E2347" w:rsidRDefault="00135720" w:rsidP="00135720">
      <w:pPr>
        <w:spacing w:before="120" w:line="276" w:lineRule="auto"/>
        <w:ind w:right="142" w:firstLine="709"/>
        <w:jc w:val="both"/>
        <w:rPr>
          <w:rFonts w:ascii="Verdana" w:hAnsi="Verdana" w:cs="Arial"/>
          <w:iCs/>
          <w:color w:val="000000" w:themeColor="text1"/>
        </w:rPr>
      </w:pPr>
      <w:r w:rsidRPr="003E2347">
        <w:rPr>
          <w:rFonts w:ascii="Verdana" w:hAnsi="Verdana" w:cs="Arial"/>
          <w:iCs/>
          <w:color w:val="000000" w:themeColor="text1"/>
        </w:rPr>
        <w:t>Este último grupo de potestades excepcionales –</w:t>
      </w:r>
      <w:r w:rsidRPr="003E2347">
        <w:rPr>
          <w:rFonts w:ascii="Verdana" w:hAnsi="Verdana" w:cs="Arial"/>
          <w:i/>
          <w:color w:val="000000" w:themeColor="text1"/>
        </w:rPr>
        <w:t>imposición unilateral</w:t>
      </w:r>
      <w:r w:rsidRPr="003E2347">
        <w:rPr>
          <w:rFonts w:ascii="Verdana" w:hAnsi="Verdana" w:cs="Arial"/>
          <w:iCs/>
          <w:color w:val="000000" w:themeColor="text1"/>
        </w:rPr>
        <w:t xml:space="preserve"> de la multa o la cláusula penal– cuenta con una particular combinación entre el principio de legalidad y la autonomía de la voluntad, de tal suerte </w:t>
      </w:r>
      <w:proofErr w:type="gramStart"/>
      <w:r w:rsidRPr="003E2347">
        <w:rPr>
          <w:rFonts w:ascii="Verdana" w:hAnsi="Verdana" w:cs="Arial"/>
          <w:iCs/>
          <w:color w:val="000000" w:themeColor="text1"/>
        </w:rPr>
        <w:t>que</w:t>
      </w:r>
      <w:proofErr w:type="gramEnd"/>
      <w:r w:rsidRPr="003E2347">
        <w:rPr>
          <w:rFonts w:ascii="Verdana" w:hAnsi="Verdana" w:cs="Arial"/>
          <w:iCs/>
          <w:color w:val="000000" w:themeColor="text1"/>
        </w:rPr>
        <w:t xml:space="preserve"> si bien el legislador autorizó a las entidades para declarar el incumplimiento con la intención de multar al contratista para conminarlo al cumplimiento o para hacer efectiva la cláusula penal, es indispensable que uno u otro caso se hayan </w:t>
      </w:r>
      <w:r w:rsidRPr="003E2347">
        <w:rPr>
          <w:rFonts w:ascii="Verdana" w:hAnsi="Verdana" w:cs="Arial"/>
          <w:iCs/>
          <w:color w:val="000000" w:themeColor="text1"/>
        </w:rPr>
        <w:lastRenderedPageBreak/>
        <w:t>pactado en el contrato</w:t>
      </w:r>
      <w:r w:rsidRPr="003E2347">
        <w:rPr>
          <w:rFonts w:ascii="Verdana" w:hAnsi="Verdana" w:cs="Arial"/>
          <w:color w:val="000000" w:themeColor="text1"/>
          <w:vertAlign w:val="superscript"/>
        </w:rPr>
        <w:footnoteReference w:id="16"/>
      </w:r>
      <w:r w:rsidRPr="003E2347">
        <w:rPr>
          <w:rFonts w:ascii="Verdana" w:hAnsi="Verdana" w:cs="Arial"/>
          <w:iCs/>
          <w:color w:val="000000" w:themeColor="text1"/>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329B10D5" w14:textId="77777777" w:rsidR="00135720" w:rsidRDefault="00135720" w:rsidP="00135720">
      <w:pPr>
        <w:spacing w:line="276" w:lineRule="auto"/>
        <w:ind w:firstLine="708"/>
        <w:jc w:val="both"/>
        <w:rPr>
          <w:rFonts w:ascii="Verdana" w:eastAsia="Calibri" w:hAnsi="Verdana" w:cs="Arial"/>
          <w:color w:val="000000" w:themeColor="text1"/>
          <w:lang w:val="es-ES_tradnl"/>
        </w:rPr>
      </w:pPr>
      <w:r w:rsidRPr="003E2347">
        <w:rPr>
          <w:rFonts w:ascii="Verdana" w:eastAsia="Calibri" w:hAnsi="Verdana" w:cs="Arial"/>
          <w:color w:val="000000" w:themeColor="text1"/>
        </w:rPr>
        <w:t>Para el ejercicio de estas potestades exorbitantes en particular, el</w:t>
      </w:r>
      <w:r w:rsidRPr="003E2347">
        <w:rPr>
          <w:rFonts w:ascii="Verdana" w:eastAsia="Calibri" w:hAnsi="Verdana" w:cs="Arial"/>
          <w:color w:val="000000" w:themeColor="text1"/>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Ley 1150 de 2007</w:t>
      </w:r>
      <w:r w:rsidRPr="003E2347">
        <w:rPr>
          <w:rStyle w:val="Refdenotaalpie"/>
          <w:rFonts w:ascii="Verdana" w:eastAsia="Calibri" w:hAnsi="Verdana" w:cs="Arial"/>
          <w:color w:val="000000" w:themeColor="text1"/>
          <w:lang w:val="es-ES_tradnl"/>
        </w:rPr>
        <w:footnoteReference w:id="17"/>
      </w:r>
      <w:r w:rsidRPr="003E2347">
        <w:rPr>
          <w:rFonts w:ascii="Verdana" w:eastAsia="Calibri" w:hAnsi="Verdana" w:cs="Arial"/>
          <w:color w:val="000000" w:themeColor="text1"/>
          <w:lang w:val="es-ES_tradnl"/>
        </w:rPr>
        <w:t>. Así se desprende del primer inciso de aquel artículo, que dice: “</w:t>
      </w:r>
      <w:r w:rsidRPr="003E2347">
        <w:rPr>
          <w:rFonts w:ascii="Verdana" w:eastAsia="Calibri" w:hAnsi="Verdana" w:cs="Arial"/>
          <w:i/>
          <w:color w:val="000000" w:themeColor="text1"/>
          <w:lang w:val="es-ES_tradnl"/>
        </w:rPr>
        <w:t>Las entidades sometidas al Estatuto General de Contratación de la Administración Pública</w:t>
      </w:r>
      <w:r w:rsidRPr="003E2347">
        <w:rPr>
          <w:rFonts w:ascii="Verdana" w:eastAsia="Calibri" w:hAnsi="Verdana" w:cs="Arial"/>
          <w:color w:val="000000" w:themeColor="text1"/>
          <w:lang w:val="es-ES_tradnl"/>
        </w:rPr>
        <w:t xml:space="preserve"> podrán declarar el incumplimiento, cuantificando los perjuicios </w:t>
      </w:r>
      <w:proofErr w:type="gramStart"/>
      <w:r w:rsidRPr="003E2347">
        <w:rPr>
          <w:rFonts w:ascii="Verdana" w:eastAsia="Calibri" w:hAnsi="Verdana" w:cs="Arial"/>
          <w:color w:val="000000" w:themeColor="text1"/>
          <w:lang w:val="es-ES_tradnl"/>
        </w:rPr>
        <w:t>del mismo</w:t>
      </w:r>
      <w:proofErr w:type="gramEnd"/>
      <w:r w:rsidRPr="003E2347">
        <w:rPr>
          <w:rFonts w:ascii="Verdana" w:eastAsia="Calibri" w:hAnsi="Verdana" w:cs="Arial"/>
          <w:color w:val="000000" w:themeColor="text1"/>
          <w:lang w:val="es-ES_tradnl"/>
        </w:rPr>
        <w:t xml:space="preserve">, imponer las multas y sanciones pactadas en el contrato, y </w:t>
      </w:r>
      <w:r w:rsidRPr="003E2347">
        <w:rPr>
          <w:rFonts w:ascii="Verdana" w:eastAsia="Calibri" w:hAnsi="Verdana" w:cs="Arial"/>
          <w:color w:val="000000" w:themeColor="text1"/>
          <w:lang w:val="es-ES_tradnl"/>
        </w:rPr>
        <w:lastRenderedPageBreak/>
        <w:t>hacer efectiva la cláusula penal. Para tal efecto observarán el siguiente procedimiento […]”. De ahí que, solo por esta razón, sea fácil concluir que las entidades de régimen e</w:t>
      </w:r>
      <w:r>
        <w:rPr>
          <w:rFonts w:ascii="Verdana" w:eastAsia="Calibri" w:hAnsi="Verdana" w:cs="Arial"/>
          <w:color w:val="000000" w:themeColor="text1"/>
          <w:lang w:val="es-ES_tradnl"/>
        </w:rPr>
        <w:t xml:space="preserve">special en materia contractual </w:t>
      </w:r>
      <w:r w:rsidRPr="003E2347">
        <w:rPr>
          <w:rFonts w:ascii="Verdana" w:eastAsia="Calibri" w:hAnsi="Verdana" w:cs="Arial"/>
          <w:color w:val="000000" w:themeColor="text1"/>
          <w:lang w:val="es-ES_tradnl"/>
        </w:rPr>
        <w:t>no pueden aplicar el procedimiento administrativo sancionatorio regulado en el artículo 86 de la Ley 1474 de 2011, al no ser entidades sometidas al Estatuto General de Contratación de la Administración Pública</w:t>
      </w:r>
      <w:r w:rsidRPr="003E2347">
        <w:rPr>
          <w:rStyle w:val="Refdenotaalpie"/>
          <w:rFonts w:ascii="Verdana" w:eastAsia="Calibri" w:hAnsi="Verdana" w:cs="Arial"/>
          <w:color w:val="000000" w:themeColor="text1"/>
          <w:lang w:val="es-ES_tradnl"/>
        </w:rPr>
        <w:footnoteReference w:id="18"/>
      </w:r>
      <w:r w:rsidRPr="003E2347">
        <w:rPr>
          <w:rFonts w:ascii="Verdana" w:eastAsia="Calibri" w:hAnsi="Verdana" w:cs="Arial"/>
          <w:color w:val="000000" w:themeColor="text1"/>
          <w:lang w:val="es-ES_tradnl"/>
        </w:rPr>
        <w:t xml:space="preserve">, sino, por el contrario, entidades exceptuadas de este. </w:t>
      </w:r>
    </w:p>
    <w:p w14:paraId="01E185DD" w14:textId="77777777" w:rsidR="00135720" w:rsidRDefault="00135720" w:rsidP="00135720">
      <w:pPr>
        <w:spacing w:line="276" w:lineRule="auto"/>
        <w:ind w:firstLine="708"/>
        <w:jc w:val="both"/>
        <w:rPr>
          <w:rFonts w:ascii="Verdana" w:eastAsia="Calibri" w:hAnsi="Verdana" w:cs="Arial"/>
          <w:color w:val="000000" w:themeColor="text1"/>
        </w:rPr>
      </w:pPr>
      <w:r w:rsidRPr="00D42EEE">
        <w:rPr>
          <w:rFonts w:ascii="Verdana" w:eastAsia="Calibri" w:hAnsi="Verdana" w:cs="Arial"/>
          <w:color w:val="000000" w:themeColor="text1"/>
          <w:lang w:val="es-ES_tradnl"/>
        </w:rPr>
        <w:t xml:space="preserve">Ahora bien, hay entidades de régimen especial que tienen la competencia para hacer uso </w:t>
      </w:r>
      <w:r>
        <w:rPr>
          <w:rFonts w:ascii="Verdana" w:eastAsia="Calibri" w:hAnsi="Verdana" w:cs="Arial"/>
          <w:color w:val="000000" w:themeColor="text1"/>
          <w:lang w:val="es-ES_tradnl"/>
        </w:rPr>
        <w:t>de cláusulas excepcionales, son</w:t>
      </w:r>
      <w:r w:rsidRPr="00D42EEE">
        <w:rPr>
          <w:rFonts w:ascii="Verdana" w:eastAsia="Calibri" w:hAnsi="Verdana" w:cs="Arial"/>
          <w:color w:val="000000" w:themeColor="text1"/>
          <w:lang w:val="es-ES_tradnl"/>
        </w:rPr>
        <w:t xml:space="preserve"> las empresas prestadoras de servicios públicos domiciliarios</w:t>
      </w:r>
      <w:r w:rsidRPr="00D42EEE">
        <w:rPr>
          <w:rStyle w:val="Refdenotaalpie"/>
          <w:rFonts w:ascii="Verdana" w:eastAsia="Calibri" w:hAnsi="Verdana" w:cs="Arial"/>
          <w:color w:val="000000" w:themeColor="text1"/>
          <w:lang w:val="es-ES_tradnl"/>
        </w:rPr>
        <w:footnoteReference w:id="19"/>
      </w:r>
      <w:r w:rsidRPr="00D42EEE">
        <w:rPr>
          <w:rFonts w:ascii="Verdana" w:eastAsia="Calibri" w:hAnsi="Verdana" w:cs="Arial"/>
          <w:color w:val="000000" w:themeColor="text1"/>
          <w:lang w:val="es-ES_tradnl"/>
        </w:rPr>
        <w:t xml:space="preserve"> y las empresas sociales del Estado</w:t>
      </w:r>
      <w:r w:rsidRPr="00D42EEE">
        <w:rPr>
          <w:rStyle w:val="Refdenotaalpie"/>
          <w:rFonts w:ascii="Verdana" w:eastAsia="Calibri" w:hAnsi="Verdana" w:cs="Arial"/>
          <w:color w:val="000000" w:themeColor="text1"/>
          <w:lang w:val="es-ES_tradnl"/>
        </w:rPr>
        <w:footnoteReference w:id="20"/>
      </w:r>
      <w:r>
        <w:rPr>
          <w:rFonts w:ascii="Verdana" w:eastAsia="Calibri" w:hAnsi="Verdana" w:cs="Arial"/>
          <w:color w:val="000000" w:themeColor="text1"/>
          <w:lang w:val="es-ES_tradnl"/>
        </w:rPr>
        <w:t xml:space="preserve">, entre otras. En torno a las empresas sociales del Estado </w:t>
      </w:r>
      <w:r>
        <w:rPr>
          <w:rFonts w:ascii="Verdana" w:eastAsia="Calibri" w:hAnsi="Verdana" w:cs="Arial"/>
          <w:color w:val="000000" w:themeColor="text1"/>
        </w:rPr>
        <w:t xml:space="preserve">la regla aplicable </w:t>
      </w:r>
      <w:r w:rsidRPr="009428FB">
        <w:rPr>
          <w:rFonts w:ascii="Verdana" w:eastAsia="Calibri" w:hAnsi="Verdana" w:cs="Arial"/>
          <w:color w:val="000000" w:themeColor="text1"/>
        </w:rPr>
        <w:t xml:space="preserve">es el derecho privado, salvo lo relacionado con cláusulas exorbitantes, materia en relación con la cual están habilitadas para aplicar las disposiciones del EGCAP, como lo prevé </w:t>
      </w:r>
      <w:r w:rsidRPr="009428FB">
        <w:rPr>
          <w:rFonts w:ascii="Verdana" w:eastAsia="Calibri" w:hAnsi="Verdana" w:cs="Arial"/>
          <w:color w:val="000000" w:themeColor="text1"/>
        </w:rPr>
        <w:lastRenderedPageBreak/>
        <w:t>el citado artículo 195, numeral 6 de la Ley 100 de 1993.</w:t>
      </w:r>
      <w:r>
        <w:rPr>
          <w:rFonts w:ascii="Verdana" w:eastAsia="Calibri" w:hAnsi="Verdana" w:cs="Arial"/>
          <w:color w:val="000000" w:themeColor="text1"/>
        </w:rPr>
        <w:t xml:space="preserve"> Al respecto, la Sala de Consulta y Servicio Civil del Consejo de Estado expresa:  </w:t>
      </w:r>
    </w:p>
    <w:p w14:paraId="43D91187" w14:textId="77777777" w:rsidR="00135720" w:rsidRPr="00FB4C06" w:rsidRDefault="00135720" w:rsidP="00135720">
      <w:pPr>
        <w:spacing w:after="0" w:line="240" w:lineRule="auto"/>
        <w:ind w:left="709" w:right="709"/>
        <w:jc w:val="both"/>
        <w:rPr>
          <w:rFonts w:ascii="Verdana" w:eastAsia="Calibri" w:hAnsi="Verdana" w:cs="Arial"/>
          <w:i/>
          <w:iCs/>
          <w:color w:val="000000" w:themeColor="text1"/>
          <w:sz w:val="21"/>
          <w:szCs w:val="21"/>
        </w:rPr>
      </w:pPr>
      <w:r w:rsidRPr="00FB4C06">
        <w:rPr>
          <w:rFonts w:ascii="Verdana" w:eastAsia="Calibri" w:hAnsi="Verdana" w:cs="Arial"/>
          <w:i/>
          <w:iCs/>
          <w:color w:val="000000" w:themeColor="text1"/>
          <w:sz w:val="21"/>
          <w:szCs w:val="21"/>
        </w:rPr>
        <w:t xml:space="preserve">En principio, por ser las empresas sociales del estado entidades estatales y constituir la ley 80 un estatuto denominado "general de contratación de la administración pública", pudiera concluirse que su aplicación es universal para toda clase de entes públicos; sin embargo, tal apreciación no se compadece con la potestad del legislador para establecer excepciones a tal régimen, como lo hizo en el caso de estas empresas. </w:t>
      </w:r>
    </w:p>
    <w:p w14:paraId="79824241" w14:textId="77777777" w:rsidR="00135720" w:rsidRPr="00FB4C06" w:rsidRDefault="00135720" w:rsidP="00135720">
      <w:pPr>
        <w:spacing w:after="0" w:line="240" w:lineRule="auto"/>
        <w:ind w:left="709" w:right="709"/>
        <w:jc w:val="both"/>
        <w:rPr>
          <w:rFonts w:ascii="Verdana" w:eastAsia="Calibri" w:hAnsi="Verdana" w:cs="Arial"/>
          <w:i/>
          <w:iCs/>
          <w:color w:val="000000" w:themeColor="text1"/>
          <w:sz w:val="21"/>
          <w:szCs w:val="21"/>
        </w:rPr>
      </w:pPr>
      <w:r w:rsidRPr="00FB4C06">
        <w:rPr>
          <w:rFonts w:ascii="Verdana" w:eastAsia="Calibri" w:hAnsi="Verdana" w:cs="Arial"/>
          <w:i/>
          <w:iCs/>
          <w:color w:val="000000" w:themeColor="text1"/>
          <w:sz w:val="21"/>
          <w:szCs w:val="21"/>
        </w:rPr>
        <w:t xml:space="preserve">El carácter excepcional de la </w:t>
      </w:r>
      <w:proofErr w:type="gramStart"/>
      <w:r w:rsidRPr="00FB4C06">
        <w:rPr>
          <w:rFonts w:ascii="Verdana" w:eastAsia="Calibri" w:hAnsi="Verdana" w:cs="Arial"/>
          <w:i/>
          <w:iCs/>
          <w:color w:val="000000" w:themeColor="text1"/>
          <w:sz w:val="21"/>
          <w:szCs w:val="21"/>
        </w:rPr>
        <w:t>regulación,</w:t>
      </w:r>
      <w:proofErr w:type="gramEnd"/>
      <w:r w:rsidRPr="00FB4C06">
        <w:rPr>
          <w:rFonts w:ascii="Verdana" w:eastAsia="Calibri" w:hAnsi="Verdana" w:cs="Arial"/>
          <w:i/>
          <w:iCs/>
          <w:color w:val="000000" w:themeColor="text1"/>
          <w:sz w:val="21"/>
          <w:szCs w:val="21"/>
        </w:rPr>
        <w:t xml:space="preserve"> se refleja inequívocamente en la locución "discrecionalmente", ya que mientras los demás contratos estatales deben, de manera general, contener tales cláusulas, en los sometidos al régimen de las empresas sociales sólo se pactarán cuando así estas lo dispongan. Además, si con dicha expresión al Estado se le otorga la facultad para pactar o imponer las referidas cláusulas, sin distinguir su razón, es porque a él se reserva el privilegio de incluirlas cuando lo estime conveniente, esto es, cuando las reglas de derecho privado no le otorguen la garantía para la prestación del servicio público correspondiente. </w:t>
      </w:r>
    </w:p>
    <w:p w14:paraId="1534C322" w14:textId="77777777" w:rsidR="00135720" w:rsidRDefault="00135720" w:rsidP="00135720">
      <w:pPr>
        <w:spacing w:after="0" w:line="240" w:lineRule="auto"/>
        <w:ind w:left="709" w:right="709"/>
        <w:jc w:val="both"/>
        <w:rPr>
          <w:rFonts w:ascii="Verdana" w:eastAsia="Calibri" w:hAnsi="Verdana" w:cs="Arial"/>
          <w:i/>
          <w:iCs/>
          <w:color w:val="000000" w:themeColor="text1"/>
          <w:sz w:val="21"/>
          <w:szCs w:val="21"/>
        </w:rPr>
      </w:pPr>
      <w:r w:rsidRPr="00FB4C06">
        <w:rPr>
          <w:rFonts w:ascii="Verdana" w:eastAsia="Calibri" w:hAnsi="Verdana" w:cs="Arial"/>
          <w:i/>
          <w:iCs/>
          <w:color w:val="000000" w:themeColor="text1"/>
          <w:sz w:val="21"/>
          <w:szCs w:val="21"/>
        </w:rPr>
        <w:t>Por lo demás, dicha discrecionalidad encuentra su fundamento en la multiplicidad de objetos contractuales que pueden incidir o no en la prestación del servicio público, circunstancia que la administración deberá tener presente al momento de determinar si incluye o no las cláusulas excepcionales</w:t>
      </w:r>
      <w:r>
        <w:rPr>
          <w:rStyle w:val="Refdenotaalpie"/>
          <w:rFonts w:ascii="Verdana" w:eastAsia="Calibri" w:hAnsi="Verdana" w:cs="Arial"/>
          <w:i/>
          <w:iCs/>
          <w:color w:val="000000" w:themeColor="text1"/>
          <w:sz w:val="21"/>
          <w:szCs w:val="21"/>
        </w:rPr>
        <w:footnoteReference w:id="21"/>
      </w:r>
      <w:r w:rsidRPr="00FB4C06">
        <w:rPr>
          <w:rFonts w:ascii="Verdana" w:eastAsia="Calibri" w:hAnsi="Verdana" w:cs="Arial"/>
          <w:i/>
          <w:iCs/>
          <w:color w:val="000000" w:themeColor="text1"/>
          <w:sz w:val="21"/>
          <w:szCs w:val="21"/>
        </w:rPr>
        <w:t xml:space="preserve">. </w:t>
      </w:r>
    </w:p>
    <w:p w14:paraId="242EAB39" w14:textId="77777777" w:rsidR="00135720" w:rsidRPr="00FB4C06" w:rsidRDefault="00135720" w:rsidP="00135720">
      <w:pPr>
        <w:spacing w:after="0" w:line="276" w:lineRule="auto"/>
        <w:ind w:left="709" w:right="709"/>
        <w:jc w:val="both"/>
        <w:rPr>
          <w:rFonts w:ascii="Verdana" w:eastAsia="Calibri" w:hAnsi="Verdana" w:cs="Arial"/>
          <w:color w:val="000000" w:themeColor="text1"/>
          <w:sz w:val="21"/>
          <w:szCs w:val="21"/>
        </w:rPr>
      </w:pPr>
    </w:p>
    <w:p w14:paraId="2D6B6234" w14:textId="77777777" w:rsidR="00135720" w:rsidRPr="0083282B" w:rsidRDefault="00135720" w:rsidP="00135720">
      <w:pPr>
        <w:widowControl w:val="0"/>
        <w:autoSpaceDE w:val="0"/>
        <w:autoSpaceDN w:val="0"/>
        <w:spacing w:after="120" w:line="276" w:lineRule="auto"/>
        <w:ind w:firstLine="708"/>
        <w:jc w:val="both"/>
        <w:rPr>
          <w:rFonts w:ascii="Verdana" w:eastAsia="Arial" w:hAnsi="Verdana" w:cs="Arial"/>
        </w:rPr>
      </w:pPr>
      <w:r>
        <w:rPr>
          <w:rFonts w:ascii="Verdana" w:eastAsia="Calibri" w:hAnsi="Verdana" w:cs="Arial"/>
          <w:color w:val="000000" w:themeColor="text1"/>
        </w:rPr>
        <w:t>En esta medida,</w:t>
      </w:r>
      <w:r>
        <w:rPr>
          <w:rFonts w:ascii="Verdana" w:hAnsi="Verdana" w:cs="Arial"/>
          <w:bCs/>
          <w:color w:val="000000" w:themeColor="text1"/>
          <w:lang w:val="es-ES"/>
        </w:rPr>
        <w:t xml:space="preserve"> </w:t>
      </w:r>
      <w:r w:rsidRPr="007B07B6">
        <w:rPr>
          <w:rFonts w:ascii="Verdana" w:hAnsi="Verdana" w:cs="Arial"/>
          <w:bCs/>
          <w:color w:val="000000" w:themeColor="text1"/>
        </w:rPr>
        <w:t xml:space="preserve">las </w:t>
      </w:r>
      <w:r>
        <w:rPr>
          <w:rFonts w:ascii="Verdana" w:hAnsi="Verdana" w:cs="Arial"/>
          <w:bCs/>
          <w:color w:val="000000" w:themeColor="text1"/>
        </w:rPr>
        <w:t>ESE debe</w:t>
      </w:r>
      <w:r w:rsidRPr="007B07B6">
        <w:rPr>
          <w:rFonts w:ascii="Verdana" w:hAnsi="Verdana" w:cs="Arial"/>
          <w:bCs/>
          <w:color w:val="000000" w:themeColor="text1"/>
        </w:rPr>
        <w:t xml:space="preserve">n aplicar las disposiciones del EGCAP, </w:t>
      </w:r>
      <w:r>
        <w:rPr>
          <w:rFonts w:ascii="Verdana" w:hAnsi="Verdana" w:cs="Arial"/>
          <w:bCs/>
          <w:color w:val="000000" w:themeColor="text1"/>
        </w:rPr>
        <w:t>por especial regulación</w:t>
      </w:r>
      <w:r w:rsidRPr="007B07B6">
        <w:rPr>
          <w:rFonts w:ascii="Verdana" w:hAnsi="Verdana" w:cs="Arial"/>
          <w:bCs/>
          <w:color w:val="000000" w:themeColor="text1"/>
        </w:rPr>
        <w:t xml:space="preserve"> de la Ley 100, que autoriza a estas empresas a incorporar las cláusulas excepcionales,</w:t>
      </w:r>
      <w:r>
        <w:rPr>
          <w:rFonts w:ascii="Verdana" w:hAnsi="Verdana" w:cs="Arial"/>
          <w:bCs/>
          <w:color w:val="000000" w:themeColor="text1"/>
        </w:rPr>
        <w:t xml:space="preserve"> siempre que decidan aplicarlas. Para entender este ejercicio, se acude a </w:t>
      </w:r>
      <w:r w:rsidRPr="00A47864">
        <w:rPr>
          <w:rFonts w:ascii="Verdana" w:eastAsia="Arial" w:hAnsi="Verdana" w:cs="Arial"/>
          <w:lang w:val="es-ES"/>
        </w:rPr>
        <w:t>la Resolución No. 5185 de 2013, modificada por la Resolución 1440 del 14 de agosto de 2024</w:t>
      </w:r>
      <w:r w:rsidRPr="00A47864">
        <w:rPr>
          <w:rFonts w:ascii="Verdana" w:eastAsia="Arial" w:hAnsi="Verdana" w:cs="Arial"/>
          <w:vertAlign w:val="superscript"/>
          <w:lang w:val="es-ES"/>
        </w:rPr>
        <w:footnoteReference w:id="22"/>
      </w:r>
      <w:r w:rsidRPr="00A47864">
        <w:rPr>
          <w:rFonts w:ascii="Verdana" w:eastAsia="Arial" w:hAnsi="Verdana" w:cs="Arial"/>
          <w:lang w:val="es-ES"/>
        </w:rPr>
        <w:t>, mediante la cual se fijan los lineamientos</w:t>
      </w:r>
      <w:r w:rsidRPr="00A47864">
        <w:rPr>
          <w:rFonts w:ascii="Verdana" w:eastAsia="Arial" w:hAnsi="Verdana" w:cs="Arial"/>
          <w:spacing w:val="1"/>
          <w:lang w:val="es-ES"/>
        </w:rPr>
        <w:t xml:space="preserve"> </w:t>
      </w:r>
      <w:r w:rsidRPr="00A47864">
        <w:rPr>
          <w:rFonts w:ascii="Verdana" w:eastAsia="Arial" w:hAnsi="Verdana" w:cs="Arial"/>
          <w:lang w:val="es-ES"/>
        </w:rPr>
        <w:t>para</w:t>
      </w:r>
      <w:r w:rsidRPr="00A47864">
        <w:rPr>
          <w:rFonts w:ascii="Verdana" w:eastAsia="Arial" w:hAnsi="Verdana" w:cs="Arial"/>
          <w:spacing w:val="-10"/>
          <w:lang w:val="es-ES"/>
        </w:rPr>
        <w:t xml:space="preserve"> </w:t>
      </w:r>
      <w:r w:rsidRPr="00A47864">
        <w:rPr>
          <w:rFonts w:ascii="Verdana" w:eastAsia="Arial" w:hAnsi="Verdana" w:cs="Arial"/>
          <w:lang w:val="es-ES"/>
        </w:rPr>
        <w:t>que</w:t>
      </w:r>
      <w:r w:rsidRPr="00A47864">
        <w:rPr>
          <w:rFonts w:ascii="Verdana" w:eastAsia="Arial" w:hAnsi="Verdana" w:cs="Arial"/>
          <w:spacing w:val="-10"/>
          <w:lang w:val="es-ES"/>
        </w:rPr>
        <w:t xml:space="preserve"> </w:t>
      </w:r>
      <w:r w:rsidRPr="00A47864">
        <w:rPr>
          <w:rFonts w:ascii="Verdana" w:eastAsia="Arial" w:hAnsi="Verdana" w:cs="Arial"/>
          <w:lang w:val="es-ES"/>
        </w:rPr>
        <w:t>tales</w:t>
      </w:r>
      <w:r w:rsidRPr="00A47864">
        <w:rPr>
          <w:rFonts w:ascii="Verdana" w:eastAsia="Arial" w:hAnsi="Verdana" w:cs="Arial"/>
          <w:spacing w:val="-10"/>
          <w:lang w:val="es-ES"/>
        </w:rPr>
        <w:t xml:space="preserve"> </w:t>
      </w:r>
      <w:r w:rsidRPr="00A47864">
        <w:rPr>
          <w:rFonts w:ascii="Verdana" w:eastAsia="Arial" w:hAnsi="Verdana" w:cs="Arial"/>
          <w:lang w:val="es-ES"/>
        </w:rPr>
        <w:t>entidades</w:t>
      </w:r>
      <w:r w:rsidRPr="00A47864">
        <w:rPr>
          <w:rFonts w:ascii="Verdana" w:eastAsia="Arial" w:hAnsi="Verdana" w:cs="Arial"/>
          <w:spacing w:val="-10"/>
          <w:lang w:val="es-ES"/>
        </w:rPr>
        <w:t xml:space="preserve"> </w:t>
      </w:r>
      <w:r w:rsidRPr="00A47864">
        <w:rPr>
          <w:rFonts w:ascii="Verdana" w:eastAsia="Arial" w:hAnsi="Verdana" w:cs="Arial"/>
          <w:lang w:val="es-ES"/>
        </w:rPr>
        <w:t>adopten</w:t>
      </w:r>
      <w:r w:rsidRPr="00A47864">
        <w:rPr>
          <w:rFonts w:ascii="Verdana" w:eastAsia="Arial" w:hAnsi="Verdana" w:cs="Arial"/>
          <w:spacing w:val="-10"/>
          <w:lang w:val="es-ES"/>
        </w:rPr>
        <w:t xml:space="preserve"> </w:t>
      </w:r>
      <w:r w:rsidRPr="00A47864">
        <w:rPr>
          <w:rFonts w:ascii="Verdana" w:eastAsia="Arial" w:hAnsi="Verdana" w:cs="Arial"/>
          <w:lang w:val="es-ES"/>
        </w:rPr>
        <w:t>los</w:t>
      </w:r>
      <w:r w:rsidRPr="00A47864">
        <w:rPr>
          <w:rFonts w:ascii="Verdana" w:eastAsia="Arial" w:hAnsi="Verdana" w:cs="Arial"/>
          <w:spacing w:val="-10"/>
          <w:lang w:val="es-ES"/>
        </w:rPr>
        <w:t xml:space="preserve"> </w:t>
      </w:r>
      <w:r w:rsidRPr="00A47864">
        <w:rPr>
          <w:rFonts w:ascii="Verdana" w:eastAsia="Arial" w:hAnsi="Verdana" w:cs="Arial"/>
          <w:lang w:val="es-ES"/>
        </w:rPr>
        <w:t>manuales</w:t>
      </w:r>
      <w:r w:rsidRPr="00A47864">
        <w:rPr>
          <w:rFonts w:ascii="Verdana" w:eastAsia="Arial" w:hAnsi="Verdana" w:cs="Arial"/>
          <w:spacing w:val="-10"/>
          <w:lang w:val="es-ES"/>
        </w:rPr>
        <w:t xml:space="preserve"> </w:t>
      </w:r>
      <w:r w:rsidRPr="00A47864">
        <w:rPr>
          <w:rFonts w:ascii="Verdana" w:eastAsia="Arial" w:hAnsi="Verdana" w:cs="Arial"/>
          <w:lang w:val="es-ES"/>
        </w:rPr>
        <w:t>de</w:t>
      </w:r>
      <w:r w:rsidRPr="00A47864">
        <w:rPr>
          <w:rFonts w:ascii="Verdana" w:eastAsia="Arial" w:hAnsi="Verdana" w:cs="Arial"/>
          <w:spacing w:val="-10"/>
          <w:lang w:val="es-ES"/>
        </w:rPr>
        <w:t xml:space="preserve"> </w:t>
      </w:r>
      <w:r w:rsidRPr="00A47864">
        <w:rPr>
          <w:rFonts w:ascii="Verdana" w:eastAsia="Arial" w:hAnsi="Verdana" w:cs="Arial"/>
          <w:lang w:val="es-ES"/>
        </w:rPr>
        <w:t>contratación</w:t>
      </w:r>
      <w:r w:rsidRPr="00A47864">
        <w:rPr>
          <w:rFonts w:ascii="Verdana" w:eastAsia="Arial" w:hAnsi="Verdana" w:cs="Arial"/>
          <w:spacing w:val="-10"/>
          <w:lang w:val="es-ES"/>
        </w:rPr>
        <w:t xml:space="preserve"> </w:t>
      </w:r>
      <w:r w:rsidRPr="00A47864">
        <w:rPr>
          <w:rFonts w:ascii="Verdana" w:eastAsia="Arial" w:hAnsi="Verdana" w:cs="Arial"/>
          <w:lang w:val="es-ES"/>
        </w:rPr>
        <w:t>que</w:t>
      </w:r>
      <w:r w:rsidRPr="00A47864">
        <w:rPr>
          <w:rFonts w:ascii="Verdana" w:eastAsia="Arial" w:hAnsi="Verdana" w:cs="Arial"/>
          <w:spacing w:val="-9"/>
          <w:lang w:val="es-ES"/>
        </w:rPr>
        <w:t xml:space="preserve"> </w:t>
      </w:r>
      <w:r w:rsidRPr="00A47864">
        <w:rPr>
          <w:rFonts w:ascii="Verdana" w:eastAsia="Arial" w:hAnsi="Verdana" w:cs="Arial"/>
          <w:lang w:val="es-ES"/>
        </w:rPr>
        <w:t>regirán</w:t>
      </w:r>
      <w:r w:rsidRPr="00A47864">
        <w:rPr>
          <w:rFonts w:ascii="Verdana" w:eastAsia="Arial" w:hAnsi="Verdana" w:cs="Arial"/>
          <w:spacing w:val="-10"/>
          <w:lang w:val="es-ES"/>
        </w:rPr>
        <w:t xml:space="preserve"> </w:t>
      </w:r>
      <w:r w:rsidRPr="00A47864">
        <w:rPr>
          <w:rFonts w:ascii="Verdana" w:eastAsia="Arial" w:hAnsi="Verdana" w:cs="Arial"/>
          <w:lang w:val="es-ES"/>
        </w:rPr>
        <w:t>su</w:t>
      </w:r>
      <w:r w:rsidRPr="00A47864">
        <w:rPr>
          <w:rFonts w:ascii="Verdana" w:eastAsia="Arial" w:hAnsi="Verdana" w:cs="Arial"/>
          <w:spacing w:val="-10"/>
          <w:lang w:val="es-ES"/>
        </w:rPr>
        <w:t xml:space="preserve"> </w:t>
      </w:r>
      <w:r w:rsidRPr="00A47864">
        <w:rPr>
          <w:rFonts w:ascii="Verdana" w:eastAsia="Arial" w:hAnsi="Verdana" w:cs="Arial"/>
          <w:lang w:val="es-ES"/>
        </w:rPr>
        <w:t>actividad</w:t>
      </w:r>
      <w:r w:rsidRPr="00A47864">
        <w:rPr>
          <w:rFonts w:ascii="Verdana" w:eastAsia="Arial" w:hAnsi="Verdana" w:cs="Arial"/>
          <w:spacing w:val="-59"/>
          <w:lang w:val="es-ES"/>
        </w:rPr>
        <w:t xml:space="preserve"> </w:t>
      </w:r>
      <w:r w:rsidRPr="00A47864">
        <w:rPr>
          <w:rFonts w:ascii="Verdana" w:eastAsia="Arial" w:hAnsi="Verdana" w:cs="Arial"/>
          <w:lang w:val="es-ES"/>
        </w:rPr>
        <w:t>contractual. Este acto administrativo, dictado en ejercicio de las facultades conferidas</w:t>
      </w:r>
      <w:r w:rsidRPr="00A47864">
        <w:rPr>
          <w:rFonts w:ascii="Verdana" w:eastAsia="Arial" w:hAnsi="Verdana" w:cs="Arial"/>
          <w:spacing w:val="1"/>
          <w:lang w:val="es-ES"/>
        </w:rPr>
        <w:t xml:space="preserve"> </w:t>
      </w:r>
      <w:r w:rsidRPr="00A47864">
        <w:rPr>
          <w:rFonts w:ascii="Verdana" w:eastAsia="Arial" w:hAnsi="Verdana" w:cs="Arial"/>
          <w:lang w:val="es-ES"/>
        </w:rPr>
        <w:t>por el artículo 76 de la Ley 1438 de 2011</w:t>
      </w:r>
      <w:r w:rsidRPr="00A47864">
        <w:rPr>
          <w:rFonts w:ascii="Verdana" w:eastAsia="Arial" w:hAnsi="Verdana" w:cs="Arial"/>
          <w:vertAlign w:val="superscript"/>
          <w:lang w:val="es-ES"/>
        </w:rPr>
        <w:footnoteReference w:id="23"/>
      </w:r>
      <w:r w:rsidRPr="00A47864">
        <w:rPr>
          <w:rFonts w:ascii="Verdana" w:eastAsia="Arial" w:hAnsi="Verdana" w:cs="Arial"/>
          <w:lang w:val="es-ES"/>
        </w:rPr>
        <w:t xml:space="preserve">, contiene </w:t>
      </w:r>
      <w:r w:rsidRPr="00A47864">
        <w:rPr>
          <w:rFonts w:ascii="Verdana" w:eastAsia="Arial" w:hAnsi="Verdana" w:cs="Arial"/>
          <w:lang w:val="es-ES"/>
        </w:rPr>
        <w:lastRenderedPageBreak/>
        <w:t xml:space="preserve">varios criterios que </w:t>
      </w:r>
      <w:r>
        <w:rPr>
          <w:rFonts w:ascii="Verdana" w:eastAsia="Arial" w:hAnsi="Verdana" w:cs="Arial"/>
          <w:lang w:val="es-ES"/>
        </w:rPr>
        <w:t xml:space="preserve">deberán tenerse </w:t>
      </w:r>
      <w:r w:rsidRPr="00A47864">
        <w:rPr>
          <w:rFonts w:ascii="Verdana" w:eastAsia="Arial" w:hAnsi="Verdana" w:cs="Arial"/>
          <w:lang w:val="es-ES"/>
        </w:rPr>
        <w:t>cuenta</w:t>
      </w:r>
      <w:r>
        <w:rPr>
          <w:rFonts w:ascii="Verdana" w:eastAsia="Arial" w:hAnsi="Verdana" w:cs="Arial"/>
          <w:lang w:val="es-ES"/>
        </w:rPr>
        <w:t xml:space="preserve"> en el momento de adoptar</w:t>
      </w:r>
      <w:r w:rsidRPr="00A47864">
        <w:rPr>
          <w:rFonts w:ascii="Verdana" w:eastAsia="Arial" w:hAnsi="Verdana" w:cs="Arial"/>
          <w:spacing w:val="-1"/>
          <w:lang w:val="es-ES"/>
        </w:rPr>
        <w:t xml:space="preserve"> </w:t>
      </w:r>
      <w:r w:rsidRPr="00A47864">
        <w:rPr>
          <w:rFonts w:ascii="Verdana" w:eastAsia="Arial" w:hAnsi="Verdana" w:cs="Arial"/>
          <w:lang w:val="es-ES"/>
        </w:rPr>
        <w:t>los</w:t>
      </w:r>
      <w:r w:rsidRPr="00A47864">
        <w:rPr>
          <w:rFonts w:ascii="Verdana" w:eastAsia="Arial" w:hAnsi="Verdana" w:cs="Arial"/>
          <w:spacing w:val="-1"/>
          <w:lang w:val="es-ES"/>
        </w:rPr>
        <w:t xml:space="preserve"> </w:t>
      </w:r>
      <w:r w:rsidRPr="00A47864">
        <w:rPr>
          <w:rFonts w:ascii="Verdana" w:eastAsia="Arial" w:hAnsi="Verdana" w:cs="Arial"/>
          <w:lang w:val="es-ES"/>
        </w:rPr>
        <w:t>manuales</w:t>
      </w:r>
      <w:r w:rsidRPr="00A47864">
        <w:rPr>
          <w:rFonts w:ascii="Verdana" w:eastAsia="Arial" w:hAnsi="Verdana" w:cs="Arial"/>
          <w:spacing w:val="-1"/>
          <w:lang w:val="es-ES"/>
        </w:rPr>
        <w:t xml:space="preserve"> </w:t>
      </w:r>
      <w:r w:rsidRPr="00A47864">
        <w:rPr>
          <w:rFonts w:ascii="Verdana" w:eastAsia="Arial" w:hAnsi="Verdana" w:cs="Arial"/>
          <w:lang w:val="es-ES"/>
        </w:rPr>
        <w:t>de</w:t>
      </w:r>
      <w:r w:rsidRPr="00A47864">
        <w:rPr>
          <w:rFonts w:ascii="Verdana" w:eastAsia="Arial" w:hAnsi="Verdana" w:cs="Arial"/>
          <w:spacing w:val="-2"/>
          <w:lang w:val="es-ES"/>
        </w:rPr>
        <w:t xml:space="preserve"> </w:t>
      </w:r>
      <w:r w:rsidRPr="00A47864">
        <w:rPr>
          <w:rFonts w:ascii="Verdana" w:eastAsia="Arial" w:hAnsi="Verdana" w:cs="Arial"/>
          <w:lang w:val="es-ES"/>
        </w:rPr>
        <w:t>contratación.</w:t>
      </w:r>
      <w:r>
        <w:rPr>
          <w:rFonts w:ascii="Verdana" w:eastAsia="Arial" w:hAnsi="Verdana" w:cs="Arial"/>
          <w:lang w:val="es-ES"/>
        </w:rPr>
        <w:t xml:space="preserve"> En tal sentido, puede destacarse que, en la fase de planeación, las ESE deben contemplar: “[…] </w:t>
      </w:r>
      <w:r w:rsidRPr="004710AF">
        <w:rPr>
          <w:rFonts w:ascii="Verdana" w:eastAsia="Arial" w:hAnsi="Verdana" w:cs="Arial"/>
        </w:rPr>
        <w:t>La aplicación o no de las cláusulas excepcionales previstas en el Estatuto General de la Administración Pública</w:t>
      </w:r>
      <w:r>
        <w:rPr>
          <w:rFonts w:ascii="Verdana" w:eastAsia="Arial" w:hAnsi="Verdana" w:cs="Arial"/>
        </w:rPr>
        <w:t xml:space="preserve">” –artículo 9.17 de </w:t>
      </w:r>
      <w:r w:rsidRPr="00A23641">
        <w:rPr>
          <w:rFonts w:ascii="Verdana" w:eastAsia="Arial" w:hAnsi="Verdana" w:cs="Arial"/>
          <w:lang w:val="es-ES"/>
        </w:rPr>
        <w:t>la Resolución No. 5185 de 2013, modificada por la Resolución 1440 del 14 de agosto de 2024</w:t>
      </w:r>
      <w:r>
        <w:rPr>
          <w:rFonts w:ascii="Verdana" w:eastAsia="Arial" w:hAnsi="Verdana" w:cs="Arial"/>
        </w:rPr>
        <w:t xml:space="preserve">–; así como en la fase de ejecución se establece: “[…] </w:t>
      </w:r>
      <w:r w:rsidRPr="00492DC2">
        <w:rPr>
          <w:rFonts w:ascii="Verdana" w:eastAsia="Arial" w:hAnsi="Verdana" w:cs="Arial"/>
        </w:rPr>
        <w:t>La obligación de hacer efectivas las cláusulas excepcionales, en caso de haberlas pactado en los contratos, cuando haya lugar a ello, dentro del plazo del con</w:t>
      </w:r>
      <w:r>
        <w:rPr>
          <w:rFonts w:ascii="Verdana" w:eastAsia="Arial" w:hAnsi="Verdana" w:cs="Arial"/>
        </w:rPr>
        <w:t xml:space="preserve">trato” –artículo 12.4. de la Resolución No 5185 de 2013-. Ante este escenario, las ESE deben tener en cuenta en la estipulación de cláusulas excepcionales, así como en la aplicación de los contratos que suscribe.  </w:t>
      </w:r>
    </w:p>
    <w:p w14:paraId="0BA33D16" w14:textId="77777777" w:rsidR="00135720" w:rsidRPr="009428FB" w:rsidRDefault="00135720" w:rsidP="00135720">
      <w:pPr>
        <w:spacing w:line="276" w:lineRule="auto"/>
        <w:ind w:firstLine="708"/>
        <w:jc w:val="both"/>
        <w:rPr>
          <w:rFonts w:ascii="Verdana" w:eastAsia="Calibri" w:hAnsi="Verdana" w:cs="Arial"/>
          <w:color w:val="000000" w:themeColor="text1"/>
          <w:lang w:val="es-ES"/>
        </w:rPr>
      </w:pPr>
      <w:r w:rsidRPr="009428FB">
        <w:rPr>
          <w:rFonts w:ascii="Verdana" w:eastAsia="Calibri" w:hAnsi="Verdana" w:cs="Arial"/>
          <w:color w:val="000000" w:themeColor="text1"/>
          <w:lang w:val="es-ES"/>
        </w:rPr>
        <w:t xml:space="preserve">Esta también ha sido la interpretación del Ministerio de la Protección Social, que en Concepto No. </w:t>
      </w:r>
      <w:r w:rsidRPr="009428FB">
        <w:rPr>
          <w:rFonts w:ascii="Verdana" w:eastAsia="Calibri" w:hAnsi="Verdana" w:cs="Arial"/>
          <w:color w:val="000000" w:themeColor="text1"/>
        </w:rPr>
        <w:t>201942301304712</w:t>
      </w:r>
      <w:r w:rsidRPr="009428FB">
        <w:rPr>
          <w:rFonts w:ascii="Verdana" w:eastAsia="Calibri" w:hAnsi="Verdana" w:cs="Arial"/>
          <w:color w:val="000000" w:themeColor="text1"/>
          <w:lang w:val="es-ES"/>
        </w:rPr>
        <w:t xml:space="preserve"> de 2019, en reiteración de lo expuesto por la Sala de Consulta y Servicio Civil del Consejo de Estado</w:t>
      </w:r>
      <w:r w:rsidRPr="009428FB">
        <w:rPr>
          <w:rFonts w:ascii="Verdana" w:eastAsia="Calibri" w:hAnsi="Verdana" w:cs="Arial"/>
          <w:color w:val="000000" w:themeColor="text1"/>
          <w:vertAlign w:val="superscript"/>
          <w:lang w:val="es-ES"/>
        </w:rPr>
        <w:footnoteReference w:id="24"/>
      </w:r>
      <w:r w:rsidRPr="009428FB">
        <w:rPr>
          <w:rFonts w:ascii="Verdana" w:eastAsia="Calibri" w:hAnsi="Verdana" w:cs="Arial"/>
          <w:color w:val="000000" w:themeColor="text1"/>
          <w:lang w:val="es-ES"/>
        </w:rPr>
        <w:t xml:space="preserve">, expresó que “[…] </w:t>
      </w:r>
      <w:r w:rsidRPr="009428FB">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9428FB">
        <w:rPr>
          <w:rFonts w:ascii="Verdana" w:eastAsia="Calibri" w:hAnsi="Verdana" w:cs="Arial"/>
          <w:color w:val="000000" w:themeColor="text1"/>
          <w:vertAlign w:val="superscript"/>
          <w:lang w:val="es-ES"/>
        </w:rPr>
        <w:footnoteReference w:id="25"/>
      </w:r>
      <w:r w:rsidRPr="009428FB">
        <w:rPr>
          <w:rFonts w:ascii="Verdana" w:eastAsia="Calibri" w:hAnsi="Verdana" w:cs="Arial"/>
          <w:color w:val="000000" w:themeColor="text1"/>
          <w:lang w:val="es-ES"/>
        </w:rPr>
        <w:t>.</w:t>
      </w:r>
    </w:p>
    <w:p w14:paraId="106B2074" w14:textId="77777777" w:rsidR="00135720" w:rsidRDefault="00135720" w:rsidP="00135720">
      <w:pPr>
        <w:spacing w:before="120" w:after="120" w:line="276" w:lineRule="auto"/>
        <w:jc w:val="both"/>
        <w:rPr>
          <w:rFonts w:ascii="Verdana" w:hAnsi="Verdana" w:cs="Arial"/>
          <w:bCs/>
          <w:color w:val="000000" w:themeColor="text1"/>
          <w:lang w:val="es-ES"/>
        </w:rPr>
      </w:pPr>
    </w:p>
    <w:p w14:paraId="78C8C31A" w14:textId="77777777" w:rsidR="00135720" w:rsidRPr="00CC618F" w:rsidRDefault="00135720" w:rsidP="00135720">
      <w:pPr>
        <w:spacing w:before="120" w:after="120" w:line="276" w:lineRule="auto"/>
        <w:jc w:val="both"/>
        <w:rPr>
          <w:rFonts w:ascii="Verdana" w:hAnsi="Verdana" w:cs="Arial"/>
          <w:bCs/>
          <w:color w:val="000000" w:themeColor="text1"/>
          <w:lang w:val="es-ES"/>
        </w:rPr>
      </w:pPr>
      <w:proofErr w:type="spellStart"/>
      <w:r>
        <w:rPr>
          <w:rFonts w:ascii="Verdana" w:hAnsi="Verdana" w:cs="Arial"/>
          <w:bCs/>
          <w:color w:val="000000" w:themeColor="text1"/>
          <w:lang w:val="es-ES"/>
        </w:rPr>
        <w:t>iv</w:t>
      </w:r>
      <w:proofErr w:type="spellEnd"/>
      <w:r w:rsidRPr="00A4412E">
        <w:rPr>
          <w:rFonts w:ascii="Verdana" w:hAnsi="Verdana" w:cs="Arial"/>
          <w:bCs/>
          <w:color w:val="000000" w:themeColor="text1"/>
          <w:lang w:val="es-ES"/>
        </w:rPr>
        <w:t xml:space="preserve">. En torno a la posibilidad de declarar el incumplimiento contractual </w:t>
      </w:r>
      <w:r w:rsidRPr="00CC618F">
        <w:rPr>
          <w:rFonts w:ascii="Verdana" w:eastAsia="Calibri" w:hAnsi="Verdana" w:cs="Arial"/>
          <w:iCs/>
          <w:lang w:val="es-MX"/>
        </w:rPr>
        <w:t xml:space="preserve">procede </w:t>
      </w:r>
      <w:r w:rsidRPr="00A4412E">
        <w:rPr>
          <w:rFonts w:ascii="Verdana" w:eastAsia="Calibri" w:hAnsi="Verdana" w:cs="Arial"/>
          <w:iCs/>
          <w:lang w:val="es-MX"/>
        </w:rPr>
        <w:t xml:space="preserve">a </w:t>
      </w:r>
      <w:r w:rsidRPr="00CC618F">
        <w:rPr>
          <w:rFonts w:ascii="Verdana" w:eastAsia="Calibri" w:hAnsi="Verdana" w:cs="Arial"/>
          <w:iCs/>
          <w:lang w:val="es-MX"/>
        </w:rPr>
        <w:t>destacar</w:t>
      </w:r>
      <w:r w:rsidRPr="00A4412E">
        <w:rPr>
          <w:rFonts w:ascii="Verdana" w:eastAsia="Calibri" w:hAnsi="Verdana" w:cs="Arial"/>
          <w:iCs/>
          <w:lang w:val="es-MX"/>
        </w:rPr>
        <w:t>se</w:t>
      </w:r>
      <w:r w:rsidRPr="00CC618F">
        <w:rPr>
          <w:rFonts w:ascii="Verdana" w:eastAsia="Calibri" w:hAnsi="Verdana" w:cs="Arial"/>
          <w:iCs/>
          <w:lang w:val="es-MX"/>
        </w:rPr>
        <w:t xml:space="preserve"> la potestad excepcional de caducidad, pues es la sanción más severa que existe en la contratación estatal. Particularmente, se impone al contratista cuando incurre en un incumplimiento de sus obligaciones, que afecte de manera grave y directa la ejecución del contrato y evidencie que puede conducir a su paralización. Su propósito consiste en sancionar al contratista y, a su vez, </w:t>
      </w:r>
      <w:r w:rsidRPr="00CC618F">
        <w:rPr>
          <w:rFonts w:ascii="Verdana" w:eastAsia="Calibri" w:hAnsi="Verdana" w:cs="Arial"/>
          <w:iCs/>
          <w:lang w:val="es-MX"/>
        </w:rPr>
        <w:lastRenderedPageBreak/>
        <w:t>permitirle a la entidad continuar con la ejecución por otros medios, regulados en el artículo 18 de la Ley 80 de 1993</w:t>
      </w:r>
      <w:r w:rsidRPr="00CC618F">
        <w:rPr>
          <w:rFonts w:ascii="Verdana" w:eastAsia="Calibri" w:hAnsi="Verdana" w:cs="Arial"/>
          <w:iCs/>
          <w:vertAlign w:val="superscript"/>
          <w:lang w:val="es-MX"/>
        </w:rPr>
        <w:footnoteReference w:id="26"/>
      </w:r>
      <w:r w:rsidRPr="00CC618F">
        <w:rPr>
          <w:rFonts w:ascii="Verdana" w:eastAsia="Calibri" w:hAnsi="Verdana" w:cs="Arial"/>
          <w:iCs/>
          <w:lang w:val="es-MX"/>
        </w:rPr>
        <w:t xml:space="preserve">. </w:t>
      </w:r>
    </w:p>
    <w:p w14:paraId="48F1A8CB" w14:textId="77777777" w:rsidR="00135720" w:rsidRPr="00CC618F" w:rsidRDefault="00135720" w:rsidP="00135720">
      <w:pPr>
        <w:spacing w:after="120" w:line="276" w:lineRule="auto"/>
        <w:ind w:firstLine="709"/>
        <w:jc w:val="both"/>
        <w:rPr>
          <w:rFonts w:ascii="Verdana" w:eastAsia="Calibri" w:hAnsi="Verdana" w:cs="Arial"/>
          <w:iCs/>
          <w:lang w:val="es-MX"/>
        </w:rPr>
      </w:pPr>
      <w:r w:rsidRPr="00CC618F">
        <w:rPr>
          <w:rFonts w:ascii="Verdana" w:eastAsia="Calibri" w:hAnsi="Verdana" w:cs="Arial"/>
          <w:iCs/>
          <w:lang w:val="es-MX"/>
        </w:rPr>
        <w:t xml:space="preserve">Las consecuencias jurídicas que se generan con la caducidad son: i) terminación del contrato, </w:t>
      </w:r>
      <w:proofErr w:type="spellStart"/>
      <w:r w:rsidRPr="00CC618F">
        <w:rPr>
          <w:rFonts w:ascii="Verdana" w:eastAsia="Calibri" w:hAnsi="Verdana" w:cs="Arial"/>
          <w:iCs/>
          <w:lang w:val="es-MX"/>
        </w:rPr>
        <w:t>ii</w:t>
      </w:r>
      <w:proofErr w:type="spellEnd"/>
      <w:r w:rsidRPr="00CC618F">
        <w:rPr>
          <w:rFonts w:ascii="Verdana" w:eastAsia="Calibri" w:hAnsi="Verdana" w:cs="Arial"/>
          <w:iCs/>
          <w:lang w:val="es-MX"/>
        </w:rPr>
        <w:t xml:space="preserve">) iniciación del trámite de liquidación, </w:t>
      </w:r>
      <w:proofErr w:type="spellStart"/>
      <w:r w:rsidRPr="00CC618F">
        <w:rPr>
          <w:rFonts w:ascii="Verdana" w:eastAsia="Calibri" w:hAnsi="Verdana" w:cs="Arial"/>
          <w:iCs/>
          <w:lang w:val="es-MX"/>
        </w:rPr>
        <w:t>iii</w:t>
      </w:r>
      <w:proofErr w:type="spellEnd"/>
      <w:r w:rsidRPr="00CC618F">
        <w:rPr>
          <w:rFonts w:ascii="Verdana" w:eastAsia="Calibri" w:hAnsi="Verdana" w:cs="Arial"/>
          <w:iCs/>
          <w:lang w:val="es-MX"/>
        </w:rPr>
        <w:t xml:space="preserve">) inhabilidad sobreviniente por cinco años, </w:t>
      </w:r>
      <w:proofErr w:type="spellStart"/>
      <w:r w:rsidRPr="00CC618F">
        <w:rPr>
          <w:rFonts w:ascii="Verdana" w:eastAsia="Calibri" w:hAnsi="Verdana" w:cs="Arial"/>
          <w:iCs/>
          <w:lang w:val="es-MX"/>
        </w:rPr>
        <w:t>iv</w:t>
      </w:r>
      <w:proofErr w:type="spellEnd"/>
      <w:r w:rsidRPr="00CC618F">
        <w:rPr>
          <w:rFonts w:ascii="Verdana" w:eastAsia="Calibri" w:hAnsi="Verdana" w:cs="Arial"/>
          <w:iCs/>
          <w:lang w:val="es-MX"/>
        </w:rPr>
        <w:t>) efectividad de la garantía única de cumplimiento, y v) reporte al SECOP, Procuraduría General de la Nación y a la Cámara de Comercio donde el contratista esté inscrito con el propósito de incluir la anotación en el Registro Único de Proponentes.</w:t>
      </w:r>
    </w:p>
    <w:p w14:paraId="79E54065" w14:textId="77777777" w:rsidR="00135720" w:rsidRPr="00CC618F" w:rsidRDefault="00135720" w:rsidP="00135720">
      <w:pPr>
        <w:tabs>
          <w:tab w:val="left" w:pos="426"/>
        </w:tabs>
        <w:spacing w:before="120" w:after="120" w:line="276" w:lineRule="auto"/>
        <w:jc w:val="both"/>
        <w:rPr>
          <w:rFonts w:ascii="Verdana" w:eastAsia="Calibri" w:hAnsi="Verdana" w:cs="Arial"/>
          <w:lang w:val="es-MX"/>
        </w:rPr>
      </w:pPr>
      <w:r w:rsidRPr="00CC618F">
        <w:rPr>
          <w:rFonts w:ascii="Verdana" w:eastAsia="Calibri" w:hAnsi="Verdana" w:cs="Arial"/>
          <w:iCs/>
          <w:lang w:val="es-MX"/>
        </w:rPr>
        <w:tab/>
      </w:r>
      <w:r w:rsidRPr="00CC618F">
        <w:rPr>
          <w:rFonts w:ascii="Verdana" w:eastAsia="Calibri" w:hAnsi="Verdana" w:cs="Arial"/>
          <w:iCs/>
          <w:lang w:val="es-MX"/>
        </w:rPr>
        <w:tab/>
        <w:t>Ahora bien, existen otras cláusulas excepcionales del derecho común que no son ejercicio de la potestad s</w:t>
      </w:r>
      <w:r>
        <w:rPr>
          <w:rFonts w:ascii="Verdana" w:eastAsia="Calibri" w:hAnsi="Verdana" w:cs="Arial"/>
          <w:iCs/>
          <w:lang w:val="es-MX"/>
        </w:rPr>
        <w:t>ancionatoria del Estado, como son</w:t>
      </w:r>
      <w:r w:rsidRPr="00CC618F">
        <w:rPr>
          <w:rFonts w:ascii="Verdana" w:eastAsia="Calibri" w:hAnsi="Verdana" w:cs="Arial"/>
          <w:iCs/>
          <w:lang w:val="es-MX"/>
        </w:rPr>
        <w:t xml:space="preserve"> la interpretación unilateral, terminación unilateral y modificación unilateral. Al respecto, se destaca que l</w:t>
      </w:r>
      <w:r w:rsidRPr="00CC618F">
        <w:rPr>
          <w:rFonts w:ascii="Verdana" w:eastAsia="Calibri" w:hAnsi="Verdana" w:cs="Arial"/>
          <w:lang w:val="es-MX"/>
        </w:rPr>
        <w:t xml:space="preserve">a cláusula excepcional de interpretación unilateral está consagrada en el artículo 15 de la Ley 80 de 1993. Esta procede si durante </w:t>
      </w:r>
      <w:r w:rsidRPr="00CC618F">
        <w:rPr>
          <w:rFonts w:ascii="Verdana" w:eastAsia="Calibri" w:hAnsi="Verdana" w:cs="Arial"/>
        </w:rPr>
        <w:t xml:space="preserve">la ejecución del </w:t>
      </w:r>
      <w:r w:rsidRPr="00CC618F">
        <w:rPr>
          <w:rFonts w:ascii="Verdana" w:eastAsia="Calibri" w:hAnsi="Verdana" w:cs="Arial"/>
          <w:lang w:val="es-MX"/>
        </w:rPr>
        <w:t xml:space="preserve">contrato surgen </w:t>
      </w:r>
      <w:r w:rsidRPr="00CC618F">
        <w:rPr>
          <w:rFonts w:ascii="Verdana" w:eastAsia="Calibri" w:hAnsi="Verdana" w:cs="Arial"/>
          <w:i/>
          <w:lang w:val="es-MX"/>
        </w:rPr>
        <w:t xml:space="preserve">discrepancias </w:t>
      </w:r>
      <w:r w:rsidRPr="00CC618F">
        <w:rPr>
          <w:rFonts w:ascii="Verdana" w:eastAsia="Calibri" w:hAnsi="Verdana" w:cs="Arial"/>
          <w:lang w:val="es-MX"/>
        </w:rPr>
        <w:t xml:space="preserve">entre la entidad estatal y el contratista sobre la interpretación de algunas de sus estipulaciones, </w:t>
      </w:r>
      <w:r w:rsidRPr="00CC618F">
        <w:rPr>
          <w:rFonts w:ascii="Verdana" w:eastAsia="Calibri" w:hAnsi="Verdana" w:cs="Arial"/>
          <w:i/>
          <w:lang w:val="es-MX"/>
        </w:rPr>
        <w:t>que puedan conducir a la paralización o a la afectación grave del servicio público</w:t>
      </w:r>
      <w:r w:rsidRPr="00CC618F">
        <w:rPr>
          <w:rFonts w:ascii="Verdana" w:eastAsia="Calibri" w:hAnsi="Verdana" w:cs="Arial"/>
          <w:lang w:val="es-MX"/>
        </w:rPr>
        <w:t xml:space="preserve"> que se pretende satisfacer con el objeto contratado. En ese caso, si no se logra acuerdo con el contratista, la entidad estatal realizará la interpretación unilateral de las estipulaciones o cláusulas objeto de la diferencia, mediante acto administrativo debidamente motivado.</w:t>
      </w:r>
    </w:p>
    <w:p w14:paraId="6AE45BEC" w14:textId="77777777" w:rsidR="00135720" w:rsidRPr="00CC618F" w:rsidRDefault="00135720" w:rsidP="00135720">
      <w:pPr>
        <w:tabs>
          <w:tab w:val="left" w:pos="426"/>
        </w:tabs>
        <w:spacing w:before="120" w:after="120" w:line="276" w:lineRule="auto"/>
        <w:jc w:val="both"/>
        <w:rPr>
          <w:rFonts w:ascii="Verdana" w:eastAsia="Calibri" w:hAnsi="Verdana" w:cs="Arial"/>
          <w:lang w:val="es-MX"/>
        </w:rPr>
      </w:pPr>
      <w:r w:rsidRPr="00CC618F">
        <w:rPr>
          <w:rFonts w:ascii="Verdana" w:eastAsia="Calibri" w:hAnsi="Verdana" w:cs="Arial"/>
          <w:lang w:val="es-MX"/>
        </w:rPr>
        <w:tab/>
      </w:r>
      <w:r w:rsidRPr="00CC618F">
        <w:rPr>
          <w:rFonts w:ascii="Verdana" w:eastAsia="Calibri" w:hAnsi="Verdana" w:cs="Arial"/>
          <w:lang w:val="es-MX"/>
        </w:rPr>
        <w:tab/>
        <w:t>Por su parte, l</w:t>
      </w:r>
      <w:r w:rsidRPr="00CC618F">
        <w:rPr>
          <w:rFonts w:ascii="Verdana" w:eastAsia="Calibri" w:hAnsi="Verdana" w:cs="Arial"/>
        </w:rPr>
        <w:t xml:space="preserve">a </w:t>
      </w:r>
      <w:r w:rsidRPr="00CC618F">
        <w:rPr>
          <w:rFonts w:ascii="Verdana" w:eastAsia="Calibri" w:hAnsi="Verdana" w:cs="Arial"/>
          <w:lang w:val="es-MX"/>
        </w:rPr>
        <w:t xml:space="preserve">cláusula excepcional de </w:t>
      </w:r>
      <w:r w:rsidRPr="00CC618F">
        <w:rPr>
          <w:rFonts w:ascii="Verdana" w:eastAsia="Calibri" w:hAnsi="Verdana" w:cs="Arial"/>
        </w:rPr>
        <w:t xml:space="preserve">modificación unilateral está </w:t>
      </w:r>
      <w:r>
        <w:rPr>
          <w:rFonts w:ascii="Verdana" w:eastAsia="Calibri" w:hAnsi="Verdana" w:cs="Arial"/>
        </w:rPr>
        <w:t>prescrita en el artículo 16, y “</w:t>
      </w:r>
      <w:r w:rsidRPr="00CC618F">
        <w:rPr>
          <w:rFonts w:ascii="Verdana" w:eastAsia="Calibri" w:hAnsi="Verdana" w:cs="Arial"/>
        </w:rPr>
        <w:t xml:space="preserve">procede si durante la ejecución del contrato y </w:t>
      </w:r>
      <w:r w:rsidRPr="00CC618F">
        <w:rPr>
          <w:rFonts w:ascii="Verdana" w:eastAsia="Calibri" w:hAnsi="Verdana" w:cs="Arial"/>
          <w:i/>
        </w:rPr>
        <w:t>para evitar la paralización o la afectación grave del servicio público</w:t>
      </w:r>
      <w:r w:rsidRPr="00CC618F">
        <w:rPr>
          <w:rFonts w:ascii="Verdana" w:eastAsia="Calibri" w:hAnsi="Verdana" w:cs="Arial"/>
          <w:b/>
        </w:rPr>
        <w:t xml:space="preserve"> </w:t>
      </w:r>
      <w:r w:rsidRPr="00CC618F">
        <w:rPr>
          <w:rFonts w:ascii="Verdana" w:eastAsia="Calibri" w:hAnsi="Verdana" w:cs="Arial"/>
        </w:rPr>
        <w:t xml:space="preserve">que se deba satisfacer con él, fuere necesario </w:t>
      </w:r>
      <w:r w:rsidRPr="00CC618F">
        <w:rPr>
          <w:rFonts w:ascii="Verdana" w:eastAsia="Calibri" w:hAnsi="Verdana" w:cs="Arial"/>
          <w:i/>
        </w:rPr>
        <w:t>introducir variaciones</w:t>
      </w:r>
      <w:r w:rsidRPr="00CC618F">
        <w:rPr>
          <w:rFonts w:ascii="Verdana" w:eastAsia="Calibri" w:hAnsi="Verdana" w:cs="Arial"/>
        </w:rPr>
        <w:t xml:space="preserve"> en el contrato y previamente las partes no llegan al acuerdo respectivo, la entidad en acto administrativo debidamente motivado, lo modificará mediante la supresión o adición de obras, tr</w:t>
      </w:r>
      <w:r>
        <w:rPr>
          <w:rFonts w:ascii="Verdana" w:eastAsia="Calibri" w:hAnsi="Verdana" w:cs="Arial"/>
        </w:rPr>
        <w:t>abajos, suministros o servicios”</w:t>
      </w:r>
      <w:r w:rsidRPr="00CC618F">
        <w:rPr>
          <w:rFonts w:ascii="Verdana" w:eastAsia="Calibri" w:hAnsi="Verdana" w:cs="Arial"/>
          <w:vertAlign w:val="superscript"/>
        </w:rPr>
        <w:footnoteReference w:id="27"/>
      </w:r>
      <w:r w:rsidRPr="00CC618F">
        <w:rPr>
          <w:rFonts w:ascii="Verdana" w:eastAsia="Calibri" w:hAnsi="Verdana" w:cs="Arial"/>
        </w:rPr>
        <w:t xml:space="preserve">. </w:t>
      </w:r>
    </w:p>
    <w:p w14:paraId="55A7690A" w14:textId="77777777" w:rsidR="00135720" w:rsidRPr="00CC618F" w:rsidRDefault="00135720" w:rsidP="00135720">
      <w:pPr>
        <w:tabs>
          <w:tab w:val="left" w:pos="426"/>
        </w:tabs>
        <w:spacing w:before="120" w:after="120" w:line="276" w:lineRule="auto"/>
        <w:jc w:val="both"/>
        <w:rPr>
          <w:rFonts w:ascii="Verdana" w:eastAsia="Calibri" w:hAnsi="Verdana" w:cs="Arial"/>
        </w:rPr>
      </w:pPr>
      <w:r w:rsidRPr="00CC618F">
        <w:rPr>
          <w:rFonts w:ascii="Verdana" w:eastAsia="Calibri" w:hAnsi="Verdana" w:cs="Arial"/>
          <w:lang w:val="es-MX"/>
        </w:rPr>
        <w:lastRenderedPageBreak/>
        <w:tab/>
      </w:r>
      <w:r w:rsidRPr="00CC618F">
        <w:rPr>
          <w:rFonts w:ascii="Verdana" w:eastAsia="Calibri" w:hAnsi="Verdana" w:cs="Arial"/>
          <w:lang w:val="es-MX"/>
        </w:rPr>
        <w:tab/>
      </w:r>
      <w:r w:rsidRPr="00CC618F">
        <w:rPr>
          <w:rFonts w:ascii="Verdana" w:eastAsia="Calibri" w:hAnsi="Verdana" w:cs="Arial"/>
        </w:rPr>
        <w:t xml:space="preserve">La </w:t>
      </w:r>
      <w:r w:rsidRPr="00CC618F">
        <w:rPr>
          <w:rFonts w:ascii="Verdana" w:eastAsia="Calibri" w:hAnsi="Verdana" w:cs="Arial"/>
          <w:lang w:val="es-MX"/>
        </w:rPr>
        <w:t xml:space="preserve">cláusula excepcional de </w:t>
      </w:r>
      <w:r w:rsidRPr="00CC618F">
        <w:rPr>
          <w:rFonts w:ascii="Verdana" w:eastAsia="Calibri" w:hAnsi="Verdana" w:cs="Arial"/>
        </w:rPr>
        <w:t xml:space="preserve">terminación unilateral se regula en el artículo 17 y procede frente a los eventos expresamente allí señalados, estos son: i) cuando las exigencias del servicio público lo requieran o la situación de orden público lo imponga; </w:t>
      </w:r>
      <w:proofErr w:type="spellStart"/>
      <w:r w:rsidRPr="00CC618F">
        <w:rPr>
          <w:rFonts w:ascii="Verdana" w:eastAsia="Calibri" w:hAnsi="Verdana" w:cs="Arial"/>
        </w:rPr>
        <w:t>ii</w:t>
      </w:r>
      <w:proofErr w:type="spellEnd"/>
      <w:r w:rsidRPr="00CC618F">
        <w:rPr>
          <w:rFonts w:ascii="Verdana" w:eastAsia="Calibri" w:hAnsi="Verdana" w:cs="Arial"/>
        </w:rPr>
        <w:t xml:space="preserve">) por muerte o incapacidad física permanente del contratista, si es persona natural, o por disolución de la persona jurídica del contratista; </w:t>
      </w:r>
      <w:proofErr w:type="spellStart"/>
      <w:r w:rsidRPr="00CC618F">
        <w:rPr>
          <w:rFonts w:ascii="Verdana" w:eastAsia="Calibri" w:hAnsi="Verdana" w:cs="Arial"/>
        </w:rPr>
        <w:t>iii</w:t>
      </w:r>
      <w:proofErr w:type="spellEnd"/>
      <w:r w:rsidRPr="00CC618F">
        <w:rPr>
          <w:rFonts w:ascii="Verdana" w:eastAsia="Calibri" w:hAnsi="Verdana" w:cs="Arial"/>
        </w:rPr>
        <w:t xml:space="preserve">) por interdicción judicial o declaración de quiebra del contratista; </w:t>
      </w:r>
      <w:proofErr w:type="spellStart"/>
      <w:r w:rsidRPr="00CC618F">
        <w:rPr>
          <w:rFonts w:ascii="Verdana" w:eastAsia="Calibri" w:hAnsi="Verdana" w:cs="Arial"/>
        </w:rPr>
        <w:t>iv</w:t>
      </w:r>
      <w:proofErr w:type="spellEnd"/>
      <w:r w:rsidRPr="00CC618F">
        <w:rPr>
          <w:rFonts w:ascii="Verdana" w:eastAsia="Calibri" w:hAnsi="Verdana" w:cs="Arial"/>
        </w:rPr>
        <w:t>) por cesación de pagos, concurso de acreedores o embargos judiciales del contratista que afecten de manera grave el cumplimiento del contrato.</w:t>
      </w:r>
    </w:p>
    <w:p w14:paraId="12758BAA" w14:textId="77777777" w:rsidR="00135720" w:rsidRPr="00CC618F" w:rsidRDefault="00135720" w:rsidP="00135720">
      <w:pPr>
        <w:tabs>
          <w:tab w:val="left" w:pos="426"/>
        </w:tabs>
        <w:spacing w:before="120" w:after="120" w:line="276" w:lineRule="auto"/>
        <w:jc w:val="both"/>
        <w:rPr>
          <w:rFonts w:ascii="Verdana" w:eastAsia="Calibri" w:hAnsi="Verdana" w:cs="Arial"/>
          <w:lang w:val="es-MX"/>
        </w:rPr>
      </w:pPr>
      <w:r w:rsidRPr="00CC618F">
        <w:rPr>
          <w:rFonts w:ascii="Verdana" w:eastAsia="Calibri" w:hAnsi="Verdana" w:cs="Arial"/>
          <w:lang w:val="es-MX"/>
        </w:rPr>
        <w:tab/>
      </w:r>
      <w:r w:rsidRPr="00CC618F">
        <w:rPr>
          <w:rFonts w:ascii="Verdana" w:eastAsia="Calibri" w:hAnsi="Verdana" w:cs="Arial"/>
          <w:lang w:val="es-MX"/>
        </w:rPr>
        <w:tab/>
        <w:t>Las cláusulas excepcionales de interpretación, modificación y terminación unilaterales no parten del supuesto de incumplimiento del contratista. La aplicación de estas cláusulas se deriva de varias razones: posibles discrepancias que puedan surgir entre las partes en la interpretación de las cláusulas y documentos del contrato; la necesidad de suprimir o adicionar obras, trabajos, suministros o servicios; o por circunstancias como la disolución de la persona jurídica, una situación de orden público, entre otras causas.  En todos estos eventos, el contratista no ha incurrido en incumplimiento de sus obligaciones, sino que la entidad estatal, para evitar la paralización o la afectación grave de los servicios, tiene el deber de proceder con su interpretación, modificación o terminación de manera unilateral.</w:t>
      </w:r>
    </w:p>
    <w:p w14:paraId="427BA2DE" w14:textId="77777777" w:rsidR="00135720" w:rsidRDefault="00135720" w:rsidP="00135720">
      <w:pPr>
        <w:spacing w:after="120" w:line="276" w:lineRule="auto"/>
        <w:ind w:firstLine="709"/>
        <w:jc w:val="both"/>
        <w:rPr>
          <w:rFonts w:ascii="Verdana" w:eastAsia="Calibri" w:hAnsi="Verdana" w:cs="Arial"/>
          <w:lang w:val="es-MX"/>
        </w:rPr>
      </w:pPr>
      <w:r w:rsidRPr="00CC618F">
        <w:rPr>
          <w:rFonts w:ascii="Verdana" w:eastAsia="Calibri" w:hAnsi="Verdana" w:cs="Arial"/>
        </w:rPr>
        <w:t xml:space="preserve">En consecuencia, las </w:t>
      </w:r>
      <w:r w:rsidRPr="00CC618F">
        <w:rPr>
          <w:rFonts w:ascii="Verdana" w:eastAsia="Calibri" w:hAnsi="Verdana" w:cs="Arial"/>
          <w:lang w:val="es-MX"/>
        </w:rPr>
        <w:t xml:space="preserve">cláusulas excepcionales de interpretación, modificación y terminación unilaterales no se encuentran dentro del régimen sancionatorio en materia de contratación estatal. Esto, por cuanto su aplicación no obedece a circunstancias de incumplimiento del contrato, como sí ocurre con la caducidad, de manera que aquellas son el resultado del deber de dirección, control y vigilancia del contrato estatal, con miras a evitar la paralización o la afectación grave de los servicios por parte de las entidades sometidas al Estatuto General de Contratación de la Administración Pública. </w:t>
      </w:r>
    </w:p>
    <w:p w14:paraId="2B795FA7" w14:textId="45755458" w:rsidR="00135720" w:rsidRDefault="00135720" w:rsidP="00135720">
      <w:pPr>
        <w:spacing w:after="0" w:line="276" w:lineRule="auto"/>
        <w:ind w:firstLine="708"/>
        <w:jc w:val="both"/>
        <w:rPr>
          <w:rFonts w:ascii="Verdana" w:eastAsia="Calibri" w:hAnsi="Verdana" w:cs="Arial"/>
          <w:iCs/>
        </w:rPr>
      </w:pPr>
      <w:r>
        <w:rPr>
          <w:rFonts w:ascii="Verdana" w:eastAsia="Calibri" w:hAnsi="Verdana" w:cs="Arial"/>
          <w:lang w:val="es-MX"/>
        </w:rPr>
        <w:t xml:space="preserve">De igual modo, se destaca como cláusulas excepcionales la imposición unilateral de multas y cláusula penal reguladas en el artículo 17 de la Ley 1150 de 2007, en las que la entidad declara el incumplimiento parcial o total de las obligaciones estipuladas en el contrato. Al respecto, la doctrina expresa: </w:t>
      </w:r>
    </w:p>
    <w:p w14:paraId="41317E00" w14:textId="77777777" w:rsidR="00135720" w:rsidRPr="00135720" w:rsidRDefault="00135720" w:rsidP="00135720">
      <w:pPr>
        <w:spacing w:after="0" w:line="276" w:lineRule="auto"/>
        <w:ind w:firstLine="708"/>
        <w:jc w:val="both"/>
        <w:rPr>
          <w:rFonts w:ascii="Verdana" w:eastAsia="Calibri" w:hAnsi="Verdana" w:cs="Arial"/>
          <w:iCs/>
        </w:rPr>
      </w:pPr>
    </w:p>
    <w:p w14:paraId="6A574F6D" w14:textId="77777777" w:rsidR="00135720" w:rsidRPr="00822BC7" w:rsidRDefault="00135720" w:rsidP="00135720">
      <w:pPr>
        <w:spacing w:before="120" w:after="120" w:line="240" w:lineRule="auto"/>
        <w:ind w:left="709" w:right="709"/>
        <w:jc w:val="both"/>
        <w:rPr>
          <w:rFonts w:ascii="Verdana" w:hAnsi="Verdana" w:cs="Arial"/>
          <w:bCs/>
          <w:color w:val="000000" w:themeColor="text1"/>
          <w:sz w:val="21"/>
          <w:szCs w:val="21"/>
        </w:rPr>
      </w:pPr>
      <w:r w:rsidRPr="00822BC7">
        <w:rPr>
          <w:rFonts w:ascii="Verdana" w:hAnsi="Verdana" w:cs="Arial"/>
          <w:bCs/>
          <w:color w:val="000000" w:themeColor="text1"/>
          <w:sz w:val="21"/>
          <w:szCs w:val="21"/>
        </w:rPr>
        <w:t xml:space="preserve">El hecho de que la Administración pueda imponer las multas y declarar el incumplimiento aun cuando se requiera de una audiencia previa, de manera unilateral y sin recurrir al juez del contrato, todo con el fin de </w:t>
      </w:r>
      <w:r w:rsidRPr="00822BC7">
        <w:rPr>
          <w:rFonts w:ascii="Verdana" w:hAnsi="Verdana" w:cs="Arial"/>
          <w:bCs/>
          <w:color w:val="000000" w:themeColor="text1"/>
          <w:sz w:val="21"/>
          <w:szCs w:val="21"/>
        </w:rPr>
        <w:lastRenderedPageBreak/>
        <w:t xml:space="preserve">dirigir y controlar los contratos que celebra, hace pensar que las multas y de la declaratoria de incumplimiento , son una cláusula exorbitante aun cuando se encuentra condicionada, pues cumple con los requisitos de fondo de la naturaleza de este tipo de cláusulas: i) otorgan un poder, un privilegio a favor de la Entidad pública, </w:t>
      </w:r>
      <w:proofErr w:type="spellStart"/>
      <w:r w:rsidRPr="00822BC7">
        <w:rPr>
          <w:rFonts w:ascii="Verdana" w:hAnsi="Verdana" w:cs="Arial"/>
          <w:bCs/>
          <w:color w:val="000000" w:themeColor="text1"/>
          <w:sz w:val="21"/>
          <w:szCs w:val="21"/>
        </w:rPr>
        <w:t>ii</w:t>
      </w:r>
      <w:proofErr w:type="spellEnd"/>
      <w:r w:rsidRPr="00822BC7">
        <w:rPr>
          <w:rFonts w:ascii="Verdana" w:hAnsi="Verdana" w:cs="Arial"/>
          <w:bCs/>
          <w:color w:val="000000" w:themeColor="text1"/>
          <w:sz w:val="21"/>
          <w:szCs w:val="21"/>
        </w:rPr>
        <w:t xml:space="preserve">) que la dejan en una situación de superioridad sobre el contratista, </w:t>
      </w:r>
      <w:proofErr w:type="spellStart"/>
      <w:r w:rsidRPr="00822BC7">
        <w:rPr>
          <w:rFonts w:ascii="Verdana" w:hAnsi="Verdana" w:cs="Arial"/>
          <w:bCs/>
          <w:color w:val="000000" w:themeColor="text1"/>
          <w:sz w:val="21"/>
          <w:szCs w:val="21"/>
        </w:rPr>
        <w:t>iii</w:t>
      </w:r>
      <w:proofErr w:type="spellEnd"/>
      <w:r w:rsidRPr="00822BC7">
        <w:rPr>
          <w:rFonts w:ascii="Verdana" w:hAnsi="Verdana" w:cs="Arial"/>
          <w:bCs/>
          <w:color w:val="000000" w:themeColor="text1"/>
          <w:sz w:val="21"/>
          <w:szCs w:val="21"/>
        </w:rPr>
        <w:t xml:space="preserve">) se pueden imponer unilateralmente mediante acto administrativo; </w:t>
      </w:r>
      <w:proofErr w:type="spellStart"/>
      <w:r w:rsidRPr="00822BC7">
        <w:rPr>
          <w:rFonts w:ascii="Verdana" w:hAnsi="Verdana" w:cs="Arial"/>
          <w:bCs/>
          <w:color w:val="000000" w:themeColor="text1"/>
          <w:sz w:val="21"/>
          <w:szCs w:val="21"/>
        </w:rPr>
        <w:t>iv</w:t>
      </w:r>
      <w:proofErr w:type="spellEnd"/>
      <w:r w:rsidRPr="00822BC7">
        <w:rPr>
          <w:rFonts w:ascii="Verdana" w:hAnsi="Verdana" w:cs="Arial"/>
          <w:bCs/>
          <w:color w:val="000000" w:themeColor="text1"/>
          <w:sz w:val="21"/>
          <w:szCs w:val="21"/>
        </w:rPr>
        <w:t xml:space="preserve">) gozan del privilegio de la presunción de validez , v) gozan del privilegio de ejecutividad y ejecutoriedad , vi) pueden ser cobradas por vía de jurisdicción coactiva, </w:t>
      </w:r>
      <w:proofErr w:type="spellStart"/>
      <w:r w:rsidRPr="00822BC7">
        <w:rPr>
          <w:rFonts w:ascii="Verdana" w:hAnsi="Verdana" w:cs="Arial"/>
          <w:bCs/>
          <w:color w:val="000000" w:themeColor="text1"/>
          <w:sz w:val="21"/>
          <w:szCs w:val="21"/>
        </w:rPr>
        <w:t>vii</w:t>
      </w:r>
      <w:proofErr w:type="spellEnd"/>
      <w:r w:rsidRPr="00822BC7">
        <w:rPr>
          <w:rFonts w:ascii="Verdana" w:hAnsi="Verdana" w:cs="Arial"/>
          <w:bCs/>
          <w:color w:val="000000" w:themeColor="text1"/>
          <w:sz w:val="21"/>
          <w:szCs w:val="21"/>
        </w:rPr>
        <w:t>) provienen de mandato legal, no de convención entre las partes</w:t>
      </w:r>
      <w:r>
        <w:rPr>
          <w:rStyle w:val="Refdenotaalpie"/>
          <w:rFonts w:ascii="Verdana" w:hAnsi="Verdana" w:cs="Arial"/>
          <w:bCs/>
          <w:color w:val="000000" w:themeColor="text1"/>
          <w:sz w:val="21"/>
          <w:szCs w:val="21"/>
        </w:rPr>
        <w:footnoteReference w:id="28"/>
      </w:r>
      <w:r w:rsidRPr="00822BC7">
        <w:rPr>
          <w:rFonts w:ascii="Verdana" w:hAnsi="Verdana" w:cs="Arial"/>
          <w:bCs/>
          <w:color w:val="000000" w:themeColor="text1"/>
          <w:sz w:val="21"/>
          <w:szCs w:val="21"/>
        </w:rPr>
        <w:t xml:space="preserve">. </w:t>
      </w:r>
    </w:p>
    <w:p w14:paraId="328EE68F" w14:textId="77777777" w:rsidR="00135720" w:rsidRDefault="00135720" w:rsidP="00135720">
      <w:pPr>
        <w:spacing w:before="120" w:after="120" w:line="276" w:lineRule="auto"/>
        <w:jc w:val="both"/>
        <w:rPr>
          <w:rFonts w:ascii="Verdana" w:hAnsi="Verdana" w:cs="Arial"/>
          <w:bCs/>
          <w:color w:val="000000" w:themeColor="text1"/>
        </w:rPr>
      </w:pPr>
    </w:p>
    <w:p w14:paraId="2F2FCD3F" w14:textId="77777777" w:rsidR="00135720" w:rsidRPr="007B07B6" w:rsidRDefault="00135720" w:rsidP="00135720">
      <w:pPr>
        <w:spacing w:before="120" w:after="0" w:line="276" w:lineRule="auto"/>
        <w:jc w:val="both"/>
        <w:rPr>
          <w:rFonts w:ascii="Verdana" w:hAnsi="Verdana" w:cs="Arial"/>
          <w:bCs/>
          <w:color w:val="000000" w:themeColor="text1"/>
        </w:rPr>
      </w:pPr>
      <w:r>
        <w:rPr>
          <w:rFonts w:ascii="Verdana" w:hAnsi="Verdana" w:cs="Arial"/>
          <w:bCs/>
          <w:color w:val="000000" w:themeColor="text1"/>
        </w:rPr>
        <w:tab/>
      </w:r>
      <w:r w:rsidRPr="007B07B6">
        <w:rPr>
          <w:rFonts w:ascii="Verdana" w:hAnsi="Verdana" w:cs="Arial"/>
          <w:bCs/>
          <w:color w:val="000000" w:themeColor="text1"/>
        </w:rPr>
        <w:t>Teniendo en cuentas estas precisiones, se hace necesario entender el incumplimiento del contrato. Para ello, se acude al Diccionario al Español Jurídico que la define así: “1. </w:t>
      </w:r>
      <w:r w:rsidRPr="007B07B6">
        <w:rPr>
          <w:rFonts w:ascii="Verdana" w:hAnsi="Verdana" w:cs="Arial"/>
          <w:bCs/>
          <w:i/>
          <w:iCs/>
          <w:color w:val="000000" w:themeColor="text1"/>
        </w:rPr>
        <w:t>Gral.</w:t>
      </w:r>
      <w:r w:rsidRPr="007B07B6">
        <w:rPr>
          <w:rFonts w:ascii="Verdana" w:hAnsi="Verdana" w:cs="Arial"/>
          <w:bCs/>
          <w:color w:val="000000" w:themeColor="text1"/>
        </w:rPr>
        <w:t> Vulneración de lo estipulado en un contrato por una o ambas partes. En derecho civil, el incumplimiento por una de las partes da lugar a la facultad de resolver el contrato por la otra sin perjuicio de las indemnizaciones a que pueda dar lugar”</w:t>
      </w:r>
      <w:r w:rsidRPr="007B07B6">
        <w:rPr>
          <w:rStyle w:val="Refdenotaalpie"/>
          <w:rFonts w:ascii="Verdana" w:hAnsi="Verdana" w:cs="Arial"/>
          <w:bCs/>
          <w:color w:val="000000" w:themeColor="text1"/>
        </w:rPr>
        <w:footnoteReference w:id="29"/>
      </w:r>
      <w:r w:rsidRPr="007B07B6">
        <w:rPr>
          <w:rFonts w:ascii="Verdana" w:hAnsi="Verdana" w:cs="Arial"/>
          <w:bCs/>
          <w:color w:val="000000" w:themeColor="text1"/>
        </w:rPr>
        <w:t>. El supuesto más evidente del incumplimiento contractual es la ausencia de la prestación. Al respecto, la doctrina expresa: “[…] cuando un contratista se obliga a prestar un servicio, dar un bien o construir una obra y, al momento de la exigibilidad de estas, no existe ejecución material de aquello que satisface las necesidades de la entidad. En este punto es necesario verificar que el incumplimiento no sea producto de una fuerza mayor o un caso fortuito, pues las obligaciones se extinguen por la imposibilidad de la prestación debida bajo este supuesto”</w:t>
      </w:r>
      <w:r w:rsidRPr="007B07B6">
        <w:rPr>
          <w:rStyle w:val="Refdenotaalpie"/>
          <w:rFonts w:ascii="Verdana" w:hAnsi="Verdana" w:cs="Arial"/>
          <w:bCs/>
          <w:color w:val="000000" w:themeColor="text1"/>
        </w:rPr>
        <w:footnoteReference w:id="30"/>
      </w:r>
      <w:r w:rsidRPr="007B07B6">
        <w:rPr>
          <w:rFonts w:ascii="Verdana" w:hAnsi="Verdana" w:cs="Arial"/>
          <w:bCs/>
          <w:color w:val="000000" w:themeColor="text1"/>
        </w:rPr>
        <w:t>. En este escenario, se está ante un incumplimiento absoluto, que es el resultado de la actuación culposa del deudor, sin una causa justificada, no está cumpliendo con los compromisos. De igual manera, la doctrina señala otro tipo de incumplimientos:</w:t>
      </w:r>
    </w:p>
    <w:p w14:paraId="57E1C6CC" w14:textId="77777777" w:rsidR="00135720" w:rsidRPr="007B07B6" w:rsidRDefault="00135720" w:rsidP="00135720">
      <w:pPr>
        <w:spacing w:before="120" w:after="0" w:line="276" w:lineRule="auto"/>
        <w:jc w:val="both"/>
        <w:rPr>
          <w:rFonts w:ascii="Verdana" w:hAnsi="Verdana" w:cs="Arial"/>
          <w:bCs/>
          <w:color w:val="000000" w:themeColor="text1"/>
        </w:rPr>
      </w:pPr>
      <w:r w:rsidRPr="007B07B6">
        <w:rPr>
          <w:rFonts w:ascii="Verdana" w:hAnsi="Verdana" w:cs="Arial"/>
          <w:bCs/>
          <w:color w:val="000000" w:themeColor="text1"/>
        </w:rPr>
        <w:t xml:space="preserve"> </w:t>
      </w:r>
    </w:p>
    <w:p w14:paraId="0B9462F1" w14:textId="77777777" w:rsidR="00135720" w:rsidRPr="007B07B6" w:rsidRDefault="00135720" w:rsidP="00135720">
      <w:pPr>
        <w:spacing w:before="120" w:after="120" w:line="240" w:lineRule="auto"/>
        <w:ind w:left="709" w:right="709"/>
        <w:jc w:val="both"/>
        <w:rPr>
          <w:rFonts w:ascii="Verdana" w:hAnsi="Verdana" w:cs="Arial"/>
          <w:bCs/>
          <w:color w:val="000000" w:themeColor="text1"/>
          <w:sz w:val="21"/>
          <w:szCs w:val="21"/>
        </w:rPr>
      </w:pPr>
      <w:r w:rsidRPr="007B07B6">
        <w:rPr>
          <w:rFonts w:ascii="Verdana" w:hAnsi="Verdana" w:cs="Arial"/>
          <w:bCs/>
          <w:color w:val="000000" w:themeColor="text1"/>
          <w:sz w:val="21"/>
          <w:szCs w:val="21"/>
        </w:rPr>
        <w:t xml:space="preserve">[…] también existen formas de incumplimiento impropio o relativo. En estos eventos no hay ausencia total de la prestación debida, ya sea porque se ejecutó imperfecta o tardíamente. La primera modalidad de incumplimiento impropio se presenta por incumplimientos cualitativos o cuantitativos. Por ejemplo, la primera surge cuando se contrata la ejecución de una obra y el deudor realiza la entrega con algunos </w:t>
      </w:r>
      <w:r w:rsidRPr="007B07B6">
        <w:rPr>
          <w:rFonts w:ascii="Verdana" w:hAnsi="Verdana" w:cs="Arial"/>
          <w:bCs/>
          <w:color w:val="000000" w:themeColor="text1"/>
          <w:sz w:val="21"/>
          <w:szCs w:val="21"/>
        </w:rPr>
        <w:lastRenderedPageBreak/>
        <w:t xml:space="preserve">defectos constructivos que impiden el goce satisfactorio; en contraste, la segunda se presenta cuando se requiere el suministro de determinados elementos y el contratista entrega un número menos a los inicialmente solicitados. En ambos casos se trata de incumplimientos parciales, lo cual está en contravía de los dispuesto en el inciso </w:t>
      </w:r>
      <w:proofErr w:type="gramStart"/>
      <w:r w:rsidRPr="007B07B6">
        <w:rPr>
          <w:rFonts w:ascii="Verdana" w:hAnsi="Verdana" w:cs="Arial"/>
          <w:bCs/>
          <w:color w:val="000000" w:themeColor="text1"/>
          <w:sz w:val="21"/>
          <w:szCs w:val="21"/>
        </w:rPr>
        <w:t>1.°</w:t>
      </w:r>
      <w:proofErr w:type="gramEnd"/>
      <w:r w:rsidRPr="007B07B6">
        <w:rPr>
          <w:rFonts w:ascii="Verdana" w:hAnsi="Verdana" w:cs="Arial"/>
          <w:bCs/>
          <w:color w:val="000000" w:themeColor="text1"/>
          <w:sz w:val="21"/>
          <w:szCs w:val="21"/>
        </w:rPr>
        <w:t xml:space="preserve"> del artículo 1649 del Código Civil, ya que ‘El deudor no puede obligar al acreedor a que reciba por partes lo que se le deba, salvo el caso de convención contraria; y sin perjuicio de lo que dispongan las leyes en casos especiales’. Por otro lado, la segunda modalidad de incumplimiento impropio surge de la tardanza del deudor en ejecutar sus prestaciones. Si bien no existe renuencia y es posible que satisfaga la prestación debida tanto en términos de calidad como de cantidad, el riesgo es que con el paso del tiempo el acreedor pierda interés en el contrato. En estos eventos, también resulta violentada regla del antecitado inciso </w:t>
      </w:r>
      <w:proofErr w:type="gramStart"/>
      <w:r w:rsidRPr="007B07B6">
        <w:rPr>
          <w:rFonts w:ascii="Verdana" w:hAnsi="Verdana" w:cs="Arial"/>
          <w:bCs/>
          <w:color w:val="000000" w:themeColor="text1"/>
          <w:sz w:val="21"/>
          <w:szCs w:val="21"/>
        </w:rPr>
        <w:t>1.°</w:t>
      </w:r>
      <w:proofErr w:type="gramEnd"/>
      <w:r w:rsidRPr="007B07B6">
        <w:rPr>
          <w:rFonts w:ascii="Verdana" w:hAnsi="Verdana" w:cs="Arial"/>
          <w:bCs/>
          <w:color w:val="000000" w:themeColor="text1"/>
          <w:sz w:val="21"/>
          <w:szCs w:val="21"/>
        </w:rPr>
        <w:t xml:space="preserve"> del artículo 1627 del Código Civil, el cual no se solo se refiere al objeto de la obligación en si sino también a las modalidades que influyan en la existencia o la exigibilidad de las prestaciones</w:t>
      </w:r>
      <w:r w:rsidRPr="007B07B6">
        <w:rPr>
          <w:rStyle w:val="Refdenotaalpie"/>
          <w:rFonts w:ascii="Verdana" w:hAnsi="Verdana" w:cs="Arial"/>
          <w:bCs/>
          <w:color w:val="000000" w:themeColor="text1"/>
          <w:sz w:val="21"/>
          <w:szCs w:val="21"/>
        </w:rPr>
        <w:footnoteReference w:id="31"/>
      </w:r>
      <w:r w:rsidRPr="007B07B6">
        <w:rPr>
          <w:rFonts w:ascii="Verdana" w:hAnsi="Verdana" w:cs="Arial"/>
          <w:bCs/>
          <w:color w:val="000000" w:themeColor="text1"/>
          <w:sz w:val="21"/>
          <w:szCs w:val="21"/>
        </w:rPr>
        <w:t xml:space="preserve">. </w:t>
      </w:r>
    </w:p>
    <w:p w14:paraId="71E94640" w14:textId="4022604C" w:rsidR="00135720" w:rsidRDefault="00135720" w:rsidP="00157783">
      <w:pPr>
        <w:spacing w:before="120" w:after="0" w:line="276" w:lineRule="auto"/>
        <w:ind w:firstLine="708"/>
        <w:jc w:val="both"/>
        <w:rPr>
          <w:rFonts w:ascii="Verdana" w:hAnsi="Verdana" w:cs="Arial"/>
          <w:bCs/>
          <w:color w:val="000000" w:themeColor="text1"/>
        </w:rPr>
      </w:pPr>
      <w:r w:rsidRPr="007B07B6">
        <w:rPr>
          <w:rFonts w:ascii="Verdana" w:hAnsi="Verdana" w:cs="Arial"/>
          <w:bCs/>
          <w:color w:val="000000" w:themeColor="text1"/>
        </w:rPr>
        <w:t xml:space="preserve">A partir de lo expuesto, el incumplimiento contractual en un sentido práctico es la no sujeción total o parcial de las obligaciones pactadas en el contrato. En efecto, puede evidenciarse un incumplimiento total, así como incumplimientos imparciales, derivado de ejecuciones imperfectas, ya sea cuantitativas o cualitativas, o el incumplimiento tardío, esto es, la tardanza en ejecutar sus prestaciones. Bajo este panorama, cada entidad debe revisar si las obligaciones estipuladas en el contrato se están incumpliendo, ya sea de forma total o parcial, a fin de que tome las medidas pertinentes, que consistan en el ejercicio de potestades exorbitantes si fueron incluidas </w:t>
      </w:r>
      <w:r>
        <w:rPr>
          <w:rFonts w:ascii="Verdana" w:hAnsi="Verdana" w:cs="Arial"/>
          <w:bCs/>
          <w:color w:val="000000" w:themeColor="text1"/>
        </w:rPr>
        <w:t xml:space="preserve">por parte de las Empresas Sociales del Estado. </w:t>
      </w:r>
      <w:r w:rsidRPr="007B07B6">
        <w:rPr>
          <w:rFonts w:ascii="Verdana" w:hAnsi="Verdana" w:cs="Arial"/>
          <w:bCs/>
          <w:color w:val="000000" w:themeColor="text1"/>
        </w:rPr>
        <w:t>Sin perjuicio, de otras medidas que busquen que se cumpla a cabalidad las obligaciones contractuales.</w:t>
      </w:r>
    </w:p>
    <w:p w14:paraId="70814C3E" w14:textId="77777777" w:rsidR="00157783" w:rsidRPr="00333219" w:rsidRDefault="00157783" w:rsidP="00157783">
      <w:pPr>
        <w:spacing w:after="0" w:line="276" w:lineRule="auto"/>
        <w:jc w:val="both"/>
        <w:rPr>
          <w:rFonts w:ascii="Verdana" w:hAnsi="Verdana" w:cs="Arial"/>
          <w:bCs/>
          <w:color w:val="000000" w:themeColor="text1"/>
        </w:rPr>
      </w:pPr>
    </w:p>
    <w:p w14:paraId="5FE7775D" w14:textId="77777777" w:rsidR="00135720" w:rsidRDefault="00135720" w:rsidP="00135720">
      <w:pPr>
        <w:spacing w:before="120" w:after="120" w:line="276" w:lineRule="auto"/>
        <w:jc w:val="both"/>
        <w:rPr>
          <w:rFonts w:ascii="Verdana" w:hAnsi="Verdana" w:cs="Arial"/>
          <w:bCs/>
          <w:color w:val="000000" w:themeColor="text1"/>
        </w:rPr>
      </w:pPr>
      <w:r>
        <w:rPr>
          <w:rFonts w:ascii="Verdana" w:hAnsi="Verdana" w:cs="Arial"/>
          <w:bCs/>
          <w:color w:val="000000" w:themeColor="text1"/>
          <w:lang w:val="es-ES"/>
        </w:rPr>
        <w:t xml:space="preserve">v. Como se expresó en los anteriores apartados, </w:t>
      </w:r>
      <w:r w:rsidRPr="007B07B6">
        <w:rPr>
          <w:rFonts w:ascii="Verdana" w:hAnsi="Verdana" w:cs="Arial"/>
          <w:bCs/>
          <w:color w:val="000000" w:themeColor="text1"/>
        </w:rPr>
        <w:t xml:space="preserve">las </w:t>
      </w:r>
      <w:r>
        <w:rPr>
          <w:rFonts w:ascii="Verdana" w:hAnsi="Verdana" w:cs="Arial"/>
          <w:bCs/>
          <w:color w:val="000000" w:themeColor="text1"/>
        </w:rPr>
        <w:t>ESE debe</w:t>
      </w:r>
      <w:r w:rsidRPr="007B07B6">
        <w:rPr>
          <w:rFonts w:ascii="Verdana" w:hAnsi="Verdana" w:cs="Arial"/>
          <w:bCs/>
          <w:color w:val="000000" w:themeColor="text1"/>
        </w:rPr>
        <w:t>n aplicar las disposiciones del EGCAP, por especial disposición de la Ley 100, que autoriza a estas empresas a incorporar las cláusulas excepcionales,</w:t>
      </w:r>
      <w:r>
        <w:rPr>
          <w:rFonts w:ascii="Verdana" w:hAnsi="Verdana" w:cs="Arial"/>
          <w:bCs/>
          <w:color w:val="000000" w:themeColor="text1"/>
        </w:rPr>
        <w:t xml:space="preserve"> siempre que decidan pactarlas. Esto</w:t>
      </w:r>
      <w:r w:rsidRPr="007B07B6">
        <w:rPr>
          <w:rFonts w:ascii="Verdana" w:hAnsi="Verdana" w:cs="Arial"/>
          <w:bCs/>
          <w:color w:val="000000" w:themeColor="text1"/>
        </w:rPr>
        <w:t xml:space="preserve"> implica que le serán aplicables las reglas del procedimiento administrativo sancionatorio del artículo 86 de la Ley 1474 de 2011</w:t>
      </w:r>
      <w:r>
        <w:rPr>
          <w:rFonts w:ascii="Verdana" w:hAnsi="Verdana" w:cs="Arial"/>
          <w:bCs/>
          <w:color w:val="000000" w:themeColor="text1"/>
        </w:rPr>
        <w:t xml:space="preserve"> cuando sea en ejercicio de potestades sancionadoras</w:t>
      </w:r>
      <w:r w:rsidRPr="007B07B6">
        <w:rPr>
          <w:rFonts w:ascii="Verdana" w:hAnsi="Verdana" w:cs="Arial"/>
          <w:bCs/>
          <w:color w:val="000000" w:themeColor="text1"/>
        </w:rPr>
        <w:t>, pues en este escenario se entienden entidades sometidas al EGCAP.</w:t>
      </w:r>
      <w:r w:rsidRPr="0083282B">
        <w:rPr>
          <w:rFonts w:ascii="Verdana" w:hAnsi="Verdana" w:cs="Arial"/>
          <w:bCs/>
          <w:color w:val="000000" w:themeColor="text1"/>
        </w:rPr>
        <w:t xml:space="preserve"> En otras palabras, cuando el legislador les brindó la autorización para pactar cláusulas excepcionales dispuestas en la Ley 80 de 1993, implica que se someten a las condiciones sustanciales, como </w:t>
      </w:r>
      <w:r w:rsidRPr="0083282B">
        <w:rPr>
          <w:rFonts w:ascii="Verdana" w:hAnsi="Verdana" w:cs="Arial"/>
          <w:bCs/>
          <w:color w:val="000000" w:themeColor="text1"/>
        </w:rPr>
        <w:lastRenderedPageBreak/>
        <w:t xml:space="preserve">procedimentales, sujetándose a la aplicación del artículo 86 de la Ley 1474 de 2011, en lo referente a potestades sancionatorias –caducidad e imposición unilateral de multas y cláusula penal pecuniaria-. </w:t>
      </w:r>
    </w:p>
    <w:p w14:paraId="4DDB1966" w14:textId="77777777" w:rsidR="00135720" w:rsidRPr="0083282B" w:rsidRDefault="00135720" w:rsidP="00135720">
      <w:pPr>
        <w:spacing w:before="120" w:after="120" w:line="276" w:lineRule="auto"/>
        <w:ind w:firstLine="708"/>
        <w:jc w:val="both"/>
        <w:rPr>
          <w:rFonts w:ascii="Verdana" w:hAnsi="Verdana" w:cs="Arial"/>
          <w:bCs/>
          <w:color w:val="000000" w:themeColor="text1"/>
        </w:rPr>
      </w:pPr>
      <w:r>
        <w:rPr>
          <w:rFonts w:ascii="Verdana" w:hAnsi="Verdana" w:cs="Arial"/>
          <w:bCs/>
          <w:iCs/>
          <w:color w:val="000000" w:themeColor="text1"/>
          <w:lang w:val="es-MX"/>
        </w:rPr>
        <w:t xml:space="preserve">En referencia a esta variable, se resalta que el artículo 86 precitado </w:t>
      </w:r>
      <w:r w:rsidRPr="005A7B33">
        <w:rPr>
          <w:rFonts w:ascii="Verdana" w:hAnsi="Verdana" w:cs="Arial"/>
          <w:bCs/>
          <w:iCs/>
          <w:color w:val="000000" w:themeColor="text1"/>
          <w:lang w:val="es-MX"/>
        </w:rPr>
        <w:t xml:space="preserve">regula el procedimiento especial sancionatorio con que deben regirse las entidades sometidas al Estatuto General de Contratación de la Administración Pública cuando se presenten posibles incumplimientos. Al respecto, el inciso primero del mencionado artículo dispone: </w:t>
      </w:r>
      <w:r>
        <w:rPr>
          <w:rFonts w:ascii="Verdana" w:hAnsi="Verdana" w:cs="Arial"/>
          <w:bCs/>
          <w:color w:val="000000" w:themeColor="text1"/>
          <w:lang w:val="es-MX"/>
        </w:rPr>
        <w:t>“</w:t>
      </w:r>
      <w:r w:rsidRPr="005A7B33">
        <w:rPr>
          <w:rFonts w:ascii="Verdana" w:hAnsi="Verdana" w:cs="Arial"/>
          <w:bCs/>
          <w:color w:val="000000" w:themeColor="text1"/>
        </w:rPr>
        <w:t xml:space="preserve">Las entidades sometidas al Estatuto General de Contratación de la Administración Pública </w:t>
      </w:r>
      <w:r w:rsidRPr="00EE75A1">
        <w:rPr>
          <w:rFonts w:ascii="Verdana" w:hAnsi="Verdana" w:cs="Arial"/>
          <w:bCs/>
          <w:i/>
          <w:color w:val="000000" w:themeColor="text1"/>
        </w:rPr>
        <w:t xml:space="preserve">podrán declarar el incumplimiento, cuantificando los perjuicios </w:t>
      </w:r>
      <w:proofErr w:type="gramStart"/>
      <w:r w:rsidRPr="00EE75A1">
        <w:rPr>
          <w:rFonts w:ascii="Verdana" w:hAnsi="Verdana" w:cs="Arial"/>
          <w:bCs/>
          <w:i/>
          <w:color w:val="000000" w:themeColor="text1"/>
        </w:rPr>
        <w:t>del mismo</w:t>
      </w:r>
      <w:proofErr w:type="gramEnd"/>
      <w:r w:rsidRPr="00EE75A1">
        <w:rPr>
          <w:rFonts w:ascii="Verdana" w:hAnsi="Verdana" w:cs="Arial"/>
          <w:bCs/>
          <w:i/>
          <w:color w:val="000000" w:themeColor="text1"/>
        </w:rPr>
        <w:t>, imponer las multas y sanciones pactadas en el contrato,</w:t>
      </w:r>
      <w:r w:rsidRPr="005A7B33">
        <w:rPr>
          <w:rFonts w:ascii="Verdana" w:hAnsi="Verdana" w:cs="Arial"/>
          <w:bCs/>
          <w:color w:val="000000" w:themeColor="text1"/>
        </w:rPr>
        <w:t xml:space="preserve"> y hacer efectiva la cláusula penal […]</w:t>
      </w:r>
      <w:r>
        <w:rPr>
          <w:rFonts w:ascii="Verdana" w:hAnsi="Verdana" w:cs="Arial"/>
          <w:bCs/>
          <w:iCs/>
          <w:color w:val="000000" w:themeColor="text1"/>
        </w:rPr>
        <w:t>” (énfasis fuera de texto)</w:t>
      </w:r>
      <w:r w:rsidRPr="005A7B33">
        <w:rPr>
          <w:rFonts w:ascii="Verdana" w:hAnsi="Verdana" w:cs="Arial"/>
          <w:bCs/>
          <w:color w:val="000000" w:themeColor="text1"/>
        </w:rPr>
        <w:t xml:space="preserve">. En tal sentido, este es el procedimiento establecido para hacer efectivas las sanciones contractuales, </w:t>
      </w:r>
      <w:r>
        <w:rPr>
          <w:rFonts w:ascii="Verdana" w:hAnsi="Verdana" w:cs="Arial"/>
          <w:bCs/>
          <w:color w:val="000000" w:themeColor="text1"/>
        </w:rPr>
        <w:t xml:space="preserve">como es la </w:t>
      </w:r>
      <w:r w:rsidRPr="005A7B33">
        <w:rPr>
          <w:rFonts w:ascii="Verdana" w:hAnsi="Verdana" w:cs="Arial"/>
          <w:bCs/>
          <w:color w:val="000000" w:themeColor="text1"/>
        </w:rPr>
        <w:t>caducidad del contrato</w:t>
      </w:r>
      <w:r>
        <w:rPr>
          <w:rFonts w:ascii="Verdana" w:hAnsi="Verdana" w:cs="Arial"/>
          <w:bCs/>
          <w:color w:val="000000" w:themeColor="text1"/>
        </w:rPr>
        <w:t xml:space="preserve"> y la imposición unilateral de multas y cláusula penal contractual que se derivan del incumplimiento contractual</w:t>
      </w:r>
      <w:r w:rsidRPr="005A7B33">
        <w:rPr>
          <w:rFonts w:ascii="Verdana" w:hAnsi="Verdana" w:cs="Arial"/>
          <w:bCs/>
          <w:color w:val="000000" w:themeColor="text1"/>
        </w:rPr>
        <w:t xml:space="preserve">. </w:t>
      </w:r>
    </w:p>
    <w:p w14:paraId="696A33EC" w14:textId="77777777" w:rsidR="00135720" w:rsidRPr="004F246A" w:rsidRDefault="00135720" w:rsidP="00135720">
      <w:pPr>
        <w:spacing w:after="120" w:line="276" w:lineRule="auto"/>
        <w:ind w:firstLine="709"/>
        <w:jc w:val="both"/>
        <w:rPr>
          <w:rFonts w:ascii="Verdana" w:eastAsia="Times New Roman" w:hAnsi="Verdana" w:cs="Arial"/>
          <w:iCs/>
          <w:color w:val="000000"/>
          <w:szCs w:val="24"/>
          <w:lang w:val="es-ES_tradnl" w:eastAsia="es-ES_tradnl"/>
        </w:rPr>
      </w:pPr>
      <w:r w:rsidRPr="004F246A">
        <w:rPr>
          <w:rFonts w:ascii="Verdana" w:eastAsia="Times New Roman" w:hAnsi="Verdana" w:cs="Arial"/>
          <w:iCs/>
          <w:color w:val="000000"/>
          <w:szCs w:val="24"/>
          <w:lang w:val="es-ES_tradnl" w:eastAsia="es-ES_tradnl"/>
        </w:rPr>
        <w:t>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w:t>
      </w:r>
      <w:r>
        <w:rPr>
          <w:rFonts w:ascii="Verdana" w:eastAsia="Times New Roman" w:hAnsi="Verdana" w:cs="Arial"/>
          <w:iCs/>
          <w:color w:val="000000"/>
          <w:szCs w:val="24"/>
          <w:lang w:val="es-ES_tradnl" w:eastAsia="es-ES_tradnl"/>
        </w:rPr>
        <w:t>o es así como consecuencia del “</w:t>
      </w:r>
      <w:r w:rsidRPr="004F246A">
        <w:rPr>
          <w:rFonts w:ascii="Verdana" w:eastAsia="Times New Roman" w:hAnsi="Verdana" w:cs="Arial"/>
          <w:iCs/>
          <w:color w:val="000000"/>
          <w:szCs w:val="24"/>
          <w:lang w:val="es-ES_tradnl" w:eastAsia="es-ES_tradnl"/>
        </w:rPr>
        <w:t>principio general de interpretación jurídica según el cual donde la norma no distingue, no le corresponde dist</w:t>
      </w:r>
      <w:r>
        <w:rPr>
          <w:rFonts w:ascii="Verdana" w:eastAsia="Times New Roman" w:hAnsi="Verdana" w:cs="Arial"/>
          <w:iCs/>
          <w:color w:val="000000"/>
          <w:szCs w:val="24"/>
          <w:lang w:val="es-ES_tradnl" w:eastAsia="es-ES_tradnl"/>
        </w:rPr>
        <w:t>inguir al intérprete”</w:t>
      </w:r>
      <w:r w:rsidRPr="004F246A">
        <w:rPr>
          <w:rFonts w:ascii="Verdana" w:eastAsia="Times New Roman" w:hAnsi="Verdana" w:cs="Arial"/>
          <w:color w:val="000000"/>
          <w:sz w:val="24"/>
          <w:szCs w:val="24"/>
          <w:vertAlign w:val="superscript"/>
          <w:lang w:eastAsia="es-ES_tradnl"/>
        </w:rPr>
        <w:footnoteReference w:id="32"/>
      </w:r>
      <w:r w:rsidRPr="004F246A">
        <w:rPr>
          <w:rFonts w:ascii="Verdana" w:eastAsia="Times New Roman" w:hAnsi="Verdana" w:cs="Arial"/>
          <w:iCs/>
          <w:color w:val="000000"/>
          <w:szCs w:val="24"/>
          <w:lang w:val="es-ES_tradnl" w:eastAsia="es-ES_tradnl"/>
        </w:rPr>
        <w:t>. A la misma conclusión se llega si se tiene en consideración la necesidad de</w:t>
      </w:r>
      <w:r>
        <w:rPr>
          <w:rFonts w:ascii="Verdana" w:eastAsia="Times New Roman" w:hAnsi="Verdana" w:cs="Arial"/>
          <w:iCs/>
          <w:color w:val="000000"/>
          <w:szCs w:val="24"/>
          <w:lang w:val="es-ES_tradnl" w:eastAsia="es-ES_tradnl"/>
        </w:rPr>
        <w:t xml:space="preserve"> respetar el debido proceso en “</w:t>
      </w:r>
      <w:r w:rsidRPr="004F246A">
        <w:rPr>
          <w:rFonts w:ascii="Verdana" w:eastAsia="Times New Roman" w:hAnsi="Verdana" w:cs="Arial"/>
          <w:iCs/>
          <w:color w:val="000000"/>
          <w:szCs w:val="24"/>
          <w:lang w:val="es-ES_tradnl" w:eastAsia="es-ES_tradnl"/>
        </w:rPr>
        <w:t xml:space="preserve">todas </w:t>
      </w:r>
      <w:r>
        <w:rPr>
          <w:rFonts w:ascii="Verdana" w:eastAsia="Times New Roman" w:hAnsi="Verdana" w:cs="Arial"/>
          <w:iCs/>
          <w:color w:val="000000"/>
          <w:szCs w:val="24"/>
          <w:lang w:val="es-ES_tradnl" w:eastAsia="es-ES_tradnl"/>
        </w:rPr>
        <w:t>las actuaciones administrativas”</w:t>
      </w:r>
      <w:r w:rsidRPr="004F246A">
        <w:rPr>
          <w:rFonts w:ascii="Verdana" w:eastAsia="Times New Roman" w:hAnsi="Verdana" w:cs="Arial"/>
          <w:iCs/>
          <w:color w:val="000000"/>
          <w:szCs w:val="24"/>
          <w:lang w:val="es-ES_tradnl" w:eastAsia="es-ES_tradnl"/>
        </w:rPr>
        <w:t xml:space="preserve"> como lo </w:t>
      </w:r>
      <w:r>
        <w:rPr>
          <w:rFonts w:ascii="Verdana" w:eastAsia="Times New Roman" w:hAnsi="Verdana" w:cs="Arial"/>
          <w:iCs/>
          <w:color w:val="000000"/>
          <w:szCs w:val="24"/>
          <w:lang w:val="es-ES_tradnl" w:eastAsia="es-ES_tradnl"/>
        </w:rPr>
        <w:t>dispone el artículo 29 de la Constitución Política.</w:t>
      </w:r>
    </w:p>
    <w:p w14:paraId="2A56C4B8" w14:textId="77777777" w:rsidR="00135720" w:rsidRDefault="00135720" w:rsidP="00135720">
      <w:pPr>
        <w:spacing w:after="120" w:line="276" w:lineRule="auto"/>
        <w:ind w:firstLine="708"/>
        <w:jc w:val="both"/>
        <w:rPr>
          <w:rFonts w:ascii="Verdana" w:hAnsi="Verdana" w:cs="Arial"/>
          <w:color w:val="000000" w:themeColor="text1"/>
          <w:lang w:val="es-ES"/>
        </w:rPr>
      </w:pPr>
      <w:r w:rsidRPr="004F246A">
        <w:rPr>
          <w:rFonts w:ascii="Verdana" w:eastAsia="Times New Roman" w:hAnsi="Verdana" w:cs="Arial"/>
          <w:iCs/>
          <w:color w:val="000000"/>
          <w:szCs w:val="24"/>
          <w:lang w:val="es-ES_tradnl" w:eastAsia="es-ES_tradnl"/>
        </w:rPr>
        <w:t xml:space="preserve">De conformidad con lo anterior, el artículo 86 de la Ley 1474 de 2011 establece las etapas del procedimiento que se deben seguir, las cuales se sintetizan, de forma esquemática, así: </w:t>
      </w: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xml:space="preserve">. En la diligencia intervendrá el jefe de la entidad o su delegado y, posteriormente, se le concederá el uso de la palabra al </w:t>
      </w:r>
      <w:r w:rsidRPr="14DBD07D">
        <w:rPr>
          <w:rFonts w:ascii="Verdana" w:hAnsi="Verdana" w:cs="Arial"/>
          <w:color w:val="000000" w:themeColor="text1"/>
          <w:lang w:val="es-ES"/>
        </w:rPr>
        <w:lastRenderedPageBreak/>
        <w:t>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 y</w:t>
      </w:r>
      <w:r w:rsidRPr="14DBD07D">
        <w:rPr>
          <w:rFonts w:ascii="Verdana" w:hAnsi="Verdana" w:cs="Arial"/>
          <w:color w:val="000000" w:themeColor="text1"/>
          <w:lang w:val="es-ES"/>
        </w:rPr>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5DC59478" w14:textId="77777777" w:rsidR="00135720" w:rsidRDefault="00135720" w:rsidP="00135720">
      <w:pPr>
        <w:spacing w:after="120" w:line="276" w:lineRule="auto"/>
        <w:ind w:firstLine="708"/>
        <w:jc w:val="both"/>
        <w:rPr>
          <w:rFonts w:ascii="Verdana" w:hAnsi="Verdana" w:cs="Arial"/>
          <w:color w:val="000000" w:themeColor="text1"/>
        </w:rPr>
      </w:pPr>
      <w:r>
        <w:rPr>
          <w:rFonts w:ascii="Verdana" w:hAnsi="Verdana" w:cs="Arial"/>
          <w:color w:val="000000" w:themeColor="text1"/>
          <w:lang w:val="es-ES"/>
        </w:rPr>
        <w:t xml:space="preserve">Ahora bien, este procedimiento de carácter sancionatorio es compatible con </w:t>
      </w:r>
      <w:r w:rsidRPr="00846F09">
        <w:rPr>
          <w:rFonts w:ascii="Verdana" w:hAnsi="Verdana" w:cs="Arial"/>
          <w:color w:val="000000" w:themeColor="text1"/>
        </w:rPr>
        <w:t xml:space="preserve">el artículo 53 de la Ley 1437 de 2011 –en adelante CPACA- dispone que los procedimientos y trámites administrativos pueden realizarse por medios electrónicos, que se aplicarán </w:t>
      </w:r>
      <w:proofErr w:type="gramStart"/>
      <w:r w:rsidRPr="00846F09">
        <w:rPr>
          <w:rFonts w:ascii="Verdana" w:hAnsi="Verdana" w:cs="Arial"/>
          <w:color w:val="000000" w:themeColor="text1"/>
        </w:rPr>
        <w:t>de acuerdo a</w:t>
      </w:r>
      <w:proofErr w:type="gramEnd"/>
      <w:r w:rsidRPr="00846F09">
        <w:rPr>
          <w:rFonts w:ascii="Verdana" w:hAnsi="Verdana" w:cs="Arial"/>
          <w:color w:val="000000" w:themeColor="text1"/>
        </w:rPr>
        <w:t xml:space="preserve"> su co</w:t>
      </w:r>
      <w:r>
        <w:rPr>
          <w:rFonts w:ascii="Verdana" w:hAnsi="Verdana" w:cs="Arial"/>
          <w:color w:val="000000" w:themeColor="text1"/>
        </w:rPr>
        <w:t xml:space="preserve">ncordancia </w:t>
      </w:r>
      <w:r w:rsidRPr="00846F09">
        <w:rPr>
          <w:rFonts w:ascii="Verdana" w:hAnsi="Verdana" w:cs="Arial"/>
          <w:color w:val="000000" w:themeColor="text1"/>
        </w:rPr>
        <w:t>con la Ley 527 de 1999. A partir de lo anterior, el CPACA establece reglas básicas para el uso de los medios electrónicos en los procedimientos administrativos, en las que se destaca: i) los documentos públicos en medios electrónicos que tienen la validez y fuerza probatoria que le confiere el Código General del Proceso –artículo 55–</w:t>
      </w:r>
      <w:r w:rsidRPr="00846F09">
        <w:rPr>
          <w:rFonts w:ascii="Verdana" w:hAnsi="Verdana" w:cs="Arial"/>
          <w:color w:val="000000" w:themeColor="text1"/>
          <w:vertAlign w:val="superscript"/>
        </w:rPr>
        <w:footnoteReference w:id="33"/>
      </w:r>
      <w:r w:rsidRPr="00846F09">
        <w:rPr>
          <w:rFonts w:ascii="Verdana" w:hAnsi="Verdana" w:cs="Arial"/>
          <w:color w:val="000000" w:themeColor="text1"/>
        </w:rPr>
        <w:t xml:space="preserve">; </w:t>
      </w:r>
      <w:proofErr w:type="spellStart"/>
      <w:r w:rsidRPr="00846F09">
        <w:rPr>
          <w:rFonts w:ascii="Verdana" w:hAnsi="Verdana" w:cs="Arial"/>
          <w:color w:val="000000" w:themeColor="text1"/>
        </w:rPr>
        <w:t>ii</w:t>
      </w:r>
      <w:proofErr w:type="spellEnd"/>
      <w:r w:rsidRPr="00846F09">
        <w:rPr>
          <w:rFonts w:ascii="Verdana" w:hAnsi="Verdana" w:cs="Arial"/>
          <w:color w:val="000000" w:themeColor="text1"/>
        </w:rPr>
        <w:t>) la expedición de actos administrativos electrónicos –artículo 57–</w:t>
      </w:r>
      <w:r w:rsidRPr="00846F09">
        <w:rPr>
          <w:rFonts w:ascii="Verdana" w:hAnsi="Verdana" w:cs="Arial"/>
          <w:color w:val="000000" w:themeColor="text1"/>
          <w:vertAlign w:val="superscript"/>
        </w:rPr>
        <w:footnoteReference w:id="34"/>
      </w:r>
      <w:r w:rsidRPr="00846F09">
        <w:rPr>
          <w:rFonts w:ascii="Verdana" w:hAnsi="Verdana" w:cs="Arial"/>
          <w:color w:val="000000" w:themeColor="text1"/>
        </w:rPr>
        <w:t xml:space="preserve">; </w:t>
      </w:r>
      <w:proofErr w:type="spellStart"/>
      <w:r w:rsidRPr="00846F09">
        <w:rPr>
          <w:rFonts w:ascii="Verdana" w:hAnsi="Verdana" w:cs="Arial"/>
          <w:color w:val="000000" w:themeColor="text1"/>
        </w:rPr>
        <w:t>iii</w:t>
      </w:r>
      <w:proofErr w:type="spellEnd"/>
      <w:r w:rsidRPr="00846F09">
        <w:rPr>
          <w:rFonts w:ascii="Verdana" w:hAnsi="Verdana" w:cs="Arial"/>
          <w:color w:val="000000" w:themeColor="text1"/>
        </w:rPr>
        <w:t>) el archivo electrónico de documentos –artículo 58–</w:t>
      </w:r>
      <w:r w:rsidRPr="00846F09">
        <w:rPr>
          <w:rFonts w:ascii="Verdana" w:hAnsi="Verdana" w:cs="Arial"/>
          <w:color w:val="000000" w:themeColor="text1"/>
          <w:vertAlign w:val="superscript"/>
        </w:rPr>
        <w:footnoteReference w:id="35"/>
      </w:r>
      <w:r w:rsidRPr="00846F09">
        <w:rPr>
          <w:rFonts w:ascii="Verdana" w:hAnsi="Verdana" w:cs="Arial"/>
          <w:color w:val="000000" w:themeColor="text1"/>
        </w:rPr>
        <w:t xml:space="preserve">; </w:t>
      </w:r>
      <w:proofErr w:type="spellStart"/>
      <w:r w:rsidRPr="00846F09">
        <w:rPr>
          <w:rFonts w:ascii="Verdana" w:hAnsi="Verdana" w:cs="Arial"/>
          <w:color w:val="000000" w:themeColor="text1"/>
        </w:rPr>
        <w:t>iv</w:t>
      </w:r>
      <w:proofErr w:type="spellEnd"/>
      <w:r w:rsidRPr="00846F09">
        <w:rPr>
          <w:rFonts w:ascii="Verdana" w:hAnsi="Verdana" w:cs="Arial"/>
          <w:color w:val="000000" w:themeColor="text1"/>
        </w:rPr>
        <w:t>) la recepción de documentos electrónicos por parte de las autoridades –artículo 61</w:t>
      </w:r>
      <w:r w:rsidRPr="00846F09">
        <w:rPr>
          <w:rFonts w:ascii="Verdana" w:hAnsi="Verdana" w:cs="Arial"/>
          <w:color w:val="000000" w:themeColor="text1"/>
          <w:vertAlign w:val="superscript"/>
        </w:rPr>
        <w:footnoteReference w:id="36"/>
      </w:r>
      <w:r w:rsidRPr="00846F09">
        <w:rPr>
          <w:rFonts w:ascii="Verdana" w:hAnsi="Verdana" w:cs="Arial"/>
          <w:color w:val="000000" w:themeColor="text1"/>
        </w:rPr>
        <w:t>, entre otros.</w:t>
      </w:r>
      <w:r>
        <w:rPr>
          <w:rFonts w:ascii="Verdana" w:hAnsi="Verdana" w:cs="Arial"/>
          <w:color w:val="000000" w:themeColor="text1"/>
        </w:rPr>
        <w:t xml:space="preserve"> </w:t>
      </w:r>
    </w:p>
    <w:p w14:paraId="7FDDA053" w14:textId="77777777" w:rsidR="00135720" w:rsidRDefault="00135720" w:rsidP="00135720">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Así mismo, podrían utilizarse los medios electrónicos, para las diferentes actuaciones de trámite en el marco del procedimiento administrativo </w:t>
      </w:r>
      <w:r>
        <w:rPr>
          <w:rFonts w:ascii="Verdana" w:hAnsi="Verdana" w:cs="Arial"/>
          <w:color w:val="000000" w:themeColor="text1"/>
        </w:rPr>
        <w:lastRenderedPageBreak/>
        <w:t xml:space="preserve">sancionatorio, como </w:t>
      </w:r>
      <w:r w:rsidRPr="00846F09">
        <w:rPr>
          <w:rFonts w:ascii="Verdana" w:hAnsi="Verdana" w:cs="Arial"/>
          <w:color w:val="000000" w:themeColor="text1"/>
        </w:rPr>
        <w:t>son los traslados, los asuntos de carácter probatorio, comunicaciones, y lo relacionado con la gestión documental y demás temas que surjan de dicho proceso.</w:t>
      </w:r>
      <w:r>
        <w:rPr>
          <w:rFonts w:ascii="Verdana" w:hAnsi="Verdana" w:cs="Arial"/>
          <w:color w:val="000000" w:themeColor="text1"/>
        </w:rPr>
        <w:t xml:space="preserve"> En esta línea, deben tenerse en cuenta, las reglas y lineamientos que establece </w:t>
      </w:r>
      <w:r w:rsidRPr="00CE5FAA">
        <w:rPr>
          <w:rFonts w:ascii="Verdana" w:hAnsi="Verdana" w:cs="Arial"/>
          <w:color w:val="000000" w:themeColor="text1"/>
        </w:rPr>
        <w:t>el Archivo General de la Nación como entidad encargada de liderar la Política de archivo y gestión documental a nivel nacional,</w:t>
      </w:r>
      <w:r>
        <w:rPr>
          <w:rFonts w:ascii="Verdana" w:hAnsi="Verdana" w:cs="Arial"/>
          <w:color w:val="000000" w:themeColor="text1"/>
        </w:rPr>
        <w:t xml:space="preserve"> la cual</w:t>
      </w:r>
      <w:r w:rsidRPr="00CE5FAA">
        <w:rPr>
          <w:rFonts w:ascii="Verdana" w:hAnsi="Verdana" w:cs="Arial"/>
          <w:color w:val="000000" w:themeColor="text1"/>
        </w:rPr>
        <w:t xml:space="preserve"> expidió el Acuerdo 001 de 2024 “Por el cual se establece el Acuerdo Único de la Función Archivística, se definen los criterios técnicos y jurídicos para su implementación en el Estado Colombiano </w:t>
      </w:r>
      <w:r>
        <w:rPr>
          <w:rFonts w:ascii="Verdana" w:hAnsi="Verdana" w:cs="Arial"/>
          <w:color w:val="000000" w:themeColor="text1"/>
        </w:rPr>
        <w:t>y se fijan otras disposiciones”. En dicho Acuerdo se establecen reglas y criterios para el manejo de expedientes electrónicos, que en su artículo 4.3.2.1.</w:t>
      </w:r>
      <w:r>
        <w:rPr>
          <w:rStyle w:val="Refdenotaalpie"/>
          <w:rFonts w:ascii="Verdana" w:hAnsi="Verdana" w:cs="Arial"/>
          <w:color w:val="000000" w:themeColor="text1"/>
        </w:rPr>
        <w:footnoteReference w:id="37"/>
      </w:r>
      <w:r>
        <w:rPr>
          <w:rFonts w:ascii="Verdana" w:hAnsi="Verdana" w:cs="Arial"/>
          <w:color w:val="000000" w:themeColor="text1"/>
        </w:rPr>
        <w:t xml:space="preserve"> dispone, entre otras, que los expedientes electrónicos se conforman con todos los documentos de archivo que se generan</w:t>
      </w:r>
      <w:r w:rsidRPr="005A4FCC">
        <w:rPr>
          <w:rFonts w:ascii="Verdana" w:hAnsi="Verdana" w:cs="Arial"/>
          <w:color w:val="000000" w:themeColor="text1"/>
        </w:rPr>
        <w:t xml:space="preserve"> en desarrollo de un mismo trámite, actuación o procedimiento, independiente</w:t>
      </w:r>
      <w:r>
        <w:rPr>
          <w:rFonts w:ascii="Verdana" w:hAnsi="Verdana" w:cs="Arial"/>
          <w:color w:val="000000" w:themeColor="text1"/>
        </w:rPr>
        <w:t xml:space="preserve"> </w:t>
      </w:r>
      <w:r w:rsidRPr="005A4FCC">
        <w:rPr>
          <w:rFonts w:ascii="Verdana" w:hAnsi="Verdana" w:cs="Arial"/>
          <w:color w:val="000000" w:themeColor="text1"/>
        </w:rPr>
        <w:t>del t</w:t>
      </w:r>
      <w:r>
        <w:rPr>
          <w:rFonts w:ascii="Verdana" w:hAnsi="Verdana" w:cs="Arial"/>
          <w:color w:val="000000" w:themeColor="text1"/>
        </w:rPr>
        <w:t>ipo de información y formato, sujetándose a</w:t>
      </w:r>
      <w:r w:rsidRPr="005A4FCC">
        <w:rPr>
          <w:rFonts w:ascii="Verdana" w:hAnsi="Verdana" w:cs="Arial"/>
          <w:color w:val="000000" w:themeColor="text1"/>
        </w:rPr>
        <w:t>l principio de orden original y deben agruparse conforme a las series y subseries documentales</w:t>
      </w:r>
      <w:r>
        <w:rPr>
          <w:rFonts w:ascii="Verdana" w:hAnsi="Verdana" w:cs="Arial"/>
          <w:color w:val="000000" w:themeColor="text1"/>
        </w:rPr>
        <w:t xml:space="preserve">. </w:t>
      </w:r>
    </w:p>
    <w:p w14:paraId="745C7D18" w14:textId="77777777" w:rsidR="00135720" w:rsidRPr="00CE5FAA" w:rsidRDefault="00135720" w:rsidP="00135720">
      <w:pPr>
        <w:spacing w:before="120" w:after="120" w:line="276" w:lineRule="auto"/>
        <w:ind w:firstLine="708"/>
        <w:jc w:val="both"/>
        <w:rPr>
          <w:rFonts w:ascii="Verdana" w:hAnsi="Verdana" w:cs="Arial"/>
          <w:color w:val="000000" w:themeColor="text1"/>
        </w:rPr>
      </w:pPr>
      <w:r>
        <w:rPr>
          <w:rFonts w:ascii="Verdana" w:hAnsi="Verdana" w:cs="Arial"/>
          <w:color w:val="000000" w:themeColor="text1"/>
        </w:rPr>
        <w:t xml:space="preserve">De esta manera, deben tenerse en cuenta las grabaciones, las actas de la audiencia y demás actuaciones de trámite como parte del expediente electrónico, las cuales deben incorporárseles mecanismos que salvaguarden </w:t>
      </w:r>
      <w:r w:rsidRPr="00B50B0E">
        <w:rPr>
          <w:rFonts w:ascii="Verdana" w:hAnsi="Verdana" w:cs="Arial"/>
          <w:color w:val="000000" w:themeColor="text1"/>
        </w:rPr>
        <w:t xml:space="preserve">la fiabilidad, autenticidad, integridad, veracidad, e inalterabilidad, durante todo el ciclo vital de los documentos, </w:t>
      </w:r>
      <w:r>
        <w:rPr>
          <w:rFonts w:ascii="Verdana" w:hAnsi="Verdana" w:cs="Arial"/>
          <w:color w:val="000000" w:themeColor="text1"/>
        </w:rPr>
        <w:t xml:space="preserve">a fin de impedir </w:t>
      </w:r>
      <w:r w:rsidRPr="00B50B0E">
        <w:rPr>
          <w:rFonts w:ascii="Verdana" w:hAnsi="Verdana" w:cs="Arial"/>
          <w:color w:val="000000" w:themeColor="text1"/>
        </w:rPr>
        <w:t>la utilización no autorizada, la modificación, el traslado, el ocultam</w:t>
      </w:r>
      <w:r>
        <w:rPr>
          <w:rFonts w:ascii="Verdana" w:hAnsi="Verdana" w:cs="Arial"/>
          <w:color w:val="000000" w:themeColor="text1"/>
        </w:rPr>
        <w:t xml:space="preserve">iento o su destrucción, como lo contempla el artículo 4.1.4. del Acuerdo 01 de 2024 del Archivo General de la Nación. </w:t>
      </w:r>
    </w:p>
    <w:p w14:paraId="1B38061F" w14:textId="77777777" w:rsidR="00135720" w:rsidRPr="000D433E" w:rsidRDefault="00135720" w:rsidP="00135720">
      <w:pPr>
        <w:spacing w:before="120" w:after="120" w:line="276" w:lineRule="auto"/>
        <w:ind w:firstLine="708"/>
        <w:jc w:val="both"/>
        <w:rPr>
          <w:rFonts w:ascii="Verdana" w:hAnsi="Verdana" w:cs="Arial"/>
          <w:color w:val="000000" w:themeColor="text1"/>
        </w:rPr>
      </w:pPr>
      <w:r>
        <w:rPr>
          <w:rFonts w:ascii="Verdana" w:hAnsi="Verdana" w:cs="Arial"/>
          <w:color w:val="000000" w:themeColor="text1"/>
        </w:rPr>
        <w:t>No hay que dejar de lado que, para salvaguardar</w:t>
      </w:r>
      <w:r w:rsidRPr="00846F09">
        <w:rPr>
          <w:rFonts w:ascii="Verdana" w:hAnsi="Verdana" w:cs="Arial"/>
          <w:color w:val="000000" w:themeColor="text1"/>
        </w:rPr>
        <w:t xml:space="preserve"> la integridad y confidencialidad de los procedimientos sancionatorios, las actuaciones </w:t>
      </w:r>
      <w:r>
        <w:rPr>
          <w:rFonts w:ascii="Verdana" w:hAnsi="Verdana" w:cs="Arial"/>
          <w:color w:val="000000" w:themeColor="text1"/>
        </w:rPr>
        <w:t xml:space="preserve">deben gestionarse </w:t>
      </w:r>
      <w:r w:rsidRPr="00846F09">
        <w:rPr>
          <w:rFonts w:ascii="Verdana" w:hAnsi="Verdana" w:cs="Arial"/>
          <w:color w:val="000000" w:themeColor="text1"/>
        </w:rPr>
        <w:t>mediante plata</w:t>
      </w:r>
      <w:r>
        <w:rPr>
          <w:rFonts w:ascii="Verdana" w:hAnsi="Verdana" w:cs="Arial"/>
          <w:color w:val="000000" w:themeColor="text1"/>
        </w:rPr>
        <w:t xml:space="preserve">formas electrónicas seguras, teniendo en cuenta </w:t>
      </w:r>
      <w:r w:rsidRPr="00846F09">
        <w:rPr>
          <w:rFonts w:ascii="Verdana" w:hAnsi="Verdana" w:cs="Arial"/>
          <w:color w:val="000000" w:themeColor="text1"/>
        </w:rPr>
        <w:t xml:space="preserve">de las disposiciones vigentes en materia de seguridad informática y protección de datos personales. </w:t>
      </w:r>
      <w:r>
        <w:rPr>
          <w:rFonts w:ascii="Verdana" w:hAnsi="Verdana" w:cs="Arial"/>
          <w:color w:val="000000" w:themeColor="text1"/>
        </w:rPr>
        <w:t>Estas plataformas debe</w:t>
      </w:r>
      <w:r w:rsidRPr="00846F09">
        <w:rPr>
          <w:rFonts w:ascii="Verdana" w:hAnsi="Verdana" w:cs="Arial"/>
          <w:color w:val="000000" w:themeColor="text1"/>
        </w:rPr>
        <w:t xml:space="preserve">n </w:t>
      </w:r>
      <w:r>
        <w:rPr>
          <w:rFonts w:ascii="Verdana" w:hAnsi="Verdana" w:cs="Arial"/>
          <w:color w:val="000000" w:themeColor="text1"/>
        </w:rPr>
        <w:t xml:space="preserve">establecer </w:t>
      </w:r>
      <w:r w:rsidRPr="00846F09">
        <w:rPr>
          <w:rFonts w:ascii="Verdana" w:hAnsi="Verdana" w:cs="Arial"/>
          <w:color w:val="000000" w:themeColor="text1"/>
        </w:rPr>
        <w:t>mecanismos de autenticación y trazabilidad que permitan registrar de manera confiable y en tiempo real cada actuación realizada durante el proceso.</w:t>
      </w:r>
      <w:r>
        <w:rPr>
          <w:rFonts w:ascii="Verdana" w:hAnsi="Verdana" w:cs="Arial"/>
          <w:color w:val="000000" w:themeColor="text1"/>
        </w:rPr>
        <w:t xml:space="preserve"> Ahora bien, s</w:t>
      </w:r>
      <w:r w:rsidRPr="00B50B0E">
        <w:rPr>
          <w:rFonts w:ascii="Verdana" w:hAnsi="Verdana" w:cs="Arial"/>
          <w:color w:val="000000" w:themeColor="text1"/>
        </w:rPr>
        <w:t xml:space="preserve">i no </w:t>
      </w:r>
      <w:r w:rsidRPr="00B50B0E">
        <w:rPr>
          <w:rFonts w:ascii="Verdana" w:hAnsi="Verdana" w:cs="Arial"/>
          <w:color w:val="000000" w:themeColor="text1"/>
        </w:rPr>
        <w:lastRenderedPageBreak/>
        <w:t>llegase a cumplir</w:t>
      </w:r>
      <w:r>
        <w:rPr>
          <w:rFonts w:ascii="Verdana" w:hAnsi="Verdana" w:cs="Arial"/>
          <w:color w:val="000000" w:themeColor="text1"/>
        </w:rPr>
        <w:t xml:space="preserve"> estos criterios y lineamientos expuestos podría aludirse a un vicio de validez de</w:t>
      </w:r>
      <w:r w:rsidRPr="00B50B0E">
        <w:rPr>
          <w:rFonts w:ascii="Verdana" w:hAnsi="Verdana" w:cs="Arial"/>
          <w:color w:val="000000" w:themeColor="text1"/>
        </w:rPr>
        <w:t xml:space="preserve">l </w:t>
      </w:r>
      <w:r>
        <w:rPr>
          <w:rFonts w:ascii="Verdana" w:hAnsi="Verdana" w:cs="Arial"/>
          <w:color w:val="000000" w:themeColor="text1"/>
        </w:rPr>
        <w:t xml:space="preserve">acto administrativo que impone la sanción o declara el archivo, así como el </w:t>
      </w:r>
      <w:r w:rsidRPr="00B50B0E">
        <w:rPr>
          <w:rFonts w:ascii="Verdana" w:hAnsi="Verdana" w:cs="Arial"/>
          <w:color w:val="000000" w:themeColor="text1"/>
        </w:rPr>
        <w:t>procedimiento administrativo sancionatorio</w:t>
      </w:r>
      <w:r>
        <w:rPr>
          <w:rFonts w:ascii="Verdana" w:hAnsi="Verdana" w:cs="Arial"/>
          <w:color w:val="000000" w:themeColor="text1"/>
        </w:rPr>
        <w:t xml:space="preserve"> que lo ampara</w:t>
      </w:r>
      <w:r w:rsidRPr="00B50B0E">
        <w:rPr>
          <w:rFonts w:ascii="Verdana" w:hAnsi="Verdana" w:cs="Arial"/>
          <w:color w:val="000000" w:themeColor="text1"/>
        </w:rPr>
        <w:t>.</w:t>
      </w:r>
    </w:p>
    <w:p w14:paraId="4F4F853D" w14:textId="77777777" w:rsidR="00135720" w:rsidRDefault="00135720" w:rsidP="00135720">
      <w:pPr>
        <w:spacing w:after="120" w:line="276" w:lineRule="auto"/>
        <w:ind w:firstLine="708"/>
        <w:jc w:val="both"/>
        <w:rPr>
          <w:rFonts w:ascii="Verdana" w:hAnsi="Verdana" w:cs="Arial"/>
          <w:color w:val="000000" w:themeColor="text1"/>
          <w:lang w:val="es-ES"/>
        </w:rPr>
      </w:pPr>
      <w:r w:rsidRPr="14DBD07D">
        <w:rPr>
          <w:rFonts w:ascii="Verdana" w:hAnsi="Verdana" w:cs="Arial"/>
          <w:color w:val="000000" w:themeColor="text1"/>
          <w:lang w:val="es-ES"/>
        </w:rPr>
        <w:t>Concretame</w:t>
      </w:r>
      <w:r>
        <w:rPr>
          <w:rFonts w:ascii="Verdana" w:hAnsi="Verdana" w:cs="Arial"/>
          <w:color w:val="000000" w:themeColor="text1"/>
          <w:lang w:val="es-ES"/>
        </w:rPr>
        <w:t xml:space="preserve">nte, el procedimiento del artículo 86 de la Ley 1474 de 2011 </w:t>
      </w:r>
      <w:r w:rsidRPr="14DBD07D">
        <w:rPr>
          <w:rFonts w:ascii="Verdana" w:hAnsi="Verdana" w:cs="Arial"/>
          <w:color w:val="000000" w:themeColor="text1"/>
          <w:lang w:val="es-ES"/>
        </w:rPr>
        <w:t xml:space="preserve">es una manifestación de la </w:t>
      </w:r>
      <w:r w:rsidRPr="14DBD07D">
        <w:rPr>
          <w:rFonts w:ascii="Verdana" w:hAnsi="Verdana" w:cs="Arial"/>
          <w:i/>
          <w:color w:val="000000" w:themeColor="text1"/>
          <w:lang w:val="es-ES"/>
        </w:rPr>
        <w:t>legalidad de las formas de cada juicio</w:t>
      </w:r>
      <w:r w:rsidRPr="14DBD07D">
        <w:rPr>
          <w:rFonts w:ascii="Verdana" w:hAnsi="Verdana" w:cs="Arial"/>
          <w:color w:val="000000" w:themeColor="text1"/>
          <w:lang w:val="es-ES"/>
        </w:rPr>
        <w:t xml:space="preserve"> en la contratación estatal, la cual no solo se aplica en virtud del artículo 29 de la Constitución Política sino también con fundamento en el artículo 3.1, inciso primero, de la Ley 1437 de 2011. Esto último en la medida que “En virtud del principio del debido proceso, las actuaciones administrativas se adelantarán de conformidad con las normas de procedimiento y competencia establecidas en la Constitución y la ley, con plena garantía de los derechos de representación, defensa y contradicción”. </w:t>
      </w:r>
    </w:p>
    <w:p w14:paraId="38B754EB" w14:textId="77777777" w:rsidR="00135720" w:rsidRDefault="00135720" w:rsidP="00135720">
      <w:pPr>
        <w:spacing w:before="120" w:after="120" w:line="276" w:lineRule="auto"/>
        <w:ind w:firstLine="708"/>
        <w:jc w:val="both"/>
        <w:rPr>
          <w:rFonts w:ascii="Verdana" w:hAnsi="Verdana" w:cs="Arial"/>
          <w:color w:val="000000" w:themeColor="text1"/>
          <w:lang w:val="es-ES"/>
        </w:rPr>
      </w:pPr>
      <w:r w:rsidRPr="260AD19C">
        <w:rPr>
          <w:rFonts w:ascii="Verdana" w:hAnsi="Verdana" w:cs="Arial"/>
          <w:color w:val="000000" w:themeColor="text1"/>
          <w:lang w:val="es-ES"/>
        </w:rPr>
        <w:t xml:space="preserve">De esta manera, las reglas y etapas que debe tener en cuenta una ESE, en ejercicio de potestades exorbitantes sancionadoras serán las del artículo 86 de la Ley 1474 de 2011. Por tanto, no es posible mediante manuales de contratación establecer otro procedimiento de carácter sancionatorio, al ser un tema que tiene reserva legal, teniendo en cuenta que la ESE en materia de cláusulas excepcionales es una entidad que se somete a las reglas del EGCAP. </w:t>
      </w:r>
    </w:p>
    <w:p w14:paraId="6C419A74" w14:textId="77777777" w:rsidR="00135720" w:rsidRPr="00FC7D35" w:rsidRDefault="00135720" w:rsidP="00135720">
      <w:pPr>
        <w:spacing w:before="120" w:after="120" w:line="276" w:lineRule="auto"/>
        <w:ind w:firstLine="708"/>
        <w:jc w:val="both"/>
        <w:rPr>
          <w:rFonts w:ascii="Verdana" w:hAnsi="Verdana" w:cs="Arial"/>
          <w:bCs/>
          <w:color w:val="000000" w:themeColor="text1"/>
        </w:rPr>
      </w:pPr>
      <w:r>
        <w:rPr>
          <w:rFonts w:ascii="Verdana" w:hAnsi="Verdana" w:cs="Arial"/>
          <w:bCs/>
          <w:color w:val="000000" w:themeColor="text1"/>
        </w:rPr>
        <w:t>E</w:t>
      </w:r>
      <w:r w:rsidRPr="00FC7D35">
        <w:rPr>
          <w:rFonts w:ascii="Verdana" w:hAnsi="Verdana" w:cs="Arial"/>
          <w:bCs/>
          <w:color w:val="000000" w:themeColor="text1"/>
        </w:rPr>
        <w:t xml:space="preserve">ste tipo de contenidos constituyen una </w:t>
      </w:r>
      <w:r w:rsidRPr="00FC7D35">
        <w:rPr>
          <w:rFonts w:ascii="Verdana" w:hAnsi="Verdana" w:cs="Arial"/>
          <w:bCs/>
          <w:i/>
          <w:color w:val="000000" w:themeColor="text1"/>
        </w:rPr>
        <w:t xml:space="preserve">reserva legal estricta, </w:t>
      </w:r>
      <w:r w:rsidRPr="00FC7D35">
        <w:rPr>
          <w:rFonts w:ascii="Verdana" w:hAnsi="Verdana" w:cs="Arial"/>
          <w:bCs/>
          <w:color w:val="000000" w:themeColor="text1"/>
        </w:rPr>
        <w:t xml:space="preserve">con fundamento en el artículo 29 constitucional que establece que nadie puede ser juzgado, sino mediante leyes preexistentes. Al respecto, el Consejo de Estado </w:t>
      </w:r>
      <w:r w:rsidRPr="00FC7D35">
        <w:rPr>
          <w:rFonts w:ascii="Verdana" w:hAnsi="Verdana" w:cs="Arial"/>
          <w:bCs/>
          <w:color w:val="000000" w:themeColor="text1"/>
          <w:lang w:val="es-ES"/>
        </w:rPr>
        <w:t xml:space="preserve">anuló un reglamento de INVIAS, que regulaba los supuestos fácticos y el procedimiento para la imposición de multas por incumplimiento de los contratistas, por considerar que debía regularse por ley especial, o acudir a las reglas generales del Código Contencioso Administrativo, manifestando: </w:t>
      </w:r>
    </w:p>
    <w:p w14:paraId="2BCF413D" w14:textId="77777777" w:rsidR="00135720" w:rsidRPr="00FC7D35" w:rsidRDefault="00135720" w:rsidP="00135720">
      <w:pPr>
        <w:spacing w:before="120" w:after="120" w:line="240" w:lineRule="auto"/>
        <w:jc w:val="both"/>
        <w:rPr>
          <w:rFonts w:ascii="Verdana" w:hAnsi="Verdana" w:cs="Arial"/>
          <w:bCs/>
          <w:color w:val="000000" w:themeColor="text1"/>
          <w:sz w:val="21"/>
          <w:szCs w:val="21"/>
          <w:lang w:val="es-ES"/>
        </w:rPr>
      </w:pPr>
    </w:p>
    <w:p w14:paraId="4906869E" w14:textId="77777777" w:rsidR="00135720" w:rsidRDefault="00135720" w:rsidP="00135720">
      <w:pPr>
        <w:spacing w:after="0" w:line="240" w:lineRule="auto"/>
        <w:ind w:left="709" w:right="709"/>
        <w:jc w:val="both"/>
        <w:rPr>
          <w:rFonts w:ascii="Verdana" w:hAnsi="Verdana" w:cs="Arial"/>
          <w:bCs/>
          <w:color w:val="000000" w:themeColor="text1"/>
          <w:sz w:val="21"/>
          <w:szCs w:val="21"/>
          <w:lang w:val="es-ES"/>
        </w:rPr>
      </w:pPr>
      <w:r w:rsidRPr="00FC7D35">
        <w:rPr>
          <w:rFonts w:ascii="Verdana" w:hAnsi="Verdana" w:cs="Arial"/>
          <w:bCs/>
          <w:color w:val="000000" w:themeColor="text1"/>
          <w:sz w:val="21"/>
          <w:szCs w:val="21"/>
          <w:lang w:val="es-ES"/>
        </w:rPr>
        <w:t>En definitiva, según el artículo 29 constitucional, en todas las actuaciones administrativas debe garantizarse el debido proceso, regla general que también resulta aplicable en materia contractual, tanto por mandato constitucional como legal, pero siempre y cuando se hubiere garantizado a través de los senderos procesales establecidos por el legislador y ante las falencias de este, o su ausencia, como ocurre en el presente asunto aplicando de manera estricta las disposiciones de la primera parte del código contencioso administrativo</w:t>
      </w:r>
      <w:r>
        <w:rPr>
          <w:rStyle w:val="Refdenotaalpie"/>
          <w:rFonts w:ascii="Verdana" w:hAnsi="Verdana" w:cs="Arial"/>
          <w:bCs/>
          <w:color w:val="000000" w:themeColor="text1"/>
          <w:sz w:val="21"/>
          <w:szCs w:val="21"/>
          <w:lang w:val="es-ES"/>
        </w:rPr>
        <w:footnoteReference w:id="38"/>
      </w:r>
    </w:p>
    <w:p w14:paraId="1A6743DA" w14:textId="77777777" w:rsidR="00135720" w:rsidRPr="00FC7D35" w:rsidRDefault="00135720" w:rsidP="00135720">
      <w:pPr>
        <w:spacing w:after="0" w:line="240" w:lineRule="auto"/>
        <w:ind w:left="709" w:right="709"/>
        <w:jc w:val="both"/>
        <w:rPr>
          <w:rFonts w:ascii="Verdana" w:hAnsi="Verdana" w:cs="Arial"/>
          <w:bCs/>
          <w:color w:val="000000" w:themeColor="text1"/>
          <w:sz w:val="21"/>
          <w:szCs w:val="21"/>
        </w:rPr>
      </w:pPr>
    </w:p>
    <w:p w14:paraId="06A2BD9E" w14:textId="77777777" w:rsidR="00135720" w:rsidRDefault="00135720" w:rsidP="00135720">
      <w:pPr>
        <w:spacing w:before="120" w:after="0" w:line="276" w:lineRule="auto"/>
        <w:ind w:firstLine="709"/>
        <w:jc w:val="both"/>
        <w:rPr>
          <w:rFonts w:ascii="Verdana" w:hAnsi="Verdana" w:cs="Arial"/>
          <w:bCs/>
          <w:color w:val="000000" w:themeColor="text1"/>
        </w:rPr>
      </w:pPr>
      <w:r>
        <w:rPr>
          <w:rFonts w:ascii="Verdana" w:hAnsi="Verdana" w:cs="Arial"/>
          <w:bCs/>
          <w:color w:val="000000" w:themeColor="text1"/>
        </w:rPr>
        <w:lastRenderedPageBreak/>
        <w:t xml:space="preserve">De este modo, estas entidades de régimen especial se sujetan a las reglas y procedimientos del artículo 86 de la Ley 1474 de 2011, por lo que no les son aplicables su discrecionalidad y autoorganización administrativa para regular otros procedimientos que tengan un carácter sancionatorio. </w:t>
      </w:r>
    </w:p>
    <w:p w14:paraId="2C510B73" w14:textId="77777777" w:rsidR="00135720" w:rsidRPr="000370B1" w:rsidRDefault="00135720" w:rsidP="00157783">
      <w:pPr>
        <w:spacing w:after="0" w:line="276" w:lineRule="auto"/>
        <w:ind w:firstLine="709"/>
        <w:jc w:val="both"/>
        <w:rPr>
          <w:rFonts w:ascii="Verdana" w:hAnsi="Verdana" w:cs="Arial"/>
          <w:bCs/>
          <w:color w:val="000000" w:themeColor="text1"/>
        </w:rPr>
      </w:pPr>
    </w:p>
    <w:p w14:paraId="3C310555" w14:textId="77777777" w:rsidR="00135720" w:rsidRPr="00021F4E" w:rsidRDefault="00135720" w:rsidP="00135720">
      <w:pPr>
        <w:spacing w:after="120" w:line="276" w:lineRule="auto"/>
        <w:jc w:val="both"/>
        <w:rPr>
          <w:rFonts w:ascii="Verdana" w:eastAsia="Times New Roman" w:hAnsi="Verdana" w:cs="Arial"/>
          <w:iCs/>
          <w:color w:val="000000"/>
          <w:szCs w:val="24"/>
          <w:lang w:eastAsia="es-ES_tradnl"/>
        </w:rPr>
      </w:pPr>
      <w:r>
        <w:rPr>
          <w:rFonts w:ascii="Verdana" w:hAnsi="Verdana" w:cs="Arial"/>
          <w:lang w:val="es-ES_tradnl" w:eastAsia="es-ES"/>
        </w:rPr>
        <w:t xml:space="preserve">vi. </w:t>
      </w:r>
      <w:r w:rsidRPr="00462654">
        <w:rPr>
          <w:rFonts w:ascii="Verdana" w:hAnsi="Verdana" w:cs="Arial"/>
          <w:lang w:val="es-ES_tradnl" w:eastAsia="es-ES"/>
        </w:rPr>
        <w:t xml:space="preserve">Al margen de la explicación precedente debe advertirse que el análisis requerido para resolver problemas específicos en torno </w:t>
      </w:r>
      <w:r>
        <w:rPr>
          <w:rFonts w:ascii="Verdana" w:hAnsi="Verdana" w:cs="Arial"/>
          <w:lang w:val="es-ES_tradnl" w:eastAsia="es-ES"/>
        </w:rPr>
        <w:t>al clausulado contractual</w:t>
      </w:r>
      <w:r w:rsidRPr="00462654">
        <w:rPr>
          <w:rFonts w:ascii="Verdana" w:hAnsi="Verdana" w:cs="Arial"/>
          <w:lang w:val="es-ES_tradnl" w:eastAsia="es-ES"/>
        </w:rPr>
        <w:t xml:space="preserve"> debe ser realizado por quienes tengan interés en ello, de acuerdo con lo explicado la aclaración preliminar del presente oficio.</w:t>
      </w:r>
      <w:r>
        <w:rPr>
          <w:rFonts w:ascii="Verdana" w:hAnsi="Verdana" w:cs="Arial"/>
          <w:lang w:val="es-ES_tradnl" w:eastAsia="es-ES"/>
        </w:rPr>
        <w:t xml:space="preserve"> </w:t>
      </w:r>
      <w:r w:rsidRPr="00462654">
        <w:rPr>
          <w:rFonts w:ascii="Verdana" w:hAnsi="Verdana" w:cs="Arial"/>
          <w:lang w:val="es-ES_tradnl" w:eastAsia="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FA65D74" w14:textId="77777777" w:rsidR="00135720" w:rsidRPr="00462654" w:rsidRDefault="00135720" w:rsidP="00135720">
      <w:pPr>
        <w:spacing w:after="0" w:line="276" w:lineRule="auto"/>
        <w:ind w:firstLine="709"/>
        <w:jc w:val="both"/>
        <w:rPr>
          <w:rFonts w:ascii="Verdana" w:hAnsi="Verdana" w:cs="Arial"/>
          <w:lang w:val="es-ES" w:eastAsia="es-ES"/>
        </w:rPr>
      </w:pPr>
      <w:r w:rsidRPr="1AE1532E">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C5C013B" w14:textId="77777777" w:rsidR="00135720" w:rsidRPr="006C2545" w:rsidRDefault="00135720" w:rsidP="00135720">
      <w:pPr>
        <w:spacing w:after="0" w:line="276" w:lineRule="auto"/>
        <w:jc w:val="both"/>
        <w:rPr>
          <w:rFonts w:ascii="Verdana" w:eastAsia="Calibri" w:hAnsi="Verdana" w:cs="Arial"/>
          <w:bCs/>
          <w:color w:val="000000" w:themeColor="text1"/>
          <w:lang w:val="es-ES"/>
        </w:rPr>
      </w:pPr>
    </w:p>
    <w:p w14:paraId="20A82953" w14:textId="77777777" w:rsidR="00135720" w:rsidRPr="004D657F" w:rsidRDefault="00135720" w:rsidP="00135720">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Re</w:t>
      </w:r>
      <w:r w:rsidRPr="004D657F">
        <w:rPr>
          <w:rFonts w:ascii="Verdana" w:eastAsia="Century Gothic" w:hAnsi="Verdana" w:cs="Century Gothic"/>
          <w:b/>
          <w:bCs/>
        </w:rPr>
        <w:t>ferencias normativas</w:t>
      </w:r>
      <w:r>
        <w:rPr>
          <w:rFonts w:ascii="Verdana" w:eastAsia="Century Gothic" w:hAnsi="Verdana" w:cs="Century Gothic"/>
          <w:b/>
          <w:bCs/>
        </w:rPr>
        <w:t>, jurisprudenciales y otras fuentes</w:t>
      </w:r>
      <w:r w:rsidRPr="004D657F">
        <w:rPr>
          <w:rFonts w:ascii="Verdana" w:eastAsia="Century Gothic" w:hAnsi="Verdana" w:cs="Century Gothic"/>
          <w:b/>
          <w:bCs/>
        </w:rPr>
        <w:t>:</w:t>
      </w:r>
    </w:p>
    <w:p w14:paraId="6E46166A" w14:textId="77777777" w:rsidR="00135720" w:rsidRPr="00593A5F" w:rsidRDefault="00135720" w:rsidP="00135720">
      <w:pPr>
        <w:widowControl w:val="0"/>
        <w:autoSpaceDE w:val="0"/>
        <w:autoSpaceDN w:val="0"/>
        <w:spacing w:after="0" w:line="276" w:lineRule="auto"/>
        <w:jc w:val="both"/>
        <w:rPr>
          <w:rFonts w:ascii="Verdana" w:hAnsi="Verdana" w:cs="Arial"/>
        </w:rPr>
      </w:pPr>
      <w:r>
        <w:rPr>
          <w:rFonts w:ascii="Verdana" w:hAnsi="Verdana" w:cs="Arial"/>
        </w:rPr>
        <w:t xml:space="preserve"> </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35720" w:rsidRPr="002407CE" w14:paraId="3D9B8750" w14:textId="77777777" w:rsidTr="007A5FDB">
        <w:trPr>
          <w:trHeight w:val="870"/>
          <w:jc w:val="center"/>
        </w:trPr>
        <w:tc>
          <w:tcPr>
            <w:tcW w:w="8647" w:type="dxa"/>
          </w:tcPr>
          <w:p w14:paraId="11D6C25E" w14:textId="77777777" w:rsidR="00135720" w:rsidRDefault="00135720" w:rsidP="00135720">
            <w:pPr>
              <w:pStyle w:val="Prrafodelista"/>
              <w:widowControl w:val="0"/>
              <w:numPr>
                <w:ilvl w:val="0"/>
                <w:numId w:val="34"/>
              </w:numPr>
              <w:autoSpaceDE w:val="0"/>
              <w:autoSpaceDN w:val="0"/>
              <w:spacing w:before="120" w:after="120" w:line="276" w:lineRule="auto"/>
              <w:ind w:left="714" w:hanging="357"/>
              <w:contextualSpacing w:val="0"/>
              <w:jc w:val="both"/>
              <w:rPr>
                <w:rFonts w:ascii="Verdana" w:hAnsi="Verdana" w:cs="Arial"/>
              </w:rPr>
            </w:pPr>
            <w:r w:rsidRPr="008C6F30">
              <w:rPr>
                <w:rFonts w:ascii="Verdana" w:hAnsi="Verdana" w:cs="Arial"/>
              </w:rPr>
              <w:t xml:space="preserve">Constitución </w:t>
            </w:r>
            <w:r>
              <w:rPr>
                <w:rFonts w:ascii="Verdana" w:hAnsi="Verdana" w:cs="Arial"/>
              </w:rPr>
              <w:t>Política de 1991, artículos 209 y 267</w:t>
            </w:r>
            <w:r w:rsidRPr="008C6F30">
              <w:rPr>
                <w:rFonts w:ascii="Verdana" w:hAnsi="Verdana" w:cs="Arial"/>
              </w:rPr>
              <w:t>.</w:t>
            </w:r>
          </w:p>
          <w:p w14:paraId="76EB4C50" w14:textId="77777777" w:rsidR="00135720" w:rsidRPr="00706793" w:rsidRDefault="00135720" w:rsidP="00135720">
            <w:pPr>
              <w:pStyle w:val="Prrafodelista"/>
              <w:widowControl w:val="0"/>
              <w:numPr>
                <w:ilvl w:val="0"/>
                <w:numId w:val="34"/>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Código Civil, artículos 1501 y 1602. </w:t>
            </w:r>
          </w:p>
          <w:p w14:paraId="3BDB93CC" w14:textId="77777777" w:rsidR="00135720" w:rsidRDefault="00135720" w:rsidP="00135720">
            <w:pPr>
              <w:pStyle w:val="Prrafodelista"/>
              <w:widowControl w:val="0"/>
              <w:numPr>
                <w:ilvl w:val="0"/>
                <w:numId w:val="34"/>
              </w:numPr>
              <w:autoSpaceDE w:val="0"/>
              <w:autoSpaceDN w:val="0"/>
              <w:spacing w:before="120" w:after="120" w:line="276" w:lineRule="auto"/>
              <w:ind w:left="714" w:hanging="357"/>
              <w:contextualSpacing w:val="0"/>
              <w:jc w:val="both"/>
              <w:rPr>
                <w:rFonts w:ascii="Verdana" w:hAnsi="Verdana" w:cs="Arial"/>
              </w:rPr>
            </w:pPr>
            <w:r w:rsidRPr="008C6F30">
              <w:rPr>
                <w:rFonts w:ascii="Verdana" w:hAnsi="Verdana" w:cs="Arial"/>
              </w:rPr>
              <w:t xml:space="preserve">Ley 80 de 1993, artículos </w:t>
            </w:r>
            <w:r>
              <w:rPr>
                <w:rFonts w:ascii="Verdana" w:hAnsi="Verdana" w:cs="Arial"/>
              </w:rPr>
              <w:t xml:space="preserve">2 y 13, 14, 15, 16, 17, 18 y 32. </w:t>
            </w:r>
          </w:p>
          <w:p w14:paraId="71C1C0F7" w14:textId="77777777" w:rsidR="00135720" w:rsidRDefault="00135720" w:rsidP="00135720">
            <w:pPr>
              <w:pStyle w:val="Prrafodelista"/>
              <w:widowControl w:val="0"/>
              <w:numPr>
                <w:ilvl w:val="0"/>
                <w:numId w:val="34"/>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100 de 1993, artículo 195. </w:t>
            </w:r>
          </w:p>
          <w:p w14:paraId="3114A4FD" w14:textId="77777777" w:rsidR="00135720" w:rsidRDefault="00135720" w:rsidP="00135720">
            <w:pPr>
              <w:pStyle w:val="Prrafodelista"/>
              <w:widowControl w:val="0"/>
              <w:numPr>
                <w:ilvl w:val="0"/>
                <w:numId w:val="34"/>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artículos 13 y 17.</w:t>
            </w:r>
          </w:p>
          <w:p w14:paraId="000A4F10" w14:textId="77777777" w:rsidR="00135720" w:rsidRDefault="00135720" w:rsidP="00135720">
            <w:pPr>
              <w:pStyle w:val="Prrafodelista"/>
              <w:widowControl w:val="0"/>
              <w:numPr>
                <w:ilvl w:val="0"/>
                <w:numId w:val="34"/>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1437 de 2011, artículos 53, 55, 57, 58, 61. </w:t>
            </w:r>
          </w:p>
          <w:p w14:paraId="2687C16D" w14:textId="77777777" w:rsidR="00135720" w:rsidRDefault="00135720" w:rsidP="00135720">
            <w:pPr>
              <w:pStyle w:val="Prrafodelista"/>
              <w:widowControl w:val="0"/>
              <w:numPr>
                <w:ilvl w:val="0"/>
                <w:numId w:val="34"/>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1438 de 2011, artículo 76. </w:t>
            </w:r>
          </w:p>
          <w:p w14:paraId="4114374F" w14:textId="77777777" w:rsidR="00135720"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Pr>
                <w:rFonts w:ascii="Verdana" w:hAnsi="Verdana"/>
              </w:rPr>
              <w:lastRenderedPageBreak/>
              <w:t xml:space="preserve">Ley 1474 de 2011, artículo 86. </w:t>
            </w:r>
          </w:p>
          <w:p w14:paraId="3F9AA877" w14:textId="77777777" w:rsidR="00135720" w:rsidRPr="000D433E"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Pr>
                <w:rFonts w:ascii="Verdana" w:hAnsi="Verdana"/>
                <w:lang w:val="es-CO"/>
              </w:rPr>
              <w:t>Resolución No. 5185 de 2013 del Ministerio de Salud.</w:t>
            </w:r>
          </w:p>
          <w:p w14:paraId="2B3DC41C" w14:textId="77777777" w:rsidR="00135720" w:rsidRPr="00082456"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Pr>
                <w:rFonts w:ascii="Verdana" w:hAnsi="Verdana"/>
                <w:lang w:val="es-CO"/>
              </w:rPr>
              <w:t>R</w:t>
            </w:r>
            <w:r w:rsidRPr="000D433E">
              <w:rPr>
                <w:rFonts w:ascii="Verdana" w:hAnsi="Verdana"/>
                <w:lang w:val="es-CO"/>
              </w:rPr>
              <w:t>esolución 1440 de 2024</w:t>
            </w:r>
            <w:r>
              <w:rPr>
                <w:rFonts w:ascii="Verdana" w:hAnsi="Verdana"/>
                <w:lang w:val="es-CO"/>
              </w:rPr>
              <w:t xml:space="preserve"> del Ministerio de Salud. </w:t>
            </w:r>
          </w:p>
          <w:p w14:paraId="7B9928B4" w14:textId="77777777" w:rsidR="00135720" w:rsidRPr="00752F37"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Pr>
                <w:rFonts w:ascii="Verdana" w:hAnsi="Verdana"/>
              </w:rPr>
              <w:t xml:space="preserve">Acuerdo 01 de 2024 del Archivo General de la Nación, </w:t>
            </w:r>
            <w:r>
              <w:rPr>
                <w:rFonts w:ascii="Verdana" w:hAnsi="Verdana"/>
                <w:lang w:val="es-CO"/>
              </w:rPr>
              <w:t>a</w:t>
            </w:r>
            <w:r w:rsidRPr="00082456">
              <w:rPr>
                <w:rFonts w:ascii="Verdana" w:hAnsi="Verdana"/>
                <w:lang w:val="es-CO"/>
              </w:rPr>
              <w:t>rtículo</w:t>
            </w:r>
            <w:r>
              <w:rPr>
                <w:rFonts w:ascii="Verdana" w:hAnsi="Verdana"/>
                <w:lang w:val="es-CO"/>
              </w:rPr>
              <w:t>s 4.2.3.1 y</w:t>
            </w:r>
            <w:r w:rsidRPr="00082456">
              <w:rPr>
                <w:rFonts w:ascii="Verdana" w:hAnsi="Verdana"/>
                <w:lang w:val="es-CO"/>
              </w:rPr>
              <w:t xml:space="preserve"> 4.1.4</w:t>
            </w:r>
            <w:r>
              <w:rPr>
                <w:rFonts w:ascii="Verdana" w:hAnsi="Verdana"/>
                <w:lang w:val="es-CO"/>
              </w:rPr>
              <w:t>.</w:t>
            </w:r>
          </w:p>
          <w:p w14:paraId="3DBB8CFC" w14:textId="77777777" w:rsidR="00135720" w:rsidRPr="00752F37"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752F37">
              <w:rPr>
                <w:rFonts w:ascii="Verdana" w:hAnsi="Verdana"/>
              </w:rPr>
              <w:t xml:space="preserve">Consejo de Estado. Sala de Consulta y Servicio Civil. Concepto del 27 de agosto de 1998, Rad. 1.127, C.P. Javier Henao </w:t>
            </w:r>
            <w:proofErr w:type="spellStart"/>
            <w:r w:rsidRPr="00752F37">
              <w:rPr>
                <w:rFonts w:ascii="Verdana" w:hAnsi="Verdana"/>
              </w:rPr>
              <w:t>Hidrón</w:t>
            </w:r>
            <w:proofErr w:type="spellEnd"/>
            <w:r w:rsidRPr="00752F37">
              <w:rPr>
                <w:rFonts w:ascii="Verdana" w:hAnsi="Verdana"/>
              </w:rPr>
              <w:t xml:space="preserve">. Rad. 1.127. </w:t>
            </w:r>
          </w:p>
          <w:p w14:paraId="5F1C624E" w14:textId="77777777" w:rsidR="00135720" w:rsidRPr="00752F37"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752F37">
              <w:rPr>
                <w:rFonts w:ascii="Verdana" w:hAnsi="Verdana"/>
              </w:rPr>
              <w:t xml:space="preserve">Consejo de Estado. Sala de Consulta y Servicio Civil. Concepto del 6 de abril de 2000, C.P. Flavio Augusto </w:t>
            </w:r>
            <w:proofErr w:type="spellStart"/>
            <w:r w:rsidRPr="00752F37">
              <w:rPr>
                <w:rFonts w:ascii="Verdana" w:hAnsi="Verdana"/>
              </w:rPr>
              <w:t>Rodriguez</w:t>
            </w:r>
            <w:proofErr w:type="spellEnd"/>
            <w:r w:rsidRPr="00752F37">
              <w:rPr>
                <w:rFonts w:ascii="Verdana" w:hAnsi="Verdana"/>
              </w:rPr>
              <w:t xml:space="preserve"> Arce. Rad. 1.263.</w:t>
            </w:r>
          </w:p>
          <w:p w14:paraId="5EF44478" w14:textId="77777777" w:rsidR="00135720"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752F37">
              <w:rPr>
                <w:rFonts w:ascii="Verdana" w:hAnsi="Verdana"/>
              </w:rPr>
              <w:t xml:space="preserve">Consejo de Estado. Sección Tercera. Sentencia 18 de febrero de 2010. CP, Enrique Gil Botero. </w:t>
            </w:r>
            <w:proofErr w:type="spellStart"/>
            <w:r w:rsidRPr="00752F37">
              <w:rPr>
                <w:rFonts w:ascii="Verdana" w:hAnsi="Verdana"/>
              </w:rPr>
              <w:t>Exp</w:t>
            </w:r>
            <w:proofErr w:type="spellEnd"/>
            <w:r w:rsidRPr="00752F37">
              <w:rPr>
                <w:rFonts w:ascii="Verdana" w:hAnsi="Verdana"/>
              </w:rPr>
              <w:t xml:space="preserve">. 37004. </w:t>
            </w:r>
          </w:p>
          <w:p w14:paraId="5BF38C47" w14:textId="77777777" w:rsidR="00135720"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FC7D35">
              <w:rPr>
                <w:rFonts w:ascii="Verdana" w:hAnsi="Verdana"/>
                <w:lang w:val="es-CO"/>
              </w:rPr>
              <w:t xml:space="preserve">Consejo de Estado. Sección Tercera. Subsección C. Sentencia del 21 de marzo de 2012. C.P. Jaime Orlando Santofimio Gamboa. </w:t>
            </w:r>
            <w:proofErr w:type="spellStart"/>
            <w:r w:rsidRPr="00FC7D35">
              <w:rPr>
                <w:rFonts w:ascii="Verdana" w:hAnsi="Verdana"/>
                <w:lang w:val="es-CO"/>
              </w:rPr>
              <w:t>Exp</w:t>
            </w:r>
            <w:proofErr w:type="spellEnd"/>
            <w:r w:rsidRPr="00FC7D35">
              <w:rPr>
                <w:rFonts w:ascii="Verdana" w:hAnsi="Verdana"/>
                <w:lang w:val="es-CO"/>
              </w:rPr>
              <w:t>. 39.477.</w:t>
            </w:r>
          </w:p>
          <w:p w14:paraId="29597415" w14:textId="77777777" w:rsidR="00135720" w:rsidRPr="00FC7D35"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DB67C9">
              <w:rPr>
                <w:rFonts w:ascii="Verdana" w:hAnsi="Verdana"/>
              </w:rPr>
              <w:t xml:space="preserve">Consejo de Estado. Sección Tercera, Subsección B. </w:t>
            </w:r>
            <w:r w:rsidRPr="00DB67C9">
              <w:rPr>
                <w:rFonts w:ascii="Verdana" w:hAnsi="Verdana"/>
                <w:iCs/>
                <w:lang w:val="es-CO"/>
              </w:rPr>
              <w:t xml:space="preserve">Sentencia del 12 de julio de 2012. C.P. Danilo Rojas </w:t>
            </w:r>
            <w:proofErr w:type="spellStart"/>
            <w:r w:rsidRPr="00DB67C9">
              <w:rPr>
                <w:rFonts w:ascii="Verdana" w:hAnsi="Verdana"/>
                <w:iCs/>
                <w:lang w:val="es-CO"/>
              </w:rPr>
              <w:t>Betancourth</w:t>
            </w:r>
            <w:proofErr w:type="spellEnd"/>
            <w:r w:rsidRPr="00DB67C9">
              <w:rPr>
                <w:rFonts w:ascii="Verdana" w:hAnsi="Verdana"/>
                <w:iCs/>
                <w:lang w:val="es-CO"/>
              </w:rPr>
              <w:t xml:space="preserve">. </w:t>
            </w:r>
            <w:proofErr w:type="spellStart"/>
            <w:r w:rsidRPr="00DB67C9">
              <w:rPr>
                <w:rFonts w:ascii="Verdana" w:hAnsi="Verdana"/>
                <w:iCs/>
                <w:lang w:val="es-CO"/>
              </w:rPr>
              <w:t>Exp</w:t>
            </w:r>
            <w:proofErr w:type="spellEnd"/>
            <w:r w:rsidRPr="00DB67C9">
              <w:rPr>
                <w:rFonts w:ascii="Verdana" w:hAnsi="Verdana"/>
                <w:iCs/>
                <w:lang w:val="es-CO"/>
              </w:rPr>
              <w:t xml:space="preserve">. 15024. </w:t>
            </w:r>
          </w:p>
          <w:p w14:paraId="67C71FDF" w14:textId="77777777" w:rsidR="00135720" w:rsidRPr="00DB67C9"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DB67C9">
              <w:rPr>
                <w:rFonts w:ascii="Verdana" w:hAnsi="Verdana"/>
              </w:rPr>
              <w:t xml:space="preserve">Consejo de Estado. Sección Tercera. Subsección A. Sentencia del 24 de octubre de 2016. C.P. Marta Nubia Velásquez Rico. </w:t>
            </w:r>
            <w:proofErr w:type="spellStart"/>
            <w:r w:rsidRPr="00DB67C9">
              <w:rPr>
                <w:rFonts w:ascii="Verdana" w:hAnsi="Verdana"/>
              </w:rPr>
              <w:t>Exp</w:t>
            </w:r>
            <w:proofErr w:type="spellEnd"/>
            <w:r w:rsidRPr="00DB67C9">
              <w:rPr>
                <w:rFonts w:ascii="Verdana" w:hAnsi="Verdana"/>
              </w:rPr>
              <w:t>. 45.607.</w:t>
            </w:r>
          </w:p>
          <w:p w14:paraId="5D1E8A79" w14:textId="77777777" w:rsidR="00135720" w:rsidRPr="00FC7B39"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lang w:val="pt-BR"/>
              </w:rPr>
            </w:pPr>
            <w:r w:rsidRPr="00FC7B39">
              <w:rPr>
                <w:rFonts w:ascii="Verdana" w:hAnsi="Verdana"/>
                <w:lang w:val="pt-BR"/>
              </w:rPr>
              <w:t xml:space="preserve">Corte Constitucional. Sentencia C-665 de 2000. M.P. José </w:t>
            </w:r>
            <w:proofErr w:type="spellStart"/>
            <w:r w:rsidRPr="00FC7B39">
              <w:rPr>
                <w:rFonts w:ascii="Verdana" w:hAnsi="Verdana"/>
                <w:lang w:val="pt-BR"/>
              </w:rPr>
              <w:t>Gregorio</w:t>
            </w:r>
            <w:proofErr w:type="spellEnd"/>
            <w:r w:rsidRPr="00FC7B39">
              <w:rPr>
                <w:rFonts w:ascii="Verdana" w:hAnsi="Verdana"/>
                <w:lang w:val="pt-BR"/>
              </w:rPr>
              <w:t xml:space="preserve"> Hernández Galindo</w:t>
            </w:r>
          </w:p>
          <w:p w14:paraId="77B32356" w14:textId="77777777" w:rsidR="00135720" w:rsidRPr="00752F37"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FC7B39">
              <w:rPr>
                <w:rFonts w:ascii="Verdana" w:hAnsi="Verdana"/>
                <w:lang w:val="pt-BR"/>
              </w:rPr>
              <w:t xml:space="preserve">Corte Constitucional. Sentencia C-317 de 2012. </w:t>
            </w:r>
            <w:r w:rsidRPr="00752F37">
              <w:rPr>
                <w:rFonts w:ascii="Verdana" w:hAnsi="Verdana"/>
              </w:rPr>
              <w:t xml:space="preserve">M.P. María Victoria Calle Correa. </w:t>
            </w:r>
          </w:p>
          <w:p w14:paraId="2E5FA336" w14:textId="77777777" w:rsidR="00135720"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752F37">
              <w:rPr>
                <w:rFonts w:ascii="Verdana" w:hAnsi="Verdana"/>
              </w:rPr>
              <w:t>Ministerio de Salud y la Protección Social. Concepto del 16 de agosto de 2019. Expediente No. 201942301304712.</w:t>
            </w:r>
          </w:p>
          <w:p w14:paraId="260529F5" w14:textId="77777777" w:rsidR="00135720" w:rsidRPr="0095533A"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95533A">
              <w:rPr>
                <w:rFonts w:ascii="Verdana" w:hAnsi="Verdana"/>
              </w:rPr>
              <w:t>BARRETO MORENO, Antonio Alejandro. El derecho de la compra pública: estudio jurídico de un mercado imperfecto. Bogotá: Legis, 2019.</w:t>
            </w:r>
          </w:p>
          <w:p w14:paraId="2F275F97" w14:textId="77777777" w:rsidR="00135720"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95533A">
              <w:rPr>
                <w:rFonts w:ascii="Verdana" w:hAnsi="Verdana"/>
              </w:rPr>
              <w:t xml:space="preserve">BENAVIDES, José Luis. El contrato estatal: entre el derecho público y el derecho privado. Segunda edición. Bogotá: Universidad Externado de Colombia, 2009. </w:t>
            </w:r>
          </w:p>
          <w:p w14:paraId="148AF78E" w14:textId="77777777" w:rsidR="00135720" w:rsidRPr="00041187" w:rsidRDefault="00135720" w:rsidP="00135720">
            <w:pPr>
              <w:pStyle w:val="Prrafodelista"/>
              <w:numPr>
                <w:ilvl w:val="0"/>
                <w:numId w:val="34"/>
              </w:numPr>
              <w:spacing w:after="120" w:line="276" w:lineRule="auto"/>
              <w:contextualSpacing w:val="0"/>
              <w:jc w:val="both"/>
              <w:rPr>
                <w:rFonts w:ascii="Verdana" w:hAnsi="Verdana"/>
              </w:rPr>
            </w:pPr>
            <w:r w:rsidRPr="00041187">
              <w:rPr>
                <w:rFonts w:ascii="Verdana" w:hAnsi="Verdana"/>
              </w:rPr>
              <w:t>BETANCUR JARAMILLO, Carlos. Derecho procesal administrativo. Octava edición. Medellín: Señal Editora, 2013.</w:t>
            </w:r>
          </w:p>
          <w:p w14:paraId="3247B1F1" w14:textId="77777777" w:rsidR="00135720" w:rsidRPr="00752F37"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752F37">
              <w:rPr>
                <w:rFonts w:ascii="Verdana" w:hAnsi="Verdana"/>
              </w:rPr>
              <w:lastRenderedPageBreak/>
              <w:t xml:space="preserve">HINESTROSA FORERO, Fernando. Tratado de las Obligaciones II. De las fuentes de las obligaciones: el negocio jurídico. Vol. I. Bogotá: Universidad Externado de Colombia, 2015. p. 116.  </w:t>
            </w:r>
          </w:p>
          <w:p w14:paraId="03823C9A" w14:textId="77777777" w:rsidR="00135720" w:rsidRPr="00752F37" w:rsidRDefault="00135720" w:rsidP="007A5FDB">
            <w:pPr>
              <w:pStyle w:val="Prrafodelista"/>
              <w:widowControl w:val="0"/>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p>
          <w:p w14:paraId="365B8F73" w14:textId="77777777" w:rsidR="00135720" w:rsidRPr="0095533A"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95533A">
              <w:rPr>
                <w:rFonts w:ascii="Verdana" w:hAnsi="Verdana"/>
              </w:rPr>
              <w:t xml:space="preserve">JOJOA BOLAÑOS, Alexander. Los regímenes exceptuados en los contratos estatales. Bogotá: Grupo Editorial Ibáñez, 2012. </w:t>
            </w:r>
          </w:p>
          <w:p w14:paraId="719B0EC2" w14:textId="77777777" w:rsidR="00135720" w:rsidRPr="00752F37"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752F37">
              <w:rPr>
                <w:rFonts w:ascii="Verdana" w:hAnsi="Verdana"/>
                <w:lang w:val="es-CO"/>
              </w:rPr>
              <w:t xml:space="preserve">MARÍN CORTÉS, Fabián G. El reglamento como fuente del derecho administrativo. En: Las fuentes del derecho administrativo. Texto inédito. 2010. </w:t>
            </w:r>
          </w:p>
          <w:p w14:paraId="64921C77" w14:textId="77777777" w:rsidR="00135720" w:rsidRPr="00ED2B7C"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ED2B7C">
              <w:rPr>
                <w:rFonts w:ascii="Verdana" w:hAnsi="Verdana"/>
              </w:rPr>
              <w:t xml:space="preserve">MONTOYA PENAGOS, Juan David. Terminación unilateral por incumplimiento. Medellín: Librería Jurídica Sánchez S.A.S. y CEDA, 2025. p. 255.   </w:t>
            </w:r>
          </w:p>
          <w:p w14:paraId="545AE1F6" w14:textId="77777777" w:rsidR="00135720" w:rsidRPr="00752F37" w:rsidRDefault="00135720" w:rsidP="00135720">
            <w:pPr>
              <w:pStyle w:val="Prrafodelista"/>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contextualSpacing w:val="0"/>
              <w:jc w:val="both"/>
              <w:rPr>
                <w:rFonts w:ascii="Verdana" w:hAnsi="Verdana"/>
              </w:rPr>
            </w:pPr>
            <w:r w:rsidRPr="00ED2B7C">
              <w:rPr>
                <w:rFonts w:ascii="Verdana" w:hAnsi="Verdana"/>
              </w:rPr>
              <w:t xml:space="preserve">SUÁREZ TAMAYO, David. Cláusula de multas y penal pecuniaria. Medellín: Librería Jurídica Sánchez y CEDA, 2014. pp. 158-159. </w:t>
            </w:r>
          </w:p>
        </w:tc>
      </w:tr>
    </w:tbl>
    <w:p w14:paraId="12A2E5F3" w14:textId="77777777" w:rsidR="00135720" w:rsidRPr="00185EE9" w:rsidRDefault="00135720" w:rsidP="00135720">
      <w:pPr>
        <w:spacing w:after="0" w:line="276" w:lineRule="auto"/>
        <w:ind w:right="709"/>
        <w:jc w:val="both"/>
        <w:rPr>
          <w:rFonts w:ascii="Verdana" w:hAnsi="Verdana" w:cs="Arial"/>
          <w:color w:val="000000" w:themeColor="text1"/>
          <w:lang w:val="es-ES_tradnl"/>
        </w:rPr>
      </w:pPr>
    </w:p>
    <w:p w14:paraId="0E5C659C" w14:textId="77777777" w:rsidR="00135720" w:rsidRPr="00185EE9" w:rsidRDefault="00135720" w:rsidP="00135720">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Doctrina de la Agencia Nacional de Contratación Pública:</w:t>
      </w:r>
    </w:p>
    <w:p w14:paraId="09B2CC58" w14:textId="77777777" w:rsidR="00135720" w:rsidRPr="003F4BAF" w:rsidRDefault="00135720" w:rsidP="00135720">
      <w:pPr>
        <w:widowControl w:val="0"/>
        <w:autoSpaceDE w:val="0"/>
        <w:autoSpaceDN w:val="0"/>
        <w:spacing w:after="0" w:line="276" w:lineRule="auto"/>
        <w:jc w:val="both"/>
        <w:rPr>
          <w:rFonts w:ascii="Verdana" w:hAnsi="Verdana" w:cs="Arial"/>
          <w:bCs/>
          <w:shd w:val="clear" w:color="auto" w:fill="FFFFFF"/>
        </w:rPr>
      </w:pPr>
    </w:p>
    <w:p w14:paraId="2B560810" w14:textId="77777777" w:rsidR="00135720" w:rsidRPr="005F75B4" w:rsidRDefault="00135720" w:rsidP="00135720">
      <w:pPr>
        <w:widowControl w:val="0"/>
        <w:autoSpaceDE w:val="0"/>
        <w:autoSpaceDN w:val="0"/>
        <w:spacing w:after="0" w:line="276" w:lineRule="auto"/>
        <w:jc w:val="both"/>
        <w:rPr>
          <w:rFonts w:ascii="Verdana" w:hAnsi="Verdana" w:cs="Arial"/>
          <w:bCs/>
          <w:shd w:val="clear" w:color="auto" w:fill="FFFFFF"/>
          <w:lang w:val="es-ES"/>
        </w:rPr>
      </w:pPr>
      <w:r>
        <w:rPr>
          <w:rFonts w:ascii="Verdana" w:hAnsi="Verdana" w:cs="Arial"/>
          <w:bCs/>
          <w:shd w:val="clear" w:color="auto" w:fill="FFFFFF"/>
        </w:rPr>
        <w:t>La</w:t>
      </w:r>
      <w:r w:rsidRPr="00041187">
        <w:rPr>
          <w:rFonts w:ascii="Verdana" w:hAnsi="Verdana" w:cs="Arial"/>
          <w:bCs/>
          <w:shd w:val="clear" w:color="auto" w:fill="FFFFFF"/>
        </w:rPr>
        <w:t xml:space="preserve"> Agencia Nacional de Contratación Pública – Colombia Compra Eficiente estudió la potestad sancionatoria de las Entidades Estatales y el procedimiento administrativo que deben efectuar para declarar el incumplimiento y aplicar las sanciones correspondientes, destacando la necesidad de garantizar el debido proceso, en los conceptos C-147 del 17 de marzo de 2020, C-219 del 29 de abril de 2020, C-434 del 29 de julio de 2020, C-569 del 31 de agosto de 2020, C-641 del 4 de noviembre de 2020, C-060 del 8 de marzo de 2021, C-528 del 5 de abril de 2021, C-420 del 25 de agosto de 2022, C- 720 del 25 de enero de 2022, C-085 del 29 de abril  de 2022 C-125 del 23 de marzo de 2022, C-195 del 12 de abril de 2022, C-208 del 26 de abril de 2022, C-238 del 27 de abril de 2022, C-866 del 20 de diciembre de 2022, C-034 de 09 de marzo de 2023, C-140 del 13 de junio de 2023, C-227 del 07 de julio del 2023 y C-047 del 25 de abril de 2024</w:t>
      </w:r>
      <w:r w:rsidRPr="00041187">
        <w:rPr>
          <w:rFonts w:ascii="Verdana" w:hAnsi="Verdana" w:cs="Arial"/>
          <w:bCs/>
          <w:shd w:val="clear" w:color="auto" w:fill="FFFFFF"/>
          <w:lang w:val="es-ES"/>
        </w:rPr>
        <w:t xml:space="preserve">. Asimismo, </w:t>
      </w:r>
      <w:r>
        <w:rPr>
          <w:rFonts w:ascii="Verdana" w:hAnsi="Verdana" w:cs="Arial"/>
          <w:bCs/>
          <w:shd w:val="clear" w:color="auto" w:fill="FFFFFF"/>
          <w:lang w:val="es-ES"/>
        </w:rPr>
        <w:t>en los</w:t>
      </w:r>
      <w:r w:rsidRPr="00041187">
        <w:rPr>
          <w:rFonts w:ascii="Verdana" w:hAnsi="Verdana" w:cs="Arial"/>
          <w:bCs/>
          <w:shd w:val="clear" w:color="auto" w:fill="FFFFFF"/>
          <w:lang w:val="es-ES"/>
        </w:rPr>
        <w:t xml:space="preserve"> concepto</w:t>
      </w:r>
      <w:r>
        <w:rPr>
          <w:rFonts w:ascii="Verdana" w:hAnsi="Verdana" w:cs="Arial"/>
          <w:bCs/>
          <w:shd w:val="clear" w:color="auto" w:fill="FFFFFF"/>
          <w:lang w:val="es-ES"/>
        </w:rPr>
        <w:t>s</w:t>
      </w:r>
      <w:r w:rsidRPr="00041187">
        <w:rPr>
          <w:rFonts w:ascii="Verdana" w:hAnsi="Verdana" w:cs="Arial"/>
          <w:bCs/>
          <w:shd w:val="clear" w:color="auto" w:fill="FFFFFF"/>
          <w:lang w:val="es-ES"/>
        </w:rPr>
        <w:t xml:space="preserve"> C-492 del 9 de octubre de 2024</w:t>
      </w:r>
      <w:r>
        <w:rPr>
          <w:rFonts w:ascii="Verdana" w:hAnsi="Verdana" w:cs="Arial"/>
          <w:bCs/>
          <w:shd w:val="clear" w:color="auto" w:fill="FFFFFF"/>
          <w:lang w:val="es-ES"/>
        </w:rPr>
        <w:t xml:space="preserve"> y C-1005 del 13 de enero de 2025,</w:t>
      </w:r>
      <w:r w:rsidRPr="00041187">
        <w:rPr>
          <w:rFonts w:ascii="Verdana" w:hAnsi="Verdana" w:cs="Arial"/>
          <w:bCs/>
          <w:shd w:val="clear" w:color="auto" w:fill="FFFFFF"/>
          <w:lang w:val="es-ES"/>
        </w:rPr>
        <w:t xml:space="preserve"> </w:t>
      </w:r>
      <w:r>
        <w:rPr>
          <w:rFonts w:ascii="Verdana" w:hAnsi="Verdana" w:cs="Arial"/>
          <w:bCs/>
          <w:shd w:val="clear" w:color="auto" w:fill="FFFFFF"/>
          <w:lang w:val="es-ES"/>
        </w:rPr>
        <w:t xml:space="preserve">C-907 del 20 de agosto de 2025, C-1012 del 4 de septiembre de 2025, entre otros, </w:t>
      </w:r>
      <w:r w:rsidRPr="00041187">
        <w:rPr>
          <w:rFonts w:ascii="Verdana" w:hAnsi="Verdana" w:cs="Arial"/>
          <w:bCs/>
          <w:shd w:val="clear" w:color="auto" w:fill="FFFFFF"/>
          <w:lang w:val="es-ES"/>
        </w:rPr>
        <w:t xml:space="preserve">se analizó el régimen sancionatorio </w:t>
      </w:r>
      <w:r w:rsidRPr="00041187">
        <w:rPr>
          <w:rFonts w:ascii="Verdana" w:hAnsi="Verdana" w:cs="Arial"/>
          <w:bCs/>
          <w:shd w:val="clear" w:color="auto" w:fill="FFFFFF"/>
        </w:rPr>
        <w:t>en entidades de régimen especial</w:t>
      </w:r>
      <w:r w:rsidRPr="00041187">
        <w:rPr>
          <w:rFonts w:ascii="Verdana" w:hAnsi="Verdana" w:cs="Arial"/>
          <w:bCs/>
          <w:shd w:val="clear" w:color="auto" w:fill="FFFFFF"/>
          <w:lang w:val="es-ES"/>
        </w:rPr>
        <w:t xml:space="preserve"> con fundamento</w:t>
      </w:r>
      <w:r>
        <w:rPr>
          <w:rFonts w:ascii="Verdana" w:hAnsi="Verdana" w:cs="Arial"/>
          <w:bCs/>
          <w:shd w:val="clear" w:color="auto" w:fill="FFFFFF"/>
          <w:lang w:val="es-ES"/>
        </w:rPr>
        <w:t xml:space="preserve"> en la autonomía de la voluntad, en especial, de las Empresas de Servicios Públicos Domiciliarios, </w:t>
      </w:r>
      <w:r w:rsidRPr="00041187">
        <w:rPr>
          <w:rFonts w:ascii="Verdana" w:hAnsi="Verdana" w:cs="Arial"/>
          <w:bCs/>
          <w:shd w:val="clear" w:color="auto" w:fill="FFFFFF"/>
          <w:lang w:val="es-ES"/>
        </w:rPr>
        <w:t>a propósito de las sentencias recientes del Consejo de Estado.</w:t>
      </w:r>
      <w:r>
        <w:rPr>
          <w:rFonts w:ascii="Verdana" w:hAnsi="Verdana" w:cs="Arial"/>
          <w:bCs/>
          <w:shd w:val="clear" w:color="auto" w:fill="FFFFFF"/>
          <w:lang w:val="es-ES"/>
        </w:rPr>
        <w:t xml:space="preserve"> Por otro lado, este concepto realiza un análisis de la potestad sancionatoria de las Empresas Sociales del Estado con fundamento en el artículo 195, numeral 6° de la Ley 100 de 1993. </w:t>
      </w:r>
      <w:r w:rsidRPr="00185EE9">
        <w:rPr>
          <w:rFonts w:ascii="Verdana" w:eastAsia="Calibri" w:hAnsi="Verdana" w:cs="Times New Roman"/>
        </w:rPr>
        <w:lastRenderedPageBreak/>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E801B37" w14:textId="77777777" w:rsidR="00135720" w:rsidRPr="00185EE9" w:rsidRDefault="00135720" w:rsidP="00135720">
      <w:pPr>
        <w:spacing w:after="0" w:line="256" w:lineRule="auto"/>
        <w:jc w:val="both"/>
        <w:rPr>
          <w:rFonts w:ascii="Verdana" w:eastAsia="Calibri" w:hAnsi="Verdana" w:cs="Times New Roman"/>
        </w:rPr>
      </w:pPr>
      <w:hyperlink r:id="rId13"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33A0D8CF" w14:textId="77777777" w:rsidR="00135720" w:rsidRPr="0089599E" w:rsidRDefault="00135720" w:rsidP="00135720">
      <w:pPr>
        <w:spacing w:after="0" w:line="256" w:lineRule="auto"/>
        <w:jc w:val="both"/>
        <w:rPr>
          <w:rFonts w:ascii="Verdana" w:eastAsia="Calibri" w:hAnsi="Verdana" w:cs="Times New Roman"/>
        </w:rPr>
      </w:pPr>
    </w:p>
    <w:p w14:paraId="3CAA5025" w14:textId="77777777" w:rsidR="00135720" w:rsidRPr="00EC0E3F" w:rsidRDefault="00135720" w:rsidP="00135720">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CD17833" w14:textId="77777777" w:rsidR="00135720" w:rsidRPr="0044528D" w:rsidRDefault="00135720" w:rsidP="00135720">
      <w:pPr>
        <w:spacing w:after="0" w:line="240" w:lineRule="auto"/>
        <w:jc w:val="both"/>
        <w:rPr>
          <w:rFonts w:ascii="Verdana" w:hAnsi="Verdana"/>
        </w:rPr>
      </w:pPr>
    </w:p>
    <w:p w14:paraId="3AFD37C9" w14:textId="77777777" w:rsidR="00135720" w:rsidRPr="00185EE9" w:rsidRDefault="00135720" w:rsidP="00135720">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F51EC38" w14:textId="77777777" w:rsidR="00135720" w:rsidRPr="00185EE9" w:rsidRDefault="00135720" w:rsidP="00135720">
      <w:pPr>
        <w:spacing w:after="0" w:line="256" w:lineRule="auto"/>
        <w:jc w:val="both"/>
        <w:rPr>
          <w:rFonts w:ascii="Verdana" w:eastAsia="Calibri" w:hAnsi="Verdana" w:cs="Times New Roman"/>
        </w:rPr>
      </w:pPr>
    </w:p>
    <w:p w14:paraId="7736EA36" w14:textId="36C8B93F" w:rsidR="00135720" w:rsidRPr="00157783" w:rsidRDefault="00135720" w:rsidP="00157783">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4E9833A2" w14:textId="3DC96239" w:rsidR="00135720" w:rsidRDefault="00157783" w:rsidP="00157783">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4912F5BB" wp14:editId="51898B7A">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891299" cy="1509270"/>
                    </a:xfrm>
                    <a:prstGeom prst="rect">
                      <a:avLst/>
                    </a:prstGeom>
                  </pic:spPr>
                </pic:pic>
              </a:graphicData>
            </a:graphic>
          </wp:inline>
        </w:drawing>
      </w:r>
    </w:p>
    <w:p w14:paraId="71C9F2B4" w14:textId="77777777" w:rsidR="00157783" w:rsidRDefault="00157783" w:rsidP="00157783">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35720" w:rsidRPr="00D81E8E" w14:paraId="65F1962F" w14:textId="77777777" w:rsidTr="007A5FDB">
        <w:trPr>
          <w:trHeight w:val="409"/>
        </w:trPr>
        <w:tc>
          <w:tcPr>
            <w:tcW w:w="817" w:type="dxa"/>
            <w:tcBorders>
              <w:top w:val="nil"/>
              <w:left w:val="nil"/>
              <w:bottom w:val="nil"/>
              <w:right w:val="nil"/>
            </w:tcBorders>
            <w:vAlign w:val="center"/>
            <w:hideMark/>
          </w:tcPr>
          <w:p w14:paraId="10C419AC"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E199F4B"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José Luis Sánchez Cardona</w:t>
            </w:r>
          </w:p>
          <w:p w14:paraId="4800E8D9"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Contratista de la Subdirección de Gestión Contractual</w:t>
            </w:r>
          </w:p>
        </w:tc>
      </w:tr>
      <w:tr w:rsidR="00135720" w:rsidRPr="00D81E8E" w14:paraId="2DF38E54" w14:textId="77777777" w:rsidTr="007A5FDB">
        <w:trPr>
          <w:trHeight w:val="409"/>
        </w:trPr>
        <w:tc>
          <w:tcPr>
            <w:tcW w:w="817" w:type="dxa"/>
            <w:tcBorders>
              <w:top w:val="nil"/>
              <w:left w:val="nil"/>
              <w:bottom w:val="nil"/>
              <w:right w:val="nil"/>
            </w:tcBorders>
            <w:vAlign w:val="center"/>
            <w:hideMark/>
          </w:tcPr>
          <w:p w14:paraId="001B829D"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A6E65FA"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Alejandro Sarmiento Cantillo</w:t>
            </w:r>
          </w:p>
          <w:p w14:paraId="384AF05A"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Gestor T1-15 de la Subdirección de Gestión Contractual </w:t>
            </w:r>
          </w:p>
        </w:tc>
      </w:tr>
      <w:tr w:rsidR="00135720" w:rsidRPr="00D81E8E" w14:paraId="3E40A1CB" w14:textId="77777777" w:rsidTr="007A5FDB">
        <w:trPr>
          <w:trHeight w:val="389"/>
        </w:trPr>
        <w:tc>
          <w:tcPr>
            <w:tcW w:w="817" w:type="dxa"/>
            <w:tcBorders>
              <w:top w:val="nil"/>
              <w:left w:val="nil"/>
              <w:bottom w:val="nil"/>
              <w:right w:val="nil"/>
            </w:tcBorders>
            <w:vAlign w:val="center"/>
            <w:hideMark/>
          </w:tcPr>
          <w:p w14:paraId="73A7F9FD"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E2E5813"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 xml:space="preserve">Carolina Quintero </w:t>
            </w:r>
            <w:proofErr w:type="spellStart"/>
            <w:r w:rsidRPr="00D81E8E">
              <w:rPr>
                <w:rFonts w:ascii="Verdana" w:eastAsia="Calibri" w:hAnsi="Verdana" w:cs="Times New Roman"/>
                <w:sz w:val="16"/>
                <w:szCs w:val="16"/>
              </w:rPr>
              <w:t>Gacharná</w:t>
            </w:r>
            <w:proofErr w:type="spellEnd"/>
          </w:p>
          <w:p w14:paraId="22F57971" w14:textId="77777777" w:rsidR="00135720" w:rsidRPr="00D81E8E" w:rsidRDefault="00135720" w:rsidP="007A5FDB">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Subdirectora de Gestión Contractual ANCP – CCE</w:t>
            </w:r>
          </w:p>
        </w:tc>
      </w:tr>
      <w:bookmarkEnd w:id="0"/>
    </w:tbl>
    <w:p w14:paraId="549C8A29" w14:textId="10143A68" w:rsidR="007B5D8B" w:rsidRPr="00135720" w:rsidRDefault="007B5D8B" w:rsidP="00157783"/>
    <w:sectPr w:rsidR="007B5D8B" w:rsidRPr="0013572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73869" w14:textId="77777777" w:rsidR="0055774B" w:rsidRDefault="0055774B" w:rsidP="004A1847">
      <w:pPr>
        <w:spacing w:after="0" w:line="240" w:lineRule="auto"/>
      </w:pPr>
      <w:r>
        <w:separator/>
      </w:r>
    </w:p>
  </w:endnote>
  <w:endnote w:type="continuationSeparator" w:id="0">
    <w:p w14:paraId="0CE9F714" w14:textId="77777777" w:rsidR="0055774B" w:rsidRDefault="0055774B" w:rsidP="004A1847">
      <w:pPr>
        <w:spacing w:after="0" w:line="240" w:lineRule="auto"/>
      </w:pPr>
      <w:r>
        <w:continuationSeparator/>
      </w:r>
    </w:p>
  </w:endnote>
  <w:endnote w:type="continuationNotice" w:id="1">
    <w:p w14:paraId="6B6E0E2B" w14:textId="77777777" w:rsidR="0055774B" w:rsidRDefault="005577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50B0E" w:rsidRDefault="00B50B0E">
    <w:pPr>
      <w:pStyle w:val="Piedepgina"/>
    </w:pPr>
  </w:p>
  <w:p w14:paraId="594D6D9F" w14:textId="2D18E5FC" w:rsidR="00B50B0E" w:rsidRPr="00174B77" w:rsidRDefault="00B50B0E"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FD2400">
      <w:rPr>
        <w:rFonts w:ascii="Verdana" w:eastAsia="MS Gothic" w:hAnsi="Verdana" w:cs="Times New Roman"/>
        <w:b/>
        <w:bCs/>
        <w:sz w:val="16"/>
        <w:szCs w:val="16"/>
        <w:lang w:val="es-ES"/>
      </w:rPr>
      <w:t xml:space="preserve">pág. </w:t>
    </w:r>
    <w:r w:rsidRPr="00FD2400">
      <w:rPr>
        <w:rFonts w:ascii="Verdana" w:eastAsia="MS Mincho" w:hAnsi="Verdana"/>
        <w:b/>
        <w:bCs/>
        <w:sz w:val="16"/>
        <w:szCs w:val="16"/>
      </w:rPr>
      <w:fldChar w:fldCharType="begin"/>
    </w:r>
    <w:r w:rsidRPr="002E1330">
      <w:rPr>
        <w:rFonts w:ascii="Verdana" w:hAnsi="Verdana"/>
        <w:b/>
        <w:bCs/>
        <w:sz w:val="16"/>
        <w:szCs w:val="16"/>
      </w:rPr>
      <w:instrText>PAGE    \* MERGEFORMAT</w:instrText>
    </w:r>
    <w:r w:rsidRPr="00FD2400">
      <w:rPr>
        <w:rFonts w:ascii="Verdana" w:eastAsia="MS Mincho" w:hAnsi="Verdana"/>
        <w:b/>
        <w:bCs/>
        <w:sz w:val="16"/>
        <w:szCs w:val="16"/>
      </w:rPr>
      <w:fldChar w:fldCharType="separate"/>
    </w:r>
    <w:r w:rsidR="00E17A50" w:rsidRPr="00E17A50">
      <w:rPr>
        <w:rFonts w:ascii="Verdana" w:eastAsia="MS Mincho" w:hAnsi="Verdana"/>
        <w:b/>
        <w:bCs/>
        <w:noProof/>
        <w:sz w:val="16"/>
        <w:szCs w:val="16"/>
      </w:rPr>
      <w:t>2</w:t>
    </w:r>
    <w:r w:rsidRPr="00FD2400">
      <w:rPr>
        <w:rFonts w:ascii="Verdana" w:eastAsia="MS Gothic"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50B0E" w:rsidRDefault="00B50B0E"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50B0E" w:rsidRPr="00E41027" w:rsidRDefault="00B50B0E"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B50B0E" w:rsidRDefault="00B50B0E"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6A30F" w14:textId="77777777" w:rsidR="0055774B" w:rsidRDefault="0055774B" w:rsidP="004A1847">
      <w:pPr>
        <w:spacing w:after="0" w:line="240" w:lineRule="auto"/>
      </w:pPr>
      <w:r>
        <w:separator/>
      </w:r>
    </w:p>
  </w:footnote>
  <w:footnote w:type="continuationSeparator" w:id="0">
    <w:p w14:paraId="50D96673" w14:textId="77777777" w:rsidR="0055774B" w:rsidRDefault="0055774B" w:rsidP="004A1847">
      <w:pPr>
        <w:spacing w:after="0" w:line="240" w:lineRule="auto"/>
      </w:pPr>
      <w:r>
        <w:continuationSeparator/>
      </w:r>
    </w:p>
  </w:footnote>
  <w:footnote w:type="continuationNotice" w:id="1">
    <w:p w14:paraId="00E47970" w14:textId="77777777" w:rsidR="0055774B" w:rsidRDefault="0055774B">
      <w:pPr>
        <w:spacing w:after="0" w:line="240" w:lineRule="auto"/>
      </w:pPr>
    </w:p>
  </w:footnote>
  <w:footnote w:id="2">
    <w:p w14:paraId="587A9677" w14:textId="77777777" w:rsidR="00135720" w:rsidRPr="00A30929" w:rsidRDefault="00135720" w:rsidP="00135720">
      <w:pPr>
        <w:pStyle w:val="Textonotapie"/>
        <w:ind w:firstLine="708"/>
        <w:jc w:val="both"/>
        <w:rPr>
          <w:rFonts w:ascii="Verdana" w:hAnsi="Verdana" w:cs="Arial"/>
          <w:sz w:val="16"/>
          <w:szCs w:val="16"/>
          <w:lang w:val="es-ES"/>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71EB2F2A" w14:textId="77777777" w:rsidR="00135720" w:rsidRPr="00A30929" w:rsidRDefault="00135720" w:rsidP="00135720">
      <w:pPr>
        <w:pStyle w:val="Textonotapie"/>
        <w:ind w:firstLine="708"/>
        <w:jc w:val="both"/>
        <w:rPr>
          <w:rFonts w:ascii="Verdana" w:hAnsi="Verdana" w:cs="Arial"/>
          <w:sz w:val="16"/>
          <w:szCs w:val="16"/>
          <w:lang w:val="es-ES"/>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BETANCUR JARAMILLO, Carlos. Derecho procesal administrativo. Octava edición. Medellín: Señal Editora, 2013. p. 627. </w:t>
      </w:r>
    </w:p>
  </w:footnote>
  <w:footnote w:id="4">
    <w:p w14:paraId="667D5996" w14:textId="77777777" w:rsidR="00135720" w:rsidRPr="00A30929" w:rsidRDefault="00135720" w:rsidP="00135720">
      <w:pPr>
        <w:pStyle w:val="Textonotapie"/>
        <w:ind w:firstLine="708"/>
        <w:jc w:val="both"/>
        <w:rPr>
          <w:rFonts w:ascii="Verdana" w:hAnsi="Verdana" w:cs="Arial"/>
          <w:sz w:val="16"/>
          <w:szCs w:val="16"/>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JOJOA BOLAÑOS, Alexander. Los regímenes exceptuados en los contratos estatales. Bogotá: Grupo Editorial Ibáñez, 2012. p. 89.</w:t>
      </w:r>
    </w:p>
  </w:footnote>
  <w:footnote w:id="5">
    <w:p w14:paraId="71E2CF18" w14:textId="77777777" w:rsidR="00135720" w:rsidRPr="00A30929" w:rsidRDefault="00135720" w:rsidP="00135720">
      <w:pPr>
        <w:pStyle w:val="Textonotapie"/>
        <w:ind w:firstLine="708"/>
        <w:jc w:val="both"/>
        <w:rPr>
          <w:rFonts w:ascii="Verdana" w:hAnsi="Verdana" w:cs="Arial"/>
          <w:sz w:val="16"/>
          <w:szCs w:val="16"/>
        </w:rPr>
      </w:pPr>
      <w:r w:rsidRPr="00A30929">
        <w:rPr>
          <w:rStyle w:val="Refdenotaalpie"/>
          <w:rFonts w:ascii="Verdana" w:hAnsi="Verdana" w:cs="Arial"/>
          <w:sz w:val="16"/>
          <w:szCs w:val="16"/>
          <w:vertAlign w:val="baseline"/>
        </w:rPr>
        <w:footnoteRef/>
      </w:r>
      <w:r w:rsidRPr="00A30929">
        <w:rPr>
          <w:rFonts w:ascii="Verdana" w:hAnsi="Verdana" w:cs="Arial"/>
          <w:sz w:val="16"/>
          <w:szCs w:val="16"/>
        </w:rPr>
        <w:t xml:space="preserve"> BARRETO MORENO, Antonio Alejandro. El derecho de la compra pública: estudio jurídico de un mercado imperfecto. Bogotá: Legis, 2019. pp. 281 y ss.</w:t>
      </w:r>
    </w:p>
  </w:footnote>
  <w:footnote w:id="6">
    <w:p w14:paraId="252FB25F" w14:textId="77777777" w:rsidR="00135720" w:rsidRPr="00FD7E2D" w:rsidRDefault="00135720" w:rsidP="00135720">
      <w:pPr>
        <w:pStyle w:val="Textonotapie"/>
        <w:ind w:firstLine="709"/>
        <w:jc w:val="both"/>
        <w:rPr>
          <w:rFonts w:ascii="Verdana" w:hAnsi="Verdana" w:cs="Arial"/>
          <w:sz w:val="16"/>
          <w:szCs w:val="22"/>
          <w:lang w:val="es-ES"/>
        </w:rPr>
      </w:pPr>
      <w:r w:rsidRPr="003A1844">
        <w:rPr>
          <w:rStyle w:val="Refdenotaalpie"/>
          <w:rFonts w:ascii="Verdana" w:hAnsi="Verdana" w:cs="Arial"/>
          <w:sz w:val="16"/>
          <w:szCs w:val="22"/>
        </w:rPr>
        <w:footnoteRef/>
      </w:r>
      <w:r w:rsidRPr="003A1844">
        <w:rPr>
          <w:rFonts w:ascii="Verdana" w:hAnsi="Verdana" w:cs="Arial"/>
          <w:sz w:val="16"/>
          <w:szCs w:val="22"/>
        </w:rPr>
        <w:t xml:space="preserve"> </w:t>
      </w:r>
      <w:r w:rsidRPr="003A1844">
        <w:rPr>
          <w:rFonts w:ascii="Verdana" w:hAnsi="Verdana" w:cs="Arial"/>
          <w:sz w:val="16"/>
          <w:szCs w:val="22"/>
          <w:lang w:val="es-ES"/>
        </w:rPr>
        <w:t>“</w:t>
      </w:r>
      <w:r w:rsidRPr="003A1844">
        <w:rPr>
          <w:rFonts w:ascii="Verdana" w:hAnsi="Verdana" w:cs="Arial"/>
          <w:sz w:val="16"/>
          <w:szCs w:val="22"/>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3A1844">
        <w:rPr>
          <w:rFonts w:ascii="Verdana" w:hAnsi="Verdana" w:cs="Arial"/>
          <w:sz w:val="16"/>
          <w:szCs w:val="22"/>
          <w:lang w:val="es-ES"/>
        </w:rPr>
        <w:t>”.</w:t>
      </w:r>
    </w:p>
  </w:footnote>
  <w:footnote w:id="7">
    <w:p w14:paraId="31DABAA8" w14:textId="77777777" w:rsidR="00135720" w:rsidRPr="003A1844" w:rsidRDefault="00135720" w:rsidP="00135720">
      <w:pPr>
        <w:pStyle w:val="Textonotapie"/>
        <w:ind w:firstLine="709"/>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Consejo de Estado. Sección Tercera. Sentencia 18 de febrero de 2010. </w:t>
      </w:r>
      <w:r>
        <w:rPr>
          <w:rFonts w:ascii="Verdana" w:hAnsi="Verdana" w:cs="Arial"/>
          <w:sz w:val="16"/>
          <w:szCs w:val="22"/>
        </w:rPr>
        <w:t>CP,</w:t>
      </w:r>
      <w:r w:rsidRPr="003A1844">
        <w:rPr>
          <w:rFonts w:ascii="Verdana" w:hAnsi="Verdana" w:cs="Arial"/>
          <w:sz w:val="16"/>
          <w:szCs w:val="22"/>
        </w:rPr>
        <w:t xml:space="preserve"> Enrique Gil Botero. </w:t>
      </w:r>
      <w:r>
        <w:rPr>
          <w:rFonts w:ascii="Verdana" w:hAnsi="Verdana" w:cs="Arial"/>
          <w:sz w:val="16"/>
          <w:szCs w:val="22"/>
        </w:rPr>
        <w:t xml:space="preserve">Exp. 37004. </w:t>
      </w:r>
    </w:p>
    <w:p w14:paraId="2F379833" w14:textId="77777777" w:rsidR="00135720" w:rsidRPr="003A1844" w:rsidRDefault="00135720" w:rsidP="00135720">
      <w:pPr>
        <w:pStyle w:val="Textonotapie"/>
        <w:ind w:firstLine="709"/>
        <w:jc w:val="both"/>
        <w:rPr>
          <w:rFonts w:ascii="Verdana" w:hAnsi="Verdana" w:cs="Arial"/>
          <w:sz w:val="16"/>
          <w:szCs w:val="22"/>
        </w:rPr>
      </w:pPr>
    </w:p>
  </w:footnote>
  <w:footnote w:id="8">
    <w:p w14:paraId="02D695DA" w14:textId="77777777" w:rsidR="00135720" w:rsidRPr="00891A89" w:rsidRDefault="00135720" w:rsidP="00135720">
      <w:pPr>
        <w:pStyle w:val="Textonotapie"/>
        <w:ind w:firstLine="709"/>
        <w:jc w:val="both"/>
        <w:rPr>
          <w:rFonts w:ascii="Verdana" w:hAnsi="Verdana" w:cs="Arial"/>
          <w:color w:val="000000"/>
          <w:sz w:val="16"/>
          <w:szCs w:val="22"/>
        </w:rPr>
      </w:pPr>
      <w:r w:rsidRPr="003A1844">
        <w:rPr>
          <w:rStyle w:val="Refdenotaalpie"/>
          <w:rFonts w:ascii="Verdana" w:hAnsi="Verdana" w:cs="Arial"/>
          <w:sz w:val="16"/>
          <w:szCs w:val="22"/>
        </w:rPr>
        <w:footnoteRef/>
      </w:r>
      <w:r>
        <w:rPr>
          <w:rFonts w:ascii="Verdana" w:hAnsi="Verdana" w:cs="Arial"/>
          <w:sz w:val="16"/>
          <w:szCs w:val="22"/>
        </w:rPr>
        <w:t xml:space="preserve"> En sentencia C-66</w:t>
      </w:r>
      <w:r w:rsidRPr="003A1844">
        <w:rPr>
          <w:rFonts w:ascii="Verdana" w:hAnsi="Verdana" w:cs="Arial"/>
          <w:sz w:val="16"/>
          <w:szCs w:val="22"/>
        </w:rPr>
        <w:t xml:space="preserve">5 de 2000, la Corte Constitucional se pronunció, así: </w:t>
      </w:r>
      <w:r w:rsidRPr="003A1844">
        <w:rPr>
          <w:rFonts w:ascii="Verdana" w:hAnsi="Verdana" w:cs="Arial"/>
          <w:sz w:val="16"/>
          <w:szCs w:val="22"/>
          <w:lang w:val="es-ES_tradnl"/>
        </w:rPr>
        <w:t>“</w:t>
      </w:r>
      <w:r w:rsidRPr="003A1844">
        <w:rPr>
          <w:rFonts w:ascii="Verdana" w:hAnsi="Verdana" w:cs="Arial"/>
          <w:color w:val="000000"/>
          <w:sz w:val="16"/>
          <w:szCs w:val="22"/>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3A1844">
        <w:rPr>
          <w:rFonts w:ascii="Verdana" w:hAnsi="Verdana" w:cs="Arial"/>
          <w:sz w:val="16"/>
          <w:szCs w:val="22"/>
          <w:lang w:val="es-ES_tradnl"/>
        </w:rPr>
        <w:t>”</w:t>
      </w:r>
      <w:r>
        <w:rPr>
          <w:rFonts w:ascii="Verdana" w:hAnsi="Verdana" w:cs="Arial"/>
          <w:color w:val="000000"/>
          <w:sz w:val="16"/>
          <w:szCs w:val="22"/>
        </w:rPr>
        <w:t xml:space="preserve"> (Corte Constitucional. Sentencia C-665 de 2000. M.P. José Gregorio Hernández Galindo)</w:t>
      </w:r>
    </w:p>
  </w:footnote>
  <w:footnote w:id="9">
    <w:p w14:paraId="7D3F7DF2" w14:textId="77777777" w:rsidR="00135720" w:rsidRPr="00FD7E2D" w:rsidRDefault="00135720" w:rsidP="00135720">
      <w:pPr>
        <w:pStyle w:val="Textonotapie"/>
        <w:ind w:firstLine="708"/>
        <w:jc w:val="both"/>
        <w:rPr>
          <w:rFonts w:ascii="Verdana" w:hAnsi="Verdana" w:cs="Arial"/>
          <w:color w:val="000000" w:themeColor="text1"/>
          <w:sz w:val="16"/>
          <w:szCs w:val="22"/>
          <w:lang w:val="es-CO"/>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Consejo de Estado. Sala de Consulta y Servicio Civil. Concepto del 27 de agosto </w:t>
      </w:r>
      <w:r>
        <w:rPr>
          <w:rFonts w:ascii="Verdana" w:hAnsi="Verdana" w:cs="Arial"/>
          <w:color w:val="000000" w:themeColor="text1"/>
          <w:sz w:val="16"/>
          <w:szCs w:val="22"/>
        </w:rPr>
        <w:t>de 1998, Rad. 1.127, C</w:t>
      </w:r>
      <w:r w:rsidRPr="003A1844">
        <w:rPr>
          <w:rFonts w:ascii="Verdana" w:hAnsi="Verdana" w:cs="Arial"/>
          <w:color w:val="000000" w:themeColor="text1"/>
          <w:sz w:val="16"/>
          <w:szCs w:val="22"/>
        </w:rPr>
        <w:t>.P. Javier Henao Hidrón</w:t>
      </w:r>
      <w:r>
        <w:rPr>
          <w:rFonts w:ascii="Verdana" w:hAnsi="Verdana" w:cs="Arial"/>
          <w:color w:val="000000" w:themeColor="text1"/>
          <w:sz w:val="16"/>
          <w:szCs w:val="22"/>
        </w:rPr>
        <w:t xml:space="preserve">. </w:t>
      </w:r>
      <w:r w:rsidRPr="00082456">
        <w:rPr>
          <w:rFonts w:ascii="Verdana" w:hAnsi="Verdana" w:cs="Arial"/>
          <w:color w:val="000000" w:themeColor="text1"/>
          <w:sz w:val="16"/>
          <w:szCs w:val="22"/>
          <w:lang w:val="es-CO"/>
        </w:rPr>
        <w:t>Rad. 1.127</w:t>
      </w:r>
      <w:r w:rsidRPr="003A1844">
        <w:rPr>
          <w:rFonts w:ascii="Verdana" w:hAnsi="Verdana" w:cs="Arial"/>
          <w:color w:val="000000" w:themeColor="text1"/>
          <w:sz w:val="16"/>
          <w:szCs w:val="22"/>
        </w:rPr>
        <w:t xml:space="preserve">; y </w:t>
      </w:r>
      <w:r w:rsidRPr="003A1844">
        <w:rPr>
          <w:rFonts w:ascii="Verdana" w:hAnsi="Verdana" w:cs="Arial"/>
          <w:color w:val="000000" w:themeColor="text1"/>
          <w:sz w:val="16"/>
          <w:szCs w:val="22"/>
          <w:lang w:val="es-CO"/>
        </w:rPr>
        <w:t xml:space="preserve">concepto del 6 de abril </w:t>
      </w:r>
      <w:r>
        <w:rPr>
          <w:rFonts w:ascii="Verdana" w:hAnsi="Verdana" w:cs="Arial"/>
          <w:color w:val="000000" w:themeColor="text1"/>
          <w:sz w:val="16"/>
          <w:szCs w:val="22"/>
          <w:lang w:val="es-CO"/>
        </w:rPr>
        <w:t>de 2000, C</w:t>
      </w:r>
      <w:r w:rsidRPr="003A1844">
        <w:rPr>
          <w:rFonts w:ascii="Verdana" w:hAnsi="Verdana" w:cs="Arial"/>
          <w:color w:val="000000" w:themeColor="text1"/>
          <w:sz w:val="16"/>
          <w:szCs w:val="22"/>
          <w:lang w:val="es-CO"/>
        </w:rPr>
        <w:t>.P. Flavio Augusto Rodriguez Arce</w:t>
      </w:r>
      <w:r>
        <w:rPr>
          <w:rFonts w:ascii="Verdana" w:hAnsi="Verdana" w:cs="Arial"/>
          <w:color w:val="000000" w:themeColor="text1"/>
          <w:sz w:val="16"/>
          <w:szCs w:val="22"/>
          <w:lang w:val="es-CO"/>
        </w:rPr>
        <w:t>.</w:t>
      </w:r>
      <w:r w:rsidRPr="00C41B23">
        <w:rPr>
          <w:rFonts w:ascii="Verdana" w:hAnsi="Verdana" w:cs="Arial"/>
          <w:color w:val="000000" w:themeColor="text1"/>
          <w:sz w:val="16"/>
          <w:szCs w:val="22"/>
          <w:lang w:val="es-CO"/>
        </w:rPr>
        <w:t xml:space="preserve"> Rad. 1.263</w:t>
      </w:r>
      <w:r>
        <w:rPr>
          <w:rFonts w:ascii="Verdana" w:hAnsi="Verdana" w:cs="Arial"/>
          <w:color w:val="000000" w:themeColor="text1"/>
          <w:sz w:val="16"/>
          <w:szCs w:val="22"/>
          <w:lang w:val="es-CO"/>
        </w:rPr>
        <w:t>.</w:t>
      </w:r>
    </w:p>
  </w:footnote>
  <w:footnote w:id="10">
    <w:p w14:paraId="07CF9E23" w14:textId="77777777" w:rsidR="00135720" w:rsidRPr="003A1844" w:rsidRDefault="00135720" w:rsidP="00135720">
      <w:pPr>
        <w:pStyle w:val="Textonotapie"/>
        <w:ind w:firstLine="709"/>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Ministerio de Salud y la Protección Social. Concepto del 16 de agosto de 2019. Expediente No. 201942301304712. </w:t>
      </w:r>
    </w:p>
  </w:footnote>
  <w:footnote w:id="11">
    <w:p w14:paraId="42F25A70" w14:textId="77777777" w:rsidR="00135720" w:rsidRPr="00FD7E2D" w:rsidRDefault="00135720" w:rsidP="00135720">
      <w:pPr>
        <w:pStyle w:val="Textonotapie"/>
        <w:ind w:firstLine="709"/>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w:t>
      </w:r>
      <w:r>
        <w:rPr>
          <w:rFonts w:ascii="Verdana" w:hAnsi="Verdana" w:cs="Arial"/>
          <w:color w:val="000000" w:themeColor="text1"/>
          <w:sz w:val="16"/>
          <w:szCs w:val="22"/>
        </w:rPr>
        <w:t>Consejo d</w:t>
      </w:r>
      <w:r w:rsidRPr="003A1844">
        <w:rPr>
          <w:rFonts w:ascii="Verdana" w:hAnsi="Verdana" w:cs="Arial"/>
          <w:color w:val="000000" w:themeColor="text1"/>
          <w:sz w:val="16"/>
          <w:szCs w:val="22"/>
        </w:rPr>
        <w:t>e Estado. Sección Tercera. Subsección A. Sentencia del 24 de octubre de 2016. C.P. Marta Nubia Velásquez Rico.</w:t>
      </w:r>
      <w:r>
        <w:rPr>
          <w:rFonts w:ascii="Verdana" w:hAnsi="Verdana" w:cs="Arial"/>
          <w:color w:val="000000" w:themeColor="text1"/>
          <w:sz w:val="16"/>
          <w:szCs w:val="22"/>
        </w:rPr>
        <w:t xml:space="preserve"> </w:t>
      </w:r>
      <w:r w:rsidRPr="00891A89">
        <w:rPr>
          <w:rFonts w:ascii="Verdana" w:hAnsi="Verdana" w:cs="Arial"/>
          <w:color w:val="000000" w:themeColor="text1"/>
          <w:sz w:val="16"/>
          <w:szCs w:val="22"/>
          <w:lang w:val="es-CO"/>
        </w:rPr>
        <w:t>Exp. 45.607.</w:t>
      </w:r>
    </w:p>
  </w:footnote>
  <w:footnote w:id="12">
    <w:p w14:paraId="66845D97" w14:textId="77777777" w:rsidR="00135720" w:rsidRPr="003A1844" w:rsidRDefault="00135720" w:rsidP="00135720">
      <w:pPr>
        <w:pStyle w:val="Textonotapie"/>
        <w:ind w:firstLine="708"/>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HINESTROSA FORERO, Fernando. Tratado de las Obligaciones II. De las fuentes de las obligacion</w:t>
      </w:r>
      <w:r>
        <w:rPr>
          <w:rFonts w:ascii="Verdana" w:hAnsi="Verdana" w:cs="Arial"/>
          <w:color w:val="000000" w:themeColor="text1"/>
          <w:sz w:val="16"/>
          <w:szCs w:val="22"/>
        </w:rPr>
        <w:t>es: el negocio jurídico. Vol.</w:t>
      </w:r>
      <w:r w:rsidRPr="003A1844">
        <w:rPr>
          <w:rFonts w:ascii="Verdana" w:hAnsi="Verdana" w:cs="Arial"/>
          <w:color w:val="000000" w:themeColor="text1"/>
          <w:sz w:val="16"/>
          <w:szCs w:val="22"/>
        </w:rPr>
        <w:t xml:space="preserve"> I. Bogotá: Universidad Externado de Colombia, 2015. p. 116.  </w:t>
      </w:r>
    </w:p>
  </w:footnote>
  <w:footnote w:id="13">
    <w:p w14:paraId="7F076110" w14:textId="77777777" w:rsidR="00135720" w:rsidRPr="003A1844" w:rsidRDefault="00135720" w:rsidP="00135720">
      <w:pPr>
        <w:pStyle w:val="Textonotapie"/>
        <w:ind w:firstLine="708"/>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Cfr. Colombia Compra Eficiente. Subdirección de Gestión Contractual. Concep</w:t>
      </w:r>
      <w:r>
        <w:rPr>
          <w:rFonts w:ascii="Verdana" w:hAnsi="Verdana" w:cs="Arial"/>
          <w:sz w:val="16"/>
          <w:szCs w:val="22"/>
        </w:rPr>
        <w:t>to C-362 del 3 de julio de 2020.</w:t>
      </w:r>
      <w:r w:rsidRPr="003A1844">
        <w:rPr>
          <w:rFonts w:ascii="Verdana" w:hAnsi="Verdana" w:cs="Arial"/>
          <w:sz w:val="16"/>
          <w:szCs w:val="22"/>
        </w:rPr>
        <w:t xml:space="preserve"> Pág. 9.</w:t>
      </w:r>
    </w:p>
  </w:footnote>
  <w:footnote w:id="14">
    <w:p w14:paraId="5923A2A4" w14:textId="77777777" w:rsidR="00135720" w:rsidRPr="003A1844" w:rsidRDefault="00135720" w:rsidP="00135720">
      <w:pPr>
        <w:spacing w:after="0" w:line="240" w:lineRule="auto"/>
        <w:ind w:firstLine="708"/>
        <w:jc w:val="both"/>
        <w:rPr>
          <w:rFonts w:ascii="Verdana" w:hAnsi="Verdana" w:cs="Arial"/>
          <w:sz w:val="16"/>
        </w:rPr>
      </w:pPr>
      <w:r w:rsidRPr="003A1844">
        <w:rPr>
          <w:rStyle w:val="Refdenotaalpie"/>
          <w:rFonts w:ascii="Verdana" w:hAnsi="Verdana" w:cs="Arial"/>
          <w:sz w:val="16"/>
        </w:rPr>
        <w:footnoteRef/>
      </w:r>
      <w:r w:rsidRPr="003A1844">
        <w:rPr>
          <w:rFonts w:ascii="Verdana" w:hAnsi="Verdana" w:cs="Arial"/>
          <w:sz w:val="16"/>
        </w:rPr>
        <w:t xml:space="preserve"> “La</w:t>
      </w:r>
      <w:r w:rsidRPr="003A1844">
        <w:rPr>
          <w:rFonts w:ascii="Verdana" w:hAnsi="Verdana" w:cs="Arial"/>
          <w:spacing w:val="-12"/>
          <w:sz w:val="16"/>
        </w:rPr>
        <w:t xml:space="preserve"> </w:t>
      </w:r>
      <w:r w:rsidRPr="003A1844">
        <w:rPr>
          <w:rFonts w:ascii="Verdana" w:hAnsi="Verdana" w:cs="Arial"/>
          <w:sz w:val="16"/>
        </w:rPr>
        <w:t>fuerza</w:t>
      </w:r>
      <w:r w:rsidRPr="003A1844">
        <w:rPr>
          <w:rFonts w:ascii="Verdana" w:hAnsi="Verdana" w:cs="Arial"/>
          <w:spacing w:val="-12"/>
          <w:sz w:val="16"/>
        </w:rPr>
        <w:t xml:space="preserve"> </w:t>
      </w:r>
      <w:r w:rsidRPr="003A1844">
        <w:rPr>
          <w:rFonts w:ascii="Verdana" w:hAnsi="Verdana" w:cs="Arial"/>
          <w:sz w:val="16"/>
        </w:rPr>
        <w:t>vinculante</w:t>
      </w:r>
      <w:r w:rsidRPr="003A1844">
        <w:rPr>
          <w:rFonts w:ascii="Verdana" w:hAnsi="Verdana" w:cs="Arial"/>
          <w:spacing w:val="-12"/>
          <w:sz w:val="16"/>
        </w:rPr>
        <w:t xml:space="preserve"> </w:t>
      </w:r>
      <w:r w:rsidRPr="003A1844">
        <w:rPr>
          <w:rFonts w:ascii="Verdana" w:hAnsi="Verdana" w:cs="Arial"/>
          <w:sz w:val="16"/>
        </w:rPr>
        <w:t>de</w:t>
      </w:r>
      <w:r w:rsidRPr="003A1844">
        <w:rPr>
          <w:rFonts w:ascii="Verdana" w:hAnsi="Verdana" w:cs="Arial"/>
          <w:spacing w:val="-11"/>
          <w:sz w:val="16"/>
        </w:rPr>
        <w:t xml:space="preserve"> </w:t>
      </w:r>
      <w:r w:rsidRPr="003A1844">
        <w:rPr>
          <w:rFonts w:ascii="Verdana" w:hAnsi="Verdana" w:cs="Arial"/>
          <w:sz w:val="16"/>
        </w:rPr>
        <w:t>los</w:t>
      </w:r>
      <w:r w:rsidRPr="003A1844">
        <w:rPr>
          <w:rFonts w:ascii="Verdana" w:hAnsi="Verdana" w:cs="Arial"/>
          <w:spacing w:val="-12"/>
          <w:sz w:val="16"/>
        </w:rPr>
        <w:t xml:space="preserve"> </w:t>
      </w:r>
      <w:r w:rsidRPr="003A1844">
        <w:rPr>
          <w:rFonts w:ascii="Verdana" w:hAnsi="Verdana" w:cs="Arial"/>
          <w:sz w:val="16"/>
        </w:rPr>
        <w:t>reglamentos</w:t>
      </w:r>
      <w:r w:rsidRPr="003A1844">
        <w:rPr>
          <w:rFonts w:ascii="Verdana" w:hAnsi="Verdana" w:cs="Arial"/>
          <w:spacing w:val="-12"/>
          <w:sz w:val="16"/>
        </w:rPr>
        <w:t xml:space="preserve"> </w:t>
      </w:r>
      <w:r w:rsidRPr="003A1844">
        <w:rPr>
          <w:rFonts w:ascii="Verdana" w:hAnsi="Verdana" w:cs="Arial"/>
          <w:sz w:val="16"/>
        </w:rPr>
        <w:t>–tanto</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los</w:t>
      </w:r>
      <w:r w:rsidRPr="003A1844">
        <w:rPr>
          <w:rFonts w:ascii="Verdana" w:hAnsi="Verdana" w:cs="Arial"/>
          <w:spacing w:val="-11"/>
          <w:sz w:val="16"/>
        </w:rPr>
        <w:t xml:space="preserve"> </w:t>
      </w:r>
      <w:r w:rsidRPr="003A1844">
        <w:rPr>
          <w:rFonts w:ascii="Verdana" w:hAnsi="Verdana" w:cs="Arial"/>
          <w:sz w:val="16"/>
        </w:rPr>
        <w:t>administrados</w:t>
      </w:r>
      <w:r w:rsidRPr="003A1844">
        <w:rPr>
          <w:rFonts w:ascii="Verdana" w:hAnsi="Verdana" w:cs="Arial"/>
          <w:spacing w:val="-12"/>
          <w:sz w:val="16"/>
        </w:rPr>
        <w:t xml:space="preserve"> </w:t>
      </w:r>
      <w:r w:rsidRPr="003A1844">
        <w:rPr>
          <w:rFonts w:ascii="Verdana" w:hAnsi="Verdana" w:cs="Arial"/>
          <w:sz w:val="16"/>
        </w:rPr>
        <w:t>como</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propia</w:t>
      </w:r>
      <w:r w:rsidRPr="003A1844">
        <w:rPr>
          <w:rFonts w:ascii="Verdana" w:hAnsi="Verdana" w:cs="Arial"/>
          <w:spacing w:val="-50"/>
          <w:sz w:val="16"/>
        </w:rPr>
        <w:t xml:space="preserve"> </w:t>
      </w:r>
      <w:r w:rsidRPr="003A1844">
        <w:rPr>
          <w:rFonts w:ascii="Verdana" w:hAnsi="Verdana" w:cs="Arial"/>
          <w:sz w:val="16"/>
        </w:rPr>
        <w:t>administración– surge del hecho de ser una norma jurídica, y de compartir la naturaleza del acto</w:t>
      </w:r>
      <w:r w:rsidRPr="003A1844">
        <w:rPr>
          <w:rFonts w:ascii="Verdana" w:hAnsi="Verdana" w:cs="Arial"/>
          <w:spacing w:val="1"/>
          <w:sz w:val="16"/>
        </w:rPr>
        <w:t xml:space="preserve"> </w:t>
      </w:r>
      <w:r w:rsidRPr="003A1844">
        <w:rPr>
          <w:rFonts w:ascii="Verdana" w:hAnsi="Verdana" w:cs="Arial"/>
          <w:sz w:val="16"/>
        </w:rPr>
        <w:t>administrativo,</w:t>
      </w:r>
      <w:r w:rsidRPr="003A1844">
        <w:rPr>
          <w:rFonts w:ascii="Verdana" w:hAnsi="Verdana" w:cs="Arial"/>
          <w:spacing w:val="-4"/>
          <w:sz w:val="16"/>
        </w:rPr>
        <w:t xml:space="preserve"> </w:t>
      </w:r>
      <w:r w:rsidRPr="003A1844">
        <w:rPr>
          <w:rFonts w:ascii="Verdana" w:hAnsi="Verdana" w:cs="Arial"/>
          <w:sz w:val="16"/>
        </w:rPr>
        <w:t>luego,</w:t>
      </w:r>
      <w:r w:rsidRPr="003A1844">
        <w:rPr>
          <w:rFonts w:ascii="Verdana" w:hAnsi="Verdana" w:cs="Arial"/>
          <w:spacing w:val="-4"/>
          <w:sz w:val="16"/>
        </w:rPr>
        <w:t xml:space="preserve"> </w:t>
      </w:r>
      <w:r w:rsidRPr="003A1844">
        <w:rPr>
          <w:rFonts w:ascii="Verdana" w:hAnsi="Verdana" w:cs="Arial"/>
          <w:sz w:val="16"/>
        </w:rPr>
        <w:t>de</w:t>
      </w:r>
      <w:r w:rsidRPr="003A1844">
        <w:rPr>
          <w:rFonts w:ascii="Verdana" w:hAnsi="Verdana" w:cs="Arial"/>
          <w:spacing w:val="-4"/>
          <w:sz w:val="16"/>
        </w:rPr>
        <w:t xml:space="preserve"> </w:t>
      </w:r>
      <w:r w:rsidRPr="003A1844">
        <w:rPr>
          <w:rFonts w:ascii="Verdana" w:hAnsi="Verdana" w:cs="Arial"/>
          <w:sz w:val="16"/>
        </w:rPr>
        <w:t>allí</w:t>
      </w:r>
      <w:r w:rsidRPr="003A1844">
        <w:rPr>
          <w:rFonts w:ascii="Verdana" w:hAnsi="Verdana" w:cs="Arial"/>
          <w:spacing w:val="-4"/>
          <w:sz w:val="16"/>
        </w:rPr>
        <w:t xml:space="preserve"> </w:t>
      </w:r>
      <w:r w:rsidRPr="003A1844">
        <w:rPr>
          <w:rFonts w:ascii="Verdana" w:hAnsi="Verdana" w:cs="Arial"/>
          <w:sz w:val="16"/>
        </w:rPr>
        <w:t>también</w:t>
      </w:r>
      <w:r w:rsidRPr="003A1844">
        <w:rPr>
          <w:rFonts w:ascii="Verdana" w:hAnsi="Verdana" w:cs="Arial"/>
          <w:spacing w:val="-4"/>
          <w:sz w:val="16"/>
        </w:rPr>
        <w:t xml:space="preserve"> </w:t>
      </w:r>
      <w:r w:rsidRPr="003A1844">
        <w:rPr>
          <w:rFonts w:ascii="Verdana" w:hAnsi="Verdana" w:cs="Arial"/>
          <w:sz w:val="16"/>
        </w:rPr>
        <w:t>se</w:t>
      </w:r>
      <w:r w:rsidRPr="003A1844">
        <w:rPr>
          <w:rFonts w:ascii="Verdana" w:hAnsi="Verdana" w:cs="Arial"/>
          <w:spacing w:val="-4"/>
          <w:sz w:val="16"/>
        </w:rPr>
        <w:t xml:space="preserve"> </w:t>
      </w:r>
      <w:r w:rsidRPr="003A1844">
        <w:rPr>
          <w:rFonts w:ascii="Verdana" w:hAnsi="Verdana" w:cs="Arial"/>
          <w:sz w:val="16"/>
        </w:rPr>
        <w:t>desprende</w:t>
      </w:r>
      <w:r w:rsidRPr="003A1844">
        <w:rPr>
          <w:rFonts w:ascii="Verdana" w:hAnsi="Verdana" w:cs="Arial"/>
          <w:spacing w:val="-4"/>
          <w:sz w:val="16"/>
        </w:rPr>
        <w:t xml:space="preserve"> </w:t>
      </w:r>
      <w:r w:rsidRPr="003A1844">
        <w:rPr>
          <w:rFonts w:ascii="Verdana" w:hAnsi="Verdana" w:cs="Arial"/>
          <w:sz w:val="16"/>
        </w:rPr>
        <w:t>que</w:t>
      </w:r>
      <w:r w:rsidRPr="003A1844">
        <w:rPr>
          <w:rFonts w:ascii="Verdana" w:hAnsi="Verdana" w:cs="Arial"/>
          <w:spacing w:val="-3"/>
          <w:sz w:val="16"/>
        </w:rPr>
        <w:t xml:space="preserve"> </w:t>
      </w:r>
      <w:r w:rsidRPr="003A1844">
        <w:rPr>
          <w:rFonts w:ascii="Verdana" w:hAnsi="Verdana" w:cs="Arial"/>
          <w:sz w:val="16"/>
        </w:rPr>
        <w:t>se</w:t>
      </w:r>
      <w:r w:rsidRPr="003A1844">
        <w:rPr>
          <w:rFonts w:ascii="Verdana" w:hAnsi="Verdana" w:cs="Arial"/>
          <w:spacing w:val="-4"/>
          <w:sz w:val="16"/>
        </w:rPr>
        <w:t xml:space="preserve"> </w:t>
      </w:r>
      <w:r w:rsidRPr="003A1844">
        <w:rPr>
          <w:rFonts w:ascii="Verdana" w:hAnsi="Verdana" w:cs="Arial"/>
          <w:sz w:val="16"/>
        </w:rPr>
        <w:t>presuman</w:t>
      </w:r>
      <w:r w:rsidRPr="003A1844">
        <w:rPr>
          <w:rFonts w:ascii="Verdana" w:hAnsi="Verdana" w:cs="Arial"/>
          <w:spacing w:val="-4"/>
          <w:sz w:val="16"/>
        </w:rPr>
        <w:t xml:space="preserve"> </w:t>
      </w:r>
      <w:r w:rsidRPr="003A1844">
        <w:rPr>
          <w:rFonts w:ascii="Verdana" w:hAnsi="Verdana" w:cs="Arial"/>
          <w:sz w:val="16"/>
        </w:rPr>
        <w:t>legales</w:t>
      </w:r>
      <w:r w:rsidRPr="003A1844">
        <w:rPr>
          <w:rFonts w:ascii="Verdana" w:hAnsi="Verdana" w:cs="Arial"/>
          <w:spacing w:val="-4"/>
          <w:sz w:val="16"/>
        </w:rPr>
        <w:t xml:space="preserve"> </w:t>
      </w:r>
      <w:r w:rsidRPr="003A1844">
        <w:rPr>
          <w:rFonts w:ascii="Verdana" w:hAnsi="Verdana" w:cs="Arial"/>
          <w:sz w:val="16"/>
        </w:rPr>
        <w:t>y</w:t>
      </w:r>
      <w:r w:rsidRPr="003A1844">
        <w:rPr>
          <w:rFonts w:ascii="Verdana" w:hAnsi="Verdana" w:cs="Arial"/>
          <w:spacing w:val="-4"/>
          <w:sz w:val="16"/>
        </w:rPr>
        <w:t xml:space="preserve"> </w:t>
      </w:r>
      <w:r w:rsidRPr="003A1844">
        <w:rPr>
          <w:rFonts w:ascii="Verdana" w:hAnsi="Verdana" w:cs="Arial"/>
          <w:sz w:val="16"/>
        </w:rPr>
        <w:t>sean</w:t>
      </w:r>
      <w:r w:rsidRPr="003A1844">
        <w:rPr>
          <w:rFonts w:ascii="Verdana" w:hAnsi="Verdana" w:cs="Arial"/>
          <w:spacing w:val="-4"/>
          <w:sz w:val="16"/>
        </w:rPr>
        <w:t xml:space="preserve"> </w:t>
      </w:r>
      <w:r w:rsidRPr="003A1844">
        <w:rPr>
          <w:rFonts w:ascii="Verdana" w:hAnsi="Verdana" w:cs="Arial"/>
          <w:sz w:val="16"/>
        </w:rPr>
        <w:t>ejecutorios.</w:t>
      </w:r>
    </w:p>
    <w:p w14:paraId="472342EC" w14:textId="77777777" w:rsidR="00135720" w:rsidRPr="003A1844" w:rsidRDefault="00135720" w:rsidP="00135720">
      <w:pPr>
        <w:spacing w:after="0" w:line="240" w:lineRule="auto"/>
        <w:ind w:firstLine="708"/>
        <w:jc w:val="both"/>
        <w:rPr>
          <w:rFonts w:ascii="Verdana" w:hAnsi="Verdana" w:cs="Arial"/>
          <w:sz w:val="16"/>
        </w:rPr>
      </w:pPr>
      <w:r w:rsidRPr="003A1844">
        <w:rPr>
          <w:rFonts w:ascii="Verdana" w:hAnsi="Verdana" w:cs="Arial"/>
          <w:sz w:val="16"/>
        </w:rPr>
        <w:t>Por esta misma razón, la doctrina española –con especial fuerza– ha señalado que su</w:t>
      </w:r>
      <w:r w:rsidRPr="003A1844">
        <w:rPr>
          <w:rFonts w:ascii="Verdana" w:hAnsi="Verdana" w:cs="Arial"/>
          <w:spacing w:val="1"/>
          <w:sz w:val="16"/>
        </w:rPr>
        <w:t xml:space="preserve"> </w:t>
      </w:r>
      <w:r w:rsidRPr="003A1844">
        <w:rPr>
          <w:rFonts w:ascii="Verdana" w:hAnsi="Verdana" w:cs="Arial"/>
          <w:sz w:val="16"/>
        </w:rPr>
        <w:t>observancia</w:t>
      </w:r>
      <w:r w:rsidRPr="003A1844">
        <w:rPr>
          <w:rFonts w:ascii="Verdana" w:hAnsi="Verdana" w:cs="Arial"/>
          <w:spacing w:val="-5"/>
          <w:sz w:val="16"/>
        </w:rPr>
        <w:t xml:space="preserve"> </w:t>
      </w:r>
      <w:r w:rsidRPr="003A1844">
        <w:rPr>
          <w:rFonts w:ascii="Verdana" w:hAnsi="Verdana" w:cs="Arial"/>
          <w:sz w:val="16"/>
        </w:rPr>
        <w:t>no</w:t>
      </w:r>
      <w:r w:rsidRPr="003A1844">
        <w:rPr>
          <w:rFonts w:ascii="Verdana" w:hAnsi="Verdana" w:cs="Arial"/>
          <w:spacing w:val="-4"/>
          <w:sz w:val="16"/>
        </w:rPr>
        <w:t xml:space="preserve"> </w:t>
      </w:r>
      <w:r w:rsidRPr="003A1844">
        <w:rPr>
          <w:rFonts w:ascii="Verdana" w:hAnsi="Verdana" w:cs="Arial"/>
          <w:sz w:val="16"/>
        </w:rPr>
        <w:t>queda</w:t>
      </w:r>
      <w:r w:rsidRPr="003A1844">
        <w:rPr>
          <w:rFonts w:ascii="Verdana" w:hAnsi="Verdana" w:cs="Arial"/>
          <w:spacing w:val="-5"/>
          <w:sz w:val="16"/>
        </w:rPr>
        <w:t xml:space="preserve"> </w:t>
      </w:r>
      <w:r w:rsidRPr="003A1844">
        <w:rPr>
          <w:rFonts w:ascii="Verdana" w:hAnsi="Verdana" w:cs="Arial"/>
          <w:sz w:val="16"/>
        </w:rPr>
        <w:t>al</w:t>
      </w:r>
      <w:r w:rsidRPr="003A1844">
        <w:rPr>
          <w:rFonts w:ascii="Verdana" w:hAnsi="Verdana" w:cs="Arial"/>
          <w:spacing w:val="-4"/>
          <w:sz w:val="16"/>
        </w:rPr>
        <w:t xml:space="preserve"> </w:t>
      </w:r>
      <w:r w:rsidRPr="003A1844">
        <w:rPr>
          <w:rFonts w:ascii="Verdana" w:hAnsi="Verdana" w:cs="Arial"/>
          <w:sz w:val="16"/>
        </w:rPr>
        <w:t>capricho</w:t>
      </w:r>
      <w:r w:rsidRPr="003A1844">
        <w:rPr>
          <w:rFonts w:ascii="Verdana" w:hAnsi="Verdana" w:cs="Arial"/>
          <w:spacing w:val="-5"/>
          <w:sz w:val="16"/>
        </w:rPr>
        <w:t xml:space="preserve"> </w:t>
      </w:r>
      <w:r w:rsidRPr="003A1844">
        <w:rPr>
          <w:rFonts w:ascii="Verdana" w:hAnsi="Verdana" w:cs="Arial"/>
          <w:sz w:val="16"/>
        </w:rPr>
        <w:t>del</w:t>
      </w:r>
      <w:r w:rsidRPr="003A1844">
        <w:rPr>
          <w:rFonts w:ascii="Verdana" w:hAnsi="Verdana" w:cs="Arial"/>
          <w:spacing w:val="-4"/>
          <w:sz w:val="16"/>
        </w:rPr>
        <w:t xml:space="preserve"> </w:t>
      </w:r>
      <w:r w:rsidRPr="003A1844">
        <w:rPr>
          <w:rFonts w:ascii="Verdana" w:hAnsi="Verdana" w:cs="Arial"/>
          <w:sz w:val="16"/>
        </w:rPr>
        <w:t>órgano</w:t>
      </w:r>
      <w:r w:rsidRPr="003A1844">
        <w:rPr>
          <w:rFonts w:ascii="Verdana" w:hAnsi="Verdana" w:cs="Arial"/>
          <w:spacing w:val="-5"/>
          <w:sz w:val="16"/>
        </w:rPr>
        <w:t xml:space="preserve"> </w:t>
      </w:r>
      <w:r w:rsidRPr="003A1844">
        <w:rPr>
          <w:rFonts w:ascii="Verdana" w:hAnsi="Verdana" w:cs="Arial"/>
          <w:sz w:val="16"/>
        </w:rPr>
        <w:t>que</w:t>
      </w:r>
      <w:r w:rsidRPr="003A1844">
        <w:rPr>
          <w:rFonts w:ascii="Verdana" w:hAnsi="Verdana" w:cs="Arial"/>
          <w:spacing w:val="-4"/>
          <w:sz w:val="16"/>
        </w:rPr>
        <w:t xml:space="preserve"> </w:t>
      </w:r>
      <w:r w:rsidRPr="003A1844">
        <w:rPr>
          <w:rFonts w:ascii="Verdana" w:hAnsi="Verdana" w:cs="Arial"/>
          <w:sz w:val="16"/>
        </w:rPr>
        <w:t>la</w:t>
      </w:r>
      <w:r w:rsidRPr="003A1844">
        <w:rPr>
          <w:rFonts w:ascii="Verdana" w:hAnsi="Verdana" w:cs="Arial"/>
          <w:spacing w:val="-5"/>
          <w:sz w:val="16"/>
        </w:rPr>
        <w:t xml:space="preserve"> </w:t>
      </w:r>
      <w:r w:rsidRPr="003A1844">
        <w:rPr>
          <w:rFonts w:ascii="Verdana" w:hAnsi="Verdana" w:cs="Arial"/>
          <w:sz w:val="16"/>
        </w:rPr>
        <w:t>expidió,</w:t>
      </w:r>
      <w:r w:rsidRPr="003A1844">
        <w:rPr>
          <w:rFonts w:ascii="Verdana" w:hAnsi="Verdana" w:cs="Arial"/>
          <w:spacing w:val="-4"/>
          <w:sz w:val="16"/>
        </w:rPr>
        <w:t xml:space="preserve"> </w:t>
      </w:r>
      <w:r w:rsidRPr="003A1844">
        <w:rPr>
          <w:rFonts w:ascii="Verdana" w:hAnsi="Verdana" w:cs="Arial"/>
          <w:sz w:val="16"/>
        </w:rPr>
        <w:t>pues</w:t>
      </w:r>
      <w:r w:rsidRPr="003A1844">
        <w:rPr>
          <w:rFonts w:ascii="Verdana" w:hAnsi="Verdana" w:cs="Arial"/>
          <w:spacing w:val="-5"/>
          <w:sz w:val="16"/>
        </w:rPr>
        <w:t xml:space="preserve"> </w:t>
      </w:r>
      <w:r w:rsidRPr="003A1844">
        <w:rPr>
          <w:rFonts w:ascii="Verdana" w:hAnsi="Verdana" w:cs="Arial"/>
          <w:sz w:val="16"/>
        </w:rPr>
        <w:t>si</w:t>
      </w:r>
      <w:r w:rsidRPr="003A1844">
        <w:rPr>
          <w:rFonts w:ascii="Verdana" w:hAnsi="Verdana" w:cs="Arial"/>
          <w:spacing w:val="-4"/>
          <w:sz w:val="16"/>
        </w:rPr>
        <w:t xml:space="preserve"> </w:t>
      </w:r>
      <w:r w:rsidRPr="003A1844">
        <w:rPr>
          <w:rFonts w:ascii="Verdana" w:hAnsi="Verdana" w:cs="Arial"/>
          <w:sz w:val="16"/>
        </w:rPr>
        <w:t>quisiera</w:t>
      </w:r>
      <w:r w:rsidRPr="003A1844">
        <w:rPr>
          <w:rFonts w:ascii="Verdana" w:hAnsi="Verdana" w:cs="Arial"/>
          <w:spacing w:val="-5"/>
          <w:sz w:val="16"/>
        </w:rPr>
        <w:t xml:space="preserve"> </w:t>
      </w:r>
      <w:r w:rsidRPr="003A1844">
        <w:rPr>
          <w:rFonts w:ascii="Verdana" w:hAnsi="Verdana" w:cs="Arial"/>
          <w:sz w:val="16"/>
        </w:rPr>
        <w:t>él</w:t>
      </w:r>
      <w:r w:rsidRPr="003A1844">
        <w:rPr>
          <w:rFonts w:ascii="Verdana" w:hAnsi="Verdana" w:cs="Arial"/>
          <w:spacing w:val="-4"/>
          <w:sz w:val="16"/>
        </w:rPr>
        <w:t xml:space="preserve"> </w:t>
      </w:r>
      <w:r w:rsidRPr="003A1844">
        <w:rPr>
          <w:rFonts w:ascii="Verdana" w:hAnsi="Verdana" w:cs="Arial"/>
          <w:sz w:val="16"/>
        </w:rPr>
        <w:t>lo</w:t>
      </w:r>
      <w:r w:rsidRPr="003A1844">
        <w:rPr>
          <w:rFonts w:ascii="Verdana" w:hAnsi="Verdana" w:cs="Arial"/>
          <w:spacing w:val="-4"/>
          <w:sz w:val="16"/>
        </w:rPr>
        <w:t xml:space="preserve"> </w:t>
      </w:r>
      <w:r w:rsidRPr="003A1844">
        <w:rPr>
          <w:rFonts w:ascii="Verdana" w:hAnsi="Verdana" w:cs="Arial"/>
          <w:sz w:val="16"/>
        </w:rPr>
        <w:t>puede</w:t>
      </w:r>
      <w:r w:rsidRPr="003A1844">
        <w:rPr>
          <w:rFonts w:ascii="Verdana" w:hAnsi="Verdana" w:cs="Arial"/>
          <w:spacing w:val="-5"/>
          <w:sz w:val="16"/>
        </w:rPr>
        <w:t xml:space="preserve"> </w:t>
      </w:r>
      <w:r w:rsidRPr="003A1844">
        <w:rPr>
          <w:rFonts w:ascii="Verdana" w:hAnsi="Verdana" w:cs="Arial"/>
          <w:sz w:val="16"/>
        </w:rPr>
        <w:t>desconocer.</w:t>
      </w:r>
      <w:r w:rsidRPr="003A1844">
        <w:rPr>
          <w:rFonts w:ascii="Verdana" w:hAnsi="Verdana" w:cs="Arial"/>
          <w:spacing w:val="1"/>
          <w:sz w:val="16"/>
        </w:rPr>
        <w:t xml:space="preserve"> </w:t>
      </w:r>
      <w:r w:rsidRPr="003A1844">
        <w:rPr>
          <w:rFonts w:ascii="Verdana" w:hAnsi="Verdana" w:cs="Arial"/>
          <w:sz w:val="16"/>
        </w:rPr>
        <w:t>De algún modo, como acontece con todo acto administrativo, el acto cobra vida propia, y autonomía</w:t>
      </w:r>
      <w:r w:rsidRPr="003A1844">
        <w:rPr>
          <w:rFonts w:ascii="Verdana" w:hAnsi="Verdana" w:cs="Arial"/>
          <w:spacing w:val="1"/>
          <w:sz w:val="16"/>
        </w:rPr>
        <w:t xml:space="preserve"> </w:t>
      </w:r>
      <w:r w:rsidRPr="003A1844">
        <w:rPr>
          <w:rFonts w:ascii="Verdana" w:hAnsi="Verdana" w:cs="Arial"/>
          <w:sz w:val="16"/>
        </w:rPr>
        <w:t>en</w:t>
      </w:r>
      <w:r w:rsidRPr="003A1844">
        <w:rPr>
          <w:rFonts w:ascii="Verdana" w:hAnsi="Verdana" w:cs="Arial"/>
          <w:spacing w:val="-7"/>
          <w:sz w:val="16"/>
        </w:rPr>
        <w:t xml:space="preserve"> </w:t>
      </w:r>
      <w:r w:rsidRPr="003A1844">
        <w:rPr>
          <w:rFonts w:ascii="Verdana" w:hAnsi="Verdana" w:cs="Arial"/>
          <w:sz w:val="16"/>
        </w:rPr>
        <w:t>relación</w:t>
      </w:r>
      <w:r w:rsidRPr="003A1844">
        <w:rPr>
          <w:rFonts w:ascii="Verdana" w:hAnsi="Verdana" w:cs="Arial"/>
          <w:spacing w:val="-7"/>
          <w:sz w:val="16"/>
        </w:rPr>
        <w:t xml:space="preserve"> </w:t>
      </w:r>
      <w:r w:rsidRPr="003A1844">
        <w:rPr>
          <w:rFonts w:ascii="Verdana" w:hAnsi="Verdana" w:cs="Arial"/>
          <w:sz w:val="16"/>
        </w:rPr>
        <w:t>con</w:t>
      </w:r>
      <w:r w:rsidRPr="003A1844">
        <w:rPr>
          <w:rFonts w:ascii="Verdana" w:hAnsi="Verdana" w:cs="Arial"/>
          <w:spacing w:val="-6"/>
          <w:sz w:val="16"/>
        </w:rPr>
        <w:t xml:space="preserve"> </w:t>
      </w:r>
      <w:r w:rsidRPr="003A1844">
        <w:rPr>
          <w:rFonts w:ascii="Verdana" w:hAnsi="Verdana" w:cs="Arial"/>
          <w:sz w:val="16"/>
        </w:rPr>
        <w:t>su</w:t>
      </w:r>
      <w:r w:rsidRPr="003A1844">
        <w:rPr>
          <w:rFonts w:ascii="Verdana" w:hAnsi="Verdana" w:cs="Arial"/>
          <w:spacing w:val="-7"/>
          <w:sz w:val="16"/>
        </w:rPr>
        <w:t xml:space="preserve"> </w:t>
      </w:r>
      <w:r w:rsidRPr="003A1844">
        <w:rPr>
          <w:rFonts w:ascii="Verdana" w:hAnsi="Verdana" w:cs="Arial"/>
          <w:sz w:val="16"/>
        </w:rPr>
        <w:t>propio</w:t>
      </w:r>
      <w:r w:rsidRPr="003A1844">
        <w:rPr>
          <w:rFonts w:ascii="Verdana" w:hAnsi="Verdana" w:cs="Arial"/>
          <w:spacing w:val="-7"/>
          <w:sz w:val="16"/>
        </w:rPr>
        <w:t xml:space="preserve"> </w:t>
      </w:r>
      <w:r w:rsidRPr="003A1844">
        <w:rPr>
          <w:rFonts w:ascii="Verdana" w:hAnsi="Verdana" w:cs="Arial"/>
          <w:sz w:val="16"/>
        </w:rPr>
        <w:t>creador.</w:t>
      </w:r>
      <w:r w:rsidRPr="003A1844">
        <w:rPr>
          <w:rFonts w:ascii="Verdana" w:hAnsi="Verdana" w:cs="Arial"/>
          <w:spacing w:val="-6"/>
          <w:sz w:val="16"/>
        </w:rPr>
        <w:t xml:space="preserve"> </w:t>
      </w:r>
      <w:r w:rsidRPr="003A1844">
        <w:rPr>
          <w:rFonts w:ascii="Verdana" w:hAnsi="Verdana" w:cs="Arial"/>
          <w:sz w:val="16"/>
        </w:rPr>
        <w:t>A</w:t>
      </w:r>
      <w:r w:rsidRPr="003A1844">
        <w:rPr>
          <w:rFonts w:ascii="Verdana" w:hAnsi="Verdana" w:cs="Arial"/>
          <w:spacing w:val="-7"/>
          <w:sz w:val="16"/>
        </w:rPr>
        <w:t xml:space="preserve"> </w:t>
      </w:r>
      <w:r w:rsidRPr="003A1844">
        <w:rPr>
          <w:rFonts w:ascii="Verdana" w:hAnsi="Verdana" w:cs="Arial"/>
          <w:sz w:val="16"/>
        </w:rPr>
        <w:t>este</w:t>
      </w:r>
      <w:r w:rsidRPr="003A1844">
        <w:rPr>
          <w:rFonts w:ascii="Verdana" w:hAnsi="Verdana" w:cs="Arial"/>
          <w:spacing w:val="-6"/>
          <w:sz w:val="16"/>
        </w:rPr>
        <w:t xml:space="preserve"> </w:t>
      </w:r>
      <w:r w:rsidRPr="003A1844">
        <w:rPr>
          <w:rFonts w:ascii="Verdana" w:hAnsi="Verdana" w:cs="Arial"/>
          <w:sz w:val="16"/>
        </w:rPr>
        <w:t>último</w:t>
      </w:r>
      <w:r w:rsidRPr="003A1844">
        <w:rPr>
          <w:rFonts w:ascii="Verdana" w:hAnsi="Verdana" w:cs="Arial"/>
          <w:spacing w:val="-7"/>
          <w:sz w:val="16"/>
        </w:rPr>
        <w:t xml:space="preserve"> </w:t>
      </w:r>
      <w:r w:rsidRPr="003A1844">
        <w:rPr>
          <w:rFonts w:ascii="Verdana" w:hAnsi="Verdana" w:cs="Arial"/>
          <w:sz w:val="16"/>
        </w:rPr>
        <w:t>evento</w:t>
      </w:r>
      <w:r w:rsidRPr="003A1844">
        <w:rPr>
          <w:rFonts w:ascii="Verdana" w:hAnsi="Verdana" w:cs="Arial"/>
          <w:spacing w:val="-7"/>
          <w:sz w:val="16"/>
        </w:rPr>
        <w:t xml:space="preserve"> </w:t>
      </w:r>
      <w:r w:rsidRPr="003A1844">
        <w:rPr>
          <w:rFonts w:ascii="Verdana" w:hAnsi="Verdana" w:cs="Arial"/>
          <w:sz w:val="16"/>
        </w:rPr>
        <w:t>se</w:t>
      </w:r>
      <w:r w:rsidRPr="003A1844">
        <w:rPr>
          <w:rFonts w:ascii="Verdana" w:hAnsi="Verdana" w:cs="Arial"/>
          <w:spacing w:val="-6"/>
          <w:sz w:val="16"/>
        </w:rPr>
        <w:t xml:space="preserve"> </w:t>
      </w:r>
      <w:r w:rsidRPr="003A1844">
        <w:rPr>
          <w:rFonts w:ascii="Verdana" w:hAnsi="Verdana" w:cs="Arial"/>
          <w:sz w:val="16"/>
        </w:rPr>
        <w:t>le</w:t>
      </w:r>
      <w:r w:rsidRPr="003A1844">
        <w:rPr>
          <w:rFonts w:ascii="Verdana" w:hAnsi="Verdana" w:cs="Arial"/>
          <w:spacing w:val="-7"/>
          <w:sz w:val="16"/>
        </w:rPr>
        <w:t xml:space="preserve"> </w:t>
      </w:r>
      <w:r w:rsidRPr="003A1844">
        <w:rPr>
          <w:rFonts w:ascii="Verdana" w:hAnsi="Verdana" w:cs="Arial"/>
          <w:sz w:val="16"/>
        </w:rPr>
        <w:t>denomina</w:t>
      </w:r>
      <w:r w:rsidRPr="003A1844">
        <w:rPr>
          <w:rFonts w:ascii="Verdana" w:hAnsi="Verdana" w:cs="Arial"/>
          <w:spacing w:val="-6"/>
          <w:sz w:val="16"/>
        </w:rPr>
        <w:t xml:space="preserve"> </w:t>
      </w:r>
      <w:r w:rsidRPr="003A1844">
        <w:rPr>
          <w:rFonts w:ascii="Verdana" w:hAnsi="Verdana" w:cs="Arial"/>
          <w:sz w:val="16"/>
        </w:rPr>
        <w:t>la</w:t>
      </w:r>
      <w:r w:rsidRPr="003A1844">
        <w:rPr>
          <w:rFonts w:ascii="Verdana" w:hAnsi="Verdana" w:cs="Arial"/>
          <w:spacing w:val="-6"/>
          <w:sz w:val="16"/>
        </w:rPr>
        <w:t xml:space="preserve"> </w:t>
      </w:r>
      <w:r w:rsidRPr="003A1844">
        <w:rPr>
          <w:rFonts w:ascii="Verdana" w:hAnsi="Verdana" w:cs="Arial"/>
          <w:sz w:val="16"/>
        </w:rPr>
        <w:t>inderogabilidad</w:t>
      </w:r>
      <w:r w:rsidRPr="003A1844">
        <w:rPr>
          <w:rFonts w:ascii="Verdana" w:hAnsi="Verdana" w:cs="Arial"/>
          <w:spacing w:val="-6"/>
          <w:sz w:val="16"/>
        </w:rPr>
        <w:t xml:space="preserve"> </w:t>
      </w:r>
      <w:r w:rsidRPr="003A1844">
        <w:rPr>
          <w:rFonts w:ascii="Verdana" w:hAnsi="Verdana" w:cs="Arial"/>
          <w:sz w:val="16"/>
        </w:rPr>
        <w:t>singular</w:t>
      </w:r>
      <w:r w:rsidRPr="003A1844">
        <w:rPr>
          <w:rFonts w:ascii="Verdana" w:hAnsi="Verdana" w:cs="Arial"/>
          <w:spacing w:val="-6"/>
          <w:sz w:val="16"/>
        </w:rPr>
        <w:t xml:space="preserve"> </w:t>
      </w:r>
      <w:r w:rsidRPr="003A1844">
        <w:rPr>
          <w:rFonts w:ascii="Verdana" w:hAnsi="Verdana" w:cs="Arial"/>
          <w:sz w:val="16"/>
        </w:rPr>
        <w:t>del</w:t>
      </w:r>
      <w:r w:rsidRPr="003A1844">
        <w:rPr>
          <w:rFonts w:ascii="Verdana" w:hAnsi="Verdana" w:cs="Arial"/>
          <w:spacing w:val="1"/>
          <w:sz w:val="16"/>
        </w:rPr>
        <w:t xml:space="preserve"> </w:t>
      </w:r>
      <w:r w:rsidRPr="003A1844">
        <w:rPr>
          <w:rFonts w:ascii="Verdana" w:hAnsi="Verdana" w:cs="Arial"/>
          <w:sz w:val="16"/>
        </w:rPr>
        <w:t>reglamento,</w:t>
      </w:r>
      <w:r w:rsidRPr="003A1844">
        <w:rPr>
          <w:rFonts w:ascii="Verdana" w:hAnsi="Verdana" w:cs="Arial"/>
          <w:spacing w:val="-3"/>
          <w:sz w:val="16"/>
        </w:rPr>
        <w:t xml:space="preserve"> </w:t>
      </w:r>
      <w:r w:rsidRPr="003A1844">
        <w:rPr>
          <w:rFonts w:ascii="Verdana" w:hAnsi="Verdana" w:cs="Arial"/>
          <w:sz w:val="16"/>
        </w:rPr>
        <w:t>que</w:t>
      </w:r>
      <w:r w:rsidRPr="003A1844">
        <w:rPr>
          <w:rFonts w:ascii="Verdana" w:hAnsi="Verdana" w:cs="Arial"/>
          <w:spacing w:val="-2"/>
          <w:sz w:val="16"/>
        </w:rPr>
        <w:t xml:space="preserve"> </w:t>
      </w:r>
      <w:r w:rsidRPr="003A1844">
        <w:rPr>
          <w:rFonts w:ascii="Verdana" w:hAnsi="Verdana" w:cs="Arial"/>
          <w:sz w:val="16"/>
        </w:rPr>
        <w:t>no</w:t>
      </w:r>
      <w:r w:rsidRPr="003A1844">
        <w:rPr>
          <w:rFonts w:ascii="Verdana" w:hAnsi="Verdana" w:cs="Arial"/>
          <w:spacing w:val="-2"/>
          <w:sz w:val="16"/>
        </w:rPr>
        <w:t xml:space="preserve"> </w:t>
      </w:r>
      <w:r w:rsidRPr="003A1844">
        <w:rPr>
          <w:rFonts w:ascii="Verdana" w:hAnsi="Verdana" w:cs="Arial"/>
          <w:sz w:val="16"/>
        </w:rPr>
        <w:t>es</w:t>
      </w:r>
      <w:r w:rsidRPr="003A1844">
        <w:rPr>
          <w:rFonts w:ascii="Verdana" w:hAnsi="Verdana" w:cs="Arial"/>
          <w:spacing w:val="-2"/>
          <w:sz w:val="16"/>
        </w:rPr>
        <w:t xml:space="preserve"> </w:t>
      </w:r>
      <w:r w:rsidRPr="003A1844">
        <w:rPr>
          <w:rFonts w:ascii="Verdana" w:hAnsi="Verdana" w:cs="Arial"/>
          <w:sz w:val="16"/>
        </w:rPr>
        <w:t>otra</w:t>
      </w:r>
      <w:r w:rsidRPr="003A1844">
        <w:rPr>
          <w:rFonts w:ascii="Verdana" w:hAnsi="Verdana" w:cs="Arial"/>
          <w:spacing w:val="-2"/>
          <w:sz w:val="16"/>
        </w:rPr>
        <w:t xml:space="preserve"> </w:t>
      </w:r>
      <w:r w:rsidRPr="003A1844">
        <w:rPr>
          <w:rFonts w:ascii="Verdana" w:hAnsi="Verdana" w:cs="Arial"/>
          <w:sz w:val="16"/>
        </w:rPr>
        <w:t>cosa</w:t>
      </w:r>
      <w:r w:rsidRPr="003A1844">
        <w:rPr>
          <w:rFonts w:ascii="Verdana" w:hAnsi="Verdana" w:cs="Arial"/>
          <w:spacing w:val="-2"/>
          <w:sz w:val="16"/>
        </w:rPr>
        <w:t xml:space="preserve"> </w:t>
      </w:r>
      <w:r w:rsidRPr="003A1844">
        <w:rPr>
          <w:rFonts w:ascii="Verdana" w:hAnsi="Verdana" w:cs="Arial"/>
          <w:sz w:val="16"/>
        </w:rPr>
        <w:t>que</w:t>
      </w:r>
      <w:r w:rsidRPr="003A1844">
        <w:rPr>
          <w:rFonts w:ascii="Verdana" w:hAnsi="Verdana" w:cs="Arial"/>
          <w:spacing w:val="-2"/>
          <w:sz w:val="16"/>
        </w:rPr>
        <w:t xml:space="preserve"> </w:t>
      </w:r>
      <w:r w:rsidRPr="003A1844">
        <w:rPr>
          <w:rFonts w:ascii="Verdana" w:hAnsi="Verdana" w:cs="Arial"/>
          <w:sz w:val="16"/>
        </w:rPr>
        <w:t>la</w:t>
      </w:r>
      <w:r w:rsidRPr="003A1844">
        <w:rPr>
          <w:rFonts w:ascii="Verdana" w:hAnsi="Verdana" w:cs="Arial"/>
          <w:spacing w:val="-2"/>
          <w:sz w:val="16"/>
        </w:rPr>
        <w:t xml:space="preserve"> </w:t>
      </w:r>
      <w:r w:rsidRPr="003A1844">
        <w:rPr>
          <w:rFonts w:ascii="Verdana" w:hAnsi="Verdana" w:cs="Arial"/>
          <w:sz w:val="16"/>
        </w:rPr>
        <w:t>prohibición</w:t>
      </w:r>
      <w:r w:rsidRPr="003A1844">
        <w:rPr>
          <w:rFonts w:ascii="Verdana" w:hAnsi="Verdana" w:cs="Arial"/>
          <w:spacing w:val="-2"/>
          <w:sz w:val="16"/>
        </w:rPr>
        <w:t xml:space="preserve"> </w:t>
      </w:r>
      <w:r w:rsidRPr="003A1844">
        <w:rPr>
          <w:rFonts w:ascii="Verdana" w:hAnsi="Verdana" w:cs="Arial"/>
          <w:sz w:val="16"/>
        </w:rPr>
        <w:t>de</w:t>
      </w:r>
      <w:r w:rsidRPr="003A1844">
        <w:rPr>
          <w:rFonts w:ascii="Verdana" w:hAnsi="Verdana" w:cs="Arial"/>
          <w:spacing w:val="-2"/>
          <w:sz w:val="16"/>
        </w:rPr>
        <w:t xml:space="preserve"> </w:t>
      </w:r>
      <w:r w:rsidRPr="003A1844">
        <w:rPr>
          <w:rFonts w:ascii="Verdana" w:hAnsi="Verdana" w:cs="Arial"/>
          <w:sz w:val="16"/>
        </w:rPr>
        <w:t>insertarlo</w:t>
      </w:r>
      <w:r w:rsidRPr="003A1844">
        <w:rPr>
          <w:rFonts w:ascii="Verdana" w:hAnsi="Verdana" w:cs="Arial"/>
          <w:spacing w:val="-2"/>
          <w:sz w:val="16"/>
        </w:rPr>
        <w:t xml:space="preserve"> </w:t>
      </w:r>
      <w:r w:rsidRPr="003A1844">
        <w:rPr>
          <w:rFonts w:ascii="Verdana" w:hAnsi="Verdana" w:cs="Arial"/>
          <w:sz w:val="16"/>
        </w:rPr>
        <w:t>en</w:t>
      </w:r>
      <w:r w:rsidRPr="003A1844">
        <w:rPr>
          <w:rFonts w:ascii="Verdana" w:hAnsi="Verdana" w:cs="Arial"/>
          <w:spacing w:val="-3"/>
          <w:sz w:val="16"/>
        </w:rPr>
        <w:t xml:space="preserve"> </w:t>
      </w:r>
      <w:r w:rsidRPr="003A1844">
        <w:rPr>
          <w:rFonts w:ascii="Verdana" w:hAnsi="Verdana" w:cs="Arial"/>
          <w:sz w:val="16"/>
        </w:rPr>
        <w:t>un</w:t>
      </w:r>
      <w:r w:rsidRPr="003A1844">
        <w:rPr>
          <w:rFonts w:ascii="Verdana" w:hAnsi="Verdana" w:cs="Arial"/>
          <w:spacing w:val="-2"/>
          <w:sz w:val="16"/>
        </w:rPr>
        <w:t xml:space="preserve"> </w:t>
      </w:r>
      <w:r w:rsidRPr="003A1844">
        <w:rPr>
          <w:rFonts w:ascii="Verdana" w:hAnsi="Verdana" w:cs="Arial"/>
          <w:sz w:val="16"/>
        </w:rPr>
        <w:t>caso</w:t>
      </w:r>
      <w:r w:rsidRPr="003A1844">
        <w:rPr>
          <w:rFonts w:ascii="Verdana" w:hAnsi="Verdana" w:cs="Arial"/>
          <w:spacing w:val="-2"/>
          <w:sz w:val="16"/>
        </w:rPr>
        <w:t xml:space="preserve"> </w:t>
      </w:r>
      <w:r w:rsidRPr="003A1844">
        <w:rPr>
          <w:rFonts w:ascii="Verdana" w:hAnsi="Verdana" w:cs="Arial"/>
          <w:sz w:val="16"/>
        </w:rPr>
        <w:t>particular.</w:t>
      </w:r>
    </w:p>
    <w:p w14:paraId="2ECB2D4E" w14:textId="77777777" w:rsidR="00135720" w:rsidRPr="00FD7E2D" w:rsidRDefault="00135720" w:rsidP="00135720">
      <w:pPr>
        <w:spacing w:after="0" w:line="240" w:lineRule="auto"/>
        <w:ind w:firstLine="708"/>
        <w:jc w:val="both"/>
        <w:rPr>
          <w:rFonts w:ascii="Verdana" w:hAnsi="Verdana" w:cs="Arial"/>
          <w:sz w:val="16"/>
        </w:rPr>
      </w:pPr>
      <w:r w:rsidRPr="003A1844">
        <w:rPr>
          <w:rFonts w:ascii="Verdana" w:hAnsi="Verdana" w:cs="Arial"/>
          <w:sz w:val="16"/>
        </w:rPr>
        <w:t>Esta tesis –de absoluta razonabilidad–, protege tanto al ciudadano como al ordenamiento</w:t>
      </w:r>
      <w:r w:rsidRPr="003A1844">
        <w:rPr>
          <w:rFonts w:ascii="Verdana" w:hAnsi="Verdana" w:cs="Arial"/>
          <w:spacing w:val="1"/>
          <w:sz w:val="16"/>
        </w:rPr>
        <w:t xml:space="preserve"> </w:t>
      </w:r>
      <w:r w:rsidRPr="003A1844">
        <w:rPr>
          <w:rFonts w:ascii="Verdana" w:hAnsi="Verdana" w:cs="Arial"/>
          <w:sz w:val="16"/>
        </w:rPr>
        <w:t>jurídico en general, de la arbitrariedad de la administración, pues si se admitiera que pese a estar en</w:t>
      </w:r>
      <w:r w:rsidRPr="003A1844">
        <w:rPr>
          <w:rFonts w:ascii="Verdana" w:hAnsi="Verdana" w:cs="Arial"/>
          <w:spacing w:val="-50"/>
          <w:sz w:val="16"/>
        </w:rPr>
        <w:t xml:space="preserve"> </w:t>
      </w:r>
      <w:r w:rsidRPr="003A1844">
        <w:rPr>
          <w:rFonts w:ascii="Verdana" w:hAnsi="Verdana" w:cs="Arial"/>
          <w:sz w:val="16"/>
        </w:rPr>
        <w:t>vigencia</w:t>
      </w:r>
      <w:r w:rsidRPr="003A1844">
        <w:rPr>
          <w:rFonts w:ascii="Verdana" w:hAnsi="Verdana" w:cs="Arial"/>
          <w:spacing w:val="-10"/>
          <w:sz w:val="16"/>
        </w:rPr>
        <w:t xml:space="preserve"> </w:t>
      </w:r>
      <w:r w:rsidRPr="003A1844">
        <w:rPr>
          <w:rFonts w:ascii="Verdana" w:hAnsi="Verdana" w:cs="Arial"/>
          <w:sz w:val="16"/>
        </w:rPr>
        <w:t>un</w:t>
      </w:r>
      <w:r w:rsidRPr="003A1844">
        <w:rPr>
          <w:rFonts w:ascii="Verdana" w:hAnsi="Verdana" w:cs="Arial"/>
          <w:spacing w:val="-9"/>
          <w:sz w:val="16"/>
        </w:rPr>
        <w:t xml:space="preserve"> </w:t>
      </w:r>
      <w:r w:rsidRPr="003A1844">
        <w:rPr>
          <w:rFonts w:ascii="Verdana" w:hAnsi="Verdana" w:cs="Arial"/>
          <w:sz w:val="16"/>
        </w:rPr>
        <w:t>reglamento</w:t>
      </w:r>
      <w:r w:rsidRPr="003A1844">
        <w:rPr>
          <w:rFonts w:ascii="Verdana" w:hAnsi="Verdana" w:cs="Arial"/>
          <w:spacing w:val="-10"/>
          <w:sz w:val="16"/>
        </w:rPr>
        <w:t xml:space="preserve"> </w:t>
      </w:r>
      <w:r w:rsidRPr="003A1844">
        <w:rPr>
          <w:rFonts w:ascii="Verdana" w:hAnsi="Verdana" w:cs="Arial"/>
          <w:sz w:val="16"/>
        </w:rPr>
        <w:t>la</w:t>
      </w:r>
      <w:r w:rsidRPr="003A1844">
        <w:rPr>
          <w:rFonts w:ascii="Verdana" w:hAnsi="Verdana" w:cs="Arial"/>
          <w:spacing w:val="-9"/>
          <w:sz w:val="16"/>
        </w:rPr>
        <w:t xml:space="preserve"> </w:t>
      </w:r>
      <w:r w:rsidRPr="003A1844">
        <w:rPr>
          <w:rFonts w:ascii="Verdana" w:hAnsi="Verdana" w:cs="Arial"/>
          <w:sz w:val="16"/>
        </w:rPr>
        <w:t>propia</w:t>
      </w:r>
      <w:r w:rsidRPr="003A1844">
        <w:rPr>
          <w:rFonts w:ascii="Verdana" w:hAnsi="Verdana" w:cs="Arial"/>
          <w:spacing w:val="-10"/>
          <w:sz w:val="16"/>
        </w:rPr>
        <w:t xml:space="preserve"> </w:t>
      </w:r>
      <w:r w:rsidRPr="003A1844">
        <w:rPr>
          <w:rFonts w:ascii="Verdana" w:hAnsi="Verdana" w:cs="Arial"/>
          <w:sz w:val="16"/>
        </w:rPr>
        <w:t>administración</w:t>
      </w:r>
      <w:r w:rsidRPr="003A1844">
        <w:rPr>
          <w:rFonts w:ascii="Verdana" w:hAnsi="Verdana" w:cs="Arial"/>
          <w:spacing w:val="-9"/>
          <w:sz w:val="16"/>
        </w:rPr>
        <w:t xml:space="preserve"> </w:t>
      </w:r>
      <w:r w:rsidRPr="003A1844">
        <w:rPr>
          <w:rFonts w:ascii="Verdana" w:hAnsi="Verdana" w:cs="Arial"/>
          <w:sz w:val="16"/>
        </w:rPr>
        <w:t>que</w:t>
      </w:r>
      <w:r w:rsidRPr="003A1844">
        <w:rPr>
          <w:rFonts w:ascii="Verdana" w:hAnsi="Verdana" w:cs="Arial"/>
          <w:spacing w:val="-10"/>
          <w:sz w:val="16"/>
        </w:rPr>
        <w:t xml:space="preserve"> </w:t>
      </w:r>
      <w:r w:rsidRPr="003A1844">
        <w:rPr>
          <w:rFonts w:ascii="Verdana" w:hAnsi="Verdana" w:cs="Arial"/>
          <w:sz w:val="16"/>
        </w:rPr>
        <w:t>lo</w:t>
      </w:r>
      <w:r w:rsidRPr="003A1844">
        <w:rPr>
          <w:rFonts w:ascii="Verdana" w:hAnsi="Verdana" w:cs="Arial"/>
          <w:spacing w:val="-9"/>
          <w:sz w:val="16"/>
        </w:rPr>
        <w:t xml:space="preserve"> </w:t>
      </w:r>
      <w:r w:rsidRPr="003A1844">
        <w:rPr>
          <w:rFonts w:ascii="Verdana" w:hAnsi="Verdana" w:cs="Arial"/>
          <w:sz w:val="16"/>
        </w:rPr>
        <w:t>dictó</w:t>
      </w:r>
      <w:r w:rsidRPr="003A1844">
        <w:rPr>
          <w:rFonts w:ascii="Verdana" w:hAnsi="Verdana" w:cs="Arial"/>
          <w:spacing w:val="-10"/>
          <w:sz w:val="16"/>
        </w:rPr>
        <w:t xml:space="preserve"> </w:t>
      </w:r>
      <w:r w:rsidRPr="003A1844">
        <w:rPr>
          <w:rFonts w:ascii="Verdana" w:hAnsi="Verdana" w:cs="Arial"/>
          <w:sz w:val="16"/>
        </w:rPr>
        <w:t>lo</w:t>
      </w:r>
      <w:r w:rsidRPr="003A1844">
        <w:rPr>
          <w:rFonts w:ascii="Verdana" w:hAnsi="Verdana" w:cs="Arial"/>
          <w:spacing w:val="-9"/>
          <w:sz w:val="16"/>
        </w:rPr>
        <w:t xml:space="preserve"> </w:t>
      </w:r>
      <w:r w:rsidRPr="003A1844">
        <w:rPr>
          <w:rFonts w:ascii="Verdana" w:hAnsi="Verdana" w:cs="Arial"/>
          <w:sz w:val="16"/>
        </w:rPr>
        <w:t>pudiera</w:t>
      </w:r>
      <w:r w:rsidRPr="003A1844">
        <w:rPr>
          <w:rFonts w:ascii="Verdana" w:hAnsi="Verdana" w:cs="Arial"/>
          <w:spacing w:val="-10"/>
          <w:sz w:val="16"/>
        </w:rPr>
        <w:t xml:space="preserve"> </w:t>
      </w:r>
      <w:r w:rsidRPr="003A1844">
        <w:rPr>
          <w:rFonts w:ascii="Verdana" w:hAnsi="Verdana" w:cs="Arial"/>
          <w:sz w:val="16"/>
        </w:rPr>
        <w:t>inaplicar,</w:t>
      </w:r>
      <w:r w:rsidRPr="003A1844">
        <w:rPr>
          <w:rFonts w:ascii="Verdana" w:hAnsi="Verdana" w:cs="Arial"/>
          <w:spacing w:val="-9"/>
          <w:sz w:val="16"/>
        </w:rPr>
        <w:t xml:space="preserve"> </w:t>
      </w:r>
      <w:r w:rsidRPr="003A1844">
        <w:rPr>
          <w:rFonts w:ascii="Verdana" w:hAnsi="Verdana" w:cs="Arial"/>
          <w:sz w:val="16"/>
        </w:rPr>
        <w:t>aduciendo</w:t>
      </w:r>
      <w:r w:rsidRPr="003A1844">
        <w:rPr>
          <w:rFonts w:ascii="Verdana" w:hAnsi="Verdana" w:cs="Arial"/>
          <w:spacing w:val="-10"/>
          <w:sz w:val="16"/>
        </w:rPr>
        <w:t xml:space="preserve"> </w:t>
      </w:r>
      <w:r w:rsidRPr="003A1844">
        <w:rPr>
          <w:rFonts w:ascii="Verdana" w:hAnsi="Verdana" w:cs="Arial"/>
          <w:sz w:val="16"/>
        </w:rPr>
        <w:t>que</w:t>
      </w:r>
      <w:r w:rsidRPr="003A1844">
        <w:rPr>
          <w:rFonts w:ascii="Verdana" w:hAnsi="Verdana" w:cs="Arial"/>
          <w:spacing w:val="-9"/>
          <w:sz w:val="16"/>
        </w:rPr>
        <w:t xml:space="preserve"> </w:t>
      </w:r>
      <w:r w:rsidRPr="003A1844">
        <w:rPr>
          <w:rFonts w:ascii="Verdana" w:hAnsi="Verdana" w:cs="Arial"/>
          <w:sz w:val="16"/>
        </w:rPr>
        <w:t>si</w:t>
      </w:r>
      <w:r w:rsidRPr="003A1844">
        <w:rPr>
          <w:rFonts w:ascii="Verdana" w:hAnsi="Verdana" w:cs="Arial"/>
          <w:spacing w:val="-10"/>
          <w:sz w:val="16"/>
        </w:rPr>
        <w:t xml:space="preserve"> </w:t>
      </w:r>
      <w:r w:rsidRPr="003A1844">
        <w:rPr>
          <w:rFonts w:ascii="Verdana" w:hAnsi="Verdana" w:cs="Arial"/>
          <w:sz w:val="16"/>
        </w:rPr>
        <w:t>ella</w:t>
      </w:r>
      <w:r w:rsidRPr="003A1844">
        <w:rPr>
          <w:rFonts w:ascii="Verdana" w:hAnsi="Verdana" w:cs="Arial"/>
          <w:spacing w:val="1"/>
          <w:sz w:val="16"/>
        </w:rPr>
        <w:t xml:space="preserve"> </w:t>
      </w:r>
      <w:r w:rsidRPr="003A1844">
        <w:rPr>
          <w:rFonts w:ascii="Verdana" w:hAnsi="Verdana" w:cs="Arial"/>
          <w:sz w:val="16"/>
        </w:rPr>
        <w:t>lo</w:t>
      </w:r>
      <w:r w:rsidRPr="003A1844">
        <w:rPr>
          <w:rFonts w:ascii="Verdana" w:hAnsi="Verdana" w:cs="Arial"/>
          <w:spacing w:val="-13"/>
          <w:sz w:val="16"/>
        </w:rPr>
        <w:t xml:space="preserve"> </w:t>
      </w:r>
      <w:r w:rsidRPr="003A1844">
        <w:rPr>
          <w:rFonts w:ascii="Verdana" w:hAnsi="Verdana" w:cs="Arial"/>
          <w:sz w:val="16"/>
        </w:rPr>
        <w:t>produjo</w:t>
      </w:r>
      <w:r w:rsidRPr="003A1844">
        <w:rPr>
          <w:rFonts w:ascii="Verdana" w:hAnsi="Verdana" w:cs="Arial"/>
          <w:spacing w:val="-12"/>
          <w:sz w:val="16"/>
        </w:rPr>
        <w:t xml:space="preserve"> </w:t>
      </w:r>
      <w:r w:rsidRPr="003A1844">
        <w:rPr>
          <w:rFonts w:ascii="Verdana" w:hAnsi="Verdana" w:cs="Arial"/>
          <w:sz w:val="16"/>
        </w:rPr>
        <w:t>entonces</w:t>
      </w:r>
      <w:r w:rsidRPr="003A1844">
        <w:rPr>
          <w:rFonts w:ascii="Verdana" w:hAnsi="Verdana" w:cs="Arial"/>
          <w:spacing w:val="-12"/>
          <w:sz w:val="16"/>
        </w:rPr>
        <w:t xml:space="preserve"> </w:t>
      </w:r>
      <w:r w:rsidRPr="003A1844">
        <w:rPr>
          <w:rFonts w:ascii="Verdana" w:hAnsi="Verdana" w:cs="Arial"/>
          <w:sz w:val="16"/>
        </w:rPr>
        <w:t>cuenta</w:t>
      </w:r>
      <w:r w:rsidRPr="003A1844">
        <w:rPr>
          <w:rFonts w:ascii="Verdana" w:hAnsi="Verdana" w:cs="Arial"/>
          <w:spacing w:val="-12"/>
          <w:sz w:val="16"/>
        </w:rPr>
        <w:t xml:space="preserve"> </w:t>
      </w:r>
      <w:r w:rsidRPr="003A1844">
        <w:rPr>
          <w:rFonts w:ascii="Verdana" w:hAnsi="Verdana" w:cs="Arial"/>
          <w:sz w:val="16"/>
        </w:rPr>
        <w:t>con</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autoridad</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desconocerlo,</w:t>
      </w:r>
      <w:r w:rsidRPr="003A1844">
        <w:rPr>
          <w:rFonts w:ascii="Verdana" w:hAnsi="Verdana" w:cs="Arial"/>
          <w:spacing w:val="-12"/>
          <w:sz w:val="16"/>
        </w:rPr>
        <w:t xml:space="preserve"> </w:t>
      </w:r>
      <w:r w:rsidRPr="003A1844">
        <w:rPr>
          <w:rFonts w:ascii="Verdana" w:hAnsi="Verdana" w:cs="Arial"/>
          <w:sz w:val="16"/>
        </w:rPr>
        <w:t>los</w:t>
      </w:r>
      <w:r w:rsidRPr="003A1844">
        <w:rPr>
          <w:rFonts w:ascii="Verdana" w:hAnsi="Verdana" w:cs="Arial"/>
          <w:spacing w:val="-12"/>
          <w:sz w:val="16"/>
        </w:rPr>
        <w:t xml:space="preserve"> </w:t>
      </w:r>
      <w:r w:rsidRPr="003A1844">
        <w:rPr>
          <w:rFonts w:ascii="Verdana" w:hAnsi="Verdana" w:cs="Arial"/>
          <w:sz w:val="16"/>
        </w:rPr>
        <w:t>abusos</w:t>
      </w:r>
      <w:r w:rsidRPr="003A1844">
        <w:rPr>
          <w:rFonts w:ascii="Verdana" w:hAnsi="Verdana" w:cs="Arial"/>
          <w:spacing w:val="-12"/>
          <w:sz w:val="16"/>
        </w:rPr>
        <w:t xml:space="preserve"> </w:t>
      </w:r>
      <w:r w:rsidRPr="003A1844">
        <w:rPr>
          <w:rFonts w:ascii="Verdana" w:hAnsi="Verdana" w:cs="Arial"/>
          <w:sz w:val="16"/>
        </w:rPr>
        <w:t>y</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violación</w:t>
      </w:r>
      <w:r w:rsidRPr="003A1844">
        <w:rPr>
          <w:rFonts w:ascii="Verdana" w:hAnsi="Verdana" w:cs="Arial"/>
          <w:spacing w:val="-12"/>
          <w:sz w:val="16"/>
        </w:rPr>
        <w:t xml:space="preserve"> </w:t>
      </w:r>
      <w:r w:rsidRPr="003A1844">
        <w:rPr>
          <w:rFonts w:ascii="Verdana" w:hAnsi="Verdana" w:cs="Arial"/>
          <w:sz w:val="16"/>
        </w:rPr>
        <w:t>a</w:t>
      </w:r>
      <w:r w:rsidRPr="003A1844">
        <w:rPr>
          <w:rFonts w:ascii="Verdana" w:hAnsi="Verdana" w:cs="Arial"/>
          <w:spacing w:val="-12"/>
          <w:sz w:val="16"/>
        </w:rPr>
        <w:t xml:space="preserve"> </w:t>
      </w:r>
      <w:r w:rsidRPr="003A1844">
        <w:rPr>
          <w:rFonts w:ascii="Verdana" w:hAnsi="Verdana" w:cs="Arial"/>
          <w:sz w:val="16"/>
        </w:rPr>
        <w:t>sus</w:t>
      </w:r>
      <w:r w:rsidRPr="003A1844">
        <w:rPr>
          <w:rFonts w:ascii="Verdana" w:hAnsi="Verdana" w:cs="Arial"/>
          <w:spacing w:val="-12"/>
          <w:sz w:val="16"/>
        </w:rPr>
        <w:t xml:space="preserve"> </w:t>
      </w:r>
      <w:r w:rsidRPr="003A1844">
        <w:rPr>
          <w:rFonts w:ascii="Verdana" w:hAnsi="Verdana" w:cs="Arial"/>
          <w:sz w:val="16"/>
        </w:rPr>
        <w:t>propias</w:t>
      </w:r>
      <w:r w:rsidRPr="003A1844">
        <w:rPr>
          <w:rFonts w:ascii="Verdana" w:hAnsi="Verdana" w:cs="Arial"/>
          <w:spacing w:val="1"/>
          <w:sz w:val="16"/>
        </w:rPr>
        <w:t xml:space="preserve"> </w:t>
      </w:r>
      <w:r w:rsidRPr="003A1844">
        <w:rPr>
          <w:rFonts w:ascii="Verdana" w:hAnsi="Verdana" w:cs="Arial"/>
          <w:sz w:val="16"/>
        </w:rPr>
        <w:t>reglas propiciaría el atropello y la corrupción”. (MARÍN CORTÉS, Fabián G. El reglamento como</w:t>
      </w:r>
      <w:r w:rsidRPr="003A1844">
        <w:rPr>
          <w:rFonts w:ascii="Verdana" w:hAnsi="Verdana" w:cs="Arial"/>
          <w:spacing w:val="1"/>
          <w:sz w:val="16"/>
        </w:rPr>
        <w:t xml:space="preserve"> </w:t>
      </w:r>
      <w:r w:rsidRPr="003A1844">
        <w:rPr>
          <w:rFonts w:ascii="Verdana" w:hAnsi="Verdana" w:cs="Arial"/>
          <w:sz w:val="16"/>
        </w:rPr>
        <w:t>fuente</w:t>
      </w:r>
      <w:r w:rsidRPr="003A1844">
        <w:rPr>
          <w:rFonts w:ascii="Verdana" w:hAnsi="Verdana" w:cs="Arial"/>
          <w:spacing w:val="-12"/>
          <w:sz w:val="16"/>
        </w:rPr>
        <w:t xml:space="preserve"> </w:t>
      </w:r>
      <w:r w:rsidRPr="003A1844">
        <w:rPr>
          <w:rFonts w:ascii="Verdana" w:hAnsi="Verdana" w:cs="Arial"/>
          <w:sz w:val="16"/>
        </w:rPr>
        <w:t>del</w:t>
      </w:r>
      <w:r w:rsidRPr="003A1844">
        <w:rPr>
          <w:rFonts w:ascii="Verdana" w:hAnsi="Verdana" w:cs="Arial"/>
          <w:spacing w:val="-12"/>
          <w:sz w:val="16"/>
        </w:rPr>
        <w:t xml:space="preserve"> </w:t>
      </w:r>
      <w:r w:rsidRPr="003A1844">
        <w:rPr>
          <w:rFonts w:ascii="Verdana" w:hAnsi="Verdana" w:cs="Arial"/>
          <w:sz w:val="16"/>
        </w:rPr>
        <w:t>derecho</w:t>
      </w:r>
      <w:r w:rsidRPr="003A1844">
        <w:rPr>
          <w:rFonts w:ascii="Verdana" w:hAnsi="Verdana" w:cs="Arial"/>
          <w:spacing w:val="-12"/>
          <w:sz w:val="16"/>
        </w:rPr>
        <w:t xml:space="preserve"> </w:t>
      </w:r>
      <w:r w:rsidRPr="003A1844">
        <w:rPr>
          <w:rFonts w:ascii="Verdana" w:hAnsi="Verdana" w:cs="Arial"/>
          <w:sz w:val="16"/>
        </w:rPr>
        <w:t>administrativo.</w:t>
      </w:r>
      <w:r w:rsidRPr="003A1844">
        <w:rPr>
          <w:rFonts w:ascii="Verdana" w:hAnsi="Verdana" w:cs="Arial"/>
          <w:spacing w:val="-11"/>
          <w:sz w:val="16"/>
        </w:rPr>
        <w:t xml:space="preserve"> </w:t>
      </w:r>
      <w:r w:rsidRPr="003A1844">
        <w:rPr>
          <w:rFonts w:ascii="Verdana" w:hAnsi="Verdana" w:cs="Arial"/>
          <w:sz w:val="16"/>
        </w:rPr>
        <w:t>En:</w:t>
      </w:r>
      <w:r w:rsidRPr="003A1844">
        <w:rPr>
          <w:rFonts w:ascii="Verdana" w:hAnsi="Verdana" w:cs="Arial"/>
          <w:spacing w:val="-12"/>
          <w:sz w:val="16"/>
        </w:rPr>
        <w:t xml:space="preserve"> </w:t>
      </w:r>
      <w:r w:rsidRPr="003A1844">
        <w:rPr>
          <w:rFonts w:ascii="Verdana" w:hAnsi="Verdana" w:cs="Arial"/>
          <w:sz w:val="16"/>
        </w:rPr>
        <w:t>Las</w:t>
      </w:r>
      <w:r w:rsidRPr="003A1844">
        <w:rPr>
          <w:rFonts w:ascii="Verdana" w:hAnsi="Verdana" w:cs="Arial"/>
          <w:spacing w:val="-12"/>
          <w:sz w:val="16"/>
        </w:rPr>
        <w:t xml:space="preserve"> </w:t>
      </w:r>
      <w:r w:rsidRPr="003A1844">
        <w:rPr>
          <w:rFonts w:ascii="Verdana" w:hAnsi="Verdana" w:cs="Arial"/>
          <w:sz w:val="16"/>
        </w:rPr>
        <w:t>fuentes</w:t>
      </w:r>
      <w:r w:rsidRPr="003A1844">
        <w:rPr>
          <w:rFonts w:ascii="Verdana" w:hAnsi="Verdana" w:cs="Arial"/>
          <w:spacing w:val="-11"/>
          <w:sz w:val="16"/>
        </w:rPr>
        <w:t xml:space="preserve"> </w:t>
      </w:r>
      <w:r w:rsidRPr="003A1844">
        <w:rPr>
          <w:rFonts w:ascii="Verdana" w:hAnsi="Verdana" w:cs="Arial"/>
          <w:sz w:val="16"/>
        </w:rPr>
        <w:t>del</w:t>
      </w:r>
      <w:r w:rsidRPr="003A1844">
        <w:rPr>
          <w:rFonts w:ascii="Verdana" w:hAnsi="Verdana" w:cs="Arial"/>
          <w:spacing w:val="-12"/>
          <w:sz w:val="16"/>
        </w:rPr>
        <w:t xml:space="preserve"> </w:t>
      </w:r>
      <w:r w:rsidRPr="003A1844">
        <w:rPr>
          <w:rFonts w:ascii="Verdana" w:hAnsi="Verdana" w:cs="Arial"/>
          <w:sz w:val="16"/>
        </w:rPr>
        <w:t>derecho</w:t>
      </w:r>
      <w:r w:rsidRPr="003A1844">
        <w:rPr>
          <w:rFonts w:ascii="Verdana" w:hAnsi="Verdana" w:cs="Arial"/>
          <w:spacing w:val="-12"/>
          <w:sz w:val="16"/>
        </w:rPr>
        <w:t xml:space="preserve"> </w:t>
      </w:r>
      <w:r w:rsidRPr="003A1844">
        <w:rPr>
          <w:rFonts w:ascii="Verdana" w:hAnsi="Verdana" w:cs="Arial"/>
          <w:sz w:val="16"/>
        </w:rPr>
        <w:t>administrativo.</w:t>
      </w:r>
      <w:r w:rsidRPr="003A1844">
        <w:rPr>
          <w:rFonts w:ascii="Verdana" w:hAnsi="Verdana" w:cs="Arial"/>
          <w:spacing w:val="-12"/>
          <w:sz w:val="16"/>
        </w:rPr>
        <w:t xml:space="preserve"> </w:t>
      </w:r>
      <w:r w:rsidRPr="003A1844">
        <w:rPr>
          <w:rFonts w:ascii="Verdana" w:hAnsi="Verdana" w:cs="Arial"/>
          <w:sz w:val="16"/>
        </w:rPr>
        <w:t>Texto</w:t>
      </w:r>
      <w:r w:rsidRPr="003A1844">
        <w:rPr>
          <w:rFonts w:ascii="Verdana" w:hAnsi="Verdana" w:cs="Arial"/>
          <w:spacing w:val="-11"/>
          <w:sz w:val="16"/>
        </w:rPr>
        <w:t xml:space="preserve"> </w:t>
      </w:r>
      <w:r w:rsidRPr="003A1844">
        <w:rPr>
          <w:rFonts w:ascii="Verdana" w:hAnsi="Verdana" w:cs="Arial"/>
          <w:sz w:val="16"/>
        </w:rPr>
        <w:t>inédito.</w:t>
      </w:r>
      <w:r w:rsidRPr="003A1844">
        <w:rPr>
          <w:rFonts w:ascii="Verdana" w:hAnsi="Verdana" w:cs="Arial"/>
          <w:spacing w:val="-12"/>
          <w:sz w:val="16"/>
        </w:rPr>
        <w:t xml:space="preserve"> </w:t>
      </w:r>
      <w:r w:rsidRPr="003A1844">
        <w:rPr>
          <w:rFonts w:ascii="Verdana" w:hAnsi="Verdana" w:cs="Arial"/>
          <w:sz w:val="16"/>
        </w:rPr>
        <w:t>2010.</w:t>
      </w:r>
      <w:r w:rsidRPr="003A1844">
        <w:rPr>
          <w:rFonts w:ascii="Verdana" w:hAnsi="Verdana" w:cs="Arial"/>
          <w:spacing w:val="-12"/>
          <w:sz w:val="16"/>
        </w:rPr>
        <w:t xml:space="preserve"> </w:t>
      </w:r>
      <w:r w:rsidRPr="003A1844">
        <w:rPr>
          <w:rFonts w:ascii="Verdana" w:hAnsi="Verdana" w:cs="Arial"/>
          <w:sz w:val="16"/>
        </w:rPr>
        <w:t>pp.</w:t>
      </w:r>
      <w:r w:rsidRPr="003A1844">
        <w:rPr>
          <w:rFonts w:ascii="Verdana" w:hAnsi="Verdana" w:cs="Arial"/>
          <w:spacing w:val="1"/>
          <w:sz w:val="16"/>
        </w:rPr>
        <w:t xml:space="preserve"> </w:t>
      </w:r>
      <w:r w:rsidRPr="003A1844">
        <w:rPr>
          <w:rFonts w:ascii="Verdana" w:hAnsi="Verdana" w:cs="Arial"/>
          <w:sz w:val="16"/>
        </w:rPr>
        <w:t>200-201).</w:t>
      </w:r>
    </w:p>
  </w:footnote>
  <w:footnote w:id="15">
    <w:p w14:paraId="4395CD72" w14:textId="77777777" w:rsidR="00135720" w:rsidRPr="008655F5" w:rsidRDefault="00135720" w:rsidP="00135720">
      <w:pPr>
        <w:pStyle w:val="Textonotapie"/>
        <w:ind w:firstLine="708"/>
        <w:jc w:val="both"/>
        <w:rPr>
          <w:rFonts w:ascii="Verdana" w:hAnsi="Verdana" w:cs="Arial"/>
          <w:sz w:val="16"/>
          <w:szCs w:val="16"/>
        </w:rPr>
      </w:pPr>
      <w:r w:rsidRPr="008655F5">
        <w:rPr>
          <w:rStyle w:val="Refdenotaalpie"/>
          <w:rFonts w:ascii="Verdana" w:hAnsi="Verdana" w:cs="Arial"/>
          <w:sz w:val="16"/>
          <w:szCs w:val="16"/>
        </w:rPr>
        <w:footnoteRef/>
      </w:r>
      <w:r w:rsidRPr="008655F5">
        <w:rPr>
          <w:rFonts w:ascii="Verdana" w:hAnsi="Verdana" w:cs="Arial"/>
          <w:sz w:val="16"/>
          <w:szCs w:val="16"/>
        </w:rPr>
        <w:t xml:space="preserve"> Ibíd. </w:t>
      </w:r>
    </w:p>
    <w:p w14:paraId="64F76C86" w14:textId="77777777" w:rsidR="00135720" w:rsidRPr="00C95CD8" w:rsidRDefault="00135720" w:rsidP="00135720">
      <w:pPr>
        <w:pStyle w:val="Textonotapie"/>
        <w:ind w:firstLine="708"/>
        <w:jc w:val="both"/>
        <w:rPr>
          <w:rFonts w:ascii="Verdana" w:hAnsi="Verdana" w:cs="Arial"/>
          <w:sz w:val="12"/>
          <w:szCs w:val="12"/>
        </w:rPr>
      </w:pPr>
    </w:p>
  </w:footnote>
  <w:footnote w:id="16">
    <w:p w14:paraId="030B2FEB" w14:textId="77777777" w:rsidR="00135720" w:rsidRPr="00A30929" w:rsidRDefault="00135720" w:rsidP="00135720">
      <w:pPr>
        <w:pStyle w:val="Textonotapie"/>
        <w:jc w:val="both"/>
        <w:rPr>
          <w:rFonts w:ascii="Verdana" w:hAnsi="Verdana" w:cs="Arial"/>
          <w:color w:val="000000" w:themeColor="text1"/>
          <w:sz w:val="16"/>
          <w:szCs w:val="16"/>
        </w:rPr>
      </w:pPr>
      <w:r w:rsidRPr="00A30929">
        <w:rPr>
          <w:rFonts w:ascii="Verdana" w:hAnsi="Verdana" w:cs="Arial"/>
          <w:iCs/>
          <w:color w:val="000000" w:themeColor="text1"/>
          <w:sz w:val="16"/>
          <w:szCs w:val="16"/>
        </w:rPr>
        <w:tab/>
      </w:r>
      <w:r w:rsidRPr="00A30929">
        <w:rPr>
          <w:rFonts w:ascii="Verdana" w:hAnsi="Verdana" w:cs="Arial"/>
          <w:iCs/>
          <w:color w:val="000000" w:themeColor="text1"/>
          <w:sz w:val="16"/>
          <w:szCs w:val="16"/>
        </w:rPr>
        <w:footnoteRef/>
      </w:r>
      <w:r w:rsidRPr="00A30929">
        <w:rPr>
          <w:rFonts w:ascii="Verdana" w:hAnsi="Verdana" w:cs="Arial"/>
          <w:iCs/>
          <w:color w:val="000000" w:themeColor="text1"/>
          <w:sz w:val="16"/>
          <w:szCs w:val="16"/>
        </w:rPr>
        <w:t xml:space="preserve"> Motivo por el cual son típicas cláusulas accidentales dentro de los contratos estatales, en los términos del artículo 1501 del Código Civil.</w:t>
      </w:r>
    </w:p>
  </w:footnote>
  <w:footnote w:id="17">
    <w:p w14:paraId="5F39F8AD"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vertAlign w:val="baseline"/>
        </w:rPr>
        <w:footnoteRef/>
      </w:r>
      <w:r w:rsidRPr="00A30929">
        <w:rPr>
          <w:rFonts w:ascii="Verdana" w:hAnsi="Verdana" w:cs="Arial"/>
          <w:color w:val="000000" w:themeColor="text1"/>
          <w:sz w:val="16"/>
          <w:szCs w:val="16"/>
        </w:rPr>
        <w:t xml:space="preserve"> </w:t>
      </w:r>
      <w:r w:rsidRPr="00A30929">
        <w:rPr>
          <w:rFonts w:ascii="Verdana" w:hAnsi="Verdana" w:cs="Arial"/>
          <w:color w:val="000000" w:themeColor="text1"/>
          <w:sz w:val="16"/>
          <w:szCs w:val="16"/>
          <w:lang w:val="es-ES"/>
        </w:rPr>
        <w:t>En efecto, el artículo 86 de la Ley 1474 de 2011 dispone: “</w:t>
      </w:r>
      <w:r w:rsidRPr="00A30929">
        <w:rPr>
          <w:rFonts w:ascii="Verdana" w:hAnsi="Verdana" w:cs="Arial"/>
          <w:i/>
          <w:color w:val="000000" w:themeColor="text1"/>
          <w:sz w:val="16"/>
          <w:szCs w:val="16"/>
          <w:lang w:val="es-ES"/>
        </w:rPr>
        <w:t>Las entidades sometidas al Estatuto General de Contratación de la Administración Pública</w:t>
      </w:r>
      <w:r w:rsidRPr="00A30929">
        <w:rPr>
          <w:rFonts w:ascii="Verdana" w:hAnsi="Verdana" w:cs="Arial"/>
          <w:color w:val="000000" w:themeColor="text1"/>
          <w:sz w:val="16"/>
          <w:szCs w:val="16"/>
          <w:lang w:val="es-ES"/>
        </w:rPr>
        <w:t xml:space="preserve"> podrán declarar el incumplimiento, cuantificando los perjuicios del mismo, imponer las multas y sanciones pactadas en el contrato, y hacer efectiva la cláusula penal. Para tal efecto observarán el siguiente procedimiento:</w:t>
      </w:r>
    </w:p>
    <w:p w14:paraId="4E05E86E"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53B29DCD"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065C9326"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2885CBD5"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 (cursivas fuera de texto).</w:t>
      </w:r>
    </w:p>
    <w:p w14:paraId="2FE9789B"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p>
  </w:footnote>
  <w:footnote w:id="18">
    <w:p w14:paraId="2AC49E10"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vertAlign w:val="baseline"/>
        </w:rPr>
        <w:footnoteRef/>
      </w:r>
      <w:r w:rsidRPr="00A30929">
        <w:rPr>
          <w:rFonts w:ascii="Verdana" w:hAnsi="Verdana" w:cs="Arial"/>
          <w:color w:val="000000" w:themeColor="text1"/>
          <w:sz w:val="16"/>
          <w:szCs w:val="16"/>
        </w:rPr>
        <w:t xml:space="preserve"> </w:t>
      </w:r>
      <w:r w:rsidRPr="00A30929">
        <w:rPr>
          <w:rFonts w:ascii="Verdana" w:hAnsi="Verdana" w:cs="Arial"/>
          <w:color w:val="000000" w:themeColor="text1"/>
          <w:sz w:val="16"/>
          <w:szCs w:val="16"/>
          <w:lang w:val="es-ES"/>
        </w:rPr>
        <w:t>Debe recordarse que las entidades sometidas al Estatuto General de Contratación de la Administración Pública son las que se señalan en el artículo 2 de la Ley 80 de 1993. Esta disposición establece: “Para los solos efectos de esta ley:</w:t>
      </w:r>
    </w:p>
    <w:p w14:paraId="53F097CA"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1o. Se denominan entidades estatales:</w:t>
      </w:r>
    </w:p>
    <w:p w14:paraId="4FFC0144"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w:t>
      </w:r>
      <w:r w:rsidRPr="00A30929">
        <w:rPr>
          <w:rFonts w:ascii="Verdana" w:hAnsi="Verdana"/>
          <w:sz w:val="16"/>
          <w:szCs w:val="16"/>
        </w:rPr>
        <w:t>i</w:t>
      </w:r>
      <w:r w:rsidRPr="00A30929">
        <w:rPr>
          <w:rFonts w:ascii="Verdana" w:hAnsi="Verdana" w:cs="Arial"/>
          <w:color w:val="000000" w:themeColor="text1"/>
          <w:sz w:val="16"/>
          <w:szCs w:val="16"/>
          <w:lang w:val="es-ES"/>
        </w:rPr>
        <w:t>cha participación pública mayoritaria, cualquiera sea la denominación que ellas adopten, en todos los órdenes y niveles.</w:t>
      </w:r>
    </w:p>
    <w:p w14:paraId="11C9623A"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w:t>
      </w:r>
      <w:r>
        <w:rPr>
          <w:rFonts w:ascii="Verdana" w:hAnsi="Verdana" w:cs="Arial"/>
          <w:color w:val="000000" w:themeColor="text1"/>
          <w:sz w:val="16"/>
          <w:szCs w:val="16"/>
          <w:lang w:val="es-ES"/>
        </w:rPr>
        <w:t>cidad para celebrar contratos”.</w:t>
      </w:r>
    </w:p>
  </w:footnote>
  <w:footnote w:id="19">
    <w:p w14:paraId="75C9FA59"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vertAlign w:val="baseline"/>
        </w:rPr>
        <w:footnoteRef/>
      </w:r>
      <w:r w:rsidRPr="00A30929">
        <w:rPr>
          <w:rFonts w:ascii="Verdana" w:hAnsi="Verdana" w:cs="Arial"/>
          <w:color w:val="000000" w:themeColor="text1"/>
          <w:sz w:val="16"/>
          <w:szCs w:val="16"/>
        </w:rPr>
        <w:t xml:space="preserve"> </w:t>
      </w:r>
      <w:r w:rsidRPr="00A30929">
        <w:rPr>
          <w:rFonts w:ascii="Verdana" w:hAnsi="Verdana" w:cs="Arial"/>
          <w:color w:val="000000" w:themeColor="text1"/>
          <w:sz w:val="16"/>
          <w:szCs w:val="16"/>
          <w:lang w:val="es-ES"/>
        </w:rPr>
        <w:t>El artículo 31 de la Ley 142 de 1994, modificado por el artículo 3 de la Ley 689 de 2001, indica: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609619C6"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79679B11"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Fonts w:ascii="Verdana" w:hAnsi="Verdana" w:cs="Arial"/>
          <w:color w:val="000000" w:themeColor="text1"/>
          <w:sz w:val="16"/>
          <w:szCs w:val="16"/>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20">
    <w:p w14:paraId="16B4C8B9" w14:textId="77777777" w:rsidR="00135720" w:rsidRPr="00A30929" w:rsidRDefault="00135720" w:rsidP="00135720">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vertAlign w:val="baseline"/>
        </w:rPr>
        <w:footnoteRef/>
      </w:r>
      <w:r w:rsidRPr="00A30929">
        <w:rPr>
          <w:rFonts w:ascii="Verdana" w:hAnsi="Verdana" w:cs="Arial"/>
          <w:color w:val="000000" w:themeColor="text1"/>
          <w:sz w:val="16"/>
          <w:szCs w:val="16"/>
        </w:rPr>
        <w:t xml:space="preserve"> </w:t>
      </w:r>
      <w:r w:rsidRPr="00A30929">
        <w:rPr>
          <w:rFonts w:ascii="Verdana" w:hAnsi="Verdana" w:cs="Arial"/>
          <w:color w:val="000000" w:themeColor="text1"/>
          <w:sz w:val="16"/>
          <w:szCs w:val="16"/>
          <w:lang w:val="es-ES"/>
        </w:rPr>
        <w:t>El artículo 195, numeral 6 de la Ley 100 de 1993 establece que las empresas sociales del Estado: “En materia contractual se regirá por el derecho privado, pero podrá discrecionalmente utilizar las cláusulas exorbitantes previstas en el estatuto general de contratación de la administración pública”.</w:t>
      </w:r>
    </w:p>
  </w:footnote>
  <w:footnote w:id="21">
    <w:p w14:paraId="30852A43" w14:textId="77777777" w:rsidR="00135720" w:rsidRPr="00082456" w:rsidRDefault="00135720" w:rsidP="00135720">
      <w:pPr>
        <w:pStyle w:val="Textonotapie"/>
        <w:ind w:firstLine="708"/>
        <w:rPr>
          <w:rFonts w:ascii="Verdana" w:hAnsi="Verdana"/>
          <w:sz w:val="16"/>
          <w:szCs w:val="16"/>
        </w:rPr>
      </w:pPr>
      <w:r w:rsidRPr="00082456">
        <w:rPr>
          <w:rStyle w:val="Refdenotaalpie"/>
          <w:rFonts w:ascii="Verdana" w:hAnsi="Verdana"/>
          <w:sz w:val="16"/>
          <w:szCs w:val="16"/>
        </w:rPr>
        <w:footnoteRef/>
      </w:r>
      <w:r w:rsidRPr="00082456">
        <w:rPr>
          <w:rFonts w:ascii="Verdana" w:hAnsi="Verdana"/>
          <w:sz w:val="16"/>
          <w:szCs w:val="16"/>
        </w:rPr>
        <w:t xml:space="preserve">  Consejo de Estado. Sala de Consulta y Servicio Civil. Concepto del 6 de abril de 2000. C.P. Flavio Augusto Rodríguez Arce. Rad. 1263. </w:t>
      </w:r>
    </w:p>
  </w:footnote>
  <w:footnote w:id="22">
    <w:p w14:paraId="7FB329FF" w14:textId="77777777" w:rsidR="00135720" w:rsidRPr="00126FD7" w:rsidRDefault="00135720" w:rsidP="00135720">
      <w:pPr>
        <w:pStyle w:val="Textonotapie"/>
        <w:ind w:firstLine="708"/>
        <w:jc w:val="both"/>
        <w:rPr>
          <w:rFonts w:ascii="Verdana" w:eastAsia="Arial" w:hAnsi="Verdana" w:cs="Arial"/>
          <w:sz w:val="16"/>
          <w:szCs w:val="16"/>
          <w:lang w:val="es-ES"/>
        </w:rPr>
      </w:pPr>
      <w:r w:rsidRPr="00082456">
        <w:rPr>
          <w:rStyle w:val="Refdenotaalpie"/>
          <w:rFonts w:ascii="Verdana" w:hAnsi="Verdana"/>
          <w:sz w:val="16"/>
          <w:szCs w:val="16"/>
        </w:rPr>
        <w:footnoteRef/>
      </w:r>
      <w:r w:rsidRPr="00082456">
        <w:rPr>
          <w:rFonts w:ascii="Verdana" w:hAnsi="Verdana"/>
          <w:sz w:val="16"/>
          <w:szCs w:val="16"/>
        </w:rPr>
        <w:t xml:space="preserve"> </w:t>
      </w:r>
      <w:r w:rsidRPr="00082456">
        <w:rPr>
          <w:rFonts w:ascii="Verdana" w:eastAsia="Arial" w:hAnsi="Verdana" w:cs="Arial"/>
          <w:sz w:val="16"/>
          <w:szCs w:val="16"/>
          <w:lang w:val="es-ES"/>
        </w:rPr>
        <w:t xml:space="preserve">La Resolución 1440 del 14 de agosto de 2024 se encuentra disponible en: </w:t>
      </w:r>
      <w:hyperlink r:id="rId1" w:history="1">
        <w:r w:rsidRPr="00082456">
          <w:rPr>
            <w:rStyle w:val="Hipervnculo"/>
            <w:rFonts w:ascii="Verdana" w:eastAsia="Arial" w:hAnsi="Verdana" w:cs="Arial"/>
            <w:sz w:val="16"/>
            <w:szCs w:val="16"/>
            <w:lang w:val="es-ES"/>
          </w:rPr>
          <w:t>https://www.minsalud.gov.co/Normatividad_Nuevo/Resoluci%C3%B3n%20No%201440%20de%202024.pdf</w:t>
        </w:r>
      </w:hyperlink>
      <w:r>
        <w:rPr>
          <w:rFonts w:ascii="Verdana" w:eastAsia="Arial" w:hAnsi="Verdana" w:cs="Arial"/>
          <w:sz w:val="16"/>
          <w:szCs w:val="16"/>
          <w:lang w:val="es-ES"/>
        </w:rPr>
        <w:t xml:space="preserve"> </w:t>
      </w:r>
    </w:p>
  </w:footnote>
  <w:footnote w:id="23">
    <w:p w14:paraId="175F1DCA" w14:textId="77777777" w:rsidR="00135720" w:rsidRPr="00082456" w:rsidRDefault="00135720" w:rsidP="00135720">
      <w:pPr>
        <w:spacing w:after="0" w:line="240" w:lineRule="auto"/>
        <w:ind w:firstLine="708"/>
        <w:jc w:val="both"/>
        <w:rPr>
          <w:rFonts w:ascii="Verdana" w:hAnsi="Verdana" w:cs="Arial"/>
          <w:sz w:val="16"/>
          <w:szCs w:val="16"/>
        </w:rPr>
      </w:pPr>
      <w:r w:rsidRPr="00082456">
        <w:rPr>
          <w:rStyle w:val="Refdenotaalpie"/>
          <w:rFonts w:ascii="Verdana" w:hAnsi="Verdana" w:cs="Arial"/>
          <w:sz w:val="16"/>
          <w:szCs w:val="16"/>
        </w:rPr>
        <w:footnoteRef/>
      </w:r>
      <w:r w:rsidRPr="00082456">
        <w:rPr>
          <w:rFonts w:ascii="Verdana" w:hAnsi="Verdana" w:cs="Arial"/>
          <w:sz w:val="16"/>
          <w:szCs w:val="16"/>
        </w:rPr>
        <w:t xml:space="preserve"> Ley 1438 de 2011: “Artículo 76. Eficiencia y transparencia en contratación, adquisiciones</w:t>
      </w:r>
      <w:r w:rsidRPr="00082456">
        <w:rPr>
          <w:rFonts w:ascii="Verdana" w:hAnsi="Verdana" w:cs="Arial"/>
          <w:spacing w:val="1"/>
          <w:sz w:val="16"/>
          <w:szCs w:val="16"/>
        </w:rPr>
        <w:t xml:space="preserve"> </w:t>
      </w:r>
      <w:r w:rsidRPr="00082456">
        <w:rPr>
          <w:rFonts w:ascii="Verdana" w:hAnsi="Verdana" w:cs="Arial"/>
          <w:sz w:val="16"/>
          <w:szCs w:val="16"/>
        </w:rPr>
        <w:t>y compras de las Empresas Sociales del Estado. Con el propósito de promover la eficiencia y</w:t>
      </w:r>
      <w:r w:rsidRPr="00082456">
        <w:rPr>
          <w:rFonts w:ascii="Verdana" w:hAnsi="Verdana" w:cs="Arial"/>
          <w:spacing w:val="1"/>
          <w:sz w:val="16"/>
          <w:szCs w:val="16"/>
        </w:rPr>
        <w:t xml:space="preserve"> </w:t>
      </w:r>
      <w:r w:rsidRPr="00082456">
        <w:rPr>
          <w:rFonts w:ascii="Verdana" w:hAnsi="Verdana" w:cs="Arial"/>
          <w:sz w:val="16"/>
          <w:szCs w:val="16"/>
        </w:rPr>
        <w:t>transparencia</w:t>
      </w:r>
      <w:r w:rsidRPr="00082456">
        <w:rPr>
          <w:rFonts w:ascii="Verdana" w:hAnsi="Verdana" w:cs="Arial"/>
          <w:spacing w:val="1"/>
          <w:sz w:val="16"/>
          <w:szCs w:val="16"/>
        </w:rPr>
        <w:t xml:space="preserve"> </w:t>
      </w:r>
      <w:r w:rsidRPr="00082456">
        <w:rPr>
          <w:rFonts w:ascii="Verdana" w:hAnsi="Verdana" w:cs="Arial"/>
          <w:sz w:val="16"/>
          <w:szCs w:val="16"/>
        </w:rPr>
        <w:t>en la contratación las Empresas Sociales del Estado podrán asociarse entre sí,</w:t>
      </w:r>
      <w:r w:rsidRPr="00082456">
        <w:rPr>
          <w:rFonts w:ascii="Verdana" w:hAnsi="Verdana" w:cs="Arial"/>
          <w:spacing w:val="1"/>
          <w:sz w:val="16"/>
          <w:szCs w:val="16"/>
        </w:rPr>
        <w:t xml:space="preserve"> </w:t>
      </w:r>
      <w:r w:rsidRPr="00082456">
        <w:rPr>
          <w:rFonts w:ascii="Verdana" w:hAnsi="Verdana" w:cs="Arial"/>
          <w:sz w:val="16"/>
          <w:szCs w:val="16"/>
        </w:rPr>
        <w:t>constituir cooperativas o utilizar sistemas de compras electrónicas o cualquier otro mecanismo que</w:t>
      </w:r>
      <w:r w:rsidRPr="00082456">
        <w:rPr>
          <w:rFonts w:ascii="Verdana" w:hAnsi="Verdana" w:cs="Arial"/>
          <w:spacing w:val="1"/>
          <w:sz w:val="16"/>
          <w:szCs w:val="16"/>
        </w:rPr>
        <w:t xml:space="preserve"> </w:t>
      </w:r>
      <w:r w:rsidRPr="00082456">
        <w:rPr>
          <w:rFonts w:ascii="Verdana" w:hAnsi="Verdana" w:cs="Arial"/>
          <w:sz w:val="16"/>
          <w:szCs w:val="16"/>
        </w:rPr>
        <w:t>beneficie a las entidades con economías de escala, calidad, oportunidad y eficiencia, respetando los</w:t>
      </w:r>
      <w:r w:rsidRPr="00082456">
        <w:rPr>
          <w:rFonts w:ascii="Verdana" w:hAnsi="Verdana" w:cs="Arial"/>
          <w:spacing w:val="-50"/>
          <w:sz w:val="16"/>
          <w:szCs w:val="16"/>
        </w:rPr>
        <w:t xml:space="preserve"> </w:t>
      </w:r>
      <w:r w:rsidRPr="00082456">
        <w:rPr>
          <w:rFonts w:ascii="Verdana" w:hAnsi="Verdana" w:cs="Arial"/>
          <w:sz w:val="16"/>
          <w:szCs w:val="16"/>
        </w:rPr>
        <w:t>principios de la actuación administrativa y la contratación pública. Para lo anterior la Junta Directiva</w:t>
      </w:r>
      <w:r w:rsidRPr="00082456">
        <w:rPr>
          <w:rFonts w:ascii="Verdana" w:hAnsi="Verdana" w:cs="Arial"/>
          <w:spacing w:val="1"/>
          <w:sz w:val="16"/>
          <w:szCs w:val="16"/>
        </w:rPr>
        <w:t xml:space="preserve"> </w:t>
      </w:r>
      <w:r w:rsidRPr="00082456">
        <w:rPr>
          <w:rFonts w:ascii="Verdana" w:hAnsi="Verdana" w:cs="Arial"/>
          <w:sz w:val="16"/>
          <w:szCs w:val="16"/>
        </w:rPr>
        <w:t>deberá adoptar un estatuto de contratación de acuerdo con los lineamientos que defina el Ministerio</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2"/>
          <w:sz w:val="16"/>
          <w:szCs w:val="16"/>
        </w:rPr>
        <w:t xml:space="preserve"> </w:t>
      </w:r>
      <w:r w:rsidRPr="00082456">
        <w:rPr>
          <w:rFonts w:ascii="Verdana" w:hAnsi="Verdana" w:cs="Arial"/>
          <w:sz w:val="16"/>
          <w:szCs w:val="16"/>
        </w:rPr>
        <w:t>la</w:t>
      </w:r>
      <w:r w:rsidRPr="00082456">
        <w:rPr>
          <w:rFonts w:ascii="Verdana" w:hAnsi="Verdana" w:cs="Arial"/>
          <w:spacing w:val="-1"/>
          <w:sz w:val="16"/>
          <w:szCs w:val="16"/>
        </w:rPr>
        <w:t xml:space="preserve"> </w:t>
      </w:r>
      <w:r w:rsidRPr="00082456">
        <w:rPr>
          <w:rFonts w:ascii="Verdana" w:hAnsi="Verdana" w:cs="Arial"/>
          <w:sz w:val="16"/>
          <w:szCs w:val="16"/>
        </w:rPr>
        <w:t>Protección</w:t>
      </w:r>
      <w:r w:rsidRPr="00082456">
        <w:rPr>
          <w:rFonts w:ascii="Verdana" w:hAnsi="Verdana" w:cs="Arial"/>
          <w:spacing w:val="-1"/>
          <w:sz w:val="16"/>
          <w:szCs w:val="16"/>
        </w:rPr>
        <w:t xml:space="preserve"> </w:t>
      </w:r>
      <w:r w:rsidRPr="00082456">
        <w:rPr>
          <w:rFonts w:ascii="Verdana" w:hAnsi="Verdana" w:cs="Arial"/>
          <w:sz w:val="16"/>
          <w:szCs w:val="16"/>
        </w:rPr>
        <w:t>Social.</w:t>
      </w:r>
    </w:p>
    <w:p w14:paraId="3706957E" w14:textId="77777777" w:rsidR="00135720" w:rsidRPr="00082456" w:rsidRDefault="00135720" w:rsidP="00135720">
      <w:pPr>
        <w:spacing w:after="0" w:line="240" w:lineRule="auto"/>
        <w:ind w:firstLine="708"/>
        <w:jc w:val="both"/>
        <w:rPr>
          <w:rFonts w:ascii="Verdana" w:hAnsi="Verdana" w:cs="Arial"/>
          <w:sz w:val="16"/>
          <w:szCs w:val="16"/>
        </w:rPr>
      </w:pPr>
      <w:r w:rsidRPr="00082456">
        <w:rPr>
          <w:rFonts w:ascii="Verdana" w:hAnsi="Verdana" w:cs="Arial"/>
          <w:sz w:val="16"/>
          <w:szCs w:val="16"/>
        </w:rPr>
        <w:t>Igualmente,</w:t>
      </w:r>
      <w:r w:rsidRPr="00082456">
        <w:rPr>
          <w:rFonts w:ascii="Verdana" w:hAnsi="Verdana" w:cs="Arial"/>
          <w:spacing w:val="1"/>
          <w:sz w:val="16"/>
          <w:szCs w:val="16"/>
        </w:rPr>
        <w:t xml:space="preserve"> </w:t>
      </w:r>
      <w:r w:rsidRPr="00082456">
        <w:rPr>
          <w:rFonts w:ascii="Verdana" w:hAnsi="Verdana" w:cs="Arial"/>
          <w:sz w:val="16"/>
          <w:szCs w:val="16"/>
        </w:rPr>
        <w:t>las</w:t>
      </w:r>
      <w:r w:rsidRPr="00082456">
        <w:rPr>
          <w:rFonts w:ascii="Verdana" w:hAnsi="Verdana" w:cs="Arial"/>
          <w:spacing w:val="1"/>
          <w:sz w:val="16"/>
          <w:szCs w:val="16"/>
        </w:rPr>
        <w:t xml:space="preserve"> </w:t>
      </w:r>
      <w:r w:rsidRPr="00082456">
        <w:rPr>
          <w:rFonts w:ascii="Verdana" w:hAnsi="Verdana" w:cs="Arial"/>
          <w:sz w:val="16"/>
          <w:szCs w:val="16"/>
        </w:rPr>
        <w:t>Empresas</w:t>
      </w:r>
      <w:r w:rsidRPr="00082456">
        <w:rPr>
          <w:rFonts w:ascii="Verdana" w:hAnsi="Verdana" w:cs="Arial"/>
          <w:spacing w:val="1"/>
          <w:sz w:val="16"/>
          <w:szCs w:val="16"/>
        </w:rPr>
        <w:t xml:space="preserve"> </w:t>
      </w:r>
      <w:r w:rsidRPr="00082456">
        <w:rPr>
          <w:rFonts w:ascii="Verdana" w:hAnsi="Verdana" w:cs="Arial"/>
          <w:sz w:val="16"/>
          <w:szCs w:val="16"/>
        </w:rPr>
        <w:t>Sociales</w:t>
      </w:r>
      <w:r w:rsidRPr="00082456">
        <w:rPr>
          <w:rFonts w:ascii="Verdana" w:hAnsi="Verdana" w:cs="Arial"/>
          <w:spacing w:val="1"/>
          <w:sz w:val="16"/>
          <w:szCs w:val="16"/>
        </w:rPr>
        <w:t xml:space="preserve"> </w:t>
      </w:r>
      <w:r w:rsidRPr="00082456">
        <w:rPr>
          <w:rFonts w:ascii="Verdana" w:hAnsi="Verdana" w:cs="Arial"/>
          <w:sz w:val="16"/>
          <w:szCs w:val="16"/>
        </w:rPr>
        <w:t>del</w:t>
      </w:r>
      <w:r w:rsidRPr="00082456">
        <w:rPr>
          <w:rFonts w:ascii="Verdana" w:hAnsi="Verdana" w:cs="Arial"/>
          <w:spacing w:val="1"/>
          <w:sz w:val="16"/>
          <w:szCs w:val="16"/>
        </w:rPr>
        <w:t xml:space="preserve"> </w:t>
      </w:r>
      <w:r w:rsidRPr="00082456">
        <w:rPr>
          <w:rFonts w:ascii="Verdana" w:hAnsi="Verdana" w:cs="Arial"/>
          <w:sz w:val="16"/>
          <w:szCs w:val="16"/>
        </w:rPr>
        <w:t>Estado</w:t>
      </w:r>
      <w:r w:rsidRPr="00082456">
        <w:rPr>
          <w:rFonts w:ascii="Verdana" w:hAnsi="Verdana" w:cs="Arial"/>
          <w:spacing w:val="1"/>
          <w:sz w:val="16"/>
          <w:szCs w:val="16"/>
        </w:rPr>
        <w:t xml:space="preserve"> </w:t>
      </w:r>
      <w:r w:rsidRPr="00082456">
        <w:rPr>
          <w:rFonts w:ascii="Verdana" w:hAnsi="Verdana" w:cs="Arial"/>
          <w:sz w:val="16"/>
          <w:szCs w:val="16"/>
        </w:rPr>
        <w:t>podrán</w:t>
      </w:r>
      <w:r w:rsidRPr="00082456">
        <w:rPr>
          <w:rFonts w:ascii="Verdana" w:hAnsi="Verdana" w:cs="Arial"/>
          <w:spacing w:val="1"/>
          <w:sz w:val="16"/>
          <w:szCs w:val="16"/>
        </w:rPr>
        <w:t xml:space="preserve"> </w:t>
      </w:r>
      <w:r w:rsidRPr="00082456">
        <w:rPr>
          <w:rFonts w:ascii="Verdana" w:hAnsi="Verdana" w:cs="Arial"/>
          <w:sz w:val="16"/>
          <w:szCs w:val="16"/>
        </w:rPr>
        <w:t>contratar</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manera</w:t>
      </w:r>
      <w:r w:rsidRPr="00082456">
        <w:rPr>
          <w:rFonts w:ascii="Verdana" w:hAnsi="Verdana" w:cs="Arial"/>
          <w:spacing w:val="1"/>
          <w:sz w:val="16"/>
          <w:szCs w:val="16"/>
        </w:rPr>
        <w:t xml:space="preserve"> </w:t>
      </w:r>
      <w:r w:rsidRPr="00082456">
        <w:rPr>
          <w:rFonts w:ascii="Verdana" w:hAnsi="Verdana" w:cs="Arial"/>
          <w:sz w:val="16"/>
          <w:szCs w:val="16"/>
        </w:rPr>
        <w:t>conjunta</w:t>
      </w:r>
      <w:r w:rsidRPr="00082456">
        <w:rPr>
          <w:rFonts w:ascii="Verdana" w:hAnsi="Verdana" w:cs="Arial"/>
          <w:spacing w:val="1"/>
          <w:sz w:val="16"/>
          <w:szCs w:val="16"/>
        </w:rPr>
        <w:t xml:space="preserve"> </w:t>
      </w:r>
      <w:r w:rsidRPr="00082456">
        <w:rPr>
          <w:rFonts w:ascii="Verdana" w:hAnsi="Verdana" w:cs="Arial"/>
          <w:sz w:val="16"/>
          <w:szCs w:val="16"/>
        </w:rPr>
        <w:t>sistemas</w:t>
      </w:r>
      <w:r w:rsidRPr="00082456">
        <w:rPr>
          <w:rFonts w:ascii="Verdana" w:hAnsi="Verdana" w:cs="Arial"/>
          <w:spacing w:val="-10"/>
          <w:sz w:val="16"/>
          <w:szCs w:val="16"/>
        </w:rPr>
        <w:t xml:space="preserve"> </w:t>
      </w:r>
      <w:r w:rsidRPr="00082456">
        <w:rPr>
          <w:rFonts w:ascii="Verdana" w:hAnsi="Verdana" w:cs="Arial"/>
          <w:sz w:val="16"/>
          <w:szCs w:val="16"/>
        </w:rPr>
        <w:t>de</w:t>
      </w:r>
      <w:r w:rsidRPr="00082456">
        <w:rPr>
          <w:rFonts w:ascii="Verdana" w:hAnsi="Verdana" w:cs="Arial"/>
          <w:spacing w:val="-10"/>
          <w:sz w:val="16"/>
          <w:szCs w:val="16"/>
        </w:rPr>
        <w:t xml:space="preserve"> </w:t>
      </w:r>
      <w:r w:rsidRPr="00082456">
        <w:rPr>
          <w:rFonts w:ascii="Verdana" w:hAnsi="Verdana" w:cs="Arial"/>
          <w:sz w:val="16"/>
          <w:szCs w:val="16"/>
        </w:rPr>
        <w:t>información,</w:t>
      </w:r>
      <w:r w:rsidRPr="00082456">
        <w:rPr>
          <w:rFonts w:ascii="Verdana" w:hAnsi="Verdana" w:cs="Arial"/>
          <w:spacing w:val="-10"/>
          <w:sz w:val="16"/>
          <w:szCs w:val="16"/>
        </w:rPr>
        <w:t xml:space="preserve"> </w:t>
      </w:r>
      <w:r w:rsidRPr="00082456">
        <w:rPr>
          <w:rFonts w:ascii="Verdana" w:hAnsi="Verdana" w:cs="Arial"/>
          <w:sz w:val="16"/>
          <w:szCs w:val="16"/>
        </w:rPr>
        <w:t>sistema</w:t>
      </w:r>
      <w:r w:rsidRPr="00082456">
        <w:rPr>
          <w:rFonts w:ascii="Verdana" w:hAnsi="Verdana" w:cs="Arial"/>
          <w:spacing w:val="-9"/>
          <w:sz w:val="16"/>
          <w:szCs w:val="16"/>
        </w:rPr>
        <w:t xml:space="preserve"> </w:t>
      </w:r>
      <w:r w:rsidRPr="00082456">
        <w:rPr>
          <w:rFonts w:ascii="Verdana" w:hAnsi="Verdana" w:cs="Arial"/>
          <w:sz w:val="16"/>
          <w:szCs w:val="16"/>
        </w:rPr>
        <w:t>de</w:t>
      </w:r>
      <w:r w:rsidRPr="00082456">
        <w:rPr>
          <w:rFonts w:ascii="Verdana" w:hAnsi="Verdana" w:cs="Arial"/>
          <w:spacing w:val="-10"/>
          <w:sz w:val="16"/>
          <w:szCs w:val="16"/>
        </w:rPr>
        <w:t xml:space="preserve"> </w:t>
      </w:r>
      <w:r w:rsidRPr="00082456">
        <w:rPr>
          <w:rFonts w:ascii="Verdana" w:hAnsi="Verdana" w:cs="Arial"/>
          <w:sz w:val="16"/>
          <w:szCs w:val="16"/>
        </w:rPr>
        <w:t>control</w:t>
      </w:r>
      <w:r w:rsidRPr="00082456">
        <w:rPr>
          <w:rFonts w:ascii="Verdana" w:hAnsi="Verdana" w:cs="Arial"/>
          <w:spacing w:val="-10"/>
          <w:sz w:val="16"/>
          <w:szCs w:val="16"/>
        </w:rPr>
        <w:t xml:space="preserve"> </w:t>
      </w:r>
      <w:r w:rsidRPr="00082456">
        <w:rPr>
          <w:rFonts w:ascii="Verdana" w:hAnsi="Verdana" w:cs="Arial"/>
          <w:sz w:val="16"/>
          <w:szCs w:val="16"/>
        </w:rPr>
        <w:t>interno,</w:t>
      </w:r>
      <w:r w:rsidRPr="00082456">
        <w:rPr>
          <w:rFonts w:ascii="Verdana" w:hAnsi="Verdana" w:cs="Arial"/>
          <w:spacing w:val="-9"/>
          <w:sz w:val="16"/>
          <w:szCs w:val="16"/>
        </w:rPr>
        <w:t xml:space="preserve"> </w:t>
      </w:r>
      <w:r w:rsidRPr="00082456">
        <w:rPr>
          <w:rFonts w:ascii="Verdana" w:hAnsi="Verdana" w:cs="Arial"/>
          <w:sz w:val="16"/>
          <w:szCs w:val="16"/>
        </w:rPr>
        <w:t>de</w:t>
      </w:r>
      <w:r w:rsidRPr="00082456">
        <w:rPr>
          <w:rFonts w:ascii="Verdana" w:hAnsi="Verdana" w:cs="Arial"/>
          <w:spacing w:val="-10"/>
          <w:sz w:val="16"/>
          <w:szCs w:val="16"/>
        </w:rPr>
        <w:t xml:space="preserve"> </w:t>
      </w:r>
      <w:r w:rsidRPr="00082456">
        <w:rPr>
          <w:rFonts w:ascii="Verdana" w:hAnsi="Verdana" w:cs="Arial"/>
          <w:sz w:val="16"/>
          <w:szCs w:val="16"/>
        </w:rPr>
        <w:t>interventorías,</w:t>
      </w:r>
      <w:r w:rsidRPr="00082456">
        <w:rPr>
          <w:rFonts w:ascii="Verdana" w:hAnsi="Verdana" w:cs="Arial"/>
          <w:spacing w:val="-10"/>
          <w:sz w:val="16"/>
          <w:szCs w:val="16"/>
        </w:rPr>
        <w:t xml:space="preserve"> </w:t>
      </w:r>
      <w:r w:rsidRPr="00082456">
        <w:rPr>
          <w:rFonts w:ascii="Verdana" w:hAnsi="Verdana" w:cs="Arial"/>
          <w:sz w:val="16"/>
          <w:szCs w:val="16"/>
        </w:rPr>
        <w:t>gestión</w:t>
      </w:r>
      <w:r w:rsidRPr="00082456">
        <w:rPr>
          <w:rFonts w:ascii="Verdana" w:hAnsi="Verdana" w:cs="Arial"/>
          <w:spacing w:val="-10"/>
          <w:sz w:val="16"/>
          <w:szCs w:val="16"/>
        </w:rPr>
        <w:t xml:space="preserve"> </w:t>
      </w:r>
      <w:r w:rsidRPr="00082456">
        <w:rPr>
          <w:rFonts w:ascii="Verdana" w:hAnsi="Verdana" w:cs="Arial"/>
          <w:sz w:val="16"/>
          <w:szCs w:val="16"/>
        </w:rPr>
        <w:t>de</w:t>
      </w:r>
      <w:r w:rsidRPr="00082456">
        <w:rPr>
          <w:rFonts w:ascii="Verdana" w:hAnsi="Verdana" w:cs="Arial"/>
          <w:spacing w:val="-9"/>
          <w:sz w:val="16"/>
          <w:szCs w:val="16"/>
        </w:rPr>
        <w:t xml:space="preserve"> </w:t>
      </w:r>
      <w:r w:rsidRPr="00082456">
        <w:rPr>
          <w:rFonts w:ascii="Verdana" w:hAnsi="Verdana" w:cs="Arial"/>
          <w:sz w:val="16"/>
          <w:szCs w:val="16"/>
        </w:rPr>
        <w:t>calidad</w:t>
      </w:r>
      <w:r w:rsidRPr="00082456">
        <w:rPr>
          <w:rFonts w:ascii="Verdana" w:hAnsi="Verdana" w:cs="Arial"/>
          <w:spacing w:val="-10"/>
          <w:sz w:val="16"/>
          <w:szCs w:val="16"/>
        </w:rPr>
        <w:t xml:space="preserve"> </w:t>
      </w:r>
      <w:r w:rsidRPr="00082456">
        <w:rPr>
          <w:rFonts w:ascii="Verdana" w:hAnsi="Verdana" w:cs="Arial"/>
          <w:sz w:val="16"/>
          <w:szCs w:val="16"/>
        </w:rPr>
        <w:t>y</w:t>
      </w:r>
      <w:r w:rsidRPr="00082456">
        <w:rPr>
          <w:rFonts w:ascii="Verdana" w:hAnsi="Verdana" w:cs="Arial"/>
          <w:spacing w:val="-10"/>
          <w:sz w:val="16"/>
          <w:szCs w:val="16"/>
        </w:rPr>
        <w:t xml:space="preserve"> </w:t>
      </w:r>
      <w:r w:rsidRPr="00082456">
        <w:rPr>
          <w:rFonts w:ascii="Verdana" w:hAnsi="Verdana" w:cs="Arial"/>
          <w:sz w:val="16"/>
          <w:szCs w:val="16"/>
        </w:rPr>
        <w:t>auditorías,</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recurso</w:t>
      </w:r>
      <w:r w:rsidRPr="00082456">
        <w:rPr>
          <w:rFonts w:ascii="Verdana" w:hAnsi="Verdana" w:cs="Arial"/>
          <w:spacing w:val="1"/>
          <w:sz w:val="16"/>
          <w:szCs w:val="16"/>
        </w:rPr>
        <w:t xml:space="preserve"> </w:t>
      </w:r>
      <w:r w:rsidRPr="00082456">
        <w:rPr>
          <w:rFonts w:ascii="Verdana" w:hAnsi="Verdana" w:cs="Arial"/>
          <w:sz w:val="16"/>
          <w:szCs w:val="16"/>
        </w:rPr>
        <w:t>humano</w:t>
      </w:r>
      <w:r w:rsidRPr="00082456">
        <w:rPr>
          <w:rFonts w:ascii="Verdana" w:hAnsi="Verdana" w:cs="Arial"/>
          <w:spacing w:val="1"/>
          <w:sz w:val="16"/>
          <w:szCs w:val="16"/>
        </w:rPr>
        <w:t xml:space="preserve"> </w:t>
      </w:r>
      <w:r w:rsidRPr="00082456">
        <w:rPr>
          <w:rFonts w:ascii="Verdana" w:hAnsi="Verdana" w:cs="Arial"/>
          <w:sz w:val="16"/>
          <w:szCs w:val="16"/>
        </w:rPr>
        <w:t>y</w:t>
      </w:r>
      <w:r w:rsidRPr="00082456">
        <w:rPr>
          <w:rFonts w:ascii="Verdana" w:hAnsi="Verdana" w:cs="Arial"/>
          <w:spacing w:val="1"/>
          <w:sz w:val="16"/>
          <w:szCs w:val="16"/>
        </w:rPr>
        <w:t xml:space="preserve"> </w:t>
      </w:r>
      <w:r w:rsidRPr="00082456">
        <w:rPr>
          <w:rFonts w:ascii="Verdana" w:hAnsi="Verdana" w:cs="Arial"/>
          <w:sz w:val="16"/>
          <w:szCs w:val="16"/>
        </w:rPr>
        <w:t>demás</w:t>
      </w:r>
      <w:r w:rsidRPr="00082456">
        <w:rPr>
          <w:rFonts w:ascii="Verdana" w:hAnsi="Verdana" w:cs="Arial"/>
          <w:spacing w:val="1"/>
          <w:sz w:val="16"/>
          <w:szCs w:val="16"/>
        </w:rPr>
        <w:t xml:space="preserve"> </w:t>
      </w:r>
      <w:r w:rsidRPr="00082456">
        <w:rPr>
          <w:rFonts w:ascii="Verdana" w:hAnsi="Verdana" w:cs="Arial"/>
          <w:sz w:val="16"/>
          <w:szCs w:val="16"/>
        </w:rPr>
        <w:t>funciones</w:t>
      </w:r>
      <w:r w:rsidRPr="00082456">
        <w:rPr>
          <w:rFonts w:ascii="Verdana" w:hAnsi="Verdana" w:cs="Arial"/>
          <w:spacing w:val="1"/>
          <w:sz w:val="16"/>
          <w:szCs w:val="16"/>
        </w:rPr>
        <w:t xml:space="preserve"> </w:t>
      </w:r>
      <w:r w:rsidRPr="00082456">
        <w:rPr>
          <w:rFonts w:ascii="Verdana" w:hAnsi="Verdana" w:cs="Arial"/>
          <w:sz w:val="16"/>
          <w:szCs w:val="16"/>
        </w:rPr>
        <w:t>administrativas,</w:t>
      </w:r>
      <w:r w:rsidRPr="00082456">
        <w:rPr>
          <w:rFonts w:ascii="Verdana" w:hAnsi="Verdana" w:cs="Arial"/>
          <w:spacing w:val="1"/>
          <w:sz w:val="16"/>
          <w:szCs w:val="16"/>
        </w:rPr>
        <w:t xml:space="preserve"> </w:t>
      </w:r>
      <w:r w:rsidRPr="00082456">
        <w:rPr>
          <w:rFonts w:ascii="Verdana" w:hAnsi="Verdana" w:cs="Arial"/>
          <w:sz w:val="16"/>
          <w:szCs w:val="16"/>
        </w:rPr>
        <w:t>para</w:t>
      </w:r>
      <w:r w:rsidRPr="00082456">
        <w:rPr>
          <w:rFonts w:ascii="Verdana" w:hAnsi="Verdana" w:cs="Arial"/>
          <w:spacing w:val="1"/>
          <w:sz w:val="16"/>
          <w:szCs w:val="16"/>
        </w:rPr>
        <w:t xml:space="preserve"> </w:t>
      </w:r>
      <w:r w:rsidRPr="00082456">
        <w:rPr>
          <w:rFonts w:ascii="Verdana" w:hAnsi="Verdana" w:cs="Arial"/>
          <w:sz w:val="16"/>
          <w:szCs w:val="16"/>
        </w:rPr>
        <w:t>el</w:t>
      </w:r>
      <w:r w:rsidRPr="00082456">
        <w:rPr>
          <w:rFonts w:ascii="Verdana" w:hAnsi="Verdana" w:cs="Arial"/>
          <w:spacing w:val="1"/>
          <w:sz w:val="16"/>
          <w:szCs w:val="16"/>
        </w:rPr>
        <w:t xml:space="preserve"> </w:t>
      </w:r>
      <w:r w:rsidRPr="00082456">
        <w:rPr>
          <w:rFonts w:ascii="Verdana" w:hAnsi="Verdana" w:cs="Arial"/>
          <w:sz w:val="16"/>
          <w:szCs w:val="16"/>
        </w:rPr>
        <w:t>desarrollo</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actividades</w:t>
      </w:r>
      <w:r w:rsidRPr="00082456">
        <w:rPr>
          <w:rFonts w:ascii="Verdana" w:hAnsi="Verdana" w:cs="Arial"/>
          <w:spacing w:val="1"/>
          <w:sz w:val="16"/>
          <w:szCs w:val="16"/>
        </w:rPr>
        <w:t xml:space="preserve"> </w:t>
      </w:r>
      <w:r w:rsidRPr="00082456">
        <w:rPr>
          <w:rFonts w:ascii="Verdana" w:hAnsi="Verdana" w:cs="Arial"/>
          <w:sz w:val="16"/>
          <w:szCs w:val="16"/>
        </w:rPr>
        <w:t>especializadas, de tipo operativo y de apoyo que puedan cubrir las necesidades de la empresa, de</w:t>
      </w:r>
      <w:r w:rsidRPr="00082456">
        <w:rPr>
          <w:rFonts w:ascii="Verdana" w:hAnsi="Verdana" w:cs="Arial"/>
          <w:spacing w:val="1"/>
          <w:sz w:val="16"/>
          <w:szCs w:val="16"/>
        </w:rPr>
        <w:t xml:space="preserve"> </w:t>
      </w:r>
      <w:r w:rsidRPr="00082456">
        <w:rPr>
          <w:rFonts w:ascii="Verdana" w:hAnsi="Verdana" w:cs="Arial"/>
          <w:sz w:val="16"/>
          <w:szCs w:val="16"/>
        </w:rPr>
        <w:t>forma</w:t>
      </w:r>
      <w:r w:rsidRPr="00082456">
        <w:rPr>
          <w:rFonts w:ascii="Verdana" w:hAnsi="Verdana" w:cs="Arial"/>
          <w:spacing w:val="-2"/>
          <w:sz w:val="16"/>
          <w:szCs w:val="16"/>
        </w:rPr>
        <w:t xml:space="preserve"> </w:t>
      </w:r>
      <w:r w:rsidRPr="00082456">
        <w:rPr>
          <w:rFonts w:ascii="Verdana" w:hAnsi="Verdana" w:cs="Arial"/>
          <w:sz w:val="16"/>
          <w:szCs w:val="16"/>
        </w:rPr>
        <w:t>tal</w:t>
      </w:r>
      <w:r w:rsidRPr="00082456">
        <w:rPr>
          <w:rFonts w:ascii="Verdana" w:hAnsi="Verdana" w:cs="Arial"/>
          <w:spacing w:val="-2"/>
          <w:sz w:val="16"/>
          <w:szCs w:val="16"/>
        </w:rPr>
        <w:t xml:space="preserve"> </w:t>
      </w:r>
      <w:r w:rsidRPr="00082456">
        <w:rPr>
          <w:rFonts w:ascii="Verdana" w:hAnsi="Verdana" w:cs="Arial"/>
          <w:sz w:val="16"/>
          <w:szCs w:val="16"/>
        </w:rPr>
        <w:t>que</w:t>
      </w:r>
      <w:r w:rsidRPr="00082456">
        <w:rPr>
          <w:rFonts w:ascii="Verdana" w:hAnsi="Verdana" w:cs="Arial"/>
          <w:spacing w:val="-2"/>
          <w:sz w:val="16"/>
          <w:szCs w:val="16"/>
        </w:rPr>
        <w:t xml:space="preserve"> </w:t>
      </w:r>
      <w:r w:rsidRPr="00082456">
        <w:rPr>
          <w:rFonts w:ascii="Verdana" w:hAnsi="Verdana" w:cs="Arial"/>
          <w:sz w:val="16"/>
          <w:szCs w:val="16"/>
        </w:rPr>
        <w:t>la</w:t>
      </w:r>
      <w:r w:rsidRPr="00082456">
        <w:rPr>
          <w:rFonts w:ascii="Verdana" w:hAnsi="Verdana" w:cs="Arial"/>
          <w:spacing w:val="-1"/>
          <w:sz w:val="16"/>
          <w:szCs w:val="16"/>
        </w:rPr>
        <w:t xml:space="preserve"> </w:t>
      </w:r>
      <w:r w:rsidRPr="00082456">
        <w:rPr>
          <w:rFonts w:ascii="Verdana" w:hAnsi="Verdana" w:cs="Arial"/>
          <w:sz w:val="16"/>
          <w:szCs w:val="16"/>
        </w:rPr>
        <w:t>gestión</w:t>
      </w:r>
      <w:r w:rsidRPr="00082456">
        <w:rPr>
          <w:rFonts w:ascii="Verdana" w:hAnsi="Verdana" w:cs="Arial"/>
          <w:spacing w:val="-2"/>
          <w:sz w:val="16"/>
          <w:szCs w:val="16"/>
        </w:rPr>
        <w:t xml:space="preserve"> </w:t>
      </w:r>
      <w:r w:rsidRPr="00082456">
        <w:rPr>
          <w:rFonts w:ascii="Verdana" w:hAnsi="Verdana" w:cs="Arial"/>
          <w:sz w:val="16"/>
          <w:szCs w:val="16"/>
        </w:rPr>
        <w:t>resulte</w:t>
      </w:r>
      <w:r w:rsidRPr="00082456">
        <w:rPr>
          <w:rFonts w:ascii="Verdana" w:hAnsi="Verdana" w:cs="Arial"/>
          <w:spacing w:val="-2"/>
          <w:sz w:val="16"/>
          <w:szCs w:val="16"/>
        </w:rPr>
        <w:t xml:space="preserve"> </w:t>
      </w:r>
      <w:r w:rsidRPr="00082456">
        <w:rPr>
          <w:rFonts w:ascii="Verdana" w:hAnsi="Verdana" w:cs="Arial"/>
          <w:sz w:val="16"/>
          <w:szCs w:val="16"/>
        </w:rPr>
        <w:t>más</w:t>
      </w:r>
      <w:r w:rsidRPr="00082456">
        <w:rPr>
          <w:rFonts w:ascii="Verdana" w:hAnsi="Verdana" w:cs="Arial"/>
          <w:spacing w:val="-1"/>
          <w:sz w:val="16"/>
          <w:szCs w:val="16"/>
        </w:rPr>
        <w:t xml:space="preserve"> </w:t>
      </w:r>
      <w:r w:rsidRPr="00082456">
        <w:rPr>
          <w:rFonts w:ascii="Verdana" w:hAnsi="Verdana" w:cs="Arial"/>
          <w:sz w:val="16"/>
          <w:szCs w:val="16"/>
        </w:rPr>
        <w:t>eficiente,</w:t>
      </w:r>
      <w:r w:rsidRPr="00082456">
        <w:rPr>
          <w:rFonts w:ascii="Verdana" w:hAnsi="Verdana" w:cs="Arial"/>
          <w:spacing w:val="-2"/>
          <w:sz w:val="16"/>
          <w:szCs w:val="16"/>
        </w:rPr>
        <w:t xml:space="preserve"> </w:t>
      </w:r>
      <w:r w:rsidRPr="00082456">
        <w:rPr>
          <w:rFonts w:ascii="Verdana" w:hAnsi="Verdana" w:cs="Arial"/>
          <w:sz w:val="16"/>
          <w:szCs w:val="16"/>
        </w:rPr>
        <w:t>con</w:t>
      </w:r>
      <w:r w:rsidRPr="00082456">
        <w:rPr>
          <w:rFonts w:ascii="Verdana" w:hAnsi="Verdana" w:cs="Arial"/>
          <w:spacing w:val="-2"/>
          <w:sz w:val="16"/>
          <w:szCs w:val="16"/>
        </w:rPr>
        <w:t xml:space="preserve"> </w:t>
      </w:r>
      <w:r w:rsidRPr="00082456">
        <w:rPr>
          <w:rFonts w:ascii="Verdana" w:hAnsi="Verdana" w:cs="Arial"/>
          <w:sz w:val="16"/>
          <w:szCs w:val="16"/>
        </w:rPr>
        <w:t>calidad</w:t>
      </w:r>
      <w:r w:rsidRPr="00082456">
        <w:rPr>
          <w:rFonts w:ascii="Verdana" w:hAnsi="Verdana" w:cs="Arial"/>
          <w:spacing w:val="-1"/>
          <w:sz w:val="16"/>
          <w:szCs w:val="16"/>
        </w:rPr>
        <w:t xml:space="preserve"> </w:t>
      </w:r>
      <w:r w:rsidRPr="00082456">
        <w:rPr>
          <w:rFonts w:ascii="Verdana" w:hAnsi="Verdana" w:cs="Arial"/>
          <w:sz w:val="16"/>
          <w:szCs w:val="16"/>
        </w:rPr>
        <w:t>e</w:t>
      </w:r>
      <w:r w:rsidRPr="00082456">
        <w:rPr>
          <w:rFonts w:ascii="Verdana" w:hAnsi="Verdana" w:cs="Arial"/>
          <w:spacing w:val="-2"/>
          <w:sz w:val="16"/>
          <w:szCs w:val="16"/>
        </w:rPr>
        <w:t xml:space="preserve"> </w:t>
      </w:r>
      <w:r w:rsidRPr="00082456">
        <w:rPr>
          <w:rFonts w:ascii="Verdana" w:hAnsi="Verdana" w:cs="Arial"/>
          <w:sz w:val="16"/>
          <w:szCs w:val="16"/>
        </w:rPr>
        <w:t>implique</w:t>
      </w:r>
      <w:r w:rsidRPr="00082456">
        <w:rPr>
          <w:rFonts w:ascii="Verdana" w:hAnsi="Verdana" w:cs="Arial"/>
          <w:spacing w:val="-2"/>
          <w:sz w:val="16"/>
          <w:szCs w:val="16"/>
        </w:rPr>
        <w:t xml:space="preserve"> </w:t>
      </w:r>
      <w:r w:rsidRPr="00082456">
        <w:rPr>
          <w:rFonts w:ascii="Verdana" w:hAnsi="Verdana" w:cs="Arial"/>
          <w:sz w:val="16"/>
          <w:szCs w:val="16"/>
        </w:rPr>
        <w:t>menor</w:t>
      </w:r>
      <w:r w:rsidRPr="00082456">
        <w:rPr>
          <w:rFonts w:ascii="Verdana" w:hAnsi="Verdana" w:cs="Arial"/>
          <w:spacing w:val="-2"/>
          <w:sz w:val="16"/>
          <w:szCs w:val="16"/>
        </w:rPr>
        <w:t xml:space="preserve"> </w:t>
      </w:r>
      <w:r w:rsidRPr="00082456">
        <w:rPr>
          <w:rFonts w:ascii="Verdana" w:hAnsi="Verdana" w:cs="Arial"/>
          <w:sz w:val="16"/>
          <w:szCs w:val="16"/>
        </w:rPr>
        <w:t>costo.</w:t>
      </w:r>
    </w:p>
    <w:p w14:paraId="12A1C4B7" w14:textId="77777777" w:rsidR="00135720" w:rsidRPr="00082456" w:rsidRDefault="00135720" w:rsidP="00135720">
      <w:pPr>
        <w:spacing w:after="0" w:line="240" w:lineRule="auto"/>
        <w:ind w:firstLine="708"/>
        <w:jc w:val="both"/>
        <w:rPr>
          <w:rFonts w:ascii="Verdana" w:hAnsi="Verdana" w:cs="Arial"/>
          <w:sz w:val="16"/>
          <w:szCs w:val="16"/>
        </w:rPr>
      </w:pPr>
      <w:r w:rsidRPr="00082456">
        <w:rPr>
          <w:rFonts w:ascii="Verdana" w:hAnsi="Verdana" w:cs="Arial"/>
          <w:sz w:val="16"/>
          <w:szCs w:val="16"/>
        </w:rPr>
        <w:t>Estas</w:t>
      </w:r>
      <w:r w:rsidRPr="00082456">
        <w:rPr>
          <w:rFonts w:ascii="Verdana" w:hAnsi="Verdana" w:cs="Arial"/>
          <w:spacing w:val="1"/>
          <w:sz w:val="16"/>
          <w:szCs w:val="16"/>
        </w:rPr>
        <w:t xml:space="preserve"> </w:t>
      </w:r>
      <w:r w:rsidRPr="00082456">
        <w:rPr>
          <w:rFonts w:ascii="Verdana" w:hAnsi="Verdana" w:cs="Arial"/>
          <w:sz w:val="16"/>
          <w:szCs w:val="16"/>
        </w:rPr>
        <w:t>instituciones</w:t>
      </w:r>
      <w:r w:rsidRPr="00082456">
        <w:rPr>
          <w:rFonts w:ascii="Verdana" w:hAnsi="Verdana" w:cs="Arial"/>
          <w:spacing w:val="1"/>
          <w:sz w:val="16"/>
          <w:szCs w:val="16"/>
        </w:rPr>
        <w:t xml:space="preserve"> </w:t>
      </w:r>
      <w:r w:rsidRPr="00082456">
        <w:rPr>
          <w:rFonts w:ascii="Verdana" w:hAnsi="Verdana" w:cs="Arial"/>
          <w:sz w:val="16"/>
          <w:szCs w:val="16"/>
        </w:rPr>
        <w:t>podrán</w:t>
      </w:r>
      <w:r w:rsidRPr="00082456">
        <w:rPr>
          <w:rFonts w:ascii="Verdana" w:hAnsi="Verdana" w:cs="Arial"/>
          <w:spacing w:val="1"/>
          <w:sz w:val="16"/>
          <w:szCs w:val="16"/>
        </w:rPr>
        <w:t xml:space="preserve"> </w:t>
      </w:r>
      <w:r w:rsidRPr="00082456">
        <w:rPr>
          <w:rFonts w:ascii="Verdana" w:hAnsi="Verdana" w:cs="Arial"/>
          <w:sz w:val="16"/>
          <w:szCs w:val="16"/>
        </w:rPr>
        <w:t>utilizar</w:t>
      </w:r>
      <w:r w:rsidRPr="00082456">
        <w:rPr>
          <w:rFonts w:ascii="Verdana" w:hAnsi="Verdana" w:cs="Arial"/>
          <w:spacing w:val="1"/>
          <w:sz w:val="16"/>
          <w:szCs w:val="16"/>
        </w:rPr>
        <w:t xml:space="preserve"> </w:t>
      </w:r>
      <w:r w:rsidRPr="00082456">
        <w:rPr>
          <w:rFonts w:ascii="Verdana" w:hAnsi="Verdana" w:cs="Arial"/>
          <w:sz w:val="16"/>
          <w:szCs w:val="16"/>
        </w:rPr>
        <w:t>mecanismos</w:t>
      </w:r>
      <w:r w:rsidRPr="00082456">
        <w:rPr>
          <w:rFonts w:ascii="Verdana" w:hAnsi="Verdana" w:cs="Arial"/>
          <w:spacing w:val="1"/>
          <w:sz w:val="16"/>
          <w:szCs w:val="16"/>
        </w:rPr>
        <w:t xml:space="preserve"> </w:t>
      </w:r>
      <w:r w:rsidRPr="00082456">
        <w:rPr>
          <w:rFonts w:ascii="Verdana" w:hAnsi="Verdana" w:cs="Arial"/>
          <w:sz w:val="16"/>
          <w:szCs w:val="16"/>
        </w:rPr>
        <w:t>de</w:t>
      </w:r>
      <w:r w:rsidRPr="00082456">
        <w:rPr>
          <w:rFonts w:ascii="Verdana" w:hAnsi="Verdana" w:cs="Arial"/>
          <w:spacing w:val="1"/>
          <w:sz w:val="16"/>
          <w:szCs w:val="16"/>
        </w:rPr>
        <w:t xml:space="preserve"> </w:t>
      </w:r>
      <w:r w:rsidRPr="00082456">
        <w:rPr>
          <w:rFonts w:ascii="Verdana" w:hAnsi="Verdana" w:cs="Arial"/>
          <w:sz w:val="16"/>
          <w:szCs w:val="16"/>
        </w:rPr>
        <w:t>subasta</w:t>
      </w:r>
      <w:r w:rsidRPr="00082456">
        <w:rPr>
          <w:rFonts w:ascii="Verdana" w:hAnsi="Verdana" w:cs="Arial"/>
          <w:spacing w:val="1"/>
          <w:sz w:val="16"/>
          <w:szCs w:val="16"/>
        </w:rPr>
        <w:t xml:space="preserve"> </w:t>
      </w:r>
      <w:r w:rsidRPr="00082456">
        <w:rPr>
          <w:rFonts w:ascii="Verdana" w:hAnsi="Verdana" w:cs="Arial"/>
          <w:sz w:val="16"/>
          <w:szCs w:val="16"/>
        </w:rPr>
        <w:t>inversa</w:t>
      </w:r>
      <w:r w:rsidRPr="00082456">
        <w:rPr>
          <w:rFonts w:ascii="Verdana" w:hAnsi="Verdana" w:cs="Arial"/>
          <w:spacing w:val="1"/>
          <w:sz w:val="16"/>
          <w:szCs w:val="16"/>
        </w:rPr>
        <w:t xml:space="preserve"> </w:t>
      </w:r>
      <w:r w:rsidRPr="00082456">
        <w:rPr>
          <w:rFonts w:ascii="Verdana" w:hAnsi="Verdana" w:cs="Arial"/>
          <w:sz w:val="16"/>
          <w:szCs w:val="16"/>
        </w:rPr>
        <w:t>para</w:t>
      </w:r>
      <w:r w:rsidRPr="00082456">
        <w:rPr>
          <w:rFonts w:ascii="Verdana" w:hAnsi="Verdana" w:cs="Arial"/>
          <w:spacing w:val="1"/>
          <w:sz w:val="16"/>
          <w:szCs w:val="16"/>
        </w:rPr>
        <w:t xml:space="preserve"> </w:t>
      </w:r>
      <w:r w:rsidRPr="00082456">
        <w:rPr>
          <w:rFonts w:ascii="Verdana" w:hAnsi="Verdana" w:cs="Arial"/>
          <w:sz w:val="16"/>
          <w:szCs w:val="16"/>
        </w:rPr>
        <w:t>lograr</w:t>
      </w:r>
      <w:r w:rsidRPr="00082456">
        <w:rPr>
          <w:rFonts w:ascii="Verdana" w:hAnsi="Verdana" w:cs="Arial"/>
          <w:spacing w:val="1"/>
          <w:sz w:val="16"/>
          <w:szCs w:val="16"/>
        </w:rPr>
        <w:t xml:space="preserve"> </w:t>
      </w:r>
      <w:r w:rsidRPr="00082456">
        <w:rPr>
          <w:rFonts w:ascii="Verdana" w:hAnsi="Verdana" w:cs="Arial"/>
          <w:sz w:val="16"/>
          <w:szCs w:val="16"/>
        </w:rPr>
        <w:t>mayor</w:t>
      </w:r>
      <w:r w:rsidRPr="00082456">
        <w:rPr>
          <w:rFonts w:ascii="Verdana" w:hAnsi="Verdana" w:cs="Arial"/>
          <w:spacing w:val="-50"/>
          <w:sz w:val="16"/>
          <w:szCs w:val="16"/>
        </w:rPr>
        <w:t xml:space="preserve"> </w:t>
      </w:r>
      <w:r w:rsidRPr="00082456">
        <w:rPr>
          <w:rFonts w:ascii="Verdana" w:hAnsi="Verdana" w:cs="Arial"/>
          <w:sz w:val="16"/>
          <w:szCs w:val="16"/>
        </w:rPr>
        <w:t>eficiencia</w:t>
      </w:r>
      <w:r w:rsidRPr="00082456">
        <w:rPr>
          <w:rFonts w:ascii="Verdana" w:hAnsi="Verdana" w:cs="Arial"/>
          <w:spacing w:val="-2"/>
          <w:sz w:val="16"/>
          <w:szCs w:val="16"/>
        </w:rPr>
        <w:t xml:space="preserve"> </w:t>
      </w:r>
      <w:r w:rsidRPr="00082456">
        <w:rPr>
          <w:rFonts w:ascii="Verdana" w:hAnsi="Verdana" w:cs="Arial"/>
          <w:sz w:val="16"/>
          <w:szCs w:val="16"/>
        </w:rPr>
        <w:t>en</w:t>
      </w:r>
      <w:r w:rsidRPr="00082456">
        <w:rPr>
          <w:rFonts w:ascii="Verdana" w:hAnsi="Verdana" w:cs="Arial"/>
          <w:spacing w:val="-1"/>
          <w:sz w:val="16"/>
          <w:szCs w:val="16"/>
        </w:rPr>
        <w:t xml:space="preserve"> </w:t>
      </w:r>
      <w:r w:rsidRPr="00082456">
        <w:rPr>
          <w:rFonts w:ascii="Verdana" w:hAnsi="Verdana" w:cs="Arial"/>
          <w:sz w:val="16"/>
          <w:szCs w:val="16"/>
        </w:rPr>
        <w:t>sus</w:t>
      </w:r>
      <w:r w:rsidRPr="00082456">
        <w:rPr>
          <w:rFonts w:ascii="Verdana" w:hAnsi="Verdana" w:cs="Arial"/>
          <w:spacing w:val="-1"/>
          <w:sz w:val="16"/>
          <w:szCs w:val="16"/>
        </w:rPr>
        <w:t xml:space="preserve"> </w:t>
      </w:r>
      <w:r>
        <w:rPr>
          <w:rFonts w:ascii="Verdana" w:hAnsi="Verdana" w:cs="Arial"/>
          <w:sz w:val="16"/>
          <w:szCs w:val="16"/>
        </w:rPr>
        <w:t>adquisiciones”</w:t>
      </w:r>
    </w:p>
  </w:footnote>
  <w:footnote w:id="24">
    <w:p w14:paraId="63044DF6" w14:textId="77777777" w:rsidR="00135720" w:rsidRPr="00126FD7" w:rsidRDefault="00135720" w:rsidP="00135720">
      <w:pPr>
        <w:pStyle w:val="Textonotapie"/>
        <w:ind w:firstLine="708"/>
        <w:jc w:val="both"/>
        <w:rPr>
          <w:rFonts w:ascii="Verdana" w:hAnsi="Verdana" w:cs="Arial"/>
          <w:color w:val="000000" w:themeColor="text1"/>
          <w:sz w:val="16"/>
          <w:szCs w:val="16"/>
          <w:lang w:val="es-CO"/>
        </w:rPr>
      </w:pPr>
      <w:r w:rsidRPr="00082456">
        <w:rPr>
          <w:rStyle w:val="Refdenotaalpie"/>
          <w:rFonts w:ascii="Verdana" w:hAnsi="Verdana" w:cs="Arial"/>
          <w:color w:val="000000" w:themeColor="text1"/>
          <w:sz w:val="16"/>
          <w:szCs w:val="16"/>
        </w:rPr>
        <w:footnoteRef/>
      </w:r>
      <w:r w:rsidRPr="00082456">
        <w:rPr>
          <w:rFonts w:ascii="Verdana" w:hAnsi="Verdana" w:cs="Arial"/>
          <w:color w:val="000000" w:themeColor="text1"/>
          <w:sz w:val="16"/>
          <w:szCs w:val="16"/>
        </w:rPr>
        <w:t xml:space="preserve"> Consejo de Estado. Sala de Consulta y Servicio Civil. Concepto del 27 de agosto de 1998, radicación No. 1.127, C.P. Javier Henao Hidrón; y C</w:t>
      </w:r>
      <w:r w:rsidRPr="00082456">
        <w:rPr>
          <w:rFonts w:ascii="Verdana" w:hAnsi="Verdana" w:cs="Arial"/>
          <w:color w:val="000000" w:themeColor="text1"/>
          <w:sz w:val="16"/>
          <w:szCs w:val="16"/>
          <w:lang w:val="es-CO"/>
        </w:rPr>
        <w:t>oncepto del 6 de abril de 2000. Radicación No. 1.263, C.P</w:t>
      </w:r>
      <w:r>
        <w:rPr>
          <w:rFonts w:ascii="Verdana" w:hAnsi="Verdana" w:cs="Arial"/>
          <w:color w:val="000000" w:themeColor="text1"/>
          <w:sz w:val="16"/>
          <w:szCs w:val="16"/>
          <w:lang w:val="es-CO"/>
        </w:rPr>
        <w:t>. Flavio Augusto Rodriguez Arce.</w:t>
      </w:r>
    </w:p>
  </w:footnote>
  <w:footnote w:id="25">
    <w:p w14:paraId="372FBA06" w14:textId="77777777" w:rsidR="00135720" w:rsidRPr="00082456" w:rsidRDefault="00135720" w:rsidP="00135720">
      <w:pPr>
        <w:pStyle w:val="Textonotapie"/>
        <w:ind w:firstLine="709"/>
        <w:jc w:val="both"/>
        <w:rPr>
          <w:rFonts w:ascii="Verdana" w:hAnsi="Verdana" w:cs="Arial"/>
          <w:color w:val="000000" w:themeColor="text1"/>
          <w:sz w:val="16"/>
          <w:szCs w:val="16"/>
        </w:rPr>
      </w:pPr>
      <w:r w:rsidRPr="00082456">
        <w:rPr>
          <w:rStyle w:val="Refdenotaalpie"/>
          <w:rFonts w:ascii="Verdana" w:hAnsi="Verdana" w:cs="Arial"/>
          <w:color w:val="000000" w:themeColor="text1"/>
          <w:sz w:val="16"/>
          <w:szCs w:val="16"/>
        </w:rPr>
        <w:footnoteRef/>
      </w:r>
      <w:r w:rsidRPr="00082456">
        <w:rPr>
          <w:rFonts w:ascii="Verdana" w:hAnsi="Verdana" w:cs="Arial"/>
          <w:color w:val="000000" w:themeColor="text1"/>
          <w:sz w:val="16"/>
          <w:szCs w:val="16"/>
        </w:rPr>
        <w:t xml:space="preserve"> Ministerio de Salud y la Protección Social. Concepto del 16 de agosto de 2019. E</w:t>
      </w:r>
      <w:r>
        <w:rPr>
          <w:rFonts w:ascii="Verdana" w:hAnsi="Verdana" w:cs="Arial"/>
          <w:color w:val="000000" w:themeColor="text1"/>
          <w:sz w:val="16"/>
          <w:szCs w:val="16"/>
        </w:rPr>
        <w:t>xpediente No. 201942301304712.</w:t>
      </w:r>
    </w:p>
  </w:footnote>
  <w:footnote w:id="26">
    <w:p w14:paraId="3D0041FC" w14:textId="77777777" w:rsidR="00135720" w:rsidRPr="00DB67C9" w:rsidRDefault="00135720" w:rsidP="00135720">
      <w:pPr>
        <w:spacing w:after="0"/>
        <w:ind w:firstLine="709"/>
        <w:jc w:val="both"/>
        <w:rPr>
          <w:rFonts w:ascii="Verdana" w:hAnsi="Verdana" w:cs="Arial"/>
          <w:iCs/>
          <w:color w:val="000000"/>
          <w:sz w:val="16"/>
          <w:szCs w:val="16"/>
        </w:rPr>
      </w:pPr>
      <w:r w:rsidRPr="00082456">
        <w:rPr>
          <w:rStyle w:val="Refdenotaalpie"/>
          <w:rFonts w:ascii="Verdana" w:hAnsi="Verdana" w:cs="Arial"/>
          <w:sz w:val="16"/>
          <w:szCs w:val="16"/>
        </w:rPr>
        <w:footnoteRef/>
      </w:r>
      <w:r w:rsidRPr="00082456">
        <w:rPr>
          <w:rFonts w:ascii="Verdana" w:hAnsi="Verdana" w:cs="Arial"/>
          <w:sz w:val="16"/>
          <w:szCs w:val="16"/>
        </w:rPr>
        <w:t xml:space="preserve"> </w:t>
      </w:r>
      <w:r w:rsidRPr="00082456">
        <w:rPr>
          <w:rFonts w:ascii="Verdana" w:hAnsi="Verdana" w:cs="Arial"/>
          <w:iCs/>
          <w:color w:val="000000"/>
          <w:sz w:val="16"/>
          <w:szCs w:val="16"/>
        </w:rPr>
        <w:t xml:space="preserve">En cuanto a la oportunidad para su imposición, el Consejo de Estado ha precisado: “[…]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 y conjure, de esta forma, la amenaza que se cierne sobre el interés general, representado en la debida </w:t>
      </w:r>
      <w:r>
        <w:rPr>
          <w:rFonts w:ascii="Verdana" w:hAnsi="Verdana" w:cs="Arial"/>
          <w:iCs/>
          <w:color w:val="000000"/>
          <w:sz w:val="16"/>
          <w:szCs w:val="16"/>
        </w:rPr>
        <w:t>ejecución del objeto contratado”</w:t>
      </w:r>
      <w:r w:rsidRPr="00082456">
        <w:rPr>
          <w:rFonts w:ascii="Verdana" w:hAnsi="Verdana" w:cs="Arial"/>
          <w:iCs/>
          <w:color w:val="000000"/>
          <w:sz w:val="16"/>
          <w:szCs w:val="16"/>
        </w:rPr>
        <w:t xml:space="preserve"> Sección Tercera, </w:t>
      </w:r>
      <w:r>
        <w:rPr>
          <w:rFonts w:ascii="Verdana" w:hAnsi="Verdana" w:cs="Arial"/>
          <w:iCs/>
          <w:color w:val="000000"/>
          <w:sz w:val="16"/>
          <w:szCs w:val="16"/>
        </w:rPr>
        <w:t xml:space="preserve">Subsección B. </w:t>
      </w:r>
      <w:r w:rsidRPr="00082456">
        <w:rPr>
          <w:rFonts w:ascii="Verdana" w:hAnsi="Verdana" w:cs="Arial"/>
          <w:iCs/>
          <w:color w:val="000000"/>
          <w:sz w:val="16"/>
          <w:szCs w:val="16"/>
        </w:rPr>
        <w:t>Sentencia del 12 de julio de 2012, expediente 15.024 y ponenci</w:t>
      </w:r>
      <w:r>
        <w:rPr>
          <w:rFonts w:ascii="Verdana" w:hAnsi="Verdana" w:cs="Arial"/>
          <w:iCs/>
          <w:color w:val="000000"/>
          <w:sz w:val="16"/>
          <w:szCs w:val="16"/>
        </w:rPr>
        <w:t xml:space="preserve">a de Danilo Rojas Betancourth. </w:t>
      </w:r>
    </w:p>
  </w:footnote>
  <w:footnote w:id="27">
    <w:p w14:paraId="4DF0372A" w14:textId="77777777" w:rsidR="00135720" w:rsidRPr="00082456" w:rsidRDefault="00135720" w:rsidP="00135720">
      <w:pPr>
        <w:pStyle w:val="Textonotapie"/>
        <w:ind w:firstLine="708"/>
        <w:jc w:val="both"/>
        <w:rPr>
          <w:rFonts w:ascii="Verdana" w:hAnsi="Verdana" w:cs="Arial"/>
          <w:sz w:val="16"/>
          <w:szCs w:val="16"/>
          <w:lang w:val="es-CO"/>
        </w:rPr>
      </w:pPr>
      <w:r w:rsidRPr="00082456">
        <w:rPr>
          <w:rStyle w:val="Refdenotaalpie"/>
          <w:rFonts w:ascii="Verdana" w:hAnsi="Verdana" w:cs="Arial"/>
          <w:sz w:val="16"/>
          <w:szCs w:val="16"/>
        </w:rPr>
        <w:footnoteRef/>
      </w:r>
      <w:r w:rsidRPr="00082456">
        <w:rPr>
          <w:rFonts w:ascii="Verdana" w:hAnsi="Verdana" w:cs="Arial"/>
          <w:sz w:val="16"/>
          <w:szCs w:val="16"/>
        </w:rPr>
        <w:t xml:space="preserve"> El artículo 16 también señala que “Si las modificaciones alteran el valor del contrato en un veinte por ciento (20%) o más del valor inicial, el contratista podrá renunciar a la continuación de la ejecución. En este evento, se ordenará la liquidación del contrato y la entidad adoptará de manera inmediata las medidas que fueren necesarias para garantizar la terminación del objeto del mismo”</w:t>
      </w:r>
    </w:p>
  </w:footnote>
  <w:footnote w:id="28">
    <w:p w14:paraId="13811F33" w14:textId="77777777" w:rsidR="00135720" w:rsidRPr="00082456" w:rsidRDefault="00135720" w:rsidP="00135720">
      <w:pPr>
        <w:pStyle w:val="Textonotapie"/>
        <w:ind w:firstLine="708"/>
        <w:jc w:val="both"/>
        <w:rPr>
          <w:rFonts w:ascii="Verdana" w:hAnsi="Verdana"/>
          <w:sz w:val="16"/>
          <w:szCs w:val="16"/>
          <w:lang w:val="es-ES"/>
        </w:rPr>
      </w:pPr>
      <w:r w:rsidRPr="00082456">
        <w:rPr>
          <w:rStyle w:val="Refdenotaalpie"/>
          <w:rFonts w:ascii="Verdana" w:hAnsi="Verdana"/>
          <w:sz w:val="16"/>
          <w:szCs w:val="16"/>
        </w:rPr>
        <w:footnoteRef/>
      </w:r>
      <w:r w:rsidRPr="00082456">
        <w:rPr>
          <w:rFonts w:ascii="Verdana" w:hAnsi="Verdana"/>
          <w:sz w:val="16"/>
          <w:szCs w:val="16"/>
        </w:rPr>
        <w:t xml:space="preserve"> SUÁREZ TAMAYO, David. Cláusula de multas y penal pecuniaria. Medellín: Librería Jurídica Sánchez y CEDA, 2014. pp. 158-159. </w:t>
      </w:r>
    </w:p>
  </w:footnote>
  <w:footnote w:id="29">
    <w:p w14:paraId="5B96B24E" w14:textId="77777777" w:rsidR="00135720" w:rsidRPr="00082456" w:rsidRDefault="00135720" w:rsidP="00135720">
      <w:pPr>
        <w:pStyle w:val="Textonotapie"/>
        <w:ind w:firstLine="708"/>
        <w:rPr>
          <w:rFonts w:ascii="Verdana" w:hAnsi="Verdana"/>
          <w:sz w:val="16"/>
          <w:szCs w:val="16"/>
          <w:lang w:val="es-ES"/>
        </w:rPr>
      </w:pPr>
      <w:r w:rsidRPr="00082456">
        <w:rPr>
          <w:rStyle w:val="Refdenotaalpie"/>
          <w:rFonts w:ascii="Verdana" w:hAnsi="Verdana"/>
          <w:sz w:val="16"/>
          <w:szCs w:val="16"/>
        </w:rPr>
        <w:footnoteRef/>
      </w:r>
      <w:r w:rsidRPr="00082456">
        <w:rPr>
          <w:rFonts w:ascii="Verdana" w:hAnsi="Verdana"/>
          <w:sz w:val="16"/>
          <w:szCs w:val="16"/>
          <w:lang w:val="es-ES"/>
        </w:rPr>
        <w:t xml:space="preserve"> REAL ACADEMIA DE LA LENGUA ESPAÑOLA. Diccionario Panhispánico Jurídico. Disponible en línea: </w:t>
      </w:r>
      <w:hyperlink r:id="rId2" w:history="1">
        <w:r w:rsidRPr="00082456">
          <w:rPr>
            <w:rStyle w:val="Hipervnculo"/>
            <w:rFonts w:ascii="Verdana" w:hAnsi="Verdana"/>
            <w:sz w:val="16"/>
            <w:szCs w:val="16"/>
            <w:lang w:val="es-ES"/>
          </w:rPr>
          <w:t>https://dpej.rae.es/lema/incumplimiento-de-contrato</w:t>
        </w:r>
      </w:hyperlink>
      <w:r w:rsidRPr="00082456">
        <w:rPr>
          <w:rFonts w:ascii="Verdana" w:hAnsi="Verdana"/>
          <w:sz w:val="16"/>
          <w:szCs w:val="16"/>
          <w:lang w:val="es-ES"/>
        </w:rPr>
        <w:t xml:space="preserve"> </w:t>
      </w:r>
    </w:p>
  </w:footnote>
  <w:footnote w:id="30">
    <w:p w14:paraId="3F433ED1" w14:textId="77777777" w:rsidR="00135720" w:rsidRPr="00082456" w:rsidRDefault="00135720" w:rsidP="00135720">
      <w:pPr>
        <w:pStyle w:val="Textonotapie"/>
        <w:ind w:firstLine="708"/>
        <w:rPr>
          <w:rFonts w:ascii="Verdana" w:hAnsi="Verdana"/>
          <w:sz w:val="16"/>
          <w:szCs w:val="16"/>
          <w:lang w:val="es-ES"/>
        </w:rPr>
      </w:pPr>
      <w:r w:rsidRPr="00082456">
        <w:rPr>
          <w:rStyle w:val="Refdenotaalpie"/>
          <w:rFonts w:ascii="Verdana" w:hAnsi="Verdana"/>
          <w:sz w:val="16"/>
          <w:szCs w:val="16"/>
        </w:rPr>
        <w:footnoteRef/>
      </w:r>
      <w:r w:rsidRPr="00082456">
        <w:rPr>
          <w:rFonts w:ascii="Verdana" w:hAnsi="Verdana"/>
          <w:sz w:val="16"/>
          <w:szCs w:val="16"/>
        </w:rPr>
        <w:t xml:space="preserve"> MONTOYA PENAGOS, Juan David. Terminación unilateral por incumplimiento. Medellín: Librería Jurídica Sánchez S.A.S. y CEDA, 2025. p. 255. </w:t>
      </w:r>
    </w:p>
  </w:footnote>
  <w:footnote w:id="31">
    <w:p w14:paraId="11CDA1A9" w14:textId="77777777" w:rsidR="00135720" w:rsidRPr="00FC7B39" w:rsidRDefault="00135720" w:rsidP="00135720">
      <w:pPr>
        <w:pStyle w:val="Textonotapie"/>
        <w:ind w:firstLine="708"/>
        <w:rPr>
          <w:rFonts w:ascii="Verdana" w:hAnsi="Verdana"/>
          <w:sz w:val="16"/>
          <w:szCs w:val="16"/>
          <w:lang w:val="pt-BR"/>
        </w:rPr>
      </w:pPr>
      <w:r w:rsidRPr="00082456">
        <w:rPr>
          <w:rStyle w:val="Refdenotaalpie"/>
          <w:rFonts w:ascii="Verdana" w:hAnsi="Verdana"/>
          <w:sz w:val="16"/>
          <w:szCs w:val="16"/>
        </w:rPr>
        <w:footnoteRef/>
      </w:r>
      <w:r w:rsidRPr="00FC7B39">
        <w:rPr>
          <w:rFonts w:ascii="Verdana" w:hAnsi="Verdana"/>
          <w:sz w:val="16"/>
          <w:szCs w:val="16"/>
          <w:lang w:val="pt-BR"/>
        </w:rPr>
        <w:t xml:space="preserve"> Ibídem., p. 256. </w:t>
      </w:r>
    </w:p>
  </w:footnote>
  <w:footnote w:id="32">
    <w:p w14:paraId="18BF79AF" w14:textId="77777777" w:rsidR="00135720" w:rsidRPr="001B25AB" w:rsidRDefault="00135720" w:rsidP="00135720">
      <w:pPr>
        <w:pStyle w:val="Textonotapie"/>
        <w:ind w:firstLine="709"/>
        <w:jc w:val="both"/>
        <w:rPr>
          <w:rFonts w:ascii="Verdana" w:hAnsi="Verdana" w:cs="Arial"/>
          <w:color w:val="000000"/>
          <w:sz w:val="16"/>
          <w:szCs w:val="16"/>
        </w:rPr>
      </w:pPr>
      <w:r w:rsidRPr="00082456">
        <w:rPr>
          <w:rStyle w:val="Refdenotaalpie"/>
          <w:rFonts w:ascii="Verdana" w:hAnsi="Verdana" w:cs="Arial"/>
          <w:color w:val="000000"/>
          <w:sz w:val="16"/>
          <w:szCs w:val="16"/>
        </w:rPr>
        <w:footnoteRef/>
      </w:r>
      <w:r w:rsidRPr="00082456">
        <w:rPr>
          <w:rFonts w:ascii="Verdana" w:hAnsi="Verdana" w:cs="Arial"/>
          <w:color w:val="000000"/>
          <w:sz w:val="16"/>
          <w:szCs w:val="16"/>
          <w:lang w:val="pt-BR"/>
        </w:rPr>
        <w:t xml:space="preserve"> Corte Constitucional. Sentencia C-317 de 2012. </w:t>
      </w:r>
      <w:r w:rsidRPr="00082456">
        <w:rPr>
          <w:rFonts w:ascii="Verdana" w:hAnsi="Verdana" w:cs="Arial"/>
          <w:color w:val="000000"/>
          <w:sz w:val="16"/>
          <w:szCs w:val="16"/>
        </w:rPr>
        <w:t>M.P. María Victoria Calle Correa.</w:t>
      </w:r>
      <w:r w:rsidRPr="001B25AB">
        <w:rPr>
          <w:rFonts w:ascii="Verdana" w:hAnsi="Verdana" w:cs="Arial"/>
          <w:color w:val="000000"/>
          <w:sz w:val="16"/>
          <w:szCs w:val="16"/>
        </w:rPr>
        <w:t xml:space="preserve"> </w:t>
      </w:r>
    </w:p>
  </w:footnote>
  <w:footnote w:id="33">
    <w:p w14:paraId="04ABE547" w14:textId="77777777" w:rsidR="00135720" w:rsidRPr="005867CF" w:rsidRDefault="00135720" w:rsidP="00135720">
      <w:pPr>
        <w:pStyle w:val="NormalWeb"/>
        <w:spacing w:before="0" w:beforeAutospacing="0" w:after="0" w:afterAutospacing="0"/>
        <w:ind w:firstLine="709"/>
        <w:jc w:val="both"/>
        <w:rPr>
          <w:rFonts w:ascii="Verdana" w:hAnsi="Verdana" w:cs="Arial"/>
          <w:sz w:val="15"/>
          <w:szCs w:val="15"/>
        </w:rPr>
      </w:pPr>
      <w:r w:rsidRPr="005867CF">
        <w:rPr>
          <w:rStyle w:val="Refdenotaalpie"/>
          <w:rFonts w:ascii="Verdana" w:hAnsi="Verdana"/>
          <w:sz w:val="15"/>
          <w:szCs w:val="15"/>
        </w:rPr>
        <w:footnoteRef/>
      </w:r>
      <w:r w:rsidRPr="005867CF">
        <w:rPr>
          <w:rFonts w:ascii="Verdana" w:hAnsi="Verdana" w:cs="Arial"/>
          <w:sz w:val="15"/>
          <w:szCs w:val="15"/>
        </w:rPr>
        <w:t xml:space="preserve"> “Los documentos públicos autorizados o suscritos por medios electrónicos tienen la validez y fuerza probatoria que le confieren a los mismos las disposiciones del Código de Procedimiento Civil.</w:t>
      </w:r>
    </w:p>
    <w:p w14:paraId="518778D5" w14:textId="77777777" w:rsidR="00135720" w:rsidRPr="005867CF" w:rsidRDefault="00135720" w:rsidP="00135720">
      <w:pPr>
        <w:pStyle w:val="NormalWeb"/>
        <w:spacing w:before="0" w:beforeAutospacing="0" w:after="0" w:afterAutospacing="0"/>
        <w:ind w:firstLine="709"/>
        <w:jc w:val="both"/>
        <w:rPr>
          <w:rFonts w:ascii="Verdana" w:hAnsi="Verdana"/>
          <w:sz w:val="15"/>
          <w:szCs w:val="15"/>
        </w:rPr>
      </w:pPr>
      <w:r w:rsidRPr="005867CF">
        <w:rPr>
          <w:rFonts w:ascii="Verdana" w:hAnsi="Verdana" w:cs="Arial"/>
          <w:sz w:val="15"/>
          <w:szCs w:val="15"/>
        </w:rPr>
        <w:t>Las reproducciones efectuadas a partir de los respectivos archivos electrónicos se reputarán auténticas para todos los efectos legales”.</w:t>
      </w:r>
      <w:r w:rsidRPr="005867CF">
        <w:rPr>
          <w:rFonts w:ascii="Verdana" w:hAnsi="Verdana"/>
          <w:sz w:val="15"/>
          <w:szCs w:val="15"/>
        </w:rPr>
        <w:t xml:space="preserve"> </w:t>
      </w:r>
    </w:p>
  </w:footnote>
  <w:footnote w:id="34">
    <w:p w14:paraId="55336B61" w14:textId="77777777" w:rsidR="00135720" w:rsidRPr="005867CF" w:rsidRDefault="00135720" w:rsidP="00135720">
      <w:pPr>
        <w:pStyle w:val="Textonotapie"/>
        <w:ind w:firstLine="709"/>
        <w:jc w:val="both"/>
        <w:rPr>
          <w:rFonts w:ascii="Verdana" w:hAnsi="Verdana" w:cs="Arial"/>
          <w:sz w:val="15"/>
          <w:szCs w:val="15"/>
        </w:rPr>
      </w:pPr>
      <w:r w:rsidRPr="005867CF">
        <w:rPr>
          <w:rStyle w:val="Refdenotaalpie"/>
          <w:rFonts w:ascii="Verdana" w:hAnsi="Verdana"/>
          <w:sz w:val="15"/>
          <w:szCs w:val="15"/>
        </w:rPr>
        <w:footnoteRef/>
      </w:r>
      <w:r w:rsidRPr="005867CF">
        <w:rPr>
          <w:rFonts w:ascii="Verdana" w:hAnsi="Verdana"/>
          <w:sz w:val="15"/>
          <w:szCs w:val="15"/>
        </w:rPr>
        <w:t xml:space="preserve"> “</w:t>
      </w:r>
      <w:r w:rsidRPr="005867CF">
        <w:rPr>
          <w:rFonts w:ascii="Verdana" w:hAnsi="Verdana" w:cs="Arial"/>
          <w:sz w:val="15"/>
          <w:szCs w:val="15"/>
        </w:rPr>
        <w:t>Las autoridades, en el ejercicio de sus funciones, podrán emitir válidamente actos administrativos por medios electrónicos siempre y cuando se asegure su autenticidad, integridad y disponibilidad de acuerdo con la ley”.</w:t>
      </w:r>
    </w:p>
  </w:footnote>
  <w:footnote w:id="35">
    <w:p w14:paraId="30AB4693" w14:textId="77777777" w:rsidR="00135720" w:rsidRPr="006F6AAA" w:rsidRDefault="00135720" w:rsidP="00135720">
      <w:pPr>
        <w:pStyle w:val="NormalWeb"/>
        <w:spacing w:before="0" w:beforeAutospacing="0" w:after="0" w:afterAutospacing="0"/>
        <w:ind w:firstLine="709"/>
        <w:jc w:val="both"/>
        <w:rPr>
          <w:rFonts w:ascii="Verdana" w:hAnsi="Verdana"/>
          <w:sz w:val="16"/>
          <w:szCs w:val="16"/>
        </w:rPr>
      </w:pPr>
      <w:r w:rsidRPr="006F6AAA">
        <w:rPr>
          <w:rStyle w:val="Refdenotaalpie"/>
          <w:rFonts w:ascii="Verdana" w:hAnsi="Verdana"/>
          <w:sz w:val="16"/>
          <w:szCs w:val="16"/>
        </w:rPr>
        <w:footnoteRef/>
      </w:r>
      <w:r w:rsidRPr="006F6AAA">
        <w:rPr>
          <w:rFonts w:ascii="Verdana" w:hAnsi="Verdana"/>
          <w:sz w:val="16"/>
          <w:szCs w:val="16"/>
        </w:rPr>
        <w:t xml:space="preserve"> “</w:t>
      </w:r>
      <w:r w:rsidRPr="006F6AAA">
        <w:rPr>
          <w:rFonts w:ascii="Verdana" w:hAnsi="Verdana"/>
          <w:bCs/>
          <w:sz w:val="16"/>
          <w:szCs w:val="16"/>
        </w:rPr>
        <w:t>Artículo 58.</w:t>
      </w:r>
      <w:r w:rsidRPr="006F6AAA">
        <w:rPr>
          <w:rFonts w:ascii="Verdana" w:hAnsi="Verdana"/>
          <w:b/>
          <w:bCs/>
          <w:sz w:val="16"/>
          <w:szCs w:val="16"/>
        </w:rPr>
        <w:t xml:space="preserve"> </w:t>
      </w:r>
      <w:r w:rsidRPr="006F6AAA">
        <w:rPr>
          <w:rFonts w:ascii="Verdana" w:hAnsi="Verdana"/>
          <w:i/>
          <w:iCs/>
          <w:sz w:val="16"/>
          <w:szCs w:val="16"/>
        </w:rPr>
        <w:t>Archivo electrónico de documentos.</w:t>
      </w:r>
      <w:r w:rsidRPr="006F6AAA">
        <w:rPr>
          <w:rFonts w:ascii="Verdana" w:hAnsi="Verdana"/>
          <w:sz w:val="16"/>
          <w:szCs w:val="16"/>
        </w:rPr>
        <w:t> Cuando el procedimiento administrativo se adelante utilizando medios electrónicos, los documentos deberán ser archivados en este mismo medio. Podrán almacenarse por medios electrónicos, todos los documentos utilizados en las actuaciones administrativas. </w:t>
      </w:r>
    </w:p>
    <w:p w14:paraId="35BF432E" w14:textId="77777777" w:rsidR="00135720" w:rsidRPr="006F6AAA" w:rsidRDefault="00135720" w:rsidP="00135720">
      <w:pPr>
        <w:pStyle w:val="NormalWeb"/>
        <w:spacing w:before="0" w:beforeAutospacing="0" w:after="0" w:afterAutospacing="0"/>
        <w:ind w:firstLine="709"/>
        <w:jc w:val="both"/>
        <w:rPr>
          <w:rFonts w:ascii="Verdana" w:hAnsi="Verdana"/>
          <w:sz w:val="16"/>
          <w:szCs w:val="16"/>
        </w:rPr>
      </w:pPr>
      <w:r w:rsidRPr="006F6AAA">
        <w:rPr>
          <w:rFonts w:ascii="Verdana" w:hAnsi="Verdana"/>
          <w:sz w:val="16"/>
          <w:szCs w:val="16"/>
        </w:rPr>
        <w:t>La conservación de los documentos electrónicos que contengan actos administrativos de carácter individual, deberá asegurar la autenticidad e integridad de la información necesaria para reproducirlos, y registrar las fechas de expedición, notificación y archivo”.</w:t>
      </w:r>
    </w:p>
  </w:footnote>
  <w:footnote w:id="36">
    <w:p w14:paraId="05810405" w14:textId="77777777" w:rsidR="00135720" w:rsidRPr="006F6AAA" w:rsidRDefault="00135720" w:rsidP="00135720">
      <w:pPr>
        <w:pStyle w:val="NormalWeb"/>
        <w:spacing w:before="0" w:beforeAutospacing="0" w:after="0" w:afterAutospacing="0"/>
        <w:ind w:firstLine="708"/>
        <w:jc w:val="both"/>
        <w:rPr>
          <w:rFonts w:ascii="Verdana" w:hAnsi="Verdana"/>
          <w:sz w:val="16"/>
          <w:szCs w:val="16"/>
        </w:rPr>
      </w:pPr>
      <w:r w:rsidRPr="006F6AAA">
        <w:rPr>
          <w:rStyle w:val="Refdenotaalpie"/>
          <w:rFonts w:ascii="Verdana" w:hAnsi="Verdana"/>
          <w:sz w:val="16"/>
          <w:szCs w:val="16"/>
        </w:rPr>
        <w:footnoteRef/>
      </w:r>
      <w:r w:rsidRPr="006F6AAA">
        <w:rPr>
          <w:rFonts w:ascii="Verdana" w:hAnsi="Verdana"/>
          <w:sz w:val="16"/>
          <w:szCs w:val="16"/>
        </w:rPr>
        <w:t xml:space="preserve"> “</w:t>
      </w:r>
      <w:r w:rsidRPr="006F6AAA">
        <w:rPr>
          <w:rFonts w:ascii="Verdana" w:hAnsi="Verdana"/>
          <w:bCs/>
          <w:sz w:val="16"/>
          <w:szCs w:val="16"/>
        </w:rPr>
        <w:t>ARTÍCULO 61.</w:t>
      </w:r>
      <w:r w:rsidRPr="006F6AAA">
        <w:rPr>
          <w:rFonts w:ascii="Verdana" w:hAnsi="Verdana"/>
          <w:sz w:val="16"/>
          <w:szCs w:val="16"/>
        </w:rPr>
        <w:t> Recepción de documentos electrónicos por parte de las autoridades. Para la recepción de documentos electrónicos dentro de una actuación administrativa, las autoridades deberán contar con un registro electrónico de documentos, además de:</w:t>
      </w:r>
    </w:p>
    <w:p w14:paraId="4183F228" w14:textId="77777777" w:rsidR="00135720" w:rsidRPr="006F6AAA" w:rsidRDefault="00135720" w:rsidP="00135720">
      <w:pPr>
        <w:pStyle w:val="NormalWeb"/>
        <w:spacing w:before="0" w:beforeAutospacing="0" w:after="0" w:afterAutospacing="0"/>
        <w:ind w:firstLine="708"/>
        <w:jc w:val="both"/>
        <w:rPr>
          <w:rFonts w:ascii="Verdana" w:hAnsi="Verdana"/>
          <w:sz w:val="16"/>
          <w:szCs w:val="16"/>
        </w:rPr>
      </w:pPr>
      <w:r w:rsidRPr="006F6AAA">
        <w:rPr>
          <w:rFonts w:ascii="Verdana" w:hAnsi="Verdana"/>
          <w:sz w:val="16"/>
          <w:szCs w:val="16"/>
        </w:rPr>
        <w:t>1. Llevar un estricto control y relación de los documentos electrónicos enviados y recibidos en los sistemas de información, a través de los diversos canales, incluyendo la fecha y hora de recepción.</w:t>
      </w:r>
    </w:p>
    <w:p w14:paraId="7DEDC72A" w14:textId="77777777" w:rsidR="00135720" w:rsidRPr="006F6AAA" w:rsidRDefault="00135720" w:rsidP="00135720">
      <w:pPr>
        <w:pStyle w:val="NormalWeb"/>
        <w:spacing w:before="0" w:beforeAutospacing="0" w:after="0" w:afterAutospacing="0"/>
        <w:ind w:firstLine="708"/>
        <w:jc w:val="both"/>
        <w:rPr>
          <w:rFonts w:ascii="Verdana" w:hAnsi="Verdana"/>
          <w:sz w:val="16"/>
          <w:szCs w:val="16"/>
        </w:rPr>
      </w:pPr>
      <w:r w:rsidRPr="006F6AAA">
        <w:rPr>
          <w:rFonts w:ascii="Verdana" w:hAnsi="Verdana"/>
          <w:sz w:val="16"/>
          <w:szCs w:val="16"/>
        </w:rPr>
        <w:t>2. Mantener los sistemas de información con capacidad suficiente y contar con las medidas adecuadas de protección de la información, de los datos y en general de seguridad digital.</w:t>
      </w:r>
    </w:p>
    <w:p w14:paraId="25FE7FE9" w14:textId="77777777" w:rsidR="00135720" w:rsidRPr="00126FD7" w:rsidRDefault="00135720" w:rsidP="00135720">
      <w:pPr>
        <w:pStyle w:val="NormalWeb"/>
        <w:spacing w:before="0" w:beforeAutospacing="0" w:after="0" w:afterAutospacing="0"/>
        <w:ind w:firstLine="708"/>
        <w:jc w:val="both"/>
        <w:rPr>
          <w:rFonts w:ascii="Verdana" w:hAnsi="Verdana"/>
          <w:sz w:val="16"/>
          <w:szCs w:val="16"/>
        </w:rPr>
      </w:pPr>
      <w:r w:rsidRPr="006F6AAA">
        <w:rPr>
          <w:rFonts w:ascii="Verdana" w:hAnsi="Verdana"/>
          <w:sz w:val="16"/>
          <w:szCs w:val="16"/>
        </w:rPr>
        <w:t>3. Emitir y enviar un mensaje acusando el recibo o salida de las comunicaciones indicando la fecha de esta y el número de radicado asignado”</w:t>
      </w:r>
    </w:p>
  </w:footnote>
  <w:footnote w:id="37">
    <w:p w14:paraId="2F7DC59E" w14:textId="77777777" w:rsidR="00135720" w:rsidRPr="006F6AAA" w:rsidRDefault="00135720" w:rsidP="00135720">
      <w:pPr>
        <w:pStyle w:val="Textonotapie"/>
        <w:ind w:firstLine="708"/>
        <w:jc w:val="both"/>
        <w:rPr>
          <w:rFonts w:ascii="Verdana" w:hAnsi="Verdana"/>
          <w:sz w:val="16"/>
          <w:szCs w:val="16"/>
          <w:lang w:val="es-CO"/>
        </w:rPr>
      </w:pPr>
      <w:r w:rsidRPr="006F6AAA">
        <w:rPr>
          <w:rStyle w:val="Refdenotaalpie"/>
          <w:rFonts w:ascii="Verdana" w:hAnsi="Verdana"/>
          <w:sz w:val="16"/>
          <w:szCs w:val="16"/>
        </w:rPr>
        <w:footnoteRef/>
      </w:r>
      <w:r w:rsidRPr="006F6AAA">
        <w:rPr>
          <w:rFonts w:ascii="Verdana" w:hAnsi="Verdana"/>
          <w:sz w:val="16"/>
          <w:szCs w:val="16"/>
        </w:rPr>
        <w:t xml:space="preserve"> </w:t>
      </w:r>
      <w:r>
        <w:rPr>
          <w:rFonts w:ascii="Verdana" w:hAnsi="Verdana"/>
          <w:sz w:val="16"/>
          <w:szCs w:val="16"/>
        </w:rPr>
        <w:t>“</w:t>
      </w:r>
      <w:r w:rsidRPr="006F6AAA">
        <w:rPr>
          <w:rFonts w:ascii="Verdana" w:hAnsi="Verdana"/>
          <w:sz w:val="16"/>
          <w:szCs w:val="16"/>
          <w:lang w:val="es-CO"/>
        </w:rPr>
        <w:t>Artículo 4.3.2.1. Conformación de expedientes electrónicos de archivo. Los sujetos obligados deben conformar los expedientes electrónicos de acuerdo con el Cuadro de Clasificación Documental – CCD y las Tablas de Retención Documental – TRD e incorporarlos al Sistema de Gestión de Documentos Electrónicos de Archivo – SGDEA, desde el inicio de un trámite, actuación o procedimiento hasta su finalización o disposición final.</w:t>
      </w:r>
    </w:p>
    <w:p w14:paraId="07130C2E" w14:textId="77777777" w:rsidR="00135720" w:rsidRPr="006F6AAA" w:rsidRDefault="00135720" w:rsidP="00135720">
      <w:pPr>
        <w:pStyle w:val="Textonotapie"/>
        <w:ind w:firstLine="708"/>
        <w:jc w:val="both"/>
        <w:rPr>
          <w:rFonts w:ascii="Verdana" w:hAnsi="Verdana"/>
          <w:sz w:val="16"/>
          <w:szCs w:val="16"/>
          <w:lang w:val="es-CO"/>
        </w:rPr>
      </w:pPr>
      <w:r w:rsidRPr="006F6AAA">
        <w:rPr>
          <w:rFonts w:ascii="Verdana" w:hAnsi="Verdana"/>
          <w:sz w:val="16"/>
          <w:szCs w:val="16"/>
          <w:lang w:val="es-CO"/>
        </w:rPr>
        <w:t xml:space="preserve"> Parágrafo 1. Durante la conformación y gestión de los expedientes, conforme al ciclo vital de documento, deberá garantizarse el almacenamiento en repositorios digitales de confianza con criterios de seguridad de la información. </w:t>
      </w:r>
    </w:p>
    <w:p w14:paraId="00C6E2A8" w14:textId="77777777" w:rsidR="00135720" w:rsidRPr="00DB67C9" w:rsidRDefault="00135720" w:rsidP="00135720">
      <w:pPr>
        <w:pStyle w:val="Textonotapie"/>
        <w:ind w:firstLine="708"/>
        <w:jc w:val="both"/>
        <w:rPr>
          <w:rFonts w:ascii="Verdana" w:hAnsi="Verdana"/>
          <w:sz w:val="16"/>
          <w:szCs w:val="16"/>
          <w:lang w:val="es-CO"/>
        </w:rPr>
      </w:pPr>
      <w:r w:rsidRPr="006F6AAA">
        <w:rPr>
          <w:rFonts w:ascii="Verdana" w:hAnsi="Verdana"/>
          <w:sz w:val="16"/>
          <w:szCs w:val="16"/>
          <w:lang w:val="es-CO"/>
        </w:rPr>
        <w:t>Parágrafo 2. Los expedientes electrónicos de archivo se conformarán con la totalidad de los documentos de archivo generados en desarrollo de un mismo trámite, actuación o procedimiento, independientemente del tipo de información y formato, respetando el principio de orden original y deben agruparse conforme a las series y subseries documentales</w:t>
      </w:r>
      <w:r>
        <w:rPr>
          <w:rFonts w:ascii="Verdana" w:hAnsi="Verdana"/>
          <w:sz w:val="16"/>
          <w:szCs w:val="16"/>
          <w:lang w:val="es-CO"/>
        </w:rPr>
        <w:t xml:space="preserve">”. </w:t>
      </w:r>
    </w:p>
  </w:footnote>
  <w:footnote w:id="38">
    <w:p w14:paraId="68F2055F" w14:textId="77777777" w:rsidR="00135720" w:rsidRPr="00FC7D35" w:rsidRDefault="00135720" w:rsidP="00135720">
      <w:pPr>
        <w:pStyle w:val="Textonotapie"/>
        <w:ind w:firstLine="708"/>
        <w:jc w:val="both"/>
        <w:rPr>
          <w:rFonts w:ascii="Verdana" w:hAnsi="Verdana"/>
          <w:sz w:val="16"/>
          <w:szCs w:val="16"/>
          <w:lang w:val="es-ES"/>
        </w:rPr>
      </w:pPr>
      <w:r w:rsidRPr="00FC7D35">
        <w:rPr>
          <w:rStyle w:val="Refdenotaalpie"/>
          <w:rFonts w:ascii="Verdana" w:hAnsi="Verdana"/>
          <w:sz w:val="16"/>
          <w:szCs w:val="16"/>
        </w:rPr>
        <w:footnoteRef/>
      </w:r>
      <w:r w:rsidRPr="00FC7D35">
        <w:rPr>
          <w:rFonts w:ascii="Verdana" w:hAnsi="Verdana"/>
          <w:sz w:val="16"/>
          <w:szCs w:val="16"/>
        </w:rPr>
        <w:t xml:space="preserve"> </w:t>
      </w:r>
      <w:r w:rsidRPr="00FC7D35">
        <w:rPr>
          <w:rFonts w:ascii="Verdana" w:hAnsi="Verdana"/>
          <w:sz w:val="16"/>
          <w:szCs w:val="16"/>
          <w:lang w:val="es-ES"/>
        </w:rPr>
        <w:t xml:space="preserve">Consejo de Estado. Sección Tercera. Subsección C. Sentencia del 21 de marzo de 2012. C.P. Jaime Orlando Santofimio Gamboa. Exp. 39.477.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50B0E" w:rsidRDefault="00B50B0E">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50B0E" w:rsidRDefault="00B50B0E">
    <w:pPr>
      <w:pStyle w:val="Encabezado"/>
    </w:pPr>
  </w:p>
  <w:p w14:paraId="3079FC11" w14:textId="77777777" w:rsidR="00B50B0E" w:rsidRDefault="00B50B0E" w:rsidP="004A305D">
    <w:pPr>
      <w:spacing w:after="0"/>
      <w:rPr>
        <w:rFonts w:ascii="Verdana" w:hAnsi="Verdana"/>
        <w:b/>
        <w:bCs/>
      </w:rPr>
    </w:pPr>
  </w:p>
  <w:p w14:paraId="5E18350A" w14:textId="705F7B76" w:rsidR="00B50B0E" w:rsidRPr="004A305D" w:rsidRDefault="00B50B0E" w:rsidP="00B01B1A">
    <w:pPr>
      <w:spacing w:after="0" w:line="120" w:lineRule="auto"/>
      <w:rPr>
        <w:rFonts w:ascii="Century Gothic" w:eastAsia="Geo" w:hAnsi="Century Gothic" w:cs="Geo"/>
        <w:sz w:val="16"/>
        <w:szCs w:val="16"/>
        <w:lang w:eastAsia="es-CO"/>
      </w:rPr>
    </w:pPr>
  </w:p>
  <w:p w14:paraId="1FD1C243" w14:textId="6D74A3CF" w:rsidR="00B50B0E" w:rsidRDefault="00B50B0E"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490472F2"/>
    <w:multiLevelType w:val="hybridMultilevel"/>
    <w:tmpl w:val="167ABF28"/>
    <w:lvl w:ilvl="0" w:tplc="0AC2F006">
      <w:numFmt w:val="bullet"/>
      <w:lvlText w:val=""/>
      <w:lvlJc w:val="left"/>
      <w:pPr>
        <w:ind w:left="1181" w:hanging="360"/>
      </w:pPr>
      <w:rPr>
        <w:rFonts w:ascii="Symbol" w:eastAsia="Symbol" w:hAnsi="Symbol" w:cs="Symbol" w:hint="default"/>
        <w:b w:val="0"/>
        <w:bCs w:val="0"/>
        <w:i w:val="0"/>
        <w:iCs w:val="0"/>
        <w:spacing w:val="0"/>
        <w:w w:val="100"/>
        <w:sz w:val="22"/>
        <w:szCs w:val="22"/>
        <w:lang w:val="es-ES" w:eastAsia="en-US" w:bidi="ar-SA"/>
      </w:rPr>
    </w:lvl>
    <w:lvl w:ilvl="1" w:tplc="B3B6F79E">
      <w:numFmt w:val="bullet"/>
      <w:lvlText w:val="•"/>
      <w:lvlJc w:val="left"/>
      <w:pPr>
        <w:ind w:left="1998" w:hanging="360"/>
      </w:pPr>
      <w:rPr>
        <w:rFonts w:hint="default"/>
        <w:lang w:val="es-ES" w:eastAsia="en-US" w:bidi="ar-SA"/>
      </w:rPr>
    </w:lvl>
    <w:lvl w:ilvl="2" w:tplc="0B3C5E0E">
      <w:numFmt w:val="bullet"/>
      <w:lvlText w:val="•"/>
      <w:lvlJc w:val="left"/>
      <w:pPr>
        <w:ind w:left="2816" w:hanging="360"/>
      </w:pPr>
      <w:rPr>
        <w:rFonts w:hint="default"/>
        <w:lang w:val="es-ES" w:eastAsia="en-US" w:bidi="ar-SA"/>
      </w:rPr>
    </w:lvl>
    <w:lvl w:ilvl="3" w:tplc="B7862390">
      <w:numFmt w:val="bullet"/>
      <w:lvlText w:val="•"/>
      <w:lvlJc w:val="left"/>
      <w:pPr>
        <w:ind w:left="3634" w:hanging="360"/>
      </w:pPr>
      <w:rPr>
        <w:rFonts w:hint="default"/>
        <w:lang w:val="es-ES" w:eastAsia="en-US" w:bidi="ar-SA"/>
      </w:rPr>
    </w:lvl>
    <w:lvl w:ilvl="4" w:tplc="90E87D84">
      <w:numFmt w:val="bullet"/>
      <w:lvlText w:val="•"/>
      <w:lvlJc w:val="left"/>
      <w:pPr>
        <w:ind w:left="4452" w:hanging="360"/>
      </w:pPr>
      <w:rPr>
        <w:rFonts w:hint="default"/>
        <w:lang w:val="es-ES" w:eastAsia="en-US" w:bidi="ar-SA"/>
      </w:rPr>
    </w:lvl>
    <w:lvl w:ilvl="5" w:tplc="9BE638DC">
      <w:numFmt w:val="bullet"/>
      <w:lvlText w:val="•"/>
      <w:lvlJc w:val="left"/>
      <w:pPr>
        <w:ind w:left="5270" w:hanging="360"/>
      </w:pPr>
      <w:rPr>
        <w:rFonts w:hint="default"/>
        <w:lang w:val="es-ES" w:eastAsia="en-US" w:bidi="ar-SA"/>
      </w:rPr>
    </w:lvl>
    <w:lvl w:ilvl="6" w:tplc="994A4E1C">
      <w:numFmt w:val="bullet"/>
      <w:lvlText w:val="•"/>
      <w:lvlJc w:val="left"/>
      <w:pPr>
        <w:ind w:left="6088" w:hanging="360"/>
      </w:pPr>
      <w:rPr>
        <w:rFonts w:hint="default"/>
        <w:lang w:val="es-ES" w:eastAsia="en-US" w:bidi="ar-SA"/>
      </w:rPr>
    </w:lvl>
    <w:lvl w:ilvl="7" w:tplc="1E40C10C">
      <w:numFmt w:val="bullet"/>
      <w:lvlText w:val="•"/>
      <w:lvlJc w:val="left"/>
      <w:pPr>
        <w:ind w:left="6906" w:hanging="360"/>
      </w:pPr>
      <w:rPr>
        <w:rFonts w:hint="default"/>
        <w:lang w:val="es-ES" w:eastAsia="en-US" w:bidi="ar-SA"/>
      </w:rPr>
    </w:lvl>
    <w:lvl w:ilvl="8" w:tplc="9874411C">
      <w:numFmt w:val="bullet"/>
      <w:lvlText w:val="•"/>
      <w:lvlJc w:val="left"/>
      <w:pPr>
        <w:ind w:left="7724" w:hanging="360"/>
      </w:pPr>
      <w:rPr>
        <w:rFonts w:hint="default"/>
        <w:lang w:val="es-ES" w:eastAsia="en-US" w:bidi="ar-SA"/>
      </w:rPr>
    </w:lvl>
  </w:abstractNum>
  <w:abstractNum w:abstractNumId="1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9"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0"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0711A51"/>
    <w:multiLevelType w:val="hybridMultilevel"/>
    <w:tmpl w:val="A518028C"/>
    <w:lvl w:ilvl="0" w:tplc="063EE9EE">
      <w:start w:val="1"/>
      <w:numFmt w:val="decimal"/>
      <w:lvlText w:val="%1."/>
      <w:lvlJc w:val="left"/>
      <w:pPr>
        <w:ind w:left="545" w:hanging="284"/>
      </w:pPr>
      <w:rPr>
        <w:rFonts w:ascii="Verdana" w:eastAsia="Verdana" w:hAnsi="Verdana" w:cs="Verdana" w:hint="default"/>
        <w:b/>
        <w:bCs/>
        <w:i w:val="0"/>
        <w:iCs w:val="0"/>
        <w:spacing w:val="-1"/>
        <w:w w:val="99"/>
        <w:sz w:val="22"/>
        <w:szCs w:val="22"/>
        <w:lang w:val="es-ES" w:eastAsia="en-US" w:bidi="ar-SA"/>
      </w:rPr>
    </w:lvl>
    <w:lvl w:ilvl="1" w:tplc="E3C4932E">
      <w:start w:val="1"/>
      <w:numFmt w:val="lowerLetter"/>
      <w:lvlText w:val="%2)"/>
      <w:lvlJc w:val="left"/>
      <w:pPr>
        <w:ind w:left="261" w:hanging="383"/>
      </w:pPr>
      <w:rPr>
        <w:rFonts w:ascii="Verdana" w:eastAsia="Verdana" w:hAnsi="Verdana" w:cs="Verdana" w:hint="default"/>
        <w:b w:val="0"/>
        <w:bCs w:val="0"/>
        <w:i w:val="0"/>
        <w:iCs w:val="0"/>
        <w:spacing w:val="-1"/>
        <w:w w:val="99"/>
        <w:sz w:val="22"/>
        <w:szCs w:val="22"/>
        <w:lang w:val="es-ES" w:eastAsia="en-US" w:bidi="ar-SA"/>
      </w:rPr>
    </w:lvl>
    <w:lvl w:ilvl="2" w:tplc="B1BCF86C">
      <w:start w:val="1"/>
      <w:numFmt w:val="lowerLetter"/>
      <w:lvlText w:val="%3)"/>
      <w:lvlJc w:val="left"/>
      <w:pPr>
        <w:ind w:left="981" w:hanging="360"/>
      </w:pPr>
      <w:rPr>
        <w:rFonts w:ascii="Verdana" w:eastAsia="Verdana" w:hAnsi="Verdana" w:cs="Verdana" w:hint="default"/>
        <w:b w:val="0"/>
        <w:bCs w:val="0"/>
        <w:i w:val="0"/>
        <w:iCs w:val="0"/>
        <w:spacing w:val="-1"/>
        <w:w w:val="99"/>
        <w:sz w:val="22"/>
        <w:szCs w:val="22"/>
        <w:lang w:val="es-ES" w:eastAsia="en-US" w:bidi="ar-SA"/>
      </w:rPr>
    </w:lvl>
    <w:lvl w:ilvl="3" w:tplc="DA86040E">
      <w:numFmt w:val="bullet"/>
      <w:lvlText w:val="•"/>
      <w:lvlJc w:val="left"/>
      <w:pPr>
        <w:ind w:left="2072" w:hanging="360"/>
      </w:pPr>
      <w:rPr>
        <w:rFonts w:hint="default"/>
        <w:lang w:val="es-ES" w:eastAsia="en-US" w:bidi="ar-SA"/>
      </w:rPr>
    </w:lvl>
    <w:lvl w:ilvl="4" w:tplc="CE88E080">
      <w:numFmt w:val="bullet"/>
      <w:lvlText w:val="•"/>
      <w:lvlJc w:val="left"/>
      <w:pPr>
        <w:ind w:left="3165" w:hanging="360"/>
      </w:pPr>
      <w:rPr>
        <w:rFonts w:hint="default"/>
        <w:lang w:val="es-ES" w:eastAsia="en-US" w:bidi="ar-SA"/>
      </w:rPr>
    </w:lvl>
    <w:lvl w:ilvl="5" w:tplc="1B5AB794">
      <w:numFmt w:val="bullet"/>
      <w:lvlText w:val="•"/>
      <w:lvlJc w:val="left"/>
      <w:pPr>
        <w:ind w:left="4257" w:hanging="360"/>
      </w:pPr>
      <w:rPr>
        <w:rFonts w:hint="default"/>
        <w:lang w:val="es-ES" w:eastAsia="en-US" w:bidi="ar-SA"/>
      </w:rPr>
    </w:lvl>
    <w:lvl w:ilvl="6" w:tplc="57C474B0">
      <w:numFmt w:val="bullet"/>
      <w:lvlText w:val="•"/>
      <w:lvlJc w:val="left"/>
      <w:pPr>
        <w:ind w:left="5350" w:hanging="360"/>
      </w:pPr>
      <w:rPr>
        <w:rFonts w:hint="default"/>
        <w:lang w:val="es-ES" w:eastAsia="en-US" w:bidi="ar-SA"/>
      </w:rPr>
    </w:lvl>
    <w:lvl w:ilvl="7" w:tplc="ED962E92">
      <w:numFmt w:val="bullet"/>
      <w:lvlText w:val="•"/>
      <w:lvlJc w:val="left"/>
      <w:pPr>
        <w:ind w:left="6442" w:hanging="360"/>
      </w:pPr>
      <w:rPr>
        <w:rFonts w:hint="default"/>
        <w:lang w:val="es-ES" w:eastAsia="en-US" w:bidi="ar-SA"/>
      </w:rPr>
    </w:lvl>
    <w:lvl w:ilvl="8" w:tplc="E7EC06B6">
      <w:numFmt w:val="bullet"/>
      <w:lvlText w:val="•"/>
      <w:lvlJc w:val="left"/>
      <w:pPr>
        <w:ind w:left="7535" w:hanging="360"/>
      </w:pPr>
      <w:rPr>
        <w:rFonts w:hint="default"/>
        <w:lang w:val="es-ES" w:eastAsia="en-US" w:bidi="ar-SA"/>
      </w:rPr>
    </w:lvl>
  </w:abstractNum>
  <w:abstractNum w:abstractNumId="25" w15:restartNumberingAfterBreak="0">
    <w:nsid w:val="61E905C1"/>
    <w:multiLevelType w:val="hybridMultilevel"/>
    <w:tmpl w:val="84F880E2"/>
    <w:lvl w:ilvl="0" w:tplc="60586CCE">
      <w:start w:val="4"/>
      <w:numFmt w:val="lowerLetter"/>
      <w:lvlText w:val="%1)"/>
      <w:lvlJc w:val="left"/>
      <w:pPr>
        <w:ind w:left="1069" w:hanging="360"/>
      </w:pPr>
      <w:rPr>
        <w:rFonts w:hint="default"/>
      </w:r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2140492546">
    <w:abstractNumId w:val="13"/>
  </w:num>
  <w:num w:numId="2" w16cid:durableId="2042658214">
    <w:abstractNumId w:val="2"/>
  </w:num>
  <w:num w:numId="3" w16cid:durableId="1442410894">
    <w:abstractNumId w:val="11"/>
  </w:num>
  <w:num w:numId="4" w16cid:durableId="81141240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2003570">
    <w:abstractNumId w:val="2"/>
  </w:num>
  <w:num w:numId="6" w16cid:durableId="1300766741">
    <w:abstractNumId w:val="30"/>
  </w:num>
  <w:num w:numId="7" w16cid:durableId="10187938">
    <w:abstractNumId w:val="12"/>
  </w:num>
  <w:num w:numId="8" w16cid:durableId="408964582">
    <w:abstractNumId w:val="29"/>
  </w:num>
  <w:num w:numId="9" w16cid:durableId="2052532002">
    <w:abstractNumId w:val="14"/>
  </w:num>
  <w:num w:numId="10" w16cid:durableId="1659074385">
    <w:abstractNumId w:val="27"/>
  </w:num>
  <w:num w:numId="11" w16cid:durableId="683479866">
    <w:abstractNumId w:val="15"/>
  </w:num>
  <w:num w:numId="12" w16cid:durableId="188959179">
    <w:abstractNumId w:val="1"/>
  </w:num>
  <w:num w:numId="13" w16cid:durableId="2020890286">
    <w:abstractNumId w:val="7"/>
  </w:num>
  <w:num w:numId="14" w16cid:durableId="697658273">
    <w:abstractNumId w:val="31"/>
  </w:num>
  <w:num w:numId="15" w16cid:durableId="1341660625">
    <w:abstractNumId w:val="26"/>
  </w:num>
  <w:num w:numId="16" w16cid:durableId="84852229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5395394">
    <w:abstractNumId w:val="5"/>
  </w:num>
  <w:num w:numId="18" w16cid:durableId="1328630023">
    <w:abstractNumId w:val="22"/>
  </w:num>
  <w:num w:numId="19" w16cid:durableId="882211401">
    <w:abstractNumId w:val="9"/>
  </w:num>
  <w:num w:numId="20" w16cid:durableId="1318924881">
    <w:abstractNumId w:val="16"/>
  </w:num>
  <w:num w:numId="21" w16cid:durableId="1011644897">
    <w:abstractNumId w:val="32"/>
  </w:num>
  <w:num w:numId="22" w16cid:durableId="1900164764">
    <w:abstractNumId w:val="18"/>
  </w:num>
  <w:num w:numId="23" w16cid:durableId="1627539039">
    <w:abstractNumId w:val="0"/>
  </w:num>
  <w:num w:numId="24" w16cid:durableId="415445436">
    <w:abstractNumId w:val="23"/>
  </w:num>
  <w:num w:numId="25" w16cid:durableId="1695034978">
    <w:abstractNumId w:val="20"/>
  </w:num>
  <w:num w:numId="26" w16cid:durableId="1534804583">
    <w:abstractNumId w:val="19"/>
  </w:num>
  <w:num w:numId="27" w16cid:durableId="1043947031">
    <w:abstractNumId w:val="6"/>
  </w:num>
  <w:num w:numId="28" w16cid:durableId="1347708634">
    <w:abstractNumId w:val="8"/>
  </w:num>
  <w:num w:numId="29" w16cid:durableId="1440567858">
    <w:abstractNumId w:val="3"/>
  </w:num>
  <w:num w:numId="30" w16cid:durableId="1642273170">
    <w:abstractNumId w:val="4"/>
  </w:num>
  <w:num w:numId="31" w16cid:durableId="2079205934">
    <w:abstractNumId w:val="21"/>
  </w:num>
  <w:num w:numId="32" w16cid:durableId="1267229969">
    <w:abstractNumId w:val="28"/>
  </w:num>
  <w:num w:numId="33" w16cid:durableId="487944067">
    <w:abstractNumId w:val="24"/>
  </w:num>
  <w:num w:numId="34" w16cid:durableId="2132630111">
    <w:abstractNumId w:val="10"/>
  </w:num>
  <w:num w:numId="35" w16cid:durableId="1651976897">
    <w:abstractNumId w:val="25"/>
  </w:num>
  <w:num w:numId="36" w16cid:durableId="129972517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127D"/>
    <w:rsid w:val="000025A3"/>
    <w:rsid w:val="000039A2"/>
    <w:rsid w:val="000062F3"/>
    <w:rsid w:val="0000797D"/>
    <w:rsid w:val="00007E1F"/>
    <w:rsid w:val="0001328B"/>
    <w:rsid w:val="000137CF"/>
    <w:rsid w:val="00021052"/>
    <w:rsid w:val="000224F2"/>
    <w:rsid w:val="00023C3E"/>
    <w:rsid w:val="0002653B"/>
    <w:rsid w:val="00026DFC"/>
    <w:rsid w:val="00032821"/>
    <w:rsid w:val="00032F30"/>
    <w:rsid w:val="00036498"/>
    <w:rsid w:val="00040F37"/>
    <w:rsid w:val="00041187"/>
    <w:rsid w:val="00041860"/>
    <w:rsid w:val="000428F8"/>
    <w:rsid w:val="0004434A"/>
    <w:rsid w:val="0005281E"/>
    <w:rsid w:val="000539CB"/>
    <w:rsid w:val="0005682C"/>
    <w:rsid w:val="00056D71"/>
    <w:rsid w:val="00061B2A"/>
    <w:rsid w:val="00062BAF"/>
    <w:rsid w:val="000630B9"/>
    <w:rsid w:val="000635D0"/>
    <w:rsid w:val="000643B2"/>
    <w:rsid w:val="00065E80"/>
    <w:rsid w:val="0007022C"/>
    <w:rsid w:val="00071DE6"/>
    <w:rsid w:val="0007232E"/>
    <w:rsid w:val="00077439"/>
    <w:rsid w:val="000774B8"/>
    <w:rsid w:val="00082362"/>
    <w:rsid w:val="00082456"/>
    <w:rsid w:val="0008328D"/>
    <w:rsid w:val="00083B95"/>
    <w:rsid w:val="000876F0"/>
    <w:rsid w:val="00090C58"/>
    <w:rsid w:val="000920CF"/>
    <w:rsid w:val="0009387A"/>
    <w:rsid w:val="0009387B"/>
    <w:rsid w:val="000963C6"/>
    <w:rsid w:val="00096C02"/>
    <w:rsid w:val="0009762F"/>
    <w:rsid w:val="000A31B9"/>
    <w:rsid w:val="000A3330"/>
    <w:rsid w:val="000A3D63"/>
    <w:rsid w:val="000A683A"/>
    <w:rsid w:val="000A683E"/>
    <w:rsid w:val="000B1082"/>
    <w:rsid w:val="000B158F"/>
    <w:rsid w:val="000B19B9"/>
    <w:rsid w:val="000B2CEB"/>
    <w:rsid w:val="000C2889"/>
    <w:rsid w:val="000C53BE"/>
    <w:rsid w:val="000D0152"/>
    <w:rsid w:val="000D0334"/>
    <w:rsid w:val="000D043A"/>
    <w:rsid w:val="000D25D7"/>
    <w:rsid w:val="000D3B29"/>
    <w:rsid w:val="000D42B3"/>
    <w:rsid w:val="000D433E"/>
    <w:rsid w:val="000E06F4"/>
    <w:rsid w:val="000E0F63"/>
    <w:rsid w:val="000E4CE4"/>
    <w:rsid w:val="000F4C84"/>
    <w:rsid w:val="000F4D07"/>
    <w:rsid w:val="000F6486"/>
    <w:rsid w:val="000F669F"/>
    <w:rsid w:val="001030B9"/>
    <w:rsid w:val="001063B3"/>
    <w:rsid w:val="00107ACA"/>
    <w:rsid w:val="00110290"/>
    <w:rsid w:val="001114A9"/>
    <w:rsid w:val="00111979"/>
    <w:rsid w:val="00116537"/>
    <w:rsid w:val="00117B68"/>
    <w:rsid w:val="00120766"/>
    <w:rsid w:val="00121EA1"/>
    <w:rsid w:val="001240BD"/>
    <w:rsid w:val="00125105"/>
    <w:rsid w:val="00126FD7"/>
    <w:rsid w:val="00127233"/>
    <w:rsid w:val="00131118"/>
    <w:rsid w:val="00131D34"/>
    <w:rsid w:val="0013422E"/>
    <w:rsid w:val="00135720"/>
    <w:rsid w:val="00143E81"/>
    <w:rsid w:val="00143FD9"/>
    <w:rsid w:val="00145047"/>
    <w:rsid w:val="001450FF"/>
    <w:rsid w:val="00146C57"/>
    <w:rsid w:val="00147078"/>
    <w:rsid w:val="00150565"/>
    <w:rsid w:val="001514FA"/>
    <w:rsid w:val="00151952"/>
    <w:rsid w:val="00157783"/>
    <w:rsid w:val="00160D5C"/>
    <w:rsid w:val="0016332F"/>
    <w:rsid w:val="00165268"/>
    <w:rsid w:val="00167A7C"/>
    <w:rsid w:val="001717E9"/>
    <w:rsid w:val="0017238A"/>
    <w:rsid w:val="00172959"/>
    <w:rsid w:val="00180A30"/>
    <w:rsid w:val="0018159B"/>
    <w:rsid w:val="0018485D"/>
    <w:rsid w:val="00185EE9"/>
    <w:rsid w:val="00187F79"/>
    <w:rsid w:val="00191775"/>
    <w:rsid w:val="00191AB2"/>
    <w:rsid w:val="0019251B"/>
    <w:rsid w:val="00195992"/>
    <w:rsid w:val="00196153"/>
    <w:rsid w:val="00197274"/>
    <w:rsid w:val="001979E2"/>
    <w:rsid w:val="001A237A"/>
    <w:rsid w:val="001A26CF"/>
    <w:rsid w:val="001A2919"/>
    <w:rsid w:val="001B0A41"/>
    <w:rsid w:val="001B2717"/>
    <w:rsid w:val="001B2CFE"/>
    <w:rsid w:val="001B2FAC"/>
    <w:rsid w:val="001C222E"/>
    <w:rsid w:val="001C22F9"/>
    <w:rsid w:val="001D1C29"/>
    <w:rsid w:val="001D318E"/>
    <w:rsid w:val="001D3426"/>
    <w:rsid w:val="001E3C06"/>
    <w:rsid w:val="001E4177"/>
    <w:rsid w:val="001F4EFD"/>
    <w:rsid w:val="001F5E13"/>
    <w:rsid w:val="001F6D11"/>
    <w:rsid w:val="001F7DC6"/>
    <w:rsid w:val="00202886"/>
    <w:rsid w:val="00206A83"/>
    <w:rsid w:val="002133F0"/>
    <w:rsid w:val="00215CEF"/>
    <w:rsid w:val="00217A08"/>
    <w:rsid w:val="00220B77"/>
    <w:rsid w:val="00221D27"/>
    <w:rsid w:val="00222ACF"/>
    <w:rsid w:val="0022564A"/>
    <w:rsid w:val="00227C89"/>
    <w:rsid w:val="002307E9"/>
    <w:rsid w:val="00237233"/>
    <w:rsid w:val="002421BB"/>
    <w:rsid w:val="00246A81"/>
    <w:rsid w:val="00251A5F"/>
    <w:rsid w:val="0025796E"/>
    <w:rsid w:val="002603E5"/>
    <w:rsid w:val="00260FA3"/>
    <w:rsid w:val="00260FD9"/>
    <w:rsid w:val="002638B2"/>
    <w:rsid w:val="002641E9"/>
    <w:rsid w:val="002660F2"/>
    <w:rsid w:val="002664BB"/>
    <w:rsid w:val="00267317"/>
    <w:rsid w:val="002703AA"/>
    <w:rsid w:val="002707A2"/>
    <w:rsid w:val="00270FB6"/>
    <w:rsid w:val="002715B9"/>
    <w:rsid w:val="00273D8D"/>
    <w:rsid w:val="00281E93"/>
    <w:rsid w:val="002835A6"/>
    <w:rsid w:val="002844ED"/>
    <w:rsid w:val="00285C3E"/>
    <w:rsid w:val="00290EBC"/>
    <w:rsid w:val="002951A0"/>
    <w:rsid w:val="002960D8"/>
    <w:rsid w:val="002962BC"/>
    <w:rsid w:val="002A093D"/>
    <w:rsid w:val="002A0DC4"/>
    <w:rsid w:val="002A0DD0"/>
    <w:rsid w:val="002A2CDE"/>
    <w:rsid w:val="002A49AC"/>
    <w:rsid w:val="002A5BC8"/>
    <w:rsid w:val="002A64FD"/>
    <w:rsid w:val="002A6BBF"/>
    <w:rsid w:val="002B1E57"/>
    <w:rsid w:val="002B1F7F"/>
    <w:rsid w:val="002B290B"/>
    <w:rsid w:val="002B631F"/>
    <w:rsid w:val="002B6519"/>
    <w:rsid w:val="002B73B9"/>
    <w:rsid w:val="002C110E"/>
    <w:rsid w:val="002C379A"/>
    <w:rsid w:val="002C765E"/>
    <w:rsid w:val="002C7A84"/>
    <w:rsid w:val="002D0F6A"/>
    <w:rsid w:val="002D13A1"/>
    <w:rsid w:val="002D3F0D"/>
    <w:rsid w:val="002E1D98"/>
    <w:rsid w:val="002E2C3F"/>
    <w:rsid w:val="002E2F4F"/>
    <w:rsid w:val="002E4FD9"/>
    <w:rsid w:val="002E6F15"/>
    <w:rsid w:val="002F13FD"/>
    <w:rsid w:val="002F533E"/>
    <w:rsid w:val="00303544"/>
    <w:rsid w:val="003039C1"/>
    <w:rsid w:val="00310DBE"/>
    <w:rsid w:val="00311C99"/>
    <w:rsid w:val="0031430F"/>
    <w:rsid w:val="00320BBD"/>
    <w:rsid w:val="00322A85"/>
    <w:rsid w:val="003232A5"/>
    <w:rsid w:val="00324168"/>
    <w:rsid w:val="0033032A"/>
    <w:rsid w:val="0033213B"/>
    <w:rsid w:val="00333219"/>
    <w:rsid w:val="00334C6A"/>
    <w:rsid w:val="00336C05"/>
    <w:rsid w:val="00340983"/>
    <w:rsid w:val="00340C6A"/>
    <w:rsid w:val="00342675"/>
    <w:rsid w:val="00342A44"/>
    <w:rsid w:val="00342BFA"/>
    <w:rsid w:val="00343512"/>
    <w:rsid w:val="003448F4"/>
    <w:rsid w:val="00345112"/>
    <w:rsid w:val="00345330"/>
    <w:rsid w:val="003528DF"/>
    <w:rsid w:val="00352BE9"/>
    <w:rsid w:val="00352C12"/>
    <w:rsid w:val="003549BD"/>
    <w:rsid w:val="00354BCA"/>
    <w:rsid w:val="00354F33"/>
    <w:rsid w:val="003609F6"/>
    <w:rsid w:val="0036594E"/>
    <w:rsid w:val="003665EE"/>
    <w:rsid w:val="0037010E"/>
    <w:rsid w:val="00371EDF"/>
    <w:rsid w:val="003734F4"/>
    <w:rsid w:val="00374F5E"/>
    <w:rsid w:val="00377E2D"/>
    <w:rsid w:val="00377E3E"/>
    <w:rsid w:val="003815E8"/>
    <w:rsid w:val="00382B7C"/>
    <w:rsid w:val="00383902"/>
    <w:rsid w:val="003906F8"/>
    <w:rsid w:val="003907E7"/>
    <w:rsid w:val="003914FB"/>
    <w:rsid w:val="00392A49"/>
    <w:rsid w:val="003A035C"/>
    <w:rsid w:val="003A26D1"/>
    <w:rsid w:val="003A37AE"/>
    <w:rsid w:val="003A3B30"/>
    <w:rsid w:val="003A779E"/>
    <w:rsid w:val="003A7B6C"/>
    <w:rsid w:val="003B005A"/>
    <w:rsid w:val="003B0EAC"/>
    <w:rsid w:val="003C1BFE"/>
    <w:rsid w:val="003C1C0E"/>
    <w:rsid w:val="003C3FA5"/>
    <w:rsid w:val="003D0F4D"/>
    <w:rsid w:val="003D29CC"/>
    <w:rsid w:val="003D5B0D"/>
    <w:rsid w:val="003D66C4"/>
    <w:rsid w:val="003E0499"/>
    <w:rsid w:val="003E40F2"/>
    <w:rsid w:val="003E48BD"/>
    <w:rsid w:val="003E5EDF"/>
    <w:rsid w:val="003E60AE"/>
    <w:rsid w:val="003F3941"/>
    <w:rsid w:val="003F4BAF"/>
    <w:rsid w:val="00400676"/>
    <w:rsid w:val="004008A9"/>
    <w:rsid w:val="00405A3E"/>
    <w:rsid w:val="00406575"/>
    <w:rsid w:val="00407790"/>
    <w:rsid w:val="00407C75"/>
    <w:rsid w:val="00410906"/>
    <w:rsid w:val="00415077"/>
    <w:rsid w:val="0041655A"/>
    <w:rsid w:val="0041694B"/>
    <w:rsid w:val="00426FD7"/>
    <w:rsid w:val="0042722E"/>
    <w:rsid w:val="00427DA0"/>
    <w:rsid w:val="0043485F"/>
    <w:rsid w:val="00440391"/>
    <w:rsid w:val="00441FCF"/>
    <w:rsid w:val="00442AC3"/>
    <w:rsid w:val="00442C7F"/>
    <w:rsid w:val="0044528D"/>
    <w:rsid w:val="00447218"/>
    <w:rsid w:val="00450920"/>
    <w:rsid w:val="00454D48"/>
    <w:rsid w:val="004554F9"/>
    <w:rsid w:val="0046004D"/>
    <w:rsid w:val="004633DE"/>
    <w:rsid w:val="0046513D"/>
    <w:rsid w:val="00465E71"/>
    <w:rsid w:val="00470571"/>
    <w:rsid w:val="004710AF"/>
    <w:rsid w:val="004712E0"/>
    <w:rsid w:val="00471EFC"/>
    <w:rsid w:val="004734BD"/>
    <w:rsid w:val="00474931"/>
    <w:rsid w:val="00482608"/>
    <w:rsid w:val="00483749"/>
    <w:rsid w:val="00484809"/>
    <w:rsid w:val="00484BB1"/>
    <w:rsid w:val="004871C2"/>
    <w:rsid w:val="00492DC2"/>
    <w:rsid w:val="00494B08"/>
    <w:rsid w:val="004977B8"/>
    <w:rsid w:val="004A0980"/>
    <w:rsid w:val="004A0B8B"/>
    <w:rsid w:val="004A1847"/>
    <w:rsid w:val="004A305D"/>
    <w:rsid w:val="004A3312"/>
    <w:rsid w:val="004A6D9B"/>
    <w:rsid w:val="004B0CA2"/>
    <w:rsid w:val="004B6F2F"/>
    <w:rsid w:val="004B703F"/>
    <w:rsid w:val="004B740F"/>
    <w:rsid w:val="004C38BC"/>
    <w:rsid w:val="004C4B37"/>
    <w:rsid w:val="004D026D"/>
    <w:rsid w:val="004D3A9E"/>
    <w:rsid w:val="004D46AB"/>
    <w:rsid w:val="004D5998"/>
    <w:rsid w:val="004D657F"/>
    <w:rsid w:val="004E221E"/>
    <w:rsid w:val="004E2892"/>
    <w:rsid w:val="004E2BAE"/>
    <w:rsid w:val="004E4C0B"/>
    <w:rsid w:val="004E505B"/>
    <w:rsid w:val="004F21C4"/>
    <w:rsid w:val="004F2B72"/>
    <w:rsid w:val="004F3012"/>
    <w:rsid w:val="004F5559"/>
    <w:rsid w:val="004F5A86"/>
    <w:rsid w:val="004F685F"/>
    <w:rsid w:val="004F7EC9"/>
    <w:rsid w:val="00504CBE"/>
    <w:rsid w:val="00514598"/>
    <w:rsid w:val="00515557"/>
    <w:rsid w:val="00515E1E"/>
    <w:rsid w:val="005163B5"/>
    <w:rsid w:val="0052543A"/>
    <w:rsid w:val="00526AFE"/>
    <w:rsid w:val="0052785C"/>
    <w:rsid w:val="00533E1B"/>
    <w:rsid w:val="0054043A"/>
    <w:rsid w:val="00540C2D"/>
    <w:rsid w:val="00540EFF"/>
    <w:rsid w:val="00541685"/>
    <w:rsid w:val="00541793"/>
    <w:rsid w:val="005472FE"/>
    <w:rsid w:val="00552502"/>
    <w:rsid w:val="005566E8"/>
    <w:rsid w:val="00556D9F"/>
    <w:rsid w:val="0055774B"/>
    <w:rsid w:val="00560CB5"/>
    <w:rsid w:val="00564F8B"/>
    <w:rsid w:val="00570BC7"/>
    <w:rsid w:val="00570DE1"/>
    <w:rsid w:val="0057248B"/>
    <w:rsid w:val="00574122"/>
    <w:rsid w:val="00574867"/>
    <w:rsid w:val="0057702A"/>
    <w:rsid w:val="00577D09"/>
    <w:rsid w:val="00580387"/>
    <w:rsid w:val="0058087F"/>
    <w:rsid w:val="00591460"/>
    <w:rsid w:val="005921ED"/>
    <w:rsid w:val="00592628"/>
    <w:rsid w:val="00597C75"/>
    <w:rsid w:val="005A0868"/>
    <w:rsid w:val="005A0CFB"/>
    <w:rsid w:val="005A282F"/>
    <w:rsid w:val="005A2AC9"/>
    <w:rsid w:val="005A2D71"/>
    <w:rsid w:val="005A4FCC"/>
    <w:rsid w:val="005A7B33"/>
    <w:rsid w:val="005B2C3C"/>
    <w:rsid w:val="005B2CCE"/>
    <w:rsid w:val="005B496D"/>
    <w:rsid w:val="005B58C1"/>
    <w:rsid w:val="005B6033"/>
    <w:rsid w:val="005C053C"/>
    <w:rsid w:val="005C3777"/>
    <w:rsid w:val="005C3C16"/>
    <w:rsid w:val="005C5CDC"/>
    <w:rsid w:val="005C6939"/>
    <w:rsid w:val="005C7629"/>
    <w:rsid w:val="005D17C8"/>
    <w:rsid w:val="005D2649"/>
    <w:rsid w:val="005D2B2B"/>
    <w:rsid w:val="005D476C"/>
    <w:rsid w:val="005D5F91"/>
    <w:rsid w:val="005D7B25"/>
    <w:rsid w:val="005E13B6"/>
    <w:rsid w:val="005F0EE5"/>
    <w:rsid w:val="005F62C2"/>
    <w:rsid w:val="005F7C43"/>
    <w:rsid w:val="0060080C"/>
    <w:rsid w:val="00605004"/>
    <w:rsid w:val="00605A00"/>
    <w:rsid w:val="00610812"/>
    <w:rsid w:val="00612CE7"/>
    <w:rsid w:val="00615297"/>
    <w:rsid w:val="006219F8"/>
    <w:rsid w:val="006227AC"/>
    <w:rsid w:val="00622C6F"/>
    <w:rsid w:val="006238A0"/>
    <w:rsid w:val="00624567"/>
    <w:rsid w:val="0063165E"/>
    <w:rsid w:val="0063166A"/>
    <w:rsid w:val="00632C08"/>
    <w:rsid w:val="006336D6"/>
    <w:rsid w:val="00636BF8"/>
    <w:rsid w:val="00642DD4"/>
    <w:rsid w:val="00643577"/>
    <w:rsid w:val="00644072"/>
    <w:rsid w:val="00650FF7"/>
    <w:rsid w:val="006569FB"/>
    <w:rsid w:val="00662133"/>
    <w:rsid w:val="00662B5C"/>
    <w:rsid w:val="00664263"/>
    <w:rsid w:val="00664B4D"/>
    <w:rsid w:val="00665D70"/>
    <w:rsid w:val="0066674D"/>
    <w:rsid w:val="00667199"/>
    <w:rsid w:val="00671BD2"/>
    <w:rsid w:val="00671DAC"/>
    <w:rsid w:val="006747C7"/>
    <w:rsid w:val="006827AC"/>
    <w:rsid w:val="00682AD9"/>
    <w:rsid w:val="00684BFA"/>
    <w:rsid w:val="006859A3"/>
    <w:rsid w:val="00685A0D"/>
    <w:rsid w:val="006860DA"/>
    <w:rsid w:val="006900D9"/>
    <w:rsid w:val="00696999"/>
    <w:rsid w:val="006A0008"/>
    <w:rsid w:val="006A10DF"/>
    <w:rsid w:val="006A3147"/>
    <w:rsid w:val="006B0E15"/>
    <w:rsid w:val="006B3285"/>
    <w:rsid w:val="006C0240"/>
    <w:rsid w:val="006C1E81"/>
    <w:rsid w:val="006C2545"/>
    <w:rsid w:val="006C4F24"/>
    <w:rsid w:val="006C5595"/>
    <w:rsid w:val="006C6614"/>
    <w:rsid w:val="006C6CA5"/>
    <w:rsid w:val="006D071F"/>
    <w:rsid w:val="006D12F8"/>
    <w:rsid w:val="006D1BA4"/>
    <w:rsid w:val="006D58A7"/>
    <w:rsid w:val="006E52E5"/>
    <w:rsid w:val="006F0D40"/>
    <w:rsid w:val="006F1798"/>
    <w:rsid w:val="006F23A2"/>
    <w:rsid w:val="006F2501"/>
    <w:rsid w:val="006F6AAA"/>
    <w:rsid w:val="006F7C51"/>
    <w:rsid w:val="0070023F"/>
    <w:rsid w:val="00704D9B"/>
    <w:rsid w:val="00705E5F"/>
    <w:rsid w:val="00706793"/>
    <w:rsid w:val="00706C16"/>
    <w:rsid w:val="00711A1B"/>
    <w:rsid w:val="00711C85"/>
    <w:rsid w:val="0071287D"/>
    <w:rsid w:val="0071458F"/>
    <w:rsid w:val="0071627C"/>
    <w:rsid w:val="00717903"/>
    <w:rsid w:val="00723A7F"/>
    <w:rsid w:val="007312C3"/>
    <w:rsid w:val="00737127"/>
    <w:rsid w:val="00737C53"/>
    <w:rsid w:val="00737DFA"/>
    <w:rsid w:val="00741FE1"/>
    <w:rsid w:val="007429A1"/>
    <w:rsid w:val="00751A8E"/>
    <w:rsid w:val="00752A44"/>
    <w:rsid w:val="00752F37"/>
    <w:rsid w:val="0075663D"/>
    <w:rsid w:val="00756841"/>
    <w:rsid w:val="00762AA9"/>
    <w:rsid w:val="007649AB"/>
    <w:rsid w:val="00771D0C"/>
    <w:rsid w:val="00780DC1"/>
    <w:rsid w:val="007825B1"/>
    <w:rsid w:val="007833AC"/>
    <w:rsid w:val="0078358E"/>
    <w:rsid w:val="00784D58"/>
    <w:rsid w:val="0078648E"/>
    <w:rsid w:val="00786FBF"/>
    <w:rsid w:val="00790AB7"/>
    <w:rsid w:val="00791769"/>
    <w:rsid w:val="007922D3"/>
    <w:rsid w:val="00796340"/>
    <w:rsid w:val="007A23EA"/>
    <w:rsid w:val="007A5189"/>
    <w:rsid w:val="007A53ED"/>
    <w:rsid w:val="007A5796"/>
    <w:rsid w:val="007B0046"/>
    <w:rsid w:val="007B07B6"/>
    <w:rsid w:val="007B0D88"/>
    <w:rsid w:val="007B21D7"/>
    <w:rsid w:val="007B268C"/>
    <w:rsid w:val="007B59CE"/>
    <w:rsid w:val="007B5D8B"/>
    <w:rsid w:val="007B7171"/>
    <w:rsid w:val="007B7D02"/>
    <w:rsid w:val="007C0C0F"/>
    <w:rsid w:val="007C1E3A"/>
    <w:rsid w:val="007C3DC2"/>
    <w:rsid w:val="007D0457"/>
    <w:rsid w:val="007D1051"/>
    <w:rsid w:val="007D43C9"/>
    <w:rsid w:val="007E510B"/>
    <w:rsid w:val="007E5497"/>
    <w:rsid w:val="007F28CA"/>
    <w:rsid w:val="007F4DAD"/>
    <w:rsid w:val="007F52A4"/>
    <w:rsid w:val="007F60FB"/>
    <w:rsid w:val="007F7B94"/>
    <w:rsid w:val="00804981"/>
    <w:rsid w:val="00804BC0"/>
    <w:rsid w:val="008055C8"/>
    <w:rsid w:val="0080567E"/>
    <w:rsid w:val="00806F5F"/>
    <w:rsid w:val="008134A0"/>
    <w:rsid w:val="0081621D"/>
    <w:rsid w:val="008163D7"/>
    <w:rsid w:val="00820278"/>
    <w:rsid w:val="008202D9"/>
    <w:rsid w:val="00822BC7"/>
    <w:rsid w:val="0083282B"/>
    <w:rsid w:val="00834530"/>
    <w:rsid w:val="00834554"/>
    <w:rsid w:val="00834B31"/>
    <w:rsid w:val="00840ADC"/>
    <w:rsid w:val="00843BF7"/>
    <w:rsid w:val="00843CF8"/>
    <w:rsid w:val="0084479F"/>
    <w:rsid w:val="008449B3"/>
    <w:rsid w:val="00845869"/>
    <w:rsid w:val="00846276"/>
    <w:rsid w:val="00846F09"/>
    <w:rsid w:val="008507AB"/>
    <w:rsid w:val="00850E23"/>
    <w:rsid w:val="00851137"/>
    <w:rsid w:val="00853978"/>
    <w:rsid w:val="0085432F"/>
    <w:rsid w:val="00856E14"/>
    <w:rsid w:val="00864209"/>
    <w:rsid w:val="008647A2"/>
    <w:rsid w:val="0086568C"/>
    <w:rsid w:val="00866586"/>
    <w:rsid w:val="0087325B"/>
    <w:rsid w:val="00881ABA"/>
    <w:rsid w:val="00881F26"/>
    <w:rsid w:val="008843B6"/>
    <w:rsid w:val="00884709"/>
    <w:rsid w:val="00886C89"/>
    <w:rsid w:val="00891928"/>
    <w:rsid w:val="00891A89"/>
    <w:rsid w:val="00894B8B"/>
    <w:rsid w:val="0089556C"/>
    <w:rsid w:val="0089599E"/>
    <w:rsid w:val="00897635"/>
    <w:rsid w:val="008A00A4"/>
    <w:rsid w:val="008A24A2"/>
    <w:rsid w:val="008A446D"/>
    <w:rsid w:val="008A4709"/>
    <w:rsid w:val="008A6A36"/>
    <w:rsid w:val="008A7A64"/>
    <w:rsid w:val="008A7F08"/>
    <w:rsid w:val="008B2F0E"/>
    <w:rsid w:val="008B5A2E"/>
    <w:rsid w:val="008B5E4F"/>
    <w:rsid w:val="008C0F8E"/>
    <w:rsid w:val="008C6F30"/>
    <w:rsid w:val="008C7645"/>
    <w:rsid w:val="008C7651"/>
    <w:rsid w:val="008D180B"/>
    <w:rsid w:val="008D4D57"/>
    <w:rsid w:val="008D53B6"/>
    <w:rsid w:val="008D7227"/>
    <w:rsid w:val="008E1F92"/>
    <w:rsid w:val="008E7333"/>
    <w:rsid w:val="008E7B09"/>
    <w:rsid w:val="008F0322"/>
    <w:rsid w:val="008F0EA7"/>
    <w:rsid w:val="008F1F2A"/>
    <w:rsid w:val="008F2A3E"/>
    <w:rsid w:val="008F7BB9"/>
    <w:rsid w:val="009029F9"/>
    <w:rsid w:val="00904692"/>
    <w:rsid w:val="00910097"/>
    <w:rsid w:val="00911C7C"/>
    <w:rsid w:val="00913A75"/>
    <w:rsid w:val="00913DBA"/>
    <w:rsid w:val="0091561E"/>
    <w:rsid w:val="00916F1E"/>
    <w:rsid w:val="00923EEF"/>
    <w:rsid w:val="009316AD"/>
    <w:rsid w:val="009317CE"/>
    <w:rsid w:val="009348A6"/>
    <w:rsid w:val="009411F5"/>
    <w:rsid w:val="009419F9"/>
    <w:rsid w:val="009428FB"/>
    <w:rsid w:val="00953AA4"/>
    <w:rsid w:val="00955305"/>
    <w:rsid w:val="0095533A"/>
    <w:rsid w:val="0095685E"/>
    <w:rsid w:val="00956E12"/>
    <w:rsid w:val="009572D9"/>
    <w:rsid w:val="009600D2"/>
    <w:rsid w:val="00961409"/>
    <w:rsid w:val="00961B09"/>
    <w:rsid w:val="00962300"/>
    <w:rsid w:val="0096477F"/>
    <w:rsid w:val="00965334"/>
    <w:rsid w:val="00967DCC"/>
    <w:rsid w:val="0097093E"/>
    <w:rsid w:val="00971705"/>
    <w:rsid w:val="00971B6B"/>
    <w:rsid w:val="009754ED"/>
    <w:rsid w:val="00976025"/>
    <w:rsid w:val="00977A51"/>
    <w:rsid w:val="009800BE"/>
    <w:rsid w:val="00982BD4"/>
    <w:rsid w:val="00982E41"/>
    <w:rsid w:val="00983862"/>
    <w:rsid w:val="00983F4C"/>
    <w:rsid w:val="009840FB"/>
    <w:rsid w:val="00984649"/>
    <w:rsid w:val="009858BE"/>
    <w:rsid w:val="00987FE0"/>
    <w:rsid w:val="009A0DFA"/>
    <w:rsid w:val="009A3C2C"/>
    <w:rsid w:val="009A3E6E"/>
    <w:rsid w:val="009A4A40"/>
    <w:rsid w:val="009A6D43"/>
    <w:rsid w:val="009B2D26"/>
    <w:rsid w:val="009B3AB8"/>
    <w:rsid w:val="009B7154"/>
    <w:rsid w:val="009B780F"/>
    <w:rsid w:val="009C00CC"/>
    <w:rsid w:val="009C0C09"/>
    <w:rsid w:val="009C2DD0"/>
    <w:rsid w:val="009C3AC7"/>
    <w:rsid w:val="009C699C"/>
    <w:rsid w:val="009C71FA"/>
    <w:rsid w:val="009C72E7"/>
    <w:rsid w:val="009C73ED"/>
    <w:rsid w:val="009D0555"/>
    <w:rsid w:val="009D3058"/>
    <w:rsid w:val="009D3A11"/>
    <w:rsid w:val="009D44C4"/>
    <w:rsid w:val="009D67FD"/>
    <w:rsid w:val="009E0749"/>
    <w:rsid w:val="009E1B49"/>
    <w:rsid w:val="009E5A30"/>
    <w:rsid w:val="009E6C11"/>
    <w:rsid w:val="009E7C05"/>
    <w:rsid w:val="009F3831"/>
    <w:rsid w:val="009F3832"/>
    <w:rsid w:val="009F3A13"/>
    <w:rsid w:val="009F4AB2"/>
    <w:rsid w:val="009F73F7"/>
    <w:rsid w:val="00A02465"/>
    <w:rsid w:val="00A03415"/>
    <w:rsid w:val="00A04A81"/>
    <w:rsid w:val="00A0648A"/>
    <w:rsid w:val="00A07512"/>
    <w:rsid w:val="00A122D3"/>
    <w:rsid w:val="00A14D3D"/>
    <w:rsid w:val="00A17F13"/>
    <w:rsid w:val="00A20739"/>
    <w:rsid w:val="00A211D0"/>
    <w:rsid w:val="00A23361"/>
    <w:rsid w:val="00A23641"/>
    <w:rsid w:val="00A24433"/>
    <w:rsid w:val="00A2443A"/>
    <w:rsid w:val="00A246FA"/>
    <w:rsid w:val="00A30929"/>
    <w:rsid w:val="00A31586"/>
    <w:rsid w:val="00A332DD"/>
    <w:rsid w:val="00A3385D"/>
    <w:rsid w:val="00A339A9"/>
    <w:rsid w:val="00A33C78"/>
    <w:rsid w:val="00A34B38"/>
    <w:rsid w:val="00A34D87"/>
    <w:rsid w:val="00A35538"/>
    <w:rsid w:val="00A37BC4"/>
    <w:rsid w:val="00A42050"/>
    <w:rsid w:val="00A43292"/>
    <w:rsid w:val="00A4412E"/>
    <w:rsid w:val="00A445C0"/>
    <w:rsid w:val="00A46386"/>
    <w:rsid w:val="00A466EE"/>
    <w:rsid w:val="00A47864"/>
    <w:rsid w:val="00A50D51"/>
    <w:rsid w:val="00A50E16"/>
    <w:rsid w:val="00A5276C"/>
    <w:rsid w:val="00A56FCA"/>
    <w:rsid w:val="00A57E20"/>
    <w:rsid w:val="00A6004A"/>
    <w:rsid w:val="00A613C2"/>
    <w:rsid w:val="00A74DE6"/>
    <w:rsid w:val="00A75392"/>
    <w:rsid w:val="00A8086A"/>
    <w:rsid w:val="00A80F32"/>
    <w:rsid w:val="00A87F7D"/>
    <w:rsid w:val="00A9244C"/>
    <w:rsid w:val="00A94D14"/>
    <w:rsid w:val="00AA5784"/>
    <w:rsid w:val="00AB0ADB"/>
    <w:rsid w:val="00AB3FD1"/>
    <w:rsid w:val="00AB6C82"/>
    <w:rsid w:val="00AC0EAB"/>
    <w:rsid w:val="00AC1435"/>
    <w:rsid w:val="00AC39B6"/>
    <w:rsid w:val="00AC4701"/>
    <w:rsid w:val="00AC49A2"/>
    <w:rsid w:val="00AC6FA5"/>
    <w:rsid w:val="00AD4A24"/>
    <w:rsid w:val="00AD73E2"/>
    <w:rsid w:val="00AE2631"/>
    <w:rsid w:val="00AF1BEC"/>
    <w:rsid w:val="00B009B8"/>
    <w:rsid w:val="00B01B1A"/>
    <w:rsid w:val="00B109FC"/>
    <w:rsid w:val="00B14E03"/>
    <w:rsid w:val="00B225EE"/>
    <w:rsid w:val="00B24457"/>
    <w:rsid w:val="00B26B98"/>
    <w:rsid w:val="00B26F3E"/>
    <w:rsid w:val="00B301CC"/>
    <w:rsid w:val="00B306A0"/>
    <w:rsid w:val="00B31124"/>
    <w:rsid w:val="00B32E97"/>
    <w:rsid w:val="00B35ADC"/>
    <w:rsid w:val="00B37C24"/>
    <w:rsid w:val="00B40FBC"/>
    <w:rsid w:val="00B46F27"/>
    <w:rsid w:val="00B47FD7"/>
    <w:rsid w:val="00B50B0E"/>
    <w:rsid w:val="00B51F75"/>
    <w:rsid w:val="00B52CDB"/>
    <w:rsid w:val="00B53E27"/>
    <w:rsid w:val="00B53EE8"/>
    <w:rsid w:val="00B54F01"/>
    <w:rsid w:val="00B558AF"/>
    <w:rsid w:val="00B6105C"/>
    <w:rsid w:val="00B615BA"/>
    <w:rsid w:val="00B62D8B"/>
    <w:rsid w:val="00B72CD3"/>
    <w:rsid w:val="00B72FFF"/>
    <w:rsid w:val="00B76CEB"/>
    <w:rsid w:val="00B81466"/>
    <w:rsid w:val="00B8257D"/>
    <w:rsid w:val="00B828EF"/>
    <w:rsid w:val="00B82B8B"/>
    <w:rsid w:val="00B86FE2"/>
    <w:rsid w:val="00B87278"/>
    <w:rsid w:val="00B878ED"/>
    <w:rsid w:val="00B87F69"/>
    <w:rsid w:val="00B91186"/>
    <w:rsid w:val="00B92B4F"/>
    <w:rsid w:val="00B93423"/>
    <w:rsid w:val="00BA2EF4"/>
    <w:rsid w:val="00BA51C0"/>
    <w:rsid w:val="00BB08C0"/>
    <w:rsid w:val="00BC0036"/>
    <w:rsid w:val="00BC05A6"/>
    <w:rsid w:val="00BC34E2"/>
    <w:rsid w:val="00BC3D36"/>
    <w:rsid w:val="00BC4B34"/>
    <w:rsid w:val="00BC7DBD"/>
    <w:rsid w:val="00BD3612"/>
    <w:rsid w:val="00BD7F72"/>
    <w:rsid w:val="00BE03BC"/>
    <w:rsid w:val="00BE0A18"/>
    <w:rsid w:val="00BE0B3D"/>
    <w:rsid w:val="00BE12F9"/>
    <w:rsid w:val="00BE175E"/>
    <w:rsid w:val="00BE2120"/>
    <w:rsid w:val="00BF0E12"/>
    <w:rsid w:val="00BF1201"/>
    <w:rsid w:val="00BF1D4A"/>
    <w:rsid w:val="00BF20DB"/>
    <w:rsid w:val="00BF230F"/>
    <w:rsid w:val="00BF6160"/>
    <w:rsid w:val="00C002E3"/>
    <w:rsid w:val="00C012CC"/>
    <w:rsid w:val="00C04FB3"/>
    <w:rsid w:val="00C05CB5"/>
    <w:rsid w:val="00C10179"/>
    <w:rsid w:val="00C10FA6"/>
    <w:rsid w:val="00C147D0"/>
    <w:rsid w:val="00C159C1"/>
    <w:rsid w:val="00C16346"/>
    <w:rsid w:val="00C20438"/>
    <w:rsid w:val="00C21B15"/>
    <w:rsid w:val="00C30417"/>
    <w:rsid w:val="00C32523"/>
    <w:rsid w:val="00C32EE5"/>
    <w:rsid w:val="00C330EB"/>
    <w:rsid w:val="00C371C9"/>
    <w:rsid w:val="00C40E9F"/>
    <w:rsid w:val="00C41481"/>
    <w:rsid w:val="00C41B23"/>
    <w:rsid w:val="00C42469"/>
    <w:rsid w:val="00C43FB6"/>
    <w:rsid w:val="00C46D91"/>
    <w:rsid w:val="00C47A07"/>
    <w:rsid w:val="00C56FFF"/>
    <w:rsid w:val="00C57281"/>
    <w:rsid w:val="00C65D65"/>
    <w:rsid w:val="00C67703"/>
    <w:rsid w:val="00C7173F"/>
    <w:rsid w:val="00C730B6"/>
    <w:rsid w:val="00C754BE"/>
    <w:rsid w:val="00C76466"/>
    <w:rsid w:val="00C76B1C"/>
    <w:rsid w:val="00C84561"/>
    <w:rsid w:val="00C915DD"/>
    <w:rsid w:val="00C91B94"/>
    <w:rsid w:val="00CA0756"/>
    <w:rsid w:val="00CA6A9D"/>
    <w:rsid w:val="00CA7F6B"/>
    <w:rsid w:val="00CA7FB6"/>
    <w:rsid w:val="00CB6357"/>
    <w:rsid w:val="00CB6BA4"/>
    <w:rsid w:val="00CC0FA3"/>
    <w:rsid w:val="00CC1B26"/>
    <w:rsid w:val="00CC49F7"/>
    <w:rsid w:val="00CC54DB"/>
    <w:rsid w:val="00CC618F"/>
    <w:rsid w:val="00CC733A"/>
    <w:rsid w:val="00CD087D"/>
    <w:rsid w:val="00CD41CB"/>
    <w:rsid w:val="00CD5EE0"/>
    <w:rsid w:val="00CE3676"/>
    <w:rsid w:val="00CE41B0"/>
    <w:rsid w:val="00CE509A"/>
    <w:rsid w:val="00CE5414"/>
    <w:rsid w:val="00CE5FAA"/>
    <w:rsid w:val="00CF1121"/>
    <w:rsid w:val="00CF1287"/>
    <w:rsid w:val="00CF4860"/>
    <w:rsid w:val="00CF50A3"/>
    <w:rsid w:val="00CF5D8C"/>
    <w:rsid w:val="00CF77E1"/>
    <w:rsid w:val="00CF7826"/>
    <w:rsid w:val="00D0157A"/>
    <w:rsid w:val="00D023B7"/>
    <w:rsid w:val="00D036D8"/>
    <w:rsid w:val="00D038ED"/>
    <w:rsid w:val="00D06D26"/>
    <w:rsid w:val="00D103CF"/>
    <w:rsid w:val="00D10B75"/>
    <w:rsid w:val="00D13351"/>
    <w:rsid w:val="00D15E25"/>
    <w:rsid w:val="00D20368"/>
    <w:rsid w:val="00D21D0B"/>
    <w:rsid w:val="00D221FC"/>
    <w:rsid w:val="00D22361"/>
    <w:rsid w:val="00D22598"/>
    <w:rsid w:val="00D23BF1"/>
    <w:rsid w:val="00D26924"/>
    <w:rsid w:val="00D3404A"/>
    <w:rsid w:val="00D345EC"/>
    <w:rsid w:val="00D413F6"/>
    <w:rsid w:val="00D4231B"/>
    <w:rsid w:val="00D423A2"/>
    <w:rsid w:val="00D42EEE"/>
    <w:rsid w:val="00D50708"/>
    <w:rsid w:val="00D520D8"/>
    <w:rsid w:val="00D52961"/>
    <w:rsid w:val="00D53515"/>
    <w:rsid w:val="00D55048"/>
    <w:rsid w:val="00D55978"/>
    <w:rsid w:val="00D57FA4"/>
    <w:rsid w:val="00D62DE7"/>
    <w:rsid w:val="00D636AC"/>
    <w:rsid w:val="00D63AC2"/>
    <w:rsid w:val="00D665B4"/>
    <w:rsid w:val="00D67D09"/>
    <w:rsid w:val="00D7383B"/>
    <w:rsid w:val="00D7460A"/>
    <w:rsid w:val="00D7609E"/>
    <w:rsid w:val="00D81A63"/>
    <w:rsid w:val="00D81D25"/>
    <w:rsid w:val="00D85C60"/>
    <w:rsid w:val="00D908FC"/>
    <w:rsid w:val="00D90FFF"/>
    <w:rsid w:val="00D94C40"/>
    <w:rsid w:val="00DA215A"/>
    <w:rsid w:val="00DA231B"/>
    <w:rsid w:val="00DA23A0"/>
    <w:rsid w:val="00DA2DB3"/>
    <w:rsid w:val="00DA7F66"/>
    <w:rsid w:val="00DB186F"/>
    <w:rsid w:val="00DB322A"/>
    <w:rsid w:val="00DB67C9"/>
    <w:rsid w:val="00DC1356"/>
    <w:rsid w:val="00DC1E5D"/>
    <w:rsid w:val="00DC39FC"/>
    <w:rsid w:val="00DC4385"/>
    <w:rsid w:val="00DC484F"/>
    <w:rsid w:val="00DC4C27"/>
    <w:rsid w:val="00DC51BC"/>
    <w:rsid w:val="00DC793F"/>
    <w:rsid w:val="00DE1402"/>
    <w:rsid w:val="00DE4629"/>
    <w:rsid w:val="00DF11FD"/>
    <w:rsid w:val="00DF32B9"/>
    <w:rsid w:val="00DF5254"/>
    <w:rsid w:val="00E10B04"/>
    <w:rsid w:val="00E12426"/>
    <w:rsid w:val="00E12432"/>
    <w:rsid w:val="00E16408"/>
    <w:rsid w:val="00E1678E"/>
    <w:rsid w:val="00E17A50"/>
    <w:rsid w:val="00E2011B"/>
    <w:rsid w:val="00E2060E"/>
    <w:rsid w:val="00E20894"/>
    <w:rsid w:val="00E2345F"/>
    <w:rsid w:val="00E245AB"/>
    <w:rsid w:val="00E25729"/>
    <w:rsid w:val="00E26239"/>
    <w:rsid w:val="00E2764C"/>
    <w:rsid w:val="00E27F2E"/>
    <w:rsid w:val="00E34597"/>
    <w:rsid w:val="00E377A2"/>
    <w:rsid w:val="00E40FA9"/>
    <w:rsid w:val="00E413EA"/>
    <w:rsid w:val="00E42046"/>
    <w:rsid w:val="00E43D13"/>
    <w:rsid w:val="00E47F28"/>
    <w:rsid w:val="00E50AFE"/>
    <w:rsid w:val="00E52E49"/>
    <w:rsid w:val="00E577AC"/>
    <w:rsid w:val="00E578B6"/>
    <w:rsid w:val="00E61547"/>
    <w:rsid w:val="00E61702"/>
    <w:rsid w:val="00E744BA"/>
    <w:rsid w:val="00E75B66"/>
    <w:rsid w:val="00E75C92"/>
    <w:rsid w:val="00E761BC"/>
    <w:rsid w:val="00E76808"/>
    <w:rsid w:val="00E770CD"/>
    <w:rsid w:val="00E771DC"/>
    <w:rsid w:val="00E77478"/>
    <w:rsid w:val="00E77E1B"/>
    <w:rsid w:val="00E8013F"/>
    <w:rsid w:val="00E80C9F"/>
    <w:rsid w:val="00E844D9"/>
    <w:rsid w:val="00E847D2"/>
    <w:rsid w:val="00E85A9C"/>
    <w:rsid w:val="00E85AA8"/>
    <w:rsid w:val="00E870E5"/>
    <w:rsid w:val="00E875F3"/>
    <w:rsid w:val="00E8772A"/>
    <w:rsid w:val="00E90F6B"/>
    <w:rsid w:val="00E91079"/>
    <w:rsid w:val="00E92C27"/>
    <w:rsid w:val="00E92E10"/>
    <w:rsid w:val="00EA0E3D"/>
    <w:rsid w:val="00EA1B99"/>
    <w:rsid w:val="00EA1CD8"/>
    <w:rsid w:val="00EA393B"/>
    <w:rsid w:val="00EA39A5"/>
    <w:rsid w:val="00EA5980"/>
    <w:rsid w:val="00EB185D"/>
    <w:rsid w:val="00EB2C4B"/>
    <w:rsid w:val="00EB5836"/>
    <w:rsid w:val="00EB5F37"/>
    <w:rsid w:val="00EB7E00"/>
    <w:rsid w:val="00EC0E3F"/>
    <w:rsid w:val="00EC1A2C"/>
    <w:rsid w:val="00EC1FE1"/>
    <w:rsid w:val="00EC38A7"/>
    <w:rsid w:val="00EC7542"/>
    <w:rsid w:val="00ED042A"/>
    <w:rsid w:val="00ED0D4A"/>
    <w:rsid w:val="00ED2B7C"/>
    <w:rsid w:val="00ED77BC"/>
    <w:rsid w:val="00EE0D83"/>
    <w:rsid w:val="00EE1AA8"/>
    <w:rsid w:val="00EE75A1"/>
    <w:rsid w:val="00EF26C3"/>
    <w:rsid w:val="00EF2BF3"/>
    <w:rsid w:val="00EF419E"/>
    <w:rsid w:val="00EF489F"/>
    <w:rsid w:val="00EF753D"/>
    <w:rsid w:val="00F07875"/>
    <w:rsid w:val="00F11213"/>
    <w:rsid w:val="00F11BAA"/>
    <w:rsid w:val="00F1445A"/>
    <w:rsid w:val="00F177C1"/>
    <w:rsid w:val="00F23592"/>
    <w:rsid w:val="00F238F2"/>
    <w:rsid w:val="00F260AA"/>
    <w:rsid w:val="00F27B26"/>
    <w:rsid w:val="00F31EDC"/>
    <w:rsid w:val="00F34D02"/>
    <w:rsid w:val="00F34E84"/>
    <w:rsid w:val="00F40BAD"/>
    <w:rsid w:val="00F410B6"/>
    <w:rsid w:val="00F4491A"/>
    <w:rsid w:val="00F462B3"/>
    <w:rsid w:val="00F51119"/>
    <w:rsid w:val="00F5184B"/>
    <w:rsid w:val="00F5261F"/>
    <w:rsid w:val="00F55081"/>
    <w:rsid w:val="00F55168"/>
    <w:rsid w:val="00F5664F"/>
    <w:rsid w:val="00F626C4"/>
    <w:rsid w:val="00F62A57"/>
    <w:rsid w:val="00F64D9E"/>
    <w:rsid w:val="00F665D0"/>
    <w:rsid w:val="00F666C4"/>
    <w:rsid w:val="00F7684C"/>
    <w:rsid w:val="00F76AFC"/>
    <w:rsid w:val="00F80CBE"/>
    <w:rsid w:val="00F85198"/>
    <w:rsid w:val="00F85A91"/>
    <w:rsid w:val="00F87AB9"/>
    <w:rsid w:val="00F926BB"/>
    <w:rsid w:val="00F939CB"/>
    <w:rsid w:val="00F9479C"/>
    <w:rsid w:val="00F965EE"/>
    <w:rsid w:val="00F97949"/>
    <w:rsid w:val="00FA0A8F"/>
    <w:rsid w:val="00FA1110"/>
    <w:rsid w:val="00FA358D"/>
    <w:rsid w:val="00FA47C0"/>
    <w:rsid w:val="00FA52E6"/>
    <w:rsid w:val="00FB1396"/>
    <w:rsid w:val="00FB3224"/>
    <w:rsid w:val="00FB4425"/>
    <w:rsid w:val="00FB4C06"/>
    <w:rsid w:val="00FB5615"/>
    <w:rsid w:val="00FB5DD1"/>
    <w:rsid w:val="00FB5F87"/>
    <w:rsid w:val="00FC07B5"/>
    <w:rsid w:val="00FC2B5D"/>
    <w:rsid w:val="00FC377E"/>
    <w:rsid w:val="00FC7D35"/>
    <w:rsid w:val="00FD00E9"/>
    <w:rsid w:val="00FD03E3"/>
    <w:rsid w:val="00FD07E4"/>
    <w:rsid w:val="00FD2400"/>
    <w:rsid w:val="00FE122A"/>
    <w:rsid w:val="00FE20E6"/>
    <w:rsid w:val="00FE42B3"/>
    <w:rsid w:val="00FE5975"/>
    <w:rsid w:val="00FE5BB1"/>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72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paragraph" w:styleId="Sinespaciado">
    <w:name w:val="No Spacing"/>
    <w:uiPriority w:val="1"/>
    <w:qFormat/>
    <w:rsid w:val="00191775"/>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1546">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4344376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0542314">
      <w:bodyDiv w:val="1"/>
      <w:marLeft w:val="0"/>
      <w:marRight w:val="0"/>
      <w:marTop w:val="0"/>
      <w:marBottom w:val="0"/>
      <w:divBdr>
        <w:top w:val="none" w:sz="0" w:space="0" w:color="auto"/>
        <w:left w:val="none" w:sz="0" w:space="0" w:color="auto"/>
        <w:bottom w:val="none" w:sz="0" w:space="0" w:color="auto"/>
        <w:right w:val="none" w:sz="0" w:space="0" w:color="auto"/>
      </w:divBdr>
      <w:divsChild>
        <w:div w:id="961616185">
          <w:marLeft w:val="0"/>
          <w:marRight w:val="0"/>
          <w:marTop w:val="0"/>
          <w:marBottom w:val="0"/>
          <w:divBdr>
            <w:top w:val="none" w:sz="0" w:space="0" w:color="auto"/>
            <w:left w:val="none" w:sz="0" w:space="0" w:color="auto"/>
            <w:bottom w:val="none" w:sz="0" w:space="0" w:color="auto"/>
            <w:right w:val="none" w:sz="0" w:space="0" w:color="auto"/>
          </w:divBdr>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01416367">
      <w:bodyDiv w:val="1"/>
      <w:marLeft w:val="0"/>
      <w:marRight w:val="0"/>
      <w:marTop w:val="0"/>
      <w:marBottom w:val="0"/>
      <w:divBdr>
        <w:top w:val="none" w:sz="0" w:space="0" w:color="auto"/>
        <w:left w:val="none" w:sz="0" w:space="0" w:color="auto"/>
        <w:bottom w:val="none" w:sz="0" w:space="0" w:color="auto"/>
        <w:right w:val="none" w:sz="0" w:space="0" w:color="auto"/>
      </w:divBdr>
      <w:divsChild>
        <w:div w:id="204996968">
          <w:marLeft w:val="0"/>
          <w:marRight w:val="0"/>
          <w:marTop w:val="0"/>
          <w:marBottom w:val="0"/>
          <w:divBdr>
            <w:top w:val="none" w:sz="0" w:space="0" w:color="auto"/>
            <w:left w:val="none" w:sz="0" w:space="0" w:color="auto"/>
            <w:bottom w:val="none" w:sz="0" w:space="0" w:color="auto"/>
            <w:right w:val="none" w:sz="0" w:space="0" w:color="auto"/>
          </w:divBdr>
        </w:div>
        <w:div w:id="1836459864">
          <w:marLeft w:val="0"/>
          <w:marRight w:val="0"/>
          <w:marTop w:val="0"/>
          <w:marBottom w:val="0"/>
          <w:divBdr>
            <w:top w:val="none" w:sz="0" w:space="0" w:color="auto"/>
            <w:left w:val="none" w:sz="0" w:space="0" w:color="auto"/>
            <w:bottom w:val="none" w:sz="0" w:space="0" w:color="auto"/>
            <w:right w:val="none" w:sz="0" w:space="0" w:color="auto"/>
          </w:divBdr>
        </w:div>
        <w:div w:id="1566531369">
          <w:marLeft w:val="0"/>
          <w:marRight w:val="0"/>
          <w:marTop w:val="0"/>
          <w:marBottom w:val="0"/>
          <w:divBdr>
            <w:top w:val="none" w:sz="0" w:space="0" w:color="auto"/>
            <w:left w:val="none" w:sz="0" w:space="0" w:color="auto"/>
            <w:bottom w:val="none" w:sz="0" w:space="0" w:color="auto"/>
            <w:right w:val="none" w:sz="0" w:space="0" w:color="auto"/>
          </w:divBdr>
        </w:div>
        <w:div w:id="1011765108">
          <w:marLeft w:val="0"/>
          <w:marRight w:val="0"/>
          <w:marTop w:val="0"/>
          <w:marBottom w:val="0"/>
          <w:divBdr>
            <w:top w:val="none" w:sz="0" w:space="0" w:color="auto"/>
            <w:left w:val="none" w:sz="0" w:space="0" w:color="auto"/>
            <w:bottom w:val="none" w:sz="0" w:space="0" w:color="auto"/>
            <w:right w:val="none" w:sz="0" w:space="0" w:color="auto"/>
          </w:divBdr>
        </w:div>
        <w:div w:id="829367818">
          <w:marLeft w:val="0"/>
          <w:marRight w:val="0"/>
          <w:marTop w:val="0"/>
          <w:marBottom w:val="0"/>
          <w:divBdr>
            <w:top w:val="none" w:sz="0" w:space="0" w:color="auto"/>
            <w:left w:val="none" w:sz="0" w:space="0" w:color="auto"/>
            <w:bottom w:val="none" w:sz="0" w:space="0" w:color="auto"/>
            <w:right w:val="none" w:sz="0" w:space="0" w:color="auto"/>
          </w:divBdr>
        </w:div>
        <w:div w:id="1757360603">
          <w:marLeft w:val="0"/>
          <w:marRight w:val="0"/>
          <w:marTop w:val="0"/>
          <w:marBottom w:val="0"/>
          <w:divBdr>
            <w:top w:val="none" w:sz="0" w:space="0" w:color="auto"/>
            <w:left w:val="none" w:sz="0" w:space="0" w:color="auto"/>
            <w:bottom w:val="none" w:sz="0" w:space="0" w:color="auto"/>
            <w:right w:val="none" w:sz="0" w:space="0" w:color="auto"/>
          </w:divBdr>
        </w:div>
        <w:div w:id="1039554677">
          <w:marLeft w:val="0"/>
          <w:marRight w:val="0"/>
          <w:marTop w:val="0"/>
          <w:marBottom w:val="0"/>
          <w:divBdr>
            <w:top w:val="none" w:sz="0" w:space="0" w:color="auto"/>
            <w:left w:val="none" w:sz="0" w:space="0" w:color="auto"/>
            <w:bottom w:val="none" w:sz="0" w:space="0" w:color="auto"/>
            <w:right w:val="none" w:sz="0" w:space="0" w:color="auto"/>
          </w:divBdr>
        </w:div>
        <w:div w:id="705377631">
          <w:marLeft w:val="0"/>
          <w:marRight w:val="0"/>
          <w:marTop w:val="0"/>
          <w:marBottom w:val="0"/>
          <w:divBdr>
            <w:top w:val="none" w:sz="0" w:space="0" w:color="auto"/>
            <w:left w:val="none" w:sz="0" w:space="0" w:color="auto"/>
            <w:bottom w:val="none" w:sz="0" w:space="0" w:color="auto"/>
            <w:right w:val="none" w:sz="0" w:space="0" w:color="auto"/>
          </w:divBdr>
        </w:div>
        <w:div w:id="657995542">
          <w:marLeft w:val="0"/>
          <w:marRight w:val="0"/>
          <w:marTop w:val="0"/>
          <w:marBottom w:val="0"/>
          <w:divBdr>
            <w:top w:val="none" w:sz="0" w:space="0" w:color="auto"/>
            <w:left w:val="none" w:sz="0" w:space="0" w:color="auto"/>
            <w:bottom w:val="none" w:sz="0" w:space="0" w:color="auto"/>
            <w:right w:val="none" w:sz="0" w:space="0" w:color="auto"/>
          </w:divBdr>
        </w:div>
        <w:div w:id="1392263624">
          <w:marLeft w:val="0"/>
          <w:marRight w:val="0"/>
          <w:marTop w:val="0"/>
          <w:marBottom w:val="0"/>
          <w:divBdr>
            <w:top w:val="none" w:sz="0" w:space="0" w:color="auto"/>
            <w:left w:val="none" w:sz="0" w:space="0" w:color="auto"/>
            <w:bottom w:val="none" w:sz="0" w:space="0" w:color="auto"/>
            <w:right w:val="none" w:sz="0" w:space="0" w:color="auto"/>
          </w:divBdr>
        </w:div>
      </w:divsChild>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8281915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48216786">
      <w:bodyDiv w:val="1"/>
      <w:marLeft w:val="0"/>
      <w:marRight w:val="0"/>
      <w:marTop w:val="0"/>
      <w:marBottom w:val="0"/>
      <w:divBdr>
        <w:top w:val="none" w:sz="0" w:space="0" w:color="auto"/>
        <w:left w:val="none" w:sz="0" w:space="0" w:color="auto"/>
        <w:bottom w:val="none" w:sz="0" w:space="0" w:color="auto"/>
        <w:right w:val="none" w:sz="0" w:space="0" w:color="auto"/>
      </w:divBdr>
    </w:div>
    <w:div w:id="1362366812">
      <w:bodyDiv w:val="1"/>
      <w:marLeft w:val="0"/>
      <w:marRight w:val="0"/>
      <w:marTop w:val="0"/>
      <w:marBottom w:val="0"/>
      <w:divBdr>
        <w:top w:val="none" w:sz="0" w:space="0" w:color="auto"/>
        <w:left w:val="none" w:sz="0" w:space="0" w:color="auto"/>
        <w:bottom w:val="none" w:sz="0" w:space="0" w:color="auto"/>
        <w:right w:val="none" w:sz="0" w:space="0" w:color="auto"/>
      </w:divBdr>
      <w:divsChild>
        <w:div w:id="1933707204">
          <w:marLeft w:val="0"/>
          <w:marRight w:val="0"/>
          <w:marTop w:val="0"/>
          <w:marBottom w:val="0"/>
          <w:divBdr>
            <w:top w:val="none" w:sz="0" w:space="0" w:color="auto"/>
            <w:left w:val="none" w:sz="0" w:space="0" w:color="auto"/>
            <w:bottom w:val="none" w:sz="0" w:space="0" w:color="auto"/>
            <w:right w:val="none" w:sz="0" w:space="0" w:color="auto"/>
          </w:divBdr>
        </w:div>
        <w:div w:id="2124493292">
          <w:marLeft w:val="0"/>
          <w:marRight w:val="0"/>
          <w:marTop w:val="0"/>
          <w:marBottom w:val="0"/>
          <w:divBdr>
            <w:top w:val="none" w:sz="0" w:space="0" w:color="auto"/>
            <w:left w:val="none" w:sz="0" w:space="0" w:color="auto"/>
            <w:bottom w:val="none" w:sz="0" w:space="0" w:color="auto"/>
            <w:right w:val="none" w:sz="0" w:space="0" w:color="auto"/>
          </w:divBdr>
        </w:div>
        <w:div w:id="993290630">
          <w:marLeft w:val="0"/>
          <w:marRight w:val="0"/>
          <w:marTop w:val="0"/>
          <w:marBottom w:val="0"/>
          <w:divBdr>
            <w:top w:val="none" w:sz="0" w:space="0" w:color="auto"/>
            <w:left w:val="none" w:sz="0" w:space="0" w:color="auto"/>
            <w:bottom w:val="none" w:sz="0" w:space="0" w:color="auto"/>
            <w:right w:val="none" w:sz="0" w:space="0" w:color="auto"/>
          </w:divBdr>
        </w:div>
      </w:divsChild>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561134819">
      <w:bodyDiv w:val="1"/>
      <w:marLeft w:val="0"/>
      <w:marRight w:val="0"/>
      <w:marTop w:val="0"/>
      <w:marBottom w:val="0"/>
      <w:divBdr>
        <w:top w:val="none" w:sz="0" w:space="0" w:color="auto"/>
        <w:left w:val="none" w:sz="0" w:space="0" w:color="auto"/>
        <w:bottom w:val="none" w:sz="0" w:space="0" w:color="auto"/>
        <w:right w:val="none" w:sz="0" w:space="0" w:color="auto"/>
      </w:divBdr>
      <w:divsChild>
        <w:div w:id="854223492">
          <w:marLeft w:val="0"/>
          <w:marRight w:val="0"/>
          <w:marTop w:val="0"/>
          <w:marBottom w:val="0"/>
          <w:divBdr>
            <w:top w:val="none" w:sz="0" w:space="0" w:color="auto"/>
            <w:left w:val="none" w:sz="0" w:space="0" w:color="auto"/>
            <w:bottom w:val="none" w:sz="0" w:space="0" w:color="auto"/>
            <w:right w:val="none" w:sz="0" w:space="0" w:color="auto"/>
          </w:divBdr>
        </w:div>
        <w:div w:id="2102289317">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1963146418">
      <w:bodyDiv w:val="1"/>
      <w:marLeft w:val="0"/>
      <w:marRight w:val="0"/>
      <w:marTop w:val="0"/>
      <w:marBottom w:val="0"/>
      <w:divBdr>
        <w:top w:val="none" w:sz="0" w:space="0" w:color="auto"/>
        <w:left w:val="none" w:sz="0" w:space="0" w:color="auto"/>
        <w:bottom w:val="none" w:sz="0" w:space="0" w:color="auto"/>
        <w:right w:val="none" w:sz="0" w:space="0" w:color="auto"/>
      </w:divBdr>
    </w:div>
    <w:div w:id="198882665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172265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ana.sarapachon2@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dpej.rae.es/lema/incumplimiento-de-contrato" TargetMode="External"/><Relationship Id="rId1" Type="http://schemas.openxmlformats.org/officeDocument/2006/relationships/hyperlink" Target="https://www.minsalud.gov.co/Normatividad_Nuevo/Resoluci%C3%B3n%20No%201440%20de%20202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616040-AE72-4131-BD78-825BB4B2649F}">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purl.org/dc/dcmitype/"/>
    <ds:schemaRef ds:uri="http://purl.org/dc/elements/1.1/"/>
    <ds:schemaRef ds:uri="http://schemas.microsoft.com/office/2006/metadata/properties"/>
    <ds:schemaRef ds:uri="http://purl.org/dc/terms/"/>
    <ds:schemaRef ds:uri="http://www.w3.org/XML/1998/namespace"/>
    <ds:schemaRef ds:uri="http://schemas.microsoft.com/office/2006/documentManagement/types"/>
    <ds:schemaRef ds:uri="9d85dbaf-23eb-4e57-a637-93dcacc8b1a1"/>
    <ds:schemaRef ds:uri="http://schemas.microsoft.com/office/infopath/2007/PartnerControls"/>
    <ds:schemaRef ds:uri="http://schemas.openxmlformats.org/package/2006/metadata/core-properties"/>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78</TotalTime>
  <Pages>35</Pages>
  <Words>12055</Words>
  <Characters>66308</Characters>
  <Application>Microsoft Office Word</Application>
  <DocSecurity>0</DocSecurity>
  <Lines>552</Lines>
  <Paragraphs>156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2025-10-15T15:42:00Z</dcterms:created>
  <dcterms:modified xsi:type="dcterms:W3CDTF">2025-10-15T15:42:00Z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