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A34ED" w14:textId="77777777" w:rsidR="00E61075" w:rsidRPr="00E61075" w:rsidRDefault="00E61075" w:rsidP="00E61075">
      <w:pPr>
        <w:spacing w:after="0"/>
        <w:jc w:val="both"/>
        <w:rPr>
          <w:rFonts w:ascii="Verdana" w:eastAsia="Calibri" w:hAnsi="Verdana" w:cs="Times New Roman"/>
        </w:rPr>
      </w:pPr>
      <w:bookmarkStart w:id="0" w:name="_Hlk143780582"/>
      <w:r w:rsidRPr="00E61075">
        <w:rPr>
          <w:rFonts w:ascii="Verdana" w:eastAsia="Calibri" w:hAnsi="Verdana" w:cs="Arial"/>
          <w:b/>
          <w:bCs/>
          <w:lang w:val="es-ES" w:eastAsia="es-ES"/>
        </w:rPr>
        <w:t>SUBSANABILIDAD – Aplicación – R</w:t>
      </w:r>
      <w:r w:rsidRPr="00E61075">
        <w:rPr>
          <w:rFonts w:ascii="Verdana" w:eastAsia="Calibri" w:hAnsi="Verdana" w:cs="Times New Roman"/>
          <w:b/>
          <w:bCs/>
          <w:lang w:val="es-ES" w:eastAsia="es-ES"/>
        </w:rPr>
        <w:t>egla general</w:t>
      </w:r>
      <w:r w:rsidRPr="00E61075">
        <w:rPr>
          <w:rFonts w:ascii="Verdana" w:eastAsia="Calibri" w:hAnsi="Verdana" w:cs="Arial"/>
          <w:b/>
          <w:bCs/>
          <w:lang w:val="es-ES" w:eastAsia="es-ES"/>
        </w:rPr>
        <w:t xml:space="preserve"> – Excepciones </w:t>
      </w:r>
    </w:p>
    <w:p w14:paraId="2CCD3EB7" w14:textId="77777777" w:rsidR="00E61075" w:rsidRPr="003A47CE" w:rsidRDefault="00E61075" w:rsidP="00E61075">
      <w:pPr>
        <w:tabs>
          <w:tab w:val="left" w:pos="426"/>
        </w:tabs>
        <w:spacing w:after="0" w:line="240" w:lineRule="auto"/>
        <w:jc w:val="both"/>
        <w:rPr>
          <w:rFonts w:ascii="Verdana" w:eastAsia="Calibri" w:hAnsi="Verdana" w:cs="Arial"/>
          <w:b/>
          <w:lang w:eastAsia="es-CO"/>
        </w:rPr>
      </w:pPr>
    </w:p>
    <w:p w14:paraId="58EBCB6B" w14:textId="43C4042F" w:rsidR="00E61075" w:rsidRPr="00E61075" w:rsidRDefault="006C47F0" w:rsidP="00E61075">
      <w:pPr>
        <w:spacing w:after="0" w:line="240" w:lineRule="auto"/>
        <w:jc w:val="both"/>
        <w:rPr>
          <w:rFonts w:ascii="Verdana" w:eastAsia="Calibri" w:hAnsi="Verdana" w:cs="Arial"/>
          <w:bCs/>
          <w:sz w:val="20"/>
          <w:szCs w:val="20"/>
          <w:lang w:eastAsia="es-CO"/>
        </w:rPr>
      </w:pPr>
      <w:r w:rsidRPr="006C47F0">
        <w:rPr>
          <w:rFonts w:ascii="Verdana" w:eastAsia="Calibri" w:hAnsi="Verdana" w:cs="Arial"/>
          <w:bCs/>
          <w:sz w:val="20"/>
          <w:szCs w:val="20"/>
          <w:lang w:eastAsia="es-CO"/>
        </w:rPr>
        <w:t xml:space="preserve">La regla de la </w:t>
      </w:r>
      <w:proofErr w:type="spellStart"/>
      <w:r w:rsidRPr="006C47F0">
        <w:rPr>
          <w:rFonts w:ascii="Verdana" w:eastAsia="Calibri" w:hAnsi="Verdana" w:cs="Arial"/>
          <w:bCs/>
          <w:sz w:val="20"/>
          <w:szCs w:val="20"/>
          <w:lang w:eastAsia="es-CO"/>
        </w:rPr>
        <w:t>subsanabilidad</w:t>
      </w:r>
      <w:proofErr w:type="spellEnd"/>
      <w:r w:rsidRPr="006C47F0">
        <w:rPr>
          <w:rFonts w:ascii="Verdana" w:eastAsia="Calibri" w:hAnsi="Verdana" w:cs="Arial"/>
          <w:bCs/>
          <w:sz w:val="20"/>
          <w:szCs w:val="20"/>
          <w:lang w:eastAsia="es-CO"/>
        </w:rPr>
        <w:t xml:space="preserve"> de las ofertas en los procedimientos de selección indica que, por regla general, la falta de entrega y los defectos en la acreditación de los requisitos habilitantes son aspectos subsanables. La excepción a esta regla se encuentra en la prohibición de permitir que se subsanen aspectos que otorgan puntaje, la acreditación de circunstancias ocurridas con posterioridad al cierre del proceso y de permitir la entrega de la garantía de seriedad de la oferta que no fue aportada con la propuesta.</w:t>
      </w:r>
    </w:p>
    <w:p w14:paraId="68E7B903" w14:textId="77777777" w:rsidR="00E61075" w:rsidRPr="003A47CE" w:rsidRDefault="00E61075" w:rsidP="00E61075">
      <w:pPr>
        <w:spacing w:after="0" w:line="240" w:lineRule="auto"/>
        <w:jc w:val="both"/>
        <w:rPr>
          <w:rFonts w:ascii="Verdana" w:eastAsia="Calibri" w:hAnsi="Verdana" w:cs="Arial"/>
          <w:bCs/>
          <w:lang w:val="es-ES_tradnl" w:eastAsia="es-CO"/>
        </w:rPr>
      </w:pPr>
    </w:p>
    <w:p w14:paraId="1CB18C92" w14:textId="77777777" w:rsidR="00E61075" w:rsidRPr="00E61075" w:rsidRDefault="00E61075" w:rsidP="00E61075">
      <w:pPr>
        <w:spacing w:after="0" w:line="240" w:lineRule="auto"/>
        <w:jc w:val="both"/>
        <w:rPr>
          <w:rFonts w:ascii="Verdana" w:eastAsia="Calibri" w:hAnsi="Verdana" w:cs="Arial"/>
          <w:b/>
          <w:bCs/>
          <w:lang w:val="es-ES" w:eastAsia="es-ES"/>
        </w:rPr>
      </w:pPr>
      <w:r w:rsidRPr="00E61075">
        <w:rPr>
          <w:rFonts w:ascii="Verdana" w:eastAsia="Calibri" w:hAnsi="Verdana" w:cs="Arial"/>
          <w:b/>
          <w:bCs/>
          <w:lang w:val="es-ES" w:eastAsia="es-ES"/>
        </w:rPr>
        <w:t>SUBSANABILIDAD – Ley 1882 de 2018</w:t>
      </w:r>
    </w:p>
    <w:p w14:paraId="626A86C4" w14:textId="77777777" w:rsidR="00E61075" w:rsidRPr="00E61075" w:rsidRDefault="00E61075" w:rsidP="00E61075">
      <w:pPr>
        <w:spacing w:after="0" w:line="240" w:lineRule="auto"/>
        <w:jc w:val="both"/>
        <w:rPr>
          <w:rFonts w:ascii="Verdana" w:eastAsia="Times New Roman" w:hAnsi="Verdana" w:cs="Arial"/>
          <w:lang w:val="es-ES" w:eastAsia="es-ES_tradnl"/>
        </w:rPr>
      </w:pPr>
    </w:p>
    <w:p w14:paraId="2BC10337" w14:textId="115511FB" w:rsidR="00E61075" w:rsidRPr="00E61075" w:rsidRDefault="00E61075" w:rsidP="00E61075">
      <w:pPr>
        <w:spacing w:after="0" w:line="240" w:lineRule="auto"/>
        <w:jc w:val="both"/>
        <w:rPr>
          <w:rFonts w:ascii="Verdana" w:eastAsia="Calibri" w:hAnsi="Verdana" w:cs="Arial"/>
          <w:bCs/>
          <w:sz w:val="20"/>
          <w:szCs w:val="20"/>
          <w:lang w:eastAsia="es-CO"/>
        </w:rPr>
      </w:pPr>
      <w:r w:rsidRPr="00E61075">
        <w:rPr>
          <w:rFonts w:ascii="Verdana" w:eastAsia="Calibri" w:hAnsi="Verdana" w:cs="Arial"/>
          <w:bCs/>
          <w:sz w:val="20"/>
          <w:szCs w:val="20"/>
          <w:lang w:eastAsia="es-CO"/>
        </w:rPr>
        <w:t xml:space="preserve">[…] </w:t>
      </w:r>
      <w:r w:rsidR="006C47F0" w:rsidRPr="006C47F0">
        <w:rPr>
          <w:rFonts w:ascii="Verdana" w:eastAsia="Calibri" w:hAnsi="Verdana" w:cs="Arial"/>
          <w:bCs/>
          <w:sz w:val="20"/>
          <w:szCs w:val="20"/>
          <w:lang w:eastAsia="es-CO"/>
        </w:rPr>
        <w:t xml:space="preserve">la Ley 1882 de 2018: i) mantiene el criterio de la Ley 80 de 1993, relativo a que todo lo que no sea necesario para la comparación de propuestas no es título suficiente para su rechazo; </w:t>
      </w:r>
      <w:proofErr w:type="spellStart"/>
      <w:r w:rsidR="006C47F0" w:rsidRPr="006C47F0">
        <w:rPr>
          <w:rFonts w:ascii="Verdana" w:eastAsia="Calibri" w:hAnsi="Verdana" w:cs="Arial"/>
          <w:bCs/>
          <w:sz w:val="20"/>
          <w:szCs w:val="20"/>
          <w:lang w:eastAsia="es-CO"/>
        </w:rPr>
        <w:t>ii</w:t>
      </w:r>
      <w:proofErr w:type="spellEnd"/>
      <w:r w:rsidR="006C47F0" w:rsidRPr="006C47F0">
        <w:rPr>
          <w:rFonts w:ascii="Verdana" w:eastAsia="Calibri" w:hAnsi="Verdana" w:cs="Arial"/>
          <w:bCs/>
          <w:sz w:val="20"/>
          <w:szCs w:val="20"/>
          <w:lang w:eastAsia="es-CO"/>
        </w:rPr>
        <w:t xml:space="preserve">) mantiene el criterio aclaratorio de la Ley 1150 de 2007, según el cual todo lo que no afecte la asignación de puntaje puede subsanarse; y, </w:t>
      </w:r>
      <w:proofErr w:type="spellStart"/>
      <w:r w:rsidR="006C47F0" w:rsidRPr="006C47F0">
        <w:rPr>
          <w:rFonts w:ascii="Verdana" w:eastAsia="Calibri" w:hAnsi="Verdana" w:cs="Arial"/>
          <w:bCs/>
          <w:sz w:val="20"/>
          <w:szCs w:val="20"/>
          <w:lang w:eastAsia="es-CO"/>
        </w:rPr>
        <w:t>iii</w:t>
      </w:r>
      <w:proofErr w:type="spellEnd"/>
      <w:r w:rsidR="006C47F0" w:rsidRPr="006C47F0">
        <w:rPr>
          <w:rFonts w:ascii="Verdana" w:eastAsia="Calibri" w:hAnsi="Verdana" w:cs="Arial"/>
          <w:bCs/>
          <w:sz w:val="20"/>
          <w:szCs w:val="20"/>
          <w:lang w:eastAsia="es-CO"/>
        </w:rPr>
        <w:t>) introduce modificaciones en relación con algunos aspectos que se analizarán a continuación.</w:t>
      </w:r>
    </w:p>
    <w:p w14:paraId="26A5320B" w14:textId="77777777" w:rsidR="00E61075" w:rsidRPr="00E61075" w:rsidRDefault="00E61075" w:rsidP="00E61075">
      <w:pPr>
        <w:spacing w:after="0" w:line="240" w:lineRule="auto"/>
        <w:jc w:val="both"/>
        <w:rPr>
          <w:rFonts w:ascii="Verdana" w:eastAsia="Calibri" w:hAnsi="Verdana" w:cs="Arial"/>
          <w:b/>
          <w:bCs/>
          <w:lang w:eastAsia="es-ES"/>
        </w:rPr>
      </w:pPr>
    </w:p>
    <w:p w14:paraId="2A7D9A67" w14:textId="77777777" w:rsidR="00E61075" w:rsidRPr="00E61075" w:rsidRDefault="00E61075" w:rsidP="00E61075">
      <w:pPr>
        <w:spacing w:after="0" w:line="276" w:lineRule="auto"/>
        <w:jc w:val="both"/>
        <w:rPr>
          <w:rFonts w:ascii="Verdana" w:eastAsia="Calibri" w:hAnsi="Verdana" w:cs="Arial"/>
          <w:b/>
          <w:bCs/>
          <w:color w:val="000000"/>
        </w:rPr>
      </w:pPr>
      <w:r w:rsidRPr="00E61075">
        <w:rPr>
          <w:rFonts w:ascii="Verdana" w:eastAsia="Calibri" w:hAnsi="Verdana" w:cs="Arial"/>
          <w:b/>
          <w:bCs/>
          <w:color w:val="000000"/>
        </w:rPr>
        <w:t xml:space="preserve">SUBSANABILIDAD – Circunstancias posteriores – Cierre del proceso – Prueba – Oportunidad – Autorizaciones </w:t>
      </w:r>
    </w:p>
    <w:p w14:paraId="2F99230E" w14:textId="77777777" w:rsidR="00E61075" w:rsidRPr="00E61075" w:rsidRDefault="00E61075" w:rsidP="00E61075">
      <w:pPr>
        <w:spacing w:after="0" w:line="276" w:lineRule="auto"/>
        <w:jc w:val="both"/>
        <w:rPr>
          <w:rFonts w:ascii="Verdana" w:eastAsia="Calibri" w:hAnsi="Verdana" w:cs="Times New Roman"/>
          <w:color w:val="000000"/>
          <w:lang w:val="es-ES_tradnl"/>
        </w:rPr>
      </w:pPr>
    </w:p>
    <w:p w14:paraId="334A3303" w14:textId="691DAD2B" w:rsidR="00E61075" w:rsidRPr="00460D52" w:rsidRDefault="00E61075" w:rsidP="00E61075">
      <w:pPr>
        <w:spacing w:after="0" w:line="240" w:lineRule="auto"/>
        <w:jc w:val="both"/>
        <w:rPr>
          <w:rFonts w:ascii="Verdana" w:eastAsia="Calibri" w:hAnsi="Verdana" w:cs="Times New Roman"/>
          <w:color w:val="000000"/>
          <w:sz w:val="20"/>
          <w:szCs w:val="20"/>
          <w:lang w:val="es-ES"/>
        </w:rPr>
      </w:pPr>
      <w:r w:rsidRPr="00E61075">
        <w:rPr>
          <w:rFonts w:ascii="Verdana" w:eastAsia="Calibri" w:hAnsi="Verdana" w:cs="Times New Roman"/>
          <w:color w:val="000000"/>
          <w:sz w:val="20"/>
          <w:szCs w:val="20"/>
          <w:lang w:val="es-ES"/>
        </w:rPr>
        <w:t xml:space="preserve">[…] </w:t>
      </w:r>
      <w:r w:rsidR="00A2355F" w:rsidRPr="00A2355F">
        <w:rPr>
          <w:rFonts w:ascii="Verdana" w:eastAsia="Calibri" w:hAnsi="Verdana" w:cs="Times New Roman"/>
          <w:color w:val="000000"/>
          <w:sz w:val="20"/>
          <w:szCs w:val="20"/>
          <w:lang w:val="es-ES"/>
        </w:rPr>
        <w:t xml:space="preserve">no es la prueba –usualmente un documento– lo que debe ser anterior al cierre del proceso, sino el hecho que ella acredita. Es decir, ante la solicitud de la Administración de subsanar determinado requisito, el documento podría estar fechado con posterioridad al vencimiento del término para recibir propuestas, siempre y cuando el hecho que acredite haya ocurrido antes, esto es, que no sea una circunstancia ocurrida con posterioridad al cierre del proceso. Es por esto </w:t>
      </w:r>
      <w:proofErr w:type="gramStart"/>
      <w:r w:rsidR="00A2355F" w:rsidRPr="00A2355F">
        <w:rPr>
          <w:rFonts w:ascii="Verdana" w:eastAsia="Calibri" w:hAnsi="Verdana" w:cs="Times New Roman"/>
          <w:color w:val="000000"/>
          <w:sz w:val="20"/>
          <w:szCs w:val="20"/>
          <w:lang w:val="es-ES"/>
        </w:rPr>
        <w:t>que</w:t>
      </w:r>
      <w:proofErr w:type="gramEnd"/>
      <w:r w:rsidR="00A2355F" w:rsidRPr="00A2355F">
        <w:rPr>
          <w:rFonts w:ascii="Verdana" w:eastAsia="Calibri" w:hAnsi="Verdana" w:cs="Times New Roman"/>
          <w:color w:val="000000"/>
          <w:sz w:val="20"/>
          <w:szCs w:val="20"/>
          <w:lang w:val="es-ES"/>
        </w:rPr>
        <w:t xml:space="preserv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p>
    <w:p w14:paraId="7F958164" w14:textId="77777777" w:rsidR="00E61075" w:rsidRPr="00E61075" w:rsidRDefault="00E61075" w:rsidP="00E61075">
      <w:pPr>
        <w:spacing w:after="0"/>
        <w:rPr>
          <w:rFonts w:ascii="Verdana" w:eastAsia="Calibri" w:hAnsi="Verdana" w:cs="Times New Roman"/>
        </w:rPr>
      </w:pPr>
    </w:p>
    <w:p w14:paraId="2591DE54" w14:textId="77777777" w:rsidR="00E61075" w:rsidRPr="00E61075" w:rsidRDefault="00E61075" w:rsidP="00E61075">
      <w:pPr>
        <w:spacing w:after="0" w:line="276" w:lineRule="auto"/>
        <w:jc w:val="both"/>
        <w:rPr>
          <w:rFonts w:ascii="Verdana" w:eastAsia="Calibri" w:hAnsi="Verdana" w:cs="Times New Roman"/>
          <w:b/>
          <w:bCs/>
        </w:rPr>
      </w:pPr>
      <w:r w:rsidRPr="00E61075">
        <w:rPr>
          <w:rFonts w:ascii="Verdana" w:eastAsia="Calibri" w:hAnsi="Verdana" w:cs="Times New Roman"/>
          <w:b/>
          <w:bCs/>
        </w:rPr>
        <w:t xml:space="preserve">DOCUMENTOS TIPO – Infraestructura de transporte – Subsanación – Acreditación de </w:t>
      </w:r>
      <w:proofErr w:type="spellStart"/>
      <w:r w:rsidRPr="00E61075">
        <w:rPr>
          <w:rFonts w:ascii="Verdana" w:eastAsia="Calibri" w:hAnsi="Verdana" w:cs="Times New Roman"/>
          <w:b/>
          <w:bCs/>
        </w:rPr>
        <w:t>Mipyme</w:t>
      </w:r>
      <w:proofErr w:type="spellEnd"/>
      <w:r w:rsidRPr="00E61075">
        <w:rPr>
          <w:rFonts w:ascii="Verdana" w:eastAsia="Calibri" w:hAnsi="Verdana" w:cs="Times New Roman"/>
          <w:b/>
          <w:bCs/>
        </w:rPr>
        <w:t xml:space="preserve"> – Formato</w:t>
      </w:r>
    </w:p>
    <w:p w14:paraId="680AFFE0" w14:textId="77777777" w:rsidR="00E61075" w:rsidRPr="00E61075" w:rsidRDefault="00E61075" w:rsidP="00E61075">
      <w:pPr>
        <w:spacing w:after="0"/>
        <w:rPr>
          <w:rFonts w:ascii="Verdana" w:eastAsia="Calibri" w:hAnsi="Verdana" w:cs="Times New Roman"/>
        </w:rPr>
      </w:pPr>
    </w:p>
    <w:p w14:paraId="75842A72" w14:textId="77777777" w:rsidR="003E0646" w:rsidRDefault="00E61075" w:rsidP="003E0646">
      <w:pPr>
        <w:spacing w:after="0" w:line="240" w:lineRule="auto"/>
        <w:jc w:val="both"/>
        <w:rPr>
          <w:rFonts w:ascii="Verdana" w:eastAsia="Calibri" w:hAnsi="Verdana" w:cs="Times New Roman"/>
          <w:sz w:val="20"/>
          <w:szCs w:val="20"/>
        </w:rPr>
      </w:pPr>
      <w:r w:rsidRPr="00E61075">
        <w:rPr>
          <w:rFonts w:ascii="Verdana" w:eastAsia="Calibri" w:hAnsi="Verdana" w:cs="Times New Roman"/>
          <w:sz w:val="20"/>
          <w:szCs w:val="20"/>
        </w:rPr>
        <w:t xml:space="preserve">[…] </w:t>
      </w:r>
      <w:r w:rsidR="003E0646" w:rsidRPr="003E0646">
        <w:rPr>
          <w:rFonts w:ascii="Verdana" w:eastAsia="Calibri" w:hAnsi="Verdana" w:cs="Times New Roman"/>
          <w:sz w:val="20"/>
          <w:szCs w:val="20"/>
        </w:rPr>
        <w:t xml:space="preserve">tratándose de los documentos tipo de infraestructura de transporte, el Formato de Acreditación de </w:t>
      </w:r>
      <w:proofErr w:type="spellStart"/>
      <w:r w:rsidR="003E0646" w:rsidRPr="003E0646">
        <w:rPr>
          <w:rFonts w:ascii="Verdana" w:eastAsia="Calibri" w:hAnsi="Verdana" w:cs="Times New Roman"/>
          <w:sz w:val="20"/>
          <w:szCs w:val="20"/>
        </w:rPr>
        <w:t>Mipyme</w:t>
      </w:r>
      <w:proofErr w:type="spellEnd"/>
      <w:r w:rsidR="003E0646" w:rsidRPr="003E0646">
        <w:rPr>
          <w:rFonts w:ascii="Verdana" w:eastAsia="Calibri" w:hAnsi="Verdana" w:cs="Times New Roman"/>
          <w:sz w:val="20"/>
          <w:szCs w:val="20"/>
        </w:rPr>
        <w:t xml:space="preserve"> y, en general, la acreditación de dicha condición, será, en principio, subsanable, siempre y cuando se refiera a la habilitación para poder participar en el respectivo proceso de contratación, teniendo en cuenta los aspectos que pueden subsanarse explicados en este concepto.</w:t>
      </w:r>
    </w:p>
    <w:p w14:paraId="37D4DAC7" w14:textId="77777777" w:rsidR="003E0646" w:rsidRPr="003E0646" w:rsidRDefault="003E0646" w:rsidP="003E0646">
      <w:pPr>
        <w:spacing w:after="0" w:line="240" w:lineRule="auto"/>
        <w:jc w:val="both"/>
        <w:rPr>
          <w:rFonts w:ascii="Verdana" w:eastAsia="Calibri" w:hAnsi="Verdana" w:cs="Times New Roman"/>
          <w:sz w:val="20"/>
          <w:szCs w:val="20"/>
        </w:rPr>
      </w:pPr>
    </w:p>
    <w:p w14:paraId="5B6EC68C" w14:textId="6A5D52BE" w:rsidR="00E61075" w:rsidRPr="00E61075" w:rsidRDefault="003E0646" w:rsidP="003E0646">
      <w:pPr>
        <w:spacing w:after="0" w:line="240" w:lineRule="auto"/>
        <w:jc w:val="both"/>
        <w:rPr>
          <w:rFonts w:ascii="Verdana" w:eastAsia="Calibri" w:hAnsi="Verdana" w:cs="Times New Roman"/>
          <w:sz w:val="20"/>
          <w:szCs w:val="20"/>
        </w:rPr>
      </w:pPr>
      <w:r w:rsidRPr="003E0646">
        <w:rPr>
          <w:rFonts w:ascii="Verdana" w:eastAsia="Calibri" w:hAnsi="Verdana" w:cs="Times New Roman"/>
          <w:sz w:val="20"/>
          <w:szCs w:val="20"/>
        </w:rPr>
        <w:t xml:space="preserve">Por el contrario, si con la acreditación de la condición de </w:t>
      </w:r>
      <w:proofErr w:type="spellStart"/>
      <w:r w:rsidRPr="003E0646">
        <w:rPr>
          <w:rFonts w:ascii="Verdana" w:eastAsia="Calibri" w:hAnsi="Verdana" w:cs="Times New Roman"/>
          <w:sz w:val="20"/>
          <w:szCs w:val="20"/>
        </w:rPr>
        <w:t>Mipyme</w:t>
      </w:r>
      <w:proofErr w:type="spellEnd"/>
      <w:r w:rsidRPr="003E0646">
        <w:rPr>
          <w:rFonts w:ascii="Verdana" w:eastAsia="Calibri" w:hAnsi="Verdana" w:cs="Times New Roman"/>
          <w:sz w:val="20"/>
          <w:szCs w:val="20"/>
        </w:rPr>
        <w:t xml:space="preserve"> se afecta la asignación del puntaje, esto no podrá ser objeto de subsanación, en consideración a que no pueden subsanarse aspectos que otorgan puntaje, ni acreditarse circunstancias ocurridas con posterioridad al cierre del proceso de selección.</w:t>
      </w:r>
    </w:p>
    <w:p w14:paraId="06768929" w14:textId="784547B1" w:rsidR="00E61075" w:rsidRDefault="00E61075" w:rsidP="00E61075">
      <w:pPr>
        <w:spacing w:after="0"/>
        <w:rPr>
          <w:rFonts w:ascii="Verdana" w:hAnsi="Verdana"/>
        </w:rPr>
      </w:pPr>
      <w:r w:rsidRPr="0044528D">
        <w:rPr>
          <w:rFonts w:ascii="Verdana" w:hAnsi="Verdana"/>
        </w:rPr>
        <w:lastRenderedPageBreak/>
        <w:t>Bogotá D.C.,</w:t>
      </w:r>
      <w:r w:rsidR="003E67EB">
        <w:rPr>
          <w:rFonts w:ascii="Verdana" w:hAnsi="Verdana"/>
        </w:rPr>
        <w:t xml:space="preserve"> 08 Octubre 2025</w:t>
      </w:r>
    </w:p>
    <w:p w14:paraId="606F535E" w14:textId="77777777" w:rsidR="00C65E95" w:rsidRPr="00C65E95" w:rsidRDefault="00C65E95" w:rsidP="00E61075">
      <w:pPr>
        <w:spacing w:after="0"/>
        <w:rPr>
          <w:rFonts w:ascii="Verdana" w:hAnsi="Verdana"/>
        </w:rPr>
      </w:pPr>
    </w:p>
    <w:p w14:paraId="75B0F874" w14:textId="60051D87" w:rsidR="00E61075" w:rsidRPr="00E61075" w:rsidRDefault="00CC3264" w:rsidP="003E67EB">
      <w:pPr>
        <w:spacing w:after="0"/>
        <w:jc w:val="right"/>
        <w:rPr>
          <w:rFonts w:ascii="Verdana" w:eastAsia="Calibri" w:hAnsi="Verdana" w:cs="Times New Roman"/>
        </w:rPr>
      </w:pPr>
      <w:r>
        <w:rPr>
          <w:rFonts w:ascii="Verdana" w:eastAsia="Calibri" w:hAnsi="Verdana" w:cs="Times New Roman"/>
          <w:noProof/>
        </w:rPr>
        <w:drawing>
          <wp:inline distT="0" distB="0" distL="0" distR="0" wp14:anchorId="3F4AA6B9" wp14:editId="08771CF4">
            <wp:extent cx="2783215" cy="770263"/>
            <wp:effectExtent l="0" t="0" r="0" b="4445"/>
            <wp:docPr id="9361930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19301" name="Imagen 93619301"/>
                    <pic:cNvPicPr/>
                  </pic:nvPicPr>
                  <pic:blipFill>
                    <a:blip r:embed="rId10">
                      <a:extLst>
                        <a:ext uri="{28A0092B-C50C-407E-A947-70E740481C1C}">
                          <a14:useLocalDpi xmlns:a14="http://schemas.microsoft.com/office/drawing/2010/main" val="0"/>
                        </a:ext>
                      </a:extLst>
                    </a:blip>
                    <a:stretch>
                      <a:fillRect/>
                    </a:stretch>
                  </pic:blipFill>
                  <pic:spPr>
                    <a:xfrm>
                      <a:off x="0" y="0"/>
                      <a:ext cx="2816765" cy="779548"/>
                    </a:xfrm>
                    <a:prstGeom prst="rect">
                      <a:avLst/>
                    </a:prstGeom>
                  </pic:spPr>
                </pic:pic>
              </a:graphicData>
            </a:graphic>
          </wp:inline>
        </w:drawing>
      </w:r>
    </w:p>
    <w:p w14:paraId="21386750" w14:textId="77777777" w:rsidR="00E61075" w:rsidRPr="00E61075" w:rsidRDefault="00E61075" w:rsidP="00E61075">
      <w:pPr>
        <w:spacing w:after="0" w:line="240" w:lineRule="auto"/>
        <w:jc w:val="both"/>
        <w:rPr>
          <w:rFonts w:ascii="Verdana" w:eastAsia="Calibri" w:hAnsi="Verdana" w:cs="Arial"/>
          <w:lang w:val="es-ES" w:eastAsia="es-ES"/>
        </w:rPr>
      </w:pPr>
      <w:r w:rsidRPr="00E61075">
        <w:rPr>
          <w:rFonts w:ascii="Verdana" w:eastAsia="Calibri" w:hAnsi="Verdana" w:cs="Arial"/>
          <w:lang w:val="es-ES" w:eastAsia="es-ES"/>
        </w:rPr>
        <w:t>Señora</w:t>
      </w:r>
    </w:p>
    <w:p w14:paraId="0BE03491" w14:textId="77777777" w:rsidR="00E61075" w:rsidRPr="00E61075" w:rsidRDefault="00E61075" w:rsidP="00E61075">
      <w:pPr>
        <w:spacing w:after="0" w:line="240" w:lineRule="auto"/>
        <w:jc w:val="both"/>
        <w:rPr>
          <w:rFonts w:ascii="Verdana" w:eastAsia="Calibri" w:hAnsi="Verdana" w:cs="Arial"/>
          <w:b/>
          <w:bCs/>
          <w:lang w:val="es-ES" w:eastAsia="es-ES"/>
        </w:rPr>
      </w:pPr>
      <w:r w:rsidRPr="00E61075">
        <w:rPr>
          <w:rFonts w:ascii="Verdana" w:eastAsia="Calibri" w:hAnsi="Verdana" w:cs="Arial"/>
          <w:b/>
          <w:bCs/>
          <w:lang w:val="es-ES" w:eastAsia="es-ES"/>
        </w:rPr>
        <w:t>Elizabet Chaverra Arango</w:t>
      </w:r>
    </w:p>
    <w:p w14:paraId="334D639C" w14:textId="5C9E6853" w:rsidR="00E61075" w:rsidRPr="00E61075" w:rsidRDefault="00C9456F" w:rsidP="00E61075">
      <w:pPr>
        <w:spacing w:after="0" w:line="240" w:lineRule="auto"/>
        <w:rPr>
          <w:rFonts w:ascii="Verdana" w:eastAsia="Calibri" w:hAnsi="Verdana" w:cs="Arial"/>
          <w:lang w:val="es-ES" w:eastAsia="es-ES"/>
        </w:rPr>
      </w:pPr>
      <w:r>
        <w:fldChar w:fldCharType="begin"/>
      </w:r>
      <w:r>
        <w:instrText>HYPERLINK "mailto:elizaforestal@gmail.com"</w:instrText>
      </w:r>
      <w:r>
        <w:fldChar w:fldCharType="separate"/>
      </w:r>
      <w:r w:rsidRPr="00D60F7C">
        <w:rPr>
          <w:rStyle w:val="Hipervnculo"/>
          <w:rFonts w:ascii="Verdana" w:eastAsia="Calibri" w:hAnsi="Verdana" w:cs="Arial"/>
          <w:lang w:val="es-ES" w:eastAsia="es-ES"/>
        </w:rPr>
        <w:t>elizaforestal@gmail.com</w:t>
      </w:r>
      <w:r>
        <w:fldChar w:fldCharType="end"/>
      </w:r>
    </w:p>
    <w:p w14:paraId="3AF335B5" w14:textId="0DED9549" w:rsidR="00E61075" w:rsidRPr="00E61075" w:rsidRDefault="00E61075" w:rsidP="00E61075">
      <w:pPr>
        <w:spacing w:after="0" w:line="240" w:lineRule="auto"/>
        <w:rPr>
          <w:rFonts w:ascii="Verdana" w:eastAsia="Calibri" w:hAnsi="Verdana" w:cs="Arial"/>
          <w:b/>
          <w:bCs/>
          <w:lang w:val="es-ES" w:eastAsia="es-ES"/>
        </w:rPr>
      </w:pPr>
      <w:r w:rsidRPr="00E61075">
        <w:rPr>
          <w:rFonts w:ascii="Verdana" w:eastAsia="Calibri" w:hAnsi="Verdana" w:cs="Arial"/>
          <w:lang w:val="es-ES" w:eastAsia="es-ES"/>
        </w:rPr>
        <w:t>Ciudad Bolívar</w:t>
      </w:r>
      <w:r w:rsidR="00C9456F">
        <w:rPr>
          <w:rFonts w:ascii="Verdana" w:eastAsia="Calibri" w:hAnsi="Verdana" w:cs="Arial"/>
          <w:lang w:val="es-ES" w:eastAsia="es-ES"/>
        </w:rPr>
        <w:t>, Antioquia</w:t>
      </w:r>
    </w:p>
    <w:p w14:paraId="1F603906" w14:textId="77777777" w:rsidR="00E61075" w:rsidRPr="00E61075" w:rsidRDefault="00E61075" w:rsidP="00E61075">
      <w:pPr>
        <w:spacing w:after="0" w:line="240" w:lineRule="auto"/>
        <w:rPr>
          <w:rFonts w:ascii="Verdana" w:eastAsia="Calibri" w:hAnsi="Verdana" w:cs="Arial"/>
          <w:b/>
          <w:bCs/>
          <w:lang w:val="es-ES_tradnl" w:eastAsia="es-ES_tradnl"/>
        </w:rPr>
      </w:pPr>
    </w:p>
    <w:p w14:paraId="49784D9B" w14:textId="77777777" w:rsidR="00E61075" w:rsidRPr="00E61075" w:rsidRDefault="00E61075" w:rsidP="00E61075">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521"/>
      </w:tblGrid>
      <w:tr w:rsidR="00E61075" w:rsidRPr="00E61075" w14:paraId="64187DD8" w14:textId="77777777">
        <w:trPr>
          <w:trHeight w:val="243"/>
        </w:trPr>
        <w:tc>
          <w:tcPr>
            <w:tcW w:w="2268" w:type="dxa"/>
          </w:tcPr>
          <w:p w14:paraId="27461684" w14:textId="77777777" w:rsidR="00E61075" w:rsidRPr="00E61075" w:rsidRDefault="00E61075" w:rsidP="00E61075">
            <w:pPr>
              <w:jc w:val="both"/>
              <w:rPr>
                <w:rFonts w:ascii="Verdana" w:eastAsia="Calibri" w:hAnsi="Verdana" w:cs="Arial"/>
                <w:b/>
                <w:bCs/>
                <w:lang w:val="es-ES_tradnl" w:eastAsia="es-ES_tradnl"/>
              </w:rPr>
            </w:pPr>
          </w:p>
        </w:tc>
        <w:tc>
          <w:tcPr>
            <w:tcW w:w="6521" w:type="dxa"/>
          </w:tcPr>
          <w:p w14:paraId="46DA8C50" w14:textId="77777777" w:rsidR="00E61075" w:rsidRPr="00E61075" w:rsidRDefault="00E61075" w:rsidP="00E61075">
            <w:pPr>
              <w:jc w:val="both"/>
              <w:rPr>
                <w:rFonts w:ascii="Verdana" w:eastAsia="Calibri" w:hAnsi="Verdana" w:cs="Arial"/>
                <w:b/>
                <w:bCs/>
                <w:lang w:val="es-ES" w:eastAsia="es-ES"/>
              </w:rPr>
            </w:pPr>
            <w:r w:rsidRPr="00E61075">
              <w:rPr>
                <w:rFonts w:ascii="Verdana" w:eastAsia="Calibri" w:hAnsi="Verdana" w:cs="Arial"/>
                <w:b/>
                <w:bCs/>
                <w:lang w:val="es-ES" w:eastAsia="es-ES"/>
              </w:rPr>
              <w:t>Concepto C – 1210 de 2025</w:t>
            </w:r>
          </w:p>
          <w:p w14:paraId="4945A20B" w14:textId="77777777" w:rsidR="00E61075" w:rsidRPr="00E61075" w:rsidRDefault="00E61075" w:rsidP="00E61075">
            <w:pPr>
              <w:jc w:val="both"/>
              <w:rPr>
                <w:rFonts w:ascii="Verdana" w:eastAsia="Calibri" w:hAnsi="Verdana" w:cs="Arial"/>
                <w:b/>
                <w:bCs/>
                <w:lang w:val="es-ES" w:eastAsia="es-ES"/>
              </w:rPr>
            </w:pPr>
          </w:p>
          <w:p w14:paraId="0F6656B1" w14:textId="77777777" w:rsidR="00E61075" w:rsidRPr="00E61075" w:rsidRDefault="00E61075" w:rsidP="00E61075">
            <w:pPr>
              <w:jc w:val="both"/>
              <w:rPr>
                <w:rFonts w:ascii="Verdana" w:eastAsia="Calibri" w:hAnsi="Verdana" w:cs="Arial"/>
                <w:b/>
                <w:bCs/>
                <w:lang w:val="es-ES" w:eastAsia="es-ES"/>
              </w:rPr>
            </w:pPr>
          </w:p>
        </w:tc>
      </w:tr>
      <w:tr w:rsidR="00E61075" w:rsidRPr="00E61075" w14:paraId="4DC34E0D" w14:textId="77777777">
        <w:trPr>
          <w:trHeight w:val="884"/>
        </w:trPr>
        <w:tc>
          <w:tcPr>
            <w:tcW w:w="2268" w:type="dxa"/>
          </w:tcPr>
          <w:p w14:paraId="1AA0B47E" w14:textId="77777777" w:rsidR="00E61075" w:rsidRPr="00E61075" w:rsidRDefault="00E61075" w:rsidP="00E61075">
            <w:pPr>
              <w:jc w:val="both"/>
              <w:rPr>
                <w:rFonts w:ascii="Verdana" w:eastAsia="Calibri" w:hAnsi="Verdana" w:cs="Arial"/>
                <w:lang w:val="es-ES_tradnl" w:eastAsia="es-ES_tradnl"/>
              </w:rPr>
            </w:pPr>
            <w:r w:rsidRPr="00E61075">
              <w:rPr>
                <w:rFonts w:ascii="Verdana" w:eastAsia="Calibri" w:hAnsi="Verdana" w:cs="Arial"/>
                <w:b/>
                <w:lang w:val="es-ES_tradnl" w:eastAsia="es-ES_tradnl"/>
              </w:rPr>
              <w:t>Temas:</w:t>
            </w:r>
            <w:r w:rsidRPr="00E61075">
              <w:rPr>
                <w:rFonts w:ascii="Verdana" w:eastAsia="Calibri" w:hAnsi="Verdana" w:cs="Arial"/>
                <w:lang w:val="es-ES_tradnl" w:eastAsia="es-ES_tradnl"/>
              </w:rPr>
              <w:t xml:space="preserve">                   </w:t>
            </w:r>
          </w:p>
        </w:tc>
        <w:tc>
          <w:tcPr>
            <w:tcW w:w="6521" w:type="dxa"/>
          </w:tcPr>
          <w:p w14:paraId="22390444" w14:textId="77777777" w:rsidR="00E61075" w:rsidRPr="00E61075" w:rsidRDefault="00E61075" w:rsidP="00E61075">
            <w:pPr>
              <w:spacing w:line="276" w:lineRule="auto"/>
              <w:jc w:val="both"/>
              <w:rPr>
                <w:rFonts w:ascii="Verdana" w:eastAsia="Calibri" w:hAnsi="Verdana" w:cs="Arial"/>
                <w:color w:val="000000"/>
              </w:rPr>
            </w:pPr>
            <w:r w:rsidRPr="00E61075">
              <w:rPr>
                <w:rFonts w:ascii="Verdana" w:eastAsia="Calibri" w:hAnsi="Verdana" w:cs="Arial"/>
                <w:lang w:val="es-ES" w:eastAsia="es-ES"/>
              </w:rPr>
              <w:t xml:space="preserve">SUBSANABILIDAD – Aplicación – Regla general – Excepciones / SUBSANABILIDAD – Ley 1882 de 2018 / </w:t>
            </w:r>
            <w:r w:rsidRPr="00E61075">
              <w:rPr>
                <w:rFonts w:ascii="Verdana" w:eastAsia="Calibri" w:hAnsi="Verdana" w:cs="Arial"/>
                <w:color w:val="000000"/>
              </w:rPr>
              <w:t xml:space="preserve">SUBSANABILIDAD – Circunstancias posteriores – Cierre del proceso – Prueba – Oportunidad – Autorizaciones / </w:t>
            </w:r>
            <w:r w:rsidRPr="00E61075">
              <w:rPr>
                <w:rFonts w:ascii="Verdana" w:eastAsia="Calibri" w:hAnsi="Verdana" w:cs="Times New Roman"/>
              </w:rPr>
              <w:t xml:space="preserve">DOCUMENTOS TIPO – Infraestructura de transporte – Subsanación – Acreditación de </w:t>
            </w:r>
            <w:proofErr w:type="spellStart"/>
            <w:r w:rsidRPr="00E61075">
              <w:rPr>
                <w:rFonts w:ascii="Verdana" w:eastAsia="Calibri" w:hAnsi="Verdana" w:cs="Times New Roman"/>
              </w:rPr>
              <w:t>Mipyme</w:t>
            </w:r>
            <w:proofErr w:type="spellEnd"/>
            <w:r w:rsidRPr="00E61075">
              <w:rPr>
                <w:rFonts w:ascii="Verdana" w:eastAsia="Calibri" w:hAnsi="Verdana" w:cs="Times New Roman"/>
              </w:rPr>
              <w:t xml:space="preserve"> – Formato</w:t>
            </w:r>
            <w:r w:rsidRPr="00E61075">
              <w:rPr>
                <w:rFonts w:ascii="Verdana" w:eastAsia="Calibri" w:hAnsi="Verdana" w:cs="Arial"/>
                <w:color w:val="000000"/>
              </w:rPr>
              <w:t xml:space="preserve"> </w:t>
            </w:r>
          </w:p>
          <w:p w14:paraId="00656AEA" w14:textId="77777777" w:rsidR="00E61075" w:rsidRPr="00E61075" w:rsidRDefault="00E61075" w:rsidP="00E61075">
            <w:pPr>
              <w:spacing w:line="276" w:lineRule="auto"/>
              <w:jc w:val="both"/>
              <w:rPr>
                <w:rFonts w:ascii="Verdana" w:eastAsia="Calibri" w:hAnsi="Verdana" w:cs="Times New Roman"/>
                <w:b/>
                <w:bCs/>
              </w:rPr>
            </w:pPr>
          </w:p>
        </w:tc>
      </w:tr>
      <w:tr w:rsidR="00E61075" w:rsidRPr="00E61075" w14:paraId="218607AC" w14:textId="77777777">
        <w:trPr>
          <w:trHeight w:val="377"/>
        </w:trPr>
        <w:tc>
          <w:tcPr>
            <w:tcW w:w="2268" w:type="dxa"/>
          </w:tcPr>
          <w:p w14:paraId="589627A8" w14:textId="77777777" w:rsidR="00E61075" w:rsidRPr="00E61075" w:rsidRDefault="00E61075" w:rsidP="00E61075">
            <w:pPr>
              <w:jc w:val="both"/>
              <w:rPr>
                <w:rFonts w:ascii="Verdana" w:eastAsia="Calibri" w:hAnsi="Verdana" w:cs="Arial"/>
                <w:b/>
                <w:lang w:val="es-ES_tradnl" w:eastAsia="es-ES_tradnl"/>
              </w:rPr>
            </w:pPr>
            <w:r w:rsidRPr="00E61075">
              <w:rPr>
                <w:rFonts w:ascii="Verdana" w:eastAsia="Calibri" w:hAnsi="Verdana" w:cs="Arial"/>
                <w:b/>
                <w:lang w:val="es-ES_tradnl" w:eastAsia="es-ES_tradnl"/>
              </w:rPr>
              <w:t>Radicación:</w:t>
            </w:r>
            <w:r w:rsidRPr="00E61075">
              <w:rPr>
                <w:rFonts w:ascii="Verdana" w:eastAsia="Calibri" w:hAnsi="Verdana" w:cs="Arial"/>
                <w:lang w:val="es-ES_tradnl" w:eastAsia="es-ES_tradnl"/>
              </w:rPr>
              <w:t xml:space="preserve">               </w:t>
            </w:r>
          </w:p>
        </w:tc>
        <w:tc>
          <w:tcPr>
            <w:tcW w:w="6521" w:type="dxa"/>
          </w:tcPr>
          <w:p w14:paraId="137C4594" w14:textId="77777777" w:rsidR="00E61075" w:rsidRPr="00E61075" w:rsidRDefault="00E61075" w:rsidP="00E61075">
            <w:pPr>
              <w:jc w:val="both"/>
              <w:rPr>
                <w:rFonts w:ascii="Verdana" w:eastAsia="Calibri" w:hAnsi="Verdana" w:cs="Calibri"/>
              </w:rPr>
            </w:pPr>
            <w:r w:rsidRPr="00E61075">
              <w:rPr>
                <w:rFonts w:ascii="Verdana" w:eastAsia="Calibri" w:hAnsi="Verdana" w:cs="Arial"/>
                <w:lang w:val="es-ES_tradnl" w:eastAsia="es-ES_tradnl"/>
              </w:rPr>
              <w:t>Respuesta a consulta con radicado No. 1_2025_08_27_009125</w:t>
            </w:r>
          </w:p>
        </w:tc>
      </w:tr>
    </w:tbl>
    <w:p w14:paraId="2DE12136" w14:textId="77777777" w:rsidR="00E61075" w:rsidRPr="00E61075" w:rsidRDefault="00E61075" w:rsidP="00E61075">
      <w:pPr>
        <w:spacing w:after="0" w:line="276" w:lineRule="auto"/>
        <w:jc w:val="both"/>
        <w:rPr>
          <w:rFonts w:ascii="Verdana" w:eastAsia="Calibri" w:hAnsi="Verdana" w:cs="Arial"/>
          <w:lang w:val="es-ES_tradnl" w:eastAsia="es-ES_tradnl"/>
        </w:rPr>
      </w:pPr>
    </w:p>
    <w:p w14:paraId="30C3D249" w14:textId="77777777" w:rsidR="00E61075" w:rsidRPr="00E61075" w:rsidRDefault="00E61075" w:rsidP="00E61075">
      <w:pPr>
        <w:spacing w:after="0" w:line="276" w:lineRule="auto"/>
        <w:jc w:val="both"/>
        <w:rPr>
          <w:rFonts w:ascii="Verdana" w:eastAsia="Calibri" w:hAnsi="Verdana" w:cs="Arial"/>
          <w:lang w:val="es-ES_tradnl" w:eastAsia="es-ES_tradnl"/>
        </w:rPr>
      </w:pPr>
    </w:p>
    <w:p w14:paraId="636700CD" w14:textId="77777777" w:rsidR="00E61075" w:rsidRPr="00E61075" w:rsidRDefault="00E61075" w:rsidP="00E61075">
      <w:pPr>
        <w:spacing w:after="0" w:line="276" w:lineRule="auto"/>
        <w:jc w:val="both"/>
        <w:rPr>
          <w:rFonts w:ascii="Verdana" w:eastAsia="Calibri" w:hAnsi="Verdana" w:cs="Arial"/>
          <w:lang w:val="es-ES" w:eastAsia="es-ES"/>
        </w:rPr>
      </w:pPr>
      <w:r w:rsidRPr="00E61075">
        <w:rPr>
          <w:rFonts w:ascii="Verdana" w:eastAsia="Calibri" w:hAnsi="Verdana" w:cs="Arial"/>
          <w:lang w:val="es-ES" w:eastAsia="es-ES"/>
        </w:rPr>
        <w:t xml:space="preserve">Estimada señora Chaverra Arango: </w:t>
      </w:r>
    </w:p>
    <w:p w14:paraId="0196A0DA" w14:textId="77777777" w:rsidR="00E61075" w:rsidRPr="00E61075" w:rsidRDefault="00E61075" w:rsidP="00E61075">
      <w:pPr>
        <w:tabs>
          <w:tab w:val="left" w:pos="3768"/>
        </w:tabs>
        <w:spacing w:after="0" w:line="276" w:lineRule="auto"/>
        <w:jc w:val="both"/>
        <w:rPr>
          <w:rFonts w:ascii="Verdana" w:eastAsia="Calibri" w:hAnsi="Verdana" w:cs="Arial"/>
          <w:lang w:val="es-ES" w:eastAsia="es-ES"/>
        </w:rPr>
      </w:pPr>
      <w:r w:rsidRPr="00E61075">
        <w:rPr>
          <w:rFonts w:ascii="Verdana" w:eastAsia="Calibri" w:hAnsi="Verdana" w:cs="Arial"/>
          <w:lang w:val="es-ES" w:eastAsia="es-ES"/>
        </w:rPr>
        <w:tab/>
      </w:r>
    </w:p>
    <w:p w14:paraId="0AA57FA6" w14:textId="77777777" w:rsidR="00E61075" w:rsidRPr="00E61075" w:rsidRDefault="00E61075" w:rsidP="00E61075">
      <w:pPr>
        <w:spacing w:after="0" w:line="276" w:lineRule="auto"/>
        <w:jc w:val="both"/>
        <w:rPr>
          <w:rFonts w:ascii="Verdana" w:eastAsia="Calibri" w:hAnsi="Verdana" w:cs="Arial"/>
          <w:lang w:val="es-ES" w:eastAsia="es-ES"/>
        </w:rPr>
      </w:pPr>
      <w:r w:rsidRPr="00E61075">
        <w:rPr>
          <w:rFonts w:ascii="Verdana" w:eastAsia="Calibri" w:hAnsi="Verdana" w:cs="Arial"/>
          <w:lang w:val="es-ES" w:eastAsia="es-ES"/>
        </w:rPr>
        <w:t>En ejercicio de la competencia otorgada por los artículos 3, numeral 5º, y 11, numeral 8º, del Decreto Ley 4170 de 2011,</w:t>
      </w:r>
      <w:r w:rsidRPr="00E61075">
        <w:rPr>
          <w:rFonts w:ascii="Verdana" w:eastAsia="Arial MT" w:hAnsi="Verdana" w:cs="Arial MT"/>
          <w:lang w:val="es-ES" w:eastAsia="es-ES"/>
        </w:rPr>
        <w:t xml:space="preserve"> </w:t>
      </w:r>
      <w:r w:rsidRPr="00E61075">
        <w:rPr>
          <w:rFonts w:ascii="Verdana" w:eastAsia="Calibri" w:hAnsi="Verdana" w:cs="Arial"/>
        </w:rPr>
        <w:t xml:space="preserve">así como lo establecido en el artículo 4 de la Resolución 1707 de 2018 expedida por esta Entidad, </w:t>
      </w:r>
      <w:r w:rsidRPr="00E61075">
        <w:rPr>
          <w:rFonts w:ascii="Verdana" w:eastAsia="Calibri" w:hAnsi="Verdana" w:cs="Arial"/>
          <w:lang w:val="es-ES" w:eastAsia="es-ES"/>
        </w:rPr>
        <w:t xml:space="preserve">la Agencia Nacional de Contratación Pública –Colombia Compra Eficiente– responde su solicitud de consulta de fecha 27 de agosto de 2025, en la cual manifiesta lo siguiente: </w:t>
      </w:r>
    </w:p>
    <w:p w14:paraId="0A1EBC7B" w14:textId="77777777" w:rsidR="00E61075" w:rsidRPr="00E61075" w:rsidRDefault="00E61075" w:rsidP="00E61075">
      <w:pPr>
        <w:tabs>
          <w:tab w:val="left" w:pos="142"/>
          <w:tab w:val="left" w:pos="284"/>
        </w:tabs>
        <w:spacing w:after="0" w:line="276" w:lineRule="auto"/>
        <w:jc w:val="both"/>
        <w:rPr>
          <w:rFonts w:ascii="Verdana" w:eastAsia="Century Gothic" w:hAnsi="Verdana" w:cs="Century Gothic"/>
          <w:b/>
          <w:bCs/>
          <w:lang w:val="es-ES"/>
        </w:rPr>
      </w:pPr>
    </w:p>
    <w:p w14:paraId="58316A00" w14:textId="77777777" w:rsidR="00E61075" w:rsidRPr="00E61075" w:rsidRDefault="00E61075" w:rsidP="00E61075">
      <w:pPr>
        <w:spacing w:after="0" w:line="240" w:lineRule="auto"/>
        <w:ind w:left="709" w:right="709"/>
        <w:jc w:val="both"/>
        <w:rPr>
          <w:rFonts w:ascii="Verdana" w:eastAsia="Calibri" w:hAnsi="Verdana" w:cs="Times New Roman"/>
          <w:sz w:val="21"/>
          <w:szCs w:val="21"/>
        </w:rPr>
      </w:pPr>
      <w:r w:rsidRPr="00E61075">
        <w:rPr>
          <w:rFonts w:ascii="Verdana" w:eastAsia="Calibri" w:hAnsi="Verdana" w:cs="Times New Roman"/>
          <w:sz w:val="21"/>
          <w:szCs w:val="21"/>
        </w:rPr>
        <w:t>“[S]</w:t>
      </w:r>
      <w:proofErr w:type="spellStart"/>
      <w:r w:rsidRPr="00E61075">
        <w:rPr>
          <w:rFonts w:ascii="Verdana" w:eastAsia="Calibri" w:hAnsi="Verdana" w:cs="Times New Roman"/>
          <w:sz w:val="21"/>
          <w:szCs w:val="21"/>
        </w:rPr>
        <w:t>olicito</w:t>
      </w:r>
      <w:proofErr w:type="spellEnd"/>
      <w:r w:rsidRPr="00E61075">
        <w:rPr>
          <w:rFonts w:ascii="Verdana" w:eastAsia="Calibri" w:hAnsi="Verdana" w:cs="Times New Roman"/>
          <w:sz w:val="21"/>
          <w:szCs w:val="21"/>
        </w:rPr>
        <w:t xml:space="preserve"> amablemente, me ayuden con la siguiente situación: En un concurso de méritos abierto con pliego tipo de infraestructura de transporte que se </w:t>
      </w:r>
      <w:proofErr w:type="spellStart"/>
      <w:r w:rsidRPr="00E61075">
        <w:rPr>
          <w:rFonts w:ascii="Verdana" w:eastAsia="Calibri" w:hAnsi="Verdana" w:cs="Times New Roman"/>
          <w:sz w:val="21"/>
          <w:szCs w:val="21"/>
        </w:rPr>
        <w:t>limito</w:t>
      </w:r>
      <w:proofErr w:type="spellEnd"/>
      <w:r w:rsidRPr="00E61075">
        <w:rPr>
          <w:rFonts w:ascii="Verdana" w:eastAsia="Calibri" w:hAnsi="Verdana" w:cs="Times New Roman"/>
          <w:sz w:val="21"/>
          <w:szCs w:val="21"/>
        </w:rPr>
        <w:t xml:space="preserve"> a </w:t>
      </w:r>
      <w:proofErr w:type="spellStart"/>
      <w:r w:rsidRPr="00E61075">
        <w:rPr>
          <w:rFonts w:ascii="Verdana" w:eastAsia="Calibri" w:hAnsi="Verdana" w:cs="Times New Roman"/>
          <w:sz w:val="21"/>
          <w:szCs w:val="21"/>
        </w:rPr>
        <w:t>Mipyme</w:t>
      </w:r>
      <w:proofErr w:type="spellEnd"/>
      <w:r w:rsidRPr="00E61075">
        <w:rPr>
          <w:rFonts w:ascii="Verdana" w:eastAsia="Calibri" w:hAnsi="Verdana" w:cs="Times New Roman"/>
          <w:sz w:val="21"/>
          <w:szCs w:val="21"/>
        </w:rPr>
        <w:t xml:space="preserve">, un oferente no acredito su condición diligenciando el formato 14 establecido en los pliegos, este oferente se rechaza o puede subsanar el documento”. </w:t>
      </w:r>
    </w:p>
    <w:p w14:paraId="7ABC63BE" w14:textId="77777777" w:rsidR="00E61075" w:rsidRPr="00E61075" w:rsidRDefault="00E61075" w:rsidP="00E61075">
      <w:pPr>
        <w:spacing w:before="12" w:after="12" w:line="240" w:lineRule="auto"/>
        <w:ind w:left="709" w:right="709"/>
        <w:jc w:val="both"/>
        <w:rPr>
          <w:rFonts w:ascii="Verdana" w:eastAsia="Times New Roman" w:hAnsi="Verdana" w:cs="Times New Roman"/>
          <w:lang w:eastAsia="es-CO"/>
        </w:rPr>
      </w:pPr>
    </w:p>
    <w:p w14:paraId="284B5B2C" w14:textId="77777777" w:rsidR="00E61075" w:rsidRPr="00E61075" w:rsidRDefault="00E61075" w:rsidP="00E61075">
      <w:pPr>
        <w:spacing w:after="120" w:line="276" w:lineRule="auto"/>
        <w:ind w:firstLine="708"/>
        <w:jc w:val="both"/>
        <w:rPr>
          <w:rFonts w:ascii="Verdana" w:eastAsia="Calibri" w:hAnsi="Verdana" w:cs="Arial"/>
          <w:color w:val="000000"/>
          <w:lang w:val="es-ES_tradnl" w:eastAsia="es-ES_tradnl"/>
        </w:rPr>
      </w:pPr>
      <w:r w:rsidRPr="00E61075">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61075">
        <w:rPr>
          <w:rFonts w:ascii="Verdana" w:eastAsia="Calibri" w:hAnsi="Verdana" w:cs="Arial"/>
          <w:color w:val="000000"/>
          <w:lang w:val="es-ES_tradnl" w:eastAsia="es-ES_tradnl"/>
        </w:rPr>
        <w:tab/>
      </w:r>
    </w:p>
    <w:p w14:paraId="6DF5773B" w14:textId="77777777" w:rsidR="00E61075" w:rsidRPr="00E61075" w:rsidRDefault="00E61075" w:rsidP="00E61075">
      <w:pPr>
        <w:spacing w:after="0" w:line="276" w:lineRule="auto"/>
        <w:ind w:firstLine="709"/>
        <w:jc w:val="both"/>
        <w:rPr>
          <w:rFonts w:ascii="Verdana" w:eastAsia="Calibri" w:hAnsi="Verdana" w:cs="Arial"/>
          <w:color w:val="000000"/>
          <w:lang w:val="es-ES" w:eastAsia="es-ES"/>
        </w:rPr>
      </w:pPr>
      <w:r w:rsidRPr="00E61075">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CEC00E0" w14:textId="77777777" w:rsidR="00E61075" w:rsidRPr="00E61075" w:rsidRDefault="00E61075" w:rsidP="00E61075">
      <w:pPr>
        <w:spacing w:after="0" w:line="276" w:lineRule="auto"/>
        <w:jc w:val="both"/>
        <w:rPr>
          <w:rFonts w:ascii="Verdana" w:eastAsia="Calibri" w:hAnsi="Verdana" w:cs="Arial"/>
          <w:color w:val="000000"/>
          <w:lang w:val="es-ES" w:eastAsia="es-ES"/>
        </w:rPr>
      </w:pPr>
    </w:p>
    <w:p w14:paraId="04EA87B1" w14:textId="77777777" w:rsidR="00E61075" w:rsidRPr="00E61075" w:rsidRDefault="00E61075" w:rsidP="00E61075">
      <w:pPr>
        <w:numPr>
          <w:ilvl w:val="0"/>
          <w:numId w:val="16"/>
        </w:numPr>
        <w:tabs>
          <w:tab w:val="left" w:pos="142"/>
          <w:tab w:val="left" w:pos="284"/>
        </w:tabs>
        <w:spacing w:after="0" w:line="276" w:lineRule="auto"/>
        <w:ind w:left="357" w:hanging="357"/>
        <w:jc w:val="both"/>
        <w:rPr>
          <w:rFonts w:ascii="Verdana" w:eastAsia="Century Gothic" w:hAnsi="Verdana" w:cs="Century Gothic"/>
          <w:b/>
          <w:bCs/>
          <w:lang w:val="es-ES"/>
        </w:rPr>
      </w:pPr>
      <w:r w:rsidRPr="00E61075">
        <w:rPr>
          <w:rFonts w:ascii="Verdana" w:eastAsia="Century Gothic" w:hAnsi="Verdana" w:cs="Century Gothic"/>
          <w:b/>
          <w:bCs/>
          <w:lang w:val="es-ES"/>
        </w:rPr>
        <w:t>Problema planteado:</w:t>
      </w:r>
    </w:p>
    <w:p w14:paraId="34643D96" w14:textId="77777777" w:rsidR="00E61075" w:rsidRPr="00E61075" w:rsidRDefault="00E61075" w:rsidP="00E61075">
      <w:pPr>
        <w:tabs>
          <w:tab w:val="left" w:pos="426"/>
        </w:tabs>
        <w:spacing w:after="0" w:line="276" w:lineRule="auto"/>
        <w:jc w:val="both"/>
        <w:rPr>
          <w:rFonts w:ascii="Verdana" w:eastAsia="Century Gothic" w:hAnsi="Verdana" w:cs="Century Gothic"/>
          <w:lang w:val="es-ES"/>
        </w:rPr>
      </w:pPr>
    </w:p>
    <w:p w14:paraId="049B6462" w14:textId="77777777" w:rsidR="00E61075" w:rsidRPr="00E61075" w:rsidRDefault="00E61075" w:rsidP="00E61075">
      <w:pPr>
        <w:spacing w:after="0" w:line="276" w:lineRule="auto"/>
        <w:jc w:val="both"/>
        <w:rPr>
          <w:rFonts w:ascii="Verdana" w:eastAsia="Century Gothic" w:hAnsi="Verdana" w:cs="Century Gothic"/>
        </w:rPr>
      </w:pPr>
      <w:r w:rsidRPr="00E61075">
        <w:rPr>
          <w:rFonts w:ascii="Verdana" w:eastAsia="Century Gothic" w:hAnsi="Verdana" w:cs="Century Gothic"/>
        </w:rPr>
        <w:t xml:space="preserve">De acuerdo con el contenido de su solicitud, esta Agencia resolverá el siguiente problema jurídico: ¿el formato de acreditación de </w:t>
      </w:r>
      <w:proofErr w:type="spellStart"/>
      <w:r w:rsidRPr="00E61075">
        <w:rPr>
          <w:rFonts w:ascii="Verdana" w:eastAsia="Century Gothic" w:hAnsi="Verdana" w:cs="Century Gothic"/>
        </w:rPr>
        <w:t>Mipyme</w:t>
      </w:r>
      <w:proofErr w:type="spellEnd"/>
      <w:r w:rsidRPr="00E61075">
        <w:rPr>
          <w:rFonts w:ascii="Verdana" w:eastAsia="Century Gothic" w:hAnsi="Verdana" w:cs="Century Gothic"/>
        </w:rPr>
        <w:t xml:space="preserve"> de los documentos tipo de infraestructura de transporte es subsanable? </w:t>
      </w:r>
    </w:p>
    <w:p w14:paraId="5866C29D" w14:textId="77777777" w:rsidR="00E61075" w:rsidRPr="00E61075" w:rsidRDefault="00E61075" w:rsidP="00E61075">
      <w:pPr>
        <w:spacing w:after="0" w:line="276" w:lineRule="auto"/>
        <w:jc w:val="both"/>
        <w:rPr>
          <w:rFonts w:ascii="Verdana" w:eastAsia="Calibri" w:hAnsi="Verdana" w:cs="Arial"/>
          <w:color w:val="7030A0"/>
        </w:rPr>
      </w:pPr>
    </w:p>
    <w:p w14:paraId="7944F805" w14:textId="77777777" w:rsidR="00E61075" w:rsidRPr="00E61075" w:rsidRDefault="00E61075" w:rsidP="00E61075">
      <w:pPr>
        <w:numPr>
          <w:ilvl w:val="0"/>
          <w:numId w:val="16"/>
        </w:numPr>
        <w:tabs>
          <w:tab w:val="left" w:pos="142"/>
          <w:tab w:val="left" w:pos="284"/>
        </w:tabs>
        <w:spacing w:after="0" w:line="276" w:lineRule="auto"/>
        <w:ind w:left="357" w:hanging="357"/>
        <w:jc w:val="both"/>
        <w:rPr>
          <w:rFonts w:ascii="Verdana" w:eastAsia="Century Gothic" w:hAnsi="Verdana" w:cs="Century Gothic"/>
          <w:b/>
          <w:bCs/>
          <w:lang w:val="es-ES"/>
        </w:rPr>
      </w:pPr>
      <w:r w:rsidRPr="00E61075">
        <w:rPr>
          <w:rFonts w:ascii="Verdana" w:eastAsia="Century Gothic" w:hAnsi="Verdana" w:cs="Century Gothic"/>
          <w:b/>
          <w:bCs/>
          <w:lang w:val="es-ES"/>
        </w:rPr>
        <w:t>Respuesta:</w:t>
      </w:r>
    </w:p>
    <w:p w14:paraId="65EBC2BD" w14:textId="77777777" w:rsidR="00E61075" w:rsidRPr="00E61075" w:rsidRDefault="00E61075" w:rsidP="00E61075">
      <w:pPr>
        <w:tabs>
          <w:tab w:val="left" w:pos="142"/>
          <w:tab w:val="left" w:pos="284"/>
        </w:tabs>
        <w:spacing w:after="0" w:line="276" w:lineRule="auto"/>
        <w:jc w:val="both"/>
        <w:rPr>
          <w:rFonts w:ascii="Verdana" w:eastAsia="Century Gothic" w:hAnsi="Verdana" w:cs="Century Gothic"/>
          <w:b/>
          <w:bCs/>
          <w:highlight w:val="yellow"/>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61075" w:rsidRPr="00E61075" w14:paraId="335947C7" w14:textId="77777777">
        <w:tc>
          <w:tcPr>
            <w:tcW w:w="8828" w:type="dxa"/>
          </w:tcPr>
          <w:p w14:paraId="209AAE4B" w14:textId="77777777" w:rsidR="00E61075" w:rsidRPr="00E61075" w:rsidRDefault="00E61075" w:rsidP="00E61075">
            <w:pPr>
              <w:spacing w:after="120" w:line="276" w:lineRule="auto"/>
              <w:jc w:val="both"/>
              <w:rPr>
                <w:rFonts w:ascii="Verdana" w:eastAsia="Calibri" w:hAnsi="Verdana" w:cs="Arial"/>
              </w:rPr>
            </w:pPr>
            <w:r w:rsidRPr="00E61075">
              <w:rPr>
                <w:rFonts w:ascii="Verdana" w:eastAsia="Calibri" w:hAnsi="Verdana" w:cs="Arial"/>
              </w:rPr>
              <w:t xml:space="preserve">La regla de </w:t>
            </w:r>
            <w:proofErr w:type="spellStart"/>
            <w:r w:rsidRPr="00E61075">
              <w:rPr>
                <w:rFonts w:ascii="Verdana" w:eastAsia="Calibri" w:hAnsi="Verdana" w:cs="Arial"/>
              </w:rPr>
              <w:t>subsanabilidad</w:t>
            </w:r>
            <w:proofErr w:type="spellEnd"/>
            <w:r w:rsidRPr="00E61075">
              <w:rPr>
                <w:rFonts w:ascii="Verdana" w:eastAsia="Calibri" w:hAnsi="Verdana" w:cs="Arial"/>
              </w:rPr>
              <w:t xml:space="preserve">, dispuesta en el artículo 5 de la Ley 1150 de 2007, es un mecanismo previsto en los procesos de contratación estatal que se regulan por el EGCAP, según la cual los proponentes pueden enmendar, corregir o modificar los errores en los que se incurre en los documentos contentivos de la oferta. </w:t>
            </w:r>
          </w:p>
          <w:p w14:paraId="691D40B8" w14:textId="77777777" w:rsidR="00E61075" w:rsidRPr="00E61075" w:rsidRDefault="00E61075" w:rsidP="00E61075">
            <w:pPr>
              <w:spacing w:after="120" w:line="276" w:lineRule="auto"/>
              <w:ind w:firstLine="708"/>
              <w:jc w:val="both"/>
              <w:rPr>
                <w:rFonts w:ascii="Verdana" w:eastAsia="Times New Roman" w:hAnsi="Verdana" w:cs="Arial"/>
                <w:i/>
                <w:lang w:val="es-ES" w:eastAsia="es-ES"/>
              </w:rPr>
            </w:pPr>
            <w:r w:rsidRPr="00E61075">
              <w:rPr>
                <w:rFonts w:ascii="Verdana" w:eastAsia="Calibri" w:hAnsi="Verdana" w:cs="Arial"/>
                <w:noProof/>
                <w:lang w:val="es-ES_tradnl"/>
              </w:rPr>
              <w:t xml:space="preserve">Conforme a las reglas de subsanabilidad, los requisitos o documentos que no sean necesarios para la comparación de las ofertas pueden subsanarse y todo lo que no sea necesario para la comparación de propuestas no es título suficiente para su rechazo. </w:t>
            </w:r>
          </w:p>
          <w:p w14:paraId="2248CC01" w14:textId="77777777" w:rsidR="00E61075" w:rsidRPr="00E61075" w:rsidRDefault="00E61075" w:rsidP="00E61075">
            <w:pPr>
              <w:spacing w:after="120" w:line="276" w:lineRule="auto"/>
              <w:ind w:firstLine="709"/>
              <w:jc w:val="both"/>
              <w:rPr>
                <w:rFonts w:ascii="Verdana" w:eastAsia="Times New Roman" w:hAnsi="Verdana" w:cs="Arial"/>
                <w:lang w:val="es-ES" w:eastAsia="es-ES"/>
              </w:rPr>
            </w:pPr>
            <w:r w:rsidRPr="4A53AE23">
              <w:rPr>
                <w:rFonts w:ascii="Verdana" w:eastAsia="Times New Roman" w:hAnsi="Verdana" w:cs="Arial"/>
                <w:lang w:val="es-ES" w:eastAsia="es-ES"/>
              </w:rPr>
              <w:lastRenderedPageBreak/>
              <w:t xml:space="preserve">De acuerdo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5DC71130" w14:textId="77777777" w:rsidR="00E61075" w:rsidRPr="00E61075" w:rsidRDefault="00E61075" w:rsidP="00E61075">
            <w:pPr>
              <w:spacing w:after="120" w:line="276" w:lineRule="auto"/>
              <w:ind w:firstLine="708"/>
              <w:jc w:val="both"/>
              <w:rPr>
                <w:rFonts w:ascii="Verdana" w:eastAsia="Calibri" w:hAnsi="Verdana" w:cs="Arial"/>
                <w:color w:val="000000"/>
              </w:rPr>
            </w:pPr>
            <w:r w:rsidRPr="00E61075">
              <w:rPr>
                <w:rFonts w:ascii="Verdana" w:eastAsia="Calibri" w:hAnsi="Verdana" w:cs="Arial"/>
                <w:color w:val="000000"/>
              </w:rPr>
              <w:t xml:space="preserve">Las anteriores consideraciones son, claramente, aplicables a los documentos tipo expedidos por esta Agencia. Por lo tanto, tratándose de los documentos tipo de infraestructura de transporte, el Formato de Acreditación de </w:t>
            </w:r>
            <w:proofErr w:type="spellStart"/>
            <w:r w:rsidRPr="00E61075">
              <w:rPr>
                <w:rFonts w:ascii="Verdana" w:eastAsia="Calibri" w:hAnsi="Verdana" w:cs="Arial"/>
                <w:color w:val="000000"/>
              </w:rPr>
              <w:t>Mipyme</w:t>
            </w:r>
            <w:proofErr w:type="spellEnd"/>
            <w:r w:rsidRPr="00E61075">
              <w:rPr>
                <w:rFonts w:ascii="Verdana" w:eastAsia="Calibri" w:hAnsi="Verdana" w:cs="Arial"/>
                <w:color w:val="000000"/>
              </w:rPr>
              <w:t xml:space="preserve"> y, en general, la acreditación de dicha condición, será, en principio, subsanable, siempre y cuando se refiera a la habilitación para poder participar en el respectivo proceso de contratación, teniendo en cuenta los aspectos que pueden subsanarse explicados en este concepto.</w:t>
            </w:r>
          </w:p>
          <w:p w14:paraId="38EB3B93" w14:textId="77777777" w:rsidR="00E61075" w:rsidRPr="00E61075" w:rsidRDefault="00E61075" w:rsidP="00E61075">
            <w:pPr>
              <w:spacing w:line="276" w:lineRule="auto"/>
              <w:ind w:firstLine="708"/>
              <w:jc w:val="both"/>
              <w:rPr>
                <w:rFonts w:ascii="Verdana" w:eastAsia="Calibri" w:hAnsi="Verdana" w:cs="Arial"/>
                <w:color w:val="000000"/>
              </w:rPr>
            </w:pPr>
            <w:r w:rsidRPr="00E61075">
              <w:rPr>
                <w:rFonts w:ascii="Verdana" w:eastAsia="Calibri" w:hAnsi="Verdana" w:cs="Arial"/>
                <w:color w:val="000000"/>
              </w:rPr>
              <w:t xml:space="preserve">Por el contrario, si con la acreditación de la condición de </w:t>
            </w:r>
            <w:proofErr w:type="spellStart"/>
            <w:r w:rsidRPr="00E61075">
              <w:rPr>
                <w:rFonts w:ascii="Verdana" w:eastAsia="Calibri" w:hAnsi="Verdana" w:cs="Arial"/>
                <w:color w:val="000000"/>
              </w:rPr>
              <w:t>Mipyme</w:t>
            </w:r>
            <w:proofErr w:type="spellEnd"/>
            <w:r w:rsidRPr="00E61075">
              <w:rPr>
                <w:rFonts w:ascii="Verdana" w:eastAsia="Calibri" w:hAnsi="Verdana" w:cs="Arial"/>
                <w:color w:val="000000"/>
              </w:rPr>
              <w:t xml:space="preserve"> se afecta la asignación del puntaje, esto no podrá ser objeto de subsanación, en consideración a que no pueden subsanarse aspectos que otorgan puntaje, ni acreditarse circunstancias ocurridas con posterioridad al cierre del proceso de selección. </w:t>
            </w:r>
            <w:r w:rsidRPr="00E61075">
              <w:rPr>
                <w:rFonts w:ascii="Verdana" w:eastAsia="Times New Roman" w:hAnsi="Verdana" w:cs="Arial"/>
                <w:lang w:val="es-ES" w:eastAsia="es-ES"/>
              </w:rPr>
              <w:t xml:space="preserve"> </w:t>
            </w:r>
          </w:p>
        </w:tc>
      </w:tr>
    </w:tbl>
    <w:p w14:paraId="03235AD0" w14:textId="77777777" w:rsidR="00E61075" w:rsidRPr="00E61075" w:rsidRDefault="00E61075" w:rsidP="00E61075">
      <w:pPr>
        <w:tabs>
          <w:tab w:val="left" w:pos="142"/>
          <w:tab w:val="left" w:pos="284"/>
        </w:tabs>
        <w:spacing w:after="0" w:line="276" w:lineRule="auto"/>
        <w:jc w:val="both"/>
        <w:rPr>
          <w:rFonts w:ascii="Verdana" w:eastAsia="Century Gothic" w:hAnsi="Verdana" w:cs="Century Gothic"/>
          <w:b/>
          <w:bCs/>
          <w:lang w:val="es-ES"/>
        </w:rPr>
      </w:pPr>
    </w:p>
    <w:p w14:paraId="7E5F95E8" w14:textId="77777777" w:rsidR="00E61075" w:rsidRPr="00E61075" w:rsidRDefault="00E61075" w:rsidP="00E61075">
      <w:pPr>
        <w:numPr>
          <w:ilvl w:val="0"/>
          <w:numId w:val="16"/>
        </w:numPr>
        <w:tabs>
          <w:tab w:val="left" w:pos="142"/>
          <w:tab w:val="left" w:pos="284"/>
        </w:tabs>
        <w:spacing w:after="0" w:line="276" w:lineRule="auto"/>
        <w:ind w:left="357" w:hanging="357"/>
        <w:jc w:val="both"/>
        <w:rPr>
          <w:rFonts w:ascii="Verdana" w:eastAsia="Calibri" w:hAnsi="Verdana" w:cs="Arial"/>
          <w:color w:val="7030A0"/>
          <w:lang w:val="es-ES"/>
        </w:rPr>
      </w:pPr>
      <w:r w:rsidRPr="00E61075">
        <w:rPr>
          <w:rFonts w:ascii="Verdana" w:eastAsia="Century Gothic" w:hAnsi="Verdana" w:cs="Century Gothic"/>
          <w:b/>
          <w:bCs/>
          <w:lang w:val="es-ES"/>
        </w:rPr>
        <w:t>Razones de la respuesta:</w:t>
      </w:r>
    </w:p>
    <w:p w14:paraId="3406D5E7" w14:textId="77777777" w:rsidR="00E61075" w:rsidRPr="00E61075" w:rsidRDefault="00E61075" w:rsidP="00E61075">
      <w:pPr>
        <w:spacing w:after="0" w:line="276" w:lineRule="auto"/>
        <w:jc w:val="both"/>
        <w:rPr>
          <w:rFonts w:ascii="Verdana" w:eastAsia="Calibri" w:hAnsi="Verdana" w:cs="Arial"/>
          <w:lang w:val="es-ES" w:eastAsia="es-ES"/>
        </w:rPr>
      </w:pPr>
    </w:p>
    <w:p w14:paraId="0548C9A0" w14:textId="77777777" w:rsidR="00E61075" w:rsidRPr="00E61075" w:rsidRDefault="00E61075" w:rsidP="00E61075">
      <w:pPr>
        <w:spacing w:after="0" w:line="276" w:lineRule="auto"/>
        <w:jc w:val="both"/>
        <w:rPr>
          <w:rFonts w:ascii="Verdana" w:eastAsia="Calibri" w:hAnsi="Verdana" w:cs="Arial"/>
        </w:rPr>
      </w:pPr>
      <w:r w:rsidRPr="00E61075">
        <w:rPr>
          <w:rFonts w:ascii="Verdana" w:eastAsia="Calibri" w:hAnsi="Verdana" w:cs="Arial"/>
        </w:rPr>
        <w:t xml:space="preserve">Lo anterior se sustenta en las siguientes consideraciones: </w:t>
      </w:r>
    </w:p>
    <w:p w14:paraId="546BB645" w14:textId="77777777" w:rsidR="00E61075" w:rsidRPr="00E61075" w:rsidRDefault="00E61075" w:rsidP="00E61075">
      <w:pPr>
        <w:spacing w:after="0" w:line="276" w:lineRule="auto"/>
        <w:jc w:val="both"/>
        <w:rPr>
          <w:rFonts w:ascii="Verdana" w:eastAsia="Calibri" w:hAnsi="Verdana" w:cs="Arial"/>
        </w:rPr>
      </w:pPr>
    </w:p>
    <w:p w14:paraId="433C6948" w14:textId="77777777" w:rsidR="00E61075" w:rsidRPr="00E61075" w:rsidRDefault="00E61075" w:rsidP="00E61075">
      <w:pPr>
        <w:spacing w:after="120" w:line="276" w:lineRule="auto"/>
        <w:jc w:val="both"/>
        <w:rPr>
          <w:rFonts w:ascii="Verdana" w:eastAsia="Times New Roman" w:hAnsi="Verdana" w:cs="Arial"/>
          <w:lang w:val="es-ES_tradnl" w:eastAsia="es-ES_tradnl"/>
        </w:rPr>
      </w:pPr>
      <w:r w:rsidRPr="00E61075">
        <w:rPr>
          <w:rFonts w:ascii="Verdana" w:eastAsia="Calibri" w:hAnsi="Verdana" w:cs="Arial"/>
          <w:noProof/>
          <w:lang w:val="es-ES_tradnl"/>
        </w:rPr>
        <w:t>L</w:t>
      </w:r>
      <w:r w:rsidRPr="00E61075">
        <w:rPr>
          <w:rFonts w:ascii="Verdana" w:eastAsia="Times New Roman" w:hAnsi="Verdana" w:cs="Arial"/>
        </w:rPr>
        <w:t xml:space="preserve">a regla de la </w:t>
      </w:r>
      <w:proofErr w:type="spellStart"/>
      <w:r w:rsidRPr="00E61075">
        <w:rPr>
          <w:rFonts w:ascii="Verdana" w:eastAsia="Times New Roman" w:hAnsi="Verdana" w:cs="Arial"/>
        </w:rPr>
        <w:t>subsanabilidad</w:t>
      </w:r>
      <w:proofErr w:type="spellEnd"/>
      <w:r w:rsidRPr="00E61075">
        <w:rPr>
          <w:rFonts w:ascii="Verdana" w:eastAsia="Times New Roman" w:hAnsi="Verdana" w:cs="Arial"/>
        </w:rPr>
        <w:t xml:space="preserve"> de las ofertas en los procedimientos de selección</w:t>
      </w:r>
      <w:r w:rsidRPr="00E61075">
        <w:rPr>
          <w:rFonts w:ascii="Verdana" w:eastAsia="Times New Roman" w:hAnsi="Verdana" w:cs="Arial"/>
          <w:b/>
          <w:bCs/>
        </w:rPr>
        <w:t xml:space="preserve"> </w:t>
      </w:r>
      <w:r w:rsidRPr="00E61075">
        <w:rPr>
          <w:rFonts w:ascii="Verdana" w:eastAsia="Times New Roman" w:hAnsi="Verdana" w:cs="Arial"/>
          <w:lang w:val="es-ES_tradnl" w:eastAsia="es-ES_tradnl"/>
        </w:rPr>
        <w:t>indica que, por regla general, la falta de entrega y los defectos en la acreditación de los requisitos habilitantes son aspectos subsanables. La excepción a esta regla se encuentra en la prohibición de permitir que se subsanen aspectos que otorgan puntaje, la acreditación de circunstancias ocurridas con posterioridad al cierre del proceso y de permitir la entrega de la garantía de seriedad de la oferta que no fue aportada con la propuesta.</w:t>
      </w:r>
    </w:p>
    <w:p w14:paraId="7F9FBE6D" w14:textId="77777777" w:rsidR="00E61075" w:rsidRPr="00E61075" w:rsidRDefault="00E61075" w:rsidP="00E61075">
      <w:pPr>
        <w:spacing w:after="120" w:line="276" w:lineRule="auto"/>
        <w:ind w:firstLine="708"/>
        <w:jc w:val="both"/>
        <w:rPr>
          <w:rFonts w:ascii="Verdana" w:eastAsia="Times New Roman" w:hAnsi="Verdana" w:cs="Arial"/>
          <w:lang w:val="es-ES" w:eastAsia="es-ES"/>
        </w:rPr>
      </w:pPr>
      <w:r w:rsidRPr="00E61075">
        <w:rPr>
          <w:rFonts w:ascii="Verdana" w:eastAsia="Times New Roman" w:hAnsi="Verdana" w:cs="Arial"/>
          <w:lang w:val="es-ES_tradnl" w:eastAsia="es-ES_tradnl"/>
        </w:rPr>
        <w:t>La posibilidad de enmendar, corregir o subsanar los errores en los que se incurre en los documentos contentivos de la oferta es un tema que ha tenido diferentes momentos o etapas en el ordenamiento jurídico colombiano, momentos que se han expuesto de manera detallada en conceptos como el C-</w:t>
      </w:r>
      <w:r w:rsidRPr="00E61075">
        <w:rPr>
          <w:rFonts w:ascii="Verdana" w:eastAsia="Times New Roman" w:hAnsi="Verdana" w:cs="Arial"/>
          <w:lang w:val="es-ES_tradnl" w:eastAsia="es-ES_tradnl"/>
        </w:rPr>
        <w:lastRenderedPageBreak/>
        <w:t>285 del 20 de mayo de 2022</w:t>
      </w:r>
      <w:r w:rsidRPr="00E61075">
        <w:rPr>
          <w:rFonts w:ascii="Verdana" w:eastAsia="Times New Roman" w:hAnsi="Verdana" w:cs="Arial"/>
          <w:vertAlign w:val="superscript"/>
          <w:lang w:val="es-ES_tradnl" w:eastAsia="es-ES_tradnl"/>
        </w:rPr>
        <w:footnoteReference w:id="1"/>
      </w:r>
      <w:r w:rsidRPr="00E61075">
        <w:rPr>
          <w:rFonts w:ascii="Verdana" w:eastAsia="Times New Roman" w:hAnsi="Verdana" w:cs="Arial"/>
          <w:lang w:val="es-ES_tradnl" w:eastAsia="es-ES_tradnl"/>
        </w:rPr>
        <w:t xml:space="preserve"> o el C-447 del 19 de septiembre de 2024</w:t>
      </w:r>
      <w:r w:rsidRPr="00E61075">
        <w:rPr>
          <w:rFonts w:ascii="Verdana" w:eastAsia="Times New Roman" w:hAnsi="Verdana" w:cs="Arial"/>
          <w:vertAlign w:val="superscript"/>
          <w:lang w:val="es-ES_tradnl" w:eastAsia="es-ES_tradnl"/>
        </w:rPr>
        <w:footnoteReference w:id="2"/>
      </w:r>
      <w:r w:rsidRPr="00E61075">
        <w:rPr>
          <w:rFonts w:ascii="Verdana" w:eastAsia="Times New Roman" w:hAnsi="Verdana" w:cs="Arial"/>
          <w:lang w:val="es-ES_tradnl" w:eastAsia="es-ES_tradnl"/>
        </w:rPr>
        <w:t>, los cuales, en el evento en que tenga interés, podrá consultar en los enlaces de la nota al pie. Sin embargo</w:t>
      </w:r>
      <w:r w:rsidRPr="00E61075">
        <w:rPr>
          <w:rFonts w:ascii="Verdana" w:eastAsia="Times New Roman" w:hAnsi="Verdana" w:cs="Arial"/>
          <w:lang w:val="es-ES" w:eastAsia="es-ES"/>
        </w:rPr>
        <w:t xml:space="preserve">, a continuación, se hará referencia particularmente al último momento, que refleja la postura vigente en torno a la </w:t>
      </w:r>
      <w:proofErr w:type="spellStart"/>
      <w:r w:rsidRPr="00E61075">
        <w:rPr>
          <w:rFonts w:ascii="Verdana" w:eastAsia="Times New Roman" w:hAnsi="Verdana" w:cs="Arial"/>
          <w:lang w:val="es-ES" w:eastAsia="es-ES"/>
        </w:rPr>
        <w:t>subsanabilidad</w:t>
      </w:r>
      <w:proofErr w:type="spellEnd"/>
      <w:r w:rsidRPr="00E61075">
        <w:rPr>
          <w:rFonts w:ascii="Verdana" w:eastAsia="Times New Roman" w:hAnsi="Verdana" w:cs="Arial"/>
          <w:lang w:val="es-ES" w:eastAsia="es-ES"/>
        </w:rPr>
        <w:t>.</w:t>
      </w:r>
    </w:p>
    <w:p w14:paraId="2E59628B" w14:textId="77777777" w:rsidR="00E61075" w:rsidRPr="00E61075" w:rsidRDefault="00E61075" w:rsidP="00E61075">
      <w:pPr>
        <w:tabs>
          <w:tab w:val="left" w:pos="284"/>
        </w:tabs>
        <w:spacing w:after="0" w:line="276" w:lineRule="auto"/>
        <w:ind w:firstLine="709"/>
        <w:jc w:val="both"/>
        <w:rPr>
          <w:rFonts w:ascii="Verdana" w:eastAsia="Times New Roman" w:hAnsi="Verdana" w:cs="Arial"/>
          <w:lang w:val="es-ES_tradnl" w:eastAsia="es-CO"/>
        </w:rPr>
      </w:pPr>
      <w:r w:rsidRPr="00E61075">
        <w:rPr>
          <w:rFonts w:ascii="Verdana" w:eastAsia="Times New Roman" w:hAnsi="Verdana" w:cs="Arial"/>
          <w:lang w:val="es-ES_tradnl" w:eastAsia="es-ES_tradnl"/>
        </w:rPr>
        <w:t xml:space="preserve">La expedición de la Ley </w:t>
      </w:r>
      <w:r w:rsidRPr="00E61075">
        <w:rPr>
          <w:rFonts w:ascii="Verdana" w:eastAsia="Times New Roman" w:hAnsi="Verdana" w:cs="Arial"/>
          <w:lang w:val="es-ES_tradnl" w:eastAsia="es-CO"/>
        </w:rPr>
        <w:t xml:space="preserve">1882 de 2018 tuvo por finalidad la de introducir cambios y ajustes para fortalecer la contratación pública. En ese orden, mediante su artículo 5 modificó el parágrafo 1º y adicionó algunos otros, entre ellos el 3° y 4° del artículo 5 de la Ley 1150 de 2007, en los siguientes términos: </w:t>
      </w:r>
    </w:p>
    <w:p w14:paraId="36264D95" w14:textId="77777777" w:rsidR="00E61075" w:rsidRPr="00E61075" w:rsidRDefault="00E61075" w:rsidP="00E61075">
      <w:pPr>
        <w:spacing w:after="0" w:line="276" w:lineRule="auto"/>
        <w:ind w:left="709" w:right="709"/>
        <w:jc w:val="both"/>
        <w:rPr>
          <w:rFonts w:ascii="Verdana" w:eastAsia="Times New Roman" w:hAnsi="Verdana" w:cs="Arial"/>
          <w:lang w:val="es-ES_tradnl" w:eastAsia="es-CO"/>
        </w:rPr>
      </w:pPr>
    </w:p>
    <w:p w14:paraId="767B13DC" w14:textId="77777777" w:rsidR="00E61075" w:rsidRPr="00E61075" w:rsidRDefault="00E61075" w:rsidP="00E61075">
      <w:pPr>
        <w:spacing w:after="0" w:line="240" w:lineRule="auto"/>
        <w:ind w:left="709" w:right="709"/>
        <w:jc w:val="both"/>
        <w:rPr>
          <w:rFonts w:ascii="Verdana" w:eastAsia="Times New Roman" w:hAnsi="Verdana" w:cs="Arial"/>
          <w:sz w:val="21"/>
          <w:szCs w:val="21"/>
          <w:lang w:val="es-ES_tradnl" w:eastAsia="es-CO"/>
        </w:rPr>
      </w:pPr>
      <w:r w:rsidRPr="00E61075">
        <w:rPr>
          <w:rFonts w:ascii="Verdana" w:eastAsia="Times New Roman" w:hAnsi="Verdana" w:cs="Arial"/>
          <w:sz w:val="21"/>
          <w:szCs w:val="21"/>
          <w:lang w:val="es-ES_tradnl" w:eastAsia="es-CO"/>
        </w:rPr>
        <w:t xml:space="preserve">“Artículo 5°. De la selección objetiva. </w:t>
      </w:r>
    </w:p>
    <w:p w14:paraId="6AB5CABE" w14:textId="77777777" w:rsidR="00E61075" w:rsidRPr="00E61075" w:rsidRDefault="00E61075" w:rsidP="00E61075">
      <w:pPr>
        <w:spacing w:after="0" w:line="240" w:lineRule="auto"/>
        <w:ind w:left="709" w:right="709"/>
        <w:jc w:val="both"/>
        <w:textAlignment w:val="baseline"/>
        <w:rPr>
          <w:rFonts w:ascii="Verdana" w:eastAsia="Times New Roman" w:hAnsi="Verdana" w:cs="Arial"/>
          <w:color w:val="000000"/>
          <w:sz w:val="21"/>
          <w:szCs w:val="21"/>
          <w:lang w:val="es-ES" w:eastAsia="es-CO"/>
        </w:rPr>
      </w:pPr>
    </w:p>
    <w:p w14:paraId="5B2FC38C" w14:textId="77777777" w:rsidR="00E61075" w:rsidRPr="00E61075" w:rsidRDefault="00E61075" w:rsidP="00E61075">
      <w:pPr>
        <w:spacing w:after="0" w:line="240" w:lineRule="auto"/>
        <w:ind w:left="709" w:right="709"/>
        <w:jc w:val="both"/>
        <w:textAlignment w:val="baseline"/>
        <w:rPr>
          <w:rFonts w:ascii="Verdana" w:eastAsia="Times New Roman" w:hAnsi="Verdana" w:cs="Segoe UI"/>
          <w:sz w:val="21"/>
          <w:szCs w:val="21"/>
          <w:lang w:eastAsia="es-CO"/>
        </w:rPr>
      </w:pPr>
      <w:r w:rsidRPr="00E61075">
        <w:rPr>
          <w:rFonts w:ascii="Verdana" w:eastAsia="Times New Roman" w:hAnsi="Verdana" w:cs="Arial"/>
          <w:color w:val="000000"/>
          <w:sz w:val="21"/>
          <w:szCs w:val="21"/>
          <w:lang w:val="es-ES" w:eastAsia="es-CO"/>
        </w:rPr>
        <w:t xml:space="preserve">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w:t>
      </w:r>
      <w:proofErr w:type="gramStart"/>
      <w:r w:rsidRPr="00E61075">
        <w:rPr>
          <w:rFonts w:ascii="Verdana" w:eastAsia="Times New Roman" w:hAnsi="Verdana" w:cs="Arial"/>
          <w:color w:val="000000"/>
          <w:sz w:val="21"/>
          <w:szCs w:val="21"/>
          <w:lang w:val="es-ES" w:eastAsia="es-CO"/>
        </w:rPr>
        <w:t>equivalentes,</w:t>
      </w:r>
      <w:proofErr w:type="gramEnd"/>
      <w:r w:rsidRPr="00E61075">
        <w:rPr>
          <w:rFonts w:ascii="Verdana" w:eastAsia="Times New Roman" w:hAnsi="Verdana" w:cs="Arial"/>
          <w:color w:val="000000"/>
          <w:sz w:val="21"/>
          <w:szCs w:val="21"/>
          <w:lang w:val="es-ES" w:eastAsia="es-CO"/>
        </w:rPr>
        <w:t xml:space="preserve"> tendrán en cuenta los siguientes criterios:</w:t>
      </w:r>
      <w:r w:rsidRPr="00E61075">
        <w:rPr>
          <w:rFonts w:ascii="Verdana" w:eastAsia="Times New Roman" w:hAnsi="Verdana" w:cs="Arial"/>
          <w:color w:val="000000"/>
          <w:sz w:val="21"/>
          <w:szCs w:val="21"/>
          <w:lang w:eastAsia="es-CO"/>
        </w:rPr>
        <w:t> </w:t>
      </w:r>
    </w:p>
    <w:p w14:paraId="526DBA9C" w14:textId="77777777" w:rsidR="00E61075" w:rsidRPr="00E61075" w:rsidRDefault="00E61075" w:rsidP="00E61075">
      <w:pPr>
        <w:spacing w:after="0" w:line="240" w:lineRule="auto"/>
        <w:ind w:left="709" w:right="709"/>
        <w:jc w:val="both"/>
        <w:textAlignment w:val="baseline"/>
        <w:rPr>
          <w:rFonts w:ascii="Verdana" w:eastAsia="Times New Roman" w:hAnsi="Verdana" w:cs="Segoe UI"/>
          <w:sz w:val="21"/>
          <w:szCs w:val="21"/>
          <w:lang w:eastAsia="es-CO"/>
        </w:rPr>
      </w:pPr>
      <w:r w:rsidRPr="00E61075">
        <w:rPr>
          <w:rFonts w:ascii="Verdana" w:eastAsia="Times New Roman" w:hAnsi="Verdana" w:cs="Arial"/>
          <w:color w:val="000000"/>
          <w:sz w:val="21"/>
          <w:szCs w:val="21"/>
          <w:lang w:eastAsia="es-CO"/>
        </w:rPr>
        <w:t> </w:t>
      </w:r>
    </w:p>
    <w:p w14:paraId="569CC9F6" w14:textId="77777777" w:rsidR="00E61075" w:rsidRPr="00E61075" w:rsidRDefault="00E61075" w:rsidP="00E61075">
      <w:pPr>
        <w:spacing w:after="0" w:line="240" w:lineRule="auto"/>
        <w:ind w:left="709" w:right="709"/>
        <w:jc w:val="both"/>
        <w:textAlignment w:val="baseline"/>
        <w:rPr>
          <w:rFonts w:ascii="Verdana" w:eastAsia="Times New Roman" w:hAnsi="Verdana" w:cs="Segoe UI"/>
          <w:sz w:val="21"/>
          <w:szCs w:val="21"/>
          <w:lang w:eastAsia="es-CO"/>
        </w:rPr>
      </w:pPr>
      <w:r w:rsidRPr="00E61075">
        <w:rPr>
          <w:rFonts w:ascii="Verdana" w:eastAsia="Times New Roman" w:hAnsi="Verdana" w:cs="Arial"/>
          <w:color w:val="000000"/>
          <w:sz w:val="21"/>
          <w:szCs w:val="21"/>
          <w:lang w:val="es-ES" w:eastAsia="es-CO"/>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r w:rsidRPr="00E61075">
        <w:rPr>
          <w:rFonts w:ascii="Verdana" w:eastAsia="Times New Roman" w:hAnsi="Verdana" w:cs="Arial"/>
          <w:color w:val="000000"/>
          <w:sz w:val="21"/>
          <w:szCs w:val="21"/>
          <w:lang w:eastAsia="es-CO"/>
        </w:rPr>
        <w:t> </w:t>
      </w:r>
    </w:p>
    <w:p w14:paraId="57FCD3A8" w14:textId="77777777" w:rsidR="00E61075" w:rsidRPr="00E61075" w:rsidRDefault="00E61075" w:rsidP="00E61075">
      <w:pPr>
        <w:spacing w:after="0" w:line="240" w:lineRule="auto"/>
        <w:ind w:left="709" w:right="709"/>
        <w:jc w:val="both"/>
        <w:textAlignment w:val="baseline"/>
        <w:rPr>
          <w:rFonts w:ascii="Verdana" w:eastAsia="Times New Roman" w:hAnsi="Verdana" w:cs="Segoe UI"/>
          <w:sz w:val="21"/>
          <w:szCs w:val="21"/>
          <w:lang w:eastAsia="es-CO"/>
        </w:rPr>
      </w:pPr>
      <w:r w:rsidRPr="00E61075">
        <w:rPr>
          <w:rFonts w:ascii="Verdana" w:eastAsia="Times New Roman" w:hAnsi="Verdana" w:cs="Arial"/>
          <w:color w:val="000000"/>
          <w:sz w:val="21"/>
          <w:szCs w:val="21"/>
          <w:lang w:eastAsia="es-CO"/>
        </w:rPr>
        <w:t> </w:t>
      </w:r>
    </w:p>
    <w:p w14:paraId="1950C673" w14:textId="77777777" w:rsidR="00E61075" w:rsidRPr="00E61075" w:rsidRDefault="00E61075" w:rsidP="00E61075">
      <w:pPr>
        <w:spacing w:after="0" w:line="240" w:lineRule="auto"/>
        <w:ind w:left="709" w:right="709"/>
        <w:jc w:val="both"/>
        <w:textAlignment w:val="baseline"/>
        <w:rPr>
          <w:rFonts w:ascii="Verdana" w:eastAsia="Times New Roman" w:hAnsi="Verdana" w:cs="Segoe UI"/>
          <w:sz w:val="21"/>
          <w:szCs w:val="21"/>
          <w:lang w:eastAsia="es-CO"/>
        </w:rPr>
      </w:pPr>
      <w:r w:rsidRPr="00E61075">
        <w:rPr>
          <w:rFonts w:ascii="Verdana" w:eastAsia="Times New Roman" w:hAnsi="Verdana" w:cs="Arial"/>
          <w:color w:val="000000"/>
          <w:sz w:val="21"/>
          <w:szCs w:val="21"/>
          <w:lang w:val="es-ES" w:eastAsia="es-CO"/>
        </w:rPr>
        <w:t xml:space="preserve">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w:t>
      </w:r>
      <w:r w:rsidRPr="00E61075">
        <w:rPr>
          <w:rFonts w:ascii="Verdana" w:eastAsia="Times New Roman" w:hAnsi="Verdana" w:cs="Arial"/>
          <w:color w:val="000000"/>
          <w:sz w:val="21"/>
          <w:szCs w:val="21"/>
          <w:lang w:val="es-ES" w:eastAsia="es-CO"/>
        </w:rPr>
        <w:lastRenderedPageBreak/>
        <w:t>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r w:rsidRPr="00E61075">
        <w:rPr>
          <w:rFonts w:ascii="Verdana" w:eastAsia="Times New Roman" w:hAnsi="Verdana" w:cs="Arial"/>
          <w:color w:val="000000"/>
          <w:sz w:val="21"/>
          <w:szCs w:val="21"/>
          <w:lang w:eastAsia="es-CO"/>
        </w:rPr>
        <w:t> </w:t>
      </w:r>
    </w:p>
    <w:p w14:paraId="4AD9EB44" w14:textId="77777777" w:rsidR="00E61075" w:rsidRPr="00E61075" w:rsidRDefault="00E61075" w:rsidP="00E61075">
      <w:pPr>
        <w:spacing w:after="0" w:line="240" w:lineRule="auto"/>
        <w:ind w:left="709" w:right="709"/>
        <w:jc w:val="both"/>
        <w:textAlignment w:val="baseline"/>
        <w:rPr>
          <w:rFonts w:ascii="Verdana" w:eastAsia="Times New Roman" w:hAnsi="Verdana" w:cs="Segoe UI"/>
          <w:sz w:val="21"/>
          <w:szCs w:val="21"/>
          <w:lang w:eastAsia="es-CO"/>
        </w:rPr>
      </w:pPr>
    </w:p>
    <w:p w14:paraId="2523601A" w14:textId="77777777" w:rsidR="00E61075" w:rsidRPr="00E61075" w:rsidRDefault="00E61075" w:rsidP="00E61075">
      <w:pPr>
        <w:spacing w:after="0" w:line="240" w:lineRule="auto"/>
        <w:ind w:left="709" w:right="709"/>
        <w:jc w:val="both"/>
        <w:textAlignment w:val="baseline"/>
        <w:rPr>
          <w:rFonts w:ascii="Verdana" w:eastAsia="Times New Roman" w:hAnsi="Verdana" w:cs="Segoe UI"/>
          <w:sz w:val="21"/>
          <w:szCs w:val="21"/>
          <w:lang w:eastAsia="es-CO"/>
        </w:rPr>
      </w:pPr>
      <w:r w:rsidRPr="00E61075">
        <w:rPr>
          <w:rFonts w:ascii="Verdana" w:eastAsia="Times New Roman" w:hAnsi="Verdana" w:cs="Arial"/>
          <w:color w:val="000000"/>
          <w:sz w:val="21"/>
          <w:szCs w:val="21"/>
          <w:lang w:val="es-ES" w:eastAsia="es-CO"/>
        </w:rPr>
        <w:t>En los procesos de selección en los que se tenga en cuenta los factores técnicos y económicos, la oferta más ventajosa será la que resulte de aplicar alguna de las siguientes alternativas:</w:t>
      </w:r>
      <w:r w:rsidRPr="00E61075">
        <w:rPr>
          <w:rFonts w:ascii="Verdana" w:eastAsia="Times New Roman" w:hAnsi="Verdana" w:cs="Arial"/>
          <w:color w:val="000000"/>
          <w:sz w:val="21"/>
          <w:szCs w:val="21"/>
          <w:lang w:eastAsia="es-CO"/>
        </w:rPr>
        <w:t> </w:t>
      </w:r>
    </w:p>
    <w:p w14:paraId="592A9B76" w14:textId="77777777" w:rsidR="00E61075" w:rsidRPr="00E61075" w:rsidRDefault="00E61075" w:rsidP="00E61075">
      <w:pPr>
        <w:spacing w:after="0" w:line="240" w:lineRule="auto"/>
        <w:ind w:left="709" w:right="709"/>
        <w:jc w:val="both"/>
        <w:textAlignment w:val="baseline"/>
        <w:rPr>
          <w:rFonts w:ascii="Verdana" w:eastAsia="Times New Roman" w:hAnsi="Verdana" w:cs="Segoe UI"/>
          <w:sz w:val="21"/>
          <w:szCs w:val="21"/>
          <w:lang w:eastAsia="es-CO"/>
        </w:rPr>
      </w:pPr>
    </w:p>
    <w:p w14:paraId="529AEBC9" w14:textId="77777777" w:rsidR="00E61075" w:rsidRPr="00E61075" w:rsidRDefault="00E61075" w:rsidP="00E61075">
      <w:pPr>
        <w:spacing w:after="0" w:line="240" w:lineRule="auto"/>
        <w:ind w:left="709" w:right="709"/>
        <w:jc w:val="both"/>
        <w:textAlignment w:val="baseline"/>
        <w:rPr>
          <w:rFonts w:ascii="Verdana" w:eastAsia="Times New Roman" w:hAnsi="Verdana" w:cs="Segoe UI"/>
          <w:sz w:val="21"/>
          <w:szCs w:val="21"/>
          <w:lang w:eastAsia="es-CO"/>
        </w:rPr>
      </w:pPr>
      <w:r w:rsidRPr="00E61075">
        <w:rPr>
          <w:rFonts w:ascii="Verdana" w:eastAsia="Times New Roman" w:hAnsi="Verdana" w:cs="Arial"/>
          <w:color w:val="000000"/>
          <w:sz w:val="21"/>
          <w:szCs w:val="21"/>
          <w:lang w:val="es-ES" w:eastAsia="es-CO"/>
        </w:rPr>
        <w:t>a) La ponderación de los elementos de calidad y precio soportados en puntajes o fórmulas señaladas en el pliego de condiciones; o</w:t>
      </w:r>
    </w:p>
    <w:p w14:paraId="1C5469C5" w14:textId="77777777" w:rsidR="00E61075" w:rsidRPr="00E61075" w:rsidRDefault="00E61075" w:rsidP="00E61075">
      <w:pPr>
        <w:spacing w:after="0" w:line="240" w:lineRule="auto"/>
        <w:ind w:left="709" w:right="709"/>
        <w:jc w:val="both"/>
        <w:textAlignment w:val="baseline"/>
        <w:rPr>
          <w:rFonts w:ascii="Verdana" w:eastAsia="Times New Roman" w:hAnsi="Verdana" w:cs="Segoe UI"/>
          <w:sz w:val="21"/>
          <w:szCs w:val="21"/>
          <w:lang w:eastAsia="es-CO"/>
        </w:rPr>
      </w:pPr>
    </w:p>
    <w:p w14:paraId="6D6A65AF" w14:textId="77777777" w:rsidR="00E61075" w:rsidRPr="00E61075" w:rsidRDefault="00E61075" w:rsidP="00E61075">
      <w:pPr>
        <w:spacing w:after="0" w:line="240" w:lineRule="auto"/>
        <w:ind w:left="709" w:right="709"/>
        <w:jc w:val="both"/>
        <w:textAlignment w:val="baseline"/>
        <w:rPr>
          <w:rFonts w:ascii="Verdana" w:eastAsia="Times New Roman" w:hAnsi="Verdana" w:cs="Segoe UI"/>
          <w:sz w:val="21"/>
          <w:szCs w:val="21"/>
          <w:lang w:eastAsia="es-CO"/>
        </w:rPr>
      </w:pPr>
      <w:r w:rsidRPr="00E61075">
        <w:rPr>
          <w:rFonts w:ascii="Verdana" w:eastAsia="Times New Roman" w:hAnsi="Verdana" w:cs="Arial"/>
          <w:color w:val="000000"/>
          <w:sz w:val="21"/>
          <w:szCs w:val="21"/>
          <w:lang w:val="es-ES" w:eastAsia="es-CO"/>
        </w:rPr>
        <w:t>b) La ponderación de los elementos de calidad y precio que representen la mejor relación de costo-beneficio para la entidad.</w:t>
      </w:r>
      <w:r w:rsidRPr="00E61075">
        <w:rPr>
          <w:rFonts w:ascii="Verdana" w:eastAsia="Times New Roman" w:hAnsi="Verdana" w:cs="Arial"/>
          <w:color w:val="000000"/>
          <w:sz w:val="21"/>
          <w:szCs w:val="21"/>
          <w:lang w:eastAsia="es-CO"/>
        </w:rPr>
        <w:t> </w:t>
      </w:r>
    </w:p>
    <w:p w14:paraId="25CBD07B" w14:textId="77777777" w:rsidR="00E61075" w:rsidRPr="00E61075" w:rsidRDefault="00E61075" w:rsidP="00E61075">
      <w:pPr>
        <w:spacing w:after="0" w:line="240" w:lineRule="auto"/>
        <w:ind w:left="709" w:right="709"/>
        <w:jc w:val="both"/>
        <w:textAlignment w:val="baseline"/>
        <w:rPr>
          <w:rFonts w:ascii="Verdana" w:eastAsia="Times New Roman" w:hAnsi="Verdana" w:cs="Segoe UI"/>
          <w:sz w:val="21"/>
          <w:szCs w:val="21"/>
          <w:lang w:eastAsia="es-CO"/>
        </w:rPr>
      </w:pPr>
    </w:p>
    <w:p w14:paraId="1709B35C" w14:textId="77777777" w:rsidR="00E61075" w:rsidRPr="00E61075" w:rsidRDefault="00E61075" w:rsidP="00E61075">
      <w:pPr>
        <w:spacing w:after="0" w:line="240" w:lineRule="auto"/>
        <w:ind w:left="709" w:right="709"/>
        <w:jc w:val="both"/>
        <w:textAlignment w:val="baseline"/>
        <w:rPr>
          <w:rFonts w:ascii="Verdana" w:eastAsia="Times New Roman" w:hAnsi="Verdana" w:cs="Segoe UI"/>
          <w:sz w:val="21"/>
          <w:szCs w:val="21"/>
          <w:lang w:eastAsia="es-CO"/>
        </w:rPr>
      </w:pPr>
      <w:r w:rsidRPr="00E61075">
        <w:rPr>
          <w:rFonts w:ascii="Verdana" w:eastAsia="Times New Roman" w:hAnsi="Verdana" w:cs="Arial"/>
          <w:color w:val="000000"/>
          <w:sz w:val="21"/>
          <w:szCs w:val="21"/>
          <w:lang w:val="es-ES" w:eastAsia="es-CO"/>
        </w:rPr>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r w:rsidRPr="00E61075">
        <w:rPr>
          <w:rFonts w:ascii="Verdana" w:eastAsia="Times New Roman" w:hAnsi="Verdana" w:cs="Arial"/>
          <w:color w:val="000000"/>
          <w:sz w:val="21"/>
          <w:szCs w:val="21"/>
          <w:lang w:eastAsia="es-CO"/>
        </w:rPr>
        <w:t> </w:t>
      </w:r>
    </w:p>
    <w:p w14:paraId="6A329E7F" w14:textId="77777777" w:rsidR="00E61075" w:rsidRPr="00E61075" w:rsidRDefault="00E61075" w:rsidP="00E61075">
      <w:pPr>
        <w:spacing w:after="0" w:line="240" w:lineRule="auto"/>
        <w:ind w:left="709" w:right="709"/>
        <w:jc w:val="both"/>
        <w:textAlignment w:val="baseline"/>
        <w:rPr>
          <w:rFonts w:ascii="Verdana" w:eastAsia="Times New Roman" w:hAnsi="Verdana" w:cs="Segoe UI"/>
          <w:sz w:val="21"/>
          <w:szCs w:val="21"/>
          <w:lang w:eastAsia="es-CO"/>
        </w:rPr>
      </w:pPr>
      <w:r w:rsidRPr="00E61075">
        <w:rPr>
          <w:rFonts w:ascii="Verdana" w:eastAsia="Times New Roman" w:hAnsi="Verdana" w:cs="Arial"/>
          <w:color w:val="000000"/>
          <w:sz w:val="21"/>
          <w:szCs w:val="21"/>
          <w:lang w:eastAsia="es-CO"/>
        </w:rPr>
        <w:t> </w:t>
      </w:r>
    </w:p>
    <w:p w14:paraId="32F75251" w14:textId="77777777" w:rsidR="00E61075" w:rsidRPr="00E61075" w:rsidRDefault="00E61075" w:rsidP="00E61075">
      <w:pPr>
        <w:spacing w:after="0" w:line="240" w:lineRule="auto"/>
        <w:ind w:left="709" w:right="709"/>
        <w:jc w:val="both"/>
        <w:textAlignment w:val="baseline"/>
        <w:rPr>
          <w:rFonts w:ascii="Verdana" w:eastAsia="Times New Roman" w:hAnsi="Verdana" w:cs="Segoe UI"/>
          <w:sz w:val="21"/>
          <w:szCs w:val="21"/>
          <w:lang w:eastAsia="es-CO"/>
        </w:rPr>
      </w:pPr>
      <w:r w:rsidRPr="00E61075">
        <w:rPr>
          <w:rFonts w:ascii="Verdana" w:eastAsia="Times New Roman" w:hAnsi="Verdana" w:cs="Arial"/>
          <w:color w:val="000000"/>
          <w:sz w:val="21"/>
          <w:szCs w:val="21"/>
          <w:lang w:val="es-ES" w:eastAsia="es-CO"/>
        </w:rPr>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r w:rsidRPr="00E61075">
        <w:rPr>
          <w:rFonts w:ascii="Verdana" w:eastAsia="Times New Roman" w:hAnsi="Verdana" w:cs="Arial"/>
          <w:color w:val="000000"/>
          <w:sz w:val="21"/>
          <w:szCs w:val="21"/>
          <w:lang w:eastAsia="es-CO"/>
        </w:rPr>
        <w:t> </w:t>
      </w:r>
    </w:p>
    <w:p w14:paraId="551DC1A5" w14:textId="77777777" w:rsidR="00E61075" w:rsidRPr="00E61075" w:rsidRDefault="00E61075" w:rsidP="00E61075">
      <w:pPr>
        <w:spacing w:after="0" w:line="240" w:lineRule="auto"/>
        <w:ind w:left="709" w:right="709"/>
        <w:jc w:val="both"/>
        <w:textAlignment w:val="baseline"/>
        <w:rPr>
          <w:rFonts w:ascii="Verdana" w:eastAsia="Times New Roman" w:hAnsi="Verdana" w:cs="Segoe UI"/>
          <w:sz w:val="21"/>
          <w:szCs w:val="21"/>
          <w:lang w:eastAsia="es-CO"/>
        </w:rPr>
      </w:pPr>
      <w:r w:rsidRPr="00E61075">
        <w:rPr>
          <w:rFonts w:ascii="Verdana" w:eastAsia="Times New Roman" w:hAnsi="Verdana" w:cs="Arial"/>
          <w:color w:val="000000"/>
          <w:sz w:val="21"/>
          <w:szCs w:val="21"/>
          <w:lang w:eastAsia="es-CO"/>
        </w:rPr>
        <w:t> </w:t>
      </w:r>
    </w:p>
    <w:p w14:paraId="719AB712" w14:textId="77777777" w:rsidR="00E61075" w:rsidRPr="00E61075" w:rsidRDefault="00E61075" w:rsidP="00E61075">
      <w:pPr>
        <w:spacing w:after="0" w:line="240" w:lineRule="auto"/>
        <w:ind w:left="709" w:right="709"/>
        <w:jc w:val="both"/>
        <w:textAlignment w:val="baseline"/>
        <w:rPr>
          <w:rFonts w:ascii="Verdana" w:eastAsia="Times New Roman" w:hAnsi="Verdana" w:cs="Segoe UI"/>
          <w:sz w:val="21"/>
          <w:szCs w:val="21"/>
          <w:lang w:eastAsia="es-CO"/>
        </w:rPr>
      </w:pPr>
      <w:r w:rsidRPr="00E61075">
        <w:rPr>
          <w:rFonts w:ascii="Verdana" w:eastAsia="Times New Roman" w:hAnsi="Verdana" w:cs="Arial"/>
          <w:color w:val="000000"/>
          <w:sz w:val="21"/>
          <w:szCs w:val="21"/>
          <w:lang w:val="es-ES" w:eastAsia="es-CO"/>
        </w:rPr>
        <w:t>En ningún caso se podrá incluir el precio, como factor de escogencia para la selección de consultores.</w:t>
      </w:r>
      <w:r w:rsidRPr="00E61075">
        <w:rPr>
          <w:rFonts w:ascii="Verdana" w:eastAsia="Times New Roman" w:hAnsi="Verdana" w:cs="Arial"/>
          <w:color w:val="000000"/>
          <w:sz w:val="21"/>
          <w:szCs w:val="21"/>
          <w:lang w:eastAsia="es-CO"/>
        </w:rPr>
        <w:t> </w:t>
      </w:r>
    </w:p>
    <w:p w14:paraId="576E2F77" w14:textId="77777777" w:rsidR="00E61075" w:rsidRPr="00E61075" w:rsidRDefault="00E61075" w:rsidP="00E61075">
      <w:pPr>
        <w:spacing w:after="0" w:line="240" w:lineRule="auto"/>
        <w:ind w:left="709" w:right="709"/>
        <w:jc w:val="both"/>
        <w:textAlignment w:val="baseline"/>
        <w:rPr>
          <w:rFonts w:ascii="Verdana" w:eastAsia="Times New Roman" w:hAnsi="Verdana" w:cs="Segoe UI"/>
          <w:sz w:val="21"/>
          <w:szCs w:val="21"/>
          <w:lang w:eastAsia="es-CO"/>
        </w:rPr>
      </w:pPr>
      <w:r w:rsidRPr="00E61075">
        <w:rPr>
          <w:rFonts w:ascii="Verdana" w:eastAsia="Times New Roman" w:hAnsi="Verdana" w:cs="Arial"/>
          <w:color w:val="000000"/>
          <w:sz w:val="21"/>
          <w:szCs w:val="21"/>
          <w:lang w:eastAsia="es-CO"/>
        </w:rPr>
        <w:t> </w:t>
      </w:r>
    </w:p>
    <w:p w14:paraId="391FC0DF" w14:textId="77777777" w:rsidR="00E61075" w:rsidRPr="00E61075" w:rsidRDefault="00E61075" w:rsidP="00E61075">
      <w:pPr>
        <w:spacing w:after="0" w:line="240" w:lineRule="auto"/>
        <w:ind w:left="709" w:right="709"/>
        <w:jc w:val="both"/>
        <w:textAlignment w:val="baseline"/>
        <w:rPr>
          <w:rFonts w:ascii="Verdana" w:eastAsia="Times New Roman" w:hAnsi="Verdana" w:cs="Segoe UI"/>
          <w:sz w:val="21"/>
          <w:szCs w:val="21"/>
          <w:lang w:eastAsia="es-CO"/>
        </w:rPr>
      </w:pPr>
      <w:r w:rsidRPr="00E61075">
        <w:rPr>
          <w:rFonts w:ascii="Verdana" w:eastAsia="Times New Roman" w:hAnsi="Verdana" w:cs="Arial"/>
          <w:color w:val="000000"/>
          <w:sz w:val="21"/>
          <w:szCs w:val="21"/>
          <w:u w:val="single"/>
          <w:lang w:val="es-ES" w:eastAsia="es-CO"/>
        </w:rPr>
        <w:t xml:space="preserve">PARÁGRAFO 1o. &lt;Parágrafo modificado por el artículo 5 de la Ley 1882 de 2018. El nuevo texto es el siguiente:&gt;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w:t>
      </w:r>
      <w:proofErr w:type="gramStart"/>
      <w:r w:rsidRPr="00E61075">
        <w:rPr>
          <w:rFonts w:ascii="Verdana" w:eastAsia="Times New Roman" w:hAnsi="Verdana" w:cs="Arial"/>
          <w:color w:val="000000"/>
          <w:sz w:val="21"/>
          <w:szCs w:val="21"/>
          <w:u w:val="single"/>
          <w:lang w:val="es-ES" w:eastAsia="es-CO"/>
        </w:rPr>
        <w:t>puntaje,</w:t>
      </w:r>
      <w:proofErr w:type="gramEnd"/>
      <w:r w:rsidRPr="00E61075">
        <w:rPr>
          <w:rFonts w:ascii="Verdana" w:eastAsia="Times New Roman" w:hAnsi="Verdana" w:cs="Arial"/>
          <w:color w:val="000000"/>
          <w:sz w:val="21"/>
          <w:szCs w:val="21"/>
          <w:u w:val="single"/>
          <w:lang w:val="es-ES" w:eastAsia="es-CO"/>
        </w:rPr>
        <w:t xml:space="preserve"> deberán ser solicitados por las entidades estatales y deberán ser entregados por los proponentes hasta el término de traslado del informe de evaluación que corresponda a cada modalidad de selección</w:t>
      </w:r>
      <w:r w:rsidRPr="00E61075">
        <w:rPr>
          <w:rFonts w:ascii="Verdana" w:eastAsia="Times New Roman" w:hAnsi="Verdana" w:cs="Arial"/>
          <w:color w:val="000000"/>
          <w:sz w:val="21"/>
          <w:szCs w:val="21"/>
          <w:lang w:val="es-ES" w:eastAsia="es-CO"/>
        </w:rPr>
        <w:t xml:space="preserve">, salvo lo dispuesto para el proceso de Mínima cuantía y para el proceso de selección a través del </w:t>
      </w:r>
      <w:r w:rsidRPr="00E61075">
        <w:rPr>
          <w:rFonts w:ascii="Verdana" w:eastAsia="Times New Roman" w:hAnsi="Verdana" w:cs="Arial"/>
          <w:color w:val="000000"/>
          <w:sz w:val="21"/>
          <w:szCs w:val="21"/>
          <w:lang w:val="es-ES" w:eastAsia="es-CO"/>
        </w:rPr>
        <w:lastRenderedPageBreak/>
        <w:t xml:space="preserve">sistema de subasta. </w:t>
      </w:r>
      <w:r w:rsidRPr="00E61075">
        <w:rPr>
          <w:rFonts w:ascii="Verdana" w:eastAsia="Times New Roman" w:hAnsi="Verdana" w:cs="Arial"/>
          <w:color w:val="000000"/>
          <w:sz w:val="21"/>
          <w:szCs w:val="21"/>
          <w:u w:val="single"/>
          <w:lang w:val="es-ES" w:eastAsia="es-CO"/>
        </w:rPr>
        <w:t>Serán rechazadas las ofertas de aquellos proponentes que no suministren la información y la documentación solicitada por la entidad estatal hasta el plazo anteriormente señalado.</w:t>
      </w:r>
      <w:r w:rsidRPr="00E61075">
        <w:rPr>
          <w:rFonts w:ascii="Verdana" w:eastAsia="Times New Roman" w:hAnsi="Verdana" w:cs="Arial"/>
          <w:color w:val="000000"/>
          <w:sz w:val="21"/>
          <w:szCs w:val="21"/>
          <w:u w:val="single"/>
          <w:lang w:eastAsia="es-CO"/>
        </w:rPr>
        <w:t> </w:t>
      </w:r>
    </w:p>
    <w:p w14:paraId="12370049" w14:textId="77777777" w:rsidR="00E61075" w:rsidRPr="00E61075" w:rsidRDefault="00E61075" w:rsidP="00E61075">
      <w:pPr>
        <w:spacing w:after="0" w:line="240" w:lineRule="auto"/>
        <w:ind w:left="709" w:right="709"/>
        <w:jc w:val="both"/>
        <w:textAlignment w:val="baseline"/>
        <w:rPr>
          <w:rFonts w:ascii="Verdana" w:eastAsia="Times New Roman" w:hAnsi="Verdana" w:cs="Segoe UI"/>
          <w:sz w:val="21"/>
          <w:szCs w:val="21"/>
          <w:lang w:eastAsia="es-CO"/>
        </w:rPr>
      </w:pPr>
      <w:r w:rsidRPr="00E61075">
        <w:rPr>
          <w:rFonts w:ascii="Verdana" w:eastAsia="Times New Roman" w:hAnsi="Verdana" w:cs="Arial"/>
          <w:color w:val="000000"/>
          <w:sz w:val="21"/>
          <w:szCs w:val="21"/>
          <w:lang w:eastAsia="es-CO"/>
        </w:rPr>
        <w:t> </w:t>
      </w:r>
    </w:p>
    <w:p w14:paraId="631298C1" w14:textId="77777777" w:rsidR="00E61075" w:rsidRPr="00E61075" w:rsidRDefault="00E61075" w:rsidP="00E61075">
      <w:pPr>
        <w:spacing w:after="0" w:line="240" w:lineRule="auto"/>
        <w:ind w:left="709" w:right="709"/>
        <w:jc w:val="both"/>
        <w:textAlignment w:val="baseline"/>
        <w:rPr>
          <w:rFonts w:ascii="Verdana" w:eastAsia="Times New Roman" w:hAnsi="Verdana" w:cs="Segoe UI"/>
          <w:sz w:val="21"/>
          <w:szCs w:val="21"/>
          <w:lang w:eastAsia="es-CO"/>
        </w:rPr>
      </w:pPr>
      <w:r w:rsidRPr="00E61075">
        <w:rPr>
          <w:rFonts w:ascii="Verdana" w:eastAsia="Times New Roman" w:hAnsi="Verdana" w:cs="Arial"/>
          <w:color w:val="000000"/>
          <w:sz w:val="21"/>
          <w:szCs w:val="21"/>
          <w:u w:val="single"/>
          <w:lang w:val="es-ES" w:eastAsia="es-CO"/>
        </w:rPr>
        <w:t>Durante el término otorgado para subsanar las ofertas, los proponentes no podrán acreditar circunstancias ocurridas con posterioridad al cierre del proceso.</w:t>
      </w:r>
      <w:r w:rsidRPr="00E61075">
        <w:rPr>
          <w:rFonts w:ascii="Verdana" w:eastAsia="Times New Roman" w:hAnsi="Verdana" w:cs="Arial"/>
          <w:color w:val="000000"/>
          <w:sz w:val="21"/>
          <w:szCs w:val="21"/>
          <w:lang w:eastAsia="es-CO"/>
        </w:rPr>
        <w:t> </w:t>
      </w:r>
    </w:p>
    <w:p w14:paraId="5B7B12B5" w14:textId="77777777" w:rsidR="00E61075" w:rsidRPr="00E61075" w:rsidRDefault="00E61075" w:rsidP="00E61075">
      <w:pPr>
        <w:spacing w:after="0" w:line="240" w:lineRule="auto"/>
        <w:ind w:left="709" w:right="709"/>
        <w:jc w:val="both"/>
        <w:textAlignment w:val="baseline"/>
        <w:rPr>
          <w:rFonts w:ascii="Verdana" w:eastAsia="Times New Roman" w:hAnsi="Verdana" w:cs="Segoe UI"/>
          <w:sz w:val="21"/>
          <w:szCs w:val="21"/>
          <w:lang w:eastAsia="es-CO"/>
        </w:rPr>
      </w:pPr>
      <w:r w:rsidRPr="00E61075">
        <w:rPr>
          <w:rFonts w:ascii="Verdana" w:eastAsia="Times New Roman" w:hAnsi="Verdana" w:cs="Arial"/>
          <w:color w:val="000000"/>
          <w:sz w:val="21"/>
          <w:szCs w:val="21"/>
          <w:lang w:eastAsia="es-CO"/>
        </w:rPr>
        <w:t> </w:t>
      </w:r>
    </w:p>
    <w:p w14:paraId="1B89877E" w14:textId="77777777" w:rsidR="00E61075" w:rsidRPr="00E61075" w:rsidRDefault="00E61075" w:rsidP="00E61075">
      <w:pPr>
        <w:spacing w:after="0" w:line="240" w:lineRule="auto"/>
        <w:ind w:left="709" w:right="709"/>
        <w:jc w:val="both"/>
        <w:textAlignment w:val="baseline"/>
        <w:rPr>
          <w:rFonts w:ascii="Verdana" w:eastAsia="Times New Roman" w:hAnsi="Verdana" w:cs="Segoe UI"/>
          <w:sz w:val="21"/>
          <w:szCs w:val="21"/>
          <w:lang w:eastAsia="es-CO"/>
        </w:rPr>
      </w:pPr>
      <w:r w:rsidRPr="00E61075">
        <w:rPr>
          <w:rFonts w:ascii="Verdana" w:eastAsia="Times New Roman" w:hAnsi="Verdana" w:cs="Arial"/>
          <w:color w:val="000000"/>
          <w:sz w:val="21"/>
          <w:szCs w:val="21"/>
          <w:lang w:val="es-ES" w:eastAsia="es-CO"/>
        </w:rPr>
        <w:t>PARÁGRAFO 2o. Las certificaciones de sistemas de gestión de calidad no serán objeto de calificación, ni podrán establecerse como documento habilitante para participar en licitaciones o concursos.</w:t>
      </w:r>
      <w:r w:rsidRPr="00E61075">
        <w:rPr>
          <w:rFonts w:ascii="Verdana" w:eastAsia="Times New Roman" w:hAnsi="Verdana" w:cs="Arial"/>
          <w:color w:val="000000"/>
          <w:sz w:val="21"/>
          <w:szCs w:val="21"/>
          <w:lang w:eastAsia="es-CO"/>
        </w:rPr>
        <w:t> </w:t>
      </w:r>
    </w:p>
    <w:p w14:paraId="061FA92B" w14:textId="77777777" w:rsidR="00E61075" w:rsidRPr="00E61075" w:rsidRDefault="00E61075" w:rsidP="00E61075">
      <w:pPr>
        <w:spacing w:after="0" w:line="240" w:lineRule="auto"/>
        <w:ind w:left="709" w:right="709"/>
        <w:jc w:val="both"/>
        <w:textAlignment w:val="baseline"/>
        <w:rPr>
          <w:rFonts w:ascii="Verdana" w:eastAsia="Times New Roman" w:hAnsi="Verdana" w:cs="Segoe UI"/>
          <w:sz w:val="21"/>
          <w:szCs w:val="21"/>
          <w:lang w:eastAsia="es-CO"/>
        </w:rPr>
      </w:pPr>
      <w:r w:rsidRPr="00E61075">
        <w:rPr>
          <w:rFonts w:ascii="Verdana" w:eastAsia="Times New Roman" w:hAnsi="Verdana" w:cs="Arial"/>
          <w:color w:val="000000"/>
          <w:sz w:val="21"/>
          <w:szCs w:val="21"/>
          <w:lang w:eastAsia="es-CO"/>
        </w:rPr>
        <w:t> </w:t>
      </w:r>
    </w:p>
    <w:p w14:paraId="07A99989" w14:textId="77777777" w:rsidR="00E61075" w:rsidRPr="00E61075" w:rsidRDefault="00E61075" w:rsidP="00E61075">
      <w:pPr>
        <w:spacing w:after="0" w:line="240" w:lineRule="auto"/>
        <w:ind w:left="709" w:right="709"/>
        <w:jc w:val="both"/>
        <w:textAlignment w:val="baseline"/>
        <w:rPr>
          <w:rFonts w:ascii="Verdana" w:eastAsia="Times New Roman" w:hAnsi="Verdana" w:cs="Segoe UI"/>
          <w:sz w:val="21"/>
          <w:szCs w:val="21"/>
          <w:u w:val="single"/>
          <w:lang w:eastAsia="es-CO"/>
        </w:rPr>
      </w:pPr>
      <w:r w:rsidRPr="00E61075">
        <w:rPr>
          <w:rFonts w:ascii="Verdana" w:eastAsia="Times New Roman" w:hAnsi="Verdana" w:cs="Arial"/>
          <w:color w:val="000000"/>
          <w:sz w:val="21"/>
          <w:szCs w:val="21"/>
          <w:u w:val="single"/>
          <w:lang w:val="es-ES" w:eastAsia="es-CO"/>
        </w:rPr>
        <w:t xml:space="preserve">PARÁGRAFO 3o. &lt;Parágrafo adicionado por el artículo 5 de la Ley 1882 de 2018. El nuevo texto es el siguiente:&gt; La no entrega de la garantía de seriedad junto con la propuesta no será subsanable y será causal de rechazo de </w:t>
      </w:r>
      <w:proofErr w:type="gramStart"/>
      <w:r w:rsidRPr="00E61075">
        <w:rPr>
          <w:rFonts w:ascii="Verdana" w:eastAsia="Times New Roman" w:hAnsi="Verdana" w:cs="Arial"/>
          <w:color w:val="000000"/>
          <w:sz w:val="21"/>
          <w:szCs w:val="21"/>
          <w:u w:val="single"/>
          <w:lang w:val="es-ES" w:eastAsia="es-CO"/>
        </w:rPr>
        <w:t>la misma</w:t>
      </w:r>
      <w:proofErr w:type="gramEnd"/>
      <w:r w:rsidRPr="00E61075">
        <w:rPr>
          <w:rFonts w:ascii="Verdana" w:eastAsia="Times New Roman" w:hAnsi="Verdana" w:cs="Arial"/>
          <w:color w:val="000000"/>
          <w:sz w:val="21"/>
          <w:szCs w:val="21"/>
          <w:u w:val="single"/>
          <w:lang w:val="es-ES" w:eastAsia="es-CO"/>
        </w:rPr>
        <w:t>.</w:t>
      </w:r>
      <w:r w:rsidRPr="00E61075">
        <w:rPr>
          <w:rFonts w:ascii="Verdana" w:eastAsia="Times New Roman" w:hAnsi="Verdana" w:cs="Arial"/>
          <w:color w:val="000000"/>
          <w:sz w:val="21"/>
          <w:szCs w:val="21"/>
          <w:u w:val="single"/>
          <w:lang w:eastAsia="es-CO"/>
        </w:rPr>
        <w:t> </w:t>
      </w:r>
    </w:p>
    <w:p w14:paraId="1073D81E" w14:textId="77777777" w:rsidR="00E61075" w:rsidRPr="00E61075" w:rsidRDefault="00E61075" w:rsidP="00E61075">
      <w:pPr>
        <w:spacing w:after="0" w:line="240" w:lineRule="auto"/>
        <w:ind w:left="709" w:right="709"/>
        <w:jc w:val="both"/>
        <w:textAlignment w:val="baseline"/>
        <w:rPr>
          <w:rFonts w:ascii="Verdana" w:eastAsia="Times New Roman" w:hAnsi="Verdana" w:cs="Segoe UI"/>
          <w:sz w:val="21"/>
          <w:szCs w:val="21"/>
          <w:lang w:eastAsia="es-CO"/>
        </w:rPr>
      </w:pPr>
      <w:r w:rsidRPr="00E61075">
        <w:rPr>
          <w:rFonts w:ascii="Verdana" w:eastAsia="Times New Roman" w:hAnsi="Verdana" w:cs="Arial"/>
          <w:color w:val="000000"/>
          <w:sz w:val="21"/>
          <w:szCs w:val="21"/>
          <w:lang w:eastAsia="es-CO"/>
        </w:rPr>
        <w:t> </w:t>
      </w:r>
    </w:p>
    <w:p w14:paraId="4736A4FB" w14:textId="77777777" w:rsidR="00E61075" w:rsidRPr="00E61075" w:rsidRDefault="00E61075" w:rsidP="00E61075">
      <w:pPr>
        <w:spacing w:after="0" w:line="240" w:lineRule="auto"/>
        <w:ind w:left="709" w:right="709"/>
        <w:jc w:val="both"/>
        <w:textAlignment w:val="baseline"/>
        <w:rPr>
          <w:rFonts w:ascii="Verdana" w:eastAsia="Times New Roman" w:hAnsi="Verdana" w:cs="Segoe UI"/>
          <w:sz w:val="21"/>
          <w:szCs w:val="21"/>
          <w:lang w:eastAsia="es-CO"/>
        </w:rPr>
      </w:pPr>
      <w:r w:rsidRPr="00E61075">
        <w:rPr>
          <w:rFonts w:ascii="Verdana" w:eastAsia="Times New Roman" w:hAnsi="Verdana" w:cs="Arial"/>
          <w:color w:val="000000"/>
          <w:sz w:val="21"/>
          <w:szCs w:val="21"/>
          <w:lang w:val="es-ES" w:eastAsia="es-CO"/>
        </w:rPr>
        <w:t>PARÁGRAFO 4o. &lt;Parágrafo adicionado por el artículo 5 de la Ley 1882 de 2018. El nuevo texto es el siguiente:&gt; En aquellos procesos de selección en los que se utilice el mecanismo de subasta, los documentos referentes a la futura contratación o al proponente, no necesarios para la comparación de las propuestas, deberán ser solicitados hasta el momento previo a su realización.</w:t>
      </w:r>
      <w:r w:rsidRPr="00E61075">
        <w:rPr>
          <w:rFonts w:ascii="Verdana" w:eastAsia="Times New Roman" w:hAnsi="Verdana" w:cs="Arial"/>
          <w:color w:val="000000"/>
          <w:sz w:val="21"/>
          <w:szCs w:val="21"/>
          <w:lang w:eastAsia="es-CO"/>
        </w:rPr>
        <w:t> </w:t>
      </w:r>
    </w:p>
    <w:p w14:paraId="1663FFDC" w14:textId="77777777" w:rsidR="00E61075" w:rsidRPr="00E61075" w:rsidRDefault="00E61075" w:rsidP="00E61075">
      <w:pPr>
        <w:spacing w:after="0" w:line="240" w:lineRule="auto"/>
        <w:ind w:left="709" w:right="709"/>
        <w:jc w:val="both"/>
        <w:textAlignment w:val="baseline"/>
        <w:rPr>
          <w:rFonts w:ascii="Verdana" w:eastAsia="Times New Roman" w:hAnsi="Verdana" w:cs="Segoe UI"/>
          <w:sz w:val="21"/>
          <w:szCs w:val="21"/>
          <w:lang w:eastAsia="es-CO"/>
        </w:rPr>
      </w:pPr>
      <w:r w:rsidRPr="00E61075">
        <w:rPr>
          <w:rFonts w:ascii="Verdana" w:eastAsia="Times New Roman" w:hAnsi="Verdana" w:cs="Arial"/>
          <w:color w:val="000000"/>
          <w:sz w:val="21"/>
          <w:szCs w:val="21"/>
          <w:lang w:eastAsia="es-CO"/>
        </w:rPr>
        <w:t> </w:t>
      </w:r>
    </w:p>
    <w:p w14:paraId="155B6A20" w14:textId="77777777" w:rsidR="00E61075" w:rsidRPr="00E61075" w:rsidRDefault="00E61075" w:rsidP="00E61075">
      <w:pPr>
        <w:spacing w:after="0" w:line="240" w:lineRule="auto"/>
        <w:ind w:left="709" w:right="709"/>
        <w:jc w:val="both"/>
        <w:textAlignment w:val="baseline"/>
        <w:rPr>
          <w:rFonts w:ascii="Verdana" w:eastAsia="Times New Roman" w:hAnsi="Verdana" w:cs="Segoe UI"/>
          <w:sz w:val="21"/>
          <w:szCs w:val="21"/>
          <w:lang w:eastAsia="es-CO"/>
        </w:rPr>
      </w:pPr>
      <w:r w:rsidRPr="00E61075">
        <w:rPr>
          <w:rFonts w:ascii="Verdana" w:eastAsia="Times New Roman" w:hAnsi="Verdana" w:cs="Arial"/>
          <w:color w:val="000000"/>
          <w:sz w:val="21"/>
          <w:szCs w:val="21"/>
          <w:lang w:val="es-ES" w:eastAsia="es-CO"/>
        </w:rPr>
        <w:t>PARÁGRAFO 5o. &lt;Parágrafo adicionado por el artículo 5 de la Ley 1882 de 2018. El nuevo texto es el siguiente:&gt; En los procesos de contratación, las entidades estatales deberán aceptar la experiencia adquirida por los proponentes a través de la ejecución de contratos con particulares”. [Subrayado por fuera de texto original]</w:t>
      </w:r>
    </w:p>
    <w:p w14:paraId="6F0300E0" w14:textId="77777777" w:rsidR="00E61075" w:rsidRPr="00E61075" w:rsidRDefault="00E61075" w:rsidP="00E61075">
      <w:pPr>
        <w:spacing w:after="0" w:line="276" w:lineRule="auto"/>
        <w:ind w:left="709" w:right="709"/>
        <w:jc w:val="both"/>
        <w:rPr>
          <w:rFonts w:ascii="Verdana" w:eastAsia="Times New Roman" w:hAnsi="Verdana" w:cs="Arial"/>
          <w:lang w:eastAsia="es-CO"/>
        </w:rPr>
      </w:pPr>
    </w:p>
    <w:p w14:paraId="61457481" w14:textId="77777777" w:rsidR="00E61075" w:rsidRPr="00E61075" w:rsidRDefault="00E61075" w:rsidP="00E61075">
      <w:pPr>
        <w:spacing w:after="120" w:line="276" w:lineRule="auto"/>
        <w:ind w:firstLine="709"/>
        <w:jc w:val="both"/>
        <w:rPr>
          <w:rFonts w:ascii="Verdana" w:eastAsia="Times New Roman" w:hAnsi="Verdana" w:cs="Arial"/>
          <w:lang w:val="es-ES" w:eastAsia="es-ES"/>
        </w:rPr>
      </w:pPr>
      <w:r w:rsidRPr="00E61075">
        <w:rPr>
          <w:rFonts w:ascii="Verdana" w:eastAsia="Times New Roman" w:hAnsi="Verdana" w:cs="Arial"/>
          <w:lang w:val="es-ES" w:eastAsia="es-ES"/>
        </w:rPr>
        <w:t xml:space="preserve">Como puede observarse, la Ley 1882 de 2018: i) mantiene el criterio de la Ley 80 de 1993, relativo a que todo lo que no sea necesario para la comparación de propuestas no es título suficiente para su rechazo; </w:t>
      </w:r>
      <w:proofErr w:type="spellStart"/>
      <w:r w:rsidRPr="00E61075">
        <w:rPr>
          <w:rFonts w:ascii="Verdana" w:eastAsia="Times New Roman" w:hAnsi="Verdana" w:cs="Arial"/>
          <w:lang w:val="es-ES" w:eastAsia="es-ES"/>
        </w:rPr>
        <w:t>ii</w:t>
      </w:r>
      <w:proofErr w:type="spellEnd"/>
      <w:r w:rsidRPr="00E61075">
        <w:rPr>
          <w:rFonts w:ascii="Verdana" w:eastAsia="Times New Roman" w:hAnsi="Verdana" w:cs="Arial"/>
          <w:lang w:val="es-ES" w:eastAsia="es-ES"/>
        </w:rPr>
        <w:t xml:space="preserve">) mantiene el criterio aclaratorio de la Ley 1150 de 2007, según el cual todo lo que no afecte la asignación de puntaje puede subsanarse; y, </w:t>
      </w:r>
      <w:proofErr w:type="spellStart"/>
      <w:r w:rsidRPr="00E61075">
        <w:rPr>
          <w:rFonts w:ascii="Verdana" w:eastAsia="Times New Roman" w:hAnsi="Verdana" w:cs="Arial"/>
          <w:lang w:val="es-ES" w:eastAsia="es-ES"/>
        </w:rPr>
        <w:t>iii</w:t>
      </w:r>
      <w:proofErr w:type="spellEnd"/>
      <w:r w:rsidRPr="00E61075">
        <w:rPr>
          <w:rFonts w:ascii="Verdana" w:eastAsia="Times New Roman" w:hAnsi="Verdana" w:cs="Arial"/>
          <w:lang w:val="es-ES" w:eastAsia="es-ES"/>
        </w:rPr>
        <w:t xml:space="preserve">) introduce modificaciones en relación con algunos aspectos que se analizarán a continuación. </w:t>
      </w:r>
    </w:p>
    <w:p w14:paraId="40935EB1" w14:textId="77777777" w:rsidR="00E61075" w:rsidRPr="00E61075" w:rsidRDefault="00E61075" w:rsidP="00E61075">
      <w:pPr>
        <w:spacing w:after="120" w:line="276" w:lineRule="auto"/>
        <w:ind w:right="51" w:firstLine="709"/>
        <w:jc w:val="both"/>
        <w:rPr>
          <w:rFonts w:ascii="Verdana" w:eastAsia="Times New Roman" w:hAnsi="Verdana" w:cs="Arial"/>
          <w:lang w:val="es-ES_tradnl" w:eastAsia="es-ES_tradnl"/>
        </w:rPr>
      </w:pPr>
      <w:r w:rsidRPr="00E61075">
        <w:rPr>
          <w:rFonts w:ascii="Verdana" w:eastAsia="Times New Roman" w:hAnsi="Verdana" w:cs="Arial"/>
          <w:i/>
          <w:iCs/>
          <w:lang w:val="es-ES_tradnl" w:eastAsia="es-ES_tradnl"/>
        </w:rPr>
        <w:t xml:space="preserve">La primera modificación </w:t>
      </w:r>
      <w:r w:rsidRPr="00E61075">
        <w:rPr>
          <w:rFonts w:ascii="Verdana" w:eastAsia="Times New Roman" w:hAnsi="Verdana" w:cs="Arial"/>
          <w:lang w:val="es-ES_tradnl" w:eastAsia="es-ES_tradnl"/>
        </w:rPr>
        <w:t xml:space="preserve">está relacionada con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w:t>
      </w:r>
      <w:r w:rsidRPr="00E61075">
        <w:rPr>
          <w:rFonts w:ascii="Verdana" w:eastAsia="Times New Roman" w:hAnsi="Verdana" w:cs="Arial"/>
          <w:lang w:val="es-ES_tradnl" w:eastAsia="es-ES_tradnl"/>
        </w:rPr>
        <w:lastRenderedPageBreak/>
        <w:t>selección. La excepción es que el límite anterior no aplica para los procesos de mínima cuantía y para el proceso de selección a través del sistema de subasta</w:t>
      </w:r>
      <w:r w:rsidRPr="00E61075">
        <w:rPr>
          <w:rFonts w:ascii="Verdana" w:eastAsia="Times New Roman" w:hAnsi="Verdana" w:cs="Arial"/>
          <w:vertAlign w:val="superscript"/>
          <w:lang w:val="es-ES_tradnl" w:eastAsia="es-ES_tradnl"/>
        </w:rPr>
        <w:footnoteReference w:id="3"/>
      </w:r>
      <w:r w:rsidRPr="00E61075">
        <w:rPr>
          <w:rFonts w:ascii="Verdana" w:eastAsia="Times New Roman" w:hAnsi="Verdana" w:cs="Arial"/>
          <w:lang w:val="es-ES_tradnl" w:eastAsia="es-ES_tradnl"/>
        </w:rPr>
        <w:t>.</w:t>
      </w:r>
    </w:p>
    <w:p w14:paraId="70A4805E" w14:textId="77777777" w:rsidR="00E61075" w:rsidRPr="00E61075" w:rsidRDefault="00E61075" w:rsidP="00E61075">
      <w:pPr>
        <w:spacing w:after="120" w:line="276" w:lineRule="auto"/>
        <w:ind w:firstLine="709"/>
        <w:jc w:val="both"/>
        <w:rPr>
          <w:rFonts w:ascii="Verdana" w:eastAsia="Times New Roman" w:hAnsi="Verdana" w:cs="Arial"/>
          <w:lang w:val="es-ES" w:eastAsia="es-ES"/>
        </w:rPr>
      </w:pPr>
      <w:r w:rsidRPr="00E61075">
        <w:rPr>
          <w:rFonts w:ascii="Verdana" w:eastAsia="Times New Roman" w:hAnsi="Verdana" w:cs="Arial"/>
          <w:lang w:val="es-ES" w:eastAsia="es-ES"/>
        </w:rPr>
        <w:t xml:space="preserve">Frente a la regla general aplicable a los demás procesos de selección, la norma fijó un límite final para que la Administración y los oferentes subsanen los requisitos o documentos que puedan y deban ser subsanados. No </w:t>
      </w:r>
      <w:proofErr w:type="gramStart"/>
      <w:r w:rsidRPr="00E61075">
        <w:rPr>
          <w:rFonts w:ascii="Verdana" w:eastAsia="Times New Roman" w:hAnsi="Verdana" w:cs="Arial"/>
          <w:lang w:val="es-ES" w:eastAsia="es-ES"/>
        </w:rPr>
        <w:t>obstante</w:t>
      </w:r>
      <w:proofErr w:type="gramEnd"/>
      <w:r w:rsidRPr="00E61075">
        <w:rPr>
          <w:rFonts w:ascii="Verdana" w:eastAsia="Times New Roman" w:hAnsi="Verdana" w:cs="Arial"/>
          <w:lang w:val="es-ES" w:eastAsia="es-ES"/>
        </w:rPr>
        <w:t xml:space="preserve"> lo anterior, nada impide, y la norma no lo hace, que la Administración requiera al proponente antes de publicar el informe de evaluación. En efecto, la redacción de la norma permite que la Administración solicite a los oferentes subsanar y que estos lo hagan hasta antes del término de traslado del informe de evaluación: “</w:t>
      </w:r>
      <w:r w:rsidRPr="00E61075">
        <w:rPr>
          <w:rFonts w:ascii="Verdana" w:eastAsia="Times New Roman" w:hAnsi="Verdana" w:cs="Arial"/>
          <w:i/>
          <w:iCs/>
          <w:lang w:val="es-ES" w:eastAsia="es-ES"/>
        </w:rPr>
        <w:t>deberán ser solicitados por las entidades estatales y deberán ser entregados por los proponentes hasta el término de traslado del informe de evaluación que corresponda a cada modalidad de selección”.</w:t>
      </w:r>
      <w:r w:rsidRPr="00E61075">
        <w:rPr>
          <w:rFonts w:ascii="Verdana" w:eastAsia="Times New Roman" w:hAnsi="Verdana" w:cs="Arial"/>
          <w:lang w:val="es-ES" w:eastAsia="es-ES"/>
        </w:rPr>
        <w:t xml:space="preserve"> </w:t>
      </w:r>
    </w:p>
    <w:p w14:paraId="71DD8EB5" w14:textId="77777777" w:rsidR="00E61075" w:rsidRPr="00E61075" w:rsidRDefault="00E61075" w:rsidP="00E61075">
      <w:pPr>
        <w:spacing w:after="120" w:line="276" w:lineRule="auto"/>
        <w:ind w:firstLine="709"/>
        <w:jc w:val="both"/>
        <w:rPr>
          <w:rFonts w:ascii="Verdana" w:eastAsia="Times New Roman" w:hAnsi="Verdana" w:cs="Arial"/>
          <w:lang w:val="es-ES" w:eastAsia="es-ES"/>
        </w:rPr>
      </w:pPr>
      <w:r w:rsidRPr="00E61075">
        <w:rPr>
          <w:rFonts w:ascii="Verdana" w:eastAsia="Times New Roman" w:hAnsi="Verdana" w:cs="Arial"/>
          <w:lang w:val="es-ES" w:eastAsia="es-ES"/>
        </w:rPr>
        <w:t xml:space="preserve">Sin perjuicio de lo expuesto, de la lectura de este aparte podrían, en la práctica, darse dos interpretaciones que dan lugar a dos formas de proceder en los procesos de selección, en lo que a la </w:t>
      </w:r>
      <w:proofErr w:type="spellStart"/>
      <w:r w:rsidRPr="00E61075">
        <w:rPr>
          <w:rFonts w:ascii="Verdana" w:eastAsia="Times New Roman" w:hAnsi="Verdana" w:cs="Arial"/>
          <w:lang w:val="es-ES" w:eastAsia="es-ES"/>
        </w:rPr>
        <w:t>subsanabilidad</w:t>
      </w:r>
      <w:proofErr w:type="spellEnd"/>
      <w:r w:rsidRPr="00E61075">
        <w:rPr>
          <w:rFonts w:ascii="Verdana" w:eastAsia="Times New Roman" w:hAnsi="Verdana" w:cs="Arial"/>
          <w:lang w:val="es-ES" w:eastAsia="es-ES"/>
        </w:rPr>
        <w:t xml:space="preserve"> de las ofertas se refiere. </w:t>
      </w:r>
      <w:r w:rsidRPr="00E61075">
        <w:rPr>
          <w:rFonts w:ascii="Verdana" w:eastAsia="Times New Roman" w:hAnsi="Verdana" w:cs="Arial"/>
          <w:i/>
          <w:iCs/>
          <w:lang w:val="es-ES" w:eastAsia="es-ES"/>
        </w:rPr>
        <w:t>Primera</w:t>
      </w:r>
      <w:r w:rsidRPr="00E61075">
        <w:rPr>
          <w:rFonts w:ascii="Verdana" w:eastAsia="Times New Roman" w:hAnsi="Verdana" w:cs="Arial"/>
          <w:lang w:val="es-ES" w:eastAsia="es-ES"/>
        </w:rPr>
        <w:t xml:space="preserve">, que la posibilidad para subsanar de los oferentes es el término de traslado del informe de evaluación, ya que es en este documento donde la Administración consigna los requisitos o documentos omitidos que los oferentes deben subsanar, so pena de rechazo. </w:t>
      </w:r>
      <w:r w:rsidRPr="00E61075">
        <w:rPr>
          <w:rFonts w:ascii="Verdana" w:eastAsia="Times New Roman" w:hAnsi="Verdana" w:cs="Arial"/>
          <w:i/>
          <w:iCs/>
          <w:lang w:val="es-ES" w:eastAsia="es-ES"/>
        </w:rPr>
        <w:t>Segunda</w:t>
      </w:r>
      <w:r w:rsidRPr="00E61075">
        <w:rPr>
          <w:rFonts w:ascii="Verdana" w:eastAsia="Times New Roman" w:hAnsi="Verdana" w:cs="Arial"/>
          <w:lang w:val="es-ES" w:eastAsia="es-ES"/>
        </w:rPr>
        <w:t xml:space="preserve">, que el término del traslado del informe de evaluación es el </w:t>
      </w:r>
      <w:r w:rsidRPr="00E61075">
        <w:rPr>
          <w:rFonts w:ascii="Verdana" w:eastAsia="Times New Roman" w:hAnsi="Verdana" w:cs="Arial"/>
          <w:i/>
          <w:lang w:val="es-ES" w:eastAsia="es-ES"/>
        </w:rPr>
        <w:t>límite</w:t>
      </w:r>
      <w:r w:rsidRPr="00E61075">
        <w:rPr>
          <w:rFonts w:ascii="Verdana" w:eastAsia="Times New Roman" w:hAnsi="Verdana" w:cs="Arial"/>
          <w:lang w:val="es-ES" w:eastAsia="es-ES"/>
        </w:rPr>
        <w:t xml:space="preserve"> para la subsanación de ofertas, pero no el único momento para hacerlo. </w:t>
      </w:r>
    </w:p>
    <w:p w14:paraId="5BB899A2" w14:textId="77777777" w:rsidR="00E61075" w:rsidRPr="00E61075" w:rsidRDefault="00E61075" w:rsidP="00E61075">
      <w:pPr>
        <w:spacing w:after="120" w:line="276" w:lineRule="auto"/>
        <w:ind w:firstLine="709"/>
        <w:jc w:val="both"/>
        <w:rPr>
          <w:rFonts w:ascii="Verdana" w:eastAsia="Times New Roman" w:hAnsi="Verdana" w:cs="Arial"/>
          <w:lang w:val="es-ES_tradnl" w:eastAsia="es-ES_tradnl"/>
        </w:rPr>
      </w:pPr>
      <w:r w:rsidRPr="00E61075">
        <w:rPr>
          <w:rFonts w:ascii="Verdana" w:eastAsia="Times New Roman" w:hAnsi="Verdana" w:cs="Arial"/>
          <w:lang w:val="es-ES_tradnl" w:eastAsia="es-ES_tradnl"/>
        </w:rPr>
        <w:t xml:space="preserve">De acuerdo con la primera interpretación, el informe de evaluación se convierte en la oportunidad que adopta la Administración para decirles a los oferentes qué documentos o requisitos omitieron y deben subsanar. Consecuentemente, el término del traslado es la oportunidad del proponente para cumplir con lo solicitado.  </w:t>
      </w:r>
    </w:p>
    <w:p w14:paraId="53EABAA3" w14:textId="77777777" w:rsidR="00E61075" w:rsidRPr="00E61075" w:rsidRDefault="00E61075" w:rsidP="00E61075">
      <w:pPr>
        <w:spacing w:after="120" w:line="276" w:lineRule="auto"/>
        <w:ind w:firstLine="709"/>
        <w:jc w:val="both"/>
        <w:rPr>
          <w:rFonts w:ascii="Verdana" w:eastAsia="Times New Roman" w:hAnsi="Verdana" w:cs="Arial"/>
          <w:lang w:val="es-ES_tradnl" w:eastAsia="es-ES_tradnl"/>
        </w:rPr>
      </w:pPr>
      <w:r w:rsidRPr="00E61075">
        <w:rPr>
          <w:rFonts w:ascii="Verdana" w:eastAsia="Times New Roman" w:hAnsi="Verdana" w:cs="Arial"/>
          <w:lang w:val="es-ES_tradnl" w:eastAsia="es-ES_tradnl"/>
        </w:rPr>
        <w:t xml:space="preserve">La segunda interpretación permitiría que la Administración requiera al oferente durante el proceso de evaluación de las propuestas, tan pronto advierta que hace falta un documento o requisito que se puede subsanar. En este caso, el proceso de subsanación se podría realizar con anterioridad a la publicación del informe de evaluación, de manera que, una vez se publique el informe ya se </w:t>
      </w:r>
      <w:r w:rsidRPr="00E61075">
        <w:rPr>
          <w:rFonts w:ascii="Verdana" w:eastAsia="Times New Roman" w:hAnsi="Verdana" w:cs="Arial"/>
          <w:lang w:val="es-ES_tradnl" w:eastAsia="es-ES_tradnl"/>
        </w:rPr>
        <w:lastRenderedPageBreak/>
        <w:t>encuentren subsanadas las propuestas, sin perjuicio del término límite que concedió la ley.</w:t>
      </w:r>
    </w:p>
    <w:p w14:paraId="6F06D06F" w14:textId="77777777" w:rsidR="00E61075" w:rsidRPr="00E61075" w:rsidRDefault="00E61075" w:rsidP="00E61075">
      <w:pPr>
        <w:spacing w:after="120" w:line="276" w:lineRule="auto"/>
        <w:ind w:firstLine="709"/>
        <w:jc w:val="both"/>
        <w:rPr>
          <w:rFonts w:ascii="Verdana" w:eastAsia="Times New Roman" w:hAnsi="Verdana" w:cs="Arial"/>
          <w:lang w:val="es-ES" w:eastAsia="es-ES"/>
        </w:rPr>
      </w:pPr>
      <w:r w:rsidRPr="00E61075">
        <w:rPr>
          <w:rFonts w:ascii="Verdana" w:eastAsia="Times New Roman" w:hAnsi="Verdana" w:cs="Arial"/>
          <w:lang w:val="es-ES" w:eastAsia="es-ES"/>
        </w:rPr>
        <w:t>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publicación del informe. Inclusive, es más adecuado y conveniente que la subsanación de las ofertas se intente con anterioridad, de forma que, una vez la Administración advierta el defecto, le solicite directamente al oferente que subsane. Esta interpretación es más consistente con los principios de economía, transparencia y selección objetiva. Lo anterior, se aclara, sin desconocer el límite que establece la norma para que los oferentes, sin perjuicio de que lo hagan antes, cuenten hasta el término de traslado del informe de evaluación con la posibilidad de presentar la información solicitada.</w:t>
      </w:r>
    </w:p>
    <w:p w14:paraId="73772EA1" w14:textId="77777777" w:rsidR="00E61075" w:rsidRPr="00E61075" w:rsidRDefault="00E61075" w:rsidP="00E61075">
      <w:pPr>
        <w:spacing w:after="120" w:line="276" w:lineRule="auto"/>
        <w:ind w:firstLine="709"/>
        <w:jc w:val="both"/>
        <w:rPr>
          <w:rFonts w:ascii="Verdana" w:eastAsia="Times New Roman" w:hAnsi="Verdana" w:cs="Arial"/>
          <w:lang w:val="es-ES_tradnl" w:eastAsia="es-ES_tradnl"/>
        </w:rPr>
      </w:pPr>
      <w:r w:rsidRPr="00E61075">
        <w:rPr>
          <w:rFonts w:ascii="Verdana" w:eastAsia="Times New Roman" w:hAnsi="Verdana" w:cs="Arial"/>
          <w:lang w:val="es-ES_tradnl" w:eastAsia="es-ES_tradnl"/>
        </w:rPr>
        <w:t xml:space="preserve">El </w:t>
      </w:r>
      <w:r w:rsidRPr="00E61075">
        <w:rPr>
          <w:rFonts w:ascii="Verdana" w:eastAsia="Times New Roman" w:hAnsi="Verdana" w:cs="Arial"/>
          <w:i/>
          <w:iCs/>
          <w:lang w:val="es-ES_tradnl" w:eastAsia="es-ES_tradnl"/>
        </w:rPr>
        <w:t>segundo cambio</w:t>
      </w:r>
      <w:r w:rsidRPr="00E61075">
        <w:rPr>
          <w:rFonts w:ascii="Verdana" w:eastAsia="Times New Roman" w:hAnsi="Verdana" w:cs="Arial"/>
          <w:lang w:val="es-ES_tradnl" w:eastAsia="es-ES_tradnl"/>
        </w:rPr>
        <w:t xml:space="preserve"> importante de la Ley 1882 de 2018 fue la introducción de un criterio material, directamente relacionado con los aspectos subsanables: </w:t>
      </w:r>
      <w:r w:rsidRPr="00E61075">
        <w:rPr>
          <w:rFonts w:ascii="Verdana" w:eastAsia="Times New Roman" w:hAnsi="Verdana" w:cs="Arial"/>
          <w:i/>
          <w:iCs/>
          <w:lang w:val="es-ES_tradnl" w:eastAsia="es-ES_tradnl"/>
        </w:rPr>
        <w:t>“los proponentes no podrán acreditar circunstancias ocurridas con posterioridad al cierre del proceso”.</w:t>
      </w:r>
      <w:r w:rsidRPr="00E61075">
        <w:rPr>
          <w:rFonts w:ascii="Verdana" w:eastAsia="Times New Roman" w:hAnsi="Verdana" w:cs="Arial"/>
          <w:lang w:val="es-ES_tradnl" w:eastAsia="es-ES_tradnl"/>
        </w:rPr>
        <w:t xml:space="preserve"> Lo anterior ofrece dos aspectos que merecen clarificación; primero, qué debe entenderse por circunstancias ocurridas con posterioridad, y segundo, qué es el cierre del proceso. </w:t>
      </w:r>
    </w:p>
    <w:p w14:paraId="3E44BD84" w14:textId="77777777" w:rsidR="00E61075" w:rsidRPr="00E61075" w:rsidRDefault="00E61075" w:rsidP="00E61075">
      <w:pPr>
        <w:spacing w:after="120" w:line="276" w:lineRule="auto"/>
        <w:ind w:firstLine="709"/>
        <w:jc w:val="both"/>
        <w:rPr>
          <w:rFonts w:ascii="Verdana" w:eastAsia="Times New Roman" w:hAnsi="Verdana" w:cs="Arial"/>
          <w:lang w:val="es-ES" w:eastAsia="es-ES"/>
        </w:rPr>
      </w:pPr>
      <w:r w:rsidRPr="00E61075">
        <w:rPr>
          <w:rFonts w:ascii="Verdana" w:eastAsia="Times New Roman" w:hAnsi="Verdana" w:cs="Arial"/>
          <w:lang w:val="es-ES" w:eastAsia="es-ES"/>
        </w:rPr>
        <w:t>La Sala de Consulta y Servicio Civil del Consejo de Estado ya había tenido la oportunidad de precisar estas expresiones, a propósito de un concepto en el que se refirió al artículo 10 del derogado Decreto 2474 de 2008, que había determinado que en ningún caso la entidad podía permitir que se acreditaran circunstancias ocurridas con posterioridad al cierre del proceso. En esa ocasión, el Consejo de Estado precisó que, por cierre del proceso debe entenderse el vencimiento del plazo para la presentación de las ofertas y que lo subsanable son las circunstancias que ocurrieron con anterioridad a esa fecha</w:t>
      </w:r>
      <w:r w:rsidRPr="00E61075">
        <w:rPr>
          <w:rFonts w:ascii="Verdana" w:eastAsia="Times New Roman" w:hAnsi="Verdana" w:cs="Arial"/>
          <w:vertAlign w:val="superscript"/>
          <w:lang w:val="es-ES" w:eastAsia="es-ES"/>
        </w:rPr>
        <w:footnoteReference w:id="4"/>
      </w:r>
      <w:r w:rsidRPr="00E61075">
        <w:rPr>
          <w:rFonts w:ascii="Verdana" w:eastAsia="Times New Roman" w:hAnsi="Verdana" w:cs="Arial"/>
          <w:lang w:val="es-ES" w:eastAsia="es-ES"/>
        </w:rPr>
        <w:t>.</w:t>
      </w:r>
    </w:p>
    <w:p w14:paraId="6E274180" w14:textId="77777777" w:rsidR="00E61075" w:rsidRPr="00E61075" w:rsidRDefault="00E61075" w:rsidP="00E61075">
      <w:pPr>
        <w:spacing w:after="120" w:line="276" w:lineRule="auto"/>
        <w:ind w:firstLine="709"/>
        <w:jc w:val="both"/>
        <w:rPr>
          <w:rFonts w:ascii="Verdana" w:eastAsia="Times New Roman" w:hAnsi="Verdana" w:cs="Arial"/>
          <w:lang w:val="es-ES" w:eastAsia="es-ES"/>
        </w:rPr>
      </w:pPr>
      <w:r w:rsidRPr="4A53AE23">
        <w:rPr>
          <w:rFonts w:ascii="Verdana" w:eastAsia="Times New Roman" w:hAnsi="Verdana" w:cs="Arial"/>
          <w:lang w:val="es-ES" w:eastAsia="es-ES"/>
        </w:rPr>
        <w:lastRenderedPageBreak/>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7308AF74" w14:textId="77777777" w:rsidR="00E61075" w:rsidRPr="00E61075" w:rsidRDefault="00E61075" w:rsidP="00E61075">
      <w:pPr>
        <w:spacing w:after="120" w:line="276" w:lineRule="auto"/>
        <w:ind w:firstLine="709"/>
        <w:jc w:val="both"/>
        <w:rPr>
          <w:rFonts w:ascii="Verdana" w:eastAsia="Times New Roman" w:hAnsi="Verdana" w:cs="Arial"/>
          <w:lang w:val="es-ES" w:eastAsia="es-ES"/>
        </w:rPr>
      </w:pPr>
      <w:r w:rsidRPr="00E61075">
        <w:rPr>
          <w:rFonts w:ascii="Verdana" w:eastAsia="Times New Roman" w:hAnsi="Verdana" w:cs="Arial"/>
          <w:lang w:val="es-ES" w:eastAsia="es-ES"/>
        </w:rPr>
        <w:t xml:space="preserve">Un mejor entendimiento del significado de la expresión </w:t>
      </w:r>
      <w:r w:rsidRPr="00E61075">
        <w:rPr>
          <w:rFonts w:ascii="Verdana" w:eastAsia="Times New Roman" w:hAnsi="Verdana" w:cs="Arial"/>
          <w:i/>
          <w:lang w:val="es-ES" w:eastAsia="es-ES"/>
        </w:rPr>
        <w:t>“circunstancias ocurridas con posterioridad al cierre del proceso”</w:t>
      </w:r>
      <w:r w:rsidRPr="00E61075">
        <w:rPr>
          <w:rFonts w:ascii="Verdana" w:eastAsia="Times New Roman" w:hAnsi="Verdana" w:cs="Arial"/>
          <w:lang w:val="es-ES" w:eastAsia="es-ES"/>
        </w:rPr>
        <w:t xml:space="preserve"> implica distinguir entre la prueba de un hecho y el hecho mismo. En el caso de la </w:t>
      </w:r>
      <w:proofErr w:type="spellStart"/>
      <w:r w:rsidRPr="00E61075">
        <w:rPr>
          <w:rFonts w:ascii="Verdana" w:eastAsia="Times New Roman" w:hAnsi="Verdana" w:cs="Arial"/>
          <w:lang w:val="es-ES" w:eastAsia="es-ES"/>
        </w:rPr>
        <w:t>subsanabilidad</w:t>
      </w:r>
      <w:proofErr w:type="spellEnd"/>
      <w:r w:rsidRPr="00E61075">
        <w:rPr>
          <w:rFonts w:ascii="Verdana" w:eastAsia="Times New Roman" w:hAnsi="Verdana" w:cs="Arial"/>
          <w:lang w:val="es-ES" w:eastAsia="es-ES"/>
        </w:rPr>
        <w:t xml:space="preserve"> de las ofertas, una cosa es el requisito habilitante o el elemento de la propuesta y otra su prueba. Lo que prohíbe la norma es que se subsanen requisitos que no estaban materialmente cumplidos al momento de presentación de la oferta, o en palabras de la ley, que se acrediten hechos que ocurrieron después del cierre del proceso</w:t>
      </w:r>
      <w:r w:rsidRPr="00E61075">
        <w:rPr>
          <w:rFonts w:ascii="Verdana" w:eastAsia="Times New Roman" w:hAnsi="Verdana" w:cs="Arial"/>
          <w:vertAlign w:val="superscript"/>
          <w:lang w:val="es-ES" w:eastAsia="es-ES"/>
        </w:rPr>
        <w:footnoteReference w:id="5"/>
      </w:r>
      <w:r w:rsidRPr="00E61075">
        <w:rPr>
          <w:rFonts w:ascii="Verdana" w:eastAsia="Times New Roman" w:hAnsi="Verdana" w:cs="Arial"/>
          <w:lang w:val="es-ES" w:eastAsia="es-ES"/>
        </w:rPr>
        <w:t xml:space="preserve">. </w:t>
      </w:r>
    </w:p>
    <w:p w14:paraId="2F3FDAF8" w14:textId="77777777" w:rsidR="00E61075" w:rsidRPr="00E61075" w:rsidRDefault="00E61075" w:rsidP="00E61075">
      <w:pPr>
        <w:spacing w:after="120" w:line="276" w:lineRule="auto"/>
        <w:ind w:firstLine="709"/>
        <w:jc w:val="both"/>
        <w:rPr>
          <w:rFonts w:ascii="Verdana" w:eastAsia="Times New Roman" w:hAnsi="Verdana" w:cs="Arial"/>
          <w:lang w:val="es-ES" w:eastAsia="es-ES"/>
        </w:rPr>
      </w:pPr>
      <w:r w:rsidRPr="00E61075">
        <w:rPr>
          <w:rFonts w:ascii="Verdana" w:eastAsia="Times New Roman" w:hAnsi="Verdana" w:cs="Arial"/>
          <w:lang w:val="es-ES" w:eastAsia="es-ES"/>
        </w:rPr>
        <w:lastRenderedPageBreak/>
        <w:t xml:space="preserve">Por ejemplo: i) si un oferente olvidó adjuntar con su propuesta el certificado que da cuenta de su inscripción en el RUP, el requisito será subsanable siempre que la prueba allegada demuestre que el hecho, esto es, la inscripción en el registro, ocurrió con anterioridad al cierre del proceso, estando </w:t>
      </w:r>
      <w:proofErr w:type="spellStart"/>
      <w:r w:rsidRPr="00E61075">
        <w:rPr>
          <w:rFonts w:ascii="Verdana" w:eastAsia="Times New Roman" w:hAnsi="Verdana" w:cs="Arial"/>
          <w:lang w:val="es-ES" w:eastAsia="es-ES"/>
        </w:rPr>
        <w:t>esta</w:t>
      </w:r>
      <w:proofErr w:type="spellEnd"/>
      <w:r w:rsidRPr="00E61075">
        <w:rPr>
          <w:rFonts w:ascii="Verdana" w:eastAsia="Times New Roman" w:hAnsi="Verdana" w:cs="Arial"/>
          <w:lang w:val="es-ES" w:eastAsia="es-ES"/>
        </w:rPr>
        <w:t xml:space="preserve"> en firme para dicho momento; </w:t>
      </w:r>
      <w:proofErr w:type="spellStart"/>
      <w:r w:rsidRPr="00E61075">
        <w:rPr>
          <w:rFonts w:ascii="Verdana" w:eastAsia="Times New Roman" w:hAnsi="Verdana" w:cs="Arial"/>
          <w:lang w:val="es-ES" w:eastAsia="es-ES"/>
        </w:rPr>
        <w:t>ii</w:t>
      </w:r>
      <w:proofErr w:type="spellEnd"/>
      <w:r w:rsidRPr="00E61075">
        <w:rPr>
          <w:rFonts w:ascii="Verdana" w:eastAsia="Times New Roman" w:hAnsi="Verdana" w:cs="Arial"/>
          <w:lang w:val="es-ES" w:eastAsia="es-ES"/>
        </w:rPr>
        <w:t>) si un oferente presentó la propuesta sin allegar la autorización al representante legal, por parte de la junta directiva de la sociedad, el certificado, aunque sea posterior, debe dar cuenta de que el hecho que pretende acreditar –la autorización de la junta– ocurrió antes del vencimiento del término para ofertar</w:t>
      </w:r>
      <w:r w:rsidRPr="00E61075">
        <w:rPr>
          <w:rFonts w:ascii="Verdana" w:eastAsia="Times New Roman" w:hAnsi="Verdana" w:cs="Arial"/>
          <w:vertAlign w:val="superscript"/>
          <w:lang w:val="es-ES" w:eastAsia="es-ES"/>
        </w:rPr>
        <w:footnoteReference w:id="6"/>
      </w:r>
      <w:r w:rsidRPr="00E61075">
        <w:rPr>
          <w:rFonts w:ascii="Verdana" w:eastAsia="Times New Roman" w:hAnsi="Verdana" w:cs="Arial"/>
          <w:lang w:val="es-ES" w:eastAsia="es-ES"/>
        </w:rPr>
        <w:t xml:space="preserve">; </w:t>
      </w:r>
      <w:proofErr w:type="spellStart"/>
      <w:r w:rsidRPr="00E61075">
        <w:rPr>
          <w:rFonts w:ascii="Verdana" w:eastAsia="Times New Roman" w:hAnsi="Verdana" w:cs="Arial"/>
          <w:lang w:val="es-ES" w:eastAsia="es-ES"/>
        </w:rPr>
        <w:t>iii</w:t>
      </w:r>
      <w:proofErr w:type="spellEnd"/>
      <w:r w:rsidRPr="00E61075">
        <w:rPr>
          <w:rFonts w:ascii="Verdana" w:eastAsia="Times New Roman" w:hAnsi="Verdana" w:cs="Arial"/>
          <w:lang w:val="es-ES" w:eastAsia="es-ES"/>
        </w:rPr>
        <w:t>) si un oferente no anexó el certificado de existencia y representación legal, el documento aportado con posterioridad debe dar cuenta de que la sociedad existía antes del cierre del proceso</w:t>
      </w:r>
      <w:r w:rsidRPr="00E61075">
        <w:rPr>
          <w:rFonts w:ascii="Verdana" w:eastAsia="Times New Roman" w:hAnsi="Verdana" w:cs="Arial"/>
          <w:vertAlign w:val="superscript"/>
          <w:lang w:val="es-ES" w:eastAsia="es-ES"/>
        </w:rPr>
        <w:footnoteReference w:id="7"/>
      </w:r>
      <w:r w:rsidRPr="00E61075">
        <w:rPr>
          <w:rFonts w:ascii="Verdana" w:eastAsia="Times New Roman" w:hAnsi="Verdana" w:cs="Arial"/>
          <w:lang w:val="es-ES" w:eastAsia="es-ES"/>
        </w:rPr>
        <w:t xml:space="preserve">; </w:t>
      </w:r>
      <w:proofErr w:type="spellStart"/>
      <w:r w:rsidRPr="00E61075">
        <w:rPr>
          <w:rFonts w:ascii="Verdana" w:eastAsia="Times New Roman" w:hAnsi="Verdana" w:cs="Arial"/>
          <w:lang w:val="es-ES" w:eastAsia="es-ES"/>
        </w:rPr>
        <w:t>iv</w:t>
      </w:r>
      <w:proofErr w:type="spellEnd"/>
      <w:r w:rsidRPr="00E61075">
        <w:rPr>
          <w:rFonts w:ascii="Verdana" w:eastAsia="Times New Roman" w:hAnsi="Verdana" w:cs="Arial"/>
          <w:lang w:val="es-ES" w:eastAsia="es-ES"/>
        </w:rPr>
        <w:t xml:space="preserve">) si un oferente olvidó adjuntar un certificado que demuestra un título universitario, el documento, aunque tenga fecha posterior al cierre del proceso, debe acreditar que el título académico se obtuvo con anterioridad al cierre del proceso; v) si un oferente no allegó un certificado de experiencia, el documento que subsana –sin importar que tenga fecha posterior– debe demostrar que la experiencia que se pretende hacer valer se obtuvo antes de vencerse el término para presentar ofertas, y vi) si el oferente olvidó firmar la propuesta o presentar una copia de ella, puede subsanar sin que con ello se entienda que acreditó una circunstancia ocurrida con posterioridad al cierre del proceso. </w:t>
      </w:r>
    </w:p>
    <w:p w14:paraId="3FC0303D" w14:textId="77777777" w:rsidR="00E61075" w:rsidRPr="00E61075" w:rsidRDefault="00E61075" w:rsidP="00E61075">
      <w:pPr>
        <w:spacing w:after="120" w:line="276" w:lineRule="auto"/>
        <w:ind w:firstLine="709"/>
        <w:jc w:val="both"/>
        <w:rPr>
          <w:rFonts w:ascii="Verdana" w:eastAsia="Times New Roman" w:hAnsi="Verdana" w:cs="Arial"/>
          <w:i/>
          <w:lang w:val="es-ES" w:eastAsia="es-ES"/>
        </w:rPr>
      </w:pPr>
      <w:r w:rsidRPr="00E61075">
        <w:rPr>
          <w:rFonts w:ascii="Verdana" w:eastAsia="Times New Roman" w:hAnsi="Verdana" w:cs="Arial"/>
          <w:lang w:val="es-ES" w:eastAsia="es-ES"/>
        </w:rPr>
        <w:t xml:space="preserve">Lo anterior quiere decir que no es la prueba –usualmente un documento– lo que debe ser anterior al cierre del proceso, sino el hecho que ella acredita. Es decir, ante la solicitud de la Administración de subsanar determinado requisito, el documento podría estar fechado con posterioridad al vencimiento del término para recibir propuestas, siempre y cuando el hecho que acredite haya ocurrido antes, esto es, que no sea una circunstancia ocurrida con posterioridad al cierre del proceso. Es por esto </w:t>
      </w:r>
      <w:proofErr w:type="gramStart"/>
      <w:r w:rsidRPr="00E61075">
        <w:rPr>
          <w:rFonts w:ascii="Verdana" w:eastAsia="Times New Roman" w:hAnsi="Verdana" w:cs="Arial"/>
          <w:lang w:val="es-ES" w:eastAsia="es-ES"/>
        </w:rPr>
        <w:t>que</w:t>
      </w:r>
      <w:proofErr w:type="gramEnd"/>
      <w:r w:rsidRPr="00E61075">
        <w:rPr>
          <w:rFonts w:ascii="Verdana" w:eastAsia="Times New Roman" w:hAnsi="Verdana" w:cs="Arial"/>
          <w:lang w:val="es-ES" w:eastAsia="es-ES"/>
        </w:rPr>
        <w:t xml:space="preserve"> el Consejo de Estado sostiene que “lo que se subsana es la prueba y no la condición habilitante o un elemento de la propuesta </w:t>
      </w:r>
      <w:r w:rsidRPr="00E61075">
        <w:rPr>
          <w:rFonts w:ascii="Verdana" w:eastAsia="Times New Roman" w:hAnsi="Verdana" w:cs="Arial"/>
          <w:lang w:val="es-ES" w:eastAsia="es-ES"/>
        </w:rPr>
        <w:lastRenderedPageBreak/>
        <w:t>[...] lo que se puede remediar es la prueba y no el requisito: La posibilidad debe recaer exclusivamente sobre circunstancias acaecidas antes del cierre del respectivo proceso, esto es, del vencimiento del plazo para presentar ofertas”</w:t>
      </w:r>
      <w:r w:rsidRPr="00E61075">
        <w:rPr>
          <w:rFonts w:ascii="Verdana" w:eastAsia="Times New Roman" w:hAnsi="Verdana" w:cs="Arial"/>
          <w:vertAlign w:val="superscript"/>
          <w:lang w:val="es-ES" w:eastAsia="es-ES"/>
        </w:rPr>
        <w:footnoteReference w:id="8"/>
      </w:r>
      <w:r w:rsidRPr="00E61075">
        <w:rPr>
          <w:rFonts w:ascii="Verdana" w:eastAsia="Times New Roman" w:hAnsi="Verdana" w:cs="Arial"/>
          <w:lang w:val="es-ES" w:eastAsia="es-ES"/>
        </w:rPr>
        <w:t>.</w:t>
      </w:r>
    </w:p>
    <w:p w14:paraId="4B076D53" w14:textId="77777777" w:rsidR="00E61075" w:rsidRPr="00E61075" w:rsidRDefault="00E61075" w:rsidP="00E61075">
      <w:pPr>
        <w:spacing w:after="120" w:line="276" w:lineRule="auto"/>
        <w:ind w:firstLine="708"/>
        <w:jc w:val="both"/>
        <w:rPr>
          <w:rFonts w:ascii="Verdana" w:eastAsia="Calibri" w:hAnsi="Verdana" w:cs="Arial"/>
          <w:color w:val="000000"/>
        </w:rPr>
      </w:pPr>
      <w:r w:rsidRPr="00E61075">
        <w:rPr>
          <w:rFonts w:ascii="Verdana" w:eastAsia="Times New Roman" w:hAnsi="Verdana" w:cs="Arial"/>
          <w:iCs/>
          <w:lang w:val="es-ES" w:eastAsia="es-ES"/>
        </w:rPr>
        <w:t>Ahora bien, e</w:t>
      </w:r>
      <w:r w:rsidRPr="00E61075">
        <w:rPr>
          <w:rFonts w:ascii="Verdana" w:eastAsia="Calibri" w:hAnsi="Verdana" w:cs="Arial"/>
          <w:iCs/>
          <w:color w:val="000000"/>
          <w:lang w:val="es-ES"/>
        </w:rPr>
        <w:t>l</w:t>
      </w:r>
      <w:r w:rsidRPr="00E61075">
        <w:rPr>
          <w:rFonts w:ascii="Verdana" w:eastAsia="Calibri" w:hAnsi="Verdana" w:cs="Arial"/>
          <w:color w:val="000000"/>
          <w:lang w:val="es-ES"/>
        </w:rPr>
        <w:t xml:space="preserve"> parágrafo 3 del artículo 5 de la Ley 1882 de 2018 determinó, de manera expresa, que “la no entrega de la garantía de seriedad junto con la propuesta no será subsanable y será causal de rechazo de </w:t>
      </w:r>
      <w:proofErr w:type="gramStart"/>
      <w:r w:rsidRPr="00E61075">
        <w:rPr>
          <w:rFonts w:ascii="Verdana" w:eastAsia="Calibri" w:hAnsi="Verdana" w:cs="Arial"/>
          <w:color w:val="000000"/>
          <w:lang w:val="es-ES"/>
        </w:rPr>
        <w:t>la misma</w:t>
      </w:r>
      <w:proofErr w:type="gramEnd"/>
      <w:r w:rsidRPr="00E61075">
        <w:rPr>
          <w:rFonts w:ascii="Verdana" w:eastAsia="Calibri" w:hAnsi="Verdana" w:cs="Arial"/>
          <w:color w:val="000000"/>
          <w:lang w:val="es-ES"/>
        </w:rPr>
        <w:t>”, dejando claro que se trata de un documento de obligatoria presentación junto con la propuesta y que materializa los principios de seriedad e irrevocabilidad de la oferta.</w:t>
      </w:r>
      <w:r w:rsidRPr="00E61075">
        <w:rPr>
          <w:rFonts w:ascii="Verdana" w:eastAsia="Calibri" w:hAnsi="Verdana" w:cs="Arial"/>
          <w:color w:val="000000"/>
        </w:rPr>
        <w:t> </w:t>
      </w:r>
    </w:p>
    <w:p w14:paraId="76F9E8D5" w14:textId="77777777" w:rsidR="00E61075" w:rsidRPr="00E61075" w:rsidRDefault="00E61075" w:rsidP="00E61075">
      <w:pPr>
        <w:spacing w:after="120" w:line="276" w:lineRule="auto"/>
        <w:ind w:firstLine="708"/>
        <w:jc w:val="both"/>
        <w:rPr>
          <w:rFonts w:ascii="Verdana" w:eastAsia="Calibri" w:hAnsi="Verdana" w:cs="Arial"/>
          <w:color w:val="000000"/>
        </w:rPr>
      </w:pPr>
      <w:r w:rsidRPr="00E61075">
        <w:rPr>
          <w:rFonts w:ascii="Verdana" w:eastAsia="Calibri" w:hAnsi="Verdana" w:cs="Arial"/>
          <w:color w:val="000000"/>
        </w:rPr>
        <w:t xml:space="preserve">Las anteriores consideraciones son, claramente, aplicables a los documentos tipo expedidos por esta Agencia. Por lo tanto, tratándose de los documentos tipo de infraestructura de transporte, el Formato de Acreditación de </w:t>
      </w:r>
      <w:proofErr w:type="spellStart"/>
      <w:r w:rsidRPr="00E61075">
        <w:rPr>
          <w:rFonts w:ascii="Verdana" w:eastAsia="Calibri" w:hAnsi="Verdana" w:cs="Arial"/>
          <w:color w:val="000000"/>
        </w:rPr>
        <w:t>Mipyme</w:t>
      </w:r>
      <w:proofErr w:type="spellEnd"/>
      <w:r w:rsidRPr="00E61075">
        <w:rPr>
          <w:rFonts w:ascii="Verdana" w:eastAsia="Calibri" w:hAnsi="Verdana" w:cs="Arial"/>
          <w:color w:val="000000"/>
        </w:rPr>
        <w:t xml:space="preserve"> y, en general, la acreditación de dicha condición, será, en principio, subsanable, siempre y cuando se refiera a la habilitación para poder participar en el respectivo proceso de contratación, teniendo en cuenta los aspectos que pueden subsanarse explicados en este concepto.</w:t>
      </w:r>
    </w:p>
    <w:p w14:paraId="6C6631DB" w14:textId="77777777" w:rsidR="00E61075" w:rsidRPr="00E61075" w:rsidRDefault="00E61075" w:rsidP="00E61075">
      <w:pPr>
        <w:spacing w:after="0" w:line="276" w:lineRule="auto"/>
        <w:ind w:firstLine="708"/>
        <w:jc w:val="both"/>
        <w:rPr>
          <w:rFonts w:ascii="Verdana" w:eastAsia="Calibri" w:hAnsi="Verdana" w:cs="Arial"/>
          <w:color w:val="000000"/>
        </w:rPr>
      </w:pPr>
      <w:r w:rsidRPr="00E61075">
        <w:rPr>
          <w:rFonts w:ascii="Verdana" w:eastAsia="Calibri" w:hAnsi="Verdana" w:cs="Arial"/>
          <w:color w:val="000000"/>
        </w:rPr>
        <w:t xml:space="preserve">Por el contrario, si con la acreditación de la condición de </w:t>
      </w:r>
      <w:proofErr w:type="spellStart"/>
      <w:r w:rsidRPr="00E61075">
        <w:rPr>
          <w:rFonts w:ascii="Verdana" w:eastAsia="Calibri" w:hAnsi="Verdana" w:cs="Arial"/>
          <w:color w:val="000000"/>
        </w:rPr>
        <w:t>Mipyme</w:t>
      </w:r>
      <w:proofErr w:type="spellEnd"/>
      <w:r w:rsidRPr="00E61075">
        <w:rPr>
          <w:rFonts w:ascii="Verdana" w:eastAsia="Calibri" w:hAnsi="Verdana" w:cs="Arial"/>
          <w:color w:val="000000"/>
        </w:rPr>
        <w:t xml:space="preserve"> se afecta la asignación del puntaje, esto no podrá ser objeto de subsanación, en consideración a que no pueden subsanarse aspectos que otorgan puntaje, ni acreditarse circunstancias ocurridas con posterioridad al cierre del proceso de selección. </w:t>
      </w:r>
    </w:p>
    <w:p w14:paraId="27938FC7" w14:textId="77777777" w:rsidR="00E61075" w:rsidRPr="00E61075" w:rsidRDefault="00E61075" w:rsidP="00E61075">
      <w:pPr>
        <w:widowControl w:val="0"/>
        <w:autoSpaceDE w:val="0"/>
        <w:autoSpaceDN w:val="0"/>
        <w:spacing w:after="0" w:line="276" w:lineRule="auto"/>
        <w:jc w:val="both"/>
        <w:rPr>
          <w:rFonts w:ascii="Verdana" w:eastAsia="Calibri" w:hAnsi="Verdana" w:cs="Arial"/>
        </w:rPr>
      </w:pPr>
    </w:p>
    <w:p w14:paraId="62FF8A73" w14:textId="77777777" w:rsidR="00E61075" w:rsidRPr="00E61075" w:rsidRDefault="00E61075" w:rsidP="00E61075">
      <w:pPr>
        <w:numPr>
          <w:ilvl w:val="0"/>
          <w:numId w:val="16"/>
        </w:numPr>
        <w:tabs>
          <w:tab w:val="left" w:pos="142"/>
          <w:tab w:val="left" w:pos="284"/>
        </w:tabs>
        <w:spacing w:after="0" w:line="276" w:lineRule="auto"/>
        <w:ind w:left="357" w:hanging="357"/>
        <w:jc w:val="both"/>
        <w:rPr>
          <w:rFonts w:ascii="Verdana" w:eastAsia="Century Gothic" w:hAnsi="Verdana" w:cs="Century Gothic"/>
          <w:b/>
          <w:bCs/>
          <w:lang w:val="es-ES"/>
        </w:rPr>
      </w:pPr>
      <w:r w:rsidRPr="00E61075">
        <w:rPr>
          <w:rFonts w:ascii="Verdana" w:eastAsia="Century Gothic" w:hAnsi="Verdana" w:cs="Century Gothic"/>
          <w:b/>
          <w:bCs/>
          <w:lang w:val="es-ES"/>
        </w:rPr>
        <w:t>Referencias normativas, jurisprudenciales y otras fuentes:</w:t>
      </w:r>
    </w:p>
    <w:p w14:paraId="006F50B9" w14:textId="77777777" w:rsidR="00E61075" w:rsidRPr="00E61075" w:rsidRDefault="00E61075" w:rsidP="00E61075">
      <w:pPr>
        <w:tabs>
          <w:tab w:val="left" w:pos="142"/>
          <w:tab w:val="left" w:pos="284"/>
        </w:tabs>
        <w:spacing w:after="0" w:line="276" w:lineRule="auto"/>
        <w:ind w:left="1068"/>
        <w:jc w:val="both"/>
        <w:rPr>
          <w:rFonts w:ascii="Verdana" w:eastAsia="Century Gothic" w:hAnsi="Verdana" w:cs="Century Gothic"/>
          <w:b/>
          <w:bCs/>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61075" w:rsidRPr="00E61075" w14:paraId="69B93997" w14:textId="77777777">
        <w:trPr>
          <w:trHeight w:val="774"/>
        </w:trPr>
        <w:tc>
          <w:tcPr>
            <w:tcW w:w="8647" w:type="dxa"/>
          </w:tcPr>
          <w:p w14:paraId="49786EBF" w14:textId="77777777" w:rsidR="00E61075" w:rsidRPr="00E61075" w:rsidRDefault="00E61075" w:rsidP="00E61075">
            <w:pPr>
              <w:numPr>
                <w:ilvl w:val="0"/>
                <w:numId w:val="17"/>
              </w:numPr>
              <w:snapToGrid w:val="0"/>
              <w:spacing w:after="120" w:line="276" w:lineRule="auto"/>
              <w:ind w:left="714" w:hanging="357"/>
              <w:jc w:val="both"/>
              <w:rPr>
                <w:rFonts w:ascii="Verdana" w:eastAsia="Calibri" w:hAnsi="Verdana" w:cs="Arial"/>
                <w:noProof/>
                <w:lang w:val="es-ES_tradnl"/>
              </w:rPr>
            </w:pPr>
            <w:r w:rsidRPr="00E61075">
              <w:rPr>
                <w:rFonts w:ascii="Verdana" w:eastAsia="Calibri" w:hAnsi="Verdana" w:cs="Arial"/>
                <w:noProof/>
                <w:lang w:val="es-ES_tradnl"/>
              </w:rPr>
              <w:t xml:space="preserve">Ley 1150 de 2007, artículo 5. Modificado por la Ley 1882 de 2018, parágrafos 1, 3 y 4. </w:t>
            </w:r>
          </w:p>
          <w:p w14:paraId="2C3D6F4E" w14:textId="77777777" w:rsidR="00E61075" w:rsidRPr="00E61075" w:rsidRDefault="00E61075" w:rsidP="00E61075">
            <w:pPr>
              <w:numPr>
                <w:ilvl w:val="0"/>
                <w:numId w:val="17"/>
              </w:numPr>
              <w:snapToGrid w:val="0"/>
              <w:spacing w:after="120" w:line="276" w:lineRule="auto"/>
              <w:ind w:left="714" w:hanging="357"/>
              <w:jc w:val="both"/>
              <w:rPr>
                <w:rFonts w:ascii="Verdana" w:eastAsia="Calibri" w:hAnsi="Verdana" w:cs="Arial"/>
                <w:noProof/>
                <w:lang w:val="es-ES_tradnl"/>
              </w:rPr>
            </w:pPr>
            <w:r w:rsidRPr="00E61075">
              <w:rPr>
                <w:rFonts w:ascii="Verdana" w:eastAsia="Calibri" w:hAnsi="Verdana" w:cs="Arial"/>
                <w:noProof/>
                <w:lang w:val="es-ES_tradnl"/>
              </w:rPr>
              <w:t>Consejo de Estado. Sala de Consulta y Servicio Civil. Concepto del 20 de mayo de 2010. Exp. 1.992. C.P. Enrique José Arboleda Perdomo.</w:t>
            </w:r>
          </w:p>
          <w:p w14:paraId="4BE3C114" w14:textId="77777777" w:rsidR="00E61075" w:rsidRPr="00E61075" w:rsidRDefault="00E61075" w:rsidP="00E61075">
            <w:pPr>
              <w:numPr>
                <w:ilvl w:val="0"/>
                <w:numId w:val="17"/>
              </w:numPr>
              <w:snapToGrid w:val="0"/>
              <w:spacing w:after="120" w:line="276" w:lineRule="auto"/>
              <w:ind w:left="714" w:hanging="357"/>
              <w:jc w:val="both"/>
              <w:rPr>
                <w:rFonts w:ascii="Verdana" w:eastAsia="Calibri" w:hAnsi="Verdana" w:cs="Arial"/>
                <w:noProof/>
                <w:lang w:val="es-ES_tradnl"/>
              </w:rPr>
            </w:pPr>
            <w:r w:rsidRPr="00E61075">
              <w:rPr>
                <w:rFonts w:ascii="Verdana" w:eastAsia="Calibri" w:hAnsi="Verdana" w:cs="Arial"/>
                <w:noProof/>
                <w:lang w:val="es-ES_tradnl"/>
              </w:rPr>
              <w:t>Consejo De Estado. Sección Tercera. Subsección C. Sentencia del 26 de febrero de 2014. Expediente: 25.804. Consejero Ponente: Enrique Gil Botero.</w:t>
            </w:r>
          </w:p>
          <w:p w14:paraId="7B72E983" w14:textId="77777777" w:rsidR="00E61075" w:rsidRPr="00E61075" w:rsidRDefault="00E61075" w:rsidP="00E61075">
            <w:pPr>
              <w:numPr>
                <w:ilvl w:val="0"/>
                <w:numId w:val="17"/>
              </w:numPr>
              <w:snapToGrid w:val="0"/>
              <w:spacing w:after="120" w:line="276" w:lineRule="auto"/>
              <w:ind w:left="714" w:hanging="357"/>
              <w:jc w:val="both"/>
              <w:rPr>
                <w:rFonts w:ascii="Verdana" w:eastAsia="Calibri" w:hAnsi="Verdana" w:cs="Arial"/>
                <w:noProof/>
                <w:lang w:val="es-ES_tradnl"/>
              </w:rPr>
            </w:pPr>
            <w:r w:rsidRPr="00E61075">
              <w:rPr>
                <w:rFonts w:ascii="Verdana" w:eastAsia="Calibri" w:hAnsi="Verdana" w:cs="Arial"/>
                <w:noProof/>
                <w:lang w:val="es-ES_tradnl"/>
              </w:rPr>
              <w:lastRenderedPageBreak/>
              <w:t>Consejo De Estado, Sección Tercera, Subsección C. Sentencia del 26 de febrero de 2011. C.P. Jaime Orlando Santofimio. Rad. 36.408.</w:t>
            </w:r>
          </w:p>
          <w:p w14:paraId="02755136" w14:textId="77777777" w:rsidR="00E61075" w:rsidRPr="00E61075" w:rsidRDefault="00E61075" w:rsidP="00E61075">
            <w:pPr>
              <w:numPr>
                <w:ilvl w:val="0"/>
                <w:numId w:val="17"/>
              </w:numPr>
              <w:snapToGrid w:val="0"/>
              <w:spacing w:after="120" w:line="276" w:lineRule="auto"/>
              <w:ind w:left="714" w:hanging="357"/>
              <w:jc w:val="both"/>
              <w:rPr>
                <w:rFonts w:ascii="Verdana" w:eastAsia="Calibri" w:hAnsi="Verdana" w:cs="Arial"/>
                <w:noProof/>
                <w:lang w:val="es-ES_tradnl"/>
              </w:rPr>
            </w:pPr>
            <w:r w:rsidRPr="00E61075">
              <w:rPr>
                <w:rFonts w:ascii="Verdana" w:eastAsia="Calibri" w:hAnsi="Verdana" w:cs="Arial"/>
                <w:shd w:val="clear" w:color="auto" w:fill="FFFFFF"/>
                <w:lang w:val="es-ES"/>
              </w:rPr>
              <w:t xml:space="preserve">Documentos tipo expedidos por la Agencia Nacional de Contratación Pública – Colombia Compra Eficiente. Disponibles en: </w:t>
            </w:r>
            <w:hyperlink r:id="rId11" w:history="1">
              <w:r w:rsidRPr="00E61075">
                <w:rPr>
                  <w:rFonts w:ascii="Verdana" w:eastAsia="Calibri" w:hAnsi="Verdana" w:cs="Arial"/>
                  <w:color w:val="0000FF"/>
                  <w:u w:val="single"/>
                  <w:shd w:val="clear" w:color="auto" w:fill="FFFFFF"/>
                  <w:lang w:val="es-ES"/>
                </w:rPr>
                <w:t>https://www.colombiacompra.gov.co/normativa-y-relatoria/documentos-tipo</w:t>
              </w:r>
            </w:hyperlink>
            <w:r w:rsidRPr="00E61075">
              <w:rPr>
                <w:rFonts w:ascii="Verdana" w:eastAsia="Calibri" w:hAnsi="Verdana" w:cs="Arial"/>
                <w:shd w:val="clear" w:color="auto" w:fill="FFFFFF"/>
                <w:lang w:val="es-ES"/>
              </w:rPr>
              <w:t xml:space="preserve">. </w:t>
            </w:r>
            <w:r w:rsidRPr="00E61075">
              <w:rPr>
                <w:rFonts w:ascii="Verdana" w:eastAsia="Calibri" w:hAnsi="Verdana" w:cs="Arial"/>
                <w:noProof/>
                <w:lang w:val="es-ES_tradnl"/>
              </w:rPr>
              <w:t xml:space="preserve"> </w:t>
            </w:r>
          </w:p>
        </w:tc>
      </w:tr>
    </w:tbl>
    <w:p w14:paraId="01E33FCF" w14:textId="77777777" w:rsidR="00E61075" w:rsidRPr="00E61075" w:rsidRDefault="00E61075" w:rsidP="00E61075">
      <w:pPr>
        <w:widowControl w:val="0"/>
        <w:autoSpaceDE w:val="0"/>
        <w:autoSpaceDN w:val="0"/>
        <w:spacing w:after="0" w:line="276" w:lineRule="auto"/>
        <w:jc w:val="both"/>
        <w:rPr>
          <w:rFonts w:ascii="Verdana" w:eastAsia="Calibri" w:hAnsi="Verdana" w:cs="Arial"/>
        </w:rPr>
      </w:pPr>
    </w:p>
    <w:p w14:paraId="0613AC8A" w14:textId="77777777" w:rsidR="00E61075" w:rsidRPr="00E61075" w:rsidRDefault="00E61075" w:rsidP="00E61075">
      <w:pPr>
        <w:numPr>
          <w:ilvl w:val="0"/>
          <w:numId w:val="16"/>
        </w:numPr>
        <w:tabs>
          <w:tab w:val="left" w:pos="142"/>
          <w:tab w:val="left" w:pos="284"/>
        </w:tabs>
        <w:spacing w:after="0" w:line="276" w:lineRule="auto"/>
        <w:ind w:left="357" w:hanging="357"/>
        <w:jc w:val="both"/>
        <w:rPr>
          <w:rFonts w:ascii="Verdana" w:eastAsia="Century Gothic" w:hAnsi="Verdana" w:cs="Century Gothic"/>
          <w:b/>
          <w:bCs/>
          <w:lang w:val="es-ES"/>
        </w:rPr>
      </w:pPr>
      <w:r w:rsidRPr="00E61075">
        <w:rPr>
          <w:rFonts w:ascii="Verdana" w:eastAsia="Century Gothic" w:hAnsi="Verdana" w:cs="Century Gothic"/>
          <w:b/>
          <w:bCs/>
          <w:lang w:val="es-ES"/>
        </w:rPr>
        <w:t>Doctrina de la Agencia Nacional de Contratación Pública:</w:t>
      </w:r>
    </w:p>
    <w:p w14:paraId="3BCED06D" w14:textId="77777777" w:rsidR="00E61075" w:rsidRPr="00E61075" w:rsidRDefault="00E61075" w:rsidP="00E61075">
      <w:pPr>
        <w:widowControl w:val="0"/>
        <w:autoSpaceDE w:val="0"/>
        <w:autoSpaceDN w:val="0"/>
        <w:spacing w:after="0" w:line="276" w:lineRule="auto"/>
        <w:jc w:val="both"/>
        <w:rPr>
          <w:rFonts w:ascii="Verdana" w:eastAsia="Calibri" w:hAnsi="Verdana" w:cs="Arial"/>
        </w:rPr>
      </w:pPr>
    </w:p>
    <w:p w14:paraId="081EA91A" w14:textId="77777777" w:rsidR="00E61075" w:rsidRPr="00E61075" w:rsidRDefault="00E61075" w:rsidP="00E61075">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E61075">
        <w:rPr>
          <w:rFonts w:ascii="Verdana" w:eastAsia="Calibri" w:hAnsi="Verdana" w:cs="Arial"/>
          <w:lang w:val="es-ES" w:eastAsia="es-ES"/>
        </w:rPr>
        <w:t xml:space="preserve">Sobre la </w:t>
      </w:r>
      <w:r w:rsidRPr="00E61075">
        <w:rPr>
          <w:rFonts w:ascii="Verdana" w:eastAsia="Calibri" w:hAnsi="Verdana" w:cs="Arial"/>
          <w:lang w:val="es-ES"/>
        </w:rPr>
        <w:t xml:space="preserve">regla de </w:t>
      </w:r>
      <w:proofErr w:type="spellStart"/>
      <w:r w:rsidRPr="00E61075">
        <w:rPr>
          <w:rFonts w:ascii="Verdana" w:eastAsia="Calibri" w:hAnsi="Verdana" w:cs="Arial"/>
          <w:lang w:val="es-ES"/>
        </w:rPr>
        <w:t>subsanabilidad</w:t>
      </w:r>
      <w:proofErr w:type="spellEnd"/>
      <w:r w:rsidRPr="00E61075">
        <w:rPr>
          <w:rFonts w:ascii="Verdana" w:eastAsia="Calibri" w:hAnsi="Verdana" w:cs="Arial"/>
          <w:lang w:val="es-ES"/>
        </w:rPr>
        <w:t xml:space="preserve"> en los procesos de selección,</w:t>
      </w:r>
      <w:r w:rsidRPr="00E61075">
        <w:rPr>
          <w:rFonts w:ascii="Verdana" w:eastAsia="Calibri" w:hAnsi="Verdana" w:cs="Arial"/>
          <w:shd w:val="clear" w:color="auto" w:fill="FFFFFF"/>
          <w:lang w:val="es-ES"/>
        </w:rPr>
        <w:t xml:space="preserve"> se pronunció esta Subdirección </w:t>
      </w:r>
      <w:r w:rsidRPr="00E61075">
        <w:rPr>
          <w:rFonts w:ascii="Verdana" w:eastAsia="Calibri" w:hAnsi="Verdana" w:cs="Arial"/>
          <w:lang w:val="es-ES"/>
        </w:rPr>
        <w:t xml:space="preserve">en los conceptos 4201913000007643 del 26 de diciembre de 2019, C-343 del 17 de junio de 2020, C-518 del 9 de septiembre de 2020, C-614 del 5 de octubre de 2022, C-882 del 21 de diciembre de 2022, C-172 del 6 de junio de 2023 y C-120 del 7 de marzo de 2025. </w:t>
      </w:r>
      <w:r w:rsidRPr="00E61075">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E61075">
          <w:rPr>
            <w:rFonts w:ascii="Verdana" w:eastAsia="Times New Roman" w:hAnsi="Verdana" w:cs="Arial"/>
            <w:kern w:val="2"/>
            <w:shd w:val="clear" w:color="auto" w:fill="FFFFFF"/>
            <w:lang w:val="es-ES"/>
            <w14:ligatures w14:val="standardContextual"/>
          </w:rPr>
          <w:t>https://relatoria.colombiacompra.gov.co/</w:t>
        </w:r>
      </w:hyperlink>
      <w:r w:rsidRPr="00E61075">
        <w:rPr>
          <w:rFonts w:ascii="Verdana" w:eastAsia="Times New Roman" w:hAnsi="Verdana" w:cs="Arial"/>
          <w:kern w:val="2"/>
          <w:shd w:val="clear" w:color="auto" w:fill="FFFFFF"/>
          <w:lang w:val="es-ES"/>
          <w14:ligatures w14:val="standardContextual"/>
        </w:rPr>
        <w:t>.</w:t>
      </w:r>
    </w:p>
    <w:p w14:paraId="1B4A07E4" w14:textId="77777777" w:rsidR="00E61075" w:rsidRPr="00E61075" w:rsidRDefault="00E61075" w:rsidP="00E61075">
      <w:pPr>
        <w:spacing w:after="0" w:line="276" w:lineRule="auto"/>
        <w:jc w:val="both"/>
        <w:rPr>
          <w:rFonts w:ascii="Verdana" w:eastAsia="Calibri" w:hAnsi="Verdana" w:cs="Arial"/>
          <w:color w:val="000000"/>
          <w:kern w:val="2"/>
          <w:shd w:val="clear" w:color="auto" w:fill="FFFFFF"/>
          <w:lang w:val="es-ES_tradnl"/>
          <w14:ligatures w14:val="standardContextual"/>
        </w:rPr>
      </w:pPr>
    </w:p>
    <w:p w14:paraId="021D6736" w14:textId="77777777" w:rsidR="00E61075" w:rsidRPr="00E61075" w:rsidRDefault="00E61075" w:rsidP="00E61075">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E61075">
        <w:rPr>
          <w:rFonts w:ascii="Verdana" w:eastAsia="Calibri" w:hAnsi="Verdana" w:cs="Arial"/>
          <w:kern w:val="2"/>
          <w:shd w:val="clear" w:color="auto" w:fill="FFFFFF"/>
          <w:lang w:val="es-ES_tradnl"/>
          <w14:ligatures w14:val="standardContextual"/>
        </w:rPr>
        <w:t>La</w:t>
      </w:r>
      <w:r w:rsidRPr="00E61075">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E61075">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E61075">
        <w:rPr>
          <w:rFonts w:ascii="Verdana" w:eastAsia="Calibri" w:hAnsi="Verdana" w:cs="Arial"/>
          <w:b/>
          <w:bCs/>
          <w:kern w:val="2"/>
          <w:shd w:val="clear" w:color="auto" w:fill="FFFFFF"/>
          <w:lang w:val="es-ES_tradnl"/>
          <w14:ligatures w14:val="standardContextual"/>
        </w:rPr>
        <w:t>Documentos Tipo</w:t>
      </w:r>
      <w:r w:rsidRPr="00E61075">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E61075">
        <w:rPr>
          <w:rFonts w:ascii="Verdana" w:eastAsia="Calibri" w:hAnsi="Verdana" w:cs="Arial"/>
          <w:b/>
          <w:bCs/>
          <w:kern w:val="2"/>
          <w:shd w:val="clear" w:color="auto" w:fill="FFFFFF"/>
          <w:lang w:val="es-ES_tradnl"/>
          <w14:ligatures w14:val="standardContextual"/>
        </w:rPr>
        <w:t>transparencia</w:t>
      </w:r>
      <w:r w:rsidRPr="00E61075">
        <w:rPr>
          <w:rFonts w:ascii="Verdana" w:eastAsia="Calibri" w:hAnsi="Verdana" w:cs="Arial"/>
          <w:kern w:val="2"/>
          <w:shd w:val="clear" w:color="auto" w:fill="FFFFFF"/>
          <w:lang w:val="es-ES_tradnl"/>
          <w14:ligatures w14:val="standardContextual"/>
        </w:rPr>
        <w:t> y promover un proceso de </w:t>
      </w:r>
      <w:r w:rsidRPr="00E61075">
        <w:rPr>
          <w:rFonts w:ascii="Verdana" w:eastAsia="Calibri" w:hAnsi="Verdana" w:cs="Arial"/>
          <w:b/>
          <w:bCs/>
          <w:kern w:val="2"/>
          <w:shd w:val="clear" w:color="auto" w:fill="FFFFFF"/>
          <w:lang w:val="es-ES_tradnl"/>
          <w14:ligatures w14:val="standardContextual"/>
        </w:rPr>
        <w:t>selección objetiva</w:t>
      </w:r>
      <w:r w:rsidRPr="00E61075">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3D0D2AA1" w14:textId="77777777" w:rsidR="00E61075" w:rsidRPr="00E61075" w:rsidRDefault="00E61075" w:rsidP="00E61075">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3D293C2E" w14:textId="77777777" w:rsidR="00E61075" w:rsidRPr="00E61075" w:rsidRDefault="00E61075" w:rsidP="00E61075">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00E61075">
        <w:rPr>
          <w:rFonts w:ascii="Verdana" w:eastAsia="Calibri" w:hAnsi="Verdana" w:cs="Arial"/>
          <w:kern w:val="2"/>
          <w:shd w:val="clear" w:color="auto" w:fill="FFFFFF"/>
          <w:lang w:val="es-ES"/>
          <w14:ligatures w14:val="standardContextual"/>
        </w:rPr>
        <w:t>También, le contamos que ya se encuentra disponible la </w:t>
      </w:r>
      <w:r w:rsidRPr="00E61075">
        <w:rPr>
          <w:rFonts w:ascii="Verdana" w:eastAsia="Calibri" w:hAnsi="Verdana" w:cs="Arial"/>
          <w:b/>
          <w:kern w:val="2"/>
          <w:shd w:val="clear" w:color="auto" w:fill="FFFFFF"/>
          <w:lang w:val="es-ES"/>
          <w14:ligatures w14:val="standardContextual"/>
        </w:rPr>
        <w:t>Guía de lineamientos de transparencia y selección objetiva para el departamento de La Guajira – Objetivo sexto constitucional de la Sentencia T-302 del 2017. </w:t>
      </w:r>
      <w:r w:rsidRPr="00E61075">
        <w:rPr>
          <w:rFonts w:ascii="Verdana" w:eastAsia="Calibri" w:hAnsi="Verdana" w:cs="Arial"/>
          <w:kern w:val="2"/>
          <w:shd w:val="clear" w:color="auto" w:fill="FFFFFF"/>
          <w:lang w:val="es-ES"/>
          <w14:ligatures w14:val="standardContextual"/>
        </w:rPr>
        <w:t xml:space="preserve">Esta Guía se expide en el marco del cumplimiento de la orden proferida por la Honorable Corte Constitucional en la Sentencia T-302 del 2017. Con su implementación, se busca contribuir a la superación del Estado de Cosas </w:t>
      </w:r>
      <w:r w:rsidRPr="00E61075">
        <w:rPr>
          <w:rFonts w:ascii="Verdana" w:eastAsia="Calibri" w:hAnsi="Verdana" w:cs="Arial"/>
          <w:kern w:val="2"/>
          <w:shd w:val="clear" w:color="auto" w:fill="FFFFFF"/>
          <w:lang w:val="es-ES"/>
          <w14:ligatures w14:val="standardContextual"/>
        </w:rPr>
        <w:lastRenderedPageBreak/>
        <w:t xml:space="preserve">Inconstitucional declarado por la situación de vulneración masiva y recurrente de los derechos fundamentales de los niños y de las niñas del Pueblo </w:t>
      </w:r>
      <w:proofErr w:type="spellStart"/>
      <w:r w:rsidRPr="00E61075">
        <w:rPr>
          <w:rFonts w:ascii="Verdana" w:eastAsia="Calibri" w:hAnsi="Verdana" w:cs="Arial"/>
          <w:kern w:val="2"/>
          <w:shd w:val="clear" w:color="auto" w:fill="FFFFFF"/>
          <w:lang w:val="es-ES"/>
          <w14:ligatures w14:val="standardContextual"/>
        </w:rPr>
        <w:t>Wayúu</w:t>
      </w:r>
      <w:proofErr w:type="spellEnd"/>
      <w:r w:rsidRPr="00E61075">
        <w:rPr>
          <w:rFonts w:ascii="Verdana" w:eastAsia="Calibri" w:hAnsi="Verdana" w:cs="Arial"/>
          <w:kern w:val="2"/>
          <w:shd w:val="clear" w:color="auto" w:fill="FFFFFF"/>
          <w:lang w:val="es-ES"/>
          <w14:ligatures w14:val="standardContextual"/>
        </w:rPr>
        <w:t>. Puede consultar la guía en el siguiente enlace: </w:t>
      </w:r>
      <w:hyperlink r:id="rId13" w:tgtFrame="_blank" w:tooltip="Original URL: https://www.colombiacompra.gov.co/wp-content/uploads/2025/05/GUIA-DE-LINEAMIENTOS-DE-TRANSPARENCIA-Y-SELECCION-OBJETIVA-1.0.pdf. Click or tap if you trust this link." w:history="1">
        <w:r w:rsidRPr="00E61075">
          <w:rPr>
            <w:rFonts w:ascii="Verdana" w:eastAsia="Calibri" w:hAnsi="Verdana" w:cs="Arial"/>
            <w:color w:val="0000FF"/>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E61075">
        <w:rPr>
          <w:rFonts w:ascii="Verdana" w:eastAsia="Calibri" w:hAnsi="Verdana" w:cs="Arial"/>
          <w:kern w:val="2"/>
          <w:u w:val="single"/>
          <w:shd w:val="clear" w:color="auto" w:fill="FFFFFF"/>
          <w:lang w:val="es-ES"/>
          <w14:ligatures w14:val="standardContextual"/>
        </w:rPr>
        <w:t>.</w:t>
      </w:r>
    </w:p>
    <w:p w14:paraId="71F68B72" w14:textId="77777777" w:rsidR="00E61075" w:rsidRPr="00E61075" w:rsidRDefault="00E61075" w:rsidP="00E61075">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1A509358" w14:textId="77777777" w:rsidR="00E61075" w:rsidRPr="00E61075" w:rsidRDefault="00E61075" w:rsidP="00E61075">
      <w:pPr>
        <w:spacing w:after="0" w:line="276" w:lineRule="auto"/>
        <w:jc w:val="both"/>
        <w:rPr>
          <w:rFonts w:ascii="Verdana" w:eastAsia="Calibri" w:hAnsi="Verdana" w:cs="Times New Roman"/>
          <w:kern w:val="2"/>
          <w:lang w:val="es-ES_tradnl"/>
          <w14:ligatures w14:val="standardContextual"/>
        </w:rPr>
      </w:pPr>
      <w:r w:rsidRPr="00E61075">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2031656C" w14:textId="77777777" w:rsidR="00E61075" w:rsidRPr="00E61075" w:rsidRDefault="00E61075" w:rsidP="00E61075">
      <w:pPr>
        <w:spacing w:after="0" w:line="276" w:lineRule="auto"/>
        <w:jc w:val="both"/>
        <w:rPr>
          <w:rFonts w:ascii="Verdana" w:eastAsia="Calibri" w:hAnsi="Verdana" w:cs="Times New Roman"/>
          <w:kern w:val="2"/>
          <w:lang w:val="es-ES_tradnl"/>
          <w14:ligatures w14:val="standardContextual"/>
        </w:rPr>
      </w:pPr>
    </w:p>
    <w:p w14:paraId="220C9A88" w14:textId="77777777" w:rsidR="00E61075" w:rsidRPr="00E61075" w:rsidRDefault="00E61075" w:rsidP="00E61075">
      <w:pPr>
        <w:spacing w:after="0" w:line="276" w:lineRule="auto"/>
        <w:jc w:val="both"/>
        <w:rPr>
          <w:rFonts w:ascii="Verdana" w:eastAsia="Calibri" w:hAnsi="Verdana" w:cs="Times New Roman"/>
          <w:kern w:val="2"/>
          <w:lang w:val="es-ES_tradnl"/>
          <w14:ligatures w14:val="standardContextual"/>
        </w:rPr>
      </w:pPr>
      <w:r w:rsidRPr="00E61075">
        <w:rPr>
          <w:rFonts w:ascii="Verdana" w:eastAsia="Calibri" w:hAnsi="Verdana" w:cs="Times New Roman"/>
          <w:kern w:val="2"/>
          <w:lang w:val="es-ES_tradnl"/>
          <w14:ligatures w14:val="standardContextual"/>
        </w:rPr>
        <w:t xml:space="preserve">X: </w:t>
      </w:r>
      <w:r w:rsidRPr="00E61075">
        <w:rPr>
          <w:rFonts w:ascii="Verdana" w:eastAsia="Calibri" w:hAnsi="Verdana" w:cs="Times New Roman"/>
          <w:kern w:val="2"/>
          <w:u w:val="single"/>
          <w:lang w:val="es-ES_tradnl"/>
          <w14:ligatures w14:val="standardContextual"/>
        </w:rPr>
        <w:t>@colombiacompra</w:t>
      </w:r>
      <w:r w:rsidRPr="00E61075">
        <w:rPr>
          <w:rFonts w:ascii="Verdana" w:eastAsia="Calibri" w:hAnsi="Verdana" w:cs="Times New Roman"/>
          <w:kern w:val="2"/>
          <w:lang w:val="es-ES_tradnl"/>
          <w14:ligatures w14:val="standardContextual"/>
        </w:rPr>
        <w:t xml:space="preserve"> </w:t>
      </w:r>
    </w:p>
    <w:p w14:paraId="58911305" w14:textId="77777777" w:rsidR="00E61075" w:rsidRPr="00E61075" w:rsidRDefault="00E61075" w:rsidP="00E61075">
      <w:pPr>
        <w:spacing w:after="0" w:line="276" w:lineRule="auto"/>
        <w:jc w:val="both"/>
        <w:rPr>
          <w:rFonts w:ascii="Verdana" w:eastAsia="Calibri" w:hAnsi="Verdana" w:cs="Times New Roman"/>
          <w:kern w:val="2"/>
          <w:lang w:val="es-ES"/>
          <w14:ligatures w14:val="standardContextual"/>
        </w:rPr>
      </w:pPr>
      <w:r w:rsidRPr="00E61075">
        <w:rPr>
          <w:rFonts w:ascii="Verdana" w:eastAsia="Calibri" w:hAnsi="Verdana" w:cs="Times New Roman"/>
          <w:kern w:val="2"/>
          <w:lang w:val="es-ES"/>
          <w14:ligatures w14:val="standardContextual"/>
        </w:rPr>
        <w:t xml:space="preserve">Facebook: </w:t>
      </w:r>
      <w:proofErr w:type="spellStart"/>
      <w:r w:rsidRPr="00E61075">
        <w:rPr>
          <w:rFonts w:ascii="Verdana" w:eastAsia="Calibri" w:hAnsi="Verdana" w:cs="Times New Roman"/>
          <w:kern w:val="2"/>
          <w:u w:val="single"/>
          <w:lang w:val="es-ES"/>
          <w14:ligatures w14:val="standardContextual"/>
        </w:rPr>
        <w:t>ColombiaCompraEficiente</w:t>
      </w:r>
      <w:proofErr w:type="spellEnd"/>
    </w:p>
    <w:p w14:paraId="509388D2" w14:textId="77777777" w:rsidR="00E61075" w:rsidRPr="00E61075" w:rsidRDefault="00E61075" w:rsidP="00E61075">
      <w:pPr>
        <w:spacing w:after="0" w:line="276" w:lineRule="auto"/>
        <w:jc w:val="both"/>
        <w:rPr>
          <w:rFonts w:ascii="Verdana" w:eastAsia="Calibri" w:hAnsi="Verdana" w:cs="Times New Roman"/>
          <w:kern w:val="2"/>
          <w:lang w:val="es-ES_tradnl"/>
          <w14:ligatures w14:val="standardContextual"/>
        </w:rPr>
      </w:pPr>
      <w:r w:rsidRPr="00E61075">
        <w:rPr>
          <w:rFonts w:ascii="Verdana" w:eastAsia="Calibri" w:hAnsi="Verdana" w:cs="Times New Roman"/>
          <w:kern w:val="2"/>
          <w:lang w:val="es-ES_tradnl"/>
          <w14:ligatures w14:val="standardContextual"/>
        </w:rPr>
        <w:t xml:space="preserve">LinkedIn: </w:t>
      </w:r>
      <w:r w:rsidRPr="00E61075">
        <w:rPr>
          <w:rFonts w:ascii="Verdana" w:eastAsia="Calibri" w:hAnsi="Verdana" w:cs="Times New Roman"/>
          <w:kern w:val="2"/>
          <w:u w:val="single"/>
          <w:lang w:val="es-ES_tradnl"/>
          <w14:ligatures w14:val="standardContextual"/>
        </w:rPr>
        <w:t>Agencia Nacional de Contratación Pública - Colombia Compra Eficiente</w:t>
      </w:r>
      <w:r w:rsidRPr="00E61075">
        <w:rPr>
          <w:rFonts w:ascii="Verdana" w:eastAsia="Calibri" w:hAnsi="Verdana" w:cs="Times New Roman"/>
          <w:kern w:val="2"/>
          <w:lang w:val="es-ES_tradnl"/>
          <w14:ligatures w14:val="standardContextual"/>
        </w:rPr>
        <w:t xml:space="preserve"> Instagram: </w:t>
      </w:r>
      <w:r w:rsidRPr="00E61075">
        <w:rPr>
          <w:rFonts w:ascii="Verdana" w:eastAsia="Calibri" w:hAnsi="Verdana" w:cs="Times New Roman"/>
          <w:kern w:val="2"/>
          <w:u w:val="single"/>
          <w:lang w:val="es-ES_tradnl"/>
          <w14:ligatures w14:val="standardContextual"/>
        </w:rPr>
        <w:t>@colombiacompraeficiente_cce</w:t>
      </w:r>
    </w:p>
    <w:p w14:paraId="46F4D09B" w14:textId="77777777" w:rsidR="00E61075" w:rsidRPr="00E61075" w:rsidRDefault="00E61075" w:rsidP="00E61075">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38F3AEDD" w14:textId="77777777" w:rsidR="00E61075" w:rsidRPr="00E61075" w:rsidRDefault="00E61075" w:rsidP="00E61075">
      <w:pPr>
        <w:widowControl w:val="0"/>
        <w:autoSpaceDE w:val="0"/>
        <w:autoSpaceDN w:val="0"/>
        <w:spacing w:after="0" w:line="276" w:lineRule="auto"/>
        <w:jc w:val="both"/>
        <w:rPr>
          <w:rFonts w:ascii="Verdana" w:eastAsia="Calibri" w:hAnsi="Verdana" w:cs="Arial"/>
          <w:kern w:val="2"/>
          <w:lang w:val="es-ES_tradnl"/>
          <w14:ligatures w14:val="standardContextual"/>
        </w:rPr>
      </w:pPr>
      <w:r w:rsidRPr="00E61075">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78824FB" w14:textId="77777777" w:rsidR="00E61075" w:rsidRPr="00E61075" w:rsidRDefault="00E61075" w:rsidP="00E61075">
      <w:pPr>
        <w:widowControl w:val="0"/>
        <w:autoSpaceDE w:val="0"/>
        <w:autoSpaceDN w:val="0"/>
        <w:spacing w:after="0" w:line="276" w:lineRule="auto"/>
        <w:jc w:val="both"/>
        <w:rPr>
          <w:rFonts w:ascii="Verdana" w:eastAsia="Calibri" w:hAnsi="Verdana" w:cs="Arial"/>
        </w:rPr>
      </w:pPr>
    </w:p>
    <w:p w14:paraId="3CFFA313" w14:textId="77777777" w:rsidR="00E61075" w:rsidRPr="00E61075" w:rsidRDefault="00E61075" w:rsidP="00E61075">
      <w:pPr>
        <w:spacing w:after="0" w:line="240" w:lineRule="auto"/>
        <w:rPr>
          <w:rFonts w:ascii="Verdana" w:eastAsia="Calibri" w:hAnsi="Verdana" w:cs="Arial"/>
          <w:lang w:eastAsia="es-CO"/>
        </w:rPr>
      </w:pPr>
      <w:r w:rsidRPr="00E61075">
        <w:rPr>
          <w:rFonts w:ascii="Verdana" w:eastAsia="Times New Roman" w:hAnsi="Verdana" w:cs="Arial"/>
          <w:lang w:eastAsia="es-CO"/>
        </w:rPr>
        <w:t>Atentamente,</w:t>
      </w:r>
      <w:r w:rsidRPr="00E61075">
        <w:rPr>
          <w:rFonts w:ascii="Verdana" w:eastAsia="Calibri" w:hAnsi="Verdana" w:cs="Arial"/>
          <w:lang w:eastAsia="es-CO"/>
        </w:rPr>
        <w:t xml:space="preserve"> </w:t>
      </w:r>
    </w:p>
    <w:p w14:paraId="361FED57" w14:textId="77777777" w:rsidR="00E61075" w:rsidRPr="00E61075" w:rsidRDefault="00E61075" w:rsidP="00E61075">
      <w:pPr>
        <w:tabs>
          <w:tab w:val="left" w:pos="1320"/>
        </w:tabs>
        <w:rPr>
          <w:rFonts w:ascii="Century Gothic" w:eastAsia="Calibri" w:hAnsi="Century Gothic" w:cs="Times New Roman"/>
        </w:rPr>
      </w:pPr>
    </w:p>
    <w:p w14:paraId="01E0E97E" w14:textId="43387686" w:rsidR="00E61075" w:rsidRPr="00E61075" w:rsidRDefault="00547E81" w:rsidP="00E61075">
      <w:pPr>
        <w:tabs>
          <w:tab w:val="left" w:pos="1320"/>
        </w:tabs>
        <w:jc w:val="center"/>
        <w:rPr>
          <w:rFonts w:ascii="Century Gothic" w:eastAsia="Calibri" w:hAnsi="Century Gothic" w:cs="Times New Roman"/>
        </w:rPr>
      </w:pPr>
      <w:r w:rsidRPr="002C3AD6">
        <w:rPr>
          <w:rFonts w:ascii="Century Gothic" w:hAnsi="Century Gothic"/>
          <w:noProof/>
        </w:rPr>
        <w:drawing>
          <wp:inline distT="0" distB="0" distL="0" distR="0" wp14:anchorId="6827DB21" wp14:editId="2CA57951">
            <wp:extent cx="3132896" cy="1162968"/>
            <wp:effectExtent l="0" t="0" r="4445" b="571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176149" cy="117902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61075" w:rsidRPr="00E61075" w14:paraId="0CE64B1E" w14:textId="77777777">
        <w:trPr>
          <w:trHeight w:val="315"/>
        </w:trPr>
        <w:tc>
          <w:tcPr>
            <w:tcW w:w="893" w:type="dxa"/>
            <w:vAlign w:val="center"/>
            <w:hideMark/>
          </w:tcPr>
          <w:p w14:paraId="2C6A33CF" w14:textId="77777777" w:rsidR="00E61075" w:rsidRPr="00E61075" w:rsidRDefault="00E61075" w:rsidP="00E61075">
            <w:pPr>
              <w:rPr>
                <w:rFonts w:ascii="Verdana" w:eastAsia="Calibri" w:hAnsi="Verdana" w:cs="Arial"/>
                <w:sz w:val="16"/>
                <w:szCs w:val="16"/>
                <w:lang w:val="es-ES_tradnl" w:eastAsia="es-ES"/>
              </w:rPr>
            </w:pPr>
            <w:r w:rsidRPr="00E61075">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0152460D" w14:textId="77777777" w:rsidR="00E61075" w:rsidRPr="00E61075" w:rsidRDefault="00E61075" w:rsidP="00E61075">
            <w:pPr>
              <w:rPr>
                <w:rFonts w:ascii="Verdana" w:eastAsia="Arial" w:hAnsi="Verdana" w:cs="Arial"/>
                <w:sz w:val="16"/>
                <w:szCs w:val="16"/>
                <w:lang w:val="es-ES"/>
              </w:rPr>
            </w:pPr>
            <w:r w:rsidRPr="00E61075">
              <w:rPr>
                <w:rFonts w:ascii="Verdana" w:eastAsia="Arial" w:hAnsi="Verdana" w:cs="Arial"/>
                <w:sz w:val="16"/>
                <w:szCs w:val="16"/>
                <w:lang w:val="es-ES"/>
              </w:rPr>
              <w:t>Kevin Arlid Herrera Santa</w:t>
            </w:r>
          </w:p>
          <w:p w14:paraId="4C560D88" w14:textId="77777777" w:rsidR="00E61075" w:rsidRPr="00E61075" w:rsidRDefault="00E61075" w:rsidP="00E61075">
            <w:pPr>
              <w:rPr>
                <w:rFonts w:ascii="Verdana" w:eastAsia="Arial" w:hAnsi="Verdana" w:cs="Arial"/>
                <w:sz w:val="16"/>
                <w:szCs w:val="16"/>
                <w:lang w:val="es-ES_tradnl"/>
              </w:rPr>
            </w:pPr>
            <w:r w:rsidRPr="00E61075">
              <w:rPr>
                <w:rFonts w:ascii="Verdana" w:eastAsia="Arial" w:hAnsi="Verdana" w:cs="Arial"/>
                <w:sz w:val="16"/>
                <w:szCs w:val="16"/>
                <w:lang w:val="es-ES_tradnl"/>
              </w:rPr>
              <w:t>Contratista de la Subdirección de Gestión Contractual</w:t>
            </w:r>
          </w:p>
          <w:p w14:paraId="1C51E5B6" w14:textId="77777777" w:rsidR="00E61075" w:rsidRPr="00E61075" w:rsidRDefault="00E61075" w:rsidP="00E61075">
            <w:pPr>
              <w:rPr>
                <w:rFonts w:ascii="Verdana" w:eastAsia="Arial" w:hAnsi="Verdana" w:cs="Arial"/>
                <w:sz w:val="16"/>
                <w:szCs w:val="16"/>
                <w:lang w:val="es-ES_tradnl"/>
              </w:rPr>
            </w:pPr>
          </w:p>
        </w:tc>
      </w:tr>
      <w:tr w:rsidR="00E61075" w:rsidRPr="00E61075" w14:paraId="5F103ACE" w14:textId="77777777">
        <w:trPr>
          <w:trHeight w:val="330"/>
        </w:trPr>
        <w:tc>
          <w:tcPr>
            <w:tcW w:w="893" w:type="dxa"/>
            <w:vAlign w:val="center"/>
            <w:hideMark/>
          </w:tcPr>
          <w:p w14:paraId="79DC62C3" w14:textId="77777777" w:rsidR="00E61075" w:rsidRPr="00E61075" w:rsidRDefault="00E61075" w:rsidP="00E61075">
            <w:pPr>
              <w:rPr>
                <w:rFonts w:ascii="Verdana" w:eastAsia="Calibri" w:hAnsi="Verdana" w:cs="Arial"/>
                <w:sz w:val="16"/>
                <w:szCs w:val="16"/>
                <w:lang w:val="es-ES_tradnl" w:eastAsia="es-ES"/>
              </w:rPr>
            </w:pPr>
            <w:r w:rsidRPr="00E61075">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16C5BAC5" w14:textId="77777777" w:rsidR="00E61075" w:rsidRPr="00E61075" w:rsidRDefault="00E61075" w:rsidP="00E61075">
            <w:pPr>
              <w:textAlignment w:val="baseline"/>
              <w:rPr>
                <w:rFonts w:ascii="Verdana" w:eastAsia="Times New Roman" w:hAnsi="Verdana" w:cs="Segoe UI"/>
                <w:sz w:val="16"/>
                <w:szCs w:val="16"/>
                <w:lang w:val="es-ES_tradnl" w:eastAsia="es-ES_tradnl"/>
              </w:rPr>
            </w:pPr>
            <w:r w:rsidRPr="00E61075">
              <w:rPr>
                <w:rFonts w:ascii="Verdana" w:eastAsia="Times New Roman" w:hAnsi="Verdana" w:cs="Segoe UI"/>
                <w:sz w:val="16"/>
                <w:szCs w:val="16"/>
                <w:lang w:val="es-ES_tradnl" w:eastAsia="es-ES_tradnl"/>
              </w:rPr>
              <w:t>Juan David Cárdenas Cabeza</w:t>
            </w:r>
          </w:p>
          <w:p w14:paraId="3A9AC8A5" w14:textId="77777777" w:rsidR="00E61075" w:rsidRPr="00E61075" w:rsidRDefault="00E61075" w:rsidP="00E61075">
            <w:pPr>
              <w:textAlignment w:val="baseline"/>
              <w:rPr>
                <w:rFonts w:ascii="Verdana" w:eastAsia="Times New Roman" w:hAnsi="Verdana" w:cs="Segoe UI"/>
                <w:sz w:val="16"/>
                <w:szCs w:val="16"/>
                <w:lang w:val="es-ES_tradnl" w:eastAsia="es-ES_tradnl"/>
              </w:rPr>
            </w:pPr>
            <w:r w:rsidRPr="00E61075">
              <w:rPr>
                <w:rFonts w:ascii="Verdana" w:eastAsia="Times New Roman" w:hAnsi="Verdana" w:cs="Arial"/>
                <w:sz w:val="16"/>
                <w:szCs w:val="16"/>
                <w:lang w:val="es-ES_tradnl" w:eastAsia="es-ES_tradnl"/>
              </w:rPr>
              <w:t>Contratista de la Subdirección de Gestión Contractual </w:t>
            </w:r>
          </w:p>
        </w:tc>
      </w:tr>
      <w:tr w:rsidR="00E61075" w:rsidRPr="00E61075" w14:paraId="0B77A530" w14:textId="77777777">
        <w:trPr>
          <w:trHeight w:val="300"/>
        </w:trPr>
        <w:tc>
          <w:tcPr>
            <w:tcW w:w="893" w:type="dxa"/>
            <w:vAlign w:val="center"/>
          </w:tcPr>
          <w:p w14:paraId="0CACDB03" w14:textId="77777777" w:rsidR="00E61075" w:rsidRPr="00E61075" w:rsidRDefault="00E61075" w:rsidP="00E61075">
            <w:pPr>
              <w:rPr>
                <w:rFonts w:ascii="Verdana" w:eastAsia="Calibri" w:hAnsi="Verdana" w:cs="Arial"/>
                <w:sz w:val="16"/>
                <w:szCs w:val="16"/>
                <w:lang w:val="es-ES_tradnl" w:eastAsia="es-ES"/>
              </w:rPr>
            </w:pPr>
            <w:r w:rsidRPr="00E61075">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5E5AC453" w14:textId="77777777" w:rsidR="00E61075" w:rsidRPr="00E61075" w:rsidRDefault="00E61075" w:rsidP="00E61075">
            <w:pPr>
              <w:rPr>
                <w:rFonts w:ascii="Verdana" w:eastAsia="Calibri" w:hAnsi="Verdana" w:cs="Arial"/>
                <w:sz w:val="16"/>
                <w:szCs w:val="16"/>
                <w:lang w:val="es-ES" w:eastAsia="es-ES"/>
              </w:rPr>
            </w:pPr>
            <w:r w:rsidRPr="00E61075">
              <w:rPr>
                <w:rFonts w:ascii="Verdana" w:eastAsia="Calibri" w:hAnsi="Verdana" w:cs="Arial"/>
                <w:sz w:val="16"/>
                <w:szCs w:val="16"/>
                <w:lang w:val="es-ES" w:eastAsia="es-ES"/>
              </w:rPr>
              <w:t xml:space="preserve">Carolina Quintero </w:t>
            </w:r>
            <w:proofErr w:type="spellStart"/>
            <w:r w:rsidRPr="00E61075">
              <w:rPr>
                <w:rFonts w:ascii="Verdana" w:eastAsia="Calibri" w:hAnsi="Verdana" w:cs="Arial"/>
                <w:sz w:val="16"/>
                <w:szCs w:val="16"/>
                <w:lang w:val="es-ES" w:eastAsia="es-ES"/>
              </w:rPr>
              <w:t>Gacharná</w:t>
            </w:r>
            <w:proofErr w:type="spellEnd"/>
          </w:p>
          <w:p w14:paraId="5B2A93DE" w14:textId="77777777" w:rsidR="00E61075" w:rsidRPr="00E61075" w:rsidRDefault="00E61075" w:rsidP="00E61075">
            <w:pPr>
              <w:rPr>
                <w:rFonts w:ascii="Verdana" w:eastAsia="Calibri" w:hAnsi="Verdana" w:cs="Arial"/>
                <w:sz w:val="16"/>
                <w:szCs w:val="16"/>
                <w:lang w:val="es-ES_tradnl" w:eastAsia="es-ES"/>
              </w:rPr>
            </w:pPr>
            <w:r w:rsidRPr="00E61075">
              <w:rPr>
                <w:rFonts w:ascii="Verdana" w:eastAsia="Calibri" w:hAnsi="Verdana" w:cs="Arial"/>
                <w:sz w:val="16"/>
                <w:szCs w:val="16"/>
                <w:lang w:val="es-ES_tradnl" w:eastAsia="es-ES"/>
              </w:rPr>
              <w:t>Subdirectora de Gestión Contractual ANCP – CCE</w:t>
            </w:r>
          </w:p>
        </w:tc>
      </w:tr>
      <w:bookmarkEnd w:id="0"/>
    </w:tbl>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6CC5FB" w14:textId="77777777" w:rsidR="00146677" w:rsidRDefault="00146677" w:rsidP="004A1847">
      <w:pPr>
        <w:spacing w:after="0" w:line="240" w:lineRule="auto"/>
      </w:pPr>
      <w:r>
        <w:separator/>
      </w:r>
    </w:p>
  </w:endnote>
  <w:endnote w:type="continuationSeparator" w:id="0">
    <w:p w14:paraId="21D0D7C7" w14:textId="77777777" w:rsidR="00146677" w:rsidRDefault="0014667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449CC8" w14:textId="77777777" w:rsidR="00146677" w:rsidRDefault="00146677" w:rsidP="004A1847">
      <w:pPr>
        <w:spacing w:after="0" w:line="240" w:lineRule="auto"/>
      </w:pPr>
      <w:r>
        <w:separator/>
      </w:r>
    </w:p>
  </w:footnote>
  <w:footnote w:type="continuationSeparator" w:id="0">
    <w:p w14:paraId="30AB4DE8" w14:textId="77777777" w:rsidR="00146677" w:rsidRDefault="00146677" w:rsidP="004A1847">
      <w:pPr>
        <w:spacing w:after="0" w:line="240" w:lineRule="auto"/>
      </w:pPr>
      <w:r>
        <w:continuationSeparator/>
      </w:r>
    </w:p>
  </w:footnote>
  <w:footnote w:id="1">
    <w:p w14:paraId="59F8E327" w14:textId="77777777" w:rsidR="00E61075" w:rsidRPr="002A4297" w:rsidRDefault="00E61075" w:rsidP="00E61075">
      <w:pPr>
        <w:pStyle w:val="Textonotapie"/>
        <w:ind w:firstLine="708"/>
        <w:jc w:val="both"/>
        <w:rPr>
          <w:rFonts w:ascii="Verdana" w:hAnsi="Verdana"/>
          <w:sz w:val="18"/>
          <w:szCs w:val="18"/>
        </w:rPr>
      </w:pPr>
      <w:r w:rsidRPr="002A4297">
        <w:rPr>
          <w:rStyle w:val="Refdenotaalpie"/>
          <w:rFonts w:ascii="Verdana" w:hAnsi="Verdana"/>
          <w:sz w:val="18"/>
          <w:szCs w:val="18"/>
        </w:rPr>
        <w:footnoteRef/>
      </w:r>
      <w:r w:rsidRPr="002A4297">
        <w:rPr>
          <w:rFonts w:ascii="Verdana" w:hAnsi="Verdana"/>
          <w:sz w:val="18"/>
          <w:szCs w:val="18"/>
        </w:rPr>
        <w:t xml:space="preserve"> Agencia Nacional de Contratación Pública – Colombia Compra Eficiente. Concepto C-285 del 20 de mayo de 2022. Consultar en: </w:t>
      </w:r>
      <w:hyperlink r:id="rId1" w:history="1">
        <w:r w:rsidRPr="002A4297">
          <w:rPr>
            <w:rStyle w:val="Hipervnculo"/>
            <w:rFonts w:ascii="Verdana" w:hAnsi="Verdana"/>
            <w:sz w:val="18"/>
            <w:szCs w:val="18"/>
          </w:rPr>
          <w:t>https://relatoria.colombiacompra.gov.co/conceptos/c-285-de-2022/</w:t>
        </w:r>
      </w:hyperlink>
    </w:p>
    <w:p w14:paraId="3C2F22CA" w14:textId="77777777" w:rsidR="00E61075" w:rsidRPr="002A4297" w:rsidRDefault="00E61075" w:rsidP="00E61075">
      <w:pPr>
        <w:pStyle w:val="Textonotapie"/>
        <w:ind w:firstLine="708"/>
        <w:jc w:val="both"/>
        <w:rPr>
          <w:rFonts w:ascii="Verdana" w:hAnsi="Verdana"/>
          <w:sz w:val="18"/>
          <w:szCs w:val="18"/>
          <w:lang w:val="es-CO"/>
        </w:rPr>
      </w:pPr>
      <w:r w:rsidRPr="002A4297">
        <w:rPr>
          <w:rFonts w:ascii="Verdana" w:hAnsi="Verdana"/>
          <w:sz w:val="18"/>
          <w:szCs w:val="18"/>
        </w:rPr>
        <w:t xml:space="preserve"> </w:t>
      </w:r>
    </w:p>
  </w:footnote>
  <w:footnote w:id="2">
    <w:p w14:paraId="77566E21" w14:textId="77777777" w:rsidR="00E61075" w:rsidRPr="002A4297" w:rsidRDefault="00E61075" w:rsidP="00E61075">
      <w:pPr>
        <w:pStyle w:val="Textonotapie"/>
        <w:ind w:firstLine="708"/>
        <w:jc w:val="both"/>
        <w:rPr>
          <w:rFonts w:ascii="Verdana" w:hAnsi="Verdana"/>
          <w:sz w:val="18"/>
          <w:szCs w:val="18"/>
        </w:rPr>
      </w:pPr>
      <w:r w:rsidRPr="002A4297">
        <w:rPr>
          <w:rStyle w:val="Refdenotaalpie"/>
          <w:rFonts w:ascii="Verdana" w:hAnsi="Verdana"/>
          <w:sz w:val="18"/>
          <w:szCs w:val="18"/>
        </w:rPr>
        <w:footnoteRef/>
      </w:r>
      <w:r w:rsidRPr="002A4297">
        <w:rPr>
          <w:rFonts w:ascii="Verdana" w:hAnsi="Verdana"/>
          <w:sz w:val="18"/>
          <w:szCs w:val="18"/>
        </w:rPr>
        <w:t xml:space="preserve"> </w:t>
      </w:r>
      <w:r w:rsidRPr="002A4297">
        <w:rPr>
          <w:rFonts w:ascii="Verdana" w:hAnsi="Verdana"/>
          <w:sz w:val="18"/>
          <w:szCs w:val="18"/>
        </w:rPr>
        <w:t xml:space="preserve">Agencia Nacional de Contratación Pública – Colombia Compra Eficiente. Concepto C-447 del 19 de septiembre de 2024. Consultar en: </w:t>
      </w:r>
      <w:hyperlink r:id="rId2" w:history="1">
        <w:r w:rsidRPr="002A4297">
          <w:rPr>
            <w:rStyle w:val="Hipervnculo"/>
            <w:rFonts w:ascii="Verdana" w:hAnsi="Verdana"/>
            <w:sz w:val="18"/>
            <w:szCs w:val="18"/>
          </w:rPr>
          <w:t>https://relatoria.colombiacompra.gov.co/conceptos/c-447-de-2024/</w:t>
        </w:r>
      </w:hyperlink>
      <w:r w:rsidRPr="002A4297">
        <w:rPr>
          <w:rFonts w:ascii="Verdana" w:hAnsi="Verdana"/>
          <w:sz w:val="18"/>
          <w:szCs w:val="18"/>
        </w:rPr>
        <w:t xml:space="preserve"> </w:t>
      </w:r>
    </w:p>
    <w:p w14:paraId="49CBE485" w14:textId="77777777" w:rsidR="00E61075" w:rsidRPr="002A4297" w:rsidRDefault="00E61075" w:rsidP="00E61075">
      <w:pPr>
        <w:pStyle w:val="Textonotapie"/>
        <w:jc w:val="both"/>
        <w:rPr>
          <w:rFonts w:ascii="Verdana" w:hAnsi="Verdana"/>
          <w:sz w:val="18"/>
          <w:szCs w:val="18"/>
        </w:rPr>
      </w:pPr>
    </w:p>
  </w:footnote>
  <w:footnote w:id="3">
    <w:p w14:paraId="2E0A97F6" w14:textId="77777777" w:rsidR="00E61075" w:rsidRPr="002A4297" w:rsidRDefault="00E61075" w:rsidP="00E61075">
      <w:pPr>
        <w:pStyle w:val="Textonotapie"/>
        <w:ind w:firstLine="709"/>
        <w:jc w:val="both"/>
        <w:rPr>
          <w:rFonts w:ascii="Verdana" w:hAnsi="Verdana" w:cs="Arial"/>
          <w:color w:val="000000"/>
          <w:sz w:val="18"/>
          <w:szCs w:val="18"/>
        </w:rPr>
      </w:pPr>
      <w:r w:rsidRPr="002A4297">
        <w:rPr>
          <w:rStyle w:val="Refdenotaalpie"/>
          <w:rFonts w:ascii="Verdana" w:hAnsi="Verdana" w:cs="Arial"/>
          <w:color w:val="000000"/>
          <w:sz w:val="18"/>
          <w:szCs w:val="18"/>
        </w:rPr>
        <w:footnoteRef/>
      </w:r>
      <w:r w:rsidRPr="002A4297">
        <w:rPr>
          <w:rStyle w:val="Refdenotaalpie"/>
          <w:rFonts w:ascii="Verdana" w:hAnsi="Verdana" w:cs="Arial"/>
          <w:color w:val="000000"/>
          <w:sz w:val="18"/>
          <w:szCs w:val="18"/>
        </w:rPr>
        <w:t xml:space="preserve"> </w:t>
      </w:r>
      <w:r w:rsidRPr="002A4297">
        <w:rPr>
          <w:rFonts w:ascii="Verdana" w:hAnsi="Verdana" w:cs="Arial"/>
          <w:color w:val="000000"/>
          <w:sz w:val="18"/>
          <w:szCs w:val="18"/>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p w14:paraId="67748371" w14:textId="77777777" w:rsidR="00E61075" w:rsidRPr="002A4297" w:rsidRDefault="00E61075" w:rsidP="00E61075">
      <w:pPr>
        <w:pStyle w:val="Textonotapie"/>
        <w:ind w:firstLine="709"/>
        <w:jc w:val="both"/>
        <w:rPr>
          <w:rFonts w:ascii="Verdana" w:hAnsi="Verdana" w:cs="Arial"/>
          <w:color w:val="000000"/>
          <w:sz w:val="18"/>
          <w:szCs w:val="18"/>
        </w:rPr>
      </w:pPr>
    </w:p>
  </w:footnote>
  <w:footnote w:id="4">
    <w:p w14:paraId="7BE38666" w14:textId="77777777" w:rsidR="00E61075" w:rsidRPr="002A4297" w:rsidRDefault="00E61075" w:rsidP="00E61075">
      <w:pPr>
        <w:pStyle w:val="Textonotapie"/>
        <w:ind w:firstLine="709"/>
        <w:jc w:val="both"/>
        <w:rPr>
          <w:rFonts w:ascii="Verdana" w:hAnsi="Verdana" w:cs="Arial"/>
          <w:color w:val="000000"/>
          <w:sz w:val="18"/>
          <w:szCs w:val="18"/>
        </w:rPr>
      </w:pPr>
      <w:r w:rsidRPr="002A4297">
        <w:rPr>
          <w:rStyle w:val="Refdenotaalpie"/>
          <w:rFonts w:ascii="Verdana" w:hAnsi="Verdana" w:cs="Arial"/>
          <w:color w:val="000000"/>
          <w:sz w:val="18"/>
          <w:szCs w:val="18"/>
        </w:rPr>
        <w:footnoteRef/>
      </w:r>
      <w:r w:rsidRPr="002A4297">
        <w:rPr>
          <w:rFonts w:ascii="Verdana" w:hAnsi="Verdana" w:cs="Arial"/>
          <w:color w:val="000000"/>
          <w:sz w:val="18"/>
          <w:szCs w:val="18"/>
        </w:rPr>
        <w:t xml:space="preserve"> </w:t>
      </w:r>
      <w:r w:rsidRPr="002A4297">
        <w:rPr>
          <w:rFonts w:ascii="Verdana" w:hAnsi="Verdana" w:cs="Arial"/>
          <w:color w:val="000000"/>
          <w:sz w:val="18"/>
          <w:szCs w:val="18"/>
        </w:rPr>
        <w:t>Sin embargo, debe tenerse en cuenta que la última norma en cita -Decreto 2474 de 2008, aparte subrayado-, establece un límite a la subsanabilidad, puesto que en cualquier caso debe referirse o recaer sobre circunstancias ocurridas antes del cierre del respectivo proceso, esto es, del vencimiento del plazo para presentar ofertas.</w:t>
      </w:r>
    </w:p>
    <w:p w14:paraId="62A7FD06" w14:textId="77777777" w:rsidR="00E61075" w:rsidRPr="002A4297" w:rsidRDefault="00E61075" w:rsidP="00E61075">
      <w:pPr>
        <w:pStyle w:val="Textonotapie"/>
        <w:ind w:firstLine="709"/>
        <w:jc w:val="both"/>
        <w:rPr>
          <w:rFonts w:ascii="Verdana" w:hAnsi="Verdana" w:cs="Arial"/>
          <w:color w:val="000000"/>
          <w:sz w:val="18"/>
          <w:szCs w:val="18"/>
        </w:rPr>
      </w:pPr>
      <w:r w:rsidRPr="002A4297">
        <w:rPr>
          <w:rFonts w:ascii="Verdana" w:hAnsi="Verdana" w:cs="Arial"/>
          <w:color w:val="000000"/>
          <w:sz w:val="18"/>
          <w:szCs w:val="18"/>
        </w:rPr>
        <w:t>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la misma,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del mismo o lo actualice, pero no para que se constituya la sociedad con posterioridad al cierre del proceso, pues si ello no se había hecho, significa simplemente que el oferente no tenía la condición para participar. (Consejo de Estado. Sala de Consulta y Servicio Civil. Concepto del 6 de noviembre de 2008. Expediente: 1927. Consejero Ponente: William Zambrano Cetina).</w:t>
      </w:r>
    </w:p>
    <w:p w14:paraId="61A2C6B0" w14:textId="77777777" w:rsidR="00E61075" w:rsidRPr="002A4297" w:rsidRDefault="00E61075" w:rsidP="00E61075">
      <w:pPr>
        <w:pStyle w:val="Textonotapie"/>
        <w:ind w:firstLine="709"/>
        <w:jc w:val="both"/>
        <w:rPr>
          <w:rFonts w:ascii="Verdana" w:hAnsi="Verdana" w:cs="Arial"/>
          <w:color w:val="000000"/>
          <w:sz w:val="18"/>
          <w:szCs w:val="18"/>
        </w:rPr>
      </w:pPr>
    </w:p>
  </w:footnote>
  <w:footnote w:id="5">
    <w:p w14:paraId="3CAD4347" w14:textId="77777777" w:rsidR="00E61075" w:rsidRPr="002A4297" w:rsidRDefault="00E61075" w:rsidP="00E61075">
      <w:pPr>
        <w:pStyle w:val="Textonotapie"/>
        <w:ind w:firstLine="709"/>
        <w:jc w:val="both"/>
        <w:rPr>
          <w:rFonts w:ascii="Verdana" w:hAnsi="Verdana" w:cs="Arial"/>
          <w:color w:val="000000"/>
          <w:sz w:val="18"/>
          <w:szCs w:val="18"/>
        </w:rPr>
      </w:pPr>
      <w:r w:rsidRPr="002A4297">
        <w:rPr>
          <w:rStyle w:val="Refdenotaalpie"/>
          <w:rFonts w:ascii="Verdana" w:hAnsi="Verdana" w:cs="Arial"/>
          <w:sz w:val="18"/>
          <w:szCs w:val="18"/>
        </w:rPr>
        <w:footnoteRef/>
      </w:r>
      <w:r w:rsidRPr="002A4297">
        <w:rPr>
          <w:rFonts w:ascii="Verdana" w:hAnsi="Verdana" w:cs="Arial"/>
          <w:sz w:val="18"/>
          <w:szCs w:val="18"/>
        </w:rPr>
        <w:t xml:space="preserve"> </w:t>
      </w:r>
      <w:r w:rsidRPr="002A4297">
        <w:rPr>
          <w:rFonts w:ascii="Verdana" w:hAnsi="Verdana" w:cs="Arial"/>
          <w:color w:val="000000"/>
          <w:sz w:val="18"/>
          <w:szCs w:val="18"/>
        </w:rPr>
        <w:t>En armonía con lo anterior, actualmente la Circular Única</w:t>
      </w:r>
      <w:r>
        <w:rPr>
          <w:rFonts w:ascii="Verdana" w:hAnsi="Verdana" w:cs="Arial"/>
          <w:color w:val="000000"/>
          <w:sz w:val="18"/>
          <w:szCs w:val="18"/>
        </w:rPr>
        <w:t xml:space="preserve"> Externa</w:t>
      </w:r>
      <w:r w:rsidRPr="002A4297">
        <w:rPr>
          <w:rFonts w:ascii="Verdana" w:hAnsi="Verdana" w:cs="Arial"/>
          <w:color w:val="000000"/>
          <w:sz w:val="18"/>
          <w:szCs w:val="18"/>
        </w:rPr>
        <w:t xml:space="preserve"> de Colombia Compra Eficiente señala lo siguiente: “De otro lado, cabe destacar que, de conformidad con el artículo 5 de la Ley 1882 de 2018, durante el término otorgado para subsanar, los proponentes no podrán acreditar circunstancias ocurridas luego del cierre del proceso. De esta manera, es subsanable la prueba de todas las circunstancias ocurridas antes del vencimiento del término para presentar las ofertas, por lo que no se podrán acreditar circunstancias ocurridas con posterioridad a dicho momento. </w:t>
      </w:r>
    </w:p>
    <w:p w14:paraId="5DFABF80" w14:textId="77777777" w:rsidR="00E61075" w:rsidRPr="002A4297" w:rsidRDefault="00E61075" w:rsidP="00E61075">
      <w:pPr>
        <w:pStyle w:val="Textonotapie"/>
        <w:ind w:firstLine="709"/>
        <w:jc w:val="both"/>
        <w:rPr>
          <w:rFonts w:ascii="Verdana" w:hAnsi="Verdana" w:cs="Arial"/>
          <w:color w:val="000000"/>
          <w:sz w:val="18"/>
          <w:szCs w:val="18"/>
        </w:rPr>
      </w:pPr>
      <w:r w:rsidRPr="002A4297">
        <w:rPr>
          <w:rFonts w:ascii="Verdana" w:hAnsi="Verdana" w:cs="Arial"/>
          <w:color w:val="000000"/>
          <w:sz w:val="18"/>
          <w:szCs w:val="18"/>
        </w:rPr>
        <w:t xml:space="preserve">Lo anterior quiere decir que no es la prueba lo que debe ser anterior al cierre del proceso, sino el hecho que esta acredita. En ese sentido, ante la solicitud de la Administración de subsanar un requisito, el documento podría estar fechado con posterioridad al vencimiento del término para recibir propuestas, con la condición de que el hecho que acredite haya ocurrido antes, esto es, que no sea una circunstancia ocurrida con posterioridad al cierre del proceso. Un mejor entendimiento del significado de la expresión «circunstancias ocurridas con posterioridad al cierre del proceso» implica distinguir entre la prueba de un hecho y el hecho mismo. En el caso de la subsanabilidad de las ofertas, una cosa es el requisito habilitante o el elemento de la propuesta que permite cumplir determinada exigencia del pliego de condiciones –o documento equivalente– y otra su prueba. Lo que prohíbe la norma es que se subsanen requisitos que no estaban materialmente cumplidos al momento del cierre del proceso”. Disponible en: </w:t>
      </w:r>
      <w:hyperlink r:id="rId3" w:history="1">
        <w:r w:rsidRPr="002A4297">
          <w:rPr>
            <w:rStyle w:val="Hipervnculo"/>
            <w:rFonts w:ascii="Verdana" w:hAnsi="Verdana" w:cs="Arial"/>
            <w:sz w:val="18"/>
            <w:szCs w:val="18"/>
          </w:rPr>
          <w:t>https://www.colombiacompra.gov.co/circulares?page=2</w:t>
        </w:r>
      </w:hyperlink>
      <w:r w:rsidRPr="002A4297">
        <w:rPr>
          <w:rStyle w:val="Hipervnculo"/>
          <w:rFonts w:ascii="Verdana" w:hAnsi="Verdana" w:cs="Arial"/>
          <w:color w:val="000000"/>
          <w:sz w:val="18"/>
          <w:szCs w:val="18"/>
        </w:rPr>
        <w:t xml:space="preserve"> </w:t>
      </w:r>
    </w:p>
    <w:p w14:paraId="779180FD" w14:textId="77777777" w:rsidR="00E61075" w:rsidRPr="002A4297" w:rsidRDefault="00E61075" w:rsidP="00E61075">
      <w:pPr>
        <w:pStyle w:val="Textonotapie"/>
        <w:ind w:firstLine="709"/>
        <w:jc w:val="both"/>
        <w:rPr>
          <w:rFonts w:ascii="Verdana" w:hAnsi="Verdana" w:cs="Arial"/>
          <w:color w:val="000000"/>
          <w:sz w:val="18"/>
          <w:szCs w:val="18"/>
        </w:rPr>
      </w:pPr>
    </w:p>
  </w:footnote>
  <w:footnote w:id="6">
    <w:p w14:paraId="240E74E7" w14:textId="77777777" w:rsidR="00E61075" w:rsidRPr="002A4297" w:rsidRDefault="00E61075" w:rsidP="00E61075">
      <w:pPr>
        <w:pStyle w:val="Textonotapie"/>
        <w:ind w:firstLine="709"/>
        <w:jc w:val="both"/>
        <w:rPr>
          <w:rFonts w:ascii="Verdana" w:hAnsi="Verdana" w:cs="Arial"/>
          <w:color w:val="000000"/>
          <w:sz w:val="18"/>
          <w:szCs w:val="18"/>
        </w:rPr>
      </w:pPr>
      <w:r w:rsidRPr="002A4297">
        <w:rPr>
          <w:rStyle w:val="Refdenotaalpie"/>
          <w:rFonts w:ascii="Verdana" w:hAnsi="Verdana" w:cs="Arial"/>
          <w:color w:val="000000"/>
          <w:sz w:val="18"/>
          <w:szCs w:val="18"/>
        </w:rPr>
        <w:footnoteRef/>
      </w:r>
      <w:r w:rsidRPr="002A4297">
        <w:rPr>
          <w:rFonts w:ascii="Verdana" w:hAnsi="Verdana" w:cs="Arial"/>
          <w:color w:val="000000"/>
          <w:sz w:val="18"/>
          <w:szCs w:val="18"/>
        </w:rPr>
        <w:t xml:space="preserve"> </w:t>
      </w:r>
      <w:r w:rsidRPr="002A4297">
        <w:rPr>
          <w:rFonts w:ascii="Verdana" w:hAnsi="Verdana" w:cs="Arial"/>
          <w:color w:val="000000"/>
          <w:sz w:val="18"/>
          <w:szCs w:val="18"/>
        </w:rPr>
        <w:t xml:space="preserve">Ver CONSEJO DE ESTADO, Sección Tercera, Subsección C. Sentencia del 26 de febrero de 2011. C.P. Jaime Orlando Santofimio. Rad. 36.408. </w:t>
      </w:r>
    </w:p>
  </w:footnote>
  <w:footnote w:id="7">
    <w:p w14:paraId="59A799A8" w14:textId="77777777" w:rsidR="00E61075" w:rsidRPr="002A4297" w:rsidRDefault="00E61075" w:rsidP="00E61075">
      <w:pPr>
        <w:pStyle w:val="Textonotapie"/>
        <w:ind w:firstLine="709"/>
        <w:jc w:val="both"/>
        <w:rPr>
          <w:rFonts w:ascii="Verdana" w:hAnsi="Verdana" w:cs="Arial"/>
          <w:color w:val="000000"/>
          <w:sz w:val="18"/>
          <w:szCs w:val="18"/>
        </w:rPr>
      </w:pPr>
    </w:p>
    <w:p w14:paraId="0DBEB6C6" w14:textId="77777777" w:rsidR="00E61075" w:rsidRPr="002A4297" w:rsidRDefault="00E61075" w:rsidP="00E61075">
      <w:pPr>
        <w:pStyle w:val="Textonotapie"/>
        <w:ind w:firstLine="709"/>
        <w:jc w:val="both"/>
        <w:rPr>
          <w:rFonts w:ascii="Verdana" w:hAnsi="Verdana" w:cs="Arial"/>
          <w:color w:val="000000"/>
          <w:sz w:val="18"/>
          <w:szCs w:val="18"/>
        </w:rPr>
      </w:pPr>
      <w:r w:rsidRPr="002A4297">
        <w:rPr>
          <w:rStyle w:val="Refdenotaalpie"/>
          <w:rFonts w:ascii="Verdana" w:hAnsi="Verdana" w:cs="Arial"/>
          <w:color w:val="000000"/>
          <w:sz w:val="18"/>
          <w:szCs w:val="18"/>
        </w:rPr>
        <w:footnoteRef/>
      </w:r>
      <w:r w:rsidRPr="002A4297">
        <w:rPr>
          <w:rFonts w:ascii="Verdana" w:hAnsi="Verdana" w:cs="Arial"/>
          <w:color w:val="000000"/>
          <w:sz w:val="18"/>
          <w:szCs w:val="18"/>
        </w:rPr>
        <w:t xml:space="preserve"> </w:t>
      </w:r>
      <w:r w:rsidRPr="002A4297">
        <w:rPr>
          <w:rFonts w:ascii="Verdana" w:hAnsi="Verdana" w:cs="Arial"/>
          <w:color w:val="000000"/>
          <w:sz w:val="18"/>
          <w:szCs w:val="18"/>
        </w:rPr>
        <w:t xml:space="preserve">Ver CONSEJO DE ESTADO, Sección Tercera, Subsección C. Sentencia del 26 de febrero de 2014. C.P. Enrique Gil Botero. Rad. 25.804. </w:t>
      </w:r>
    </w:p>
    <w:p w14:paraId="68767D41" w14:textId="77777777" w:rsidR="00E61075" w:rsidRPr="002A4297" w:rsidRDefault="00E61075" w:rsidP="00E61075">
      <w:pPr>
        <w:pStyle w:val="Textonotapie"/>
        <w:ind w:firstLine="709"/>
        <w:jc w:val="both"/>
        <w:rPr>
          <w:rFonts w:ascii="Verdana" w:hAnsi="Verdana" w:cs="Arial"/>
          <w:color w:val="000000"/>
          <w:sz w:val="18"/>
          <w:szCs w:val="18"/>
        </w:rPr>
      </w:pPr>
    </w:p>
  </w:footnote>
  <w:footnote w:id="8">
    <w:p w14:paraId="24B010B7" w14:textId="77777777" w:rsidR="00E61075" w:rsidRPr="002A4297" w:rsidRDefault="00E61075" w:rsidP="00E61075">
      <w:pPr>
        <w:pStyle w:val="Textonotapie"/>
        <w:ind w:firstLine="708"/>
        <w:jc w:val="both"/>
        <w:rPr>
          <w:rFonts w:ascii="Verdana" w:hAnsi="Verdana" w:cs="Arial"/>
          <w:color w:val="000000"/>
          <w:sz w:val="18"/>
          <w:szCs w:val="18"/>
        </w:rPr>
      </w:pPr>
      <w:r w:rsidRPr="002A4297">
        <w:rPr>
          <w:rStyle w:val="Refdenotaalpie"/>
          <w:rFonts w:ascii="Verdana" w:hAnsi="Verdana" w:cs="Arial"/>
          <w:color w:val="000000"/>
          <w:sz w:val="18"/>
          <w:szCs w:val="18"/>
        </w:rPr>
        <w:footnoteRef/>
      </w:r>
      <w:r w:rsidRPr="002A4297">
        <w:rPr>
          <w:rFonts w:ascii="Verdana" w:hAnsi="Verdana" w:cs="Arial"/>
          <w:color w:val="000000"/>
          <w:sz w:val="18"/>
          <w:szCs w:val="18"/>
        </w:rPr>
        <w:t xml:space="preserve"> </w:t>
      </w:r>
      <w:r w:rsidRPr="002A4297">
        <w:rPr>
          <w:rFonts w:ascii="Verdana" w:hAnsi="Verdana" w:cs="Arial"/>
          <w:color w:val="000000"/>
          <w:sz w:val="18"/>
          <w:szCs w:val="18"/>
        </w:rPr>
        <w:t>CONSEJO DE ESTADO. Sala de Consulta y Servicio Civil. Concepto del 20 de mayo de 2010. Expediente: 1992. Consejero Ponente: Enrique José Arboleda Perdomo.</w:t>
      </w:r>
    </w:p>
    <w:p w14:paraId="117DF7C0" w14:textId="77777777" w:rsidR="00E61075" w:rsidRPr="002A4297" w:rsidRDefault="00E61075" w:rsidP="00E61075">
      <w:pPr>
        <w:pStyle w:val="Textonotapie"/>
        <w:ind w:firstLine="708"/>
        <w:jc w:val="both"/>
        <w:rPr>
          <w:rFonts w:ascii="Verdana" w:hAnsi="Verdana" w:cs="Arial"/>
          <w:color w:val="000000"/>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8" type="#_x0000_t75" style="width:7.35pt;height:7.35pt" o:bullet="t">
        <v:imagedata r:id="rId1" o:title="mso1B13"/>
      </v:shape>
    </w:pict>
  </w:numPicBullet>
  <w:abstractNum w:abstractNumId="0" w15:restartNumberingAfterBreak="0">
    <w:nsid w:val="01C06310"/>
    <w:multiLevelType w:val="multilevel"/>
    <w:tmpl w:val="1562CEC2"/>
    <w:lvl w:ilvl="0">
      <w:start w:val="1"/>
      <w:numFmt w:val="decimal"/>
      <w:lvlText w:val="%1."/>
      <w:lvlJc w:val="lef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2"/>
  </w:num>
  <w:num w:numId="7" w16cid:durableId="1946422806">
    <w:abstractNumId w:val="5"/>
  </w:num>
  <w:num w:numId="8" w16cid:durableId="152644682">
    <w:abstractNumId w:val="11"/>
  </w:num>
  <w:num w:numId="9" w16cid:durableId="1317221377">
    <w:abstractNumId w:val="7"/>
  </w:num>
  <w:num w:numId="10" w16cid:durableId="1471245386">
    <w:abstractNumId w:val="10"/>
  </w:num>
  <w:num w:numId="11" w16cid:durableId="289172385">
    <w:abstractNumId w:val="8"/>
  </w:num>
  <w:num w:numId="12" w16cid:durableId="1470781324">
    <w:abstractNumId w:val="1"/>
  </w:num>
  <w:num w:numId="13" w16cid:durableId="1512908409">
    <w:abstractNumId w:val="3"/>
  </w:num>
  <w:num w:numId="14" w16cid:durableId="895897244">
    <w:abstractNumId w:val="13"/>
  </w:num>
  <w:num w:numId="15" w16cid:durableId="390349800">
    <w:abstractNumId w:val="9"/>
  </w:num>
  <w:num w:numId="16" w16cid:durableId="1330140246">
    <w:abstractNumId w:val="0"/>
  </w:num>
  <w:num w:numId="17" w16cid:durableId="78403917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46677"/>
    <w:rsid w:val="001E4177"/>
    <w:rsid w:val="001F7DC6"/>
    <w:rsid w:val="002421BB"/>
    <w:rsid w:val="002466C2"/>
    <w:rsid w:val="0025796E"/>
    <w:rsid w:val="002707A2"/>
    <w:rsid w:val="002951A0"/>
    <w:rsid w:val="002962BC"/>
    <w:rsid w:val="002A093D"/>
    <w:rsid w:val="002A0DD0"/>
    <w:rsid w:val="002A49AC"/>
    <w:rsid w:val="002A64FD"/>
    <w:rsid w:val="002C7A84"/>
    <w:rsid w:val="002E4FD9"/>
    <w:rsid w:val="00322A85"/>
    <w:rsid w:val="00324168"/>
    <w:rsid w:val="003448F4"/>
    <w:rsid w:val="00362C2A"/>
    <w:rsid w:val="00374F5E"/>
    <w:rsid w:val="00377E3E"/>
    <w:rsid w:val="003A47CE"/>
    <w:rsid w:val="003A779E"/>
    <w:rsid w:val="003D0F4D"/>
    <w:rsid w:val="003D5B0D"/>
    <w:rsid w:val="003E0499"/>
    <w:rsid w:val="003E0646"/>
    <w:rsid w:val="003E67EB"/>
    <w:rsid w:val="003F3941"/>
    <w:rsid w:val="00406575"/>
    <w:rsid w:val="00414C74"/>
    <w:rsid w:val="0042722E"/>
    <w:rsid w:val="0044528D"/>
    <w:rsid w:val="00460D52"/>
    <w:rsid w:val="00491BD5"/>
    <w:rsid w:val="00494D4E"/>
    <w:rsid w:val="004A1847"/>
    <w:rsid w:val="004A305D"/>
    <w:rsid w:val="004F21C4"/>
    <w:rsid w:val="004F685F"/>
    <w:rsid w:val="00547E81"/>
    <w:rsid w:val="005566E8"/>
    <w:rsid w:val="00574867"/>
    <w:rsid w:val="00591460"/>
    <w:rsid w:val="005C3777"/>
    <w:rsid w:val="005C5CDC"/>
    <w:rsid w:val="005D476C"/>
    <w:rsid w:val="006219F8"/>
    <w:rsid w:val="006302F7"/>
    <w:rsid w:val="00665D70"/>
    <w:rsid w:val="006900D9"/>
    <w:rsid w:val="006A760C"/>
    <w:rsid w:val="006A7C22"/>
    <w:rsid w:val="006C47F0"/>
    <w:rsid w:val="00706C16"/>
    <w:rsid w:val="00756841"/>
    <w:rsid w:val="007649AB"/>
    <w:rsid w:val="00771D0C"/>
    <w:rsid w:val="007833AC"/>
    <w:rsid w:val="007B268C"/>
    <w:rsid w:val="007B7171"/>
    <w:rsid w:val="007C0C0F"/>
    <w:rsid w:val="007C3DC2"/>
    <w:rsid w:val="007E5497"/>
    <w:rsid w:val="007F23AD"/>
    <w:rsid w:val="00806F5F"/>
    <w:rsid w:val="008201E4"/>
    <w:rsid w:val="00820278"/>
    <w:rsid w:val="00867F95"/>
    <w:rsid w:val="008843B6"/>
    <w:rsid w:val="00891928"/>
    <w:rsid w:val="00897A3A"/>
    <w:rsid w:val="008A446D"/>
    <w:rsid w:val="008D180B"/>
    <w:rsid w:val="008F0EA7"/>
    <w:rsid w:val="00923EEF"/>
    <w:rsid w:val="009419F9"/>
    <w:rsid w:val="0095685E"/>
    <w:rsid w:val="00961B09"/>
    <w:rsid w:val="00965334"/>
    <w:rsid w:val="0097093E"/>
    <w:rsid w:val="009774B6"/>
    <w:rsid w:val="00991335"/>
    <w:rsid w:val="009A0DFA"/>
    <w:rsid w:val="009B25A8"/>
    <w:rsid w:val="009B2D26"/>
    <w:rsid w:val="009C71FA"/>
    <w:rsid w:val="009C72E7"/>
    <w:rsid w:val="009D3058"/>
    <w:rsid w:val="009F3A13"/>
    <w:rsid w:val="00A122D3"/>
    <w:rsid w:val="00A17F13"/>
    <w:rsid w:val="00A20739"/>
    <w:rsid w:val="00A2355F"/>
    <w:rsid w:val="00A268DB"/>
    <w:rsid w:val="00A33C78"/>
    <w:rsid w:val="00AA11C6"/>
    <w:rsid w:val="00AB0ADB"/>
    <w:rsid w:val="00B00C0E"/>
    <w:rsid w:val="00B01B1A"/>
    <w:rsid w:val="00B417EB"/>
    <w:rsid w:val="00B44A47"/>
    <w:rsid w:val="00B46652"/>
    <w:rsid w:val="00B72CD3"/>
    <w:rsid w:val="00B72FFF"/>
    <w:rsid w:val="00BC3D36"/>
    <w:rsid w:val="00BD7F72"/>
    <w:rsid w:val="00C04FB3"/>
    <w:rsid w:val="00C330EB"/>
    <w:rsid w:val="00C65E95"/>
    <w:rsid w:val="00C754BE"/>
    <w:rsid w:val="00C76B1C"/>
    <w:rsid w:val="00C9456F"/>
    <w:rsid w:val="00CB6357"/>
    <w:rsid w:val="00CC1B26"/>
    <w:rsid w:val="00CC3264"/>
    <w:rsid w:val="00CD37C5"/>
    <w:rsid w:val="00D423A2"/>
    <w:rsid w:val="00D520D8"/>
    <w:rsid w:val="00D63AC2"/>
    <w:rsid w:val="00D7383B"/>
    <w:rsid w:val="00DA231B"/>
    <w:rsid w:val="00DC228E"/>
    <w:rsid w:val="00DC39FC"/>
    <w:rsid w:val="00DF5254"/>
    <w:rsid w:val="00E16408"/>
    <w:rsid w:val="00E20894"/>
    <w:rsid w:val="00E245AB"/>
    <w:rsid w:val="00E2764C"/>
    <w:rsid w:val="00E27F2E"/>
    <w:rsid w:val="00E50AFE"/>
    <w:rsid w:val="00E61075"/>
    <w:rsid w:val="00E75C92"/>
    <w:rsid w:val="00E771DC"/>
    <w:rsid w:val="00E8772A"/>
    <w:rsid w:val="00E90F6B"/>
    <w:rsid w:val="00E92C27"/>
    <w:rsid w:val="00E930E2"/>
    <w:rsid w:val="00EA0E3D"/>
    <w:rsid w:val="00EC38A7"/>
    <w:rsid w:val="00EE1AA8"/>
    <w:rsid w:val="00F31EDC"/>
    <w:rsid w:val="00F462B3"/>
    <w:rsid w:val="00F5664F"/>
    <w:rsid w:val="00F666C4"/>
    <w:rsid w:val="00F76AFC"/>
    <w:rsid w:val="00FA47C0"/>
    <w:rsid w:val="00FB5DD1"/>
    <w:rsid w:val="00FC2B5D"/>
    <w:rsid w:val="00FF1449"/>
    <w:rsid w:val="4A53AE2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087A4CA4-2590-B44A-AE4B-39D2FC080A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61075"/>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circulares?page=2" TargetMode="External"/><Relationship Id="rId2" Type="http://schemas.openxmlformats.org/officeDocument/2006/relationships/hyperlink" Target="https://relatoria.colombiacompra.gov.co/conceptos/c-447-de-2024/" TargetMode="External"/><Relationship Id="rId1" Type="http://schemas.openxmlformats.org/officeDocument/2006/relationships/hyperlink" Target="https://relatoria.colombiacompra.gov.co/conceptos/c-285-de-202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5ae58e5-9098-4e3e-9e26-9969ad851c13"/>
    <ds:schemaRef ds:uri="8ae15d26-076e-464e-81a7-6f76a0fb3917"/>
  </ds:schemaRefs>
</ds:datastoreItem>
</file>

<file path=customXml/itemProps3.xml><?xml version="1.0" encoding="utf-8"?>
<ds:datastoreItem xmlns:ds="http://schemas.openxmlformats.org/officeDocument/2006/customXml" ds:itemID="{73D0D2D7-9522-4991-8841-1D17990B9D50}"/>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14</Pages>
  <Words>4604</Words>
  <Characters>25328</Characters>
  <Application>Microsoft Office Word</Application>
  <DocSecurity>0</DocSecurity>
  <Lines>211</Lines>
  <Paragraphs>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29873</CharactersWithSpaces>
  <SharedDoc>false</SharedDoc>
  <HLinks>
    <vt:vector size="42" baseType="variant">
      <vt:variant>
        <vt:i4>7733301</vt:i4>
      </vt:variant>
      <vt:variant>
        <vt:i4>9</vt:i4>
      </vt:variant>
      <vt:variant>
        <vt:i4>0</vt:i4>
      </vt:variant>
      <vt:variant>
        <vt:i4>5</vt:i4>
      </vt:variant>
      <vt:variant>
        <vt:lpwstr>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vt:lpwstr>
      </vt:variant>
      <vt:variant>
        <vt:lpwstr/>
      </vt:variant>
      <vt:variant>
        <vt:i4>2162739</vt:i4>
      </vt:variant>
      <vt:variant>
        <vt:i4>6</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3735661</vt:i4>
      </vt:variant>
      <vt:variant>
        <vt:i4>3</vt:i4>
      </vt:variant>
      <vt:variant>
        <vt:i4>0</vt:i4>
      </vt:variant>
      <vt:variant>
        <vt:i4>5</vt:i4>
      </vt:variant>
      <vt:variant>
        <vt:lpwstr>https://www.colombiacompra.gov.co/normativa-y-relatoria/documentos-tipo</vt:lpwstr>
      </vt:variant>
      <vt:variant>
        <vt:lpwstr/>
      </vt:variant>
      <vt:variant>
        <vt:i4>7929951</vt:i4>
      </vt:variant>
      <vt:variant>
        <vt:i4>0</vt:i4>
      </vt:variant>
      <vt:variant>
        <vt:i4>0</vt:i4>
      </vt:variant>
      <vt:variant>
        <vt:i4>5</vt:i4>
      </vt:variant>
      <vt:variant>
        <vt:lpwstr>mailto:elizaforestal@gmail.com</vt:lpwstr>
      </vt:variant>
      <vt:variant>
        <vt:lpwstr/>
      </vt:variant>
      <vt:variant>
        <vt:i4>2424940</vt:i4>
      </vt:variant>
      <vt:variant>
        <vt:i4>6</vt:i4>
      </vt:variant>
      <vt:variant>
        <vt:i4>0</vt:i4>
      </vt:variant>
      <vt:variant>
        <vt:i4>5</vt:i4>
      </vt:variant>
      <vt:variant>
        <vt:lpwstr>https://www.colombiacompra.gov.co/circulares?page=2</vt:lpwstr>
      </vt:variant>
      <vt:variant>
        <vt:lpwstr/>
      </vt:variant>
      <vt:variant>
        <vt:i4>6225932</vt:i4>
      </vt:variant>
      <vt:variant>
        <vt:i4>3</vt:i4>
      </vt:variant>
      <vt:variant>
        <vt:i4>0</vt:i4>
      </vt:variant>
      <vt:variant>
        <vt:i4>5</vt:i4>
      </vt:variant>
      <vt:variant>
        <vt:lpwstr>https://relatoria.colombiacompra.gov.co/conceptos/c-447-de-2024/</vt:lpwstr>
      </vt:variant>
      <vt:variant>
        <vt:lpwstr/>
      </vt:variant>
      <vt:variant>
        <vt:i4>5439502</vt:i4>
      </vt:variant>
      <vt:variant>
        <vt:i4>0</vt:i4>
      </vt:variant>
      <vt:variant>
        <vt:i4>0</vt:i4>
      </vt:variant>
      <vt:variant>
        <vt:i4>5</vt:i4>
      </vt:variant>
      <vt:variant>
        <vt:lpwstr>https://relatoria.colombiacompra.gov.co/conceptos/c-285-de-2022/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6</cp:revision>
  <cp:lastPrinted>2023-01-10T21:18:00Z</cp:lastPrinted>
  <dcterms:created xsi:type="dcterms:W3CDTF">2025-10-09T14:38:00Z</dcterms:created>
  <dcterms:modified xsi:type="dcterms:W3CDTF">2025-10-09T14:44:00Z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