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92479" w14:textId="2DF6BC94" w:rsidR="00174F47" w:rsidRPr="00174F47" w:rsidRDefault="00125467" w:rsidP="00174F47">
      <w:pPr>
        <w:spacing w:after="120" w:line="240" w:lineRule="auto"/>
        <w:contextualSpacing/>
        <w:jc w:val="both"/>
        <w:rPr>
          <w:rFonts w:ascii="Verdana" w:eastAsia="Calibri" w:hAnsi="Verdana" w:cs="Arial"/>
          <w:b/>
          <w:bCs/>
          <w:color w:val="000000" w:themeColor="text1"/>
          <w:lang w:val="es-ES" w:eastAsia="es-ES"/>
        </w:rPr>
      </w:pPr>
      <w:bookmarkStart w:id="0" w:name="_Hlk143780582"/>
      <w:r w:rsidRPr="00174F47">
        <w:rPr>
          <w:rFonts w:ascii="Verdana" w:eastAsia="Calibri" w:hAnsi="Verdana" w:cs="Arial"/>
          <w:b/>
          <w:bCs/>
          <w:color w:val="000000" w:themeColor="text1"/>
          <w:lang w:val="es-ES" w:eastAsia="es-ES"/>
        </w:rPr>
        <w:t>REQUISITOS HABILITANTES – Noción – Régimen jurídico</w:t>
      </w:r>
    </w:p>
    <w:p w14:paraId="2A9BB371" w14:textId="77777777" w:rsidR="00174F47" w:rsidRPr="00174F47" w:rsidRDefault="00174F47" w:rsidP="00174F47">
      <w:pPr>
        <w:spacing w:after="120" w:line="240" w:lineRule="auto"/>
        <w:contextualSpacing/>
        <w:jc w:val="both"/>
        <w:rPr>
          <w:rFonts w:ascii="Verdana" w:eastAsia="Calibri" w:hAnsi="Verdana" w:cs="Arial"/>
          <w:b/>
          <w:bCs/>
          <w:color w:val="000000" w:themeColor="text1"/>
          <w:sz w:val="20"/>
          <w:szCs w:val="20"/>
          <w:lang w:val="es-ES" w:eastAsia="es-ES"/>
        </w:rPr>
      </w:pPr>
    </w:p>
    <w:p w14:paraId="54D2329A" w14:textId="1EEC2D84" w:rsidR="00174F47" w:rsidRPr="00174F47" w:rsidRDefault="00174F47" w:rsidP="00174F47">
      <w:pPr>
        <w:spacing w:after="120" w:line="240" w:lineRule="auto"/>
        <w:contextualSpacing/>
        <w:jc w:val="both"/>
        <w:rPr>
          <w:rFonts w:ascii="Verdana" w:hAnsi="Verdana" w:cs="Arial"/>
          <w:color w:val="000000" w:themeColor="text1"/>
          <w:sz w:val="20"/>
          <w:szCs w:val="20"/>
          <w:lang w:val="es-ES"/>
        </w:rPr>
      </w:pPr>
      <w:r w:rsidRPr="00174F47">
        <w:rPr>
          <w:rFonts w:ascii="Verdana" w:hAnsi="Verdana" w:cs="Arial"/>
          <w:color w:val="000000" w:themeColor="text1"/>
          <w:sz w:val="20"/>
          <w:szCs w:val="20"/>
          <w:lang w:val="es-ES"/>
        </w:rPr>
        <w:t xml:space="preserve">Los </w:t>
      </w:r>
      <w:r w:rsidRPr="00174F47">
        <w:rPr>
          <w:rFonts w:ascii="Verdana" w:hAnsi="Verdana" w:cs="Arial"/>
          <w:i/>
          <w:iCs/>
          <w:color w:val="000000" w:themeColor="text1"/>
          <w:sz w:val="20"/>
          <w:szCs w:val="20"/>
          <w:lang w:val="es-ES"/>
        </w:rPr>
        <w:t>requisitos habilitantes</w:t>
      </w:r>
      <w:r w:rsidRPr="00174F47">
        <w:rPr>
          <w:rFonts w:ascii="Verdana" w:hAnsi="Verdana" w:cs="Arial"/>
          <w:color w:val="000000" w:themeColor="text1"/>
          <w:sz w:val="20"/>
          <w:szCs w:val="20"/>
          <w:lang w:val="es-ES"/>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174F47">
        <w:rPr>
          <w:rFonts w:ascii="Verdana" w:hAnsi="Verdana" w:cs="Arial"/>
          <w:i/>
          <w:iCs/>
          <w:color w:val="000000" w:themeColor="text1"/>
          <w:sz w:val="20"/>
          <w:szCs w:val="20"/>
          <w:lang w:val="es-ES"/>
        </w:rPr>
        <w:t>criterios de evaluación</w:t>
      </w:r>
      <w:r w:rsidRPr="00174F47">
        <w:rPr>
          <w:rFonts w:ascii="Verdana" w:hAnsi="Verdana" w:cs="Arial"/>
          <w:color w:val="000000" w:themeColor="text1"/>
          <w:sz w:val="20"/>
          <w:szCs w:val="20"/>
          <w:lang w:val="es-ES"/>
        </w:rPr>
        <w:t xml:space="preserve"> –también conocidos como </w:t>
      </w:r>
      <w:r w:rsidRPr="00174F47">
        <w:rPr>
          <w:rFonts w:ascii="Verdana" w:hAnsi="Verdana" w:cs="Arial"/>
          <w:i/>
          <w:iCs/>
          <w:color w:val="000000" w:themeColor="text1"/>
          <w:sz w:val="20"/>
          <w:szCs w:val="20"/>
          <w:lang w:val="es-ES"/>
        </w:rPr>
        <w:t>criterios de calificación</w:t>
      </w:r>
      <w:r w:rsidRPr="00174F47">
        <w:rPr>
          <w:rFonts w:ascii="Verdana" w:hAnsi="Verdana" w:cs="Arial"/>
          <w:color w:val="000000" w:themeColor="text1"/>
          <w:sz w:val="20"/>
          <w:szCs w:val="20"/>
          <w:lang w:val="es-ES"/>
        </w:rPr>
        <w:t>– en que estos son los factores definidos por la Entidad Estatal para la asignación de puntaje en el momento de la comparación de las ofertas, y que, a partir de su ponderación, permiten establecer el orden de elegibilidad y, por ende, la propuesta ganadora.</w:t>
      </w:r>
    </w:p>
    <w:p w14:paraId="027D92FD" w14:textId="77777777" w:rsidR="00174F47" w:rsidRPr="00174F47" w:rsidRDefault="00174F47" w:rsidP="00174F47">
      <w:pPr>
        <w:spacing w:after="120" w:line="240" w:lineRule="auto"/>
        <w:contextualSpacing/>
        <w:jc w:val="both"/>
        <w:rPr>
          <w:rFonts w:ascii="Verdana" w:eastAsia="Calibri" w:hAnsi="Verdana" w:cs="Arial"/>
          <w:b/>
          <w:bCs/>
          <w:color w:val="000000" w:themeColor="text1"/>
          <w:sz w:val="20"/>
          <w:szCs w:val="20"/>
          <w:lang w:val="es-ES" w:eastAsia="es-ES"/>
        </w:rPr>
      </w:pPr>
    </w:p>
    <w:p w14:paraId="014C4133" w14:textId="77777777" w:rsidR="00125467" w:rsidRPr="00174F47" w:rsidRDefault="00125467" w:rsidP="00174F47">
      <w:pPr>
        <w:spacing w:after="120" w:line="240" w:lineRule="auto"/>
        <w:contextualSpacing/>
        <w:jc w:val="both"/>
        <w:rPr>
          <w:rFonts w:ascii="Verdana" w:hAnsi="Verdana" w:cs="Arial"/>
          <w:b/>
          <w:bCs/>
          <w:lang w:val="es-ES" w:eastAsia="es-ES_tradnl"/>
        </w:rPr>
      </w:pPr>
      <w:r w:rsidRPr="00174F47">
        <w:rPr>
          <w:rFonts w:ascii="Verdana" w:hAnsi="Verdana" w:cs="Arial"/>
          <w:b/>
          <w:bCs/>
          <w:lang w:val="es-ES" w:eastAsia="es-ES_tradnl"/>
        </w:rPr>
        <w:t>REGISTRO ÚNICO DE PROPONENTES – RUP – Naturaleza</w:t>
      </w:r>
    </w:p>
    <w:p w14:paraId="070ED3C2" w14:textId="77777777" w:rsidR="00174F47" w:rsidRPr="00174F47" w:rsidRDefault="00174F47" w:rsidP="00174F47">
      <w:pPr>
        <w:spacing w:after="120" w:line="240" w:lineRule="auto"/>
        <w:contextualSpacing/>
        <w:jc w:val="both"/>
        <w:rPr>
          <w:rFonts w:ascii="Verdana" w:hAnsi="Verdana" w:cs="Arial"/>
          <w:color w:val="000000" w:themeColor="text1"/>
          <w:sz w:val="20"/>
          <w:szCs w:val="20"/>
          <w:lang w:val="es-ES"/>
        </w:rPr>
      </w:pPr>
    </w:p>
    <w:p w14:paraId="2CFB987B" w14:textId="3608B4DA" w:rsidR="00174F47" w:rsidRPr="00174F47" w:rsidRDefault="00174F47" w:rsidP="00174F47">
      <w:pPr>
        <w:spacing w:after="120" w:line="240" w:lineRule="auto"/>
        <w:contextualSpacing/>
        <w:jc w:val="both"/>
        <w:rPr>
          <w:rFonts w:ascii="Verdana" w:eastAsia="Times New Roman" w:hAnsi="Verdana" w:cs="Arial"/>
          <w:sz w:val="20"/>
          <w:szCs w:val="20"/>
          <w:lang w:val="es-ES" w:eastAsia="es-ES_tradnl"/>
        </w:rPr>
      </w:pPr>
      <w:r w:rsidRPr="00174F47">
        <w:rPr>
          <w:rFonts w:ascii="Verdana" w:hAnsi="Verdana" w:cs="Arial"/>
          <w:color w:val="000000" w:themeColor="text1"/>
          <w:sz w:val="20"/>
          <w:szCs w:val="20"/>
          <w:lang w:val="es-ES"/>
        </w:rPr>
        <w:t xml:space="preserve">Por otro lado, </w:t>
      </w:r>
      <w:r w:rsidRPr="00174F47">
        <w:rPr>
          <w:rFonts w:ascii="Verdana" w:eastAsia="Calibri" w:hAnsi="Verdana" w:cs="Arial"/>
          <w:sz w:val="20"/>
          <w:szCs w:val="20"/>
          <w:lang w:val="es-ES" w:eastAsia="es-MX"/>
        </w:rPr>
        <w:t>e</w:t>
      </w:r>
      <w:r w:rsidRPr="00174F47">
        <w:rPr>
          <w:rFonts w:ascii="Verdana" w:eastAsia="Times New Roman" w:hAnsi="Verdana" w:cs="Arial"/>
          <w:sz w:val="20"/>
          <w:szCs w:val="20"/>
          <w:lang w:val="es-ES" w:eastAsia="es-ES_tradnl"/>
        </w:rPr>
        <w:t xml:space="preserve">l </w:t>
      </w:r>
      <w:r w:rsidRPr="00174F47">
        <w:rPr>
          <w:rFonts w:ascii="Verdana" w:eastAsia="Times New Roman" w:hAnsi="Verdana" w:cs="Arial"/>
          <w:i/>
          <w:iCs/>
          <w:sz w:val="20"/>
          <w:szCs w:val="20"/>
          <w:lang w:val="es-ES" w:eastAsia="es-ES_tradnl"/>
        </w:rPr>
        <w:t>RUP</w:t>
      </w:r>
      <w:r w:rsidRPr="00174F47">
        <w:rPr>
          <w:rFonts w:ascii="Verdana" w:eastAsia="Times New Roman" w:hAnsi="Verdana" w:cs="Arial"/>
          <w:sz w:val="20"/>
          <w:szCs w:val="20"/>
          <w:lang w:val="es-ES" w:eastAsia="es-ES_tradnl"/>
        </w:rPr>
        <w:t xml:space="preserve"> como instrumento en el que consta la información relacionada con las personas naturales y jurídicas, tiene por objeto contemplar en un único documento la información relativa a la capacidad jurídica, técnica, financiera y organizacional de los posibles proponentes, con el fin de que puedan participar en los Procedimientos de Contratación realizados por las Entidades Estatales.</w:t>
      </w:r>
    </w:p>
    <w:p w14:paraId="172EB0FF" w14:textId="77777777" w:rsidR="00174F47" w:rsidRPr="00174F47" w:rsidRDefault="00174F47" w:rsidP="00174F47">
      <w:pPr>
        <w:spacing w:after="120" w:line="240" w:lineRule="auto"/>
        <w:contextualSpacing/>
        <w:jc w:val="both"/>
        <w:rPr>
          <w:rFonts w:ascii="Verdana" w:hAnsi="Verdana" w:cs="Arial"/>
          <w:b/>
          <w:bCs/>
          <w:sz w:val="20"/>
          <w:szCs w:val="20"/>
          <w:lang w:val="es-ES" w:eastAsia="es-ES_tradnl"/>
        </w:rPr>
      </w:pPr>
    </w:p>
    <w:p w14:paraId="0EE1F61E" w14:textId="4025B2E1" w:rsidR="00125467" w:rsidRPr="00174F47" w:rsidRDefault="00125467" w:rsidP="00174F47">
      <w:pPr>
        <w:spacing w:after="120" w:line="240" w:lineRule="auto"/>
        <w:contextualSpacing/>
        <w:jc w:val="both"/>
        <w:rPr>
          <w:rFonts w:ascii="Verdana" w:hAnsi="Verdana" w:cs="Arial"/>
          <w:b/>
          <w:bCs/>
          <w:lang w:eastAsia="es-ES_tradnl"/>
        </w:rPr>
      </w:pPr>
      <w:r w:rsidRPr="00174F47">
        <w:rPr>
          <w:rFonts w:ascii="Verdana" w:hAnsi="Verdana" w:cs="Arial"/>
          <w:b/>
          <w:bCs/>
          <w:lang w:eastAsia="es-ES_tradnl"/>
        </w:rPr>
        <w:t xml:space="preserve">SERVICIOS DE SALUD – Excepción al RUP – Verificación documental directa </w:t>
      </w:r>
    </w:p>
    <w:p w14:paraId="60E01066" w14:textId="77777777" w:rsidR="00125467" w:rsidRPr="00174F47" w:rsidRDefault="00125467" w:rsidP="00174F47">
      <w:pPr>
        <w:spacing w:after="0" w:line="240" w:lineRule="auto"/>
        <w:rPr>
          <w:rFonts w:ascii="Verdana" w:hAnsi="Verdana"/>
          <w:sz w:val="20"/>
          <w:szCs w:val="20"/>
          <w:lang w:val="es-ES"/>
        </w:rPr>
      </w:pPr>
    </w:p>
    <w:p w14:paraId="5152F997" w14:textId="3103C34A" w:rsidR="00174F47" w:rsidRPr="00174F47" w:rsidRDefault="00174F47" w:rsidP="00174F47">
      <w:pPr>
        <w:spacing w:after="120" w:line="240" w:lineRule="auto"/>
        <w:jc w:val="both"/>
        <w:rPr>
          <w:rFonts w:ascii="Verdana" w:eastAsia="Times New Roman" w:hAnsi="Verdana" w:cs="Arial"/>
          <w:sz w:val="20"/>
          <w:szCs w:val="20"/>
          <w:lang w:val="es-ES" w:eastAsia="es-ES_tradnl"/>
        </w:rPr>
      </w:pPr>
      <w:r w:rsidRPr="00174F47">
        <w:rPr>
          <w:rFonts w:ascii="Verdana" w:eastAsia="Times New Roman" w:hAnsi="Verdana" w:cs="Arial"/>
          <w:sz w:val="20"/>
          <w:szCs w:val="20"/>
          <w:lang w:val="es-ES" w:eastAsia="es-ES_tradnl"/>
        </w:rPr>
        <w:t xml:space="preserve">No obstante, el RUP no es exigible en algunos Procedimientos de Contratación. De acuerdo con el inciso segundo del artículo 6 de la Ley 1150 de 2007 no se requerirá RUP en casos como la contratación directa, la mínima cuantía, </w:t>
      </w:r>
      <w:r w:rsidRPr="00174F47">
        <w:rPr>
          <w:rFonts w:ascii="Verdana" w:eastAsia="Times New Roman" w:hAnsi="Verdana" w:cs="Arial"/>
          <w:i/>
          <w:iCs/>
          <w:sz w:val="20"/>
          <w:szCs w:val="20"/>
          <w:lang w:val="es-ES" w:eastAsia="es-ES_tradnl"/>
        </w:rPr>
        <w:t>la prestación de servicios de salud</w:t>
      </w:r>
      <w:r w:rsidRPr="00174F47">
        <w:rPr>
          <w:rFonts w:ascii="Verdana" w:eastAsia="Times New Roman" w:hAnsi="Verdana" w:cs="Arial"/>
          <w:sz w:val="20"/>
          <w:szCs w:val="20"/>
          <w:lang w:val="es-ES" w:eastAsia="es-ES_tradnl"/>
        </w:rPr>
        <w:t xml:space="preserve">,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La norma señala que, en estos casos, las Entidades Estatales deben verificar directamente el cumplimiento de los requisitos habilitantes. </w:t>
      </w:r>
    </w:p>
    <w:p w14:paraId="773DF995" w14:textId="7867ACF8" w:rsidR="00174F47" w:rsidRPr="00174F47" w:rsidRDefault="00174F47" w:rsidP="00174F47">
      <w:pPr>
        <w:spacing w:before="120" w:after="120" w:line="240" w:lineRule="auto"/>
        <w:jc w:val="both"/>
        <w:rPr>
          <w:rFonts w:ascii="Verdana" w:eastAsia="Times New Roman" w:hAnsi="Verdana" w:cs="Arial"/>
          <w:sz w:val="20"/>
          <w:szCs w:val="20"/>
          <w:lang w:val="es-ES" w:eastAsia="es-ES_tradnl"/>
        </w:rPr>
      </w:pPr>
      <w:r w:rsidRPr="00174F47">
        <w:rPr>
          <w:rFonts w:ascii="Verdana" w:eastAsia="Times New Roman" w:hAnsi="Verdana" w:cs="Arial"/>
          <w:sz w:val="20"/>
          <w:szCs w:val="20"/>
          <w:lang w:val="es-ES" w:eastAsia="es-ES_tradnl"/>
        </w:rPr>
        <w:t xml:space="preserve">Así las cosas, cuando se trata de los procesos exceptuados de la obligación de inscripción en el RUP, para verificar las condiciones de experiencia, capacidad financiera y de organización de los proponentes, las Entidades deben recurrir a otros medios de prueba que garanticen la selección objetiva, siempre que sean adecuados y proporcionales, para promover la libre participación de los oferentes. Lo anterior fue ratificado por el Consejo de Estado cuando enumeró las excepciones en las cuales las entidades tienen la obligación de verificar los requisitos habilitantes de los proponentes.  </w:t>
      </w:r>
    </w:p>
    <w:p w14:paraId="3CC0F3BA" w14:textId="77777777" w:rsidR="00174F47" w:rsidRDefault="00174F47" w:rsidP="00F61EAC">
      <w:pPr>
        <w:spacing w:after="0" w:line="240" w:lineRule="auto"/>
        <w:rPr>
          <w:rFonts w:ascii="Verdana" w:hAnsi="Verdana"/>
          <w:lang w:val="es-ES"/>
        </w:rPr>
      </w:pPr>
    </w:p>
    <w:p w14:paraId="1B50F362" w14:textId="77777777" w:rsidR="00174F47" w:rsidRDefault="00174F47" w:rsidP="00F61EAC">
      <w:pPr>
        <w:spacing w:after="0" w:line="240" w:lineRule="auto"/>
        <w:rPr>
          <w:rFonts w:ascii="Verdana" w:hAnsi="Verdana"/>
          <w:lang w:val="es-ES"/>
        </w:rPr>
      </w:pPr>
    </w:p>
    <w:p w14:paraId="08908898" w14:textId="77777777" w:rsidR="00174F47" w:rsidRDefault="00174F47" w:rsidP="00F61EAC">
      <w:pPr>
        <w:spacing w:after="0" w:line="240" w:lineRule="auto"/>
        <w:rPr>
          <w:rFonts w:ascii="Verdana" w:hAnsi="Verdana"/>
          <w:lang w:val="es-ES"/>
        </w:rPr>
      </w:pPr>
    </w:p>
    <w:p w14:paraId="234E3E37" w14:textId="77777777" w:rsidR="00174F47" w:rsidRDefault="00174F47" w:rsidP="00F61EAC">
      <w:pPr>
        <w:spacing w:after="0" w:line="240" w:lineRule="auto"/>
        <w:rPr>
          <w:rFonts w:ascii="Verdana" w:hAnsi="Verdana"/>
          <w:lang w:val="es-ES"/>
        </w:rPr>
      </w:pPr>
    </w:p>
    <w:p w14:paraId="4D5E0209" w14:textId="77777777" w:rsidR="00174F47" w:rsidRDefault="00174F47" w:rsidP="00F61EAC">
      <w:pPr>
        <w:spacing w:after="0" w:line="240" w:lineRule="auto"/>
        <w:rPr>
          <w:rFonts w:ascii="Verdana" w:hAnsi="Verdana"/>
          <w:lang w:val="es-ES"/>
        </w:rPr>
      </w:pPr>
    </w:p>
    <w:p w14:paraId="2F9956E5" w14:textId="77777777" w:rsidR="00174F47" w:rsidRDefault="00174F47" w:rsidP="00F61EAC">
      <w:pPr>
        <w:spacing w:after="0" w:line="240" w:lineRule="auto"/>
        <w:rPr>
          <w:rFonts w:ascii="Verdana" w:hAnsi="Verdana"/>
          <w:lang w:val="es-ES"/>
        </w:rPr>
      </w:pPr>
    </w:p>
    <w:p w14:paraId="39BA267A" w14:textId="77777777" w:rsidR="00174F47" w:rsidRDefault="00174F47" w:rsidP="00F61EAC">
      <w:pPr>
        <w:spacing w:after="0" w:line="240" w:lineRule="auto"/>
        <w:rPr>
          <w:rFonts w:ascii="Verdana" w:hAnsi="Verdana"/>
          <w:lang w:val="es-ES"/>
        </w:rPr>
      </w:pPr>
    </w:p>
    <w:p w14:paraId="495BCEF5" w14:textId="28A76AD5" w:rsidR="00095BA4" w:rsidRPr="00904C79" w:rsidRDefault="00095BA4" w:rsidP="00F61EAC">
      <w:pPr>
        <w:spacing w:after="0" w:line="240" w:lineRule="auto"/>
        <w:rPr>
          <w:rFonts w:ascii="Verdana" w:hAnsi="Verdana"/>
          <w:lang w:val="es-ES"/>
        </w:rPr>
      </w:pPr>
      <w:r w:rsidRPr="00904C79">
        <w:rPr>
          <w:rFonts w:ascii="Verdana" w:hAnsi="Verdana"/>
          <w:lang w:val="es-ES"/>
        </w:rPr>
        <w:t xml:space="preserve">Bogotá D.C., </w:t>
      </w:r>
      <w:r w:rsidR="00125467">
        <w:rPr>
          <w:rFonts w:ascii="Verdana" w:hAnsi="Verdana"/>
          <w:lang w:val="es-ES"/>
        </w:rPr>
        <w:t>08 de octubre de 2025</w:t>
      </w:r>
      <w:r w:rsidRPr="00904C79">
        <w:rPr>
          <w:rFonts w:ascii="Verdana" w:hAnsi="Verdana"/>
          <w:lang w:val="es-ES"/>
        </w:rPr>
        <w:tab/>
      </w:r>
    </w:p>
    <w:p w14:paraId="621F6AE3" w14:textId="77777777" w:rsidR="00095BA4" w:rsidRPr="00904C79" w:rsidRDefault="00095BA4" w:rsidP="00F61EAC">
      <w:pPr>
        <w:spacing w:after="0" w:line="240" w:lineRule="auto"/>
        <w:rPr>
          <w:rFonts w:ascii="Verdana" w:hAnsi="Verdana"/>
          <w:lang w:val="es-ES"/>
        </w:rPr>
      </w:pPr>
    </w:p>
    <w:p w14:paraId="6A547728" w14:textId="642FF6E4" w:rsidR="00095BA4" w:rsidRPr="00904C79" w:rsidRDefault="00BD3FB9" w:rsidP="00095BA4">
      <w:pPr>
        <w:spacing w:after="0" w:line="240" w:lineRule="auto"/>
        <w:jc w:val="both"/>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anchor distT="0" distB="0" distL="114300" distR="114300" simplePos="0" relativeHeight="251660288" behindDoc="0" locked="0" layoutInCell="1" allowOverlap="1" wp14:anchorId="53CAD360" wp14:editId="38600F0E">
            <wp:simplePos x="0" y="0"/>
            <wp:positionH relativeFrom="column">
              <wp:posOffset>3323590</wp:posOffset>
            </wp:positionH>
            <wp:positionV relativeFrom="page">
              <wp:posOffset>1821180</wp:posOffset>
            </wp:positionV>
            <wp:extent cx="2227580" cy="584835"/>
            <wp:effectExtent l="0" t="0" r="0" b="0"/>
            <wp:wrapSquare wrapText="bothSides"/>
            <wp:docPr id="722007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007395" name="Picture 72200739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27580" cy="584835"/>
                    </a:xfrm>
                    <a:prstGeom prst="rect">
                      <a:avLst/>
                    </a:prstGeom>
                  </pic:spPr>
                </pic:pic>
              </a:graphicData>
            </a:graphic>
            <wp14:sizeRelH relativeFrom="page">
              <wp14:pctWidth>0</wp14:pctWidth>
            </wp14:sizeRelH>
            <wp14:sizeRelV relativeFrom="page">
              <wp14:pctHeight>0</wp14:pctHeight>
            </wp14:sizeRelV>
          </wp:anchor>
        </w:drawing>
      </w:r>
      <w:r w:rsidR="00095BA4" w:rsidRPr="00904C79">
        <w:rPr>
          <w:rFonts w:ascii="Verdana" w:eastAsia="Calibri" w:hAnsi="Verdana" w:cs="Arial"/>
          <w:color w:val="000000" w:themeColor="text1"/>
          <w:lang w:val="es-ES" w:eastAsia="es-ES"/>
        </w:rPr>
        <w:t>Señor</w:t>
      </w:r>
    </w:p>
    <w:p w14:paraId="456C1A90" w14:textId="4359B98C" w:rsidR="00095BA4" w:rsidRPr="00904C79" w:rsidRDefault="00095BA4" w:rsidP="00095BA4">
      <w:pPr>
        <w:spacing w:after="0" w:line="240" w:lineRule="auto"/>
        <w:rPr>
          <w:rFonts w:ascii="Verdana" w:eastAsia="Calibri" w:hAnsi="Verdana" w:cs="Arial"/>
          <w:b/>
          <w:bCs/>
          <w:color w:val="000000" w:themeColor="text1"/>
          <w:lang w:val="es-ES" w:eastAsia="es-ES_tradnl"/>
        </w:rPr>
      </w:pPr>
      <w:r w:rsidRPr="00904C79">
        <w:rPr>
          <w:rFonts w:ascii="Verdana" w:eastAsia="Calibri" w:hAnsi="Verdana" w:cs="Arial"/>
          <w:b/>
          <w:bCs/>
          <w:color w:val="000000" w:themeColor="text1"/>
          <w:lang w:val="es-ES" w:eastAsia="es-ES_tradnl"/>
        </w:rPr>
        <w:t xml:space="preserve">Cristian Camilo Acosta </w:t>
      </w:r>
      <w:r w:rsidR="0074298C" w:rsidRPr="00904C79">
        <w:rPr>
          <w:rFonts w:ascii="Verdana" w:eastAsia="Calibri" w:hAnsi="Verdana" w:cs="Arial"/>
          <w:b/>
          <w:bCs/>
          <w:color w:val="000000" w:themeColor="text1"/>
          <w:lang w:val="es-ES" w:eastAsia="es-ES_tradnl"/>
        </w:rPr>
        <w:t>López</w:t>
      </w:r>
      <w:r w:rsidRPr="00904C79">
        <w:rPr>
          <w:rFonts w:ascii="Verdana" w:eastAsia="Calibri" w:hAnsi="Verdana" w:cs="Arial"/>
          <w:b/>
          <w:bCs/>
          <w:color w:val="000000" w:themeColor="text1"/>
          <w:lang w:val="es-ES" w:eastAsia="es-ES_tradnl"/>
        </w:rPr>
        <w:t xml:space="preserve"> </w:t>
      </w:r>
    </w:p>
    <w:p w14:paraId="5F43E8C4" w14:textId="77777777" w:rsidR="00095BA4" w:rsidRPr="00904C79" w:rsidRDefault="00C44013" w:rsidP="00095BA4">
      <w:pPr>
        <w:spacing w:after="0" w:line="240" w:lineRule="auto"/>
        <w:rPr>
          <w:rFonts w:ascii="Verdana" w:eastAsia="Calibri" w:hAnsi="Verdana" w:cs="Arial"/>
          <w:color w:val="000000" w:themeColor="text1"/>
          <w:lang w:val="es-ES" w:eastAsia="es-ES_tradnl"/>
        </w:rPr>
      </w:pPr>
      <w:hyperlink r:id="rId12" w:history="1">
        <w:r w:rsidR="00095BA4" w:rsidRPr="00904C79">
          <w:rPr>
            <w:rStyle w:val="Hipervnculo"/>
            <w:rFonts w:ascii="Verdana" w:eastAsia="Calibri" w:hAnsi="Verdana" w:cs="Arial"/>
            <w:lang w:val="es-ES" w:eastAsia="es-ES_tradnl"/>
          </w:rPr>
          <w:t>ccamiloacosta10@hotmail.com</w:t>
        </w:r>
      </w:hyperlink>
    </w:p>
    <w:p w14:paraId="4B459AF8" w14:textId="77777777" w:rsidR="00095BA4" w:rsidRPr="00904C79" w:rsidRDefault="00095BA4" w:rsidP="00095BA4">
      <w:pPr>
        <w:spacing w:after="0" w:line="240" w:lineRule="auto"/>
        <w:rPr>
          <w:rFonts w:ascii="Verdana" w:eastAsia="Calibri" w:hAnsi="Verdana" w:cs="Arial"/>
          <w:b/>
          <w:bCs/>
          <w:color w:val="000000" w:themeColor="text1"/>
          <w:lang w:val="es-ES" w:eastAsia="es-ES_tradnl"/>
        </w:rPr>
      </w:pPr>
      <w:r w:rsidRPr="00904C79">
        <w:rPr>
          <w:rFonts w:ascii="Verdana" w:eastAsia="Calibri" w:hAnsi="Verdana" w:cs="Arial"/>
          <w:color w:val="000000" w:themeColor="text1"/>
          <w:lang w:val="es-ES" w:eastAsia="es-ES"/>
        </w:rPr>
        <w:t>Ciudad</w:t>
      </w:r>
    </w:p>
    <w:p w14:paraId="4856E7EC" w14:textId="77777777" w:rsidR="00095BA4" w:rsidRPr="00904C79" w:rsidRDefault="00095BA4" w:rsidP="00095BA4">
      <w:pPr>
        <w:spacing w:after="0" w:line="240" w:lineRule="auto"/>
        <w:rPr>
          <w:rFonts w:ascii="Verdana" w:eastAsia="Calibri" w:hAnsi="Verdana" w:cs="Arial"/>
          <w:b/>
          <w:bCs/>
          <w:color w:val="000000" w:themeColor="text1"/>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95BA4" w:rsidRPr="00AA6E32" w14:paraId="7228EDE4" w14:textId="77777777" w:rsidTr="00574C7C">
        <w:trPr>
          <w:trHeight w:val="304"/>
        </w:trPr>
        <w:tc>
          <w:tcPr>
            <w:tcW w:w="2689" w:type="dxa"/>
          </w:tcPr>
          <w:p w14:paraId="490C1BAE" w14:textId="77777777" w:rsidR="00095BA4" w:rsidRPr="00904C79" w:rsidRDefault="00095BA4" w:rsidP="00574C7C">
            <w:pPr>
              <w:jc w:val="both"/>
              <w:rPr>
                <w:rFonts w:ascii="Verdana" w:eastAsia="Calibri" w:hAnsi="Verdana" w:cs="Arial"/>
                <w:b/>
                <w:bCs/>
                <w:color w:val="000000" w:themeColor="text1"/>
                <w:lang w:val="es-ES" w:eastAsia="es-ES_tradnl"/>
              </w:rPr>
            </w:pPr>
          </w:p>
        </w:tc>
        <w:tc>
          <w:tcPr>
            <w:tcW w:w="6100" w:type="dxa"/>
          </w:tcPr>
          <w:p w14:paraId="708EBEF8" w14:textId="191C830A" w:rsidR="00095BA4" w:rsidRPr="00904C79" w:rsidRDefault="00095BA4" w:rsidP="00574C7C">
            <w:pPr>
              <w:jc w:val="both"/>
              <w:rPr>
                <w:rFonts w:ascii="Verdana" w:eastAsia="Calibri" w:hAnsi="Verdana" w:cs="Arial"/>
                <w:b/>
                <w:bCs/>
                <w:color w:val="000000" w:themeColor="text1"/>
                <w:lang w:val="es-ES" w:eastAsia="es-ES"/>
              </w:rPr>
            </w:pPr>
            <w:r w:rsidRPr="00904C79">
              <w:rPr>
                <w:rFonts w:ascii="Verdana" w:eastAsia="Calibri" w:hAnsi="Verdana" w:cs="Arial"/>
                <w:b/>
                <w:bCs/>
                <w:color w:val="000000" w:themeColor="text1"/>
                <w:lang w:val="es-ES" w:eastAsia="es-ES"/>
              </w:rPr>
              <w:t>Concepto C-</w:t>
            </w:r>
            <w:r w:rsidR="004F4E7A">
              <w:rPr>
                <w:rFonts w:ascii="Verdana" w:eastAsia="Calibri" w:hAnsi="Verdana" w:cs="Arial"/>
                <w:b/>
                <w:bCs/>
                <w:color w:val="000000" w:themeColor="text1"/>
                <w:lang w:val="es-ES" w:eastAsia="es-ES"/>
              </w:rPr>
              <w:t>1211</w:t>
            </w:r>
            <w:r w:rsidRPr="00904C79">
              <w:rPr>
                <w:rFonts w:ascii="Verdana" w:eastAsia="Calibri" w:hAnsi="Verdana" w:cs="Arial"/>
                <w:b/>
                <w:bCs/>
                <w:color w:val="000000" w:themeColor="text1"/>
                <w:lang w:val="es-ES" w:eastAsia="es-ES"/>
              </w:rPr>
              <w:t xml:space="preserve"> de 2025</w:t>
            </w:r>
          </w:p>
          <w:p w14:paraId="2F412B5A" w14:textId="77777777" w:rsidR="00095BA4" w:rsidRPr="00904C79" w:rsidRDefault="00095BA4" w:rsidP="00574C7C">
            <w:pPr>
              <w:jc w:val="both"/>
              <w:rPr>
                <w:rFonts w:ascii="Verdana" w:eastAsia="Calibri" w:hAnsi="Verdana" w:cs="Arial"/>
                <w:b/>
                <w:bCs/>
                <w:color w:val="000000" w:themeColor="text1"/>
                <w:lang w:val="es-ES" w:eastAsia="es-ES"/>
              </w:rPr>
            </w:pPr>
          </w:p>
        </w:tc>
      </w:tr>
      <w:tr w:rsidR="00095BA4" w:rsidRPr="00AA6E32" w14:paraId="781912E8" w14:textId="77777777" w:rsidTr="00574C7C">
        <w:trPr>
          <w:trHeight w:val="884"/>
        </w:trPr>
        <w:tc>
          <w:tcPr>
            <w:tcW w:w="2689" w:type="dxa"/>
          </w:tcPr>
          <w:p w14:paraId="273B27A2" w14:textId="77777777" w:rsidR="00095BA4" w:rsidRPr="00904C79" w:rsidRDefault="00095BA4" w:rsidP="00574C7C">
            <w:pPr>
              <w:jc w:val="both"/>
              <w:rPr>
                <w:rFonts w:ascii="Verdana" w:eastAsia="Calibri" w:hAnsi="Verdana" w:cs="Arial"/>
                <w:color w:val="000000" w:themeColor="text1"/>
                <w:lang w:val="es-ES" w:eastAsia="es-ES_tradnl"/>
              </w:rPr>
            </w:pPr>
            <w:r w:rsidRPr="00904C79">
              <w:rPr>
                <w:rFonts w:ascii="Verdana" w:eastAsia="Calibri" w:hAnsi="Verdana" w:cs="Arial"/>
                <w:b/>
                <w:color w:val="000000" w:themeColor="text1"/>
                <w:lang w:val="es-ES" w:eastAsia="es-ES_tradnl"/>
              </w:rPr>
              <w:t>Temas:</w:t>
            </w:r>
            <w:r w:rsidRPr="00904C79">
              <w:rPr>
                <w:rFonts w:ascii="Verdana" w:eastAsia="Calibri" w:hAnsi="Verdana" w:cs="Arial"/>
                <w:color w:val="000000" w:themeColor="text1"/>
                <w:lang w:val="es-ES" w:eastAsia="es-ES_tradnl"/>
              </w:rPr>
              <w:t xml:space="preserve">                    </w:t>
            </w:r>
          </w:p>
        </w:tc>
        <w:tc>
          <w:tcPr>
            <w:tcW w:w="6100" w:type="dxa"/>
          </w:tcPr>
          <w:p w14:paraId="6BAE9C5B" w14:textId="77777777" w:rsidR="00095BA4" w:rsidRDefault="00337E58" w:rsidP="00FC39A4">
            <w:pPr>
              <w:spacing w:after="120"/>
              <w:contextualSpacing/>
              <w:jc w:val="both"/>
              <w:rPr>
                <w:rFonts w:ascii="Verdana" w:hAnsi="Verdana" w:cs="Arial"/>
                <w:lang w:eastAsia="es-ES_tradnl"/>
              </w:rPr>
            </w:pPr>
            <w:r w:rsidRPr="00BB52DE">
              <w:rPr>
                <w:rFonts w:ascii="Verdana" w:eastAsia="Calibri" w:hAnsi="Verdana" w:cs="Arial"/>
                <w:color w:val="000000" w:themeColor="text1"/>
                <w:lang w:val="es-ES" w:eastAsia="es-ES"/>
              </w:rPr>
              <w:t xml:space="preserve">REQUISITOS HABILITANTES – Noción – Régimen jurídico </w:t>
            </w:r>
            <w:r>
              <w:rPr>
                <w:rFonts w:ascii="Verdana" w:eastAsia="Calibri" w:hAnsi="Verdana" w:cs="Arial"/>
                <w:color w:val="000000" w:themeColor="text1"/>
                <w:lang w:val="es-ES" w:eastAsia="es-ES"/>
              </w:rPr>
              <w:t xml:space="preserve">/ </w:t>
            </w:r>
            <w:r w:rsidRPr="00BB52DE">
              <w:rPr>
                <w:rFonts w:ascii="Verdana" w:hAnsi="Verdana" w:cs="Arial"/>
                <w:lang w:val="es-ES" w:eastAsia="es-ES_tradnl"/>
              </w:rPr>
              <w:t xml:space="preserve">REGISTRO ÚNICO DE PROPONENTES – RUP – </w:t>
            </w:r>
            <w:r>
              <w:rPr>
                <w:rFonts w:ascii="Verdana" w:hAnsi="Verdana" w:cs="Arial"/>
                <w:lang w:val="es-ES" w:eastAsia="es-ES_tradnl"/>
              </w:rPr>
              <w:t>Naturaleza</w:t>
            </w:r>
            <w:r w:rsidRPr="00BB52DE">
              <w:rPr>
                <w:rFonts w:ascii="Verdana" w:hAnsi="Verdana" w:cs="Arial"/>
                <w:lang w:val="es-ES" w:eastAsia="es-ES_tradnl"/>
              </w:rPr>
              <w:t xml:space="preserve"> </w:t>
            </w:r>
            <w:r>
              <w:rPr>
                <w:rFonts w:ascii="Verdana" w:hAnsi="Verdana" w:cs="Arial"/>
                <w:lang w:val="es-ES" w:eastAsia="es-ES_tradnl"/>
              </w:rPr>
              <w:t>/</w:t>
            </w:r>
            <w:r w:rsidR="00ED4EE5">
              <w:rPr>
                <w:rFonts w:ascii="Verdana" w:hAnsi="Verdana" w:cs="Arial"/>
                <w:lang w:eastAsia="es-ES_tradnl"/>
              </w:rPr>
              <w:t xml:space="preserve"> SERVICIOS DE SALUD </w:t>
            </w:r>
            <w:r w:rsidRPr="00BB52DE">
              <w:rPr>
                <w:rFonts w:ascii="Verdana" w:hAnsi="Verdana" w:cs="Arial"/>
                <w:lang w:eastAsia="es-ES_tradnl"/>
              </w:rPr>
              <w:t xml:space="preserve">– Excepción al RUP – Verificación documental directa </w:t>
            </w:r>
          </w:p>
          <w:p w14:paraId="0C501A99" w14:textId="699C0028" w:rsidR="00D2199A" w:rsidRPr="00904C79" w:rsidRDefault="00D2199A" w:rsidP="00FC39A4">
            <w:pPr>
              <w:spacing w:after="120"/>
              <w:contextualSpacing/>
              <w:jc w:val="both"/>
              <w:rPr>
                <w:rFonts w:ascii="Verdana" w:eastAsia="Calibri" w:hAnsi="Verdana" w:cs="Arial"/>
                <w:color w:val="000000" w:themeColor="text1"/>
                <w:lang w:val="es-ES" w:eastAsia="es-ES"/>
              </w:rPr>
            </w:pPr>
          </w:p>
        </w:tc>
      </w:tr>
      <w:tr w:rsidR="00095BA4" w:rsidRPr="00AA6E32" w14:paraId="2852B290" w14:textId="77777777" w:rsidTr="00574C7C">
        <w:tc>
          <w:tcPr>
            <w:tcW w:w="2689" w:type="dxa"/>
          </w:tcPr>
          <w:p w14:paraId="74F73860" w14:textId="77777777" w:rsidR="00095BA4" w:rsidRPr="00904C79" w:rsidRDefault="00095BA4" w:rsidP="00574C7C">
            <w:pPr>
              <w:jc w:val="both"/>
              <w:rPr>
                <w:rFonts w:ascii="Verdana" w:eastAsia="Calibri" w:hAnsi="Verdana" w:cs="Arial"/>
                <w:b/>
                <w:color w:val="000000" w:themeColor="text1"/>
                <w:lang w:val="es-ES" w:eastAsia="es-ES_tradnl"/>
              </w:rPr>
            </w:pPr>
            <w:r w:rsidRPr="00904C79">
              <w:rPr>
                <w:rFonts w:ascii="Verdana" w:eastAsia="Calibri" w:hAnsi="Verdana" w:cs="Arial"/>
                <w:b/>
                <w:color w:val="000000" w:themeColor="text1"/>
                <w:lang w:val="es-ES" w:eastAsia="es-ES_tradnl"/>
              </w:rPr>
              <w:t>Radicación:</w:t>
            </w:r>
            <w:r w:rsidRPr="00904C79">
              <w:rPr>
                <w:rFonts w:ascii="Verdana" w:eastAsia="Calibri" w:hAnsi="Verdana" w:cs="Arial"/>
                <w:color w:val="000000" w:themeColor="text1"/>
                <w:lang w:val="es-ES" w:eastAsia="es-ES_tradnl"/>
              </w:rPr>
              <w:t xml:space="preserve">               </w:t>
            </w:r>
          </w:p>
        </w:tc>
        <w:tc>
          <w:tcPr>
            <w:tcW w:w="6100" w:type="dxa"/>
          </w:tcPr>
          <w:p w14:paraId="4B3AC2DF" w14:textId="77777777" w:rsidR="00095BA4" w:rsidRPr="00904C79" w:rsidRDefault="00095BA4" w:rsidP="00574C7C">
            <w:pPr>
              <w:jc w:val="both"/>
              <w:rPr>
                <w:rFonts w:ascii="Verdana" w:eastAsia="Calibri" w:hAnsi="Verdana" w:cs="Arial"/>
                <w:color w:val="000000" w:themeColor="text1"/>
                <w:lang w:val="es-ES" w:eastAsia="es-ES_tradnl"/>
              </w:rPr>
            </w:pPr>
            <w:r w:rsidRPr="00904C79">
              <w:rPr>
                <w:rFonts w:ascii="Verdana" w:eastAsia="Calibri" w:hAnsi="Verdana" w:cs="Arial"/>
                <w:color w:val="000000" w:themeColor="text1"/>
                <w:lang w:val="es-ES" w:eastAsia="es-ES_tradnl"/>
              </w:rPr>
              <w:t>Respuesta a consulta con radicado No. 1_2025_08_27_009124</w:t>
            </w:r>
          </w:p>
        </w:tc>
      </w:tr>
    </w:tbl>
    <w:p w14:paraId="07991815" w14:textId="77777777" w:rsidR="00095BA4" w:rsidRPr="00904C79" w:rsidRDefault="00095BA4" w:rsidP="00095BA4">
      <w:pPr>
        <w:spacing w:after="0" w:line="276" w:lineRule="auto"/>
        <w:jc w:val="both"/>
        <w:rPr>
          <w:rFonts w:ascii="Verdana" w:eastAsia="Calibri" w:hAnsi="Verdana" w:cs="Arial"/>
          <w:color w:val="000000" w:themeColor="text1"/>
          <w:lang w:val="es-ES" w:eastAsia="es-ES_tradnl"/>
        </w:rPr>
      </w:pPr>
    </w:p>
    <w:p w14:paraId="173D81F9" w14:textId="77777777" w:rsidR="00095BA4" w:rsidRPr="00904C79" w:rsidRDefault="00095BA4" w:rsidP="00095BA4">
      <w:pPr>
        <w:spacing w:after="0" w:line="276" w:lineRule="auto"/>
        <w:jc w:val="both"/>
        <w:rPr>
          <w:rFonts w:ascii="Verdana" w:eastAsia="Calibri" w:hAnsi="Verdana" w:cs="Arial"/>
          <w:color w:val="000000" w:themeColor="text1"/>
          <w:lang w:val="es-ES" w:eastAsia="es-ES"/>
        </w:rPr>
      </w:pPr>
      <w:r w:rsidRPr="00904C79">
        <w:rPr>
          <w:rFonts w:ascii="Verdana" w:eastAsia="Calibri" w:hAnsi="Verdana" w:cs="Arial"/>
          <w:color w:val="000000" w:themeColor="text1"/>
          <w:lang w:val="es-ES" w:eastAsia="es-ES"/>
        </w:rPr>
        <w:t xml:space="preserve">Estimado señor Acosta: </w:t>
      </w:r>
    </w:p>
    <w:p w14:paraId="2DAFE49B" w14:textId="77777777" w:rsidR="00095BA4" w:rsidRPr="00904C79" w:rsidRDefault="00095BA4" w:rsidP="00095BA4">
      <w:pPr>
        <w:tabs>
          <w:tab w:val="left" w:pos="3768"/>
        </w:tabs>
        <w:spacing w:after="0" w:line="276" w:lineRule="auto"/>
        <w:jc w:val="both"/>
        <w:rPr>
          <w:rFonts w:ascii="Verdana" w:eastAsia="Calibri" w:hAnsi="Verdana" w:cs="Arial"/>
          <w:color w:val="000000" w:themeColor="text1"/>
          <w:lang w:val="es-ES" w:eastAsia="es-ES"/>
        </w:rPr>
      </w:pPr>
      <w:r w:rsidRPr="00904C79">
        <w:rPr>
          <w:rFonts w:ascii="Verdana" w:eastAsia="Calibri" w:hAnsi="Verdana" w:cs="Arial"/>
          <w:color w:val="000000" w:themeColor="text1"/>
          <w:lang w:val="es-ES" w:eastAsia="es-ES"/>
        </w:rPr>
        <w:tab/>
      </w:r>
    </w:p>
    <w:p w14:paraId="4FE1DC29" w14:textId="77777777" w:rsidR="00095BA4" w:rsidRPr="00904C79" w:rsidRDefault="00095BA4" w:rsidP="00095BA4">
      <w:pPr>
        <w:spacing w:after="0" w:line="276" w:lineRule="auto"/>
        <w:jc w:val="both"/>
        <w:rPr>
          <w:rFonts w:ascii="Verdana" w:eastAsia="Calibri" w:hAnsi="Verdana" w:cs="Arial"/>
          <w:color w:val="000000" w:themeColor="text1"/>
          <w:lang w:val="es-ES" w:eastAsia="es-ES"/>
        </w:rPr>
      </w:pPr>
      <w:r w:rsidRPr="00904C79">
        <w:rPr>
          <w:rFonts w:ascii="Verdana" w:eastAsia="Calibri" w:hAnsi="Verdana" w:cs="Arial"/>
          <w:color w:val="000000" w:themeColor="text1"/>
          <w:lang w:val="es-ES" w:eastAsia="es-ES"/>
        </w:rPr>
        <w:t>En ejercicio de la competencia otorgada por los artículos 3, numeral 5º, y 11, numeral 8º, del Decreto Ley 4170 de 2011,</w:t>
      </w:r>
      <w:r w:rsidRPr="00904C79">
        <w:rPr>
          <w:rFonts w:ascii="Verdana" w:eastAsia="Arial MT" w:hAnsi="Verdana" w:cs="Arial MT"/>
          <w:color w:val="000000" w:themeColor="text1"/>
          <w:lang w:val="es-ES" w:eastAsia="es-ES"/>
        </w:rPr>
        <w:t xml:space="preserve"> </w:t>
      </w:r>
      <w:r w:rsidRPr="00904C79">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consulta del 27 de agosto de 2025, en la cual manifiesta lo siguiente:</w:t>
      </w:r>
      <w:r w:rsidRPr="00904C79">
        <w:rPr>
          <w:rFonts w:ascii="Verdana" w:eastAsia="Calibri" w:hAnsi="Verdana" w:cs="Arial"/>
          <w:color w:val="000000" w:themeColor="text1"/>
          <w:lang w:val="es-ES" w:eastAsia="es-ES"/>
        </w:rPr>
        <w:t xml:space="preserve"> </w:t>
      </w:r>
    </w:p>
    <w:p w14:paraId="26C7E02C" w14:textId="77777777" w:rsidR="00095BA4" w:rsidRPr="00904C79" w:rsidRDefault="00095BA4" w:rsidP="00095BA4">
      <w:pPr>
        <w:spacing w:after="0" w:line="276" w:lineRule="auto"/>
        <w:jc w:val="both"/>
        <w:rPr>
          <w:rFonts w:ascii="Verdana" w:eastAsia="Calibri" w:hAnsi="Verdana" w:cs="Arial"/>
          <w:color w:val="000000" w:themeColor="text1"/>
          <w:lang w:val="es-ES" w:eastAsia="es-ES"/>
        </w:rPr>
      </w:pPr>
    </w:p>
    <w:p w14:paraId="5CEFB234" w14:textId="153315F1" w:rsidR="00095BA4" w:rsidRPr="00904C79" w:rsidRDefault="00095BA4" w:rsidP="00F61EAC">
      <w:pPr>
        <w:snapToGrid w:val="0"/>
        <w:spacing w:after="0"/>
        <w:ind w:left="709" w:right="709"/>
        <w:contextualSpacing/>
        <w:jc w:val="both"/>
        <w:rPr>
          <w:rFonts w:ascii="Verdana" w:eastAsia="Century Gothic" w:hAnsi="Verdana" w:cs="Century Gothic"/>
          <w:i/>
          <w:iCs/>
          <w:color w:val="000000" w:themeColor="text1"/>
          <w:sz w:val="20"/>
          <w:szCs w:val="20"/>
          <w:lang w:val="es-ES"/>
        </w:rPr>
      </w:pPr>
      <w:bookmarkStart w:id="1" w:name="_Hlk95313578"/>
      <w:r w:rsidRPr="00904C79">
        <w:rPr>
          <w:rFonts w:ascii="Verdana" w:eastAsia="Century Gothic" w:hAnsi="Verdana" w:cs="Century Gothic"/>
          <w:color w:val="000000" w:themeColor="text1"/>
          <w:sz w:val="20"/>
          <w:szCs w:val="20"/>
          <w:lang w:val="es-ES"/>
        </w:rPr>
        <w:t>“</w:t>
      </w:r>
      <w:r w:rsidRPr="00904C79">
        <w:rPr>
          <w:rFonts w:ascii="Verdana" w:eastAsia="Century Gothic" w:hAnsi="Verdana" w:cs="Century Gothic"/>
          <w:i/>
          <w:iCs/>
          <w:color w:val="000000" w:themeColor="text1"/>
          <w:sz w:val="20"/>
          <w:szCs w:val="20"/>
          <w:lang w:val="es-ES"/>
        </w:rPr>
        <w:t xml:space="preserve">El artículo 6 de la Ley 1150 de 2007 "Por medio de la cual se introducen medidas para la eficiencia y la transparencia en la Ley 80 de 1993 (...)" establece algunas excepciones a la </w:t>
      </w:r>
      <w:r w:rsidR="00125467" w:rsidRPr="00904C79">
        <w:rPr>
          <w:rFonts w:ascii="Verdana" w:eastAsia="Century Gothic" w:hAnsi="Verdana" w:cs="Century Gothic"/>
          <w:i/>
          <w:iCs/>
          <w:color w:val="000000" w:themeColor="text1"/>
          <w:sz w:val="20"/>
          <w:szCs w:val="20"/>
          <w:lang w:val="es-ES"/>
        </w:rPr>
        <w:t>inscripción</w:t>
      </w:r>
      <w:r w:rsidRPr="00904C79">
        <w:rPr>
          <w:rFonts w:ascii="Verdana" w:eastAsia="Century Gothic" w:hAnsi="Verdana" w:cs="Century Gothic"/>
          <w:i/>
          <w:iCs/>
          <w:color w:val="000000" w:themeColor="text1"/>
          <w:sz w:val="20"/>
          <w:szCs w:val="20"/>
          <w:lang w:val="es-ES"/>
        </w:rPr>
        <w:t xml:space="preserve"> y </w:t>
      </w:r>
      <w:r w:rsidR="00125467" w:rsidRPr="00904C79">
        <w:rPr>
          <w:rFonts w:ascii="Verdana" w:eastAsia="Century Gothic" w:hAnsi="Verdana" w:cs="Century Gothic"/>
          <w:i/>
          <w:iCs/>
          <w:color w:val="000000" w:themeColor="text1"/>
          <w:sz w:val="20"/>
          <w:szCs w:val="20"/>
          <w:lang w:val="es-ES"/>
        </w:rPr>
        <w:t>clasificación</w:t>
      </w:r>
      <w:r w:rsidRPr="00904C79">
        <w:rPr>
          <w:rFonts w:ascii="Verdana" w:eastAsia="Century Gothic" w:hAnsi="Verdana" w:cs="Century Gothic"/>
          <w:i/>
          <w:iCs/>
          <w:color w:val="000000" w:themeColor="text1"/>
          <w:sz w:val="20"/>
          <w:szCs w:val="20"/>
          <w:lang w:val="es-ES"/>
        </w:rPr>
        <w:t xml:space="preserve"> en el registro </w:t>
      </w:r>
      <w:r w:rsidR="00125467" w:rsidRPr="00904C79">
        <w:rPr>
          <w:rFonts w:ascii="Verdana" w:eastAsia="Century Gothic" w:hAnsi="Verdana" w:cs="Century Gothic"/>
          <w:i/>
          <w:iCs/>
          <w:color w:val="000000" w:themeColor="text1"/>
          <w:sz w:val="20"/>
          <w:szCs w:val="20"/>
          <w:lang w:val="es-ES"/>
        </w:rPr>
        <w:t>único</w:t>
      </w:r>
      <w:r w:rsidRPr="00904C79">
        <w:rPr>
          <w:rFonts w:ascii="Verdana" w:eastAsia="Century Gothic" w:hAnsi="Verdana" w:cs="Century Gothic"/>
          <w:i/>
          <w:iCs/>
          <w:color w:val="000000" w:themeColor="text1"/>
          <w:sz w:val="20"/>
          <w:szCs w:val="20"/>
          <w:lang w:val="es-ES"/>
        </w:rPr>
        <w:t xml:space="preserve"> de proponentes en algunos procesos de selección objetiva, dentro de las cuales, se observa que no se </w:t>
      </w:r>
      <w:r w:rsidR="00125467" w:rsidRPr="00904C79">
        <w:rPr>
          <w:rFonts w:ascii="Verdana" w:eastAsia="Century Gothic" w:hAnsi="Verdana" w:cs="Century Gothic"/>
          <w:i/>
          <w:iCs/>
          <w:color w:val="000000" w:themeColor="text1"/>
          <w:sz w:val="20"/>
          <w:szCs w:val="20"/>
          <w:lang w:val="es-ES"/>
        </w:rPr>
        <w:t>requerirá</w:t>
      </w:r>
      <w:r w:rsidRPr="00904C79">
        <w:rPr>
          <w:rFonts w:ascii="Verdana" w:eastAsia="Century Gothic" w:hAnsi="Verdana" w:cs="Century Gothic"/>
          <w:i/>
          <w:iCs/>
          <w:color w:val="000000" w:themeColor="text1"/>
          <w:sz w:val="20"/>
          <w:szCs w:val="20"/>
          <w:lang w:val="es-ES"/>
        </w:rPr>
        <w:t xml:space="preserve">́ registro, ni de </w:t>
      </w:r>
      <w:r w:rsidR="00125467" w:rsidRPr="00904C79">
        <w:rPr>
          <w:rFonts w:ascii="Verdana" w:eastAsia="Century Gothic" w:hAnsi="Verdana" w:cs="Century Gothic"/>
          <w:i/>
          <w:iCs/>
          <w:color w:val="000000" w:themeColor="text1"/>
          <w:sz w:val="20"/>
          <w:szCs w:val="20"/>
          <w:lang w:val="es-ES"/>
        </w:rPr>
        <w:t>clasificación</w:t>
      </w:r>
      <w:r w:rsidRPr="00904C79">
        <w:rPr>
          <w:rFonts w:ascii="Verdana" w:eastAsia="Century Gothic" w:hAnsi="Verdana" w:cs="Century Gothic"/>
          <w:i/>
          <w:iCs/>
          <w:color w:val="000000" w:themeColor="text1"/>
          <w:sz w:val="20"/>
          <w:szCs w:val="20"/>
          <w:lang w:val="es-ES"/>
        </w:rPr>
        <w:t xml:space="preserve"> en (...) contratos para la </w:t>
      </w:r>
      <w:r w:rsidR="00125467" w:rsidRPr="00904C79">
        <w:rPr>
          <w:rFonts w:ascii="Verdana" w:eastAsia="Century Gothic" w:hAnsi="Verdana" w:cs="Century Gothic"/>
          <w:i/>
          <w:iCs/>
          <w:color w:val="000000" w:themeColor="text1"/>
          <w:sz w:val="20"/>
          <w:szCs w:val="20"/>
          <w:lang w:val="es-ES"/>
        </w:rPr>
        <w:t>prestación</w:t>
      </w:r>
      <w:r w:rsidRPr="00904C79">
        <w:rPr>
          <w:rFonts w:ascii="Verdana" w:eastAsia="Century Gothic" w:hAnsi="Verdana" w:cs="Century Gothic"/>
          <w:i/>
          <w:iCs/>
          <w:color w:val="000000" w:themeColor="text1"/>
          <w:sz w:val="20"/>
          <w:szCs w:val="20"/>
          <w:lang w:val="es-ES"/>
        </w:rPr>
        <w:t xml:space="preserve"> de servicios de salud, de acuerdo a lo anterior, me permito presentar la siguiente consulta: </w:t>
      </w:r>
    </w:p>
    <w:p w14:paraId="729453E6" w14:textId="6756E2DD" w:rsidR="00095BA4" w:rsidRPr="00904C79" w:rsidRDefault="00095BA4" w:rsidP="00F61EAC">
      <w:pPr>
        <w:snapToGrid w:val="0"/>
        <w:spacing w:after="0" w:line="240" w:lineRule="auto"/>
        <w:ind w:left="709" w:right="709"/>
        <w:contextualSpacing/>
        <w:jc w:val="both"/>
        <w:rPr>
          <w:rFonts w:ascii="Verdana" w:eastAsia="Century Gothic" w:hAnsi="Verdana" w:cs="Century Gothic"/>
          <w:color w:val="000000" w:themeColor="text1"/>
          <w:sz w:val="20"/>
          <w:szCs w:val="20"/>
          <w:lang w:val="es-ES"/>
        </w:rPr>
      </w:pPr>
      <w:r w:rsidRPr="00904C79">
        <w:rPr>
          <w:rFonts w:ascii="Verdana" w:eastAsia="Century Gothic" w:hAnsi="Verdana" w:cs="Century Gothic"/>
          <w:i/>
          <w:iCs/>
          <w:color w:val="000000" w:themeColor="text1"/>
          <w:sz w:val="20"/>
          <w:szCs w:val="20"/>
          <w:lang w:val="es-ES"/>
        </w:rPr>
        <w:t xml:space="preserve">i) Para los contratos que por su naturaleza y cuantía, la modalidad de selección del contratista corresponda a la selección abreviada de menor cuantía y cuyo objeto verse en </w:t>
      </w:r>
      <w:r w:rsidR="00125467" w:rsidRPr="00904C79">
        <w:rPr>
          <w:rFonts w:ascii="Verdana" w:eastAsia="Century Gothic" w:hAnsi="Verdana" w:cs="Century Gothic"/>
          <w:i/>
          <w:iCs/>
          <w:color w:val="000000" w:themeColor="text1"/>
          <w:sz w:val="20"/>
          <w:szCs w:val="20"/>
          <w:lang w:val="es-ES"/>
        </w:rPr>
        <w:t>relación</w:t>
      </w:r>
      <w:r w:rsidRPr="00904C79">
        <w:rPr>
          <w:rFonts w:ascii="Verdana" w:eastAsia="Century Gothic" w:hAnsi="Verdana" w:cs="Century Gothic"/>
          <w:i/>
          <w:iCs/>
          <w:color w:val="000000" w:themeColor="text1"/>
          <w:sz w:val="20"/>
          <w:szCs w:val="20"/>
          <w:lang w:val="es-ES"/>
        </w:rPr>
        <w:t xml:space="preserve"> con la </w:t>
      </w:r>
      <w:r w:rsidR="00125467" w:rsidRPr="00904C79">
        <w:rPr>
          <w:rFonts w:ascii="Verdana" w:eastAsia="Century Gothic" w:hAnsi="Verdana" w:cs="Century Gothic"/>
          <w:i/>
          <w:iCs/>
          <w:color w:val="000000" w:themeColor="text1"/>
          <w:sz w:val="20"/>
          <w:szCs w:val="20"/>
          <w:lang w:val="es-ES"/>
        </w:rPr>
        <w:t>prestación</w:t>
      </w:r>
      <w:r w:rsidRPr="00904C79">
        <w:rPr>
          <w:rFonts w:ascii="Verdana" w:eastAsia="Century Gothic" w:hAnsi="Verdana" w:cs="Century Gothic"/>
          <w:i/>
          <w:iCs/>
          <w:color w:val="000000" w:themeColor="text1"/>
          <w:sz w:val="20"/>
          <w:szCs w:val="20"/>
          <w:lang w:val="es-ES"/>
        </w:rPr>
        <w:t xml:space="preserve"> de servicios de </w:t>
      </w:r>
      <w:r w:rsidR="00125467" w:rsidRPr="00904C79">
        <w:rPr>
          <w:rFonts w:ascii="Verdana" w:eastAsia="Century Gothic" w:hAnsi="Verdana" w:cs="Century Gothic"/>
          <w:i/>
          <w:iCs/>
          <w:color w:val="000000" w:themeColor="text1"/>
          <w:sz w:val="20"/>
          <w:szCs w:val="20"/>
          <w:lang w:val="es-ES"/>
        </w:rPr>
        <w:t>exámenes</w:t>
      </w:r>
      <w:r w:rsidRPr="00904C79">
        <w:rPr>
          <w:rFonts w:ascii="Verdana" w:eastAsia="Century Gothic" w:hAnsi="Verdana" w:cs="Century Gothic"/>
          <w:i/>
          <w:iCs/>
          <w:color w:val="000000" w:themeColor="text1"/>
          <w:sz w:val="20"/>
          <w:szCs w:val="20"/>
          <w:lang w:val="es-ES"/>
        </w:rPr>
        <w:t xml:space="preserve"> ocupacionales, de ingreso y/o </w:t>
      </w:r>
      <w:r w:rsidR="00125467" w:rsidRPr="00904C79">
        <w:rPr>
          <w:rFonts w:ascii="Verdana" w:eastAsia="Century Gothic" w:hAnsi="Verdana" w:cs="Century Gothic"/>
          <w:i/>
          <w:iCs/>
          <w:color w:val="000000" w:themeColor="text1"/>
          <w:sz w:val="20"/>
          <w:szCs w:val="20"/>
          <w:lang w:val="es-ES"/>
        </w:rPr>
        <w:t>periódicos</w:t>
      </w:r>
      <w:r w:rsidRPr="00904C79">
        <w:rPr>
          <w:rFonts w:ascii="Verdana" w:eastAsia="Century Gothic" w:hAnsi="Verdana" w:cs="Century Gothic"/>
          <w:i/>
          <w:iCs/>
          <w:color w:val="000000" w:themeColor="text1"/>
          <w:sz w:val="20"/>
          <w:szCs w:val="20"/>
          <w:lang w:val="es-ES"/>
        </w:rPr>
        <w:t xml:space="preserve"> se extiende la aplicación de la </w:t>
      </w:r>
      <w:r w:rsidR="00125467" w:rsidRPr="00904C79">
        <w:rPr>
          <w:rFonts w:ascii="Verdana" w:eastAsia="Century Gothic" w:hAnsi="Verdana" w:cs="Century Gothic"/>
          <w:i/>
          <w:iCs/>
          <w:color w:val="000000" w:themeColor="text1"/>
          <w:sz w:val="20"/>
          <w:szCs w:val="20"/>
          <w:lang w:val="es-ES"/>
        </w:rPr>
        <w:t>excepción</w:t>
      </w:r>
      <w:r w:rsidRPr="00904C79">
        <w:rPr>
          <w:rFonts w:ascii="Verdana" w:eastAsia="Century Gothic" w:hAnsi="Verdana" w:cs="Century Gothic"/>
          <w:i/>
          <w:iCs/>
          <w:color w:val="000000" w:themeColor="text1"/>
          <w:sz w:val="20"/>
          <w:szCs w:val="20"/>
          <w:lang w:val="es-ES"/>
        </w:rPr>
        <w:t xml:space="preserve"> consagrada en el artículo 6 de la Ley 1150 de 2007 aunque no se traten de servicios de salud propiamente dichos?</w:t>
      </w:r>
      <w:r w:rsidRPr="00904C79">
        <w:rPr>
          <w:rFonts w:ascii="Verdana" w:eastAsia="Century Gothic" w:hAnsi="Verdana" w:cs="Century Gothic"/>
          <w:color w:val="000000" w:themeColor="text1"/>
          <w:sz w:val="20"/>
          <w:szCs w:val="20"/>
          <w:lang w:val="es-ES"/>
        </w:rPr>
        <w:t>”</w:t>
      </w:r>
    </w:p>
    <w:bookmarkEnd w:id="1"/>
    <w:p w14:paraId="3F6384AF" w14:textId="77777777" w:rsidR="00095BA4" w:rsidRPr="00904C79" w:rsidRDefault="00095BA4" w:rsidP="00095BA4">
      <w:pPr>
        <w:spacing w:after="0" w:line="240" w:lineRule="auto"/>
        <w:contextualSpacing/>
        <w:jc w:val="both"/>
        <w:rPr>
          <w:rFonts w:ascii="Verdana" w:eastAsia="Calibri" w:hAnsi="Verdana" w:cs="Arial"/>
          <w:color w:val="000000" w:themeColor="text1"/>
          <w:lang w:val="es-ES" w:eastAsia="es-ES"/>
        </w:rPr>
      </w:pPr>
    </w:p>
    <w:p w14:paraId="67E5F73A" w14:textId="77777777" w:rsidR="00095BA4" w:rsidRPr="00904C79" w:rsidRDefault="00095BA4" w:rsidP="00095BA4">
      <w:pPr>
        <w:spacing w:after="0" w:line="276" w:lineRule="auto"/>
        <w:ind w:firstLine="709"/>
        <w:contextualSpacing/>
        <w:jc w:val="both"/>
        <w:rPr>
          <w:rFonts w:ascii="Verdana" w:eastAsia="Calibri" w:hAnsi="Verdana" w:cs="Arial"/>
          <w:color w:val="000000" w:themeColor="text1"/>
          <w:lang w:val="es-ES" w:eastAsia="es-ES_tradnl"/>
        </w:rPr>
      </w:pPr>
      <w:r w:rsidRPr="00904C79">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904C79">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04C79">
        <w:rPr>
          <w:rFonts w:ascii="Verdana" w:eastAsia="Calibri" w:hAnsi="Verdana" w:cs="Arial"/>
          <w:color w:val="000000" w:themeColor="text1"/>
          <w:lang w:val="es-ES" w:eastAsia="es-ES_tradnl"/>
        </w:rPr>
        <w:tab/>
      </w:r>
    </w:p>
    <w:p w14:paraId="7C4A5B1C" w14:textId="009A4B94" w:rsidR="00095BA4" w:rsidRPr="00904C79" w:rsidRDefault="00095BA4" w:rsidP="00095BA4">
      <w:pPr>
        <w:spacing w:before="120" w:after="0" w:line="276" w:lineRule="auto"/>
        <w:ind w:firstLine="709"/>
        <w:jc w:val="both"/>
        <w:rPr>
          <w:rFonts w:ascii="Verdana" w:eastAsia="Calibri" w:hAnsi="Verdana" w:cs="Arial"/>
          <w:color w:val="000000" w:themeColor="text1"/>
          <w:lang w:val="es-ES" w:eastAsia="es-ES"/>
        </w:rPr>
      </w:pPr>
      <w:r w:rsidRPr="00904C79">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74298C">
        <w:rPr>
          <w:rFonts w:ascii="Verdana" w:eastAsia="Calibri" w:hAnsi="Verdana" w:cs="Arial"/>
          <w:color w:val="000000" w:themeColor="text1"/>
          <w:lang w:val="es-ES" w:eastAsia="es-ES"/>
        </w:rPr>
        <w:t>los</w:t>
      </w:r>
      <w:r w:rsidRPr="00904C79">
        <w:rPr>
          <w:rFonts w:ascii="Verdana" w:eastAsia="Calibri" w:hAnsi="Verdana" w:cs="Arial"/>
          <w:color w:val="000000" w:themeColor="text1"/>
          <w:lang w:val="es-ES" w:eastAsia="es-ES"/>
        </w:rPr>
        <w:t xml:space="preserve"> problema</w:t>
      </w:r>
      <w:r w:rsidR="0074298C">
        <w:rPr>
          <w:rFonts w:ascii="Verdana" w:eastAsia="Calibri" w:hAnsi="Verdana" w:cs="Arial"/>
          <w:color w:val="000000" w:themeColor="text1"/>
          <w:lang w:val="es-ES" w:eastAsia="es-ES"/>
        </w:rPr>
        <w:t>s</w:t>
      </w:r>
      <w:r w:rsidRPr="00904C79">
        <w:rPr>
          <w:rFonts w:ascii="Verdana" w:eastAsia="Calibri" w:hAnsi="Verdana" w:cs="Arial"/>
          <w:color w:val="000000" w:themeColor="text1"/>
          <w:lang w:val="es-ES" w:eastAsia="es-ES"/>
        </w:rPr>
        <w:t xml:space="preserve"> jurídico</w:t>
      </w:r>
      <w:r w:rsidR="0074298C">
        <w:rPr>
          <w:rFonts w:ascii="Verdana" w:eastAsia="Calibri" w:hAnsi="Verdana" w:cs="Arial"/>
          <w:color w:val="000000" w:themeColor="text1"/>
          <w:lang w:val="es-ES" w:eastAsia="es-ES"/>
        </w:rPr>
        <w:t>s</w:t>
      </w:r>
      <w:r w:rsidRPr="00904C79">
        <w:rPr>
          <w:rFonts w:ascii="Verdana" w:eastAsia="Calibri" w:hAnsi="Verdana" w:cs="Arial"/>
          <w:color w:val="000000" w:themeColor="text1"/>
          <w:lang w:val="es-ES" w:eastAsia="es-ES"/>
        </w:rPr>
        <w:t xml:space="preserve"> de su consulta. </w:t>
      </w:r>
    </w:p>
    <w:p w14:paraId="4B9648B7" w14:textId="77777777" w:rsidR="00095BA4" w:rsidRPr="00904C79" w:rsidRDefault="00095BA4" w:rsidP="00095BA4">
      <w:pPr>
        <w:spacing w:after="0" w:line="276" w:lineRule="auto"/>
        <w:ind w:firstLine="709"/>
        <w:jc w:val="both"/>
        <w:rPr>
          <w:rFonts w:ascii="Verdana" w:eastAsia="Calibri" w:hAnsi="Verdana" w:cs="Arial"/>
          <w:color w:val="000000" w:themeColor="text1"/>
          <w:lang w:val="es-ES" w:eastAsia="es-ES"/>
        </w:rPr>
      </w:pPr>
    </w:p>
    <w:p w14:paraId="5F7084F2" w14:textId="77777777" w:rsidR="00095BA4" w:rsidRPr="00904C79" w:rsidRDefault="00095BA4" w:rsidP="00095BA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904C79">
        <w:rPr>
          <w:rFonts w:ascii="Verdana" w:eastAsia="Century Gothic" w:hAnsi="Verdana" w:cs="Century Gothic"/>
          <w:b/>
          <w:bCs/>
          <w:color w:val="000000" w:themeColor="text1"/>
        </w:rPr>
        <w:t>Problema planteado:</w:t>
      </w:r>
    </w:p>
    <w:p w14:paraId="7AA92A67" w14:textId="77777777" w:rsidR="00095BA4" w:rsidRPr="00904C79" w:rsidRDefault="00095BA4" w:rsidP="00095BA4">
      <w:pPr>
        <w:tabs>
          <w:tab w:val="left" w:pos="426"/>
        </w:tabs>
        <w:spacing w:after="0" w:line="276" w:lineRule="auto"/>
        <w:jc w:val="both"/>
        <w:rPr>
          <w:rFonts w:ascii="Verdana" w:eastAsia="Century Gothic" w:hAnsi="Verdana" w:cs="Century Gothic"/>
          <w:color w:val="000000" w:themeColor="text1"/>
          <w:lang w:val="es-ES"/>
        </w:rPr>
      </w:pPr>
    </w:p>
    <w:p w14:paraId="46CCA03D" w14:textId="0A680F5B" w:rsidR="00095BA4" w:rsidRPr="00904C79" w:rsidRDefault="00095BA4" w:rsidP="00095BA4">
      <w:pPr>
        <w:spacing w:after="0" w:line="276" w:lineRule="auto"/>
        <w:jc w:val="both"/>
        <w:rPr>
          <w:rFonts w:ascii="Verdana" w:eastAsia="Century Gothic" w:hAnsi="Verdana" w:cs="Century Gothic"/>
          <w:color w:val="000000" w:themeColor="text1"/>
          <w:lang w:val="es-ES"/>
        </w:rPr>
      </w:pPr>
      <w:r w:rsidRPr="00904C79">
        <w:rPr>
          <w:rFonts w:ascii="Verdana" w:eastAsia="Century Gothic" w:hAnsi="Verdana" w:cs="Century Gothic"/>
          <w:color w:val="000000" w:themeColor="text1"/>
          <w:lang w:val="es-ES"/>
        </w:rPr>
        <w:t xml:space="preserve">De acuerdo con el contenido de su solicitud, esta Agencia resolverá </w:t>
      </w:r>
      <w:r w:rsidR="0074298C">
        <w:rPr>
          <w:rFonts w:ascii="Verdana" w:eastAsia="Century Gothic" w:hAnsi="Verdana" w:cs="Century Gothic"/>
          <w:color w:val="000000" w:themeColor="text1"/>
          <w:lang w:val="es-ES"/>
        </w:rPr>
        <w:t>los</w:t>
      </w:r>
      <w:r w:rsidRPr="00904C79">
        <w:rPr>
          <w:rFonts w:ascii="Verdana" w:eastAsia="Century Gothic" w:hAnsi="Verdana" w:cs="Century Gothic"/>
          <w:color w:val="000000" w:themeColor="text1"/>
          <w:lang w:val="es-ES"/>
        </w:rPr>
        <w:t xml:space="preserve"> siguiente</w:t>
      </w:r>
      <w:r w:rsidR="0074298C">
        <w:rPr>
          <w:rFonts w:ascii="Verdana" w:eastAsia="Century Gothic" w:hAnsi="Verdana" w:cs="Century Gothic"/>
          <w:color w:val="000000" w:themeColor="text1"/>
          <w:lang w:val="es-ES"/>
        </w:rPr>
        <w:t>s</w:t>
      </w:r>
      <w:r w:rsidRPr="00904C79">
        <w:rPr>
          <w:rFonts w:ascii="Verdana" w:eastAsia="Century Gothic" w:hAnsi="Verdana" w:cs="Century Gothic"/>
          <w:color w:val="000000" w:themeColor="text1"/>
          <w:lang w:val="es-ES"/>
        </w:rPr>
        <w:t xml:space="preserve"> problema</w:t>
      </w:r>
      <w:r w:rsidR="0074298C">
        <w:rPr>
          <w:rFonts w:ascii="Verdana" w:eastAsia="Century Gothic" w:hAnsi="Verdana" w:cs="Century Gothic"/>
          <w:color w:val="000000" w:themeColor="text1"/>
          <w:lang w:val="es-ES"/>
        </w:rPr>
        <w:t>s</w:t>
      </w:r>
      <w:r w:rsidRPr="00904C79">
        <w:rPr>
          <w:rFonts w:ascii="Verdana" w:eastAsia="Century Gothic" w:hAnsi="Verdana" w:cs="Century Gothic"/>
          <w:color w:val="000000" w:themeColor="text1"/>
          <w:lang w:val="es-ES"/>
        </w:rPr>
        <w:t xml:space="preserve"> jurídico</w:t>
      </w:r>
      <w:r w:rsidR="0074298C">
        <w:rPr>
          <w:rFonts w:ascii="Verdana" w:eastAsia="Century Gothic" w:hAnsi="Verdana" w:cs="Century Gothic"/>
          <w:color w:val="000000" w:themeColor="text1"/>
          <w:lang w:val="es-ES"/>
        </w:rPr>
        <w:t>s</w:t>
      </w:r>
      <w:r w:rsidRPr="00904C79">
        <w:rPr>
          <w:rFonts w:ascii="Verdana" w:eastAsia="Century Gothic" w:hAnsi="Verdana" w:cs="Century Gothic"/>
          <w:color w:val="000000" w:themeColor="text1"/>
          <w:lang w:val="es-ES"/>
        </w:rPr>
        <w:t>: ¿</w:t>
      </w:r>
      <w:r w:rsidR="00806126">
        <w:rPr>
          <w:rFonts w:ascii="Verdana" w:eastAsia="Century Gothic" w:hAnsi="Verdana" w:cs="Century Gothic"/>
          <w:color w:val="000000" w:themeColor="text1"/>
          <w:lang w:val="es-ES"/>
        </w:rPr>
        <w:t>L</w:t>
      </w:r>
      <w:r w:rsidR="00806126" w:rsidRPr="00904C79">
        <w:rPr>
          <w:rFonts w:ascii="Verdana" w:eastAsia="Century Gothic" w:hAnsi="Verdana" w:cs="Century Gothic"/>
          <w:color w:val="000000" w:themeColor="text1"/>
          <w:lang w:val="es-ES"/>
        </w:rPr>
        <w:t>a prestación de servicios relacionados con la práctica de exámenes ocupacionales se encuentra inmersa en estas excepciones?</w:t>
      </w:r>
      <w:r w:rsidR="00806126" w:rsidRPr="00806126">
        <w:rPr>
          <w:rFonts w:ascii="Verdana" w:eastAsia="Century Gothic" w:hAnsi="Verdana" w:cs="Century Gothic"/>
          <w:color w:val="000000" w:themeColor="text1"/>
          <w:lang w:val="es-ES"/>
        </w:rPr>
        <w:t xml:space="preserve"> </w:t>
      </w:r>
      <w:r w:rsidR="00806126">
        <w:rPr>
          <w:rFonts w:ascii="Verdana" w:eastAsia="Century Gothic" w:hAnsi="Verdana" w:cs="Century Gothic"/>
          <w:color w:val="000000" w:themeColor="text1"/>
          <w:lang w:val="es-ES"/>
        </w:rPr>
        <w:t xml:space="preserve">y </w:t>
      </w:r>
      <w:r w:rsidRPr="00904C79">
        <w:rPr>
          <w:rFonts w:ascii="Verdana" w:eastAsia="Century Gothic" w:hAnsi="Verdana" w:cs="Century Gothic"/>
          <w:color w:val="000000" w:themeColor="text1"/>
          <w:lang w:val="es-ES"/>
        </w:rPr>
        <w:t>¿En qué casos no es exigible el RUP en los procesos de selección que adelanten las Entidades Estatales?</w:t>
      </w:r>
      <w:r>
        <w:rPr>
          <w:rFonts w:ascii="Verdana" w:eastAsia="Century Gothic" w:hAnsi="Verdana" w:cs="Century Gothic"/>
          <w:color w:val="000000" w:themeColor="text1"/>
          <w:lang w:val="es-ES"/>
        </w:rPr>
        <w:t xml:space="preserve"> </w:t>
      </w:r>
    </w:p>
    <w:p w14:paraId="332C1083" w14:textId="77777777" w:rsidR="00095BA4" w:rsidRPr="00904C79" w:rsidRDefault="00095BA4" w:rsidP="00095BA4">
      <w:pPr>
        <w:spacing w:after="0" w:line="276" w:lineRule="auto"/>
        <w:jc w:val="both"/>
        <w:rPr>
          <w:rFonts w:ascii="Verdana" w:eastAsia="Calibri" w:hAnsi="Verdana" w:cs="Arial"/>
          <w:color w:val="000000" w:themeColor="text1"/>
          <w:lang w:val="es-ES"/>
        </w:rPr>
      </w:pPr>
    </w:p>
    <w:p w14:paraId="3C824EF3" w14:textId="77777777" w:rsidR="00095BA4" w:rsidRPr="00904C79" w:rsidRDefault="00095BA4" w:rsidP="00095B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04C79">
        <w:rPr>
          <w:rFonts w:ascii="Verdana" w:eastAsia="Century Gothic" w:hAnsi="Verdana" w:cs="Century Gothic"/>
          <w:b/>
          <w:bCs/>
          <w:color w:val="000000" w:themeColor="text1"/>
        </w:rPr>
        <w:t>Respuesta:</w:t>
      </w:r>
    </w:p>
    <w:p w14:paraId="6E1BA68D" w14:textId="77777777" w:rsidR="00095BA4" w:rsidRPr="00904C79" w:rsidRDefault="00095BA4" w:rsidP="00095BA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95BA4" w:rsidRPr="00904C79" w14:paraId="7A1B03BA" w14:textId="77777777" w:rsidTr="002E50A7">
        <w:tc>
          <w:tcPr>
            <w:tcW w:w="8828" w:type="dxa"/>
          </w:tcPr>
          <w:p w14:paraId="35D16D1A" w14:textId="5521C423" w:rsidR="00095BA4" w:rsidRDefault="00095BA4" w:rsidP="00125467">
            <w:pPr>
              <w:spacing w:after="120" w:line="276" w:lineRule="auto"/>
              <w:ind w:firstLine="735"/>
              <w:jc w:val="both"/>
              <w:rPr>
                <w:rFonts w:ascii="Verdana" w:hAnsi="Verdana" w:cs="Arial"/>
                <w:lang w:val="es-ES" w:eastAsia="es-ES_tradnl"/>
              </w:rPr>
            </w:pPr>
            <w:r>
              <w:rPr>
                <w:rFonts w:ascii="Verdana" w:hAnsi="Verdana" w:cs="Arial"/>
                <w:lang w:val="es-ES" w:eastAsia="es-ES_tradnl"/>
              </w:rPr>
              <w:t>L</w:t>
            </w:r>
            <w:r w:rsidRPr="004D38F1">
              <w:rPr>
                <w:rFonts w:ascii="Verdana" w:hAnsi="Verdana" w:cs="Arial"/>
                <w:lang w:val="es-ES" w:eastAsia="es-ES_tradnl"/>
              </w:rPr>
              <w:t xml:space="preserve">a normativa </w:t>
            </w:r>
            <w:r>
              <w:rPr>
                <w:rFonts w:ascii="Verdana" w:hAnsi="Verdana" w:cs="Arial"/>
                <w:lang w:val="es-ES" w:eastAsia="es-ES_tradnl"/>
              </w:rPr>
              <w:t>que regula la práctica de los exámenes médicos ocupacionales</w:t>
            </w:r>
            <w:r w:rsidRPr="004D38F1">
              <w:rPr>
                <w:rFonts w:ascii="Verdana" w:hAnsi="Verdana" w:cs="Arial"/>
                <w:lang w:val="es-ES" w:eastAsia="es-ES_tradnl"/>
              </w:rPr>
              <w:t xml:space="preserve"> </w:t>
            </w:r>
            <w:r>
              <w:rPr>
                <w:rFonts w:ascii="Verdana" w:hAnsi="Verdana" w:cs="Arial"/>
                <w:lang w:val="es-ES" w:eastAsia="es-ES_tradnl"/>
              </w:rPr>
              <w:t xml:space="preserve">señala que </w:t>
            </w:r>
            <w:r w:rsidRPr="004D38F1">
              <w:rPr>
                <w:rFonts w:ascii="Verdana" w:hAnsi="Verdana" w:cs="Arial"/>
                <w:lang w:val="es-ES" w:eastAsia="es-ES_tradnl"/>
              </w:rPr>
              <w:t xml:space="preserve">son </w:t>
            </w:r>
            <w:r>
              <w:rPr>
                <w:rFonts w:ascii="Verdana" w:hAnsi="Verdana" w:cs="Arial"/>
                <w:lang w:val="es-ES" w:eastAsia="es-ES_tradnl"/>
              </w:rPr>
              <w:t xml:space="preserve">realizados </w:t>
            </w:r>
            <w:r w:rsidRPr="004D38F1">
              <w:rPr>
                <w:rFonts w:ascii="Verdana" w:hAnsi="Verdana" w:cs="Arial"/>
                <w:lang w:val="es-ES" w:eastAsia="es-ES_tradnl"/>
              </w:rPr>
              <w:t>por prestadores del servicio</w:t>
            </w:r>
            <w:r>
              <w:rPr>
                <w:rFonts w:ascii="Verdana" w:hAnsi="Verdana" w:cs="Arial"/>
                <w:lang w:val="es-ES" w:eastAsia="es-ES_tradnl"/>
              </w:rPr>
              <w:t xml:space="preserve"> de medicina de seguridad y salud en el trabajo. La Resolución</w:t>
            </w:r>
            <w:r w:rsidRPr="003E5D8F">
              <w:rPr>
                <w:rFonts w:ascii="Verdana" w:hAnsi="Verdana" w:cs="Arial"/>
                <w:color w:val="000000" w:themeColor="text1"/>
                <w:lang w:val="es-ES"/>
              </w:rPr>
              <w:t xml:space="preserve"> </w:t>
            </w:r>
            <w:r w:rsidRPr="00904C79">
              <w:rPr>
                <w:rFonts w:ascii="Verdana" w:hAnsi="Verdana" w:cs="Arial"/>
                <w:color w:val="000000" w:themeColor="text1"/>
                <w:lang w:val="es-ES"/>
              </w:rPr>
              <w:t xml:space="preserve">No. 1843 de 2025 </w:t>
            </w:r>
            <w:r>
              <w:rPr>
                <w:rFonts w:ascii="Verdana" w:hAnsi="Verdana" w:cs="Arial"/>
                <w:lang w:val="es-ES" w:eastAsia="es-ES_tradnl"/>
              </w:rPr>
              <w:t xml:space="preserve">caracterizó estas evaluaciones como actos médicos y señala que </w:t>
            </w:r>
            <w:r w:rsidRPr="00B31E45">
              <w:rPr>
                <w:rFonts w:ascii="Verdana" w:hAnsi="Verdana" w:cs="Arial"/>
                <w:lang w:eastAsia="es-ES_tradnl"/>
              </w:rPr>
              <w:t>deben ser realizadas por médicos especialistas en seguridad y salud en el trabajo, con licencia vigente conforme a las normas establecidas por el Ministerio de Salud y Protección Social en la materia</w:t>
            </w:r>
            <w:r>
              <w:rPr>
                <w:rFonts w:ascii="Verdana" w:hAnsi="Verdana" w:cs="Arial"/>
                <w:lang w:eastAsia="es-ES_tradnl"/>
              </w:rPr>
              <w:t xml:space="preserve"> -art. 17-</w:t>
            </w:r>
            <w:r w:rsidRPr="00B31E45">
              <w:rPr>
                <w:rFonts w:ascii="Verdana" w:hAnsi="Verdana" w:cs="Arial"/>
                <w:lang w:eastAsia="es-ES_tradnl"/>
              </w:rPr>
              <w:t>.</w:t>
            </w:r>
            <w:r>
              <w:rPr>
                <w:rFonts w:ascii="Verdana" w:hAnsi="Verdana" w:cs="Arial"/>
                <w:lang w:eastAsia="es-ES_tradnl"/>
              </w:rPr>
              <w:t xml:space="preserve"> Finalmente, la </w:t>
            </w:r>
            <w:r w:rsidR="00902FC1">
              <w:rPr>
                <w:rFonts w:ascii="Verdana" w:hAnsi="Verdana" w:cs="Arial"/>
                <w:lang w:eastAsia="es-ES_tradnl"/>
              </w:rPr>
              <w:t>r</w:t>
            </w:r>
            <w:r>
              <w:rPr>
                <w:rFonts w:ascii="Verdana" w:hAnsi="Verdana" w:cs="Arial"/>
                <w:lang w:eastAsia="es-ES_tradnl"/>
              </w:rPr>
              <w:t xml:space="preserve">esolución señala </w:t>
            </w:r>
            <w:r>
              <w:rPr>
                <w:rFonts w:ascii="Verdana" w:hAnsi="Verdana" w:cs="Arial"/>
                <w:lang w:val="es-ES" w:eastAsia="es-ES_tradnl"/>
              </w:rPr>
              <w:t>e</w:t>
            </w:r>
            <w:r w:rsidRPr="00B31E45">
              <w:rPr>
                <w:rFonts w:ascii="Verdana" w:hAnsi="Verdana" w:cs="Arial"/>
                <w:lang w:val="es-ES" w:eastAsia="es-ES_tradnl"/>
              </w:rPr>
              <w:t xml:space="preserve">l empleador podrá contratar la realización de las evaluaciones médicas ocupacionales con </w:t>
            </w:r>
            <w:r w:rsidRPr="0017260A">
              <w:rPr>
                <w:rFonts w:ascii="Verdana" w:hAnsi="Verdana" w:cs="Arial"/>
                <w:i/>
                <w:iCs/>
                <w:lang w:val="es-ES" w:eastAsia="es-ES_tradnl"/>
              </w:rPr>
              <w:t>instituciones prestadoras de servicios de medicina</w:t>
            </w:r>
            <w:r w:rsidRPr="00B31E45">
              <w:rPr>
                <w:rFonts w:ascii="Verdana" w:hAnsi="Verdana" w:cs="Arial"/>
                <w:lang w:val="es-ES" w:eastAsia="es-ES_tradnl"/>
              </w:rPr>
              <w:t xml:space="preserve"> de seguridad y salud en el trabajo, </w:t>
            </w:r>
            <w:r>
              <w:rPr>
                <w:rFonts w:ascii="Verdana" w:hAnsi="Verdana" w:cs="Arial"/>
                <w:lang w:val="es-ES" w:eastAsia="es-ES_tradnl"/>
              </w:rPr>
              <w:t xml:space="preserve">que cuenten con dichos </w:t>
            </w:r>
            <w:r w:rsidRPr="00B31E45">
              <w:rPr>
                <w:rFonts w:ascii="Verdana" w:hAnsi="Verdana" w:cs="Arial"/>
                <w:lang w:val="es-ES" w:eastAsia="es-ES_tradnl"/>
              </w:rPr>
              <w:t>médicos especialistas</w:t>
            </w:r>
            <w:r>
              <w:rPr>
                <w:rFonts w:ascii="Verdana" w:hAnsi="Verdana" w:cs="Arial"/>
                <w:lang w:eastAsia="es-ES_tradnl"/>
              </w:rPr>
              <w:t xml:space="preserve"> </w:t>
            </w:r>
            <w:r>
              <w:rPr>
                <w:rFonts w:ascii="Verdana" w:hAnsi="Verdana" w:cs="Arial"/>
                <w:lang w:eastAsia="es-ES_tradnl"/>
              </w:rPr>
              <w:lastRenderedPageBreak/>
              <w:t xml:space="preserve">o, directamente, </w:t>
            </w:r>
            <w:r w:rsidRPr="00B31E45">
              <w:rPr>
                <w:rFonts w:ascii="Verdana" w:hAnsi="Verdana" w:cs="Arial"/>
                <w:lang w:val="es-ES" w:eastAsia="es-ES_tradnl"/>
              </w:rPr>
              <w:t xml:space="preserve">con </w:t>
            </w:r>
            <w:r>
              <w:rPr>
                <w:rFonts w:ascii="Verdana" w:hAnsi="Verdana" w:cs="Arial"/>
                <w:lang w:val="es-ES" w:eastAsia="es-ES_tradnl"/>
              </w:rPr>
              <w:t xml:space="preserve">los </w:t>
            </w:r>
            <w:r w:rsidRPr="00B31E45">
              <w:rPr>
                <w:rFonts w:ascii="Verdana" w:hAnsi="Verdana" w:cs="Arial"/>
                <w:lang w:val="es-ES" w:eastAsia="es-ES_tradnl"/>
              </w:rPr>
              <w:t xml:space="preserve">médicos especialistas en </w:t>
            </w:r>
            <w:r>
              <w:rPr>
                <w:rFonts w:ascii="Verdana" w:hAnsi="Verdana" w:cs="Arial"/>
                <w:lang w:val="es-ES" w:eastAsia="es-ES_tradnl"/>
              </w:rPr>
              <w:t>m</w:t>
            </w:r>
            <w:r w:rsidRPr="00B31E45">
              <w:rPr>
                <w:rFonts w:ascii="Verdana" w:hAnsi="Verdana" w:cs="Arial"/>
                <w:lang w:val="es-ES" w:eastAsia="es-ES_tradnl"/>
              </w:rPr>
              <w:t xml:space="preserve">edicina del </w:t>
            </w:r>
            <w:r>
              <w:rPr>
                <w:rFonts w:ascii="Verdana" w:hAnsi="Verdana" w:cs="Arial"/>
                <w:lang w:val="es-ES" w:eastAsia="es-ES_tradnl"/>
              </w:rPr>
              <w:t>t</w:t>
            </w:r>
            <w:r w:rsidRPr="00B31E45">
              <w:rPr>
                <w:rFonts w:ascii="Verdana" w:hAnsi="Verdana" w:cs="Arial"/>
                <w:lang w:val="es-ES" w:eastAsia="es-ES_tradnl"/>
              </w:rPr>
              <w:t xml:space="preserve">rabajo, </w:t>
            </w:r>
            <w:r>
              <w:rPr>
                <w:rFonts w:ascii="Verdana" w:hAnsi="Verdana" w:cs="Arial"/>
                <w:lang w:val="es-ES" w:eastAsia="es-ES_tradnl"/>
              </w:rPr>
              <w:t>s</w:t>
            </w:r>
            <w:r w:rsidRPr="00B31E45">
              <w:rPr>
                <w:rFonts w:ascii="Verdana" w:hAnsi="Verdana" w:cs="Arial"/>
                <w:lang w:val="es-ES" w:eastAsia="es-ES_tradnl"/>
              </w:rPr>
              <w:t xml:space="preserve">alud </w:t>
            </w:r>
            <w:r>
              <w:rPr>
                <w:rFonts w:ascii="Verdana" w:hAnsi="Verdana" w:cs="Arial"/>
                <w:lang w:val="es-ES" w:eastAsia="es-ES_tradnl"/>
              </w:rPr>
              <w:t>o</w:t>
            </w:r>
            <w:r w:rsidRPr="00B31E45">
              <w:rPr>
                <w:rFonts w:ascii="Verdana" w:hAnsi="Verdana" w:cs="Arial"/>
                <w:lang w:val="es-ES" w:eastAsia="es-ES_tradnl"/>
              </w:rPr>
              <w:t xml:space="preserve">cupacional o </w:t>
            </w:r>
            <w:r>
              <w:rPr>
                <w:rFonts w:ascii="Verdana" w:hAnsi="Verdana" w:cs="Arial"/>
                <w:lang w:val="es-ES" w:eastAsia="es-ES_tradnl"/>
              </w:rPr>
              <w:t>s</w:t>
            </w:r>
            <w:r w:rsidRPr="00B31E45">
              <w:rPr>
                <w:rFonts w:ascii="Verdana" w:hAnsi="Verdana" w:cs="Arial"/>
                <w:lang w:val="es-ES" w:eastAsia="es-ES_tradnl"/>
              </w:rPr>
              <w:t xml:space="preserve">eguridad y </w:t>
            </w:r>
            <w:r>
              <w:rPr>
                <w:rFonts w:ascii="Verdana" w:hAnsi="Verdana" w:cs="Arial"/>
                <w:lang w:val="es-ES" w:eastAsia="es-ES_tradnl"/>
              </w:rPr>
              <w:t>s</w:t>
            </w:r>
            <w:r w:rsidRPr="00B31E45">
              <w:rPr>
                <w:rFonts w:ascii="Verdana" w:hAnsi="Verdana" w:cs="Arial"/>
                <w:lang w:val="es-ES" w:eastAsia="es-ES_tradnl"/>
              </w:rPr>
              <w:t>alud en el Trabajo, con licencia vigente</w:t>
            </w:r>
            <w:r>
              <w:rPr>
                <w:rFonts w:ascii="Verdana" w:hAnsi="Verdana" w:cs="Arial"/>
                <w:lang w:val="es-ES" w:eastAsia="es-ES_tradnl"/>
              </w:rPr>
              <w:t>.</w:t>
            </w:r>
          </w:p>
          <w:p w14:paraId="3E535E47" w14:textId="77777777" w:rsidR="00095BA4" w:rsidRPr="00AA5F72" w:rsidRDefault="00095BA4" w:rsidP="00574C7C">
            <w:pPr>
              <w:shd w:val="clear" w:color="auto" w:fill="FFFFFF"/>
              <w:spacing w:before="120" w:after="120" w:line="276" w:lineRule="auto"/>
              <w:ind w:firstLine="708"/>
              <w:jc w:val="both"/>
              <w:rPr>
                <w:rFonts w:ascii="Verdana" w:eastAsia="Times New Roman" w:hAnsi="Verdana" w:cs="Arial"/>
                <w:b/>
                <w:bCs/>
                <w:color w:val="000000" w:themeColor="text1"/>
                <w:lang w:val="es-ES" w:eastAsia="es-CO"/>
              </w:rPr>
            </w:pPr>
            <w:r w:rsidRPr="00AA5F72">
              <w:rPr>
                <w:rFonts w:ascii="Verdana" w:hAnsi="Verdana" w:cs="Arial"/>
                <w:color w:val="000000" w:themeColor="text1"/>
                <w:lang w:val="es-ES" w:eastAsia="es-CO"/>
              </w:rPr>
              <w:t>En efecto, e</w:t>
            </w:r>
            <w:r w:rsidRPr="00AA5F72">
              <w:rPr>
                <w:rFonts w:ascii="Verdana" w:eastAsia="Times New Roman" w:hAnsi="Verdana" w:cs="Arial"/>
                <w:color w:val="000000" w:themeColor="text1"/>
                <w:lang w:val="es-ES" w:eastAsia="es-CO"/>
              </w:rPr>
              <w:t>l examen médico pre</w:t>
            </w:r>
            <w:r w:rsidRPr="00AA5F72">
              <w:rPr>
                <w:rFonts w:ascii="Verdana" w:hAnsi="Verdana" w:cs="Arial"/>
                <w:color w:val="000000" w:themeColor="text1"/>
                <w:lang w:val="es-ES" w:eastAsia="es-CO"/>
              </w:rPr>
              <w:t>-</w:t>
            </w:r>
            <w:r w:rsidRPr="00AA5F72">
              <w:rPr>
                <w:rFonts w:ascii="Verdana" w:eastAsia="Times New Roman" w:hAnsi="Verdana" w:cs="Arial"/>
                <w:color w:val="000000" w:themeColor="text1"/>
                <w:lang w:val="es-ES" w:eastAsia="es-CO"/>
              </w:rPr>
              <w:t>ocupacional es un acto médico en el que se determinan las condiciones de salud, física, mental y social de quien va a contratar con una entidad pública. Este examen deberá practicarse antes de la suscripción del contrato y en él se interrogan las condiciones de salud del futuro contratista en función de las obligaciones contractuales que se van a ejecutar y el factor de riesgo del contrato</w:t>
            </w:r>
            <w:r w:rsidRPr="00AA5F72">
              <w:rPr>
                <w:rStyle w:val="Refdenotaalpie"/>
                <w:rFonts w:ascii="Verdana" w:eastAsia="Times New Roman" w:hAnsi="Verdana" w:cs="Arial"/>
                <w:color w:val="000000" w:themeColor="text1"/>
                <w:lang w:val="es-ES" w:eastAsia="es-CO"/>
              </w:rPr>
              <w:footnoteReference w:id="2"/>
            </w:r>
            <w:r w:rsidRPr="00AA5F72">
              <w:rPr>
                <w:rFonts w:ascii="Verdana" w:eastAsia="Times New Roman" w:hAnsi="Verdana" w:cs="Arial"/>
                <w:color w:val="000000" w:themeColor="text1"/>
                <w:lang w:val="es-ES" w:eastAsia="es-CO"/>
              </w:rPr>
              <w:t>. La finalidad de este examen consiste en determinar la aptitud del contratista para el ejercicio de las obligaciones del contrato y conocer las restricciones de salud que ameriten adoptar alguna medida administrativa en ejercicio del contrato.</w:t>
            </w:r>
          </w:p>
          <w:p w14:paraId="1F54AFD9" w14:textId="0B6E67C2" w:rsidR="00095BA4" w:rsidRPr="00904C79" w:rsidRDefault="00D3279D" w:rsidP="00574C7C">
            <w:pPr>
              <w:spacing w:after="120" w:line="276" w:lineRule="auto"/>
              <w:ind w:firstLine="709"/>
              <w:jc w:val="both"/>
              <w:rPr>
                <w:rFonts w:ascii="Verdana" w:eastAsia="Times New Roman" w:hAnsi="Verdana" w:cs="Arial"/>
                <w:lang w:val="es-ES" w:eastAsia="es-ES_tradnl"/>
              </w:rPr>
            </w:pPr>
            <w:r>
              <w:rPr>
                <w:rFonts w:ascii="Verdana" w:hAnsi="Verdana" w:cs="Arial"/>
                <w:lang w:val="es-ES" w:eastAsia="es-ES_tradnl"/>
              </w:rPr>
              <w:t>Frente al segundo problema jurídico</w:t>
            </w:r>
            <w:r w:rsidR="00095BA4">
              <w:rPr>
                <w:rFonts w:ascii="Verdana" w:hAnsi="Verdana" w:cs="Arial"/>
                <w:lang w:val="es-ES" w:eastAsia="es-ES_tradnl"/>
              </w:rPr>
              <w:t xml:space="preserve">, es importante resaltar que </w:t>
            </w:r>
            <w:r w:rsidR="00095BA4" w:rsidRPr="00904C79">
              <w:rPr>
                <w:rFonts w:ascii="Verdana" w:eastAsia="Times New Roman" w:hAnsi="Verdana" w:cs="Arial"/>
                <w:lang w:val="es-ES" w:eastAsia="es-ES_tradnl"/>
              </w:rPr>
              <w:t xml:space="preserve">el RUP no es exigible en algunos Procedimientos de Contratación. De acuerdo con el inciso segundo del artículo 6 de la Ley 1150 de 2007 no se requerirá RUP en casos como la contratación directa, la mínima cuantía, </w:t>
            </w:r>
            <w:r w:rsidR="00095BA4" w:rsidRPr="00904C79">
              <w:rPr>
                <w:rFonts w:ascii="Verdana" w:eastAsia="Times New Roman" w:hAnsi="Verdana" w:cs="Arial"/>
                <w:i/>
                <w:iCs/>
                <w:lang w:val="es-ES" w:eastAsia="es-ES_tradnl"/>
              </w:rPr>
              <w:t>la prestación de servicios de salud</w:t>
            </w:r>
            <w:r w:rsidR="00095BA4" w:rsidRPr="00904C79">
              <w:rPr>
                <w:rFonts w:ascii="Verdana" w:eastAsia="Times New Roman" w:hAnsi="Verdana" w:cs="Arial"/>
                <w:lang w:val="es-ES" w:eastAsia="es-ES_tradnl"/>
              </w:rPr>
              <w:t>,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La norma señala que, en estos casos, las Entidades Estatales deben verificar directamente el cumplimiento de los requisitos habilitantes</w:t>
            </w:r>
            <w:r w:rsidR="00095BA4" w:rsidRPr="00904C79">
              <w:rPr>
                <w:rFonts w:ascii="Verdana" w:eastAsia="Times New Roman" w:hAnsi="Verdana" w:cs="Arial"/>
                <w:vertAlign w:val="superscript"/>
                <w:lang w:val="es-ES" w:eastAsia="es-ES_tradnl"/>
              </w:rPr>
              <w:footnoteReference w:id="3"/>
            </w:r>
            <w:r w:rsidR="00095BA4" w:rsidRPr="00904C79">
              <w:rPr>
                <w:rFonts w:ascii="Verdana" w:eastAsia="Times New Roman" w:hAnsi="Verdana" w:cs="Arial"/>
                <w:lang w:val="es-ES" w:eastAsia="es-ES_tradnl"/>
              </w:rPr>
              <w:t xml:space="preserve">. </w:t>
            </w:r>
          </w:p>
          <w:p w14:paraId="62CB0D3F" w14:textId="1A01C4A4" w:rsidR="00095BA4" w:rsidRPr="00AA5F72" w:rsidRDefault="00095BA4" w:rsidP="00902FC1">
            <w:pPr>
              <w:spacing w:after="120" w:line="276" w:lineRule="auto"/>
              <w:ind w:firstLine="709"/>
              <w:jc w:val="both"/>
              <w:rPr>
                <w:rFonts w:ascii="Verdana" w:eastAsia="Times New Roman" w:hAnsi="Verdana" w:cs="Arial"/>
                <w:lang w:val="es-ES" w:eastAsia="es-ES_tradnl"/>
              </w:rPr>
            </w:pPr>
            <w:r>
              <w:rPr>
                <w:rFonts w:ascii="Verdana" w:hAnsi="Verdana" w:cs="Arial"/>
                <w:lang w:val="es-ES" w:eastAsia="es-ES_tradnl"/>
              </w:rPr>
              <w:t xml:space="preserve">En consecuencia, </w:t>
            </w:r>
            <w:r w:rsidRPr="00AA5F72">
              <w:rPr>
                <w:rFonts w:ascii="Verdana" w:eastAsia="Times New Roman" w:hAnsi="Verdana" w:cs="Arial"/>
                <w:lang w:val="es-ES" w:eastAsia="es-ES_tradnl"/>
              </w:rPr>
              <w:t xml:space="preserve">cuando se trata de procesos para la prestación de servicios de salud no es exigible el RUP, por lo cual la acreditación de la experiencia no se realiza a través de este documento. En estos casos, las Entidades tienen autonomía para determinar en los Documentos del Proceso los medios a través de los cuales el proponente puede demostrar su experiencia, siempre que dichos requisitos sean proporcionales al objeto y </w:t>
            </w:r>
            <w:r w:rsidRPr="00AA5F72">
              <w:rPr>
                <w:rFonts w:ascii="Verdana" w:eastAsia="Times New Roman" w:hAnsi="Verdana" w:cs="Arial"/>
                <w:lang w:val="es-ES" w:eastAsia="es-ES_tradnl"/>
              </w:rPr>
              <w:lastRenderedPageBreak/>
              <w:t>valor del contrato y no restrinjan injustificadamente la participación. A modo de ejemplo, la experiencia se puede acreditar mediante documentos como el acta de liquidación, el acta de entrega o recibo definitivo, la certificación de cumplimiento, el acta de inicio (para efectos de determinar la fecha de inicio), o cualquier otro documento que permita verificar adecuadamente la ejecución del contrato.</w:t>
            </w:r>
            <w:r w:rsidRPr="00AA5F72">
              <w:rPr>
                <w:rFonts w:ascii="Verdana" w:hAnsi="Verdana" w:cs="Arial"/>
                <w:lang w:val="es-ES" w:eastAsia="es-ES_tradnl"/>
              </w:rPr>
              <w:t xml:space="preserve"> Sin embargo, la aplicación de esta excepción estará sujeta a que efectivamente se trate de una actividad caracterizada como la prestación del servicio de salud. Para determinar lo anterior en el caso concreto</w:t>
            </w:r>
            <w:r>
              <w:rPr>
                <w:rFonts w:ascii="Verdana" w:hAnsi="Verdana" w:cs="Arial"/>
                <w:lang w:val="es-ES" w:eastAsia="es-ES_tradnl"/>
              </w:rPr>
              <w:t>,</w:t>
            </w:r>
            <w:r w:rsidRPr="00AA5F72">
              <w:rPr>
                <w:rFonts w:ascii="Verdana" w:hAnsi="Verdana" w:cs="Arial"/>
                <w:lang w:val="es-ES" w:eastAsia="es-ES_tradnl"/>
              </w:rPr>
              <w:t xml:space="preserve"> se recomienda tener en cuenta la normativa específica que regula la materia y</w:t>
            </w:r>
            <w:r>
              <w:rPr>
                <w:rFonts w:ascii="Verdana" w:hAnsi="Verdana" w:cs="Arial"/>
                <w:lang w:val="es-ES" w:eastAsia="es-ES_tradnl"/>
              </w:rPr>
              <w:t>,</w:t>
            </w:r>
            <w:r w:rsidRPr="00AA5F72">
              <w:rPr>
                <w:rFonts w:ascii="Verdana" w:hAnsi="Verdana" w:cs="Arial"/>
                <w:lang w:val="es-ES" w:eastAsia="es-ES_tradnl"/>
              </w:rPr>
              <w:t xml:space="preserve"> en caso de duda, consultar al Ministerio de Salud y Protección Social para esclarecer el carácter de dichas actividades. </w:t>
            </w:r>
          </w:p>
          <w:p w14:paraId="22C80ED1" w14:textId="77777777" w:rsidR="00095BA4" w:rsidRPr="00AA5F72" w:rsidRDefault="00095BA4" w:rsidP="00574C7C">
            <w:pPr>
              <w:spacing w:after="120" w:line="276" w:lineRule="auto"/>
              <w:ind w:firstLine="709"/>
              <w:jc w:val="both"/>
              <w:rPr>
                <w:rFonts w:ascii="Verdana" w:eastAsia="Calibri" w:hAnsi="Verdana" w:cs="Arial"/>
                <w:color w:val="000000" w:themeColor="text1"/>
                <w:lang w:val="es-ES"/>
              </w:rPr>
            </w:pPr>
            <w:r w:rsidRPr="00AA5F72">
              <w:rPr>
                <w:rFonts w:ascii="Verdana" w:eastAsia="Calibri" w:hAnsi="Verdana" w:cs="Arial"/>
                <w:color w:val="000000" w:themeColor="text1"/>
                <w:lang w:val="es-ES"/>
              </w:rPr>
              <w:t>Finalmente debe advertirse, que el análisis para resolver problemas específicos en a un proceso de contratación determinado,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FED3519" w14:textId="77777777" w:rsidR="00095BA4" w:rsidRPr="00E76995" w:rsidRDefault="00095BA4" w:rsidP="008A325F">
            <w:pPr>
              <w:spacing w:after="120" w:line="276" w:lineRule="auto"/>
              <w:ind w:firstLine="709"/>
              <w:jc w:val="both"/>
              <w:rPr>
                <w:rFonts w:ascii="Verdana" w:eastAsia="Calibri" w:hAnsi="Verdana" w:cs="Arial"/>
                <w:color w:val="000000" w:themeColor="text1"/>
                <w:lang w:val="es-ES"/>
              </w:rPr>
            </w:pPr>
            <w:r w:rsidRPr="00AA5F72">
              <w:rPr>
                <w:rFonts w:ascii="Verdana" w:eastAsia="Calibri" w:hAnsi="Verdana" w:cs="Arial"/>
                <w:color w:val="000000" w:themeColor="text1"/>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96AFC50" w14:textId="77777777" w:rsidR="00095BA4" w:rsidRPr="00904C79" w:rsidRDefault="00095BA4" w:rsidP="00095BA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85E921C" w14:textId="77777777" w:rsidR="00095BA4" w:rsidRPr="00904C79" w:rsidRDefault="00095BA4" w:rsidP="00095B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04C79">
        <w:rPr>
          <w:rFonts w:ascii="Verdana" w:eastAsia="Century Gothic" w:hAnsi="Verdana" w:cs="Century Gothic"/>
          <w:b/>
          <w:bCs/>
          <w:color w:val="000000" w:themeColor="text1"/>
        </w:rPr>
        <w:t>Razones de la respuesta:</w:t>
      </w:r>
    </w:p>
    <w:p w14:paraId="7F17F830" w14:textId="77777777" w:rsidR="00095BA4" w:rsidRPr="00904C79" w:rsidRDefault="00095BA4" w:rsidP="00095BA4">
      <w:pPr>
        <w:spacing w:after="0" w:line="276" w:lineRule="auto"/>
        <w:jc w:val="both"/>
        <w:rPr>
          <w:rFonts w:ascii="Verdana" w:eastAsia="Calibri" w:hAnsi="Verdana" w:cs="Arial"/>
          <w:color w:val="000000" w:themeColor="text1"/>
          <w:lang w:val="es-ES"/>
        </w:rPr>
      </w:pPr>
    </w:p>
    <w:p w14:paraId="5599363B" w14:textId="77777777" w:rsidR="00095BA4" w:rsidRPr="00904C79" w:rsidRDefault="00095BA4" w:rsidP="00095BA4">
      <w:pPr>
        <w:spacing w:after="0" w:line="276" w:lineRule="auto"/>
        <w:jc w:val="both"/>
        <w:rPr>
          <w:rFonts w:ascii="Verdana" w:eastAsia="Calibri" w:hAnsi="Verdana" w:cs="Arial"/>
          <w:color w:val="000000" w:themeColor="text1"/>
          <w:lang w:val="es-ES"/>
        </w:rPr>
      </w:pPr>
      <w:r w:rsidRPr="00904C79">
        <w:rPr>
          <w:rFonts w:ascii="Verdana" w:eastAsia="Calibri" w:hAnsi="Verdana" w:cs="Arial"/>
          <w:color w:val="000000" w:themeColor="text1"/>
          <w:lang w:val="es-ES"/>
        </w:rPr>
        <w:t xml:space="preserve">Lo anterior se sustenta en las siguientes consideraciones: </w:t>
      </w:r>
    </w:p>
    <w:p w14:paraId="71C26BBE" w14:textId="77777777" w:rsidR="00095BA4" w:rsidRPr="00904C79" w:rsidRDefault="00095BA4" w:rsidP="00095BA4">
      <w:pPr>
        <w:spacing w:after="0" w:line="276" w:lineRule="auto"/>
        <w:jc w:val="both"/>
        <w:rPr>
          <w:rFonts w:ascii="Verdana" w:eastAsia="Calibri" w:hAnsi="Verdana" w:cs="Arial"/>
          <w:color w:val="000000" w:themeColor="text1"/>
          <w:lang w:val="es-ES"/>
        </w:rPr>
      </w:pPr>
    </w:p>
    <w:p w14:paraId="4AAC50F5" w14:textId="77777777" w:rsidR="00095BA4" w:rsidRPr="00904C79" w:rsidRDefault="00095BA4" w:rsidP="00095BA4">
      <w:pPr>
        <w:spacing w:after="120" w:line="276" w:lineRule="auto"/>
        <w:jc w:val="both"/>
        <w:rPr>
          <w:rFonts w:ascii="Verdana" w:hAnsi="Verdana" w:cs="Arial"/>
          <w:color w:val="000000" w:themeColor="text1"/>
          <w:lang w:val="es-ES"/>
        </w:rPr>
      </w:pPr>
      <w:bookmarkStart w:id="2" w:name="2.2.1.1.2.1.1.5"/>
      <w:bookmarkEnd w:id="2"/>
      <w:r w:rsidRPr="00904C79">
        <w:rPr>
          <w:rFonts w:ascii="Verdana" w:hAnsi="Verdana" w:cs="Arial"/>
          <w:color w:val="000000" w:themeColor="text1"/>
          <w:lang w:val="es-ES"/>
        </w:rPr>
        <w:t xml:space="preserve">i) Los </w:t>
      </w:r>
      <w:r w:rsidRPr="00904C79">
        <w:rPr>
          <w:rFonts w:ascii="Verdana" w:hAnsi="Verdana" w:cs="Arial"/>
          <w:i/>
          <w:iCs/>
          <w:color w:val="000000" w:themeColor="text1"/>
          <w:lang w:val="es-ES"/>
        </w:rPr>
        <w:t>requisitos habilitantes</w:t>
      </w:r>
      <w:r w:rsidRPr="00904C79">
        <w:rPr>
          <w:rFonts w:ascii="Verdana" w:hAnsi="Verdana" w:cs="Arial"/>
          <w:color w:val="000000" w:themeColor="text1"/>
          <w:lang w:val="es-ES"/>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w:t>
      </w:r>
      <w:r w:rsidRPr="00904C79">
        <w:rPr>
          <w:rFonts w:ascii="Verdana" w:hAnsi="Verdana" w:cs="Arial"/>
          <w:color w:val="000000" w:themeColor="text1"/>
          <w:lang w:val="es-ES"/>
        </w:rPr>
        <w:lastRenderedPageBreak/>
        <w:t xml:space="preserve">documento equivalente a este. Se diferencian de los </w:t>
      </w:r>
      <w:r w:rsidRPr="00904C79">
        <w:rPr>
          <w:rFonts w:ascii="Verdana" w:hAnsi="Verdana" w:cs="Arial"/>
          <w:i/>
          <w:iCs/>
          <w:color w:val="000000" w:themeColor="text1"/>
          <w:lang w:val="es-ES"/>
        </w:rPr>
        <w:t>criterios de evaluación</w:t>
      </w:r>
      <w:r w:rsidRPr="00904C79">
        <w:rPr>
          <w:rFonts w:ascii="Verdana" w:hAnsi="Verdana" w:cs="Arial"/>
          <w:color w:val="000000" w:themeColor="text1"/>
          <w:lang w:val="es-ES"/>
        </w:rPr>
        <w:t xml:space="preserve"> –también conocidos como </w:t>
      </w:r>
      <w:r w:rsidRPr="00904C79">
        <w:rPr>
          <w:rFonts w:ascii="Verdana" w:hAnsi="Verdana" w:cs="Arial"/>
          <w:i/>
          <w:iCs/>
          <w:color w:val="000000" w:themeColor="text1"/>
          <w:lang w:val="es-ES"/>
        </w:rPr>
        <w:t>criterios de calificación</w:t>
      </w:r>
      <w:r w:rsidRPr="00904C79">
        <w:rPr>
          <w:rFonts w:ascii="Verdana" w:hAnsi="Verdana" w:cs="Arial"/>
          <w:color w:val="000000" w:themeColor="text1"/>
          <w:lang w:val="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4FAAA770" w14:textId="77777777" w:rsidR="00095BA4" w:rsidRPr="00904C79" w:rsidRDefault="00095BA4" w:rsidP="00095BA4">
      <w:pPr>
        <w:spacing w:after="120" w:line="276" w:lineRule="auto"/>
        <w:ind w:firstLine="708"/>
        <w:jc w:val="both"/>
        <w:rPr>
          <w:rFonts w:ascii="Verdana" w:hAnsi="Verdana" w:cs="Arial"/>
          <w:color w:val="000000" w:themeColor="text1"/>
          <w:lang w:val="es-ES"/>
        </w:rPr>
      </w:pPr>
      <w:r w:rsidRPr="00904C79">
        <w:rPr>
          <w:rFonts w:ascii="Verdana" w:hAnsi="Verdana" w:cs="Arial"/>
          <w:color w:val="000000" w:themeColor="text1"/>
          <w:lang w:val="es-ES"/>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60E644C2" w14:textId="77777777" w:rsidR="00095BA4" w:rsidRPr="00904C79" w:rsidRDefault="00095BA4" w:rsidP="00095BA4">
      <w:pPr>
        <w:spacing w:after="120" w:line="276" w:lineRule="auto"/>
        <w:ind w:firstLine="708"/>
        <w:jc w:val="both"/>
        <w:rPr>
          <w:rFonts w:ascii="Verdana" w:hAnsi="Verdana" w:cs="Arial"/>
          <w:color w:val="000000" w:themeColor="text1"/>
          <w:lang w:val="es-ES"/>
        </w:rPr>
      </w:pPr>
      <w:r w:rsidRPr="00904C79">
        <w:rPr>
          <w:rFonts w:ascii="Verdana" w:hAnsi="Verdana" w:cs="Arial"/>
          <w:color w:val="000000" w:themeColor="text1"/>
          <w:lang w:val="es-ES"/>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904C79">
        <w:rPr>
          <w:rFonts w:ascii="Verdana" w:hAnsi="Verdana" w:cs="Arial"/>
          <w:i/>
          <w:iCs/>
          <w:color w:val="000000" w:themeColor="text1"/>
          <w:lang w:val="es-ES"/>
        </w:rPr>
        <w:t>.</w:t>
      </w:r>
      <w:r w:rsidRPr="00904C79">
        <w:rPr>
          <w:rFonts w:ascii="Verdana" w:hAnsi="Verdana" w:cs="Arial"/>
          <w:color w:val="000000" w:themeColor="text1"/>
          <w:lang w:val="es-ES"/>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7CE8B4D8" w14:textId="77777777" w:rsidR="00095BA4" w:rsidRPr="00904C79" w:rsidRDefault="00095BA4" w:rsidP="00095BA4">
      <w:pPr>
        <w:spacing w:after="0" w:line="276" w:lineRule="auto"/>
        <w:ind w:firstLine="708"/>
        <w:jc w:val="both"/>
        <w:rPr>
          <w:rFonts w:ascii="Verdana" w:hAnsi="Verdana" w:cs="Arial"/>
          <w:color w:val="000000" w:themeColor="text1"/>
          <w:lang w:val="es-ES"/>
        </w:rPr>
      </w:pPr>
      <w:r w:rsidRPr="00904C79">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00904C79">
        <w:rPr>
          <w:rFonts w:ascii="Verdana" w:hAnsi="Verdana" w:cs="Arial"/>
          <w:i/>
          <w:color w:val="000000" w:themeColor="text1"/>
          <w:lang w:val="es-ES"/>
        </w:rPr>
        <w:t>entre otros</w:t>
      </w:r>
      <w:r w:rsidRPr="00904C79">
        <w:rPr>
          <w:rFonts w:ascii="Verdana" w:hAnsi="Verdana" w:cs="Arial"/>
          <w:color w:val="000000" w:themeColor="text1"/>
          <w:lang w:val="es-ES"/>
        </w:rPr>
        <w:t xml:space="preserve">, los siguientes: i) la capacidad jurídica; </w:t>
      </w:r>
      <w:proofErr w:type="spellStart"/>
      <w:r w:rsidRPr="00904C79">
        <w:rPr>
          <w:rFonts w:ascii="Verdana" w:hAnsi="Verdana" w:cs="Arial"/>
          <w:color w:val="000000" w:themeColor="text1"/>
          <w:lang w:val="es-ES"/>
        </w:rPr>
        <w:t>ii</w:t>
      </w:r>
      <w:proofErr w:type="spellEnd"/>
      <w:r w:rsidRPr="00904C79">
        <w:rPr>
          <w:rFonts w:ascii="Verdana" w:hAnsi="Verdana" w:cs="Arial"/>
          <w:color w:val="000000" w:themeColor="text1"/>
          <w:lang w:val="es-ES"/>
        </w:rPr>
        <w:t xml:space="preserve">) la experiencia – a la que se refiere en su consulta; </w:t>
      </w:r>
      <w:proofErr w:type="spellStart"/>
      <w:r w:rsidRPr="00904C79">
        <w:rPr>
          <w:rFonts w:ascii="Verdana" w:hAnsi="Verdana" w:cs="Arial"/>
          <w:color w:val="000000" w:themeColor="text1"/>
          <w:lang w:val="es-ES"/>
        </w:rPr>
        <w:t>iii</w:t>
      </w:r>
      <w:proofErr w:type="spellEnd"/>
      <w:r w:rsidRPr="00904C79">
        <w:rPr>
          <w:rFonts w:ascii="Verdana" w:hAnsi="Verdana" w:cs="Arial"/>
          <w:color w:val="000000" w:themeColor="text1"/>
          <w:lang w:val="es-ES"/>
        </w:rPr>
        <w:t xml:space="preserve">) la capacidad financiera y </w:t>
      </w:r>
      <w:proofErr w:type="spellStart"/>
      <w:r w:rsidRPr="00904C79">
        <w:rPr>
          <w:rFonts w:ascii="Verdana" w:hAnsi="Verdana" w:cs="Arial"/>
          <w:color w:val="000000" w:themeColor="text1"/>
          <w:lang w:val="es-ES"/>
        </w:rPr>
        <w:t>iv</w:t>
      </w:r>
      <w:proofErr w:type="spellEnd"/>
      <w:r w:rsidRPr="00904C79">
        <w:rPr>
          <w:rFonts w:ascii="Verdana" w:hAnsi="Verdana" w:cs="Arial"/>
          <w:color w:val="000000" w:themeColor="text1"/>
          <w:lang w:val="es-ES"/>
        </w:rPr>
        <w:t xml:space="preserve">) la capacidad de organización. En efecto, la normativa citada prescribe lo siguiente: </w:t>
      </w:r>
    </w:p>
    <w:p w14:paraId="066EB1AB" w14:textId="77777777" w:rsidR="00095BA4" w:rsidRPr="00904C79" w:rsidRDefault="00095BA4" w:rsidP="00095BA4">
      <w:pPr>
        <w:spacing w:after="0" w:line="276" w:lineRule="auto"/>
        <w:ind w:firstLine="708"/>
        <w:jc w:val="both"/>
        <w:rPr>
          <w:rFonts w:ascii="Verdana" w:hAnsi="Verdana" w:cs="Arial"/>
          <w:color w:val="000000" w:themeColor="text1"/>
          <w:lang w:val="es-ES"/>
        </w:rPr>
      </w:pPr>
    </w:p>
    <w:p w14:paraId="5FA28F83" w14:textId="77777777" w:rsidR="00095BA4" w:rsidRPr="00904C79" w:rsidRDefault="00095BA4" w:rsidP="00095BA4">
      <w:pPr>
        <w:spacing w:after="0" w:line="240" w:lineRule="auto"/>
        <w:ind w:left="709" w:right="709"/>
        <w:rPr>
          <w:rFonts w:ascii="Verdana" w:hAnsi="Verdana" w:cs="Arial"/>
          <w:color w:val="000000" w:themeColor="text1"/>
          <w:sz w:val="21"/>
          <w:szCs w:val="21"/>
          <w:lang w:val="es-ES"/>
        </w:rPr>
      </w:pPr>
      <w:r w:rsidRPr="00904C79">
        <w:rPr>
          <w:rFonts w:ascii="Verdana" w:hAnsi="Verdana" w:cs="Arial"/>
          <w:i/>
          <w:color w:val="000000" w:themeColor="text1"/>
          <w:sz w:val="21"/>
          <w:szCs w:val="21"/>
          <w:lang w:val="es-ES"/>
        </w:rPr>
        <w:t>“</w:t>
      </w:r>
      <w:r w:rsidRPr="00904C79">
        <w:rPr>
          <w:rFonts w:ascii="Verdana" w:hAnsi="Verdana" w:cs="Arial"/>
          <w:color w:val="000000" w:themeColor="text1"/>
          <w:sz w:val="21"/>
          <w:szCs w:val="21"/>
          <w:lang w:val="es-ES"/>
        </w:rPr>
        <w:t xml:space="preserve">Artículo 5. De la Selección Objetiva. </w:t>
      </w:r>
    </w:p>
    <w:p w14:paraId="7A687CBD" w14:textId="77777777" w:rsidR="00095BA4" w:rsidRPr="00904C79" w:rsidRDefault="00095BA4" w:rsidP="00095BA4">
      <w:pPr>
        <w:spacing w:after="0" w:line="240" w:lineRule="auto"/>
        <w:ind w:left="709" w:right="709"/>
        <w:rPr>
          <w:rFonts w:ascii="Verdana" w:hAnsi="Verdana" w:cs="Arial"/>
          <w:color w:val="000000" w:themeColor="text1"/>
          <w:sz w:val="21"/>
          <w:szCs w:val="21"/>
          <w:lang w:val="es-ES"/>
        </w:rPr>
      </w:pPr>
      <w:r w:rsidRPr="00904C79">
        <w:rPr>
          <w:rFonts w:ascii="Verdana" w:hAnsi="Verdana" w:cs="Arial"/>
          <w:color w:val="000000" w:themeColor="text1"/>
          <w:sz w:val="21"/>
          <w:szCs w:val="21"/>
          <w:lang w:val="es-ES"/>
        </w:rPr>
        <w:t>[…]</w:t>
      </w:r>
    </w:p>
    <w:p w14:paraId="15864AEF" w14:textId="77777777" w:rsidR="00095BA4" w:rsidRPr="00904C79" w:rsidRDefault="00095BA4" w:rsidP="00095BA4">
      <w:pPr>
        <w:pStyle w:val="Prrafodelista"/>
        <w:spacing w:after="0" w:line="240" w:lineRule="auto"/>
        <w:ind w:left="709" w:right="709"/>
        <w:jc w:val="both"/>
        <w:rPr>
          <w:rFonts w:ascii="Verdana" w:eastAsia="Calibri" w:hAnsi="Verdana" w:cs="Arial"/>
          <w:color w:val="000000" w:themeColor="text1"/>
          <w:sz w:val="21"/>
          <w:szCs w:val="21"/>
        </w:rPr>
      </w:pPr>
      <w:r w:rsidRPr="00904C79">
        <w:rPr>
          <w:rFonts w:ascii="Verdana" w:eastAsia="Calibri" w:hAnsi="Verdana" w:cs="Arial"/>
          <w:color w:val="000000" w:themeColor="text1"/>
          <w:sz w:val="21"/>
          <w:szCs w:val="21"/>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w:t>
      </w:r>
      <w:r w:rsidRPr="00904C79">
        <w:rPr>
          <w:rFonts w:ascii="Verdana" w:eastAsia="Calibri" w:hAnsi="Verdana" w:cs="Arial"/>
          <w:color w:val="000000" w:themeColor="text1"/>
          <w:sz w:val="21"/>
          <w:szCs w:val="21"/>
        </w:rPr>
        <w:lastRenderedPageBreak/>
        <w:t>Cámaras de Comercio de conformidad con lo establecido en el artículo 6 de la presente ley, de acuerdo con lo cual se expedirá la respectiva certificación</w:t>
      </w:r>
      <w:r w:rsidRPr="00904C79">
        <w:rPr>
          <w:rFonts w:ascii="Verdana" w:eastAsia="Calibri" w:hAnsi="Verdana" w:cs="Arial"/>
          <w:i/>
          <w:color w:val="000000" w:themeColor="text1"/>
          <w:sz w:val="21"/>
          <w:szCs w:val="21"/>
        </w:rPr>
        <w:t>”</w:t>
      </w:r>
      <w:r w:rsidRPr="00904C79">
        <w:rPr>
          <w:rFonts w:ascii="Verdana" w:eastAsia="Calibri" w:hAnsi="Verdana" w:cs="Arial"/>
          <w:color w:val="000000" w:themeColor="text1"/>
          <w:sz w:val="21"/>
          <w:szCs w:val="21"/>
        </w:rPr>
        <w:t>.</w:t>
      </w:r>
    </w:p>
    <w:p w14:paraId="5BF5786E" w14:textId="77777777" w:rsidR="00095BA4" w:rsidRPr="00904C79" w:rsidRDefault="00095BA4" w:rsidP="00095BA4">
      <w:pPr>
        <w:spacing w:after="0" w:line="276" w:lineRule="auto"/>
        <w:jc w:val="both"/>
        <w:rPr>
          <w:rFonts w:ascii="Verdana" w:hAnsi="Verdana" w:cs="Arial"/>
          <w:color w:val="000000" w:themeColor="text1"/>
          <w:lang w:val="es-ES"/>
        </w:rPr>
      </w:pPr>
    </w:p>
    <w:p w14:paraId="731A0A58" w14:textId="77777777" w:rsidR="00095BA4" w:rsidRPr="00904C79" w:rsidRDefault="00095BA4" w:rsidP="00095BA4">
      <w:pPr>
        <w:spacing w:after="0" w:line="276" w:lineRule="auto"/>
        <w:ind w:firstLine="708"/>
        <w:jc w:val="both"/>
        <w:rPr>
          <w:rFonts w:ascii="Verdana" w:eastAsia="Times New Roman" w:hAnsi="Verdana" w:cs="Arial"/>
          <w:lang w:val="es-ES" w:eastAsia="es-ES_tradnl"/>
        </w:rPr>
      </w:pPr>
      <w:r w:rsidRPr="00904C79">
        <w:rPr>
          <w:rFonts w:ascii="Verdana" w:hAnsi="Verdana" w:cs="Arial"/>
          <w:color w:val="000000" w:themeColor="text1"/>
          <w:lang w:val="es-ES"/>
        </w:rPr>
        <w:t xml:space="preserve">Por otro lado, </w:t>
      </w:r>
      <w:r w:rsidRPr="00904C79">
        <w:rPr>
          <w:rFonts w:ascii="Verdana" w:eastAsia="Calibri" w:hAnsi="Verdana" w:cs="Arial"/>
          <w:lang w:val="es-ES" w:eastAsia="es-MX"/>
        </w:rPr>
        <w:t>e</w:t>
      </w:r>
      <w:r w:rsidRPr="00904C79">
        <w:rPr>
          <w:rFonts w:ascii="Verdana" w:eastAsia="Times New Roman" w:hAnsi="Verdana" w:cs="Arial"/>
          <w:lang w:val="es-ES" w:eastAsia="es-ES_tradnl"/>
        </w:rPr>
        <w:t xml:space="preserve">l </w:t>
      </w:r>
      <w:r w:rsidRPr="00904C79">
        <w:rPr>
          <w:rFonts w:ascii="Verdana" w:eastAsia="Times New Roman" w:hAnsi="Verdana" w:cs="Arial"/>
          <w:i/>
          <w:iCs/>
          <w:lang w:val="es-ES" w:eastAsia="es-ES_tradnl"/>
        </w:rPr>
        <w:t>RUP</w:t>
      </w:r>
      <w:r w:rsidRPr="00904C79">
        <w:rPr>
          <w:rFonts w:ascii="Verdana" w:eastAsia="Times New Roman" w:hAnsi="Verdana" w:cs="Arial"/>
          <w:lang w:val="es-ES" w:eastAsia="es-ES_tradnl"/>
        </w:rPr>
        <w:t xml:space="preserve"> como instrumento en el que consta la información relacionada con las personas naturales y jurídicas, tiene por objeto contemplar en un único documento la información relativa a la capacidad jurídica, técnica, financiera y organizacional de los posibles proponentes, con el fin de que puedan participar en los Procedimientos de Contratación realizados por las Entidades Estatales. El Consejo de Estado definió la naturaleza y finalidad del RUP de la siguiente forma:</w:t>
      </w:r>
    </w:p>
    <w:p w14:paraId="490BD1DF" w14:textId="77777777" w:rsidR="00095BA4" w:rsidRPr="00904C79" w:rsidRDefault="00095BA4" w:rsidP="00095BA4">
      <w:pPr>
        <w:spacing w:after="0" w:line="276" w:lineRule="auto"/>
        <w:ind w:right="426"/>
        <w:rPr>
          <w:rFonts w:ascii="Verdana" w:eastAsia="Times New Roman" w:hAnsi="Verdana" w:cs="Arial"/>
          <w:lang w:val="es-ES" w:eastAsia="es-ES_tradnl"/>
        </w:rPr>
      </w:pPr>
    </w:p>
    <w:p w14:paraId="657F343F" w14:textId="77777777" w:rsidR="00095BA4" w:rsidRPr="00904C79" w:rsidRDefault="00095BA4" w:rsidP="00095BA4">
      <w:pPr>
        <w:tabs>
          <w:tab w:val="left" w:pos="8505"/>
        </w:tabs>
        <w:spacing w:after="0" w:line="240" w:lineRule="auto"/>
        <w:ind w:left="709" w:right="709"/>
        <w:contextualSpacing/>
        <w:jc w:val="both"/>
        <w:rPr>
          <w:rFonts w:ascii="Verdana" w:eastAsia="Times New Roman" w:hAnsi="Verdana" w:cs="Arial"/>
          <w:sz w:val="21"/>
          <w:szCs w:val="21"/>
          <w:lang w:val="es-ES" w:eastAsia="es-ES_tradnl"/>
        </w:rPr>
      </w:pPr>
      <w:r w:rsidRPr="00904C79">
        <w:rPr>
          <w:rFonts w:ascii="Verdana" w:eastAsia="Times New Roman" w:hAnsi="Verdana" w:cs="Arial"/>
          <w:sz w:val="21"/>
          <w:szCs w:val="21"/>
          <w:lang w:val="es-ES" w:eastAsia="es-ES_tradnl"/>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904C79">
        <w:rPr>
          <w:rFonts w:ascii="Verdana" w:eastAsia="Times New Roman" w:hAnsi="Verdana" w:cs="Arial"/>
          <w:sz w:val="21"/>
          <w:szCs w:val="21"/>
          <w:vertAlign w:val="superscript"/>
          <w:lang w:val="es-ES" w:eastAsia="es-ES_tradnl"/>
        </w:rPr>
        <w:footnoteReference w:id="4"/>
      </w:r>
      <w:r w:rsidRPr="00904C79">
        <w:rPr>
          <w:rFonts w:ascii="Verdana" w:eastAsia="Times New Roman" w:hAnsi="Verdana" w:cs="Arial"/>
          <w:sz w:val="21"/>
          <w:szCs w:val="21"/>
          <w:lang w:val="es-ES" w:eastAsia="es-ES_tradnl"/>
        </w:rPr>
        <w:t>.</w:t>
      </w:r>
    </w:p>
    <w:p w14:paraId="5C0445BA" w14:textId="77777777" w:rsidR="00095BA4" w:rsidRPr="00904C79" w:rsidRDefault="00095BA4" w:rsidP="00095BA4">
      <w:pPr>
        <w:spacing w:after="0" w:line="276" w:lineRule="auto"/>
        <w:contextualSpacing/>
        <w:jc w:val="both"/>
        <w:rPr>
          <w:rFonts w:ascii="Verdana" w:eastAsia="Times New Roman" w:hAnsi="Verdana" w:cs="Arial"/>
          <w:lang w:val="es-ES" w:eastAsia="es-ES_tradnl"/>
        </w:rPr>
      </w:pPr>
    </w:p>
    <w:p w14:paraId="2AF3DF8A" w14:textId="77777777" w:rsidR="00095BA4" w:rsidRPr="00904C79" w:rsidRDefault="00095BA4" w:rsidP="00095BA4">
      <w:pPr>
        <w:spacing w:after="120" w:line="276" w:lineRule="auto"/>
        <w:ind w:firstLine="709"/>
        <w:jc w:val="both"/>
        <w:rPr>
          <w:rFonts w:ascii="Verdana" w:eastAsia="Times New Roman" w:hAnsi="Verdana" w:cs="Arial"/>
          <w:lang w:val="es-ES" w:eastAsia="es-ES_tradnl"/>
        </w:rPr>
      </w:pPr>
      <w:r w:rsidRPr="00904C79">
        <w:rPr>
          <w:rFonts w:ascii="Verdana" w:eastAsia="Times New Roman" w:hAnsi="Verdana" w:cs="Arial"/>
          <w:lang w:val="es-ES" w:eastAsia="es-ES_tradnl"/>
        </w:rPr>
        <w:t>El artículo 6.1 de la Ley 1150 de 2007 dispone que el RUP es plena prueba de la información que contiene</w:t>
      </w:r>
      <w:r w:rsidRPr="00904C79">
        <w:rPr>
          <w:rFonts w:ascii="Verdana" w:eastAsia="Times New Roman" w:hAnsi="Verdana" w:cs="Arial"/>
          <w:vertAlign w:val="superscript"/>
          <w:lang w:val="es-ES" w:eastAsia="es-ES_tradnl"/>
        </w:rPr>
        <w:footnoteReference w:id="5"/>
      </w:r>
      <w:r w:rsidRPr="00904C79">
        <w:rPr>
          <w:rFonts w:ascii="Verdana" w:eastAsia="Times New Roman" w:hAnsi="Verdana" w:cs="Arial"/>
          <w:lang w:val="es-ES" w:eastAsia="es-ES_tradnl"/>
        </w:rPr>
        <w:t xml:space="preserve">. Por su parte, el artículo 5.1, al fijar los criterios que deben tener en cuenta las Entidades Estatales para garantizar la selección objetiva, dispone que las cámaras de comercio verificarán la información </w:t>
      </w:r>
      <w:r w:rsidRPr="00904C79">
        <w:rPr>
          <w:rFonts w:ascii="Verdana" w:eastAsia="Times New Roman" w:hAnsi="Verdana" w:cs="Arial"/>
          <w:lang w:val="es-ES" w:eastAsia="es-ES_tradnl"/>
        </w:rPr>
        <w:lastRenderedPageBreak/>
        <w:t xml:space="preserve">suministrada por las personas naturales o jurídicas para la inscripción en el registro. Esta información debe tenerse en cuenta por parte de las Entidades Estatales en los Procedimientos de Contratación en los que es exigible el RUP. </w:t>
      </w:r>
      <w:r w:rsidRPr="00904C79">
        <w:rPr>
          <w:rFonts w:ascii="Verdana" w:hAnsi="Verdana" w:cs="Arial"/>
          <w:color w:val="000000" w:themeColor="text1"/>
          <w:lang w:val="es-ES"/>
        </w:rPr>
        <w:t>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904C79">
        <w:rPr>
          <w:rFonts w:ascii="Verdana" w:eastAsia="Times New Roman" w:hAnsi="Verdana" w:cs="Arial"/>
          <w:vertAlign w:val="superscript"/>
          <w:lang w:val="es-ES" w:eastAsia="es-ES_tradnl"/>
        </w:rPr>
        <w:footnoteReference w:id="6"/>
      </w:r>
      <w:r w:rsidRPr="00904C79">
        <w:rPr>
          <w:rFonts w:ascii="Verdana" w:eastAsia="Times New Roman" w:hAnsi="Verdana" w:cs="Arial"/>
          <w:lang w:val="es-ES" w:eastAsia="es-ES_tradnl"/>
        </w:rPr>
        <w:t xml:space="preserve">. </w:t>
      </w:r>
    </w:p>
    <w:p w14:paraId="68D38B58" w14:textId="77777777" w:rsidR="00095BA4" w:rsidRPr="00904C79" w:rsidRDefault="00095BA4" w:rsidP="00095BA4">
      <w:pPr>
        <w:spacing w:after="120" w:line="276" w:lineRule="auto"/>
        <w:ind w:firstLine="709"/>
        <w:jc w:val="both"/>
        <w:rPr>
          <w:rFonts w:ascii="Verdana" w:eastAsia="Times New Roman" w:hAnsi="Verdana" w:cs="Arial"/>
          <w:lang w:val="es-ES" w:eastAsia="es-ES_tradnl"/>
        </w:rPr>
      </w:pPr>
      <w:r w:rsidRPr="00904C79">
        <w:rPr>
          <w:rFonts w:ascii="Verdana" w:eastAsia="Times New Roman" w:hAnsi="Verdana" w:cs="Arial"/>
          <w:lang w:val="es-ES" w:eastAsia="es-ES_tradnl"/>
        </w:rPr>
        <w:t xml:space="preserve">No obstante, el RUP no es exigible en algunos Procedimientos de Contratación. De acuerdo con el inciso segundo del artículo 6 de la Ley 1150 de 2007 no se requerirá RUP en casos como la contratación directa, la mínima cuantía, </w:t>
      </w:r>
      <w:r w:rsidRPr="00904C79">
        <w:rPr>
          <w:rFonts w:ascii="Verdana" w:eastAsia="Times New Roman" w:hAnsi="Verdana" w:cs="Arial"/>
          <w:i/>
          <w:iCs/>
          <w:lang w:val="es-ES" w:eastAsia="es-ES_tradnl"/>
        </w:rPr>
        <w:t>la prestación de servicios de salud</w:t>
      </w:r>
      <w:r w:rsidRPr="00904C79">
        <w:rPr>
          <w:rFonts w:ascii="Verdana" w:eastAsia="Times New Roman" w:hAnsi="Verdana" w:cs="Arial"/>
          <w:lang w:val="es-ES" w:eastAsia="es-ES_tradnl"/>
        </w:rPr>
        <w:t>,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La norma señala que, en estos casos, las Entidades Estatales deben verificar directamente el cumplimiento de los requisitos habilitantes</w:t>
      </w:r>
      <w:r w:rsidRPr="00904C79">
        <w:rPr>
          <w:rFonts w:ascii="Verdana" w:eastAsia="Times New Roman" w:hAnsi="Verdana" w:cs="Arial"/>
          <w:vertAlign w:val="superscript"/>
          <w:lang w:val="es-ES" w:eastAsia="es-ES_tradnl"/>
        </w:rPr>
        <w:footnoteReference w:id="7"/>
      </w:r>
      <w:r w:rsidRPr="00904C79">
        <w:rPr>
          <w:rFonts w:ascii="Verdana" w:eastAsia="Times New Roman" w:hAnsi="Verdana" w:cs="Arial"/>
          <w:lang w:val="es-ES" w:eastAsia="es-ES_tradnl"/>
        </w:rPr>
        <w:t xml:space="preserve">. </w:t>
      </w:r>
    </w:p>
    <w:p w14:paraId="1695A37C" w14:textId="77777777" w:rsidR="00095BA4" w:rsidRPr="00904C79" w:rsidRDefault="00095BA4" w:rsidP="00095BA4">
      <w:pPr>
        <w:spacing w:before="120" w:after="120" w:line="276" w:lineRule="auto"/>
        <w:ind w:firstLine="708"/>
        <w:jc w:val="both"/>
        <w:rPr>
          <w:rFonts w:ascii="Verdana" w:eastAsia="Times New Roman" w:hAnsi="Verdana" w:cs="Arial"/>
          <w:lang w:val="es-ES" w:eastAsia="es-ES_tradnl"/>
        </w:rPr>
      </w:pPr>
      <w:r w:rsidRPr="00904C79">
        <w:rPr>
          <w:rFonts w:ascii="Verdana" w:eastAsia="Times New Roman" w:hAnsi="Verdana" w:cs="Arial"/>
          <w:lang w:val="es-ES" w:eastAsia="es-ES_tradnl"/>
        </w:rPr>
        <w:t xml:space="preserve">Así las cosas, cuando se trata de los procesos exceptuados de la obligación de inscripción en el RUP, para verificar las condiciones de experiencia, capacidad financiera y de organización de los proponentes, las Entidades deben recurrir a otros medios de prueba que garanticen la selección objetiva, siempre que sean adecuados y proporcionales, para promover la libre participación de los </w:t>
      </w:r>
      <w:r w:rsidRPr="00904C79">
        <w:rPr>
          <w:rFonts w:ascii="Verdana" w:eastAsia="Times New Roman" w:hAnsi="Verdana" w:cs="Arial"/>
          <w:lang w:val="es-ES" w:eastAsia="es-ES_tradnl"/>
        </w:rPr>
        <w:lastRenderedPageBreak/>
        <w:t>oferentes. Lo anterior fue ratificado por el Consejo de Estado cuando enumeró las excepciones en las cuales las entidades tienen la obligación de verificar los requisitos habilitantes de los proponentes</w:t>
      </w:r>
      <w:r w:rsidRPr="00904C79">
        <w:rPr>
          <w:rFonts w:ascii="Verdana" w:eastAsia="Times New Roman" w:hAnsi="Verdana"/>
          <w:vertAlign w:val="superscript"/>
          <w:lang w:val="es-ES" w:eastAsia="es-ES_tradnl"/>
        </w:rPr>
        <w:footnoteReference w:id="8"/>
      </w:r>
      <w:r w:rsidRPr="00904C79">
        <w:rPr>
          <w:rFonts w:ascii="Verdana" w:eastAsia="Times New Roman" w:hAnsi="Verdana" w:cs="Arial"/>
          <w:lang w:val="es-ES" w:eastAsia="es-ES_tradnl"/>
        </w:rPr>
        <w:t xml:space="preserve">.  </w:t>
      </w:r>
    </w:p>
    <w:p w14:paraId="05AD90D6" w14:textId="77777777" w:rsidR="00095BA4" w:rsidRPr="00904C79" w:rsidRDefault="00095BA4" w:rsidP="00095BA4">
      <w:pPr>
        <w:spacing w:after="120" w:line="276" w:lineRule="auto"/>
        <w:ind w:firstLine="709"/>
        <w:jc w:val="both"/>
        <w:rPr>
          <w:rFonts w:ascii="Verdana" w:eastAsia="Times New Roman" w:hAnsi="Verdana" w:cs="Arial"/>
          <w:lang w:val="es-ES" w:eastAsia="es-ES_tradnl"/>
        </w:rPr>
      </w:pPr>
      <w:r w:rsidRPr="00904C79">
        <w:rPr>
          <w:rFonts w:ascii="Verdana" w:eastAsia="Times New Roman" w:hAnsi="Verdana" w:cs="Arial"/>
          <w:lang w:val="es-ES" w:eastAsia="es-ES_tradnl"/>
        </w:rPr>
        <w:t>Las anteriores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904C79">
        <w:rPr>
          <w:rFonts w:ascii="Verdana" w:eastAsia="Times New Roman" w:hAnsi="Verdana" w:cs="Arial"/>
          <w:vertAlign w:val="superscript"/>
          <w:lang w:val="es-ES" w:eastAsia="es-ES_tradnl"/>
        </w:rPr>
        <w:footnoteReference w:id="9"/>
      </w:r>
      <w:r w:rsidRPr="00904C79">
        <w:rPr>
          <w:rFonts w:ascii="Verdana" w:eastAsia="Times New Roman" w:hAnsi="Verdana" w:cs="Arial"/>
          <w:lang w:val="es-ES" w:eastAsia="es-ES_tradnl"/>
        </w:rPr>
        <w:t>.</w:t>
      </w:r>
    </w:p>
    <w:p w14:paraId="6E9A0B7A" w14:textId="77777777" w:rsidR="00095BA4" w:rsidRPr="00904C79" w:rsidRDefault="00095BA4" w:rsidP="00095BA4">
      <w:pPr>
        <w:spacing w:after="120" w:line="276" w:lineRule="auto"/>
        <w:ind w:firstLine="709"/>
        <w:jc w:val="both"/>
        <w:rPr>
          <w:rFonts w:ascii="Verdana" w:eastAsia="Times New Roman" w:hAnsi="Verdana" w:cs="Arial"/>
          <w:lang w:val="es-ES" w:eastAsia="es-ES_tradnl"/>
        </w:rPr>
      </w:pPr>
      <w:r w:rsidRPr="00904C79">
        <w:rPr>
          <w:rFonts w:ascii="Verdana" w:eastAsia="Times New Roman" w:hAnsi="Verdana" w:cs="Arial"/>
          <w:lang w:val="es-ES" w:eastAsia="es-ES_tradnl"/>
        </w:rPr>
        <w:t xml:space="preserve">En síntesis, en el marco del Sistema de Compra Pública colombiano, los requisitos habilitantes constituyen las condiciones mínimas que deben cumplir los proponentes para participar en un proceso de contratación, demostrando su idoneidad para ejecutar el objeto contractual. Estos requisitos comprenden la capacidad jurídica, financiera, organizacional y la experiencia del oferente, entre otros, y su verificación se realiza, por regla general, a través del RUP, el cual, según el artículo 6 de la Ley 1150 de 2007, constituye plena prueba de la información que contiene. En particular, la experiencia se acredita mediante la inscripción en el RUP de los contratos ejecutados, utilizando los códigos del Clasificador de Bienes y Servicios, conforme a las directrices establecidas por Colombia Compra Eficiente. </w:t>
      </w:r>
    </w:p>
    <w:p w14:paraId="26B727D4" w14:textId="77777777" w:rsidR="00095BA4" w:rsidRDefault="00095BA4" w:rsidP="00D2199A">
      <w:pPr>
        <w:spacing w:after="0" w:line="276" w:lineRule="auto"/>
        <w:ind w:firstLine="709"/>
        <w:jc w:val="both"/>
        <w:rPr>
          <w:rFonts w:ascii="Verdana" w:hAnsi="Verdana" w:cs="Arial"/>
          <w:color w:val="000000" w:themeColor="text1"/>
          <w:lang w:val="es-ES"/>
        </w:rPr>
      </w:pPr>
      <w:r w:rsidRPr="00904C79">
        <w:rPr>
          <w:rFonts w:ascii="Verdana" w:hAnsi="Verdana" w:cs="Arial"/>
          <w:color w:val="000000" w:themeColor="text1"/>
          <w:lang w:val="es-ES"/>
        </w:rPr>
        <w:t>Así las cosas, 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 Lo anterior fue ratificado por el Consejo de Estado cuando enumeró las excepciones en las cuales las entidades tienen la obligación de verificar los requisitos habilitantes de los proponentes</w:t>
      </w:r>
      <w:r w:rsidRPr="00904C79">
        <w:rPr>
          <w:rFonts w:ascii="Verdana" w:hAnsi="Verdana" w:cs="Arial"/>
          <w:color w:val="000000" w:themeColor="text1"/>
          <w:vertAlign w:val="superscript"/>
          <w:lang w:val="es-ES"/>
        </w:rPr>
        <w:footnoteReference w:id="10"/>
      </w:r>
      <w:r w:rsidRPr="00904C79">
        <w:rPr>
          <w:rFonts w:ascii="Verdana" w:hAnsi="Verdana" w:cs="Arial"/>
          <w:color w:val="000000" w:themeColor="text1"/>
          <w:lang w:val="es-ES"/>
        </w:rPr>
        <w:t xml:space="preserve">. </w:t>
      </w:r>
    </w:p>
    <w:p w14:paraId="3ED08AD1" w14:textId="77777777" w:rsidR="00D2199A" w:rsidRPr="00904C79" w:rsidRDefault="00D2199A" w:rsidP="00D2199A">
      <w:pPr>
        <w:spacing w:after="0" w:line="276" w:lineRule="auto"/>
        <w:ind w:firstLine="709"/>
        <w:jc w:val="both"/>
        <w:rPr>
          <w:rFonts w:ascii="Verdana" w:hAnsi="Verdana" w:cs="Arial"/>
          <w:color w:val="000000" w:themeColor="text1"/>
          <w:lang w:val="es-ES"/>
        </w:rPr>
      </w:pPr>
    </w:p>
    <w:p w14:paraId="5B7FC80E" w14:textId="77777777" w:rsidR="00095BA4" w:rsidRPr="00904C79" w:rsidRDefault="00095BA4" w:rsidP="00095BA4">
      <w:pPr>
        <w:spacing w:after="120" w:line="276" w:lineRule="auto"/>
        <w:jc w:val="both"/>
        <w:rPr>
          <w:rFonts w:ascii="Verdana" w:hAnsi="Verdana" w:cs="Arial"/>
          <w:color w:val="000000" w:themeColor="text1"/>
          <w:lang w:val="es-ES"/>
        </w:rPr>
      </w:pPr>
      <w:proofErr w:type="spellStart"/>
      <w:r w:rsidRPr="00904C79">
        <w:rPr>
          <w:rFonts w:ascii="Verdana" w:hAnsi="Verdana" w:cs="Arial"/>
          <w:color w:val="000000" w:themeColor="text1"/>
          <w:lang w:val="es-ES"/>
        </w:rPr>
        <w:t>ii</w:t>
      </w:r>
      <w:proofErr w:type="spellEnd"/>
      <w:r w:rsidRPr="00904C79">
        <w:rPr>
          <w:rFonts w:ascii="Verdana" w:hAnsi="Verdana" w:cs="Arial"/>
          <w:color w:val="000000" w:themeColor="text1"/>
          <w:lang w:val="es-ES"/>
        </w:rPr>
        <w:t xml:space="preserve">)  Con respecto a la práctica de exámenes médicos ocupacionales, el artículo segundo de la Resolución No. 1843 de 2025 emitida por el Ministerio del Trabajo, “por la cual se regula la práctica de evaluaciones médicas ocupacionales, y se dictan otras disposiciones”, dispone que aplica a todos los empleadores, empresas públicas o privadas, contratantes, contratistas, trabajadores dependientes e independientes; a las entidades administradoras de riesgos laborales; y a las personas naturales y jurídicas </w:t>
      </w:r>
      <w:r w:rsidRPr="00904C79">
        <w:rPr>
          <w:rFonts w:ascii="Verdana" w:hAnsi="Verdana" w:cs="Arial"/>
          <w:i/>
          <w:iCs/>
          <w:color w:val="000000" w:themeColor="text1"/>
          <w:u w:val="single"/>
          <w:lang w:val="es-ES"/>
        </w:rPr>
        <w:t>prestadoras o proveedoras de servicios de medicina, seguridad y salud en el trabajo</w:t>
      </w:r>
      <w:r w:rsidRPr="00904C79">
        <w:rPr>
          <w:rFonts w:ascii="Verdana" w:hAnsi="Verdana" w:cs="Arial"/>
          <w:color w:val="000000" w:themeColor="text1"/>
          <w:lang w:val="es-ES"/>
        </w:rPr>
        <w:t>. Adicionalmente, el artículo tercero establece las siguientes definiciones:</w:t>
      </w:r>
    </w:p>
    <w:p w14:paraId="502AAB55" w14:textId="77777777" w:rsidR="00095BA4" w:rsidRPr="00904C79" w:rsidRDefault="00095BA4" w:rsidP="00095BA4">
      <w:pPr>
        <w:spacing w:after="120" w:line="240" w:lineRule="auto"/>
        <w:ind w:left="709" w:right="709"/>
        <w:jc w:val="both"/>
        <w:rPr>
          <w:rFonts w:ascii="Verdana" w:eastAsia="Times New Roman" w:hAnsi="Verdana" w:cs="Arial"/>
          <w:sz w:val="21"/>
          <w:szCs w:val="21"/>
          <w:lang w:val="es-ES" w:eastAsia="es-ES_tradnl"/>
        </w:rPr>
      </w:pPr>
      <w:r w:rsidRPr="00904C79">
        <w:rPr>
          <w:rFonts w:ascii="Verdana" w:hAnsi="Verdana" w:cs="Arial"/>
          <w:sz w:val="21"/>
          <w:szCs w:val="21"/>
          <w:lang w:val="es-ES" w:eastAsia="es-ES_tradnl"/>
        </w:rPr>
        <w:t>“</w:t>
      </w:r>
      <w:r w:rsidRPr="00904C79">
        <w:rPr>
          <w:rFonts w:ascii="Verdana" w:eastAsia="Times New Roman" w:hAnsi="Verdana" w:cs="Arial"/>
          <w:sz w:val="21"/>
          <w:szCs w:val="21"/>
          <w:lang w:val="es-ES" w:eastAsia="es-ES_tradnl"/>
        </w:rPr>
        <w:t>[…]</w:t>
      </w:r>
    </w:p>
    <w:p w14:paraId="0FFBCB73" w14:textId="77777777" w:rsidR="00095BA4" w:rsidRPr="00904C79" w:rsidRDefault="00095BA4" w:rsidP="00095BA4">
      <w:pPr>
        <w:spacing w:after="120" w:line="240" w:lineRule="auto"/>
        <w:ind w:left="709" w:right="709"/>
        <w:jc w:val="both"/>
        <w:rPr>
          <w:rFonts w:ascii="Verdana" w:eastAsia="Times New Roman" w:hAnsi="Verdana" w:cs="Arial"/>
          <w:sz w:val="21"/>
          <w:szCs w:val="21"/>
          <w:lang w:val="es-ES" w:eastAsia="es-ES_tradnl"/>
        </w:rPr>
      </w:pPr>
      <w:r w:rsidRPr="00904C79">
        <w:rPr>
          <w:rFonts w:ascii="Verdana" w:eastAsia="Times New Roman" w:hAnsi="Verdana" w:cs="Arial"/>
          <w:sz w:val="21"/>
          <w:szCs w:val="21"/>
          <w:lang w:val="es-ES" w:eastAsia="es-ES_tradnl"/>
        </w:rPr>
        <w:t>f) Evaluación médica ocupacional:</w:t>
      </w:r>
      <w:r w:rsidRPr="00904C79">
        <w:rPr>
          <w:rFonts w:ascii="Verdana" w:eastAsia="Times New Roman" w:hAnsi="Verdana" w:cs="Arial"/>
          <w:i/>
          <w:iCs/>
          <w:sz w:val="21"/>
          <w:szCs w:val="21"/>
          <w:u w:val="single"/>
          <w:lang w:val="es-ES" w:eastAsia="es-ES_tradnl"/>
        </w:rPr>
        <w:t xml:space="preserve"> Acto médico</w:t>
      </w:r>
      <w:r w:rsidRPr="00904C79">
        <w:rPr>
          <w:rFonts w:ascii="Verdana" w:eastAsia="Times New Roman" w:hAnsi="Verdana" w:cs="Arial"/>
          <w:sz w:val="21"/>
          <w:szCs w:val="21"/>
          <w:lang w:val="es-ES" w:eastAsia="es-ES_tradnl"/>
        </w:rPr>
        <w:t xml:space="preserve"> mediante el cual se examina a un trabajador, con el fin de monitorear la exposición a factores de riesgo y determinar la existencia de consecuencias en la persona por dicha exposición. Incluye anamnesis, examen físico completo con énfasis en el órgano o sistema blanco, análisis de pruebas clínicas y paraclínicas, tales como: de laboratorio, imágenes diagnósticas, y su correlación entre ellos para emitir un el diagnóstico y las recomendaciones, las cuales deben quedar consignadas en el documento de historia clínica ocupacional.</w:t>
      </w:r>
    </w:p>
    <w:p w14:paraId="49B8C003" w14:textId="77777777" w:rsidR="00095BA4" w:rsidRPr="00904C79" w:rsidRDefault="00095BA4" w:rsidP="00095BA4">
      <w:pPr>
        <w:spacing w:after="120" w:line="240" w:lineRule="auto"/>
        <w:ind w:left="709" w:right="709"/>
        <w:jc w:val="both"/>
        <w:rPr>
          <w:rFonts w:ascii="Verdana" w:eastAsia="Times New Roman" w:hAnsi="Verdana" w:cs="Arial"/>
          <w:sz w:val="21"/>
          <w:szCs w:val="21"/>
          <w:lang w:val="es-ES" w:eastAsia="es-ES_tradnl"/>
        </w:rPr>
      </w:pPr>
      <w:r w:rsidRPr="00904C79">
        <w:rPr>
          <w:rFonts w:ascii="Verdana" w:eastAsia="Times New Roman" w:hAnsi="Verdana" w:cs="Arial"/>
          <w:sz w:val="21"/>
          <w:szCs w:val="21"/>
          <w:lang w:val="es-ES" w:eastAsia="es-ES_tradnl"/>
        </w:rPr>
        <w:t>[…]</w:t>
      </w:r>
    </w:p>
    <w:p w14:paraId="4FAB06A2" w14:textId="77777777" w:rsidR="00095BA4" w:rsidRPr="00904C79" w:rsidRDefault="00095BA4" w:rsidP="00095BA4">
      <w:pPr>
        <w:shd w:val="clear" w:color="auto" w:fill="FFFFFF"/>
        <w:spacing w:line="240" w:lineRule="auto"/>
        <w:ind w:left="709" w:right="709"/>
        <w:jc w:val="both"/>
        <w:rPr>
          <w:rFonts w:ascii="Verdana" w:hAnsi="Verdana"/>
          <w:color w:val="000000" w:themeColor="text1"/>
          <w:sz w:val="21"/>
          <w:szCs w:val="21"/>
          <w:lang w:val="es-ES"/>
        </w:rPr>
      </w:pPr>
      <w:r w:rsidRPr="00904C79">
        <w:rPr>
          <w:rFonts w:ascii="Verdana" w:hAnsi="Verdana" w:cs="Arial"/>
          <w:color w:val="000000" w:themeColor="text1"/>
          <w:sz w:val="21"/>
          <w:szCs w:val="21"/>
          <w:lang w:val="es-ES"/>
        </w:rPr>
        <w:t>h) Historia clínica ocupacionales: Conjunto único de documentos privados, obligatorios y sometidos a reserva, en donde se registran cronológicamente las condiciones de salud del trabajador, las evaluaciones médicas ocupacionales, resultados de las valoraciones complementarias y demás procedimientos ejecutados por el equipo de salud que interviene en su atención.</w:t>
      </w:r>
    </w:p>
    <w:p w14:paraId="6F2A62FE" w14:textId="77777777" w:rsidR="00095BA4" w:rsidRPr="00904C79" w:rsidRDefault="00095BA4" w:rsidP="00095BA4">
      <w:pPr>
        <w:shd w:val="clear" w:color="auto" w:fill="FFFFFF"/>
        <w:spacing w:line="240" w:lineRule="auto"/>
        <w:ind w:left="709" w:right="709"/>
        <w:jc w:val="both"/>
        <w:rPr>
          <w:rFonts w:ascii="Verdana" w:hAnsi="Verdana"/>
          <w:color w:val="000000" w:themeColor="text1"/>
          <w:sz w:val="21"/>
          <w:szCs w:val="21"/>
          <w:lang w:val="es-ES"/>
        </w:rPr>
      </w:pPr>
      <w:r w:rsidRPr="00904C79">
        <w:rPr>
          <w:rFonts w:ascii="Verdana" w:hAnsi="Verdana" w:cs="Arial"/>
          <w:color w:val="000000" w:themeColor="text1"/>
          <w:sz w:val="21"/>
          <w:szCs w:val="21"/>
          <w:lang w:val="es-ES"/>
        </w:rPr>
        <w:t> </w:t>
      </w:r>
    </w:p>
    <w:p w14:paraId="4824AAED" w14:textId="77777777" w:rsidR="00095BA4" w:rsidRPr="00904C79" w:rsidRDefault="00095BA4" w:rsidP="00095BA4">
      <w:pPr>
        <w:shd w:val="clear" w:color="auto" w:fill="FFFFFF"/>
        <w:spacing w:line="240" w:lineRule="auto"/>
        <w:ind w:left="709" w:right="709"/>
        <w:jc w:val="both"/>
        <w:rPr>
          <w:rFonts w:ascii="Verdana" w:hAnsi="Verdana"/>
          <w:color w:val="000000" w:themeColor="text1"/>
          <w:sz w:val="21"/>
          <w:szCs w:val="21"/>
          <w:lang w:val="es-ES"/>
        </w:rPr>
      </w:pPr>
      <w:r w:rsidRPr="00904C79">
        <w:rPr>
          <w:rFonts w:ascii="Verdana" w:hAnsi="Verdana" w:cs="Arial"/>
          <w:color w:val="000000" w:themeColor="text1"/>
          <w:sz w:val="21"/>
          <w:szCs w:val="21"/>
          <w:lang w:val="es-ES"/>
        </w:rPr>
        <w:t>Dicho documento únicamente puede ser conocido por terceros previa autorización del paciente o en los casos previstos por la ley”. [Énfasis propio]</w:t>
      </w:r>
    </w:p>
    <w:p w14:paraId="41BE1B4B" w14:textId="77777777" w:rsidR="00095BA4" w:rsidRDefault="00095BA4" w:rsidP="00095BA4">
      <w:pPr>
        <w:spacing w:after="120" w:line="276" w:lineRule="auto"/>
        <w:jc w:val="both"/>
        <w:rPr>
          <w:rFonts w:ascii="Verdana" w:hAnsi="Verdana" w:cs="Arial"/>
          <w:lang w:val="es-ES" w:eastAsia="es-ES_tradnl"/>
        </w:rPr>
      </w:pPr>
      <w:r>
        <w:rPr>
          <w:rFonts w:ascii="Verdana" w:hAnsi="Verdana" w:cs="Arial"/>
          <w:lang w:val="es-ES" w:eastAsia="es-ES_tradnl"/>
        </w:rPr>
        <w:t xml:space="preserve"> </w:t>
      </w:r>
    </w:p>
    <w:p w14:paraId="3529D3E1" w14:textId="77777777" w:rsidR="00095BA4" w:rsidRPr="00FE558C" w:rsidRDefault="00095BA4" w:rsidP="00095BA4">
      <w:pPr>
        <w:spacing w:after="120" w:line="276" w:lineRule="auto"/>
        <w:ind w:firstLine="708"/>
        <w:jc w:val="both"/>
        <w:rPr>
          <w:rFonts w:ascii="Verdana" w:hAnsi="Verdana" w:cs="Arial"/>
          <w:lang w:eastAsia="es-ES_tradnl"/>
        </w:rPr>
      </w:pPr>
      <w:r w:rsidRPr="00FE558C">
        <w:rPr>
          <w:rFonts w:ascii="Verdana" w:hAnsi="Verdana" w:cs="Arial"/>
          <w:lang w:val="es-ES" w:eastAsia="es-ES_tradnl"/>
        </w:rPr>
        <w:t xml:space="preserve">En desarrollo de lo anterior, el artículo </w:t>
      </w:r>
      <w:proofErr w:type="gramStart"/>
      <w:r w:rsidRPr="00FE558C">
        <w:rPr>
          <w:rFonts w:ascii="Verdana" w:hAnsi="Verdana" w:cs="Arial"/>
          <w:lang w:val="es-ES" w:eastAsia="es-ES_tradnl"/>
        </w:rPr>
        <w:t>9  señala</w:t>
      </w:r>
      <w:proofErr w:type="gramEnd"/>
      <w:r w:rsidRPr="00FE558C">
        <w:rPr>
          <w:rFonts w:ascii="Verdana" w:hAnsi="Verdana" w:cs="Arial"/>
          <w:lang w:val="es-ES" w:eastAsia="es-ES_tradnl"/>
        </w:rPr>
        <w:t xml:space="preserve"> q</w:t>
      </w:r>
      <w:r>
        <w:rPr>
          <w:rFonts w:ascii="Verdana" w:hAnsi="Verdana" w:cs="Arial"/>
          <w:lang w:val="es-ES" w:eastAsia="es-ES_tradnl"/>
        </w:rPr>
        <w:t>u</w:t>
      </w:r>
      <w:r w:rsidRPr="00FE558C">
        <w:rPr>
          <w:rFonts w:ascii="Verdana" w:hAnsi="Verdana" w:cs="Arial"/>
          <w:lang w:val="es-ES" w:eastAsia="es-ES_tradnl"/>
        </w:rPr>
        <w:t>e las evaluaciones médicas de pre-ingreso se realizan para “</w:t>
      </w:r>
      <w:r w:rsidRPr="00C97AED">
        <w:rPr>
          <w:rFonts w:ascii="Verdana" w:hAnsi="Verdana" w:cs="Arial"/>
          <w:lang w:val="es-ES" w:eastAsia="es-ES_tradnl"/>
        </w:rPr>
        <w:t>determinar las condiciones de salud física, mental y social del trabajador antes de su contratación, en función de las condiciones de trabajo a las que estaría expuesto</w:t>
      </w:r>
      <w:r w:rsidRPr="00FE558C">
        <w:rPr>
          <w:rFonts w:ascii="Verdana" w:hAnsi="Verdana" w:cs="Arial"/>
          <w:lang w:val="es-ES" w:eastAsia="es-ES_tradnl"/>
        </w:rPr>
        <w:t xml:space="preserve">”. La norma señala que su objetivo es </w:t>
      </w:r>
      <w:r w:rsidRPr="00FE558C">
        <w:rPr>
          <w:rFonts w:ascii="Verdana" w:hAnsi="Verdana" w:cs="Arial"/>
          <w:lang w:eastAsia="es-ES_tradnl"/>
        </w:rPr>
        <w:t>“</w:t>
      </w:r>
      <w:r w:rsidRPr="00C97AED">
        <w:rPr>
          <w:rFonts w:ascii="Verdana" w:hAnsi="Verdana" w:cs="Arial"/>
          <w:lang w:val="es-ES" w:eastAsia="es-ES_tradnl"/>
        </w:rPr>
        <w:t>determinar la condición de salud del trabajador</w:t>
      </w:r>
      <w:r w:rsidRPr="00FE558C">
        <w:rPr>
          <w:rFonts w:ascii="Verdana" w:hAnsi="Verdana" w:cs="Arial"/>
          <w:lang w:val="es-ES" w:eastAsia="es-ES_tradnl"/>
        </w:rPr>
        <w:t>”</w:t>
      </w:r>
      <w:r w:rsidRPr="00C97AED">
        <w:rPr>
          <w:rFonts w:ascii="Verdana" w:hAnsi="Verdana" w:cs="Arial"/>
          <w:lang w:val="es-ES" w:eastAsia="es-ES_tradnl"/>
        </w:rPr>
        <w:t xml:space="preserve"> para desempeñar </w:t>
      </w:r>
      <w:r w:rsidRPr="00C97AED">
        <w:rPr>
          <w:rFonts w:ascii="Verdana" w:hAnsi="Verdana" w:cs="Arial"/>
          <w:lang w:val="es-ES" w:eastAsia="es-ES_tradnl"/>
        </w:rPr>
        <w:lastRenderedPageBreak/>
        <w:t>las labores</w:t>
      </w:r>
      <w:r w:rsidRPr="00FE558C">
        <w:rPr>
          <w:rFonts w:ascii="Verdana" w:hAnsi="Verdana" w:cs="Arial"/>
          <w:lang w:val="es-ES" w:eastAsia="es-ES_tradnl"/>
        </w:rPr>
        <w:t xml:space="preserve">, </w:t>
      </w:r>
      <w:r w:rsidRPr="00C97AED">
        <w:rPr>
          <w:rFonts w:ascii="Verdana" w:hAnsi="Verdana" w:cs="Arial"/>
          <w:lang w:val="es-ES" w:eastAsia="es-ES_tradnl"/>
        </w:rPr>
        <w:t>establecer la existencia de restricciones, e identificar condiciones de salud que, estando presentes en el trabajador, puedan agravarse en desarrollo del trabajo.</w:t>
      </w:r>
      <w:r w:rsidRPr="00FE558C">
        <w:rPr>
          <w:rFonts w:ascii="Verdana" w:hAnsi="Verdana" w:cs="Arial"/>
          <w:lang w:val="es-ES" w:eastAsia="es-ES_tradnl"/>
        </w:rPr>
        <w:t xml:space="preserve"> Por la naturaleza de estas evaluaciones, el médico tiene el deber de mantener la reserva de la historia clínica ocupacional, pero emite un concepto médico dirigido al empleador en el cual indica las restricciones existentes y/o las recomendaciones médico laborales. </w:t>
      </w:r>
    </w:p>
    <w:p w14:paraId="20B22B18" w14:textId="77777777" w:rsidR="00095BA4" w:rsidRDefault="00095BA4" w:rsidP="00095BA4">
      <w:pPr>
        <w:spacing w:after="120" w:line="276" w:lineRule="auto"/>
        <w:ind w:firstLine="708"/>
        <w:jc w:val="both"/>
        <w:rPr>
          <w:rFonts w:ascii="Verdana" w:hAnsi="Verdana" w:cs="Arial"/>
          <w:lang w:eastAsia="es-ES_tradnl"/>
        </w:rPr>
      </w:pPr>
      <w:r w:rsidRPr="00904C79">
        <w:rPr>
          <w:rFonts w:ascii="Verdana" w:hAnsi="Verdana" w:cs="Arial"/>
          <w:lang w:val="es-ES" w:eastAsia="es-ES_tradnl"/>
        </w:rPr>
        <w:t xml:space="preserve">Por otra parte, el artículo 4 de la </w:t>
      </w:r>
      <w:r>
        <w:rPr>
          <w:rFonts w:ascii="Verdana" w:hAnsi="Verdana" w:cs="Arial"/>
          <w:lang w:val="es-ES" w:eastAsia="es-ES_tradnl"/>
        </w:rPr>
        <w:t>r</w:t>
      </w:r>
      <w:r w:rsidRPr="00904C79">
        <w:rPr>
          <w:rFonts w:ascii="Verdana" w:hAnsi="Verdana" w:cs="Arial"/>
          <w:lang w:val="es-ES" w:eastAsia="es-ES_tradnl"/>
        </w:rPr>
        <w:t xml:space="preserve">eferida </w:t>
      </w:r>
      <w:r>
        <w:rPr>
          <w:rFonts w:ascii="Verdana" w:hAnsi="Verdana" w:cs="Arial"/>
          <w:lang w:val="es-ES" w:eastAsia="es-ES_tradnl"/>
        </w:rPr>
        <w:t>r</w:t>
      </w:r>
      <w:r w:rsidRPr="00904C79">
        <w:rPr>
          <w:rFonts w:ascii="Verdana" w:hAnsi="Verdana" w:cs="Arial"/>
          <w:lang w:val="es-ES" w:eastAsia="es-ES_tradnl"/>
        </w:rPr>
        <w:t xml:space="preserve">esolución establece </w:t>
      </w:r>
      <w:r>
        <w:rPr>
          <w:rFonts w:ascii="Verdana" w:hAnsi="Verdana" w:cs="Arial"/>
          <w:lang w:val="es-ES" w:eastAsia="es-ES_tradnl"/>
        </w:rPr>
        <w:t>l</w:t>
      </w:r>
      <w:r w:rsidRPr="00904C79">
        <w:rPr>
          <w:rFonts w:ascii="Verdana" w:hAnsi="Verdana" w:cs="Arial"/>
          <w:lang w:val="es-ES" w:eastAsia="es-ES_tradnl"/>
        </w:rPr>
        <w:t xml:space="preserve">as responsabilidades de </w:t>
      </w:r>
      <w:r>
        <w:rPr>
          <w:rFonts w:ascii="Verdana" w:hAnsi="Verdana" w:cs="Arial"/>
          <w:lang w:val="es-ES" w:eastAsia="es-ES_tradnl"/>
        </w:rPr>
        <w:t>“</w:t>
      </w:r>
      <w:r w:rsidRPr="00904C79">
        <w:rPr>
          <w:rFonts w:ascii="Verdana" w:hAnsi="Verdana" w:cs="Arial"/>
          <w:lang w:val="es-ES" w:eastAsia="es-ES_tradnl"/>
        </w:rPr>
        <w:t xml:space="preserve">los </w:t>
      </w:r>
      <w:r w:rsidRPr="00656604">
        <w:rPr>
          <w:rFonts w:ascii="Verdana" w:hAnsi="Verdana" w:cs="Arial"/>
          <w:i/>
          <w:iCs/>
          <w:lang w:val="es-ES" w:eastAsia="es-ES_tradnl"/>
        </w:rPr>
        <w:t>prestadores de Servicios de Medicina</w:t>
      </w:r>
      <w:r w:rsidRPr="00904C79">
        <w:rPr>
          <w:rFonts w:ascii="Verdana" w:hAnsi="Verdana" w:cs="Arial"/>
          <w:lang w:val="es-ES" w:eastAsia="es-ES_tradnl"/>
        </w:rPr>
        <w:t xml:space="preserve"> de Seguridad y Salud en el Trabajo</w:t>
      </w:r>
      <w:r>
        <w:rPr>
          <w:rFonts w:ascii="Verdana" w:hAnsi="Verdana" w:cs="Arial"/>
          <w:lang w:val="es-ES" w:eastAsia="es-ES_tradnl"/>
        </w:rPr>
        <w:t>”. Sobre este punto, aclara que estos tienen el deber de g</w:t>
      </w:r>
      <w:r w:rsidRPr="006C2CED">
        <w:rPr>
          <w:rFonts w:ascii="Verdana" w:hAnsi="Verdana" w:cs="Arial"/>
          <w:lang w:eastAsia="es-ES_tradnl"/>
        </w:rPr>
        <w:t xml:space="preserve">arantizar condiciones de infraestructura óptimas para la </w:t>
      </w:r>
      <w:r w:rsidRPr="00656604">
        <w:rPr>
          <w:rFonts w:ascii="Verdana" w:hAnsi="Verdana" w:cs="Arial"/>
          <w:i/>
          <w:lang w:eastAsia="es-ES_tradnl"/>
        </w:rPr>
        <w:t>prestación de los servicios de medicina de seguridad y salud en el trabajo</w:t>
      </w:r>
      <w:r w:rsidRPr="006C2CED">
        <w:rPr>
          <w:rFonts w:ascii="Verdana" w:hAnsi="Verdana" w:cs="Arial"/>
          <w:lang w:eastAsia="es-ES_tradnl"/>
        </w:rPr>
        <w:t xml:space="preserve">, </w:t>
      </w:r>
      <w:r>
        <w:rPr>
          <w:rFonts w:ascii="Verdana" w:hAnsi="Verdana" w:cs="Arial"/>
          <w:lang w:eastAsia="es-ES_tradnl"/>
        </w:rPr>
        <w:t xml:space="preserve">de acuerdo </w:t>
      </w:r>
      <w:r w:rsidRPr="006C2CED">
        <w:rPr>
          <w:rFonts w:ascii="Verdana" w:hAnsi="Verdana" w:cs="Arial"/>
          <w:lang w:eastAsia="es-ES_tradnl"/>
        </w:rPr>
        <w:t>con los establecido en la Resolución </w:t>
      </w:r>
      <w:r w:rsidRPr="00656604">
        <w:rPr>
          <w:rFonts w:ascii="Verdana" w:hAnsi="Verdana" w:cs="Arial"/>
          <w:lang w:eastAsia="es-ES_tradnl"/>
        </w:rPr>
        <w:t>3100</w:t>
      </w:r>
      <w:r w:rsidRPr="006C2CED">
        <w:rPr>
          <w:rFonts w:ascii="Verdana" w:hAnsi="Verdana" w:cs="Arial"/>
          <w:lang w:eastAsia="es-ES_tradnl"/>
        </w:rPr>
        <w:t> de 2019 del Ministerio de Salud y Protección Social</w:t>
      </w:r>
      <w:r>
        <w:rPr>
          <w:rFonts w:ascii="Verdana" w:hAnsi="Verdana" w:cs="Arial"/>
          <w:lang w:eastAsia="es-ES_tradnl"/>
        </w:rPr>
        <w:t>.</w:t>
      </w:r>
    </w:p>
    <w:p w14:paraId="6E2BEEB7" w14:textId="77777777" w:rsidR="00095BA4" w:rsidRDefault="00095BA4" w:rsidP="00095BA4">
      <w:pPr>
        <w:spacing w:after="120" w:line="276" w:lineRule="auto"/>
        <w:ind w:firstLine="709"/>
        <w:jc w:val="both"/>
        <w:rPr>
          <w:rFonts w:ascii="Verdana" w:hAnsi="Verdana" w:cs="Arial"/>
          <w:lang w:eastAsia="es-ES_tradnl"/>
        </w:rPr>
      </w:pPr>
      <w:r w:rsidRPr="004D38F1">
        <w:rPr>
          <w:rFonts w:ascii="Verdana" w:hAnsi="Verdana" w:cs="Arial"/>
          <w:lang w:val="es-ES" w:eastAsia="es-ES_tradnl"/>
        </w:rPr>
        <w:t>Por su parte la</w:t>
      </w:r>
      <w:r w:rsidRPr="004D38F1">
        <w:rPr>
          <w:rFonts w:ascii="Verdana" w:eastAsia="Times New Roman" w:hAnsi="Verdana" w:cs="Arial"/>
          <w:lang w:val="es-ES" w:eastAsia="es-ES_tradnl"/>
        </w:rPr>
        <w:t xml:space="preserve"> Resolución 3100 de 2019</w:t>
      </w:r>
      <w:r w:rsidRPr="004D38F1">
        <w:rPr>
          <w:rFonts w:ascii="Verdana" w:hAnsi="Verdana" w:cs="Arial"/>
          <w:color w:val="000000"/>
          <w:shd w:val="clear" w:color="auto" w:fill="FFFFFF"/>
        </w:rPr>
        <w:t xml:space="preserve"> ti</w:t>
      </w:r>
      <w:r w:rsidRPr="004D38F1">
        <w:rPr>
          <w:rFonts w:ascii="Verdana" w:hAnsi="Verdana" w:cs="Arial"/>
          <w:lang w:eastAsia="es-ES_tradnl"/>
        </w:rPr>
        <w:t xml:space="preserve">ene por objeto definir los procedimientos y las condiciones de inscripción de los </w:t>
      </w:r>
      <w:r w:rsidRPr="003E5D8F">
        <w:rPr>
          <w:rFonts w:ascii="Verdana" w:hAnsi="Verdana" w:cs="Arial"/>
          <w:lang w:eastAsia="es-ES_tradnl"/>
        </w:rPr>
        <w:t>prestadores de servicios de salud</w:t>
      </w:r>
      <w:r w:rsidRPr="004D38F1">
        <w:rPr>
          <w:rFonts w:ascii="Verdana" w:hAnsi="Verdana" w:cs="Arial"/>
          <w:lang w:eastAsia="es-ES_tradnl"/>
        </w:rPr>
        <w:t xml:space="preserve"> y de habilitación de los servicios de salud</w:t>
      </w:r>
      <w:r>
        <w:rPr>
          <w:rFonts w:ascii="Verdana" w:hAnsi="Verdana" w:cs="Arial"/>
          <w:lang w:eastAsia="es-ES_tradnl"/>
        </w:rPr>
        <w:t xml:space="preserve">. En </w:t>
      </w:r>
      <w:proofErr w:type="gramStart"/>
      <w:r>
        <w:rPr>
          <w:rFonts w:ascii="Verdana" w:hAnsi="Verdana" w:cs="Arial"/>
          <w:lang w:eastAsia="es-ES_tradnl"/>
        </w:rPr>
        <w:t>particular,  esta</w:t>
      </w:r>
      <w:proofErr w:type="gramEnd"/>
      <w:r>
        <w:rPr>
          <w:rFonts w:ascii="Verdana" w:hAnsi="Verdana" w:cs="Arial"/>
          <w:lang w:eastAsia="es-ES_tradnl"/>
        </w:rPr>
        <w:t xml:space="preserve"> norma regula en su artículo cuarto la necesidad de que todo prestador de servicios de salud debe estar </w:t>
      </w:r>
      <w:r w:rsidRPr="003E5D8F">
        <w:rPr>
          <w:rFonts w:ascii="Verdana" w:hAnsi="Verdana" w:cs="Arial"/>
          <w:lang w:eastAsia="es-ES_tradnl"/>
        </w:rPr>
        <w:t xml:space="preserve">inscrito en el Registro Especial de Prestadores de Servicios de Salud (REPS), registrando como mínimo una sede con infraestructura física y por lo menos un servicio habilitado. </w:t>
      </w:r>
    </w:p>
    <w:p w14:paraId="2671C8C2" w14:textId="77777777" w:rsidR="00095BA4" w:rsidRDefault="00095BA4" w:rsidP="00095BA4">
      <w:pPr>
        <w:spacing w:after="120" w:line="276" w:lineRule="auto"/>
        <w:ind w:firstLine="709"/>
        <w:jc w:val="both"/>
        <w:rPr>
          <w:rFonts w:ascii="Verdana" w:hAnsi="Verdana" w:cs="Arial"/>
          <w:lang w:val="es-ES" w:eastAsia="es-ES_tradnl"/>
        </w:rPr>
      </w:pPr>
      <w:r>
        <w:rPr>
          <w:rFonts w:ascii="Verdana" w:hAnsi="Verdana" w:cs="Arial"/>
          <w:lang w:val="es-ES" w:eastAsia="es-ES_tradnl"/>
        </w:rPr>
        <w:t xml:space="preserve">Lo expuesto </w:t>
      </w:r>
      <w:r w:rsidRPr="004D38F1">
        <w:rPr>
          <w:rFonts w:ascii="Verdana" w:hAnsi="Verdana" w:cs="Arial"/>
          <w:lang w:val="es-ES" w:eastAsia="es-ES_tradnl"/>
        </w:rPr>
        <w:t>evidencia que la normativa sobre</w:t>
      </w:r>
      <w:r>
        <w:rPr>
          <w:rFonts w:ascii="Verdana" w:hAnsi="Verdana" w:cs="Arial"/>
          <w:lang w:val="es-ES" w:eastAsia="es-ES_tradnl"/>
        </w:rPr>
        <w:t xml:space="preserve"> los exámenes médicos ocupacionales</w:t>
      </w:r>
      <w:r w:rsidRPr="004D38F1">
        <w:rPr>
          <w:rFonts w:ascii="Verdana" w:hAnsi="Verdana" w:cs="Arial"/>
          <w:lang w:val="es-ES" w:eastAsia="es-ES_tradnl"/>
        </w:rPr>
        <w:t xml:space="preserve"> </w:t>
      </w:r>
      <w:r>
        <w:rPr>
          <w:rFonts w:ascii="Verdana" w:hAnsi="Verdana" w:cs="Arial"/>
          <w:lang w:val="es-ES" w:eastAsia="es-ES_tradnl"/>
        </w:rPr>
        <w:t xml:space="preserve">señala que </w:t>
      </w:r>
      <w:r w:rsidRPr="004D38F1">
        <w:rPr>
          <w:rFonts w:ascii="Verdana" w:hAnsi="Verdana" w:cs="Arial"/>
          <w:lang w:val="es-ES" w:eastAsia="es-ES_tradnl"/>
        </w:rPr>
        <w:t>son practicados por prestadores del servicio</w:t>
      </w:r>
      <w:r>
        <w:rPr>
          <w:rFonts w:ascii="Verdana" w:hAnsi="Verdana" w:cs="Arial"/>
          <w:lang w:val="es-ES" w:eastAsia="es-ES_tradnl"/>
        </w:rPr>
        <w:t xml:space="preserve"> de medicina de seguridad y salud en el trabajo. Además, la Resolución</w:t>
      </w:r>
      <w:r w:rsidRPr="003E5D8F">
        <w:rPr>
          <w:rFonts w:ascii="Verdana" w:hAnsi="Verdana" w:cs="Arial"/>
          <w:color w:val="000000" w:themeColor="text1"/>
          <w:lang w:val="es-ES"/>
        </w:rPr>
        <w:t xml:space="preserve"> </w:t>
      </w:r>
      <w:r w:rsidRPr="00904C79">
        <w:rPr>
          <w:rFonts w:ascii="Verdana" w:hAnsi="Verdana" w:cs="Arial"/>
          <w:color w:val="000000" w:themeColor="text1"/>
          <w:lang w:val="es-ES"/>
        </w:rPr>
        <w:t xml:space="preserve">No. 1843 de 2025 </w:t>
      </w:r>
      <w:r>
        <w:rPr>
          <w:rFonts w:ascii="Verdana" w:hAnsi="Verdana" w:cs="Arial"/>
          <w:lang w:val="es-ES" w:eastAsia="es-ES_tradnl"/>
        </w:rPr>
        <w:t xml:space="preserve">caracterizó estas evaluaciones como actos médicos y señala que </w:t>
      </w:r>
      <w:r w:rsidRPr="00B31E45">
        <w:rPr>
          <w:rFonts w:ascii="Verdana" w:hAnsi="Verdana" w:cs="Arial"/>
          <w:lang w:eastAsia="es-ES_tradnl"/>
        </w:rPr>
        <w:t>deben ser realizadas por médicos especialistas en seguridad y salud en el trabajo, con licencia vigente conforme a las normas establecidas por el Ministerio de Salud y Protección Social en la materia</w:t>
      </w:r>
      <w:r>
        <w:rPr>
          <w:rFonts w:ascii="Verdana" w:hAnsi="Verdana" w:cs="Arial"/>
          <w:lang w:eastAsia="es-ES_tradnl"/>
        </w:rPr>
        <w:t xml:space="preserve"> -art. 17-</w:t>
      </w:r>
      <w:r w:rsidRPr="00B31E45">
        <w:rPr>
          <w:rFonts w:ascii="Verdana" w:hAnsi="Verdana" w:cs="Arial"/>
          <w:lang w:eastAsia="es-ES_tradnl"/>
        </w:rPr>
        <w:t>.</w:t>
      </w:r>
      <w:r>
        <w:rPr>
          <w:rFonts w:ascii="Verdana" w:hAnsi="Verdana" w:cs="Arial"/>
          <w:lang w:eastAsia="es-ES_tradnl"/>
        </w:rPr>
        <w:t xml:space="preserve"> Finalmente, la Resolución señala </w:t>
      </w:r>
      <w:r>
        <w:rPr>
          <w:rFonts w:ascii="Verdana" w:hAnsi="Verdana" w:cs="Arial"/>
          <w:lang w:val="es-ES" w:eastAsia="es-ES_tradnl"/>
        </w:rPr>
        <w:t>e</w:t>
      </w:r>
      <w:r w:rsidRPr="00B31E45">
        <w:rPr>
          <w:rFonts w:ascii="Verdana" w:hAnsi="Verdana" w:cs="Arial"/>
          <w:lang w:val="es-ES" w:eastAsia="es-ES_tradnl"/>
        </w:rPr>
        <w:t xml:space="preserve">l empleador podrá contratar la realización de las evaluaciones médicas ocupacionales con </w:t>
      </w:r>
      <w:r w:rsidRPr="0017260A">
        <w:rPr>
          <w:rFonts w:ascii="Verdana" w:hAnsi="Verdana" w:cs="Arial"/>
          <w:i/>
          <w:iCs/>
          <w:lang w:val="es-ES" w:eastAsia="es-ES_tradnl"/>
        </w:rPr>
        <w:t>instituciones prestadoras de servicios de medicina</w:t>
      </w:r>
      <w:r w:rsidRPr="00B31E45">
        <w:rPr>
          <w:rFonts w:ascii="Verdana" w:hAnsi="Verdana" w:cs="Arial"/>
          <w:lang w:val="es-ES" w:eastAsia="es-ES_tradnl"/>
        </w:rPr>
        <w:t xml:space="preserve"> de seguridad y salud en el trabajo, </w:t>
      </w:r>
      <w:r>
        <w:rPr>
          <w:rFonts w:ascii="Verdana" w:hAnsi="Verdana" w:cs="Arial"/>
          <w:lang w:val="es-ES" w:eastAsia="es-ES_tradnl"/>
        </w:rPr>
        <w:t xml:space="preserve">que cuenten con dichos </w:t>
      </w:r>
      <w:r w:rsidRPr="00B31E45">
        <w:rPr>
          <w:rFonts w:ascii="Verdana" w:hAnsi="Verdana" w:cs="Arial"/>
          <w:lang w:val="es-ES" w:eastAsia="es-ES_tradnl"/>
        </w:rPr>
        <w:t xml:space="preserve">médicos </w:t>
      </w:r>
      <w:proofErr w:type="gramStart"/>
      <w:r w:rsidRPr="00B31E45">
        <w:rPr>
          <w:rFonts w:ascii="Verdana" w:hAnsi="Verdana" w:cs="Arial"/>
          <w:lang w:val="es-ES" w:eastAsia="es-ES_tradnl"/>
        </w:rPr>
        <w:t xml:space="preserve">especialistas </w:t>
      </w:r>
      <w:r>
        <w:rPr>
          <w:rFonts w:ascii="Verdana" w:hAnsi="Verdana" w:cs="Arial"/>
          <w:lang w:eastAsia="es-ES_tradnl"/>
        </w:rPr>
        <w:t xml:space="preserve"> o</w:t>
      </w:r>
      <w:proofErr w:type="gramEnd"/>
      <w:r>
        <w:rPr>
          <w:rFonts w:ascii="Verdana" w:hAnsi="Verdana" w:cs="Arial"/>
          <w:lang w:eastAsia="es-ES_tradnl"/>
        </w:rPr>
        <w:t xml:space="preserve">, directamente, </w:t>
      </w:r>
      <w:r w:rsidRPr="00B31E45">
        <w:rPr>
          <w:rFonts w:ascii="Verdana" w:hAnsi="Verdana" w:cs="Arial"/>
          <w:lang w:val="es-ES" w:eastAsia="es-ES_tradnl"/>
        </w:rPr>
        <w:t xml:space="preserve">con </w:t>
      </w:r>
      <w:r>
        <w:rPr>
          <w:rFonts w:ascii="Verdana" w:hAnsi="Verdana" w:cs="Arial"/>
          <w:lang w:val="es-ES" w:eastAsia="es-ES_tradnl"/>
        </w:rPr>
        <w:t xml:space="preserve">los </w:t>
      </w:r>
      <w:r w:rsidRPr="00B31E45">
        <w:rPr>
          <w:rFonts w:ascii="Verdana" w:hAnsi="Verdana" w:cs="Arial"/>
          <w:lang w:val="es-ES" w:eastAsia="es-ES_tradnl"/>
        </w:rPr>
        <w:t xml:space="preserve">médicos especialistas en </w:t>
      </w:r>
      <w:r>
        <w:rPr>
          <w:rFonts w:ascii="Verdana" w:hAnsi="Verdana" w:cs="Arial"/>
          <w:lang w:val="es-ES" w:eastAsia="es-ES_tradnl"/>
        </w:rPr>
        <w:t>m</w:t>
      </w:r>
      <w:r w:rsidRPr="00B31E45">
        <w:rPr>
          <w:rFonts w:ascii="Verdana" w:hAnsi="Verdana" w:cs="Arial"/>
          <w:lang w:val="es-ES" w:eastAsia="es-ES_tradnl"/>
        </w:rPr>
        <w:t xml:space="preserve">edicina del </w:t>
      </w:r>
      <w:r>
        <w:rPr>
          <w:rFonts w:ascii="Verdana" w:hAnsi="Verdana" w:cs="Arial"/>
          <w:lang w:val="es-ES" w:eastAsia="es-ES_tradnl"/>
        </w:rPr>
        <w:t>t</w:t>
      </w:r>
      <w:r w:rsidRPr="00B31E45">
        <w:rPr>
          <w:rFonts w:ascii="Verdana" w:hAnsi="Verdana" w:cs="Arial"/>
          <w:lang w:val="es-ES" w:eastAsia="es-ES_tradnl"/>
        </w:rPr>
        <w:t xml:space="preserve">rabajo, </w:t>
      </w:r>
      <w:r>
        <w:rPr>
          <w:rFonts w:ascii="Verdana" w:hAnsi="Verdana" w:cs="Arial"/>
          <w:lang w:val="es-ES" w:eastAsia="es-ES_tradnl"/>
        </w:rPr>
        <w:t>s</w:t>
      </w:r>
      <w:r w:rsidRPr="00B31E45">
        <w:rPr>
          <w:rFonts w:ascii="Verdana" w:hAnsi="Verdana" w:cs="Arial"/>
          <w:lang w:val="es-ES" w:eastAsia="es-ES_tradnl"/>
        </w:rPr>
        <w:t xml:space="preserve">alud </w:t>
      </w:r>
      <w:r>
        <w:rPr>
          <w:rFonts w:ascii="Verdana" w:hAnsi="Verdana" w:cs="Arial"/>
          <w:lang w:val="es-ES" w:eastAsia="es-ES_tradnl"/>
        </w:rPr>
        <w:t>o</w:t>
      </w:r>
      <w:r w:rsidRPr="00B31E45">
        <w:rPr>
          <w:rFonts w:ascii="Verdana" w:hAnsi="Verdana" w:cs="Arial"/>
          <w:lang w:val="es-ES" w:eastAsia="es-ES_tradnl"/>
        </w:rPr>
        <w:t xml:space="preserve">cupacional o </w:t>
      </w:r>
      <w:r>
        <w:rPr>
          <w:rFonts w:ascii="Verdana" w:hAnsi="Verdana" w:cs="Arial"/>
          <w:lang w:val="es-ES" w:eastAsia="es-ES_tradnl"/>
        </w:rPr>
        <w:t>s</w:t>
      </w:r>
      <w:r w:rsidRPr="00B31E45">
        <w:rPr>
          <w:rFonts w:ascii="Verdana" w:hAnsi="Verdana" w:cs="Arial"/>
          <w:lang w:val="es-ES" w:eastAsia="es-ES_tradnl"/>
        </w:rPr>
        <w:t xml:space="preserve">eguridad y </w:t>
      </w:r>
      <w:r>
        <w:rPr>
          <w:rFonts w:ascii="Verdana" w:hAnsi="Verdana" w:cs="Arial"/>
          <w:lang w:val="es-ES" w:eastAsia="es-ES_tradnl"/>
        </w:rPr>
        <w:t>s</w:t>
      </w:r>
      <w:r w:rsidRPr="00B31E45">
        <w:rPr>
          <w:rFonts w:ascii="Verdana" w:hAnsi="Verdana" w:cs="Arial"/>
          <w:lang w:val="es-ES" w:eastAsia="es-ES_tradnl"/>
        </w:rPr>
        <w:t>alud en el Trabajo, con licencia vigente</w:t>
      </w:r>
      <w:r>
        <w:rPr>
          <w:rFonts w:ascii="Verdana" w:hAnsi="Verdana" w:cs="Arial"/>
          <w:lang w:val="es-ES" w:eastAsia="es-ES_tradnl"/>
        </w:rPr>
        <w:t>.</w:t>
      </w:r>
    </w:p>
    <w:p w14:paraId="762F9211" w14:textId="77777777" w:rsidR="00095BA4" w:rsidRPr="00AA5F72" w:rsidRDefault="00095BA4" w:rsidP="00095BA4">
      <w:pPr>
        <w:shd w:val="clear" w:color="auto" w:fill="FFFFFF"/>
        <w:spacing w:before="120" w:after="120" w:line="276" w:lineRule="auto"/>
        <w:ind w:firstLine="708"/>
        <w:jc w:val="both"/>
        <w:rPr>
          <w:rFonts w:ascii="Verdana" w:eastAsia="Times New Roman" w:hAnsi="Verdana" w:cs="Arial"/>
          <w:b/>
          <w:bCs/>
          <w:color w:val="000000" w:themeColor="text1"/>
          <w:lang w:val="es-ES" w:eastAsia="es-CO"/>
        </w:rPr>
      </w:pPr>
      <w:r w:rsidRPr="00AA5F72">
        <w:rPr>
          <w:rFonts w:ascii="Verdana" w:hAnsi="Verdana" w:cs="Arial"/>
          <w:color w:val="000000" w:themeColor="text1"/>
          <w:lang w:val="es-ES" w:eastAsia="es-CO"/>
        </w:rPr>
        <w:t>En efecto, e</w:t>
      </w:r>
      <w:r w:rsidRPr="00AA5F72">
        <w:rPr>
          <w:rFonts w:ascii="Verdana" w:eastAsia="Times New Roman" w:hAnsi="Verdana" w:cs="Arial"/>
          <w:color w:val="000000" w:themeColor="text1"/>
          <w:lang w:val="es-ES" w:eastAsia="es-CO"/>
        </w:rPr>
        <w:t>l examen médico pre</w:t>
      </w:r>
      <w:r w:rsidRPr="00AA5F72">
        <w:rPr>
          <w:rFonts w:ascii="Verdana" w:hAnsi="Verdana" w:cs="Arial"/>
          <w:color w:val="000000" w:themeColor="text1"/>
          <w:lang w:val="es-ES" w:eastAsia="es-CO"/>
        </w:rPr>
        <w:t>-</w:t>
      </w:r>
      <w:r w:rsidRPr="00AA5F72">
        <w:rPr>
          <w:rFonts w:ascii="Verdana" w:eastAsia="Times New Roman" w:hAnsi="Verdana" w:cs="Arial"/>
          <w:color w:val="000000" w:themeColor="text1"/>
          <w:lang w:val="es-ES" w:eastAsia="es-CO"/>
        </w:rPr>
        <w:t xml:space="preserve">ocupacional es un acto médico en el que se determinan las condiciones de salud, física, mental y social de quien va a contratar con una entidad pública. Este examen deberá practicarse antes de la suscripción del contrato y en él se interrogan las condiciones de salud del futuro </w:t>
      </w:r>
      <w:r w:rsidRPr="00AA5F72">
        <w:rPr>
          <w:rFonts w:ascii="Verdana" w:eastAsia="Times New Roman" w:hAnsi="Verdana" w:cs="Arial"/>
          <w:color w:val="000000" w:themeColor="text1"/>
          <w:lang w:val="es-ES" w:eastAsia="es-CO"/>
        </w:rPr>
        <w:lastRenderedPageBreak/>
        <w:t>contratista en función de las obligaciones contractuales que se van a ejecutar y el factor de riesgo del contrato</w:t>
      </w:r>
      <w:r w:rsidRPr="00AA5F72">
        <w:rPr>
          <w:rStyle w:val="Refdenotaalpie"/>
          <w:rFonts w:ascii="Verdana" w:eastAsia="Times New Roman" w:hAnsi="Verdana" w:cs="Arial"/>
          <w:color w:val="000000" w:themeColor="text1"/>
          <w:lang w:val="es-ES" w:eastAsia="es-CO"/>
        </w:rPr>
        <w:footnoteReference w:id="11"/>
      </w:r>
      <w:r w:rsidRPr="00AA5F72">
        <w:rPr>
          <w:rFonts w:ascii="Verdana" w:eastAsia="Times New Roman" w:hAnsi="Verdana" w:cs="Arial"/>
          <w:color w:val="000000" w:themeColor="text1"/>
          <w:lang w:val="es-ES" w:eastAsia="es-CO"/>
        </w:rPr>
        <w:t>. La finalidad de este examen consiste en determinar la aptitud del contratista para el ejercicio de las obligaciones del contrato y conocer las restricciones de salud que ameriten adoptar alguna medida administrativa en ejercicio del contrato.</w:t>
      </w:r>
    </w:p>
    <w:p w14:paraId="1A037CFB" w14:textId="77777777" w:rsidR="00095BA4" w:rsidRPr="00AA5F72" w:rsidRDefault="00095BA4" w:rsidP="00095BA4">
      <w:pPr>
        <w:spacing w:after="120" w:line="276" w:lineRule="auto"/>
        <w:ind w:firstLine="709"/>
        <w:jc w:val="both"/>
        <w:rPr>
          <w:rFonts w:ascii="Verdana" w:eastAsia="Times New Roman" w:hAnsi="Verdana" w:cs="Arial"/>
          <w:lang w:val="es-ES" w:eastAsia="es-ES_tradnl"/>
        </w:rPr>
      </w:pPr>
      <w:r w:rsidRPr="00AA5F72">
        <w:rPr>
          <w:rFonts w:ascii="Verdana" w:hAnsi="Verdana" w:cs="Arial"/>
          <w:lang w:val="es-ES" w:eastAsia="es-ES_tradnl"/>
        </w:rPr>
        <w:t xml:space="preserve">Como se refirió anteriormente, </w:t>
      </w:r>
      <w:r w:rsidRPr="00AA5F72">
        <w:rPr>
          <w:rFonts w:ascii="Verdana" w:eastAsia="Times New Roman" w:hAnsi="Verdana" w:cs="Arial"/>
          <w:lang w:val="es-ES" w:eastAsia="es-ES_tradnl"/>
        </w:rPr>
        <w:t>cuando se trata de procesos para la prestación de servicios de salud no es exigible el RUP, por lo cual la acreditación de la experiencia no se realiza a través de este documento. En estos casos, las Entidades tienen autonomía para determinar en los Documentos del Proceso los medios a través de los cuales el proponente puede demostrar su experiencia, siempre que dichos requisitos sean proporcionales al objeto y valor del contrato y no restrinjan injustificadamente la participación. A modo de ejemplo, la experiencia se puede acreditar mediante documentos como el acta de liquidación, el acta de entrega o recibo definitivo, la certificación de cumplimiento, el acta de inicio (para efectos de determinar la fecha de inicio), o cualquier otro documento que permita verificar adecuadamente la ejecución del contrato.</w:t>
      </w:r>
      <w:r w:rsidRPr="00AA5F72">
        <w:rPr>
          <w:rFonts w:ascii="Verdana" w:hAnsi="Verdana" w:cs="Arial"/>
          <w:lang w:val="es-ES" w:eastAsia="es-ES_tradnl"/>
        </w:rPr>
        <w:t xml:space="preserve"> </w:t>
      </w:r>
    </w:p>
    <w:p w14:paraId="12DE64C1" w14:textId="77777777" w:rsidR="00095BA4" w:rsidRPr="00AA5F72" w:rsidRDefault="00095BA4" w:rsidP="00095BA4">
      <w:pPr>
        <w:spacing w:after="120" w:line="276" w:lineRule="auto"/>
        <w:ind w:firstLine="709"/>
        <w:jc w:val="both"/>
        <w:rPr>
          <w:rFonts w:ascii="Verdana" w:eastAsia="Times New Roman" w:hAnsi="Verdana" w:cs="Arial"/>
          <w:lang w:val="es-ES" w:eastAsia="es-ES_tradnl"/>
        </w:rPr>
      </w:pPr>
      <w:r w:rsidRPr="00AA5F72">
        <w:rPr>
          <w:rFonts w:ascii="Verdana" w:eastAsia="Times New Roman" w:hAnsi="Verdana" w:cs="Arial"/>
          <w:lang w:val="es-ES" w:eastAsia="es-ES_tradnl"/>
        </w:rPr>
        <w:t>En conclusión, de acuerdo con su consulta, es fundamental tener presente que en los procesos que tengan por objeto la prestación del servicio de salud, la acreditación de la experiencia no está sujeta al RUP, sino que puede probarse mediante documentos o instrumentos exigidos por las Entidades Estatales, que respalden de forma clara y verificable la ejecución de contratos similares, garantizando así la idoneidad del oferente y la transparencia del proceso de selección.</w:t>
      </w:r>
      <w:r w:rsidRPr="00AA5F72">
        <w:rPr>
          <w:rFonts w:ascii="Verdana" w:hAnsi="Verdana" w:cs="Arial"/>
          <w:lang w:val="es-ES" w:eastAsia="es-ES_tradnl"/>
        </w:rPr>
        <w:t xml:space="preserve"> Sin embargo, la aplicación de esta excepción estará sujeta a que efectivamente se trate de una actividad caracterizada como la prestación del servicio de salud. Para determinar lo anterior en el caso concreto</w:t>
      </w:r>
      <w:r>
        <w:rPr>
          <w:rFonts w:ascii="Verdana" w:hAnsi="Verdana" w:cs="Arial"/>
          <w:lang w:val="es-ES" w:eastAsia="es-ES_tradnl"/>
        </w:rPr>
        <w:t>,</w:t>
      </w:r>
      <w:r w:rsidRPr="00AA5F72">
        <w:rPr>
          <w:rFonts w:ascii="Verdana" w:hAnsi="Verdana" w:cs="Arial"/>
          <w:lang w:val="es-ES" w:eastAsia="es-ES_tradnl"/>
        </w:rPr>
        <w:t xml:space="preserve"> se recomienda tener en cuenta la normativa específica que regula la materia y</w:t>
      </w:r>
      <w:r>
        <w:rPr>
          <w:rFonts w:ascii="Verdana" w:hAnsi="Verdana" w:cs="Arial"/>
          <w:lang w:val="es-ES" w:eastAsia="es-ES_tradnl"/>
        </w:rPr>
        <w:t>,</w:t>
      </w:r>
      <w:r w:rsidRPr="00AA5F72">
        <w:rPr>
          <w:rFonts w:ascii="Verdana" w:hAnsi="Verdana" w:cs="Arial"/>
          <w:lang w:val="es-ES" w:eastAsia="es-ES_tradnl"/>
        </w:rPr>
        <w:t xml:space="preserve"> en caso de duda, consultar al Ministerio de Salud y Protección Social para esclarecer el carácter de dichas actividades. </w:t>
      </w:r>
    </w:p>
    <w:p w14:paraId="78CC0319" w14:textId="77777777" w:rsidR="00095BA4" w:rsidRPr="00AA5F72" w:rsidRDefault="00095BA4" w:rsidP="00095BA4">
      <w:pPr>
        <w:spacing w:after="120" w:line="276" w:lineRule="auto"/>
        <w:ind w:firstLine="709"/>
        <w:jc w:val="both"/>
        <w:rPr>
          <w:rFonts w:ascii="Verdana" w:eastAsia="Calibri" w:hAnsi="Verdana" w:cs="Arial"/>
          <w:color w:val="000000" w:themeColor="text1"/>
          <w:lang w:val="es-ES"/>
        </w:rPr>
      </w:pPr>
      <w:r w:rsidRPr="00AA5F72">
        <w:rPr>
          <w:rFonts w:ascii="Verdana" w:eastAsia="Calibri" w:hAnsi="Verdana" w:cs="Arial"/>
          <w:color w:val="000000" w:themeColor="text1"/>
          <w:lang w:val="es-ES"/>
        </w:rPr>
        <w:t xml:space="preserve">Finalmente debe advertirse, que el análisis para resolver problemas específicos en a un proceso de contratación determinado, debe ser realizado por quienes tengan interés en ello. De esta forma, las afirmaciones aquí realizadas no pueden ser interpretadas como juicios de valor sobre circunstancias concretas relacionadas con los hechos que motivan la consulta. Por lo anterior, previo </w:t>
      </w:r>
      <w:r w:rsidRPr="00AA5F72">
        <w:rPr>
          <w:rFonts w:ascii="Verdana" w:eastAsia="Calibri" w:hAnsi="Verdana" w:cs="Arial"/>
          <w:color w:val="000000" w:themeColor="text1"/>
          <w:lang w:val="es-ES"/>
        </w:rPr>
        <w:lastRenderedPageBreak/>
        <w:t>concepto de sus asesores, la solución de situaciones particulares corresponderá a los interesados de adoptar la decisión y, en caso de conflicto, a las autoridades judiciales, fiscales y disciplinarias.</w:t>
      </w:r>
    </w:p>
    <w:p w14:paraId="459FBEC2" w14:textId="77777777" w:rsidR="00095BA4" w:rsidRPr="00AA5F72" w:rsidRDefault="00095BA4" w:rsidP="00095BA4">
      <w:pPr>
        <w:spacing w:after="0" w:line="276" w:lineRule="auto"/>
        <w:ind w:firstLine="709"/>
        <w:jc w:val="both"/>
        <w:rPr>
          <w:rFonts w:ascii="Verdana" w:eastAsia="Calibri" w:hAnsi="Verdana" w:cs="Arial"/>
          <w:color w:val="000000" w:themeColor="text1"/>
          <w:lang w:val="es-ES"/>
        </w:rPr>
      </w:pPr>
      <w:r w:rsidRPr="00AA5F72">
        <w:rPr>
          <w:rFonts w:ascii="Verdana" w:eastAsia="Calibri" w:hAnsi="Verdana" w:cs="Arial"/>
          <w:color w:val="000000" w:themeColor="text1"/>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1C65E8E1" w14:textId="77777777" w:rsidR="00095BA4" w:rsidRPr="00904C79" w:rsidRDefault="00095BA4" w:rsidP="00095BA4">
      <w:pPr>
        <w:widowControl w:val="0"/>
        <w:autoSpaceDE w:val="0"/>
        <w:autoSpaceDN w:val="0"/>
        <w:spacing w:after="0" w:line="276" w:lineRule="auto"/>
        <w:jc w:val="both"/>
        <w:rPr>
          <w:rFonts w:ascii="Verdana" w:hAnsi="Verdana"/>
          <w:shd w:val="clear" w:color="auto" w:fill="FFFFFF"/>
          <w:lang w:val="es-ES"/>
        </w:rPr>
      </w:pPr>
    </w:p>
    <w:p w14:paraId="0CA3AF65" w14:textId="77777777" w:rsidR="00095BA4" w:rsidRPr="00904C79" w:rsidRDefault="00095BA4" w:rsidP="00095BA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904C79">
        <w:rPr>
          <w:rFonts w:ascii="Verdana" w:eastAsia="Century Gothic" w:hAnsi="Verdana" w:cs="Century Gothic"/>
          <w:b/>
          <w:bCs/>
          <w:color w:val="000000" w:themeColor="text1"/>
        </w:rPr>
        <w:t>Referencias normativas, jurisprudenciales y otras fuentes:</w:t>
      </w:r>
    </w:p>
    <w:p w14:paraId="7E8C7D3F" w14:textId="77777777" w:rsidR="00095BA4" w:rsidRPr="00904C79" w:rsidRDefault="00095BA4" w:rsidP="00095BA4">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5BA4" w:rsidRPr="00904C79" w14:paraId="704D41D7" w14:textId="77777777" w:rsidTr="00574C7C">
        <w:trPr>
          <w:trHeight w:val="870"/>
        </w:trPr>
        <w:tc>
          <w:tcPr>
            <w:tcW w:w="8647" w:type="dxa"/>
          </w:tcPr>
          <w:p w14:paraId="6EADC5A2"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Constitución Política de 1991, artículo 14.</w:t>
            </w:r>
          </w:p>
          <w:p w14:paraId="1B83B97C"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Ley 80 de 1993, artículo 6.</w:t>
            </w:r>
          </w:p>
          <w:p w14:paraId="276F9799"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Ley 590 de 2000, artículo 11.</w:t>
            </w:r>
          </w:p>
          <w:p w14:paraId="7F17A258"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Ley 1150 de 2007, artículos 5 y 6.</w:t>
            </w:r>
          </w:p>
          <w:p w14:paraId="48BBFB09"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Ley 1258 de 2008, artículo 5.</w:t>
            </w:r>
          </w:p>
          <w:p w14:paraId="6E9A65DA"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Decreto Ley 019 de 2012, artículo 166.</w:t>
            </w:r>
          </w:p>
          <w:p w14:paraId="34425761"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Código Civil, artículos 34, 74, 633, 1502 y 1503.</w:t>
            </w:r>
          </w:p>
          <w:p w14:paraId="701EEF64"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 xml:space="preserve">Código de Comercio, artículos 25, 98, 99 y 110. </w:t>
            </w:r>
          </w:p>
          <w:p w14:paraId="6DD2B048" w14:textId="77777777" w:rsidR="00095BA4"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Decreto 2474 de 2008, artículo 10.</w:t>
            </w:r>
          </w:p>
          <w:p w14:paraId="46C1BC28" w14:textId="77777777" w:rsidR="00095BA4" w:rsidRPr="00FE558C"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sz w:val="24"/>
                <w:szCs w:val="24"/>
              </w:rPr>
            </w:pPr>
            <w:r w:rsidRPr="00FE558C">
              <w:rPr>
                <w:rFonts w:ascii="Verdana" w:eastAsia="Times New Roman" w:hAnsi="Verdana" w:cs="Arial"/>
                <w:sz w:val="24"/>
                <w:szCs w:val="24"/>
              </w:rPr>
              <w:t>Resolución 3100 de 2019</w:t>
            </w:r>
            <w:r w:rsidRPr="00FE558C">
              <w:rPr>
                <w:rFonts w:ascii="Verdana" w:hAnsi="Verdana" w:cs="Arial"/>
                <w:sz w:val="24"/>
                <w:szCs w:val="24"/>
              </w:rPr>
              <w:t xml:space="preserve"> del Ministerio de Salud y Protección Social.</w:t>
            </w:r>
          </w:p>
          <w:p w14:paraId="115C2A11"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FE558C">
              <w:rPr>
                <w:rFonts w:ascii="Verdana" w:hAnsi="Verdana" w:cs="Arial"/>
                <w:sz w:val="24"/>
                <w:szCs w:val="24"/>
              </w:rPr>
              <w:t>Resolución No. 1843 de 2025 emitida por el Ministerio del Trabajo</w:t>
            </w:r>
            <w:r>
              <w:rPr>
                <w:rFonts w:ascii="Verdana" w:hAnsi="Verdana" w:cs="Arial"/>
              </w:rPr>
              <w:t>.</w:t>
            </w:r>
          </w:p>
          <w:p w14:paraId="17C6985C"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 xml:space="preserve">Consejo de Estado. Sección Tercera. Subsección A. Sentencia del 19 de septiembre de 2019. </w:t>
            </w:r>
            <w:proofErr w:type="spellStart"/>
            <w:r w:rsidRPr="00904C79">
              <w:rPr>
                <w:rFonts w:ascii="Verdana" w:hAnsi="Verdana" w:cs="Arial"/>
              </w:rPr>
              <w:t>Exp</w:t>
            </w:r>
            <w:proofErr w:type="spellEnd"/>
            <w:r w:rsidRPr="00904C79">
              <w:rPr>
                <w:rFonts w:ascii="Verdana" w:hAnsi="Verdana" w:cs="Arial"/>
              </w:rPr>
              <w:t>. 59.432. C.P. Marta Nubia Velásquez Rico.</w:t>
            </w:r>
          </w:p>
          <w:p w14:paraId="38CFAE28"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t xml:space="preserve">Consejo de Estado. Sección Cuarta. Sentencia del 19 de noviembre de 1999. </w:t>
            </w:r>
            <w:proofErr w:type="spellStart"/>
            <w:r w:rsidRPr="00904C79">
              <w:rPr>
                <w:rFonts w:ascii="Verdana" w:hAnsi="Verdana" w:cs="Arial"/>
              </w:rPr>
              <w:t>Exp</w:t>
            </w:r>
            <w:proofErr w:type="spellEnd"/>
            <w:r w:rsidRPr="00904C79">
              <w:rPr>
                <w:rFonts w:ascii="Verdana" w:hAnsi="Verdana" w:cs="Arial"/>
              </w:rPr>
              <w:t>. 9.453. CP. Daniel Manrique Guzmán.</w:t>
            </w:r>
          </w:p>
          <w:p w14:paraId="1258F8DE"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contextualSpacing w:val="0"/>
              <w:jc w:val="both"/>
              <w:rPr>
                <w:rFonts w:ascii="Verdana" w:hAnsi="Verdana" w:cs="Arial"/>
              </w:rPr>
            </w:pPr>
            <w:r w:rsidRPr="00904C79">
              <w:rPr>
                <w:rFonts w:ascii="Verdana" w:hAnsi="Verdana" w:cs="Arial"/>
              </w:rPr>
              <w:lastRenderedPageBreak/>
              <w:t xml:space="preserve">Consejo de Estado. Sala de Consulta y Servicio Civil. Concepto del 6 de noviembre de 2008. </w:t>
            </w:r>
            <w:proofErr w:type="spellStart"/>
            <w:r w:rsidRPr="00904C79">
              <w:rPr>
                <w:rFonts w:ascii="Verdana" w:hAnsi="Verdana" w:cs="Arial"/>
              </w:rPr>
              <w:t>Exp</w:t>
            </w:r>
            <w:proofErr w:type="spellEnd"/>
            <w:r w:rsidRPr="00904C79">
              <w:rPr>
                <w:rFonts w:ascii="Verdana" w:hAnsi="Verdana" w:cs="Arial"/>
              </w:rPr>
              <w:t>. 1.927. C.P. William Zambrano Cetina.</w:t>
            </w:r>
          </w:p>
          <w:p w14:paraId="7A50294C" w14:textId="77777777" w:rsidR="00095BA4" w:rsidRPr="00904C79" w:rsidRDefault="00095BA4" w:rsidP="00574C7C">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904C79">
              <w:rPr>
                <w:rFonts w:ascii="Verdana" w:hAnsi="Verdana" w:cs="Arial"/>
              </w:rPr>
              <w:t xml:space="preserve">Consejo de Estado. Sección Tercera. Sentencia del 17 de junio del 2024. </w:t>
            </w:r>
            <w:proofErr w:type="spellStart"/>
            <w:r w:rsidRPr="00904C79">
              <w:rPr>
                <w:rFonts w:ascii="Verdana" w:hAnsi="Verdana" w:cs="Arial"/>
              </w:rPr>
              <w:t>Exp</w:t>
            </w:r>
            <w:proofErr w:type="spellEnd"/>
            <w:r w:rsidRPr="00904C79">
              <w:rPr>
                <w:rFonts w:ascii="Verdana" w:hAnsi="Verdana" w:cs="Arial"/>
              </w:rPr>
              <w:t>. 70.326. C.P.</w:t>
            </w:r>
            <w:r w:rsidRPr="00904C79">
              <w:rPr>
                <w:rFonts w:ascii="Verdana" w:hAnsi="Verdana"/>
              </w:rPr>
              <w:t xml:space="preserve"> </w:t>
            </w:r>
            <w:r w:rsidRPr="00904C79">
              <w:rPr>
                <w:rFonts w:ascii="Verdana" w:hAnsi="Verdana" w:cs="Arial"/>
              </w:rPr>
              <w:t>Fredy Ibarra Martínez</w:t>
            </w:r>
          </w:p>
        </w:tc>
      </w:tr>
    </w:tbl>
    <w:p w14:paraId="5EE3D169" w14:textId="77777777" w:rsidR="00095BA4" w:rsidRPr="00904C79" w:rsidRDefault="00095BA4" w:rsidP="00095BA4">
      <w:pPr>
        <w:widowControl w:val="0"/>
        <w:autoSpaceDE w:val="0"/>
        <w:autoSpaceDN w:val="0"/>
        <w:spacing w:after="0" w:line="276" w:lineRule="auto"/>
        <w:jc w:val="both"/>
        <w:rPr>
          <w:rFonts w:ascii="Verdana" w:hAnsi="Verdana" w:cs="Arial"/>
          <w:color w:val="000000" w:themeColor="text1"/>
          <w:lang w:val="es-ES"/>
        </w:rPr>
      </w:pPr>
    </w:p>
    <w:p w14:paraId="64E5902B" w14:textId="77777777" w:rsidR="00095BA4" w:rsidRPr="00904C79" w:rsidRDefault="00095BA4" w:rsidP="00095B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04C79">
        <w:rPr>
          <w:rFonts w:ascii="Verdana" w:eastAsia="Century Gothic" w:hAnsi="Verdana" w:cs="Century Gothic"/>
          <w:b/>
          <w:bCs/>
          <w:color w:val="000000" w:themeColor="text1"/>
        </w:rPr>
        <w:t>Doctrina de la Agencia Nacional de Contratación Pública:</w:t>
      </w:r>
    </w:p>
    <w:p w14:paraId="55D8B875" w14:textId="77777777" w:rsidR="00095BA4" w:rsidRPr="00904C79" w:rsidRDefault="00095BA4" w:rsidP="00095BA4">
      <w:pPr>
        <w:widowControl w:val="0"/>
        <w:autoSpaceDE w:val="0"/>
        <w:autoSpaceDN w:val="0"/>
        <w:spacing w:after="0" w:line="276" w:lineRule="auto"/>
        <w:jc w:val="both"/>
        <w:rPr>
          <w:rFonts w:ascii="Verdana" w:hAnsi="Verdana" w:cs="Arial"/>
          <w:color w:val="000000" w:themeColor="text1"/>
          <w:lang w:val="es-ES"/>
        </w:rPr>
      </w:pPr>
    </w:p>
    <w:p w14:paraId="76293D7D" w14:textId="77777777" w:rsidR="00095BA4" w:rsidRPr="00904C79" w:rsidRDefault="00095BA4" w:rsidP="00095BA4">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904C79">
        <w:rPr>
          <w:rStyle w:val="normaltextrun"/>
          <w:rFonts w:ascii="Verdana" w:hAnsi="Verdana" w:cs="Arial"/>
          <w:color w:val="000000" w:themeColor="text1"/>
          <w:shd w:val="clear" w:color="auto" w:fill="FFFFFF"/>
          <w:lang w:val="es-ES"/>
        </w:rPr>
        <w:t xml:space="preserve">La Agencia Nacional de Contratación Pública – Colombia Compra Eficiente se ha </w:t>
      </w:r>
      <w:r w:rsidRPr="00904C79">
        <w:rPr>
          <w:rFonts w:ascii="Verdana" w:eastAsia="Calibri" w:hAnsi="Verdana" w:cs="Arial"/>
          <w:lang w:val="es-ES" w:eastAsia="es-ES_tradnl"/>
        </w:rPr>
        <w:t>pronunciado sobre las problemáticas asociadas al RUP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w:t>
      </w:r>
      <w:r w:rsidRPr="00904C79">
        <w:rPr>
          <w:rFonts w:ascii="Verdana" w:hAnsi="Verdana" w:cs="Arial"/>
          <w:shd w:val="clear" w:color="auto" w:fill="FFFFFF"/>
          <w:lang w:val="es-ES"/>
        </w:rPr>
        <w:t xml:space="preserve">, C-353 del 30 de agosto de 2024, </w:t>
      </w:r>
      <w:r w:rsidRPr="00904C79">
        <w:rPr>
          <w:rFonts w:ascii="Verdana" w:eastAsia="Calibri" w:hAnsi="Verdana" w:cs="Arial"/>
          <w:color w:val="000000" w:themeColor="text1"/>
          <w:lang w:val="es-ES" w:eastAsia="es-ES"/>
        </w:rPr>
        <w:t>C-349 del 20 de abril de 2025,</w:t>
      </w:r>
      <w:r w:rsidRPr="00904C79">
        <w:rPr>
          <w:rFonts w:ascii="Verdana" w:eastAsia="Calibri" w:hAnsi="Verdana" w:cs="Arial"/>
          <w:b/>
          <w:bCs/>
          <w:color w:val="000000" w:themeColor="text1"/>
          <w:lang w:val="es-ES" w:eastAsia="es-ES"/>
        </w:rPr>
        <w:t xml:space="preserve"> </w:t>
      </w:r>
      <w:r w:rsidRPr="00904C79">
        <w:rPr>
          <w:rFonts w:ascii="Verdana" w:eastAsia="Calibri" w:hAnsi="Verdana" w:cs="Times New Roman"/>
          <w:lang w:val="es-ES"/>
        </w:rPr>
        <w:t>entre otros</w:t>
      </w:r>
      <w:r w:rsidRPr="00904C79">
        <w:rPr>
          <w:rFonts w:ascii="Verdana" w:hAnsi="Verdana" w:cs="Arial"/>
          <w:lang w:val="es-ES"/>
        </w:rPr>
        <w:t xml:space="preserve"> . </w:t>
      </w:r>
      <w:r w:rsidRPr="00904C79">
        <w:rPr>
          <w:rFonts w:ascii="Verdana" w:hAnsi="Verdana" w:cs="Arial"/>
          <w:color w:val="000000" w:themeColor="text1"/>
          <w:shd w:val="clear" w:color="auto" w:fill="FFFFFF"/>
          <w:lang w:val="es-ES"/>
        </w:rPr>
        <w:t xml:space="preserve">Estos </w:t>
      </w:r>
      <w:r w:rsidRPr="00904C79">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3" w:history="1">
        <w:r w:rsidRPr="00904C79">
          <w:rPr>
            <w:rStyle w:val="Hipervnculo"/>
            <w:rFonts w:ascii="Verdana" w:hAnsi="Verdana" w:cs="Arial"/>
            <w:shd w:val="clear" w:color="auto" w:fill="FFFFFF"/>
            <w:lang w:val="es-ES"/>
          </w:rPr>
          <w:t>https://relatoria.colombiacompra.gov.co/busqueda/conceptos</w:t>
        </w:r>
      </w:hyperlink>
      <w:r w:rsidRPr="00904C79">
        <w:rPr>
          <w:rStyle w:val="Hipervnculo"/>
          <w:rFonts w:ascii="Verdana" w:hAnsi="Verdana"/>
          <w:lang w:val="es-ES"/>
        </w:rPr>
        <w:t>.</w:t>
      </w:r>
      <w:r w:rsidRPr="00904C79">
        <w:rPr>
          <w:rStyle w:val="normaltextrun"/>
          <w:rFonts w:ascii="Verdana" w:hAnsi="Verdana" w:cs="Arial"/>
          <w:color w:val="000000" w:themeColor="text1"/>
          <w:shd w:val="clear" w:color="auto" w:fill="FFFFFF"/>
          <w:lang w:val="es-ES"/>
        </w:rPr>
        <w:t xml:space="preserve">  </w:t>
      </w:r>
    </w:p>
    <w:p w14:paraId="2728CE36" w14:textId="77777777" w:rsidR="00095BA4" w:rsidRPr="00904C79" w:rsidRDefault="00095BA4" w:rsidP="00095BA4">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37BB360" w14:textId="77777777" w:rsidR="00095BA4" w:rsidRPr="00904C79" w:rsidRDefault="00095BA4" w:rsidP="00095BA4">
      <w:pPr>
        <w:spacing w:after="0" w:line="276" w:lineRule="auto"/>
        <w:contextualSpacing/>
        <w:jc w:val="both"/>
        <w:rPr>
          <w:rFonts w:ascii="Verdana" w:hAnsi="Verdana"/>
          <w:lang w:val="es-ES"/>
        </w:rPr>
      </w:pPr>
      <w:r w:rsidRPr="00904C79">
        <w:rPr>
          <w:rFonts w:ascii="Verdana" w:hAnsi="Verdana"/>
          <w:lang w:val="es-ES"/>
        </w:rPr>
        <w:t>También le contamos que ya se encuentra disponible la </w:t>
      </w:r>
      <w:r w:rsidRPr="00904C79">
        <w:rPr>
          <w:rFonts w:ascii="Verdana" w:hAnsi="Verdana"/>
          <w:b/>
          <w:bCs/>
          <w:lang w:val="es-ES"/>
        </w:rPr>
        <w:t>Guía de lineamientos de transparencia y selección objetiva para el departamento de La Guajira – Objetivo sexto constitucional de la Sentencia T-302 del 2017. </w:t>
      </w:r>
      <w:r w:rsidRPr="00904C79">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04C79">
        <w:rPr>
          <w:rFonts w:ascii="Verdana" w:hAnsi="Verdana"/>
          <w:lang w:val="es-ES"/>
        </w:rPr>
        <w:t>Wayúu</w:t>
      </w:r>
      <w:proofErr w:type="spellEnd"/>
      <w:r w:rsidRPr="00904C79">
        <w:rPr>
          <w:rFonts w:ascii="Verdana" w:hAnsi="Verdana"/>
          <w:lang w:val="es-ES"/>
        </w:rPr>
        <w:t>. Puede consultar la guía en el siguiente enlace: </w:t>
      </w:r>
      <w:hyperlink r:id="rId14" w:tgtFrame="_blank" w:tooltip="Original URL: https://www.colombiacompra.gov.co/wp-content/uploads/2025/05/GUIA-DE-LINEAMIENTOS-DE-TRANSPARENCIA-Y-SELECCION-OBJETIVA-1.0.pdf. Click or tap if you trust this link." w:history="1">
        <w:r w:rsidRPr="00904C79">
          <w:rPr>
            <w:rStyle w:val="Hipervnculo"/>
            <w:rFonts w:ascii="Verdana" w:hAnsi="Verdana"/>
            <w:lang w:val="es-ES"/>
          </w:rPr>
          <w:t>Guía de lineamientos de transparencia y selección objetiva para el departamento de La Guajira – Objetivo sexto constitucional de la Sentencia T-302 del 2017</w:t>
        </w:r>
      </w:hyperlink>
      <w:r w:rsidRPr="00904C79">
        <w:rPr>
          <w:rFonts w:ascii="Verdana" w:hAnsi="Verdana"/>
          <w:u w:val="single"/>
          <w:lang w:val="es-ES"/>
        </w:rPr>
        <w:t>"</w:t>
      </w:r>
    </w:p>
    <w:p w14:paraId="1B9D47D6" w14:textId="77777777" w:rsidR="00095BA4" w:rsidRPr="00904C79" w:rsidRDefault="00095BA4" w:rsidP="00095BA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BD9AE09" w14:textId="77777777" w:rsidR="00095BA4" w:rsidRPr="00904C79" w:rsidRDefault="00095BA4" w:rsidP="00095BA4">
      <w:pPr>
        <w:spacing w:after="0" w:line="276" w:lineRule="auto"/>
        <w:jc w:val="both"/>
        <w:rPr>
          <w:rFonts w:ascii="Verdana" w:hAnsi="Verdana"/>
          <w:lang w:val="es-ES"/>
        </w:rPr>
      </w:pPr>
      <w:r w:rsidRPr="00904C79">
        <w:rPr>
          <w:rFonts w:ascii="Verdana" w:hAnsi="Verdana"/>
          <w:lang w:val="es-ES"/>
        </w:rPr>
        <w:t xml:space="preserve">Por último, lo invitamos a seguirnos en las redes sociales en las cuales se difunde información institucional: </w:t>
      </w:r>
    </w:p>
    <w:p w14:paraId="68F6928B" w14:textId="77777777" w:rsidR="00095BA4" w:rsidRPr="00904C79" w:rsidRDefault="00095BA4" w:rsidP="00095BA4">
      <w:pPr>
        <w:spacing w:after="0" w:line="276" w:lineRule="auto"/>
        <w:jc w:val="both"/>
        <w:rPr>
          <w:rFonts w:ascii="Verdana" w:hAnsi="Verdana"/>
          <w:lang w:val="es-ES"/>
        </w:rPr>
      </w:pPr>
    </w:p>
    <w:p w14:paraId="5660C153" w14:textId="77777777" w:rsidR="00095BA4" w:rsidRPr="00904C79" w:rsidRDefault="00095BA4" w:rsidP="00095BA4">
      <w:pPr>
        <w:spacing w:after="0" w:line="276" w:lineRule="auto"/>
        <w:jc w:val="both"/>
        <w:rPr>
          <w:rFonts w:ascii="Verdana" w:hAnsi="Verdana"/>
          <w:lang w:val="es-ES"/>
        </w:rPr>
      </w:pPr>
      <w:r w:rsidRPr="00904C79">
        <w:rPr>
          <w:rFonts w:ascii="Verdana" w:hAnsi="Verdana"/>
          <w:lang w:val="es-ES"/>
        </w:rPr>
        <w:t xml:space="preserve">Twitter: </w:t>
      </w:r>
      <w:r w:rsidRPr="00904C79">
        <w:rPr>
          <w:rStyle w:val="Hipervnculo"/>
          <w:rFonts w:ascii="Verdana" w:hAnsi="Verdana" w:cs="Arial"/>
          <w:shd w:val="clear" w:color="auto" w:fill="FFFFFF"/>
          <w:lang w:val="es-ES"/>
        </w:rPr>
        <w:t>@colombiacompra</w:t>
      </w:r>
      <w:r w:rsidRPr="00904C79">
        <w:rPr>
          <w:rFonts w:ascii="Verdana" w:hAnsi="Verdana"/>
          <w:color w:val="4472C4" w:themeColor="accent1"/>
          <w:lang w:val="es-ES"/>
        </w:rPr>
        <w:t xml:space="preserve"> </w:t>
      </w:r>
    </w:p>
    <w:p w14:paraId="58E57D65" w14:textId="77777777" w:rsidR="00095BA4" w:rsidRPr="00904C79" w:rsidRDefault="00095BA4" w:rsidP="00095BA4">
      <w:pPr>
        <w:spacing w:after="0" w:line="276" w:lineRule="auto"/>
        <w:jc w:val="both"/>
        <w:rPr>
          <w:rFonts w:ascii="Verdana" w:hAnsi="Verdana"/>
          <w:lang w:val="es-ES"/>
        </w:rPr>
      </w:pPr>
      <w:r w:rsidRPr="00904C79">
        <w:rPr>
          <w:rFonts w:ascii="Verdana" w:hAnsi="Verdana"/>
          <w:lang w:val="es-ES"/>
        </w:rPr>
        <w:t xml:space="preserve">Facebook: </w:t>
      </w:r>
      <w:proofErr w:type="spellStart"/>
      <w:r w:rsidRPr="00904C79">
        <w:rPr>
          <w:rStyle w:val="Hipervnculo"/>
          <w:rFonts w:ascii="Verdana" w:hAnsi="Verdana" w:cs="Arial"/>
          <w:shd w:val="clear" w:color="auto" w:fill="FFFFFF"/>
          <w:lang w:val="es-ES"/>
        </w:rPr>
        <w:t>ColombiaCompraEficiente</w:t>
      </w:r>
      <w:proofErr w:type="spellEnd"/>
    </w:p>
    <w:p w14:paraId="77086946" w14:textId="77777777" w:rsidR="00095BA4" w:rsidRPr="00904C79" w:rsidRDefault="00095BA4" w:rsidP="00095BA4">
      <w:pPr>
        <w:spacing w:after="0" w:line="276" w:lineRule="auto"/>
        <w:jc w:val="both"/>
        <w:rPr>
          <w:rFonts w:ascii="Verdana" w:hAnsi="Verdana"/>
          <w:lang w:val="es-ES"/>
        </w:rPr>
      </w:pPr>
      <w:r w:rsidRPr="00904C79">
        <w:rPr>
          <w:rFonts w:ascii="Verdana" w:hAnsi="Verdana"/>
          <w:lang w:val="es-ES"/>
        </w:rPr>
        <w:lastRenderedPageBreak/>
        <w:t xml:space="preserve">LinkedIn: </w:t>
      </w:r>
      <w:r w:rsidRPr="00904C79">
        <w:rPr>
          <w:rStyle w:val="Hipervnculo"/>
          <w:rFonts w:ascii="Verdana" w:hAnsi="Verdana" w:cs="Arial"/>
          <w:shd w:val="clear" w:color="auto" w:fill="FFFFFF"/>
          <w:lang w:val="es-ES"/>
        </w:rPr>
        <w:t xml:space="preserve">Agencia Nacional de Contratación Pública - Colombia Compra Eficiente </w:t>
      </w:r>
      <w:r w:rsidRPr="00904C79">
        <w:rPr>
          <w:rFonts w:ascii="Verdana" w:hAnsi="Verdana"/>
          <w:lang w:val="es-ES"/>
        </w:rPr>
        <w:t xml:space="preserve">Instagram: </w:t>
      </w:r>
      <w:r w:rsidRPr="00904C79">
        <w:rPr>
          <w:rStyle w:val="Hipervnculo"/>
          <w:rFonts w:ascii="Verdana" w:hAnsi="Verdana" w:cs="Arial"/>
          <w:shd w:val="clear" w:color="auto" w:fill="FFFFFF"/>
          <w:lang w:val="es-ES"/>
        </w:rPr>
        <w:t>@colombiacompraeficiente_cce</w:t>
      </w:r>
    </w:p>
    <w:p w14:paraId="18BB9D9D" w14:textId="77777777" w:rsidR="00095BA4" w:rsidRPr="00904C79" w:rsidRDefault="00095BA4" w:rsidP="00095BA4">
      <w:pPr>
        <w:widowControl w:val="0"/>
        <w:autoSpaceDE w:val="0"/>
        <w:autoSpaceDN w:val="0"/>
        <w:spacing w:after="0" w:line="276" w:lineRule="auto"/>
        <w:jc w:val="both"/>
        <w:rPr>
          <w:rFonts w:ascii="Verdana" w:hAnsi="Verdana" w:cs="Arial"/>
          <w:color w:val="000000" w:themeColor="text1"/>
          <w:lang w:val="es-ES"/>
        </w:rPr>
      </w:pPr>
    </w:p>
    <w:p w14:paraId="709A5B30" w14:textId="77777777" w:rsidR="00095BA4" w:rsidRPr="00904C79" w:rsidRDefault="00095BA4" w:rsidP="00095BA4">
      <w:pPr>
        <w:widowControl w:val="0"/>
        <w:autoSpaceDE w:val="0"/>
        <w:autoSpaceDN w:val="0"/>
        <w:spacing w:after="0" w:line="276" w:lineRule="auto"/>
        <w:jc w:val="both"/>
        <w:rPr>
          <w:rFonts w:ascii="Verdana" w:hAnsi="Verdana" w:cs="Arial"/>
          <w:color w:val="000000" w:themeColor="text1"/>
          <w:lang w:val="es-ES"/>
        </w:rPr>
      </w:pPr>
      <w:r w:rsidRPr="00904C79">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CA92164" w14:textId="77777777" w:rsidR="00095BA4" w:rsidRPr="00904C79" w:rsidRDefault="00095BA4" w:rsidP="00095BA4">
      <w:pPr>
        <w:widowControl w:val="0"/>
        <w:autoSpaceDE w:val="0"/>
        <w:autoSpaceDN w:val="0"/>
        <w:spacing w:after="0" w:line="276" w:lineRule="auto"/>
        <w:jc w:val="both"/>
        <w:rPr>
          <w:rFonts w:ascii="Verdana" w:hAnsi="Verdana" w:cs="Arial"/>
          <w:color w:val="000000" w:themeColor="text1"/>
          <w:lang w:val="es-ES"/>
        </w:rPr>
      </w:pPr>
    </w:p>
    <w:p w14:paraId="2F72FB54" w14:textId="671BB077" w:rsidR="00095BA4" w:rsidRPr="00904C79" w:rsidRDefault="00095BA4" w:rsidP="00095BA4">
      <w:pPr>
        <w:spacing w:after="0" w:line="276" w:lineRule="auto"/>
        <w:rPr>
          <w:rFonts w:ascii="Verdana" w:hAnsi="Verdana" w:cs="Arial"/>
          <w:color w:val="000000" w:themeColor="text1"/>
          <w:lang w:val="es-ES" w:eastAsia="es-CO"/>
        </w:rPr>
      </w:pPr>
      <w:r w:rsidRPr="00904C79">
        <w:rPr>
          <w:rFonts w:ascii="Verdana" w:eastAsia="Times New Roman" w:hAnsi="Verdana" w:cs="Arial"/>
          <w:color w:val="000000" w:themeColor="text1"/>
          <w:lang w:val="es-ES" w:eastAsia="es-CO"/>
        </w:rPr>
        <w:t>Atentamente,</w:t>
      </w:r>
      <w:r w:rsidRPr="00904C79">
        <w:rPr>
          <w:rFonts w:ascii="Verdana" w:hAnsi="Verdana" w:cs="Arial"/>
          <w:color w:val="000000" w:themeColor="text1"/>
          <w:lang w:val="es-ES" w:eastAsia="es-CO"/>
        </w:rPr>
        <w:t xml:space="preserve"> </w:t>
      </w:r>
    </w:p>
    <w:p w14:paraId="6920A50C" w14:textId="081093C8" w:rsidR="00095BA4" w:rsidRPr="00904C79" w:rsidRDefault="00125467" w:rsidP="00095BA4">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7F02056B" wp14:editId="020E59C4">
            <wp:simplePos x="0" y="0"/>
            <wp:positionH relativeFrom="column">
              <wp:posOffset>1121308</wp:posOffset>
            </wp:positionH>
            <wp:positionV relativeFrom="paragraph">
              <wp:posOffset>52455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5BA4" w:rsidRPr="00904C79" w14:paraId="2CB3F509" w14:textId="77777777" w:rsidTr="00574C7C">
        <w:trPr>
          <w:trHeight w:val="315"/>
        </w:trPr>
        <w:tc>
          <w:tcPr>
            <w:tcW w:w="893" w:type="dxa"/>
            <w:vAlign w:val="center"/>
            <w:hideMark/>
          </w:tcPr>
          <w:p w14:paraId="2468ADE7" w14:textId="77777777" w:rsidR="00095BA4" w:rsidRPr="00904C79" w:rsidRDefault="00095BA4" w:rsidP="00574C7C">
            <w:pPr>
              <w:contextualSpacing/>
              <w:rPr>
                <w:rFonts w:ascii="Verdana" w:hAnsi="Verdana" w:cs="Arial"/>
                <w:sz w:val="16"/>
                <w:szCs w:val="16"/>
                <w:lang w:val="es-ES" w:eastAsia="es-ES"/>
              </w:rPr>
            </w:pPr>
            <w:r w:rsidRPr="00904C7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E44A03" w14:textId="77777777" w:rsidR="00095BA4" w:rsidRPr="00904C79" w:rsidRDefault="00095BA4" w:rsidP="00574C7C">
            <w:pPr>
              <w:contextualSpacing/>
              <w:rPr>
                <w:rFonts w:ascii="Verdana" w:eastAsia="Arial" w:hAnsi="Verdana" w:cs="Arial"/>
                <w:color w:val="000000" w:themeColor="text1"/>
                <w:sz w:val="16"/>
                <w:szCs w:val="16"/>
                <w:lang w:val="es-ES"/>
              </w:rPr>
            </w:pPr>
            <w:r w:rsidRPr="00904C79">
              <w:rPr>
                <w:rFonts w:ascii="Verdana" w:eastAsia="Arial" w:hAnsi="Verdana" w:cs="Arial"/>
                <w:color w:val="000000" w:themeColor="text1"/>
                <w:sz w:val="16"/>
                <w:szCs w:val="16"/>
                <w:lang w:val="es-ES"/>
              </w:rPr>
              <w:t>Anamaría Bonilla Prieto</w:t>
            </w:r>
          </w:p>
          <w:p w14:paraId="76F83FC9" w14:textId="77777777" w:rsidR="00095BA4" w:rsidRPr="00904C79" w:rsidRDefault="00095BA4" w:rsidP="00574C7C">
            <w:pPr>
              <w:contextualSpacing/>
              <w:rPr>
                <w:rFonts w:ascii="Verdana" w:eastAsia="Arial" w:hAnsi="Verdana" w:cs="Arial"/>
                <w:sz w:val="16"/>
                <w:szCs w:val="16"/>
                <w:lang w:val="es-ES"/>
              </w:rPr>
            </w:pPr>
            <w:r w:rsidRPr="00904C79">
              <w:rPr>
                <w:rStyle w:val="normaltextrun"/>
                <w:rFonts w:ascii="Verdana" w:eastAsia="Arial" w:hAnsi="Verdana" w:cs="Arial"/>
                <w:color w:val="000000" w:themeColor="text1"/>
                <w:sz w:val="16"/>
                <w:szCs w:val="16"/>
                <w:lang w:val="es-ES"/>
              </w:rPr>
              <w:t xml:space="preserve">Contratista de la Subdirección </w:t>
            </w:r>
            <w:r w:rsidRPr="00904C79">
              <w:rPr>
                <w:rStyle w:val="normaltextrun"/>
                <w:rFonts w:ascii="Verdana" w:eastAsia="Arial" w:hAnsi="Verdana" w:cs="Arial"/>
                <w:sz w:val="16"/>
                <w:szCs w:val="16"/>
                <w:lang w:val="es-ES"/>
              </w:rPr>
              <w:t>de Gestión Contractual</w:t>
            </w:r>
          </w:p>
        </w:tc>
      </w:tr>
      <w:tr w:rsidR="00095BA4" w:rsidRPr="00904C79" w14:paraId="3C874D7E" w14:textId="77777777" w:rsidTr="00574C7C">
        <w:trPr>
          <w:trHeight w:val="330"/>
        </w:trPr>
        <w:tc>
          <w:tcPr>
            <w:tcW w:w="893" w:type="dxa"/>
            <w:vAlign w:val="center"/>
            <w:hideMark/>
          </w:tcPr>
          <w:p w14:paraId="0ECC2D38" w14:textId="77777777" w:rsidR="00095BA4" w:rsidRPr="00904C79" w:rsidRDefault="00095BA4" w:rsidP="00574C7C">
            <w:pPr>
              <w:contextualSpacing/>
              <w:rPr>
                <w:rFonts w:ascii="Verdana" w:hAnsi="Verdana" w:cs="Arial"/>
                <w:sz w:val="16"/>
                <w:szCs w:val="16"/>
                <w:lang w:val="es-ES" w:eastAsia="es-ES"/>
              </w:rPr>
            </w:pPr>
            <w:r w:rsidRPr="00904C7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443237D" w14:textId="77777777" w:rsidR="00C20A30" w:rsidRDefault="00C20A30" w:rsidP="00574C7C">
            <w:pPr>
              <w:pStyle w:val="paragraph"/>
              <w:spacing w:before="0" w:beforeAutospacing="0" w:after="0" w:afterAutospacing="0"/>
              <w:contextualSpacing/>
              <w:textAlignment w:val="baseline"/>
              <w:rPr>
                <w:rFonts w:ascii="Verdana" w:hAnsi="Verdana" w:cs="Arial"/>
                <w:sz w:val="16"/>
                <w:szCs w:val="16"/>
                <w:lang w:val="es-ES"/>
              </w:rPr>
            </w:pPr>
            <w:r>
              <w:rPr>
                <w:rFonts w:ascii="Verdana" w:hAnsi="Verdana" w:cs="Arial"/>
                <w:sz w:val="16"/>
                <w:szCs w:val="16"/>
                <w:lang w:val="es-ES"/>
              </w:rPr>
              <w:t>Diana Lucía Saavedra</w:t>
            </w:r>
          </w:p>
          <w:p w14:paraId="023814EC" w14:textId="3CE63EE4" w:rsidR="00095BA4" w:rsidRPr="00904C79" w:rsidRDefault="00C20A30" w:rsidP="00574C7C">
            <w:pPr>
              <w:pStyle w:val="paragraph"/>
              <w:spacing w:before="0" w:beforeAutospacing="0" w:after="0" w:afterAutospacing="0"/>
              <w:contextualSpacing/>
              <w:textAlignment w:val="baseline"/>
              <w:rPr>
                <w:rFonts w:ascii="Verdana" w:hAnsi="Verdana" w:cs="Segoe UI"/>
                <w:sz w:val="16"/>
                <w:szCs w:val="16"/>
                <w:lang w:val="es-ES"/>
              </w:rPr>
            </w:pPr>
            <w:r w:rsidRPr="00904C79">
              <w:rPr>
                <w:rStyle w:val="normaltextrun"/>
                <w:rFonts w:ascii="Verdana" w:eastAsia="Arial" w:hAnsi="Verdana" w:cs="Arial"/>
                <w:color w:val="000000" w:themeColor="text1"/>
                <w:sz w:val="16"/>
                <w:szCs w:val="16"/>
                <w:lang w:val="es-ES"/>
              </w:rPr>
              <w:t xml:space="preserve">Contratista de la Subdirección </w:t>
            </w:r>
            <w:r w:rsidRPr="00904C79">
              <w:rPr>
                <w:rStyle w:val="normaltextrun"/>
                <w:rFonts w:ascii="Verdana" w:eastAsia="Arial" w:hAnsi="Verdana" w:cs="Arial"/>
                <w:sz w:val="16"/>
                <w:szCs w:val="16"/>
                <w:lang w:val="es-ES"/>
              </w:rPr>
              <w:t>de Gestión Contractual</w:t>
            </w:r>
          </w:p>
        </w:tc>
      </w:tr>
      <w:tr w:rsidR="00095BA4" w:rsidRPr="00904C79" w14:paraId="6393EF35" w14:textId="77777777" w:rsidTr="00574C7C">
        <w:trPr>
          <w:trHeight w:val="300"/>
        </w:trPr>
        <w:tc>
          <w:tcPr>
            <w:tcW w:w="893" w:type="dxa"/>
            <w:vAlign w:val="center"/>
          </w:tcPr>
          <w:p w14:paraId="2DB4B79D" w14:textId="77777777" w:rsidR="00095BA4" w:rsidRPr="00904C79" w:rsidRDefault="00095BA4" w:rsidP="00574C7C">
            <w:pPr>
              <w:contextualSpacing/>
              <w:rPr>
                <w:rFonts w:ascii="Verdana" w:hAnsi="Verdana" w:cs="Arial"/>
                <w:sz w:val="16"/>
                <w:szCs w:val="16"/>
                <w:lang w:val="es-ES" w:eastAsia="es-ES"/>
              </w:rPr>
            </w:pPr>
            <w:r w:rsidRPr="00904C7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8F4CE8A" w14:textId="77777777" w:rsidR="00095BA4" w:rsidRPr="00904C79" w:rsidRDefault="00095BA4" w:rsidP="00574C7C">
            <w:pPr>
              <w:contextualSpacing/>
              <w:rPr>
                <w:rFonts w:ascii="Verdana" w:eastAsia="Calibri" w:hAnsi="Verdana" w:cs="Arial"/>
                <w:sz w:val="16"/>
                <w:szCs w:val="16"/>
                <w:lang w:val="es-ES" w:eastAsia="es-ES"/>
              </w:rPr>
            </w:pPr>
            <w:r w:rsidRPr="00904C79">
              <w:rPr>
                <w:rFonts w:ascii="Verdana" w:eastAsia="Calibri" w:hAnsi="Verdana" w:cs="Arial"/>
                <w:sz w:val="16"/>
                <w:szCs w:val="16"/>
                <w:lang w:val="es-ES" w:eastAsia="es-ES"/>
              </w:rPr>
              <w:t>Carolina Quintero Gacharná</w:t>
            </w:r>
          </w:p>
          <w:p w14:paraId="32A44911" w14:textId="77777777" w:rsidR="00095BA4" w:rsidRPr="00904C79" w:rsidRDefault="00095BA4" w:rsidP="00574C7C">
            <w:pPr>
              <w:contextualSpacing/>
              <w:rPr>
                <w:rFonts w:ascii="Verdana" w:eastAsia="Calibri" w:hAnsi="Verdana" w:cs="Arial"/>
                <w:sz w:val="16"/>
                <w:szCs w:val="16"/>
                <w:lang w:val="es-ES" w:eastAsia="es-ES"/>
              </w:rPr>
            </w:pPr>
            <w:r w:rsidRPr="00904C79">
              <w:rPr>
                <w:rFonts w:ascii="Verdana" w:eastAsia="Calibri" w:hAnsi="Verdana" w:cs="Arial"/>
                <w:sz w:val="16"/>
                <w:szCs w:val="16"/>
                <w:lang w:val="es-ES" w:eastAsia="es-ES"/>
              </w:rPr>
              <w:t>Subdirectora de Gestión Contractual ANCP – CCE</w:t>
            </w:r>
          </w:p>
        </w:tc>
      </w:tr>
      <w:bookmarkEnd w:id="0"/>
    </w:tbl>
    <w:p w14:paraId="3D4CC2E2" w14:textId="77777777" w:rsidR="00095BA4" w:rsidRPr="00904C79" w:rsidRDefault="00095BA4" w:rsidP="00095BA4">
      <w:pPr>
        <w:spacing w:after="0"/>
        <w:rPr>
          <w:rFonts w:ascii="Verdana" w:hAnsi="Verdana"/>
          <w:lang w:val="es-ES"/>
        </w:rPr>
      </w:pPr>
    </w:p>
    <w:p w14:paraId="0F293BF4" w14:textId="32458208" w:rsidR="00127233" w:rsidRPr="00095BA4" w:rsidRDefault="00127233" w:rsidP="00095BA4"/>
    <w:sectPr w:rsidR="00127233" w:rsidRPr="00095BA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24075" w14:textId="77777777" w:rsidR="00C04850" w:rsidRDefault="00C04850" w:rsidP="004A1847">
      <w:pPr>
        <w:spacing w:after="0" w:line="240" w:lineRule="auto"/>
      </w:pPr>
      <w:r>
        <w:separator/>
      </w:r>
    </w:p>
  </w:endnote>
  <w:endnote w:type="continuationSeparator" w:id="0">
    <w:p w14:paraId="1FF2A292" w14:textId="77777777" w:rsidR="00C04850" w:rsidRDefault="00C04850" w:rsidP="004A1847">
      <w:pPr>
        <w:spacing w:after="0" w:line="240" w:lineRule="auto"/>
      </w:pPr>
      <w:r>
        <w:continuationSeparator/>
      </w:r>
    </w:p>
  </w:endnote>
  <w:endnote w:type="continuationNotice" w:id="1">
    <w:p w14:paraId="2F9DDA4A" w14:textId="77777777" w:rsidR="00C04850" w:rsidRDefault="00C048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708AE" w14:textId="77777777" w:rsidR="00C04850" w:rsidRDefault="00C04850" w:rsidP="004A1847">
      <w:pPr>
        <w:spacing w:after="0" w:line="240" w:lineRule="auto"/>
      </w:pPr>
      <w:r>
        <w:separator/>
      </w:r>
    </w:p>
  </w:footnote>
  <w:footnote w:type="continuationSeparator" w:id="0">
    <w:p w14:paraId="2498A5F8" w14:textId="77777777" w:rsidR="00C04850" w:rsidRDefault="00C04850" w:rsidP="004A1847">
      <w:pPr>
        <w:spacing w:after="0" w:line="240" w:lineRule="auto"/>
      </w:pPr>
      <w:r>
        <w:continuationSeparator/>
      </w:r>
    </w:p>
  </w:footnote>
  <w:footnote w:type="continuationNotice" w:id="1">
    <w:p w14:paraId="70CEAE20" w14:textId="77777777" w:rsidR="00C04850" w:rsidRDefault="00C04850">
      <w:pPr>
        <w:spacing w:after="0" w:line="240" w:lineRule="auto"/>
      </w:pPr>
    </w:p>
  </w:footnote>
  <w:footnote w:id="2">
    <w:p w14:paraId="44FA1A8B" w14:textId="20AEA0BB" w:rsidR="00095BA4" w:rsidRPr="009C5A40" w:rsidRDefault="00095BA4" w:rsidP="00CC0E9C">
      <w:pPr>
        <w:pStyle w:val="Textonotapie"/>
        <w:ind w:firstLine="709"/>
        <w:contextualSpacing/>
        <w:jc w:val="both"/>
        <w:rPr>
          <w:rFonts w:ascii="Verdana" w:hAnsi="Verdana" w:cs="Arial"/>
          <w:color w:val="000000" w:themeColor="text1"/>
          <w:sz w:val="16"/>
          <w:szCs w:val="16"/>
        </w:rPr>
      </w:pPr>
      <w:r w:rsidRPr="009C5A40">
        <w:rPr>
          <w:rStyle w:val="Refdenotaalpie"/>
          <w:rFonts w:ascii="Verdana" w:hAnsi="Verdana" w:cs="Arial"/>
          <w:color w:val="000000" w:themeColor="text1"/>
          <w:sz w:val="16"/>
          <w:szCs w:val="16"/>
        </w:rPr>
        <w:footnoteRef/>
      </w:r>
      <w:r w:rsidRPr="009C5A40">
        <w:rPr>
          <w:rFonts w:ascii="Verdana" w:hAnsi="Verdana" w:cs="Arial"/>
          <w:color w:val="000000" w:themeColor="text1"/>
          <w:sz w:val="16"/>
          <w:szCs w:val="16"/>
        </w:rPr>
        <w:t xml:space="preserve">Resolución 2346 de 2007 del 11 de julio de 2007, expedida por el  Ministerio de la Protección Social. </w:t>
      </w:r>
    </w:p>
  </w:footnote>
  <w:footnote w:id="3">
    <w:p w14:paraId="49D92428"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Style w:val="Refdenotaalpie"/>
          <w:rFonts w:ascii="Verdana" w:hAnsi="Verdana" w:cs="Arial"/>
          <w:sz w:val="16"/>
          <w:szCs w:val="16"/>
        </w:rPr>
        <w:footnoteRef/>
      </w:r>
      <w:r w:rsidRPr="009C5A40">
        <w:rPr>
          <w:rFonts w:ascii="Verdana" w:hAnsi="Verdana" w:cs="Arial"/>
          <w:sz w:val="16"/>
          <w:szCs w:val="16"/>
        </w:rPr>
        <w:t xml:space="preserve"> </w:t>
      </w:r>
      <w:r w:rsidRPr="009C5A40">
        <w:rPr>
          <w:rFonts w:ascii="Verdana" w:hAnsi="Verdana" w:cs="Arial"/>
          <w:sz w:val="16"/>
          <w:szCs w:val="16"/>
          <w:lang w:eastAsia="es-CO"/>
        </w:rPr>
        <w:t xml:space="preserve">Ley 1150 de 2007: “Artículo 6.  De la verificación de las condiciones de los proponentes. </w:t>
      </w:r>
    </w:p>
    <w:p w14:paraId="2A4CEE52"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 xml:space="preserve">[...] </w:t>
      </w:r>
    </w:p>
    <w:p w14:paraId="645F86D2" w14:textId="77777777" w:rsidR="00095BA4" w:rsidRPr="009C5A40" w:rsidRDefault="00095BA4" w:rsidP="00095BA4">
      <w:pPr>
        <w:pStyle w:val="Textonotapie"/>
        <w:contextualSpacing/>
        <w:jc w:val="both"/>
        <w:rPr>
          <w:rFonts w:ascii="Verdana" w:hAnsi="Verdana" w:cs="Arial"/>
          <w:sz w:val="16"/>
          <w:szCs w:val="16"/>
          <w:lang w:eastAsia="es-CO"/>
        </w:rPr>
      </w:pPr>
      <w:r w:rsidRPr="009C5A40">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4">
    <w:p w14:paraId="3FC4079F" w14:textId="77777777" w:rsidR="00095BA4" w:rsidRPr="009C5A40" w:rsidRDefault="00095BA4" w:rsidP="00095BA4">
      <w:pPr>
        <w:pStyle w:val="Textonotapie"/>
        <w:ind w:firstLine="708"/>
        <w:contextualSpacing/>
        <w:jc w:val="both"/>
        <w:rPr>
          <w:rFonts w:ascii="Verdana" w:hAnsi="Verdana" w:cs="Arial"/>
          <w:sz w:val="16"/>
          <w:szCs w:val="16"/>
        </w:rPr>
      </w:pPr>
      <w:r w:rsidRPr="009C5A40">
        <w:rPr>
          <w:rStyle w:val="Refdenotaalpie"/>
          <w:rFonts w:ascii="Verdana" w:hAnsi="Verdana" w:cs="Arial"/>
          <w:sz w:val="16"/>
          <w:szCs w:val="16"/>
        </w:rPr>
        <w:footnoteRef/>
      </w:r>
      <w:r w:rsidRPr="009C5A40">
        <w:rPr>
          <w:rFonts w:ascii="Verdana" w:hAnsi="Verdana" w:cs="Arial"/>
          <w:sz w:val="16"/>
          <w:szCs w:val="16"/>
        </w:rPr>
        <w:t xml:space="preserve"> Consejo de Estado. Sección Tercera. Subsección B. Sentencia del 6 de junio de 2013. Exp. 25151. C.P. Stella Conto Díaz del Castillo.</w:t>
      </w:r>
    </w:p>
  </w:footnote>
  <w:footnote w:id="5">
    <w:p w14:paraId="5E6536BA" w14:textId="77777777" w:rsidR="00095BA4" w:rsidRPr="009C5A40" w:rsidRDefault="00095BA4" w:rsidP="00095BA4">
      <w:pPr>
        <w:pStyle w:val="Textonotapie"/>
        <w:ind w:firstLine="709"/>
        <w:contextualSpacing/>
        <w:jc w:val="both"/>
        <w:rPr>
          <w:rFonts w:ascii="Verdana" w:hAnsi="Verdana" w:cs="Arial"/>
          <w:sz w:val="16"/>
          <w:szCs w:val="16"/>
        </w:rPr>
      </w:pPr>
      <w:r w:rsidRPr="009C5A40">
        <w:rPr>
          <w:rStyle w:val="Refdenotaalpie"/>
          <w:rFonts w:ascii="Verdana" w:hAnsi="Verdana" w:cs="Arial"/>
          <w:sz w:val="16"/>
          <w:szCs w:val="16"/>
        </w:rPr>
        <w:footnoteRef/>
      </w:r>
      <w:r w:rsidRPr="009C5A40">
        <w:rPr>
          <w:rFonts w:ascii="Verdana" w:hAnsi="Verdana" w:cs="Arial"/>
          <w:sz w:val="16"/>
          <w:szCs w:val="16"/>
        </w:rPr>
        <w:t xml:space="preserve"> Ley 1150 de 2007: “Artículo 6. De la verificación de las condiciones de los proponentes.</w:t>
      </w:r>
    </w:p>
    <w:p w14:paraId="6BF160D9"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w:t>
      </w:r>
    </w:p>
    <w:p w14:paraId="261D5886"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6.1. […]</w:t>
      </w:r>
    </w:p>
    <w:p w14:paraId="4ED9D18A"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5487234"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751EAEB" w14:textId="77777777" w:rsidR="00095BA4" w:rsidRPr="00D96F35"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w:t>
      </w:r>
    </w:p>
  </w:footnote>
  <w:footnote w:id="6">
    <w:p w14:paraId="3CADEB6C"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Style w:val="Refdenotaalpie"/>
          <w:rFonts w:ascii="Verdana" w:hAnsi="Verdana" w:cs="Arial"/>
          <w:sz w:val="16"/>
          <w:szCs w:val="16"/>
        </w:rPr>
        <w:footnoteRef/>
      </w:r>
      <w:r w:rsidRPr="009C5A40">
        <w:rPr>
          <w:rFonts w:ascii="Verdana" w:hAnsi="Verdana" w:cs="Arial"/>
          <w:sz w:val="16"/>
          <w:szCs w:val="16"/>
        </w:rPr>
        <w:t xml:space="preserve"> Ley 1150 de 2007: “Artículo 5. De la selección objetiva.</w:t>
      </w:r>
      <w:r w:rsidRPr="009C5A40">
        <w:rPr>
          <w:rFonts w:ascii="Verdana" w:hAnsi="Verdana" w:cs="Arial"/>
          <w:sz w:val="16"/>
          <w:szCs w:val="16"/>
          <w:lang w:eastAsia="es-CO"/>
        </w:rPr>
        <w:t xml:space="preserve"> </w:t>
      </w:r>
    </w:p>
    <w:p w14:paraId="772D74F5"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w:t>
      </w:r>
    </w:p>
    <w:p w14:paraId="25ECDC55"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footnote>
  <w:footnote w:id="7">
    <w:p w14:paraId="0ACD7024"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Style w:val="Refdenotaalpie"/>
          <w:rFonts w:ascii="Verdana" w:hAnsi="Verdana" w:cs="Arial"/>
          <w:sz w:val="16"/>
          <w:szCs w:val="16"/>
        </w:rPr>
        <w:footnoteRef/>
      </w:r>
      <w:r w:rsidRPr="009C5A40">
        <w:rPr>
          <w:rFonts w:ascii="Verdana" w:hAnsi="Verdana" w:cs="Arial"/>
          <w:sz w:val="16"/>
          <w:szCs w:val="16"/>
        </w:rPr>
        <w:t xml:space="preserve"> </w:t>
      </w:r>
      <w:r w:rsidRPr="009C5A40">
        <w:rPr>
          <w:rFonts w:ascii="Verdana" w:hAnsi="Verdana" w:cs="Arial"/>
          <w:sz w:val="16"/>
          <w:szCs w:val="16"/>
          <w:lang w:eastAsia="es-CO"/>
        </w:rPr>
        <w:t xml:space="preserve">Ley 1150 de 2007: “Artículo 6.  De la verificación de las condiciones de los proponentes. </w:t>
      </w:r>
    </w:p>
    <w:p w14:paraId="0653BE98"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Fonts w:ascii="Verdana" w:hAnsi="Verdana" w:cs="Arial"/>
          <w:sz w:val="16"/>
          <w:szCs w:val="16"/>
          <w:lang w:eastAsia="es-CO"/>
        </w:rPr>
        <w:t xml:space="preserve">[...] </w:t>
      </w:r>
    </w:p>
    <w:p w14:paraId="55C37275" w14:textId="77777777" w:rsidR="00095BA4" w:rsidRPr="009C5A40" w:rsidRDefault="00095BA4" w:rsidP="00095BA4">
      <w:pPr>
        <w:pStyle w:val="Textonotapie"/>
        <w:contextualSpacing/>
        <w:jc w:val="both"/>
        <w:rPr>
          <w:rFonts w:ascii="Verdana" w:hAnsi="Verdana" w:cs="Arial"/>
          <w:sz w:val="16"/>
          <w:szCs w:val="16"/>
          <w:lang w:eastAsia="es-CO"/>
        </w:rPr>
      </w:pPr>
      <w:r w:rsidRPr="009C5A40">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8">
    <w:p w14:paraId="460AD6E8" w14:textId="77777777" w:rsidR="00095BA4" w:rsidRPr="009C5A40" w:rsidRDefault="00095BA4" w:rsidP="00095BA4">
      <w:pPr>
        <w:pStyle w:val="Textonotapie"/>
        <w:ind w:firstLine="709"/>
        <w:contextualSpacing/>
        <w:jc w:val="both"/>
        <w:rPr>
          <w:rFonts w:ascii="Verdana" w:hAnsi="Verdana" w:cs="Arial"/>
          <w:color w:val="000000" w:themeColor="text1"/>
          <w:sz w:val="16"/>
          <w:szCs w:val="16"/>
          <w:lang w:eastAsia="es-CO"/>
        </w:rPr>
      </w:pPr>
      <w:r w:rsidRPr="009C5A40">
        <w:rPr>
          <w:rStyle w:val="Refdenotaalpie"/>
          <w:rFonts w:ascii="Verdana" w:hAnsi="Verdana" w:cs="Arial"/>
          <w:color w:val="000000" w:themeColor="text1"/>
          <w:sz w:val="16"/>
          <w:szCs w:val="16"/>
        </w:rPr>
        <w:footnoteRef/>
      </w:r>
      <w:r w:rsidRPr="009C5A40">
        <w:rPr>
          <w:rFonts w:ascii="Verdana" w:hAnsi="Verdana" w:cs="Arial"/>
          <w:color w:val="000000" w:themeColor="text1"/>
          <w:sz w:val="16"/>
          <w:szCs w:val="16"/>
        </w:rPr>
        <w:t xml:space="preserve"> </w:t>
      </w:r>
      <w:r w:rsidRPr="009C5A40">
        <w:rPr>
          <w:rFonts w:ascii="Verdana" w:hAnsi="Verdana" w:cs="Arial"/>
          <w:color w:val="000000" w:themeColor="text1"/>
          <w:sz w:val="16"/>
          <w:szCs w:val="16"/>
          <w:lang w:eastAsia="es-CO"/>
        </w:rPr>
        <w:t>Consejo de Estado. Sala de Consulta y Servicio Civil. Consulta del 20 de mayo de 2010. Exp.1992. C. P. Enrique José Arboleda Perdomo.</w:t>
      </w:r>
    </w:p>
  </w:footnote>
  <w:footnote w:id="9">
    <w:p w14:paraId="28E36B68" w14:textId="77777777" w:rsidR="00095BA4" w:rsidRPr="009C5A40" w:rsidRDefault="00095BA4" w:rsidP="00095BA4">
      <w:pPr>
        <w:pStyle w:val="Textonotapie"/>
        <w:ind w:firstLine="709"/>
        <w:contextualSpacing/>
        <w:jc w:val="both"/>
        <w:rPr>
          <w:rFonts w:ascii="Verdana" w:hAnsi="Verdana" w:cs="Arial"/>
          <w:sz w:val="16"/>
          <w:szCs w:val="16"/>
          <w:lang w:eastAsia="es-CO"/>
        </w:rPr>
      </w:pPr>
      <w:r w:rsidRPr="009C5A40">
        <w:rPr>
          <w:rStyle w:val="Refdenotaalpie"/>
          <w:rFonts w:ascii="Verdana" w:hAnsi="Verdana" w:cs="Arial"/>
          <w:sz w:val="16"/>
          <w:szCs w:val="16"/>
        </w:rPr>
        <w:footnoteRef/>
      </w:r>
      <w:r w:rsidRPr="009C5A40">
        <w:rPr>
          <w:rFonts w:ascii="Verdana" w:hAnsi="Verdana" w:cs="Arial"/>
          <w:sz w:val="16"/>
          <w:szCs w:val="16"/>
        </w:rPr>
        <w:t xml:space="preserve"> </w:t>
      </w:r>
      <w:r w:rsidRPr="009C5A40">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0">
    <w:p w14:paraId="379C488D" w14:textId="77777777" w:rsidR="00095BA4" w:rsidRPr="009C5A40" w:rsidRDefault="00095BA4" w:rsidP="00095BA4">
      <w:pPr>
        <w:pStyle w:val="Textonotapie"/>
        <w:ind w:firstLine="709"/>
        <w:contextualSpacing/>
        <w:jc w:val="both"/>
        <w:rPr>
          <w:rFonts w:ascii="Verdana" w:hAnsi="Verdana" w:cs="Arial"/>
          <w:color w:val="000000" w:themeColor="text1"/>
          <w:sz w:val="16"/>
          <w:szCs w:val="16"/>
        </w:rPr>
      </w:pPr>
      <w:r w:rsidRPr="009C5A40">
        <w:rPr>
          <w:rStyle w:val="Refdenotaalpie"/>
          <w:rFonts w:ascii="Verdana" w:hAnsi="Verdana" w:cs="Arial"/>
          <w:color w:val="000000" w:themeColor="text1"/>
          <w:sz w:val="16"/>
          <w:szCs w:val="16"/>
        </w:rPr>
        <w:footnoteRef/>
      </w:r>
      <w:r w:rsidRPr="009C5A40">
        <w:rPr>
          <w:rFonts w:ascii="Verdana" w:hAnsi="Verdana" w:cs="Arial"/>
          <w:color w:val="000000" w:themeColor="text1"/>
          <w:sz w:val="16"/>
          <w:szCs w:val="16"/>
        </w:rPr>
        <w:t xml:space="preserve"> </w:t>
      </w:r>
      <w:r w:rsidRPr="009C5A40">
        <w:rPr>
          <w:rFonts w:ascii="Verdana" w:hAnsi="Verdana" w:cs="Arial"/>
          <w:color w:val="000000" w:themeColor="text1"/>
          <w:sz w:val="16"/>
          <w:szCs w:val="16"/>
          <w:lang w:eastAsia="es-CO"/>
        </w:rPr>
        <w:t>Consejo de Estado. Sala de Consulta y Servicio Civil. Consulta del 20 de mayo de 2010. Exp.1992. C. P. Enrique José Arboleda Perdomo.</w:t>
      </w:r>
    </w:p>
  </w:footnote>
  <w:footnote w:id="11">
    <w:p w14:paraId="019825EA" w14:textId="77777777" w:rsidR="00095BA4" w:rsidRPr="009C5A40" w:rsidRDefault="00095BA4" w:rsidP="00095BA4">
      <w:pPr>
        <w:pStyle w:val="Textonotapie"/>
        <w:ind w:firstLine="709"/>
        <w:contextualSpacing/>
        <w:jc w:val="both"/>
        <w:rPr>
          <w:rFonts w:ascii="Verdana" w:hAnsi="Verdana" w:cs="Arial"/>
          <w:color w:val="000000" w:themeColor="text1"/>
          <w:sz w:val="16"/>
          <w:szCs w:val="16"/>
        </w:rPr>
      </w:pPr>
      <w:r w:rsidRPr="009C5A40">
        <w:rPr>
          <w:rStyle w:val="Refdenotaalpie"/>
          <w:rFonts w:ascii="Verdana" w:hAnsi="Verdana" w:cs="Arial"/>
          <w:color w:val="000000" w:themeColor="text1"/>
          <w:sz w:val="16"/>
          <w:szCs w:val="16"/>
        </w:rPr>
        <w:footnoteRef/>
      </w:r>
      <w:r w:rsidRPr="009C5A40">
        <w:rPr>
          <w:rFonts w:ascii="Verdana" w:hAnsi="Verdana" w:cs="Arial"/>
          <w:color w:val="000000" w:themeColor="text1"/>
          <w:sz w:val="16"/>
          <w:szCs w:val="16"/>
        </w:rPr>
        <w:t xml:space="preserve">Resolución 2346 de 2007 del 11 de julio de 2007, expedida por el  Ministerio de la Protección Social. </w:t>
      </w:r>
    </w:p>
    <w:p w14:paraId="44F32992" w14:textId="77777777" w:rsidR="00095BA4" w:rsidRPr="009C5A40" w:rsidRDefault="00095BA4" w:rsidP="00095BA4">
      <w:pPr>
        <w:pStyle w:val="Textonotapie"/>
        <w:ind w:firstLine="708"/>
        <w:contextualSpacing/>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0"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7F3E"/>
    <w:rsid w:val="00061B2A"/>
    <w:rsid w:val="00082362"/>
    <w:rsid w:val="00095BA4"/>
    <w:rsid w:val="000A683E"/>
    <w:rsid w:val="000B19B9"/>
    <w:rsid w:val="000D0334"/>
    <w:rsid w:val="000F6486"/>
    <w:rsid w:val="00125105"/>
    <w:rsid w:val="00125467"/>
    <w:rsid w:val="00125B86"/>
    <w:rsid w:val="00127233"/>
    <w:rsid w:val="00174F47"/>
    <w:rsid w:val="00193FFF"/>
    <w:rsid w:val="001A42E1"/>
    <w:rsid w:val="001E4177"/>
    <w:rsid w:val="001F7DC6"/>
    <w:rsid w:val="002007FB"/>
    <w:rsid w:val="002421BB"/>
    <w:rsid w:val="00253A87"/>
    <w:rsid w:val="0025796E"/>
    <w:rsid w:val="00266F6C"/>
    <w:rsid w:val="002707A2"/>
    <w:rsid w:val="002951A0"/>
    <w:rsid w:val="002962BC"/>
    <w:rsid w:val="002A093D"/>
    <w:rsid w:val="002A0DD0"/>
    <w:rsid w:val="002A49AC"/>
    <w:rsid w:val="002A64FD"/>
    <w:rsid w:val="002C7A84"/>
    <w:rsid w:val="002E4FD9"/>
    <w:rsid w:val="002E50A7"/>
    <w:rsid w:val="002F714B"/>
    <w:rsid w:val="00322A85"/>
    <w:rsid w:val="00324168"/>
    <w:rsid w:val="00337E58"/>
    <w:rsid w:val="003448F4"/>
    <w:rsid w:val="00374F5E"/>
    <w:rsid w:val="00377E3E"/>
    <w:rsid w:val="003A779E"/>
    <w:rsid w:val="003B539B"/>
    <w:rsid w:val="003D0F4D"/>
    <w:rsid w:val="003D5B0D"/>
    <w:rsid w:val="003E0499"/>
    <w:rsid w:val="003F3941"/>
    <w:rsid w:val="00406575"/>
    <w:rsid w:val="00414C74"/>
    <w:rsid w:val="00421791"/>
    <w:rsid w:val="0042722E"/>
    <w:rsid w:val="0044528D"/>
    <w:rsid w:val="0047365F"/>
    <w:rsid w:val="0047428A"/>
    <w:rsid w:val="004A1847"/>
    <w:rsid w:val="004A305D"/>
    <w:rsid w:val="004C0E20"/>
    <w:rsid w:val="004C14E6"/>
    <w:rsid w:val="004F21C4"/>
    <w:rsid w:val="004F4E7A"/>
    <w:rsid w:val="004F685F"/>
    <w:rsid w:val="00503A8C"/>
    <w:rsid w:val="0055032A"/>
    <w:rsid w:val="005566E8"/>
    <w:rsid w:val="00574867"/>
    <w:rsid w:val="00591460"/>
    <w:rsid w:val="005A255B"/>
    <w:rsid w:val="005C3777"/>
    <w:rsid w:val="005C5CDC"/>
    <w:rsid w:val="005D476C"/>
    <w:rsid w:val="006219F8"/>
    <w:rsid w:val="006302F7"/>
    <w:rsid w:val="00665D70"/>
    <w:rsid w:val="006900D9"/>
    <w:rsid w:val="006A760C"/>
    <w:rsid w:val="006F5481"/>
    <w:rsid w:val="00706C16"/>
    <w:rsid w:val="00720F74"/>
    <w:rsid w:val="00727A90"/>
    <w:rsid w:val="0074298C"/>
    <w:rsid w:val="00756841"/>
    <w:rsid w:val="007649AB"/>
    <w:rsid w:val="00771D0C"/>
    <w:rsid w:val="007833AC"/>
    <w:rsid w:val="007B268C"/>
    <w:rsid w:val="007B7171"/>
    <w:rsid w:val="007C0C0F"/>
    <w:rsid w:val="007C3DC2"/>
    <w:rsid w:val="007E5497"/>
    <w:rsid w:val="00806126"/>
    <w:rsid w:val="00806F5F"/>
    <w:rsid w:val="00820278"/>
    <w:rsid w:val="008367D7"/>
    <w:rsid w:val="00867F95"/>
    <w:rsid w:val="008843B6"/>
    <w:rsid w:val="00891928"/>
    <w:rsid w:val="00897A3A"/>
    <w:rsid w:val="008A325F"/>
    <w:rsid w:val="008A446D"/>
    <w:rsid w:val="008D180B"/>
    <w:rsid w:val="008D30F8"/>
    <w:rsid w:val="008F0EA7"/>
    <w:rsid w:val="00902FC1"/>
    <w:rsid w:val="00923EEF"/>
    <w:rsid w:val="009272DB"/>
    <w:rsid w:val="009419F9"/>
    <w:rsid w:val="0095685E"/>
    <w:rsid w:val="00961B09"/>
    <w:rsid w:val="00965334"/>
    <w:rsid w:val="0097093E"/>
    <w:rsid w:val="009855B8"/>
    <w:rsid w:val="00985FFE"/>
    <w:rsid w:val="009A0DFA"/>
    <w:rsid w:val="009B25A8"/>
    <w:rsid w:val="009B2D26"/>
    <w:rsid w:val="009C71FA"/>
    <w:rsid w:val="009C72E7"/>
    <w:rsid w:val="009D3058"/>
    <w:rsid w:val="009F3A13"/>
    <w:rsid w:val="00A122D3"/>
    <w:rsid w:val="00A17F13"/>
    <w:rsid w:val="00A20739"/>
    <w:rsid w:val="00A33C78"/>
    <w:rsid w:val="00A56395"/>
    <w:rsid w:val="00A91ED9"/>
    <w:rsid w:val="00AA6E32"/>
    <w:rsid w:val="00AB0ADB"/>
    <w:rsid w:val="00B00C0E"/>
    <w:rsid w:val="00B01B1A"/>
    <w:rsid w:val="00B44A47"/>
    <w:rsid w:val="00B72CD3"/>
    <w:rsid w:val="00B72FFF"/>
    <w:rsid w:val="00BC3D36"/>
    <w:rsid w:val="00BD3FB9"/>
    <w:rsid w:val="00BD7F72"/>
    <w:rsid w:val="00C04850"/>
    <w:rsid w:val="00C04FB3"/>
    <w:rsid w:val="00C20A30"/>
    <w:rsid w:val="00C330EB"/>
    <w:rsid w:val="00C40847"/>
    <w:rsid w:val="00C44013"/>
    <w:rsid w:val="00C754BE"/>
    <w:rsid w:val="00C76B1C"/>
    <w:rsid w:val="00CB6357"/>
    <w:rsid w:val="00CC0E9C"/>
    <w:rsid w:val="00CC1B26"/>
    <w:rsid w:val="00D14826"/>
    <w:rsid w:val="00D15A68"/>
    <w:rsid w:val="00D163A3"/>
    <w:rsid w:val="00D2199A"/>
    <w:rsid w:val="00D3279D"/>
    <w:rsid w:val="00D423A2"/>
    <w:rsid w:val="00D520D8"/>
    <w:rsid w:val="00D63AC2"/>
    <w:rsid w:val="00D7383B"/>
    <w:rsid w:val="00D75FDA"/>
    <w:rsid w:val="00DA231B"/>
    <w:rsid w:val="00DB0C37"/>
    <w:rsid w:val="00DB49FA"/>
    <w:rsid w:val="00DC39FC"/>
    <w:rsid w:val="00DF5254"/>
    <w:rsid w:val="00E16408"/>
    <w:rsid w:val="00E20894"/>
    <w:rsid w:val="00E245AB"/>
    <w:rsid w:val="00E259F0"/>
    <w:rsid w:val="00E2764C"/>
    <w:rsid w:val="00E27F2E"/>
    <w:rsid w:val="00E50AFE"/>
    <w:rsid w:val="00E75C92"/>
    <w:rsid w:val="00E771DC"/>
    <w:rsid w:val="00E8772A"/>
    <w:rsid w:val="00E90F6B"/>
    <w:rsid w:val="00E92C27"/>
    <w:rsid w:val="00E93682"/>
    <w:rsid w:val="00EA0E3D"/>
    <w:rsid w:val="00EC38A7"/>
    <w:rsid w:val="00ED4EE5"/>
    <w:rsid w:val="00EE1AA8"/>
    <w:rsid w:val="00F31EDC"/>
    <w:rsid w:val="00F462B3"/>
    <w:rsid w:val="00F5664F"/>
    <w:rsid w:val="00F61EAC"/>
    <w:rsid w:val="00F666C4"/>
    <w:rsid w:val="00F76AFC"/>
    <w:rsid w:val="00FA47C0"/>
    <w:rsid w:val="00FB5DD1"/>
    <w:rsid w:val="00FC2B5D"/>
    <w:rsid w:val="00FC39A4"/>
    <w:rsid w:val="00FF1449"/>
    <w:rsid w:val="00FF34E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95BA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95BA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camiloacosta10@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BE61DA5-DC96-4A5D-A954-B0399180B4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2B48D6-E543-4A42-A81C-171AD3694AEC}">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schemas.openxmlformats.org/package/2006/metadata/core-properties"/>
    <ds:schemaRef ds:uri="http://schemas.microsoft.com/office/2006/metadata/properties"/>
    <ds:schemaRef ds:uri="http://purl.org/dc/elements/1.1/"/>
    <ds:schemaRef ds:uri="http://purl.org/dc/terms/"/>
    <ds:schemaRef ds:uri="http://schemas.microsoft.com/office/2006/documentManagement/types"/>
    <ds:schemaRef ds:uri="a6cb9e4b-f1d1-4245-83ec-6cad768d538a"/>
    <ds:schemaRef ds:uri="9d85dbaf-23eb-4e57-a637-93dcacc8b1a1"/>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52</TotalTime>
  <Pages>15</Pages>
  <Words>4965</Words>
  <Characters>27310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32211</CharactersWithSpaces>
  <SharedDoc>false</SharedDoc>
  <HLinks>
    <vt:vector size="18" baseType="variant">
      <vt:variant>
        <vt:i4>8126526</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3670025</vt:i4>
      </vt:variant>
      <vt:variant>
        <vt:i4>0</vt:i4>
      </vt:variant>
      <vt:variant>
        <vt:i4>0</vt:i4>
      </vt:variant>
      <vt:variant>
        <vt:i4>5</vt:i4>
      </vt:variant>
      <vt:variant>
        <vt:lpwstr>mailto:ccamiloacosta10@hotmail.com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2025-10-16T18:30:00Z</dcterms:created>
  <dcterms:modified xsi:type="dcterms:W3CDTF">2025-10-16T18:30:00Z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