
<file path=[Content_Types].xml><?xml version="1.0" encoding="utf-8"?>
<Types xmlns="http://schemas.openxmlformats.org/package/2006/content-types">
  <Default Extension="emf" ContentType="image/x-emf"/>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C5E0C5" w14:textId="77777777" w:rsidR="00CB59B9" w:rsidRPr="002C4D58" w:rsidRDefault="00CB59B9" w:rsidP="00CB59B9">
      <w:pPr>
        <w:spacing w:after="0" w:line="240" w:lineRule="auto"/>
        <w:jc w:val="both"/>
        <w:rPr>
          <w:rFonts w:ascii="Verdana" w:eastAsia="Arial" w:hAnsi="Verdana" w:cs="Arial"/>
          <w:b/>
          <w:color w:val="000000"/>
        </w:rPr>
      </w:pPr>
      <w:r w:rsidRPr="002C4D58">
        <w:rPr>
          <w:rFonts w:ascii="Verdana" w:eastAsia="Arial" w:hAnsi="Verdana" w:cs="Arial"/>
          <w:b/>
          <w:color w:val="000000"/>
        </w:rPr>
        <w:t>NULIDAD DEL CONTRATO – Causales</w:t>
      </w:r>
    </w:p>
    <w:p w14:paraId="644CACF9" w14:textId="77777777" w:rsidR="00CB59B9" w:rsidRPr="002C4D58" w:rsidRDefault="00CB59B9" w:rsidP="00CB59B9">
      <w:pPr>
        <w:spacing w:after="0" w:line="240" w:lineRule="auto"/>
        <w:jc w:val="both"/>
        <w:rPr>
          <w:rFonts w:ascii="Verdana" w:eastAsia="Arial" w:hAnsi="Verdana" w:cs="Arial"/>
          <w:bCs/>
          <w:color w:val="000000"/>
          <w:sz w:val="20"/>
          <w:szCs w:val="20"/>
        </w:rPr>
      </w:pPr>
    </w:p>
    <w:p w14:paraId="6C94AA44" w14:textId="77777777" w:rsidR="00CB59B9" w:rsidRPr="002C4D58" w:rsidRDefault="00CB59B9" w:rsidP="00CB59B9">
      <w:pPr>
        <w:spacing w:after="0" w:line="240" w:lineRule="auto"/>
        <w:jc w:val="both"/>
        <w:rPr>
          <w:rFonts w:ascii="Verdana" w:eastAsia="Arial" w:hAnsi="Verdana" w:cs="Arial"/>
          <w:bCs/>
          <w:color w:val="000000"/>
          <w:sz w:val="20"/>
          <w:szCs w:val="20"/>
        </w:rPr>
      </w:pPr>
      <w:r w:rsidRPr="002C4D58">
        <w:rPr>
          <w:rFonts w:ascii="Verdana" w:eastAsia="Arial" w:hAnsi="Verdana" w:cs="Arial"/>
          <w:bCs/>
          <w:color w:val="000000"/>
          <w:sz w:val="20"/>
          <w:szCs w:val="20"/>
        </w:rPr>
        <w:t xml:space="preserve">Por su parte, la Ley 80 de 1993 consagra como causales de nulidad absoluta del contrato estatal, además de las antes mencionadas en el derecho común, las siguientes: i) que el contrato se celebre con personas incursas en causales de inhabilidad o incompatibilidad previstas en la Constitución y la ley, </w:t>
      </w:r>
      <w:proofErr w:type="spellStart"/>
      <w:r w:rsidRPr="002C4D58">
        <w:rPr>
          <w:rFonts w:ascii="Verdana" w:eastAsia="Arial" w:hAnsi="Verdana" w:cs="Arial"/>
          <w:bCs/>
          <w:color w:val="000000"/>
          <w:sz w:val="20"/>
          <w:szCs w:val="20"/>
        </w:rPr>
        <w:t>ii</w:t>
      </w:r>
      <w:proofErr w:type="spellEnd"/>
      <w:r w:rsidRPr="002C4D58">
        <w:rPr>
          <w:rFonts w:ascii="Verdana" w:eastAsia="Arial" w:hAnsi="Verdana" w:cs="Arial"/>
          <w:bCs/>
          <w:color w:val="000000"/>
          <w:sz w:val="20"/>
          <w:szCs w:val="20"/>
        </w:rPr>
        <w:t xml:space="preserve">) se celebre contra expresa prohibición constitucional o legal, </w:t>
      </w:r>
      <w:proofErr w:type="spellStart"/>
      <w:r w:rsidRPr="002C4D58">
        <w:rPr>
          <w:rFonts w:ascii="Verdana" w:eastAsia="Arial" w:hAnsi="Verdana" w:cs="Arial"/>
          <w:bCs/>
          <w:color w:val="000000"/>
          <w:sz w:val="20"/>
          <w:szCs w:val="20"/>
        </w:rPr>
        <w:t>iii</w:t>
      </w:r>
      <w:proofErr w:type="spellEnd"/>
      <w:r w:rsidRPr="002C4D58">
        <w:rPr>
          <w:rFonts w:ascii="Verdana" w:eastAsia="Arial" w:hAnsi="Verdana" w:cs="Arial"/>
          <w:bCs/>
          <w:color w:val="000000"/>
          <w:sz w:val="20"/>
          <w:szCs w:val="20"/>
        </w:rPr>
        <w:t xml:space="preserve">) se celebre con abuso o desviación de poder, </w:t>
      </w:r>
      <w:proofErr w:type="spellStart"/>
      <w:r w:rsidRPr="002C4D58">
        <w:rPr>
          <w:rFonts w:ascii="Verdana" w:eastAsia="Arial" w:hAnsi="Verdana" w:cs="Arial"/>
          <w:bCs/>
          <w:color w:val="000000"/>
          <w:sz w:val="20"/>
          <w:szCs w:val="20"/>
        </w:rPr>
        <w:t>iv</w:t>
      </w:r>
      <w:proofErr w:type="spellEnd"/>
      <w:r w:rsidRPr="002C4D58">
        <w:rPr>
          <w:rFonts w:ascii="Verdana" w:eastAsia="Arial" w:hAnsi="Verdana" w:cs="Arial"/>
          <w:bCs/>
          <w:color w:val="000000"/>
          <w:sz w:val="20"/>
          <w:szCs w:val="20"/>
        </w:rPr>
        <w:t>) se declaren nulos los actos administrativos en que se fundamenten, v) se hubieren celebrado con desconocimiento de los criterios previstos para el tratamiento de ofertas nacionales y extranjeras o con violación de la reciprocidad.</w:t>
      </w:r>
    </w:p>
    <w:p w14:paraId="1E54DC6E" w14:textId="77777777" w:rsidR="00CB59B9" w:rsidRPr="002C4D58" w:rsidRDefault="00CB59B9" w:rsidP="00CB59B9">
      <w:pPr>
        <w:spacing w:after="0" w:line="240" w:lineRule="auto"/>
        <w:jc w:val="both"/>
        <w:rPr>
          <w:rFonts w:ascii="Verdana" w:eastAsia="Arial" w:hAnsi="Verdana" w:cs="Arial"/>
          <w:bCs/>
          <w:color w:val="000000"/>
          <w:sz w:val="20"/>
          <w:szCs w:val="20"/>
        </w:rPr>
      </w:pPr>
    </w:p>
    <w:p w14:paraId="389926D4" w14:textId="77777777" w:rsidR="00CB59B9" w:rsidRPr="002C4D58" w:rsidRDefault="00CB59B9" w:rsidP="00CB59B9">
      <w:pPr>
        <w:spacing w:after="0" w:line="240" w:lineRule="auto"/>
        <w:jc w:val="both"/>
        <w:rPr>
          <w:rFonts w:ascii="Verdana" w:eastAsia="Arial" w:hAnsi="Verdana" w:cs="Arial"/>
          <w:bCs/>
          <w:color w:val="000000"/>
          <w:sz w:val="20"/>
          <w:szCs w:val="20"/>
        </w:rPr>
      </w:pPr>
      <w:r w:rsidRPr="002C4D58">
        <w:rPr>
          <w:rFonts w:ascii="Verdana" w:eastAsia="Arial" w:hAnsi="Verdana" w:cs="Arial"/>
          <w:bCs/>
          <w:color w:val="000000"/>
          <w:sz w:val="20"/>
          <w:szCs w:val="20"/>
        </w:rPr>
        <w:t>En lo referente a la nulidad relativa, el artículo 46 de la Ley 80 de 1993 le atribuye carácter residual, pues una vez establecido el listado de causales de nulidad absoluta, señala que la nulidad relativa corresponde a los demás vicios que se presenten en los contratos.  De igual manera, señala que estos vicios podrán sanearse por ratificación expresa de los interesados o por el transcurso de dos años, contados a partir de la ocurrencia del hecho que genera el vicio</w:t>
      </w:r>
      <w:proofErr w:type="gramStart"/>
      <w:r w:rsidRPr="002C4D58">
        <w:rPr>
          <w:rFonts w:ascii="Verdana" w:eastAsia="Arial" w:hAnsi="Verdana" w:cs="Arial"/>
          <w:bCs/>
          <w:color w:val="000000"/>
          <w:sz w:val="20"/>
          <w:szCs w:val="20"/>
        </w:rPr>
        <w:t xml:space="preserve"> ..</w:t>
      </w:r>
      <w:proofErr w:type="gramEnd"/>
    </w:p>
    <w:p w14:paraId="667355B3" w14:textId="77777777" w:rsidR="00CB59B9" w:rsidRPr="002C4D58" w:rsidRDefault="00CB59B9" w:rsidP="00CB59B9">
      <w:pPr>
        <w:spacing w:after="0" w:line="240" w:lineRule="auto"/>
        <w:jc w:val="both"/>
        <w:rPr>
          <w:rFonts w:ascii="Verdana" w:eastAsia="Arial" w:hAnsi="Verdana" w:cs="Arial"/>
          <w:bCs/>
          <w:color w:val="000000"/>
          <w:sz w:val="20"/>
          <w:szCs w:val="20"/>
        </w:rPr>
      </w:pPr>
    </w:p>
    <w:p w14:paraId="71ABA730" w14:textId="77777777" w:rsidR="00CB59B9" w:rsidRPr="002C4D58" w:rsidRDefault="00CB59B9" w:rsidP="00CB59B9">
      <w:pPr>
        <w:spacing w:after="0" w:line="240" w:lineRule="auto"/>
        <w:jc w:val="both"/>
        <w:rPr>
          <w:rFonts w:ascii="Verdana" w:eastAsia="Arial" w:hAnsi="Verdana" w:cs="Arial"/>
          <w:b/>
          <w:color w:val="000000"/>
        </w:rPr>
      </w:pPr>
      <w:r w:rsidRPr="002C4D58">
        <w:rPr>
          <w:rFonts w:ascii="Verdana" w:eastAsia="Arial" w:hAnsi="Verdana" w:cs="Arial"/>
          <w:b/>
          <w:color w:val="000000"/>
        </w:rPr>
        <w:t xml:space="preserve">SANEAMIENTO – Vicios – Procedimiento de forma – Requisitos </w:t>
      </w:r>
    </w:p>
    <w:p w14:paraId="6139E39B" w14:textId="77777777" w:rsidR="00CB59B9" w:rsidRPr="002C4D58" w:rsidRDefault="00CB59B9" w:rsidP="00CB59B9">
      <w:pPr>
        <w:spacing w:after="0" w:line="240" w:lineRule="auto"/>
        <w:jc w:val="both"/>
        <w:rPr>
          <w:rFonts w:ascii="Verdana" w:eastAsia="Arial" w:hAnsi="Verdana" w:cs="Arial"/>
          <w:bCs/>
          <w:color w:val="000000"/>
          <w:sz w:val="20"/>
          <w:szCs w:val="20"/>
        </w:rPr>
      </w:pPr>
    </w:p>
    <w:p w14:paraId="04DDA53A" w14:textId="77777777" w:rsidR="00CB59B9" w:rsidRPr="002C4D58" w:rsidRDefault="00CB59B9" w:rsidP="00CB59B9">
      <w:pPr>
        <w:spacing w:after="0" w:line="240" w:lineRule="auto"/>
        <w:jc w:val="both"/>
        <w:rPr>
          <w:rFonts w:ascii="Verdana" w:eastAsia="Arial" w:hAnsi="Verdana" w:cs="Arial"/>
          <w:bCs/>
          <w:color w:val="000000"/>
          <w:sz w:val="20"/>
          <w:szCs w:val="20"/>
        </w:rPr>
      </w:pPr>
      <w:r>
        <w:rPr>
          <w:rFonts w:ascii="Verdana" w:eastAsia="Arial" w:hAnsi="Verdana" w:cs="Arial"/>
          <w:bCs/>
          <w:color w:val="000000"/>
          <w:sz w:val="20"/>
          <w:szCs w:val="20"/>
        </w:rPr>
        <w:t>E</w:t>
      </w:r>
      <w:r w:rsidRPr="002C4D58">
        <w:rPr>
          <w:rFonts w:ascii="Verdana" w:eastAsia="Arial" w:hAnsi="Verdana" w:cs="Arial"/>
          <w:bCs/>
          <w:color w:val="000000"/>
          <w:sz w:val="20"/>
          <w:szCs w:val="20"/>
        </w:rPr>
        <w:t xml:space="preserve">l artículo 49 de la Ley 80 de 1993 establece que </w:t>
      </w:r>
      <w:r>
        <w:rPr>
          <w:rFonts w:ascii="Verdana" w:eastAsia="Arial" w:hAnsi="Verdana" w:cs="Arial"/>
          <w:bCs/>
          <w:color w:val="000000"/>
          <w:sz w:val="20"/>
          <w:szCs w:val="20"/>
        </w:rPr>
        <w:t>“</w:t>
      </w:r>
      <w:r w:rsidRPr="002C4D58">
        <w:rPr>
          <w:rFonts w:ascii="Verdana" w:eastAsia="Arial" w:hAnsi="Verdana" w:cs="Arial"/>
          <w:bCs/>
          <w:color w:val="000000"/>
          <w:sz w:val="20"/>
          <w:szCs w:val="20"/>
        </w:rPr>
        <w:t>Ante la ocurrencia de vicios que no constituyan causales de nulidad y cuando las necesidades del servicio lo exijan o las reglas de la buena administración lo aconsejen, el jefe o representante legal de la entidad, en acto motivado, podrá sanear el correspondiente vicio</w:t>
      </w:r>
      <w:r>
        <w:rPr>
          <w:rFonts w:ascii="Verdana" w:eastAsia="Arial" w:hAnsi="Verdana" w:cs="Arial"/>
          <w:bCs/>
          <w:color w:val="000000"/>
          <w:sz w:val="20"/>
          <w:szCs w:val="20"/>
        </w:rPr>
        <w:t xml:space="preserve">”. </w:t>
      </w:r>
      <w:r w:rsidRPr="002C4D58">
        <w:rPr>
          <w:rFonts w:ascii="Verdana" w:eastAsia="Arial" w:hAnsi="Verdana" w:cs="Arial"/>
          <w:bCs/>
          <w:color w:val="000000"/>
          <w:sz w:val="20"/>
          <w:szCs w:val="20"/>
        </w:rPr>
        <w:t xml:space="preserve">Así las cosas, para la aplicación de esta figura jurídica se requiere el cumplimiento de los siguientes requisitos: i) el vicio a sanear tiene de que ser de procedimiento o de forma, lo que significa que no es posible sanear a través de esta figura los vicios de fondo o sustanciales del acto o contrato, lo que lleva a que,  </w:t>
      </w:r>
      <w:proofErr w:type="spellStart"/>
      <w:r w:rsidRPr="002C4D58">
        <w:rPr>
          <w:rFonts w:ascii="Verdana" w:eastAsia="Arial" w:hAnsi="Verdana" w:cs="Arial"/>
          <w:bCs/>
          <w:color w:val="000000"/>
          <w:sz w:val="20"/>
          <w:szCs w:val="20"/>
        </w:rPr>
        <w:t>ii</w:t>
      </w:r>
      <w:proofErr w:type="spellEnd"/>
      <w:r w:rsidRPr="002C4D58">
        <w:rPr>
          <w:rFonts w:ascii="Verdana" w:eastAsia="Arial" w:hAnsi="Verdana" w:cs="Arial"/>
          <w:bCs/>
          <w:color w:val="000000"/>
          <w:sz w:val="20"/>
          <w:szCs w:val="20"/>
        </w:rPr>
        <w:t xml:space="preserve">) el vicio a sanear no puede corresponder a  ninguna de las causales de nulidad absoluta o relativa de los contratos estatales, </w:t>
      </w:r>
      <w:proofErr w:type="spellStart"/>
      <w:r w:rsidRPr="002C4D58">
        <w:rPr>
          <w:rFonts w:ascii="Verdana" w:eastAsia="Arial" w:hAnsi="Verdana" w:cs="Arial"/>
          <w:bCs/>
          <w:color w:val="000000"/>
          <w:sz w:val="20"/>
          <w:szCs w:val="20"/>
        </w:rPr>
        <w:t>iii</w:t>
      </w:r>
      <w:proofErr w:type="spellEnd"/>
      <w:r w:rsidRPr="002C4D58">
        <w:rPr>
          <w:rFonts w:ascii="Verdana" w:eastAsia="Arial" w:hAnsi="Verdana" w:cs="Arial"/>
          <w:bCs/>
          <w:color w:val="000000"/>
          <w:sz w:val="20"/>
          <w:szCs w:val="20"/>
        </w:rPr>
        <w:t xml:space="preserve">) debe hacerse mediante acto administrativo motivado, </w:t>
      </w:r>
      <w:proofErr w:type="spellStart"/>
      <w:r w:rsidRPr="002C4D58">
        <w:rPr>
          <w:rFonts w:ascii="Verdana" w:eastAsia="Arial" w:hAnsi="Verdana" w:cs="Arial"/>
          <w:bCs/>
          <w:color w:val="000000"/>
          <w:sz w:val="20"/>
          <w:szCs w:val="20"/>
        </w:rPr>
        <w:t>iv</w:t>
      </w:r>
      <w:proofErr w:type="spellEnd"/>
      <w:r w:rsidRPr="002C4D58">
        <w:rPr>
          <w:rFonts w:ascii="Verdana" w:eastAsia="Arial" w:hAnsi="Verdana" w:cs="Arial"/>
          <w:bCs/>
          <w:color w:val="000000"/>
          <w:sz w:val="20"/>
          <w:szCs w:val="20"/>
        </w:rPr>
        <w:t>) el funcionario competente es el jefe o representante legal de la entidad y v) el saneamiento debe ocurrir cuando las necesidades del servicio lo exijan o a las reglas de la buena administración lo aconsejen.</w:t>
      </w:r>
    </w:p>
    <w:p w14:paraId="46185579" w14:textId="77777777" w:rsidR="00CB59B9" w:rsidRPr="002C4D58" w:rsidRDefault="00CB59B9" w:rsidP="00CB59B9">
      <w:pPr>
        <w:spacing w:after="0" w:line="240" w:lineRule="auto"/>
        <w:jc w:val="both"/>
        <w:rPr>
          <w:rFonts w:ascii="Verdana" w:eastAsia="Arial" w:hAnsi="Verdana" w:cs="Arial"/>
          <w:bCs/>
          <w:color w:val="000000"/>
          <w:sz w:val="20"/>
          <w:szCs w:val="20"/>
        </w:rPr>
      </w:pPr>
    </w:p>
    <w:p w14:paraId="2E93CDA9" w14:textId="77777777" w:rsidR="00CB59B9" w:rsidRPr="002C4D58" w:rsidRDefault="00CB59B9" w:rsidP="00CB59B9">
      <w:pPr>
        <w:spacing w:after="0" w:line="240" w:lineRule="auto"/>
        <w:jc w:val="both"/>
        <w:rPr>
          <w:rFonts w:ascii="Verdana" w:eastAsia="Arial" w:hAnsi="Verdana" w:cs="Arial"/>
          <w:b/>
          <w:color w:val="000000"/>
        </w:rPr>
      </w:pPr>
      <w:r w:rsidRPr="002C4D58">
        <w:rPr>
          <w:rFonts w:ascii="Verdana" w:eastAsia="Arial" w:hAnsi="Verdana" w:cs="Arial"/>
          <w:b/>
          <w:color w:val="000000"/>
        </w:rPr>
        <w:t>ERRORES FORMALES – Corrección – Diferencias</w:t>
      </w:r>
    </w:p>
    <w:p w14:paraId="7745A9E7" w14:textId="77777777" w:rsidR="00CB59B9" w:rsidRPr="002C4D58" w:rsidRDefault="00CB59B9" w:rsidP="00CB59B9">
      <w:pPr>
        <w:spacing w:after="0" w:line="240" w:lineRule="auto"/>
        <w:jc w:val="both"/>
        <w:rPr>
          <w:rFonts w:ascii="Verdana" w:eastAsia="Arial" w:hAnsi="Verdana" w:cs="Arial"/>
          <w:bCs/>
          <w:color w:val="000000"/>
          <w:sz w:val="20"/>
          <w:szCs w:val="20"/>
        </w:rPr>
      </w:pPr>
    </w:p>
    <w:p w14:paraId="0A2306AF" w14:textId="77777777" w:rsidR="00CB59B9" w:rsidRDefault="00CB59B9" w:rsidP="00CB59B9">
      <w:pPr>
        <w:spacing w:after="0" w:line="240" w:lineRule="auto"/>
        <w:jc w:val="both"/>
        <w:rPr>
          <w:rFonts w:ascii="Verdana" w:eastAsia="Arial" w:hAnsi="Verdana" w:cs="Arial"/>
          <w:bCs/>
          <w:color w:val="000000"/>
          <w:sz w:val="20"/>
          <w:szCs w:val="20"/>
        </w:rPr>
      </w:pPr>
      <w:r w:rsidRPr="002C4D58">
        <w:rPr>
          <w:rFonts w:ascii="Verdana" w:eastAsia="Arial" w:hAnsi="Verdana" w:cs="Arial"/>
          <w:bCs/>
          <w:color w:val="000000"/>
          <w:sz w:val="20"/>
          <w:szCs w:val="20"/>
        </w:rPr>
        <w:t>En las actuaciones administrativas contractuales pueden presentarse situaciones que no necesariamente configuran un vicio de procedimiento o de forma, sino a un error simplemente formal como el aritmético o de digitación.  Como ya se mencionó,  un vicio de procedimiento o de forma es el que se produce por la inobservancia de las formas y requisitos de procedimiento administrativo que podría afectar la validez del acto o contrato; mientras que un error simplemente formal es aquel que, pese a haberse observado las formas y requisitos del procedimiento administrativo, presenta equivocaciones derivadas de una operación matemática, o de equivocaciones en la digitación de palabras o cifras,  o la omisión de estas, que requieren la correspondiente aclaración o corrección para la correcta comprensión de sus efectos, sin que se varíe de fondo la decisión.</w:t>
      </w:r>
    </w:p>
    <w:p w14:paraId="355741C0" w14:textId="77777777" w:rsidR="0005650A" w:rsidRDefault="0005650A" w:rsidP="00E50254">
      <w:pPr>
        <w:spacing w:after="0" w:line="240" w:lineRule="auto"/>
        <w:rPr>
          <w:rFonts w:ascii="Verdana" w:eastAsia="Geomanist Light" w:hAnsi="Verdana" w:cs="Arial"/>
          <w:color w:val="000000" w:themeColor="text1"/>
          <w:lang w:val="es-MX"/>
        </w:rPr>
      </w:pPr>
    </w:p>
    <w:p w14:paraId="2412DEE9" w14:textId="36F37834" w:rsidR="00E50254" w:rsidRPr="00F70687" w:rsidRDefault="00E50254" w:rsidP="00E50254">
      <w:pPr>
        <w:spacing w:after="0" w:line="240" w:lineRule="auto"/>
        <w:rPr>
          <w:rFonts w:ascii="Verdana" w:eastAsia="Geomanist Light" w:hAnsi="Verdana" w:cs="Arial"/>
          <w:color w:val="201F1E"/>
        </w:rPr>
      </w:pPr>
      <w:r w:rsidRPr="00F70687">
        <w:rPr>
          <w:rFonts w:ascii="Verdana" w:eastAsia="Geomanist Light" w:hAnsi="Verdana" w:cs="Arial"/>
          <w:color w:val="000000" w:themeColor="text1"/>
          <w:lang w:val="es-MX"/>
        </w:rPr>
        <w:lastRenderedPageBreak/>
        <w:t>Bogotá D.C., </w:t>
      </w:r>
      <w:r w:rsidR="003B3E9C">
        <w:rPr>
          <w:rFonts w:ascii="Verdana" w:eastAsia="Geomanist Light" w:hAnsi="Verdana" w:cs="Arial"/>
          <w:color w:val="201F1E"/>
        </w:rPr>
        <w:t>30 de septiembre de 2025</w:t>
      </w:r>
    </w:p>
    <w:p w14:paraId="02FE5535" w14:textId="5F6246A2" w:rsidR="00E50254" w:rsidRPr="00F70687" w:rsidRDefault="00E50254" w:rsidP="00E50254">
      <w:pPr>
        <w:spacing w:after="0"/>
        <w:rPr>
          <w:rFonts w:ascii="Verdana" w:eastAsia="Calibri" w:hAnsi="Verdana" w:cs="Arial"/>
          <w:color w:val="000000"/>
          <w:lang w:val="es-ES"/>
        </w:rPr>
      </w:pPr>
    </w:p>
    <w:p w14:paraId="72178D72" w14:textId="583C9103" w:rsidR="00E50254" w:rsidRPr="00F70687" w:rsidRDefault="0005650A" w:rsidP="003B3E9C">
      <w:pPr>
        <w:spacing w:after="0"/>
        <w:jc w:val="right"/>
        <w:rPr>
          <w:rFonts w:ascii="Verdana" w:eastAsia="Calibri" w:hAnsi="Verdana" w:cs="Arial"/>
          <w:color w:val="000000"/>
          <w:lang w:val="es-ES"/>
        </w:rPr>
      </w:pPr>
      <w:r w:rsidRPr="003B3E9C">
        <w:rPr>
          <w:rFonts w:ascii="Verdana" w:eastAsia="Calibri" w:hAnsi="Verdana" w:cs="Arial"/>
          <w:noProof/>
          <w:color w:val="000000"/>
          <w:lang w:val="es-ES"/>
        </w:rPr>
        <w:drawing>
          <wp:anchor distT="0" distB="0" distL="114300" distR="114300" simplePos="0" relativeHeight="251659264" behindDoc="0" locked="0" layoutInCell="1" allowOverlap="1" wp14:anchorId="65FB90C6" wp14:editId="269409F7">
            <wp:simplePos x="0" y="0"/>
            <wp:positionH relativeFrom="margin">
              <wp:align>right</wp:align>
            </wp:positionH>
            <wp:positionV relativeFrom="paragraph">
              <wp:posOffset>11762</wp:posOffset>
            </wp:positionV>
            <wp:extent cx="2891155" cy="876300"/>
            <wp:effectExtent l="0" t="0" r="4445" b="0"/>
            <wp:wrapSquare wrapText="bothSides"/>
            <wp:docPr id="159431312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891155" cy="876300"/>
                    </a:xfrm>
                    <a:prstGeom prst="rect">
                      <a:avLst/>
                    </a:prstGeom>
                    <a:noFill/>
                    <a:ln>
                      <a:noFill/>
                    </a:ln>
                  </pic:spPr>
                </pic:pic>
              </a:graphicData>
            </a:graphic>
            <wp14:sizeRelH relativeFrom="margin">
              <wp14:pctWidth>0</wp14:pctWidth>
            </wp14:sizeRelH>
          </wp:anchor>
        </w:drawing>
      </w:r>
    </w:p>
    <w:p w14:paraId="0C9A3B4A" w14:textId="77777777" w:rsidR="00E50254" w:rsidRPr="00F70687" w:rsidRDefault="00E50254" w:rsidP="00E50254">
      <w:pPr>
        <w:spacing w:after="0"/>
        <w:jc w:val="both"/>
        <w:rPr>
          <w:rFonts w:ascii="Verdana" w:eastAsia="Calibri" w:hAnsi="Verdana" w:cs="Arial"/>
          <w:lang w:val="es-ES" w:eastAsia="es-ES"/>
        </w:rPr>
      </w:pPr>
      <w:r w:rsidRPr="00F70687">
        <w:rPr>
          <w:rFonts w:ascii="Verdana" w:eastAsia="Calibri" w:hAnsi="Verdana" w:cs="Arial"/>
          <w:lang w:val="es-ES" w:eastAsia="es-ES"/>
        </w:rPr>
        <w:t>Señora</w:t>
      </w:r>
    </w:p>
    <w:p w14:paraId="13E14D71" w14:textId="77777777" w:rsidR="00E50254" w:rsidRPr="00F70687" w:rsidRDefault="00E50254" w:rsidP="00E50254">
      <w:pPr>
        <w:spacing w:after="0"/>
        <w:rPr>
          <w:rFonts w:ascii="Verdana" w:eastAsia="Calibri" w:hAnsi="Verdana" w:cs="Arial"/>
          <w:b/>
          <w:lang w:eastAsia="es-ES_tradnl"/>
        </w:rPr>
      </w:pPr>
      <w:proofErr w:type="spellStart"/>
      <w:r w:rsidRPr="00F70687">
        <w:rPr>
          <w:rFonts w:ascii="Verdana" w:eastAsia="Calibri" w:hAnsi="Verdana" w:cs="Arial"/>
          <w:b/>
          <w:lang w:eastAsia="es-ES_tradnl"/>
        </w:rPr>
        <w:t>Yor</w:t>
      </w:r>
      <w:proofErr w:type="spellEnd"/>
      <w:r w:rsidRPr="00F70687">
        <w:rPr>
          <w:rFonts w:ascii="Verdana" w:eastAsia="Calibri" w:hAnsi="Verdana" w:cs="Arial"/>
          <w:b/>
          <w:lang w:eastAsia="es-ES_tradnl"/>
        </w:rPr>
        <w:t xml:space="preserve"> Viviana Gómez Arroyave     </w:t>
      </w:r>
    </w:p>
    <w:p w14:paraId="4564AD6F" w14:textId="77777777" w:rsidR="00E50254" w:rsidRPr="00F70687" w:rsidRDefault="00E50254" w:rsidP="00E50254">
      <w:pPr>
        <w:spacing w:after="0"/>
        <w:rPr>
          <w:rFonts w:ascii="Verdana" w:hAnsi="Verdana"/>
        </w:rPr>
      </w:pPr>
      <w:hyperlink r:id="rId11" w:history="1">
        <w:r w:rsidRPr="00F70687">
          <w:rPr>
            <w:rFonts w:ascii="Verdana" w:hAnsi="Verdana"/>
            <w:color w:val="0000FF"/>
            <w:u w:val="single"/>
          </w:rPr>
          <w:t>yorviviana@gmail.com</w:t>
        </w:r>
      </w:hyperlink>
      <w:r w:rsidRPr="00F70687">
        <w:rPr>
          <w:rFonts w:ascii="Verdana" w:hAnsi="Verdana"/>
        </w:rPr>
        <w:t xml:space="preserve">  </w:t>
      </w:r>
    </w:p>
    <w:p w14:paraId="425E5CCE" w14:textId="77777777" w:rsidR="00E50254" w:rsidRPr="00F70687" w:rsidRDefault="00E50254" w:rsidP="00E50254">
      <w:pPr>
        <w:spacing w:after="0"/>
      </w:pPr>
      <w:r w:rsidRPr="00F70687">
        <w:rPr>
          <w:rFonts w:ascii="Verdana" w:eastAsia="Calibri" w:hAnsi="Verdana" w:cs="Arial"/>
          <w:lang w:val="es-ES" w:eastAsia="es-ES"/>
        </w:rPr>
        <w:t xml:space="preserve">Villavicencio, Meta </w:t>
      </w:r>
    </w:p>
    <w:p w14:paraId="391B30BD" w14:textId="77777777" w:rsidR="00E50254" w:rsidRPr="00F70687" w:rsidRDefault="00E50254" w:rsidP="00E50254">
      <w:pPr>
        <w:spacing w:after="0"/>
        <w:rPr>
          <w:rFonts w:ascii="Verdana" w:eastAsia="Calibri" w:hAnsi="Verdana" w:cs="Arial"/>
          <w:b/>
          <w:bCs/>
          <w:color w:val="000000"/>
          <w:lang w:val="es-ES_tradnl" w:eastAsia="es-ES_tradnl"/>
        </w:rPr>
      </w:pPr>
    </w:p>
    <w:p w14:paraId="63299DB2" w14:textId="77777777" w:rsidR="00E50254" w:rsidRPr="00F70687" w:rsidRDefault="00E50254" w:rsidP="00E50254">
      <w:pPr>
        <w:spacing w:after="0"/>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E50254" w:rsidRPr="00F70687" w14:paraId="7A864D57" w14:textId="77777777" w:rsidTr="00C13BA5">
        <w:trPr>
          <w:trHeight w:val="884"/>
        </w:trPr>
        <w:tc>
          <w:tcPr>
            <w:tcW w:w="2689" w:type="dxa"/>
          </w:tcPr>
          <w:p w14:paraId="4E93AA1A" w14:textId="77777777" w:rsidR="00E50254" w:rsidRPr="00F70687" w:rsidRDefault="00E50254" w:rsidP="00C13BA5">
            <w:pPr>
              <w:jc w:val="both"/>
              <w:rPr>
                <w:rFonts w:ascii="Verdana" w:eastAsia="Calibri" w:hAnsi="Verdana" w:cs="Arial"/>
                <w:b/>
                <w:bCs/>
                <w:color w:val="7030A0"/>
                <w:lang w:val="es-ES_tradnl" w:eastAsia="es-ES_tradnl"/>
              </w:rPr>
            </w:pPr>
          </w:p>
        </w:tc>
        <w:tc>
          <w:tcPr>
            <w:tcW w:w="6100" w:type="dxa"/>
          </w:tcPr>
          <w:p w14:paraId="11F18BA1" w14:textId="77777777" w:rsidR="00E50254" w:rsidRPr="00F70687" w:rsidRDefault="00E50254" w:rsidP="00C13BA5">
            <w:pPr>
              <w:jc w:val="both"/>
              <w:rPr>
                <w:rFonts w:ascii="Verdana" w:eastAsia="Calibri" w:hAnsi="Verdana" w:cs="Arial"/>
                <w:b/>
                <w:bCs/>
                <w:color w:val="7030A0"/>
                <w:lang w:val="es-ES" w:eastAsia="es-ES"/>
              </w:rPr>
            </w:pPr>
            <w:r w:rsidRPr="00F70687">
              <w:rPr>
                <w:rFonts w:ascii="Verdana" w:eastAsia="Calibri" w:hAnsi="Verdana" w:cs="Arial"/>
                <w:b/>
                <w:bCs/>
                <w:lang w:val="es-ES" w:eastAsia="es-ES"/>
              </w:rPr>
              <w:t>Concepto C – 121</w:t>
            </w:r>
            <w:r>
              <w:rPr>
                <w:rFonts w:ascii="Verdana" w:eastAsia="Calibri" w:hAnsi="Verdana" w:cs="Arial"/>
                <w:b/>
                <w:bCs/>
                <w:lang w:val="es-ES" w:eastAsia="es-ES"/>
              </w:rPr>
              <w:t>4</w:t>
            </w:r>
            <w:r w:rsidRPr="00F70687">
              <w:rPr>
                <w:rFonts w:ascii="Verdana" w:eastAsia="Calibri" w:hAnsi="Verdana" w:cs="Arial"/>
                <w:b/>
                <w:bCs/>
                <w:lang w:val="es-ES" w:eastAsia="es-ES"/>
              </w:rPr>
              <w:t xml:space="preserve"> de 2025</w:t>
            </w:r>
          </w:p>
        </w:tc>
      </w:tr>
      <w:tr w:rsidR="00E50254" w:rsidRPr="00F70687" w14:paraId="32E6BC91" w14:textId="77777777" w:rsidTr="00C13BA5">
        <w:trPr>
          <w:trHeight w:val="884"/>
        </w:trPr>
        <w:tc>
          <w:tcPr>
            <w:tcW w:w="2689" w:type="dxa"/>
          </w:tcPr>
          <w:p w14:paraId="0D52091B" w14:textId="77777777" w:rsidR="00E50254" w:rsidRPr="00F70687" w:rsidRDefault="00E50254" w:rsidP="00C13BA5">
            <w:pPr>
              <w:jc w:val="both"/>
              <w:rPr>
                <w:rFonts w:ascii="Verdana" w:eastAsia="Calibri" w:hAnsi="Verdana" w:cs="Arial"/>
                <w:color w:val="000000"/>
                <w:lang w:val="es-ES_tradnl" w:eastAsia="es-ES_tradnl"/>
              </w:rPr>
            </w:pPr>
            <w:r w:rsidRPr="00F70687">
              <w:rPr>
                <w:rFonts w:ascii="Verdana" w:eastAsia="Calibri" w:hAnsi="Verdana" w:cs="Arial"/>
                <w:b/>
                <w:color w:val="000000"/>
                <w:lang w:val="es-ES_tradnl" w:eastAsia="es-ES_tradnl"/>
              </w:rPr>
              <w:t>Temas:</w:t>
            </w:r>
            <w:r w:rsidRPr="00F70687">
              <w:rPr>
                <w:rFonts w:ascii="Verdana" w:eastAsia="Calibri" w:hAnsi="Verdana" w:cs="Arial"/>
                <w:color w:val="000000"/>
                <w:lang w:val="es-ES_tradnl" w:eastAsia="es-ES_tradnl"/>
              </w:rPr>
              <w:t xml:space="preserve">                   </w:t>
            </w:r>
          </w:p>
        </w:tc>
        <w:tc>
          <w:tcPr>
            <w:tcW w:w="6100" w:type="dxa"/>
          </w:tcPr>
          <w:p w14:paraId="1F340616" w14:textId="77777777" w:rsidR="00E50254" w:rsidRPr="00F70687" w:rsidRDefault="00E50254" w:rsidP="00C13BA5">
            <w:pPr>
              <w:spacing w:line="276" w:lineRule="auto"/>
              <w:jc w:val="both"/>
              <w:rPr>
                <w:rFonts w:ascii="Verdana" w:eastAsia="Calibri" w:hAnsi="Verdana" w:cs="Arial"/>
                <w:lang w:val="es-ES" w:eastAsia="es-ES"/>
              </w:rPr>
            </w:pPr>
            <w:r w:rsidRPr="00F70687">
              <w:rPr>
                <w:rFonts w:ascii="Verdana" w:eastAsia="Calibri" w:hAnsi="Verdana" w:cs="Arial"/>
                <w:lang w:val="es-ES" w:eastAsia="es-ES"/>
              </w:rPr>
              <w:t xml:space="preserve">NULIDAD DEL CONTRATO – Causales / SANEAMIENTO – Vicios – Procedimiento de forma – Requisitos / ERRORES FORMALES – Corrección – Diferencias    </w:t>
            </w:r>
          </w:p>
          <w:p w14:paraId="29DA3317" w14:textId="77777777" w:rsidR="00E50254" w:rsidRPr="00F70687" w:rsidRDefault="00E50254" w:rsidP="00C13BA5">
            <w:pPr>
              <w:spacing w:line="276" w:lineRule="auto"/>
              <w:jc w:val="both"/>
              <w:rPr>
                <w:rFonts w:ascii="Verdana" w:eastAsia="Calibri" w:hAnsi="Verdana" w:cs="Arial"/>
                <w:lang w:val="es-ES" w:eastAsia="es-ES"/>
              </w:rPr>
            </w:pPr>
            <w:r w:rsidRPr="00F70687">
              <w:rPr>
                <w:rFonts w:ascii="Verdana" w:eastAsia="Calibri" w:hAnsi="Verdana" w:cs="Arial"/>
                <w:lang w:val="es-ES" w:eastAsia="es-ES"/>
              </w:rPr>
              <w:t xml:space="preserve">  </w:t>
            </w:r>
          </w:p>
        </w:tc>
      </w:tr>
      <w:tr w:rsidR="00E50254" w:rsidRPr="00F70687" w14:paraId="2FDDCE58" w14:textId="77777777" w:rsidTr="00C13BA5">
        <w:tc>
          <w:tcPr>
            <w:tcW w:w="2689" w:type="dxa"/>
          </w:tcPr>
          <w:p w14:paraId="58DCDDE4" w14:textId="77777777" w:rsidR="00E50254" w:rsidRPr="00F70687" w:rsidRDefault="00E50254" w:rsidP="00C13BA5">
            <w:pPr>
              <w:jc w:val="both"/>
              <w:rPr>
                <w:rFonts w:ascii="Verdana" w:eastAsia="Calibri" w:hAnsi="Verdana" w:cs="Arial"/>
                <w:b/>
                <w:lang w:val="es-ES_tradnl" w:eastAsia="es-ES_tradnl"/>
              </w:rPr>
            </w:pPr>
            <w:r w:rsidRPr="00F70687">
              <w:rPr>
                <w:rFonts w:ascii="Verdana" w:eastAsia="Calibri" w:hAnsi="Verdana" w:cs="Arial"/>
                <w:b/>
                <w:lang w:val="es-ES_tradnl" w:eastAsia="es-ES_tradnl"/>
              </w:rPr>
              <w:t>Radicación:</w:t>
            </w:r>
            <w:r w:rsidRPr="00F70687">
              <w:rPr>
                <w:rFonts w:ascii="Verdana" w:eastAsia="Calibri" w:hAnsi="Verdana" w:cs="Arial"/>
                <w:lang w:val="es-ES_tradnl" w:eastAsia="es-ES_tradnl"/>
              </w:rPr>
              <w:t xml:space="preserve">               </w:t>
            </w:r>
          </w:p>
        </w:tc>
        <w:tc>
          <w:tcPr>
            <w:tcW w:w="6100" w:type="dxa"/>
          </w:tcPr>
          <w:p w14:paraId="2C395E27" w14:textId="77777777" w:rsidR="00E50254" w:rsidRPr="00F70687" w:rsidRDefault="00E50254" w:rsidP="00C13BA5">
            <w:pPr>
              <w:jc w:val="both"/>
              <w:rPr>
                <w:rFonts w:ascii="Verdana" w:eastAsia="Calibri" w:hAnsi="Verdana" w:cs="Arial"/>
                <w:lang w:eastAsia="es-ES_tradnl"/>
              </w:rPr>
            </w:pPr>
            <w:r w:rsidRPr="00F70687">
              <w:rPr>
                <w:rFonts w:ascii="Verdana" w:eastAsia="Calibri" w:hAnsi="Verdana" w:cs="Arial"/>
                <w:lang w:val="es-ES_tradnl" w:eastAsia="es-ES_tradnl"/>
              </w:rPr>
              <w:t xml:space="preserve">Respuesta a la consulta con radicado No. 1_2025_08_27_009129                                     </w:t>
            </w:r>
          </w:p>
        </w:tc>
      </w:tr>
    </w:tbl>
    <w:p w14:paraId="6B41C714" w14:textId="77777777" w:rsidR="00E50254" w:rsidRPr="00F70687" w:rsidRDefault="00E50254" w:rsidP="00E50254">
      <w:pPr>
        <w:spacing w:after="0"/>
        <w:jc w:val="both"/>
        <w:rPr>
          <w:rFonts w:ascii="Verdana" w:eastAsia="Calibri" w:hAnsi="Verdana" w:cs="Arial"/>
          <w:color w:val="000000"/>
          <w:lang w:val="es-ES_tradnl" w:eastAsia="es-ES_tradnl"/>
        </w:rPr>
      </w:pPr>
    </w:p>
    <w:p w14:paraId="557F448C" w14:textId="77777777" w:rsidR="00E50254" w:rsidRPr="00F70687" w:rsidRDefault="00E50254" w:rsidP="00E50254">
      <w:pPr>
        <w:spacing w:after="0"/>
        <w:jc w:val="both"/>
        <w:rPr>
          <w:rFonts w:ascii="Verdana" w:eastAsia="Calibri" w:hAnsi="Verdana" w:cs="Arial"/>
          <w:color w:val="000000"/>
          <w:lang w:val="es-ES_tradnl" w:eastAsia="es-ES_tradnl"/>
        </w:rPr>
      </w:pPr>
    </w:p>
    <w:p w14:paraId="0E75997C" w14:textId="77777777" w:rsidR="00E50254" w:rsidRPr="00F70687" w:rsidRDefault="00E50254" w:rsidP="00E50254">
      <w:pPr>
        <w:spacing w:after="0" w:line="276" w:lineRule="auto"/>
        <w:jc w:val="both"/>
        <w:rPr>
          <w:rFonts w:ascii="Verdana" w:eastAsia="Calibri" w:hAnsi="Verdana" w:cs="Arial"/>
          <w:lang w:val="es-ES" w:eastAsia="es-ES"/>
        </w:rPr>
      </w:pPr>
      <w:r w:rsidRPr="00F70687">
        <w:rPr>
          <w:rFonts w:ascii="Verdana" w:eastAsia="Calibri" w:hAnsi="Verdana" w:cs="Arial"/>
          <w:lang w:val="es-ES" w:eastAsia="es-ES"/>
        </w:rPr>
        <w:t xml:space="preserve">Estimada señora Gómez: </w:t>
      </w:r>
    </w:p>
    <w:p w14:paraId="508DEFBB" w14:textId="77777777" w:rsidR="00E50254" w:rsidRPr="00F70687" w:rsidRDefault="00E50254" w:rsidP="00E50254">
      <w:pPr>
        <w:tabs>
          <w:tab w:val="left" w:pos="3768"/>
        </w:tabs>
        <w:spacing w:after="0" w:line="276" w:lineRule="auto"/>
        <w:jc w:val="both"/>
        <w:rPr>
          <w:rFonts w:ascii="Verdana" w:eastAsia="Calibri" w:hAnsi="Verdana" w:cs="Arial"/>
          <w:color w:val="000000" w:themeColor="text1"/>
          <w:lang w:val="es-ES" w:eastAsia="es-ES"/>
        </w:rPr>
      </w:pPr>
      <w:r w:rsidRPr="00F70687">
        <w:rPr>
          <w:rFonts w:ascii="Verdana" w:eastAsia="Calibri" w:hAnsi="Verdana" w:cs="Arial"/>
          <w:color w:val="000000" w:themeColor="text1"/>
          <w:lang w:val="es-ES" w:eastAsia="es-ES"/>
        </w:rPr>
        <w:tab/>
      </w:r>
    </w:p>
    <w:p w14:paraId="7032AFEC" w14:textId="77777777" w:rsidR="00E50254" w:rsidRPr="00F70687" w:rsidRDefault="00E50254" w:rsidP="00E50254">
      <w:pPr>
        <w:spacing w:after="0" w:line="276" w:lineRule="auto"/>
        <w:jc w:val="both"/>
        <w:rPr>
          <w:rFonts w:ascii="Verdana" w:eastAsia="Calibri" w:hAnsi="Verdana" w:cs="Arial"/>
          <w:color w:val="7030A0"/>
          <w:lang w:val="es-ES" w:eastAsia="es-ES"/>
        </w:rPr>
      </w:pPr>
      <w:r w:rsidRPr="00F70687">
        <w:rPr>
          <w:rFonts w:ascii="Verdana" w:eastAsia="Calibri" w:hAnsi="Verdana" w:cs="Arial"/>
          <w:color w:val="000000" w:themeColor="text1"/>
          <w:lang w:val="es-ES" w:eastAsia="es-ES"/>
        </w:rPr>
        <w:t>En ejercicio de la competencia otorgada por los artículos 3, numeral 5º, y 11, numeral 8º, del Decreto Ley 4170 de 2011,</w:t>
      </w:r>
      <w:r w:rsidRPr="00F70687">
        <w:rPr>
          <w:rFonts w:ascii="Verdana" w:eastAsia="Arial MT" w:hAnsi="Verdana" w:cs="Arial MT"/>
          <w:lang w:val="es-ES" w:eastAsia="es-ES"/>
        </w:rPr>
        <w:t xml:space="preserve"> </w:t>
      </w:r>
      <w:r w:rsidRPr="00F70687">
        <w:rPr>
          <w:rFonts w:ascii="Verdana" w:hAnsi="Verdana" w:cs="Arial"/>
        </w:rPr>
        <w:t xml:space="preserve">así como lo establecido en la Resolución 469 de 2025 </w:t>
      </w:r>
      <w:r w:rsidRPr="00F70687">
        <w:rPr>
          <w:rFonts w:ascii="Verdana" w:eastAsia="Aptos" w:hAnsi="Verdana" w:cs="Arial"/>
        </w:rPr>
        <w:t>expedida por esta Entidad</w:t>
      </w:r>
      <w:r w:rsidRPr="00F70687">
        <w:rPr>
          <w:rFonts w:ascii="Verdana" w:hAnsi="Verdana" w:cs="Arial"/>
        </w:rPr>
        <w:t xml:space="preserve">, </w:t>
      </w:r>
      <w:r w:rsidRPr="00F70687">
        <w:rPr>
          <w:rFonts w:ascii="Verdana" w:eastAsia="Calibri" w:hAnsi="Verdana" w:cs="Arial"/>
          <w:color w:val="000000" w:themeColor="text1"/>
          <w:lang w:val="es-ES" w:eastAsia="es-ES"/>
        </w:rPr>
        <w:t xml:space="preserve">la Agencia Nacional de Contratación Pública – Colombia Compra Eficiente responde su solicitud de consulta de </w:t>
      </w:r>
      <w:r w:rsidRPr="00F70687">
        <w:rPr>
          <w:rFonts w:ascii="Verdana" w:eastAsia="Calibri" w:hAnsi="Verdana" w:cs="Arial"/>
          <w:lang w:val="es-ES" w:eastAsia="es-ES"/>
        </w:rPr>
        <w:t xml:space="preserve">fecha 27 de agosto de 2025, en la cual pregunta lo siguiente: </w:t>
      </w:r>
    </w:p>
    <w:p w14:paraId="6393EC84" w14:textId="77777777" w:rsidR="00E50254" w:rsidRPr="00F70687" w:rsidRDefault="00E50254" w:rsidP="00E50254">
      <w:pPr>
        <w:tabs>
          <w:tab w:val="left" w:pos="142"/>
          <w:tab w:val="left" w:pos="284"/>
        </w:tabs>
        <w:spacing w:after="0" w:line="276" w:lineRule="auto"/>
        <w:contextualSpacing/>
        <w:jc w:val="both"/>
        <w:rPr>
          <w:rFonts w:ascii="Verdana" w:eastAsia="Century Gothic" w:hAnsi="Verdana" w:cs="Century Gothic"/>
          <w:b/>
          <w:bCs/>
          <w:lang w:val="es-ES"/>
        </w:rPr>
      </w:pPr>
    </w:p>
    <w:p w14:paraId="3CE5607D" w14:textId="77777777" w:rsidR="00E50254" w:rsidRPr="00F70687" w:rsidRDefault="00E50254" w:rsidP="00E50254">
      <w:pPr>
        <w:spacing w:after="120" w:line="240" w:lineRule="auto"/>
        <w:ind w:left="709" w:right="709"/>
        <w:jc w:val="both"/>
        <w:rPr>
          <w:rFonts w:ascii="Verdana" w:eastAsia="Century Gothic" w:hAnsi="Verdana" w:cs="Century Gothic"/>
          <w:sz w:val="20"/>
          <w:szCs w:val="20"/>
        </w:rPr>
      </w:pPr>
      <w:bookmarkStart w:id="0" w:name="_Hlk95313578"/>
      <w:r w:rsidRPr="00F70687">
        <w:rPr>
          <w:rFonts w:ascii="Verdana" w:eastAsia="Century Gothic" w:hAnsi="Verdana" w:cs="Century Gothic"/>
          <w:sz w:val="20"/>
          <w:szCs w:val="20"/>
          <w:lang w:val="es-ES"/>
        </w:rPr>
        <w:t>“</w:t>
      </w:r>
      <w:bookmarkEnd w:id="0"/>
      <w:r w:rsidRPr="00F70687">
        <w:rPr>
          <w:rFonts w:ascii="Verdana" w:eastAsia="Century Gothic" w:hAnsi="Verdana" w:cs="Century Gothic"/>
          <w:sz w:val="20"/>
          <w:szCs w:val="20"/>
        </w:rPr>
        <w:t xml:space="preserve">Es posible que en un proceso que de selección abreviada por subasta inversa en el que posterior al desarrollo de la subasta se evidenció que uno de los proponentes habilitados no cumplía con los requisitos técnicos, se aplique el art 49 de la Ley 80 de 1993, emitiendo un acto administrativo debidamente motivado para sanear el proceso de vicios de forma, para lo cual se retrotraería el procedimiento hasta la etapa de publicación de observaciones al informe de evaluación y modificar el cronograma del proceso de selección? buscando así sanear el proceso y evitar vicios en la adjudicación. </w:t>
      </w:r>
      <w:proofErr w:type="gramStart"/>
      <w:r w:rsidRPr="00F70687">
        <w:rPr>
          <w:rFonts w:ascii="Verdana" w:eastAsia="Century Gothic" w:hAnsi="Verdana" w:cs="Century Gothic"/>
          <w:sz w:val="20"/>
          <w:szCs w:val="20"/>
        </w:rPr>
        <w:t>O cual debería ser el procedimiento a aplicar?</w:t>
      </w:r>
      <w:proofErr w:type="gramEnd"/>
      <w:r w:rsidRPr="00F70687">
        <w:rPr>
          <w:rFonts w:ascii="Verdana" w:eastAsia="Century Gothic" w:hAnsi="Verdana" w:cs="Century Gothic"/>
          <w:sz w:val="20"/>
          <w:szCs w:val="20"/>
        </w:rPr>
        <w:t>”.</w:t>
      </w:r>
      <w:r w:rsidRPr="00F70687">
        <w:rPr>
          <w:rFonts w:ascii="Verdana" w:eastAsia="Century Gothic" w:hAnsi="Verdana" w:cs="Century Gothic"/>
          <w:sz w:val="20"/>
          <w:szCs w:val="20"/>
          <w:lang w:val="es-ES"/>
        </w:rPr>
        <w:t xml:space="preserve"> </w:t>
      </w:r>
    </w:p>
    <w:p w14:paraId="46B381C3" w14:textId="77777777" w:rsidR="00E50254" w:rsidRPr="00F70687" w:rsidRDefault="00E50254" w:rsidP="00E50254">
      <w:pPr>
        <w:spacing w:after="0" w:line="276" w:lineRule="auto"/>
        <w:jc w:val="both"/>
        <w:rPr>
          <w:rFonts w:ascii="Verdana" w:eastAsia="Calibri" w:hAnsi="Verdana" w:cs="Arial"/>
          <w:color w:val="000000"/>
          <w:lang w:val="es-ES" w:eastAsia="es-ES"/>
        </w:rPr>
      </w:pPr>
    </w:p>
    <w:p w14:paraId="6F85F452" w14:textId="77777777" w:rsidR="00E50254" w:rsidRPr="00F70687" w:rsidRDefault="00E50254" w:rsidP="00E50254">
      <w:pPr>
        <w:spacing w:after="120" w:line="276" w:lineRule="auto"/>
        <w:ind w:firstLine="709"/>
        <w:jc w:val="both"/>
        <w:rPr>
          <w:rFonts w:ascii="Verdana" w:eastAsia="Calibri" w:hAnsi="Verdana" w:cs="Arial"/>
          <w:color w:val="000000"/>
          <w:lang w:val="es-ES" w:eastAsia="es-ES"/>
        </w:rPr>
      </w:pPr>
      <w:r w:rsidRPr="00F70687">
        <w:rPr>
          <w:rFonts w:ascii="Verdana" w:eastAsia="Calibri" w:hAnsi="Verdana" w:cs="Arial"/>
          <w:color w:val="000000"/>
          <w:lang w:val="es-ES" w:eastAsia="es-ES"/>
        </w:rPr>
        <w:t xml:space="preserve">De manera preliminar, resulta necesario acotar que esta entidad sólo tiene competencia para responder consultas sobre la aplicación de normas de carácter </w:t>
      </w:r>
      <w:r w:rsidRPr="00F70687">
        <w:rPr>
          <w:rFonts w:ascii="Verdana" w:eastAsia="Calibri" w:hAnsi="Verdana" w:cs="Arial"/>
          <w:color w:val="000000"/>
          <w:lang w:val="es-ES" w:eastAsia="es-ES"/>
        </w:rPr>
        <w:lastRenderedPageBreak/>
        <w:t xml:space="preserve">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F70687">
        <w:rPr>
          <w:rFonts w:ascii="Verdana" w:eastAsia="Calibri" w:hAnsi="Verdana" w:cs="Arial"/>
          <w:color w:val="000000"/>
          <w:lang w:val="es-ES_tradnl" w:eastAsia="es-ES_tradnl"/>
        </w:rPr>
        <w:tab/>
      </w:r>
    </w:p>
    <w:p w14:paraId="00FAEFDE" w14:textId="77777777" w:rsidR="00E50254" w:rsidRPr="00F70687" w:rsidRDefault="00E50254" w:rsidP="00E50254">
      <w:pPr>
        <w:spacing w:after="0" w:line="276" w:lineRule="auto"/>
        <w:ind w:firstLine="709"/>
        <w:jc w:val="both"/>
        <w:rPr>
          <w:rFonts w:ascii="Verdana" w:eastAsia="Calibri" w:hAnsi="Verdana" w:cs="Arial"/>
          <w:color w:val="000000"/>
          <w:lang w:val="es-ES" w:eastAsia="es-ES"/>
        </w:rPr>
      </w:pPr>
      <w:r w:rsidRPr="00F70687">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 circunstancia particular y concreta expuesta en la petición, pero haciendo unas consideraciones sobre las normas generales relacionadas con el</w:t>
      </w:r>
      <w:r w:rsidRPr="00F70687">
        <w:rPr>
          <w:rFonts w:ascii="Verdana" w:eastAsia="Calibri" w:hAnsi="Verdana" w:cs="Arial"/>
          <w:color w:val="7030A0"/>
          <w:lang w:val="es-ES" w:eastAsia="es-ES"/>
        </w:rPr>
        <w:t xml:space="preserve"> </w:t>
      </w:r>
      <w:r w:rsidRPr="00F70687">
        <w:rPr>
          <w:rFonts w:ascii="Verdana" w:eastAsia="Calibri" w:hAnsi="Verdana" w:cs="Arial"/>
          <w:color w:val="000000"/>
          <w:lang w:val="es-ES" w:eastAsia="es-ES"/>
        </w:rPr>
        <w:t>problema</w:t>
      </w:r>
      <w:r w:rsidRPr="00F70687">
        <w:rPr>
          <w:rFonts w:ascii="Verdana" w:eastAsia="Calibri" w:hAnsi="Verdana" w:cs="Arial"/>
          <w:color w:val="7030A0"/>
          <w:lang w:val="es-ES" w:eastAsia="es-ES"/>
        </w:rPr>
        <w:t xml:space="preserve"> </w:t>
      </w:r>
      <w:r w:rsidRPr="00F70687">
        <w:rPr>
          <w:rFonts w:ascii="Verdana" w:eastAsia="Calibri" w:hAnsi="Verdana" w:cs="Arial"/>
          <w:color w:val="000000"/>
          <w:lang w:val="es-ES" w:eastAsia="es-ES"/>
        </w:rPr>
        <w:t>jurídico</w:t>
      </w:r>
      <w:r w:rsidRPr="00F70687">
        <w:rPr>
          <w:rFonts w:ascii="Verdana" w:eastAsia="Calibri" w:hAnsi="Verdana" w:cs="Arial"/>
          <w:color w:val="7030A0"/>
          <w:lang w:val="es-ES" w:eastAsia="es-ES"/>
        </w:rPr>
        <w:t xml:space="preserve"> </w:t>
      </w:r>
      <w:r w:rsidRPr="00F70687">
        <w:rPr>
          <w:rFonts w:ascii="Verdana" w:eastAsia="Calibri" w:hAnsi="Verdana" w:cs="Arial"/>
          <w:color w:val="000000"/>
          <w:lang w:val="es-ES" w:eastAsia="es-ES"/>
        </w:rPr>
        <w:t xml:space="preserve">de su consulta. </w:t>
      </w:r>
    </w:p>
    <w:p w14:paraId="35D0D7B7" w14:textId="77777777" w:rsidR="00E50254" w:rsidRPr="00F70687" w:rsidRDefault="00E50254" w:rsidP="00E50254">
      <w:pPr>
        <w:spacing w:after="0" w:line="276" w:lineRule="auto"/>
        <w:ind w:firstLine="709"/>
        <w:jc w:val="both"/>
        <w:rPr>
          <w:rFonts w:ascii="Verdana" w:eastAsia="Calibri" w:hAnsi="Verdana" w:cs="Arial"/>
          <w:color w:val="000000"/>
          <w:lang w:val="es-ES" w:eastAsia="es-ES"/>
        </w:rPr>
      </w:pPr>
    </w:p>
    <w:p w14:paraId="27F04693" w14:textId="77777777" w:rsidR="00E50254" w:rsidRPr="00F70687" w:rsidRDefault="00E50254" w:rsidP="00E50254">
      <w:pPr>
        <w:numPr>
          <w:ilvl w:val="0"/>
          <w:numId w:val="16"/>
        </w:numPr>
        <w:tabs>
          <w:tab w:val="left" w:pos="142"/>
          <w:tab w:val="left" w:pos="284"/>
        </w:tabs>
        <w:spacing w:after="0" w:line="276" w:lineRule="auto"/>
        <w:contextualSpacing/>
        <w:jc w:val="both"/>
        <w:rPr>
          <w:rFonts w:ascii="Verdana" w:eastAsia="Century Gothic" w:hAnsi="Verdana" w:cs="Century Gothic"/>
          <w:b/>
          <w:bCs/>
          <w:lang w:val="es-ES"/>
        </w:rPr>
      </w:pPr>
      <w:r w:rsidRPr="00F70687">
        <w:rPr>
          <w:rFonts w:ascii="Verdana" w:eastAsia="Century Gothic" w:hAnsi="Verdana" w:cs="Century Gothic"/>
          <w:b/>
          <w:bCs/>
          <w:lang w:val="es-ES"/>
        </w:rPr>
        <w:t>Problema planteado:</w:t>
      </w:r>
    </w:p>
    <w:p w14:paraId="47D03218" w14:textId="77777777" w:rsidR="00E50254" w:rsidRPr="00F70687" w:rsidRDefault="00E50254" w:rsidP="00E50254">
      <w:pPr>
        <w:tabs>
          <w:tab w:val="left" w:pos="426"/>
        </w:tabs>
        <w:spacing w:after="0" w:line="276" w:lineRule="auto"/>
        <w:jc w:val="both"/>
        <w:rPr>
          <w:rFonts w:ascii="Verdana" w:eastAsia="Century Gothic" w:hAnsi="Verdana" w:cs="Century Gothic"/>
          <w:lang w:val="es-ES"/>
        </w:rPr>
      </w:pPr>
    </w:p>
    <w:p w14:paraId="191EA181" w14:textId="77777777" w:rsidR="00E50254" w:rsidRPr="00F70687" w:rsidRDefault="00E50254" w:rsidP="00E50254">
      <w:pPr>
        <w:spacing w:after="0" w:line="276" w:lineRule="auto"/>
        <w:jc w:val="both"/>
        <w:rPr>
          <w:rFonts w:ascii="Verdana" w:eastAsia="Century Gothic" w:hAnsi="Verdana" w:cs="Century Gothic"/>
        </w:rPr>
      </w:pPr>
      <w:r w:rsidRPr="00F70687">
        <w:rPr>
          <w:rFonts w:ascii="Verdana" w:eastAsia="Century Gothic" w:hAnsi="Verdana" w:cs="Century Gothic"/>
        </w:rPr>
        <w:t xml:space="preserve">De acuerdo con el contenido de su solicitud, delimitada la competencia consultiva de la entidad, esta Agencia resolverá el siguiente problema jurídico: ¿cuál es el alcance y las limitaciones del artículo 49 de la Ley 80 de 1993 en lo que respecta al saneamiento de los procedimientos de selección? </w:t>
      </w:r>
      <w:r w:rsidRPr="00F70687">
        <w:rPr>
          <w:rFonts w:ascii="Verdana" w:eastAsia="Century Gothic" w:hAnsi="Verdana" w:cs="Century Gothic"/>
          <w:color w:val="7030A0"/>
        </w:rPr>
        <w:t xml:space="preserve"> </w:t>
      </w:r>
    </w:p>
    <w:p w14:paraId="4726A316" w14:textId="77777777" w:rsidR="00E50254" w:rsidRPr="00F70687" w:rsidRDefault="00E50254" w:rsidP="00E50254">
      <w:pPr>
        <w:spacing w:after="0" w:line="276" w:lineRule="auto"/>
        <w:jc w:val="both"/>
        <w:rPr>
          <w:rFonts w:ascii="Verdana" w:eastAsia="Calibri" w:hAnsi="Verdana" w:cs="Arial"/>
          <w:color w:val="7030A0"/>
        </w:rPr>
      </w:pPr>
    </w:p>
    <w:p w14:paraId="304B58F0" w14:textId="77777777" w:rsidR="00E50254" w:rsidRPr="00F70687" w:rsidRDefault="00E50254" w:rsidP="00E50254">
      <w:pPr>
        <w:numPr>
          <w:ilvl w:val="0"/>
          <w:numId w:val="16"/>
        </w:numPr>
        <w:tabs>
          <w:tab w:val="left" w:pos="142"/>
          <w:tab w:val="left" w:pos="284"/>
        </w:tabs>
        <w:spacing w:after="0" w:line="276" w:lineRule="auto"/>
        <w:jc w:val="both"/>
        <w:rPr>
          <w:rFonts w:ascii="Verdana" w:eastAsia="Century Gothic" w:hAnsi="Verdana" w:cs="Century Gothic"/>
          <w:b/>
          <w:bCs/>
          <w:lang w:val="es-ES"/>
        </w:rPr>
      </w:pPr>
      <w:r w:rsidRPr="00F70687">
        <w:rPr>
          <w:rFonts w:ascii="Verdana" w:eastAsia="Century Gothic" w:hAnsi="Verdana" w:cs="Century Gothic"/>
          <w:b/>
          <w:bCs/>
          <w:lang w:val="es-ES"/>
        </w:rPr>
        <w:t>Respuesta:</w:t>
      </w:r>
    </w:p>
    <w:p w14:paraId="559FAFC6" w14:textId="77777777" w:rsidR="00E50254" w:rsidRPr="00F70687" w:rsidRDefault="00E50254" w:rsidP="00E50254">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E50254" w:rsidRPr="00F70687" w14:paraId="151100E3" w14:textId="77777777" w:rsidTr="00C13BA5">
        <w:trPr>
          <w:jc w:val="center"/>
        </w:trPr>
        <w:tc>
          <w:tcPr>
            <w:tcW w:w="8828" w:type="dxa"/>
          </w:tcPr>
          <w:p w14:paraId="6A272ECC" w14:textId="77777777" w:rsidR="00E50254" w:rsidRPr="00F70687" w:rsidRDefault="00E50254" w:rsidP="00C13BA5">
            <w:pPr>
              <w:tabs>
                <w:tab w:val="left" w:pos="426"/>
              </w:tabs>
              <w:spacing w:after="120" w:line="276" w:lineRule="auto"/>
              <w:jc w:val="both"/>
              <w:rPr>
                <w:rFonts w:ascii="Verdana" w:hAnsi="Verdana"/>
                <w:bCs/>
                <w:color w:val="000000" w:themeColor="text1"/>
                <w:lang w:eastAsia="es-ES_tradnl"/>
              </w:rPr>
            </w:pPr>
            <w:bookmarkStart w:id="1" w:name="_Hlk171694685"/>
            <w:r w:rsidRPr="00F70687">
              <w:rPr>
                <w:rFonts w:ascii="Verdana" w:hAnsi="Verdana"/>
                <w:bCs/>
                <w:color w:val="000000" w:themeColor="text1"/>
                <w:lang w:eastAsia="es-ES_tradnl"/>
              </w:rPr>
              <w:t xml:space="preserve">Conforme a la interpretación de las normas generales del sistema de compras públicas, el artículo 49 del EGCAP otorga una autorización a las entidades estatales para que remedien o corrijan aquellos defectos o irregularidades de procedimiento o de forma que no constituyen causales de nulidad del contrato. De la lectura de esta norma se puede apreciar que para su aplicación se requiere el cumplimiento de los siguientes requisitos: i) el vicio a sanear tiene de que ser de procedimiento o de forma, lo que significa que no es posible sanear a través de esta figura los vicios de fondo o sustanciales del acto o contrato, lo que lleva a que,  </w:t>
            </w:r>
            <w:proofErr w:type="spellStart"/>
            <w:r w:rsidRPr="00F70687">
              <w:rPr>
                <w:rFonts w:ascii="Verdana" w:hAnsi="Verdana"/>
                <w:bCs/>
                <w:color w:val="000000" w:themeColor="text1"/>
                <w:lang w:eastAsia="es-ES_tradnl"/>
              </w:rPr>
              <w:t>ii</w:t>
            </w:r>
            <w:proofErr w:type="spellEnd"/>
            <w:r w:rsidRPr="00F70687">
              <w:rPr>
                <w:rFonts w:ascii="Verdana" w:hAnsi="Verdana"/>
                <w:bCs/>
                <w:color w:val="000000" w:themeColor="text1"/>
                <w:lang w:eastAsia="es-ES_tradnl"/>
              </w:rPr>
              <w:t xml:space="preserve">) el vicio a sanear no puede corresponder a  ninguna de las causales de nulidad absoluta o relativa de los contratos estatales, </w:t>
            </w:r>
            <w:proofErr w:type="spellStart"/>
            <w:r w:rsidRPr="00F70687">
              <w:rPr>
                <w:rFonts w:ascii="Verdana" w:hAnsi="Verdana"/>
                <w:bCs/>
                <w:color w:val="000000" w:themeColor="text1"/>
                <w:lang w:eastAsia="es-ES_tradnl"/>
              </w:rPr>
              <w:t>iii</w:t>
            </w:r>
            <w:proofErr w:type="spellEnd"/>
            <w:r w:rsidRPr="00F70687">
              <w:rPr>
                <w:rFonts w:ascii="Verdana" w:hAnsi="Verdana"/>
                <w:bCs/>
                <w:color w:val="000000" w:themeColor="text1"/>
                <w:lang w:eastAsia="es-ES_tradnl"/>
              </w:rPr>
              <w:t xml:space="preserve">) debe hacerse mediante acto administrativo motivado, </w:t>
            </w:r>
            <w:proofErr w:type="spellStart"/>
            <w:r w:rsidRPr="00F70687">
              <w:rPr>
                <w:rFonts w:ascii="Verdana" w:hAnsi="Verdana"/>
                <w:bCs/>
                <w:color w:val="000000" w:themeColor="text1"/>
                <w:lang w:eastAsia="es-ES_tradnl"/>
              </w:rPr>
              <w:t>iv</w:t>
            </w:r>
            <w:proofErr w:type="spellEnd"/>
            <w:r w:rsidRPr="00F70687">
              <w:rPr>
                <w:rFonts w:ascii="Verdana" w:hAnsi="Verdana"/>
                <w:bCs/>
                <w:color w:val="000000" w:themeColor="text1"/>
                <w:lang w:eastAsia="es-ES_tradnl"/>
              </w:rPr>
              <w:t xml:space="preserve">) el funcionario competente es el jefe o representante legal de la entidad y v) el </w:t>
            </w:r>
            <w:r w:rsidRPr="00F70687">
              <w:rPr>
                <w:rFonts w:ascii="Verdana" w:hAnsi="Verdana"/>
                <w:bCs/>
                <w:color w:val="000000" w:themeColor="text1"/>
                <w:lang w:eastAsia="es-ES_tradnl"/>
              </w:rPr>
              <w:lastRenderedPageBreak/>
              <w:t>saneamiento debe ocurrir cuando las necesidades del servicio lo exijan o a las reglas de la buena administración lo aconsejen.</w:t>
            </w:r>
          </w:p>
          <w:p w14:paraId="7C3B2937" w14:textId="77777777" w:rsidR="00E50254" w:rsidRPr="00F70687" w:rsidRDefault="00E50254" w:rsidP="00C13BA5">
            <w:pPr>
              <w:tabs>
                <w:tab w:val="left" w:pos="426"/>
              </w:tabs>
              <w:spacing w:after="120" w:line="276" w:lineRule="auto"/>
              <w:ind w:firstLine="743"/>
              <w:jc w:val="both"/>
              <w:rPr>
                <w:rFonts w:ascii="Verdana" w:hAnsi="Verdana"/>
                <w:bCs/>
                <w:color w:val="000000" w:themeColor="text1"/>
                <w:lang w:eastAsia="es-ES_tradnl"/>
              </w:rPr>
            </w:pPr>
            <w:r w:rsidRPr="00F70687">
              <w:rPr>
                <w:rFonts w:ascii="Verdana" w:hAnsi="Verdana"/>
                <w:bCs/>
                <w:color w:val="000000" w:themeColor="text1"/>
                <w:lang w:eastAsia="es-ES_tradnl"/>
              </w:rPr>
              <w:t xml:space="preserve">De esta manera, resulta necesario que las entidades estatales, dentro de su autonomía administrativa, analicen si determinada situación se trata de un vicio de procedimiento o de forma y que no constituya causal de nulidad, pues de lo contrario no resultaría aplicable el saneamiento del proceso con base en el artículo 49 de la Ley 80 de 1993. Teniendo en cuenta que son múltiples las situaciones que se pueden generar alrededor del caso expuesto en la consulta, esta Agencia no puede, </w:t>
            </w:r>
            <w:r w:rsidRPr="00F70687">
              <w:rPr>
                <w:rFonts w:ascii="Verdana" w:eastAsia="Arial MT" w:hAnsi="Verdana" w:cs="Arial"/>
                <w:lang w:eastAsia="es-ES" w:bidi="es-ES"/>
              </w:rPr>
              <w:t>vía concepto, establecer criterios vinculantes sobre la aplicación de esta figura u otros procedimientos. Su función consultiva se limita a brindar orientaciones generales, de conformidad con el principio de juridicidad, para que las entidades del Sistema de Compras y Contratación Pública adopten las decisiones correspondientes en el marco de su gestión contractual.</w:t>
            </w:r>
          </w:p>
          <w:p w14:paraId="04A90C69" w14:textId="77777777" w:rsidR="00E50254" w:rsidRPr="00F70687" w:rsidRDefault="00E50254" w:rsidP="00C13BA5">
            <w:pPr>
              <w:tabs>
                <w:tab w:val="left" w:pos="426"/>
              </w:tabs>
              <w:spacing w:after="120" w:line="276" w:lineRule="auto"/>
              <w:ind w:firstLine="743"/>
              <w:jc w:val="both"/>
              <w:rPr>
                <w:rFonts w:ascii="Verdana" w:hAnsi="Verdana"/>
                <w:bCs/>
                <w:color w:val="000000" w:themeColor="text1"/>
                <w:lang w:eastAsia="es-ES_tradnl"/>
              </w:rPr>
            </w:pPr>
            <w:r w:rsidRPr="00F70687">
              <w:rPr>
                <w:rFonts w:ascii="Verdana" w:hAnsi="Verdana"/>
                <w:bCs/>
                <w:color w:val="000000" w:themeColor="text1"/>
                <w:lang w:eastAsia="es-ES_tradnl"/>
              </w:rPr>
              <w:t xml:space="preserve">En todo caso, cara a la consulta planteada, es fundamental que la entidad estatal garantice el principio de selección objetiva, de tal manera que aquellos eventos que impidan aplicar una escogencia objetiva, la entidad adopte las medidas correspondientes dentro del marco normativo vigente. Por tanto, la entidad podrá analizar la procedencia del artículo 49 de la Ley 80 de 1993 según lo expuesto en este concepto o considerar la expedición de actos administrativos que decidan sobre la continuidad del procedimiento de selección como consecuencia de la imposibilidad de aplicar el principio de selección objetiva, en el marco de lo dispuesto en el artículo 25 </w:t>
            </w:r>
            <w:r w:rsidRPr="00F70687">
              <w:rPr>
                <w:rFonts w:ascii="Verdana" w:hAnsi="Verdana"/>
                <w:bCs/>
                <w:i/>
                <w:iCs/>
                <w:color w:val="000000" w:themeColor="text1"/>
                <w:lang w:eastAsia="es-ES_tradnl"/>
              </w:rPr>
              <w:t>ibidem</w:t>
            </w:r>
            <w:r w:rsidRPr="00F70687">
              <w:rPr>
                <w:rFonts w:ascii="Verdana" w:hAnsi="Verdana"/>
                <w:bCs/>
                <w:color w:val="000000" w:themeColor="text1"/>
                <w:lang w:eastAsia="es-ES_tradnl"/>
              </w:rPr>
              <w:t xml:space="preserve">, o en su defecto, adoptar cualquier otra actuación que permita el cumplimiento de los principios de la contratación estatal y los fines del estado, dentro del marco legal vigente. De todas formas, se recomienda que la entidad opte por la alternativa que represente el menor impacto posible tanto para la administración como para los derechos adquiridos que eventualmente puedan verse comprometidos. </w:t>
            </w:r>
          </w:p>
          <w:p w14:paraId="644DBB22" w14:textId="77777777" w:rsidR="00E50254" w:rsidRPr="00F70687" w:rsidRDefault="00E50254" w:rsidP="00C13BA5">
            <w:pPr>
              <w:spacing w:line="276" w:lineRule="auto"/>
              <w:ind w:firstLine="737"/>
              <w:jc w:val="both"/>
              <w:rPr>
                <w:rFonts w:ascii="Verdana" w:hAnsi="Verdana"/>
                <w:bCs/>
                <w:color w:val="000000" w:themeColor="text1"/>
                <w:lang w:eastAsia="es-ES_tradnl"/>
              </w:rPr>
            </w:pPr>
            <w:r w:rsidRPr="00F70687">
              <w:rPr>
                <w:rFonts w:ascii="Verdana" w:hAnsi="Verdana"/>
                <w:bCs/>
                <w:color w:val="000000" w:themeColor="text1"/>
                <w:lang w:eastAsia="es-ES_tradnl"/>
              </w:rPr>
              <w:t xml:space="preserve">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Por lo anterior, previo concepto de sus asesores, la solución de situaciones particulares corresponde a los interesados adoptar la decisión correspondiente y, en caso de conflicto, a las autoridades judiciales, fiscales y disciplinarias. </w:t>
            </w:r>
            <w:r w:rsidRPr="00F70687">
              <w:rPr>
                <w:rFonts w:ascii="Verdana" w:hAnsi="Verdana"/>
                <w:bCs/>
                <w:color w:val="000000" w:themeColor="text1"/>
                <w:lang w:eastAsia="es-ES_tradnl"/>
              </w:rPr>
              <w:lastRenderedPageBreak/>
              <w:t>Así, cada entidad definirá la forma de adelantar su gestión contractual, sin que sea atribución de Colombia Compra Eficiente validar sus actuaciones.</w:t>
            </w:r>
          </w:p>
        </w:tc>
      </w:tr>
    </w:tbl>
    <w:p w14:paraId="485BCFC5" w14:textId="77777777" w:rsidR="00E50254" w:rsidRPr="00F70687" w:rsidRDefault="00E50254" w:rsidP="00E50254">
      <w:pPr>
        <w:tabs>
          <w:tab w:val="left" w:pos="142"/>
          <w:tab w:val="left" w:pos="284"/>
        </w:tabs>
        <w:spacing w:after="0" w:line="276" w:lineRule="auto"/>
        <w:jc w:val="both"/>
        <w:rPr>
          <w:rFonts w:ascii="Verdana" w:eastAsia="Century Gothic" w:hAnsi="Verdana" w:cs="Century Gothic"/>
          <w:b/>
          <w:bCs/>
          <w:lang w:val="es-ES"/>
        </w:rPr>
      </w:pPr>
    </w:p>
    <w:bookmarkEnd w:id="1"/>
    <w:p w14:paraId="053E811A" w14:textId="77777777" w:rsidR="00E50254" w:rsidRPr="00F70687" w:rsidRDefault="00E50254" w:rsidP="00E50254">
      <w:pPr>
        <w:numPr>
          <w:ilvl w:val="0"/>
          <w:numId w:val="16"/>
        </w:numPr>
        <w:tabs>
          <w:tab w:val="left" w:pos="142"/>
          <w:tab w:val="left" w:pos="284"/>
        </w:tabs>
        <w:spacing w:after="0" w:line="276" w:lineRule="auto"/>
        <w:jc w:val="both"/>
        <w:rPr>
          <w:rFonts w:ascii="Verdana" w:eastAsia="Century Gothic" w:hAnsi="Verdana" w:cs="Century Gothic"/>
          <w:b/>
          <w:bCs/>
          <w:lang w:val="es-ES"/>
        </w:rPr>
      </w:pPr>
      <w:r w:rsidRPr="00F70687">
        <w:rPr>
          <w:rFonts w:ascii="Verdana" w:eastAsia="Century Gothic" w:hAnsi="Verdana" w:cs="Century Gothic"/>
          <w:b/>
          <w:bCs/>
          <w:lang w:val="es-ES"/>
        </w:rPr>
        <w:t>Razones de la respuesta:</w:t>
      </w:r>
    </w:p>
    <w:p w14:paraId="49EB6F54" w14:textId="77777777" w:rsidR="00E50254" w:rsidRPr="00F70687" w:rsidRDefault="00E50254" w:rsidP="00E50254">
      <w:pPr>
        <w:spacing w:after="0" w:line="276" w:lineRule="auto"/>
        <w:jc w:val="both"/>
        <w:rPr>
          <w:rFonts w:ascii="Verdana" w:eastAsia="Calibri" w:hAnsi="Verdana" w:cs="Arial"/>
          <w:color w:val="7030A0"/>
          <w:lang w:val="es-ES"/>
        </w:rPr>
      </w:pPr>
    </w:p>
    <w:p w14:paraId="681ABBC9" w14:textId="77777777" w:rsidR="00E50254" w:rsidRPr="00F70687" w:rsidRDefault="00E50254" w:rsidP="00E50254">
      <w:pPr>
        <w:spacing w:after="0" w:line="276" w:lineRule="auto"/>
        <w:jc w:val="both"/>
        <w:rPr>
          <w:rFonts w:ascii="Verdana" w:eastAsia="Calibri" w:hAnsi="Verdana" w:cs="Arial"/>
          <w:lang w:val="es-ES"/>
        </w:rPr>
      </w:pPr>
      <w:r w:rsidRPr="00F70687">
        <w:rPr>
          <w:rFonts w:ascii="Verdana" w:eastAsia="Calibri" w:hAnsi="Verdana" w:cs="Arial"/>
          <w:lang w:val="es-ES"/>
        </w:rPr>
        <w:t>Lo anterior se sustenta en las siguientes consideraciones:</w:t>
      </w:r>
    </w:p>
    <w:p w14:paraId="64A2F8CA" w14:textId="77777777" w:rsidR="00E50254" w:rsidRPr="00F70687" w:rsidRDefault="00E50254" w:rsidP="00E50254">
      <w:pPr>
        <w:spacing w:after="0" w:line="276" w:lineRule="auto"/>
        <w:jc w:val="both"/>
        <w:rPr>
          <w:rFonts w:ascii="Arial" w:hAnsi="Arial" w:cs="Arial"/>
          <w:b/>
        </w:rPr>
      </w:pPr>
    </w:p>
    <w:p w14:paraId="5B2F575D" w14:textId="77777777" w:rsidR="00E50254" w:rsidRPr="00F70687" w:rsidRDefault="00E50254" w:rsidP="00E50254">
      <w:pPr>
        <w:tabs>
          <w:tab w:val="left" w:pos="426"/>
        </w:tabs>
        <w:spacing w:after="120" w:line="276" w:lineRule="auto"/>
        <w:jc w:val="both"/>
        <w:rPr>
          <w:rFonts w:ascii="Verdana" w:hAnsi="Verdana" w:cs="Arial"/>
          <w:bCs/>
        </w:rPr>
      </w:pPr>
      <w:r w:rsidRPr="00F70687">
        <w:rPr>
          <w:rFonts w:ascii="Verdana" w:hAnsi="Verdana" w:cs="Arial"/>
          <w:bCs/>
        </w:rPr>
        <w:t>La Ley 80 de 1993 otorga una autorización a las entidades estatales para que remedien o corrijan aquellos defectos o irregularidades de procedimiento o de forma que no constituyen causales de nulidad del contrato. Para estos efectos el artículo 49 del EGCAP dispone que “</w:t>
      </w:r>
      <w:r w:rsidRPr="00F70687">
        <w:rPr>
          <w:rFonts w:ascii="Verdana" w:hAnsi="Verdana" w:cs="Arial"/>
          <w:lang w:val="es-ES" w:eastAsia="es-CO"/>
        </w:rPr>
        <w:t>Ante la ocurrencia de vicios que no constituyan causales de nulidad y cuando las necesidades del servicio lo exijan o las reglas de la buena administración lo aconsejen, el jefe o representante legal de la entidad, en acto motivado, podrá sanear el correspondiente vicio”.</w:t>
      </w:r>
    </w:p>
    <w:p w14:paraId="42377FE6" w14:textId="77777777" w:rsidR="00E50254" w:rsidRPr="00F70687" w:rsidRDefault="00E50254" w:rsidP="00E50254">
      <w:pPr>
        <w:spacing w:after="120" w:line="276" w:lineRule="auto"/>
        <w:ind w:right="108" w:firstLine="709"/>
        <w:jc w:val="both"/>
        <w:rPr>
          <w:rFonts w:ascii="Verdana" w:eastAsia="Times New Roman" w:hAnsi="Verdana"/>
          <w:bCs/>
          <w:color w:val="000000" w:themeColor="text1"/>
          <w:lang w:eastAsia="es-ES_tradnl"/>
        </w:rPr>
      </w:pPr>
      <w:r w:rsidRPr="00F70687">
        <w:rPr>
          <w:rFonts w:ascii="Verdana" w:eastAsiaTheme="minorEastAsia" w:hAnsi="Verdana"/>
          <w:color w:val="000000" w:themeColor="text1"/>
          <w:lang w:val="es-MX" w:eastAsia="es-CO"/>
        </w:rPr>
        <w:t xml:space="preserve">De la lectura de </w:t>
      </w:r>
      <w:r w:rsidRPr="00F70687">
        <w:rPr>
          <w:rFonts w:ascii="Verdana" w:eastAsiaTheme="minorEastAsia" w:hAnsi="Verdana"/>
          <w:color w:val="000000" w:themeColor="text1"/>
          <w:lang w:eastAsia="es-CO"/>
        </w:rPr>
        <w:t xml:space="preserve">esta norma se puede apreciar que para su aplicación se requiere el cumplimiento de los siguientes requisitos: </w:t>
      </w:r>
      <w:r w:rsidRPr="00F70687">
        <w:rPr>
          <w:rFonts w:ascii="Verdana" w:eastAsia="Times New Roman" w:hAnsi="Verdana"/>
          <w:bCs/>
          <w:color w:val="000000" w:themeColor="text1"/>
          <w:lang w:eastAsia="es-ES_tradnl"/>
        </w:rPr>
        <w:t xml:space="preserve">i) el vicio a sanear tiene de que ser de procedimiento o de forma, lo que significa que no es posible sanear a través de esta figura los vicios de fondo o sustanciales del acto o contrato, lo que lleva a que,  </w:t>
      </w:r>
      <w:proofErr w:type="spellStart"/>
      <w:r w:rsidRPr="00F70687">
        <w:rPr>
          <w:rFonts w:ascii="Verdana" w:eastAsia="Times New Roman" w:hAnsi="Verdana"/>
          <w:bCs/>
          <w:color w:val="000000" w:themeColor="text1"/>
          <w:lang w:eastAsia="es-ES_tradnl"/>
        </w:rPr>
        <w:t>ii</w:t>
      </w:r>
      <w:proofErr w:type="spellEnd"/>
      <w:r w:rsidRPr="00F70687">
        <w:rPr>
          <w:rFonts w:ascii="Verdana" w:eastAsia="Times New Roman" w:hAnsi="Verdana"/>
          <w:bCs/>
          <w:color w:val="000000" w:themeColor="text1"/>
          <w:lang w:eastAsia="es-ES_tradnl"/>
        </w:rPr>
        <w:t xml:space="preserve">) el vicio a sanear no puede corresponder a  ninguna de las causales de nulidad absoluta o relativa de los contratos estatales, </w:t>
      </w:r>
      <w:proofErr w:type="spellStart"/>
      <w:r w:rsidRPr="00F70687">
        <w:rPr>
          <w:rFonts w:ascii="Verdana" w:eastAsia="Times New Roman" w:hAnsi="Verdana"/>
          <w:bCs/>
          <w:color w:val="000000" w:themeColor="text1"/>
          <w:lang w:eastAsia="es-ES_tradnl"/>
        </w:rPr>
        <w:t>iii</w:t>
      </w:r>
      <w:proofErr w:type="spellEnd"/>
      <w:r w:rsidRPr="00F70687">
        <w:rPr>
          <w:rFonts w:ascii="Verdana" w:eastAsia="Times New Roman" w:hAnsi="Verdana"/>
          <w:bCs/>
          <w:color w:val="000000" w:themeColor="text1"/>
          <w:lang w:eastAsia="es-ES_tradnl"/>
        </w:rPr>
        <w:t xml:space="preserve">) debe hacerse mediante acto administrativo motivado, </w:t>
      </w:r>
      <w:proofErr w:type="spellStart"/>
      <w:r w:rsidRPr="00F70687">
        <w:rPr>
          <w:rFonts w:ascii="Verdana" w:eastAsia="Times New Roman" w:hAnsi="Verdana"/>
          <w:bCs/>
          <w:color w:val="000000" w:themeColor="text1"/>
          <w:lang w:eastAsia="es-ES_tradnl"/>
        </w:rPr>
        <w:t>iv</w:t>
      </w:r>
      <w:proofErr w:type="spellEnd"/>
      <w:r w:rsidRPr="00F70687">
        <w:rPr>
          <w:rFonts w:ascii="Verdana" w:eastAsia="Times New Roman" w:hAnsi="Verdana"/>
          <w:bCs/>
          <w:color w:val="000000" w:themeColor="text1"/>
          <w:lang w:eastAsia="es-ES_tradnl"/>
        </w:rPr>
        <w:t xml:space="preserve">) el funcionario competente es el jefe o representante legal de la entidad y v) el saneamiento debe ocurrir cuando las necesidades del servicio lo exijan o a las reglas de la buena administración lo aconsejen. </w:t>
      </w:r>
    </w:p>
    <w:p w14:paraId="663270B8" w14:textId="77777777" w:rsidR="00E50254" w:rsidRPr="00F70687" w:rsidRDefault="00E50254" w:rsidP="00E50254">
      <w:pPr>
        <w:tabs>
          <w:tab w:val="left" w:pos="426"/>
        </w:tabs>
        <w:spacing w:after="0" w:line="276" w:lineRule="auto"/>
        <w:ind w:firstLine="709"/>
        <w:jc w:val="both"/>
        <w:rPr>
          <w:rFonts w:ascii="Verdana" w:eastAsia="Calibri" w:hAnsi="Verdana" w:cs="Arial"/>
          <w:color w:val="000000" w:themeColor="text1"/>
          <w:lang w:val="es-ES_tradnl"/>
        </w:rPr>
      </w:pPr>
      <w:r w:rsidRPr="00F70687">
        <w:rPr>
          <w:rFonts w:ascii="Verdana" w:hAnsi="Verdana" w:cs="Arial"/>
          <w:color w:val="000000" w:themeColor="text1"/>
        </w:rPr>
        <w:t xml:space="preserve">De lo anterior, resulta relevante precisar, en primer lugar, que </w:t>
      </w:r>
      <w:r w:rsidRPr="00F70687">
        <w:rPr>
          <w:rFonts w:ascii="Verdana" w:eastAsia="Calibri" w:hAnsi="Verdana" w:cs="Arial"/>
          <w:color w:val="000000" w:themeColor="text1"/>
          <w:lang w:val="es-ES_tradnl"/>
        </w:rPr>
        <w:t xml:space="preserve">los vicios de procedimiento o de forma son aquellos que se presentan cuando la Administración no observa los requisitos previos y concomitantes a la expedición del acto administrativo, como la omisión de las etapas de la licitación o el desconocimiento del carácter preclusivo y perentorio de las mismas, lo que puede originar un vicio de nulidad de la adjudicación, pues las etapas previas a la expedición del acto administrativo constituyen formalidades que deben cumplirse, como elemento de validez de este. Como ha dicho la doctrina, “[…] la inobservancia de las ‘formas’ y requisitos del procedimiento administrativo se traduce en un defecto de preparación de la voluntad administrativa (así la defensa en juicio en el procedimiento administrativo; la licitación pública para </w:t>
      </w:r>
      <w:r w:rsidRPr="00F70687">
        <w:rPr>
          <w:rFonts w:ascii="Verdana" w:eastAsia="Calibri" w:hAnsi="Verdana" w:cs="Arial"/>
          <w:color w:val="000000" w:themeColor="text1"/>
          <w:lang w:val="es-ES_tradnl"/>
        </w:rPr>
        <w:lastRenderedPageBreak/>
        <w:t>las contrataciones; el concurso para la provisión de cargos), […]”</w:t>
      </w:r>
      <w:r w:rsidRPr="00F70687">
        <w:rPr>
          <w:rFonts w:ascii="Verdana" w:eastAsia="Calibri" w:hAnsi="Verdana" w:cs="Arial"/>
          <w:color w:val="000000" w:themeColor="text1"/>
          <w:vertAlign w:val="superscript"/>
          <w:lang w:val="es-ES_tradnl"/>
        </w:rPr>
        <w:footnoteReference w:id="2"/>
      </w:r>
      <w:r w:rsidRPr="00F70687">
        <w:rPr>
          <w:rFonts w:ascii="Verdana" w:eastAsia="Calibri" w:hAnsi="Verdana" w:cs="Arial"/>
          <w:color w:val="000000" w:themeColor="text1"/>
          <w:lang w:val="es-ES_tradnl"/>
        </w:rPr>
        <w:t xml:space="preserve">. </w:t>
      </w:r>
      <w:r w:rsidRPr="00F70687">
        <w:rPr>
          <w:rFonts w:ascii="Verdana" w:hAnsi="Verdana"/>
          <w:bCs/>
          <w:color w:val="000000" w:themeColor="text1"/>
          <w:lang w:eastAsia="es-ES_tradnl"/>
        </w:rPr>
        <w:t xml:space="preserve">El saneamiento de vicios, por su parte, ha sido definido </w:t>
      </w:r>
      <w:r w:rsidRPr="00F70687">
        <w:rPr>
          <w:rFonts w:ascii="Verdana" w:hAnsi="Verdana"/>
        </w:rPr>
        <w:t xml:space="preserve">por parte de la Sección Tercera del Consejo de Estado </w:t>
      </w:r>
      <w:r w:rsidRPr="00F70687">
        <w:rPr>
          <w:rFonts w:ascii="Verdana" w:hAnsi="Verdana"/>
          <w:bCs/>
          <w:color w:val="000000" w:themeColor="text1"/>
          <w:lang w:eastAsia="es-ES_tradnl"/>
        </w:rPr>
        <w:t xml:space="preserve">como </w:t>
      </w:r>
      <w:r w:rsidRPr="00F70687">
        <w:rPr>
          <w:rFonts w:ascii="Verdana" w:hAnsi="Verdana"/>
        </w:rPr>
        <w:t>la convalidación de los negocios que nacieron con un vicio de formación, de la siguiente manera:</w:t>
      </w:r>
    </w:p>
    <w:p w14:paraId="381B3EB3" w14:textId="77777777" w:rsidR="00E50254" w:rsidRPr="00F70687" w:rsidRDefault="00E50254" w:rsidP="00E50254">
      <w:pPr>
        <w:spacing w:after="0" w:line="276" w:lineRule="auto"/>
        <w:ind w:right="107" w:firstLine="708"/>
        <w:jc w:val="both"/>
        <w:rPr>
          <w:rFonts w:ascii="Verdana" w:eastAsiaTheme="minorEastAsia" w:hAnsi="Verdana"/>
          <w:lang w:eastAsia="es-CO"/>
        </w:rPr>
      </w:pPr>
    </w:p>
    <w:p w14:paraId="08413C89" w14:textId="77777777" w:rsidR="00E50254" w:rsidRPr="00F70687" w:rsidRDefault="00E50254" w:rsidP="00E50254">
      <w:pPr>
        <w:spacing w:after="0" w:line="240" w:lineRule="auto"/>
        <w:ind w:left="709" w:right="709"/>
        <w:jc w:val="both"/>
        <w:rPr>
          <w:rFonts w:ascii="Verdana" w:hAnsi="Verdana" w:cs="Arial"/>
          <w:sz w:val="20"/>
          <w:szCs w:val="20"/>
          <w:lang w:val="es-ES" w:eastAsia="es-CO"/>
        </w:rPr>
      </w:pPr>
      <w:r w:rsidRPr="00F70687">
        <w:rPr>
          <w:rFonts w:ascii="Verdana" w:hAnsi="Verdana" w:cs="Arial"/>
          <w:sz w:val="20"/>
          <w:szCs w:val="20"/>
          <w:lang w:val="es-ES" w:eastAsia="es-CO"/>
        </w:rPr>
        <w:t>“La doctrina define el saneamiento del contrato como ‘la remoción legal o voluntaria de la invalidez del acto’, que en caso de ser voluntaria se produce a través de la convalidación. […] Como se ha considerado por la Sección Tercera el saneamiento convalida los negocios que nacieron con un vicio en su formación, bien sea porque las partes satisfacen con posterioridad la deficiencia de la que adolecía el negocio o por el transcurso del tiempo necesario para que opere la prescripción extraordinaria (20 o 10 años según el caso). […] No obstante, el saneamiento por ratificación opera exclusivamente cuando sobre el contrato recae un vicio que lo afecta de nulidad relativa. Cuando la nulidad se genera por la existencia de objeto o causa ilícitos no es posible sanear tal vicio por convalidación de las partes, en virtud del mandato legal contenido en el artículo 1742 del Código Civil”</w:t>
      </w:r>
      <w:r w:rsidRPr="00F70687">
        <w:rPr>
          <w:rFonts w:ascii="Verdana" w:hAnsi="Verdana"/>
          <w:sz w:val="20"/>
          <w:szCs w:val="20"/>
          <w:vertAlign w:val="superscript"/>
        </w:rPr>
        <w:t xml:space="preserve"> </w:t>
      </w:r>
      <w:r w:rsidRPr="00F70687">
        <w:rPr>
          <w:rFonts w:ascii="Verdana" w:hAnsi="Verdana"/>
          <w:sz w:val="20"/>
          <w:szCs w:val="20"/>
          <w:vertAlign w:val="superscript"/>
        </w:rPr>
        <w:footnoteReference w:id="3"/>
      </w:r>
      <w:r w:rsidRPr="00F70687">
        <w:rPr>
          <w:rFonts w:ascii="Verdana" w:hAnsi="Verdana" w:cs="Arial"/>
          <w:sz w:val="20"/>
          <w:szCs w:val="20"/>
          <w:lang w:val="es-ES" w:eastAsia="es-CO"/>
        </w:rPr>
        <w:t>.</w:t>
      </w:r>
    </w:p>
    <w:p w14:paraId="49BC0FA3" w14:textId="77777777" w:rsidR="00E50254" w:rsidRPr="00F70687" w:rsidRDefault="00E50254" w:rsidP="00E50254">
      <w:pPr>
        <w:spacing w:after="0" w:line="276" w:lineRule="auto"/>
        <w:ind w:left="709" w:right="709"/>
        <w:jc w:val="both"/>
        <w:rPr>
          <w:rFonts w:ascii="Verdana" w:hAnsi="Verdana" w:cs="Arial"/>
          <w:lang w:val="es-ES" w:eastAsia="es-CO"/>
        </w:rPr>
      </w:pPr>
    </w:p>
    <w:p w14:paraId="4EB0BF13" w14:textId="77777777" w:rsidR="00E50254" w:rsidRPr="00F70687" w:rsidRDefault="00E50254" w:rsidP="00E50254">
      <w:pPr>
        <w:tabs>
          <w:tab w:val="left" w:pos="426"/>
        </w:tabs>
        <w:spacing w:after="120" w:line="276" w:lineRule="auto"/>
        <w:ind w:firstLine="709"/>
        <w:jc w:val="both"/>
        <w:rPr>
          <w:rFonts w:ascii="Verdana" w:hAnsi="Verdana" w:cs="Arial"/>
        </w:rPr>
      </w:pPr>
      <w:r w:rsidRPr="00F70687">
        <w:rPr>
          <w:rFonts w:ascii="Verdana" w:eastAsia="Calibri" w:hAnsi="Verdana" w:cs="Arial"/>
          <w:color w:val="000000" w:themeColor="text1"/>
          <w:lang w:val="es-ES"/>
        </w:rPr>
        <w:t>E</w:t>
      </w:r>
      <w:r w:rsidRPr="00F70687">
        <w:rPr>
          <w:rFonts w:ascii="Verdana" w:eastAsia="Calibri" w:hAnsi="Verdana" w:cs="Arial"/>
          <w:color w:val="000000" w:themeColor="text1"/>
          <w:lang w:val="es-ES_tradnl"/>
        </w:rPr>
        <w:t xml:space="preserve">l artículo 49 de la Ley 80 de 1993 condiciona dicha facultad de saneamiento de los defectos formales a que los vicios que “no constituyan causales de nulidad”. </w:t>
      </w:r>
      <w:r w:rsidRPr="00F70687">
        <w:rPr>
          <w:rFonts w:ascii="Verdana" w:hAnsi="Verdana" w:cs="Arial"/>
          <w:color w:val="000000" w:themeColor="text1"/>
          <w:lang w:val="es-ES"/>
        </w:rPr>
        <w:t xml:space="preserve">En ese orden de ideas, conviene precisar que </w:t>
      </w:r>
      <w:bookmarkStart w:id="2" w:name="_Hlk36091744"/>
      <w:r w:rsidRPr="00F70687">
        <w:rPr>
          <w:rFonts w:ascii="Verdana" w:hAnsi="Verdana" w:cs="Arial"/>
          <w:color w:val="000000" w:themeColor="text1"/>
          <w:lang w:val="es-ES"/>
        </w:rPr>
        <w:t>e</w:t>
      </w:r>
      <w:r w:rsidRPr="00F70687">
        <w:rPr>
          <w:rFonts w:ascii="Verdana" w:hAnsi="Verdana" w:cs="Arial"/>
        </w:rPr>
        <w:t>l régimen de las nulidades de los contratos estatales está regulado en el EGCAP, donde se establecen sus causales. Sin embargo, éste integra, por remisión, las causales de nulidad del derecho civil y comercial</w:t>
      </w:r>
      <w:bookmarkEnd w:id="2"/>
      <w:r w:rsidRPr="00F70687">
        <w:rPr>
          <w:rFonts w:ascii="Verdana" w:hAnsi="Verdana" w:cs="Arial"/>
        </w:rPr>
        <w:t xml:space="preserve"> conforme al artículo 44 </w:t>
      </w:r>
      <w:r w:rsidRPr="00F70687">
        <w:rPr>
          <w:rFonts w:ascii="Verdana" w:hAnsi="Verdana" w:cs="Arial"/>
          <w:i/>
          <w:iCs/>
        </w:rPr>
        <w:t>ibidem</w:t>
      </w:r>
      <w:r w:rsidRPr="00F70687">
        <w:rPr>
          <w:rFonts w:ascii="Verdana" w:hAnsi="Verdana" w:cs="Arial"/>
        </w:rPr>
        <w:t xml:space="preserve">. </w:t>
      </w:r>
    </w:p>
    <w:p w14:paraId="6D9F1417" w14:textId="77777777" w:rsidR="00E50254" w:rsidRPr="00F70687" w:rsidRDefault="00E50254" w:rsidP="00E50254">
      <w:pPr>
        <w:tabs>
          <w:tab w:val="left" w:pos="426"/>
        </w:tabs>
        <w:spacing w:after="0" w:line="276" w:lineRule="auto"/>
        <w:ind w:firstLine="709"/>
        <w:jc w:val="both"/>
        <w:rPr>
          <w:rFonts w:ascii="Verdana" w:eastAsia="Calibri" w:hAnsi="Verdana" w:cs="Arial"/>
          <w:color w:val="000000" w:themeColor="text1"/>
          <w:lang w:val="es-ES_tradnl"/>
        </w:rPr>
      </w:pPr>
      <w:r w:rsidRPr="00F70687">
        <w:rPr>
          <w:rFonts w:ascii="Verdana" w:hAnsi="Verdana" w:cs="Arial"/>
        </w:rPr>
        <w:t>Las nulidades son</w:t>
      </w:r>
      <w:r w:rsidRPr="00F70687">
        <w:rPr>
          <w:rFonts w:ascii="Verdana" w:hAnsi="Verdana" w:cs="Arial"/>
          <w:color w:val="000000" w:themeColor="text1"/>
        </w:rPr>
        <w:t xml:space="preserve"> una sanción legal que afecta la validez de los contratos cuando han quebrantado determinadas normas del ordenamiento. Si bien la teoría general del negocio jurídico se estructura a partir de la autonomía de la voluntad, las partes no gozan de una libertad absoluta para regular sus intereses patrimoniales, puesto que –al no ser una facultad originaria– está circunscrita por criterios de orden su superior</w:t>
      </w:r>
      <w:r w:rsidRPr="00F70687">
        <w:rPr>
          <w:rFonts w:ascii="Verdana" w:hAnsi="Verdana" w:cs="Arial"/>
          <w:color w:val="000000" w:themeColor="text1"/>
          <w:vertAlign w:val="superscript"/>
        </w:rPr>
        <w:footnoteReference w:id="4"/>
      </w:r>
      <w:r w:rsidRPr="00F70687">
        <w:rPr>
          <w:rFonts w:ascii="Verdana" w:hAnsi="Verdana" w:cs="Arial"/>
          <w:color w:val="000000" w:themeColor="text1"/>
        </w:rPr>
        <w:t xml:space="preserve">. Por ello, aunque el contrato sea ley </w:t>
      </w:r>
      <w:r w:rsidRPr="00F70687">
        <w:rPr>
          <w:rFonts w:ascii="Verdana" w:hAnsi="Verdana" w:cs="Arial"/>
          <w:color w:val="000000" w:themeColor="text1"/>
        </w:rPr>
        <w:lastRenderedPageBreak/>
        <w:t xml:space="preserve">obligatoria para los contratantes –art. 1602 del Código Civil–, no podrán derogarse por convenios particulares las leyes en cuya observancia están interesados el orden público y las buenas costumbres –art. 16 </w:t>
      </w:r>
      <w:r w:rsidRPr="00F70687">
        <w:rPr>
          <w:rFonts w:ascii="Verdana" w:hAnsi="Verdana" w:cs="Arial"/>
          <w:i/>
          <w:iCs/>
          <w:color w:val="000000" w:themeColor="text1"/>
        </w:rPr>
        <w:t>ibidem</w:t>
      </w:r>
      <w:r w:rsidRPr="00F70687">
        <w:rPr>
          <w:rFonts w:ascii="Verdana" w:hAnsi="Verdana" w:cs="Arial"/>
          <w:color w:val="000000" w:themeColor="text1"/>
        </w:rPr>
        <w:t>–. En este contexto:</w:t>
      </w:r>
    </w:p>
    <w:p w14:paraId="0AD2AE8B" w14:textId="77777777" w:rsidR="00E50254" w:rsidRPr="00F70687" w:rsidRDefault="00E50254" w:rsidP="00E50254">
      <w:pPr>
        <w:spacing w:after="0" w:line="276" w:lineRule="auto"/>
        <w:ind w:firstLine="708"/>
        <w:jc w:val="both"/>
        <w:rPr>
          <w:rFonts w:ascii="Verdana" w:hAnsi="Verdana" w:cs="Arial"/>
          <w:color w:val="000000" w:themeColor="text1"/>
        </w:rPr>
      </w:pPr>
    </w:p>
    <w:p w14:paraId="4F7ECB75" w14:textId="77777777" w:rsidR="00E50254" w:rsidRPr="00F70687" w:rsidRDefault="00E50254" w:rsidP="00E50254">
      <w:pPr>
        <w:spacing w:after="0" w:line="240" w:lineRule="auto"/>
        <w:ind w:left="709" w:right="709"/>
        <w:jc w:val="both"/>
        <w:rPr>
          <w:rFonts w:ascii="Verdana" w:eastAsia="Calibri" w:hAnsi="Verdana" w:cs="Arial"/>
          <w:sz w:val="20"/>
          <w:szCs w:val="20"/>
          <w:lang w:val="es-ES"/>
        </w:rPr>
      </w:pPr>
      <w:r w:rsidRPr="00F70687">
        <w:rPr>
          <w:rFonts w:ascii="Verdana" w:eastAsia="Calibri" w:hAnsi="Verdana" w:cs="Arial"/>
          <w:sz w:val="20"/>
          <w:szCs w:val="20"/>
          <w:lang w:val="es-ES"/>
        </w:rPr>
        <w:t xml:space="preserve">“[…] La nulidad es una sanción que consiste en la privación al negocio de todos los efectos que está llamado a producir, mirando tanto al futuro como al pasado, </w:t>
      </w:r>
      <w:proofErr w:type="gramStart"/>
      <w:r w:rsidRPr="00F70687">
        <w:rPr>
          <w:rFonts w:ascii="Verdana" w:eastAsia="Calibri" w:hAnsi="Verdana" w:cs="Arial"/>
          <w:sz w:val="20"/>
          <w:szCs w:val="20"/>
          <w:lang w:val="es-ES"/>
        </w:rPr>
        <w:t>en razón de</w:t>
      </w:r>
      <w:proofErr w:type="gramEnd"/>
      <w:r w:rsidRPr="00F70687">
        <w:rPr>
          <w:rFonts w:ascii="Verdana" w:eastAsia="Calibri" w:hAnsi="Verdana" w:cs="Arial"/>
          <w:sz w:val="20"/>
          <w:szCs w:val="20"/>
          <w:lang w:val="es-ES"/>
        </w:rPr>
        <w:t xml:space="preserve"> que la disposición no reúne los requisitos considerados esenciales en general y específicamente para la figura correspondiente. El criterio político del ordenamiento, que ante todo refleja una experiencia antiquísima, en su ánimo de asegurar un nivel mínimo de legalidad y de moralidad del ejercicio de la autonomía privada, determina la privación de efectos de los negocios jurídicos desprovistos de los </w:t>
      </w:r>
      <w:proofErr w:type="spellStart"/>
      <w:r w:rsidRPr="00F70687">
        <w:rPr>
          <w:rFonts w:ascii="Verdana" w:eastAsia="Calibri" w:hAnsi="Verdana" w:cs="Arial"/>
          <w:i/>
          <w:iCs/>
          <w:sz w:val="20"/>
          <w:szCs w:val="20"/>
          <w:lang w:val="es-ES"/>
        </w:rPr>
        <w:t>essentialia</w:t>
      </w:r>
      <w:proofErr w:type="spellEnd"/>
      <w:r w:rsidRPr="00F70687">
        <w:rPr>
          <w:rFonts w:ascii="Verdana" w:eastAsia="Calibri" w:hAnsi="Verdana" w:cs="Arial"/>
          <w:i/>
          <w:iCs/>
          <w:sz w:val="20"/>
          <w:szCs w:val="20"/>
          <w:lang w:val="es-ES"/>
        </w:rPr>
        <w:t xml:space="preserve"> </w:t>
      </w:r>
      <w:proofErr w:type="spellStart"/>
      <w:r w:rsidRPr="00F70687">
        <w:rPr>
          <w:rFonts w:ascii="Verdana" w:eastAsia="Calibri" w:hAnsi="Verdana" w:cs="Arial"/>
          <w:i/>
          <w:iCs/>
          <w:sz w:val="20"/>
          <w:szCs w:val="20"/>
          <w:lang w:val="es-ES"/>
        </w:rPr>
        <w:t>negotii</w:t>
      </w:r>
      <w:proofErr w:type="spellEnd"/>
      <w:r w:rsidRPr="00F70687">
        <w:rPr>
          <w:rFonts w:ascii="Verdana" w:eastAsia="Calibri" w:hAnsi="Verdana" w:cs="Arial"/>
          <w:sz w:val="20"/>
          <w:szCs w:val="20"/>
          <w:lang w:val="es-ES"/>
        </w:rPr>
        <w:t xml:space="preserve"> correspondientes, como también de aquellos que quebrantan los principios básicos de la sociedad en su momento, y adicionalmente los fallos a requisito de orden tutelar establecido en interés particular o contrarios a normas dictadas en esa misma dirección […]”</w:t>
      </w:r>
      <w:r w:rsidRPr="00F70687">
        <w:rPr>
          <w:rFonts w:ascii="Verdana" w:eastAsia="Calibri" w:hAnsi="Verdana" w:cs="Arial"/>
          <w:sz w:val="20"/>
          <w:szCs w:val="20"/>
          <w:vertAlign w:val="superscript"/>
          <w:lang w:val="es-ES"/>
        </w:rPr>
        <w:footnoteReference w:id="5"/>
      </w:r>
      <w:r w:rsidRPr="00F70687">
        <w:rPr>
          <w:rFonts w:ascii="Verdana" w:eastAsia="Calibri" w:hAnsi="Verdana" w:cs="Arial"/>
          <w:sz w:val="20"/>
          <w:szCs w:val="20"/>
          <w:lang w:val="es-ES"/>
        </w:rPr>
        <w:t>.</w:t>
      </w:r>
    </w:p>
    <w:p w14:paraId="4E5033DA" w14:textId="77777777" w:rsidR="00E50254" w:rsidRPr="00F70687" w:rsidRDefault="00E50254" w:rsidP="00E50254">
      <w:pPr>
        <w:spacing w:after="0" w:line="276" w:lineRule="auto"/>
        <w:jc w:val="both"/>
        <w:rPr>
          <w:rFonts w:ascii="Verdana" w:eastAsia="Calibri" w:hAnsi="Verdana" w:cs="Arial"/>
          <w:lang w:val="es-ES"/>
        </w:rPr>
      </w:pPr>
    </w:p>
    <w:p w14:paraId="75E1FEB2" w14:textId="77777777" w:rsidR="00E50254" w:rsidRPr="00F70687" w:rsidRDefault="00E50254" w:rsidP="00E50254">
      <w:pPr>
        <w:spacing w:after="120" w:line="276" w:lineRule="auto"/>
        <w:ind w:firstLine="708"/>
        <w:jc w:val="both"/>
        <w:rPr>
          <w:rFonts w:ascii="Verdana" w:eastAsia="Calibri" w:hAnsi="Verdana" w:cs="Arial"/>
          <w:lang w:val="es-ES"/>
        </w:rPr>
      </w:pPr>
      <w:r w:rsidRPr="00F70687">
        <w:rPr>
          <w:rFonts w:ascii="Verdana" w:eastAsia="Calibri" w:hAnsi="Verdana" w:cs="Arial"/>
          <w:lang w:val="es-ES"/>
        </w:rPr>
        <w:t xml:space="preserve">La naturaleza jurídica de la nulidad se fundamenta en el inciso primero del artículo 6 del Código Civil, el cual define la </w:t>
      </w:r>
      <w:r w:rsidRPr="00F70687">
        <w:rPr>
          <w:rFonts w:ascii="Verdana" w:eastAsia="Calibri" w:hAnsi="Verdana" w:cs="Arial"/>
          <w:i/>
          <w:iCs/>
          <w:lang w:val="es-ES"/>
        </w:rPr>
        <w:t>sanción legal</w:t>
      </w:r>
      <w:r w:rsidRPr="00F70687">
        <w:rPr>
          <w:rFonts w:ascii="Verdana" w:eastAsia="Calibri" w:hAnsi="Verdana" w:cs="Arial"/>
          <w:lang w:val="es-ES"/>
        </w:rPr>
        <w:t xml:space="preserve"> como una pena, esto es, como el mal que deriva de la transgresión de las prohibiciones contenidas en la ley. Dado que tienen carácter sancionatorio, las nulidades se restringen a aquellas circunstancias previstas por el legislador, pues no son aplicables por interpretación extensiva ni por analogía. A esto se refiere el inciso segundo de la norma precitada cuando dispone que “En materia civil son nulos los actos ejecutados contra expresa prohibición de la ley, si en ella misma no se dispone otra cosa […]”. La declaratoria de nulidad es una forma de extinción de las obligaciones en los términos del artículo 1625.8 </w:t>
      </w:r>
      <w:r w:rsidRPr="00F70687">
        <w:rPr>
          <w:rFonts w:ascii="Verdana" w:eastAsia="Calibri" w:hAnsi="Verdana" w:cs="Arial"/>
          <w:i/>
          <w:iCs/>
          <w:lang w:val="es-ES"/>
        </w:rPr>
        <w:t>ibidem</w:t>
      </w:r>
      <w:r w:rsidRPr="00F70687">
        <w:rPr>
          <w:rFonts w:ascii="Verdana" w:eastAsia="Calibri" w:hAnsi="Verdana" w:cs="Arial"/>
          <w:lang w:val="es-ES"/>
        </w:rPr>
        <w:t xml:space="preserve">, por lo que con ella cesa la existencia del contrato.   </w:t>
      </w:r>
    </w:p>
    <w:p w14:paraId="79F4DDF5" w14:textId="77777777" w:rsidR="00E50254" w:rsidRPr="00F70687" w:rsidRDefault="00E50254" w:rsidP="00E50254">
      <w:pPr>
        <w:spacing w:after="120" w:line="276" w:lineRule="auto"/>
        <w:ind w:firstLine="708"/>
        <w:jc w:val="both"/>
        <w:rPr>
          <w:rFonts w:ascii="Verdana" w:eastAsia="Calibri" w:hAnsi="Verdana" w:cs="Arial"/>
          <w:lang w:val="es-ES"/>
        </w:rPr>
      </w:pPr>
      <w:r w:rsidRPr="00F70687">
        <w:rPr>
          <w:rFonts w:ascii="Verdana" w:eastAsia="Calibri" w:hAnsi="Verdana" w:cs="Arial"/>
          <w:lang w:val="es-ES"/>
        </w:rPr>
        <w:t xml:space="preserve">De acuerdo con el artículo 1741 del Código Civil, “La nulidad producida por un objeto o causa ilícita, y la nulidad producida por la omisión de algún </w:t>
      </w:r>
      <w:r w:rsidRPr="00F70687">
        <w:rPr>
          <w:rFonts w:ascii="Verdana" w:eastAsia="Calibri" w:hAnsi="Verdana" w:cs="Arial"/>
          <w:lang w:val="es-ES"/>
        </w:rPr>
        <w:lastRenderedPageBreak/>
        <w:t xml:space="preserve">requisito o formalidad que las leyes prescriben para el valor de ciertos actos o contratos en consideración a la naturaleza de ellos, y no a la calidad o estado de las personas que los ejecutan o acuerdan, son nulidades absolutas. Hay así </w:t>
      </w:r>
      <w:proofErr w:type="gramStart"/>
      <w:r w:rsidRPr="00F70687">
        <w:rPr>
          <w:rFonts w:ascii="Verdana" w:eastAsia="Calibri" w:hAnsi="Verdana" w:cs="Arial"/>
          <w:lang w:val="es-ES"/>
        </w:rPr>
        <w:t>mismo nulidad absoluta</w:t>
      </w:r>
      <w:proofErr w:type="gramEnd"/>
      <w:r w:rsidRPr="00F70687">
        <w:rPr>
          <w:rFonts w:ascii="Verdana" w:eastAsia="Calibri" w:hAnsi="Verdana" w:cs="Arial"/>
          <w:lang w:val="es-ES"/>
        </w:rPr>
        <w:t xml:space="preserve"> en los actos y contratos de personas absolutamente incapaces. Cualquiera otra especie de vicio produce nulidad relativa, y da derecho a la rescisión del acto o contrato”. Para la doctrina, las circunstancias que producen nulidad relativa son los vicios del consentimiento –error, fuerza y dolo–, la lesión enorme, los actos de los relativamente incapaces, así como la omisión de formalidades habilitantes distintas a las que se enuncian en la norma precitada</w:t>
      </w:r>
      <w:r w:rsidRPr="00F70687">
        <w:rPr>
          <w:rFonts w:ascii="Verdana" w:eastAsia="Calibri" w:hAnsi="Verdana" w:cs="Arial"/>
          <w:vertAlign w:val="superscript"/>
          <w:lang w:val="es-ES"/>
        </w:rPr>
        <w:footnoteReference w:id="6"/>
      </w:r>
      <w:r w:rsidRPr="00F70687">
        <w:rPr>
          <w:rFonts w:ascii="Verdana" w:eastAsia="Calibri" w:hAnsi="Verdana" w:cs="Arial"/>
          <w:lang w:val="es-ES"/>
        </w:rPr>
        <w:t xml:space="preserve">. </w:t>
      </w:r>
    </w:p>
    <w:p w14:paraId="41F40467" w14:textId="77777777" w:rsidR="00E50254" w:rsidRPr="00F70687" w:rsidRDefault="00E50254" w:rsidP="00E50254">
      <w:pPr>
        <w:spacing w:after="120" w:line="276" w:lineRule="auto"/>
        <w:ind w:firstLine="708"/>
        <w:jc w:val="both"/>
        <w:rPr>
          <w:rFonts w:ascii="Verdana" w:eastAsia="Calibri" w:hAnsi="Verdana" w:cs="Arial"/>
          <w:lang w:val="es-ES"/>
        </w:rPr>
      </w:pPr>
      <w:r w:rsidRPr="00F70687">
        <w:rPr>
          <w:rFonts w:ascii="Verdana" w:eastAsia="Calibri" w:hAnsi="Verdana" w:cs="Arial"/>
          <w:lang w:val="es-ES"/>
        </w:rPr>
        <w:t xml:space="preserve">Asimismo, el artículo 900 del Código de Comercio dispone la </w:t>
      </w:r>
      <w:r w:rsidRPr="00F70687">
        <w:rPr>
          <w:rFonts w:ascii="Verdana" w:eastAsia="Calibri" w:hAnsi="Verdana" w:cs="Arial"/>
          <w:i/>
          <w:iCs/>
          <w:lang w:val="es-ES"/>
        </w:rPr>
        <w:t>nulidad absoluta</w:t>
      </w:r>
      <w:r w:rsidRPr="00F70687">
        <w:rPr>
          <w:rFonts w:ascii="Verdana" w:eastAsia="Calibri" w:hAnsi="Verdana" w:cs="Arial"/>
          <w:lang w:val="es-ES"/>
        </w:rPr>
        <w:t xml:space="preserve"> de los negocios jurídicos cuando contrarían una norma imperativa, salvo que la ley disponga otra cosa; tengan objeto y causa ilícita, o se hayan celebrado por persona absolutamente incapaz</w:t>
      </w:r>
      <w:r w:rsidRPr="00F70687">
        <w:rPr>
          <w:rFonts w:ascii="Verdana" w:eastAsia="Calibri" w:hAnsi="Verdana" w:cs="Arial"/>
          <w:vertAlign w:val="superscript"/>
          <w:lang w:val="es-ES"/>
        </w:rPr>
        <w:footnoteReference w:id="7"/>
      </w:r>
      <w:r w:rsidRPr="00F70687">
        <w:rPr>
          <w:rFonts w:ascii="Verdana" w:eastAsia="Calibri" w:hAnsi="Verdana" w:cs="Arial"/>
          <w:lang w:val="es-ES"/>
        </w:rPr>
        <w:t xml:space="preserve">. Por su parte, el artículo 901 </w:t>
      </w:r>
      <w:r w:rsidRPr="00F70687">
        <w:rPr>
          <w:rFonts w:ascii="Verdana" w:eastAsia="Calibri" w:hAnsi="Verdana" w:cs="Arial"/>
          <w:i/>
          <w:iCs/>
          <w:lang w:val="es-ES"/>
        </w:rPr>
        <w:t>ibidem</w:t>
      </w:r>
      <w:r w:rsidRPr="00F70687">
        <w:rPr>
          <w:rFonts w:ascii="Verdana" w:eastAsia="Calibri" w:hAnsi="Verdana" w:cs="Arial"/>
          <w:lang w:val="es-ES"/>
        </w:rPr>
        <w:t xml:space="preserve"> precisa que la </w:t>
      </w:r>
      <w:r w:rsidRPr="00F70687">
        <w:rPr>
          <w:rFonts w:ascii="Verdana" w:eastAsia="Calibri" w:hAnsi="Verdana" w:cs="Arial"/>
          <w:i/>
          <w:iCs/>
          <w:lang w:val="es-ES"/>
        </w:rPr>
        <w:t>anulabilidad</w:t>
      </w:r>
      <w:r w:rsidRPr="00F70687">
        <w:rPr>
          <w:rFonts w:ascii="Verdana" w:eastAsia="Calibri" w:hAnsi="Verdana" w:cs="Arial"/>
          <w:lang w:val="es-ES"/>
        </w:rPr>
        <w:t xml:space="preserve"> aplica cuando los contratos hayan sido celebrados por persona relativamente incapaz o hayan sido consentidos por error, fuerza o dolo, conforme al Código Civil. Para la interpretación del régimen de nulidades en los asuntos mercantiles, es necesario tener en cuenta que el artículo 822 del Código de Comercio dispone que “Los principios que gobiernan la formación de los actos y contratos y las obligaciones de derecho civil, sus efectos, interpretación, modo de extinguirse, anularse o rescindirse, serán aplicables a las obligaciones y negocios jurídicos mercantiles, a menos que la ley establezca otra cosa”. </w:t>
      </w:r>
    </w:p>
    <w:p w14:paraId="4959BBC2" w14:textId="77777777" w:rsidR="00E50254" w:rsidRPr="00F70687" w:rsidRDefault="00E50254" w:rsidP="00E50254">
      <w:pPr>
        <w:spacing w:after="120" w:line="276" w:lineRule="auto"/>
        <w:ind w:right="107" w:firstLine="709"/>
        <w:jc w:val="both"/>
        <w:rPr>
          <w:rFonts w:ascii="Verdana" w:eastAsiaTheme="minorEastAsia" w:hAnsi="Verdana"/>
          <w:lang w:eastAsia="es-CO"/>
        </w:rPr>
      </w:pPr>
      <w:r w:rsidRPr="00F70687">
        <w:rPr>
          <w:rFonts w:ascii="Verdana" w:eastAsiaTheme="minorEastAsia" w:hAnsi="Verdana"/>
          <w:lang w:eastAsia="es-CO"/>
        </w:rPr>
        <w:t xml:space="preserve">Por su parte, el artículo 44 de la Ley 80 de 1993 consagra como causales de nulidad absoluta del contrato estatal, además de las antes mencionadas en el derecho común, las siguientes: i) que el contrato se celebre con personas incursas en causales de inhabilidad o incompatibilidad previstas en la </w:t>
      </w:r>
      <w:r w:rsidRPr="00F70687">
        <w:rPr>
          <w:rFonts w:ascii="Verdana" w:eastAsiaTheme="minorEastAsia" w:hAnsi="Verdana"/>
          <w:lang w:eastAsia="es-CO"/>
        </w:rPr>
        <w:lastRenderedPageBreak/>
        <w:t xml:space="preserve">Constitución y la ley, </w:t>
      </w:r>
      <w:proofErr w:type="spellStart"/>
      <w:r w:rsidRPr="00F70687">
        <w:rPr>
          <w:rFonts w:ascii="Verdana" w:eastAsiaTheme="minorEastAsia" w:hAnsi="Verdana"/>
          <w:lang w:eastAsia="es-CO"/>
        </w:rPr>
        <w:t>ii</w:t>
      </w:r>
      <w:proofErr w:type="spellEnd"/>
      <w:r w:rsidRPr="00F70687">
        <w:rPr>
          <w:rFonts w:ascii="Verdana" w:eastAsiaTheme="minorEastAsia" w:hAnsi="Verdana"/>
          <w:lang w:eastAsia="es-CO"/>
        </w:rPr>
        <w:t xml:space="preserve">) se celebre contra expresa prohibición constitucional o legal, </w:t>
      </w:r>
      <w:proofErr w:type="spellStart"/>
      <w:r w:rsidRPr="00F70687">
        <w:rPr>
          <w:rFonts w:ascii="Verdana" w:eastAsiaTheme="minorEastAsia" w:hAnsi="Verdana"/>
          <w:lang w:eastAsia="es-CO"/>
        </w:rPr>
        <w:t>iii</w:t>
      </w:r>
      <w:proofErr w:type="spellEnd"/>
      <w:r w:rsidRPr="00F70687">
        <w:rPr>
          <w:rFonts w:ascii="Verdana" w:eastAsiaTheme="minorEastAsia" w:hAnsi="Verdana"/>
          <w:lang w:eastAsia="es-CO"/>
        </w:rPr>
        <w:t xml:space="preserve">) se celebre con abuso o desviación de poder, </w:t>
      </w:r>
      <w:proofErr w:type="spellStart"/>
      <w:r w:rsidRPr="00F70687">
        <w:rPr>
          <w:rFonts w:ascii="Verdana" w:eastAsiaTheme="minorEastAsia" w:hAnsi="Verdana"/>
          <w:lang w:eastAsia="es-CO"/>
        </w:rPr>
        <w:t>iv</w:t>
      </w:r>
      <w:proofErr w:type="spellEnd"/>
      <w:r w:rsidRPr="00F70687">
        <w:rPr>
          <w:rFonts w:ascii="Verdana" w:eastAsiaTheme="minorEastAsia" w:hAnsi="Verdana"/>
          <w:lang w:eastAsia="es-CO"/>
        </w:rPr>
        <w:t>) se declaren nulos los actos administrativos en que se fundamenten, v) se hubieren celebrado con desconocimiento de los criterios previstos para el tratamiento de ofertas nacionales y extranjeras o con violación de la reciprocidad</w:t>
      </w:r>
      <w:r w:rsidRPr="00F70687">
        <w:rPr>
          <w:rFonts w:ascii="Verdana" w:eastAsiaTheme="minorEastAsia" w:hAnsi="Verdana"/>
          <w:vertAlign w:val="superscript"/>
          <w:lang w:eastAsia="es-CO"/>
        </w:rPr>
        <w:footnoteReference w:id="8"/>
      </w:r>
      <w:r w:rsidRPr="00F70687">
        <w:rPr>
          <w:rFonts w:ascii="Verdana" w:eastAsiaTheme="minorEastAsia" w:hAnsi="Verdana"/>
          <w:lang w:eastAsia="es-CO"/>
        </w:rPr>
        <w:t>.</w:t>
      </w:r>
    </w:p>
    <w:p w14:paraId="1284E13D" w14:textId="77777777" w:rsidR="00E50254" w:rsidRPr="00F70687" w:rsidRDefault="00E50254" w:rsidP="00E50254">
      <w:pPr>
        <w:spacing w:after="120" w:line="276" w:lineRule="auto"/>
        <w:ind w:right="105" w:firstLine="709"/>
        <w:jc w:val="both"/>
        <w:rPr>
          <w:rFonts w:ascii="Verdana" w:eastAsiaTheme="minorEastAsia" w:hAnsi="Verdana"/>
          <w:lang w:eastAsia="es-CO"/>
        </w:rPr>
      </w:pPr>
      <w:r w:rsidRPr="00F70687">
        <w:rPr>
          <w:rFonts w:ascii="Verdana" w:eastAsiaTheme="minorEastAsia" w:hAnsi="Verdana"/>
          <w:lang w:eastAsia="es-CO"/>
        </w:rPr>
        <w:t>En lo referente a la nulidad relativa, el artículo 46 de la Ley 80 de 1993 le atribuye carácter residual, pues una vez establecido el listado de causales de nulidad absoluta, señala que la nulidad relativa corresponde a los demás vicios que se presenten en los contratos.  De igual manera, señala que estos vicios podrán sanearse por ratificación expresa de los interesados o por el transcurso de dos años, contados a partir de la ocurrencia del hecho que genera el</w:t>
      </w:r>
      <w:r w:rsidRPr="00F70687">
        <w:rPr>
          <w:rFonts w:ascii="Verdana" w:eastAsiaTheme="minorEastAsia" w:hAnsi="Verdana"/>
          <w:spacing w:val="-8"/>
          <w:lang w:eastAsia="es-CO"/>
        </w:rPr>
        <w:t xml:space="preserve"> </w:t>
      </w:r>
      <w:r w:rsidRPr="00F70687">
        <w:rPr>
          <w:rFonts w:ascii="Verdana" w:eastAsiaTheme="minorEastAsia" w:hAnsi="Verdana"/>
          <w:lang w:eastAsia="es-CO"/>
        </w:rPr>
        <w:t>vicio</w:t>
      </w:r>
      <w:r w:rsidRPr="00F70687">
        <w:rPr>
          <w:rFonts w:ascii="Verdana" w:eastAsiaTheme="minorEastAsia" w:hAnsi="Verdana"/>
          <w:vertAlign w:val="superscript"/>
          <w:lang w:eastAsia="es-CO"/>
        </w:rPr>
        <w:footnoteReference w:id="9"/>
      </w:r>
      <w:r w:rsidRPr="00F70687">
        <w:rPr>
          <w:rFonts w:ascii="Verdana" w:eastAsiaTheme="minorEastAsia" w:hAnsi="Verdana"/>
          <w:lang w:eastAsia="es-CO"/>
        </w:rPr>
        <w:t>.</w:t>
      </w:r>
    </w:p>
    <w:p w14:paraId="0EC199E2" w14:textId="77777777" w:rsidR="00E50254" w:rsidRPr="00F70687" w:rsidRDefault="00E50254" w:rsidP="00E50254">
      <w:pPr>
        <w:spacing w:after="0" w:line="276" w:lineRule="auto"/>
        <w:ind w:firstLine="708"/>
        <w:jc w:val="both"/>
        <w:rPr>
          <w:rFonts w:ascii="Verdana" w:hAnsi="Verdana" w:cs="Arial"/>
          <w:color w:val="000000" w:themeColor="text1"/>
        </w:rPr>
      </w:pPr>
      <w:r w:rsidRPr="00F70687">
        <w:rPr>
          <w:rFonts w:ascii="Verdana" w:hAnsi="Verdana" w:cs="Arial"/>
          <w:color w:val="000000" w:themeColor="text1"/>
        </w:rPr>
        <w:t xml:space="preserve">Entonces, para determinar cuáles son aquellos vicios que no producen la nulidad del contrato y que pueden ser objeto de saneamiento en virtud del artículo 49 de la Ley 80 de 1993, merece especial atención la sentencia del 12 de agosto de 2014 del Consejo de Estado, que por su relevancia se cita </w:t>
      </w:r>
      <w:proofErr w:type="gramStart"/>
      <w:r w:rsidRPr="00F70687">
        <w:rPr>
          <w:rFonts w:ascii="Verdana" w:hAnsi="Verdana" w:cs="Arial"/>
          <w:i/>
          <w:iCs/>
          <w:color w:val="000000" w:themeColor="text1"/>
        </w:rPr>
        <w:t>in extenso</w:t>
      </w:r>
      <w:proofErr w:type="gramEnd"/>
      <w:r w:rsidRPr="00F70687">
        <w:rPr>
          <w:rFonts w:ascii="Verdana" w:hAnsi="Verdana" w:cs="Arial"/>
          <w:color w:val="000000" w:themeColor="text1"/>
        </w:rPr>
        <w:t>:</w:t>
      </w:r>
    </w:p>
    <w:p w14:paraId="343939D6" w14:textId="77777777" w:rsidR="00E50254" w:rsidRPr="00F70687" w:rsidRDefault="00E50254" w:rsidP="00E50254">
      <w:pPr>
        <w:spacing w:after="0" w:line="276" w:lineRule="auto"/>
        <w:ind w:firstLine="708"/>
        <w:jc w:val="both"/>
        <w:rPr>
          <w:rFonts w:ascii="Verdana" w:hAnsi="Verdana" w:cs="Arial"/>
          <w:color w:val="000000" w:themeColor="text1"/>
        </w:rPr>
      </w:pPr>
    </w:p>
    <w:p w14:paraId="126C8C34" w14:textId="77777777" w:rsidR="00E50254" w:rsidRPr="00F70687" w:rsidRDefault="00E50254" w:rsidP="00E50254">
      <w:pPr>
        <w:spacing w:after="120" w:line="240" w:lineRule="auto"/>
        <w:ind w:left="709" w:right="709"/>
        <w:jc w:val="both"/>
        <w:rPr>
          <w:rFonts w:ascii="Verdana" w:hAnsi="Verdana" w:cs="Arial"/>
          <w:sz w:val="20"/>
          <w:szCs w:val="20"/>
          <w:lang w:val="es-ES_tradnl"/>
        </w:rPr>
      </w:pPr>
      <w:r w:rsidRPr="00F70687">
        <w:rPr>
          <w:rFonts w:ascii="Verdana" w:hAnsi="Verdana" w:cs="Arial"/>
          <w:sz w:val="20"/>
          <w:szCs w:val="20"/>
          <w:lang w:val="es-ES" w:eastAsia="es-CO"/>
        </w:rPr>
        <w:t xml:space="preserve">“[…] </w:t>
      </w:r>
      <w:r w:rsidRPr="00F70687">
        <w:rPr>
          <w:rFonts w:ascii="Verdana" w:hAnsi="Verdana" w:cs="Arial"/>
          <w:sz w:val="20"/>
          <w:szCs w:val="20"/>
          <w:lang w:val="es-ES_tradnl"/>
        </w:rPr>
        <w:t>Lo expresado hasta ahora significa que no cualquier defecto o irregularidad en la contratación estatal produce la nulidad el contrato, ni siquiera la relativa. De hecho, hay que distinguir los defectos que se presentan en las distintas etapas: proceso de selección, perfeccionamiento del contrato, ejecución y liquidación. Esta distinción facilita entender que las causales de nulidad del contrato –absoluta o relativa- se configuran en las etapas de selección del contratista o en la de perfeccionamiento del contrato; pero no en las etapas de ejecución o liquidación. Basta observar las causales legales que las constituyen para admitir esta conclusión. Esta razón, adicional a las expresadas, refuerza que los defectos en que incurra la administración y/o el contratista para ejecutar un contrato o para liquidarlo, no inciden en la validez del negocio.</w:t>
      </w:r>
    </w:p>
    <w:p w14:paraId="694B68FA" w14:textId="77777777" w:rsidR="00E50254" w:rsidRPr="00F70687" w:rsidRDefault="00E50254" w:rsidP="00E50254">
      <w:pPr>
        <w:spacing w:after="120" w:line="240" w:lineRule="auto"/>
        <w:ind w:left="709" w:right="709"/>
        <w:jc w:val="both"/>
        <w:rPr>
          <w:rFonts w:ascii="Verdana" w:hAnsi="Verdana" w:cs="Arial"/>
          <w:sz w:val="20"/>
          <w:szCs w:val="20"/>
          <w:lang w:val="es-ES_tradnl"/>
        </w:rPr>
      </w:pPr>
      <w:r w:rsidRPr="00F70687">
        <w:rPr>
          <w:rFonts w:ascii="Verdana" w:hAnsi="Verdana" w:cs="Arial"/>
          <w:sz w:val="20"/>
          <w:szCs w:val="20"/>
          <w:lang w:val="es-ES_tradnl"/>
        </w:rPr>
        <w:lastRenderedPageBreak/>
        <w:t xml:space="preserve">Para mayor precisión, ni siquiera toda irregularidad que ocurra en las etapas de </w:t>
      </w:r>
      <w:r w:rsidRPr="00F70687">
        <w:rPr>
          <w:rFonts w:ascii="Verdana" w:hAnsi="Verdana" w:cs="Arial"/>
          <w:i/>
          <w:sz w:val="20"/>
          <w:szCs w:val="20"/>
          <w:lang w:val="es-ES_tradnl"/>
        </w:rPr>
        <w:t>selección</w:t>
      </w:r>
      <w:r w:rsidRPr="00F70687">
        <w:rPr>
          <w:rFonts w:ascii="Verdana" w:hAnsi="Verdana" w:cs="Arial"/>
          <w:sz w:val="20"/>
          <w:szCs w:val="20"/>
          <w:lang w:val="es-ES_tradnl"/>
        </w:rPr>
        <w:t xml:space="preserve"> y </w:t>
      </w:r>
      <w:r w:rsidRPr="00F70687">
        <w:rPr>
          <w:rFonts w:ascii="Verdana" w:hAnsi="Verdana" w:cs="Arial"/>
          <w:i/>
          <w:sz w:val="20"/>
          <w:szCs w:val="20"/>
          <w:lang w:val="es-ES_tradnl"/>
        </w:rPr>
        <w:t>perfeccionamiento</w:t>
      </w:r>
      <w:r w:rsidRPr="00F70687">
        <w:rPr>
          <w:rFonts w:ascii="Verdana" w:hAnsi="Verdana" w:cs="Arial"/>
          <w:sz w:val="20"/>
          <w:szCs w:val="20"/>
          <w:lang w:val="es-ES_tradnl"/>
        </w:rPr>
        <w:t xml:space="preserve"> del contrato producen, irremediablemente, su nulidad. Sólo producen esa consecuencia los defectos que se enmarquen, con precisión, en las causales legales o constitucionales. De hecho, el art. 49 de la Ley 80 de 1993 consagra la regla inversa:</w:t>
      </w:r>
    </w:p>
    <w:p w14:paraId="0D07209B" w14:textId="77777777" w:rsidR="00E50254" w:rsidRPr="00F70687" w:rsidRDefault="00E50254" w:rsidP="00E50254">
      <w:pPr>
        <w:tabs>
          <w:tab w:val="left" w:pos="142"/>
        </w:tabs>
        <w:autoSpaceDE w:val="0"/>
        <w:autoSpaceDN w:val="0"/>
        <w:adjustRightInd w:val="0"/>
        <w:spacing w:after="120" w:line="240" w:lineRule="auto"/>
        <w:ind w:left="709" w:right="709"/>
        <w:jc w:val="both"/>
        <w:rPr>
          <w:rFonts w:ascii="Verdana" w:hAnsi="Verdana" w:cs="Arial"/>
          <w:sz w:val="20"/>
          <w:szCs w:val="20"/>
        </w:rPr>
      </w:pPr>
      <w:r w:rsidRPr="00F70687">
        <w:rPr>
          <w:rFonts w:ascii="Verdana" w:hAnsi="Verdana" w:cs="Arial"/>
          <w:sz w:val="20"/>
          <w:szCs w:val="20"/>
        </w:rPr>
        <w:t>‘</w:t>
      </w:r>
      <w:r w:rsidRPr="00F70687">
        <w:rPr>
          <w:rFonts w:ascii="Verdana" w:hAnsi="Verdana" w:cs="Arial"/>
          <w:vanish/>
          <w:sz w:val="20"/>
          <w:szCs w:val="20"/>
        </w:rPr>
        <w:t>&amp;$</w:t>
      </w:r>
      <w:r w:rsidRPr="00F70687">
        <w:rPr>
          <w:rFonts w:ascii="Verdana" w:hAnsi="Verdana" w:cs="Arial"/>
          <w:sz w:val="20"/>
          <w:szCs w:val="20"/>
        </w:rPr>
        <w:t xml:space="preserve">Art. 49. </w:t>
      </w:r>
      <w:r w:rsidRPr="00F70687">
        <w:rPr>
          <w:rFonts w:ascii="Verdana" w:hAnsi="Verdana" w:cs="Arial"/>
          <w:i/>
          <w:sz w:val="20"/>
          <w:szCs w:val="20"/>
        </w:rPr>
        <w:t>Del saneamiento de los vicios de procedimiento o de forma</w:t>
      </w:r>
      <w:r w:rsidRPr="00F70687">
        <w:rPr>
          <w:rFonts w:ascii="Verdana" w:hAnsi="Verdana" w:cs="Arial"/>
          <w:sz w:val="20"/>
          <w:szCs w:val="20"/>
        </w:rPr>
        <w:t>. Ante la ocurrencia de vicios que no constituyan causales de nulidad y cuando las necesidades del servicio lo exijan o las reglas de la buena administración lo aconsejen, el jefe o representante legal de la entidad, en acto motivado, podrá sanear el correspondiente vicio.’</w:t>
      </w:r>
    </w:p>
    <w:p w14:paraId="657A8F5B" w14:textId="77777777" w:rsidR="00E50254" w:rsidRPr="00F70687" w:rsidRDefault="00E50254" w:rsidP="00E50254">
      <w:pPr>
        <w:spacing w:after="120" w:line="240" w:lineRule="auto"/>
        <w:ind w:left="709" w:right="709"/>
        <w:jc w:val="both"/>
        <w:rPr>
          <w:rFonts w:ascii="Verdana" w:hAnsi="Verdana" w:cs="Arial"/>
          <w:sz w:val="20"/>
          <w:szCs w:val="20"/>
          <w:lang w:val="es-ES"/>
        </w:rPr>
      </w:pPr>
      <w:bookmarkStart w:id="3" w:name="_Hlk84939568"/>
      <w:r w:rsidRPr="00F70687">
        <w:rPr>
          <w:rFonts w:ascii="Verdana" w:hAnsi="Verdana" w:cs="Arial"/>
          <w:sz w:val="20"/>
          <w:szCs w:val="20"/>
          <w:lang w:val="es-ES"/>
        </w:rPr>
        <w:t xml:space="preserve">Esta norma, armonizada con las que describen las causales de nulidad, reclama un listado de defectos o irregularidades que producen la nulidad absoluta o relativa, y otro listado de las que no tienen esa consecuencia -pese a existir un defecto -. Esta providencia no asumirá esa tarea, enorme y casuística, pese a que bastaría ordenar las sentencias para concretar muchas respuestas. No obstante, a la jurisprudencia le falta analizar cuándo la omisión de ciertos requisitos produce la nulidad del contrato. Por ejemplo: i) falta de estudios de oportunidad y conveniencia, </w:t>
      </w:r>
      <w:proofErr w:type="spellStart"/>
      <w:r w:rsidRPr="00F70687">
        <w:rPr>
          <w:rFonts w:ascii="Verdana" w:hAnsi="Verdana" w:cs="Arial"/>
          <w:sz w:val="20"/>
          <w:szCs w:val="20"/>
          <w:lang w:val="es-ES"/>
        </w:rPr>
        <w:t>ii</w:t>
      </w:r>
      <w:proofErr w:type="spellEnd"/>
      <w:r w:rsidRPr="00F70687">
        <w:rPr>
          <w:rFonts w:ascii="Verdana" w:hAnsi="Verdana" w:cs="Arial"/>
          <w:sz w:val="20"/>
          <w:szCs w:val="20"/>
          <w:lang w:val="es-ES"/>
        </w:rPr>
        <w:t xml:space="preserve">) falta de convocatoria pública, </w:t>
      </w:r>
      <w:proofErr w:type="spellStart"/>
      <w:r w:rsidRPr="00F70687">
        <w:rPr>
          <w:rFonts w:ascii="Verdana" w:hAnsi="Verdana" w:cs="Arial"/>
          <w:sz w:val="20"/>
          <w:szCs w:val="20"/>
          <w:lang w:val="es-ES"/>
        </w:rPr>
        <w:t>iii</w:t>
      </w:r>
      <w:proofErr w:type="spellEnd"/>
      <w:r w:rsidRPr="00F70687">
        <w:rPr>
          <w:rFonts w:ascii="Verdana" w:hAnsi="Verdana" w:cs="Arial"/>
          <w:sz w:val="20"/>
          <w:szCs w:val="20"/>
          <w:lang w:val="es-ES"/>
        </w:rPr>
        <w:t xml:space="preserve">) falta de estudios y documentos previos de la contratación, </w:t>
      </w:r>
      <w:proofErr w:type="spellStart"/>
      <w:r w:rsidRPr="00F70687">
        <w:rPr>
          <w:rFonts w:ascii="Verdana" w:hAnsi="Verdana" w:cs="Arial"/>
          <w:sz w:val="20"/>
          <w:szCs w:val="20"/>
          <w:lang w:val="es-ES"/>
        </w:rPr>
        <w:t>iv</w:t>
      </w:r>
      <w:proofErr w:type="spellEnd"/>
      <w:r w:rsidRPr="00F70687">
        <w:rPr>
          <w:rFonts w:ascii="Verdana" w:hAnsi="Verdana" w:cs="Arial"/>
          <w:sz w:val="20"/>
          <w:szCs w:val="20"/>
          <w:lang w:val="es-ES"/>
        </w:rPr>
        <w:t xml:space="preserve">) falta de licencia ambiental –cuando se requiere-, v) falta de prepliego, vi) falta de avisos en la página web, </w:t>
      </w:r>
      <w:proofErr w:type="spellStart"/>
      <w:r w:rsidRPr="00F70687">
        <w:rPr>
          <w:rFonts w:ascii="Verdana" w:hAnsi="Verdana" w:cs="Arial"/>
          <w:sz w:val="20"/>
          <w:szCs w:val="20"/>
          <w:lang w:val="es-ES"/>
        </w:rPr>
        <w:t>vii</w:t>
      </w:r>
      <w:proofErr w:type="spellEnd"/>
      <w:r w:rsidRPr="00F70687">
        <w:rPr>
          <w:rFonts w:ascii="Verdana" w:hAnsi="Verdana" w:cs="Arial"/>
          <w:sz w:val="20"/>
          <w:szCs w:val="20"/>
          <w:lang w:val="es-ES"/>
        </w:rPr>
        <w:t xml:space="preserve">) ausencia de acto de apertura, </w:t>
      </w:r>
      <w:proofErr w:type="spellStart"/>
      <w:r w:rsidRPr="00F70687">
        <w:rPr>
          <w:rFonts w:ascii="Verdana" w:hAnsi="Verdana" w:cs="Arial"/>
          <w:sz w:val="20"/>
          <w:szCs w:val="20"/>
          <w:lang w:val="es-ES"/>
        </w:rPr>
        <w:t>viii</w:t>
      </w:r>
      <w:proofErr w:type="spellEnd"/>
      <w:r w:rsidRPr="00F70687">
        <w:rPr>
          <w:rFonts w:ascii="Verdana" w:hAnsi="Verdana" w:cs="Arial"/>
          <w:sz w:val="20"/>
          <w:szCs w:val="20"/>
          <w:lang w:val="es-ES"/>
        </w:rPr>
        <w:t xml:space="preserve">) falta de pliego definitivo, </w:t>
      </w:r>
      <w:proofErr w:type="spellStart"/>
      <w:r w:rsidRPr="00F70687">
        <w:rPr>
          <w:rFonts w:ascii="Verdana" w:hAnsi="Verdana" w:cs="Arial"/>
          <w:sz w:val="20"/>
          <w:szCs w:val="20"/>
          <w:lang w:val="es-ES"/>
        </w:rPr>
        <w:t>ix</w:t>
      </w:r>
      <w:proofErr w:type="spellEnd"/>
      <w:r w:rsidRPr="00F70687">
        <w:rPr>
          <w:rFonts w:ascii="Verdana" w:hAnsi="Verdana" w:cs="Arial"/>
          <w:sz w:val="20"/>
          <w:szCs w:val="20"/>
          <w:lang w:val="es-ES"/>
        </w:rPr>
        <w:t>) falta de evaluación de ofertas, x) no poner el informe de evaluación de ofertas a disposición de los oferentes, xi) no celebrar audiencia de adjudicación, entre otros.</w:t>
      </w:r>
    </w:p>
    <w:p w14:paraId="29DA86FA" w14:textId="77777777" w:rsidR="00E50254" w:rsidRPr="00F70687" w:rsidRDefault="00E50254" w:rsidP="00E50254">
      <w:pPr>
        <w:spacing w:after="0" w:line="240" w:lineRule="auto"/>
        <w:ind w:left="709" w:right="709"/>
        <w:jc w:val="both"/>
        <w:rPr>
          <w:rFonts w:ascii="Verdana" w:hAnsi="Verdana" w:cs="Arial"/>
          <w:sz w:val="20"/>
          <w:szCs w:val="20"/>
          <w:lang w:val="es-ES_tradnl"/>
        </w:rPr>
      </w:pPr>
      <w:r w:rsidRPr="00F70687">
        <w:rPr>
          <w:rFonts w:ascii="Verdana" w:hAnsi="Verdana" w:cs="Arial"/>
          <w:sz w:val="20"/>
          <w:szCs w:val="20"/>
          <w:lang w:val="es-ES_tradnl"/>
        </w:rPr>
        <w:t xml:space="preserve">No obstante, la regla que introduce el art. 49 es el </w:t>
      </w:r>
      <w:r w:rsidRPr="00F70687">
        <w:rPr>
          <w:rFonts w:ascii="Verdana" w:hAnsi="Verdana" w:cs="Arial"/>
          <w:i/>
          <w:sz w:val="20"/>
          <w:szCs w:val="20"/>
          <w:lang w:val="es-ES_tradnl"/>
        </w:rPr>
        <w:t>saneamiento general</w:t>
      </w:r>
      <w:r w:rsidRPr="00F70687">
        <w:rPr>
          <w:rFonts w:ascii="Verdana" w:hAnsi="Verdana" w:cs="Arial"/>
          <w:sz w:val="20"/>
          <w:szCs w:val="20"/>
          <w:lang w:val="es-ES_tradnl"/>
        </w:rPr>
        <w:t>, así que la norma autoriza regularizar buena parte de los defectos cometidos con ocasión de los procesos de contratación”</w:t>
      </w:r>
      <w:r w:rsidRPr="00F70687">
        <w:rPr>
          <w:rFonts w:ascii="Verdana" w:hAnsi="Verdana" w:cs="Arial"/>
          <w:color w:val="000000" w:themeColor="text1"/>
          <w:sz w:val="20"/>
          <w:szCs w:val="20"/>
          <w:vertAlign w:val="superscript"/>
        </w:rPr>
        <w:t xml:space="preserve"> </w:t>
      </w:r>
      <w:r w:rsidRPr="00F70687">
        <w:rPr>
          <w:rFonts w:ascii="Verdana" w:hAnsi="Verdana" w:cs="Arial"/>
          <w:color w:val="000000" w:themeColor="text1"/>
          <w:sz w:val="20"/>
          <w:szCs w:val="20"/>
          <w:vertAlign w:val="superscript"/>
        </w:rPr>
        <w:footnoteReference w:id="10"/>
      </w:r>
      <w:r w:rsidRPr="00F70687">
        <w:rPr>
          <w:rFonts w:ascii="Verdana" w:hAnsi="Verdana" w:cs="Arial"/>
          <w:sz w:val="20"/>
          <w:szCs w:val="20"/>
          <w:lang w:val="es-ES_tradnl"/>
        </w:rPr>
        <w:t>.</w:t>
      </w:r>
      <w:bookmarkEnd w:id="3"/>
    </w:p>
    <w:p w14:paraId="3F78F465" w14:textId="77777777" w:rsidR="00E50254" w:rsidRPr="00F70687" w:rsidRDefault="00E50254" w:rsidP="00E50254">
      <w:pPr>
        <w:spacing w:after="0" w:line="276" w:lineRule="auto"/>
        <w:ind w:left="709" w:right="709"/>
        <w:jc w:val="both"/>
        <w:rPr>
          <w:rFonts w:ascii="Verdana" w:hAnsi="Verdana" w:cs="Arial"/>
          <w:lang w:val="es-ES" w:eastAsia="es-CO"/>
        </w:rPr>
      </w:pPr>
    </w:p>
    <w:p w14:paraId="1E449CC9" w14:textId="77777777" w:rsidR="00E50254" w:rsidRPr="00F70687" w:rsidRDefault="00E50254" w:rsidP="00E50254">
      <w:pPr>
        <w:spacing w:after="120" w:line="276" w:lineRule="auto"/>
        <w:ind w:right="108" w:firstLine="709"/>
        <w:jc w:val="both"/>
        <w:rPr>
          <w:rFonts w:ascii="Verdana" w:eastAsia="Times New Roman" w:hAnsi="Verdana"/>
          <w:bCs/>
          <w:color w:val="000000" w:themeColor="text1"/>
          <w:lang w:eastAsia="es-ES_tradnl"/>
        </w:rPr>
      </w:pPr>
      <w:r w:rsidRPr="00F70687">
        <w:rPr>
          <w:rFonts w:ascii="Verdana" w:eastAsiaTheme="minorEastAsia" w:hAnsi="Verdana"/>
          <w:color w:val="000000" w:themeColor="text1"/>
          <w:lang w:eastAsia="es-CO"/>
        </w:rPr>
        <w:t xml:space="preserve">En conclusión, solamente aquellos vicios que no se encuentren tipificados en la Ley 80 de 1993 ni en el Código Civil y el Código de Comercio como causales de nulidad, podrán ser saneados directamente por las entidades estatales. </w:t>
      </w:r>
    </w:p>
    <w:p w14:paraId="493F998B" w14:textId="77777777" w:rsidR="00E50254" w:rsidRPr="00F70687" w:rsidRDefault="00E50254" w:rsidP="00E50254">
      <w:pPr>
        <w:tabs>
          <w:tab w:val="left" w:pos="426"/>
        </w:tabs>
        <w:spacing w:after="120" w:line="276" w:lineRule="auto"/>
        <w:ind w:firstLine="743"/>
        <w:jc w:val="both"/>
        <w:rPr>
          <w:rFonts w:ascii="Verdana" w:hAnsi="Verdana"/>
          <w:bCs/>
          <w:color w:val="000000" w:themeColor="text1"/>
          <w:lang w:eastAsia="es-ES_tradnl"/>
        </w:rPr>
      </w:pPr>
      <w:r w:rsidRPr="00F70687">
        <w:rPr>
          <w:rFonts w:ascii="Verdana" w:hAnsi="Verdana"/>
          <w:bCs/>
          <w:color w:val="000000" w:themeColor="text1"/>
          <w:lang w:eastAsia="es-ES_tradnl"/>
        </w:rPr>
        <w:t xml:space="preserve">De esta manera, resulta necesario que las entidades estatales, dentro de su autonomía administrativa, analicen si determinada situación se trata de un vicio de procedimiento o de forma y que no constituya causal de nulidad, pues de lo contrario no resultaría aplicable el saneamiento del proceso con base en el artículo 49 de la Ley 80 de 1993. Teniendo en cuenta que son múltiples las situaciones que se pueden generar alrededor del caso expuesto en la consulta, </w:t>
      </w:r>
      <w:r w:rsidRPr="00F70687">
        <w:rPr>
          <w:rFonts w:ascii="Verdana" w:hAnsi="Verdana"/>
          <w:bCs/>
          <w:color w:val="000000" w:themeColor="text1"/>
          <w:lang w:eastAsia="es-ES_tradnl"/>
        </w:rPr>
        <w:lastRenderedPageBreak/>
        <w:t xml:space="preserve">esta Agencia no puede, </w:t>
      </w:r>
      <w:r w:rsidRPr="00F70687">
        <w:rPr>
          <w:rFonts w:ascii="Verdana" w:eastAsia="Arial MT" w:hAnsi="Verdana" w:cs="Arial"/>
          <w:lang w:eastAsia="es-ES" w:bidi="es-ES"/>
        </w:rPr>
        <w:t>vía concepto, establecer criterios vinculantes sobre la aplicación de esta figura u otros procedimientos. Su función consultiva se limita a brindar orientaciones generales, de conformidad con el principio de juridicidad, para que las entidades del Sistema de Compras y Contratación Pública adopten las decisiones correspondientes en el marco de su gestión contractual.</w:t>
      </w:r>
    </w:p>
    <w:p w14:paraId="27F25120" w14:textId="77777777" w:rsidR="00E50254" w:rsidRPr="00F70687" w:rsidRDefault="00E50254" w:rsidP="00E50254">
      <w:pPr>
        <w:tabs>
          <w:tab w:val="left" w:pos="426"/>
        </w:tabs>
        <w:spacing w:after="120" w:line="276" w:lineRule="auto"/>
        <w:ind w:firstLine="743"/>
        <w:jc w:val="both"/>
        <w:rPr>
          <w:rFonts w:ascii="Verdana" w:hAnsi="Verdana"/>
          <w:bCs/>
          <w:color w:val="000000" w:themeColor="text1"/>
          <w:lang w:eastAsia="es-ES_tradnl"/>
        </w:rPr>
      </w:pPr>
      <w:r w:rsidRPr="00F70687">
        <w:rPr>
          <w:rFonts w:ascii="Verdana" w:hAnsi="Verdana"/>
          <w:bCs/>
          <w:color w:val="000000" w:themeColor="text1"/>
          <w:lang w:eastAsia="es-ES_tradnl"/>
        </w:rPr>
        <w:t xml:space="preserve">En todo caso, cara a la consulta planteada, es fundamental que la entidad estatal garantice el principio de selección objetiva, de tal manera que aquellos eventos que impidan aplicar una escogencia objetiva, la entidad adopte las medidas correspondientes dentro del marco normativo vigente. Por tanto, la entidad podrá analizar la procedencia del artículo 49 de la Ley 80 de 1993 según lo expuesto en este concepto o considerar la expedición de actos administrativos que decidan sobre la continuidad del procedimiento de selección como consecuencia de la imposibilidad de aplicar el principio de selección objetiva, en el marco de lo dispuesto en el artículo 25 </w:t>
      </w:r>
      <w:r w:rsidRPr="00F70687">
        <w:rPr>
          <w:rFonts w:ascii="Verdana" w:hAnsi="Verdana"/>
          <w:bCs/>
          <w:i/>
          <w:iCs/>
          <w:color w:val="000000" w:themeColor="text1"/>
          <w:lang w:eastAsia="es-ES_tradnl"/>
        </w:rPr>
        <w:t>ibidem</w:t>
      </w:r>
      <w:r w:rsidRPr="00F70687">
        <w:rPr>
          <w:rFonts w:ascii="Verdana" w:hAnsi="Verdana"/>
          <w:bCs/>
          <w:color w:val="000000" w:themeColor="text1"/>
          <w:lang w:eastAsia="es-ES_tradnl"/>
        </w:rPr>
        <w:t>, o en su defecto, adoptar cualquier otra actuación que permita el cumplimiento de los principios de la contratación estatal y los fines del estado, dentro del marco legal vigente. De todas formas, se recomienda que la entidad opte por la alternativa que represente el menor impacto posible tanto para la administración como para los derechos adquiridos que eventualmente puedan verse comprometidos.</w:t>
      </w:r>
    </w:p>
    <w:p w14:paraId="161EF41F" w14:textId="77777777" w:rsidR="00E50254" w:rsidRPr="00F70687" w:rsidRDefault="00E50254" w:rsidP="00E50254">
      <w:pPr>
        <w:spacing w:after="120" w:line="276" w:lineRule="auto"/>
        <w:ind w:right="108" w:firstLine="708"/>
        <w:jc w:val="both"/>
        <w:rPr>
          <w:rFonts w:ascii="Verdana" w:eastAsiaTheme="minorEastAsia" w:hAnsi="Verdana"/>
          <w:color w:val="000000" w:themeColor="text1"/>
          <w:lang w:eastAsia="es-CO"/>
        </w:rPr>
      </w:pPr>
      <w:r w:rsidRPr="00F70687">
        <w:rPr>
          <w:rFonts w:ascii="Verdana" w:eastAsia="Times New Roman" w:hAnsi="Verdana"/>
          <w:bCs/>
          <w:color w:val="000000" w:themeColor="text1"/>
          <w:lang w:eastAsia="es-ES_tradnl"/>
        </w:rPr>
        <w:t xml:space="preserve">Por lo demás, en las actuaciones administrativas contractuales también pueden presentarse situaciones que no necesariamente configuran un vicio de procedimiento o de forma, sino a un error simplemente formal como el aritmético o de digitación. </w:t>
      </w:r>
      <w:r w:rsidRPr="00F70687">
        <w:rPr>
          <w:rFonts w:ascii="Verdana" w:eastAsiaTheme="minorEastAsia" w:hAnsi="Verdana"/>
          <w:color w:val="000000" w:themeColor="text1"/>
          <w:lang w:eastAsia="es-CO"/>
        </w:rPr>
        <w:t xml:space="preserve"> Como ya se </w:t>
      </w:r>
      <w:proofErr w:type="gramStart"/>
      <w:r w:rsidRPr="00F70687">
        <w:rPr>
          <w:rFonts w:ascii="Verdana" w:eastAsiaTheme="minorEastAsia" w:hAnsi="Verdana"/>
          <w:color w:val="000000" w:themeColor="text1"/>
          <w:lang w:eastAsia="es-CO"/>
        </w:rPr>
        <w:t>mencionó,  un</w:t>
      </w:r>
      <w:proofErr w:type="gramEnd"/>
      <w:r w:rsidRPr="00F70687">
        <w:rPr>
          <w:rFonts w:ascii="Verdana" w:eastAsiaTheme="minorEastAsia" w:hAnsi="Verdana"/>
          <w:color w:val="000000" w:themeColor="text1"/>
          <w:lang w:eastAsia="es-CO"/>
        </w:rPr>
        <w:t xml:space="preserve"> vicio de procedimiento o de forma es el que se produce por la inobservancia de las formas y requisitos de procedimiento administrativo </w:t>
      </w:r>
      <w:r w:rsidRPr="00F70687">
        <w:rPr>
          <w:rFonts w:ascii="Verdana" w:eastAsia="Times New Roman" w:hAnsi="Verdana"/>
          <w:bCs/>
          <w:color w:val="000000" w:themeColor="text1"/>
          <w:lang w:eastAsia="es-ES_tradnl"/>
        </w:rPr>
        <w:t xml:space="preserve">que podría afectar la validez del acto o contrato. Por otra parte, un error simplemente formal es aquel que, pese a haberse observado las formas y requisitos del procedimiento administrativo, </w:t>
      </w:r>
      <w:r w:rsidRPr="00F70687">
        <w:rPr>
          <w:rFonts w:ascii="Verdana" w:eastAsiaTheme="minorEastAsia" w:hAnsi="Verdana"/>
          <w:color w:val="000000" w:themeColor="text1"/>
          <w:lang w:eastAsia="es-CO"/>
        </w:rPr>
        <w:t xml:space="preserve">presenta equivocaciones derivadas de una operación matemática, o de equivocaciones en la digitación de palabras o </w:t>
      </w:r>
      <w:proofErr w:type="gramStart"/>
      <w:r w:rsidRPr="00F70687">
        <w:rPr>
          <w:rFonts w:ascii="Verdana" w:eastAsiaTheme="minorEastAsia" w:hAnsi="Verdana"/>
          <w:color w:val="000000" w:themeColor="text1"/>
          <w:lang w:eastAsia="es-CO"/>
        </w:rPr>
        <w:t>cifras,  o</w:t>
      </w:r>
      <w:proofErr w:type="gramEnd"/>
      <w:r w:rsidRPr="00F70687">
        <w:rPr>
          <w:rFonts w:ascii="Verdana" w:eastAsiaTheme="minorEastAsia" w:hAnsi="Verdana"/>
          <w:color w:val="000000" w:themeColor="text1"/>
          <w:lang w:eastAsia="es-CO"/>
        </w:rPr>
        <w:t xml:space="preserve"> la omisión de estas, que requieren la correspondiente aclaración o corrección para la correcta comprensión de sus efectos, sin que se varíe de fondo la decisión.</w:t>
      </w:r>
    </w:p>
    <w:p w14:paraId="3C880548" w14:textId="77777777" w:rsidR="00E50254" w:rsidRPr="00F70687" w:rsidRDefault="00E50254" w:rsidP="00E50254">
      <w:pPr>
        <w:spacing w:after="0" w:line="276" w:lineRule="auto"/>
        <w:ind w:firstLine="709"/>
        <w:jc w:val="both"/>
        <w:rPr>
          <w:rFonts w:ascii="Verdana" w:hAnsi="Verdana" w:cs="Arial"/>
          <w:color w:val="000000" w:themeColor="text1"/>
        </w:rPr>
      </w:pPr>
      <w:r w:rsidRPr="00F70687">
        <w:rPr>
          <w:rFonts w:ascii="Verdana" w:hAnsi="Verdana" w:cs="Arial"/>
          <w:color w:val="000000" w:themeColor="text1"/>
          <w:lang w:val="es-ES"/>
        </w:rPr>
        <w:t xml:space="preserve">El </w:t>
      </w:r>
      <w:r w:rsidRPr="00F70687">
        <w:rPr>
          <w:rFonts w:ascii="Verdana" w:hAnsi="Verdana" w:cs="Arial"/>
          <w:color w:val="000000" w:themeColor="text1"/>
        </w:rPr>
        <w:t>Código de Procedimiento Administrativo y de lo Contencioso Administrativo –CPACA–, en el artículo 45, permite la corrección de errores simplemente formales de los actos administrativos relacionados con errores aritméticos, de digitación, de transcripción o de omisión de palabras, de la siguiente manera:</w:t>
      </w:r>
    </w:p>
    <w:p w14:paraId="493F6197" w14:textId="77777777" w:rsidR="00E50254" w:rsidRPr="00F70687" w:rsidRDefault="00E50254" w:rsidP="00E50254">
      <w:pPr>
        <w:spacing w:after="0" w:line="276" w:lineRule="auto"/>
        <w:ind w:firstLine="709"/>
        <w:jc w:val="both"/>
        <w:rPr>
          <w:rFonts w:ascii="Verdana" w:hAnsi="Verdana" w:cs="Arial"/>
          <w:color w:val="000000" w:themeColor="text1"/>
        </w:rPr>
      </w:pPr>
    </w:p>
    <w:p w14:paraId="1F8FADCE" w14:textId="77777777" w:rsidR="00E50254" w:rsidRPr="00F70687" w:rsidRDefault="00E50254" w:rsidP="00E50254">
      <w:pPr>
        <w:spacing w:after="0" w:line="240" w:lineRule="auto"/>
        <w:ind w:left="709" w:right="709"/>
        <w:jc w:val="both"/>
        <w:rPr>
          <w:rFonts w:ascii="Verdana" w:hAnsi="Verdana" w:cs="Arial"/>
          <w:sz w:val="20"/>
          <w:szCs w:val="20"/>
          <w:lang w:val="es-ES" w:eastAsia="es-CO"/>
        </w:rPr>
      </w:pPr>
      <w:r w:rsidRPr="00F70687">
        <w:rPr>
          <w:rFonts w:ascii="Verdana" w:hAnsi="Verdana" w:cs="Arial"/>
          <w:sz w:val="20"/>
          <w:szCs w:val="20"/>
          <w:lang w:val="es-ES" w:eastAsia="es-CO"/>
        </w:rPr>
        <w:t>“Artículo 45. Corrección de errores formales. En cualquier tiempo, de oficio o a petición de parte, se podrán corregir los errores simplemente formales contenidos en los actos administrativos, ya sean aritméticos, de digitación, de transcripción o de omisión de palabras. En ningún caso la corrección dará lugar a cambios en el sentido material de la decisión, ni revivirá los términos legales para demandar el acto. Realizada la corrección, esta deberá ser notificada o comunicada a todos los interesados, según corresponda”.</w:t>
      </w:r>
    </w:p>
    <w:p w14:paraId="660B8A68" w14:textId="77777777" w:rsidR="00E50254" w:rsidRPr="00F70687" w:rsidRDefault="00E50254" w:rsidP="00E50254">
      <w:pPr>
        <w:spacing w:after="0" w:line="276" w:lineRule="auto"/>
        <w:ind w:firstLine="708"/>
        <w:jc w:val="both"/>
        <w:rPr>
          <w:rFonts w:ascii="Verdana" w:hAnsi="Verdana" w:cs="Arial"/>
          <w:color w:val="000000" w:themeColor="text1"/>
        </w:rPr>
      </w:pPr>
    </w:p>
    <w:p w14:paraId="63C99810" w14:textId="77777777" w:rsidR="00E50254" w:rsidRPr="00F70687" w:rsidRDefault="00E50254" w:rsidP="00E50254">
      <w:pPr>
        <w:spacing w:after="120" w:line="276" w:lineRule="auto"/>
        <w:ind w:firstLine="709"/>
        <w:jc w:val="both"/>
        <w:rPr>
          <w:rFonts w:ascii="Verdana" w:hAnsi="Verdana" w:cs="Arial"/>
          <w:color w:val="000000" w:themeColor="text1"/>
        </w:rPr>
      </w:pPr>
      <w:r w:rsidRPr="00F70687">
        <w:rPr>
          <w:rFonts w:ascii="Verdana" w:hAnsi="Verdana" w:cs="Arial"/>
          <w:color w:val="000000" w:themeColor="text1"/>
        </w:rPr>
        <w:t xml:space="preserve">De esta figura se pueden destacar las siguientes características: i) procede para  corregir </w:t>
      </w:r>
      <w:r w:rsidRPr="00F70687">
        <w:rPr>
          <w:rFonts w:ascii="Verdana" w:hAnsi="Verdana" w:cs="Arial"/>
        </w:rPr>
        <w:t xml:space="preserve">errores simplemente formales contenidos en los actos administrativos, ya sean aritméticos, de digitación, de transcripción o de omisión de palabras, </w:t>
      </w:r>
      <w:proofErr w:type="spellStart"/>
      <w:r w:rsidRPr="00F70687">
        <w:rPr>
          <w:rFonts w:ascii="Verdana" w:hAnsi="Verdana" w:cs="Arial"/>
        </w:rPr>
        <w:t>ii</w:t>
      </w:r>
      <w:proofErr w:type="spellEnd"/>
      <w:r w:rsidRPr="00F70687">
        <w:rPr>
          <w:rFonts w:ascii="Verdana" w:hAnsi="Verdana" w:cs="Arial"/>
        </w:rPr>
        <w:t xml:space="preserve">) no permite cambios sustanciales o materiales de la decisión, </w:t>
      </w:r>
      <w:proofErr w:type="spellStart"/>
      <w:r w:rsidRPr="00F70687">
        <w:rPr>
          <w:rFonts w:ascii="Verdana" w:hAnsi="Verdana" w:cs="Arial"/>
        </w:rPr>
        <w:t>iii</w:t>
      </w:r>
      <w:proofErr w:type="spellEnd"/>
      <w:r w:rsidRPr="00F70687">
        <w:rPr>
          <w:rFonts w:ascii="Verdana" w:hAnsi="Verdana" w:cs="Arial"/>
        </w:rPr>
        <w:t xml:space="preserve">) puede realizarse en cualquier tiempo, </w:t>
      </w:r>
      <w:proofErr w:type="spellStart"/>
      <w:r w:rsidRPr="00F70687">
        <w:rPr>
          <w:rFonts w:ascii="Verdana" w:hAnsi="Verdana" w:cs="Arial"/>
        </w:rPr>
        <w:t>iv</w:t>
      </w:r>
      <w:proofErr w:type="spellEnd"/>
      <w:r w:rsidRPr="00F70687">
        <w:rPr>
          <w:rFonts w:ascii="Verdana" w:hAnsi="Verdana" w:cs="Arial"/>
        </w:rPr>
        <w:t>) procede de oficio o a petición de parte, v) el acto administrativo de corrección no revive términos para demandar el acto corregido, vi) debe ser notificada o comunicada a los interesados</w:t>
      </w:r>
      <w:r w:rsidRPr="00F70687">
        <w:rPr>
          <w:rFonts w:ascii="Verdana" w:hAnsi="Verdana" w:cs="Arial"/>
          <w:vertAlign w:val="superscript"/>
        </w:rPr>
        <w:footnoteReference w:id="11"/>
      </w:r>
      <w:r w:rsidRPr="00F70687">
        <w:rPr>
          <w:rFonts w:ascii="Verdana" w:hAnsi="Verdana" w:cs="Arial"/>
        </w:rPr>
        <w:t xml:space="preserve">. </w:t>
      </w:r>
    </w:p>
    <w:p w14:paraId="47DB8750" w14:textId="77777777" w:rsidR="00E50254" w:rsidRPr="00F70687" w:rsidRDefault="00E50254" w:rsidP="00E50254">
      <w:pPr>
        <w:spacing w:after="120" w:line="276" w:lineRule="auto"/>
        <w:ind w:firstLine="709"/>
        <w:jc w:val="both"/>
        <w:rPr>
          <w:rFonts w:ascii="Verdana" w:hAnsi="Verdana" w:cs="Arial"/>
          <w:color w:val="000000" w:themeColor="text1"/>
        </w:rPr>
      </w:pPr>
      <w:r w:rsidRPr="00F70687">
        <w:rPr>
          <w:rFonts w:ascii="Verdana" w:hAnsi="Verdana" w:cs="Arial"/>
          <w:color w:val="000000" w:themeColor="text1"/>
        </w:rPr>
        <w:t>Cabe aclarar que aunque el Estatuto General de Contratación de la Administración Pública no consagra expresamente esta figura, es posible su aplicación en los actos del proceso de contratación, en virtud de lo establecido en el  artículo  77 de la Ley 80 de 1993 y en el artículo 2 de la Ley 1437 de 2011, pues, la primera disposición señala que las  normas que rigen los procedimientos y actuaciones en la función administrativa son aplicables en las actuaciones contractuales, siempre que sean compatibles con la finalidad y los principios de la Ley 80.  A su vez, el artículo 2 de la Ley 1437 de 2011, señala que los procedimientos allí establecidos aplican a las actuaciones de todas las autoridades y particulares que desempeñan funciones administrativas, sin perjuicio de los procedimientos regulados en leyes especiales, y agrega que, en lo no previsto en estos, se aplicarán los procedimientos establecidos en dicho código. Tal es el caso de la corrección de errores simplemente formales de los actos administrativos que no está regulada en el Estatuto General de Contratación de la Administración Pública, sino en el Código de Procedimiento Administrativo y de lo Contencioso Administrativo.</w:t>
      </w:r>
    </w:p>
    <w:p w14:paraId="4BE2D84F" w14:textId="77777777" w:rsidR="00E50254" w:rsidRPr="00F70687" w:rsidRDefault="00E50254" w:rsidP="00E50254">
      <w:pPr>
        <w:tabs>
          <w:tab w:val="left" w:pos="709"/>
        </w:tabs>
        <w:spacing w:after="120" w:line="276" w:lineRule="auto"/>
        <w:jc w:val="both"/>
        <w:rPr>
          <w:rFonts w:ascii="Verdana" w:hAnsi="Verdana" w:cs="Arial"/>
          <w:iCs/>
          <w:color w:val="000000" w:themeColor="text1"/>
        </w:rPr>
      </w:pPr>
      <w:r w:rsidRPr="00F70687">
        <w:rPr>
          <w:rFonts w:ascii="Verdana" w:hAnsi="Verdana" w:cs="Arial"/>
          <w:iCs/>
          <w:color w:val="000000" w:themeColor="text1"/>
        </w:rPr>
        <w:lastRenderedPageBreak/>
        <w:tab/>
        <w:t>Al margen de la explicación precedente debe advertirse que el análisis requerido para resolver problemas específicos en torno a la gestión contractual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58913D24" w14:textId="77777777" w:rsidR="00E50254" w:rsidRPr="00F70687" w:rsidRDefault="00E50254" w:rsidP="00E50254">
      <w:pPr>
        <w:spacing w:after="0" w:line="276" w:lineRule="auto"/>
        <w:jc w:val="both"/>
        <w:rPr>
          <w:rFonts w:ascii="Verdana" w:eastAsia="Calibri" w:hAnsi="Verdana" w:cs="Arial"/>
          <w:lang w:val="es-ES" w:eastAsia="es-ES"/>
        </w:rPr>
      </w:pPr>
    </w:p>
    <w:p w14:paraId="56E3843D" w14:textId="77777777" w:rsidR="00E50254" w:rsidRPr="00F70687" w:rsidRDefault="00E50254" w:rsidP="00E50254">
      <w:pPr>
        <w:numPr>
          <w:ilvl w:val="0"/>
          <w:numId w:val="16"/>
        </w:numPr>
        <w:tabs>
          <w:tab w:val="left" w:pos="142"/>
          <w:tab w:val="left" w:pos="284"/>
        </w:tabs>
        <w:spacing w:after="0" w:line="276" w:lineRule="auto"/>
        <w:jc w:val="both"/>
        <w:rPr>
          <w:rFonts w:ascii="Verdana" w:eastAsia="Century Gothic" w:hAnsi="Verdana" w:cs="Century Gothic"/>
          <w:b/>
          <w:bCs/>
          <w:lang w:val="es-ES"/>
        </w:rPr>
      </w:pPr>
      <w:r w:rsidRPr="00F70687">
        <w:rPr>
          <w:rFonts w:ascii="Verdana" w:eastAsia="Century Gothic" w:hAnsi="Verdana" w:cs="Century Gothic"/>
          <w:b/>
          <w:bCs/>
          <w:lang w:val="es-ES"/>
        </w:rPr>
        <w:t>Referencias normativas:</w:t>
      </w:r>
    </w:p>
    <w:p w14:paraId="71550328" w14:textId="77777777" w:rsidR="00E50254" w:rsidRPr="00F70687" w:rsidRDefault="00E50254" w:rsidP="00E50254">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E50254" w:rsidRPr="00F70687" w14:paraId="6D7E28C8" w14:textId="77777777" w:rsidTr="00C13BA5">
        <w:trPr>
          <w:trHeight w:val="870"/>
          <w:jc w:val="center"/>
        </w:trPr>
        <w:tc>
          <w:tcPr>
            <w:tcW w:w="8647" w:type="dxa"/>
          </w:tcPr>
          <w:p w14:paraId="6566FE0E" w14:textId="77777777" w:rsidR="00E50254" w:rsidRPr="00F70687" w:rsidRDefault="00E50254" w:rsidP="00C13BA5">
            <w:pPr>
              <w:widowControl w:val="0"/>
              <w:numPr>
                <w:ilvl w:val="0"/>
                <w:numId w:val="17"/>
              </w:numPr>
              <w:autoSpaceDE w:val="0"/>
              <w:autoSpaceDN w:val="0"/>
              <w:spacing w:after="120" w:line="276" w:lineRule="auto"/>
              <w:ind w:left="714" w:hanging="357"/>
              <w:jc w:val="both"/>
              <w:rPr>
                <w:rFonts w:ascii="Verdana" w:hAnsi="Verdana" w:cs="Arial"/>
                <w:lang w:val="es-ES"/>
              </w:rPr>
            </w:pPr>
            <w:r w:rsidRPr="00F70687">
              <w:rPr>
                <w:rFonts w:ascii="Verdana" w:hAnsi="Verdana" w:cs="Arial"/>
                <w:lang w:val="es-ES"/>
              </w:rPr>
              <w:t>Ley 80 de 1993, artículos 44, 46, 49 y 77.</w:t>
            </w:r>
          </w:p>
          <w:p w14:paraId="3B2D47E9" w14:textId="77777777" w:rsidR="00E50254" w:rsidRPr="00F70687" w:rsidRDefault="00E50254" w:rsidP="00C13BA5">
            <w:pPr>
              <w:widowControl w:val="0"/>
              <w:numPr>
                <w:ilvl w:val="0"/>
                <w:numId w:val="17"/>
              </w:numPr>
              <w:autoSpaceDE w:val="0"/>
              <w:autoSpaceDN w:val="0"/>
              <w:spacing w:after="120" w:line="276" w:lineRule="auto"/>
              <w:ind w:left="714" w:hanging="357"/>
              <w:jc w:val="both"/>
              <w:rPr>
                <w:rFonts w:ascii="Verdana" w:hAnsi="Verdana" w:cs="Arial"/>
                <w:lang w:val="es-ES"/>
              </w:rPr>
            </w:pPr>
            <w:r w:rsidRPr="00F70687">
              <w:rPr>
                <w:rFonts w:ascii="Verdana" w:hAnsi="Verdana" w:cs="Arial"/>
                <w:lang w:val="es-ES"/>
              </w:rPr>
              <w:t>Ley 1437 de 2011, artículos 2 y 45.</w:t>
            </w:r>
          </w:p>
          <w:p w14:paraId="532C93E7" w14:textId="77777777" w:rsidR="00E50254" w:rsidRPr="00F70687" w:rsidRDefault="00E50254" w:rsidP="00C13BA5">
            <w:pPr>
              <w:widowControl w:val="0"/>
              <w:numPr>
                <w:ilvl w:val="0"/>
                <w:numId w:val="17"/>
              </w:numPr>
              <w:autoSpaceDE w:val="0"/>
              <w:autoSpaceDN w:val="0"/>
              <w:spacing w:after="120" w:line="276" w:lineRule="auto"/>
              <w:ind w:left="714" w:hanging="357"/>
              <w:jc w:val="both"/>
              <w:rPr>
                <w:rFonts w:ascii="Verdana" w:hAnsi="Verdana" w:cs="Arial"/>
                <w:lang w:val="es-ES"/>
              </w:rPr>
            </w:pPr>
            <w:r w:rsidRPr="00F70687">
              <w:rPr>
                <w:rFonts w:ascii="Verdana" w:hAnsi="Verdana" w:cs="Arial"/>
                <w:lang w:val="es-ES"/>
              </w:rPr>
              <w:t>Código Civil, artículos 6, 16, 1602, 1625, 1741.</w:t>
            </w:r>
          </w:p>
          <w:p w14:paraId="7032F216" w14:textId="77777777" w:rsidR="00E50254" w:rsidRPr="00F70687" w:rsidRDefault="00E50254" w:rsidP="00C13BA5">
            <w:pPr>
              <w:widowControl w:val="0"/>
              <w:numPr>
                <w:ilvl w:val="0"/>
                <w:numId w:val="17"/>
              </w:numPr>
              <w:autoSpaceDE w:val="0"/>
              <w:autoSpaceDN w:val="0"/>
              <w:spacing w:line="276" w:lineRule="auto"/>
              <w:ind w:left="714" w:hanging="357"/>
              <w:jc w:val="both"/>
              <w:rPr>
                <w:rFonts w:ascii="Verdana" w:hAnsi="Verdana" w:cs="Arial"/>
                <w:lang w:val="es-ES"/>
              </w:rPr>
            </w:pPr>
            <w:r w:rsidRPr="00F70687">
              <w:rPr>
                <w:rFonts w:ascii="Verdana" w:hAnsi="Verdana" w:cs="Arial"/>
                <w:lang w:val="es-ES"/>
              </w:rPr>
              <w:t>Código de Comercio, artículos 822, 900 y 901.</w:t>
            </w:r>
          </w:p>
        </w:tc>
      </w:tr>
    </w:tbl>
    <w:p w14:paraId="1BEF64FD" w14:textId="77777777" w:rsidR="00E50254" w:rsidRPr="00F70687" w:rsidRDefault="00E50254" w:rsidP="00E50254">
      <w:pPr>
        <w:widowControl w:val="0"/>
        <w:autoSpaceDE w:val="0"/>
        <w:autoSpaceDN w:val="0"/>
        <w:spacing w:after="0" w:line="276" w:lineRule="auto"/>
        <w:jc w:val="both"/>
        <w:rPr>
          <w:rFonts w:ascii="Verdana" w:hAnsi="Verdana" w:cs="Arial"/>
        </w:rPr>
      </w:pPr>
    </w:p>
    <w:p w14:paraId="4A01F9C7" w14:textId="77777777" w:rsidR="00E50254" w:rsidRPr="00F70687" w:rsidRDefault="00E50254" w:rsidP="00E50254">
      <w:pPr>
        <w:numPr>
          <w:ilvl w:val="0"/>
          <w:numId w:val="16"/>
        </w:numPr>
        <w:tabs>
          <w:tab w:val="left" w:pos="142"/>
          <w:tab w:val="left" w:pos="284"/>
        </w:tabs>
        <w:spacing w:after="0" w:line="276" w:lineRule="auto"/>
        <w:jc w:val="both"/>
        <w:rPr>
          <w:rFonts w:ascii="Verdana" w:eastAsia="Century Gothic" w:hAnsi="Verdana" w:cs="Century Gothic"/>
          <w:b/>
          <w:bCs/>
          <w:lang w:val="es-ES"/>
        </w:rPr>
      </w:pPr>
      <w:r w:rsidRPr="00F70687">
        <w:rPr>
          <w:rFonts w:ascii="Verdana" w:eastAsia="Century Gothic" w:hAnsi="Verdana" w:cs="Century Gothic"/>
          <w:b/>
          <w:bCs/>
          <w:lang w:val="es-ES"/>
        </w:rPr>
        <w:t>Doctrina de la Agencia Nacional de Contratación Pública:</w:t>
      </w:r>
    </w:p>
    <w:p w14:paraId="48D82627" w14:textId="77777777" w:rsidR="00E50254" w:rsidRPr="00F70687" w:rsidRDefault="00E50254" w:rsidP="00E50254">
      <w:pPr>
        <w:widowControl w:val="0"/>
        <w:autoSpaceDE w:val="0"/>
        <w:autoSpaceDN w:val="0"/>
        <w:spacing w:after="0" w:line="276" w:lineRule="auto"/>
        <w:jc w:val="both"/>
        <w:rPr>
          <w:rFonts w:ascii="Verdana" w:hAnsi="Verdana" w:cs="Arial"/>
        </w:rPr>
      </w:pPr>
    </w:p>
    <w:p w14:paraId="273C7E5C" w14:textId="77777777" w:rsidR="00E50254" w:rsidRPr="00F70687" w:rsidRDefault="00E50254" w:rsidP="00E50254">
      <w:pPr>
        <w:widowControl w:val="0"/>
        <w:autoSpaceDE w:val="0"/>
        <w:autoSpaceDN w:val="0"/>
        <w:spacing w:after="0" w:line="276" w:lineRule="auto"/>
        <w:jc w:val="both"/>
        <w:rPr>
          <w:rFonts w:ascii="Verdana" w:hAnsi="Verdana" w:cs="Arial"/>
          <w:color w:val="FF0000"/>
          <w:shd w:val="clear" w:color="auto" w:fill="FFFFFF"/>
          <w:lang w:val="es-ES"/>
        </w:rPr>
      </w:pPr>
      <w:r w:rsidRPr="00F70687">
        <w:rPr>
          <w:rFonts w:ascii="Verdana" w:hAnsi="Verdana" w:cs="Arial"/>
          <w:shd w:val="clear" w:color="auto" w:fill="FFFFFF"/>
          <w:lang w:val="es-ES"/>
        </w:rPr>
        <w:t>Esta Subdirección se ha pronunciado sobre el saneamiento de los procesos de selección en los Conceptos C-575 del 13 de octubre de 2021, C-378 del 21 de agosto de 2021, C-383 del 20 de septiembre de 2023 y C-580 del 23 de mayo de 2025. Es</w:t>
      </w:r>
      <w:r w:rsidRPr="00F70687">
        <w:rPr>
          <w:rFonts w:ascii="Verdana" w:hAnsi="Verdana"/>
        </w:rPr>
        <w:t>tos y otros se encuentran disponibles para consulta en el Sistema de relatoría de la Agencia, al cual puede accederse a través del siguiente enlace:</w:t>
      </w:r>
      <w:r w:rsidRPr="00F70687">
        <w:rPr>
          <w:rFonts w:ascii="Verdana" w:hAnsi="Verdana" w:cs="Arial"/>
          <w:shd w:val="clear" w:color="auto" w:fill="FFFFFF"/>
          <w:lang w:val="es-ES"/>
        </w:rPr>
        <w:t xml:space="preserve"> </w:t>
      </w:r>
      <w:hyperlink r:id="rId12" w:history="1">
        <w:r w:rsidRPr="00F70687">
          <w:rPr>
            <w:rFonts w:ascii="Verdana" w:hAnsi="Verdana" w:cs="Arial"/>
            <w:color w:val="0000FF"/>
            <w:u w:val="single"/>
            <w:shd w:val="clear" w:color="auto" w:fill="FFFFFF"/>
            <w:lang w:val="es-ES"/>
          </w:rPr>
          <w:t>https://relatoria.colombiacompra.gov.co/busqueda/conceptos</w:t>
        </w:r>
      </w:hyperlink>
      <w:r w:rsidRPr="00F70687">
        <w:rPr>
          <w:rFonts w:ascii="Verdana" w:hAnsi="Verdana" w:cs="Arial"/>
          <w:shd w:val="clear" w:color="auto" w:fill="FFFFFF"/>
          <w:lang w:val="es-ES"/>
        </w:rPr>
        <w:t>.</w:t>
      </w:r>
      <w:r w:rsidRPr="00F70687">
        <w:rPr>
          <w:rFonts w:ascii="Verdana" w:hAnsi="Verdana" w:cs="Arial"/>
          <w:color w:val="FF0000"/>
          <w:shd w:val="clear" w:color="auto" w:fill="FFFFFF"/>
          <w:lang w:val="es-ES"/>
        </w:rPr>
        <w:t xml:space="preserve"> </w:t>
      </w:r>
    </w:p>
    <w:p w14:paraId="56C8613E" w14:textId="77777777" w:rsidR="00E50254" w:rsidRPr="00F70687" w:rsidRDefault="00E50254" w:rsidP="00E50254">
      <w:pPr>
        <w:widowControl w:val="0"/>
        <w:autoSpaceDE w:val="0"/>
        <w:autoSpaceDN w:val="0"/>
        <w:spacing w:after="0" w:line="276" w:lineRule="auto"/>
        <w:jc w:val="both"/>
        <w:rPr>
          <w:rFonts w:ascii="Verdana" w:hAnsi="Verdana" w:cs="Arial"/>
          <w:color w:val="FF0000"/>
          <w:shd w:val="clear" w:color="auto" w:fill="FFFFFF"/>
          <w:lang w:val="es-MX"/>
        </w:rPr>
      </w:pPr>
      <w:r w:rsidRPr="00F70687">
        <w:rPr>
          <w:rFonts w:ascii="Verdana" w:hAnsi="Verdana" w:cs="Arial"/>
          <w:color w:val="FF0000"/>
          <w:shd w:val="clear" w:color="auto" w:fill="FFFFFF"/>
          <w:lang w:val="es-ES"/>
        </w:rPr>
        <w:t xml:space="preserve">      </w:t>
      </w:r>
    </w:p>
    <w:p w14:paraId="60476ED9" w14:textId="77777777" w:rsidR="00E50254" w:rsidRPr="00F70687" w:rsidRDefault="00E50254" w:rsidP="00E50254">
      <w:pPr>
        <w:widowControl w:val="0"/>
        <w:autoSpaceDE w:val="0"/>
        <w:autoSpaceDN w:val="0"/>
        <w:spacing w:after="0" w:line="276" w:lineRule="auto"/>
        <w:jc w:val="both"/>
        <w:rPr>
          <w:rFonts w:ascii="Verdana" w:hAnsi="Verdana" w:cs="Arial"/>
          <w:lang w:val="es-ES_tradnl"/>
        </w:rPr>
      </w:pPr>
      <w:r w:rsidRPr="00F70687">
        <w:rPr>
          <w:rFonts w:ascii="Verdana" w:hAnsi="Verdana" w:cs="Arial"/>
        </w:rPr>
        <w:t xml:space="preserve">Este concepto tiene el alcance previsto en el artículo 28 del Código de Procedimiento Administrativo y de lo Contencioso Administrativo </w:t>
      </w:r>
      <w:r w:rsidRPr="00F70687">
        <w:rPr>
          <w:rFonts w:ascii="Verdana" w:hAnsi="Verdana" w:cs="Arial"/>
          <w:lang w:val="es-ES_tradnl"/>
        </w:rPr>
        <w:t>y las expresiones aquí utilizadas con mayúscula inicial deben ser entendidas con el significado que les otorga el artículo 2.2.1.1.1.3.1. del Decreto 1082 de 2015.</w:t>
      </w:r>
    </w:p>
    <w:p w14:paraId="2F74672E" w14:textId="77777777" w:rsidR="00E50254" w:rsidRPr="00F70687" w:rsidRDefault="00E50254" w:rsidP="00E50254">
      <w:pPr>
        <w:widowControl w:val="0"/>
        <w:autoSpaceDE w:val="0"/>
        <w:autoSpaceDN w:val="0"/>
        <w:spacing w:after="0" w:line="276" w:lineRule="auto"/>
        <w:jc w:val="both"/>
        <w:rPr>
          <w:rFonts w:ascii="Verdana" w:hAnsi="Verdana" w:cs="Arial"/>
        </w:rPr>
      </w:pPr>
    </w:p>
    <w:p w14:paraId="68F22EEA" w14:textId="72D2F1FC" w:rsidR="00E50254" w:rsidRPr="00F70687" w:rsidRDefault="00E50254" w:rsidP="00E50254">
      <w:pPr>
        <w:rPr>
          <w:rFonts w:ascii="Verdana" w:hAnsi="Verdana" w:cs="Arial"/>
          <w:lang w:eastAsia="es-CO"/>
        </w:rPr>
      </w:pPr>
      <w:r w:rsidRPr="00F70687">
        <w:rPr>
          <w:rFonts w:ascii="Verdana" w:hAnsi="Verdana" w:cs="Arial"/>
          <w:lang w:eastAsia="es-CO"/>
        </w:rPr>
        <w:t xml:space="preserve">Atentamente, </w:t>
      </w:r>
    </w:p>
    <w:p w14:paraId="2DFEA50B" w14:textId="5F3D3AFA" w:rsidR="00E50254" w:rsidRPr="00F70687" w:rsidRDefault="00C013C1" w:rsidP="00E50254">
      <w:pPr>
        <w:spacing w:line="276" w:lineRule="auto"/>
        <w:jc w:val="center"/>
        <w:rPr>
          <w:rFonts w:ascii="Verdana" w:hAnsi="Verdana" w:cs="Arial"/>
          <w:color w:val="000000"/>
          <w:lang w:eastAsia="es-CO"/>
        </w:rPr>
      </w:pPr>
      <w:r>
        <w:rPr>
          <w:noProof/>
        </w:rPr>
        <w:lastRenderedPageBreak/>
        <w:drawing>
          <wp:inline distT="0" distB="0" distL="0" distR="0" wp14:anchorId="4B0C650F" wp14:editId="358DBAEE">
            <wp:extent cx="3462655" cy="1285240"/>
            <wp:effectExtent l="0" t="0" r="4445" b="0"/>
            <wp:docPr id="1079501621"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9501621" name="Imagen 1" descr="Texto&#10;&#10;Descripción generada automáticamente"/>
                    <pic:cNvPicPr>
                      <a:picLocks noChangeAspect="1"/>
                    </pic:cNvPicPr>
                  </pic:nvPicPr>
                  <pic:blipFill>
                    <a:blip r:embed="rId13"/>
                    <a:stretch>
                      <a:fillRect/>
                    </a:stretch>
                  </pic:blipFill>
                  <pic:spPr>
                    <a:xfrm>
                      <a:off x="0" y="0"/>
                      <a:ext cx="3462655" cy="1285240"/>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E50254" w:rsidRPr="00F70687" w14:paraId="72BC0B85" w14:textId="77777777" w:rsidTr="00C13BA5">
        <w:trPr>
          <w:trHeight w:val="315"/>
        </w:trPr>
        <w:tc>
          <w:tcPr>
            <w:tcW w:w="893" w:type="dxa"/>
            <w:vAlign w:val="center"/>
            <w:hideMark/>
          </w:tcPr>
          <w:p w14:paraId="1D0E6F44" w14:textId="77777777" w:rsidR="00E50254" w:rsidRPr="00F70687" w:rsidRDefault="00E50254" w:rsidP="00C13BA5">
            <w:pPr>
              <w:contextualSpacing/>
              <w:rPr>
                <w:rFonts w:ascii="Verdana" w:hAnsi="Verdana" w:cs="Arial"/>
                <w:sz w:val="16"/>
                <w:szCs w:val="16"/>
                <w:lang w:eastAsia="es-ES"/>
              </w:rPr>
            </w:pPr>
            <w:r w:rsidRPr="00F70687">
              <w:rPr>
                <w:rFonts w:ascii="Verdana" w:hAnsi="Verdana" w:cs="Arial"/>
                <w:sz w:val="16"/>
                <w:szCs w:val="16"/>
                <w:lang w:eastAsia="es-ES"/>
              </w:rPr>
              <w:t>Elaboró:</w:t>
            </w:r>
          </w:p>
        </w:tc>
        <w:tc>
          <w:tcPr>
            <w:tcW w:w="5628" w:type="dxa"/>
            <w:tcBorders>
              <w:top w:val="nil"/>
              <w:left w:val="nil"/>
              <w:bottom w:val="dotted" w:sz="4" w:space="0" w:color="7F7F7F" w:themeColor="text1" w:themeTint="80"/>
              <w:right w:val="nil"/>
            </w:tcBorders>
            <w:vAlign w:val="center"/>
            <w:hideMark/>
          </w:tcPr>
          <w:p w14:paraId="4DCF3621" w14:textId="77777777" w:rsidR="00E50254" w:rsidRPr="00F70687" w:rsidRDefault="00E50254" w:rsidP="00C13BA5">
            <w:pPr>
              <w:contextualSpacing/>
              <w:rPr>
                <w:rFonts w:ascii="Verdana" w:hAnsi="Verdana"/>
                <w:sz w:val="16"/>
                <w:szCs w:val="16"/>
              </w:rPr>
            </w:pPr>
            <w:r w:rsidRPr="00F70687">
              <w:rPr>
                <w:rFonts w:ascii="Verdana" w:hAnsi="Verdana"/>
                <w:sz w:val="16"/>
                <w:szCs w:val="16"/>
              </w:rPr>
              <w:t>Tatiana Baquero Iguarán</w:t>
            </w:r>
          </w:p>
          <w:p w14:paraId="215C7332" w14:textId="77777777" w:rsidR="00E50254" w:rsidRPr="00F70687" w:rsidRDefault="00E50254" w:rsidP="00C13BA5">
            <w:pPr>
              <w:contextualSpacing/>
              <w:rPr>
                <w:rFonts w:ascii="Verdana" w:eastAsia="Arial" w:hAnsi="Verdana" w:cs="Arial"/>
                <w:sz w:val="16"/>
                <w:szCs w:val="16"/>
              </w:rPr>
            </w:pPr>
            <w:r w:rsidRPr="00F70687">
              <w:rPr>
                <w:rFonts w:ascii="Verdana" w:hAnsi="Verdana"/>
                <w:sz w:val="16"/>
                <w:szCs w:val="16"/>
              </w:rPr>
              <w:t>Contratista de la Subdirección de Gestión Contractual</w:t>
            </w:r>
          </w:p>
        </w:tc>
      </w:tr>
      <w:tr w:rsidR="00E50254" w:rsidRPr="00F70687" w14:paraId="16351D82" w14:textId="77777777" w:rsidTr="00C13BA5">
        <w:trPr>
          <w:trHeight w:val="330"/>
        </w:trPr>
        <w:tc>
          <w:tcPr>
            <w:tcW w:w="893" w:type="dxa"/>
            <w:vAlign w:val="center"/>
            <w:hideMark/>
          </w:tcPr>
          <w:p w14:paraId="3312DCA9" w14:textId="77777777" w:rsidR="00E50254" w:rsidRPr="00F70687" w:rsidRDefault="00E50254" w:rsidP="00C13BA5">
            <w:pPr>
              <w:contextualSpacing/>
              <w:rPr>
                <w:rFonts w:ascii="Verdana" w:hAnsi="Verdana" w:cs="Arial"/>
                <w:sz w:val="16"/>
                <w:szCs w:val="16"/>
                <w:lang w:eastAsia="es-ES"/>
              </w:rPr>
            </w:pPr>
            <w:r w:rsidRPr="00F70687">
              <w:rPr>
                <w:rFonts w:ascii="Verdana" w:hAnsi="Verdana" w:cs="Arial"/>
                <w:sz w:val="16"/>
                <w:szCs w:val="16"/>
                <w:lang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75A8163C" w14:textId="77777777" w:rsidR="00E50254" w:rsidRPr="00F70687" w:rsidRDefault="00E50254" w:rsidP="00C13BA5">
            <w:pPr>
              <w:textAlignment w:val="baseline"/>
              <w:rPr>
                <w:rFonts w:ascii="Verdana" w:eastAsia="Times New Roman" w:hAnsi="Verdana" w:cs="Arial"/>
                <w:sz w:val="16"/>
                <w:szCs w:val="16"/>
                <w:lang w:val="es-MX" w:eastAsia="es-CO"/>
              </w:rPr>
            </w:pPr>
            <w:r w:rsidRPr="00F70687">
              <w:rPr>
                <w:rFonts w:ascii="Verdana" w:eastAsia="Times New Roman" w:hAnsi="Verdana" w:cs="Arial"/>
                <w:sz w:val="16"/>
                <w:szCs w:val="16"/>
                <w:lang w:val="es-MX" w:eastAsia="es-CO"/>
              </w:rPr>
              <w:t>Alejandro Raúl Sarmiento Cantillo</w:t>
            </w:r>
          </w:p>
          <w:p w14:paraId="4C69E9A4" w14:textId="77777777" w:rsidR="00E50254" w:rsidRPr="00F70687" w:rsidRDefault="00E50254" w:rsidP="00C13BA5">
            <w:pPr>
              <w:spacing w:before="100" w:beforeAutospacing="1" w:after="100" w:afterAutospacing="1"/>
              <w:contextualSpacing/>
              <w:textAlignment w:val="baseline"/>
              <w:rPr>
                <w:rFonts w:ascii="Verdana" w:eastAsia="Times New Roman" w:hAnsi="Verdana" w:cs="Segoe UI"/>
                <w:sz w:val="16"/>
                <w:szCs w:val="16"/>
                <w:lang w:eastAsia="es-ES_tradnl"/>
              </w:rPr>
            </w:pPr>
            <w:r w:rsidRPr="00F70687">
              <w:rPr>
                <w:rFonts w:ascii="Verdana" w:eastAsia="Times New Roman" w:hAnsi="Verdana" w:cs="Arial"/>
                <w:sz w:val="16"/>
                <w:szCs w:val="16"/>
                <w:lang w:val="es-MX" w:eastAsia="es-CO"/>
              </w:rPr>
              <w:t>Gestor T1-15 de la Subdirección de Gestión Contractual</w:t>
            </w:r>
          </w:p>
        </w:tc>
      </w:tr>
      <w:tr w:rsidR="00E50254" w:rsidRPr="00F70687" w14:paraId="7BEDE7A9" w14:textId="77777777" w:rsidTr="00C13BA5">
        <w:trPr>
          <w:trHeight w:val="300"/>
        </w:trPr>
        <w:tc>
          <w:tcPr>
            <w:tcW w:w="893" w:type="dxa"/>
            <w:vAlign w:val="center"/>
          </w:tcPr>
          <w:p w14:paraId="0EB9D168" w14:textId="77777777" w:rsidR="00E50254" w:rsidRPr="00F70687" w:rsidRDefault="00E50254" w:rsidP="00C13BA5">
            <w:pPr>
              <w:contextualSpacing/>
              <w:rPr>
                <w:rFonts w:ascii="Verdana" w:hAnsi="Verdana" w:cs="Arial"/>
                <w:sz w:val="16"/>
                <w:szCs w:val="16"/>
                <w:lang w:eastAsia="es-ES"/>
              </w:rPr>
            </w:pPr>
            <w:r w:rsidRPr="00F70687">
              <w:rPr>
                <w:rFonts w:ascii="Verdana" w:hAnsi="Verdana" w:cs="Arial"/>
                <w:sz w:val="16"/>
                <w:szCs w:val="16"/>
                <w:lang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09A339B5" w14:textId="77777777" w:rsidR="00E50254" w:rsidRPr="00F70687" w:rsidRDefault="00E50254" w:rsidP="00C13BA5">
            <w:pPr>
              <w:contextualSpacing/>
              <w:rPr>
                <w:rFonts w:ascii="Verdana" w:eastAsia="Calibri" w:hAnsi="Verdana" w:cs="Arial"/>
                <w:sz w:val="16"/>
                <w:szCs w:val="16"/>
                <w:lang w:eastAsia="es-ES"/>
              </w:rPr>
            </w:pPr>
            <w:r w:rsidRPr="00F70687">
              <w:rPr>
                <w:rFonts w:ascii="Verdana" w:eastAsia="Calibri" w:hAnsi="Verdana" w:cs="Arial"/>
                <w:sz w:val="16"/>
                <w:szCs w:val="16"/>
                <w:lang w:eastAsia="es-ES"/>
              </w:rPr>
              <w:t xml:space="preserve">Carolina Quintero </w:t>
            </w:r>
            <w:proofErr w:type="spellStart"/>
            <w:r w:rsidRPr="00F70687">
              <w:rPr>
                <w:rFonts w:ascii="Verdana" w:eastAsia="Calibri" w:hAnsi="Verdana" w:cs="Arial"/>
                <w:sz w:val="16"/>
                <w:szCs w:val="16"/>
                <w:lang w:eastAsia="es-ES"/>
              </w:rPr>
              <w:t>Gacharná</w:t>
            </w:r>
            <w:proofErr w:type="spellEnd"/>
          </w:p>
          <w:p w14:paraId="55E98DB3" w14:textId="77777777" w:rsidR="00E50254" w:rsidRPr="00F70687" w:rsidRDefault="00E50254" w:rsidP="00C13BA5">
            <w:pPr>
              <w:contextualSpacing/>
              <w:rPr>
                <w:rFonts w:ascii="Verdana" w:eastAsia="Calibri" w:hAnsi="Verdana" w:cs="Arial"/>
                <w:sz w:val="16"/>
                <w:szCs w:val="16"/>
                <w:lang w:eastAsia="es-ES"/>
              </w:rPr>
            </w:pPr>
            <w:r w:rsidRPr="00F70687">
              <w:rPr>
                <w:rFonts w:ascii="Verdana" w:eastAsia="Calibri" w:hAnsi="Verdana" w:cs="Arial"/>
                <w:sz w:val="16"/>
                <w:szCs w:val="16"/>
                <w:lang w:eastAsia="es-ES"/>
              </w:rPr>
              <w:t>Subdirectora de Gestión Contractual ANCP – CCE</w:t>
            </w:r>
          </w:p>
        </w:tc>
      </w:tr>
    </w:tbl>
    <w:p w14:paraId="70DD4437" w14:textId="77777777" w:rsidR="00E50254" w:rsidRPr="00F70687" w:rsidRDefault="00E50254" w:rsidP="00E50254"/>
    <w:p w14:paraId="738EDBB4" w14:textId="77777777" w:rsidR="00E50254" w:rsidRPr="00F70687" w:rsidRDefault="00E50254" w:rsidP="00E50254">
      <w:r w:rsidRPr="00F70687">
        <w:t xml:space="preserve"> </w:t>
      </w:r>
    </w:p>
    <w:p w14:paraId="4A8F6D9E" w14:textId="77777777" w:rsidR="00E50254" w:rsidRPr="00F70687" w:rsidRDefault="00E50254" w:rsidP="00E50254"/>
    <w:p w14:paraId="731FBFED" w14:textId="77777777" w:rsidR="00E50254" w:rsidRDefault="00E50254" w:rsidP="00CB59B9">
      <w:pPr>
        <w:spacing w:after="0" w:line="240" w:lineRule="auto"/>
        <w:jc w:val="both"/>
        <w:rPr>
          <w:rFonts w:ascii="Verdana" w:eastAsia="Arial" w:hAnsi="Verdana" w:cs="Arial"/>
          <w:bCs/>
          <w:color w:val="000000"/>
          <w:sz w:val="20"/>
          <w:szCs w:val="20"/>
        </w:rPr>
      </w:pPr>
    </w:p>
    <w:sectPr w:rsidR="00E50254" w:rsidSect="007C0C0F">
      <w:headerReference w:type="default" r:id="rId14"/>
      <w:footerReference w:type="default" r:id="rId15"/>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25C5D1E" w14:textId="77777777" w:rsidR="00EE67F2" w:rsidRDefault="00EE67F2" w:rsidP="004A1847">
      <w:pPr>
        <w:spacing w:after="0" w:line="240" w:lineRule="auto"/>
      </w:pPr>
      <w:r>
        <w:separator/>
      </w:r>
    </w:p>
  </w:endnote>
  <w:endnote w:type="continuationSeparator" w:id="0">
    <w:p w14:paraId="6B398BF4" w14:textId="77777777" w:rsidR="00EE67F2" w:rsidRDefault="00EE67F2" w:rsidP="004A1847">
      <w:pPr>
        <w:spacing w:after="0" w:line="240" w:lineRule="auto"/>
      </w:pPr>
      <w:r>
        <w:continuationSeparator/>
      </w:r>
    </w:p>
  </w:endnote>
  <w:endnote w:type="continuationNotice" w:id="1">
    <w:p w14:paraId="35E33FAB" w14:textId="77777777" w:rsidR="00EE67F2" w:rsidRDefault="00EE67F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Aptos">
    <w:charset w:val="00"/>
    <w:family w:val="swiss"/>
    <w:pitch w:val="variable"/>
    <w:sig w:usb0="20000287" w:usb1="00000003"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BE2D32" w14:textId="77777777" w:rsidR="00EE67F2" w:rsidRDefault="00EE67F2" w:rsidP="004A1847">
      <w:pPr>
        <w:spacing w:after="0" w:line="240" w:lineRule="auto"/>
      </w:pPr>
      <w:r>
        <w:separator/>
      </w:r>
    </w:p>
  </w:footnote>
  <w:footnote w:type="continuationSeparator" w:id="0">
    <w:p w14:paraId="41951351" w14:textId="77777777" w:rsidR="00EE67F2" w:rsidRDefault="00EE67F2" w:rsidP="004A1847">
      <w:pPr>
        <w:spacing w:after="0" w:line="240" w:lineRule="auto"/>
      </w:pPr>
      <w:r>
        <w:continuationSeparator/>
      </w:r>
    </w:p>
  </w:footnote>
  <w:footnote w:type="continuationNotice" w:id="1">
    <w:p w14:paraId="645B6466" w14:textId="77777777" w:rsidR="00EE67F2" w:rsidRDefault="00EE67F2">
      <w:pPr>
        <w:spacing w:after="0" w:line="240" w:lineRule="auto"/>
      </w:pPr>
    </w:p>
  </w:footnote>
  <w:footnote w:id="2">
    <w:p w14:paraId="6DEF479C" w14:textId="77777777" w:rsidR="00E50254" w:rsidRPr="006E45BA" w:rsidRDefault="00E50254" w:rsidP="00E50254">
      <w:pPr>
        <w:pStyle w:val="Textonotapie"/>
        <w:ind w:firstLine="709"/>
        <w:jc w:val="both"/>
        <w:rPr>
          <w:rFonts w:ascii="Verdana" w:hAnsi="Verdana" w:cs="Arial"/>
          <w:sz w:val="16"/>
          <w:szCs w:val="16"/>
          <w:lang w:val="es-ES"/>
        </w:rPr>
      </w:pPr>
      <w:r w:rsidRPr="006E45BA">
        <w:rPr>
          <w:rStyle w:val="Refdenotaalpie"/>
          <w:rFonts w:ascii="Verdana" w:hAnsi="Verdana" w:cs="Arial"/>
          <w:sz w:val="16"/>
          <w:szCs w:val="16"/>
        </w:rPr>
        <w:footnoteRef/>
      </w:r>
      <w:r w:rsidRPr="006E45BA">
        <w:rPr>
          <w:rFonts w:ascii="Verdana" w:hAnsi="Verdana" w:cs="Arial"/>
          <w:sz w:val="16"/>
          <w:szCs w:val="16"/>
        </w:rPr>
        <w:t xml:space="preserve"> </w:t>
      </w:r>
      <w:r w:rsidRPr="006E45BA">
        <w:rPr>
          <w:rFonts w:ascii="Verdana" w:hAnsi="Verdana" w:cs="Arial"/>
          <w:sz w:val="16"/>
          <w:szCs w:val="16"/>
          <w:lang w:val="es-ES"/>
        </w:rPr>
        <w:t xml:space="preserve">GORDILLO, Agustín. Tratado de derecho administrativo y obras selectas. Tomo 5. Primeras obras. Libro II. El acto administrativo. Buenos Aires: Fundación de Derecho Administrativo, 2012. p. EAA-IV-29. </w:t>
      </w:r>
    </w:p>
  </w:footnote>
  <w:footnote w:id="3">
    <w:p w14:paraId="0F9B2DE7" w14:textId="77777777" w:rsidR="00E50254" w:rsidRPr="006E45BA" w:rsidRDefault="00E50254" w:rsidP="00E50254">
      <w:pPr>
        <w:pStyle w:val="Textonotapie"/>
        <w:ind w:firstLine="707"/>
        <w:jc w:val="both"/>
        <w:rPr>
          <w:rFonts w:ascii="Verdana" w:hAnsi="Verdana" w:cs="Arial"/>
          <w:sz w:val="16"/>
          <w:szCs w:val="16"/>
        </w:rPr>
      </w:pPr>
      <w:r w:rsidRPr="006E45BA">
        <w:rPr>
          <w:rStyle w:val="Refdenotaalpie"/>
          <w:rFonts w:ascii="Verdana" w:hAnsi="Verdana" w:cs="Arial"/>
          <w:sz w:val="16"/>
          <w:szCs w:val="16"/>
        </w:rPr>
        <w:footnoteRef/>
      </w:r>
      <w:r w:rsidRPr="006E45BA">
        <w:rPr>
          <w:rFonts w:ascii="Verdana" w:hAnsi="Verdana" w:cs="Arial"/>
          <w:sz w:val="16"/>
          <w:szCs w:val="16"/>
        </w:rPr>
        <w:t xml:space="preserve"> </w:t>
      </w:r>
      <w:r w:rsidRPr="006E45BA">
        <w:rPr>
          <w:rStyle w:val="nfasis"/>
          <w:rFonts w:ascii="Verdana" w:hAnsi="Verdana" w:cs="Arial"/>
          <w:color w:val="000000"/>
          <w:sz w:val="16"/>
          <w:szCs w:val="16"/>
          <w:shd w:val="clear" w:color="auto" w:fill="FFFFFF"/>
        </w:rPr>
        <w:t>Consejo de Estado. Sala de lo Contencioso Administrativo, Sección Tercera – Subsección B.  Sentencia del 14 de junio de 2018.  Radicación: 08001-23-31-000-2003-01953-02 (37389). Consejero ponente: Ramiro Pazos Guerrero.</w:t>
      </w:r>
    </w:p>
  </w:footnote>
  <w:footnote w:id="4">
    <w:p w14:paraId="4F3C9EB4" w14:textId="77777777" w:rsidR="00E50254" w:rsidRPr="006E45BA" w:rsidRDefault="00E50254" w:rsidP="00E50254">
      <w:pPr>
        <w:pStyle w:val="Textonotapie"/>
        <w:ind w:firstLine="708"/>
        <w:jc w:val="both"/>
        <w:rPr>
          <w:rFonts w:ascii="Verdana" w:hAnsi="Verdana"/>
          <w:sz w:val="16"/>
          <w:szCs w:val="16"/>
        </w:rPr>
      </w:pPr>
      <w:r w:rsidRPr="006E45BA">
        <w:rPr>
          <w:rStyle w:val="Refdenotaalpie"/>
          <w:rFonts w:ascii="Verdana" w:hAnsi="Verdana"/>
          <w:sz w:val="16"/>
          <w:szCs w:val="16"/>
        </w:rPr>
        <w:footnoteRef/>
      </w:r>
      <w:r w:rsidRPr="006E45BA">
        <w:rPr>
          <w:rFonts w:ascii="Verdana" w:hAnsi="Verdana"/>
          <w:sz w:val="16"/>
          <w:szCs w:val="16"/>
        </w:rPr>
        <w:t xml:space="preserve"> Para la doctrina, “La autonomía privada no es un poder originario o soberano. Es un poder conferido a los individuos por una norma superior, la cual regula su actuación, estableciendo cargas y limitaciones. En la ley vemos la fuente de validez de la norma negocial. La ley, lo mismo que puede ampliar el campo en el que actúa la autonomía privada, puede también restringirlo. La ley puede incluso, interviniendo posteriormente, modificar el contenido de una norma negocial ya establecida. Aunque sean excepcionales, estas intervenciones de la ley tienen su justificación formal en la superioridad de la fuente legislativa sobre la negocial.</w:t>
      </w:r>
    </w:p>
    <w:p w14:paraId="63A14A89" w14:textId="77777777" w:rsidR="00E50254" w:rsidRPr="006E45BA" w:rsidRDefault="00E50254" w:rsidP="00E50254">
      <w:pPr>
        <w:pStyle w:val="Textonotapie"/>
        <w:ind w:firstLine="708"/>
        <w:jc w:val="both"/>
        <w:rPr>
          <w:rFonts w:ascii="Verdana" w:hAnsi="Verdana"/>
          <w:sz w:val="16"/>
          <w:szCs w:val="16"/>
        </w:rPr>
      </w:pPr>
      <w:r w:rsidRPr="006E45BA">
        <w:rPr>
          <w:rFonts w:ascii="Verdana" w:hAnsi="Verdana"/>
          <w:sz w:val="16"/>
          <w:szCs w:val="16"/>
        </w:rPr>
        <w:t>[…]</w:t>
      </w:r>
    </w:p>
    <w:p w14:paraId="3DB5603B" w14:textId="77777777" w:rsidR="00E50254" w:rsidRPr="006E45BA" w:rsidRDefault="00E50254" w:rsidP="00E50254">
      <w:pPr>
        <w:pStyle w:val="Textonotapie"/>
        <w:ind w:firstLine="708"/>
        <w:jc w:val="both"/>
        <w:rPr>
          <w:rFonts w:ascii="Verdana" w:hAnsi="Verdana"/>
          <w:sz w:val="16"/>
          <w:szCs w:val="16"/>
        </w:rPr>
      </w:pPr>
      <w:r w:rsidRPr="006E45BA">
        <w:rPr>
          <w:rFonts w:ascii="Verdana" w:hAnsi="Verdana"/>
          <w:sz w:val="16"/>
          <w:szCs w:val="16"/>
        </w:rPr>
        <w:t xml:space="preserve">La autonomía privada no significa, pues, poder originario independiente o </w:t>
      </w:r>
      <w:r w:rsidRPr="006E45BA">
        <w:rPr>
          <w:rFonts w:ascii="Verdana" w:hAnsi="Verdana"/>
          <w:i/>
          <w:iCs/>
          <w:sz w:val="16"/>
          <w:szCs w:val="16"/>
        </w:rPr>
        <w:t>selbstherrlich</w:t>
      </w:r>
      <w:r w:rsidRPr="006E45BA">
        <w:rPr>
          <w:rFonts w:ascii="Verdana" w:hAnsi="Verdana"/>
          <w:sz w:val="16"/>
          <w:szCs w:val="16"/>
        </w:rPr>
        <w:t>, que no recibe de fuera la razón de su validez. El carácter no originario del poder en que se concreta la autonomía privada implica que no puede considerarse originaria o soberana tampoco la voluntad de los sujetos que establecen las normas negociales. No es que la voluntad privada cree derecho por sí o por fuerza propia.</w:t>
      </w:r>
    </w:p>
    <w:p w14:paraId="723997F0" w14:textId="77777777" w:rsidR="00E50254" w:rsidRPr="006E45BA" w:rsidRDefault="00E50254" w:rsidP="00E50254">
      <w:pPr>
        <w:pStyle w:val="Textonotapie"/>
        <w:ind w:firstLine="708"/>
        <w:jc w:val="both"/>
        <w:rPr>
          <w:rFonts w:ascii="Verdana" w:hAnsi="Verdana"/>
          <w:sz w:val="16"/>
          <w:szCs w:val="16"/>
        </w:rPr>
      </w:pPr>
      <w:r w:rsidRPr="006E45BA">
        <w:rPr>
          <w:rFonts w:ascii="Verdana" w:hAnsi="Verdana"/>
          <w:sz w:val="16"/>
          <w:szCs w:val="16"/>
        </w:rPr>
        <w:t>Admitir una atribución de poder por parte de una norma superior basta para excluir el carácter originario o soberanía de la voluntad privada y del poder atribuido a ella” (FERRI, Luigui. La autonomía privada. Santiago de Chile: Ediciones Olejnik, 2018. pp. 44-45).</w:t>
      </w:r>
    </w:p>
  </w:footnote>
  <w:footnote w:id="5">
    <w:p w14:paraId="2686D098" w14:textId="77777777" w:rsidR="00E50254" w:rsidRPr="006E45BA" w:rsidRDefault="00E50254" w:rsidP="00E50254">
      <w:pPr>
        <w:pStyle w:val="Textonotapie"/>
        <w:ind w:firstLine="708"/>
        <w:jc w:val="both"/>
        <w:rPr>
          <w:rFonts w:ascii="Verdana" w:hAnsi="Verdana"/>
          <w:sz w:val="16"/>
          <w:szCs w:val="16"/>
        </w:rPr>
      </w:pPr>
      <w:r w:rsidRPr="006E45BA">
        <w:rPr>
          <w:rStyle w:val="Refdenotaalpie"/>
          <w:rFonts w:ascii="Verdana" w:hAnsi="Verdana"/>
          <w:sz w:val="16"/>
          <w:szCs w:val="16"/>
        </w:rPr>
        <w:footnoteRef/>
      </w:r>
      <w:r w:rsidRPr="006E45BA">
        <w:rPr>
          <w:rFonts w:ascii="Verdana" w:hAnsi="Verdana"/>
          <w:sz w:val="16"/>
          <w:szCs w:val="16"/>
        </w:rPr>
        <w:t xml:space="preserve"> HINESTROSA, Fernando. Tratado de las obligaciones II. De las fuentes de las obligaciones: el negocio jurídico. Volumen II. Bogotá: Universidad externando de Colombia, 2015. Libro en formato EPUB. </w:t>
      </w:r>
    </w:p>
  </w:footnote>
  <w:footnote w:id="6">
    <w:p w14:paraId="1CFD1B2E" w14:textId="77777777" w:rsidR="00E50254" w:rsidRPr="006E45BA" w:rsidRDefault="00E50254" w:rsidP="00E50254">
      <w:pPr>
        <w:pStyle w:val="Textonotapie"/>
        <w:ind w:firstLine="708"/>
        <w:jc w:val="both"/>
        <w:rPr>
          <w:rFonts w:ascii="Verdana" w:hAnsi="Verdana"/>
          <w:sz w:val="16"/>
          <w:szCs w:val="16"/>
        </w:rPr>
      </w:pPr>
      <w:r w:rsidRPr="006E45BA">
        <w:rPr>
          <w:rStyle w:val="Refdenotaalpie"/>
          <w:rFonts w:ascii="Verdana" w:hAnsi="Verdana"/>
          <w:sz w:val="16"/>
          <w:szCs w:val="16"/>
        </w:rPr>
        <w:footnoteRef/>
      </w:r>
      <w:r w:rsidRPr="006E45BA">
        <w:rPr>
          <w:rFonts w:ascii="Verdana" w:hAnsi="Verdana"/>
          <w:sz w:val="16"/>
          <w:szCs w:val="16"/>
        </w:rPr>
        <w:t xml:space="preserve"> ALESSANDRI BESA, Arturo. La nulidad y la recisión en el derecho civil chileno. Santiago de Chile: </w:t>
      </w:r>
      <w:r w:rsidRPr="006E45BA">
        <w:rPr>
          <w:rFonts w:ascii="Verdana" w:hAnsi="Verdana"/>
          <w:sz w:val="16"/>
          <w:szCs w:val="16"/>
        </w:rPr>
        <w:t>Ediar Editores LTDA, s/a. p. 689. Para el autor, “Aun cuando la nulidad relativa sea la regla general en materia de nulidades, esto no significa, que la nulidad en sí misma, por ser una sanción, no constituya una excepción […]” (</w:t>
      </w:r>
      <w:r w:rsidRPr="006E45BA">
        <w:rPr>
          <w:rFonts w:ascii="Verdana" w:hAnsi="Verdana"/>
          <w:i/>
          <w:iCs/>
          <w:sz w:val="16"/>
          <w:szCs w:val="16"/>
        </w:rPr>
        <w:t>Ibidem</w:t>
      </w:r>
      <w:r w:rsidRPr="006E45BA">
        <w:rPr>
          <w:rFonts w:ascii="Verdana" w:hAnsi="Verdana"/>
          <w:sz w:val="16"/>
          <w:szCs w:val="16"/>
        </w:rPr>
        <w:t xml:space="preserve">. p. 685). Por ello, a pesar de la formulación general del último aparte del artículo 1741 del Código Civil, la nulidad relativa se reduce a circunstancias específicas.   </w:t>
      </w:r>
    </w:p>
  </w:footnote>
  <w:footnote w:id="7">
    <w:p w14:paraId="350883E3" w14:textId="77777777" w:rsidR="00E50254" w:rsidRPr="006E45BA" w:rsidRDefault="00E50254" w:rsidP="00E50254">
      <w:pPr>
        <w:pStyle w:val="Textonotapie"/>
        <w:ind w:firstLine="708"/>
        <w:jc w:val="both"/>
        <w:rPr>
          <w:rFonts w:ascii="Verdana" w:hAnsi="Verdana"/>
          <w:sz w:val="16"/>
          <w:szCs w:val="16"/>
        </w:rPr>
      </w:pPr>
      <w:r w:rsidRPr="006E45BA">
        <w:rPr>
          <w:rStyle w:val="Refdenotaalpie"/>
          <w:rFonts w:ascii="Verdana" w:hAnsi="Verdana"/>
          <w:sz w:val="16"/>
          <w:szCs w:val="16"/>
        </w:rPr>
        <w:footnoteRef/>
      </w:r>
      <w:r w:rsidRPr="006E45BA">
        <w:rPr>
          <w:rFonts w:ascii="Verdana" w:hAnsi="Verdana"/>
          <w:sz w:val="16"/>
          <w:szCs w:val="16"/>
        </w:rPr>
        <w:t xml:space="preserve"> De acuerdo con la doctrina, “El legislador mercantil introduce una importante variación al establecer la nulidad absoluta corno la regla general en las sanciones. Cuando se contraria una norma imperativa en el ejercicio de la autonomía de la voluntad, si no hay una sanción específica, tendremos como resultado que habrá nulidad absoluta. En el campo civil, la sanción general no es la nulidad absoluta sino la nulidad relativa, pues el articulo 1741 luego de señalar las causales de nulidad absoluta, concluye: </w:t>
      </w:r>
      <w:r w:rsidRPr="006E45BA">
        <w:rPr>
          <w:rFonts w:ascii="Verdana" w:hAnsi="Verdana"/>
          <w:i/>
          <w:iCs/>
          <w:sz w:val="16"/>
          <w:szCs w:val="16"/>
        </w:rPr>
        <w:t>Cualquier otra especie de vicio produce nulidad relativa</w:t>
      </w:r>
      <w:r w:rsidRPr="006E45BA">
        <w:rPr>
          <w:rFonts w:ascii="Verdana" w:hAnsi="Verdana"/>
          <w:sz w:val="16"/>
          <w:szCs w:val="16"/>
        </w:rPr>
        <w:t>. Es una marcada diferencia en el tratamiento de las nulidades de las dos codificaciones” (ARRUBLA PAUCAR, Jaime Alberto. Contratos mercantiles: teoría general del negocio mercantil. Decimocuarta edición. Bogotá: Legis, 2021. p. 282. Énfasis dentro del texto).</w:t>
      </w:r>
    </w:p>
  </w:footnote>
  <w:footnote w:id="8">
    <w:p w14:paraId="22B85C94" w14:textId="77777777" w:rsidR="00E50254" w:rsidRPr="006E45BA" w:rsidRDefault="00E50254" w:rsidP="00E50254">
      <w:pPr>
        <w:spacing w:after="0"/>
        <w:ind w:firstLine="707"/>
        <w:jc w:val="both"/>
        <w:rPr>
          <w:rFonts w:ascii="Verdana" w:hAnsi="Verdana" w:cs="Arial"/>
          <w:sz w:val="16"/>
          <w:szCs w:val="16"/>
        </w:rPr>
      </w:pPr>
      <w:r w:rsidRPr="006E45BA">
        <w:rPr>
          <w:rStyle w:val="Refdenotaalpie"/>
          <w:rFonts w:ascii="Verdana" w:hAnsi="Verdana" w:cs="Arial"/>
          <w:sz w:val="16"/>
          <w:szCs w:val="16"/>
        </w:rPr>
        <w:footnoteRef/>
      </w:r>
      <w:r w:rsidRPr="006E45BA">
        <w:rPr>
          <w:rFonts w:ascii="Verdana" w:hAnsi="Verdana" w:cs="Arial"/>
          <w:sz w:val="16"/>
          <w:szCs w:val="16"/>
        </w:rPr>
        <w:t xml:space="preserve"> </w:t>
      </w:r>
      <w:r>
        <w:rPr>
          <w:rFonts w:ascii="Verdana" w:hAnsi="Verdana" w:cs="Arial"/>
          <w:sz w:val="16"/>
          <w:szCs w:val="16"/>
        </w:rPr>
        <w:t>“</w:t>
      </w:r>
      <w:r w:rsidRPr="006E45BA">
        <w:rPr>
          <w:rFonts w:ascii="Verdana" w:hAnsi="Verdana" w:cs="Arial"/>
          <w:sz w:val="16"/>
          <w:szCs w:val="16"/>
        </w:rPr>
        <w:t>Artículo 44. Los contratos del Estado son absolutamente nulos en los casos previstos en el derecho común y además cuando:</w:t>
      </w:r>
    </w:p>
    <w:p w14:paraId="15C46DB0" w14:textId="77777777" w:rsidR="00E50254" w:rsidRPr="006E45BA" w:rsidRDefault="00E50254" w:rsidP="00E50254">
      <w:pPr>
        <w:spacing w:after="0"/>
        <w:ind w:firstLine="708"/>
        <w:jc w:val="both"/>
        <w:rPr>
          <w:rFonts w:ascii="Verdana" w:hAnsi="Verdana" w:cs="Arial"/>
          <w:sz w:val="16"/>
          <w:szCs w:val="16"/>
        </w:rPr>
      </w:pPr>
      <w:r w:rsidRPr="006E45BA">
        <w:rPr>
          <w:rFonts w:ascii="Verdana" w:hAnsi="Verdana" w:cs="Arial"/>
          <w:sz w:val="16"/>
          <w:szCs w:val="16"/>
        </w:rPr>
        <w:t>1o. Se celebren con personas incursas en causales de inhabilidad o incompatibilidad previstas en la Constitución y la ley;</w:t>
      </w:r>
    </w:p>
    <w:p w14:paraId="2BB0BD33" w14:textId="77777777" w:rsidR="00E50254" w:rsidRPr="006E45BA" w:rsidRDefault="00E50254" w:rsidP="00E50254">
      <w:pPr>
        <w:spacing w:after="0"/>
        <w:ind w:firstLine="708"/>
        <w:jc w:val="both"/>
        <w:rPr>
          <w:rFonts w:ascii="Verdana" w:hAnsi="Verdana" w:cs="Arial"/>
          <w:sz w:val="16"/>
          <w:szCs w:val="16"/>
        </w:rPr>
      </w:pPr>
      <w:r w:rsidRPr="006E45BA">
        <w:rPr>
          <w:rFonts w:ascii="Verdana" w:hAnsi="Verdana" w:cs="Arial"/>
          <w:sz w:val="16"/>
          <w:szCs w:val="16"/>
        </w:rPr>
        <w:t xml:space="preserve">2o. Se celebren contra expresa prohibición constitucional o legal; </w:t>
      </w:r>
    </w:p>
    <w:p w14:paraId="36571336" w14:textId="77777777" w:rsidR="00E50254" w:rsidRPr="006E45BA" w:rsidRDefault="00E50254" w:rsidP="00E50254">
      <w:pPr>
        <w:spacing w:after="0"/>
        <w:ind w:firstLine="708"/>
        <w:jc w:val="both"/>
        <w:rPr>
          <w:rFonts w:ascii="Verdana" w:hAnsi="Verdana" w:cs="Arial"/>
          <w:sz w:val="16"/>
          <w:szCs w:val="16"/>
        </w:rPr>
      </w:pPr>
      <w:r w:rsidRPr="006E45BA">
        <w:rPr>
          <w:rFonts w:ascii="Verdana" w:hAnsi="Verdana" w:cs="Arial"/>
          <w:sz w:val="16"/>
          <w:szCs w:val="16"/>
        </w:rPr>
        <w:t>3o. Se celebren con abuso o desviación de poder;</w:t>
      </w:r>
    </w:p>
    <w:p w14:paraId="4588D59C" w14:textId="77777777" w:rsidR="00E50254" w:rsidRPr="006E45BA" w:rsidRDefault="00E50254" w:rsidP="00E50254">
      <w:pPr>
        <w:spacing w:after="0"/>
        <w:ind w:firstLine="708"/>
        <w:jc w:val="both"/>
        <w:rPr>
          <w:rFonts w:ascii="Verdana" w:hAnsi="Verdana" w:cs="Arial"/>
          <w:sz w:val="16"/>
          <w:szCs w:val="16"/>
        </w:rPr>
      </w:pPr>
      <w:r w:rsidRPr="006E45BA">
        <w:rPr>
          <w:rFonts w:ascii="Verdana" w:hAnsi="Verdana" w:cs="Arial"/>
          <w:sz w:val="16"/>
          <w:szCs w:val="16"/>
        </w:rPr>
        <w:t>4o. Se declaren nulos los actos administrativos en que se fundamenten; y</w:t>
      </w:r>
    </w:p>
    <w:p w14:paraId="2D779717" w14:textId="77777777" w:rsidR="00E50254" w:rsidRPr="006E45BA" w:rsidRDefault="00E50254" w:rsidP="00E50254">
      <w:pPr>
        <w:spacing w:after="0"/>
        <w:ind w:firstLine="708"/>
        <w:jc w:val="both"/>
        <w:rPr>
          <w:rFonts w:ascii="Verdana" w:hAnsi="Verdana" w:cs="Arial"/>
          <w:sz w:val="16"/>
          <w:szCs w:val="16"/>
        </w:rPr>
      </w:pPr>
      <w:r w:rsidRPr="006E45BA">
        <w:rPr>
          <w:rFonts w:ascii="Verdana" w:hAnsi="Verdana" w:cs="Arial"/>
          <w:sz w:val="16"/>
          <w:szCs w:val="16"/>
        </w:rPr>
        <w:t>5o. Se hubieren celebrado con desconocimiento de los criterios previstos en el artículo 21 sobre tratamiento de ofertas nacionales y extranjeras o con violación de la reciprocidad de que trata esta ley</w:t>
      </w:r>
      <w:r>
        <w:rPr>
          <w:rFonts w:ascii="Verdana" w:hAnsi="Verdana" w:cs="Arial"/>
          <w:sz w:val="16"/>
          <w:szCs w:val="16"/>
        </w:rPr>
        <w:t>”</w:t>
      </w:r>
      <w:r w:rsidRPr="006E45BA">
        <w:rPr>
          <w:rFonts w:ascii="Verdana" w:hAnsi="Verdana" w:cs="Arial"/>
          <w:sz w:val="16"/>
          <w:szCs w:val="16"/>
        </w:rPr>
        <w:t>.</w:t>
      </w:r>
    </w:p>
  </w:footnote>
  <w:footnote w:id="9">
    <w:p w14:paraId="5FEC29E4" w14:textId="77777777" w:rsidR="00E50254" w:rsidRPr="001A0C7A" w:rsidRDefault="00E50254" w:rsidP="00E50254">
      <w:pPr>
        <w:spacing w:after="0"/>
        <w:ind w:firstLine="708"/>
        <w:jc w:val="both"/>
        <w:rPr>
          <w:rFonts w:ascii="Verdana" w:hAnsi="Verdana" w:cs="Arial"/>
          <w:sz w:val="16"/>
          <w:szCs w:val="16"/>
        </w:rPr>
      </w:pPr>
      <w:r w:rsidRPr="006E45BA">
        <w:rPr>
          <w:rStyle w:val="Refdenotaalpie"/>
          <w:rFonts w:ascii="Verdana" w:hAnsi="Verdana" w:cs="Arial"/>
          <w:sz w:val="16"/>
          <w:szCs w:val="16"/>
        </w:rPr>
        <w:footnoteRef/>
      </w:r>
      <w:r w:rsidRPr="006E45BA">
        <w:rPr>
          <w:rFonts w:ascii="Verdana" w:hAnsi="Verdana" w:cs="Arial"/>
          <w:sz w:val="16"/>
          <w:szCs w:val="16"/>
        </w:rPr>
        <w:t xml:space="preserve"> </w:t>
      </w:r>
      <w:r>
        <w:rPr>
          <w:rFonts w:ascii="Verdana" w:hAnsi="Verdana" w:cs="Arial"/>
          <w:sz w:val="16"/>
          <w:szCs w:val="16"/>
        </w:rPr>
        <w:t>“</w:t>
      </w:r>
      <w:r w:rsidRPr="006E45BA">
        <w:rPr>
          <w:rFonts w:ascii="Verdana" w:hAnsi="Verdana" w:cs="Arial"/>
          <w:sz w:val="16"/>
          <w:szCs w:val="16"/>
        </w:rPr>
        <w:t>Artículo 46. de la nulidad relativa. Los demás vicios que se presenten en los contratos y que conforme al derecho común constituyen causales de nulidad relativa, pueden sanearse por ratificación expresa de los interesados o por el transcurso de dos (2) años contados a partir de la ocurrencia del hecho generador del vicio</w:t>
      </w:r>
      <w:r>
        <w:rPr>
          <w:rFonts w:ascii="Verdana" w:hAnsi="Verdana" w:cs="Arial"/>
          <w:sz w:val="16"/>
          <w:szCs w:val="16"/>
        </w:rPr>
        <w:t>”</w:t>
      </w:r>
      <w:r w:rsidRPr="006E45BA">
        <w:rPr>
          <w:rFonts w:ascii="Verdana" w:hAnsi="Verdana" w:cs="Arial"/>
          <w:sz w:val="16"/>
          <w:szCs w:val="16"/>
        </w:rPr>
        <w:t>.</w:t>
      </w:r>
    </w:p>
  </w:footnote>
  <w:footnote w:id="10">
    <w:p w14:paraId="020FF62F" w14:textId="77777777" w:rsidR="00E50254" w:rsidRPr="006E45BA" w:rsidRDefault="00E50254" w:rsidP="00E50254">
      <w:pPr>
        <w:pStyle w:val="Textonotapie"/>
        <w:ind w:firstLine="708"/>
        <w:jc w:val="both"/>
        <w:rPr>
          <w:rFonts w:ascii="Verdana" w:hAnsi="Verdana" w:cs="Arial"/>
          <w:sz w:val="16"/>
          <w:szCs w:val="16"/>
          <w:lang w:val="es-CO"/>
        </w:rPr>
      </w:pPr>
      <w:r w:rsidRPr="006E45BA">
        <w:rPr>
          <w:rStyle w:val="Refdenotaalpie"/>
          <w:rFonts w:ascii="Verdana" w:hAnsi="Verdana" w:cs="Arial"/>
          <w:sz w:val="16"/>
          <w:szCs w:val="16"/>
        </w:rPr>
        <w:footnoteRef/>
      </w:r>
      <w:r w:rsidRPr="006E45BA">
        <w:rPr>
          <w:rFonts w:ascii="Verdana" w:hAnsi="Verdana" w:cs="Arial"/>
          <w:sz w:val="16"/>
          <w:szCs w:val="16"/>
        </w:rPr>
        <w:t xml:space="preserve"> </w:t>
      </w:r>
      <w:r w:rsidRPr="006E45BA">
        <w:rPr>
          <w:rStyle w:val="nfasis"/>
          <w:rFonts w:ascii="Verdana" w:hAnsi="Verdana" w:cs="Arial"/>
          <w:color w:val="000000"/>
          <w:sz w:val="16"/>
          <w:szCs w:val="16"/>
          <w:shd w:val="clear" w:color="auto" w:fill="FFFFFF"/>
        </w:rPr>
        <w:t>Consejo de Estado. Sección Tercera. Subsección C. Sentencia del 12 de agosto de 2014.  Radicación: 05001-23-31-000-1998-01350-01(28565). C.P. Enrique Gil Botero.</w:t>
      </w:r>
    </w:p>
  </w:footnote>
  <w:footnote w:id="11">
    <w:p w14:paraId="39642132" w14:textId="77777777" w:rsidR="00E50254" w:rsidRPr="006E45BA" w:rsidRDefault="00E50254" w:rsidP="00E50254">
      <w:pPr>
        <w:pStyle w:val="Textonotapie"/>
        <w:ind w:firstLine="708"/>
        <w:jc w:val="both"/>
        <w:rPr>
          <w:rFonts w:ascii="Verdana" w:hAnsi="Verdana" w:cs="Arial"/>
          <w:sz w:val="16"/>
          <w:szCs w:val="16"/>
        </w:rPr>
      </w:pPr>
      <w:r w:rsidRPr="006E45BA">
        <w:rPr>
          <w:rStyle w:val="Refdenotaalpie"/>
          <w:rFonts w:ascii="Verdana" w:hAnsi="Verdana" w:cs="Arial"/>
          <w:sz w:val="16"/>
          <w:szCs w:val="16"/>
        </w:rPr>
        <w:footnoteRef/>
      </w:r>
      <w:r w:rsidRPr="006E45BA">
        <w:rPr>
          <w:rFonts w:ascii="Verdana" w:hAnsi="Verdana" w:cs="Arial"/>
          <w:sz w:val="16"/>
          <w:szCs w:val="16"/>
        </w:rPr>
        <w:t xml:space="preserve"> Lo anterior, sin perjuicio de la posibilidad que establece el artículo 41 del CPACA frente a la posibilidad de corregir irregularidades en la actuación administrativa, previo a la expedición del acto administrativo respectivo. Dicho artículo prescribe: </w:t>
      </w:r>
      <w:r>
        <w:rPr>
          <w:rFonts w:ascii="Verdana" w:hAnsi="Verdana" w:cs="Arial"/>
          <w:sz w:val="16"/>
          <w:szCs w:val="16"/>
        </w:rPr>
        <w:t>“</w:t>
      </w:r>
      <w:r w:rsidRPr="006E45BA">
        <w:rPr>
          <w:rFonts w:ascii="Verdana" w:hAnsi="Verdana" w:cs="Arial"/>
          <w:sz w:val="16"/>
          <w:szCs w:val="16"/>
        </w:rPr>
        <w:t>Artículo 41. corrección de irregularidades en la actuación administrativa. La autoridad, en cualquier momento anterior a la expedición del acto, de oficio o a petición de parte, corregirá las irregularidades que se hayan presentado en la actuación administrativa para ajustarla a derecho, y adoptará las medidas necesarias para concluirla</w:t>
      </w:r>
      <w:r>
        <w:rPr>
          <w:rFonts w:ascii="Verdana" w:hAnsi="Verdana" w:cs="Arial"/>
          <w:sz w:val="16"/>
          <w:szCs w:val="16"/>
        </w:rPr>
        <w:t>”</w:t>
      </w:r>
      <w:r w:rsidRPr="006E45BA">
        <w:rPr>
          <w:rFonts w:ascii="Verdana" w:hAnsi="Verdana" w:cs="Arial"/>
          <w:sz w:val="16"/>
          <w:szCs w:val="16"/>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625905060" o:spid="_x0000_i1026" type="#_x0000_t75" style="width:11.25pt;height:11.25pt;visibility:visible;mso-wrap-style:square" o:bullet="t">
        <v:imagedata r:id="rId1" o:title=""/>
      </v:shape>
    </w:pic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1330140246">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3EA9"/>
    <w:rsid w:val="00016F78"/>
    <w:rsid w:val="00036967"/>
    <w:rsid w:val="00046945"/>
    <w:rsid w:val="00051607"/>
    <w:rsid w:val="0005650A"/>
    <w:rsid w:val="00061B2A"/>
    <w:rsid w:val="00082362"/>
    <w:rsid w:val="000A683E"/>
    <w:rsid w:val="000B19B9"/>
    <w:rsid w:val="000D0334"/>
    <w:rsid w:val="000E3728"/>
    <w:rsid w:val="000F3902"/>
    <w:rsid w:val="000F6486"/>
    <w:rsid w:val="00117573"/>
    <w:rsid w:val="00125105"/>
    <w:rsid w:val="00127233"/>
    <w:rsid w:val="001511A0"/>
    <w:rsid w:val="00154942"/>
    <w:rsid w:val="00182921"/>
    <w:rsid w:val="001E4177"/>
    <w:rsid w:val="001F7DC6"/>
    <w:rsid w:val="00212CA0"/>
    <w:rsid w:val="002305C7"/>
    <w:rsid w:val="002421BB"/>
    <w:rsid w:val="00243A5B"/>
    <w:rsid w:val="0025113F"/>
    <w:rsid w:val="002528D2"/>
    <w:rsid w:val="0025796E"/>
    <w:rsid w:val="002707A2"/>
    <w:rsid w:val="002711B6"/>
    <w:rsid w:val="00283EEA"/>
    <w:rsid w:val="002951A0"/>
    <w:rsid w:val="002962BC"/>
    <w:rsid w:val="002A093D"/>
    <w:rsid w:val="002A0DD0"/>
    <w:rsid w:val="002A49AC"/>
    <w:rsid w:val="002A64FD"/>
    <w:rsid w:val="002A7630"/>
    <w:rsid w:val="002B39EF"/>
    <w:rsid w:val="002C27BF"/>
    <w:rsid w:val="002C4CFA"/>
    <w:rsid w:val="002C7A84"/>
    <w:rsid w:val="002E4FD9"/>
    <w:rsid w:val="00317CB7"/>
    <w:rsid w:val="00322A85"/>
    <w:rsid w:val="00324168"/>
    <w:rsid w:val="0032746E"/>
    <w:rsid w:val="003448F4"/>
    <w:rsid w:val="00353CA7"/>
    <w:rsid w:val="00374F5E"/>
    <w:rsid w:val="00377E3E"/>
    <w:rsid w:val="00385FC5"/>
    <w:rsid w:val="003A779E"/>
    <w:rsid w:val="003B32E1"/>
    <w:rsid w:val="003B3E9C"/>
    <w:rsid w:val="003C136F"/>
    <w:rsid w:val="003C4674"/>
    <w:rsid w:val="003C4888"/>
    <w:rsid w:val="003D0F4D"/>
    <w:rsid w:val="003D5B0D"/>
    <w:rsid w:val="003E0499"/>
    <w:rsid w:val="003F3941"/>
    <w:rsid w:val="003F5DA7"/>
    <w:rsid w:val="00406575"/>
    <w:rsid w:val="00414C74"/>
    <w:rsid w:val="00423678"/>
    <w:rsid w:val="0042722E"/>
    <w:rsid w:val="0044528D"/>
    <w:rsid w:val="0047524C"/>
    <w:rsid w:val="004864EA"/>
    <w:rsid w:val="004A1847"/>
    <w:rsid w:val="004A305D"/>
    <w:rsid w:val="004B1979"/>
    <w:rsid w:val="004C21D8"/>
    <w:rsid w:val="004C46EC"/>
    <w:rsid w:val="004D3279"/>
    <w:rsid w:val="004D4720"/>
    <w:rsid w:val="004F21C4"/>
    <w:rsid w:val="004F685F"/>
    <w:rsid w:val="005008F8"/>
    <w:rsid w:val="00551609"/>
    <w:rsid w:val="005566E8"/>
    <w:rsid w:val="005614BD"/>
    <w:rsid w:val="00574867"/>
    <w:rsid w:val="00591460"/>
    <w:rsid w:val="005B3816"/>
    <w:rsid w:val="005C3777"/>
    <w:rsid w:val="005C5CDC"/>
    <w:rsid w:val="005D476C"/>
    <w:rsid w:val="005F222D"/>
    <w:rsid w:val="006219F8"/>
    <w:rsid w:val="006322DC"/>
    <w:rsid w:val="0065462A"/>
    <w:rsid w:val="00665D70"/>
    <w:rsid w:val="0067110E"/>
    <w:rsid w:val="006900D9"/>
    <w:rsid w:val="006C0637"/>
    <w:rsid w:val="00706C16"/>
    <w:rsid w:val="00716C7B"/>
    <w:rsid w:val="007333DC"/>
    <w:rsid w:val="0074235A"/>
    <w:rsid w:val="007456EE"/>
    <w:rsid w:val="007550DE"/>
    <w:rsid w:val="00756841"/>
    <w:rsid w:val="007649AB"/>
    <w:rsid w:val="00771D0C"/>
    <w:rsid w:val="007833AC"/>
    <w:rsid w:val="0078369B"/>
    <w:rsid w:val="007B268C"/>
    <w:rsid w:val="007B7171"/>
    <w:rsid w:val="007C0C0F"/>
    <w:rsid w:val="007C3DC2"/>
    <w:rsid w:val="007D7013"/>
    <w:rsid w:val="007E5497"/>
    <w:rsid w:val="00803539"/>
    <w:rsid w:val="00806F5F"/>
    <w:rsid w:val="008116F0"/>
    <w:rsid w:val="00820278"/>
    <w:rsid w:val="00853DDB"/>
    <w:rsid w:val="00867F95"/>
    <w:rsid w:val="008843B6"/>
    <w:rsid w:val="00891928"/>
    <w:rsid w:val="008A2923"/>
    <w:rsid w:val="008A446D"/>
    <w:rsid w:val="008B0AC8"/>
    <w:rsid w:val="008D180B"/>
    <w:rsid w:val="008E5B1D"/>
    <w:rsid w:val="008F0EA7"/>
    <w:rsid w:val="008F7DEB"/>
    <w:rsid w:val="00903D09"/>
    <w:rsid w:val="00904293"/>
    <w:rsid w:val="00923EEF"/>
    <w:rsid w:val="0093207C"/>
    <w:rsid w:val="00933F35"/>
    <w:rsid w:val="009419F9"/>
    <w:rsid w:val="0095685E"/>
    <w:rsid w:val="00957BCF"/>
    <w:rsid w:val="00961B09"/>
    <w:rsid w:val="00965334"/>
    <w:rsid w:val="0097093E"/>
    <w:rsid w:val="00986AC5"/>
    <w:rsid w:val="00994374"/>
    <w:rsid w:val="009A0DFA"/>
    <w:rsid w:val="009A17AC"/>
    <w:rsid w:val="009A437C"/>
    <w:rsid w:val="009B101F"/>
    <w:rsid w:val="009B2D26"/>
    <w:rsid w:val="009C71FA"/>
    <w:rsid w:val="009C72E7"/>
    <w:rsid w:val="009D031D"/>
    <w:rsid w:val="009D0D51"/>
    <w:rsid w:val="009D3058"/>
    <w:rsid w:val="009D4401"/>
    <w:rsid w:val="009F3A13"/>
    <w:rsid w:val="00A122D3"/>
    <w:rsid w:val="00A17F13"/>
    <w:rsid w:val="00A20739"/>
    <w:rsid w:val="00A3356E"/>
    <w:rsid w:val="00A33C78"/>
    <w:rsid w:val="00A44F81"/>
    <w:rsid w:val="00A5383B"/>
    <w:rsid w:val="00A61EA9"/>
    <w:rsid w:val="00AB0ADB"/>
    <w:rsid w:val="00AC6E4B"/>
    <w:rsid w:val="00AC7AFE"/>
    <w:rsid w:val="00AE779E"/>
    <w:rsid w:val="00B01B1A"/>
    <w:rsid w:val="00B04D5E"/>
    <w:rsid w:val="00B20F4C"/>
    <w:rsid w:val="00B3431D"/>
    <w:rsid w:val="00B55A02"/>
    <w:rsid w:val="00B66319"/>
    <w:rsid w:val="00B72CD3"/>
    <w:rsid w:val="00B72FFF"/>
    <w:rsid w:val="00B76C6B"/>
    <w:rsid w:val="00BA43C5"/>
    <w:rsid w:val="00BB23F3"/>
    <w:rsid w:val="00BB4602"/>
    <w:rsid w:val="00BB4B09"/>
    <w:rsid w:val="00BC0956"/>
    <w:rsid w:val="00BC3D36"/>
    <w:rsid w:val="00BD7F72"/>
    <w:rsid w:val="00BE1957"/>
    <w:rsid w:val="00C013C1"/>
    <w:rsid w:val="00C04FB3"/>
    <w:rsid w:val="00C327C8"/>
    <w:rsid w:val="00C330EB"/>
    <w:rsid w:val="00C40335"/>
    <w:rsid w:val="00C41061"/>
    <w:rsid w:val="00C754BE"/>
    <w:rsid w:val="00C76B1C"/>
    <w:rsid w:val="00C84809"/>
    <w:rsid w:val="00C90B70"/>
    <w:rsid w:val="00C9172B"/>
    <w:rsid w:val="00C91F9D"/>
    <w:rsid w:val="00CB59B9"/>
    <w:rsid w:val="00CB610B"/>
    <w:rsid w:val="00CB6357"/>
    <w:rsid w:val="00CC1B26"/>
    <w:rsid w:val="00CC6367"/>
    <w:rsid w:val="00D01018"/>
    <w:rsid w:val="00D423A2"/>
    <w:rsid w:val="00D520D8"/>
    <w:rsid w:val="00D63AC2"/>
    <w:rsid w:val="00D7383B"/>
    <w:rsid w:val="00D94239"/>
    <w:rsid w:val="00DA231B"/>
    <w:rsid w:val="00DB2DAB"/>
    <w:rsid w:val="00DC39FC"/>
    <w:rsid w:val="00DD70F3"/>
    <w:rsid w:val="00DE1F35"/>
    <w:rsid w:val="00DE5469"/>
    <w:rsid w:val="00DE60C3"/>
    <w:rsid w:val="00DF5254"/>
    <w:rsid w:val="00E02C1F"/>
    <w:rsid w:val="00E16408"/>
    <w:rsid w:val="00E16488"/>
    <w:rsid w:val="00E20894"/>
    <w:rsid w:val="00E245AB"/>
    <w:rsid w:val="00E24F02"/>
    <w:rsid w:val="00E2764C"/>
    <w:rsid w:val="00E27F2E"/>
    <w:rsid w:val="00E50254"/>
    <w:rsid w:val="00E50AFE"/>
    <w:rsid w:val="00E64437"/>
    <w:rsid w:val="00E75C92"/>
    <w:rsid w:val="00E771DC"/>
    <w:rsid w:val="00E8772A"/>
    <w:rsid w:val="00E90F6B"/>
    <w:rsid w:val="00E92C27"/>
    <w:rsid w:val="00EA0E3D"/>
    <w:rsid w:val="00EA4EA2"/>
    <w:rsid w:val="00EA557A"/>
    <w:rsid w:val="00EB1533"/>
    <w:rsid w:val="00EB48E7"/>
    <w:rsid w:val="00EC1A59"/>
    <w:rsid w:val="00EC3825"/>
    <w:rsid w:val="00EC38A7"/>
    <w:rsid w:val="00EC6422"/>
    <w:rsid w:val="00ED305F"/>
    <w:rsid w:val="00ED7384"/>
    <w:rsid w:val="00EE1AA8"/>
    <w:rsid w:val="00EE67F2"/>
    <w:rsid w:val="00EF2C8C"/>
    <w:rsid w:val="00F046C3"/>
    <w:rsid w:val="00F050BD"/>
    <w:rsid w:val="00F0662B"/>
    <w:rsid w:val="00F31EDC"/>
    <w:rsid w:val="00F41C1D"/>
    <w:rsid w:val="00F462B3"/>
    <w:rsid w:val="00F559CA"/>
    <w:rsid w:val="00F5664F"/>
    <w:rsid w:val="00F666C4"/>
    <w:rsid w:val="00F76AFC"/>
    <w:rsid w:val="00F823E3"/>
    <w:rsid w:val="00FA47C0"/>
    <w:rsid w:val="00FB5DD1"/>
    <w:rsid w:val="00FC2B5D"/>
    <w:rsid w:val="00FF1449"/>
    <w:rsid w:val="00FF6A48"/>
    <w:rsid w:val="23CC4347"/>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93207C"/>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93207C"/>
    <w:rPr>
      <w:rFonts w:ascii="Geomanist Light" w:hAnsi="Geomanist Light"/>
      <w:lang w:val="es-ES"/>
    </w:rPr>
  </w:style>
  <w:style w:type="character" w:styleId="nfasis">
    <w:name w:val="Emphasis"/>
    <w:basedOn w:val="Fuentedeprrafopredeter"/>
    <w:uiPriority w:val="20"/>
    <w:qFormat/>
    <w:rsid w:val="0093207C"/>
    <w:rPr>
      <w:i/>
      <w:iCs/>
    </w:rPr>
  </w:style>
  <w:style w:type="paragraph" w:styleId="Textoindependiente">
    <w:name w:val="Body Text"/>
    <w:basedOn w:val="Normal"/>
    <w:link w:val="TextoindependienteCar"/>
    <w:uiPriority w:val="99"/>
    <w:unhideWhenUsed/>
    <w:rsid w:val="0093207C"/>
    <w:pPr>
      <w:spacing w:after="120" w:line="276" w:lineRule="auto"/>
    </w:pPr>
    <w:rPr>
      <w:rFonts w:eastAsiaTheme="minorEastAsia"/>
      <w:lang w:eastAsia="es-CO"/>
    </w:rPr>
  </w:style>
  <w:style w:type="character" w:customStyle="1" w:styleId="TextoindependienteCar">
    <w:name w:val="Texto independiente Car"/>
    <w:basedOn w:val="Fuentedeprrafopredeter"/>
    <w:link w:val="Textoindependiente"/>
    <w:uiPriority w:val="99"/>
    <w:rsid w:val="0093207C"/>
    <w:rPr>
      <w:rFonts w:eastAsiaTheme="minorEastAsia"/>
      <w:lang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yorviviana@gmail.com"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image" Target="media/image2.emf"/><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9CCCFB20-B10F-43E0-957F-9B0124ED52F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purl.org/dc/elements/1.1/"/>
    <ds:schemaRef ds:uri="http://schemas.microsoft.com/office/2006/metadata/properties"/>
    <ds:schemaRef ds:uri="http://purl.org/dc/terms/"/>
    <ds:schemaRef ds:uri="http://schemas.openxmlformats.org/package/2006/metadata/core-properties"/>
    <ds:schemaRef ds:uri="http://schemas.microsoft.com/office/infopath/2007/PartnerControls"/>
    <ds:schemaRef ds:uri="http://schemas.microsoft.com/office/2006/documentManagement/types"/>
    <ds:schemaRef ds:uri="a6cb9e4b-f1d1-4245-83ec-6cad768d538a"/>
    <ds:schemaRef ds:uri="9d85dbaf-23eb-4e57-a637-93dcacc8b1a1"/>
    <ds:schemaRef ds:uri="http://www.w3.org/XML/1998/namespace"/>
    <ds:schemaRef ds:uri="http://purl.org/dc/dcmitype/"/>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4</TotalTime>
  <Pages>14</Pages>
  <Words>4755</Words>
  <Characters>25254</Characters>
  <Application>Microsoft Office Word</Application>
  <DocSecurity>0</DocSecurity>
  <Lines>476</Lines>
  <Paragraphs>90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29919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2</cp:revision>
  <cp:lastPrinted>2023-01-10T21:18:00Z</cp:lastPrinted>
  <dcterms:created xsi:type="dcterms:W3CDTF">2025-10-02T13:56:00Z</dcterms:created>
  <dcterms:modified xsi:type="dcterms:W3CDTF">2025-10-02T13:56:00Z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