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A65B47" w14:textId="77777777" w:rsidR="002811B1" w:rsidRPr="00CA38F1" w:rsidRDefault="002811B1" w:rsidP="002811B1">
      <w:pPr>
        <w:spacing w:after="0" w:line="240" w:lineRule="auto"/>
        <w:jc w:val="both"/>
        <w:rPr>
          <w:rFonts w:ascii="Verdana" w:eastAsia="Calibri" w:hAnsi="Verdana" w:cs="Arial"/>
          <w:b/>
          <w:bCs/>
        </w:rPr>
      </w:pPr>
      <w:bookmarkStart w:id="0" w:name="_Hlk143780582"/>
      <w:r w:rsidRPr="00CA38F1">
        <w:rPr>
          <w:rFonts w:ascii="Verdana" w:eastAsia="Calibri" w:hAnsi="Verdana" w:cs="Arial"/>
          <w:b/>
          <w:bCs/>
        </w:rPr>
        <w:t>PROMOCIÓN AL DESARROLLO – Ley 2069 de 2020 – Artículo 34</w:t>
      </w:r>
    </w:p>
    <w:p w14:paraId="3F08769A" w14:textId="77777777" w:rsidR="002811B1" w:rsidRPr="00CA38F1" w:rsidRDefault="002811B1" w:rsidP="002811B1">
      <w:pPr>
        <w:spacing w:after="0" w:line="240" w:lineRule="auto"/>
        <w:jc w:val="both"/>
        <w:rPr>
          <w:rFonts w:ascii="Verdana" w:eastAsia="Calibri" w:hAnsi="Verdana" w:cs="Arial"/>
          <w:b/>
          <w:bCs/>
          <w:sz w:val="20"/>
          <w:szCs w:val="20"/>
        </w:rPr>
      </w:pPr>
    </w:p>
    <w:p w14:paraId="42BADA8C" w14:textId="3E4D5953" w:rsidR="002811B1" w:rsidRPr="00CA38F1" w:rsidRDefault="000C1DBC" w:rsidP="002811B1">
      <w:pPr>
        <w:spacing w:after="0" w:line="240" w:lineRule="auto"/>
        <w:jc w:val="both"/>
        <w:rPr>
          <w:rStyle w:val="normaltextrun"/>
          <w:rFonts w:ascii="Verdana" w:hAnsi="Verdana" w:cs="Arial"/>
          <w:color w:val="000000"/>
          <w:sz w:val="20"/>
          <w:szCs w:val="20"/>
          <w:shd w:val="clear" w:color="auto" w:fill="FFFFFF"/>
          <w:lang w:val="es-ES"/>
        </w:rPr>
      </w:pPr>
      <w:r w:rsidRPr="00CA38F1">
        <w:rPr>
          <w:rFonts w:ascii="Verdana" w:eastAsia="Calibri" w:hAnsi="Verdana" w:cs="Arial"/>
          <w:sz w:val="20"/>
          <w:szCs w:val="20"/>
          <w:lang w:val="es-ES_tradnl"/>
        </w:rPr>
        <w:t xml:space="preserve">“[…] </w:t>
      </w:r>
      <w:r w:rsidR="002811B1" w:rsidRPr="00CA38F1">
        <w:rPr>
          <w:rStyle w:val="normaltextrun"/>
          <w:rFonts w:ascii="Verdana" w:hAnsi="Verdana" w:cs="Arial"/>
          <w:color w:val="000000"/>
          <w:sz w:val="20"/>
          <w:szCs w:val="20"/>
          <w:shd w:val="clear" w:color="auto" w:fill="FFFFFF"/>
          <w:lang w:val="es-ES"/>
        </w:rPr>
        <w:t>Respecto a las convocatorias limitadas a MiPymes, debe señalarse que, el 31 de diciembre de 2020 se promulgó la Ley 2069, “Por medio de la cual se impulsa el emprendimiento en Colombia”. En cuanto a su contenido, como dispone el artículo 1, aquella “tiene por objeto establecer un marco regulatorio que propicie el emprendimiento y el crecimiento, consolidación y sostenibilidad de las empresas, con el fin de aumentar el bienestar social y generar equidad”. Lo anterior a partir de “[…] un enfoque regionalizado de acuerdo con las realidades socioeconómicas de cada región”.</w:t>
      </w:r>
    </w:p>
    <w:p w14:paraId="155EF638" w14:textId="77777777" w:rsidR="002811B1" w:rsidRPr="00CA38F1" w:rsidRDefault="002811B1" w:rsidP="002811B1">
      <w:pPr>
        <w:spacing w:after="0" w:line="240" w:lineRule="auto"/>
        <w:jc w:val="both"/>
        <w:rPr>
          <w:rStyle w:val="normaltextrun"/>
          <w:rFonts w:ascii="Verdana" w:hAnsi="Verdana" w:cs="Arial"/>
          <w:color w:val="000000"/>
          <w:sz w:val="20"/>
          <w:szCs w:val="20"/>
          <w:shd w:val="clear" w:color="auto" w:fill="FFFFFF"/>
          <w:lang w:val="es-ES"/>
        </w:rPr>
      </w:pPr>
    </w:p>
    <w:p w14:paraId="77186F26" w14:textId="77777777" w:rsidR="002811B1" w:rsidRPr="00CA38F1" w:rsidRDefault="002811B1" w:rsidP="002811B1">
      <w:pPr>
        <w:spacing w:after="0" w:line="240" w:lineRule="auto"/>
        <w:jc w:val="both"/>
        <w:rPr>
          <w:rStyle w:val="normaltextrun"/>
          <w:rFonts w:ascii="Verdana" w:hAnsi="Verdana" w:cs="Arial"/>
          <w:color w:val="000000"/>
          <w:sz w:val="20"/>
          <w:szCs w:val="20"/>
          <w:shd w:val="clear" w:color="auto" w:fill="FFFFFF"/>
          <w:lang w:val="es-ES"/>
        </w:rPr>
      </w:pPr>
      <w:r w:rsidRPr="00CA38F1">
        <w:rPr>
          <w:rStyle w:val="normaltextrun"/>
          <w:rFonts w:ascii="Verdana" w:hAnsi="Verdana" w:cs="Arial"/>
          <w:color w:val="000000"/>
          <w:sz w:val="20"/>
          <w:szCs w:val="20"/>
          <w:shd w:val="clear" w:color="auto" w:fill="FFFFFF"/>
          <w:lang w:val="es-ES"/>
        </w:rPr>
        <w:t>En desarrollo de esta finalidad, se establecen medidas de apoyo para las micro, pequeñas y medianas empresas –MiPymes–, mediante la racionalización y simplificación de los trámites y tarifas, así como incentivos a favor de aquellas dentro del sistema de compras y contratación pública. De igual forma, en la citada Ley se consagró mecanismos para fortalecer y promover los distintos sectores de la economía y se prevén para ello medidas de educación para el emprendimiento y la innovación.</w:t>
      </w:r>
    </w:p>
    <w:p w14:paraId="7F6CF678" w14:textId="77777777" w:rsidR="002811B1" w:rsidRPr="00CA38F1" w:rsidRDefault="002811B1" w:rsidP="002811B1">
      <w:pPr>
        <w:spacing w:after="0" w:line="240" w:lineRule="auto"/>
        <w:jc w:val="both"/>
        <w:rPr>
          <w:rStyle w:val="normaltextrun"/>
          <w:rFonts w:ascii="Verdana" w:hAnsi="Verdana" w:cs="Arial"/>
          <w:color w:val="000000"/>
          <w:sz w:val="20"/>
          <w:szCs w:val="20"/>
          <w:shd w:val="clear" w:color="auto" w:fill="FFFFFF"/>
          <w:lang w:val="es-ES"/>
        </w:rPr>
      </w:pPr>
    </w:p>
    <w:p w14:paraId="12384891" w14:textId="3352F86F" w:rsidR="002811B1" w:rsidRPr="00CA38F1" w:rsidRDefault="002811B1" w:rsidP="002811B1">
      <w:pPr>
        <w:spacing w:after="0" w:line="240" w:lineRule="auto"/>
        <w:jc w:val="both"/>
        <w:rPr>
          <w:rStyle w:val="eop"/>
          <w:rFonts w:ascii="Verdana" w:hAnsi="Verdana" w:cs="Arial"/>
          <w:color w:val="000000"/>
          <w:sz w:val="20"/>
          <w:szCs w:val="20"/>
          <w:shd w:val="clear" w:color="auto" w:fill="FFFFFF"/>
          <w:lang w:val="es-ES"/>
        </w:rPr>
      </w:pPr>
      <w:r w:rsidRPr="00CA38F1">
        <w:rPr>
          <w:rStyle w:val="normaltextrun"/>
          <w:rFonts w:ascii="Verdana" w:hAnsi="Verdana" w:cs="Arial"/>
          <w:color w:val="000000"/>
          <w:sz w:val="20"/>
          <w:szCs w:val="20"/>
          <w:shd w:val="clear" w:color="auto" w:fill="FFFFFF"/>
          <w:lang w:val="es-ES"/>
        </w:rPr>
        <w:t>Parte de la Ley 2069 de 2020 introduce normas que modifican algunos aspectos de la contratación estatal para promover el emprendimiento. Concretamente, aquellas se encuentran en el Capítulo III –artículos 30 al 36–. Teniendo en cuenta que la consulta está relacionada con las convocatorias limitadas a MiPymes, a continuación de se estudiará el contenido y alcance del artículo 34.</w:t>
      </w:r>
      <w:r w:rsidR="000C1DBC" w:rsidRPr="00CA38F1">
        <w:rPr>
          <w:rStyle w:val="normaltextrun"/>
          <w:rFonts w:ascii="Verdana" w:hAnsi="Verdana" w:cs="Arial"/>
          <w:color w:val="000000"/>
          <w:sz w:val="20"/>
          <w:szCs w:val="20"/>
          <w:shd w:val="clear" w:color="auto" w:fill="FFFFFF"/>
          <w:lang w:val="es-ES"/>
        </w:rPr>
        <w:t xml:space="preserve"> </w:t>
      </w:r>
      <w:r w:rsidR="000C1DBC" w:rsidRPr="00CA38F1">
        <w:rPr>
          <w:rFonts w:ascii="Verdana" w:eastAsia="Calibri" w:hAnsi="Verdana" w:cs="Arial"/>
          <w:sz w:val="20"/>
          <w:szCs w:val="20"/>
          <w:lang w:val="es-ES_tradnl"/>
        </w:rPr>
        <w:t>[…]”</w:t>
      </w:r>
    </w:p>
    <w:p w14:paraId="1444969B" w14:textId="77777777" w:rsidR="002811B1" w:rsidRPr="00CA38F1" w:rsidRDefault="002811B1" w:rsidP="002811B1">
      <w:pPr>
        <w:spacing w:after="0" w:line="240" w:lineRule="auto"/>
        <w:jc w:val="both"/>
        <w:rPr>
          <w:rFonts w:ascii="Verdana" w:hAnsi="Verdana"/>
          <w:sz w:val="20"/>
          <w:szCs w:val="20"/>
        </w:rPr>
      </w:pPr>
    </w:p>
    <w:p w14:paraId="26526711" w14:textId="77777777" w:rsidR="002811B1" w:rsidRPr="00CA38F1" w:rsidRDefault="002811B1" w:rsidP="002811B1">
      <w:pPr>
        <w:spacing w:after="0" w:line="240" w:lineRule="auto"/>
        <w:jc w:val="both"/>
        <w:rPr>
          <w:rFonts w:ascii="Verdana" w:eastAsia="Calibri" w:hAnsi="Verdana" w:cs="Arial"/>
          <w:b/>
          <w:lang w:eastAsia="es-ES"/>
        </w:rPr>
      </w:pPr>
      <w:r w:rsidRPr="00CA38F1">
        <w:rPr>
          <w:rFonts w:ascii="Verdana" w:eastAsia="Calibri" w:hAnsi="Verdana" w:cs="Arial"/>
          <w:b/>
          <w:lang w:eastAsia="es-ES"/>
        </w:rPr>
        <w:t>CONVOCATORIAS LIMITADAS A MIPYMES NACIONALES – Requisitos – Presupuestos mínimos</w:t>
      </w:r>
    </w:p>
    <w:p w14:paraId="4248B7D7" w14:textId="77777777" w:rsidR="002811B1" w:rsidRPr="00CA38F1" w:rsidRDefault="002811B1" w:rsidP="002811B1">
      <w:pPr>
        <w:spacing w:after="0" w:line="240" w:lineRule="auto"/>
        <w:jc w:val="both"/>
        <w:rPr>
          <w:rFonts w:ascii="Verdana" w:eastAsia="Calibri" w:hAnsi="Verdana" w:cs="Arial"/>
          <w:b/>
          <w:sz w:val="20"/>
          <w:szCs w:val="20"/>
          <w:lang w:eastAsia="es-ES"/>
        </w:rPr>
      </w:pPr>
    </w:p>
    <w:p w14:paraId="7AC18393" w14:textId="1E1B9263" w:rsidR="002811B1" w:rsidRPr="00CA38F1" w:rsidRDefault="000C1DBC" w:rsidP="002811B1">
      <w:pPr>
        <w:spacing w:after="0" w:line="240" w:lineRule="auto"/>
        <w:jc w:val="both"/>
        <w:rPr>
          <w:rFonts w:ascii="Verdana" w:eastAsia="Calibri" w:hAnsi="Verdana" w:cs="Arial"/>
          <w:b/>
          <w:bCs/>
          <w:sz w:val="20"/>
          <w:szCs w:val="20"/>
          <w:lang w:val="es-ES" w:eastAsia="es-ES"/>
        </w:rPr>
      </w:pPr>
      <w:r w:rsidRPr="00CA38F1">
        <w:rPr>
          <w:rFonts w:ascii="Verdana" w:eastAsia="Calibri" w:hAnsi="Verdana" w:cs="Arial"/>
          <w:sz w:val="20"/>
          <w:szCs w:val="20"/>
          <w:lang w:val="es-ES_tradnl"/>
        </w:rPr>
        <w:t xml:space="preserve">“[…] </w:t>
      </w:r>
      <w:r w:rsidR="002811B1" w:rsidRPr="00CA38F1">
        <w:rPr>
          <w:rFonts w:ascii="Verdana" w:hAnsi="Verdana"/>
          <w:sz w:val="20"/>
          <w:szCs w:val="20"/>
          <w:lang w:val="es-ES"/>
        </w:rPr>
        <w:t xml:space="preserve">El artículo 34 de la Ley 2069 de 2020, el cual modificó el artículo 12 de la Ley 1150 de 2007, regula la promoción del desarrollo en la contratación pública, cambiando los requisitos esenciales para que procedan las convocatorias limitadas a MiPymes, de la siguiente forma: i) estableció que estas deben desarrollarse independientemente del régimen de contratación de la Entidad Estatal –es decir, también deben efectuarlas las Entidades Estatales exceptuadas del EGCAP o que se rigen por derecho privado–; </w:t>
      </w:r>
      <w:proofErr w:type="spellStart"/>
      <w:r w:rsidR="002811B1" w:rsidRPr="00CA38F1">
        <w:rPr>
          <w:rFonts w:ascii="Verdana" w:hAnsi="Verdana"/>
          <w:sz w:val="20"/>
          <w:szCs w:val="20"/>
          <w:lang w:val="es-ES"/>
        </w:rPr>
        <w:t>ii</w:t>
      </w:r>
      <w:proofErr w:type="spellEnd"/>
      <w:r w:rsidR="002811B1" w:rsidRPr="00CA38F1">
        <w:rPr>
          <w:rFonts w:ascii="Verdana" w:hAnsi="Verdana"/>
          <w:sz w:val="20"/>
          <w:szCs w:val="20"/>
          <w:lang w:val="es-ES"/>
        </w:rPr>
        <w:t xml:space="preserve">) señaló que los patrimonios autónomos constituidos por Entidades Estatales y los particulares que ejecuten recursos públicos también son destinatarios de esta exigencia; y,  </w:t>
      </w:r>
      <w:proofErr w:type="spellStart"/>
      <w:r w:rsidR="002811B1" w:rsidRPr="00CA38F1">
        <w:rPr>
          <w:rFonts w:ascii="Verdana" w:hAnsi="Verdana"/>
          <w:sz w:val="20"/>
          <w:szCs w:val="20"/>
          <w:lang w:val="es-ES"/>
        </w:rPr>
        <w:t>iii</w:t>
      </w:r>
      <w:proofErr w:type="spellEnd"/>
      <w:r w:rsidR="002811B1" w:rsidRPr="00CA38F1">
        <w:rPr>
          <w:rFonts w:ascii="Verdana" w:hAnsi="Verdana"/>
          <w:sz w:val="20"/>
          <w:szCs w:val="20"/>
          <w:lang w:val="es-ES"/>
        </w:rPr>
        <w:t>) indicó que para que pueda haber convocatorias limitadas a MiPymes, dos (2) de ellas deben manifestar su interés.</w:t>
      </w:r>
    </w:p>
    <w:p w14:paraId="0ACF0497" w14:textId="77777777" w:rsidR="00BB6299" w:rsidRPr="00CA38F1" w:rsidRDefault="00BB6299" w:rsidP="002811B1">
      <w:pPr>
        <w:spacing w:after="0" w:line="240" w:lineRule="auto"/>
        <w:jc w:val="both"/>
        <w:rPr>
          <w:rFonts w:ascii="Verdana" w:eastAsia="Calibri" w:hAnsi="Verdana" w:cs="Arial"/>
          <w:sz w:val="20"/>
          <w:szCs w:val="20"/>
          <w:lang w:val="es-ES" w:eastAsia="es-ES"/>
        </w:rPr>
      </w:pPr>
    </w:p>
    <w:p w14:paraId="6CE1A1C0" w14:textId="4396C9F8" w:rsidR="002811B1" w:rsidRPr="00CA38F1" w:rsidRDefault="002811B1" w:rsidP="002811B1">
      <w:pPr>
        <w:spacing w:after="0" w:line="240" w:lineRule="auto"/>
        <w:jc w:val="both"/>
        <w:rPr>
          <w:rFonts w:ascii="Verdana" w:eastAsia="Calibri" w:hAnsi="Verdana" w:cs="Arial"/>
          <w:sz w:val="20"/>
          <w:szCs w:val="20"/>
          <w:lang w:val="es-ES" w:eastAsia="es-ES"/>
        </w:rPr>
      </w:pPr>
      <w:r w:rsidRPr="00CA38F1">
        <w:rPr>
          <w:rFonts w:ascii="Verdana" w:eastAsia="Calibri" w:hAnsi="Verdana" w:cs="Arial"/>
          <w:sz w:val="20"/>
          <w:szCs w:val="20"/>
          <w:lang w:val="es-ES" w:eastAsia="es-ES"/>
        </w:rPr>
        <w:t>[…]</w:t>
      </w:r>
    </w:p>
    <w:p w14:paraId="27072CA0" w14:textId="77777777" w:rsidR="002811B1" w:rsidRPr="00CA38F1" w:rsidRDefault="002811B1" w:rsidP="002811B1">
      <w:pPr>
        <w:spacing w:after="0" w:line="240" w:lineRule="auto"/>
        <w:jc w:val="both"/>
        <w:rPr>
          <w:rFonts w:ascii="Verdana" w:eastAsia="Calibri" w:hAnsi="Verdana" w:cs="Arial"/>
          <w:sz w:val="20"/>
          <w:szCs w:val="20"/>
          <w:lang w:val="es-ES" w:eastAsia="es-ES"/>
        </w:rPr>
      </w:pPr>
    </w:p>
    <w:p w14:paraId="5947C2ED" w14:textId="043C731B" w:rsidR="002811B1" w:rsidRPr="00CA38F1" w:rsidRDefault="002811B1" w:rsidP="002811B1">
      <w:pPr>
        <w:spacing w:after="0" w:line="240" w:lineRule="auto"/>
        <w:jc w:val="both"/>
        <w:rPr>
          <w:rFonts w:ascii="Verdana" w:hAnsi="Verdana"/>
          <w:sz w:val="20"/>
          <w:szCs w:val="20"/>
          <w:lang w:val="es-ES"/>
        </w:rPr>
      </w:pPr>
      <w:r w:rsidRPr="00CA38F1">
        <w:rPr>
          <w:rFonts w:ascii="Verdana" w:hAnsi="Verdana"/>
          <w:sz w:val="20"/>
          <w:szCs w:val="20"/>
          <w:lang w:val="es-ES"/>
        </w:rPr>
        <w:t xml:space="preserve">Según se evidencia, el numeral primero del </w:t>
      </w:r>
      <w:r w:rsidRPr="00CA38F1">
        <w:rPr>
          <w:rFonts w:ascii="Verdana" w:hAnsi="Verdana"/>
          <w:sz w:val="20"/>
          <w:szCs w:val="20"/>
          <w:lang w:val="es-ES_tradnl"/>
        </w:rPr>
        <w:t xml:space="preserve">artículo 2.2.1.2.4.2.2 del Decreto 1082 de 2015 </w:t>
      </w:r>
      <w:r w:rsidRPr="00CA38F1">
        <w:rPr>
          <w:rFonts w:ascii="Verdana" w:hAnsi="Verdana"/>
          <w:sz w:val="20"/>
          <w:szCs w:val="20"/>
          <w:lang w:val="es-ES"/>
        </w:rPr>
        <w:t xml:space="preserve">limita cuantitativamente los procesos contractuales para las convocatorias limitadas a MiPymes, puesto que el valor del proceso de contratación debe ser “menor a ciento veinticinco mil dólares de los Estados Unidos de América”. Esto de acuerdo con la tasa que determine cada dos (2) años el Ministerio de Comercio, Industria y Turismo. El numeral segundo establece, por un lado, que al menos dos (2) MiPymes colombianas presenten a la entidad la solicitud de limitar el proceso contractual y, por el otro, que hagan la solicitud por lo menos un día (1) hábil antes de la expedición del acto </w:t>
      </w:r>
      <w:r w:rsidRPr="00CA38F1">
        <w:rPr>
          <w:rFonts w:ascii="Verdana" w:hAnsi="Verdana"/>
          <w:sz w:val="20"/>
          <w:szCs w:val="20"/>
          <w:lang w:val="es-ES"/>
        </w:rPr>
        <w:lastRenderedPageBreak/>
        <w:t xml:space="preserve">administrativo de apertura o el que haga sus veces de acuerdo con la normativa aplicable a cada Proceso de Contratación. </w:t>
      </w:r>
      <w:r w:rsidR="000C1DBC" w:rsidRPr="00CA38F1">
        <w:rPr>
          <w:rFonts w:ascii="Verdana" w:eastAsia="Calibri" w:hAnsi="Verdana" w:cs="Arial"/>
          <w:sz w:val="20"/>
          <w:szCs w:val="20"/>
          <w:lang w:val="es-ES_tradnl"/>
        </w:rPr>
        <w:t>[…]”</w:t>
      </w:r>
    </w:p>
    <w:p w14:paraId="310DDEE8" w14:textId="77777777" w:rsidR="002811B1" w:rsidRPr="00CA38F1" w:rsidRDefault="002811B1" w:rsidP="002811B1">
      <w:pPr>
        <w:spacing w:after="0" w:line="240" w:lineRule="auto"/>
        <w:jc w:val="both"/>
        <w:rPr>
          <w:rFonts w:ascii="Verdana" w:eastAsia="Calibri" w:hAnsi="Verdana" w:cs="Arial"/>
          <w:sz w:val="20"/>
          <w:szCs w:val="20"/>
          <w:lang w:eastAsia="es-ES"/>
        </w:rPr>
      </w:pPr>
    </w:p>
    <w:p w14:paraId="7C2D37D4" w14:textId="77777777" w:rsidR="002811B1" w:rsidRPr="00CA38F1" w:rsidRDefault="002811B1" w:rsidP="002811B1">
      <w:pPr>
        <w:spacing w:after="0" w:line="240" w:lineRule="auto"/>
        <w:jc w:val="both"/>
        <w:rPr>
          <w:rFonts w:ascii="Verdana" w:eastAsia="Calibri" w:hAnsi="Verdana" w:cs="Arial"/>
          <w:b/>
          <w:lang w:val="es-ES" w:eastAsia="es-ES"/>
        </w:rPr>
      </w:pPr>
      <w:r w:rsidRPr="00CA38F1">
        <w:rPr>
          <w:rFonts w:ascii="Verdana" w:hAnsi="Verdana" w:cs="Arial"/>
          <w:b/>
          <w:lang w:val="es-ES" w:eastAsia="es-CO"/>
        </w:rPr>
        <w:t xml:space="preserve">MIPYME </w:t>
      </w:r>
      <w:r w:rsidRPr="00CA38F1">
        <w:rPr>
          <w:rFonts w:ascii="Verdana" w:hAnsi="Verdana" w:cs="Arial"/>
          <w:b/>
          <w:lang w:eastAsia="es-CO"/>
        </w:rPr>
        <w:t>– Convocatoria limitada – Acreditación – Persona natural – RUP</w:t>
      </w:r>
    </w:p>
    <w:p w14:paraId="6DC3C024" w14:textId="77777777" w:rsidR="002811B1" w:rsidRPr="00CA38F1" w:rsidRDefault="002811B1" w:rsidP="002811B1">
      <w:pPr>
        <w:spacing w:after="0" w:line="240" w:lineRule="auto"/>
        <w:jc w:val="both"/>
        <w:rPr>
          <w:rFonts w:ascii="Verdana" w:eastAsia="Arial" w:hAnsi="Verdana" w:cs="Arial"/>
          <w:sz w:val="20"/>
          <w:szCs w:val="20"/>
          <w:lang w:eastAsia="es-ES_tradnl"/>
        </w:rPr>
      </w:pPr>
    </w:p>
    <w:p w14:paraId="09AF1626" w14:textId="3750A084" w:rsidR="002811B1" w:rsidRPr="00CA38F1" w:rsidRDefault="000C1DBC" w:rsidP="002811B1">
      <w:pPr>
        <w:spacing w:after="0" w:line="240" w:lineRule="auto"/>
        <w:jc w:val="both"/>
        <w:rPr>
          <w:rFonts w:ascii="Verdana" w:eastAsia="Calibri" w:hAnsi="Verdana" w:cs="Arial"/>
          <w:bCs/>
          <w:sz w:val="20"/>
          <w:szCs w:val="20"/>
          <w:lang w:val="es-ES_tradnl" w:eastAsia="es-ES_tradnl"/>
        </w:rPr>
      </w:pPr>
      <w:r w:rsidRPr="00CA38F1">
        <w:rPr>
          <w:rFonts w:ascii="Verdana" w:eastAsia="Calibri" w:hAnsi="Verdana" w:cs="Arial"/>
          <w:sz w:val="20"/>
          <w:szCs w:val="20"/>
          <w:lang w:val="es-ES_tradnl"/>
        </w:rPr>
        <w:t xml:space="preserve">“[…] </w:t>
      </w:r>
      <w:r w:rsidR="00BB6299" w:rsidRPr="00CA38F1">
        <w:rPr>
          <w:rFonts w:ascii="Verdana" w:eastAsia="Calibri" w:hAnsi="Verdana" w:cs="Arial"/>
          <w:bCs/>
          <w:sz w:val="20"/>
          <w:szCs w:val="20"/>
          <w:lang w:eastAsia="es-ES_tradnl"/>
        </w:rPr>
        <w:t>P</w:t>
      </w:r>
      <w:r w:rsidR="002811B1" w:rsidRPr="00CA38F1">
        <w:rPr>
          <w:rFonts w:ascii="Verdana" w:eastAsia="Calibri" w:hAnsi="Verdana" w:cs="Arial"/>
          <w:bCs/>
          <w:sz w:val="20"/>
          <w:szCs w:val="20"/>
          <w:lang w:eastAsia="es-ES_tradnl"/>
        </w:rPr>
        <w:t xml:space="preserve">ara efectos de las convocatorias limitadas a </w:t>
      </w:r>
      <w:r w:rsidR="00816D0C" w:rsidRPr="00CA38F1">
        <w:rPr>
          <w:rFonts w:ascii="Verdana" w:eastAsia="Calibri" w:hAnsi="Verdana" w:cs="Arial"/>
          <w:bCs/>
          <w:sz w:val="20"/>
          <w:szCs w:val="20"/>
          <w:lang w:eastAsia="es-ES_tradnl"/>
        </w:rPr>
        <w:t>MiPymes</w:t>
      </w:r>
      <w:r w:rsidR="002811B1" w:rsidRPr="00CA38F1">
        <w:rPr>
          <w:rFonts w:ascii="Verdana" w:eastAsia="Calibri" w:hAnsi="Verdana" w:cs="Arial"/>
          <w:bCs/>
          <w:sz w:val="20"/>
          <w:szCs w:val="20"/>
          <w:lang w:eastAsia="es-ES_tradnl"/>
        </w:rPr>
        <w:t xml:space="preserve"> colombianas del sistema de compras públicas, el </w:t>
      </w:r>
      <w:r w:rsidR="002811B1" w:rsidRPr="00CA38F1">
        <w:rPr>
          <w:rFonts w:ascii="Verdana" w:eastAsia="Calibri" w:hAnsi="Verdana" w:cs="Arial"/>
          <w:bCs/>
          <w:sz w:val="20"/>
          <w:szCs w:val="20"/>
          <w:lang w:val="es-ES_tradnl" w:eastAsia="es-ES_tradnl"/>
        </w:rPr>
        <w:t xml:space="preserve">artículo 2.2.1.2.4.2.4 del Decreto 1082 de 2015 –modificado por el Decreto 1860 de 2021– determina la forma en la que se debe acreditar el tamaño empresarial, tratándose de persona natural y persona jurídica. Es importante precisar que esta acreditación se debe realizar tanto para solicitar la limitación de la convocatoria como para participar en el proceso de selección una vez esta se haya limitado a </w:t>
      </w:r>
      <w:r w:rsidR="00816D0C" w:rsidRPr="00CA38F1">
        <w:rPr>
          <w:rFonts w:ascii="Verdana" w:eastAsia="Calibri" w:hAnsi="Verdana" w:cs="Arial"/>
          <w:bCs/>
          <w:sz w:val="20"/>
          <w:szCs w:val="20"/>
          <w:lang w:val="es-ES_tradnl" w:eastAsia="es-ES_tradnl"/>
        </w:rPr>
        <w:t>MiPymes</w:t>
      </w:r>
      <w:r w:rsidR="002811B1" w:rsidRPr="00CA38F1">
        <w:rPr>
          <w:rFonts w:ascii="Verdana" w:eastAsia="Calibri" w:hAnsi="Verdana" w:cs="Arial"/>
          <w:bCs/>
          <w:sz w:val="20"/>
          <w:szCs w:val="20"/>
          <w:lang w:val="es-ES_tradnl" w:eastAsia="es-ES_tradnl"/>
        </w:rPr>
        <w:t xml:space="preserve">. </w:t>
      </w:r>
    </w:p>
    <w:p w14:paraId="1CF16708" w14:textId="630C9A1D" w:rsidR="002811B1" w:rsidRPr="00CA38F1" w:rsidRDefault="002811B1" w:rsidP="002811B1">
      <w:pPr>
        <w:spacing w:after="0" w:line="240" w:lineRule="auto"/>
        <w:jc w:val="both"/>
        <w:rPr>
          <w:rFonts w:ascii="Verdana" w:eastAsia="Calibri" w:hAnsi="Verdana" w:cs="Arial"/>
          <w:sz w:val="20"/>
          <w:szCs w:val="20"/>
          <w:lang w:val="es-ES_tradnl" w:eastAsia="es-ES_tradnl"/>
        </w:rPr>
      </w:pPr>
      <w:r w:rsidRPr="00CA38F1">
        <w:rPr>
          <w:rFonts w:ascii="Verdana" w:eastAsia="Calibri" w:hAnsi="Verdana" w:cs="Arial"/>
          <w:bCs/>
          <w:sz w:val="20"/>
          <w:szCs w:val="20"/>
          <w:lang w:eastAsia="es-ES_tradnl"/>
        </w:rPr>
        <w:t>En relación con la persona jurídica, la norma requiere que l</w:t>
      </w:r>
      <w:r w:rsidRPr="00CA38F1">
        <w:rPr>
          <w:rFonts w:ascii="Verdana" w:eastAsia="Calibri" w:hAnsi="Verdana" w:cs="Arial"/>
          <w:sz w:val="20"/>
          <w:szCs w:val="20"/>
          <w:lang w:val="es-ES_tradnl" w:eastAsia="es-ES_tradnl"/>
        </w:rPr>
        <w:t xml:space="preserve">a </w:t>
      </w:r>
      <w:r w:rsidR="00816D0C" w:rsidRPr="00CA38F1">
        <w:rPr>
          <w:rFonts w:ascii="Verdana" w:eastAsia="Calibri" w:hAnsi="Verdana" w:cs="Arial"/>
          <w:sz w:val="20"/>
          <w:szCs w:val="20"/>
          <w:lang w:val="es-ES_tradnl" w:eastAsia="es-ES_tradnl"/>
        </w:rPr>
        <w:t>MiPymes</w:t>
      </w:r>
      <w:r w:rsidRPr="00CA38F1">
        <w:rPr>
          <w:rFonts w:ascii="Verdana" w:eastAsia="Calibri" w:hAnsi="Verdana" w:cs="Arial"/>
          <w:sz w:val="20"/>
          <w:szCs w:val="20"/>
          <w:lang w:val="es-ES_tradnl" w:eastAsia="es-ES_tradnl"/>
        </w:rPr>
        <w:t xml:space="preserve"> colombiana acredite el tamaño empresarial mediante certificación expedida por el representante legal y el contador o revisor fiscal, si está obligada a tenerlo, adjuntando copia del certificado de existencia y representación legal expedido por la Cámara de Comercio o por la autoridad competente para expedir dicha certificación. </w:t>
      </w:r>
    </w:p>
    <w:p w14:paraId="740A4C5C" w14:textId="77777777" w:rsidR="002811B1" w:rsidRPr="00CA38F1" w:rsidRDefault="002811B1" w:rsidP="002811B1">
      <w:pPr>
        <w:spacing w:after="0" w:line="240" w:lineRule="auto"/>
        <w:jc w:val="both"/>
        <w:rPr>
          <w:rFonts w:ascii="Verdana" w:eastAsia="Calibri" w:hAnsi="Verdana" w:cs="Arial"/>
          <w:sz w:val="20"/>
          <w:szCs w:val="20"/>
          <w:lang w:val="es-ES_tradnl" w:eastAsia="es-ES_tradnl"/>
        </w:rPr>
      </w:pPr>
    </w:p>
    <w:p w14:paraId="4A2056F0" w14:textId="77777777" w:rsidR="002811B1" w:rsidRPr="00CA38F1" w:rsidRDefault="002811B1" w:rsidP="002811B1">
      <w:pPr>
        <w:spacing w:after="0" w:line="240" w:lineRule="auto"/>
        <w:jc w:val="both"/>
        <w:rPr>
          <w:rFonts w:ascii="Verdana" w:eastAsia="Calibri" w:hAnsi="Verdana" w:cs="Arial"/>
          <w:sz w:val="20"/>
          <w:szCs w:val="20"/>
          <w:lang w:val="es-ES" w:eastAsia="es-ES"/>
        </w:rPr>
      </w:pPr>
      <w:r w:rsidRPr="00CA38F1">
        <w:rPr>
          <w:rFonts w:ascii="Verdana" w:eastAsia="Calibri" w:hAnsi="Verdana" w:cs="Arial"/>
          <w:sz w:val="20"/>
          <w:szCs w:val="20"/>
          <w:lang w:val="es-ES" w:eastAsia="es-ES"/>
        </w:rPr>
        <w:t xml:space="preserve">Por su parte, tratándose de persona natural, la disposición antes señalada exige que se acredite el tamaño empresarial mediante certificación expedida por ellos y un contador público, adjuntando copia del registro mercantil. En este caso, la intervención del contador es necesaria con el fin de que actúe en calidad de fedatario. </w:t>
      </w:r>
    </w:p>
    <w:p w14:paraId="55B41638" w14:textId="77777777" w:rsidR="002811B1" w:rsidRPr="00CA38F1" w:rsidRDefault="002811B1" w:rsidP="002811B1">
      <w:pPr>
        <w:spacing w:after="0" w:line="240" w:lineRule="auto"/>
        <w:jc w:val="both"/>
        <w:rPr>
          <w:rFonts w:ascii="Verdana" w:eastAsia="Calibri" w:hAnsi="Verdana" w:cs="Arial"/>
          <w:sz w:val="20"/>
          <w:szCs w:val="20"/>
          <w:lang w:val="es-ES" w:eastAsia="es-ES"/>
        </w:rPr>
      </w:pPr>
    </w:p>
    <w:p w14:paraId="78C544CC" w14:textId="3DB00E2B" w:rsidR="002811B1" w:rsidRPr="00CA38F1" w:rsidRDefault="002811B1" w:rsidP="002811B1">
      <w:pPr>
        <w:spacing w:after="0" w:line="240" w:lineRule="auto"/>
        <w:jc w:val="both"/>
        <w:rPr>
          <w:rFonts w:ascii="Verdana" w:eastAsia="Calibri" w:hAnsi="Verdana" w:cs="Arial"/>
          <w:sz w:val="20"/>
          <w:szCs w:val="20"/>
          <w:lang w:val="es-ES" w:eastAsia="es-ES"/>
        </w:rPr>
      </w:pPr>
      <w:r w:rsidRPr="00CA38F1">
        <w:rPr>
          <w:rFonts w:ascii="Verdana" w:eastAsia="Calibri" w:hAnsi="Verdana" w:cs="Arial"/>
          <w:bCs/>
          <w:sz w:val="20"/>
          <w:szCs w:val="20"/>
          <w:lang w:val="es-ES_tradnl" w:eastAsia="es-ES_tradnl"/>
        </w:rPr>
        <w:t xml:space="preserve">Además, es preciso señalar que el parágrafo primero del artículo citado permite acreditar la condición de </w:t>
      </w:r>
      <w:r w:rsidR="00816D0C" w:rsidRPr="00CA38F1">
        <w:rPr>
          <w:rFonts w:ascii="Verdana" w:eastAsia="Calibri" w:hAnsi="Verdana" w:cs="Arial"/>
          <w:bCs/>
          <w:sz w:val="20"/>
          <w:szCs w:val="20"/>
          <w:lang w:val="es-ES_tradnl" w:eastAsia="es-ES_tradnl"/>
        </w:rPr>
        <w:t>MiPymes</w:t>
      </w:r>
      <w:r w:rsidRPr="00CA38F1">
        <w:rPr>
          <w:rFonts w:ascii="Verdana" w:eastAsia="Calibri" w:hAnsi="Verdana" w:cs="Arial"/>
          <w:bCs/>
          <w:sz w:val="20"/>
          <w:szCs w:val="20"/>
          <w:lang w:val="es-ES_tradnl" w:eastAsia="es-ES_tradnl"/>
        </w:rPr>
        <w:t xml:space="preserve"> con la copia del certificado del Registro Único de Proponentes –RUP–. De esta manera, la </w:t>
      </w:r>
      <w:r w:rsidR="00816D0C" w:rsidRPr="00CA38F1">
        <w:rPr>
          <w:rFonts w:ascii="Verdana" w:eastAsia="Calibri" w:hAnsi="Verdana" w:cs="Arial"/>
          <w:bCs/>
          <w:sz w:val="20"/>
          <w:szCs w:val="20"/>
          <w:lang w:val="es-ES_tradnl" w:eastAsia="es-ES_tradnl"/>
        </w:rPr>
        <w:t>MiPymes</w:t>
      </w:r>
      <w:r w:rsidRPr="00CA38F1">
        <w:rPr>
          <w:rFonts w:ascii="Verdana" w:eastAsia="Calibri" w:hAnsi="Verdana" w:cs="Arial"/>
          <w:bCs/>
          <w:sz w:val="20"/>
          <w:szCs w:val="20"/>
          <w:lang w:val="es-ES_tradnl" w:eastAsia="es-ES_tradnl"/>
        </w:rPr>
        <w:t>, sea persona natural o persona jurídica, podrá acreditar la actividad y el tamaño empresarial exigido por la ley, presentando el RUP, documento que en este caso es de carácter opcional, es decir, es un medio de prueba alternativo establecido por el mismo reglamento.</w:t>
      </w:r>
      <w:r w:rsidR="000C1DBC" w:rsidRPr="00CA38F1">
        <w:rPr>
          <w:rFonts w:ascii="Verdana" w:eastAsia="Calibri" w:hAnsi="Verdana" w:cs="Arial"/>
          <w:bCs/>
          <w:sz w:val="20"/>
          <w:szCs w:val="20"/>
          <w:lang w:val="es-ES_tradnl" w:eastAsia="es-ES_tradnl"/>
        </w:rPr>
        <w:t xml:space="preserve"> </w:t>
      </w:r>
      <w:r w:rsidR="000C1DBC" w:rsidRPr="00CA38F1">
        <w:rPr>
          <w:rFonts w:ascii="Verdana" w:eastAsia="Calibri" w:hAnsi="Verdana" w:cs="Arial"/>
          <w:sz w:val="20"/>
          <w:szCs w:val="20"/>
          <w:lang w:val="es-ES_tradnl"/>
        </w:rPr>
        <w:t>[…]”</w:t>
      </w:r>
    </w:p>
    <w:p w14:paraId="42ED39E0" w14:textId="77777777" w:rsidR="002811B1" w:rsidRPr="00CA38F1" w:rsidRDefault="002811B1" w:rsidP="002811B1">
      <w:pPr>
        <w:spacing w:after="0" w:line="240" w:lineRule="auto"/>
        <w:rPr>
          <w:rFonts w:ascii="Verdana" w:hAnsi="Verdana"/>
          <w:sz w:val="20"/>
          <w:szCs w:val="20"/>
          <w:lang w:val="es-ES"/>
        </w:rPr>
      </w:pPr>
    </w:p>
    <w:p w14:paraId="21D21248" w14:textId="77777777" w:rsidR="002811B1" w:rsidRPr="00CA38F1" w:rsidRDefault="002811B1" w:rsidP="002811B1">
      <w:pPr>
        <w:spacing w:after="0" w:line="240" w:lineRule="auto"/>
        <w:jc w:val="both"/>
        <w:rPr>
          <w:rFonts w:ascii="Verdana" w:hAnsi="Verdana"/>
        </w:rPr>
      </w:pPr>
      <w:r w:rsidRPr="00CA38F1">
        <w:rPr>
          <w:rFonts w:ascii="Verdana" w:hAnsi="Verdana" w:cs="Arial"/>
          <w:b/>
          <w:lang w:val="es-ES" w:eastAsia="es-CO"/>
        </w:rPr>
        <w:t>CERTIFICADO DE EXISTENCIA Y REPRESENTACIÓN LEGAL – Constitución mínima de 1 año – No Equiparable con Registro Mercantil – Diferencia con establecimiento de Comercio.</w:t>
      </w:r>
    </w:p>
    <w:p w14:paraId="131407B6" w14:textId="77777777" w:rsidR="002811B1" w:rsidRPr="00CA38F1" w:rsidRDefault="002811B1" w:rsidP="002811B1">
      <w:pPr>
        <w:spacing w:after="0" w:line="240" w:lineRule="auto"/>
        <w:rPr>
          <w:rFonts w:ascii="Verdana" w:hAnsi="Verdana"/>
          <w:sz w:val="20"/>
          <w:szCs w:val="20"/>
        </w:rPr>
      </w:pPr>
    </w:p>
    <w:p w14:paraId="02788366" w14:textId="139C01F7" w:rsidR="002811B1" w:rsidRPr="00CA38F1" w:rsidRDefault="008B4CB2" w:rsidP="1DF96905">
      <w:pPr>
        <w:spacing w:after="0" w:line="240" w:lineRule="auto"/>
        <w:jc w:val="both"/>
        <w:rPr>
          <w:rFonts w:ascii="Verdana" w:eastAsia="Calibri" w:hAnsi="Verdana" w:cs="Arial"/>
          <w:sz w:val="20"/>
          <w:szCs w:val="20"/>
          <w:lang w:val="es-ES" w:eastAsia="es-ES"/>
        </w:rPr>
      </w:pPr>
      <w:r w:rsidRPr="00CA38F1">
        <w:rPr>
          <w:rFonts w:ascii="Verdana" w:eastAsia="Calibri" w:hAnsi="Verdana" w:cs="Arial"/>
          <w:sz w:val="20"/>
          <w:szCs w:val="20"/>
          <w:lang w:val="es-ES"/>
        </w:rPr>
        <w:t xml:space="preserve">“[…] </w:t>
      </w:r>
      <w:r w:rsidR="002811B1" w:rsidRPr="00CA38F1">
        <w:rPr>
          <w:rFonts w:ascii="Verdana" w:eastAsia="Calibri" w:hAnsi="Verdana" w:cs="Arial"/>
          <w:sz w:val="20"/>
          <w:szCs w:val="20"/>
          <w:lang w:val="es-ES" w:eastAsia="es-ES"/>
        </w:rPr>
        <w:t xml:space="preserve">En el caso de personas jurídicas sobre las que redunda su consulta, la existencia jurídica se determina por la fecha de constitución y matrícula en el registro mercantil (C. de Co., arts. 98 y 110), que consta en el certificado de existencia y representación legal. En ese sentido, debe advertirse que existen diferencias sustanciales entre el certificado de existencia y representación legal de la sociedad (que para el caso particular se trata de una </w:t>
      </w:r>
      <w:r w:rsidR="00816D0C" w:rsidRPr="00CA38F1">
        <w:rPr>
          <w:rFonts w:ascii="Verdana" w:eastAsia="Calibri" w:hAnsi="Verdana" w:cs="Arial"/>
          <w:sz w:val="20"/>
          <w:szCs w:val="20"/>
          <w:lang w:val="es-ES" w:eastAsia="es-ES"/>
        </w:rPr>
        <w:t>MiPymes</w:t>
      </w:r>
      <w:r w:rsidR="002811B1" w:rsidRPr="00CA38F1">
        <w:rPr>
          <w:rFonts w:ascii="Verdana" w:eastAsia="Calibri" w:hAnsi="Verdana" w:cs="Arial"/>
          <w:sz w:val="20"/>
          <w:szCs w:val="20"/>
          <w:lang w:val="es-ES" w:eastAsia="es-ES"/>
        </w:rPr>
        <w:t>), y el registro mercantil que vale la pena destacar con el propósito de responder al interrogante planteado.</w:t>
      </w:r>
    </w:p>
    <w:p w14:paraId="64558EF5" w14:textId="77777777" w:rsidR="002811B1" w:rsidRPr="00CA38F1" w:rsidRDefault="002811B1" w:rsidP="002811B1">
      <w:pPr>
        <w:spacing w:after="0" w:line="240" w:lineRule="auto"/>
        <w:jc w:val="both"/>
        <w:rPr>
          <w:rFonts w:ascii="Verdana" w:eastAsia="Calibri" w:hAnsi="Verdana" w:cs="Arial"/>
          <w:bCs/>
          <w:sz w:val="20"/>
          <w:szCs w:val="20"/>
          <w:lang w:val="es-ES_tradnl" w:eastAsia="es-ES_tradnl"/>
        </w:rPr>
      </w:pPr>
    </w:p>
    <w:p w14:paraId="415A41F8" w14:textId="77777777" w:rsidR="002811B1" w:rsidRPr="00CA38F1" w:rsidRDefault="002811B1" w:rsidP="002811B1">
      <w:pPr>
        <w:spacing w:after="0" w:line="240" w:lineRule="auto"/>
        <w:jc w:val="both"/>
        <w:rPr>
          <w:rFonts w:ascii="Verdana" w:eastAsia="Calibri" w:hAnsi="Verdana" w:cs="Arial"/>
          <w:bCs/>
          <w:sz w:val="20"/>
          <w:szCs w:val="20"/>
          <w:lang w:val="es-ES_tradnl" w:eastAsia="es-ES_tradnl"/>
        </w:rPr>
      </w:pPr>
      <w:r w:rsidRPr="00CA38F1">
        <w:rPr>
          <w:rFonts w:ascii="Verdana" w:eastAsia="Calibri" w:hAnsi="Verdana" w:cs="Arial"/>
          <w:bCs/>
          <w:sz w:val="20"/>
          <w:szCs w:val="20"/>
          <w:lang w:val="es-ES_tradnl" w:eastAsia="es-ES_tradnl"/>
        </w:rPr>
        <w:t xml:space="preserve">Por un lado, de conformidad con el artículo 117 del Decreto 410 de 1971 -Código de Comercio-, la existencia y representación de las sociedades en Colombia se probarán por medio de la certificación de la cámara de comercio del domicilio principal. Dicho documento deberá consignar el número, fecha y notaría de la escritura de constitución de la sociedad, el nombre de los representantes de la sociedad, con las facultades y limitaciones conferidas a cada uno de ellos en el contrato, entre otros aspectos </w:t>
      </w:r>
      <w:r w:rsidRPr="00CA38F1">
        <w:rPr>
          <w:rFonts w:ascii="Verdana" w:eastAsia="Calibri" w:hAnsi="Verdana" w:cs="Arial"/>
          <w:bCs/>
          <w:sz w:val="20"/>
          <w:szCs w:val="20"/>
          <w:lang w:val="es-ES_tradnl" w:eastAsia="es-ES_tradnl"/>
        </w:rPr>
        <w:lastRenderedPageBreak/>
        <w:t xml:space="preserve">importantes. Su objetivo es que todos -la sociedad en general- conozcamos sobre la existencia de una sociedad y la certeza de esta y de quién la representa. </w:t>
      </w:r>
    </w:p>
    <w:p w14:paraId="3EA1A654" w14:textId="77777777" w:rsidR="002811B1" w:rsidRPr="00CA38F1" w:rsidRDefault="002811B1" w:rsidP="002811B1">
      <w:pPr>
        <w:spacing w:after="0" w:line="240" w:lineRule="auto"/>
        <w:jc w:val="both"/>
        <w:rPr>
          <w:rFonts w:ascii="Verdana" w:eastAsia="Calibri" w:hAnsi="Verdana" w:cs="Arial"/>
          <w:bCs/>
          <w:sz w:val="20"/>
          <w:szCs w:val="20"/>
          <w:lang w:val="es-ES_tradnl" w:eastAsia="es-ES_tradnl"/>
        </w:rPr>
      </w:pPr>
    </w:p>
    <w:p w14:paraId="5A76B92F" w14:textId="5987ADEF" w:rsidR="002811B1" w:rsidRPr="00CA38F1" w:rsidRDefault="002811B1" w:rsidP="1DF96905">
      <w:pPr>
        <w:spacing w:after="0" w:line="240" w:lineRule="auto"/>
        <w:jc w:val="both"/>
        <w:rPr>
          <w:rFonts w:ascii="Verdana" w:eastAsia="Calibri" w:hAnsi="Verdana" w:cs="Arial"/>
          <w:sz w:val="20"/>
          <w:szCs w:val="20"/>
          <w:lang w:val="es-ES" w:eastAsia="es-ES"/>
        </w:rPr>
      </w:pPr>
      <w:r w:rsidRPr="00CA38F1">
        <w:rPr>
          <w:rFonts w:ascii="Verdana" w:eastAsia="Calibri" w:hAnsi="Verdana" w:cs="Arial"/>
          <w:sz w:val="20"/>
          <w:szCs w:val="20"/>
          <w:lang w:val="es-ES" w:eastAsia="es-ES"/>
        </w:rPr>
        <w:t>Por otro lado, de conformidad con el artículo 26 del mismo cuerpo normativo, el registro mercantil es un instrumento mediante el cual se identifican los comerciantes y empresas de una determinada zona geográfica. En ese orden, se trata del folio en el que se registran, entre otros, los establecimientos de comercio</w:t>
      </w:r>
      <w:r w:rsidR="006406C8" w:rsidRPr="00CA38F1">
        <w:rPr>
          <w:rFonts w:ascii="Verdana" w:eastAsia="Calibri" w:hAnsi="Verdana" w:cs="Arial"/>
          <w:sz w:val="20"/>
          <w:szCs w:val="20"/>
          <w:lang w:val="es-ES" w:eastAsia="es-ES"/>
        </w:rPr>
        <w:t xml:space="preserve">, </w:t>
      </w:r>
      <w:r w:rsidRPr="00CA38F1">
        <w:rPr>
          <w:rFonts w:ascii="Verdana" w:eastAsia="Calibri" w:hAnsi="Verdana" w:cs="Arial"/>
          <w:sz w:val="20"/>
          <w:szCs w:val="20"/>
          <w:lang w:val="es-ES" w:eastAsia="es-ES"/>
        </w:rPr>
        <w:t>como también se registran las empresas, sus propietarios, direcciones, libros y todos aquellos documentos comerciales que sean sujetos de registro. Su objetivo es llevar un registro de los comerciantes, de sus establecimientos de comercio y de todas las actividades mercantiles que desarrollan en virtud de su objeto social.</w:t>
      </w:r>
    </w:p>
    <w:p w14:paraId="17AB23A8" w14:textId="77777777" w:rsidR="002811B1" w:rsidRPr="00CA38F1" w:rsidRDefault="002811B1" w:rsidP="002811B1">
      <w:pPr>
        <w:spacing w:after="0" w:line="240" w:lineRule="auto"/>
        <w:jc w:val="both"/>
        <w:rPr>
          <w:rFonts w:ascii="Verdana" w:eastAsia="Calibri" w:hAnsi="Verdana" w:cs="Arial"/>
          <w:bCs/>
          <w:sz w:val="20"/>
          <w:szCs w:val="20"/>
          <w:lang w:val="es-ES_tradnl" w:eastAsia="es-ES_tradnl"/>
        </w:rPr>
      </w:pPr>
    </w:p>
    <w:p w14:paraId="1B83A6DF" w14:textId="77777777" w:rsidR="002811B1" w:rsidRPr="00CA38F1" w:rsidRDefault="002811B1" w:rsidP="1DF96905">
      <w:pPr>
        <w:spacing w:after="0" w:line="240" w:lineRule="auto"/>
        <w:jc w:val="both"/>
        <w:rPr>
          <w:rFonts w:ascii="Verdana" w:eastAsia="Calibri" w:hAnsi="Verdana" w:cs="Arial"/>
          <w:sz w:val="20"/>
          <w:szCs w:val="20"/>
          <w:lang w:val="es-ES" w:eastAsia="es-ES"/>
        </w:rPr>
      </w:pPr>
      <w:r w:rsidRPr="00CA38F1">
        <w:rPr>
          <w:rFonts w:ascii="Verdana" w:eastAsia="Calibri" w:hAnsi="Verdana" w:cs="Arial"/>
          <w:sz w:val="20"/>
          <w:szCs w:val="20"/>
          <w:lang w:val="es-ES" w:eastAsia="es-ES"/>
        </w:rPr>
        <w:t xml:space="preserve">De manera que dichos instrumentos son distintos en esencia, ya que la diferencia radica en la finalidad y objeto de cada uno de ellos. Por ejemplo, para que la persona jurídica pueda participar en un proceso de selección público deberá siempre acreditar como requisito habilitante la capacidad jurídica para contratar -incluidos aquellos procesos en los cuales se pretenda limitarse para la participación exclusiva a las MiPymes-. Por lo que resulta necesario que se demuestre que es una persona sujeta de derechos y obligaciones, que se trata de una persona distinta de sus socios, fundadores o constituyentes y cuya existencia inicia con la inscripción de su constitución en el registro mercantil, de conformidad con el artículo 110 del C. de Co. </w:t>
      </w:r>
    </w:p>
    <w:p w14:paraId="24A56D63" w14:textId="77777777" w:rsidR="002811B1" w:rsidRPr="00CA38F1" w:rsidRDefault="002811B1" w:rsidP="002811B1">
      <w:pPr>
        <w:spacing w:after="0" w:line="240" w:lineRule="auto"/>
        <w:jc w:val="both"/>
        <w:rPr>
          <w:rFonts w:ascii="Verdana" w:eastAsia="Calibri" w:hAnsi="Verdana" w:cs="Arial"/>
          <w:bCs/>
          <w:sz w:val="20"/>
          <w:szCs w:val="20"/>
          <w:lang w:val="es-ES_tradnl" w:eastAsia="es-ES_tradnl"/>
        </w:rPr>
      </w:pPr>
    </w:p>
    <w:p w14:paraId="79624787" w14:textId="77777777" w:rsidR="002811B1" w:rsidRPr="00CA38F1" w:rsidRDefault="002811B1" w:rsidP="1DF96905">
      <w:pPr>
        <w:spacing w:after="0" w:line="240" w:lineRule="auto"/>
        <w:jc w:val="both"/>
        <w:rPr>
          <w:rFonts w:ascii="Verdana" w:eastAsia="Calibri" w:hAnsi="Verdana" w:cs="Arial"/>
          <w:sz w:val="20"/>
          <w:szCs w:val="20"/>
          <w:lang w:val="es-ES" w:eastAsia="es-ES"/>
        </w:rPr>
      </w:pPr>
      <w:r w:rsidRPr="00CA38F1">
        <w:rPr>
          <w:rFonts w:ascii="Verdana" w:eastAsia="Calibri" w:hAnsi="Verdana" w:cs="Arial"/>
          <w:sz w:val="20"/>
          <w:szCs w:val="20"/>
          <w:lang w:val="es-ES" w:eastAsia="es-ES"/>
        </w:rPr>
        <w:t>Mientras que el establecimiento de comercio es, según dispone el artículo 515 del C. de Co., un conjunto de bienes organizados para el desarrollo de una actividad económica y el instrumento que da cuenta de su antigüedad es justamente el registro mercantil sobre el que hicimos referencia, pero no resulta admisible que dicha antigüedad se confunda o se equipare con la antigüedad de la persona jurídica que lo explota. En otras palabras, el hecho de que un establecimiento tenga un registro mercantil de más de un año no implica que la persona jurídica propietaria haya existido durante ese mismo tiempo, ya que el establecimiento pudo haber pertenecido antes a otra persona natural o jurídica.</w:t>
      </w:r>
    </w:p>
    <w:p w14:paraId="4A5EFAB5" w14:textId="296085A3" w:rsidR="002811B1" w:rsidRPr="00CA38F1" w:rsidRDefault="002811B1" w:rsidP="1DF96905">
      <w:pPr>
        <w:spacing w:after="0" w:line="240" w:lineRule="auto"/>
        <w:jc w:val="both"/>
        <w:rPr>
          <w:rFonts w:ascii="Verdana" w:eastAsia="Calibri" w:hAnsi="Verdana" w:cs="Arial"/>
          <w:sz w:val="20"/>
          <w:szCs w:val="20"/>
          <w:lang w:val="es-ES" w:eastAsia="es-ES"/>
        </w:rPr>
      </w:pPr>
      <w:r w:rsidRPr="00CA38F1">
        <w:rPr>
          <w:rFonts w:ascii="Verdana" w:eastAsia="Calibri" w:hAnsi="Verdana" w:cs="Arial"/>
          <w:sz w:val="20"/>
          <w:szCs w:val="20"/>
          <w:lang w:val="es-ES" w:eastAsia="es-ES"/>
        </w:rPr>
        <w:t xml:space="preserve">En concordancia con lo expuesto, en materia de convocatorias limitadas a MiPymes, el artículo 2.2.1.2.4.2.4. del Decreto 1082 de 2015 dispone que las personas jurídicas deben acreditar su condición de </w:t>
      </w:r>
      <w:r w:rsidR="00816D0C" w:rsidRPr="00CA38F1">
        <w:rPr>
          <w:rFonts w:ascii="Verdana" w:eastAsia="Calibri" w:hAnsi="Verdana" w:cs="Arial"/>
          <w:sz w:val="20"/>
          <w:szCs w:val="20"/>
          <w:lang w:val="es-ES" w:eastAsia="es-ES"/>
        </w:rPr>
        <w:t>MiPymes</w:t>
      </w:r>
      <w:r w:rsidRPr="00CA38F1">
        <w:rPr>
          <w:rFonts w:ascii="Verdana" w:eastAsia="Calibri" w:hAnsi="Verdana" w:cs="Arial"/>
          <w:sz w:val="20"/>
          <w:szCs w:val="20"/>
          <w:lang w:val="es-ES" w:eastAsia="es-ES"/>
        </w:rPr>
        <w:t xml:space="preserve"> y su antigüedad con el certificado de existencia y representación legal o, en su defecto, con el RUP vigente, pero en ningún caso el artículo habilitó que la antigüedad se compute con base en el registro mercantil de un establecimiento de comercio.</w:t>
      </w:r>
    </w:p>
    <w:p w14:paraId="38C4C48D" w14:textId="77777777" w:rsidR="002811B1" w:rsidRPr="00CA38F1" w:rsidRDefault="002811B1" w:rsidP="002811B1">
      <w:pPr>
        <w:spacing w:after="0" w:line="240" w:lineRule="auto"/>
        <w:jc w:val="both"/>
        <w:rPr>
          <w:rFonts w:ascii="Verdana" w:eastAsia="Calibri" w:hAnsi="Verdana" w:cs="Arial"/>
          <w:bCs/>
          <w:sz w:val="20"/>
          <w:szCs w:val="20"/>
          <w:lang w:val="es-ES_tradnl" w:eastAsia="es-ES_tradnl"/>
        </w:rPr>
      </w:pPr>
    </w:p>
    <w:p w14:paraId="43D1D8D9" w14:textId="77777777" w:rsidR="00302A80" w:rsidRPr="00CA38F1" w:rsidRDefault="00302A80" w:rsidP="00302A80">
      <w:pPr>
        <w:spacing w:after="0" w:line="240" w:lineRule="auto"/>
        <w:jc w:val="both"/>
        <w:rPr>
          <w:rFonts w:ascii="Verdana" w:eastAsia="Calibri" w:hAnsi="Verdana" w:cs="Arial"/>
          <w:sz w:val="20"/>
          <w:szCs w:val="20"/>
          <w:lang w:val="es-ES" w:eastAsia="es-ES"/>
        </w:rPr>
      </w:pPr>
      <w:r w:rsidRPr="00CA38F1">
        <w:rPr>
          <w:rFonts w:ascii="Verdana" w:eastAsia="Calibri" w:hAnsi="Verdana" w:cs="Arial"/>
          <w:sz w:val="20"/>
          <w:szCs w:val="20"/>
          <w:lang w:val="es-ES" w:eastAsia="es-ES"/>
        </w:rPr>
        <w:t>[…]</w:t>
      </w:r>
    </w:p>
    <w:p w14:paraId="40E47525" w14:textId="77777777" w:rsidR="00302A80" w:rsidRPr="00CA38F1" w:rsidRDefault="00302A80" w:rsidP="002811B1">
      <w:pPr>
        <w:spacing w:after="0" w:line="240" w:lineRule="auto"/>
        <w:jc w:val="both"/>
        <w:rPr>
          <w:rFonts w:ascii="Verdana" w:eastAsia="Calibri" w:hAnsi="Verdana" w:cs="Arial"/>
          <w:bCs/>
          <w:sz w:val="20"/>
          <w:szCs w:val="20"/>
          <w:lang w:val="es-ES_tradnl" w:eastAsia="es-ES_tradnl"/>
        </w:rPr>
      </w:pPr>
    </w:p>
    <w:p w14:paraId="69568295" w14:textId="4626C2AA" w:rsidR="002811B1" w:rsidRPr="00CA38F1" w:rsidRDefault="002811B1" w:rsidP="002811B1">
      <w:pPr>
        <w:spacing w:after="0" w:line="240" w:lineRule="auto"/>
        <w:jc w:val="both"/>
        <w:rPr>
          <w:rFonts w:ascii="Verdana" w:eastAsia="Calibri" w:hAnsi="Verdana" w:cs="Arial"/>
          <w:bCs/>
          <w:sz w:val="20"/>
          <w:szCs w:val="20"/>
          <w:lang w:val="es-ES_tradnl" w:eastAsia="es-ES_tradnl"/>
        </w:rPr>
      </w:pPr>
      <w:r w:rsidRPr="00CA38F1">
        <w:rPr>
          <w:rFonts w:ascii="Verdana" w:eastAsia="Calibri" w:hAnsi="Verdana" w:cs="Arial"/>
          <w:bCs/>
          <w:sz w:val="20"/>
          <w:szCs w:val="20"/>
          <w:lang w:val="es-ES_tradnl" w:eastAsia="es-ES_tradnl"/>
        </w:rPr>
        <w:t>En suma, no es jurídicamente válido considerar la fecha de registro del establecimiento de comercio como criterio para computar el año de existencia exigido para solicitar la limitación a MiPymes o participar en procesos ya limitados</w:t>
      </w:r>
      <w:r w:rsidR="00407986" w:rsidRPr="00CA38F1">
        <w:rPr>
          <w:rFonts w:ascii="Verdana" w:eastAsia="Calibri" w:hAnsi="Verdana" w:cs="Arial"/>
          <w:bCs/>
          <w:sz w:val="20"/>
          <w:szCs w:val="20"/>
          <w:lang w:val="es-ES_tradnl" w:eastAsia="es-ES_tradnl"/>
        </w:rPr>
        <w:t xml:space="preserve">. </w:t>
      </w:r>
      <w:r w:rsidR="008B4CB2" w:rsidRPr="00CA38F1">
        <w:rPr>
          <w:rFonts w:ascii="Verdana" w:eastAsia="Calibri" w:hAnsi="Verdana" w:cs="Arial"/>
          <w:sz w:val="20"/>
          <w:szCs w:val="20"/>
          <w:lang w:val="es-ES_tradnl"/>
        </w:rPr>
        <w:t>[…]”</w:t>
      </w:r>
    </w:p>
    <w:p w14:paraId="6269729D" w14:textId="77777777" w:rsidR="00407986" w:rsidRPr="00CA38F1" w:rsidRDefault="00407986" w:rsidP="002811B1">
      <w:pPr>
        <w:spacing w:after="0" w:line="240" w:lineRule="auto"/>
        <w:jc w:val="both"/>
        <w:rPr>
          <w:rFonts w:ascii="Verdana" w:eastAsia="Calibri" w:hAnsi="Verdana" w:cs="Arial"/>
          <w:bCs/>
          <w:sz w:val="20"/>
          <w:szCs w:val="20"/>
          <w:lang w:val="es-ES_tradnl" w:eastAsia="es-ES_tradnl"/>
        </w:rPr>
      </w:pPr>
    </w:p>
    <w:p w14:paraId="0A014065" w14:textId="77777777" w:rsidR="00407986" w:rsidRPr="00CA38F1" w:rsidRDefault="00407986" w:rsidP="002811B1">
      <w:pPr>
        <w:spacing w:after="0" w:line="240" w:lineRule="auto"/>
        <w:jc w:val="both"/>
        <w:rPr>
          <w:rFonts w:ascii="Verdana" w:eastAsia="Calibri" w:hAnsi="Verdana" w:cs="Arial"/>
          <w:bCs/>
          <w:sz w:val="20"/>
          <w:szCs w:val="20"/>
          <w:lang w:val="es-ES_tradnl" w:eastAsia="es-ES_tradnl"/>
        </w:rPr>
      </w:pPr>
    </w:p>
    <w:p w14:paraId="279233CB" w14:textId="77777777" w:rsidR="002811B1" w:rsidRPr="00CA38F1" w:rsidRDefault="002811B1" w:rsidP="00E245AB">
      <w:pPr>
        <w:spacing w:after="0"/>
        <w:rPr>
          <w:rFonts w:ascii="Verdana" w:hAnsi="Verdana"/>
          <w:lang w:val="es-ES_tradnl"/>
        </w:rPr>
      </w:pPr>
    </w:p>
    <w:p w14:paraId="1BBC7AF7" w14:textId="77777777" w:rsidR="00A20A10" w:rsidRPr="00CA38F1" w:rsidRDefault="00A20A10" w:rsidP="00E245AB">
      <w:pPr>
        <w:spacing w:after="0"/>
        <w:rPr>
          <w:rFonts w:ascii="Verdana" w:hAnsi="Verdana"/>
        </w:rPr>
      </w:pPr>
    </w:p>
    <w:p w14:paraId="70C7737C" w14:textId="77777777" w:rsidR="002811B1" w:rsidRPr="00CA38F1" w:rsidRDefault="002811B1" w:rsidP="00E245AB">
      <w:pPr>
        <w:spacing w:after="0"/>
        <w:rPr>
          <w:rFonts w:ascii="Verdana" w:hAnsi="Verdana"/>
        </w:rPr>
      </w:pPr>
    </w:p>
    <w:p w14:paraId="3FE2184B" w14:textId="20C16438" w:rsidR="00E245AB" w:rsidRPr="00CA38F1" w:rsidRDefault="00897A3A" w:rsidP="00E245AB">
      <w:pPr>
        <w:spacing w:after="0"/>
        <w:rPr>
          <w:rFonts w:ascii="Verdana" w:hAnsi="Verdana"/>
        </w:rPr>
      </w:pPr>
      <w:r w:rsidRPr="00CA38F1">
        <w:rPr>
          <w:rFonts w:ascii="Verdana" w:hAnsi="Verdana"/>
        </w:rPr>
        <w:lastRenderedPageBreak/>
        <w:t xml:space="preserve">Bogotá D.C., </w:t>
      </w:r>
      <w:r w:rsidR="00C95E02" w:rsidRPr="00CA38F1">
        <w:rPr>
          <w:rFonts w:ascii="Verdana" w:hAnsi="Verdana"/>
        </w:rPr>
        <w:t>06 de octubre del 2025</w:t>
      </w:r>
      <w:r w:rsidR="00891928" w:rsidRPr="00CA38F1">
        <w:rPr>
          <w:rFonts w:ascii="Verdana" w:hAnsi="Verdana"/>
        </w:rPr>
        <w:tab/>
      </w:r>
    </w:p>
    <w:p w14:paraId="5FCADBF9" w14:textId="77777777" w:rsidR="00E245AB" w:rsidRPr="00CA38F1" w:rsidRDefault="00E245AB" w:rsidP="00E245AB">
      <w:pPr>
        <w:spacing w:after="0"/>
        <w:rPr>
          <w:rFonts w:ascii="Verdana" w:hAnsi="Verdana"/>
          <w:highlight w:val="cyan"/>
        </w:rPr>
      </w:pPr>
    </w:p>
    <w:p w14:paraId="19CD693E" w14:textId="7ECEE637" w:rsidR="003076C4" w:rsidRPr="00CA38F1" w:rsidRDefault="003076C4" w:rsidP="003076C4">
      <w:pPr>
        <w:spacing w:after="0"/>
        <w:jc w:val="right"/>
        <w:rPr>
          <w:rFonts w:ascii="Verdana" w:hAnsi="Verdana"/>
          <w:highlight w:val="cyan"/>
        </w:rPr>
      </w:pPr>
      <w:r w:rsidRPr="00CA38F1">
        <w:rPr>
          <w:rFonts w:ascii="Verdana" w:hAnsi="Verdana"/>
        </w:rPr>
        <w:drawing>
          <wp:inline distT="0" distB="0" distL="0" distR="0" wp14:anchorId="6262BAB9" wp14:editId="5F60CFD6">
            <wp:extent cx="2876550" cy="790575"/>
            <wp:effectExtent l="0" t="0" r="0" b="9525"/>
            <wp:docPr id="47225182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251823" name=""/>
                    <pic:cNvPicPr/>
                  </pic:nvPicPr>
                  <pic:blipFill>
                    <a:blip r:embed="rId11"/>
                    <a:stretch>
                      <a:fillRect/>
                    </a:stretch>
                  </pic:blipFill>
                  <pic:spPr>
                    <a:xfrm>
                      <a:off x="0" y="0"/>
                      <a:ext cx="2876955" cy="790686"/>
                    </a:xfrm>
                    <a:prstGeom prst="rect">
                      <a:avLst/>
                    </a:prstGeom>
                  </pic:spPr>
                </pic:pic>
              </a:graphicData>
            </a:graphic>
          </wp:inline>
        </w:drawing>
      </w:r>
    </w:p>
    <w:p w14:paraId="411A8984" w14:textId="4EF0A0E6" w:rsidR="00EC763E" w:rsidRPr="00CA38F1" w:rsidRDefault="00EC763E" w:rsidP="00EC763E">
      <w:pPr>
        <w:spacing w:after="0" w:line="240" w:lineRule="auto"/>
        <w:jc w:val="both"/>
        <w:rPr>
          <w:rFonts w:ascii="Verdana" w:eastAsia="Calibri" w:hAnsi="Verdana" w:cs="Arial"/>
          <w:color w:val="000000" w:themeColor="text1"/>
          <w:lang w:val="es-ES" w:eastAsia="es-ES"/>
        </w:rPr>
      </w:pPr>
      <w:r w:rsidRPr="00CA38F1">
        <w:rPr>
          <w:rFonts w:ascii="Verdana" w:eastAsia="Calibri" w:hAnsi="Verdana" w:cs="Arial"/>
          <w:color w:val="000000" w:themeColor="text1"/>
          <w:lang w:val="es-ES" w:eastAsia="es-ES"/>
        </w:rPr>
        <w:t>Señor</w:t>
      </w:r>
      <w:r w:rsidR="00521ADB" w:rsidRPr="00CA38F1">
        <w:rPr>
          <w:rFonts w:ascii="Verdana" w:eastAsia="Calibri" w:hAnsi="Verdana" w:cs="Arial"/>
          <w:color w:val="000000" w:themeColor="text1"/>
          <w:lang w:val="es-ES" w:eastAsia="es-ES"/>
        </w:rPr>
        <w:t>a:</w:t>
      </w:r>
    </w:p>
    <w:p w14:paraId="321A7687" w14:textId="016BA731" w:rsidR="00EC763E" w:rsidRPr="00CA38F1" w:rsidRDefault="00521ADB" w:rsidP="00EC763E">
      <w:pPr>
        <w:spacing w:after="0" w:line="240" w:lineRule="auto"/>
        <w:jc w:val="both"/>
        <w:rPr>
          <w:rFonts w:ascii="Verdana" w:eastAsia="Calibri" w:hAnsi="Verdana" w:cs="Arial"/>
          <w:b/>
          <w:bCs/>
          <w:color w:val="000000" w:themeColor="text1"/>
          <w:lang w:val="es-ES" w:eastAsia="es-ES"/>
        </w:rPr>
      </w:pPr>
      <w:r w:rsidRPr="00CA38F1">
        <w:rPr>
          <w:rFonts w:ascii="Verdana" w:eastAsia="Calibri" w:hAnsi="Verdana" w:cs="Arial"/>
          <w:b/>
          <w:bCs/>
          <w:color w:val="000000" w:themeColor="text1"/>
          <w:lang w:val="es-ES" w:eastAsia="es-ES"/>
        </w:rPr>
        <w:t xml:space="preserve">Alba Manrique Cárdenas </w:t>
      </w:r>
    </w:p>
    <w:p w14:paraId="79298F77" w14:textId="55C318D4" w:rsidR="008D2EC5" w:rsidRPr="00CA38F1" w:rsidRDefault="008D2EC5" w:rsidP="00EC763E">
      <w:pPr>
        <w:spacing w:after="0" w:line="240" w:lineRule="auto"/>
        <w:rPr>
          <w:rFonts w:ascii="Verdana" w:hAnsi="Verdana"/>
        </w:rPr>
      </w:pPr>
      <w:hyperlink r:id="rId12" w:history="1">
        <w:r w:rsidRPr="00CA38F1">
          <w:rPr>
            <w:rStyle w:val="Hipervnculo"/>
            <w:rFonts w:ascii="Verdana" w:hAnsi="Verdana"/>
          </w:rPr>
          <w:t>albamanrique909@gmail.com</w:t>
        </w:r>
      </w:hyperlink>
      <w:r w:rsidRPr="00CA38F1">
        <w:rPr>
          <w:rFonts w:ascii="Verdana" w:hAnsi="Verdana"/>
        </w:rPr>
        <w:t xml:space="preserve"> </w:t>
      </w:r>
    </w:p>
    <w:p w14:paraId="48AAFE4D" w14:textId="64A7A0D9" w:rsidR="00EC763E" w:rsidRPr="00CA38F1" w:rsidRDefault="00BE724E" w:rsidP="00EC763E">
      <w:pPr>
        <w:spacing w:after="0" w:line="240" w:lineRule="auto"/>
        <w:rPr>
          <w:rFonts w:ascii="Verdana" w:eastAsia="Calibri" w:hAnsi="Verdana" w:cs="Arial"/>
          <w:b/>
          <w:bCs/>
          <w:color w:val="000000" w:themeColor="text1"/>
          <w:lang w:val="es-ES_tradnl" w:eastAsia="es-ES"/>
        </w:rPr>
      </w:pPr>
      <w:r w:rsidRPr="00CA38F1">
        <w:rPr>
          <w:rFonts w:ascii="Verdana" w:eastAsia="Calibri" w:hAnsi="Verdana" w:cs="Arial"/>
          <w:color w:val="000000" w:themeColor="text1"/>
          <w:lang w:val="es-ES_tradnl" w:eastAsia="es-ES"/>
        </w:rPr>
        <w:t>San Gil, Santander</w:t>
      </w:r>
    </w:p>
    <w:p w14:paraId="62EAA025" w14:textId="77777777" w:rsidR="00EC763E" w:rsidRPr="00CA38F1" w:rsidRDefault="00EC763E" w:rsidP="00EC763E">
      <w:pPr>
        <w:spacing w:after="0" w:line="240" w:lineRule="auto"/>
        <w:rPr>
          <w:rFonts w:ascii="Verdana" w:eastAsia="Calibri" w:hAnsi="Verdana" w:cs="Arial"/>
          <w:b/>
          <w:bCs/>
          <w:color w:val="000000" w:themeColor="text1"/>
          <w:highlight w:val="cyan"/>
          <w:lang w:val="es-ES_tradnl" w:eastAsia="es-ES_tradnl"/>
        </w:rPr>
      </w:pPr>
    </w:p>
    <w:p w14:paraId="5E0E92EA" w14:textId="77777777" w:rsidR="00EC763E" w:rsidRPr="00CA38F1" w:rsidRDefault="00EC763E" w:rsidP="00EC763E">
      <w:pPr>
        <w:spacing w:after="0" w:line="240" w:lineRule="auto"/>
        <w:rPr>
          <w:rFonts w:ascii="Verdana" w:eastAsia="Calibri" w:hAnsi="Verdana" w:cs="Arial"/>
          <w:b/>
          <w:bCs/>
          <w:color w:val="000000" w:themeColor="text1"/>
          <w:highlight w:val="cyan"/>
          <w:lang w:val="es-ES_tradnl" w:eastAsia="es-ES_tradnl"/>
        </w:rPr>
      </w:pPr>
    </w:p>
    <w:p w14:paraId="7027154A" w14:textId="17302177" w:rsidR="00EC763E" w:rsidRPr="00CA38F1" w:rsidRDefault="00EC763E" w:rsidP="00EC763E">
      <w:pPr>
        <w:spacing w:after="0" w:line="240" w:lineRule="auto"/>
        <w:rPr>
          <w:rFonts w:ascii="Verdana" w:eastAsia="Calibri" w:hAnsi="Verdana" w:cs="Arial"/>
          <w:b/>
          <w:bCs/>
          <w:color w:val="000000" w:themeColor="text1"/>
          <w:lang w:val="es-ES_tradnl" w:eastAsia="es-ES_tradnl"/>
        </w:rPr>
      </w:pPr>
      <w:r w:rsidRPr="00CA38F1">
        <w:rPr>
          <w:rFonts w:ascii="Verdana" w:eastAsia="Calibri" w:hAnsi="Verdana" w:cs="Arial"/>
          <w:b/>
          <w:bCs/>
          <w:color w:val="000000" w:themeColor="text1"/>
          <w:lang w:val="es-ES_tradnl" w:eastAsia="es-ES_tradnl"/>
        </w:rPr>
        <w:t xml:space="preserve">                                   Concepto C-</w:t>
      </w:r>
      <w:r w:rsidR="00A2285C" w:rsidRPr="00CA38F1">
        <w:rPr>
          <w:rFonts w:ascii="Verdana" w:eastAsia="Calibri" w:hAnsi="Verdana" w:cs="Arial"/>
          <w:b/>
          <w:bCs/>
          <w:color w:val="000000" w:themeColor="text1"/>
          <w:lang w:val="es-ES_tradnl" w:eastAsia="es-ES_tradnl"/>
        </w:rPr>
        <w:t>1215 del 2025</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C763E" w:rsidRPr="00CA38F1" w14:paraId="172F1AFD" w14:textId="77777777" w:rsidTr="003C4364">
        <w:trPr>
          <w:gridAfter w:val="1"/>
          <w:wAfter w:w="6100" w:type="dxa"/>
          <w:trHeight w:val="884"/>
        </w:trPr>
        <w:tc>
          <w:tcPr>
            <w:tcW w:w="2689" w:type="dxa"/>
          </w:tcPr>
          <w:p w14:paraId="2668A282" w14:textId="77777777" w:rsidR="00EC763E" w:rsidRPr="00CA38F1" w:rsidRDefault="00EC763E" w:rsidP="003C4364">
            <w:pPr>
              <w:jc w:val="both"/>
              <w:rPr>
                <w:rFonts w:ascii="Verdana" w:eastAsia="Calibri" w:hAnsi="Verdana" w:cs="Arial"/>
                <w:b/>
                <w:bCs/>
                <w:color w:val="000000" w:themeColor="text1"/>
                <w:highlight w:val="cyan"/>
                <w:lang w:val="es-ES_tradnl" w:eastAsia="es-ES_tradnl"/>
              </w:rPr>
            </w:pPr>
          </w:p>
        </w:tc>
      </w:tr>
      <w:tr w:rsidR="00EC5876" w:rsidRPr="00CA38F1" w14:paraId="49FD7897" w14:textId="77777777" w:rsidTr="003C4364">
        <w:trPr>
          <w:trHeight w:val="884"/>
        </w:trPr>
        <w:tc>
          <w:tcPr>
            <w:tcW w:w="2689" w:type="dxa"/>
          </w:tcPr>
          <w:p w14:paraId="052B1383" w14:textId="77777777" w:rsidR="00EC5876" w:rsidRPr="00CA38F1" w:rsidRDefault="00EC5876" w:rsidP="00EC5876">
            <w:pPr>
              <w:jc w:val="both"/>
              <w:rPr>
                <w:rFonts w:ascii="Verdana" w:eastAsia="Calibri" w:hAnsi="Verdana" w:cs="Arial"/>
                <w:color w:val="000000" w:themeColor="text1"/>
                <w:highlight w:val="cyan"/>
                <w:lang w:val="es-ES_tradnl" w:eastAsia="es-ES_tradnl"/>
              </w:rPr>
            </w:pPr>
            <w:r w:rsidRPr="00CA38F1">
              <w:rPr>
                <w:rFonts w:ascii="Verdana" w:eastAsia="Calibri" w:hAnsi="Verdana" w:cs="Arial"/>
                <w:b/>
                <w:color w:val="000000" w:themeColor="text1"/>
                <w:lang w:val="es-ES_tradnl" w:eastAsia="es-ES_tradnl"/>
              </w:rPr>
              <w:t>Temas:</w:t>
            </w:r>
            <w:r w:rsidRPr="00CA38F1">
              <w:rPr>
                <w:rFonts w:ascii="Verdana" w:eastAsia="Calibri" w:hAnsi="Verdana" w:cs="Arial"/>
                <w:color w:val="000000" w:themeColor="text1"/>
                <w:lang w:val="es-ES_tradnl" w:eastAsia="es-ES_tradnl"/>
              </w:rPr>
              <w:t xml:space="preserve">                   </w:t>
            </w:r>
          </w:p>
        </w:tc>
        <w:tc>
          <w:tcPr>
            <w:tcW w:w="6100" w:type="dxa"/>
          </w:tcPr>
          <w:p w14:paraId="5E22354D" w14:textId="4F51AC3E" w:rsidR="001A40F6" w:rsidRPr="00CA38F1" w:rsidRDefault="00EC5876" w:rsidP="001A40F6">
            <w:pPr>
              <w:spacing w:line="276" w:lineRule="auto"/>
              <w:jc w:val="both"/>
              <w:rPr>
                <w:rFonts w:ascii="Verdana" w:hAnsi="Verdana" w:cs="Arial"/>
                <w:lang w:eastAsia="es-CO"/>
              </w:rPr>
            </w:pPr>
            <w:r w:rsidRPr="00CA38F1">
              <w:rPr>
                <w:rFonts w:ascii="Verdana" w:eastAsia="Calibri" w:hAnsi="Verdana" w:cs="Arial"/>
                <w:bCs/>
                <w:lang w:val="es-ES_tradnl"/>
              </w:rPr>
              <w:t xml:space="preserve">PROMOCIÓN AL DESARROLLO – Ley 2069 de 2020 – Artículo 34 / </w:t>
            </w:r>
            <w:r w:rsidRPr="00CA38F1">
              <w:rPr>
                <w:rFonts w:ascii="Verdana" w:eastAsia="Arial" w:hAnsi="Verdana" w:cs="Arial"/>
                <w:bCs/>
                <w:color w:val="000000"/>
              </w:rPr>
              <w:t xml:space="preserve">CONVOCATORIAS LIMITADAS A MIPYMES NACIONALES – Requisitos </w:t>
            </w:r>
            <w:r w:rsidRPr="00CA38F1">
              <w:rPr>
                <w:rFonts w:ascii="Verdana" w:eastAsia="Calibri" w:hAnsi="Verdana" w:cs="Arial"/>
                <w:lang w:eastAsia="es-ES"/>
              </w:rPr>
              <w:t xml:space="preserve">– Presupuestos mínimos </w:t>
            </w:r>
            <w:r w:rsidRPr="00CA38F1">
              <w:rPr>
                <w:rFonts w:ascii="Verdana" w:eastAsia="Calibri" w:hAnsi="Verdana" w:cs="Arial"/>
                <w:lang w:val="es-ES" w:eastAsia="es-ES"/>
              </w:rPr>
              <w:t xml:space="preserve">/ </w:t>
            </w:r>
            <w:r w:rsidRPr="00CA38F1">
              <w:rPr>
                <w:rFonts w:ascii="Verdana" w:hAnsi="Verdana" w:cs="Arial"/>
                <w:bCs/>
                <w:lang w:val="es-ES" w:eastAsia="es-CO"/>
              </w:rPr>
              <w:t>MIPYME</w:t>
            </w:r>
            <w:r w:rsidR="001161A7" w:rsidRPr="00CA38F1">
              <w:rPr>
                <w:rFonts w:ascii="Verdana" w:hAnsi="Verdana" w:cs="Arial"/>
                <w:bCs/>
                <w:lang w:val="es-ES" w:eastAsia="es-CO"/>
              </w:rPr>
              <w:t xml:space="preserve"> </w:t>
            </w:r>
            <w:r w:rsidR="001161A7" w:rsidRPr="00CA38F1">
              <w:rPr>
                <w:rFonts w:ascii="Verdana" w:hAnsi="Verdana" w:cs="Arial"/>
                <w:bCs/>
                <w:lang w:eastAsia="es-CO"/>
              </w:rPr>
              <w:t xml:space="preserve">– Convocatoria limitada – Acreditación – Persona natural – RUP / </w:t>
            </w:r>
            <w:r w:rsidR="001A40F6" w:rsidRPr="00CA38F1">
              <w:rPr>
                <w:rFonts w:ascii="Verdana" w:hAnsi="Verdana" w:cs="Arial"/>
                <w:lang w:val="es-ES" w:eastAsia="es-CO"/>
              </w:rPr>
              <w:t>CERTIFICADO DE EXISTENCIA Y REPRESENTACIÓN LEGAL – Constitución mínima de 1 año – No Equiparable con Registro Mercantil – Diferencia con establecimiento de Comercio.</w:t>
            </w:r>
          </w:p>
          <w:p w14:paraId="60983386" w14:textId="3CBF7044" w:rsidR="00EC5876" w:rsidRPr="00CA38F1" w:rsidRDefault="00EC5876" w:rsidP="00EC5876">
            <w:pPr>
              <w:spacing w:line="276" w:lineRule="auto"/>
              <w:jc w:val="both"/>
              <w:rPr>
                <w:rFonts w:ascii="Verdana" w:hAnsi="Verdana" w:cs="Arial"/>
                <w:bCs/>
                <w:color w:val="000000" w:themeColor="text1"/>
                <w:highlight w:val="cyan"/>
              </w:rPr>
            </w:pPr>
          </w:p>
        </w:tc>
      </w:tr>
      <w:tr w:rsidR="00EC763E" w:rsidRPr="00CA38F1" w14:paraId="7D6C417B" w14:textId="77777777" w:rsidTr="003C4364">
        <w:tc>
          <w:tcPr>
            <w:tcW w:w="2689" w:type="dxa"/>
          </w:tcPr>
          <w:p w14:paraId="1C081BB0" w14:textId="77777777" w:rsidR="00EC763E" w:rsidRPr="00CA38F1" w:rsidRDefault="00EC763E" w:rsidP="003C4364">
            <w:pPr>
              <w:jc w:val="both"/>
              <w:rPr>
                <w:rFonts w:ascii="Verdana" w:eastAsia="Calibri" w:hAnsi="Verdana" w:cs="Arial"/>
                <w:b/>
                <w:color w:val="000000" w:themeColor="text1"/>
                <w:lang w:val="es-ES_tradnl" w:eastAsia="es-ES_tradnl"/>
              </w:rPr>
            </w:pPr>
            <w:r w:rsidRPr="00CA38F1">
              <w:rPr>
                <w:rFonts w:ascii="Verdana" w:eastAsia="Calibri" w:hAnsi="Verdana" w:cs="Arial"/>
                <w:b/>
                <w:color w:val="000000" w:themeColor="text1"/>
                <w:lang w:val="es-ES_tradnl" w:eastAsia="es-ES_tradnl"/>
              </w:rPr>
              <w:t>Radicación:</w:t>
            </w:r>
            <w:r w:rsidRPr="00CA38F1">
              <w:rPr>
                <w:rFonts w:ascii="Verdana" w:eastAsia="Calibri" w:hAnsi="Verdana" w:cs="Arial"/>
                <w:color w:val="000000" w:themeColor="text1"/>
                <w:lang w:val="es-ES_tradnl" w:eastAsia="es-ES_tradnl"/>
              </w:rPr>
              <w:t xml:space="preserve">               </w:t>
            </w:r>
          </w:p>
        </w:tc>
        <w:tc>
          <w:tcPr>
            <w:tcW w:w="6100" w:type="dxa"/>
          </w:tcPr>
          <w:p w14:paraId="2A581987" w14:textId="182826E7" w:rsidR="003B5DA3" w:rsidRPr="00CA38F1" w:rsidRDefault="00EC763E" w:rsidP="003B5DA3">
            <w:pPr>
              <w:jc w:val="both"/>
              <w:rPr>
                <w:rFonts w:ascii="Verdana" w:hAnsi="Verdana" w:cs="Arial"/>
              </w:rPr>
            </w:pPr>
            <w:r w:rsidRPr="00CA38F1">
              <w:rPr>
                <w:rFonts w:ascii="Verdana" w:eastAsia="Calibri" w:hAnsi="Verdana" w:cs="Arial"/>
                <w:color w:val="000000" w:themeColor="text1"/>
                <w:lang w:val="es-ES_tradnl" w:eastAsia="es-ES_tradnl"/>
              </w:rPr>
              <w:t>Respuesta a consulta con radicado No.</w:t>
            </w:r>
            <w:r w:rsidR="003B5DA3" w:rsidRPr="00CA38F1">
              <w:rPr>
                <w:rFonts w:ascii="Verdana" w:eastAsia="Calibri" w:hAnsi="Verdana" w:cs="Arial"/>
                <w:color w:val="000000" w:themeColor="text1"/>
                <w:lang w:val="es-ES_tradnl" w:eastAsia="es-ES_tradnl"/>
              </w:rPr>
              <w:t xml:space="preserve"> </w:t>
            </w:r>
            <w:r w:rsidR="003B5DA3" w:rsidRPr="00CA38F1">
              <w:rPr>
                <w:rFonts w:ascii="Verdana" w:hAnsi="Verdana"/>
                <w:color w:val="000000"/>
              </w:rPr>
              <w:t>1_2025_08_27_009141</w:t>
            </w:r>
          </w:p>
          <w:p w14:paraId="6BC84782" w14:textId="4E9E4F61" w:rsidR="00EC763E" w:rsidRPr="00CA38F1" w:rsidRDefault="00EC763E" w:rsidP="003C4364">
            <w:pPr>
              <w:jc w:val="both"/>
              <w:rPr>
                <w:rFonts w:ascii="Verdana" w:hAnsi="Verdana"/>
                <w:color w:val="000000"/>
              </w:rPr>
            </w:pPr>
          </w:p>
        </w:tc>
      </w:tr>
    </w:tbl>
    <w:p w14:paraId="3D19043E" w14:textId="77777777" w:rsidR="00EC763E" w:rsidRPr="00CA38F1" w:rsidRDefault="00EC763E" w:rsidP="00EC763E">
      <w:pPr>
        <w:spacing w:after="0" w:line="240" w:lineRule="auto"/>
        <w:jc w:val="both"/>
        <w:rPr>
          <w:rFonts w:ascii="Verdana" w:eastAsia="Calibri" w:hAnsi="Verdana" w:cs="Arial"/>
          <w:color w:val="000000" w:themeColor="text1"/>
          <w:highlight w:val="cyan"/>
          <w:lang w:val="es-ES_tradnl" w:eastAsia="es-ES_tradnl"/>
        </w:rPr>
      </w:pPr>
    </w:p>
    <w:p w14:paraId="03C4A268" w14:textId="77777777" w:rsidR="00EC763E" w:rsidRPr="00CA38F1" w:rsidRDefault="00EC763E" w:rsidP="00EC763E">
      <w:pPr>
        <w:spacing w:after="0" w:line="240" w:lineRule="auto"/>
        <w:jc w:val="both"/>
        <w:rPr>
          <w:rFonts w:ascii="Verdana" w:eastAsia="Calibri" w:hAnsi="Verdana" w:cs="Arial"/>
          <w:color w:val="000000" w:themeColor="text1"/>
          <w:lang w:val="es-ES_tradnl" w:eastAsia="es-ES_tradnl"/>
        </w:rPr>
      </w:pPr>
    </w:p>
    <w:p w14:paraId="29972821" w14:textId="1E4A0823" w:rsidR="00EC763E" w:rsidRPr="00CA38F1" w:rsidRDefault="00EC763E" w:rsidP="00EC763E">
      <w:pPr>
        <w:spacing w:after="0" w:line="276" w:lineRule="auto"/>
        <w:jc w:val="both"/>
        <w:rPr>
          <w:rFonts w:ascii="Verdana" w:eastAsia="Calibri" w:hAnsi="Verdana" w:cs="Arial"/>
          <w:color w:val="000000" w:themeColor="text1"/>
          <w:lang w:val="es-ES" w:eastAsia="es-ES"/>
        </w:rPr>
      </w:pPr>
      <w:r w:rsidRPr="00CA38F1">
        <w:rPr>
          <w:rFonts w:ascii="Verdana" w:eastAsia="Calibri" w:hAnsi="Verdana" w:cs="Arial"/>
          <w:color w:val="000000" w:themeColor="text1"/>
          <w:lang w:val="es-ES" w:eastAsia="es-ES"/>
        </w:rPr>
        <w:t>Estimad</w:t>
      </w:r>
      <w:r w:rsidR="003B5DA3" w:rsidRPr="00CA38F1">
        <w:rPr>
          <w:rFonts w:ascii="Verdana" w:eastAsia="Calibri" w:hAnsi="Verdana" w:cs="Arial"/>
          <w:color w:val="000000" w:themeColor="text1"/>
          <w:lang w:val="es-ES" w:eastAsia="es-ES"/>
        </w:rPr>
        <w:t>a</w:t>
      </w:r>
      <w:r w:rsidRPr="00CA38F1">
        <w:rPr>
          <w:rFonts w:ascii="Verdana" w:eastAsia="Calibri" w:hAnsi="Verdana" w:cs="Arial"/>
          <w:color w:val="000000" w:themeColor="text1"/>
          <w:lang w:val="es-ES" w:eastAsia="es-ES"/>
        </w:rPr>
        <w:t xml:space="preserve"> señor</w:t>
      </w:r>
      <w:r w:rsidR="003B5DA3" w:rsidRPr="00CA38F1">
        <w:rPr>
          <w:rFonts w:ascii="Verdana" w:eastAsia="Calibri" w:hAnsi="Verdana" w:cs="Arial"/>
          <w:color w:val="000000" w:themeColor="text1"/>
          <w:lang w:val="es-ES" w:eastAsia="es-ES"/>
        </w:rPr>
        <w:t>a</w:t>
      </w:r>
      <w:r w:rsidRPr="00CA38F1">
        <w:rPr>
          <w:rFonts w:ascii="Verdana" w:eastAsia="Calibri" w:hAnsi="Verdana" w:cs="Arial"/>
          <w:color w:val="000000" w:themeColor="text1"/>
          <w:lang w:val="es-ES" w:eastAsia="es-ES"/>
        </w:rPr>
        <w:t xml:space="preserve"> </w:t>
      </w:r>
      <w:r w:rsidR="003B5DA3" w:rsidRPr="00CA38F1">
        <w:rPr>
          <w:rFonts w:ascii="Verdana" w:eastAsia="Calibri" w:hAnsi="Verdana" w:cs="Arial"/>
          <w:color w:val="000000" w:themeColor="text1"/>
          <w:lang w:val="es-ES" w:eastAsia="es-ES"/>
        </w:rPr>
        <w:t>Manrique</w:t>
      </w:r>
      <w:r w:rsidRPr="00CA38F1">
        <w:rPr>
          <w:rFonts w:ascii="Verdana" w:eastAsia="Calibri" w:hAnsi="Verdana" w:cs="Arial"/>
          <w:color w:val="000000" w:themeColor="text1"/>
          <w:lang w:val="es-ES" w:eastAsia="es-ES"/>
        </w:rPr>
        <w:t xml:space="preserve">: </w:t>
      </w:r>
    </w:p>
    <w:p w14:paraId="26EB443E" w14:textId="77777777" w:rsidR="00EC763E" w:rsidRPr="00CA38F1" w:rsidRDefault="00EC763E" w:rsidP="00EC763E">
      <w:pPr>
        <w:tabs>
          <w:tab w:val="left" w:pos="3768"/>
        </w:tabs>
        <w:spacing w:after="0" w:line="276" w:lineRule="auto"/>
        <w:jc w:val="both"/>
        <w:rPr>
          <w:rFonts w:ascii="Verdana" w:eastAsia="Calibri" w:hAnsi="Verdana" w:cs="Arial"/>
          <w:color w:val="000000" w:themeColor="text1"/>
          <w:lang w:val="es-ES" w:eastAsia="es-ES"/>
        </w:rPr>
      </w:pPr>
      <w:r w:rsidRPr="00CA38F1">
        <w:rPr>
          <w:rFonts w:ascii="Verdana" w:eastAsia="Calibri" w:hAnsi="Verdana" w:cs="Arial"/>
          <w:color w:val="000000" w:themeColor="text1"/>
          <w:lang w:val="es-ES" w:eastAsia="es-ES"/>
        </w:rPr>
        <w:tab/>
      </w:r>
    </w:p>
    <w:p w14:paraId="3772D912" w14:textId="7DB9AF82" w:rsidR="00EC763E" w:rsidRPr="00CA38F1" w:rsidRDefault="00EC763E" w:rsidP="004C53C2">
      <w:pPr>
        <w:spacing w:after="0" w:line="276" w:lineRule="auto"/>
        <w:jc w:val="both"/>
        <w:rPr>
          <w:rFonts w:ascii="Verdana" w:eastAsia="Calibri" w:hAnsi="Verdana" w:cs="Arial"/>
          <w:color w:val="000000" w:themeColor="text1"/>
          <w:lang w:val="es-ES" w:eastAsia="es-ES"/>
        </w:rPr>
      </w:pPr>
      <w:r w:rsidRPr="00CA38F1">
        <w:rPr>
          <w:rFonts w:ascii="Verdana" w:eastAsia="Calibri" w:hAnsi="Verdana" w:cs="Arial"/>
          <w:color w:val="000000" w:themeColor="text1"/>
          <w:lang w:val="es-ES" w:eastAsia="es-ES"/>
        </w:rPr>
        <w:t>En ejercicio de la competencia otorgada por los artículos 3, numeral 5º, y 11, numeral 8º, del Decreto Ley 4170 de 2011,</w:t>
      </w:r>
      <w:r w:rsidRPr="00CA38F1">
        <w:rPr>
          <w:rFonts w:ascii="Verdana" w:eastAsia="Arial MT" w:hAnsi="Verdana" w:cs="Arial MT"/>
          <w:color w:val="000000" w:themeColor="text1"/>
          <w:lang w:val="es-ES" w:eastAsia="es-ES"/>
        </w:rPr>
        <w:t xml:space="preserve"> </w:t>
      </w:r>
      <w:r w:rsidRPr="00CA38F1">
        <w:rPr>
          <w:rFonts w:ascii="Verdana" w:hAnsi="Verdana" w:cs="Arial"/>
          <w:color w:val="000000" w:themeColor="text1"/>
        </w:rPr>
        <w:t xml:space="preserve">así como lo establecido en el artículo 4 de la Resolución 1707 de 2018 expedida por esta Entidad, </w:t>
      </w:r>
      <w:r w:rsidRPr="00CA38F1">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00AE3F6A" w:rsidRPr="00CA38F1">
        <w:rPr>
          <w:rFonts w:ascii="Verdana" w:eastAsia="Calibri" w:hAnsi="Verdana" w:cs="Arial"/>
          <w:color w:val="000000" w:themeColor="text1"/>
          <w:lang w:val="es-ES" w:eastAsia="es-ES"/>
        </w:rPr>
        <w:t>27 de agosto del 2025</w:t>
      </w:r>
      <w:r w:rsidRPr="00CA38F1">
        <w:rPr>
          <w:rFonts w:ascii="Verdana" w:eastAsia="Calibri" w:hAnsi="Verdana" w:cs="Arial"/>
          <w:color w:val="000000" w:themeColor="text1"/>
          <w:lang w:val="es-ES" w:eastAsia="es-ES"/>
        </w:rPr>
        <w:t xml:space="preserve">, en la cual manifiesta lo siguiente: </w:t>
      </w:r>
    </w:p>
    <w:p w14:paraId="27A4D2A3" w14:textId="77777777" w:rsidR="004C53C2" w:rsidRPr="00CA38F1" w:rsidRDefault="004C53C2" w:rsidP="004C53C2">
      <w:pPr>
        <w:spacing w:after="0" w:line="276" w:lineRule="auto"/>
        <w:jc w:val="both"/>
        <w:rPr>
          <w:rFonts w:ascii="Verdana" w:eastAsia="Calibri" w:hAnsi="Verdana" w:cs="Arial"/>
          <w:color w:val="000000" w:themeColor="text1"/>
          <w:lang w:val="es-ES" w:eastAsia="es-ES"/>
        </w:rPr>
      </w:pPr>
    </w:p>
    <w:p w14:paraId="3041C39E" w14:textId="70977CC3" w:rsidR="00EC763E" w:rsidRPr="00CA38F1" w:rsidRDefault="00EC763E" w:rsidP="00723D81">
      <w:pPr>
        <w:spacing w:after="0" w:line="240" w:lineRule="auto"/>
        <w:ind w:left="709" w:right="709"/>
        <w:jc w:val="both"/>
        <w:rPr>
          <w:rFonts w:ascii="Verdana" w:hAnsi="Verdana"/>
          <w:sz w:val="20"/>
          <w:szCs w:val="20"/>
        </w:rPr>
      </w:pPr>
      <w:bookmarkStart w:id="1" w:name="_Hlk95313578"/>
      <w:r w:rsidRPr="00CA38F1">
        <w:rPr>
          <w:rFonts w:ascii="Verdana" w:eastAsia="Century Gothic" w:hAnsi="Verdana" w:cs="Century Gothic"/>
          <w:i/>
          <w:iCs/>
          <w:color w:val="000000" w:themeColor="text1"/>
          <w:sz w:val="20"/>
          <w:szCs w:val="20"/>
          <w:lang w:val="es-ES"/>
        </w:rPr>
        <w:lastRenderedPageBreak/>
        <w:t>“</w:t>
      </w:r>
      <w:bookmarkEnd w:id="1"/>
      <w:r w:rsidR="00EA7641" w:rsidRPr="00CA38F1">
        <w:rPr>
          <w:rFonts w:ascii="Verdana" w:eastAsia="Century Gothic" w:hAnsi="Verdana" w:cs="Century Gothic"/>
          <w:i/>
          <w:iCs/>
          <w:color w:val="000000" w:themeColor="text1"/>
          <w:sz w:val="20"/>
          <w:szCs w:val="20"/>
          <w:lang w:val="es-ES"/>
        </w:rPr>
        <w:t xml:space="preserve">[…] </w:t>
      </w:r>
      <w:r w:rsidR="002A2706" w:rsidRPr="00CA38F1">
        <w:rPr>
          <w:rFonts w:ascii="Verdana" w:hAnsi="Verdana"/>
          <w:sz w:val="20"/>
          <w:szCs w:val="20"/>
        </w:rPr>
        <w:t>Un establecimiento de comercio fue inscrito en el registro mercantil hace más de un año, pero su propiedad fue transferida a otra persona natural que figura como titular desde hace cinco meses.</w:t>
      </w:r>
      <w:r w:rsidR="00723D81" w:rsidRPr="00CA38F1">
        <w:rPr>
          <w:rFonts w:ascii="Verdana" w:hAnsi="Verdana"/>
          <w:sz w:val="20"/>
          <w:szCs w:val="20"/>
        </w:rPr>
        <w:t xml:space="preserve"> </w:t>
      </w:r>
      <w:r w:rsidR="002A2706" w:rsidRPr="00CA38F1">
        <w:rPr>
          <w:rFonts w:ascii="Verdana" w:hAnsi="Verdana"/>
          <w:sz w:val="20"/>
          <w:szCs w:val="20"/>
        </w:rPr>
        <w:t xml:space="preserve">En este contexto, solicitamos precisar: para efectos de acreditar la antigüedad mínima de un (1) </w:t>
      </w:r>
      <w:proofErr w:type="gramStart"/>
      <w:r w:rsidR="002A2706" w:rsidRPr="00CA38F1">
        <w:rPr>
          <w:rFonts w:ascii="Verdana" w:hAnsi="Verdana"/>
          <w:sz w:val="20"/>
          <w:szCs w:val="20"/>
        </w:rPr>
        <w:t>año exigida</w:t>
      </w:r>
      <w:proofErr w:type="gramEnd"/>
      <w:r w:rsidR="002A2706" w:rsidRPr="00CA38F1">
        <w:rPr>
          <w:rFonts w:ascii="Verdana" w:hAnsi="Verdana"/>
          <w:sz w:val="20"/>
          <w:szCs w:val="20"/>
        </w:rPr>
        <w:t xml:space="preserve"> a las MIPYMES para participar en procesos de contratación pública limitados a este segmento, ¿la entidad estatal debe tener en cuenta la fecha de inscripción inicial del establecimiento de comercio en la Cámara de Comercio, o la fecha desde la cual el actual propietario aparece inscrito como comerciante y titular?</w:t>
      </w:r>
      <w:r w:rsidR="00EA7641" w:rsidRPr="00CA38F1">
        <w:rPr>
          <w:rFonts w:ascii="Verdana" w:hAnsi="Verdana"/>
          <w:sz w:val="20"/>
          <w:szCs w:val="20"/>
        </w:rPr>
        <w:t xml:space="preserve"> </w:t>
      </w:r>
      <w:r w:rsidR="00EA7641" w:rsidRPr="00CA38F1">
        <w:rPr>
          <w:rFonts w:ascii="Verdana" w:eastAsia="Century Gothic" w:hAnsi="Verdana" w:cs="Century Gothic"/>
          <w:i/>
          <w:iCs/>
          <w:color w:val="000000" w:themeColor="text1"/>
          <w:sz w:val="20"/>
          <w:szCs w:val="20"/>
          <w:lang w:val="es-ES"/>
        </w:rPr>
        <w:t>[…]”</w:t>
      </w:r>
    </w:p>
    <w:p w14:paraId="2CE60EAF" w14:textId="77777777" w:rsidR="002A2706" w:rsidRPr="00CA38F1" w:rsidRDefault="002A2706" w:rsidP="002A2706">
      <w:pPr>
        <w:spacing w:after="0" w:line="240" w:lineRule="auto"/>
        <w:ind w:left="709" w:right="709"/>
        <w:jc w:val="both"/>
        <w:rPr>
          <w:rFonts w:ascii="Verdana" w:eastAsia="Times New Roman" w:hAnsi="Verdana" w:cs="Arial"/>
          <w:i/>
          <w:iCs/>
          <w:sz w:val="20"/>
          <w:szCs w:val="20"/>
          <w:highlight w:val="cyan"/>
          <w:lang w:eastAsia="es-ES_tradnl"/>
        </w:rPr>
      </w:pPr>
    </w:p>
    <w:p w14:paraId="65FA4476" w14:textId="77777777" w:rsidR="00EC763E" w:rsidRPr="00CA38F1" w:rsidRDefault="00EC763E" w:rsidP="00EC763E">
      <w:pPr>
        <w:spacing w:after="120" w:line="276" w:lineRule="auto"/>
        <w:ind w:firstLine="709"/>
        <w:jc w:val="both"/>
        <w:rPr>
          <w:rFonts w:ascii="Verdana" w:eastAsia="Calibri" w:hAnsi="Verdana" w:cs="Arial"/>
          <w:color w:val="000000" w:themeColor="text1"/>
          <w:szCs w:val="24"/>
          <w:lang w:val="es-ES_tradnl" w:eastAsia="es-ES_tradnl"/>
        </w:rPr>
      </w:pPr>
      <w:r w:rsidRPr="00CA38F1">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A38F1">
        <w:rPr>
          <w:rFonts w:ascii="Verdana" w:eastAsia="Calibri" w:hAnsi="Verdana" w:cs="Arial"/>
          <w:color w:val="000000" w:themeColor="text1"/>
          <w:szCs w:val="24"/>
          <w:lang w:val="es-ES_tradnl" w:eastAsia="es-ES_tradnl"/>
        </w:rPr>
        <w:tab/>
      </w:r>
    </w:p>
    <w:p w14:paraId="4D214852" w14:textId="77777777" w:rsidR="00EC763E" w:rsidRPr="00CA38F1" w:rsidRDefault="00EC763E" w:rsidP="00EC763E">
      <w:pPr>
        <w:spacing w:after="0" w:line="276" w:lineRule="auto"/>
        <w:ind w:firstLine="709"/>
        <w:jc w:val="both"/>
        <w:rPr>
          <w:rFonts w:ascii="Verdana" w:eastAsia="Calibri" w:hAnsi="Verdana" w:cs="Arial"/>
          <w:color w:val="000000" w:themeColor="text1"/>
          <w:lang w:val="es-ES" w:eastAsia="es-ES"/>
        </w:rPr>
      </w:pPr>
      <w:r w:rsidRPr="00CA38F1">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10E04962" w14:textId="77777777" w:rsidR="00EC763E" w:rsidRPr="00CA38F1" w:rsidRDefault="00EC763E" w:rsidP="00EC763E">
      <w:pPr>
        <w:spacing w:after="0" w:line="276" w:lineRule="auto"/>
        <w:ind w:firstLine="709"/>
        <w:jc w:val="both"/>
        <w:rPr>
          <w:rFonts w:ascii="Verdana" w:eastAsia="Calibri" w:hAnsi="Verdana" w:cs="Arial"/>
          <w:color w:val="000000" w:themeColor="text1"/>
          <w:highlight w:val="cyan"/>
          <w:lang w:val="es-ES" w:eastAsia="es-ES"/>
        </w:rPr>
      </w:pPr>
    </w:p>
    <w:p w14:paraId="076BF50B" w14:textId="77777777" w:rsidR="00EC763E" w:rsidRPr="00CA38F1" w:rsidRDefault="00EC763E" w:rsidP="00EC763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CA38F1">
        <w:rPr>
          <w:rFonts w:ascii="Verdana" w:eastAsia="Century Gothic" w:hAnsi="Verdana" w:cs="Century Gothic"/>
          <w:b/>
          <w:bCs/>
          <w:color w:val="000000" w:themeColor="text1"/>
        </w:rPr>
        <w:t>Problema planteado:</w:t>
      </w:r>
    </w:p>
    <w:p w14:paraId="53A46290" w14:textId="77777777" w:rsidR="00EC763E" w:rsidRPr="00CA38F1" w:rsidRDefault="00EC763E" w:rsidP="00EC763E">
      <w:pPr>
        <w:tabs>
          <w:tab w:val="left" w:pos="426"/>
        </w:tabs>
        <w:spacing w:after="0" w:line="276" w:lineRule="auto"/>
        <w:jc w:val="both"/>
        <w:rPr>
          <w:rFonts w:ascii="Verdana" w:eastAsia="Century Gothic" w:hAnsi="Verdana" w:cs="Century Gothic"/>
          <w:color w:val="000000" w:themeColor="text1"/>
          <w:highlight w:val="cyan"/>
          <w:lang w:val="es-ES"/>
        </w:rPr>
      </w:pPr>
    </w:p>
    <w:p w14:paraId="646617A9" w14:textId="5A143AE7" w:rsidR="00EC763E" w:rsidRPr="00CA38F1" w:rsidRDefault="00EC763E" w:rsidP="00EC763E">
      <w:pPr>
        <w:spacing w:after="0" w:line="276" w:lineRule="auto"/>
        <w:jc w:val="both"/>
        <w:rPr>
          <w:rFonts w:ascii="Verdana" w:eastAsia="Century Gothic" w:hAnsi="Verdana" w:cs="Century Gothic"/>
          <w:color w:val="000000" w:themeColor="text1"/>
        </w:rPr>
      </w:pPr>
      <w:r w:rsidRPr="00CA38F1">
        <w:rPr>
          <w:rFonts w:ascii="Verdana" w:eastAsia="Century Gothic" w:hAnsi="Verdana" w:cs="Century Gothic"/>
          <w:color w:val="000000" w:themeColor="text1"/>
        </w:rPr>
        <w:t xml:space="preserve">De acuerdo con el contenido de su solicitud, esta Agencia resolverá el siguiente problema jurídico: </w:t>
      </w:r>
      <w:r w:rsidR="00032342" w:rsidRPr="00CA38F1">
        <w:rPr>
          <w:rFonts w:ascii="Verdana" w:eastAsia="Century Gothic" w:hAnsi="Verdana" w:cs="Century Gothic"/>
          <w:color w:val="000000" w:themeColor="text1"/>
        </w:rPr>
        <w:t>¿La antigüedad exigida de mínimo un (1) año de existencia, prevista en el artículo 2.2.1.2.4.2.2. del Decreto 1082 de 2015</w:t>
      </w:r>
      <w:r w:rsidR="00560D54" w:rsidRPr="00CA38F1">
        <w:rPr>
          <w:rFonts w:ascii="Verdana" w:eastAsia="Century Gothic" w:hAnsi="Verdana" w:cs="Century Gothic"/>
          <w:color w:val="000000" w:themeColor="text1"/>
        </w:rPr>
        <w:t xml:space="preserve">, </w:t>
      </w:r>
      <w:r w:rsidR="00032342" w:rsidRPr="00CA38F1">
        <w:rPr>
          <w:rFonts w:ascii="Verdana" w:eastAsia="Century Gothic" w:hAnsi="Verdana" w:cs="Century Gothic"/>
          <w:color w:val="000000" w:themeColor="text1"/>
        </w:rPr>
        <w:t xml:space="preserve">para que una </w:t>
      </w:r>
      <w:r w:rsidR="00560D54" w:rsidRPr="00CA38F1">
        <w:rPr>
          <w:rFonts w:ascii="Verdana" w:eastAsia="Century Gothic" w:hAnsi="Verdana" w:cs="Century Gothic"/>
          <w:color w:val="000000" w:themeColor="text1"/>
        </w:rPr>
        <w:t>MiPyme</w:t>
      </w:r>
      <w:r w:rsidR="00032342" w:rsidRPr="00CA38F1">
        <w:rPr>
          <w:rFonts w:ascii="Verdana" w:eastAsia="Century Gothic" w:hAnsi="Verdana" w:cs="Century Gothic"/>
          <w:color w:val="000000" w:themeColor="text1"/>
        </w:rPr>
        <w:t xml:space="preserve"> pueda solicitar o participar en un proceso de contratación limitado a MiPyme, puede acreditarse, en el caso de una persona </w:t>
      </w:r>
      <w:r w:rsidR="00FA1024" w:rsidRPr="00CA38F1">
        <w:rPr>
          <w:rFonts w:ascii="Verdana" w:eastAsia="Century Gothic" w:hAnsi="Verdana" w:cs="Century Gothic"/>
          <w:color w:val="000000" w:themeColor="text1"/>
        </w:rPr>
        <w:t>natural</w:t>
      </w:r>
      <w:r w:rsidR="00032342" w:rsidRPr="00CA38F1">
        <w:rPr>
          <w:rFonts w:ascii="Verdana" w:eastAsia="Century Gothic" w:hAnsi="Verdana" w:cs="Century Gothic"/>
          <w:color w:val="000000" w:themeColor="text1"/>
        </w:rPr>
        <w:t xml:space="preserve">, </w:t>
      </w:r>
      <w:r w:rsidR="005B2BE6" w:rsidRPr="00CA38F1">
        <w:rPr>
          <w:rFonts w:ascii="Verdana" w:eastAsia="Century Gothic" w:hAnsi="Verdana" w:cs="Century Gothic"/>
          <w:color w:val="000000" w:themeColor="text1"/>
        </w:rPr>
        <w:t>a partir de la inscripción</w:t>
      </w:r>
      <w:r w:rsidR="00104699" w:rsidRPr="00CA38F1">
        <w:rPr>
          <w:rFonts w:ascii="Verdana" w:eastAsia="Century Gothic" w:hAnsi="Verdana" w:cs="Century Gothic"/>
          <w:color w:val="000000" w:themeColor="text1"/>
        </w:rPr>
        <w:t xml:space="preserve"> </w:t>
      </w:r>
      <w:r w:rsidR="00CC07E2" w:rsidRPr="00CA38F1">
        <w:rPr>
          <w:rFonts w:ascii="Verdana" w:eastAsia="Century Gothic" w:hAnsi="Verdana" w:cs="Century Gothic"/>
          <w:color w:val="000000" w:themeColor="text1"/>
        </w:rPr>
        <w:t>del establecimiento de comercio?</w:t>
      </w:r>
    </w:p>
    <w:p w14:paraId="3BA69712" w14:textId="77777777" w:rsidR="00EC763E" w:rsidRPr="00CA38F1" w:rsidRDefault="00EC763E" w:rsidP="00EC763E">
      <w:pPr>
        <w:spacing w:after="0" w:line="276" w:lineRule="auto"/>
        <w:jc w:val="both"/>
        <w:rPr>
          <w:rFonts w:ascii="Verdana" w:eastAsia="Calibri" w:hAnsi="Verdana" w:cs="Arial"/>
          <w:color w:val="000000" w:themeColor="text1"/>
          <w:lang w:val="es-ES"/>
        </w:rPr>
      </w:pPr>
    </w:p>
    <w:p w14:paraId="00FE5DDE" w14:textId="5070B954" w:rsidR="00EC763E" w:rsidRPr="00CA38F1" w:rsidRDefault="00EC763E" w:rsidP="00EC763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A38F1">
        <w:rPr>
          <w:rFonts w:ascii="Verdana" w:eastAsia="Century Gothic" w:hAnsi="Verdana" w:cs="Century Gothic"/>
          <w:b/>
          <w:bCs/>
          <w:color w:val="000000" w:themeColor="text1"/>
        </w:rPr>
        <w:t>Respuesta:</w:t>
      </w:r>
      <w:r w:rsidR="00212AE2" w:rsidRPr="00CA38F1">
        <w:rPr>
          <w:rFonts w:ascii="Verdana" w:eastAsia="Century Gothic" w:hAnsi="Verdana" w:cs="Century Gothic"/>
          <w:b/>
          <w:bCs/>
          <w:color w:val="000000" w:themeColor="text1"/>
        </w:rPr>
        <w:t xml:space="preserve"> </w:t>
      </w:r>
    </w:p>
    <w:p w14:paraId="3059E7A2" w14:textId="77777777" w:rsidR="007D0573" w:rsidRPr="00CA38F1" w:rsidRDefault="007D0573" w:rsidP="00EC763E">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C763E" w:rsidRPr="00CA38F1" w14:paraId="638F85A8" w14:textId="77777777" w:rsidTr="07F81B22">
        <w:tc>
          <w:tcPr>
            <w:tcW w:w="8828" w:type="dxa"/>
          </w:tcPr>
          <w:p w14:paraId="231ABEF2" w14:textId="59FF3D15" w:rsidR="000C0E56" w:rsidRPr="00CA38F1" w:rsidRDefault="00CF01E5" w:rsidP="007D0573">
            <w:pPr>
              <w:spacing w:before="120" w:after="120" w:line="276" w:lineRule="auto"/>
              <w:jc w:val="both"/>
              <w:rPr>
                <w:rFonts w:ascii="Verdana" w:hAnsi="Verdana" w:cs="Arial"/>
                <w:color w:val="000000" w:themeColor="text1"/>
              </w:rPr>
            </w:pPr>
            <w:r w:rsidRPr="00CA38F1">
              <w:rPr>
                <w:rFonts w:ascii="Verdana" w:hAnsi="Verdana" w:cs="Arial"/>
                <w:color w:val="000000" w:themeColor="text1"/>
              </w:rPr>
              <w:t>En respuesta al problema antes planteado esta Subdirección manifiesta lo siguiente:</w:t>
            </w:r>
          </w:p>
          <w:p w14:paraId="33224654" w14:textId="1772ABE9" w:rsidR="00EC763E" w:rsidRPr="00CA38F1" w:rsidRDefault="000C0E56" w:rsidP="00625542">
            <w:pPr>
              <w:spacing w:before="120" w:after="120" w:line="276" w:lineRule="auto"/>
              <w:ind w:firstLine="709"/>
              <w:jc w:val="both"/>
              <w:rPr>
                <w:rFonts w:ascii="Verdana" w:eastAsia="Calibri" w:hAnsi="Verdana" w:cs="Arial"/>
                <w:bCs/>
                <w:color w:val="000000" w:themeColor="text1"/>
                <w:lang w:val="es-ES_tradnl"/>
              </w:rPr>
            </w:pPr>
            <w:r w:rsidRPr="00CA38F1">
              <w:rPr>
                <w:rFonts w:ascii="Verdana" w:eastAsia="Calibri" w:hAnsi="Verdana" w:cs="Arial"/>
                <w:color w:val="000000" w:themeColor="text1"/>
              </w:rPr>
              <w:t xml:space="preserve">En primer lugar, es importante precisar que </w:t>
            </w:r>
            <w:r w:rsidRPr="00CA38F1">
              <w:rPr>
                <w:rFonts w:ascii="Verdana" w:eastAsia="Calibri" w:hAnsi="Verdana" w:cs="Arial"/>
                <w:bCs/>
                <w:color w:val="000000" w:themeColor="text1"/>
              </w:rPr>
              <w:t xml:space="preserve">el </w:t>
            </w:r>
            <w:r w:rsidRPr="00CA38F1">
              <w:rPr>
                <w:rFonts w:ascii="Verdana" w:eastAsia="Calibri" w:hAnsi="Verdana" w:cs="Arial"/>
                <w:bCs/>
                <w:color w:val="000000" w:themeColor="text1"/>
                <w:lang w:val="es-ES_tradnl"/>
              </w:rPr>
              <w:t xml:space="preserve">artículo 2.2.1.2.4.2.4 del Decreto 1082 de 2015 –modificado por el Decreto 1860 de 2021– determina la forma en la que se debe acreditar el tamaño empresarial, tanto para personas naturales como para jurídicas. Esta acreditación deberá realizarse en todo caso para solicitar la </w:t>
            </w:r>
            <w:r w:rsidRPr="00CA38F1">
              <w:rPr>
                <w:rFonts w:ascii="Verdana" w:eastAsia="Calibri" w:hAnsi="Verdana" w:cs="Arial"/>
                <w:bCs/>
                <w:i/>
                <w:iCs/>
                <w:color w:val="000000" w:themeColor="text1"/>
                <w:lang w:val="es-ES_tradnl"/>
              </w:rPr>
              <w:t>limitación de la convocatoria</w:t>
            </w:r>
            <w:r w:rsidRPr="00CA38F1">
              <w:rPr>
                <w:rFonts w:ascii="Verdana" w:eastAsia="Calibri" w:hAnsi="Verdana" w:cs="Arial"/>
                <w:bCs/>
                <w:color w:val="000000" w:themeColor="text1"/>
                <w:lang w:val="es-ES_tradnl"/>
              </w:rPr>
              <w:t xml:space="preserve"> y para </w:t>
            </w:r>
            <w:r w:rsidRPr="00CA38F1">
              <w:rPr>
                <w:rFonts w:ascii="Verdana" w:eastAsia="Calibri" w:hAnsi="Verdana" w:cs="Arial"/>
                <w:bCs/>
                <w:i/>
                <w:iCs/>
                <w:color w:val="000000" w:themeColor="text1"/>
                <w:lang w:val="es-ES_tradnl"/>
              </w:rPr>
              <w:t xml:space="preserve">participar en el proceso de selección una vez esta se haya limitado a </w:t>
            </w:r>
            <w:r w:rsidR="00625542" w:rsidRPr="00CA38F1">
              <w:rPr>
                <w:rFonts w:ascii="Verdana" w:eastAsia="Calibri" w:hAnsi="Verdana" w:cs="Arial"/>
                <w:bCs/>
                <w:i/>
                <w:iCs/>
                <w:color w:val="000000" w:themeColor="text1"/>
                <w:lang w:val="es-ES_tradnl"/>
              </w:rPr>
              <w:t>MiPymes</w:t>
            </w:r>
            <w:r w:rsidRPr="00CA38F1">
              <w:rPr>
                <w:rFonts w:ascii="Verdana" w:eastAsia="Calibri" w:hAnsi="Verdana" w:cs="Arial"/>
                <w:bCs/>
                <w:i/>
                <w:iCs/>
                <w:color w:val="000000" w:themeColor="text1"/>
                <w:lang w:val="es-ES_tradnl"/>
              </w:rPr>
              <w:t>.</w:t>
            </w:r>
          </w:p>
          <w:p w14:paraId="44F0C94D" w14:textId="4C83B4AA" w:rsidR="00625542" w:rsidRPr="00CA38F1" w:rsidRDefault="09BBB772" w:rsidP="07F81B22">
            <w:pPr>
              <w:spacing w:after="120" w:line="276" w:lineRule="auto"/>
              <w:ind w:firstLine="709"/>
              <w:jc w:val="both"/>
              <w:rPr>
                <w:rFonts w:ascii="Verdana" w:eastAsia="Calibri" w:hAnsi="Verdana" w:cs="Arial"/>
                <w:lang w:val="es-ES" w:eastAsia="es-ES"/>
              </w:rPr>
            </w:pPr>
            <w:r w:rsidRPr="00CA38F1">
              <w:rPr>
                <w:rFonts w:ascii="Verdana" w:eastAsia="Calibri" w:hAnsi="Verdana" w:cs="Arial"/>
                <w:lang w:val="es-ES" w:eastAsia="es-ES"/>
              </w:rPr>
              <w:t xml:space="preserve">Ahora bien, tratándose de una persona natural, la disposición antes señalada exige que se acredite el tamaño empresarial mediante certificación expedida por </w:t>
            </w:r>
            <w:r w:rsidR="00973E43" w:rsidRPr="00CA38F1">
              <w:rPr>
                <w:rFonts w:ascii="Verdana" w:eastAsia="Calibri" w:hAnsi="Verdana" w:cs="Arial"/>
                <w:lang w:val="es-ES" w:eastAsia="es-ES"/>
              </w:rPr>
              <w:t>esta</w:t>
            </w:r>
            <w:r w:rsidR="0033362A" w:rsidRPr="00CA38F1">
              <w:rPr>
                <w:rFonts w:ascii="Verdana" w:eastAsia="Calibri" w:hAnsi="Verdana" w:cs="Arial"/>
                <w:lang w:val="es-ES" w:eastAsia="es-ES"/>
              </w:rPr>
              <w:t xml:space="preserve"> </w:t>
            </w:r>
            <w:r w:rsidRPr="00CA38F1">
              <w:rPr>
                <w:rFonts w:ascii="Verdana" w:eastAsia="Calibri" w:hAnsi="Verdana" w:cs="Arial"/>
                <w:lang w:val="es-ES" w:eastAsia="es-ES"/>
              </w:rPr>
              <w:t xml:space="preserve">y un contador público, adjuntando copia del </w:t>
            </w:r>
            <w:r w:rsidRPr="00CA38F1">
              <w:rPr>
                <w:rFonts w:ascii="Verdana" w:eastAsia="Calibri" w:hAnsi="Verdana" w:cs="Arial"/>
                <w:i/>
                <w:iCs/>
                <w:lang w:val="es-ES" w:eastAsia="es-ES"/>
              </w:rPr>
              <w:t>registro mercantil</w:t>
            </w:r>
            <w:r w:rsidRPr="00CA38F1">
              <w:rPr>
                <w:rFonts w:ascii="Verdana" w:eastAsia="Calibri" w:hAnsi="Verdana" w:cs="Arial"/>
                <w:lang w:val="es-ES" w:eastAsia="es-ES"/>
              </w:rPr>
              <w:t xml:space="preserve">, la intervención del contador es necesaria con el fin de que actúe en calidad de fedatario. De lo expuesto, se observa que dentro de los requisitos señalados en la </w:t>
            </w:r>
            <w:r w:rsidR="6B4239E2" w:rsidRPr="00CA38F1">
              <w:rPr>
                <w:rFonts w:ascii="Verdana" w:eastAsia="Calibri" w:hAnsi="Verdana" w:cs="Arial"/>
                <w:lang w:val="es-ES" w:eastAsia="es-ES"/>
              </w:rPr>
              <w:t>Ley 2069 de 2020 y</w:t>
            </w:r>
            <w:r w:rsidRPr="00CA38F1">
              <w:rPr>
                <w:rFonts w:ascii="Verdana" w:eastAsia="Calibri" w:hAnsi="Verdana" w:cs="Arial"/>
                <w:lang w:val="es-ES" w:eastAsia="es-ES"/>
              </w:rPr>
              <w:t xml:space="preserve"> en el Decreto 1082 del 2015 –modificado por el Decreto 1860 de 2021- a efectos de la acreditación de la condición de MiPymes no se encuentra la inscripción de</w:t>
            </w:r>
            <w:r w:rsidR="3FF4BF4F" w:rsidRPr="00CA38F1">
              <w:rPr>
                <w:rFonts w:ascii="Verdana" w:eastAsia="Calibri" w:hAnsi="Verdana" w:cs="Arial"/>
                <w:lang w:val="es-ES" w:eastAsia="es-ES"/>
              </w:rPr>
              <w:t>l</w:t>
            </w:r>
            <w:r w:rsidRPr="00CA38F1">
              <w:rPr>
                <w:rFonts w:ascii="Verdana" w:eastAsia="Calibri" w:hAnsi="Verdana" w:cs="Arial"/>
                <w:lang w:val="es-ES" w:eastAsia="es-ES"/>
              </w:rPr>
              <w:t xml:space="preserve"> </w:t>
            </w:r>
            <w:r w:rsidRPr="00CA38F1">
              <w:rPr>
                <w:rFonts w:ascii="Verdana" w:eastAsia="Arial MT" w:hAnsi="Verdana" w:cs="Arial"/>
                <w:i/>
                <w:iCs/>
                <w:lang w:eastAsia="es-ES" w:bidi="es-ES"/>
              </w:rPr>
              <w:t xml:space="preserve">establecimiento de comercio </w:t>
            </w:r>
            <w:r w:rsidRPr="00CA38F1">
              <w:rPr>
                <w:rFonts w:ascii="Verdana" w:eastAsia="Arial MT" w:hAnsi="Verdana" w:cs="Arial"/>
                <w:lang w:eastAsia="es-ES" w:bidi="es-ES"/>
              </w:rPr>
              <w:t xml:space="preserve">y en tal sentido, </w:t>
            </w:r>
            <w:r w:rsidRPr="00CA38F1">
              <w:rPr>
                <w:rFonts w:ascii="Verdana" w:eastAsia="Calibri" w:hAnsi="Verdana" w:cs="Arial"/>
                <w:lang w:val="es-ES" w:eastAsia="es-ES"/>
              </w:rPr>
              <w:t xml:space="preserve">las </w:t>
            </w:r>
            <w:r w:rsidR="79809030" w:rsidRPr="00CA38F1">
              <w:rPr>
                <w:rFonts w:ascii="Verdana" w:eastAsia="Calibri" w:hAnsi="Verdana" w:cs="Arial"/>
                <w:lang w:val="es-ES" w:eastAsia="es-ES"/>
              </w:rPr>
              <w:t>E</w:t>
            </w:r>
            <w:r w:rsidRPr="00CA38F1">
              <w:rPr>
                <w:rFonts w:ascii="Verdana" w:eastAsia="Calibri" w:hAnsi="Verdana" w:cs="Arial"/>
                <w:lang w:val="es-ES" w:eastAsia="es-ES"/>
              </w:rPr>
              <w:t>ntidades</w:t>
            </w:r>
            <w:r w:rsidR="79809030" w:rsidRPr="00CA38F1">
              <w:rPr>
                <w:rFonts w:ascii="Verdana" w:eastAsia="Calibri" w:hAnsi="Verdana" w:cs="Arial"/>
                <w:lang w:val="es-ES" w:eastAsia="es-ES"/>
              </w:rPr>
              <w:t xml:space="preserve"> Estatales </w:t>
            </w:r>
            <w:r w:rsidRPr="00CA38F1">
              <w:rPr>
                <w:rFonts w:ascii="Verdana" w:eastAsia="Calibri" w:hAnsi="Verdana" w:cs="Arial"/>
                <w:lang w:val="es-ES" w:eastAsia="es-ES"/>
              </w:rPr>
              <w:t xml:space="preserve">no podrán exigir </w:t>
            </w:r>
            <w:r w:rsidR="27E9EF2F" w:rsidRPr="00CA38F1">
              <w:rPr>
                <w:rFonts w:ascii="Verdana" w:eastAsia="Calibri" w:hAnsi="Verdana" w:cs="Arial"/>
                <w:lang w:val="es-ES" w:eastAsia="es-ES"/>
              </w:rPr>
              <w:t>est</w:t>
            </w:r>
            <w:r w:rsidR="776B837E" w:rsidRPr="00CA38F1">
              <w:rPr>
                <w:rFonts w:ascii="Verdana" w:eastAsia="Calibri" w:hAnsi="Verdana" w:cs="Arial"/>
                <w:lang w:val="es-ES" w:eastAsia="es-ES"/>
              </w:rPr>
              <w:t>a</w:t>
            </w:r>
            <w:r w:rsidR="27E9EF2F" w:rsidRPr="00CA38F1">
              <w:rPr>
                <w:rFonts w:ascii="Verdana" w:eastAsia="Calibri" w:hAnsi="Verdana" w:cs="Arial"/>
                <w:lang w:val="es-ES" w:eastAsia="es-ES"/>
              </w:rPr>
              <w:t xml:space="preserve"> </w:t>
            </w:r>
            <w:r w:rsidR="776B837E" w:rsidRPr="00CA38F1">
              <w:rPr>
                <w:rFonts w:ascii="Verdana" w:eastAsia="Calibri" w:hAnsi="Verdana" w:cs="Arial"/>
                <w:lang w:val="es-ES" w:eastAsia="es-ES"/>
              </w:rPr>
              <w:t>exigencia</w:t>
            </w:r>
            <w:r w:rsidR="69644E20" w:rsidRPr="00CA38F1">
              <w:rPr>
                <w:rFonts w:ascii="Verdana" w:eastAsia="Calibri" w:hAnsi="Verdana" w:cs="Arial"/>
                <w:lang w:val="es-ES" w:eastAsia="es-ES"/>
              </w:rPr>
              <w:t>, ya que no se encuentra establecid</w:t>
            </w:r>
            <w:r w:rsidR="53827242" w:rsidRPr="00CA38F1">
              <w:rPr>
                <w:rFonts w:ascii="Verdana" w:eastAsia="Calibri" w:hAnsi="Verdana" w:cs="Arial"/>
                <w:lang w:val="es-ES" w:eastAsia="es-ES"/>
              </w:rPr>
              <w:t>a</w:t>
            </w:r>
            <w:r w:rsidR="69644E20" w:rsidRPr="00CA38F1">
              <w:rPr>
                <w:rFonts w:ascii="Verdana" w:eastAsia="Calibri" w:hAnsi="Verdana" w:cs="Arial"/>
                <w:lang w:val="es-ES" w:eastAsia="es-ES"/>
              </w:rPr>
              <w:t xml:space="preserve"> </w:t>
            </w:r>
            <w:r w:rsidR="6BF07D75" w:rsidRPr="00CA38F1">
              <w:rPr>
                <w:rFonts w:ascii="Verdana" w:eastAsia="Calibri" w:hAnsi="Verdana" w:cs="Arial"/>
                <w:lang w:val="es-ES" w:eastAsia="es-ES"/>
              </w:rPr>
              <w:t>en el artículo 2.2.1.2.4.2.4. del Decreto 1082 de 2015</w:t>
            </w:r>
            <w:r w:rsidR="53827242" w:rsidRPr="00CA38F1">
              <w:rPr>
                <w:rFonts w:ascii="Verdana" w:eastAsia="Calibri" w:hAnsi="Verdana" w:cs="Arial"/>
                <w:lang w:val="es-ES" w:eastAsia="es-ES"/>
              </w:rPr>
              <w:t xml:space="preserve">. </w:t>
            </w:r>
            <w:r w:rsidRPr="00CA38F1">
              <w:rPr>
                <w:rFonts w:ascii="Verdana" w:eastAsia="Calibri" w:hAnsi="Verdana" w:cs="Arial"/>
                <w:lang w:val="es-ES" w:eastAsia="es-ES"/>
              </w:rPr>
              <w:t xml:space="preserve">En otras palabras, no es </w:t>
            </w:r>
            <w:r w:rsidRPr="00CA38F1">
              <w:rPr>
                <w:rFonts w:ascii="Verdana" w:eastAsia="Arial MT" w:hAnsi="Verdana" w:cs="Arial"/>
                <w:lang w:eastAsia="es-ES" w:bidi="es-ES"/>
              </w:rPr>
              <w:t xml:space="preserve">jurídicamente válido considerar la fecha de registro del </w:t>
            </w:r>
            <w:r w:rsidRPr="00CA38F1">
              <w:rPr>
                <w:rFonts w:ascii="Verdana" w:eastAsia="Arial MT" w:hAnsi="Verdana" w:cs="Arial"/>
                <w:i/>
                <w:iCs/>
                <w:lang w:eastAsia="es-ES" w:bidi="es-ES"/>
              </w:rPr>
              <w:t>establecimiento de comercio</w:t>
            </w:r>
            <w:r w:rsidRPr="00CA38F1">
              <w:rPr>
                <w:rFonts w:ascii="Verdana" w:eastAsia="Arial MT" w:hAnsi="Verdana" w:cs="Arial"/>
                <w:lang w:eastAsia="es-ES" w:bidi="es-ES"/>
              </w:rPr>
              <w:t xml:space="preserve"> como criterio para computar el año de existencia exigido para solicitar la limitación a MiPymes o participar en procesos ya limitados. </w:t>
            </w:r>
          </w:p>
          <w:p w14:paraId="635F8C20" w14:textId="7EF89172" w:rsidR="00625542" w:rsidRPr="00CA38F1" w:rsidRDefault="00625542" w:rsidP="00625542">
            <w:pPr>
              <w:spacing w:after="120" w:line="276" w:lineRule="auto"/>
              <w:ind w:firstLine="709"/>
              <w:jc w:val="both"/>
              <w:rPr>
                <w:rFonts w:ascii="Verdana" w:eastAsia="Arial MT" w:hAnsi="Verdana" w:cs="Arial"/>
                <w:lang w:val="es-ES_tradnl" w:eastAsia="es-ES" w:bidi="es-ES"/>
              </w:rPr>
            </w:pPr>
            <w:r w:rsidRPr="00CA38F1">
              <w:rPr>
                <w:rStyle w:val="normaltextrun"/>
                <w:rFonts w:ascii="Verdana" w:hAnsi="Verdana"/>
                <w:color w:val="000000"/>
                <w:shd w:val="clear" w:color="auto" w:fill="FFFFFF"/>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r w:rsidRPr="00CA38F1">
              <w:rPr>
                <w:rStyle w:val="eop"/>
                <w:rFonts w:ascii="Verdana" w:hAnsi="Verdana"/>
                <w:color w:val="000000"/>
                <w:shd w:val="clear" w:color="auto" w:fill="FFFFFF"/>
              </w:rPr>
              <w:t> </w:t>
            </w:r>
          </w:p>
        </w:tc>
      </w:tr>
    </w:tbl>
    <w:p w14:paraId="14077CAA" w14:textId="77777777" w:rsidR="00EC763E" w:rsidRPr="00CA38F1" w:rsidRDefault="00EC763E" w:rsidP="00EC763E">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7E46382E" w14:textId="77777777" w:rsidR="00EC763E" w:rsidRPr="00CA38F1" w:rsidRDefault="00EC763E" w:rsidP="00EC763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A38F1">
        <w:rPr>
          <w:rFonts w:ascii="Verdana" w:eastAsia="Century Gothic" w:hAnsi="Verdana" w:cs="Century Gothic"/>
          <w:b/>
          <w:bCs/>
          <w:color w:val="000000" w:themeColor="text1"/>
        </w:rPr>
        <w:t>Razones de la respuesta:</w:t>
      </w:r>
    </w:p>
    <w:p w14:paraId="66E64647" w14:textId="77777777" w:rsidR="00EC763E" w:rsidRPr="00CA38F1" w:rsidRDefault="00EC763E" w:rsidP="00EC763E">
      <w:pPr>
        <w:spacing w:after="0" w:line="276" w:lineRule="auto"/>
        <w:jc w:val="both"/>
        <w:rPr>
          <w:rFonts w:ascii="Verdana" w:eastAsia="Calibri" w:hAnsi="Verdana" w:cs="Arial"/>
          <w:color w:val="000000" w:themeColor="text1"/>
          <w:lang w:val="es-ES"/>
        </w:rPr>
      </w:pPr>
    </w:p>
    <w:p w14:paraId="2B22FE84" w14:textId="77777777" w:rsidR="00EC763E" w:rsidRPr="00CA38F1" w:rsidRDefault="00EC763E" w:rsidP="00EC763E">
      <w:pPr>
        <w:spacing w:after="0" w:line="276" w:lineRule="auto"/>
        <w:jc w:val="both"/>
        <w:rPr>
          <w:rFonts w:ascii="Verdana" w:eastAsia="Calibri" w:hAnsi="Verdana" w:cs="Arial"/>
          <w:color w:val="000000" w:themeColor="text1"/>
          <w:lang w:val="es-ES"/>
        </w:rPr>
      </w:pPr>
      <w:r w:rsidRPr="00CA38F1">
        <w:rPr>
          <w:rFonts w:ascii="Verdana" w:eastAsia="Calibri" w:hAnsi="Verdana" w:cs="Arial"/>
          <w:color w:val="000000" w:themeColor="text1"/>
          <w:lang w:val="es-ES"/>
        </w:rPr>
        <w:lastRenderedPageBreak/>
        <w:t xml:space="preserve">Lo anterior se sustenta en las siguientes consideraciones: </w:t>
      </w:r>
    </w:p>
    <w:p w14:paraId="1A14B0F2" w14:textId="77777777" w:rsidR="00C250C6" w:rsidRPr="00CA38F1" w:rsidRDefault="00C250C6" w:rsidP="00EC763E">
      <w:pPr>
        <w:spacing w:after="0" w:line="276" w:lineRule="auto"/>
        <w:jc w:val="both"/>
        <w:rPr>
          <w:rFonts w:ascii="Verdana" w:eastAsia="Calibri" w:hAnsi="Verdana" w:cs="Arial"/>
          <w:color w:val="000000" w:themeColor="text1"/>
          <w:lang w:val="es-ES"/>
        </w:rPr>
      </w:pPr>
    </w:p>
    <w:p w14:paraId="67F0F715" w14:textId="77777777" w:rsidR="00C250C6" w:rsidRPr="00CA38F1" w:rsidRDefault="00C250C6" w:rsidP="00C250C6">
      <w:pPr>
        <w:spacing w:after="120" w:line="276" w:lineRule="auto"/>
        <w:jc w:val="both"/>
        <w:rPr>
          <w:rFonts w:ascii="Verdana" w:eastAsia="Calibri" w:hAnsi="Verdana" w:cs="Arial"/>
          <w:lang w:val="es-ES"/>
        </w:rPr>
      </w:pPr>
      <w:r w:rsidRPr="00CA38F1">
        <w:rPr>
          <w:rFonts w:ascii="Verdana" w:eastAsia="Calibri" w:hAnsi="Verdana" w:cs="Arial"/>
          <w:lang w:val="es-ES"/>
        </w:rPr>
        <w:t>Respecto a las convocatorias limitadas a MiPymes, debe señalarse que, el 31 de diciembre de 2020 se promulgó la Ley 2069, “Por medio de la cual se impulsa el emprendimiento en Colombia”. En cuanto a su contenido, como dispone el artículo 1, aquella “tiene por objeto establecer un marco regulatorio que propicie el emprendimiento y el crecimiento, consolidación y sostenibilidad de las empresas, con el fin de aumentar el bienestar social y generar equidad”. Lo anterior a partir de “[…] un enfoque regionalizado de acuerdo con las realidades socioeconómicas de cada región”.</w:t>
      </w:r>
    </w:p>
    <w:p w14:paraId="4026EF32" w14:textId="77777777" w:rsidR="005E4703" w:rsidRPr="00CA38F1" w:rsidRDefault="005E4703" w:rsidP="005E4703">
      <w:pPr>
        <w:spacing w:after="120" w:line="276" w:lineRule="auto"/>
        <w:ind w:firstLine="708"/>
        <w:jc w:val="both"/>
        <w:rPr>
          <w:rFonts w:ascii="Verdana" w:eastAsia="Calibri" w:hAnsi="Verdana" w:cs="Arial"/>
          <w:lang w:val="es-ES"/>
        </w:rPr>
      </w:pPr>
      <w:r w:rsidRPr="00CA38F1">
        <w:rPr>
          <w:rFonts w:ascii="Verdana" w:eastAsia="Calibri" w:hAnsi="Verdana" w:cs="Arial"/>
          <w:lang w:val="es-ES"/>
        </w:rPr>
        <w:t>En desarrollo de esta finalidad, se establecen medidas de apoyo para las micro, pequeñas y medianas empresas –MiPymes–, mediante la racionalización y simplificación de los trámites y tarifas, así como incentivos a favor de aquellas dentro del sistema de compras y contratación pública. De igual forma, en la citada Ley se consagró mecanismos para fortalecer y promover los distintos sectores de la economía y se prevén para ello medidas de educación para el emprendimiento y la innovación.</w:t>
      </w:r>
    </w:p>
    <w:p w14:paraId="5F758070" w14:textId="77777777" w:rsidR="00A820C7" w:rsidRPr="00CA38F1" w:rsidRDefault="00A820C7" w:rsidP="00A820C7">
      <w:pPr>
        <w:spacing w:after="120" w:line="276" w:lineRule="auto"/>
        <w:ind w:firstLine="708"/>
        <w:jc w:val="both"/>
        <w:rPr>
          <w:rFonts w:ascii="Verdana" w:eastAsia="Calibri" w:hAnsi="Verdana" w:cs="Arial"/>
        </w:rPr>
      </w:pPr>
      <w:r w:rsidRPr="00CA38F1">
        <w:rPr>
          <w:rStyle w:val="normaltextrun"/>
          <w:rFonts w:ascii="Verdana" w:hAnsi="Verdana"/>
          <w:color w:val="000000"/>
          <w:shd w:val="clear" w:color="auto" w:fill="FFFFFF"/>
          <w:lang w:val="es-ES"/>
        </w:rPr>
        <w:t>Parte de la Ley 2069 de 2020 introduce normas que modifican algunos aspectos de la contratación estatal para promover el emprendimiento. Concretamente, aquellas se encuentran en el Capítulo III –artículos 30 al 36–. Teniendo en cuenta que la consulta está relacionada con las convocatorias limitadas a MiPymes, a continuación de se estudiará el contenido y alcance del artículo 34.</w:t>
      </w:r>
      <w:r w:rsidRPr="00CA38F1">
        <w:rPr>
          <w:rStyle w:val="eop"/>
          <w:rFonts w:ascii="Verdana" w:hAnsi="Verdana"/>
          <w:color w:val="000000"/>
          <w:shd w:val="clear" w:color="auto" w:fill="FFFFFF"/>
        </w:rPr>
        <w:t> </w:t>
      </w:r>
    </w:p>
    <w:p w14:paraId="267B7BCB" w14:textId="77777777" w:rsidR="00FF234C" w:rsidRPr="00CA38F1" w:rsidRDefault="00FF234C" w:rsidP="00FF234C">
      <w:pPr>
        <w:spacing w:after="120" w:line="276" w:lineRule="auto"/>
        <w:ind w:firstLine="708"/>
        <w:jc w:val="both"/>
        <w:rPr>
          <w:rFonts w:ascii="Verdana" w:hAnsi="Verdana"/>
          <w:lang w:val="es-ES"/>
        </w:rPr>
      </w:pPr>
      <w:r w:rsidRPr="00CA38F1">
        <w:rPr>
          <w:rFonts w:ascii="Verdana" w:hAnsi="Verdana"/>
          <w:lang w:val="es-ES"/>
        </w:rPr>
        <w:t xml:space="preserve">El artículo 34 de la Ley 2069 de 2020, el cual modificó el artículo 12 de la Ley 1150 de 2007, regula la promoción del desarrollo en la contratación pública, cambiando los requisitos esenciales para que procedan las convocatorias limitadas a MiPymes, de la siguiente forma: i) estableció que estas deben desarrollarse independientemente del régimen de contratación de la Entidad Estatal –es decir, también deben efectuarlas las Entidades Estatales exceptuadas del EGCAP o que se rigen por derecho privado–; </w:t>
      </w:r>
      <w:proofErr w:type="spellStart"/>
      <w:r w:rsidRPr="00CA38F1">
        <w:rPr>
          <w:rFonts w:ascii="Verdana" w:hAnsi="Verdana"/>
          <w:lang w:val="es-ES"/>
        </w:rPr>
        <w:t>ii</w:t>
      </w:r>
      <w:proofErr w:type="spellEnd"/>
      <w:r w:rsidRPr="00CA38F1">
        <w:rPr>
          <w:rFonts w:ascii="Verdana" w:hAnsi="Verdana"/>
          <w:lang w:val="es-ES"/>
        </w:rPr>
        <w:t xml:space="preserve">) señaló que los patrimonios autónomos constituidos por Entidades Estatales y los particulares que ejecuten recursos públicos también son destinatarios de esta exigencia; e,  </w:t>
      </w:r>
      <w:proofErr w:type="spellStart"/>
      <w:r w:rsidRPr="00CA38F1">
        <w:rPr>
          <w:rFonts w:ascii="Verdana" w:hAnsi="Verdana"/>
          <w:lang w:val="es-ES"/>
        </w:rPr>
        <w:t>iii</w:t>
      </w:r>
      <w:proofErr w:type="spellEnd"/>
      <w:r w:rsidRPr="00CA38F1">
        <w:rPr>
          <w:rFonts w:ascii="Verdana" w:hAnsi="Verdana"/>
          <w:lang w:val="es-ES"/>
        </w:rPr>
        <w:t xml:space="preserve">) indicó que para que pueda haber convocatorias limitadas a MiPymes, dos (2) de ellas deben manifestar su interés. </w:t>
      </w:r>
    </w:p>
    <w:p w14:paraId="731CA63F" w14:textId="77777777" w:rsidR="001215E2" w:rsidRPr="00CA38F1" w:rsidRDefault="001215E2" w:rsidP="001215E2">
      <w:pPr>
        <w:spacing w:after="0" w:line="276" w:lineRule="auto"/>
        <w:ind w:firstLine="708"/>
        <w:jc w:val="both"/>
        <w:rPr>
          <w:rFonts w:ascii="Verdana" w:hAnsi="Verdana"/>
          <w:lang w:val="es-ES"/>
        </w:rPr>
      </w:pPr>
      <w:r w:rsidRPr="00CA38F1">
        <w:rPr>
          <w:rFonts w:ascii="Verdana" w:hAnsi="Verdana"/>
          <w:lang w:val="es-ES"/>
        </w:rPr>
        <w:t xml:space="preserve">En desarrollo de la anterior disposición, el artículo 2.2.1.2.4.2.2. del Decreto 1082 de 2015 -modificado por el Decreto 1860 de 2021- establece el </w:t>
      </w:r>
      <w:r w:rsidRPr="00CA38F1">
        <w:rPr>
          <w:rFonts w:ascii="Verdana" w:hAnsi="Verdana"/>
          <w:lang w:val="es-ES"/>
        </w:rPr>
        <w:lastRenderedPageBreak/>
        <w:t xml:space="preserve">deber en cabeza de: i) las Entidades Estatales independientemente de su régimen de contratación, </w:t>
      </w:r>
      <w:proofErr w:type="spellStart"/>
      <w:r w:rsidRPr="00CA38F1">
        <w:rPr>
          <w:rFonts w:ascii="Verdana" w:hAnsi="Verdana"/>
          <w:lang w:val="es-ES"/>
        </w:rPr>
        <w:t>ii</w:t>
      </w:r>
      <w:proofErr w:type="spellEnd"/>
      <w:r w:rsidRPr="00CA38F1">
        <w:rPr>
          <w:rFonts w:ascii="Verdana" w:hAnsi="Verdana"/>
          <w:lang w:val="es-ES"/>
        </w:rPr>
        <w:t xml:space="preserve">) los patrimonios autónomos constituidos por Entidades Estatales y </w:t>
      </w:r>
      <w:proofErr w:type="spellStart"/>
      <w:r w:rsidRPr="00CA38F1">
        <w:rPr>
          <w:rFonts w:ascii="Verdana" w:hAnsi="Verdana"/>
          <w:lang w:val="es-ES"/>
        </w:rPr>
        <w:t>iii</w:t>
      </w:r>
      <w:proofErr w:type="spellEnd"/>
      <w:r w:rsidRPr="00CA38F1">
        <w:rPr>
          <w:rFonts w:ascii="Verdana" w:hAnsi="Verdana"/>
          <w:lang w:val="es-ES"/>
        </w:rPr>
        <w:t>) los particulares que ejecuten recursos públicos, de limitar los procesos de selección competitivos para que participen única y exclusivamente las MiPyme colombianas con mínimo un (1) año de existencia y, seguidamente, contempla los requisitos para que dichas convocatorias sean limitadas a dichas empresas. La norma señala:</w:t>
      </w:r>
    </w:p>
    <w:p w14:paraId="767281A9" w14:textId="77777777" w:rsidR="005E4703" w:rsidRPr="00CA38F1" w:rsidRDefault="005E4703" w:rsidP="00C250C6">
      <w:pPr>
        <w:spacing w:after="120" w:line="276" w:lineRule="auto"/>
        <w:jc w:val="both"/>
        <w:rPr>
          <w:rFonts w:ascii="Verdana" w:eastAsia="Calibri" w:hAnsi="Verdana" w:cs="Arial"/>
          <w:lang w:val="es-ES"/>
        </w:rPr>
      </w:pPr>
    </w:p>
    <w:p w14:paraId="413CFDFA" w14:textId="77777777" w:rsidR="00805F94" w:rsidRPr="00CA38F1" w:rsidRDefault="00805F94" w:rsidP="00805F94">
      <w:pPr>
        <w:widowControl w:val="0"/>
        <w:tabs>
          <w:tab w:val="left" w:pos="382"/>
        </w:tabs>
        <w:autoSpaceDE w:val="0"/>
        <w:autoSpaceDN w:val="0"/>
        <w:spacing w:after="0" w:line="240" w:lineRule="auto"/>
        <w:ind w:left="709" w:right="709"/>
        <w:jc w:val="both"/>
        <w:outlineLvl w:val="0"/>
        <w:rPr>
          <w:rFonts w:ascii="Verdana" w:eastAsia="Verdana" w:hAnsi="Verdana" w:cs="Verdana"/>
          <w:b/>
          <w:bCs/>
          <w:sz w:val="20"/>
          <w:szCs w:val="20"/>
          <w:lang w:val="es-ES"/>
        </w:rPr>
      </w:pPr>
      <w:r w:rsidRPr="00CA38F1">
        <w:rPr>
          <w:rFonts w:ascii="Verdana" w:eastAsia="Verdana" w:hAnsi="Verdana" w:cs="Verdana"/>
          <w:sz w:val="20"/>
          <w:szCs w:val="20"/>
          <w:lang w:val="es-ES"/>
        </w:rPr>
        <w:t>“Artículo 2.2.1.2.4.2.2. Convocatorias Imitadas a MiPyme. Las Entidades Estatales independientemente de su régimen de contratación, los patrimonios autónomos constituidos por Entidades Estatales y los particulares</w:t>
      </w:r>
      <w:r w:rsidRPr="00CA38F1">
        <w:rPr>
          <w:rFonts w:ascii="Verdana" w:eastAsia="Verdana" w:hAnsi="Verdana" w:cs="Verdana"/>
          <w:spacing w:val="-4"/>
          <w:sz w:val="20"/>
          <w:szCs w:val="20"/>
          <w:lang w:val="es-ES"/>
        </w:rPr>
        <w:t xml:space="preserve"> </w:t>
      </w:r>
      <w:r w:rsidRPr="00CA38F1">
        <w:rPr>
          <w:rFonts w:ascii="Verdana" w:eastAsia="Verdana" w:hAnsi="Verdana" w:cs="Verdana"/>
          <w:sz w:val="20"/>
          <w:szCs w:val="20"/>
          <w:lang w:val="es-ES"/>
        </w:rPr>
        <w:t>que</w:t>
      </w:r>
      <w:r w:rsidRPr="00CA38F1">
        <w:rPr>
          <w:rFonts w:ascii="Verdana" w:eastAsia="Verdana" w:hAnsi="Verdana" w:cs="Verdana"/>
          <w:spacing w:val="-7"/>
          <w:sz w:val="20"/>
          <w:szCs w:val="20"/>
          <w:lang w:val="es-ES"/>
        </w:rPr>
        <w:t xml:space="preserve"> </w:t>
      </w:r>
      <w:r w:rsidRPr="00CA38F1">
        <w:rPr>
          <w:rFonts w:ascii="Verdana" w:eastAsia="Verdana" w:hAnsi="Verdana" w:cs="Verdana"/>
          <w:sz w:val="20"/>
          <w:szCs w:val="20"/>
          <w:lang w:val="es-ES"/>
        </w:rPr>
        <w:t>ejecuten</w:t>
      </w:r>
      <w:r w:rsidRPr="00CA38F1">
        <w:rPr>
          <w:rFonts w:ascii="Verdana" w:eastAsia="Verdana" w:hAnsi="Verdana" w:cs="Verdana"/>
          <w:spacing w:val="-5"/>
          <w:sz w:val="20"/>
          <w:szCs w:val="20"/>
          <w:lang w:val="es-ES"/>
        </w:rPr>
        <w:t xml:space="preserve"> </w:t>
      </w:r>
      <w:r w:rsidRPr="00CA38F1">
        <w:rPr>
          <w:rFonts w:ascii="Verdana" w:eastAsia="Verdana" w:hAnsi="Verdana" w:cs="Verdana"/>
          <w:sz w:val="20"/>
          <w:szCs w:val="20"/>
          <w:lang w:val="es-ES"/>
        </w:rPr>
        <w:t>recursos</w:t>
      </w:r>
      <w:r w:rsidRPr="00CA38F1">
        <w:rPr>
          <w:rFonts w:ascii="Verdana" w:eastAsia="Verdana" w:hAnsi="Verdana" w:cs="Verdana"/>
          <w:spacing w:val="-5"/>
          <w:sz w:val="20"/>
          <w:szCs w:val="20"/>
          <w:lang w:val="es-ES"/>
        </w:rPr>
        <w:t xml:space="preserve"> </w:t>
      </w:r>
      <w:r w:rsidRPr="00CA38F1">
        <w:rPr>
          <w:rFonts w:ascii="Verdana" w:eastAsia="Verdana" w:hAnsi="Verdana" w:cs="Verdana"/>
          <w:sz w:val="20"/>
          <w:szCs w:val="20"/>
          <w:lang w:val="es-ES"/>
        </w:rPr>
        <w:t>públicos,</w:t>
      </w:r>
      <w:r w:rsidRPr="00CA38F1">
        <w:rPr>
          <w:rFonts w:ascii="Verdana" w:eastAsia="Verdana" w:hAnsi="Verdana" w:cs="Verdana"/>
          <w:spacing w:val="-5"/>
          <w:sz w:val="20"/>
          <w:szCs w:val="20"/>
          <w:lang w:val="es-ES"/>
        </w:rPr>
        <w:t xml:space="preserve"> </w:t>
      </w:r>
      <w:r w:rsidRPr="00CA38F1">
        <w:rPr>
          <w:rFonts w:ascii="Verdana" w:eastAsia="Verdana" w:hAnsi="Verdana" w:cs="Verdana"/>
          <w:sz w:val="20"/>
          <w:szCs w:val="20"/>
          <w:lang w:val="es-ES"/>
        </w:rPr>
        <w:t>deben</w:t>
      </w:r>
      <w:r w:rsidRPr="00CA38F1">
        <w:rPr>
          <w:rFonts w:ascii="Verdana" w:eastAsia="Verdana" w:hAnsi="Verdana" w:cs="Verdana"/>
          <w:spacing w:val="-6"/>
          <w:sz w:val="20"/>
          <w:szCs w:val="20"/>
          <w:lang w:val="es-ES"/>
        </w:rPr>
        <w:t xml:space="preserve"> </w:t>
      </w:r>
      <w:r w:rsidRPr="00CA38F1">
        <w:rPr>
          <w:rFonts w:ascii="Verdana" w:eastAsia="Verdana" w:hAnsi="Verdana" w:cs="Verdana"/>
          <w:sz w:val="20"/>
          <w:szCs w:val="20"/>
          <w:lang w:val="es-ES"/>
        </w:rPr>
        <w:t>limitar</w:t>
      </w:r>
      <w:r w:rsidRPr="00CA38F1">
        <w:rPr>
          <w:rFonts w:ascii="Verdana" w:eastAsia="Verdana" w:hAnsi="Verdana" w:cs="Verdana"/>
          <w:spacing w:val="-6"/>
          <w:sz w:val="20"/>
          <w:szCs w:val="20"/>
          <w:lang w:val="es-ES"/>
        </w:rPr>
        <w:t xml:space="preserve"> </w:t>
      </w:r>
      <w:r w:rsidRPr="00CA38F1">
        <w:rPr>
          <w:rFonts w:ascii="Verdana" w:eastAsia="Verdana" w:hAnsi="Verdana" w:cs="Verdana"/>
          <w:sz w:val="20"/>
          <w:szCs w:val="20"/>
          <w:lang w:val="es-ES"/>
        </w:rPr>
        <w:t>la</w:t>
      </w:r>
      <w:r w:rsidRPr="00CA38F1">
        <w:rPr>
          <w:rFonts w:ascii="Verdana" w:eastAsia="Verdana" w:hAnsi="Verdana" w:cs="Verdana"/>
          <w:spacing w:val="-7"/>
          <w:sz w:val="20"/>
          <w:szCs w:val="20"/>
          <w:lang w:val="es-ES"/>
        </w:rPr>
        <w:t xml:space="preserve"> </w:t>
      </w:r>
      <w:r w:rsidRPr="00CA38F1">
        <w:rPr>
          <w:rFonts w:ascii="Verdana" w:eastAsia="Verdana" w:hAnsi="Verdana" w:cs="Verdana"/>
          <w:sz w:val="20"/>
          <w:szCs w:val="20"/>
          <w:lang w:val="es-ES"/>
        </w:rPr>
        <w:t>convocatoria de</w:t>
      </w:r>
      <w:r w:rsidRPr="00CA38F1">
        <w:rPr>
          <w:rFonts w:ascii="Verdana" w:eastAsia="Verdana" w:hAnsi="Verdana" w:cs="Verdana"/>
          <w:spacing w:val="-4"/>
          <w:sz w:val="20"/>
          <w:szCs w:val="20"/>
          <w:lang w:val="es-ES"/>
        </w:rPr>
        <w:t xml:space="preserve"> </w:t>
      </w:r>
      <w:r w:rsidRPr="00CA38F1">
        <w:rPr>
          <w:rFonts w:ascii="Verdana" w:eastAsia="Verdana" w:hAnsi="Verdana" w:cs="Verdana"/>
          <w:sz w:val="20"/>
          <w:szCs w:val="20"/>
          <w:lang w:val="es-ES"/>
        </w:rPr>
        <w:t>los</w:t>
      </w:r>
      <w:r w:rsidRPr="00CA38F1">
        <w:rPr>
          <w:rFonts w:ascii="Verdana" w:eastAsia="Verdana" w:hAnsi="Verdana" w:cs="Verdana"/>
          <w:spacing w:val="-4"/>
          <w:sz w:val="20"/>
          <w:szCs w:val="20"/>
          <w:lang w:val="es-ES"/>
        </w:rPr>
        <w:t xml:space="preserve"> </w:t>
      </w:r>
      <w:r w:rsidRPr="00CA38F1">
        <w:rPr>
          <w:rFonts w:ascii="Verdana" w:eastAsia="Verdana" w:hAnsi="Verdana" w:cs="Verdana"/>
          <w:sz w:val="20"/>
          <w:szCs w:val="20"/>
          <w:lang w:val="es-ES"/>
        </w:rPr>
        <w:t>Procesos</w:t>
      </w:r>
      <w:r w:rsidRPr="00CA38F1">
        <w:rPr>
          <w:rFonts w:ascii="Verdana" w:eastAsia="Verdana" w:hAnsi="Verdana" w:cs="Verdana"/>
          <w:spacing w:val="-2"/>
          <w:sz w:val="20"/>
          <w:szCs w:val="20"/>
          <w:lang w:val="es-ES"/>
        </w:rPr>
        <w:t xml:space="preserve"> </w:t>
      </w:r>
      <w:r w:rsidRPr="00CA38F1">
        <w:rPr>
          <w:rFonts w:ascii="Verdana" w:eastAsia="Verdana" w:hAnsi="Verdana" w:cs="Verdana"/>
          <w:sz w:val="20"/>
          <w:szCs w:val="20"/>
          <w:lang w:val="es-ES"/>
        </w:rPr>
        <w:t>de</w:t>
      </w:r>
      <w:r w:rsidRPr="00CA38F1">
        <w:rPr>
          <w:rFonts w:ascii="Verdana" w:eastAsia="Verdana" w:hAnsi="Verdana" w:cs="Verdana"/>
          <w:spacing w:val="-4"/>
          <w:sz w:val="20"/>
          <w:szCs w:val="20"/>
          <w:lang w:val="es-ES"/>
        </w:rPr>
        <w:t xml:space="preserve"> </w:t>
      </w:r>
      <w:r w:rsidRPr="00CA38F1">
        <w:rPr>
          <w:rFonts w:ascii="Verdana" w:eastAsia="Verdana" w:hAnsi="Verdana" w:cs="Verdana"/>
          <w:sz w:val="20"/>
          <w:szCs w:val="20"/>
          <w:lang w:val="es-ES"/>
        </w:rPr>
        <w:t>Contratación</w:t>
      </w:r>
      <w:r w:rsidRPr="00CA38F1">
        <w:rPr>
          <w:rFonts w:ascii="Verdana" w:eastAsia="Verdana" w:hAnsi="Verdana" w:cs="Verdana"/>
          <w:spacing w:val="-1"/>
          <w:sz w:val="20"/>
          <w:szCs w:val="20"/>
          <w:lang w:val="es-ES"/>
        </w:rPr>
        <w:t xml:space="preserve"> </w:t>
      </w:r>
      <w:r w:rsidRPr="00CA38F1">
        <w:rPr>
          <w:rFonts w:ascii="Verdana" w:eastAsia="Verdana" w:hAnsi="Verdana" w:cs="Verdana"/>
          <w:sz w:val="20"/>
          <w:szCs w:val="20"/>
          <w:lang w:val="es-ES"/>
        </w:rPr>
        <w:t>con</w:t>
      </w:r>
      <w:r w:rsidRPr="00CA38F1">
        <w:rPr>
          <w:rFonts w:ascii="Verdana" w:eastAsia="Verdana" w:hAnsi="Verdana" w:cs="Verdana"/>
          <w:spacing w:val="-4"/>
          <w:sz w:val="20"/>
          <w:szCs w:val="20"/>
          <w:lang w:val="es-ES"/>
        </w:rPr>
        <w:t xml:space="preserve"> </w:t>
      </w:r>
      <w:r w:rsidRPr="00CA38F1">
        <w:rPr>
          <w:rFonts w:ascii="Verdana" w:eastAsia="Verdana" w:hAnsi="Verdana" w:cs="Verdana"/>
          <w:sz w:val="20"/>
          <w:szCs w:val="20"/>
          <w:lang w:val="es-ES"/>
        </w:rPr>
        <w:t>pluralidad</w:t>
      </w:r>
      <w:r w:rsidRPr="00CA38F1">
        <w:rPr>
          <w:rFonts w:ascii="Verdana" w:eastAsia="Verdana" w:hAnsi="Verdana" w:cs="Verdana"/>
          <w:spacing w:val="-2"/>
          <w:sz w:val="20"/>
          <w:szCs w:val="20"/>
          <w:lang w:val="es-ES"/>
        </w:rPr>
        <w:t xml:space="preserve"> </w:t>
      </w:r>
      <w:r w:rsidRPr="00CA38F1">
        <w:rPr>
          <w:rFonts w:ascii="Verdana" w:eastAsia="Verdana" w:hAnsi="Verdana" w:cs="Verdana"/>
          <w:sz w:val="20"/>
          <w:szCs w:val="20"/>
          <w:lang w:val="es-ES"/>
        </w:rPr>
        <w:t>de</w:t>
      </w:r>
      <w:r w:rsidRPr="00CA38F1">
        <w:rPr>
          <w:rFonts w:ascii="Verdana" w:eastAsia="Verdana" w:hAnsi="Verdana" w:cs="Verdana"/>
          <w:spacing w:val="-4"/>
          <w:sz w:val="20"/>
          <w:szCs w:val="20"/>
          <w:lang w:val="es-ES"/>
        </w:rPr>
        <w:t xml:space="preserve"> </w:t>
      </w:r>
      <w:r w:rsidRPr="00CA38F1">
        <w:rPr>
          <w:rFonts w:ascii="Verdana" w:eastAsia="Verdana" w:hAnsi="Verdana" w:cs="Verdana"/>
          <w:sz w:val="20"/>
          <w:szCs w:val="20"/>
          <w:lang w:val="es-ES"/>
        </w:rPr>
        <w:t>oferentes</w:t>
      </w:r>
      <w:r w:rsidRPr="00CA38F1">
        <w:rPr>
          <w:rFonts w:ascii="Verdana" w:eastAsia="Verdana" w:hAnsi="Verdana" w:cs="Verdana"/>
          <w:spacing w:val="-2"/>
          <w:sz w:val="20"/>
          <w:szCs w:val="20"/>
          <w:lang w:val="es-ES"/>
        </w:rPr>
        <w:t xml:space="preserve"> </w:t>
      </w:r>
      <w:r w:rsidRPr="00CA38F1">
        <w:rPr>
          <w:rFonts w:ascii="Verdana" w:eastAsia="Verdana" w:hAnsi="Verdana" w:cs="Verdana"/>
          <w:sz w:val="20"/>
          <w:szCs w:val="20"/>
          <w:lang w:val="es-ES"/>
        </w:rPr>
        <w:t>a</w:t>
      </w:r>
      <w:r w:rsidRPr="00CA38F1">
        <w:rPr>
          <w:rFonts w:ascii="Verdana" w:eastAsia="Verdana" w:hAnsi="Verdana" w:cs="Verdana"/>
          <w:spacing w:val="-4"/>
          <w:sz w:val="20"/>
          <w:szCs w:val="20"/>
          <w:lang w:val="es-ES"/>
        </w:rPr>
        <w:t xml:space="preserve"> </w:t>
      </w:r>
      <w:r w:rsidRPr="00CA38F1">
        <w:rPr>
          <w:rFonts w:ascii="Verdana" w:eastAsia="Verdana" w:hAnsi="Verdana" w:cs="Verdana"/>
          <w:sz w:val="20"/>
          <w:szCs w:val="20"/>
          <w:lang w:val="es-ES"/>
        </w:rPr>
        <w:t>las</w:t>
      </w:r>
      <w:r w:rsidRPr="00CA38F1">
        <w:rPr>
          <w:rFonts w:ascii="Verdana" w:eastAsia="Verdana" w:hAnsi="Verdana" w:cs="Verdana"/>
          <w:spacing w:val="-4"/>
          <w:sz w:val="20"/>
          <w:szCs w:val="20"/>
          <w:lang w:val="es-ES"/>
        </w:rPr>
        <w:t xml:space="preserve"> </w:t>
      </w:r>
      <w:r w:rsidRPr="00CA38F1">
        <w:rPr>
          <w:rFonts w:ascii="Verdana" w:eastAsia="Verdana" w:hAnsi="Verdana" w:cs="Verdana"/>
          <w:sz w:val="20"/>
          <w:szCs w:val="20"/>
          <w:u w:val="single"/>
          <w:lang w:val="es-ES"/>
        </w:rPr>
        <w:t>MiPyme colombianas con mínimo un (1) año de existencia</w:t>
      </w:r>
      <w:r w:rsidRPr="00CA38F1">
        <w:rPr>
          <w:rFonts w:ascii="Verdana" w:eastAsia="Verdana" w:hAnsi="Verdana" w:cs="Verdana"/>
          <w:sz w:val="20"/>
          <w:szCs w:val="20"/>
          <w:lang w:val="es-ES"/>
        </w:rPr>
        <w:t>, cuando concurran los siguientes requisitos:</w:t>
      </w:r>
    </w:p>
    <w:p w14:paraId="5BE84858" w14:textId="77777777" w:rsidR="00805F94" w:rsidRPr="00CA38F1" w:rsidRDefault="00805F94" w:rsidP="00805F94">
      <w:pPr>
        <w:widowControl w:val="0"/>
        <w:tabs>
          <w:tab w:val="left" w:pos="382"/>
        </w:tabs>
        <w:autoSpaceDE w:val="0"/>
        <w:autoSpaceDN w:val="0"/>
        <w:spacing w:after="0" w:line="240" w:lineRule="auto"/>
        <w:ind w:left="709" w:right="709"/>
        <w:jc w:val="both"/>
        <w:outlineLvl w:val="0"/>
        <w:rPr>
          <w:rFonts w:ascii="Verdana" w:eastAsia="Verdana" w:hAnsi="Verdana" w:cs="Verdana"/>
          <w:b/>
          <w:bCs/>
          <w:sz w:val="20"/>
          <w:szCs w:val="20"/>
          <w:lang w:val="es-ES"/>
        </w:rPr>
      </w:pPr>
    </w:p>
    <w:p w14:paraId="792C40B7" w14:textId="77777777" w:rsidR="00805F94" w:rsidRPr="00CA38F1" w:rsidRDefault="00805F94" w:rsidP="00805F94">
      <w:pPr>
        <w:widowControl w:val="0"/>
        <w:tabs>
          <w:tab w:val="left" w:pos="382"/>
        </w:tabs>
        <w:autoSpaceDE w:val="0"/>
        <w:autoSpaceDN w:val="0"/>
        <w:spacing w:after="0" w:line="240" w:lineRule="auto"/>
        <w:ind w:left="709" w:right="709"/>
        <w:jc w:val="both"/>
        <w:outlineLvl w:val="0"/>
        <w:rPr>
          <w:rFonts w:ascii="Verdana" w:eastAsia="Verdana" w:hAnsi="Verdana" w:cs="Verdana"/>
          <w:sz w:val="20"/>
          <w:szCs w:val="20"/>
          <w:lang w:val="es-ES"/>
        </w:rPr>
      </w:pPr>
      <w:r w:rsidRPr="00CA38F1">
        <w:rPr>
          <w:rFonts w:ascii="Verdana" w:eastAsia="Verdana" w:hAnsi="Verdana" w:cs="Verdana"/>
          <w:sz w:val="20"/>
          <w:szCs w:val="20"/>
          <w:lang w:val="es-ES"/>
        </w:rPr>
        <w:t>1. El</w:t>
      </w:r>
      <w:r w:rsidRPr="00CA38F1">
        <w:rPr>
          <w:rFonts w:ascii="Verdana" w:eastAsia="Verdana" w:hAnsi="Verdana" w:cs="Verdana"/>
          <w:spacing w:val="-4"/>
          <w:sz w:val="20"/>
          <w:szCs w:val="20"/>
          <w:lang w:val="es-ES"/>
        </w:rPr>
        <w:t xml:space="preserve"> </w:t>
      </w:r>
      <w:r w:rsidRPr="00CA38F1">
        <w:rPr>
          <w:rFonts w:ascii="Verdana" w:eastAsia="Verdana" w:hAnsi="Verdana" w:cs="Verdana"/>
          <w:sz w:val="20"/>
          <w:szCs w:val="20"/>
          <w:lang w:val="es-ES"/>
        </w:rPr>
        <w:t>valor</w:t>
      </w:r>
      <w:r w:rsidRPr="00CA38F1">
        <w:rPr>
          <w:rFonts w:ascii="Verdana" w:eastAsia="Verdana" w:hAnsi="Verdana" w:cs="Verdana"/>
          <w:spacing w:val="-3"/>
          <w:sz w:val="20"/>
          <w:szCs w:val="20"/>
          <w:lang w:val="es-ES"/>
        </w:rPr>
        <w:t xml:space="preserve"> </w:t>
      </w:r>
      <w:r w:rsidRPr="00CA38F1">
        <w:rPr>
          <w:rFonts w:ascii="Verdana" w:eastAsia="Verdana" w:hAnsi="Verdana" w:cs="Verdana"/>
          <w:sz w:val="20"/>
          <w:szCs w:val="20"/>
          <w:lang w:val="es-ES"/>
        </w:rPr>
        <w:t>del</w:t>
      </w:r>
      <w:r w:rsidRPr="00CA38F1">
        <w:rPr>
          <w:rFonts w:ascii="Verdana" w:eastAsia="Verdana" w:hAnsi="Verdana" w:cs="Verdana"/>
          <w:spacing w:val="-4"/>
          <w:sz w:val="20"/>
          <w:szCs w:val="20"/>
          <w:lang w:val="es-ES"/>
        </w:rPr>
        <w:t xml:space="preserve"> </w:t>
      </w:r>
      <w:r w:rsidRPr="00CA38F1">
        <w:rPr>
          <w:rFonts w:ascii="Verdana" w:eastAsia="Verdana" w:hAnsi="Verdana" w:cs="Verdana"/>
          <w:sz w:val="20"/>
          <w:szCs w:val="20"/>
          <w:lang w:val="es-ES"/>
        </w:rPr>
        <w:t>Proceso</w:t>
      </w:r>
      <w:r w:rsidRPr="00CA38F1">
        <w:rPr>
          <w:rFonts w:ascii="Verdana" w:eastAsia="Verdana" w:hAnsi="Verdana" w:cs="Verdana"/>
          <w:spacing w:val="-2"/>
          <w:sz w:val="20"/>
          <w:szCs w:val="20"/>
          <w:lang w:val="es-ES"/>
        </w:rPr>
        <w:t xml:space="preserve"> </w:t>
      </w:r>
      <w:r w:rsidRPr="00CA38F1">
        <w:rPr>
          <w:rFonts w:ascii="Verdana" w:eastAsia="Verdana" w:hAnsi="Verdana" w:cs="Verdana"/>
          <w:sz w:val="20"/>
          <w:szCs w:val="20"/>
          <w:lang w:val="es-ES"/>
        </w:rPr>
        <w:t>de</w:t>
      </w:r>
      <w:r w:rsidRPr="00CA38F1">
        <w:rPr>
          <w:rFonts w:ascii="Verdana" w:eastAsia="Verdana" w:hAnsi="Verdana" w:cs="Verdana"/>
          <w:spacing w:val="-4"/>
          <w:sz w:val="20"/>
          <w:szCs w:val="20"/>
          <w:lang w:val="es-ES"/>
        </w:rPr>
        <w:t xml:space="preserve"> </w:t>
      </w:r>
      <w:r w:rsidRPr="00CA38F1">
        <w:rPr>
          <w:rFonts w:ascii="Verdana" w:eastAsia="Verdana" w:hAnsi="Verdana" w:cs="Verdana"/>
          <w:sz w:val="20"/>
          <w:szCs w:val="20"/>
          <w:lang w:val="es-ES"/>
        </w:rPr>
        <w:t>Contratación</w:t>
      </w:r>
      <w:r w:rsidRPr="00CA38F1">
        <w:rPr>
          <w:rFonts w:ascii="Verdana" w:eastAsia="Verdana" w:hAnsi="Verdana" w:cs="Verdana"/>
          <w:spacing w:val="-1"/>
          <w:sz w:val="20"/>
          <w:szCs w:val="20"/>
          <w:lang w:val="es-ES"/>
        </w:rPr>
        <w:t xml:space="preserve"> </w:t>
      </w:r>
      <w:r w:rsidRPr="00CA38F1">
        <w:rPr>
          <w:rFonts w:ascii="Verdana" w:eastAsia="Verdana" w:hAnsi="Verdana" w:cs="Verdana"/>
          <w:sz w:val="20"/>
          <w:szCs w:val="20"/>
          <w:lang w:val="es-ES"/>
        </w:rPr>
        <w:t>sea</w:t>
      </w:r>
      <w:r w:rsidRPr="00CA38F1">
        <w:rPr>
          <w:rFonts w:ascii="Verdana" w:eastAsia="Verdana" w:hAnsi="Verdana" w:cs="Verdana"/>
          <w:spacing w:val="-3"/>
          <w:sz w:val="20"/>
          <w:szCs w:val="20"/>
          <w:lang w:val="es-ES"/>
        </w:rPr>
        <w:t xml:space="preserve"> </w:t>
      </w:r>
      <w:r w:rsidRPr="00CA38F1">
        <w:rPr>
          <w:rFonts w:ascii="Verdana" w:eastAsia="Verdana" w:hAnsi="Verdana" w:cs="Verdana"/>
          <w:sz w:val="20"/>
          <w:szCs w:val="20"/>
          <w:lang w:val="es-ES"/>
        </w:rPr>
        <w:t>menor</w:t>
      </w:r>
      <w:r w:rsidRPr="00CA38F1">
        <w:rPr>
          <w:rFonts w:ascii="Verdana" w:eastAsia="Verdana" w:hAnsi="Verdana" w:cs="Verdana"/>
          <w:spacing w:val="-3"/>
          <w:sz w:val="20"/>
          <w:szCs w:val="20"/>
          <w:lang w:val="es-ES"/>
        </w:rPr>
        <w:t xml:space="preserve"> </w:t>
      </w:r>
      <w:r w:rsidRPr="00CA38F1">
        <w:rPr>
          <w:rFonts w:ascii="Verdana" w:eastAsia="Verdana" w:hAnsi="Verdana" w:cs="Verdana"/>
          <w:sz w:val="20"/>
          <w:szCs w:val="20"/>
          <w:lang w:val="es-ES"/>
        </w:rPr>
        <w:t>a</w:t>
      </w:r>
      <w:r w:rsidRPr="00CA38F1">
        <w:rPr>
          <w:rFonts w:ascii="Verdana" w:eastAsia="Verdana" w:hAnsi="Verdana" w:cs="Verdana"/>
          <w:spacing w:val="-4"/>
          <w:sz w:val="20"/>
          <w:szCs w:val="20"/>
          <w:lang w:val="es-ES"/>
        </w:rPr>
        <w:t xml:space="preserve"> </w:t>
      </w:r>
      <w:r w:rsidRPr="00CA38F1">
        <w:rPr>
          <w:rFonts w:ascii="Verdana" w:eastAsia="Verdana" w:hAnsi="Verdana" w:cs="Verdana"/>
          <w:sz w:val="20"/>
          <w:szCs w:val="20"/>
          <w:lang w:val="es-ES"/>
        </w:rPr>
        <w:t>ciento</w:t>
      </w:r>
      <w:r w:rsidRPr="00CA38F1">
        <w:rPr>
          <w:rFonts w:ascii="Verdana" w:eastAsia="Verdana" w:hAnsi="Verdana" w:cs="Verdana"/>
          <w:spacing w:val="-2"/>
          <w:sz w:val="20"/>
          <w:szCs w:val="20"/>
          <w:lang w:val="es-ES"/>
        </w:rPr>
        <w:t xml:space="preserve"> </w:t>
      </w:r>
      <w:r w:rsidRPr="00CA38F1">
        <w:rPr>
          <w:rFonts w:ascii="Verdana" w:eastAsia="Verdana" w:hAnsi="Verdana" w:cs="Verdana"/>
          <w:sz w:val="20"/>
          <w:szCs w:val="20"/>
          <w:lang w:val="es-ES"/>
        </w:rPr>
        <w:t>veinticinco</w:t>
      </w:r>
      <w:r w:rsidRPr="00CA38F1">
        <w:rPr>
          <w:rFonts w:ascii="Verdana" w:eastAsia="Verdana" w:hAnsi="Verdana" w:cs="Verdana"/>
          <w:spacing w:val="-1"/>
          <w:sz w:val="20"/>
          <w:szCs w:val="20"/>
          <w:lang w:val="es-ES"/>
        </w:rPr>
        <w:t xml:space="preserve"> </w:t>
      </w:r>
      <w:r w:rsidRPr="00CA38F1">
        <w:rPr>
          <w:rFonts w:ascii="Verdana" w:eastAsia="Verdana" w:hAnsi="Verdana" w:cs="Verdana"/>
          <w:sz w:val="20"/>
          <w:szCs w:val="20"/>
          <w:lang w:val="es-ES"/>
        </w:rPr>
        <w:t>mil dólares</w:t>
      </w:r>
      <w:r w:rsidRPr="00CA38F1">
        <w:rPr>
          <w:rFonts w:ascii="Verdana" w:eastAsia="Verdana" w:hAnsi="Verdana" w:cs="Verdana"/>
          <w:spacing w:val="-13"/>
          <w:sz w:val="20"/>
          <w:szCs w:val="20"/>
          <w:lang w:val="es-ES"/>
        </w:rPr>
        <w:t xml:space="preserve"> </w:t>
      </w:r>
      <w:r w:rsidRPr="00CA38F1">
        <w:rPr>
          <w:rFonts w:ascii="Verdana" w:eastAsia="Verdana" w:hAnsi="Verdana" w:cs="Verdana"/>
          <w:sz w:val="20"/>
          <w:szCs w:val="20"/>
          <w:lang w:val="es-ES"/>
        </w:rPr>
        <w:t>de</w:t>
      </w:r>
      <w:r w:rsidRPr="00CA38F1">
        <w:rPr>
          <w:rFonts w:ascii="Verdana" w:eastAsia="Verdana" w:hAnsi="Verdana" w:cs="Verdana"/>
          <w:spacing w:val="-14"/>
          <w:sz w:val="20"/>
          <w:szCs w:val="20"/>
          <w:lang w:val="es-ES"/>
        </w:rPr>
        <w:t xml:space="preserve"> </w:t>
      </w:r>
      <w:r w:rsidRPr="00CA38F1">
        <w:rPr>
          <w:rFonts w:ascii="Verdana" w:eastAsia="Verdana" w:hAnsi="Verdana" w:cs="Verdana"/>
          <w:sz w:val="20"/>
          <w:szCs w:val="20"/>
          <w:lang w:val="es-ES"/>
        </w:rPr>
        <w:t>los</w:t>
      </w:r>
      <w:r w:rsidRPr="00CA38F1">
        <w:rPr>
          <w:rFonts w:ascii="Verdana" w:eastAsia="Verdana" w:hAnsi="Verdana" w:cs="Verdana"/>
          <w:spacing w:val="-14"/>
          <w:sz w:val="20"/>
          <w:szCs w:val="20"/>
          <w:lang w:val="es-ES"/>
        </w:rPr>
        <w:t xml:space="preserve"> </w:t>
      </w:r>
      <w:r w:rsidRPr="00CA38F1">
        <w:rPr>
          <w:rFonts w:ascii="Verdana" w:eastAsia="Verdana" w:hAnsi="Verdana" w:cs="Verdana"/>
          <w:sz w:val="20"/>
          <w:szCs w:val="20"/>
          <w:lang w:val="es-ES"/>
        </w:rPr>
        <w:t>Estados</w:t>
      </w:r>
      <w:r w:rsidRPr="00CA38F1">
        <w:rPr>
          <w:rFonts w:ascii="Verdana" w:eastAsia="Verdana" w:hAnsi="Verdana" w:cs="Verdana"/>
          <w:spacing w:val="-13"/>
          <w:sz w:val="20"/>
          <w:szCs w:val="20"/>
          <w:lang w:val="es-ES"/>
        </w:rPr>
        <w:t xml:space="preserve"> </w:t>
      </w:r>
      <w:r w:rsidRPr="00CA38F1">
        <w:rPr>
          <w:rFonts w:ascii="Verdana" w:eastAsia="Verdana" w:hAnsi="Verdana" w:cs="Verdana"/>
          <w:sz w:val="20"/>
          <w:szCs w:val="20"/>
          <w:lang w:val="es-ES"/>
        </w:rPr>
        <w:t>Unidos</w:t>
      </w:r>
      <w:r w:rsidRPr="00CA38F1">
        <w:rPr>
          <w:rFonts w:ascii="Verdana" w:eastAsia="Verdana" w:hAnsi="Verdana" w:cs="Verdana"/>
          <w:spacing w:val="-13"/>
          <w:sz w:val="20"/>
          <w:szCs w:val="20"/>
          <w:lang w:val="es-ES"/>
        </w:rPr>
        <w:t xml:space="preserve"> </w:t>
      </w:r>
      <w:r w:rsidRPr="00CA38F1">
        <w:rPr>
          <w:rFonts w:ascii="Verdana" w:eastAsia="Verdana" w:hAnsi="Verdana" w:cs="Verdana"/>
          <w:sz w:val="20"/>
          <w:szCs w:val="20"/>
          <w:lang w:val="es-ES"/>
        </w:rPr>
        <w:t>de</w:t>
      </w:r>
      <w:r w:rsidRPr="00CA38F1">
        <w:rPr>
          <w:rFonts w:ascii="Verdana" w:eastAsia="Verdana" w:hAnsi="Verdana" w:cs="Verdana"/>
          <w:spacing w:val="-14"/>
          <w:sz w:val="20"/>
          <w:szCs w:val="20"/>
          <w:lang w:val="es-ES"/>
        </w:rPr>
        <w:t xml:space="preserve"> </w:t>
      </w:r>
      <w:r w:rsidRPr="00CA38F1">
        <w:rPr>
          <w:rFonts w:ascii="Verdana" w:eastAsia="Verdana" w:hAnsi="Verdana" w:cs="Verdana"/>
          <w:sz w:val="20"/>
          <w:szCs w:val="20"/>
          <w:lang w:val="es-ES"/>
        </w:rPr>
        <w:t>América</w:t>
      </w:r>
      <w:r w:rsidRPr="00CA38F1">
        <w:rPr>
          <w:rFonts w:ascii="Verdana" w:eastAsia="Verdana" w:hAnsi="Verdana" w:cs="Verdana"/>
          <w:spacing w:val="-13"/>
          <w:sz w:val="20"/>
          <w:szCs w:val="20"/>
          <w:lang w:val="es-ES"/>
        </w:rPr>
        <w:t xml:space="preserve"> </w:t>
      </w:r>
      <w:r w:rsidRPr="00CA38F1">
        <w:rPr>
          <w:rFonts w:ascii="Verdana" w:eastAsia="Verdana" w:hAnsi="Verdana" w:cs="Verdana"/>
          <w:sz w:val="20"/>
          <w:szCs w:val="20"/>
          <w:lang w:val="es-ES"/>
        </w:rPr>
        <w:t>(US$125.000),</w:t>
      </w:r>
      <w:r w:rsidRPr="00CA38F1">
        <w:rPr>
          <w:rFonts w:ascii="Verdana" w:eastAsia="Verdana" w:hAnsi="Verdana" w:cs="Verdana"/>
          <w:spacing w:val="-11"/>
          <w:sz w:val="20"/>
          <w:szCs w:val="20"/>
          <w:lang w:val="es-ES"/>
        </w:rPr>
        <w:t xml:space="preserve"> </w:t>
      </w:r>
      <w:r w:rsidRPr="00CA38F1">
        <w:rPr>
          <w:rFonts w:ascii="Verdana" w:eastAsia="Verdana" w:hAnsi="Verdana" w:cs="Verdana"/>
          <w:sz w:val="20"/>
          <w:szCs w:val="20"/>
          <w:lang w:val="es-ES"/>
        </w:rPr>
        <w:t>liquidados</w:t>
      </w:r>
      <w:r w:rsidRPr="00CA38F1">
        <w:rPr>
          <w:rFonts w:ascii="Verdana" w:eastAsia="Verdana" w:hAnsi="Verdana" w:cs="Verdana"/>
          <w:spacing w:val="-13"/>
          <w:sz w:val="20"/>
          <w:szCs w:val="20"/>
          <w:lang w:val="es-ES"/>
        </w:rPr>
        <w:t xml:space="preserve"> </w:t>
      </w:r>
      <w:r w:rsidRPr="00CA38F1">
        <w:rPr>
          <w:rFonts w:ascii="Verdana" w:eastAsia="Verdana" w:hAnsi="Verdana" w:cs="Verdana"/>
          <w:sz w:val="20"/>
          <w:szCs w:val="20"/>
          <w:lang w:val="es-ES"/>
        </w:rPr>
        <w:t>con</w:t>
      </w:r>
      <w:r w:rsidRPr="00CA38F1">
        <w:rPr>
          <w:rFonts w:ascii="Verdana" w:eastAsia="Verdana" w:hAnsi="Verdana" w:cs="Verdana"/>
          <w:spacing w:val="-14"/>
          <w:sz w:val="20"/>
          <w:szCs w:val="20"/>
          <w:lang w:val="es-ES"/>
        </w:rPr>
        <w:t xml:space="preserve"> </w:t>
      </w:r>
      <w:r w:rsidRPr="00CA38F1">
        <w:rPr>
          <w:rFonts w:ascii="Verdana" w:eastAsia="Verdana" w:hAnsi="Verdana" w:cs="Verdana"/>
          <w:sz w:val="20"/>
          <w:szCs w:val="20"/>
          <w:lang w:val="es-ES"/>
        </w:rPr>
        <w:t>la tasa de cambio que para el efecto determina cada dos años el Ministerio de Comercio, Industria y Turismo.</w:t>
      </w:r>
    </w:p>
    <w:p w14:paraId="31BBAA23" w14:textId="77777777" w:rsidR="00805F94" w:rsidRPr="00CA38F1" w:rsidRDefault="00805F94" w:rsidP="00805F94">
      <w:pPr>
        <w:widowControl w:val="0"/>
        <w:tabs>
          <w:tab w:val="left" w:pos="382"/>
        </w:tabs>
        <w:autoSpaceDE w:val="0"/>
        <w:autoSpaceDN w:val="0"/>
        <w:spacing w:after="0" w:line="240" w:lineRule="auto"/>
        <w:ind w:left="709" w:right="709"/>
        <w:jc w:val="both"/>
        <w:outlineLvl w:val="0"/>
        <w:rPr>
          <w:rFonts w:ascii="Verdana" w:eastAsia="Verdana" w:hAnsi="Verdana" w:cs="Verdana"/>
          <w:sz w:val="20"/>
          <w:szCs w:val="20"/>
          <w:lang w:val="es-ES"/>
        </w:rPr>
      </w:pPr>
    </w:p>
    <w:p w14:paraId="077ACBB9" w14:textId="77777777" w:rsidR="00805F94" w:rsidRPr="00CA38F1" w:rsidRDefault="00805F94" w:rsidP="00805F94">
      <w:pPr>
        <w:widowControl w:val="0"/>
        <w:tabs>
          <w:tab w:val="left" w:pos="382"/>
        </w:tabs>
        <w:autoSpaceDE w:val="0"/>
        <w:autoSpaceDN w:val="0"/>
        <w:spacing w:after="0" w:line="240" w:lineRule="auto"/>
        <w:ind w:left="709" w:right="709"/>
        <w:jc w:val="both"/>
        <w:outlineLvl w:val="0"/>
        <w:rPr>
          <w:rFonts w:ascii="Verdana" w:eastAsia="Verdana" w:hAnsi="Verdana" w:cs="Verdana"/>
          <w:b/>
          <w:bCs/>
          <w:sz w:val="20"/>
          <w:szCs w:val="20"/>
          <w:lang w:val="es-ES"/>
        </w:rPr>
      </w:pPr>
      <w:r w:rsidRPr="00CA38F1">
        <w:rPr>
          <w:rFonts w:ascii="Verdana" w:eastAsia="Verdana" w:hAnsi="Verdana" w:cs="Verdana"/>
          <w:sz w:val="20"/>
          <w:szCs w:val="20"/>
          <w:lang w:val="es-ES"/>
        </w:rPr>
        <w:t>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w:t>
      </w:r>
      <w:r w:rsidRPr="00CA38F1">
        <w:rPr>
          <w:rFonts w:ascii="Verdana" w:eastAsia="Verdana" w:hAnsi="Verdana" w:cs="Verdana"/>
          <w:spacing w:val="-18"/>
          <w:sz w:val="20"/>
          <w:szCs w:val="20"/>
          <w:lang w:val="es-ES"/>
        </w:rPr>
        <w:t xml:space="preserve"> </w:t>
      </w:r>
      <w:r w:rsidRPr="00CA38F1">
        <w:rPr>
          <w:rFonts w:ascii="Verdana" w:eastAsia="Verdana" w:hAnsi="Verdana" w:cs="Verdana"/>
          <w:sz w:val="20"/>
          <w:szCs w:val="20"/>
          <w:lang w:val="es-ES"/>
        </w:rPr>
        <w:t>que</w:t>
      </w:r>
      <w:r w:rsidRPr="00CA38F1">
        <w:rPr>
          <w:rFonts w:ascii="Verdana" w:eastAsia="Verdana" w:hAnsi="Verdana" w:cs="Verdana"/>
          <w:spacing w:val="-18"/>
          <w:sz w:val="20"/>
          <w:szCs w:val="20"/>
          <w:lang w:val="es-ES"/>
        </w:rPr>
        <w:t xml:space="preserve"> </w:t>
      </w:r>
      <w:r w:rsidRPr="00CA38F1">
        <w:rPr>
          <w:rFonts w:ascii="Verdana" w:eastAsia="Verdana" w:hAnsi="Verdana" w:cs="Verdana"/>
          <w:sz w:val="20"/>
          <w:szCs w:val="20"/>
          <w:lang w:val="es-ES"/>
        </w:rPr>
        <w:t>ejecuten</w:t>
      </w:r>
      <w:r w:rsidRPr="00CA38F1">
        <w:rPr>
          <w:rFonts w:ascii="Verdana" w:eastAsia="Verdana" w:hAnsi="Verdana" w:cs="Verdana"/>
          <w:spacing w:val="-17"/>
          <w:sz w:val="20"/>
          <w:szCs w:val="20"/>
          <w:lang w:val="es-ES"/>
        </w:rPr>
        <w:t xml:space="preserve"> </w:t>
      </w:r>
      <w:r w:rsidRPr="00CA38F1">
        <w:rPr>
          <w:rFonts w:ascii="Verdana" w:eastAsia="Verdana" w:hAnsi="Verdana" w:cs="Verdana"/>
          <w:sz w:val="20"/>
          <w:szCs w:val="20"/>
          <w:lang w:val="es-ES"/>
        </w:rPr>
        <w:t>recursos</w:t>
      </w:r>
      <w:r w:rsidRPr="00CA38F1">
        <w:rPr>
          <w:rFonts w:ascii="Verdana" w:eastAsia="Verdana" w:hAnsi="Verdana" w:cs="Verdana"/>
          <w:spacing w:val="-18"/>
          <w:sz w:val="20"/>
          <w:szCs w:val="20"/>
          <w:lang w:val="es-ES"/>
        </w:rPr>
        <w:t xml:space="preserve"> </w:t>
      </w:r>
      <w:r w:rsidRPr="00CA38F1">
        <w:rPr>
          <w:rFonts w:ascii="Verdana" w:eastAsia="Verdana" w:hAnsi="Verdana" w:cs="Verdana"/>
          <w:sz w:val="20"/>
          <w:szCs w:val="20"/>
          <w:lang w:val="es-ES"/>
        </w:rPr>
        <w:t>públicos,</w:t>
      </w:r>
      <w:r w:rsidRPr="00CA38F1">
        <w:rPr>
          <w:rFonts w:ascii="Verdana" w:eastAsia="Verdana" w:hAnsi="Verdana" w:cs="Verdana"/>
          <w:spacing w:val="-17"/>
          <w:sz w:val="20"/>
          <w:szCs w:val="20"/>
          <w:lang w:val="es-ES"/>
        </w:rPr>
        <w:t xml:space="preserve"> </w:t>
      </w:r>
      <w:r w:rsidRPr="00CA38F1">
        <w:rPr>
          <w:rFonts w:ascii="Verdana" w:eastAsia="Verdana" w:hAnsi="Verdana" w:cs="Verdana"/>
          <w:sz w:val="20"/>
          <w:szCs w:val="20"/>
          <w:lang w:val="es-ES"/>
        </w:rPr>
        <w:t>deben</w:t>
      </w:r>
      <w:r w:rsidRPr="00CA38F1">
        <w:rPr>
          <w:rFonts w:ascii="Verdana" w:eastAsia="Verdana" w:hAnsi="Verdana" w:cs="Verdana"/>
          <w:spacing w:val="-18"/>
          <w:sz w:val="20"/>
          <w:szCs w:val="20"/>
          <w:lang w:val="es-ES"/>
        </w:rPr>
        <w:t xml:space="preserve"> </w:t>
      </w:r>
      <w:r w:rsidRPr="00CA38F1">
        <w:rPr>
          <w:rFonts w:ascii="Verdana" w:eastAsia="Verdana" w:hAnsi="Verdana" w:cs="Verdana"/>
          <w:sz w:val="20"/>
          <w:szCs w:val="20"/>
          <w:lang w:val="es-ES"/>
        </w:rPr>
        <w:t>recibir</w:t>
      </w:r>
      <w:r w:rsidRPr="00CA38F1">
        <w:rPr>
          <w:rFonts w:ascii="Verdana" w:eastAsia="Verdana" w:hAnsi="Verdana" w:cs="Verdana"/>
          <w:spacing w:val="-18"/>
          <w:sz w:val="20"/>
          <w:szCs w:val="20"/>
          <w:lang w:val="es-ES"/>
        </w:rPr>
        <w:t xml:space="preserve"> </w:t>
      </w:r>
      <w:r w:rsidRPr="00CA38F1">
        <w:rPr>
          <w:rFonts w:ascii="Verdana" w:eastAsia="Verdana" w:hAnsi="Verdana" w:cs="Verdana"/>
          <w:sz w:val="20"/>
          <w:szCs w:val="20"/>
          <w:lang w:val="es-ES"/>
        </w:rPr>
        <w:t>estas</w:t>
      </w:r>
      <w:r w:rsidRPr="00CA38F1">
        <w:rPr>
          <w:rFonts w:ascii="Verdana" w:eastAsia="Verdana" w:hAnsi="Verdana" w:cs="Verdana"/>
          <w:spacing w:val="-17"/>
          <w:sz w:val="20"/>
          <w:szCs w:val="20"/>
          <w:lang w:val="es-ES"/>
        </w:rPr>
        <w:t xml:space="preserve"> </w:t>
      </w:r>
      <w:r w:rsidRPr="00CA38F1">
        <w:rPr>
          <w:rFonts w:ascii="Verdana" w:eastAsia="Verdana" w:hAnsi="Verdana" w:cs="Verdana"/>
          <w:sz w:val="20"/>
          <w:szCs w:val="20"/>
          <w:lang w:val="es-ES"/>
        </w:rPr>
        <w:t>solicitudes por</w:t>
      </w:r>
      <w:r w:rsidRPr="00CA38F1">
        <w:rPr>
          <w:rFonts w:ascii="Verdana" w:eastAsia="Verdana" w:hAnsi="Verdana" w:cs="Verdana"/>
          <w:spacing w:val="-18"/>
          <w:sz w:val="20"/>
          <w:szCs w:val="20"/>
          <w:lang w:val="es-ES"/>
        </w:rPr>
        <w:t xml:space="preserve"> </w:t>
      </w:r>
      <w:r w:rsidRPr="00CA38F1">
        <w:rPr>
          <w:rFonts w:ascii="Verdana" w:eastAsia="Verdana" w:hAnsi="Verdana" w:cs="Verdana"/>
          <w:sz w:val="20"/>
          <w:szCs w:val="20"/>
          <w:lang w:val="es-ES"/>
        </w:rPr>
        <w:t>lo</w:t>
      </w:r>
      <w:r w:rsidRPr="00CA38F1">
        <w:rPr>
          <w:rFonts w:ascii="Verdana" w:eastAsia="Verdana" w:hAnsi="Verdana" w:cs="Verdana"/>
          <w:spacing w:val="-18"/>
          <w:sz w:val="20"/>
          <w:szCs w:val="20"/>
          <w:lang w:val="es-ES"/>
        </w:rPr>
        <w:t xml:space="preserve"> </w:t>
      </w:r>
      <w:r w:rsidRPr="00CA38F1">
        <w:rPr>
          <w:rFonts w:ascii="Verdana" w:eastAsia="Verdana" w:hAnsi="Verdana" w:cs="Verdana"/>
          <w:sz w:val="20"/>
          <w:szCs w:val="20"/>
          <w:lang w:val="es-ES"/>
        </w:rPr>
        <w:t>menos</w:t>
      </w:r>
      <w:r w:rsidRPr="00CA38F1">
        <w:rPr>
          <w:rFonts w:ascii="Verdana" w:eastAsia="Verdana" w:hAnsi="Verdana" w:cs="Verdana"/>
          <w:spacing w:val="-17"/>
          <w:sz w:val="20"/>
          <w:szCs w:val="20"/>
          <w:lang w:val="es-ES"/>
        </w:rPr>
        <w:t xml:space="preserve"> </w:t>
      </w:r>
      <w:r w:rsidRPr="00CA38F1">
        <w:rPr>
          <w:rFonts w:ascii="Verdana" w:eastAsia="Verdana" w:hAnsi="Verdana" w:cs="Verdana"/>
          <w:sz w:val="20"/>
          <w:szCs w:val="20"/>
          <w:lang w:val="es-ES"/>
        </w:rPr>
        <w:t>un</w:t>
      </w:r>
      <w:r w:rsidRPr="00CA38F1">
        <w:rPr>
          <w:rFonts w:ascii="Verdana" w:eastAsia="Verdana" w:hAnsi="Verdana" w:cs="Verdana"/>
          <w:spacing w:val="-18"/>
          <w:sz w:val="20"/>
          <w:szCs w:val="20"/>
          <w:lang w:val="es-ES"/>
        </w:rPr>
        <w:t xml:space="preserve"> </w:t>
      </w:r>
      <w:r w:rsidRPr="00CA38F1">
        <w:rPr>
          <w:rFonts w:ascii="Verdana" w:eastAsia="Verdana" w:hAnsi="Verdana" w:cs="Verdana"/>
          <w:sz w:val="20"/>
          <w:szCs w:val="20"/>
          <w:lang w:val="es-ES"/>
        </w:rPr>
        <w:t>(1)</w:t>
      </w:r>
      <w:r w:rsidRPr="00CA38F1">
        <w:rPr>
          <w:rFonts w:ascii="Verdana" w:eastAsia="Verdana" w:hAnsi="Verdana" w:cs="Verdana"/>
          <w:spacing w:val="-17"/>
          <w:sz w:val="20"/>
          <w:szCs w:val="20"/>
          <w:lang w:val="es-ES"/>
        </w:rPr>
        <w:t xml:space="preserve"> </w:t>
      </w:r>
      <w:r w:rsidRPr="00CA38F1">
        <w:rPr>
          <w:rFonts w:ascii="Verdana" w:eastAsia="Verdana" w:hAnsi="Verdana" w:cs="Verdana"/>
          <w:sz w:val="20"/>
          <w:szCs w:val="20"/>
          <w:lang w:val="es-ES"/>
        </w:rPr>
        <w:t>día</w:t>
      </w:r>
      <w:r w:rsidRPr="00CA38F1">
        <w:rPr>
          <w:rFonts w:ascii="Verdana" w:eastAsia="Verdana" w:hAnsi="Verdana" w:cs="Verdana"/>
          <w:spacing w:val="-18"/>
          <w:sz w:val="20"/>
          <w:szCs w:val="20"/>
          <w:lang w:val="es-ES"/>
        </w:rPr>
        <w:t xml:space="preserve"> </w:t>
      </w:r>
      <w:r w:rsidRPr="00CA38F1">
        <w:rPr>
          <w:rFonts w:ascii="Verdana" w:eastAsia="Verdana" w:hAnsi="Verdana" w:cs="Verdana"/>
          <w:sz w:val="20"/>
          <w:szCs w:val="20"/>
          <w:lang w:val="es-ES"/>
        </w:rPr>
        <w:t>hábil</w:t>
      </w:r>
      <w:r w:rsidRPr="00CA38F1">
        <w:rPr>
          <w:rFonts w:ascii="Verdana" w:eastAsia="Verdana" w:hAnsi="Verdana" w:cs="Verdana"/>
          <w:spacing w:val="-18"/>
          <w:sz w:val="20"/>
          <w:szCs w:val="20"/>
          <w:lang w:val="es-ES"/>
        </w:rPr>
        <w:t xml:space="preserve"> </w:t>
      </w:r>
      <w:r w:rsidRPr="00CA38F1">
        <w:rPr>
          <w:rFonts w:ascii="Verdana" w:eastAsia="Verdana" w:hAnsi="Verdana" w:cs="Verdana"/>
          <w:sz w:val="20"/>
          <w:szCs w:val="20"/>
          <w:lang w:val="es-ES"/>
        </w:rPr>
        <w:t>antes</w:t>
      </w:r>
      <w:r w:rsidRPr="00CA38F1">
        <w:rPr>
          <w:rFonts w:ascii="Verdana" w:eastAsia="Verdana" w:hAnsi="Verdana" w:cs="Verdana"/>
          <w:spacing w:val="-17"/>
          <w:sz w:val="20"/>
          <w:szCs w:val="20"/>
          <w:lang w:val="es-ES"/>
        </w:rPr>
        <w:t xml:space="preserve"> </w:t>
      </w:r>
      <w:r w:rsidRPr="00CA38F1">
        <w:rPr>
          <w:rFonts w:ascii="Verdana" w:eastAsia="Verdana" w:hAnsi="Verdana" w:cs="Verdana"/>
          <w:sz w:val="20"/>
          <w:szCs w:val="20"/>
          <w:lang w:val="es-ES"/>
        </w:rPr>
        <w:t>de</w:t>
      </w:r>
      <w:r w:rsidRPr="00CA38F1">
        <w:rPr>
          <w:rFonts w:ascii="Verdana" w:eastAsia="Verdana" w:hAnsi="Verdana" w:cs="Verdana"/>
          <w:spacing w:val="-18"/>
          <w:sz w:val="20"/>
          <w:szCs w:val="20"/>
          <w:lang w:val="es-ES"/>
        </w:rPr>
        <w:t xml:space="preserve"> </w:t>
      </w:r>
      <w:r w:rsidRPr="00CA38F1">
        <w:rPr>
          <w:rFonts w:ascii="Verdana" w:eastAsia="Verdana" w:hAnsi="Verdana" w:cs="Verdana"/>
          <w:sz w:val="20"/>
          <w:szCs w:val="20"/>
          <w:lang w:val="es-ES"/>
        </w:rPr>
        <w:t>la</w:t>
      </w:r>
      <w:r w:rsidRPr="00CA38F1">
        <w:rPr>
          <w:rFonts w:ascii="Verdana" w:eastAsia="Verdana" w:hAnsi="Verdana" w:cs="Verdana"/>
          <w:spacing w:val="-17"/>
          <w:sz w:val="20"/>
          <w:szCs w:val="20"/>
          <w:lang w:val="es-ES"/>
        </w:rPr>
        <w:t xml:space="preserve"> </w:t>
      </w:r>
      <w:r w:rsidRPr="00CA38F1">
        <w:rPr>
          <w:rFonts w:ascii="Verdana" w:eastAsia="Verdana" w:hAnsi="Verdana" w:cs="Verdana"/>
          <w:sz w:val="20"/>
          <w:szCs w:val="20"/>
          <w:lang w:val="es-ES"/>
        </w:rPr>
        <w:t>expedición</w:t>
      </w:r>
      <w:r w:rsidRPr="00CA38F1">
        <w:rPr>
          <w:rFonts w:ascii="Verdana" w:eastAsia="Verdana" w:hAnsi="Verdana" w:cs="Verdana"/>
          <w:spacing w:val="-18"/>
          <w:sz w:val="20"/>
          <w:szCs w:val="20"/>
          <w:lang w:val="es-ES"/>
        </w:rPr>
        <w:t xml:space="preserve"> </w:t>
      </w:r>
      <w:r w:rsidRPr="00CA38F1">
        <w:rPr>
          <w:rFonts w:ascii="Verdana" w:eastAsia="Verdana" w:hAnsi="Verdana" w:cs="Verdana"/>
          <w:sz w:val="20"/>
          <w:szCs w:val="20"/>
          <w:lang w:val="es-ES"/>
        </w:rPr>
        <w:t>del</w:t>
      </w:r>
      <w:r w:rsidRPr="00CA38F1">
        <w:rPr>
          <w:rFonts w:ascii="Verdana" w:eastAsia="Verdana" w:hAnsi="Verdana" w:cs="Verdana"/>
          <w:spacing w:val="-17"/>
          <w:sz w:val="20"/>
          <w:szCs w:val="20"/>
          <w:lang w:val="es-ES"/>
        </w:rPr>
        <w:t xml:space="preserve"> </w:t>
      </w:r>
      <w:r w:rsidRPr="00CA38F1">
        <w:rPr>
          <w:rFonts w:ascii="Verdana" w:eastAsia="Verdana" w:hAnsi="Verdana" w:cs="Verdana"/>
          <w:sz w:val="20"/>
          <w:szCs w:val="20"/>
          <w:lang w:val="es-ES"/>
        </w:rPr>
        <w:t>acto</w:t>
      </w:r>
      <w:r w:rsidRPr="00CA38F1">
        <w:rPr>
          <w:rFonts w:ascii="Verdana" w:eastAsia="Verdana" w:hAnsi="Verdana" w:cs="Verdana"/>
          <w:spacing w:val="-18"/>
          <w:sz w:val="20"/>
          <w:szCs w:val="20"/>
          <w:lang w:val="es-ES"/>
        </w:rPr>
        <w:t xml:space="preserve"> </w:t>
      </w:r>
      <w:r w:rsidRPr="00CA38F1">
        <w:rPr>
          <w:rFonts w:ascii="Verdana" w:eastAsia="Verdana" w:hAnsi="Verdana" w:cs="Verdana"/>
          <w:sz w:val="20"/>
          <w:szCs w:val="20"/>
          <w:lang w:val="es-ES"/>
        </w:rPr>
        <w:t>administrativo de</w:t>
      </w:r>
      <w:r w:rsidRPr="00CA38F1">
        <w:rPr>
          <w:rFonts w:ascii="Verdana" w:eastAsia="Verdana" w:hAnsi="Verdana" w:cs="Verdana"/>
          <w:spacing w:val="-18"/>
          <w:sz w:val="20"/>
          <w:szCs w:val="20"/>
          <w:lang w:val="es-ES"/>
        </w:rPr>
        <w:t xml:space="preserve"> </w:t>
      </w:r>
      <w:r w:rsidRPr="00CA38F1">
        <w:rPr>
          <w:rFonts w:ascii="Verdana" w:eastAsia="Verdana" w:hAnsi="Verdana" w:cs="Verdana"/>
          <w:sz w:val="20"/>
          <w:szCs w:val="20"/>
          <w:lang w:val="es-ES"/>
        </w:rPr>
        <w:t>apertura,</w:t>
      </w:r>
      <w:r w:rsidRPr="00CA38F1">
        <w:rPr>
          <w:rFonts w:ascii="Verdana" w:eastAsia="Verdana" w:hAnsi="Verdana" w:cs="Verdana"/>
          <w:spacing w:val="-18"/>
          <w:sz w:val="20"/>
          <w:szCs w:val="20"/>
          <w:lang w:val="es-ES"/>
        </w:rPr>
        <w:t xml:space="preserve"> </w:t>
      </w:r>
      <w:r w:rsidRPr="00CA38F1">
        <w:rPr>
          <w:rFonts w:ascii="Verdana" w:eastAsia="Verdana" w:hAnsi="Verdana" w:cs="Verdana"/>
          <w:sz w:val="20"/>
          <w:szCs w:val="20"/>
          <w:lang w:val="es-ES"/>
        </w:rPr>
        <w:t>o</w:t>
      </w:r>
      <w:r w:rsidRPr="00CA38F1">
        <w:rPr>
          <w:rFonts w:ascii="Verdana" w:eastAsia="Verdana" w:hAnsi="Verdana" w:cs="Verdana"/>
          <w:spacing w:val="-17"/>
          <w:sz w:val="20"/>
          <w:szCs w:val="20"/>
          <w:lang w:val="es-ES"/>
        </w:rPr>
        <w:t xml:space="preserve"> </w:t>
      </w:r>
      <w:r w:rsidRPr="00CA38F1">
        <w:rPr>
          <w:rFonts w:ascii="Verdana" w:eastAsia="Verdana" w:hAnsi="Verdana" w:cs="Verdana"/>
          <w:sz w:val="20"/>
          <w:szCs w:val="20"/>
          <w:lang w:val="es-ES"/>
        </w:rPr>
        <w:t>el</w:t>
      </w:r>
      <w:r w:rsidRPr="00CA38F1">
        <w:rPr>
          <w:rFonts w:ascii="Verdana" w:eastAsia="Verdana" w:hAnsi="Verdana" w:cs="Verdana"/>
          <w:spacing w:val="-18"/>
          <w:sz w:val="20"/>
          <w:szCs w:val="20"/>
          <w:lang w:val="es-ES"/>
        </w:rPr>
        <w:t xml:space="preserve"> </w:t>
      </w:r>
      <w:r w:rsidRPr="00CA38F1">
        <w:rPr>
          <w:rFonts w:ascii="Verdana" w:eastAsia="Verdana" w:hAnsi="Verdana" w:cs="Verdana"/>
          <w:sz w:val="20"/>
          <w:szCs w:val="20"/>
          <w:lang w:val="es-ES"/>
        </w:rPr>
        <w:t>que</w:t>
      </w:r>
      <w:r w:rsidRPr="00CA38F1">
        <w:rPr>
          <w:rFonts w:ascii="Verdana" w:eastAsia="Verdana" w:hAnsi="Verdana" w:cs="Verdana"/>
          <w:spacing w:val="-17"/>
          <w:sz w:val="20"/>
          <w:szCs w:val="20"/>
          <w:lang w:val="es-ES"/>
        </w:rPr>
        <w:t xml:space="preserve"> </w:t>
      </w:r>
      <w:r w:rsidRPr="00CA38F1">
        <w:rPr>
          <w:rFonts w:ascii="Verdana" w:eastAsia="Verdana" w:hAnsi="Verdana" w:cs="Verdana"/>
          <w:sz w:val="20"/>
          <w:szCs w:val="20"/>
          <w:lang w:val="es-ES"/>
        </w:rPr>
        <w:t>haga</w:t>
      </w:r>
      <w:r w:rsidRPr="00CA38F1">
        <w:rPr>
          <w:rFonts w:ascii="Verdana" w:eastAsia="Verdana" w:hAnsi="Verdana" w:cs="Verdana"/>
          <w:spacing w:val="-18"/>
          <w:sz w:val="20"/>
          <w:szCs w:val="20"/>
          <w:lang w:val="es-ES"/>
        </w:rPr>
        <w:t xml:space="preserve"> </w:t>
      </w:r>
      <w:r w:rsidRPr="00CA38F1">
        <w:rPr>
          <w:rFonts w:ascii="Verdana" w:eastAsia="Verdana" w:hAnsi="Verdana" w:cs="Verdana"/>
          <w:sz w:val="20"/>
          <w:szCs w:val="20"/>
          <w:lang w:val="es-ES"/>
        </w:rPr>
        <w:t>sus</w:t>
      </w:r>
      <w:r w:rsidRPr="00CA38F1">
        <w:rPr>
          <w:rFonts w:ascii="Verdana" w:eastAsia="Verdana" w:hAnsi="Verdana" w:cs="Verdana"/>
          <w:spacing w:val="-18"/>
          <w:sz w:val="20"/>
          <w:szCs w:val="20"/>
          <w:lang w:val="es-ES"/>
        </w:rPr>
        <w:t xml:space="preserve"> </w:t>
      </w:r>
      <w:r w:rsidRPr="00CA38F1">
        <w:rPr>
          <w:rFonts w:ascii="Verdana" w:eastAsia="Verdana" w:hAnsi="Verdana" w:cs="Verdana"/>
          <w:sz w:val="20"/>
          <w:szCs w:val="20"/>
          <w:lang w:val="es-ES"/>
        </w:rPr>
        <w:t>veces</w:t>
      </w:r>
      <w:r w:rsidRPr="00CA38F1">
        <w:rPr>
          <w:rFonts w:ascii="Verdana" w:eastAsia="Verdana" w:hAnsi="Verdana" w:cs="Verdana"/>
          <w:spacing w:val="-17"/>
          <w:sz w:val="20"/>
          <w:szCs w:val="20"/>
          <w:lang w:val="es-ES"/>
        </w:rPr>
        <w:t xml:space="preserve"> </w:t>
      </w:r>
      <w:r w:rsidRPr="00CA38F1">
        <w:rPr>
          <w:rFonts w:ascii="Verdana" w:eastAsia="Verdana" w:hAnsi="Verdana" w:cs="Verdana"/>
          <w:sz w:val="20"/>
          <w:szCs w:val="20"/>
          <w:lang w:val="es-ES"/>
        </w:rPr>
        <w:t>de</w:t>
      </w:r>
      <w:r w:rsidRPr="00CA38F1">
        <w:rPr>
          <w:rFonts w:ascii="Verdana" w:eastAsia="Verdana" w:hAnsi="Verdana" w:cs="Verdana"/>
          <w:spacing w:val="-18"/>
          <w:sz w:val="20"/>
          <w:szCs w:val="20"/>
          <w:lang w:val="es-ES"/>
        </w:rPr>
        <w:t xml:space="preserve"> </w:t>
      </w:r>
      <w:r w:rsidRPr="00CA38F1">
        <w:rPr>
          <w:rFonts w:ascii="Verdana" w:eastAsia="Verdana" w:hAnsi="Verdana" w:cs="Verdana"/>
          <w:sz w:val="20"/>
          <w:szCs w:val="20"/>
          <w:lang w:val="es-ES"/>
        </w:rPr>
        <w:t>acuerdo</w:t>
      </w:r>
      <w:r w:rsidRPr="00CA38F1">
        <w:rPr>
          <w:rFonts w:ascii="Verdana" w:eastAsia="Verdana" w:hAnsi="Verdana" w:cs="Verdana"/>
          <w:spacing w:val="-17"/>
          <w:sz w:val="20"/>
          <w:szCs w:val="20"/>
          <w:lang w:val="es-ES"/>
        </w:rPr>
        <w:t xml:space="preserve"> </w:t>
      </w:r>
      <w:r w:rsidRPr="00CA38F1">
        <w:rPr>
          <w:rFonts w:ascii="Verdana" w:eastAsia="Verdana" w:hAnsi="Verdana" w:cs="Verdana"/>
          <w:sz w:val="20"/>
          <w:szCs w:val="20"/>
          <w:lang w:val="es-ES"/>
        </w:rPr>
        <w:t>con</w:t>
      </w:r>
      <w:r w:rsidRPr="00CA38F1">
        <w:rPr>
          <w:rFonts w:ascii="Verdana" w:eastAsia="Verdana" w:hAnsi="Verdana" w:cs="Verdana"/>
          <w:spacing w:val="-18"/>
          <w:sz w:val="20"/>
          <w:szCs w:val="20"/>
          <w:lang w:val="es-ES"/>
        </w:rPr>
        <w:t xml:space="preserve"> </w:t>
      </w:r>
      <w:r w:rsidRPr="00CA38F1">
        <w:rPr>
          <w:rFonts w:ascii="Verdana" w:eastAsia="Verdana" w:hAnsi="Verdana" w:cs="Verdana"/>
          <w:sz w:val="20"/>
          <w:szCs w:val="20"/>
          <w:lang w:val="es-ES"/>
        </w:rPr>
        <w:t>la</w:t>
      </w:r>
      <w:r w:rsidRPr="00CA38F1">
        <w:rPr>
          <w:rFonts w:ascii="Verdana" w:eastAsia="Verdana" w:hAnsi="Verdana" w:cs="Verdana"/>
          <w:spacing w:val="-17"/>
          <w:sz w:val="20"/>
          <w:szCs w:val="20"/>
          <w:lang w:val="es-ES"/>
        </w:rPr>
        <w:t xml:space="preserve"> </w:t>
      </w:r>
      <w:r w:rsidRPr="00CA38F1">
        <w:rPr>
          <w:rFonts w:ascii="Verdana" w:eastAsia="Verdana" w:hAnsi="Verdana" w:cs="Verdana"/>
          <w:sz w:val="20"/>
          <w:szCs w:val="20"/>
          <w:lang w:val="es-ES"/>
        </w:rPr>
        <w:t>normativa</w:t>
      </w:r>
      <w:r w:rsidRPr="00CA38F1">
        <w:rPr>
          <w:rFonts w:ascii="Verdana" w:eastAsia="Verdana" w:hAnsi="Verdana" w:cs="Verdana"/>
          <w:spacing w:val="-18"/>
          <w:sz w:val="20"/>
          <w:szCs w:val="20"/>
          <w:lang w:val="es-ES"/>
        </w:rPr>
        <w:t xml:space="preserve"> </w:t>
      </w:r>
      <w:r w:rsidRPr="00CA38F1">
        <w:rPr>
          <w:rFonts w:ascii="Verdana" w:eastAsia="Verdana" w:hAnsi="Verdana" w:cs="Verdana"/>
          <w:sz w:val="20"/>
          <w:szCs w:val="20"/>
          <w:lang w:val="es-ES"/>
        </w:rPr>
        <w:t>aplicable a cada Proceso de Contratación. Tratándose de personas jurídicas, las solicitudes</w:t>
      </w:r>
      <w:r w:rsidRPr="00CA38F1">
        <w:rPr>
          <w:rFonts w:ascii="Verdana" w:eastAsia="Verdana" w:hAnsi="Verdana" w:cs="Verdana"/>
          <w:spacing w:val="-6"/>
          <w:sz w:val="20"/>
          <w:szCs w:val="20"/>
          <w:lang w:val="es-ES"/>
        </w:rPr>
        <w:t xml:space="preserve"> </w:t>
      </w:r>
      <w:r w:rsidRPr="00CA38F1">
        <w:rPr>
          <w:rFonts w:ascii="Verdana" w:eastAsia="Verdana" w:hAnsi="Verdana" w:cs="Verdana"/>
          <w:sz w:val="20"/>
          <w:szCs w:val="20"/>
          <w:lang w:val="es-ES"/>
        </w:rPr>
        <w:t>solo</w:t>
      </w:r>
      <w:r w:rsidRPr="00CA38F1">
        <w:rPr>
          <w:rFonts w:ascii="Verdana" w:eastAsia="Verdana" w:hAnsi="Verdana" w:cs="Verdana"/>
          <w:spacing w:val="-8"/>
          <w:sz w:val="20"/>
          <w:szCs w:val="20"/>
          <w:lang w:val="es-ES"/>
        </w:rPr>
        <w:t xml:space="preserve"> </w:t>
      </w:r>
      <w:r w:rsidRPr="00CA38F1">
        <w:rPr>
          <w:rFonts w:ascii="Verdana" w:eastAsia="Verdana" w:hAnsi="Verdana" w:cs="Verdana"/>
          <w:sz w:val="20"/>
          <w:szCs w:val="20"/>
          <w:lang w:val="es-ES"/>
        </w:rPr>
        <w:t>las</w:t>
      </w:r>
      <w:r w:rsidRPr="00CA38F1">
        <w:rPr>
          <w:rFonts w:ascii="Verdana" w:eastAsia="Verdana" w:hAnsi="Verdana" w:cs="Verdana"/>
          <w:spacing w:val="-8"/>
          <w:sz w:val="20"/>
          <w:szCs w:val="20"/>
          <w:lang w:val="es-ES"/>
        </w:rPr>
        <w:t xml:space="preserve"> </w:t>
      </w:r>
      <w:r w:rsidRPr="00CA38F1">
        <w:rPr>
          <w:rFonts w:ascii="Verdana" w:eastAsia="Verdana" w:hAnsi="Verdana" w:cs="Verdana"/>
          <w:sz w:val="20"/>
          <w:szCs w:val="20"/>
          <w:lang w:val="es-ES"/>
        </w:rPr>
        <w:t>podrán</w:t>
      </w:r>
      <w:r w:rsidRPr="00CA38F1">
        <w:rPr>
          <w:rFonts w:ascii="Verdana" w:eastAsia="Verdana" w:hAnsi="Verdana" w:cs="Verdana"/>
          <w:spacing w:val="-7"/>
          <w:sz w:val="20"/>
          <w:szCs w:val="20"/>
          <w:lang w:val="es-ES"/>
        </w:rPr>
        <w:t xml:space="preserve"> </w:t>
      </w:r>
      <w:r w:rsidRPr="00CA38F1">
        <w:rPr>
          <w:rFonts w:ascii="Verdana" w:eastAsia="Verdana" w:hAnsi="Verdana" w:cs="Verdana"/>
          <w:sz w:val="20"/>
          <w:szCs w:val="20"/>
          <w:lang w:val="es-ES"/>
        </w:rPr>
        <w:t>realizar</w:t>
      </w:r>
      <w:r w:rsidRPr="00CA38F1">
        <w:rPr>
          <w:rFonts w:ascii="Verdana" w:eastAsia="Verdana" w:hAnsi="Verdana" w:cs="Verdana"/>
          <w:spacing w:val="-6"/>
          <w:sz w:val="20"/>
          <w:szCs w:val="20"/>
          <w:lang w:val="es-ES"/>
        </w:rPr>
        <w:t xml:space="preserve"> </w:t>
      </w:r>
      <w:r w:rsidRPr="00CA38F1">
        <w:rPr>
          <w:rFonts w:ascii="Verdana" w:eastAsia="Verdana" w:hAnsi="Verdana" w:cs="Verdana"/>
          <w:sz w:val="20"/>
          <w:szCs w:val="20"/>
          <w:lang w:val="es-ES"/>
        </w:rPr>
        <w:t>MiPyme,</w:t>
      </w:r>
      <w:r w:rsidRPr="00CA38F1">
        <w:rPr>
          <w:rFonts w:ascii="Verdana" w:eastAsia="Verdana" w:hAnsi="Verdana" w:cs="Verdana"/>
          <w:spacing w:val="-9"/>
          <w:sz w:val="20"/>
          <w:szCs w:val="20"/>
          <w:lang w:val="es-ES"/>
        </w:rPr>
        <w:t xml:space="preserve"> </w:t>
      </w:r>
      <w:r w:rsidRPr="00CA38F1">
        <w:rPr>
          <w:rFonts w:ascii="Verdana" w:eastAsia="Verdana" w:hAnsi="Verdana" w:cs="Verdana"/>
          <w:sz w:val="20"/>
          <w:szCs w:val="20"/>
          <w:lang w:val="es-ES"/>
        </w:rPr>
        <w:t>cuyo</w:t>
      </w:r>
      <w:r w:rsidRPr="00CA38F1">
        <w:rPr>
          <w:rFonts w:ascii="Verdana" w:eastAsia="Verdana" w:hAnsi="Verdana" w:cs="Verdana"/>
          <w:spacing w:val="-7"/>
          <w:sz w:val="20"/>
          <w:szCs w:val="20"/>
          <w:lang w:val="es-ES"/>
        </w:rPr>
        <w:t xml:space="preserve"> </w:t>
      </w:r>
      <w:r w:rsidRPr="00CA38F1">
        <w:rPr>
          <w:rFonts w:ascii="Verdana" w:eastAsia="Verdana" w:hAnsi="Verdana" w:cs="Verdana"/>
          <w:sz w:val="20"/>
          <w:szCs w:val="20"/>
          <w:lang w:val="es-ES"/>
        </w:rPr>
        <w:t>objeto</w:t>
      </w:r>
      <w:r w:rsidRPr="00CA38F1">
        <w:rPr>
          <w:rFonts w:ascii="Verdana" w:eastAsia="Verdana" w:hAnsi="Verdana" w:cs="Verdana"/>
          <w:spacing w:val="-7"/>
          <w:sz w:val="20"/>
          <w:szCs w:val="20"/>
          <w:lang w:val="es-ES"/>
        </w:rPr>
        <w:t xml:space="preserve"> </w:t>
      </w:r>
      <w:r w:rsidRPr="00CA38F1">
        <w:rPr>
          <w:rFonts w:ascii="Verdana" w:eastAsia="Verdana" w:hAnsi="Verdana" w:cs="Verdana"/>
          <w:sz w:val="20"/>
          <w:szCs w:val="20"/>
          <w:lang w:val="es-ES"/>
        </w:rPr>
        <w:t>social</w:t>
      </w:r>
      <w:r w:rsidRPr="00CA38F1">
        <w:rPr>
          <w:rFonts w:ascii="Verdana" w:eastAsia="Verdana" w:hAnsi="Verdana" w:cs="Verdana"/>
          <w:spacing w:val="-7"/>
          <w:sz w:val="20"/>
          <w:szCs w:val="20"/>
          <w:lang w:val="es-ES"/>
        </w:rPr>
        <w:t xml:space="preserve"> </w:t>
      </w:r>
      <w:r w:rsidRPr="00CA38F1">
        <w:rPr>
          <w:rFonts w:ascii="Verdana" w:eastAsia="Verdana" w:hAnsi="Verdana" w:cs="Verdana"/>
          <w:sz w:val="20"/>
          <w:szCs w:val="20"/>
          <w:lang w:val="es-ES"/>
        </w:rPr>
        <w:t>les</w:t>
      </w:r>
      <w:r w:rsidRPr="00CA38F1">
        <w:rPr>
          <w:rFonts w:ascii="Verdana" w:eastAsia="Verdana" w:hAnsi="Verdana" w:cs="Verdana"/>
          <w:spacing w:val="-8"/>
          <w:sz w:val="20"/>
          <w:szCs w:val="20"/>
          <w:lang w:val="es-ES"/>
        </w:rPr>
        <w:t xml:space="preserve"> </w:t>
      </w:r>
      <w:r w:rsidRPr="00CA38F1">
        <w:rPr>
          <w:rFonts w:ascii="Verdana" w:eastAsia="Verdana" w:hAnsi="Verdana" w:cs="Verdana"/>
          <w:sz w:val="20"/>
          <w:szCs w:val="20"/>
          <w:lang w:val="es-ES"/>
        </w:rPr>
        <w:t>permita ejecutar el contrato relacionado con el proceso contractual.</w:t>
      </w:r>
    </w:p>
    <w:p w14:paraId="0CE624DE" w14:textId="77777777" w:rsidR="00805F94" w:rsidRPr="00CA38F1" w:rsidRDefault="00805F94" w:rsidP="00805F94">
      <w:pPr>
        <w:widowControl w:val="0"/>
        <w:tabs>
          <w:tab w:val="left" w:pos="382"/>
        </w:tabs>
        <w:autoSpaceDE w:val="0"/>
        <w:autoSpaceDN w:val="0"/>
        <w:spacing w:after="0" w:line="240" w:lineRule="auto"/>
        <w:ind w:left="709" w:right="709"/>
        <w:jc w:val="both"/>
        <w:outlineLvl w:val="0"/>
        <w:rPr>
          <w:rFonts w:ascii="Verdana" w:eastAsia="Verdana" w:hAnsi="Verdana" w:cs="Verdana"/>
          <w:sz w:val="20"/>
          <w:szCs w:val="20"/>
          <w:lang w:val="es-ES"/>
        </w:rPr>
      </w:pPr>
    </w:p>
    <w:p w14:paraId="74211603" w14:textId="77777777" w:rsidR="00805F94" w:rsidRPr="00CA38F1" w:rsidRDefault="00805F94" w:rsidP="00805F94">
      <w:pPr>
        <w:widowControl w:val="0"/>
        <w:tabs>
          <w:tab w:val="left" w:pos="382"/>
        </w:tabs>
        <w:autoSpaceDE w:val="0"/>
        <w:autoSpaceDN w:val="0"/>
        <w:spacing w:after="0" w:line="240" w:lineRule="auto"/>
        <w:ind w:left="709" w:right="709"/>
        <w:jc w:val="both"/>
        <w:outlineLvl w:val="0"/>
        <w:rPr>
          <w:rFonts w:ascii="Verdana" w:eastAsia="Verdana" w:hAnsi="Verdana" w:cs="Verdana"/>
          <w:b/>
          <w:bCs/>
          <w:lang w:val="es-ES"/>
        </w:rPr>
      </w:pPr>
      <w:r w:rsidRPr="00CA38F1">
        <w:rPr>
          <w:rFonts w:ascii="Verdana" w:eastAsia="Verdana" w:hAnsi="Verdana" w:cs="Verdana"/>
          <w:sz w:val="20"/>
          <w:szCs w:val="20"/>
          <w:lang w:val="es-ES"/>
        </w:rPr>
        <w:t>Parágrafo. Las cooperativas y demás entidades de economía solidaria, siempre</w:t>
      </w:r>
      <w:r w:rsidRPr="00CA38F1">
        <w:rPr>
          <w:rFonts w:ascii="Verdana" w:eastAsia="Verdana" w:hAnsi="Verdana" w:cs="Verdana"/>
          <w:spacing w:val="-3"/>
          <w:sz w:val="20"/>
          <w:szCs w:val="20"/>
          <w:lang w:val="es-ES"/>
        </w:rPr>
        <w:t xml:space="preserve"> </w:t>
      </w:r>
      <w:r w:rsidRPr="00CA38F1">
        <w:rPr>
          <w:rFonts w:ascii="Verdana" w:eastAsia="Verdana" w:hAnsi="Verdana" w:cs="Verdana"/>
          <w:sz w:val="20"/>
          <w:szCs w:val="20"/>
          <w:lang w:val="es-ES"/>
        </w:rPr>
        <w:t>que</w:t>
      </w:r>
      <w:r w:rsidRPr="00CA38F1">
        <w:rPr>
          <w:rFonts w:ascii="Verdana" w:eastAsia="Verdana" w:hAnsi="Verdana" w:cs="Verdana"/>
          <w:spacing w:val="-4"/>
          <w:sz w:val="20"/>
          <w:szCs w:val="20"/>
          <w:lang w:val="es-ES"/>
        </w:rPr>
        <w:t xml:space="preserve"> </w:t>
      </w:r>
      <w:r w:rsidRPr="00CA38F1">
        <w:rPr>
          <w:rFonts w:ascii="Verdana" w:eastAsia="Verdana" w:hAnsi="Verdana" w:cs="Verdana"/>
          <w:sz w:val="20"/>
          <w:szCs w:val="20"/>
          <w:lang w:val="es-ES"/>
        </w:rPr>
        <w:t>tengan</w:t>
      </w:r>
      <w:r w:rsidRPr="00CA38F1">
        <w:rPr>
          <w:rFonts w:ascii="Verdana" w:eastAsia="Verdana" w:hAnsi="Verdana" w:cs="Verdana"/>
          <w:spacing w:val="-3"/>
          <w:sz w:val="20"/>
          <w:szCs w:val="20"/>
          <w:lang w:val="es-ES"/>
        </w:rPr>
        <w:t xml:space="preserve"> </w:t>
      </w:r>
      <w:r w:rsidRPr="00CA38F1">
        <w:rPr>
          <w:rFonts w:ascii="Verdana" w:eastAsia="Verdana" w:hAnsi="Verdana" w:cs="Verdana"/>
          <w:sz w:val="20"/>
          <w:szCs w:val="20"/>
          <w:lang w:val="es-ES"/>
        </w:rPr>
        <w:t>la</w:t>
      </w:r>
      <w:r w:rsidRPr="00CA38F1">
        <w:rPr>
          <w:rFonts w:ascii="Verdana" w:eastAsia="Verdana" w:hAnsi="Verdana" w:cs="Verdana"/>
          <w:spacing w:val="-5"/>
          <w:sz w:val="20"/>
          <w:szCs w:val="20"/>
          <w:lang w:val="es-ES"/>
        </w:rPr>
        <w:t xml:space="preserve"> </w:t>
      </w:r>
      <w:r w:rsidRPr="00CA38F1">
        <w:rPr>
          <w:rFonts w:ascii="Verdana" w:eastAsia="Verdana" w:hAnsi="Verdana" w:cs="Verdana"/>
          <w:sz w:val="20"/>
          <w:szCs w:val="20"/>
          <w:lang w:val="es-ES"/>
        </w:rPr>
        <w:t>calidad</w:t>
      </w:r>
      <w:r w:rsidRPr="00CA38F1">
        <w:rPr>
          <w:rFonts w:ascii="Verdana" w:eastAsia="Verdana" w:hAnsi="Verdana" w:cs="Verdana"/>
          <w:spacing w:val="-3"/>
          <w:sz w:val="20"/>
          <w:szCs w:val="20"/>
          <w:lang w:val="es-ES"/>
        </w:rPr>
        <w:t xml:space="preserve"> </w:t>
      </w:r>
      <w:r w:rsidRPr="00CA38F1">
        <w:rPr>
          <w:rFonts w:ascii="Verdana" w:eastAsia="Verdana" w:hAnsi="Verdana" w:cs="Verdana"/>
          <w:sz w:val="20"/>
          <w:szCs w:val="20"/>
          <w:lang w:val="es-ES"/>
        </w:rPr>
        <w:t>de</w:t>
      </w:r>
      <w:r w:rsidRPr="00CA38F1">
        <w:rPr>
          <w:rFonts w:ascii="Verdana" w:eastAsia="Verdana" w:hAnsi="Verdana" w:cs="Verdana"/>
          <w:spacing w:val="-5"/>
          <w:sz w:val="20"/>
          <w:szCs w:val="20"/>
          <w:lang w:val="es-ES"/>
        </w:rPr>
        <w:t xml:space="preserve"> </w:t>
      </w:r>
      <w:r w:rsidRPr="00CA38F1">
        <w:rPr>
          <w:rFonts w:ascii="Verdana" w:eastAsia="Verdana" w:hAnsi="Verdana" w:cs="Verdana"/>
          <w:sz w:val="20"/>
          <w:szCs w:val="20"/>
          <w:lang w:val="es-ES"/>
        </w:rPr>
        <w:t>MiPyme,</w:t>
      </w:r>
      <w:r w:rsidRPr="00CA38F1">
        <w:rPr>
          <w:rFonts w:ascii="Verdana" w:eastAsia="Verdana" w:hAnsi="Verdana" w:cs="Verdana"/>
          <w:spacing w:val="-5"/>
          <w:sz w:val="20"/>
          <w:szCs w:val="20"/>
          <w:lang w:val="es-ES"/>
        </w:rPr>
        <w:t xml:space="preserve"> </w:t>
      </w:r>
      <w:r w:rsidRPr="00CA38F1">
        <w:rPr>
          <w:rFonts w:ascii="Verdana" w:eastAsia="Verdana" w:hAnsi="Verdana" w:cs="Verdana"/>
          <w:sz w:val="20"/>
          <w:szCs w:val="20"/>
          <w:lang w:val="es-ES"/>
        </w:rPr>
        <w:t>podrán</w:t>
      </w:r>
      <w:r w:rsidRPr="00CA38F1">
        <w:rPr>
          <w:rFonts w:ascii="Verdana" w:eastAsia="Verdana" w:hAnsi="Verdana" w:cs="Verdana"/>
          <w:spacing w:val="-3"/>
          <w:sz w:val="20"/>
          <w:szCs w:val="20"/>
          <w:lang w:val="es-ES"/>
        </w:rPr>
        <w:t xml:space="preserve"> </w:t>
      </w:r>
      <w:r w:rsidRPr="00CA38F1">
        <w:rPr>
          <w:rFonts w:ascii="Verdana" w:eastAsia="Verdana" w:hAnsi="Verdana" w:cs="Verdana"/>
          <w:sz w:val="20"/>
          <w:szCs w:val="20"/>
          <w:lang w:val="es-ES"/>
        </w:rPr>
        <w:t>solicitar</w:t>
      </w:r>
      <w:r w:rsidRPr="00CA38F1">
        <w:rPr>
          <w:rFonts w:ascii="Verdana" w:eastAsia="Verdana" w:hAnsi="Verdana" w:cs="Verdana"/>
          <w:spacing w:val="-2"/>
          <w:sz w:val="20"/>
          <w:szCs w:val="20"/>
          <w:lang w:val="es-ES"/>
        </w:rPr>
        <w:t xml:space="preserve"> </w:t>
      </w:r>
      <w:r w:rsidRPr="00CA38F1">
        <w:rPr>
          <w:rFonts w:ascii="Verdana" w:eastAsia="Verdana" w:hAnsi="Verdana" w:cs="Verdana"/>
          <w:sz w:val="20"/>
          <w:szCs w:val="20"/>
          <w:lang w:val="es-ES"/>
        </w:rPr>
        <w:t>y</w:t>
      </w:r>
      <w:r w:rsidRPr="00CA38F1">
        <w:rPr>
          <w:rFonts w:ascii="Verdana" w:eastAsia="Verdana" w:hAnsi="Verdana" w:cs="Verdana"/>
          <w:spacing w:val="-5"/>
          <w:sz w:val="20"/>
          <w:szCs w:val="20"/>
          <w:lang w:val="es-ES"/>
        </w:rPr>
        <w:t xml:space="preserve"> </w:t>
      </w:r>
      <w:r w:rsidRPr="00CA38F1">
        <w:rPr>
          <w:rFonts w:ascii="Verdana" w:eastAsia="Verdana" w:hAnsi="Verdana" w:cs="Verdana"/>
          <w:sz w:val="20"/>
          <w:szCs w:val="20"/>
          <w:lang w:val="es-ES"/>
        </w:rPr>
        <w:t>participar</w:t>
      </w:r>
      <w:r w:rsidRPr="00CA38F1">
        <w:rPr>
          <w:rFonts w:ascii="Verdana" w:eastAsia="Verdana" w:hAnsi="Verdana" w:cs="Verdana"/>
          <w:spacing w:val="-2"/>
          <w:sz w:val="20"/>
          <w:szCs w:val="20"/>
          <w:lang w:val="es-ES"/>
        </w:rPr>
        <w:t xml:space="preserve"> </w:t>
      </w:r>
      <w:r w:rsidRPr="00CA38F1">
        <w:rPr>
          <w:rFonts w:ascii="Verdana" w:eastAsia="Verdana" w:hAnsi="Verdana" w:cs="Verdana"/>
          <w:sz w:val="20"/>
          <w:szCs w:val="20"/>
          <w:lang w:val="es-ES"/>
        </w:rPr>
        <w:t xml:space="preserve">en las convocatorias limitadas en las mismas condiciones dispuestas en el presente artículo”. </w:t>
      </w:r>
      <w:r w:rsidRPr="00CA38F1">
        <w:rPr>
          <w:rFonts w:ascii="Verdana" w:eastAsia="Verdana" w:hAnsi="Verdana" w:cs="Verdana"/>
          <w:lang w:val="es-ES"/>
        </w:rPr>
        <w:t>[Énfasis fuera del texto legal]</w:t>
      </w:r>
    </w:p>
    <w:p w14:paraId="3456683A" w14:textId="77777777" w:rsidR="00805F94" w:rsidRPr="00CA38F1" w:rsidRDefault="00805F94" w:rsidP="00805F94">
      <w:pPr>
        <w:spacing w:after="0" w:line="276" w:lineRule="auto"/>
        <w:ind w:firstLine="708"/>
        <w:jc w:val="both"/>
        <w:rPr>
          <w:rFonts w:ascii="Verdana" w:hAnsi="Verdana"/>
          <w:lang w:val="es-ES"/>
        </w:rPr>
      </w:pPr>
    </w:p>
    <w:p w14:paraId="71E94B90" w14:textId="77777777" w:rsidR="00805F94" w:rsidRPr="00CA38F1" w:rsidRDefault="00805F94" w:rsidP="00805F94">
      <w:pPr>
        <w:spacing w:after="120" w:line="276" w:lineRule="auto"/>
        <w:ind w:firstLine="708"/>
        <w:jc w:val="both"/>
        <w:rPr>
          <w:rFonts w:ascii="Verdana" w:hAnsi="Verdana"/>
          <w:lang w:val="es-ES"/>
        </w:rPr>
      </w:pPr>
      <w:r w:rsidRPr="00CA38F1">
        <w:rPr>
          <w:rFonts w:ascii="Verdana" w:hAnsi="Verdana"/>
          <w:lang w:val="es-ES"/>
        </w:rPr>
        <w:t xml:space="preserve">Revisada la norma, lo primero que se destaca es que, para el grupo de entidades que contratan con cargo a recursos públicos y que se enlistaron arriba, aquellas están obligadas a limitar ciertos procesos de selección de contratistas del Estado, restringiendo tales convocatorias con pluralidad de oferentes exclusivamente a MiPymes colombianas con al menos un (1) año de existencia, siempre que se cumplan los requisitos legales establecidos. </w:t>
      </w:r>
    </w:p>
    <w:p w14:paraId="1E04D2FE" w14:textId="77777777" w:rsidR="00805F94" w:rsidRPr="00CA38F1" w:rsidRDefault="00805F94" w:rsidP="00805F94">
      <w:pPr>
        <w:spacing w:after="120" w:line="276" w:lineRule="auto"/>
        <w:ind w:firstLine="708"/>
        <w:jc w:val="both"/>
        <w:rPr>
          <w:rFonts w:ascii="Verdana" w:hAnsi="Verdana"/>
          <w:lang w:val="es-ES"/>
        </w:rPr>
      </w:pPr>
      <w:r w:rsidRPr="00CA38F1">
        <w:rPr>
          <w:rFonts w:ascii="Verdana" w:hAnsi="Verdana"/>
          <w:lang w:val="es-ES"/>
        </w:rPr>
        <w:lastRenderedPageBreak/>
        <w:t xml:space="preserve">Como se observa, hay dos exigencias en el Decreto con naturaleza de mandato, sin que se establezcan excepciones: i) La obligación de limitar la convocatoria respectiva (siempre que se cumplan los requisitos legales) y, </w:t>
      </w:r>
      <w:proofErr w:type="spellStart"/>
      <w:r w:rsidRPr="00CA38F1">
        <w:rPr>
          <w:rFonts w:ascii="Verdana" w:hAnsi="Verdana"/>
          <w:lang w:val="es-ES"/>
        </w:rPr>
        <w:t>ii</w:t>
      </w:r>
      <w:proofErr w:type="spellEnd"/>
      <w:r w:rsidRPr="00CA38F1">
        <w:rPr>
          <w:rFonts w:ascii="Verdana" w:hAnsi="Verdana"/>
          <w:lang w:val="es-ES"/>
        </w:rPr>
        <w:t>) la obligación de limitar dicha convocatoria a ciertos proponentes en particular (MiPymes con mínimo 1 año de constituidas). Frente a la segunda obligación, las entidades obligadas a restringir la convocatoria no podrían limitarla para que participen MiPymes con menos de un (1) año de constituida, simplemente porque la norma no abrigó esa posibilidad, así como tampoco contempló excepciones a la regla. Por lo tanto, de entrada, se advierte que, si la MiPymes no cuenta con la condición de existencia mínima requerida, no podrá participar en aquellas convocatorias limitadas a este tipo de empresas.</w:t>
      </w:r>
    </w:p>
    <w:p w14:paraId="3A1F2188" w14:textId="77777777" w:rsidR="00805F94" w:rsidRPr="00CA38F1" w:rsidRDefault="00805F94" w:rsidP="00805F94">
      <w:pPr>
        <w:spacing w:after="120" w:line="276" w:lineRule="auto"/>
        <w:ind w:firstLine="708"/>
        <w:jc w:val="both"/>
        <w:rPr>
          <w:rFonts w:ascii="Verdana" w:hAnsi="Verdana"/>
          <w:lang w:val="es-ES"/>
        </w:rPr>
      </w:pPr>
      <w:r w:rsidRPr="00CA38F1">
        <w:rPr>
          <w:rFonts w:ascii="Verdana" w:hAnsi="Verdana"/>
          <w:lang w:val="es-ES"/>
        </w:rPr>
        <w:t xml:space="preserve">De otro lado, según se evidencia, el numeral primero del </w:t>
      </w:r>
      <w:r w:rsidRPr="00CA38F1">
        <w:rPr>
          <w:rFonts w:ascii="Verdana" w:hAnsi="Verdana"/>
          <w:lang w:val="es-ES_tradnl"/>
        </w:rPr>
        <w:t xml:space="preserve">artículo en cita </w:t>
      </w:r>
      <w:r w:rsidRPr="00CA38F1">
        <w:rPr>
          <w:rFonts w:ascii="Verdana" w:hAnsi="Verdana"/>
          <w:lang w:val="es-ES"/>
        </w:rPr>
        <w:t xml:space="preserve">limita cuantitativamente los procesos contractuales para las convocatorias limitadas a MiPymes, puesto que el valor del proceso de contratación debe ser “menor a ciento veinticinco mil dólares de los Estados Unidos de América”. Esto de acuerdo con la tasa que determine cada dos (2) años el Ministerio de Comercio, Industria y Turismo. Por su parte, el numeral segundo establece, por un lado, que al menos dos (2) MiPymes colombianas presenten a la entidad la solicitud de limitar el proceso contractual y, por el otro, que hagan la solicitud por lo menos un día (1) hábil antes de la expedición del acto administrativo de apertura o el que haga sus veces de acuerdo con la normativa aplicable a cada Proceso de Contratación. </w:t>
      </w:r>
    </w:p>
    <w:p w14:paraId="57562E47" w14:textId="77777777" w:rsidR="00805F94" w:rsidRPr="00CA38F1" w:rsidRDefault="00805F94" w:rsidP="00805F94">
      <w:pPr>
        <w:spacing w:after="120" w:line="276" w:lineRule="auto"/>
        <w:ind w:firstLine="708"/>
        <w:jc w:val="both"/>
        <w:rPr>
          <w:rFonts w:ascii="Verdana" w:hAnsi="Verdana"/>
        </w:rPr>
      </w:pPr>
      <w:r w:rsidRPr="00CA38F1">
        <w:rPr>
          <w:rFonts w:ascii="Verdana" w:hAnsi="Verdana"/>
        </w:rPr>
        <w:t xml:space="preserve">Además, la norma señala que, </w:t>
      </w:r>
      <w:r w:rsidRPr="00CA38F1">
        <w:rPr>
          <w:rFonts w:ascii="Verdana" w:hAnsi="Verdana"/>
          <w:lang w:val="es-ES_tradnl"/>
        </w:rPr>
        <w:t xml:space="preserve">tratándose de personas jurídicas, las solicitudes solo las podrán realizar MiPymes cuyo objeto social les permita ejecutar el contrato relacionado con el proceso contractual. Asimismo, este artículo incluye a las cooperativas y demás entidades de economía solidaria dentro de los sujetos que pueden solicitar y participar en las convocatorias limitadas a MiPyme, siempre que estas cumplan con las condiciones señaladas en el artículo. </w:t>
      </w:r>
    </w:p>
    <w:p w14:paraId="203A4BC3" w14:textId="2E4F1B3D" w:rsidR="00805F94" w:rsidRPr="00CA38F1" w:rsidRDefault="00805F94" w:rsidP="00805F94">
      <w:pPr>
        <w:spacing w:after="120" w:line="276" w:lineRule="auto"/>
        <w:ind w:firstLine="709"/>
        <w:jc w:val="both"/>
        <w:rPr>
          <w:rFonts w:ascii="Verdana" w:hAnsi="Verdana"/>
          <w:lang w:val="es-ES"/>
        </w:rPr>
      </w:pPr>
      <w:r w:rsidRPr="00CA38F1">
        <w:rPr>
          <w:rFonts w:ascii="Verdana" w:hAnsi="Verdana"/>
          <w:lang w:val="es-ES_tradnl"/>
        </w:rPr>
        <w:t xml:space="preserve">De esta manera, se puede concluir que, en virtud de dicha norma, en todos los procesos de contratación, independientemente de la modalidad de selección, las </w:t>
      </w:r>
      <w:r w:rsidR="005E52A8" w:rsidRPr="00CA38F1">
        <w:rPr>
          <w:rFonts w:ascii="Verdana" w:hAnsi="Verdana"/>
          <w:lang w:val="es-ES_tradnl"/>
        </w:rPr>
        <w:t>E</w:t>
      </w:r>
      <w:r w:rsidRPr="00CA38F1">
        <w:rPr>
          <w:rFonts w:ascii="Verdana" w:hAnsi="Verdana"/>
          <w:lang w:val="es-ES_tradnl"/>
        </w:rPr>
        <w:t xml:space="preserve">ntidades </w:t>
      </w:r>
      <w:r w:rsidR="005E52A8" w:rsidRPr="00CA38F1">
        <w:rPr>
          <w:rFonts w:ascii="Verdana" w:hAnsi="Verdana"/>
          <w:lang w:val="es-ES_tradnl"/>
        </w:rPr>
        <w:t>E</w:t>
      </w:r>
      <w:r w:rsidRPr="00CA38F1">
        <w:rPr>
          <w:rFonts w:ascii="Verdana" w:hAnsi="Verdana"/>
          <w:lang w:val="es-ES_tradnl"/>
        </w:rPr>
        <w:t>statales, cualquiera que sea su régimen de contratación,</w:t>
      </w:r>
      <w:r w:rsidRPr="00CA38F1">
        <w:rPr>
          <w:rFonts w:ascii="Verdana" w:hAnsi="Verdana"/>
        </w:rPr>
        <w:t xml:space="preserve"> los patrimonios autónomos constituidos por </w:t>
      </w:r>
      <w:r w:rsidR="00732191" w:rsidRPr="00CA38F1">
        <w:rPr>
          <w:rFonts w:ascii="Verdana" w:hAnsi="Verdana"/>
        </w:rPr>
        <w:t>E</w:t>
      </w:r>
      <w:r w:rsidRPr="00CA38F1">
        <w:rPr>
          <w:rFonts w:ascii="Verdana" w:hAnsi="Verdana"/>
        </w:rPr>
        <w:t xml:space="preserve">ntidades </w:t>
      </w:r>
      <w:r w:rsidR="00732191" w:rsidRPr="00CA38F1">
        <w:rPr>
          <w:rFonts w:ascii="Verdana" w:hAnsi="Verdana"/>
        </w:rPr>
        <w:t>E</w:t>
      </w:r>
      <w:r w:rsidRPr="00CA38F1">
        <w:rPr>
          <w:rFonts w:ascii="Verdana" w:hAnsi="Verdana"/>
        </w:rPr>
        <w:t xml:space="preserve">statales y los particulares que ejecuten recursos públicos, deberán limitar las convocatorias con pluralidad de oferentes a MiPymes colombianas, una vez concurran todos </w:t>
      </w:r>
      <w:r w:rsidRPr="00CA38F1">
        <w:rPr>
          <w:rFonts w:ascii="Verdana" w:hAnsi="Verdana"/>
        </w:rPr>
        <w:lastRenderedPageBreak/>
        <w:t>los requisitos señalados anteriormente y siempre que cuenten con mínimo un (1) año de existencia.</w:t>
      </w:r>
    </w:p>
    <w:p w14:paraId="777935E1" w14:textId="77777777" w:rsidR="00805F94" w:rsidRPr="00CA38F1" w:rsidRDefault="00805F94" w:rsidP="00805F94">
      <w:pPr>
        <w:spacing w:before="120" w:after="0" w:line="276" w:lineRule="auto"/>
        <w:ind w:firstLine="709"/>
        <w:jc w:val="both"/>
        <w:rPr>
          <w:rFonts w:ascii="Verdana" w:eastAsia="Calibri" w:hAnsi="Verdana" w:cs="Arial"/>
          <w:lang w:eastAsia="es-ES_tradnl"/>
        </w:rPr>
      </w:pPr>
      <w:r w:rsidRPr="00CA38F1">
        <w:rPr>
          <w:rFonts w:ascii="Verdana" w:eastAsia="Calibri" w:hAnsi="Verdana" w:cs="Arial"/>
          <w:lang w:val="es-ES_tradnl" w:eastAsia="es-ES_tradnl"/>
        </w:rPr>
        <w:t xml:space="preserve">De otro lado, el artículo </w:t>
      </w:r>
      <w:r w:rsidRPr="00CA38F1">
        <w:rPr>
          <w:rFonts w:ascii="Verdana" w:hAnsi="Verdana" w:cs="Arial"/>
          <w:bCs/>
          <w:lang w:eastAsia="es-ES"/>
        </w:rPr>
        <w:t xml:space="preserve">2.2.1.2.4.2.4. del Decreto 1082 de 2015 –modificado por el Decreto 1860 de 2021–, </w:t>
      </w:r>
      <w:r w:rsidRPr="00CA38F1">
        <w:rPr>
          <w:rFonts w:ascii="Verdana" w:eastAsia="Calibri" w:hAnsi="Verdana" w:cs="Arial"/>
          <w:lang w:val="es-ES_tradnl" w:eastAsia="es-ES_tradnl"/>
        </w:rPr>
        <w:t xml:space="preserve">señala cuáles son los requisitos que deberán </w:t>
      </w:r>
      <w:r w:rsidRPr="00CA38F1">
        <w:rPr>
          <w:rFonts w:ascii="Verdana" w:hAnsi="Verdana" w:cs="Arial"/>
          <w:bCs/>
          <w:lang w:eastAsia="es-ES"/>
        </w:rPr>
        <w:t>acreditarse para participar en convocatorias limitadas. El texto literal contempla</w:t>
      </w:r>
      <w:r w:rsidRPr="00CA38F1">
        <w:rPr>
          <w:rFonts w:ascii="Verdana" w:eastAsia="Calibri" w:hAnsi="Verdana" w:cs="Arial"/>
          <w:bCs/>
          <w:lang w:eastAsia="es-ES_tradnl"/>
        </w:rPr>
        <w:t>:</w:t>
      </w:r>
    </w:p>
    <w:p w14:paraId="0014E1DE" w14:textId="77777777" w:rsidR="00805F94" w:rsidRPr="00CA38F1" w:rsidRDefault="00805F94" w:rsidP="00805F94">
      <w:pPr>
        <w:spacing w:after="0" w:line="276" w:lineRule="auto"/>
        <w:ind w:firstLine="709"/>
        <w:jc w:val="both"/>
        <w:rPr>
          <w:rFonts w:ascii="Verdana" w:eastAsia="Calibri" w:hAnsi="Verdana" w:cs="Arial"/>
          <w:lang w:val="es-ES_tradnl" w:eastAsia="es-ES_tradnl"/>
        </w:rPr>
      </w:pPr>
    </w:p>
    <w:p w14:paraId="3C29AF21" w14:textId="77777777" w:rsidR="00805F94" w:rsidRPr="00CA38F1" w:rsidRDefault="00805F94" w:rsidP="00805F94">
      <w:pPr>
        <w:spacing w:after="0"/>
        <w:ind w:left="709" w:right="709"/>
        <w:contextualSpacing/>
        <w:jc w:val="both"/>
        <w:rPr>
          <w:rFonts w:ascii="Verdana" w:eastAsia="Calibri" w:hAnsi="Verdana" w:cs="Arial"/>
          <w:sz w:val="20"/>
          <w:szCs w:val="20"/>
          <w:lang w:val="es-ES" w:eastAsia="es-ES"/>
        </w:rPr>
      </w:pPr>
      <w:r w:rsidRPr="00CA38F1">
        <w:rPr>
          <w:rFonts w:ascii="Verdana" w:eastAsia="Calibri" w:hAnsi="Verdana" w:cs="Arial"/>
          <w:sz w:val="20"/>
          <w:szCs w:val="20"/>
          <w:lang w:val="es-ES" w:eastAsia="es-ES"/>
        </w:rPr>
        <w:t xml:space="preserve">Artículo 2.2.1.2.4.2.4. Acreditación de requisitos para participar en convocatorias limitadas. La MiPyme colombianas deben acreditar que tiene el tamaño empresarial establecido por la ley de la siguiente manera: </w:t>
      </w:r>
    </w:p>
    <w:p w14:paraId="263068A5" w14:textId="77777777" w:rsidR="00805F94" w:rsidRPr="00CA38F1" w:rsidRDefault="00805F94" w:rsidP="00805F94">
      <w:pPr>
        <w:spacing w:after="0"/>
        <w:ind w:left="709" w:right="709"/>
        <w:contextualSpacing/>
        <w:jc w:val="both"/>
        <w:rPr>
          <w:rFonts w:ascii="Verdana" w:eastAsia="Calibri" w:hAnsi="Verdana" w:cs="Arial"/>
          <w:sz w:val="20"/>
          <w:szCs w:val="20"/>
          <w:lang w:val="es-ES_tradnl" w:eastAsia="es-ES_tradnl"/>
        </w:rPr>
      </w:pPr>
    </w:p>
    <w:p w14:paraId="2A2B5962" w14:textId="77777777" w:rsidR="00805F94" w:rsidRPr="00CA38F1" w:rsidRDefault="00805F94" w:rsidP="00805F94">
      <w:pPr>
        <w:spacing w:after="0"/>
        <w:ind w:left="709" w:right="709"/>
        <w:contextualSpacing/>
        <w:jc w:val="both"/>
        <w:rPr>
          <w:rFonts w:ascii="Verdana" w:eastAsia="Calibri" w:hAnsi="Verdana" w:cs="Arial"/>
          <w:i/>
          <w:iCs/>
          <w:sz w:val="20"/>
          <w:szCs w:val="20"/>
          <w:lang w:val="es-ES_tradnl" w:eastAsia="es-ES_tradnl"/>
        </w:rPr>
      </w:pPr>
      <w:r w:rsidRPr="00CA38F1">
        <w:rPr>
          <w:rFonts w:ascii="Verdana" w:eastAsia="Calibri" w:hAnsi="Verdana" w:cs="Arial"/>
          <w:i/>
          <w:iCs/>
          <w:sz w:val="20"/>
          <w:szCs w:val="20"/>
          <w:lang w:val="es-ES_tradnl" w:eastAsia="es-ES_tradnl"/>
        </w:rPr>
        <w:t xml:space="preserve">1. Las personas naturales mediante certificación expedida por ellos y un contador público, adjuntando copia del registro mercantil. </w:t>
      </w:r>
    </w:p>
    <w:p w14:paraId="5C10DD77" w14:textId="77777777" w:rsidR="00805F94" w:rsidRPr="00CA38F1" w:rsidRDefault="00805F94" w:rsidP="00805F94">
      <w:pPr>
        <w:spacing w:after="0"/>
        <w:ind w:left="709" w:right="709"/>
        <w:contextualSpacing/>
        <w:jc w:val="both"/>
        <w:rPr>
          <w:rFonts w:ascii="Verdana" w:eastAsia="Calibri" w:hAnsi="Verdana" w:cs="Arial"/>
          <w:sz w:val="20"/>
          <w:szCs w:val="20"/>
          <w:lang w:val="es-ES_tradnl" w:eastAsia="es-ES_tradnl"/>
        </w:rPr>
      </w:pPr>
    </w:p>
    <w:p w14:paraId="0E0D0868" w14:textId="77777777" w:rsidR="00805F94" w:rsidRPr="00CA38F1" w:rsidRDefault="00805F94" w:rsidP="00805F94">
      <w:pPr>
        <w:spacing w:after="0"/>
        <w:ind w:left="709" w:right="709"/>
        <w:contextualSpacing/>
        <w:jc w:val="both"/>
        <w:rPr>
          <w:rFonts w:ascii="Verdana" w:eastAsia="Calibri" w:hAnsi="Verdana" w:cs="Arial"/>
          <w:sz w:val="20"/>
          <w:szCs w:val="20"/>
          <w:lang w:val="es-ES_tradnl" w:eastAsia="es-ES_tradnl"/>
        </w:rPr>
      </w:pPr>
      <w:r w:rsidRPr="00CA38F1">
        <w:rPr>
          <w:rFonts w:ascii="Verdana" w:eastAsia="Calibri" w:hAnsi="Verdana" w:cs="Arial"/>
          <w:sz w:val="20"/>
          <w:szCs w:val="20"/>
          <w:lang w:val="es-ES_tradnl" w:eastAsia="es-ES_tradnl"/>
        </w:rPr>
        <w:t>2. Las personas jurídicas mediante certificación expedida por el representante legal y el contador o revisor fiscal, si están obligados a tenerlo, adjuntando copia del certificado de existencia y representación legal expedido por la Cámara de Comercio o por la autoridad competente para expedir dicha certificación. Para la acreditación deberán observarse los rangos de clasificación empresarial establecidos de conformidad con la Ley 590 de 2000 y el Decreto 1074 de 2015, o las normas que lo modifiquen, sustituyan o complementen.</w:t>
      </w:r>
    </w:p>
    <w:p w14:paraId="25084005" w14:textId="77777777" w:rsidR="00805F94" w:rsidRPr="00CA38F1" w:rsidRDefault="00805F94" w:rsidP="00805F94">
      <w:pPr>
        <w:tabs>
          <w:tab w:val="left" w:pos="6660"/>
        </w:tabs>
        <w:spacing w:after="0"/>
        <w:ind w:left="709" w:right="709"/>
        <w:contextualSpacing/>
        <w:jc w:val="both"/>
        <w:rPr>
          <w:rFonts w:ascii="Verdana" w:eastAsia="Calibri" w:hAnsi="Verdana" w:cs="Arial"/>
          <w:b/>
          <w:bCs/>
          <w:lang w:val="es-ES_tradnl" w:eastAsia="es-ES_tradnl"/>
        </w:rPr>
      </w:pPr>
      <w:r w:rsidRPr="00CA38F1">
        <w:rPr>
          <w:rFonts w:ascii="Verdana" w:eastAsia="Calibri" w:hAnsi="Verdana" w:cs="Arial"/>
          <w:b/>
          <w:bCs/>
          <w:lang w:val="es-ES_tradnl" w:eastAsia="es-ES_tradnl"/>
        </w:rPr>
        <w:tab/>
      </w:r>
    </w:p>
    <w:p w14:paraId="488CC92C" w14:textId="77777777" w:rsidR="00805F94" w:rsidRPr="00CA38F1" w:rsidRDefault="00805F94" w:rsidP="00805F94">
      <w:pPr>
        <w:spacing w:after="0"/>
        <w:ind w:left="709" w:right="709"/>
        <w:contextualSpacing/>
        <w:jc w:val="both"/>
        <w:rPr>
          <w:rFonts w:ascii="Verdana" w:eastAsia="Calibri" w:hAnsi="Verdana" w:cs="Arial"/>
          <w:sz w:val="20"/>
          <w:szCs w:val="20"/>
          <w:lang w:val="es-ES" w:eastAsia="es-ES"/>
        </w:rPr>
      </w:pPr>
      <w:r w:rsidRPr="00CA38F1">
        <w:rPr>
          <w:rFonts w:ascii="Verdana" w:eastAsia="Calibri" w:hAnsi="Verdana" w:cs="Arial"/>
          <w:sz w:val="20"/>
          <w:szCs w:val="20"/>
          <w:lang w:val="es-ES" w:eastAsia="es-ES"/>
        </w:rPr>
        <w:t>Parágrafo 1. En todo caso, las MiPyme también podrán acreditar esta condición con la copia del certificado del Registro Único de Proponentes, el cual deberá encontrarse vigente y en firme al momento de su presentación.</w:t>
      </w:r>
    </w:p>
    <w:p w14:paraId="5C0E7027" w14:textId="77777777" w:rsidR="00805F94" w:rsidRPr="00CA38F1" w:rsidRDefault="00805F94" w:rsidP="00805F94">
      <w:pPr>
        <w:spacing w:after="0"/>
        <w:ind w:left="709" w:right="709"/>
        <w:contextualSpacing/>
        <w:jc w:val="both"/>
        <w:rPr>
          <w:rFonts w:ascii="Verdana" w:eastAsia="Calibri" w:hAnsi="Verdana" w:cs="Arial"/>
          <w:sz w:val="20"/>
          <w:szCs w:val="20"/>
          <w:lang w:val="es-ES_tradnl" w:eastAsia="es-ES_tradnl"/>
        </w:rPr>
      </w:pPr>
    </w:p>
    <w:p w14:paraId="30F179D6" w14:textId="77777777" w:rsidR="00805F94" w:rsidRPr="00CA38F1" w:rsidRDefault="00805F94" w:rsidP="00805F94">
      <w:pPr>
        <w:spacing w:after="0"/>
        <w:ind w:left="709" w:right="709"/>
        <w:contextualSpacing/>
        <w:jc w:val="both"/>
        <w:rPr>
          <w:rFonts w:ascii="Verdana" w:eastAsia="Calibri" w:hAnsi="Verdana" w:cs="Arial"/>
          <w:sz w:val="20"/>
          <w:szCs w:val="20"/>
          <w:lang w:val="es-ES" w:eastAsia="es-ES"/>
        </w:rPr>
      </w:pPr>
      <w:r w:rsidRPr="00CA38F1">
        <w:rPr>
          <w:rFonts w:ascii="Verdana" w:eastAsia="Calibri" w:hAnsi="Verdana" w:cs="Arial"/>
          <w:sz w:val="20"/>
          <w:szCs w:val="20"/>
          <w:lang w:val="es-ES" w:eastAsia="es-ES"/>
        </w:rPr>
        <w:t xml:space="preserve">Parágrafo 2. Para efectos de la limitación a MiPyme, los proponentes aportarán la copia del registro mercantil, del certificado de existencia y representación legal o del Registro Único de Proponentes, según corresponda conforme a las reglas precedentes, con una fecha de máximo sesenta (60) días calendario anteriores a la prevista en el cronograma del Proceso de Contratación para el inicio del plazo para solicitar la convocatoria limitada. </w:t>
      </w:r>
    </w:p>
    <w:p w14:paraId="3ADBCF46" w14:textId="77777777" w:rsidR="00805F94" w:rsidRPr="00CA38F1" w:rsidRDefault="00805F94" w:rsidP="00805F94">
      <w:pPr>
        <w:spacing w:after="0"/>
        <w:ind w:left="709" w:right="709"/>
        <w:contextualSpacing/>
        <w:jc w:val="both"/>
        <w:rPr>
          <w:rFonts w:ascii="Verdana" w:eastAsia="Calibri" w:hAnsi="Verdana" w:cs="Arial"/>
          <w:sz w:val="20"/>
          <w:szCs w:val="20"/>
          <w:lang w:val="es-ES_tradnl" w:eastAsia="es-ES_tradnl"/>
        </w:rPr>
      </w:pPr>
    </w:p>
    <w:p w14:paraId="1DAB83AD" w14:textId="77777777" w:rsidR="00805F94" w:rsidRPr="00CA38F1" w:rsidRDefault="00805F94" w:rsidP="00805F94">
      <w:pPr>
        <w:spacing w:after="0"/>
        <w:ind w:left="709" w:right="709"/>
        <w:contextualSpacing/>
        <w:jc w:val="both"/>
        <w:rPr>
          <w:rFonts w:ascii="Verdana" w:eastAsia="Calibri" w:hAnsi="Verdana" w:cs="Arial"/>
          <w:sz w:val="20"/>
          <w:szCs w:val="20"/>
          <w:lang w:val="es-ES" w:eastAsia="es-ES"/>
        </w:rPr>
      </w:pPr>
      <w:r w:rsidRPr="00CA38F1">
        <w:rPr>
          <w:rFonts w:ascii="Verdana" w:eastAsia="Calibri" w:hAnsi="Verdana" w:cs="Arial"/>
          <w:sz w:val="20"/>
          <w:szCs w:val="20"/>
          <w:lang w:val="es-ES" w:eastAsia="es-ES"/>
        </w:rPr>
        <w:t>Parágrafo 3. En las convocatorias limitadas, las Entidades Estatales independientemente de su régimen de contratación, los patrimonios autónomos constituidos por Entidades Estatales y los particulares que ejecuten recursos públicos, solo deberán aceptar las ofertas de MiPyme o de proponentes plurales integrados únicamente por MiPyme.</w:t>
      </w:r>
    </w:p>
    <w:p w14:paraId="57E7561E" w14:textId="77777777" w:rsidR="00805F94" w:rsidRPr="00CA38F1" w:rsidRDefault="00805F94" w:rsidP="00805F94">
      <w:pPr>
        <w:spacing w:after="0"/>
        <w:ind w:left="709" w:right="709"/>
        <w:contextualSpacing/>
        <w:jc w:val="both"/>
        <w:rPr>
          <w:rFonts w:ascii="Verdana" w:eastAsia="Calibri" w:hAnsi="Verdana" w:cs="Arial"/>
          <w:sz w:val="20"/>
          <w:szCs w:val="20"/>
          <w:lang w:val="es-ES_tradnl" w:eastAsia="es-ES_tradnl"/>
        </w:rPr>
      </w:pPr>
    </w:p>
    <w:p w14:paraId="60DFA7AB" w14:textId="77777777" w:rsidR="00805F94" w:rsidRPr="00CA38F1" w:rsidRDefault="00805F94" w:rsidP="00805F94">
      <w:pPr>
        <w:spacing w:after="0"/>
        <w:ind w:left="709" w:right="709"/>
        <w:contextualSpacing/>
        <w:jc w:val="both"/>
        <w:rPr>
          <w:rFonts w:ascii="Verdana" w:eastAsia="Calibri" w:hAnsi="Verdana" w:cs="Arial"/>
          <w:sz w:val="20"/>
          <w:szCs w:val="20"/>
          <w:lang w:val="es-ES_tradnl" w:eastAsia="es-ES_tradnl"/>
        </w:rPr>
      </w:pPr>
      <w:r w:rsidRPr="00CA38F1">
        <w:rPr>
          <w:rFonts w:ascii="Verdana" w:eastAsia="Calibri" w:hAnsi="Verdana" w:cs="Arial"/>
          <w:sz w:val="20"/>
          <w:szCs w:val="20"/>
          <w:lang w:val="es-ES_tradnl" w:eastAsia="es-ES_tradnl"/>
        </w:rPr>
        <w:lastRenderedPageBreak/>
        <w:t>Parágrafo 4. Los incentivos previstos en los artículos 2.2.1.2.4.2.2 y 2.2.1.2.4.2.3 de este Decreto no excluyen la aplicación de los criterios diferenciales para los emprendimientos y empresas de mujeres en el sistema de compras públicas.</w:t>
      </w:r>
    </w:p>
    <w:p w14:paraId="7F30451A" w14:textId="77777777" w:rsidR="00805F94" w:rsidRPr="00CA38F1" w:rsidRDefault="00805F94" w:rsidP="00805F94">
      <w:pPr>
        <w:spacing w:after="0"/>
        <w:ind w:left="709" w:right="709"/>
        <w:contextualSpacing/>
        <w:jc w:val="both"/>
        <w:rPr>
          <w:rFonts w:ascii="Verdana" w:eastAsia="Calibri" w:hAnsi="Verdana" w:cs="Arial"/>
          <w:sz w:val="20"/>
          <w:szCs w:val="20"/>
          <w:lang w:val="es-ES_tradnl" w:eastAsia="es-ES_tradnl"/>
        </w:rPr>
      </w:pPr>
    </w:p>
    <w:p w14:paraId="79D7EB8E" w14:textId="77777777" w:rsidR="00805F94" w:rsidRPr="00CA38F1" w:rsidRDefault="00805F94" w:rsidP="00805F94">
      <w:pPr>
        <w:spacing w:after="120" w:line="276" w:lineRule="auto"/>
        <w:ind w:firstLine="709"/>
        <w:jc w:val="both"/>
        <w:rPr>
          <w:rFonts w:ascii="Verdana" w:eastAsia="Arial" w:hAnsi="Verdana" w:cs="Arial"/>
          <w:lang w:eastAsia="es-ES_tradnl"/>
        </w:rPr>
      </w:pPr>
      <w:r w:rsidRPr="00CA38F1">
        <w:rPr>
          <w:rFonts w:ascii="Verdana" w:eastAsia="Arial" w:hAnsi="Verdana" w:cs="Arial"/>
          <w:lang w:eastAsia="es-ES_tradnl"/>
        </w:rPr>
        <w:t>Del análisis de la norma se desprende que, al requisito inicial para participar en convocatorias limitadas a MiPymes —ser una MiPymes colombiana con al menos un (1) año de existencia—, se suman otras exigencias. En particular, las MiPymes con dicho tiempo mínimo de constitución deben acreditar el tamaño empresarial conforme a lo previsto en la ley, siguiendo el procedimiento de acreditación que el artículo reglamentario establece según se trate de persona natural o jurídica. Esta acreditación es necesaria tanto para solicitar la limitación de la convocatoria como para participar en el proceso de selección una vez este haya sido restringido a MiPymes.</w:t>
      </w:r>
    </w:p>
    <w:p w14:paraId="6B74A330" w14:textId="77777777" w:rsidR="00805F94" w:rsidRPr="00CA38F1" w:rsidRDefault="00805F94" w:rsidP="00805F94">
      <w:pPr>
        <w:spacing w:after="120" w:line="276" w:lineRule="auto"/>
        <w:ind w:firstLine="709"/>
        <w:jc w:val="both"/>
        <w:rPr>
          <w:rFonts w:ascii="Verdana" w:eastAsia="Calibri" w:hAnsi="Verdana" w:cs="Arial"/>
          <w:bCs/>
          <w:lang w:val="es-ES" w:eastAsia="es-ES_tradnl"/>
        </w:rPr>
      </w:pPr>
      <w:r w:rsidRPr="00CA38F1">
        <w:rPr>
          <w:rFonts w:ascii="Verdana" w:eastAsia="Calibri" w:hAnsi="Verdana" w:cs="Arial"/>
          <w:bCs/>
          <w:lang w:eastAsia="es-ES_tradnl"/>
        </w:rPr>
        <w:t xml:space="preserve">En el caso de las personas naturales, la disposición antes señalada exige que se acredite el tamaño empresarial mediante certificación expedida por ellos y un contador público, adjuntando copia del registro mercantil. En este caso, la intervención del contador es necesaria con el fin de que actúe en calidad de fedatario. Aquí es pertinente aclarar que el registro mercantil solicitado por el numeral 1º del </w:t>
      </w:r>
      <w:r w:rsidRPr="00CA38F1">
        <w:rPr>
          <w:rFonts w:ascii="Verdana" w:eastAsia="Calibri" w:hAnsi="Verdana" w:cs="Arial"/>
          <w:bCs/>
          <w:lang w:val="es-ES_tradnl" w:eastAsia="es-ES_tradnl"/>
        </w:rPr>
        <w:t xml:space="preserve">artículo </w:t>
      </w:r>
      <w:r w:rsidRPr="00CA38F1">
        <w:rPr>
          <w:rFonts w:ascii="Verdana" w:eastAsia="Calibri" w:hAnsi="Verdana" w:cs="Arial"/>
          <w:bCs/>
          <w:lang w:eastAsia="es-ES_tradnl"/>
        </w:rPr>
        <w:t xml:space="preserve">2.2.1.2.4.2.4. únicamente es requerido en el marco de las convocatorias limitadas a MiPymes. Por tanto, aunque la persona natural no este obligada a contar con registro mercantil para participar en el proceso de selección, si deberá presentar dicho documento en caso de que pretenda solicitar la limitación de la convocatoria y/o pretenda participar en convocatorias limitadas a MiPymes. En este sentido, para efectos del </w:t>
      </w:r>
      <w:r w:rsidRPr="00CA38F1">
        <w:rPr>
          <w:rFonts w:ascii="Verdana" w:eastAsia="Calibri" w:hAnsi="Verdana" w:cs="Arial"/>
          <w:bCs/>
          <w:lang w:val="es-ES_tradnl" w:eastAsia="es-ES_tradnl"/>
        </w:rPr>
        <w:t xml:space="preserve">artículo </w:t>
      </w:r>
      <w:r w:rsidRPr="00CA38F1">
        <w:rPr>
          <w:rFonts w:ascii="Verdana" w:eastAsia="Calibri" w:hAnsi="Verdana" w:cs="Arial"/>
          <w:bCs/>
          <w:lang w:eastAsia="es-ES_tradnl"/>
        </w:rPr>
        <w:t xml:space="preserve">2.2.1.2.4.2.4., la acreditación de la actividad y el tamaño empresarial de la </w:t>
      </w:r>
      <w:proofErr w:type="spellStart"/>
      <w:r w:rsidRPr="00CA38F1">
        <w:rPr>
          <w:rFonts w:ascii="Verdana" w:eastAsia="Calibri" w:hAnsi="Verdana" w:cs="Arial"/>
          <w:bCs/>
          <w:lang w:eastAsia="es-ES_tradnl"/>
        </w:rPr>
        <w:t>MiPyme</w:t>
      </w:r>
      <w:proofErr w:type="spellEnd"/>
      <w:r w:rsidRPr="00CA38F1">
        <w:rPr>
          <w:rFonts w:ascii="Verdana" w:eastAsia="Calibri" w:hAnsi="Verdana" w:cs="Arial"/>
          <w:bCs/>
          <w:lang w:eastAsia="es-ES_tradnl"/>
        </w:rPr>
        <w:t xml:space="preserve"> persona natural solo será válida mediante la presentación de los documentos establecidos en el numeral 1 de la norma señalada, esto es, </w:t>
      </w:r>
      <w:r w:rsidRPr="00CA38F1">
        <w:rPr>
          <w:rFonts w:ascii="Verdana" w:eastAsia="Calibri" w:hAnsi="Verdana" w:cs="Arial"/>
          <w:lang w:val="es-ES_tradnl" w:eastAsia="es-ES_tradnl"/>
        </w:rPr>
        <w:t>certificación expedida por ellos y un contador público, adjuntando copia del registro mercantil</w:t>
      </w:r>
      <w:r w:rsidRPr="00CA38F1">
        <w:rPr>
          <w:rFonts w:ascii="Verdana" w:hAnsi="Verdana" w:cs="Arial"/>
          <w:lang w:val="es-ES_tradnl" w:eastAsia="es-ES_tradnl"/>
        </w:rPr>
        <w:t xml:space="preserve"> </w:t>
      </w:r>
      <w:r w:rsidRPr="00CA38F1">
        <w:rPr>
          <w:rFonts w:ascii="Verdana" w:eastAsia="Calibri" w:hAnsi="Verdana" w:cs="Arial"/>
          <w:lang w:val="es-ES_tradnl" w:eastAsia="es-ES_tradnl"/>
        </w:rPr>
        <w:t xml:space="preserve">con una fecha de máximo sesenta (60) días calendario anteriores a la prevista en el cronograma del proceso de contratación para el inicio del plazo para solicitar la convocatoria limitada. </w:t>
      </w:r>
    </w:p>
    <w:p w14:paraId="74A56B56" w14:textId="77777777" w:rsidR="00805F94" w:rsidRPr="00CA38F1" w:rsidRDefault="00805F94" w:rsidP="00805F94">
      <w:pPr>
        <w:spacing w:after="120" w:line="276" w:lineRule="auto"/>
        <w:ind w:firstLine="709"/>
        <w:jc w:val="both"/>
        <w:rPr>
          <w:rFonts w:ascii="Verdana" w:eastAsia="Calibri" w:hAnsi="Verdana" w:cs="Arial"/>
          <w:bCs/>
          <w:lang w:eastAsia="es-ES_tradnl"/>
        </w:rPr>
      </w:pPr>
      <w:r w:rsidRPr="00CA38F1">
        <w:rPr>
          <w:rFonts w:ascii="Verdana" w:eastAsia="Calibri" w:hAnsi="Verdana" w:cs="Arial"/>
          <w:bCs/>
          <w:lang w:eastAsia="es-ES_tradnl"/>
        </w:rPr>
        <w:t xml:space="preserve">Por su parte, tratándose de personas jurídicas, la norma exige que la </w:t>
      </w:r>
      <w:proofErr w:type="spellStart"/>
      <w:r w:rsidRPr="00CA38F1">
        <w:rPr>
          <w:rFonts w:ascii="Verdana" w:eastAsia="Calibri" w:hAnsi="Verdana" w:cs="Arial"/>
          <w:bCs/>
          <w:lang w:eastAsia="es-ES_tradnl"/>
        </w:rPr>
        <w:t>MiPyme</w:t>
      </w:r>
      <w:proofErr w:type="spellEnd"/>
      <w:r w:rsidRPr="00CA38F1">
        <w:rPr>
          <w:rFonts w:ascii="Verdana" w:eastAsia="Calibri" w:hAnsi="Verdana" w:cs="Arial"/>
          <w:bCs/>
          <w:lang w:eastAsia="es-ES_tradnl"/>
        </w:rPr>
        <w:t xml:space="preserve"> colombiana acredite su tamaño empresarial mediante certificación expedida </w:t>
      </w:r>
      <w:r w:rsidRPr="00CA38F1">
        <w:rPr>
          <w:rFonts w:ascii="Verdana" w:eastAsia="Calibri" w:hAnsi="Verdana" w:cs="Arial"/>
          <w:lang w:val="es-ES_tradnl" w:eastAsia="es-ES_tradnl"/>
        </w:rPr>
        <w:t xml:space="preserve">por el representante legal y el contador o, si está obligada, por el revisor fiscal. A esta certificación debe adjuntarse copia del certificado de existencia y representación legal expedido por la Cámara de Comercio o por la </w:t>
      </w:r>
      <w:r w:rsidRPr="00CA38F1">
        <w:rPr>
          <w:rFonts w:ascii="Verdana" w:eastAsia="Calibri" w:hAnsi="Verdana" w:cs="Arial"/>
          <w:lang w:val="es-ES_tradnl" w:eastAsia="es-ES_tradnl"/>
        </w:rPr>
        <w:lastRenderedPageBreak/>
        <w:t>autoridad competente, observando los rangos de clasificación empresarial definidos en la Ley 590 de 2000 y en el Decreto 1074 de 2015, o en las normas que los modifiquen, sustituyan o complementen.</w:t>
      </w:r>
    </w:p>
    <w:p w14:paraId="0913A8AC" w14:textId="77777777" w:rsidR="00805F94" w:rsidRPr="00CA38F1" w:rsidRDefault="00805F94" w:rsidP="00805F94">
      <w:pPr>
        <w:spacing w:after="120" w:line="276" w:lineRule="auto"/>
        <w:ind w:firstLine="709"/>
        <w:jc w:val="both"/>
        <w:rPr>
          <w:rFonts w:ascii="Verdana" w:eastAsia="Calibri" w:hAnsi="Verdana" w:cs="Arial"/>
          <w:bCs/>
          <w:lang w:eastAsia="es-ES_tradnl"/>
        </w:rPr>
      </w:pPr>
      <w:r w:rsidRPr="00CA38F1">
        <w:rPr>
          <w:rFonts w:ascii="Verdana" w:eastAsia="Calibri" w:hAnsi="Verdana" w:cs="Arial"/>
          <w:bCs/>
          <w:lang w:eastAsia="es-ES_tradnl"/>
        </w:rPr>
        <w:t xml:space="preserve">Aquí resulta de especial relevancia determinar la definición y clasificación de las MiPymes conforme al marco jurídico que lo regula. Así, </w:t>
      </w:r>
      <w:r w:rsidRPr="00CA38F1">
        <w:rPr>
          <w:rFonts w:ascii="Verdana" w:eastAsia="Calibri" w:hAnsi="Verdana" w:cs="Arial"/>
          <w:bCs/>
          <w:lang w:val="es-ES_tradnl" w:eastAsia="es-ES_tradnl"/>
        </w:rPr>
        <w:t xml:space="preserve">de conformidad con </w:t>
      </w:r>
      <w:r w:rsidRPr="00CA38F1">
        <w:rPr>
          <w:rFonts w:ascii="Verdana" w:eastAsia="Calibri" w:hAnsi="Verdana" w:cs="Arial"/>
          <w:bCs/>
          <w:lang w:eastAsia="es-ES_tradnl"/>
        </w:rPr>
        <w:t>el artículo 2 de La Ley 905 de 2004, modificado por el artículo 43 de la Ley 1450 de 2011, se entiende por empresa “toda unidad de explotación económica, realizada por persona natural o jurídica en actividades agropecuarias, industriales, comerciales o de servicios, en el área rural o urbana”. Para la clasificación por tamaño empresarial, como micro, pequeña, mediana y gran empresa, la norma dispone que se podrá utilizar uno de los siguientes criterios: “1. Número de trabajadores totales. 2. Valor de ventas brutas anuales. 3. Valor activos totales”. Asimismo, estableció que el gobierno nacional reglamentará los rangos que aplicará para los tres criterios e incluirá especificidades sectoriales en los casos que lo considere necesario</w:t>
      </w:r>
      <w:r w:rsidRPr="00CA38F1">
        <w:rPr>
          <w:rFonts w:ascii="Verdana" w:eastAsia="Calibri" w:hAnsi="Verdana" w:cs="Arial"/>
          <w:bCs/>
          <w:vertAlign w:val="superscript"/>
          <w:lang w:eastAsia="es-ES_tradnl"/>
        </w:rPr>
        <w:footnoteReference w:id="1"/>
      </w:r>
      <w:r w:rsidRPr="00CA38F1">
        <w:rPr>
          <w:rFonts w:ascii="Verdana" w:eastAsia="Calibri" w:hAnsi="Verdana" w:cs="Arial"/>
          <w:bCs/>
          <w:lang w:eastAsia="es-ES_tradnl"/>
        </w:rPr>
        <w:t>.</w:t>
      </w:r>
    </w:p>
    <w:p w14:paraId="523A8DA6" w14:textId="77777777" w:rsidR="00805F94" w:rsidRPr="00CA38F1" w:rsidRDefault="00805F94" w:rsidP="00805F94">
      <w:pPr>
        <w:spacing w:after="120" w:line="276" w:lineRule="auto"/>
        <w:ind w:firstLine="709"/>
        <w:jc w:val="both"/>
        <w:rPr>
          <w:rFonts w:ascii="Verdana" w:eastAsia="Arial" w:hAnsi="Verdana" w:cs="Arial"/>
          <w:lang w:eastAsia="es-ES_tradnl"/>
        </w:rPr>
      </w:pPr>
      <w:r w:rsidRPr="00CA38F1">
        <w:rPr>
          <w:rFonts w:ascii="Verdana" w:eastAsia="Calibri" w:hAnsi="Verdana" w:cs="Arial"/>
          <w:bCs/>
          <w:lang w:eastAsia="es-ES_tradnl"/>
        </w:rPr>
        <w:t xml:space="preserve">Para tales efectos, el </w:t>
      </w:r>
      <w:r w:rsidRPr="00CA38F1">
        <w:rPr>
          <w:rFonts w:ascii="Verdana" w:eastAsia="Arial" w:hAnsi="Verdana" w:cs="Arial"/>
          <w:lang w:eastAsia="es-ES_tradnl"/>
        </w:rPr>
        <w:t>Decreto 957 de 2019, que adicionó al Decreto 1074 de 2015, reglamentó la clasificación de las micro, pequeñas, medianas y grandes empresas, teniendo en cuenta para ello como criterio exclusivo el de ventas brutas, asimilado al de ingresos por actividades ordinarias anuales</w:t>
      </w:r>
      <w:r w:rsidRPr="00CA38F1">
        <w:rPr>
          <w:rFonts w:ascii="Verdana" w:eastAsia="Arial" w:hAnsi="Verdana" w:cs="Arial"/>
          <w:vertAlign w:val="superscript"/>
          <w:lang w:eastAsia="es-ES_tradnl"/>
        </w:rPr>
        <w:footnoteReference w:id="2"/>
      </w:r>
      <w:r w:rsidRPr="00CA38F1">
        <w:rPr>
          <w:rFonts w:ascii="Verdana" w:eastAsia="Arial" w:hAnsi="Verdana" w:cs="Arial"/>
          <w:lang w:eastAsia="es-ES_tradnl"/>
        </w:rPr>
        <w:t xml:space="preserve">. En tal </w:t>
      </w:r>
      <w:r w:rsidRPr="00CA38F1">
        <w:rPr>
          <w:rFonts w:ascii="Verdana" w:eastAsia="Arial" w:hAnsi="Verdana" w:cs="Arial"/>
          <w:lang w:eastAsia="es-ES_tradnl"/>
        </w:rPr>
        <w:lastRenderedPageBreak/>
        <w:t>sentido, el artículo 2.2.1.13.2.2 del Decreto 1074 de 2015 definió los rangos para determinar el valor de los ingresos por actividades ordinarias anuales de acuerdo con el sector económico que se trate</w:t>
      </w:r>
      <w:r w:rsidRPr="00CA38F1">
        <w:rPr>
          <w:rFonts w:ascii="Verdana" w:eastAsia="Arial" w:hAnsi="Verdana" w:cs="Arial"/>
          <w:vertAlign w:val="superscript"/>
          <w:lang w:eastAsia="es-ES_tradnl"/>
        </w:rPr>
        <w:footnoteReference w:id="3"/>
      </w:r>
      <w:r w:rsidRPr="00CA38F1">
        <w:rPr>
          <w:rFonts w:ascii="Verdana" w:eastAsia="Arial" w:hAnsi="Verdana" w:cs="Arial"/>
          <w:lang w:eastAsia="es-ES_tradnl"/>
        </w:rPr>
        <w:t xml:space="preserve">. </w:t>
      </w:r>
    </w:p>
    <w:p w14:paraId="2B58F7DE" w14:textId="77777777" w:rsidR="00805F94" w:rsidRPr="00CA38F1" w:rsidRDefault="00805F94" w:rsidP="00805F94">
      <w:pPr>
        <w:spacing w:after="120" w:line="276" w:lineRule="auto"/>
        <w:ind w:firstLine="709"/>
        <w:jc w:val="both"/>
        <w:rPr>
          <w:rFonts w:ascii="Verdana" w:eastAsia="Calibri" w:hAnsi="Verdana" w:cs="Arial"/>
          <w:bCs/>
          <w:lang w:eastAsia="es-ES_tradnl"/>
        </w:rPr>
      </w:pPr>
      <w:r w:rsidRPr="00CA38F1">
        <w:rPr>
          <w:rFonts w:ascii="Verdana" w:eastAsia="Calibri" w:hAnsi="Verdana" w:cs="Arial"/>
          <w:bCs/>
          <w:lang w:eastAsia="es-ES_tradnl"/>
        </w:rPr>
        <w:t xml:space="preserve">De esta manera, las empresas, sea persona natural o persona jurídica, deberán acreditar el tamaño empresarial como micro, pequeña y mediana </w:t>
      </w:r>
      <w:r w:rsidRPr="00CA38F1">
        <w:rPr>
          <w:rFonts w:ascii="Verdana" w:eastAsia="Calibri" w:hAnsi="Verdana" w:cs="Arial"/>
          <w:bCs/>
          <w:lang w:eastAsia="es-ES_tradnl"/>
        </w:rPr>
        <w:lastRenderedPageBreak/>
        <w:t xml:space="preserve">empresa, de acuerdo con el valor de los ingresos por actividades ordinarias, teniendo en cuenta el sector económico que se trate y de acuerdo con los rangos definidos en el Decreto 1074 de 2015. </w:t>
      </w:r>
    </w:p>
    <w:p w14:paraId="0F29BBF8" w14:textId="77777777" w:rsidR="00805F94" w:rsidRPr="00CA38F1" w:rsidRDefault="00805F94" w:rsidP="00805F94">
      <w:pPr>
        <w:spacing w:after="120" w:line="276" w:lineRule="auto"/>
        <w:ind w:firstLine="709"/>
        <w:jc w:val="both"/>
        <w:rPr>
          <w:rFonts w:ascii="Verdana" w:eastAsia="Calibri" w:hAnsi="Verdana" w:cs="Arial"/>
          <w:bCs/>
          <w:lang w:eastAsia="es-ES_tradnl"/>
        </w:rPr>
      </w:pPr>
      <w:r w:rsidRPr="00CA38F1">
        <w:rPr>
          <w:rFonts w:ascii="Verdana" w:eastAsia="Calibri" w:hAnsi="Verdana" w:cs="Arial"/>
          <w:bCs/>
          <w:lang w:eastAsia="es-ES_tradnl"/>
        </w:rPr>
        <w:t>En concordancia con lo anterior, el artículo 2.2.1.2.4.2.4 del Decreto 1082 de 2015 —modificado por el Decreto 1860 de 2021— establece la forma en que debe acreditarse el tamaño empresarial, tanto para personas naturales como para personas jurídicas. Esta acreditación es exigible en el momento en que se solicita la limitación de la convocatoria y al participar en el proceso de selección una vez restringido a MiPymes, configurándose así un segundo requisito a cargo de las MiPymes interesadas en promover o participar en dichas convocatorias.</w:t>
      </w:r>
    </w:p>
    <w:p w14:paraId="4F1CD509" w14:textId="77777777" w:rsidR="00805F94" w:rsidRPr="00CA38F1" w:rsidRDefault="00805F94" w:rsidP="00805F94">
      <w:pPr>
        <w:spacing w:after="120" w:line="276" w:lineRule="auto"/>
        <w:ind w:firstLine="709"/>
        <w:jc w:val="both"/>
        <w:rPr>
          <w:rFonts w:ascii="Verdana" w:eastAsia="Calibri" w:hAnsi="Verdana" w:cs="Arial"/>
          <w:bCs/>
          <w:lang w:val="es-ES_tradnl" w:eastAsia="es-ES_tradnl"/>
        </w:rPr>
      </w:pPr>
      <w:bookmarkStart w:id="5" w:name="_Hlk106013026"/>
      <w:r w:rsidRPr="00CA38F1">
        <w:rPr>
          <w:rFonts w:ascii="Verdana" w:eastAsia="Calibri" w:hAnsi="Verdana" w:cs="Arial"/>
          <w:bCs/>
          <w:lang w:eastAsia="es-ES_tradnl"/>
        </w:rPr>
        <w:t xml:space="preserve">Es pertinente aclarar que </w:t>
      </w:r>
      <w:bookmarkStart w:id="6" w:name="_Hlk106013058"/>
      <w:bookmarkEnd w:id="5"/>
      <w:r w:rsidRPr="00CA38F1">
        <w:rPr>
          <w:rFonts w:ascii="Verdana" w:eastAsia="Calibri" w:hAnsi="Verdana" w:cs="Arial"/>
          <w:bCs/>
          <w:lang w:val="es-ES_tradnl" w:eastAsia="es-ES_tradnl"/>
        </w:rPr>
        <w:t xml:space="preserve">el parágrafo primero del artículo citado permite acreditar la condición de MiPyme con la copia del certificado del Registro Único de Proponentes –RUP–. De esta manera, la MiPyme, sea persona natural o persona jurídica, podrá acreditar la actividad y el tamaño empresarial exigido por la ley, presentando el RUP, documento que en este caso es de carácter opcional, es decir, es un medio de prueba alternativo establecido por el mismo reglamento. En consecuencia, en caso de que la MiPyme cuente con este documento podrá aportarlo de acuerdo con lo dispuesto en el artículo </w:t>
      </w:r>
      <w:r w:rsidRPr="00CA38F1">
        <w:rPr>
          <w:rFonts w:ascii="Verdana" w:eastAsia="Calibri" w:hAnsi="Verdana" w:cs="Arial"/>
          <w:bCs/>
          <w:lang w:eastAsia="es-ES_tradnl"/>
        </w:rPr>
        <w:t xml:space="preserve">2.2.1.2.4.2.4. del Decreto 1082 de 2015 –modificado por el Decreto 1860 de 2021–, </w:t>
      </w:r>
      <w:r w:rsidRPr="00CA38F1">
        <w:rPr>
          <w:rFonts w:ascii="Verdana" w:eastAsia="Calibri" w:hAnsi="Verdana" w:cs="Arial"/>
          <w:bCs/>
          <w:lang w:val="es-ES_tradnl" w:eastAsia="es-ES_tradnl"/>
        </w:rPr>
        <w:t xml:space="preserve">de lo contrario deberá allegar la documentación respectiva conforme lo disponen los numerales 1º y 2º de la norma en cita, según sea el caso. </w:t>
      </w:r>
      <w:bookmarkEnd w:id="6"/>
    </w:p>
    <w:p w14:paraId="2025A019" w14:textId="77777777" w:rsidR="00805F94" w:rsidRPr="00CA38F1" w:rsidRDefault="00805F94" w:rsidP="00805F94">
      <w:pPr>
        <w:spacing w:after="120" w:line="276" w:lineRule="auto"/>
        <w:ind w:firstLine="709"/>
        <w:jc w:val="both"/>
        <w:rPr>
          <w:rFonts w:ascii="Verdana" w:eastAsia="Calibri" w:hAnsi="Verdana" w:cs="Arial"/>
          <w:lang w:val="es-ES_tradnl" w:eastAsia="es-ES_tradnl"/>
        </w:rPr>
      </w:pPr>
      <w:r w:rsidRPr="00CA38F1">
        <w:rPr>
          <w:rFonts w:ascii="Verdana" w:eastAsia="Calibri" w:hAnsi="Verdana" w:cs="Arial"/>
          <w:bCs/>
          <w:lang w:val="es-ES_tradnl" w:eastAsia="es-ES_tradnl"/>
        </w:rPr>
        <w:t xml:space="preserve">Por consiguiente, para efectos de la acreditación de la condición de MiPyme </w:t>
      </w:r>
      <w:r w:rsidRPr="00CA38F1">
        <w:rPr>
          <w:rFonts w:ascii="Verdana" w:eastAsia="Century Gothic" w:hAnsi="Verdana" w:cs="Century Gothic"/>
        </w:rPr>
        <w:t xml:space="preserve">sólo se </w:t>
      </w:r>
      <w:r w:rsidRPr="00CA38F1">
        <w:rPr>
          <w:rFonts w:ascii="Verdana" w:eastAsia="Calibri" w:hAnsi="Verdana" w:cs="Arial"/>
          <w:lang w:val="es-ES_tradnl" w:eastAsia="es-ES_tradnl"/>
        </w:rPr>
        <w:t>pueden exigir los requisitos señalados en la ley y en el Decreto 1082 del 2015 –modificado por el Decreto 1860 de 2021– para que esta proceda. En tal sentido, las entidades no pueden exigir requisitos adicionales a los establecidos en el artículo 2.2.1.2.4.2.4. del Decreto 1082 de 2015 para limitar la convocatoria, ni omitir la exigencia de alguno de ellos o reemplazar los mecanismos de acreditación contemplados en las normas que regulan la materia.</w:t>
      </w:r>
    </w:p>
    <w:p w14:paraId="45652097" w14:textId="0B100A86" w:rsidR="00805F94" w:rsidRPr="00CA38F1" w:rsidRDefault="00075894" w:rsidP="00F54A8C">
      <w:pPr>
        <w:spacing w:after="120" w:line="276" w:lineRule="auto"/>
        <w:ind w:firstLine="709"/>
        <w:jc w:val="both"/>
        <w:rPr>
          <w:rFonts w:ascii="Verdana" w:eastAsia="Arial MT" w:hAnsi="Verdana" w:cs="Arial"/>
          <w:lang w:eastAsia="es-ES" w:bidi="es-ES"/>
        </w:rPr>
      </w:pPr>
      <w:r w:rsidRPr="00CA38F1">
        <w:rPr>
          <w:rFonts w:ascii="Verdana" w:eastAsia="Calibri" w:hAnsi="Verdana" w:cs="Arial"/>
          <w:lang w:val="es-ES_tradnl" w:eastAsia="es-ES_tradnl"/>
        </w:rPr>
        <w:t xml:space="preserve">Ahora bien, en atención a la consulta elevada resulta necesario realizar algunas precisiones sobre </w:t>
      </w:r>
      <w:r w:rsidR="00103BF8" w:rsidRPr="00CA38F1">
        <w:rPr>
          <w:rFonts w:ascii="Verdana" w:eastAsia="Calibri" w:hAnsi="Verdana" w:cs="Arial"/>
          <w:lang w:val="es-ES_tradnl" w:eastAsia="es-ES_tradnl"/>
        </w:rPr>
        <w:t xml:space="preserve">la matrícula en el registro mercantil </w:t>
      </w:r>
      <w:r w:rsidR="00103BF8" w:rsidRPr="00CA38F1">
        <w:rPr>
          <w:rFonts w:ascii="Verdana" w:eastAsia="Arial MT" w:hAnsi="Verdana" w:cs="Arial"/>
          <w:lang w:eastAsia="es-ES" w:bidi="es-ES"/>
        </w:rPr>
        <w:t>(C. de Co., arts. 98 y 110)</w:t>
      </w:r>
      <w:r w:rsidR="00CD41CC" w:rsidRPr="00CA38F1">
        <w:rPr>
          <w:rFonts w:ascii="Verdana" w:eastAsia="Arial MT" w:hAnsi="Verdana" w:cs="Arial"/>
          <w:lang w:eastAsia="es-ES" w:bidi="es-ES"/>
        </w:rPr>
        <w:t xml:space="preserve"> </w:t>
      </w:r>
      <w:r w:rsidR="00F54A8C" w:rsidRPr="00CA38F1">
        <w:rPr>
          <w:rFonts w:ascii="Verdana" w:eastAsia="Arial MT" w:hAnsi="Verdana" w:cs="Arial"/>
          <w:lang w:eastAsia="es-ES" w:bidi="es-ES"/>
        </w:rPr>
        <w:t xml:space="preserve">y el establecimiento de comercio. Así, se tiene </w:t>
      </w:r>
      <w:r w:rsidR="00BF4ECD" w:rsidRPr="00CA38F1">
        <w:rPr>
          <w:rFonts w:ascii="Verdana" w:eastAsia="Arial MT" w:hAnsi="Verdana" w:cs="Arial"/>
          <w:lang w:eastAsia="es-ES" w:bidi="es-ES"/>
        </w:rPr>
        <w:t>por lado</w:t>
      </w:r>
      <w:r w:rsidR="00805F94" w:rsidRPr="00CA38F1">
        <w:rPr>
          <w:rFonts w:ascii="Verdana" w:eastAsia="Arial MT" w:hAnsi="Verdana" w:cs="Arial"/>
          <w:lang w:eastAsia="es-ES" w:bidi="es-ES"/>
        </w:rPr>
        <w:t>,</w:t>
      </w:r>
      <w:r w:rsidR="00BF4ECD" w:rsidRPr="00CA38F1">
        <w:rPr>
          <w:rFonts w:ascii="Verdana" w:eastAsia="Arial MT" w:hAnsi="Verdana" w:cs="Arial"/>
          <w:lang w:eastAsia="es-ES" w:bidi="es-ES"/>
        </w:rPr>
        <w:t xml:space="preserve"> que</w:t>
      </w:r>
      <w:r w:rsidR="00805F94" w:rsidRPr="00CA38F1">
        <w:rPr>
          <w:rFonts w:ascii="Verdana" w:eastAsia="Arial MT" w:hAnsi="Verdana" w:cs="Arial"/>
          <w:lang w:eastAsia="es-ES" w:bidi="es-ES"/>
        </w:rPr>
        <w:t xml:space="preserve"> de conformidad con el artículo 117 del Decreto 410 de 1971 -Código de Comercio-, la existencia y representación de las sociedades en Colombia se probarán por medio de la certificación de la cámara de comercio del domicilio principal. Dicho documento deberá consignar el número, fecha y notaría de la escritura de </w:t>
      </w:r>
      <w:r w:rsidR="00805F94" w:rsidRPr="00CA38F1">
        <w:rPr>
          <w:rFonts w:ascii="Verdana" w:eastAsia="Arial MT" w:hAnsi="Verdana" w:cs="Arial"/>
          <w:lang w:eastAsia="es-ES" w:bidi="es-ES"/>
        </w:rPr>
        <w:lastRenderedPageBreak/>
        <w:t xml:space="preserve">constitución de la sociedad, el nombre de los representantes de la sociedad, con las facultades y limitaciones conferidas a cada uno de ellos en el contrato, entre otros aspectos importantes. Su objetivo es que todos -la sociedad en general- conozcamos sobre la existencia de una sociedad y la certeza de esta y de quién la representa. </w:t>
      </w:r>
    </w:p>
    <w:p w14:paraId="53A01898" w14:textId="576818BD" w:rsidR="00805F94" w:rsidRPr="00CA38F1" w:rsidRDefault="00805F94" w:rsidP="00805F94">
      <w:pPr>
        <w:widowControl w:val="0"/>
        <w:autoSpaceDE w:val="0"/>
        <w:autoSpaceDN w:val="0"/>
        <w:spacing w:after="120" w:line="276" w:lineRule="auto"/>
        <w:ind w:firstLine="709"/>
        <w:jc w:val="both"/>
        <w:rPr>
          <w:rFonts w:ascii="Verdana" w:eastAsia="Arial MT" w:hAnsi="Verdana" w:cs="Arial"/>
          <w:lang w:eastAsia="es-ES" w:bidi="es-ES"/>
        </w:rPr>
      </w:pPr>
      <w:r w:rsidRPr="00CA38F1">
        <w:rPr>
          <w:rFonts w:ascii="Verdana" w:eastAsia="Arial MT" w:hAnsi="Verdana" w:cs="Arial"/>
          <w:lang w:eastAsia="es-ES" w:bidi="es-ES"/>
        </w:rPr>
        <w:t xml:space="preserve">Por otro lado, de conformidad con el artículo 26 del mismo cuerpo normativo, el </w:t>
      </w:r>
      <w:r w:rsidRPr="00CA38F1">
        <w:rPr>
          <w:rFonts w:ascii="Verdana" w:eastAsia="Arial MT" w:hAnsi="Verdana" w:cs="Arial"/>
          <w:i/>
          <w:iCs/>
          <w:lang w:eastAsia="es-ES" w:bidi="es-ES"/>
        </w:rPr>
        <w:t>registro mercantil</w:t>
      </w:r>
      <w:r w:rsidRPr="00CA38F1">
        <w:rPr>
          <w:rFonts w:ascii="Verdana" w:eastAsia="Arial MT" w:hAnsi="Verdana" w:cs="Arial"/>
          <w:lang w:eastAsia="es-ES" w:bidi="es-ES"/>
        </w:rPr>
        <w:t xml:space="preserve"> es un instrumento mediante el cual se identifican los comerciantes y empresas de una determinada zona geográfica. En ese orden, se trata del folio en el que se registran, entre otros, los </w:t>
      </w:r>
      <w:r w:rsidRPr="00CA38F1">
        <w:rPr>
          <w:rFonts w:ascii="Verdana" w:eastAsia="Arial MT" w:hAnsi="Verdana" w:cs="Arial"/>
          <w:i/>
          <w:iCs/>
          <w:lang w:eastAsia="es-ES" w:bidi="es-ES"/>
        </w:rPr>
        <w:t>establecimientos de comercio</w:t>
      </w:r>
      <w:r w:rsidR="00F2453C" w:rsidRPr="00CA38F1">
        <w:rPr>
          <w:rFonts w:ascii="Verdana" w:eastAsia="Arial MT" w:hAnsi="Verdana" w:cs="Arial"/>
          <w:lang w:eastAsia="es-ES" w:bidi="es-ES"/>
        </w:rPr>
        <w:t xml:space="preserve">, </w:t>
      </w:r>
      <w:r w:rsidRPr="00CA38F1">
        <w:rPr>
          <w:rFonts w:ascii="Verdana" w:eastAsia="Arial MT" w:hAnsi="Verdana" w:cs="Arial"/>
          <w:lang w:eastAsia="es-ES" w:bidi="es-ES"/>
        </w:rPr>
        <w:t>como también se registran las empresas, sus propietarios, direcciones, libros y todos aquellos documentos comerciales que sean sujetos de registro. Su objetivo es llevar un registro de los comerciantes, de sus establecimientos de comercio y de todas las actividades mercantiles que desarrollan en virtud de su objeto social.</w:t>
      </w:r>
    </w:p>
    <w:p w14:paraId="3FDC73F5" w14:textId="77777777" w:rsidR="00805F94" w:rsidRPr="00CA38F1" w:rsidRDefault="00805F94" w:rsidP="00805F94">
      <w:pPr>
        <w:widowControl w:val="0"/>
        <w:autoSpaceDE w:val="0"/>
        <w:autoSpaceDN w:val="0"/>
        <w:spacing w:after="120" w:line="276" w:lineRule="auto"/>
        <w:ind w:firstLine="709"/>
        <w:jc w:val="both"/>
        <w:rPr>
          <w:rFonts w:ascii="Verdana" w:eastAsia="Calibri" w:hAnsi="Verdana" w:cs="Arial"/>
          <w:lang w:eastAsia="es-ES_tradnl"/>
        </w:rPr>
      </w:pPr>
      <w:r w:rsidRPr="00CA38F1">
        <w:rPr>
          <w:rFonts w:ascii="Verdana" w:eastAsia="Arial MT" w:hAnsi="Verdana" w:cs="Arial"/>
          <w:lang w:eastAsia="es-ES" w:bidi="es-ES"/>
        </w:rPr>
        <w:t xml:space="preserve">De manera que dichos instrumentos son distintos en esencia, ya que la diferencia radica en la finalidad y objeto de cada uno de ellos. Por ejemplo, para que la persona jurídica pueda participar en un proceso de selección público deberá siempre acreditar como requisito habilitante la capacidad jurídica para contratar -incluidos aquellos procesos en los cuales se pretenda limitarse para la participación exclusiva a las MiPymes-. Por lo que resulta necesario que se demuestre que es una persona sujeta de derechos y obligaciones, que se trata de una persona distinta de sus socios, fundadores o constituyentes y cuya existencia inicia con la inscripción de su constitución en el registro mercantil, de conformidad con el artículo 110 del C. de Co. </w:t>
      </w:r>
    </w:p>
    <w:p w14:paraId="075957B2" w14:textId="643146A0" w:rsidR="00805F94" w:rsidRPr="00CA38F1" w:rsidRDefault="00805F94" w:rsidP="00805F94">
      <w:pPr>
        <w:widowControl w:val="0"/>
        <w:autoSpaceDE w:val="0"/>
        <w:autoSpaceDN w:val="0"/>
        <w:spacing w:after="120" w:line="276" w:lineRule="auto"/>
        <w:ind w:firstLine="709"/>
        <w:jc w:val="both"/>
        <w:rPr>
          <w:rFonts w:ascii="Verdana" w:eastAsia="Arial MT" w:hAnsi="Verdana" w:cs="Arial"/>
          <w:lang w:eastAsia="es-ES" w:bidi="es-ES"/>
        </w:rPr>
      </w:pPr>
      <w:r w:rsidRPr="00CA38F1">
        <w:rPr>
          <w:rFonts w:ascii="Verdana" w:eastAsia="Arial MT" w:hAnsi="Verdana" w:cs="Arial"/>
          <w:lang w:eastAsia="es-ES" w:bidi="es-ES"/>
        </w:rPr>
        <w:t xml:space="preserve">Mientras que el </w:t>
      </w:r>
      <w:r w:rsidRPr="00CA38F1">
        <w:rPr>
          <w:rFonts w:ascii="Verdana" w:eastAsia="Arial MT" w:hAnsi="Verdana" w:cs="Arial"/>
          <w:i/>
          <w:iCs/>
          <w:lang w:eastAsia="es-ES" w:bidi="es-ES"/>
        </w:rPr>
        <w:t xml:space="preserve">establecimiento de comercio </w:t>
      </w:r>
      <w:r w:rsidRPr="00CA38F1">
        <w:rPr>
          <w:rFonts w:ascii="Verdana" w:eastAsia="Arial MT" w:hAnsi="Verdana" w:cs="Arial"/>
          <w:lang w:eastAsia="es-ES" w:bidi="es-ES"/>
        </w:rPr>
        <w:t>es, según dispone el artículo 515 del C. de Co., un conjunto de bienes organizados para el desarrollo de una actividad económica y el instrumento que da cuenta de su antigüedad es justamente el registro mercantil sobre el que hicimos referencia, pero no resulta admisible que dicha antigüedad se confunda o equipare con la antigüedad de la persona que lo explota. En otras palabras, el hecho de que un establecimiento tenga un registro mercantil de más de un año no implica que la persona propietaria haya existido durante ese mismo tiempo, ya que el establecimiento pudo haber pertenecido antes a otra persona natural o jurídica.</w:t>
      </w:r>
    </w:p>
    <w:p w14:paraId="2C0A014E" w14:textId="22DD16E8" w:rsidR="009F626A" w:rsidRPr="00CA38F1" w:rsidRDefault="00805F94" w:rsidP="00B7002E">
      <w:pPr>
        <w:widowControl w:val="0"/>
        <w:autoSpaceDE w:val="0"/>
        <w:autoSpaceDN w:val="0"/>
        <w:spacing w:after="120" w:line="276" w:lineRule="auto"/>
        <w:ind w:firstLine="709"/>
        <w:jc w:val="both"/>
        <w:rPr>
          <w:rFonts w:ascii="Verdana" w:eastAsia="Arial MT" w:hAnsi="Verdana" w:cs="Arial"/>
          <w:lang w:eastAsia="es-ES" w:bidi="es-ES"/>
        </w:rPr>
      </w:pPr>
      <w:r w:rsidRPr="00CA38F1">
        <w:rPr>
          <w:rFonts w:ascii="Verdana" w:eastAsia="Arial MT" w:hAnsi="Verdana" w:cs="Arial"/>
          <w:lang w:eastAsia="es-ES" w:bidi="es-ES"/>
        </w:rPr>
        <w:t>En concordancia con lo expuesto, e</w:t>
      </w:r>
      <w:r w:rsidRPr="00CA38F1">
        <w:rPr>
          <w:rFonts w:ascii="Verdana" w:hAnsi="Verdana"/>
        </w:rPr>
        <w:t>n materia de convocatorias limitadas a MiPymes,</w:t>
      </w:r>
      <w:r w:rsidRPr="00CA38F1">
        <w:rPr>
          <w:rFonts w:ascii="Verdana" w:eastAsia="Arial MT" w:hAnsi="Verdana" w:cs="Arial"/>
          <w:lang w:eastAsia="es-ES" w:bidi="es-ES"/>
        </w:rPr>
        <w:t xml:space="preserve"> el artículo 2.2.1.2.4.2.4. del Decreto 1082 de 2015 </w:t>
      </w:r>
      <w:r w:rsidRPr="00CA38F1">
        <w:rPr>
          <w:rFonts w:ascii="Verdana" w:hAnsi="Verdana"/>
        </w:rPr>
        <w:t xml:space="preserve">dispone </w:t>
      </w:r>
      <w:r w:rsidRPr="00CA38F1">
        <w:rPr>
          <w:rFonts w:ascii="Verdana" w:eastAsia="Arial MT" w:hAnsi="Verdana" w:cs="Arial"/>
          <w:lang w:eastAsia="es-ES" w:bidi="es-ES"/>
        </w:rPr>
        <w:t xml:space="preserve">que las personas </w:t>
      </w:r>
      <w:r w:rsidR="006C425D" w:rsidRPr="00CA38F1">
        <w:rPr>
          <w:rFonts w:ascii="Verdana" w:eastAsia="Arial MT" w:hAnsi="Verdana" w:cs="Arial"/>
          <w:lang w:eastAsia="es-ES" w:bidi="es-ES"/>
        </w:rPr>
        <w:t>naturales</w:t>
      </w:r>
      <w:r w:rsidRPr="00CA38F1">
        <w:rPr>
          <w:rFonts w:ascii="Verdana" w:eastAsia="Arial MT" w:hAnsi="Verdana" w:cs="Arial"/>
          <w:lang w:eastAsia="es-ES" w:bidi="es-ES"/>
        </w:rPr>
        <w:t xml:space="preserve"> deben acreditar su condición de </w:t>
      </w:r>
      <w:proofErr w:type="spellStart"/>
      <w:r w:rsidRPr="00CA38F1">
        <w:rPr>
          <w:rFonts w:ascii="Verdana" w:eastAsia="Arial MT" w:hAnsi="Verdana" w:cs="Arial"/>
          <w:lang w:eastAsia="es-ES" w:bidi="es-ES"/>
        </w:rPr>
        <w:t>MiPyme</w:t>
      </w:r>
      <w:proofErr w:type="spellEnd"/>
      <w:r w:rsidRPr="00CA38F1">
        <w:rPr>
          <w:rFonts w:ascii="Verdana" w:eastAsia="Arial MT" w:hAnsi="Verdana" w:cs="Arial"/>
          <w:lang w:eastAsia="es-ES" w:bidi="es-ES"/>
        </w:rPr>
        <w:t xml:space="preserve"> y su antigüedad</w:t>
      </w:r>
      <w:r w:rsidR="006C425D" w:rsidRPr="00CA38F1">
        <w:rPr>
          <w:rFonts w:ascii="Verdana" w:eastAsia="Arial MT" w:hAnsi="Verdana" w:cs="Arial"/>
          <w:lang w:eastAsia="es-ES" w:bidi="es-ES"/>
        </w:rPr>
        <w:t xml:space="preserve"> </w:t>
      </w:r>
      <w:r w:rsidR="006C425D" w:rsidRPr="00CA38F1">
        <w:rPr>
          <w:rFonts w:ascii="Verdana" w:eastAsia="Arial MT" w:hAnsi="Verdana" w:cs="Arial"/>
          <w:lang w:val="es-ES_tradnl" w:eastAsia="es-ES" w:bidi="es-ES"/>
        </w:rPr>
        <w:lastRenderedPageBreak/>
        <w:t>mediante certificación expedida por ellos y un contador público, adjuntando copia del registro mercantil.</w:t>
      </w:r>
      <w:r w:rsidR="00F842BD" w:rsidRPr="00CA38F1">
        <w:rPr>
          <w:rFonts w:ascii="Verdana" w:eastAsia="Arial MT" w:hAnsi="Verdana" w:cs="Arial"/>
          <w:lang w:val="es-ES_tradnl" w:eastAsia="es-ES" w:bidi="es-ES"/>
        </w:rPr>
        <w:t xml:space="preserve"> </w:t>
      </w:r>
      <w:r w:rsidRPr="00CA38F1">
        <w:rPr>
          <w:rFonts w:ascii="Verdana" w:eastAsia="Arial MT" w:hAnsi="Verdana" w:cs="Arial"/>
          <w:lang w:eastAsia="es-ES" w:bidi="es-ES"/>
        </w:rPr>
        <w:t xml:space="preserve">Ahora bien, en virtud del parágrafo 2 del artículo en cita, el registro mercantil del establecimiento puede servir para acreditar otros aspectos -como actividad económica o domicilio-, pero no sustituye la fecha de existencia de la </w:t>
      </w:r>
      <w:r w:rsidR="006F6293" w:rsidRPr="00CA38F1">
        <w:rPr>
          <w:rFonts w:ascii="Verdana" w:eastAsia="Arial MT" w:hAnsi="Verdana" w:cs="Arial"/>
          <w:lang w:eastAsia="es-ES" w:bidi="es-ES"/>
        </w:rPr>
        <w:t xml:space="preserve">condición de </w:t>
      </w:r>
      <w:proofErr w:type="spellStart"/>
      <w:r w:rsidR="006F6293" w:rsidRPr="00CA38F1">
        <w:rPr>
          <w:rFonts w:ascii="Verdana" w:eastAsia="Arial MT" w:hAnsi="Verdana" w:cs="Arial"/>
          <w:lang w:eastAsia="es-ES" w:bidi="es-ES"/>
        </w:rPr>
        <w:t>MiPyme</w:t>
      </w:r>
      <w:proofErr w:type="spellEnd"/>
      <w:r w:rsidRPr="00CA38F1">
        <w:rPr>
          <w:rFonts w:ascii="Verdana" w:eastAsia="Arial MT" w:hAnsi="Verdana" w:cs="Arial"/>
          <w:lang w:eastAsia="es-ES" w:bidi="es-ES"/>
        </w:rPr>
        <w:t>.</w:t>
      </w:r>
      <w:r w:rsidR="00B7002E" w:rsidRPr="00CA38F1">
        <w:rPr>
          <w:rFonts w:ascii="Verdana" w:eastAsia="Arial MT" w:hAnsi="Verdana" w:cs="Arial"/>
          <w:lang w:eastAsia="es-ES" w:bidi="es-ES"/>
        </w:rPr>
        <w:t xml:space="preserve"> </w:t>
      </w:r>
      <w:r w:rsidRPr="00CA38F1">
        <w:rPr>
          <w:rFonts w:ascii="Verdana" w:eastAsia="Arial MT" w:hAnsi="Verdana" w:cs="Arial"/>
          <w:lang w:eastAsia="es-ES" w:bidi="es-ES"/>
        </w:rPr>
        <w:t>En suma, no es jurídicamente válido considerar la fecha de registro del establecimiento de comercio como criterio para computar el año de existencia exigido para solicitar la limitación a MiPymes o participar en procesos ya limitados</w:t>
      </w:r>
      <w:r w:rsidR="00BB3370" w:rsidRPr="00CA38F1">
        <w:rPr>
          <w:rFonts w:ascii="Verdana" w:eastAsia="Arial MT" w:hAnsi="Verdana" w:cs="Arial"/>
          <w:lang w:eastAsia="es-ES" w:bidi="es-ES"/>
        </w:rPr>
        <w:t>.</w:t>
      </w:r>
    </w:p>
    <w:p w14:paraId="0465BA6D" w14:textId="1B630F30" w:rsidR="00E245AB" w:rsidRPr="00CA38F1" w:rsidRDefault="00805F94" w:rsidP="002F3FE3">
      <w:pPr>
        <w:spacing w:after="0" w:line="276" w:lineRule="auto"/>
        <w:ind w:firstLine="708"/>
        <w:jc w:val="both"/>
        <w:rPr>
          <w:rStyle w:val="eop"/>
          <w:rFonts w:ascii="Verdana" w:hAnsi="Verdana"/>
          <w:color w:val="000000"/>
          <w:shd w:val="clear" w:color="auto" w:fill="FFFFFF"/>
        </w:rPr>
      </w:pPr>
      <w:r w:rsidRPr="00CA38F1">
        <w:rPr>
          <w:rStyle w:val="normaltextrun"/>
          <w:rFonts w:ascii="Verdana" w:hAnsi="Verdana"/>
          <w:color w:val="000000"/>
          <w:shd w:val="clear" w:color="auto" w:fill="FFFFFF"/>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r w:rsidRPr="00CA38F1">
        <w:rPr>
          <w:rStyle w:val="eop"/>
          <w:rFonts w:ascii="Verdana" w:hAnsi="Verdana"/>
          <w:color w:val="000000"/>
          <w:shd w:val="clear" w:color="auto" w:fill="FFFFFF"/>
        </w:rPr>
        <w:t> </w:t>
      </w:r>
    </w:p>
    <w:p w14:paraId="3CECD1B6" w14:textId="77777777" w:rsidR="002F3FE3" w:rsidRPr="00CA38F1" w:rsidRDefault="002F3FE3" w:rsidP="002F3FE3">
      <w:pPr>
        <w:spacing w:after="0" w:line="276" w:lineRule="auto"/>
        <w:ind w:firstLine="708"/>
        <w:jc w:val="both"/>
        <w:rPr>
          <w:rFonts w:ascii="Verdana" w:hAnsi="Verdana"/>
          <w:color w:val="000000"/>
          <w:shd w:val="clear" w:color="auto" w:fill="FFFFFF"/>
        </w:rPr>
      </w:pPr>
    </w:p>
    <w:p w14:paraId="43F2D254" w14:textId="77777777" w:rsidR="008A27B2" w:rsidRPr="00CA38F1" w:rsidRDefault="008A27B2" w:rsidP="008A27B2">
      <w:pPr>
        <w:tabs>
          <w:tab w:val="left" w:pos="142"/>
          <w:tab w:val="left" w:pos="284"/>
        </w:tabs>
        <w:spacing w:after="0" w:line="276" w:lineRule="auto"/>
        <w:jc w:val="both"/>
        <w:rPr>
          <w:rFonts w:ascii="Verdana" w:eastAsia="Century Gothic" w:hAnsi="Verdana" w:cs="Century Gothic"/>
          <w:b/>
          <w:bCs/>
        </w:rPr>
      </w:pPr>
      <w:r w:rsidRPr="00CA38F1">
        <w:rPr>
          <w:rFonts w:ascii="Verdana" w:eastAsia="Century Gothic" w:hAnsi="Verdana" w:cs="Century Gothic"/>
          <w:b/>
          <w:bCs/>
        </w:rPr>
        <w:t>Referencias normativas, jurisprudenciales y otras fuentes:</w:t>
      </w:r>
    </w:p>
    <w:p w14:paraId="557BCB5D" w14:textId="77777777" w:rsidR="008A27B2" w:rsidRPr="00CA38F1" w:rsidRDefault="008A27B2" w:rsidP="008A27B2">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A27B2" w:rsidRPr="00CA38F1" w14:paraId="04FF8E33" w14:textId="77777777" w:rsidTr="07F81B22">
        <w:trPr>
          <w:trHeight w:val="870"/>
        </w:trPr>
        <w:tc>
          <w:tcPr>
            <w:tcW w:w="8647" w:type="dxa"/>
          </w:tcPr>
          <w:p w14:paraId="6F95EE65" w14:textId="77777777" w:rsidR="006D7553" w:rsidRPr="00CA38F1" w:rsidRDefault="006D7553" w:rsidP="00500C6E">
            <w:pPr>
              <w:pStyle w:val="Prrafodelista"/>
              <w:numPr>
                <w:ilvl w:val="0"/>
                <w:numId w:val="20"/>
              </w:numPr>
              <w:spacing w:after="120" w:line="259" w:lineRule="auto"/>
              <w:contextualSpacing w:val="0"/>
              <w:jc w:val="both"/>
              <w:rPr>
                <w:rFonts w:ascii="Verdana" w:hAnsi="Verdana" w:cs="Arial"/>
                <w:lang w:val="es-CO"/>
              </w:rPr>
            </w:pPr>
            <w:r w:rsidRPr="00CA38F1">
              <w:rPr>
                <w:rFonts w:ascii="Verdana" w:hAnsi="Verdana" w:cs="Arial"/>
                <w:lang w:val="es-CO"/>
              </w:rPr>
              <w:t>Ley 2069 de 2020. Artículo 34</w:t>
            </w:r>
          </w:p>
          <w:p w14:paraId="2DF89902" w14:textId="77777777" w:rsidR="006D7553" w:rsidRPr="00CA38F1" w:rsidRDefault="006D7553" w:rsidP="00500C6E">
            <w:pPr>
              <w:pStyle w:val="Prrafodelista"/>
              <w:numPr>
                <w:ilvl w:val="0"/>
                <w:numId w:val="20"/>
              </w:numPr>
              <w:spacing w:after="120" w:line="259" w:lineRule="auto"/>
              <w:contextualSpacing w:val="0"/>
              <w:jc w:val="both"/>
              <w:rPr>
                <w:rFonts w:ascii="Verdana" w:hAnsi="Verdana" w:cs="Arial"/>
                <w:lang w:val="es-CO"/>
              </w:rPr>
            </w:pPr>
            <w:r w:rsidRPr="00CA38F1">
              <w:rPr>
                <w:rFonts w:ascii="Verdana" w:hAnsi="Verdana" w:cs="Arial"/>
              </w:rPr>
              <w:t>Decreto 1860 de 2021. Artículo 5</w:t>
            </w:r>
          </w:p>
          <w:p w14:paraId="540C7E18" w14:textId="77777777" w:rsidR="006D7553" w:rsidRPr="00CA38F1" w:rsidRDefault="006D7553" w:rsidP="00500C6E">
            <w:pPr>
              <w:pStyle w:val="Prrafodelista"/>
              <w:numPr>
                <w:ilvl w:val="0"/>
                <w:numId w:val="20"/>
              </w:numPr>
              <w:spacing w:after="120" w:line="259" w:lineRule="auto"/>
              <w:contextualSpacing w:val="0"/>
              <w:jc w:val="both"/>
              <w:rPr>
                <w:rFonts w:ascii="Verdana" w:hAnsi="Verdana" w:cs="Arial"/>
                <w:lang w:val="es-CO"/>
              </w:rPr>
            </w:pPr>
            <w:r w:rsidRPr="00CA38F1">
              <w:rPr>
                <w:rFonts w:ascii="Verdana" w:hAnsi="Verdana" w:cs="Arial"/>
                <w:lang w:val="es-ES_tradnl"/>
              </w:rPr>
              <w:t>Decreto 1082 de 2015, Artículos 2.2.1.2.4.2.2. y</w:t>
            </w:r>
            <w:r w:rsidRPr="00CA38F1">
              <w:rPr>
                <w:rFonts w:ascii="Verdana" w:hAnsi="Verdana" w:cs="Arial"/>
                <w:lang w:val="es-CO"/>
              </w:rPr>
              <w:t xml:space="preserve"> </w:t>
            </w:r>
            <w:r w:rsidRPr="00CA38F1">
              <w:rPr>
                <w:rFonts w:ascii="Verdana" w:hAnsi="Verdana" w:cs="Arial"/>
                <w:lang w:val="es-ES_tradnl"/>
              </w:rPr>
              <w:t>2.2.1.2.4.2.4.</w:t>
            </w:r>
          </w:p>
          <w:p w14:paraId="7B2D9A45" w14:textId="77777777" w:rsidR="00D065C4" w:rsidRPr="00CA38F1" w:rsidRDefault="00D065C4" w:rsidP="00500C6E">
            <w:pPr>
              <w:pStyle w:val="Prrafodelista"/>
              <w:numPr>
                <w:ilvl w:val="0"/>
                <w:numId w:val="20"/>
              </w:numPr>
              <w:spacing w:after="120" w:line="259" w:lineRule="auto"/>
              <w:contextualSpacing w:val="0"/>
              <w:jc w:val="both"/>
              <w:rPr>
                <w:rFonts w:ascii="Verdana" w:hAnsi="Verdana" w:cs="Arial"/>
                <w:lang w:val="es-CO"/>
              </w:rPr>
            </w:pPr>
            <w:r w:rsidRPr="00CA38F1">
              <w:rPr>
                <w:rFonts w:ascii="Verdana" w:hAnsi="Verdana" w:cs="Arial"/>
                <w:lang w:val="es-CO"/>
              </w:rPr>
              <w:t>Decreto 1074 de 2015. Artículos 2.2.1.13.2.1. y 2.2.1.13.2.2.</w:t>
            </w:r>
          </w:p>
          <w:p w14:paraId="5D80A148" w14:textId="77777777" w:rsidR="00D065C4" w:rsidRPr="00CA38F1" w:rsidRDefault="00D065C4" w:rsidP="00500C6E">
            <w:pPr>
              <w:pStyle w:val="Prrafodelista"/>
              <w:numPr>
                <w:ilvl w:val="0"/>
                <w:numId w:val="20"/>
              </w:numPr>
              <w:spacing w:after="120" w:line="259" w:lineRule="auto"/>
              <w:contextualSpacing w:val="0"/>
              <w:jc w:val="both"/>
              <w:rPr>
                <w:rFonts w:ascii="Verdana" w:hAnsi="Verdana" w:cs="Arial"/>
              </w:rPr>
            </w:pPr>
            <w:r w:rsidRPr="00CA38F1">
              <w:rPr>
                <w:rFonts w:ascii="Verdana" w:hAnsi="Verdana" w:cs="Arial"/>
                <w:lang w:val="es-CO"/>
              </w:rPr>
              <w:t>Código de Comercio, Artículos C. de Co., arts. 26, 98, 110, 117 y 515</w:t>
            </w:r>
          </w:p>
          <w:p w14:paraId="5549A303" w14:textId="3D778012" w:rsidR="008A27B2" w:rsidRPr="00CA38F1" w:rsidRDefault="00BA250B" w:rsidP="07F81B22">
            <w:pPr>
              <w:pStyle w:val="Prrafodelista"/>
              <w:numPr>
                <w:ilvl w:val="0"/>
                <w:numId w:val="20"/>
              </w:numPr>
              <w:spacing w:after="120" w:line="259" w:lineRule="auto"/>
              <w:jc w:val="both"/>
              <w:rPr>
                <w:rFonts w:ascii="Verdana" w:hAnsi="Verdana" w:cs="Arial"/>
              </w:rPr>
            </w:pPr>
            <w:r w:rsidRPr="00CA38F1">
              <w:rPr>
                <w:rFonts w:ascii="Verdana" w:hAnsi="Verdana" w:cs="Arial"/>
              </w:rPr>
              <w:t xml:space="preserve">Guía para promover la participación de las Mipymes en los procesos de compra pública. Disponible para consulta en: </w:t>
            </w:r>
            <w:hyperlink r:id="rId13" w:history="1">
              <w:r w:rsidR="00500C6E" w:rsidRPr="00CA38F1">
                <w:rPr>
                  <w:rStyle w:val="Hipervnculo"/>
                  <w:rFonts w:ascii="Verdana" w:hAnsi="Verdana" w:cs="Arial"/>
                </w:rPr>
                <w:t>Guía para promover la participación de las Mipymes en los procesos de compra pública</w:t>
              </w:r>
            </w:hyperlink>
            <w:r w:rsidR="00500C6E" w:rsidRPr="00CA38F1">
              <w:rPr>
                <w:rFonts w:ascii="Verdana" w:hAnsi="Verdana" w:cs="Arial"/>
              </w:rPr>
              <w:t xml:space="preserve"> </w:t>
            </w:r>
          </w:p>
        </w:tc>
      </w:tr>
    </w:tbl>
    <w:p w14:paraId="5AFEE16A" w14:textId="77777777" w:rsidR="008A27B2" w:rsidRPr="00CA38F1" w:rsidRDefault="008A27B2" w:rsidP="008A27B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F1A83C2" w14:textId="77777777" w:rsidR="008A27B2" w:rsidRPr="00CA38F1" w:rsidRDefault="008A27B2" w:rsidP="008A27B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CA38F1">
        <w:rPr>
          <w:rFonts w:ascii="Verdana" w:eastAsia="Century Gothic" w:hAnsi="Verdana" w:cs="Century Gothic"/>
          <w:b/>
          <w:bCs/>
        </w:rPr>
        <w:t>5. Doctrina de la Agencia Nacional de Contratación Pública:</w:t>
      </w:r>
    </w:p>
    <w:p w14:paraId="373DAB07" w14:textId="77777777" w:rsidR="008A27B2" w:rsidRPr="00CA38F1" w:rsidRDefault="008A27B2" w:rsidP="008A27B2">
      <w:pPr>
        <w:spacing w:after="0" w:line="276" w:lineRule="auto"/>
        <w:ind w:firstLine="709"/>
        <w:jc w:val="both"/>
        <w:rPr>
          <w:rFonts w:ascii="Verdana" w:eastAsia="Times New Roman" w:hAnsi="Verdana" w:cs="Arial"/>
          <w:lang w:eastAsia="es-ES_tradnl"/>
        </w:rPr>
      </w:pPr>
    </w:p>
    <w:p w14:paraId="42FF898A" w14:textId="2D27BD29" w:rsidR="008A27B2" w:rsidRPr="00CA38F1" w:rsidRDefault="008A27B2" w:rsidP="008A27B2">
      <w:pPr>
        <w:widowControl w:val="0"/>
        <w:autoSpaceDE w:val="0"/>
        <w:autoSpaceDN w:val="0"/>
        <w:spacing w:after="0" w:line="276" w:lineRule="auto"/>
        <w:jc w:val="both"/>
        <w:rPr>
          <w:rFonts w:ascii="Verdana" w:hAnsi="Verdana" w:cs="Arial"/>
          <w:shd w:val="clear" w:color="auto" w:fill="FFFFFF"/>
          <w:lang w:val="es-ES"/>
        </w:rPr>
      </w:pPr>
      <w:r w:rsidRPr="00CA38F1">
        <w:rPr>
          <w:rFonts w:ascii="Verdana" w:hAnsi="Verdana" w:cs="Arial"/>
          <w:shd w:val="clear" w:color="auto" w:fill="FFFFFF"/>
          <w:lang w:val="es-ES"/>
        </w:rPr>
        <w:t xml:space="preserve">Sobre las convocatorias limitadas a MiPymes, requisitos y acreditación, según la modificación realizada por el Decreto 1860 de 2021 al Decreto 1082 de 2015, esta Subdirección se ha referido en los Conceptos </w:t>
      </w:r>
      <w:r w:rsidR="00F405BF" w:rsidRPr="00CA38F1">
        <w:rPr>
          <w:rFonts w:ascii="Verdana" w:hAnsi="Verdana" w:cs="Arial"/>
          <w:shd w:val="clear" w:color="auto" w:fill="FFFFFF"/>
          <w:lang w:val="es-ES"/>
        </w:rPr>
        <w:t xml:space="preserve">Nro. </w:t>
      </w:r>
      <w:r w:rsidRPr="00CA38F1">
        <w:rPr>
          <w:rFonts w:ascii="Verdana" w:hAnsi="Verdana" w:cs="Arial"/>
          <w:shd w:val="clear" w:color="auto" w:fill="FFFFFF"/>
          <w:lang w:val="es-ES"/>
        </w:rPr>
        <w:t xml:space="preserve">C-744 del 08 de noviembre de 2022, C-758 del 10 de noviembre de 2022, C-895 del 27 de </w:t>
      </w:r>
      <w:r w:rsidRPr="00CA38F1">
        <w:rPr>
          <w:rFonts w:ascii="Verdana" w:hAnsi="Verdana" w:cs="Arial"/>
          <w:shd w:val="clear" w:color="auto" w:fill="FFFFFF"/>
          <w:lang w:val="es-ES"/>
        </w:rPr>
        <w:lastRenderedPageBreak/>
        <w:t>diciembre de 2022, C- 201 del 2 de agosto de 2024, C-584 del 22 de octubre de 2024, C-1021 del 27 de diciembre de 2024, C-932 del 30 de diciembre de 2024, C-478 del 20 de mayo de 2025, C-737 del 16 de julio de 2025</w:t>
      </w:r>
      <w:r w:rsidR="005763BF" w:rsidRPr="00CA38F1">
        <w:rPr>
          <w:rFonts w:ascii="Verdana" w:hAnsi="Verdana" w:cs="Arial"/>
          <w:shd w:val="clear" w:color="auto" w:fill="FFFFFF"/>
          <w:lang w:val="es-ES"/>
        </w:rPr>
        <w:t xml:space="preserve">, </w:t>
      </w:r>
      <w:r w:rsidR="00D50A1D" w:rsidRPr="00CA38F1">
        <w:rPr>
          <w:rFonts w:ascii="Verdana" w:hAnsi="Verdana" w:cs="Arial"/>
          <w:shd w:val="clear" w:color="auto" w:fill="FFFFFF"/>
          <w:lang w:val="es-ES"/>
        </w:rPr>
        <w:t xml:space="preserve">C-871 del 12 de agosto del 2025, </w:t>
      </w:r>
      <w:r w:rsidR="00F405BF" w:rsidRPr="00CA38F1">
        <w:rPr>
          <w:rFonts w:ascii="Verdana" w:hAnsi="Verdana" w:cs="Arial"/>
          <w:shd w:val="clear" w:color="auto" w:fill="FFFFFF"/>
          <w:lang w:val="es-ES"/>
        </w:rPr>
        <w:t>C-</w:t>
      </w:r>
      <w:r w:rsidR="000233DC" w:rsidRPr="00CA38F1">
        <w:rPr>
          <w:rFonts w:ascii="Verdana" w:hAnsi="Verdana" w:cs="Arial"/>
          <w:shd w:val="clear" w:color="auto" w:fill="FFFFFF"/>
          <w:lang w:val="es-ES"/>
        </w:rPr>
        <w:t>861 del 13 de agosto del 2025</w:t>
      </w:r>
      <w:r w:rsidR="00FD3133" w:rsidRPr="00CA38F1">
        <w:rPr>
          <w:rFonts w:ascii="Verdana" w:hAnsi="Verdana" w:cs="Arial"/>
          <w:shd w:val="clear" w:color="auto" w:fill="FFFFFF"/>
          <w:lang w:val="es-ES"/>
        </w:rPr>
        <w:t xml:space="preserve">, </w:t>
      </w:r>
      <w:r w:rsidR="00D93A64" w:rsidRPr="00CA38F1">
        <w:rPr>
          <w:rFonts w:ascii="Verdana" w:hAnsi="Verdana" w:cs="Arial"/>
          <w:shd w:val="clear" w:color="auto" w:fill="FFFFFF"/>
          <w:lang w:val="es-ES"/>
        </w:rPr>
        <w:t>C-972 del 15 de agosto del 2025,</w:t>
      </w:r>
      <w:r w:rsidR="00697E73" w:rsidRPr="00CA38F1">
        <w:rPr>
          <w:rFonts w:ascii="Verdana" w:hAnsi="Verdana" w:cs="Arial"/>
          <w:shd w:val="clear" w:color="auto" w:fill="FFFFFF"/>
          <w:lang w:val="es-ES"/>
        </w:rPr>
        <w:t xml:space="preserve"> C-905 del </w:t>
      </w:r>
      <w:r w:rsidR="00670AF4" w:rsidRPr="00CA38F1">
        <w:rPr>
          <w:rFonts w:ascii="Verdana" w:hAnsi="Verdana" w:cs="Arial"/>
          <w:shd w:val="clear" w:color="auto" w:fill="FFFFFF"/>
          <w:lang w:val="es-ES"/>
        </w:rPr>
        <w:t xml:space="preserve">15 de agosto del 2025, </w:t>
      </w:r>
      <w:r w:rsidR="009564DB" w:rsidRPr="00CA38F1">
        <w:rPr>
          <w:rFonts w:ascii="Verdana" w:hAnsi="Verdana" w:cs="Arial"/>
          <w:shd w:val="clear" w:color="auto" w:fill="FFFFFF"/>
          <w:lang w:val="es-ES"/>
        </w:rPr>
        <w:t xml:space="preserve">C-897 del 15 de agosto del 2025, </w:t>
      </w:r>
      <w:r w:rsidR="003E5345" w:rsidRPr="00CA38F1">
        <w:rPr>
          <w:rFonts w:ascii="Verdana" w:hAnsi="Verdana" w:cs="Arial"/>
          <w:shd w:val="clear" w:color="auto" w:fill="FFFFFF"/>
          <w:lang w:val="es-ES"/>
        </w:rPr>
        <w:t xml:space="preserve">C-1018 del 15 de agosto del 2025, </w:t>
      </w:r>
      <w:r w:rsidR="006E5B38" w:rsidRPr="00CA38F1">
        <w:rPr>
          <w:rFonts w:ascii="Verdana" w:hAnsi="Verdana" w:cs="Arial"/>
          <w:shd w:val="clear" w:color="auto" w:fill="FFFFFF"/>
          <w:lang w:val="es-ES"/>
        </w:rPr>
        <w:t xml:space="preserve">C-899 del </w:t>
      </w:r>
      <w:r w:rsidR="005E4FE7" w:rsidRPr="00CA38F1">
        <w:rPr>
          <w:rFonts w:ascii="Verdana" w:hAnsi="Verdana" w:cs="Arial"/>
          <w:shd w:val="clear" w:color="auto" w:fill="FFFFFF"/>
          <w:lang w:val="es-ES"/>
        </w:rPr>
        <w:t xml:space="preserve">26 de agosto del 2025, </w:t>
      </w:r>
      <w:r w:rsidR="00FD3133" w:rsidRPr="00CA38F1">
        <w:rPr>
          <w:rFonts w:ascii="Verdana" w:hAnsi="Verdana" w:cs="Arial"/>
          <w:shd w:val="clear" w:color="auto" w:fill="FFFFFF"/>
          <w:lang w:val="es-ES"/>
        </w:rPr>
        <w:t xml:space="preserve">C-1097 del </w:t>
      </w:r>
      <w:r w:rsidR="004A3A7C" w:rsidRPr="00CA38F1">
        <w:rPr>
          <w:rFonts w:ascii="Verdana" w:hAnsi="Verdana" w:cs="Arial"/>
          <w:shd w:val="clear" w:color="auto" w:fill="FFFFFF"/>
          <w:lang w:val="es-ES"/>
        </w:rPr>
        <w:t>09 de septiembre del 2025</w:t>
      </w:r>
      <w:r w:rsidR="000D48D2" w:rsidRPr="00CA38F1">
        <w:rPr>
          <w:rFonts w:ascii="Verdana" w:hAnsi="Verdana" w:cs="Arial"/>
          <w:shd w:val="clear" w:color="auto" w:fill="FFFFFF"/>
          <w:lang w:val="es-ES"/>
        </w:rPr>
        <w:t xml:space="preserve">, C-1044 del </w:t>
      </w:r>
      <w:r w:rsidR="00B011C0" w:rsidRPr="00CA38F1">
        <w:rPr>
          <w:rFonts w:ascii="Verdana" w:hAnsi="Verdana" w:cs="Arial"/>
          <w:shd w:val="clear" w:color="auto" w:fill="FFFFFF"/>
          <w:lang w:val="es-ES"/>
        </w:rPr>
        <w:t xml:space="preserve">05 de septiembre del 2025 </w:t>
      </w:r>
      <w:r w:rsidR="005763BF" w:rsidRPr="00CA38F1">
        <w:rPr>
          <w:rFonts w:ascii="Verdana" w:hAnsi="Verdana" w:cs="Arial"/>
          <w:shd w:val="clear" w:color="auto" w:fill="FFFFFF"/>
          <w:lang w:val="es-ES"/>
        </w:rPr>
        <w:t>y C-1108 del 16 de septiembre del 2025,</w:t>
      </w:r>
      <w:r w:rsidR="000233DC" w:rsidRPr="00CA38F1">
        <w:rPr>
          <w:rFonts w:ascii="Verdana" w:hAnsi="Verdana" w:cs="Arial"/>
          <w:shd w:val="clear" w:color="auto" w:fill="FFFFFF"/>
          <w:lang w:val="es-ES"/>
        </w:rPr>
        <w:t xml:space="preserve"> </w:t>
      </w:r>
      <w:r w:rsidRPr="00CA38F1">
        <w:rPr>
          <w:rFonts w:ascii="Verdana" w:hAnsi="Verdana" w:cs="Arial"/>
          <w:shd w:val="clear" w:color="auto" w:fill="FFFFFF"/>
          <w:lang w:val="es-ES"/>
        </w:rPr>
        <w:t>entre otros</w:t>
      </w:r>
      <w:r w:rsidRPr="00CA38F1">
        <w:rPr>
          <w:rFonts w:ascii="Verdana" w:hAnsi="Verdana" w:cs="Arial"/>
        </w:rPr>
        <w:t xml:space="preserve">. </w:t>
      </w:r>
      <w:r w:rsidRPr="00CA38F1">
        <w:rPr>
          <w:rFonts w:ascii="Verdana" w:eastAsia="Calibri" w:hAnsi="Verdana" w:cs="Arial"/>
          <w:lang w:eastAsia="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4" w:history="1">
        <w:r w:rsidR="001704F4" w:rsidRPr="00CA38F1">
          <w:rPr>
            <w:rStyle w:val="Hipervnculo"/>
            <w:rFonts w:ascii="Verdana" w:eastAsia="Calibri" w:hAnsi="Verdana" w:cs="Arial"/>
            <w:lang w:eastAsia="es-ES_tradnl"/>
          </w:rPr>
          <w:t>https://relatoria.colombiacompra.gov.co/</w:t>
        </w:r>
      </w:hyperlink>
      <w:r w:rsidRPr="00CA38F1">
        <w:rPr>
          <w:rFonts w:ascii="Verdana" w:eastAsia="Calibri" w:hAnsi="Verdana" w:cs="Arial"/>
          <w:lang w:eastAsia="es-ES_tradnl"/>
        </w:rPr>
        <w:t> </w:t>
      </w:r>
    </w:p>
    <w:p w14:paraId="604C4CAC" w14:textId="77777777" w:rsidR="008A27B2" w:rsidRPr="00CA38F1" w:rsidRDefault="008A27B2" w:rsidP="008A27B2">
      <w:pPr>
        <w:widowControl w:val="0"/>
        <w:autoSpaceDE w:val="0"/>
        <w:autoSpaceDN w:val="0"/>
        <w:spacing w:after="0" w:line="276" w:lineRule="auto"/>
        <w:jc w:val="both"/>
        <w:rPr>
          <w:rFonts w:ascii="Verdana" w:eastAsia="Calibri" w:hAnsi="Verdana" w:cs="Arial"/>
          <w:lang w:eastAsia="es-ES_tradnl"/>
        </w:rPr>
      </w:pPr>
    </w:p>
    <w:p w14:paraId="63D703A7" w14:textId="3C125A54" w:rsidR="008A27B2" w:rsidRPr="00CA38F1" w:rsidRDefault="008A27B2" w:rsidP="008A27B2">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r w:rsidRPr="00CA38F1">
        <w:rPr>
          <w:rFonts w:ascii="Verdana" w:eastAsia="Times New Roman" w:hAnsi="Verdana" w:cs="Times New Roman"/>
          <w:color w:val="000000"/>
          <w:bdr w:val="none" w:sz="0" w:space="0" w:color="auto" w:frame="1"/>
          <w:lang w:eastAsia="es-CO"/>
        </w:rPr>
        <w:t xml:space="preserve">También le contamos que ya se encuentra disponible la </w:t>
      </w:r>
      <w:r w:rsidRPr="00CA38F1">
        <w:rPr>
          <w:rFonts w:ascii="Verdana" w:eastAsia="Times New Roman" w:hAnsi="Verdana" w:cs="Times New Roman"/>
          <w:b/>
          <w:bCs/>
          <w:color w:val="000000"/>
          <w:bdr w:val="none" w:sz="0" w:space="0" w:color="auto" w:frame="1"/>
          <w:lang w:eastAsia="es-CO"/>
        </w:rPr>
        <w:t xml:space="preserve">Guía de lineamientos de transparencia y selección objetiva para el departamento de La Guajira – Objetivo sexto constitucional de la Sentencia T-302 del 2017. </w:t>
      </w:r>
      <w:r w:rsidRPr="00CA38F1">
        <w:rPr>
          <w:rFonts w:ascii="Verdana" w:eastAsia="Times New Roman" w:hAnsi="Verdana" w:cs="Times New Roman"/>
          <w:color w:val="000000"/>
          <w:bdr w:val="none" w:sz="0" w:space="0" w:color="auto" w:frame="1"/>
          <w:lang w:eastAsia="es-CO"/>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CA38F1">
        <w:rPr>
          <w:rFonts w:ascii="Verdana" w:eastAsia="Times New Roman" w:hAnsi="Verdana" w:cs="Times New Roman"/>
          <w:color w:val="000000"/>
          <w:bdr w:val="none" w:sz="0" w:space="0" w:color="auto" w:frame="1"/>
          <w:lang w:eastAsia="es-CO"/>
        </w:rPr>
        <w:t>Wayúu</w:t>
      </w:r>
      <w:proofErr w:type="spellEnd"/>
      <w:r w:rsidRPr="00CA38F1">
        <w:rPr>
          <w:rFonts w:ascii="Verdana" w:eastAsia="Times New Roman" w:hAnsi="Verdana" w:cs="Times New Roman"/>
          <w:color w:val="000000"/>
          <w:bdr w:val="none" w:sz="0" w:space="0" w:color="auto" w:frame="1"/>
          <w:lang w:eastAsia="es-CO"/>
        </w:rPr>
        <w:t xml:space="preserve">.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CA38F1">
          <w:rPr>
            <w:rStyle w:val="Hipervnculo"/>
            <w:rFonts w:ascii="Verdana" w:eastAsia="Times New Roman" w:hAnsi="Verdana"/>
            <w:bdr w:val="none" w:sz="0" w:space="0" w:color="auto" w:frame="1"/>
            <w:lang w:eastAsia="es-CO"/>
          </w:rPr>
          <w:t>Guía de lineamientos de transparencia y selección objetiva para el departamento de La Guajira – Objetivo sexto constitucional de la Sentencia T-302 del 2017</w:t>
        </w:r>
      </w:hyperlink>
    </w:p>
    <w:p w14:paraId="4AB3F782" w14:textId="77777777" w:rsidR="008A27B2" w:rsidRPr="00CA38F1" w:rsidRDefault="008A27B2" w:rsidP="008A27B2">
      <w:pPr>
        <w:widowControl w:val="0"/>
        <w:autoSpaceDE w:val="0"/>
        <w:autoSpaceDN w:val="0"/>
        <w:spacing w:after="0" w:line="276" w:lineRule="auto"/>
        <w:jc w:val="both"/>
        <w:rPr>
          <w:rFonts w:ascii="Verdana" w:hAnsi="Verdana" w:cs="Arial"/>
        </w:rPr>
      </w:pPr>
    </w:p>
    <w:p w14:paraId="752B07E5" w14:textId="77777777" w:rsidR="008A27B2" w:rsidRPr="00CA38F1" w:rsidRDefault="008A27B2" w:rsidP="008A27B2">
      <w:pPr>
        <w:spacing w:after="0" w:line="276" w:lineRule="auto"/>
        <w:jc w:val="both"/>
        <w:rPr>
          <w:rFonts w:ascii="Verdana" w:hAnsi="Verdana"/>
        </w:rPr>
      </w:pPr>
      <w:r w:rsidRPr="00CA38F1">
        <w:rPr>
          <w:rFonts w:ascii="Verdana" w:hAnsi="Verdana"/>
        </w:rPr>
        <w:t xml:space="preserve">Por último, lo invitamos a seguirnos en las redes sociales en las cuales se difunde información institucional: </w:t>
      </w:r>
    </w:p>
    <w:p w14:paraId="0EDADBF3" w14:textId="77777777" w:rsidR="008A27B2" w:rsidRPr="00CA38F1" w:rsidRDefault="008A27B2" w:rsidP="008A27B2">
      <w:pPr>
        <w:spacing w:after="0" w:line="276" w:lineRule="auto"/>
        <w:jc w:val="both"/>
        <w:rPr>
          <w:rFonts w:ascii="Verdana" w:hAnsi="Verdana"/>
        </w:rPr>
      </w:pPr>
    </w:p>
    <w:p w14:paraId="7D34A136" w14:textId="77777777" w:rsidR="008A27B2" w:rsidRPr="00CA38F1" w:rsidRDefault="008A27B2" w:rsidP="008A27B2">
      <w:pPr>
        <w:spacing w:after="0" w:line="276" w:lineRule="auto"/>
        <w:jc w:val="both"/>
        <w:rPr>
          <w:rFonts w:ascii="Verdana" w:hAnsi="Verdana"/>
        </w:rPr>
      </w:pPr>
      <w:r w:rsidRPr="00CA38F1">
        <w:rPr>
          <w:rFonts w:ascii="Verdana" w:hAnsi="Verdana"/>
        </w:rPr>
        <w:t xml:space="preserve">Twitter: </w:t>
      </w:r>
      <w:r w:rsidRPr="00CA38F1">
        <w:rPr>
          <w:rStyle w:val="Hipervnculo"/>
          <w:rFonts w:ascii="Verdana" w:hAnsi="Verdana"/>
          <w:color w:val="4472C4" w:themeColor="accent1"/>
        </w:rPr>
        <w:t>@colombiacompra</w:t>
      </w:r>
      <w:r w:rsidRPr="00CA38F1">
        <w:rPr>
          <w:rFonts w:ascii="Verdana" w:hAnsi="Verdana"/>
          <w:color w:val="4472C4" w:themeColor="accent1"/>
        </w:rPr>
        <w:t xml:space="preserve"> </w:t>
      </w:r>
    </w:p>
    <w:p w14:paraId="67198DB3" w14:textId="77777777" w:rsidR="008A27B2" w:rsidRPr="00CA38F1" w:rsidRDefault="008A27B2" w:rsidP="008A27B2">
      <w:pPr>
        <w:spacing w:after="0" w:line="276" w:lineRule="auto"/>
        <w:jc w:val="both"/>
        <w:rPr>
          <w:rFonts w:ascii="Verdana" w:hAnsi="Verdana"/>
        </w:rPr>
      </w:pPr>
      <w:r w:rsidRPr="00CA38F1">
        <w:rPr>
          <w:rFonts w:ascii="Verdana" w:hAnsi="Verdana"/>
        </w:rPr>
        <w:t xml:space="preserve">Facebook: </w:t>
      </w:r>
      <w:proofErr w:type="spellStart"/>
      <w:r w:rsidRPr="00CA38F1">
        <w:rPr>
          <w:rStyle w:val="Hipervnculo"/>
          <w:rFonts w:ascii="Verdana" w:hAnsi="Verdana"/>
          <w:color w:val="4472C4" w:themeColor="accent1"/>
        </w:rPr>
        <w:t>ColombiaCompraEficiente</w:t>
      </w:r>
      <w:proofErr w:type="spellEnd"/>
    </w:p>
    <w:p w14:paraId="5A5DFA3F" w14:textId="77777777" w:rsidR="008A27B2" w:rsidRPr="00CA38F1" w:rsidRDefault="008A27B2" w:rsidP="008A27B2">
      <w:pPr>
        <w:spacing w:after="0" w:line="276" w:lineRule="auto"/>
        <w:jc w:val="both"/>
        <w:rPr>
          <w:rFonts w:ascii="Verdana" w:hAnsi="Verdana"/>
        </w:rPr>
      </w:pPr>
      <w:r w:rsidRPr="00CA38F1">
        <w:rPr>
          <w:rFonts w:ascii="Verdana" w:hAnsi="Verdana"/>
        </w:rPr>
        <w:t xml:space="preserve">LinkedIn: </w:t>
      </w:r>
      <w:r w:rsidRPr="00CA38F1">
        <w:rPr>
          <w:rStyle w:val="Hipervnculo"/>
          <w:rFonts w:ascii="Verdana" w:hAnsi="Verdana"/>
          <w:color w:val="4472C4" w:themeColor="accent1"/>
        </w:rPr>
        <w:t>Agencia Nacional de Contratación Pública - Colombia Compra Eficiente</w:t>
      </w:r>
      <w:r w:rsidRPr="00CA38F1">
        <w:rPr>
          <w:rFonts w:ascii="Verdana" w:hAnsi="Verdana"/>
          <w:color w:val="4472C4" w:themeColor="accent1"/>
        </w:rPr>
        <w:t xml:space="preserve"> </w:t>
      </w:r>
      <w:r w:rsidRPr="00CA38F1">
        <w:rPr>
          <w:rFonts w:ascii="Verdana" w:hAnsi="Verdana"/>
        </w:rPr>
        <w:t xml:space="preserve">Instagram: </w:t>
      </w:r>
      <w:r w:rsidRPr="00CA38F1">
        <w:rPr>
          <w:rStyle w:val="Hipervnculo"/>
          <w:rFonts w:ascii="Verdana" w:hAnsi="Verdana"/>
          <w:color w:val="4472C4" w:themeColor="accent1"/>
        </w:rPr>
        <w:t>@colombiacompraeficiente_cce</w:t>
      </w:r>
    </w:p>
    <w:p w14:paraId="62562424" w14:textId="77777777" w:rsidR="008A27B2" w:rsidRPr="00CA38F1" w:rsidRDefault="008A27B2" w:rsidP="008A27B2">
      <w:pPr>
        <w:widowControl w:val="0"/>
        <w:autoSpaceDE w:val="0"/>
        <w:autoSpaceDN w:val="0"/>
        <w:spacing w:after="0" w:line="276" w:lineRule="auto"/>
        <w:jc w:val="both"/>
        <w:rPr>
          <w:rFonts w:ascii="Verdana" w:hAnsi="Verdana"/>
        </w:rPr>
      </w:pPr>
    </w:p>
    <w:p w14:paraId="1DB57071" w14:textId="77777777" w:rsidR="008A27B2" w:rsidRPr="00CA38F1" w:rsidRDefault="008A27B2" w:rsidP="008A27B2">
      <w:pPr>
        <w:widowControl w:val="0"/>
        <w:autoSpaceDE w:val="0"/>
        <w:autoSpaceDN w:val="0"/>
        <w:spacing w:after="0" w:line="276" w:lineRule="auto"/>
        <w:jc w:val="both"/>
        <w:rPr>
          <w:rFonts w:ascii="Verdana" w:hAnsi="Verdana" w:cs="Arial"/>
        </w:rPr>
      </w:pPr>
      <w:r w:rsidRPr="00CA38F1">
        <w:rPr>
          <w:rFonts w:ascii="Verdana" w:hAnsi="Verdana" w:cs="Arial"/>
        </w:rPr>
        <w:t xml:space="preserve">Este concepto tiene el alcance previsto en el artículo 28 del Código de Procedimiento Administrativo y de lo Contencioso Administrativo y las expresiones aquí utilizadas con mayúscula inicial deben ser entendidas con el </w:t>
      </w:r>
      <w:r w:rsidRPr="00CA38F1">
        <w:rPr>
          <w:rFonts w:ascii="Verdana" w:hAnsi="Verdana" w:cs="Arial"/>
        </w:rPr>
        <w:lastRenderedPageBreak/>
        <w:t>significado que les otorga el artículo 2.2.1.1.1.3.1. del Decreto 1082 de 2015.</w:t>
      </w:r>
    </w:p>
    <w:p w14:paraId="54A76016" w14:textId="77777777" w:rsidR="008A27B2" w:rsidRPr="00CA38F1" w:rsidRDefault="008A27B2" w:rsidP="008A27B2">
      <w:pPr>
        <w:spacing w:after="0" w:line="276" w:lineRule="auto"/>
        <w:ind w:firstLine="709"/>
        <w:jc w:val="both"/>
        <w:rPr>
          <w:rFonts w:ascii="Verdana" w:eastAsia="Times New Roman" w:hAnsi="Verdana" w:cs="Arial"/>
          <w:lang w:eastAsia="es-ES_tradnl"/>
        </w:rPr>
      </w:pPr>
    </w:p>
    <w:p w14:paraId="341E1F4F" w14:textId="77777777" w:rsidR="008A27B2" w:rsidRPr="00CA38F1" w:rsidRDefault="008A27B2" w:rsidP="008A27B2">
      <w:pPr>
        <w:spacing w:after="0" w:line="276" w:lineRule="auto"/>
        <w:jc w:val="both"/>
        <w:rPr>
          <w:rFonts w:ascii="Verdana" w:eastAsia="Times New Roman" w:hAnsi="Verdana" w:cs="Arial"/>
          <w:lang w:eastAsia="es-CO"/>
        </w:rPr>
      </w:pPr>
      <w:bookmarkStart w:id="7" w:name="_Hlk117695077"/>
      <w:r w:rsidRPr="00CA38F1">
        <w:rPr>
          <w:rFonts w:ascii="Verdana" w:eastAsia="Times New Roman" w:hAnsi="Verdana" w:cs="Arial"/>
          <w:lang w:eastAsia="es-CO"/>
        </w:rPr>
        <w:t>Atentamente,</w:t>
      </w:r>
      <w:bookmarkEnd w:id="7"/>
    </w:p>
    <w:p w14:paraId="02A3E216" w14:textId="1B6E824A" w:rsidR="008A27B2" w:rsidRPr="00CA38F1" w:rsidRDefault="00A943A7" w:rsidP="008A27B2">
      <w:pPr>
        <w:spacing w:after="18" w:line="240" w:lineRule="auto"/>
        <w:jc w:val="center"/>
        <w:rPr>
          <w:rFonts w:ascii="Verdana" w:eastAsia="Times New Roman" w:hAnsi="Verdana" w:cs="Arial"/>
          <w:sz w:val="24"/>
          <w:szCs w:val="24"/>
          <w:lang w:eastAsia="es-CO"/>
        </w:rPr>
      </w:pPr>
      <w:r w:rsidRPr="00CA38F1">
        <w:rPr>
          <w:rFonts w:ascii="Verdana" w:hAnsi="Verdana"/>
          <w:noProof/>
        </w:rPr>
        <w:drawing>
          <wp:inline distT="0" distB="0" distL="0" distR="0" wp14:anchorId="79890016" wp14:editId="17D53678">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3705742" cy="1590897"/>
                    </a:xfrm>
                    <a:prstGeom prst="rect">
                      <a:avLst/>
                    </a:prstGeom>
                  </pic:spPr>
                </pic:pic>
              </a:graphicData>
            </a:graphic>
          </wp:inline>
        </w:drawing>
      </w:r>
    </w:p>
    <w:p w14:paraId="39EFC475" w14:textId="77777777" w:rsidR="00553D5B" w:rsidRPr="00CA38F1" w:rsidRDefault="00553D5B" w:rsidP="008A27B2">
      <w:pPr>
        <w:spacing w:after="18" w:line="240" w:lineRule="auto"/>
        <w:jc w:val="center"/>
        <w:rPr>
          <w:rFonts w:ascii="Verdana" w:eastAsia="Times New Roman" w:hAnsi="Verdana" w:cs="Arial"/>
          <w:sz w:val="24"/>
          <w:szCs w:val="24"/>
          <w:lang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A27B2" w:rsidRPr="00CA38F1" w14:paraId="60791BAE" w14:textId="77777777" w:rsidTr="003C4364">
        <w:trPr>
          <w:trHeight w:val="315"/>
        </w:trPr>
        <w:tc>
          <w:tcPr>
            <w:tcW w:w="893" w:type="dxa"/>
            <w:vAlign w:val="center"/>
            <w:hideMark/>
          </w:tcPr>
          <w:p w14:paraId="642504F0" w14:textId="77777777" w:rsidR="008A27B2" w:rsidRPr="00CA38F1" w:rsidRDefault="008A27B2" w:rsidP="003C4364">
            <w:pPr>
              <w:contextualSpacing/>
              <w:rPr>
                <w:rFonts w:ascii="Verdana" w:hAnsi="Verdana" w:cs="Arial"/>
                <w:sz w:val="16"/>
                <w:szCs w:val="16"/>
                <w:lang w:eastAsia="es-ES"/>
              </w:rPr>
            </w:pPr>
            <w:r w:rsidRPr="00CA38F1">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7B3B45B3" w14:textId="6163691B" w:rsidR="008A27B2" w:rsidRPr="00CA38F1" w:rsidRDefault="00D90723" w:rsidP="003C4364">
            <w:pPr>
              <w:contextualSpacing/>
              <w:rPr>
                <w:rFonts w:ascii="Verdana" w:hAnsi="Verdana"/>
                <w:sz w:val="16"/>
                <w:szCs w:val="16"/>
              </w:rPr>
            </w:pPr>
            <w:r w:rsidRPr="00CA38F1">
              <w:rPr>
                <w:rFonts w:ascii="Verdana" w:hAnsi="Verdana"/>
                <w:sz w:val="16"/>
                <w:szCs w:val="16"/>
              </w:rPr>
              <w:t>Ana María Ortiz Ballesteros</w:t>
            </w:r>
          </w:p>
          <w:p w14:paraId="2BEDE50E" w14:textId="0AD94533" w:rsidR="008A27B2" w:rsidRPr="00CA38F1" w:rsidRDefault="00D90723" w:rsidP="003C4364">
            <w:pPr>
              <w:contextualSpacing/>
              <w:rPr>
                <w:rFonts w:ascii="Verdana" w:eastAsia="Arial" w:hAnsi="Verdana" w:cs="Arial"/>
                <w:sz w:val="16"/>
                <w:szCs w:val="16"/>
              </w:rPr>
            </w:pPr>
            <w:r w:rsidRPr="00CA38F1">
              <w:rPr>
                <w:rStyle w:val="normaltextrun"/>
                <w:rFonts w:ascii="Verdana" w:hAnsi="Verdana" w:cs="Arial"/>
                <w:sz w:val="16"/>
                <w:szCs w:val="16"/>
              </w:rPr>
              <w:t>Contratista de la Subdirección de Gestión Contractual</w:t>
            </w:r>
            <w:r w:rsidRPr="00CA38F1">
              <w:rPr>
                <w:rStyle w:val="eop"/>
                <w:rFonts w:ascii="Verdana" w:eastAsiaTheme="majorEastAsia" w:hAnsi="Verdana" w:cs="Arial"/>
                <w:sz w:val="16"/>
                <w:szCs w:val="16"/>
              </w:rPr>
              <w:t> </w:t>
            </w:r>
          </w:p>
        </w:tc>
      </w:tr>
      <w:tr w:rsidR="008A27B2" w:rsidRPr="00CA38F1" w14:paraId="73B27398" w14:textId="77777777" w:rsidTr="003C4364">
        <w:trPr>
          <w:trHeight w:val="330"/>
        </w:trPr>
        <w:tc>
          <w:tcPr>
            <w:tcW w:w="893" w:type="dxa"/>
            <w:vAlign w:val="center"/>
            <w:hideMark/>
          </w:tcPr>
          <w:p w14:paraId="2127DAFF" w14:textId="77777777" w:rsidR="008A27B2" w:rsidRPr="00CA38F1" w:rsidRDefault="008A27B2" w:rsidP="003C4364">
            <w:pPr>
              <w:contextualSpacing/>
              <w:rPr>
                <w:rFonts w:ascii="Verdana" w:hAnsi="Verdana" w:cs="Arial"/>
                <w:sz w:val="16"/>
                <w:szCs w:val="16"/>
                <w:lang w:eastAsia="es-ES"/>
              </w:rPr>
            </w:pPr>
            <w:r w:rsidRPr="00CA38F1">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430BB06" w14:textId="638DA0DB" w:rsidR="00553D5B" w:rsidRPr="00CA38F1" w:rsidRDefault="00553D5B" w:rsidP="00553D5B">
            <w:pPr>
              <w:contextualSpacing/>
              <w:rPr>
                <w:rFonts w:ascii="Verdana" w:hAnsi="Verdana"/>
                <w:sz w:val="16"/>
                <w:szCs w:val="16"/>
              </w:rPr>
            </w:pPr>
            <w:r w:rsidRPr="00CA38F1">
              <w:rPr>
                <w:rFonts w:ascii="Verdana" w:hAnsi="Verdana"/>
                <w:sz w:val="16"/>
                <w:szCs w:val="16"/>
              </w:rPr>
              <w:t xml:space="preserve">Juan Carlos </w:t>
            </w:r>
            <w:r w:rsidR="002B77C8" w:rsidRPr="00CA38F1">
              <w:rPr>
                <w:rFonts w:ascii="Verdana" w:hAnsi="Verdana"/>
                <w:sz w:val="16"/>
                <w:szCs w:val="16"/>
              </w:rPr>
              <w:t>González</w:t>
            </w:r>
            <w:r w:rsidRPr="00CA38F1">
              <w:rPr>
                <w:rFonts w:ascii="Verdana" w:hAnsi="Verdana"/>
                <w:sz w:val="16"/>
                <w:szCs w:val="16"/>
              </w:rPr>
              <w:t xml:space="preserve"> </w:t>
            </w:r>
            <w:r w:rsidR="002B77C8" w:rsidRPr="00CA38F1">
              <w:rPr>
                <w:rFonts w:ascii="Verdana" w:hAnsi="Verdana"/>
                <w:sz w:val="16"/>
                <w:szCs w:val="16"/>
              </w:rPr>
              <w:t>Vázquez</w:t>
            </w:r>
          </w:p>
          <w:p w14:paraId="2A28A0ED" w14:textId="77777777" w:rsidR="008A27B2" w:rsidRPr="00CA38F1" w:rsidRDefault="008A27B2" w:rsidP="003C4364">
            <w:pPr>
              <w:pStyle w:val="paragraph"/>
              <w:spacing w:before="0" w:beforeAutospacing="0" w:after="0" w:afterAutospacing="0"/>
              <w:contextualSpacing/>
              <w:textAlignment w:val="baseline"/>
              <w:rPr>
                <w:rFonts w:ascii="Verdana" w:hAnsi="Verdana" w:cs="Segoe UI"/>
                <w:sz w:val="16"/>
                <w:szCs w:val="16"/>
              </w:rPr>
            </w:pPr>
            <w:r w:rsidRPr="00CA38F1">
              <w:rPr>
                <w:rStyle w:val="normaltextrun"/>
                <w:rFonts w:ascii="Verdana" w:hAnsi="Verdana" w:cs="Arial"/>
                <w:sz w:val="16"/>
                <w:szCs w:val="16"/>
              </w:rPr>
              <w:t>Contratista de la Subdirección de Gestión Contractual</w:t>
            </w:r>
            <w:r w:rsidRPr="00CA38F1">
              <w:rPr>
                <w:rStyle w:val="eop"/>
                <w:rFonts w:ascii="Verdana" w:eastAsiaTheme="majorEastAsia" w:hAnsi="Verdana" w:cs="Arial"/>
                <w:sz w:val="16"/>
                <w:szCs w:val="16"/>
              </w:rPr>
              <w:t> </w:t>
            </w:r>
          </w:p>
        </w:tc>
      </w:tr>
      <w:tr w:rsidR="008A27B2" w:rsidRPr="00CA38F1" w14:paraId="090496B8" w14:textId="77777777" w:rsidTr="003C4364">
        <w:trPr>
          <w:trHeight w:val="300"/>
        </w:trPr>
        <w:tc>
          <w:tcPr>
            <w:tcW w:w="893" w:type="dxa"/>
            <w:vAlign w:val="center"/>
          </w:tcPr>
          <w:p w14:paraId="200983B5" w14:textId="77777777" w:rsidR="008A27B2" w:rsidRPr="00CA38F1" w:rsidRDefault="008A27B2" w:rsidP="003C4364">
            <w:pPr>
              <w:contextualSpacing/>
              <w:rPr>
                <w:rFonts w:ascii="Verdana" w:hAnsi="Verdana" w:cs="Arial"/>
                <w:sz w:val="16"/>
                <w:szCs w:val="16"/>
                <w:lang w:eastAsia="es-ES"/>
              </w:rPr>
            </w:pPr>
            <w:r w:rsidRPr="00CA38F1">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80E8967" w14:textId="77777777" w:rsidR="008A27B2" w:rsidRPr="00CA38F1" w:rsidRDefault="008A27B2" w:rsidP="003C4364">
            <w:pPr>
              <w:rPr>
                <w:rFonts w:ascii="Verdana" w:hAnsi="Verdana"/>
                <w:sz w:val="16"/>
                <w:szCs w:val="16"/>
              </w:rPr>
            </w:pPr>
            <w:r w:rsidRPr="00CA38F1">
              <w:rPr>
                <w:rFonts w:ascii="Verdana" w:eastAsia="Calibri" w:hAnsi="Verdana" w:cs="Arial"/>
                <w:sz w:val="16"/>
                <w:szCs w:val="16"/>
                <w:lang w:eastAsia="es-ES"/>
              </w:rPr>
              <w:t xml:space="preserve">Carolina Quintero </w:t>
            </w:r>
            <w:proofErr w:type="spellStart"/>
            <w:r w:rsidRPr="00CA38F1">
              <w:rPr>
                <w:rFonts w:ascii="Verdana" w:eastAsia="Calibri" w:hAnsi="Verdana" w:cs="Arial"/>
                <w:sz w:val="16"/>
                <w:szCs w:val="16"/>
                <w:lang w:eastAsia="es-ES"/>
              </w:rPr>
              <w:t>Gacharná</w:t>
            </w:r>
            <w:proofErr w:type="spellEnd"/>
          </w:p>
          <w:p w14:paraId="50B9F54E" w14:textId="77777777" w:rsidR="008A27B2" w:rsidRPr="00CA38F1" w:rsidRDefault="008A27B2" w:rsidP="003C4364">
            <w:pPr>
              <w:contextualSpacing/>
              <w:rPr>
                <w:rFonts w:ascii="Verdana" w:eastAsia="Calibri" w:hAnsi="Verdana" w:cs="Arial"/>
                <w:sz w:val="16"/>
                <w:szCs w:val="16"/>
                <w:lang w:eastAsia="es-ES"/>
              </w:rPr>
            </w:pPr>
            <w:r w:rsidRPr="00CA38F1">
              <w:rPr>
                <w:rFonts w:ascii="Verdana" w:eastAsia="Calibri" w:hAnsi="Verdana" w:cs="Arial"/>
                <w:sz w:val="16"/>
                <w:szCs w:val="16"/>
                <w:lang w:eastAsia="es-ES"/>
              </w:rPr>
              <w:t xml:space="preserve">Subdirectora de Gestión Contractual ANCP – CCE </w:t>
            </w:r>
          </w:p>
        </w:tc>
      </w:tr>
    </w:tbl>
    <w:p w14:paraId="1016BB1B" w14:textId="77777777" w:rsidR="008A27B2" w:rsidRPr="00CA38F1" w:rsidRDefault="008A27B2" w:rsidP="008A27B2">
      <w:pPr>
        <w:rPr>
          <w:rFonts w:ascii="Verdana" w:hAnsi="Verdana"/>
        </w:rPr>
      </w:pPr>
    </w:p>
    <w:p w14:paraId="5314BF5E" w14:textId="77777777" w:rsidR="008A27B2" w:rsidRPr="00CA38F1" w:rsidRDefault="008A27B2" w:rsidP="008A27B2">
      <w:pPr>
        <w:rPr>
          <w:rFonts w:ascii="Verdana" w:hAnsi="Verdana"/>
        </w:rPr>
      </w:pPr>
    </w:p>
    <w:p w14:paraId="5DFE5AB4" w14:textId="77777777" w:rsidR="008A27B2" w:rsidRPr="00CA38F1" w:rsidRDefault="008A27B2" w:rsidP="008A27B2">
      <w:pPr>
        <w:rPr>
          <w:rFonts w:ascii="Verdana" w:hAnsi="Verdana"/>
        </w:rPr>
      </w:pPr>
    </w:p>
    <w:bookmarkEnd w:id="0"/>
    <w:p w14:paraId="774C4043" w14:textId="77777777" w:rsidR="008A27B2" w:rsidRPr="008A27B2" w:rsidRDefault="008A27B2" w:rsidP="00E245AB">
      <w:pPr>
        <w:spacing w:after="0"/>
        <w:rPr>
          <w:rFonts w:ascii="Verdana" w:hAnsi="Verdana"/>
        </w:rPr>
      </w:pPr>
    </w:p>
    <w:sectPr w:rsidR="008A27B2" w:rsidRPr="008A27B2"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1D4800" w14:textId="77777777" w:rsidR="004A5991" w:rsidRDefault="004A5991" w:rsidP="004A1847">
      <w:pPr>
        <w:spacing w:after="0" w:line="240" w:lineRule="auto"/>
      </w:pPr>
      <w:r>
        <w:separator/>
      </w:r>
    </w:p>
  </w:endnote>
  <w:endnote w:type="continuationSeparator" w:id="0">
    <w:p w14:paraId="02F6DDFD" w14:textId="77777777" w:rsidR="004A5991" w:rsidRDefault="004A599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40385B" w14:textId="77777777" w:rsidR="004A5991" w:rsidRDefault="004A5991" w:rsidP="004A1847">
      <w:pPr>
        <w:spacing w:after="0" w:line="240" w:lineRule="auto"/>
      </w:pPr>
      <w:r>
        <w:separator/>
      </w:r>
    </w:p>
  </w:footnote>
  <w:footnote w:type="continuationSeparator" w:id="0">
    <w:p w14:paraId="06DA2C1F" w14:textId="77777777" w:rsidR="004A5991" w:rsidRDefault="004A5991" w:rsidP="004A1847">
      <w:pPr>
        <w:spacing w:after="0" w:line="240" w:lineRule="auto"/>
      </w:pPr>
      <w:r>
        <w:continuationSeparator/>
      </w:r>
    </w:p>
  </w:footnote>
  <w:footnote w:id="1">
    <w:p w14:paraId="43986229" w14:textId="77777777" w:rsidR="00805F94" w:rsidRPr="00A7306F" w:rsidRDefault="00805F94" w:rsidP="00805F94">
      <w:pPr>
        <w:spacing w:after="0"/>
        <w:ind w:firstLine="708"/>
        <w:jc w:val="both"/>
        <w:rPr>
          <w:rFonts w:ascii="Verdana" w:eastAsia="Arial" w:hAnsi="Verdana" w:cs="Arial"/>
          <w:color w:val="000000"/>
          <w:sz w:val="18"/>
          <w:szCs w:val="18"/>
        </w:rPr>
      </w:pPr>
      <w:r w:rsidRPr="00A7306F">
        <w:rPr>
          <w:rStyle w:val="Refdenotaalpie"/>
          <w:rFonts w:ascii="Verdana" w:hAnsi="Verdana" w:cs="Arial"/>
          <w:sz w:val="18"/>
          <w:szCs w:val="18"/>
        </w:rPr>
        <w:footnoteRef/>
      </w:r>
      <w:r w:rsidRPr="00A7306F">
        <w:rPr>
          <w:rFonts w:ascii="Verdana" w:hAnsi="Verdana" w:cs="Arial"/>
          <w:sz w:val="18"/>
          <w:szCs w:val="18"/>
        </w:rPr>
        <w:t xml:space="preserve"> </w:t>
      </w:r>
      <w:bookmarkStart w:id="2" w:name="43"/>
      <w:r w:rsidRPr="00A7306F">
        <w:rPr>
          <w:rFonts w:ascii="Verdana" w:hAnsi="Verdana" w:cs="Arial"/>
          <w:sz w:val="18"/>
          <w:szCs w:val="18"/>
        </w:rPr>
        <w:t>“</w:t>
      </w:r>
      <w:r w:rsidRPr="00A7306F">
        <w:rPr>
          <w:rFonts w:ascii="Verdana" w:eastAsia="Arial" w:hAnsi="Verdana" w:cs="Arial"/>
          <w:color w:val="000000"/>
          <w:sz w:val="18"/>
          <w:szCs w:val="18"/>
        </w:rPr>
        <w:t>Artículo 43. Definiciones de Tamaño Empresarial.</w:t>
      </w:r>
      <w:bookmarkEnd w:id="2"/>
      <w:r w:rsidRPr="00A7306F">
        <w:rPr>
          <w:rFonts w:ascii="Verdana" w:eastAsia="Arial" w:hAnsi="Verdana" w:cs="Arial"/>
          <w:color w:val="000000"/>
          <w:sz w:val="18"/>
          <w:szCs w:val="18"/>
        </w:rPr>
        <w:t> El artículo </w:t>
      </w:r>
      <w:hyperlink r:id="rId1" w:anchor="2" w:history="1">
        <w:r w:rsidRPr="00A7306F">
          <w:rPr>
            <w:rStyle w:val="Hipervnculo1"/>
            <w:rFonts w:ascii="Verdana" w:eastAsia="Arial" w:hAnsi="Verdana" w:cs="Arial"/>
            <w:color w:val="000000"/>
            <w:sz w:val="18"/>
            <w:szCs w:val="18"/>
          </w:rPr>
          <w:t>2</w:t>
        </w:r>
      </w:hyperlink>
      <w:r w:rsidRPr="00A7306F">
        <w:rPr>
          <w:rFonts w:ascii="Verdana" w:eastAsia="Arial" w:hAnsi="Verdana" w:cs="Arial"/>
          <w:color w:val="000000"/>
          <w:sz w:val="18"/>
          <w:szCs w:val="18"/>
        </w:rPr>
        <w:t>o de la Ley 590 de 2000, quedará así:</w:t>
      </w:r>
    </w:p>
    <w:p w14:paraId="47FA9C08" w14:textId="77777777" w:rsidR="00805F94" w:rsidRPr="00A7306F" w:rsidRDefault="00805F94" w:rsidP="00805F94">
      <w:pPr>
        <w:ind w:firstLine="708"/>
        <w:contextualSpacing/>
        <w:jc w:val="both"/>
        <w:rPr>
          <w:rFonts w:ascii="Verdana" w:eastAsia="Arial" w:hAnsi="Verdana" w:cs="Arial"/>
          <w:color w:val="000000"/>
          <w:sz w:val="18"/>
          <w:szCs w:val="18"/>
        </w:rPr>
      </w:pPr>
      <w:r w:rsidRPr="00A7306F">
        <w:rPr>
          <w:rFonts w:ascii="Verdana" w:eastAsia="Arial" w:hAnsi="Verdana" w:cs="Arial"/>
          <w:i/>
          <w:iCs/>
          <w:color w:val="000000"/>
          <w:sz w:val="18"/>
          <w:szCs w:val="18"/>
        </w:rPr>
        <w:t>(…) Artículo </w:t>
      </w:r>
      <w:hyperlink r:id="rId2" w:anchor="2" w:history="1">
        <w:r w:rsidRPr="00A7306F">
          <w:rPr>
            <w:rStyle w:val="Hipervnculo1"/>
            <w:rFonts w:ascii="Verdana" w:eastAsia="Arial" w:hAnsi="Verdana" w:cs="Arial"/>
            <w:i/>
            <w:iCs/>
            <w:color w:val="000000"/>
            <w:sz w:val="18"/>
            <w:szCs w:val="18"/>
          </w:rPr>
          <w:t>2</w:t>
        </w:r>
      </w:hyperlink>
      <w:r w:rsidRPr="00A7306F">
        <w:rPr>
          <w:rFonts w:ascii="Verdana" w:eastAsia="Arial" w:hAnsi="Verdana" w:cs="Arial"/>
          <w:i/>
          <w:iCs/>
          <w:color w:val="000000"/>
          <w:sz w:val="18"/>
          <w:szCs w:val="18"/>
        </w:rPr>
        <w:t>o. Definiciones de tamaño empresarial.</w:t>
      </w:r>
      <w:r w:rsidRPr="00A7306F">
        <w:rPr>
          <w:rFonts w:ascii="Verdana" w:eastAsia="Arial" w:hAnsi="Verdana" w:cs="Arial"/>
          <w:b/>
          <w:bCs/>
          <w:i/>
          <w:iCs/>
          <w:color w:val="000000"/>
          <w:sz w:val="18"/>
          <w:szCs w:val="18"/>
        </w:rPr>
        <w:t> </w:t>
      </w:r>
      <w:r w:rsidRPr="00A7306F">
        <w:rPr>
          <w:rFonts w:ascii="Verdana" w:eastAsia="Arial" w:hAnsi="Verdana" w:cs="Arial"/>
          <w:color w:val="000000"/>
          <w:sz w:val="18"/>
          <w:szCs w:val="18"/>
        </w:rPr>
        <w:t>Para todos los efectos, se entiende por empresa, toda unidad de explotación económica, realizada por persona natural o jurídica, en actividades agropecuarias, industriales, comerciales o de servicios, en el área rural o urbana. Para la clasificación por tamaño empresarial, entiéndase micro, pequeña, mediana y gran empresa, se podrá utilizar uno o varios de los siguientes criterios:</w:t>
      </w:r>
    </w:p>
    <w:p w14:paraId="7440B047" w14:textId="77777777" w:rsidR="00805F94" w:rsidRPr="00A7306F" w:rsidRDefault="00805F94" w:rsidP="00805F94">
      <w:pPr>
        <w:ind w:firstLine="708"/>
        <w:contextualSpacing/>
        <w:jc w:val="both"/>
        <w:rPr>
          <w:rFonts w:ascii="Verdana" w:eastAsia="Arial" w:hAnsi="Verdana" w:cs="Arial"/>
          <w:color w:val="000000"/>
          <w:sz w:val="18"/>
          <w:szCs w:val="18"/>
        </w:rPr>
      </w:pPr>
      <w:r w:rsidRPr="00A7306F">
        <w:rPr>
          <w:rFonts w:ascii="Verdana" w:eastAsia="Arial" w:hAnsi="Verdana" w:cs="Arial"/>
          <w:color w:val="000000"/>
          <w:sz w:val="18"/>
          <w:szCs w:val="18"/>
        </w:rPr>
        <w:t>1. Número de trabajadores totales.</w:t>
      </w:r>
    </w:p>
    <w:p w14:paraId="70B777AB" w14:textId="77777777" w:rsidR="00805F94" w:rsidRPr="00A7306F" w:rsidRDefault="00805F94" w:rsidP="00805F94">
      <w:pPr>
        <w:ind w:firstLine="708"/>
        <w:contextualSpacing/>
        <w:jc w:val="both"/>
        <w:rPr>
          <w:rFonts w:ascii="Verdana" w:eastAsia="Arial" w:hAnsi="Verdana" w:cs="Arial"/>
          <w:color w:val="000000"/>
          <w:sz w:val="18"/>
          <w:szCs w:val="18"/>
        </w:rPr>
      </w:pPr>
      <w:r w:rsidRPr="00A7306F">
        <w:rPr>
          <w:rFonts w:ascii="Verdana" w:eastAsia="Arial" w:hAnsi="Verdana" w:cs="Arial"/>
          <w:color w:val="000000"/>
          <w:sz w:val="18"/>
          <w:szCs w:val="18"/>
        </w:rPr>
        <w:t>2. Valor de ventas brutas anuales.</w:t>
      </w:r>
    </w:p>
    <w:p w14:paraId="4976E045" w14:textId="77777777" w:rsidR="00805F94" w:rsidRPr="00A7306F" w:rsidRDefault="00805F94" w:rsidP="00805F94">
      <w:pPr>
        <w:ind w:firstLine="708"/>
        <w:contextualSpacing/>
        <w:jc w:val="both"/>
        <w:rPr>
          <w:rFonts w:ascii="Verdana" w:eastAsia="Arial" w:hAnsi="Verdana" w:cs="Arial"/>
          <w:color w:val="000000"/>
          <w:sz w:val="18"/>
          <w:szCs w:val="18"/>
        </w:rPr>
      </w:pPr>
      <w:r w:rsidRPr="00A7306F">
        <w:rPr>
          <w:rFonts w:ascii="Verdana" w:eastAsia="Arial" w:hAnsi="Verdana" w:cs="Arial"/>
          <w:color w:val="000000"/>
          <w:sz w:val="18"/>
          <w:szCs w:val="18"/>
        </w:rPr>
        <w:t>3. Valor activos totales.</w:t>
      </w:r>
    </w:p>
    <w:p w14:paraId="7086885C" w14:textId="77777777" w:rsidR="00805F94" w:rsidRPr="00A7306F" w:rsidRDefault="00805F94" w:rsidP="00805F94">
      <w:pPr>
        <w:ind w:firstLine="708"/>
        <w:contextualSpacing/>
        <w:jc w:val="both"/>
        <w:rPr>
          <w:rFonts w:ascii="Verdana" w:eastAsia="Arial" w:hAnsi="Verdana" w:cs="Arial"/>
          <w:color w:val="000000"/>
          <w:sz w:val="18"/>
          <w:szCs w:val="18"/>
        </w:rPr>
      </w:pPr>
      <w:r w:rsidRPr="00A7306F">
        <w:rPr>
          <w:rFonts w:ascii="Verdana" w:eastAsia="Arial" w:hAnsi="Verdana" w:cs="Arial"/>
          <w:color w:val="000000"/>
          <w:sz w:val="18"/>
          <w:szCs w:val="18"/>
        </w:rPr>
        <w:t>Para efectos de los beneficios otorgados por el Gobierno nacional a las micro, pequeñas y medianas empresas el criterio determinante será el valor de ventas brutas anuales.</w:t>
      </w:r>
    </w:p>
    <w:p w14:paraId="742A34B2" w14:textId="77777777" w:rsidR="00805F94" w:rsidRPr="00A7306F" w:rsidRDefault="00805F94" w:rsidP="00805F94">
      <w:pPr>
        <w:ind w:firstLine="708"/>
        <w:contextualSpacing/>
        <w:jc w:val="both"/>
        <w:rPr>
          <w:rFonts w:ascii="Verdana" w:eastAsia="Arial" w:hAnsi="Verdana" w:cs="Arial"/>
          <w:color w:val="000000"/>
          <w:sz w:val="18"/>
          <w:szCs w:val="18"/>
        </w:rPr>
      </w:pPr>
      <w:r w:rsidRPr="00A7306F">
        <w:rPr>
          <w:rFonts w:ascii="Verdana" w:eastAsia="Arial" w:hAnsi="Verdana" w:cs="Arial"/>
          <w:color w:val="000000"/>
          <w:sz w:val="18"/>
          <w:szCs w:val="18"/>
        </w:rPr>
        <w:t>PARÁGRAFO 1o</w:t>
      </w:r>
      <w:r w:rsidRPr="00A7306F">
        <w:rPr>
          <w:rFonts w:ascii="Verdana" w:eastAsia="Arial" w:hAnsi="Verdana" w:cs="Arial"/>
          <w:b/>
          <w:bCs/>
          <w:color w:val="000000"/>
          <w:sz w:val="18"/>
          <w:szCs w:val="18"/>
        </w:rPr>
        <w:t>.</w:t>
      </w:r>
      <w:r w:rsidRPr="00A7306F">
        <w:rPr>
          <w:rFonts w:ascii="Verdana" w:eastAsia="Arial" w:hAnsi="Verdana" w:cs="Arial"/>
          <w:color w:val="000000"/>
          <w:sz w:val="18"/>
          <w:szCs w:val="18"/>
        </w:rPr>
        <w:t> El Gobierno Nacional reglamentará los rangos que aplicarán para los tres criterios e incluirá especificidades sectoriales en los casos que considere necesario.</w:t>
      </w:r>
    </w:p>
    <w:p w14:paraId="1234737F" w14:textId="77777777" w:rsidR="00805F94" w:rsidRPr="00A7306F" w:rsidRDefault="00805F94" w:rsidP="00805F94">
      <w:pPr>
        <w:spacing w:after="0"/>
        <w:ind w:firstLine="708"/>
        <w:contextualSpacing/>
        <w:jc w:val="both"/>
        <w:rPr>
          <w:rFonts w:ascii="Verdana" w:hAnsi="Verdana" w:cs="Arial"/>
          <w:sz w:val="18"/>
          <w:szCs w:val="18"/>
        </w:rPr>
      </w:pPr>
      <w:r w:rsidRPr="00A7306F">
        <w:rPr>
          <w:rFonts w:ascii="Verdana" w:eastAsia="Arial" w:hAnsi="Verdana" w:cs="Arial"/>
          <w:color w:val="000000"/>
          <w:sz w:val="18"/>
          <w:szCs w:val="18"/>
        </w:rPr>
        <w:t>PARÁGRAFO 2o</w:t>
      </w:r>
      <w:r w:rsidRPr="00A7306F">
        <w:rPr>
          <w:rFonts w:ascii="Verdana" w:eastAsia="Arial" w:hAnsi="Verdana" w:cs="Arial"/>
          <w:b/>
          <w:bCs/>
          <w:color w:val="000000"/>
          <w:sz w:val="18"/>
          <w:szCs w:val="18"/>
        </w:rPr>
        <w:t>.</w:t>
      </w:r>
      <w:r w:rsidRPr="00A7306F">
        <w:rPr>
          <w:rFonts w:ascii="Verdana" w:eastAsia="Arial" w:hAnsi="Verdana" w:cs="Arial"/>
          <w:color w:val="000000"/>
          <w:sz w:val="18"/>
          <w:szCs w:val="18"/>
        </w:rPr>
        <w:t> Las definiciones contenidas en el artículo </w:t>
      </w:r>
      <w:hyperlink r:id="rId3" w:anchor="2" w:history="1">
        <w:r w:rsidRPr="00A7306F">
          <w:rPr>
            <w:rStyle w:val="Hipervnculo1"/>
            <w:rFonts w:ascii="Verdana" w:eastAsia="Arial" w:hAnsi="Verdana" w:cs="Arial"/>
            <w:color w:val="000000"/>
            <w:sz w:val="18"/>
            <w:szCs w:val="18"/>
          </w:rPr>
          <w:t>2</w:t>
        </w:r>
      </w:hyperlink>
      <w:r w:rsidRPr="00A7306F">
        <w:rPr>
          <w:rFonts w:ascii="Verdana" w:eastAsia="Arial" w:hAnsi="Verdana" w:cs="Arial"/>
          <w:color w:val="000000"/>
          <w:sz w:val="18"/>
          <w:szCs w:val="18"/>
        </w:rPr>
        <w:t>o de la Ley 590 de 2000 continuarán vigentes hasta tanto entren a regir las normas reglamentarias que profiera el Gobierno Nacional en desarrollo de lo previsto en el presente artículo</w:t>
      </w:r>
      <w:r w:rsidRPr="00A7306F">
        <w:rPr>
          <w:rFonts w:ascii="Verdana" w:hAnsi="Verdana" w:cs="Arial"/>
          <w:sz w:val="18"/>
          <w:szCs w:val="18"/>
        </w:rPr>
        <w:t>”.</w:t>
      </w:r>
    </w:p>
    <w:p w14:paraId="013F9918" w14:textId="77777777" w:rsidR="00805F94" w:rsidRPr="00A7306F" w:rsidRDefault="00805F94" w:rsidP="00805F94">
      <w:pPr>
        <w:spacing w:after="0"/>
        <w:ind w:firstLine="708"/>
        <w:contextualSpacing/>
        <w:jc w:val="both"/>
        <w:rPr>
          <w:rFonts w:ascii="Verdana" w:hAnsi="Verdana" w:cs="Arial"/>
          <w:sz w:val="18"/>
          <w:szCs w:val="18"/>
        </w:rPr>
      </w:pPr>
    </w:p>
  </w:footnote>
  <w:footnote w:id="2">
    <w:p w14:paraId="7FE0EBE8" w14:textId="77777777" w:rsidR="00805F94" w:rsidRPr="00A7306F" w:rsidRDefault="00805F94" w:rsidP="00805F94">
      <w:pPr>
        <w:pStyle w:val="Car1"/>
        <w:ind w:firstLine="709"/>
        <w:jc w:val="both"/>
        <w:rPr>
          <w:rFonts w:ascii="Verdana" w:hAnsi="Verdana" w:cs="Arial"/>
          <w:sz w:val="18"/>
          <w:szCs w:val="18"/>
          <w:lang w:val="es-CO"/>
        </w:rPr>
      </w:pPr>
      <w:r w:rsidRPr="00A7306F">
        <w:rPr>
          <w:rStyle w:val="Refdenotaalpie"/>
          <w:rFonts w:ascii="Verdana" w:hAnsi="Verdana" w:cs="Arial"/>
          <w:sz w:val="18"/>
          <w:szCs w:val="18"/>
        </w:rPr>
        <w:footnoteRef/>
      </w:r>
      <w:r w:rsidRPr="00A7306F">
        <w:rPr>
          <w:rFonts w:ascii="Verdana" w:hAnsi="Verdana" w:cs="Arial"/>
          <w:sz w:val="18"/>
          <w:szCs w:val="18"/>
        </w:rPr>
        <w:t xml:space="preserve"> Decreto 1074 de 2015. “</w:t>
      </w:r>
      <w:r w:rsidRPr="00A7306F">
        <w:rPr>
          <w:rFonts w:ascii="Verdana" w:hAnsi="Verdana" w:cs="Arial"/>
          <w:sz w:val="18"/>
          <w:szCs w:val="18"/>
          <w:lang w:val="es-CO"/>
        </w:rPr>
        <w:t>Artículo </w:t>
      </w:r>
      <w:bookmarkStart w:id="3" w:name="2.2.1.13.2.1"/>
      <w:bookmarkEnd w:id="3"/>
      <w:r w:rsidRPr="00A7306F">
        <w:rPr>
          <w:rFonts w:ascii="Verdana" w:hAnsi="Verdana" w:cs="Arial"/>
          <w:sz w:val="18"/>
          <w:szCs w:val="18"/>
          <w:lang w:val="es-CO"/>
        </w:rPr>
        <w:t>2.2.1.13.2.1. Criterio para la clasificación del tamaño empresarial. Para efectos de la clasificación del tamaño empresarial se tendrá como criterio exclusivo los ingresos por actividades ordinarias anuales de la respectiva empresa.</w:t>
      </w:r>
    </w:p>
    <w:p w14:paraId="72C71A57" w14:textId="77777777" w:rsidR="00805F94" w:rsidRPr="00A7306F" w:rsidRDefault="00805F94" w:rsidP="00805F94">
      <w:pPr>
        <w:pStyle w:val="Car1"/>
        <w:ind w:firstLine="709"/>
        <w:jc w:val="both"/>
        <w:rPr>
          <w:rFonts w:ascii="Verdana" w:hAnsi="Verdana" w:cs="Arial"/>
          <w:sz w:val="18"/>
          <w:szCs w:val="18"/>
          <w:lang w:val="es-CO"/>
        </w:rPr>
      </w:pPr>
      <w:r w:rsidRPr="00A7306F">
        <w:rPr>
          <w:rFonts w:ascii="Verdana" w:hAnsi="Verdana" w:cs="Arial"/>
          <w:sz w:val="18"/>
          <w:szCs w:val="18"/>
          <w:lang w:val="es-CO"/>
        </w:rPr>
        <w:t>El nivel de ingresos por actividades ordinarias anuales con base en el cual se determina el tamaño empresarial variará dependiendo del sector económico en el cual la empresa desarrolle su actividad”.</w:t>
      </w:r>
    </w:p>
    <w:p w14:paraId="5B4A78F6" w14:textId="77777777" w:rsidR="00805F94" w:rsidRPr="00A7306F" w:rsidRDefault="00805F94" w:rsidP="00805F94">
      <w:pPr>
        <w:pStyle w:val="Car1"/>
        <w:jc w:val="both"/>
        <w:rPr>
          <w:rFonts w:ascii="Verdana" w:hAnsi="Verdana" w:cs="Arial"/>
          <w:sz w:val="18"/>
          <w:szCs w:val="18"/>
          <w:lang w:val="es-CO"/>
        </w:rPr>
      </w:pPr>
    </w:p>
  </w:footnote>
  <w:footnote w:id="3">
    <w:p w14:paraId="530F4ADC" w14:textId="77777777" w:rsidR="00805F94" w:rsidRPr="00A7306F" w:rsidRDefault="00805F94" w:rsidP="00805F94">
      <w:pPr>
        <w:spacing w:after="0" w:line="240" w:lineRule="auto"/>
        <w:ind w:firstLine="708"/>
        <w:contextualSpacing/>
        <w:jc w:val="both"/>
        <w:rPr>
          <w:rFonts w:ascii="Verdana" w:eastAsia="Arial" w:hAnsi="Verdana" w:cs="Arial"/>
          <w:color w:val="000000"/>
          <w:sz w:val="18"/>
          <w:szCs w:val="18"/>
        </w:rPr>
      </w:pPr>
      <w:r w:rsidRPr="00A7306F">
        <w:rPr>
          <w:rStyle w:val="Refdenotaalpie"/>
          <w:rFonts w:ascii="Verdana" w:hAnsi="Verdana" w:cs="Arial"/>
          <w:sz w:val="18"/>
          <w:szCs w:val="18"/>
        </w:rPr>
        <w:footnoteRef/>
      </w:r>
      <w:r w:rsidRPr="00A7306F">
        <w:rPr>
          <w:rFonts w:ascii="Verdana" w:hAnsi="Verdana" w:cs="Arial"/>
          <w:sz w:val="18"/>
          <w:szCs w:val="18"/>
        </w:rPr>
        <w:t xml:space="preserve"> </w:t>
      </w:r>
      <w:bookmarkStart w:id="4" w:name="2.2.1.13.2.2"/>
      <w:r w:rsidRPr="00A7306F">
        <w:rPr>
          <w:rFonts w:ascii="Verdana" w:hAnsi="Verdana" w:cs="Arial"/>
          <w:sz w:val="18"/>
          <w:szCs w:val="18"/>
        </w:rPr>
        <w:t>Artículo 2.2.1.13.2.2. Rangos para la Definición del Tamaño Empresarial.</w:t>
      </w:r>
      <w:bookmarkEnd w:id="4"/>
      <w:r w:rsidRPr="00A7306F">
        <w:rPr>
          <w:rFonts w:ascii="Verdana" w:hAnsi="Verdana" w:cs="Arial"/>
          <w:sz w:val="18"/>
          <w:szCs w:val="18"/>
        </w:rPr>
        <w:t xml:space="preserve"> Para efectos de la clasificación del tamaño empresarial se utilizarán, con base en el criterio previsto en el artículo anterior, los siguientes rangos para determinar el valor de los ingresos por actividades ordinarias anuales de acuerdo con el sector económico de que se trate:</w:t>
      </w:r>
    </w:p>
    <w:p w14:paraId="0CB7BD6E" w14:textId="77777777" w:rsidR="00805F94" w:rsidRPr="00A7306F" w:rsidRDefault="00805F94" w:rsidP="00805F94">
      <w:pPr>
        <w:pStyle w:val="Car1"/>
        <w:ind w:firstLine="709"/>
        <w:jc w:val="both"/>
        <w:rPr>
          <w:rFonts w:ascii="Verdana" w:hAnsi="Verdana" w:cs="Arial"/>
          <w:sz w:val="18"/>
          <w:szCs w:val="18"/>
          <w:lang w:val="es-CO"/>
        </w:rPr>
      </w:pPr>
      <w:r w:rsidRPr="00A7306F">
        <w:rPr>
          <w:rFonts w:ascii="Verdana" w:hAnsi="Verdana" w:cs="Arial"/>
          <w:sz w:val="18"/>
          <w:szCs w:val="18"/>
          <w:lang w:val="es-CO"/>
        </w:rPr>
        <w:t>1. Para el sector manufacturero:</w:t>
      </w:r>
    </w:p>
    <w:p w14:paraId="7FEAE0D3" w14:textId="77777777" w:rsidR="00805F94" w:rsidRPr="00A7306F" w:rsidRDefault="00805F94" w:rsidP="00805F94">
      <w:pPr>
        <w:pStyle w:val="Car1"/>
        <w:ind w:firstLine="709"/>
        <w:jc w:val="both"/>
        <w:rPr>
          <w:rFonts w:ascii="Verdana" w:hAnsi="Verdana" w:cs="Arial"/>
          <w:sz w:val="18"/>
          <w:szCs w:val="18"/>
          <w:lang w:val="es-CO"/>
        </w:rPr>
      </w:pPr>
      <w:r w:rsidRPr="00A7306F">
        <w:rPr>
          <w:rFonts w:ascii="Verdana" w:hAnsi="Verdana" w:cs="Arial"/>
          <w:sz w:val="18"/>
          <w:szCs w:val="18"/>
          <w:lang w:val="es-CO"/>
        </w:rPr>
        <w:t>- Microempresa. Aquella cuyos ingresos por actividades ordinarias anuales sean inferiores o iguales a veintitrés mil quinientos sesenta y tres Unidades de Valor Tributario (23.563 UVT).</w:t>
      </w:r>
    </w:p>
    <w:p w14:paraId="70C003DF" w14:textId="77777777" w:rsidR="00805F94" w:rsidRPr="00A7306F" w:rsidRDefault="00805F94" w:rsidP="00805F94">
      <w:pPr>
        <w:pStyle w:val="Car1"/>
        <w:ind w:firstLine="709"/>
        <w:jc w:val="both"/>
        <w:rPr>
          <w:rFonts w:ascii="Verdana" w:hAnsi="Verdana" w:cs="Arial"/>
          <w:sz w:val="18"/>
          <w:szCs w:val="18"/>
          <w:lang w:val="es-CO"/>
        </w:rPr>
      </w:pPr>
      <w:r w:rsidRPr="00A7306F">
        <w:rPr>
          <w:rFonts w:ascii="Verdana" w:hAnsi="Verdana" w:cs="Arial"/>
          <w:sz w:val="18"/>
          <w:szCs w:val="18"/>
          <w:lang w:val="es-CO"/>
        </w:rPr>
        <w:t>- Pequeña empresa. Aquella cuyos ingresos por actividades ordinarias anuales sean superiores a veintitrés mil quinientos sesenta y tres Unidades de Valor Tributario (23.563 UVT) e inferiores o iguales a doscientos cuatro mil novecientos noventa y cinco Unidades de Valor Tributario (204.995 UVT).</w:t>
      </w:r>
    </w:p>
    <w:p w14:paraId="11618092" w14:textId="77777777" w:rsidR="00805F94" w:rsidRPr="00A7306F" w:rsidRDefault="00805F94" w:rsidP="00805F94">
      <w:pPr>
        <w:pStyle w:val="Car1"/>
        <w:ind w:firstLine="709"/>
        <w:jc w:val="both"/>
        <w:rPr>
          <w:rFonts w:ascii="Verdana" w:hAnsi="Verdana" w:cs="Arial"/>
          <w:sz w:val="18"/>
          <w:szCs w:val="18"/>
          <w:lang w:val="es-CO"/>
        </w:rPr>
      </w:pPr>
      <w:r w:rsidRPr="00A7306F">
        <w:rPr>
          <w:rFonts w:ascii="Verdana" w:hAnsi="Verdana" w:cs="Arial"/>
          <w:sz w:val="18"/>
          <w:szCs w:val="18"/>
          <w:lang w:val="es-CO"/>
        </w:rPr>
        <w:t>- Mediana empresa. Aquella cuyos ingresos por actividades ordinarias anuales sean superiores a doscientos cuatro mil novecientos noventa y cinco Unidades de Valor Tributario (204.995 UVT) e inferiores o iguales a un millón setecientos treinta y seis mil quinientos sesenta y cinco Unidades de Valor Tributario (1.736.565 UVT).</w:t>
      </w:r>
    </w:p>
    <w:p w14:paraId="648E0C92" w14:textId="77777777" w:rsidR="00805F94" w:rsidRPr="00A7306F" w:rsidRDefault="00805F94" w:rsidP="00805F94">
      <w:pPr>
        <w:pStyle w:val="Car1"/>
        <w:ind w:firstLine="709"/>
        <w:jc w:val="both"/>
        <w:rPr>
          <w:rFonts w:ascii="Verdana" w:hAnsi="Verdana" w:cs="Arial"/>
          <w:sz w:val="18"/>
          <w:szCs w:val="18"/>
          <w:lang w:val="es-CO"/>
        </w:rPr>
      </w:pPr>
      <w:r w:rsidRPr="00A7306F">
        <w:rPr>
          <w:rFonts w:ascii="Verdana" w:hAnsi="Verdana" w:cs="Arial"/>
          <w:sz w:val="18"/>
          <w:szCs w:val="18"/>
          <w:lang w:val="es-CO"/>
        </w:rPr>
        <w:t>2. Para el sector servicios:</w:t>
      </w:r>
    </w:p>
    <w:p w14:paraId="38852B56" w14:textId="77777777" w:rsidR="00805F94" w:rsidRPr="00A7306F" w:rsidRDefault="00805F94" w:rsidP="00805F94">
      <w:pPr>
        <w:pStyle w:val="Car1"/>
        <w:ind w:firstLine="709"/>
        <w:jc w:val="both"/>
        <w:rPr>
          <w:rFonts w:ascii="Verdana" w:hAnsi="Verdana" w:cs="Arial"/>
          <w:sz w:val="18"/>
          <w:szCs w:val="18"/>
          <w:lang w:val="es-CO"/>
        </w:rPr>
      </w:pPr>
      <w:r w:rsidRPr="00A7306F">
        <w:rPr>
          <w:rFonts w:ascii="Verdana" w:hAnsi="Verdana" w:cs="Arial"/>
          <w:sz w:val="18"/>
          <w:szCs w:val="18"/>
          <w:lang w:val="es-CO"/>
        </w:rPr>
        <w:t>- Microempresa. Aquella cuyos ingresos por actividades ordinarias anuales sean inferiores o iguales a treinta y dos mil novecientos ochenta y ocho Unidades de Valor Tributario (32.988 UVT).</w:t>
      </w:r>
    </w:p>
    <w:p w14:paraId="67DC441A" w14:textId="77777777" w:rsidR="00805F94" w:rsidRPr="00A7306F" w:rsidRDefault="00805F94" w:rsidP="00805F94">
      <w:pPr>
        <w:pStyle w:val="Car1"/>
        <w:ind w:firstLine="709"/>
        <w:jc w:val="both"/>
        <w:rPr>
          <w:rFonts w:ascii="Verdana" w:hAnsi="Verdana" w:cs="Arial"/>
          <w:sz w:val="18"/>
          <w:szCs w:val="18"/>
          <w:lang w:val="es-CO"/>
        </w:rPr>
      </w:pPr>
      <w:r w:rsidRPr="00A7306F">
        <w:rPr>
          <w:rFonts w:ascii="Verdana" w:hAnsi="Verdana" w:cs="Arial"/>
          <w:sz w:val="18"/>
          <w:szCs w:val="18"/>
          <w:lang w:val="es-CO"/>
        </w:rPr>
        <w:t>- Pequeña empresa. Aquella cuyos ingresos por actividades ordinarias anuales sean superiores a treinta y dos mil novecientos ochenta y ocho Unidades de Valor Tributario (32.988 UVT) e inferiores o iguales a ciento treinta y un mil novecientos cincuenta y uno Unidades de Valor Tributario (131.951 UVT).</w:t>
      </w:r>
    </w:p>
    <w:p w14:paraId="082D8CB0" w14:textId="77777777" w:rsidR="00805F94" w:rsidRPr="00A7306F" w:rsidRDefault="00805F94" w:rsidP="00805F94">
      <w:pPr>
        <w:pStyle w:val="Car1"/>
        <w:ind w:firstLine="709"/>
        <w:jc w:val="both"/>
        <w:rPr>
          <w:rFonts w:ascii="Verdana" w:hAnsi="Verdana" w:cs="Arial"/>
          <w:sz w:val="18"/>
          <w:szCs w:val="18"/>
          <w:lang w:val="es-CO"/>
        </w:rPr>
      </w:pPr>
      <w:r w:rsidRPr="00A7306F">
        <w:rPr>
          <w:rFonts w:ascii="Verdana" w:hAnsi="Verdana" w:cs="Arial"/>
          <w:sz w:val="18"/>
          <w:szCs w:val="18"/>
          <w:lang w:val="es-CO"/>
        </w:rPr>
        <w:t>- Mediana empresa. Aquella cuyos ingresos por actividades ordinarias anuales sean superiores a ciento treinta y un mil novecientos cincuenta y un Unidades de Valor Tributario (131.951 UVT) e inferiores o iguales a cuatrocientos ochenta y tres mil treinta y cuatro Unidades de Valor Tributario (483.034 UVT).</w:t>
      </w:r>
    </w:p>
    <w:p w14:paraId="567AFD59" w14:textId="77777777" w:rsidR="00805F94" w:rsidRPr="00A7306F" w:rsidRDefault="00805F94" w:rsidP="00805F94">
      <w:pPr>
        <w:pStyle w:val="Car1"/>
        <w:ind w:firstLine="709"/>
        <w:jc w:val="both"/>
        <w:rPr>
          <w:rFonts w:ascii="Verdana" w:hAnsi="Verdana" w:cs="Arial"/>
          <w:sz w:val="18"/>
          <w:szCs w:val="18"/>
          <w:lang w:val="es-CO"/>
        </w:rPr>
      </w:pPr>
      <w:r w:rsidRPr="00A7306F">
        <w:rPr>
          <w:rFonts w:ascii="Verdana" w:hAnsi="Verdana" w:cs="Arial"/>
          <w:sz w:val="18"/>
          <w:szCs w:val="18"/>
          <w:lang w:val="es-CO"/>
        </w:rPr>
        <w:t>3. Para el sector de comercio:</w:t>
      </w:r>
    </w:p>
    <w:p w14:paraId="47562F20" w14:textId="77777777" w:rsidR="00805F94" w:rsidRPr="00A7306F" w:rsidRDefault="00805F94" w:rsidP="00805F94">
      <w:pPr>
        <w:pStyle w:val="Car1"/>
        <w:ind w:firstLine="709"/>
        <w:jc w:val="both"/>
        <w:rPr>
          <w:rFonts w:ascii="Verdana" w:hAnsi="Verdana" w:cs="Arial"/>
          <w:sz w:val="18"/>
          <w:szCs w:val="18"/>
          <w:lang w:val="es-CO"/>
        </w:rPr>
      </w:pPr>
      <w:r w:rsidRPr="00A7306F">
        <w:rPr>
          <w:rFonts w:ascii="Verdana" w:hAnsi="Verdana" w:cs="Arial"/>
          <w:sz w:val="18"/>
          <w:szCs w:val="18"/>
          <w:lang w:val="es-CO"/>
        </w:rPr>
        <w:t>- Microempresa. Aquella cuyos ingresos por actividades ordinarias anuales sean inferiores o iguales a cuarenta y cuatro mil setecientos sesenta y nueve Unidades de Valor Tributario (44.769 UVT).</w:t>
      </w:r>
    </w:p>
    <w:p w14:paraId="505AB8C3" w14:textId="77777777" w:rsidR="00805F94" w:rsidRPr="00A7306F" w:rsidRDefault="00805F94" w:rsidP="00805F94">
      <w:pPr>
        <w:pStyle w:val="Car1"/>
        <w:ind w:firstLine="709"/>
        <w:jc w:val="both"/>
        <w:rPr>
          <w:rFonts w:ascii="Verdana" w:hAnsi="Verdana" w:cs="Arial"/>
          <w:sz w:val="18"/>
          <w:szCs w:val="18"/>
          <w:lang w:val="es-CO"/>
        </w:rPr>
      </w:pPr>
      <w:r w:rsidRPr="00A7306F">
        <w:rPr>
          <w:rFonts w:ascii="Verdana" w:hAnsi="Verdana" w:cs="Arial"/>
          <w:sz w:val="18"/>
          <w:szCs w:val="18"/>
          <w:lang w:val="es-CO"/>
        </w:rPr>
        <w:t>- Pequeña empresa. Aquella cuyos ingresos por actividades ordinarias anuales sean superiores a cuarenta y cuatro mil setecientos sesenta y nueve Unidades de Valor Tributario (44.769 UVT) e inferiores o iguales a cuatrocientos treinta y un mil ciento noventa y seis Unidades de Valor Tributario (431.196 UVT).</w:t>
      </w:r>
    </w:p>
    <w:p w14:paraId="436EFE63" w14:textId="77777777" w:rsidR="00805F94" w:rsidRPr="00A7306F" w:rsidRDefault="00805F94" w:rsidP="00805F94">
      <w:pPr>
        <w:pStyle w:val="Car1"/>
        <w:ind w:firstLine="709"/>
        <w:jc w:val="both"/>
        <w:rPr>
          <w:rFonts w:ascii="Verdana" w:hAnsi="Verdana" w:cs="Arial"/>
          <w:sz w:val="18"/>
          <w:szCs w:val="18"/>
          <w:lang w:val="es-CO"/>
        </w:rPr>
      </w:pPr>
      <w:r w:rsidRPr="00A7306F">
        <w:rPr>
          <w:rFonts w:ascii="Verdana" w:hAnsi="Verdana" w:cs="Arial"/>
          <w:sz w:val="18"/>
          <w:szCs w:val="18"/>
          <w:lang w:val="es-CO"/>
        </w:rPr>
        <w:t>- Mediana empresa. Aquella cuyos ingresos por actividades ordinarias anuales sean superiores a cuatrocientos treinta y un mil ciento noventa y seis Unidades de Valor Tributario (431.196 UVT) e inferiores o iguales a dos millones ciento sesenta mil seiscientos noventa y dos Unidades de Valor Tributario (2'160.692 UVT).</w:t>
      </w:r>
    </w:p>
    <w:p w14:paraId="1421E4E0" w14:textId="77777777" w:rsidR="00805F94" w:rsidRPr="00B8177A" w:rsidRDefault="00805F94" w:rsidP="00805F94">
      <w:pPr>
        <w:pStyle w:val="Car1"/>
        <w:jc w:val="both"/>
        <w:rPr>
          <w:rFonts w:ascii="Verdana" w:hAnsi="Verdana" w:cs="Arial"/>
          <w:sz w:val="14"/>
          <w:szCs w:val="14"/>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5pt;height: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EC20C1E"/>
    <w:multiLevelType w:val="hybridMultilevel"/>
    <w:tmpl w:val="392237DA"/>
    <w:lvl w:ilvl="0" w:tplc="28943A36">
      <w:start w:val="1"/>
      <w:numFmt w:val="decimal"/>
      <w:lvlText w:val="%1."/>
      <w:lvlJc w:val="left"/>
      <w:pPr>
        <w:ind w:left="1020" w:hanging="360"/>
      </w:pPr>
    </w:lvl>
    <w:lvl w:ilvl="1" w:tplc="97E24AC0">
      <w:start w:val="1"/>
      <w:numFmt w:val="decimal"/>
      <w:lvlText w:val="%2."/>
      <w:lvlJc w:val="left"/>
      <w:pPr>
        <w:ind w:left="1020" w:hanging="360"/>
      </w:pPr>
    </w:lvl>
    <w:lvl w:ilvl="2" w:tplc="0DA82B6C">
      <w:start w:val="1"/>
      <w:numFmt w:val="decimal"/>
      <w:lvlText w:val="%3."/>
      <w:lvlJc w:val="left"/>
      <w:pPr>
        <w:ind w:left="1020" w:hanging="360"/>
      </w:pPr>
    </w:lvl>
    <w:lvl w:ilvl="3" w:tplc="49A6E0E2">
      <w:start w:val="1"/>
      <w:numFmt w:val="decimal"/>
      <w:lvlText w:val="%4."/>
      <w:lvlJc w:val="left"/>
      <w:pPr>
        <w:ind w:left="1020" w:hanging="360"/>
      </w:pPr>
    </w:lvl>
    <w:lvl w:ilvl="4" w:tplc="FBF0DB7A">
      <w:start w:val="1"/>
      <w:numFmt w:val="decimal"/>
      <w:lvlText w:val="%5."/>
      <w:lvlJc w:val="left"/>
      <w:pPr>
        <w:ind w:left="1020" w:hanging="360"/>
      </w:pPr>
    </w:lvl>
    <w:lvl w:ilvl="5" w:tplc="9838352E">
      <w:start w:val="1"/>
      <w:numFmt w:val="decimal"/>
      <w:lvlText w:val="%6."/>
      <w:lvlJc w:val="left"/>
      <w:pPr>
        <w:ind w:left="1020" w:hanging="360"/>
      </w:pPr>
    </w:lvl>
    <w:lvl w:ilvl="6" w:tplc="9DBA6B7A">
      <w:start w:val="1"/>
      <w:numFmt w:val="decimal"/>
      <w:lvlText w:val="%7."/>
      <w:lvlJc w:val="left"/>
      <w:pPr>
        <w:ind w:left="1020" w:hanging="360"/>
      </w:pPr>
    </w:lvl>
    <w:lvl w:ilvl="7" w:tplc="C032B7D6">
      <w:start w:val="1"/>
      <w:numFmt w:val="decimal"/>
      <w:lvlText w:val="%8."/>
      <w:lvlJc w:val="left"/>
      <w:pPr>
        <w:ind w:left="1020" w:hanging="360"/>
      </w:pPr>
    </w:lvl>
    <w:lvl w:ilvl="8" w:tplc="45F2DA0A">
      <w:start w:val="1"/>
      <w:numFmt w:val="decimal"/>
      <w:lvlText w:val="%9."/>
      <w:lvlJc w:val="left"/>
      <w:pPr>
        <w:ind w:left="102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A77E244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E8C216C"/>
    <w:multiLevelType w:val="hybridMultilevel"/>
    <w:tmpl w:val="C456998E"/>
    <w:lvl w:ilvl="0" w:tplc="708E8734">
      <w:start w:val="1"/>
      <w:numFmt w:val="decimal"/>
      <w:lvlText w:val="%1."/>
      <w:lvlJc w:val="left"/>
      <w:pPr>
        <w:ind w:left="1020" w:hanging="360"/>
      </w:pPr>
    </w:lvl>
    <w:lvl w:ilvl="1" w:tplc="637AAA64">
      <w:start w:val="1"/>
      <w:numFmt w:val="decimal"/>
      <w:lvlText w:val="%2."/>
      <w:lvlJc w:val="left"/>
      <w:pPr>
        <w:ind w:left="1020" w:hanging="360"/>
      </w:pPr>
    </w:lvl>
    <w:lvl w:ilvl="2" w:tplc="35B02F00">
      <w:start w:val="1"/>
      <w:numFmt w:val="decimal"/>
      <w:lvlText w:val="%3."/>
      <w:lvlJc w:val="left"/>
      <w:pPr>
        <w:ind w:left="1020" w:hanging="360"/>
      </w:pPr>
    </w:lvl>
    <w:lvl w:ilvl="3" w:tplc="5DD41D84">
      <w:start w:val="1"/>
      <w:numFmt w:val="decimal"/>
      <w:lvlText w:val="%4."/>
      <w:lvlJc w:val="left"/>
      <w:pPr>
        <w:ind w:left="1020" w:hanging="360"/>
      </w:pPr>
    </w:lvl>
    <w:lvl w:ilvl="4" w:tplc="936AF43C">
      <w:start w:val="1"/>
      <w:numFmt w:val="decimal"/>
      <w:lvlText w:val="%5."/>
      <w:lvlJc w:val="left"/>
      <w:pPr>
        <w:ind w:left="1020" w:hanging="360"/>
      </w:pPr>
    </w:lvl>
    <w:lvl w:ilvl="5" w:tplc="65062F7A">
      <w:start w:val="1"/>
      <w:numFmt w:val="decimal"/>
      <w:lvlText w:val="%6."/>
      <w:lvlJc w:val="left"/>
      <w:pPr>
        <w:ind w:left="1020" w:hanging="360"/>
      </w:pPr>
    </w:lvl>
    <w:lvl w:ilvl="6" w:tplc="E9A4E8E4">
      <w:start w:val="1"/>
      <w:numFmt w:val="decimal"/>
      <w:lvlText w:val="%7."/>
      <w:lvlJc w:val="left"/>
      <w:pPr>
        <w:ind w:left="1020" w:hanging="360"/>
      </w:pPr>
    </w:lvl>
    <w:lvl w:ilvl="7" w:tplc="1FCC53A8">
      <w:start w:val="1"/>
      <w:numFmt w:val="decimal"/>
      <w:lvlText w:val="%8."/>
      <w:lvlJc w:val="left"/>
      <w:pPr>
        <w:ind w:left="1020" w:hanging="360"/>
      </w:pPr>
    </w:lvl>
    <w:lvl w:ilvl="8" w:tplc="E750737A">
      <w:start w:val="1"/>
      <w:numFmt w:val="decimal"/>
      <w:lvlText w:val="%9."/>
      <w:lvlJc w:val="left"/>
      <w:pPr>
        <w:ind w:left="1020" w:hanging="360"/>
      </w:p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0AE0B3F"/>
    <w:multiLevelType w:val="hybridMultilevel"/>
    <w:tmpl w:val="363CEAAE"/>
    <w:lvl w:ilvl="0" w:tplc="BD0E5D9A">
      <w:start w:val="1"/>
      <w:numFmt w:val="decimal"/>
      <w:lvlText w:val="%1."/>
      <w:lvlJc w:val="left"/>
      <w:pPr>
        <w:ind w:left="1020" w:hanging="360"/>
      </w:pPr>
    </w:lvl>
    <w:lvl w:ilvl="1" w:tplc="51A474C8">
      <w:start w:val="1"/>
      <w:numFmt w:val="decimal"/>
      <w:lvlText w:val="%2."/>
      <w:lvlJc w:val="left"/>
      <w:pPr>
        <w:ind w:left="1020" w:hanging="360"/>
      </w:pPr>
    </w:lvl>
    <w:lvl w:ilvl="2" w:tplc="990C11D0">
      <w:start w:val="1"/>
      <w:numFmt w:val="decimal"/>
      <w:lvlText w:val="%3."/>
      <w:lvlJc w:val="left"/>
      <w:pPr>
        <w:ind w:left="1020" w:hanging="360"/>
      </w:pPr>
    </w:lvl>
    <w:lvl w:ilvl="3" w:tplc="9E709A20">
      <w:start w:val="1"/>
      <w:numFmt w:val="decimal"/>
      <w:lvlText w:val="%4."/>
      <w:lvlJc w:val="left"/>
      <w:pPr>
        <w:ind w:left="1020" w:hanging="360"/>
      </w:pPr>
    </w:lvl>
    <w:lvl w:ilvl="4" w:tplc="671038A6">
      <w:start w:val="1"/>
      <w:numFmt w:val="decimal"/>
      <w:lvlText w:val="%5."/>
      <w:lvlJc w:val="left"/>
      <w:pPr>
        <w:ind w:left="1020" w:hanging="360"/>
      </w:pPr>
    </w:lvl>
    <w:lvl w:ilvl="5" w:tplc="819839D4">
      <w:start w:val="1"/>
      <w:numFmt w:val="decimal"/>
      <w:lvlText w:val="%6."/>
      <w:lvlJc w:val="left"/>
      <w:pPr>
        <w:ind w:left="1020" w:hanging="360"/>
      </w:pPr>
    </w:lvl>
    <w:lvl w:ilvl="6" w:tplc="ED160A38">
      <w:start w:val="1"/>
      <w:numFmt w:val="decimal"/>
      <w:lvlText w:val="%7."/>
      <w:lvlJc w:val="left"/>
      <w:pPr>
        <w:ind w:left="1020" w:hanging="360"/>
      </w:pPr>
    </w:lvl>
    <w:lvl w:ilvl="7" w:tplc="68367B12">
      <w:start w:val="1"/>
      <w:numFmt w:val="decimal"/>
      <w:lvlText w:val="%8."/>
      <w:lvlJc w:val="left"/>
      <w:pPr>
        <w:ind w:left="1020" w:hanging="360"/>
      </w:pPr>
    </w:lvl>
    <w:lvl w:ilvl="8" w:tplc="E8BAE9C8">
      <w:start w:val="1"/>
      <w:numFmt w:val="decimal"/>
      <w:lvlText w:val="%9."/>
      <w:lvlJc w:val="left"/>
      <w:pPr>
        <w:ind w:left="102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3"/>
  </w:num>
  <w:num w:numId="14" w16cid:durableId="895897244">
    <w:abstractNumId w:val="16"/>
  </w:num>
  <w:num w:numId="15" w16cid:durableId="390349800">
    <w:abstractNumId w:val="12"/>
  </w:num>
  <w:num w:numId="16" w16cid:durableId="341274352">
    <w:abstractNumId w:val="0"/>
  </w:num>
  <w:num w:numId="17" w16cid:durableId="1304700261">
    <w:abstractNumId w:val="11"/>
  </w:num>
  <w:num w:numId="18" w16cid:durableId="461074740">
    <w:abstractNumId w:val="4"/>
  </w:num>
  <w:num w:numId="19" w16cid:durableId="823006644">
    <w:abstractNumId w:val="17"/>
  </w:num>
  <w:num w:numId="20" w16cid:durableId="67908957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C39"/>
    <w:rsid w:val="0000559F"/>
    <w:rsid w:val="00016F78"/>
    <w:rsid w:val="000233DC"/>
    <w:rsid w:val="00032342"/>
    <w:rsid w:val="00046945"/>
    <w:rsid w:val="00061B2A"/>
    <w:rsid w:val="000626D3"/>
    <w:rsid w:val="00075894"/>
    <w:rsid w:val="00082362"/>
    <w:rsid w:val="000A683E"/>
    <w:rsid w:val="000B19B9"/>
    <w:rsid w:val="000C0E56"/>
    <w:rsid w:val="000C1DBC"/>
    <w:rsid w:val="000D0334"/>
    <w:rsid w:val="000D48D2"/>
    <w:rsid w:val="000E43C3"/>
    <w:rsid w:val="000F6486"/>
    <w:rsid w:val="00103BF8"/>
    <w:rsid w:val="00104699"/>
    <w:rsid w:val="001161A7"/>
    <w:rsid w:val="001215E2"/>
    <w:rsid w:val="00123981"/>
    <w:rsid w:val="00125105"/>
    <w:rsid w:val="0012655B"/>
    <w:rsid w:val="00127233"/>
    <w:rsid w:val="001704F4"/>
    <w:rsid w:val="0019187A"/>
    <w:rsid w:val="001A0A5F"/>
    <w:rsid w:val="001A40F6"/>
    <w:rsid w:val="001A4CDC"/>
    <w:rsid w:val="001B13DE"/>
    <w:rsid w:val="001E4177"/>
    <w:rsid w:val="001F7DC6"/>
    <w:rsid w:val="00212AE2"/>
    <w:rsid w:val="00226B6F"/>
    <w:rsid w:val="00241304"/>
    <w:rsid w:val="002421BB"/>
    <w:rsid w:val="0025796E"/>
    <w:rsid w:val="00260435"/>
    <w:rsid w:val="00266647"/>
    <w:rsid w:val="002707A2"/>
    <w:rsid w:val="002811B1"/>
    <w:rsid w:val="00282969"/>
    <w:rsid w:val="002951A0"/>
    <w:rsid w:val="002962BC"/>
    <w:rsid w:val="002A093D"/>
    <w:rsid w:val="002A0DD0"/>
    <w:rsid w:val="002A2706"/>
    <w:rsid w:val="002A49AC"/>
    <w:rsid w:val="002A64FD"/>
    <w:rsid w:val="002A71FC"/>
    <w:rsid w:val="002B77C8"/>
    <w:rsid w:val="002C7A84"/>
    <w:rsid w:val="002E4FD9"/>
    <w:rsid w:val="002F3FE3"/>
    <w:rsid w:val="002F7037"/>
    <w:rsid w:val="00300575"/>
    <w:rsid w:val="00302A80"/>
    <w:rsid w:val="003076C4"/>
    <w:rsid w:val="00322A85"/>
    <w:rsid w:val="00323B6C"/>
    <w:rsid w:val="00324168"/>
    <w:rsid w:val="0033362A"/>
    <w:rsid w:val="00342314"/>
    <w:rsid w:val="003448F4"/>
    <w:rsid w:val="00374F5E"/>
    <w:rsid w:val="00377E3E"/>
    <w:rsid w:val="00380CDD"/>
    <w:rsid w:val="003A779E"/>
    <w:rsid w:val="003B5DA3"/>
    <w:rsid w:val="003D0F4D"/>
    <w:rsid w:val="003D5B0D"/>
    <w:rsid w:val="003D7617"/>
    <w:rsid w:val="003E0499"/>
    <w:rsid w:val="003E5345"/>
    <w:rsid w:val="003F3941"/>
    <w:rsid w:val="003F3EFC"/>
    <w:rsid w:val="00406575"/>
    <w:rsid w:val="00407986"/>
    <w:rsid w:val="00414C74"/>
    <w:rsid w:val="0042534A"/>
    <w:rsid w:val="0042722E"/>
    <w:rsid w:val="0044528D"/>
    <w:rsid w:val="00463C34"/>
    <w:rsid w:val="00465F36"/>
    <w:rsid w:val="004A1847"/>
    <w:rsid w:val="004A305D"/>
    <w:rsid w:val="004A3A7C"/>
    <w:rsid w:val="004A5991"/>
    <w:rsid w:val="004C53C2"/>
    <w:rsid w:val="004D0B22"/>
    <w:rsid w:val="004D2390"/>
    <w:rsid w:val="004D5585"/>
    <w:rsid w:val="004F21C4"/>
    <w:rsid w:val="004F685F"/>
    <w:rsid w:val="00500C6E"/>
    <w:rsid w:val="00521ADB"/>
    <w:rsid w:val="00525CED"/>
    <w:rsid w:val="00527CBE"/>
    <w:rsid w:val="00553D5B"/>
    <w:rsid w:val="005566E8"/>
    <w:rsid w:val="00560D54"/>
    <w:rsid w:val="00574867"/>
    <w:rsid w:val="005763BF"/>
    <w:rsid w:val="00591460"/>
    <w:rsid w:val="005B1707"/>
    <w:rsid w:val="005B2BE6"/>
    <w:rsid w:val="005C3777"/>
    <w:rsid w:val="005C5CDC"/>
    <w:rsid w:val="005D476C"/>
    <w:rsid w:val="005E4703"/>
    <w:rsid w:val="005E4FE7"/>
    <w:rsid w:val="005E52A8"/>
    <w:rsid w:val="005F0A26"/>
    <w:rsid w:val="005F262D"/>
    <w:rsid w:val="006219F8"/>
    <w:rsid w:val="00625542"/>
    <w:rsid w:val="006302F7"/>
    <w:rsid w:val="006406C8"/>
    <w:rsid w:val="00665146"/>
    <w:rsid w:val="00665D70"/>
    <w:rsid w:val="00670AF4"/>
    <w:rsid w:val="0068414A"/>
    <w:rsid w:val="006900D9"/>
    <w:rsid w:val="0069326A"/>
    <w:rsid w:val="00697E73"/>
    <w:rsid w:val="006A760C"/>
    <w:rsid w:val="006B03B9"/>
    <w:rsid w:val="006C425D"/>
    <w:rsid w:val="006D7553"/>
    <w:rsid w:val="006E5B38"/>
    <w:rsid w:val="006F6293"/>
    <w:rsid w:val="00706C16"/>
    <w:rsid w:val="00712BC8"/>
    <w:rsid w:val="00723D81"/>
    <w:rsid w:val="00732191"/>
    <w:rsid w:val="0073766D"/>
    <w:rsid w:val="007428E3"/>
    <w:rsid w:val="00745A20"/>
    <w:rsid w:val="00754A63"/>
    <w:rsid w:val="00756841"/>
    <w:rsid w:val="007649AB"/>
    <w:rsid w:val="00771D0C"/>
    <w:rsid w:val="00782A93"/>
    <w:rsid w:val="007833AC"/>
    <w:rsid w:val="007A4029"/>
    <w:rsid w:val="007B268C"/>
    <w:rsid w:val="007B5707"/>
    <w:rsid w:val="007B7171"/>
    <w:rsid w:val="007C0C0F"/>
    <w:rsid w:val="007C3DC2"/>
    <w:rsid w:val="007D0573"/>
    <w:rsid w:val="007E5497"/>
    <w:rsid w:val="00805F94"/>
    <w:rsid w:val="00806F5F"/>
    <w:rsid w:val="00816D0C"/>
    <w:rsid w:val="00820278"/>
    <w:rsid w:val="00847750"/>
    <w:rsid w:val="00867F95"/>
    <w:rsid w:val="008843B6"/>
    <w:rsid w:val="00891928"/>
    <w:rsid w:val="00897A3A"/>
    <w:rsid w:val="008A27B2"/>
    <w:rsid w:val="008A446D"/>
    <w:rsid w:val="008B4CB2"/>
    <w:rsid w:val="008D180B"/>
    <w:rsid w:val="008D2EC5"/>
    <w:rsid w:val="008E4CDD"/>
    <w:rsid w:val="008F0EA7"/>
    <w:rsid w:val="008F6D1A"/>
    <w:rsid w:val="00923EEF"/>
    <w:rsid w:val="009419F9"/>
    <w:rsid w:val="00942F17"/>
    <w:rsid w:val="00944207"/>
    <w:rsid w:val="009564DB"/>
    <w:rsid w:val="0095685E"/>
    <w:rsid w:val="00961B09"/>
    <w:rsid w:val="00963D18"/>
    <w:rsid w:val="00965334"/>
    <w:rsid w:val="0097093E"/>
    <w:rsid w:val="00973E43"/>
    <w:rsid w:val="00990D20"/>
    <w:rsid w:val="009A0DFA"/>
    <w:rsid w:val="009B25A8"/>
    <w:rsid w:val="009B2D26"/>
    <w:rsid w:val="009C71FA"/>
    <w:rsid w:val="009C72E7"/>
    <w:rsid w:val="009D217C"/>
    <w:rsid w:val="009D3058"/>
    <w:rsid w:val="009F3A13"/>
    <w:rsid w:val="009F626A"/>
    <w:rsid w:val="00A11E1A"/>
    <w:rsid w:val="00A122D3"/>
    <w:rsid w:val="00A17F13"/>
    <w:rsid w:val="00A20739"/>
    <w:rsid w:val="00A20A10"/>
    <w:rsid w:val="00A2285C"/>
    <w:rsid w:val="00A33C78"/>
    <w:rsid w:val="00A36378"/>
    <w:rsid w:val="00A473EC"/>
    <w:rsid w:val="00A7306F"/>
    <w:rsid w:val="00A76093"/>
    <w:rsid w:val="00A820C7"/>
    <w:rsid w:val="00A943A7"/>
    <w:rsid w:val="00AA51A7"/>
    <w:rsid w:val="00AB0ADB"/>
    <w:rsid w:val="00AB3052"/>
    <w:rsid w:val="00AB4061"/>
    <w:rsid w:val="00AE3F6A"/>
    <w:rsid w:val="00B00C0E"/>
    <w:rsid w:val="00B011C0"/>
    <w:rsid w:val="00B01B1A"/>
    <w:rsid w:val="00B35AA5"/>
    <w:rsid w:val="00B44A47"/>
    <w:rsid w:val="00B63FC1"/>
    <w:rsid w:val="00B7002E"/>
    <w:rsid w:val="00B72CD3"/>
    <w:rsid w:val="00B72FFF"/>
    <w:rsid w:val="00B762D1"/>
    <w:rsid w:val="00BA250B"/>
    <w:rsid w:val="00BA557E"/>
    <w:rsid w:val="00BA65B2"/>
    <w:rsid w:val="00BB3370"/>
    <w:rsid w:val="00BB6299"/>
    <w:rsid w:val="00BB7A69"/>
    <w:rsid w:val="00BC3D36"/>
    <w:rsid w:val="00BD7F72"/>
    <w:rsid w:val="00BE724E"/>
    <w:rsid w:val="00BF3EA2"/>
    <w:rsid w:val="00BF4ECD"/>
    <w:rsid w:val="00C02DEB"/>
    <w:rsid w:val="00C04FB3"/>
    <w:rsid w:val="00C250C6"/>
    <w:rsid w:val="00C330EB"/>
    <w:rsid w:val="00C3412C"/>
    <w:rsid w:val="00C5434A"/>
    <w:rsid w:val="00C54E4A"/>
    <w:rsid w:val="00C754BE"/>
    <w:rsid w:val="00C76B1C"/>
    <w:rsid w:val="00C85244"/>
    <w:rsid w:val="00C95E02"/>
    <w:rsid w:val="00CA38F1"/>
    <w:rsid w:val="00CB16B1"/>
    <w:rsid w:val="00CB6357"/>
    <w:rsid w:val="00CC07E2"/>
    <w:rsid w:val="00CC1B26"/>
    <w:rsid w:val="00CD41CC"/>
    <w:rsid w:val="00CE1CB8"/>
    <w:rsid w:val="00CE2FD3"/>
    <w:rsid w:val="00CF01E5"/>
    <w:rsid w:val="00D065C4"/>
    <w:rsid w:val="00D207F1"/>
    <w:rsid w:val="00D33934"/>
    <w:rsid w:val="00D423A2"/>
    <w:rsid w:val="00D50A1D"/>
    <w:rsid w:val="00D520D8"/>
    <w:rsid w:val="00D63AC2"/>
    <w:rsid w:val="00D7383B"/>
    <w:rsid w:val="00D80B0A"/>
    <w:rsid w:val="00D90723"/>
    <w:rsid w:val="00D93A64"/>
    <w:rsid w:val="00DA231B"/>
    <w:rsid w:val="00DC39FC"/>
    <w:rsid w:val="00DD01EF"/>
    <w:rsid w:val="00DF5254"/>
    <w:rsid w:val="00DF7055"/>
    <w:rsid w:val="00E16408"/>
    <w:rsid w:val="00E20894"/>
    <w:rsid w:val="00E245AB"/>
    <w:rsid w:val="00E2764C"/>
    <w:rsid w:val="00E27F2E"/>
    <w:rsid w:val="00E47B6A"/>
    <w:rsid w:val="00E50AFE"/>
    <w:rsid w:val="00E51CB1"/>
    <w:rsid w:val="00E53536"/>
    <w:rsid w:val="00E75C92"/>
    <w:rsid w:val="00E771DC"/>
    <w:rsid w:val="00E8772A"/>
    <w:rsid w:val="00E90F6B"/>
    <w:rsid w:val="00E92C27"/>
    <w:rsid w:val="00EA0E3D"/>
    <w:rsid w:val="00EA7641"/>
    <w:rsid w:val="00EC38A7"/>
    <w:rsid w:val="00EC5876"/>
    <w:rsid w:val="00EC763E"/>
    <w:rsid w:val="00EE1AA8"/>
    <w:rsid w:val="00F12395"/>
    <w:rsid w:val="00F2453C"/>
    <w:rsid w:val="00F31EDC"/>
    <w:rsid w:val="00F346D7"/>
    <w:rsid w:val="00F405BF"/>
    <w:rsid w:val="00F41572"/>
    <w:rsid w:val="00F462B3"/>
    <w:rsid w:val="00F54A8C"/>
    <w:rsid w:val="00F5664F"/>
    <w:rsid w:val="00F666C4"/>
    <w:rsid w:val="00F76AFC"/>
    <w:rsid w:val="00F82590"/>
    <w:rsid w:val="00F842BD"/>
    <w:rsid w:val="00FA1024"/>
    <w:rsid w:val="00FA47C0"/>
    <w:rsid w:val="00FB5DD1"/>
    <w:rsid w:val="00FC2B5D"/>
    <w:rsid w:val="00FC377C"/>
    <w:rsid w:val="00FD3133"/>
    <w:rsid w:val="00FF1449"/>
    <w:rsid w:val="00FF234C"/>
    <w:rsid w:val="00FF237F"/>
    <w:rsid w:val="00FF4D56"/>
    <w:rsid w:val="07F81B22"/>
    <w:rsid w:val="09BBB772"/>
    <w:rsid w:val="1DF96905"/>
    <w:rsid w:val="27E9EF2F"/>
    <w:rsid w:val="3FF4BF4F"/>
    <w:rsid w:val="4C359922"/>
    <w:rsid w:val="53827242"/>
    <w:rsid w:val="61AD6A7F"/>
    <w:rsid w:val="69644E20"/>
    <w:rsid w:val="6B4239E2"/>
    <w:rsid w:val="6BF07D75"/>
    <w:rsid w:val="71D243D1"/>
    <w:rsid w:val="776B837E"/>
    <w:rsid w:val="7980903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C763E"/>
    <w:rPr>
      <w:rFonts w:ascii="Geomanist Light" w:hAnsi="Geomanist Light"/>
      <w:lang w:val="es-ES"/>
    </w:rPr>
  </w:style>
  <w:style w:type="character" w:styleId="Refdecomentario">
    <w:name w:val="annotation reference"/>
    <w:basedOn w:val="Fuentedeprrafopredeter"/>
    <w:uiPriority w:val="99"/>
    <w:semiHidden/>
    <w:unhideWhenUsed/>
    <w:rsid w:val="00EC763E"/>
    <w:rPr>
      <w:sz w:val="16"/>
      <w:szCs w:val="16"/>
    </w:rPr>
  </w:style>
  <w:style w:type="paragraph" w:styleId="Textocomentario">
    <w:name w:val="annotation text"/>
    <w:basedOn w:val="Normal"/>
    <w:link w:val="TextocomentarioCar"/>
    <w:uiPriority w:val="99"/>
    <w:unhideWhenUsed/>
    <w:rsid w:val="00EC763E"/>
    <w:pPr>
      <w:spacing w:line="240" w:lineRule="auto"/>
    </w:pPr>
    <w:rPr>
      <w:sz w:val="20"/>
      <w:szCs w:val="20"/>
    </w:rPr>
  </w:style>
  <w:style w:type="character" w:customStyle="1" w:styleId="TextocomentarioCar">
    <w:name w:val="Texto comentario Car"/>
    <w:basedOn w:val="Fuentedeprrafopredeter"/>
    <w:link w:val="Textocomentario"/>
    <w:uiPriority w:val="99"/>
    <w:rsid w:val="00EC763E"/>
    <w:rPr>
      <w:sz w:val="20"/>
      <w:szCs w:val="20"/>
    </w:rPr>
  </w:style>
  <w:style w:type="paragraph" w:customStyle="1" w:styleId="Appelnotedebasde">
    <w:name w:val="Appel note de bas de..."/>
    <w:basedOn w:val="Normal"/>
    <w:link w:val="Refdenotaalpie"/>
    <w:uiPriority w:val="99"/>
    <w:rsid w:val="00805F94"/>
    <w:pPr>
      <w:spacing w:line="240" w:lineRule="exact"/>
    </w:pPr>
    <w:rPr>
      <w:vertAlign w:val="superscript"/>
    </w:rPr>
  </w:style>
  <w:style w:type="character" w:customStyle="1" w:styleId="Hipervnculo1">
    <w:name w:val="Hipervínculo1"/>
    <w:basedOn w:val="Fuentedeprrafopredeter"/>
    <w:uiPriority w:val="99"/>
    <w:unhideWhenUsed/>
    <w:rsid w:val="00805F94"/>
    <w:rPr>
      <w:color w:val="F2F2F2"/>
      <w:u w:val="single"/>
    </w:rPr>
  </w:style>
  <w:style w:type="paragraph" w:customStyle="1" w:styleId="Car1">
    <w:name w:val="Car1"/>
    <w:basedOn w:val="Normal"/>
    <w:next w:val="Textonotapie"/>
    <w:uiPriority w:val="99"/>
    <w:qFormat/>
    <w:rsid w:val="00805F94"/>
    <w:pPr>
      <w:spacing w:after="0" w:line="240" w:lineRule="auto"/>
    </w:pPr>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33362A"/>
    <w:rPr>
      <w:b/>
      <w:bCs/>
    </w:rPr>
  </w:style>
  <w:style w:type="character" w:customStyle="1" w:styleId="AsuntodelcomentarioCar">
    <w:name w:val="Asunto del comentario Car"/>
    <w:basedOn w:val="TextocomentarioCar"/>
    <w:link w:val="Asuntodelcomentario"/>
    <w:uiPriority w:val="99"/>
    <w:semiHidden/>
    <w:rsid w:val="0033362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manual/guia-para-promover-la-participacion-de-las-mipymes-en-los-procesos-de-compra-publica"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lbamanrique909@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sergio.caballero%40colombiacompra.gov.co%7C7cfff6dece924643582c08dd97bfed90%7C7b09041e245149d08cb179d5e3d8c1be%7C0%7C0%7C638833572791012884%7CUnknown%7CTWFpbGZsb3d8eyJFbXB0eU1hcGkiOnRydWUsIlYiOiIwLjAuMDAwMCIsIlAiOiJXaW4zMiIsIkFOIjoiTWFpbCIsIldUIjoyfQ%3D%3D%7C0%7C%7C%7C&amp;sdata=3rYh%2B44qbP5kIeJ6PQ5u9to2xg7sNT2hwwbhprvoBTc%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secretariasenado.gov.co/senado/basedoc/ley_0590_2000.html" TargetMode="External"/><Relationship Id="rId2" Type="http://schemas.openxmlformats.org/officeDocument/2006/relationships/hyperlink" Target="http://www.secretariasenado.gov.co/senado/basedoc/ley_0590_2000.html" TargetMode="External"/><Relationship Id="rId1" Type="http://schemas.openxmlformats.org/officeDocument/2006/relationships/hyperlink" Target="http://www.secretariasenado.gov.co/senado/basedoc/ley_0590_2000.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purl.org/dc/terms/"/>
    <ds:schemaRef ds:uri="http://schemas.microsoft.com/office/2006/documentManagement/types"/>
    <ds:schemaRef ds:uri="http://www.w3.org/XML/1998/namespace"/>
    <ds:schemaRef ds:uri="http://purl.org/dc/dcmitype/"/>
    <ds:schemaRef ds:uri="http://schemas.openxmlformats.org/package/2006/metadata/core-properties"/>
    <ds:schemaRef ds:uri="http://purl.org/dc/elements/1.1/"/>
    <ds:schemaRef ds:uri="2d8fa925-bec2-4809-ba96-82bda3c0030e"/>
    <ds:schemaRef ds:uri="http://schemas.microsoft.com/office/infopath/2007/PartnerControls"/>
    <ds:schemaRef ds:uri="8ae15d26-076e-464e-81a7-6f76a0fb3917"/>
    <ds:schemaRef ds:uri="http://schemas.microsoft.com/office/2006/metadata/properties"/>
  </ds:schemaRefs>
</ds:datastoreItem>
</file>

<file path=customXml/itemProps3.xml><?xml version="1.0" encoding="utf-8"?>
<ds:datastoreItem xmlns:ds="http://schemas.openxmlformats.org/officeDocument/2006/customXml" ds:itemID="{57F3605B-F213-40A4-8239-35758B77201B}"/>
</file>

<file path=customXml/itemProps4.xml><?xml version="1.0" encoding="utf-8"?>
<ds:datastoreItem xmlns:ds="http://schemas.openxmlformats.org/officeDocument/2006/customXml" ds:itemID="{C7D70D11-7272-7940-9602-C1890CB12575}">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18</Pages>
  <Words>6207</Words>
  <Characters>34140</Characters>
  <Application>Microsoft Office Word</Application>
  <DocSecurity>0</DocSecurity>
  <Lines>284</Lines>
  <Paragraphs>80</Paragraphs>
  <ScaleCrop>false</ScaleCrop>
  <Company/>
  <LinksUpToDate>false</LinksUpToDate>
  <CharactersWithSpaces>40267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María Ortiz Ballesteros</cp:lastModifiedBy>
  <cp:revision>32</cp:revision>
  <cp:lastPrinted>2023-01-10T21:18:00Z</cp:lastPrinted>
  <dcterms:created xsi:type="dcterms:W3CDTF">2025-10-06T15:47:00Z</dcterms:created>
  <dcterms:modified xsi:type="dcterms:W3CDTF">2025-10-06T16:14:00Z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