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219D4" w14:textId="77777777" w:rsidR="00745C23" w:rsidRDefault="00745C23" w:rsidP="005E22BB">
      <w:pPr>
        <w:jc w:val="both"/>
        <w:rPr>
          <w:rFonts w:ascii="Verdana" w:eastAsia="Arial" w:hAnsi="Verdana" w:cs="Arial"/>
          <w:b/>
          <w:bCs/>
          <w:lang w:val="es-ES" w:eastAsia="es-ES"/>
        </w:rPr>
      </w:pPr>
      <w:bookmarkStart w:id="0" w:name="_Hlk143780582"/>
      <w:bookmarkStart w:id="1" w:name="_Hlk202875225"/>
      <w:bookmarkStart w:id="2" w:name="_Hlk203032812"/>
      <w:bookmarkStart w:id="3" w:name="_Hlk204367265"/>
      <w:bookmarkStart w:id="4" w:name="_Hlk206116713"/>
      <w:r w:rsidRPr="005E22BB">
        <w:rPr>
          <w:rFonts w:ascii="Verdana" w:eastAsia="Arial" w:hAnsi="Verdana" w:cs="Arial"/>
          <w:b/>
          <w:bCs/>
          <w:lang w:val="es-ES" w:eastAsia="es-ES"/>
        </w:rPr>
        <w:t xml:space="preserve">CONTRATO DE PRESTACIÓN DE SERVICIOS – Concepto </w:t>
      </w:r>
    </w:p>
    <w:p w14:paraId="6174F1D0" w14:textId="5C6E3FFE" w:rsidR="005E22BB" w:rsidRPr="00DF3A5F" w:rsidRDefault="005E22BB" w:rsidP="005E22BB">
      <w:pPr>
        <w:spacing w:after="0" w:line="240" w:lineRule="auto"/>
        <w:jc w:val="both"/>
        <w:rPr>
          <w:rFonts w:ascii="Verdana" w:eastAsia="Arial" w:hAnsi="Verdana" w:cs="Arial"/>
          <w:sz w:val="20"/>
          <w:szCs w:val="20"/>
          <w:lang w:val="es-ES" w:eastAsia="es-ES"/>
        </w:rPr>
      </w:pPr>
      <w:r w:rsidRPr="00DF3A5F">
        <w:rPr>
          <w:rFonts w:ascii="Verdana" w:eastAsia="Calibri" w:hAnsi="Verdana" w:cs="Arial"/>
          <w:color w:val="000000"/>
          <w:sz w:val="20"/>
          <w:szCs w:val="20"/>
          <w:lang w:eastAsia="es-ES"/>
        </w:rPr>
        <w:t>El contrato de prestación de servicios es uno de los tipos contractuales consagrados en el Estatuto General de Contratación de la Administración Pública – en adelante EGCAP</w:t>
      </w:r>
      <w:r w:rsidR="00DF3A5F">
        <w:rPr>
          <w:rFonts w:ascii="Verdana" w:eastAsia="Calibri" w:hAnsi="Verdana" w:cs="Arial"/>
          <w:color w:val="000000"/>
          <w:sz w:val="20"/>
          <w:szCs w:val="20"/>
          <w:lang w:eastAsia="es-ES"/>
        </w:rPr>
        <w:t>-</w:t>
      </w:r>
      <w:r w:rsidRPr="00DF3A5F">
        <w:rPr>
          <w:rFonts w:ascii="Verdana" w:eastAsia="Calibri" w:hAnsi="Verdana" w:cs="Arial"/>
          <w:color w:val="000000"/>
          <w:sz w:val="20"/>
          <w:szCs w:val="20"/>
          <w:lang w:eastAsia="es-ES"/>
        </w:rPr>
        <w:t>, que pueden celebrar las Entidades Estatales. Se trata de un contrato típico, ya que se encuentra definido en la ley</w:t>
      </w:r>
      <w:r w:rsidRPr="00DF3A5F">
        <w:rPr>
          <w:rFonts w:ascii="Verdana" w:eastAsia="Calibri" w:hAnsi="Verdana" w:cs="Arial"/>
          <w:color w:val="000000"/>
          <w:sz w:val="20"/>
          <w:szCs w:val="20"/>
          <w:lang w:eastAsia="es-ES"/>
        </w:rPr>
        <w:t>.</w:t>
      </w:r>
    </w:p>
    <w:p w14:paraId="2FF7E399" w14:textId="77777777" w:rsidR="005E22BB" w:rsidRDefault="005E22BB" w:rsidP="005E22BB">
      <w:pPr>
        <w:spacing w:after="0" w:line="240" w:lineRule="auto"/>
        <w:jc w:val="both"/>
        <w:rPr>
          <w:rFonts w:ascii="Verdana" w:eastAsia="Arial" w:hAnsi="Verdana" w:cs="Arial"/>
          <w:b/>
          <w:bCs/>
          <w:lang w:val="es-ES" w:eastAsia="es-ES"/>
        </w:rPr>
      </w:pPr>
    </w:p>
    <w:p w14:paraId="1281083A" w14:textId="499338D3" w:rsidR="00745C23" w:rsidRDefault="00745C23" w:rsidP="005E22BB">
      <w:pPr>
        <w:jc w:val="both"/>
        <w:rPr>
          <w:rFonts w:ascii="Verdana" w:eastAsia="Arial" w:hAnsi="Verdana" w:cs="Arial"/>
          <w:b/>
          <w:bCs/>
          <w:lang w:val="es-ES" w:eastAsia="es-ES"/>
        </w:rPr>
      </w:pPr>
      <w:r w:rsidRPr="005E22BB">
        <w:rPr>
          <w:rFonts w:ascii="Verdana" w:eastAsia="Arial" w:hAnsi="Verdana" w:cs="Arial"/>
          <w:b/>
          <w:bCs/>
          <w:lang w:val="es-ES" w:eastAsia="es-ES"/>
        </w:rPr>
        <w:t xml:space="preserve">CONTRATO DE PRESTACIÓN DE SERVICIOS – Requisitos y límites para su celebración </w:t>
      </w:r>
    </w:p>
    <w:p w14:paraId="4300722C" w14:textId="77777777" w:rsidR="005E22BB" w:rsidRPr="005E22BB" w:rsidRDefault="005E22BB" w:rsidP="005E22BB">
      <w:pPr>
        <w:spacing w:after="0" w:line="240" w:lineRule="auto"/>
        <w:jc w:val="both"/>
        <w:rPr>
          <w:rFonts w:ascii="Verdana" w:eastAsia="Calibri" w:hAnsi="Verdana" w:cs="Arial"/>
          <w:color w:val="000000"/>
          <w:sz w:val="20"/>
          <w:szCs w:val="20"/>
          <w:lang w:eastAsia="es-ES"/>
        </w:rPr>
      </w:pPr>
      <w:r w:rsidRPr="005E22BB">
        <w:rPr>
          <w:rFonts w:ascii="Verdana" w:eastAsia="Arial" w:hAnsi="Verdana" w:cs="Arial"/>
          <w:color w:val="000000" w:themeColor="text1"/>
          <w:sz w:val="20"/>
          <w:szCs w:val="20"/>
          <w:lang w:val="es-ES" w:eastAsia="es-ES"/>
        </w:rPr>
        <w:t>i</w:t>
      </w:r>
      <w:r w:rsidRPr="005E22BB">
        <w:rPr>
          <w:rFonts w:ascii="Verdana" w:eastAsia="Calibri" w:hAnsi="Verdana" w:cs="Arial"/>
          <w:color w:val="000000"/>
          <w:sz w:val="20"/>
          <w:szCs w:val="20"/>
          <w:lang w:eastAsia="es-ES"/>
        </w:rPr>
        <w:t>) Solo puede celebrarse para realizar “actividades relacionadas con la administración o funcionamiento de la entidad”, es decir, que hagan parte de su giro ordinario o quehacer cotidiano.</w:t>
      </w:r>
    </w:p>
    <w:p w14:paraId="0328CE57" w14:textId="7BFAEE19" w:rsidR="005E22BB" w:rsidRPr="005E22BB" w:rsidRDefault="005E22BB" w:rsidP="005E22BB">
      <w:pPr>
        <w:spacing w:after="0" w:line="240" w:lineRule="auto"/>
        <w:jc w:val="both"/>
        <w:rPr>
          <w:rFonts w:ascii="Verdana" w:eastAsia="Calibri" w:hAnsi="Verdana" w:cs="Arial"/>
          <w:color w:val="000000"/>
          <w:sz w:val="20"/>
          <w:szCs w:val="20"/>
          <w:lang w:eastAsia="es-ES"/>
        </w:rPr>
      </w:pPr>
      <w:proofErr w:type="spellStart"/>
      <w:r w:rsidRPr="005E22BB">
        <w:rPr>
          <w:rFonts w:ascii="Verdana" w:eastAsia="Calibri" w:hAnsi="Verdana" w:cs="Arial"/>
          <w:color w:val="000000"/>
          <w:sz w:val="20"/>
          <w:szCs w:val="20"/>
          <w:lang w:eastAsia="es-ES"/>
        </w:rPr>
        <w:t>ii</w:t>
      </w:r>
      <w:proofErr w:type="spellEnd"/>
      <w:r w:rsidRPr="005E22BB">
        <w:rPr>
          <w:rFonts w:ascii="Verdana" w:eastAsia="Calibri" w:hAnsi="Verdana" w:cs="Arial"/>
          <w:color w:val="000000"/>
          <w:sz w:val="20"/>
          <w:szCs w:val="20"/>
          <w:lang w:eastAsia="es-ES"/>
        </w:rPr>
        <w:t>) Admite que se suscriba tanto con personas naturales como con personas jurídicas. Se requiere que la Entidad Estatal justifique en los estudios previos que las actividades que buscan encomendarse a aquella “no puedan realizarse con personal de planta o requieran conocimientos especializados”</w:t>
      </w:r>
      <w:r w:rsidRPr="005E22BB">
        <w:rPr>
          <w:rFonts w:ascii="Verdana" w:eastAsia="Calibri" w:hAnsi="Verdana" w:cs="Arial"/>
          <w:color w:val="000000"/>
          <w:sz w:val="20"/>
          <w:szCs w:val="20"/>
          <w:lang w:eastAsia="es-ES"/>
        </w:rPr>
        <w:t>.</w:t>
      </w:r>
      <w:r w:rsidRPr="005E22BB">
        <w:rPr>
          <w:rFonts w:ascii="Verdana" w:eastAsia="Calibri" w:hAnsi="Verdana" w:cs="Arial"/>
          <w:color w:val="000000"/>
          <w:sz w:val="20"/>
          <w:szCs w:val="20"/>
          <w:vertAlign w:val="superscript"/>
          <w:lang w:eastAsia="es-ES"/>
        </w:rPr>
        <w:t xml:space="preserve"> </w:t>
      </w:r>
    </w:p>
    <w:p w14:paraId="4F80969A" w14:textId="1584A2D3" w:rsidR="005E22BB" w:rsidRPr="005E22BB" w:rsidRDefault="005E22BB" w:rsidP="005E22BB">
      <w:pPr>
        <w:spacing w:after="0" w:line="240" w:lineRule="auto"/>
        <w:jc w:val="both"/>
        <w:rPr>
          <w:rFonts w:ascii="Verdana" w:eastAsia="Calibri" w:hAnsi="Verdana" w:cs="Arial"/>
          <w:color w:val="000000"/>
          <w:sz w:val="20"/>
          <w:szCs w:val="20"/>
          <w:lang w:eastAsia="es-ES"/>
        </w:rPr>
      </w:pPr>
      <w:proofErr w:type="spellStart"/>
      <w:r w:rsidRPr="005E22BB">
        <w:rPr>
          <w:rFonts w:ascii="Verdana" w:eastAsia="Calibri" w:hAnsi="Verdana" w:cs="Arial"/>
          <w:color w:val="000000"/>
          <w:sz w:val="20"/>
          <w:szCs w:val="20"/>
          <w:lang w:eastAsia="es-ES"/>
        </w:rPr>
        <w:t>iii</w:t>
      </w:r>
      <w:proofErr w:type="spellEnd"/>
      <w:r w:rsidRPr="005E22BB">
        <w:rPr>
          <w:rFonts w:ascii="Verdana" w:eastAsia="Calibri" w:hAnsi="Verdana" w:cs="Arial"/>
          <w:color w:val="000000"/>
          <w:sz w:val="20"/>
          <w:szCs w:val="20"/>
          <w:lang w:eastAsia="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subordinación y dependencia, que es uno de los elementos constitutivos del vínculo laboral. </w:t>
      </w:r>
    </w:p>
    <w:p w14:paraId="6CFEF7C8" w14:textId="6F8F3A3D" w:rsidR="005E22BB" w:rsidRPr="005E22BB" w:rsidRDefault="005E22BB" w:rsidP="005E22BB">
      <w:pPr>
        <w:spacing w:after="0" w:line="240" w:lineRule="auto"/>
        <w:jc w:val="both"/>
        <w:rPr>
          <w:rFonts w:ascii="Verdana" w:eastAsia="Calibri" w:hAnsi="Verdana" w:cs="Arial"/>
          <w:color w:val="000000"/>
          <w:sz w:val="20"/>
          <w:szCs w:val="20"/>
          <w:lang w:eastAsia="es-ES"/>
        </w:rPr>
      </w:pPr>
      <w:r w:rsidRPr="005E22BB">
        <w:rPr>
          <w:rFonts w:ascii="Verdana" w:eastAsia="Calibri" w:hAnsi="Verdana" w:cs="Arial"/>
          <w:color w:val="000000"/>
          <w:sz w:val="20"/>
          <w:szCs w:val="20"/>
          <w:lang w:eastAsia="es-ES"/>
        </w:rPr>
        <w:t>[…]</w:t>
      </w:r>
    </w:p>
    <w:p w14:paraId="74EA3A76" w14:textId="77777777" w:rsidR="005E22BB" w:rsidRDefault="005E22BB" w:rsidP="005E22BB">
      <w:pPr>
        <w:spacing w:after="0" w:line="240" w:lineRule="auto"/>
        <w:jc w:val="both"/>
        <w:rPr>
          <w:rFonts w:ascii="Verdana" w:eastAsia="Calibri" w:hAnsi="Verdana" w:cs="Arial"/>
          <w:color w:val="000000"/>
          <w:sz w:val="20"/>
          <w:szCs w:val="20"/>
          <w:lang w:eastAsia="es-ES"/>
        </w:rPr>
      </w:pPr>
    </w:p>
    <w:p w14:paraId="12F7113B" w14:textId="7295B914" w:rsidR="005E22BB" w:rsidRPr="005E22BB" w:rsidRDefault="005E22BB" w:rsidP="005E22BB">
      <w:pPr>
        <w:spacing w:after="0" w:line="240" w:lineRule="auto"/>
        <w:jc w:val="both"/>
        <w:rPr>
          <w:rFonts w:ascii="Verdana" w:eastAsia="Calibri" w:hAnsi="Verdana" w:cs="Arial"/>
          <w:color w:val="000000"/>
          <w:sz w:val="20"/>
          <w:szCs w:val="20"/>
          <w:lang w:eastAsia="es-ES"/>
        </w:rPr>
      </w:pPr>
      <w:proofErr w:type="spellStart"/>
      <w:r w:rsidRPr="005E22BB">
        <w:rPr>
          <w:rFonts w:ascii="Verdana" w:eastAsia="Calibri" w:hAnsi="Verdana" w:cs="Arial"/>
          <w:color w:val="000000"/>
          <w:sz w:val="20"/>
          <w:szCs w:val="20"/>
          <w:lang w:eastAsia="es-ES"/>
        </w:rPr>
        <w:t>iv</w:t>
      </w:r>
      <w:proofErr w:type="spellEnd"/>
      <w:r w:rsidRPr="005E22BB">
        <w:rPr>
          <w:rFonts w:ascii="Verdana" w:eastAsia="Calibri" w:hAnsi="Verdana" w:cs="Arial"/>
          <w:color w:val="000000"/>
          <w:sz w:val="20"/>
          <w:szCs w:val="20"/>
          <w:lang w:eastAsia="es-ES"/>
        </w:rPr>
        <w:t xml:space="preserve">) Deben ser temporales. Así lo señaló la Sentencia de Unificación Jurisprudencial de 09 de septiembre de 2021, proferida por el Consejo de Estado, frente a la duración del contrato de prestación de servicios. En dicha providencia señaló que, solo puede celebrarse por un “término estrictamente indispensable”. </w:t>
      </w:r>
    </w:p>
    <w:p w14:paraId="7E004E4A" w14:textId="77777777" w:rsidR="005E22BB" w:rsidRDefault="005E22BB" w:rsidP="005E22BB">
      <w:pPr>
        <w:spacing w:after="0" w:line="240" w:lineRule="auto"/>
        <w:jc w:val="both"/>
        <w:rPr>
          <w:rFonts w:ascii="Verdana" w:eastAsia="Calibri" w:hAnsi="Verdana" w:cs="Arial"/>
          <w:color w:val="000000"/>
          <w:sz w:val="20"/>
          <w:szCs w:val="20"/>
          <w:lang w:eastAsia="es-ES"/>
        </w:rPr>
      </w:pPr>
    </w:p>
    <w:p w14:paraId="1AD9110F" w14:textId="58D1A6FE" w:rsidR="005E22BB" w:rsidRPr="005E22BB" w:rsidRDefault="005E22BB" w:rsidP="005E22BB">
      <w:pPr>
        <w:spacing w:after="0" w:line="240" w:lineRule="auto"/>
        <w:jc w:val="both"/>
        <w:rPr>
          <w:rFonts w:ascii="Verdana" w:eastAsia="Calibri" w:hAnsi="Verdana" w:cs="Arial"/>
          <w:color w:val="000000"/>
          <w:sz w:val="20"/>
          <w:szCs w:val="20"/>
          <w:lang w:eastAsia="es-ES"/>
        </w:rPr>
      </w:pPr>
      <w:r w:rsidRPr="005E22BB">
        <w:rPr>
          <w:rFonts w:ascii="Verdana" w:eastAsia="Calibri" w:hAnsi="Verdana" w:cs="Arial"/>
          <w:color w:val="000000"/>
          <w:sz w:val="20"/>
          <w:szCs w:val="20"/>
          <w:lang w:eastAsia="es-ES"/>
        </w:rPr>
        <w:t>[…]</w:t>
      </w:r>
    </w:p>
    <w:p w14:paraId="5D7B746E" w14:textId="77777777" w:rsidR="005E22BB" w:rsidRDefault="005E22BB" w:rsidP="005E22BB">
      <w:pPr>
        <w:spacing w:after="0" w:line="240" w:lineRule="auto"/>
        <w:jc w:val="both"/>
        <w:rPr>
          <w:rFonts w:ascii="Verdana" w:eastAsia="Calibri" w:hAnsi="Verdana" w:cs="Arial"/>
          <w:color w:val="000000"/>
          <w:sz w:val="20"/>
          <w:szCs w:val="20"/>
          <w:lang w:eastAsia="es-ES"/>
        </w:rPr>
      </w:pPr>
    </w:p>
    <w:p w14:paraId="7B9E89F0" w14:textId="6CC85BED" w:rsidR="005E22BB" w:rsidRPr="005E22BB" w:rsidRDefault="005E22BB" w:rsidP="005E22BB">
      <w:pPr>
        <w:spacing w:after="0" w:line="240" w:lineRule="auto"/>
        <w:jc w:val="both"/>
        <w:rPr>
          <w:rFonts w:ascii="Verdana" w:eastAsia="Calibri" w:hAnsi="Verdana" w:cs="Arial"/>
          <w:color w:val="000000"/>
          <w:sz w:val="20"/>
          <w:szCs w:val="20"/>
          <w:lang w:eastAsia="es-ES"/>
        </w:rPr>
      </w:pPr>
      <w:r w:rsidRPr="005E22BB">
        <w:rPr>
          <w:rFonts w:ascii="Verdana" w:eastAsia="Calibri" w:hAnsi="Verdana" w:cs="Arial"/>
          <w:color w:val="000000"/>
          <w:sz w:val="20"/>
          <w:szCs w:val="20"/>
          <w:lang w:eastAsia="es-ES"/>
        </w:rPr>
        <w:t xml:space="preserve">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profesionales con las otras dos especies del género en el cual se ubican radica en su contenido intelectual intangible y, al mismo tiempo, en la formación profesional que se exige para desempeñar la labor. </w:t>
      </w:r>
    </w:p>
    <w:p w14:paraId="65BE823F" w14:textId="77777777" w:rsidR="005E22BB" w:rsidRDefault="005E22BB" w:rsidP="005E22BB">
      <w:pPr>
        <w:spacing w:after="0" w:line="240" w:lineRule="auto"/>
        <w:jc w:val="both"/>
        <w:rPr>
          <w:rFonts w:ascii="Verdana" w:eastAsia="Calibri" w:hAnsi="Verdana" w:cs="Arial"/>
          <w:color w:val="000000"/>
          <w:sz w:val="20"/>
          <w:szCs w:val="20"/>
          <w:lang w:eastAsia="es-ES"/>
        </w:rPr>
      </w:pPr>
    </w:p>
    <w:p w14:paraId="41A76E38" w14:textId="642E7800" w:rsidR="005E22BB" w:rsidRPr="005E22BB" w:rsidRDefault="005E22BB" w:rsidP="005E22BB">
      <w:pPr>
        <w:spacing w:after="0" w:line="240" w:lineRule="auto"/>
        <w:jc w:val="both"/>
        <w:rPr>
          <w:rFonts w:ascii="Verdana" w:eastAsia="Arial" w:hAnsi="Verdana" w:cs="Arial"/>
          <w:color w:val="000000"/>
          <w:sz w:val="20"/>
          <w:szCs w:val="20"/>
          <w:lang w:val="es-ES" w:eastAsia="es-ES"/>
        </w:rPr>
      </w:pPr>
      <w:r w:rsidRPr="005E22BB">
        <w:rPr>
          <w:rFonts w:ascii="Verdana" w:eastAsia="Calibri" w:hAnsi="Verdana" w:cs="Arial"/>
          <w:color w:val="000000"/>
          <w:sz w:val="20"/>
          <w:szCs w:val="20"/>
          <w:lang w:eastAsia="es-ES"/>
        </w:rPr>
        <w:t>[…]</w:t>
      </w:r>
    </w:p>
    <w:p w14:paraId="4B0D3FBD" w14:textId="77777777" w:rsidR="005E22BB" w:rsidRDefault="005E22BB" w:rsidP="005E22BB">
      <w:pPr>
        <w:spacing w:after="0" w:line="240" w:lineRule="auto"/>
        <w:jc w:val="both"/>
        <w:rPr>
          <w:rFonts w:ascii="Verdana" w:eastAsia="Arial" w:hAnsi="Verdana" w:cs="Arial"/>
          <w:color w:val="000000"/>
          <w:sz w:val="20"/>
          <w:szCs w:val="20"/>
          <w:lang w:val="es-ES" w:eastAsia="es-ES"/>
        </w:rPr>
      </w:pPr>
    </w:p>
    <w:p w14:paraId="1267977E" w14:textId="58979A74" w:rsidR="005E22BB" w:rsidRPr="005E22BB" w:rsidRDefault="005E22BB" w:rsidP="005E22BB">
      <w:pPr>
        <w:spacing w:after="0" w:line="240" w:lineRule="auto"/>
        <w:jc w:val="both"/>
        <w:rPr>
          <w:rFonts w:ascii="Verdana" w:eastAsia="Arial" w:hAnsi="Verdana" w:cs="Arial"/>
          <w:color w:val="000000"/>
          <w:sz w:val="20"/>
          <w:szCs w:val="20"/>
          <w:lang w:val="es-ES" w:eastAsia="es-ES"/>
        </w:rPr>
      </w:pPr>
      <w:r w:rsidRPr="005E22BB">
        <w:rPr>
          <w:rFonts w:ascii="Verdana" w:eastAsia="Arial" w:hAnsi="Verdana" w:cs="Arial"/>
          <w:color w:val="000000"/>
          <w:sz w:val="20"/>
          <w:szCs w:val="20"/>
          <w:lang w:val="es-ES" w:eastAsia="es-ES"/>
        </w:rPr>
        <w:t xml:space="preserve">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 </w:t>
      </w:r>
    </w:p>
    <w:p w14:paraId="10CEDB86" w14:textId="77334F77" w:rsidR="005E22BB" w:rsidRPr="005E22BB" w:rsidRDefault="005E22BB" w:rsidP="005E22BB">
      <w:pPr>
        <w:spacing w:after="0" w:line="240" w:lineRule="auto"/>
        <w:jc w:val="both"/>
        <w:rPr>
          <w:rFonts w:ascii="Verdana" w:eastAsia="Arial" w:hAnsi="Verdana" w:cs="Arial"/>
          <w:color w:val="000000"/>
          <w:sz w:val="20"/>
          <w:szCs w:val="20"/>
          <w:lang w:val="es-ES" w:eastAsia="es-ES"/>
        </w:rPr>
      </w:pPr>
      <w:r w:rsidRPr="005E22BB">
        <w:rPr>
          <w:rFonts w:ascii="Verdana" w:eastAsia="Arial" w:hAnsi="Verdana" w:cs="Arial"/>
          <w:color w:val="000000"/>
          <w:sz w:val="20"/>
          <w:szCs w:val="20"/>
          <w:lang w:val="es-ES" w:eastAsia="es-ES"/>
        </w:rPr>
        <w:lastRenderedPageBreak/>
        <w:t>[…]</w:t>
      </w:r>
    </w:p>
    <w:p w14:paraId="4A94FE09" w14:textId="77777777" w:rsidR="005E22BB" w:rsidRDefault="005E22BB" w:rsidP="005E22BB">
      <w:pPr>
        <w:spacing w:after="0" w:line="240" w:lineRule="auto"/>
        <w:jc w:val="both"/>
        <w:rPr>
          <w:rFonts w:ascii="Verdana" w:eastAsia="Arial" w:hAnsi="Verdana" w:cs="Arial"/>
          <w:color w:val="000000"/>
          <w:sz w:val="20"/>
          <w:szCs w:val="20"/>
          <w:lang w:val="es-ES" w:eastAsia="es-ES"/>
        </w:rPr>
      </w:pPr>
    </w:p>
    <w:p w14:paraId="2B2B7113" w14:textId="56530934" w:rsidR="005E22BB" w:rsidRPr="005E22BB" w:rsidRDefault="005E22BB" w:rsidP="005E22BB">
      <w:pPr>
        <w:spacing w:after="0" w:line="240" w:lineRule="auto"/>
        <w:jc w:val="both"/>
        <w:rPr>
          <w:rFonts w:ascii="Verdana" w:eastAsia="Arial" w:hAnsi="Verdana" w:cs="Arial"/>
          <w:color w:val="000000"/>
          <w:sz w:val="20"/>
          <w:szCs w:val="20"/>
          <w:lang w:val="es-ES" w:eastAsia="es-ES"/>
        </w:rPr>
      </w:pPr>
      <w:proofErr w:type="spellStart"/>
      <w:r w:rsidRPr="005E22BB">
        <w:rPr>
          <w:rFonts w:ascii="Verdana" w:eastAsia="Arial" w:hAnsi="Verdana" w:cs="Arial"/>
          <w:color w:val="000000"/>
          <w:sz w:val="20"/>
          <w:szCs w:val="20"/>
          <w:lang w:val="es-ES" w:eastAsia="es-ES"/>
        </w:rPr>
        <w:t>vii</w:t>
      </w:r>
      <w:proofErr w:type="spellEnd"/>
      <w:r w:rsidRPr="005E22BB">
        <w:rPr>
          <w:rFonts w:ascii="Verdana" w:eastAsia="Arial" w:hAnsi="Verdana" w:cs="Arial"/>
          <w:color w:val="000000"/>
          <w:sz w:val="20"/>
          <w:szCs w:val="20"/>
          <w:lang w:val="es-ES" w:eastAsia="es-ES"/>
        </w:rPr>
        <w:t xml:space="preserve">) Para su celebración no se requiere en algunos casos la expedición del acto administrativo de justificación de la contratación directa. </w:t>
      </w:r>
    </w:p>
    <w:p w14:paraId="3C9DB780" w14:textId="71294BE7" w:rsidR="005E22BB" w:rsidRPr="005E22BB" w:rsidRDefault="005E22BB" w:rsidP="005E22BB">
      <w:pPr>
        <w:spacing w:after="0" w:line="240" w:lineRule="auto"/>
        <w:jc w:val="both"/>
        <w:rPr>
          <w:rFonts w:ascii="Verdana" w:eastAsia="Arial" w:hAnsi="Verdana" w:cs="Arial"/>
          <w:color w:val="000000"/>
          <w:sz w:val="20"/>
          <w:szCs w:val="20"/>
          <w:lang w:val="es-ES" w:eastAsia="es-ES"/>
        </w:rPr>
      </w:pPr>
      <w:proofErr w:type="spellStart"/>
      <w:r w:rsidRPr="005E22BB">
        <w:rPr>
          <w:rFonts w:ascii="Verdana" w:eastAsia="Arial" w:hAnsi="Verdana" w:cs="Arial"/>
          <w:color w:val="000000"/>
          <w:sz w:val="20"/>
          <w:szCs w:val="20"/>
          <w:lang w:val="es-ES" w:eastAsia="es-ES"/>
        </w:rPr>
        <w:t>viii</w:t>
      </w:r>
      <w:proofErr w:type="spellEnd"/>
      <w:r w:rsidRPr="005E22BB">
        <w:rPr>
          <w:rFonts w:ascii="Verdana" w:eastAsia="Arial" w:hAnsi="Verdana" w:cs="Arial"/>
          <w:color w:val="000000"/>
          <w:sz w:val="20"/>
          <w:szCs w:val="2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p>
    <w:p w14:paraId="09957BED" w14:textId="5851BE79" w:rsidR="005E22BB" w:rsidRPr="005E22BB" w:rsidRDefault="005E22BB" w:rsidP="005E22BB">
      <w:pPr>
        <w:spacing w:after="0" w:line="240" w:lineRule="auto"/>
        <w:jc w:val="both"/>
        <w:rPr>
          <w:rFonts w:ascii="Verdana" w:eastAsia="Arial" w:hAnsi="Verdana" w:cs="Arial"/>
          <w:color w:val="000000"/>
          <w:sz w:val="20"/>
          <w:szCs w:val="20"/>
          <w:lang w:val="es-ES" w:eastAsia="es-ES"/>
        </w:rPr>
      </w:pPr>
      <w:proofErr w:type="spellStart"/>
      <w:r w:rsidRPr="005E22BB">
        <w:rPr>
          <w:rFonts w:ascii="Verdana" w:eastAsia="Arial" w:hAnsi="Verdana" w:cs="Arial"/>
          <w:color w:val="000000"/>
          <w:sz w:val="20"/>
          <w:szCs w:val="20"/>
          <w:lang w:val="es-ES" w:eastAsia="es-ES"/>
        </w:rPr>
        <w:t>ix</w:t>
      </w:r>
      <w:proofErr w:type="spellEnd"/>
      <w:r w:rsidRPr="005E22BB">
        <w:rPr>
          <w:rFonts w:ascii="Verdana" w:eastAsia="Arial" w:hAnsi="Verdana" w:cs="Arial"/>
          <w:color w:val="000000"/>
          <w:sz w:val="20"/>
          <w:szCs w:val="20"/>
          <w:lang w:val="es-ES" w:eastAsia="es-ES"/>
        </w:rPr>
        <w:t>) No es obligatoria la liquidación, pues así lo estableció el artículo 217 del Decreto 019 de 2012, que modificó el artículo 60 de la Ley 80 de 1993.</w:t>
      </w:r>
    </w:p>
    <w:p w14:paraId="46BFDF15" w14:textId="530514FA" w:rsidR="005E22BB" w:rsidRPr="005E22BB" w:rsidRDefault="005E22BB" w:rsidP="005E22BB">
      <w:pPr>
        <w:spacing w:after="0" w:line="240" w:lineRule="auto"/>
        <w:jc w:val="both"/>
        <w:rPr>
          <w:rFonts w:ascii="Verdana" w:eastAsia="Arial" w:hAnsi="Verdana" w:cs="Arial"/>
          <w:color w:val="000000"/>
          <w:sz w:val="20"/>
          <w:szCs w:val="20"/>
          <w:lang w:val="es-ES" w:eastAsia="es-ES"/>
        </w:rPr>
      </w:pPr>
      <w:r w:rsidRPr="005E22BB">
        <w:rPr>
          <w:rFonts w:ascii="Verdana" w:eastAsia="Arial" w:hAnsi="Verdana" w:cs="Arial"/>
          <w:color w:val="000000"/>
          <w:sz w:val="20"/>
          <w:szCs w:val="20"/>
          <w:lang w:val="es-ES" w:eastAsia="es-ES"/>
        </w:rPr>
        <w:t>x) Para su celebración no se requiere inscripción en el Registro Único de Proponentes (RUP), según lo prevé el artículo 6 de la Ley 1150 de 2007.</w:t>
      </w:r>
    </w:p>
    <w:p w14:paraId="49DDF402" w14:textId="60F41EDA" w:rsidR="005E22BB" w:rsidRPr="005E22BB" w:rsidRDefault="005E22BB" w:rsidP="005E22BB">
      <w:pPr>
        <w:spacing w:after="0" w:line="240" w:lineRule="auto"/>
        <w:jc w:val="both"/>
        <w:rPr>
          <w:rFonts w:ascii="Verdana" w:eastAsia="Arial" w:hAnsi="Verdana" w:cs="Arial"/>
          <w:color w:val="000000"/>
          <w:sz w:val="20"/>
          <w:szCs w:val="20"/>
          <w:lang w:val="es-ES" w:eastAsia="es-ES"/>
        </w:rPr>
      </w:pPr>
      <w:r w:rsidRPr="005E22BB">
        <w:rPr>
          <w:rFonts w:ascii="Verdana" w:eastAsia="Arial" w:hAnsi="Verdana" w:cs="Arial"/>
          <w:color w:val="000000"/>
          <w:sz w:val="20"/>
          <w:szCs w:val="20"/>
          <w:lang w:val="es-ES" w:eastAsia="es-ES"/>
        </w:rPr>
        <w:t>xi) En ellos no son necesarias las garantías.</w:t>
      </w:r>
    </w:p>
    <w:p w14:paraId="62E6C039" w14:textId="77777777" w:rsidR="005E22BB" w:rsidRPr="005E22BB" w:rsidRDefault="005E22BB" w:rsidP="005E22BB">
      <w:pPr>
        <w:spacing w:after="0" w:line="240" w:lineRule="auto"/>
        <w:jc w:val="both"/>
        <w:rPr>
          <w:rFonts w:ascii="Verdana" w:eastAsia="Arial" w:hAnsi="Verdana" w:cs="Arial"/>
          <w:color w:val="000000"/>
          <w:sz w:val="20"/>
          <w:szCs w:val="20"/>
          <w:lang w:val="es-ES" w:eastAsia="es-ES"/>
        </w:rPr>
      </w:pPr>
      <w:proofErr w:type="spellStart"/>
      <w:r w:rsidRPr="005E22BB">
        <w:rPr>
          <w:rFonts w:ascii="Verdana" w:eastAsia="Arial" w:hAnsi="Verdana" w:cs="Arial"/>
          <w:color w:val="000000"/>
          <w:sz w:val="20"/>
          <w:szCs w:val="20"/>
          <w:lang w:val="es-ES_tradnl" w:eastAsia="es-ES"/>
        </w:rPr>
        <w:t>xii</w:t>
      </w:r>
      <w:proofErr w:type="spellEnd"/>
      <w:r w:rsidRPr="005E22BB">
        <w:rPr>
          <w:rFonts w:ascii="Verdana" w:eastAsia="Arial" w:hAnsi="Verdana" w:cs="Arial"/>
          <w:color w:val="000000"/>
          <w:sz w:val="20"/>
          <w:szCs w:val="20"/>
          <w:lang w:val="es-ES_tradnl" w:eastAsia="es-ES"/>
        </w:rPr>
        <w:t xml:space="preserve">) </w:t>
      </w:r>
      <w:r w:rsidRPr="005E22BB">
        <w:rPr>
          <w:rFonts w:ascii="Verdana" w:eastAsia="Arial" w:hAnsi="Verdana" w:cs="Arial"/>
          <w:color w:val="000000"/>
          <w:sz w:val="20"/>
          <w:szCs w:val="20"/>
          <w:lang w:val="es-ES" w:eastAsia="es-ES"/>
        </w:rPr>
        <w:t>Como los demás contratos estatales, se trata de un contrato solemne que debe constar por escrito y debe ser publicado en el SECOP.</w:t>
      </w:r>
    </w:p>
    <w:p w14:paraId="31DC4A83" w14:textId="77777777" w:rsidR="005E22BB" w:rsidRPr="005E22BB" w:rsidRDefault="005E22BB" w:rsidP="005E22BB">
      <w:pPr>
        <w:spacing w:after="0" w:line="240" w:lineRule="auto"/>
        <w:jc w:val="both"/>
        <w:rPr>
          <w:rFonts w:ascii="Verdana" w:eastAsia="Arial" w:hAnsi="Verdana" w:cs="Arial"/>
          <w:b/>
          <w:bCs/>
          <w:lang w:val="es-ES" w:eastAsia="es-ES"/>
        </w:rPr>
      </w:pPr>
    </w:p>
    <w:p w14:paraId="091EDA14" w14:textId="77777777" w:rsidR="00745C23" w:rsidRPr="005E22BB" w:rsidRDefault="00745C23" w:rsidP="005E22BB">
      <w:pPr>
        <w:spacing w:after="0" w:line="240" w:lineRule="auto"/>
        <w:jc w:val="both"/>
        <w:rPr>
          <w:rFonts w:ascii="Verdana" w:eastAsia="Arial" w:hAnsi="Verdana" w:cs="Arial"/>
          <w:b/>
          <w:bCs/>
          <w:lang w:val="es-MX" w:eastAsia="es-ES"/>
        </w:rPr>
      </w:pPr>
      <w:r w:rsidRPr="005E22BB">
        <w:rPr>
          <w:rFonts w:ascii="Verdana" w:eastAsia="Arial" w:hAnsi="Verdana" w:cs="Arial"/>
          <w:b/>
          <w:bCs/>
          <w:lang w:val="es-MX" w:eastAsia="es-ES"/>
        </w:rPr>
        <w:t xml:space="preserve">CONTRATO DE PRESTACIÓN DE SERVICIOS – Doble erogación presupuestal – Prohibición – No es aplicable </w:t>
      </w:r>
    </w:p>
    <w:p w14:paraId="456E0606" w14:textId="77777777" w:rsidR="005E22BB" w:rsidRPr="00DF3A5F" w:rsidRDefault="005E22BB" w:rsidP="00DF3A5F">
      <w:pPr>
        <w:spacing w:after="0" w:line="240" w:lineRule="auto"/>
        <w:jc w:val="both"/>
        <w:rPr>
          <w:rFonts w:ascii="Verdana" w:eastAsia="Arial" w:hAnsi="Verdana" w:cs="Arial"/>
          <w:b/>
          <w:bCs/>
          <w:sz w:val="20"/>
          <w:szCs w:val="20"/>
          <w:lang w:val="es-ES" w:eastAsia="es-ES"/>
        </w:rPr>
      </w:pPr>
    </w:p>
    <w:p w14:paraId="6BDAA7E9" w14:textId="10C22108" w:rsidR="00DF3A5F" w:rsidRPr="00DF3A5F" w:rsidRDefault="00DF3A5F" w:rsidP="00DF3A5F">
      <w:pPr>
        <w:spacing w:after="0" w:line="240" w:lineRule="auto"/>
        <w:jc w:val="both"/>
        <w:rPr>
          <w:rFonts w:ascii="Verdana" w:eastAsia="Arial" w:hAnsi="Verdana" w:cs="Arial"/>
          <w:sz w:val="20"/>
          <w:szCs w:val="20"/>
          <w:lang w:val="es-ES"/>
        </w:rPr>
      </w:pPr>
      <w:r w:rsidRPr="00DF3A5F">
        <w:rPr>
          <w:rFonts w:ascii="Verdana" w:eastAsia="Arial" w:hAnsi="Verdana" w:cs="Arial"/>
          <w:sz w:val="20"/>
          <w:szCs w:val="20"/>
          <w:lang w:val="es-ES"/>
        </w:rPr>
        <w:t>De conformidad con el artículo 128 de la Carta y con la Ley 4 de 1992, la prohibición de recibir doble asignación está directamente relacionada con las personas que ejercen empleos públicos</w:t>
      </w:r>
      <w:r w:rsidRPr="00DF3A5F">
        <w:rPr>
          <w:rFonts w:ascii="Verdana" w:eastAsia="Arial" w:hAnsi="Verdana" w:cs="Arial"/>
          <w:sz w:val="20"/>
          <w:szCs w:val="20"/>
          <w:lang w:val="es-ES"/>
        </w:rPr>
        <w:t>.</w:t>
      </w:r>
    </w:p>
    <w:p w14:paraId="503FB669" w14:textId="77777777" w:rsidR="00DF3A5F" w:rsidRDefault="00DF3A5F" w:rsidP="00DF3A5F">
      <w:pPr>
        <w:spacing w:after="0" w:line="240" w:lineRule="auto"/>
        <w:jc w:val="both"/>
        <w:rPr>
          <w:rFonts w:ascii="Verdana" w:eastAsia="Arial" w:hAnsi="Verdana" w:cs="Arial"/>
          <w:sz w:val="20"/>
          <w:szCs w:val="20"/>
          <w:lang w:val="es-ES"/>
        </w:rPr>
      </w:pPr>
    </w:p>
    <w:p w14:paraId="2116CE56" w14:textId="164E2DCC" w:rsidR="00DF3A5F" w:rsidRPr="00DF3A5F" w:rsidRDefault="00DF3A5F" w:rsidP="00DF3A5F">
      <w:pPr>
        <w:spacing w:after="0" w:line="240" w:lineRule="auto"/>
        <w:jc w:val="both"/>
        <w:rPr>
          <w:rFonts w:ascii="Verdana" w:eastAsia="Arial" w:hAnsi="Verdana" w:cs="Arial"/>
          <w:sz w:val="20"/>
          <w:szCs w:val="20"/>
          <w:lang w:val="es-ES"/>
        </w:rPr>
      </w:pPr>
      <w:r w:rsidRPr="00DF3A5F">
        <w:rPr>
          <w:rFonts w:ascii="Verdana" w:eastAsia="Arial" w:hAnsi="Verdana" w:cs="Arial"/>
          <w:sz w:val="20"/>
          <w:szCs w:val="20"/>
          <w:lang w:val="es-ES"/>
        </w:rPr>
        <w:t>[…]</w:t>
      </w:r>
    </w:p>
    <w:p w14:paraId="6767DB1F"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p>
    <w:p w14:paraId="51383BE3"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r w:rsidRPr="00DF3A5F">
        <w:rPr>
          <w:rFonts w:ascii="Verdana" w:eastAsia="Arial" w:hAnsi="Verdana" w:cs="Arial"/>
          <w:sz w:val="20"/>
          <w:szCs w:val="20"/>
          <w:lang w:val="es-ES"/>
        </w:rPr>
        <w:t xml:space="preserve">[…] </w:t>
      </w:r>
      <w:r w:rsidRPr="00DF3A5F">
        <w:rPr>
          <w:rFonts w:ascii="Verdana" w:eastAsia="Arial" w:hAnsi="Verdana" w:cs="Arial"/>
          <w:sz w:val="20"/>
          <w:szCs w:val="20"/>
          <w:lang w:val="es-ES"/>
        </w:rPr>
        <w:t>la prohibición de recibir doble asignación del tesoro público recae sobre los servidores públicos, incluidos los miembros de las corporaciones públicas, donde el término “asignación” comprende los dineros y recursos que provienen del tesoro público, o de empresas o de instituciones en las que tenga parte mayoritaria el Estado, en calidad de pago para retribuir un servicio laboral.</w:t>
      </w:r>
    </w:p>
    <w:p w14:paraId="3CE84519"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p>
    <w:p w14:paraId="6368F84F" w14:textId="35AF91A5"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r w:rsidRPr="00DF3A5F">
        <w:rPr>
          <w:rFonts w:ascii="Verdana" w:eastAsia="Arial" w:hAnsi="Verdana" w:cs="Arial"/>
          <w:sz w:val="20"/>
          <w:szCs w:val="20"/>
          <w:lang w:val="es-ES"/>
        </w:rPr>
        <w:t>De conformidad con lo anterior, y teniendo en cuenta la naturaleza jurídica del contrato de prestación de servicios, la prohibición de percibir doble asignación no es aplicable, pues estos, en virtud del artículo 32 de la Ley 80 de 1993, no comportan una relación laboral, sino que son fruto de la libre autonomía de la voluntad de los contratantes, por consiguiente el contratista no es considerado un servidor público, al no tener un vínculo de subordinación con el Estado, elemento propio de un contrato laboral</w:t>
      </w:r>
      <w:r>
        <w:rPr>
          <w:rFonts w:ascii="Verdana" w:eastAsia="Arial" w:hAnsi="Verdana" w:cs="Arial"/>
          <w:sz w:val="20"/>
          <w:szCs w:val="20"/>
          <w:lang w:val="es-ES"/>
        </w:rPr>
        <w:t>.</w:t>
      </w:r>
    </w:p>
    <w:p w14:paraId="120B68D1"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p>
    <w:p w14:paraId="33AC0C1D"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 xml:space="preserve">[…] </w:t>
      </w:r>
    </w:p>
    <w:p w14:paraId="08560EF3"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val="es-ES"/>
        </w:rPr>
      </w:pPr>
    </w:p>
    <w:p w14:paraId="35632E40" w14:textId="6A598BD3" w:rsidR="00DF3A5F" w:rsidRPr="00DF3A5F" w:rsidRDefault="00DF3A5F" w:rsidP="00DF3A5F">
      <w:pPr>
        <w:widowControl w:val="0"/>
        <w:autoSpaceDE w:val="0"/>
        <w:autoSpaceDN w:val="0"/>
        <w:spacing w:after="0" w:line="240" w:lineRule="auto"/>
        <w:jc w:val="both"/>
        <w:rPr>
          <w:rFonts w:ascii="Verdana" w:eastAsia="Arial" w:hAnsi="Verdana" w:cs="Arial"/>
          <w:sz w:val="20"/>
          <w:szCs w:val="20"/>
          <w:lang w:val="es-ES"/>
        </w:rPr>
      </w:pPr>
      <w:r w:rsidRPr="00DF3A5F">
        <w:rPr>
          <w:rFonts w:ascii="Verdana" w:eastAsia="Arial" w:hAnsi="Verdana" w:cs="Arial"/>
          <w:sz w:val="20"/>
          <w:szCs w:val="20"/>
          <w:lang w:val="es-ES"/>
        </w:rPr>
        <w:t>Por consiguiente, a los contratistas del Estado no les aplica la prohibición del artículo 128 de la Constitución Política, toda vez que no se consideran servidores públicos porque su relación con el Estado está dada en el marco de un negocio jurídico y no en virtud de una relación laboral.</w:t>
      </w:r>
    </w:p>
    <w:p w14:paraId="17FB44F3" w14:textId="77777777" w:rsidR="00DF3A5F" w:rsidRPr="00DF3A5F" w:rsidRDefault="00DF3A5F" w:rsidP="005E22BB">
      <w:pPr>
        <w:jc w:val="both"/>
        <w:rPr>
          <w:rFonts w:ascii="Verdana" w:eastAsia="Arial" w:hAnsi="Verdana" w:cs="Arial"/>
          <w:b/>
          <w:bCs/>
          <w:sz w:val="20"/>
          <w:szCs w:val="20"/>
          <w:lang w:val="es-ES" w:eastAsia="es-ES"/>
        </w:rPr>
      </w:pPr>
    </w:p>
    <w:p w14:paraId="69EB2EE1" w14:textId="6B235483" w:rsidR="00745C23" w:rsidRPr="005E22BB" w:rsidRDefault="00745C23" w:rsidP="005E22BB">
      <w:pPr>
        <w:spacing w:after="0" w:line="240" w:lineRule="auto"/>
        <w:jc w:val="both"/>
        <w:rPr>
          <w:rFonts w:ascii="Verdana" w:eastAsia="Arial" w:hAnsi="Verdana" w:cs="Arial"/>
          <w:b/>
          <w:bCs/>
          <w:lang w:val="es-ES" w:eastAsia="es-ES"/>
        </w:rPr>
      </w:pPr>
      <w:r w:rsidRPr="005E22BB">
        <w:rPr>
          <w:rFonts w:ascii="Verdana" w:eastAsia="Arial" w:hAnsi="Verdana" w:cs="Arial"/>
          <w:b/>
          <w:bCs/>
          <w:lang w:val="es-ES" w:eastAsia="es-ES"/>
        </w:rPr>
        <w:lastRenderedPageBreak/>
        <w:t xml:space="preserve">CONTRATOS DE PRESTACIÓN DE SERVICIOS </w:t>
      </w:r>
      <w:r w:rsidRPr="005E22BB">
        <w:rPr>
          <w:rFonts w:ascii="Verdana" w:eastAsia="Arial" w:hAnsi="Verdana" w:cs="Arial"/>
          <w:b/>
          <w:bCs/>
          <w:color w:val="000000" w:themeColor="text1"/>
          <w:lang w:val="es-MX" w:eastAsia="es-ES"/>
        </w:rPr>
        <w:t xml:space="preserve">– </w:t>
      </w:r>
      <w:r w:rsidRPr="005E22BB">
        <w:rPr>
          <w:rFonts w:ascii="Verdana" w:eastAsia="Arial" w:hAnsi="Verdana" w:cs="Arial"/>
          <w:b/>
          <w:bCs/>
          <w:lang w:val="es-ES" w:eastAsia="es-ES"/>
        </w:rPr>
        <w:t xml:space="preserve">Posibilidad de celebrar varios contratos de forma simultánea </w:t>
      </w:r>
    </w:p>
    <w:p w14:paraId="300F967E" w14:textId="77777777" w:rsidR="005E22BB" w:rsidRDefault="005E22BB" w:rsidP="00DF3A5F">
      <w:pPr>
        <w:spacing w:after="0" w:line="240" w:lineRule="auto"/>
        <w:jc w:val="both"/>
        <w:rPr>
          <w:rFonts w:ascii="Verdana" w:eastAsia="Calibri" w:hAnsi="Verdana" w:cs="Arial"/>
          <w:b/>
          <w:bCs/>
          <w:color w:val="000000"/>
          <w:kern w:val="2"/>
          <w14:ligatures w14:val="standardContextual"/>
        </w:rPr>
      </w:pPr>
    </w:p>
    <w:p w14:paraId="22C8259D" w14:textId="77777777" w:rsidR="00DF3A5F" w:rsidRDefault="00DF3A5F" w:rsidP="00DF3A5F">
      <w:pPr>
        <w:jc w:val="both"/>
        <w:rPr>
          <w:rFonts w:ascii="Verdana" w:eastAsia="Arial" w:hAnsi="Verdana" w:cs="Arial"/>
          <w:sz w:val="20"/>
          <w:szCs w:val="20"/>
          <w:lang w:eastAsia="es-CO"/>
        </w:rPr>
      </w:pPr>
      <w:r w:rsidRPr="00DF3A5F">
        <w:rPr>
          <w:rFonts w:ascii="Verdana" w:eastAsia="Arial" w:hAnsi="Verdana" w:cs="Arial"/>
          <w:sz w:val="20"/>
          <w:szCs w:val="20"/>
          <w:lang w:eastAsia="es-MX"/>
        </w:rPr>
        <w:t>Ahora bien, respecto de la posibilidad de celebrar varios</w:t>
      </w:r>
      <w:r w:rsidRPr="00DF3A5F">
        <w:rPr>
          <w:rFonts w:ascii="Verdana" w:eastAsia="Arial" w:hAnsi="Verdana" w:cs="Arial"/>
          <w:color w:val="000000" w:themeColor="text1"/>
          <w:sz w:val="20"/>
          <w:szCs w:val="20"/>
          <w:lang w:val="es-ES" w:eastAsia="es-ES"/>
        </w:rPr>
        <w:t xml:space="preserve"> contratos de prestación de servicios con la misma entidad, y que además coexistan,</w:t>
      </w:r>
      <w:r w:rsidRPr="00DF3A5F">
        <w:rPr>
          <w:rFonts w:ascii="Verdana" w:eastAsia="Arial" w:hAnsi="Verdana" w:cs="Arial"/>
          <w:b/>
          <w:bCs/>
          <w:color w:val="000000"/>
          <w:sz w:val="20"/>
          <w:szCs w:val="20"/>
          <w:lang w:val="es-ES" w:eastAsia="es-ES"/>
        </w:rPr>
        <w:t xml:space="preserve"> </w:t>
      </w:r>
      <w:r w:rsidRPr="00DF3A5F">
        <w:rPr>
          <w:rFonts w:ascii="Verdana" w:eastAsia="Arial" w:hAnsi="Verdana" w:cs="Arial"/>
          <w:color w:val="000000"/>
          <w:sz w:val="20"/>
          <w:szCs w:val="20"/>
          <w:lang w:val="es-ES" w:eastAsia="es-ES"/>
        </w:rPr>
        <w:t xml:space="preserve">conviene recordar que, en materia de contratación estatal, la capacidad jurídica también configura </w:t>
      </w:r>
      <w:r w:rsidRPr="00DF3A5F">
        <w:rPr>
          <w:rFonts w:ascii="Verdana" w:eastAsia="Arial" w:hAnsi="Verdana" w:cs="Arial"/>
          <w:sz w:val="20"/>
          <w:szCs w:val="20"/>
          <w:lang w:eastAsia="es-CO"/>
        </w:rPr>
        <w:t>un requisito de validez de los contratos, tanto en el régimen de las entidades sujetas al EGCAP como en el de las entidades exceptuadas de aquel</w:t>
      </w:r>
      <w:r>
        <w:rPr>
          <w:rFonts w:ascii="Verdana" w:eastAsia="Arial" w:hAnsi="Verdana" w:cs="Arial"/>
          <w:sz w:val="20"/>
          <w:szCs w:val="20"/>
          <w:lang w:eastAsia="es-CO"/>
        </w:rPr>
        <w:t>.</w:t>
      </w:r>
    </w:p>
    <w:p w14:paraId="31EB82EE" w14:textId="5803BF20" w:rsidR="00745C23" w:rsidRPr="00DF3A5F" w:rsidRDefault="00745C23" w:rsidP="00DF3A5F">
      <w:pPr>
        <w:jc w:val="both"/>
        <w:rPr>
          <w:rFonts w:ascii="Verdana" w:eastAsia="Arial" w:hAnsi="Verdana" w:cs="Arial"/>
          <w:sz w:val="20"/>
          <w:szCs w:val="20"/>
          <w:lang w:eastAsia="es-CO"/>
        </w:rPr>
      </w:pPr>
      <w:r w:rsidRPr="005E22BB">
        <w:rPr>
          <w:rFonts w:ascii="Verdana" w:eastAsia="Calibri" w:hAnsi="Verdana" w:cs="Arial"/>
          <w:b/>
          <w:bCs/>
          <w:color w:val="000000"/>
          <w:kern w:val="2"/>
          <w14:ligatures w14:val="standardContextual"/>
        </w:rPr>
        <w:t xml:space="preserve">INHABILIDADES E INCOMPATIBILIDADES – Concepto </w:t>
      </w:r>
    </w:p>
    <w:p w14:paraId="1186145F"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eastAsia="es-CO"/>
        </w:rPr>
      </w:pPr>
      <w:r w:rsidRPr="00DF3A5F">
        <w:rPr>
          <w:rFonts w:ascii="Verdana" w:eastAsia="Calibri" w:hAnsi="Verdana" w:cs="Arial"/>
          <w:color w:val="000000" w:themeColor="text1"/>
          <w:sz w:val="20"/>
          <w:szCs w:val="20"/>
        </w:rPr>
        <w:t xml:space="preserve">[…] </w:t>
      </w:r>
      <w:r w:rsidRPr="00DF3A5F">
        <w:rPr>
          <w:rFonts w:ascii="Verdana" w:eastAsia="Calibri" w:hAnsi="Verdana" w:cs="Arial"/>
          <w:color w:val="000000" w:themeColor="text1"/>
          <w:sz w:val="20"/>
          <w:szCs w:val="20"/>
        </w:rPr>
        <w:t>conjunto de normas que imponen restricciones para los sujetos que, eventualmente, pretendan participar en los procedimientos de selección o celebrar contratos con las entidades estatales</w:t>
      </w:r>
      <w:r w:rsidRPr="00DF3A5F">
        <w:rPr>
          <w:rFonts w:ascii="Verdana" w:eastAsia="Calibri" w:hAnsi="Verdana" w:cs="Arial"/>
          <w:color w:val="000000" w:themeColor="text1"/>
          <w:sz w:val="20"/>
          <w:szCs w:val="20"/>
          <w:lang w:val="es-ES_tradnl"/>
        </w:rPr>
        <w:t>.</w:t>
      </w:r>
    </w:p>
    <w:p w14:paraId="1FD83311" w14:textId="77777777" w:rsidR="00DF3A5F" w:rsidRDefault="00DF3A5F" w:rsidP="00DF3A5F">
      <w:pPr>
        <w:widowControl w:val="0"/>
        <w:autoSpaceDE w:val="0"/>
        <w:autoSpaceDN w:val="0"/>
        <w:spacing w:after="0" w:line="240" w:lineRule="auto"/>
        <w:jc w:val="both"/>
        <w:rPr>
          <w:rFonts w:ascii="Verdana" w:eastAsia="Arial" w:hAnsi="Verdana" w:cs="Arial"/>
          <w:sz w:val="20"/>
          <w:szCs w:val="20"/>
          <w:lang w:eastAsia="es-CO"/>
        </w:rPr>
      </w:pPr>
    </w:p>
    <w:p w14:paraId="503D722D" w14:textId="31367F88" w:rsidR="005E22BB" w:rsidRDefault="00DF3A5F" w:rsidP="00DF3A5F">
      <w:pPr>
        <w:widowControl w:val="0"/>
        <w:autoSpaceDE w:val="0"/>
        <w:autoSpaceDN w:val="0"/>
        <w:spacing w:after="0" w:line="240" w:lineRule="auto"/>
        <w:jc w:val="both"/>
        <w:rPr>
          <w:rFonts w:ascii="Verdana" w:eastAsia="Calibri" w:hAnsi="Verdana" w:cs="Arial"/>
          <w:color w:val="000000" w:themeColor="text1"/>
          <w:sz w:val="20"/>
          <w:szCs w:val="20"/>
          <w:lang w:val="es-ES"/>
        </w:rPr>
      </w:pPr>
      <w:r w:rsidRPr="00DF3A5F">
        <w:rPr>
          <w:rFonts w:ascii="Verdana" w:eastAsia="Calibri" w:hAnsi="Verdana" w:cs="Arial"/>
          <w:color w:val="000000" w:themeColor="text1"/>
          <w:sz w:val="20"/>
          <w:szCs w:val="20"/>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DF3A5F">
        <w:rPr>
          <w:rFonts w:ascii="Verdana" w:eastAsia="Calibri" w:hAnsi="Verdana" w:cs="Arial"/>
          <w:color w:val="000000" w:themeColor="text1"/>
          <w:sz w:val="20"/>
          <w:szCs w:val="20"/>
          <w:lang w:val="es-ES"/>
        </w:rPr>
        <w:t>ii</w:t>
      </w:r>
      <w:proofErr w:type="spellEnd"/>
      <w:r w:rsidRPr="00DF3A5F">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DF3A5F">
        <w:rPr>
          <w:rFonts w:ascii="Verdana" w:eastAsia="Calibri" w:hAnsi="Verdana" w:cs="Arial"/>
          <w:color w:val="000000" w:themeColor="text1"/>
          <w:sz w:val="20"/>
          <w:szCs w:val="20"/>
          <w:lang w:val="es-ES"/>
        </w:rPr>
        <w:t>iii</w:t>
      </w:r>
      <w:proofErr w:type="spellEnd"/>
      <w:r w:rsidRPr="00DF3A5F">
        <w:rPr>
          <w:rFonts w:ascii="Verdana" w:eastAsia="Calibri" w:hAnsi="Verdana" w:cs="Arial"/>
          <w:color w:val="000000" w:themeColor="text1"/>
          <w:sz w:val="20"/>
          <w:szCs w:val="20"/>
          <w:lang w:val="es-ES"/>
        </w:rPr>
        <w:t>) de una actividad u oficio que se desempeñó en el pasado.</w:t>
      </w:r>
    </w:p>
    <w:p w14:paraId="00C8BE7E" w14:textId="77777777" w:rsidR="00DF3A5F" w:rsidRPr="00DF3A5F" w:rsidRDefault="00DF3A5F" w:rsidP="00DF3A5F">
      <w:pPr>
        <w:widowControl w:val="0"/>
        <w:autoSpaceDE w:val="0"/>
        <w:autoSpaceDN w:val="0"/>
        <w:spacing w:after="0" w:line="240" w:lineRule="auto"/>
        <w:jc w:val="both"/>
        <w:rPr>
          <w:rFonts w:ascii="Verdana" w:eastAsia="Arial" w:hAnsi="Verdana" w:cs="Arial"/>
          <w:sz w:val="20"/>
          <w:szCs w:val="20"/>
          <w:lang w:eastAsia="es-CO"/>
        </w:rPr>
      </w:pPr>
    </w:p>
    <w:p w14:paraId="2C63FFBE" w14:textId="77777777" w:rsidR="00DF3A5F" w:rsidRDefault="00745C23" w:rsidP="00DF3A5F">
      <w:pPr>
        <w:jc w:val="both"/>
        <w:rPr>
          <w:rFonts w:ascii="Verdana" w:eastAsia="Calibri" w:hAnsi="Verdana" w:cs="Arial"/>
          <w:b/>
          <w:bCs/>
          <w:color w:val="000000"/>
          <w:kern w:val="2"/>
          <w14:ligatures w14:val="standardContextual"/>
        </w:rPr>
      </w:pPr>
      <w:r w:rsidRPr="005E22BB">
        <w:rPr>
          <w:rFonts w:ascii="Verdana" w:eastAsia="Calibri" w:hAnsi="Verdana" w:cs="Arial"/>
          <w:b/>
          <w:bCs/>
          <w:color w:val="000000"/>
          <w:kern w:val="2"/>
          <w14:ligatures w14:val="standardContextual"/>
        </w:rPr>
        <w:t xml:space="preserve">INHABILIDADES E INCOMPATIBILIDADES – Régimen – Interpretación restrictiva </w:t>
      </w:r>
    </w:p>
    <w:p w14:paraId="34D7F27C" w14:textId="77777777" w:rsidR="00DF3A5F" w:rsidRDefault="00DF3A5F" w:rsidP="005E22BB">
      <w:pPr>
        <w:jc w:val="both"/>
        <w:rPr>
          <w:rFonts w:ascii="Verdana" w:eastAsia="Calibri" w:hAnsi="Verdana" w:cs="Arial"/>
          <w:b/>
          <w:bCs/>
          <w:color w:val="000000"/>
          <w:kern w:val="2"/>
          <w:lang w:val="es-ES_tradnl"/>
          <w14:ligatures w14:val="standardContextual"/>
        </w:rPr>
      </w:pPr>
      <w:r w:rsidRPr="00DF3A5F">
        <w:rPr>
          <w:rFonts w:ascii="Verdana" w:eastAsia="Calibri" w:hAnsi="Verdana" w:cs="Arial"/>
          <w:color w:val="000000" w:themeColor="text1"/>
          <w:sz w:val="20"/>
          <w:szCs w:val="20"/>
          <w:lang w:val="es-ES_tradnl"/>
        </w:rPr>
        <w:t xml:space="preserve">[…] </w:t>
      </w:r>
      <w:r w:rsidRPr="00DF3A5F">
        <w:rPr>
          <w:rFonts w:ascii="Verdana" w:eastAsia="Calibri" w:hAnsi="Verdana" w:cs="Arial"/>
          <w:color w:val="000000" w:themeColor="text1"/>
          <w:sz w:val="20"/>
          <w:szCs w:val="20"/>
          <w:lang w:val="es-ES_tradnl"/>
        </w:rPr>
        <w:t xml:space="preserve">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DF3A5F">
        <w:rPr>
          <w:rFonts w:ascii="Verdana" w:eastAsia="Calibri" w:hAnsi="Verdana" w:cs="Arial"/>
          <w:i/>
          <w:iCs/>
          <w:color w:val="000000" w:themeColor="text1"/>
          <w:sz w:val="20"/>
          <w:szCs w:val="20"/>
          <w:lang w:val="es-ES_tradnl"/>
        </w:rPr>
        <w:t>restrictiva</w:t>
      </w:r>
      <w:r>
        <w:rPr>
          <w:rFonts w:ascii="Verdana" w:eastAsia="Calibri" w:hAnsi="Verdana" w:cs="Arial"/>
          <w:i/>
          <w:iCs/>
          <w:color w:val="000000" w:themeColor="text1"/>
          <w:sz w:val="20"/>
          <w:szCs w:val="20"/>
          <w:lang w:val="es-ES_tradnl"/>
        </w:rPr>
        <w:t>.</w:t>
      </w:r>
    </w:p>
    <w:p w14:paraId="6639F68F" w14:textId="77777777" w:rsidR="00DF3A5F" w:rsidRDefault="00745C23" w:rsidP="00DF3A5F">
      <w:pPr>
        <w:jc w:val="both"/>
        <w:rPr>
          <w:rFonts w:ascii="Verdana" w:eastAsia="Calibri" w:hAnsi="Verdana" w:cs="Arial"/>
          <w:b/>
          <w:bCs/>
          <w:color w:val="000000"/>
          <w:kern w:val="2"/>
          <w14:ligatures w14:val="standardContextual"/>
        </w:rPr>
      </w:pPr>
      <w:r w:rsidRPr="005E22BB">
        <w:rPr>
          <w:rFonts w:ascii="Verdana" w:eastAsia="Calibri" w:hAnsi="Verdana" w:cs="Arial"/>
          <w:b/>
          <w:bCs/>
          <w:color w:val="000000"/>
          <w:kern w:val="2"/>
          <w14:ligatures w14:val="standardContextual"/>
        </w:rPr>
        <w:t xml:space="preserve">CONTRATO DE PRESTACION DE SERVICIOS – Simultaneidad – Ausencia de Inhabilidad e incompatibilidad </w:t>
      </w:r>
    </w:p>
    <w:p w14:paraId="283A262C" w14:textId="1160594B" w:rsidR="00DF3A5F" w:rsidRDefault="00DF3A5F" w:rsidP="00DF3A5F">
      <w:pPr>
        <w:jc w:val="both"/>
        <w:rPr>
          <w:rFonts w:ascii="Verdana" w:hAnsi="Verdana" w:cs="Arial"/>
          <w:color w:val="000000" w:themeColor="text1"/>
          <w:sz w:val="20"/>
          <w:szCs w:val="20"/>
          <w:lang w:val="es-ES_tradnl"/>
        </w:rPr>
      </w:pPr>
      <w:r w:rsidRPr="00DF3A5F">
        <w:rPr>
          <w:rFonts w:ascii="Verdana" w:hAnsi="Verdana" w:cs="Arial"/>
          <w:color w:val="000000" w:themeColor="text1"/>
          <w:sz w:val="20"/>
          <w:szCs w:val="20"/>
          <w:lang w:val="es-ES"/>
        </w:rPr>
        <w:t xml:space="preserve">[…] </w:t>
      </w:r>
      <w:r w:rsidRPr="00DF3A5F">
        <w:rPr>
          <w:rFonts w:ascii="Verdana" w:hAnsi="Verdana" w:cs="Arial"/>
          <w:color w:val="000000" w:themeColor="text1"/>
          <w:sz w:val="20"/>
          <w:szCs w:val="20"/>
          <w:lang w:val="es-ES"/>
        </w:rPr>
        <w:t xml:space="preserve">analizado el régimen de inhabilidades e incompatibilidades previsto para la contratación estatal, </w:t>
      </w:r>
      <w:r w:rsidRPr="00DF3A5F">
        <w:rPr>
          <w:rFonts w:ascii="Verdana" w:hAnsi="Verdana" w:cs="Arial"/>
          <w:color w:val="000000" w:themeColor="text1"/>
          <w:sz w:val="20"/>
          <w:szCs w:val="20"/>
          <w:lang w:val="es-ES_tradnl"/>
        </w:rPr>
        <w:t xml:space="preserve">se concluye que no existe una inhabilidad, incompatibilidad o prohibición de otra naturaleza para que </w:t>
      </w:r>
      <w:r w:rsidRPr="00DF3A5F">
        <w:rPr>
          <w:rFonts w:ascii="Verdana" w:eastAsia="Arial MT" w:hAnsi="Verdana" w:cs="Arial"/>
          <w:sz w:val="20"/>
          <w:szCs w:val="20"/>
          <w:lang w:eastAsia="es-ES" w:bidi="es-ES"/>
        </w:rPr>
        <w:t>contratista celebre varios contratos de prestación de servicios con la misma entidad con la cual existe una relación de tipo legal o contractual, dado que no se subsume en ninguno de los supuestos de hecho, ni se advierte que la hipótesis materia de consulta configure alguna de las causales previstas establecidos en el artículo 8 de la Ley 80 de 1993</w:t>
      </w:r>
      <w:r w:rsidRPr="00DF3A5F">
        <w:rPr>
          <w:rFonts w:ascii="Verdana" w:hAnsi="Verdana" w:cs="Arial"/>
          <w:color w:val="000000" w:themeColor="text1"/>
          <w:sz w:val="20"/>
          <w:szCs w:val="20"/>
          <w:lang w:val="es-ES_tradnl"/>
        </w:rPr>
        <w:t>, así dichos contratos coexistan en el tiempo.</w:t>
      </w:r>
    </w:p>
    <w:p w14:paraId="2D5A0171" w14:textId="756FF3D5" w:rsidR="00DF3A5F" w:rsidRDefault="00DF3A5F" w:rsidP="00DF3A5F">
      <w:pPr>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p>
    <w:p w14:paraId="7016565E" w14:textId="221590B0" w:rsidR="00DF3A5F" w:rsidRPr="00DF3A5F" w:rsidRDefault="00DF3A5F" w:rsidP="00DF3A5F">
      <w:pPr>
        <w:spacing w:after="0" w:line="240" w:lineRule="auto"/>
        <w:jc w:val="both"/>
        <w:rPr>
          <w:rFonts w:ascii="Verdana" w:hAnsi="Verdana" w:cs="Arial"/>
          <w:color w:val="000000" w:themeColor="text1"/>
          <w:sz w:val="20"/>
          <w:szCs w:val="20"/>
          <w:lang w:val="es-ES"/>
        </w:rPr>
      </w:pPr>
      <w:r w:rsidRPr="00DF3A5F">
        <w:rPr>
          <w:rFonts w:ascii="Verdana" w:hAnsi="Verdana" w:cs="Arial"/>
          <w:color w:val="000000" w:themeColor="text1"/>
          <w:sz w:val="20"/>
          <w:szCs w:val="20"/>
          <w:lang w:val="es-ES"/>
        </w:rPr>
        <w:t xml:space="preserve">[…] </w:t>
      </w:r>
      <w:r w:rsidRPr="00DF3A5F">
        <w:rPr>
          <w:rFonts w:ascii="Verdana" w:hAnsi="Verdana" w:cs="Arial"/>
          <w:color w:val="000000" w:themeColor="text1"/>
          <w:sz w:val="20"/>
          <w:szCs w:val="20"/>
          <w:lang w:val="es-ES"/>
        </w:rPr>
        <w:t xml:space="preserve">al leer las causales previstas en la Constitución, así como en el artículo 8 de la Ley 80 de 1993 y en otras disposiciones complementarias, no se observa una prohibición para que una misma persona natural preste sus servicios profesionales a la misma entidad o a otras, a través de contratos distintos y concomitantes. </w:t>
      </w:r>
    </w:p>
    <w:p w14:paraId="7EB99455" w14:textId="1B4144D2" w:rsidR="00745C23" w:rsidRDefault="00745C23" w:rsidP="005E22BB">
      <w:pPr>
        <w:jc w:val="both"/>
        <w:rPr>
          <w:rFonts w:ascii="Verdana" w:eastAsia="Calibri" w:hAnsi="Verdana" w:cs="Arial"/>
          <w:b/>
          <w:bCs/>
          <w:color w:val="000000"/>
          <w:kern w:val="2"/>
          <w14:ligatures w14:val="standardContextual"/>
        </w:rPr>
      </w:pPr>
      <w:r w:rsidRPr="005E22BB">
        <w:rPr>
          <w:rFonts w:ascii="Verdana" w:eastAsia="Calibri" w:hAnsi="Verdana" w:cs="Arial"/>
          <w:b/>
          <w:bCs/>
          <w:color w:val="000000"/>
          <w:kern w:val="2"/>
          <w14:ligatures w14:val="standardContextual"/>
        </w:rPr>
        <w:lastRenderedPageBreak/>
        <w:t xml:space="preserve">CONFLICTO DE INTERES – Verificación – Tipicidad </w:t>
      </w:r>
    </w:p>
    <w:p w14:paraId="7B349236" w14:textId="5FC95D58" w:rsidR="00DF3A5F" w:rsidRDefault="00DF3A5F" w:rsidP="005E22BB">
      <w:pPr>
        <w:jc w:val="both"/>
        <w:rPr>
          <w:rFonts w:ascii="Verdana" w:eastAsia="Arial MT" w:hAnsi="Verdana" w:cs="Arial"/>
          <w:lang w:eastAsia="es-ES" w:bidi="es-ES"/>
        </w:rPr>
      </w:pPr>
      <w:r>
        <w:rPr>
          <w:rFonts w:ascii="Verdana" w:eastAsia="Arial MT" w:hAnsi="Verdana" w:cs="Arial"/>
          <w:lang w:eastAsia="es-ES" w:bidi="es-ES"/>
        </w:rPr>
        <w:t xml:space="preserve">[…] </w:t>
      </w:r>
      <w:r>
        <w:rPr>
          <w:rFonts w:ascii="Verdana" w:eastAsia="Arial MT" w:hAnsi="Verdana" w:cs="Arial"/>
          <w:lang w:eastAsia="es-ES" w:bidi="es-ES"/>
        </w:rPr>
        <w:t xml:space="preserve">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los servicios en una y otra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Fonts w:ascii="Verdana" w:eastAsia="Arial MT" w:hAnsi="Verdana" w:cs="Arial"/>
          <w:lang w:eastAsia="es-ES" w:bidi="es-ES"/>
        </w:rPr>
        <w:t>.</w:t>
      </w:r>
    </w:p>
    <w:p w14:paraId="446785A0" w14:textId="77777777" w:rsidR="00DC113B" w:rsidRDefault="00DC113B" w:rsidP="00DC113B">
      <w:pPr>
        <w:jc w:val="both"/>
        <w:rPr>
          <w:rFonts w:ascii="Verdana" w:eastAsia="Calibri" w:hAnsi="Verdana" w:cs="Arial"/>
          <w:sz w:val="20"/>
          <w:szCs w:val="20"/>
          <w:lang w:val="es-ES_tradnl"/>
        </w:rPr>
      </w:pPr>
      <w:r w:rsidRPr="00DC113B">
        <w:rPr>
          <w:rFonts w:ascii="Verdana" w:eastAsia="Calibri" w:hAnsi="Verdana" w:cs="Arial"/>
          <w:sz w:val="20"/>
          <w:szCs w:val="20"/>
          <w:lang w:val="es-ES_tradnl"/>
        </w:rPr>
        <w:t xml:space="preserve">[…] </w:t>
      </w:r>
    </w:p>
    <w:p w14:paraId="21E40962" w14:textId="07E0569D" w:rsidR="00DC113B" w:rsidRPr="00DC113B" w:rsidRDefault="00DC113B" w:rsidP="00DC113B">
      <w:pPr>
        <w:jc w:val="both"/>
        <w:rPr>
          <w:rFonts w:ascii="Verdana" w:eastAsia="Calibri" w:hAnsi="Verdana" w:cs="Arial"/>
          <w:sz w:val="20"/>
          <w:szCs w:val="20"/>
          <w:lang w:val="es-ES_tradnl"/>
        </w:rPr>
      </w:pPr>
      <w:r w:rsidRPr="00DC113B">
        <w:rPr>
          <w:rFonts w:ascii="Verdana" w:eastAsia="Calibri" w:hAnsi="Verdana" w:cs="Arial"/>
          <w:sz w:val="20"/>
          <w:szCs w:val="20"/>
          <w:lang w:val="es-ES_tradnl"/>
        </w:rPr>
        <w:t xml:space="preserve">[…] </w:t>
      </w:r>
      <w:r w:rsidRPr="00DC113B">
        <w:rPr>
          <w:rFonts w:ascii="Verdana" w:eastAsia="Calibri" w:hAnsi="Verdana" w:cs="Arial"/>
          <w:color w:val="000000" w:themeColor="text1"/>
          <w:sz w:val="20"/>
          <w:szCs w:val="20"/>
          <w:lang w:val="es-ES_tradnl"/>
        </w:rPr>
        <w:t xml:space="preserve">solo es posible aplicar las causales de conflicto de interés que se encuentre tipificadas y que expresamente se hayan establecido en el pliego de condiciones o estudios previos. De esta manera, </w:t>
      </w:r>
      <w:r w:rsidRPr="00DC113B">
        <w:rPr>
          <w:rFonts w:ascii="Verdana" w:eastAsia="Century Gothic" w:hAnsi="Verdana" w:cs="Century Gothic"/>
          <w:bCs/>
          <w:sz w:val="20"/>
          <w:szCs w:val="20"/>
        </w:rPr>
        <w:t>corresponde a las Entidades Estatales, al verificar la capacidad jurídica de las personas con quienes pretenden suscribir contratos, determinar en cada caso concreto si se configura algún conflicto de interés de acuerdo con las causales que haya tipificado en el pliego de condiciones o en el contrato. Por tanto, la conclusión aquí expuesta no remplaza el deber de verificación de las Entidades Estatales, ni puede ser tomada como un juicio de valor sobre alguna situación de orden particular.</w:t>
      </w:r>
    </w:p>
    <w:p w14:paraId="5E6FB682" w14:textId="77777777" w:rsidR="00745C23" w:rsidRPr="00745C23" w:rsidRDefault="00745C23" w:rsidP="00F449DB">
      <w:pPr>
        <w:spacing w:after="0" w:line="240" w:lineRule="auto"/>
        <w:jc w:val="both"/>
        <w:rPr>
          <w:rFonts w:ascii="Verdana" w:hAnsi="Verdana"/>
          <w:lang w:val="es-ES_tradnl"/>
        </w:rPr>
      </w:pPr>
    </w:p>
    <w:p w14:paraId="49EA4598" w14:textId="77777777" w:rsidR="00DC113B" w:rsidRDefault="00DC113B" w:rsidP="00F449DB">
      <w:pPr>
        <w:spacing w:after="0" w:line="240" w:lineRule="auto"/>
        <w:jc w:val="both"/>
        <w:rPr>
          <w:rFonts w:ascii="Verdana" w:hAnsi="Verdana"/>
        </w:rPr>
      </w:pPr>
    </w:p>
    <w:p w14:paraId="3C1DA039" w14:textId="77777777" w:rsidR="00DC113B" w:rsidRDefault="00DC113B" w:rsidP="00F449DB">
      <w:pPr>
        <w:spacing w:after="0" w:line="240" w:lineRule="auto"/>
        <w:jc w:val="both"/>
        <w:rPr>
          <w:rFonts w:ascii="Verdana" w:hAnsi="Verdana"/>
        </w:rPr>
      </w:pPr>
    </w:p>
    <w:p w14:paraId="0F169812" w14:textId="77777777" w:rsidR="00DC113B" w:rsidRDefault="00DC113B" w:rsidP="00F449DB">
      <w:pPr>
        <w:spacing w:after="0" w:line="240" w:lineRule="auto"/>
        <w:jc w:val="both"/>
        <w:rPr>
          <w:rFonts w:ascii="Verdana" w:hAnsi="Verdana"/>
        </w:rPr>
      </w:pPr>
    </w:p>
    <w:p w14:paraId="2AD82D6F" w14:textId="77777777" w:rsidR="00DC113B" w:rsidRDefault="00DC113B" w:rsidP="00F449DB">
      <w:pPr>
        <w:spacing w:after="0" w:line="240" w:lineRule="auto"/>
        <w:jc w:val="both"/>
        <w:rPr>
          <w:rFonts w:ascii="Verdana" w:hAnsi="Verdana"/>
        </w:rPr>
      </w:pPr>
    </w:p>
    <w:p w14:paraId="215FA963" w14:textId="77777777" w:rsidR="00DC113B" w:rsidRDefault="00DC113B" w:rsidP="00F449DB">
      <w:pPr>
        <w:spacing w:after="0" w:line="240" w:lineRule="auto"/>
        <w:jc w:val="both"/>
        <w:rPr>
          <w:rFonts w:ascii="Verdana" w:hAnsi="Verdana"/>
        </w:rPr>
      </w:pPr>
    </w:p>
    <w:p w14:paraId="75CDF14A" w14:textId="77777777" w:rsidR="00DC113B" w:rsidRDefault="00DC113B" w:rsidP="00F449DB">
      <w:pPr>
        <w:spacing w:after="0" w:line="240" w:lineRule="auto"/>
        <w:jc w:val="both"/>
        <w:rPr>
          <w:rFonts w:ascii="Verdana" w:hAnsi="Verdana"/>
        </w:rPr>
      </w:pPr>
    </w:p>
    <w:p w14:paraId="5BD75466" w14:textId="77777777" w:rsidR="00DC113B" w:rsidRDefault="00DC113B" w:rsidP="00F449DB">
      <w:pPr>
        <w:spacing w:after="0" w:line="240" w:lineRule="auto"/>
        <w:jc w:val="both"/>
        <w:rPr>
          <w:rFonts w:ascii="Verdana" w:hAnsi="Verdana"/>
        </w:rPr>
      </w:pPr>
    </w:p>
    <w:p w14:paraId="624EF373" w14:textId="77777777" w:rsidR="00DC113B" w:rsidRDefault="00DC113B" w:rsidP="00F449DB">
      <w:pPr>
        <w:spacing w:after="0" w:line="240" w:lineRule="auto"/>
        <w:jc w:val="both"/>
        <w:rPr>
          <w:rFonts w:ascii="Verdana" w:hAnsi="Verdana"/>
        </w:rPr>
      </w:pPr>
    </w:p>
    <w:p w14:paraId="3362E1C3" w14:textId="77777777" w:rsidR="00DC113B" w:rsidRDefault="00DC113B" w:rsidP="00F449DB">
      <w:pPr>
        <w:spacing w:after="0" w:line="240" w:lineRule="auto"/>
        <w:jc w:val="both"/>
        <w:rPr>
          <w:rFonts w:ascii="Verdana" w:hAnsi="Verdana"/>
        </w:rPr>
      </w:pPr>
    </w:p>
    <w:p w14:paraId="6B910948" w14:textId="77777777" w:rsidR="00DC113B" w:rsidRDefault="00DC113B" w:rsidP="00F449DB">
      <w:pPr>
        <w:spacing w:after="0" w:line="240" w:lineRule="auto"/>
        <w:jc w:val="both"/>
        <w:rPr>
          <w:rFonts w:ascii="Verdana" w:hAnsi="Verdana"/>
        </w:rPr>
      </w:pPr>
    </w:p>
    <w:p w14:paraId="3A628C9E" w14:textId="77777777" w:rsidR="00DC113B" w:rsidRDefault="00DC113B" w:rsidP="00F449DB">
      <w:pPr>
        <w:spacing w:after="0" w:line="240" w:lineRule="auto"/>
        <w:jc w:val="both"/>
        <w:rPr>
          <w:rFonts w:ascii="Verdana" w:hAnsi="Verdana"/>
        </w:rPr>
      </w:pPr>
    </w:p>
    <w:p w14:paraId="6F7194B8" w14:textId="77777777" w:rsidR="00DC113B" w:rsidRDefault="00DC113B" w:rsidP="00F449DB">
      <w:pPr>
        <w:spacing w:after="0" w:line="240" w:lineRule="auto"/>
        <w:jc w:val="both"/>
        <w:rPr>
          <w:rFonts w:ascii="Verdana" w:hAnsi="Verdana"/>
        </w:rPr>
      </w:pPr>
    </w:p>
    <w:p w14:paraId="426E975E" w14:textId="77777777" w:rsidR="00DC113B" w:rsidRDefault="00DC113B" w:rsidP="00F449DB">
      <w:pPr>
        <w:spacing w:after="0" w:line="240" w:lineRule="auto"/>
        <w:jc w:val="both"/>
        <w:rPr>
          <w:rFonts w:ascii="Verdana" w:hAnsi="Verdana"/>
        </w:rPr>
      </w:pPr>
    </w:p>
    <w:p w14:paraId="6C8B4925" w14:textId="77777777" w:rsidR="00DC113B" w:rsidRDefault="00DC113B" w:rsidP="00F449DB">
      <w:pPr>
        <w:spacing w:after="0" w:line="240" w:lineRule="auto"/>
        <w:jc w:val="both"/>
        <w:rPr>
          <w:rFonts w:ascii="Verdana" w:hAnsi="Verdana"/>
        </w:rPr>
      </w:pPr>
    </w:p>
    <w:p w14:paraId="36DC5AA8" w14:textId="77777777" w:rsidR="00DC113B" w:rsidRDefault="00DC113B" w:rsidP="00F449DB">
      <w:pPr>
        <w:spacing w:after="0" w:line="240" w:lineRule="auto"/>
        <w:jc w:val="both"/>
        <w:rPr>
          <w:rFonts w:ascii="Verdana" w:hAnsi="Verdana"/>
        </w:rPr>
      </w:pPr>
    </w:p>
    <w:p w14:paraId="00606257" w14:textId="77777777" w:rsidR="00DC113B" w:rsidRDefault="00DC113B" w:rsidP="00F449DB">
      <w:pPr>
        <w:spacing w:after="0" w:line="240" w:lineRule="auto"/>
        <w:jc w:val="both"/>
        <w:rPr>
          <w:rFonts w:ascii="Verdana" w:hAnsi="Verdana"/>
        </w:rPr>
      </w:pPr>
    </w:p>
    <w:p w14:paraId="56F77861" w14:textId="77777777" w:rsidR="00DC113B" w:rsidRDefault="00DC113B" w:rsidP="00F449DB">
      <w:pPr>
        <w:spacing w:after="0" w:line="240" w:lineRule="auto"/>
        <w:jc w:val="both"/>
        <w:rPr>
          <w:rFonts w:ascii="Verdana" w:hAnsi="Verdana"/>
        </w:rPr>
      </w:pPr>
    </w:p>
    <w:p w14:paraId="0AF828A4" w14:textId="77777777" w:rsidR="00DC113B" w:rsidRDefault="00DC113B" w:rsidP="00F449DB">
      <w:pPr>
        <w:spacing w:after="0" w:line="240" w:lineRule="auto"/>
        <w:jc w:val="both"/>
        <w:rPr>
          <w:rFonts w:ascii="Verdana" w:hAnsi="Verdana"/>
        </w:rPr>
      </w:pPr>
    </w:p>
    <w:p w14:paraId="2C0FCBEA" w14:textId="77777777" w:rsidR="00DC113B" w:rsidRDefault="00DC113B" w:rsidP="00F449DB">
      <w:pPr>
        <w:spacing w:after="0" w:line="240" w:lineRule="auto"/>
        <w:jc w:val="both"/>
        <w:rPr>
          <w:rFonts w:ascii="Verdana" w:hAnsi="Verdana"/>
        </w:rPr>
      </w:pPr>
    </w:p>
    <w:p w14:paraId="49C872DB" w14:textId="77777777" w:rsidR="00DC113B" w:rsidRDefault="00DC113B" w:rsidP="00F449DB">
      <w:pPr>
        <w:spacing w:after="0" w:line="240" w:lineRule="auto"/>
        <w:jc w:val="both"/>
        <w:rPr>
          <w:rFonts w:ascii="Verdana" w:hAnsi="Verdana"/>
        </w:rPr>
      </w:pPr>
    </w:p>
    <w:p w14:paraId="3A72BDCC" w14:textId="77777777" w:rsidR="00DC113B" w:rsidRDefault="00DC113B" w:rsidP="00F449DB">
      <w:pPr>
        <w:spacing w:after="0" w:line="240" w:lineRule="auto"/>
        <w:jc w:val="both"/>
        <w:rPr>
          <w:rFonts w:ascii="Verdana" w:hAnsi="Verdana"/>
        </w:rPr>
      </w:pPr>
    </w:p>
    <w:p w14:paraId="06C9535A" w14:textId="77777777" w:rsidR="00DC113B" w:rsidRDefault="00DC113B" w:rsidP="00F449DB">
      <w:pPr>
        <w:spacing w:after="0" w:line="240" w:lineRule="auto"/>
        <w:jc w:val="both"/>
        <w:rPr>
          <w:rFonts w:ascii="Verdana" w:hAnsi="Verdana"/>
        </w:rPr>
      </w:pPr>
    </w:p>
    <w:p w14:paraId="3AA57DEF" w14:textId="77777777" w:rsidR="00DC113B" w:rsidRDefault="00DC113B" w:rsidP="00F449DB">
      <w:pPr>
        <w:spacing w:after="0" w:line="240" w:lineRule="auto"/>
        <w:jc w:val="both"/>
        <w:rPr>
          <w:rFonts w:ascii="Verdana" w:hAnsi="Verdana"/>
        </w:rPr>
      </w:pPr>
    </w:p>
    <w:p w14:paraId="7510488A" w14:textId="748F5B10" w:rsidR="00F449DB" w:rsidRPr="00FF007A" w:rsidRDefault="00F449DB" w:rsidP="00F449DB">
      <w:pPr>
        <w:spacing w:after="0" w:line="240" w:lineRule="auto"/>
        <w:jc w:val="both"/>
        <w:rPr>
          <w:rFonts w:ascii="Verdana" w:hAnsi="Verdana"/>
        </w:rPr>
      </w:pPr>
      <w:r w:rsidRPr="00FF007A">
        <w:rPr>
          <w:rFonts w:ascii="Verdana" w:hAnsi="Verdana"/>
        </w:rPr>
        <w:lastRenderedPageBreak/>
        <w:t xml:space="preserve">Bogotá D.C., </w:t>
      </w:r>
      <w:r w:rsidR="00745C23">
        <w:rPr>
          <w:rFonts w:ascii="Verdana" w:hAnsi="Verdana"/>
        </w:rPr>
        <w:t>03 de octubre de 2025</w:t>
      </w:r>
      <w:r w:rsidRPr="00FF007A">
        <w:rPr>
          <w:rFonts w:ascii="Verdana" w:hAnsi="Verdana"/>
        </w:rPr>
        <w:tab/>
      </w:r>
    </w:p>
    <w:p w14:paraId="0CBBD9DC" w14:textId="77777777" w:rsidR="00F449DB" w:rsidRPr="00FF007A" w:rsidRDefault="00F449DB" w:rsidP="00F449DB">
      <w:pPr>
        <w:spacing w:after="0" w:line="240" w:lineRule="auto"/>
        <w:jc w:val="both"/>
        <w:rPr>
          <w:rFonts w:ascii="Verdana" w:eastAsia="Calibri" w:hAnsi="Verdana" w:cs="Arial"/>
          <w:lang w:eastAsia="es-ES"/>
        </w:rPr>
      </w:pPr>
      <w:bookmarkStart w:id="5" w:name="_Hlk197462763"/>
      <w:bookmarkStart w:id="6" w:name="_Hlk197529996"/>
    </w:p>
    <w:p w14:paraId="004C0913" w14:textId="45BEAC63" w:rsidR="00745C23" w:rsidRDefault="00745C23" w:rsidP="00745C23">
      <w:pPr>
        <w:spacing w:after="0" w:line="240" w:lineRule="auto"/>
        <w:jc w:val="right"/>
        <w:rPr>
          <w:rFonts w:ascii="Verdana" w:eastAsia="Calibri" w:hAnsi="Verdana" w:cs="Arial"/>
          <w:lang w:eastAsia="es-ES"/>
        </w:rPr>
      </w:pPr>
      <w:r w:rsidRPr="00745C23">
        <w:rPr>
          <w:rFonts w:ascii="Verdana" w:eastAsia="Calibri" w:hAnsi="Verdana" w:cs="Arial"/>
          <w:lang w:eastAsia="es-ES"/>
        </w:rPr>
        <w:drawing>
          <wp:inline distT="0" distB="0" distL="0" distR="0" wp14:anchorId="3EE8361B" wp14:editId="2690C4BB">
            <wp:extent cx="1976044" cy="619062"/>
            <wp:effectExtent l="0" t="0" r="5715" b="0"/>
            <wp:docPr id="208923140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231406" name="Imagen 1" descr="Texto&#10;&#10;El contenido generado por IA puede ser incorrecto."/>
                    <pic:cNvPicPr/>
                  </pic:nvPicPr>
                  <pic:blipFill>
                    <a:blip r:embed="rId10"/>
                    <a:stretch>
                      <a:fillRect/>
                    </a:stretch>
                  </pic:blipFill>
                  <pic:spPr>
                    <a:xfrm>
                      <a:off x="0" y="0"/>
                      <a:ext cx="1997504" cy="625785"/>
                    </a:xfrm>
                    <a:prstGeom prst="rect">
                      <a:avLst/>
                    </a:prstGeom>
                  </pic:spPr>
                </pic:pic>
              </a:graphicData>
            </a:graphic>
          </wp:inline>
        </w:drawing>
      </w:r>
    </w:p>
    <w:p w14:paraId="1DA18CFD" w14:textId="74D3E6D9" w:rsidR="00F449DB" w:rsidRPr="00FF007A" w:rsidRDefault="00F449DB" w:rsidP="00F449DB">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p>
    <w:p w14:paraId="59AA8500" w14:textId="77777777" w:rsidR="00F449DB" w:rsidRDefault="00F449DB" w:rsidP="00F449DB">
      <w:pPr>
        <w:spacing w:after="0" w:line="240" w:lineRule="auto"/>
        <w:jc w:val="both"/>
        <w:rPr>
          <w:rFonts w:ascii="Verdana" w:eastAsia="Calibri" w:hAnsi="Verdana" w:cs="Arial"/>
          <w:b/>
          <w:lang w:eastAsia="es-ES_tradnl"/>
        </w:rPr>
      </w:pPr>
      <w:r w:rsidRPr="00046329">
        <w:rPr>
          <w:rFonts w:ascii="Verdana" w:eastAsia="Calibri" w:hAnsi="Verdana" w:cs="Arial"/>
          <w:b/>
          <w:lang w:eastAsia="es-ES_tradnl"/>
        </w:rPr>
        <w:t>Andrés Felipe</w:t>
      </w:r>
      <w:r>
        <w:rPr>
          <w:rFonts w:ascii="Verdana" w:eastAsia="Calibri" w:hAnsi="Verdana" w:cs="Arial"/>
          <w:b/>
          <w:lang w:eastAsia="es-ES_tradnl"/>
        </w:rPr>
        <w:t xml:space="preserve"> </w:t>
      </w:r>
      <w:r w:rsidRPr="00046329">
        <w:rPr>
          <w:rFonts w:ascii="Verdana" w:eastAsia="Calibri" w:hAnsi="Verdana" w:cs="Arial"/>
          <w:b/>
          <w:lang w:eastAsia="es-ES_tradnl"/>
        </w:rPr>
        <w:t>Orozco Angulo</w:t>
      </w:r>
    </w:p>
    <w:p w14:paraId="7DBD2896" w14:textId="77777777" w:rsidR="00F449DB" w:rsidRPr="00046329" w:rsidRDefault="00F449DB" w:rsidP="00F449DB">
      <w:pPr>
        <w:spacing w:after="0" w:line="240" w:lineRule="auto"/>
        <w:jc w:val="both"/>
        <w:rPr>
          <w:rFonts w:ascii="Verdana" w:hAnsi="Verdana"/>
        </w:rPr>
      </w:pPr>
      <w:hyperlink r:id="rId11" w:history="1">
        <w:r w:rsidRPr="00046329">
          <w:rPr>
            <w:rStyle w:val="Hipervnculo"/>
            <w:rFonts w:ascii="Verdana" w:hAnsi="Verdana"/>
          </w:rPr>
          <w:t>andres.ozk@hotmail.com</w:t>
        </w:r>
      </w:hyperlink>
    </w:p>
    <w:p w14:paraId="5CCB0FA8" w14:textId="77777777" w:rsidR="00F449DB" w:rsidRDefault="00F449DB" w:rsidP="00F449DB">
      <w:pPr>
        <w:spacing w:after="0" w:line="240" w:lineRule="auto"/>
        <w:jc w:val="both"/>
        <w:rPr>
          <w:rFonts w:ascii="Verdana" w:hAnsi="Verdana"/>
        </w:rPr>
      </w:pPr>
      <w:r>
        <w:rPr>
          <w:rFonts w:ascii="Verdana" w:hAnsi="Verdana"/>
        </w:rPr>
        <w:t>Ciudad</w:t>
      </w:r>
    </w:p>
    <w:p w14:paraId="752481F6" w14:textId="77777777" w:rsidR="00F449DB" w:rsidRPr="00FF007A" w:rsidRDefault="00F449DB" w:rsidP="00F449DB">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F449DB" w:rsidRPr="00FF007A" w14:paraId="2BEC3664" w14:textId="77777777" w:rsidTr="00AE1304">
        <w:trPr>
          <w:trHeight w:val="162"/>
        </w:trPr>
        <w:tc>
          <w:tcPr>
            <w:tcW w:w="3119" w:type="dxa"/>
          </w:tcPr>
          <w:p w14:paraId="149AA3B8" w14:textId="77777777" w:rsidR="00F449DB" w:rsidRPr="00FF007A" w:rsidRDefault="00F449DB" w:rsidP="00AE1304">
            <w:pPr>
              <w:jc w:val="both"/>
              <w:rPr>
                <w:rFonts w:ascii="Verdana" w:eastAsia="Calibri" w:hAnsi="Verdana" w:cs="Arial"/>
                <w:b/>
                <w:bCs/>
                <w:color w:val="7030A0"/>
                <w:lang w:eastAsia="es-ES_tradnl"/>
              </w:rPr>
            </w:pPr>
          </w:p>
        </w:tc>
        <w:tc>
          <w:tcPr>
            <w:tcW w:w="5670" w:type="dxa"/>
          </w:tcPr>
          <w:p w14:paraId="0B878C4F" w14:textId="77777777" w:rsidR="00F449DB" w:rsidRPr="00FF007A" w:rsidRDefault="00F449DB" w:rsidP="00AE1304">
            <w:pPr>
              <w:jc w:val="both"/>
              <w:rPr>
                <w:rFonts w:ascii="Verdana" w:eastAsia="Calibri" w:hAnsi="Verdana" w:cs="Arial"/>
                <w:b/>
                <w:bCs/>
                <w:lang w:eastAsia="es-ES"/>
              </w:rPr>
            </w:pPr>
            <w:r w:rsidRPr="00FF007A">
              <w:rPr>
                <w:rFonts w:ascii="Verdana" w:eastAsia="Calibri" w:hAnsi="Verdana" w:cs="Arial"/>
                <w:b/>
                <w:bCs/>
                <w:lang w:eastAsia="es-ES"/>
              </w:rPr>
              <w:t>Concepto C-</w:t>
            </w:r>
            <w:r>
              <w:rPr>
                <w:rFonts w:ascii="Verdana" w:eastAsia="Calibri" w:hAnsi="Verdana" w:cs="Arial"/>
                <w:b/>
                <w:bCs/>
                <w:lang w:eastAsia="es-ES"/>
              </w:rPr>
              <w:t>1217</w:t>
            </w:r>
            <w:r w:rsidRPr="00FF007A">
              <w:rPr>
                <w:rFonts w:ascii="Verdana" w:eastAsia="Calibri" w:hAnsi="Verdana" w:cs="Arial"/>
                <w:b/>
                <w:bCs/>
                <w:lang w:eastAsia="es-ES"/>
              </w:rPr>
              <w:t xml:space="preserve"> de 2025</w:t>
            </w:r>
          </w:p>
          <w:p w14:paraId="6A1E6A98" w14:textId="77777777" w:rsidR="00F449DB" w:rsidRPr="00FF007A" w:rsidRDefault="00F449DB" w:rsidP="00AE1304">
            <w:pPr>
              <w:jc w:val="both"/>
              <w:rPr>
                <w:rFonts w:ascii="Verdana" w:eastAsia="Calibri" w:hAnsi="Verdana" w:cs="Arial"/>
                <w:b/>
                <w:bCs/>
                <w:color w:val="7030A0"/>
                <w:lang w:eastAsia="es-ES"/>
              </w:rPr>
            </w:pPr>
          </w:p>
        </w:tc>
      </w:tr>
      <w:tr w:rsidR="00F449DB" w:rsidRPr="00FF007A" w14:paraId="7DB10424" w14:textId="77777777" w:rsidTr="00AE1304">
        <w:trPr>
          <w:trHeight w:val="884"/>
        </w:trPr>
        <w:tc>
          <w:tcPr>
            <w:tcW w:w="3119" w:type="dxa"/>
          </w:tcPr>
          <w:p w14:paraId="1FEF66C2" w14:textId="77777777" w:rsidR="00F449DB" w:rsidRPr="00FF007A" w:rsidRDefault="00F449DB" w:rsidP="00AE1304">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3E45DE71" w14:textId="77777777" w:rsidR="00F449DB" w:rsidRPr="00274395" w:rsidRDefault="00F449DB" w:rsidP="00AE1304">
            <w:pPr>
              <w:jc w:val="both"/>
              <w:rPr>
                <w:rFonts w:ascii="Verdana" w:eastAsia="Calibri" w:hAnsi="Verdana" w:cs="Arial"/>
                <w:bCs/>
                <w:lang w:val="es-ES_tradnl"/>
              </w:rPr>
            </w:pPr>
            <w:r w:rsidRPr="00274395">
              <w:rPr>
                <w:rFonts w:ascii="Verdana" w:eastAsia="Arial" w:hAnsi="Verdana" w:cs="Arial"/>
                <w:lang w:val="es-ES" w:eastAsia="es-ES"/>
              </w:rPr>
              <w:t xml:space="preserve">CONTRATO DE PRESTACIÓN DE SERVICIOS – Concepto / CONTRATO DE PRESTACIÓN DE SERVICIOS – Requisitos y límites para su celebración / </w:t>
            </w:r>
            <w:r w:rsidRPr="00274395">
              <w:rPr>
                <w:rFonts w:ascii="Verdana" w:eastAsia="Arial" w:hAnsi="Verdana" w:cs="Arial"/>
                <w:lang w:val="es-MX" w:eastAsia="es-ES"/>
              </w:rPr>
              <w:t xml:space="preserve">CONTRATO DE PRESTACIÓN DE SERVICIOS – Doble erogación presupuestal – Prohibición – No es aplicable / </w:t>
            </w:r>
            <w:r w:rsidRPr="00274395">
              <w:rPr>
                <w:rFonts w:ascii="Verdana" w:eastAsia="Arial" w:hAnsi="Verdana" w:cs="Arial"/>
                <w:lang w:val="es-ES" w:eastAsia="es-ES"/>
              </w:rPr>
              <w:t xml:space="preserve">CONTRATOS DE PRESTACIÓN DE SERVICIOS </w:t>
            </w:r>
            <w:r w:rsidRPr="00274395">
              <w:rPr>
                <w:rFonts w:ascii="Verdana" w:eastAsia="Arial" w:hAnsi="Verdana" w:cs="Arial"/>
                <w:color w:val="000000" w:themeColor="text1"/>
                <w:lang w:val="es-MX" w:eastAsia="es-ES"/>
              </w:rPr>
              <w:t xml:space="preserve">– </w:t>
            </w:r>
            <w:r w:rsidRPr="00274395">
              <w:rPr>
                <w:rFonts w:ascii="Verdana" w:eastAsia="Arial" w:hAnsi="Verdana" w:cs="Arial"/>
                <w:lang w:val="es-ES" w:eastAsia="es-ES"/>
              </w:rPr>
              <w:t xml:space="preserve">Posibilidad de celebrar varios contratos de forma simultánea / </w:t>
            </w:r>
            <w:bookmarkStart w:id="7" w:name="_Hlk192055781"/>
            <w:r w:rsidRPr="00274395">
              <w:rPr>
                <w:rFonts w:ascii="Verdana" w:eastAsia="Calibri" w:hAnsi="Verdana" w:cs="Arial"/>
                <w:color w:val="000000"/>
                <w:kern w:val="2"/>
                <w14:ligatures w14:val="standardContextual"/>
              </w:rPr>
              <w:t xml:space="preserve">INHABILIDADES E INCOMPATIBILIDADES – Concepto / INHABILIDADES E INCOMPATIBILIDADES – Régimen – Interpretación restrictiva / CONTRATO DE PRESTACION DE SERVICIOS – Simultaneidad – Ausencia de Inhabilidad e incompatibilidad / CONFLICTO DE INTERES – Verificación – Tipicidad </w:t>
            </w:r>
          </w:p>
          <w:bookmarkEnd w:id="7"/>
          <w:p w14:paraId="19737736" w14:textId="77777777" w:rsidR="00F449DB" w:rsidRPr="00274395" w:rsidRDefault="00F449DB" w:rsidP="00AE1304">
            <w:pPr>
              <w:spacing w:line="276" w:lineRule="auto"/>
              <w:jc w:val="both"/>
              <w:rPr>
                <w:rFonts w:ascii="Verdana" w:hAnsi="Verdana" w:cs="Arial"/>
                <w:color w:val="000000" w:themeColor="text1"/>
                <w:lang w:val="es-ES_tradnl"/>
              </w:rPr>
            </w:pPr>
          </w:p>
        </w:tc>
      </w:tr>
      <w:tr w:rsidR="00F449DB" w:rsidRPr="00FF007A" w14:paraId="676CF4CB" w14:textId="77777777" w:rsidTr="00AE1304">
        <w:tc>
          <w:tcPr>
            <w:tcW w:w="3119" w:type="dxa"/>
          </w:tcPr>
          <w:p w14:paraId="0AF8DBC2" w14:textId="77777777" w:rsidR="00F449DB" w:rsidRPr="00FF007A" w:rsidRDefault="00F449DB" w:rsidP="00AE1304">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08134C90" w14:textId="77777777" w:rsidR="00F449DB" w:rsidRPr="00FF007A" w:rsidRDefault="00F449DB" w:rsidP="00AE1304">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Pr="00046329">
              <w:rPr>
                <w:rFonts w:ascii="Verdana" w:eastAsia="Calibri" w:hAnsi="Verdana" w:cs="Arial"/>
                <w:lang w:eastAsia="es-ES_tradnl"/>
              </w:rPr>
              <w:t>1_2025_08_28_009198</w:t>
            </w:r>
          </w:p>
        </w:tc>
      </w:tr>
    </w:tbl>
    <w:p w14:paraId="59F810B2" w14:textId="77777777" w:rsidR="00F449DB" w:rsidRPr="00FF007A" w:rsidRDefault="00F449DB" w:rsidP="00F449DB">
      <w:pPr>
        <w:spacing w:after="0" w:line="276" w:lineRule="auto"/>
        <w:jc w:val="both"/>
        <w:rPr>
          <w:rFonts w:ascii="Verdana" w:eastAsia="Calibri" w:hAnsi="Verdana" w:cs="Arial"/>
          <w:lang w:eastAsia="es-ES_tradnl"/>
        </w:rPr>
      </w:pPr>
    </w:p>
    <w:p w14:paraId="1CA56DA9" w14:textId="77777777" w:rsidR="00F449DB" w:rsidRPr="00FF007A" w:rsidRDefault="00F449DB" w:rsidP="00F449DB">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 señor Orozco</w:t>
      </w:r>
      <w:r w:rsidRPr="00FF007A">
        <w:rPr>
          <w:rFonts w:ascii="Verdana" w:eastAsia="Calibri" w:hAnsi="Verdana" w:cs="Arial"/>
          <w:lang w:eastAsia="es-ES"/>
        </w:rPr>
        <w:t xml:space="preserve">: </w:t>
      </w:r>
    </w:p>
    <w:p w14:paraId="116C9C94" w14:textId="77777777" w:rsidR="00F449DB" w:rsidRPr="00FF007A" w:rsidRDefault="00F449DB" w:rsidP="00F449DB">
      <w:pPr>
        <w:tabs>
          <w:tab w:val="left" w:pos="3768"/>
        </w:tabs>
        <w:spacing w:after="0" w:line="240" w:lineRule="auto"/>
        <w:jc w:val="both"/>
        <w:rPr>
          <w:rFonts w:ascii="Verdana" w:eastAsia="Calibri" w:hAnsi="Verdana" w:cs="Arial"/>
          <w:lang w:eastAsia="es-ES"/>
        </w:rPr>
      </w:pPr>
    </w:p>
    <w:p w14:paraId="0EBF8561" w14:textId="77777777" w:rsidR="00F449DB" w:rsidRPr="00E05649" w:rsidRDefault="00F449DB" w:rsidP="00253657">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w:t>
      </w:r>
      <w:r w:rsidRPr="00046329">
        <w:rPr>
          <w:rFonts w:ascii="Verdana" w:eastAsia="Calibri" w:hAnsi="Verdana" w:cs="Arial"/>
          <w:lang w:eastAsia="es-ES"/>
        </w:rPr>
        <w:t>Pública – Colombia Compra Eficiente– responde su solicitud de consulta de fecha 27 de agosto de 2025, previo traslado efectuado por el Departamento Administrativo de la Función</w:t>
      </w:r>
      <w:r>
        <w:rPr>
          <w:rFonts w:ascii="Verdana" w:eastAsia="Calibri" w:hAnsi="Verdana" w:cs="Arial"/>
          <w:lang w:eastAsia="es-ES"/>
        </w:rPr>
        <w:t xml:space="preserve"> Pública el 25 de agosto de 2025 mediante radicado </w:t>
      </w:r>
      <w:r w:rsidRPr="00046329">
        <w:rPr>
          <w:rFonts w:ascii="Verdana" w:eastAsia="Calibri" w:hAnsi="Verdana" w:cs="Arial"/>
          <w:lang w:eastAsia="es-ES"/>
        </w:rPr>
        <w:t>20252040406921</w:t>
      </w:r>
      <w:r>
        <w:rPr>
          <w:rFonts w:ascii="Verdana" w:eastAsia="Calibri" w:hAnsi="Verdana" w:cs="Arial"/>
          <w:lang w:eastAsia="es-ES"/>
        </w:rPr>
        <w:t xml:space="preserve">, </w:t>
      </w:r>
      <w:r w:rsidRPr="00E05649">
        <w:rPr>
          <w:rFonts w:ascii="Verdana" w:eastAsia="Calibri" w:hAnsi="Verdana" w:cs="Arial"/>
          <w:lang w:eastAsia="es-ES"/>
        </w:rPr>
        <w:t xml:space="preserve">en la cual manifiesta lo siguiente: </w:t>
      </w:r>
    </w:p>
    <w:p w14:paraId="646C82C6" w14:textId="77777777" w:rsidR="00F449DB" w:rsidRPr="007C7B24" w:rsidRDefault="00F449DB" w:rsidP="00F449DB">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lang w:val="es-CO"/>
        </w:rPr>
      </w:pPr>
    </w:p>
    <w:p w14:paraId="31E1CA09" w14:textId="77777777" w:rsidR="00F449DB" w:rsidRDefault="00F449DB" w:rsidP="00F449DB">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7C7B24">
        <w:rPr>
          <w:rFonts w:ascii="Verdana" w:eastAsia="Century Gothic" w:hAnsi="Verdana" w:cs="Century Gothic"/>
          <w:sz w:val="20"/>
          <w:szCs w:val="20"/>
        </w:rPr>
        <w:lastRenderedPageBreak/>
        <w:t xml:space="preserve">“(…) </w:t>
      </w:r>
      <w:bookmarkEnd w:id="8"/>
      <w:bookmarkEnd w:id="9"/>
      <w:r w:rsidRPr="00046329">
        <w:rPr>
          <w:rFonts w:ascii="Verdana" w:eastAsia="Century Gothic" w:hAnsi="Verdana" w:cs="Century Gothic"/>
          <w:sz w:val="20"/>
          <w:szCs w:val="20"/>
        </w:rPr>
        <w:t xml:space="preserve">En el municipio de Zambrano, Bolívar, un mismo contratista ha celebrado dos contratos de prestación de servicios profesionales con la Alcaldía Municipal, con vigencia simultánea y para funciones diferentes, ambos suscritos dentro del mismo periodo contractual. </w:t>
      </w:r>
    </w:p>
    <w:p w14:paraId="3E108885" w14:textId="77777777" w:rsidR="00F449DB" w:rsidRDefault="00F449DB" w:rsidP="00F449DB">
      <w:pPr>
        <w:spacing w:after="0" w:line="240" w:lineRule="auto"/>
        <w:ind w:left="709" w:right="709"/>
        <w:jc w:val="both"/>
        <w:rPr>
          <w:rFonts w:ascii="Verdana" w:eastAsia="Century Gothic" w:hAnsi="Verdana" w:cs="Century Gothic"/>
          <w:sz w:val="20"/>
          <w:szCs w:val="20"/>
        </w:rPr>
      </w:pPr>
    </w:p>
    <w:p w14:paraId="1B523A93" w14:textId="77777777" w:rsidR="00F449DB" w:rsidRDefault="00F449DB" w:rsidP="00F449DB">
      <w:pPr>
        <w:spacing w:after="0" w:line="240" w:lineRule="auto"/>
        <w:ind w:left="709" w:right="709"/>
        <w:jc w:val="both"/>
        <w:rPr>
          <w:rFonts w:ascii="Verdana" w:eastAsia="Century Gothic" w:hAnsi="Verdana" w:cs="Century Gothic"/>
          <w:sz w:val="20"/>
          <w:szCs w:val="20"/>
        </w:rPr>
      </w:pPr>
      <w:r w:rsidRPr="00046329">
        <w:rPr>
          <w:rFonts w:ascii="Verdana" w:eastAsia="Century Gothic" w:hAnsi="Verdana" w:cs="Century Gothic"/>
          <w:sz w:val="20"/>
          <w:szCs w:val="20"/>
        </w:rPr>
        <w:t xml:space="preserve">En la respuesta oficial a un derecho de petición, la Alcaldía manifestó que esta figura es legal porque no se trata de un nombramiento ni vinculación mediante acto administrativo reglado, sino de contratos de prestación de servicios, y que por ende no aplicaría la prohibición del artículo 128 de la Constitución Política. </w:t>
      </w:r>
    </w:p>
    <w:p w14:paraId="3C9DCE3A" w14:textId="77777777" w:rsidR="00F449DB" w:rsidRDefault="00F449DB" w:rsidP="00F449DB">
      <w:pPr>
        <w:spacing w:after="0" w:line="240" w:lineRule="auto"/>
        <w:ind w:left="709" w:right="709"/>
        <w:jc w:val="both"/>
        <w:rPr>
          <w:rFonts w:ascii="Verdana" w:eastAsia="Century Gothic" w:hAnsi="Verdana" w:cs="Century Gothic"/>
          <w:sz w:val="20"/>
          <w:szCs w:val="20"/>
        </w:rPr>
      </w:pPr>
    </w:p>
    <w:p w14:paraId="0CFD6316" w14:textId="77777777" w:rsidR="00F449DB" w:rsidRDefault="00F449DB" w:rsidP="00F449DB">
      <w:pPr>
        <w:spacing w:after="0" w:line="240" w:lineRule="auto"/>
        <w:ind w:left="709" w:right="709"/>
        <w:jc w:val="both"/>
        <w:rPr>
          <w:rFonts w:ascii="Verdana" w:eastAsia="Century Gothic" w:hAnsi="Verdana" w:cs="Century Gothic"/>
          <w:sz w:val="20"/>
          <w:szCs w:val="20"/>
        </w:rPr>
      </w:pPr>
      <w:r w:rsidRPr="00046329">
        <w:rPr>
          <w:rFonts w:ascii="Verdana" w:eastAsia="Century Gothic" w:hAnsi="Verdana" w:cs="Century Gothic"/>
          <w:sz w:val="20"/>
          <w:szCs w:val="20"/>
        </w:rPr>
        <w:t xml:space="preserve">2. Consulta jurídica </w:t>
      </w:r>
    </w:p>
    <w:p w14:paraId="6FCEF890" w14:textId="77777777" w:rsidR="00F449DB" w:rsidRDefault="00F449DB" w:rsidP="00F449DB">
      <w:pPr>
        <w:spacing w:after="0" w:line="240" w:lineRule="auto"/>
        <w:ind w:left="709" w:right="709"/>
        <w:jc w:val="both"/>
        <w:rPr>
          <w:rFonts w:ascii="Verdana" w:eastAsia="Century Gothic" w:hAnsi="Verdana" w:cs="Century Gothic"/>
          <w:sz w:val="20"/>
          <w:szCs w:val="20"/>
        </w:rPr>
      </w:pPr>
    </w:p>
    <w:p w14:paraId="7222A7A4" w14:textId="77777777" w:rsidR="00F449DB" w:rsidRDefault="00F449DB" w:rsidP="00F449DB">
      <w:pPr>
        <w:spacing w:after="0" w:line="240" w:lineRule="auto"/>
        <w:ind w:left="709" w:right="709"/>
        <w:jc w:val="both"/>
        <w:rPr>
          <w:rFonts w:ascii="Verdana" w:eastAsia="Century Gothic" w:hAnsi="Verdana" w:cs="Century Gothic"/>
          <w:sz w:val="20"/>
          <w:szCs w:val="20"/>
        </w:rPr>
      </w:pPr>
      <w:r w:rsidRPr="00046329">
        <w:rPr>
          <w:rFonts w:ascii="Verdana" w:eastAsia="Century Gothic" w:hAnsi="Verdana" w:cs="Century Gothic"/>
          <w:sz w:val="20"/>
          <w:szCs w:val="20"/>
        </w:rPr>
        <w:t xml:space="preserve">Con base en lo anterior, solicito respetuosamente emitir concepto jurídico sobre lo siguiente: </w:t>
      </w:r>
    </w:p>
    <w:p w14:paraId="36863E2F" w14:textId="77777777" w:rsidR="00F449DB" w:rsidRDefault="00F449DB" w:rsidP="00F449DB">
      <w:pPr>
        <w:spacing w:after="0" w:line="240" w:lineRule="auto"/>
        <w:ind w:left="709" w:right="709"/>
        <w:jc w:val="both"/>
        <w:rPr>
          <w:rFonts w:ascii="Verdana" w:eastAsia="Century Gothic" w:hAnsi="Verdana" w:cs="Century Gothic"/>
          <w:sz w:val="20"/>
          <w:szCs w:val="20"/>
        </w:rPr>
      </w:pPr>
    </w:p>
    <w:p w14:paraId="570C5170" w14:textId="77777777" w:rsidR="00F449DB" w:rsidRPr="00FF007A" w:rsidRDefault="00F449DB" w:rsidP="00F449DB">
      <w:pPr>
        <w:spacing w:after="0" w:line="240" w:lineRule="auto"/>
        <w:ind w:left="709" w:right="709"/>
        <w:jc w:val="both"/>
        <w:rPr>
          <w:rFonts w:ascii="Verdana" w:eastAsia="Century Gothic" w:hAnsi="Verdana" w:cs="Century Gothic"/>
          <w:sz w:val="20"/>
          <w:szCs w:val="20"/>
        </w:rPr>
      </w:pPr>
      <w:r w:rsidRPr="00046329">
        <w:rPr>
          <w:rFonts w:ascii="Verdana" w:eastAsia="Century Gothic" w:hAnsi="Verdana" w:cs="Century Gothic"/>
          <w:sz w:val="20"/>
          <w:szCs w:val="20"/>
        </w:rPr>
        <w:t xml:space="preserve">¿Es jurídicamente procedente que una misma persona natural tenga vigentes dos contratos de prestación de servicios simultáneamente con el mismo municipio, para funciones distintas, sin que ello configure inhabilidad, incompatibilidad o vulneración del artículo 128 de la Constitución Política, </w:t>
      </w:r>
      <w:proofErr w:type="gramStart"/>
      <w:r w:rsidRPr="00046329">
        <w:rPr>
          <w:rFonts w:ascii="Verdana" w:eastAsia="Century Gothic" w:hAnsi="Verdana" w:cs="Century Gothic"/>
          <w:sz w:val="20"/>
          <w:szCs w:val="20"/>
        </w:rPr>
        <w:t>la Ley 909 de 2004, la Ley 80 de 1993 y demás normas aplicables?</w:t>
      </w:r>
      <w:proofErr w:type="gramEnd"/>
      <w:r w:rsidRPr="00046329">
        <w:rPr>
          <w:rFonts w:ascii="Verdana" w:eastAsia="Century Gothic" w:hAnsi="Verdana" w:cs="Century Gothic"/>
          <w:sz w:val="20"/>
          <w:szCs w:val="20"/>
        </w:rPr>
        <w:t xml:space="preserve"> </w:t>
      </w:r>
      <w:r w:rsidRPr="007C7B24">
        <w:rPr>
          <w:rFonts w:ascii="Verdana" w:hAnsi="Verdana"/>
          <w:sz w:val="20"/>
          <w:szCs w:val="20"/>
        </w:rPr>
        <w:t>(…)”.</w:t>
      </w:r>
    </w:p>
    <w:p w14:paraId="0E9D10A7" w14:textId="77777777" w:rsidR="00F449DB" w:rsidRPr="00FF007A" w:rsidRDefault="00F449DB" w:rsidP="00F449DB">
      <w:pPr>
        <w:spacing w:after="0" w:line="240" w:lineRule="auto"/>
        <w:ind w:left="709" w:right="709"/>
        <w:jc w:val="both"/>
        <w:rPr>
          <w:rFonts w:ascii="Verdana" w:hAnsi="Verdana"/>
          <w:sz w:val="20"/>
          <w:szCs w:val="20"/>
        </w:rPr>
      </w:pPr>
    </w:p>
    <w:p w14:paraId="3A949DC7" w14:textId="77777777" w:rsidR="00F449DB" w:rsidRPr="00FF007A" w:rsidRDefault="00F449DB" w:rsidP="00F449DB">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F99EB85" w14:textId="369EE84E" w:rsidR="00F449DB" w:rsidRDefault="00F449DB" w:rsidP="005E22BB">
      <w:pPr>
        <w:spacing w:after="120" w:line="276" w:lineRule="auto"/>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w:t>
      </w:r>
      <w:r w:rsidRPr="00FF007A">
        <w:rPr>
          <w:rFonts w:ascii="Verdana" w:eastAsia="Calibri" w:hAnsi="Verdana" w:cs="Arial"/>
          <w:color w:val="000000"/>
          <w:lang w:eastAsia="es-ES"/>
        </w:rPr>
        <w:t xml:space="preserve"> de su consulta.  </w:t>
      </w:r>
    </w:p>
    <w:p w14:paraId="6C64BCA7" w14:textId="77777777" w:rsidR="00DC113B" w:rsidRPr="00983C76" w:rsidRDefault="00DC113B" w:rsidP="005E22BB">
      <w:pPr>
        <w:spacing w:after="120" w:line="276" w:lineRule="auto"/>
        <w:ind w:firstLine="709"/>
        <w:jc w:val="both"/>
        <w:rPr>
          <w:rFonts w:ascii="Verdana" w:eastAsia="Calibri" w:hAnsi="Verdana" w:cs="Arial"/>
          <w:color w:val="000000"/>
          <w:lang w:eastAsia="es-ES"/>
        </w:rPr>
      </w:pPr>
    </w:p>
    <w:p w14:paraId="4EED4474" w14:textId="77777777" w:rsidR="00F449DB" w:rsidRPr="002C54E7" w:rsidRDefault="00F449DB" w:rsidP="00F449D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C54E7">
        <w:rPr>
          <w:rFonts w:ascii="Verdana" w:eastAsia="Century Gothic" w:hAnsi="Verdana" w:cs="Century Gothic"/>
          <w:b/>
          <w:bCs/>
          <w:lang w:val="es-CO"/>
        </w:rPr>
        <w:lastRenderedPageBreak/>
        <w:t>Problema planteado:</w:t>
      </w:r>
    </w:p>
    <w:p w14:paraId="7F67E8C8" w14:textId="77777777" w:rsidR="00F449DB" w:rsidRPr="002C54E7" w:rsidRDefault="00F449DB" w:rsidP="00F449DB">
      <w:pPr>
        <w:spacing w:after="0" w:line="240" w:lineRule="auto"/>
        <w:jc w:val="both"/>
        <w:rPr>
          <w:rFonts w:ascii="Verdana" w:eastAsia="Calibri" w:hAnsi="Verdana" w:cs="Arial"/>
          <w:color w:val="000000"/>
          <w:lang w:eastAsia="es-ES"/>
        </w:rPr>
      </w:pPr>
    </w:p>
    <w:p w14:paraId="505A4E45" w14:textId="77777777" w:rsidR="00F449DB" w:rsidRPr="005779FD" w:rsidRDefault="00F449DB" w:rsidP="00F449DB">
      <w:pPr>
        <w:spacing w:after="120" w:line="276" w:lineRule="auto"/>
        <w:jc w:val="both"/>
        <w:rPr>
          <w:rFonts w:ascii="Verdana" w:eastAsia="Calibri" w:hAnsi="Verdana" w:cs="Arial"/>
          <w:color w:val="000000"/>
          <w:lang w:eastAsia="es-ES"/>
        </w:rPr>
      </w:pPr>
      <w:r w:rsidRPr="005779FD">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siguiente problema jurídico: </w:t>
      </w:r>
      <w:r w:rsidRPr="00FB586C">
        <w:rPr>
          <w:rFonts w:ascii="Verdana" w:eastAsia="Calibri" w:hAnsi="Verdana" w:cs="Arial"/>
          <w:color w:val="000000"/>
          <w:lang w:eastAsia="es-ES"/>
        </w:rPr>
        <w:t>¿</w:t>
      </w:r>
      <w:r>
        <w:rPr>
          <w:rFonts w:ascii="Verdana" w:eastAsia="Calibri" w:hAnsi="Verdana" w:cs="Arial"/>
          <w:color w:val="000000"/>
          <w:lang w:eastAsia="es-ES"/>
        </w:rPr>
        <w:t>U</w:t>
      </w:r>
      <w:r w:rsidRPr="00FB586C">
        <w:rPr>
          <w:rFonts w:ascii="Verdana" w:eastAsia="Calibri" w:hAnsi="Verdana" w:cs="Arial"/>
          <w:color w:val="000000"/>
          <w:lang w:eastAsia="es-ES"/>
        </w:rPr>
        <w:t xml:space="preserve">na persona natural puede celebrar simultáneamente varios contratos de prestación de servicios con la misma entidad pública? </w:t>
      </w:r>
    </w:p>
    <w:p w14:paraId="33799298" w14:textId="77777777" w:rsidR="00F449DB" w:rsidRPr="00FF007A" w:rsidRDefault="00F449DB" w:rsidP="00F449DB">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59F9AFC7" w14:textId="77777777" w:rsidR="00F449DB" w:rsidRPr="00FF007A" w:rsidRDefault="00F449DB" w:rsidP="00F449DB">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449DB" w:rsidRPr="00FF007A" w14:paraId="62BDF803" w14:textId="77777777" w:rsidTr="00AE1304">
        <w:tc>
          <w:tcPr>
            <w:tcW w:w="8828" w:type="dxa"/>
          </w:tcPr>
          <w:p w14:paraId="5AD947F9" w14:textId="77777777" w:rsidR="00F449DB" w:rsidRPr="00274395" w:rsidRDefault="00F449DB" w:rsidP="00AE1304">
            <w:pPr>
              <w:widowControl w:val="0"/>
              <w:autoSpaceDE w:val="0"/>
              <w:autoSpaceDN w:val="0"/>
              <w:spacing w:after="120" w:line="276" w:lineRule="auto"/>
              <w:jc w:val="both"/>
              <w:rPr>
                <w:rFonts w:ascii="Verdana" w:hAnsi="Verdana" w:cs="Arial"/>
                <w:color w:val="000000" w:themeColor="text1"/>
                <w:lang w:val="es-ES"/>
              </w:rPr>
            </w:pPr>
            <w:r>
              <w:rPr>
                <w:rFonts w:ascii="Verdana" w:eastAsia="Arial" w:hAnsi="Verdana" w:cs="Arial"/>
                <w:lang w:val="es-ES" w:eastAsia="es-ES" w:bidi="es-ES"/>
              </w:rPr>
              <w:t xml:space="preserve">En atención a </w:t>
            </w:r>
            <w:r w:rsidRPr="00022BAF">
              <w:rPr>
                <w:rFonts w:ascii="Verdana" w:eastAsia="Arial" w:hAnsi="Verdana" w:cs="Arial"/>
                <w:lang w:val="es-ES"/>
              </w:rPr>
              <w:t>la naturaleza jurídica del contrato de prestación de servicios, la prohibición de percibir doble asignación no es aplicable, pues estos, en virtud del artículo 32 de la Ley 80 de 1993, no comportan una relación laboral, sino que son fruto de la libre autonomía de la voluntad de los contratantes, por consiguiente, el contratista no es considerado un servidor público, al no tener un vínculo de subordinación con el Estado, elemento propio de un contrato laboral.</w:t>
            </w:r>
          </w:p>
          <w:p w14:paraId="5CAAFDC3" w14:textId="77777777" w:rsidR="00F449DB" w:rsidRPr="00274395" w:rsidRDefault="00F449DB" w:rsidP="00AE1304">
            <w:pPr>
              <w:widowControl w:val="0"/>
              <w:autoSpaceDE w:val="0"/>
              <w:autoSpaceDN w:val="0"/>
              <w:spacing w:after="120" w:line="276" w:lineRule="auto"/>
              <w:ind w:firstLine="709"/>
              <w:jc w:val="both"/>
              <w:rPr>
                <w:rFonts w:ascii="Verdana" w:hAnsi="Verdana" w:cs="Arial"/>
                <w:color w:val="000000" w:themeColor="text1"/>
                <w:lang w:val="es-ES"/>
              </w:rPr>
            </w:pPr>
            <w:r w:rsidRPr="00274395">
              <w:rPr>
                <w:rFonts w:ascii="Verdana" w:hAnsi="Verdana" w:cs="Arial"/>
                <w:color w:val="000000" w:themeColor="text1"/>
                <w:lang w:val="es-ES"/>
              </w:rPr>
              <w:t>De esta manera, a los contratistas del Estado no les aplica la prohibición del artículo 128 de la Constitución Política, toda vez que no se consideran servidores públicos porque su relación con el Estado está dada en el marco de un negocio jurídico y no en virtud de una relación laboral.</w:t>
            </w:r>
          </w:p>
          <w:p w14:paraId="26D607AB" w14:textId="77777777" w:rsidR="00F449DB" w:rsidRPr="00274395" w:rsidRDefault="00F449DB" w:rsidP="00AE1304">
            <w:pPr>
              <w:widowControl w:val="0"/>
              <w:autoSpaceDE w:val="0"/>
              <w:autoSpaceDN w:val="0"/>
              <w:spacing w:after="120" w:line="276" w:lineRule="auto"/>
              <w:ind w:firstLine="709"/>
              <w:jc w:val="both"/>
              <w:rPr>
                <w:rFonts w:ascii="Verdana" w:hAnsi="Verdana" w:cs="Arial"/>
                <w:color w:val="000000" w:themeColor="text1"/>
                <w:lang w:val="es-ES"/>
              </w:rPr>
            </w:pPr>
            <w:r w:rsidRPr="00274395">
              <w:rPr>
                <w:rFonts w:ascii="Verdana" w:hAnsi="Verdana" w:cs="Arial"/>
                <w:color w:val="000000" w:themeColor="text1"/>
                <w:lang w:val="es-ES"/>
              </w:rPr>
              <w:t xml:space="preserve">Ahora bien, respecto de la posibilidad de celebrar varios contratos de prestación de servicios con la misma entidad, y que además coexistan, conviene recordar que, en materia de contratación estatal, la capacidad jurídica también configura un requisito de validez de los contratos, tanto en el régimen de las entidades sujetas al EGCAP como en el de las entidades exceptuadas de aquel. </w:t>
            </w:r>
          </w:p>
          <w:p w14:paraId="7BF0FF30" w14:textId="77777777" w:rsidR="00F449DB" w:rsidRPr="00274395" w:rsidRDefault="00F449DB" w:rsidP="00AE1304">
            <w:pPr>
              <w:widowControl w:val="0"/>
              <w:autoSpaceDE w:val="0"/>
              <w:autoSpaceDN w:val="0"/>
              <w:spacing w:after="120" w:line="276" w:lineRule="auto"/>
              <w:ind w:firstLine="709"/>
              <w:jc w:val="both"/>
              <w:rPr>
                <w:rFonts w:ascii="Verdana" w:hAnsi="Verdana" w:cs="Arial"/>
                <w:color w:val="000000" w:themeColor="text1"/>
                <w:lang w:val="es-ES"/>
              </w:rPr>
            </w:pPr>
            <w:r w:rsidRPr="00274395">
              <w:rPr>
                <w:rFonts w:ascii="Verdana" w:hAnsi="Verdana" w:cs="Arial"/>
                <w:color w:val="000000" w:themeColor="text1"/>
                <w:lang w:val="es-ES"/>
              </w:rPr>
              <w:t>Si bien la regulación de la capacidad en el contrato de prestación de servicios se integra por varias disposiciones y exigencias especiales, se destaca el régimen de inhabilidades e incompatibilidades como un conjunto de normas que imponen restricciones para los sujetos que, eventualmente, pretendan participar en los procedimientos de selección o celebrar contratos con las entidades estatales.</w:t>
            </w:r>
          </w:p>
          <w:p w14:paraId="677ACCFF" w14:textId="77777777" w:rsidR="00F449DB" w:rsidRPr="00274395" w:rsidRDefault="00F449DB" w:rsidP="00AE1304">
            <w:pPr>
              <w:widowControl w:val="0"/>
              <w:autoSpaceDE w:val="0"/>
              <w:autoSpaceDN w:val="0"/>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274395">
              <w:rPr>
                <w:rFonts w:ascii="Verdana" w:hAnsi="Verdana" w:cs="Arial"/>
                <w:color w:val="000000" w:themeColor="text1"/>
                <w:lang w:val="es-ES"/>
              </w:rPr>
              <w:t>se concluye que no existe una inhabilidad, incompatibilidad o prohibición de otra naturaleza para que contratista celebre varios contratos de prestación de servicios con la misma entidad</w:t>
            </w:r>
            <w:r>
              <w:rPr>
                <w:rFonts w:ascii="Verdana" w:hAnsi="Verdana" w:cs="Arial"/>
                <w:color w:val="000000" w:themeColor="text1"/>
                <w:lang w:val="es-ES"/>
              </w:rPr>
              <w:t xml:space="preserve"> </w:t>
            </w:r>
            <w:r w:rsidRPr="00274395">
              <w:rPr>
                <w:rFonts w:ascii="Verdana" w:hAnsi="Verdana" w:cs="Arial"/>
                <w:color w:val="000000" w:themeColor="text1"/>
                <w:lang w:val="es-ES"/>
              </w:rPr>
              <w:t>con la cual existe una relación de tipo legal o contractual,</w:t>
            </w:r>
            <w:r>
              <w:rPr>
                <w:rFonts w:ascii="Verdana" w:hAnsi="Verdana" w:cs="Arial"/>
                <w:color w:val="000000" w:themeColor="text1"/>
                <w:lang w:val="es-ES"/>
              </w:rPr>
              <w:t xml:space="preserve"> dado </w:t>
            </w:r>
            <w:r>
              <w:rPr>
                <w:rFonts w:ascii="Verdana" w:hAnsi="Verdana" w:cs="Arial"/>
                <w:color w:val="000000" w:themeColor="text1"/>
                <w:lang w:val="es-ES"/>
              </w:rPr>
              <w:lastRenderedPageBreak/>
              <w:t>que</w:t>
            </w:r>
            <w:r w:rsidRPr="00274395">
              <w:rPr>
                <w:rFonts w:ascii="Verdana" w:hAnsi="Verdana" w:cs="Arial"/>
                <w:color w:val="000000" w:themeColor="text1"/>
                <w:lang w:val="es-ES"/>
              </w:rPr>
              <w:t xml:space="preserve"> no se subsume en ninguno de los supuestos de hecho, ni se advierte que la hipótesis materia de consulta configure alguna de las causales previstas establecidos en el artículo 8 de la Ley 80 de 1993, así dichos contratos coexistan en el tiempo.</w:t>
            </w:r>
          </w:p>
          <w:p w14:paraId="6D173684" w14:textId="77777777" w:rsidR="00F449DB" w:rsidRDefault="00F449DB" w:rsidP="00AE1304">
            <w:pPr>
              <w:widowControl w:val="0"/>
              <w:autoSpaceDE w:val="0"/>
              <w:autoSpaceDN w:val="0"/>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w:t>
            </w:r>
            <w:r>
              <w:rPr>
                <w:rFonts w:ascii="Verdana" w:hAnsi="Verdana" w:cs="Arial"/>
                <w:color w:val="000000" w:themeColor="text1"/>
                <w:lang w:val="es-ES"/>
              </w:rPr>
              <w:t xml:space="preserve">propios del contrato de prestación de servicios </w:t>
            </w:r>
            <w:r w:rsidRPr="00CA3CC2">
              <w:rPr>
                <w:rFonts w:ascii="Verdana" w:hAnsi="Verdana" w:cs="Arial"/>
                <w:color w:val="000000" w:themeColor="text1"/>
                <w:lang w:val="es-ES"/>
              </w:rPr>
              <w:t>pues se recuerda que la celebración d</w:t>
            </w:r>
            <w:r>
              <w:rPr>
                <w:rFonts w:ascii="Verdana" w:hAnsi="Verdana" w:cs="Arial"/>
                <w:color w:val="000000" w:themeColor="text1"/>
                <w:lang w:val="es-ES"/>
              </w:rPr>
              <w:t xml:space="preserve">e estos contratos </w:t>
            </w:r>
            <w:r w:rsidRPr="00CA3CC2">
              <w:rPr>
                <w:rFonts w:ascii="Verdana" w:hAnsi="Verdana" w:cs="Arial"/>
                <w:color w:val="000000" w:themeColor="text1"/>
                <w:lang w:val="es-ES"/>
              </w:rPr>
              <w:t xml:space="preserve">con una persona natural es </w:t>
            </w:r>
            <w:r w:rsidRPr="00274395">
              <w:rPr>
                <w:rFonts w:ascii="Verdana" w:hAnsi="Verdana" w:cs="Arial"/>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satisfactoriamente en los estudios previos. Además, dicho contrato debe ser </w:t>
            </w:r>
            <w:r w:rsidRPr="00274395">
              <w:rPr>
                <w:rFonts w:ascii="Verdana" w:hAnsi="Verdana" w:cs="Arial"/>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Pr>
                <w:rFonts w:ascii="Verdana" w:hAnsi="Verdana" w:cs="Arial"/>
                <w:color w:val="000000" w:themeColor="text1"/>
                <w:lang w:val="es-ES"/>
              </w:rPr>
              <w:t>.</w:t>
            </w:r>
          </w:p>
          <w:p w14:paraId="2E9344AA" w14:textId="77777777" w:rsidR="00F449DB" w:rsidRPr="00274395" w:rsidRDefault="00F449DB" w:rsidP="00AE1304">
            <w:pPr>
              <w:widowControl w:val="0"/>
              <w:autoSpaceDE w:val="0"/>
              <w:autoSpaceDN w:val="0"/>
              <w:spacing w:after="120" w:line="276" w:lineRule="auto"/>
              <w:ind w:firstLine="709"/>
              <w:jc w:val="both"/>
              <w:rPr>
                <w:rFonts w:ascii="Verdana" w:eastAsia="Arial" w:hAnsi="Verdana" w:cs="Arial"/>
                <w:lang w:val="es-ES"/>
              </w:rPr>
            </w:pPr>
            <w:r>
              <w:rPr>
                <w:rFonts w:ascii="Verdana" w:hAnsi="Verdana" w:cs="Arial"/>
                <w:color w:val="000000" w:themeColor="text1"/>
                <w:lang w:val="es-ES"/>
              </w:rPr>
              <w:t>Aunado a lo anterior</w:t>
            </w:r>
            <w:r>
              <w:rPr>
                <w:rFonts w:ascii="Verdana" w:eastAsia="Arial MT" w:hAnsi="Verdana" w:cs="Arial"/>
                <w:lang w:eastAsia="es-ES" w:bidi="es-ES"/>
              </w:rPr>
              <w:t xml:space="preserve">, 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los servicios en una y otra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Fonts w:ascii="Verdana" w:eastAsia="Arial MT" w:hAnsi="Verdana" w:cs="Arial"/>
                <w:lang w:eastAsia="es-ES" w:bidi="es-ES"/>
              </w:rPr>
              <w:t xml:space="preserve">. </w:t>
            </w:r>
            <w:r w:rsidRPr="00201080">
              <w:rPr>
                <w:rFonts w:ascii="Verdana" w:eastAsia="Arial MT" w:hAnsi="Verdana" w:cs="Arial"/>
                <w:lang w:eastAsia="es-ES" w:bidi="es-ES"/>
              </w:rPr>
              <w:t>Sin embargo,</w:t>
            </w:r>
            <w:r>
              <w:rPr>
                <w:rFonts w:ascii="Verdana" w:eastAsia="Arial MT" w:hAnsi="Verdana" w:cs="Arial"/>
                <w:lang w:eastAsia="es-ES" w:bidi="es-ES"/>
              </w:rPr>
              <w:t xml:space="preserve"> la entidad contratante deberá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sus servicios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Fonts w:ascii="Verdana" w:eastAsia="Arial MT" w:hAnsi="Verdana" w:cs="Arial"/>
                <w:lang w:eastAsia="es-ES" w:bidi="es-ES"/>
              </w:rPr>
              <w:t>. En estos casos, es necesario que el conflicto de interés satisfaga los requisitos de</w:t>
            </w:r>
            <w:r w:rsidRPr="00510988">
              <w:rPr>
                <w:rFonts w:ascii="Verdana" w:eastAsia="Arial MT" w:hAnsi="Verdana" w:cs="Arial"/>
                <w:i/>
                <w:iCs/>
                <w:lang w:eastAsia="es-ES" w:bidi="es-ES"/>
              </w:rPr>
              <w:t xml:space="preserve"> tipicidad</w:t>
            </w:r>
            <w:r>
              <w:rPr>
                <w:rFonts w:ascii="Verdana" w:eastAsia="Arial MT" w:hAnsi="Verdana" w:cs="Arial"/>
                <w:lang w:eastAsia="es-ES" w:bidi="es-ES"/>
              </w:rPr>
              <w:t xml:space="preserve"> y </w:t>
            </w:r>
            <w:r w:rsidRPr="00510988">
              <w:rPr>
                <w:rFonts w:ascii="Verdana" w:eastAsia="Arial MT" w:hAnsi="Verdana" w:cs="Arial"/>
                <w:i/>
                <w:iCs/>
                <w:lang w:eastAsia="es-ES" w:bidi="es-ES"/>
              </w:rPr>
              <w:t>objetividad</w:t>
            </w:r>
            <w:r>
              <w:rPr>
                <w:rFonts w:ascii="Verdana" w:eastAsia="Arial MT" w:hAnsi="Verdana" w:cs="Arial"/>
                <w:i/>
                <w:iCs/>
                <w:lang w:eastAsia="es-ES" w:bidi="es-ES"/>
              </w:rPr>
              <w:t>.</w:t>
            </w:r>
            <w:r w:rsidRPr="00510988">
              <w:rPr>
                <w:rFonts w:ascii="Verdana" w:eastAsia="Arial MT" w:hAnsi="Verdana" w:cs="Arial"/>
                <w:i/>
                <w:iCs/>
                <w:lang w:eastAsia="es-ES" w:bidi="es-ES"/>
              </w:rPr>
              <w:t xml:space="preserve"> </w:t>
            </w:r>
          </w:p>
        </w:tc>
      </w:tr>
    </w:tbl>
    <w:p w14:paraId="2CE06528" w14:textId="77777777" w:rsidR="00F449DB" w:rsidRPr="00FF007A" w:rsidRDefault="00F449DB" w:rsidP="00F449DB">
      <w:pPr>
        <w:tabs>
          <w:tab w:val="left" w:pos="142"/>
          <w:tab w:val="left" w:pos="284"/>
        </w:tabs>
        <w:spacing w:after="0" w:line="276" w:lineRule="auto"/>
        <w:jc w:val="both"/>
        <w:rPr>
          <w:rFonts w:ascii="Verdana" w:eastAsia="Century Gothic" w:hAnsi="Verdana" w:cs="Century Gothic"/>
          <w:b/>
          <w:bCs/>
        </w:rPr>
      </w:pPr>
    </w:p>
    <w:p w14:paraId="37956FBF" w14:textId="77777777" w:rsidR="00F449DB" w:rsidRPr="00FF007A" w:rsidRDefault="00F449DB" w:rsidP="00F449DB">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7AECBF69" w14:textId="77777777" w:rsidR="00F449DB" w:rsidRPr="00FF007A" w:rsidRDefault="00F449DB" w:rsidP="00F449DB">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77814DB" w14:textId="77777777" w:rsidR="00F449DB" w:rsidRDefault="00F449DB" w:rsidP="00F449DB">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04C4FD30" w14:textId="77777777" w:rsidR="00F449DB" w:rsidRDefault="00F449DB" w:rsidP="00F449DB">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1431D5EF" w14:textId="77777777" w:rsidR="00F449DB" w:rsidRPr="00837A86" w:rsidRDefault="00F449DB" w:rsidP="009F5275">
      <w:pPr>
        <w:spacing w:after="0" w:line="276" w:lineRule="auto"/>
        <w:jc w:val="both"/>
        <w:rPr>
          <w:rFonts w:ascii="Verdana" w:eastAsia="Calibri" w:hAnsi="Verdana" w:cs="Arial"/>
          <w:color w:val="000000"/>
          <w:lang w:eastAsia="es-ES"/>
        </w:rPr>
      </w:pPr>
      <w:r w:rsidRPr="00837A86">
        <w:rPr>
          <w:rFonts w:ascii="Verdana" w:eastAsia="Calibri" w:hAnsi="Verdana" w:cs="Arial"/>
          <w:color w:val="000000"/>
          <w:lang w:eastAsia="es-ES"/>
        </w:rPr>
        <w:t xml:space="preserve">El contrato de prestación de servicios es uno de los tipos contractuales </w:t>
      </w:r>
      <w:r w:rsidRPr="00837A86">
        <w:rPr>
          <w:rFonts w:ascii="Verdana" w:eastAsia="Calibri" w:hAnsi="Verdana" w:cs="Arial"/>
          <w:color w:val="000000"/>
          <w:lang w:eastAsia="es-ES"/>
        </w:rPr>
        <w:t xml:space="preserve">consagrados en el Estatuto General de Contratación de la Administración Pública – en adelante EGCAP–, que pueden celebrar las Entidades Estatales. Se trata de </w:t>
      </w:r>
      <w:r w:rsidRPr="00837A86">
        <w:rPr>
          <w:rFonts w:ascii="Verdana" w:eastAsia="Calibri" w:hAnsi="Verdana" w:cs="Arial"/>
          <w:color w:val="000000"/>
          <w:lang w:eastAsia="es-ES"/>
        </w:rPr>
        <w:lastRenderedPageBreak/>
        <w:t>un contrato típico, ya que se encuentra definido en la ley. Concretamente, el artículo 32, numeral 3º, de la Ley 80 de 1993, establece:</w:t>
      </w:r>
    </w:p>
    <w:p w14:paraId="11C52404" w14:textId="77777777" w:rsidR="009F5275" w:rsidRPr="00837A86" w:rsidRDefault="009F5275" w:rsidP="00F672B8">
      <w:pPr>
        <w:spacing w:after="0" w:line="276" w:lineRule="auto"/>
        <w:jc w:val="both"/>
        <w:rPr>
          <w:rFonts w:ascii="Verdana" w:eastAsia="Calibri" w:hAnsi="Verdana" w:cs="Arial"/>
          <w:color w:val="000000"/>
          <w:lang w:eastAsia="es-ES"/>
        </w:rPr>
      </w:pPr>
    </w:p>
    <w:p w14:paraId="56E8EDD7" w14:textId="77777777" w:rsidR="00F449DB" w:rsidRPr="00022BAF" w:rsidRDefault="00F449DB" w:rsidP="00F449DB">
      <w:pPr>
        <w:spacing w:after="0" w:line="240" w:lineRule="auto"/>
        <w:ind w:left="709" w:right="616"/>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w:t>
      </w:r>
      <w:r w:rsidRPr="00022BAF">
        <w:rPr>
          <w:rFonts w:ascii="Verdana" w:eastAsia="Arial" w:hAnsi="Verdana" w:cs="Arial"/>
          <w:color w:val="000000" w:themeColor="text1"/>
          <w:sz w:val="20"/>
          <w:szCs w:val="20"/>
          <w:lang w:val="es-ES" w:eastAsia="es-ES"/>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0F93DE7" w14:textId="77777777" w:rsidR="00F449DB" w:rsidRPr="00022BAF" w:rsidRDefault="00F449DB" w:rsidP="00F449DB">
      <w:pPr>
        <w:spacing w:after="0" w:line="240" w:lineRule="auto"/>
        <w:ind w:left="709" w:right="616"/>
        <w:jc w:val="both"/>
        <w:rPr>
          <w:rFonts w:ascii="Verdana" w:eastAsia="Arial" w:hAnsi="Verdana" w:cs="Arial"/>
          <w:color w:val="000000"/>
          <w:sz w:val="20"/>
          <w:szCs w:val="20"/>
          <w:lang w:val="es-ES" w:eastAsia="es-ES"/>
        </w:rPr>
      </w:pPr>
    </w:p>
    <w:p w14:paraId="34C896DE" w14:textId="77777777" w:rsidR="00F449DB" w:rsidRPr="00022BAF" w:rsidRDefault="00F449DB" w:rsidP="00F449DB">
      <w:pPr>
        <w:spacing w:after="0" w:line="240" w:lineRule="auto"/>
        <w:ind w:left="709" w:right="616"/>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En ningún caso estos contratos generan relación laboral ni prestaciones sociales y se celebrarán por el término estrictamente indispensable”.</w:t>
      </w:r>
    </w:p>
    <w:p w14:paraId="0E509539" w14:textId="77777777" w:rsidR="00F449DB" w:rsidRPr="00022BAF" w:rsidRDefault="00F449DB" w:rsidP="00F449DB">
      <w:pPr>
        <w:tabs>
          <w:tab w:val="left" w:pos="284"/>
        </w:tabs>
        <w:spacing w:after="0" w:line="276" w:lineRule="auto"/>
        <w:jc w:val="both"/>
        <w:rPr>
          <w:rFonts w:ascii="Verdana" w:eastAsia="Arial" w:hAnsi="Verdana" w:cs="Arial"/>
          <w:b/>
          <w:bCs/>
          <w:color w:val="000000"/>
          <w:lang w:val="es-ES" w:eastAsia="es-ES"/>
        </w:rPr>
      </w:pPr>
    </w:p>
    <w:p w14:paraId="447965A0" w14:textId="77777777" w:rsidR="00F449DB" w:rsidRPr="00837A86" w:rsidRDefault="00F449DB" w:rsidP="00F449DB">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De otro lado, la celebración de dicho contrato se debe efectuar a través de la modalidad de la contratación directa. Así lo prevé el artículo 2, numeral 4º, literal h), de la Ley 1150 de 2007, que dispone:</w:t>
      </w:r>
    </w:p>
    <w:p w14:paraId="003C94A1" w14:textId="77777777" w:rsidR="00F449DB" w:rsidRPr="00022BAF"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r>
        <w:rPr>
          <w:rFonts w:ascii="Verdana" w:eastAsia="Arial" w:hAnsi="Verdana" w:cs="Arial"/>
          <w:color w:val="000000" w:themeColor="text1"/>
          <w:sz w:val="20"/>
          <w:szCs w:val="20"/>
          <w:lang w:val="es-ES" w:eastAsia="es-ES"/>
        </w:rPr>
        <w:t>“(…)</w:t>
      </w:r>
    </w:p>
    <w:p w14:paraId="2F1E8E60" w14:textId="77777777" w:rsidR="00F449DB" w:rsidRPr="00022BAF"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p>
    <w:p w14:paraId="4248C0F5" w14:textId="77777777" w:rsidR="00F449DB" w:rsidRPr="00022BAF"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 xml:space="preserve">Contratación directa. La modalidad de selección de contratación </w:t>
      </w:r>
      <w:proofErr w:type="gramStart"/>
      <w:r w:rsidRPr="00022BAF">
        <w:rPr>
          <w:rFonts w:ascii="Verdana" w:eastAsia="Arial" w:hAnsi="Verdana" w:cs="Arial"/>
          <w:color w:val="000000" w:themeColor="text1"/>
          <w:sz w:val="20"/>
          <w:szCs w:val="20"/>
          <w:lang w:val="es-ES" w:eastAsia="es-ES"/>
        </w:rPr>
        <w:t>directa,</w:t>
      </w:r>
      <w:proofErr w:type="gramEnd"/>
      <w:r w:rsidRPr="00022BAF">
        <w:rPr>
          <w:rFonts w:ascii="Verdana" w:eastAsia="Arial" w:hAnsi="Verdana" w:cs="Arial"/>
          <w:color w:val="000000" w:themeColor="text1"/>
          <w:sz w:val="20"/>
          <w:szCs w:val="20"/>
          <w:lang w:val="es-ES" w:eastAsia="es-ES"/>
        </w:rPr>
        <w:t xml:space="preserve"> solamente procederá en los siguientes casos:</w:t>
      </w:r>
    </w:p>
    <w:p w14:paraId="7C1F552F" w14:textId="77777777" w:rsidR="00F449DB" w:rsidRPr="00022BAF"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p>
    <w:p w14:paraId="5913F8A3" w14:textId="77777777" w:rsidR="00F449DB" w:rsidRDefault="00F449DB" w:rsidP="00F449DB">
      <w:pPr>
        <w:spacing w:after="0" w:line="240" w:lineRule="auto"/>
        <w:ind w:left="709" w:right="616"/>
        <w:contextualSpacing/>
        <w:jc w:val="both"/>
        <w:rPr>
          <w:rFonts w:ascii="Verdana" w:eastAsia="Arial" w:hAnsi="Verdana" w:cs="Arial"/>
          <w:color w:val="000000" w:themeColor="text1"/>
          <w:sz w:val="20"/>
          <w:szCs w:val="20"/>
          <w:lang w:val="es-ES" w:eastAsia="es-ES"/>
        </w:rPr>
      </w:pPr>
      <w:r>
        <w:rPr>
          <w:rFonts w:ascii="Verdana" w:eastAsia="Arial" w:hAnsi="Verdana" w:cs="Arial"/>
          <w:color w:val="000000" w:themeColor="text1"/>
          <w:sz w:val="20"/>
          <w:szCs w:val="20"/>
          <w:lang w:val="es-ES" w:eastAsia="es-ES"/>
        </w:rPr>
        <w:t>(…)</w:t>
      </w:r>
    </w:p>
    <w:p w14:paraId="6E367C20" w14:textId="77777777" w:rsidR="00F449DB" w:rsidRDefault="00F449DB" w:rsidP="00F449DB">
      <w:pPr>
        <w:spacing w:after="0" w:line="240" w:lineRule="auto"/>
        <w:ind w:left="709" w:right="616"/>
        <w:contextualSpacing/>
        <w:jc w:val="both"/>
        <w:rPr>
          <w:rFonts w:ascii="Verdana" w:eastAsia="Arial" w:hAnsi="Verdana" w:cs="Arial"/>
          <w:color w:val="000000" w:themeColor="text1"/>
          <w:sz w:val="20"/>
          <w:szCs w:val="20"/>
          <w:lang w:val="es-ES" w:eastAsia="es-ES"/>
        </w:rPr>
      </w:pPr>
    </w:p>
    <w:p w14:paraId="3B44BB94" w14:textId="77777777" w:rsidR="00F449DB" w:rsidRPr="00022BAF"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themeColor="text1"/>
          <w:sz w:val="20"/>
          <w:szCs w:val="20"/>
          <w:lang w:val="es-ES" w:eastAsia="es-ES"/>
        </w:rPr>
        <w:t>h) Para la prestación de servicios profesionales y de apoyo a la gestión, o para la ejecución de trabajos artísticos que sólo puedan encomendarse a determinadas personas naturales</w:t>
      </w:r>
      <w:r>
        <w:rPr>
          <w:rFonts w:ascii="Verdana" w:eastAsia="Arial" w:hAnsi="Verdana" w:cs="Arial"/>
          <w:color w:val="000000" w:themeColor="text1"/>
          <w:sz w:val="20"/>
          <w:szCs w:val="20"/>
          <w:lang w:val="es-ES" w:eastAsia="es-ES"/>
        </w:rPr>
        <w:t xml:space="preserve"> (…)</w:t>
      </w:r>
      <w:r w:rsidRPr="00022BAF">
        <w:rPr>
          <w:rFonts w:ascii="Verdana" w:eastAsia="Arial" w:hAnsi="Verdana" w:cs="Arial"/>
          <w:color w:val="000000" w:themeColor="text1"/>
          <w:sz w:val="20"/>
          <w:szCs w:val="20"/>
          <w:lang w:val="es-ES" w:eastAsia="es-ES"/>
        </w:rPr>
        <w:t>”.</w:t>
      </w:r>
    </w:p>
    <w:p w14:paraId="56DD0298" w14:textId="77777777" w:rsidR="00F449DB" w:rsidRPr="00022BAF" w:rsidRDefault="00F449DB" w:rsidP="00F449DB">
      <w:pPr>
        <w:spacing w:after="0" w:line="276" w:lineRule="auto"/>
        <w:ind w:right="709"/>
        <w:jc w:val="both"/>
        <w:rPr>
          <w:rFonts w:ascii="Verdana" w:eastAsia="Arial" w:hAnsi="Verdana" w:cs="Arial"/>
          <w:color w:val="000000"/>
          <w:sz w:val="20"/>
          <w:szCs w:val="20"/>
          <w:lang w:val="es-ES" w:eastAsia="es-ES"/>
        </w:rPr>
      </w:pPr>
    </w:p>
    <w:p w14:paraId="77B95549" w14:textId="77777777" w:rsidR="00F449DB" w:rsidRPr="00837A86" w:rsidRDefault="00F449DB" w:rsidP="00F449DB">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A partir de estos enunciados normativos, entre otros, de carácter legal y reglamentario, que complementan su regulación, y de los pronunciamientos judiciales más destacados sobre el tema</w:t>
      </w:r>
      <w:r w:rsidRPr="00C75E9B">
        <w:rPr>
          <w:rFonts w:ascii="Verdana" w:eastAsia="Calibri" w:hAnsi="Verdana" w:cs="Arial"/>
          <w:color w:val="000000"/>
          <w:lang w:eastAsia="es-ES"/>
        </w:rPr>
        <w:footnoteReference w:id="1"/>
      </w:r>
      <w:r w:rsidRPr="00C75E9B">
        <w:rPr>
          <w:rFonts w:ascii="Verdana" w:eastAsia="Calibri" w:hAnsi="Verdana" w:cs="Arial"/>
          <w:color w:val="000000"/>
          <w:lang w:eastAsia="es-ES"/>
        </w:rPr>
        <w:t>,</w:t>
      </w:r>
      <w:r w:rsidRPr="00837A86">
        <w:rPr>
          <w:rFonts w:ascii="Verdana" w:eastAsia="Calibri" w:hAnsi="Verdana" w:cs="Arial"/>
          <w:color w:val="000000"/>
          <w:lang w:eastAsia="es-ES"/>
        </w:rPr>
        <w:t xml:space="preserve"> es posible señalar las siguientes características del contrato de prestación de servicios:</w:t>
      </w:r>
    </w:p>
    <w:p w14:paraId="1C09CA15" w14:textId="77777777" w:rsidR="00F449DB" w:rsidRPr="00837A86" w:rsidRDefault="00F449DB" w:rsidP="00F449DB">
      <w:pPr>
        <w:spacing w:after="120" w:line="276" w:lineRule="auto"/>
        <w:ind w:firstLine="709"/>
        <w:jc w:val="both"/>
        <w:rPr>
          <w:rFonts w:ascii="Verdana" w:eastAsia="Calibri" w:hAnsi="Verdana" w:cs="Arial"/>
          <w:color w:val="000000"/>
          <w:lang w:eastAsia="es-ES"/>
        </w:rPr>
      </w:pPr>
      <w:r w:rsidRPr="00022BAF">
        <w:rPr>
          <w:rFonts w:ascii="Verdana" w:eastAsia="Arial" w:hAnsi="Verdana" w:cs="Arial"/>
          <w:color w:val="000000" w:themeColor="text1"/>
          <w:lang w:val="es-ES" w:eastAsia="es-ES"/>
        </w:rPr>
        <w:t>i</w:t>
      </w:r>
      <w:r w:rsidRPr="00837A86">
        <w:rPr>
          <w:rFonts w:ascii="Verdana" w:eastAsia="Calibri" w:hAnsi="Verdana" w:cs="Arial"/>
          <w:color w:val="000000"/>
          <w:lang w:eastAsia="es-ES"/>
        </w:rPr>
        <w:t>) Solo puede celebrarse para realizar “actividades relacionadas con la administración o funcionamiento de la entidad”, es decir, que hagan parte de su giro ordinario o quehacer cotidiano.</w:t>
      </w:r>
    </w:p>
    <w:p w14:paraId="3E9A4525" w14:textId="77777777" w:rsidR="00F449DB" w:rsidRPr="00837A86" w:rsidRDefault="00F449DB" w:rsidP="00F449DB">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ii</w:t>
      </w:r>
      <w:proofErr w:type="spellEnd"/>
      <w:r w:rsidRPr="00837A86">
        <w:rPr>
          <w:rFonts w:ascii="Verdana" w:eastAsia="Calibri" w:hAnsi="Verdana" w:cs="Arial"/>
          <w:color w:val="000000"/>
          <w:lang w:eastAsia="es-ES"/>
        </w:rPr>
        <w:t xml:space="preserve">) Admite que se suscriba tanto con personas naturales como con personas jurídicas. Se requiere que la Entidad Estatal justifique en los estudios </w:t>
      </w:r>
      <w:r w:rsidRPr="00837A86">
        <w:rPr>
          <w:rFonts w:ascii="Verdana" w:eastAsia="Calibri" w:hAnsi="Verdana" w:cs="Arial"/>
          <w:color w:val="000000"/>
          <w:lang w:eastAsia="es-ES"/>
        </w:rPr>
        <w:lastRenderedPageBreak/>
        <w:t>previos que las actividades que buscan encomendarse a aquella “no puedan realizarse con personal de planta o requieran conocimientos especializados”</w:t>
      </w:r>
      <w:r w:rsidRPr="00837A86">
        <w:rPr>
          <w:rFonts w:ascii="Verdana" w:eastAsia="Calibri" w:hAnsi="Verdana" w:cs="Arial"/>
          <w:color w:val="000000"/>
          <w:vertAlign w:val="superscript"/>
          <w:lang w:eastAsia="es-ES"/>
        </w:rPr>
        <w:footnoteReference w:id="2"/>
      </w:r>
      <w:r w:rsidRPr="00837A86">
        <w:rPr>
          <w:rFonts w:ascii="Verdana" w:eastAsia="Calibri" w:hAnsi="Verdana" w:cs="Arial"/>
          <w:color w:val="000000"/>
          <w:vertAlign w:val="superscript"/>
          <w:lang w:eastAsia="es-ES"/>
        </w:rPr>
        <w:t xml:space="preserve">. </w:t>
      </w:r>
    </w:p>
    <w:p w14:paraId="3F5B7B27" w14:textId="77777777" w:rsidR="00F449DB" w:rsidRDefault="00F449DB" w:rsidP="00F449DB">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iii</w:t>
      </w:r>
      <w:proofErr w:type="spellEnd"/>
      <w:r w:rsidRPr="00837A86">
        <w:rPr>
          <w:rFonts w:ascii="Verdana" w:eastAsia="Calibri" w:hAnsi="Verdana" w:cs="Arial"/>
          <w:color w:val="000000"/>
          <w:lang w:eastAsia="es-ES"/>
        </w:rPr>
        <w:t>) Si bien se celebran para obtener la prestación personal de un servicio, se diferencian del contrato de trabajo</w:t>
      </w:r>
      <w:r w:rsidRPr="00C75E9B">
        <w:rPr>
          <w:rFonts w:ascii="Verdana" w:eastAsia="Calibri" w:hAnsi="Verdana" w:cs="Arial"/>
          <w:color w:val="000000"/>
          <w:vertAlign w:val="superscript"/>
          <w:lang w:eastAsia="es-ES"/>
        </w:rPr>
        <w:footnoteReference w:id="3"/>
      </w:r>
      <w:r w:rsidRPr="00837A86">
        <w:rPr>
          <w:rFonts w:ascii="Verdana" w:eastAsia="Calibri" w:hAnsi="Verdana" w:cs="Arial"/>
          <w:color w:val="000000"/>
          <w:lang w:eastAsia="es-ES"/>
        </w:rPr>
        <w:t xml:space="preserve"> en que quien celebra el contrato de prestación de servicios debe mantener autonomía e independencia en la ejecución de la labor, lo que significa que no puede existir la subordinación y dependencia, que es uno de los elementos constitutivos del vínculo laboral. Por ello el artículo 32, </w:t>
      </w:r>
      <w:r w:rsidRPr="006903F4">
        <w:rPr>
          <w:rFonts w:ascii="Verdana" w:eastAsia="Calibri" w:hAnsi="Verdana" w:cs="Arial"/>
          <w:color w:val="000000"/>
          <w:lang w:eastAsia="es-ES"/>
        </w:rPr>
        <w:t>numeral</w:t>
      </w:r>
      <w:r w:rsidRPr="00837A86">
        <w:rPr>
          <w:rFonts w:ascii="Verdana" w:eastAsia="Calibri" w:hAnsi="Verdana" w:cs="Arial"/>
          <w:color w:val="000000"/>
          <w:lang w:eastAsia="es-ES"/>
        </w:rPr>
        <w:t xml:space="preserve">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w:t>
      </w:r>
    </w:p>
    <w:p w14:paraId="3390516C" w14:textId="77777777" w:rsidR="00F449DB" w:rsidRPr="00837A86" w:rsidRDefault="00F449DB" w:rsidP="00F449DB">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 xml:space="preserve">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w:t>
      </w:r>
      <w:r w:rsidRPr="00837A86">
        <w:rPr>
          <w:rFonts w:ascii="Verdana" w:eastAsia="Calibri" w:hAnsi="Verdana" w:cs="Arial"/>
          <w:color w:val="000000"/>
          <w:lang w:eastAsia="es-ES"/>
        </w:rPr>
        <w:lastRenderedPageBreak/>
        <w:t>no vulneran los preceptos constitucionales, razón por la cual deberán ser declaradas exequibles, salvo que se acredite por parte del contratista la existencia de una relación laboral subordinada”</w:t>
      </w:r>
      <w:r w:rsidRPr="00C75E9B">
        <w:rPr>
          <w:rFonts w:ascii="Verdana" w:eastAsia="Calibri" w:hAnsi="Verdana" w:cs="Arial"/>
          <w:color w:val="000000"/>
          <w:vertAlign w:val="superscript"/>
          <w:lang w:eastAsia="es-ES"/>
        </w:rPr>
        <w:footnoteReference w:id="4"/>
      </w:r>
      <w:r w:rsidRPr="00837A86">
        <w:rPr>
          <w:rFonts w:ascii="Verdana" w:eastAsia="Calibri" w:hAnsi="Verdana" w:cs="Arial"/>
          <w:color w:val="000000"/>
          <w:lang w:eastAsia="es-ES"/>
        </w:rPr>
        <w:t>.</w:t>
      </w:r>
    </w:p>
    <w:p w14:paraId="4290764C" w14:textId="77777777" w:rsidR="00F449DB" w:rsidRDefault="00F449DB" w:rsidP="00F449DB">
      <w:pPr>
        <w:spacing w:after="120" w:line="276" w:lineRule="auto"/>
        <w:ind w:firstLine="709"/>
        <w:jc w:val="both"/>
        <w:rPr>
          <w:rFonts w:ascii="Verdana" w:eastAsia="Calibri" w:hAnsi="Verdana" w:cs="Arial"/>
          <w:color w:val="000000"/>
          <w:lang w:eastAsia="es-ES"/>
        </w:rPr>
      </w:pPr>
      <w:proofErr w:type="spellStart"/>
      <w:r w:rsidRPr="00837A86">
        <w:rPr>
          <w:rFonts w:ascii="Verdana" w:eastAsia="Calibri" w:hAnsi="Verdana" w:cs="Arial"/>
          <w:color w:val="000000"/>
          <w:lang w:eastAsia="es-ES"/>
        </w:rPr>
        <w:t>iv</w:t>
      </w:r>
      <w:proofErr w:type="spellEnd"/>
      <w:r w:rsidRPr="00837A86">
        <w:rPr>
          <w:rFonts w:ascii="Verdana" w:eastAsia="Calibri" w:hAnsi="Verdana" w:cs="Arial"/>
          <w:color w:val="000000"/>
          <w:lang w:eastAsia="es-ES"/>
        </w:rPr>
        <w:t>) Deben ser temporales. Así lo señaló la Sentencia de Unificación Jurisprudencial de 09 de septiembre de 2021, proferida por el Consejo de Estado</w:t>
      </w:r>
      <w:r w:rsidRPr="00C75E9B">
        <w:rPr>
          <w:rFonts w:ascii="Verdana" w:eastAsia="Calibri" w:hAnsi="Verdana" w:cs="Arial"/>
          <w:color w:val="000000"/>
          <w:vertAlign w:val="superscript"/>
          <w:lang w:eastAsia="es-ES"/>
        </w:rPr>
        <w:footnoteReference w:id="5"/>
      </w:r>
      <w:r w:rsidRPr="00837A86">
        <w:rPr>
          <w:rFonts w:ascii="Verdana" w:eastAsia="Calibri" w:hAnsi="Verdana" w:cs="Arial"/>
          <w:color w:val="000000"/>
          <w:lang w:eastAsia="es-ES"/>
        </w:rPr>
        <w:t>, frente a la duración del contrato de prestación de servicios. En dicha providencia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3B172830" w14:textId="77777777" w:rsidR="00F449DB" w:rsidRPr="00837A86" w:rsidRDefault="00F449DB" w:rsidP="00F449DB">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Pr="006903F4">
        <w:rPr>
          <w:rFonts w:ascii="Verdana" w:eastAsia="Calibri" w:hAnsi="Verdana" w:cs="Arial"/>
          <w:color w:val="000000"/>
          <w:vertAlign w:val="superscript"/>
          <w:lang w:eastAsia="es-ES"/>
        </w:rPr>
        <w:footnoteReference w:id="6"/>
      </w:r>
      <w:r w:rsidRPr="00837A86">
        <w:rPr>
          <w:rFonts w:ascii="Verdana" w:eastAsia="Calibri" w:hAnsi="Verdana" w:cs="Arial"/>
          <w:color w:val="000000"/>
          <w:lang w:eastAsia="es-ES"/>
        </w:rPr>
        <w:t>. 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026D8678" w14:textId="77777777" w:rsidR="00F449DB" w:rsidRPr="00DA2127"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sz w:val="20"/>
          <w:szCs w:val="20"/>
          <w:lang w:val="es-ES" w:eastAsia="es-ES"/>
        </w:rPr>
        <w:lastRenderedPageBreak/>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DA2127">
        <w:rPr>
          <w:rFonts w:ascii="Verdana" w:eastAsia="Arial" w:hAnsi="Verdana" w:cs="Arial"/>
          <w:color w:val="000000"/>
          <w:sz w:val="20"/>
          <w:szCs w:val="20"/>
          <w:vertAlign w:val="superscript"/>
          <w:lang w:val="es-ES" w:eastAsia="es-ES"/>
        </w:rPr>
        <w:footnoteReference w:id="7"/>
      </w:r>
      <w:r w:rsidRPr="00DA2127">
        <w:rPr>
          <w:rFonts w:ascii="Verdana" w:eastAsia="Arial" w:hAnsi="Verdana" w:cs="Arial"/>
          <w:color w:val="000000"/>
          <w:sz w:val="20"/>
          <w:szCs w:val="20"/>
          <w:lang w:val="es-ES" w:eastAsia="es-ES"/>
        </w:rPr>
        <w:t>.</w:t>
      </w:r>
    </w:p>
    <w:p w14:paraId="3ECC5294" w14:textId="77777777" w:rsidR="00F449DB" w:rsidRPr="00022BAF" w:rsidRDefault="00F449DB" w:rsidP="00DC113B">
      <w:pPr>
        <w:spacing w:after="0" w:line="240" w:lineRule="auto"/>
        <w:ind w:firstLine="709"/>
        <w:jc w:val="both"/>
        <w:rPr>
          <w:rFonts w:ascii="Verdana" w:eastAsia="Arial" w:hAnsi="Verdana" w:cs="Arial"/>
          <w:color w:val="000000"/>
          <w:lang w:val="es-ES" w:eastAsia="es-ES"/>
        </w:rPr>
      </w:pPr>
    </w:p>
    <w:p w14:paraId="3F88DF52" w14:textId="77777777" w:rsidR="00F449DB" w:rsidRPr="00C75E9B" w:rsidRDefault="00F449DB" w:rsidP="00F449DB">
      <w:pPr>
        <w:spacing w:after="120" w:line="276" w:lineRule="auto"/>
        <w:ind w:firstLine="709"/>
        <w:jc w:val="both"/>
        <w:rPr>
          <w:rFonts w:ascii="Verdana" w:eastAsia="Calibri" w:hAnsi="Verdana" w:cs="Arial"/>
          <w:color w:val="000000"/>
          <w:lang w:eastAsia="es-ES"/>
        </w:rPr>
      </w:pPr>
      <w:r w:rsidRPr="00837A86">
        <w:rPr>
          <w:rFonts w:ascii="Verdana" w:eastAsia="Calibri" w:hAnsi="Verdana" w:cs="Arial"/>
          <w:color w:val="000000"/>
          <w:lang w:eastAsia="es-ES"/>
        </w:rPr>
        <w:t>Objeto que, según la sentencia que se cita, se diferencia del objeto del contrato de prestación de servicios de apoyo a la gestión, porque en este:</w:t>
      </w:r>
    </w:p>
    <w:p w14:paraId="00EC1852" w14:textId="77777777" w:rsidR="00F449DB" w:rsidRPr="00DA2127" w:rsidRDefault="00F449DB" w:rsidP="00F449DB">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themeColor="text1"/>
          <w:sz w:val="20"/>
          <w:szCs w:val="20"/>
          <w:lang w:val="es-ES" w:eastAsia="es-ES"/>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7C6DB8DC" w14:textId="77777777" w:rsidR="00F449DB" w:rsidRPr="00DA2127" w:rsidRDefault="00F449DB" w:rsidP="00F449DB">
      <w:pPr>
        <w:spacing w:after="0" w:line="240" w:lineRule="auto"/>
        <w:ind w:left="709" w:right="709"/>
        <w:contextualSpacing/>
        <w:jc w:val="both"/>
        <w:rPr>
          <w:rFonts w:ascii="Verdana" w:eastAsia="Arial" w:hAnsi="Verdana" w:cs="Arial"/>
          <w:color w:val="000000"/>
          <w:sz w:val="20"/>
          <w:szCs w:val="20"/>
          <w:lang w:val="es-ES" w:eastAsia="es-ES"/>
        </w:rPr>
      </w:pPr>
    </w:p>
    <w:p w14:paraId="1859BD2C" w14:textId="77777777" w:rsidR="00F449DB" w:rsidRPr="00DA2127" w:rsidRDefault="00F449DB" w:rsidP="00F449DB">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themeColor="text1"/>
          <w:sz w:val="20"/>
          <w:szCs w:val="20"/>
          <w:lang w:val="es-ES" w:eastAsia="es-ES"/>
        </w:rPr>
        <w:t xml:space="preserve">Aunque también se caracteriza por el desempeño de actividad intelectiva, ésta </w:t>
      </w:r>
      <w:proofErr w:type="gramStart"/>
      <w:r w:rsidRPr="00DA2127">
        <w:rPr>
          <w:rFonts w:ascii="Verdana" w:eastAsia="Arial" w:hAnsi="Verdana" w:cs="Arial"/>
          <w:color w:val="000000" w:themeColor="text1"/>
          <w:sz w:val="20"/>
          <w:szCs w:val="20"/>
          <w:lang w:val="es-ES" w:eastAsia="es-ES"/>
        </w:rPr>
        <w:t>se enmarca dentro de</w:t>
      </w:r>
      <w:proofErr w:type="gramEnd"/>
      <w:r w:rsidRPr="00DA2127">
        <w:rPr>
          <w:rFonts w:ascii="Verdana" w:eastAsia="Arial" w:hAnsi="Verdana" w:cs="Arial"/>
          <w:color w:val="000000" w:themeColor="text1"/>
          <w:sz w:val="20"/>
          <w:szCs w:val="20"/>
          <w:lang w:val="es-ES" w:eastAsia="es-ES"/>
        </w:rPr>
        <w:t xml:space="preserve"> un saber propiamente técnico; igualmente involucra actividades en donde prima el esfuerzo físico o mecánico, en donde no se requiere de personal profesional.</w:t>
      </w:r>
    </w:p>
    <w:p w14:paraId="45BAF98E" w14:textId="77777777" w:rsidR="00F449DB" w:rsidRPr="00DA2127" w:rsidRDefault="00F449DB" w:rsidP="00F449DB">
      <w:pPr>
        <w:spacing w:after="0" w:line="240" w:lineRule="auto"/>
        <w:ind w:left="709" w:right="709"/>
        <w:contextualSpacing/>
        <w:jc w:val="both"/>
        <w:rPr>
          <w:rFonts w:ascii="Verdana" w:eastAsia="Arial" w:hAnsi="Verdana" w:cs="Arial"/>
          <w:color w:val="000000"/>
          <w:sz w:val="20"/>
          <w:szCs w:val="20"/>
          <w:lang w:val="es-ES" w:eastAsia="es-ES"/>
        </w:rPr>
      </w:pPr>
    </w:p>
    <w:p w14:paraId="31049BBF" w14:textId="77777777" w:rsidR="00F449DB" w:rsidRPr="00DA2127" w:rsidRDefault="00F449DB" w:rsidP="00F449DB">
      <w:pPr>
        <w:spacing w:after="0" w:line="240" w:lineRule="auto"/>
        <w:ind w:left="709" w:right="709"/>
        <w:contextualSpacing/>
        <w:jc w:val="both"/>
        <w:rPr>
          <w:rFonts w:ascii="Verdana" w:eastAsia="Arial" w:hAnsi="Verdana" w:cs="Arial"/>
          <w:color w:val="000000"/>
          <w:sz w:val="20"/>
          <w:szCs w:val="20"/>
          <w:lang w:val="es-ES" w:eastAsia="es-ES"/>
        </w:rPr>
      </w:pPr>
      <w:r w:rsidRPr="00DA2127">
        <w:rPr>
          <w:rFonts w:ascii="Verdana" w:eastAsia="Arial" w:hAnsi="Verdana" w:cs="Arial"/>
          <w:color w:val="000000"/>
          <w:sz w:val="20"/>
          <w:szCs w:val="20"/>
          <w:lang w:val="es-ES" w:eastAsia="es-ES"/>
        </w:rPr>
        <w:t>Dentro de su objeto contractual pueden tener lugar actividades operativas, logísticas o asistenciales, siempre que satisfaga los requisitos antes mencionados y sea acorde con las necesidades de la Administración y el principio de planeación”</w:t>
      </w:r>
      <w:r w:rsidRPr="00DA2127">
        <w:rPr>
          <w:rFonts w:ascii="Verdana" w:eastAsia="Arial" w:hAnsi="Verdana" w:cs="Arial"/>
          <w:color w:val="000000"/>
          <w:sz w:val="20"/>
          <w:szCs w:val="20"/>
          <w:vertAlign w:val="superscript"/>
          <w:lang w:val="es-ES" w:eastAsia="es-ES"/>
        </w:rPr>
        <w:footnoteReference w:id="8"/>
      </w:r>
      <w:r w:rsidRPr="00DA2127">
        <w:rPr>
          <w:rFonts w:ascii="Verdana" w:eastAsia="Arial" w:hAnsi="Verdana" w:cs="Arial"/>
          <w:color w:val="000000"/>
          <w:sz w:val="20"/>
          <w:szCs w:val="20"/>
          <w:lang w:val="es-ES" w:eastAsia="es-ES"/>
        </w:rPr>
        <w:t>.</w:t>
      </w:r>
    </w:p>
    <w:p w14:paraId="18D7BC17" w14:textId="77777777" w:rsidR="00F449DB" w:rsidRPr="00DA2127" w:rsidRDefault="00F449DB" w:rsidP="00F449DB">
      <w:pPr>
        <w:spacing w:after="0" w:line="276" w:lineRule="auto"/>
        <w:ind w:firstLine="709"/>
        <w:jc w:val="both"/>
        <w:rPr>
          <w:rFonts w:ascii="Verdana" w:eastAsia="Arial" w:hAnsi="Verdana" w:cs="Arial"/>
          <w:color w:val="000000"/>
          <w:sz w:val="20"/>
          <w:szCs w:val="20"/>
          <w:lang w:val="es-ES" w:eastAsia="es-ES"/>
        </w:rPr>
      </w:pPr>
    </w:p>
    <w:p w14:paraId="27577FB2" w14:textId="77777777" w:rsidR="00F449DB" w:rsidRPr="00022BAF" w:rsidRDefault="00F449DB" w:rsidP="00F449DB">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themeColor="text1"/>
          <w:lang w:val="es-ES" w:eastAsia="es-ES"/>
        </w:rPr>
        <w:t>En relación con el contrato de prestación de servicios artísticos que solo pueden encomendarse a determinadas personas naturales, señala el mencionado fallo que:</w:t>
      </w:r>
    </w:p>
    <w:p w14:paraId="62CA9220" w14:textId="77777777" w:rsidR="00F449DB" w:rsidRPr="00DA2127" w:rsidRDefault="00F449DB" w:rsidP="00F449DB">
      <w:pPr>
        <w:spacing w:after="0" w:line="240" w:lineRule="auto"/>
        <w:ind w:left="709" w:right="616"/>
        <w:contextualSpacing/>
        <w:jc w:val="both"/>
        <w:rPr>
          <w:rFonts w:ascii="Verdana" w:eastAsia="Arial" w:hAnsi="Verdana" w:cs="Arial"/>
          <w:color w:val="000000"/>
          <w:sz w:val="20"/>
          <w:szCs w:val="20"/>
          <w:lang w:val="es-ES" w:eastAsia="es-ES"/>
        </w:rPr>
      </w:pPr>
      <w:r w:rsidRPr="00022BAF">
        <w:rPr>
          <w:rFonts w:ascii="Verdana" w:eastAsia="Arial" w:hAnsi="Verdana" w:cs="Arial"/>
          <w:color w:val="000000"/>
          <w:lang w:val="es-ES" w:eastAsia="es-ES"/>
        </w:rPr>
        <w:t>“</w:t>
      </w:r>
      <w:r w:rsidRPr="00DA2127">
        <w:rPr>
          <w:rFonts w:ascii="Verdana" w:eastAsia="Arial" w:hAnsi="Verdana" w:cs="Arial"/>
          <w:color w:val="000000"/>
          <w:sz w:val="20"/>
          <w:szCs w:val="20"/>
          <w:lang w:val="es-ES" w:eastAsia="es-ES"/>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DA2127">
        <w:rPr>
          <w:rFonts w:ascii="Verdana" w:eastAsia="Arial" w:hAnsi="Verdana" w:cs="Arial"/>
          <w:color w:val="000000"/>
          <w:sz w:val="20"/>
          <w:szCs w:val="20"/>
          <w:vertAlign w:val="superscript"/>
          <w:lang w:val="es-ES" w:eastAsia="es-ES"/>
        </w:rPr>
        <w:footnoteReference w:id="9"/>
      </w:r>
      <w:r w:rsidRPr="00DA2127">
        <w:rPr>
          <w:rFonts w:ascii="Verdana" w:eastAsia="Arial" w:hAnsi="Verdana" w:cs="Arial"/>
          <w:color w:val="000000"/>
          <w:sz w:val="20"/>
          <w:szCs w:val="20"/>
          <w:lang w:val="es-ES" w:eastAsia="es-ES"/>
        </w:rPr>
        <w:t>.</w:t>
      </w:r>
    </w:p>
    <w:p w14:paraId="1054B3E3" w14:textId="77777777" w:rsidR="00F449DB" w:rsidRDefault="00F449DB" w:rsidP="00F449DB">
      <w:pPr>
        <w:spacing w:after="0" w:line="240" w:lineRule="auto"/>
        <w:ind w:firstLine="709"/>
        <w:jc w:val="both"/>
        <w:rPr>
          <w:rFonts w:ascii="Verdana" w:eastAsia="Arial" w:hAnsi="Verdana" w:cs="Arial"/>
          <w:color w:val="000000"/>
          <w:lang w:val="es-ES" w:eastAsia="es-ES"/>
        </w:rPr>
      </w:pPr>
    </w:p>
    <w:p w14:paraId="1C85D246" w14:textId="77777777" w:rsidR="00F449DB" w:rsidRPr="00022BAF" w:rsidRDefault="00F449DB" w:rsidP="00F449DB">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lastRenderedPageBreak/>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022BAF">
        <w:rPr>
          <w:rFonts w:ascii="Verdana" w:eastAsia="Arial" w:hAnsi="Verdana" w:cs="Arial"/>
          <w:color w:val="000000"/>
          <w:vertAlign w:val="superscript"/>
          <w:lang w:val="es-ES" w:eastAsia="es-ES"/>
        </w:rPr>
        <w:footnoteReference w:id="10"/>
      </w:r>
      <w:r w:rsidRPr="00022BAF">
        <w:rPr>
          <w:rFonts w:ascii="Verdana" w:eastAsia="Arial" w:hAnsi="Verdana" w:cs="Arial"/>
          <w:color w:val="000000"/>
          <w:lang w:val="es-ES" w:eastAsia="es-ES"/>
        </w:rPr>
        <w:t xml:space="preserve">. Pero, tampoco puede suscribirse un contrato de prestación de servicios profesionales para que el contratista ejecute labores que </w:t>
      </w:r>
      <w:proofErr w:type="gramStart"/>
      <w:r w:rsidRPr="00022BAF">
        <w:rPr>
          <w:rFonts w:ascii="Verdana" w:eastAsia="Arial" w:hAnsi="Verdana" w:cs="Arial"/>
          <w:color w:val="000000"/>
          <w:lang w:val="es-ES" w:eastAsia="es-ES"/>
        </w:rPr>
        <w:t>se enmarcan dentro de</w:t>
      </w:r>
      <w:proofErr w:type="gramEnd"/>
      <w:r w:rsidRPr="00022BAF">
        <w:rPr>
          <w:rFonts w:ascii="Verdana" w:eastAsia="Arial" w:hAnsi="Verdana" w:cs="Arial"/>
          <w:color w:val="000000"/>
          <w:lang w:val="es-ES" w:eastAsia="es-ES"/>
        </w:rPr>
        <w:t xml:space="preserve"> los otros contratos tipificados en el artículo 32 de la Ley 80 de 1993, como, por ejemplo, para que el contratista de prestación de servicios construya una obra.</w:t>
      </w:r>
    </w:p>
    <w:p w14:paraId="54E093DB" w14:textId="77777777" w:rsidR="00F449DB" w:rsidRPr="00022BAF" w:rsidRDefault="00F449DB" w:rsidP="00F449DB">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t>vii</w:t>
      </w:r>
      <w:proofErr w:type="spellEnd"/>
      <w:r w:rsidRPr="00022BAF">
        <w:rPr>
          <w:rFonts w:ascii="Verdana" w:eastAsia="Arial" w:hAnsi="Verdana" w:cs="Arial"/>
          <w:color w:val="000000"/>
          <w:lang w:val="es-ES" w:eastAsia="es-ES"/>
        </w:rPr>
        <w:t>) Para su celebración no se requiere en algunos casos la expedición del acto administrativo de justificación de la contratación directa</w:t>
      </w:r>
      <w:r w:rsidRPr="00022BAF">
        <w:rPr>
          <w:rFonts w:ascii="Verdana" w:eastAsia="Arial" w:hAnsi="Verdana" w:cs="Arial"/>
          <w:color w:val="000000"/>
          <w:vertAlign w:val="superscript"/>
          <w:lang w:val="es-ES" w:eastAsia="es-ES"/>
        </w:rPr>
        <w:footnoteReference w:id="11"/>
      </w:r>
      <w:r w:rsidRPr="00022BAF">
        <w:rPr>
          <w:rFonts w:ascii="Verdana" w:eastAsia="Arial" w:hAnsi="Verdana" w:cs="Arial"/>
          <w:color w:val="000000"/>
          <w:lang w:val="es-ES" w:eastAsia="es-ES"/>
        </w:rPr>
        <w:t xml:space="preserve">. </w:t>
      </w:r>
    </w:p>
    <w:p w14:paraId="46951CE3" w14:textId="77777777" w:rsidR="00F449DB" w:rsidRDefault="00F449DB" w:rsidP="00F449DB">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t>viii</w:t>
      </w:r>
      <w:proofErr w:type="spellEnd"/>
      <w:r w:rsidRPr="00022BAF">
        <w:rPr>
          <w:rFonts w:ascii="Verdana" w:eastAsia="Arial"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C75E9B">
        <w:rPr>
          <w:rFonts w:ascii="Verdana" w:eastAsia="Arial" w:hAnsi="Verdana" w:cs="Arial"/>
          <w:color w:val="000000"/>
          <w:vertAlign w:val="superscript"/>
          <w:lang w:val="es-ES" w:eastAsia="es-ES"/>
        </w:rPr>
        <w:footnoteReference w:id="12"/>
      </w:r>
      <w:r w:rsidRPr="00022BAF">
        <w:rPr>
          <w:rFonts w:ascii="Verdana" w:eastAsia="Arial" w:hAnsi="Verdana" w:cs="Arial"/>
          <w:color w:val="000000"/>
          <w:lang w:val="es-ES" w:eastAsia="es-ES"/>
        </w:rPr>
        <w:t>.</w:t>
      </w:r>
    </w:p>
    <w:p w14:paraId="6182129F" w14:textId="77777777" w:rsidR="00F449DB" w:rsidRPr="00022BAF" w:rsidRDefault="00F449DB" w:rsidP="00F449DB">
      <w:pPr>
        <w:spacing w:after="120" w:line="276" w:lineRule="auto"/>
        <w:ind w:firstLine="709"/>
        <w:jc w:val="both"/>
        <w:rPr>
          <w:rFonts w:ascii="Verdana" w:eastAsia="Arial" w:hAnsi="Verdana" w:cs="Arial"/>
          <w:color w:val="000000"/>
          <w:lang w:val="es-ES" w:eastAsia="es-ES"/>
        </w:rPr>
      </w:pPr>
      <w:proofErr w:type="spellStart"/>
      <w:r w:rsidRPr="00022BAF">
        <w:rPr>
          <w:rFonts w:ascii="Verdana" w:eastAsia="Arial" w:hAnsi="Verdana" w:cs="Arial"/>
          <w:color w:val="000000"/>
          <w:lang w:val="es-ES" w:eastAsia="es-ES"/>
        </w:rPr>
        <w:lastRenderedPageBreak/>
        <w:t>ix</w:t>
      </w:r>
      <w:proofErr w:type="spellEnd"/>
      <w:r w:rsidRPr="00022BAF">
        <w:rPr>
          <w:rFonts w:ascii="Verdana" w:eastAsia="Arial" w:hAnsi="Verdana" w:cs="Arial"/>
          <w:color w:val="000000"/>
          <w:lang w:val="es-ES" w:eastAsia="es-ES"/>
        </w:rPr>
        <w:t xml:space="preserve">) </w:t>
      </w:r>
      <w:r>
        <w:rPr>
          <w:rFonts w:ascii="Verdana" w:eastAsia="Arial" w:hAnsi="Verdana" w:cs="Arial"/>
          <w:color w:val="000000"/>
          <w:lang w:val="es-ES" w:eastAsia="es-ES"/>
        </w:rPr>
        <w:t>N</w:t>
      </w:r>
      <w:r w:rsidRPr="00022BAF">
        <w:rPr>
          <w:rFonts w:ascii="Verdana" w:eastAsia="Arial" w:hAnsi="Verdana" w:cs="Arial"/>
          <w:color w:val="000000"/>
          <w:lang w:val="es-ES" w:eastAsia="es-ES"/>
        </w:rPr>
        <w:t>o es obligatoria la liquidación, pues así lo estableció el artículo 217 del Decreto 019 de 2012, que modificó el artículo 60 de la Ley 80 de 1993</w:t>
      </w:r>
      <w:r w:rsidRPr="00022BAF">
        <w:rPr>
          <w:rFonts w:ascii="Verdana" w:eastAsia="Arial" w:hAnsi="Verdana" w:cs="Arial"/>
          <w:color w:val="000000"/>
          <w:vertAlign w:val="superscript"/>
          <w:lang w:val="es-ES" w:eastAsia="es-ES"/>
        </w:rPr>
        <w:footnoteReference w:id="13"/>
      </w:r>
      <w:r w:rsidRPr="00022BAF">
        <w:rPr>
          <w:rFonts w:ascii="Verdana" w:eastAsia="Arial" w:hAnsi="Verdana" w:cs="Arial"/>
          <w:color w:val="000000"/>
          <w:lang w:val="es-ES" w:eastAsia="es-ES"/>
        </w:rPr>
        <w:t>.</w:t>
      </w:r>
    </w:p>
    <w:p w14:paraId="561135A7" w14:textId="77777777" w:rsidR="00F449DB" w:rsidRPr="00022BAF" w:rsidRDefault="00F449DB" w:rsidP="00F449DB">
      <w:pPr>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t>x) Para su celebración no se requiere inscripción en el Registro Único de Proponentes (RUP), según lo prevé el artículo 6 de la Ley 1150 de 2007</w:t>
      </w:r>
      <w:r w:rsidRPr="00C75E9B">
        <w:rPr>
          <w:rFonts w:ascii="Verdana" w:eastAsia="Arial" w:hAnsi="Verdana" w:cs="Arial"/>
          <w:color w:val="000000"/>
          <w:vertAlign w:val="superscript"/>
          <w:lang w:val="es-ES" w:eastAsia="es-ES"/>
        </w:rPr>
        <w:footnoteReference w:id="14"/>
      </w:r>
      <w:r w:rsidRPr="00022BAF">
        <w:rPr>
          <w:rFonts w:ascii="Verdana" w:eastAsia="Arial" w:hAnsi="Verdana" w:cs="Arial"/>
          <w:color w:val="000000"/>
          <w:lang w:val="es-ES" w:eastAsia="es-ES"/>
        </w:rPr>
        <w:t>.</w:t>
      </w:r>
    </w:p>
    <w:p w14:paraId="6D4423FA" w14:textId="77777777" w:rsidR="00F449DB" w:rsidRDefault="00F449DB" w:rsidP="00F449DB">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lang w:val="es-ES" w:eastAsia="es-ES"/>
        </w:rPr>
        <w:t>xi) En ellos no son necesarias las garantías</w:t>
      </w:r>
      <w:r w:rsidRPr="00022BAF">
        <w:rPr>
          <w:rFonts w:ascii="Verdana" w:eastAsia="Arial" w:hAnsi="Verdana" w:cs="Arial"/>
          <w:color w:val="000000"/>
          <w:vertAlign w:val="superscript"/>
          <w:lang w:val="es-ES" w:eastAsia="es-ES"/>
        </w:rPr>
        <w:footnoteReference w:id="15"/>
      </w:r>
      <w:r>
        <w:rPr>
          <w:rFonts w:ascii="Verdana" w:eastAsia="Arial" w:hAnsi="Verdana" w:cs="Arial"/>
          <w:color w:val="000000"/>
          <w:lang w:val="es-ES" w:eastAsia="es-ES"/>
        </w:rPr>
        <w:t>.</w:t>
      </w:r>
    </w:p>
    <w:p w14:paraId="6A2525A1" w14:textId="77777777" w:rsidR="00F449DB" w:rsidRPr="00DA2127" w:rsidRDefault="00F449DB" w:rsidP="00F449DB">
      <w:pPr>
        <w:ind w:firstLine="709"/>
        <w:jc w:val="both"/>
        <w:rPr>
          <w:rFonts w:ascii="Verdana" w:eastAsia="Arial" w:hAnsi="Verdana" w:cs="Arial"/>
          <w:color w:val="000000"/>
          <w:lang w:val="es-ES" w:eastAsia="es-ES"/>
        </w:rPr>
      </w:pPr>
      <w:proofErr w:type="spellStart"/>
      <w:r>
        <w:rPr>
          <w:rFonts w:ascii="Verdana" w:eastAsia="Arial" w:hAnsi="Verdana" w:cs="Arial"/>
          <w:color w:val="000000"/>
          <w:lang w:val="es-ES_tradnl" w:eastAsia="es-ES"/>
        </w:rPr>
        <w:t>xii</w:t>
      </w:r>
      <w:proofErr w:type="spellEnd"/>
      <w:r>
        <w:rPr>
          <w:rFonts w:ascii="Verdana" w:eastAsia="Arial" w:hAnsi="Verdana" w:cs="Arial"/>
          <w:color w:val="000000"/>
          <w:lang w:val="es-ES_tradnl" w:eastAsia="es-ES"/>
        </w:rPr>
        <w:t xml:space="preserve">) </w:t>
      </w:r>
      <w:r w:rsidRPr="00DA2127">
        <w:rPr>
          <w:rFonts w:ascii="Verdana" w:eastAsia="Arial" w:hAnsi="Verdana" w:cs="Arial"/>
          <w:color w:val="000000"/>
          <w:lang w:val="es-ES" w:eastAsia="es-ES"/>
        </w:rPr>
        <w:t>Como los demás contratos estatales, se trata de un contrato solemne que debe constar por escrito y debe ser publicado en el SECOP.</w:t>
      </w:r>
    </w:p>
    <w:p w14:paraId="2E217C6A" w14:textId="77777777" w:rsidR="00F449DB" w:rsidRDefault="00F449DB" w:rsidP="00F449DB">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color w:val="000000" w:themeColor="text1"/>
          <w:lang w:val="es-ES" w:eastAsia="es-ES"/>
        </w:rPr>
        <w:t xml:space="preserve">Teniendo en cuenta las anteriores características del contrato de prestación de servicios, se analizará a continuación la posibilidad de celebrar varios contratos de prestación de servicios con Entidades Estatales. </w:t>
      </w:r>
    </w:p>
    <w:p w14:paraId="55AEA9B3" w14:textId="77777777" w:rsidR="00F449DB" w:rsidRDefault="00F449DB" w:rsidP="00F449DB">
      <w:pPr>
        <w:ind w:firstLine="709"/>
        <w:jc w:val="both"/>
        <w:rPr>
          <w:rFonts w:ascii="Verdana" w:eastAsia="Arial" w:hAnsi="Verdana" w:cs="Arial"/>
          <w:color w:val="000000"/>
          <w:lang w:val="es-ES" w:eastAsia="es-ES"/>
        </w:rPr>
      </w:pPr>
      <w:r w:rsidRPr="00C75E9B">
        <w:rPr>
          <w:rFonts w:ascii="Verdana" w:eastAsia="Arial" w:hAnsi="Verdana" w:cs="Arial"/>
          <w:color w:val="000000" w:themeColor="text1"/>
          <w:lang w:val="es-ES" w:eastAsia="es-ES"/>
        </w:rPr>
        <w:t>Históricamente se ha prohibido que una misma persona reciba doble salario proveniente del tesoro público</w:t>
      </w:r>
      <w:r w:rsidRPr="006903F4">
        <w:rPr>
          <w:rFonts w:ascii="Verdana" w:eastAsia="Arial" w:hAnsi="Verdana" w:cs="Arial"/>
          <w:color w:val="000000" w:themeColor="text1"/>
          <w:vertAlign w:val="superscript"/>
          <w:lang w:val="es-ES" w:eastAsia="es-ES"/>
        </w:rPr>
        <w:footnoteReference w:id="16"/>
      </w:r>
      <w:r w:rsidRPr="00C75E9B">
        <w:rPr>
          <w:rFonts w:ascii="Verdana" w:eastAsia="Arial" w:hAnsi="Verdana" w:cs="Arial"/>
          <w:color w:val="000000" w:themeColor="text1"/>
          <w:lang w:val="es-ES" w:eastAsia="es-ES"/>
        </w:rPr>
        <w:t>, como lo señaló el artículo 1 de la Ley 78 de 1931</w:t>
      </w:r>
      <w:r w:rsidRPr="00C75E9B">
        <w:rPr>
          <w:rFonts w:ascii="Verdana" w:eastAsia="Arial" w:hAnsi="Verdana" w:cs="Arial"/>
          <w:color w:val="000000" w:themeColor="text1"/>
          <w:vertAlign w:val="superscript"/>
          <w:lang w:val="es-ES" w:eastAsia="es-ES"/>
        </w:rPr>
        <w:footnoteReference w:id="17"/>
      </w:r>
      <w:r w:rsidRPr="00C75E9B">
        <w:rPr>
          <w:rFonts w:ascii="Verdana" w:eastAsia="Arial" w:hAnsi="Verdana" w:cs="Arial"/>
          <w:color w:val="000000" w:themeColor="text1"/>
          <w:lang w:val="es-ES" w:eastAsia="es-ES"/>
        </w:rPr>
        <w:t xml:space="preserve"> y el artículo 23 del Acto Legislativo No. 1 de 1936</w:t>
      </w:r>
      <w:r w:rsidRPr="00C75E9B">
        <w:rPr>
          <w:rFonts w:ascii="Verdana" w:eastAsia="Arial" w:hAnsi="Verdana" w:cs="Arial"/>
          <w:color w:val="000000" w:themeColor="text1"/>
          <w:vertAlign w:val="superscript"/>
          <w:lang w:val="es-ES" w:eastAsia="es-ES"/>
        </w:rPr>
        <w:footnoteReference w:id="18"/>
      </w:r>
      <w:r w:rsidRPr="00C75E9B">
        <w:rPr>
          <w:rFonts w:ascii="Verdana" w:eastAsia="Arial" w:hAnsi="Verdana" w:cs="Arial"/>
          <w:color w:val="000000" w:themeColor="text1"/>
          <w:lang w:val="es-ES" w:eastAsia="es-ES"/>
        </w:rPr>
        <w:t>, donde se prohibió</w:t>
      </w:r>
      <w:r w:rsidRPr="00022BAF">
        <w:rPr>
          <w:rFonts w:ascii="Verdana" w:eastAsia="Arial" w:hAnsi="Verdana" w:cs="Arial"/>
          <w:lang w:val="es-ES"/>
        </w:rPr>
        <w:t xml:space="preserve"> la acumulación de cargos remunerados en un solo funcionario oficial y se reiteró </w:t>
      </w:r>
      <w:r w:rsidRPr="00022BAF">
        <w:rPr>
          <w:rFonts w:ascii="Verdana" w:eastAsia="Arial" w:hAnsi="Verdana" w:cs="Arial"/>
          <w:lang w:val="es-ES"/>
        </w:rPr>
        <w:lastRenderedPageBreak/>
        <w:t>la prohibición de que una misma persona devengue simultáneamente dos o más sueldos de la nación, los departamentos y los municipios.</w:t>
      </w:r>
    </w:p>
    <w:p w14:paraId="28B124E6" w14:textId="77777777" w:rsidR="00F449DB" w:rsidRPr="00C75E9B" w:rsidRDefault="00F449DB" w:rsidP="00F449DB">
      <w:pPr>
        <w:spacing w:after="120" w:line="276" w:lineRule="auto"/>
        <w:ind w:firstLine="709"/>
        <w:jc w:val="both"/>
        <w:rPr>
          <w:rFonts w:ascii="Verdana" w:eastAsia="Arial" w:hAnsi="Verdana" w:cs="Arial"/>
          <w:color w:val="000000"/>
          <w:lang w:val="es-ES" w:eastAsia="es-ES"/>
        </w:rPr>
      </w:pPr>
      <w:r w:rsidRPr="00022BAF">
        <w:rPr>
          <w:rFonts w:ascii="Verdana" w:eastAsia="Arial" w:hAnsi="Verdana" w:cs="Arial"/>
          <w:lang w:val="es-ES"/>
        </w:rPr>
        <w:t>La Constitución Política de Colombia de 1991, en el artículo 128, incluye, de igual forma, la prohibición de recibir más de una asignación que provenga del tesoro público. Al respecto señala la Carta:</w:t>
      </w:r>
    </w:p>
    <w:p w14:paraId="2EE16279" w14:textId="77777777" w:rsidR="00F449DB" w:rsidRPr="00DA2127" w:rsidRDefault="00F449DB" w:rsidP="00F449DB">
      <w:pPr>
        <w:spacing w:after="0" w:line="240" w:lineRule="auto"/>
        <w:ind w:left="709" w:right="616"/>
        <w:jc w:val="both"/>
        <w:rPr>
          <w:rFonts w:ascii="Verdana" w:eastAsia="Arial" w:hAnsi="Verdana" w:cs="Arial"/>
          <w:sz w:val="20"/>
          <w:szCs w:val="20"/>
          <w:lang w:eastAsia="es-ES"/>
        </w:rPr>
      </w:pPr>
      <w:r w:rsidRPr="00DA2127">
        <w:rPr>
          <w:rFonts w:ascii="Verdana" w:eastAsia="Arial" w:hAnsi="Verdana" w:cs="Arial"/>
          <w:sz w:val="20"/>
          <w:szCs w:val="20"/>
          <w:lang w:eastAsia="es-ES"/>
        </w:rPr>
        <w:t>“Artículo 128. Nadie podrá desempeñar simultáneamente más de un empleo público ni recibir más de una asignación que provenga del tesoro público, o de empresas o de instituciones en las que tenga parte mayoritaria el Estado, salvo los casos expresamente determinados por la ley.</w:t>
      </w:r>
    </w:p>
    <w:p w14:paraId="178B8A69" w14:textId="77777777" w:rsidR="00F449DB" w:rsidRPr="00DA2127" w:rsidRDefault="00F449DB" w:rsidP="00F449DB">
      <w:pPr>
        <w:widowControl w:val="0"/>
        <w:autoSpaceDE w:val="0"/>
        <w:autoSpaceDN w:val="0"/>
        <w:spacing w:after="0" w:line="240" w:lineRule="auto"/>
        <w:ind w:left="709" w:right="616"/>
        <w:jc w:val="both"/>
        <w:rPr>
          <w:rFonts w:ascii="Verdana" w:eastAsia="Arial" w:hAnsi="Verdana" w:cs="Arial"/>
          <w:sz w:val="20"/>
          <w:szCs w:val="20"/>
          <w:lang w:val="es-ES"/>
        </w:rPr>
      </w:pPr>
    </w:p>
    <w:p w14:paraId="5F499870" w14:textId="77777777" w:rsidR="00F449DB" w:rsidRPr="00DA2127" w:rsidRDefault="00F449DB" w:rsidP="00F449DB">
      <w:pPr>
        <w:spacing w:after="0" w:line="240" w:lineRule="auto"/>
        <w:ind w:left="709" w:right="616"/>
        <w:jc w:val="both"/>
        <w:rPr>
          <w:rFonts w:ascii="Verdana" w:eastAsia="Arial" w:hAnsi="Verdana" w:cs="Arial"/>
          <w:sz w:val="20"/>
          <w:szCs w:val="20"/>
          <w:lang w:eastAsia="es-ES"/>
        </w:rPr>
      </w:pPr>
      <w:r w:rsidRPr="00DA2127">
        <w:rPr>
          <w:rFonts w:ascii="Verdana" w:eastAsia="Arial" w:hAnsi="Verdana" w:cs="Arial"/>
          <w:sz w:val="20"/>
          <w:szCs w:val="20"/>
          <w:lang w:eastAsia="es-ES"/>
        </w:rPr>
        <w:t xml:space="preserve">Entiéndese por tesoro público el de la Nación, el de las entidades territoriales y el de las descentralizadas”. </w:t>
      </w:r>
    </w:p>
    <w:p w14:paraId="2569E6AB" w14:textId="77777777" w:rsidR="00F449DB" w:rsidRPr="00022BAF" w:rsidRDefault="00F449DB" w:rsidP="00F449DB">
      <w:pPr>
        <w:widowControl w:val="0"/>
        <w:autoSpaceDE w:val="0"/>
        <w:autoSpaceDN w:val="0"/>
        <w:spacing w:after="0" w:line="276" w:lineRule="auto"/>
        <w:jc w:val="both"/>
        <w:rPr>
          <w:rFonts w:ascii="Verdana" w:eastAsia="Arial" w:hAnsi="Verdana" w:cs="Arial"/>
          <w:lang w:val="es-ES"/>
        </w:rPr>
      </w:pPr>
    </w:p>
    <w:p w14:paraId="6AC2E9C3" w14:textId="77777777" w:rsidR="00F449DB" w:rsidRPr="00022BAF"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Esta norma se desarrolló a través del artículo 19 de la Ley 4 de 1992</w:t>
      </w:r>
      <w:r w:rsidRPr="00022BAF">
        <w:rPr>
          <w:rFonts w:ascii="Verdana" w:eastAsia="Arial" w:hAnsi="Verdana" w:cs="Arial"/>
          <w:vertAlign w:val="superscript"/>
          <w:lang w:val="es-ES"/>
        </w:rPr>
        <w:footnoteReference w:id="19"/>
      </w:r>
      <w:r w:rsidRPr="00022BAF">
        <w:rPr>
          <w:rFonts w:ascii="Verdana" w:eastAsia="Arial" w:hAnsi="Verdana" w:cs="Arial"/>
          <w:lang w:val="es-ES"/>
        </w:rPr>
        <w:t>, precisando la prohibición del artículo 128 y señalando los eventos exceptuados en los que una misma persona puede recibir simultáneamente doble asignación presupuestal. El artículo 19 expresa:</w:t>
      </w:r>
    </w:p>
    <w:p w14:paraId="528ECE28" w14:textId="77777777" w:rsidR="00F449DB" w:rsidRPr="00DA2127" w:rsidRDefault="00F449DB" w:rsidP="00F449DB">
      <w:pPr>
        <w:spacing w:after="0" w:line="240" w:lineRule="auto"/>
        <w:ind w:left="709" w:right="616"/>
        <w:jc w:val="both"/>
        <w:rPr>
          <w:rFonts w:ascii="Verdana" w:eastAsia="Arial" w:hAnsi="Verdana" w:cs="Arial"/>
          <w:sz w:val="20"/>
          <w:szCs w:val="20"/>
          <w:lang w:eastAsia="es-ES"/>
        </w:rPr>
      </w:pPr>
      <w:r w:rsidRPr="00DA2127">
        <w:rPr>
          <w:rFonts w:ascii="Verdana" w:eastAsia="Arial" w:hAnsi="Verdana" w:cs="Arial"/>
          <w:sz w:val="20"/>
          <w:szCs w:val="20"/>
          <w:lang w:eastAsia="es-ES"/>
        </w:rPr>
        <w:t>“Artículo 19. Nadie podrá desempeñar simultáneamente más de un empleo público, ni recibir más de una asignación que provenga del Tesoro Público, o de empresas o de instituciones en las que tenga parte mayoritaria el Estado. Exceptúense las siguientes</w:t>
      </w:r>
      <w:r w:rsidRPr="00DA2127">
        <w:rPr>
          <w:rFonts w:ascii="Verdana" w:eastAsia="Arial" w:hAnsi="Verdana" w:cs="Arial"/>
          <w:spacing w:val="-2"/>
          <w:sz w:val="20"/>
          <w:szCs w:val="20"/>
          <w:lang w:eastAsia="es-ES"/>
        </w:rPr>
        <w:t xml:space="preserve"> </w:t>
      </w:r>
      <w:r w:rsidRPr="00DA2127">
        <w:rPr>
          <w:rFonts w:ascii="Verdana" w:eastAsia="Arial" w:hAnsi="Verdana" w:cs="Arial"/>
          <w:sz w:val="20"/>
          <w:szCs w:val="20"/>
          <w:lang w:eastAsia="es-ES"/>
        </w:rPr>
        <w:t>asignaciones:</w:t>
      </w:r>
    </w:p>
    <w:p w14:paraId="4B87B916" w14:textId="77777777" w:rsidR="00F449DB" w:rsidRPr="00DA2127" w:rsidRDefault="00F449DB" w:rsidP="00F449DB">
      <w:pPr>
        <w:widowControl w:val="0"/>
        <w:autoSpaceDE w:val="0"/>
        <w:autoSpaceDN w:val="0"/>
        <w:spacing w:after="0" w:line="240" w:lineRule="auto"/>
        <w:ind w:left="709" w:right="616"/>
        <w:jc w:val="both"/>
        <w:rPr>
          <w:rFonts w:ascii="Verdana" w:eastAsia="Arial" w:hAnsi="Verdana" w:cs="Arial"/>
          <w:sz w:val="20"/>
          <w:szCs w:val="20"/>
          <w:lang w:val="es-ES"/>
        </w:rPr>
      </w:pPr>
    </w:p>
    <w:p w14:paraId="30D451B1" w14:textId="77777777" w:rsidR="00F449DB"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Las que reciban los profesores universitarios que se desempeñen como asesores de la Rama</w:t>
      </w:r>
      <w:r w:rsidRPr="006365F1">
        <w:rPr>
          <w:rFonts w:ascii="Verdana" w:eastAsia="Arial" w:hAnsi="Verdana" w:cs="Arial"/>
          <w:spacing w:val="-5"/>
          <w:sz w:val="20"/>
          <w:szCs w:val="20"/>
          <w:lang w:val="es-MX"/>
        </w:rPr>
        <w:t xml:space="preserve"> </w:t>
      </w:r>
      <w:r w:rsidRPr="006365F1">
        <w:rPr>
          <w:rFonts w:ascii="Verdana" w:eastAsia="Arial" w:hAnsi="Verdana" w:cs="Arial"/>
          <w:sz w:val="20"/>
          <w:szCs w:val="20"/>
          <w:lang w:val="es-MX"/>
        </w:rPr>
        <w:t xml:space="preserve">Legislativa; </w:t>
      </w:r>
    </w:p>
    <w:p w14:paraId="5C4EBED4" w14:textId="77777777" w:rsidR="00F449DB" w:rsidRPr="006365F1"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Las percibidas por el personal con asignación de retiro o pensión militar o policial de la Fuerza</w:t>
      </w:r>
      <w:r w:rsidRPr="006365F1">
        <w:rPr>
          <w:rFonts w:ascii="Verdana" w:eastAsia="Arial" w:hAnsi="Verdana" w:cs="Arial"/>
          <w:spacing w:val="-5"/>
          <w:sz w:val="20"/>
          <w:szCs w:val="20"/>
          <w:lang w:val="es-MX"/>
        </w:rPr>
        <w:t xml:space="preserve"> </w:t>
      </w:r>
      <w:r w:rsidRPr="006365F1">
        <w:rPr>
          <w:rFonts w:ascii="Verdana" w:eastAsia="Arial" w:hAnsi="Verdana" w:cs="Arial"/>
          <w:sz w:val="20"/>
          <w:szCs w:val="20"/>
          <w:lang w:val="es-MX"/>
        </w:rPr>
        <w:t>Pública;</w:t>
      </w:r>
    </w:p>
    <w:p w14:paraId="53FBA873" w14:textId="77777777" w:rsidR="00F449DB" w:rsidRPr="006365F1"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Las percibidas por concepto de sustitución</w:t>
      </w:r>
      <w:r w:rsidRPr="006365F1">
        <w:rPr>
          <w:rFonts w:ascii="Verdana" w:eastAsia="Arial" w:hAnsi="Verdana" w:cs="Arial"/>
          <w:spacing w:val="-8"/>
          <w:sz w:val="20"/>
          <w:szCs w:val="20"/>
          <w:lang w:val="es-MX"/>
        </w:rPr>
        <w:t xml:space="preserve"> </w:t>
      </w:r>
      <w:r w:rsidRPr="006365F1">
        <w:rPr>
          <w:rFonts w:ascii="Verdana" w:eastAsia="Arial" w:hAnsi="Verdana" w:cs="Arial"/>
          <w:sz w:val="20"/>
          <w:szCs w:val="20"/>
          <w:lang w:val="es-MX"/>
        </w:rPr>
        <w:t>pensional;</w:t>
      </w:r>
    </w:p>
    <w:p w14:paraId="787A3105" w14:textId="77777777" w:rsidR="00F449DB"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Los honorarios percibidos por concepto de</w:t>
      </w:r>
      <w:r w:rsidRPr="006365F1">
        <w:rPr>
          <w:rFonts w:ascii="Verdana" w:eastAsia="Arial" w:hAnsi="Verdana" w:cs="Arial"/>
          <w:spacing w:val="-8"/>
          <w:sz w:val="20"/>
          <w:szCs w:val="20"/>
          <w:lang w:val="es-MX"/>
        </w:rPr>
        <w:t xml:space="preserve"> </w:t>
      </w:r>
      <w:r w:rsidRPr="006365F1">
        <w:rPr>
          <w:rFonts w:ascii="Verdana" w:eastAsia="Arial" w:hAnsi="Verdana" w:cs="Arial"/>
          <w:sz w:val="20"/>
          <w:szCs w:val="20"/>
          <w:lang w:val="es-MX"/>
        </w:rPr>
        <w:t>hora-cátedra;</w:t>
      </w:r>
    </w:p>
    <w:p w14:paraId="02B78694" w14:textId="77777777" w:rsidR="00F449DB"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Los honorarios percibidos por concepto de servicios profesionales de</w:t>
      </w:r>
      <w:r w:rsidRPr="006365F1">
        <w:rPr>
          <w:rFonts w:ascii="Verdana" w:eastAsia="Arial" w:hAnsi="Verdana" w:cs="Arial"/>
          <w:spacing w:val="-19"/>
          <w:sz w:val="20"/>
          <w:szCs w:val="20"/>
          <w:lang w:val="es-MX"/>
        </w:rPr>
        <w:t xml:space="preserve"> </w:t>
      </w:r>
      <w:r w:rsidRPr="006365F1">
        <w:rPr>
          <w:rFonts w:ascii="Verdana" w:eastAsia="Arial" w:hAnsi="Verdana" w:cs="Arial"/>
          <w:sz w:val="20"/>
          <w:szCs w:val="20"/>
          <w:lang w:val="es-MX"/>
        </w:rPr>
        <w:t>salud;</w:t>
      </w:r>
    </w:p>
    <w:p w14:paraId="55B295AF" w14:textId="77777777" w:rsidR="00F449DB"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 xml:space="preserve">Los honorarios percibidos por los miembros de las Juntas Directivas, </w:t>
      </w:r>
      <w:proofErr w:type="gramStart"/>
      <w:r w:rsidRPr="006365F1">
        <w:rPr>
          <w:rFonts w:ascii="Verdana" w:eastAsia="Arial" w:hAnsi="Verdana" w:cs="Arial"/>
          <w:sz w:val="20"/>
          <w:szCs w:val="20"/>
          <w:lang w:val="es-MX"/>
        </w:rPr>
        <w:t>en razón de</w:t>
      </w:r>
      <w:proofErr w:type="gramEnd"/>
      <w:r w:rsidRPr="006365F1">
        <w:rPr>
          <w:rFonts w:ascii="Verdana" w:eastAsia="Arial" w:hAnsi="Verdana" w:cs="Arial"/>
          <w:sz w:val="20"/>
          <w:szCs w:val="20"/>
          <w:lang w:val="es-MX"/>
        </w:rPr>
        <w:t xml:space="preserve"> su asistencia a las mismas, siempre que no se trate de más de dos</w:t>
      </w:r>
      <w:r w:rsidRPr="006365F1">
        <w:rPr>
          <w:rFonts w:ascii="Verdana" w:eastAsia="Arial" w:hAnsi="Verdana" w:cs="Arial"/>
          <w:spacing w:val="-18"/>
          <w:sz w:val="20"/>
          <w:szCs w:val="20"/>
          <w:lang w:val="es-MX"/>
        </w:rPr>
        <w:t xml:space="preserve"> </w:t>
      </w:r>
      <w:r w:rsidRPr="006365F1">
        <w:rPr>
          <w:rFonts w:ascii="Verdana" w:eastAsia="Arial" w:hAnsi="Verdana" w:cs="Arial"/>
          <w:sz w:val="20"/>
          <w:szCs w:val="20"/>
          <w:lang w:val="es-MX"/>
        </w:rPr>
        <w:t>juntas;</w:t>
      </w:r>
    </w:p>
    <w:p w14:paraId="3F254413" w14:textId="77777777" w:rsidR="00F449DB" w:rsidRPr="006365F1" w:rsidRDefault="00F449DB" w:rsidP="00F449DB">
      <w:pPr>
        <w:pStyle w:val="Prrafodelista"/>
        <w:widowControl w:val="0"/>
        <w:numPr>
          <w:ilvl w:val="0"/>
          <w:numId w:val="17"/>
        </w:numPr>
        <w:tabs>
          <w:tab w:val="left" w:pos="1338"/>
        </w:tabs>
        <w:autoSpaceDE w:val="0"/>
        <w:autoSpaceDN w:val="0"/>
        <w:spacing w:after="0" w:line="240" w:lineRule="auto"/>
        <w:ind w:right="618"/>
        <w:jc w:val="both"/>
        <w:rPr>
          <w:rFonts w:ascii="Verdana" w:eastAsia="Arial" w:hAnsi="Verdana" w:cs="Arial"/>
          <w:sz w:val="20"/>
          <w:szCs w:val="20"/>
          <w:lang w:val="es-MX"/>
        </w:rPr>
      </w:pPr>
      <w:r w:rsidRPr="006365F1">
        <w:rPr>
          <w:rFonts w:ascii="Verdana" w:eastAsia="Arial" w:hAnsi="Verdana" w:cs="Arial"/>
          <w:sz w:val="20"/>
          <w:szCs w:val="20"/>
          <w:lang w:val="es-MX"/>
        </w:rPr>
        <w:t xml:space="preserve">Las que a la fecha de </w:t>
      </w:r>
      <w:proofErr w:type="gramStart"/>
      <w:r w:rsidRPr="006365F1">
        <w:rPr>
          <w:rFonts w:ascii="Verdana" w:eastAsia="Arial" w:hAnsi="Verdana" w:cs="Arial"/>
          <w:sz w:val="20"/>
          <w:szCs w:val="20"/>
          <w:lang w:val="es-MX"/>
        </w:rPr>
        <w:t>entrar en vigencia</w:t>
      </w:r>
      <w:proofErr w:type="gramEnd"/>
      <w:r w:rsidRPr="006365F1">
        <w:rPr>
          <w:rFonts w:ascii="Verdana" w:eastAsia="Arial" w:hAnsi="Verdana" w:cs="Arial"/>
          <w:sz w:val="20"/>
          <w:szCs w:val="20"/>
          <w:lang w:val="es-MX"/>
        </w:rPr>
        <w:t xml:space="preserve"> la presente Ley beneficien a los servidores oficiales docentes</w:t>
      </w:r>
      <w:r w:rsidRPr="006365F1">
        <w:rPr>
          <w:rFonts w:ascii="Verdana" w:eastAsia="Arial" w:hAnsi="Verdana" w:cs="Arial"/>
          <w:spacing w:val="-4"/>
          <w:sz w:val="20"/>
          <w:szCs w:val="20"/>
          <w:lang w:val="es-MX"/>
        </w:rPr>
        <w:t xml:space="preserve"> </w:t>
      </w:r>
      <w:r w:rsidRPr="006365F1">
        <w:rPr>
          <w:rFonts w:ascii="Verdana" w:eastAsia="Arial" w:hAnsi="Verdana" w:cs="Arial"/>
          <w:sz w:val="20"/>
          <w:szCs w:val="20"/>
          <w:lang w:val="es-MX"/>
        </w:rPr>
        <w:t>pensionados.</w:t>
      </w:r>
    </w:p>
    <w:p w14:paraId="13B17428" w14:textId="77777777" w:rsidR="00F449DB" w:rsidRPr="00DA2127" w:rsidRDefault="00F449DB" w:rsidP="00F449DB">
      <w:pPr>
        <w:widowControl w:val="0"/>
        <w:autoSpaceDE w:val="0"/>
        <w:autoSpaceDN w:val="0"/>
        <w:spacing w:after="0" w:line="240" w:lineRule="auto"/>
        <w:ind w:left="709" w:right="616"/>
        <w:jc w:val="both"/>
        <w:rPr>
          <w:rFonts w:ascii="Verdana" w:eastAsia="Arial" w:hAnsi="Verdana" w:cs="Arial"/>
          <w:sz w:val="20"/>
          <w:szCs w:val="20"/>
          <w:lang w:val="es-ES"/>
        </w:rPr>
      </w:pPr>
    </w:p>
    <w:p w14:paraId="19C1E18C" w14:textId="77777777" w:rsidR="00F449DB" w:rsidRPr="00DA2127" w:rsidRDefault="00F449DB" w:rsidP="00F449DB">
      <w:pPr>
        <w:spacing w:after="0" w:line="240" w:lineRule="auto"/>
        <w:ind w:left="709" w:right="616"/>
        <w:jc w:val="both"/>
        <w:rPr>
          <w:rFonts w:ascii="Verdana" w:eastAsia="Arial" w:hAnsi="Verdana" w:cs="Arial"/>
          <w:sz w:val="20"/>
          <w:szCs w:val="20"/>
          <w:lang w:eastAsia="es-ES"/>
        </w:rPr>
      </w:pPr>
      <w:r w:rsidRPr="00DA2127">
        <w:rPr>
          <w:rFonts w:ascii="Verdana" w:eastAsia="Arial" w:hAnsi="Verdana" w:cs="Arial"/>
          <w:sz w:val="20"/>
          <w:szCs w:val="20"/>
          <w:lang w:eastAsia="es-ES"/>
        </w:rPr>
        <w:lastRenderedPageBreak/>
        <w:t>Parágrafo. No se podrán recibir honorarios que sumados correspondan a más de ocho (8) horas diarias de trabajo a varias entidades”.</w:t>
      </w:r>
    </w:p>
    <w:p w14:paraId="3DF6887C" w14:textId="77777777" w:rsidR="00F449DB" w:rsidRPr="00DA2127" w:rsidRDefault="00F449DB" w:rsidP="00F449DB">
      <w:pPr>
        <w:widowControl w:val="0"/>
        <w:autoSpaceDE w:val="0"/>
        <w:autoSpaceDN w:val="0"/>
        <w:spacing w:after="0" w:line="276" w:lineRule="auto"/>
        <w:ind w:right="616"/>
        <w:jc w:val="both"/>
        <w:rPr>
          <w:rFonts w:ascii="Verdana" w:eastAsia="Arial" w:hAnsi="Verdana" w:cs="Arial"/>
          <w:sz w:val="20"/>
          <w:szCs w:val="20"/>
          <w:lang w:val="es-ES"/>
        </w:rPr>
      </w:pPr>
    </w:p>
    <w:p w14:paraId="35DEC19B" w14:textId="77777777" w:rsidR="00F449DB" w:rsidRPr="00022BAF"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De conformidad con el artículo 128 de la Carta y con la Ley 4 de 1992, la prohibición de recibir doble asignación está directamente relacionada con las personas que ejercen empleos públicos. Al respecto, la Sala de Consulta y Servicio Civil del Consejo de Estado, en</w:t>
      </w:r>
      <w:r w:rsidRPr="00022BAF">
        <w:rPr>
          <w:rFonts w:ascii="Verdana" w:eastAsia="Arial" w:hAnsi="Verdana" w:cs="Arial"/>
          <w:spacing w:val="53"/>
          <w:lang w:val="es-ES"/>
        </w:rPr>
        <w:t xml:space="preserve"> </w:t>
      </w:r>
      <w:r w:rsidRPr="00022BAF">
        <w:rPr>
          <w:rFonts w:ascii="Verdana" w:eastAsia="Arial" w:hAnsi="Verdana" w:cs="Arial"/>
          <w:lang w:val="es-ES"/>
        </w:rPr>
        <w:t>concepto</w:t>
      </w:r>
      <w:r w:rsidRPr="00022BAF">
        <w:rPr>
          <w:rFonts w:ascii="Verdana" w:eastAsia="Arial" w:hAnsi="Verdana" w:cs="Arial"/>
          <w:spacing w:val="54"/>
          <w:lang w:val="es-ES"/>
        </w:rPr>
        <w:t xml:space="preserve"> </w:t>
      </w:r>
      <w:r w:rsidRPr="00022BAF">
        <w:rPr>
          <w:rFonts w:ascii="Verdana" w:eastAsia="Arial" w:hAnsi="Verdana" w:cs="Arial"/>
          <w:lang w:val="es-ES"/>
        </w:rPr>
        <w:t>No</w:t>
      </w:r>
      <w:r w:rsidRPr="00022BAF">
        <w:rPr>
          <w:rFonts w:ascii="Verdana" w:eastAsia="Arial" w:hAnsi="Verdana" w:cs="Arial"/>
          <w:spacing w:val="54"/>
          <w:lang w:val="es-ES"/>
        </w:rPr>
        <w:t xml:space="preserve"> </w:t>
      </w:r>
      <w:r w:rsidRPr="00022BAF">
        <w:rPr>
          <w:rFonts w:ascii="Verdana" w:eastAsia="Arial" w:hAnsi="Verdana" w:cs="Arial"/>
          <w:lang w:val="es-ES"/>
        </w:rPr>
        <w:t>1.344,</w:t>
      </w:r>
      <w:r w:rsidRPr="00022BAF">
        <w:rPr>
          <w:rFonts w:ascii="Verdana" w:eastAsia="Arial" w:hAnsi="Verdana" w:cs="Arial"/>
          <w:spacing w:val="54"/>
          <w:lang w:val="es-ES"/>
        </w:rPr>
        <w:t xml:space="preserve"> </w:t>
      </w:r>
      <w:r w:rsidRPr="00022BAF">
        <w:rPr>
          <w:rFonts w:ascii="Verdana" w:eastAsia="Arial" w:hAnsi="Verdana" w:cs="Arial"/>
          <w:lang w:val="es-ES"/>
        </w:rPr>
        <w:t>del</w:t>
      </w:r>
      <w:r w:rsidRPr="00022BAF">
        <w:rPr>
          <w:rFonts w:ascii="Verdana" w:eastAsia="Arial" w:hAnsi="Verdana" w:cs="Arial"/>
          <w:spacing w:val="55"/>
          <w:lang w:val="es-ES"/>
        </w:rPr>
        <w:t xml:space="preserve"> </w:t>
      </w:r>
      <w:r w:rsidRPr="00022BAF">
        <w:rPr>
          <w:rFonts w:ascii="Verdana" w:eastAsia="Arial" w:hAnsi="Verdana" w:cs="Arial"/>
          <w:lang w:val="es-ES"/>
        </w:rPr>
        <w:t>10</w:t>
      </w:r>
      <w:r w:rsidRPr="00022BAF">
        <w:rPr>
          <w:rFonts w:ascii="Verdana" w:eastAsia="Arial" w:hAnsi="Verdana" w:cs="Arial"/>
          <w:spacing w:val="54"/>
          <w:lang w:val="es-ES"/>
        </w:rPr>
        <w:t xml:space="preserve"> </w:t>
      </w:r>
      <w:r w:rsidRPr="00022BAF">
        <w:rPr>
          <w:rFonts w:ascii="Verdana" w:eastAsia="Arial" w:hAnsi="Verdana" w:cs="Arial"/>
          <w:lang w:val="es-ES"/>
        </w:rPr>
        <w:t>de</w:t>
      </w:r>
      <w:r w:rsidRPr="00022BAF">
        <w:rPr>
          <w:rFonts w:ascii="Verdana" w:eastAsia="Arial" w:hAnsi="Verdana" w:cs="Arial"/>
          <w:spacing w:val="53"/>
          <w:lang w:val="es-ES"/>
        </w:rPr>
        <w:t xml:space="preserve"> </w:t>
      </w:r>
      <w:r w:rsidRPr="00022BAF">
        <w:rPr>
          <w:rFonts w:ascii="Verdana" w:eastAsia="Arial" w:hAnsi="Verdana" w:cs="Arial"/>
          <w:lang w:val="es-ES"/>
        </w:rPr>
        <w:t>mayo</w:t>
      </w:r>
      <w:r w:rsidRPr="00022BAF">
        <w:rPr>
          <w:rFonts w:ascii="Verdana" w:eastAsia="Arial" w:hAnsi="Verdana" w:cs="Arial"/>
          <w:spacing w:val="54"/>
          <w:lang w:val="es-ES"/>
        </w:rPr>
        <w:t xml:space="preserve"> </w:t>
      </w:r>
      <w:r w:rsidRPr="00022BAF">
        <w:rPr>
          <w:rFonts w:ascii="Verdana" w:eastAsia="Arial" w:hAnsi="Verdana" w:cs="Arial"/>
          <w:lang w:val="es-ES"/>
        </w:rPr>
        <w:t>de</w:t>
      </w:r>
      <w:r w:rsidRPr="00022BAF">
        <w:rPr>
          <w:rFonts w:ascii="Verdana" w:eastAsia="Arial" w:hAnsi="Verdana" w:cs="Arial"/>
          <w:spacing w:val="54"/>
          <w:lang w:val="es-ES"/>
        </w:rPr>
        <w:t xml:space="preserve"> </w:t>
      </w:r>
      <w:r w:rsidRPr="00022BAF">
        <w:rPr>
          <w:rFonts w:ascii="Verdana" w:eastAsia="Arial" w:hAnsi="Verdana" w:cs="Arial"/>
          <w:lang w:val="es-ES"/>
        </w:rPr>
        <w:t>2001,</w:t>
      </w:r>
      <w:r w:rsidRPr="00022BAF">
        <w:rPr>
          <w:rFonts w:ascii="Verdana" w:eastAsia="Arial" w:hAnsi="Verdana" w:cs="Arial"/>
          <w:spacing w:val="52"/>
          <w:lang w:val="es-ES"/>
        </w:rPr>
        <w:t xml:space="preserve"> </w:t>
      </w:r>
      <w:r w:rsidRPr="00022BAF">
        <w:rPr>
          <w:rFonts w:ascii="Verdana" w:eastAsia="Arial" w:hAnsi="Verdana" w:cs="Arial"/>
          <w:lang w:val="es-ES"/>
        </w:rPr>
        <w:t>con</w:t>
      </w:r>
      <w:r w:rsidRPr="00022BAF">
        <w:rPr>
          <w:rFonts w:ascii="Verdana" w:eastAsia="Arial" w:hAnsi="Verdana" w:cs="Arial"/>
          <w:spacing w:val="53"/>
          <w:lang w:val="es-ES"/>
        </w:rPr>
        <w:t xml:space="preserve"> </w:t>
      </w:r>
      <w:r w:rsidRPr="00022BAF">
        <w:rPr>
          <w:rFonts w:ascii="Verdana" w:eastAsia="Arial" w:hAnsi="Verdana" w:cs="Arial"/>
          <w:lang w:val="es-ES"/>
        </w:rPr>
        <w:t>ponencia</w:t>
      </w:r>
      <w:r w:rsidRPr="00022BAF">
        <w:rPr>
          <w:rFonts w:ascii="Verdana" w:eastAsia="Arial" w:hAnsi="Verdana" w:cs="Arial"/>
          <w:spacing w:val="54"/>
          <w:lang w:val="es-ES"/>
        </w:rPr>
        <w:t xml:space="preserve"> </w:t>
      </w:r>
      <w:r w:rsidRPr="00022BAF">
        <w:rPr>
          <w:rFonts w:ascii="Verdana" w:eastAsia="Arial" w:hAnsi="Verdana" w:cs="Arial"/>
          <w:lang w:val="es-ES"/>
        </w:rPr>
        <w:t>del</w:t>
      </w:r>
      <w:r w:rsidRPr="00022BAF">
        <w:rPr>
          <w:rFonts w:ascii="Verdana" w:eastAsia="Arial" w:hAnsi="Verdana" w:cs="Arial"/>
          <w:spacing w:val="55"/>
          <w:lang w:val="es-ES"/>
        </w:rPr>
        <w:t xml:space="preserve"> </w:t>
      </w:r>
      <w:proofErr w:type="gramStart"/>
      <w:r w:rsidRPr="00022BAF">
        <w:rPr>
          <w:rFonts w:ascii="Verdana" w:eastAsia="Arial" w:hAnsi="Verdana" w:cs="Arial"/>
          <w:lang w:val="es-ES"/>
        </w:rPr>
        <w:t>Consejero</w:t>
      </w:r>
      <w:proofErr w:type="gramEnd"/>
      <w:r w:rsidRPr="00022BAF">
        <w:rPr>
          <w:rFonts w:ascii="Verdana" w:eastAsia="Arial" w:hAnsi="Verdana" w:cs="Arial"/>
          <w:spacing w:val="59"/>
          <w:lang w:val="es-ES"/>
        </w:rPr>
        <w:t xml:space="preserve"> </w:t>
      </w:r>
      <w:r w:rsidRPr="00022BAF">
        <w:rPr>
          <w:rFonts w:ascii="Verdana" w:eastAsia="Arial" w:hAnsi="Verdana" w:cs="Arial"/>
          <w:lang w:val="es-ES"/>
        </w:rPr>
        <w:t>Flavio Augusto Rodríguez Arce, estudió la expresión “asignación” que se encuentra en la norma constitucional, expresando que tiene relación “con el ejercicio de empleos en el sector oficial o con el pago de prestaciones provenientes del ejercicio de estos empleos”. De igual forma, 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3DB638DE" w14:textId="77777777" w:rsidR="00F449DB" w:rsidRPr="00022BAF"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La Corte Constitucional, en la sentencia C-133 del 1 de abril de 1993, Magistrado Ponente Vladimiro Naranjo Mesa, analizó la demanda de inconstitucionalidad contra el artículo 19 de la Ley 4 de 1992. Señaló que la expresión “asignación” comprende todo tipo de remuneración que proviene del tesoro</w:t>
      </w:r>
      <w:r w:rsidRPr="00022BAF">
        <w:rPr>
          <w:rFonts w:ascii="Verdana" w:eastAsia="Arial" w:hAnsi="Verdana" w:cs="Arial"/>
          <w:spacing w:val="-8"/>
          <w:lang w:val="es-ES"/>
        </w:rPr>
        <w:t xml:space="preserve"> </w:t>
      </w:r>
      <w:r w:rsidRPr="00022BAF">
        <w:rPr>
          <w:rFonts w:ascii="Verdana" w:eastAsia="Arial" w:hAnsi="Verdana" w:cs="Arial"/>
          <w:lang w:val="es-ES"/>
        </w:rPr>
        <w:t>público:</w:t>
      </w:r>
    </w:p>
    <w:p w14:paraId="12B06329" w14:textId="77777777" w:rsidR="00F449DB" w:rsidRPr="00305A42" w:rsidRDefault="00F449DB" w:rsidP="00F449DB">
      <w:pPr>
        <w:spacing w:after="0" w:line="240" w:lineRule="auto"/>
        <w:ind w:left="709" w:right="616"/>
        <w:jc w:val="both"/>
        <w:rPr>
          <w:rFonts w:ascii="Verdana" w:eastAsia="Arial" w:hAnsi="Verdana" w:cs="Arial"/>
          <w:sz w:val="20"/>
          <w:szCs w:val="20"/>
          <w:lang w:eastAsia="es-ES"/>
        </w:rPr>
      </w:pPr>
      <w:r w:rsidRPr="00305A42">
        <w:rPr>
          <w:rFonts w:ascii="Verdana" w:eastAsia="Arial" w:hAnsi="Verdana" w:cs="Arial"/>
          <w:sz w:val="20"/>
          <w:szCs w:val="20"/>
          <w:lang w:eastAsia="es-ES"/>
        </w:rPr>
        <w:t xml:space="preserve">“Si bien es cierto que en el artículo 128 C.P. se consagra una incompatibilidad, no lo es menos que ésta se encuentra en íntima relación de conexidad con la remuneración de los servidores estatales; basta ver que en ella se prohíbe la concurrencia de dos o más cargos públicos en una misma persona, tanto como recibir más de una asignación que provenga del </w:t>
      </w:r>
      <w:proofErr w:type="gramStart"/>
      <w:r w:rsidRPr="00305A42">
        <w:rPr>
          <w:rFonts w:ascii="Verdana" w:eastAsia="Arial" w:hAnsi="Verdana" w:cs="Arial"/>
          <w:sz w:val="20"/>
          <w:szCs w:val="20"/>
          <w:lang w:eastAsia="es-ES"/>
        </w:rPr>
        <w:t>erario público</w:t>
      </w:r>
      <w:proofErr w:type="gramEnd"/>
      <w:r w:rsidRPr="00305A42">
        <w:rPr>
          <w:rFonts w:ascii="Verdana" w:eastAsia="Arial" w:hAnsi="Verdana" w:cs="Arial"/>
          <w:sz w:val="20"/>
          <w:szCs w:val="20"/>
          <w:lang w:eastAsia="es-ES"/>
        </w:rPr>
        <w:t>. El término "asignación” comprende toda clase de remuneración que emane del tesoro público, llámese sueldo, honorario, mesada pensional, etc. Siendo así, bien podía el legislador ordinario establecer dicha incompatibilidad dentro de la citada Ley 4a. de 1992, sin contrariar mandato constitucional alguno. Aún en el remoto caso de que se hubiere concluido que el régimen de inhabilidades e incompatibilidades para los funcionarios públicos debía ser regulado por medio de ley ordinaria, el artículo 19, objeto de acusación, tampoco sería inconstitucional, por cuanto el legislador estaba perfectamente facultado para hacerlo”.</w:t>
      </w:r>
    </w:p>
    <w:p w14:paraId="13D8CC73" w14:textId="77777777" w:rsidR="00F449DB" w:rsidRPr="00305A42" w:rsidRDefault="00F449DB" w:rsidP="00F449DB">
      <w:pPr>
        <w:widowControl w:val="0"/>
        <w:autoSpaceDE w:val="0"/>
        <w:autoSpaceDN w:val="0"/>
        <w:spacing w:after="0" w:line="276" w:lineRule="auto"/>
        <w:ind w:right="616"/>
        <w:jc w:val="both"/>
        <w:rPr>
          <w:rFonts w:ascii="Verdana" w:eastAsia="Arial" w:hAnsi="Verdana" w:cs="Arial"/>
          <w:sz w:val="20"/>
          <w:szCs w:val="20"/>
          <w:lang w:val="es-ES"/>
        </w:rPr>
      </w:pPr>
    </w:p>
    <w:p w14:paraId="7F282639" w14:textId="77777777" w:rsidR="00F449DB" w:rsidRPr="00022BAF"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 xml:space="preserve">En el concepto citado anteriormente, la Sala consideró necesario utilizar diferentes criterios de interpretación de estas normas, toda vez que le permitirían concluir que la finalidad de la norma está dirigida a: i) prevenir que existan en una misma persona más de un empleo público remunerado, con la </w:t>
      </w:r>
      <w:r w:rsidRPr="00022BAF">
        <w:rPr>
          <w:rFonts w:ascii="Verdana" w:eastAsia="Arial" w:hAnsi="Verdana" w:cs="Arial"/>
          <w:lang w:val="es-ES"/>
        </w:rPr>
        <w:lastRenderedPageBreak/>
        <w:t xml:space="preserve">acumulación de funciones públicas y </w:t>
      </w:r>
      <w:proofErr w:type="spellStart"/>
      <w:r w:rsidRPr="00022BAF">
        <w:rPr>
          <w:rFonts w:ascii="Verdana" w:eastAsia="Arial" w:hAnsi="Verdana" w:cs="Arial"/>
          <w:lang w:val="es-ES"/>
        </w:rPr>
        <w:t>ii</w:t>
      </w:r>
      <w:proofErr w:type="spellEnd"/>
      <w:r w:rsidRPr="00022BAF">
        <w:rPr>
          <w:rFonts w:ascii="Verdana" w:eastAsia="Arial" w:hAnsi="Verdana" w:cs="Arial"/>
          <w:lang w:val="es-ES"/>
        </w:rPr>
        <w:t>) evitar que un funcionario público reciba otra asignación proveniente del tesoro público, además de su salario, y por consiguiente la necesidad de prohibir constitucionalmente la doble asignación que emane del tesoro</w:t>
      </w:r>
      <w:r w:rsidRPr="00022BAF">
        <w:rPr>
          <w:rFonts w:ascii="Verdana" w:eastAsia="Arial" w:hAnsi="Verdana" w:cs="Arial"/>
          <w:spacing w:val="-6"/>
          <w:lang w:val="es-ES"/>
        </w:rPr>
        <w:t xml:space="preserve"> </w:t>
      </w:r>
      <w:r w:rsidRPr="00022BAF">
        <w:rPr>
          <w:rFonts w:ascii="Verdana" w:eastAsia="Arial" w:hAnsi="Verdana" w:cs="Arial"/>
          <w:lang w:val="es-ES"/>
        </w:rPr>
        <w:t>público.</w:t>
      </w:r>
    </w:p>
    <w:p w14:paraId="424F5FBA" w14:textId="77777777" w:rsidR="00F449DB" w:rsidRPr="00022BAF"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Finalmente, la Sala precisó que si bien lo anterior se relaciona con los empleos públicos, no se puede olvidar lo previsto en el artículo 123 de la Constitución Política, que incluye en la clasificación de servidores públicos a los miembros de las corporaciones públicas, quienes no son empleados públicos ni tienen un vínculo laboral con el Estado, pero que de conformidad</w:t>
      </w:r>
      <w:r w:rsidRPr="00022BAF">
        <w:rPr>
          <w:rFonts w:ascii="Verdana" w:eastAsia="Arial" w:hAnsi="Verdana" w:cs="Arial"/>
          <w:spacing w:val="17"/>
          <w:lang w:val="es-ES"/>
        </w:rPr>
        <w:t xml:space="preserve"> </w:t>
      </w:r>
      <w:r w:rsidRPr="00022BAF">
        <w:rPr>
          <w:rFonts w:ascii="Verdana" w:eastAsia="Arial" w:hAnsi="Verdana" w:cs="Arial"/>
          <w:lang w:val="es-ES"/>
        </w:rPr>
        <w:t>con</w:t>
      </w:r>
      <w:r w:rsidRPr="00022BAF">
        <w:rPr>
          <w:rFonts w:ascii="Verdana" w:eastAsia="Arial" w:hAnsi="Verdana" w:cs="Arial"/>
          <w:spacing w:val="18"/>
          <w:lang w:val="es-ES"/>
        </w:rPr>
        <w:t xml:space="preserve"> </w:t>
      </w:r>
      <w:r w:rsidRPr="00022BAF">
        <w:rPr>
          <w:rFonts w:ascii="Verdana" w:eastAsia="Arial" w:hAnsi="Verdana" w:cs="Arial"/>
          <w:lang w:val="es-ES"/>
        </w:rPr>
        <w:t>las</w:t>
      </w:r>
      <w:r w:rsidRPr="00022BAF">
        <w:rPr>
          <w:rFonts w:ascii="Verdana" w:eastAsia="Arial" w:hAnsi="Verdana" w:cs="Arial"/>
          <w:spacing w:val="18"/>
          <w:lang w:val="es-ES"/>
        </w:rPr>
        <w:t xml:space="preserve"> </w:t>
      </w:r>
      <w:r w:rsidRPr="00022BAF">
        <w:rPr>
          <w:rFonts w:ascii="Verdana" w:eastAsia="Arial" w:hAnsi="Verdana" w:cs="Arial"/>
          <w:lang w:val="es-ES"/>
        </w:rPr>
        <w:t>normas</w:t>
      </w:r>
      <w:r w:rsidRPr="00022BAF">
        <w:rPr>
          <w:rFonts w:ascii="Verdana" w:eastAsia="Arial" w:hAnsi="Verdana" w:cs="Arial"/>
          <w:spacing w:val="17"/>
          <w:lang w:val="es-ES"/>
        </w:rPr>
        <w:t xml:space="preserve"> </w:t>
      </w:r>
      <w:r w:rsidRPr="00022BAF">
        <w:rPr>
          <w:rFonts w:ascii="Verdana" w:eastAsia="Arial" w:hAnsi="Verdana" w:cs="Arial"/>
          <w:lang w:val="es-ES"/>
        </w:rPr>
        <w:t>especiales</w:t>
      </w:r>
      <w:r w:rsidRPr="00022BAF">
        <w:rPr>
          <w:rFonts w:ascii="Verdana" w:eastAsia="Arial" w:hAnsi="Verdana" w:cs="Arial"/>
          <w:spacing w:val="19"/>
          <w:lang w:val="es-ES"/>
        </w:rPr>
        <w:t xml:space="preserve"> </w:t>
      </w:r>
      <w:r w:rsidRPr="00022BAF">
        <w:rPr>
          <w:rFonts w:ascii="Verdana" w:eastAsia="Arial" w:hAnsi="Verdana" w:cs="Arial"/>
          <w:lang w:val="es-ES"/>
        </w:rPr>
        <w:t>para</w:t>
      </w:r>
      <w:r w:rsidRPr="00022BAF">
        <w:rPr>
          <w:rFonts w:ascii="Verdana" w:eastAsia="Arial" w:hAnsi="Verdana" w:cs="Arial"/>
          <w:spacing w:val="16"/>
          <w:lang w:val="es-ES"/>
        </w:rPr>
        <w:t xml:space="preserve"> </w:t>
      </w:r>
      <w:r w:rsidRPr="00022BAF">
        <w:rPr>
          <w:rFonts w:ascii="Verdana" w:eastAsia="Arial" w:hAnsi="Verdana" w:cs="Arial"/>
          <w:lang w:val="es-ES"/>
        </w:rPr>
        <w:t>cada</w:t>
      </w:r>
      <w:r w:rsidRPr="00022BAF">
        <w:rPr>
          <w:rFonts w:ascii="Verdana" w:eastAsia="Arial" w:hAnsi="Verdana" w:cs="Arial"/>
          <w:spacing w:val="19"/>
          <w:lang w:val="es-ES"/>
        </w:rPr>
        <w:t xml:space="preserve"> </w:t>
      </w:r>
      <w:r w:rsidRPr="00022BAF">
        <w:rPr>
          <w:rFonts w:ascii="Verdana" w:eastAsia="Arial" w:hAnsi="Verdana" w:cs="Arial"/>
          <w:lang w:val="es-ES"/>
        </w:rPr>
        <w:t>respectivo</w:t>
      </w:r>
      <w:r w:rsidRPr="00022BAF">
        <w:rPr>
          <w:rFonts w:ascii="Verdana" w:eastAsia="Arial" w:hAnsi="Verdana" w:cs="Arial"/>
          <w:spacing w:val="17"/>
          <w:lang w:val="es-ES"/>
        </w:rPr>
        <w:t xml:space="preserve"> </w:t>
      </w:r>
      <w:r w:rsidRPr="00022BAF">
        <w:rPr>
          <w:rFonts w:ascii="Verdana" w:eastAsia="Arial" w:hAnsi="Verdana" w:cs="Arial"/>
          <w:lang w:val="es-ES"/>
        </w:rPr>
        <w:t>miembro</w:t>
      </w:r>
      <w:r w:rsidRPr="00022BAF">
        <w:rPr>
          <w:rFonts w:ascii="Verdana" w:eastAsia="Arial" w:hAnsi="Verdana" w:cs="Arial"/>
          <w:spacing w:val="17"/>
          <w:lang w:val="es-ES"/>
        </w:rPr>
        <w:t xml:space="preserve"> </w:t>
      </w:r>
      <w:r w:rsidRPr="00022BAF">
        <w:rPr>
          <w:rFonts w:ascii="Verdana" w:eastAsia="Arial" w:hAnsi="Verdana" w:cs="Arial"/>
          <w:lang w:val="es-ES"/>
        </w:rPr>
        <w:t>de</w:t>
      </w:r>
      <w:r w:rsidRPr="00022BAF">
        <w:rPr>
          <w:rFonts w:ascii="Verdana" w:eastAsia="Arial" w:hAnsi="Verdana" w:cs="Arial"/>
          <w:spacing w:val="14"/>
          <w:lang w:val="es-ES"/>
        </w:rPr>
        <w:t xml:space="preserve"> </w:t>
      </w:r>
      <w:r w:rsidRPr="00022BAF">
        <w:rPr>
          <w:rFonts w:ascii="Verdana" w:eastAsia="Arial" w:hAnsi="Verdana" w:cs="Arial"/>
          <w:lang w:val="es-ES"/>
        </w:rPr>
        <w:t>la</w:t>
      </w:r>
      <w:r w:rsidRPr="00022BAF">
        <w:rPr>
          <w:rFonts w:ascii="Verdana" w:eastAsia="Arial" w:hAnsi="Verdana" w:cs="Arial"/>
          <w:spacing w:val="18"/>
          <w:lang w:val="es-ES"/>
        </w:rPr>
        <w:t xml:space="preserve"> </w:t>
      </w:r>
      <w:r w:rsidRPr="00022BAF">
        <w:rPr>
          <w:rFonts w:ascii="Verdana" w:eastAsia="Arial" w:hAnsi="Verdana" w:cs="Arial"/>
          <w:lang w:val="es-ES"/>
        </w:rPr>
        <w:t>corporación, se les prohíbe desempeñar cargo alguno en la administración pública o vincularse como trabajador oficial</w:t>
      </w:r>
      <w:r w:rsidRPr="00022BAF">
        <w:rPr>
          <w:rFonts w:ascii="Verdana" w:eastAsia="Arial" w:hAnsi="Verdana" w:cs="Arial"/>
          <w:vertAlign w:val="superscript"/>
          <w:lang w:val="es-ES"/>
        </w:rPr>
        <w:footnoteReference w:id="20"/>
      </w:r>
      <w:r w:rsidRPr="00022BAF">
        <w:rPr>
          <w:rFonts w:ascii="Verdana" w:eastAsia="Arial" w:hAnsi="Verdana" w:cs="Arial"/>
          <w:lang w:val="es-ES"/>
        </w:rPr>
        <w:t>.</w:t>
      </w:r>
    </w:p>
    <w:p w14:paraId="7A1848B2" w14:textId="77777777" w:rsidR="00F449DB" w:rsidRPr="00022BAF" w:rsidRDefault="00F449DB" w:rsidP="00F449DB">
      <w:pPr>
        <w:widowControl w:val="0"/>
        <w:autoSpaceDE w:val="0"/>
        <w:autoSpaceDN w:val="0"/>
        <w:spacing w:after="120" w:line="276" w:lineRule="auto"/>
        <w:ind w:firstLine="708"/>
        <w:jc w:val="both"/>
        <w:rPr>
          <w:rFonts w:ascii="Verdana" w:eastAsia="Arial" w:hAnsi="Verdana" w:cs="Arial"/>
          <w:lang w:val="es-ES"/>
        </w:rPr>
      </w:pPr>
      <w:r w:rsidRPr="00022BAF">
        <w:rPr>
          <w:rFonts w:ascii="Verdana" w:eastAsia="Arial" w:hAnsi="Verdana" w:cs="Arial"/>
          <w:lang w:val="es-ES"/>
        </w:rPr>
        <w:t xml:space="preserve">En este orden de ideas, la prohibición de recibir doble asignación </w:t>
      </w:r>
      <w:bookmarkStart w:id="11" w:name="_Hlk141120008"/>
      <w:r w:rsidRPr="00022BAF">
        <w:rPr>
          <w:rFonts w:ascii="Verdana" w:eastAsia="Arial" w:hAnsi="Verdana" w:cs="Arial"/>
          <w:lang w:val="es-ES"/>
        </w:rPr>
        <w:t xml:space="preserve">del tesoro público </w:t>
      </w:r>
      <w:bookmarkEnd w:id="11"/>
      <w:r w:rsidRPr="00022BAF">
        <w:rPr>
          <w:rFonts w:ascii="Verdana" w:eastAsia="Arial" w:hAnsi="Verdana" w:cs="Arial"/>
          <w:lang w:val="es-ES"/>
        </w:rPr>
        <w:t>recae sobre los servidores públicos, incluidos los miembros de las corporaciones públicas, donde el término “asignación” comprende los dineros y recursos que provienen del tesoro público, o de empresas o de instituciones en las que tenga parte mayoritaria el Estado, en calidad de pago para retribuir un servicio laboral.</w:t>
      </w:r>
    </w:p>
    <w:p w14:paraId="10A9C49C" w14:textId="77777777" w:rsidR="00F449DB" w:rsidRPr="00022BAF"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 xml:space="preserve">De conformidad con lo anterior, y </w:t>
      </w:r>
      <w:bookmarkStart w:id="12" w:name="_Hlk141119984"/>
      <w:r w:rsidRPr="00022BAF">
        <w:rPr>
          <w:rFonts w:ascii="Verdana" w:eastAsia="Arial" w:hAnsi="Verdana" w:cs="Arial"/>
          <w:lang w:val="es-ES"/>
        </w:rPr>
        <w:t xml:space="preserve">teniendo en cuenta la naturaleza jurídica del contrato de prestación de servicios, la prohibición de percibir doble asignación no es aplicable, pues estos, en virtud del artículo 32 de la Ley 80 de 1993, no comportan una relación laboral, sino que son fruto de la libre autonomía de la voluntad de los contratantes, por consiguiente el contratista no es considerado un servidor público, al no tener un vínculo de subordinación con el Estado, elemento propio de un contrato laboral. </w:t>
      </w:r>
      <w:bookmarkEnd w:id="12"/>
      <w:r w:rsidRPr="00022BAF">
        <w:rPr>
          <w:rFonts w:ascii="Verdana" w:eastAsia="Arial" w:hAnsi="Verdana" w:cs="Arial"/>
          <w:lang w:val="es-ES"/>
        </w:rPr>
        <w:t>En este contexto, el Consejo de Estado, en el citado concepto, expresó que la retribución económica de los contratistas de prestación de servicios no constituye salario y, por lo tanto, no puede considerarse asignación presupuestal a la que hace referencia el artículo 128 de la Constitución. Al respecto</w:t>
      </w:r>
      <w:r w:rsidRPr="00022BAF">
        <w:rPr>
          <w:rFonts w:ascii="Verdana" w:eastAsia="Arial" w:hAnsi="Verdana" w:cs="Arial"/>
          <w:spacing w:val="-4"/>
          <w:lang w:val="es-ES"/>
        </w:rPr>
        <w:t xml:space="preserve"> </w:t>
      </w:r>
      <w:r w:rsidRPr="00022BAF">
        <w:rPr>
          <w:rFonts w:ascii="Verdana" w:eastAsia="Arial" w:hAnsi="Verdana" w:cs="Arial"/>
          <w:lang w:val="es-ES"/>
        </w:rPr>
        <w:t>expresó:</w:t>
      </w:r>
    </w:p>
    <w:p w14:paraId="5BE85688" w14:textId="77777777" w:rsidR="00F449DB" w:rsidRPr="00305A42" w:rsidRDefault="00F449DB" w:rsidP="00F449DB">
      <w:pPr>
        <w:widowControl w:val="0"/>
        <w:autoSpaceDE w:val="0"/>
        <w:autoSpaceDN w:val="0"/>
        <w:spacing w:after="0" w:line="240" w:lineRule="auto"/>
        <w:ind w:left="709" w:right="618"/>
        <w:jc w:val="both"/>
        <w:rPr>
          <w:rFonts w:ascii="Verdana" w:eastAsia="Arial" w:hAnsi="Verdana" w:cs="Arial"/>
          <w:sz w:val="20"/>
          <w:szCs w:val="20"/>
          <w:lang w:val="es-ES"/>
        </w:rPr>
      </w:pPr>
      <w:r w:rsidRPr="00305A42">
        <w:rPr>
          <w:rFonts w:ascii="Verdana" w:eastAsia="Arial" w:hAnsi="Verdana" w:cs="Arial"/>
          <w:sz w:val="20"/>
          <w:szCs w:val="20"/>
          <w:lang w:val="es-ES"/>
        </w:rPr>
        <w:t xml:space="preserve">“Es así como los trabajadores oficiales perciben por sus servicios un salario, </w:t>
      </w:r>
      <w:r w:rsidRPr="00305A42">
        <w:rPr>
          <w:rFonts w:ascii="Verdana" w:eastAsia="Arial" w:hAnsi="Verdana" w:cs="Arial"/>
          <w:sz w:val="20"/>
          <w:szCs w:val="20"/>
          <w:lang w:val="es-ES"/>
        </w:rPr>
        <w:lastRenderedPageBreak/>
        <w:t>que constituye asignación, la retribución de los contratistas de prestación de servicios son los honorarios, que no tienen tal carácter. Así, la fuente del reconocimiento es bien distinta: en el primero, la vinculación laboral administrativa y, en el segundo, el negocio jurídico, fundado en la autonomía de la</w:t>
      </w:r>
      <w:r w:rsidRPr="00305A42">
        <w:rPr>
          <w:rFonts w:ascii="Verdana" w:eastAsia="Arial" w:hAnsi="Verdana" w:cs="Arial"/>
          <w:spacing w:val="-2"/>
          <w:sz w:val="20"/>
          <w:szCs w:val="20"/>
          <w:lang w:val="es-ES"/>
        </w:rPr>
        <w:t xml:space="preserve"> </w:t>
      </w:r>
      <w:r w:rsidRPr="00305A42">
        <w:rPr>
          <w:rFonts w:ascii="Verdana" w:eastAsia="Arial" w:hAnsi="Verdana" w:cs="Arial"/>
          <w:sz w:val="20"/>
          <w:szCs w:val="20"/>
          <w:lang w:val="es-ES"/>
        </w:rPr>
        <w:t>voluntad.</w:t>
      </w:r>
    </w:p>
    <w:p w14:paraId="7B4C92A5" w14:textId="77777777" w:rsidR="00F449DB" w:rsidRPr="00305A42" w:rsidRDefault="00F449DB" w:rsidP="00F449DB">
      <w:pPr>
        <w:widowControl w:val="0"/>
        <w:autoSpaceDE w:val="0"/>
        <w:autoSpaceDN w:val="0"/>
        <w:spacing w:after="0" w:line="240" w:lineRule="auto"/>
        <w:ind w:left="709" w:right="618"/>
        <w:jc w:val="both"/>
        <w:rPr>
          <w:rFonts w:ascii="Verdana" w:eastAsia="Arial" w:hAnsi="Verdana" w:cs="Arial"/>
          <w:sz w:val="20"/>
          <w:szCs w:val="20"/>
          <w:lang w:val="es-ES"/>
        </w:rPr>
      </w:pPr>
    </w:p>
    <w:p w14:paraId="43A2ABB8" w14:textId="77777777" w:rsidR="00F449DB" w:rsidRPr="00305A42" w:rsidRDefault="00F449DB" w:rsidP="00F449DB">
      <w:pPr>
        <w:widowControl w:val="0"/>
        <w:autoSpaceDE w:val="0"/>
        <w:autoSpaceDN w:val="0"/>
        <w:spacing w:after="0" w:line="240" w:lineRule="auto"/>
        <w:ind w:left="709" w:right="618"/>
        <w:jc w:val="both"/>
        <w:rPr>
          <w:rFonts w:ascii="Verdana" w:eastAsia="Arial" w:hAnsi="Verdana" w:cs="Arial"/>
          <w:sz w:val="20"/>
          <w:szCs w:val="20"/>
          <w:lang w:val="es-ES"/>
        </w:rPr>
      </w:pPr>
      <w:r w:rsidRPr="00305A42">
        <w:rPr>
          <w:rFonts w:ascii="Verdana" w:eastAsia="Arial" w:hAnsi="Verdana" w:cs="Arial"/>
          <w:sz w:val="20"/>
          <w:szCs w:val="20"/>
          <w:lang w:val="es-ES"/>
        </w:rPr>
        <w:t>De los presupuestos de la definición legal y de los elementos analizados, se concluye que particulares que colaboran con el Estado mediante un contrato de prestación de servicios o cualquier otro, tipificado en la ley 80 de l993 o producto de la autonomía de la voluntad, no están subsumidos en el contexto de la función pública, ni son, por tanto, servidores públicos y, por lo mismo, no reciben “asignación” en los términos establecidos, lo que hace imposible aplicarles el régimen de estos”.</w:t>
      </w:r>
    </w:p>
    <w:p w14:paraId="52A27B59" w14:textId="77777777" w:rsidR="00F449DB" w:rsidRPr="00022BAF" w:rsidRDefault="00F449DB" w:rsidP="00F449DB">
      <w:pPr>
        <w:widowControl w:val="0"/>
        <w:autoSpaceDE w:val="0"/>
        <w:autoSpaceDN w:val="0"/>
        <w:spacing w:after="0" w:line="276" w:lineRule="auto"/>
        <w:jc w:val="both"/>
        <w:rPr>
          <w:rFonts w:ascii="Verdana" w:eastAsia="Arial" w:hAnsi="Verdana" w:cs="Arial"/>
          <w:lang w:val="es-ES"/>
        </w:rPr>
      </w:pPr>
    </w:p>
    <w:p w14:paraId="3E62E671" w14:textId="77777777" w:rsidR="00F449DB" w:rsidRDefault="00F449DB" w:rsidP="00F449DB">
      <w:pPr>
        <w:widowControl w:val="0"/>
        <w:autoSpaceDE w:val="0"/>
        <w:autoSpaceDN w:val="0"/>
        <w:spacing w:after="120" w:line="276" w:lineRule="auto"/>
        <w:ind w:firstLine="709"/>
        <w:jc w:val="both"/>
        <w:rPr>
          <w:rFonts w:ascii="Verdana" w:eastAsia="Arial" w:hAnsi="Verdana" w:cs="Arial"/>
          <w:lang w:val="es-ES"/>
        </w:rPr>
      </w:pPr>
      <w:r w:rsidRPr="00022BAF">
        <w:rPr>
          <w:rFonts w:ascii="Verdana" w:eastAsia="Arial" w:hAnsi="Verdana" w:cs="Arial"/>
          <w:lang w:val="es-ES"/>
        </w:rPr>
        <w:t>Por consiguiente, a los contratistas del Estado no les aplica la prohibición del artículo 128 de la Constitución Política, toda vez que no se consideran servidores públicos porque su relación con el Estado está dada en el marco de un negocio jurídico y no en virtud de una relación laboral.</w:t>
      </w:r>
      <w:bookmarkStart w:id="13" w:name="_Hlk134177522"/>
    </w:p>
    <w:p w14:paraId="732F401C" w14:textId="77777777" w:rsidR="00F449DB" w:rsidRDefault="00F449DB" w:rsidP="00F449DB">
      <w:pPr>
        <w:widowControl w:val="0"/>
        <w:autoSpaceDE w:val="0"/>
        <w:autoSpaceDN w:val="0"/>
        <w:spacing w:after="120" w:line="276" w:lineRule="auto"/>
        <w:ind w:firstLine="709"/>
        <w:jc w:val="both"/>
        <w:rPr>
          <w:rFonts w:ascii="Verdana" w:eastAsia="Arial" w:hAnsi="Verdana" w:cs="Arial"/>
          <w:lang w:eastAsia="es-CO"/>
        </w:rPr>
      </w:pPr>
      <w:r w:rsidRPr="00305A42">
        <w:rPr>
          <w:rFonts w:ascii="Verdana" w:eastAsia="Arial" w:hAnsi="Verdana" w:cs="Arial"/>
          <w:lang w:eastAsia="es-MX"/>
        </w:rPr>
        <w:t>Ahora bien, respecto de la posibilidad de celebra</w:t>
      </w:r>
      <w:r>
        <w:rPr>
          <w:rFonts w:ascii="Verdana" w:eastAsia="Arial" w:hAnsi="Verdana" w:cs="Arial"/>
          <w:lang w:eastAsia="es-MX"/>
        </w:rPr>
        <w:t>r</w:t>
      </w:r>
      <w:r w:rsidRPr="00305A42">
        <w:rPr>
          <w:rFonts w:ascii="Verdana" w:eastAsia="Arial" w:hAnsi="Verdana" w:cs="Arial"/>
          <w:lang w:eastAsia="es-MX"/>
        </w:rPr>
        <w:t xml:space="preserve"> </w:t>
      </w:r>
      <w:bookmarkStart w:id="14" w:name="_Hlk134189487"/>
      <w:r w:rsidRPr="00305A42">
        <w:rPr>
          <w:rFonts w:ascii="Verdana" w:eastAsia="Arial" w:hAnsi="Verdana" w:cs="Arial"/>
          <w:lang w:eastAsia="es-MX"/>
        </w:rPr>
        <w:t>varios</w:t>
      </w:r>
      <w:r w:rsidRPr="00305A42">
        <w:rPr>
          <w:rFonts w:ascii="Verdana" w:eastAsia="Arial" w:hAnsi="Verdana" w:cs="Arial"/>
          <w:color w:val="000000" w:themeColor="text1"/>
          <w:lang w:val="es-ES" w:eastAsia="es-ES"/>
        </w:rPr>
        <w:t xml:space="preserve"> contratos de prestación de servicios con la misma entidad, y que además coexistan</w:t>
      </w:r>
      <w:bookmarkEnd w:id="13"/>
      <w:bookmarkEnd w:id="14"/>
      <w:r>
        <w:rPr>
          <w:rFonts w:ascii="Verdana" w:eastAsia="Arial" w:hAnsi="Verdana" w:cs="Arial"/>
          <w:color w:val="000000" w:themeColor="text1"/>
          <w:lang w:val="es-ES" w:eastAsia="es-ES"/>
        </w:rPr>
        <w:t>,</w:t>
      </w:r>
      <w:r>
        <w:rPr>
          <w:rFonts w:ascii="Verdana" w:eastAsia="Arial" w:hAnsi="Verdana" w:cs="Arial"/>
          <w:b/>
          <w:bCs/>
          <w:color w:val="000000"/>
          <w:lang w:val="es-ES" w:eastAsia="es-ES"/>
        </w:rPr>
        <w:t xml:space="preserve"> </w:t>
      </w:r>
      <w:r w:rsidRPr="00022BAF">
        <w:rPr>
          <w:rFonts w:ascii="Verdana" w:eastAsia="Arial" w:hAnsi="Verdana" w:cs="Arial"/>
          <w:color w:val="000000"/>
          <w:lang w:val="es-ES" w:eastAsia="es-ES"/>
        </w:rPr>
        <w:t xml:space="preserve">conviene recordar que, en materia de contratación estatal, la capacidad jurídica también configura </w:t>
      </w:r>
      <w:r w:rsidRPr="00022BAF">
        <w:rPr>
          <w:rFonts w:ascii="Verdana" w:eastAsia="Arial" w:hAnsi="Verdana" w:cs="Arial"/>
          <w:lang w:eastAsia="es-CO"/>
        </w:rPr>
        <w:t>un requisito de validez de los contratos, tanto en el régimen de las entidades sujetas al EGCAP</w:t>
      </w:r>
      <w:r w:rsidRPr="00022BAF">
        <w:rPr>
          <w:rFonts w:ascii="Verdana" w:eastAsia="Arial" w:hAnsi="Verdana" w:cs="Arial"/>
          <w:vertAlign w:val="superscript"/>
          <w:lang w:eastAsia="es-CO"/>
        </w:rPr>
        <w:footnoteReference w:id="21"/>
      </w:r>
      <w:r w:rsidRPr="00022BAF">
        <w:rPr>
          <w:rFonts w:ascii="Verdana" w:eastAsia="Arial" w:hAnsi="Verdana" w:cs="Arial"/>
          <w:lang w:eastAsia="es-CO"/>
        </w:rPr>
        <w:t xml:space="preserve"> como en el de las entidades exceptuadas de aquel</w:t>
      </w:r>
      <w:r w:rsidRPr="00022BAF">
        <w:rPr>
          <w:rFonts w:ascii="Verdana" w:eastAsia="Arial" w:hAnsi="Verdana" w:cs="Arial"/>
          <w:vertAlign w:val="superscript"/>
          <w:lang w:eastAsia="es-CO"/>
        </w:rPr>
        <w:footnoteReference w:id="22"/>
      </w:r>
      <w:r w:rsidRPr="00022BAF">
        <w:rPr>
          <w:rFonts w:ascii="Verdana" w:eastAsia="Arial" w:hAnsi="Verdana" w:cs="Arial"/>
          <w:lang w:eastAsia="es-CO"/>
        </w:rPr>
        <w:t xml:space="preserve">. </w:t>
      </w:r>
      <w:bookmarkStart w:id="15" w:name="_Hlk204854194"/>
    </w:p>
    <w:p w14:paraId="76BB61D0" w14:textId="77777777" w:rsidR="00F449DB" w:rsidRPr="006365F1" w:rsidRDefault="00F449DB" w:rsidP="00F449DB">
      <w:pPr>
        <w:widowControl w:val="0"/>
        <w:autoSpaceDE w:val="0"/>
        <w:autoSpaceDN w:val="0"/>
        <w:spacing w:after="120" w:line="276" w:lineRule="auto"/>
        <w:ind w:firstLine="709"/>
        <w:jc w:val="both"/>
        <w:rPr>
          <w:rFonts w:ascii="Verdana" w:eastAsia="Arial" w:hAnsi="Verdana" w:cs="Arial"/>
          <w:lang w:eastAsia="es-CO"/>
        </w:rPr>
      </w:pP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vertAlign w:val="superscript"/>
          <w:lang w:val="es-ES_tradnl"/>
        </w:rPr>
        <w:footnoteReference w:id="23"/>
      </w:r>
      <w:r w:rsidRPr="00135CB1">
        <w:rPr>
          <w:rFonts w:ascii="Verdana" w:eastAsia="Calibri" w:hAnsi="Verdana" w:cs="Arial"/>
          <w:color w:val="000000" w:themeColor="text1"/>
          <w:lang w:val="es-ES_tradnl"/>
        </w:rPr>
        <w:t>.</w:t>
      </w:r>
    </w:p>
    <w:p w14:paraId="0DA45B48" w14:textId="77777777" w:rsidR="00F449DB" w:rsidRPr="00135CB1" w:rsidRDefault="00F449DB" w:rsidP="00F449DB">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135CB1">
        <w:rPr>
          <w:rFonts w:ascii="Verdana" w:eastAsia="Calibri" w:hAnsi="Verdana" w:cs="Arial"/>
          <w:color w:val="000000" w:themeColor="text1"/>
          <w:vertAlign w:val="superscript"/>
          <w:lang w:val="es-ES"/>
        </w:rPr>
        <w:footnoteReference w:id="24"/>
      </w:r>
      <w:r w:rsidRPr="00135CB1">
        <w:rPr>
          <w:rFonts w:ascii="Verdana" w:eastAsia="Calibri" w:hAnsi="Verdana" w:cs="Arial"/>
          <w:color w:val="000000" w:themeColor="text1"/>
          <w:lang w:val="es-ES"/>
        </w:rPr>
        <w:t xml:space="preserve">, </w:t>
      </w:r>
      <w:proofErr w:type="spellStart"/>
      <w:r w:rsidRPr="00135CB1">
        <w:rPr>
          <w:rFonts w:ascii="Verdana" w:eastAsia="Calibri" w:hAnsi="Verdana" w:cs="Arial"/>
          <w:color w:val="000000" w:themeColor="text1"/>
          <w:lang w:val="es-ES"/>
        </w:rPr>
        <w:t>ii</w:t>
      </w:r>
      <w:proofErr w:type="spellEnd"/>
      <w:r w:rsidRPr="00135CB1">
        <w:rPr>
          <w:rFonts w:ascii="Verdana" w:eastAsia="Calibri" w:hAnsi="Verdana" w:cs="Arial"/>
          <w:color w:val="000000" w:themeColor="text1"/>
          <w:lang w:val="es-ES"/>
        </w:rPr>
        <w:t xml:space="preserve">) de </w:t>
      </w:r>
      <w:r w:rsidRPr="00135CB1">
        <w:rPr>
          <w:rFonts w:ascii="Verdana" w:eastAsia="Calibri" w:hAnsi="Verdana" w:cs="Arial"/>
          <w:color w:val="000000" w:themeColor="text1"/>
          <w:lang w:val="es-ES"/>
        </w:rPr>
        <w:lastRenderedPageBreak/>
        <w:t>vínculos personales relativos al parentesco o al estado civil</w:t>
      </w:r>
      <w:r w:rsidRPr="00135CB1">
        <w:rPr>
          <w:rFonts w:ascii="Verdana" w:eastAsia="Calibri" w:hAnsi="Verdana" w:cs="Arial"/>
          <w:color w:val="000000" w:themeColor="text1"/>
          <w:vertAlign w:val="superscript"/>
          <w:lang w:val="es-ES"/>
        </w:rPr>
        <w:footnoteReference w:id="25"/>
      </w:r>
      <w:r w:rsidRPr="00135CB1">
        <w:rPr>
          <w:rFonts w:ascii="Verdana" w:eastAsia="Calibri" w:hAnsi="Verdana" w:cs="Arial"/>
          <w:color w:val="000000" w:themeColor="text1"/>
          <w:lang w:val="es-ES"/>
        </w:rPr>
        <w:t xml:space="preserve"> o </w:t>
      </w:r>
      <w:proofErr w:type="spellStart"/>
      <w:r w:rsidRPr="00135CB1">
        <w:rPr>
          <w:rFonts w:ascii="Verdana" w:eastAsia="Calibri" w:hAnsi="Verdana" w:cs="Arial"/>
          <w:color w:val="000000" w:themeColor="text1"/>
          <w:lang w:val="es-ES"/>
        </w:rPr>
        <w:t>iii</w:t>
      </w:r>
      <w:proofErr w:type="spellEnd"/>
      <w:r w:rsidRPr="00135CB1">
        <w:rPr>
          <w:rFonts w:ascii="Verdana" w:eastAsia="Calibri" w:hAnsi="Verdana" w:cs="Arial"/>
          <w:color w:val="000000" w:themeColor="text1"/>
          <w:lang w:val="es-ES"/>
        </w:rPr>
        <w:t>) de una actividad u oficio que se desempeñó en el pasado</w:t>
      </w:r>
      <w:r w:rsidRPr="00135CB1">
        <w:rPr>
          <w:rFonts w:ascii="Verdana" w:eastAsia="Calibri" w:hAnsi="Verdana" w:cs="Arial"/>
          <w:color w:val="000000" w:themeColor="text1"/>
          <w:vertAlign w:val="superscript"/>
          <w:lang w:val="es-ES"/>
        </w:rPr>
        <w:footnoteReference w:id="26"/>
      </w:r>
      <w:r w:rsidRPr="00135CB1">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27"/>
      </w:r>
      <w:r w:rsidRPr="00135CB1">
        <w:rPr>
          <w:rFonts w:ascii="Verdana" w:eastAsia="Calibri" w:hAnsi="Verdana" w:cs="Arial"/>
          <w:color w:val="000000" w:themeColor="text1"/>
          <w:lang w:val="es-ES"/>
        </w:rPr>
        <w:t xml:space="preserve">. </w:t>
      </w:r>
    </w:p>
    <w:p w14:paraId="754E903A" w14:textId="77777777" w:rsidR="00F449DB" w:rsidRPr="00135CB1" w:rsidRDefault="00F449DB" w:rsidP="00F449DB">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lastRenderedPageBreak/>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w:t>
      </w:r>
      <w:proofErr w:type="gramStart"/>
      <w:r w:rsidRPr="00135CB1">
        <w:rPr>
          <w:rFonts w:ascii="Verdana" w:eastAsia="Calibri" w:hAnsi="Verdana" w:cs="Arial"/>
          <w:color w:val="000000" w:themeColor="text1"/>
          <w:lang w:val="es-ES"/>
        </w:rPr>
        <w:t>que</w:t>
      </w:r>
      <w:proofErr w:type="gramEnd"/>
      <w:r w:rsidRPr="00135CB1">
        <w:rPr>
          <w:rFonts w:ascii="Verdana" w:eastAsia="Calibri" w:hAnsi="Verdana" w:cs="Arial"/>
          <w:color w:val="000000" w:themeColor="text1"/>
          <w:lang w:val="es-ES"/>
        </w:rPr>
        <w:t xml:space="preserv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t>“</w:t>
      </w:r>
      <w:proofErr w:type="spellStart"/>
      <w:r w:rsidRPr="00135CB1">
        <w:rPr>
          <w:rFonts w:ascii="Verdana" w:eastAsia="Calibri" w:hAnsi="Verdana" w:cs="Arial"/>
          <w:color w:val="000000" w:themeColor="text1"/>
          <w:lang w:val="es-ES"/>
        </w:rPr>
        <w:t>neopunitivo</w:t>
      </w:r>
      <w:proofErr w:type="spellEnd"/>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28"/>
      </w:r>
      <w:r w:rsidRPr="00135CB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61FFEE50" w14:textId="77777777" w:rsidR="00F449DB" w:rsidRPr="00135CB1" w:rsidRDefault="00F449DB" w:rsidP="00F449DB">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29"/>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32666CF9" w14:textId="77777777" w:rsidR="00F449DB" w:rsidRPr="00135CB1" w:rsidRDefault="00F449DB" w:rsidP="00F449DB">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 xml:space="preserve">“(…) </w:t>
      </w:r>
      <w:r w:rsidRPr="00135CB1">
        <w:rPr>
          <w:rFonts w:ascii="Verdana" w:eastAsia="Calibri" w:hAnsi="Verdana" w:cs="Arial"/>
          <w:color w:val="000000" w:themeColor="text1"/>
          <w:lang w:val="es-ES_tradnl"/>
        </w:rPr>
        <w:t xml:space="preserve">el intérprete de las disposiciones legislativas en la materia ha de ceñirse en la mayor medida posible al tenor </w:t>
      </w:r>
      <w:r w:rsidRPr="00135CB1">
        <w:rPr>
          <w:rFonts w:ascii="Verdana" w:eastAsia="Calibri" w:hAnsi="Verdana" w:cs="Arial"/>
          <w:color w:val="000000" w:themeColor="text1"/>
          <w:lang w:val="es-ES_tradnl"/>
        </w:rPr>
        <w:lastRenderedPageBreak/>
        <w:t xml:space="preserve">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 la interpretación 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30"/>
      </w:r>
      <w:r w:rsidRPr="00135CB1">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31"/>
      </w:r>
      <w:r w:rsidRPr="00135CB1">
        <w:rPr>
          <w:rFonts w:ascii="Verdana" w:eastAsia="Calibri" w:hAnsi="Verdana" w:cs="Arial"/>
          <w:color w:val="000000" w:themeColor="text1"/>
          <w:lang w:val="es-ES_tradnl"/>
        </w:rPr>
        <w:t>. En tal sentido, la Sección Tercera ha señalado que:</w:t>
      </w:r>
    </w:p>
    <w:p w14:paraId="1E6F543E" w14:textId="77777777" w:rsidR="00F449DB" w:rsidRPr="006365F1" w:rsidRDefault="00F449DB" w:rsidP="00F449DB">
      <w:pPr>
        <w:spacing w:after="0" w:line="240" w:lineRule="auto"/>
        <w:ind w:left="709" w:right="709"/>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r w:rsidRPr="006365F1">
        <w:rPr>
          <w:rFonts w:ascii="Verdana" w:hAnsi="Verdana" w:cs="Arial"/>
          <w:color w:val="000000" w:themeColor="text1"/>
          <w:sz w:val="20"/>
          <w:szCs w:val="20"/>
          <w:lang w:val="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365F1">
        <w:rPr>
          <w:rFonts w:ascii="Verdana" w:hAnsi="Verdana" w:cs="Arial"/>
          <w:color w:val="000000" w:themeColor="text1"/>
          <w:sz w:val="20"/>
          <w:szCs w:val="20"/>
          <w:vertAlign w:val="superscript"/>
          <w:lang w:val="es-ES_tradnl"/>
        </w:rPr>
        <w:footnoteReference w:id="32"/>
      </w:r>
      <w:r w:rsidRPr="006365F1">
        <w:rPr>
          <w:rFonts w:ascii="Verdana" w:hAnsi="Verdana" w:cs="Arial"/>
          <w:color w:val="000000" w:themeColor="text1"/>
          <w:sz w:val="20"/>
          <w:szCs w:val="20"/>
          <w:lang w:val="es-ES_tradnl"/>
        </w:rPr>
        <w:t>.</w:t>
      </w:r>
    </w:p>
    <w:p w14:paraId="2FFF8273" w14:textId="77777777" w:rsidR="00F449DB" w:rsidRPr="006365F1" w:rsidRDefault="00F449DB" w:rsidP="00F449DB">
      <w:pPr>
        <w:spacing w:after="0" w:line="240" w:lineRule="auto"/>
        <w:ind w:left="709" w:right="709"/>
        <w:jc w:val="both"/>
        <w:rPr>
          <w:rFonts w:ascii="Verdana" w:hAnsi="Verdana" w:cs="Arial"/>
          <w:bCs/>
          <w:color w:val="000000" w:themeColor="text1"/>
          <w:sz w:val="20"/>
          <w:szCs w:val="20"/>
          <w:lang w:val="es-ES_tradnl"/>
        </w:rPr>
      </w:pPr>
    </w:p>
    <w:p w14:paraId="783C4AE5" w14:textId="77777777" w:rsidR="00F449DB" w:rsidRPr="006365F1" w:rsidRDefault="00F449DB" w:rsidP="00F449DB">
      <w:pPr>
        <w:spacing w:after="0" w:line="240" w:lineRule="auto"/>
        <w:ind w:firstLine="709"/>
        <w:jc w:val="both"/>
        <w:rPr>
          <w:rFonts w:ascii="Verdana" w:eastAsia="Calibri" w:hAnsi="Verdana" w:cs="Arial"/>
          <w:color w:val="000000" w:themeColor="text1"/>
          <w:sz w:val="20"/>
          <w:szCs w:val="20"/>
          <w:lang w:val="es-ES_tradnl"/>
        </w:rPr>
      </w:pPr>
      <w:r w:rsidRPr="006365F1">
        <w:rPr>
          <w:rFonts w:ascii="Verdana" w:eastAsia="Calibri" w:hAnsi="Verdana" w:cs="Arial"/>
          <w:color w:val="000000" w:themeColor="text1"/>
          <w:sz w:val="20"/>
          <w:szCs w:val="20"/>
          <w:lang w:val="es-ES_tradnl"/>
        </w:rPr>
        <w:t>También ha dicho que:</w:t>
      </w:r>
    </w:p>
    <w:p w14:paraId="3C121A38" w14:textId="77777777" w:rsidR="00F449DB" w:rsidRPr="006365F1" w:rsidRDefault="00F449DB" w:rsidP="00F449DB">
      <w:pPr>
        <w:spacing w:after="0" w:line="240" w:lineRule="auto"/>
        <w:ind w:firstLine="709"/>
        <w:jc w:val="both"/>
        <w:rPr>
          <w:rFonts w:ascii="Verdana" w:eastAsia="Calibri" w:hAnsi="Verdana" w:cs="Arial"/>
          <w:color w:val="000000" w:themeColor="text1"/>
          <w:sz w:val="20"/>
          <w:szCs w:val="20"/>
          <w:lang w:val="es-ES_tradnl"/>
        </w:rPr>
      </w:pPr>
    </w:p>
    <w:p w14:paraId="1D84A6E5" w14:textId="77777777" w:rsidR="00F449DB" w:rsidRPr="006365F1" w:rsidRDefault="00F449DB" w:rsidP="00F449DB">
      <w:pPr>
        <w:spacing w:after="0" w:line="240" w:lineRule="auto"/>
        <w:ind w:left="709" w:right="709"/>
        <w:jc w:val="both"/>
        <w:rPr>
          <w:rFonts w:ascii="Verdana" w:hAnsi="Verdana" w:cs="Arial"/>
          <w:color w:val="000000" w:themeColor="text1"/>
          <w:sz w:val="20"/>
          <w:szCs w:val="20"/>
          <w:lang w:val="es-ES"/>
        </w:rPr>
      </w:pPr>
      <w:r w:rsidRPr="006365F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06365F1">
        <w:rPr>
          <w:rFonts w:ascii="Verdana" w:hAnsi="Verdana" w:cs="Arial"/>
          <w:i/>
          <w:iCs/>
          <w:color w:val="000000" w:themeColor="text1"/>
          <w:sz w:val="20"/>
          <w:szCs w:val="20"/>
          <w:lang w:val="es-ES"/>
        </w:rPr>
        <w:t xml:space="preserve">pro </w:t>
      </w:r>
      <w:proofErr w:type="spellStart"/>
      <w:r w:rsidRPr="006365F1">
        <w:rPr>
          <w:rFonts w:ascii="Verdana" w:hAnsi="Verdana" w:cs="Arial"/>
          <w:i/>
          <w:iCs/>
          <w:color w:val="000000" w:themeColor="text1"/>
          <w:sz w:val="20"/>
          <w:szCs w:val="20"/>
          <w:lang w:val="es-ES"/>
        </w:rPr>
        <w:t>libertate</w:t>
      </w:r>
      <w:proofErr w:type="spellEnd"/>
      <w:r w:rsidRPr="006365F1">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w:t>
      </w:r>
      <w:r>
        <w:rPr>
          <w:rFonts w:ascii="Verdana" w:hAnsi="Verdana" w:cs="Arial"/>
          <w:color w:val="000000" w:themeColor="text1"/>
          <w:sz w:val="20"/>
          <w:szCs w:val="20"/>
          <w:lang w:val="es-ES"/>
        </w:rPr>
        <w:t xml:space="preserve"> (…)”</w:t>
      </w:r>
      <w:r w:rsidRPr="006365F1">
        <w:rPr>
          <w:rFonts w:ascii="Verdana" w:hAnsi="Verdana" w:cs="Arial"/>
          <w:color w:val="000000" w:themeColor="text1"/>
          <w:sz w:val="20"/>
          <w:szCs w:val="20"/>
          <w:vertAlign w:val="superscript"/>
          <w:lang w:val="es-ES"/>
        </w:rPr>
        <w:footnoteReference w:id="33"/>
      </w:r>
      <w:r w:rsidRPr="006365F1">
        <w:rPr>
          <w:rFonts w:ascii="Verdana" w:hAnsi="Verdana" w:cs="Arial"/>
          <w:color w:val="000000" w:themeColor="text1"/>
          <w:sz w:val="20"/>
          <w:szCs w:val="20"/>
          <w:lang w:val="es-ES"/>
        </w:rPr>
        <w:t>.</w:t>
      </w:r>
    </w:p>
    <w:p w14:paraId="05035CC9" w14:textId="77777777" w:rsidR="00F449DB" w:rsidRPr="00135CB1" w:rsidRDefault="00F449DB" w:rsidP="00F449DB">
      <w:pPr>
        <w:spacing w:after="0" w:line="276" w:lineRule="auto"/>
        <w:ind w:left="709" w:right="709"/>
        <w:jc w:val="both"/>
        <w:rPr>
          <w:rFonts w:ascii="Verdana" w:hAnsi="Verdana" w:cs="Arial"/>
          <w:color w:val="000000" w:themeColor="text1"/>
          <w:sz w:val="21"/>
          <w:szCs w:val="21"/>
          <w:lang w:val="es-ES_tradnl"/>
        </w:rPr>
      </w:pPr>
    </w:p>
    <w:p w14:paraId="6D0B4A55" w14:textId="77777777" w:rsidR="00F449DB" w:rsidRDefault="00F449DB" w:rsidP="00F449DB">
      <w:pPr>
        <w:spacing w:after="120" w:line="276" w:lineRule="auto"/>
        <w:ind w:firstLine="709"/>
        <w:jc w:val="both"/>
        <w:rPr>
          <w:rFonts w:ascii="Verdana" w:eastAsia="Calibri" w:hAnsi="Verdana" w:cs="Arial"/>
          <w:color w:val="000000" w:themeColor="text1"/>
          <w:lang w:val="es-ES"/>
        </w:rPr>
      </w:pPr>
      <w:r w:rsidRPr="37744995">
        <w:rPr>
          <w:rFonts w:ascii="Verdana" w:eastAsia="Calibri" w:hAnsi="Verdana" w:cs="Arial"/>
          <w:color w:val="000000" w:themeColor="text1"/>
          <w:lang w:val="es-ES"/>
        </w:rPr>
        <w:t xml:space="preserve">Como se aprecia, el principio </w:t>
      </w:r>
      <w:r w:rsidRPr="37744995">
        <w:rPr>
          <w:rFonts w:ascii="Verdana" w:eastAsia="Calibri" w:hAnsi="Verdana" w:cs="Arial"/>
          <w:i/>
          <w:color w:val="000000" w:themeColor="text1"/>
          <w:lang w:val="es-ES"/>
        </w:rPr>
        <w:t xml:space="preserve">pro </w:t>
      </w:r>
      <w:proofErr w:type="spellStart"/>
      <w:r w:rsidRPr="37744995">
        <w:rPr>
          <w:rFonts w:ascii="Verdana" w:eastAsia="Calibri" w:hAnsi="Verdana" w:cs="Arial"/>
          <w:i/>
          <w:color w:val="000000" w:themeColor="text1"/>
          <w:lang w:val="es-ES"/>
        </w:rPr>
        <w:t>libertate</w:t>
      </w:r>
      <w:proofErr w:type="spellEnd"/>
      <w:r w:rsidRPr="37744995">
        <w:rPr>
          <w:rFonts w:ascii="Verdana" w:eastAsia="Calibri" w:hAnsi="Verdana" w:cs="Arial"/>
          <w:color w:val="000000" w:themeColor="text1"/>
          <w:lang w:val="es-ES"/>
        </w:rPr>
        <w:t xml:space="preserve"> es el que debe dirigir la interpretación de las disposiciones normativas que consagran restricciones de </w:t>
      </w:r>
      <w:r w:rsidRPr="37744995">
        <w:rPr>
          <w:rFonts w:ascii="Verdana" w:eastAsia="Calibri" w:hAnsi="Verdana" w:cs="Arial"/>
          <w:color w:val="000000" w:themeColor="text1"/>
          <w:lang w:val="es-ES"/>
        </w:rPr>
        <w:lastRenderedPageBreak/>
        <w:t>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652F8B60" w14:textId="77777777" w:rsidR="00F449DB" w:rsidRPr="00423B2E" w:rsidRDefault="00F449DB" w:rsidP="00F449DB">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para que </w:t>
      </w:r>
      <w:r>
        <w:rPr>
          <w:rFonts w:ascii="Verdana" w:eastAsia="Arial MT" w:hAnsi="Verdana" w:cs="Arial"/>
          <w:lang w:eastAsia="es-ES" w:bidi="es-ES"/>
        </w:rPr>
        <w:t>contratista celebre varios contratos de prestación de servicios con la misma entidad con la cual existe una relación de tipo legal o contractual, dado que no se subsume en ninguno de los supuestos de hecho, ni se advierte que la hipótesis materia de consulta configure alguna de las causales previstas establecidos en el artículo 8 de la Ley 80 de 1993</w:t>
      </w:r>
      <w:r w:rsidRPr="00CA3CC2">
        <w:rPr>
          <w:rFonts w:ascii="Verdana" w:hAnsi="Verdana" w:cs="Arial"/>
          <w:color w:val="000000" w:themeColor="text1"/>
          <w:lang w:val="es-ES_tradnl"/>
        </w:rPr>
        <w:t>, así dichos contratos coexistan en el tiempo</w:t>
      </w:r>
      <w:r>
        <w:rPr>
          <w:rFonts w:ascii="Verdana" w:hAnsi="Verdana" w:cs="Arial"/>
          <w:color w:val="000000" w:themeColor="text1"/>
          <w:lang w:val="es-ES_tradnl"/>
        </w:rPr>
        <w:t>.</w:t>
      </w:r>
    </w:p>
    <w:p w14:paraId="6C02BC50" w14:textId="77777777" w:rsidR="00F449DB" w:rsidRPr="00CA3CC2" w:rsidRDefault="00F449DB" w:rsidP="00F449DB">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t xml:space="preserve">En ese sentido, </w:t>
      </w:r>
      <w:bookmarkStart w:id="16" w:name="_Hlk192056119"/>
      <w:r w:rsidRPr="00CA3CC2">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w:t>
      </w:r>
      <w:r>
        <w:rPr>
          <w:rFonts w:ascii="Verdana" w:hAnsi="Verdana" w:cs="Arial"/>
          <w:color w:val="000000" w:themeColor="text1"/>
          <w:lang w:val="es-ES"/>
        </w:rPr>
        <w:t>a la misma entidad o a otras</w:t>
      </w:r>
      <w:r w:rsidRPr="00CA3CC2">
        <w:rPr>
          <w:rFonts w:ascii="Verdana" w:hAnsi="Verdana" w:cs="Arial"/>
          <w:color w:val="000000" w:themeColor="text1"/>
          <w:lang w:val="es-ES"/>
        </w:rPr>
        <w:t>, a través de contratos distintos y concomitantes</w:t>
      </w:r>
      <w:r>
        <w:rPr>
          <w:rFonts w:ascii="Verdana" w:hAnsi="Verdana" w:cs="Arial"/>
          <w:color w:val="000000" w:themeColor="text1"/>
          <w:lang w:val="es-ES"/>
        </w:rPr>
        <w:t xml:space="preserve">. </w:t>
      </w:r>
    </w:p>
    <w:bookmarkEnd w:id="16"/>
    <w:p w14:paraId="3FFF2C1E" w14:textId="77777777" w:rsidR="00F449DB" w:rsidRPr="00CA3CC2" w:rsidRDefault="00F449DB" w:rsidP="00F449DB">
      <w:pPr>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w:t>
      </w:r>
      <w:r>
        <w:rPr>
          <w:rFonts w:ascii="Verdana" w:hAnsi="Verdana" w:cs="Arial"/>
          <w:color w:val="000000" w:themeColor="text1"/>
          <w:lang w:val="es-ES"/>
        </w:rPr>
        <w:t xml:space="preserve">propios del contrato de prestación de servicios </w:t>
      </w:r>
      <w:r w:rsidRPr="00CA3CC2">
        <w:rPr>
          <w:rFonts w:ascii="Verdana" w:hAnsi="Verdana" w:cs="Arial"/>
          <w:color w:val="000000" w:themeColor="text1"/>
          <w:lang w:val="es-ES"/>
        </w:rPr>
        <w:t>pues se recuerda que la celebración d</w:t>
      </w:r>
      <w:r>
        <w:rPr>
          <w:rFonts w:ascii="Verdana" w:hAnsi="Verdana" w:cs="Arial"/>
          <w:color w:val="000000" w:themeColor="text1"/>
          <w:lang w:val="es-ES"/>
        </w:rPr>
        <w:t xml:space="preserve">e estos contratos </w:t>
      </w:r>
      <w:r w:rsidRPr="00CA3CC2">
        <w:rPr>
          <w:rFonts w:ascii="Verdana" w:hAnsi="Verdana" w:cs="Arial"/>
          <w:color w:val="000000" w:themeColor="text1"/>
          <w:lang w:val="es-ES"/>
        </w:rPr>
        <w:t xml:space="preserve">con una persona natural es </w:t>
      </w:r>
      <w:r w:rsidRPr="00CA3CC2">
        <w:rPr>
          <w:rFonts w:ascii="Verdana" w:hAnsi="Verdana" w:cs="Arial"/>
          <w:i/>
          <w:iCs/>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satisfactoriamente en los estudios previos. Además, dicho contrato debe ser </w:t>
      </w:r>
      <w:r w:rsidRPr="00CA3CC2">
        <w:rPr>
          <w:rFonts w:ascii="Verdana" w:hAnsi="Verdana" w:cs="Arial"/>
          <w:i/>
          <w:iCs/>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sidRPr="00CA3CC2">
        <w:rPr>
          <w:rStyle w:val="Refdenotaalpie"/>
          <w:rFonts w:ascii="Verdana" w:hAnsi="Verdana" w:cs="Arial"/>
          <w:color w:val="000000" w:themeColor="text1"/>
          <w:lang w:val="es-ES"/>
        </w:rPr>
        <w:footnoteReference w:id="34"/>
      </w:r>
      <w:r w:rsidRPr="00CA3CC2">
        <w:rPr>
          <w:rFonts w:ascii="Verdana" w:hAnsi="Verdana" w:cs="Arial"/>
          <w:color w:val="000000" w:themeColor="text1"/>
          <w:lang w:val="es-ES"/>
        </w:rPr>
        <w:t xml:space="preserve">. </w:t>
      </w:r>
    </w:p>
    <w:p w14:paraId="3B4C59D5" w14:textId="77777777" w:rsidR="00F449DB" w:rsidRDefault="00F449DB" w:rsidP="00F449DB">
      <w:pPr>
        <w:spacing w:after="120" w:line="276" w:lineRule="auto"/>
        <w:ind w:firstLine="709"/>
        <w:jc w:val="both"/>
        <w:rPr>
          <w:rFonts w:ascii="Verdana" w:hAnsi="Verdana" w:cs="Arial"/>
          <w:color w:val="000000" w:themeColor="text1"/>
          <w:lang w:val="es-ES_tradnl"/>
        </w:rPr>
      </w:pPr>
      <w:bookmarkStart w:id="17" w:name="_Hlk209941871"/>
      <w:r w:rsidRPr="00CA3CC2">
        <w:rPr>
          <w:rFonts w:ascii="Verdana" w:hAnsi="Verdana" w:cs="Arial"/>
          <w:color w:val="000000" w:themeColor="text1"/>
          <w:lang w:val="es-ES_tradnl"/>
        </w:rPr>
        <w:lastRenderedPageBreak/>
        <w:t xml:space="preserve">Adicionalmente, las entidades estatales deben ser diligentes en el análisis de las condiciones de ejecución del contrato de prestación de servicios profesionales, midiendo la complejidad y al alcance de las labores encomendadas al contratista, pues solo de esta manera pueden determinar razonablemente si el mismo contratista tiene la capacidad, no solo jurídica sino también técnica y económica, para celebrar otro contrato de prestación de servicios. Si tales factores no se tienen en cuenta, existe el riesgo de que el contratista termine incumpliendo sus obligaciones, por la sobrecarga de actividades.   </w:t>
      </w:r>
    </w:p>
    <w:p w14:paraId="7B1F1F89" w14:textId="77777777" w:rsidR="00F449DB" w:rsidRDefault="00F449DB" w:rsidP="00F449DB">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Aunado a lo anterior</w:t>
      </w:r>
      <w:r>
        <w:rPr>
          <w:rFonts w:ascii="Verdana" w:eastAsia="Arial MT" w:hAnsi="Verdana" w:cs="Arial"/>
          <w:lang w:eastAsia="es-ES" w:bidi="es-ES"/>
        </w:rPr>
        <w:t xml:space="preserve">, 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los servicios en una y otra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Style w:val="Refdenotaalpie"/>
          <w:rFonts w:ascii="Verdana" w:eastAsia="Arial MT" w:hAnsi="Verdana" w:cs="Arial"/>
          <w:lang w:eastAsia="es-ES" w:bidi="es-ES"/>
        </w:rPr>
        <w:footnoteReference w:id="35"/>
      </w:r>
      <w:r>
        <w:rPr>
          <w:rFonts w:ascii="Verdana" w:eastAsia="Arial MT" w:hAnsi="Verdana" w:cs="Arial"/>
          <w:lang w:eastAsia="es-ES" w:bidi="es-ES"/>
        </w:rPr>
        <w:t xml:space="preserve">. </w:t>
      </w:r>
    </w:p>
    <w:p w14:paraId="7409BED5" w14:textId="77777777" w:rsidR="00F449DB" w:rsidRDefault="00F449DB" w:rsidP="00F449DB">
      <w:pPr>
        <w:widowControl w:val="0"/>
        <w:autoSpaceDE w:val="0"/>
        <w:autoSpaceDN w:val="0"/>
        <w:spacing w:after="120" w:line="276" w:lineRule="auto"/>
        <w:ind w:firstLine="708"/>
        <w:jc w:val="both"/>
        <w:rPr>
          <w:rFonts w:ascii="Verdana" w:hAnsi="Verdana" w:cs="Arial"/>
          <w:color w:val="000000" w:themeColor="text1"/>
          <w:lang w:val="es-ES_tradnl"/>
        </w:rPr>
      </w:pPr>
      <w:r>
        <w:rPr>
          <w:rFonts w:ascii="Verdana" w:eastAsia="Arial MT" w:hAnsi="Verdana" w:cs="Arial"/>
          <w:lang w:eastAsia="es-ES" w:bidi="es-ES"/>
        </w:rPr>
        <w:t xml:space="preserve">Al respecto, </w:t>
      </w:r>
      <w:bookmarkStart w:id="18" w:name="_Hlk192056166"/>
      <w:r>
        <w:rPr>
          <w:rFonts w:ascii="Verdana" w:eastAsia="Arial MT" w:hAnsi="Verdana" w:cs="Arial"/>
          <w:lang w:eastAsia="es-ES" w:bidi="es-ES"/>
        </w:rPr>
        <w:t xml:space="preserve">es importante señalar que </w:t>
      </w:r>
      <w:r w:rsidRPr="002A4195">
        <w:rPr>
          <w:rFonts w:ascii="Verdana" w:hAnsi="Verdana" w:cs="Arial"/>
          <w:color w:val="000000" w:themeColor="text1"/>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19" w:name="_Hlk36672204"/>
      <w:r w:rsidRPr="002A4195">
        <w:rPr>
          <w:rFonts w:ascii="Verdana" w:hAnsi="Verdana" w:cs="Arial"/>
          <w:color w:val="000000" w:themeColor="text1"/>
          <w:lang w:val="es-ES_tradnl"/>
        </w:rPr>
        <w:t xml:space="preserve">el régimen de los </w:t>
      </w:r>
      <w:r w:rsidRPr="002A4195">
        <w:rPr>
          <w:rFonts w:ascii="Verdana" w:hAnsi="Verdana" w:cs="Arial"/>
          <w:i/>
          <w:iCs/>
          <w:color w:val="000000" w:themeColor="text1"/>
          <w:lang w:val="es-ES_tradnl"/>
        </w:rPr>
        <w:t>conflictos de interés</w:t>
      </w:r>
      <w:r w:rsidRPr="002A4195">
        <w:rPr>
          <w:rFonts w:ascii="Verdana"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w:t>
      </w:r>
      <w:bookmarkEnd w:id="19"/>
    </w:p>
    <w:bookmarkEnd w:id="18"/>
    <w:p w14:paraId="34EAD928" w14:textId="77777777" w:rsidR="00F449DB" w:rsidRDefault="00F449DB" w:rsidP="00F449DB">
      <w:pPr>
        <w:widowControl w:val="0"/>
        <w:autoSpaceDE w:val="0"/>
        <w:autoSpaceDN w:val="0"/>
        <w:spacing w:after="120" w:line="276" w:lineRule="auto"/>
        <w:ind w:firstLine="708"/>
        <w:jc w:val="both"/>
        <w:rPr>
          <w:rFonts w:ascii="Verdana" w:hAnsi="Verdana" w:cs="Arial"/>
          <w:color w:val="000000" w:themeColor="text1"/>
          <w:lang w:val="es-ES_tradnl"/>
        </w:rPr>
      </w:pPr>
      <w:r w:rsidRPr="002A4195">
        <w:rPr>
          <w:rFonts w:ascii="Verdana" w:hAnsi="Verdana" w:cs="Arial"/>
          <w:color w:val="000000" w:themeColor="text1"/>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w:t>
      </w:r>
      <w:r w:rsidRPr="002A4195">
        <w:rPr>
          <w:rFonts w:ascii="Verdana" w:hAnsi="Verdana" w:cs="Arial"/>
          <w:color w:val="000000" w:themeColor="text1"/>
          <w:lang w:val="es-ES"/>
        </w:rPr>
        <w:lastRenderedPageBreak/>
        <w:t xml:space="preserve">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30999D0A" w14:textId="77777777" w:rsidR="00F449DB" w:rsidRDefault="00F449DB" w:rsidP="00F449DB">
      <w:pPr>
        <w:widowControl w:val="0"/>
        <w:autoSpaceDE w:val="0"/>
        <w:autoSpaceDN w:val="0"/>
        <w:spacing w:after="120" w:line="276" w:lineRule="auto"/>
        <w:ind w:firstLine="708"/>
        <w:jc w:val="both"/>
        <w:rPr>
          <w:rFonts w:ascii="Verdana" w:hAnsi="Verdana" w:cs="Arial"/>
        </w:rPr>
      </w:pPr>
      <w:r>
        <w:rPr>
          <w:rFonts w:ascii="Verdana" w:eastAsia="Arial MT" w:hAnsi="Verdana" w:cs="Arial"/>
          <w:lang w:eastAsia="es-ES" w:bidi="es-ES"/>
        </w:rPr>
        <w:t xml:space="preserve">Tales situaciones de conflicto de intereses suelen expresarse en prohibiciones, similar a lo que ocurre con las inhabilidades e incompatibilidades, por lo que su consagración (para los procesos competitivos tal consagración se materializa en el pliego de condiciones y en la minuta del contrato) también debe ser expresa y su interpretación restrictiva, de manera que su deducción y aplicación siempre debe </w:t>
      </w:r>
      <w:r w:rsidRPr="003C349B">
        <w:rPr>
          <w:rFonts w:ascii="Verdana" w:eastAsia="Arial MT" w:hAnsi="Verdana" w:cs="Arial"/>
          <w:lang w:eastAsia="es-ES" w:bidi="es-ES"/>
        </w:rPr>
        <w:t>estar ajustada a los presupuestos que para cada causal haya señalado el constituyente o el legislador</w:t>
      </w:r>
      <w:r>
        <w:rPr>
          <w:rFonts w:ascii="Verdana" w:eastAsia="Arial MT" w:hAnsi="Verdana" w:cs="Arial"/>
          <w:lang w:eastAsia="es-ES" w:bidi="es-ES"/>
        </w:rPr>
        <w:t xml:space="preserve"> (en el caso de las inhabilidades e incompatibilidades) y la entidad contratante (en el caso de los conflictos de intereses)</w:t>
      </w:r>
      <w:r w:rsidRPr="003C349B">
        <w:rPr>
          <w:rFonts w:ascii="Verdana" w:eastAsia="Arial MT" w:hAnsi="Verdana" w:cs="Arial"/>
          <w:lang w:eastAsia="es-ES" w:bidi="es-ES"/>
        </w:rPr>
        <w:t>, dado que no es posible su aplicación extensiva o analógica</w:t>
      </w:r>
      <w:r>
        <w:rPr>
          <w:rFonts w:ascii="Verdana" w:eastAsia="Arial MT" w:hAnsi="Verdana" w:cs="Arial"/>
          <w:lang w:eastAsia="es-ES" w:bidi="es-ES"/>
        </w:rPr>
        <w:t>.</w:t>
      </w:r>
      <w:r>
        <w:rPr>
          <w:rFonts w:ascii="Verdana" w:hAnsi="Verdana" w:cs="Arial"/>
        </w:rPr>
        <w:t xml:space="preserve"> </w:t>
      </w:r>
    </w:p>
    <w:p w14:paraId="102A4361" w14:textId="77777777" w:rsidR="00F449DB" w:rsidRPr="00F21CBC" w:rsidRDefault="00F449DB" w:rsidP="00F449DB">
      <w:pPr>
        <w:widowControl w:val="0"/>
        <w:autoSpaceDE w:val="0"/>
        <w:autoSpaceDN w:val="0"/>
        <w:spacing w:after="120" w:line="276" w:lineRule="auto"/>
        <w:jc w:val="both"/>
        <w:rPr>
          <w:rFonts w:ascii="Verdana" w:eastAsia="Calibri" w:hAnsi="Verdana" w:cs="Arial"/>
        </w:rPr>
      </w:pPr>
      <w:r>
        <w:rPr>
          <w:rFonts w:ascii="Arial" w:eastAsia="Calibri" w:hAnsi="Arial" w:cs="Arial"/>
        </w:rPr>
        <w:tab/>
      </w:r>
      <w:r w:rsidRPr="00F21CBC">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F21CBC">
        <w:rPr>
          <w:rFonts w:ascii="Verdana" w:eastAsia="Calibri" w:hAnsi="Verdana" w:cs="Arial"/>
          <w:i/>
          <w:iCs/>
        </w:rPr>
        <w:t xml:space="preserve">tipicidad </w:t>
      </w:r>
      <w:r w:rsidRPr="00F21CBC">
        <w:rPr>
          <w:rFonts w:ascii="Verdana" w:eastAsia="Calibri" w:hAnsi="Verdana" w:cs="Arial"/>
        </w:rPr>
        <w:t xml:space="preserve">y </w:t>
      </w:r>
      <w:r w:rsidRPr="00F21CBC">
        <w:rPr>
          <w:rFonts w:ascii="Verdana" w:eastAsia="Calibri" w:hAnsi="Verdana" w:cs="Arial"/>
          <w:i/>
          <w:iCs/>
        </w:rPr>
        <w:t xml:space="preserve">objetividad. </w:t>
      </w:r>
      <w:r w:rsidRPr="00F21CBC">
        <w:rPr>
          <w:rFonts w:ascii="Verdana" w:eastAsia="Calibri" w:hAnsi="Verdana" w:cs="Arial"/>
        </w:rPr>
        <w:t xml:space="preserve">Por la relevancia de las consideraciones de dicho concepto, estas se transcriben </w:t>
      </w:r>
      <w:proofErr w:type="gramStart"/>
      <w:r w:rsidRPr="00F21CBC">
        <w:rPr>
          <w:rFonts w:ascii="Verdana" w:eastAsia="Calibri" w:hAnsi="Verdana" w:cs="Arial"/>
          <w:i/>
          <w:iCs/>
        </w:rPr>
        <w:t>in extenso</w:t>
      </w:r>
      <w:proofErr w:type="gramEnd"/>
      <w:r w:rsidRPr="00F21CBC">
        <w:rPr>
          <w:rFonts w:ascii="Verdana" w:eastAsia="Calibri" w:hAnsi="Verdana" w:cs="Arial"/>
          <w:i/>
          <w:iCs/>
        </w:rPr>
        <w:t>:</w:t>
      </w:r>
    </w:p>
    <w:p w14:paraId="4067A34D" w14:textId="77777777" w:rsidR="00F449DB"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r w:rsidRPr="00F21CBC">
        <w:rPr>
          <w:rFonts w:ascii="Verdana" w:eastAsia="Calibri" w:hAnsi="Verdana" w:cs="Arial"/>
          <w:sz w:val="20"/>
          <w:szCs w:val="20"/>
        </w:rPr>
        <w:t xml:space="preserve">Para efectos del concepto que ahora se rinde, la Sala resalta dos elementos contenidos en el texto transcrito, a saber: </w:t>
      </w:r>
      <w:r w:rsidRPr="00F21CBC">
        <w:rPr>
          <w:rFonts w:ascii="Verdana" w:eastAsia="Calibri" w:hAnsi="Verdana" w:cs="Arial"/>
          <w:i/>
          <w:iCs/>
          <w:sz w:val="20"/>
          <w:szCs w:val="20"/>
        </w:rPr>
        <w:t>la «tipicidad» y la «objetividad»,</w:t>
      </w:r>
      <w:r w:rsidRPr="00F21CBC">
        <w:rPr>
          <w:rFonts w:ascii="Verdana" w:eastAsia="Calibri" w:hAnsi="Verdana" w:cs="Arial"/>
          <w:sz w:val="20"/>
          <w:szCs w:val="20"/>
        </w:rPr>
        <w:t xml:space="preserve"> que deben predicarse de las causales que se establezcan en cada caso particular, para preservar y hacer eficaz la selección objetiva del contratista, como se explica a continuación.</w:t>
      </w:r>
    </w:p>
    <w:p w14:paraId="62F08A40" w14:textId="77777777" w:rsidR="00F449DB" w:rsidRPr="00F21CBC"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p>
    <w:p w14:paraId="40F4ABD1" w14:textId="77777777" w:rsidR="00F449DB"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r w:rsidRPr="00F21CBC">
        <w:rPr>
          <w:rFonts w:ascii="Verdana" w:eastAsia="Calibri" w:hAnsi="Verdana" w:cs="Arial"/>
          <w:sz w:val="20"/>
          <w:szCs w:val="20"/>
        </w:rPr>
        <w:t xml:space="preserve">La «identificación de actividades incompatibles» con las obligaciones del contratista, significa jurídicamente, </w:t>
      </w:r>
      <w:r w:rsidRPr="00F21CBC">
        <w:rPr>
          <w:rFonts w:ascii="Verdana" w:eastAsia="Calibri" w:hAnsi="Verdana" w:cs="Arial"/>
          <w:i/>
          <w:iCs/>
          <w:sz w:val="20"/>
          <w:szCs w:val="20"/>
        </w:rPr>
        <w:t>«tipificarlas», esto es, definirlas de manera concreta para derivar de ellas una consecuencia que, en el caso en estudio, tiene una naturaleza restrictiva, prohibitiva o sancionatoria</w:t>
      </w:r>
      <w:r w:rsidRPr="00F21CBC">
        <w:rPr>
          <w:rFonts w:ascii="Verdana" w:eastAsia="Calibri" w:hAnsi="Verdana" w:cs="Arial"/>
          <w:sz w:val="20"/>
          <w:szCs w:val="20"/>
        </w:rPr>
        <w:t>.</w:t>
      </w:r>
    </w:p>
    <w:p w14:paraId="0570405B" w14:textId="77777777" w:rsidR="00F449DB" w:rsidRPr="00F21CBC"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p>
    <w:p w14:paraId="3E6184DA" w14:textId="77777777" w:rsidR="00F449DB"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r w:rsidRPr="00F21CBC">
        <w:rPr>
          <w:rFonts w:ascii="Verdana" w:eastAsia="Calibri" w:hAnsi="Verdana" w:cs="Arial"/>
          <w:sz w:val="20"/>
          <w:szCs w:val="20"/>
        </w:rPr>
        <w:t>La «evaluación estrictamente objetiva» que debe garantizarse con las causales que se definan en un proceso contractual dado, exige, por supuesto, la «objetividad» en la determinación de las causales que se adopten.</w:t>
      </w:r>
    </w:p>
    <w:p w14:paraId="3E3275F6" w14:textId="77777777" w:rsidR="00F449DB" w:rsidRPr="00F21CBC"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p>
    <w:p w14:paraId="30E4453F" w14:textId="77777777" w:rsidR="00F449DB"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r w:rsidRPr="00F21CBC">
        <w:rPr>
          <w:rFonts w:ascii="Verdana" w:eastAsia="Calibri" w:hAnsi="Verdana" w:cs="Arial"/>
          <w:sz w:val="20"/>
          <w:szCs w:val="20"/>
        </w:rPr>
        <w:lastRenderedPageBreak/>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20" w:name="_ftnref18"/>
      <w:r w:rsidRPr="00F21CBC">
        <w:rPr>
          <w:rFonts w:ascii="Verdana" w:eastAsia="Calibri" w:hAnsi="Verdana" w:cs="Arial"/>
          <w:sz w:val="20"/>
          <w:szCs w:val="20"/>
        </w:rPr>
        <w:t>»</w:t>
      </w:r>
      <w:bookmarkEnd w:id="20"/>
      <w:r w:rsidRPr="00F21CBC">
        <w:rPr>
          <w:rFonts w:ascii="Verdana" w:eastAsia="Calibri" w:hAnsi="Verdana" w:cs="Arial"/>
          <w:sz w:val="20"/>
          <w:szCs w:val="20"/>
        </w:rPr>
        <w:t xml:space="preserve"> </w:t>
      </w:r>
    </w:p>
    <w:p w14:paraId="4041446C" w14:textId="77777777" w:rsidR="00F449DB" w:rsidRPr="00F21CBC"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p>
    <w:p w14:paraId="22EAC877" w14:textId="77777777" w:rsidR="00F449DB" w:rsidRDefault="00F449DB" w:rsidP="00F449DB">
      <w:pPr>
        <w:widowControl w:val="0"/>
        <w:autoSpaceDE w:val="0"/>
        <w:autoSpaceDN w:val="0"/>
        <w:spacing w:after="0" w:line="240" w:lineRule="auto"/>
        <w:ind w:left="709" w:right="616"/>
        <w:jc w:val="both"/>
        <w:rPr>
          <w:rFonts w:ascii="Verdana" w:eastAsia="Calibri" w:hAnsi="Verdana" w:cs="Arial"/>
          <w:i/>
          <w:iCs/>
          <w:sz w:val="20"/>
          <w:szCs w:val="20"/>
        </w:rPr>
      </w:pPr>
      <w:r w:rsidRPr="00F21CBC">
        <w:rPr>
          <w:rFonts w:ascii="Verdana" w:eastAsia="Calibri" w:hAnsi="Verdana" w:cs="Arial"/>
          <w:sz w:val="20"/>
          <w:szCs w:val="20"/>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F21CBC">
        <w:rPr>
          <w:rFonts w:ascii="Verdana" w:eastAsia="Calibri" w:hAnsi="Verdana" w:cs="Arial"/>
          <w:i/>
          <w:iCs/>
          <w:sz w:val="20"/>
          <w:szCs w:val="20"/>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24193FEB" w14:textId="77777777" w:rsidR="00F449DB" w:rsidRPr="00F21CBC" w:rsidRDefault="00F449DB" w:rsidP="00F449DB">
      <w:pPr>
        <w:widowControl w:val="0"/>
        <w:autoSpaceDE w:val="0"/>
        <w:autoSpaceDN w:val="0"/>
        <w:spacing w:after="0" w:line="240" w:lineRule="auto"/>
        <w:ind w:left="709" w:right="616"/>
        <w:jc w:val="both"/>
        <w:rPr>
          <w:rFonts w:ascii="Verdana" w:eastAsia="Calibri" w:hAnsi="Verdana" w:cs="Arial"/>
          <w:i/>
          <w:iCs/>
          <w:sz w:val="20"/>
          <w:szCs w:val="20"/>
        </w:rPr>
      </w:pPr>
    </w:p>
    <w:p w14:paraId="77B5E72B" w14:textId="77777777" w:rsidR="00F449DB" w:rsidRPr="00F21CBC" w:rsidRDefault="00F449DB" w:rsidP="00F449DB">
      <w:pPr>
        <w:widowControl w:val="0"/>
        <w:autoSpaceDE w:val="0"/>
        <w:autoSpaceDN w:val="0"/>
        <w:spacing w:after="0" w:line="240" w:lineRule="auto"/>
        <w:ind w:left="709" w:right="616"/>
        <w:jc w:val="both"/>
        <w:rPr>
          <w:rFonts w:ascii="Verdana" w:eastAsia="Calibri" w:hAnsi="Verdana" w:cs="Arial"/>
          <w:sz w:val="20"/>
          <w:szCs w:val="20"/>
        </w:rPr>
      </w:pPr>
      <w:r w:rsidRPr="00F21CBC">
        <w:rPr>
          <w:rFonts w:ascii="Verdana" w:eastAsia="Calibri" w:hAnsi="Verdana" w:cs="Arial"/>
          <w:sz w:val="20"/>
          <w:szCs w:val="20"/>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w:t>
      </w:r>
      <w:proofErr w:type="gramStart"/>
      <w:r w:rsidRPr="00F21CBC">
        <w:rPr>
          <w:rFonts w:ascii="Verdana" w:eastAsia="Calibri" w:hAnsi="Verdana" w:cs="Arial"/>
          <w:sz w:val="20"/>
          <w:szCs w:val="20"/>
        </w:rPr>
        <w:t>en razón de</w:t>
      </w:r>
      <w:proofErr w:type="gramEnd"/>
      <w:r w:rsidRPr="00F21CBC">
        <w:rPr>
          <w:rFonts w:ascii="Verdana" w:eastAsia="Calibri" w:hAnsi="Verdana" w:cs="Arial"/>
          <w:sz w:val="20"/>
          <w:szCs w:val="20"/>
        </w:rPr>
        <w:t xml:space="preserve"> este efecto </w:t>
      </w:r>
      <w:r w:rsidRPr="00F21CBC">
        <w:rPr>
          <w:rFonts w:ascii="Verdana" w:eastAsia="Calibri" w:hAnsi="Verdana" w:cs="Arial"/>
          <w:i/>
          <w:iCs/>
          <w:sz w:val="20"/>
          <w:szCs w:val="20"/>
        </w:rPr>
        <w:t>que el conflicto de intereses no puede cimentarse en definiciones ambiguas, abstractas o que permitan un margen de subjetividad en su examen</w:t>
      </w:r>
      <w:r w:rsidRPr="00F21CBC">
        <w:rPr>
          <w:rStyle w:val="Refdenotaalpie"/>
          <w:rFonts w:ascii="Verdana" w:eastAsia="Calibri" w:hAnsi="Verdana" w:cs="Arial"/>
          <w:i/>
          <w:iCs/>
          <w:sz w:val="20"/>
          <w:szCs w:val="20"/>
        </w:rPr>
        <w:footnoteReference w:id="36"/>
      </w:r>
      <w:r w:rsidRPr="00F21CBC">
        <w:rPr>
          <w:rFonts w:ascii="Verdana" w:eastAsia="Calibri" w:hAnsi="Verdana" w:cs="Arial"/>
          <w:sz w:val="20"/>
          <w:szCs w:val="20"/>
        </w:rPr>
        <w:t>. (Cursiva fuera del original).</w:t>
      </w:r>
    </w:p>
    <w:p w14:paraId="187263CB" w14:textId="77777777" w:rsidR="00F449DB" w:rsidRDefault="00F449DB" w:rsidP="00F449DB">
      <w:pPr>
        <w:widowControl w:val="0"/>
        <w:autoSpaceDE w:val="0"/>
        <w:autoSpaceDN w:val="0"/>
        <w:spacing w:after="0" w:line="240" w:lineRule="auto"/>
        <w:ind w:firstLine="709"/>
        <w:jc w:val="both"/>
        <w:rPr>
          <w:rFonts w:ascii="Verdana" w:eastAsia="Calibri" w:hAnsi="Verdana" w:cs="Arial"/>
        </w:rPr>
      </w:pPr>
    </w:p>
    <w:p w14:paraId="776B304B" w14:textId="77777777" w:rsidR="00F449DB" w:rsidRPr="00A3149F" w:rsidRDefault="00F449DB" w:rsidP="00F449DB">
      <w:pPr>
        <w:widowControl w:val="0"/>
        <w:autoSpaceDE w:val="0"/>
        <w:autoSpaceDN w:val="0"/>
        <w:spacing w:after="120" w:line="276" w:lineRule="auto"/>
        <w:ind w:firstLine="709"/>
        <w:jc w:val="both"/>
        <w:rPr>
          <w:rFonts w:ascii="Verdana" w:eastAsia="Calibri" w:hAnsi="Verdana" w:cs="Arial"/>
        </w:rPr>
      </w:pPr>
      <w:r w:rsidRPr="00F21CBC">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w:t>
      </w:r>
      <w:proofErr w:type="spellStart"/>
      <w:r w:rsidRPr="00F21CBC">
        <w:rPr>
          <w:rFonts w:ascii="Verdana" w:eastAsia="Calibri" w:hAnsi="Verdana" w:cs="Arial"/>
        </w:rPr>
        <w:t>ii</w:t>
      </w:r>
      <w:proofErr w:type="spellEnd"/>
      <w:r w:rsidRPr="00F21CBC">
        <w:rPr>
          <w:rFonts w:ascii="Verdana" w:eastAsia="Calibri" w:hAnsi="Verdana" w:cs="Arial"/>
        </w:rPr>
        <w:t xml:space="preserve">) estos deben </w:t>
      </w:r>
      <w:r w:rsidRPr="00F21CBC">
        <w:rPr>
          <w:rFonts w:ascii="Verdana" w:eastAsia="Calibri" w:hAnsi="Verdana" w:cs="Arial"/>
          <w:i/>
          <w:iCs/>
        </w:rPr>
        <w:t>tipificarse</w:t>
      </w:r>
      <w:r w:rsidRPr="00F21CBC">
        <w:rPr>
          <w:rFonts w:ascii="Verdana" w:eastAsia="Calibri" w:hAnsi="Verdana" w:cs="Arial"/>
        </w:rPr>
        <w:t xml:space="preserve">, esto es, establecerse de forma expresa y concreta en los pliegos de condiciones; </w:t>
      </w:r>
      <w:proofErr w:type="spellStart"/>
      <w:r w:rsidRPr="00F21CBC">
        <w:rPr>
          <w:rFonts w:ascii="Verdana" w:eastAsia="Calibri" w:hAnsi="Verdana" w:cs="Arial"/>
        </w:rPr>
        <w:t>iii</w:t>
      </w:r>
      <w:proofErr w:type="spellEnd"/>
      <w:r w:rsidRPr="00F21CBC">
        <w:rPr>
          <w:rFonts w:ascii="Verdana" w:eastAsia="Calibri" w:hAnsi="Verdana" w:cs="Arial"/>
        </w:rPr>
        <w:t xml:space="preserve">) las causales deben ser </w:t>
      </w:r>
      <w:r w:rsidRPr="00F21CBC">
        <w:rPr>
          <w:rFonts w:ascii="Verdana" w:eastAsia="Calibri" w:hAnsi="Verdana" w:cs="Arial"/>
          <w:i/>
          <w:iCs/>
        </w:rPr>
        <w:t>objetivas</w:t>
      </w:r>
      <w:r w:rsidRPr="00F21CBC">
        <w:rPr>
          <w:rFonts w:ascii="Verdana" w:eastAsia="Calibri" w:hAnsi="Verdana" w:cs="Arial"/>
        </w:rPr>
        <w:t xml:space="preserve">, esto es, que se describan con claridad, de manera que no resulten ambiguos dando lugar a que los intérpretes extraigan consecuencias diferentes; </w:t>
      </w:r>
      <w:proofErr w:type="spellStart"/>
      <w:r w:rsidRPr="00F21CBC">
        <w:rPr>
          <w:rFonts w:ascii="Verdana" w:eastAsia="Calibri" w:hAnsi="Verdana" w:cs="Arial"/>
        </w:rPr>
        <w:t>iv</w:t>
      </w:r>
      <w:proofErr w:type="spellEnd"/>
      <w:r w:rsidRPr="00F21CBC">
        <w:rPr>
          <w:rFonts w:ascii="Verdana" w:eastAsia="Calibri" w:hAnsi="Verdana" w:cs="Arial"/>
        </w:rPr>
        <w:t xml:space="preserve">)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w:t>
      </w:r>
      <w:r w:rsidRPr="00F21CBC">
        <w:rPr>
          <w:rFonts w:ascii="Verdana" w:eastAsia="Calibri" w:hAnsi="Verdana" w:cs="Arial"/>
        </w:rPr>
        <w:lastRenderedPageBreak/>
        <w:t xml:space="preserve">tipificados en el pliego de condiciones, en la Constitución o en la ley, de manera que </w:t>
      </w:r>
      <w:r w:rsidRPr="00A3149F">
        <w:rPr>
          <w:rFonts w:ascii="Verdana" w:eastAsia="Calibri" w:hAnsi="Verdana" w:cs="Arial"/>
        </w:rPr>
        <w:t>su ausencia da lugar a que se parta del principio general de la capacidad contractual del proponente o contratista, de manera que la entidad no puede crear o aplicar causales que no incluyó en el pliego de condiciones</w:t>
      </w:r>
      <w:r w:rsidRPr="00A3149F">
        <w:rPr>
          <w:rStyle w:val="Refdenotaalpie"/>
          <w:rFonts w:ascii="Verdana" w:eastAsia="Calibri" w:hAnsi="Verdana" w:cs="Arial"/>
        </w:rPr>
        <w:footnoteReference w:id="37"/>
      </w:r>
      <w:r w:rsidRPr="00A3149F">
        <w:rPr>
          <w:rFonts w:ascii="Verdana" w:eastAsia="Calibri" w:hAnsi="Verdana" w:cs="Arial"/>
        </w:rPr>
        <w:t>.</w:t>
      </w:r>
    </w:p>
    <w:p w14:paraId="6628AD5F" w14:textId="77777777" w:rsidR="00F449DB" w:rsidRDefault="00F449DB" w:rsidP="00F449DB">
      <w:pPr>
        <w:widowControl w:val="0"/>
        <w:autoSpaceDE w:val="0"/>
        <w:autoSpaceDN w:val="0"/>
        <w:spacing w:after="120" w:line="276" w:lineRule="auto"/>
        <w:ind w:firstLine="709"/>
        <w:jc w:val="both"/>
        <w:rPr>
          <w:rFonts w:ascii="Verdana" w:eastAsia="Century Gothic" w:hAnsi="Verdana" w:cs="Century Gothic"/>
          <w:bCs/>
        </w:rPr>
      </w:pPr>
      <w:r w:rsidRPr="00A3149F">
        <w:rPr>
          <w:rFonts w:ascii="Verdana" w:eastAsia="Calibri" w:hAnsi="Verdana" w:cs="Arial"/>
        </w:rPr>
        <w:t>En este sentido,</w:t>
      </w:r>
      <w:r w:rsidRPr="00A3149F">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pliego de condiciones o estudios previos. De esta manera, </w:t>
      </w:r>
      <w:r w:rsidRPr="00A3149F">
        <w:rPr>
          <w:rFonts w:ascii="Verdana" w:eastAsia="Century Gothic" w:hAnsi="Verdana" w:cs="Century Gothic"/>
          <w:bCs/>
        </w:rPr>
        <w:t>corresponde a las Entidades Estatales, al verificar la capacidad</w:t>
      </w:r>
      <w:r w:rsidRPr="00E0405E">
        <w:rPr>
          <w:rFonts w:ascii="Verdana" w:eastAsia="Century Gothic" w:hAnsi="Verdana" w:cs="Century Gothic"/>
          <w:bCs/>
        </w:rPr>
        <w:t xml:space="preserve"> jurídica de las personas con quienes pretenden suscribir contratos, determinar en cada caso concreto si se configura algún conflicto de interés</w:t>
      </w:r>
      <w:r>
        <w:rPr>
          <w:rFonts w:ascii="Verdana" w:eastAsia="Century Gothic" w:hAnsi="Verdana" w:cs="Century Gothic"/>
          <w:bCs/>
        </w:rPr>
        <w:t xml:space="preserve"> de acuerdo con las causales que haya tipificado en el pliego de condiciones o en el contrato</w:t>
      </w:r>
      <w:r w:rsidRPr="00E0405E">
        <w:rPr>
          <w:rFonts w:ascii="Verdana" w:eastAsia="Century Gothic" w:hAnsi="Verdana" w:cs="Century Gothic"/>
          <w:bCs/>
        </w:rPr>
        <w:t xml:space="preserve">. </w:t>
      </w:r>
      <w:r>
        <w:rPr>
          <w:rFonts w:ascii="Verdana" w:eastAsia="Century Gothic" w:hAnsi="Verdana" w:cs="Century Gothic"/>
          <w:bCs/>
        </w:rPr>
        <w:t>Por tanto</w:t>
      </w:r>
      <w:r w:rsidRPr="00E0405E">
        <w:rPr>
          <w:rFonts w:ascii="Verdana" w:eastAsia="Century Gothic" w:hAnsi="Verdana" w:cs="Century Gothic"/>
          <w:bCs/>
        </w:rPr>
        <w:t xml:space="preserve">, la conclusión aquí expuesta no remplaza el deber de verificación de las Entidades Estatales, ni puede ser tomada como un juicio de valor sobre alguna situación de orden particular. </w:t>
      </w:r>
    </w:p>
    <w:p w14:paraId="419006BB" w14:textId="77777777" w:rsidR="00F449DB" w:rsidRDefault="00F449DB" w:rsidP="00F449DB">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En conclusión, n</w:t>
      </w:r>
      <w:r w:rsidRPr="00201080">
        <w:rPr>
          <w:rFonts w:ascii="Verdana" w:eastAsia="Arial MT" w:hAnsi="Verdana" w:cs="Arial"/>
          <w:lang w:eastAsia="es-ES" w:bidi="es-ES"/>
        </w:rPr>
        <w:t xml:space="preserve">o existe causal de inhabilidad o incompatibilidad que prohíba la celebración de dos o más contratos de prestación de servicios con </w:t>
      </w:r>
      <w:r>
        <w:rPr>
          <w:rFonts w:ascii="Verdana" w:eastAsia="Arial MT" w:hAnsi="Verdana" w:cs="Arial"/>
          <w:lang w:eastAsia="es-ES" w:bidi="es-ES"/>
        </w:rPr>
        <w:t xml:space="preserve">la misma entidad </w:t>
      </w:r>
      <w:r w:rsidRPr="00201080">
        <w:rPr>
          <w:rFonts w:ascii="Verdana" w:eastAsia="Arial MT" w:hAnsi="Verdana" w:cs="Arial"/>
          <w:lang w:eastAsia="es-ES" w:bidi="es-ES"/>
        </w:rPr>
        <w:t>estatal</w:t>
      </w:r>
      <w:r>
        <w:rPr>
          <w:rFonts w:ascii="Verdana" w:eastAsia="Arial MT" w:hAnsi="Verdana" w:cs="Arial"/>
          <w:lang w:eastAsia="es-ES" w:bidi="es-ES"/>
        </w:rPr>
        <w:t xml:space="preserve">. </w:t>
      </w:r>
      <w:r w:rsidRPr="00201080">
        <w:rPr>
          <w:rFonts w:ascii="Verdana" w:eastAsia="Arial MT" w:hAnsi="Verdana" w:cs="Arial"/>
          <w:lang w:eastAsia="es-ES" w:bidi="es-ES"/>
        </w:rPr>
        <w:t>Sin embargo,</w:t>
      </w:r>
      <w:r>
        <w:rPr>
          <w:rFonts w:ascii="Verdana" w:eastAsia="Arial MT" w:hAnsi="Verdana" w:cs="Arial"/>
          <w:lang w:eastAsia="es-ES" w:bidi="es-ES"/>
        </w:rPr>
        <w:t xml:space="preserve"> la entidad contratante deberá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sus servicios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Fonts w:ascii="Verdana" w:eastAsia="Arial MT" w:hAnsi="Verdana" w:cs="Arial"/>
          <w:lang w:eastAsia="es-ES" w:bidi="es-ES"/>
        </w:rPr>
        <w:t>. En estos casos, es necesario que el conflicto de interés satisfaga los requisitos de</w:t>
      </w:r>
      <w:r w:rsidRPr="00510988">
        <w:rPr>
          <w:rFonts w:ascii="Verdana" w:eastAsia="Arial MT" w:hAnsi="Verdana" w:cs="Arial"/>
          <w:i/>
          <w:iCs/>
          <w:lang w:eastAsia="es-ES" w:bidi="es-ES"/>
        </w:rPr>
        <w:t xml:space="preserve"> tipicidad</w:t>
      </w:r>
      <w:r>
        <w:rPr>
          <w:rFonts w:ascii="Verdana" w:eastAsia="Arial MT" w:hAnsi="Verdana" w:cs="Arial"/>
          <w:lang w:eastAsia="es-ES" w:bidi="es-ES"/>
        </w:rPr>
        <w:t xml:space="preserve"> y </w:t>
      </w:r>
      <w:r w:rsidRPr="00510988">
        <w:rPr>
          <w:rFonts w:ascii="Verdana" w:eastAsia="Arial MT" w:hAnsi="Verdana" w:cs="Arial"/>
          <w:i/>
          <w:iCs/>
          <w:lang w:eastAsia="es-ES" w:bidi="es-ES"/>
        </w:rPr>
        <w:t>objetividad</w:t>
      </w:r>
      <w:r>
        <w:rPr>
          <w:rFonts w:ascii="Verdana" w:eastAsia="Arial MT" w:hAnsi="Verdana" w:cs="Arial"/>
          <w:i/>
          <w:iCs/>
          <w:lang w:eastAsia="es-ES" w:bidi="es-ES"/>
        </w:rPr>
        <w:t>.</w:t>
      </w:r>
      <w:r w:rsidRPr="00510988">
        <w:rPr>
          <w:rFonts w:ascii="Verdana" w:eastAsia="Arial MT" w:hAnsi="Verdana" w:cs="Arial"/>
          <w:i/>
          <w:iCs/>
          <w:lang w:eastAsia="es-ES" w:bidi="es-ES"/>
        </w:rPr>
        <w:t xml:space="preserve"> </w:t>
      </w:r>
    </w:p>
    <w:bookmarkEnd w:id="17"/>
    <w:p w14:paraId="4D5EF904" w14:textId="77777777" w:rsidR="00F449DB" w:rsidRPr="00C45C5D" w:rsidRDefault="00F449DB" w:rsidP="00F449DB">
      <w:pPr>
        <w:spacing w:after="0" w:line="276" w:lineRule="auto"/>
        <w:jc w:val="both"/>
        <w:rPr>
          <w:rFonts w:ascii="Verdana" w:eastAsia="Calibri" w:hAnsi="Verdana" w:cs="Arial"/>
          <w:color w:val="000000" w:themeColor="text1"/>
        </w:rPr>
      </w:pPr>
    </w:p>
    <w:p w14:paraId="4F83FA6D" w14:textId="77777777" w:rsidR="00F449DB" w:rsidRDefault="00F449DB" w:rsidP="00F449DB">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t>4. Referencias normativas:</w:t>
      </w:r>
      <w:bookmarkEnd w:id="15"/>
    </w:p>
    <w:p w14:paraId="152AF7A0" w14:textId="77777777" w:rsidR="00F449DB" w:rsidRPr="00861D2F" w:rsidRDefault="00F449DB" w:rsidP="00F449DB">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449DB" w:rsidRPr="00FF007A" w14:paraId="33249681" w14:textId="77777777" w:rsidTr="00AE1304">
        <w:trPr>
          <w:trHeight w:val="460"/>
          <w:jc w:val="center"/>
        </w:trPr>
        <w:tc>
          <w:tcPr>
            <w:tcW w:w="8647" w:type="dxa"/>
          </w:tcPr>
          <w:p w14:paraId="2C6A684D"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Constitución Política. Artículos: 123, 128. </w:t>
            </w:r>
          </w:p>
          <w:p w14:paraId="09302E23"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sidRPr="00022BAF">
              <w:rPr>
                <w:rFonts w:ascii="Verdana" w:eastAsia="Arial" w:hAnsi="Verdana" w:cs="Arial"/>
              </w:rPr>
              <w:t>Ley 4 de 1992</w:t>
            </w:r>
            <w:r>
              <w:rPr>
                <w:rFonts w:ascii="Verdana" w:eastAsia="Arial" w:hAnsi="Verdana" w:cs="Arial"/>
              </w:rPr>
              <w:t xml:space="preserve">. Artículo 19. </w:t>
            </w:r>
          </w:p>
          <w:p w14:paraId="1866B83A"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Ley 80 de 1993. Artículos: 5, 8, 14, 32 numeral 3. </w:t>
            </w:r>
          </w:p>
          <w:p w14:paraId="37B655CC"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Ley 1150 de 2007. Artículos: 2 numeral 4, 6.</w:t>
            </w:r>
          </w:p>
          <w:p w14:paraId="69064CF2"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sidRPr="006903F4">
              <w:rPr>
                <w:rFonts w:ascii="Verdana" w:eastAsia="Arial MT" w:hAnsi="Verdana" w:cs="Arial"/>
                <w:lang w:eastAsia="es-ES" w:bidi="es-ES"/>
              </w:rPr>
              <w:t>Decreto 1068 de 2015</w:t>
            </w:r>
            <w:r>
              <w:rPr>
                <w:rFonts w:ascii="Verdana" w:eastAsia="Arial MT" w:hAnsi="Verdana" w:cs="Arial"/>
                <w:lang w:eastAsia="es-ES" w:bidi="es-ES"/>
              </w:rPr>
              <w:t xml:space="preserve">. Artículo: </w:t>
            </w:r>
            <w:r w:rsidRPr="00415621">
              <w:rPr>
                <w:rFonts w:ascii="Verdana" w:eastAsia="Arial MT" w:hAnsi="Verdana" w:cs="Arial"/>
                <w:lang w:eastAsia="es-ES" w:bidi="es-ES"/>
              </w:rPr>
              <w:t>2.8.4.4.5.</w:t>
            </w:r>
          </w:p>
          <w:p w14:paraId="31C2D7F3"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lastRenderedPageBreak/>
              <w:t xml:space="preserve">Decreto 1082 de 2015. </w:t>
            </w:r>
            <w:r w:rsidRPr="006903F4">
              <w:rPr>
                <w:rFonts w:ascii="Verdana" w:eastAsia="Arial MT" w:hAnsi="Verdana" w:cs="Arial"/>
                <w:lang w:eastAsia="es-ES" w:bidi="es-ES"/>
              </w:rPr>
              <w:t>Artículo</w:t>
            </w:r>
            <w:r>
              <w:rPr>
                <w:rFonts w:ascii="Verdana" w:eastAsia="Arial MT" w:hAnsi="Verdana" w:cs="Arial"/>
                <w:lang w:eastAsia="es-ES" w:bidi="es-ES"/>
              </w:rPr>
              <w:t>s:</w:t>
            </w:r>
            <w:r w:rsidRPr="006903F4">
              <w:rPr>
                <w:rFonts w:ascii="Verdana" w:eastAsia="Arial MT" w:hAnsi="Verdana" w:cs="Arial"/>
                <w:lang w:eastAsia="es-ES" w:bidi="es-ES"/>
              </w:rPr>
              <w:t xml:space="preserve"> 2.2.1.2.1.4.1</w:t>
            </w:r>
            <w:r>
              <w:rPr>
                <w:rFonts w:ascii="Verdana" w:eastAsia="Arial MT" w:hAnsi="Verdana" w:cs="Arial"/>
                <w:lang w:eastAsia="es-ES" w:bidi="es-ES"/>
              </w:rPr>
              <w:t xml:space="preserve">, </w:t>
            </w:r>
            <w:r w:rsidRPr="006903F4">
              <w:rPr>
                <w:rFonts w:ascii="Verdana" w:eastAsia="Arial MT" w:hAnsi="Verdana" w:cs="Arial"/>
                <w:lang w:eastAsia="es-ES" w:bidi="es-ES"/>
              </w:rPr>
              <w:t>2.2.1.2.1.4.5</w:t>
            </w:r>
            <w:r>
              <w:rPr>
                <w:rFonts w:ascii="Verdana" w:eastAsia="Arial MT" w:hAnsi="Verdana" w:cs="Arial"/>
                <w:lang w:eastAsia="es-ES" w:bidi="es-ES"/>
              </w:rPr>
              <w:t xml:space="preserve">, </w:t>
            </w:r>
            <w:r w:rsidRPr="006903F4">
              <w:rPr>
                <w:rFonts w:ascii="Verdana" w:eastAsia="Arial MT" w:hAnsi="Verdana" w:cs="Arial"/>
                <w:lang w:eastAsia="es-ES" w:bidi="es-ES"/>
              </w:rPr>
              <w:t>2.2.1.2.1.4.9</w:t>
            </w:r>
            <w:r>
              <w:rPr>
                <w:rFonts w:ascii="Verdana" w:eastAsia="Arial MT" w:hAnsi="Verdana" w:cs="Arial"/>
                <w:lang w:eastAsia="es-ES" w:bidi="es-ES"/>
              </w:rPr>
              <w:t>.</w:t>
            </w:r>
          </w:p>
          <w:p w14:paraId="1AE35EAB"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Decreto 019 de 2012. Artículo 217. </w:t>
            </w:r>
          </w:p>
          <w:p w14:paraId="1FB39459"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Código Sustantivo del Trabajo. Artículo 22. </w:t>
            </w:r>
          </w:p>
          <w:p w14:paraId="474EE616"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sidRPr="00415621">
              <w:rPr>
                <w:rFonts w:ascii="Verdana" w:eastAsia="Arial MT" w:hAnsi="Verdana" w:cs="Arial"/>
                <w:lang w:eastAsia="es-ES" w:bidi="es-ES"/>
              </w:rPr>
              <w:t xml:space="preserve">Ley 78 de 1931. Artículo 1. </w:t>
            </w:r>
          </w:p>
          <w:p w14:paraId="38DDA5F8"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sidRPr="00415621">
              <w:rPr>
                <w:rFonts w:ascii="Verdana" w:eastAsia="Arial" w:hAnsi="Verdana" w:cs="Arial"/>
                <w:color w:val="000000" w:themeColor="text1"/>
                <w:lang w:eastAsia="es-ES"/>
              </w:rPr>
              <w:t>Acto Legislativo No. 1 de 1936. Artículo 23.</w:t>
            </w:r>
          </w:p>
          <w:p w14:paraId="2A34FBFA"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Código Civil. Artículo 1501.</w:t>
            </w:r>
          </w:p>
          <w:p w14:paraId="4DB37A57"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Ley 1437 de 2011. Artículo 3.</w:t>
            </w:r>
          </w:p>
          <w:p w14:paraId="7969313F" w14:textId="77777777" w:rsidR="00F449DB" w:rsidRPr="00415621" w:rsidRDefault="00F449DB" w:rsidP="00F449DB">
            <w:pPr>
              <w:pStyle w:val="Prrafodelista"/>
              <w:numPr>
                <w:ilvl w:val="0"/>
                <w:numId w:val="18"/>
              </w:numPr>
              <w:spacing w:line="276" w:lineRule="auto"/>
              <w:jc w:val="both"/>
              <w:rPr>
                <w:rFonts w:ascii="Verdana" w:eastAsia="Arial MT" w:hAnsi="Verdana" w:cs="Arial"/>
                <w:lang w:eastAsia="es-ES" w:bidi="es-ES"/>
              </w:rPr>
            </w:pPr>
            <w:r w:rsidRPr="00415621">
              <w:rPr>
                <w:rFonts w:ascii="Verdana" w:eastAsia="Arial MT" w:hAnsi="Verdana" w:cs="Arial"/>
                <w:lang w:eastAsia="es-ES" w:bidi="es-ES"/>
              </w:rPr>
              <w:t>Consejo de Estado. Sala de lo Contencioso Administrativo. Sección Segunda. Sentencia del 9 de septiembre de 2021. Expediente No. 05001-23-33-000-2013-01143-01 (1317-16). M.P: Sandra Lisset Ibarra Vélez.</w:t>
            </w:r>
          </w:p>
          <w:p w14:paraId="53932F54" w14:textId="77777777" w:rsidR="00F449DB" w:rsidRDefault="00F449DB" w:rsidP="00F449DB">
            <w:pPr>
              <w:pStyle w:val="Prrafodelista"/>
              <w:numPr>
                <w:ilvl w:val="0"/>
                <w:numId w:val="18"/>
              </w:numPr>
              <w:jc w:val="both"/>
              <w:rPr>
                <w:rFonts w:ascii="Verdana" w:eastAsia="Arial MT" w:hAnsi="Verdana" w:cs="Arial"/>
                <w:lang w:eastAsia="es-ES" w:bidi="es-ES"/>
              </w:rPr>
            </w:pPr>
            <w:r w:rsidRPr="006903F4">
              <w:rPr>
                <w:rFonts w:ascii="Verdana" w:eastAsia="Arial MT" w:hAnsi="Verdana" w:cs="Arial"/>
                <w:lang w:eastAsia="es-ES" w:bidi="es-ES"/>
              </w:rPr>
              <w:t xml:space="preserve">Consejo de Estado. Sala de lo Contencioso Administrativo. Sección Tercera. Subsección C. Sentencia del 2 de diciembre de 2013. </w:t>
            </w:r>
            <w:proofErr w:type="spellStart"/>
            <w:r w:rsidRPr="006903F4">
              <w:rPr>
                <w:rFonts w:ascii="Verdana" w:eastAsia="Arial MT" w:hAnsi="Verdana" w:cs="Arial"/>
                <w:lang w:eastAsia="es-ES" w:bidi="es-ES"/>
              </w:rPr>
              <w:t>Exp</w:t>
            </w:r>
            <w:proofErr w:type="spellEnd"/>
            <w:r w:rsidRPr="006903F4">
              <w:rPr>
                <w:rFonts w:ascii="Verdana" w:eastAsia="Arial MT" w:hAnsi="Verdana" w:cs="Arial"/>
                <w:lang w:eastAsia="es-ES" w:bidi="es-ES"/>
              </w:rPr>
              <w:t>. 41719. C.P: Jaime Orlando Santofimio Gamboa.</w:t>
            </w:r>
          </w:p>
          <w:p w14:paraId="508B83A7" w14:textId="77777777" w:rsidR="00F449DB" w:rsidRPr="00415621" w:rsidRDefault="00F449DB" w:rsidP="00F449DB">
            <w:pPr>
              <w:pStyle w:val="Prrafodelista"/>
              <w:numPr>
                <w:ilvl w:val="0"/>
                <w:numId w:val="18"/>
              </w:numPr>
              <w:jc w:val="both"/>
              <w:rPr>
                <w:rFonts w:ascii="Verdana" w:eastAsia="Arial MT" w:hAnsi="Verdana" w:cs="Arial"/>
                <w:lang w:eastAsia="es-ES" w:bidi="es-ES"/>
              </w:rPr>
            </w:pPr>
            <w:r>
              <w:rPr>
                <w:rFonts w:ascii="Verdana" w:eastAsia="Arial" w:hAnsi="Verdana" w:cs="Arial"/>
              </w:rPr>
              <w:t xml:space="preserve">Consejo de Estado. </w:t>
            </w:r>
            <w:r w:rsidRPr="00022BAF">
              <w:rPr>
                <w:rFonts w:ascii="Verdana" w:eastAsia="Arial" w:hAnsi="Verdana" w:cs="Arial"/>
              </w:rPr>
              <w:t>Sala de Consulta y Servicio Civil</w:t>
            </w:r>
            <w:r>
              <w:rPr>
                <w:rFonts w:ascii="Verdana" w:eastAsia="Arial" w:hAnsi="Verdana" w:cs="Arial"/>
              </w:rPr>
              <w:t>. C</w:t>
            </w:r>
            <w:r w:rsidRPr="00022BAF">
              <w:rPr>
                <w:rFonts w:ascii="Verdana" w:eastAsia="Arial" w:hAnsi="Verdana" w:cs="Arial"/>
              </w:rPr>
              <w:t>oncepto</w:t>
            </w:r>
            <w:r w:rsidRPr="00022BAF">
              <w:rPr>
                <w:rFonts w:ascii="Verdana" w:eastAsia="Arial" w:hAnsi="Verdana" w:cs="Arial"/>
                <w:spacing w:val="54"/>
              </w:rPr>
              <w:t xml:space="preserve"> </w:t>
            </w:r>
            <w:r w:rsidRPr="00022BAF">
              <w:rPr>
                <w:rFonts w:ascii="Verdana" w:eastAsia="Arial" w:hAnsi="Verdana" w:cs="Arial"/>
              </w:rPr>
              <w:t>1.344</w:t>
            </w:r>
            <w:r>
              <w:rPr>
                <w:rFonts w:ascii="Verdana" w:eastAsia="Arial" w:hAnsi="Verdana" w:cs="Arial"/>
              </w:rPr>
              <w:t xml:space="preserve"> del </w:t>
            </w:r>
            <w:r w:rsidRPr="00022BAF">
              <w:rPr>
                <w:rFonts w:ascii="Verdana" w:eastAsia="Arial" w:hAnsi="Verdana" w:cs="Arial"/>
              </w:rPr>
              <w:t>10</w:t>
            </w:r>
            <w:r w:rsidRPr="00022BAF">
              <w:rPr>
                <w:rFonts w:ascii="Verdana" w:eastAsia="Arial" w:hAnsi="Verdana" w:cs="Arial"/>
                <w:spacing w:val="54"/>
              </w:rPr>
              <w:t xml:space="preserve"> </w:t>
            </w:r>
            <w:r w:rsidRPr="00022BAF">
              <w:rPr>
                <w:rFonts w:ascii="Verdana" w:eastAsia="Arial" w:hAnsi="Verdana" w:cs="Arial"/>
              </w:rPr>
              <w:t>de</w:t>
            </w:r>
            <w:r w:rsidRPr="00022BAF">
              <w:rPr>
                <w:rFonts w:ascii="Verdana" w:eastAsia="Arial" w:hAnsi="Verdana" w:cs="Arial"/>
                <w:spacing w:val="53"/>
              </w:rPr>
              <w:t xml:space="preserve"> </w:t>
            </w:r>
            <w:r w:rsidRPr="00022BAF">
              <w:rPr>
                <w:rFonts w:ascii="Verdana" w:eastAsia="Arial" w:hAnsi="Verdana" w:cs="Arial"/>
              </w:rPr>
              <w:t>mayo</w:t>
            </w:r>
            <w:r w:rsidRPr="00022BAF">
              <w:rPr>
                <w:rFonts w:ascii="Verdana" w:eastAsia="Arial" w:hAnsi="Verdana" w:cs="Arial"/>
                <w:spacing w:val="54"/>
              </w:rPr>
              <w:t xml:space="preserve"> </w:t>
            </w:r>
            <w:r w:rsidRPr="00022BAF">
              <w:rPr>
                <w:rFonts w:ascii="Verdana" w:eastAsia="Arial" w:hAnsi="Verdana" w:cs="Arial"/>
              </w:rPr>
              <w:t>de</w:t>
            </w:r>
            <w:r w:rsidRPr="00022BAF">
              <w:rPr>
                <w:rFonts w:ascii="Verdana" w:eastAsia="Arial" w:hAnsi="Verdana" w:cs="Arial"/>
                <w:spacing w:val="54"/>
              </w:rPr>
              <w:t xml:space="preserve"> </w:t>
            </w:r>
            <w:r w:rsidRPr="00022BAF">
              <w:rPr>
                <w:rFonts w:ascii="Verdana" w:eastAsia="Arial" w:hAnsi="Verdana" w:cs="Arial"/>
              </w:rPr>
              <w:t>2001</w:t>
            </w:r>
            <w:r>
              <w:rPr>
                <w:rFonts w:ascii="Verdana" w:eastAsia="Arial" w:hAnsi="Verdana" w:cs="Arial"/>
              </w:rPr>
              <w:t xml:space="preserve">. C.P: </w:t>
            </w:r>
            <w:r w:rsidRPr="00022BAF">
              <w:rPr>
                <w:rFonts w:ascii="Verdana" w:eastAsia="Arial" w:hAnsi="Verdana" w:cs="Arial"/>
              </w:rPr>
              <w:t>Flavio Augusto Rodríguez Arce</w:t>
            </w:r>
            <w:r>
              <w:rPr>
                <w:rFonts w:ascii="Verdana" w:eastAsia="Arial" w:hAnsi="Verdana" w:cs="Arial"/>
              </w:rPr>
              <w:t>.</w:t>
            </w:r>
          </w:p>
          <w:p w14:paraId="13468B37" w14:textId="77777777" w:rsidR="00F449DB" w:rsidRDefault="00F449DB" w:rsidP="00F449DB">
            <w:pPr>
              <w:pStyle w:val="Prrafodelista"/>
              <w:numPr>
                <w:ilvl w:val="0"/>
                <w:numId w:val="18"/>
              </w:numPr>
              <w:jc w:val="both"/>
              <w:rPr>
                <w:rFonts w:ascii="Verdana" w:eastAsia="Arial MT" w:hAnsi="Verdana" w:cs="Arial"/>
                <w:lang w:eastAsia="es-ES" w:bidi="es-ES"/>
              </w:rPr>
            </w:pPr>
            <w:r w:rsidRPr="00415621">
              <w:rPr>
                <w:rFonts w:ascii="Verdana" w:eastAsia="Arial MT" w:hAnsi="Verdana" w:cs="Arial"/>
                <w:lang w:eastAsia="es-ES" w:bidi="es-ES"/>
              </w:rPr>
              <w:t xml:space="preserve">Consejo de Estado. Sala de Consulta y Servicio Civil. Concepto del 30 de abril de 2015. Expediente: 2251. C.P: Álvaro </w:t>
            </w:r>
            <w:proofErr w:type="spellStart"/>
            <w:r w:rsidRPr="00415621">
              <w:rPr>
                <w:rFonts w:ascii="Verdana" w:eastAsia="Arial MT" w:hAnsi="Verdana" w:cs="Arial"/>
                <w:lang w:eastAsia="es-ES" w:bidi="es-ES"/>
              </w:rPr>
              <w:t>Namén</w:t>
            </w:r>
            <w:proofErr w:type="spellEnd"/>
            <w:r w:rsidRPr="00415621">
              <w:rPr>
                <w:rFonts w:ascii="Verdana" w:eastAsia="Arial MT" w:hAnsi="Verdana" w:cs="Arial"/>
                <w:lang w:eastAsia="es-ES" w:bidi="es-ES"/>
              </w:rPr>
              <w:t xml:space="preserve"> Vargas.</w:t>
            </w:r>
          </w:p>
          <w:p w14:paraId="145785E4" w14:textId="77777777" w:rsidR="00F449DB" w:rsidRDefault="00F449DB" w:rsidP="00F449DB">
            <w:pPr>
              <w:pStyle w:val="Prrafodelista"/>
              <w:numPr>
                <w:ilvl w:val="0"/>
                <w:numId w:val="18"/>
              </w:numPr>
              <w:jc w:val="both"/>
              <w:rPr>
                <w:rFonts w:ascii="Verdana" w:eastAsia="Arial MT" w:hAnsi="Verdana" w:cs="Arial"/>
                <w:lang w:eastAsia="es-ES" w:bidi="es-ES"/>
              </w:rPr>
            </w:pPr>
            <w:r w:rsidRPr="00415621">
              <w:rPr>
                <w:rFonts w:ascii="Verdana" w:eastAsia="Arial MT" w:hAnsi="Verdana" w:cs="Arial"/>
                <w:lang w:eastAsia="es-ES" w:bidi="es-ES"/>
              </w:rPr>
              <w:t xml:space="preserve">Consejo de Estado. Sala de lo Contencioso Administrativo. Sección Tercera. Subsección A. Sentencia del 24 de junio de 2015. </w:t>
            </w:r>
            <w:proofErr w:type="spellStart"/>
            <w:r w:rsidRPr="00415621">
              <w:rPr>
                <w:rFonts w:ascii="Verdana" w:eastAsia="Arial MT" w:hAnsi="Verdana" w:cs="Arial"/>
                <w:lang w:eastAsia="es-ES" w:bidi="es-ES"/>
              </w:rPr>
              <w:t>Exp</w:t>
            </w:r>
            <w:proofErr w:type="spellEnd"/>
            <w:r w:rsidRPr="00415621">
              <w:rPr>
                <w:rFonts w:ascii="Verdana" w:eastAsia="Arial MT" w:hAnsi="Verdana" w:cs="Arial"/>
                <w:lang w:eastAsia="es-ES" w:bidi="es-ES"/>
              </w:rPr>
              <w:t>. 40.635. C.P: Hernán Andrade Rincón (E).</w:t>
            </w:r>
          </w:p>
          <w:p w14:paraId="7CB8252F" w14:textId="77777777" w:rsidR="00F449DB" w:rsidRDefault="00F449DB" w:rsidP="00F449DB">
            <w:pPr>
              <w:pStyle w:val="Prrafodelista"/>
              <w:numPr>
                <w:ilvl w:val="0"/>
                <w:numId w:val="18"/>
              </w:numPr>
              <w:jc w:val="both"/>
              <w:rPr>
                <w:rFonts w:ascii="Verdana" w:eastAsia="Arial MT" w:hAnsi="Verdana" w:cs="Arial"/>
                <w:lang w:eastAsia="es-ES" w:bidi="es-ES"/>
              </w:rPr>
            </w:pPr>
            <w:r w:rsidRPr="00415621">
              <w:rPr>
                <w:rFonts w:ascii="Verdana" w:eastAsia="Arial MT" w:hAnsi="Verdana" w:cs="Arial"/>
                <w:lang w:eastAsia="es-ES" w:bidi="es-ES"/>
              </w:rPr>
              <w:t xml:space="preserve">Consejo de Estado. Sala de lo Contencioso Administrativo. Sección Tercera. Subsección C. Sentencia del 22 de mayo de 2013. </w:t>
            </w:r>
            <w:proofErr w:type="spellStart"/>
            <w:r w:rsidRPr="00415621">
              <w:rPr>
                <w:rFonts w:ascii="Verdana" w:eastAsia="Arial MT" w:hAnsi="Verdana" w:cs="Arial"/>
                <w:lang w:eastAsia="es-ES" w:bidi="es-ES"/>
              </w:rPr>
              <w:t>Exp</w:t>
            </w:r>
            <w:proofErr w:type="spellEnd"/>
            <w:r w:rsidRPr="00415621">
              <w:rPr>
                <w:rFonts w:ascii="Verdana" w:eastAsia="Arial MT" w:hAnsi="Verdana" w:cs="Arial"/>
                <w:lang w:eastAsia="es-ES" w:bidi="es-ES"/>
              </w:rPr>
              <w:t xml:space="preserve">. 24.057. Consejera Ponente: Olga Mélida Valle De </w:t>
            </w:r>
            <w:proofErr w:type="spellStart"/>
            <w:r w:rsidRPr="00415621">
              <w:rPr>
                <w:rFonts w:ascii="Verdana" w:eastAsia="Arial MT" w:hAnsi="Verdana" w:cs="Arial"/>
                <w:lang w:eastAsia="es-ES" w:bidi="es-ES"/>
              </w:rPr>
              <w:t>De</w:t>
            </w:r>
            <w:proofErr w:type="spellEnd"/>
            <w:r w:rsidRPr="00415621">
              <w:rPr>
                <w:rFonts w:ascii="Verdana" w:eastAsia="Arial MT" w:hAnsi="Verdana" w:cs="Arial"/>
                <w:lang w:eastAsia="es-ES" w:bidi="es-ES"/>
              </w:rPr>
              <w:t xml:space="preserve"> La Hoz.</w:t>
            </w:r>
          </w:p>
          <w:p w14:paraId="3F778678" w14:textId="77777777" w:rsidR="00F449DB" w:rsidRDefault="00F449DB" w:rsidP="00F449DB">
            <w:pPr>
              <w:pStyle w:val="Prrafodelista"/>
              <w:numPr>
                <w:ilvl w:val="0"/>
                <w:numId w:val="18"/>
              </w:numPr>
              <w:jc w:val="both"/>
              <w:rPr>
                <w:rFonts w:ascii="Verdana" w:eastAsia="Arial MT" w:hAnsi="Verdana" w:cs="Arial"/>
                <w:lang w:eastAsia="es-ES" w:bidi="es-ES"/>
              </w:rPr>
            </w:pPr>
            <w:r w:rsidRPr="00415621">
              <w:rPr>
                <w:rFonts w:ascii="Verdana" w:eastAsia="Arial MT" w:hAnsi="Verdana" w:cs="Arial"/>
                <w:lang w:eastAsia="es-ES" w:bidi="es-ES"/>
              </w:rPr>
              <w:t>Consejo de Estado. Sala de Consulta y de Servicio Civil. Concepto del 23 de marzo de 2011. Rad. 2.045. C.P: Enrique José Arboleda Perdomo.</w:t>
            </w:r>
          </w:p>
          <w:p w14:paraId="676E6FF3" w14:textId="77777777" w:rsidR="00F449DB" w:rsidRPr="00415621" w:rsidRDefault="00F449DB" w:rsidP="00F449DB">
            <w:pPr>
              <w:pStyle w:val="Prrafodelista"/>
              <w:numPr>
                <w:ilvl w:val="0"/>
                <w:numId w:val="18"/>
              </w:numPr>
              <w:jc w:val="both"/>
              <w:rPr>
                <w:rFonts w:ascii="Verdana" w:eastAsia="Arial MT" w:hAnsi="Verdana" w:cs="Arial"/>
                <w:lang w:eastAsia="es-ES" w:bidi="es-ES"/>
              </w:rPr>
            </w:pPr>
            <w:r w:rsidRPr="00415621">
              <w:rPr>
                <w:rFonts w:ascii="Verdana" w:eastAsia="Arial MT" w:hAnsi="Verdana" w:cs="Arial"/>
                <w:lang w:eastAsia="es-ES" w:bidi="es-ES"/>
              </w:rPr>
              <w:t xml:space="preserve">Consejo de Estado. Sala de Consulta y Servicio Civil. Concepto del 10 de agosto de 2006. </w:t>
            </w:r>
            <w:proofErr w:type="spellStart"/>
            <w:r w:rsidRPr="00415621">
              <w:rPr>
                <w:rFonts w:ascii="Verdana" w:eastAsia="Arial MT" w:hAnsi="Verdana" w:cs="Arial"/>
                <w:lang w:eastAsia="es-ES" w:bidi="es-ES"/>
              </w:rPr>
              <w:t>Exp</w:t>
            </w:r>
            <w:proofErr w:type="spellEnd"/>
            <w:r w:rsidRPr="00415621">
              <w:rPr>
                <w:rFonts w:ascii="Verdana" w:eastAsia="Arial MT" w:hAnsi="Verdana" w:cs="Arial"/>
                <w:lang w:eastAsia="es-ES" w:bidi="es-ES"/>
              </w:rPr>
              <w:t>. 1.767. C.P: Luís Fernando Álvarez Jaramillo.</w:t>
            </w:r>
          </w:p>
          <w:p w14:paraId="12C9ACA0" w14:textId="77777777" w:rsidR="00F449DB" w:rsidRPr="006903F4" w:rsidRDefault="00F449DB" w:rsidP="00F449DB">
            <w:pPr>
              <w:pStyle w:val="Prrafodelista"/>
              <w:numPr>
                <w:ilvl w:val="0"/>
                <w:numId w:val="18"/>
              </w:numPr>
              <w:jc w:val="both"/>
              <w:rPr>
                <w:rFonts w:ascii="Verdana" w:eastAsia="Arial MT" w:hAnsi="Verdana" w:cs="Arial"/>
                <w:lang w:eastAsia="es-ES" w:bidi="es-ES"/>
              </w:rPr>
            </w:pPr>
            <w:r w:rsidRPr="006903F4">
              <w:rPr>
                <w:rFonts w:ascii="Verdana" w:eastAsia="Arial MT" w:hAnsi="Verdana" w:cs="Arial"/>
                <w:lang w:eastAsia="es-ES" w:bidi="es-ES"/>
              </w:rPr>
              <w:t>Corte Constitucional. Sentencia C-154 de 1997. M.P: Hernando Herrera Vergara.</w:t>
            </w:r>
          </w:p>
          <w:p w14:paraId="5DF02674" w14:textId="77777777" w:rsidR="00F449DB" w:rsidRPr="00415621"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022BAF">
              <w:rPr>
                <w:rFonts w:ascii="Verdana" w:eastAsia="Arial" w:hAnsi="Verdana" w:cs="Arial"/>
              </w:rPr>
              <w:t>C-133 del 1 de abril de 1993, M</w:t>
            </w:r>
            <w:r>
              <w:rPr>
                <w:rFonts w:ascii="Verdana" w:eastAsia="Arial" w:hAnsi="Verdana" w:cs="Arial"/>
              </w:rPr>
              <w:t xml:space="preserve">.P: </w:t>
            </w:r>
            <w:r w:rsidRPr="00022BAF">
              <w:rPr>
                <w:rFonts w:ascii="Verdana" w:eastAsia="Arial" w:hAnsi="Verdana" w:cs="Arial"/>
              </w:rPr>
              <w:t>Vladimiro Naranjo Mesa</w:t>
            </w:r>
            <w:r>
              <w:rPr>
                <w:rFonts w:ascii="Verdana" w:eastAsia="Arial" w:hAnsi="Verdana" w:cs="Arial"/>
              </w:rPr>
              <w:t>.</w:t>
            </w:r>
          </w:p>
          <w:p w14:paraId="6100100C" w14:textId="77777777" w:rsidR="00F449DB" w:rsidRPr="00F449DB" w:rsidRDefault="00F449DB" w:rsidP="00F449DB">
            <w:pPr>
              <w:pStyle w:val="Prrafodelista"/>
              <w:numPr>
                <w:ilvl w:val="0"/>
                <w:numId w:val="18"/>
              </w:numPr>
              <w:spacing w:line="276" w:lineRule="auto"/>
              <w:jc w:val="both"/>
              <w:rPr>
                <w:rFonts w:ascii="Verdana" w:eastAsia="Arial MT" w:hAnsi="Verdana" w:cs="Arial"/>
                <w:lang w:val="it-CH" w:eastAsia="es-ES" w:bidi="es-ES"/>
              </w:rPr>
            </w:pPr>
            <w:r w:rsidRPr="00415621">
              <w:rPr>
                <w:rFonts w:ascii="Verdana" w:eastAsia="Arial MT" w:hAnsi="Verdana" w:cs="Arial"/>
                <w:lang w:eastAsia="es-ES" w:bidi="es-ES"/>
              </w:rPr>
              <w:t xml:space="preserve">Corte Constitucional. Sentencia T-1039 de 2006. </w:t>
            </w:r>
            <w:r w:rsidRPr="00415621">
              <w:rPr>
                <w:rFonts w:ascii="Verdana" w:eastAsia="Arial MT" w:hAnsi="Verdana" w:cs="Arial"/>
                <w:lang w:val="it-CH" w:eastAsia="es-ES" w:bidi="es-ES"/>
              </w:rPr>
              <w:t>M</w:t>
            </w:r>
            <w:r>
              <w:rPr>
                <w:rFonts w:ascii="Verdana" w:eastAsia="Arial MT" w:hAnsi="Verdana" w:cs="Arial"/>
                <w:lang w:val="it-CH" w:eastAsia="es-ES" w:bidi="es-ES"/>
              </w:rPr>
              <w:t xml:space="preserve">.P: </w:t>
            </w:r>
            <w:r w:rsidRPr="00415621">
              <w:rPr>
                <w:rFonts w:ascii="Verdana" w:eastAsia="Arial MT" w:hAnsi="Verdana" w:cs="Arial"/>
                <w:lang w:val="it-CH" w:eastAsia="es-ES" w:bidi="es-ES"/>
              </w:rPr>
              <w:t xml:space="preserve">Humberto Sierra Porto. </w:t>
            </w:r>
          </w:p>
          <w:p w14:paraId="5A748961"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w:t>
            </w:r>
            <w:r w:rsidRPr="00415621">
              <w:rPr>
                <w:rFonts w:ascii="Verdana" w:eastAsia="Arial MT" w:hAnsi="Verdana" w:cs="Arial"/>
                <w:lang w:eastAsia="es-ES" w:bidi="es-ES"/>
              </w:rPr>
              <w:t xml:space="preserve"> C-903 de 2008. M</w:t>
            </w:r>
            <w:r>
              <w:rPr>
                <w:rFonts w:ascii="Verdana" w:eastAsia="Arial MT" w:hAnsi="Verdana" w:cs="Arial"/>
                <w:lang w:eastAsia="es-ES" w:bidi="es-ES"/>
              </w:rPr>
              <w:t>.P:</w:t>
            </w:r>
            <w:r w:rsidRPr="00415621">
              <w:rPr>
                <w:rFonts w:ascii="Verdana" w:eastAsia="Arial MT" w:hAnsi="Verdana" w:cs="Arial"/>
                <w:lang w:eastAsia="es-ES" w:bidi="es-ES"/>
              </w:rPr>
              <w:t xml:space="preserve"> Ponente: Jaime Araujo Rentería</w:t>
            </w:r>
            <w:r>
              <w:rPr>
                <w:rFonts w:ascii="Verdana" w:eastAsia="Arial MT" w:hAnsi="Verdana" w:cs="Arial"/>
                <w:lang w:eastAsia="es-ES" w:bidi="es-ES"/>
              </w:rPr>
              <w:t>.</w:t>
            </w:r>
          </w:p>
          <w:p w14:paraId="43C73318" w14:textId="77777777" w:rsidR="00F449DB" w:rsidRDefault="00F449DB" w:rsidP="00F449DB">
            <w:pPr>
              <w:pStyle w:val="Prrafodelista"/>
              <w:numPr>
                <w:ilvl w:val="0"/>
                <w:numId w:val="18"/>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415621">
              <w:rPr>
                <w:rFonts w:ascii="Verdana" w:eastAsia="Arial MT" w:hAnsi="Verdana" w:cs="Arial"/>
                <w:lang w:eastAsia="es-ES" w:bidi="es-ES"/>
              </w:rPr>
              <w:t>C-101 de 2018. M</w:t>
            </w:r>
            <w:r>
              <w:rPr>
                <w:rFonts w:ascii="Verdana" w:eastAsia="Arial MT" w:hAnsi="Verdana" w:cs="Arial"/>
                <w:lang w:eastAsia="es-ES" w:bidi="es-ES"/>
              </w:rPr>
              <w:t xml:space="preserve">.P: </w:t>
            </w:r>
            <w:r w:rsidRPr="00415621">
              <w:rPr>
                <w:rFonts w:ascii="Verdana" w:eastAsia="Arial MT" w:hAnsi="Verdana" w:cs="Arial"/>
                <w:lang w:eastAsia="es-ES" w:bidi="es-ES"/>
              </w:rPr>
              <w:t>Gloria Stella Ortiz Delgado</w:t>
            </w:r>
            <w:r>
              <w:rPr>
                <w:rFonts w:ascii="Verdana" w:eastAsia="Arial MT" w:hAnsi="Verdana" w:cs="Arial"/>
                <w:lang w:eastAsia="es-ES" w:bidi="es-ES"/>
              </w:rPr>
              <w:t>.</w:t>
            </w:r>
          </w:p>
          <w:p w14:paraId="4BFFE5ED" w14:textId="77777777" w:rsidR="00F449DB" w:rsidRPr="006903F4" w:rsidRDefault="00F449DB" w:rsidP="00F449DB">
            <w:pPr>
              <w:pStyle w:val="Prrafodelista"/>
              <w:numPr>
                <w:ilvl w:val="0"/>
                <w:numId w:val="18"/>
              </w:numPr>
              <w:spacing w:line="276" w:lineRule="auto"/>
              <w:jc w:val="both"/>
              <w:rPr>
                <w:rFonts w:ascii="Verdana" w:eastAsia="Arial MT" w:hAnsi="Verdana" w:cs="Arial"/>
                <w:lang w:eastAsia="es-ES" w:bidi="es-ES"/>
              </w:rPr>
            </w:pPr>
            <w:r w:rsidRPr="00415621">
              <w:rPr>
                <w:rFonts w:ascii="Verdana" w:eastAsia="Arial MT" w:hAnsi="Verdana" w:cs="Arial"/>
                <w:lang w:eastAsia="es-ES" w:bidi="es-ES"/>
              </w:rPr>
              <w:lastRenderedPageBreak/>
              <w:t>BENAVIDES, José Luis. Contrato de prestación de servicios. Difícil delimitación frente al contrato realidad. En: Contratos público. Estudios. Bogotá: Universidad Externado de Colombia, 2014.</w:t>
            </w:r>
          </w:p>
        </w:tc>
      </w:tr>
    </w:tbl>
    <w:p w14:paraId="1DAEB1CD" w14:textId="77777777" w:rsidR="00F449DB" w:rsidRPr="00FF007A" w:rsidRDefault="00F449DB" w:rsidP="00F449DB">
      <w:pPr>
        <w:widowControl w:val="0"/>
        <w:autoSpaceDE w:val="0"/>
        <w:autoSpaceDN w:val="0"/>
        <w:spacing w:after="0" w:line="276" w:lineRule="auto"/>
        <w:jc w:val="both"/>
        <w:rPr>
          <w:rFonts w:ascii="Verdana" w:hAnsi="Verdana" w:cs="Arial"/>
        </w:rPr>
      </w:pPr>
    </w:p>
    <w:p w14:paraId="51E7BE44" w14:textId="77777777" w:rsidR="00F449DB" w:rsidRPr="00FF007A" w:rsidRDefault="00F449DB" w:rsidP="00F449DB">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427B2AC4" w14:textId="77777777" w:rsidR="00F449DB" w:rsidRDefault="00F449DB" w:rsidP="00F449DB">
      <w:pPr>
        <w:widowControl w:val="0"/>
        <w:autoSpaceDE w:val="0"/>
        <w:autoSpaceDN w:val="0"/>
        <w:spacing w:after="0" w:line="276" w:lineRule="auto"/>
        <w:jc w:val="both"/>
        <w:rPr>
          <w:rFonts w:ascii="Verdana" w:hAnsi="Verdana" w:cs="Arial"/>
          <w:shd w:val="clear" w:color="auto" w:fill="FFFFFF"/>
          <w:lang w:val="es-ES"/>
        </w:rPr>
      </w:pPr>
    </w:p>
    <w:p w14:paraId="0A2488E8" w14:textId="77777777" w:rsidR="00F449DB" w:rsidRDefault="00F449DB" w:rsidP="00F449DB">
      <w:pPr>
        <w:widowControl w:val="0"/>
        <w:autoSpaceDE w:val="0"/>
        <w:autoSpaceDN w:val="0"/>
        <w:spacing w:after="120" w:line="276" w:lineRule="auto"/>
        <w:jc w:val="both"/>
        <w:rPr>
          <w:rFonts w:ascii="Verdana" w:eastAsia="Arial" w:hAnsi="Verdana" w:cs="Arial"/>
          <w:color w:val="000000"/>
          <w:lang w:eastAsia="es-ES"/>
        </w:rPr>
      </w:pPr>
      <w:r w:rsidRPr="00000858">
        <w:rPr>
          <w:rFonts w:ascii="Verdana" w:eastAsia="Arial" w:hAnsi="Verdana" w:cs="Arial"/>
          <w:lang w:val="es-ES" w:eastAsia="es-ES"/>
        </w:rPr>
        <w:t xml:space="preserve">La Agencia Nacional de Contratación Pública – Colombia Compra Eficiente </w:t>
      </w:r>
      <w:r w:rsidRPr="00000858">
        <w:rPr>
          <w:rFonts w:ascii="Verdana" w:eastAsia="Arial" w:hAnsi="Verdana" w:cs="Arial"/>
          <w:color w:val="000000"/>
          <w:lang w:eastAsia="es-ES"/>
        </w:rPr>
        <w:t>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w:t>
      </w:r>
      <w:r>
        <w:rPr>
          <w:rFonts w:ascii="Verdana" w:eastAsia="Arial" w:hAnsi="Verdana" w:cs="Arial"/>
          <w:color w:val="000000"/>
          <w:lang w:eastAsia="es-ES"/>
        </w:rPr>
        <w:t xml:space="preserve">, </w:t>
      </w:r>
      <w:r w:rsidRPr="00000858">
        <w:rPr>
          <w:rFonts w:ascii="Verdana" w:eastAsia="Arial" w:hAnsi="Verdana" w:cs="Arial"/>
          <w:color w:val="000000"/>
          <w:lang w:eastAsia="es-ES"/>
        </w:rPr>
        <w:t>C-009 del 20 de febrero de 2023</w:t>
      </w:r>
      <w:r>
        <w:rPr>
          <w:rFonts w:ascii="Verdana" w:eastAsia="Arial" w:hAnsi="Verdana" w:cs="Arial"/>
          <w:color w:val="000000"/>
          <w:lang w:eastAsia="es-ES"/>
        </w:rPr>
        <w:t>, entre otros</w:t>
      </w:r>
      <w:r w:rsidRPr="00000858">
        <w:rPr>
          <w:rFonts w:ascii="Verdana" w:eastAsia="Arial" w:hAnsi="Verdana" w:cs="Arial"/>
          <w:color w:val="000000"/>
          <w:lang w:eastAsia="es-ES"/>
        </w:rPr>
        <w:t xml:space="preserve">. </w:t>
      </w:r>
    </w:p>
    <w:p w14:paraId="36A4EEBE" w14:textId="77777777" w:rsidR="00F449DB" w:rsidRPr="006903F4" w:rsidRDefault="00F449DB" w:rsidP="00F449DB">
      <w:pPr>
        <w:widowControl w:val="0"/>
        <w:autoSpaceDE w:val="0"/>
        <w:autoSpaceDN w:val="0"/>
        <w:spacing w:after="120" w:line="276" w:lineRule="auto"/>
        <w:jc w:val="both"/>
        <w:rPr>
          <w:rFonts w:ascii="Verdana" w:eastAsia="Arial" w:hAnsi="Verdana" w:cs="Arial"/>
          <w:color w:val="000000"/>
          <w:lang w:eastAsia="es-ES"/>
        </w:rPr>
      </w:pPr>
      <w:r w:rsidRPr="00000858">
        <w:rPr>
          <w:rFonts w:ascii="Verdana" w:eastAsia="Arial" w:hAnsi="Verdana" w:cs="Arial"/>
          <w:color w:val="000000"/>
          <w:lang w:eastAsia="es-ES"/>
        </w:rPr>
        <w:t>Así mismo, se ha pronunciado s</w:t>
      </w:r>
      <w:r w:rsidRPr="006903F4">
        <w:rPr>
          <w:rFonts w:ascii="Verdana" w:eastAsia="Arial" w:hAnsi="Verdana" w:cs="Arial"/>
          <w:color w:val="000000"/>
          <w:lang w:eastAsia="es-ES"/>
        </w:rPr>
        <w:t xml:space="preserve">obre el concepto de doble asignación presupuestal y el alcance a los contratos de prestación de servicios en los conceptos con radicado No. 2201913000008409 del 12 de noviembre de 2019, C-090 del 24 de febrero de 2020, C-286 del 26 de julio de 2023, C-392 del 8 de mayo de 2025, entre otros. Por último, sobre el régimen de inhabilidades e incompatibilidades esta Subdirección se ha pronunciado en los conceptos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w:t>
      </w:r>
      <w:r w:rsidRPr="006903F4">
        <w:rPr>
          <w:rFonts w:ascii="Verdana" w:eastAsia="Arial" w:hAnsi="Verdana" w:cs="Arial"/>
          <w:color w:val="000000"/>
          <w:lang w:eastAsia="es-ES"/>
        </w:rPr>
        <w:lastRenderedPageBreak/>
        <w:t xml:space="preserve">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C-039 del 23 de abril de 2024, C-085 del 3 de marzo de 2025.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 C-839 del 13 de diciembre de 2024, entre otros. Estos y otros conceptos se encuentran disponibles para consulta en el Sistema de relatoría de la Agencia, al cual se puede acceder a través del siguiente enlace: </w:t>
      </w:r>
    </w:p>
    <w:p w14:paraId="7067CD48" w14:textId="77777777" w:rsidR="00F449DB" w:rsidRPr="00A454F0" w:rsidRDefault="00F449DB" w:rsidP="00F449DB">
      <w:pPr>
        <w:widowControl w:val="0"/>
        <w:autoSpaceDE w:val="0"/>
        <w:autoSpaceDN w:val="0"/>
        <w:spacing w:after="0" w:line="276" w:lineRule="auto"/>
        <w:jc w:val="both"/>
        <w:rPr>
          <w:rFonts w:ascii="Verdana" w:hAnsi="Verdana" w:cs="Arial"/>
          <w:shd w:val="clear" w:color="auto" w:fill="FFFFFF"/>
        </w:rPr>
      </w:pPr>
      <w:hyperlink r:id="rId12"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593B3053" w14:textId="77777777" w:rsidR="00F449DB" w:rsidRDefault="00F449DB" w:rsidP="00F449DB">
      <w:pPr>
        <w:spacing w:after="0" w:line="240" w:lineRule="auto"/>
        <w:jc w:val="both"/>
        <w:rPr>
          <w:rFonts w:ascii="Verdana" w:hAnsi="Verdana"/>
        </w:rPr>
      </w:pPr>
    </w:p>
    <w:p w14:paraId="4EB9D304" w14:textId="77777777" w:rsidR="00F449DB" w:rsidRPr="00FF007A" w:rsidRDefault="00F449DB" w:rsidP="00F449DB">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9E12BC0" w14:textId="77777777" w:rsidR="00F449DB" w:rsidRPr="00FF007A" w:rsidRDefault="00F449DB" w:rsidP="00F449DB">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5E5842C9" w14:textId="77777777" w:rsidR="00F449DB" w:rsidRPr="00FF007A" w:rsidRDefault="00F449DB" w:rsidP="00F449DB">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7B06F148" w14:textId="77777777" w:rsidR="00F449DB" w:rsidRPr="00FF007A" w:rsidRDefault="00F449DB" w:rsidP="00F449DB">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5463564F" w14:textId="77777777" w:rsidR="00F449DB" w:rsidRPr="00FF007A" w:rsidRDefault="00F449DB" w:rsidP="00F449DB">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3" w:history="1">
        <w:r w:rsidRPr="00FF007A">
          <w:rPr>
            <w:rStyle w:val="Hipervnculo"/>
            <w:rFonts w:ascii="Verdana" w:hAnsi="Verdana"/>
            <w:lang w:val="es-CO"/>
          </w:rPr>
          <w:t>www.colombiacompra.gov.co</w:t>
        </w:r>
      </w:hyperlink>
    </w:p>
    <w:p w14:paraId="01F2F7FC" w14:textId="77777777" w:rsidR="00F449DB" w:rsidRPr="00FF007A" w:rsidRDefault="00F449DB" w:rsidP="00F449DB">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61202582" w14:textId="77777777" w:rsidR="00F449DB" w:rsidRPr="00FF007A" w:rsidRDefault="00F449DB" w:rsidP="00F449DB">
      <w:pPr>
        <w:spacing w:after="0" w:line="276" w:lineRule="auto"/>
        <w:jc w:val="both"/>
        <w:rPr>
          <w:rFonts w:ascii="Verdana" w:hAnsi="Verdana"/>
        </w:rPr>
      </w:pPr>
    </w:p>
    <w:p w14:paraId="294BD774" w14:textId="77777777" w:rsidR="00F449DB" w:rsidRPr="00FF007A" w:rsidRDefault="00F449DB" w:rsidP="00F449DB">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5D9544D8" w14:textId="77777777" w:rsidR="00F449DB" w:rsidRPr="00FF007A" w:rsidRDefault="00F449DB" w:rsidP="00F449DB">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427F0C27" w14:textId="77777777" w:rsidR="00F449DB" w:rsidRPr="00FF007A" w:rsidRDefault="00F449DB" w:rsidP="00F449DB">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1F020D69" w14:textId="77777777" w:rsidR="00F449DB" w:rsidRPr="00FF007A" w:rsidRDefault="00F449DB" w:rsidP="00F449DB">
      <w:pPr>
        <w:spacing w:before="120" w:after="0" w:line="276" w:lineRule="auto"/>
        <w:jc w:val="both"/>
        <w:rPr>
          <w:rFonts w:ascii="Verdana" w:hAnsi="Verdana"/>
        </w:rPr>
      </w:pPr>
      <w:r w:rsidRPr="00FF007A">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C9356F" w14:textId="77777777" w:rsidR="00F449DB" w:rsidRPr="00FF007A" w:rsidRDefault="00F449DB" w:rsidP="00F449DB">
      <w:pPr>
        <w:spacing w:after="0" w:line="276" w:lineRule="auto"/>
        <w:jc w:val="both"/>
        <w:rPr>
          <w:rFonts w:ascii="Verdana" w:eastAsia="Calibri" w:hAnsi="Verdana" w:cs="Times New Roman"/>
        </w:rPr>
      </w:pPr>
    </w:p>
    <w:p w14:paraId="3E13B752" w14:textId="77777777" w:rsidR="00F449DB" w:rsidRPr="00FF007A" w:rsidRDefault="00F449DB" w:rsidP="00F449DB">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156C9005" w14:textId="472788C5" w:rsidR="00F449DB" w:rsidRPr="00FF007A" w:rsidRDefault="00745C23" w:rsidP="00F449DB">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2B6B546" wp14:editId="48BD4508">
            <wp:extent cx="2984500" cy="1406159"/>
            <wp:effectExtent l="0" t="0" r="6350" b="381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4"/>
                    <a:stretch>
                      <a:fillRect/>
                    </a:stretch>
                  </pic:blipFill>
                  <pic:spPr>
                    <a:xfrm>
                      <a:off x="0" y="0"/>
                      <a:ext cx="2990822" cy="1409138"/>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F449DB" w:rsidRPr="00FF007A" w14:paraId="01F095A7" w14:textId="77777777" w:rsidTr="00AE1304">
        <w:trPr>
          <w:trHeight w:val="315"/>
        </w:trPr>
        <w:tc>
          <w:tcPr>
            <w:tcW w:w="893" w:type="dxa"/>
            <w:vAlign w:val="center"/>
            <w:hideMark/>
          </w:tcPr>
          <w:p w14:paraId="00DDD162" w14:textId="77777777" w:rsidR="00F449DB" w:rsidRPr="00FF007A" w:rsidRDefault="00F449DB" w:rsidP="00AE1304">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8B64D9A" w14:textId="77777777" w:rsidR="00F449DB" w:rsidRPr="00FF007A" w:rsidRDefault="00F449DB" w:rsidP="00AE1304">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64CC0534" w14:textId="77777777" w:rsidR="00F449DB" w:rsidRPr="00FF007A" w:rsidRDefault="00F449DB" w:rsidP="00AE1304">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F449DB" w:rsidRPr="00FF007A" w14:paraId="1CFB28D8" w14:textId="77777777" w:rsidTr="00AE1304">
        <w:trPr>
          <w:trHeight w:val="330"/>
        </w:trPr>
        <w:tc>
          <w:tcPr>
            <w:tcW w:w="893" w:type="dxa"/>
            <w:vAlign w:val="center"/>
            <w:hideMark/>
          </w:tcPr>
          <w:p w14:paraId="05A9E184" w14:textId="77777777" w:rsidR="00F449DB" w:rsidRPr="00FF007A" w:rsidRDefault="00F449DB" w:rsidP="00AE1304">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13D411F" w14:textId="77777777" w:rsidR="00F449DB" w:rsidRPr="00FF007A" w:rsidRDefault="00F449DB" w:rsidP="00AE1304">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05F82DA1" w14:textId="77777777" w:rsidR="00F449DB" w:rsidRPr="00FF007A" w:rsidRDefault="00F449DB" w:rsidP="00AE1304">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F449DB" w:rsidRPr="00FF007A" w14:paraId="2E4D200F" w14:textId="77777777" w:rsidTr="00AE1304">
        <w:trPr>
          <w:trHeight w:val="300"/>
        </w:trPr>
        <w:tc>
          <w:tcPr>
            <w:tcW w:w="893" w:type="dxa"/>
            <w:vAlign w:val="center"/>
          </w:tcPr>
          <w:p w14:paraId="6A5AB883" w14:textId="77777777" w:rsidR="00F449DB" w:rsidRPr="00FF007A" w:rsidRDefault="00F449DB" w:rsidP="00AE1304">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56575D2" w14:textId="77777777" w:rsidR="00F449DB" w:rsidRPr="00FF007A" w:rsidRDefault="00F449DB" w:rsidP="00AE1304">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1065D947" w14:textId="77777777" w:rsidR="00F449DB" w:rsidRPr="00FF007A" w:rsidRDefault="00F449DB" w:rsidP="00AE1304">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5"/>
      <w:bookmarkEnd w:id="6"/>
    </w:tbl>
    <w:p w14:paraId="5FD399D1" w14:textId="77777777" w:rsidR="00F449DB" w:rsidRPr="00DA731C" w:rsidRDefault="00F449DB" w:rsidP="00F449DB"/>
    <w:p w14:paraId="0F293BF4" w14:textId="579642C1" w:rsidR="00127233" w:rsidRPr="00166857" w:rsidRDefault="00127233" w:rsidP="00166857"/>
    <w:sectPr w:rsidR="00127233" w:rsidRPr="0016685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80A3C" w14:textId="77777777" w:rsidR="00D9216E" w:rsidRDefault="00D9216E" w:rsidP="004A1847">
      <w:pPr>
        <w:spacing w:after="0" w:line="240" w:lineRule="auto"/>
      </w:pPr>
      <w:r>
        <w:separator/>
      </w:r>
    </w:p>
  </w:endnote>
  <w:endnote w:type="continuationSeparator" w:id="0">
    <w:p w14:paraId="064D9248" w14:textId="77777777" w:rsidR="00D9216E" w:rsidRDefault="00D921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E5D86" w14:textId="77777777" w:rsidR="00D9216E" w:rsidRDefault="00D9216E" w:rsidP="004A1847">
      <w:pPr>
        <w:spacing w:after="0" w:line="240" w:lineRule="auto"/>
      </w:pPr>
      <w:r>
        <w:separator/>
      </w:r>
    </w:p>
  </w:footnote>
  <w:footnote w:type="continuationSeparator" w:id="0">
    <w:p w14:paraId="3EACB020" w14:textId="77777777" w:rsidR="00D9216E" w:rsidRDefault="00D9216E" w:rsidP="004A1847">
      <w:pPr>
        <w:spacing w:after="0" w:line="240" w:lineRule="auto"/>
      </w:pPr>
      <w:r>
        <w:continuationSeparator/>
      </w:r>
    </w:p>
  </w:footnote>
  <w:footnote w:id="1">
    <w:p w14:paraId="64DC14E2" w14:textId="77777777" w:rsidR="00F449DB" w:rsidRPr="00022BAF" w:rsidRDefault="00F449DB" w:rsidP="00F449DB">
      <w:pPr>
        <w:pStyle w:val="Textonotapie"/>
        <w:ind w:firstLine="709"/>
        <w:jc w:val="both"/>
        <w:rPr>
          <w:rFonts w:ascii="Verdana" w:hAnsi="Verdana"/>
          <w:sz w:val="14"/>
          <w:szCs w:val="14"/>
          <w:lang w:val="es-ES"/>
        </w:rPr>
      </w:pPr>
      <w:r w:rsidRPr="00022BAF">
        <w:rPr>
          <w:rStyle w:val="Refdenotaalpie"/>
          <w:rFonts w:ascii="Verdana" w:hAnsi="Verdana"/>
          <w:sz w:val="14"/>
          <w:szCs w:val="14"/>
        </w:rPr>
        <w:footnoteRef/>
      </w:r>
      <w:r w:rsidRPr="00022BAF">
        <w:rPr>
          <w:rFonts w:ascii="Verdana" w:hAnsi="Verdana"/>
          <w:sz w:val="14"/>
          <w:szCs w:val="14"/>
        </w:rPr>
        <w:t xml:space="preserve"> </w:t>
      </w:r>
      <w:bookmarkStart w:id="10" w:name="_Hlk192845550"/>
      <w:r w:rsidRPr="00022BAF">
        <w:rPr>
          <w:rFonts w:ascii="Verdana" w:hAnsi="Verdana"/>
          <w:sz w:val="14"/>
          <w:szCs w:val="14"/>
        </w:rPr>
        <w:t xml:space="preserve">Consejo de Estado. </w:t>
      </w:r>
      <w:r>
        <w:rPr>
          <w:rFonts w:ascii="Verdana" w:hAnsi="Verdana"/>
          <w:sz w:val="14"/>
          <w:szCs w:val="14"/>
        </w:rPr>
        <w:t xml:space="preserve">Sala de lo Contencioso Administrativo. </w:t>
      </w:r>
      <w:r w:rsidRPr="00022BAF">
        <w:rPr>
          <w:rFonts w:ascii="Verdana" w:hAnsi="Verdana"/>
          <w:sz w:val="14"/>
          <w:szCs w:val="14"/>
        </w:rPr>
        <w:t>Sección Segunda. Sentencia del 9 de septiembre de 2021. Expediente No. 05001-23-33-000-2013-01143-01</w:t>
      </w:r>
      <w:r>
        <w:rPr>
          <w:rFonts w:ascii="Verdana" w:hAnsi="Verdana"/>
          <w:sz w:val="14"/>
          <w:szCs w:val="14"/>
        </w:rPr>
        <w:t xml:space="preserve"> </w:t>
      </w:r>
      <w:r w:rsidRPr="00022BAF">
        <w:rPr>
          <w:rFonts w:ascii="Verdana" w:hAnsi="Verdana"/>
          <w:sz w:val="14"/>
          <w:szCs w:val="14"/>
        </w:rPr>
        <w:t>(1317-16). M.P</w:t>
      </w:r>
      <w:r>
        <w:rPr>
          <w:rFonts w:ascii="Verdana" w:hAnsi="Verdana"/>
          <w:sz w:val="14"/>
          <w:szCs w:val="14"/>
        </w:rPr>
        <w:t xml:space="preserve">: </w:t>
      </w:r>
      <w:r w:rsidRPr="00022BAF">
        <w:rPr>
          <w:rFonts w:ascii="Verdana" w:hAnsi="Verdana"/>
          <w:sz w:val="14"/>
          <w:szCs w:val="14"/>
        </w:rPr>
        <w:t>Dra. Sandra Lisset Ibarra Vélez</w:t>
      </w:r>
      <w:bookmarkEnd w:id="10"/>
      <w:r w:rsidRPr="00022BAF">
        <w:rPr>
          <w:rFonts w:ascii="Verdana" w:hAnsi="Verdana"/>
          <w:sz w:val="14"/>
          <w:szCs w:val="14"/>
        </w:rPr>
        <w:t>.</w:t>
      </w:r>
    </w:p>
    <w:p w14:paraId="6A1A0322" w14:textId="77777777" w:rsidR="00F449DB" w:rsidRPr="00022BAF" w:rsidRDefault="00F449DB" w:rsidP="00F449DB">
      <w:pPr>
        <w:pStyle w:val="Textonotapie"/>
        <w:rPr>
          <w:lang w:val="es-ES"/>
        </w:rPr>
      </w:pPr>
    </w:p>
  </w:footnote>
  <w:footnote w:id="2">
    <w:p w14:paraId="02F711D0" w14:textId="77777777" w:rsidR="00F449DB" w:rsidRPr="00837A86" w:rsidRDefault="00F449DB" w:rsidP="00F449DB">
      <w:pPr>
        <w:pStyle w:val="Textonotapie"/>
        <w:ind w:firstLine="709"/>
        <w:contextualSpacing/>
        <w:jc w:val="both"/>
        <w:rPr>
          <w:rFonts w:ascii="Verdana" w:hAnsi="Verdana" w:cs="Arial"/>
          <w:color w:val="000000" w:themeColor="text1"/>
          <w:sz w:val="14"/>
          <w:szCs w:val="14"/>
        </w:rPr>
      </w:pPr>
      <w:r w:rsidRPr="00837A86">
        <w:rPr>
          <w:rStyle w:val="Refdenotaalpie"/>
          <w:rFonts w:ascii="Verdana" w:hAnsi="Verdana" w:cs="Arial"/>
          <w:sz w:val="14"/>
          <w:szCs w:val="14"/>
        </w:rPr>
        <w:footnoteRef/>
      </w:r>
      <w:r w:rsidRPr="00837A86">
        <w:rPr>
          <w:rFonts w:ascii="Verdana" w:hAnsi="Verdana" w:cs="Arial"/>
          <w:sz w:val="14"/>
          <w:szCs w:val="14"/>
        </w:rPr>
        <w:t xml:space="preserve"> Decreto 1068 de 2015: “</w:t>
      </w:r>
      <w:r w:rsidRPr="00837A86">
        <w:rPr>
          <w:rFonts w:ascii="Verdana" w:hAnsi="Verdana" w:cs="Arial"/>
          <w:color w:val="000000" w:themeColor="text1"/>
          <w:sz w:val="14"/>
          <w:szCs w:val="14"/>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5B72FF99" w14:textId="77777777" w:rsidR="00F449DB" w:rsidRPr="00837A86" w:rsidRDefault="00F449DB" w:rsidP="00F449DB">
      <w:pPr>
        <w:pStyle w:val="Textonotapie"/>
        <w:ind w:firstLine="709"/>
        <w:contextualSpacing/>
        <w:jc w:val="both"/>
        <w:rPr>
          <w:rFonts w:ascii="Verdana" w:hAnsi="Verdana" w:cs="Arial"/>
          <w:color w:val="000000" w:themeColor="text1"/>
          <w:sz w:val="14"/>
          <w:szCs w:val="14"/>
        </w:rPr>
      </w:pPr>
      <w:r w:rsidRPr="00837A86">
        <w:rPr>
          <w:rFonts w:ascii="Verdana" w:hAnsi="Verdana" w:cs="Arial"/>
          <w:color w:val="000000" w:themeColor="text1"/>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65C482C6" w14:textId="77777777" w:rsidR="00F449DB" w:rsidRPr="00837A86" w:rsidRDefault="00F449DB" w:rsidP="00F449DB">
      <w:pPr>
        <w:pStyle w:val="Textonotapie"/>
        <w:ind w:firstLine="708"/>
        <w:contextualSpacing/>
        <w:jc w:val="both"/>
        <w:rPr>
          <w:rFonts w:ascii="Verdana" w:hAnsi="Verdana" w:cs="Arial"/>
          <w:sz w:val="14"/>
          <w:szCs w:val="14"/>
        </w:rPr>
      </w:pPr>
      <w:r w:rsidRPr="00837A86">
        <w:rPr>
          <w:rFonts w:ascii="Verdana" w:hAnsi="Verdana" w:cs="Arial"/>
          <w:color w:val="000000" w:themeColor="text1"/>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3ED9CFE1" w14:textId="77777777" w:rsidR="00F449DB" w:rsidRPr="00837A86" w:rsidRDefault="00F449DB" w:rsidP="00F449DB">
      <w:pPr>
        <w:pStyle w:val="Textonotapie"/>
        <w:ind w:firstLine="708"/>
        <w:contextualSpacing/>
        <w:jc w:val="both"/>
        <w:rPr>
          <w:rFonts w:ascii="Verdana" w:hAnsi="Verdana" w:cs="Arial"/>
          <w:sz w:val="14"/>
          <w:szCs w:val="14"/>
        </w:rPr>
      </w:pPr>
      <w:r w:rsidRPr="00837A86">
        <w:rPr>
          <w:rFonts w:ascii="Verdana" w:hAnsi="Verdana" w:cs="Arial"/>
          <w:sz w:val="14"/>
          <w:szCs w:val="14"/>
        </w:rPr>
        <w:t xml:space="preserve"> </w:t>
      </w:r>
    </w:p>
  </w:footnote>
  <w:footnote w:id="3">
    <w:p w14:paraId="4508BE6F"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7B7E7E0A"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2. Quien presta el servicio se denomina trabajador, quien lo recibe y remunera, empleador, y la remuneración, cualquiera que sea su forma, salario”.</w:t>
      </w:r>
    </w:p>
    <w:p w14:paraId="3EB63E0B" w14:textId="77777777" w:rsidR="00F449DB" w:rsidRPr="006504B6" w:rsidRDefault="00F449DB" w:rsidP="00F449DB">
      <w:pPr>
        <w:pStyle w:val="Textonotapie"/>
        <w:ind w:firstLine="709"/>
        <w:contextualSpacing/>
        <w:jc w:val="both"/>
        <w:rPr>
          <w:rFonts w:ascii="Arial" w:hAnsi="Arial" w:cs="Arial"/>
          <w:color w:val="000000"/>
          <w:sz w:val="16"/>
          <w:szCs w:val="16"/>
          <w:lang w:val="es-ES"/>
        </w:rPr>
      </w:pPr>
    </w:p>
  </w:footnote>
  <w:footnote w:id="4">
    <w:p w14:paraId="707701F0" w14:textId="77777777" w:rsidR="00F449DB" w:rsidRPr="00DA2127" w:rsidRDefault="00F449DB" w:rsidP="00F449DB">
      <w:pPr>
        <w:pStyle w:val="Textonotapie"/>
        <w:ind w:firstLine="709"/>
        <w:contextualSpacing/>
        <w:jc w:val="both"/>
        <w:rPr>
          <w:rFonts w:ascii="Verdana" w:hAnsi="Verdana" w:cs="Arial"/>
          <w:color w:val="000000"/>
          <w:sz w:val="14"/>
          <w:szCs w:val="14"/>
          <w:lang w:val="es-ES"/>
        </w:rPr>
      </w:pPr>
      <w:r w:rsidRPr="00DA2127">
        <w:rPr>
          <w:rStyle w:val="Refdenotaalpie"/>
          <w:rFonts w:ascii="Verdana" w:hAnsi="Verdana" w:cs="Arial"/>
          <w:color w:val="000000"/>
          <w:sz w:val="14"/>
          <w:szCs w:val="14"/>
        </w:rPr>
        <w:footnoteRef/>
      </w:r>
      <w:r w:rsidRPr="00DA2127">
        <w:rPr>
          <w:rFonts w:ascii="Verdana" w:hAnsi="Verdana" w:cs="Arial"/>
          <w:color w:val="000000"/>
          <w:sz w:val="14"/>
          <w:szCs w:val="14"/>
        </w:rPr>
        <w:t xml:space="preserve"> </w:t>
      </w:r>
      <w:r>
        <w:rPr>
          <w:rFonts w:ascii="Verdana" w:hAnsi="Verdana" w:cs="Arial"/>
          <w:color w:val="000000"/>
          <w:sz w:val="14"/>
          <w:szCs w:val="14"/>
          <w:lang w:val="es-ES"/>
        </w:rPr>
        <w:t>Corte Constitucional</w:t>
      </w:r>
      <w:r w:rsidRPr="00DA2127">
        <w:rPr>
          <w:rFonts w:ascii="Verdana" w:hAnsi="Verdana" w:cs="Arial"/>
          <w:color w:val="000000"/>
          <w:sz w:val="14"/>
          <w:szCs w:val="14"/>
          <w:lang w:val="es-ES"/>
        </w:rPr>
        <w:t xml:space="preserve">. Sentencia C-154 de 1997. </w:t>
      </w:r>
      <w:r>
        <w:rPr>
          <w:rFonts w:ascii="Verdana" w:hAnsi="Verdana" w:cs="Arial"/>
          <w:color w:val="000000"/>
          <w:sz w:val="14"/>
          <w:szCs w:val="14"/>
          <w:lang w:val="es-ES"/>
        </w:rPr>
        <w:t>M.P:</w:t>
      </w:r>
      <w:r w:rsidRPr="00DA2127">
        <w:rPr>
          <w:rFonts w:ascii="Verdana" w:hAnsi="Verdana" w:cs="Arial"/>
          <w:color w:val="000000"/>
          <w:sz w:val="14"/>
          <w:szCs w:val="14"/>
          <w:lang w:val="es-ES"/>
        </w:rPr>
        <w:t xml:space="preserve"> Hernando Herrera Vergara.</w:t>
      </w:r>
    </w:p>
    <w:p w14:paraId="20923B24" w14:textId="77777777" w:rsidR="00F449DB" w:rsidRPr="00DA2127" w:rsidRDefault="00F449DB" w:rsidP="00F449DB">
      <w:pPr>
        <w:pStyle w:val="Textonotapie"/>
        <w:ind w:firstLine="709"/>
        <w:contextualSpacing/>
        <w:jc w:val="both"/>
        <w:rPr>
          <w:rFonts w:ascii="Verdana" w:hAnsi="Verdana" w:cs="Arial"/>
          <w:color w:val="000000"/>
          <w:sz w:val="14"/>
          <w:szCs w:val="14"/>
          <w:lang w:val="es-ES"/>
        </w:rPr>
      </w:pPr>
    </w:p>
  </w:footnote>
  <w:footnote w:id="5">
    <w:p w14:paraId="24F39DBC" w14:textId="77777777" w:rsidR="00F449DB" w:rsidRPr="00DA2127" w:rsidRDefault="00F449DB" w:rsidP="00F449DB">
      <w:pPr>
        <w:pStyle w:val="Textonotapie"/>
        <w:ind w:firstLine="709"/>
        <w:jc w:val="both"/>
        <w:rPr>
          <w:rFonts w:ascii="Verdana" w:hAnsi="Verdana"/>
          <w:sz w:val="14"/>
          <w:szCs w:val="14"/>
          <w:lang w:val="es-ES"/>
        </w:rPr>
      </w:pPr>
      <w:r w:rsidRPr="00DA2127">
        <w:rPr>
          <w:rStyle w:val="Refdenotaalpie"/>
          <w:rFonts w:ascii="Verdana" w:hAnsi="Verdana"/>
          <w:sz w:val="14"/>
          <w:szCs w:val="14"/>
        </w:rPr>
        <w:footnoteRef/>
      </w:r>
      <w:r w:rsidRPr="00DA2127">
        <w:rPr>
          <w:rFonts w:ascii="Verdana" w:hAnsi="Verdana"/>
          <w:sz w:val="14"/>
          <w:szCs w:val="14"/>
        </w:rPr>
        <w:t xml:space="preserve"> Consejo de Estado. Sala de lo Contencioso Administrativo. Sección Segunda. Sentencia del 9 de septiembre de 2021. Expediente No. 05001-23-33-000-2013-01143-01(1317-16). M.P: Dra. Sandra Lisset Ibarra Vélez.</w:t>
      </w:r>
    </w:p>
    <w:p w14:paraId="30F6FDFB" w14:textId="77777777" w:rsidR="00F449DB" w:rsidRPr="00DA2127" w:rsidRDefault="00F449DB" w:rsidP="00F449DB">
      <w:pPr>
        <w:pStyle w:val="Textonotapie"/>
        <w:ind w:firstLine="709"/>
        <w:jc w:val="both"/>
        <w:rPr>
          <w:rFonts w:ascii="Verdana" w:hAnsi="Verdana"/>
          <w:sz w:val="14"/>
          <w:szCs w:val="14"/>
          <w:lang w:val="es-ES"/>
        </w:rPr>
      </w:pPr>
    </w:p>
  </w:footnote>
  <w:footnote w:id="6">
    <w:p w14:paraId="0E7A4101" w14:textId="77777777" w:rsidR="00F449DB" w:rsidRPr="00DA2127" w:rsidRDefault="00F449DB" w:rsidP="00F449DB">
      <w:pPr>
        <w:pStyle w:val="Textonotapie"/>
        <w:ind w:firstLine="709"/>
        <w:contextualSpacing/>
        <w:jc w:val="both"/>
        <w:rPr>
          <w:rFonts w:ascii="Verdana" w:hAnsi="Verdana" w:cs="Arial"/>
          <w:color w:val="000000"/>
          <w:sz w:val="14"/>
          <w:szCs w:val="14"/>
          <w:lang w:val="es-ES"/>
        </w:rPr>
      </w:pPr>
      <w:r w:rsidRPr="00DA2127">
        <w:rPr>
          <w:rStyle w:val="Refdenotaalpie"/>
          <w:rFonts w:ascii="Verdana" w:hAnsi="Verdana" w:cs="Arial"/>
          <w:color w:val="000000"/>
          <w:sz w:val="14"/>
          <w:szCs w:val="14"/>
        </w:rPr>
        <w:footnoteRef/>
      </w:r>
      <w:r w:rsidRPr="00DA2127">
        <w:rPr>
          <w:rFonts w:ascii="Verdana" w:hAnsi="Verdana" w:cs="Arial"/>
          <w:color w:val="000000"/>
          <w:sz w:val="14"/>
          <w:szCs w:val="14"/>
        </w:rPr>
        <w:t xml:space="preserve"> </w:t>
      </w:r>
      <w:r w:rsidRPr="00DA2127">
        <w:rPr>
          <w:rFonts w:ascii="Verdana" w:hAnsi="Verdana"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31C8D65" w14:textId="77777777" w:rsidR="00F449DB" w:rsidRPr="00DA2127" w:rsidRDefault="00F449DB" w:rsidP="00F449DB">
      <w:pPr>
        <w:pStyle w:val="Textonotapie"/>
        <w:ind w:firstLine="709"/>
        <w:contextualSpacing/>
        <w:jc w:val="both"/>
        <w:rPr>
          <w:rFonts w:ascii="Verdana" w:hAnsi="Verdana" w:cs="Arial"/>
          <w:color w:val="000000"/>
          <w:sz w:val="14"/>
          <w:szCs w:val="14"/>
          <w:lang w:val="es-ES"/>
        </w:rPr>
      </w:pPr>
      <w:r w:rsidRPr="00DA2127">
        <w:rPr>
          <w:rFonts w:ascii="Verdana" w:hAnsi="Verdana"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96920D9" w14:textId="77777777" w:rsidR="00F449DB" w:rsidRPr="00DA2127" w:rsidRDefault="00F449DB" w:rsidP="00F449DB">
      <w:pPr>
        <w:pStyle w:val="Textonotapie"/>
        <w:ind w:firstLine="709"/>
        <w:contextualSpacing/>
        <w:jc w:val="both"/>
        <w:rPr>
          <w:rFonts w:ascii="Verdana" w:hAnsi="Verdana" w:cs="Arial"/>
          <w:color w:val="000000"/>
          <w:sz w:val="14"/>
          <w:szCs w:val="14"/>
          <w:lang w:val="es-ES"/>
        </w:rPr>
      </w:pPr>
      <w:r w:rsidRPr="00DA2127">
        <w:rPr>
          <w:rFonts w:ascii="Verdana" w:hAnsi="Verdana"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p w14:paraId="511E17C6" w14:textId="77777777" w:rsidR="00F449DB" w:rsidRPr="006504B6" w:rsidRDefault="00F449DB" w:rsidP="00F449DB">
      <w:pPr>
        <w:pStyle w:val="Textonotapie"/>
        <w:ind w:firstLine="709"/>
        <w:contextualSpacing/>
        <w:jc w:val="both"/>
        <w:rPr>
          <w:rFonts w:ascii="Arial" w:hAnsi="Arial" w:cs="Arial"/>
          <w:color w:val="000000"/>
          <w:sz w:val="16"/>
          <w:szCs w:val="16"/>
          <w:lang w:val="es-ES"/>
        </w:rPr>
      </w:pPr>
    </w:p>
  </w:footnote>
  <w:footnote w:id="7">
    <w:p w14:paraId="0A82E9EA"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C</w:t>
      </w:r>
      <w:r>
        <w:rPr>
          <w:rFonts w:ascii="Verdana" w:hAnsi="Verdana" w:cs="Arial"/>
          <w:color w:val="000000"/>
          <w:sz w:val="14"/>
          <w:szCs w:val="14"/>
          <w:lang w:val="es-ES"/>
        </w:rPr>
        <w:t>onsejo de Estado</w:t>
      </w:r>
      <w:r w:rsidRPr="00837A86">
        <w:rPr>
          <w:rFonts w:ascii="Verdana" w:hAnsi="Verdana" w:cs="Arial"/>
          <w:color w:val="000000"/>
          <w:sz w:val="14"/>
          <w:szCs w:val="14"/>
          <w:lang w:val="es-ES"/>
        </w:rPr>
        <w:t>.</w:t>
      </w:r>
      <w:r>
        <w:rPr>
          <w:rFonts w:ascii="Verdana" w:hAnsi="Verdana" w:cs="Arial"/>
          <w:color w:val="000000"/>
          <w:sz w:val="14"/>
          <w:szCs w:val="14"/>
          <w:lang w:val="es-ES"/>
        </w:rPr>
        <w:t xml:space="preserve"> Sala de lo Contencioso Administrativo.</w:t>
      </w:r>
      <w:r w:rsidRPr="00837A86">
        <w:rPr>
          <w:rFonts w:ascii="Verdana" w:hAnsi="Verdana" w:cs="Arial"/>
          <w:color w:val="000000"/>
          <w:sz w:val="14"/>
          <w:szCs w:val="14"/>
          <w:lang w:val="es-ES"/>
        </w:rPr>
        <w:t xml:space="preserve"> Sección Tercera. Subsección C. Sentencia del 2 de diciembre de 2013. Exp. 41719. C</w:t>
      </w:r>
      <w:r>
        <w:rPr>
          <w:rFonts w:ascii="Verdana" w:hAnsi="Verdana" w:cs="Arial"/>
          <w:color w:val="000000"/>
          <w:sz w:val="14"/>
          <w:szCs w:val="14"/>
          <w:lang w:val="es-ES"/>
        </w:rPr>
        <w:t>.P:</w:t>
      </w:r>
      <w:r w:rsidRPr="00837A86">
        <w:rPr>
          <w:rFonts w:ascii="Verdana" w:hAnsi="Verdana" w:cs="Arial"/>
          <w:color w:val="000000"/>
          <w:sz w:val="14"/>
          <w:szCs w:val="14"/>
          <w:lang w:val="es-ES"/>
        </w:rPr>
        <w:t xml:space="preserve"> Jaime Orlando Santofimio Gamboa.</w:t>
      </w:r>
    </w:p>
    <w:p w14:paraId="5B546776"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8">
    <w:p w14:paraId="5011EF36"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Ibíd.</w:t>
      </w:r>
    </w:p>
    <w:p w14:paraId="5B12C02F"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9">
    <w:p w14:paraId="7963B58B"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Ibíd.</w:t>
      </w:r>
    </w:p>
    <w:p w14:paraId="013899F9" w14:textId="77777777" w:rsidR="00F449DB" w:rsidRPr="006504B6" w:rsidRDefault="00F449DB" w:rsidP="00F449DB">
      <w:pPr>
        <w:pStyle w:val="Textonotapie"/>
        <w:ind w:firstLine="709"/>
        <w:contextualSpacing/>
        <w:jc w:val="both"/>
        <w:rPr>
          <w:rFonts w:ascii="Arial" w:hAnsi="Arial" w:cs="Arial"/>
          <w:color w:val="000000"/>
          <w:sz w:val="16"/>
          <w:szCs w:val="16"/>
          <w:lang w:val="es-ES"/>
        </w:rPr>
      </w:pPr>
    </w:p>
  </w:footnote>
  <w:footnote w:id="10">
    <w:p w14:paraId="73779E53"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F01D12F"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Son también contratos de consultoría los que tienen por objeto la interventoría, asesoría, gerencia de obra o de proyectos, dirección, programación y la ejecución de diseños, planos, anteproyectos y proyectos.</w:t>
      </w:r>
    </w:p>
    <w:p w14:paraId="13C2E732"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372C2AF4"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11">
    <w:p w14:paraId="3478988D"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11811EC2"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1. La causal que invoca para contratar directamente.</w:t>
      </w:r>
    </w:p>
    <w:p w14:paraId="2185C189"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2. El objeto del contrato.</w:t>
      </w:r>
    </w:p>
    <w:p w14:paraId="235E5C12"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3. El presupuesto para la contratación y las condiciones que exigirá al contratista.</w:t>
      </w:r>
    </w:p>
    <w:p w14:paraId="75FED3F6"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4. El lugar en el cual los interesados pueden consultar los estudios y documentos previos.</w:t>
      </w:r>
    </w:p>
    <w:p w14:paraId="4C1671C3"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1417272D"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12">
    <w:p w14:paraId="57469AF3"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Esta norma expresa: “</w:t>
      </w:r>
      <w:r w:rsidRPr="00837A86">
        <w:rPr>
          <w:rFonts w:ascii="Verdana" w:hAnsi="Verdana" w:cs="Arial"/>
          <w:color w:val="000000"/>
          <w:sz w:val="14"/>
          <w:szCs w:val="14"/>
        </w:rPr>
        <w:t>P</w:t>
      </w:r>
      <w:r w:rsidRPr="00837A86">
        <w:rPr>
          <w:rFonts w:ascii="Verdana" w:hAnsi="Verdana" w:cs="Arial"/>
          <w:color w:val="000000"/>
          <w:sz w:val="14"/>
          <w:szCs w:val="14"/>
          <w:lang w:val="es-ES"/>
        </w:rPr>
        <w:t>ara el cumplimiento de los fines de la contratación, las entidades estatales al celebrar un contrato:</w:t>
      </w:r>
    </w:p>
    <w:p w14:paraId="4AB33F8F"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w:t>
      </w:r>
    </w:p>
    <w:p w14:paraId="599A1E46"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8884EA8"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Las entidades estatales podrán pactar estas cláusulas en los contratos de suministro y de prestación de servicios.</w:t>
      </w:r>
    </w:p>
    <w:p w14:paraId="703E33BB"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Fonts w:ascii="Verdana" w:hAnsi="Verdana" w:cs="Arial"/>
          <w:color w:val="000000"/>
          <w:sz w:val="14"/>
          <w:szCs w:val="14"/>
          <w:lang w:val="es-ES"/>
        </w:rPr>
        <w:t>[…]”.</w:t>
      </w:r>
    </w:p>
    <w:p w14:paraId="1D538FB0"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13">
    <w:p w14:paraId="29BC0511"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p w14:paraId="2D1B2482"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14">
    <w:p w14:paraId="05546613" w14:textId="77777777" w:rsidR="00F449DB" w:rsidRPr="00837A86" w:rsidRDefault="00F449DB" w:rsidP="00F449DB">
      <w:pPr>
        <w:pStyle w:val="Textonotapie"/>
        <w:ind w:firstLine="709"/>
        <w:contextualSpacing/>
        <w:jc w:val="both"/>
        <w:rPr>
          <w:rFonts w:ascii="Verdana" w:hAnsi="Verdana" w:cs="Arial"/>
          <w:color w:val="000000"/>
          <w:sz w:val="14"/>
          <w:szCs w:val="14"/>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1DC8806" w14:textId="77777777" w:rsidR="00F449DB" w:rsidRPr="00837A86" w:rsidRDefault="00F449DB" w:rsidP="00F449DB">
      <w:pPr>
        <w:pStyle w:val="Textonotapie"/>
        <w:ind w:firstLine="709"/>
        <w:contextualSpacing/>
        <w:jc w:val="both"/>
        <w:rPr>
          <w:rFonts w:ascii="Verdana" w:hAnsi="Verdana" w:cs="Arial"/>
          <w:color w:val="000000"/>
          <w:sz w:val="14"/>
          <w:szCs w:val="14"/>
        </w:rPr>
      </w:pPr>
      <w:r w:rsidRPr="00837A86">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45B0C98" w14:textId="77777777" w:rsidR="00F449DB" w:rsidRPr="00837A86" w:rsidRDefault="00F449DB" w:rsidP="00F449DB">
      <w:pPr>
        <w:pStyle w:val="Textonotapie"/>
        <w:ind w:firstLine="709"/>
        <w:contextualSpacing/>
        <w:jc w:val="both"/>
        <w:rPr>
          <w:rFonts w:ascii="Verdana" w:hAnsi="Verdana" w:cs="Arial"/>
          <w:color w:val="000000"/>
          <w:sz w:val="14"/>
          <w:szCs w:val="14"/>
        </w:rPr>
      </w:pPr>
      <w:r w:rsidRPr="00837A86">
        <w:rPr>
          <w:rFonts w:ascii="Verdana" w:hAnsi="Verdana" w:cs="Arial"/>
          <w:color w:val="000000"/>
          <w:sz w:val="14"/>
          <w:szCs w:val="14"/>
        </w:rPr>
        <w:t>[…]”.</w:t>
      </w:r>
    </w:p>
    <w:p w14:paraId="43FF08D2"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15">
    <w:p w14:paraId="2A0245D2"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r w:rsidRPr="00837A86">
        <w:rPr>
          <w:rStyle w:val="Refdenotaalpie"/>
          <w:rFonts w:ascii="Verdana" w:hAnsi="Verdana" w:cs="Arial"/>
          <w:color w:val="000000"/>
          <w:sz w:val="14"/>
          <w:szCs w:val="14"/>
        </w:rPr>
        <w:footnoteRef/>
      </w:r>
      <w:r w:rsidRPr="00837A86">
        <w:rPr>
          <w:rFonts w:ascii="Verdana" w:hAnsi="Verdana" w:cs="Arial"/>
          <w:color w:val="000000"/>
          <w:sz w:val="14"/>
          <w:szCs w:val="14"/>
        </w:rPr>
        <w:t xml:space="preserve"> </w:t>
      </w:r>
      <w:r w:rsidRPr="00837A86">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43D417D" w14:textId="77777777" w:rsidR="00F449DB" w:rsidRPr="00837A86" w:rsidRDefault="00F449DB" w:rsidP="00F449DB">
      <w:pPr>
        <w:pStyle w:val="Textonotapie"/>
        <w:ind w:firstLine="709"/>
        <w:contextualSpacing/>
        <w:jc w:val="both"/>
        <w:rPr>
          <w:rFonts w:ascii="Verdana" w:hAnsi="Verdana" w:cs="Arial"/>
          <w:color w:val="000000"/>
          <w:sz w:val="14"/>
          <w:szCs w:val="14"/>
          <w:lang w:val="es-ES"/>
        </w:rPr>
      </w:pPr>
    </w:p>
  </w:footnote>
  <w:footnote w:id="16">
    <w:p w14:paraId="2D0614BB" w14:textId="77777777" w:rsidR="00F449DB" w:rsidRPr="00837A86" w:rsidRDefault="00F449DB" w:rsidP="00F449DB">
      <w:pPr>
        <w:spacing w:after="0" w:line="240" w:lineRule="auto"/>
        <w:ind w:firstLine="707"/>
        <w:contextualSpacing/>
        <w:jc w:val="both"/>
        <w:rPr>
          <w:rFonts w:ascii="Verdana" w:hAnsi="Verdana" w:cs="Arial"/>
          <w:sz w:val="14"/>
          <w:szCs w:val="14"/>
        </w:rPr>
      </w:pPr>
      <w:r w:rsidRPr="00837A86">
        <w:rPr>
          <w:rStyle w:val="Refdenotaalpie"/>
          <w:rFonts w:ascii="Verdana" w:hAnsi="Verdana" w:cs="Arial"/>
          <w:sz w:val="14"/>
          <w:szCs w:val="14"/>
        </w:rPr>
        <w:footnoteRef/>
      </w:r>
      <w:r w:rsidRPr="00837A86">
        <w:rPr>
          <w:rFonts w:ascii="Verdana" w:hAnsi="Verdana" w:cs="Arial"/>
          <w:sz w:val="14"/>
          <w:szCs w:val="14"/>
        </w:rPr>
        <w:t xml:space="preserve"> Constitución Política de 1886: “Artículo 64.- Nadie podrá recibir dos sueldos del Tesoro público, salvo lo que para casos especiales determinen las leyes”.</w:t>
      </w:r>
    </w:p>
    <w:p w14:paraId="5D5605E0" w14:textId="77777777" w:rsidR="00F449DB" w:rsidRPr="00837A86" w:rsidRDefault="00F449DB" w:rsidP="00F449DB">
      <w:pPr>
        <w:pStyle w:val="Textonotapie"/>
        <w:contextualSpacing/>
        <w:jc w:val="both"/>
        <w:rPr>
          <w:rFonts w:ascii="Verdana" w:hAnsi="Verdana" w:cs="Arial"/>
          <w:sz w:val="14"/>
          <w:szCs w:val="14"/>
          <w:lang w:val="es-CO"/>
        </w:rPr>
      </w:pPr>
    </w:p>
  </w:footnote>
  <w:footnote w:id="17">
    <w:p w14:paraId="482C4834" w14:textId="77777777" w:rsidR="00F449DB" w:rsidRPr="00837A86" w:rsidRDefault="00F449DB" w:rsidP="00F449DB">
      <w:pPr>
        <w:spacing w:after="0" w:line="240" w:lineRule="auto"/>
        <w:ind w:firstLine="707"/>
        <w:contextualSpacing/>
        <w:jc w:val="both"/>
        <w:rPr>
          <w:rFonts w:ascii="Verdana" w:hAnsi="Verdana" w:cs="Arial"/>
          <w:sz w:val="14"/>
          <w:szCs w:val="14"/>
        </w:rPr>
      </w:pPr>
      <w:r w:rsidRPr="00837A86">
        <w:rPr>
          <w:rStyle w:val="Refdenotaalpie"/>
          <w:rFonts w:ascii="Verdana" w:hAnsi="Verdana" w:cs="Arial"/>
          <w:sz w:val="14"/>
          <w:szCs w:val="14"/>
        </w:rPr>
        <w:footnoteRef/>
      </w:r>
      <w:r w:rsidRPr="00837A86">
        <w:rPr>
          <w:rFonts w:ascii="Verdana" w:hAnsi="Verdana" w:cs="Arial"/>
          <w:sz w:val="14"/>
          <w:szCs w:val="14"/>
        </w:rPr>
        <w:t xml:space="preserve"> Ley 78 de 1931: “Artículo 1°: Entiéndese por tesoro público el dinero que, a cualquier título, ingrese a las oficinas públicas, sean nacionales, departamentales o municipales.</w:t>
      </w:r>
    </w:p>
    <w:p w14:paraId="65DAC6F5" w14:textId="77777777" w:rsidR="00F449DB" w:rsidRPr="00837A86" w:rsidRDefault="00F449DB" w:rsidP="00F449DB">
      <w:pPr>
        <w:pStyle w:val="Textoindependiente"/>
        <w:contextualSpacing/>
        <w:jc w:val="both"/>
        <w:rPr>
          <w:rFonts w:ascii="Verdana" w:hAnsi="Verdana"/>
          <w:sz w:val="14"/>
          <w:szCs w:val="14"/>
        </w:rPr>
      </w:pPr>
    </w:p>
    <w:p w14:paraId="150F9D91" w14:textId="77777777" w:rsidR="00F449DB" w:rsidRPr="00837A86" w:rsidRDefault="00F449DB" w:rsidP="00F449DB">
      <w:pPr>
        <w:spacing w:after="0" w:line="240" w:lineRule="auto"/>
        <w:contextualSpacing/>
        <w:jc w:val="both"/>
        <w:rPr>
          <w:rFonts w:ascii="Verdana" w:hAnsi="Verdana" w:cs="Arial"/>
          <w:sz w:val="14"/>
          <w:szCs w:val="14"/>
        </w:rPr>
      </w:pPr>
      <w:r w:rsidRPr="00837A86">
        <w:rPr>
          <w:rFonts w:ascii="Verdana" w:hAnsi="Verdana" w:cs="Arial"/>
          <w:sz w:val="14"/>
          <w:szCs w:val="14"/>
        </w:rPr>
        <w:t>“En consecuencia, la prohibición de que trata el artículo 64 de la Constitución comprende a los individuos que devengan simultáneamente sueldos de la nación, del departamento o del municipio”.</w:t>
      </w:r>
    </w:p>
    <w:p w14:paraId="131C811F" w14:textId="77777777" w:rsidR="00F449DB" w:rsidRPr="00837A86" w:rsidRDefault="00F449DB" w:rsidP="00F449DB">
      <w:pPr>
        <w:pStyle w:val="Textonotapie"/>
        <w:contextualSpacing/>
        <w:jc w:val="both"/>
        <w:rPr>
          <w:rFonts w:ascii="Verdana" w:hAnsi="Verdana" w:cs="Arial"/>
          <w:sz w:val="14"/>
          <w:szCs w:val="14"/>
          <w:lang w:val="es-CO"/>
        </w:rPr>
      </w:pPr>
    </w:p>
  </w:footnote>
  <w:footnote w:id="18">
    <w:p w14:paraId="479233A4" w14:textId="77777777" w:rsidR="00F449DB" w:rsidRPr="00837A86" w:rsidRDefault="00F449DB" w:rsidP="00F449DB">
      <w:pPr>
        <w:spacing w:after="0" w:line="240" w:lineRule="auto"/>
        <w:ind w:firstLine="707"/>
        <w:contextualSpacing/>
        <w:jc w:val="both"/>
        <w:rPr>
          <w:rFonts w:ascii="Verdana" w:hAnsi="Verdana" w:cs="Arial"/>
          <w:sz w:val="14"/>
          <w:szCs w:val="14"/>
        </w:rPr>
      </w:pPr>
      <w:r w:rsidRPr="00837A86">
        <w:rPr>
          <w:rStyle w:val="Refdenotaalpie"/>
          <w:rFonts w:ascii="Verdana" w:hAnsi="Verdana" w:cs="Arial"/>
          <w:sz w:val="14"/>
          <w:szCs w:val="14"/>
        </w:rPr>
        <w:footnoteRef/>
      </w:r>
      <w:r w:rsidRPr="00837A86">
        <w:rPr>
          <w:rFonts w:ascii="Verdana" w:hAnsi="Verdana" w:cs="Arial"/>
          <w:sz w:val="14"/>
          <w:szCs w:val="14"/>
        </w:rPr>
        <w:t xml:space="preserve"> Acto legislativo No. 1 de 1936: “Artículo 23: Nadie podrá recibir más de una asignación que provenga del Tesoro Público o de empresas o instituciones en que tenga parte principal el Estado, salvo lo que para casos especiales determinen las leyes. Entiéndese por Tesoro Público el de la Nación, los Departamentos y los</w:t>
      </w:r>
      <w:r w:rsidRPr="00837A86">
        <w:rPr>
          <w:rFonts w:ascii="Verdana" w:hAnsi="Verdana" w:cs="Arial"/>
          <w:spacing w:val="-2"/>
          <w:sz w:val="14"/>
          <w:szCs w:val="14"/>
        </w:rPr>
        <w:t xml:space="preserve"> </w:t>
      </w:r>
      <w:r w:rsidRPr="00837A86">
        <w:rPr>
          <w:rFonts w:ascii="Verdana" w:hAnsi="Verdana" w:cs="Arial"/>
          <w:sz w:val="14"/>
          <w:szCs w:val="14"/>
        </w:rPr>
        <w:t>Municipios”.</w:t>
      </w:r>
    </w:p>
    <w:p w14:paraId="4ED3E8F4" w14:textId="77777777" w:rsidR="00F449DB" w:rsidRPr="00837A86" w:rsidRDefault="00F449DB" w:rsidP="00F449DB">
      <w:pPr>
        <w:pStyle w:val="Textonotapie"/>
        <w:contextualSpacing/>
        <w:jc w:val="both"/>
        <w:rPr>
          <w:rFonts w:ascii="Verdana" w:hAnsi="Verdana" w:cs="Arial"/>
          <w:sz w:val="14"/>
          <w:szCs w:val="14"/>
          <w:lang w:val="es-CO"/>
        </w:rPr>
      </w:pPr>
    </w:p>
  </w:footnote>
  <w:footnote w:id="19">
    <w:p w14:paraId="329CB255" w14:textId="77777777" w:rsidR="00F449DB" w:rsidRPr="006365F1" w:rsidRDefault="00F449DB" w:rsidP="00F449DB">
      <w:pPr>
        <w:spacing w:after="0" w:line="240" w:lineRule="auto"/>
        <w:ind w:firstLine="707"/>
        <w:contextualSpacing/>
        <w:jc w:val="both"/>
        <w:rPr>
          <w:rFonts w:ascii="Verdana" w:hAnsi="Verdana" w:cs="Arial"/>
          <w:sz w:val="14"/>
          <w:szCs w:val="14"/>
        </w:rPr>
      </w:pPr>
      <w:r w:rsidRPr="006365F1">
        <w:rPr>
          <w:rStyle w:val="Refdenotaalpie"/>
          <w:rFonts w:ascii="Verdana" w:hAnsi="Verdana" w:cs="Arial"/>
          <w:sz w:val="14"/>
          <w:szCs w:val="14"/>
        </w:rPr>
        <w:footnoteRef/>
      </w:r>
      <w:r w:rsidRPr="006365F1">
        <w:rPr>
          <w:rFonts w:ascii="Verdana" w:hAnsi="Verdana" w:cs="Arial"/>
          <w:sz w:val="14"/>
          <w:szCs w:val="14"/>
        </w:rPr>
        <w:t xml:space="preserve"> Mediante la cual se señalan las normas, objetivos y criterios que debe observar el Gobierno Nacional para la fijación del régimen salarial y prestacional de los empleados públicos, de los miembros del Congreso Nacional y de la Fuerza Pública y para la fijación de las prestaciones sociales de los Trabajadores Oficiales y se dictan otras disposiciones, de conformidad con lo establecido en el artículo </w:t>
      </w:r>
      <w:hyperlink r:id="rId1" w:anchor="150">
        <w:r w:rsidRPr="006365F1">
          <w:rPr>
            <w:rFonts w:ascii="Verdana" w:hAnsi="Verdana" w:cs="Arial"/>
            <w:sz w:val="14"/>
            <w:szCs w:val="14"/>
          </w:rPr>
          <w:t>150,</w:t>
        </w:r>
      </w:hyperlink>
      <w:r w:rsidRPr="006365F1">
        <w:rPr>
          <w:rFonts w:ascii="Verdana" w:hAnsi="Verdana" w:cs="Arial"/>
          <w:sz w:val="14"/>
          <w:szCs w:val="14"/>
        </w:rPr>
        <w:t xml:space="preserve"> numeral 19, literales e) y f) de la Constitución</w:t>
      </w:r>
      <w:r w:rsidRPr="006365F1">
        <w:rPr>
          <w:rFonts w:ascii="Verdana" w:hAnsi="Verdana" w:cs="Arial"/>
          <w:spacing w:val="-5"/>
          <w:sz w:val="14"/>
          <w:szCs w:val="14"/>
        </w:rPr>
        <w:t xml:space="preserve"> </w:t>
      </w:r>
      <w:r w:rsidRPr="006365F1">
        <w:rPr>
          <w:rFonts w:ascii="Verdana" w:hAnsi="Verdana" w:cs="Arial"/>
          <w:sz w:val="14"/>
          <w:szCs w:val="14"/>
        </w:rPr>
        <w:t>Política.</w:t>
      </w:r>
    </w:p>
    <w:p w14:paraId="40722A9D" w14:textId="77777777" w:rsidR="00F449DB" w:rsidRPr="00C75E9B" w:rsidRDefault="00F449DB" w:rsidP="00F449DB">
      <w:pPr>
        <w:pStyle w:val="Textonotapie"/>
        <w:contextualSpacing/>
        <w:jc w:val="both"/>
        <w:rPr>
          <w:rFonts w:ascii="Verdana" w:hAnsi="Verdana" w:cs="Arial"/>
          <w:sz w:val="14"/>
          <w:szCs w:val="14"/>
          <w:lang w:val="es-CO"/>
        </w:rPr>
      </w:pPr>
    </w:p>
  </w:footnote>
  <w:footnote w:id="20">
    <w:p w14:paraId="76D9AAAA" w14:textId="77777777" w:rsidR="00F449DB" w:rsidRPr="00C75E9B" w:rsidRDefault="00F449DB" w:rsidP="00F449DB">
      <w:pPr>
        <w:spacing w:after="0" w:line="240" w:lineRule="auto"/>
        <w:ind w:firstLine="707"/>
        <w:contextualSpacing/>
        <w:jc w:val="both"/>
        <w:rPr>
          <w:rFonts w:ascii="Verdana" w:hAnsi="Verdana" w:cs="Arial"/>
          <w:sz w:val="14"/>
          <w:szCs w:val="14"/>
        </w:rPr>
      </w:pPr>
      <w:r w:rsidRPr="00C75E9B">
        <w:rPr>
          <w:rStyle w:val="Refdenotaalpie"/>
          <w:rFonts w:ascii="Verdana" w:hAnsi="Verdana" w:cs="Arial"/>
          <w:sz w:val="14"/>
          <w:szCs w:val="14"/>
        </w:rPr>
        <w:footnoteRef/>
      </w:r>
      <w:r w:rsidRPr="00C75E9B">
        <w:rPr>
          <w:rFonts w:ascii="Verdana" w:hAnsi="Verdana" w:cs="Arial"/>
          <w:sz w:val="14"/>
          <w:szCs w:val="14"/>
        </w:rPr>
        <w:t xml:space="preserve"> Consejo de Estado, Sala de Consulta y servicio Civil, concepto No 1.344, del 10 de mayo de 2001. C</w:t>
      </w:r>
      <w:r>
        <w:rPr>
          <w:rFonts w:ascii="Verdana" w:hAnsi="Verdana" w:cs="Arial"/>
          <w:sz w:val="14"/>
          <w:szCs w:val="14"/>
        </w:rPr>
        <w:t xml:space="preserve">.P: </w:t>
      </w:r>
      <w:r w:rsidRPr="00C75E9B">
        <w:rPr>
          <w:rFonts w:ascii="Verdana" w:hAnsi="Verdana" w:cs="Arial"/>
          <w:sz w:val="14"/>
          <w:szCs w:val="14"/>
        </w:rPr>
        <w:t>Flavio Augusto Rodríguez Arce: “El artículo 123, a su vez, dentro de la clasificación de los servidores públicos, incluye a los miembros de las corporaciones públicas quienes, aunque ejercen funciones públicas, no tienen la calidad de empleados públicos ni poseen nexo laboral con el Estado, por lo que la prohibición se les aplica a estos, no con fundamento en el artículo 128, sino en las normas especiales de los respectivos regímenes de incompatibilidades que prohíben, a los congresistas, desempeñar cargo o empleo público - arts. 180.1 de la C.P. y 282.1, ley 5ª/92-; a los diputados, aceptar o desempeñar cargo como empleado oficial - art. 34.1 ley 617/00, y a los concejales, aceptar o desempeñar cargo alguno en la administración pública o vincularse como trabajador oficial - art. 45.1 ley 136/94, sustituido por el art. 3° de la ley</w:t>
      </w:r>
      <w:r w:rsidRPr="00C75E9B">
        <w:rPr>
          <w:rFonts w:ascii="Verdana" w:hAnsi="Verdana" w:cs="Arial"/>
          <w:spacing w:val="-4"/>
          <w:sz w:val="14"/>
          <w:szCs w:val="14"/>
        </w:rPr>
        <w:t xml:space="preserve"> </w:t>
      </w:r>
      <w:r w:rsidRPr="00C75E9B">
        <w:rPr>
          <w:rFonts w:ascii="Verdana" w:hAnsi="Verdana" w:cs="Arial"/>
          <w:sz w:val="14"/>
          <w:szCs w:val="14"/>
        </w:rPr>
        <w:t>177/94”.</w:t>
      </w:r>
    </w:p>
    <w:p w14:paraId="17752F9A" w14:textId="77777777" w:rsidR="00F449DB" w:rsidRPr="00C75E9B" w:rsidRDefault="00F449DB" w:rsidP="00F449DB">
      <w:pPr>
        <w:pStyle w:val="Textonotapie"/>
        <w:contextualSpacing/>
        <w:jc w:val="both"/>
        <w:rPr>
          <w:rFonts w:ascii="Verdana" w:hAnsi="Verdana" w:cs="Arial"/>
          <w:sz w:val="14"/>
          <w:szCs w:val="14"/>
          <w:lang w:val="es-CO"/>
        </w:rPr>
      </w:pPr>
    </w:p>
  </w:footnote>
  <w:footnote w:id="21">
    <w:p w14:paraId="05AFD388" w14:textId="77777777" w:rsidR="00F449DB" w:rsidRPr="006365F1" w:rsidRDefault="00F449DB" w:rsidP="00F449DB">
      <w:pPr>
        <w:pStyle w:val="Textonotapie"/>
        <w:ind w:firstLine="707"/>
        <w:contextualSpacing/>
        <w:jc w:val="both"/>
        <w:rPr>
          <w:rFonts w:ascii="Verdana" w:hAnsi="Verdana" w:cs="Arial"/>
          <w:sz w:val="14"/>
          <w:szCs w:val="14"/>
        </w:rPr>
      </w:pPr>
      <w:r w:rsidRPr="006365F1">
        <w:rPr>
          <w:rStyle w:val="Refdenotaalpie"/>
          <w:rFonts w:ascii="Verdana" w:hAnsi="Verdana" w:cs="Arial"/>
          <w:sz w:val="14"/>
          <w:szCs w:val="14"/>
        </w:rPr>
        <w:footnoteRef/>
      </w:r>
      <w:r w:rsidRPr="006365F1">
        <w:rPr>
          <w:rFonts w:ascii="Verdana" w:hAnsi="Verdana" w:cs="Arial"/>
          <w:sz w:val="14"/>
          <w:szCs w:val="14"/>
        </w:rPr>
        <w:t xml:space="preserve"> El artículo 6 de la Ley 80 de 1993 dispone “Pueden celebrar contratos con las entidades estatales las personas consideradas legalmente capaces en las disposiciones vigentes. También podrán celebrar contratos con las entidades estatales, los consorcios y uniones temporales. Las personas jurídicas nacionales y extranjeras deberán acreditar que su duración no será inferior a la del plazo del contrato y un año más”.</w:t>
      </w:r>
    </w:p>
  </w:footnote>
  <w:footnote w:id="22">
    <w:p w14:paraId="4552BECE" w14:textId="77777777" w:rsidR="00F449DB" w:rsidRPr="006365F1" w:rsidRDefault="00F449DB" w:rsidP="00F449DB">
      <w:pPr>
        <w:pStyle w:val="Textonotapie"/>
        <w:contextualSpacing/>
        <w:jc w:val="both"/>
        <w:rPr>
          <w:rFonts w:ascii="Verdana" w:hAnsi="Verdana" w:cs="Arial"/>
          <w:sz w:val="14"/>
          <w:szCs w:val="14"/>
        </w:rPr>
      </w:pPr>
    </w:p>
    <w:p w14:paraId="126EB9BC" w14:textId="77777777" w:rsidR="00F449DB" w:rsidRPr="006365F1" w:rsidRDefault="00F449DB" w:rsidP="00F449DB">
      <w:pPr>
        <w:pStyle w:val="Textonotapie"/>
        <w:ind w:firstLine="707"/>
        <w:contextualSpacing/>
        <w:jc w:val="both"/>
        <w:rPr>
          <w:rFonts w:ascii="Verdana" w:hAnsi="Verdana" w:cs="Arial"/>
          <w:sz w:val="14"/>
          <w:szCs w:val="14"/>
        </w:rPr>
      </w:pPr>
      <w:r w:rsidRPr="006365F1">
        <w:rPr>
          <w:rStyle w:val="Refdenotaalpie"/>
          <w:rFonts w:ascii="Verdana" w:hAnsi="Verdana" w:cs="Arial"/>
          <w:sz w:val="14"/>
          <w:szCs w:val="14"/>
        </w:rPr>
        <w:footnoteRef/>
      </w:r>
      <w:r w:rsidRPr="006365F1">
        <w:rPr>
          <w:rFonts w:ascii="Verdana" w:hAnsi="Verdana" w:cs="Arial"/>
          <w:sz w:val="14"/>
          <w:szCs w:val="14"/>
        </w:rPr>
        <w:t xml:space="preserve"> Artículo 1502 del Código Civil.</w:t>
      </w:r>
    </w:p>
  </w:footnote>
  <w:footnote w:id="23">
    <w:p w14:paraId="3CD80D0E" w14:textId="77777777" w:rsidR="00F449DB" w:rsidRPr="006365F1" w:rsidRDefault="00F449DB" w:rsidP="00F449DB">
      <w:pPr>
        <w:pStyle w:val="Textonotapie"/>
        <w:jc w:val="both"/>
        <w:rPr>
          <w:rFonts w:ascii="Verdana" w:hAnsi="Verdana" w:cs="Arial"/>
          <w:color w:val="000000" w:themeColor="text1"/>
          <w:sz w:val="14"/>
          <w:szCs w:val="14"/>
          <w:lang w:val="es-ES"/>
        </w:rPr>
      </w:pPr>
    </w:p>
  </w:footnote>
  <w:footnote w:id="24">
    <w:p w14:paraId="4779AEEC" w14:textId="77777777" w:rsidR="00F449DB" w:rsidRPr="006365F1" w:rsidRDefault="00F449DB" w:rsidP="00F449DB">
      <w:pPr>
        <w:spacing w:after="0" w:line="240" w:lineRule="auto"/>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22386F99" w14:textId="77777777" w:rsidR="00F449DB" w:rsidRPr="006365F1" w:rsidRDefault="00F449DB" w:rsidP="00F449DB">
      <w:pPr>
        <w:spacing w:after="0" w:line="240" w:lineRule="auto"/>
        <w:ind w:firstLine="709"/>
        <w:jc w:val="both"/>
        <w:rPr>
          <w:rFonts w:ascii="Verdana" w:hAnsi="Verdana" w:cs="Arial"/>
          <w:color w:val="000000" w:themeColor="text1"/>
          <w:sz w:val="14"/>
          <w:szCs w:val="14"/>
          <w:lang w:val="es-ES"/>
        </w:rPr>
      </w:pPr>
    </w:p>
  </w:footnote>
  <w:footnote w:id="25">
    <w:p w14:paraId="6A1E0E95"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1E224758" w14:textId="77777777" w:rsidR="00F449DB" w:rsidRPr="006365F1" w:rsidRDefault="00F449DB" w:rsidP="00F449DB">
      <w:pPr>
        <w:pStyle w:val="Textonotapie"/>
        <w:ind w:firstLine="709"/>
        <w:jc w:val="both"/>
        <w:rPr>
          <w:rFonts w:ascii="Verdana" w:hAnsi="Verdana" w:cs="Arial"/>
          <w:color w:val="000000" w:themeColor="text1"/>
          <w:sz w:val="14"/>
          <w:szCs w:val="14"/>
          <w:lang w:val="es-CO"/>
        </w:rPr>
      </w:pPr>
    </w:p>
  </w:footnote>
  <w:footnote w:id="26">
    <w:p w14:paraId="2417ACF3"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3B529FAC" w14:textId="77777777" w:rsidR="00F449DB" w:rsidRPr="006365F1" w:rsidRDefault="00F449DB" w:rsidP="00F449DB">
      <w:pPr>
        <w:pStyle w:val="Textonotapie"/>
        <w:ind w:firstLine="709"/>
        <w:jc w:val="both"/>
        <w:rPr>
          <w:rFonts w:ascii="Verdana" w:hAnsi="Verdana" w:cs="Arial"/>
          <w:color w:val="000000" w:themeColor="text1"/>
          <w:sz w:val="14"/>
          <w:szCs w:val="14"/>
          <w:lang w:val="es-CO"/>
        </w:rPr>
      </w:pPr>
      <w:r w:rsidRPr="006365F1">
        <w:rPr>
          <w:rFonts w:ascii="Verdana" w:hAnsi="Verdana" w:cs="Arial"/>
          <w:color w:val="000000" w:themeColor="text1"/>
          <w:sz w:val="14"/>
          <w:szCs w:val="14"/>
          <w:lang w:val="es-ES"/>
        </w:rPr>
        <w:t xml:space="preserve">  </w:t>
      </w:r>
    </w:p>
  </w:footnote>
  <w:footnote w:id="27">
    <w:p w14:paraId="6BC46891" w14:textId="77777777" w:rsidR="00F449DB" w:rsidRPr="006365F1" w:rsidRDefault="00F449DB" w:rsidP="00F449DB">
      <w:pPr>
        <w:spacing w:after="0" w:line="240" w:lineRule="auto"/>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68EC6FC5" w14:textId="77777777" w:rsidR="00F449DB" w:rsidRPr="006365F1" w:rsidRDefault="00F449DB" w:rsidP="00F449DB">
      <w:pPr>
        <w:spacing w:after="0" w:line="240" w:lineRule="auto"/>
        <w:ind w:firstLine="709"/>
        <w:jc w:val="both"/>
        <w:rPr>
          <w:rFonts w:ascii="Verdana" w:hAnsi="Verdana" w:cs="Arial"/>
          <w:color w:val="000000" w:themeColor="text1"/>
          <w:sz w:val="14"/>
          <w:szCs w:val="14"/>
          <w:lang w:val="es-ES"/>
        </w:rPr>
      </w:pPr>
    </w:p>
  </w:footnote>
  <w:footnote w:id="28">
    <w:p w14:paraId="5188C463"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06E2F26B"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29">
    <w:p w14:paraId="4B7AAE4A"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Ibíd., p. 69.</w:t>
      </w:r>
    </w:p>
    <w:p w14:paraId="3C7D284C"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30">
    <w:p w14:paraId="287FB62A"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467C38D5"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31">
    <w:p w14:paraId="269D1979"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Consejo de Estado. Sala de Consulta y Servicio Civil. Concepto del 30 de abril de 2015. Expediente: 2251. C</w:t>
      </w:r>
      <w:r>
        <w:rPr>
          <w:rFonts w:ascii="Verdana" w:hAnsi="Verdana" w:cs="Arial"/>
          <w:color w:val="000000" w:themeColor="text1"/>
          <w:sz w:val="14"/>
          <w:szCs w:val="14"/>
          <w:lang w:val="es-ES"/>
        </w:rPr>
        <w:t>.P: Ál</w:t>
      </w:r>
      <w:r w:rsidRPr="006365F1">
        <w:rPr>
          <w:rFonts w:ascii="Verdana" w:hAnsi="Verdana" w:cs="Arial"/>
          <w:color w:val="000000" w:themeColor="text1"/>
          <w:sz w:val="14"/>
          <w:szCs w:val="14"/>
          <w:lang w:val="es-ES"/>
        </w:rPr>
        <w:t>varo Namén Vargas.</w:t>
      </w:r>
    </w:p>
    <w:p w14:paraId="73E7057B"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32">
    <w:p w14:paraId="00CA2750" w14:textId="77777777" w:rsidR="00F449DB" w:rsidRPr="006365F1" w:rsidRDefault="00F449DB" w:rsidP="00F449DB">
      <w:pPr>
        <w:pStyle w:val="Textonotapie"/>
        <w:ind w:firstLine="709"/>
        <w:jc w:val="both"/>
        <w:rPr>
          <w:rFonts w:ascii="Verdana" w:hAnsi="Verdana" w:cs="Arial"/>
          <w:color w:val="000000" w:themeColor="text1"/>
          <w:sz w:val="14"/>
          <w:szCs w:val="14"/>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6365F1">
        <w:rPr>
          <w:rFonts w:ascii="Verdana" w:hAnsi="Verdana" w:cs="Arial"/>
          <w:color w:val="000000" w:themeColor="text1"/>
          <w:sz w:val="14"/>
          <w:szCs w:val="14"/>
        </w:rPr>
        <w:t>Sección Tercera. Subsección A. Sentencia del 24 de junio de 2015. Exp. 40.635. C</w:t>
      </w:r>
      <w:r>
        <w:rPr>
          <w:rFonts w:ascii="Verdana" w:hAnsi="Verdana" w:cs="Arial"/>
          <w:color w:val="000000" w:themeColor="text1"/>
          <w:sz w:val="14"/>
          <w:szCs w:val="14"/>
        </w:rPr>
        <w:t xml:space="preserve">.P: </w:t>
      </w:r>
      <w:r w:rsidRPr="006365F1">
        <w:rPr>
          <w:rFonts w:ascii="Verdana" w:hAnsi="Verdana" w:cs="Arial"/>
          <w:color w:val="000000" w:themeColor="text1"/>
          <w:sz w:val="14"/>
          <w:szCs w:val="14"/>
        </w:rPr>
        <w:t>Hernán Andrade Rincón (E).</w:t>
      </w:r>
    </w:p>
    <w:p w14:paraId="6652E3A1"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33">
    <w:p w14:paraId="14F380D7" w14:textId="77777777" w:rsidR="00F449DB" w:rsidRPr="006365F1" w:rsidRDefault="00F449DB" w:rsidP="00F449DB">
      <w:pPr>
        <w:pStyle w:val="Textonotapie"/>
        <w:ind w:firstLine="709"/>
        <w:jc w:val="both"/>
        <w:rPr>
          <w:rFonts w:ascii="Verdana" w:hAnsi="Verdana" w:cs="Arial"/>
          <w:color w:val="000000" w:themeColor="text1"/>
          <w:sz w:val="14"/>
          <w:szCs w:val="14"/>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6365F1">
        <w:rPr>
          <w:rFonts w:ascii="Verdana" w:hAnsi="Verdana" w:cs="Arial"/>
          <w:color w:val="000000" w:themeColor="text1"/>
          <w:sz w:val="14"/>
          <w:szCs w:val="14"/>
        </w:rPr>
        <w:t>Sección Tercera. Subsección C. Sentencia del 22 de mayo de 2013. Exp. 24.057. Consejera Ponente: Olga M</w:t>
      </w:r>
      <w:r>
        <w:rPr>
          <w:rFonts w:ascii="Verdana" w:hAnsi="Verdana" w:cs="Arial"/>
          <w:color w:val="000000" w:themeColor="text1"/>
          <w:sz w:val="14"/>
          <w:szCs w:val="14"/>
        </w:rPr>
        <w:t>é</w:t>
      </w:r>
      <w:r w:rsidRPr="006365F1">
        <w:rPr>
          <w:rFonts w:ascii="Verdana" w:hAnsi="Verdana" w:cs="Arial"/>
          <w:color w:val="000000" w:themeColor="text1"/>
          <w:sz w:val="14"/>
          <w:szCs w:val="14"/>
        </w:rPr>
        <w:t>lida Valle De De La Hoz.</w:t>
      </w:r>
    </w:p>
    <w:p w14:paraId="5CA285E1"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34">
    <w:p w14:paraId="61F6F768" w14:textId="77777777" w:rsidR="00F449DB" w:rsidRDefault="00F449DB" w:rsidP="00F449DB">
      <w:pPr>
        <w:pStyle w:val="Textonotapie"/>
        <w:ind w:firstLine="709"/>
        <w:jc w:val="both"/>
        <w:rPr>
          <w:rFonts w:ascii="Verdana" w:hAnsi="Verdana" w:cs="Arial"/>
          <w:color w:val="000000" w:themeColor="text1"/>
          <w:sz w:val="14"/>
          <w:szCs w:val="14"/>
          <w:lang w:val="es-ES"/>
        </w:rPr>
      </w:pPr>
      <w:r w:rsidRPr="006365F1">
        <w:rPr>
          <w:rStyle w:val="Refdenotaalpie"/>
          <w:rFonts w:ascii="Verdana" w:hAnsi="Verdana" w:cs="Arial"/>
          <w:color w:val="000000" w:themeColor="text1"/>
          <w:sz w:val="14"/>
          <w:szCs w:val="14"/>
        </w:rPr>
        <w:footnoteRef/>
      </w:r>
      <w:r w:rsidRPr="006365F1">
        <w:rPr>
          <w:rFonts w:ascii="Verdana" w:hAnsi="Verdana" w:cs="Arial"/>
          <w:color w:val="000000" w:themeColor="text1"/>
          <w:sz w:val="14"/>
          <w:szCs w:val="14"/>
        </w:rPr>
        <w:t xml:space="preserve"> </w:t>
      </w:r>
      <w:r w:rsidRPr="006365F1">
        <w:rPr>
          <w:rFonts w:ascii="Verdana" w:hAnsi="Verdana" w:cs="Arial"/>
          <w:color w:val="000000" w:themeColor="text1"/>
          <w:sz w:val="14"/>
          <w:szCs w:val="14"/>
          <w:lang w:val="es-ES"/>
        </w:rPr>
        <w:t xml:space="preserve">Así lo ha reconocido la doctrina: “Por otra parte, la reglamentación de la prestación de servicios comprende una paleta normativa que busca limitar la tergiversación de este tipo de contratos en beneficio de las </w:t>
      </w:r>
      <w:r w:rsidRPr="006365F1">
        <w:rPr>
          <w:rFonts w:ascii="Verdana" w:hAnsi="Verdana" w:cs="Arial"/>
          <w:i/>
          <w:color w:val="000000" w:themeColor="text1"/>
          <w:sz w:val="14"/>
          <w:szCs w:val="14"/>
          <w:lang w:val="es-ES"/>
        </w:rPr>
        <w:t>nóminas paralelas</w:t>
      </w:r>
      <w:r w:rsidRPr="006365F1">
        <w:rPr>
          <w:rFonts w:ascii="Verdana" w:hAnsi="Verdana" w:cs="Arial"/>
          <w:color w:val="000000" w:themeColor="text1"/>
          <w:sz w:val="14"/>
          <w:szCs w:val="14"/>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p w14:paraId="5A7E357C" w14:textId="77777777" w:rsidR="00F449DB" w:rsidRPr="006365F1" w:rsidRDefault="00F449DB" w:rsidP="00F449DB">
      <w:pPr>
        <w:pStyle w:val="Textonotapie"/>
        <w:ind w:firstLine="709"/>
        <w:jc w:val="both"/>
        <w:rPr>
          <w:rFonts w:ascii="Verdana" w:hAnsi="Verdana" w:cs="Arial"/>
          <w:color w:val="000000" w:themeColor="text1"/>
          <w:sz w:val="14"/>
          <w:szCs w:val="14"/>
          <w:lang w:val="es-ES"/>
        </w:rPr>
      </w:pPr>
    </w:p>
  </w:footnote>
  <w:footnote w:id="35">
    <w:p w14:paraId="36D6B4AF" w14:textId="77777777" w:rsidR="00F449DB" w:rsidRPr="006365F1" w:rsidRDefault="00F449DB" w:rsidP="00F449DB">
      <w:pPr>
        <w:pStyle w:val="Textonotapie"/>
        <w:ind w:firstLine="709"/>
        <w:jc w:val="both"/>
        <w:rPr>
          <w:rFonts w:ascii="Verdana" w:hAnsi="Verdana"/>
          <w:sz w:val="14"/>
          <w:szCs w:val="14"/>
          <w:lang w:val="es-CO"/>
        </w:rPr>
      </w:pPr>
      <w:r w:rsidRPr="006365F1">
        <w:rPr>
          <w:rStyle w:val="Refdenotaalpie"/>
          <w:rFonts w:ascii="Verdana" w:hAnsi="Verdana"/>
          <w:sz w:val="14"/>
          <w:szCs w:val="14"/>
        </w:rPr>
        <w:footnoteRef/>
      </w:r>
      <w:r w:rsidRPr="006365F1">
        <w:rPr>
          <w:rFonts w:ascii="Verdana" w:hAnsi="Verdana"/>
          <w:sz w:val="14"/>
          <w:szCs w:val="14"/>
        </w:rPr>
        <w:t xml:space="preserve"> </w:t>
      </w:r>
      <w:r w:rsidRPr="006365F1">
        <w:rPr>
          <w:rFonts w:ascii="Verdana" w:hAnsi="Verdana" w:cs="Arial"/>
          <w:color w:val="000000"/>
          <w:sz w:val="14"/>
          <w:szCs w:val="14"/>
        </w:rPr>
        <w:t>Consejo de Estado. Sala de Consulta y de Servicio Civil. Concepto del 23 de marzo de 2011. Rad. 2.045. C.P</w:t>
      </w:r>
      <w:r>
        <w:rPr>
          <w:rFonts w:ascii="Verdana" w:hAnsi="Verdana" w:cs="Arial"/>
          <w:color w:val="000000"/>
          <w:sz w:val="14"/>
          <w:szCs w:val="14"/>
        </w:rPr>
        <w:t>:</w:t>
      </w:r>
      <w:r w:rsidRPr="006365F1">
        <w:rPr>
          <w:rFonts w:ascii="Verdana" w:hAnsi="Verdana" w:cs="Arial"/>
          <w:color w:val="000000"/>
          <w:sz w:val="14"/>
          <w:szCs w:val="14"/>
        </w:rPr>
        <w:t xml:space="preserve"> Enrique José Arboleda Perdomo.</w:t>
      </w:r>
    </w:p>
  </w:footnote>
  <w:footnote w:id="36">
    <w:p w14:paraId="65DE60DC" w14:textId="77777777" w:rsidR="00F449DB" w:rsidRPr="006365F1" w:rsidRDefault="00F449DB" w:rsidP="00F449DB">
      <w:pPr>
        <w:pStyle w:val="Textonotapie"/>
        <w:ind w:firstLine="708"/>
        <w:jc w:val="both"/>
        <w:rPr>
          <w:rFonts w:ascii="Verdana" w:hAnsi="Verdana" w:cs="Arial"/>
          <w:color w:val="000000" w:themeColor="text1"/>
          <w:sz w:val="14"/>
          <w:szCs w:val="14"/>
        </w:rPr>
      </w:pPr>
      <w:r w:rsidRPr="006365F1">
        <w:rPr>
          <w:rStyle w:val="Refdenotaalpie"/>
          <w:rFonts w:ascii="Verdana" w:hAnsi="Verdana" w:cs="Arial"/>
          <w:sz w:val="14"/>
          <w:szCs w:val="14"/>
        </w:rPr>
        <w:footnoteRef/>
      </w:r>
      <w:r w:rsidRPr="006365F1">
        <w:rPr>
          <w:rFonts w:ascii="Verdana" w:hAnsi="Verdana" w:cs="Arial"/>
          <w:sz w:val="14"/>
          <w:szCs w:val="14"/>
        </w:rPr>
        <w:t xml:space="preserve"> C</w:t>
      </w:r>
      <w:r>
        <w:rPr>
          <w:rFonts w:ascii="Verdana" w:hAnsi="Verdana" w:cs="Arial"/>
          <w:sz w:val="14"/>
          <w:szCs w:val="14"/>
        </w:rPr>
        <w:t>onsejo de Estado. S</w:t>
      </w:r>
      <w:r w:rsidRPr="006365F1">
        <w:rPr>
          <w:rFonts w:ascii="Verdana" w:hAnsi="Verdana" w:cs="Arial"/>
          <w:sz w:val="14"/>
          <w:szCs w:val="14"/>
        </w:rPr>
        <w:t xml:space="preserve">ala de Consulta y Servicio Civil. Concepto del </w:t>
      </w:r>
      <w:r w:rsidRPr="006365F1">
        <w:rPr>
          <w:rFonts w:ascii="Verdana" w:hAnsi="Verdana" w:cs="Arial"/>
          <w:color w:val="000000" w:themeColor="text1"/>
          <w:sz w:val="14"/>
          <w:szCs w:val="14"/>
        </w:rPr>
        <w:t>10 de agosto de 2006. Exp. 1.767. C.P</w:t>
      </w:r>
      <w:r>
        <w:rPr>
          <w:rFonts w:ascii="Verdana" w:hAnsi="Verdana" w:cs="Arial"/>
          <w:color w:val="000000" w:themeColor="text1"/>
          <w:sz w:val="14"/>
          <w:szCs w:val="14"/>
        </w:rPr>
        <w:t>:</w:t>
      </w:r>
      <w:r w:rsidRPr="006365F1">
        <w:rPr>
          <w:rFonts w:ascii="Verdana" w:hAnsi="Verdana" w:cs="Arial"/>
          <w:color w:val="000000" w:themeColor="text1"/>
          <w:sz w:val="14"/>
          <w:szCs w:val="14"/>
        </w:rPr>
        <w:t xml:space="preserve"> Lu</w:t>
      </w:r>
      <w:r>
        <w:rPr>
          <w:rFonts w:ascii="Verdana" w:hAnsi="Verdana" w:cs="Arial"/>
          <w:color w:val="000000" w:themeColor="text1"/>
          <w:sz w:val="14"/>
          <w:szCs w:val="14"/>
        </w:rPr>
        <w:t>í</w:t>
      </w:r>
      <w:r w:rsidRPr="006365F1">
        <w:rPr>
          <w:rFonts w:ascii="Verdana" w:hAnsi="Verdana" w:cs="Arial"/>
          <w:color w:val="000000" w:themeColor="text1"/>
          <w:sz w:val="14"/>
          <w:szCs w:val="14"/>
        </w:rPr>
        <w:t>s Fernando Álvarez Jaramillo.</w:t>
      </w:r>
    </w:p>
    <w:p w14:paraId="1F36B61C" w14:textId="77777777" w:rsidR="00F449DB" w:rsidRPr="006365F1" w:rsidRDefault="00F449DB" w:rsidP="00F449DB">
      <w:pPr>
        <w:pStyle w:val="Textonotapie"/>
        <w:ind w:firstLine="708"/>
        <w:jc w:val="both"/>
        <w:rPr>
          <w:rFonts w:ascii="Verdana" w:hAnsi="Verdana" w:cs="Arial"/>
          <w:sz w:val="14"/>
          <w:szCs w:val="14"/>
          <w:lang w:val="es-CO"/>
        </w:rPr>
      </w:pPr>
    </w:p>
  </w:footnote>
  <w:footnote w:id="37">
    <w:p w14:paraId="10F51004" w14:textId="77777777" w:rsidR="00F449DB" w:rsidRPr="006365F1" w:rsidRDefault="00F449DB" w:rsidP="00F449DB">
      <w:pPr>
        <w:pStyle w:val="Textonotapie"/>
        <w:ind w:firstLine="708"/>
        <w:jc w:val="both"/>
        <w:rPr>
          <w:rFonts w:ascii="Verdana" w:eastAsia="Calibri" w:hAnsi="Verdana" w:cs="Arial"/>
          <w:sz w:val="14"/>
          <w:szCs w:val="14"/>
          <w:lang w:val="es-CO"/>
        </w:rPr>
      </w:pPr>
      <w:r w:rsidRPr="006365F1">
        <w:rPr>
          <w:rStyle w:val="Refdenotaalpie"/>
          <w:rFonts w:ascii="Verdana" w:hAnsi="Verdana" w:cs="Arial"/>
          <w:sz w:val="14"/>
          <w:szCs w:val="14"/>
        </w:rPr>
        <w:footnoteRef/>
      </w:r>
      <w:r w:rsidRPr="006365F1">
        <w:rPr>
          <w:rFonts w:ascii="Verdana" w:hAnsi="Verdana" w:cs="Arial"/>
          <w:sz w:val="14"/>
          <w:szCs w:val="14"/>
        </w:rPr>
        <w:t xml:space="preserve"> Como expresa DÁVILA: «[…] </w:t>
      </w:r>
      <w:r w:rsidRPr="006365F1">
        <w:rPr>
          <w:rFonts w:ascii="Verdana" w:eastAsia="Calibri" w:hAnsi="Verdana" w:cs="Arial"/>
          <w:sz w:val="14"/>
          <w:szCs w:val="14"/>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247413A4" w14:textId="77777777" w:rsidR="00F449DB" w:rsidRPr="006365F1" w:rsidRDefault="00F449DB" w:rsidP="00F449DB">
      <w:pPr>
        <w:pStyle w:val="Textonotapie"/>
        <w:ind w:firstLine="708"/>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6BF5F01"/>
    <w:multiLevelType w:val="hybridMultilevel"/>
    <w:tmpl w:val="EEB679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90511C0"/>
    <w:multiLevelType w:val="hybridMultilevel"/>
    <w:tmpl w:val="487E7AC6"/>
    <w:lvl w:ilvl="0" w:tplc="7E5AA202">
      <w:start w:val="1"/>
      <w:numFmt w:val="lowerLetter"/>
      <w:lvlText w:val="%1)"/>
      <w:lvlJc w:val="left"/>
      <w:pPr>
        <w:ind w:left="1008" w:hanging="330"/>
      </w:pPr>
      <w:rPr>
        <w:rFonts w:ascii="Arial" w:eastAsia="Arial" w:hAnsi="Arial" w:cs="Arial" w:hint="default"/>
        <w:color w:val="4E4D4D"/>
        <w:spacing w:val="-28"/>
        <w:w w:val="100"/>
        <w:sz w:val="21"/>
        <w:szCs w:val="21"/>
        <w:lang w:val="es-ES" w:eastAsia="en-US" w:bidi="ar-SA"/>
      </w:rPr>
    </w:lvl>
    <w:lvl w:ilvl="1" w:tplc="BFF6E084">
      <w:numFmt w:val="bullet"/>
      <w:lvlText w:val="•"/>
      <w:lvlJc w:val="left"/>
      <w:pPr>
        <w:ind w:left="1834" w:hanging="330"/>
      </w:pPr>
      <w:rPr>
        <w:rFonts w:hint="default"/>
        <w:lang w:val="es-ES" w:eastAsia="en-US" w:bidi="ar-SA"/>
      </w:rPr>
    </w:lvl>
    <w:lvl w:ilvl="2" w:tplc="E9E0C728">
      <w:numFmt w:val="bullet"/>
      <w:lvlText w:val="•"/>
      <w:lvlJc w:val="left"/>
      <w:pPr>
        <w:ind w:left="2668" w:hanging="330"/>
      </w:pPr>
      <w:rPr>
        <w:rFonts w:hint="default"/>
        <w:lang w:val="es-ES" w:eastAsia="en-US" w:bidi="ar-SA"/>
      </w:rPr>
    </w:lvl>
    <w:lvl w:ilvl="3" w:tplc="C75CB3C4">
      <w:numFmt w:val="bullet"/>
      <w:lvlText w:val="•"/>
      <w:lvlJc w:val="left"/>
      <w:pPr>
        <w:ind w:left="3502" w:hanging="330"/>
      </w:pPr>
      <w:rPr>
        <w:rFonts w:hint="default"/>
        <w:lang w:val="es-ES" w:eastAsia="en-US" w:bidi="ar-SA"/>
      </w:rPr>
    </w:lvl>
    <w:lvl w:ilvl="4" w:tplc="065A04CE">
      <w:numFmt w:val="bullet"/>
      <w:lvlText w:val="•"/>
      <w:lvlJc w:val="left"/>
      <w:pPr>
        <w:ind w:left="4336" w:hanging="330"/>
      </w:pPr>
      <w:rPr>
        <w:rFonts w:hint="default"/>
        <w:lang w:val="es-ES" w:eastAsia="en-US" w:bidi="ar-SA"/>
      </w:rPr>
    </w:lvl>
    <w:lvl w:ilvl="5" w:tplc="A70A964C">
      <w:numFmt w:val="bullet"/>
      <w:lvlText w:val="•"/>
      <w:lvlJc w:val="left"/>
      <w:pPr>
        <w:ind w:left="5170" w:hanging="330"/>
      </w:pPr>
      <w:rPr>
        <w:rFonts w:hint="default"/>
        <w:lang w:val="es-ES" w:eastAsia="en-US" w:bidi="ar-SA"/>
      </w:rPr>
    </w:lvl>
    <w:lvl w:ilvl="6" w:tplc="76AAE404">
      <w:numFmt w:val="bullet"/>
      <w:lvlText w:val="•"/>
      <w:lvlJc w:val="left"/>
      <w:pPr>
        <w:ind w:left="6004" w:hanging="330"/>
      </w:pPr>
      <w:rPr>
        <w:rFonts w:hint="default"/>
        <w:lang w:val="es-ES" w:eastAsia="en-US" w:bidi="ar-SA"/>
      </w:rPr>
    </w:lvl>
    <w:lvl w:ilvl="7" w:tplc="1AAA4116">
      <w:numFmt w:val="bullet"/>
      <w:lvlText w:val="•"/>
      <w:lvlJc w:val="left"/>
      <w:pPr>
        <w:ind w:left="6838" w:hanging="330"/>
      </w:pPr>
      <w:rPr>
        <w:rFonts w:hint="default"/>
        <w:lang w:val="es-ES" w:eastAsia="en-US" w:bidi="ar-SA"/>
      </w:rPr>
    </w:lvl>
    <w:lvl w:ilvl="8" w:tplc="597439B4">
      <w:numFmt w:val="bullet"/>
      <w:lvlText w:val="•"/>
      <w:lvlJc w:val="left"/>
      <w:pPr>
        <w:ind w:left="7672" w:hanging="330"/>
      </w:pPr>
      <w:rPr>
        <w:rFonts w:hint="default"/>
        <w:lang w:val="es-ES" w:eastAsia="en-US" w:bidi="ar-SA"/>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962300485">
    <w:abstractNumId w:val="10"/>
  </w:num>
  <w:num w:numId="18" w16cid:durableId="4876726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66857"/>
    <w:rsid w:val="001E4177"/>
    <w:rsid w:val="001F7DC6"/>
    <w:rsid w:val="002421BB"/>
    <w:rsid w:val="00253657"/>
    <w:rsid w:val="0025796E"/>
    <w:rsid w:val="002707A2"/>
    <w:rsid w:val="002951A0"/>
    <w:rsid w:val="002962BC"/>
    <w:rsid w:val="002A093D"/>
    <w:rsid w:val="002A0DD0"/>
    <w:rsid w:val="002A49AC"/>
    <w:rsid w:val="002A64FD"/>
    <w:rsid w:val="002B6FFE"/>
    <w:rsid w:val="002C7A84"/>
    <w:rsid w:val="002E4FD9"/>
    <w:rsid w:val="00322A85"/>
    <w:rsid w:val="00324168"/>
    <w:rsid w:val="00341D79"/>
    <w:rsid w:val="003448F4"/>
    <w:rsid w:val="00374F5E"/>
    <w:rsid w:val="00377E3E"/>
    <w:rsid w:val="003A2689"/>
    <w:rsid w:val="003A779E"/>
    <w:rsid w:val="003D0F4D"/>
    <w:rsid w:val="003D5B0D"/>
    <w:rsid w:val="003E0499"/>
    <w:rsid w:val="003F3941"/>
    <w:rsid w:val="003F4D13"/>
    <w:rsid w:val="00406575"/>
    <w:rsid w:val="00414C74"/>
    <w:rsid w:val="00417E73"/>
    <w:rsid w:val="0042722E"/>
    <w:rsid w:val="00442FE0"/>
    <w:rsid w:val="00444DAA"/>
    <w:rsid w:val="0044528D"/>
    <w:rsid w:val="00460A88"/>
    <w:rsid w:val="004A1847"/>
    <w:rsid w:val="004A305D"/>
    <w:rsid w:val="004F21C4"/>
    <w:rsid w:val="004F685F"/>
    <w:rsid w:val="005566E8"/>
    <w:rsid w:val="00574867"/>
    <w:rsid w:val="00591460"/>
    <w:rsid w:val="005C3777"/>
    <w:rsid w:val="005C5CDC"/>
    <w:rsid w:val="005D476C"/>
    <w:rsid w:val="005E22BB"/>
    <w:rsid w:val="006219F8"/>
    <w:rsid w:val="006302F7"/>
    <w:rsid w:val="00665D70"/>
    <w:rsid w:val="006716AC"/>
    <w:rsid w:val="00676746"/>
    <w:rsid w:val="006900D9"/>
    <w:rsid w:val="006A760C"/>
    <w:rsid w:val="00706C16"/>
    <w:rsid w:val="007447BF"/>
    <w:rsid w:val="00745C23"/>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15183"/>
    <w:rsid w:val="00923EEF"/>
    <w:rsid w:val="009419F9"/>
    <w:rsid w:val="0095685E"/>
    <w:rsid w:val="00961B09"/>
    <w:rsid w:val="00965334"/>
    <w:rsid w:val="0097093E"/>
    <w:rsid w:val="009A0DFA"/>
    <w:rsid w:val="009B25A8"/>
    <w:rsid w:val="009B2D26"/>
    <w:rsid w:val="009C71FA"/>
    <w:rsid w:val="009C72E7"/>
    <w:rsid w:val="009D3058"/>
    <w:rsid w:val="009F3A13"/>
    <w:rsid w:val="009F5275"/>
    <w:rsid w:val="00A122D3"/>
    <w:rsid w:val="00A17F13"/>
    <w:rsid w:val="00A20739"/>
    <w:rsid w:val="00A33C78"/>
    <w:rsid w:val="00AB0ADB"/>
    <w:rsid w:val="00AC2EAD"/>
    <w:rsid w:val="00B00C0E"/>
    <w:rsid w:val="00B01B1A"/>
    <w:rsid w:val="00B02FC9"/>
    <w:rsid w:val="00B44A47"/>
    <w:rsid w:val="00B72CD3"/>
    <w:rsid w:val="00B72FFF"/>
    <w:rsid w:val="00BC3D36"/>
    <w:rsid w:val="00BD7F72"/>
    <w:rsid w:val="00C04FB3"/>
    <w:rsid w:val="00C330EB"/>
    <w:rsid w:val="00C754BE"/>
    <w:rsid w:val="00C76B1C"/>
    <w:rsid w:val="00CB6357"/>
    <w:rsid w:val="00CC1B26"/>
    <w:rsid w:val="00D23071"/>
    <w:rsid w:val="00D423A2"/>
    <w:rsid w:val="00D520D8"/>
    <w:rsid w:val="00D63AC2"/>
    <w:rsid w:val="00D7383B"/>
    <w:rsid w:val="00D9216E"/>
    <w:rsid w:val="00DA231B"/>
    <w:rsid w:val="00DC113B"/>
    <w:rsid w:val="00DC2F89"/>
    <w:rsid w:val="00DC39FC"/>
    <w:rsid w:val="00DF3A5F"/>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752A"/>
    <w:rsid w:val="00F31EDC"/>
    <w:rsid w:val="00F449DB"/>
    <w:rsid w:val="00F462B3"/>
    <w:rsid w:val="00F5664F"/>
    <w:rsid w:val="00F666C4"/>
    <w:rsid w:val="00F672B8"/>
    <w:rsid w:val="00F76AFC"/>
    <w:rsid w:val="00FA47C0"/>
    <w:rsid w:val="00FB5DD1"/>
    <w:rsid w:val="00FC2B5D"/>
    <w:rsid w:val="00FF01B3"/>
    <w:rsid w:val="00FF1449"/>
    <w:rsid w:val="3774499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449D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449DB"/>
    <w:rPr>
      <w:rFonts w:ascii="Geomanist Light" w:hAnsi="Geomanist Light"/>
      <w:lang w:val="es-ES"/>
    </w:rPr>
  </w:style>
  <w:style w:type="paragraph" w:styleId="Textoindependiente">
    <w:name w:val="Body Text"/>
    <w:basedOn w:val="Normal"/>
    <w:link w:val="TextoindependienteCar"/>
    <w:uiPriority w:val="1"/>
    <w:qFormat/>
    <w:rsid w:val="00F449DB"/>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449DB"/>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ozk@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constitucion_politica_1991_pr00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B3D7D19-48B1-4C8F-B706-59AD2AD2006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30</Pages>
  <Words>9462</Words>
  <Characters>50719</Characters>
  <Application>Microsoft Office Word</Application>
  <DocSecurity>0</DocSecurity>
  <Lines>975</Lines>
  <Paragraphs>237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2025-10-04T02:33:00Z</dcterms:created>
  <dcterms:modified xsi:type="dcterms:W3CDTF">2025-10-04T04:18:00Z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