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51C4B7" w14:textId="77777777" w:rsidR="00D56237" w:rsidRPr="00D56237" w:rsidRDefault="00D56237" w:rsidP="00D56237">
      <w:pPr>
        <w:spacing w:after="0"/>
        <w:jc w:val="both"/>
        <w:rPr>
          <w:rFonts w:ascii="Verdana" w:eastAsia="Calibri" w:hAnsi="Verdana" w:cs="Times New Roman"/>
        </w:rPr>
      </w:pPr>
      <w:bookmarkStart w:id="0" w:name="_Hlk143780582"/>
      <w:r w:rsidRPr="00D56237">
        <w:rPr>
          <w:rFonts w:ascii="Verdana" w:eastAsia="Aptos" w:hAnsi="Verdana" w:cs="Arial"/>
          <w:b/>
          <w:bCs/>
          <w:kern w:val="2"/>
          <w:lang w:val="es-MX"/>
          <w14:ligatures w14:val="standardContextual"/>
        </w:rPr>
        <w:t>EXPERIENCIA – Concepto – Documentos Tipo</w:t>
      </w:r>
    </w:p>
    <w:p w14:paraId="24F48590" w14:textId="77777777" w:rsidR="00D56237" w:rsidRPr="00D56237" w:rsidRDefault="00D56237" w:rsidP="00D56237">
      <w:pPr>
        <w:snapToGrid w:val="0"/>
        <w:spacing w:after="0" w:line="276" w:lineRule="auto"/>
        <w:jc w:val="both"/>
        <w:rPr>
          <w:rFonts w:ascii="Verdana" w:eastAsia="Aptos" w:hAnsi="Verdana" w:cs="Arial"/>
          <w:b/>
          <w:bCs/>
          <w:kern w:val="2"/>
          <w:lang w:val="es-MX"/>
          <w14:ligatures w14:val="standardContextual"/>
        </w:rPr>
      </w:pPr>
    </w:p>
    <w:p w14:paraId="53B49A10" w14:textId="384830B4" w:rsidR="00D56237" w:rsidRPr="00D56237" w:rsidRDefault="00C12CCE" w:rsidP="00D56237">
      <w:pPr>
        <w:snapToGrid w:val="0"/>
        <w:spacing w:after="0" w:line="240" w:lineRule="auto"/>
        <w:jc w:val="both"/>
        <w:rPr>
          <w:rFonts w:ascii="Verdana" w:eastAsia="Aptos" w:hAnsi="Verdana" w:cs="Times New Roman"/>
          <w:kern w:val="2"/>
          <w:sz w:val="20"/>
          <w:szCs w:val="20"/>
          <w:lang w:val="es-ES"/>
          <w14:ligatures w14:val="standardContextual"/>
        </w:rPr>
      </w:pPr>
      <w:r w:rsidRPr="00C12CCE">
        <w:rPr>
          <w:rFonts w:ascii="Verdana" w:eastAsia="Aptos" w:hAnsi="Verdana" w:cs="Times New Roman"/>
          <w:kern w:val="2"/>
          <w:sz w:val="20"/>
          <w:szCs w:val="20"/>
          <w:lang w:val="es-ES"/>
          <w14:ligatures w14:val="standardContextual"/>
        </w:rPr>
        <w:t>La experiencia que se deriva de los contratos que el proponente ha celebrado y ejecutado con diferentes contratantes, sin importar la naturaleza de estos, se verifica con el Registro Único de Proponentes –RUP–, cuando este certificado sea exigible de acuerdo con la ley. En el RUP constan los requisitos habilitantes que se evalúan exclusivamente con este documento, que es su plena prueba, sin que la entidad o el proponente puedan solicitar o aportar otra documentación.</w:t>
      </w:r>
    </w:p>
    <w:p w14:paraId="52872CDB" w14:textId="77777777" w:rsidR="00D56237" w:rsidRPr="00D56237" w:rsidRDefault="00D56237" w:rsidP="00D56237">
      <w:pPr>
        <w:snapToGrid w:val="0"/>
        <w:spacing w:after="0" w:line="276" w:lineRule="auto"/>
        <w:jc w:val="both"/>
        <w:rPr>
          <w:rFonts w:ascii="Verdana" w:eastAsia="Aptos" w:hAnsi="Verdana" w:cs="Arial"/>
          <w:b/>
          <w:bCs/>
          <w:kern w:val="2"/>
          <w:lang w:val="es-MX"/>
          <w14:ligatures w14:val="standardContextual"/>
        </w:rPr>
      </w:pPr>
    </w:p>
    <w:p w14:paraId="26D0AD9E" w14:textId="77777777" w:rsidR="00D56237" w:rsidRPr="00D56237" w:rsidRDefault="00D56237" w:rsidP="00D56237">
      <w:pPr>
        <w:snapToGrid w:val="0"/>
        <w:spacing w:after="0" w:line="276" w:lineRule="auto"/>
        <w:jc w:val="both"/>
        <w:rPr>
          <w:rFonts w:ascii="Verdana" w:eastAsia="Aptos" w:hAnsi="Verdana" w:cs="Arial"/>
          <w:b/>
          <w:bCs/>
          <w:kern w:val="2"/>
          <w:lang w:val="es-MX"/>
          <w14:ligatures w14:val="standardContextual"/>
        </w:rPr>
      </w:pPr>
      <w:r w:rsidRPr="00D56237">
        <w:rPr>
          <w:rFonts w:ascii="Verdana" w:eastAsia="Aptos" w:hAnsi="Verdana" w:cs="Arial"/>
          <w:b/>
          <w:bCs/>
          <w:kern w:val="2"/>
          <w:lang w:val="es-MX"/>
          <w14:ligatures w14:val="standardContextual"/>
        </w:rPr>
        <w:t>DOCUMENTOS TIPO – Infraestructura de agua potable y saneamiento básico – Matriz 1 – Acreditación de la experiencia</w:t>
      </w:r>
    </w:p>
    <w:p w14:paraId="2EA15AFE" w14:textId="77777777" w:rsidR="00D56237" w:rsidRPr="00D56237" w:rsidRDefault="00D56237" w:rsidP="00D56237">
      <w:pPr>
        <w:snapToGrid w:val="0"/>
        <w:spacing w:after="0" w:line="276" w:lineRule="auto"/>
        <w:jc w:val="both"/>
        <w:rPr>
          <w:rFonts w:ascii="Verdana" w:eastAsia="Aptos" w:hAnsi="Verdana" w:cs="Arial"/>
          <w:b/>
          <w:bCs/>
          <w:kern w:val="2"/>
          <w:lang w:val="es-MX"/>
          <w14:ligatures w14:val="standardContextual"/>
        </w:rPr>
      </w:pPr>
    </w:p>
    <w:p w14:paraId="7B715BD9" w14:textId="2C6D846E" w:rsidR="00C001DB" w:rsidRDefault="00C001DB" w:rsidP="00C001DB">
      <w:pPr>
        <w:snapToGrid w:val="0"/>
        <w:spacing w:after="0" w:line="240" w:lineRule="auto"/>
        <w:jc w:val="both"/>
        <w:rPr>
          <w:rFonts w:ascii="Verdana" w:eastAsia="Aptos" w:hAnsi="Verdana" w:cs="Arial"/>
          <w:kern w:val="2"/>
          <w:sz w:val="20"/>
          <w:szCs w:val="20"/>
          <w:lang w:val="es-MX"/>
          <w14:ligatures w14:val="standardContextual"/>
        </w:rPr>
      </w:pPr>
      <w:r w:rsidRPr="00C001DB">
        <w:rPr>
          <w:rFonts w:ascii="Verdana" w:eastAsia="Aptos" w:hAnsi="Verdana" w:cs="Arial"/>
          <w:kern w:val="2"/>
          <w:sz w:val="20"/>
          <w:szCs w:val="20"/>
          <w:lang w:val="es-MX"/>
          <w14:ligatures w14:val="standardContextual"/>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agua potable y saneamiento, </w:t>
      </w:r>
      <w:proofErr w:type="spellStart"/>
      <w:r w:rsidRPr="00C001DB">
        <w:rPr>
          <w:rFonts w:ascii="Verdana" w:eastAsia="Aptos" w:hAnsi="Verdana" w:cs="Arial"/>
          <w:kern w:val="2"/>
          <w:sz w:val="20"/>
          <w:szCs w:val="20"/>
          <w:lang w:val="es-MX"/>
          <w14:ligatures w14:val="standardContextual"/>
        </w:rPr>
        <w:t>ii</w:t>
      </w:r>
      <w:proofErr w:type="spellEnd"/>
      <w:r w:rsidRPr="00C001DB">
        <w:rPr>
          <w:rFonts w:ascii="Verdana" w:eastAsia="Aptos" w:hAnsi="Verdana" w:cs="Arial"/>
          <w:kern w:val="2"/>
          <w:sz w:val="20"/>
          <w:szCs w:val="20"/>
          <w:lang w:val="es-MX"/>
          <w14:ligatures w14:val="standardContextual"/>
        </w:rPr>
        <w:t xml:space="preserve">) la actividad a contratar y </w:t>
      </w:r>
      <w:proofErr w:type="spellStart"/>
      <w:r w:rsidRPr="00C001DB">
        <w:rPr>
          <w:rFonts w:ascii="Verdana" w:eastAsia="Aptos" w:hAnsi="Verdana" w:cs="Arial"/>
          <w:kern w:val="2"/>
          <w:sz w:val="20"/>
          <w:szCs w:val="20"/>
          <w:lang w:val="es-MX"/>
          <w14:ligatures w14:val="standardContextual"/>
        </w:rPr>
        <w:t>iii</w:t>
      </w:r>
      <w:proofErr w:type="spellEnd"/>
      <w:r w:rsidRPr="00C001DB">
        <w:rPr>
          <w:rFonts w:ascii="Verdana" w:eastAsia="Aptos" w:hAnsi="Verdana" w:cs="Arial"/>
          <w:kern w:val="2"/>
          <w:sz w:val="20"/>
          <w:szCs w:val="20"/>
          <w:lang w:val="es-MX"/>
          <w14:ligatures w14:val="standardContextual"/>
        </w:rPr>
        <w:t>) la cuantía del proceso de contratación.</w:t>
      </w:r>
    </w:p>
    <w:p w14:paraId="06B43CBA" w14:textId="77777777" w:rsidR="00C001DB" w:rsidRPr="00C001DB" w:rsidRDefault="00C001DB" w:rsidP="00C001DB">
      <w:pPr>
        <w:snapToGrid w:val="0"/>
        <w:spacing w:after="0" w:line="240" w:lineRule="auto"/>
        <w:jc w:val="both"/>
        <w:rPr>
          <w:rFonts w:ascii="Verdana" w:eastAsia="Aptos" w:hAnsi="Verdana" w:cs="Arial"/>
          <w:kern w:val="2"/>
          <w:sz w:val="20"/>
          <w:szCs w:val="20"/>
          <w:lang w:val="es-MX"/>
          <w14:ligatures w14:val="standardContextual"/>
        </w:rPr>
      </w:pPr>
    </w:p>
    <w:p w14:paraId="46DD7DDB" w14:textId="77777777" w:rsidR="00C001DB" w:rsidRDefault="00C001DB" w:rsidP="00C001DB">
      <w:pPr>
        <w:snapToGrid w:val="0"/>
        <w:spacing w:after="0" w:line="240" w:lineRule="auto"/>
        <w:jc w:val="both"/>
        <w:rPr>
          <w:rFonts w:ascii="Verdana" w:eastAsia="Aptos" w:hAnsi="Verdana" w:cs="Arial"/>
          <w:kern w:val="2"/>
          <w:sz w:val="20"/>
          <w:szCs w:val="20"/>
          <w:lang w:val="es-MX"/>
          <w14:ligatures w14:val="standardContextual"/>
        </w:rPr>
      </w:pPr>
      <w:r w:rsidRPr="00C001DB">
        <w:rPr>
          <w:rFonts w:ascii="Verdana" w:eastAsia="Aptos" w:hAnsi="Verdana" w:cs="Arial"/>
          <w:kern w:val="2"/>
          <w:sz w:val="20"/>
          <w:szCs w:val="20"/>
          <w:lang w:val="es-MX"/>
          <w14:ligatures w14:val="standardContextual"/>
        </w:rPr>
        <w:t xml:space="preserve">La “Matriz 1 – Experiencia” del sector de agua potable y saneamiento básico está constituida por siete (7) tipos de obras de infraestructura, a saber: 1) obras de acueductos; 2) obras de alcantarillado –sanitarios y/o pluviales y/o combinados–; 3) obras de aseo y/o manejo de residuos; 4) obras para PTAP –planta de tratamiento de agua potable– y/o PTAR –planta de tratamiento de aguas residuales–; 5) unidades sanitarias para vivienda rural dispersa; 6) sistemas no convencionales de potabilización y tratamiento de aguas residuales, y 7) estudios y diseños –en el caso de proyectos que requieran labores de: estudios, diseños y construcción–. </w:t>
      </w:r>
    </w:p>
    <w:p w14:paraId="0748519C" w14:textId="77777777" w:rsidR="00C001DB" w:rsidRPr="00C001DB" w:rsidRDefault="00C001DB" w:rsidP="00C001DB">
      <w:pPr>
        <w:snapToGrid w:val="0"/>
        <w:spacing w:after="0" w:line="240" w:lineRule="auto"/>
        <w:jc w:val="both"/>
        <w:rPr>
          <w:rFonts w:ascii="Verdana" w:eastAsia="Aptos" w:hAnsi="Verdana" w:cs="Arial"/>
          <w:kern w:val="2"/>
          <w:sz w:val="20"/>
          <w:szCs w:val="20"/>
          <w:lang w:val="es-MX"/>
          <w14:ligatures w14:val="standardContextual"/>
        </w:rPr>
      </w:pPr>
    </w:p>
    <w:p w14:paraId="1437D7CA" w14:textId="3A32154C" w:rsidR="00D56237" w:rsidRPr="00D56237" w:rsidRDefault="00C001DB" w:rsidP="00C001DB">
      <w:pPr>
        <w:snapToGrid w:val="0"/>
        <w:spacing w:after="0" w:line="240" w:lineRule="auto"/>
        <w:jc w:val="both"/>
        <w:rPr>
          <w:rFonts w:ascii="Verdana" w:eastAsia="Aptos" w:hAnsi="Verdana" w:cs="Arial"/>
          <w:kern w:val="2"/>
          <w:sz w:val="20"/>
          <w:szCs w:val="20"/>
          <w:lang w:val="es-MX"/>
          <w14:ligatures w14:val="standardContextual"/>
        </w:rPr>
      </w:pPr>
      <w:r w:rsidRPr="00C001DB">
        <w:rPr>
          <w:rFonts w:ascii="Verdana" w:eastAsia="Aptos" w:hAnsi="Verdana" w:cs="Arial"/>
          <w:kern w:val="2"/>
          <w:sz w:val="20"/>
          <w:szCs w:val="20"/>
          <w:lang w:val="es-MX"/>
          <w14:ligatures w14:val="standardContextual"/>
        </w:rPr>
        <w:t>Con respecto a la actividad a contratar, la Matriz 1 establece cuáles son las que corresponden a cada uno de los tipos de infraestructura mencionados, con el fin de que la entidad identifique aquellas en las cuales se encuadre de mejor forma el objeto que pretende ejecutar y determinar los requisitos de experiencia exigibles. Por último, el documento establece los rangos dentro de los cuales se debe identificar el presupuesto del proceso de contratación.</w:t>
      </w:r>
    </w:p>
    <w:p w14:paraId="3D5E2D7C" w14:textId="77777777" w:rsidR="00D56237" w:rsidRPr="00D56237" w:rsidRDefault="00D56237" w:rsidP="00D56237">
      <w:pPr>
        <w:spacing w:after="0" w:line="240" w:lineRule="auto"/>
        <w:jc w:val="both"/>
        <w:rPr>
          <w:rFonts w:ascii="Verdana" w:eastAsia="Calibri" w:hAnsi="Verdana" w:cs="Times New Roman"/>
        </w:rPr>
      </w:pPr>
    </w:p>
    <w:p w14:paraId="6103C45D" w14:textId="77777777" w:rsidR="00D56237" w:rsidRPr="00D56237" w:rsidRDefault="00D56237" w:rsidP="00D56237">
      <w:pPr>
        <w:spacing w:after="0" w:line="240" w:lineRule="auto"/>
        <w:jc w:val="both"/>
        <w:rPr>
          <w:rFonts w:ascii="Verdana" w:eastAsia="Calibri" w:hAnsi="Verdana" w:cs="Times New Roman"/>
        </w:rPr>
      </w:pPr>
    </w:p>
    <w:p w14:paraId="68910736" w14:textId="77777777" w:rsidR="00D56237" w:rsidRPr="00D56237" w:rsidRDefault="00D56237" w:rsidP="00D56237">
      <w:pPr>
        <w:spacing w:after="0" w:line="240" w:lineRule="auto"/>
        <w:jc w:val="both"/>
        <w:rPr>
          <w:rFonts w:ascii="Verdana" w:eastAsia="Calibri" w:hAnsi="Verdana" w:cs="Times New Roman"/>
        </w:rPr>
      </w:pPr>
    </w:p>
    <w:p w14:paraId="1ECEA43F" w14:textId="77777777" w:rsidR="00D56237" w:rsidRPr="00D56237" w:rsidRDefault="00D56237" w:rsidP="00D56237">
      <w:pPr>
        <w:spacing w:after="0" w:line="240" w:lineRule="auto"/>
        <w:jc w:val="both"/>
        <w:rPr>
          <w:rFonts w:ascii="Verdana" w:eastAsia="Calibri" w:hAnsi="Verdana" w:cs="Times New Roman"/>
        </w:rPr>
      </w:pPr>
    </w:p>
    <w:p w14:paraId="787FC180" w14:textId="77777777" w:rsidR="00D56237" w:rsidRPr="00D56237" w:rsidRDefault="00D56237" w:rsidP="00D56237">
      <w:pPr>
        <w:spacing w:after="0" w:line="240" w:lineRule="auto"/>
        <w:jc w:val="both"/>
        <w:rPr>
          <w:rFonts w:ascii="Verdana" w:eastAsia="Calibri" w:hAnsi="Verdana" w:cs="Times New Roman"/>
        </w:rPr>
      </w:pPr>
    </w:p>
    <w:p w14:paraId="582F49AE" w14:textId="77777777" w:rsidR="00D56237" w:rsidRPr="00D56237" w:rsidRDefault="00D56237" w:rsidP="00D56237">
      <w:pPr>
        <w:spacing w:after="0" w:line="240" w:lineRule="auto"/>
        <w:jc w:val="both"/>
        <w:rPr>
          <w:rFonts w:ascii="Verdana" w:eastAsia="Calibri" w:hAnsi="Verdana" w:cs="Times New Roman"/>
        </w:rPr>
      </w:pPr>
    </w:p>
    <w:p w14:paraId="292A6D8E" w14:textId="77777777" w:rsidR="00D56237" w:rsidRPr="00D56237" w:rsidRDefault="00D56237" w:rsidP="00D56237">
      <w:pPr>
        <w:spacing w:after="0" w:line="240" w:lineRule="auto"/>
        <w:jc w:val="both"/>
        <w:rPr>
          <w:rFonts w:ascii="Verdana" w:eastAsia="Calibri" w:hAnsi="Verdana" w:cs="Times New Roman"/>
        </w:rPr>
      </w:pPr>
    </w:p>
    <w:p w14:paraId="5BB9B627" w14:textId="77777777" w:rsidR="00D56237" w:rsidRPr="00D56237" w:rsidRDefault="00D56237" w:rsidP="00D56237">
      <w:pPr>
        <w:spacing w:after="0" w:line="240" w:lineRule="auto"/>
        <w:jc w:val="both"/>
        <w:rPr>
          <w:rFonts w:ascii="Verdana" w:eastAsia="Calibri" w:hAnsi="Verdana" w:cs="Times New Roman"/>
        </w:rPr>
      </w:pPr>
    </w:p>
    <w:p w14:paraId="7E8DE0A3" w14:textId="77777777" w:rsidR="00D56237" w:rsidRPr="00D56237" w:rsidRDefault="00D56237" w:rsidP="00D56237">
      <w:pPr>
        <w:spacing w:after="0" w:line="240" w:lineRule="auto"/>
        <w:jc w:val="both"/>
        <w:rPr>
          <w:rFonts w:ascii="Verdana" w:eastAsia="Calibri" w:hAnsi="Verdana" w:cs="Times New Roman"/>
        </w:rPr>
      </w:pPr>
    </w:p>
    <w:p w14:paraId="564A6FAA" w14:textId="7B3A8105" w:rsidR="000F5928" w:rsidRDefault="00D56237" w:rsidP="00D56237">
      <w:pPr>
        <w:spacing w:after="0"/>
        <w:rPr>
          <w:rFonts w:ascii="Verdana" w:hAnsi="Verdana"/>
        </w:rPr>
      </w:pPr>
      <w:r w:rsidRPr="0044528D">
        <w:rPr>
          <w:rFonts w:ascii="Verdana" w:hAnsi="Verdana"/>
        </w:rPr>
        <w:lastRenderedPageBreak/>
        <w:t>Bogotá D.C.,</w:t>
      </w:r>
      <w:r w:rsidRPr="0044528D">
        <w:rPr>
          <w:rFonts w:ascii="Verdana" w:hAnsi="Verdana"/>
        </w:rPr>
        <w:tab/>
      </w:r>
      <w:r w:rsidR="000F5928">
        <w:rPr>
          <w:rFonts w:ascii="Verdana" w:hAnsi="Verdana"/>
        </w:rPr>
        <w:t xml:space="preserve"> </w:t>
      </w:r>
      <w:r w:rsidR="00A33B88">
        <w:rPr>
          <w:rFonts w:ascii="Verdana" w:hAnsi="Verdana"/>
        </w:rPr>
        <w:t>0</w:t>
      </w:r>
      <w:r w:rsidR="001B4F7D">
        <w:rPr>
          <w:rFonts w:ascii="Verdana" w:hAnsi="Verdana"/>
        </w:rPr>
        <w:t>8</w:t>
      </w:r>
      <w:r w:rsidR="00A33B88">
        <w:rPr>
          <w:rFonts w:ascii="Verdana" w:hAnsi="Verdana"/>
        </w:rPr>
        <w:t xml:space="preserve"> de octubre de</w:t>
      </w:r>
      <w:r w:rsidR="000F5928">
        <w:rPr>
          <w:rFonts w:ascii="Verdana" w:hAnsi="Verdana"/>
        </w:rPr>
        <w:t xml:space="preserve"> 2025</w:t>
      </w:r>
    </w:p>
    <w:p w14:paraId="23EFD1B1" w14:textId="00624DAC" w:rsidR="00D56237" w:rsidRPr="00D56237" w:rsidRDefault="00D56237" w:rsidP="00D56237">
      <w:pPr>
        <w:spacing w:after="0"/>
        <w:rPr>
          <w:rFonts w:ascii="Verdana" w:hAnsi="Verdana"/>
        </w:rPr>
      </w:pPr>
      <w:r w:rsidRPr="00D56237">
        <w:rPr>
          <w:rFonts w:ascii="Verdana" w:eastAsia="Calibri" w:hAnsi="Verdana" w:cs="Times New Roman"/>
        </w:rPr>
        <w:tab/>
      </w:r>
    </w:p>
    <w:p w14:paraId="7F4768A6" w14:textId="5E83C32C" w:rsidR="00D56237" w:rsidRPr="00D56237" w:rsidRDefault="001B4F7D" w:rsidP="001B4F7D">
      <w:pPr>
        <w:spacing w:after="0" w:line="240" w:lineRule="auto"/>
        <w:ind w:left="4956"/>
        <w:rPr>
          <w:rFonts w:ascii="Verdana" w:eastAsia="Calibri" w:hAnsi="Verdana" w:cs="Arial"/>
          <w:lang w:val="es-ES"/>
        </w:rPr>
      </w:pPr>
      <w:r>
        <w:rPr>
          <w:noProof/>
        </w:rPr>
        <w:drawing>
          <wp:inline distT="0" distB="0" distL="0" distR="0" wp14:anchorId="7FE368BD" wp14:editId="5236213B">
            <wp:extent cx="2295525" cy="638175"/>
            <wp:effectExtent l="0" t="0" r="9525" b="9525"/>
            <wp:docPr id="43459896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598963" name=""/>
                    <pic:cNvPicPr/>
                  </pic:nvPicPr>
                  <pic:blipFill>
                    <a:blip r:embed="rId10"/>
                    <a:stretch>
                      <a:fillRect/>
                    </a:stretch>
                  </pic:blipFill>
                  <pic:spPr>
                    <a:xfrm>
                      <a:off x="0" y="0"/>
                      <a:ext cx="2295525" cy="638175"/>
                    </a:xfrm>
                    <a:prstGeom prst="rect">
                      <a:avLst/>
                    </a:prstGeom>
                  </pic:spPr>
                </pic:pic>
              </a:graphicData>
            </a:graphic>
          </wp:inline>
        </w:drawing>
      </w:r>
    </w:p>
    <w:p w14:paraId="7186B23F" w14:textId="13F38D12" w:rsidR="00D56237" w:rsidRPr="00D56237" w:rsidRDefault="00D56237" w:rsidP="00D56237">
      <w:pPr>
        <w:spacing w:after="0" w:line="240" w:lineRule="auto"/>
        <w:jc w:val="both"/>
        <w:rPr>
          <w:rFonts w:ascii="Verdana" w:eastAsia="Calibri" w:hAnsi="Verdana" w:cs="Arial"/>
          <w:lang w:val="es-ES" w:eastAsia="es-ES"/>
        </w:rPr>
      </w:pPr>
      <w:r w:rsidRPr="00D56237">
        <w:rPr>
          <w:rFonts w:ascii="Verdana" w:eastAsia="Calibri" w:hAnsi="Verdana" w:cs="Arial"/>
          <w:lang w:val="es-ES" w:eastAsia="es-ES"/>
        </w:rPr>
        <w:t>Señor</w:t>
      </w:r>
    </w:p>
    <w:p w14:paraId="57710429" w14:textId="304B69D7" w:rsidR="00D56237" w:rsidRDefault="00A33B88" w:rsidP="00D56237">
      <w:pPr>
        <w:spacing w:after="0" w:line="240" w:lineRule="auto"/>
        <w:rPr>
          <w:rFonts w:ascii="Verdana" w:eastAsia="Calibri" w:hAnsi="Verdana" w:cs="Arial"/>
          <w:b/>
          <w:lang w:val="es-ES_tradnl" w:eastAsia="es-ES_tradnl"/>
        </w:rPr>
      </w:pPr>
      <w:r w:rsidRPr="00A33B88">
        <w:rPr>
          <w:rFonts w:ascii="Verdana" w:eastAsia="Calibri" w:hAnsi="Verdana" w:cs="Arial"/>
          <w:b/>
          <w:lang w:val="es-ES_tradnl" w:eastAsia="es-ES_tradnl"/>
        </w:rPr>
        <w:t>Juan Felipe Bonilla Quintana</w:t>
      </w:r>
    </w:p>
    <w:p w14:paraId="15F6BFF3" w14:textId="528B074C" w:rsidR="00A33B88" w:rsidRDefault="00A33B88" w:rsidP="00D56237">
      <w:pPr>
        <w:spacing w:after="0" w:line="240" w:lineRule="auto"/>
        <w:rPr>
          <w:rFonts w:ascii="Verdana" w:eastAsia="Calibri" w:hAnsi="Verdana" w:cs="Arial"/>
          <w:b/>
          <w:lang w:val="es-ES_tradnl" w:eastAsia="es-ES_tradnl"/>
        </w:rPr>
      </w:pPr>
      <w:hyperlink r:id="rId11" w:history="1">
        <w:r w:rsidRPr="00304DE8">
          <w:rPr>
            <w:rStyle w:val="Hipervnculo"/>
            <w:rFonts w:ascii="Verdana" w:eastAsia="Calibri" w:hAnsi="Verdana" w:cs="Arial"/>
            <w:b/>
            <w:lang w:val="es-ES_tradnl" w:eastAsia="es-ES_tradnl"/>
          </w:rPr>
          <w:t>jfelipebonilla@gmail.com</w:t>
        </w:r>
      </w:hyperlink>
    </w:p>
    <w:p w14:paraId="25B97AAE" w14:textId="5C66B8B8" w:rsidR="00D56237" w:rsidRPr="00D56237" w:rsidRDefault="00A33B88" w:rsidP="00D56237">
      <w:pPr>
        <w:spacing w:after="0" w:line="240" w:lineRule="auto"/>
        <w:rPr>
          <w:rFonts w:ascii="Verdana" w:eastAsia="Calibri" w:hAnsi="Verdana" w:cs="Arial"/>
          <w:b/>
          <w:bCs/>
          <w:lang w:val="es-ES_tradnl" w:eastAsia="es-ES_tradnl"/>
        </w:rPr>
      </w:pPr>
      <w:r>
        <w:rPr>
          <w:rFonts w:ascii="Verdana" w:eastAsia="Calibri" w:hAnsi="Verdana" w:cs="Arial"/>
          <w:bCs/>
          <w:lang w:val="es-ES_tradnl" w:eastAsia="es-ES_tradnl"/>
        </w:rPr>
        <w:t>Popayán</w:t>
      </w:r>
      <w:r w:rsidR="00D56237" w:rsidRPr="00D56237">
        <w:rPr>
          <w:rFonts w:ascii="Verdana" w:eastAsia="Calibri" w:hAnsi="Verdana" w:cs="Arial"/>
          <w:bCs/>
          <w:lang w:val="es-ES_tradnl" w:eastAsia="es-ES_tradnl"/>
        </w:rPr>
        <w:t xml:space="preserve">, </w:t>
      </w:r>
      <w:r>
        <w:rPr>
          <w:rFonts w:ascii="Verdana" w:eastAsia="Calibri" w:hAnsi="Verdana" w:cs="Arial"/>
          <w:bCs/>
          <w:lang w:val="es-ES_tradnl" w:eastAsia="es-ES_tradnl"/>
        </w:rPr>
        <w:t>Nariño</w:t>
      </w:r>
    </w:p>
    <w:p w14:paraId="57A41A42" w14:textId="77777777" w:rsidR="00D56237" w:rsidRPr="00D56237" w:rsidRDefault="00D56237" w:rsidP="00D56237">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56237" w:rsidRPr="00D56237" w14:paraId="1DFDCB4C" w14:textId="77777777" w:rsidTr="00E873D5">
        <w:trPr>
          <w:trHeight w:val="884"/>
        </w:trPr>
        <w:tc>
          <w:tcPr>
            <w:tcW w:w="2689" w:type="dxa"/>
          </w:tcPr>
          <w:p w14:paraId="4D9046E5" w14:textId="77777777" w:rsidR="00D56237" w:rsidRPr="00D56237" w:rsidRDefault="00D56237" w:rsidP="00D56237">
            <w:pPr>
              <w:jc w:val="both"/>
              <w:rPr>
                <w:rFonts w:ascii="Verdana" w:eastAsia="Calibri" w:hAnsi="Verdana" w:cs="Arial"/>
                <w:b/>
                <w:bCs/>
                <w:lang w:val="es-ES_tradnl" w:eastAsia="es-ES_tradnl"/>
              </w:rPr>
            </w:pPr>
          </w:p>
        </w:tc>
        <w:tc>
          <w:tcPr>
            <w:tcW w:w="6100" w:type="dxa"/>
          </w:tcPr>
          <w:p w14:paraId="32FC8EC4" w14:textId="720F98E4" w:rsidR="00D56237" w:rsidRPr="00D56237" w:rsidRDefault="00D56237" w:rsidP="00D56237">
            <w:pPr>
              <w:jc w:val="both"/>
              <w:rPr>
                <w:rFonts w:ascii="Verdana" w:eastAsia="Calibri" w:hAnsi="Verdana" w:cs="Arial"/>
                <w:b/>
                <w:bCs/>
                <w:lang w:val="es-ES" w:eastAsia="es-ES"/>
              </w:rPr>
            </w:pPr>
            <w:r w:rsidRPr="00D56237">
              <w:rPr>
                <w:rFonts w:ascii="Verdana" w:eastAsia="Calibri" w:hAnsi="Verdana" w:cs="Arial"/>
                <w:b/>
                <w:bCs/>
                <w:lang w:val="es-ES" w:eastAsia="es-ES"/>
              </w:rPr>
              <w:t xml:space="preserve">Concepto C – </w:t>
            </w:r>
            <w:r w:rsidR="00A33B88">
              <w:rPr>
                <w:rFonts w:ascii="Verdana" w:eastAsia="Calibri" w:hAnsi="Verdana" w:cs="Arial"/>
                <w:b/>
                <w:bCs/>
                <w:lang w:val="es-ES" w:eastAsia="es-ES"/>
              </w:rPr>
              <w:t>1219</w:t>
            </w:r>
            <w:r w:rsidRPr="00D56237">
              <w:rPr>
                <w:rFonts w:ascii="Verdana" w:eastAsia="Calibri" w:hAnsi="Verdana" w:cs="Arial"/>
                <w:b/>
                <w:bCs/>
                <w:lang w:val="es-ES" w:eastAsia="es-ES"/>
              </w:rPr>
              <w:t xml:space="preserve"> de 2025</w:t>
            </w:r>
          </w:p>
        </w:tc>
      </w:tr>
      <w:tr w:rsidR="00D56237" w:rsidRPr="00D56237" w14:paraId="5E4DB33A" w14:textId="77777777" w:rsidTr="00E873D5">
        <w:trPr>
          <w:trHeight w:val="884"/>
        </w:trPr>
        <w:tc>
          <w:tcPr>
            <w:tcW w:w="2689" w:type="dxa"/>
          </w:tcPr>
          <w:p w14:paraId="2C6CF123" w14:textId="77777777" w:rsidR="00D56237" w:rsidRPr="00D56237" w:rsidRDefault="00D56237" w:rsidP="00D56237">
            <w:pPr>
              <w:jc w:val="both"/>
              <w:rPr>
                <w:rFonts w:ascii="Verdana" w:eastAsia="Calibri" w:hAnsi="Verdana" w:cs="Arial"/>
                <w:lang w:val="es-ES_tradnl" w:eastAsia="es-ES_tradnl"/>
              </w:rPr>
            </w:pPr>
            <w:r w:rsidRPr="00D56237">
              <w:rPr>
                <w:rFonts w:ascii="Verdana" w:eastAsia="Calibri" w:hAnsi="Verdana" w:cs="Arial"/>
                <w:b/>
                <w:lang w:val="es-ES_tradnl" w:eastAsia="es-ES_tradnl"/>
              </w:rPr>
              <w:t>Temas:</w:t>
            </w:r>
            <w:r w:rsidRPr="00D56237">
              <w:rPr>
                <w:rFonts w:ascii="Verdana" w:eastAsia="Calibri" w:hAnsi="Verdana" w:cs="Arial"/>
                <w:lang w:val="es-ES_tradnl" w:eastAsia="es-ES_tradnl"/>
              </w:rPr>
              <w:t xml:space="preserve">                   </w:t>
            </w:r>
          </w:p>
        </w:tc>
        <w:tc>
          <w:tcPr>
            <w:tcW w:w="6100" w:type="dxa"/>
          </w:tcPr>
          <w:p w14:paraId="6A6B8CFA" w14:textId="77777777" w:rsidR="00D56237" w:rsidRPr="00D56237" w:rsidRDefault="00D56237" w:rsidP="00D56237">
            <w:pPr>
              <w:snapToGrid w:val="0"/>
              <w:spacing w:line="276" w:lineRule="auto"/>
              <w:jc w:val="both"/>
              <w:rPr>
                <w:rFonts w:ascii="Verdana" w:eastAsia="Aptos" w:hAnsi="Verdana" w:cs="Arial"/>
                <w:lang w:val="es-MX"/>
              </w:rPr>
            </w:pPr>
            <w:r w:rsidRPr="00D56237">
              <w:rPr>
                <w:rFonts w:ascii="Verdana" w:eastAsia="Aptos" w:hAnsi="Verdana" w:cs="Arial"/>
                <w:lang w:val="es-MX"/>
              </w:rPr>
              <w:t>EXPERIENCIA – Concepto – Documentos Tipo / DOCUMENTOS TIPO – Infraestructura de agua potable y saneamiento básico – Matriz 1 – Acreditación de la experiencia</w:t>
            </w:r>
          </w:p>
          <w:p w14:paraId="3B0C34AD" w14:textId="77777777" w:rsidR="00D56237" w:rsidRPr="00D56237" w:rsidRDefault="00D56237" w:rsidP="00D56237">
            <w:pPr>
              <w:spacing w:line="276" w:lineRule="auto"/>
              <w:jc w:val="both"/>
              <w:rPr>
                <w:rFonts w:ascii="Verdana" w:eastAsia="Aptos" w:hAnsi="Verdana" w:cs="Arial"/>
                <w:b/>
                <w:bCs/>
                <w:lang w:val="es-MX"/>
              </w:rPr>
            </w:pPr>
          </w:p>
        </w:tc>
      </w:tr>
      <w:tr w:rsidR="00D56237" w:rsidRPr="00D56237" w14:paraId="4216C827" w14:textId="77777777" w:rsidTr="00E873D5">
        <w:tc>
          <w:tcPr>
            <w:tcW w:w="2689" w:type="dxa"/>
          </w:tcPr>
          <w:p w14:paraId="65E1A4DD" w14:textId="77777777" w:rsidR="00D56237" w:rsidRPr="00D56237" w:rsidRDefault="00D56237" w:rsidP="00D56237">
            <w:pPr>
              <w:jc w:val="both"/>
              <w:rPr>
                <w:rFonts w:ascii="Verdana" w:eastAsia="Calibri" w:hAnsi="Verdana" w:cs="Arial"/>
                <w:b/>
                <w:lang w:val="es-ES_tradnl" w:eastAsia="es-ES_tradnl"/>
              </w:rPr>
            </w:pPr>
            <w:r w:rsidRPr="00D56237">
              <w:rPr>
                <w:rFonts w:ascii="Verdana" w:eastAsia="Calibri" w:hAnsi="Verdana" w:cs="Arial"/>
                <w:b/>
                <w:lang w:val="es-ES_tradnl" w:eastAsia="es-ES_tradnl"/>
              </w:rPr>
              <w:t>Radicación:</w:t>
            </w:r>
            <w:r w:rsidRPr="00D56237">
              <w:rPr>
                <w:rFonts w:ascii="Verdana" w:eastAsia="Calibri" w:hAnsi="Verdana" w:cs="Arial"/>
                <w:lang w:val="es-ES_tradnl" w:eastAsia="es-ES_tradnl"/>
              </w:rPr>
              <w:t xml:space="preserve">               </w:t>
            </w:r>
          </w:p>
        </w:tc>
        <w:tc>
          <w:tcPr>
            <w:tcW w:w="6100" w:type="dxa"/>
          </w:tcPr>
          <w:p w14:paraId="1C7EA899" w14:textId="76E59764" w:rsidR="00D56237" w:rsidRPr="00D56237" w:rsidRDefault="00D56237" w:rsidP="00D56237">
            <w:pPr>
              <w:jc w:val="both"/>
              <w:rPr>
                <w:rFonts w:ascii="Verdana" w:eastAsia="Calibri" w:hAnsi="Verdana" w:cs="Arial"/>
                <w:lang w:val="es-ES_tradnl" w:eastAsia="es-ES_tradnl"/>
              </w:rPr>
            </w:pPr>
            <w:r w:rsidRPr="00D56237">
              <w:rPr>
                <w:rFonts w:ascii="Verdana" w:eastAsia="Calibri" w:hAnsi="Verdana" w:cs="Arial"/>
                <w:lang w:val="es-ES_tradnl" w:eastAsia="es-ES_tradnl"/>
              </w:rPr>
              <w:t xml:space="preserve">Respuesta a consulta con radicado No. </w:t>
            </w:r>
            <w:r w:rsidR="00A33B88" w:rsidRPr="00A33B88">
              <w:rPr>
                <w:rFonts w:ascii="Verdana" w:eastAsia="Calibri" w:hAnsi="Verdana" w:cs="Arial"/>
                <w:lang w:val="es-ES_tradnl" w:eastAsia="es-ES_tradnl"/>
              </w:rPr>
              <w:t>1_2025_08_28_009220</w:t>
            </w:r>
          </w:p>
        </w:tc>
      </w:tr>
    </w:tbl>
    <w:p w14:paraId="7F096073" w14:textId="77777777" w:rsidR="00D56237" w:rsidRPr="00D56237" w:rsidRDefault="00D56237" w:rsidP="00D56237">
      <w:pPr>
        <w:spacing w:after="0" w:line="240" w:lineRule="auto"/>
        <w:jc w:val="both"/>
        <w:rPr>
          <w:rFonts w:ascii="Verdana" w:eastAsia="Calibri" w:hAnsi="Verdana" w:cs="Arial"/>
          <w:lang w:val="es-ES_tradnl" w:eastAsia="es-ES_tradnl"/>
        </w:rPr>
      </w:pPr>
    </w:p>
    <w:p w14:paraId="25C60547" w14:textId="77777777" w:rsidR="00D56237" w:rsidRPr="00D56237" w:rsidRDefault="00D56237" w:rsidP="00D56237">
      <w:pPr>
        <w:spacing w:after="0" w:line="240" w:lineRule="auto"/>
        <w:jc w:val="both"/>
        <w:rPr>
          <w:rFonts w:ascii="Verdana" w:eastAsia="Calibri" w:hAnsi="Verdana" w:cs="Arial"/>
          <w:lang w:val="es-ES_tradnl" w:eastAsia="es-ES_tradnl"/>
        </w:rPr>
      </w:pPr>
    </w:p>
    <w:p w14:paraId="38C5450B" w14:textId="1A01C764" w:rsidR="00D56237" w:rsidRPr="00D56237" w:rsidRDefault="00D56237" w:rsidP="00D56237">
      <w:pPr>
        <w:spacing w:after="0" w:line="276" w:lineRule="auto"/>
        <w:jc w:val="both"/>
        <w:rPr>
          <w:rFonts w:ascii="Verdana" w:eastAsia="Calibri" w:hAnsi="Verdana" w:cs="Arial"/>
          <w:lang w:val="es-ES" w:eastAsia="es-ES"/>
        </w:rPr>
      </w:pPr>
      <w:r w:rsidRPr="00D56237">
        <w:rPr>
          <w:rFonts w:ascii="Verdana" w:eastAsia="Calibri" w:hAnsi="Verdana" w:cs="Arial"/>
          <w:lang w:val="es-ES" w:eastAsia="es-ES"/>
        </w:rPr>
        <w:t>Estimad</w:t>
      </w:r>
      <w:r w:rsidR="001B4F7D">
        <w:rPr>
          <w:rFonts w:ascii="Verdana" w:eastAsia="Calibri" w:hAnsi="Verdana" w:cs="Arial"/>
          <w:lang w:val="es-ES" w:eastAsia="es-ES"/>
        </w:rPr>
        <w:t>o</w:t>
      </w:r>
      <w:r w:rsidRPr="00D56237">
        <w:rPr>
          <w:rFonts w:ascii="Verdana" w:eastAsia="Calibri" w:hAnsi="Verdana" w:cs="Arial"/>
          <w:lang w:val="es-ES" w:eastAsia="es-ES"/>
        </w:rPr>
        <w:t xml:space="preserve"> señor </w:t>
      </w:r>
      <w:r w:rsidR="001B4F7D" w:rsidRPr="001B4F7D">
        <w:rPr>
          <w:rFonts w:ascii="Verdana" w:eastAsia="Calibri" w:hAnsi="Verdana" w:cs="Arial"/>
          <w:lang w:val="es-ES" w:eastAsia="es-ES"/>
        </w:rPr>
        <w:t>Bonilla Quintana</w:t>
      </w:r>
      <w:r w:rsidRPr="00D56237">
        <w:rPr>
          <w:rFonts w:ascii="Verdana" w:eastAsia="Calibri" w:hAnsi="Verdana" w:cs="Arial"/>
          <w:lang w:val="es-ES" w:eastAsia="es-ES"/>
        </w:rPr>
        <w:t xml:space="preserve">: </w:t>
      </w:r>
    </w:p>
    <w:p w14:paraId="02F67F15" w14:textId="77777777" w:rsidR="00D56237" w:rsidRPr="00D56237" w:rsidRDefault="00D56237" w:rsidP="00D56237">
      <w:pPr>
        <w:tabs>
          <w:tab w:val="left" w:pos="3768"/>
        </w:tabs>
        <w:spacing w:after="0" w:line="276" w:lineRule="auto"/>
        <w:jc w:val="both"/>
        <w:rPr>
          <w:rFonts w:ascii="Verdana" w:eastAsia="Calibri" w:hAnsi="Verdana" w:cs="Arial"/>
          <w:lang w:val="es-ES" w:eastAsia="es-ES"/>
        </w:rPr>
      </w:pPr>
      <w:r w:rsidRPr="00D56237">
        <w:rPr>
          <w:rFonts w:ascii="Verdana" w:eastAsia="Calibri" w:hAnsi="Verdana" w:cs="Arial"/>
          <w:lang w:val="es-ES" w:eastAsia="es-ES"/>
        </w:rPr>
        <w:tab/>
      </w:r>
    </w:p>
    <w:p w14:paraId="4575F210" w14:textId="2F6BBDFA" w:rsidR="00D56237" w:rsidRPr="00D56237" w:rsidRDefault="00D56237" w:rsidP="00D56237">
      <w:pPr>
        <w:spacing w:after="0" w:line="276" w:lineRule="auto"/>
        <w:jc w:val="both"/>
        <w:rPr>
          <w:rFonts w:ascii="Verdana" w:eastAsia="Calibri" w:hAnsi="Verdana" w:cs="Arial"/>
          <w:lang w:val="es-ES" w:eastAsia="es-ES"/>
        </w:rPr>
      </w:pPr>
      <w:r w:rsidRPr="00D56237">
        <w:rPr>
          <w:rFonts w:ascii="Verdana" w:eastAsia="Calibri" w:hAnsi="Verdana" w:cs="Arial"/>
          <w:lang w:val="es-ES" w:eastAsia="es-ES"/>
        </w:rPr>
        <w:t>En ejercicio de la competencia otorgada por los artículos 3, numeral 5º, y 11, numeral 8º, del Decreto Ley 4170 de 2011,</w:t>
      </w:r>
      <w:r w:rsidRPr="00D56237">
        <w:rPr>
          <w:rFonts w:ascii="Verdana" w:eastAsia="Arial MT" w:hAnsi="Verdana" w:cs="Arial MT"/>
          <w:lang w:val="es-ES" w:eastAsia="es-ES"/>
        </w:rPr>
        <w:t xml:space="preserve"> </w:t>
      </w:r>
      <w:r w:rsidRPr="00D56237">
        <w:rPr>
          <w:rFonts w:ascii="Verdana" w:eastAsia="Calibri" w:hAnsi="Verdana" w:cs="Arial"/>
        </w:rPr>
        <w:t xml:space="preserve">así como lo establecido en el artículo 4 de la Resolución 1707 de 2018 expedida por esta Entidad, </w:t>
      </w:r>
      <w:r w:rsidRPr="00D56237">
        <w:rPr>
          <w:rFonts w:ascii="Verdana" w:eastAsia="Calibri" w:hAnsi="Verdana" w:cs="Arial"/>
          <w:lang w:val="es-ES" w:eastAsia="es-ES"/>
        </w:rPr>
        <w:t xml:space="preserve">la Agencia Nacional de Contratación Pública –Colombia Compra Eficiente– responde su solicitud de consulta de fecha </w:t>
      </w:r>
      <w:r w:rsidR="00A33B88">
        <w:rPr>
          <w:rFonts w:ascii="Verdana" w:eastAsia="Calibri" w:hAnsi="Verdana" w:cs="Arial"/>
          <w:lang w:val="es-ES" w:eastAsia="es-ES"/>
        </w:rPr>
        <w:t>28</w:t>
      </w:r>
      <w:r w:rsidRPr="00D56237">
        <w:rPr>
          <w:rFonts w:ascii="Verdana" w:eastAsia="Calibri" w:hAnsi="Verdana" w:cs="Arial"/>
          <w:lang w:val="es-ES" w:eastAsia="es-ES"/>
        </w:rPr>
        <w:t xml:space="preserve"> de </w:t>
      </w:r>
      <w:r w:rsidR="00A33B88">
        <w:rPr>
          <w:rFonts w:ascii="Verdana" w:eastAsia="Calibri" w:hAnsi="Verdana" w:cs="Arial"/>
          <w:lang w:val="es-ES" w:eastAsia="es-ES"/>
        </w:rPr>
        <w:t>agosto</w:t>
      </w:r>
      <w:r w:rsidRPr="00D56237">
        <w:rPr>
          <w:rFonts w:ascii="Verdana" w:eastAsia="Calibri" w:hAnsi="Verdana" w:cs="Arial"/>
          <w:lang w:val="es-ES" w:eastAsia="es-ES"/>
        </w:rPr>
        <w:t xml:space="preserve"> de 2025, en la que manifiesta lo siguiente: </w:t>
      </w:r>
    </w:p>
    <w:p w14:paraId="58D43AD0" w14:textId="77777777" w:rsidR="00D56237" w:rsidRPr="00D56237" w:rsidRDefault="00D56237" w:rsidP="00D56237">
      <w:pPr>
        <w:tabs>
          <w:tab w:val="left" w:pos="142"/>
          <w:tab w:val="left" w:pos="284"/>
        </w:tabs>
        <w:spacing w:line="276" w:lineRule="auto"/>
        <w:contextualSpacing/>
        <w:jc w:val="both"/>
        <w:rPr>
          <w:rFonts w:ascii="Verdana" w:eastAsia="Century Gothic" w:hAnsi="Verdana" w:cs="Century Gothic"/>
          <w:b/>
          <w:bCs/>
          <w:lang w:val="es-ES"/>
        </w:rPr>
      </w:pPr>
    </w:p>
    <w:p w14:paraId="65B89DF4" w14:textId="1BD97DD3" w:rsidR="00A33B88" w:rsidRPr="00A33B88" w:rsidRDefault="00D56237" w:rsidP="00A33B88">
      <w:pPr>
        <w:spacing w:after="0" w:line="240" w:lineRule="auto"/>
        <w:ind w:left="709" w:right="709"/>
        <w:jc w:val="both"/>
        <w:rPr>
          <w:rFonts w:ascii="Verdana" w:eastAsia="Century Gothic" w:hAnsi="Verdana" w:cs="Century Gothic"/>
          <w:i/>
          <w:iCs/>
          <w:sz w:val="21"/>
          <w:szCs w:val="21"/>
          <w:lang w:val="es-ES"/>
        </w:rPr>
      </w:pPr>
      <w:r w:rsidRPr="00D56237">
        <w:rPr>
          <w:rFonts w:ascii="Verdana" w:eastAsia="Century Gothic" w:hAnsi="Verdana" w:cs="Century Gothic"/>
          <w:sz w:val="21"/>
          <w:szCs w:val="21"/>
          <w:lang w:val="es-ES"/>
        </w:rPr>
        <w:t>“</w:t>
      </w:r>
      <w:r w:rsidR="00A33B88" w:rsidRPr="00A33B88">
        <w:rPr>
          <w:rFonts w:ascii="Verdana" w:eastAsia="Century Gothic" w:hAnsi="Verdana" w:cs="Century Gothic"/>
          <w:i/>
          <w:iCs/>
          <w:sz w:val="21"/>
          <w:szCs w:val="21"/>
          <w:lang w:val="es-ES"/>
        </w:rPr>
        <w:t xml:space="preserve">En la Matriz de experiencia para licitaciones de APSB, para proyectos de acueductos o alcantarillados se requiere una experiencia específica obligatoria referente a longitud de tubería. En estos se debe cumplir con un proyecto cuya longitud total sea al menos la establecida según </w:t>
      </w:r>
      <w:proofErr w:type="spellStart"/>
      <w:r w:rsidR="00A33B88" w:rsidRPr="00A33B88">
        <w:rPr>
          <w:rFonts w:ascii="Verdana" w:eastAsia="Century Gothic" w:hAnsi="Verdana" w:cs="Century Gothic"/>
          <w:i/>
          <w:iCs/>
          <w:sz w:val="21"/>
          <w:szCs w:val="21"/>
          <w:lang w:val="es-ES"/>
        </w:rPr>
        <w:t>el</w:t>
      </w:r>
      <w:proofErr w:type="spellEnd"/>
      <w:r w:rsidR="00A33B88" w:rsidRPr="00A33B88">
        <w:rPr>
          <w:rFonts w:ascii="Verdana" w:eastAsia="Century Gothic" w:hAnsi="Verdana" w:cs="Century Gothic"/>
          <w:i/>
          <w:iCs/>
          <w:sz w:val="21"/>
          <w:szCs w:val="21"/>
          <w:lang w:val="es-ES"/>
        </w:rPr>
        <w:t xml:space="preserve"> % asignado en la matriz y las cantidades del proyecto; y que la tubería que tiene mayor relevancia en el contrato sea la escogida por la entidad.</w:t>
      </w:r>
    </w:p>
    <w:p w14:paraId="535268B7" w14:textId="0A4675E2" w:rsidR="00A33B88" w:rsidRPr="00A33B88" w:rsidRDefault="00A33B88" w:rsidP="00A33B88">
      <w:pPr>
        <w:spacing w:after="0" w:line="240" w:lineRule="auto"/>
        <w:ind w:left="709" w:right="709"/>
        <w:jc w:val="both"/>
        <w:rPr>
          <w:rFonts w:ascii="Verdana" w:eastAsia="Century Gothic" w:hAnsi="Verdana" w:cs="Century Gothic"/>
          <w:i/>
          <w:iCs/>
          <w:sz w:val="21"/>
          <w:szCs w:val="21"/>
          <w:lang w:val="es-ES"/>
        </w:rPr>
      </w:pPr>
      <w:r w:rsidRPr="00A33B88">
        <w:rPr>
          <w:rFonts w:ascii="Verdana" w:eastAsia="Century Gothic" w:hAnsi="Verdana" w:cs="Century Gothic"/>
          <w:i/>
          <w:iCs/>
          <w:sz w:val="21"/>
          <w:szCs w:val="21"/>
          <w:lang w:val="es-ES"/>
        </w:rPr>
        <w:t xml:space="preserve">En algunos casos se está interpretando por las entidades que se debe reportar experiencia en </w:t>
      </w:r>
      <w:proofErr w:type="spellStart"/>
      <w:r w:rsidRPr="00A33B88">
        <w:rPr>
          <w:rFonts w:ascii="Verdana" w:eastAsia="Century Gothic" w:hAnsi="Verdana" w:cs="Century Gothic"/>
          <w:i/>
          <w:iCs/>
          <w:sz w:val="21"/>
          <w:szCs w:val="21"/>
          <w:lang w:val="es-ES"/>
        </w:rPr>
        <w:t>el</w:t>
      </w:r>
      <w:proofErr w:type="spellEnd"/>
      <w:r w:rsidRPr="00A33B88">
        <w:rPr>
          <w:rFonts w:ascii="Verdana" w:eastAsia="Century Gothic" w:hAnsi="Verdana" w:cs="Century Gothic"/>
          <w:i/>
          <w:iCs/>
          <w:sz w:val="21"/>
          <w:szCs w:val="21"/>
          <w:lang w:val="es-ES"/>
        </w:rPr>
        <w:t xml:space="preserve"> % de longitud establecida con tubería únicamente del diámetro o rango escogido por la entidad, siendo algo </w:t>
      </w:r>
      <w:r w:rsidRPr="00A33B88">
        <w:rPr>
          <w:rFonts w:ascii="Verdana" w:eastAsia="Century Gothic" w:hAnsi="Verdana" w:cs="Century Gothic"/>
          <w:i/>
          <w:iCs/>
          <w:sz w:val="21"/>
          <w:szCs w:val="21"/>
          <w:lang w:val="es-ES"/>
        </w:rPr>
        <w:lastRenderedPageBreak/>
        <w:t xml:space="preserve">diferente a lo planteado en la matriz. Por lo </w:t>
      </w:r>
      <w:proofErr w:type="gramStart"/>
      <w:r w:rsidRPr="00A33B88">
        <w:rPr>
          <w:rFonts w:ascii="Verdana" w:eastAsia="Century Gothic" w:hAnsi="Verdana" w:cs="Century Gothic"/>
          <w:i/>
          <w:iCs/>
          <w:sz w:val="21"/>
          <w:szCs w:val="21"/>
          <w:lang w:val="es-ES"/>
        </w:rPr>
        <w:t>tanto</w:t>
      </w:r>
      <w:proofErr w:type="gramEnd"/>
      <w:r w:rsidRPr="00A33B88">
        <w:rPr>
          <w:rFonts w:ascii="Verdana" w:eastAsia="Century Gothic" w:hAnsi="Verdana" w:cs="Century Gothic"/>
          <w:i/>
          <w:iCs/>
          <w:sz w:val="21"/>
          <w:szCs w:val="21"/>
          <w:lang w:val="es-ES"/>
        </w:rPr>
        <w:t xml:space="preserve"> se solicita aclarar si: 1. La longitud total requerida puede ser de cualquier diámetro. 2. La tubería de mayor relevancia del contrato de experiencia es la que debe clasificar en el diámetro o rango escogido por la entidad. 3. La mayor</w:t>
      </w:r>
    </w:p>
    <w:p w14:paraId="2D363EBB" w14:textId="1B881ECE" w:rsidR="00D56237" w:rsidRPr="00D56237" w:rsidRDefault="00A33B88" w:rsidP="00A33B88">
      <w:pPr>
        <w:spacing w:after="0" w:line="240" w:lineRule="auto"/>
        <w:ind w:left="709" w:right="709"/>
        <w:jc w:val="both"/>
        <w:rPr>
          <w:rFonts w:ascii="Verdana" w:eastAsia="Century Gothic" w:hAnsi="Verdana" w:cs="Century Gothic"/>
          <w:sz w:val="21"/>
          <w:szCs w:val="21"/>
          <w:lang w:val="es-ES"/>
        </w:rPr>
      </w:pPr>
      <w:r w:rsidRPr="00A33B88">
        <w:rPr>
          <w:rFonts w:ascii="Verdana" w:eastAsia="Century Gothic" w:hAnsi="Verdana" w:cs="Century Gothic"/>
          <w:i/>
          <w:iCs/>
          <w:sz w:val="21"/>
          <w:szCs w:val="21"/>
          <w:lang w:val="es-ES"/>
        </w:rPr>
        <w:t>relevancia corresponde a mayor valor o longitud</w:t>
      </w:r>
      <w:r w:rsidRPr="00A33B88">
        <w:rPr>
          <w:rFonts w:ascii="Verdana" w:eastAsia="Century Gothic" w:hAnsi="Verdana" w:cs="Century Gothic"/>
          <w:sz w:val="21"/>
          <w:szCs w:val="21"/>
          <w:lang w:val="es-ES"/>
        </w:rPr>
        <w:t>?</w:t>
      </w:r>
      <w:r w:rsidR="00D56237" w:rsidRPr="00D56237">
        <w:rPr>
          <w:rFonts w:ascii="Verdana" w:eastAsia="Century Gothic" w:hAnsi="Verdana" w:cs="Century Gothic"/>
          <w:sz w:val="21"/>
          <w:szCs w:val="21"/>
          <w:lang w:val="es-ES"/>
        </w:rPr>
        <w:t>” [SIC]</w:t>
      </w:r>
    </w:p>
    <w:p w14:paraId="151156CA" w14:textId="77777777" w:rsidR="00D56237" w:rsidRPr="00D56237" w:rsidRDefault="00D56237" w:rsidP="00D56237">
      <w:pPr>
        <w:spacing w:after="0" w:line="240" w:lineRule="auto"/>
        <w:ind w:right="709"/>
        <w:jc w:val="both"/>
        <w:rPr>
          <w:rFonts w:ascii="Verdana" w:eastAsia="Century Gothic" w:hAnsi="Verdana" w:cs="Century Gothic"/>
          <w:lang w:val="es-ES"/>
        </w:rPr>
      </w:pPr>
    </w:p>
    <w:p w14:paraId="553B4877" w14:textId="77777777" w:rsidR="00D56237" w:rsidRPr="00D56237" w:rsidRDefault="00D56237" w:rsidP="00D56237">
      <w:pPr>
        <w:spacing w:after="120" w:line="276" w:lineRule="auto"/>
        <w:ind w:firstLine="709"/>
        <w:jc w:val="both"/>
        <w:rPr>
          <w:rFonts w:ascii="Verdana" w:eastAsia="Calibri" w:hAnsi="Verdana" w:cs="Arial"/>
          <w:szCs w:val="24"/>
          <w:lang w:val="es-ES_tradnl" w:eastAsia="es-ES_tradnl"/>
        </w:rPr>
      </w:pPr>
      <w:r w:rsidRPr="00D56237">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56237">
        <w:rPr>
          <w:rFonts w:ascii="Verdana" w:eastAsia="Calibri" w:hAnsi="Verdana" w:cs="Arial"/>
          <w:szCs w:val="24"/>
          <w:lang w:val="es-ES_tradnl" w:eastAsia="es-ES_tradnl"/>
        </w:rPr>
        <w:tab/>
      </w:r>
    </w:p>
    <w:p w14:paraId="5E57E933" w14:textId="77777777" w:rsidR="00D56237" w:rsidRPr="00D56237" w:rsidRDefault="00D56237" w:rsidP="00D56237">
      <w:pPr>
        <w:spacing w:after="0" w:line="276" w:lineRule="auto"/>
        <w:ind w:firstLine="709"/>
        <w:jc w:val="both"/>
        <w:rPr>
          <w:rFonts w:ascii="Verdana" w:eastAsia="Calibri" w:hAnsi="Verdana" w:cs="Arial"/>
          <w:lang w:val="es-ES" w:eastAsia="es-ES"/>
        </w:rPr>
      </w:pPr>
      <w:r w:rsidRPr="00D56237">
        <w:rPr>
          <w:rFonts w:ascii="Verdana" w:eastAsia="Calibri" w:hAnsi="Verdana" w:cs="Arial"/>
          <w:lang w:val="es-ES"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D9A3FE9" w14:textId="77777777" w:rsidR="00D56237" w:rsidRPr="00D56237" w:rsidRDefault="00D56237" w:rsidP="00D56237">
      <w:pPr>
        <w:spacing w:after="0" w:line="276" w:lineRule="auto"/>
        <w:ind w:firstLine="709"/>
        <w:jc w:val="both"/>
        <w:rPr>
          <w:rFonts w:ascii="Verdana" w:eastAsia="Calibri" w:hAnsi="Verdana" w:cs="Arial"/>
          <w:lang w:val="es-ES" w:eastAsia="es-ES"/>
        </w:rPr>
      </w:pPr>
    </w:p>
    <w:p w14:paraId="5192CD8C" w14:textId="77777777" w:rsidR="00D56237" w:rsidRPr="00D56237" w:rsidRDefault="00D56237" w:rsidP="00D56237">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rPr>
      </w:pPr>
      <w:r w:rsidRPr="00D56237">
        <w:rPr>
          <w:rFonts w:ascii="Verdana" w:eastAsia="Century Gothic" w:hAnsi="Verdana" w:cs="Century Gothic"/>
          <w:b/>
          <w:bCs/>
          <w:lang w:val="es-ES"/>
        </w:rPr>
        <w:t>Problema planteado:</w:t>
      </w:r>
    </w:p>
    <w:p w14:paraId="07E4501A" w14:textId="77777777" w:rsidR="00D56237" w:rsidRPr="00D56237" w:rsidRDefault="00D56237" w:rsidP="00D56237">
      <w:pPr>
        <w:tabs>
          <w:tab w:val="left" w:pos="426"/>
        </w:tabs>
        <w:spacing w:after="0" w:line="276" w:lineRule="auto"/>
        <w:jc w:val="both"/>
        <w:rPr>
          <w:rFonts w:ascii="Verdana" w:eastAsia="Century Gothic" w:hAnsi="Verdana" w:cs="Century Gothic"/>
          <w:lang w:val="es-ES"/>
        </w:rPr>
      </w:pPr>
    </w:p>
    <w:p w14:paraId="5CE1998F" w14:textId="1073E872" w:rsidR="00D56237" w:rsidRPr="00D56237" w:rsidRDefault="00D56237" w:rsidP="00072336">
      <w:pPr>
        <w:snapToGrid w:val="0"/>
        <w:spacing w:after="0" w:line="276" w:lineRule="auto"/>
        <w:jc w:val="both"/>
        <w:rPr>
          <w:rFonts w:ascii="Verdana" w:eastAsia="Century Gothic" w:hAnsi="Verdana" w:cs="Century Gothic"/>
        </w:rPr>
      </w:pPr>
      <w:r w:rsidRPr="00072336">
        <w:rPr>
          <w:rFonts w:ascii="Verdana" w:eastAsia="Century Gothic" w:hAnsi="Verdana" w:cs="Century Gothic"/>
        </w:rPr>
        <w:t xml:space="preserve">De acuerdo con el contenido de su solicitud, esta Agencia resolverá el siguiente problema jurídico: tratándose de los documentos tipo de infraestructura de agua potable y saneamiento básico, </w:t>
      </w:r>
      <w:r w:rsidR="00072336" w:rsidRPr="00072336">
        <w:rPr>
          <w:rFonts w:ascii="Verdana" w:eastAsia="Century Gothic" w:hAnsi="Verdana" w:cs="Century Gothic"/>
        </w:rPr>
        <w:t>¿</w:t>
      </w:r>
      <w:r w:rsidR="00072336" w:rsidRPr="00072336">
        <w:t>1</w:t>
      </w:r>
      <w:r w:rsidR="00072336" w:rsidRPr="00072336">
        <w:rPr>
          <w:rFonts w:ascii="Verdana" w:eastAsia="Century Gothic" w:hAnsi="Verdana" w:cs="Century Gothic"/>
        </w:rPr>
        <w:t>. La longitud total requerida puede ser de cualquier diámetro.  2. La tubería de mayor relevancia del contrato de experiencia es la que debe clasificar en el diámetro o rango escogido por la entidad.  3. La mayor relevancia corresponde a mayor valor o longitud?</w:t>
      </w:r>
    </w:p>
    <w:p w14:paraId="55CCF1EB" w14:textId="77777777" w:rsidR="00D56237" w:rsidRPr="00D56237" w:rsidRDefault="00D56237" w:rsidP="00D56237">
      <w:pPr>
        <w:snapToGrid w:val="0"/>
        <w:spacing w:after="0" w:line="276" w:lineRule="auto"/>
        <w:jc w:val="both"/>
        <w:rPr>
          <w:rFonts w:ascii="Verdana" w:eastAsia="Century Gothic" w:hAnsi="Verdana" w:cs="Century Gothic"/>
        </w:rPr>
      </w:pPr>
    </w:p>
    <w:p w14:paraId="32699E96" w14:textId="77777777" w:rsidR="00D56237" w:rsidRPr="00D56237" w:rsidRDefault="00D56237" w:rsidP="00D5623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D56237">
        <w:rPr>
          <w:rFonts w:ascii="Verdana" w:eastAsia="Century Gothic" w:hAnsi="Verdana" w:cs="Century Gothic"/>
          <w:b/>
          <w:bCs/>
          <w:lang w:val="es-ES"/>
        </w:rPr>
        <w:t>Respuesta:</w:t>
      </w:r>
    </w:p>
    <w:p w14:paraId="18F5AEA5" w14:textId="77777777" w:rsidR="00D56237" w:rsidRPr="00D56237" w:rsidRDefault="00D56237" w:rsidP="00D56237">
      <w:pPr>
        <w:tabs>
          <w:tab w:val="left" w:pos="142"/>
          <w:tab w:val="left" w:pos="284"/>
        </w:tabs>
        <w:snapToGrid w:val="0"/>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56237" w:rsidRPr="00D56237" w14:paraId="42066387" w14:textId="77777777" w:rsidTr="00E873D5">
        <w:tc>
          <w:tcPr>
            <w:tcW w:w="8828" w:type="dxa"/>
          </w:tcPr>
          <w:p w14:paraId="7BC13382" w14:textId="722B50A3" w:rsidR="00A33B88" w:rsidRPr="00A33B88" w:rsidRDefault="00A33B88" w:rsidP="00A33B88">
            <w:pPr>
              <w:spacing w:line="276" w:lineRule="auto"/>
              <w:jc w:val="both"/>
              <w:rPr>
                <w:rFonts w:ascii="Verdana" w:eastAsia="Calibri" w:hAnsi="Verdana" w:cs="Times New Roman"/>
              </w:rPr>
            </w:pPr>
            <w:r>
              <w:rPr>
                <w:rFonts w:ascii="Verdana" w:eastAsia="Calibri" w:hAnsi="Verdana" w:cs="Times New Roman"/>
              </w:rPr>
              <w:t xml:space="preserve">         </w:t>
            </w:r>
            <w:r w:rsidRPr="00A33B88">
              <w:rPr>
                <w:rFonts w:ascii="Verdana" w:eastAsia="Calibri" w:hAnsi="Verdana" w:cs="Times New Roman"/>
              </w:rPr>
              <w:t xml:space="preserve">De acuerdo con las condiciones fijadas en los documentos base, la acreditación del requisito habilitante de experiencia se aborda desde distintos criterios. En primer lugar, los contratos presentados por los proponentes </w:t>
            </w:r>
            <w:r w:rsidRPr="00A33B88">
              <w:rPr>
                <w:rFonts w:ascii="Verdana" w:eastAsia="Calibri" w:hAnsi="Verdana" w:cs="Times New Roman"/>
              </w:rPr>
              <w:lastRenderedPageBreak/>
              <w:t xml:space="preserve">deben corresponder a la actividad o actividades de experiencia general y específica que la entidad exija en el pliego de condiciones de acuerdo con los parámetros señalados en la Matriz 1 y teniendo en cuenta las especificaciones técnicas exigidas. </w:t>
            </w:r>
          </w:p>
          <w:p w14:paraId="3DE1FC36" w14:textId="77777777" w:rsidR="00A33B88" w:rsidRPr="00A33B88" w:rsidRDefault="00A33B88" w:rsidP="00A33B88">
            <w:pPr>
              <w:spacing w:line="276" w:lineRule="auto"/>
              <w:ind w:firstLine="709"/>
              <w:jc w:val="both"/>
              <w:rPr>
                <w:rFonts w:ascii="Verdana" w:eastAsia="Calibri" w:hAnsi="Verdana" w:cs="Times New Roman"/>
              </w:rPr>
            </w:pPr>
            <w:r w:rsidRPr="00A33B88">
              <w:rPr>
                <w:rFonts w:ascii="Verdana" w:eastAsia="Calibri" w:hAnsi="Verdana" w:cs="Times New Roman"/>
              </w:rPr>
              <w:t xml:space="preserve"> </w:t>
            </w:r>
          </w:p>
          <w:p w14:paraId="2195725E" w14:textId="77777777" w:rsidR="00A33B88" w:rsidRPr="00A33B88" w:rsidRDefault="00A33B88" w:rsidP="00A33B88">
            <w:pPr>
              <w:spacing w:line="276" w:lineRule="auto"/>
              <w:ind w:firstLine="709"/>
              <w:jc w:val="both"/>
              <w:rPr>
                <w:rFonts w:ascii="Verdana" w:eastAsia="Calibri" w:hAnsi="Verdana" w:cs="Times New Roman"/>
              </w:rPr>
            </w:pPr>
            <w:r w:rsidRPr="00A33B88">
              <w:rPr>
                <w:rFonts w:ascii="Verdana" w:eastAsia="Calibri" w:hAnsi="Verdana" w:cs="Times New Roman"/>
              </w:rPr>
              <w:t>MATRIZ 1 EXPERIENCIA – Agua potable y saneamiento básico – Experiencia específica</w:t>
            </w:r>
          </w:p>
          <w:p w14:paraId="7D515650" w14:textId="77777777" w:rsidR="00A33B88" w:rsidRPr="00A33B88" w:rsidRDefault="00A33B88" w:rsidP="00A33B88">
            <w:pPr>
              <w:spacing w:line="276" w:lineRule="auto"/>
              <w:ind w:firstLine="709"/>
              <w:jc w:val="both"/>
              <w:rPr>
                <w:rFonts w:ascii="Verdana" w:eastAsia="Calibri" w:hAnsi="Verdana" w:cs="Times New Roman"/>
              </w:rPr>
            </w:pPr>
            <w:r w:rsidRPr="00A33B88">
              <w:rPr>
                <w:rFonts w:ascii="Verdana" w:eastAsia="Calibri" w:hAnsi="Verdana" w:cs="Times New Roman"/>
              </w:rPr>
              <w:t xml:space="preserve"> </w:t>
            </w:r>
          </w:p>
          <w:p w14:paraId="346936EC" w14:textId="77777777" w:rsidR="00A33B88" w:rsidRPr="00A33B88" w:rsidRDefault="00A33B88" w:rsidP="00A33B88">
            <w:pPr>
              <w:spacing w:line="276" w:lineRule="auto"/>
              <w:ind w:firstLine="709"/>
              <w:jc w:val="both"/>
              <w:rPr>
                <w:rFonts w:ascii="Verdana" w:eastAsia="Calibri" w:hAnsi="Verdana" w:cs="Times New Roman"/>
              </w:rPr>
            </w:pPr>
            <w:r w:rsidRPr="00A33B88">
              <w:rPr>
                <w:rFonts w:ascii="Verdana" w:eastAsia="Calibri" w:hAnsi="Verdana" w:cs="Times New Roman"/>
              </w:rPr>
              <w:t xml:space="preserve">En relación con los requisitos de experiencia la «Matriz 1 – Experiencia» dispone que «Por lo menos uno (1) de los contratos válidos aportados como experiencia general debe contar con una longitud de tubería equivalente al (F%) de la longitud total establecida en el presente proceso de selección, y que contemple como mínimo las mismas condiciones técnicas (entiéndase como mismas condiciones técnicas la instalación según tipo de tubería: PVC, HD, PEAD, GRP, ACCP, otras) el cual corresponde a [la entidad establecerá el material más representativo en este apartado], y cuyo diámetro principal, o más representativo, se encuentre entre el siguiente rango (XX" y XX") [la entidad establecerá el rango de diámetros que correspondan a la tubería principal o de mayor relevancia del proyecto, que correspondan a diámetros comerciales (p.ej.: 26" a 32")]». </w:t>
            </w:r>
          </w:p>
          <w:p w14:paraId="3D002B7A" w14:textId="77777777" w:rsidR="00A33B88" w:rsidRPr="00A33B88" w:rsidRDefault="00A33B88" w:rsidP="00A33B88">
            <w:pPr>
              <w:spacing w:line="276" w:lineRule="auto"/>
              <w:jc w:val="both"/>
              <w:rPr>
                <w:rFonts w:ascii="Verdana" w:eastAsia="Calibri" w:hAnsi="Verdana" w:cs="Times New Roman"/>
              </w:rPr>
            </w:pPr>
          </w:p>
          <w:p w14:paraId="4A90C20F" w14:textId="77777777" w:rsidR="00A33B88" w:rsidRPr="00A33B88" w:rsidRDefault="00A33B88" w:rsidP="00A33B88">
            <w:pPr>
              <w:spacing w:line="276" w:lineRule="auto"/>
              <w:ind w:firstLine="709"/>
              <w:jc w:val="both"/>
              <w:rPr>
                <w:rFonts w:ascii="Verdana" w:eastAsia="Calibri" w:hAnsi="Verdana" w:cs="Times New Roman"/>
              </w:rPr>
            </w:pPr>
            <w:r w:rsidRPr="00A33B88">
              <w:rPr>
                <w:rFonts w:ascii="Verdana" w:eastAsia="Calibri" w:hAnsi="Verdana" w:cs="Times New Roman"/>
              </w:rPr>
              <w:t>MATRIZ 1 EXPERIENCIA – Actividad 1.2. – Longitud – Material – Diámetro</w:t>
            </w:r>
          </w:p>
          <w:p w14:paraId="2E719204" w14:textId="77777777" w:rsidR="00A33B88" w:rsidRPr="00A33B88" w:rsidRDefault="00A33B88" w:rsidP="00A33B88">
            <w:pPr>
              <w:spacing w:line="276" w:lineRule="auto"/>
              <w:ind w:firstLine="709"/>
              <w:jc w:val="both"/>
              <w:rPr>
                <w:rFonts w:ascii="Verdana" w:eastAsia="Calibri" w:hAnsi="Verdana" w:cs="Times New Roman"/>
              </w:rPr>
            </w:pPr>
            <w:r w:rsidRPr="00A33B88">
              <w:rPr>
                <w:rFonts w:ascii="Verdana" w:eastAsia="Calibri" w:hAnsi="Verdana" w:cs="Times New Roman"/>
              </w:rPr>
              <w:t xml:space="preserve"> </w:t>
            </w:r>
          </w:p>
          <w:p w14:paraId="55FB71C1" w14:textId="77777777" w:rsidR="00A33B88" w:rsidRPr="00A33B88" w:rsidRDefault="00A33B88" w:rsidP="00A33B88">
            <w:pPr>
              <w:spacing w:line="276" w:lineRule="auto"/>
              <w:ind w:firstLine="709"/>
              <w:jc w:val="both"/>
              <w:rPr>
                <w:rFonts w:ascii="Verdana" w:eastAsia="Calibri" w:hAnsi="Verdana" w:cs="Times New Roman"/>
              </w:rPr>
            </w:pPr>
            <w:r w:rsidRPr="00A33B88">
              <w:rPr>
                <w:rFonts w:ascii="Verdana" w:eastAsia="Calibri" w:hAnsi="Verdana" w:cs="Times New Roman"/>
              </w:rPr>
              <w:t>[…]. Sobre el primer aspecto, es decir la longitud de tubería, es importante que la entidad determine dos elementos fundamentales. En primer lugar, debe definir cuál es la longitud total de la tubería del proceso de selección y, en segundo lugar, establecer el porcentaje de dimensionamiento de acuerdo con la cuantía del proceso.</w:t>
            </w:r>
          </w:p>
          <w:p w14:paraId="2A47CBD6" w14:textId="77777777" w:rsidR="00A33B88" w:rsidRPr="00A33B88" w:rsidRDefault="00A33B88" w:rsidP="00A33B88">
            <w:pPr>
              <w:spacing w:line="276" w:lineRule="auto"/>
              <w:ind w:firstLine="709"/>
              <w:jc w:val="both"/>
              <w:rPr>
                <w:rFonts w:ascii="Verdana" w:eastAsia="Calibri" w:hAnsi="Verdana" w:cs="Times New Roman"/>
              </w:rPr>
            </w:pPr>
            <w:r w:rsidRPr="00A33B88">
              <w:rPr>
                <w:rFonts w:ascii="Verdana" w:eastAsia="Calibri" w:hAnsi="Verdana" w:cs="Times New Roman"/>
              </w:rPr>
              <w:t xml:space="preserve"> </w:t>
            </w:r>
          </w:p>
          <w:p w14:paraId="1F63989A" w14:textId="77777777" w:rsidR="00A33B88" w:rsidRPr="00A33B88" w:rsidRDefault="00A33B88" w:rsidP="00A33B88">
            <w:pPr>
              <w:spacing w:line="276" w:lineRule="auto"/>
              <w:ind w:firstLine="709"/>
              <w:jc w:val="both"/>
              <w:rPr>
                <w:rFonts w:ascii="Verdana" w:eastAsia="Calibri" w:hAnsi="Verdana" w:cs="Times New Roman"/>
              </w:rPr>
            </w:pPr>
            <w:r w:rsidRPr="00A33B88">
              <w:rPr>
                <w:rFonts w:ascii="Verdana" w:eastAsia="Calibri" w:hAnsi="Verdana" w:cs="Times New Roman"/>
              </w:rPr>
              <w:t>MATRIZ 1 EXPERIENCIA – Experiencia específica – Tipo de tubería – Material de tubería – Determinación</w:t>
            </w:r>
          </w:p>
          <w:p w14:paraId="4AE206D7" w14:textId="77777777" w:rsidR="00A33B88" w:rsidRPr="00A33B88" w:rsidRDefault="00A33B88" w:rsidP="00A33B88">
            <w:pPr>
              <w:spacing w:line="276" w:lineRule="auto"/>
              <w:ind w:firstLine="709"/>
              <w:jc w:val="both"/>
              <w:rPr>
                <w:rFonts w:ascii="Verdana" w:eastAsia="Calibri" w:hAnsi="Verdana" w:cs="Times New Roman"/>
              </w:rPr>
            </w:pPr>
            <w:r w:rsidRPr="00A33B88">
              <w:rPr>
                <w:rFonts w:ascii="Verdana" w:eastAsia="Calibri" w:hAnsi="Verdana" w:cs="Times New Roman"/>
              </w:rPr>
              <w:t xml:space="preserve"> </w:t>
            </w:r>
          </w:p>
          <w:p w14:paraId="54EC787F" w14:textId="0DDD580A" w:rsidR="00A33B88" w:rsidRDefault="00A33B88" w:rsidP="00A33B88">
            <w:pPr>
              <w:spacing w:line="276" w:lineRule="auto"/>
              <w:ind w:firstLine="709"/>
              <w:jc w:val="both"/>
              <w:rPr>
                <w:rFonts w:ascii="Verdana" w:eastAsia="Calibri" w:hAnsi="Verdana" w:cs="Times New Roman"/>
              </w:rPr>
            </w:pPr>
            <w:r w:rsidRPr="00A33B88">
              <w:rPr>
                <w:rFonts w:ascii="Verdana" w:eastAsia="Calibri" w:hAnsi="Verdana" w:cs="Times New Roman"/>
              </w:rPr>
              <w:t xml:space="preserve">En relación con el segundo requisito, la matriz define a qué tipo de tubería (material) corresponde la longitud, al señalar lo siguiente: «y que contemple como mínimo las mismas condiciones técnicas (entiéndase como mismas condiciones técnicas la instalación según tipo de tubería: PVC, HD, </w:t>
            </w:r>
            <w:r w:rsidRPr="00A33B88">
              <w:rPr>
                <w:rFonts w:ascii="Verdana" w:eastAsia="Calibri" w:hAnsi="Verdana" w:cs="Times New Roman"/>
              </w:rPr>
              <w:lastRenderedPageBreak/>
              <w:t xml:space="preserve">PEAD, GRP, ACCP, otras) el cual corresponde a [la entidad establecerá el material más representativo en este apartado]». </w:t>
            </w:r>
          </w:p>
          <w:p w14:paraId="38AA9CC9" w14:textId="02C183DD" w:rsidR="00A33B88" w:rsidRPr="00A33B88" w:rsidRDefault="00A33B88" w:rsidP="00A33B88">
            <w:pPr>
              <w:spacing w:line="276" w:lineRule="auto"/>
              <w:ind w:firstLine="709"/>
              <w:jc w:val="both"/>
              <w:rPr>
                <w:rFonts w:ascii="Verdana" w:eastAsia="Calibri" w:hAnsi="Verdana" w:cs="Times New Roman"/>
              </w:rPr>
            </w:pPr>
            <w:r w:rsidRPr="00A33B88">
              <w:rPr>
                <w:rFonts w:ascii="Verdana" w:eastAsia="Calibri" w:hAnsi="Verdana" w:cs="Times New Roman"/>
              </w:rPr>
              <w:t xml:space="preserve">Como se evidencia, esta última parte integra y complementa el primer planteamiento del párrafo referente a la longitud y da instrucciones a la entidad para incluir el material más representativo de la tubería, de acuerdo con las condiciones técnicas del proyecto. De ahí se sigue que, para la experiencia específica en la «Matriz 1 – Experiencia», la longitud de tubería corresponde a la del material más representativo que establezca la entidad. </w:t>
            </w:r>
          </w:p>
          <w:p w14:paraId="7EF269D3" w14:textId="77777777" w:rsidR="00A33B88" w:rsidRDefault="00A33B88" w:rsidP="00A33B88">
            <w:pPr>
              <w:spacing w:line="276" w:lineRule="auto"/>
              <w:ind w:firstLine="709"/>
              <w:jc w:val="both"/>
              <w:rPr>
                <w:rFonts w:ascii="Verdana" w:eastAsia="Calibri" w:hAnsi="Verdana" w:cs="Times New Roman"/>
              </w:rPr>
            </w:pPr>
          </w:p>
          <w:p w14:paraId="044D9367" w14:textId="7F87270F" w:rsidR="00A33B88" w:rsidRPr="00A33B88" w:rsidRDefault="00A33B88" w:rsidP="00A33B88">
            <w:pPr>
              <w:spacing w:line="276" w:lineRule="auto"/>
              <w:ind w:firstLine="709"/>
              <w:jc w:val="both"/>
              <w:rPr>
                <w:rFonts w:ascii="Verdana" w:eastAsia="Calibri" w:hAnsi="Verdana" w:cs="Times New Roman"/>
              </w:rPr>
            </w:pPr>
            <w:r w:rsidRPr="00A33B88">
              <w:rPr>
                <w:rFonts w:ascii="Verdana" w:eastAsia="Calibri" w:hAnsi="Verdana" w:cs="Times New Roman"/>
              </w:rPr>
              <w:t>De esta manera, si el material más representativo de la tubería determinado por la entidad es, por ejemplo, PVC, entonces el proponente deberá acreditar experiencia en una longitud de tubería equivalente a un porcentaje específico de la longitud total de la tubería de PVC establecido en el proceso de selección.</w:t>
            </w:r>
          </w:p>
          <w:p w14:paraId="2F1C9BBA" w14:textId="77777777" w:rsidR="00A33B88" w:rsidRPr="00A33B88" w:rsidRDefault="00A33B88" w:rsidP="00A33B88">
            <w:pPr>
              <w:spacing w:line="276" w:lineRule="auto"/>
              <w:ind w:firstLine="709"/>
              <w:jc w:val="both"/>
              <w:rPr>
                <w:rFonts w:ascii="Verdana" w:eastAsia="Calibri" w:hAnsi="Verdana" w:cs="Times New Roman"/>
              </w:rPr>
            </w:pPr>
            <w:r w:rsidRPr="00A33B88">
              <w:rPr>
                <w:rFonts w:ascii="Verdana" w:eastAsia="Calibri" w:hAnsi="Verdana" w:cs="Times New Roman"/>
              </w:rPr>
              <w:t>De acuerdo con lo anterior, las preguntas que surgen de su consulta son las siguientes:</w:t>
            </w:r>
          </w:p>
          <w:p w14:paraId="778F0915" w14:textId="77777777" w:rsidR="00A33B88" w:rsidRPr="00A33B88" w:rsidRDefault="00A33B88" w:rsidP="00A33B88">
            <w:pPr>
              <w:spacing w:line="276" w:lineRule="auto"/>
              <w:ind w:firstLine="709"/>
              <w:jc w:val="both"/>
              <w:rPr>
                <w:rFonts w:ascii="Verdana" w:eastAsia="Calibri" w:hAnsi="Verdana" w:cs="Times New Roman"/>
              </w:rPr>
            </w:pPr>
            <w:r w:rsidRPr="00A33B88">
              <w:rPr>
                <w:rFonts w:ascii="Verdana" w:eastAsia="Calibri" w:hAnsi="Verdana" w:cs="Times New Roman"/>
              </w:rPr>
              <w:t xml:space="preserve">1. La longitud total requerida puede ser de cualquier diámetro. </w:t>
            </w:r>
          </w:p>
          <w:p w14:paraId="455C54A7" w14:textId="77777777" w:rsidR="00A33B88" w:rsidRPr="00A33B88" w:rsidRDefault="00A33B88" w:rsidP="00A33B88">
            <w:pPr>
              <w:spacing w:line="276" w:lineRule="auto"/>
              <w:ind w:firstLine="709"/>
              <w:jc w:val="both"/>
              <w:rPr>
                <w:rFonts w:ascii="Verdana" w:eastAsia="Calibri" w:hAnsi="Verdana" w:cs="Times New Roman"/>
              </w:rPr>
            </w:pPr>
            <w:r w:rsidRPr="00A33B88">
              <w:rPr>
                <w:rFonts w:ascii="Verdana" w:eastAsia="Calibri" w:hAnsi="Verdana" w:cs="Times New Roman"/>
              </w:rPr>
              <w:t xml:space="preserve">2. La tubería de mayor relevancia del contrato de experiencia es la que debe clasificar en el diámetro o rango escogido por la entidad. </w:t>
            </w:r>
          </w:p>
          <w:p w14:paraId="02286569" w14:textId="77777777" w:rsidR="00A33B88" w:rsidRDefault="00A33B88" w:rsidP="00A33B88">
            <w:pPr>
              <w:spacing w:line="276" w:lineRule="auto"/>
              <w:ind w:firstLine="709"/>
              <w:jc w:val="both"/>
              <w:rPr>
                <w:rFonts w:ascii="Verdana" w:eastAsia="Calibri" w:hAnsi="Verdana" w:cs="Times New Roman"/>
              </w:rPr>
            </w:pPr>
            <w:r w:rsidRPr="00A33B88">
              <w:rPr>
                <w:rFonts w:ascii="Verdana" w:eastAsia="Calibri" w:hAnsi="Verdana" w:cs="Times New Roman"/>
              </w:rPr>
              <w:t>3. La mayor relevancia corresponde a mayor valor o longitud?</w:t>
            </w:r>
          </w:p>
          <w:p w14:paraId="4B0D94CF" w14:textId="77777777" w:rsidR="00072336" w:rsidRPr="00A33B88" w:rsidRDefault="00072336" w:rsidP="00A33B88">
            <w:pPr>
              <w:spacing w:line="276" w:lineRule="auto"/>
              <w:ind w:firstLine="709"/>
              <w:jc w:val="both"/>
              <w:rPr>
                <w:rFonts w:ascii="Verdana" w:eastAsia="Calibri" w:hAnsi="Verdana" w:cs="Times New Roman"/>
              </w:rPr>
            </w:pPr>
          </w:p>
          <w:p w14:paraId="62C71F58" w14:textId="77777777" w:rsidR="00A33B88" w:rsidRDefault="00A33B88" w:rsidP="00A33B88">
            <w:pPr>
              <w:spacing w:line="276" w:lineRule="auto"/>
              <w:ind w:firstLine="709"/>
              <w:jc w:val="both"/>
              <w:rPr>
                <w:rFonts w:ascii="Verdana" w:eastAsia="Calibri" w:hAnsi="Verdana" w:cs="Times New Roman"/>
              </w:rPr>
            </w:pPr>
            <w:r w:rsidRPr="00A33B88">
              <w:rPr>
                <w:rFonts w:ascii="Verdana" w:eastAsia="Calibri" w:hAnsi="Verdana" w:cs="Times New Roman"/>
              </w:rPr>
              <w:t xml:space="preserve">Para tales efectos, la entidad cuenta con autonomía para definir la longitud que corresponda de conformidad con su proceso de contratación y el porcentaje de dimensionamiento de acuerdo con las condiciones técnicas particulares de su proceso de selección y conocimiento completo del expediente del proyecto en particular. </w:t>
            </w:r>
          </w:p>
          <w:p w14:paraId="46A644DE" w14:textId="77777777" w:rsidR="00072336" w:rsidRPr="00A33B88" w:rsidRDefault="00072336" w:rsidP="00A33B88">
            <w:pPr>
              <w:spacing w:line="276" w:lineRule="auto"/>
              <w:ind w:firstLine="709"/>
              <w:jc w:val="both"/>
              <w:rPr>
                <w:rFonts w:ascii="Verdana" w:eastAsia="Calibri" w:hAnsi="Verdana" w:cs="Times New Roman"/>
              </w:rPr>
            </w:pPr>
          </w:p>
          <w:p w14:paraId="0C0A67A3" w14:textId="77777777" w:rsidR="00A33B88" w:rsidRDefault="00A33B88" w:rsidP="00A33B88">
            <w:pPr>
              <w:spacing w:line="276" w:lineRule="auto"/>
              <w:ind w:firstLine="709"/>
              <w:jc w:val="both"/>
              <w:rPr>
                <w:rFonts w:ascii="Verdana" w:eastAsia="Calibri" w:hAnsi="Verdana" w:cs="Times New Roman"/>
              </w:rPr>
            </w:pPr>
            <w:r w:rsidRPr="00A33B88">
              <w:rPr>
                <w:rFonts w:ascii="Verdana" w:eastAsia="Calibri" w:hAnsi="Verdana" w:cs="Times New Roman"/>
              </w:rPr>
              <w:t>Ello es así, puesto que la «Matriz 1 - Experiencia» señala entre corchetes las instrucciones que debe seguir la entidad, indicando claramente que se establecerá el material más representativo, así como el diámetro que corresponda a la tubería principal o de mayor relevancia del proyecto, dejando abierta esta determinación a la entidad, es decir, estos tres aspectos deben estar enfocados sobre la tubería de mayor relevancia del proyecto.</w:t>
            </w:r>
          </w:p>
          <w:p w14:paraId="4DDE3509" w14:textId="77777777" w:rsidR="00072336" w:rsidRPr="00A33B88" w:rsidRDefault="00072336" w:rsidP="00072336">
            <w:pPr>
              <w:spacing w:line="276" w:lineRule="auto"/>
              <w:jc w:val="both"/>
              <w:rPr>
                <w:rFonts w:ascii="Verdana" w:eastAsia="Calibri" w:hAnsi="Verdana" w:cs="Times New Roman"/>
              </w:rPr>
            </w:pPr>
          </w:p>
          <w:p w14:paraId="7D65B4C1" w14:textId="77777777" w:rsidR="00D56237" w:rsidRDefault="00A33B88" w:rsidP="00A33B88">
            <w:pPr>
              <w:spacing w:line="276" w:lineRule="auto"/>
              <w:ind w:firstLine="709"/>
              <w:jc w:val="both"/>
              <w:rPr>
                <w:rFonts w:ascii="Verdana" w:eastAsia="Calibri" w:hAnsi="Verdana" w:cs="Times New Roman"/>
                <w:bCs/>
                <w:lang w:val="es-ES"/>
              </w:rPr>
            </w:pPr>
            <w:r w:rsidRPr="00A33B88">
              <w:rPr>
                <w:rFonts w:ascii="Verdana" w:eastAsia="Calibri" w:hAnsi="Verdana" w:cs="Times New Roman"/>
              </w:rPr>
              <w:t xml:space="preserve"> </w:t>
            </w:r>
            <w:r w:rsidR="00D56237" w:rsidRPr="00D56237">
              <w:rPr>
                <w:rFonts w:ascii="Verdana" w:eastAsia="Calibri" w:hAnsi="Verdana" w:cs="Times New Roman"/>
              </w:rPr>
              <w:t xml:space="preserve">Sin embargo, es claro que, dentro de la Matriz 1 del sector de agua potable y saneamiento básico, tratándose de actividades correspondientes a </w:t>
            </w:r>
            <w:r w:rsidR="00D56237" w:rsidRPr="00D56237">
              <w:rPr>
                <w:rFonts w:ascii="Verdana" w:eastAsia="Calibri" w:hAnsi="Verdana" w:cs="Times New Roman"/>
                <w:i/>
                <w:iCs/>
              </w:rPr>
              <w:t>construcción,</w:t>
            </w:r>
            <w:r w:rsidR="00D56237" w:rsidRPr="00D56237">
              <w:rPr>
                <w:rFonts w:ascii="Verdana" w:eastAsia="Calibri" w:hAnsi="Verdana" w:cs="Times New Roman"/>
              </w:rPr>
              <w:t xml:space="preserve"> al ser un conjunto de actividades y procesos que tienen como </w:t>
            </w:r>
            <w:r w:rsidR="00D56237" w:rsidRPr="00D56237">
              <w:rPr>
                <w:rFonts w:ascii="Verdana" w:eastAsia="Calibri" w:hAnsi="Verdana" w:cs="Times New Roman"/>
              </w:rPr>
              <w:lastRenderedPageBreak/>
              <w:t xml:space="preserve">objetivo la materialización de infraestructuras relacionadas con el suministro de agua potable y la gestión de aguas residuales y saneamiento, para que su acreditación como experiencia sea válida deben corresponder a </w:t>
            </w:r>
            <w:r w:rsidR="00D56237" w:rsidRPr="00D56237">
              <w:rPr>
                <w:rFonts w:ascii="Verdana" w:eastAsia="Calibri" w:hAnsi="Verdana" w:cs="Times New Roman"/>
                <w:i/>
                <w:iCs/>
              </w:rPr>
              <w:t>proyectos de construcción</w:t>
            </w:r>
            <w:r w:rsidR="00D56237" w:rsidRPr="00D56237">
              <w:rPr>
                <w:rFonts w:ascii="Verdana" w:eastAsia="Calibri" w:hAnsi="Verdana" w:cs="Times New Roman"/>
              </w:rPr>
              <w:t xml:space="preserve"> del sector de conformidad con lo establecido dentro de los </w:t>
            </w:r>
            <w:r w:rsidR="00D56237" w:rsidRPr="00D56237">
              <w:rPr>
                <w:rFonts w:ascii="Verdana" w:eastAsia="Calibri" w:hAnsi="Verdana" w:cs="Times New Roman"/>
                <w:bCs/>
                <w:lang w:val="es-ES"/>
              </w:rPr>
              <w:t>siete (7) diferentes tipos de obras de infraestructura referidos con anterioridad.</w:t>
            </w:r>
          </w:p>
          <w:p w14:paraId="0AB512C2" w14:textId="77777777" w:rsidR="00072336" w:rsidRDefault="00072336" w:rsidP="00A33B88">
            <w:pPr>
              <w:spacing w:line="276" w:lineRule="auto"/>
              <w:ind w:firstLine="709"/>
              <w:jc w:val="both"/>
              <w:rPr>
                <w:rFonts w:ascii="Verdana" w:eastAsia="Calibri" w:hAnsi="Verdana" w:cs="Times New Roman"/>
                <w:bCs/>
                <w:lang w:val="es-ES"/>
              </w:rPr>
            </w:pPr>
          </w:p>
          <w:p w14:paraId="4A8EDB5D" w14:textId="77777777" w:rsidR="00072336" w:rsidRDefault="00072336" w:rsidP="00072336">
            <w:pPr>
              <w:spacing w:line="276" w:lineRule="auto"/>
              <w:jc w:val="both"/>
              <w:rPr>
                <w:rFonts w:ascii="Verdana" w:hAnsi="Verdana" w:cs="Arial"/>
                <w:lang w:val="es-ES_tradnl"/>
              </w:rPr>
            </w:pPr>
            <w:r>
              <w:rPr>
                <w:rFonts w:ascii="Verdana" w:hAnsi="Verdana" w:cs="Arial"/>
                <w:lang w:val="es-ES"/>
              </w:rPr>
              <w:t>Finalmente debe advertirse que, el análisis requerido para resolver problemas específicos en torno a la aplicación de documentos tipos del sector de agua potable y saneamiento básico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p w14:paraId="5A1A67A1" w14:textId="06369B94" w:rsidR="00072336" w:rsidRPr="00072336" w:rsidRDefault="00072336" w:rsidP="00A33B88">
            <w:pPr>
              <w:spacing w:line="276" w:lineRule="auto"/>
              <w:ind w:firstLine="709"/>
              <w:jc w:val="both"/>
              <w:rPr>
                <w:rFonts w:ascii="Verdana" w:eastAsia="Calibri" w:hAnsi="Verdana" w:cs="Times New Roman"/>
                <w:lang w:val="es-ES_tradnl"/>
              </w:rPr>
            </w:pPr>
          </w:p>
        </w:tc>
      </w:tr>
    </w:tbl>
    <w:p w14:paraId="0A251C4B" w14:textId="77777777" w:rsidR="00D56237" w:rsidRPr="00D56237" w:rsidRDefault="00D56237" w:rsidP="00D56237">
      <w:pPr>
        <w:tabs>
          <w:tab w:val="left" w:pos="142"/>
          <w:tab w:val="left" w:pos="284"/>
        </w:tabs>
        <w:snapToGrid w:val="0"/>
        <w:spacing w:after="0" w:line="276" w:lineRule="auto"/>
        <w:jc w:val="both"/>
        <w:rPr>
          <w:rFonts w:ascii="Verdana" w:eastAsia="Century Gothic" w:hAnsi="Verdana" w:cs="Century Gothic"/>
          <w:b/>
          <w:bCs/>
          <w:lang w:val="es-ES"/>
        </w:rPr>
      </w:pPr>
    </w:p>
    <w:p w14:paraId="4CBB3273" w14:textId="77777777" w:rsidR="00D56237" w:rsidRPr="00D56237" w:rsidRDefault="00D56237" w:rsidP="00D5623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D56237">
        <w:rPr>
          <w:rFonts w:ascii="Verdana" w:eastAsia="Century Gothic" w:hAnsi="Verdana" w:cs="Century Gothic"/>
          <w:b/>
          <w:bCs/>
          <w:lang w:val="es-ES"/>
        </w:rPr>
        <w:t>Razones de la respuesta:</w:t>
      </w:r>
    </w:p>
    <w:p w14:paraId="448B5160" w14:textId="77777777" w:rsidR="00D56237" w:rsidRPr="00D56237" w:rsidRDefault="00D56237" w:rsidP="00D56237">
      <w:pPr>
        <w:tabs>
          <w:tab w:val="left" w:pos="142"/>
          <w:tab w:val="left" w:pos="284"/>
        </w:tabs>
        <w:snapToGrid w:val="0"/>
        <w:spacing w:after="0" w:line="276" w:lineRule="auto"/>
        <w:ind w:left="357"/>
        <w:jc w:val="both"/>
        <w:rPr>
          <w:rFonts w:ascii="Verdana" w:eastAsia="Century Gothic" w:hAnsi="Verdana" w:cs="Century Gothic"/>
          <w:b/>
          <w:bCs/>
          <w:lang w:val="es-ES"/>
        </w:rPr>
      </w:pPr>
    </w:p>
    <w:p w14:paraId="2FBDA36C" w14:textId="77777777" w:rsidR="00D56237" w:rsidRPr="00D56237" w:rsidRDefault="00D56237" w:rsidP="00D56237">
      <w:pPr>
        <w:snapToGrid w:val="0"/>
        <w:spacing w:after="0" w:line="276" w:lineRule="auto"/>
        <w:jc w:val="both"/>
        <w:rPr>
          <w:rFonts w:ascii="Verdana" w:eastAsia="Calibri" w:hAnsi="Verdana" w:cs="Arial"/>
          <w:lang w:val="es-ES"/>
        </w:rPr>
      </w:pPr>
      <w:r w:rsidRPr="00D56237">
        <w:rPr>
          <w:rFonts w:ascii="Verdana" w:eastAsia="Calibri" w:hAnsi="Verdana" w:cs="Arial"/>
          <w:lang w:val="es-ES"/>
        </w:rPr>
        <w:t>Lo anterior se sustenta en las siguientes consideraciones:</w:t>
      </w:r>
    </w:p>
    <w:p w14:paraId="19332E05" w14:textId="77777777" w:rsidR="00D56237" w:rsidRPr="00D56237" w:rsidRDefault="00D56237" w:rsidP="00D56237">
      <w:pPr>
        <w:snapToGrid w:val="0"/>
        <w:spacing w:after="0" w:line="276" w:lineRule="auto"/>
        <w:jc w:val="both"/>
        <w:rPr>
          <w:rFonts w:ascii="Verdana" w:eastAsia="Calibri" w:hAnsi="Verdana" w:cs="Arial"/>
          <w:lang w:val="es-ES"/>
        </w:rPr>
      </w:pPr>
    </w:p>
    <w:p w14:paraId="5B7929BE" w14:textId="77777777" w:rsidR="00D56237" w:rsidRPr="00D56237" w:rsidRDefault="00D56237" w:rsidP="00D56237">
      <w:pPr>
        <w:snapToGrid w:val="0"/>
        <w:spacing w:after="0" w:line="276" w:lineRule="auto"/>
        <w:contextualSpacing/>
        <w:jc w:val="both"/>
        <w:rPr>
          <w:rFonts w:ascii="Verdana" w:eastAsia="Calibri" w:hAnsi="Verdana" w:cs="Arial"/>
          <w:lang w:val="es-ES"/>
        </w:rPr>
      </w:pPr>
      <w:r w:rsidRPr="00D56237">
        <w:rPr>
          <w:rFonts w:ascii="Verdana" w:eastAsia="Calibri" w:hAnsi="Verdana" w:cs="Arial"/>
          <w:kern w:val="2"/>
          <w:lang w:val="es-ES_tradnl"/>
          <w14:ligatures w14:val="standardContextual"/>
        </w:rPr>
        <w:t>La Ley 1150 de 2007, en el artículo 5, establece los requisitos habilitantes para participar en un procedimiento contractual, dentro de los cuales se destaca la experiencia, y cuyo propósito es que las entidades fijen unos requisitos mínimos que debe tener y acreditar el proponente, para que la entidad pueda verificar su aptitud para participar en el procedimiento de contratación y, si se le adjudica, ejecutar el contrato estatal</w:t>
      </w:r>
      <w:r w:rsidRPr="00D56237">
        <w:rPr>
          <w:rFonts w:ascii="Aptos" w:eastAsia="Aptos" w:hAnsi="Aptos" w:cs="Times New Roman"/>
          <w:kern w:val="2"/>
          <w:sz w:val="24"/>
          <w:szCs w:val="24"/>
          <w:vertAlign w:val="superscript"/>
          <w:lang w:val="es-ES_tradnl"/>
          <w14:ligatures w14:val="standardContextual"/>
        </w:rPr>
        <w:footnoteReference w:id="1"/>
      </w:r>
      <w:r w:rsidRPr="00D56237">
        <w:rPr>
          <w:rFonts w:ascii="Verdana" w:eastAsia="Calibri" w:hAnsi="Verdana" w:cs="Arial"/>
          <w:kern w:val="2"/>
          <w:lang w:val="es-ES_tradnl"/>
          <w14:ligatures w14:val="standardContextual"/>
        </w:rPr>
        <w:t xml:space="preserve">. En ese sentido, la entidad, como responsable de la </w:t>
      </w:r>
      <w:r w:rsidRPr="00D56237">
        <w:rPr>
          <w:rFonts w:ascii="Verdana" w:eastAsia="Calibri" w:hAnsi="Verdana" w:cs="Arial"/>
          <w:kern w:val="2"/>
          <w:lang w:val="es-ES_tradnl"/>
          <w14:ligatures w14:val="standardContextual"/>
        </w:rPr>
        <w:lastRenderedPageBreak/>
        <w:t>estructuración de su procedimiento de contratación, es autónoma para requerir la experiencia necesaria para el objeto contractual que se pretende satisfacer con el procedimiento, para lo cual, de acuerdo con el artículo 2.2.1.1.1.6.2. del Decreto 1082 de 2015, debe tener en cuenta el estudio del sector y sus componentes, como la identificación de riesgos, así como el mercado y precio del bien, obra o servicio a contratar</w:t>
      </w:r>
      <w:r w:rsidRPr="00D56237">
        <w:rPr>
          <w:rFonts w:ascii="Aptos" w:eastAsia="Aptos" w:hAnsi="Aptos" w:cs="Times New Roman"/>
          <w:kern w:val="2"/>
          <w:sz w:val="24"/>
          <w:szCs w:val="24"/>
          <w:vertAlign w:val="superscript"/>
          <w:lang w:val="es-ES_tradnl"/>
          <w14:ligatures w14:val="standardContextual"/>
        </w:rPr>
        <w:footnoteReference w:id="2"/>
      </w:r>
      <w:r w:rsidRPr="00D56237">
        <w:rPr>
          <w:rFonts w:ascii="Verdana" w:eastAsia="Calibri" w:hAnsi="Verdana" w:cs="Arial"/>
          <w:kern w:val="2"/>
          <w:lang w:val="es-ES_tradnl"/>
          <w14:ligatures w14:val="standardContextual"/>
        </w:rPr>
        <w:t>.</w:t>
      </w:r>
    </w:p>
    <w:p w14:paraId="52433324" w14:textId="77777777" w:rsidR="00D56237" w:rsidRPr="00D56237" w:rsidRDefault="00D56237" w:rsidP="00D56237">
      <w:pPr>
        <w:snapToGrid w:val="0"/>
        <w:spacing w:before="120" w:after="120" w:line="276" w:lineRule="auto"/>
        <w:ind w:firstLine="709"/>
        <w:jc w:val="both"/>
        <w:rPr>
          <w:rFonts w:ascii="Verdana" w:eastAsia="Calibri" w:hAnsi="Verdana" w:cs="Arial"/>
          <w:lang w:val="es-ES"/>
        </w:rPr>
      </w:pPr>
      <w:r w:rsidRPr="00D56237">
        <w:rPr>
          <w:rFonts w:ascii="Verdana" w:eastAsia="Calibri" w:hAnsi="Verdana" w:cs="Arial"/>
          <w:kern w:val="2"/>
          <w:lang w:val="es-ES_tradnl"/>
          <w14:ligatures w14:val="standardContextual"/>
        </w:rPr>
        <w:t>La experiencia que se deriva de los contratos que el proponente ha celebrado y ejecutado con diferentes contratantes, sin importar la naturaleza de estos, se verifica con el Registro Único de Proponentes –RUP–</w:t>
      </w:r>
      <w:r w:rsidRPr="00D56237">
        <w:rPr>
          <w:rFonts w:ascii="Verdana" w:eastAsia="Aptos" w:hAnsi="Verdana" w:cs="Times New Roman"/>
          <w:kern w:val="2"/>
          <w:vertAlign w:val="superscript"/>
          <w:lang w:val="es-ES_tradnl"/>
          <w14:ligatures w14:val="standardContextual"/>
        </w:rPr>
        <w:footnoteReference w:id="3"/>
      </w:r>
      <w:r w:rsidRPr="00D56237">
        <w:rPr>
          <w:rFonts w:ascii="Verdana" w:eastAsia="Calibri" w:hAnsi="Verdana" w:cs="Arial"/>
          <w:kern w:val="2"/>
          <w:lang w:val="es-ES_tradnl"/>
          <w14:ligatures w14:val="standardContextual"/>
        </w:rPr>
        <w:t>, cuando este certificado sea exigible de acuerdo con la ley. En el RUP constan los requisitos habilitantes que se evalúan exclusivamente con este documento, que es su plena prueba, sin que la entidad o el proponente puedan solicitar o aportar otra documentación</w:t>
      </w:r>
      <w:r w:rsidRPr="00D56237">
        <w:rPr>
          <w:rFonts w:ascii="Verdana" w:eastAsia="Aptos" w:hAnsi="Verdana" w:cs="Times New Roman"/>
          <w:kern w:val="2"/>
          <w:vertAlign w:val="superscript"/>
          <w:lang w:val="es-ES_tradnl"/>
          <w14:ligatures w14:val="standardContextual"/>
        </w:rPr>
        <w:footnoteReference w:id="4"/>
      </w:r>
      <w:r w:rsidRPr="00D56237">
        <w:rPr>
          <w:rFonts w:ascii="Verdana" w:eastAsia="Calibri" w:hAnsi="Verdana" w:cs="Arial"/>
          <w:kern w:val="2"/>
          <w:lang w:val="es-ES_tradnl"/>
          <w14:ligatures w14:val="standardContextual"/>
        </w:rPr>
        <w:t>.</w:t>
      </w:r>
    </w:p>
    <w:p w14:paraId="770DD31A" w14:textId="77777777" w:rsidR="00D56237" w:rsidRPr="00D56237" w:rsidRDefault="00D56237" w:rsidP="00D56237">
      <w:pPr>
        <w:spacing w:after="120" w:line="276" w:lineRule="auto"/>
        <w:ind w:firstLine="709"/>
        <w:jc w:val="both"/>
        <w:rPr>
          <w:rFonts w:ascii="Verdana" w:eastAsia="Calibri" w:hAnsi="Verdana" w:cs="Arial"/>
          <w:kern w:val="2"/>
          <w14:ligatures w14:val="standardContextual"/>
        </w:rPr>
      </w:pPr>
      <w:r w:rsidRPr="00D56237">
        <w:rPr>
          <w:rFonts w:ascii="Verdana" w:eastAsia="Calibri" w:hAnsi="Verdana" w:cs="Arial"/>
          <w:kern w:val="2"/>
          <w14:ligatures w14:val="standardContextual"/>
        </w:rPr>
        <w:lastRenderedPageBreak/>
        <w:t>Respecto de la experiencia, esta debe inscribirse, renovarse o actualizarse en el RUP con copia de los contratos o con certificados de los contratos celebrados por el proponente con diferentes contratantes, quienes son terceros que los expiden cuando el contrato fue ejecutado y recibieron los bienes, obras o servicios de parte del proponente</w:t>
      </w:r>
      <w:r w:rsidRPr="00D56237">
        <w:rPr>
          <w:rFonts w:ascii="Verdana" w:eastAsia="Aptos" w:hAnsi="Verdana" w:cs="Times New Roman"/>
          <w:kern w:val="2"/>
          <w:vertAlign w:val="superscript"/>
          <w14:ligatures w14:val="standardContextual"/>
        </w:rPr>
        <w:footnoteReference w:id="5"/>
      </w:r>
      <w:r w:rsidRPr="00D56237">
        <w:rPr>
          <w:rFonts w:ascii="Verdana" w:eastAsia="Calibri" w:hAnsi="Verdana" w:cs="Arial"/>
          <w:kern w:val="2"/>
          <w14:ligatures w14:val="standardContextual"/>
        </w:rPr>
        <w:t xml:space="preserve">. De esta manera, con el RUP se verifica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lo que dependerá de la forma como la entidad solicite la experiencia en el pliego de condiciones o documento equivalente. </w:t>
      </w:r>
    </w:p>
    <w:p w14:paraId="68688348" w14:textId="77777777" w:rsidR="00D56237" w:rsidRPr="00D56237" w:rsidRDefault="00D56237" w:rsidP="00D56237">
      <w:pPr>
        <w:snapToGrid w:val="0"/>
        <w:spacing w:after="120" w:line="276" w:lineRule="auto"/>
        <w:ind w:firstLine="709"/>
        <w:jc w:val="both"/>
        <w:rPr>
          <w:rFonts w:ascii="Verdana" w:eastAsia="Calibri" w:hAnsi="Verdana" w:cs="Arial"/>
          <w:lang w:val="es-ES"/>
        </w:rPr>
      </w:pPr>
      <w:r w:rsidRPr="00D56237">
        <w:rPr>
          <w:rFonts w:ascii="Verdana" w:eastAsia="Aptos" w:hAnsi="Verdana" w:cs="Times New Roman"/>
          <w:kern w:val="2"/>
          <w:lang w:val="es-ES"/>
          <w14:ligatures w14:val="standardContextual"/>
        </w:rPr>
        <w:t>Por otra parte, es importante señalar que, el artículo 1 de la Ley 2022 de 2020 otorgó a la Agencia Nacional de Contratación Pública – Colombia Compra Eficiente la competencia para adoptar los documentos tipo. Asimismo, reiteró la obligatoriedad de su uso por parte de todas las entidades estatales sometidas al Estatuto General de Contratación de la Administración Pública ‒EGCAP‒. Esto implica que las autoridades deben implementar los documentos tipo que tengan por objeto las actividades contempladas en la “Matriz 1 ‒ Experiencia”. Además, estos documentos son inalterables, lo cual significa que no pueden ser modificados, salvo aquellos aspectos entre corchetes y resaltados en gris o cuya modificación sea permitida por los mismos documentos tipo, de acuerdo con las indicaciones que allí se establezcan.</w:t>
      </w:r>
    </w:p>
    <w:p w14:paraId="0C813E4C" w14:textId="77777777" w:rsidR="00D56237" w:rsidRPr="00D56237" w:rsidRDefault="00D56237" w:rsidP="00D56237">
      <w:pPr>
        <w:spacing w:after="120" w:line="276" w:lineRule="auto"/>
        <w:ind w:firstLine="709"/>
        <w:jc w:val="both"/>
        <w:rPr>
          <w:rFonts w:ascii="Verdana" w:eastAsia="Calibri" w:hAnsi="Verdana" w:cs="Times New Roman"/>
          <w:lang w:val="es-ES"/>
        </w:rPr>
      </w:pPr>
      <w:r w:rsidRPr="00D56237">
        <w:rPr>
          <w:rFonts w:ascii="Verdana" w:eastAsia="Calibri" w:hAnsi="Verdana" w:cs="Times New Roman"/>
          <w:lang w:val="es-ES"/>
        </w:rPr>
        <w:t xml:space="preserve">En desarrollo del artículo 1 de la Ley 2022 de 2020, esta Agencia expidió las Resoluciones 248 y 249 del 1 de diciembre de 2020, modificadas por las </w:t>
      </w:r>
      <w:r w:rsidRPr="00D56237">
        <w:rPr>
          <w:rFonts w:ascii="Verdana" w:eastAsia="Calibri" w:hAnsi="Verdana" w:cs="Times New Roman"/>
          <w:lang w:val="es-ES"/>
        </w:rPr>
        <w:lastRenderedPageBreak/>
        <w:t xml:space="preserve">Resoluciones 161 del 17 de junio de 2021, 173 del 30 de junio de 2021, 304 del 13 de octubre de 2021 y 275 de 2022. Esta última empezó a regir a partir del 29 de agosto de 2022. Mediante estos actos administrativos se adoptaron y modificaron los documentos tipo para procesos de licitación pública y llave en mano de obras públicas de infraestructura de agua potable y saneamiento básico. </w:t>
      </w:r>
    </w:p>
    <w:p w14:paraId="553F949E" w14:textId="77777777" w:rsidR="00D56237" w:rsidRPr="00D56237" w:rsidRDefault="00D56237" w:rsidP="00D56237">
      <w:pPr>
        <w:spacing w:after="120" w:line="276" w:lineRule="auto"/>
        <w:ind w:firstLine="709"/>
        <w:jc w:val="both"/>
        <w:rPr>
          <w:rFonts w:ascii="Verdana" w:eastAsia="Calibri" w:hAnsi="Verdana" w:cs="Times New Roman"/>
          <w:lang w:val="es-ES"/>
        </w:rPr>
      </w:pPr>
      <w:r w:rsidRPr="00D56237">
        <w:rPr>
          <w:rFonts w:ascii="Verdana" w:eastAsia="Calibri" w:hAnsi="Verdana" w:cs="Times New Roman"/>
          <w:lang w:val="es-ES"/>
        </w:rPr>
        <w:t xml:space="preserve">La Resolución 248 de 2021 se refiere, en su artículo segundo, al desarrollo e implementación de los documentos tipo, y establece que contienen parámetros obligatorios para las Entidades Estatales sometidas al Estatuto General de Contratación de la Administración Pública que adelanten procesos de selección de licitación de obra pública de infraestructura de agua potable y saneamiento básico.  </w:t>
      </w:r>
    </w:p>
    <w:p w14:paraId="03355548" w14:textId="77777777" w:rsidR="00D56237" w:rsidRPr="00D56237" w:rsidRDefault="00D56237" w:rsidP="00D56237">
      <w:pPr>
        <w:spacing w:after="120" w:line="276" w:lineRule="auto"/>
        <w:ind w:firstLine="709"/>
        <w:jc w:val="both"/>
        <w:rPr>
          <w:rFonts w:ascii="Verdana" w:eastAsia="Calibri" w:hAnsi="Verdana" w:cs="Times New Roman"/>
          <w:lang w:val="es-ES"/>
        </w:rPr>
      </w:pPr>
      <w:r w:rsidRPr="00D56237">
        <w:rPr>
          <w:rFonts w:ascii="Verdana" w:eastAsia="Calibri" w:hAnsi="Verdana" w:cs="Times New Roman"/>
          <w:bCs/>
          <w:lang w:val="es-ES"/>
        </w:rPr>
        <w:t xml:space="preserve">Para la determinación de los requisitos mínimos de experiencia según la “Matriz 1 – Experiencia”, el numeral 3.5.2 del documento base de los documentos tipo adoptados mediante las resoluciones citadas prescribe que la entidad debe indicar de conformidad con su conocimiento integral del proyecto y las necesidades específicas que requiere acreditar, la forma de análisis y establecimiento de las condiciones de experiencia, tanto general como específica.  </w:t>
      </w:r>
    </w:p>
    <w:p w14:paraId="30156381" w14:textId="77777777" w:rsidR="00D56237" w:rsidRPr="00D56237" w:rsidRDefault="00D56237" w:rsidP="00D56237">
      <w:pPr>
        <w:spacing w:after="120" w:line="276" w:lineRule="auto"/>
        <w:ind w:firstLine="709"/>
        <w:jc w:val="both"/>
        <w:rPr>
          <w:rFonts w:ascii="Verdana" w:eastAsia="Calibri" w:hAnsi="Verdana" w:cs="Times New Roman"/>
          <w:bCs/>
          <w:lang w:val="es-ES"/>
        </w:rPr>
      </w:pPr>
      <w:r w:rsidRPr="00D56237">
        <w:rPr>
          <w:rFonts w:ascii="Verdana" w:eastAsia="Calibri" w:hAnsi="Verdana" w:cs="Times New Roman"/>
          <w:bCs/>
          <w:lang w:val="es-ES"/>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agua potable y saneamiento, </w:t>
      </w:r>
      <w:proofErr w:type="spellStart"/>
      <w:r w:rsidRPr="00D56237">
        <w:rPr>
          <w:rFonts w:ascii="Verdana" w:eastAsia="Calibri" w:hAnsi="Verdana" w:cs="Times New Roman"/>
          <w:bCs/>
          <w:lang w:val="es-ES"/>
        </w:rPr>
        <w:t>ii</w:t>
      </w:r>
      <w:proofErr w:type="spellEnd"/>
      <w:r w:rsidRPr="00D56237">
        <w:rPr>
          <w:rFonts w:ascii="Verdana" w:eastAsia="Calibri" w:hAnsi="Verdana" w:cs="Times New Roman"/>
          <w:bCs/>
          <w:lang w:val="es-ES"/>
        </w:rPr>
        <w:t xml:space="preserve">) la actividad a contratar y </w:t>
      </w:r>
      <w:proofErr w:type="spellStart"/>
      <w:r w:rsidRPr="00D56237">
        <w:rPr>
          <w:rFonts w:ascii="Verdana" w:eastAsia="Calibri" w:hAnsi="Verdana" w:cs="Times New Roman"/>
          <w:bCs/>
          <w:lang w:val="es-ES"/>
        </w:rPr>
        <w:t>iii</w:t>
      </w:r>
      <w:proofErr w:type="spellEnd"/>
      <w:r w:rsidRPr="00D56237">
        <w:rPr>
          <w:rFonts w:ascii="Verdana" w:eastAsia="Calibri" w:hAnsi="Verdana" w:cs="Times New Roman"/>
          <w:bCs/>
          <w:lang w:val="es-ES"/>
        </w:rPr>
        <w:t>) la cuantía del proceso de contratación.</w:t>
      </w:r>
    </w:p>
    <w:p w14:paraId="3F97161F" w14:textId="77777777" w:rsidR="00D56237" w:rsidRPr="00D56237" w:rsidRDefault="00D56237" w:rsidP="00D56237">
      <w:pPr>
        <w:spacing w:after="120" w:line="276" w:lineRule="auto"/>
        <w:ind w:firstLine="709"/>
        <w:jc w:val="both"/>
        <w:rPr>
          <w:rFonts w:ascii="Verdana" w:eastAsia="Calibri" w:hAnsi="Verdana" w:cs="Times New Roman"/>
          <w:bCs/>
          <w:lang w:val="es-ES"/>
        </w:rPr>
      </w:pPr>
      <w:r w:rsidRPr="00D56237">
        <w:rPr>
          <w:rFonts w:ascii="Verdana" w:eastAsia="Calibri" w:hAnsi="Verdana" w:cs="Times New Roman"/>
          <w:bCs/>
          <w:lang w:val="es-ES"/>
        </w:rPr>
        <w:t xml:space="preserve">La “Matriz 1 – Experiencia” del sector de agua potable y saneamiento básico está constituida por siete (7) tipos de obras de infraestructura, a saber: 1) obras de acueductos; 2) obras de alcantarillado –sanitarios y/o pluviales y/o combinados–; 3) obras de aseo y/o manejo de residuos; 4) obras para PTAP –planta de tratamiento de agua potable– y/o PTAR –planta de tratamiento de aguas residuales–; 5) unidades sanitarias para vivienda rural dispersa; 6) sistemas no convencionales de potabilización y tratamiento de aguas residuales, y 7) estudios y diseños –en el caso de proyectos que requieran labores de: estudios, diseños y construcción–. </w:t>
      </w:r>
    </w:p>
    <w:p w14:paraId="22386DF8" w14:textId="77777777" w:rsidR="00D56237" w:rsidRPr="00D56237" w:rsidRDefault="00D56237" w:rsidP="00D56237">
      <w:pPr>
        <w:spacing w:after="120" w:line="276" w:lineRule="auto"/>
        <w:ind w:firstLine="709"/>
        <w:jc w:val="both"/>
        <w:rPr>
          <w:rFonts w:ascii="Verdana" w:eastAsia="Calibri" w:hAnsi="Verdana" w:cs="Times New Roman"/>
          <w:bCs/>
          <w:lang w:val="es-ES"/>
        </w:rPr>
      </w:pPr>
      <w:r w:rsidRPr="00D56237">
        <w:rPr>
          <w:rFonts w:ascii="Verdana" w:eastAsia="Calibri" w:hAnsi="Verdana" w:cs="Times New Roman"/>
          <w:bCs/>
          <w:lang w:val="es-ES"/>
        </w:rPr>
        <w:lastRenderedPageBreak/>
        <w:t xml:space="preserve">Con respecto a la actividad a contratar, la Matriz 1 establece cuáles son las que corresponden a cada uno de los tipos de infraestructura mencionados, con el fin de que la entidad identifique aquellas en las cuales se encuadre de mejor forma el objeto que pretende ejecutar y determinar los requisitos de experiencia exigibles. Por último, el documento establece los rangos dentro de los cuales se debe identificar el presupuesto del proceso de contratación. </w:t>
      </w:r>
    </w:p>
    <w:p w14:paraId="69DF7A3D" w14:textId="77777777" w:rsidR="00D56237" w:rsidRPr="00D56237" w:rsidRDefault="00D56237" w:rsidP="00D56237">
      <w:pPr>
        <w:spacing w:after="120" w:line="276" w:lineRule="auto"/>
        <w:ind w:firstLine="709"/>
        <w:jc w:val="both"/>
        <w:rPr>
          <w:rFonts w:ascii="Verdana" w:eastAsia="Calibri" w:hAnsi="Verdana" w:cs="Times New Roman"/>
          <w:bCs/>
          <w:lang w:val="es-ES"/>
        </w:rPr>
      </w:pPr>
      <w:r w:rsidRPr="00D56237">
        <w:rPr>
          <w:rFonts w:ascii="Verdana" w:eastAsia="Calibri" w:hAnsi="Verdana" w:cs="Times New Roman"/>
          <w:bCs/>
          <w:lang w:val="es-ES"/>
        </w:rPr>
        <w:t xml:space="preserve">Conforme con lo expuesto, para definir la experiencia exigible en un proceso de contratación de licitación de obra pública de agua potable y saneamiento básico, se deben seguir los siguientes pasos: </w:t>
      </w:r>
    </w:p>
    <w:p w14:paraId="3D616A60" w14:textId="77777777" w:rsidR="00D56237" w:rsidRPr="00D56237" w:rsidRDefault="00D56237" w:rsidP="00D56237">
      <w:pPr>
        <w:spacing w:after="120" w:line="276" w:lineRule="auto"/>
        <w:ind w:firstLine="709"/>
        <w:jc w:val="both"/>
        <w:rPr>
          <w:rFonts w:ascii="Verdana" w:eastAsia="Calibri" w:hAnsi="Verdana" w:cs="Times New Roman"/>
          <w:bCs/>
          <w:lang w:val="es-ES"/>
        </w:rPr>
      </w:pPr>
      <w:r w:rsidRPr="00D56237">
        <w:rPr>
          <w:rFonts w:ascii="Verdana" w:eastAsia="Calibri" w:hAnsi="Verdana" w:cs="Times New Roman"/>
          <w:bCs/>
          <w:lang w:val="es-ES"/>
        </w:rPr>
        <w:t>•</w:t>
      </w:r>
      <w:r w:rsidRPr="00D56237">
        <w:rPr>
          <w:rFonts w:ascii="Verdana" w:eastAsia="Calibri" w:hAnsi="Verdana" w:cs="Times New Roman"/>
          <w:bCs/>
          <w:lang w:val="es-ES"/>
        </w:rPr>
        <w:tab/>
        <w:t>Identificar en la “Matriz 1 – Experiencia” el tipo de infraestructura sobre el cual recae la obra a ejecutar.</w:t>
      </w:r>
    </w:p>
    <w:p w14:paraId="5D3AB426" w14:textId="77777777" w:rsidR="00D56237" w:rsidRPr="00D56237" w:rsidRDefault="00D56237" w:rsidP="00D56237">
      <w:pPr>
        <w:spacing w:after="120" w:line="276" w:lineRule="auto"/>
        <w:ind w:firstLine="709"/>
        <w:jc w:val="both"/>
        <w:rPr>
          <w:rFonts w:ascii="Verdana" w:eastAsia="Calibri" w:hAnsi="Verdana" w:cs="Times New Roman"/>
          <w:bCs/>
          <w:lang w:val="es-ES"/>
        </w:rPr>
      </w:pPr>
      <w:r w:rsidRPr="00D56237">
        <w:rPr>
          <w:rFonts w:ascii="Verdana" w:eastAsia="Calibri" w:hAnsi="Verdana" w:cs="Times New Roman"/>
          <w:bCs/>
          <w:lang w:val="es-ES"/>
        </w:rPr>
        <w:t>•</w:t>
      </w:r>
      <w:r w:rsidRPr="00D56237">
        <w:rPr>
          <w:rFonts w:ascii="Verdana" w:eastAsia="Calibri" w:hAnsi="Verdana" w:cs="Times New Roman"/>
          <w:bCs/>
          <w:lang w:val="es-ES"/>
        </w:rPr>
        <w:tab/>
        <w:t>Una vez definido el tipo de infraestructura, identificar la “actividad a contratar” acorde con la “Matriz 1 – Experiencia”. Esta actividad corresponde a la obra que pretende ejecutar la entidad estatal de acuerdo con el objeto y su alcance. En este sentido, la entidad debe identificar cuál o cuáles de las actividades a contratar definidas en la “Matriz 1 – Experiencia” corresponden a las obras que ejecutará y de esta manera solicitar la experiencia que corresponde.</w:t>
      </w:r>
    </w:p>
    <w:p w14:paraId="301DF663" w14:textId="77777777" w:rsidR="00D56237" w:rsidRPr="00D56237" w:rsidRDefault="00D56237" w:rsidP="00D56237">
      <w:pPr>
        <w:spacing w:after="120" w:line="276" w:lineRule="auto"/>
        <w:ind w:firstLine="709"/>
        <w:jc w:val="both"/>
        <w:rPr>
          <w:rFonts w:ascii="Verdana" w:eastAsia="Calibri" w:hAnsi="Verdana" w:cs="Times New Roman"/>
          <w:bCs/>
          <w:lang w:val="es-ES"/>
        </w:rPr>
      </w:pPr>
      <w:r w:rsidRPr="00D56237">
        <w:rPr>
          <w:rFonts w:ascii="Verdana" w:eastAsia="Calibri" w:hAnsi="Verdana" w:cs="Times New Roman"/>
          <w:bCs/>
          <w:lang w:val="es-ES"/>
        </w:rPr>
        <w:t>•</w:t>
      </w:r>
      <w:r w:rsidRPr="00D56237">
        <w:rPr>
          <w:rFonts w:ascii="Verdana" w:eastAsia="Calibri" w:hAnsi="Verdana" w:cs="Times New Roman"/>
          <w:bCs/>
          <w:lang w:val="es-ES"/>
        </w:rPr>
        <w:tab/>
        <w:t>Identificar el rango de cuantía en el cual se encuentra el proceso de contratación de acuerdo con el presupuesto oficial.</w:t>
      </w:r>
    </w:p>
    <w:p w14:paraId="088212FA" w14:textId="77777777" w:rsidR="00D56237" w:rsidRPr="00D56237" w:rsidRDefault="00D56237" w:rsidP="00D56237">
      <w:pPr>
        <w:spacing w:after="120" w:line="276" w:lineRule="auto"/>
        <w:ind w:firstLine="709"/>
        <w:jc w:val="both"/>
        <w:rPr>
          <w:rFonts w:ascii="Verdana" w:eastAsia="Calibri" w:hAnsi="Verdana" w:cs="Times New Roman"/>
          <w:bCs/>
          <w:lang w:val="es-ES"/>
        </w:rPr>
      </w:pPr>
      <w:r w:rsidRPr="00D56237">
        <w:rPr>
          <w:rFonts w:ascii="Verdana" w:eastAsia="Calibri" w:hAnsi="Verdana" w:cs="Times New Roman"/>
          <w:bCs/>
          <w:lang w:val="es-ES"/>
        </w:rPr>
        <w:t>•</w:t>
      </w:r>
      <w:r w:rsidRPr="00D56237">
        <w:rPr>
          <w:rFonts w:ascii="Verdana" w:eastAsia="Calibri" w:hAnsi="Verdana" w:cs="Times New Roman"/>
          <w:bCs/>
          <w:lang w:val="es-ES"/>
        </w:rPr>
        <w:tab/>
        <w:t>Identificar la “Experiencia general” exigible acorde con la “Matriz 1 – Experiencia”, teniendo en cuenta la actividad a contratar y el rango de la cuantía del proceso de contratación.</w:t>
      </w:r>
    </w:p>
    <w:p w14:paraId="011EC097" w14:textId="77777777" w:rsidR="00D56237" w:rsidRPr="00D56237" w:rsidRDefault="00D56237" w:rsidP="00D56237">
      <w:pPr>
        <w:spacing w:after="120" w:line="276" w:lineRule="auto"/>
        <w:ind w:firstLine="709"/>
        <w:jc w:val="both"/>
        <w:rPr>
          <w:rFonts w:ascii="Verdana" w:eastAsia="Calibri" w:hAnsi="Verdana" w:cs="Times New Roman"/>
          <w:bCs/>
          <w:lang w:val="es-ES"/>
        </w:rPr>
      </w:pPr>
      <w:r w:rsidRPr="00D56237">
        <w:rPr>
          <w:rFonts w:ascii="Verdana" w:eastAsia="Calibri" w:hAnsi="Verdana" w:cs="Times New Roman"/>
          <w:bCs/>
          <w:lang w:val="es-ES"/>
        </w:rPr>
        <w:t>•</w:t>
      </w:r>
      <w:r w:rsidRPr="00D56237">
        <w:rPr>
          <w:rFonts w:ascii="Verdana" w:eastAsia="Calibri" w:hAnsi="Verdana" w:cs="Times New Roman"/>
          <w:bCs/>
          <w:lang w:val="es-ES"/>
        </w:rPr>
        <w:tab/>
        <w:t>Identificar la “experiencia específica” exigible, el porcentaje de dimensionamiento, que se puede solicitar acorde con las magnitudes a ejecutar de acuerdo con la cuantía del proceso de contratación y las especificaciones técnicas que determina cada actividad.</w:t>
      </w:r>
    </w:p>
    <w:p w14:paraId="13CF0413" w14:textId="77777777" w:rsidR="00D56237" w:rsidRPr="00D56237" w:rsidRDefault="00D56237" w:rsidP="00D56237">
      <w:pPr>
        <w:spacing w:after="120" w:line="276" w:lineRule="auto"/>
        <w:ind w:firstLine="709"/>
        <w:jc w:val="both"/>
        <w:rPr>
          <w:rFonts w:ascii="Verdana" w:eastAsia="Calibri" w:hAnsi="Verdana" w:cs="Times New Roman"/>
          <w:b/>
          <w:lang w:val="es-ES"/>
        </w:rPr>
      </w:pPr>
      <w:r w:rsidRPr="00D56237">
        <w:rPr>
          <w:rFonts w:ascii="Verdana" w:eastAsia="Calibri" w:hAnsi="Verdana" w:cs="Times New Roman"/>
          <w:bCs/>
          <w:lang w:val="es-ES"/>
        </w:rPr>
        <w:t xml:space="preserve">Así las cosas, en la etapa de planeación, la entidad estatal debe identificar el tipo de obra de infraestructura y las actividades definidas en la “Matriz 1 – Experiencia” atendiendo al alcance del objeto a contratar. De esta manera, la “experiencia general” y la “experiencia específica” se solicitará de acuerdo con la actividad a contratar, con la cuantía del procedimiento y teniendo en cuenta las condiciones técnicas requeridas por la entidad, aspecto que deberá </w:t>
      </w:r>
      <w:r w:rsidRPr="00D56237">
        <w:rPr>
          <w:rFonts w:ascii="Verdana" w:eastAsia="Calibri" w:hAnsi="Verdana" w:cs="Times New Roman"/>
          <w:bCs/>
          <w:lang w:val="es-ES"/>
        </w:rPr>
        <w:lastRenderedPageBreak/>
        <w:t>acreditarse de acuerdo con las instrucciones establecidas en dicha matriz para cada actividad.</w:t>
      </w:r>
    </w:p>
    <w:p w14:paraId="07DC0E9F" w14:textId="77777777" w:rsidR="00D56237" w:rsidRPr="00D56237" w:rsidRDefault="00D56237" w:rsidP="00D56237">
      <w:pPr>
        <w:spacing w:after="120" w:line="276" w:lineRule="auto"/>
        <w:ind w:firstLine="709"/>
        <w:jc w:val="both"/>
        <w:rPr>
          <w:rFonts w:ascii="Verdana" w:eastAsia="Calibri" w:hAnsi="Verdana" w:cs="Times New Roman"/>
          <w:bCs/>
          <w:lang w:val="es-ES"/>
        </w:rPr>
      </w:pPr>
      <w:r w:rsidRPr="00D56237">
        <w:rPr>
          <w:rFonts w:ascii="Verdana" w:eastAsia="Calibri" w:hAnsi="Verdana" w:cs="Times New Roman"/>
          <w:bCs/>
          <w:lang w:val="es-ES"/>
        </w:rPr>
        <w:t>La entidad también puede optar por incluir una o más combinaciones de experiencia específica, según la pertinencia de estas y el alcance del futuro contrato. Es decir que la entidad puede establecer una exigencia de experiencia específica o, por el contrario, exigir varias alternativas para verificar la idoneidad del proponente, de acuerdo con el análisis que realice.</w:t>
      </w:r>
    </w:p>
    <w:p w14:paraId="20298DD8" w14:textId="77777777" w:rsidR="00D56237" w:rsidRPr="00D56237" w:rsidRDefault="00D56237" w:rsidP="00D56237">
      <w:pPr>
        <w:spacing w:after="120" w:line="276" w:lineRule="auto"/>
        <w:ind w:firstLine="709"/>
        <w:jc w:val="both"/>
        <w:rPr>
          <w:rFonts w:ascii="Verdana" w:eastAsia="Calibri" w:hAnsi="Verdana" w:cs="Times New Roman"/>
          <w:bCs/>
          <w:lang w:val="es-ES"/>
        </w:rPr>
      </w:pPr>
      <w:r w:rsidRPr="00D56237">
        <w:rPr>
          <w:rFonts w:ascii="Verdana" w:eastAsia="Calibri" w:hAnsi="Verdana" w:cs="Times New Roman"/>
          <w:bCs/>
          <w:lang w:val="es-ES"/>
        </w:rPr>
        <w:t>Teniendo en cuenta el objeto de su consulta, es importante hacer referencia a las siguientes actividades a contratar, con el fin de contextualizar la presente respuesta:</w:t>
      </w:r>
    </w:p>
    <w:p w14:paraId="75334968" w14:textId="77777777" w:rsidR="00D56237" w:rsidRPr="00D56237" w:rsidRDefault="00D56237" w:rsidP="00D56237">
      <w:pPr>
        <w:numPr>
          <w:ilvl w:val="1"/>
          <w:numId w:val="18"/>
        </w:numPr>
        <w:spacing w:after="120" w:line="276" w:lineRule="auto"/>
        <w:ind w:left="0" w:firstLine="709"/>
        <w:jc w:val="both"/>
        <w:rPr>
          <w:rFonts w:ascii="Verdana" w:eastAsia="Calibri" w:hAnsi="Verdana" w:cs="Times New Roman"/>
          <w:lang w:val="es-ES"/>
        </w:rPr>
      </w:pPr>
      <w:r w:rsidRPr="00D56237">
        <w:rPr>
          <w:rFonts w:ascii="Verdana" w:eastAsia="Calibri" w:hAnsi="Verdana" w:cs="Times New Roman"/>
          <w:lang w:val="es-ES"/>
        </w:rPr>
        <w:t xml:space="preserve">Proyectos de </w:t>
      </w:r>
      <w:r w:rsidRPr="00D56237">
        <w:rPr>
          <w:rFonts w:ascii="Verdana" w:eastAsia="Calibri" w:hAnsi="Verdana" w:cs="Times New Roman"/>
          <w:b/>
          <w:bCs/>
          <w:u w:val="single"/>
          <w:lang w:val="es-ES"/>
        </w:rPr>
        <w:t>construcción</w:t>
      </w:r>
      <w:r w:rsidRPr="00D56237">
        <w:rPr>
          <w:rFonts w:ascii="Verdana" w:eastAsia="Calibri" w:hAnsi="Verdana" w:cs="Times New Roman"/>
          <w:lang w:val="es-ES"/>
        </w:rPr>
        <w:t xml:space="preserve"> de acueductos (urbanos y/o rurales) y/u obras complementarias, se requiere para acreditar la experiencia general: proyectos que correspondan o hayan contenido actividades de: </w:t>
      </w:r>
      <w:r w:rsidRPr="00D56237">
        <w:rPr>
          <w:rFonts w:ascii="Verdana" w:eastAsia="Calibri" w:hAnsi="Verdana" w:cs="Times New Roman"/>
          <w:b/>
          <w:bCs/>
          <w:u w:val="single"/>
          <w:lang w:val="es-ES"/>
        </w:rPr>
        <w:t>construcción</w:t>
      </w:r>
      <w:r w:rsidRPr="00D56237">
        <w:rPr>
          <w:rFonts w:ascii="Verdana" w:eastAsia="Calibri" w:hAnsi="Verdana" w:cs="Times New Roman"/>
          <w:lang w:val="es-ES"/>
        </w:rPr>
        <w:t xml:space="preserve"> de acueductos.</w:t>
      </w:r>
      <w:r w:rsidRPr="00D56237">
        <w:rPr>
          <w:rFonts w:ascii="Verdana" w:eastAsia="Calibri" w:hAnsi="Verdana" w:cs="Times New Roman"/>
          <w:lang w:val="es-ES"/>
        </w:rPr>
        <w:tab/>
      </w:r>
    </w:p>
    <w:p w14:paraId="4B940A3D" w14:textId="77777777" w:rsidR="00D56237" w:rsidRPr="00D56237" w:rsidRDefault="00D56237" w:rsidP="00D56237">
      <w:pPr>
        <w:numPr>
          <w:ilvl w:val="1"/>
          <w:numId w:val="18"/>
        </w:numPr>
        <w:spacing w:after="120" w:line="276" w:lineRule="auto"/>
        <w:ind w:left="0" w:firstLine="709"/>
        <w:jc w:val="both"/>
        <w:rPr>
          <w:rFonts w:ascii="Verdana" w:eastAsia="Calibri" w:hAnsi="Verdana" w:cs="Times New Roman"/>
          <w:lang w:val="es-ES"/>
        </w:rPr>
      </w:pPr>
      <w:r w:rsidRPr="00D56237">
        <w:rPr>
          <w:rFonts w:ascii="Verdana" w:eastAsia="Calibri" w:hAnsi="Verdana" w:cs="Times New Roman"/>
          <w:lang w:val="es-ES"/>
        </w:rPr>
        <w:t xml:space="preserve">Proyectos de </w:t>
      </w:r>
      <w:r w:rsidRPr="00D56237">
        <w:rPr>
          <w:rFonts w:ascii="Verdana" w:eastAsia="Calibri" w:hAnsi="Verdana" w:cs="Times New Roman"/>
          <w:b/>
          <w:bCs/>
          <w:u w:val="single"/>
          <w:lang w:val="es-ES"/>
        </w:rPr>
        <w:t>optimización y/o mejoramiento y/o rehabilitación y/o reforzamiento y/o reconstrucción y/o reposición</w:t>
      </w:r>
      <w:r w:rsidRPr="00D56237">
        <w:rPr>
          <w:rFonts w:ascii="Verdana" w:eastAsia="Calibri" w:hAnsi="Verdana" w:cs="Times New Roman"/>
          <w:lang w:val="es-ES"/>
        </w:rPr>
        <w:t xml:space="preserve"> de acueductos y/o redes de acueducto (urbanos y/o rurales), se requiere para acreditar la experiencia general: proyectos que correspondan o hayan contenido actividades de: </w:t>
      </w:r>
      <w:r w:rsidRPr="00D56237">
        <w:rPr>
          <w:rFonts w:ascii="Verdana" w:eastAsia="Calibri" w:hAnsi="Verdana" w:cs="Times New Roman"/>
          <w:b/>
          <w:bCs/>
          <w:u w:val="single"/>
          <w:lang w:val="es-ES"/>
        </w:rPr>
        <w:t>ampliación y/u optimización y/o construcción y/o mejoramiento y/o reposición y/o rehabilitación y/o reforzamiento y/o reconstrucción</w:t>
      </w:r>
      <w:r w:rsidRPr="00D56237">
        <w:rPr>
          <w:rFonts w:ascii="Verdana" w:eastAsia="Calibri" w:hAnsi="Verdana" w:cs="Times New Roman"/>
          <w:lang w:val="es-ES"/>
        </w:rPr>
        <w:t xml:space="preserve"> de acueductos.</w:t>
      </w:r>
    </w:p>
    <w:p w14:paraId="0959942A" w14:textId="77777777" w:rsidR="00D56237" w:rsidRPr="00D56237" w:rsidRDefault="00D56237" w:rsidP="00D56237">
      <w:pPr>
        <w:spacing w:after="120" w:line="276" w:lineRule="auto"/>
        <w:ind w:firstLine="709"/>
        <w:jc w:val="both"/>
        <w:rPr>
          <w:rFonts w:ascii="Verdana" w:eastAsia="Calibri" w:hAnsi="Verdana" w:cs="Times New Roman"/>
        </w:rPr>
      </w:pPr>
      <w:r w:rsidRPr="00D56237">
        <w:rPr>
          <w:rFonts w:ascii="Verdana" w:eastAsia="Calibri" w:hAnsi="Verdana" w:cs="Times New Roman"/>
        </w:rPr>
        <w:t xml:space="preserve">2.1 </w:t>
      </w:r>
      <w:r w:rsidRPr="00D56237">
        <w:rPr>
          <w:rFonts w:ascii="Verdana" w:eastAsia="Calibri" w:hAnsi="Verdana" w:cs="Times New Roman"/>
        </w:rPr>
        <w:tab/>
        <w:t xml:space="preserve">Proyectos de </w:t>
      </w:r>
      <w:r w:rsidRPr="00D56237">
        <w:rPr>
          <w:rFonts w:ascii="Verdana" w:eastAsia="Calibri" w:hAnsi="Verdana" w:cs="Times New Roman"/>
          <w:b/>
          <w:bCs/>
        </w:rPr>
        <w:t>construcción</w:t>
      </w:r>
      <w:r w:rsidRPr="00D56237">
        <w:rPr>
          <w:rFonts w:ascii="Verdana" w:eastAsia="Calibri" w:hAnsi="Verdana" w:cs="Times New Roman"/>
        </w:rPr>
        <w:t xml:space="preserve"> de alcantarillados sanitarios y/o pluviales y/o combinado (urbanos y/o rurales) y/u obras complementarias, se requiere para acreditar la experiencia general: proyectos que correspondan o hayan contenido actividades de: </w:t>
      </w:r>
      <w:r w:rsidRPr="00D56237">
        <w:rPr>
          <w:rFonts w:ascii="Verdana" w:eastAsia="Calibri" w:hAnsi="Verdana" w:cs="Times New Roman"/>
          <w:b/>
          <w:bCs/>
          <w:u w:val="single"/>
        </w:rPr>
        <w:t>construcción</w:t>
      </w:r>
      <w:r w:rsidRPr="00D56237">
        <w:rPr>
          <w:rFonts w:ascii="Verdana" w:eastAsia="Calibri" w:hAnsi="Verdana" w:cs="Times New Roman"/>
        </w:rPr>
        <w:t xml:space="preserve"> de alcantarillado (sanitario y/o pluvial y/o combinado).</w:t>
      </w:r>
      <w:r w:rsidRPr="00D56237">
        <w:rPr>
          <w:rFonts w:ascii="Verdana" w:eastAsia="Calibri" w:hAnsi="Verdana" w:cs="Times New Roman"/>
        </w:rPr>
        <w:tab/>
      </w:r>
    </w:p>
    <w:p w14:paraId="4C95C61B" w14:textId="77777777" w:rsidR="00D56237" w:rsidRPr="00D56237" w:rsidRDefault="00D56237" w:rsidP="00D56237">
      <w:pPr>
        <w:spacing w:after="120" w:line="276" w:lineRule="auto"/>
        <w:ind w:firstLine="709"/>
        <w:jc w:val="both"/>
        <w:rPr>
          <w:rFonts w:ascii="Verdana" w:eastAsia="Calibri" w:hAnsi="Verdana" w:cs="Times New Roman"/>
        </w:rPr>
      </w:pPr>
      <w:r w:rsidRPr="00D56237">
        <w:rPr>
          <w:rFonts w:ascii="Verdana" w:eastAsia="Calibri" w:hAnsi="Verdana" w:cs="Times New Roman"/>
        </w:rPr>
        <w:t xml:space="preserve">2.2 </w:t>
      </w:r>
      <w:r w:rsidRPr="00D56237">
        <w:rPr>
          <w:rFonts w:ascii="Verdana" w:eastAsia="Calibri" w:hAnsi="Verdana" w:cs="Times New Roman"/>
        </w:rPr>
        <w:tab/>
        <w:t xml:space="preserve">Proyectos de </w:t>
      </w:r>
      <w:r w:rsidRPr="00D56237">
        <w:rPr>
          <w:rFonts w:ascii="Verdana" w:eastAsia="Calibri" w:hAnsi="Verdana" w:cs="Times New Roman"/>
          <w:b/>
          <w:bCs/>
          <w:u w:val="single"/>
        </w:rPr>
        <w:t>optimización y/o mejoramiento y/o rehabilitación y/o reforzamiento y/o reconstrucción y/o reposición</w:t>
      </w:r>
      <w:r w:rsidRPr="00D56237">
        <w:rPr>
          <w:rFonts w:ascii="Verdana" w:eastAsia="Calibri" w:hAnsi="Verdana" w:cs="Times New Roman"/>
        </w:rPr>
        <w:t xml:space="preserve"> de alcantarillados y/o redes de alcantarillado sanitarios y/o pluviales y/o combinado (urbanos y/o rurales)</w:t>
      </w:r>
      <w:r w:rsidRPr="00D56237">
        <w:rPr>
          <w:rFonts w:ascii="Calibri" w:eastAsia="Calibri" w:hAnsi="Calibri" w:cs="Times New Roman"/>
        </w:rPr>
        <w:t xml:space="preserve"> </w:t>
      </w:r>
      <w:r w:rsidRPr="00D56237">
        <w:rPr>
          <w:rFonts w:ascii="Verdana" w:eastAsia="Calibri" w:hAnsi="Verdana" w:cs="Times New Roman"/>
        </w:rPr>
        <w:t>, se requiere para acreditar la experiencia general: proyectos que correspondan o hayan contenido actividades de:</w:t>
      </w:r>
      <w:r w:rsidRPr="00D56237">
        <w:rPr>
          <w:rFonts w:ascii="Verdana" w:eastAsia="Calibri" w:hAnsi="Verdana" w:cs="Times New Roman"/>
          <w:b/>
          <w:bCs/>
          <w:u w:val="single"/>
        </w:rPr>
        <w:t xml:space="preserve"> ampliación y/u optimización y/o construcción y/o mejoramiento y/o reposición y/o rehabilitación y/o reforzamiento y/o reconstrucció</w:t>
      </w:r>
      <w:r w:rsidRPr="00D56237">
        <w:rPr>
          <w:rFonts w:ascii="Verdana" w:eastAsia="Calibri" w:hAnsi="Verdana" w:cs="Times New Roman"/>
        </w:rPr>
        <w:t>n de alcantarillados (sanitarios y/o pluviales y/o combinado).</w:t>
      </w:r>
      <w:r w:rsidRPr="00D56237">
        <w:rPr>
          <w:rFonts w:ascii="Verdana" w:eastAsia="Calibri" w:hAnsi="Verdana" w:cs="Times New Roman"/>
        </w:rPr>
        <w:tab/>
      </w:r>
      <w:r w:rsidRPr="00D56237">
        <w:rPr>
          <w:rFonts w:ascii="Verdana" w:eastAsia="Calibri" w:hAnsi="Verdana" w:cs="Times New Roman"/>
        </w:rPr>
        <w:tab/>
      </w:r>
      <w:r w:rsidRPr="00D56237">
        <w:rPr>
          <w:rFonts w:ascii="Verdana" w:eastAsia="Calibri" w:hAnsi="Verdana" w:cs="Times New Roman"/>
        </w:rPr>
        <w:tab/>
      </w:r>
      <w:r w:rsidRPr="00D56237">
        <w:rPr>
          <w:rFonts w:ascii="Verdana" w:eastAsia="Calibri" w:hAnsi="Verdana" w:cs="Times New Roman"/>
        </w:rPr>
        <w:tab/>
      </w:r>
      <w:r w:rsidRPr="00D56237">
        <w:rPr>
          <w:rFonts w:ascii="Verdana" w:eastAsia="Calibri" w:hAnsi="Verdana" w:cs="Times New Roman"/>
        </w:rPr>
        <w:tab/>
      </w:r>
      <w:r w:rsidRPr="00D56237">
        <w:rPr>
          <w:rFonts w:ascii="Verdana" w:eastAsia="Calibri" w:hAnsi="Verdana" w:cs="Times New Roman"/>
        </w:rPr>
        <w:tab/>
      </w:r>
      <w:r w:rsidRPr="00D56237">
        <w:rPr>
          <w:rFonts w:ascii="Verdana" w:eastAsia="Calibri" w:hAnsi="Verdana" w:cs="Times New Roman"/>
        </w:rPr>
        <w:tab/>
        <w:t xml:space="preserve">4.1 </w:t>
      </w:r>
      <w:r w:rsidRPr="00D56237">
        <w:rPr>
          <w:rFonts w:ascii="Verdana" w:eastAsia="Calibri" w:hAnsi="Verdana" w:cs="Times New Roman"/>
        </w:rPr>
        <w:tab/>
        <w:t xml:space="preserve">Proyectos de </w:t>
      </w:r>
      <w:r w:rsidRPr="00D56237">
        <w:rPr>
          <w:rFonts w:ascii="Verdana" w:eastAsia="Calibri" w:hAnsi="Verdana" w:cs="Times New Roman"/>
          <w:b/>
          <w:bCs/>
          <w:u w:val="single"/>
        </w:rPr>
        <w:t xml:space="preserve">construcción </w:t>
      </w:r>
      <w:r w:rsidRPr="00D56237">
        <w:rPr>
          <w:rFonts w:ascii="Verdana" w:eastAsia="Calibri" w:hAnsi="Verdana" w:cs="Times New Roman"/>
        </w:rPr>
        <w:t xml:space="preserve">de PTAP y/u obras complementarias, </w:t>
      </w:r>
      <w:r w:rsidRPr="00D56237">
        <w:rPr>
          <w:rFonts w:ascii="Verdana" w:eastAsia="Calibri" w:hAnsi="Verdana" w:cs="Times New Roman"/>
        </w:rPr>
        <w:lastRenderedPageBreak/>
        <w:t>se requiere para acreditar la experiencia general: proyectos que correspondan o hayan contenido actividades de</w:t>
      </w:r>
      <w:r w:rsidRPr="00D56237">
        <w:rPr>
          <w:rFonts w:ascii="Verdana" w:eastAsia="Calibri" w:hAnsi="Verdana" w:cs="Times New Roman"/>
          <w:b/>
          <w:bCs/>
          <w:u w:val="single"/>
        </w:rPr>
        <w:t xml:space="preserve"> construcción</w:t>
      </w:r>
      <w:r w:rsidRPr="00D56237">
        <w:rPr>
          <w:rFonts w:ascii="Verdana" w:eastAsia="Calibri" w:hAnsi="Verdana" w:cs="Times New Roman"/>
        </w:rPr>
        <w:t xml:space="preserve"> de: sistemas de acueductos y/o PTAP y/o sistemas de tratamiento de agua.</w:t>
      </w:r>
    </w:p>
    <w:p w14:paraId="28DDD227" w14:textId="77777777" w:rsidR="00D56237" w:rsidRPr="00D56237" w:rsidRDefault="00D56237" w:rsidP="00D56237">
      <w:pPr>
        <w:spacing w:after="120" w:line="276" w:lineRule="auto"/>
        <w:ind w:firstLine="709"/>
        <w:jc w:val="both"/>
        <w:rPr>
          <w:rFonts w:ascii="Verdana" w:eastAsia="Calibri" w:hAnsi="Verdana" w:cs="Times New Roman"/>
        </w:rPr>
      </w:pPr>
      <w:r w:rsidRPr="00D56237">
        <w:rPr>
          <w:rFonts w:ascii="Verdana" w:eastAsia="Calibri" w:hAnsi="Verdana" w:cs="Times New Roman"/>
        </w:rPr>
        <w:t xml:space="preserve">4.3. Proyectos de </w:t>
      </w:r>
      <w:r w:rsidRPr="00D56237">
        <w:rPr>
          <w:rFonts w:ascii="Verdana" w:eastAsia="Calibri" w:hAnsi="Verdana" w:cs="Times New Roman"/>
          <w:b/>
          <w:bCs/>
          <w:u w:val="single"/>
        </w:rPr>
        <w:t>optimización y/o mejoramiento y/o adecuación y/o reforzamiento y/o rehabilitación y/o mantenimiento</w:t>
      </w:r>
      <w:r w:rsidRPr="00D56237">
        <w:rPr>
          <w:rFonts w:ascii="Verdana" w:eastAsia="Calibri" w:hAnsi="Verdana" w:cs="Times New Roman"/>
        </w:rPr>
        <w:t xml:space="preserve"> de PTAP y/u obras complementarias, se requiere para acreditar la experiencia general:</w:t>
      </w:r>
      <w:r w:rsidRPr="00D56237">
        <w:rPr>
          <w:rFonts w:ascii="Calibri" w:eastAsia="Calibri" w:hAnsi="Calibri" w:cs="Times New Roman"/>
        </w:rPr>
        <w:t xml:space="preserve"> </w:t>
      </w:r>
      <w:r w:rsidRPr="00D56237">
        <w:rPr>
          <w:rFonts w:ascii="Verdana" w:eastAsia="Calibri" w:hAnsi="Verdana" w:cs="Times New Roman"/>
        </w:rPr>
        <w:t xml:space="preserve">proyectos que correspondan o hayan contenido actividades de: </w:t>
      </w:r>
      <w:r w:rsidRPr="00D56237">
        <w:rPr>
          <w:rFonts w:ascii="Verdana" w:eastAsia="Calibri" w:hAnsi="Verdana" w:cs="Times New Roman"/>
          <w:b/>
          <w:bCs/>
          <w:u w:val="single"/>
        </w:rPr>
        <w:t>construcción y/o mejoramiento y/o reforzamiento y/o ampliación y/o adecuación y/o rehabilitación y/o mantenimiento</w:t>
      </w:r>
      <w:r w:rsidRPr="00D56237">
        <w:rPr>
          <w:rFonts w:ascii="Verdana" w:eastAsia="Calibri" w:hAnsi="Verdana" w:cs="Times New Roman"/>
        </w:rPr>
        <w:t xml:space="preserve"> de: sistemas de acueductos y/o PTAP y/o sistemas de tratamiento de agua.</w:t>
      </w:r>
      <w:r w:rsidRPr="00D56237">
        <w:rPr>
          <w:rFonts w:ascii="Verdana" w:eastAsia="Calibri" w:hAnsi="Verdana" w:cs="Times New Roman"/>
        </w:rPr>
        <w:tab/>
      </w:r>
    </w:p>
    <w:p w14:paraId="60D3DB90" w14:textId="77777777" w:rsidR="00D56237" w:rsidRPr="00D56237" w:rsidRDefault="00D56237" w:rsidP="00D56237">
      <w:pPr>
        <w:spacing w:after="120"/>
        <w:ind w:firstLine="709"/>
        <w:jc w:val="both"/>
        <w:rPr>
          <w:rFonts w:ascii="Verdana" w:eastAsia="Calibri" w:hAnsi="Verdana" w:cs="Times New Roman"/>
          <w:b/>
          <w:bCs/>
        </w:rPr>
      </w:pPr>
      <w:r w:rsidRPr="00D56237">
        <w:rPr>
          <w:rFonts w:ascii="Verdana" w:eastAsia="Calibri" w:hAnsi="Verdana" w:cs="Times New Roman"/>
        </w:rPr>
        <w:t xml:space="preserve">Al respecto, de manera particular, en la “Matriz 1 – Experiencia” del sector de agua potable y saneamiento básico, dentro las actividades 1.1, 2.1 y 4.1 que hacen referencia a “construcción”, y las actividades 1.2, 2.2 y 4.3 referidas a “optimización y/o mejoramiento y/o rehabilitación y/o reforzamiento y/o reconstrucción y/o reposición”, tomadas a fin de contextualizar su consulta, se establece específicamente que la entidad determinará si el proceso se debe enmarcar en “construcción” o en “optimización y/o mejoramiento y/o rehabilitación y/o reforzamiento y/o reconstrucción y/o reposición”, así:  </w:t>
      </w:r>
    </w:p>
    <w:p w14:paraId="3A9B0266" w14:textId="77777777" w:rsidR="00D56237" w:rsidRPr="00D56237" w:rsidRDefault="00D56237" w:rsidP="00D56237">
      <w:pPr>
        <w:numPr>
          <w:ilvl w:val="0"/>
          <w:numId w:val="21"/>
        </w:numPr>
        <w:spacing w:after="0" w:line="276" w:lineRule="auto"/>
        <w:ind w:left="0" w:firstLine="709"/>
        <w:jc w:val="both"/>
        <w:rPr>
          <w:rFonts w:ascii="Verdana" w:eastAsia="Calibri" w:hAnsi="Verdana" w:cs="Times New Roman"/>
          <w:bCs/>
          <w:lang w:val="es-ES"/>
        </w:rPr>
      </w:pPr>
      <w:r w:rsidRPr="00D56237">
        <w:rPr>
          <w:rFonts w:ascii="Verdana" w:eastAsia="Calibri" w:hAnsi="Verdana" w:cs="Times New Roman"/>
          <w:bCs/>
          <w:lang w:val="es-ES"/>
        </w:rPr>
        <w:t>Actividades relacionadas con construcción de la Matriz 1, tomadas como ejemplo:</w:t>
      </w:r>
    </w:p>
    <w:p w14:paraId="67B7C9C9" w14:textId="77777777" w:rsidR="00D56237" w:rsidRPr="00D56237" w:rsidRDefault="00D56237" w:rsidP="00D56237">
      <w:pPr>
        <w:spacing w:after="0" w:line="276" w:lineRule="auto"/>
        <w:ind w:firstLine="709"/>
        <w:jc w:val="both"/>
        <w:rPr>
          <w:rFonts w:ascii="Verdana" w:eastAsia="Calibri" w:hAnsi="Verdana" w:cs="Times New Roman"/>
          <w:bCs/>
          <w:lang w:val="es-ES"/>
        </w:rPr>
      </w:pPr>
    </w:p>
    <w:p w14:paraId="10C50FD8" w14:textId="77777777" w:rsidR="00D56237" w:rsidRPr="00D56237" w:rsidRDefault="00D56237" w:rsidP="00D56237">
      <w:pPr>
        <w:numPr>
          <w:ilvl w:val="1"/>
          <w:numId w:val="19"/>
        </w:numPr>
        <w:spacing w:after="0" w:line="276" w:lineRule="auto"/>
        <w:ind w:left="709" w:firstLine="0"/>
        <w:jc w:val="both"/>
        <w:rPr>
          <w:rFonts w:ascii="Verdana" w:eastAsia="Calibri" w:hAnsi="Verdana" w:cs="Times New Roman"/>
          <w:lang w:val="es-ES"/>
        </w:rPr>
      </w:pPr>
      <w:r w:rsidRPr="00D56237">
        <w:rPr>
          <w:rFonts w:ascii="Verdana" w:eastAsia="Calibri" w:hAnsi="Verdana" w:cs="Times New Roman"/>
          <w:lang w:val="es-ES"/>
        </w:rPr>
        <w:t>Proyectos de construcción de acueductos (urbanos y/o rurales) y/u obras complementarias.</w:t>
      </w:r>
    </w:p>
    <w:p w14:paraId="72FD938D" w14:textId="77777777" w:rsidR="00D56237" w:rsidRPr="00D56237" w:rsidRDefault="00D56237" w:rsidP="00D56237">
      <w:pPr>
        <w:numPr>
          <w:ilvl w:val="1"/>
          <w:numId w:val="20"/>
        </w:numPr>
        <w:spacing w:after="0" w:line="276" w:lineRule="auto"/>
        <w:ind w:left="709" w:firstLine="0"/>
        <w:jc w:val="both"/>
        <w:rPr>
          <w:rFonts w:ascii="Verdana" w:eastAsia="Calibri" w:hAnsi="Verdana" w:cs="Times New Roman"/>
          <w:lang w:val="es-ES"/>
        </w:rPr>
      </w:pPr>
      <w:r w:rsidRPr="00D56237">
        <w:rPr>
          <w:rFonts w:ascii="Verdana" w:eastAsia="Calibri" w:hAnsi="Verdana" w:cs="Times New Roman"/>
          <w:lang w:val="es-ES"/>
        </w:rPr>
        <w:t>Proyectos de construcción de alcantarillados sanitarios y/o pluviales y/o combinado (urbanos y/o rurales) y/u obras complementarias.</w:t>
      </w:r>
      <w:r w:rsidRPr="00D56237">
        <w:rPr>
          <w:rFonts w:ascii="Verdana" w:eastAsia="Calibri" w:hAnsi="Verdana" w:cs="Times New Roman"/>
          <w:lang w:val="es-ES"/>
        </w:rPr>
        <w:tab/>
      </w:r>
    </w:p>
    <w:p w14:paraId="0512905F" w14:textId="77777777" w:rsidR="00D56237" w:rsidRPr="00D56237" w:rsidRDefault="00D56237" w:rsidP="00D56237">
      <w:pPr>
        <w:spacing w:after="0" w:line="276" w:lineRule="auto"/>
        <w:ind w:left="709"/>
        <w:jc w:val="both"/>
        <w:rPr>
          <w:rFonts w:ascii="Verdana" w:eastAsia="Calibri" w:hAnsi="Verdana" w:cs="Times New Roman"/>
        </w:rPr>
      </w:pPr>
      <w:r w:rsidRPr="00D56237">
        <w:rPr>
          <w:rFonts w:ascii="Verdana" w:eastAsia="Calibri" w:hAnsi="Verdana" w:cs="Times New Roman"/>
        </w:rPr>
        <w:t xml:space="preserve">4.1 </w:t>
      </w:r>
      <w:r w:rsidRPr="00D56237">
        <w:rPr>
          <w:rFonts w:ascii="Verdana" w:eastAsia="Calibri" w:hAnsi="Verdana" w:cs="Times New Roman"/>
        </w:rPr>
        <w:tab/>
        <w:t>Proyectos de construcción de PTAP y/u obras complementarias.</w:t>
      </w:r>
    </w:p>
    <w:p w14:paraId="343941A3" w14:textId="77777777" w:rsidR="00D56237" w:rsidRPr="00D56237" w:rsidRDefault="00D56237" w:rsidP="00D56237">
      <w:pPr>
        <w:spacing w:after="0" w:line="276" w:lineRule="auto"/>
        <w:ind w:firstLine="709"/>
        <w:jc w:val="both"/>
        <w:rPr>
          <w:rFonts w:ascii="Verdana" w:eastAsia="Calibri" w:hAnsi="Verdana" w:cs="Times New Roman"/>
          <w:lang w:val="es-ES"/>
        </w:rPr>
      </w:pPr>
    </w:p>
    <w:p w14:paraId="1397DBBD" w14:textId="77777777" w:rsidR="00D56237" w:rsidRPr="00D56237" w:rsidRDefault="00D56237" w:rsidP="00D56237">
      <w:pPr>
        <w:numPr>
          <w:ilvl w:val="0"/>
          <w:numId w:val="21"/>
        </w:numPr>
        <w:spacing w:after="0" w:line="276" w:lineRule="auto"/>
        <w:ind w:left="0" w:firstLine="709"/>
        <w:jc w:val="both"/>
        <w:rPr>
          <w:rFonts w:ascii="Verdana" w:eastAsia="Calibri" w:hAnsi="Verdana" w:cs="Times New Roman"/>
          <w:bCs/>
          <w:lang w:val="es-ES"/>
        </w:rPr>
      </w:pPr>
      <w:r w:rsidRPr="00D56237">
        <w:rPr>
          <w:rFonts w:ascii="Verdana" w:eastAsia="Calibri" w:hAnsi="Verdana" w:cs="Times New Roman"/>
          <w:bCs/>
          <w:lang w:val="es-ES"/>
        </w:rPr>
        <w:t>Actividades relacionadas con optimización y/o mejoramiento y/o rehabilitación y/o reforzamiento y/o reconstrucción y/o reposición de la Matriz 1, tomadas como ejemplo:</w:t>
      </w:r>
    </w:p>
    <w:p w14:paraId="43D5AD1D" w14:textId="77777777" w:rsidR="00D56237" w:rsidRPr="00D56237" w:rsidRDefault="00D56237" w:rsidP="00D56237">
      <w:pPr>
        <w:spacing w:after="0" w:line="276" w:lineRule="auto"/>
        <w:ind w:firstLine="709"/>
        <w:jc w:val="both"/>
        <w:rPr>
          <w:rFonts w:ascii="Verdana" w:eastAsia="Calibri" w:hAnsi="Verdana" w:cs="Times New Roman"/>
        </w:rPr>
      </w:pPr>
    </w:p>
    <w:p w14:paraId="775F0800" w14:textId="77777777" w:rsidR="00D56237" w:rsidRPr="00D56237" w:rsidRDefault="00D56237" w:rsidP="00D56237">
      <w:pPr>
        <w:spacing w:after="0" w:line="276" w:lineRule="auto"/>
        <w:ind w:left="709"/>
        <w:jc w:val="both"/>
        <w:rPr>
          <w:rFonts w:ascii="Verdana" w:eastAsia="Calibri" w:hAnsi="Verdana" w:cs="Times New Roman"/>
          <w:lang w:val="es-ES"/>
        </w:rPr>
      </w:pPr>
      <w:r w:rsidRPr="00D56237">
        <w:rPr>
          <w:rFonts w:ascii="Verdana" w:eastAsia="Calibri" w:hAnsi="Verdana" w:cs="Times New Roman"/>
          <w:lang w:val="es-ES"/>
        </w:rPr>
        <w:t>1.2. Proyectos de optimización y/o mejoramiento y/o rehabilitación y/o reforzamiento y/o reconstrucción y/o reposición de acueductos y/o redes de acueducto (urbanos y/o rurales).</w:t>
      </w:r>
    </w:p>
    <w:p w14:paraId="13C2D95F" w14:textId="77777777" w:rsidR="00D56237" w:rsidRPr="00D56237" w:rsidRDefault="00D56237" w:rsidP="00D56237">
      <w:pPr>
        <w:spacing w:after="0" w:line="276" w:lineRule="auto"/>
        <w:ind w:left="709"/>
        <w:jc w:val="both"/>
        <w:rPr>
          <w:rFonts w:ascii="Verdana" w:eastAsia="Calibri" w:hAnsi="Verdana" w:cs="Times New Roman"/>
        </w:rPr>
      </w:pPr>
      <w:r w:rsidRPr="00D56237">
        <w:rPr>
          <w:rFonts w:ascii="Verdana" w:eastAsia="Calibri" w:hAnsi="Verdana" w:cs="Times New Roman"/>
        </w:rPr>
        <w:t xml:space="preserve">2.2 </w:t>
      </w:r>
      <w:r w:rsidRPr="00D56237">
        <w:rPr>
          <w:rFonts w:ascii="Verdana" w:eastAsia="Calibri" w:hAnsi="Verdana" w:cs="Times New Roman"/>
        </w:rPr>
        <w:tab/>
        <w:t xml:space="preserve">Proyectos de optimización y/o mejoramiento y/o rehabilitación y/o reforzamiento y/o reconstrucción y/o reposición de alcantarillados y/o </w:t>
      </w:r>
      <w:r w:rsidRPr="00D56237">
        <w:rPr>
          <w:rFonts w:ascii="Verdana" w:eastAsia="Calibri" w:hAnsi="Verdana" w:cs="Times New Roman"/>
        </w:rPr>
        <w:lastRenderedPageBreak/>
        <w:t>redes de alcantarillado sanitarios y/o pluviales y/o combinado (urbanos y/o rurales).</w:t>
      </w:r>
    </w:p>
    <w:p w14:paraId="3519BE3F" w14:textId="77777777" w:rsidR="00D56237" w:rsidRPr="00D56237" w:rsidRDefault="00D56237" w:rsidP="00D56237">
      <w:pPr>
        <w:spacing w:after="0" w:line="276" w:lineRule="auto"/>
        <w:ind w:left="709"/>
        <w:jc w:val="both"/>
        <w:rPr>
          <w:rFonts w:ascii="Verdana" w:eastAsia="Calibri" w:hAnsi="Verdana" w:cs="Times New Roman"/>
        </w:rPr>
      </w:pPr>
      <w:r w:rsidRPr="00D56237">
        <w:rPr>
          <w:rFonts w:ascii="Verdana" w:eastAsia="Calibri" w:hAnsi="Verdana" w:cs="Times New Roman"/>
        </w:rPr>
        <w:t>4.3. Proyectos de optimización y/o mejoramiento y/o adecuación y/o reforzamiento y/o rehabilitación y/o mantenimiento de PTAP y/u obras complementarias.</w:t>
      </w:r>
    </w:p>
    <w:p w14:paraId="37A43B39" w14:textId="77777777" w:rsidR="00D56237" w:rsidRPr="00D56237" w:rsidRDefault="00D56237" w:rsidP="00D56237">
      <w:pPr>
        <w:spacing w:after="0" w:line="276" w:lineRule="auto"/>
        <w:ind w:left="709"/>
        <w:jc w:val="both"/>
        <w:rPr>
          <w:rFonts w:ascii="Verdana" w:eastAsia="Calibri" w:hAnsi="Verdana" w:cs="Times New Roman"/>
        </w:rPr>
      </w:pPr>
    </w:p>
    <w:p w14:paraId="3280C65C" w14:textId="77777777" w:rsidR="00D56237" w:rsidRPr="00D56237" w:rsidRDefault="00D56237" w:rsidP="00D56237">
      <w:pPr>
        <w:spacing w:after="0" w:line="276" w:lineRule="auto"/>
        <w:ind w:firstLine="709"/>
        <w:jc w:val="both"/>
        <w:rPr>
          <w:rFonts w:ascii="Verdana" w:eastAsia="Calibri" w:hAnsi="Verdana" w:cs="Times New Roman"/>
          <w:b/>
          <w:bCs/>
        </w:rPr>
      </w:pPr>
      <w:r w:rsidRPr="00D56237">
        <w:rPr>
          <w:rFonts w:ascii="Verdana" w:eastAsia="Calibri" w:hAnsi="Verdana" w:cs="Times New Roman"/>
          <w:bCs/>
          <w:lang w:val="es-ES"/>
        </w:rPr>
        <w:t>Así, hay que señalar los requisitos de experiencia general en estas seis (6) actividades tomadas de la Matriz 1, para poder contextualizar la presente respuesta:</w:t>
      </w:r>
    </w:p>
    <w:p w14:paraId="11468A4C" w14:textId="77777777" w:rsidR="00D56237" w:rsidRPr="00D56237" w:rsidRDefault="00D56237" w:rsidP="00D56237">
      <w:pPr>
        <w:spacing w:after="0" w:line="276" w:lineRule="auto"/>
        <w:ind w:firstLine="709"/>
        <w:jc w:val="both"/>
        <w:rPr>
          <w:rFonts w:ascii="Verdana" w:eastAsia="Calibri" w:hAnsi="Verdana" w:cs="Times New Roman"/>
          <w:b/>
          <w:bCs/>
        </w:rPr>
      </w:pPr>
    </w:p>
    <w:p w14:paraId="5A34350A" w14:textId="77777777" w:rsidR="00D56237" w:rsidRPr="00D56237" w:rsidRDefault="00D56237" w:rsidP="00D56237">
      <w:pPr>
        <w:numPr>
          <w:ilvl w:val="0"/>
          <w:numId w:val="23"/>
        </w:numPr>
        <w:spacing w:after="0" w:line="276" w:lineRule="auto"/>
        <w:ind w:left="0" w:firstLine="709"/>
        <w:jc w:val="both"/>
        <w:rPr>
          <w:rFonts w:ascii="Verdana" w:eastAsia="Calibri" w:hAnsi="Verdana" w:cs="Times New Roman"/>
          <w:bCs/>
          <w:lang w:val="es-ES"/>
        </w:rPr>
      </w:pPr>
      <w:r w:rsidRPr="00D56237">
        <w:rPr>
          <w:rFonts w:ascii="Verdana" w:eastAsia="Calibri" w:hAnsi="Verdana" w:cs="Times New Roman"/>
          <w:bCs/>
          <w:lang w:val="es-ES"/>
        </w:rPr>
        <w:t xml:space="preserve">Experiencia general solicitada para las actividades relacionadas con </w:t>
      </w:r>
      <w:r w:rsidRPr="00D56237">
        <w:rPr>
          <w:rFonts w:ascii="Verdana" w:eastAsia="Calibri" w:hAnsi="Verdana" w:cs="Times New Roman"/>
          <w:bCs/>
          <w:i/>
          <w:iCs/>
          <w:lang w:val="es-ES"/>
        </w:rPr>
        <w:t>construcción</w:t>
      </w:r>
      <w:r w:rsidRPr="00D56237">
        <w:rPr>
          <w:rFonts w:ascii="Verdana" w:eastAsia="Calibri" w:hAnsi="Verdana" w:cs="Times New Roman"/>
          <w:bCs/>
          <w:lang w:val="es-ES"/>
        </w:rPr>
        <w:t xml:space="preserve"> de la Matriz 1:</w:t>
      </w:r>
    </w:p>
    <w:p w14:paraId="1FE399A6" w14:textId="77777777" w:rsidR="00D56237" w:rsidRPr="00D56237" w:rsidRDefault="00D56237" w:rsidP="00D56237">
      <w:pPr>
        <w:spacing w:line="276" w:lineRule="auto"/>
        <w:jc w:val="both"/>
        <w:rPr>
          <w:rFonts w:ascii="Verdana" w:eastAsia="Calibri" w:hAnsi="Verdana" w:cs="Times New Roman"/>
          <w:b/>
          <w:bCs/>
        </w:rPr>
      </w:pPr>
    </w:p>
    <w:p w14:paraId="798A470C" w14:textId="77777777" w:rsidR="00D56237" w:rsidRPr="00D56237" w:rsidRDefault="00D56237" w:rsidP="00D56237">
      <w:pPr>
        <w:spacing w:after="0" w:line="276" w:lineRule="auto"/>
        <w:ind w:left="709"/>
        <w:jc w:val="both"/>
        <w:rPr>
          <w:rFonts w:ascii="Verdana" w:eastAsia="Calibri" w:hAnsi="Verdana" w:cs="Times New Roman"/>
        </w:rPr>
      </w:pPr>
      <w:r w:rsidRPr="00D56237">
        <w:rPr>
          <w:rFonts w:ascii="Verdana" w:eastAsia="Calibri" w:hAnsi="Verdana" w:cs="Times New Roman"/>
        </w:rPr>
        <w:t>1.1   Experiencia general: proyectos que correspondan o hayan contenido actividades de: construcción de acueductos.</w:t>
      </w:r>
      <w:r w:rsidRPr="00D56237">
        <w:rPr>
          <w:rFonts w:ascii="Verdana" w:eastAsia="Calibri" w:hAnsi="Verdana" w:cs="Times New Roman"/>
        </w:rPr>
        <w:tab/>
      </w:r>
    </w:p>
    <w:p w14:paraId="48D49E15" w14:textId="77777777" w:rsidR="00D56237" w:rsidRPr="00D56237" w:rsidRDefault="00D56237" w:rsidP="00D56237">
      <w:pPr>
        <w:spacing w:after="0" w:line="276" w:lineRule="auto"/>
        <w:ind w:left="709"/>
        <w:jc w:val="both"/>
        <w:rPr>
          <w:rFonts w:ascii="Verdana" w:eastAsia="Calibri" w:hAnsi="Verdana" w:cs="Times New Roman"/>
        </w:rPr>
      </w:pPr>
      <w:r w:rsidRPr="00D56237">
        <w:rPr>
          <w:rFonts w:ascii="Verdana" w:eastAsia="Calibri" w:hAnsi="Verdana" w:cs="Times New Roman"/>
        </w:rPr>
        <w:t xml:space="preserve">2.1 </w:t>
      </w:r>
      <w:r w:rsidRPr="00D56237">
        <w:rPr>
          <w:rFonts w:ascii="Verdana" w:eastAsia="Calibri" w:hAnsi="Verdana" w:cs="Times New Roman"/>
        </w:rPr>
        <w:tab/>
        <w:t>Experiencia general: proyectos que correspondan o hayan contenido actividades de: construcción de alcantarillado (sanitario y/o pluvial y/o combinado).</w:t>
      </w:r>
      <w:r w:rsidRPr="00D56237">
        <w:rPr>
          <w:rFonts w:ascii="Verdana" w:eastAsia="Calibri" w:hAnsi="Verdana" w:cs="Times New Roman"/>
        </w:rPr>
        <w:tab/>
      </w:r>
    </w:p>
    <w:p w14:paraId="1FC155E3" w14:textId="77777777" w:rsidR="00D56237" w:rsidRPr="00D56237" w:rsidRDefault="00D56237" w:rsidP="00D56237">
      <w:pPr>
        <w:numPr>
          <w:ilvl w:val="1"/>
          <w:numId w:val="22"/>
        </w:numPr>
        <w:spacing w:after="0" w:line="276" w:lineRule="auto"/>
        <w:ind w:left="709" w:firstLine="0"/>
        <w:jc w:val="both"/>
        <w:rPr>
          <w:rFonts w:ascii="Verdana" w:eastAsia="Calibri" w:hAnsi="Verdana" w:cs="Times New Roman"/>
          <w:lang w:val="es-ES"/>
        </w:rPr>
      </w:pPr>
      <w:r w:rsidRPr="00D56237">
        <w:rPr>
          <w:rFonts w:ascii="Verdana" w:eastAsia="Calibri" w:hAnsi="Verdana" w:cs="Times New Roman"/>
          <w:lang w:val="es-ES"/>
        </w:rPr>
        <w:t>Experiencia general: proyectos que correspondan o hayan contenido actividades de construcción de: sistemas de acueductos y/o PTAP y/o sistemas de tratamiento de agua.</w:t>
      </w:r>
    </w:p>
    <w:p w14:paraId="5708992A" w14:textId="77777777" w:rsidR="00D56237" w:rsidRPr="00D56237" w:rsidRDefault="00D56237" w:rsidP="00D56237">
      <w:pPr>
        <w:spacing w:after="0" w:line="276" w:lineRule="auto"/>
        <w:ind w:left="709"/>
        <w:jc w:val="both"/>
        <w:rPr>
          <w:rFonts w:ascii="Verdana" w:eastAsia="Calibri" w:hAnsi="Verdana" w:cs="Times New Roman"/>
          <w:lang w:val="es-ES"/>
        </w:rPr>
      </w:pPr>
    </w:p>
    <w:p w14:paraId="7FE8C6D5" w14:textId="77777777" w:rsidR="00D56237" w:rsidRPr="00D56237" w:rsidRDefault="00D56237" w:rsidP="00D56237">
      <w:pPr>
        <w:numPr>
          <w:ilvl w:val="0"/>
          <w:numId w:val="23"/>
        </w:numPr>
        <w:spacing w:after="0" w:line="276" w:lineRule="auto"/>
        <w:ind w:left="0" w:firstLine="709"/>
        <w:jc w:val="both"/>
        <w:rPr>
          <w:rFonts w:ascii="Verdana" w:eastAsia="Calibri" w:hAnsi="Verdana" w:cs="Times New Roman"/>
          <w:bCs/>
          <w:lang w:val="es-ES"/>
        </w:rPr>
      </w:pPr>
      <w:r w:rsidRPr="00D56237">
        <w:rPr>
          <w:rFonts w:ascii="Verdana" w:eastAsia="Calibri" w:hAnsi="Verdana" w:cs="Times New Roman"/>
          <w:bCs/>
          <w:lang w:val="es-ES"/>
        </w:rPr>
        <w:t xml:space="preserve">Experiencia general solicitada para las actividades relacionadas con </w:t>
      </w:r>
      <w:r w:rsidRPr="00D56237">
        <w:rPr>
          <w:rFonts w:ascii="Verdana" w:eastAsia="Calibri" w:hAnsi="Verdana" w:cs="Times New Roman"/>
          <w:bCs/>
          <w:i/>
          <w:iCs/>
          <w:lang w:val="es-ES"/>
        </w:rPr>
        <w:t xml:space="preserve">optimización y/o mejoramiento y/o rehabilitación y/o reforzamiento y/o reconstrucción y/o reposición </w:t>
      </w:r>
      <w:r w:rsidRPr="00D56237">
        <w:rPr>
          <w:rFonts w:ascii="Verdana" w:eastAsia="Calibri" w:hAnsi="Verdana" w:cs="Times New Roman"/>
          <w:bCs/>
          <w:lang w:val="es-ES"/>
        </w:rPr>
        <w:t>de la Matriz 1:</w:t>
      </w:r>
    </w:p>
    <w:p w14:paraId="2020CCC5" w14:textId="77777777" w:rsidR="00D56237" w:rsidRPr="00D56237" w:rsidRDefault="00D56237" w:rsidP="00D56237">
      <w:pPr>
        <w:spacing w:after="0" w:line="276" w:lineRule="auto"/>
        <w:ind w:left="709"/>
        <w:jc w:val="both"/>
        <w:rPr>
          <w:rFonts w:ascii="Verdana" w:eastAsia="Calibri" w:hAnsi="Verdana" w:cs="Times New Roman"/>
          <w:bCs/>
          <w:lang w:val="es-ES"/>
        </w:rPr>
      </w:pPr>
    </w:p>
    <w:p w14:paraId="255C70EB" w14:textId="77777777" w:rsidR="00D56237" w:rsidRPr="00D56237" w:rsidRDefault="00D56237" w:rsidP="00D56237">
      <w:pPr>
        <w:numPr>
          <w:ilvl w:val="1"/>
          <w:numId w:val="19"/>
        </w:numPr>
        <w:spacing w:after="0" w:line="276" w:lineRule="auto"/>
        <w:ind w:left="709" w:firstLine="0"/>
        <w:jc w:val="both"/>
        <w:rPr>
          <w:rFonts w:ascii="Verdana" w:eastAsia="Calibri" w:hAnsi="Verdana" w:cs="Times New Roman"/>
          <w:lang w:val="es-ES"/>
        </w:rPr>
      </w:pPr>
      <w:r w:rsidRPr="00D56237">
        <w:rPr>
          <w:rFonts w:ascii="Verdana" w:eastAsia="Calibri" w:hAnsi="Verdana" w:cs="Times New Roman"/>
          <w:lang w:val="es-ES"/>
        </w:rPr>
        <w:t>Experiencia general: proyectos que correspondan o hayan contenido actividades de: ampliación y/u optimización y/o construcción y/o mejoramiento y/o reposición y/o rehabilitación y/o reforzamiento y/o reconstrucción de acueductos.</w:t>
      </w:r>
    </w:p>
    <w:p w14:paraId="6664A88F" w14:textId="77777777" w:rsidR="00D56237" w:rsidRPr="00D56237" w:rsidRDefault="00D56237" w:rsidP="00D56237">
      <w:pPr>
        <w:spacing w:after="0" w:line="276" w:lineRule="auto"/>
        <w:ind w:left="709"/>
        <w:jc w:val="both"/>
        <w:rPr>
          <w:rFonts w:ascii="Verdana" w:eastAsia="Calibri" w:hAnsi="Verdana" w:cs="Times New Roman"/>
        </w:rPr>
      </w:pPr>
      <w:r w:rsidRPr="00D56237">
        <w:rPr>
          <w:rFonts w:ascii="Verdana" w:eastAsia="Calibri" w:hAnsi="Verdana" w:cs="Times New Roman"/>
        </w:rPr>
        <w:t>2.2.  Experiencia general: proyectos que correspondan o hayan contenido actividades de: ampliación y/u optimización y/o construcción y/o mejoramiento y/o reposición y/o rehabilitación y/o reforzamiento y/o reconstrucción de alcantarillados (sanitarios y/o pluviales y/o combinado).</w:t>
      </w:r>
    </w:p>
    <w:p w14:paraId="3EA350D6" w14:textId="77777777" w:rsidR="00D56237" w:rsidRPr="00D56237" w:rsidRDefault="00D56237" w:rsidP="00D56237">
      <w:pPr>
        <w:spacing w:after="0" w:line="276" w:lineRule="auto"/>
        <w:ind w:left="709"/>
        <w:jc w:val="both"/>
        <w:rPr>
          <w:rFonts w:ascii="Verdana" w:eastAsia="Calibri" w:hAnsi="Verdana" w:cs="Times New Roman"/>
        </w:rPr>
      </w:pPr>
      <w:r w:rsidRPr="00D56237">
        <w:rPr>
          <w:rFonts w:ascii="Verdana" w:eastAsia="Calibri" w:hAnsi="Verdana" w:cs="Times New Roman"/>
        </w:rPr>
        <w:t>4.3.  Experiencia general:</w:t>
      </w:r>
      <w:r w:rsidRPr="00D56237">
        <w:rPr>
          <w:rFonts w:ascii="Calibri" w:eastAsia="Calibri" w:hAnsi="Calibri" w:cs="Times New Roman"/>
        </w:rPr>
        <w:t xml:space="preserve"> </w:t>
      </w:r>
      <w:r w:rsidRPr="00D56237">
        <w:rPr>
          <w:rFonts w:ascii="Verdana" w:eastAsia="Calibri" w:hAnsi="Verdana" w:cs="Times New Roman"/>
        </w:rPr>
        <w:t xml:space="preserve">proyectos que correspondan o hayan contenido actividades de: construcción y/o mejoramiento y/o reforzamiento y/o </w:t>
      </w:r>
      <w:r w:rsidRPr="00D56237">
        <w:rPr>
          <w:rFonts w:ascii="Verdana" w:eastAsia="Calibri" w:hAnsi="Verdana" w:cs="Times New Roman"/>
        </w:rPr>
        <w:lastRenderedPageBreak/>
        <w:t>ampliación y/o adecuación y/o rehabilitación y/o mantenimiento de: sistemas de acueductos y/o PTAP y/o sistemas de tratamiento de agua.</w:t>
      </w:r>
    </w:p>
    <w:p w14:paraId="1A61083F" w14:textId="77777777" w:rsidR="00D56237" w:rsidRPr="00D56237" w:rsidRDefault="00D56237" w:rsidP="00D56237">
      <w:pPr>
        <w:spacing w:after="0" w:line="276" w:lineRule="auto"/>
        <w:ind w:left="709"/>
        <w:jc w:val="both"/>
        <w:rPr>
          <w:rFonts w:ascii="Verdana" w:eastAsia="Calibri" w:hAnsi="Verdana" w:cs="Times New Roman"/>
        </w:rPr>
      </w:pPr>
    </w:p>
    <w:p w14:paraId="17861EF3" w14:textId="77777777" w:rsidR="00D56237" w:rsidRPr="00D56237" w:rsidRDefault="00D56237" w:rsidP="00D56237">
      <w:pPr>
        <w:spacing w:after="0" w:line="276" w:lineRule="auto"/>
        <w:ind w:firstLine="709"/>
        <w:jc w:val="both"/>
        <w:rPr>
          <w:rFonts w:ascii="Verdana" w:eastAsia="Calibri" w:hAnsi="Verdana" w:cs="Times New Roman"/>
        </w:rPr>
      </w:pPr>
      <w:r w:rsidRPr="00D56237">
        <w:rPr>
          <w:rFonts w:ascii="Verdana" w:eastAsia="Calibri" w:hAnsi="Verdana" w:cs="Times New Roman"/>
        </w:rPr>
        <w:t xml:space="preserve">Sobre la consideración y validez de una certificación de un contrato para acreditar la experiencia general que haya tenido por objeto la </w:t>
      </w:r>
      <w:r w:rsidRPr="00D56237">
        <w:rPr>
          <w:rFonts w:ascii="Verdana" w:eastAsia="Calibri" w:hAnsi="Verdana" w:cs="Times New Roman"/>
          <w:i/>
          <w:iCs/>
        </w:rPr>
        <w:t>reposición, optimización, ampliación, rehabilitación, expansión, renovación, entre otras actividades diferentes a la construcción</w:t>
      </w:r>
      <w:r w:rsidRPr="00D56237">
        <w:rPr>
          <w:rFonts w:ascii="Verdana" w:eastAsia="Calibri" w:hAnsi="Verdana" w:cs="Times New Roman"/>
        </w:rPr>
        <w:t xml:space="preserve">, es necesario acudir a las definiciones establecidas dentro de la Resolución 330 de 2017 del Ministerio de Ambiente, Vivienda y Desarrollo Territorial, por medio de la cual se adoptó el reglamento técnico para el sector de agua potable y saneamiento básico (RAS),así como la Resolución 799 de 2021, por medio de la cual se modifica la Resolución 0330 de 2017, de la siguiente manera: </w:t>
      </w:r>
    </w:p>
    <w:p w14:paraId="0F5DFD63" w14:textId="77777777" w:rsidR="00D56237" w:rsidRPr="00D56237" w:rsidRDefault="00D56237" w:rsidP="00D56237">
      <w:pPr>
        <w:spacing w:after="0" w:line="276" w:lineRule="auto"/>
        <w:ind w:firstLine="709"/>
        <w:jc w:val="both"/>
        <w:rPr>
          <w:rFonts w:ascii="Verdana" w:eastAsia="Calibri" w:hAnsi="Verdana" w:cs="Times New Roman"/>
        </w:rPr>
      </w:pPr>
    </w:p>
    <w:p w14:paraId="23CE7FC8" w14:textId="77777777" w:rsidR="00D56237" w:rsidRPr="00D56237" w:rsidRDefault="00D56237" w:rsidP="00D56237">
      <w:pPr>
        <w:spacing w:after="120" w:line="240" w:lineRule="auto"/>
        <w:ind w:left="709" w:right="709"/>
        <w:jc w:val="both"/>
        <w:rPr>
          <w:rFonts w:ascii="Verdana" w:eastAsia="Calibri" w:hAnsi="Verdana" w:cs="Times New Roman"/>
          <w:sz w:val="21"/>
          <w:szCs w:val="21"/>
        </w:rPr>
      </w:pPr>
      <w:r w:rsidRPr="00D56237">
        <w:rPr>
          <w:rFonts w:ascii="Verdana" w:eastAsia="Calibri" w:hAnsi="Verdana" w:cs="Times New Roman"/>
          <w:b/>
          <w:bCs/>
          <w:sz w:val="21"/>
          <w:szCs w:val="21"/>
        </w:rPr>
        <w:t>Reposición:</w:t>
      </w:r>
      <w:r w:rsidRPr="00D56237">
        <w:rPr>
          <w:rFonts w:ascii="Verdana" w:eastAsia="Calibri" w:hAnsi="Verdana" w:cs="Times New Roman"/>
          <w:sz w:val="21"/>
          <w:szCs w:val="21"/>
        </w:rPr>
        <w:t xml:space="preserve"> La reposición de una infraestructura tiene por objeto remplazar un activo que por sus condiciones ya no es apto para cumplir a cabalidad con su función, bien porque agotó su vida útil o porque no es eficiente en su operación y las condiciones de tecnología evidencian que el activo no es eficiente para la prestación del servicio público domiciliario de que se trate.</w:t>
      </w:r>
    </w:p>
    <w:p w14:paraId="4408D3B4" w14:textId="77777777" w:rsidR="00D56237" w:rsidRPr="00D56237" w:rsidRDefault="00D56237" w:rsidP="00D56237">
      <w:pPr>
        <w:spacing w:after="120" w:line="240" w:lineRule="auto"/>
        <w:ind w:left="709" w:right="709"/>
        <w:jc w:val="both"/>
        <w:rPr>
          <w:rFonts w:ascii="Verdana" w:eastAsia="Calibri" w:hAnsi="Verdana" w:cs="Times New Roman"/>
          <w:sz w:val="21"/>
          <w:szCs w:val="21"/>
        </w:rPr>
      </w:pPr>
      <w:r w:rsidRPr="00D56237">
        <w:rPr>
          <w:rFonts w:ascii="Verdana" w:eastAsia="Calibri" w:hAnsi="Verdana" w:cs="Times New Roman"/>
          <w:b/>
          <w:bCs/>
          <w:sz w:val="21"/>
          <w:szCs w:val="21"/>
        </w:rPr>
        <w:t>Optimización</w:t>
      </w:r>
      <w:r w:rsidRPr="00D56237">
        <w:rPr>
          <w:rFonts w:ascii="Verdana" w:eastAsia="Calibri" w:hAnsi="Verdana" w:cs="Times New Roman"/>
          <w:sz w:val="21"/>
          <w:szCs w:val="21"/>
        </w:rPr>
        <w:t>: La Optimización es el conjunto de acciones encaminadas a mejorar la capacidad, eficiencia y eficacia de la infraestructura componente del sistema de acueducto, alcantarillado y/o aseo, mediante su intervención parcial o total.</w:t>
      </w:r>
    </w:p>
    <w:p w14:paraId="21AE7523" w14:textId="77777777" w:rsidR="00D56237" w:rsidRPr="00D56237" w:rsidRDefault="00D56237" w:rsidP="00D56237">
      <w:pPr>
        <w:spacing w:after="120" w:line="240" w:lineRule="auto"/>
        <w:ind w:left="709" w:right="709"/>
        <w:jc w:val="both"/>
        <w:rPr>
          <w:rFonts w:ascii="Verdana" w:eastAsia="Calibri" w:hAnsi="Verdana" w:cs="Times New Roman"/>
          <w:sz w:val="21"/>
          <w:szCs w:val="21"/>
        </w:rPr>
      </w:pPr>
      <w:r w:rsidRPr="00D56237">
        <w:rPr>
          <w:rFonts w:ascii="Verdana" w:eastAsia="Calibri" w:hAnsi="Verdana" w:cs="Times New Roman"/>
          <w:b/>
          <w:bCs/>
          <w:sz w:val="21"/>
          <w:szCs w:val="21"/>
        </w:rPr>
        <w:t>Ampliación:</w:t>
      </w:r>
      <w:r w:rsidRPr="00D56237">
        <w:rPr>
          <w:rFonts w:ascii="Verdana" w:eastAsia="Calibri" w:hAnsi="Verdana" w:cs="Times New Roman"/>
          <w:sz w:val="21"/>
          <w:szCs w:val="21"/>
        </w:rPr>
        <w:t xml:space="preserve"> Se denomina Ampliación de un sistema al conjunto de acciones y obras requeridas para aumentar su capacidad en una misma área de cobertura.</w:t>
      </w:r>
    </w:p>
    <w:p w14:paraId="3CD083E6" w14:textId="77777777" w:rsidR="00D56237" w:rsidRPr="00D56237" w:rsidRDefault="00D56237" w:rsidP="00D56237">
      <w:pPr>
        <w:spacing w:after="120" w:line="240" w:lineRule="auto"/>
        <w:ind w:left="709" w:right="709"/>
        <w:jc w:val="both"/>
        <w:rPr>
          <w:rFonts w:ascii="Verdana" w:eastAsia="Calibri" w:hAnsi="Verdana" w:cs="Times New Roman"/>
          <w:sz w:val="21"/>
          <w:szCs w:val="21"/>
        </w:rPr>
      </w:pPr>
      <w:r w:rsidRPr="00D56237">
        <w:rPr>
          <w:rFonts w:ascii="Verdana" w:eastAsia="Calibri" w:hAnsi="Verdana" w:cs="Times New Roman"/>
          <w:b/>
          <w:bCs/>
          <w:sz w:val="21"/>
          <w:szCs w:val="21"/>
        </w:rPr>
        <w:t>Rehabilitación:</w:t>
      </w:r>
      <w:r w:rsidRPr="00D56237">
        <w:rPr>
          <w:rFonts w:ascii="Verdana" w:eastAsia="Calibri" w:hAnsi="Verdana" w:cs="Times New Roman"/>
          <w:sz w:val="21"/>
          <w:szCs w:val="21"/>
        </w:rPr>
        <w:t xml:space="preserve"> La rehabilitación es la implementación de proyectos enfocados a la recuperación de la infraestructura de servicio existente, cuyo estado no permite una operación adecuada del sistema, a fin de mejorarla operativamente y reestablecerle las condiciones de capacidad, calidad y continuidad, para las cuales fueron concebidas y construidas. En dichas actividades no necesariamente su intervención considera el cambio total de la infraestructura.</w:t>
      </w:r>
    </w:p>
    <w:p w14:paraId="2660F3A3" w14:textId="77777777" w:rsidR="00D56237" w:rsidRPr="00D56237" w:rsidRDefault="00D56237" w:rsidP="00D56237">
      <w:pPr>
        <w:spacing w:after="0" w:line="240" w:lineRule="auto"/>
        <w:ind w:left="709" w:right="709"/>
        <w:jc w:val="both"/>
        <w:rPr>
          <w:rFonts w:ascii="Verdana" w:eastAsia="Calibri" w:hAnsi="Verdana" w:cs="Times New Roman"/>
          <w:sz w:val="21"/>
          <w:szCs w:val="21"/>
        </w:rPr>
      </w:pPr>
      <w:r w:rsidRPr="00D56237">
        <w:rPr>
          <w:rFonts w:ascii="Verdana" w:eastAsia="Calibri" w:hAnsi="Verdana" w:cs="Times New Roman"/>
          <w:b/>
          <w:bCs/>
          <w:sz w:val="21"/>
          <w:szCs w:val="21"/>
        </w:rPr>
        <w:t>Expansión:</w:t>
      </w:r>
      <w:r w:rsidRPr="00D56237">
        <w:rPr>
          <w:rFonts w:ascii="Verdana" w:eastAsia="Calibri" w:hAnsi="Verdana" w:cs="Times New Roman"/>
          <w:sz w:val="21"/>
          <w:szCs w:val="21"/>
        </w:rPr>
        <w:t xml:space="preserve"> La expansión es el conjunto de acciones encaminadas a implementar obras cuyo propósito es aumentar el área de cobertura de la prestación de los servicios de acueducto, alcantarillado y aseo.</w:t>
      </w:r>
    </w:p>
    <w:p w14:paraId="706F68F6" w14:textId="77777777" w:rsidR="00D56237" w:rsidRPr="00D56237" w:rsidRDefault="00D56237" w:rsidP="00D56237">
      <w:pPr>
        <w:spacing w:after="0" w:line="240" w:lineRule="auto"/>
        <w:ind w:left="709" w:right="709"/>
        <w:jc w:val="both"/>
        <w:rPr>
          <w:rFonts w:ascii="Verdana" w:eastAsia="Calibri" w:hAnsi="Verdana" w:cs="Times New Roman"/>
          <w:sz w:val="21"/>
          <w:szCs w:val="21"/>
        </w:rPr>
      </w:pPr>
    </w:p>
    <w:p w14:paraId="7D1AA0C5" w14:textId="77777777" w:rsidR="00D56237" w:rsidRPr="00D56237" w:rsidRDefault="00D56237" w:rsidP="00D56237">
      <w:pPr>
        <w:spacing w:after="120" w:line="276" w:lineRule="auto"/>
        <w:ind w:firstLine="709"/>
        <w:jc w:val="both"/>
        <w:rPr>
          <w:rFonts w:ascii="Verdana" w:eastAsia="Calibri" w:hAnsi="Verdana" w:cs="Times New Roman"/>
        </w:rPr>
      </w:pPr>
      <w:r w:rsidRPr="00D56237">
        <w:rPr>
          <w:rFonts w:ascii="Verdana" w:eastAsia="Calibri" w:hAnsi="Verdana" w:cs="Times New Roman"/>
        </w:rPr>
        <w:t xml:space="preserve">Por su parte, la </w:t>
      </w:r>
      <w:r w:rsidRPr="00D56237">
        <w:rPr>
          <w:rFonts w:ascii="Verdana" w:eastAsia="Calibri" w:hAnsi="Verdana" w:cs="Times New Roman"/>
          <w:i/>
          <w:iCs/>
        </w:rPr>
        <w:t>renovación</w:t>
      </w:r>
      <w:r w:rsidRPr="00D56237">
        <w:rPr>
          <w:rFonts w:ascii="Verdana" w:eastAsia="Calibri" w:hAnsi="Verdana" w:cs="Times New Roman"/>
        </w:rPr>
        <w:t xml:space="preserve"> puede referirse a la actualización o reemplazo de sistemas y redes existentes para mejorar su eficiencia, funcionalidad y seguridad. </w:t>
      </w:r>
    </w:p>
    <w:p w14:paraId="0196AC11" w14:textId="77777777" w:rsidR="00D56237" w:rsidRPr="00D56237" w:rsidRDefault="00D56237" w:rsidP="00D56237">
      <w:pPr>
        <w:spacing w:after="120" w:line="276" w:lineRule="auto"/>
        <w:ind w:firstLine="709"/>
        <w:jc w:val="both"/>
        <w:rPr>
          <w:rFonts w:ascii="Verdana" w:eastAsia="Calibri" w:hAnsi="Verdana" w:cs="Times New Roman"/>
        </w:rPr>
      </w:pPr>
      <w:r w:rsidRPr="00D56237">
        <w:rPr>
          <w:rFonts w:ascii="Verdana" w:eastAsia="Calibri" w:hAnsi="Verdana" w:cs="Times New Roman"/>
        </w:rPr>
        <w:lastRenderedPageBreak/>
        <w:t xml:space="preserve">En ese sentido, la entidad podría aceptar una certificación de intervenciones de proyectos que correspondan a lo requerido en la “Matriz 1 – Experiencia” del sector de agua potable y saneamiento básico, en las proporciones correspondientes, para acreditar las actividades exigidas como válidas; esto, de conformidad con lo descrito en el literal </w:t>
      </w:r>
      <w:proofErr w:type="spellStart"/>
      <w:r w:rsidRPr="00D56237">
        <w:rPr>
          <w:rFonts w:ascii="Verdana" w:eastAsia="Calibri" w:hAnsi="Verdana" w:cs="Times New Roman"/>
          <w:i/>
          <w:iCs/>
        </w:rPr>
        <w:t>ii</w:t>
      </w:r>
      <w:proofErr w:type="spellEnd"/>
      <w:r w:rsidRPr="00D56237">
        <w:rPr>
          <w:rFonts w:ascii="Verdana" w:eastAsia="Calibri" w:hAnsi="Verdana" w:cs="Times New Roman"/>
        </w:rPr>
        <w:t xml:space="preserve"> del numeral 3.5.2 del documento base del sector de agua potable y saneamiento básico.</w:t>
      </w:r>
    </w:p>
    <w:p w14:paraId="0C53BD74" w14:textId="77777777" w:rsidR="00D56237" w:rsidRPr="00D56237" w:rsidRDefault="00D56237" w:rsidP="00D56237">
      <w:pPr>
        <w:spacing w:after="0" w:line="276" w:lineRule="auto"/>
        <w:ind w:firstLine="709"/>
        <w:jc w:val="both"/>
        <w:rPr>
          <w:rFonts w:ascii="Verdana" w:eastAsia="Calibri" w:hAnsi="Verdana" w:cs="Times New Roman"/>
        </w:rPr>
      </w:pPr>
      <w:r w:rsidRPr="00D56237">
        <w:rPr>
          <w:rFonts w:ascii="Verdana" w:eastAsia="Calibri" w:hAnsi="Verdana" w:cs="Times New Roman"/>
        </w:rPr>
        <w:t xml:space="preserve">Sin embargo, es claro que, dentro de la Matriz 1 del sector de agua potable y saneamiento básico, tratándose de actividades correspondientes a </w:t>
      </w:r>
      <w:r w:rsidRPr="00D56237">
        <w:rPr>
          <w:rFonts w:ascii="Verdana" w:eastAsia="Calibri" w:hAnsi="Verdana" w:cs="Times New Roman"/>
          <w:i/>
          <w:iCs/>
        </w:rPr>
        <w:t>construcción,</w:t>
      </w:r>
      <w:r w:rsidRPr="00D56237">
        <w:rPr>
          <w:rFonts w:ascii="Verdana" w:eastAsia="Calibri" w:hAnsi="Verdana" w:cs="Times New Roman"/>
        </w:rPr>
        <w:t xml:space="preserve"> al ser un conjunto de actividades y procesos que tienen como objetivo la materialización de infraestructuras relacionadas con el suministro de agua potable y la gestión de aguas residuales y saneamiento, para que su acreditación como experiencia sea válida deben corresponder a </w:t>
      </w:r>
      <w:r w:rsidRPr="00D56237">
        <w:rPr>
          <w:rFonts w:ascii="Verdana" w:eastAsia="Calibri" w:hAnsi="Verdana" w:cs="Times New Roman"/>
          <w:i/>
          <w:iCs/>
        </w:rPr>
        <w:t>proyectos de construcción</w:t>
      </w:r>
      <w:r w:rsidRPr="00D56237">
        <w:rPr>
          <w:rFonts w:ascii="Verdana" w:eastAsia="Calibri" w:hAnsi="Verdana" w:cs="Times New Roman"/>
        </w:rPr>
        <w:t xml:space="preserve"> del sector de conformidad con lo establecido dentro de los </w:t>
      </w:r>
      <w:r w:rsidRPr="00D56237">
        <w:rPr>
          <w:rFonts w:ascii="Verdana" w:eastAsia="Calibri" w:hAnsi="Verdana" w:cs="Times New Roman"/>
          <w:bCs/>
          <w:lang w:val="es-ES"/>
        </w:rPr>
        <w:t>siete (7) diferentes tipos de obras de infraestructura, a saber: 1) obras de acueductos; 2) obras de alcantarillado –sanitarios y/o pluviales y/o combinados–; 3) obras de aseo y/o manejo de residuos; 4) obras para PTAP –planta de tratamiento de agua potable– y/o PTAR –planta de tratamiento de aguas residuales–; 5) unidades sanitarias para vivienda rural dispersa; 6) sistemas no convencionales de potabilización y tratamiento de aguas residuales, y 7) estudios y diseños –en el caso de proyectos que requieran labores de: estudios, diseños y construcción–.</w:t>
      </w:r>
    </w:p>
    <w:p w14:paraId="0397C43E" w14:textId="77777777" w:rsidR="00D56237" w:rsidRPr="00D56237" w:rsidRDefault="00D56237" w:rsidP="00D56237">
      <w:pPr>
        <w:spacing w:after="0" w:line="276" w:lineRule="auto"/>
        <w:ind w:left="714"/>
        <w:jc w:val="both"/>
        <w:rPr>
          <w:rFonts w:ascii="Verdana" w:eastAsia="Aptos" w:hAnsi="Verdana" w:cs="Arial"/>
          <w:noProof/>
          <w:kern w:val="2"/>
          <w:lang w:val="es-ES_tradnl"/>
          <w14:ligatures w14:val="standardContextual"/>
        </w:rPr>
      </w:pPr>
    </w:p>
    <w:p w14:paraId="705026DF" w14:textId="77777777" w:rsidR="00D56237" w:rsidRPr="00D56237" w:rsidRDefault="00D56237" w:rsidP="00D56237">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D56237">
        <w:rPr>
          <w:rFonts w:ascii="Verdana" w:eastAsia="Century Gothic" w:hAnsi="Verdana" w:cs="Century Gothic"/>
          <w:b/>
          <w:bCs/>
          <w:lang w:val="es-ES"/>
        </w:rPr>
        <w:t>Referencias normativas, jurisprudenciales y otras fuentes:</w:t>
      </w:r>
    </w:p>
    <w:p w14:paraId="4DF01EE0" w14:textId="77777777" w:rsidR="00D56237" w:rsidRPr="00D56237" w:rsidRDefault="00D56237" w:rsidP="00D56237">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D56237" w:rsidRPr="00D56237" w14:paraId="640EDEFE" w14:textId="77777777" w:rsidTr="00E873D5">
        <w:trPr>
          <w:trHeight w:val="870"/>
        </w:trPr>
        <w:tc>
          <w:tcPr>
            <w:tcW w:w="8647" w:type="dxa"/>
          </w:tcPr>
          <w:p w14:paraId="0FDD6227" w14:textId="77777777" w:rsidR="00D56237" w:rsidRPr="00D56237" w:rsidRDefault="00D56237" w:rsidP="00D56237">
            <w:pPr>
              <w:widowControl w:val="0"/>
              <w:numPr>
                <w:ilvl w:val="0"/>
                <w:numId w:val="17"/>
              </w:numPr>
              <w:autoSpaceDE w:val="0"/>
              <w:autoSpaceDN w:val="0"/>
              <w:spacing w:after="120" w:line="276" w:lineRule="auto"/>
              <w:jc w:val="both"/>
              <w:rPr>
                <w:rFonts w:ascii="Verdana" w:eastAsia="Calibri" w:hAnsi="Verdana" w:cs="Arial"/>
              </w:rPr>
            </w:pPr>
            <w:r w:rsidRPr="00D56237">
              <w:rPr>
                <w:rFonts w:ascii="Verdana" w:eastAsia="Calibri" w:hAnsi="Verdana" w:cs="Arial"/>
              </w:rPr>
              <w:t>Ley 2022 de 2020, artículo 1.</w:t>
            </w:r>
          </w:p>
          <w:p w14:paraId="3B0B1F6D" w14:textId="77777777" w:rsidR="00D56237" w:rsidRPr="00D56237" w:rsidRDefault="00D56237" w:rsidP="00D56237">
            <w:pPr>
              <w:widowControl w:val="0"/>
              <w:numPr>
                <w:ilvl w:val="0"/>
                <w:numId w:val="17"/>
              </w:numPr>
              <w:autoSpaceDE w:val="0"/>
              <w:autoSpaceDN w:val="0"/>
              <w:spacing w:after="120" w:line="276" w:lineRule="auto"/>
              <w:jc w:val="both"/>
              <w:rPr>
                <w:rFonts w:ascii="Verdana" w:eastAsia="Calibri" w:hAnsi="Verdana" w:cs="Arial"/>
              </w:rPr>
            </w:pPr>
            <w:r w:rsidRPr="00D56237">
              <w:rPr>
                <w:rFonts w:ascii="Verdana" w:eastAsia="Calibri" w:hAnsi="Verdana" w:cs="Arial"/>
              </w:rPr>
              <w:t>Ley 1150 de 2007, artículos 5 y 6.</w:t>
            </w:r>
          </w:p>
          <w:p w14:paraId="34C16759" w14:textId="77777777" w:rsidR="00D56237" w:rsidRPr="00D56237" w:rsidRDefault="00D56237" w:rsidP="00D56237">
            <w:pPr>
              <w:widowControl w:val="0"/>
              <w:numPr>
                <w:ilvl w:val="0"/>
                <w:numId w:val="17"/>
              </w:numPr>
              <w:autoSpaceDE w:val="0"/>
              <w:autoSpaceDN w:val="0"/>
              <w:spacing w:after="120" w:line="276" w:lineRule="auto"/>
              <w:jc w:val="both"/>
              <w:rPr>
                <w:rFonts w:ascii="Verdana" w:eastAsia="Calibri" w:hAnsi="Verdana" w:cs="Arial"/>
              </w:rPr>
            </w:pPr>
            <w:r w:rsidRPr="00D56237">
              <w:rPr>
                <w:rFonts w:ascii="Verdana" w:eastAsia="Calibri" w:hAnsi="Verdana" w:cs="Arial"/>
              </w:rPr>
              <w:t xml:space="preserve">Decreto 1082 de 2015, artículos </w:t>
            </w:r>
            <w:r w:rsidRPr="00D56237">
              <w:rPr>
                <w:rFonts w:ascii="Verdana" w:eastAsia="Aptos" w:hAnsi="Verdana" w:cs="Arial"/>
                <w:lang w:val="es-ES_tradnl"/>
              </w:rPr>
              <w:t>2.2.1.1.1.6.2, 2.2.1.1.1.5.3 y 2.2.1.1.1.5.2.</w:t>
            </w:r>
          </w:p>
          <w:p w14:paraId="7AA6977F" w14:textId="77777777" w:rsidR="00D56237" w:rsidRPr="00D56237" w:rsidRDefault="00D56237" w:rsidP="00D56237">
            <w:pPr>
              <w:widowControl w:val="0"/>
              <w:numPr>
                <w:ilvl w:val="0"/>
                <w:numId w:val="17"/>
              </w:numPr>
              <w:autoSpaceDE w:val="0"/>
              <w:autoSpaceDN w:val="0"/>
              <w:spacing w:after="120" w:line="276" w:lineRule="auto"/>
              <w:jc w:val="both"/>
              <w:rPr>
                <w:rFonts w:ascii="Verdana" w:eastAsia="Calibri" w:hAnsi="Verdana" w:cs="Arial"/>
              </w:rPr>
            </w:pPr>
            <w:r w:rsidRPr="00D56237">
              <w:rPr>
                <w:rFonts w:ascii="Verdana" w:eastAsia="Calibri" w:hAnsi="Verdana" w:cs="Arial"/>
              </w:rPr>
              <w:t xml:space="preserve">Documentos tipo. Disponibles en: </w:t>
            </w:r>
            <w:hyperlink r:id="rId12" w:history="1">
              <w:r w:rsidRPr="00D56237">
                <w:rPr>
                  <w:rFonts w:ascii="Verdana" w:eastAsia="Calibri" w:hAnsi="Verdana" w:cs="Arial"/>
                  <w:color w:val="0000FF"/>
                  <w:u w:val="single"/>
                </w:rPr>
                <w:t>https://www.colombiacompra.gov.co/normativa-y-relatoria/documentos-tipo</w:t>
              </w:r>
            </w:hyperlink>
            <w:r w:rsidRPr="00D56237">
              <w:rPr>
                <w:rFonts w:ascii="Verdana" w:eastAsia="Calibri" w:hAnsi="Verdana" w:cs="Arial"/>
              </w:rPr>
              <w:t xml:space="preserve">. </w:t>
            </w:r>
          </w:p>
        </w:tc>
      </w:tr>
    </w:tbl>
    <w:p w14:paraId="298D99DB" w14:textId="77777777" w:rsidR="00D56237" w:rsidRPr="00D56237" w:rsidRDefault="00D56237" w:rsidP="00D56237">
      <w:pPr>
        <w:widowControl w:val="0"/>
        <w:autoSpaceDE w:val="0"/>
        <w:autoSpaceDN w:val="0"/>
        <w:spacing w:after="0" w:line="276" w:lineRule="auto"/>
        <w:jc w:val="both"/>
        <w:rPr>
          <w:rFonts w:ascii="Verdana" w:eastAsia="Calibri" w:hAnsi="Verdana" w:cs="Arial"/>
        </w:rPr>
      </w:pPr>
    </w:p>
    <w:p w14:paraId="38542965" w14:textId="77777777" w:rsidR="00D56237" w:rsidRPr="00D56237" w:rsidRDefault="00D56237" w:rsidP="00D56237">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D56237">
        <w:rPr>
          <w:rFonts w:ascii="Verdana" w:eastAsia="Century Gothic" w:hAnsi="Verdana" w:cs="Century Gothic"/>
          <w:b/>
          <w:bCs/>
          <w:lang w:val="es-ES"/>
        </w:rPr>
        <w:t>Doctrina de la Agencia Nacional de Contratación Pública:</w:t>
      </w:r>
    </w:p>
    <w:p w14:paraId="0FC4E26F" w14:textId="77777777" w:rsidR="00D56237" w:rsidRPr="00D56237" w:rsidRDefault="00D56237" w:rsidP="00D56237">
      <w:pPr>
        <w:widowControl w:val="0"/>
        <w:autoSpaceDE w:val="0"/>
        <w:autoSpaceDN w:val="0"/>
        <w:spacing w:after="0" w:line="276" w:lineRule="auto"/>
        <w:jc w:val="both"/>
        <w:rPr>
          <w:rFonts w:ascii="Verdana" w:eastAsia="Calibri" w:hAnsi="Verdana" w:cs="Arial"/>
        </w:rPr>
      </w:pPr>
    </w:p>
    <w:p w14:paraId="0F2F6E88" w14:textId="77777777" w:rsidR="00D56237" w:rsidRPr="00D56237" w:rsidRDefault="00D56237" w:rsidP="00D56237">
      <w:pPr>
        <w:widowControl w:val="0"/>
        <w:autoSpaceDE w:val="0"/>
        <w:autoSpaceDN w:val="0"/>
        <w:spacing w:after="0" w:line="276" w:lineRule="auto"/>
        <w:jc w:val="both"/>
        <w:rPr>
          <w:rFonts w:ascii="Verdana" w:eastAsia="Times New Roman" w:hAnsi="Verdana" w:cs="Arial"/>
          <w:shd w:val="clear" w:color="auto" w:fill="FFFFFF"/>
          <w:lang w:val="es-ES"/>
        </w:rPr>
      </w:pPr>
      <w:r w:rsidRPr="00D56237">
        <w:rPr>
          <w:rFonts w:ascii="Verdana" w:eastAsia="Calibri" w:hAnsi="Verdana" w:cs="Arial"/>
          <w:shd w:val="clear" w:color="auto" w:fill="FFFFFF"/>
          <w:lang w:val="es-ES"/>
        </w:rPr>
        <w:t xml:space="preserve">La Agencia Nacional de Contratación Pública − Colombia Compra Eficiente se </w:t>
      </w:r>
      <w:r w:rsidRPr="00D56237">
        <w:rPr>
          <w:rFonts w:ascii="Verdana" w:eastAsia="Calibri" w:hAnsi="Verdana" w:cs="Arial"/>
          <w:shd w:val="clear" w:color="auto" w:fill="FFFFFF"/>
          <w:lang w:val="es-ES"/>
        </w:rPr>
        <w:lastRenderedPageBreak/>
        <w:t>pronunció</w:t>
      </w:r>
      <w:r w:rsidRPr="00D56237">
        <w:rPr>
          <w:rFonts w:ascii="Aptos" w:eastAsia="Aptos" w:hAnsi="Aptos" w:cs="Times New Roman"/>
          <w:kern w:val="2"/>
          <w:sz w:val="24"/>
          <w:szCs w:val="24"/>
          <w:lang w:val="es-ES_tradnl"/>
          <w14:ligatures w14:val="standardContextual"/>
        </w:rPr>
        <w:t xml:space="preserve"> </w:t>
      </w:r>
      <w:r w:rsidRPr="00D56237">
        <w:rPr>
          <w:rFonts w:ascii="Verdana" w:eastAsia="Calibri" w:hAnsi="Verdana" w:cs="Arial"/>
          <w:shd w:val="clear" w:color="auto" w:fill="FFFFFF"/>
          <w:lang w:val="es-ES"/>
        </w:rPr>
        <w:t>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C-528 del 31 de octubre de 2024, C-541 del 13 de junio de 2025, entre otros</w:t>
      </w:r>
      <w:r w:rsidRPr="00D56237">
        <w:rPr>
          <w:rFonts w:ascii="Verdana" w:eastAsia="Times New Roman" w:hAnsi="Verdana" w:cs="Arial"/>
          <w:shd w:val="clear" w:color="auto" w:fill="FFFFFF"/>
          <w:lang w:val="es-ES"/>
        </w:rPr>
        <w:t>. 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3" w:tgtFrame="_blank" w:tooltip="Dirección URL original: https://relatoria.colombiacompra.gov.co/. Haga clic o pulse si confía en este vínculo." w:history="1">
        <w:r w:rsidRPr="00D56237">
          <w:rPr>
            <w:rFonts w:ascii="Verdana" w:eastAsia="Times New Roman" w:hAnsi="Verdana" w:cs="Arial"/>
            <w:shd w:val="clear" w:color="auto" w:fill="FFFFFF"/>
            <w:lang w:val="es-ES"/>
          </w:rPr>
          <w:t>https://relatoria.colombiacompra.gov.co/</w:t>
        </w:r>
      </w:hyperlink>
      <w:r w:rsidRPr="00D56237">
        <w:rPr>
          <w:rFonts w:ascii="Verdana" w:eastAsia="Times New Roman" w:hAnsi="Verdana" w:cs="Arial"/>
          <w:shd w:val="clear" w:color="auto" w:fill="FFFFFF"/>
          <w:lang w:val="es-ES"/>
        </w:rPr>
        <w:t>.</w:t>
      </w:r>
    </w:p>
    <w:p w14:paraId="29AFFF58" w14:textId="77777777" w:rsidR="00D56237" w:rsidRPr="00D56237" w:rsidRDefault="00D56237" w:rsidP="00D56237">
      <w:pPr>
        <w:spacing w:after="0" w:line="240" w:lineRule="auto"/>
        <w:jc w:val="both"/>
        <w:rPr>
          <w:rFonts w:ascii="Verdana" w:eastAsia="Calibri" w:hAnsi="Verdana" w:cs="Arial"/>
          <w:color w:val="000000"/>
          <w:shd w:val="clear" w:color="auto" w:fill="FFFFFF"/>
        </w:rPr>
      </w:pPr>
    </w:p>
    <w:p w14:paraId="5FE3A5B0" w14:textId="77777777" w:rsidR="00D56237" w:rsidRPr="00D56237" w:rsidRDefault="00D56237" w:rsidP="00D56237">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D56237">
        <w:rPr>
          <w:rFonts w:ascii="Verdana" w:eastAsia="Calibri" w:hAnsi="Verdana" w:cs="Arial"/>
          <w:kern w:val="2"/>
          <w:shd w:val="clear" w:color="auto" w:fill="FFFFFF"/>
          <w:lang w:val="es-ES_tradnl"/>
          <w14:ligatures w14:val="standardContextual"/>
        </w:rPr>
        <w:t>La</w:t>
      </w:r>
      <w:r w:rsidRPr="00D56237">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D56237">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D56237">
        <w:rPr>
          <w:rFonts w:ascii="Verdana" w:eastAsia="Calibri" w:hAnsi="Verdana" w:cs="Arial"/>
          <w:b/>
          <w:bCs/>
          <w:kern w:val="2"/>
          <w:shd w:val="clear" w:color="auto" w:fill="FFFFFF"/>
          <w:lang w:val="es-ES_tradnl"/>
          <w14:ligatures w14:val="standardContextual"/>
        </w:rPr>
        <w:t>Documentos Tipo</w:t>
      </w:r>
      <w:r w:rsidRPr="00D56237">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D56237">
        <w:rPr>
          <w:rFonts w:ascii="Verdana" w:eastAsia="Calibri" w:hAnsi="Verdana" w:cs="Arial"/>
          <w:b/>
          <w:bCs/>
          <w:kern w:val="2"/>
          <w:shd w:val="clear" w:color="auto" w:fill="FFFFFF"/>
          <w:lang w:val="es-ES_tradnl"/>
          <w14:ligatures w14:val="standardContextual"/>
        </w:rPr>
        <w:t>transparencia</w:t>
      </w:r>
      <w:r w:rsidRPr="00D56237">
        <w:rPr>
          <w:rFonts w:ascii="Verdana" w:eastAsia="Calibri" w:hAnsi="Verdana" w:cs="Arial"/>
          <w:kern w:val="2"/>
          <w:shd w:val="clear" w:color="auto" w:fill="FFFFFF"/>
          <w:lang w:val="es-ES_tradnl"/>
          <w14:ligatures w14:val="standardContextual"/>
        </w:rPr>
        <w:t> y promover un proceso de </w:t>
      </w:r>
      <w:r w:rsidRPr="00D56237">
        <w:rPr>
          <w:rFonts w:ascii="Verdana" w:eastAsia="Calibri" w:hAnsi="Verdana" w:cs="Arial"/>
          <w:b/>
          <w:bCs/>
          <w:kern w:val="2"/>
          <w:shd w:val="clear" w:color="auto" w:fill="FFFFFF"/>
          <w:lang w:val="es-ES_tradnl"/>
          <w14:ligatures w14:val="standardContextual"/>
        </w:rPr>
        <w:t>selección objetiva</w:t>
      </w:r>
      <w:r w:rsidRPr="00D56237">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3B583F28" w14:textId="77777777" w:rsidR="00D56237" w:rsidRPr="00D56237" w:rsidRDefault="00D56237" w:rsidP="00D56237">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437BC2CA" w14:textId="77777777" w:rsidR="00D56237" w:rsidRPr="00D56237" w:rsidRDefault="00D56237" w:rsidP="00D56237">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D56237">
        <w:rPr>
          <w:rFonts w:ascii="Verdana" w:eastAsia="Calibri" w:hAnsi="Verdana" w:cs="Arial"/>
          <w:kern w:val="2"/>
          <w:shd w:val="clear" w:color="auto" w:fill="FFFFFF"/>
          <w:lang w:val="es-ES"/>
          <w14:ligatures w14:val="standardContextual"/>
        </w:rPr>
        <w:t>También, le contamos que ya se encuentra disponible la </w:t>
      </w:r>
      <w:r w:rsidRPr="00D56237">
        <w:rPr>
          <w:rFonts w:ascii="Verdana" w:eastAsia="Calibri" w:hAnsi="Verdana" w:cs="Arial"/>
          <w:b/>
          <w:bCs/>
          <w:kern w:val="2"/>
          <w:shd w:val="clear" w:color="auto" w:fill="FFFFFF"/>
          <w:lang w:val="es-ES"/>
          <w14:ligatures w14:val="standardContextual"/>
        </w:rPr>
        <w:t xml:space="preserve">Guía de lineamientos de transparencia y selección objetiva para el departamento de La </w:t>
      </w:r>
      <w:r w:rsidRPr="00D56237">
        <w:rPr>
          <w:rFonts w:ascii="Verdana" w:eastAsia="Calibri" w:hAnsi="Verdana" w:cs="Arial"/>
          <w:b/>
          <w:bCs/>
          <w:kern w:val="2"/>
          <w:shd w:val="clear" w:color="auto" w:fill="FFFFFF"/>
          <w:lang w:val="es-ES"/>
          <w14:ligatures w14:val="standardContextual"/>
        </w:rPr>
        <w:lastRenderedPageBreak/>
        <w:t>Guajira – Objetivo sexto constitucional de la Sentencia T-302 del 2017. </w:t>
      </w:r>
      <w:r w:rsidRPr="00D56237">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D56237">
        <w:rPr>
          <w:rFonts w:ascii="Verdana" w:eastAsia="Calibri" w:hAnsi="Verdana" w:cs="Arial"/>
          <w:kern w:val="2"/>
          <w:shd w:val="clear" w:color="auto" w:fill="FFFFFF"/>
          <w:lang w:val="es-ES"/>
          <w14:ligatures w14:val="standardContextual"/>
        </w:rPr>
        <w:t>Wayúu</w:t>
      </w:r>
      <w:proofErr w:type="spellEnd"/>
      <w:r w:rsidRPr="00D56237">
        <w:rPr>
          <w:rFonts w:ascii="Verdana" w:eastAsia="Calibri" w:hAnsi="Verdana" w:cs="Arial"/>
          <w:kern w:val="2"/>
          <w:shd w:val="clear" w:color="auto" w:fill="FFFFFF"/>
          <w:lang w:val="es-ES"/>
          <w14:ligatures w14:val="standardContextual"/>
        </w:rPr>
        <w:t>. Puede consultar la guía en el siguiente enlace: </w:t>
      </w:r>
      <w:hyperlink r:id="rId14" w:tgtFrame="_blank" w:tooltip="Original URL: https://www.colombiacompra.gov.co/wp-content/uploads/2025/05/GUIA-DE-LINEAMIENTOS-DE-TRANSPARENCIA-Y-SELECCION-OBJETIVA-1.0.pdf. Click or tap if you trust this link." w:history="1">
        <w:r w:rsidRPr="00D56237">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D56237">
        <w:rPr>
          <w:rFonts w:ascii="Verdana" w:eastAsia="Calibri" w:hAnsi="Verdana" w:cs="Arial"/>
          <w:kern w:val="2"/>
          <w:u w:val="single"/>
          <w:shd w:val="clear" w:color="auto" w:fill="FFFFFF"/>
          <w:lang w:val="es-ES"/>
          <w14:ligatures w14:val="standardContextual"/>
        </w:rPr>
        <w:t>.</w:t>
      </w:r>
    </w:p>
    <w:p w14:paraId="7DEC9060" w14:textId="77777777" w:rsidR="00D56237" w:rsidRPr="00D56237" w:rsidRDefault="00D56237" w:rsidP="00D56237">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776BC0A3" w14:textId="77777777" w:rsidR="00D56237" w:rsidRPr="00D56237" w:rsidRDefault="00D56237" w:rsidP="00D56237">
      <w:pPr>
        <w:spacing w:after="0" w:line="276" w:lineRule="auto"/>
        <w:jc w:val="both"/>
        <w:rPr>
          <w:rFonts w:ascii="Verdana" w:eastAsia="Calibri" w:hAnsi="Verdana" w:cs="Times New Roman"/>
          <w:kern w:val="2"/>
          <w:lang w:val="es-ES_tradnl"/>
          <w14:ligatures w14:val="standardContextual"/>
        </w:rPr>
      </w:pPr>
      <w:r w:rsidRPr="00D56237">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7BCA2087" w14:textId="77777777" w:rsidR="00D56237" w:rsidRPr="00D56237" w:rsidRDefault="00D56237" w:rsidP="00D56237">
      <w:pPr>
        <w:spacing w:after="0" w:line="240" w:lineRule="auto"/>
        <w:jc w:val="both"/>
        <w:rPr>
          <w:rFonts w:ascii="Verdana" w:eastAsia="Calibri" w:hAnsi="Verdana" w:cs="Times New Roman"/>
          <w:kern w:val="2"/>
          <w:lang w:val="es-ES_tradnl"/>
          <w14:ligatures w14:val="standardContextual"/>
        </w:rPr>
      </w:pPr>
    </w:p>
    <w:p w14:paraId="144EC9DD" w14:textId="77777777" w:rsidR="00D56237" w:rsidRPr="00D56237" w:rsidRDefault="00D56237" w:rsidP="00D56237">
      <w:pPr>
        <w:spacing w:after="0" w:line="240" w:lineRule="auto"/>
        <w:jc w:val="both"/>
        <w:rPr>
          <w:rFonts w:ascii="Verdana" w:eastAsia="Calibri" w:hAnsi="Verdana" w:cs="Times New Roman"/>
          <w:kern w:val="2"/>
          <w:lang w:val="es-ES_tradnl"/>
          <w14:ligatures w14:val="standardContextual"/>
        </w:rPr>
      </w:pPr>
      <w:r w:rsidRPr="00D56237">
        <w:rPr>
          <w:rFonts w:ascii="Verdana" w:eastAsia="Calibri" w:hAnsi="Verdana" w:cs="Times New Roman"/>
          <w:kern w:val="2"/>
          <w:lang w:val="es-ES_tradnl"/>
          <w14:ligatures w14:val="standardContextual"/>
        </w:rPr>
        <w:t xml:space="preserve">Twitter: </w:t>
      </w:r>
      <w:r w:rsidRPr="00D56237">
        <w:rPr>
          <w:rFonts w:ascii="Verdana" w:eastAsia="Calibri" w:hAnsi="Verdana" w:cs="Times New Roman"/>
          <w:kern w:val="2"/>
          <w:u w:val="single"/>
          <w:lang w:val="es-ES_tradnl"/>
          <w14:ligatures w14:val="standardContextual"/>
        </w:rPr>
        <w:t>@colombiacompra</w:t>
      </w:r>
      <w:r w:rsidRPr="00D56237">
        <w:rPr>
          <w:rFonts w:ascii="Verdana" w:eastAsia="Calibri" w:hAnsi="Verdana" w:cs="Times New Roman"/>
          <w:kern w:val="2"/>
          <w:lang w:val="es-ES_tradnl"/>
          <w14:ligatures w14:val="standardContextual"/>
        </w:rPr>
        <w:t xml:space="preserve"> </w:t>
      </w:r>
    </w:p>
    <w:p w14:paraId="2DA2EFA3" w14:textId="77777777" w:rsidR="00D56237" w:rsidRPr="00D56237" w:rsidRDefault="00D56237" w:rsidP="00D56237">
      <w:pPr>
        <w:spacing w:after="0" w:line="240" w:lineRule="auto"/>
        <w:jc w:val="both"/>
        <w:rPr>
          <w:rFonts w:ascii="Verdana" w:eastAsia="Calibri" w:hAnsi="Verdana" w:cs="Times New Roman"/>
          <w:kern w:val="2"/>
          <w:lang w:val="es-ES"/>
          <w14:ligatures w14:val="standardContextual"/>
        </w:rPr>
      </w:pPr>
      <w:r w:rsidRPr="00D56237">
        <w:rPr>
          <w:rFonts w:ascii="Verdana" w:eastAsia="Calibri" w:hAnsi="Verdana" w:cs="Times New Roman"/>
          <w:kern w:val="2"/>
          <w:lang w:val="es-ES"/>
          <w14:ligatures w14:val="standardContextual"/>
        </w:rPr>
        <w:t xml:space="preserve">Facebook: </w:t>
      </w:r>
      <w:proofErr w:type="spellStart"/>
      <w:r w:rsidRPr="00D56237">
        <w:rPr>
          <w:rFonts w:ascii="Verdana" w:eastAsia="Calibri" w:hAnsi="Verdana" w:cs="Times New Roman"/>
          <w:kern w:val="2"/>
          <w:u w:val="single"/>
          <w:lang w:val="es-ES"/>
          <w14:ligatures w14:val="standardContextual"/>
        </w:rPr>
        <w:t>ColombiaCompraEficiente</w:t>
      </w:r>
      <w:proofErr w:type="spellEnd"/>
    </w:p>
    <w:p w14:paraId="5ED01D93" w14:textId="77777777" w:rsidR="00D56237" w:rsidRPr="00D56237" w:rsidRDefault="00D56237" w:rsidP="00D56237">
      <w:pPr>
        <w:spacing w:after="0" w:line="240" w:lineRule="auto"/>
        <w:jc w:val="both"/>
        <w:rPr>
          <w:rFonts w:ascii="Verdana" w:eastAsia="Calibri" w:hAnsi="Verdana" w:cs="Times New Roman"/>
          <w:kern w:val="2"/>
          <w:lang w:val="es-ES_tradnl"/>
          <w14:ligatures w14:val="standardContextual"/>
        </w:rPr>
      </w:pPr>
      <w:r w:rsidRPr="00D56237">
        <w:rPr>
          <w:rFonts w:ascii="Verdana" w:eastAsia="Calibri" w:hAnsi="Verdana" w:cs="Times New Roman"/>
          <w:kern w:val="2"/>
          <w:lang w:val="es-ES_tradnl"/>
          <w14:ligatures w14:val="standardContextual"/>
        </w:rPr>
        <w:t xml:space="preserve">LinkedIn: </w:t>
      </w:r>
      <w:r w:rsidRPr="00D56237">
        <w:rPr>
          <w:rFonts w:ascii="Verdana" w:eastAsia="Calibri" w:hAnsi="Verdana" w:cs="Times New Roman"/>
          <w:kern w:val="2"/>
          <w:u w:val="single"/>
          <w:lang w:val="es-ES_tradnl"/>
          <w14:ligatures w14:val="standardContextual"/>
        </w:rPr>
        <w:t>Agencia Nacional de Contratación Pública - Colombia Compra Eficiente</w:t>
      </w:r>
      <w:r w:rsidRPr="00D56237">
        <w:rPr>
          <w:rFonts w:ascii="Verdana" w:eastAsia="Calibri" w:hAnsi="Verdana" w:cs="Times New Roman"/>
          <w:kern w:val="2"/>
          <w:lang w:val="es-ES_tradnl"/>
          <w14:ligatures w14:val="standardContextual"/>
        </w:rPr>
        <w:t xml:space="preserve"> Instagram: </w:t>
      </w:r>
      <w:r w:rsidRPr="00D56237">
        <w:rPr>
          <w:rFonts w:ascii="Verdana" w:eastAsia="Calibri" w:hAnsi="Verdana" w:cs="Times New Roman"/>
          <w:kern w:val="2"/>
          <w:u w:val="single"/>
          <w:lang w:val="es-ES_tradnl"/>
          <w14:ligatures w14:val="standardContextual"/>
        </w:rPr>
        <w:t>@colombiacompraeficiente_cce</w:t>
      </w:r>
    </w:p>
    <w:p w14:paraId="710B76AD" w14:textId="77777777" w:rsidR="00D56237" w:rsidRPr="00D56237" w:rsidRDefault="00D56237" w:rsidP="00D56237">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5FD4C8BA" w14:textId="77777777" w:rsidR="00D56237" w:rsidRPr="00D56237" w:rsidRDefault="00D56237" w:rsidP="00D56237">
      <w:pPr>
        <w:widowControl w:val="0"/>
        <w:autoSpaceDE w:val="0"/>
        <w:autoSpaceDN w:val="0"/>
        <w:spacing w:after="0" w:line="276" w:lineRule="auto"/>
        <w:jc w:val="both"/>
        <w:rPr>
          <w:rFonts w:ascii="Verdana" w:eastAsia="Calibri" w:hAnsi="Verdana" w:cs="Arial"/>
          <w:kern w:val="2"/>
          <w:lang w:val="es-ES_tradnl"/>
          <w14:ligatures w14:val="standardContextual"/>
        </w:rPr>
      </w:pPr>
      <w:r w:rsidRPr="00D56237">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1256768" w14:textId="77777777" w:rsidR="00D56237" w:rsidRPr="00D56237" w:rsidRDefault="00D56237" w:rsidP="00D56237">
      <w:pPr>
        <w:widowControl w:val="0"/>
        <w:autoSpaceDE w:val="0"/>
        <w:autoSpaceDN w:val="0"/>
        <w:spacing w:after="0" w:line="276" w:lineRule="auto"/>
        <w:jc w:val="both"/>
        <w:rPr>
          <w:rFonts w:ascii="Verdana" w:eastAsia="Calibri" w:hAnsi="Verdana" w:cs="Arial"/>
        </w:rPr>
      </w:pPr>
    </w:p>
    <w:p w14:paraId="12FCC079" w14:textId="77777777" w:rsidR="00D56237" w:rsidRPr="00D56237" w:rsidRDefault="00D56237" w:rsidP="00D56237">
      <w:pPr>
        <w:spacing w:after="0" w:line="240" w:lineRule="auto"/>
        <w:rPr>
          <w:rFonts w:ascii="Verdana" w:eastAsia="Calibri" w:hAnsi="Verdana" w:cs="Arial"/>
          <w:lang w:eastAsia="es-CO"/>
        </w:rPr>
      </w:pPr>
      <w:r w:rsidRPr="61D5B768">
        <w:rPr>
          <w:rFonts w:ascii="Verdana" w:eastAsia="Times New Roman" w:hAnsi="Verdana" w:cs="Arial"/>
          <w:lang w:eastAsia="es-CO"/>
        </w:rPr>
        <w:t>Atentamente,</w:t>
      </w:r>
      <w:r w:rsidRPr="61D5B768">
        <w:rPr>
          <w:rFonts w:ascii="Verdana" w:eastAsia="Calibri" w:hAnsi="Verdana" w:cs="Arial"/>
          <w:lang w:eastAsia="es-CO"/>
        </w:rPr>
        <w:t xml:space="preserve"> </w:t>
      </w:r>
    </w:p>
    <w:p w14:paraId="67A69E16" w14:textId="18B6DB67" w:rsidR="00D56237" w:rsidRDefault="001B4F7D" w:rsidP="61D5B768">
      <w:pPr>
        <w:spacing w:after="0" w:line="240" w:lineRule="auto"/>
        <w:jc w:val="center"/>
      </w:pPr>
      <w:r>
        <w:rPr>
          <w:noProof/>
        </w:rPr>
        <w:drawing>
          <wp:inline distT="0" distB="0" distL="0" distR="0" wp14:anchorId="3A0BBF02" wp14:editId="7CCF6350">
            <wp:extent cx="3449955" cy="1483348"/>
            <wp:effectExtent l="0" t="0" r="0" b="3175"/>
            <wp:docPr id="146570599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705999" name="Imagen 1465705999"/>
                    <pic:cNvPicPr/>
                  </pic:nvPicPr>
                  <pic:blipFill>
                    <a:blip r:embed="rId15">
                      <a:extLst>
                        <a:ext uri="{28A0092B-C50C-407E-A947-70E740481C1C}">
                          <a14:useLocalDpi xmlns:a14="http://schemas.microsoft.com/office/drawing/2010/main" val="0"/>
                        </a:ext>
                      </a:extLst>
                    </a:blip>
                    <a:stretch>
                      <a:fillRect/>
                    </a:stretch>
                  </pic:blipFill>
                  <pic:spPr>
                    <a:xfrm>
                      <a:off x="0" y="0"/>
                      <a:ext cx="3468099" cy="1491149"/>
                    </a:xfrm>
                    <a:prstGeom prst="rect">
                      <a:avLst/>
                    </a:prstGeom>
                  </pic:spPr>
                </pic:pic>
              </a:graphicData>
            </a:graphic>
          </wp:inline>
        </w:drawing>
      </w:r>
    </w:p>
    <w:p w14:paraId="4DAD5A71" w14:textId="77777777" w:rsidR="00A33B88" w:rsidRPr="00D56237" w:rsidRDefault="00A33B88" w:rsidP="61D5B768">
      <w:pPr>
        <w:spacing w:after="0" w:line="240" w:lineRule="auto"/>
        <w:jc w:val="cente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56237" w:rsidRPr="00D56237" w14:paraId="5F385BBF" w14:textId="77777777" w:rsidTr="00E873D5">
        <w:trPr>
          <w:trHeight w:val="315"/>
        </w:trPr>
        <w:tc>
          <w:tcPr>
            <w:tcW w:w="893" w:type="dxa"/>
            <w:vAlign w:val="center"/>
            <w:hideMark/>
          </w:tcPr>
          <w:p w14:paraId="7E0BA5FA" w14:textId="77777777" w:rsidR="00D56237" w:rsidRPr="00D56237" w:rsidRDefault="00D56237" w:rsidP="00D56237">
            <w:pPr>
              <w:rPr>
                <w:rFonts w:ascii="Verdana" w:eastAsia="Calibri" w:hAnsi="Verdana" w:cs="Arial"/>
                <w:sz w:val="16"/>
                <w:szCs w:val="16"/>
                <w:lang w:val="es-ES" w:eastAsia="es-ES"/>
              </w:rPr>
            </w:pPr>
            <w:r w:rsidRPr="00D56237">
              <w:rPr>
                <w:rFonts w:ascii="Verdana" w:eastAsia="Calibri"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1FEB6EEB" w14:textId="644AE1C8" w:rsidR="00D56237" w:rsidRPr="00D56237" w:rsidRDefault="00A33B88" w:rsidP="00D56237">
            <w:pPr>
              <w:rPr>
                <w:rFonts w:ascii="Verdana" w:eastAsia="Arial" w:hAnsi="Verdana" w:cs="Arial"/>
                <w:sz w:val="16"/>
                <w:szCs w:val="16"/>
              </w:rPr>
            </w:pPr>
            <w:proofErr w:type="spellStart"/>
            <w:r>
              <w:rPr>
                <w:rFonts w:ascii="Verdana" w:eastAsia="Arial" w:hAnsi="Verdana" w:cs="Arial"/>
                <w:sz w:val="16"/>
                <w:szCs w:val="16"/>
              </w:rPr>
              <w:t>Karol</w:t>
            </w:r>
            <w:proofErr w:type="spellEnd"/>
            <w:r>
              <w:rPr>
                <w:rFonts w:ascii="Verdana" w:eastAsia="Arial" w:hAnsi="Verdana" w:cs="Arial"/>
                <w:sz w:val="16"/>
                <w:szCs w:val="16"/>
              </w:rPr>
              <w:t xml:space="preserve"> Andrea </w:t>
            </w:r>
            <w:proofErr w:type="spellStart"/>
            <w:r>
              <w:rPr>
                <w:rFonts w:ascii="Verdana" w:eastAsia="Arial" w:hAnsi="Verdana" w:cs="Arial"/>
                <w:sz w:val="16"/>
                <w:szCs w:val="16"/>
              </w:rPr>
              <w:t>Gonzalez</w:t>
            </w:r>
            <w:proofErr w:type="spellEnd"/>
            <w:r>
              <w:rPr>
                <w:rFonts w:ascii="Verdana" w:eastAsia="Arial" w:hAnsi="Verdana" w:cs="Arial"/>
                <w:sz w:val="16"/>
                <w:szCs w:val="16"/>
              </w:rPr>
              <w:t xml:space="preserve"> </w:t>
            </w:r>
            <w:proofErr w:type="spellStart"/>
            <w:r>
              <w:rPr>
                <w:rFonts w:ascii="Verdana" w:eastAsia="Arial" w:hAnsi="Verdana" w:cs="Arial"/>
                <w:sz w:val="16"/>
                <w:szCs w:val="16"/>
              </w:rPr>
              <w:t>Marin</w:t>
            </w:r>
            <w:proofErr w:type="spellEnd"/>
            <w:r>
              <w:rPr>
                <w:rFonts w:ascii="Verdana" w:eastAsia="Arial" w:hAnsi="Verdana" w:cs="Arial"/>
                <w:sz w:val="16"/>
                <w:szCs w:val="16"/>
              </w:rPr>
              <w:t xml:space="preserve"> </w:t>
            </w:r>
          </w:p>
          <w:p w14:paraId="260AF408" w14:textId="77777777" w:rsidR="00D56237" w:rsidRPr="00D56237" w:rsidRDefault="00D56237" w:rsidP="00D56237">
            <w:pPr>
              <w:rPr>
                <w:rFonts w:ascii="Verdana" w:eastAsia="Arial" w:hAnsi="Verdana" w:cs="Arial"/>
                <w:sz w:val="16"/>
                <w:szCs w:val="16"/>
              </w:rPr>
            </w:pPr>
            <w:r w:rsidRPr="00D56237">
              <w:rPr>
                <w:rFonts w:ascii="Verdana" w:eastAsia="Arial" w:hAnsi="Verdana" w:cs="Arial"/>
                <w:sz w:val="16"/>
                <w:szCs w:val="16"/>
              </w:rPr>
              <w:t>Contratista de la Subdirección de Gestión Contractual</w:t>
            </w:r>
          </w:p>
          <w:p w14:paraId="0D409566" w14:textId="77777777" w:rsidR="00D56237" w:rsidRPr="00D56237" w:rsidRDefault="00D56237" w:rsidP="00D56237">
            <w:pPr>
              <w:rPr>
                <w:rFonts w:ascii="Verdana" w:eastAsia="Arial" w:hAnsi="Verdana" w:cs="Arial"/>
                <w:sz w:val="16"/>
                <w:szCs w:val="16"/>
              </w:rPr>
            </w:pPr>
            <w:r w:rsidRPr="00D56237">
              <w:rPr>
                <w:rFonts w:ascii="Verdana" w:eastAsia="Arial" w:hAnsi="Verdana" w:cs="Arial"/>
                <w:sz w:val="16"/>
                <w:szCs w:val="16"/>
              </w:rPr>
              <w:t>Alexandra Rodríguez Motta</w:t>
            </w:r>
          </w:p>
          <w:p w14:paraId="01B03044" w14:textId="77777777" w:rsidR="00D56237" w:rsidRPr="00D56237" w:rsidRDefault="00D56237" w:rsidP="00D56237">
            <w:pPr>
              <w:rPr>
                <w:rFonts w:ascii="Verdana" w:eastAsia="Arial" w:hAnsi="Verdana" w:cs="Arial"/>
                <w:sz w:val="16"/>
                <w:szCs w:val="16"/>
              </w:rPr>
            </w:pPr>
            <w:r w:rsidRPr="00D56237">
              <w:rPr>
                <w:rFonts w:ascii="Verdana" w:eastAsia="Arial" w:hAnsi="Verdana" w:cs="Arial"/>
                <w:sz w:val="16"/>
                <w:szCs w:val="16"/>
              </w:rPr>
              <w:t>Contratista de la Subdirección de Gestión Contractual</w:t>
            </w:r>
          </w:p>
        </w:tc>
      </w:tr>
      <w:tr w:rsidR="00D56237" w:rsidRPr="00D56237" w14:paraId="4FD57EF4" w14:textId="77777777" w:rsidTr="00E873D5">
        <w:trPr>
          <w:trHeight w:val="330"/>
        </w:trPr>
        <w:tc>
          <w:tcPr>
            <w:tcW w:w="893" w:type="dxa"/>
            <w:vAlign w:val="center"/>
            <w:hideMark/>
          </w:tcPr>
          <w:p w14:paraId="10248D54" w14:textId="77777777" w:rsidR="00D56237" w:rsidRPr="00D56237" w:rsidRDefault="00D56237" w:rsidP="00D56237">
            <w:pPr>
              <w:rPr>
                <w:rFonts w:ascii="Verdana" w:eastAsia="Calibri" w:hAnsi="Verdana" w:cs="Arial"/>
                <w:sz w:val="16"/>
                <w:szCs w:val="16"/>
                <w:lang w:val="es-ES" w:eastAsia="es-ES"/>
              </w:rPr>
            </w:pPr>
            <w:r w:rsidRPr="00D56237">
              <w:rPr>
                <w:rFonts w:ascii="Verdana" w:eastAsia="Calibri"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654E78F3" w14:textId="213DDFAD" w:rsidR="00D56237" w:rsidRPr="00D56237" w:rsidRDefault="00A33B88" w:rsidP="00D56237">
            <w:pPr>
              <w:textAlignment w:val="baseline"/>
              <w:rPr>
                <w:rFonts w:ascii="Verdana" w:eastAsia="Times New Roman" w:hAnsi="Verdana" w:cs="Arial"/>
                <w:sz w:val="16"/>
                <w:szCs w:val="16"/>
                <w:lang w:val="es-ES" w:eastAsia="es-ES_tradnl"/>
              </w:rPr>
            </w:pPr>
            <w:r w:rsidRPr="00A33B88">
              <w:rPr>
                <w:rFonts w:ascii="Verdana" w:eastAsia="Times New Roman" w:hAnsi="Verdana" w:cs="Arial"/>
                <w:sz w:val="16"/>
                <w:szCs w:val="16"/>
                <w:lang w:val="es-ES" w:eastAsia="es-ES_tradnl"/>
              </w:rPr>
              <w:t>Juan David Cárdenas</w:t>
            </w:r>
          </w:p>
          <w:p w14:paraId="0E82ED47" w14:textId="77777777" w:rsidR="00D56237" w:rsidRPr="00D56237" w:rsidRDefault="00D56237" w:rsidP="00D56237">
            <w:pPr>
              <w:textAlignment w:val="baseline"/>
              <w:rPr>
                <w:rFonts w:ascii="Verdana" w:eastAsia="Times New Roman" w:hAnsi="Verdana" w:cs="Segoe UI"/>
                <w:sz w:val="16"/>
                <w:szCs w:val="16"/>
                <w:lang w:eastAsia="es-ES_tradnl"/>
              </w:rPr>
            </w:pPr>
            <w:r w:rsidRPr="00D56237">
              <w:rPr>
                <w:rFonts w:ascii="Verdana" w:eastAsia="Times New Roman" w:hAnsi="Verdana" w:cs="Arial"/>
                <w:sz w:val="16"/>
                <w:szCs w:val="16"/>
                <w:lang w:val="es-ES" w:eastAsia="es-ES_tradnl"/>
              </w:rPr>
              <w:t>Contratista de la Subdirección de Gestión Contractual</w:t>
            </w:r>
            <w:r w:rsidRPr="00D56237">
              <w:rPr>
                <w:rFonts w:ascii="Verdana" w:eastAsia="Times New Roman" w:hAnsi="Verdana" w:cs="Arial"/>
                <w:sz w:val="16"/>
                <w:szCs w:val="16"/>
                <w:lang w:eastAsia="es-ES_tradnl"/>
              </w:rPr>
              <w:t> </w:t>
            </w:r>
          </w:p>
        </w:tc>
      </w:tr>
      <w:tr w:rsidR="00D56237" w:rsidRPr="00D56237" w14:paraId="64059E5A" w14:textId="77777777" w:rsidTr="00E873D5">
        <w:trPr>
          <w:trHeight w:val="300"/>
        </w:trPr>
        <w:tc>
          <w:tcPr>
            <w:tcW w:w="893" w:type="dxa"/>
            <w:vAlign w:val="center"/>
          </w:tcPr>
          <w:p w14:paraId="4C743F64" w14:textId="77777777" w:rsidR="00D56237" w:rsidRPr="00D56237" w:rsidRDefault="00D56237" w:rsidP="00D56237">
            <w:pPr>
              <w:rPr>
                <w:rFonts w:ascii="Verdana" w:eastAsia="Calibri" w:hAnsi="Verdana" w:cs="Arial"/>
                <w:sz w:val="16"/>
                <w:szCs w:val="16"/>
                <w:lang w:val="es-ES" w:eastAsia="es-ES"/>
              </w:rPr>
            </w:pPr>
            <w:r w:rsidRPr="00D56237">
              <w:rPr>
                <w:rFonts w:ascii="Verdana" w:eastAsia="Calibri"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50E3F54D" w14:textId="77777777" w:rsidR="00A33B88" w:rsidRPr="00A46EEC" w:rsidRDefault="00A33B88" w:rsidP="00A33B88">
            <w:pPr>
              <w:rPr>
                <w:rFonts w:ascii="Verdana" w:eastAsia="Calibri" w:hAnsi="Verdana" w:cs="Arial"/>
                <w:sz w:val="16"/>
                <w:szCs w:val="16"/>
                <w:lang w:eastAsia="es-ES"/>
              </w:rPr>
            </w:pPr>
            <w:r w:rsidRPr="00A46EEC">
              <w:rPr>
                <w:rFonts w:ascii="Verdana" w:eastAsia="Calibri" w:hAnsi="Verdana" w:cs="Arial"/>
                <w:sz w:val="16"/>
                <w:szCs w:val="16"/>
                <w:lang w:eastAsia="es-ES"/>
              </w:rPr>
              <w:t xml:space="preserve">Carolina Quintero </w:t>
            </w:r>
            <w:proofErr w:type="spellStart"/>
            <w:r w:rsidRPr="00A46EEC">
              <w:rPr>
                <w:rFonts w:ascii="Verdana" w:eastAsia="Calibri" w:hAnsi="Verdana" w:cs="Arial"/>
                <w:sz w:val="16"/>
                <w:szCs w:val="16"/>
                <w:lang w:eastAsia="es-ES"/>
              </w:rPr>
              <w:t>Gacharná</w:t>
            </w:r>
            <w:proofErr w:type="spellEnd"/>
          </w:p>
          <w:p w14:paraId="705ABCB0" w14:textId="54465C6B" w:rsidR="00D56237" w:rsidRPr="00D56237" w:rsidRDefault="00A33B88" w:rsidP="00A33B88">
            <w:pPr>
              <w:rPr>
                <w:rFonts w:ascii="Verdana" w:eastAsia="Calibri" w:hAnsi="Verdana" w:cs="Arial"/>
                <w:sz w:val="16"/>
                <w:szCs w:val="16"/>
                <w:lang w:val="pt-BR" w:eastAsia="es-ES"/>
              </w:rPr>
            </w:pPr>
            <w:r w:rsidRPr="00A46EEC">
              <w:rPr>
                <w:rFonts w:ascii="Verdana" w:eastAsia="Calibri" w:hAnsi="Verdana" w:cs="Arial"/>
                <w:sz w:val="16"/>
                <w:szCs w:val="16"/>
                <w:lang w:eastAsia="es-ES"/>
              </w:rPr>
              <w:t>Subdirectora de Gestión Contractual ANCP – CCE</w:t>
            </w:r>
          </w:p>
        </w:tc>
      </w:tr>
      <w:bookmarkEnd w:id="0"/>
    </w:tbl>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7E2690" w14:textId="77777777" w:rsidR="00547B7E" w:rsidRDefault="00547B7E" w:rsidP="004A1847">
      <w:pPr>
        <w:spacing w:after="0" w:line="240" w:lineRule="auto"/>
      </w:pPr>
      <w:r>
        <w:separator/>
      </w:r>
    </w:p>
  </w:endnote>
  <w:endnote w:type="continuationSeparator" w:id="0">
    <w:p w14:paraId="44FAAFC7" w14:textId="77777777" w:rsidR="00547B7E" w:rsidRDefault="00547B7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E006C7" w14:textId="77777777" w:rsidR="00547B7E" w:rsidRDefault="00547B7E" w:rsidP="004A1847">
      <w:pPr>
        <w:spacing w:after="0" w:line="240" w:lineRule="auto"/>
      </w:pPr>
      <w:r>
        <w:separator/>
      </w:r>
    </w:p>
  </w:footnote>
  <w:footnote w:type="continuationSeparator" w:id="0">
    <w:p w14:paraId="2CFFE0F0" w14:textId="77777777" w:rsidR="00547B7E" w:rsidRDefault="00547B7E" w:rsidP="004A1847">
      <w:pPr>
        <w:spacing w:after="0" w:line="240" w:lineRule="auto"/>
      </w:pPr>
      <w:r>
        <w:continuationSeparator/>
      </w:r>
    </w:p>
  </w:footnote>
  <w:footnote w:id="1">
    <w:p w14:paraId="59DE7CE2" w14:textId="77777777" w:rsidR="00D56237" w:rsidRPr="00DE1A59" w:rsidRDefault="00D56237" w:rsidP="00D56237">
      <w:pPr>
        <w:pStyle w:val="Textonotapie"/>
        <w:ind w:firstLine="708"/>
        <w:jc w:val="both"/>
        <w:rPr>
          <w:rFonts w:ascii="Verdana" w:hAnsi="Verdana" w:cs="Arial"/>
          <w:sz w:val="18"/>
          <w:szCs w:val="18"/>
        </w:rPr>
      </w:pPr>
      <w:r w:rsidRPr="00DE1A59">
        <w:rPr>
          <w:rStyle w:val="Refdenotaalpie"/>
          <w:rFonts w:ascii="Verdana" w:hAnsi="Verdana" w:cs="Arial"/>
          <w:sz w:val="18"/>
          <w:szCs w:val="18"/>
        </w:rPr>
        <w:footnoteRef/>
      </w:r>
      <w:r w:rsidRPr="00DE1A59">
        <w:rPr>
          <w:rFonts w:ascii="Verdana" w:hAnsi="Verdana" w:cs="Arial"/>
          <w:sz w:val="18"/>
          <w:szCs w:val="18"/>
        </w:rPr>
        <w:t xml:space="preserve"> Ley 1150 de 2007: “Artículo 5.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4769D879" w14:textId="77777777" w:rsidR="00D56237" w:rsidRPr="00DE1A59" w:rsidRDefault="00D56237" w:rsidP="00D56237">
      <w:pPr>
        <w:pStyle w:val="Textonotapie"/>
        <w:ind w:firstLine="708"/>
        <w:jc w:val="both"/>
        <w:rPr>
          <w:rFonts w:ascii="Verdana" w:hAnsi="Verdana" w:cs="Arial"/>
          <w:sz w:val="18"/>
          <w:szCs w:val="18"/>
        </w:rPr>
      </w:pPr>
      <w:r w:rsidRPr="00DE1A59">
        <w:rPr>
          <w:rFonts w:ascii="Verdana" w:hAnsi="Verdana" w:cs="Arial"/>
          <w:sz w:val="18"/>
          <w:szCs w:val="18"/>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footnote>
  <w:footnote w:id="2">
    <w:p w14:paraId="42A262CA" w14:textId="77777777" w:rsidR="00D56237" w:rsidRPr="00DE1A59" w:rsidRDefault="00D56237" w:rsidP="00D56237">
      <w:pPr>
        <w:pStyle w:val="Textonotapie"/>
        <w:ind w:firstLine="708"/>
        <w:jc w:val="both"/>
        <w:rPr>
          <w:rFonts w:ascii="Verdana" w:hAnsi="Verdana" w:cs="Arial"/>
          <w:sz w:val="18"/>
          <w:szCs w:val="18"/>
          <w:lang w:val="es-ES_tradnl"/>
        </w:rPr>
      </w:pPr>
      <w:r w:rsidRPr="00DE1A59">
        <w:rPr>
          <w:rStyle w:val="Refdenotaalpie"/>
          <w:rFonts w:ascii="Verdana" w:hAnsi="Verdana" w:cs="Arial"/>
          <w:sz w:val="18"/>
          <w:szCs w:val="18"/>
        </w:rPr>
        <w:footnoteRef/>
      </w:r>
      <w:r w:rsidRPr="00DE1A59">
        <w:rPr>
          <w:rFonts w:ascii="Verdana" w:hAnsi="Verdana" w:cs="Arial"/>
          <w:sz w:val="18"/>
          <w:szCs w:val="18"/>
        </w:rPr>
        <w:t xml:space="preserve"> Decreto 1082 de 2015: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 w:id="3">
    <w:p w14:paraId="6AB4A823" w14:textId="77777777" w:rsidR="00D56237" w:rsidRPr="00DE1A59" w:rsidRDefault="00D56237" w:rsidP="00D56237">
      <w:pPr>
        <w:pStyle w:val="Textonotapie"/>
        <w:ind w:firstLine="708"/>
        <w:jc w:val="both"/>
        <w:rPr>
          <w:rFonts w:ascii="Verdana" w:hAnsi="Verdana" w:cs="Arial"/>
          <w:sz w:val="18"/>
          <w:szCs w:val="18"/>
        </w:rPr>
      </w:pPr>
      <w:r w:rsidRPr="00DE1A59">
        <w:rPr>
          <w:rStyle w:val="Refdenotaalpie"/>
          <w:rFonts w:ascii="Verdana" w:hAnsi="Verdana" w:cs="Arial"/>
          <w:sz w:val="18"/>
          <w:szCs w:val="18"/>
        </w:rPr>
        <w:footnoteRef/>
      </w:r>
      <w:r w:rsidRPr="00DE1A59">
        <w:rPr>
          <w:rFonts w:ascii="Verdana" w:hAnsi="Verdana" w:cs="Arial"/>
          <w:sz w:val="18"/>
          <w:szCs w:val="18"/>
        </w:rPr>
        <w:t xml:space="preserve"> Decreto 1082 de 2015: “Artículo 2.2.1.1.1.5.3. Requisitos habilitantes contenidos en el RUP. Las cámaras de comercio, con base en la información a la que hace referencia el artículo anterior, deben verificar y certificar los siguientes requisitos habilitantes:</w:t>
      </w:r>
    </w:p>
    <w:p w14:paraId="2FA32EDE" w14:textId="77777777" w:rsidR="00D56237" w:rsidRPr="00DE1A59" w:rsidRDefault="00D56237" w:rsidP="00D56237">
      <w:pPr>
        <w:pStyle w:val="Textonotapie"/>
        <w:ind w:firstLine="708"/>
        <w:jc w:val="both"/>
        <w:rPr>
          <w:rFonts w:ascii="Verdana" w:hAnsi="Verdana" w:cs="Arial"/>
          <w:sz w:val="18"/>
          <w:szCs w:val="18"/>
        </w:rPr>
      </w:pPr>
      <w:r w:rsidRPr="00DE1A59">
        <w:rPr>
          <w:rFonts w:ascii="Verdana" w:hAnsi="Verdana" w:cs="Arial"/>
          <w:sz w:val="18"/>
          <w:szCs w:val="18"/>
        </w:rPr>
        <w:t>1. Experiencia – Los contratos celebrados por el interesado para cada uno de los bienes, obras y servicios que ofrecerá a las Entidades Estatales, identificados con el Clasificador de Bienes y Servicios en el tercer nivel y su valor expresado en SMMLV.</w:t>
      </w:r>
    </w:p>
    <w:p w14:paraId="2249C08F" w14:textId="77777777" w:rsidR="00D56237" w:rsidRPr="00DE1A59" w:rsidRDefault="00D56237" w:rsidP="00D56237">
      <w:pPr>
        <w:pStyle w:val="Textonotapie"/>
        <w:ind w:firstLine="708"/>
        <w:jc w:val="both"/>
        <w:rPr>
          <w:rFonts w:ascii="Verdana" w:hAnsi="Verdana" w:cs="Arial"/>
          <w:sz w:val="18"/>
          <w:szCs w:val="18"/>
          <w:lang w:val="es-ES_tradnl"/>
        </w:rPr>
      </w:pPr>
      <w:r w:rsidRPr="00DE1A59">
        <w:rPr>
          <w:rFonts w:ascii="Verdana" w:hAnsi="Verdana" w:cs="Arial"/>
          <w:sz w:val="18"/>
          <w:szCs w:val="18"/>
        </w:rPr>
        <w:t>[...]”.</w:t>
      </w:r>
    </w:p>
  </w:footnote>
  <w:footnote w:id="4">
    <w:p w14:paraId="026CF37D" w14:textId="77777777" w:rsidR="00D56237" w:rsidRPr="00DE1A59" w:rsidRDefault="00D56237" w:rsidP="00D56237">
      <w:pPr>
        <w:pStyle w:val="Textonotapie"/>
        <w:ind w:firstLine="708"/>
        <w:jc w:val="both"/>
        <w:rPr>
          <w:rFonts w:ascii="Verdana" w:hAnsi="Verdana" w:cs="Arial"/>
          <w:sz w:val="18"/>
          <w:szCs w:val="18"/>
        </w:rPr>
      </w:pPr>
      <w:r w:rsidRPr="00DE1A59">
        <w:rPr>
          <w:rStyle w:val="Refdenotaalpie"/>
          <w:rFonts w:ascii="Verdana" w:hAnsi="Verdana" w:cs="Arial"/>
          <w:sz w:val="18"/>
          <w:szCs w:val="18"/>
        </w:rPr>
        <w:footnoteRef/>
      </w:r>
      <w:r w:rsidRPr="00DE1A59">
        <w:rPr>
          <w:rFonts w:ascii="Verdana" w:hAnsi="Verdana" w:cs="Arial"/>
          <w:sz w:val="18"/>
          <w:szCs w:val="18"/>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8C5A51B" w14:textId="77777777" w:rsidR="00D56237" w:rsidRPr="00DE1A59" w:rsidRDefault="00D56237" w:rsidP="00D56237">
      <w:pPr>
        <w:pStyle w:val="Textonotapie"/>
        <w:ind w:firstLine="708"/>
        <w:jc w:val="both"/>
        <w:rPr>
          <w:rFonts w:ascii="Verdana" w:hAnsi="Verdana" w:cs="Arial"/>
          <w:sz w:val="18"/>
          <w:szCs w:val="18"/>
        </w:rPr>
      </w:pPr>
      <w:r w:rsidRPr="00DE1A59">
        <w:rPr>
          <w:rFonts w:ascii="Verdana" w:hAnsi="Verdana" w:cs="Arial"/>
          <w:sz w:val="18"/>
          <w:szCs w:val="18"/>
        </w:rPr>
        <w:t>[...]</w:t>
      </w:r>
    </w:p>
    <w:p w14:paraId="415BB41C" w14:textId="77777777" w:rsidR="00D56237" w:rsidRPr="00DE1A59" w:rsidRDefault="00D56237" w:rsidP="00D56237">
      <w:pPr>
        <w:pStyle w:val="Textonotapie"/>
        <w:ind w:firstLine="708"/>
        <w:jc w:val="both"/>
        <w:rPr>
          <w:rFonts w:ascii="Verdana" w:hAnsi="Verdana" w:cs="Arial"/>
          <w:sz w:val="18"/>
          <w:szCs w:val="18"/>
        </w:rPr>
      </w:pPr>
      <w:r w:rsidRPr="00DE1A59">
        <w:rPr>
          <w:rFonts w:ascii="Verdana" w:hAnsi="Verdana" w:cs="Arial"/>
          <w:sz w:val="18"/>
          <w:szCs w:val="18"/>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76196299" w14:textId="77777777" w:rsidR="00D56237" w:rsidRPr="00DE1A59" w:rsidRDefault="00D56237" w:rsidP="00D56237">
      <w:pPr>
        <w:pStyle w:val="Textonotapie"/>
        <w:ind w:firstLine="709"/>
        <w:jc w:val="both"/>
        <w:rPr>
          <w:rFonts w:ascii="Verdana" w:hAnsi="Verdana" w:cs="Arial"/>
          <w:sz w:val="18"/>
          <w:szCs w:val="18"/>
          <w:lang w:val="es-ES_tradnl"/>
        </w:rPr>
      </w:pPr>
      <w:r w:rsidRPr="00DE1A59">
        <w:rPr>
          <w:rFonts w:ascii="Verdana" w:hAnsi="Verdana" w:cs="Arial"/>
          <w:sz w:val="18"/>
          <w:szCs w:val="18"/>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5">
    <w:p w14:paraId="46E86BE9" w14:textId="77777777" w:rsidR="00D56237" w:rsidRPr="00DE1A59" w:rsidRDefault="00D56237" w:rsidP="00D56237">
      <w:pPr>
        <w:pStyle w:val="Textonotapie"/>
        <w:jc w:val="both"/>
        <w:rPr>
          <w:rFonts w:ascii="Verdana" w:hAnsi="Verdana" w:cs="Arial"/>
          <w:sz w:val="18"/>
          <w:szCs w:val="18"/>
        </w:rPr>
      </w:pPr>
    </w:p>
    <w:p w14:paraId="5D80ABE0" w14:textId="77777777" w:rsidR="00D56237" w:rsidRPr="00DE1A59" w:rsidRDefault="00D56237" w:rsidP="00D56237">
      <w:pPr>
        <w:pStyle w:val="Textonotapie"/>
        <w:ind w:firstLine="708"/>
        <w:jc w:val="both"/>
        <w:rPr>
          <w:rFonts w:ascii="Verdana" w:hAnsi="Verdana" w:cs="Arial"/>
          <w:sz w:val="18"/>
          <w:szCs w:val="18"/>
        </w:rPr>
      </w:pPr>
      <w:r w:rsidRPr="00DE1A59">
        <w:rPr>
          <w:rStyle w:val="Refdenotaalpie"/>
          <w:rFonts w:ascii="Verdana" w:hAnsi="Verdana" w:cs="Arial"/>
          <w:sz w:val="18"/>
          <w:szCs w:val="18"/>
        </w:rPr>
        <w:footnoteRef/>
      </w:r>
      <w:r w:rsidRPr="00DE1A59">
        <w:rPr>
          <w:rFonts w:ascii="Verdana" w:hAnsi="Verdana" w:cs="Arial"/>
          <w:sz w:val="18"/>
          <w:szCs w:val="18"/>
        </w:rPr>
        <w:t xml:space="preserve"> Decreto 1082 de 2015: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2C4E8F3C" w14:textId="77777777" w:rsidR="00D56237" w:rsidRPr="00DE1A59" w:rsidRDefault="00D56237" w:rsidP="00D56237">
      <w:pPr>
        <w:pStyle w:val="Textonotapie"/>
        <w:ind w:firstLine="708"/>
        <w:jc w:val="both"/>
        <w:rPr>
          <w:rFonts w:ascii="Verdana" w:hAnsi="Verdana" w:cs="Arial"/>
          <w:sz w:val="18"/>
          <w:szCs w:val="18"/>
        </w:rPr>
      </w:pPr>
      <w:r w:rsidRPr="00DE1A59">
        <w:rPr>
          <w:rFonts w:ascii="Verdana" w:hAnsi="Verdana" w:cs="Arial"/>
          <w:sz w:val="18"/>
          <w:szCs w:val="18"/>
        </w:rPr>
        <w:t>1. Si es una persona natural:</w:t>
      </w:r>
    </w:p>
    <w:p w14:paraId="5CD9C8FC" w14:textId="77777777" w:rsidR="00D56237" w:rsidRPr="00DE1A59" w:rsidRDefault="00D56237" w:rsidP="00D56237">
      <w:pPr>
        <w:pStyle w:val="Textonotapie"/>
        <w:ind w:firstLine="708"/>
        <w:jc w:val="both"/>
        <w:rPr>
          <w:rFonts w:ascii="Verdana" w:hAnsi="Verdana" w:cs="Arial"/>
          <w:sz w:val="18"/>
          <w:szCs w:val="18"/>
        </w:rPr>
      </w:pPr>
      <w:r w:rsidRPr="00DE1A59">
        <w:rPr>
          <w:rFonts w:ascii="Verdana" w:hAnsi="Verdana" w:cs="Arial"/>
          <w:sz w:val="18"/>
          <w:szCs w:val="18"/>
        </w:rPr>
        <w:t>1.1. Bienes, obras y servicios que ofrecerá a las Entidades Estatales, identificados con el Clasificador de Bienes y Servicios en el tercer nivel.</w:t>
      </w:r>
    </w:p>
    <w:p w14:paraId="2A0063BC" w14:textId="77777777" w:rsidR="00D56237" w:rsidRPr="00DE1A59" w:rsidRDefault="00D56237" w:rsidP="00D56237">
      <w:pPr>
        <w:pStyle w:val="Textonotapie"/>
        <w:ind w:firstLine="708"/>
        <w:jc w:val="both"/>
        <w:rPr>
          <w:rFonts w:ascii="Verdana" w:hAnsi="Verdana" w:cs="Arial"/>
          <w:sz w:val="18"/>
          <w:szCs w:val="18"/>
        </w:rPr>
      </w:pPr>
      <w:r w:rsidRPr="00DE1A59">
        <w:rPr>
          <w:rFonts w:ascii="Verdana" w:hAnsi="Verdana" w:cs="Arial"/>
          <w:sz w:val="18"/>
          <w:szCs w:val="18"/>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p w14:paraId="6BFEE442" w14:textId="77777777" w:rsidR="00D56237" w:rsidRPr="00DE1A59" w:rsidRDefault="00D56237" w:rsidP="00D56237">
      <w:pPr>
        <w:pStyle w:val="Textonotapie"/>
        <w:ind w:firstLine="708"/>
        <w:jc w:val="both"/>
        <w:rPr>
          <w:rFonts w:ascii="Verdana" w:hAnsi="Verdana" w:cs="Arial"/>
          <w:sz w:val="18"/>
          <w:szCs w:val="18"/>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1pt;height:12.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81B6A0D"/>
    <w:multiLevelType w:val="multilevel"/>
    <w:tmpl w:val="77849B6C"/>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B860C1C"/>
    <w:multiLevelType w:val="hybridMultilevel"/>
    <w:tmpl w:val="01880888"/>
    <w:lvl w:ilvl="0" w:tplc="FDB0F2D4">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DCA5D82"/>
    <w:multiLevelType w:val="multilevel"/>
    <w:tmpl w:val="FA8EE104"/>
    <w:lvl w:ilvl="0">
      <w:start w:val="4"/>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6E22D3B"/>
    <w:multiLevelType w:val="hybridMultilevel"/>
    <w:tmpl w:val="F47E46C4"/>
    <w:lvl w:ilvl="0" w:tplc="FFFFFFFF">
      <w:start w:val="1"/>
      <w:numFmt w:val="lowerRoman"/>
      <w:lvlText w:val="%1)"/>
      <w:lvlJc w:val="left"/>
      <w:pPr>
        <w:ind w:left="2496" w:hanging="720"/>
      </w:pPr>
      <w:rPr>
        <w:rFonts w:hint="default"/>
      </w:rPr>
    </w:lvl>
    <w:lvl w:ilvl="1" w:tplc="FFFFFFFF" w:tentative="1">
      <w:start w:val="1"/>
      <w:numFmt w:val="lowerLetter"/>
      <w:lvlText w:val="%2."/>
      <w:lvlJc w:val="left"/>
      <w:pPr>
        <w:ind w:left="2856" w:hanging="360"/>
      </w:pPr>
    </w:lvl>
    <w:lvl w:ilvl="2" w:tplc="FFFFFFFF" w:tentative="1">
      <w:start w:val="1"/>
      <w:numFmt w:val="lowerRoman"/>
      <w:lvlText w:val="%3."/>
      <w:lvlJc w:val="right"/>
      <w:pPr>
        <w:ind w:left="3576" w:hanging="180"/>
      </w:pPr>
    </w:lvl>
    <w:lvl w:ilvl="3" w:tplc="FFFFFFFF" w:tentative="1">
      <w:start w:val="1"/>
      <w:numFmt w:val="decimal"/>
      <w:lvlText w:val="%4."/>
      <w:lvlJc w:val="left"/>
      <w:pPr>
        <w:ind w:left="4296" w:hanging="360"/>
      </w:pPr>
    </w:lvl>
    <w:lvl w:ilvl="4" w:tplc="FFFFFFFF" w:tentative="1">
      <w:start w:val="1"/>
      <w:numFmt w:val="lowerLetter"/>
      <w:lvlText w:val="%5."/>
      <w:lvlJc w:val="left"/>
      <w:pPr>
        <w:ind w:left="5016" w:hanging="360"/>
      </w:pPr>
    </w:lvl>
    <w:lvl w:ilvl="5" w:tplc="FFFFFFFF" w:tentative="1">
      <w:start w:val="1"/>
      <w:numFmt w:val="lowerRoman"/>
      <w:lvlText w:val="%6."/>
      <w:lvlJc w:val="right"/>
      <w:pPr>
        <w:ind w:left="5736" w:hanging="180"/>
      </w:pPr>
    </w:lvl>
    <w:lvl w:ilvl="6" w:tplc="FFFFFFFF" w:tentative="1">
      <w:start w:val="1"/>
      <w:numFmt w:val="decimal"/>
      <w:lvlText w:val="%7."/>
      <w:lvlJc w:val="left"/>
      <w:pPr>
        <w:ind w:left="6456" w:hanging="360"/>
      </w:pPr>
    </w:lvl>
    <w:lvl w:ilvl="7" w:tplc="FFFFFFFF" w:tentative="1">
      <w:start w:val="1"/>
      <w:numFmt w:val="lowerLetter"/>
      <w:lvlText w:val="%8."/>
      <w:lvlJc w:val="left"/>
      <w:pPr>
        <w:ind w:left="7176" w:hanging="360"/>
      </w:pPr>
    </w:lvl>
    <w:lvl w:ilvl="8" w:tplc="FFFFFFFF" w:tentative="1">
      <w:start w:val="1"/>
      <w:numFmt w:val="lowerRoman"/>
      <w:lvlText w:val="%9."/>
      <w:lvlJc w:val="right"/>
      <w:pPr>
        <w:ind w:left="7896" w:hanging="180"/>
      </w:p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2561F07"/>
    <w:multiLevelType w:val="multilevel"/>
    <w:tmpl w:val="11B23E38"/>
    <w:lvl w:ilvl="0">
      <w:start w:val="2"/>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0" w15:restartNumberingAfterBreak="0">
    <w:nsid w:val="7F7B5986"/>
    <w:multiLevelType w:val="multilevel"/>
    <w:tmpl w:val="657CC884"/>
    <w:lvl w:ilvl="0">
      <w:start w:val="1"/>
      <w:numFmt w:val="decimal"/>
      <w:lvlText w:val="%1."/>
      <w:lvlJc w:val="left"/>
      <w:pPr>
        <w:ind w:left="450" w:hanging="450"/>
      </w:pPr>
      <w:rPr>
        <w:rFonts w:hint="default"/>
      </w:rPr>
    </w:lvl>
    <w:lvl w:ilvl="1">
      <w:start w:val="1"/>
      <w:numFmt w:val="decimal"/>
      <w:lvlText w:val="%1.%2."/>
      <w:lvlJc w:val="left"/>
      <w:pPr>
        <w:ind w:left="607" w:hanging="720"/>
      </w:pPr>
      <w:rPr>
        <w:rFonts w:hint="default"/>
      </w:rPr>
    </w:lvl>
    <w:lvl w:ilvl="2">
      <w:start w:val="1"/>
      <w:numFmt w:val="decimal"/>
      <w:lvlText w:val="%1.%2.%3."/>
      <w:lvlJc w:val="left"/>
      <w:pPr>
        <w:ind w:left="854" w:hanging="1080"/>
      </w:pPr>
      <w:rPr>
        <w:rFonts w:hint="default"/>
      </w:rPr>
    </w:lvl>
    <w:lvl w:ilvl="3">
      <w:start w:val="1"/>
      <w:numFmt w:val="decimal"/>
      <w:lvlText w:val="%1.%2.%3.%4."/>
      <w:lvlJc w:val="left"/>
      <w:pPr>
        <w:ind w:left="741" w:hanging="1080"/>
      </w:pPr>
      <w:rPr>
        <w:rFonts w:hint="default"/>
      </w:rPr>
    </w:lvl>
    <w:lvl w:ilvl="4">
      <w:start w:val="1"/>
      <w:numFmt w:val="decimal"/>
      <w:lvlText w:val="%1.%2.%3.%4.%5."/>
      <w:lvlJc w:val="left"/>
      <w:pPr>
        <w:ind w:left="988" w:hanging="1440"/>
      </w:pPr>
      <w:rPr>
        <w:rFonts w:hint="default"/>
      </w:rPr>
    </w:lvl>
    <w:lvl w:ilvl="5">
      <w:start w:val="1"/>
      <w:numFmt w:val="decimal"/>
      <w:lvlText w:val="%1.%2.%3.%4.%5.%6."/>
      <w:lvlJc w:val="left"/>
      <w:pPr>
        <w:ind w:left="1235" w:hanging="1800"/>
      </w:pPr>
      <w:rPr>
        <w:rFonts w:hint="default"/>
      </w:rPr>
    </w:lvl>
    <w:lvl w:ilvl="6">
      <w:start w:val="1"/>
      <w:numFmt w:val="decimal"/>
      <w:lvlText w:val="%1.%2.%3.%4.%5.%6.%7."/>
      <w:lvlJc w:val="left"/>
      <w:pPr>
        <w:ind w:left="1482" w:hanging="2160"/>
      </w:pPr>
      <w:rPr>
        <w:rFonts w:hint="default"/>
      </w:rPr>
    </w:lvl>
    <w:lvl w:ilvl="7">
      <w:start w:val="1"/>
      <w:numFmt w:val="decimal"/>
      <w:lvlText w:val="%1.%2.%3.%4.%5.%6.%7.%8."/>
      <w:lvlJc w:val="left"/>
      <w:pPr>
        <w:ind w:left="1369" w:hanging="2160"/>
      </w:pPr>
      <w:rPr>
        <w:rFonts w:hint="default"/>
      </w:rPr>
    </w:lvl>
    <w:lvl w:ilvl="8">
      <w:start w:val="1"/>
      <w:numFmt w:val="decimal"/>
      <w:lvlText w:val="%1.%2.%3.%4.%5.%6.%7.%8.%9."/>
      <w:lvlJc w:val="left"/>
      <w:pPr>
        <w:ind w:left="1616" w:hanging="2520"/>
      </w:pPr>
      <w:rPr>
        <w:rFonts w:hint="default"/>
      </w:rPr>
    </w:lvl>
  </w:abstractNum>
  <w:num w:numId="1" w16cid:durableId="1694332917">
    <w:abstractNumId w:val="7"/>
  </w:num>
  <w:num w:numId="2" w16cid:durableId="1565480660">
    <w:abstractNumId w:val="2"/>
  </w:num>
  <w:num w:numId="3" w16cid:durableId="1480343746">
    <w:abstractNumId w:val="5"/>
  </w:num>
  <w:num w:numId="4" w16cid:durableId="141296463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39886401">
    <w:abstractNumId w:val="2"/>
  </w:num>
  <w:num w:numId="6" w16cid:durableId="2042588994">
    <w:abstractNumId w:val="17"/>
  </w:num>
  <w:num w:numId="7" w16cid:durableId="2077387099">
    <w:abstractNumId w:val="6"/>
  </w:num>
  <w:num w:numId="8" w16cid:durableId="1185753476">
    <w:abstractNumId w:val="16"/>
  </w:num>
  <w:num w:numId="9" w16cid:durableId="1790197799">
    <w:abstractNumId w:val="8"/>
  </w:num>
  <w:num w:numId="10" w16cid:durableId="1332758642">
    <w:abstractNumId w:val="15"/>
  </w:num>
  <w:num w:numId="11" w16cid:durableId="455612152">
    <w:abstractNumId w:val="9"/>
  </w:num>
  <w:num w:numId="12" w16cid:durableId="1026981774">
    <w:abstractNumId w:val="1"/>
  </w:num>
  <w:num w:numId="13" w16cid:durableId="1145589525">
    <w:abstractNumId w:val="4"/>
  </w:num>
  <w:num w:numId="14" w16cid:durableId="1662663217">
    <w:abstractNumId w:val="18"/>
  </w:num>
  <w:num w:numId="15" w16cid:durableId="1642491888">
    <w:abstractNumId w:val="13"/>
  </w:num>
  <w:num w:numId="16" w16cid:durableId="879248286">
    <w:abstractNumId w:val="0"/>
  </w:num>
  <w:num w:numId="17" w16cid:durableId="1845970461">
    <w:abstractNumId w:val="10"/>
  </w:num>
  <w:num w:numId="18" w16cid:durableId="860969092">
    <w:abstractNumId w:val="3"/>
  </w:num>
  <w:num w:numId="19" w16cid:durableId="270358296">
    <w:abstractNumId w:val="20"/>
  </w:num>
  <w:num w:numId="20" w16cid:durableId="1972400222">
    <w:abstractNumId w:val="19"/>
  </w:num>
  <w:num w:numId="21" w16cid:durableId="457532540">
    <w:abstractNumId w:val="11"/>
  </w:num>
  <w:num w:numId="22" w16cid:durableId="1396590181">
    <w:abstractNumId w:val="12"/>
  </w:num>
  <w:num w:numId="23" w16cid:durableId="31341251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2336"/>
    <w:rsid w:val="00082362"/>
    <w:rsid w:val="000A683E"/>
    <w:rsid w:val="000B19B9"/>
    <w:rsid w:val="000D0334"/>
    <w:rsid w:val="000F5928"/>
    <w:rsid w:val="000F6486"/>
    <w:rsid w:val="00107EBC"/>
    <w:rsid w:val="00125105"/>
    <w:rsid w:val="00127233"/>
    <w:rsid w:val="001511A0"/>
    <w:rsid w:val="001B4F7D"/>
    <w:rsid w:val="001E4177"/>
    <w:rsid w:val="001F7DC6"/>
    <w:rsid w:val="002421BB"/>
    <w:rsid w:val="0025796E"/>
    <w:rsid w:val="002707A2"/>
    <w:rsid w:val="00285D5C"/>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47B7E"/>
    <w:rsid w:val="005566E8"/>
    <w:rsid w:val="00574867"/>
    <w:rsid w:val="00591460"/>
    <w:rsid w:val="005B10A5"/>
    <w:rsid w:val="005B3816"/>
    <w:rsid w:val="005C3777"/>
    <w:rsid w:val="005C5CDC"/>
    <w:rsid w:val="005D476C"/>
    <w:rsid w:val="006219F8"/>
    <w:rsid w:val="00665D70"/>
    <w:rsid w:val="006900D9"/>
    <w:rsid w:val="00706C16"/>
    <w:rsid w:val="00756841"/>
    <w:rsid w:val="007649AB"/>
    <w:rsid w:val="00771D0C"/>
    <w:rsid w:val="007833AC"/>
    <w:rsid w:val="007B268C"/>
    <w:rsid w:val="007B7171"/>
    <w:rsid w:val="007C0C0F"/>
    <w:rsid w:val="007C2CE2"/>
    <w:rsid w:val="007C3DC2"/>
    <w:rsid w:val="007E5497"/>
    <w:rsid w:val="00806F5F"/>
    <w:rsid w:val="00820278"/>
    <w:rsid w:val="00867F95"/>
    <w:rsid w:val="008843B6"/>
    <w:rsid w:val="00891928"/>
    <w:rsid w:val="008A446D"/>
    <w:rsid w:val="008D180B"/>
    <w:rsid w:val="008F0EA7"/>
    <w:rsid w:val="00923EEF"/>
    <w:rsid w:val="009419F9"/>
    <w:rsid w:val="0095685E"/>
    <w:rsid w:val="00961B09"/>
    <w:rsid w:val="00965334"/>
    <w:rsid w:val="0097093E"/>
    <w:rsid w:val="00986AC5"/>
    <w:rsid w:val="009A0DFA"/>
    <w:rsid w:val="009B2D26"/>
    <w:rsid w:val="009C71FA"/>
    <w:rsid w:val="009C72E7"/>
    <w:rsid w:val="009D3058"/>
    <w:rsid w:val="009F3A13"/>
    <w:rsid w:val="00A02425"/>
    <w:rsid w:val="00A122D3"/>
    <w:rsid w:val="00A17F13"/>
    <w:rsid w:val="00A20739"/>
    <w:rsid w:val="00A33B88"/>
    <w:rsid w:val="00A33C78"/>
    <w:rsid w:val="00A47265"/>
    <w:rsid w:val="00A65F33"/>
    <w:rsid w:val="00AB0ADB"/>
    <w:rsid w:val="00B01B1A"/>
    <w:rsid w:val="00B66319"/>
    <w:rsid w:val="00B72CD3"/>
    <w:rsid w:val="00B72FFF"/>
    <w:rsid w:val="00BB5552"/>
    <w:rsid w:val="00BC3D36"/>
    <w:rsid w:val="00BD3A8E"/>
    <w:rsid w:val="00BD7F72"/>
    <w:rsid w:val="00C001DB"/>
    <w:rsid w:val="00C04FB3"/>
    <w:rsid w:val="00C12CCE"/>
    <w:rsid w:val="00C26076"/>
    <w:rsid w:val="00C330EB"/>
    <w:rsid w:val="00C41061"/>
    <w:rsid w:val="00C754BE"/>
    <w:rsid w:val="00C76B1C"/>
    <w:rsid w:val="00CB6357"/>
    <w:rsid w:val="00CC1B26"/>
    <w:rsid w:val="00D423A2"/>
    <w:rsid w:val="00D520D8"/>
    <w:rsid w:val="00D56237"/>
    <w:rsid w:val="00D63AC2"/>
    <w:rsid w:val="00D7383B"/>
    <w:rsid w:val="00D9431D"/>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D7384"/>
    <w:rsid w:val="00EE1AA8"/>
    <w:rsid w:val="00F31EDC"/>
    <w:rsid w:val="00F462B3"/>
    <w:rsid w:val="00F5664F"/>
    <w:rsid w:val="00F666C4"/>
    <w:rsid w:val="00F76AFC"/>
    <w:rsid w:val="00FA47C0"/>
    <w:rsid w:val="00FB5DD1"/>
    <w:rsid w:val="00FC2B5D"/>
    <w:rsid w:val="00FF1449"/>
    <w:rsid w:val="165E9519"/>
    <w:rsid w:val="382536D9"/>
    <w:rsid w:val="4DAB3770"/>
    <w:rsid w:val="61D5B768"/>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6237"/>
    <w:pPr>
      <w:spacing w:after="0"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80533">
      <w:bodyDiv w:val="1"/>
      <w:marLeft w:val="0"/>
      <w:marRight w:val="0"/>
      <w:marTop w:val="0"/>
      <w:marBottom w:val="0"/>
      <w:divBdr>
        <w:top w:val="none" w:sz="0" w:space="0" w:color="auto"/>
        <w:left w:val="none" w:sz="0" w:space="0" w:color="auto"/>
        <w:bottom w:val="none" w:sz="0" w:space="0" w:color="auto"/>
        <w:right w:val="none" w:sz="0" w:space="0" w:color="auto"/>
      </w:divBdr>
    </w:div>
    <w:div w:id="106239943">
      <w:bodyDiv w:val="1"/>
      <w:marLeft w:val="0"/>
      <w:marRight w:val="0"/>
      <w:marTop w:val="0"/>
      <w:marBottom w:val="0"/>
      <w:divBdr>
        <w:top w:val="none" w:sz="0" w:space="0" w:color="auto"/>
        <w:left w:val="none" w:sz="0" w:space="0" w:color="auto"/>
        <w:bottom w:val="none" w:sz="0" w:space="0" w:color="auto"/>
        <w:right w:val="none" w:sz="0" w:space="0" w:color="auto"/>
      </w:divBdr>
      <w:divsChild>
        <w:div w:id="253173244">
          <w:marLeft w:val="0"/>
          <w:marRight w:val="0"/>
          <w:marTop w:val="0"/>
          <w:marBottom w:val="0"/>
          <w:divBdr>
            <w:top w:val="none" w:sz="0" w:space="0" w:color="auto"/>
            <w:left w:val="none" w:sz="0" w:space="0" w:color="auto"/>
            <w:bottom w:val="none" w:sz="0" w:space="0" w:color="auto"/>
            <w:right w:val="none" w:sz="0" w:space="0" w:color="auto"/>
          </w:divBdr>
        </w:div>
        <w:div w:id="1441998438">
          <w:marLeft w:val="0"/>
          <w:marRight w:val="0"/>
          <w:marTop w:val="0"/>
          <w:marBottom w:val="0"/>
          <w:divBdr>
            <w:top w:val="none" w:sz="0" w:space="0" w:color="auto"/>
            <w:left w:val="none" w:sz="0" w:space="0" w:color="auto"/>
            <w:bottom w:val="none" w:sz="0" w:space="0" w:color="auto"/>
            <w:right w:val="none" w:sz="0" w:space="0" w:color="auto"/>
          </w:divBdr>
        </w:div>
        <w:div w:id="777607063">
          <w:marLeft w:val="0"/>
          <w:marRight w:val="0"/>
          <w:marTop w:val="0"/>
          <w:marBottom w:val="0"/>
          <w:divBdr>
            <w:top w:val="none" w:sz="0" w:space="0" w:color="auto"/>
            <w:left w:val="none" w:sz="0" w:space="0" w:color="auto"/>
            <w:bottom w:val="none" w:sz="0" w:space="0" w:color="auto"/>
            <w:right w:val="none" w:sz="0" w:space="0" w:color="auto"/>
          </w:divBdr>
        </w:div>
        <w:div w:id="1281961902">
          <w:marLeft w:val="0"/>
          <w:marRight w:val="0"/>
          <w:marTop w:val="0"/>
          <w:marBottom w:val="0"/>
          <w:divBdr>
            <w:top w:val="none" w:sz="0" w:space="0" w:color="auto"/>
            <w:left w:val="none" w:sz="0" w:space="0" w:color="auto"/>
            <w:bottom w:val="none" w:sz="0" w:space="0" w:color="auto"/>
            <w:right w:val="none" w:sz="0" w:space="0" w:color="auto"/>
          </w:divBdr>
        </w:div>
        <w:div w:id="1266107905">
          <w:marLeft w:val="0"/>
          <w:marRight w:val="0"/>
          <w:marTop w:val="0"/>
          <w:marBottom w:val="0"/>
          <w:divBdr>
            <w:top w:val="none" w:sz="0" w:space="0" w:color="auto"/>
            <w:left w:val="none" w:sz="0" w:space="0" w:color="auto"/>
            <w:bottom w:val="none" w:sz="0" w:space="0" w:color="auto"/>
            <w:right w:val="none" w:sz="0" w:space="0" w:color="auto"/>
          </w:divBdr>
        </w:div>
        <w:div w:id="580407890">
          <w:marLeft w:val="0"/>
          <w:marRight w:val="0"/>
          <w:marTop w:val="0"/>
          <w:marBottom w:val="0"/>
          <w:divBdr>
            <w:top w:val="none" w:sz="0" w:space="0" w:color="auto"/>
            <w:left w:val="none" w:sz="0" w:space="0" w:color="auto"/>
            <w:bottom w:val="none" w:sz="0" w:space="0" w:color="auto"/>
            <w:right w:val="none" w:sz="0" w:space="0" w:color="auto"/>
          </w:divBdr>
        </w:div>
        <w:div w:id="1083376119">
          <w:marLeft w:val="0"/>
          <w:marRight w:val="0"/>
          <w:marTop w:val="0"/>
          <w:marBottom w:val="0"/>
          <w:divBdr>
            <w:top w:val="none" w:sz="0" w:space="0" w:color="auto"/>
            <w:left w:val="none" w:sz="0" w:space="0" w:color="auto"/>
            <w:bottom w:val="none" w:sz="0" w:space="0" w:color="auto"/>
            <w:right w:val="none" w:sz="0" w:space="0" w:color="auto"/>
          </w:divBdr>
        </w:div>
        <w:div w:id="1466200450">
          <w:marLeft w:val="0"/>
          <w:marRight w:val="0"/>
          <w:marTop w:val="0"/>
          <w:marBottom w:val="0"/>
          <w:divBdr>
            <w:top w:val="none" w:sz="0" w:space="0" w:color="auto"/>
            <w:left w:val="none" w:sz="0" w:space="0" w:color="auto"/>
            <w:bottom w:val="none" w:sz="0" w:space="0" w:color="auto"/>
            <w:right w:val="none" w:sz="0" w:space="0" w:color="auto"/>
          </w:divBdr>
        </w:div>
        <w:div w:id="1087312549">
          <w:marLeft w:val="0"/>
          <w:marRight w:val="0"/>
          <w:marTop w:val="0"/>
          <w:marBottom w:val="0"/>
          <w:divBdr>
            <w:top w:val="none" w:sz="0" w:space="0" w:color="auto"/>
            <w:left w:val="none" w:sz="0" w:space="0" w:color="auto"/>
            <w:bottom w:val="none" w:sz="0" w:space="0" w:color="auto"/>
            <w:right w:val="none" w:sz="0" w:space="0" w:color="auto"/>
          </w:divBdr>
        </w:div>
        <w:div w:id="1478647657">
          <w:marLeft w:val="0"/>
          <w:marRight w:val="0"/>
          <w:marTop w:val="0"/>
          <w:marBottom w:val="0"/>
          <w:divBdr>
            <w:top w:val="none" w:sz="0" w:space="0" w:color="auto"/>
            <w:left w:val="none" w:sz="0" w:space="0" w:color="auto"/>
            <w:bottom w:val="none" w:sz="0" w:space="0" w:color="auto"/>
            <w:right w:val="none" w:sz="0" w:space="0" w:color="auto"/>
          </w:divBdr>
        </w:div>
        <w:div w:id="1671330410">
          <w:marLeft w:val="0"/>
          <w:marRight w:val="0"/>
          <w:marTop w:val="120"/>
          <w:marBottom w:val="0"/>
          <w:divBdr>
            <w:top w:val="none" w:sz="0" w:space="0" w:color="auto"/>
            <w:left w:val="none" w:sz="0" w:space="0" w:color="auto"/>
            <w:bottom w:val="none" w:sz="0" w:space="0" w:color="auto"/>
            <w:right w:val="none" w:sz="0" w:space="0" w:color="auto"/>
          </w:divBdr>
        </w:div>
        <w:div w:id="1807238242">
          <w:marLeft w:val="0"/>
          <w:marRight w:val="0"/>
          <w:marTop w:val="120"/>
          <w:marBottom w:val="0"/>
          <w:divBdr>
            <w:top w:val="none" w:sz="0" w:space="0" w:color="auto"/>
            <w:left w:val="none" w:sz="0" w:space="0" w:color="auto"/>
            <w:bottom w:val="none" w:sz="0" w:space="0" w:color="auto"/>
            <w:right w:val="none" w:sz="0" w:space="0" w:color="auto"/>
          </w:divBdr>
        </w:div>
        <w:div w:id="4285264">
          <w:marLeft w:val="0"/>
          <w:marRight w:val="0"/>
          <w:marTop w:val="120"/>
          <w:marBottom w:val="0"/>
          <w:divBdr>
            <w:top w:val="none" w:sz="0" w:space="0" w:color="auto"/>
            <w:left w:val="none" w:sz="0" w:space="0" w:color="auto"/>
            <w:bottom w:val="none" w:sz="0" w:space="0" w:color="auto"/>
            <w:right w:val="none" w:sz="0" w:space="0" w:color="auto"/>
          </w:divBdr>
        </w:div>
        <w:div w:id="559705866">
          <w:marLeft w:val="0"/>
          <w:marRight w:val="0"/>
          <w:marTop w:val="120"/>
          <w:marBottom w:val="0"/>
          <w:divBdr>
            <w:top w:val="none" w:sz="0" w:space="0" w:color="auto"/>
            <w:left w:val="none" w:sz="0" w:space="0" w:color="auto"/>
            <w:bottom w:val="none" w:sz="0" w:space="0" w:color="auto"/>
            <w:right w:val="none" w:sz="0" w:space="0" w:color="auto"/>
          </w:divBdr>
        </w:div>
        <w:div w:id="133256165">
          <w:marLeft w:val="0"/>
          <w:marRight w:val="0"/>
          <w:marTop w:val="120"/>
          <w:marBottom w:val="0"/>
          <w:divBdr>
            <w:top w:val="none" w:sz="0" w:space="0" w:color="auto"/>
            <w:left w:val="none" w:sz="0" w:space="0" w:color="auto"/>
            <w:bottom w:val="none" w:sz="0" w:space="0" w:color="auto"/>
            <w:right w:val="none" w:sz="0" w:space="0" w:color="auto"/>
          </w:divBdr>
        </w:div>
        <w:div w:id="476998700">
          <w:marLeft w:val="0"/>
          <w:marRight w:val="0"/>
          <w:marTop w:val="120"/>
          <w:marBottom w:val="0"/>
          <w:divBdr>
            <w:top w:val="none" w:sz="0" w:space="0" w:color="auto"/>
            <w:left w:val="none" w:sz="0" w:space="0" w:color="auto"/>
            <w:bottom w:val="none" w:sz="0" w:space="0" w:color="auto"/>
            <w:right w:val="none" w:sz="0" w:space="0" w:color="auto"/>
          </w:divBdr>
        </w:div>
        <w:div w:id="1763070405">
          <w:marLeft w:val="0"/>
          <w:marRight w:val="0"/>
          <w:marTop w:val="0"/>
          <w:marBottom w:val="0"/>
          <w:divBdr>
            <w:top w:val="none" w:sz="0" w:space="0" w:color="auto"/>
            <w:left w:val="none" w:sz="0" w:space="0" w:color="auto"/>
            <w:bottom w:val="none" w:sz="0" w:space="0" w:color="auto"/>
            <w:right w:val="none" w:sz="0" w:space="0" w:color="auto"/>
          </w:divBdr>
        </w:div>
        <w:div w:id="576986610">
          <w:marLeft w:val="0"/>
          <w:marRight w:val="0"/>
          <w:marTop w:val="0"/>
          <w:marBottom w:val="0"/>
          <w:divBdr>
            <w:top w:val="none" w:sz="0" w:space="0" w:color="auto"/>
            <w:left w:val="none" w:sz="0" w:space="0" w:color="auto"/>
            <w:bottom w:val="none" w:sz="0" w:space="0" w:color="auto"/>
            <w:right w:val="none" w:sz="0" w:space="0" w:color="auto"/>
          </w:divBdr>
        </w:div>
        <w:div w:id="1673217272">
          <w:marLeft w:val="0"/>
          <w:marRight w:val="0"/>
          <w:marTop w:val="120"/>
          <w:marBottom w:val="0"/>
          <w:divBdr>
            <w:top w:val="none" w:sz="0" w:space="0" w:color="auto"/>
            <w:left w:val="none" w:sz="0" w:space="0" w:color="auto"/>
            <w:bottom w:val="none" w:sz="0" w:space="0" w:color="auto"/>
            <w:right w:val="none" w:sz="0" w:space="0" w:color="auto"/>
          </w:divBdr>
        </w:div>
        <w:div w:id="170025060">
          <w:marLeft w:val="0"/>
          <w:marRight w:val="0"/>
          <w:marTop w:val="12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2857301">
      <w:bodyDiv w:val="1"/>
      <w:marLeft w:val="0"/>
      <w:marRight w:val="0"/>
      <w:marTop w:val="0"/>
      <w:marBottom w:val="0"/>
      <w:divBdr>
        <w:top w:val="none" w:sz="0" w:space="0" w:color="auto"/>
        <w:left w:val="none" w:sz="0" w:space="0" w:color="auto"/>
        <w:bottom w:val="none" w:sz="0" w:space="0" w:color="auto"/>
        <w:right w:val="none" w:sz="0" w:space="0" w:color="auto"/>
      </w:divBdr>
    </w:div>
    <w:div w:id="1544559189">
      <w:bodyDiv w:val="1"/>
      <w:marLeft w:val="0"/>
      <w:marRight w:val="0"/>
      <w:marTop w:val="0"/>
      <w:marBottom w:val="0"/>
      <w:divBdr>
        <w:top w:val="none" w:sz="0" w:space="0" w:color="auto"/>
        <w:left w:val="none" w:sz="0" w:space="0" w:color="auto"/>
        <w:bottom w:val="none" w:sz="0" w:space="0" w:color="auto"/>
        <w:right w:val="none" w:sz="0" w:space="0" w:color="auto"/>
      </w:divBdr>
      <w:divsChild>
        <w:div w:id="704717324">
          <w:marLeft w:val="0"/>
          <w:marRight w:val="0"/>
          <w:marTop w:val="0"/>
          <w:marBottom w:val="0"/>
          <w:divBdr>
            <w:top w:val="none" w:sz="0" w:space="0" w:color="auto"/>
            <w:left w:val="none" w:sz="0" w:space="0" w:color="auto"/>
            <w:bottom w:val="none" w:sz="0" w:space="0" w:color="auto"/>
            <w:right w:val="none" w:sz="0" w:space="0" w:color="auto"/>
          </w:divBdr>
        </w:div>
        <w:div w:id="1220897586">
          <w:marLeft w:val="0"/>
          <w:marRight w:val="0"/>
          <w:marTop w:val="0"/>
          <w:marBottom w:val="0"/>
          <w:divBdr>
            <w:top w:val="none" w:sz="0" w:space="0" w:color="auto"/>
            <w:left w:val="none" w:sz="0" w:space="0" w:color="auto"/>
            <w:bottom w:val="none" w:sz="0" w:space="0" w:color="auto"/>
            <w:right w:val="none" w:sz="0" w:space="0" w:color="auto"/>
          </w:divBdr>
        </w:div>
        <w:div w:id="50884144">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normativa-y-relatoria/documentos-tip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felipebonilla@gmail.com" TargetMode="External"/><Relationship Id="rId5" Type="http://schemas.openxmlformats.org/officeDocument/2006/relationships/styles" Target="styles.xml"/><Relationship Id="rId15" Type="http://schemas.openxmlformats.org/officeDocument/2006/relationships/image" Target="media/image3.jpe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F7A3D3A-9C03-4FFE-BA09-79F4FA8C89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www.w3.org/XML/1998/namespace"/>
    <ds:schemaRef ds:uri="9d85dbaf-23eb-4e57-a637-93dcacc8b1a1"/>
    <ds:schemaRef ds:uri="a6cb9e4b-f1d1-4245-83ec-6cad768d538a"/>
    <ds:schemaRef ds:uri="http://schemas.microsoft.com/office/2006/documentManagement/types"/>
    <ds:schemaRef ds:uri="http://schemas.openxmlformats.org/package/2006/metadata/core-properties"/>
    <ds:schemaRef ds:uri="http://purl.org/dc/dcmitype/"/>
    <ds:schemaRef ds:uri="http://purl.org/dc/elements/1.1/"/>
    <ds:schemaRef ds:uri="http://purl.org/dc/terms/"/>
    <ds:schemaRef ds:uri="http://schemas.microsoft.com/office/infopath/2007/PartnerControls"/>
    <ds:schemaRef ds:uri="http://schemas.microsoft.com/office/2006/metadata/propertie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18</Pages>
  <Words>5455</Words>
  <Characters>30008</Characters>
  <Application>Microsoft Office Word</Application>
  <DocSecurity>0</DocSecurity>
  <Lines>250</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2025-10-10T16:31:00Z</dcterms:created>
  <dcterms:modified xsi:type="dcterms:W3CDTF">2025-10-10T16:31:00Z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