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A0530A" w14:textId="77777777" w:rsidR="0037437B" w:rsidRPr="0037437B" w:rsidRDefault="0037437B" w:rsidP="0037437B">
      <w:pPr>
        <w:spacing w:after="0"/>
        <w:jc w:val="both"/>
        <w:rPr>
          <w:rFonts w:ascii="Verdana" w:hAnsi="Verdana" w:cs="Arial"/>
          <w:b/>
          <w:bCs/>
          <w:color w:val="000000" w:themeColor="text1"/>
          <w:lang w:val="es-ES"/>
        </w:rPr>
      </w:pPr>
      <w:bookmarkStart w:id="0" w:name="_Hlk143780582"/>
      <w:r w:rsidRPr="0037437B">
        <w:rPr>
          <w:rFonts w:ascii="Verdana" w:hAnsi="Verdana" w:cs="Arial"/>
          <w:b/>
          <w:bCs/>
          <w:color w:val="000000" w:themeColor="text1"/>
          <w:lang w:val="es-ES"/>
        </w:rPr>
        <w:t xml:space="preserve">PRINCIPIO DE ANUALIDAD – Fundamento </w:t>
      </w:r>
    </w:p>
    <w:p w14:paraId="3A9D50F7" w14:textId="31260503" w:rsidR="0037437B" w:rsidRDefault="0037437B" w:rsidP="0037437B">
      <w:pPr>
        <w:spacing w:after="0"/>
        <w:jc w:val="both"/>
        <w:rPr>
          <w:rFonts w:ascii="Verdana" w:hAnsi="Verdana" w:cs="Arial"/>
          <w:b/>
          <w:bCs/>
          <w:color w:val="000000" w:themeColor="text1"/>
          <w:lang w:val="es-ES"/>
        </w:rPr>
      </w:pPr>
    </w:p>
    <w:p w14:paraId="6F60A12B" w14:textId="77777777" w:rsidR="0037437B" w:rsidRDefault="0037437B" w:rsidP="0037437B">
      <w:pPr>
        <w:spacing w:after="0"/>
        <w:jc w:val="both"/>
        <w:rPr>
          <w:rFonts w:ascii="Verdana" w:hAnsi="Verdana" w:cs="Arial"/>
          <w:bCs/>
          <w:color w:val="000000" w:themeColor="text1"/>
          <w:sz w:val="20"/>
          <w:lang w:val="es-ES_tradnl"/>
        </w:rPr>
      </w:pPr>
      <w:r>
        <w:rPr>
          <w:rFonts w:ascii="Verdana" w:hAnsi="Verdana" w:cs="Arial"/>
          <w:bCs/>
          <w:color w:val="000000" w:themeColor="text1"/>
          <w:sz w:val="20"/>
          <w:lang w:val="es-ES_tradnl"/>
        </w:rPr>
        <w:t xml:space="preserve">[…] </w:t>
      </w:r>
      <w:r w:rsidRPr="0037437B">
        <w:rPr>
          <w:rFonts w:ascii="Verdana" w:hAnsi="Verdana" w:cs="Arial"/>
          <w:bCs/>
          <w:color w:val="000000" w:themeColor="text1"/>
          <w:sz w:val="20"/>
          <w:lang w:val="es-ES_tradnl"/>
        </w:rPr>
        <w:t>el Estatuto Orgánico del Presupuesto consagra este principio en el artículo 14 consistente en que “Después del 31 de diciembre no podrán asumirse compromisos con cargo a las apropiaciones del año fiscal que se cierra en esa fecha y los saldos de apropiación no afectados por compromisos caducarán sin excepción”. Es decir, los gastos previstos en el presupuesto anual deben ejecutarse dentro de una vigencia fiscal comprendida entre el 1 de enero y el 31 de diciembre.</w:t>
      </w:r>
      <w:r w:rsidRPr="0037437B">
        <w:rPr>
          <w:rFonts w:ascii="Verdana" w:hAnsi="Verdana" w:cs="Arial"/>
          <w:bCs/>
          <w:color w:val="000000" w:themeColor="text1"/>
          <w:sz w:val="20"/>
        </w:rPr>
        <w:t xml:space="preserve"> En el mismo sentido, </w:t>
      </w:r>
      <w:r w:rsidRPr="0037437B">
        <w:rPr>
          <w:rFonts w:ascii="Verdana" w:hAnsi="Verdana" w:cs="Arial"/>
          <w:bCs/>
          <w:color w:val="000000" w:themeColor="text1"/>
          <w:sz w:val="20"/>
          <w:lang w:val="es-ES_tradnl"/>
        </w:rPr>
        <w:t xml:space="preserve">el artículo 89 </w:t>
      </w:r>
      <w:r w:rsidRPr="0037437B">
        <w:rPr>
          <w:rFonts w:ascii="Verdana" w:hAnsi="Verdana" w:cs="Arial"/>
          <w:bCs/>
          <w:i/>
          <w:iCs/>
          <w:color w:val="000000" w:themeColor="text1"/>
          <w:sz w:val="20"/>
          <w:lang w:val="es-ES_tradnl"/>
        </w:rPr>
        <w:t>ibidem</w:t>
      </w:r>
      <w:r w:rsidRPr="0037437B">
        <w:rPr>
          <w:rFonts w:ascii="Verdana" w:hAnsi="Verdana" w:cs="Arial"/>
          <w:bCs/>
          <w:color w:val="000000" w:themeColor="text1"/>
          <w:sz w:val="20"/>
          <w:lang w:val="es-ES_tradnl"/>
        </w:rPr>
        <w:t xml:space="preserve"> consolida al principio de anualidad como regla general en la ejecución del gasto al establecer que “las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w:t>
      </w:r>
      <w:proofErr w:type="spellStart"/>
      <w:r w:rsidRPr="0037437B">
        <w:rPr>
          <w:rFonts w:ascii="Verdana" w:hAnsi="Verdana" w:cs="Arial"/>
          <w:bCs/>
          <w:color w:val="000000" w:themeColor="text1"/>
          <w:sz w:val="20"/>
          <w:lang w:val="es-ES_tradnl"/>
        </w:rPr>
        <w:t>contracreditarse</w:t>
      </w:r>
      <w:proofErr w:type="spellEnd"/>
      <w:r w:rsidRPr="0037437B">
        <w:rPr>
          <w:rFonts w:ascii="Verdana" w:hAnsi="Verdana" w:cs="Arial"/>
          <w:bCs/>
          <w:color w:val="000000" w:themeColor="text1"/>
          <w:sz w:val="20"/>
          <w:lang w:val="es-ES_tradnl"/>
        </w:rPr>
        <w:t>”.</w:t>
      </w:r>
    </w:p>
    <w:p w14:paraId="04F313DF" w14:textId="222E9040" w:rsidR="0037437B" w:rsidRPr="0037437B" w:rsidRDefault="0037437B" w:rsidP="0037437B">
      <w:pPr>
        <w:spacing w:after="0"/>
        <w:jc w:val="both"/>
        <w:rPr>
          <w:rFonts w:ascii="Verdana" w:hAnsi="Verdana" w:cs="Arial"/>
          <w:bCs/>
          <w:color w:val="000000" w:themeColor="text1"/>
          <w:sz w:val="20"/>
          <w:lang w:val="es-ES_tradnl"/>
        </w:rPr>
      </w:pPr>
      <w:r w:rsidRPr="0037437B">
        <w:rPr>
          <w:rFonts w:ascii="Verdana" w:hAnsi="Verdana" w:cs="Arial"/>
          <w:bCs/>
          <w:color w:val="000000" w:themeColor="text1"/>
          <w:sz w:val="20"/>
          <w:lang w:val="es-ES_tradnl"/>
        </w:rPr>
        <w:t xml:space="preserve"> </w:t>
      </w:r>
    </w:p>
    <w:p w14:paraId="7C4E00B0" w14:textId="77777777" w:rsidR="0037437B" w:rsidRPr="0037437B" w:rsidRDefault="0037437B" w:rsidP="0037437B">
      <w:pPr>
        <w:spacing w:after="0"/>
        <w:jc w:val="both"/>
        <w:rPr>
          <w:rFonts w:ascii="Verdana" w:hAnsi="Verdana" w:cs="Arial"/>
          <w:bCs/>
          <w:color w:val="000000" w:themeColor="text1"/>
          <w:sz w:val="20"/>
          <w:lang w:val="es-ES_tradnl"/>
        </w:rPr>
      </w:pPr>
      <w:r w:rsidRPr="0037437B">
        <w:rPr>
          <w:rFonts w:ascii="Verdana" w:hAnsi="Verdana" w:cs="Arial"/>
          <w:bCs/>
          <w:color w:val="000000" w:themeColor="text1"/>
          <w:sz w:val="20"/>
          <w:lang w:val="es-ES_tradnl"/>
        </w:rPr>
        <w:t>A su turno, el artículo 8 de la Ley 819 de 2003 consagra el principio de anualidad al disponer que “l</w:t>
      </w:r>
      <w:r w:rsidRPr="0037437B">
        <w:rPr>
          <w:rFonts w:ascii="Verdana" w:hAnsi="Verdana" w:cs="Arial"/>
          <w:bCs/>
          <w:color w:val="000000" w:themeColor="text1"/>
          <w:sz w:val="20"/>
        </w:rPr>
        <w:t>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1A9B068E" w14:textId="77777777" w:rsidR="0037437B" w:rsidRPr="0037437B" w:rsidRDefault="0037437B" w:rsidP="0037437B">
      <w:pPr>
        <w:spacing w:after="0"/>
        <w:jc w:val="both"/>
        <w:rPr>
          <w:rFonts w:ascii="Verdana" w:hAnsi="Verdana" w:cs="Arial"/>
          <w:b/>
          <w:bCs/>
          <w:color w:val="000000" w:themeColor="text1"/>
          <w:lang w:val="es-ES_tradnl"/>
        </w:rPr>
      </w:pPr>
    </w:p>
    <w:p w14:paraId="1D446601" w14:textId="77777777" w:rsidR="0037437B" w:rsidRPr="0037437B" w:rsidRDefault="0037437B" w:rsidP="0037437B">
      <w:pPr>
        <w:spacing w:after="0"/>
        <w:jc w:val="both"/>
        <w:rPr>
          <w:rFonts w:ascii="Verdana" w:hAnsi="Verdana" w:cs="Arial"/>
          <w:b/>
          <w:lang w:val="es-ES" w:eastAsia="es-ES"/>
        </w:rPr>
      </w:pPr>
      <w:r w:rsidRPr="0037437B">
        <w:rPr>
          <w:rFonts w:ascii="Verdana" w:hAnsi="Verdana" w:cs="Arial"/>
          <w:b/>
          <w:bCs/>
          <w:color w:val="000000" w:themeColor="text1"/>
          <w:lang w:val="es-ES"/>
        </w:rPr>
        <w:t>PRINCIPIO DE ANUALIDAD</w:t>
      </w:r>
      <w:r w:rsidRPr="0037437B">
        <w:rPr>
          <w:rFonts w:ascii="Verdana" w:hAnsi="Verdana" w:cs="Arial"/>
          <w:b/>
          <w:lang w:val="es-ES" w:eastAsia="es-ES"/>
        </w:rPr>
        <w:t xml:space="preserve"> – Excepciones </w:t>
      </w:r>
    </w:p>
    <w:p w14:paraId="3CA9F55B" w14:textId="77777777" w:rsidR="0037437B" w:rsidRPr="0037437B" w:rsidRDefault="0037437B" w:rsidP="0037437B">
      <w:pPr>
        <w:spacing w:after="0"/>
        <w:jc w:val="both"/>
        <w:rPr>
          <w:rFonts w:ascii="Verdana" w:hAnsi="Verdana" w:cs="Arial"/>
          <w:b/>
          <w:lang w:val="es-ES" w:eastAsia="es-ES"/>
        </w:rPr>
      </w:pPr>
    </w:p>
    <w:p w14:paraId="0BB5B6F7" w14:textId="072443E1" w:rsidR="0037437B" w:rsidRPr="0037437B" w:rsidRDefault="0037437B" w:rsidP="0037437B">
      <w:pPr>
        <w:spacing w:after="0"/>
        <w:jc w:val="both"/>
        <w:rPr>
          <w:rFonts w:ascii="Verdana" w:hAnsi="Verdana" w:cs="Arial"/>
          <w:sz w:val="20"/>
          <w:lang w:val="es-ES_tradnl" w:eastAsia="es-ES"/>
        </w:rPr>
      </w:pPr>
      <w:r w:rsidRPr="0037437B">
        <w:rPr>
          <w:rFonts w:ascii="Verdana" w:hAnsi="Verdana" w:cs="Arial"/>
          <w:sz w:val="20"/>
          <w:lang w:val="es-ES_tradnl" w:eastAsia="es-ES"/>
        </w:rPr>
        <w:t xml:space="preserve">Dentro de los mecanismos presupuestales que constituyen excepciones al principio de anualidad se identifican: i) las vigencias futuras, </w:t>
      </w:r>
      <w:proofErr w:type="spellStart"/>
      <w:r w:rsidRPr="0037437B">
        <w:rPr>
          <w:rFonts w:ascii="Verdana" w:hAnsi="Verdana" w:cs="Arial"/>
          <w:sz w:val="20"/>
          <w:lang w:val="es-ES_tradnl" w:eastAsia="es-ES"/>
        </w:rPr>
        <w:t>ii</w:t>
      </w:r>
      <w:proofErr w:type="spellEnd"/>
      <w:r w:rsidRPr="0037437B">
        <w:rPr>
          <w:rFonts w:ascii="Verdana" w:hAnsi="Verdana" w:cs="Arial"/>
          <w:sz w:val="20"/>
          <w:lang w:val="es-ES_tradnl" w:eastAsia="es-ES"/>
        </w:rPr>
        <w:t xml:space="preserve">) las cuentas por pagar y </w:t>
      </w:r>
      <w:proofErr w:type="spellStart"/>
      <w:r w:rsidRPr="0037437B">
        <w:rPr>
          <w:rFonts w:ascii="Verdana" w:hAnsi="Verdana" w:cs="Arial"/>
          <w:sz w:val="20"/>
          <w:lang w:val="es-ES_tradnl" w:eastAsia="es-ES"/>
        </w:rPr>
        <w:t>iii</w:t>
      </w:r>
      <w:proofErr w:type="spellEnd"/>
      <w:r w:rsidRPr="0037437B">
        <w:rPr>
          <w:rFonts w:ascii="Verdana" w:hAnsi="Verdana" w:cs="Arial"/>
          <w:sz w:val="20"/>
          <w:lang w:val="es-ES_tradnl" w:eastAsia="es-ES"/>
        </w:rPr>
        <w:t xml:space="preserve">) las reservas presupuestales. Las </w:t>
      </w:r>
      <w:r w:rsidRPr="0037437B">
        <w:rPr>
          <w:rFonts w:ascii="Verdana" w:hAnsi="Verdana" w:cs="Arial"/>
          <w:i/>
          <w:iCs/>
          <w:sz w:val="20"/>
          <w:lang w:val="es-ES_tradnl" w:eastAsia="es-ES"/>
        </w:rPr>
        <w:t>primeras</w:t>
      </w:r>
      <w:r w:rsidRPr="0037437B">
        <w:rPr>
          <w:rFonts w:ascii="Verdana" w:hAnsi="Verdana" w:cs="Arial"/>
          <w:sz w:val="20"/>
          <w:lang w:val="es-ES_tradnl" w:eastAsia="es-ES"/>
        </w:rPr>
        <w:t>, de conformidad con el artículo 23 del Estatuto Orgánico del Presupuesto</w:t>
      </w:r>
      <w:r w:rsidRPr="0037437B">
        <w:rPr>
          <w:rFonts w:ascii="Verdana" w:hAnsi="Verdana" w:cs="Arial"/>
          <w:i/>
          <w:iCs/>
          <w:sz w:val="20"/>
          <w:lang w:val="es-ES_tradnl" w:eastAsia="es-ES"/>
        </w:rPr>
        <w:t xml:space="preserve">, </w:t>
      </w:r>
      <w:r w:rsidRPr="0037437B">
        <w:rPr>
          <w:rFonts w:ascii="Verdana" w:hAnsi="Verdana" w:cs="Arial"/>
          <w:sz w:val="20"/>
          <w:lang w:val="es-ES_tradnl" w:eastAsia="es-ES"/>
        </w:rPr>
        <w:t>se</w:t>
      </w:r>
      <w:r w:rsidRPr="0037437B">
        <w:rPr>
          <w:rFonts w:ascii="Verdana" w:hAnsi="Verdana" w:cs="Arial"/>
          <w:i/>
          <w:iCs/>
          <w:sz w:val="20"/>
          <w:lang w:val="es-ES_tradnl" w:eastAsia="es-ES"/>
        </w:rPr>
        <w:t xml:space="preserve"> </w:t>
      </w:r>
      <w:r w:rsidRPr="0037437B">
        <w:rPr>
          <w:rFonts w:ascii="Verdana" w:hAnsi="Verdana" w:cs="Arial"/>
          <w:sz w:val="20"/>
          <w:lang w:val="es-ES_tradnl" w:eastAsia="es-ES"/>
        </w:rPr>
        <w:t>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institución el Consejo de Estado precisó que “</w:t>
      </w:r>
      <w:r w:rsidRPr="0037437B">
        <w:rPr>
          <w:rFonts w:ascii="Verdana" w:hAnsi="Verdana" w:cs="Arial"/>
          <w:sz w:val="20"/>
          <w:lang w:eastAsia="es-ES"/>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37437B">
        <w:rPr>
          <w:rFonts w:ascii="Verdana" w:hAnsi="Verdana" w:cs="Arial"/>
          <w:sz w:val="20"/>
          <w:lang w:val="es-ES_tradnl" w:eastAsia="es-ES"/>
        </w:rPr>
        <w:t xml:space="preserve">. </w:t>
      </w:r>
    </w:p>
    <w:p w14:paraId="486B4ABA" w14:textId="77777777" w:rsidR="0037437B" w:rsidRPr="0037437B" w:rsidRDefault="0037437B" w:rsidP="0037437B">
      <w:pPr>
        <w:spacing w:after="0"/>
        <w:jc w:val="both"/>
        <w:rPr>
          <w:rFonts w:ascii="Verdana" w:hAnsi="Verdana" w:cs="Arial"/>
          <w:b/>
          <w:lang w:val="es-ES_tradnl" w:eastAsia="es-ES"/>
        </w:rPr>
      </w:pPr>
    </w:p>
    <w:p w14:paraId="183D8854" w14:textId="5C6714AA" w:rsidR="0037437B" w:rsidRPr="0037437B" w:rsidRDefault="0037437B" w:rsidP="0037437B">
      <w:pPr>
        <w:spacing w:after="0"/>
        <w:jc w:val="both"/>
        <w:rPr>
          <w:rFonts w:ascii="Verdana" w:hAnsi="Verdana" w:cs="Arial"/>
          <w:b/>
          <w:lang w:val="es-ES" w:eastAsia="es-ES"/>
        </w:rPr>
      </w:pPr>
      <w:r w:rsidRPr="0037437B">
        <w:rPr>
          <w:rFonts w:ascii="Verdana" w:hAnsi="Verdana" w:cs="Arial"/>
          <w:b/>
          <w:lang w:val="es-ES" w:eastAsia="es-ES"/>
        </w:rPr>
        <w:t xml:space="preserve">VIGENCIAS FUTURAS – Tipos </w:t>
      </w:r>
    </w:p>
    <w:p w14:paraId="799092B9" w14:textId="62DE6A4F" w:rsidR="0037437B" w:rsidRDefault="0037437B" w:rsidP="0037437B">
      <w:pPr>
        <w:spacing w:after="0"/>
        <w:jc w:val="both"/>
        <w:rPr>
          <w:rFonts w:ascii="Verdana" w:hAnsi="Verdana" w:cs="Arial"/>
          <w:lang w:val="es-ES" w:eastAsia="es-ES"/>
        </w:rPr>
      </w:pPr>
    </w:p>
    <w:p w14:paraId="06A8D49A" w14:textId="4EFA7360" w:rsidR="0037437B" w:rsidRPr="0037437B" w:rsidRDefault="0037437B" w:rsidP="0037437B">
      <w:pPr>
        <w:spacing w:after="0" w:line="240" w:lineRule="auto"/>
        <w:jc w:val="both"/>
        <w:rPr>
          <w:rFonts w:ascii="Verdana" w:hAnsi="Verdana" w:cs="Arial"/>
          <w:sz w:val="20"/>
          <w:lang w:eastAsia="es-ES"/>
        </w:rPr>
      </w:pPr>
      <w:r w:rsidRPr="0037437B">
        <w:rPr>
          <w:rFonts w:ascii="Verdana" w:hAnsi="Verdana" w:cs="Arial"/>
          <w:sz w:val="20"/>
          <w:lang w:eastAsia="es-ES"/>
        </w:rPr>
        <w:t xml:space="preserve">La Ley 813 de 2003 establece en sus artículos 10° y 11° dos tipos de vigencias futuras: i) las vigencias futuras ordinarias, según la cual el Consejo Superior de Política Fiscal – </w:t>
      </w:r>
      <w:proofErr w:type="spellStart"/>
      <w:r w:rsidRPr="0037437B">
        <w:rPr>
          <w:rFonts w:ascii="Verdana" w:hAnsi="Verdana" w:cs="Arial"/>
          <w:sz w:val="20"/>
          <w:lang w:eastAsia="es-ES"/>
        </w:rPr>
        <w:t>Confis</w:t>
      </w:r>
      <w:proofErr w:type="spellEnd"/>
      <w:r w:rsidRPr="0037437B">
        <w:rPr>
          <w:rFonts w:ascii="Verdana" w:hAnsi="Verdana" w:cs="Arial"/>
          <w:sz w:val="20"/>
          <w:lang w:eastAsia="es-ES"/>
        </w:rPr>
        <w:t xml:space="preserve">, podrá autorizar la asunción de obligaciones que afecten presupuestos de </w:t>
      </w:r>
      <w:r w:rsidRPr="0037437B">
        <w:rPr>
          <w:rFonts w:ascii="Verdana" w:hAnsi="Verdana" w:cs="Arial"/>
          <w:sz w:val="20"/>
          <w:lang w:eastAsia="es-ES"/>
        </w:rPr>
        <w:lastRenderedPageBreak/>
        <w:t xml:space="preserve">vigencias futuras cuando su ejecución se inicie con presupuesto de la vigencia en curso y el objeto del compromiso se lleve a cabo en cada una de ellas siempre y cuando se cumplan los prepuestos señalados en la norma. Y, </w:t>
      </w:r>
      <w:proofErr w:type="spellStart"/>
      <w:r w:rsidRPr="0037437B">
        <w:rPr>
          <w:rFonts w:ascii="Verdana" w:hAnsi="Verdana" w:cs="Arial"/>
          <w:sz w:val="20"/>
          <w:lang w:eastAsia="es-ES"/>
        </w:rPr>
        <w:t>ii</w:t>
      </w:r>
      <w:proofErr w:type="spellEnd"/>
      <w:r w:rsidRPr="0037437B">
        <w:rPr>
          <w:rFonts w:ascii="Verdana" w:hAnsi="Verdana" w:cs="Arial"/>
          <w:sz w:val="20"/>
          <w:lang w:eastAsia="es-ES"/>
        </w:rPr>
        <w:t xml:space="preserve">) las vigencias futuras excepcionales, en virtud de la cual el </w:t>
      </w:r>
      <w:proofErr w:type="spellStart"/>
      <w:r w:rsidRPr="0037437B">
        <w:rPr>
          <w:rFonts w:ascii="Verdana" w:hAnsi="Verdana" w:cs="Arial"/>
          <w:sz w:val="20"/>
          <w:lang w:eastAsia="es-ES"/>
        </w:rPr>
        <w:t>Confis</w:t>
      </w:r>
      <w:proofErr w:type="spellEnd"/>
      <w:r w:rsidRPr="0037437B">
        <w:rPr>
          <w:rFonts w:ascii="Verdana" w:hAnsi="Verdana" w:cs="Arial"/>
          <w:sz w:val="20"/>
          <w:lang w:eastAsia="es-ES"/>
        </w:rPr>
        <w:t xml:space="preserve">,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p>
    <w:p w14:paraId="792912EC" w14:textId="77777777" w:rsidR="0037437B" w:rsidRPr="0037437B" w:rsidRDefault="0037437B" w:rsidP="0037437B">
      <w:pPr>
        <w:spacing w:after="0" w:line="240" w:lineRule="auto"/>
        <w:jc w:val="both"/>
        <w:rPr>
          <w:rFonts w:ascii="Verdana" w:hAnsi="Verdana" w:cs="Arial"/>
          <w:sz w:val="20"/>
          <w:lang w:eastAsia="es-ES"/>
        </w:rPr>
      </w:pPr>
    </w:p>
    <w:p w14:paraId="15F0BC97" w14:textId="77777777" w:rsidR="0037437B" w:rsidRPr="0037437B" w:rsidRDefault="0037437B" w:rsidP="0037437B">
      <w:pPr>
        <w:spacing w:after="0" w:line="240" w:lineRule="auto"/>
        <w:jc w:val="both"/>
        <w:rPr>
          <w:rFonts w:ascii="Verdana" w:hAnsi="Verdana" w:cs="Arial"/>
          <w:sz w:val="20"/>
          <w:lang w:eastAsia="es-ES"/>
        </w:rPr>
      </w:pPr>
      <w:r w:rsidRPr="0037437B">
        <w:rPr>
          <w:rFonts w:ascii="Verdana" w:hAnsi="Verdana" w:cs="Arial"/>
          <w:sz w:val="20"/>
          <w:lang w:eastAsia="es-ES"/>
        </w:rPr>
        <w:t xml:space="preserve">Por su parte, el artículo 12 </w:t>
      </w:r>
      <w:r w:rsidRPr="0037437B">
        <w:rPr>
          <w:rFonts w:ascii="Verdana" w:hAnsi="Verdana" w:cs="Arial"/>
          <w:i/>
          <w:iCs/>
          <w:sz w:val="20"/>
          <w:lang w:eastAsia="es-ES"/>
        </w:rPr>
        <w:t>ibidem</w:t>
      </w:r>
      <w:r w:rsidRPr="0037437B">
        <w:rPr>
          <w:rFonts w:ascii="Verdana" w:hAnsi="Verdana" w:cs="Arial"/>
          <w:sz w:val="20"/>
          <w:lang w:eastAsia="es-ES"/>
        </w:rPr>
        <w:t xml:space="preserve"> se refiere a las vigencias futuras ordinarias para entidades territoriales cuya autorización será impartida por la asamblea o concejo respectivo, a iniciativa del gobierno local, previa aprobación por el </w:t>
      </w:r>
      <w:proofErr w:type="spellStart"/>
      <w:r w:rsidRPr="0037437B">
        <w:rPr>
          <w:rFonts w:ascii="Verdana" w:hAnsi="Verdana" w:cs="Arial"/>
          <w:sz w:val="20"/>
          <w:lang w:eastAsia="es-ES"/>
        </w:rPr>
        <w:t>Confis</w:t>
      </w:r>
      <w:proofErr w:type="spellEnd"/>
      <w:r w:rsidRPr="0037437B">
        <w:rPr>
          <w:rFonts w:ascii="Verdana" w:hAnsi="Verdana" w:cs="Arial"/>
          <w:sz w:val="20"/>
          <w:lang w:eastAsia="es-ES"/>
        </w:rPr>
        <w:t xml:space="preserve"> territorial o el órgano que haga sus veces. Las vigencias futuras excepcionales para entidades territoriales se encuentran establecida en la Ley 1483 de 2011.  </w:t>
      </w:r>
    </w:p>
    <w:p w14:paraId="09A13F34" w14:textId="4F1B10BB" w:rsidR="0037437B" w:rsidRPr="0037437B" w:rsidRDefault="0037437B" w:rsidP="0037437B">
      <w:pPr>
        <w:spacing w:after="0" w:line="240" w:lineRule="auto"/>
        <w:jc w:val="both"/>
        <w:rPr>
          <w:rFonts w:ascii="Verdana" w:hAnsi="Verdana" w:cs="Arial"/>
          <w:sz w:val="20"/>
          <w:lang w:eastAsia="es-ES"/>
        </w:rPr>
      </w:pPr>
    </w:p>
    <w:p w14:paraId="5C5DB10C" w14:textId="44D08FBA" w:rsidR="0037437B" w:rsidRDefault="0037437B" w:rsidP="0037437B">
      <w:pPr>
        <w:spacing w:after="0" w:line="240" w:lineRule="auto"/>
        <w:jc w:val="both"/>
        <w:rPr>
          <w:rFonts w:ascii="Verdana" w:hAnsi="Verdana" w:cs="Arial"/>
          <w:sz w:val="20"/>
          <w:lang w:val="es-ES" w:eastAsia="es-ES"/>
        </w:rPr>
      </w:pPr>
    </w:p>
    <w:p w14:paraId="10269B2E" w14:textId="7D907A1F" w:rsidR="0037437B" w:rsidRDefault="0037437B" w:rsidP="0037437B">
      <w:pPr>
        <w:spacing w:after="0" w:line="240" w:lineRule="auto"/>
        <w:jc w:val="both"/>
        <w:rPr>
          <w:rFonts w:ascii="Verdana" w:hAnsi="Verdana" w:cs="Arial"/>
          <w:sz w:val="20"/>
          <w:lang w:val="es-ES" w:eastAsia="es-ES"/>
        </w:rPr>
      </w:pPr>
    </w:p>
    <w:p w14:paraId="2AA9F674" w14:textId="1936EEBE" w:rsidR="0037437B" w:rsidRDefault="0037437B" w:rsidP="0037437B">
      <w:pPr>
        <w:spacing w:after="0" w:line="240" w:lineRule="auto"/>
        <w:jc w:val="both"/>
        <w:rPr>
          <w:rFonts w:ascii="Verdana" w:hAnsi="Verdana" w:cs="Arial"/>
          <w:sz w:val="20"/>
          <w:lang w:val="es-ES" w:eastAsia="es-ES"/>
        </w:rPr>
      </w:pPr>
    </w:p>
    <w:p w14:paraId="6B719C5A" w14:textId="2DAAAE91" w:rsidR="0037437B" w:rsidRDefault="0037437B" w:rsidP="0037437B">
      <w:pPr>
        <w:spacing w:after="0" w:line="240" w:lineRule="auto"/>
        <w:jc w:val="both"/>
        <w:rPr>
          <w:rFonts w:ascii="Verdana" w:hAnsi="Verdana" w:cs="Arial"/>
          <w:sz w:val="20"/>
          <w:lang w:val="es-ES" w:eastAsia="es-ES"/>
        </w:rPr>
      </w:pPr>
    </w:p>
    <w:p w14:paraId="07F7BDDB" w14:textId="0818592E" w:rsidR="0037437B" w:rsidRDefault="0037437B" w:rsidP="0037437B">
      <w:pPr>
        <w:spacing w:after="0" w:line="240" w:lineRule="auto"/>
        <w:jc w:val="both"/>
        <w:rPr>
          <w:rFonts w:ascii="Verdana" w:hAnsi="Verdana" w:cs="Arial"/>
          <w:sz w:val="20"/>
          <w:lang w:val="es-ES" w:eastAsia="es-ES"/>
        </w:rPr>
      </w:pPr>
    </w:p>
    <w:p w14:paraId="2921E060" w14:textId="4406A43E" w:rsidR="0037437B" w:rsidRDefault="0037437B" w:rsidP="0037437B">
      <w:pPr>
        <w:spacing w:after="0" w:line="240" w:lineRule="auto"/>
        <w:jc w:val="both"/>
        <w:rPr>
          <w:rFonts w:ascii="Verdana" w:hAnsi="Verdana" w:cs="Arial"/>
          <w:sz w:val="20"/>
          <w:lang w:val="es-ES" w:eastAsia="es-ES"/>
        </w:rPr>
      </w:pPr>
    </w:p>
    <w:p w14:paraId="4DD7C972" w14:textId="646E6803" w:rsidR="0037437B" w:rsidRDefault="0037437B" w:rsidP="0037437B">
      <w:pPr>
        <w:spacing w:after="0" w:line="240" w:lineRule="auto"/>
        <w:jc w:val="both"/>
        <w:rPr>
          <w:rFonts w:ascii="Verdana" w:hAnsi="Verdana" w:cs="Arial"/>
          <w:sz w:val="20"/>
          <w:lang w:val="es-ES" w:eastAsia="es-ES"/>
        </w:rPr>
      </w:pPr>
    </w:p>
    <w:p w14:paraId="7A9931C6" w14:textId="159AF4FF" w:rsidR="0037437B" w:rsidRDefault="0037437B" w:rsidP="0037437B">
      <w:pPr>
        <w:spacing w:after="0" w:line="240" w:lineRule="auto"/>
        <w:jc w:val="both"/>
        <w:rPr>
          <w:rFonts w:ascii="Verdana" w:hAnsi="Verdana" w:cs="Arial"/>
          <w:sz w:val="20"/>
          <w:lang w:val="es-ES" w:eastAsia="es-ES"/>
        </w:rPr>
      </w:pPr>
    </w:p>
    <w:p w14:paraId="74B5A231" w14:textId="13330FE9" w:rsidR="0037437B" w:rsidRDefault="0037437B" w:rsidP="0037437B">
      <w:pPr>
        <w:spacing w:after="0" w:line="240" w:lineRule="auto"/>
        <w:jc w:val="both"/>
        <w:rPr>
          <w:rFonts w:ascii="Verdana" w:hAnsi="Verdana" w:cs="Arial"/>
          <w:sz w:val="20"/>
          <w:lang w:val="es-ES" w:eastAsia="es-ES"/>
        </w:rPr>
      </w:pPr>
    </w:p>
    <w:p w14:paraId="28F6153E" w14:textId="0230D8F6" w:rsidR="0037437B" w:rsidRDefault="0037437B" w:rsidP="0037437B">
      <w:pPr>
        <w:spacing w:after="0" w:line="240" w:lineRule="auto"/>
        <w:jc w:val="both"/>
        <w:rPr>
          <w:rFonts w:ascii="Verdana" w:hAnsi="Verdana" w:cs="Arial"/>
          <w:sz w:val="20"/>
          <w:lang w:val="es-ES" w:eastAsia="es-ES"/>
        </w:rPr>
      </w:pPr>
    </w:p>
    <w:p w14:paraId="26FFFD15" w14:textId="232A5A92" w:rsidR="0037437B" w:rsidRDefault="0037437B" w:rsidP="0037437B">
      <w:pPr>
        <w:spacing w:after="0" w:line="240" w:lineRule="auto"/>
        <w:jc w:val="both"/>
        <w:rPr>
          <w:rFonts w:ascii="Verdana" w:hAnsi="Verdana" w:cs="Arial"/>
          <w:sz w:val="20"/>
          <w:lang w:val="es-ES" w:eastAsia="es-ES"/>
        </w:rPr>
      </w:pPr>
    </w:p>
    <w:p w14:paraId="2AE14B03" w14:textId="53C9751D" w:rsidR="0037437B" w:rsidRDefault="0037437B" w:rsidP="0037437B">
      <w:pPr>
        <w:spacing w:after="0" w:line="240" w:lineRule="auto"/>
        <w:jc w:val="both"/>
        <w:rPr>
          <w:rFonts w:ascii="Verdana" w:hAnsi="Verdana" w:cs="Arial"/>
          <w:sz w:val="20"/>
          <w:lang w:val="es-ES" w:eastAsia="es-ES"/>
        </w:rPr>
      </w:pPr>
    </w:p>
    <w:p w14:paraId="729EBDDD" w14:textId="67274AE4" w:rsidR="0037437B" w:rsidRDefault="0037437B" w:rsidP="0037437B">
      <w:pPr>
        <w:spacing w:after="0" w:line="240" w:lineRule="auto"/>
        <w:jc w:val="both"/>
        <w:rPr>
          <w:rFonts w:ascii="Verdana" w:hAnsi="Verdana" w:cs="Arial"/>
          <w:sz w:val="20"/>
          <w:lang w:val="es-ES" w:eastAsia="es-ES"/>
        </w:rPr>
      </w:pPr>
    </w:p>
    <w:p w14:paraId="6970F01B" w14:textId="14F434D9" w:rsidR="0037437B" w:rsidRDefault="0037437B" w:rsidP="0037437B">
      <w:pPr>
        <w:spacing w:after="0" w:line="240" w:lineRule="auto"/>
        <w:jc w:val="both"/>
        <w:rPr>
          <w:rFonts w:ascii="Verdana" w:hAnsi="Verdana" w:cs="Arial"/>
          <w:sz w:val="20"/>
          <w:lang w:val="es-ES" w:eastAsia="es-ES"/>
        </w:rPr>
      </w:pPr>
    </w:p>
    <w:p w14:paraId="779C13C4" w14:textId="2BCB3DF4" w:rsidR="0037437B" w:rsidRDefault="0037437B" w:rsidP="0037437B">
      <w:pPr>
        <w:spacing w:after="0" w:line="240" w:lineRule="auto"/>
        <w:jc w:val="both"/>
        <w:rPr>
          <w:rFonts w:ascii="Verdana" w:hAnsi="Verdana" w:cs="Arial"/>
          <w:sz w:val="20"/>
          <w:lang w:val="es-ES" w:eastAsia="es-ES"/>
        </w:rPr>
      </w:pPr>
    </w:p>
    <w:p w14:paraId="2F14962E" w14:textId="32CA24F9" w:rsidR="0037437B" w:rsidRDefault="0037437B" w:rsidP="0037437B">
      <w:pPr>
        <w:spacing w:after="0" w:line="240" w:lineRule="auto"/>
        <w:jc w:val="both"/>
        <w:rPr>
          <w:rFonts w:ascii="Verdana" w:hAnsi="Verdana" w:cs="Arial"/>
          <w:sz w:val="20"/>
          <w:lang w:val="es-ES" w:eastAsia="es-ES"/>
        </w:rPr>
      </w:pPr>
    </w:p>
    <w:p w14:paraId="0FF9298B" w14:textId="0DA86547" w:rsidR="0037437B" w:rsidRDefault="0037437B" w:rsidP="0037437B">
      <w:pPr>
        <w:spacing w:after="0" w:line="240" w:lineRule="auto"/>
        <w:jc w:val="both"/>
        <w:rPr>
          <w:rFonts w:ascii="Verdana" w:hAnsi="Verdana" w:cs="Arial"/>
          <w:sz w:val="20"/>
          <w:lang w:val="es-ES" w:eastAsia="es-ES"/>
        </w:rPr>
      </w:pPr>
    </w:p>
    <w:p w14:paraId="10420832" w14:textId="06188AA0" w:rsidR="0037437B" w:rsidRDefault="0037437B" w:rsidP="0037437B">
      <w:pPr>
        <w:spacing w:after="0" w:line="240" w:lineRule="auto"/>
        <w:jc w:val="both"/>
        <w:rPr>
          <w:rFonts w:ascii="Verdana" w:hAnsi="Verdana" w:cs="Arial"/>
          <w:sz w:val="20"/>
          <w:lang w:val="es-ES" w:eastAsia="es-ES"/>
        </w:rPr>
      </w:pPr>
    </w:p>
    <w:p w14:paraId="768AC721" w14:textId="4B2A7E6D" w:rsidR="0037437B" w:rsidRDefault="0037437B" w:rsidP="0037437B">
      <w:pPr>
        <w:spacing w:after="0" w:line="240" w:lineRule="auto"/>
        <w:jc w:val="both"/>
        <w:rPr>
          <w:rFonts w:ascii="Verdana" w:hAnsi="Verdana" w:cs="Arial"/>
          <w:sz w:val="20"/>
          <w:lang w:val="es-ES" w:eastAsia="es-ES"/>
        </w:rPr>
      </w:pPr>
    </w:p>
    <w:p w14:paraId="3840F510" w14:textId="15413FFE" w:rsidR="0037437B" w:rsidRDefault="0037437B" w:rsidP="0037437B">
      <w:pPr>
        <w:spacing w:after="0" w:line="240" w:lineRule="auto"/>
        <w:jc w:val="both"/>
        <w:rPr>
          <w:rFonts w:ascii="Verdana" w:hAnsi="Verdana" w:cs="Arial"/>
          <w:sz w:val="20"/>
          <w:lang w:val="es-ES" w:eastAsia="es-ES"/>
        </w:rPr>
      </w:pPr>
    </w:p>
    <w:p w14:paraId="0340B344" w14:textId="3F8A2880" w:rsidR="0037437B" w:rsidRDefault="0037437B" w:rsidP="0037437B">
      <w:pPr>
        <w:spacing w:after="0" w:line="240" w:lineRule="auto"/>
        <w:jc w:val="both"/>
        <w:rPr>
          <w:rFonts w:ascii="Verdana" w:hAnsi="Verdana" w:cs="Arial"/>
          <w:sz w:val="20"/>
          <w:lang w:val="es-ES" w:eastAsia="es-ES"/>
        </w:rPr>
      </w:pPr>
    </w:p>
    <w:p w14:paraId="32408E51" w14:textId="5004A0B3" w:rsidR="0037437B" w:rsidRDefault="0037437B" w:rsidP="0037437B">
      <w:pPr>
        <w:spacing w:after="0" w:line="240" w:lineRule="auto"/>
        <w:jc w:val="both"/>
        <w:rPr>
          <w:rFonts w:ascii="Verdana" w:hAnsi="Verdana" w:cs="Arial"/>
          <w:sz w:val="20"/>
          <w:lang w:val="es-ES" w:eastAsia="es-ES"/>
        </w:rPr>
      </w:pPr>
    </w:p>
    <w:p w14:paraId="5C95CB11" w14:textId="56D48553" w:rsidR="0037437B" w:rsidRDefault="0037437B" w:rsidP="0037437B">
      <w:pPr>
        <w:spacing w:after="0" w:line="240" w:lineRule="auto"/>
        <w:jc w:val="both"/>
        <w:rPr>
          <w:rFonts w:ascii="Verdana" w:hAnsi="Verdana" w:cs="Arial"/>
          <w:sz w:val="20"/>
          <w:lang w:val="es-ES" w:eastAsia="es-ES"/>
        </w:rPr>
      </w:pPr>
    </w:p>
    <w:p w14:paraId="320BB18C" w14:textId="049D2C2B" w:rsidR="0037437B" w:rsidRDefault="0037437B" w:rsidP="0037437B">
      <w:pPr>
        <w:spacing w:after="0" w:line="240" w:lineRule="auto"/>
        <w:jc w:val="both"/>
        <w:rPr>
          <w:rFonts w:ascii="Verdana" w:hAnsi="Verdana" w:cs="Arial"/>
          <w:sz w:val="20"/>
          <w:lang w:val="es-ES" w:eastAsia="es-ES"/>
        </w:rPr>
      </w:pPr>
    </w:p>
    <w:p w14:paraId="1CB42AFD" w14:textId="599AA071" w:rsidR="0037437B" w:rsidRDefault="0037437B" w:rsidP="0037437B">
      <w:pPr>
        <w:spacing w:after="0" w:line="240" w:lineRule="auto"/>
        <w:jc w:val="both"/>
        <w:rPr>
          <w:rFonts w:ascii="Verdana" w:hAnsi="Verdana" w:cs="Arial"/>
          <w:sz w:val="20"/>
          <w:lang w:val="es-ES" w:eastAsia="es-ES"/>
        </w:rPr>
      </w:pPr>
    </w:p>
    <w:p w14:paraId="1C09F46E" w14:textId="3A5422E2" w:rsidR="0037437B" w:rsidRDefault="0037437B" w:rsidP="0037437B">
      <w:pPr>
        <w:spacing w:after="0" w:line="240" w:lineRule="auto"/>
        <w:jc w:val="both"/>
        <w:rPr>
          <w:rFonts w:ascii="Verdana" w:hAnsi="Verdana" w:cs="Arial"/>
          <w:sz w:val="20"/>
          <w:lang w:val="es-ES" w:eastAsia="es-ES"/>
        </w:rPr>
      </w:pPr>
    </w:p>
    <w:p w14:paraId="48CB1157" w14:textId="38B3FC8B" w:rsidR="0037437B" w:rsidRDefault="0037437B" w:rsidP="0037437B">
      <w:pPr>
        <w:spacing w:after="0" w:line="240" w:lineRule="auto"/>
        <w:jc w:val="both"/>
        <w:rPr>
          <w:rFonts w:ascii="Verdana" w:hAnsi="Verdana" w:cs="Arial"/>
          <w:sz w:val="20"/>
          <w:lang w:val="es-ES" w:eastAsia="es-ES"/>
        </w:rPr>
      </w:pPr>
    </w:p>
    <w:p w14:paraId="6BEC420D" w14:textId="28205A47" w:rsidR="0037437B" w:rsidRDefault="0037437B" w:rsidP="0037437B">
      <w:pPr>
        <w:spacing w:after="0" w:line="240" w:lineRule="auto"/>
        <w:jc w:val="both"/>
        <w:rPr>
          <w:rFonts w:ascii="Verdana" w:hAnsi="Verdana" w:cs="Arial"/>
          <w:sz w:val="20"/>
          <w:lang w:val="es-ES" w:eastAsia="es-ES"/>
        </w:rPr>
      </w:pPr>
    </w:p>
    <w:p w14:paraId="7C34130B" w14:textId="0B5AD745" w:rsidR="0037437B" w:rsidRDefault="0037437B" w:rsidP="0037437B">
      <w:pPr>
        <w:spacing w:after="0" w:line="240" w:lineRule="auto"/>
        <w:jc w:val="both"/>
        <w:rPr>
          <w:rFonts w:ascii="Verdana" w:hAnsi="Verdana" w:cs="Arial"/>
          <w:sz w:val="20"/>
          <w:lang w:val="es-ES" w:eastAsia="es-ES"/>
        </w:rPr>
      </w:pPr>
    </w:p>
    <w:p w14:paraId="37011D13" w14:textId="52D89C9F" w:rsidR="0037437B" w:rsidRDefault="0037437B" w:rsidP="0037437B">
      <w:pPr>
        <w:spacing w:after="0" w:line="240" w:lineRule="auto"/>
        <w:jc w:val="both"/>
        <w:rPr>
          <w:rFonts w:ascii="Verdana" w:hAnsi="Verdana" w:cs="Arial"/>
          <w:sz w:val="20"/>
          <w:lang w:val="es-ES" w:eastAsia="es-ES"/>
        </w:rPr>
      </w:pPr>
    </w:p>
    <w:p w14:paraId="5AFD6883" w14:textId="6DABD2FE" w:rsidR="0037437B" w:rsidRDefault="0037437B" w:rsidP="0037437B">
      <w:pPr>
        <w:spacing w:after="0" w:line="240" w:lineRule="auto"/>
        <w:jc w:val="both"/>
        <w:rPr>
          <w:rFonts w:ascii="Verdana" w:hAnsi="Verdana" w:cs="Arial"/>
          <w:sz w:val="20"/>
          <w:lang w:val="es-ES" w:eastAsia="es-ES"/>
        </w:rPr>
      </w:pPr>
    </w:p>
    <w:p w14:paraId="73CA4B30" w14:textId="04EEFDE1" w:rsidR="0037437B" w:rsidRDefault="0037437B" w:rsidP="0037437B">
      <w:pPr>
        <w:spacing w:after="0" w:line="240" w:lineRule="auto"/>
        <w:jc w:val="both"/>
        <w:rPr>
          <w:rFonts w:ascii="Verdana" w:hAnsi="Verdana" w:cs="Arial"/>
          <w:sz w:val="20"/>
          <w:lang w:val="es-ES" w:eastAsia="es-ES"/>
        </w:rPr>
      </w:pPr>
    </w:p>
    <w:p w14:paraId="2E97CE57" w14:textId="6ECC248D" w:rsidR="0037437B" w:rsidRPr="0037437B" w:rsidRDefault="0037437B" w:rsidP="0037437B">
      <w:pPr>
        <w:spacing w:after="0" w:line="240" w:lineRule="auto"/>
        <w:jc w:val="both"/>
        <w:rPr>
          <w:rFonts w:ascii="Verdana" w:hAnsi="Verdana" w:cs="Arial"/>
          <w:sz w:val="20"/>
          <w:lang w:val="es-ES" w:eastAsia="es-ES"/>
        </w:rPr>
      </w:pPr>
    </w:p>
    <w:p w14:paraId="7AA12267" w14:textId="5CB22998" w:rsidR="00A73750" w:rsidRPr="0044528D" w:rsidRDefault="00A73750" w:rsidP="00A73750">
      <w:pPr>
        <w:spacing w:after="0"/>
        <w:rPr>
          <w:rFonts w:ascii="Verdana" w:hAnsi="Verdana"/>
        </w:rPr>
      </w:pPr>
      <w:r w:rsidRPr="0044528D">
        <w:rPr>
          <w:rFonts w:ascii="Verdana" w:hAnsi="Verdana"/>
        </w:rPr>
        <w:lastRenderedPageBreak/>
        <w:t xml:space="preserve">Bogotá D.C., </w:t>
      </w:r>
      <w:r w:rsidR="0037437B">
        <w:rPr>
          <w:rFonts w:ascii="Verdana" w:hAnsi="Verdana"/>
        </w:rPr>
        <w:t>3 de octubre de 2025</w:t>
      </w:r>
    </w:p>
    <w:p w14:paraId="12B1D2D7" w14:textId="6EEB8F1A" w:rsidR="00A73750" w:rsidRPr="00D069D8" w:rsidRDefault="0037437B" w:rsidP="00A73750">
      <w:pPr>
        <w:spacing w:after="0" w:line="240" w:lineRule="auto"/>
        <w:rPr>
          <w:rFonts w:ascii="Verdana" w:hAnsi="Verdana"/>
        </w:rPr>
      </w:pPr>
      <w:r w:rsidRPr="0037437B">
        <w:rPr>
          <w:rFonts w:ascii="Verdana" w:hAnsi="Verdana"/>
          <w:noProof/>
          <w:lang w:val="en-US"/>
        </w:rPr>
        <w:drawing>
          <wp:anchor distT="0" distB="0" distL="114300" distR="114300" simplePos="0" relativeHeight="251658240" behindDoc="0" locked="0" layoutInCell="1" allowOverlap="1" wp14:anchorId="696340D7" wp14:editId="7DD2C6AB">
            <wp:simplePos x="0" y="0"/>
            <wp:positionH relativeFrom="column">
              <wp:posOffset>2835910</wp:posOffset>
            </wp:positionH>
            <wp:positionV relativeFrom="paragraph">
              <wp:posOffset>18415</wp:posOffset>
            </wp:positionV>
            <wp:extent cx="2829560" cy="781050"/>
            <wp:effectExtent l="0" t="0" r="889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29560" cy="7810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F23AAD" w14:textId="3BF98838" w:rsidR="00A73750" w:rsidRPr="00D069D8" w:rsidRDefault="00A73750" w:rsidP="00A73750">
      <w:pPr>
        <w:spacing w:after="0" w:line="240" w:lineRule="auto"/>
        <w:rPr>
          <w:rFonts w:ascii="Verdana" w:hAnsi="Verdana"/>
        </w:rPr>
      </w:pPr>
    </w:p>
    <w:p w14:paraId="49C1DE02" w14:textId="77777777" w:rsidR="00A73750" w:rsidRPr="00D069D8" w:rsidRDefault="00A73750" w:rsidP="00A73750">
      <w:pPr>
        <w:spacing w:after="0" w:line="240" w:lineRule="auto"/>
        <w:rPr>
          <w:rFonts w:ascii="Verdana" w:eastAsia="Calibri" w:hAnsi="Verdana" w:cs="Times New Roman"/>
        </w:rPr>
      </w:pPr>
      <w:r w:rsidRPr="00D069D8">
        <w:rPr>
          <w:rFonts w:ascii="Verdana" w:eastAsia="Calibri" w:hAnsi="Verdana" w:cs="Times New Roman"/>
        </w:rPr>
        <w:t>Señor</w:t>
      </w:r>
    </w:p>
    <w:p w14:paraId="2D6EC06E" w14:textId="77777777" w:rsidR="00A73750" w:rsidRPr="00D069D8" w:rsidRDefault="00A73750" w:rsidP="00A73750">
      <w:pPr>
        <w:spacing w:after="0" w:line="240" w:lineRule="auto"/>
        <w:rPr>
          <w:rFonts w:ascii="Verdana" w:hAnsi="Verdana"/>
          <w:b/>
        </w:rPr>
      </w:pPr>
      <w:r w:rsidRPr="00D069D8">
        <w:rPr>
          <w:rFonts w:ascii="Verdana" w:hAnsi="Verdana"/>
          <w:b/>
        </w:rPr>
        <w:t>Jaime Alberto Julio Perdomo</w:t>
      </w:r>
    </w:p>
    <w:p w14:paraId="0CD8FD4D" w14:textId="77777777" w:rsidR="00A73750" w:rsidRPr="00D069D8" w:rsidRDefault="00A73750" w:rsidP="00A73750">
      <w:pPr>
        <w:spacing w:after="0" w:line="240" w:lineRule="auto"/>
        <w:rPr>
          <w:rFonts w:ascii="Verdana" w:hAnsi="Verdana"/>
        </w:rPr>
      </w:pPr>
      <w:hyperlink r:id="rId12" w:history="1">
        <w:r w:rsidRPr="00D069D8">
          <w:rPr>
            <w:rFonts w:ascii="Verdana" w:hAnsi="Verdana"/>
            <w:color w:val="0000FF"/>
            <w:u w:val="single"/>
          </w:rPr>
          <w:t>yimijulioper@gmail.com</w:t>
        </w:r>
      </w:hyperlink>
      <w:r w:rsidRPr="00D069D8">
        <w:rPr>
          <w:rFonts w:ascii="Verdana" w:hAnsi="Verdana"/>
        </w:rPr>
        <w:t xml:space="preserve"> </w:t>
      </w:r>
    </w:p>
    <w:p w14:paraId="7B7A356E" w14:textId="77777777" w:rsidR="00A73750" w:rsidRPr="00D069D8" w:rsidRDefault="00A73750" w:rsidP="00A73750">
      <w:pPr>
        <w:spacing w:after="0" w:line="240" w:lineRule="auto"/>
        <w:rPr>
          <w:rFonts w:ascii="Verdana" w:hAnsi="Verdana"/>
        </w:rPr>
      </w:pPr>
      <w:r w:rsidRPr="00D069D8">
        <w:rPr>
          <w:rFonts w:ascii="Verdana" w:hAnsi="Verdana"/>
        </w:rPr>
        <w:t>Barranquilla, Atlántico</w:t>
      </w:r>
    </w:p>
    <w:p w14:paraId="1A60C196" w14:textId="77777777" w:rsidR="00A73750" w:rsidRPr="00D069D8" w:rsidRDefault="00A73750" w:rsidP="00A73750">
      <w:pPr>
        <w:spacing w:after="0" w:line="240" w:lineRule="auto"/>
        <w:rPr>
          <w:rFonts w:ascii="Verdana" w:eastAsia="Calibri" w:hAnsi="Verdana" w:cs="Times New Roman"/>
        </w:rPr>
      </w:pPr>
    </w:p>
    <w:p w14:paraId="0CEF5E74" w14:textId="77777777" w:rsidR="00A73750" w:rsidRPr="00D069D8" w:rsidRDefault="00A73750" w:rsidP="00A73750">
      <w:pPr>
        <w:spacing w:after="0" w:line="240" w:lineRule="auto"/>
        <w:rPr>
          <w:rFonts w:ascii="Verdana" w:eastAsia="Calibri" w:hAnsi="Verdana" w:cs="Times New Roman"/>
        </w:rPr>
      </w:pPr>
    </w:p>
    <w:p w14:paraId="56073C24" w14:textId="77777777" w:rsidR="00A73750" w:rsidRPr="00D069D8" w:rsidRDefault="00A73750" w:rsidP="00A73750">
      <w:pPr>
        <w:spacing w:after="0" w:line="240" w:lineRule="auto"/>
        <w:rPr>
          <w:rFonts w:ascii="Verdana" w:eastAsia="Calibri" w:hAnsi="Verdana" w:cs="Times New Roman"/>
          <w:b/>
          <w:bCs/>
          <w:lang w:val="es-ES"/>
        </w:rPr>
      </w:pPr>
      <w:r w:rsidRPr="00D069D8">
        <w:rPr>
          <w:rFonts w:ascii="Verdana" w:eastAsia="Calibri" w:hAnsi="Verdana" w:cs="Times New Roman"/>
          <w:b/>
          <w:bCs/>
          <w:lang w:val="es-ES"/>
        </w:rPr>
        <w:t xml:space="preserve">                                    Concepto C–1220 de 2025</w:t>
      </w:r>
    </w:p>
    <w:p w14:paraId="6E9B0D2A" w14:textId="77777777" w:rsidR="00A73750" w:rsidRPr="00D069D8" w:rsidRDefault="00A73750" w:rsidP="00A73750">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A73750" w:rsidRPr="00D069D8" w14:paraId="4E5B8DD4" w14:textId="77777777" w:rsidTr="00645255">
        <w:trPr>
          <w:trHeight w:val="80"/>
        </w:trPr>
        <w:tc>
          <w:tcPr>
            <w:tcW w:w="2685" w:type="dxa"/>
            <w:hideMark/>
          </w:tcPr>
          <w:p w14:paraId="4D54E72A" w14:textId="77777777" w:rsidR="00A73750" w:rsidRPr="00D069D8" w:rsidRDefault="00A73750" w:rsidP="00645255">
            <w:pPr>
              <w:rPr>
                <w:rFonts w:ascii="Verdana" w:hAnsi="Verdana"/>
                <w:b/>
                <w:bCs/>
                <w:lang w:val="es-ES_tradnl"/>
              </w:rPr>
            </w:pPr>
            <w:r w:rsidRPr="00D069D8">
              <w:rPr>
                <w:rFonts w:ascii="Verdana" w:hAnsi="Verdana"/>
                <w:b/>
                <w:bCs/>
                <w:lang w:val="es-ES_tradnl"/>
              </w:rPr>
              <w:t xml:space="preserve">Temas:                   </w:t>
            </w:r>
          </w:p>
        </w:tc>
        <w:tc>
          <w:tcPr>
            <w:tcW w:w="6241" w:type="dxa"/>
            <w:hideMark/>
          </w:tcPr>
          <w:p w14:paraId="4D35071B" w14:textId="77777777" w:rsidR="00A73750" w:rsidRPr="00D069D8" w:rsidRDefault="00A73750" w:rsidP="00645255">
            <w:pPr>
              <w:jc w:val="both"/>
              <w:rPr>
                <w:rFonts w:ascii="Verdana" w:hAnsi="Verdana" w:cs="Arial"/>
                <w:lang w:val="es-ES" w:eastAsia="es-ES"/>
              </w:rPr>
            </w:pPr>
            <w:r w:rsidRPr="00D069D8">
              <w:rPr>
                <w:rFonts w:ascii="Verdana" w:hAnsi="Verdana" w:cs="Arial"/>
                <w:bCs/>
                <w:color w:val="000000" w:themeColor="text1"/>
                <w:lang w:val="es-ES"/>
              </w:rPr>
              <w:t>PRINCIPIO DE ANUALIDAD – Fundamento / PRINCIPIO DE ANUALIDAD</w:t>
            </w:r>
            <w:r w:rsidRPr="00D069D8">
              <w:rPr>
                <w:rFonts w:ascii="Verdana" w:hAnsi="Verdana" w:cs="Arial"/>
                <w:lang w:val="es-ES" w:eastAsia="es-ES"/>
              </w:rPr>
              <w:t xml:space="preserve"> – Excepciones / VIGENCIAS FUTURAS – Tipos </w:t>
            </w:r>
          </w:p>
          <w:p w14:paraId="065E7047" w14:textId="77777777" w:rsidR="00A73750" w:rsidRDefault="00A73750" w:rsidP="00645255">
            <w:pPr>
              <w:spacing w:line="276" w:lineRule="auto"/>
              <w:jc w:val="both"/>
              <w:rPr>
                <w:rFonts w:ascii="Verdana" w:hAnsi="Verdana"/>
                <w:lang w:val="es-MX"/>
              </w:rPr>
            </w:pPr>
          </w:p>
          <w:p w14:paraId="7006029F" w14:textId="77777777" w:rsidR="00A73750" w:rsidRPr="00D069D8" w:rsidRDefault="00A73750" w:rsidP="00645255">
            <w:pPr>
              <w:spacing w:line="276" w:lineRule="auto"/>
              <w:jc w:val="both"/>
              <w:rPr>
                <w:rFonts w:ascii="Verdana" w:hAnsi="Verdana"/>
                <w:lang w:val="es-MX"/>
              </w:rPr>
            </w:pPr>
          </w:p>
        </w:tc>
        <w:tc>
          <w:tcPr>
            <w:tcW w:w="6237" w:type="dxa"/>
          </w:tcPr>
          <w:p w14:paraId="319F7BC2" w14:textId="77777777" w:rsidR="00A73750" w:rsidRPr="00D069D8" w:rsidRDefault="00A73750" w:rsidP="00645255">
            <w:pPr>
              <w:rPr>
                <w:rFonts w:ascii="Verdana" w:hAnsi="Verdana"/>
              </w:rPr>
            </w:pPr>
          </w:p>
        </w:tc>
      </w:tr>
      <w:tr w:rsidR="00A73750" w:rsidRPr="00D069D8" w14:paraId="76244468" w14:textId="77777777" w:rsidTr="00645255">
        <w:tc>
          <w:tcPr>
            <w:tcW w:w="2685" w:type="dxa"/>
          </w:tcPr>
          <w:p w14:paraId="295CDB61" w14:textId="77777777" w:rsidR="00A73750" w:rsidRPr="00D069D8" w:rsidRDefault="00A73750" w:rsidP="00645255">
            <w:pPr>
              <w:rPr>
                <w:rFonts w:ascii="Verdana" w:hAnsi="Verdana"/>
                <w:b/>
                <w:bCs/>
                <w:lang w:val="es-ES_tradnl"/>
              </w:rPr>
            </w:pPr>
            <w:r w:rsidRPr="00D069D8">
              <w:rPr>
                <w:rFonts w:ascii="Verdana" w:hAnsi="Verdana"/>
                <w:b/>
                <w:bCs/>
                <w:lang w:val="es-ES_tradnl"/>
              </w:rPr>
              <w:t xml:space="preserve">Radicación:               </w:t>
            </w:r>
          </w:p>
        </w:tc>
        <w:tc>
          <w:tcPr>
            <w:tcW w:w="6241" w:type="dxa"/>
          </w:tcPr>
          <w:p w14:paraId="6A58D826" w14:textId="77777777" w:rsidR="00A73750" w:rsidRPr="00D069D8" w:rsidRDefault="00A73750" w:rsidP="00645255">
            <w:pPr>
              <w:jc w:val="both"/>
              <w:rPr>
                <w:rFonts w:ascii="Verdana" w:hAnsi="Verdana"/>
              </w:rPr>
            </w:pPr>
            <w:r w:rsidRPr="00D069D8">
              <w:rPr>
                <w:rFonts w:ascii="Verdana" w:hAnsi="Verdana"/>
                <w:lang w:val="es-ES_tradnl"/>
              </w:rPr>
              <w:t xml:space="preserve">Respuesta a consulta con radicado No. </w:t>
            </w:r>
            <w:r w:rsidRPr="00D069D8">
              <w:rPr>
                <w:rFonts w:ascii="Verdana" w:hAnsi="Verdana"/>
              </w:rPr>
              <w:t>1_2025_08_28_009212</w:t>
            </w:r>
          </w:p>
        </w:tc>
        <w:tc>
          <w:tcPr>
            <w:tcW w:w="6237" w:type="dxa"/>
          </w:tcPr>
          <w:p w14:paraId="6D6927AF" w14:textId="77777777" w:rsidR="00A73750" w:rsidRPr="00D069D8" w:rsidRDefault="00A73750" w:rsidP="00645255">
            <w:pPr>
              <w:rPr>
                <w:rFonts w:ascii="Verdana" w:hAnsi="Verdana"/>
                <w:lang w:val="es-ES_tradnl"/>
              </w:rPr>
            </w:pPr>
          </w:p>
        </w:tc>
      </w:tr>
    </w:tbl>
    <w:p w14:paraId="68612FE8" w14:textId="77777777" w:rsidR="00A73750" w:rsidRPr="00D069D8" w:rsidRDefault="00A73750" w:rsidP="00A73750">
      <w:pPr>
        <w:spacing w:after="0" w:line="240" w:lineRule="auto"/>
        <w:rPr>
          <w:rFonts w:ascii="Verdana" w:eastAsia="Calibri" w:hAnsi="Verdana" w:cs="Times New Roman"/>
          <w:lang w:val="es-ES_tradnl"/>
        </w:rPr>
      </w:pPr>
    </w:p>
    <w:p w14:paraId="7377C74C" w14:textId="77777777" w:rsidR="00A73750" w:rsidRPr="00D069D8" w:rsidRDefault="00A73750" w:rsidP="00A73750">
      <w:pPr>
        <w:spacing w:after="0" w:line="240" w:lineRule="auto"/>
        <w:rPr>
          <w:rFonts w:ascii="Verdana" w:eastAsia="Calibri" w:hAnsi="Verdana" w:cs="Times New Roman"/>
          <w:lang w:val="es-ES_tradnl"/>
        </w:rPr>
      </w:pPr>
    </w:p>
    <w:p w14:paraId="55259DA7" w14:textId="77777777" w:rsidR="00A73750" w:rsidRPr="00D069D8" w:rsidRDefault="00A73750" w:rsidP="00A73750">
      <w:pPr>
        <w:spacing w:after="0" w:line="256" w:lineRule="auto"/>
        <w:rPr>
          <w:rFonts w:ascii="Verdana" w:eastAsia="Calibri" w:hAnsi="Verdana" w:cs="Times New Roman"/>
          <w:lang w:val="es-ES"/>
        </w:rPr>
      </w:pPr>
      <w:r w:rsidRPr="00D069D8">
        <w:rPr>
          <w:rFonts w:ascii="Verdana" w:eastAsia="Calibri" w:hAnsi="Verdana" w:cs="Times New Roman"/>
          <w:lang w:val="es-ES"/>
        </w:rPr>
        <w:t xml:space="preserve">Estimado Señor Jaime Alberto: </w:t>
      </w:r>
    </w:p>
    <w:p w14:paraId="1F1DF101" w14:textId="77777777" w:rsidR="00A73750" w:rsidRPr="00D069D8" w:rsidRDefault="00A73750" w:rsidP="00A73750">
      <w:pPr>
        <w:spacing w:after="0" w:line="276" w:lineRule="auto"/>
        <w:rPr>
          <w:rFonts w:ascii="Verdana" w:eastAsia="Calibri" w:hAnsi="Verdana" w:cs="Times New Roman"/>
          <w:lang w:val="es-ES"/>
        </w:rPr>
      </w:pPr>
    </w:p>
    <w:p w14:paraId="5AB364F7" w14:textId="77777777" w:rsidR="00A73750" w:rsidRPr="00D069D8" w:rsidRDefault="00A73750" w:rsidP="00A73750">
      <w:pPr>
        <w:spacing w:after="0" w:line="276" w:lineRule="auto"/>
        <w:jc w:val="both"/>
        <w:rPr>
          <w:rFonts w:ascii="Verdana" w:eastAsia="Calibri" w:hAnsi="Verdana" w:cs="Times New Roman"/>
          <w:bCs/>
          <w:lang w:val="es-ES" w:bidi="es-ES"/>
        </w:rPr>
      </w:pPr>
      <w:r w:rsidRPr="00D069D8">
        <w:rPr>
          <w:rFonts w:ascii="Verdana" w:eastAsia="Calibri" w:hAnsi="Verdana" w:cs="Times New Roman"/>
          <w:bCs/>
          <w:lang w:val="es-ES" w:bidi="es-ES"/>
        </w:rPr>
        <w:t xml:space="preserve">En ejercicio de la competencia otorgada por los artículos 3, numeral 5º, y 11, numeral 8º, del Decreto Ley 4170 de 2011, </w:t>
      </w:r>
      <w:r w:rsidRPr="00D069D8">
        <w:rPr>
          <w:rFonts w:ascii="Verdana" w:eastAsia="Calibri" w:hAnsi="Verdana" w:cs="Times New Roman"/>
          <w:bCs/>
        </w:rPr>
        <w:t xml:space="preserve">así como lo establecido por la Resolución 469 de 2025 expedida por esta Entidad, </w:t>
      </w:r>
      <w:r w:rsidRPr="00D069D8">
        <w:rPr>
          <w:rFonts w:ascii="Verdana" w:eastAsia="Calibri" w:hAnsi="Verdana" w:cs="Times New Roman"/>
          <w:bCs/>
          <w:lang w:val="es-ES" w:bidi="es-ES"/>
        </w:rPr>
        <w:t>la Agencia Nacional de Contratación Pública – Colombia Compra Eficiente– responde la solicitud del 28 de agosto, en la cual manifiesta:</w:t>
      </w:r>
    </w:p>
    <w:p w14:paraId="2F353B03" w14:textId="77777777" w:rsidR="00A73750" w:rsidRPr="00D069D8" w:rsidRDefault="00A73750" w:rsidP="00A73750">
      <w:pPr>
        <w:spacing w:after="0" w:line="276" w:lineRule="auto"/>
        <w:jc w:val="both"/>
        <w:rPr>
          <w:rFonts w:ascii="Verdana" w:eastAsia="Calibri" w:hAnsi="Verdana" w:cs="Times New Roman"/>
          <w:lang w:val="es-ES"/>
        </w:rPr>
      </w:pPr>
    </w:p>
    <w:p w14:paraId="2825AF6B" w14:textId="77777777" w:rsidR="00A73750" w:rsidRPr="00D069D8" w:rsidRDefault="00A73750" w:rsidP="00A73750">
      <w:pPr>
        <w:spacing w:after="0" w:line="240" w:lineRule="auto"/>
        <w:ind w:left="709" w:right="709"/>
        <w:jc w:val="both"/>
        <w:rPr>
          <w:rFonts w:ascii="Verdana" w:eastAsia="Calibri" w:hAnsi="Verdana" w:cs="Times New Roman"/>
          <w:iCs/>
          <w:sz w:val="20"/>
          <w:szCs w:val="20"/>
        </w:rPr>
      </w:pPr>
      <w:proofErr w:type="gramStart"/>
      <w:r w:rsidRPr="00D069D8">
        <w:rPr>
          <w:rFonts w:ascii="Verdana" w:eastAsia="Calibri" w:hAnsi="Verdana" w:cs="Times New Roman"/>
          <w:iCs/>
          <w:sz w:val="20"/>
          <w:szCs w:val="20"/>
        </w:rPr>
        <w:t>”Cordial</w:t>
      </w:r>
      <w:proofErr w:type="gramEnd"/>
      <w:r w:rsidRPr="00D069D8">
        <w:rPr>
          <w:rFonts w:ascii="Verdana" w:eastAsia="Calibri" w:hAnsi="Verdana" w:cs="Times New Roman"/>
          <w:iCs/>
          <w:sz w:val="20"/>
          <w:szCs w:val="20"/>
        </w:rPr>
        <w:t xml:space="preserve"> saludo, mis consultas son las siguiente: Puede una Empresa Industrial y Comercial del Estado que ejecute un recurso de un municipio celebrar contratos con particulares </w:t>
      </w:r>
      <w:proofErr w:type="gramStart"/>
      <w:r w:rsidRPr="00D069D8">
        <w:rPr>
          <w:rFonts w:ascii="Verdana" w:eastAsia="Calibri" w:hAnsi="Verdana" w:cs="Times New Roman"/>
          <w:iCs/>
          <w:sz w:val="20"/>
          <w:szCs w:val="20"/>
        </w:rPr>
        <w:t>cuya plazo</w:t>
      </w:r>
      <w:proofErr w:type="gramEnd"/>
      <w:r w:rsidRPr="00D069D8">
        <w:rPr>
          <w:rFonts w:ascii="Verdana" w:eastAsia="Calibri" w:hAnsi="Verdana" w:cs="Times New Roman"/>
          <w:iCs/>
          <w:sz w:val="20"/>
          <w:szCs w:val="20"/>
        </w:rPr>
        <w:t xml:space="preserve"> de ejecución empiece en el 2025 y finalice en el 2026 – o sea que comience en una vigencia y culmine en la vigencia siguiente.</w:t>
      </w:r>
    </w:p>
    <w:p w14:paraId="48C760BB" w14:textId="77777777" w:rsidR="00A73750" w:rsidRPr="00D069D8" w:rsidRDefault="00A73750" w:rsidP="00A73750">
      <w:pPr>
        <w:spacing w:after="0" w:line="240" w:lineRule="auto"/>
        <w:ind w:left="709" w:right="709"/>
        <w:jc w:val="both"/>
        <w:rPr>
          <w:rFonts w:ascii="Verdana" w:eastAsia="Calibri" w:hAnsi="Verdana" w:cs="Times New Roman"/>
          <w:iCs/>
          <w:sz w:val="20"/>
          <w:szCs w:val="20"/>
        </w:rPr>
      </w:pPr>
      <w:r w:rsidRPr="00D069D8">
        <w:rPr>
          <w:rFonts w:ascii="Verdana" w:eastAsia="Calibri" w:hAnsi="Verdana" w:cs="Times New Roman"/>
          <w:iCs/>
          <w:sz w:val="20"/>
          <w:szCs w:val="20"/>
        </w:rPr>
        <w:t>La segunda consulta es similar: puede un municipio celebrar un contrato de obra con recursos de la vigencia del año 2025 y cuyo plazo de ejecución se extienda hasta el año 2026 (sic)”</w:t>
      </w:r>
    </w:p>
    <w:p w14:paraId="23D6BD01" w14:textId="77777777" w:rsidR="00A73750" w:rsidRPr="00D069D8" w:rsidRDefault="00A73750" w:rsidP="00A73750">
      <w:pPr>
        <w:spacing w:after="0" w:line="240" w:lineRule="auto"/>
        <w:ind w:left="709" w:right="709"/>
        <w:jc w:val="both"/>
        <w:rPr>
          <w:rFonts w:ascii="Verdana" w:eastAsia="Calibri" w:hAnsi="Verdana" w:cs="Times New Roman"/>
          <w:iCs/>
        </w:rPr>
      </w:pPr>
    </w:p>
    <w:p w14:paraId="001D8564" w14:textId="77777777" w:rsidR="00A73750" w:rsidRPr="00D069D8" w:rsidRDefault="00A73750" w:rsidP="00A73750">
      <w:pPr>
        <w:spacing w:after="120" w:line="276" w:lineRule="auto"/>
        <w:ind w:firstLine="709"/>
        <w:jc w:val="both"/>
        <w:rPr>
          <w:rFonts w:ascii="Verdana" w:eastAsia="Calibri" w:hAnsi="Verdana" w:cs="Times New Roman"/>
          <w:lang w:val="es-ES"/>
        </w:rPr>
      </w:pPr>
      <w:r w:rsidRPr="00D069D8">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D069D8">
        <w:rPr>
          <w:rFonts w:ascii="Verdana" w:eastAsia="Calibri" w:hAnsi="Verdana" w:cs="Times New Roman"/>
          <w:lang w:val="es-ES"/>
        </w:rPr>
        <w:lastRenderedPageBreak/>
        <w:t>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792FF62" w14:textId="77777777" w:rsidR="00A73750" w:rsidRPr="00D069D8" w:rsidRDefault="00A73750" w:rsidP="00A73750">
      <w:pPr>
        <w:spacing w:after="0" w:line="276" w:lineRule="auto"/>
        <w:ind w:firstLine="708"/>
        <w:jc w:val="both"/>
        <w:rPr>
          <w:rFonts w:ascii="Verdana" w:eastAsia="Calibri" w:hAnsi="Verdana" w:cs="Times New Roman"/>
          <w:lang w:val="es-ES"/>
        </w:rPr>
      </w:pPr>
      <w:r w:rsidRPr="00D069D8">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 </w:t>
      </w:r>
    </w:p>
    <w:p w14:paraId="2D5C12F8" w14:textId="77777777" w:rsidR="00A73750" w:rsidRPr="00D069D8" w:rsidRDefault="00A73750" w:rsidP="00A73750">
      <w:pPr>
        <w:spacing w:after="0" w:line="256" w:lineRule="auto"/>
        <w:rPr>
          <w:rFonts w:ascii="Verdana" w:eastAsia="Calibri" w:hAnsi="Verdana" w:cs="Times New Roman"/>
          <w:lang w:val="es-ES"/>
        </w:rPr>
      </w:pPr>
    </w:p>
    <w:p w14:paraId="40507712" w14:textId="77777777" w:rsidR="00A73750" w:rsidRPr="00D069D8" w:rsidRDefault="00A73750" w:rsidP="00A73750">
      <w:pPr>
        <w:numPr>
          <w:ilvl w:val="0"/>
          <w:numId w:val="19"/>
        </w:numPr>
        <w:spacing w:after="0" w:line="256" w:lineRule="auto"/>
        <w:contextualSpacing/>
        <w:rPr>
          <w:rFonts w:ascii="Verdana" w:eastAsia="Calibri" w:hAnsi="Verdana" w:cs="Times New Roman"/>
          <w:b/>
          <w:bCs/>
          <w:lang w:val="es-ES"/>
        </w:rPr>
      </w:pPr>
      <w:r w:rsidRPr="00D069D8">
        <w:rPr>
          <w:rFonts w:ascii="Verdana" w:eastAsia="Calibri" w:hAnsi="Verdana" w:cs="Times New Roman"/>
          <w:b/>
          <w:bCs/>
          <w:lang w:val="es-ES"/>
        </w:rPr>
        <w:t>Problema planteado:</w:t>
      </w:r>
    </w:p>
    <w:p w14:paraId="69F4C6F7" w14:textId="77777777" w:rsidR="00A73750" w:rsidRPr="00D069D8" w:rsidRDefault="00A73750" w:rsidP="00A73750">
      <w:pPr>
        <w:spacing w:after="0" w:line="256" w:lineRule="auto"/>
        <w:rPr>
          <w:rFonts w:ascii="Verdana" w:eastAsia="Calibri" w:hAnsi="Verdana" w:cs="Times New Roman"/>
        </w:rPr>
      </w:pPr>
    </w:p>
    <w:p w14:paraId="6E81D695" w14:textId="77777777" w:rsidR="00A73750" w:rsidRPr="00D069D8" w:rsidRDefault="00A73750" w:rsidP="00A73750">
      <w:pPr>
        <w:spacing w:after="0" w:line="276" w:lineRule="auto"/>
        <w:jc w:val="both"/>
        <w:rPr>
          <w:rFonts w:ascii="Verdana" w:eastAsia="Calibri" w:hAnsi="Verdana" w:cs="Times New Roman"/>
        </w:rPr>
      </w:pPr>
      <w:r w:rsidRPr="00D069D8">
        <w:rPr>
          <w:rFonts w:ascii="Verdana" w:eastAsia="Calibri" w:hAnsi="Verdana" w:cs="Times New Roman"/>
        </w:rPr>
        <w:t>De acuerdo con el contenido de su solicitud, esta Agencia procede a resolver el siguiente problema jurídico: ¿Puede una empresa industrial y comercial del Estado que ejecuta recursos de un municipio, así como el municipio, celebrar contratos de obras pública cuyo plazo de ejecución supera la vigencia fiscal?</w:t>
      </w:r>
    </w:p>
    <w:p w14:paraId="0611FEB4" w14:textId="77777777" w:rsidR="00A73750" w:rsidRPr="00D069D8" w:rsidRDefault="00A73750" w:rsidP="00A73750">
      <w:pPr>
        <w:spacing w:after="0" w:line="256" w:lineRule="auto"/>
        <w:rPr>
          <w:rFonts w:ascii="Verdana" w:eastAsia="Calibri" w:hAnsi="Verdana" w:cs="Times New Roman"/>
        </w:rPr>
      </w:pPr>
    </w:p>
    <w:p w14:paraId="7B64FA81" w14:textId="77777777" w:rsidR="00A73750" w:rsidRPr="00D069D8" w:rsidRDefault="00A73750" w:rsidP="00A73750">
      <w:pPr>
        <w:numPr>
          <w:ilvl w:val="0"/>
          <w:numId w:val="19"/>
        </w:numPr>
        <w:spacing w:after="0" w:line="256" w:lineRule="auto"/>
        <w:contextualSpacing/>
        <w:rPr>
          <w:rFonts w:ascii="Verdana" w:eastAsia="Calibri" w:hAnsi="Verdana" w:cs="Times New Roman"/>
          <w:b/>
          <w:bCs/>
          <w:lang w:val="es-ES"/>
        </w:rPr>
      </w:pPr>
      <w:r w:rsidRPr="00D069D8">
        <w:rPr>
          <w:rFonts w:ascii="Verdana" w:eastAsia="Calibri" w:hAnsi="Verdana" w:cs="Times New Roman"/>
          <w:b/>
          <w:bCs/>
          <w:lang w:val="es-ES"/>
        </w:rPr>
        <w:t>Respuesta:</w:t>
      </w:r>
    </w:p>
    <w:p w14:paraId="6BEB3320" w14:textId="77777777" w:rsidR="00A73750" w:rsidRPr="00D069D8" w:rsidRDefault="00A73750" w:rsidP="00A73750">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A73750" w:rsidRPr="00D069D8" w14:paraId="60EA16E2" w14:textId="77777777" w:rsidTr="00645255">
        <w:trPr>
          <w:trHeight w:val="870"/>
          <w:jc w:val="center"/>
        </w:trPr>
        <w:tc>
          <w:tcPr>
            <w:tcW w:w="8784" w:type="dxa"/>
          </w:tcPr>
          <w:p w14:paraId="39155407" w14:textId="77777777" w:rsidR="00A73750" w:rsidRPr="00D069D8" w:rsidRDefault="00A73750" w:rsidP="00645255">
            <w:pPr>
              <w:spacing w:before="120" w:after="120" w:line="276" w:lineRule="auto"/>
              <w:ind w:right="79"/>
              <w:jc w:val="both"/>
              <w:rPr>
                <w:rFonts w:ascii="Verdana" w:eastAsia="Arial" w:hAnsi="Verdana" w:cs="Arial"/>
                <w:bCs/>
              </w:rPr>
            </w:pPr>
            <w:r w:rsidRPr="00D069D8">
              <w:rPr>
                <w:rFonts w:ascii="Verdana" w:hAnsi="Verdana" w:cs="Arial"/>
                <w:bCs/>
              </w:rPr>
              <w:t xml:space="preserve">Para responder el problema jurídico, objeto de consulta, se precisa </w:t>
            </w:r>
            <w:r w:rsidRPr="00D069D8">
              <w:rPr>
                <w:rFonts w:ascii="Verdana" w:eastAsia="Times New Roman" w:hAnsi="Verdana" w:cs="Arial"/>
                <w:szCs w:val="24"/>
                <w:lang w:val="es-ES" w:eastAsia="es-ES_tradnl"/>
              </w:rPr>
              <w:t xml:space="preserve">que, </w:t>
            </w:r>
            <w:r w:rsidRPr="00D069D8">
              <w:rPr>
                <w:rFonts w:ascii="Verdana" w:eastAsia="Arial" w:hAnsi="Verdana" w:cs="Arial"/>
                <w:bCs/>
              </w:rPr>
              <w:t>la anualidad del gasto es uno de los principios rectores de la actividad contractual pública, conforme al cual las entidades deben planear sus contrataciones de manera que sus compromisos contractuales sean atendidos durante la respectiva vigencia fiscal comprendida entre el 1 de enero y el 31 de diciembre. En este sentido, la regla general es que las entidades estatales solo pueden adquirir compromisos presupuestales que no excedan en su ejecución la vigencia fiscal en la que se suscribe el respectivo contrato.</w:t>
            </w:r>
          </w:p>
          <w:p w14:paraId="02455EB3" w14:textId="77777777" w:rsidR="00A73750" w:rsidRPr="00D069D8" w:rsidRDefault="00A73750" w:rsidP="00645255">
            <w:pPr>
              <w:spacing w:before="120" w:after="120" w:line="276" w:lineRule="auto"/>
              <w:ind w:right="79" w:firstLine="743"/>
              <w:jc w:val="both"/>
              <w:rPr>
                <w:rFonts w:ascii="Verdana" w:eastAsia="Arial" w:hAnsi="Verdana" w:cs="Arial"/>
                <w:bCs/>
              </w:rPr>
            </w:pPr>
            <w:r w:rsidRPr="00D069D8">
              <w:rPr>
                <w:rFonts w:ascii="Verdana" w:eastAsia="Arial" w:hAnsi="Verdana" w:cs="Arial"/>
                <w:bCs/>
              </w:rPr>
              <w:t xml:space="preserve">Sin embargo, como excepción a este principio se establecen mecanismos presupuestales dentro de los cuales se identifican las vigencias futuras, que de conformidad con el artículo 23 del Estatuto Orgánico del Presupuesto, se refieren a la autorización que deben solicitar las entidades para asumir obligaciones que afectarán los presupuestos siguientes a los de </w:t>
            </w:r>
            <w:r w:rsidRPr="00D069D8">
              <w:rPr>
                <w:rFonts w:ascii="Verdana" w:eastAsia="Arial" w:hAnsi="Verdana" w:cs="Arial"/>
                <w:bCs/>
              </w:rPr>
              <w:lastRenderedPageBreak/>
              <w:t xml:space="preserve">la vigencia fiscal en la que inició la ejecución. De igual manera, como excepción a este principio se encuentran las cuentas por pagar y las reservas presupuestales, que tienen unos procedimientos particulares para su configuración. </w:t>
            </w:r>
          </w:p>
          <w:p w14:paraId="3A4E9773" w14:textId="77777777" w:rsidR="00A73750" w:rsidRPr="00D069D8" w:rsidRDefault="00A73750" w:rsidP="00645255">
            <w:pPr>
              <w:spacing w:before="120" w:after="120" w:line="276" w:lineRule="auto"/>
              <w:ind w:right="79" w:firstLine="743"/>
              <w:jc w:val="both"/>
              <w:rPr>
                <w:rFonts w:ascii="Verdana" w:eastAsia="Arial" w:hAnsi="Verdana" w:cs="Arial"/>
                <w:bCs/>
              </w:rPr>
            </w:pPr>
            <w:r w:rsidRPr="00D069D8">
              <w:rPr>
                <w:rFonts w:ascii="Verdana" w:eastAsia="Arial" w:hAnsi="Verdana" w:cs="Arial"/>
                <w:bCs/>
              </w:rPr>
              <w:t xml:space="preserve">De esta manera, en caso de que en la etapa de planeación la entidad evidencie que el contrato a ejecutar exceda la vigencia fiscal correspondiente, deberá atender las previsiones legales sobre las excepciones al principio de anualidad del gasto y determinar cual resulta aplicable al caso en concreto. Dichas excepciones deben estar debidamente justificadas, cumplir con los requisitos establecidos por la normativa vigente y seguir los procedimientos correspondientes para su autorizaciones y ejecución, conforme a lo expuesto en las razones de la respuesta.  </w:t>
            </w:r>
          </w:p>
          <w:p w14:paraId="7414E6E0" w14:textId="77777777" w:rsidR="00A73750" w:rsidRPr="00D069D8" w:rsidRDefault="00A73750" w:rsidP="00645255">
            <w:pPr>
              <w:spacing w:before="120" w:after="120" w:line="276" w:lineRule="auto"/>
              <w:ind w:firstLine="708"/>
              <w:jc w:val="both"/>
              <w:rPr>
                <w:rFonts w:ascii="Verdana" w:eastAsia="Calibri" w:hAnsi="Verdana" w:cs="Arial"/>
                <w:bCs/>
                <w:color w:val="000000" w:themeColor="text1"/>
              </w:rPr>
            </w:pPr>
            <w:r w:rsidRPr="00D069D8">
              <w:rPr>
                <w:rFonts w:ascii="Verdana" w:eastAsia="Calibri" w:hAnsi="Verdana" w:cs="Arial"/>
                <w:bCs/>
                <w:color w:val="000000" w:themeColor="text1"/>
              </w:rPr>
              <w:t>En todo caso, la entidad contratante definirá en cada supuesto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públicas adopten la decisión que corresponda, lo cual es acorde con el principio de juridicidad. Así, cada entidad definirá la forma de adelantar su gestión contractual, sin que sea atribución de Colombia Compra Eficiente validarla.</w:t>
            </w:r>
          </w:p>
        </w:tc>
      </w:tr>
    </w:tbl>
    <w:p w14:paraId="0F7CD184" w14:textId="77777777" w:rsidR="00A73750" w:rsidRPr="00D069D8" w:rsidRDefault="00A73750" w:rsidP="00A73750">
      <w:pPr>
        <w:spacing w:after="0" w:line="276" w:lineRule="auto"/>
        <w:jc w:val="both"/>
        <w:rPr>
          <w:rFonts w:ascii="Verdana" w:eastAsia="Calibri" w:hAnsi="Verdana" w:cs="Arial"/>
          <w:bCs/>
          <w:color w:val="000000" w:themeColor="text1"/>
        </w:rPr>
      </w:pPr>
    </w:p>
    <w:p w14:paraId="427E80A2" w14:textId="77777777" w:rsidR="00A73750" w:rsidRPr="00D069D8" w:rsidRDefault="00A73750" w:rsidP="00A73750">
      <w:pPr>
        <w:numPr>
          <w:ilvl w:val="0"/>
          <w:numId w:val="19"/>
        </w:numPr>
        <w:spacing w:after="0" w:line="256" w:lineRule="auto"/>
        <w:rPr>
          <w:rFonts w:ascii="Verdana" w:eastAsia="Calibri" w:hAnsi="Verdana" w:cs="Times New Roman"/>
          <w:b/>
          <w:bCs/>
          <w:lang w:val="es-ES"/>
        </w:rPr>
      </w:pPr>
      <w:r w:rsidRPr="00D069D8">
        <w:rPr>
          <w:rFonts w:ascii="Verdana" w:eastAsia="Calibri" w:hAnsi="Verdana" w:cs="Times New Roman"/>
          <w:b/>
          <w:bCs/>
          <w:lang w:val="es-ES"/>
        </w:rPr>
        <w:t>Razones de la respuesta:</w:t>
      </w:r>
    </w:p>
    <w:p w14:paraId="0A198BDD" w14:textId="77777777" w:rsidR="00A73750" w:rsidRPr="00D069D8" w:rsidRDefault="00A73750" w:rsidP="00A73750">
      <w:pPr>
        <w:spacing w:after="0" w:line="276" w:lineRule="auto"/>
        <w:rPr>
          <w:rFonts w:ascii="Verdana" w:eastAsia="Calibri" w:hAnsi="Verdana" w:cs="Times New Roman"/>
          <w:b/>
          <w:bCs/>
          <w:lang w:val="es-ES"/>
        </w:rPr>
      </w:pPr>
    </w:p>
    <w:p w14:paraId="11175BEE" w14:textId="77777777" w:rsidR="00A73750" w:rsidRPr="00D069D8" w:rsidRDefault="00A73750" w:rsidP="00A73750">
      <w:pPr>
        <w:shd w:val="clear" w:color="auto" w:fill="FFFFFF" w:themeFill="background1"/>
        <w:spacing w:after="120" w:line="276" w:lineRule="auto"/>
        <w:ind w:right="51"/>
        <w:jc w:val="both"/>
        <w:rPr>
          <w:rFonts w:ascii="Verdana" w:eastAsia="Calibri" w:hAnsi="Verdana" w:cs="Arial"/>
          <w:color w:val="000000" w:themeColor="text1"/>
          <w:lang w:val="es-ES"/>
        </w:rPr>
      </w:pPr>
      <w:r w:rsidRPr="00D069D8">
        <w:rPr>
          <w:rFonts w:ascii="Verdana" w:eastAsia="Calibri" w:hAnsi="Verdana" w:cs="Arial"/>
          <w:color w:val="000000" w:themeColor="text1"/>
          <w:lang w:val="es-ES"/>
        </w:rPr>
        <w:t xml:space="preserve">i. Las entidades estatales deben sujetarse a los principios que rigen el sistema presupuestal, entre los cuales se encuentra el de anualidad del gasto público. Este principio encuentra fundamento constitucional </w:t>
      </w:r>
      <w:bookmarkStart w:id="1" w:name="_Hlk65717879"/>
      <w:r w:rsidRPr="00D069D8">
        <w:rPr>
          <w:rFonts w:ascii="Verdana" w:eastAsia="Calibri" w:hAnsi="Verdana" w:cs="Arial"/>
          <w:color w:val="000000" w:themeColor="text1"/>
          <w:lang w:val="es-ES"/>
        </w:rPr>
        <w:t>en el artículo 346 superior que contiene el régimen general del presupuesto de rentas y la ley de apropiaciones</w:t>
      </w:r>
      <w:r w:rsidRPr="00D069D8">
        <w:rPr>
          <w:rFonts w:ascii="Verdana" w:eastAsia="Calibri" w:hAnsi="Verdana" w:cs="Arial"/>
          <w:color w:val="000000" w:themeColor="text1"/>
          <w:vertAlign w:val="superscript"/>
          <w:lang w:val="es-ES"/>
        </w:rPr>
        <w:footnoteReference w:id="2"/>
      </w:r>
      <w:r w:rsidRPr="00D069D8">
        <w:rPr>
          <w:rFonts w:ascii="Verdana" w:eastAsia="Calibri" w:hAnsi="Verdana" w:cs="Arial"/>
          <w:color w:val="000000" w:themeColor="text1"/>
          <w:lang w:val="es-ES"/>
        </w:rPr>
        <w:t xml:space="preserve">, que deberá presentarse al Congreso dentro de los primeros diez días de cada legislatura, elaborarse y aprobarse dentro de un marco de </w:t>
      </w:r>
      <w:r w:rsidRPr="00D069D8">
        <w:rPr>
          <w:rFonts w:ascii="Verdana" w:eastAsia="Calibri" w:hAnsi="Verdana" w:cs="Arial"/>
          <w:color w:val="000000" w:themeColor="text1"/>
          <w:lang w:val="es-ES"/>
        </w:rPr>
        <w:lastRenderedPageBreak/>
        <w:t>sostenibilidad fiscal y corresponder al Plan Nacional de Desarrollo</w:t>
      </w:r>
      <w:r w:rsidRPr="00D069D8">
        <w:rPr>
          <w:rFonts w:ascii="Verdana" w:eastAsia="Calibri" w:hAnsi="Verdana" w:cs="Arial"/>
          <w:color w:val="000000" w:themeColor="text1"/>
          <w:vertAlign w:val="superscript"/>
          <w:lang w:val="es-ES"/>
        </w:rPr>
        <w:footnoteReference w:id="3"/>
      </w:r>
      <w:r w:rsidRPr="00D069D8">
        <w:rPr>
          <w:rFonts w:ascii="Verdana" w:eastAsia="Calibri" w:hAnsi="Verdana" w:cs="Arial"/>
          <w:color w:val="000000" w:themeColor="text1"/>
          <w:lang w:val="es-ES"/>
        </w:rPr>
        <w:t>. De conformidad con la misma norma constitucional, el presupuesto tiene vigencia anual y, por tanto, tienen como finalidad fijar los gastos y las rentas nacionales del Estado para la respectiva vigencia fiscal anual</w:t>
      </w:r>
      <w:bookmarkEnd w:id="1"/>
      <w:r w:rsidRPr="00D069D8">
        <w:rPr>
          <w:rFonts w:ascii="Verdana" w:eastAsia="Calibri" w:hAnsi="Verdana" w:cs="Arial"/>
          <w:color w:val="000000" w:themeColor="text1"/>
          <w:lang w:val="es-ES"/>
        </w:rPr>
        <w:t xml:space="preserve">. </w:t>
      </w:r>
    </w:p>
    <w:p w14:paraId="482E673E" w14:textId="77777777" w:rsidR="00A73750" w:rsidRPr="00D069D8" w:rsidRDefault="00A73750" w:rsidP="00A73750">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color w:val="000000" w:themeColor="text1"/>
          <w:lang w:val="es-ES_tradnl"/>
        </w:rPr>
        <w:t xml:space="preserve">En armonía con lo anterior, el Estatuto Orgánico del Presupuesto consagra este principio en el artículo 14 consistente en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Después del 31 de diciembre no podrán asumirse compromisos con cargo a las apropiaciones del año fiscal que se cierra en esa fecha y los saldos de apropiación no afectados por compromisos caducarán sin excepción</w:t>
      </w:r>
      <w:r w:rsidRPr="00D069D8">
        <w:rPr>
          <w:rFonts w:ascii="Verdana" w:eastAsia="Calibri" w:hAnsi="Verdana" w:cs="Arial"/>
          <w:lang w:val="es-ES_tradnl"/>
        </w:rPr>
        <w:t>”</w:t>
      </w:r>
      <w:r w:rsidRPr="00D069D8">
        <w:rPr>
          <w:rFonts w:ascii="Verdana" w:eastAsia="Calibri" w:hAnsi="Verdana" w:cs="Arial"/>
          <w:color w:val="000000" w:themeColor="text1"/>
          <w:lang w:val="es-ES_tradnl"/>
        </w:rPr>
        <w:t>. Es decir, los gastos previstos en el presupuesto anual deben ejecutarse dentro de una vigencia fiscal comprendida entre el 1 de enero y el 31 de diciembre</w:t>
      </w:r>
      <w:r w:rsidRPr="00D069D8">
        <w:rPr>
          <w:rFonts w:ascii="Verdana" w:eastAsia="Calibri" w:hAnsi="Verdana" w:cs="Arial"/>
          <w:color w:val="000000" w:themeColor="text1"/>
          <w:vertAlign w:val="superscript"/>
          <w:lang w:val="es-ES_tradnl"/>
        </w:rPr>
        <w:footnoteReference w:id="4"/>
      </w:r>
      <w:r w:rsidRPr="00D069D8">
        <w:rPr>
          <w:rFonts w:ascii="Verdana" w:eastAsia="Calibri" w:hAnsi="Verdana" w:cs="Arial"/>
          <w:color w:val="000000" w:themeColor="text1"/>
          <w:lang w:val="es-ES_tradnl"/>
        </w:rPr>
        <w:t>.</w:t>
      </w:r>
      <w:r w:rsidRPr="00D069D8">
        <w:rPr>
          <w:rFonts w:ascii="Verdana" w:eastAsia="Calibri" w:hAnsi="Verdana" w:cs="Arial"/>
          <w:color w:val="000000" w:themeColor="text1"/>
        </w:rPr>
        <w:t xml:space="preserve"> En el mismo sentido, </w:t>
      </w:r>
      <w:r w:rsidRPr="00D069D8">
        <w:rPr>
          <w:rFonts w:ascii="Verdana" w:eastAsia="Calibri" w:hAnsi="Verdana" w:cs="Arial"/>
          <w:color w:val="000000" w:themeColor="text1"/>
          <w:lang w:val="es-ES_tradnl"/>
        </w:rPr>
        <w:t xml:space="preserve">el artículo 89 </w:t>
      </w:r>
      <w:r w:rsidRPr="00D069D8">
        <w:rPr>
          <w:rFonts w:ascii="Verdana" w:eastAsia="Calibri" w:hAnsi="Verdana" w:cs="Arial"/>
          <w:i/>
          <w:iCs/>
          <w:color w:val="000000" w:themeColor="text1"/>
          <w:lang w:val="es-ES_tradnl"/>
        </w:rPr>
        <w:t>ibidem</w:t>
      </w:r>
      <w:r w:rsidRPr="00D069D8">
        <w:rPr>
          <w:rFonts w:ascii="Verdana" w:eastAsia="Calibri" w:hAnsi="Verdana" w:cs="Arial"/>
          <w:color w:val="000000" w:themeColor="text1"/>
          <w:lang w:val="es-ES_tradnl"/>
        </w:rPr>
        <w:t xml:space="preserve"> consolida al principio de anualidad como regla general en la ejecución del gasto al establecer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 xml:space="preserve">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w:t>
      </w:r>
      <w:proofErr w:type="spellStart"/>
      <w:r w:rsidRPr="00D069D8">
        <w:rPr>
          <w:rFonts w:ascii="Verdana" w:eastAsia="Calibri" w:hAnsi="Verdana" w:cs="Arial"/>
          <w:color w:val="000000" w:themeColor="text1"/>
          <w:lang w:val="es-ES_tradnl"/>
        </w:rPr>
        <w:t>contracreditarse</w:t>
      </w:r>
      <w:proofErr w:type="spellEnd"/>
      <w:r w:rsidRPr="00D069D8">
        <w:rPr>
          <w:rFonts w:ascii="Verdana" w:eastAsia="Calibri" w:hAnsi="Verdana" w:cs="Arial"/>
          <w:lang w:val="es-ES_tradnl"/>
        </w:rPr>
        <w:t xml:space="preserve">”. </w:t>
      </w:r>
    </w:p>
    <w:p w14:paraId="373B8EB0" w14:textId="77777777" w:rsidR="00A73750" w:rsidRPr="00D069D8" w:rsidRDefault="00A73750" w:rsidP="00A73750">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lang w:val="es-ES_tradnl"/>
        </w:rPr>
        <w:t>A su turno, el artículo 8 de la Ley 819 de 2003 consagra el principio de anualidad al disponer que “l</w:t>
      </w:r>
      <w:r w:rsidRPr="00D069D8">
        <w:rPr>
          <w:rFonts w:ascii="Verdana" w:eastAsia="Calibri" w:hAnsi="Verdana" w:cs="Arial"/>
        </w:rPr>
        <w:t xml:space="preserve">a preparación y elaboración del Presupuesto General de la Nación y el de las entidades territoriales, deberá sujetarse a los correspondientes Marcos Fiscales de Mediano Plazo de manera que las apropiaciones presupuestales aprobadas por el Congreso de la República, las </w:t>
      </w:r>
      <w:r w:rsidRPr="00D069D8">
        <w:rPr>
          <w:rFonts w:ascii="Verdana" w:eastAsia="Calibri" w:hAnsi="Verdana" w:cs="Arial"/>
        </w:rPr>
        <w:lastRenderedPageBreak/>
        <w:t>Asambleas y los Concejos, puedan ejecutarse en su totalidad durante la vigencia fiscal correspondiente”.</w:t>
      </w:r>
    </w:p>
    <w:p w14:paraId="02DDD5A0" w14:textId="77777777" w:rsidR="00A73750" w:rsidRPr="00D069D8" w:rsidRDefault="00A73750" w:rsidP="00A73750">
      <w:pPr>
        <w:shd w:val="clear" w:color="auto" w:fill="FFFFFF" w:themeFill="background1"/>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lang w:val="es-ES"/>
        </w:rPr>
        <w:t>En este contexto, la anualidad del gasto es uno de los principios rectores de la actividad contractual pública, conforme al cual las entidades deben planear sus contrataciones de manera que sus compromisos contractuales sean atendidos durante la respectiva vigencia fiscal comprendida entre el 1 de enero y el 31 de diciembre. En este sentido, la regla general es que las entidades estatales solo pueden adquirir compromisos presupuestales que no excedan en su ejecución la vigencia fiscal en la que se suscribe el respectivo contrato.</w:t>
      </w:r>
    </w:p>
    <w:p w14:paraId="13590CE1" w14:textId="77777777" w:rsidR="00A73750" w:rsidRPr="00D069D8" w:rsidRDefault="00A73750" w:rsidP="00A73750">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No obstante, conforme lo ha señalado el Consejo de Estado, el principio de anualidad no es absoluto </w:t>
      </w:r>
      <w:r w:rsidRPr="00D069D8">
        <w:rPr>
          <w:rFonts w:ascii="Verdana" w:eastAsia="Calibri" w:hAnsi="Verdana" w:cs="Arial"/>
          <w:color w:val="000000" w:themeColor="text1"/>
        </w:rPr>
        <w:t xml:space="preserve">en </w:t>
      </w:r>
      <w:r w:rsidRPr="00D069D8">
        <w:rPr>
          <w:rFonts w:ascii="Verdana" w:eastAsia="Calibri" w:hAnsi="Verdana" w:cs="Arial"/>
        </w:rPr>
        <w:t>“</w:t>
      </w:r>
      <w:r w:rsidRPr="00D069D8">
        <w:rPr>
          <w:rFonts w:ascii="Verdana" w:eastAsia="Calibri" w:hAnsi="Verdana" w:cs="Arial"/>
          <w:color w:val="000000" w:themeColor="text1"/>
        </w:rPr>
        <w:t>la medida en que la actividad presupuestal está íntimamente ligada con el principio de planeación, la cual normalmente es efectuada para periodos que superan el año calendario. Esta realidad impone la configuración de mecanismos presupuestales que permitan compatibilizar tales principios”</w:t>
      </w:r>
      <w:r w:rsidRPr="00D069D8">
        <w:rPr>
          <w:rFonts w:ascii="Verdana" w:eastAsia="Calibri" w:hAnsi="Verdana" w:cs="Arial"/>
          <w:vertAlign w:val="superscript"/>
          <w:lang w:val="es-ES_tradnl"/>
        </w:rPr>
        <w:footnoteReference w:id="5"/>
      </w:r>
      <w:r w:rsidRPr="00D069D8">
        <w:rPr>
          <w:rFonts w:ascii="Verdana" w:eastAsia="Calibri" w:hAnsi="Verdana" w:cs="Arial"/>
          <w:lang w:val="es-ES_tradnl"/>
        </w:rPr>
        <w:t>.</w:t>
      </w:r>
      <w:r w:rsidRPr="00D069D8">
        <w:rPr>
          <w:rFonts w:ascii="Verdana" w:eastAsia="Calibri" w:hAnsi="Verdana" w:cs="Arial"/>
          <w:color w:val="000000" w:themeColor="text1"/>
        </w:rPr>
        <w:t xml:space="preserve"> Así mismo, la doctrina expresa:</w:t>
      </w:r>
    </w:p>
    <w:p w14:paraId="5A4FDE98" w14:textId="77777777" w:rsidR="00A73750" w:rsidRPr="00D069D8" w:rsidRDefault="00A73750" w:rsidP="00A73750">
      <w:pPr>
        <w:shd w:val="clear" w:color="auto" w:fill="FFFFFF"/>
        <w:spacing w:after="120" w:line="240" w:lineRule="auto"/>
        <w:ind w:left="709" w:right="709" w:firstLine="709"/>
        <w:jc w:val="both"/>
        <w:rPr>
          <w:rFonts w:ascii="Verdana" w:eastAsia="Calibri" w:hAnsi="Verdana" w:cs="Arial"/>
          <w:color w:val="000000" w:themeColor="text1"/>
        </w:rPr>
      </w:pPr>
    </w:p>
    <w:p w14:paraId="451B494E" w14:textId="77777777" w:rsidR="00A73750" w:rsidRPr="00D069D8" w:rsidRDefault="00A73750" w:rsidP="00A73750">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t xml:space="preserve">Varias excepciones se presentan al momento de efectuar el cierre presupuestal, operación realizada al finalizar cada vigencia presupuestal en la cual se analiza la ejecución de las </w:t>
      </w:r>
      <w:proofErr w:type="gramStart"/>
      <w:r w:rsidRPr="00D069D8">
        <w:rPr>
          <w:rFonts w:ascii="Verdana" w:hAnsi="Verdana" w:cs="Times-Roman"/>
          <w:sz w:val="21"/>
          <w:szCs w:val="21"/>
        </w:rPr>
        <w:t>partidas</w:t>
      </w:r>
      <w:proofErr w:type="gramEnd"/>
      <w:r w:rsidRPr="00D069D8">
        <w:rPr>
          <w:rFonts w:ascii="Verdana" w:hAnsi="Verdana" w:cs="Times-Roman"/>
          <w:sz w:val="21"/>
          <w:szCs w:val="21"/>
        </w:rPr>
        <w:t xml:space="preserve"> así como el estado de las finanzas de la entidad respectiva que puede terminar en un balance de superávit, equilibrado o deficitario.</w:t>
      </w:r>
    </w:p>
    <w:p w14:paraId="42D8183E" w14:textId="77777777" w:rsidR="00A73750" w:rsidRPr="00D069D8" w:rsidRDefault="00A73750" w:rsidP="00A73750">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t>Según el principio de anualidad del presupuesto y en desarrollo del principio de eficacia de la Administración Pública contenido en el artículo 209 C.P., tenemos que el resultado que debería aparecer al cierre fiscal es que las partidas presupuestales que fueron aprobadas por la ley de presupuesto fueron debidamente comprometidas y canceladas.</w:t>
      </w:r>
    </w:p>
    <w:p w14:paraId="7726D35E" w14:textId="77777777" w:rsidR="00A73750" w:rsidRPr="00D069D8" w:rsidRDefault="00A73750" w:rsidP="00A73750">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t>Sin embargo, en la práctica presupuestal muchas veces no es posible cancelar una partida dentro de su respectiva vigencia presupuestal. Piénsese a guisa de ejemplo en un contrato de construcción de una carretera que se termina por fuera del tiempo inicialmente convenido (</w:t>
      </w:r>
      <w:r w:rsidRPr="00D069D8">
        <w:rPr>
          <w:rFonts w:ascii="Verdana" w:hAnsi="Verdana" w:cs="Times-Italic"/>
          <w:i/>
          <w:iCs/>
          <w:sz w:val="21"/>
          <w:szCs w:val="21"/>
        </w:rPr>
        <w:t>v.gr</w:t>
      </w:r>
      <w:r w:rsidRPr="00D069D8">
        <w:rPr>
          <w:rFonts w:ascii="Verdana" w:hAnsi="Verdana" w:cs="Times-Roman"/>
          <w:sz w:val="21"/>
          <w:szCs w:val="21"/>
        </w:rPr>
        <w:t>. el 25 diciembre de 2004), porque las condiciones climáticas impidieron la ejecución de este durante dos o tres meses, y habrá de entregarse la obra terminada por fuera de la vigencia presupuestal en que fue aprobada la partida.</w:t>
      </w:r>
      <w:r w:rsidRPr="00D069D8">
        <w:rPr>
          <w:rFonts w:ascii="Times-Roman" w:hAnsi="Times-Roman" w:cs="Times-Roman"/>
          <w:sz w:val="21"/>
          <w:szCs w:val="21"/>
        </w:rPr>
        <w:t xml:space="preserve"> </w:t>
      </w:r>
      <w:r w:rsidRPr="00D069D8">
        <w:rPr>
          <w:rFonts w:ascii="Verdana" w:hAnsi="Verdana" w:cs="Times-Roman"/>
          <w:sz w:val="21"/>
          <w:szCs w:val="21"/>
        </w:rPr>
        <w:t xml:space="preserve">El contrato por la prórroga o suspensión, según fuere el caso, habría de extenderse hasta el 30 de marzo, razón por la cual no podrá la administración cancelar la obligación </w:t>
      </w:r>
      <w:r w:rsidRPr="00D069D8">
        <w:rPr>
          <w:rFonts w:ascii="Verdana" w:hAnsi="Verdana" w:cs="Times-Roman"/>
          <w:sz w:val="21"/>
          <w:szCs w:val="21"/>
        </w:rPr>
        <w:lastRenderedPageBreak/>
        <w:t>correspondiente en la vigencia presupuestal originaria sino en la que se entregó la obra completamente ejecutada.</w:t>
      </w:r>
    </w:p>
    <w:p w14:paraId="2787BCFA" w14:textId="77777777" w:rsidR="00A73750" w:rsidRPr="00D069D8" w:rsidRDefault="00A73750" w:rsidP="00A73750">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t>Por este tipo de circunstancias surgen las excepciones al principio de anualidad, como son: las reservas de apropiación (</w:t>
      </w:r>
      <w:proofErr w:type="spellStart"/>
      <w:r w:rsidRPr="00D069D8">
        <w:rPr>
          <w:rFonts w:ascii="Verdana" w:hAnsi="Verdana" w:cs="Times-Roman"/>
          <w:sz w:val="21"/>
          <w:szCs w:val="21"/>
        </w:rPr>
        <w:t>ra</w:t>
      </w:r>
      <w:proofErr w:type="spellEnd"/>
      <w:r w:rsidRPr="00D069D8">
        <w:rPr>
          <w:rFonts w:ascii="Verdana" w:hAnsi="Verdana" w:cs="Times-Roman"/>
          <w:sz w:val="21"/>
          <w:szCs w:val="21"/>
        </w:rPr>
        <w:t>), las reservas de trámite negocial (</w:t>
      </w:r>
      <w:proofErr w:type="spellStart"/>
      <w:r w:rsidRPr="00D069D8">
        <w:rPr>
          <w:rFonts w:ascii="Verdana" w:hAnsi="Verdana" w:cs="Times-Roman"/>
          <w:sz w:val="21"/>
          <w:szCs w:val="21"/>
        </w:rPr>
        <w:t>rtn</w:t>
      </w:r>
      <w:proofErr w:type="spellEnd"/>
      <w:r w:rsidRPr="00D069D8">
        <w:rPr>
          <w:rFonts w:ascii="Verdana" w:hAnsi="Verdana" w:cs="Times-Roman"/>
          <w:sz w:val="21"/>
          <w:szCs w:val="21"/>
        </w:rPr>
        <w:t>), los pasivos exigibles por vigencias expiradas (</w:t>
      </w:r>
      <w:proofErr w:type="spellStart"/>
      <w:r w:rsidRPr="00D069D8">
        <w:rPr>
          <w:rFonts w:ascii="Verdana" w:hAnsi="Verdana" w:cs="Times-Roman"/>
          <w:sz w:val="21"/>
          <w:szCs w:val="21"/>
        </w:rPr>
        <w:t>peve</w:t>
      </w:r>
      <w:proofErr w:type="spellEnd"/>
      <w:r w:rsidRPr="00D069D8">
        <w:rPr>
          <w:rFonts w:ascii="Verdana" w:hAnsi="Verdana" w:cs="Times-Roman"/>
          <w:sz w:val="21"/>
          <w:szCs w:val="21"/>
        </w:rPr>
        <w:t>) y las vigencias futuras (</w:t>
      </w:r>
      <w:proofErr w:type="spellStart"/>
      <w:r w:rsidRPr="00D069D8">
        <w:rPr>
          <w:rFonts w:ascii="Verdana" w:hAnsi="Verdana" w:cs="Times-Roman"/>
          <w:sz w:val="21"/>
          <w:szCs w:val="21"/>
        </w:rPr>
        <w:t>vf</w:t>
      </w:r>
      <w:proofErr w:type="spellEnd"/>
      <w:r w:rsidRPr="00D069D8">
        <w:rPr>
          <w:rFonts w:ascii="Verdana" w:hAnsi="Verdana" w:cs="Times-Roman"/>
          <w:sz w:val="21"/>
          <w:szCs w:val="21"/>
        </w:rPr>
        <w:t>), esta última figura puede presentarse tanto de forma ordinaria como excepcionales. Es de resaltar que aun cuando las vigencias futuras son una excepción al principio de anualidad, esta no aparece en el proceso de cierre presupuestal, sino que tiene su origen en el proceso de aprobación del presupuesto y tiene implicaciones para el debido perfeccionamiento o ejecución del contrato</w:t>
      </w:r>
      <w:r w:rsidRPr="00D069D8">
        <w:rPr>
          <w:rFonts w:ascii="Verdana" w:hAnsi="Verdana" w:cs="Times-Roman"/>
          <w:sz w:val="21"/>
          <w:szCs w:val="21"/>
          <w:vertAlign w:val="superscript"/>
        </w:rPr>
        <w:footnoteReference w:id="6"/>
      </w:r>
      <w:r w:rsidRPr="00D069D8">
        <w:rPr>
          <w:rFonts w:ascii="Verdana" w:hAnsi="Verdana" w:cs="Times-Roman"/>
          <w:sz w:val="21"/>
          <w:szCs w:val="21"/>
        </w:rPr>
        <w:t>.</w:t>
      </w:r>
    </w:p>
    <w:p w14:paraId="1D69982B" w14:textId="77777777" w:rsidR="00A73750" w:rsidRPr="00D069D8" w:rsidRDefault="00A73750" w:rsidP="00A73750">
      <w:pPr>
        <w:autoSpaceDE w:val="0"/>
        <w:autoSpaceDN w:val="0"/>
        <w:adjustRightInd w:val="0"/>
        <w:spacing w:after="0" w:line="240" w:lineRule="auto"/>
        <w:jc w:val="both"/>
        <w:rPr>
          <w:rFonts w:ascii="Verdana" w:hAnsi="Verdana" w:cs="Times-Roman"/>
          <w:sz w:val="21"/>
          <w:szCs w:val="21"/>
        </w:rPr>
      </w:pPr>
    </w:p>
    <w:p w14:paraId="76FF58D3" w14:textId="77777777" w:rsidR="00A73750" w:rsidRPr="00D069D8" w:rsidRDefault="00A73750" w:rsidP="00A73750">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color w:val="000000" w:themeColor="text1"/>
          <w:lang w:val="es-ES_tradnl"/>
        </w:rPr>
        <w:t xml:space="preserve">Dentro de los mecanismos presupuestales que constituyen excepciones al principio de anualidad se identifican: i) las vigencias futuras, </w:t>
      </w:r>
      <w:proofErr w:type="spellStart"/>
      <w:r w:rsidRPr="00D069D8">
        <w:rPr>
          <w:rFonts w:ascii="Verdana" w:eastAsia="Calibri" w:hAnsi="Verdana" w:cs="Arial"/>
          <w:color w:val="000000" w:themeColor="text1"/>
          <w:lang w:val="es-ES_tradnl"/>
        </w:rPr>
        <w:t>ii</w:t>
      </w:r>
      <w:proofErr w:type="spellEnd"/>
      <w:r w:rsidRPr="00D069D8">
        <w:rPr>
          <w:rFonts w:ascii="Verdana" w:eastAsia="Calibri" w:hAnsi="Verdana" w:cs="Arial"/>
          <w:color w:val="000000" w:themeColor="text1"/>
          <w:lang w:val="es-ES_tradnl"/>
        </w:rPr>
        <w:t xml:space="preserve">) las cuentas por pagar y </w:t>
      </w:r>
      <w:proofErr w:type="spellStart"/>
      <w:r w:rsidRPr="00D069D8">
        <w:rPr>
          <w:rFonts w:ascii="Verdana" w:eastAsia="Calibri" w:hAnsi="Verdana" w:cs="Arial"/>
          <w:color w:val="000000" w:themeColor="text1"/>
          <w:lang w:val="es-ES_tradnl"/>
        </w:rPr>
        <w:t>iii</w:t>
      </w:r>
      <w:proofErr w:type="spellEnd"/>
      <w:r w:rsidRPr="00D069D8">
        <w:rPr>
          <w:rFonts w:ascii="Verdana" w:eastAsia="Calibri" w:hAnsi="Verdana" w:cs="Arial"/>
          <w:color w:val="000000" w:themeColor="text1"/>
          <w:lang w:val="es-ES_tradnl"/>
        </w:rPr>
        <w:t xml:space="preserve">) las reservas presupuestales. Las </w:t>
      </w:r>
      <w:r w:rsidRPr="00D069D8">
        <w:rPr>
          <w:rFonts w:ascii="Verdana" w:eastAsia="Calibri" w:hAnsi="Verdana" w:cs="Arial"/>
          <w:i/>
          <w:iCs/>
          <w:color w:val="000000" w:themeColor="text1"/>
          <w:lang w:val="es-ES_tradnl"/>
        </w:rPr>
        <w:t>primeras</w:t>
      </w:r>
      <w:r w:rsidRPr="00D069D8">
        <w:rPr>
          <w:rFonts w:ascii="Verdana" w:eastAsia="Calibri" w:hAnsi="Verdana" w:cs="Arial"/>
          <w:color w:val="000000" w:themeColor="text1"/>
          <w:lang w:val="es-ES_tradnl"/>
        </w:rPr>
        <w:t>, de conformidad con el artículo 23 del Estatuto Orgánico del Presupuesto</w:t>
      </w:r>
      <w:r w:rsidRPr="00D069D8">
        <w:rPr>
          <w:rFonts w:ascii="Verdana" w:eastAsia="Calibri" w:hAnsi="Verdana" w:cs="Arial"/>
          <w:color w:val="000000" w:themeColor="text1"/>
          <w:vertAlign w:val="superscript"/>
          <w:lang w:val="es-ES_tradnl"/>
        </w:rPr>
        <w:footnoteReference w:id="7"/>
      </w:r>
      <w:r w:rsidRPr="00D069D8">
        <w:rPr>
          <w:rFonts w:ascii="Verdana" w:eastAsia="Calibri" w:hAnsi="Verdana" w:cs="Arial"/>
          <w:i/>
          <w:iCs/>
          <w:color w:val="000000" w:themeColor="text1"/>
          <w:lang w:val="es-ES_tradnl"/>
        </w:rPr>
        <w:t xml:space="preserve">, </w:t>
      </w:r>
      <w:r w:rsidRPr="00D069D8">
        <w:rPr>
          <w:rFonts w:ascii="Verdana" w:eastAsia="Calibri" w:hAnsi="Verdana" w:cs="Arial"/>
          <w:color w:val="000000" w:themeColor="text1"/>
          <w:lang w:val="es-ES_tradnl"/>
        </w:rPr>
        <w:t>se</w:t>
      </w:r>
      <w:r w:rsidRPr="00D069D8">
        <w:rPr>
          <w:rFonts w:ascii="Verdana" w:eastAsia="Calibri" w:hAnsi="Verdana" w:cs="Arial"/>
          <w:i/>
          <w:iCs/>
          <w:color w:val="000000" w:themeColor="text1"/>
          <w:lang w:val="es-ES_tradnl"/>
        </w:rPr>
        <w:t xml:space="preserve"> </w:t>
      </w:r>
      <w:r w:rsidRPr="00D069D8">
        <w:rPr>
          <w:rFonts w:ascii="Verdana" w:eastAsia="Calibri" w:hAnsi="Verdana" w:cs="Arial"/>
          <w:color w:val="000000" w:themeColor="text1"/>
          <w:lang w:val="es-ES_tradnl"/>
        </w:rPr>
        <w:t xml:space="preserve">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institución el Consejo de Estado precisó que </w:t>
      </w:r>
      <w:r w:rsidRPr="00D069D8">
        <w:rPr>
          <w:rFonts w:ascii="Verdana" w:eastAsia="Calibri" w:hAnsi="Verdana" w:cs="Arial"/>
          <w:lang w:val="es-ES_tradnl"/>
        </w:rPr>
        <w:t>“</w:t>
      </w:r>
      <w:r w:rsidRPr="00D069D8">
        <w:rPr>
          <w:rFonts w:ascii="Verdana" w:eastAsia="Calibri" w:hAnsi="Verdana" w:cs="Arial"/>
          <w:color w:val="000000" w:themeColor="text1"/>
        </w:rPr>
        <w:t xml:space="preserve">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w:t>
      </w:r>
      <w:r w:rsidRPr="00D069D8">
        <w:rPr>
          <w:rFonts w:ascii="Verdana" w:eastAsia="Calibri" w:hAnsi="Verdana" w:cs="Arial"/>
          <w:color w:val="000000" w:themeColor="text1"/>
        </w:rPr>
        <w:lastRenderedPageBreak/>
        <w:t>financieros, y de esa manera garantizar el avance y conclusión de proyectos plurianuales</w:t>
      </w:r>
      <w:r w:rsidRPr="00D069D8">
        <w:rPr>
          <w:rFonts w:ascii="Verdana" w:eastAsia="Calibri" w:hAnsi="Verdana" w:cs="Arial"/>
        </w:rPr>
        <w:t>”</w:t>
      </w:r>
      <w:r w:rsidRPr="00D069D8">
        <w:rPr>
          <w:rFonts w:ascii="Verdana" w:eastAsia="Calibri" w:hAnsi="Verdana" w:cs="Arial"/>
          <w:vertAlign w:val="superscript"/>
          <w:lang w:val="es-ES_tradnl"/>
        </w:rPr>
        <w:footnoteReference w:id="8"/>
      </w:r>
      <w:r w:rsidRPr="00D069D8">
        <w:rPr>
          <w:rFonts w:ascii="Verdana" w:eastAsia="Calibri" w:hAnsi="Verdana" w:cs="Arial"/>
          <w:lang w:val="es-ES_tradnl"/>
        </w:rPr>
        <w:t xml:space="preserve">. </w:t>
      </w:r>
    </w:p>
    <w:p w14:paraId="3CFF8120" w14:textId="77777777" w:rsidR="00A73750" w:rsidRPr="00D069D8" w:rsidRDefault="00A73750" w:rsidP="00A73750">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La Ley 813 de 2003 establece en sus artículos 10° y 11° dos tipos de vigencias futuras: i) las vigencias futuras ordinarias, según la cual el Consejo Superior de Política Fiscal – </w:t>
      </w:r>
      <w:proofErr w:type="spellStart"/>
      <w:r w:rsidRPr="00D069D8">
        <w:rPr>
          <w:rFonts w:ascii="Verdana" w:eastAsia="Calibri" w:hAnsi="Verdana" w:cs="Arial"/>
          <w:color w:val="000000" w:themeColor="text1"/>
        </w:rPr>
        <w:t>Confis</w:t>
      </w:r>
      <w:proofErr w:type="spellEnd"/>
      <w:r w:rsidRPr="00D069D8">
        <w:rPr>
          <w:rFonts w:ascii="Verdana" w:eastAsia="Calibri" w:hAnsi="Verdana" w:cs="Arial"/>
          <w:color w:val="000000" w:themeColor="text1"/>
        </w:rPr>
        <w:t xml:space="preserve">,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w:t>
      </w:r>
      <w:proofErr w:type="spellStart"/>
      <w:r w:rsidRPr="00D069D8">
        <w:rPr>
          <w:rFonts w:ascii="Verdana" w:eastAsia="Calibri" w:hAnsi="Verdana" w:cs="Arial"/>
          <w:color w:val="000000" w:themeColor="text1"/>
        </w:rPr>
        <w:t>ii</w:t>
      </w:r>
      <w:proofErr w:type="spellEnd"/>
      <w:r w:rsidRPr="00D069D8">
        <w:rPr>
          <w:rFonts w:ascii="Verdana" w:eastAsia="Calibri" w:hAnsi="Verdana" w:cs="Arial"/>
          <w:color w:val="000000" w:themeColor="text1"/>
        </w:rPr>
        <w:t xml:space="preserve">) las vigencias futuras excepcionales, en virtud de la cual el </w:t>
      </w:r>
      <w:proofErr w:type="spellStart"/>
      <w:r w:rsidRPr="00D069D8">
        <w:rPr>
          <w:rFonts w:ascii="Verdana" w:eastAsia="Calibri" w:hAnsi="Verdana" w:cs="Arial"/>
          <w:color w:val="000000" w:themeColor="text1"/>
        </w:rPr>
        <w:t>Confis</w:t>
      </w:r>
      <w:proofErr w:type="spellEnd"/>
      <w:r w:rsidRPr="00D069D8">
        <w:rPr>
          <w:rFonts w:ascii="Verdana" w:eastAsia="Calibri" w:hAnsi="Verdana" w:cs="Arial"/>
          <w:color w:val="000000" w:themeColor="text1"/>
        </w:rPr>
        <w:t xml:space="preserve">,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p>
    <w:p w14:paraId="310986D0" w14:textId="77777777" w:rsidR="00A73750" w:rsidRPr="00D069D8" w:rsidRDefault="00A73750" w:rsidP="00A73750">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Por su parte, el artículo 12 </w:t>
      </w:r>
      <w:r w:rsidRPr="00D069D8">
        <w:rPr>
          <w:rFonts w:ascii="Verdana" w:eastAsia="Calibri" w:hAnsi="Verdana" w:cs="Arial"/>
          <w:i/>
          <w:iCs/>
          <w:color w:val="000000" w:themeColor="text1"/>
        </w:rPr>
        <w:t>ibidem</w:t>
      </w:r>
      <w:r w:rsidRPr="00D069D8">
        <w:rPr>
          <w:rFonts w:ascii="Verdana" w:eastAsia="Calibri" w:hAnsi="Verdana" w:cs="Arial"/>
          <w:color w:val="000000" w:themeColor="text1"/>
        </w:rPr>
        <w:t xml:space="preserve"> se refiere a las vigencias futuras ordinarias para entidades territoriales cuya autorización será impartida por la asamblea o concejo respectivo, a iniciativa del gobierno local, previa aprobación por el </w:t>
      </w:r>
      <w:proofErr w:type="spellStart"/>
      <w:r w:rsidRPr="00D069D8">
        <w:rPr>
          <w:rFonts w:ascii="Verdana" w:eastAsia="Calibri" w:hAnsi="Verdana" w:cs="Arial"/>
          <w:color w:val="000000" w:themeColor="text1"/>
        </w:rPr>
        <w:t>Confis</w:t>
      </w:r>
      <w:proofErr w:type="spellEnd"/>
      <w:r w:rsidRPr="00D069D8">
        <w:rPr>
          <w:rFonts w:ascii="Verdana" w:eastAsia="Calibri" w:hAnsi="Verdana" w:cs="Arial"/>
          <w:color w:val="000000" w:themeColor="text1"/>
        </w:rPr>
        <w:t xml:space="preserve"> territorial o el órgano que haga sus veces. Las vigencias futuras excepcionales para entidades territoriales se encuentran establecida en la Ley 1483 de 2011.  </w:t>
      </w:r>
    </w:p>
    <w:p w14:paraId="55859967" w14:textId="77777777" w:rsidR="00A73750" w:rsidRPr="00D069D8" w:rsidRDefault="00A73750" w:rsidP="00A73750">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Sobre la distinción entre las vigencias futuras ordinarias y las excepcionales el Consejo de Estado señaló que “</w:t>
      </w:r>
      <w:r w:rsidRPr="00D069D8">
        <w:rPr>
          <w:rFonts w:ascii="Verdana" w:hAnsi="Verdana" w:cs="Symbol"/>
        </w:rPr>
        <w:t xml:space="preserve">la diferencia fundamental entre las vigencias futuras ordinarias y las vigencias futuras </w:t>
      </w:r>
      <w:proofErr w:type="gramStart"/>
      <w:r w:rsidRPr="00D069D8">
        <w:rPr>
          <w:rFonts w:ascii="Verdana" w:hAnsi="Verdana" w:cs="Symbol"/>
        </w:rPr>
        <w:t>excepcionales,</w:t>
      </w:r>
      <w:proofErr w:type="gramEnd"/>
      <w:r w:rsidRPr="00D069D8">
        <w:rPr>
          <w:rFonts w:ascii="Verdana" w:hAnsi="Verdana" w:cs="Symbol"/>
        </w:rPr>
        <w:t xml:space="preserve"> radica, esencialmente, en que en las primeras la ejecución se inicia con el presupuesto de la vigencia en curso, mientras </w:t>
      </w:r>
      <w:proofErr w:type="gramStart"/>
      <w:r w:rsidRPr="00D069D8">
        <w:rPr>
          <w:rFonts w:ascii="Verdana" w:hAnsi="Verdana" w:cs="Symbol"/>
        </w:rPr>
        <w:t>que</w:t>
      </w:r>
      <w:proofErr w:type="gramEnd"/>
      <w:r w:rsidRPr="00D069D8">
        <w:rPr>
          <w:rFonts w:ascii="Verdana" w:hAnsi="Verdana" w:cs="Symbol"/>
        </w:rPr>
        <w:t xml:space="preserve"> en las excepcionales, se afecta el presupuesto de vigencias futuras, sin apropiación en el presupuesto del año en que se concede la autorización</w:t>
      </w:r>
      <w:r w:rsidRPr="00D069D8">
        <w:rPr>
          <w:rFonts w:ascii="Verdana" w:eastAsia="Calibri" w:hAnsi="Verdana" w:cs="Arial"/>
        </w:rPr>
        <w:t>”</w:t>
      </w:r>
      <w:r w:rsidRPr="00D069D8">
        <w:rPr>
          <w:rFonts w:ascii="Verdana" w:eastAsia="Calibri" w:hAnsi="Verdana" w:cs="Arial"/>
          <w:vertAlign w:val="superscript"/>
          <w:lang w:val="es-ES_tradnl"/>
        </w:rPr>
        <w:footnoteReference w:id="9"/>
      </w:r>
      <w:r w:rsidRPr="00D069D8">
        <w:rPr>
          <w:rFonts w:ascii="Verdana" w:hAnsi="Verdana" w:cs="Symbol"/>
        </w:rPr>
        <w:t>.</w:t>
      </w:r>
    </w:p>
    <w:p w14:paraId="015AD4F8" w14:textId="77777777" w:rsidR="00A73750" w:rsidRPr="00D069D8" w:rsidRDefault="00A73750" w:rsidP="00A73750">
      <w:pPr>
        <w:shd w:val="clear" w:color="auto" w:fill="FFFFFF"/>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lang w:val="es-ES_tradnl"/>
        </w:rPr>
        <w:t xml:space="preserve">Las </w:t>
      </w:r>
      <w:r w:rsidRPr="00D069D8">
        <w:rPr>
          <w:rFonts w:ascii="Verdana" w:eastAsia="Calibri" w:hAnsi="Verdana" w:cs="Arial"/>
          <w:i/>
          <w:iCs/>
          <w:color w:val="000000" w:themeColor="text1"/>
          <w:lang w:val="es-ES_tradnl"/>
        </w:rPr>
        <w:t xml:space="preserve">cuentas por pagar </w:t>
      </w:r>
      <w:r w:rsidRPr="00D069D8">
        <w:rPr>
          <w:rFonts w:ascii="Verdana" w:eastAsia="Calibri" w:hAnsi="Verdana" w:cs="Arial"/>
          <w:color w:val="000000" w:themeColor="text1"/>
          <w:lang w:val="es-ES_tradnl"/>
        </w:rPr>
        <w:t>consisten en obligaciones cumplidas en la vigencia actual,</w:t>
      </w:r>
      <w:r w:rsidRPr="00D069D8">
        <w:rPr>
          <w:rFonts w:ascii="Verdana" w:eastAsia="Calibri" w:hAnsi="Verdana" w:cs="Arial"/>
          <w:color w:val="000000" w:themeColor="text1"/>
          <w:sz w:val="19"/>
          <w:szCs w:val="19"/>
        </w:rPr>
        <w:t xml:space="preserve"> </w:t>
      </w:r>
      <w:r w:rsidRPr="00D069D8">
        <w:rPr>
          <w:rFonts w:ascii="Verdana" w:eastAsia="Calibri" w:hAnsi="Verdana" w:cs="Arial"/>
          <w:color w:val="000000" w:themeColor="text1"/>
        </w:rPr>
        <w:t>correspondientes a los anticipos pactados en los contratos y a la entrega de bienes y servicios,</w:t>
      </w:r>
      <w:r w:rsidRPr="00D069D8">
        <w:rPr>
          <w:rFonts w:ascii="Verdana" w:eastAsia="Calibri" w:hAnsi="Verdana" w:cs="Arial"/>
          <w:color w:val="000000" w:themeColor="text1"/>
          <w:lang w:val="es-ES_tradnl"/>
        </w:rPr>
        <w:t xml:space="preserve"> de las cuales solo se encuentra pendiente el pago de acuerdo con los compromisos presupuestales adquiridos por la entidad</w:t>
      </w:r>
      <w:r w:rsidRPr="00D069D8">
        <w:rPr>
          <w:rFonts w:ascii="Verdana" w:eastAsia="Calibri" w:hAnsi="Verdana" w:cs="Arial"/>
          <w:color w:val="000000" w:themeColor="text1"/>
          <w:vertAlign w:val="superscript"/>
          <w:lang w:val="es-ES_tradnl"/>
        </w:rPr>
        <w:footnoteReference w:id="10"/>
      </w:r>
      <w:r w:rsidRPr="00D069D8">
        <w:rPr>
          <w:rFonts w:ascii="Verdana" w:eastAsia="Calibri" w:hAnsi="Verdana" w:cs="Arial"/>
          <w:color w:val="000000" w:themeColor="text1"/>
          <w:lang w:val="es-ES_tradnl"/>
        </w:rPr>
        <w:t xml:space="preserve">. Y las </w:t>
      </w:r>
      <w:r w:rsidRPr="00D069D8">
        <w:rPr>
          <w:rFonts w:ascii="Verdana" w:eastAsia="Calibri" w:hAnsi="Verdana" w:cs="Arial"/>
          <w:i/>
          <w:iCs/>
          <w:color w:val="000000" w:themeColor="text1"/>
          <w:lang w:val="es-ES_tradnl"/>
        </w:rPr>
        <w:lastRenderedPageBreak/>
        <w:t xml:space="preserve">terceras, </w:t>
      </w:r>
      <w:r w:rsidRPr="00D069D8">
        <w:rPr>
          <w:rFonts w:ascii="Verdana" w:eastAsia="Calibri" w:hAnsi="Verdana" w:cs="Arial"/>
          <w:color w:val="000000" w:themeColor="text1"/>
          <w:lang w:val="es-ES_tradnl"/>
        </w:rPr>
        <w:t xml:space="preserve">las </w:t>
      </w:r>
      <w:r w:rsidRPr="00D069D8">
        <w:rPr>
          <w:rFonts w:ascii="Verdana" w:eastAsia="Calibri" w:hAnsi="Verdana" w:cs="Arial"/>
          <w:i/>
          <w:iCs/>
          <w:color w:val="000000" w:themeColor="text1"/>
          <w:lang w:val="es-ES_tradnl"/>
        </w:rPr>
        <w:t>reservas presupuestales</w:t>
      </w:r>
      <w:bookmarkStart w:id="4" w:name="_Hlk93517351"/>
      <w:r w:rsidRPr="00D069D8">
        <w:rPr>
          <w:rFonts w:ascii="Verdana" w:eastAsia="Calibri" w:hAnsi="Verdana" w:cs="Arial"/>
          <w:color w:val="000000" w:themeColor="text1"/>
          <w:lang w:val="es-ES_tradnl"/>
        </w:rPr>
        <w:t xml:space="preserve"> </w:t>
      </w:r>
      <w:r w:rsidRPr="00D069D8">
        <w:rPr>
          <w:rFonts w:ascii="Verdana" w:eastAsia="Calibri" w:hAnsi="Verdana" w:cs="Arial"/>
          <w:color w:val="000000" w:themeColor="text1"/>
          <w:lang w:val="es-ES"/>
        </w:rPr>
        <w:t>suponen que «Al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r w:rsidRPr="00D069D8">
        <w:rPr>
          <w:rFonts w:ascii="Verdana" w:eastAsia="Calibri" w:hAnsi="Verdana" w:cs="Arial"/>
          <w:color w:val="000000" w:themeColor="text1"/>
          <w:vertAlign w:val="superscript"/>
          <w:lang w:val="es-ES"/>
        </w:rPr>
        <w:footnoteReference w:id="11"/>
      </w:r>
      <w:r w:rsidRPr="00D069D8">
        <w:rPr>
          <w:rFonts w:ascii="Verdana" w:eastAsia="Calibri" w:hAnsi="Verdana" w:cs="Arial"/>
          <w:color w:val="000000" w:themeColor="text1"/>
          <w:lang w:val="es-ES"/>
        </w:rPr>
        <w:t xml:space="preserve">. </w:t>
      </w:r>
      <w:bookmarkEnd w:id="4"/>
    </w:p>
    <w:p w14:paraId="14A8EBB0" w14:textId="77777777" w:rsidR="00A73750" w:rsidRPr="00D069D8" w:rsidRDefault="00A73750" w:rsidP="00A73750">
      <w:pPr>
        <w:shd w:val="clear" w:color="auto" w:fill="FFFFFF"/>
        <w:spacing w:after="120" w:line="276" w:lineRule="auto"/>
        <w:ind w:right="51" w:firstLine="709"/>
        <w:jc w:val="both"/>
        <w:rPr>
          <w:rFonts w:ascii="Verdana" w:eastAsia="Calibri" w:hAnsi="Verdana" w:cs="Arial"/>
          <w:sz w:val="21"/>
          <w:szCs w:val="21"/>
          <w:lang w:val="es-ES_tradnl"/>
        </w:rPr>
      </w:pPr>
      <w:r w:rsidRPr="00D069D8">
        <w:rPr>
          <w:rFonts w:ascii="Verdana" w:eastAsia="Calibri" w:hAnsi="Verdana" w:cs="Arial"/>
          <w:color w:val="000000" w:themeColor="text1"/>
          <w:lang w:val="es-ES_tradnl"/>
        </w:rPr>
        <w:t>En virtud de lo anterior, las entidades estatales pueden solicitar reservas presupuestales cuando habiendo adquirido compromisos en una vigencia fiscal, a 31 de diciembre no se han cumplido en su totalidad, y, por tanto, debe continuarse con la respectiva ejecución en la siguiente vigencia. Las reservas presupuestales deben constituirse a más tardar el 20 de enero de cada año en los términos indicados por el Decreto 1068 de 2015</w:t>
      </w:r>
      <w:r w:rsidRPr="00D069D8">
        <w:rPr>
          <w:rFonts w:ascii="Verdana" w:eastAsia="Calibri" w:hAnsi="Verdana" w:cs="Arial"/>
          <w:color w:val="000000" w:themeColor="text1"/>
          <w:vertAlign w:val="superscript"/>
          <w:lang w:val="es-ES_tradnl"/>
        </w:rPr>
        <w:footnoteReference w:id="12"/>
      </w:r>
      <w:r w:rsidRPr="00D069D8">
        <w:rPr>
          <w:rFonts w:ascii="Verdana" w:eastAsia="Calibri" w:hAnsi="Verdana" w:cs="Arial"/>
          <w:color w:val="000000" w:themeColor="text1"/>
          <w:lang w:val="es-ES_tradnl"/>
        </w:rPr>
        <w:t xml:space="preserve">. </w:t>
      </w:r>
    </w:p>
    <w:p w14:paraId="2F667E41" w14:textId="77777777" w:rsidR="00A73750" w:rsidRPr="00D069D8" w:rsidRDefault="00A73750" w:rsidP="00A73750">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Sin embargo, es necesario tener en cuenta que las entidades no pueden solicitar reservas presupuestales en cualquier situación, ya que al ser un mecanismo excepcional su uso se encuentra restringido por lo que deberán estar debidamente justificadas. Esto significa que su constitución no puede obedecer a una indebida planeación contractual, pues como se anotó, tanto el régimen presupuestal como el contractual público se desarrolla sobre la base del principio de planeación. En este sentido, las reservas presupuestales no pueden ser empleadas como una herramienta ordinaria de ejecución presupuestal puesto que están concebidas como “</w:t>
      </w:r>
      <w:r w:rsidRPr="00D069D8">
        <w:rPr>
          <w:rFonts w:ascii="Verdana" w:eastAsia="Calibri" w:hAnsi="Verdana" w:cs="Arial"/>
          <w:color w:val="000000" w:themeColor="text1"/>
        </w:rPr>
        <w:t>un instrumento de uso esporádico y justificado únicamente en situaciones atípicas que impiden la ejecución de los compromisos en las fechas inicialmente previstas para ello, dentro de la misma vigencia a aquella en que el compromiso se celebró”</w:t>
      </w:r>
      <w:r w:rsidRPr="00D069D8">
        <w:rPr>
          <w:rFonts w:ascii="Verdana" w:eastAsia="Calibri" w:hAnsi="Verdana" w:cs="Arial"/>
          <w:color w:val="000000" w:themeColor="text1"/>
          <w:vertAlign w:val="superscript"/>
          <w:lang w:val="es-ES"/>
        </w:rPr>
        <w:footnoteReference w:id="13"/>
      </w:r>
      <w:r w:rsidRPr="00D069D8">
        <w:rPr>
          <w:rFonts w:ascii="Verdana" w:eastAsia="Calibri" w:hAnsi="Verdana" w:cs="Arial"/>
          <w:color w:val="000000" w:themeColor="text1"/>
        </w:rPr>
        <w:t>.</w:t>
      </w:r>
    </w:p>
    <w:p w14:paraId="0A065540" w14:textId="77777777" w:rsidR="00A73750" w:rsidRPr="00D069D8" w:rsidRDefault="00A73750" w:rsidP="00A73750">
      <w:pPr>
        <w:shd w:val="clear" w:color="auto" w:fill="FFFFFF"/>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rPr>
        <w:t xml:space="preserve">Respecto de la distinción entre las reservas presupuestales y las vigencias futuras debe señalarse que contrario a estas últimas, “la reserva presupuestal supone la existencia de un compromiso presupuestal legalmente adquirido, en otras palabras, de la existencia de un acto o contrato expedido y perfeccionado por las </w:t>
      </w:r>
      <w:proofErr w:type="gramStart"/>
      <w:r w:rsidRPr="00D069D8">
        <w:rPr>
          <w:rFonts w:ascii="Verdana" w:eastAsia="Calibri" w:hAnsi="Verdana" w:cs="Arial"/>
          <w:color w:val="000000" w:themeColor="text1"/>
        </w:rPr>
        <w:t>autoridades públicas</w:t>
      </w:r>
      <w:proofErr w:type="gramEnd"/>
      <w:r w:rsidRPr="00D069D8">
        <w:rPr>
          <w:rFonts w:ascii="Verdana" w:eastAsia="Calibri" w:hAnsi="Verdana" w:cs="Arial"/>
          <w:color w:val="000000" w:themeColor="text1"/>
          <w:lang w:val="es-ES"/>
        </w:rPr>
        <w:t>»</w:t>
      </w:r>
      <w:r w:rsidRPr="00D069D8">
        <w:rPr>
          <w:rFonts w:ascii="Verdana" w:eastAsia="Calibri" w:hAnsi="Verdana" w:cs="Arial"/>
          <w:color w:val="000000" w:themeColor="text1"/>
        </w:rPr>
        <w:t xml:space="preserve">. En cambio, en las vigencias futuras se realiza una autorización que afecta presupuestos futuros que </w:t>
      </w:r>
      <w:r w:rsidRPr="00D069D8">
        <w:rPr>
          <w:rFonts w:ascii="Verdana" w:eastAsia="Calibri" w:hAnsi="Verdana" w:cs="Arial"/>
          <w:color w:val="000000" w:themeColor="text1"/>
          <w:lang w:val="es-ES"/>
        </w:rPr>
        <w:t>«</w:t>
      </w:r>
      <w:r w:rsidRPr="00D069D8">
        <w:rPr>
          <w:rFonts w:ascii="Verdana" w:eastAsia="Calibri" w:hAnsi="Verdana" w:cs="Arial"/>
          <w:color w:val="000000" w:themeColor="text1"/>
        </w:rPr>
        <w:t xml:space="preserve">se formaliza antes de que se </w:t>
      </w:r>
      <w:r w:rsidRPr="00D069D8">
        <w:rPr>
          <w:rFonts w:ascii="Verdana" w:eastAsia="Calibri" w:hAnsi="Verdana" w:cs="Arial"/>
          <w:color w:val="000000" w:themeColor="text1"/>
        </w:rPr>
        <w:lastRenderedPageBreak/>
        <w:t>aprueben las vigencias en las que se van a ejecutar y la vida jurídica de tales autorizaciones se prolonga a lo largo de varias vigencias”</w:t>
      </w:r>
      <w:r w:rsidRPr="00D069D8">
        <w:rPr>
          <w:rFonts w:ascii="Verdana" w:eastAsia="Calibri" w:hAnsi="Verdana" w:cs="Arial"/>
          <w:color w:val="000000" w:themeColor="text1"/>
          <w:vertAlign w:val="superscript"/>
          <w:lang w:val="es-ES"/>
        </w:rPr>
        <w:footnoteReference w:id="14"/>
      </w:r>
      <w:r w:rsidRPr="00D069D8">
        <w:rPr>
          <w:rFonts w:ascii="Verdana" w:eastAsia="Calibri" w:hAnsi="Verdana" w:cs="Arial"/>
          <w:color w:val="000000" w:themeColor="text1"/>
        </w:rPr>
        <w:t xml:space="preserve">. </w:t>
      </w:r>
    </w:p>
    <w:p w14:paraId="30013AFA" w14:textId="77777777" w:rsidR="00A73750" w:rsidRPr="00D069D8" w:rsidRDefault="00A73750" w:rsidP="00A73750">
      <w:pPr>
        <w:shd w:val="clear" w:color="auto" w:fill="FFFFFF"/>
        <w:spacing w:after="12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Finalmente, es importante hacer referencia a los “pagos de pasivos exigibles – vigencias expiradas</w:t>
      </w:r>
      <w:r w:rsidRPr="00D069D8">
        <w:rPr>
          <w:rFonts w:ascii="Verdana" w:eastAsia="Calibri" w:hAnsi="Verdana" w:cs="Arial"/>
          <w:color w:val="000000" w:themeColor="text1"/>
          <w:lang w:val="es-ES"/>
        </w:rPr>
        <w:t xml:space="preserve">” </w:t>
      </w:r>
      <w:r w:rsidRPr="00D069D8">
        <w:rPr>
          <w:rFonts w:ascii="Verdana" w:eastAsia="Calibri" w:hAnsi="Verdana" w:cs="Arial"/>
          <w:color w:val="000000" w:themeColor="text1"/>
          <w:lang w:val="es-ES_tradnl"/>
        </w:rPr>
        <w:t xml:space="preserve">que procede en los casos en los que </w:t>
      </w:r>
      <w:r w:rsidRPr="00D069D8">
        <w:rPr>
          <w:rFonts w:ascii="Verdana" w:eastAsia="Calibri" w:hAnsi="Verdana" w:cs="Arial"/>
          <w:sz w:val="21"/>
          <w:szCs w:val="21"/>
          <w:lang w:val="es-ES_tradnl"/>
        </w:rPr>
        <w:t>no se haya constituido la reserva presupuestal o la cuenta por pagar o cuando habiéndose constituido no se realizó el pago respectivo</w:t>
      </w:r>
      <w:r w:rsidRPr="00D069D8">
        <w:rPr>
          <w:rFonts w:ascii="Verdana" w:eastAsia="Calibri" w:hAnsi="Verdana" w:cs="Arial"/>
          <w:color w:val="000000" w:themeColor="text1"/>
          <w:lang w:val="es-ES_tradnl"/>
        </w:rPr>
        <w:t>. El artículo 49 de la Ley 2159 de 2021 “</w:t>
      </w:r>
      <w:r w:rsidRPr="00D069D8">
        <w:rPr>
          <w:rFonts w:ascii="Verdana" w:eastAsia="Calibri" w:hAnsi="Verdana" w:cs="Arial"/>
          <w:color w:val="000000" w:themeColor="text1"/>
          <w:lang w:val="es-ES"/>
        </w:rPr>
        <w:t xml:space="preserve">Por </w:t>
      </w:r>
      <w:r w:rsidRPr="00D069D8">
        <w:rPr>
          <w:rFonts w:ascii="Verdana" w:eastAsia="Calibri" w:hAnsi="Verdana" w:cs="Arial"/>
          <w:color w:val="000000" w:themeColor="text1"/>
          <w:lang w:val="es-ES_tradnl"/>
        </w:rPr>
        <w:t xml:space="preserve">la cual se decreta el presupuesto de rentas y recursos de capital y ley de apropiaciones para la vigencia fiscal del 1° de enero al 31 de diciembre de 2022” regula esta institución de la siguiente manera: </w:t>
      </w:r>
    </w:p>
    <w:p w14:paraId="3A4045ED" w14:textId="77777777" w:rsidR="00A73750" w:rsidRPr="00D069D8" w:rsidRDefault="00A73750" w:rsidP="00A73750">
      <w:pPr>
        <w:spacing w:after="0"/>
        <w:ind w:left="709" w:right="709"/>
        <w:jc w:val="both"/>
        <w:rPr>
          <w:rFonts w:ascii="Verdana" w:eastAsia="Calibri" w:hAnsi="Verdana" w:cs="Arial"/>
          <w:i/>
          <w:iCs/>
          <w:sz w:val="21"/>
          <w:szCs w:val="21"/>
          <w:lang w:val="es-ES"/>
        </w:rPr>
      </w:pPr>
      <w:r w:rsidRPr="00D069D8">
        <w:rPr>
          <w:rFonts w:ascii="Verdana" w:eastAsia="Calibri" w:hAnsi="Verdana" w:cs="Arial"/>
          <w:sz w:val="21"/>
          <w:szCs w:val="21"/>
          <w:lang w:val="es-ES"/>
        </w:rPr>
        <w:t xml:space="preserve">Sin perjuicio de la responsabilidad fiscal y disciplinaria a que haya lugar, cuando en vigencias anteriores no se haya realizado el pago de obligaciones adquiridas con las formalidades previstas en el Estatuto Orgánico del Presupuesto y demás normas que regulan la materia, y sobre los mismos no se haya constituido la reserva presupuestal o la cuenta por pagar correspondiente, se podrá hacer el pago bajo el concepto de </w:t>
      </w:r>
      <w:r w:rsidRPr="00D069D8">
        <w:rPr>
          <w:rFonts w:ascii="Verdana" w:eastAsia="Calibri" w:hAnsi="Verdana" w:cs="Arial"/>
          <w:i/>
          <w:iCs/>
          <w:sz w:val="21"/>
          <w:szCs w:val="21"/>
          <w:lang w:val="es-ES"/>
        </w:rPr>
        <w:t xml:space="preserve">"Pago de Pasivos Exigibles - Vigencias Expiradas". </w:t>
      </w:r>
    </w:p>
    <w:p w14:paraId="4EC760AA" w14:textId="77777777" w:rsidR="00A73750" w:rsidRPr="00D069D8" w:rsidRDefault="00A73750" w:rsidP="00A73750">
      <w:pPr>
        <w:spacing w:after="0"/>
        <w:ind w:left="709" w:right="709"/>
        <w:jc w:val="both"/>
        <w:rPr>
          <w:rFonts w:ascii="Verdana" w:eastAsia="Calibri" w:hAnsi="Verdana" w:cs="Arial"/>
          <w:sz w:val="21"/>
          <w:szCs w:val="21"/>
          <w:lang w:val="es-ES_tradnl"/>
        </w:rPr>
      </w:pPr>
    </w:p>
    <w:p w14:paraId="51D42788" w14:textId="77777777" w:rsidR="00A73750" w:rsidRPr="00D069D8" w:rsidRDefault="00A73750" w:rsidP="00A73750">
      <w:pPr>
        <w:spacing w:after="0"/>
        <w:ind w:left="709" w:right="709"/>
        <w:jc w:val="both"/>
        <w:rPr>
          <w:rFonts w:ascii="Verdana" w:eastAsia="Calibri" w:hAnsi="Verdana" w:cs="Arial"/>
          <w:sz w:val="21"/>
          <w:szCs w:val="21"/>
          <w:lang w:val="es-ES_tradnl"/>
        </w:rPr>
      </w:pPr>
      <w:r w:rsidRPr="00D069D8">
        <w:rPr>
          <w:rFonts w:ascii="Verdana" w:eastAsia="Calibri" w:hAnsi="Verdana" w:cs="Arial"/>
          <w:sz w:val="21"/>
          <w:szCs w:val="21"/>
          <w:lang w:val="es-ES_tradnl"/>
        </w:rPr>
        <w:t xml:space="preserve">También procederá la operación prevista en el inciso anterior, cuando el pago no se hubiere realizado pese a haberse constituido oportunamente la reserva presupuestal o la cuenta por pagar en los términos del artículo 89 del Estatuto Orgánico del Presupuesto. </w:t>
      </w:r>
    </w:p>
    <w:p w14:paraId="52FD7B13" w14:textId="77777777" w:rsidR="00A73750" w:rsidRPr="00D069D8" w:rsidRDefault="00A73750" w:rsidP="00A73750">
      <w:pPr>
        <w:spacing w:after="0"/>
        <w:ind w:left="709" w:right="709"/>
        <w:jc w:val="both"/>
        <w:rPr>
          <w:rFonts w:ascii="Verdana" w:eastAsia="Calibri" w:hAnsi="Verdana" w:cs="Arial"/>
          <w:sz w:val="21"/>
          <w:szCs w:val="21"/>
          <w:lang w:val="es-ES"/>
        </w:rPr>
      </w:pPr>
    </w:p>
    <w:p w14:paraId="61676C9B" w14:textId="77777777" w:rsidR="00A73750" w:rsidRPr="00D069D8" w:rsidRDefault="00A73750" w:rsidP="00A73750">
      <w:pPr>
        <w:spacing w:after="0"/>
        <w:ind w:left="709" w:right="709"/>
        <w:jc w:val="both"/>
        <w:rPr>
          <w:rFonts w:ascii="Verdana" w:eastAsia="Calibri" w:hAnsi="Verdana" w:cs="Arial"/>
          <w:sz w:val="21"/>
          <w:szCs w:val="21"/>
          <w:lang w:val="es-ES"/>
        </w:rPr>
      </w:pPr>
      <w:r w:rsidRPr="00D069D8">
        <w:rPr>
          <w:rFonts w:ascii="Verdana" w:eastAsia="Calibri" w:hAnsi="Verdana" w:cs="Arial"/>
          <w:sz w:val="21"/>
          <w:szCs w:val="21"/>
          <w:lang w:val="es-ES"/>
        </w:rPr>
        <w:t xml:space="preserve">El mecanismo previsto en el primer inciso de este artículo también procederá cuando se trate del cumplimiento de una obligación originada en la ley, exigible en vigencias anteriores, aun sin que medie certificado de disponibilidad presupuestal ni registro presupuestal. </w:t>
      </w:r>
    </w:p>
    <w:p w14:paraId="57BE54F1" w14:textId="77777777" w:rsidR="00A73750" w:rsidRPr="00D069D8" w:rsidRDefault="00A73750" w:rsidP="00A73750">
      <w:pPr>
        <w:spacing w:after="0"/>
        <w:ind w:left="709" w:right="709"/>
        <w:jc w:val="both"/>
        <w:rPr>
          <w:rFonts w:ascii="Verdana" w:eastAsia="Calibri" w:hAnsi="Verdana" w:cs="Arial"/>
          <w:sz w:val="21"/>
          <w:szCs w:val="21"/>
          <w:lang w:val="es-ES"/>
        </w:rPr>
      </w:pPr>
    </w:p>
    <w:p w14:paraId="3BCD8B33" w14:textId="77777777" w:rsidR="00A73750" w:rsidRDefault="00A73750" w:rsidP="00A73750">
      <w:pPr>
        <w:spacing w:after="0"/>
        <w:ind w:left="709" w:right="709"/>
        <w:jc w:val="both"/>
        <w:rPr>
          <w:rFonts w:ascii="Verdana" w:eastAsia="Calibri" w:hAnsi="Verdana" w:cs="Arial"/>
          <w:sz w:val="21"/>
          <w:szCs w:val="21"/>
          <w:lang w:val="es-ES"/>
        </w:rPr>
      </w:pPr>
      <w:r w:rsidRPr="00D069D8">
        <w:rPr>
          <w:rFonts w:ascii="Verdana" w:eastAsia="Calibri" w:hAnsi="Verdana" w:cs="Arial"/>
          <w:sz w:val="21"/>
          <w:szCs w:val="21"/>
          <w:lang w:val="es-ES"/>
        </w:rPr>
        <w:t>Cuando se cumpla alguna de las anteriores condiciones, se podrá atender el gasto de "Pago Pasivos Exigibles - Vigencias Expiradas", a través del rubro presupuestal correspondiente de acuerdo con el detalle del anexo del decreto de liquidación. Al momento de hacerse el registro presupuestal deberá dejarse consignada la expresión "Pago Pasivos Exigibles - Vigencias Expiradas". Copia del acto administrativo que ordena su pago deberá ser remitido a la Contrataría General de la República. […] (Cursiva fuera de texto).</w:t>
      </w:r>
    </w:p>
    <w:p w14:paraId="576201B6" w14:textId="77777777" w:rsidR="00A73750" w:rsidRPr="00D069D8" w:rsidRDefault="00A73750" w:rsidP="00A73750">
      <w:pPr>
        <w:spacing w:after="0"/>
        <w:ind w:left="709" w:right="709"/>
        <w:jc w:val="both"/>
        <w:rPr>
          <w:rFonts w:ascii="Verdana" w:eastAsia="Calibri" w:hAnsi="Verdana" w:cs="Arial"/>
          <w:sz w:val="21"/>
          <w:szCs w:val="21"/>
          <w:lang w:val="es-ES"/>
        </w:rPr>
      </w:pPr>
    </w:p>
    <w:p w14:paraId="65E88951" w14:textId="77777777" w:rsidR="00A73750" w:rsidRPr="00D069D8" w:rsidRDefault="00A73750" w:rsidP="00A73750">
      <w:pPr>
        <w:shd w:val="clear" w:color="auto" w:fill="FFFFFF"/>
        <w:spacing w:after="12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 xml:space="preserve">En este sentido, el pago de “pasivos – vigencias expiradas” procederán cuando se cumplan los parámetros antes expuestos para las entidades que se </w:t>
      </w:r>
      <w:r w:rsidRPr="00D069D8">
        <w:rPr>
          <w:rFonts w:ascii="Verdana" w:eastAsia="Calibri" w:hAnsi="Verdana" w:cs="Arial"/>
          <w:color w:val="000000" w:themeColor="text1"/>
          <w:lang w:val="es-ES_tradnl"/>
        </w:rPr>
        <w:lastRenderedPageBreak/>
        <w:t xml:space="preserve">rigen por dicha Ley. En los demás casos, se deberán atender las normas presupuestales particulares que lo regulen, atendiendo a la naturaleza de la entidad pública. </w:t>
      </w:r>
    </w:p>
    <w:p w14:paraId="24E8DF57" w14:textId="77777777" w:rsidR="00A73750" w:rsidRPr="00D069D8" w:rsidRDefault="00A73750" w:rsidP="00A73750">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En conclusión, las entidades estatales deben planear sus contrataciones con fundamento en el principio de la anualidad del gasto, de manera que sus compromisos presupuestales deben ser ejecutados dentro de la vigencia fiscal comprendida entre el 1 de enero y el 31 de diciembre. Sin embargo, como excepción a este principio se establecen </w:t>
      </w:r>
      <w:r w:rsidRPr="00D069D8">
        <w:rPr>
          <w:rFonts w:ascii="Verdana" w:eastAsia="Calibri" w:hAnsi="Verdana" w:cs="Arial"/>
          <w:color w:val="000000" w:themeColor="text1"/>
        </w:rPr>
        <w:t xml:space="preserve">mecanismos presupuestales dentro de los cuales se encuentran las vigencias futuras, que permite asumir compromisos que afecten el presupuesto de vigencias posteriores. </w:t>
      </w:r>
    </w:p>
    <w:p w14:paraId="14CCCA33" w14:textId="77777777" w:rsidR="00A73750" w:rsidRPr="00D069D8" w:rsidRDefault="00A73750" w:rsidP="00A73750">
      <w:pPr>
        <w:shd w:val="clear" w:color="auto" w:fill="FFFFFF"/>
        <w:spacing w:after="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De esta manera, en caso de que en la etapa de planeación la entidad evidencie que el contrato a ejecutar exceda la vigencia fiscal correspondiente, deberá atender las previsiones legales sobre las excepciones al principio de anualidad del gasto</w:t>
      </w:r>
      <w:r w:rsidRPr="00D069D8">
        <w:rPr>
          <w:rFonts w:ascii="Verdana" w:eastAsia="Arial" w:hAnsi="Verdana" w:cs="Arial"/>
          <w:bCs/>
        </w:rPr>
        <w:t xml:space="preserve"> y determinar cual resulta aplicable al caso en concreto</w:t>
      </w:r>
      <w:r w:rsidRPr="00D069D8">
        <w:rPr>
          <w:rFonts w:ascii="Verdana" w:eastAsia="Calibri" w:hAnsi="Verdana" w:cs="Arial"/>
          <w:color w:val="000000" w:themeColor="text1"/>
        </w:rPr>
        <w:t xml:space="preserve">. Dichas excepciones deben estar debidamente justificadas, cumplir con los requisitos establecidos por la normativa vigente y seguir los procedimientos correspondientes para su autorizaciones y ejecución, conforme a lo descrito en este concepto.  </w:t>
      </w:r>
    </w:p>
    <w:p w14:paraId="0F75C5D8" w14:textId="77777777" w:rsidR="00A73750" w:rsidRPr="00D069D8" w:rsidRDefault="00A73750" w:rsidP="00A73750">
      <w:pPr>
        <w:shd w:val="clear" w:color="auto" w:fill="FFFFFF"/>
        <w:spacing w:after="0" w:line="276" w:lineRule="auto"/>
        <w:ind w:right="51" w:firstLine="709"/>
        <w:jc w:val="both"/>
        <w:rPr>
          <w:rFonts w:ascii="Verdana" w:eastAsia="Calibri" w:hAnsi="Verdana" w:cs="Arial"/>
          <w:color w:val="000000" w:themeColor="text1"/>
        </w:rPr>
      </w:pPr>
    </w:p>
    <w:p w14:paraId="3433B59A" w14:textId="77777777" w:rsidR="00A73750" w:rsidRPr="00D069D8" w:rsidRDefault="00A73750" w:rsidP="00A73750">
      <w:pPr>
        <w:spacing w:after="120" w:line="276" w:lineRule="auto"/>
        <w:jc w:val="both"/>
        <w:rPr>
          <w:rFonts w:ascii="Verdana" w:hAnsi="Verdana"/>
        </w:rPr>
      </w:pPr>
      <w:proofErr w:type="spellStart"/>
      <w:r w:rsidRPr="00D069D8">
        <w:rPr>
          <w:rFonts w:ascii="Verdana" w:eastAsia="Calibri" w:hAnsi="Verdana" w:cs="Arial"/>
          <w:color w:val="000000" w:themeColor="text1"/>
        </w:rPr>
        <w:t>ii</w:t>
      </w:r>
      <w:proofErr w:type="spellEnd"/>
      <w:r w:rsidRPr="00D069D8">
        <w:rPr>
          <w:rFonts w:ascii="Verdana" w:eastAsia="Calibri" w:hAnsi="Verdana" w:cs="Arial"/>
          <w:color w:val="000000" w:themeColor="text1"/>
        </w:rPr>
        <w:t xml:space="preserve">. </w:t>
      </w:r>
      <w:proofErr w:type="spellStart"/>
      <w:r w:rsidRPr="00D069D8">
        <w:rPr>
          <w:rFonts w:ascii="Verdana" w:eastAsia="Calibri" w:hAnsi="Verdana" w:cs="Arial"/>
          <w:bCs/>
          <w:iCs/>
          <w:lang w:val="es-ES" w:eastAsia="es-ES_tradnl"/>
        </w:rPr>
        <w:t>iii</w:t>
      </w:r>
      <w:proofErr w:type="spellEnd"/>
      <w:r w:rsidRPr="00D069D8">
        <w:rPr>
          <w:rFonts w:ascii="Verdana" w:eastAsia="Calibri" w:hAnsi="Verdana" w:cs="Arial"/>
          <w:bCs/>
          <w:iCs/>
          <w:lang w:val="es-ES" w:eastAsia="es-ES_tradnl"/>
        </w:rPr>
        <w:t xml:space="preserve">. </w:t>
      </w:r>
      <w:r w:rsidRPr="00D069D8">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ECAAF62" w14:textId="77777777" w:rsidR="00A73750" w:rsidRPr="00D069D8" w:rsidRDefault="00A73750" w:rsidP="00A73750">
      <w:pPr>
        <w:spacing w:after="0" w:line="276" w:lineRule="auto"/>
        <w:ind w:firstLine="708"/>
        <w:jc w:val="both"/>
        <w:rPr>
          <w:rFonts w:ascii="Verdana" w:eastAsia="Calibri" w:hAnsi="Verdana" w:cs="Arial"/>
          <w:bCs/>
          <w:color w:val="000000" w:themeColor="text1"/>
        </w:rPr>
      </w:pPr>
      <w:r w:rsidRPr="00D069D8">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D069D8">
        <w:rPr>
          <w:rFonts w:ascii="Verdana" w:eastAsia="Calibri" w:hAnsi="Verdana" w:cs="Arial"/>
          <w:bCs/>
          <w:color w:val="000000" w:themeColor="text1"/>
        </w:rPr>
        <w:lastRenderedPageBreak/>
        <w:t xml:space="preserve">gestión contractual, sin que sea atribución de Colombia Compra Eficiente validar sus actuaciones. </w:t>
      </w:r>
    </w:p>
    <w:p w14:paraId="00B725A9" w14:textId="77777777" w:rsidR="00A73750" w:rsidRPr="00D069D8" w:rsidRDefault="00A73750" w:rsidP="00A73750">
      <w:pPr>
        <w:shd w:val="clear" w:color="auto" w:fill="FFFFFF"/>
        <w:spacing w:after="120" w:line="276" w:lineRule="auto"/>
        <w:ind w:right="51"/>
        <w:jc w:val="both"/>
        <w:rPr>
          <w:rFonts w:ascii="Verdana" w:eastAsia="Calibri" w:hAnsi="Verdana" w:cs="Arial"/>
          <w:color w:val="000000" w:themeColor="text1"/>
        </w:rPr>
      </w:pPr>
    </w:p>
    <w:p w14:paraId="0D2C7CD2" w14:textId="77777777" w:rsidR="00A73750" w:rsidRPr="00D069D8" w:rsidRDefault="00A73750" w:rsidP="00A73750">
      <w:pPr>
        <w:numPr>
          <w:ilvl w:val="0"/>
          <w:numId w:val="19"/>
        </w:numPr>
        <w:spacing w:after="0" w:line="276" w:lineRule="auto"/>
        <w:rPr>
          <w:rFonts w:ascii="Verdana" w:eastAsia="Calibri" w:hAnsi="Verdana" w:cs="Times New Roman"/>
          <w:b/>
          <w:bCs/>
          <w:lang w:val="es-ES"/>
        </w:rPr>
      </w:pPr>
      <w:r w:rsidRPr="00D069D8">
        <w:rPr>
          <w:rFonts w:ascii="Verdana" w:eastAsia="Calibri" w:hAnsi="Verdana" w:cs="Times New Roman"/>
          <w:b/>
          <w:bCs/>
          <w:lang w:val="es-ES"/>
        </w:rPr>
        <w:t>Referencias normativas, jurisprudenciales y otras fuentes</w:t>
      </w:r>
    </w:p>
    <w:p w14:paraId="7EBD2F25" w14:textId="77777777" w:rsidR="00A73750" w:rsidRPr="00D069D8" w:rsidRDefault="00A73750" w:rsidP="00A73750">
      <w:pPr>
        <w:spacing w:after="0" w:line="276" w:lineRule="auto"/>
        <w:jc w:val="both"/>
        <w:rPr>
          <w:rFonts w:ascii="Verdana" w:eastAsia="Calibri" w:hAnsi="Verdana" w:cs="Arial"/>
          <w:color w:val="000000"/>
          <w:szCs w:val="24"/>
          <w:lang w:eastAsia="es-ES_tradnl"/>
        </w:rPr>
      </w:pPr>
      <w:r w:rsidRPr="00D069D8">
        <w:rPr>
          <w:rFonts w:ascii="Verdana" w:eastAsia="Calibri" w:hAnsi="Verdana" w:cs="Arial"/>
          <w:color w:val="000000"/>
          <w:lang w:eastAsia="es-ES_tradnl"/>
        </w:rPr>
        <w:t xml:space="preserve">   </w:t>
      </w: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73750" w:rsidRPr="00D069D8" w14:paraId="3ACEF98E" w14:textId="77777777" w:rsidTr="00645255">
        <w:trPr>
          <w:trHeight w:val="870"/>
          <w:jc w:val="center"/>
        </w:trPr>
        <w:tc>
          <w:tcPr>
            <w:tcW w:w="8647" w:type="dxa"/>
          </w:tcPr>
          <w:p w14:paraId="3AC6A640" w14:textId="77777777" w:rsidR="00A73750" w:rsidRPr="00D069D8" w:rsidRDefault="00A73750" w:rsidP="00A73750">
            <w:pPr>
              <w:numPr>
                <w:ilvl w:val="0"/>
                <w:numId w:val="24"/>
              </w:numPr>
              <w:spacing w:before="120" w:after="120" w:line="276" w:lineRule="auto"/>
              <w:ind w:left="714" w:hanging="357"/>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 xml:space="preserve">Constitución Política, artículo 352. </w:t>
            </w:r>
          </w:p>
          <w:p w14:paraId="71E4B499" w14:textId="77777777" w:rsidR="00A73750" w:rsidRPr="00D069D8" w:rsidRDefault="00A73750" w:rsidP="00A73750">
            <w:pPr>
              <w:numPr>
                <w:ilvl w:val="0"/>
                <w:numId w:val="24"/>
              </w:numPr>
              <w:spacing w:before="120" w:after="120" w:line="276" w:lineRule="auto"/>
              <w:ind w:left="714" w:hanging="357"/>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 xml:space="preserve">Decreto 111 de 1996, artículo 23.  </w:t>
            </w:r>
          </w:p>
          <w:p w14:paraId="6DF13921" w14:textId="77777777" w:rsidR="00A73750" w:rsidRPr="00D069D8" w:rsidRDefault="00A73750" w:rsidP="00A73750">
            <w:pPr>
              <w:numPr>
                <w:ilvl w:val="0"/>
                <w:numId w:val="24"/>
              </w:numPr>
              <w:spacing w:before="120"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La Ley 813 de 2003: Artículos 8, 10, 11 y 12.</w:t>
            </w:r>
          </w:p>
          <w:p w14:paraId="5A29A863" w14:textId="77777777" w:rsidR="00A73750" w:rsidRPr="00D069D8" w:rsidRDefault="00A73750" w:rsidP="00A73750">
            <w:pPr>
              <w:numPr>
                <w:ilvl w:val="0"/>
                <w:numId w:val="24"/>
              </w:numPr>
              <w:spacing w:before="120"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Ley 1483 de 2011.</w:t>
            </w:r>
          </w:p>
          <w:p w14:paraId="0B2DD27B" w14:textId="77777777" w:rsidR="00A73750" w:rsidRPr="00D069D8" w:rsidRDefault="00A73750" w:rsidP="00A73750">
            <w:pPr>
              <w:numPr>
                <w:ilvl w:val="0"/>
                <w:numId w:val="24"/>
              </w:numPr>
              <w:spacing w:before="120"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 xml:space="preserve">Ley 2159 de 2021, artículo 49. </w:t>
            </w:r>
          </w:p>
          <w:p w14:paraId="77F07D77" w14:textId="77777777" w:rsidR="00A73750" w:rsidRPr="00D069D8" w:rsidRDefault="00A73750" w:rsidP="00A73750">
            <w:pPr>
              <w:widowControl w:val="0"/>
              <w:numPr>
                <w:ilvl w:val="0"/>
                <w:numId w:val="24"/>
              </w:numPr>
              <w:autoSpaceDE w:val="0"/>
              <w:autoSpaceDN w:val="0"/>
              <w:spacing w:before="120"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 xml:space="preserve">Decreto 1068 de 2015: Artículo 2.8.3.4. </w:t>
            </w:r>
          </w:p>
          <w:p w14:paraId="600A34B1" w14:textId="77777777" w:rsidR="00A73750" w:rsidRPr="00D069D8" w:rsidRDefault="00A73750" w:rsidP="00A73750">
            <w:pPr>
              <w:widowControl w:val="0"/>
              <w:numPr>
                <w:ilvl w:val="0"/>
                <w:numId w:val="24"/>
              </w:numPr>
              <w:autoSpaceDE w:val="0"/>
              <w:autoSpaceDN w:val="0"/>
              <w:spacing w:before="120"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Consejo de Estado. Sección Tercera. Sentencia del 1 de febrero de 2018. Radicado Nro. 08001-2331-000-2010-00987-01. C.P. Oswaldo Giraldo López</w:t>
            </w:r>
          </w:p>
          <w:p w14:paraId="02944AE3" w14:textId="77777777" w:rsidR="00A73750" w:rsidRPr="00D069D8" w:rsidRDefault="00A73750" w:rsidP="00A73750">
            <w:pPr>
              <w:widowControl w:val="0"/>
              <w:numPr>
                <w:ilvl w:val="0"/>
                <w:numId w:val="24"/>
              </w:numPr>
              <w:autoSpaceDE w:val="0"/>
              <w:autoSpaceDN w:val="0"/>
              <w:spacing w:before="120"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Consejo de Estado. Sección Tercera. Sentencia del 12 de agosto de 2014. Radicado Nro. 05001-23-31-000-1998-01350-01(28565) C.P. Enrique Gil Botero</w:t>
            </w:r>
          </w:p>
          <w:p w14:paraId="0E099F1D" w14:textId="77777777" w:rsidR="00A73750" w:rsidRPr="00D069D8" w:rsidRDefault="00A73750" w:rsidP="00A73750">
            <w:pPr>
              <w:widowControl w:val="0"/>
              <w:numPr>
                <w:ilvl w:val="0"/>
                <w:numId w:val="24"/>
              </w:numPr>
              <w:autoSpaceDE w:val="0"/>
              <w:autoSpaceDN w:val="0"/>
              <w:spacing w:before="120"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Contraloría General de la República. Circular Externa 43 de 2008.</w:t>
            </w:r>
          </w:p>
          <w:p w14:paraId="2229DB4E" w14:textId="77777777" w:rsidR="00A73750" w:rsidRPr="00D069D8" w:rsidRDefault="00A73750" w:rsidP="00A73750">
            <w:pPr>
              <w:widowControl w:val="0"/>
              <w:numPr>
                <w:ilvl w:val="0"/>
                <w:numId w:val="24"/>
              </w:numPr>
              <w:autoSpaceDE w:val="0"/>
              <w:autoSpaceDN w:val="0"/>
              <w:spacing w:before="120"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NARANJO FLORES, Carlos Eduardo; CELY CUBIDES, Diego Mauricio. Las excepciones al principio de anualidad en la contratación estatal. Bogotá: Revista de Derecho Fiscal Universidad Externado de Colombia, 2008, no 4. pp. 247-259.</w:t>
            </w:r>
          </w:p>
        </w:tc>
      </w:tr>
    </w:tbl>
    <w:p w14:paraId="31489B99" w14:textId="77777777" w:rsidR="00A73750" w:rsidRPr="00D069D8" w:rsidRDefault="00A73750" w:rsidP="00A73750">
      <w:pPr>
        <w:spacing w:after="0" w:line="276" w:lineRule="auto"/>
        <w:ind w:right="709"/>
        <w:jc w:val="both"/>
        <w:rPr>
          <w:rFonts w:ascii="Verdana" w:hAnsi="Verdana" w:cs="Arial"/>
          <w:color w:val="000000" w:themeColor="text1"/>
        </w:rPr>
      </w:pPr>
    </w:p>
    <w:p w14:paraId="4985FC59" w14:textId="77777777" w:rsidR="00A73750" w:rsidRPr="00D069D8" w:rsidRDefault="00A73750" w:rsidP="00A73750">
      <w:pPr>
        <w:numPr>
          <w:ilvl w:val="0"/>
          <w:numId w:val="19"/>
        </w:numPr>
        <w:spacing w:after="0" w:line="276" w:lineRule="auto"/>
        <w:rPr>
          <w:rFonts w:ascii="Verdana" w:eastAsia="Calibri" w:hAnsi="Verdana" w:cs="Times New Roman"/>
          <w:b/>
          <w:bCs/>
          <w:lang w:val="es-ES"/>
        </w:rPr>
      </w:pPr>
      <w:r w:rsidRPr="00D069D8">
        <w:rPr>
          <w:rFonts w:ascii="Verdana" w:eastAsia="Calibri" w:hAnsi="Verdana" w:cs="Times New Roman"/>
          <w:b/>
          <w:bCs/>
          <w:lang w:val="es-ES"/>
        </w:rPr>
        <w:t>Doctrina de la Agencia Nacional de Contratación Pública:</w:t>
      </w:r>
    </w:p>
    <w:p w14:paraId="342EABEA" w14:textId="77777777" w:rsidR="00A73750" w:rsidRPr="00D069D8" w:rsidRDefault="00A73750" w:rsidP="00A73750">
      <w:pPr>
        <w:spacing w:after="0" w:line="276" w:lineRule="auto"/>
        <w:rPr>
          <w:rFonts w:ascii="Verdana" w:eastAsia="Calibri" w:hAnsi="Verdana" w:cs="Times New Roman"/>
          <w:lang w:val="es-ES"/>
        </w:rPr>
      </w:pPr>
    </w:p>
    <w:p w14:paraId="7D85F1B7" w14:textId="77777777" w:rsidR="00A73750" w:rsidRPr="00D069D8" w:rsidRDefault="00A73750" w:rsidP="00A73750">
      <w:pPr>
        <w:widowControl w:val="0"/>
        <w:autoSpaceDE w:val="0"/>
        <w:autoSpaceDN w:val="0"/>
        <w:spacing w:after="0" w:line="276" w:lineRule="auto"/>
        <w:jc w:val="both"/>
        <w:rPr>
          <w:rFonts w:ascii="Verdana" w:hAnsi="Verdana" w:cs="Arial"/>
          <w:shd w:val="clear" w:color="auto" w:fill="FFFFFF"/>
        </w:rPr>
      </w:pPr>
      <w:r w:rsidRPr="00D069D8">
        <w:rPr>
          <w:rFonts w:ascii="Verdana" w:hAnsi="Verdana" w:cs="Arial"/>
          <w:shd w:val="clear" w:color="auto" w:fill="FFFFFF"/>
        </w:rPr>
        <w:t>La Subdirección de Gestión Contractual ha expedido los siguientes conceptos con respecto al Principio de Anualidad del Gasto Público y sus excepciones:</w:t>
      </w:r>
      <w:r w:rsidRPr="00D069D8">
        <w:rPr>
          <w:rFonts w:ascii="Verdana" w:eastAsia="Calibri" w:hAnsi="Verdana" w:cs="Arial"/>
          <w:lang w:val="es-ES" w:eastAsia="es-ES"/>
        </w:rPr>
        <w:t xml:space="preserve"> C-744 del 4 de febrero de 2022, C-850 del </w:t>
      </w:r>
      <w:r w:rsidRPr="00D069D8">
        <w:rPr>
          <w:rFonts w:ascii="Verdana" w:eastAsia="Geomanist Light" w:hAnsi="Verdana" w:cs="Arial"/>
          <w:lang w:val="es-MX"/>
        </w:rPr>
        <w:t>5 de diciembre de 2024</w:t>
      </w:r>
      <w:r w:rsidRPr="00D069D8">
        <w:rPr>
          <w:rFonts w:ascii="Verdana" w:eastAsia="Calibri" w:hAnsi="Verdana" w:cs="Arial"/>
          <w:lang w:val="es-ES" w:eastAsia="es-ES"/>
        </w:rPr>
        <w:t>, C-082 del 7 de marzo de 2025, entre otros.</w:t>
      </w:r>
      <w:r w:rsidRPr="00D069D8">
        <w:rPr>
          <w:rFonts w:ascii="Verdana" w:eastAsia="Aptos" w:hAnsi="Verdana" w:cs="Arial"/>
          <w:shd w:val="clear" w:color="auto" w:fill="FFFFFF"/>
          <w:lang w:val="es-ES"/>
        </w:rPr>
        <w:t xml:space="preserve"> </w:t>
      </w:r>
      <w:r w:rsidRPr="00D069D8">
        <w:rPr>
          <w:rFonts w:ascii="Verdana" w:hAnsi="Verdana" w:cs="Arial"/>
          <w:shd w:val="clear" w:color="auto" w:fill="FFFFFF"/>
        </w:rPr>
        <w:t xml:space="preserve">Estos y otros se encuentran disponibles para consulta en el Sistema de relatoría de la Agencia, al cual puede accederse a través del siguiente enlace: </w:t>
      </w:r>
      <w:hyperlink r:id="rId13" w:history="1">
        <w:r w:rsidRPr="00D069D8">
          <w:rPr>
            <w:rFonts w:ascii="Verdana" w:hAnsi="Verdana" w:cs="Arial"/>
            <w:color w:val="0000FF"/>
            <w:u w:val="single"/>
            <w:shd w:val="clear" w:color="auto" w:fill="FFFFFF"/>
          </w:rPr>
          <w:t>https://relatoria.colombiacompra.gov.co/busqueda/conceptos</w:t>
        </w:r>
      </w:hyperlink>
      <w:r w:rsidRPr="00D069D8">
        <w:rPr>
          <w:rFonts w:ascii="Verdana" w:hAnsi="Verdana" w:cs="Arial"/>
          <w:shd w:val="clear" w:color="auto" w:fill="FFFFFF"/>
        </w:rPr>
        <w:t xml:space="preserve">. </w:t>
      </w:r>
      <w:r w:rsidRPr="00D069D8">
        <w:rPr>
          <w:rFonts w:ascii="Verdana" w:hAnsi="Verdana" w:cs="Arial"/>
          <w:shd w:val="clear" w:color="auto" w:fill="FFFFFF"/>
          <w:lang w:val="es-ES"/>
        </w:rPr>
        <w:t xml:space="preserve"> </w:t>
      </w:r>
    </w:p>
    <w:p w14:paraId="16970526" w14:textId="77777777" w:rsidR="00A73750" w:rsidRPr="00D069D8" w:rsidRDefault="00A73750" w:rsidP="00A73750">
      <w:pPr>
        <w:spacing w:after="0" w:line="276" w:lineRule="auto"/>
        <w:jc w:val="both"/>
        <w:rPr>
          <w:rFonts w:ascii="Verdana" w:hAnsi="Verdana"/>
        </w:rPr>
      </w:pPr>
    </w:p>
    <w:p w14:paraId="3AAD4C76" w14:textId="77777777" w:rsidR="00A73750" w:rsidRPr="00D069D8" w:rsidRDefault="00A73750" w:rsidP="00A73750">
      <w:pPr>
        <w:spacing w:after="0" w:line="256" w:lineRule="auto"/>
        <w:jc w:val="both"/>
        <w:rPr>
          <w:rFonts w:ascii="Verdana" w:eastAsia="Calibri" w:hAnsi="Verdana" w:cs="Times New Roman"/>
        </w:rPr>
      </w:pPr>
      <w:r w:rsidRPr="00D069D8">
        <w:rPr>
          <w:rFonts w:ascii="Verdana" w:eastAsia="Calibri" w:hAnsi="Verdana" w:cs="Times New Roman"/>
        </w:rPr>
        <w:lastRenderedPageBreak/>
        <w:t xml:space="preserve">Te informamos que ya se encuentra disponible la </w:t>
      </w:r>
      <w:r w:rsidRPr="00D069D8">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D069D8">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069D8">
        <w:rPr>
          <w:rFonts w:ascii="Verdana" w:eastAsia="Calibri" w:hAnsi="Verdana" w:cs="Times New Roman"/>
        </w:rPr>
        <w:t>Wayúu</w:t>
      </w:r>
      <w:proofErr w:type="spellEnd"/>
      <w:r w:rsidRPr="00D069D8">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255B138D" w14:textId="77777777" w:rsidR="00A73750" w:rsidRPr="00D069D8" w:rsidRDefault="00A73750" w:rsidP="00A73750">
      <w:pPr>
        <w:spacing w:after="0" w:line="276" w:lineRule="auto"/>
        <w:jc w:val="both"/>
        <w:rPr>
          <w:rFonts w:ascii="Verdana" w:hAnsi="Verdana"/>
        </w:rPr>
      </w:pPr>
    </w:p>
    <w:p w14:paraId="3209C30B" w14:textId="77777777" w:rsidR="00A73750" w:rsidRPr="00D069D8" w:rsidRDefault="00A73750" w:rsidP="00A73750">
      <w:pPr>
        <w:spacing w:after="0" w:line="276" w:lineRule="auto"/>
        <w:jc w:val="both"/>
        <w:rPr>
          <w:rFonts w:ascii="Verdana" w:eastAsia="Calibri" w:hAnsi="Verdana" w:cs="Times New Roman"/>
          <w:bCs/>
          <w:lang w:val="es-ES_tradnl"/>
        </w:rPr>
      </w:pPr>
      <w:r w:rsidRPr="00D069D8">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B8C4707" w14:textId="77777777" w:rsidR="00A73750" w:rsidRPr="00D069D8" w:rsidRDefault="00A73750" w:rsidP="00A73750">
      <w:pPr>
        <w:spacing w:after="0" w:line="276" w:lineRule="auto"/>
        <w:jc w:val="both"/>
        <w:rPr>
          <w:rFonts w:ascii="Verdana" w:hAnsi="Verdana"/>
        </w:rPr>
      </w:pPr>
    </w:p>
    <w:p w14:paraId="0F8D9CB4" w14:textId="77777777" w:rsidR="00A73750" w:rsidRPr="00D069D8" w:rsidRDefault="00A73750" w:rsidP="00A73750">
      <w:pPr>
        <w:spacing w:after="0" w:line="276" w:lineRule="auto"/>
        <w:jc w:val="both"/>
        <w:rPr>
          <w:rFonts w:ascii="Verdana" w:hAnsi="Verdana"/>
          <w:lang w:val="es-MX"/>
        </w:rPr>
      </w:pPr>
      <w:r w:rsidRPr="00D069D8">
        <w:rPr>
          <w:rFonts w:ascii="Verdana" w:hAnsi="Verdana"/>
          <w:lang w:val="es-MX"/>
        </w:rPr>
        <w:t>Cordialmente,</w:t>
      </w:r>
    </w:p>
    <w:p w14:paraId="46C171F8" w14:textId="68680D50" w:rsidR="00A73750" w:rsidRDefault="00A73750" w:rsidP="00A73750">
      <w:pPr>
        <w:spacing w:after="0" w:line="256" w:lineRule="auto"/>
        <w:jc w:val="center"/>
        <w:rPr>
          <w:noProof/>
          <w:lang w:val="en-US"/>
        </w:rPr>
      </w:pPr>
    </w:p>
    <w:p w14:paraId="7AD3B570" w14:textId="6F90783D" w:rsidR="0037437B" w:rsidRDefault="0037437B" w:rsidP="00A73750">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1461C116" wp14:editId="05392577">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2722" cy="1229722"/>
                    </a:xfrm>
                    <a:prstGeom prst="rect">
                      <a:avLst/>
                    </a:prstGeom>
                  </pic:spPr>
                </pic:pic>
              </a:graphicData>
            </a:graphic>
          </wp:inline>
        </w:drawing>
      </w:r>
    </w:p>
    <w:p w14:paraId="063E0300" w14:textId="77777777" w:rsidR="00A73750" w:rsidRPr="00D069D8" w:rsidRDefault="00A73750" w:rsidP="00A73750">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A73750" w:rsidRPr="00D069D8" w14:paraId="5E53D02F" w14:textId="77777777" w:rsidTr="00645255">
        <w:trPr>
          <w:trHeight w:val="409"/>
        </w:trPr>
        <w:tc>
          <w:tcPr>
            <w:tcW w:w="817" w:type="dxa"/>
            <w:tcBorders>
              <w:top w:val="nil"/>
              <w:left w:val="nil"/>
              <w:bottom w:val="nil"/>
              <w:right w:val="nil"/>
            </w:tcBorders>
            <w:vAlign w:val="center"/>
            <w:hideMark/>
          </w:tcPr>
          <w:p w14:paraId="1405CA8E" w14:textId="77777777" w:rsidR="00A73750" w:rsidRPr="00D069D8" w:rsidRDefault="00A73750" w:rsidP="00645255">
            <w:pPr>
              <w:spacing w:after="0" w:line="256" w:lineRule="auto"/>
              <w:rPr>
                <w:rFonts w:ascii="Verdana" w:eastAsia="Calibri" w:hAnsi="Verdana" w:cs="Times New Roman"/>
                <w:sz w:val="16"/>
                <w:szCs w:val="16"/>
              </w:rPr>
            </w:pPr>
            <w:r w:rsidRPr="00D069D8">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D385BDD" w14:textId="77777777" w:rsidR="00A73750" w:rsidRPr="00D069D8" w:rsidRDefault="00A73750" w:rsidP="00645255">
            <w:pPr>
              <w:spacing w:after="0" w:line="256" w:lineRule="auto"/>
              <w:rPr>
                <w:rFonts w:ascii="Verdana" w:eastAsia="Calibri" w:hAnsi="Verdana" w:cs="Times New Roman"/>
                <w:sz w:val="16"/>
                <w:szCs w:val="16"/>
              </w:rPr>
            </w:pPr>
            <w:r w:rsidRPr="00D069D8">
              <w:rPr>
                <w:rFonts w:ascii="Verdana" w:eastAsia="Calibri" w:hAnsi="Verdana" w:cs="Times New Roman"/>
                <w:sz w:val="16"/>
                <w:szCs w:val="16"/>
              </w:rPr>
              <w:t>José Luis Sánchez Cardona</w:t>
            </w:r>
          </w:p>
          <w:p w14:paraId="3629028E" w14:textId="77777777" w:rsidR="00A73750" w:rsidRPr="00D069D8" w:rsidRDefault="00A73750" w:rsidP="00645255">
            <w:pPr>
              <w:spacing w:after="0" w:line="256" w:lineRule="auto"/>
              <w:rPr>
                <w:rFonts w:ascii="Verdana" w:eastAsia="Calibri" w:hAnsi="Verdana" w:cs="Times New Roman"/>
                <w:sz w:val="16"/>
                <w:szCs w:val="16"/>
              </w:rPr>
            </w:pPr>
            <w:r w:rsidRPr="00D069D8">
              <w:rPr>
                <w:rFonts w:ascii="Verdana" w:eastAsia="Calibri" w:hAnsi="Verdana" w:cs="Times New Roman"/>
                <w:sz w:val="16"/>
                <w:szCs w:val="16"/>
              </w:rPr>
              <w:t>Contratista de la Subdirección de Gestión Contractual</w:t>
            </w:r>
          </w:p>
        </w:tc>
      </w:tr>
      <w:tr w:rsidR="00A73750" w:rsidRPr="00D069D8" w14:paraId="59F51C56" w14:textId="77777777" w:rsidTr="00645255">
        <w:trPr>
          <w:trHeight w:val="409"/>
        </w:trPr>
        <w:tc>
          <w:tcPr>
            <w:tcW w:w="817" w:type="dxa"/>
            <w:tcBorders>
              <w:top w:val="nil"/>
              <w:left w:val="nil"/>
              <w:bottom w:val="nil"/>
              <w:right w:val="nil"/>
            </w:tcBorders>
            <w:vAlign w:val="center"/>
            <w:hideMark/>
          </w:tcPr>
          <w:p w14:paraId="506689AB" w14:textId="77777777" w:rsidR="00A73750" w:rsidRPr="00D069D8" w:rsidRDefault="00A73750" w:rsidP="00645255">
            <w:pPr>
              <w:spacing w:after="0" w:line="256" w:lineRule="auto"/>
              <w:rPr>
                <w:rFonts w:ascii="Verdana" w:eastAsia="Calibri" w:hAnsi="Verdana" w:cs="Times New Roman"/>
                <w:sz w:val="16"/>
                <w:szCs w:val="16"/>
              </w:rPr>
            </w:pPr>
            <w:r w:rsidRPr="00D069D8">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8BC42DC" w14:textId="77777777" w:rsidR="00A73750" w:rsidRPr="00D069D8" w:rsidRDefault="00A73750" w:rsidP="00645255">
            <w:pPr>
              <w:spacing w:after="0" w:line="256" w:lineRule="auto"/>
              <w:rPr>
                <w:rFonts w:ascii="Verdana" w:eastAsia="Calibri" w:hAnsi="Verdana" w:cs="Times New Roman"/>
                <w:sz w:val="16"/>
                <w:szCs w:val="16"/>
              </w:rPr>
            </w:pPr>
            <w:r w:rsidRPr="00D069D8">
              <w:rPr>
                <w:rFonts w:ascii="Verdana" w:eastAsia="Calibri" w:hAnsi="Verdana" w:cs="Times New Roman"/>
                <w:sz w:val="16"/>
                <w:szCs w:val="16"/>
              </w:rPr>
              <w:t>Alejandro Sarmiento Cantillo</w:t>
            </w:r>
          </w:p>
          <w:p w14:paraId="395DAE51" w14:textId="77777777" w:rsidR="00A73750" w:rsidRPr="00D069D8" w:rsidRDefault="00A73750" w:rsidP="00645255">
            <w:pPr>
              <w:spacing w:after="0" w:line="256" w:lineRule="auto"/>
              <w:rPr>
                <w:rFonts w:ascii="Verdana" w:eastAsia="Calibri" w:hAnsi="Verdana" w:cs="Times New Roman"/>
                <w:sz w:val="16"/>
                <w:szCs w:val="16"/>
              </w:rPr>
            </w:pPr>
            <w:r w:rsidRPr="00D069D8">
              <w:rPr>
                <w:rFonts w:ascii="Verdana" w:eastAsia="Calibri" w:hAnsi="Verdana" w:cs="Times New Roman"/>
                <w:sz w:val="16"/>
                <w:szCs w:val="16"/>
              </w:rPr>
              <w:t>Gestor T1-15 de la Subdirección de Gestión Contractual </w:t>
            </w:r>
          </w:p>
        </w:tc>
      </w:tr>
      <w:tr w:rsidR="00A73750" w:rsidRPr="00D069D8" w14:paraId="3762164D" w14:textId="77777777" w:rsidTr="00645255">
        <w:trPr>
          <w:trHeight w:val="389"/>
        </w:trPr>
        <w:tc>
          <w:tcPr>
            <w:tcW w:w="817" w:type="dxa"/>
            <w:tcBorders>
              <w:top w:val="nil"/>
              <w:left w:val="nil"/>
              <w:bottom w:val="nil"/>
              <w:right w:val="nil"/>
            </w:tcBorders>
            <w:vAlign w:val="center"/>
            <w:hideMark/>
          </w:tcPr>
          <w:p w14:paraId="2B4CF0F3" w14:textId="77777777" w:rsidR="00A73750" w:rsidRPr="00D069D8" w:rsidRDefault="00A73750" w:rsidP="00645255">
            <w:pPr>
              <w:spacing w:after="0" w:line="256" w:lineRule="auto"/>
              <w:rPr>
                <w:rFonts w:ascii="Verdana" w:eastAsia="Calibri" w:hAnsi="Verdana" w:cs="Times New Roman"/>
                <w:sz w:val="16"/>
                <w:szCs w:val="16"/>
              </w:rPr>
            </w:pPr>
            <w:r w:rsidRPr="00D069D8">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1C46EB9" w14:textId="77777777" w:rsidR="00A73750" w:rsidRPr="00D069D8" w:rsidRDefault="00A73750" w:rsidP="00645255">
            <w:pPr>
              <w:spacing w:after="0" w:line="256" w:lineRule="auto"/>
              <w:rPr>
                <w:rFonts w:ascii="Verdana" w:eastAsia="Calibri" w:hAnsi="Verdana" w:cs="Times New Roman"/>
                <w:sz w:val="16"/>
                <w:szCs w:val="16"/>
              </w:rPr>
            </w:pPr>
            <w:r w:rsidRPr="00D069D8">
              <w:rPr>
                <w:rFonts w:ascii="Verdana" w:eastAsia="Calibri" w:hAnsi="Verdana" w:cs="Times New Roman"/>
                <w:sz w:val="16"/>
                <w:szCs w:val="16"/>
              </w:rPr>
              <w:t xml:space="preserve">Carolina Quintero </w:t>
            </w:r>
            <w:proofErr w:type="spellStart"/>
            <w:r w:rsidRPr="00D069D8">
              <w:rPr>
                <w:rFonts w:ascii="Verdana" w:eastAsia="Calibri" w:hAnsi="Verdana" w:cs="Times New Roman"/>
                <w:sz w:val="16"/>
                <w:szCs w:val="16"/>
              </w:rPr>
              <w:t>Gacharná</w:t>
            </w:r>
            <w:proofErr w:type="spellEnd"/>
          </w:p>
          <w:p w14:paraId="27D87DE2" w14:textId="77777777" w:rsidR="00A73750" w:rsidRPr="00D069D8" w:rsidRDefault="00A73750" w:rsidP="00645255">
            <w:pPr>
              <w:spacing w:after="0" w:line="256" w:lineRule="auto"/>
              <w:rPr>
                <w:rFonts w:ascii="Verdana" w:eastAsia="Calibri" w:hAnsi="Verdana" w:cs="Times New Roman"/>
                <w:sz w:val="16"/>
                <w:szCs w:val="16"/>
              </w:rPr>
            </w:pPr>
            <w:r w:rsidRPr="00D069D8">
              <w:rPr>
                <w:rFonts w:ascii="Verdana" w:eastAsia="Calibri" w:hAnsi="Verdana" w:cs="Times New Roman"/>
                <w:sz w:val="16"/>
                <w:szCs w:val="16"/>
              </w:rPr>
              <w:t>Subdirectora de Gestión Contractual ANCP – CCE</w:t>
            </w:r>
          </w:p>
        </w:tc>
      </w:tr>
      <w:bookmarkEnd w:id="0"/>
    </w:tbl>
    <w:p w14:paraId="48FE6196" w14:textId="77777777" w:rsidR="00A73750" w:rsidRPr="0044528D" w:rsidRDefault="00A73750" w:rsidP="00A73750">
      <w:pPr>
        <w:spacing w:after="0"/>
        <w:rPr>
          <w:rFonts w:ascii="Verdana" w:hAnsi="Verdana"/>
        </w:rPr>
      </w:pPr>
    </w:p>
    <w:p w14:paraId="0F293BF4" w14:textId="786808B8" w:rsidR="00127233" w:rsidRPr="00A73750" w:rsidRDefault="00127233" w:rsidP="00A73750"/>
    <w:sectPr w:rsidR="00127233" w:rsidRPr="00A73750"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C6FD57" w14:textId="77777777" w:rsidR="00E119F0" w:rsidRDefault="00E119F0" w:rsidP="004A1847">
      <w:pPr>
        <w:spacing w:after="0" w:line="240" w:lineRule="auto"/>
      </w:pPr>
      <w:r>
        <w:separator/>
      </w:r>
    </w:p>
  </w:endnote>
  <w:endnote w:type="continuationSeparator" w:id="0">
    <w:p w14:paraId="3095C80F" w14:textId="77777777" w:rsidR="00E119F0" w:rsidRDefault="00E119F0" w:rsidP="004A1847">
      <w:pPr>
        <w:spacing w:after="0" w:line="240" w:lineRule="auto"/>
      </w:pPr>
      <w:r>
        <w:continuationSeparator/>
      </w:r>
    </w:p>
  </w:endnote>
  <w:endnote w:type="continuationNotice" w:id="1">
    <w:p w14:paraId="1CE2C435" w14:textId="77777777" w:rsidR="00E119F0" w:rsidRDefault="00E119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A3783B" w:rsidRDefault="00A3783B">
    <w:pPr>
      <w:pStyle w:val="Piedepgina"/>
    </w:pPr>
  </w:p>
  <w:p w14:paraId="594D6D9F" w14:textId="44950710" w:rsidR="00A3783B" w:rsidRPr="00174B77" w:rsidRDefault="00A3783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E559C8" w:rsidRPr="00E559C8">
      <w:rPr>
        <w:rFonts w:ascii="Verdana" w:eastAsiaTheme="minorEastAsia" w:hAnsi="Verdana"/>
        <w:b/>
        <w:bCs/>
        <w:noProof/>
        <w:sz w:val="16"/>
        <w:szCs w:val="16"/>
      </w:rPr>
      <w:t>14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A3783B" w:rsidRDefault="00A3783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A3783B" w:rsidRPr="00E41027" w:rsidRDefault="00A3783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A3783B" w:rsidRDefault="00A3783B"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551811" w14:textId="77777777" w:rsidR="00E119F0" w:rsidRDefault="00E119F0" w:rsidP="004A1847">
      <w:pPr>
        <w:spacing w:after="0" w:line="240" w:lineRule="auto"/>
      </w:pPr>
      <w:r>
        <w:separator/>
      </w:r>
    </w:p>
  </w:footnote>
  <w:footnote w:type="continuationSeparator" w:id="0">
    <w:p w14:paraId="41FABDFC" w14:textId="77777777" w:rsidR="00E119F0" w:rsidRDefault="00E119F0" w:rsidP="004A1847">
      <w:pPr>
        <w:spacing w:after="0" w:line="240" w:lineRule="auto"/>
      </w:pPr>
      <w:r>
        <w:continuationSeparator/>
      </w:r>
    </w:p>
  </w:footnote>
  <w:footnote w:type="continuationNotice" w:id="1">
    <w:p w14:paraId="6EBE0F6D" w14:textId="77777777" w:rsidR="00E119F0" w:rsidRDefault="00E119F0">
      <w:pPr>
        <w:spacing w:after="0" w:line="240" w:lineRule="auto"/>
      </w:pPr>
    </w:p>
  </w:footnote>
  <w:footnote w:id="2">
    <w:p w14:paraId="541AB40E" w14:textId="77777777" w:rsidR="00A73750" w:rsidRPr="00F73D92" w:rsidRDefault="00A73750" w:rsidP="00A73750">
      <w:pPr>
        <w:pStyle w:val="Textonotapie"/>
        <w:ind w:firstLine="708"/>
        <w:jc w:val="both"/>
        <w:rPr>
          <w:rFonts w:ascii="Verdana" w:hAnsi="Verdana" w:cs="Arial"/>
          <w:sz w:val="16"/>
          <w:szCs w:val="16"/>
        </w:rPr>
      </w:pPr>
      <w:r w:rsidRPr="00F73D92">
        <w:rPr>
          <w:rStyle w:val="Refdenotaalpie"/>
          <w:rFonts w:ascii="Verdana" w:hAnsi="Verdana" w:cs="Arial"/>
          <w:sz w:val="16"/>
          <w:szCs w:val="16"/>
        </w:rPr>
        <w:footnoteRef/>
      </w:r>
      <w:r>
        <w:rPr>
          <w:rFonts w:ascii="Verdana" w:hAnsi="Verdana" w:cs="Arial"/>
          <w:sz w:val="16"/>
          <w:szCs w:val="16"/>
        </w:rPr>
        <w:t xml:space="preserve"> “</w:t>
      </w:r>
      <w:r w:rsidRPr="00F73D92">
        <w:rPr>
          <w:rFonts w:ascii="Verdana" w:hAnsi="Verdana" w:cs="Arial"/>
          <w:sz w:val="16"/>
          <w:szCs w:val="16"/>
        </w:rPr>
        <w:t>El instrumento principal de la actividad financiera del gobierno es el presupuesto público, el cual es también la carta de orientación para la ejecución de las finanzas estatales, instrumento de planificación y cumplimiento de planes y programas que refleja la actividad gubernamental y el cumplimiento de la Constitución Política en los ámbitos políticos, económicos, jurídicos y sociales. […] El presupuesto enmarca toda la práctica de política fiscal del Estado. Por medio de éste se llevan a cabo la búsqueda y el cumplimiento de principios y finalidades de la actuación administrativa, y que (sic) en últimas, orienta la satisfacción de necesidades de los individuos que lo conforman y se garantizan los recursos necesarios para el normal funcionamiento del apa</w:t>
      </w:r>
      <w:r>
        <w:rPr>
          <w:rFonts w:ascii="Verdana" w:hAnsi="Verdana" w:cs="Arial"/>
          <w:sz w:val="16"/>
          <w:szCs w:val="16"/>
        </w:rPr>
        <w:t>rato estatal”.</w:t>
      </w:r>
      <w:r w:rsidRPr="00F73D92">
        <w:rPr>
          <w:rFonts w:ascii="Verdana" w:hAnsi="Verdana" w:cs="Arial"/>
          <w:sz w:val="16"/>
          <w:szCs w:val="16"/>
        </w:rPr>
        <w:t xml:space="preserve"> PEÑA GONZÁLEZ, Edilberto. Principios e instituciones presupuestales en Colombia, en: Estudios Socio-Jurídicos, Bogotá (Colombia), 9 (1), enero-junio de 2007, p. 248 y 250.</w:t>
      </w:r>
    </w:p>
  </w:footnote>
  <w:footnote w:id="3">
    <w:p w14:paraId="1F7A5368" w14:textId="77777777" w:rsidR="00A73750" w:rsidRPr="00F73D92" w:rsidRDefault="00A73750" w:rsidP="00A73750">
      <w:pPr>
        <w:pStyle w:val="Textonotapie"/>
        <w:ind w:firstLine="708"/>
        <w:jc w:val="both"/>
        <w:rPr>
          <w:rFonts w:ascii="Verdana" w:hAnsi="Verdana" w:cs="Arial"/>
          <w:sz w:val="16"/>
          <w:szCs w:val="16"/>
        </w:rPr>
      </w:pPr>
      <w:r w:rsidRPr="00F73D92">
        <w:rPr>
          <w:rStyle w:val="Refdenotaalpie"/>
          <w:rFonts w:ascii="Verdana" w:hAnsi="Verdana" w:cs="Arial"/>
          <w:sz w:val="16"/>
          <w:szCs w:val="16"/>
        </w:rPr>
        <w:footnoteRef/>
      </w:r>
      <w:r w:rsidRPr="00F73D92">
        <w:rPr>
          <w:rFonts w:ascii="Verdana" w:hAnsi="Verdana" w:cs="Arial"/>
          <w:sz w:val="16"/>
          <w:szCs w:val="16"/>
        </w:rPr>
        <w:t xml:space="preserve"> De conformidad con lo dispuesto en el artículo 10 del Decreto 111 </w:t>
      </w:r>
      <w:r>
        <w:rPr>
          <w:rFonts w:ascii="Verdana" w:hAnsi="Verdana" w:cs="Arial"/>
          <w:sz w:val="16"/>
          <w:szCs w:val="16"/>
        </w:rPr>
        <w:t>de 1996 “</w:t>
      </w:r>
      <w:r w:rsidRPr="00F73D92">
        <w:rPr>
          <w:rFonts w:ascii="Verdana" w:hAnsi="Verdana" w:cs="Arial"/>
          <w:sz w:val="16"/>
          <w:szCs w:val="16"/>
        </w:rPr>
        <w:t>La Ley Anual sobre el Presupuesto General de la Nación es el instrumento para el cumplimiento de los planes y programas de</w:t>
      </w:r>
      <w:r>
        <w:rPr>
          <w:rFonts w:ascii="Verdana" w:hAnsi="Verdana" w:cs="Arial"/>
          <w:sz w:val="16"/>
          <w:szCs w:val="16"/>
        </w:rPr>
        <w:t xml:space="preserve"> desarrollo económico y social”</w:t>
      </w:r>
      <w:r w:rsidRPr="00F73D92">
        <w:rPr>
          <w:rFonts w:ascii="Verdana" w:hAnsi="Verdana" w:cs="Arial"/>
          <w:sz w:val="16"/>
          <w:szCs w:val="16"/>
        </w:rPr>
        <w:t xml:space="preserve"> </w:t>
      </w:r>
    </w:p>
    <w:p w14:paraId="32DE79D9" w14:textId="77777777" w:rsidR="00A73750" w:rsidRPr="00F73D92" w:rsidRDefault="00A73750" w:rsidP="00A73750">
      <w:pPr>
        <w:pStyle w:val="Textonotapie"/>
        <w:ind w:firstLine="708"/>
        <w:jc w:val="both"/>
        <w:rPr>
          <w:rFonts w:ascii="Verdana" w:hAnsi="Verdana" w:cs="Arial"/>
          <w:sz w:val="16"/>
          <w:szCs w:val="16"/>
        </w:rPr>
      </w:pPr>
      <w:r w:rsidRPr="00F73D92">
        <w:rPr>
          <w:rFonts w:ascii="Verdana" w:hAnsi="Verdana" w:cs="Arial"/>
          <w:sz w:val="16"/>
          <w:szCs w:val="16"/>
        </w:rPr>
        <w:t>A su turno, el artículo 1</w:t>
      </w:r>
      <w:r>
        <w:rPr>
          <w:rFonts w:ascii="Verdana" w:hAnsi="Verdana" w:cs="Arial"/>
          <w:sz w:val="16"/>
          <w:szCs w:val="16"/>
        </w:rPr>
        <w:t>1 del mismo Decreto indica que “</w:t>
      </w:r>
      <w:r w:rsidRPr="00F73D92">
        <w:rPr>
          <w:rFonts w:ascii="Verdana" w:hAnsi="Verdana" w:cs="Arial"/>
          <w:sz w:val="16"/>
          <w:szCs w:val="16"/>
        </w:rPr>
        <w:t>El Presupuesto General de la Nación se compone de las siguientes partes:</w:t>
      </w:r>
    </w:p>
    <w:p w14:paraId="1BF55519" w14:textId="77777777" w:rsidR="00A73750" w:rsidRPr="00F73D92" w:rsidRDefault="00A73750" w:rsidP="00A73750">
      <w:pPr>
        <w:pStyle w:val="Textonotapie"/>
        <w:ind w:firstLine="708"/>
        <w:jc w:val="both"/>
        <w:rPr>
          <w:rFonts w:ascii="Verdana" w:hAnsi="Verdana" w:cs="Arial"/>
          <w:sz w:val="16"/>
          <w:szCs w:val="16"/>
        </w:rPr>
      </w:pPr>
      <w:r w:rsidRPr="00F73D92">
        <w:rPr>
          <w:rFonts w:ascii="Verdana" w:hAnsi="Verdana" w:cs="Arial"/>
          <w:sz w:val="16"/>
          <w:szCs w:val="16"/>
        </w:rPr>
        <w:t>a) El Presupuesto de Rentas contendrá la estimación de los ingresos corrientes de la Nación; de las contribuciones para fiscales cuando sean administradas por un órgano que haga parte del Presupuesto, de los fondos especiales, de los recursos de capital y de los ingresos de los establecimientos públicos del orden nacional;</w:t>
      </w:r>
    </w:p>
    <w:p w14:paraId="2DCE5CB3" w14:textId="77777777" w:rsidR="00A73750" w:rsidRPr="00F73D92" w:rsidRDefault="00A73750" w:rsidP="00A73750">
      <w:pPr>
        <w:pStyle w:val="Textonotapie"/>
        <w:ind w:firstLine="708"/>
        <w:jc w:val="both"/>
        <w:rPr>
          <w:rFonts w:ascii="Verdana" w:hAnsi="Verdana" w:cs="Arial"/>
          <w:sz w:val="16"/>
          <w:szCs w:val="16"/>
        </w:rPr>
      </w:pPr>
      <w:r w:rsidRPr="00F73D92">
        <w:rPr>
          <w:rFonts w:ascii="Verdana" w:hAnsi="Verdana" w:cs="Arial"/>
          <w:sz w:val="16"/>
          <w:szCs w:val="16"/>
        </w:rPr>
        <w:t>b) El Presupuesto de Gastos o Ley de Apropiaciones. Incluirá las apropiaciones para la Rama Judicial, la Rama Legislativa, la Fiscalía General de la Nación, la Procuraduría General de la Nación, la Defensoría del Pueblo, la Contraloría General de la República, la Registraduría Nacional del Estado Civil que incluye el Consejo Nacional Electoral, los Ministerios, los Departamentos Administrativos, los Establecimientos Públicos y la Policía Nacional, distinguiendo entre gastos de funcionamiento, servicio de la deuda pública y gastos de inversión, clasificados y detallados en la forma que indiquen los reglamentos;</w:t>
      </w:r>
    </w:p>
    <w:p w14:paraId="60C716D7" w14:textId="77777777" w:rsidR="00A73750" w:rsidRPr="00F73D92" w:rsidRDefault="00A73750" w:rsidP="00A73750">
      <w:pPr>
        <w:pStyle w:val="Textonotapie"/>
        <w:ind w:firstLine="708"/>
        <w:jc w:val="both"/>
        <w:rPr>
          <w:rFonts w:ascii="Verdana" w:hAnsi="Verdana" w:cs="Arial"/>
          <w:sz w:val="16"/>
          <w:szCs w:val="16"/>
          <w:lang w:val="es-CO"/>
        </w:rPr>
      </w:pPr>
      <w:r w:rsidRPr="00F73D92">
        <w:rPr>
          <w:rFonts w:ascii="Verdana" w:hAnsi="Verdana" w:cs="Arial"/>
          <w:sz w:val="16"/>
          <w:szCs w:val="16"/>
        </w:rPr>
        <w:t xml:space="preserve"> c) Disposiciones generales. Corresponde a las normas tendientes a asegurar la correcta ejecución del Presupuesto General de la Nación, las cuales regirán únicamente para el año fiscal para el cual se expidan.»</w:t>
      </w:r>
    </w:p>
  </w:footnote>
  <w:footnote w:id="4">
    <w:p w14:paraId="50C431D0" w14:textId="77777777" w:rsidR="00A73750" w:rsidRPr="00F73D92" w:rsidRDefault="00A73750" w:rsidP="00A73750">
      <w:pPr>
        <w:pStyle w:val="Textonotapie"/>
        <w:ind w:firstLine="709"/>
        <w:jc w:val="both"/>
        <w:rPr>
          <w:rFonts w:ascii="Verdana" w:hAnsi="Verdana"/>
          <w:sz w:val="16"/>
          <w:szCs w:val="16"/>
          <w:lang w:val="es-CO"/>
        </w:rPr>
      </w:pPr>
      <w:r w:rsidRPr="00F73D92">
        <w:rPr>
          <w:rStyle w:val="Refdenotaalpie"/>
          <w:rFonts w:ascii="Verdana" w:hAnsi="Verdana" w:cs="Arial"/>
          <w:sz w:val="16"/>
          <w:szCs w:val="16"/>
        </w:rPr>
        <w:footnoteRef/>
      </w:r>
      <w:r>
        <w:rPr>
          <w:rFonts w:ascii="Verdana" w:hAnsi="Verdana" w:cs="Arial"/>
          <w:sz w:val="16"/>
          <w:szCs w:val="16"/>
        </w:rPr>
        <w:t xml:space="preserve"> Decreto 1068 de 2015 “</w:t>
      </w:r>
      <w:r w:rsidRPr="00F73D92">
        <w:rPr>
          <w:rFonts w:ascii="Verdana" w:hAnsi="Verdana" w:cs="Arial"/>
          <w:sz w:val="16"/>
          <w:szCs w:val="16"/>
          <w:lang w:val="es-CO"/>
        </w:rPr>
        <w:t>Artículo </w:t>
      </w:r>
      <w:bookmarkStart w:id="2" w:name="2.8.3.4"/>
      <w:bookmarkEnd w:id="2"/>
      <w:r w:rsidRPr="00F73D92">
        <w:rPr>
          <w:rFonts w:ascii="Verdana" w:hAnsi="Verdana" w:cs="Arial"/>
          <w:sz w:val="16"/>
          <w:szCs w:val="16"/>
          <w:lang w:val="es-CO"/>
        </w:rPr>
        <w:t>2.8.3.4. </w:t>
      </w:r>
      <w:r w:rsidRPr="00F73D92">
        <w:rPr>
          <w:rFonts w:ascii="Verdana" w:hAnsi="Verdana" w:cs="Arial"/>
          <w:i/>
          <w:iCs/>
          <w:sz w:val="16"/>
          <w:szCs w:val="16"/>
          <w:lang w:val="es-CO"/>
        </w:rPr>
        <w:t>Anualidad.</w:t>
      </w:r>
      <w:r w:rsidRPr="00F73D92">
        <w:rPr>
          <w:rFonts w:ascii="Verdana" w:hAnsi="Verdana" w:cs="Arial"/>
          <w:sz w:val="16"/>
          <w:szCs w:val="16"/>
          <w:lang w:val="es-CO"/>
        </w:rPr>
        <w:t> El año fiscal comienza el 1 de enero y termina el 31 de diciembre de cada año. Después del 31 de diciembre no podrán asumirse compromisos con cargo a las apropiaciones del año fiscal que se cierra en esa fecha y los saldos de apropiación no afectados por compromisos caducarán sin excepción</w:t>
      </w:r>
      <w:r>
        <w:rPr>
          <w:rFonts w:ascii="Verdana" w:hAnsi="Verdana" w:cs="Arial"/>
          <w:sz w:val="16"/>
          <w:szCs w:val="16"/>
          <w:lang w:val="es-CO"/>
        </w:rPr>
        <w:t>”</w:t>
      </w:r>
      <w:r w:rsidRPr="00F73D92">
        <w:rPr>
          <w:rFonts w:ascii="Verdana" w:hAnsi="Verdana" w:cs="Arial"/>
          <w:sz w:val="16"/>
          <w:szCs w:val="16"/>
          <w:lang w:val="es-CO"/>
        </w:rPr>
        <w:t>.</w:t>
      </w:r>
    </w:p>
  </w:footnote>
  <w:footnote w:id="5">
    <w:p w14:paraId="11B7CE22" w14:textId="77777777" w:rsidR="00A73750" w:rsidRPr="00F73D92" w:rsidRDefault="00A73750" w:rsidP="00A73750">
      <w:pPr>
        <w:pStyle w:val="Textonotapie"/>
        <w:ind w:right="49" w:firstLine="708"/>
        <w:jc w:val="both"/>
        <w:rPr>
          <w:rFonts w:ascii="Verdana" w:hAnsi="Verdana" w:cs="Arial"/>
          <w:color w:val="000000"/>
          <w:sz w:val="16"/>
          <w:szCs w:val="16"/>
        </w:rPr>
      </w:pPr>
      <w:r w:rsidRPr="00F73D92">
        <w:rPr>
          <w:rStyle w:val="Refdenotaalpie"/>
          <w:rFonts w:ascii="Verdana" w:hAnsi="Verdana"/>
          <w:sz w:val="16"/>
          <w:szCs w:val="16"/>
        </w:rPr>
        <w:footnoteRef/>
      </w:r>
      <w:r w:rsidRPr="00F73D92">
        <w:rPr>
          <w:rFonts w:ascii="Verdana" w:hAnsi="Verdana"/>
          <w:sz w:val="16"/>
          <w:szCs w:val="16"/>
        </w:rPr>
        <w:t xml:space="preserve"> </w:t>
      </w:r>
      <w:r w:rsidRPr="00F73D92">
        <w:rPr>
          <w:rFonts w:ascii="Verdana" w:hAnsi="Verdana" w:cs="Arial"/>
          <w:color w:val="000000"/>
          <w:sz w:val="16"/>
          <w:szCs w:val="16"/>
        </w:rPr>
        <w:t>Consejo de Estado. Sección Tercera. Sentencia del 1 de febrero de 2018. Radicado Nro.</w:t>
      </w:r>
      <w:r w:rsidRPr="00F73D92">
        <w:rPr>
          <w:rFonts w:ascii="Verdana" w:hAnsi="Verdana" w:cs="Arial"/>
          <w:color w:val="000000"/>
          <w:sz w:val="16"/>
          <w:szCs w:val="16"/>
          <w:lang w:val="es-CO"/>
        </w:rPr>
        <w:t xml:space="preserve"> 08001-2331-000-2010-00987-01</w:t>
      </w:r>
      <w:r w:rsidRPr="00F73D92">
        <w:rPr>
          <w:rFonts w:ascii="Verdana" w:hAnsi="Verdana" w:cs="Arial"/>
          <w:color w:val="000000"/>
          <w:sz w:val="16"/>
          <w:szCs w:val="16"/>
        </w:rPr>
        <w:t xml:space="preserve">. C.P. </w:t>
      </w:r>
      <w:r w:rsidRPr="00F73D92">
        <w:rPr>
          <w:rFonts w:ascii="Verdana" w:hAnsi="Verdana" w:cs="Arial"/>
          <w:color w:val="000000"/>
          <w:sz w:val="16"/>
          <w:szCs w:val="16"/>
          <w:lang w:val="es-CO"/>
        </w:rPr>
        <w:t>Oswaldo Giraldo López</w:t>
      </w:r>
    </w:p>
    <w:p w14:paraId="536BB276" w14:textId="77777777" w:rsidR="00A73750" w:rsidRPr="00F73D92" w:rsidRDefault="00A73750" w:rsidP="00A73750">
      <w:pPr>
        <w:pStyle w:val="Textonotapie"/>
        <w:jc w:val="both"/>
        <w:rPr>
          <w:rFonts w:ascii="Verdana" w:hAnsi="Verdana"/>
          <w:sz w:val="16"/>
          <w:szCs w:val="16"/>
          <w:lang w:val="es-CO"/>
        </w:rPr>
      </w:pPr>
    </w:p>
  </w:footnote>
  <w:footnote w:id="6">
    <w:p w14:paraId="65AA36FA" w14:textId="77777777" w:rsidR="00A73750" w:rsidRPr="004746C4" w:rsidRDefault="00A73750" w:rsidP="00A73750">
      <w:pPr>
        <w:pStyle w:val="Textonotapie"/>
        <w:ind w:firstLine="708"/>
        <w:rPr>
          <w:rFonts w:ascii="Verdana" w:hAnsi="Verdana"/>
          <w:sz w:val="16"/>
          <w:szCs w:val="16"/>
          <w:lang w:val="es-ES"/>
        </w:rPr>
      </w:pPr>
      <w:r w:rsidRPr="004746C4">
        <w:rPr>
          <w:rStyle w:val="Refdenotaalpie"/>
          <w:rFonts w:ascii="Verdana" w:hAnsi="Verdana"/>
          <w:sz w:val="16"/>
          <w:szCs w:val="16"/>
        </w:rPr>
        <w:footnoteRef/>
      </w:r>
      <w:r w:rsidRPr="004746C4">
        <w:rPr>
          <w:rStyle w:val="Refdenotaalpie"/>
          <w:rFonts w:ascii="Verdana" w:hAnsi="Verdana"/>
          <w:sz w:val="16"/>
          <w:szCs w:val="16"/>
        </w:rPr>
        <w:footnoteRef/>
      </w:r>
      <w:r w:rsidRPr="004746C4">
        <w:rPr>
          <w:rFonts w:ascii="Verdana" w:hAnsi="Verdana"/>
          <w:sz w:val="16"/>
          <w:szCs w:val="16"/>
        </w:rPr>
        <w:t xml:space="preserve"> NARANJO FLORES, Carlos Eduardo; CELY CUBIDES, Diego Mauricio. Las excepciones al principio de anualidad en la contratación estatal. Bogotá: Revista de Derecho Fiscal Universidad Externado de Colombia, 2008, no 4. pp. 250-251. </w:t>
      </w:r>
    </w:p>
  </w:footnote>
  <w:footnote w:id="7">
    <w:p w14:paraId="4E0BF40E" w14:textId="77777777" w:rsidR="00A73750" w:rsidRPr="004746C4" w:rsidRDefault="00A73750" w:rsidP="00A73750">
      <w:pPr>
        <w:pStyle w:val="Textonotapie"/>
        <w:ind w:firstLine="709"/>
        <w:jc w:val="both"/>
        <w:rPr>
          <w:rFonts w:ascii="Verdana" w:hAnsi="Verdana" w:cs="Arial"/>
          <w:sz w:val="16"/>
          <w:szCs w:val="16"/>
          <w:lang w:val="es-CO"/>
        </w:rPr>
      </w:pPr>
      <w:r w:rsidRPr="004746C4">
        <w:rPr>
          <w:rStyle w:val="Refdenotaalpie"/>
          <w:rFonts w:ascii="Verdana" w:hAnsi="Verdana" w:cs="Arial"/>
          <w:sz w:val="16"/>
          <w:szCs w:val="16"/>
        </w:rPr>
        <w:footnoteRef/>
      </w:r>
      <w:r w:rsidRPr="004746C4">
        <w:rPr>
          <w:rFonts w:ascii="Verdana" w:hAnsi="Verdana" w:cs="Arial"/>
          <w:sz w:val="16"/>
          <w:szCs w:val="16"/>
        </w:rPr>
        <w:t xml:space="preserve"> </w:t>
      </w:r>
      <w:bookmarkStart w:id="3" w:name="23"/>
      <w:r>
        <w:rPr>
          <w:rFonts w:ascii="Verdana" w:eastAsia="Calibri" w:hAnsi="Verdana" w:cs="Arial"/>
          <w:sz w:val="16"/>
          <w:szCs w:val="16"/>
          <w:lang w:val="es-ES_tradnl"/>
        </w:rPr>
        <w:t>“</w:t>
      </w:r>
      <w:r w:rsidRPr="004746C4">
        <w:rPr>
          <w:rFonts w:ascii="Verdana" w:hAnsi="Verdana" w:cs="Arial"/>
          <w:sz w:val="16"/>
          <w:szCs w:val="16"/>
          <w:lang w:val="es-CO"/>
        </w:rPr>
        <w:t>Artículo 23.</w:t>
      </w:r>
      <w:bookmarkEnd w:id="3"/>
      <w:r w:rsidRPr="004746C4">
        <w:rPr>
          <w:rFonts w:ascii="Verdana" w:hAnsi="Verdana" w:cs="Arial"/>
          <w:sz w:val="16"/>
          <w:szCs w:val="16"/>
          <w:lang w:val="es-CO"/>
        </w:rPr>
        <w:t xml:space="preserve"> El Confis podrá autorizar la asunción de obligaciones que afecten presupuestos de vigencias futuras cuando su ejecución se inicie con presupuesto de la vigencia en curso y el objeto del compromiso se lleve a cabo en cada una de ellas siempre y cuando se cumpla que:</w:t>
      </w:r>
    </w:p>
    <w:p w14:paraId="3B9E91C1" w14:textId="77777777" w:rsidR="00A73750" w:rsidRPr="004746C4" w:rsidRDefault="00A73750" w:rsidP="00A73750">
      <w:pPr>
        <w:pStyle w:val="Textonotapie"/>
        <w:ind w:firstLine="567"/>
        <w:jc w:val="both"/>
        <w:rPr>
          <w:rFonts w:ascii="Verdana" w:hAnsi="Verdana" w:cs="Arial"/>
          <w:sz w:val="16"/>
          <w:szCs w:val="16"/>
          <w:lang w:val="es-CO"/>
        </w:rPr>
      </w:pPr>
      <w:r w:rsidRPr="004746C4">
        <w:rPr>
          <w:rFonts w:ascii="Verdana" w:hAnsi="Verdana" w:cs="Arial"/>
          <w:sz w:val="16"/>
          <w:szCs w:val="16"/>
          <w:lang w:val="es-CO"/>
        </w:rPr>
        <w:t>a) El monto máximo de vigencias futuras, el plazo y las condiciones de las mismas consulte las metas plurianuales del Marco Fiscal de Mediano Plazo de que trata el artículo </w:t>
      </w:r>
      <w:hyperlink r:id="rId1" w:anchor="1" w:history="1">
        <w:r w:rsidRPr="004746C4">
          <w:rPr>
            <w:rStyle w:val="Hipervnculo"/>
            <w:rFonts w:ascii="Verdana" w:hAnsi="Verdana" w:cs="Arial"/>
            <w:sz w:val="16"/>
            <w:szCs w:val="16"/>
            <w:lang w:val="es-CO"/>
          </w:rPr>
          <w:t>1</w:t>
        </w:r>
      </w:hyperlink>
      <w:r w:rsidRPr="004746C4">
        <w:rPr>
          <w:rFonts w:ascii="Verdana" w:hAnsi="Verdana" w:cs="Arial"/>
          <w:sz w:val="16"/>
          <w:szCs w:val="16"/>
          <w:lang w:val="es-CO"/>
        </w:rPr>
        <w:t>o de esta ley;</w:t>
      </w:r>
    </w:p>
    <w:p w14:paraId="4D4A7CB1" w14:textId="77777777" w:rsidR="00A73750" w:rsidRPr="004746C4" w:rsidRDefault="00A73750" w:rsidP="00A73750">
      <w:pPr>
        <w:pStyle w:val="Textonotapie"/>
        <w:ind w:firstLine="567"/>
        <w:jc w:val="both"/>
        <w:rPr>
          <w:rFonts w:ascii="Verdana" w:hAnsi="Verdana" w:cs="Arial"/>
          <w:sz w:val="16"/>
          <w:szCs w:val="16"/>
          <w:lang w:val="es-CO"/>
        </w:rPr>
      </w:pPr>
      <w:r w:rsidRPr="004746C4">
        <w:rPr>
          <w:rFonts w:ascii="Verdana" w:hAnsi="Verdana" w:cs="Arial"/>
          <w:sz w:val="16"/>
          <w:szCs w:val="16"/>
          <w:lang w:val="es-CO"/>
        </w:rPr>
        <w:t>b) Como mínimo, de las vigencias futuras que se soliciten se deberá contar con apropiación del quince por ciento (15%) en la vigencia fiscal en la que estas sean autorizadas;</w:t>
      </w:r>
    </w:p>
    <w:p w14:paraId="3D9E7B80" w14:textId="77777777" w:rsidR="00A73750" w:rsidRPr="004746C4" w:rsidRDefault="00A73750" w:rsidP="00A73750">
      <w:pPr>
        <w:pStyle w:val="Textonotapie"/>
        <w:ind w:firstLine="567"/>
        <w:jc w:val="both"/>
        <w:rPr>
          <w:rFonts w:ascii="Verdana" w:hAnsi="Verdana" w:cs="Arial"/>
          <w:sz w:val="16"/>
          <w:szCs w:val="16"/>
          <w:lang w:val="es-CO"/>
        </w:rPr>
      </w:pPr>
      <w:r w:rsidRPr="004746C4">
        <w:rPr>
          <w:rFonts w:ascii="Verdana" w:hAnsi="Verdana" w:cs="Arial"/>
          <w:sz w:val="16"/>
          <w:szCs w:val="16"/>
          <w:lang w:val="es-CO"/>
        </w:rPr>
        <w:t>c) Cuando se trate de proyectos de inversión nacional deberá obtenerse el concepto previo y favorable del Departamento Nacional de Planeación y del Ministerio del ramo.</w:t>
      </w:r>
    </w:p>
    <w:p w14:paraId="03F4B83E" w14:textId="77777777" w:rsidR="00A73750" w:rsidRPr="004746C4" w:rsidRDefault="00A73750" w:rsidP="00A73750">
      <w:pPr>
        <w:pStyle w:val="Textonotapie"/>
        <w:jc w:val="both"/>
        <w:rPr>
          <w:rFonts w:ascii="Verdana" w:hAnsi="Verdana" w:cs="Arial"/>
          <w:sz w:val="16"/>
          <w:szCs w:val="16"/>
          <w:lang w:val="es-CO"/>
        </w:rPr>
      </w:pPr>
      <w:r w:rsidRPr="004746C4">
        <w:rPr>
          <w:rFonts w:ascii="Verdana" w:hAnsi="Verdana" w:cs="Arial"/>
          <w:sz w:val="16"/>
          <w:szCs w:val="16"/>
          <w:lang w:val="es-CO"/>
        </w:rPr>
        <w:t>La autorización por parte del Confis para comprometer presupuesto con cargo a vigencias futuras no podrá superar el respectivo período de gobierno. Se exceptúan los proyectos de gastos de inversión en aquellos casos en que el Conpes previamente los declare de importancia estratégica.</w:t>
      </w:r>
    </w:p>
    <w:p w14:paraId="5E4CD4B9" w14:textId="77777777" w:rsidR="00A73750" w:rsidRPr="004746C4" w:rsidRDefault="00A73750" w:rsidP="00A73750">
      <w:pPr>
        <w:pStyle w:val="Textonotapie"/>
        <w:jc w:val="both"/>
        <w:rPr>
          <w:rFonts w:ascii="Verdana" w:hAnsi="Verdana" w:cs="Arial"/>
          <w:sz w:val="16"/>
          <w:szCs w:val="16"/>
          <w:lang w:val="es-CO"/>
        </w:rPr>
      </w:pPr>
      <w:r w:rsidRPr="004746C4">
        <w:rPr>
          <w:rFonts w:ascii="Verdana" w:hAnsi="Verdana" w:cs="Arial"/>
          <w:sz w:val="16"/>
          <w:szCs w:val="16"/>
          <w:lang w:val="es-CO"/>
        </w:rPr>
        <w:t>Esta disposición también se aplicará a las entidades de que trata el artículo 9o de la presente ley. El Gobierno reglamentará la materia.</w:t>
      </w:r>
    </w:p>
    <w:p w14:paraId="4489B1DF" w14:textId="77777777" w:rsidR="00A73750" w:rsidRPr="004746C4" w:rsidRDefault="00A73750" w:rsidP="00A73750">
      <w:pPr>
        <w:pStyle w:val="Textonotapie"/>
        <w:ind w:firstLine="709"/>
        <w:jc w:val="both"/>
        <w:rPr>
          <w:rFonts w:ascii="Verdana" w:hAnsi="Verdana" w:cs="Arial"/>
          <w:sz w:val="16"/>
          <w:szCs w:val="16"/>
          <w:lang w:val="es-CO"/>
        </w:rPr>
      </w:pPr>
      <w:r w:rsidRPr="004746C4">
        <w:rPr>
          <w:rFonts w:ascii="Verdana" w:hAnsi="Verdana" w:cs="Arial"/>
          <w:sz w:val="16"/>
          <w:szCs w:val="16"/>
          <w:lang w:val="es-CO"/>
        </w:rPr>
        <w:t>El Ministerio de Hacienda y Crédito Público, Dirección General del Presupuesto Público Nacional, incluirá en los proyectos de presupuesto las asignaciones necesarias para darle cumplimiento a lo dispuesto en este artículo. […]</w:t>
      </w:r>
      <w:r>
        <w:rPr>
          <w:rFonts w:ascii="Verdana" w:eastAsia="Calibri" w:hAnsi="Verdana" w:cs="Arial"/>
          <w:sz w:val="16"/>
          <w:szCs w:val="16"/>
          <w:lang w:val="es-ES_tradnl"/>
        </w:rPr>
        <w:t>”</w:t>
      </w:r>
    </w:p>
  </w:footnote>
  <w:footnote w:id="8">
    <w:p w14:paraId="71798ABB" w14:textId="77777777" w:rsidR="00A73750" w:rsidRPr="00F73D92" w:rsidRDefault="00A73750" w:rsidP="00A73750">
      <w:pPr>
        <w:pStyle w:val="Textonotapie"/>
        <w:ind w:firstLine="567"/>
        <w:jc w:val="both"/>
        <w:rPr>
          <w:rFonts w:ascii="Verdana" w:hAnsi="Verdana" w:cs="Arial"/>
          <w:sz w:val="16"/>
          <w:szCs w:val="16"/>
          <w:lang w:val="es-CO"/>
        </w:rPr>
      </w:pPr>
      <w:r w:rsidRPr="00F73D92">
        <w:rPr>
          <w:rStyle w:val="Refdenotaalpie"/>
          <w:rFonts w:ascii="Verdana" w:hAnsi="Verdana" w:cs="Arial"/>
          <w:sz w:val="16"/>
          <w:szCs w:val="16"/>
        </w:rPr>
        <w:footnoteRef/>
      </w:r>
      <w:r w:rsidRPr="00F73D92">
        <w:rPr>
          <w:rFonts w:ascii="Verdana" w:hAnsi="Verdana" w:cs="Arial"/>
          <w:sz w:val="16"/>
          <w:szCs w:val="16"/>
        </w:rPr>
        <w:t xml:space="preserve"> Consejo de Estado. Sección Tercera. Sentencia del 1 de febrero de 2018. Radicado Nro. 08001-2331-000-2010-00987-01. C.P. Oswaldo Giraldo López</w:t>
      </w:r>
    </w:p>
  </w:footnote>
  <w:footnote w:id="9">
    <w:p w14:paraId="5ECC1627" w14:textId="77777777" w:rsidR="00A73750" w:rsidRPr="00F73D92" w:rsidRDefault="00A73750" w:rsidP="00A73750">
      <w:pPr>
        <w:pStyle w:val="Textonotapie"/>
        <w:ind w:firstLine="709"/>
        <w:jc w:val="both"/>
        <w:rPr>
          <w:rFonts w:ascii="Verdana" w:hAnsi="Verdana" w:cs="Arial"/>
          <w:b/>
          <w:sz w:val="16"/>
          <w:szCs w:val="16"/>
          <w:lang w:val="es-ES"/>
        </w:rPr>
      </w:pPr>
      <w:r w:rsidRPr="00F73D92">
        <w:rPr>
          <w:rStyle w:val="Refdenotaalpie"/>
          <w:rFonts w:ascii="Verdana" w:hAnsi="Verdana"/>
          <w:sz w:val="16"/>
          <w:szCs w:val="16"/>
        </w:rPr>
        <w:footnoteRef/>
      </w:r>
      <w:r w:rsidRPr="00F73D92">
        <w:rPr>
          <w:rFonts w:ascii="Verdana" w:hAnsi="Verdana"/>
          <w:sz w:val="16"/>
          <w:szCs w:val="16"/>
        </w:rPr>
        <w:t xml:space="preserve"> </w:t>
      </w:r>
      <w:r w:rsidRPr="00F73D92">
        <w:rPr>
          <w:rFonts w:ascii="Verdana" w:hAnsi="Verdana" w:cs="Arial"/>
          <w:sz w:val="16"/>
          <w:szCs w:val="16"/>
        </w:rPr>
        <w:t xml:space="preserve">Consejo de Estado. Sección Tercera. Sentencia del 12 de agosto de 2014. Radicado Nro. </w:t>
      </w:r>
      <w:r w:rsidRPr="00F73D92">
        <w:rPr>
          <w:rFonts w:ascii="Verdana" w:hAnsi="Verdana" w:cs="Arial"/>
          <w:bCs/>
          <w:sz w:val="16"/>
          <w:szCs w:val="16"/>
          <w:lang w:val="es-ES"/>
        </w:rPr>
        <w:t xml:space="preserve">05001-23-31-000-1998-01350-01(28565) </w:t>
      </w:r>
      <w:r w:rsidRPr="00F73D92">
        <w:rPr>
          <w:rFonts w:ascii="Verdana" w:hAnsi="Verdana" w:cs="Arial"/>
          <w:sz w:val="16"/>
          <w:szCs w:val="16"/>
        </w:rPr>
        <w:t>C.P. Enrique Gil Botero</w:t>
      </w:r>
    </w:p>
  </w:footnote>
  <w:footnote w:id="10">
    <w:p w14:paraId="567AB780" w14:textId="77777777" w:rsidR="00A73750" w:rsidRPr="002E718F" w:rsidRDefault="00A73750" w:rsidP="00A73750">
      <w:pPr>
        <w:pStyle w:val="Textonotapie"/>
        <w:ind w:firstLine="709"/>
        <w:jc w:val="both"/>
        <w:rPr>
          <w:rFonts w:ascii="Verdana" w:eastAsia="Calibri" w:hAnsi="Verdana" w:cs="Arial"/>
          <w:sz w:val="16"/>
          <w:szCs w:val="16"/>
          <w:lang w:val="es-ES_tradnl"/>
        </w:rPr>
      </w:pPr>
      <w:r w:rsidRPr="00F73D92">
        <w:rPr>
          <w:rStyle w:val="Refdenotaalpie"/>
          <w:rFonts w:ascii="Verdana" w:hAnsi="Verdana"/>
          <w:sz w:val="16"/>
          <w:szCs w:val="16"/>
        </w:rPr>
        <w:footnoteRef/>
      </w:r>
      <w:r w:rsidRPr="00F73D92">
        <w:rPr>
          <w:rFonts w:ascii="Verdana" w:hAnsi="Verdana"/>
          <w:sz w:val="16"/>
          <w:szCs w:val="16"/>
        </w:rPr>
        <w:t xml:space="preserve"> </w:t>
      </w:r>
      <w:r w:rsidRPr="00F73D92">
        <w:rPr>
          <w:rFonts w:ascii="Verdana" w:hAnsi="Verdana" w:cs="Arial"/>
          <w:sz w:val="16"/>
          <w:szCs w:val="16"/>
        </w:rPr>
        <w:t xml:space="preserve">Conforme al Artículo 89 del </w:t>
      </w:r>
      <w:r w:rsidRPr="00F73D92">
        <w:rPr>
          <w:rFonts w:ascii="Verdana" w:eastAsia="Calibri" w:hAnsi="Verdana" w:cs="Arial"/>
          <w:color w:val="000000" w:themeColor="text1"/>
          <w:sz w:val="16"/>
          <w:szCs w:val="16"/>
          <w:lang w:val="es-ES"/>
        </w:rPr>
        <w:t>Estatuto Orgánico del Presupuesto</w:t>
      </w:r>
      <w:r w:rsidRPr="00F73D92">
        <w:rPr>
          <w:rFonts w:ascii="Verdana" w:eastAsia="Times New Roman" w:hAnsi="Verdana" w:cs="Arial"/>
          <w:color w:val="4B4949"/>
          <w:sz w:val="16"/>
          <w:szCs w:val="16"/>
          <w:lang w:val="es-CO" w:eastAsia="es-ES_tradnl"/>
        </w:rPr>
        <w:t xml:space="preserve"> </w:t>
      </w:r>
      <w:r>
        <w:rPr>
          <w:rFonts w:ascii="Verdana" w:eastAsia="Calibri" w:hAnsi="Verdana" w:cs="Arial"/>
          <w:sz w:val="16"/>
          <w:szCs w:val="16"/>
          <w:lang w:val="es-CO"/>
        </w:rPr>
        <w:t>“</w:t>
      </w:r>
      <w:r w:rsidRPr="00F73D92">
        <w:rPr>
          <w:rFonts w:ascii="Verdana" w:eastAsia="Calibri" w:hAnsi="Verdana" w:cs="Arial"/>
          <w:sz w:val="16"/>
          <w:szCs w:val="16"/>
          <w:lang w:val="es-ES_tradnl"/>
        </w:rPr>
        <w:t xml:space="preserve">[…] </w:t>
      </w:r>
      <w:r w:rsidRPr="00F73D92">
        <w:rPr>
          <w:rFonts w:ascii="Verdana" w:eastAsia="Times New Roman" w:hAnsi="Verdana" w:cs="Arial"/>
          <w:color w:val="4B4949"/>
          <w:sz w:val="16"/>
          <w:szCs w:val="16"/>
          <w:lang w:val="es-CO" w:eastAsia="es-ES_tradnl"/>
        </w:rPr>
        <w:t>c</w:t>
      </w:r>
      <w:r w:rsidRPr="00F73D92">
        <w:rPr>
          <w:rFonts w:ascii="Verdana" w:eastAsia="Calibri" w:hAnsi="Verdana" w:cs="Arial"/>
          <w:color w:val="000000" w:themeColor="text1"/>
          <w:sz w:val="16"/>
          <w:szCs w:val="16"/>
          <w:lang w:val="es-CO"/>
        </w:rPr>
        <w:t>ada órgano constituirá al 31 de diciembre del año cuentas por pagar con las obligaciones correspondientes a los anticipos pactados en los contratos y a la entrega de bienes y servicios</w:t>
      </w:r>
      <w:r>
        <w:rPr>
          <w:rFonts w:ascii="Verdana" w:eastAsia="Calibri" w:hAnsi="Verdana" w:cs="Arial"/>
          <w:sz w:val="16"/>
          <w:szCs w:val="16"/>
          <w:lang w:val="es-ES_tradnl"/>
        </w:rPr>
        <w:t>”.</w:t>
      </w:r>
    </w:p>
  </w:footnote>
  <w:footnote w:id="11">
    <w:p w14:paraId="3CDE8177" w14:textId="77777777" w:rsidR="00A73750" w:rsidRPr="00F73D92" w:rsidRDefault="00A73750" w:rsidP="00A73750">
      <w:pPr>
        <w:pStyle w:val="Textonotapie"/>
        <w:ind w:firstLine="709"/>
        <w:jc w:val="both"/>
        <w:rPr>
          <w:rFonts w:ascii="Verdana" w:hAnsi="Verdana" w:cs="Arial"/>
          <w:sz w:val="16"/>
          <w:szCs w:val="16"/>
          <w:lang w:val="es-CO"/>
        </w:rPr>
      </w:pPr>
      <w:r w:rsidRPr="00F73D92">
        <w:rPr>
          <w:rStyle w:val="Refdenotaalpie"/>
          <w:rFonts w:ascii="Verdana" w:hAnsi="Verdana"/>
          <w:sz w:val="16"/>
          <w:szCs w:val="16"/>
        </w:rPr>
        <w:footnoteRef/>
      </w:r>
      <w:r w:rsidRPr="00F73D92">
        <w:rPr>
          <w:rFonts w:ascii="Verdana" w:hAnsi="Verdana"/>
          <w:sz w:val="16"/>
          <w:szCs w:val="16"/>
        </w:rPr>
        <w:t xml:space="preserve"> </w:t>
      </w:r>
      <w:r w:rsidRPr="00F73D92">
        <w:rPr>
          <w:rFonts w:ascii="Verdana" w:eastAsia="Calibri" w:hAnsi="Verdana" w:cs="Arial"/>
          <w:color w:val="000000" w:themeColor="text1"/>
          <w:sz w:val="16"/>
          <w:szCs w:val="16"/>
          <w:lang w:val="es-ES"/>
        </w:rPr>
        <w:t>Artículo 89 del Estatuto Orgánico del Presupuesto</w:t>
      </w:r>
    </w:p>
  </w:footnote>
  <w:footnote w:id="12">
    <w:p w14:paraId="3F199583" w14:textId="77777777" w:rsidR="00A73750" w:rsidRPr="00F73D92" w:rsidRDefault="00A73750" w:rsidP="00A73750">
      <w:pPr>
        <w:pStyle w:val="Textonotapie"/>
        <w:ind w:firstLine="709"/>
        <w:jc w:val="both"/>
        <w:rPr>
          <w:rFonts w:ascii="Verdana" w:hAnsi="Verdana"/>
          <w:sz w:val="16"/>
          <w:szCs w:val="16"/>
          <w:lang w:val="es-CO"/>
        </w:rPr>
      </w:pPr>
      <w:r w:rsidRPr="00F73D92">
        <w:rPr>
          <w:rStyle w:val="Refdenotaalpie"/>
          <w:rFonts w:ascii="Verdana" w:hAnsi="Verdana"/>
          <w:sz w:val="16"/>
          <w:szCs w:val="16"/>
        </w:rPr>
        <w:footnoteRef/>
      </w:r>
      <w:r w:rsidRPr="00F73D92">
        <w:rPr>
          <w:rFonts w:ascii="Verdana" w:hAnsi="Verdana"/>
          <w:sz w:val="16"/>
          <w:szCs w:val="16"/>
        </w:rPr>
        <w:t xml:space="preserve"> </w:t>
      </w:r>
      <w:r>
        <w:rPr>
          <w:rFonts w:ascii="Verdana" w:eastAsia="Calibri" w:hAnsi="Verdana" w:cs="Arial"/>
          <w:sz w:val="16"/>
          <w:szCs w:val="16"/>
          <w:lang w:val="es-ES_tradnl"/>
        </w:rPr>
        <w:t>“</w:t>
      </w:r>
      <w:r w:rsidRPr="00F73D92">
        <w:rPr>
          <w:rFonts w:ascii="Verdana" w:hAnsi="Verdana" w:cs="Arial"/>
          <w:sz w:val="16"/>
          <w:szCs w:val="16"/>
          <w:lang w:val="es-CO"/>
        </w:rPr>
        <w:t>Artículo </w:t>
      </w:r>
      <w:bookmarkStart w:id="5" w:name="2.8.1.7.3.2"/>
      <w:bookmarkEnd w:id="5"/>
      <w:r w:rsidRPr="00F73D92">
        <w:rPr>
          <w:rFonts w:ascii="Verdana" w:hAnsi="Verdana" w:cs="Arial"/>
          <w:sz w:val="16"/>
          <w:szCs w:val="16"/>
          <w:lang w:val="es-CO"/>
        </w:rPr>
        <w:t>2.8.1.7.3.2. </w:t>
      </w:r>
      <w:r w:rsidRPr="00F73D92">
        <w:rPr>
          <w:rFonts w:ascii="Verdana" w:hAnsi="Verdana" w:cs="Arial"/>
          <w:i/>
          <w:iCs/>
          <w:sz w:val="16"/>
          <w:szCs w:val="16"/>
          <w:lang w:val="es-CO"/>
        </w:rPr>
        <w:t>Constitución de reservas presupuestales y cuentas por pagar. </w:t>
      </w:r>
      <w:r w:rsidRPr="00F73D92">
        <w:rPr>
          <w:rFonts w:ascii="Verdana" w:hAnsi="Verdana" w:cs="Arial"/>
          <w:sz w:val="16"/>
          <w:szCs w:val="16"/>
          <w:lang w:val="es-CO"/>
        </w:rPr>
        <w:t>A más tardar el 20 de enero de cada año, los órganos que conforman el Presupuesto General de la Nación constituirán las reservas presupuestales y cuentas por pagar de la respectiva sección presupuestal correspondientes a la vigencia fiscal anterior, de conformidad con los saldos registrados a 31 de diciembre a través del Sistema Integrado de Información Financiera SIIF Nación. En dicho plazo, solo se podrán efectuar los ajustes a que haya lugar para la constitución de las reserves presupuestales y de las cuentas por pagar, sin que en ningún caso se puedan registrar nuevos compromisos ni obligaciones</w:t>
      </w:r>
      <w:r>
        <w:rPr>
          <w:rFonts w:ascii="Verdana" w:eastAsia="Calibri" w:hAnsi="Verdana" w:cs="Arial"/>
          <w:sz w:val="16"/>
          <w:szCs w:val="16"/>
          <w:lang w:val="es-CO"/>
        </w:rPr>
        <w:t>”</w:t>
      </w:r>
      <w:r w:rsidRPr="00F73D92">
        <w:rPr>
          <w:rFonts w:ascii="Verdana" w:hAnsi="Verdana" w:cs="Arial"/>
          <w:sz w:val="16"/>
          <w:szCs w:val="16"/>
          <w:lang w:val="es-CO"/>
        </w:rPr>
        <w:t>.</w:t>
      </w:r>
    </w:p>
  </w:footnote>
  <w:footnote w:id="13">
    <w:p w14:paraId="53898FEA" w14:textId="77777777" w:rsidR="00A73750" w:rsidRPr="00F73D92" w:rsidRDefault="00A73750" w:rsidP="00A73750">
      <w:pPr>
        <w:pStyle w:val="Textonotapie"/>
        <w:ind w:firstLine="709"/>
        <w:jc w:val="both"/>
        <w:rPr>
          <w:rFonts w:ascii="Verdana" w:hAnsi="Verdana" w:cs="Arial"/>
          <w:sz w:val="16"/>
          <w:szCs w:val="16"/>
          <w:lang w:val="es-CO"/>
        </w:rPr>
      </w:pPr>
      <w:r w:rsidRPr="00F73D92">
        <w:rPr>
          <w:rStyle w:val="Refdenotaalpie"/>
          <w:rFonts w:ascii="Verdana" w:hAnsi="Verdana" w:cs="Arial"/>
          <w:sz w:val="16"/>
          <w:szCs w:val="16"/>
        </w:rPr>
        <w:footnoteRef/>
      </w:r>
      <w:r w:rsidRPr="00F73D92">
        <w:rPr>
          <w:rFonts w:ascii="Verdana" w:hAnsi="Verdana" w:cs="Arial"/>
          <w:sz w:val="16"/>
          <w:szCs w:val="16"/>
        </w:rPr>
        <w:t xml:space="preserve"> </w:t>
      </w:r>
      <w:r w:rsidRPr="00F73D92">
        <w:rPr>
          <w:rFonts w:ascii="Verdana" w:hAnsi="Verdana" w:cs="Arial"/>
          <w:sz w:val="16"/>
          <w:szCs w:val="16"/>
          <w:lang w:val="es-CO"/>
        </w:rPr>
        <w:t xml:space="preserve">Contraloría General de la República. Circular Externa 43 de 2008 </w:t>
      </w:r>
    </w:p>
  </w:footnote>
  <w:footnote w:id="14">
    <w:p w14:paraId="5F62EF3B" w14:textId="77777777" w:rsidR="00A73750" w:rsidRPr="002E718F" w:rsidRDefault="00A73750" w:rsidP="00A73750">
      <w:pPr>
        <w:pStyle w:val="Textonotapie"/>
        <w:ind w:right="49" w:firstLine="708"/>
        <w:jc w:val="both"/>
        <w:rPr>
          <w:rFonts w:ascii="Verdana" w:hAnsi="Verdana" w:cs="Arial"/>
          <w:color w:val="000000"/>
          <w:sz w:val="16"/>
          <w:szCs w:val="16"/>
        </w:rPr>
      </w:pPr>
      <w:r w:rsidRPr="00F73D92">
        <w:rPr>
          <w:rStyle w:val="Refdenotaalpie"/>
          <w:rFonts w:ascii="Verdana" w:hAnsi="Verdana"/>
          <w:sz w:val="16"/>
          <w:szCs w:val="16"/>
        </w:rPr>
        <w:footnoteRef/>
      </w:r>
      <w:r w:rsidRPr="00F73D92">
        <w:rPr>
          <w:rFonts w:ascii="Verdana" w:hAnsi="Verdana"/>
          <w:sz w:val="16"/>
          <w:szCs w:val="16"/>
        </w:rPr>
        <w:t xml:space="preserve"> </w:t>
      </w:r>
      <w:r w:rsidRPr="00F73D92">
        <w:rPr>
          <w:rFonts w:ascii="Verdana" w:hAnsi="Verdana" w:cs="Arial"/>
          <w:color w:val="000000"/>
          <w:sz w:val="16"/>
          <w:szCs w:val="16"/>
        </w:rPr>
        <w:t>Consejo de Estado. Sección Tercera. Sentencia del 1 de febrero de 2018. Radicado Nro.</w:t>
      </w:r>
      <w:r w:rsidRPr="00F73D92">
        <w:rPr>
          <w:rFonts w:ascii="Verdana" w:hAnsi="Verdana" w:cs="Arial"/>
          <w:color w:val="000000"/>
          <w:sz w:val="16"/>
          <w:szCs w:val="16"/>
          <w:lang w:val="es-CO"/>
        </w:rPr>
        <w:t xml:space="preserve"> 08001-2331-000-2010-00987-01</w:t>
      </w:r>
      <w:r w:rsidRPr="00F73D92">
        <w:rPr>
          <w:rFonts w:ascii="Verdana" w:hAnsi="Verdana" w:cs="Arial"/>
          <w:color w:val="000000"/>
          <w:sz w:val="16"/>
          <w:szCs w:val="16"/>
        </w:rPr>
        <w:t xml:space="preserve">. C.P. </w:t>
      </w:r>
      <w:r w:rsidRPr="00F73D92">
        <w:rPr>
          <w:rFonts w:ascii="Verdana" w:hAnsi="Verdana" w:cs="Arial"/>
          <w:color w:val="000000"/>
          <w:sz w:val="16"/>
          <w:szCs w:val="16"/>
          <w:lang w:val="es-CO"/>
        </w:rPr>
        <w:t>Oswaldo Giraldo López</w:t>
      </w:r>
      <w:r>
        <w:rPr>
          <w:rFonts w:ascii="Verdana" w:hAnsi="Verdana" w:cs="Arial"/>
          <w:color w:val="000000"/>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A3783B" w:rsidRDefault="00A3783B">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A3783B" w:rsidRDefault="00A3783B">
    <w:pPr>
      <w:pStyle w:val="Encabezado"/>
    </w:pPr>
  </w:p>
  <w:p w14:paraId="3079FC11" w14:textId="77777777" w:rsidR="00A3783B" w:rsidRDefault="00A3783B" w:rsidP="004A305D">
    <w:pPr>
      <w:spacing w:after="0"/>
      <w:rPr>
        <w:rFonts w:ascii="Verdana" w:hAnsi="Verdana"/>
        <w:b/>
        <w:bCs/>
      </w:rPr>
    </w:pPr>
  </w:p>
  <w:p w14:paraId="5E18350A" w14:textId="705F7B76" w:rsidR="00A3783B" w:rsidRPr="004A305D" w:rsidRDefault="00A3783B" w:rsidP="00B01B1A">
    <w:pPr>
      <w:spacing w:after="0" w:line="120" w:lineRule="auto"/>
      <w:rPr>
        <w:rFonts w:ascii="Century Gothic" w:eastAsia="Geo" w:hAnsi="Century Gothic" w:cs="Geo"/>
        <w:sz w:val="16"/>
        <w:szCs w:val="16"/>
        <w:lang w:eastAsia="es-CO"/>
      </w:rPr>
    </w:pPr>
  </w:p>
  <w:p w14:paraId="1FD1C243" w14:textId="6D74A3CF" w:rsidR="00A3783B" w:rsidRDefault="00A3783B"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85pt;height:11.8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282347797">
    <w:abstractNumId w:val="10"/>
  </w:num>
  <w:num w:numId="2" w16cid:durableId="640843267">
    <w:abstractNumId w:val="3"/>
  </w:num>
  <w:num w:numId="3" w16cid:durableId="720861989">
    <w:abstractNumId w:val="8"/>
  </w:num>
  <w:num w:numId="4" w16cid:durableId="53943640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85648085">
    <w:abstractNumId w:val="3"/>
  </w:num>
  <w:num w:numId="6" w16cid:durableId="1660765236">
    <w:abstractNumId w:val="20"/>
  </w:num>
  <w:num w:numId="7" w16cid:durableId="512568668">
    <w:abstractNumId w:val="9"/>
  </w:num>
  <w:num w:numId="8" w16cid:durableId="1158498710">
    <w:abstractNumId w:val="19"/>
  </w:num>
  <w:num w:numId="9" w16cid:durableId="353003468">
    <w:abstractNumId w:val="11"/>
  </w:num>
  <w:num w:numId="10" w16cid:durableId="1088312750">
    <w:abstractNumId w:val="18"/>
  </w:num>
  <w:num w:numId="11" w16cid:durableId="1557081982">
    <w:abstractNumId w:val="12"/>
  </w:num>
  <w:num w:numId="12" w16cid:durableId="1597715913">
    <w:abstractNumId w:val="1"/>
  </w:num>
  <w:num w:numId="13" w16cid:durableId="1679648286">
    <w:abstractNumId w:val="6"/>
  </w:num>
  <w:num w:numId="14" w16cid:durableId="974332457">
    <w:abstractNumId w:val="21"/>
  </w:num>
  <w:num w:numId="15" w16cid:durableId="2088185515">
    <w:abstractNumId w:val="17"/>
  </w:num>
  <w:num w:numId="16" w16cid:durableId="135083214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72602380">
    <w:abstractNumId w:val="4"/>
  </w:num>
  <w:num w:numId="18" w16cid:durableId="1543789176">
    <w:abstractNumId w:val="16"/>
  </w:num>
  <w:num w:numId="19" w16cid:durableId="499275582">
    <w:abstractNumId w:val="7"/>
  </w:num>
  <w:num w:numId="20" w16cid:durableId="689575001">
    <w:abstractNumId w:val="13"/>
  </w:num>
  <w:num w:numId="21" w16cid:durableId="1128547419">
    <w:abstractNumId w:val="22"/>
  </w:num>
  <w:num w:numId="22" w16cid:durableId="2038853318">
    <w:abstractNumId w:val="15"/>
  </w:num>
  <w:num w:numId="23" w16cid:durableId="1895701131">
    <w:abstractNumId w:val="5"/>
  </w:num>
  <w:num w:numId="24" w16cid:durableId="27026637">
    <w:abstractNumId w:val="14"/>
  </w:num>
  <w:num w:numId="25" w16cid:durableId="18743427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62F3"/>
    <w:rsid w:val="0000797D"/>
    <w:rsid w:val="0001328B"/>
    <w:rsid w:val="000224F2"/>
    <w:rsid w:val="00023C3E"/>
    <w:rsid w:val="0002653B"/>
    <w:rsid w:val="00034682"/>
    <w:rsid w:val="00035E21"/>
    <w:rsid w:val="0004434A"/>
    <w:rsid w:val="0005281E"/>
    <w:rsid w:val="0005682C"/>
    <w:rsid w:val="00056D71"/>
    <w:rsid w:val="00061B2A"/>
    <w:rsid w:val="000626A0"/>
    <w:rsid w:val="00062BAF"/>
    <w:rsid w:val="000630B9"/>
    <w:rsid w:val="000643B2"/>
    <w:rsid w:val="00065E80"/>
    <w:rsid w:val="0007022C"/>
    <w:rsid w:val="00071DE6"/>
    <w:rsid w:val="0007235A"/>
    <w:rsid w:val="000754B0"/>
    <w:rsid w:val="00075C16"/>
    <w:rsid w:val="0007719D"/>
    <w:rsid w:val="00077439"/>
    <w:rsid w:val="000774B8"/>
    <w:rsid w:val="00082362"/>
    <w:rsid w:val="0008328D"/>
    <w:rsid w:val="0009387A"/>
    <w:rsid w:val="0009387B"/>
    <w:rsid w:val="000963C6"/>
    <w:rsid w:val="0009762F"/>
    <w:rsid w:val="000A31B9"/>
    <w:rsid w:val="000A3330"/>
    <w:rsid w:val="000A3D63"/>
    <w:rsid w:val="000A683A"/>
    <w:rsid w:val="000A683E"/>
    <w:rsid w:val="000B0B05"/>
    <w:rsid w:val="000B19B9"/>
    <w:rsid w:val="000C2889"/>
    <w:rsid w:val="000C3673"/>
    <w:rsid w:val="000D0152"/>
    <w:rsid w:val="000D0334"/>
    <w:rsid w:val="000D0B4D"/>
    <w:rsid w:val="000D3B29"/>
    <w:rsid w:val="000E06F4"/>
    <w:rsid w:val="000E1AC7"/>
    <w:rsid w:val="000E4CE4"/>
    <w:rsid w:val="000F6486"/>
    <w:rsid w:val="000F669F"/>
    <w:rsid w:val="001063B3"/>
    <w:rsid w:val="00107ACA"/>
    <w:rsid w:val="001114A9"/>
    <w:rsid w:val="00111979"/>
    <w:rsid w:val="00116537"/>
    <w:rsid w:val="00120766"/>
    <w:rsid w:val="00121D60"/>
    <w:rsid w:val="001240BD"/>
    <w:rsid w:val="00125105"/>
    <w:rsid w:val="00127233"/>
    <w:rsid w:val="00130189"/>
    <w:rsid w:val="001372FC"/>
    <w:rsid w:val="00143E81"/>
    <w:rsid w:val="00143FD9"/>
    <w:rsid w:val="00145047"/>
    <w:rsid w:val="00146C57"/>
    <w:rsid w:val="00150ADA"/>
    <w:rsid w:val="00161B39"/>
    <w:rsid w:val="0016332F"/>
    <w:rsid w:val="0016642E"/>
    <w:rsid w:val="00166C52"/>
    <w:rsid w:val="001717E9"/>
    <w:rsid w:val="0017238A"/>
    <w:rsid w:val="001800BA"/>
    <w:rsid w:val="00180A30"/>
    <w:rsid w:val="001820D4"/>
    <w:rsid w:val="00185EE9"/>
    <w:rsid w:val="00187F79"/>
    <w:rsid w:val="00197274"/>
    <w:rsid w:val="001A237A"/>
    <w:rsid w:val="001A26CF"/>
    <w:rsid w:val="001A2919"/>
    <w:rsid w:val="001B2CFE"/>
    <w:rsid w:val="001C222E"/>
    <w:rsid w:val="001C22F9"/>
    <w:rsid w:val="001D16E9"/>
    <w:rsid w:val="001D1C29"/>
    <w:rsid w:val="001D2638"/>
    <w:rsid w:val="001E3C06"/>
    <w:rsid w:val="001E4177"/>
    <w:rsid w:val="001F0A0F"/>
    <w:rsid w:val="001F4EFD"/>
    <w:rsid w:val="001F5E13"/>
    <w:rsid w:val="001F6D11"/>
    <w:rsid w:val="001F7196"/>
    <w:rsid w:val="001F7DC6"/>
    <w:rsid w:val="0020188E"/>
    <w:rsid w:val="00202886"/>
    <w:rsid w:val="002047E7"/>
    <w:rsid w:val="00205784"/>
    <w:rsid w:val="00213510"/>
    <w:rsid w:val="0021372A"/>
    <w:rsid w:val="00215CEF"/>
    <w:rsid w:val="00217A08"/>
    <w:rsid w:val="00220B77"/>
    <w:rsid w:val="00221D27"/>
    <w:rsid w:val="00237233"/>
    <w:rsid w:val="002421BB"/>
    <w:rsid w:val="00246A81"/>
    <w:rsid w:val="00251A5F"/>
    <w:rsid w:val="0025796E"/>
    <w:rsid w:val="002603E5"/>
    <w:rsid w:val="00260981"/>
    <w:rsid w:val="002638B2"/>
    <w:rsid w:val="00263BAB"/>
    <w:rsid w:val="00264E91"/>
    <w:rsid w:val="002660F2"/>
    <w:rsid w:val="002664BB"/>
    <w:rsid w:val="002707A2"/>
    <w:rsid w:val="00272EAF"/>
    <w:rsid w:val="002835A6"/>
    <w:rsid w:val="002844ED"/>
    <w:rsid w:val="00286C70"/>
    <w:rsid w:val="002951A0"/>
    <w:rsid w:val="002962BC"/>
    <w:rsid w:val="002A093D"/>
    <w:rsid w:val="002A0DD0"/>
    <w:rsid w:val="002A1D2F"/>
    <w:rsid w:val="002A3B6F"/>
    <w:rsid w:val="002A49AC"/>
    <w:rsid w:val="002A64FD"/>
    <w:rsid w:val="002A6BBF"/>
    <w:rsid w:val="002B1E57"/>
    <w:rsid w:val="002B1F7F"/>
    <w:rsid w:val="002B290B"/>
    <w:rsid w:val="002C110E"/>
    <w:rsid w:val="002C379A"/>
    <w:rsid w:val="002C632B"/>
    <w:rsid w:val="002C765E"/>
    <w:rsid w:val="002C7A84"/>
    <w:rsid w:val="002D13A1"/>
    <w:rsid w:val="002D3F0D"/>
    <w:rsid w:val="002E1D98"/>
    <w:rsid w:val="002E2C3F"/>
    <w:rsid w:val="002E4FD9"/>
    <w:rsid w:val="002E6F15"/>
    <w:rsid w:val="002E718F"/>
    <w:rsid w:val="002F13FD"/>
    <w:rsid w:val="002F53FB"/>
    <w:rsid w:val="00303544"/>
    <w:rsid w:val="003039C1"/>
    <w:rsid w:val="0031037C"/>
    <w:rsid w:val="00310DBE"/>
    <w:rsid w:val="0031430F"/>
    <w:rsid w:val="00320BBD"/>
    <w:rsid w:val="00322A85"/>
    <w:rsid w:val="00324168"/>
    <w:rsid w:val="0033032A"/>
    <w:rsid w:val="00334C6A"/>
    <w:rsid w:val="00336C05"/>
    <w:rsid w:val="00342675"/>
    <w:rsid w:val="00343512"/>
    <w:rsid w:val="003448F4"/>
    <w:rsid w:val="00345330"/>
    <w:rsid w:val="003522B4"/>
    <w:rsid w:val="003528DF"/>
    <w:rsid w:val="00352C12"/>
    <w:rsid w:val="00354BCA"/>
    <w:rsid w:val="00362DEE"/>
    <w:rsid w:val="0036594E"/>
    <w:rsid w:val="003664E8"/>
    <w:rsid w:val="003665EE"/>
    <w:rsid w:val="0037010E"/>
    <w:rsid w:val="003734F4"/>
    <w:rsid w:val="0037437B"/>
    <w:rsid w:val="00374F5E"/>
    <w:rsid w:val="00377E3E"/>
    <w:rsid w:val="003815B3"/>
    <w:rsid w:val="003815E8"/>
    <w:rsid w:val="00386D13"/>
    <w:rsid w:val="00392A49"/>
    <w:rsid w:val="003A26D1"/>
    <w:rsid w:val="003A3B30"/>
    <w:rsid w:val="003A477B"/>
    <w:rsid w:val="003A629F"/>
    <w:rsid w:val="003A6CF9"/>
    <w:rsid w:val="003A779E"/>
    <w:rsid w:val="003B005A"/>
    <w:rsid w:val="003B0636"/>
    <w:rsid w:val="003B3775"/>
    <w:rsid w:val="003B78C4"/>
    <w:rsid w:val="003C3FA5"/>
    <w:rsid w:val="003D0F4D"/>
    <w:rsid w:val="003D1B5E"/>
    <w:rsid w:val="003D5B0D"/>
    <w:rsid w:val="003E0499"/>
    <w:rsid w:val="003E40F2"/>
    <w:rsid w:val="003F3941"/>
    <w:rsid w:val="00400676"/>
    <w:rsid w:val="004008A9"/>
    <w:rsid w:val="0040480E"/>
    <w:rsid w:val="00406575"/>
    <w:rsid w:val="004069AB"/>
    <w:rsid w:val="00410906"/>
    <w:rsid w:val="0041655A"/>
    <w:rsid w:val="00426FD7"/>
    <w:rsid w:val="0042722E"/>
    <w:rsid w:val="00427DA0"/>
    <w:rsid w:val="00440391"/>
    <w:rsid w:val="004426AD"/>
    <w:rsid w:val="00442C7F"/>
    <w:rsid w:val="004443A2"/>
    <w:rsid w:val="0044528D"/>
    <w:rsid w:val="00450920"/>
    <w:rsid w:val="004530EA"/>
    <w:rsid w:val="00454D48"/>
    <w:rsid w:val="004554F9"/>
    <w:rsid w:val="0046004D"/>
    <w:rsid w:val="00461A6A"/>
    <w:rsid w:val="004633DE"/>
    <w:rsid w:val="00465E71"/>
    <w:rsid w:val="004734BD"/>
    <w:rsid w:val="004746C4"/>
    <w:rsid w:val="00480BAF"/>
    <w:rsid w:val="00482608"/>
    <w:rsid w:val="00483749"/>
    <w:rsid w:val="00484809"/>
    <w:rsid w:val="00484BB1"/>
    <w:rsid w:val="00487E7C"/>
    <w:rsid w:val="004A0980"/>
    <w:rsid w:val="004A0B8B"/>
    <w:rsid w:val="004A1847"/>
    <w:rsid w:val="004A305D"/>
    <w:rsid w:val="004A3312"/>
    <w:rsid w:val="004B740F"/>
    <w:rsid w:val="004C4B37"/>
    <w:rsid w:val="004C6074"/>
    <w:rsid w:val="004D026D"/>
    <w:rsid w:val="004D36F1"/>
    <w:rsid w:val="004E221E"/>
    <w:rsid w:val="004E2892"/>
    <w:rsid w:val="004E4C0B"/>
    <w:rsid w:val="004E505B"/>
    <w:rsid w:val="004F21C4"/>
    <w:rsid w:val="004F3012"/>
    <w:rsid w:val="004F3B9E"/>
    <w:rsid w:val="004F5559"/>
    <w:rsid w:val="004F685F"/>
    <w:rsid w:val="004F7EC9"/>
    <w:rsid w:val="00504CBE"/>
    <w:rsid w:val="005129DE"/>
    <w:rsid w:val="00514598"/>
    <w:rsid w:val="005150A0"/>
    <w:rsid w:val="005163B5"/>
    <w:rsid w:val="0052543A"/>
    <w:rsid w:val="00525FDB"/>
    <w:rsid w:val="0052785C"/>
    <w:rsid w:val="005339E3"/>
    <w:rsid w:val="00533E1B"/>
    <w:rsid w:val="00534765"/>
    <w:rsid w:val="00540C2D"/>
    <w:rsid w:val="00543859"/>
    <w:rsid w:val="00551A04"/>
    <w:rsid w:val="00552502"/>
    <w:rsid w:val="005566E8"/>
    <w:rsid w:val="00560CB5"/>
    <w:rsid w:val="00564F8B"/>
    <w:rsid w:val="00574122"/>
    <w:rsid w:val="00574867"/>
    <w:rsid w:val="00577D09"/>
    <w:rsid w:val="0058087F"/>
    <w:rsid w:val="005900B0"/>
    <w:rsid w:val="00591460"/>
    <w:rsid w:val="00592628"/>
    <w:rsid w:val="00597C75"/>
    <w:rsid w:val="005A0868"/>
    <w:rsid w:val="005A0CFB"/>
    <w:rsid w:val="005A282F"/>
    <w:rsid w:val="005A2AC9"/>
    <w:rsid w:val="005B2CCE"/>
    <w:rsid w:val="005B58C1"/>
    <w:rsid w:val="005B6033"/>
    <w:rsid w:val="005C2488"/>
    <w:rsid w:val="005C3777"/>
    <w:rsid w:val="005C5CDC"/>
    <w:rsid w:val="005D17C8"/>
    <w:rsid w:val="005D2B2B"/>
    <w:rsid w:val="005D476C"/>
    <w:rsid w:val="005D5F91"/>
    <w:rsid w:val="005D7B25"/>
    <w:rsid w:val="005E51BF"/>
    <w:rsid w:val="005F7C43"/>
    <w:rsid w:val="00601DFC"/>
    <w:rsid w:val="00605A00"/>
    <w:rsid w:val="00605E38"/>
    <w:rsid w:val="00610812"/>
    <w:rsid w:val="00612CE7"/>
    <w:rsid w:val="006219F8"/>
    <w:rsid w:val="0063165E"/>
    <w:rsid w:val="00632C08"/>
    <w:rsid w:val="00650FF7"/>
    <w:rsid w:val="00656421"/>
    <w:rsid w:val="00660F6A"/>
    <w:rsid w:val="00665D70"/>
    <w:rsid w:val="00671DAC"/>
    <w:rsid w:val="00673531"/>
    <w:rsid w:val="006747C7"/>
    <w:rsid w:val="006827AC"/>
    <w:rsid w:val="006859A3"/>
    <w:rsid w:val="006900D9"/>
    <w:rsid w:val="00693B52"/>
    <w:rsid w:val="0069492E"/>
    <w:rsid w:val="0069570C"/>
    <w:rsid w:val="00697B17"/>
    <w:rsid w:val="006A0008"/>
    <w:rsid w:val="006A10DF"/>
    <w:rsid w:val="006A3147"/>
    <w:rsid w:val="006A5470"/>
    <w:rsid w:val="006B25DE"/>
    <w:rsid w:val="006C0173"/>
    <w:rsid w:val="006C0240"/>
    <w:rsid w:val="006C5595"/>
    <w:rsid w:val="006D12F8"/>
    <w:rsid w:val="006D1F4A"/>
    <w:rsid w:val="006D4E33"/>
    <w:rsid w:val="006E319A"/>
    <w:rsid w:val="006F0D40"/>
    <w:rsid w:val="006F2501"/>
    <w:rsid w:val="00701D2C"/>
    <w:rsid w:val="00704D9B"/>
    <w:rsid w:val="00705E5F"/>
    <w:rsid w:val="00706C16"/>
    <w:rsid w:val="00711C85"/>
    <w:rsid w:val="0071458F"/>
    <w:rsid w:val="0071627C"/>
    <w:rsid w:val="00723A7F"/>
    <w:rsid w:val="007312C3"/>
    <w:rsid w:val="00737C53"/>
    <w:rsid w:val="00737DFA"/>
    <w:rsid w:val="00741D10"/>
    <w:rsid w:val="00756841"/>
    <w:rsid w:val="0076136E"/>
    <w:rsid w:val="00762AA9"/>
    <w:rsid w:val="007649AB"/>
    <w:rsid w:val="007670E3"/>
    <w:rsid w:val="00771D0C"/>
    <w:rsid w:val="00771FD2"/>
    <w:rsid w:val="007820ED"/>
    <w:rsid w:val="007821FD"/>
    <w:rsid w:val="007833AC"/>
    <w:rsid w:val="00784D58"/>
    <w:rsid w:val="00786FBF"/>
    <w:rsid w:val="00790AB7"/>
    <w:rsid w:val="00791769"/>
    <w:rsid w:val="00796340"/>
    <w:rsid w:val="007A23EA"/>
    <w:rsid w:val="007A5189"/>
    <w:rsid w:val="007B0D88"/>
    <w:rsid w:val="007B268C"/>
    <w:rsid w:val="007B7171"/>
    <w:rsid w:val="007B7D02"/>
    <w:rsid w:val="007C0C0F"/>
    <w:rsid w:val="007C3DC2"/>
    <w:rsid w:val="007D0457"/>
    <w:rsid w:val="007D43C9"/>
    <w:rsid w:val="007D6299"/>
    <w:rsid w:val="007E5497"/>
    <w:rsid w:val="007E7637"/>
    <w:rsid w:val="007F28CA"/>
    <w:rsid w:val="007F52A4"/>
    <w:rsid w:val="007F60FB"/>
    <w:rsid w:val="007F7B94"/>
    <w:rsid w:val="00800789"/>
    <w:rsid w:val="00803F91"/>
    <w:rsid w:val="00804981"/>
    <w:rsid w:val="00806F5F"/>
    <w:rsid w:val="008163D7"/>
    <w:rsid w:val="00820278"/>
    <w:rsid w:val="00834554"/>
    <w:rsid w:val="00834B31"/>
    <w:rsid w:val="00840ADC"/>
    <w:rsid w:val="00843BF7"/>
    <w:rsid w:val="008449B3"/>
    <w:rsid w:val="00846276"/>
    <w:rsid w:val="00850E23"/>
    <w:rsid w:val="00851137"/>
    <w:rsid w:val="00853978"/>
    <w:rsid w:val="0085432F"/>
    <w:rsid w:val="00864209"/>
    <w:rsid w:val="0087325B"/>
    <w:rsid w:val="00877EBA"/>
    <w:rsid w:val="00881ABA"/>
    <w:rsid w:val="0088243A"/>
    <w:rsid w:val="008843B6"/>
    <w:rsid w:val="00886C89"/>
    <w:rsid w:val="00887569"/>
    <w:rsid w:val="00890A17"/>
    <w:rsid w:val="00891928"/>
    <w:rsid w:val="00894B8B"/>
    <w:rsid w:val="008961BA"/>
    <w:rsid w:val="00896E8A"/>
    <w:rsid w:val="008A00A4"/>
    <w:rsid w:val="008A446D"/>
    <w:rsid w:val="008A7A64"/>
    <w:rsid w:val="008A7F08"/>
    <w:rsid w:val="008B2F0E"/>
    <w:rsid w:val="008B5A2E"/>
    <w:rsid w:val="008C43AD"/>
    <w:rsid w:val="008D180B"/>
    <w:rsid w:val="008D40A5"/>
    <w:rsid w:val="008D7227"/>
    <w:rsid w:val="008E1F92"/>
    <w:rsid w:val="008E7333"/>
    <w:rsid w:val="008E7B09"/>
    <w:rsid w:val="008F0EA7"/>
    <w:rsid w:val="008F7395"/>
    <w:rsid w:val="008F7BB9"/>
    <w:rsid w:val="00904692"/>
    <w:rsid w:val="00910097"/>
    <w:rsid w:val="00911C7C"/>
    <w:rsid w:val="0091561E"/>
    <w:rsid w:val="0091757F"/>
    <w:rsid w:val="00923EEF"/>
    <w:rsid w:val="009411F5"/>
    <w:rsid w:val="009419F9"/>
    <w:rsid w:val="00953AA4"/>
    <w:rsid w:val="00955305"/>
    <w:rsid w:val="009563E7"/>
    <w:rsid w:val="0095685E"/>
    <w:rsid w:val="009572D9"/>
    <w:rsid w:val="009600D2"/>
    <w:rsid w:val="00961409"/>
    <w:rsid w:val="00961B09"/>
    <w:rsid w:val="00962300"/>
    <w:rsid w:val="00965334"/>
    <w:rsid w:val="0097093E"/>
    <w:rsid w:val="00976025"/>
    <w:rsid w:val="00976F04"/>
    <w:rsid w:val="009800BE"/>
    <w:rsid w:val="00982E41"/>
    <w:rsid w:val="00984649"/>
    <w:rsid w:val="009858BE"/>
    <w:rsid w:val="009A0DFA"/>
    <w:rsid w:val="009A3C2C"/>
    <w:rsid w:val="009A4A40"/>
    <w:rsid w:val="009B0AEB"/>
    <w:rsid w:val="009B2D26"/>
    <w:rsid w:val="009B3595"/>
    <w:rsid w:val="009B5228"/>
    <w:rsid w:val="009B780F"/>
    <w:rsid w:val="009C2DD0"/>
    <w:rsid w:val="009C3AC7"/>
    <w:rsid w:val="009C71FA"/>
    <w:rsid w:val="009C72E7"/>
    <w:rsid w:val="009D0555"/>
    <w:rsid w:val="009D3058"/>
    <w:rsid w:val="009D3A11"/>
    <w:rsid w:val="009D44C4"/>
    <w:rsid w:val="009D6427"/>
    <w:rsid w:val="009D67FD"/>
    <w:rsid w:val="009E5A30"/>
    <w:rsid w:val="009E7C05"/>
    <w:rsid w:val="009F15C5"/>
    <w:rsid w:val="009F3831"/>
    <w:rsid w:val="009F3832"/>
    <w:rsid w:val="009F3A13"/>
    <w:rsid w:val="009F4AB2"/>
    <w:rsid w:val="009F73F7"/>
    <w:rsid w:val="00A02465"/>
    <w:rsid w:val="00A03415"/>
    <w:rsid w:val="00A04A81"/>
    <w:rsid w:val="00A122D3"/>
    <w:rsid w:val="00A14D3D"/>
    <w:rsid w:val="00A17F13"/>
    <w:rsid w:val="00A20739"/>
    <w:rsid w:val="00A211D0"/>
    <w:rsid w:val="00A23361"/>
    <w:rsid w:val="00A24433"/>
    <w:rsid w:val="00A2443A"/>
    <w:rsid w:val="00A25580"/>
    <w:rsid w:val="00A332DD"/>
    <w:rsid w:val="00A339A9"/>
    <w:rsid w:val="00A33C78"/>
    <w:rsid w:val="00A34B38"/>
    <w:rsid w:val="00A34D87"/>
    <w:rsid w:val="00A35538"/>
    <w:rsid w:val="00A3685A"/>
    <w:rsid w:val="00A3783B"/>
    <w:rsid w:val="00A37BC4"/>
    <w:rsid w:val="00A404DA"/>
    <w:rsid w:val="00A42050"/>
    <w:rsid w:val="00A43292"/>
    <w:rsid w:val="00A445C0"/>
    <w:rsid w:val="00A52D82"/>
    <w:rsid w:val="00A56959"/>
    <w:rsid w:val="00A56FCA"/>
    <w:rsid w:val="00A6004A"/>
    <w:rsid w:val="00A613C2"/>
    <w:rsid w:val="00A73750"/>
    <w:rsid w:val="00A745FA"/>
    <w:rsid w:val="00A74DE6"/>
    <w:rsid w:val="00A75D19"/>
    <w:rsid w:val="00A8086A"/>
    <w:rsid w:val="00A80F32"/>
    <w:rsid w:val="00A828F1"/>
    <w:rsid w:val="00A868C2"/>
    <w:rsid w:val="00A87F7D"/>
    <w:rsid w:val="00A9244C"/>
    <w:rsid w:val="00A94D14"/>
    <w:rsid w:val="00A95106"/>
    <w:rsid w:val="00AA23BB"/>
    <w:rsid w:val="00AB0ADB"/>
    <w:rsid w:val="00AB3FD1"/>
    <w:rsid w:val="00AB75FF"/>
    <w:rsid w:val="00AC0DF9"/>
    <w:rsid w:val="00AC0EAB"/>
    <w:rsid w:val="00AC4701"/>
    <w:rsid w:val="00AC49A2"/>
    <w:rsid w:val="00AD73E2"/>
    <w:rsid w:val="00AE2631"/>
    <w:rsid w:val="00AE3D6C"/>
    <w:rsid w:val="00AF03EA"/>
    <w:rsid w:val="00AF1BEC"/>
    <w:rsid w:val="00B009B8"/>
    <w:rsid w:val="00B01B1A"/>
    <w:rsid w:val="00B07DDD"/>
    <w:rsid w:val="00B14E03"/>
    <w:rsid w:val="00B26B98"/>
    <w:rsid w:val="00B35201"/>
    <w:rsid w:val="00B35ADC"/>
    <w:rsid w:val="00B36B39"/>
    <w:rsid w:val="00B37C24"/>
    <w:rsid w:val="00B40FBC"/>
    <w:rsid w:val="00B43248"/>
    <w:rsid w:val="00B46F27"/>
    <w:rsid w:val="00B47FD7"/>
    <w:rsid w:val="00B51F75"/>
    <w:rsid w:val="00B52169"/>
    <w:rsid w:val="00B53E27"/>
    <w:rsid w:val="00B558AF"/>
    <w:rsid w:val="00B615BA"/>
    <w:rsid w:val="00B62D8B"/>
    <w:rsid w:val="00B72CD3"/>
    <w:rsid w:val="00B72FFF"/>
    <w:rsid w:val="00B76CEB"/>
    <w:rsid w:val="00B8257D"/>
    <w:rsid w:val="00B82B8B"/>
    <w:rsid w:val="00B86FE2"/>
    <w:rsid w:val="00B91186"/>
    <w:rsid w:val="00B93423"/>
    <w:rsid w:val="00B948E8"/>
    <w:rsid w:val="00BA0A22"/>
    <w:rsid w:val="00BA2EF4"/>
    <w:rsid w:val="00BB22DA"/>
    <w:rsid w:val="00BB2C9D"/>
    <w:rsid w:val="00BC0036"/>
    <w:rsid w:val="00BC05A6"/>
    <w:rsid w:val="00BC3D36"/>
    <w:rsid w:val="00BC4B34"/>
    <w:rsid w:val="00BD37EA"/>
    <w:rsid w:val="00BD7F72"/>
    <w:rsid w:val="00BE03BC"/>
    <w:rsid w:val="00BE0A18"/>
    <w:rsid w:val="00BE5F4C"/>
    <w:rsid w:val="00BF0D99"/>
    <w:rsid w:val="00BF1201"/>
    <w:rsid w:val="00BF1D4A"/>
    <w:rsid w:val="00BF230F"/>
    <w:rsid w:val="00C002E3"/>
    <w:rsid w:val="00C012CC"/>
    <w:rsid w:val="00C04FB3"/>
    <w:rsid w:val="00C147D0"/>
    <w:rsid w:val="00C159C1"/>
    <w:rsid w:val="00C16346"/>
    <w:rsid w:val="00C21B15"/>
    <w:rsid w:val="00C21B8C"/>
    <w:rsid w:val="00C32062"/>
    <w:rsid w:val="00C32523"/>
    <w:rsid w:val="00C3281B"/>
    <w:rsid w:val="00C330EB"/>
    <w:rsid w:val="00C36000"/>
    <w:rsid w:val="00C371C9"/>
    <w:rsid w:val="00C40E9F"/>
    <w:rsid w:val="00C41481"/>
    <w:rsid w:val="00C42469"/>
    <w:rsid w:val="00C46D91"/>
    <w:rsid w:val="00C47A07"/>
    <w:rsid w:val="00C47B74"/>
    <w:rsid w:val="00C50855"/>
    <w:rsid w:val="00C57281"/>
    <w:rsid w:val="00C65D65"/>
    <w:rsid w:val="00C67703"/>
    <w:rsid w:val="00C7173F"/>
    <w:rsid w:val="00C730B6"/>
    <w:rsid w:val="00C754BE"/>
    <w:rsid w:val="00C76466"/>
    <w:rsid w:val="00C76B1C"/>
    <w:rsid w:val="00C915DD"/>
    <w:rsid w:val="00C91B94"/>
    <w:rsid w:val="00C92665"/>
    <w:rsid w:val="00C9305E"/>
    <w:rsid w:val="00CA538F"/>
    <w:rsid w:val="00CA6A9D"/>
    <w:rsid w:val="00CA7F6B"/>
    <w:rsid w:val="00CB0AD1"/>
    <w:rsid w:val="00CB6357"/>
    <w:rsid w:val="00CC0FA3"/>
    <w:rsid w:val="00CC1B26"/>
    <w:rsid w:val="00CC49F7"/>
    <w:rsid w:val="00CC54DB"/>
    <w:rsid w:val="00CC7787"/>
    <w:rsid w:val="00CD087D"/>
    <w:rsid w:val="00CD41CB"/>
    <w:rsid w:val="00CD5EE0"/>
    <w:rsid w:val="00CE3273"/>
    <w:rsid w:val="00CE509A"/>
    <w:rsid w:val="00CE5414"/>
    <w:rsid w:val="00CF241F"/>
    <w:rsid w:val="00CF7826"/>
    <w:rsid w:val="00D0157A"/>
    <w:rsid w:val="00D036D8"/>
    <w:rsid w:val="00D038ED"/>
    <w:rsid w:val="00D06D26"/>
    <w:rsid w:val="00D10B75"/>
    <w:rsid w:val="00D13351"/>
    <w:rsid w:val="00D15E25"/>
    <w:rsid w:val="00D20368"/>
    <w:rsid w:val="00D22361"/>
    <w:rsid w:val="00D22598"/>
    <w:rsid w:val="00D2339F"/>
    <w:rsid w:val="00D26924"/>
    <w:rsid w:val="00D36CB5"/>
    <w:rsid w:val="00D413F6"/>
    <w:rsid w:val="00D4231B"/>
    <w:rsid w:val="00D423A2"/>
    <w:rsid w:val="00D4556B"/>
    <w:rsid w:val="00D47296"/>
    <w:rsid w:val="00D520D8"/>
    <w:rsid w:val="00D52961"/>
    <w:rsid w:val="00D53A84"/>
    <w:rsid w:val="00D55048"/>
    <w:rsid w:val="00D57EB1"/>
    <w:rsid w:val="00D57FA4"/>
    <w:rsid w:val="00D62DE7"/>
    <w:rsid w:val="00D63AC2"/>
    <w:rsid w:val="00D665B4"/>
    <w:rsid w:val="00D72A07"/>
    <w:rsid w:val="00D7383B"/>
    <w:rsid w:val="00D7609E"/>
    <w:rsid w:val="00D81A63"/>
    <w:rsid w:val="00D81D25"/>
    <w:rsid w:val="00D85C60"/>
    <w:rsid w:val="00D91C0D"/>
    <w:rsid w:val="00D91F8B"/>
    <w:rsid w:val="00D94C40"/>
    <w:rsid w:val="00D962BC"/>
    <w:rsid w:val="00DA231B"/>
    <w:rsid w:val="00DA23A0"/>
    <w:rsid w:val="00DA7F66"/>
    <w:rsid w:val="00DB186F"/>
    <w:rsid w:val="00DC39FC"/>
    <w:rsid w:val="00DC4385"/>
    <w:rsid w:val="00DC484F"/>
    <w:rsid w:val="00DC4C27"/>
    <w:rsid w:val="00DC51BC"/>
    <w:rsid w:val="00DC78A7"/>
    <w:rsid w:val="00DC793F"/>
    <w:rsid w:val="00DD0891"/>
    <w:rsid w:val="00DE3BDD"/>
    <w:rsid w:val="00DE4629"/>
    <w:rsid w:val="00DE6EAA"/>
    <w:rsid w:val="00DF11FD"/>
    <w:rsid w:val="00DF5254"/>
    <w:rsid w:val="00E0164D"/>
    <w:rsid w:val="00E05B31"/>
    <w:rsid w:val="00E119F0"/>
    <w:rsid w:val="00E12426"/>
    <w:rsid w:val="00E16408"/>
    <w:rsid w:val="00E20894"/>
    <w:rsid w:val="00E23B70"/>
    <w:rsid w:val="00E245AB"/>
    <w:rsid w:val="00E26239"/>
    <w:rsid w:val="00E2764C"/>
    <w:rsid w:val="00E27F2E"/>
    <w:rsid w:val="00E35539"/>
    <w:rsid w:val="00E413EA"/>
    <w:rsid w:val="00E47F28"/>
    <w:rsid w:val="00E50AFE"/>
    <w:rsid w:val="00E52E49"/>
    <w:rsid w:val="00E52F44"/>
    <w:rsid w:val="00E559C8"/>
    <w:rsid w:val="00E561D3"/>
    <w:rsid w:val="00E577AC"/>
    <w:rsid w:val="00E578B6"/>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E3D"/>
    <w:rsid w:val="00EA1CD8"/>
    <w:rsid w:val="00EA29F8"/>
    <w:rsid w:val="00EA393B"/>
    <w:rsid w:val="00EA39A5"/>
    <w:rsid w:val="00EB2C4B"/>
    <w:rsid w:val="00EB3B79"/>
    <w:rsid w:val="00EB7E00"/>
    <w:rsid w:val="00EC1A2C"/>
    <w:rsid w:val="00EC1FE1"/>
    <w:rsid w:val="00EC38A7"/>
    <w:rsid w:val="00ED042A"/>
    <w:rsid w:val="00ED0D4A"/>
    <w:rsid w:val="00ED501A"/>
    <w:rsid w:val="00ED5B3A"/>
    <w:rsid w:val="00EE1AA8"/>
    <w:rsid w:val="00EF26C3"/>
    <w:rsid w:val="00EF419E"/>
    <w:rsid w:val="00EF489F"/>
    <w:rsid w:val="00EF5E27"/>
    <w:rsid w:val="00F11213"/>
    <w:rsid w:val="00F11BAA"/>
    <w:rsid w:val="00F177C1"/>
    <w:rsid w:val="00F17EB6"/>
    <w:rsid w:val="00F238B3"/>
    <w:rsid w:val="00F238F2"/>
    <w:rsid w:val="00F260AA"/>
    <w:rsid w:val="00F27B26"/>
    <w:rsid w:val="00F31EDC"/>
    <w:rsid w:val="00F34D02"/>
    <w:rsid w:val="00F34E84"/>
    <w:rsid w:val="00F40BAD"/>
    <w:rsid w:val="00F462B3"/>
    <w:rsid w:val="00F5184B"/>
    <w:rsid w:val="00F54218"/>
    <w:rsid w:val="00F5491E"/>
    <w:rsid w:val="00F55081"/>
    <w:rsid w:val="00F55168"/>
    <w:rsid w:val="00F558D9"/>
    <w:rsid w:val="00F5664F"/>
    <w:rsid w:val="00F626C4"/>
    <w:rsid w:val="00F64D9E"/>
    <w:rsid w:val="00F666C4"/>
    <w:rsid w:val="00F73ADD"/>
    <w:rsid w:val="00F7684C"/>
    <w:rsid w:val="00F76AFC"/>
    <w:rsid w:val="00F777D4"/>
    <w:rsid w:val="00F80CBE"/>
    <w:rsid w:val="00F85198"/>
    <w:rsid w:val="00F85237"/>
    <w:rsid w:val="00F86F45"/>
    <w:rsid w:val="00F92BB4"/>
    <w:rsid w:val="00F939CB"/>
    <w:rsid w:val="00F94459"/>
    <w:rsid w:val="00F9479C"/>
    <w:rsid w:val="00F9610A"/>
    <w:rsid w:val="00F965EE"/>
    <w:rsid w:val="00F97949"/>
    <w:rsid w:val="00FA1110"/>
    <w:rsid w:val="00FA1361"/>
    <w:rsid w:val="00FA358D"/>
    <w:rsid w:val="00FA47C0"/>
    <w:rsid w:val="00FB4425"/>
    <w:rsid w:val="00FB5615"/>
    <w:rsid w:val="00FB5CB7"/>
    <w:rsid w:val="00FB5DD1"/>
    <w:rsid w:val="00FB5F87"/>
    <w:rsid w:val="00FB675F"/>
    <w:rsid w:val="00FC07B5"/>
    <w:rsid w:val="00FC2B5D"/>
    <w:rsid w:val="00FD00BB"/>
    <w:rsid w:val="00FD00E9"/>
    <w:rsid w:val="00FD03E3"/>
    <w:rsid w:val="00FD108E"/>
    <w:rsid w:val="00FE06C8"/>
    <w:rsid w:val="00FE122A"/>
    <w:rsid w:val="00FE20E6"/>
    <w:rsid w:val="00FE7A9F"/>
    <w:rsid w:val="00FF1187"/>
    <w:rsid w:val="00FF1449"/>
    <w:rsid w:val="00FF3F03"/>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75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table" w:customStyle="1" w:styleId="Tablaconcuadrcula11">
    <w:name w:val="Tabla con cuadrícula11"/>
    <w:basedOn w:val="Tablanormal"/>
    <w:next w:val="Tablaconcuadrcula"/>
    <w:uiPriority w:val="39"/>
    <w:qFormat/>
    <w:rsid w:val="009563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563E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15140087">
      <w:bodyDiv w:val="1"/>
      <w:marLeft w:val="0"/>
      <w:marRight w:val="0"/>
      <w:marTop w:val="0"/>
      <w:marBottom w:val="0"/>
      <w:divBdr>
        <w:top w:val="none" w:sz="0" w:space="0" w:color="auto"/>
        <w:left w:val="none" w:sz="0" w:space="0" w:color="auto"/>
        <w:bottom w:val="none" w:sz="0" w:space="0" w:color="auto"/>
        <w:right w:val="none" w:sz="0" w:space="0" w:color="auto"/>
      </w:divBdr>
      <w:divsChild>
        <w:div w:id="676932028">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15736660">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976298735">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496797806">
      <w:bodyDiv w:val="1"/>
      <w:marLeft w:val="0"/>
      <w:marRight w:val="0"/>
      <w:marTop w:val="0"/>
      <w:marBottom w:val="0"/>
      <w:divBdr>
        <w:top w:val="none" w:sz="0" w:space="0" w:color="auto"/>
        <w:left w:val="none" w:sz="0" w:space="0" w:color="auto"/>
        <w:bottom w:val="none" w:sz="0" w:space="0" w:color="auto"/>
        <w:right w:val="none" w:sz="0" w:space="0" w:color="auto"/>
      </w:divBdr>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yimijulioper@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179_199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3ACDB1E-B19C-4814-A323-4032F0455B76}">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purl.org/dc/terms/"/>
    <ds:schemaRef ds:uri="http://www.w3.org/XML/1998/namespace"/>
    <ds:schemaRef ds:uri="http://schemas.microsoft.com/office/infopath/2007/PartnerControls"/>
    <ds:schemaRef ds:uri="http://purl.org/dc/elements/1.1/"/>
    <ds:schemaRef ds:uri="http://schemas.microsoft.com/office/2006/documentManagement/types"/>
    <ds:schemaRef ds:uri="http://schemas.microsoft.com/office/2006/metadata/properties"/>
    <ds:schemaRef ds:uri="a6cb9e4b-f1d1-4245-83ec-6cad768d538a"/>
    <ds:schemaRef ds:uri="http://schemas.openxmlformats.org/package/2006/metadata/core-properties"/>
    <ds:schemaRef ds:uri="9d85dbaf-23eb-4e57-a637-93dcacc8b1a1"/>
    <ds:schemaRef ds:uri="http://purl.org/dc/dcmitype/"/>
  </ds:schemaRefs>
</ds:datastoreItem>
</file>

<file path=customXml/itemProps3.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14</Pages>
  <Words>4326</Words>
  <Characters>23797</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2025-02-25T15:45:00Z</cp:lastPrinted>
  <dcterms:created xsi:type="dcterms:W3CDTF">2025-10-06T20:15:00Z</dcterms:created>
  <dcterms:modified xsi:type="dcterms:W3CDTF">2025-10-06T20:15:00Z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