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C779A0" w14:textId="77777777" w:rsidR="002E7F40" w:rsidRPr="0072077A" w:rsidRDefault="002E7F40" w:rsidP="002E7F40">
      <w:pPr>
        <w:spacing w:after="0" w:line="240" w:lineRule="auto"/>
        <w:jc w:val="both"/>
        <w:rPr>
          <w:rFonts w:ascii="Verdana" w:eastAsia="Calibri" w:hAnsi="Verdana" w:cs="Arial"/>
          <w:b/>
          <w:bCs/>
          <w:color w:val="000000" w:themeColor="text1"/>
          <w:lang w:val="es-ES"/>
        </w:rPr>
      </w:pPr>
      <w:r w:rsidRPr="0072077A">
        <w:rPr>
          <w:rFonts w:ascii="Verdana" w:eastAsia="Calibri" w:hAnsi="Verdana" w:cs="Arial"/>
          <w:b/>
          <w:bCs/>
          <w:lang w:val="es-ES"/>
        </w:rPr>
        <w:t xml:space="preserve">CONTRATACIÓN ESTATAL – </w:t>
      </w:r>
      <w:r w:rsidRPr="0072077A">
        <w:rPr>
          <w:rFonts w:ascii="Verdana" w:eastAsia="Calibri" w:hAnsi="Verdana" w:cs="Arial"/>
          <w:b/>
          <w:bCs/>
          <w:color w:val="000000" w:themeColor="text1"/>
          <w:lang w:val="es-ES"/>
        </w:rPr>
        <w:t xml:space="preserve">Capacidad – Validez contratos – Régimen de contratación – Limitación de la capacidad </w:t>
      </w:r>
    </w:p>
    <w:p w14:paraId="6991F0D3" w14:textId="77777777" w:rsidR="002E7F40" w:rsidRPr="0072077A" w:rsidRDefault="002E7F40" w:rsidP="002E7F40">
      <w:pPr>
        <w:spacing w:after="0" w:line="240" w:lineRule="auto"/>
        <w:jc w:val="both"/>
        <w:rPr>
          <w:rFonts w:ascii="Verdana" w:eastAsia="Calibri" w:hAnsi="Verdana" w:cs="Arial"/>
          <w:b/>
          <w:bCs/>
          <w:color w:val="000000" w:themeColor="text1"/>
          <w:lang w:val="es-ES"/>
        </w:rPr>
      </w:pPr>
    </w:p>
    <w:p w14:paraId="1ED0B8AE" w14:textId="77777777" w:rsidR="002E7F40" w:rsidRPr="0072077A" w:rsidRDefault="002E7F40" w:rsidP="002E7F40">
      <w:pPr>
        <w:spacing w:after="0" w:line="240" w:lineRule="auto"/>
        <w:jc w:val="both"/>
        <w:rPr>
          <w:rFonts w:ascii="Verdana" w:eastAsia="Calibri" w:hAnsi="Verdana" w:cs="Arial"/>
          <w:color w:val="000000" w:themeColor="text1"/>
          <w:sz w:val="20"/>
          <w:szCs w:val="20"/>
          <w:lang w:val="es-ES"/>
        </w:rPr>
      </w:pPr>
      <w:r w:rsidRPr="0072077A">
        <w:rPr>
          <w:rFonts w:ascii="Verdana" w:eastAsia="Calibri" w:hAnsi="Verdana" w:cs="Arial"/>
          <w:color w:val="000000" w:themeColor="text1"/>
          <w:sz w:val="20"/>
          <w:szCs w:val="20"/>
          <w:lang w:val="es-ES"/>
        </w:rPr>
        <w:t xml:space="preserve">En la contratación estatal, la </w:t>
      </w:r>
      <w:r w:rsidRPr="0072077A">
        <w:rPr>
          <w:rFonts w:ascii="Verdana" w:eastAsia="Calibri" w:hAnsi="Verdana" w:cs="Arial"/>
          <w:i/>
          <w:color w:val="000000" w:themeColor="text1"/>
          <w:sz w:val="20"/>
          <w:szCs w:val="20"/>
          <w:lang w:val="es-ES"/>
        </w:rPr>
        <w:t>capacidad</w:t>
      </w:r>
      <w:r w:rsidRPr="0072077A">
        <w:rPr>
          <w:rFonts w:ascii="Verdana" w:eastAsia="Calibri" w:hAnsi="Verdana" w:cs="Arial"/>
          <w:color w:val="000000" w:themeColor="text1"/>
          <w:sz w:val="20"/>
          <w:szCs w:val="20"/>
          <w:lang w:val="es-ES"/>
        </w:rPr>
        <w:t xml:space="preserve">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 se destaca el régimen de inhabilidades e incompatibilidades como un conjunto de normas que imponen restricciones para los sujetos que, eventualmente, pretendan participar en los procedimientos de selección o celebrar contratos con las entidades estatales.</w:t>
      </w:r>
    </w:p>
    <w:p w14:paraId="48499F83" w14:textId="77777777" w:rsidR="002E7F40" w:rsidRPr="0072077A" w:rsidRDefault="002E7F40" w:rsidP="002E7F40">
      <w:pPr>
        <w:spacing w:after="0" w:line="240" w:lineRule="auto"/>
        <w:jc w:val="both"/>
        <w:rPr>
          <w:rFonts w:ascii="Verdana" w:eastAsia="Calibri" w:hAnsi="Verdana" w:cs="Arial"/>
          <w:color w:val="000000" w:themeColor="text1"/>
          <w:sz w:val="20"/>
          <w:szCs w:val="20"/>
          <w:lang w:val="es-ES_tradnl"/>
        </w:rPr>
      </w:pPr>
    </w:p>
    <w:p w14:paraId="4B793630" w14:textId="77777777" w:rsidR="002E7F40" w:rsidRPr="0072077A" w:rsidRDefault="002E7F40" w:rsidP="002E7F40">
      <w:pPr>
        <w:spacing w:after="0" w:line="240" w:lineRule="auto"/>
        <w:jc w:val="both"/>
        <w:rPr>
          <w:rFonts w:ascii="Verdana" w:eastAsia="Calibri" w:hAnsi="Verdana" w:cs="Arial"/>
          <w:color w:val="000000" w:themeColor="text1"/>
          <w:sz w:val="20"/>
          <w:szCs w:val="20"/>
          <w:lang w:val="es-ES"/>
        </w:rPr>
      </w:pPr>
      <w:r w:rsidRPr="0072077A">
        <w:rPr>
          <w:rFonts w:ascii="Verdana" w:eastAsia="Calibri" w:hAnsi="Verdana" w:cs="Arial"/>
          <w:color w:val="000000" w:themeColor="text1"/>
          <w:sz w:val="20"/>
          <w:szCs w:val="20"/>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72077A">
        <w:rPr>
          <w:rFonts w:ascii="Verdana" w:eastAsia="Calibri" w:hAnsi="Verdana" w:cs="Arial"/>
          <w:color w:val="000000" w:themeColor="text1"/>
          <w:sz w:val="20"/>
          <w:szCs w:val="20"/>
          <w:lang w:val="es-ES"/>
        </w:rPr>
        <w:t>ii</w:t>
      </w:r>
      <w:proofErr w:type="spellEnd"/>
      <w:r w:rsidRPr="0072077A">
        <w:rPr>
          <w:rFonts w:ascii="Verdana" w:eastAsia="Calibri" w:hAnsi="Verdana" w:cs="Arial"/>
          <w:color w:val="000000" w:themeColor="text1"/>
          <w:sz w:val="20"/>
          <w:szCs w:val="20"/>
          <w:lang w:val="es-ES"/>
        </w:rPr>
        <w:t xml:space="preserve">) de vínculos personales relativos al parentesco o al estado civil o </w:t>
      </w:r>
      <w:proofErr w:type="spellStart"/>
      <w:r w:rsidRPr="0072077A">
        <w:rPr>
          <w:rFonts w:ascii="Verdana" w:eastAsia="Calibri" w:hAnsi="Verdana" w:cs="Arial"/>
          <w:color w:val="000000" w:themeColor="text1"/>
          <w:sz w:val="20"/>
          <w:szCs w:val="20"/>
          <w:lang w:val="es-ES"/>
        </w:rPr>
        <w:t>iii</w:t>
      </w:r>
      <w:proofErr w:type="spellEnd"/>
      <w:r w:rsidRPr="0072077A">
        <w:rPr>
          <w:rFonts w:ascii="Verdana" w:eastAsia="Calibri" w:hAnsi="Verdana" w:cs="Arial"/>
          <w:color w:val="000000" w:themeColor="text1"/>
          <w:sz w:val="20"/>
          <w:szCs w:val="20"/>
          <w:lang w:val="es-ES"/>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como se desarrolló en el numeral 2.1. de este concepto. De manera que la presencia de ellas impide que se puedan celebrar contratos con el Estado o participar en procedimientos de selección de las entidades estatales, por lo que de cualquiera de ellas se derivan los mismos efectos jurídicos.</w:t>
      </w:r>
    </w:p>
    <w:p w14:paraId="0420A1DD" w14:textId="77777777" w:rsidR="002E7F40" w:rsidRPr="0072077A" w:rsidRDefault="002E7F40" w:rsidP="002E7F40">
      <w:pPr>
        <w:spacing w:after="0"/>
        <w:jc w:val="both"/>
        <w:rPr>
          <w:rFonts w:ascii="Verdana" w:eastAsia="Arial" w:hAnsi="Verdana"/>
          <w:b/>
          <w:sz w:val="20"/>
          <w:szCs w:val="20"/>
          <w:lang w:val="es-ES" w:eastAsia="es-ES_tradnl"/>
        </w:rPr>
      </w:pPr>
    </w:p>
    <w:p w14:paraId="72EE4744" w14:textId="77777777" w:rsidR="002E7F40" w:rsidRPr="0072077A" w:rsidRDefault="002E7F40" w:rsidP="002E7F40">
      <w:pPr>
        <w:spacing w:after="0"/>
        <w:jc w:val="both"/>
        <w:rPr>
          <w:rFonts w:ascii="Verdana" w:eastAsia="Arial" w:hAnsi="Verdana"/>
          <w:b/>
          <w:bCs/>
          <w:lang w:val="es-ES" w:eastAsia="es-ES_tradnl"/>
        </w:rPr>
      </w:pPr>
      <w:r w:rsidRPr="0072077A">
        <w:rPr>
          <w:rFonts w:ascii="Verdana" w:eastAsia="Arial" w:hAnsi="Verdana"/>
          <w:b/>
          <w:bCs/>
          <w:lang w:val="es-ES" w:eastAsia="es-ES_tradnl"/>
        </w:rPr>
        <w:t xml:space="preserve">RÉGIMEN DE INHABILIDAD E INCOMPATIBILIDAD – Concepto  </w:t>
      </w:r>
    </w:p>
    <w:p w14:paraId="3A30ED72" w14:textId="77777777" w:rsidR="002E7F40" w:rsidRPr="0072077A" w:rsidRDefault="002E7F40" w:rsidP="002E7F40">
      <w:pPr>
        <w:spacing w:after="0"/>
        <w:jc w:val="both"/>
        <w:rPr>
          <w:rFonts w:ascii="Verdana" w:eastAsia="Arial" w:hAnsi="Verdana"/>
          <w:b/>
          <w:bCs/>
          <w:lang w:val="es-ES" w:eastAsia="es-ES_tradnl"/>
        </w:rPr>
      </w:pPr>
    </w:p>
    <w:p w14:paraId="0211FE11" w14:textId="77777777" w:rsidR="002E7F40" w:rsidRPr="0072077A" w:rsidRDefault="002E7F40" w:rsidP="002E7F40">
      <w:pPr>
        <w:spacing w:after="0" w:line="240" w:lineRule="auto"/>
        <w:jc w:val="both"/>
        <w:rPr>
          <w:rFonts w:ascii="Verdana" w:eastAsia="Calibri" w:hAnsi="Verdana" w:cs="Arial"/>
          <w:color w:val="000000" w:themeColor="text1"/>
          <w:sz w:val="20"/>
          <w:szCs w:val="20"/>
          <w:lang w:val="es-ES"/>
        </w:rPr>
      </w:pPr>
      <w:r w:rsidRPr="0072077A">
        <w:rPr>
          <w:rFonts w:ascii="Verdana" w:eastAsia="Calibri" w:hAnsi="Verdana" w:cs="Arial"/>
          <w:color w:val="000000" w:themeColor="text1"/>
          <w:sz w:val="20"/>
          <w:szCs w:val="20"/>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72077A">
        <w:rPr>
          <w:rFonts w:ascii="Verdana" w:eastAsia="Calibri" w:hAnsi="Verdana" w:cs="Arial"/>
          <w:color w:val="000000" w:themeColor="text1"/>
          <w:sz w:val="20"/>
          <w:szCs w:val="20"/>
          <w:lang w:val="es-ES"/>
        </w:rPr>
        <w:t>ii</w:t>
      </w:r>
      <w:proofErr w:type="spellEnd"/>
      <w:r w:rsidRPr="0072077A">
        <w:rPr>
          <w:rFonts w:ascii="Verdana" w:eastAsia="Calibri" w:hAnsi="Verdana" w:cs="Arial"/>
          <w:color w:val="000000" w:themeColor="text1"/>
          <w:sz w:val="20"/>
          <w:szCs w:val="20"/>
          <w:lang w:val="es-ES"/>
        </w:rPr>
        <w:t xml:space="preserve">) de vínculos personales relativos al parentesco o al estado civil o </w:t>
      </w:r>
      <w:proofErr w:type="spellStart"/>
      <w:r w:rsidRPr="0072077A">
        <w:rPr>
          <w:rFonts w:ascii="Verdana" w:eastAsia="Calibri" w:hAnsi="Verdana" w:cs="Arial"/>
          <w:color w:val="000000" w:themeColor="text1"/>
          <w:sz w:val="20"/>
          <w:szCs w:val="20"/>
          <w:lang w:val="es-ES"/>
        </w:rPr>
        <w:t>iii</w:t>
      </w:r>
      <w:proofErr w:type="spellEnd"/>
      <w:r w:rsidRPr="0072077A">
        <w:rPr>
          <w:rFonts w:ascii="Verdana" w:eastAsia="Calibri" w:hAnsi="Verdana" w:cs="Arial"/>
          <w:color w:val="000000" w:themeColor="text1"/>
          <w:sz w:val="20"/>
          <w:szCs w:val="20"/>
          <w:lang w:val="es-ES"/>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p>
    <w:p w14:paraId="074C88E1" w14:textId="77777777" w:rsidR="002E7F40" w:rsidRPr="0072077A" w:rsidRDefault="002E7F40" w:rsidP="002E7F40">
      <w:pPr>
        <w:spacing w:after="0"/>
        <w:jc w:val="both"/>
        <w:rPr>
          <w:rFonts w:ascii="Verdana" w:eastAsia="Arial" w:hAnsi="Verdana"/>
          <w:b/>
          <w:bCs/>
          <w:lang w:val="es-ES" w:eastAsia="es-ES_tradnl"/>
        </w:rPr>
      </w:pPr>
    </w:p>
    <w:p w14:paraId="1E2BC3C9" w14:textId="107120D1" w:rsidR="002E7F40" w:rsidRPr="0072077A" w:rsidRDefault="002E7F40" w:rsidP="002E7F40">
      <w:pPr>
        <w:spacing w:after="0" w:line="240" w:lineRule="auto"/>
        <w:jc w:val="both"/>
        <w:rPr>
          <w:rFonts w:ascii="Verdana" w:eastAsia="Calibri" w:hAnsi="Verdana" w:cs="Arial"/>
          <w:b/>
          <w:bCs/>
          <w:color w:val="000000" w:themeColor="text1"/>
          <w:lang w:val="es-ES_tradnl"/>
        </w:rPr>
      </w:pPr>
      <w:r w:rsidRPr="0072077A">
        <w:rPr>
          <w:rFonts w:ascii="Verdana" w:eastAsia="Calibri" w:hAnsi="Verdana" w:cs="Arial"/>
          <w:b/>
          <w:bCs/>
          <w:color w:val="000000" w:themeColor="text1"/>
          <w:lang w:val="es-ES_tradnl"/>
        </w:rPr>
        <w:lastRenderedPageBreak/>
        <w:t xml:space="preserve">INHABILIDADES E INCOMPATIBILIDADES </w:t>
      </w:r>
      <w:r w:rsidR="00D23696" w:rsidRPr="00D23696">
        <w:rPr>
          <w:rFonts w:ascii="Verdana" w:eastAsia="Calibri" w:hAnsi="Verdana" w:cs="Arial"/>
          <w:b/>
          <w:bCs/>
          <w:color w:val="000000" w:themeColor="text1"/>
          <w:lang w:val="es-ES"/>
        </w:rPr>
        <w:t>–</w:t>
      </w:r>
      <w:r w:rsidRPr="0072077A">
        <w:rPr>
          <w:rFonts w:ascii="Verdana" w:eastAsia="Calibri" w:hAnsi="Verdana" w:cs="Arial"/>
          <w:b/>
          <w:bCs/>
          <w:color w:val="000000" w:themeColor="text1"/>
          <w:lang w:val="es-ES_tradnl"/>
        </w:rPr>
        <w:t xml:space="preserve"> Interpretación restrictiva</w:t>
      </w:r>
    </w:p>
    <w:p w14:paraId="1002A84A" w14:textId="77777777" w:rsidR="002E7F40" w:rsidRPr="0072077A" w:rsidRDefault="002E7F40" w:rsidP="002E7F40">
      <w:pPr>
        <w:spacing w:after="0" w:line="240" w:lineRule="auto"/>
        <w:jc w:val="both"/>
        <w:rPr>
          <w:rFonts w:ascii="Verdana" w:eastAsia="Calibri" w:hAnsi="Verdana" w:cs="Arial"/>
          <w:color w:val="000000" w:themeColor="text1"/>
          <w:lang w:val="es-ES_tradnl"/>
        </w:rPr>
      </w:pPr>
    </w:p>
    <w:p w14:paraId="50FEE4E7" w14:textId="77777777" w:rsidR="002E7F40" w:rsidRPr="0072077A" w:rsidRDefault="002E7F40" w:rsidP="002E7F40">
      <w:pPr>
        <w:spacing w:after="0" w:line="240" w:lineRule="auto"/>
        <w:jc w:val="both"/>
        <w:rPr>
          <w:rFonts w:ascii="Verdana" w:eastAsia="Calibri" w:hAnsi="Verdana" w:cs="Arial"/>
          <w:color w:val="000000" w:themeColor="text1"/>
          <w:sz w:val="20"/>
          <w:szCs w:val="20"/>
          <w:lang w:val="es-ES"/>
        </w:rPr>
      </w:pPr>
      <w:r w:rsidRPr="0072077A">
        <w:rPr>
          <w:rFonts w:ascii="Verdana" w:eastAsia="Calibri" w:hAnsi="Verdana" w:cs="Arial"/>
          <w:color w:val="000000" w:themeColor="text1"/>
          <w:sz w:val="20"/>
          <w:szCs w:val="20"/>
          <w:lang w:val="es-ES"/>
        </w:rPr>
        <w:t>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5DA05516" w14:textId="77777777" w:rsidR="002E7F40" w:rsidRPr="0072077A" w:rsidRDefault="002E7F40" w:rsidP="002E7F40">
      <w:pPr>
        <w:spacing w:after="0" w:line="240" w:lineRule="auto"/>
        <w:jc w:val="both"/>
        <w:rPr>
          <w:rFonts w:ascii="Verdana" w:eastAsia="Calibri" w:hAnsi="Verdana" w:cs="Arial"/>
          <w:color w:val="000000" w:themeColor="text1"/>
          <w:sz w:val="20"/>
          <w:szCs w:val="20"/>
          <w:lang w:val="es-ES"/>
        </w:rPr>
      </w:pPr>
      <w:r w:rsidRPr="0072077A">
        <w:rPr>
          <w:rFonts w:ascii="Verdana" w:eastAsia="Calibri" w:hAnsi="Verdana" w:cs="Arial"/>
          <w:color w:val="000000" w:themeColor="text1"/>
          <w:sz w:val="20"/>
          <w:szCs w:val="20"/>
          <w:lang w:val="es-ES"/>
        </w:rPr>
        <w:t>(…)</w:t>
      </w:r>
    </w:p>
    <w:p w14:paraId="6AED0302" w14:textId="77777777" w:rsidR="002E7F40" w:rsidRPr="0072077A" w:rsidRDefault="002E7F40" w:rsidP="002E7F40">
      <w:pPr>
        <w:spacing w:after="0" w:line="240" w:lineRule="auto"/>
        <w:jc w:val="both"/>
        <w:rPr>
          <w:rFonts w:ascii="Verdana" w:eastAsia="Calibri" w:hAnsi="Verdana" w:cs="Arial"/>
          <w:color w:val="000000" w:themeColor="text1"/>
          <w:sz w:val="20"/>
          <w:szCs w:val="20"/>
          <w:lang w:val="es-ES"/>
        </w:rPr>
      </w:pPr>
      <w:r w:rsidRPr="0072077A">
        <w:rPr>
          <w:rFonts w:ascii="Verdana" w:eastAsia="Calibri" w:hAnsi="Verdana" w:cs="Arial"/>
          <w:color w:val="000000" w:themeColor="text1"/>
          <w:sz w:val="20"/>
          <w:szCs w:val="20"/>
          <w:lang w:val="es-ES"/>
        </w:rPr>
        <w:t xml:space="preserve">Como se aprecia, el principio pro </w:t>
      </w:r>
      <w:proofErr w:type="spellStart"/>
      <w:r w:rsidRPr="0072077A">
        <w:rPr>
          <w:rFonts w:ascii="Verdana" w:eastAsia="Calibri" w:hAnsi="Verdana" w:cs="Arial"/>
          <w:color w:val="000000" w:themeColor="text1"/>
          <w:sz w:val="20"/>
          <w:szCs w:val="20"/>
          <w:lang w:val="es-ES"/>
        </w:rPr>
        <w:t>libertate</w:t>
      </w:r>
      <w:proofErr w:type="spellEnd"/>
      <w:r w:rsidRPr="0072077A">
        <w:rPr>
          <w:rFonts w:ascii="Verdana" w:eastAsia="Calibri" w:hAnsi="Verdana" w:cs="Arial"/>
          <w:color w:val="000000" w:themeColor="text1"/>
          <w:sz w:val="20"/>
          <w:szCs w:val="20"/>
          <w:lang w:val="es-ES"/>
        </w:rPr>
        <w:t xml:space="preserve"> es el que debe dirigir la interpretación de las disposiciones normativas que consagran restricciones de derechos, como sucede con las causales de inhabilidad e incompatibilidad en la contratación estatal. </w:t>
      </w:r>
    </w:p>
    <w:p w14:paraId="219951A6" w14:textId="77777777" w:rsidR="002E7F40" w:rsidRPr="0072077A" w:rsidRDefault="002E7F40" w:rsidP="002E7F40">
      <w:pPr>
        <w:rPr>
          <w:rFonts w:ascii="Verdana" w:eastAsia="Calibri" w:hAnsi="Verdana" w:cs="Arial"/>
          <w:color w:val="000000" w:themeColor="text1"/>
          <w:sz w:val="20"/>
          <w:szCs w:val="20"/>
          <w:lang w:val="es-ES"/>
        </w:rPr>
      </w:pPr>
      <w:r w:rsidRPr="0072077A">
        <w:rPr>
          <w:rFonts w:ascii="Verdana" w:eastAsia="Calibri" w:hAnsi="Verdana" w:cs="Arial"/>
          <w:color w:val="000000" w:themeColor="text1"/>
          <w:sz w:val="20"/>
          <w:szCs w:val="20"/>
          <w:lang w:val="es-ES"/>
        </w:rPr>
        <w:br w:type="page"/>
      </w:r>
    </w:p>
    <w:p w14:paraId="11DE12C4" w14:textId="77777777" w:rsidR="002E7F40" w:rsidRPr="00960F72" w:rsidRDefault="002E7F40" w:rsidP="004A4705">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0F82AB4B" w14:textId="77777777" w:rsidR="002E7F40" w:rsidRPr="00960F72" w:rsidRDefault="002E7F40" w:rsidP="002E7F40">
      <w:pPr>
        <w:spacing w:after="0" w:line="240" w:lineRule="auto"/>
        <w:jc w:val="both"/>
        <w:rPr>
          <w:rFonts w:ascii="Verdana" w:eastAsia="Calibri" w:hAnsi="Verdana" w:cs="Arial"/>
        </w:rPr>
      </w:pPr>
    </w:p>
    <w:p w14:paraId="22F217AB" w14:textId="3866DA03" w:rsidR="002E7F40" w:rsidRDefault="0006598F" w:rsidP="002E7F40">
      <w:pPr>
        <w:spacing w:after="0" w:line="240" w:lineRule="auto"/>
        <w:jc w:val="both"/>
        <w:rPr>
          <w:rFonts w:ascii="Verdana" w:eastAsia="Calibri" w:hAnsi="Verdana" w:cs="Arial"/>
          <w:lang w:eastAsia="es-ES"/>
        </w:rPr>
      </w:pPr>
      <w:r w:rsidRPr="0006598F">
        <w:rPr>
          <w:rFonts w:ascii="Verdana" w:eastAsia="Calibri" w:hAnsi="Verdana" w:cs="Arial"/>
          <w:noProof/>
          <w:lang w:eastAsia="es-ES"/>
        </w:rPr>
        <w:drawing>
          <wp:anchor distT="0" distB="0" distL="114300" distR="114300" simplePos="0" relativeHeight="251658240" behindDoc="1" locked="0" layoutInCell="1" allowOverlap="1" wp14:anchorId="2ABB28E8" wp14:editId="58A6DC22">
            <wp:simplePos x="0" y="0"/>
            <wp:positionH relativeFrom="margin">
              <wp:align>right</wp:align>
            </wp:positionH>
            <wp:positionV relativeFrom="paragraph">
              <wp:posOffset>9221</wp:posOffset>
            </wp:positionV>
            <wp:extent cx="2440305" cy="874395"/>
            <wp:effectExtent l="0" t="0" r="0" b="1905"/>
            <wp:wrapSquare wrapText="bothSides"/>
            <wp:docPr id="12569794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979403"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47349" cy="877169"/>
                    </a:xfrm>
                    <a:prstGeom prst="rect">
                      <a:avLst/>
                    </a:prstGeom>
                  </pic:spPr>
                </pic:pic>
              </a:graphicData>
            </a:graphic>
            <wp14:sizeRelH relativeFrom="page">
              <wp14:pctWidth>0</wp14:pctWidth>
            </wp14:sizeRelH>
            <wp14:sizeRelV relativeFrom="page">
              <wp14:pctHeight>0</wp14:pctHeight>
            </wp14:sizeRelV>
          </wp:anchor>
        </w:drawing>
      </w:r>
      <w:r w:rsidR="002E7F40" w:rsidRPr="00960F72">
        <w:rPr>
          <w:rFonts w:ascii="Verdana" w:eastAsia="Calibri" w:hAnsi="Verdana" w:cs="Arial"/>
          <w:lang w:eastAsia="es-ES"/>
        </w:rPr>
        <w:t>Señor</w:t>
      </w:r>
    </w:p>
    <w:p w14:paraId="3C82B02C" w14:textId="1834F994" w:rsidR="002E7F40" w:rsidRDefault="002E7F40" w:rsidP="002E7F40">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Silvio Rolando Bravo Pantoja </w:t>
      </w:r>
    </w:p>
    <w:p w14:paraId="7CAD5289" w14:textId="6BFF337B" w:rsidR="002E7F40" w:rsidRPr="0003244D" w:rsidRDefault="00F15911" w:rsidP="002E7F40">
      <w:pPr>
        <w:spacing w:after="0" w:line="240" w:lineRule="auto"/>
        <w:jc w:val="both"/>
        <w:rPr>
          <w:rFonts w:ascii="Verdana" w:eastAsia="Calibri" w:hAnsi="Verdana" w:cs="Arial"/>
          <w:lang w:eastAsia="es-ES"/>
        </w:rPr>
      </w:pPr>
      <w:hyperlink r:id="rId11" w:history="1">
        <w:r w:rsidRPr="00373AE8">
          <w:rPr>
            <w:rStyle w:val="Hipervnculo"/>
            <w:rFonts w:ascii="Verdana" w:eastAsia="Calibri" w:hAnsi="Verdana" w:cs="Arial"/>
            <w:lang w:eastAsia="es-ES"/>
          </w:rPr>
          <w:t>secretariogeneral@concejodepasto.gov.co</w:t>
        </w:r>
      </w:hyperlink>
      <w:r>
        <w:rPr>
          <w:rFonts w:ascii="Verdana" w:eastAsia="Calibri" w:hAnsi="Verdana" w:cs="Arial"/>
          <w:lang w:eastAsia="es-ES"/>
        </w:rPr>
        <w:t xml:space="preserve"> </w:t>
      </w:r>
    </w:p>
    <w:p w14:paraId="204447B5" w14:textId="77777777" w:rsidR="002E7F40" w:rsidRPr="00960F72" w:rsidRDefault="002E7F40" w:rsidP="002E7F40">
      <w:pPr>
        <w:spacing w:after="0" w:line="240" w:lineRule="auto"/>
        <w:rPr>
          <w:rFonts w:ascii="Verdana" w:eastAsia="Calibri" w:hAnsi="Verdana" w:cs="Arial"/>
          <w:b/>
          <w:bCs/>
          <w:lang w:eastAsia="es-ES"/>
        </w:rPr>
      </w:pPr>
      <w:r>
        <w:rPr>
          <w:rFonts w:ascii="Verdana" w:eastAsia="Calibri" w:hAnsi="Verdana" w:cs="Arial"/>
          <w:lang w:eastAsia="es-ES"/>
        </w:rPr>
        <w:t>Bogotá, Cundinamarca</w:t>
      </w:r>
    </w:p>
    <w:p w14:paraId="767FC0FE" w14:textId="77777777" w:rsidR="002E7F40" w:rsidRPr="00960F72" w:rsidRDefault="002E7F40" w:rsidP="002E7F40">
      <w:pPr>
        <w:spacing w:after="0" w:line="240" w:lineRule="auto"/>
        <w:rPr>
          <w:rFonts w:ascii="Verdana" w:eastAsia="Calibri" w:hAnsi="Verdana" w:cs="Arial"/>
          <w:b/>
          <w:bCs/>
          <w:lang w:eastAsia="es-ES_tradnl"/>
        </w:rPr>
      </w:pPr>
    </w:p>
    <w:p w14:paraId="1E1BD31A" w14:textId="77777777" w:rsidR="002E7F40" w:rsidRPr="00960F72" w:rsidRDefault="002E7F40" w:rsidP="002E7F40">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E7F40" w:rsidRPr="00960F72" w14:paraId="10C0AAA0" w14:textId="77777777" w:rsidTr="00F108B5">
        <w:trPr>
          <w:trHeight w:val="190"/>
        </w:trPr>
        <w:tc>
          <w:tcPr>
            <w:tcW w:w="2689" w:type="dxa"/>
          </w:tcPr>
          <w:p w14:paraId="2C7E459E" w14:textId="77777777" w:rsidR="002E7F40" w:rsidRPr="00960F72" w:rsidRDefault="002E7F40" w:rsidP="00F108B5">
            <w:pPr>
              <w:jc w:val="both"/>
              <w:rPr>
                <w:rFonts w:ascii="Verdana" w:eastAsia="Calibri" w:hAnsi="Verdana" w:cs="Arial"/>
                <w:b/>
                <w:bCs/>
                <w:lang w:eastAsia="es-ES_tradnl"/>
              </w:rPr>
            </w:pPr>
          </w:p>
        </w:tc>
        <w:tc>
          <w:tcPr>
            <w:tcW w:w="6100" w:type="dxa"/>
          </w:tcPr>
          <w:p w14:paraId="03418895" w14:textId="77777777" w:rsidR="002E7F40" w:rsidRPr="00960F72" w:rsidRDefault="002E7F40" w:rsidP="00F108B5">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225</w:t>
            </w:r>
            <w:r w:rsidRPr="00960F72">
              <w:rPr>
                <w:rFonts w:ascii="Verdana" w:eastAsia="Calibri" w:hAnsi="Verdana" w:cs="Arial"/>
                <w:b/>
                <w:bCs/>
                <w:lang w:eastAsia="es-ES"/>
              </w:rPr>
              <w:t xml:space="preserve"> de 2025</w:t>
            </w:r>
          </w:p>
          <w:p w14:paraId="042168DD" w14:textId="77777777" w:rsidR="002E7F40" w:rsidRPr="00960F72" w:rsidRDefault="002E7F40" w:rsidP="00F108B5">
            <w:pPr>
              <w:jc w:val="both"/>
              <w:rPr>
                <w:rFonts w:ascii="Verdana" w:eastAsia="Calibri" w:hAnsi="Verdana" w:cs="Arial"/>
                <w:b/>
                <w:bCs/>
                <w:lang w:eastAsia="es-ES"/>
              </w:rPr>
            </w:pPr>
          </w:p>
        </w:tc>
      </w:tr>
      <w:tr w:rsidR="002E7F40" w:rsidRPr="00960F72" w14:paraId="328E9772" w14:textId="77777777" w:rsidTr="00F108B5">
        <w:trPr>
          <w:trHeight w:val="884"/>
        </w:trPr>
        <w:tc>
          <w:tcPr>
            <w:tcW w:w="2689" w:type="dxa"/>
          </w:tcPr>
          <w:p w14:paraId="4A5E7968" w14:textId="77777777" w:rsidR="002E7F40" w:rsidRPr="00960F72" w:rsidRDefault="002E7F40" w:rsidP="00F108B5">
            <w:pPr>
              <w:jc w:val="both"/>
              <w:rPr>
                <w:rFonts w:ascii="Verdana" w:eastAsia="Calibri" w:hAnsi="Verdana" w:cs="Arial"/>
                <w:lang w:eastAsia="es-ES_tradnl"/>
              </w:rPr>
            </w:pPr>
            <w:r w:rsidRPr="00960F72">
              <w:rPr>
                <w:rFonts w:ascii="Verdana" w:eastAsia="Calibri" w:hAnsi="Verdana" w:cs="Arial"/>
                <w:b/>
                <w:lang w:eastAsia="es-ES_tradnl"/>
              </w:rPr>
              <w:t>Temas:</w:t>
            </w:r>
            <w:r w:rsidRPr="00960F72">
              <w:rPr>
                <w:rFonts w:ascii="Verdana" w:eastAsia="Calibri" w:hAnsi="Verdana" w:cs="Arial"/>
                <w:lang w:eastAsia="es-ES_tradnl"/>
              </w:rPr>
              <w:t xml:space="preserve">                   </w:t>
            </w:r>
          </w:p>
        </w:tc>
        <w:tc>
          <w:tcPr>
            <w:tcW w:w="6100" w:type="dxa"/>
          </w:tcPr>
          <w:p w14:paraId="25646BB4" w14:textId="77777777" w:rsidR="002E7F40" w:rsidRDefault="002E7F40" w:rsidP="00F108B5">
            <w:pPr>
              <w:jc w:val="both"/>
              <w:rPr>
                <w:rFonts w:ascii="Verdana" w:eastAsia="Times New Roman" w:hAnsi="Verdana" w:cs="Arial"/>
                <w:lang w:val="es-ES_tradnl" w:eastAsia="es-ES_tradnl"/>
              </w:rPr>
            </w:pPr>
            <w:r w:rsidRPr="0072077A">
              <w:rPr>
                <w:rFonts w:ascii="Verdana" w:eastAsia="Times New Roman" w:hAnsi="Verdana" w:cs="Arial"/>
                <w:lang w:val="es-ES_tradnl" w:eastAsia="es-ES_tradnl"/>
              </w:rPr>
              <w:t xml:space="preserve">CONTRATACIÓN ESTATAL – Capacidad – Validez contratos – Régimen de contratación – Limitación de la capacidad / RÉGIMEN DE INHABILIDAD E INCOMPATIBILIDAD – Concepto / INHABILIDADES E INCOMPATIBILIDADES ― Interpretación restrictiva / PROHIBICIÓN PARA CONTRATAR </w:t>
            </w:r>
          </w:p>
          <w:p w14:paraId="18849D2D" w14:textId="77777777" w:rsidR="002E7F40" w:rsidRPr="00960F72" w:rsidRDefault="002E7F40" w:rsidP="00F108B5">
            <w:pPr>
              <w:jc w:val="both"/>
              <w:rPr>
                <w:rFonts w:ascii="Verdana" w:eastAsia="Calibri" w:hAnsi="Verdana" w:cs="Arial"/>
                <w:lang w:eastAsia="es-ES"/>
              </w:rPr>
            </w:pPr>
          </w:p>
        </w:tc>
      </w:tr>
      <w:tr w:rsidR="002E7F40" w:rsidRPr="00960F72" w14:paraId="2EB3272E" w14:textId="77777777" w:rsidTr="00F108B5">
        <w:tc>
          <w:tcPr>
            <w:tcW w:w="2689" w:type="dxa"/>
          </w:tcPr>
          <w:p w14:paraId="2354D0EC" w14:textId="77777777" w:rsidR="002E7F40" w:rsidRPr="00960F72" w:rsidRDefault="002E7F40" w:rsidP="00F108B5">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07DFC5C7" w14:textId="77777777" w:rsidR="002E7F40" w:rsidRPr="00960F72" w:rsidRDefault="002E7F40" w:rsidP="00F108B5">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444241">
              <w:rPr>
                <w:rFonts w:ascii="Verdana" w:eastAsia="Calibri" w:hAnsi="Verdana" w:cs="Arial"/>
                <w:lang w:eastAsia="es-ES_tradnl"/>
              </w:rPr>
              <w:t>1_2025_08_28_009263</w:t>
            </w:r>
          </w:p>
        </w:tc>
      </w:tr>
    </w:tbl>
    <w:p w14:paraId="29F2D8EB" w14:textId="77777777" w:rsidR="002E7F40" w:rsidRPr="00960F72" w:rsidRDefault="002E7F40" w:rsidP="002E7F40">
      <w:pPr>
        <w:spacing w:after="0" w:line="240" w:lineRule="auto"/>
        <w:jc w:val="both"/>
        <w:rPr>
          <w:rFonts w:ascii="Verdana" w:eastAsia="Calibri" w:hAnsi="Verdana" w:cs="Arial"/>
          <w:lang w:eastAsia="es-ES_tradnl"/>
        </w:rPr>
      </w:pPr>
    </w:p>
    <w:p w14:paraId="6478749A" w14:textId="77777777" w:rsidR="002E7F40" w:rsidRPr="00960F72" w:rsidRDefault="002E7F40" w:rsidP="002E7F40">
      <w:pPr>
        <w:spacing w:after="0" w:line="240" w:lineRule="auto"/>
        <w:jc w:val="both"/>
        <w:rPr>
          <w:rFonts w:ascii="Verdana" w:eastAsia="Calibri" w:hAnsi="Verdana" w:cs="Arial"/>
          <w:lang w:eastAsia="es-ES_tradnl"/>
        </w:rPr>
      </w:pPr>
    </w:p>
    <w:p w14:paraId="7C1E31DA" w14:textId="77777777" w:rsidR="002E7F40" w:rsidRPr="00960F72" w:rsidRDefault="002E7F40" w:rsidP="002E7F40">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 xml:space="preserve">o </w:t>
      </w:r>
      <w:r w:rsidRPr="00960F72">
        <w:rPr>
          <w:rFonts w:ascii="Verdana" w:eastAsia="Calibri" w:hAnsi="Verdana" w:cs="Arial"/>
          <w:lang w:eastAsia="es-ES"/>
        </w:rPr>
        <w:t xml:space="preserve">señor </w:t>
      </w:r>
      <w:r>
        <w:rPr>
          <w:rFonts w:ascii="Verdana" w:eastAsia="Calibri" w:hAnsi="Verdana" w:cs="Arial"/>
          <w:lang w:eastAsia="es-ES"/>
        </w:rPr>
        <w:t>Bravo</w:t>
      </w:r>
      <w:r w:rsidRPr="00960F72">
        <w:rPr>
          <w:rFonts w:ascii="Verdana" w:eastAsia="Calibri" w:hAnsi="Verdana" w:cs="Arial"/>
          <w:lang w:eastAsia="es-ES"/>
        </w:rPr>
        <w:t xml:space="preserve">: </w:t>
      </w:r>
    </w:p>
    <w:p w14:paraId="2D6B6657" w14:textId="77777777" w:rsidR="002E7F40" w:rsidRPr="00960F72" w:rsidRDefault="002E7F40" w:rsidP="002E7F40">
      <w:pPr>
        <w:tabs>
          <w:tab w:val="left" w:pos="3768"/>
        </w:tabs>
        <w:spacing w:after="0" w:line="276" w:lineRule="auto"/>
        <w:jc w:val="both"/>
        <w:rPr>
          <w:rFonts w:ascii="Verdana" w:eastAsia="Calibri" w:hAnsi="Verdana" w:cs="Arial"/>
          <w:lang w:eastAsia="es-ES"/>
        </w:rPr>
      </w:pPr>
    </w:p>
    <w:p w14:paraId="0C41F20C" w14:textId="77777777" w:rsidR="002E7F40" w:rsidRPr="00960F72" w:rsidRDefault="002E7F40" w:rsidP="002E7F40">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la cual fue remitida por competencia a esta Agencia el pasado 28</w:t>
      </w:r>
      <w:r w:rsidRPr="00960F72">
        <w:rPr>
          <w:rFonts w:ascii="Verdana" w:eastAsia="Calibri" w:hAnsi="Verdana" w:cs="Arial"/>
          <w:lang w:eastAsia="es-ES"/>
        </w:rPr>
        <w:t xml:space="preserve"> de agosto de 2025, en la cual manifiesta lo siguiente: </w:t>
      </w:r>
    </w:p>
    <w:p w14:paraId="58EF730D" w14:textId="77777777" w:rsidR="002E7F40" w:rsidRPr="00960F72" w:rsidRDefault="002E7F40" w:rsidP="002E7F40">
      <w:pPr>
        <w:spacing w:after="0" w:line="276" w:lineRule="auto"/>
        <w:jc w:val="both"/>
        <w:rPr>
          <w:rFonts w:ascii="Verdana" w:eastAsia="Calibri" w:hAnsi="Verdana" w:cs="Arial"/>
          <w:lang w:eastAsia="es-ES"/>
        </w:rPr>
      </w:pPr>
    </w:p>
    <w:p w14:paraId="751D9881" w14:textId="77777777" w:rsidR="002E7F40" w:rsidRPr="00960F72" w:rsidRDefault="002E7F40" w:rsidP="002E7F40">
      <w:pPr>
        <w:spacing w:after="0" w:line="240" w:lineRule="auto"/>
        <w:ind w:left="709" w:right="709"/>
        <w:jc w:val="both"/>
        <w:rPr>
          <w:rFonts w:ascii="Verdana" w:eastAsia="Calibri" w:hAnsi="Verdana" w:cs="Arial"/>
          <w:sz w:val="20"/>
          <w:szCs w:val="20"/>
          <w:lang w:eastAsia="es-ES"/>
        </w:rPr>
      </w:pPr>
      <w:r w:rsidRPr="00960F72">
        <w:rPr>
          <w:rFonts w:ascii="Verdana" w:eastAsia="Calibri" w:hAnsi="Verdana" w:cs="Arial"/>
          <w:sz w:val="20"/>
          <w:szCs w:val="20"/>
          <w:lang w:eastAsia="es-ES"/>
        </w:rPr>
        <w:t>“…</w:t>
      </w:r>
      <w:r w:rsidRPr="00A736EB">
        <w:rPr>
          <w:rFonts w:ascii="Verdana" w:eastAsia="Calibri" w:hAnsi="Verdana" w:cs="Arial"/>
          <w:sz w:val="20"/>
          <w:szCs w:val="20"/>
          <w:lang w:eastAsia="es-ES"/>
        </w:rPr>
        <w:t xml:space="preserve">Teniendo en cuenta que la </w:t>
      </w:r>
      <w:proofErr w:type="spellStart"/>
      <w:r w:rsidRPr="00A736EB">
        <w:rPr>
          <w:rFonts w:ascii="Verdana" w:eastAsia="Calibri" w:hAnsi="Verdana" w:cs="Arial"/>
          <w:sz w:val="20"/>
          <w:szCs w:val="20"/>
          <w:lang w:eastAsia="es-ES"/>
        </w:rPr>
        <w:t>Corporación</w:t>
      </w:r>
      <w:proofErr w:type="spellEnd"/>
      <w:r w:rsidRPr="00A736EB">
        <w:rPr>
          <w:rFonts w:ascii="Verdana" w:eastAsia="Calibri" w:hAnsi="Verdana" w:cs="Arial"/>
          <w:sz w:val="20"/>
          <w:szCs w:val="20"/>
          <w:lang w:eastAsia="es-ES"/>
        </w:rPr>
        <w:t xml:space="preserve"> Concejo Municipal de Pasto, requiere en consonancia con la oportunidad de brindar segundas oportunidades a la </w:t>
      </w:r>
      <w:proofErr w:type="spellStart"/>
      <w:r w:rsidRPr="00A736EB">
        <w:rPr>
          <w:rFonts w:ascii="Verdana" w:eastAsia="Calibri" w:hAnsi="Verdana" w:cs="Arial"/>
          <w:sz w:val="20"/>
          <w:szCs w:val="20"/>
          <w:lang w:eastAsia="es-ES"/>
        </w:rPr>
        <w:t>ciudadanı́a</w:t>
      </w:r>
      <w:proofErr w:type="spellEnd"/>
      <w:r w:rsidRPr="00A736EB">
        <w:rPr>
          <w:rFonts w:ascii="Verdana" w:eastAsia="Calibri" w:hAnsi="Verdana" w:cs="Arial"/>
          <w:sz w:val="20"/>
          <w:szCs w:val="20"/>
          <w:lang w:eastAsia="es-ES"/>
        </w:rPr>
        <w:t xml:space="preserve">, contratar a un profesional que en el pasado tuvo </w:t>
      </w:r>
      <w:proofErr w:type="spellStart"/>
      <w:r w:rsidRPr="00A736EB">
        <w:rPr>
          <w:rFonts w:ascii="Verdana" w:eastAsia="Calibri" w:hAnsi="Verdana" w:cs="Arial"/>
          <w:sz w:val="20"/>
          <w:szCs w:val="20"/>
          <w:lang w:eastAsia="es-ES"/>
        </w:rPr>
        <w:t>privación</w:t>
      </w:r>
      <w:proofErr w:type="spellEnd"/>
      <w:r w:rsidRPr="00A736EB">
        <w:rPr>
          <w:rFonts w:ascii="Verdana" w:eastAsia="Calibri" w:hAnsi="Verdana" w:cs="Arial"/>
          <w:sz w:val="20"/>
          <w:szCs w:val="20"/>
          <w:lang w:eastAsia="es-ES"/>
        </w:rPr>
        <w:t xml:space="preserve"> de su libertad, y estuvo por </w:t>
      </w:r>
      <w:proofErr w:type="spellStart"/>
      <w:r w:rsidRPr="00A736EB">
        <w:rPr>
          <w:rFonts w:ascii="Verdana" w:eastAsia="Calibri" w:hAnsi="Verdana" w:cs="Arial"/>
          <w:sz w:val="20"/>
          <w:szCs w:val="20"/>
          <w:lang w:eastAsia="es-ES"/>
        </w:rPr>
        <w:t>algún</w:t>
      </w:r>
      <w:proofErr w:type="spellEnd"/>
      <w:r w:rsidRPr="00A736EB">
        <w:rPr>
          <w:rFonts w:ascii="Verdana" w:eastAsia="Calibri" w:hAnsi="Verdana" w:cs="Arial"/>
          <w:sz w:val="20"/>
          <w:szCs w:val="20"/>
          <w:lang w:eastAsia="es-ES"/>
        </w:rPr>
        <w:t xml:space="preserve"> tiempo restringido legalmente por pena accesoria en sus derechos para contratar con el Estado, pero que a esta fecha ya no cuenta con dichas inhabilidades ni sanciones vigentes de acuerdo con certificado expedido en tiempo real por parte de la </w:t>
      </w:r>
      <w:proofErr w:type="spellStart"/>
      <w:r w:rsidRPr="00A736EB">
        <w:rPr>
          <w:rFonts w:ascii="Verdana" w:eastAsia="Calibri" w:hAnsi="Verdana" w:cs="Arial"/>
          <w:sz w:val="20"/>
          <w:szCs w:val="20"/>
          <w:lang w:eastAsia="es-ES"/>
        </w:rPr>
        <w:t>Procuradurı́a</w:t>
      </w:r>
      <w:proofErr w:type="spellEnd"/>
      <w:r w:rsidRPr="00A736EB">
        <w:rPr>
          <w:rFonts w:ascii="Verdana" w:eastAsia="Calibri" w:hAnsi="Verdana" w:cs="Arial"/>
          <w:sz w:val="20"/>
          <w:szCs w:val="20"/>
          <w:lang w:eastAsia="es-ES"/>
        </w:rPr>
        <w:t xml:space="preserve"> General de la </w:t>
      </w:r>
      <w:proofErr w:type="spellStart"/>
      <w:r w:rsidRPr="00A736EB">
        <w:rPr>
          <w:rFonts w:ascii="Verdana" w:eastAsia="Calibri" w:hAnsi="Verdana" w:cs="Arial"/>
          <w:sz w:val="20"/>
          <w:szCs w:val="20"/>
          <w:lang w:eastAsia="es-ES"/>
        </w:rPr>
        <w:t>Nación</w:t>
      </w:r>
      <w:proofErr w:type="spellEnd"/>
      <w:r w:rsidRPr="00A736EB">
        <w:rPr>
          <w:rFonts w:ascii="Verdana" w:eastAsia="Calibri" w:hAnsi="Verdana" w:cs="Arial"/>
          <w:sz w:val="20"/>
          <w:szCs w:val="20"/>
          <w:lang w:eastAsia="es-ES"/>
        </w:rPr>
        <w:t xml:space="preserve"> a </w:t>
      </w:r>
      <w:proofErr w:type="spellStart"/>
      <w:r w:rsidRPr="00A736EB">
        <w:rPr>
          <w:rFonts w:ascii="Verdana" w:eastAsia="Calibri" w:hAnsi="Verdana" w:cs="Arial"/>
          <w:sz w:val="20"/>
          <w:szCs w:val="20"/>
          <w:lang w:eastAsia="es-ES"/>
        </w:rPr>
        <w:t>través</w:t>
      </w:r>
      <w:proofErr w:type="spellEnd"/>
      <w:r w:rsidRPr="00A736EB">
        <w:rPr>
          <w:rFonts w:ascii="Verdana" w:eastAsia="Calibri" w:hAnsi="Verdana" w:cs="Arial"/>
          <w:sz w:val="20"/>
          <w:szCs w:val="20"/>
          <w:lang w:eastAsia="es-ES"/>
        </w:rPr>
        <w:t xml:space="preserve"> de su link de consulta de antecedentes, me permito respetuosamente solicitar a su entidad, se sirvan conceptuar, si es posible contratarlo bajo la modalidad de contrato de </w:t>
      </w:r>
      <w:proofErr w:type="spellStart"/>
      <w:r w:rsidRPr="00A736EB">
        <w:rPr>
          <w:rFonts w:ascii="Verdana" w:eastAsia="Calibri" w:hAnsi="Verdana" w:cs="Arial"/>
          <w:sz w:val="20"/>
          <w:szCs w:val="20"/>
          <w:lang w:eastAsia="es-ES"/>
        </w:rPr>
        <w:t>prestación</w:t>
      </w:r>
      <w:proofErr w:type="spellEnd"/>
      <w:r w:rsidRPr="00A736EB">
        <w:rPr>
          <w:rFonts w:ascii="Verdana" w:eastAsia="Calibri" w:hAnsi="Verdana" w:cs="Arial"/>
          <w:sz w:val="20"/>
          <w:szCs w:val="20"/>
          <w:lang w:eastAsia="es-ES"/>
        </w:rPr>
        <w:t xml:space="preserve"> de servicios profesionales, lo anterior en </w:t>
      </w:r>
      <w:proofErr w:type="spellStart"/>
      <w:r w:rsidRPr="00A736EB">
        <w:rPr>
          <w:rFonts w:ascii="Verdana" w:eastAsia="Calibri" w:hAnsi="Verdana" w:cs="Arial"/>
          <w:sz w:val="20"/>
          <w:szCs w:val="20"/>
          <w:lang w:eastAsia="es-ES"/>
        </w:rPr>
        <w:t>razón</w:t>
      </w:r>
      <w:proofErr w:type="spellEnd"/>
      <w:r w:rsidRPr="00A736EB">
        <w:rPr>
          <w:rFonts w:ascii="Verdana" w:eastAsia="Calibri" w:hAnsi="Verdana" w:cs="Arial"/>
          <w:sz w:val="20"/>
          <w:szCs w:val="20"/>
          <w:lang w:eastAsia="es-ES"/>
        </w:rPr>
        <w:t xml:space="preserve"> a que dicho profesional nos allega dos (2) conceptos emitidos por parte del Departamento Administrativo de la </w:t>
      </w:r>
      <w:proofErr w:type="spellStart"/>
      <w:r w:rsidRPr="00A736EB">
        <w:rPr>
          <w:rFonts w:ascii="Verdana" w:eastAsia="Calibri" w:hAnsi="Verdana" w:cs="Arial"/>
          <w:sz w:val="20"/>
          <w:szCs w:val="20"/>
          <w:lang w:eastAsia="es-ES"/>
        </w:rPr>
        <w:t>Función</w:t>
      </w:r>
      <w:proofErr w:type="spellEnd"/>
      <w:r w:rsidRPr="00A736EB">
        <w:rPr>
          <w:rFonts w:ascii="Verdana" w:eastAsia="Calibri" w:hAnsi="Verdana" w:cs="Arial"/>
          <w:sz w:val="20"/>
          <w:szCs w:val="20"/>
          <w:lang w:eastAsia="es-ES"/>
        </w:rPr>
        <w:t xml:space="preserve"> </w:t>
      </w:r>
      <w:proofErr w:type="spellStart"/>
      <w:r w:rsidRPr="00A736EB">
        <w:rPr>
          <w:rFonts w:ascii="Verdana" w:eastAsia="Calibri" w:hAnsi="Verdana" w:cs="Arial"/>
          <w:sz w:val="20"/>
          <w:szCs w:val="20"/>
          <w:lang w:eastAsia="es-ES"/>
        </w:rPr>
        <w:t>Pública</w:t>
      </w:r>
      <w:proofErr w:type="spellEnd"/>
      <w:r w:rsidRPr="00A736EB">
        <w:rPr>
          <w:rFonts w:ascii="Verdana" w:eastAsia="Calibri" w:hAnsi="Verdana" w:cs="Arial"/>
          <w:sz w:val="20"/>
          <w:szCs w:val="20"/>
          <w:lang w:eastAsia="es-ES"/>
        </w:rPr>
        <w:t xml:space="preserve">, los cuales entre si </w:t>
      </w:r>
      <w:r w:rsidRPr="00A736EB">
        <w:rPr>
          <w:rFonts w:ascii="Verdana" w:eastAsia="Calibri" w:hAnsi="Verdana" w:cs="Arial"/>
          <w:sz w:val="20"/>
          <w:szCs w:val="20"/>
          <w:lang w:eastAsia="es-ES"/>
        </w:rPr>
        <w:lastRenderedPageBreak/>
        <w:t xml:space="preserve">se contradicen y genera la inquietud que hoy es motivo de consulta. En dichos conceptos, se vislumbra que uno de ellos no permite su </w:t>
      </w:r>
      <w:proofErr w:type="spellStart"/>
      <w:r w:rsidRPr="00A736EB">
        <w:rPr>
          <w:rFonts w:ascii="Verdana" w:eastAsia="Calibri" w:hAnsi="Verdana" w:cs="Arial"/>
          <w:sz w:val="20"/>
          <w:szCs w:val="20"/>
          <w:lang w:eastAsia="es-ES"/>
        </w:rPr>
        <w:t>contratación</w:t>
      </w:r>
      <w:proofErr w:type="spellEnd"/>
      <w:r w:rsidRPr="00A736EB">
        <w:rPr>
          <w:rFonts w:ascii="Verdana" w:eastAsia="Calibri" w:hAnsi="Verdana" w:cs="Arial"/>
          <w:sz w:val="20"/>
          <w:szCs w:val="20"/>
          <w:lang w:eastAsia="es-ES"/>
        </w:rPr>
        <w:t xml:space="preserve"> derivado de lo establecido de manera general en el </w:t>
      </w:r>
      <w:proofErr w:type="spellStart"/>
      <w:r w:rsidRPr="00A736EB">
        <w:rPr>
          <w:rFonts w:ascii="Verdana" w:eastAsia="Calibri" w:hAnsi="Verdana" w:cs="Arial"/>
          <w:sz w:val="20"/>
          <w:szCs w:val="20"/>
          <w:lang w:eastAsia="es-ES"/>
        </w:rPr>
        <w:t>artı́culo</w:t>
      </w:r>
      <w:proofErr w:type="spellEnd"/>
      <w:r w:rsidRPr="00A736EB">
        <w:rPr>
          <w:rFonts w:ascii="Verdana" w:eastAsia="Calibri" w:hAnsi="Verdana" w:cs="Arial"/>
          <w:sz w:val="20"/>
          <w:szCs w:val="20"/>
          <w:lang w:eastAsia="es-ES"/>
        </w:rPr>
        <w:t xml:space="preserve"> 122 de la </w:t>
      </w:r>
      <w:proofErr w:type="spellStart"/>
      <w:r w:rsidRPr="00A736EB">
        <w:rPr>
          <w:rFonts w:ascii="Verdana" w:eastAsia="Calibri" w:hAnsi="Verdana" w:cs="Arial"/>
          <w:sz w:val="20"/>
          <w:szCs w:val="20"/>
          <w:lang w:eastAsia="es-ES"/>
        </w:rPr>
        <w:t>Constitución</w:t>
      </w:r>
      <w:proofErr w:type="spellEnd"/>
      <w:r w:rsidRPr="00A736EB">
        <w:rPr>
          <w:rFonts w:ascii="Verdana" w:eastAsia="Calibri" w:hAnsi="Verdana" w:cs="Arial"/>
          <w:sz w:val="20"/>
          <w:szCs w:val="20"/>
          <w:lang w:eastAsia="es-ES"/>
        </w:rPr>
        <w:t xml:space="preserve"> </w:t>
      </w:r>
      <w:proofErr w:type="spellStart"/>
      <w:r w:rsidRPr="00A736EB">
        <w:rPr>
          <w:rFonts w:ascii="Verdana" w:eastAsia="Calibri" w:hAnsi="Verdana" w:cs="Arial"/>
          <w:sz w:val="20"/>
          <w:szCs w:val="20"/>
          <w:lang w:eastAsia="es-ES"/>
        </w:rPr>
        <w:t>Polı́tica</w:t>
      </w:r>
      <w:proofErr w:type="spellEnd"/>
      <w:r w:rsidRPr="00A736EB">
        <w:rPr>
          <w:rFonts w:ascii="Verdana" w:eastAsia="Calibri" w:hAnsi="Verdana" w:cs="Arial"/>
          <w:sz w:val="20"/>
          <w:szCs w:val="20"/>
          <w:lang w:eastAsia="es-ES"/>
        </w:rPr>
        <w:t xml:space="preserve"> de Colombia, sin desarrollar a fondo el </w:t>
      </w:r>
      <w:proofErr w:type="spellStart"/>
      <w:r w:rsidRPr="00A736EB">
        <w:rPr>
          <w:rFonts w:ascii="Verdana" w:eastAsia="Calibri" w:hAnsi="Verdana" w:cs="Arial"/>
          <w:sz w:val="20"/>
          <w:szCs w:val="20"/>
          <w:lang w:eastAsia="es-ES"/>
        </w:rPr>
        <w:t>análisis</w:t>
      </w:r>
      <w:proofErr w:type="spellEnd"/>
      <w:r w:rsidRPr="00A736EB">
        <w:rPr>
          <w:rFonts w:ascii="Verdana" w:eastAsia="Calibri" w:hAnsi="Verdana" w:cs="Arial"/>
          <w:sz w:val="20"/>
          <w:szCs w:val="20"/>
          <w:lang w:eastAsia="es-ES"/>
        </w:rPr>
        <w:t xml:space="preserve"> normativo complementario y concordante en la materia; en el segundo concepto a su vez, describe que dentro</w:t>
      </w:r>
      <w:r>
        <w:rPr>
          <w:rFonts w:ascii="Verdana" w:eastAsia="Calibri" w:hAnsi="Verdana" w:cs="Arial"/>
          <w:sz w:val="20"/>
          <w:szCs w:val="20"/>
          <w:lang w:eastAsia="es-ES"/>
        </w:rPr>
        <w:t xml:space="preserve"> </w:t>
      </w:r>
      <w:r w:rsidRPr="00A736EB">
        <w:rPr>
          <w:rFonts w:ascii="Verdana" w:eastAsia="Calibri" w:hAnsi="Verdana" w:cs="Arial"/>
          <w:sz w:val="20"/>
          <w:szCs w:val="20"/>
          <w:lang w:eastAsia="es-ES"/>
        </w:rPr>
        <w:t xml:space="preserve">del desarrollo normativo del </w:t>
      </w:r>
      <w:proofErr w:type="spellStart"/>
      <w:r w:rsidRPr="00A736EB">
        <w:rPr>
          <w:rFonts w:ascii="Verdana" w:eastAsia="Calibri" w:hAnsi="Verdana" w:cs="Arial"/>
          <w:sz w:val="20"/>
          <w:szCs w:val="20"/>
          <w:lang w:eastAsia="es-ES"/>
        </w:rPr>
        <w:t>artı́culo</w:t>
      </w:r>
      <w:proofErr w:type="spellEnd"/>
      <w:r w:rsidRPr="00A736EB">
        <w:rPr>
          <w:rFonts w:ascii="Verdana" w:eastAsia="Calibri" w:hAnsi="Verdana" w:cs="Arial"/>
          <w:sz w:val="20"/>
          <w:szCs w:val="20"/>
          <w:lang w:eastAsia="es-ES"/>
        </w:rPr>
        <w:t xml:space="preserve"> 122, se establecen unos elementos para que la inhabilidad pueda ser considerada permanente en donde el punto </w:t>
      </w:r>
      <w:proofErr w:type="spellStart"/>
      <w:r w:rsidRPr="00A736EB">
        <w:rPr>
          <w:rFonts w:ascii="Verdana" w:eastAsia="Calibri" w:hAnsi="Verdana" w:cs="Arial"/>
          <w:sz w:val="20"/>
          <w:szCs w:val="20"/>
          <w:lang w:eastAsia="es-ES"/>
        </w:rPr>
        <w:t>iii</w:t>
      </w:r>
      <w:proofErr w:type="spellEnd"/>
      <w:r w:rsidRPr="00A736EB">
        <w:rPr>
          <w:rFonts w:ascii="Verdana" w:eastAsia="Calibri" w:hAnsi="Verdana" w:cs="Arial"/>
          <w:sz w:val="20"/>
          <w:szCs w:val="20"/>
          <w:lang w:eastAsia="es-ES"/>
        </w:rPr>
        <w:t xml:space="preserve">) de los mencionados elementos determina que para ser de </w:t>
      </w:r>
      <w:proofErr w:type="spellStart"/>
      <w:r w:rsidRPr="00A736EB">
        <w:rPr>
          <w:rFonts w:ascii="Verdana" w:eastAsia="Calibri" w:hAnsi="Verdana" w:cs="Arial"/>
          <w:sz w:val="20"/>
          <w:szCs w:val="20"/>
          <w:lang w:eastAsia="es-ES"/>
        </w:rPr>
        <w:t>carácter</w:t>
      </w:r>
      <w:proofErr w:type="spellEnd"/>
      <w:r w:rsidRPr="00A736EB">
        <w:rPr>
          <w:rFonts w:ascii="Verdana" w:eastAsia="Calibri" w:hAnsi="Verdana" w:cs="Arial"/>
          <w:sz w:val="20"/>
          <w:szCs w:val="20"/>
          <w:lang w:eastAsia="es-ES"/>
        </w:rPr>
        <w:t xml:space="preserve"> permanente la condena </w:t>
      </w:r>
      <w:proofErr w:type="spellStart"/>
      <w:r w:rsidRPr="00A736EB">
        <w:rPr>
          <w:rFonts w:ascii="Verdana" w:eastAsia="Calibri" w:hAnsi="Verdana" w:cs="Arial"/>
          <w:sz w:val="20"/>
          <w:szCs w:val="20"/>
          <w:lang w:eastAsia="es-ES"/>
        </w:rPr>
        <w:t>debio</w:t>
      </w:r>
      <w:proofErr w:type="spellEnd"/>
      <w:r w:rsidRPr="00A736EB">
        <w:rPr>
          <w:rFonts w:ascii="Verdana" w:eastAsia="Calibri" w:hAnsi="Verdana" w:cs="Arial"/>
          <w:sz w:val="20"/>
          <w:szCs w:val="20"/>
          <w:lang w:eastAsia="es-ES"/>
        </w:rPr>
        <w:t xml:space="preserve">́ proferirse por la </w:t>
      </w:r>
      <w:proofErr w:type="spellStart"/>
      <w:r w:rsidRPr="00A736EB">
        <w:rPr>
          <w:rFonts w:ascii="Verdana" w:eastAsia="Calibri" w:hAnsi="Verdana" w:cs="Arial"/>
          <w:sz w:val="20"/>
          <w:szCs w:val="20"/>
          <w:lang w:eastAsia="es-ES"/>
        </w:rPr>
        <w:t>comisión</w:t>
      </w:r>
      <w:proofErr w:type="spellEnd"/>
      <w:r w:rsidRPr="00A736EB">
        <w:rPr>
          <w:rFonts w:ascii="Verdana" w:eastAsia="Calibri" w:hAnsi="Verdana" w:cs="Arial"/>
          <w:sz w:val="20"/>
          <w:szCs w:val="20"/>
          <w:lang w:eastAsia="es-ES"/>
        </w:rPr>
        <w:t xml:space="preserve"> de un delito contra el patrimonio </w:t>
      </w:r>
      <w:proofErr w:type="spellStart"/>
      <w:r w:rsidRPr="00A736EB">
        <w:rPr>
          <w:rFonts w:ascii="Verdana" w:eastAsia="Calibri" w:hAnsi="Verdana" w:cs="Arial"/>
          <w:sz w:val="20"/>
          <w:szCs w:val="20"/>
          <w:lang w:eastAsia="es-ES"/>
        </w:rPr>
        <w:t>público</w:t>
      </w:r>
      <w:proofErr w:type="spellEnd"/>
      <w:r w:rsidRPr="00A736EB">
        <w:rPr>
          <w:rFonts w:ascii="Verdana" w:eastAsia="Calibri" w:hAnsi="Verdana" w:cs="Arial"/>
          <w:sz w:val="20"/>
          <w:szCs w:val="20"/>
          <w:lang w:eastAsia="es-ES"/>
        </w:rPr>
        <w:t xml:space="preserve"> o el erario </w:t>
      </w:r>
      <w:proofErr w:type="spellStart"/>
      <w:r w:rsidRPr="00A736EB">
        <w:rPr>
          <w:rFonts w:ascii="Verdana" w:eastAsia="Calibri" w:hAnsi="Verdana" w:cs="Arial"/>
          <w:sz w:val="20"/>
          <w:szCs w:val="20"/>
          <w:lang w:eastAsia="es-ES"/>
        </w:rPr>
        <w:t>público</w:t>
      </w:r>
      <w:proofErr w:type="spellEnd"/>
      <w:r w:rsidRPr="00A736EB">
        <w:rPr>
          <w:rFonts w:ascii="Verdana" w:eastAsia="Calibri" w:hAnsi="Verdana" w:cs="Arial"/>
          <w:sz w:val="20"/>
          <w:szCs w:val="20"/>
          <w:lang w:eastAsia="es-ES"/>
        </w:rPr>
        <w:t xml:space="preserve">; es decir que no basta que el delito cometido en su momento haya versado sobre la </w:t>
      </w:r>
      <w:proofErr w:type="spellStart"/>
      <w:r w:rsidRPr="00A736EB">
        <w:rPr>
          <w:rFonts w:ascii="Verdana" w:eastAsia="Calibri" w:hAnsi="Verdana" w:cs="Arial"/>
          <w:sz w:val="20"/>
          <w:szCs w:val="20"/>
          <w:lang w:eastAsia="es-ES"/>
        </w:rPr>
        <w:t>administración</w:t>
      </w:r>
      <w:proofErr w:type="spellEnd"/>
      <w:r w:rsidRPr="00A736EB">
        <w:rPr>
          <w:rFonts w:ascii="Verdana" w:eastAsia="Calibri" w:hAnsi="Verdana" w:cs="Arial"/>
          <w:sz w:val="20"/>
          <w:szCs w:val="20"/>
          <w:lang w:eastAsia="es-ES"/>
        </w:rPr>
        <w:t xml:space="preserve"> </w:t>
      </w:r>
      <w:proofErr w:type="spellStart"/>
      <w:r w:rsidRPr="00A736EB">
        <w:rPr>
          <w:rFonts w:ascii="Verdana" w:eastAsia="Calibri" w:hAnsi="Verdana" w:cs="Arial"/>
          <w:sz w:val="20"/>
          <w:szCs w:val="20"/>
          <w:lang w:eastAsia="es-ES"/>
        </w:rPr>
        <w:t>pública</w:t>
      </w:r>
      <w:proofErr w:type="spellEnd"/>
      <w:r w:rsidRPr="00A736EB">
        <w:rPr>
          <w:rFonts w:ascii="Verdana" w:eastAsia="Calibri" w:hAnsi="Verdana" w:cs="Arial"/>
          <w:sz w:val="20"/>
          <w:szCs w:val="20"/>
          <w:lang w:eastAsia="es-ES"/>
        </w:rPr>
        <w:t xml:space="preserve">; </w:t>
      </w:r>
      <w:proofErr w:type="spellStart"/>
      <w:r w:rsidRPr="00A736EB">
        <w:rPr>
          <w:rFonts w:ascii="Verdana" w:eastAsia="Calibri" w:hAnsi="Verdana" w:cs="Arial"/>
          <w:sz w:val="20"/>
          <w:szCs w:val="20"/>
          <w:lang w:eastAsia="es-ES"/>
        </w:rPr>
        <w:t>situación</w:t>
      </w:r>
      <w:proofErr w:type="spellEnd"/>
      <w:r w:rsidRPr="00A736EB">
        <w:rPr>
          <w:rFonts w:ascii="Verdana" w:eastAsia="Calibri" w:hAnsi="Verdana" w:cs="Arial"/>
          <w:sz w:val="20"/>
          <w:szCs w:val="20"/>
          <w:lang w:eastAsia="es-ES"/>
        </w:rPr>
        <w:t xml:space="preserve"> por </w:t>
      </w:r>
      <w:proofErr w:type="spellStart"/>
      <w:r w:rsidRPr="00A736EB">
        <w:rPr>
          <w:rFonts w:ascii="Verdana" w:eastAsia="Calibri" w:hAnsi="Verdana" w:cs="Arial"/>
          <w:sz w:val="20"/>
          <w:szCs w:val="20"/>
          <w:lang w:eastAsia="es-ES"/>
        </w:rPr>
        <w:t>demás</w:t>
      </w:r>
      <w:proofErr w:type="spellEnd"/>
      <w:r w:rsidRPr="00A736EB">
        <w:rPr>
          <w:rFonts w:ascii="Verdana" w:eastAsia="Calibri" w:hAnsi="Verdana" w:cs="Arial"/>
          <w:sz w:val="20"/>
          <w:szCs w:val="20"/>
          <w:lang w:eastAsia="es-ES"/>
        </w:rPr>
        <w:t xml:space="preserve"> que fue declarada exequible por parte de la Corte Constitucional en pronunciamiento C-280 de 1996 M. Alejandro </w:t>
      </w:r>
      <w:proofErr w:type="spellStart"/>
      <w:r w:rsidRPr="00A736EB">
        <w:rPr>
          <w:rFonts w:ascii="Verdana" w:eastAsia="Calibri" w:hAnsi="Verdana" w:cs="Arial"/>
          <w:sz w:val="20"/>
          <w:szCs w:val="20"/>
          <w:lang w:eastAsia="es-ES"/>
        </w:rPr>
        <w:t>Martı́nez</w:t>
      </w:r>
      <w:proofErr w:type="spellEnd"/>
      <w:r w:rsidRPr="00A736EB">
        <w:rPr>
          <w:rFonts w:ascii="Verdana" w:eastAsia="Calibri" w:hAnsi="Verdana" w:cs="Arial"/>
          <w:sz w:val="20"/>
          <w:szCs w:val="20"/>
          <w:lang w:eastAsia="es-ES"/>
        </w:rPr>
        <w:t xml:space="preserve"> Caballero. Por otra parte, y en consonancia con lo anterior, observamos que el </w:t>
      </w:r>
      <w:proofErr w:type="spellStart"/>
      <w:r w:rsidRPr="00A736EB">
        <w:rPr>
          <w:rFonts w:ascii="Verdana" w:eastAsia="Calibri" w:hAnsi="Verdana" w:cs="Arial"/>
          <w:sz w:val="20"/>
          <w:szCs w:val="20"/>
          <w:lang w:eastAsia="es-ES"/>
        </w:rPr>
        <w:t>artı́culo</w:t>
      </w:r>
      <w:proofErr w:type="spellEnd"/>
      <w:r w:rsidRPr="00A736EB">
        <w:rPr>
          <w:rFonts w:ascii="Verdana" w:eastAsia="Calibri" w:hAnsi="Verdana" w:cs="Arial"/>
          <w:sz w:val="20"/>
          <w:szCs w:val="20"/>
          <w:lang w:eastAsia="es-ES"/>
        </w:rPr>
        <w:t xml:space="preserve"> 38 de la Ley 734 de 2002, </w:t>
      </w:r>
      <w:proofErr w:type="spellStart"/>
      <w:r w:rsidRPr="00A736EB">
        <w:rPr>
          <w:rFonts w:ascii="Verdana" w:eastAsia="Calibri" w:hAnsi="Verdana" w:cs="Arial"/>
          <w:sz w:val="20"/>
          <w:szCs w:val="20"/>
          <w:lang w:eastAsia="es-ES"/>
        </w:rPr>
        <w:t>Código</w:t>
      </w:r>
      <w:proofErr w:type="spellEnd"/>
      <w:r w:rsidRPr="00A736EB">
        <w:rPr>
          <w:rFonts w:ascii="Verdana" w:eastAsia="Calibri" w:hAnsi="Verdana" w:cs="Arial"/>
          <w:sz w:val="20"/>
          <w:szCs w:val="20"/>
          <w:lang w:eastAsia="es-ES"/>
        </w:rPr>
        <w:t xml:space="preserve"> Disciplinario </w:t>
      </w:r>
      <w:proofErr w:type="spellStart"/>
      <w:r w:rsidRPr="00A736EB">
        <w:rPr>
          <w:rFonts w:ascii="Verdana" w:eastAsia="Calibri" w:hAnsi="Verdana" w:cs="Arial"/>
          <w:sz w:val="20"/>
          <w:szCs w:val="20"/>
          <w:lang w:eastAsia="es-ES"/>
        </w:rPr>
        <w:t>Unico</w:t>
      </w:r>
      <w:proofErr w:type="spellEnd"/>
      <w:r w:rsidRPr="00A736EB">
        <w:rPr>
          <w:rFonts w:ascii="Verdana" w:eastAsia="Calibri" w:hAnsi="Verdana" w:cs="Arial"/>
          <w:sz w:val="20"/>
          <w:szCs w:val="20"/>
          <w:lang w:eastAsia="es-ES"/>
        </w:rPr>
        <w:t xml:space="preserve"> en su </w:t>
      </w:r>
      <w:proofErr w:type="spellStart"/>
      <w:r w:rsidRPr="00A736EB">
        <w:rPr>
          <w:rFonts w:ascii="Verdana" w:eastAsia="Calibri" w:hAnsi="Verdana" w:cs="Arial"/>
          <w:sz w:val="20"/>
          <w:szCs w:val="20"/>
          <w:lang w:eastAsia="es-ES"/>
        </w:rPr>
        <w:t>parágrafo</w:t>
      </w:r>
      <w:proofErr w:type="spellEnd"/>
      <w:r w:rsidRPr="00A736EB">
        <w:rPr>
          <w:rFonts w:ascii="Verdana" w:eastAsia="Calibri" w:hAnsi="Verdana" w:cs="Arial"/>
          <w:sz w:val="20"/>
          <w:szCs w:val="20"/>
          <w:lang w:eastAsia="es-ES"/>
        </w:rPr>
        <w:t xml:space="preserve"> 2 inciso segundo, determina que la sentencia condenatoria debe especificar que la conducta objeto de la misma constituyó un delito que afecto el patrimonio del Estado; </w:t>
      </w:r>
      <w:proofErr w:type="spellStart"/>
      <w:r w:rsidRPr="00A736EB">
        <w:rPr>
          <w:rFonts w:ascii="Verdana" w:eastAsia="Calibri" w:hAnsi="Verdana" w:cs="Arial"/>
          <w:sz w:val="20"/>
          <w:szCs w:val="20"/>
          <w:lang w:eastAsia="es-ES"/>
        </w:rPr>
        <w:t>situación</w:t>
      </w:r>
      <w:proofErr w:type="spellEnd"/>
      <w:r w:rsidRPr="00A736EB">
        <w:rPr>
          <w:rFonts w:ascii="Verdana" w:eastAsia="Calibri" w:hAnsi="Verdana" w:cs="Arial"/>
          <w:sz w:val="20"/>
          <w:szCs w:val="20"/>
          <w:lang w:eastAsia="es-ES"/>
        </w:rPr>
        <w:t xml:space="preserve"> que en el caso concreto del profesional a contratar no existe en ninguno de los casos mencionados; es decir, su actuar, y por el que fuera condenado en su momento, no afecto el patrimonio del Estado o erario </w:t>
      </w:r>
      <w:proofErr w:type="spellStart"/>
      <w:r w:rsidRPr="00A736EB">
        <w:rPr>
          <w:rFonts w:ascii="Verdana" w:eastAsia="Calibri" w:hAnsi="Verdana" w:cs="Arial"/>
          <w:sz w:val="20"/>
          <w:szCs w:val="20"/>
          <w:lang w:eastAsia="es-ES"/>
        </w:rPr>
        <w:t>público</w:t>
      </w:r>
      <w:proofErr w:type="spellEnd"/>
      <w:r w:rsidRPr="00A736EB">
        <w:rPr>
          <w:rFonts w:ascii="Verdana" w:eastAsia="Calibri" w:hAnsi="Verdana" w:cs="Arial"/>
          <w:sz w:val="20"/>
          <w:szCs w:val="20"/>
          <w:lang w:eastAsia="es-ES"/>
        </w:rPr>
        <w:t xml:space="preserve">, y tampoco dicha </w:t>
      </w:r>
      <w:proofErr w:type="spellStart"/>
      <w:r w:rsidRPr="00A736EB">
        <w:rPr>
          <w:rFonts w:ascii="Verdana" w:eastAsia="Calibri" w:hAnsi="Verdana" w:cs="Arial"/>
          <w:sz w:val="20"/>
          <w:szCs w:val="20"/>
          <w:lang w:eastAsia="es-ES"/>
        </w:rPr>
        <w:t>situación</w:t>
      </w:r>
      <w:proofErr w:type="spellEnd"/>
      <w:r w:rsidRPr="00A736EB">
        <w:rPr>
          <w:rFonts w:ascii="Verdana" w:eastAsia="Calibri" w:hAnsi="Verdana" w:cs="Arial"/>
          <w:sz w:val="20"/>
          <w:szCs w:val="20"/>
          <w:lang w:eastAsia="es-ES"/>
        </w:rPr>
        <w:t xml:space="preserve"> quedó consignada en la respectiva sentencia condenatoria. En el anterior entendido, solicitamos comedidamente se sirvan ampliarnos esta disyuntiva de tipo </w:t>
      </w:r>
      <w:proofErr w:type="spellStart"/>
      <w:r w:rsidRPr="00A736EB">
        <w:rPr>
          <w:rFonts w:ascii="Verdana" w:eastAsia="Calibri" w:hAnsi="Verdana" w:cs="Arial"/>
          <w:sz w:val="20"/>
          <w:szCs w:val="20"/>
          <w:lang w:eastAsia="es-ES"/>
        </w:rPr>
        <w:t>jurı́dico</w:t>
      </w:r>
      <w:proofErr w:type="spellEnd"/>
      <w:r w:rsidRPr="00A736EB">
        <w:rPr>
          <w:rFonts w:ascii="Verdana" w:eastAsia="Calibri" w:hAnsi="Verdana" w:cs="Arial"/>
          <w:sz w:val="20"/>
          <w:szCs w:val="20"/>
          <w:lang w:eastAsia="es-ES"/>
        </w:rPr>
        <w:t xml:space="preserve"> a efectos de no incurrir en primer lugar en una </w:t>
      </w:r>
      <w:proofErr w:type="spellStart"/>
      <w:r w:rsidRPr="00A736EB">
        <w:rPr>
          <w:rFonts w:ascii="Verdana" w:eastAsia="Calibri" w:hAnsi="Verdana" w:cs="Arial"/>
          <w:sz w:val="20"/>
          <w:szCs w:val="20"/>
          <w:lang w:eastAsia="es-ES"/>
        </w:rPr>
        <w:t>vulneración</w:t>
      </w:r>
      <w:proofErr w:type="spellEnd"/>
      <w:r w:rsidRPr="00A736EB">
        <w:rPr>
          <w:rFonts w:ascii="Verdana" w:eastAsia="Calibri" w:hAnsi="Verdana" w:cs="Arial"/>
          <w:sz w:val="20"/>
          <w:szCs w:val="20"/>
          <w:lang w:eastAsia="es-ES"/>
        </w:rPr>
        <w:t xml:space="preserve"> de la normatividad, y tampoco vulnerar los derechos de nuestros ciudadanos a un trabajo digno y justo</w:t>
      </w:r>
      <w:r>
        <w:rPr>
          <w:rFonts w:ascii="Verdana" w:eastAsia="Calibri" w:hAnsi="Verdana" w:cs="Arial"/>
          <w:sz w:val="20"/>
          <w:szCs w:val="20"/>
          <w:lang w:eastAsia="es-ES"/>
        </w:rPr>
        <w:t>”</w:t>
      </w:r>
    </w:p>
    <w:p w14:paraId="0B708474" w14:textId="77777777" w:rsidR="002E7F40" w:rsidRPr="00960F72" w:rsidRDefault="002E7F40" w:rsidP="002E7F40">
      <w:pPr>
        <w:spacing w:after="0" w:line="276" w:lineRule="auto"/>
        <w:jc w:val="both"/>
      </w:pPr>
    </w:p>
    <w:p w14:paraId="769605B8" w14:textId="77777777" w:rsidR="002E7F40" w:rsidRPr="00960F72" w:rsidRDefault="002E7F40" w:rsidP="002E7F40">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74664ACB" w14:textId="77777777" w:rsidR="002E7F40" w:rsidRPr="00960F72" w:rsidRDefault="002E7F40" w:rsidP="002E7F40">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3503DC4" w14:textId="77777777" w:rsidR="002E7F40" w:rsidRPr="00960F72" w:rsidRDefault="002E7F40" w:rsidP="002E7F40">
      <w:pPr>
        <w:spacing w:after="0" w:line="276" w:lineRule="auto"/>
        <w:ind w:firstLine="709"/>
        <w:jc w:val="both"/>
        <w:rPr>
          <w:rFonts w:ascii="Verdana" w:eastAsia="Calibri" w:hAnsi="Verdana" w:cs="Arial"/>
          <w:lang w:eastAsia="es-ES"/>
        </w:rPr>
      </w:pPr>
    </w:p>
    <w:p w14:paraId="085E50F6" w14:textId="77777777" w:rsidR="002E7F40" w:rsidRPr="00960F72" w:rsidRDefault="002E7F40" w:rsidP="002E7F4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2554AF28" w14:textId="77777777" w:rsidR="002E7F40" w:rsidRPr="00960F72" w:rsidRDefault="002E7F40" w:rsidP="002E7F40">
      <w:pPr>
        <w:tabs>
          <w:tab w:val="left" w:pos="426"/>
        </w:tabs>
        <w:spacing w:after="0" w:line="276" w:lineRule="auto"/>
        <w:jc w:val="both"/>
        <w:rPr>
          <w:rFonts w:ascii="Verdana" w:eastAsia="Century Gothic" w:hAnsi="Verdana" w:cs="Century Gothic"/>
        </w:rPr>
      </w:pPr>
    </w:p>
    <w:p w14:paraId="3CD05771" w14:textId="57FA279A" w:rsidR="002E7F40" w:rsidRPr="00A736EB" w:rsidRDefault="002E7F40" w:rsidP="002E7F40">
      <w:pPr>
        <w:spacing w:after="0" w:line="276" w:lineRule="auto"/>
        <w:jc w:val="both"/>
        <w:rPr>
          <w:rFonts w:ascii="Verdana" w:hAnsi="Verdana" w:cs="Arial"/>
          <w:shd w:val="clear" w:color="auto" w:fill="FFFFFF"/>
        </w:rPr>
      </w:pPr>
      <w:r w:rsidRPr="00960F72">
        <w:rPr>
          <w:rFonts w:ascii="Verdana" w:eastAsia="Century Gothic" w:hAnsi="Verdana" w:cs="Century Gothic"/>
        </w:rPr>
        <w:t>De acuerdo con el contenido de su solicitud, esta Agencia resolverá el siguiente problema jurídico: ¿</w:t>
      </w:r>
      <w:r w:rsidRPr="0072077A">
        <w:rPr>
          <w:rFonts w:ascii="Verdana" w:hAnsi="Verdana"/>
          <w:lang w:val="es-ES"/>
        </w:rPr>
        <w:t>Existe inhabilidad o incompatibilidad para celebrar un contrato</w:t>
      </w:r>
      <w:r>
        <w:rPr>
          <w:rFonts w:ascii="Verdana" w:hAnsi="Verdana"/>
          <w:lang w:val="es-ES"/>
        </w:rPr>
        <w:t xml:space="preserve"> de prestación de servicios u otro</w:t>
      </w:r>
      <w:r w:rsidRPr="0072077A">
        <w:rPr>
          <w:rFonts w:ascii="Verdana" w:hAnsi="Verdana"/>
          <w:lang w:val="es-ES"/>
        </w:rPr>
        <w:t xml:space="preserve"> con personas condenadas o con antecedentes penales?</w:t>
      </w:r>
    </w:p>
    <w:p w14:paraId="5E230A84" w14:textId="77777777" w:rsidR="00F9008B" w:rsidRPr="00A736EB" w:rsidRDefault="00F9008B" w:rsidP="00F9008B">
      <w:pPr>
        <w:spacing w:after="0" w:line="276" w:lineRule="auto"/>
        <w:jc w:val="both"/>
        <w:rPr>
          <w:rFonts w:ascii="Verdana" w:hAnsi="Verdana" w:cs="Arial"/>
          <w:shd w:val="clear" w:color="auto" w:fill="FFFFFF"/>
        </w:rPr>
      </w:pPr>
    </w:p>
    <w:p w14:paraId="1FB74F96" w14:textId="77777777" w:rsidR="002E7F40" w:rsidRPr="00960F72" w:rsidRDefault="002E7F40" w:rsidP="002E7F4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5674F68C" w14:textId="77777777" w:rsidR="002E7F40" w:rsidRPr="00960F72" w:rsidRDefault="002E7F40" w:rsidP="002E7F4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E7F40" w:rsidRPr="00960F72" w14:paraId="2895B39B" w14:textId="77777777" w:rsidTr="004A4705">
        <w:trPr>
          <w:trHeight w:val="4304"/>
        </w:trPr>
        <w:tc>
          <w:tcPr>
            <w:tcW w:w="8828" w:type="dxa"/>
          </w:tcPr>
          <w:p w14:paraId="60233685" w14:textId="267475E2" w:rsidR="002E7F40" w:rsidRPr="0072077A" w:rsidRDefault="00946091" w:rsidP="004A4705">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De manera preliminar se debe señalar que</w:t>
            </w:r>
            <w:r w:rsidR="002E7F40" w:rsidRPr="0E7FB6BE">
              <w:rPr>
                <w:rFonts w:ascii="Verdana" w:eastAsia="Calibri" w:hAnsi="Verdana" w:cs="Arial"/>
                <w:color w:val="000000" w:themeColor="text1"/>
                <w:lang w:val="es-ES"/>
              </w:rPr>
              <w:t xml:space="preserve">, el principio </w:t>
            </w:r>
            <w:r w:rsidR="002E7F40" w:rsidRPr="0E7FB6BE">
              <w:rPr>
                <w:rFonts w:ascii="Verdana" w:eastAsia="Calibri" w:hAnsi="Verdana" w:cs="Arial"/>
                <w:i/>
                <w:color w:val="000000" w:themeColor="text1"/>
                <w:lang w:val="es-ES"/>
              </w:rPr>
              <w:t xml:space="preserve">pro </w:t>
            </w:r>
            <w:proofErr w:type="spellStart"/>
            <w:r w:rsidR="002E7F40" w:rsidRPr="0E7FB6BE">
              <w:rPr>
                <w:rFonts w:ascii="Verdana" w:eastAsia="Calibri" w:hAnsi="Verdana" w:cs="Arial"/>
                <w:i/>
                <w:color w:val="000000" w:themeColor="text1"/>
                <w:lang w:val="es-ES"/>
              </w:rPr>
              <w:t>libertate</w:t>
            </w:r>
            <w:proofErr w:type="spellEnd"/>
            <w:r w:rsidR="002E7F40" w:rsidRPr="0E7FB6BE">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En ese sentido, las disposiciones que integran el régimen de inhabilidades e incompatibilidades exigen una interpretación que garantice el referido principio, lo que significa una aplicación sintonizada con lo expresamente señalado en la norma.</w:t>
            </w:r>
          </w:p>
          <w:p w14:paraId="18799AD8" w14:textId="35890D45" w:rsidR="002E7F40" w:rsidRPr="0072077A" w:rsidRDefault="002E7F40" w:rsidP="004A4705">
            <w:pPr>
              <w:spacing w:after="120" w:line="276" w:lineRule="auto"/>
              <w:ind w:firstLine="709"/>
              <w:jc w:val="both"/>
              <w:rPr>
                <w:rFonts w:ascii="Verdana" w:eastAsia="Calibri" w:hAnsi="Verdana" w:cs="Arial"/>
                <w:color w:val="000000" w:themeColor="text1"/>
                <w:lang w:val="es-ES_tradnl"/>
              </w:rPr>
            </w:pPr>
            <w:r w:rsidRPr="0072077A">
              <w:rPr>
                <w:rFonts w:ascii="Verdana" w:eastAsia="Calibri" w:hAnsi="Verdana" w:cs="Arial"/>
                <w:color w:val="000000" w:themeColor="text1"/>
                <w:lang w:val="es-ES_tradnl"/>
              </w:rPr>
              <w:t xml:space="preserve">Conforme a lo anterior, respecto a la cuestión especifica objeto de consulta es preciso advertir que, los antecedentes penales de una persona podrían condicionar la posibilidad de que suscriba contratos estatales, teniendo en cuenta que existen inhabilidades que contemplan supuestos de hecho alusivos a eventuales condenas en materia penal, como es el caso de los literales d) y j) del numeral 1 del artículo 8 de la Ley 80 de 1993. Es por esto por lo que, es relevante analizar de cara a la suscripción de contratos los antecedentes penales del virtual contratista, comoquiera que estos podrían condicionar la capacidad jurídica.   </w:t>
            </w:r>
          </w:p>
          <w:p w14:paraId="0C36ACF4" w14:textId="0FC6DF8C" w:rsidR="002E7F40" w:rsidRPr="00960F72" w:rsidRDefault="002E7F40" w:rsidP="004A4705">
            <w:pPr>
              <w:spacing w:after="120" w:line="276" w:lineRule="auto"/>
              <w:ind w:firstLine="709"/>
              <w:jc w:val="both"/>
              <w:rPr>
                <w:rFonts w:ascii="Verdana" w:eastAsia="Calibri" w:hAnsi="Verdana" w:cs="Arial"/>
              </w:rPr>
            </w:pPr>
            <w:r>
              <w:rPr>
                <w:rFonts w:ascii="Verdana" w:hAnsi="Verdana" w:cs="Arial"/>
                <w:color w:val="000000" w:themeColor="text1"/>
              </w:rPr>
              <w:t xml:space="preserve">     </w:t>
            </w:r>
            <w:r w:rsidRPr="0072077A">
              <w:rPr>
                <w:rFonts w:ascii="Verdana" w:hAnsi="Verdana" w:cs="Arial"/>
                <w:color w:val="000000" w:themeColor="text1"/>
              </w:rPr>
              <w:t>Con todo,</w:t>
            </w:r>
            <w:r w:rsidRPr="0072077A">
              <w:rPr>
                <w:rFonts w:ascii="Verdana" w:hAnsi="Verdana" w:cs="Arial"/>
                <w:color w:val="000000"/>
                <w:shd w:val="clear" w:color="auto" w:fill="FFFFFF"/>
              </w:rPr>
              <w:t xml:space="preserve"> es preciso advertir que, es necesario detenerse a revisar el alcance particular de las condenas respectivas, para establecer si se configura o no alguna de inhabilidad y/o incompatibilidad que impida celebrar contratos con la persona en cuestión. Al tratarse esto de un análisis que se debe realizar en cada caso específico, la Subdirección de Gestión Contractual </w:t>
            </w:r>
            <w:r w:rsidRPr="0072077A">
              <w:rPr>
                <w:rFonts w:ascii="Verdana" w:hAnsi="Verdana" w:cs="Arial"/>
                <w:color w:val="000000"/>
                <w:shd w:val="clear" w:color="auto" w:fill="FFFFFF"/>
              </w:rPr>
              <w:lastRenderedPageBreak/>
              <w:t xml:space="preserve">no puede definir un criterio universal y absoluto para los casos que se subsuman dentro de la hipótesis objeto de consulta, </w:t>
            </w:r>
            <w:r w:rsidRPr="0072077A">
              <w:rPr>
                <w:rFonts w:ascii="Verdana" w:hAnsi="Verdana" w:cs="Arial"/>
                <w:color w:val="000000" w:themeColor="text1"/>
              </w:rPr>
              <w:t xml:space="preserve">sino que debe brindar las consideraciones jurídicas pertinentes sobre el alcance del marco normativo relevante, para que los partícipes del sistema de compras y contratación pública adopten la decisión que corresponda en el marco de la autonomía que les asiste. </w:t>
            </w:r>
            <w:r w:rsidRPr="0072077A">
              <w:rPr>
                <w:rFonts w:ascii="Verdana" w:hAnsi="Verdana" w:cs="Arial"/>
                <w:color w:val="000000"/>
                <w:shd w:val="clear" w:color="auto" w:fill="FFFFFF"/>
              </w:rPr>
              <w:t>Por lo anterior, previo concepto de sus órganos asesores, la solución de casos particulares corresponde a la entidad de adoptar la decisión correspondiente y, en caso de conflicto, a las autoridades judiciales, fiscales y disciplinarias.</w:t>
            </w:r>
          </w:p>
        </w:tc>
      </w:tr>
    </w:tbl>
    <w:p w14:paraId="1218062C" w14:textId="77777777" w:rsidR="002E7F40" w:rsidRPr="00960F72" w:rsidRDefault="002E7F40" w:rsidP="002E7F40">
      <w:pPr>
        <w:tabs>
          <w:tab w:val="left" w:pos="142"/>
          <w:tab w:val="left" w:pos="284"/>
        </w:tabs>
        <w:spacing w:after="0" w:line="276" w:lineRule="auto"/>
        <w:jc w:val="both"/>
        <w:rPr>
          <w:rFonts w:ascii="Verdana" w:eastAsia="Century Gothic" w:hAnsi="Verdana" w:cs="Century Gothic"/>
          <w:b/>
          <w:bCs/>
        </w:rPr>
      </w:pPr>
    </w:p>
    <w:p w14:paraId="3EB176B0" w14:textId="77777777" w:rsidR="002E7F40" w:rsidRPr="00960F72" w:rsidRDefault="002E7F40" w:rsidP="002E7F4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39231A53" w14:textId="77777777" w:rsidR="002E7F40" w:rsidRPr="00960F72" w:rsidRDefault="002E7F40" w:rsidP="002E7F40">
      <w:pPr>
        <w:spacing w:after="0" w:line="276" w:lineRule="auto"/>
        <w:jc w:val="both"/>
        <w:rPr>
          <w:rFonts w:ascii="Verdana" w:eastAsia="Calibri" w:hAnsi="Verdana" w:cs="Arial"/>
        </w:rPr>
      </w:pPr>
    </w:p>
    <w:p w14:paraId="5625FF0E" w14:textId="6398A52E" w:rsidR="002E7F40" w:rsidRPr="00C04E46" w:rsidRDefault="002E7F40" w:rsidP="00C04E46">
      <w:pPr>
        <w:spacing w:after="0" w:line="276" w:lineRule="auto"/>
        <w:jc w:val="both"/>
        <w:rPr>
          <w:rFonts w:ascii="Verdana" w:eastAsia="Calibri" w:hAnsi="Verdana" w:cs="Arial"/>
        </w:rPr>
      </w:pPr>
      <w:r w:rsidRPr="00960F72">
        <w:rPr>
          <w:rFonts w:ascii="Verdana" w:eastAsia="Calibri" w:hAnsi="Verdana" w:cs="Arial"/>
        </w:rPr>
        <w:t>Lo anterior se sustenta en las siguientes consideraciones:</w:t>
      </w:r>
      <w:r w:rsidRPr="00C04E46">
        <w:rPr>
          <w:rFonts w:ascii="Verdana" w:eastAsia="Calibri" w:hAnsi="Verdana" w:cs="Arial"/>
          <w:lang w:val="es-ES"/>
        </w:rPr>
        <w:t xml:space="preserve"> </w:t>
      </w:r>
    </w:p>
    <w:p w14:paraId="0AB68FEF" w14:textId="77777777" w:rsidR="002E7F40" w:rsidRPr="0072077A" w:rsidRDefault="002E7F40" w:rsidP="002E7F40">
      <w:pPr>
        <w:widowControl w:val="0"/>
        <w:autoSpaceDE w:val="0"/>
        <w:autoSpaceDN w:val="0"/>
        <w:spacing w:after="0" w:line="276" w:lineRule="auto"/>
        <w:jc w:val="both"/>
        <w:rPr>
          <w:rFonts w:ascii="Verdana" w:eastAsia="Calibri" w:hAnsi="Verdana" w:cs="Arial"/>
          <w:lang w:val="es-ES"/>
        </w:rPr>
      </w:pPr>
    </w:p>
    <w:p w14:paraId="01B35F73" w14:textId="21087D95" w:rsidR="002E7F40" w:rsidRDefault="00910541" w:rsidP="004A4705">
      <w:pPr>
        <w:spacing w:after="120" w:line="276" w:lineRule="auto"/>
        <w:jc w:val="both"/>
        <w:rPr>
          <w:rFonts w:ascii="Verdana" w:eastAsia="Calibri" w:hAnsi="Verdana" w:cs="Arial"/>
          <w:lang w:val="es-ES_tradnl"/>
        </w:rPr>
      </w:pPr>
      <w:r>
        <w:rPr>
          <w:rFonts w:ascii="Verdana" w:eastAsia="Calibri" w:hAnsi="Verdana" w:cs="Arial"/>
          <w:lang w:val="es-ES_tradnl"/>
        </w:rPr>
        <w:t>F</w:t>
      </w:r>
      <w:r w:rsidR="002E7F40" w:rsidRPr="00E32ACE">
        <w:rPr>
          <w:rFonts w:ascii="Verdana" w:eastAsia="Calibri" w:hAnsi="Verdana" w:cs="Arial"/>
          <w:lang w:val="es-ES_tradnl"/>
        </w:rPr>
        <w:t>rente</w:t>
      </w:r>
      <w:r w:rsidR="002E7F40" w:rsidRPr="00CB7835">
        <w:rPr>
          <w:rFonts w:ascii="Verdana" w:eastAsia="Calibri" w:hAnsi="Verdana" w:cs="Arial"/>
          <w:lang w:val="es-ES_tradnl"/>
        </w:rPr>
        <w:t xml:space="preserve"> al objeto de su consulta, se resalta que, en la contratación estatal, la </w:t>
      </w:r>
      <w:r w:rsidR="002E7F40" w:rsidRPr="00CB7835">
        <w:rPr>
          <w:rFonts w:ascii="Verdana" w:eastAsia="Calibri" w:hAnsi="Verdana" w:cs="Arial"/>
          <w:i/>
          <w:iCs/>
          <w:lang w:val="es-ES_tradnl"/>
        </w:rPr>
        <w:t>capacidad</w:t>
      </w:r>
      <w:r w:rsidR="002E7F40" w:rsidRPr="00CB7835">
        <w:rPr>
          <w:rFonts w:ascii="Verdana" w:eastAsia="Calibri" w:hAnsi="Verdana" w:cs="Arial"/>
          <w:lang w:val="es-ES_tradnl"/>
        </w:rPr>
        <w:t xml:space="preserve"> también es un requisito de validez de los contratos, tanto en el régimen de las entidades sujetas al Estatuto General de Contratación de la Administración Pública</w:t>
      </w:r>
      <w:r w:rsidR="002E7F40" w:rsidRPr="004A4705">
        <w:rPr>
          <w:rFonts w:ascii="Verdana" w:hAnsi="Verdana"/>
          <w:vertAlign w:val="superscript"/>
        </w:rPr>
        <w:footnoteReference w:id="2"/>
      </w:r>
      <w:r w:rsidR="002E7F40" w:rsidRPr="00CB7835">
        <w:rPr>
          <w:rFonts w:ascii="Verdana" w:eastAsia="Calibri" w:hAnsi="Verdana" w:cs="Arial"/>
          <w:lang w:val="es-ES_tradnl"/>
        </w:rPr>
        <w:t xml:space="preserve"> como en el de las entidades exceptuadas de aquel</w:t>
      </w:r>
      <w:r w:rsidR="002E7F40" w:rsidRPr="004A4705">
        <w:rPr>
          <w:rFonts w:ascii="Verdana" w:hAnsi="Verdana"/>
          <w:vertAlign w:val="superscript"/>
        </w:rPr>
        <w:footnoteReference w:id="3"/>
      </w:r>
      <w:r w:rsidR="002E7F40" w:rsidRPr="00CB7835">
        <w:rPr>
          <w:rFonts w:ascii="Verdana" w:eastAsia="Calibri" w:hAnsi="Verdana" w:cs="Arial"/>
          <w:lang w:val="es-ES_tradnl"/>
        </w:rPr>
        <w:t>. Se destaca el régimen de inhabilidades e incompatibilidades como un conjunto de normas que imponen restricciones para los sujetos que, eventualmente, pretendan participar en los procedimientos de selección o celebrar contratos con las entidades estatales</w:t>
      </w:r>
      <w:r w:rsidR="002E7F40" w:rsidRPr="004A4705">
        <w:rPr>
          <w:rFonts w:ascii="Verdana" w:hAnsi="Verdana"/>
          <w:vertAlign w:val="superscript"/>
        </w:rPr>
        <w:footnoteReference w:id="4"/>
      </w:r>
      <w:r w:rsidR="002E7F40" w:rsidRPr="00CB7835">
        <w:rPr>
          <w:rFonts w:ascii="Verdana" w:eastAsia="Calibri" w:hAnsi="Verdana" w:cs="Arial"/>
          <w:lang w:val="es-ES_tradnl"/>
        </w:rPr>
        <w:t>.</w:t>
      </w:r>
    </w:p>
    <w:p w14:paraId="59615ED8" w14:textId="77777777" w:rsidR="002E7F40" w:rsidRPr="00E32ACE" w:rsidRDefault="002E7F40" w:rsidP="004A4705">
      <w:pPr>
        <w:spacing w:after="120" w:line="276" w:lineRule="auto"/>
        <w:ind w:firstLine="709"/>
        <w:jc w:val="both"/>
        <w:rPr>
          <w:rFonts w:ascii="Verdana" w:eastAsia="Calibri" w:hAnsi="Verdana" w:cs="Arial"/>
          <w:lang w:val="es-ES"/>
        </w:rPr>
      </w:pPr>
      <w:r w:rsidRPr="00E32ACE">
        <w:rPr>
          <w:rFonts w:ascii="Verdana" w:eastAsia="Calibri" w:hAnsi="Verdana" w:cs="Arial"/>
          <w:lang w:val="es-ES"/>
        </w:rPr>
        <w:lastRenderedPageBreak/>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E32ACE">
        <w:rPr>
          <w:rFonts w:ascii="Verdana" w:eastAsia="Calibri" w:hAnsi="Verdana" w:cs="Arial"/>
          <w:lang w:val="es-ES"/>
        </w:rPr>
        <w:t>ii</w:t>
      </w:r>
      <w:proofErr w:type="spellEnd"/>
      <w:r w:rsidRPr="00E32ACE">
        <w:rPr>
          <w:rFonts w:ascii="Verdana" w:eastAsia="Calibri" w:hAnsi="Verdana" w:cs="Arial"/>
          <w:lang w:val="es-ES"/>
        </w:rPr>
        <w:t xml:space="preserve">) de vínculos personales relativos al parentesco o al estado civil o </w:t>
      </w:r>
      <w:proofErr w:type="spellStart"/>
      <w:r w:rsidRPr="00E32ACE">
        <w:rPr>
          <w:rFonts w:ascii="Verdana" w:eastAsia="Calibri" w:hAnsi="Verdana" w:cs="Arial"/>
          <w:lang w:val="es-ES"/>
        </w:rPr>
        <w:t>iii</w:t>
      </w:r>
      <w:proofErr w:type="spellEnd"/>
      <w:r w:rsidRPr="00E32ACE">
        <w:rPr>
          <w:rFonts w:ascii="Verdana" w:eastAsia="Calibri" w:hAnsi="Verdana" w:cs="Arial"/>
          <w:lang w:val="es-ES"/>
        </w:rPr>
        <w:t>) de una actividad u oficio que se desempeñó en el pasado.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00E32ACE">
        <w:rPr>
          <w:rStyle w:val="Refdenotaalpie"/>
          <w:rFonts w:ascii="Verdana" w:eastAsia="Calibri" w:hAnsi="Verdana" w:cs="Arial"/>
          <w:lang w:val="es-ES"/>
        </w:rPr>
        <w:footnoteReference w:id="5"/>
      </w:r>
      <w:r w:rsidRPr="00E32ACE">
        <w:rPr>
          <w:rFonts w:ascii="Verdana" w:eastAsia="Calibri" w:hAnsi="Verdana" w:cs="Arial"/>
          <w:lang w:val="es-ES"/>
        </w:rPr>
        <w:t>.</w:t>
      </w:r>
    </w:p>
    <w:p w14:paraId="07807AC9" w14:textId="24A09087" w:rsidR="002E7F40" w:rsidRDefault="00390A14" w:rsidP="004A4705">
      <w:pPr>
        <w:spacing w:after="120" w:line="276" w:lineRule="auto"/>
        <w:ind w:firstLine="709"/>
        <w:jc w:val="both"/>
        <w:rPr>
          <w:rFonts w:ascii="Verdana" w:eastAsia="Calibri" w:hAnsi="Verdana" w:cs="Arial"/>
          <w:lang w:val="es-ES_tradnl"/>
        </w:rPr>
      </w:pPr>
      <w:r>
        <w:rPr>
          <w:rFonts w:ascii="Verdana" w:eastAsia="Calibri" w:hAnsi="Verdana" w:cs="Arial"/>
          <w:lang w:val="es-ES_tradnl"/>
        </w:rPr>
        <w:t>E</w:t>
      </w:r>
      <w:r w:rsidR="002E7F40" w:rsidRPr="00E32ACE">
        <w:rPr>
          <w:rFonts w:ascii="Verdana" w:eastAsia="Calibri" w:hAnsi="Verdana" w:cs="Arial"/>
          <w:lang w:val="es-ES_tradnl"/>
        </w:rPr>
        <w:t>l</w:t>
      </w:r>
      <w:r w:rsidR="002E7F40" w:rsidRPr="00CB7835">
        <w:rPr>
          <w:rFonts w:ascii="Verdana" w:eastAsia="Calibri" w:hAnsi="Verdana" w:cs="Arial"/>
          <w:lang w:val="es-ES_tradnl"/>
        </w:rPr>
        <w:t xml:space="preserve">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w:t>
      </w:r>
      <w:proofErr w:type="spellStart"/>
      <w:r w:rsidR="002E7F40" w:rsidRPr="00CB7835">
        <w:rPr>
          <w:rFonts w:ascii="Verdana" w:eastAsia="Calibri" w:hAnsi="Verdana" w:cs="Arial"/>
          <w:lang w:val="es-ES_tradnl"/>
        </w:rPr>
        <w:t>neopunitiva</w:t>
      </w:r>
      <w:proofErr w:type="spellEnd"/>
      <w:r w:rsidR="002E7F40" w:rsidRPr="00CB7835">
        <w:rPr>
          <w:rFonts w:ascii="Verdana" w:eastAsia="Calibri" w:hAnsi="Verdana" w:cs="Arial"/>
          <w:lang w:val="es-ES_tradnl"/>
        </w:rPr>
        <w:t>”</w:t>
      </w:r>
      <w:r w:rsidR="002E7F40" w:rsidRPr="004A4705">
        <w:rPr>
          <w:rFonts w:ascii="Verdana" w:hAnsi="Verdana"/>
          <w:vertAlign w:val="superscript"/>
        </w:rPr>
        <w:footnoteReference w:id="6"/>
      </w:r>
      <w:r w:rsidR="002E7F40" w:rsidRPr="00CB7835">
        <w:rPr>
          <w:rFonts w:ascii="Verdana" w:eastAsia="Calibri" w:hAnsi="Verdana" w:cs="Arial"/>
          <w:lang w:val="es-ES_tradnl"/>
        </w:rPr>
        <w:t xml:space="preserve">. Si bien no todas las causales de inhabilidad y de incompatibilidad son consecuencia de una medida de reproche ni de una sanción previa, como ya </w:t>
      </w:r>
      <w:r w:rsidR="002E7F40" w:rsidRPr="00CB7835">
        <w:rPr>
          <w:rFonts w:ascii="Verdana" w:eastAsia="Calibri" w:hAnsi="Verdana" w:cs="Arial"/>
          <w:lang w:val="es-ES_tradnl"/>
        </w:rPr>
        <w:lastRenderedPageBreak/>
        <w:t>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66F3343A" w14:textId="77777777" w:rsidR="002E7F40" w:rsidRDefault="002E7F40" w:rsidP="004A4705">
      <w:pPr>
        <w:spacing w:after="120" w:line="276" w:lineRule="auto"/>
        <w:ind w:firstLine="709"/>
        <w:jc w:val="both"/>
        <w:rPr>
          <w:rFonts w:ascii="Verdana" w:eastAsia="Calibri" w:hAnsi="Verdana" w:cs="Arial"/>
          <w:lang w:val="es-ES_tradnl"/>
        </w:rPr>
      </w:pPr>
      <w:r w:rsidRPr="00CB7835">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CB7835">
        <w:rPr>
          <w:rFonts w:ascii="Verdana" w:eastAsia="Calibri" w:hAnsi="Verdana" w:cs="Arial"/>
          <w:i/>
          <w:iCs/>
          <w:lang w:val="es-ES_tradnl"/>
        </w:rPr>
        <w:t>restrictiva</w:t>
      </w:r>
      <w:r w:rsidRPr="004A4705">
        <w:rPr>
          <w:rFonts w:ascii="Verdana" w:hAnsi="Verdana"/>
          <w:vertAlign w:val="superscript"/>
        </w:rPr>
        <w:footnoteReference w:id="7"/>
      </w:r>
      <w:r w:rsidRPr="00CB7835">
        <w:rPr>
          <w:rFonts w:ascii="Verdana" w:eastAsia="Calibri" w:hAnsi="Verdana" w:cs="Arial"/>
          <w:lang w:val="es-ES_tradnl"/>
        </w:rPr>
        <w:t xml:space="preserve">, 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w:t>
      </w:r>
      <w:r w:rsidRPr="00CB7835">
        <w:rPr>
          <w:rFonts w:ascii="Verdana" w:eastAsia="Calibri" w:hAnsi="Verdana" w:cs="Arial"/>
          <w:color w:val="000000" w:themeColor="text1"/>
          <w:lang w:val="es-ES_tradnl"/>
        </w:rPr>
        <w:t xml:space="preserve"> Tal ha sido la postura al interior de la jurisprudencia, tanto de la Corte Constitucional como de la Sección Tercera del Consejo de Estado. </w:t>
      </w:r>
    </w:p>
    <w:p w14:paraId="1B2792A7" w14:textId="77777777" w:rsidR="002E7F40" w:rsidRDefault="002E7F40" w:rsidP="004E3F75">
      <w:pPr>
        <w:spacing w:after="0" w:line="276" w:lineRule="auto"/>
        <w:ind w:firstLine="709"/>
        <w:jc w:val="both"/>
        <w:rPr>
          <w:rFonts w:ascii="Verdana" w:eastAsia="Calibri" w:hAnsi="Verdana" w:cs="Arial"/>
          <w:color w:val="000000" w:themeColor="text1"/>
          <w:lang w:val="es-ES_tradnl"/>
        </w:rPr>
      </w:pPr>
      <w:r w:rsidRPr="00CB7835">
        <w:rPr>
          <w:rFonts w:ascii="Verdana" w:eastAsia="Calibri" w:hAnsi="Verdana" w:cs="Arial"/>
          <w:color w:val="000000" w:themeColor="text1"/>
          <w:lang w:val="es-ES_tradnl"/>
        </w:rPr>
        <w:t>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4A4705">
        <w:rPr>
          <w:rFonts w:ascii="Verdana" w:hAnsi="Verdana"/>
          <w:vertAlign w:val="superscript"/>
        </w:rPr>
        <w:footnoteReference w:id="8"/>
      </w:r>
      <w:r w:rsidRPr="00CB7835">
        <w:rPr>
          <w:rFonts w:ascii="Verdana" w:eastAsia="Calibri" w:hAnsi="Verdana" w:cs="Arial"/>
          <w:color w:val="000000" w:themeColor="text1"/>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4A4705">
        <w:rPr>
          <w:rFonts w:ascii="Verdana" w:hAnsi="Verdana"/>
          <w:vertAlign w:val="superscript"/>
        </w:rPr>
        <w:footnoteReference w:id="9"/>
      </w:r>
      <w:r w:rsidRPr="00CB7835">
        <w:rPr>
          <w:rFonts w:ascii="Verdana" w:eastAsia="Calibri" w:hAnsi="Verdana" w:cs="Arial"/>
          <w:color w:val="000000" w:themeColor="text1"/>
          <w:lang w:val="es-ES_tradnl"/>
        </w:rPr>
        <w:t>. En tal sentido, la Sección Tercera ha señalado que:</w:t>
      </w:r>
    </w:p>
    <w:p w14:paraId="66020F5E" w14:textId="77777777" w:rsidR="004E3F75" w:rsidRPr="00E32ACE" w:rsidRDefault="004E3F75" w:rsidP="004A4705">
      <w:pPr>
        <w:spacing w:after="0" w:line="276" w:lineRule="auto"/>
        <w:ind w:firstLine="709"/>
        <w:jc w:val="both"/>
        <w:rPr>
          <w:rFonts w:ascii="Verdana" w:eastAsia="Calibri" w:hAnsi="Verdana" w:cs="Arial"/>
          <w:lang w:val="es-ES_tradnl"/>
        </w:rPr>
      </w:pPr>
    </w:p>
    <w:p w14:paraId="5831D4A0" w14:textId="77777777" w:rsidR="002E7F40" w:rsidRPr="00D651E9" w:rsidRDefault="002E7F40" w:rsidP="004A4705">
      <w:pPr>
        <w:spacing w:after="0"/>
        <w:ind w:left="709" w:right="709"/>
        <w:jc w:val="both"/>
        <w:rPr>
          <w:rFonts w:ascii="Verdana" w:hAnsi="Verdana" w:cs="Arial"/>
          <w:color w:val="000000" w:themeColor="text1"/>
          <w:sz w:val="20"/>
          <w:szCs w:val="20"/>
          <w:lang w:val="es-ES_tradnl"/>
        </w:rPr>
      </w:pPr>
      <w:r w:rsidRPr="00D651E9">
        <w:rPr>
          <w:rFonts w:ascii="Verdana" w:hAnsi="Verdana" w:cs="Arial"/>
          <w:color w:val="000000" w:themeColor="text1"/>
          <w:sz w:val="20"/>
          <w:szCs w:val="20"/>
          <w:lang w:val="es-ES_tradnl"/>
        </w:rPr>
        <w:t xml:space="preserve">“[…] de conformidad con la jurisprudencia uniforme y reiterada de esta Corporación, la aplicación de las normas que contemplan inhabilidades e </w:t>
      </w:r>
      <w:r w:rsidRPr="00D651E9">
        <w:rPr>
          <w:rFonts w:ascii="Verdana" w:hAnsi="Verdana" w:cs="Arial"/>
          <w:color w:val="000000" w:themeColor="text1"/>
          <w:sz w:val="20"/>
          <w:szCs w:val="20"/>
          <w:lang w:val="es-ES_tradnl"/>
        </w:rPr>
        <w:lastRenderedPageBreak/>
        <w:t>incompatibilidades, como en general de todas aquellas que comportan prohibiciones o limitaciones, deben responder a una interpretación restrictiva que no permite su extensión, por vía de la figura de la analogía, a supuestos no contemplados por el ordenamiento”</w:t>
      </w:r>
      <w:r w:rsidRPr="00D651E9">
        <w:rPr>
          <w:rFonts w:ascii="Verdana" w:hAnsi="Verdana" w:cs="Arial"/>
          <w:color w:val="000000" w:themeColor="text1"/>
          <w:sz w:val="20"/>
          <w:szCs w:val="20"/>
          <w:vertAlign w:val="superscript"/>
          <w:lang w:val="es-ES_tradnl"/>
        </w:rPr>
        <w:footnoteReference w:id="10"/>
      </w:r>
      <w:r w:rsidRPr="00D651E9">
        <w:rPr>
          <w:rFonts w:ascii="Verdana" w:hAnsi="Verdana" w:cs="Arial"/>
          <w:color w:val="000000" w:themeColor="text1"/>
          <w:sz w:val="20"/>
          <w:szCs w:val="20"/>
          <w:lang w:val="es-ES_tradnl"/>
        </w:rPr>
        <w:t>.</w:t>
      </w:r>
    </w:p>
    <w:p w14:paraId="0AB6F4AA" w14:textId="77777777" w:rsidR="002E7F40" w:rsidRPr="00D651E9" w:rsidRDefault="002E7F40" w:rsidP="004A4705">
      <w:pPr>
        <w:spacing w:after="0" w:line="276" w:lineRule="auto"/>
        <w:ind w:left="709" w:right="709" w:firstLine="709"/>
        <w:jc w:val="both"/>
        <w:rPr>
          <w:rFonts w:ascii="Verdana" w:eastAsia="Calibri" w:hAnsi="Verdana" w:cs="Arial"/>
          <w:color w:val="000000" w:themeColor="text1"/>
          <w:sz w:val="20"/>
          <w:szCs w:val="20"/>
          <w:lang w:val="es-ES_tradnl"/>
        </w:rPr>
      </w:pPr>
      <w:r w:rsidRPr="00D651E9">
        <w:rPr>
          <w:rFonts w:ascii="Verdana" w:eastAsia="Calibri" w:hAnsi="Verdana" w:cs="Arial"/>
          <w:color w:val="000000" w:themeColor="text1"/>
          <w:sz w:val="20"/>
          <w:szCs w:val="20"/>
          <w:lang w:val="es-ES_tradnl"/>
        </w:rPr>
        <w:t>También ha dicho que:</w:t>
      </w:r>
    </w:p>
    <w:p w14:paraId="27D4DEDF" w14:textId="77777777" w:rsidR="002E7F40" w:rsidRDefault="002E7F40" w:rsidP="004A4705">
      <w:pPr>
        <w:spacing w:after="0" w:line="240" w:lineRule="auto"/>
        <w:ind w:left="709" w:right="709"/>
        <w:jc w:val="both"/>
        <w:rPr>
          <w:rFonts w:ascii="Verdana" w:hAnsi="Verdana" w:cs="Arial"/>
          <w:color w:val="000000" w:themeColor="text1"/>
          <w:sz w:val="20"/>
          <w:szCs w:val="20"/>
          <w:lang w:val="es-ES"/>
        </w:rPr>
      </w:pPr>
      <w:r w:rsidRPr="0E7FB6BE">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E7FB6BE">
        <w:rPr>
          <w:rFonts w:ascii="Verdana" w:hAnsi="Verdana" w:cs="Arial"/>
          <w:i/>
          <w:color w:val="000000" w:themeColor="text1"/>
          <w:sz w:val="20"/>
          <w:szCs w:val="20"/>
          <w:lang w:val="es-ES"/>
        </w:rPr>
        <w:t xml:space="preserve">pro </w:t>
      </w:r>
      <w:proofErr w:type="spellStart"/>
      <w:r w:rsidRPr="0E7FB6BE">
        <w:rPr>
          <w:rFonts w:ascii="Verdana" w:hAnsi="Verdana" w:cs="Arial"/>
          <w:i/>
          <w:color w:val="000000" w:themeColor="text1"/>
          <w:sz w:val="20"/>
          <w:szCs w:val="20"/>
          <w:lang w:val="es-ES"/>
        </w:rPr>
        <w:t>libertate</w:t>
      </w:r>
      <w:proofErr w:type="spellEnd"/>
      <w:r w:rsidRPr="0E7FB6BE">
        <w:rPr>
          <w:rFonts w:ascii="Verdana" w:hAnsi="Verdana" w:cs="Arial"/>
          <w:color w:val="000000" w:themeColor="text1"/>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E7FB6BE">
        <w:rPr>
          <w:rFonts w:ascii="Verdana" w:hAnsi="Verdana" w:cs="Arial"/>
          <w:color w:val="000000" w:themeColor="text1"/>
          <w:sz w:val="20"/>
          <w:szCs w:val="20"/>
          <w:vertAlign w:val="superscript"/>
          <w:lang w:val="es-ES"/>
        </w:rPr>
        <w:footnoteReference w:id="11"/>
      </w:r>
      <w:r w:rsidRPr="0E7FB6BE">
        <w:rPr>
          <w:rFonts w:ascii="Verdana" w:hAnsi="Verdana" w:cs="Arial"/>
          <w:color w:val="000000" w:themeColor="text1"/>
          <w:sz w:val="20"/>
          <w:szCs w:val="20"/>
          <w:lang w:val="es-ES"/>
        </w:rPr>
        <w:t>.</w:t>
      </w:r>
    </w:p>
    <w:p w14:paraId="13168310" w14:textId="77777777" w:rsidR="00103728" w:rsidRDefault="00103728" w:rsidP="004A4705">
      <w:pPr>
        <w:spacing w:after="0" w:line="276" w:lineRule="auto"/>
        <w:ind w:right="49" w:firstLine="360"/>
        <w:jc w:val="both"/>
        <w:rPr>
          <w:rFonts w:ascii="Verdana" w:eastAsia="Calibri" w:hAnsi="Verdana" w:cs="Arial"/>
          <w:color w:val="000000" w:themeColor="text1"/>
          <w:lang w:val="es-ES"/>
        </w:rPr>
      </w:pPr>
    </w:p>
    <w:p w14:paraId="2C76E4EF" w14:textId="381B86FE" w:rsidR="002E7F40" w:rsidRDefault="002E7F40" w:rsidP="004A4705">
      <w:pPr>
        <w:spacing w:after="120" w:line="276" w:lineRule="auto"/>
        <w:ind w:firstLine="709"/>
        <w:jc w:val="both"/>
        <w:rPr>
          <w:rFonts w:ascii="Verdana" w:hAnsi="Verdana" w:cs="Arial"/>
          <w:color w:val="000000" w:themeColor="text1"/>
          <w:sz w:val="20"/>
          <w:szCs w:val="20"/>
          <w:lang w:val="es-ES"/>
        </w:rPr>
      </w:pPr>
      <w:r w:rsidRPr="0E7FB6BE">
        <w:rPr>
          <w:rFonts w:ascii="Verdana" w:eastAsia="Calibri" w:hAnsi="Verdana" w:cs="Arial"/>
          <w:color w:val="000000" w:themeColor="text1"/>
          <w:lang w:val="es-ES"/>
        </w:rPr>
        <w:t xml:space="preserve">Como se aprecia, el principio </w:t>
      </w:r>
      <w:r w:rsidRPr="0E7FB6BE">
        <w:rPr>
          <w:rFonts w:ascii="Verdana" w:eastAsia="Calibri" w:hAnsi="Verdana" w:cs="Arial"/>
          <w:i/>
          <w:color w:val="000000" w:themeColor="text1"/>
          <w:lang w:val="es-ES"/>
        </w:rPr>
        <w:t xml:space="preserve">pro </w:t>
      </w:r>
      <w:proofErr w:type="spellStart"/>
      <w:r w:rsidRPr="0E7FB6BE">
        <w:rPr>
          <w:rFonts w:ascii="Verdana" w:eastAsia="Calibri" w:hAnsi="Verdana" w:cs="Arial"/>
          <w:i/>
          <w:color w:val="000000" w:themeColor="text1"/>
          <w:lang w:val="es-ES"/>
        </w:rPr>
        <w:t>libertate</w:t>
      </w:r>
      <w:proofErr w:type="spellEnd"/>
      <w:r w:rsidRPr="0E7FB6BE">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En ese sentido, las disposiciones que integran el régimen de inhabilidades e incompatibilidades exigen una interpretación que garantice el referido principio, lo que significa una aplicación sintonizada con lo expresamente señalado en la norma.</w:t>
      </w:r>
    </w:p>
    <w:p w14:paraId="68396915" w14:textId="77777777" w:rsidR="002E7F40" w:rsidRDefault="002E7F40" w:rsidP="004A4705">
      <w:pPr>
        <w:spacing w:after="120" w:line="276" w:lineRule="auto"/>
        <w:ind w:firstLine="709"/>
        <w:jc w:val="both"/>
        <w:rPr>
          <w:rFonts w:ascii="Verdana" w:eastAsia="Calibri" w:hAnsi="Verdana" w:cs="Arial"/>
          <w:color w:val="000000" w:themeColor="text1"/>
          <w:lang w:val="es-ES_tradnl"/>
        </w:rPr>
      </w:pPr>
      <w:r w:rsidRPr="00CB7835">
        <w:rPr>
          <w:rFonts w:ascii="Verdana" w:eastAsia="Calibri" w:hAnsi="Verdana" w:cs="Arial"/>
          <w:color w:val="000000" w:themeColor="text1"/>
          <w:lang w:val="es-ES_tradnl"/>
        </w:rPr>
        <w:t>Conforme a lo anterior, respecto a la cuestión especifica objeto de consulta es preciso advertir que, los antecedentes penales de una persona podrían condicionar la posibilidad de que suscriba contratos estatales, teniendo en cuenta que existen inhabilidades que contemplan supuestos de hecho alusivos a eventuales condenas en materia penal, como es el caso de los literales d) y j) de del numeral 1 del artículo 8 de la Ley 80 de 1993</w:t>
      </w:r>
      <w:r w:rsidRPr="0072077A">
        <w:rPr>
          <w:rStyle w:val="Refdenotaalpie"/>
          <w:rFonts w:ascii="Verdana" w:eastAsia="Calibri" w:hAnsi="Verdana" w:cs="Arial"/>
          <w:color w:val="000000" w:themeColor="text1"/>
          <w:lang w:val="es-ES_tradnl"/>
        </w:rPr>
        <w:footnoteReference w:id="12"/>
      </w:r>
      <w:r w:rsidRPr="00CB7835">
        <w:rPr>
          <w:rFonts w:ascii="Verdana" w:eastAsia="Calibri" w:hAnsi="Verdana" w:cs="Arial"/>
          <w:color w:val="000000" w:themeColor="text1"/>
          <w:lang w:val="es-ES_tradnl"/>
        </w:rPr>
        <w:t xml:space="preserve">. Es por esto por lo </w:t>
      </w:r>
      <w:r w:rsidRPr="00CB7835">
        <w:rPr>
          <w:rFonts w:ascii="Verdana" w:eastAsia="Calibri" w:hAnsi="Verdana" w:cs="Arial"/>
          <w:color w:val="000000" w:themeColor="text1"/>
          <w:lang w:val="es-ES_tradnl"/>
        </w:rPr>
        <w:lastRenderedPageBreak/>
        <w:t xml:space="preserve">que, es relevante analizar de cara a la suscripción de contratos los antecedentes penales del virtual contratista, comoquiera que estos podrían condicionar la capacidad jurídica.   </w:t>
      </w:r>
    </w:p>
    <w:p w14:paraId="04D859FD" w14:textId="024445F5" w:rsidR="008D7634" w:rsidRPr="004A4705" w:rsidRDefault="008D7634" w:rsidP="004A4705">
      <w:pPr>
        <w:spacing w:after="120" w:line="276" w:lineRule="auto"/>
        <w:ind w:firstLine="708"/>
        <w:jc w:val="both"/>
        <w:rPr>
          <w:rFonts w:ascii="Verdana" w:hAnsi="Verdana" w:cs="Arial"/>
          <w:color w:val="000000"/>
        </w:rPr>
      </w:pPr>
      <w:r w:rsidRPr="004A4705">
        <w:rPr>
          <w:rFonts w:ascii="Verdana" w:hAnsi="Verdana" w:cs="Arial"/>
          <w:lang w:val="es-ES"/>
        </w:rPr>
        <w:t>El literal d) del numeral 1 del artículo 8 de la Ley 80 de 1993 indica que son inhábiles para contratar: “</w:t>
      </w:r>
      <w:r w:rsidRPr="004A4705">
        <w:rPr>
          <w:rFonts w:ascii="Verdana" w:hAnsi="Verdana" w:cs="Arial"/>
          <w:color w:val="000000"/>
        </w:rPr>
        <w:t xml:space="preserve">Quienes en sentencia judicial hayan sido condenados a la pena accesoria de interdicción de derechos y funciones públicas y quienes hayan sido sancionados disciplinariamente con destitución”. En efecto, se trata de una inhabilidad sanción, puesto que se configura en atención a unos supuestos de hecho que implican la expedición de providencias judiciales o administrativas en contra de personas a quienes, por la connotación de las conductas que se les reprochan, el Estatuto General de Contratación de la Administración Pública ha restringido su capacidad para suscribir y ejecutar contratos estatales. </w:t>
      </w:r>
    </w:p>
    <w:p w14:paraId="7B00F814" w14:textId="728D9DC0" w:rsidR="008D7634" w:rsidRPr="004A4705" w:rsidRDefault="008D7634" w:rsidP="008D7634">
      <w:pPr>
        <w:spacing w:after="120" w:line="276" w:lineRule="auto"/>
        <w:jc w:val="both"/>
        <w:rPr>
          <w:rFonts w:ascii="Verdana" w:hAnsi="Verdana" w:cs="Arial"/>
        </w:rPr>
      </w:pPr>
      <w:r w:rsidRPr="004A4705">
        <w:rPr>
          <w:rFonts w:ascii="Verdana" w:hAnsi="Verdana" w:cs="Arial"/>
          <w:lang w:val="es-ES"/>
        </w:rPr>
        <w:tab/>
        <w:t>La inhabilitación para el ejercicio de funciones públicas es una pena contemplada en el Código Penal que se impone de manera accesoria, en virtud de la cual se “[…] priva al penado de la facultad de elegir y ser elegido, del ejercicio de cualquier otro derecho político, función pública, dignidades y honores que confieren las entidades oficiales”</w:t>
      </w:r>
      <w:r w:rsidRPr="004A4705">
        <w:rPr>
          <w:rStyle w:val="Refdenotaalpie"/>
          <w:rFonts w:ascii="Verdana" w:hAnsi="Verdana" w:cs="Arial"/>
          <w:lang w:val="es-ES"/>
        </w:rPr>
        <w:footnoteReference w:id="13"/>
      </w:r>
      <w:r w:rsidRPr="004A4705">
        <w:rPr>
          <w:rFonts w:ascii="Verdana" w:hAnsi="Verdana" w:cs="Arial"/>
          <w:lang w:val="es-ES"/>
        </w:rPr>
        <w:t xml:space="preserve">. Por su parte, en el ámbito disciplinario, </w:t>
      </w:r>
      <w:r w:rsidRPr="004A4705">
        <w:rPr>
          <w:rFonts w:ascii="Verdana" w:hAnsi="Verdana" w:cs="Arial"/>
          <w:lang w:val="es-ES"/>
        </w:rPr>
        <w:lastRenderedPageBreak/>
        <w:t xml:space="preserve">la sanción de </w:t>
      </w:r>
      <w:r w:rsidR="006922F7">
        <w:rPr>
          <w:rFonts w:ascii="Verdana" w:hAnsi="Verdana" w:cs="Arial"/>
          <w:lang w:val="es-ES"/>
        </w:rPr>
        <w:t>“</w:t>
      </w:r>
      <w:r w:rsidRPr="004A4705">
        <w:rPr>
          <w:rFonts w:ascii="Verdana" w:hAnsi="Verdana" w:cs="Arial"/>
          <w:lang w:val="es-ES"/>
        </w:rPr>
        <w:t>destitución e inhabilidad general</w:t>
      </w:r>
      <w:r w:rsidR="006922F7">
        <w:rPr>
          <w:rFonts w:ascii="Verdana" w:hAnsi="Verdana" w:cs="Arial"/>
          <w:lang w:val="es-ES"/>
        </w:rPr>
        <w:t>”</w:t>
      </w:r>
      <w:r w:rsidRPr="004A4705">
        <w:rPr>
          <w:rFonts w:ascii="Verdana" w:hAnsi="Verdana" w:cs="Arial"/>
          <w:lang w:val="es-ES"/>
        </w:rPr>
        <w:t xml:space="preserve"> implica: </w:t>
      </w:r>
      <w:r w:rsidRPr="004A4705">
        <w:rPr>
          <w:rFonts w:ascii="Verdana" w:hAnsi="Verdana" w:cs="Arial"/>
        </w:rPr>
        <w:t>la terminación de la relación del servidor público o del particular con la administración –sin que importe que sea de libre nombramiento y remoción, de carrera o elección–, o la desvinculación del cargo, en los casos previstos en la Constitución Política y la ley; o la terminación del contrato de trabajo, y, en cualquier caso, la imposibilidad de ejercer la función pública en cualquier cargo o función, por el termino señalado en el fallo</w:t>
      </w:r>
      <w:r w:rsidRPr="004A4705">
        <w:rPr>
          <w:rStyle w:val="Refdenotaalpie"/>
          <w:rFonts w:ascii="Verdana" w:hAnsi="Verdana" w:cs="Arial"/>
        </w:rPr>
        <w:footnoteReference w:id="14"/>
      </w:r>
      <w:r w:rsidRPr="004A4705">
        <w:rPr>
          <w:rFonts w:ascii="Verdana" w:hAnsi="Verdana" w:cs="Arial"/>
        </w:rPr>
        <w:t xml:space="preserve">.  </w:t>
      </w:r>
    </w:p>
    <w:p w14:paraId="6F3A07CE" w14:textId="52036C35" w:rsidR="008D7634" w:rsidRPr="004A4705" w:rsidRDefault="008D7634" w:rsidP="004A4705">
      <w:pPr>
        <w:spacing w:after="0" w:line="276" w:lineRule="auto"/>
        <w:ind w:firstLine="708"/>
        <w:jc w:val="both"/>
        <w:rPr>
          <w:rFonts w:ascii="Verdana" w:hAnsi="Verdana" w:cs="Arial"/>
        </w:rPr>
      </w:pPr>
      <w:r w:rsidRPr="004A4705">
        <w:rPr>
          <w:rFonts w:ascii="Verdana" w:hAnsi="Verdana" w:cs="Arial"/>
          <w:lang w:val="es-ES"/>
        </w:rPr>
        <w:t xml:space="preserve"> De acuerdo con lo anterior, las penas judiciales y disciplinarias referidas en el supuesto de hecho de la inhabilidad tipificada en literal d) del numeral 1 del artículo 8 de la Ley 80 de 1993, de por sí suponen la imposibilidad para el penado de ejercer cargos y funciones públicas, lo </w:t>
      </w:r>
      <w:proofErr w:type="gramStart"/>
      <w:r w:rsidRPr="004A4705">
        <w:rPr>
          <w:rFonts w:ascii="Verdana" w:hAnsi="Verdana" w:cs="Arial"/>
          <w:lang w:val="es-ES"/>
        </w:rPr>
        <w:t>que</w:t>
      </w:r>
      <w:proofErr w:type="gramEnd"/>
      <w:r w:rsidRPr="004A4705">
        <w:rPr>
          <w:rFonts w:ascii="Verdana" w:hAnsi="Verdana" w:cs="Arial"/>
          <w:lang w:val="es-ES"/>
        </w:rPr>
        <w:t xml:space="preserve"> en virtud de su conexidad con los fines del contrato estatal, deviene en una restricción a la posibilidad fungir como colaborador de la administración pública. </w:t>
      </w:r>
      <w:r w:rsidRPr="004A4705">
        <w:rPr>
          <w:rFonts w:ascii="Verdana" w:hAnsi="Verdana" w:cs="Arial"/>
        </w:rPr>
        <w:t xml:space="preserve">Sobre la constitucionalidad de esta norma se pronunció la Corte Constitucional manifestando lo siguiente:  </w:t>
      </w:r>
    </w:p>
    <w:p w14:paraId="204A6372" w14:textId="77777777" w:rsidR="008D7634" w:rsidRPr="002C7762" w:rsidRDefault="008D7634" w:rsidP="008D7634">
      <w:pPr>
        <w:pStyle w:val="NormalWeb"/>
        <w:spacing w:before="0" w:beforeAutospacing="0" w:after="0" w:afterAutospacing="0"/>
        <w:ind w:left="709" w:right="709"/>
        <w:jc w:val="both"/>
        <w:rPr>
          <w:rFonts w:ascii="Arial" w:hAnsi="Arial" w:cs="Arial"/>
          <w:sz w:val="21"/>
          <w:szCs w:val="21"/>
        </w:rPr>
      </w:pPr>
    </w:p>
    <w:p w14:paraId="60D5DEC2" w14:textId="13445EA4" w:rsidR="008D7634" w:rsidRPr="004A4705" w:rsidRDefault="00360762" w:rsidP="00605341">
      <w:pPr>
        <w:pStyle w:val="NormalWeb"/>
        <w:spacing w:before="0" w:beforeAutospacing="0" w:after="0" w:afterAutospacing="0"/>
        <w:ind w:left="709" w:right="709"/>
        <w:jc w:val="both"/>
        <w:rPr>
          <w:rFonts w:ascii="Verdana" w:hAnsi="Verdana" w:cs="Arial"/>
          <w:color w:val="000000" w:themeColor="text1"/>
          <w:sz w:val="20"/>
          <w:szCs w:val="20"/>
        </w:rPr>
      </w:pPr>
      <w:r>
        <w:rPr>
          <w:rFonts w:ascii="Verdana" w:hAnsi="Verdana" w:cs="Arial"/>
          <w:color w:val="000000" w:themeColor="text1"/>
          <w:sz w:val="20"/>
          <w:szCs w:val="20"/>
        </w:rPr>
        <w:t>“</w:t>
      </w:r>
      <w:r w:rsidR="008D7634" w:rsidRPr="004A4705">
        <w:rPr>
          <w:rFonts w:ascii="Verdana" w:hAnsi="Verdana" w:cs="Arial"/>
          <w:color w:val="000000" w:themeColor="text1"/>
          <w:sz w:val="20"/>
          <w:szCs w:val="20"/>
        </w:rPr>
        <w:t>Estima la Corte, que la inhabilidad señalada en el literal d) del ordinal 1o. del artículo </w:t>
      </w:r>
      <w:hyperlink r:id="rId12" w:anchor="8" w:history="1">
        <w:r w:rsidR="008D7634" w:rsidRPr="004A4705">
          <w:rPr>
            <w:rFonts w:ascii="Verdana" w:hAnsi="Verdana"/>
            <w:sz w:val="20"/>
            <w:szCs w:val="20"/>
          </w:rPr>
          <w:t>8</w:t>
        </w:r>
      </w:hyperlink>
      <w:r w:rsidR="008D7634" w:rsidRPr="004A4705">
        <w:rPr>
          <w:rFonts w:ascii="Verdana" w:hAnsi="Verdana" w:cs="Arial"/>
          <w:color w:val="000000" w:themeColor="text1"/>
          <w:sz w:val="20"/>
          <w:szCs w:val="20"/>
        </w:rPr>
        <w:t>o, de la Ley 80, aunque tiene como fuente u origen o fundamento la pena accesoria de interdicción de derechos y funciones públicas, no constituye una nueva pena. En efecto:</w:t>
      </w:r>
    </w:p>
    <w:p w14:paraId="07CFAA39" w14:textId="77777777" w:rsidR="008D7634" w:rsidRPr="004A4705" w:rsidRDefault="008D7634" w:rsidP="00605341">
      <w:pPr>
        <w:pStyle w:val="NormalWeb"/>
        <w:spacing w:before="0" w:beforeAutospacing="0" w:after="0" w:afterAutospacing="0"/>
        <w:ind w:left="709" w:right="709"/>
        <w:jc w:val="both"/>
        <w:rPr>
          <w:rFonts w:ascii="Verdana" w:hAnsi="Verdana" w:cs="Arial"/>
          <w:color w:val="000000" w:themeColor="text1"/>
          <w:sz w:val="20"/>
          <w:szCs w:val="20"/>
        </w:rPr>
      </w:pPr>
    </w:p>
    <w:p w14:paraId="44C1F5D8" w14:textId="77777777" w:rsidR="008D7634" w:rsidRPr="004A4705" w:rsidRDefault="008D7634" w:rsidP="004A4705">
      <w:pPr>
        <w:spacing w:after="0" w:line="240" w:lineRule="auto"/>
        <w:ind w:left="709" w:right="709"/>
        <w:jc w:val="both"/>
        <w:rPr>
          <w:rFonts w:ascii="Verdana" w:eastAsia="Times New Roman" w:hAnsi="Verdana" w:cs="Arial"/>
          <w:color w:val="000000" w:themeColor="text1"/>
          <w:sz w:val="20"/>
          <w:szCs w:val="20"/>
          <w:lang w:eastAsia="es-MX"/>
        </w:rPr>
      </w:pPr>
      <w:r w:rsidRPr="004A4705">
        <w:rPr>
          <w:rFonts w:ascii="Verdana" w:eastAsia="Times New Roman" w:hAnsi="Verdana" w:cs="Arial"/>
          <w:color w:val="000000" w:themeColor="text1"/>
          <w:sz w:val="20"/>
          <w:szCs w:val="20"/>
          <w:lang w:eastAsia="es-MX"/>
        </w:rPr>
        <w:t>Las penas principales y accesorias, por infracción de las normas penales hacen parte de un sistema normativo contenido en el Código Penal. Tal ha sido la tradición jurídica. Pero, además, las inhabilidades e incompatibilidades que, como se ha visto, obedecen a finalidades diferentes de interés público, asociadas al logro de la imparcialidad, la eficacia, la eficiencia y la moralidad en las operaciones contractuales, no pueden identificarse ni asimilarse a las penas que se imponen por la comisión de un ilícito, con los fines, entre otros, de retribuir a la sociedad el perjuicio causado por la conducta que afecta un bien jurídico superior o fundamental para ésta. </w:t>
      </w:r>
    </w:p>
    <w:p w14:paraId="60012E97" w14:textId="77777777" w:rsidR="008D7634" w:rsidRPr="004A4705" w:rsidRDefault="008D7634" w:rsidP="004A4705">
      <w:pPr>
        <w:spacing w:after="0" w:line="240" w:lineRule="auto"/>
        <w:ind w:left="709" w:right="709"/>
        <w:jc w:val="both"/>
        <w:rPr>
          <w:rFonts w:ascii="Verdana" w:eastAsia="Times New Roman" w:hAnsi="Verdana" w:cs="Arial"/>
          <w:color w:val="000000" w:themeColor="text1"/>
          <w:sz w:val="20"/>
          <w:szCs w:val="20"/>
          <w:lang w:eastAsia="es-MX"/>
        </w:rPr>
      </w:pPr>
    </w:p>
    <w:p w14:paraId="28654FDE" w14:textId="77777777" w:rsidR="008D7634" w:rsidRPr="004A4705" w:rsidRDefault="008D7634" w:rsidP="004A4705">
      <w:pPr>
        <w:spacing w:after="0" w:line="240" w:lineRule="auto"/>
        <w:ind w:left="709" w:right="709"/>
        <w:jc w:val="both"/>
        <w:rPr>
          <w:rFonts w:ascii="Verdana" w:eastAsia="Times New Roman" w:hAnsi="Verdana" w:cs="Arial"/>
          <w:color w:val="000000" w:themeColor="text1"/>
          <w:sz w:val="20"/>
          <w:szCs w:val="20"/>
          <w:lang w:eastAsia="es-MX"/>
        </w:rPr>
      </w:pPr>
      <w:r w:rsidRPr="004A4705">
        <w:rPr>
          <w:rFonts w:ascii="Verdana" w:eastAsia="Times New Roman" w:hAnsi="Verdana" w:cs="Arial"/>
          <w:color w:val="000000" w:themeColor="text1"/>
          <w:sz w:val="20"/>
          <w:szCs w:val="20"/>
          <w:lang w:eastAsia="es-MX"/>
        </w:rPr>
        <w:lastRenderedPageBreak/>
        <w:t>Las inhabilidades e incompatibilidades, según los criterios antes expuestos, constituyen prohibiciones que restringen la capacidad y la libertad de un contratista para acceder a la contratación, pero no consagran una modalidad adicional de sanción penal a las previstas en el Código de la materia. </w:t>
      </w:r>
    </w:p>
    <w:p w14:paraId="51B5B889" w14:textId="77777777" w:rsidR="008D7634" w:rsidRPr="004A4705" w:rsidRDefault="008D7634" w:rsidP="004A4705">
      <w:pPr>
        <w:spacing w:after="0" w:line="240" w:lineRule="auto"/>
        <w:ind w:left="709" w:right="709"/>
        <w:jc w:val="both"/>
        <w:rPr>
          <w:rFonts w:ascii="Verdana" w:eastAsia="Times New Roman" w:hAnsi="Verdana" w:cs="Arial"/>
          <w:color w:val="000000" w:themeColor="text1"/>
          <w:sz w:val="20"/>
          <w:szCs w:val="20"/>
          <w:lang w:eastAsia="es-MX"/>
        </w:rPr>
      </w:pPr>
    </w:p>
    <w:p w14:paraId="43754526" w14:textId="77777777" w:rsidR="008D7634" w:rsidRPr="004A4705" w:rsidRDefault="008D7634" w:rsidP="004A4705">
      <w:pPr>
        <w:spacing w:after="0" w:line="240" w:lineRule="auto"/>
        <w:ind w:left="709" w:right="709"/>
        <w:jc w:val="both"/>
        <w:rPr>
          <w:rFonts w:ascii="Verdana" w:eastAsia="Times New Roman" w:hAnsi="Verdana" w:cs="Arial"/>
          <w:color w:val="000000" w:themeColor="text1"/>
          <w:sz w:val="20"/>
          <w:szCs w:val="20"/>
          <w:lang w:eastAsia="es-MX"/>
        </w:rPr>
      </w:pPr>
      <w:r w:rsidRPr="004A4705">
        <w:rPr>
          <w:rFonts w:ascii="Verdana" w:eastAsia="Times New Roman" w:hAnsi="Verdana" w:cs="Arial"/>
          <w:color w:val="000000" w:themeColor="text1"/>
          <w:sz w:val="20"/>
          <w:szCs w:val="20"/>
          <w:lang w:eastAsia="es-MX"/>
        </w:rPr>
        <w:t xml:space="preserve">Cuando se juzga un ilícito no se tienen en cuenta las condiciones o calidades del sujeto imputado para acceder a la contratación pública, sino la antijuricidad del hecho imputado su culpabilidad y la consiguiente responsabilidad, condiciones y calidades que necesariamente se valoran en las operaciones contractuales que realiza el Estado. Por consiguiente, resultan perfectamente diferenciables las sanciones penales de las inhabilidades e incompatibilidades y, en tal virtud, no puede considerarse que la inhabilidad establecida en la ley de contratación implique la existencia de un juzgamiento y de una doble sanción por un mismo hecho. Es más, cuando en un contratista concurre una causal de inhabilidad o incompatibilidad, simplemente se le priva o se le prohíbe el acceso a la contratación, pero no se le juzga penalmente por un hecho ilícito, ni mucho menos se lo sanciona. </w:t>
      </w:r>
    </w:p>
    <w:p w14:paraId="04EA936E" w14:textId="77777777" w:rsidR="008D7634" w:rsidRPr="004A4705" w:rsidRDefault="008D7634" w:rsidP="004A4705">
      <w:pPr>
        <w:spacing w:after="0" w:line="240" w:lineRule="auto"/>
        <w:ind w:left="709" w:right="709"/>
        <w:jc w:val="both"/>
        <w:rPr>
          <w:rFonts w:ascii="Verdana" w:eastAsia="Times New Roman" w:hAnsi="Verdana" w:cs="Arial"/>
          <w:color w:val="000000" w:themeColor="text1"/>
          <w:sz w:val="20"/>
          <w:szCs w:val="20"/>
          <w:lang w:eastAsia="es-MX"/>
        </w:rPr>
      </w:pPr>
    </w:p>
    <w:p w14:paraId="3626A785" w14:textId="7FC75B2E" w:rsidR="008D7634" w:rsidRPr="004A4705" w:rsidRDefault="008D7634" w:rsidP="004A4705">
      <w:pPr>
        <w:spacing w:after="0" w:line="240" w:lineRule="auto"/>
        <w:ind w:left="709" w:right="709"/>
        <w:jc w:val="both"/>
        <w:rPr>
          <w:rFonts w:ascii="Verdana" w:eastAsia="Times New Roman" w:hAnsi="Verdana" w:cs="Arial"/>
          <w:color w:val="000000" w:themeColor="text1"/>
          <w:sz w:val="20"/>
          <w:szCs w:val="20"/>
          <w:lang w:eastAsia="es-MX"/>
        </w:rPr>
      </w:pPr>
      <w:r w:rsidRPr="004A4705">
        <w:rPr>
          <w:rFonts w:ascii="Verdana" w:eastAsia="Times New Roman" w:hAnsi="Verdana" w:cs="Arial"/>
          <w:color w:val="000000" w:themeColor="text1"/>
          <w:sz w:val="20"/>
          <w:szCs w:val="20"/>
          <w:lang w:eastAsia="es-MX"/>
        </w:rPr>
        <w:t xml:space="preserve">[L]a inhabilidad consagrada, se juzga necesaria, conducente y proporcionada a la finalidad que la misma persigue, </w:t>
      </w:r>
      <w:r w:rsidRPr="004A4705">
        <w:rPr>
          <w:rFonts w:ascii="Verdana" w:eastAsia="Times New Roman" w:hAnsi="Verdana" w:cs="Arial"/>
          <w:i/>
          <w:iCs/>
          <w:color w:val="000000" w:themeColor="text1"/>
          <w:sz w:val="20"/>
          <w:szCs w:val="20"/>
          <w:lang w:eastAsia="es-MX"/>
        </w:rPr>
        <w:t>cual es de que no accedan a la contratación, en forma temporal, como colaboradores en la consecución de los fines propios del contrato, quienes hayan cometido delitos que conlleven la pena accesoria de interdicción de derechos y funciones públicas, porque de alguna manera la celebración y ejecución de contratos comporta el desarrollo de actividades anejas al ejercicio de dichas funciones</w:t>
      </w:r>
      <w:r w:rsidR="00360762">
        <w:rPr>
          <w:rFonts w:ascii="Verdana" w:eastAsia="Times New Roman" w:hAnsi="Verdana" w:cs="Arial"/>
          <w:i/>
          <w:iCs/>
          <w:color w:val="000000" w:themeColor="text1"/>
          <w:sz w:val="20"/>
          <w:szCs w:val="20"/>
          <w:lang w:eastAsia="es-MX"/>
        </w:rPr>
        <w:t>”</w:t>
      </w:r>
      <w:r w:rsidRPr="004A4705">
        <w:rPr>
          <w:rFonts w:ascii="Verdana" w:eastAsia="Times New Roman" w:hAnsi="Verdana" w:cs="Arial"/>
          <w:i/>
          <w:iCs/>
          <w:color w:val="000000" w:themeColor="text1"/>
          <w:sz w:val="20"/>
          <w:szCs w:val="20"/>
          <w:lang w:eastAsia="es-MX"/>
        </w:rPr>
        <w:t xml:space="preserve"> </w:t>
      </w:r>
      <w:r w:rsidRPr="004A4705">
        <w:rPr>
          <w:rFonts w:ascii="Verdana" w:eastAsia="Times New Roman" w:hAnsi="Verdana" w:cs="Arial"/>
          <w:color w:val="000000" w:themeColor="text1"/>
          <w:sz w:val="20"/>
          <w:szCs w:val="20"/>
          <w:lang w:eastAsia="es-MX"/>
        </w:rPr>
        <w:t xml:space="preserve"> (Cursivas fuera de texto).</w:t>
      </w:r>
      <w:r w:rsidRPr="004A4705">
        <w:rPr>
          <w:rStyle w:val="Refdenotaalpie"/>
          <w:rFonts w:ascii="Verdana" w:eastAsia="Times New Roman" w:hAnsi="Verdana" w:cs="Arial"/>
          <w:color w:val="000000" w:themeColor="text1"/>
          <w:sz w:val="20"/>
          <w:szCs w:val="20"/>
          <w:lang w:eastAsia="es-MX"/>
        </w:rPr>
        <w:footnoteReference w:id="15"/>
      </w:r>
    </w:p>
    <w:p w14:paraId="03F57AE1" w14:textId="77777777" w:rsidR="008D7634" w:rsidRPr="004A4705" w:rsidRDefault="008D7634" w:rsidP="004A4705">
      <w:pPr>
        <w:spacing w:after="0" w:line="276" w:lineRule="auto"/>
        <w:ind w:left="709" w:right="709"/>
        <w:jc w:val="both"/>
        <w:rPr>
          <w:rFonts w:ascii="Verdana" w:eastAsia="Times New Roman" w:hAnsi="Verdana" w:cs="Arial"/>
          <w:color w:val="000000" w:themeColor="text1"/>
          <w:lang w:eastAsia="es-MX"/>
        </w:rPr>
      </w:pPr>
    </w:p>
    <w:p w14:paraId="7B77A9E1" w14:textId="77777777" w:rsidR="008D7634" w:rsidRDefault="008D7634" w:rsidP="008D7634">
      <w:pPr>
        <w:spacing w:after="120" w:line="276" w:lineRule="auto"/>
        <w:ind w:right="49" w:firstLine="709"/>
        <w:jc w:val="both"/>
        <w:rPr>
          <w:rFonts w:ascii="Arial" w:eastAsia="Times New Roman" w:hAnsi="Arial" w:cs="Arial"/>
          <w:lang w:eastAsia="es-MX"/>
        </w:rPr>
      </w:pPr>
      <w:r w:rsidRPr="004A4705">
        <w:rPr>
          <w:rFonts w:ascii="Verdana" w:eastAsia="Times New Roman" w:hAnsi="Verdana" w:cs="Arial"/>
          <w:lang w:eastAsia="es-MX"/>
        </w:rPr>
        <w:t xml:space="preserve">De lo anterior se podría concluir que, de acuerdo con lo establecido en el literal d) del numeral 1 del artículo 8 de la Ley 80 de 1993, las personas naturales a las que se les haya impuesto una pena accesoria de interdicción de derechos y funciones públicas, al igual que las que hayan sido sancionados disciplinariamente con destitución, </w:t>
      </w:r>
      <w:r w:rsidRPr="004A4705">
        <w:rPr>
          <w:rFonts w:ascii="Verdana" w:hAnsi="Verdana" w:cs="Arial"/>
        </w:rPr>
        <w:t xml:space="preserve">están incursas en la referida causal de inhabilidad, por lo que no pueden contratar con entidades estatales. De esta manera, </w:t>
      </w:r>
      <w:r w:rsidRPr="004A4705">
        <w:rPr>
          <w:rFonts w:ascii="Verdana" w:eastAsia="Times New Roman" w:hAnsi="Verdana" w:cs="Arial"/>
          <w:lang w:eastAsia="es-MX"/>
        </w:rPr>
        <w:t>una vez en firme la providencia que dispone la pena o sanción, la inhabilidad comienza a surtir sus efectos restringiendo de ese momento en adelante la posibilidad de suscribir nuevos contratos o participar en procesos de contratación</w:t>
      </w:r>
      <w:r w:rsidRPr="002C7762">
        <w:rPr>
          <w:rFonts w:ascii="Arial" w:eastAsia="Times New Roman" w:hAnsi="Arial" w:cs="Arial"/>
          <w:lang w:eastAsia="es-MX"/>
        </w:rPr>
        <w:t xml:space="preserve">.  </w:t>
      </w:r>
    </w:p>
    <w:p w14:paraId="3A97AD7A" w14:textId="77777777" w:rsidR="00F15FB3" w:rsidRPr="00610C8B" w:rsidRDefault="00F15FB3" w:rsidP="004A4705">
      <w:pPr>
        <w:spacing w:line="276" w:lineRule="auto"/>
        <w:ind w:firstLine="708"/>
        <w:jc w:val="both"/>
        <w:rPr>
          <w:rFonts w:ascii="Verdana" w:hAnsi="Verdana" w:cs="Arial"/>
          <w:color w:val="000000"/>
        </w:rPr>
      </w:pPr>
      <w:r w:rsidRPr="00610C8B">
        <w:rPr>
          <w:rFonts w:ascii="Verdana" w:eastAsia="Calibri" w:hAnsi="Verdana" w:cs="Arial"/>
          <w:lang w:val="es-ES"/>
        </w:rPr>
        <w:lastRenderedPageBreak/>
        <w:t xml:space="preserve">Ahora bien, con el propósito de resolver el interrogante planteado, resulta importante revisar lo consagrado en el </w:t>
      </w:r>
      <w:r w:rsidRPr="00610C8B">
        <w:rPr>
          <w:rFonts w:ascii="Verdana" w:hAnsi="Verdana" w:cs="Arial"/>
          <w:color w:val="000000"/>
        </w:rPr>
        <w:t>literal j) del numeral 1 del artículo 8 de la Ley 80 de 1993 donde el legislador establece una inhabilidad que, en principio, afecta la capacidad jurídica tanto de personas naturales como de personas jurídicas, pero que, por virtud de los incisos 3 y 5 de la norma en cita, sus efectos se extienden a las sociedades de las que hagan parte dichas personas inhabilitadas solo en la medida en que detenten las calidades, no solo de representantes legales, sino de todas aquellas que señala la norma. En ese orden, resulta pertinente enlistar los sujetos a quienes aplica la inhabilidad contemplada en el literal j), así:</w:t>
      </w:r>
    </w:p>
    <w:p w14:paraId="67E70413" w14:textId="77777777" w:rsidR="00F15FB3" w:rsidRPr="00610C8B" w:rsidRDefault="00F15FB3" w:rsidP="00F15FB3">
      <w:pPr>
        <w:spacing w:line="276" w:lineRule="auto"/>
        <w:jc w:val="both"/>
        <w:rPr>
          <w:rFonts w:ascii="Verdana" w:hAnsi="Verdana" w:cs="Arial"/>
          <w:color w:val="000000"/>
        </w:rPr>
      </w:pPr>
      <w:r w:rsidRPr="00610C8B">
        <w:rPr>
          <w:rFonts w:ascii="Verdana" w:hAnsi="Verdana" w:cs="Arial"/>
          <w:color w:val="000000"/>
        </w:rPr>
        <w:t xml:space="preserve">Inhabilidades aplicables cuando las </w:t>
      </w:r>
      <w:r w:rsidRPr="00610C8B">
        <w:rPr>
          <w:rFonts w:ascii="Verdana" w:hAnsi="Verdana" w:cs="Arial"/>
          <w:b/>
          <w:bCs/>
          <w:color w:val="000000"/>
          <w:u w:val="single"/>
        </w:rPr>
        <w:t>personas naturales</w:t>
      </w:r>
      <w:r w:rsidRPr="00610C8B">
        <w:rPr>
          <w:rFonts w:ascii="Verdana" w:hAnsi="Verdana" w:cs="Arial"/>
          <w:color w:val="000000"/>
        </w:rPr>
        <w:t>:</w:t>
      </w:r>
    </w:p>
    <w:p w14:paraId="2494362E" w14:textId="3B25BFEA" w:rsidR="00F15FB3" w:rsidRPr="00610C8B" w:rsidRDefault="00F15FB3" w:rsidP="00F15FB3">
      <w:pPr>
        <w:pStyle w:val="Prrafodelista"/>
        <w:numPr>
          <w:ilvl w:val="0"/>
          <w:numId w:val="18"/>
        </w:numPr>
        <w:spacing w:line="276" w:lineRule="auto"/>
        <w:jc w:val="both"/>
        <w:rPr>
          <w:rFonts w:ascii="Verdana" w:hAnsi="Verdana" w:cs="Arial"/>
          <w:color w:val="000000"/>
        </w:rPr>
      </w:pPr>
      <w:r w:rsidRPr="00610C8B">
        <w:rPr>
          <w:rFonts w:ascii="Verdana" w:hAnsi="Verdana" w:cs="Arial"/>
          <w:color w:val="000000"/>
        </w:rPr>
        <w:t>Hayan sido declaradas responsables judicialmente por la comisión de delitos contra la Administración pública</w:t>
      </w:r>
      <w:r>
        <w:rPr>
          <w:rFonts w:ascii="Verdana" w:hAnsi="Verdana" w:cs="Arial"/>
          <w:color w:val="000000"/>
        </w:rPr>
        <w:t>.</w:t>
      </w:r>
    </w:p>
    <w:p w14:paraId="64EF3E0D" w14:textId="00A8A2E9" w:rsidR="00F15FB3" w:rsidRPr="00610C8B" w:rsidRDefault="00F15FB3" w:rsidP="00F15FB3">
      <w:pPr>
        <w:pStyle w:val="Prrafodelista"/>
        <w:numPr>
          <w:ilvl w:val="0"/>
          <w:numId w:val="18"/>
        </w:numPr>
        <w:spacing w:line="276" w:lineRule="auto"/>
        <w:jc w:val="both"/>
        <w:rPr>
          <w:rFonts w:ascii="Verdana" w:hAnsi="Verdana" w:cs="Arial"/>
          <w:color w:val="000000"/>
        </w:rPr>
      </w:pPr>
      <w:r w:rsidRPr="00610C8B">
        <w:rPr>
          <w:rFonts w:ascii="Verdana" w:hAnsi="Verdana" w:cs="Arial"/>
          <w:color w:val="000000"/>
        </w:rPr>
        <w:t>Hayan sido declaradas responsables judicialmente por la comisión de</w:t>
      </w:r>
      <w:r w:rsidRPr="00610C8B">
        <w:rPr>
          <w:rFonts w:ascii="Verdana" w:hAnsi="Verdana" w:cs="Arial"/>
          <w:color w:val="000000"/>
          <w:sz w:val="21"/>
          <w:szCs w:val="21"/>
        </w:rPr>
        <w:t xml:space="preserve"> </w:t>
      </w:r>
      <w:r w:rsidRPr="00610C8B">
        <w:rPr>
          <w:rFonts w:ascii="Verdana" w:hAnsi="Verdana" w:cs="Arial"/>
          <w:color w:val="000000"/>
        </w:rPr>
        <w:t>cualquiera de los delitos o faltas contempladas por la Ley 1474 de 2011 y sus normas modificatorias</w:t>
      </w:r>
      <w:r>
        <w:rPr>
          <w:rFonts w:ascii="Verdana" w:hAnsi="Verdana" w:cs="Arial"/>
          <w:color w:val="000000"/>
        </w:rPr>
        <w:t>.</w:t>
      </w:r>
    </w:p>
    <w:p w14:paraId="492C7388" w14:textId="72544872" w:rsidR="00F15FB3" w:rsidRPr="00610C8B" w:rsidRDefault="00F15FB3" w:rsidP="00F15FB3">
      <w:pPr>
        <w:pStyle w:val="Prrafodelista"/>
        <w:numPr>
          <w:ilvl w:val="0"/>
          <w:numId w:val="18"/>
        </w:numPr>
        <w:spacing w:line="276" w:lineRule="auto"/>
        <w:jc w:val="both"/>
        <w:rPr>
          <w:rFonts w:ascii="Verdana" w:hAnsi="Verdana" w:cs="Arial"/>
          <w:color w:val="000000"/>
        </w:rPr>
      </w:pPr>
      <w:r w:rsidRPr="00610C8B">
        <w:rPr>
          <w:rFonts w:ascii="Verdana" w:hAnsi="Verdana" w:cs="Arial"/>
          <w:color w:val="000000"/>
        </w:rPr>
        <w:t>Hayan sido declaradas responsables judicialmente por la comisión de cualquiera de las conductas delictivas contempladas por las convenciones o tratados de lucha contra la corrupción suscritos y ratificados por Colombia</w:t>
      </w:r>
      <w:r>
        <w:rPr>
          <w:rFonts w:ascii="Verdana" w:hAnsi="Verdana" w:cs="Arial"/>
          <w:color w:val="000000"/>
        </w:rPr>
        <w:t>.</w:t>
      </w:r>
    </w:p>
    <w:p w14:paraId="4958F715" w14:textId="77777777" w:rsidR="00F15FB3" w:rsidRPr="00610C8B" w:rsidRDefault="00F15FB3" w:rsidP="00F15FB3">
      <w:pPr>
        <w:spacing w:line="276" w:lineRule="auto"/>
        <w:ind w:firstLine="360"/>
        <w:jc w:val="both"/>
        <w:rPr>
          <w:rFonts w:ascii="Verdana" w:hAnsi="Verdana" w:cs="Arial"/>
          <w:color w:val="000000"/>
        </w:rPr>
      </w:pPr>
      <w:r w:rsidRPr="00610C8B">
        <w:rPr>
          <w:rFonts w:ascii="Verdana" w:hAnsi="Verdana" w:cs="Arial"/>
          <w:color w:val="000000"/>
        </w:rPr>
        <w:t xml:space="preserve">Inhabilidades aplicables cuando las </w:t>
      </w:r>
      <w:r w:rsidRPr="00610C8B">
        <w:rPr>
          <w:rFonts w:ascii="Verdana" w:hAnsi="Verdana" w:cs="Arial"/>
          <w:b/>
          <w:bCs/>
          <w:color w:val="000000"/>
          <w:u w:val="single"/>
        </w:rPr>
        <w:t>personas jurídicas</w:t>
      </w:r>
      <w:r w:rsidRPr="00610C8B">
        <w:rPr>
          <w:rFonts w:ascii="Verdana" w:hAnsi="Verdana" w:cs="Arial"/>
          <w:color w:val="000000"/>
        </w:rPr>
        <w:t>:</w:t>
      </w:r>
    </w:p>
    <w:p w14:paraId="750BAFD3" w14:textId="77777777" w:rsidR="00F15FB3" w:rsidRPr="00610C8B" w:rsidRDefault="00F15FB3" w:rsidP="00F15FB3">
      <w:pPr>
        <w:pStyle w:val="Prrafodelista"/>
        <w:numPr>
          <w:ilvl w:val="0"/>
          <w:numId w:val="19"/>
        </w:numPr>
        <w:spacing w:line="276" w:lineRule="auto"/>
        <w:jc w:val="both"/>
        <w:rPr>
          <w:rFonts w:ascii="Verdana" w:hAnsi="Verdana" w:cs="Arial"/>
          <w:color w:val="000000"/>
        </w:rPr>
      </w:pPr>
      <w:r w:rsidRPr="00610C8B">
        <w:rPr>
          <w:rFonts w:ascii="Verdana" w:hAnsi="Verdana" w:cs="Arial"/>
          <w:color w:val="000000"/>
        </w:rPr>
        <w:t>Hayan sido declaradas responsables administrativamente por la conducta de soborno transnacional</w:t>
      </w:r>
    </w:p>
    <w:p w14:paraId="5C6531A1" w14:textId="77777777" w:rsidR="00F15FB3" w:rsidRPr="00610C8B" w:rsidRDefault="00F15FB3" w:rsidP="00F15FB3">
      <w:pPr>
        <w:pStyle w:val="Prrafodelista"/>
        <w:numPr>
          <w:ilvl w:val="0"/>
          <w:numId w:val="19"/>
        </w:numPr>
        <w:spacing w:line="276" w:lineRule="auto"/>
        <w:jc w:val="both"/>
        <w:rPr>
          <w:rFonts w:ascii="Verdana" w:hAnsi="Verdana" w:cs="Arial"/>
          <w:color w:val="000000"/>
        </w:rPr>
      </w:pPr>
      <w:r w:rsidRPr="00610C8B">
        <w:rPr>
          <w:rFonts w:ascii="Verdana" w:hAnsi="Verdana" w:cs="Arial"/>
          <w:color w:val="000000"/>
        </w:rPr>
        <w:t>O, se les haya ordenado la suspensión de la perso</w:t>
      </w:r>
      <w:r w:rsidRPr="00610C8B">
        <w:rPr>
          <w:rFonts w:ascii="Verdana" w:hAnsi="Verdana" w:cs="Arial"/>
          <w:color w:val="000000"/>
        </w:rPr>
        <w:softHyphen/>
        <w:t>nería jurídica en los términos de ley</w:t>
      </w:r>
    </w:p>
    <w:p w14:paraId="312DD09F" w14:textId="77777777" w:rsidR="00F15FB3" w:rsidRPr="00610C8B" w:rsidRDefault="00F15FB3" w:rsidP="00F15FB3">
      <w:pPr>
        <w:pStyle w:val="Prrafodelista"/>
        <w:numPr>
          <w:ilvl w:val="0"/>
          <w:numId w:val="19"/>
        </w:numPr>
        <w:spacing w:line="276" w:lineRule="auto"/>
        <w:jc w:val="both"/>
        <w:rPr>
          <w:rFonts w:ascii="Verdana" w:hAnsi="Verdana" w:cs="Arial"/>
          <w:color w:val="000000"/>
        </w:rPr>
      </w:pPr>
      <w:r w:rsidRPr="00610C8B">
        <w:rPr>
          <w:rFonts w:ascii="Verdana" w:hAnsi="Verdana" w:cs="Arial"/>
          <w:color w:val="000000"/>
        </w:rPr>
        <w:t>O, sus representantes legales, ad</w:t>
      </w:r>
      <w:r w:rsidRPr="00610C8B">
        <w:rPr>
          <w:rFonts w:ascii="Verdana" w:hAnsi="Verdana" w:cs="Arial"/>
          <w:color w:val="000000"/>
        </w:rPr>
        <w:softHyphen/>
        <w:t xml:space="preserve">ministradores de hecho o de derecho, miembros de junta directiva o </w:t>
      </w:r>
      <w:r w:rsidRPr="00C05BB9">
        <w:rPr>
          <w:rFonts w:ascii="Verdana" w:hAnsi="Verdana" w:cs="Arial"/>
          <w:color w:val="000000"/>
        </w:rPr>
        <w:t>sus socios controlantes, sus matrices, subordinadas</w:t>
      </w:r>
      <w:r w:rsidRPr="00610C8B">
        <w:rPr>
          <w:rFonts w:ascii="Verdana" w:hAnsi="Verdana" w:cs="Arial"/>
          <w:color w:val="000000"/>
        </w:rPr>
        <w:t xml:space="preserve"> y/o las sucursales de sociedades extranjeras, hayan sido beneficiados con la aplicación de un principio de oportunidad por cualquier delito contra la Administración pública o el patrimonio del Estado</w:t>
      </w:r>
    </w:p>
    <w:p w14:paraId="45A92327" w14:textId="77777777" w:rsidR="00F15FB3" w:rsidRPr="00610C8B" w:rsidRDefault="00F15FB3" w:rsidP="00F15FB3">
      <w:pPr>
        <w:spacing w:line="276" w:lineRule="auto"/>
        <w:ind w:firstLine="708"/>
        <w:jc w:val="both"/>
        <w:rPr>
          <w:rFonts w:ascii="Verdana" w:hAnsi="Verdana" w:cs="Arial"/>
          <w:color w:val="000000"/>
        </w:rPr>
      </w:pPr>
      <w:r w:rsidRPr="00610C8B">
        <w:rPr>
          <w:rFonts w:ascii="Verdana" w:hAnsi="Verdana" w:cs="Arial"/>
          <w:color w:val="000000"/>
        </w:rPr>
        <w:t xml:space="preserve">Visto lo anterior, es posible afirmar dos cosas: En primer lugar, para el caso de las inhabilidades dirigidas, en principio, para las </w:t>
      </w:r>
      <w:r w:rsidRPr="00610C8B">
        <w:rPr>
          <w:rFonts w:ascii="Verdana" w:hAnsi="Verdana" w:cs="Arial"/>
          <w:b/>
          <w:bCs/>
          <w:color w:val="000000"/>
        </w:rPr>
        <w:t>personas naturales</w:t>
      </w:r>
      <w:r w:rsidRPr="00610C8B">
        <w:rPr>
          <w:rFonts w:ascii="Verdana" w:hAnsi="Verdana" w:cs="Arial"/>
          <w:color w:val="000000"/>
        </w:rPr>
        <w:t>, que se configuran como consecuencia del resultado de procesos judiciales de responsabilidad penal, disciplinaria y/o fiscal, y las cuales proceden preventivamente</w:t>
      </w:r>
      <w:r w:rsidRPr="00610C8B">
        <w:rPr>
          <w:rFonts w:ascii="Verdana" w:hAnsi="Verdana" w:cs="Arial"/>
          <w:color w:val="000000"/>
          <w:sz w:val="21"/>
          <w:szCs w:val="21"/>
        </w:rPr>
        <w:t xml:space="preserve"> </w:t>
      </w:r>
      <w:r w:rsidRPr="00610C8B">
        <w:rPr>
          <w:rFonts w:ascii="Verdana" w:hAnsi="Verdana" w:cs="Arial"/>
          <w:color w:val="000000"/>
        </w:rPr>
        <w:t xml:space="preserve">aún en los casos en los que esté pendiente la decisión sobre la </w:t>
      </w:r>
      <w:r w:rsidRPr="00610C8B">
        <w:rPr>
          <w:rFonts w:ascii="Verdana" w:hAnsi="Verdana" w:cs="Arial"/>
          <w:color w:val="000000"/>
        </w:rPr>
        <w:lastRenderedPageBreak/>
        <w:t xml:space="preserve">impugnación de la sentencia condenatoria, </w:t>
      </w:r>
      <w:r w:rsidRPr="00C05BB9">
        <w:rPr>
          <w:rFonts w:ascii="Verdana" w:hAnsi="Verdana" w:cs="Arial"/>
          <w:color w:val="000000"/>
        </w:rPr>
        <w:t>sus efectos se extienden a las sociedades de las que hagan parte dichas personas</w:t>
      </w:r>
      <w:r w:rsidRPr="00610C8B">
        <w:rPr>
          <w:rFonts w:ascii="Verdana" w:hAnsi="Verdana" w:cs="Arial"/>
          <w:color w:val="000000"/>
        </w:rPr>
        <w:t xml:space="preserve"> en las siguientes calidades:</w:t>
      </w:r>
    </w:p>
    <w:p w14:paraId="04B65C46" w14:textId="77777777" w:rsidR="00F15FB3" w:rsidRPr="00610C8B" w:rsidRDefault="00F15FB3" w:rsidP="00F15FB3">
      <w:pPr>
        <w:pStyle w:val="Prrafodelista"/>
        <w:numPr>
          <w:ilvl w:val="0"/>
          <w:numId w:val="20"/>
        </w:numPr>
        <w:spacing w:line="276" w:lineRule="auto"/>
        <w:jc w:val="both"/>
        <w:rPr>
          <w:rFonts w:ascii="Verdana" w:hAnsi="Verdana" w:cs="Arial"/>
          <w:color w:val="000000"/>
        </w:rPr>
      </w:pPr>
      <w:r w:rsidRPr="00610C8B">
        <w:rPr>
          <w:rFonts w:ascii="Verdana" w:hAnsi="Verdana" w:cs="Arial"/>
          <w:color w:val="000000"/>
        </w:rPr>
        <w:t xml:space="preserve">administradores, </w:t>
      </w:r>
    </w:p>
    <w:p w14:paraId="62FE9962" w14:textId="77777777" w:rsidR="00F15FB3" w:rsidRPr="00610C8B" w:rsidRDefault="00F15FB3" w:rsidP="00F15FB3">
      <w:pPr>
        <w:pStyle w:val="Prrafodelista"/>
        <w:numPr>
          <w:ilvl w:val="0"/>
          <w:numId w:val="20"/>
        </w:numPr>
        <w:spacing w:line="276" w:lineRule="auto"/>
        <w:jc w:val="both"/>
        <w:rPr>
          <w:rFonts w:ascii="Verdana" w:hAnsi="Verdana" w:cs="Arial"/>
          <w:color w:val="000000"/>
        </w:rPr>
      </w:pPr>
      <w:r w:rsidRPr="00610C8B">
        <w:rPr>
          <w:rFonts w:ascii="Verdana" w:hAnsi="Verdana" w:cs="Arial"/>
          <w:color w:val="000000"/>
        </w:rPr>
        <w:t>represen</w:t>
      </w:r>
      <w:r w:rsidRPr="00610C8B">
        <w:rPr>
          <w:rFonts w:ascii="Verdana" w:hAnsi="Verdana" w:cs="Arial"/>
          <w:color w:val="000000"/>
        </w:rPr>
        <w:softHyphen/>
        <w:t xml:space="preserve">tantes legales, </w:t>
      </w:r>
    </w:p>
    <w:p w14:paraId="5C4F2808" w14:textId="77777777" w:rsidR="00F15FB3" w:rsidRPr="00610C8B" w:rsidRDefault="00F15FB3" w:rsidP="00F15FB3">
      <w:pPr>
        <w:pStyle w:val="Prrafodelista"/>
        <w:numPr>
          <w:ilvl w:val="0"/>
          <w:numId w:val="20"/>
        </w:numPr>
        <w:spacing w:line="276" w:lineRule="auto"/>
        <w:jc w:val="both"/>
        <w:rPr>
          <w:rFonts w:ascii="Verdana" w:hAnsi="Verdana" w:cs="Arial"/>
          <w:color w:val="000000"/>
        </w:rPr>
      </w:pPr>
      <w:r w:rsidRPr="00610C8B">
        <w:rPr>
          <w:rFonts w:ascii="Verdana" w:hAnsi="Verdana" w:cs="Arial"/>
          <w:color w:val="000000"/>
        </w:rPr>
        <w:t xml:space="preserve">miembros de junta directiva </w:t>
      </w:r>
    </w:p>
    <w:p w14:paraId="63BF962B" w14:textId="77777777" w:rsidR="00F15FB3" w:rsidRPr="00610C8B" w:rsidRDefault="00F15FB3" w:rsidP="00F15FB3">
      <w:pPr>
        <w:pStyle w:val="Prrafodelista"/>
        <w:numPr>
          <w:ilvl w:val="0"/>
          <w:numId w:val="20"/>
        </w:numPr>
        <w:spacing w:line="276" w:lineRule="auto"/>
        <w:jc w:val="both"/>
        <w:rPr>
          <w:rFonts w:ascii="Verdana" w:hAnsi="Verdana" w:cs="Arial"/>
          <w:color w:val="000000"/>
        </w:rPr>
      </w:pPr>
      <w:r w:rsidRPr="00C05BB9">
        <w:rPr>
          <w:rFonts w:ascii="Verdana" w:hAnsi="Verdana" w:cs="Arial"/>
          <w:color w:val="000000"/>
        </w:rPr>
        <w:t>socios controlantes</w:t>
      </w:r>
      <w:r w:rsidRPr="00610C8B">
        <w:rPr>
          <w:rFonts w:ascii="Verdana" w:hAnsi="Verdana" w:cs="Arial"/>
          <w:color w:val="000000"/>
        </w:rPr>
        <w:t>, a sus matrices, a sus subordinadas, a los grupos empresariales a los que estas pertenezcan cuando la conducta delictiva haya sido parte de una política del grupo y a las sucursales de sociedades extranjeras, con ex</w:t>
      </w:r>
      <w:r w:rsidRPr="00610C8B">
        <w:rPr>
          <w:rFonts w:ascii="Verdana" w:hAnsi="Verdana" w:cs="Arial"/>
          <w:color w:val="000000"/>
        </w:rPr>
        <w:softHyphen/>
        <w:t xml:space="preserve">cepción de las sociedades anónimas abiertas. </w:t>
      </w:r>
    </w:p>
    <w:p w14:paraId="7D8136AC" w14:textId="77777777" w:rsidR="002E7F40" w:rsidRPr="00CB7835" w:rsidRDefault="002E7F40" w:rsidP="004A4705">
      <w:pPr>
        <w:spacing w:after="0" w:line="276" w:lineRule="auto"/>
        <w:ind w:right="49" w:firstLine="709"/>
        <w:jc w:val="both"/>
        <w:rPr>
          <w:rFonts w:ascii="Verdana" w:hAnsi="Verdana" w:cs="Arial"/>
          <w:color w:val="000000" w:themeColor="text1"/>
          <w:sz w:val="20"/>
          <w:szCs w:val="20"/>
          <w:lang w:val="es-ES_tradnl"/>
        </w:rPr>
      </w:pPr>
      <w:r w:rsidRPr="00CB7835">
        <w:rPr>
          <w:rFonts w:ascii="Verdana" w:hAnsi="Verdana" w:cs="Arial"/>
          <w:color w:val="000000" w:themeColor="text1"/>
        </w:rPr>
        <w:t>Con todo,</w:t>
      </w:r>
      <w:r w:rsidRPr="00CB7835">
        <w:rPr>
          <w:rFonts w:ascii="Verdana" w:hAnsi="Verdana" w:cs="Arial"/>
          <w:color w:val="000000"/>
          <w:shd w:val="clear" w:color="auto" w:fill="FFFFFF"/>
        </w:rPr>
        <w:t xml:space="preserve"> es preciso advertir que, es necesario detenerse a revisar el alcance particular de las condenas respectivas, para establecer si se configura o no alguna de inhabilidad y/o incompatibilidad que impida celebrar contratos con la persona en cuestión. Al tratarse esto de un análisis que se debe realizar en cada caso específico, la Subdirección de Gestión Contractual no puede definir un criterio universal y absoluto para los casos que se subsuman dentro de la hipótesis objeto de consulta, </w:t>
      </w:r>
      <w:r w:rsidRPr="00CB7835">
        <w:rPr>
          <w:rFonts w:ascii="Verdana" w:hAnsi="Verdana" w:cs="Arial"/>
          <w:color w:val="000000" w:themeColor="text1"/>
        </w:rPr>
        <w:t xml:space="preserve">sino que debe brindar las consideraciones jurídicas pertinentes sobre el alcance del marco normativo relevante, para que los partícipes del sistema de compras y contratación pública adopten la decisión que corresponda en el marco de la autonomía que les asiste. </w:t>
      </w:r>
      <w:r w:rsidRPr="00CB7835">
        <w:rPr>
          <w:rFonts w:ascii="Verdana" w:hAnsi="Verdana" w:cs="Arial"/>
          <w:color w:val="000000"/>
          <w:shd w:val="clear" w:color="auto" w:fill="FFFFFF"/>
        </w:rPr>
        <w:t>Por lo anterior, previo concepto de sus órganos asesores, la solución de casos particulares corresponde a la entidad de adoptar la decisión correspondiente y, en caso de conflicto, a las autoridades judiciales, fiscales y disciplinarias.</w:t>
      </w:r>
    </w:p>
    <w:p w14:paraId="611B61D6" w14:textId="77777777" w:rsidR="002E7F40" w:rsidRPr="0072077A" w:rsidRDefault="002E7F40" w:rsidP="004A4705">
      <w:pPr>
        <w:widowControl w:val="0"/>
        <w:autoSpaceDE w:val="0"/>
        <w:autoSpaceDN w:val="0"/>
        <w:spacing w:after="0" w:line="276" w:lineRule="auto"/>
        <w:ind w:firstLine="709"/>
        <w:jc w:val="both"/>
        <w:rPr>
          <w:rFonts w:ascii="Verdana" w:hAnsi="Verdana" w:cs="Arial"/>
        </w:rPr>
      </w:pPr>
    </w:p>
    <w:p w14:paraId="72854A99" w14:textId="77777777" w:rsidR="002E7F40" w:rsidRPr="0072077A" w:rsidRDefault="002E7F40" w:rsidP="002E7F4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2077A">
        <w:rPr>
          <w:rFonts w:ascii="Verdana" w:eastAsia="Century Gothic" w:hAnsi="Verdana" w:cs="Century Gothic"/>
          <w:b/>
          <w:bCs/>
        </w:rPr>
        <w:t>Referencias normativas, jurisprudenciales y otras fuentes:</w:t>
      </w:r>
    </w:p>
    <w:p w14:paraId="7E8BB315" w14:textId="77777777" w:rsidR="002E7F40" w:rsidRPr="0072077A" w:rsidRDefault="002E7F40" w:rsidP="002E7F4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E7F40" w:rsidRPr="0072077A" w14:paraId="224FFF17" w14:textId="77777777" w:rsidTr="00F108B5">
        <w:trPr>
          <w:trHeight w:val="870"/>
        </w:trPr>
        <w:tc>
          <w:tcPr>
            <w:tcW w:w="8647" w:type="dxa"/>
          </w:tcPr>
          <w:p w14:paraId="64C3B7B7" w14:textId="3FB3CC7D" w:rsidR="00D64A20" w:rsidRPr="004A4705" w:rsidRDefault="002E7F40" w:rsidP="004A4705">
            <w:pPr>
              <w:pStyle w:val="Prrafodelista"/>
              <w:numPr>
                <w:ilvl w:val="0"/>
                <w:numId w:val="17"/>
              </w:numPr>
              <w:spacing w:line="276" w:lineRule="auto"/>
              <w:jc w:val="both"/>
              <w:rPr>
                <w:rFonts w:ascii="Verdana" w:hAnsi="Verdana" w:cs="Arial"/>
              </w:rPr>
            </w:pPr>
            <w:r w:rsidRPr="004A4705">
              <w:rPr>
                <w:rFonts w:ascii="Verdana" w:eastAsia="Times New Roman" w:hAnsi="Verdana" w:cs="Arial"/>
                <w:lang w:eastAsia="es-MX"/>
              </w:rPr>
              <w:t>Ley 80 de 1993</w:t>
            </w:r>
            <w:r w:rsidR="00910541">
              <w:rPr>
                <w:rFonts w:ascii="Verdana" w:hAnsi="Verdana" w:cs="Arial"/>
                <w:lang w:eastAsia="es-MX"/>
              </w:rPr>
              <w:t xml:space="preserve">: </w:t>
            </w:r>
            <w:r w:rsidR="00C37C31" w:rsidRPr="00CB7835">
              <w:rPr>
                <w:rFonts w:ascii="Verdana" w:eastAsia="Calibri" w:hAnsi="Verdana" w:cs="Arial"/>
                <w:color w:val="000000" w:themeColor="text1"/>
                <w:lang w:val="es-ES_tradnl"/>
              </w:rPr>
              <w:t>artículo 8</w:t>
            </w:r>
            <w:r w:rsidR="00C37C31">
              <w:rPr>
                <w:rFonts w:ascii="Verdana" w:eastAsia="Calibri" w:hAnsi="Verdana" w:cs="Arial"/>
                <w:color w:val="000000" w:themeColor="text1"/>
                <w:lang w:val="es-ES_tradnl"/>
              </w:rPr>
              <w:t>, numeral 1</w:t>
            </w:r>
            <w:r w:rsidR="00E61583">
              <w:rPr>
                <w:rFonts w:ascii="Verdana" w:eastAsia="Calibri" w:hAnsi="Verdana" w:cs="Arial"/>
                <w:color w:val="000000" w:themeColor="text1"/>
                <w:lang w:val="es-ES_tradnl"/>
              </w:rPr>
              <w:t>, lit</w:t>
            </w:r>
            <w:r w:rsidR="00C37C31" w:rsidRPr="00CB7835">
              <w:rPr>
                <w:rFonts w:ascii="Verdana" w:eastAsia="Calibri" w:hAnsi="Verdana" w:cs="Arial"/>
                <w:color w:val="000000" w:themeColor="text1"/>
                <w:lang w:val="es-ES_tradnl"/>
              </w:rPr>
              <w:t>erales d) y j)</w:t>
            </w:r>
            <w:r w:rsidR="00E61583">
              <w:rPr>
                <w:rFonts w:ascii="Verdana" w:eastAsia="Calibri" w:hAnsi="Verdana" w:cs="Arial"/>
                <w:color w:val="000000" w:themeColor="text1"/>
                <w:lang w:val="es-ES_tradnl"/>
              </w:rPr>
              <w:t>.</w:t>
            </w:r>
          </w:p>
          <w:p w14:paraId="57A71313" w14:textId="184EB268" w:rsidR="00392E24" w:rsidRPr="00DC04B6" w:rsidRDefault="00392E24" w:rsidP="00392E24">
            <w:pPr>
              <w:pStyle w:val="NormalWeb"/>
              <w:numPr>
                <w:ilvl w:val="0"/>
                <w:numId w:val="17"/>
              </w:numPr>
              <w:spacing w:line="276" w:lineRule="auto"/>
              <w:contextualSpacing/>
              <w:jc w:val="both"/>
              <w:rPr>
                <w:rFonts w:ascii="Verdana" w:hAnsi="Verdana" w:cs="Arial"/>
                <w:sz w:val="22"/>
                <w:szCs w:val="22"/>
              </w:rPr>
            </w:pPr>
            <w:r w:rsidRPr="00D64A20">
              <w:rPr>
                <w:rFonts w:ascii="Verdana" w:hAnsi="Verdana" w:cs="Arial"/>
                <w:sz w:val="22"/>
                <w:szCs w:val="22"/>
              </w:rPr>
              <w:t xml:space="preserve">Ley 599 del 2000: </w:t>
            </w:r>
            <w:r w:rsidRPr="004A4705">
              <w:rPr>
                <w:rStyle w:val="Textoennegrita"/>
                <w:rFonts w:ascii="Verdana" w:hAnsi="Verdana" w:cs="Arial"/>
                <w:b w:val="0"/>
                <w:bCs w:val="0"/>
                <w:sz w:val="22"/>
                <w:szCs w:val="22"/>
              </w:rPr>
              <w:t xml:space="preserve">Artículo 44 y </w:t>
            </w:r>
            <w:r w:rsidRPr="00D64A20">
              <w:rPr>
                <w:rFonts w:ascii="Verdana" w:hAnsi="Verdana" w:cs="Arial"/>
                <w:sz w:val="22"/>
                <w:szCs w:val="22"/>
              </w:rPr>
              <w:t xml:space="preserve">52. </w:t>
            </w:r>
          </w:p>
          <w:p w14:paraId="755A5588" w14:textId="7E39F471" w:rsidR="005A79D3" w:rsidRPr="00DC04B6" w:rsidRDefault="00392E24" w:rsidP="00392E24">
            <w:pPr>
              <w:pStyle w:val="NormalWeb"/>
              <w:numPr>
                <w:ilvl w:val="0"/>
                <w:numId w:val="17"/>
              </w:numPr>
              <w:spacing w:line="276" w:lineRule="auto"/>
              <w:contextualSpacing/>
              <w:jc w:val="both"/>
              <w:rPr>
                <w:rFonts w:ascii="Verdana" w:hAnsi="Verdana" w:cs="Arial"/>
                <w:sz w:val="22"/>
                <w:szCs w:val="22"/>
              </w:rPr>
            </w:pPr>
            <w:r w:rsidRPr="00D64A20">
              <w:rPr>
                <w:rFonts w:ascii="Verdana" w:hAnsi="Verdana" w:cs="Arial"/>
                <w:sz w:val="22"/>
                <w:szCs w:val="22"/>
              </w:rPr>
              <w:t xml:space="preserve">Ley 1952 de 2019: Artículo 49. </w:t>
            </w:r>
          </w:p>
          <w:p w14:paraId="20653A51" w14:textId="01780FEC" w:rsidR="004D12B2" w:rsidRPr="00D64A20" w:rsidRDefault="005A79D3" w:rsidP="004A4705">
            <w:pPr>
              <w:pStyle w:val="NormalWeb"/>
              <w:numPr>
                <w:ilvl w:val="0"/>
                <w:numId w:val="17"/>
              </w:numPr>
              <w:spacing w:line="276" w:lineRule="auto"/>
              <w:contextualSpacing/>
              <w:jc w:val="both"/>
              <w:rPr>
                <w:rFonts w:ascii="Verdana" w:hAnsi="Verdana" w:cs="Arial"/>
                <w:sz w:val="22"/>
                <w:szCs w:val="22"/>
                <w:lang w:val="es-ES"/>
              </w:rPr>
            </w:pPr>
            <w:r w:rsidRPr="00D64A20">
              <w:rPr>
                <w:rFonts w:ascii="Verdana" w:hAnsi="Verdana" w:cs="Arial"/>
                <w:sz w:val="22"/>
                <w:szCs w:val="22"/>
                <w:lang w:val="es-ES"/>
              </w:rPr>
              <w:t>CORTE CONSTITUCIONAL</w:t>
            </w:r>
            <w:r w:rsidR="004D12B2" w:rsidRPr="00D64A20">
              <w:rPr>
                <w:rFonts w:ascii="Verdana" w:hAnsi="Verdana" w:cs="Arial"/>
                <w:sz w:val="22"/>
                <w:szCs w:val="22"/>
                <w:lang w:val="es-ES"/>
              </w:rPr>
              <w:t xml:space="preserve">. Sentencia C-489 de 26 de septiembre de 1996. Magistrado Ponente: Antonio Barrera Carbonell. </w:t>
            </w:r>
          </w:p>
          <w:p w14:paraId="19675C7E" w14:textId="6BD08940" w:rsidR="004D12B2" w:rsidRPr="00DC04B6" w:rsidRDefault="004D12B2" w:rsidP="004D12B2">
            <w:pPr>
              <w:pStyle w:val="Textonotapie"/>
              <w:numPr>
                <w:ilvl w:val="0"/>
                <w:numId w:val="17"/>
              </w:numPr>
              <w:spacing w:line="276" w:lineRule="auto"/>
              <w:contextualSpacing/>
              <w:jc w:val="both"/>
              <w:rPr>
                <w:rFonts w:ascii="Verdana" w:hAnsi="Verdana" w:cs="Arial"/>
                <w:color w:val="000000" w:themeColor="text1"/>
                <w:sz w:val="22"/>
                <w:szCs w:val="22"/>
                <w:lang w:val="es-ES"/>
              </w:rPr>
            </w:pPr>
            <w:r w:rsidRPr="00D64A20">
              <w:rPr>
                <w:rFonts w:ascii="Verdana" w:hAnsi="Verdana" w:cs="Arial"/>
                <w:color w:val="000000" w:themeColor="text1"/>
                <w:sz w:val="22"/>
                <w:szCs w:val="22"/>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2D53FD48" w14:textId="77777777" w:rsidR="004D12B2" w:rsidRPr="00D64A20" w:rsidRDefault="004D12B2" w:rsidP="004A4705">
            <w:pPr>
              <w:pStyle w:val="Textonotapie"/>
              <w:numPr>
                <w:ilvl w:val="0"/>
                <w:numId w:val="17"/>
              </w:numPr>
              <w:spacing w:line="276" w:lineRule="auto"/>
              <w:contextualSpacing/>
              <w:jc w:val="both"/>
              <w:rPr>
                <w:rFonts w:ascii="Verdana" w:hAnsi="Verdana" w:cs="Arial"/>
                <w:color w:val="000000" w:themeColor="text1"/>
                <w:sz w:val="22"/>
                <w:szCs w:val="22"/>
                <w:lang w:val="es-ES"/>
              </w:rPr>
            </w:pPr>
            <w:r w:rsidRPr="00D64A20">
              <w:rPr>
                <w:rFonts w:ascii="Verdana" w:hAnsi="Verdana" w:cs="Arial"/>
                <w:color w:val="000000" w:themeColor="text1"/>
                <w:sz w:val="22"/>
                <w:szCs w:val="22"/>
              </w:rPr>
              <w:lastRenderedPageBreak/>
              <w:t xml:space="preserve">CONSEJO DE ESTADO. Sección Tercera. Subsección C. Sentencia del 22 de mayo de 2013. </w:t>
            </w:r>
            <w:proofErr w:type="spellStart"/>
            <w:r w:rsidRPr="00D64A20">
              <w:rPr>
                <w:rFonts w:ascii="Verdana" w:hAnsi="Verdana" w:cs="Arial"/>
                <w:color w:val="000000" w:themeColor="text1"/>
                <w:sz w:val="22"/>
                <w:szCs w:val="22"/>
              </w:rPr>
              <w:t>Exp</w:t>
            </w:r>
            <w:proofErr w:type="spellEnd"/>
            <w:r w:rsidRPr="00D64A20">
              <w:rPr>
                <w:rFonts w:ascii="Verdana" w:hAnsi="Verdana" w:cs="Arial"/>
                <w:color w:val="000000" w:themeColor="text1"/>
                <w:sz w:val="22"/>
                <w:szCs w:val="22"/>
              </w:rPr>
              <w:t xml:space="preserve">. 24.057. Consejera Ponente: Olga </w:t>
            </w:r>
            <w:proofErr w:type="spellStart"/>
            <w:r w:rsidRPr="00D64A20">
              <w:rPr>
                <w:rFonts w:ascii="Verdana" w:hAnsi="Verdana" w:cs="Arial"/>
                <w:color w:val="000000" w:themeColor="text1"/>
                <w:sz w:val="22"/>
                <w:szCs w:val="22"/>
              </w:rPr>
              <w:t>Melida</w:t>
            </w:r>
            <w:proofErr w:type="spellEnd"/>
            <w:r w:rsidRPr="00D64A20">
              <w:rPr>
                <w:rFonts w:ascii="Verdana" w:hAnsi="Verdana" w:cs="Arial"/>
                <w:color w:val="000000" w:themeColor="text1"/>
                <w:sz w:val="22"/>
                <w:szCs w:val="22"/>
              </w:rPr>
              <w:t xml:space="preserve"> Valle De La Hoz.</w:t>
            </w:r>
          </w:p>
          <w:p w14:paraId="4BE1DBEB" w14:textId="285E8DD8" w:rsidR="004D12B2" w:rsidRPr="00DC04B6" w:rsidRDefault="004D12B2" w:rsidP="004D12B2">
            <w:pPr>
              <w:pStyle w:val="Textonotapie"/>
              <w:numPr>
                <w:ilvl w:val="0"/>
                <w:numId w:val="17"/>
              </w:numPr>
              <w:spacing w:line="276" w:lineRule="auto"/>
              <w:contextualSpacing/>
              <w:jc w:val="both"/>
              <w:rPr>
                <w:rFonts w:ascii="Verdana" w:hAnsi="Verdana" w:cs="Arial"/>
                <w:color w:val="000000" w:themeColor="text1"/>
                <w:sz w:val="22"/>
                <w:szCs w:val="22"/>
                <w:lang w:val="es-ES"/>
              </w:rPr>
            </w:pPr>
            <w:r w:rsidRPr="00D64A20">
              <w:rPr>
                <w:rFonts w:ascii="Verdana" w:hAnsi="Verdana" w:cs="Arial"/>
                <w:color w:val="000000" w:themeColor="text1"/>
                <w:sz w:val="22"/>
                <w:szCs w:val="22"/>
                <w:lang w:val="es-ES"/>
              </w:rPr>
              <w:t xml:space="preserve">CONSEJO DE ESTADO. Sala de Consulta y Servicio Civil. Concepto del 30 de abril de 2015. Expediente: 2251. Consejero Ponente: Álvaro </w:t>
            </w:r>
            <w:proofErr w:type="spellStart"/>
            <w:r w:rsidRPr="00D64A20">
              <w:rPr>
                <w:rFonts w:ascii="Verdana" w:hAnsi="Verdana" w:cs="Arial"/>
                <w:color w:val="000000" w:themeColor="text1"/>
                <w:sz w:val="22"/>
                <w:szCs w:val="22"/>
                <w:lang w:val="es-ES"/>
              </w:rPr>
              <w:t>Namén</w:t>
            </w:r>
            <w:proofErr w:type="spellEnd"/>
            <w:r w:rsidRPr="00D64A20">
              <w:rPr>
                <w:rFonts w:ascii="Verdana" w:hAnsi="Verdana" w:cs="Arial"/>
                <w:color w:val="000000" w:themeColor="text1"/>
                <w:sz w:val="22"/>
                <w:szCs w:val="22"/>
                <w:lang w:val="es-ES"/>
              </w:rPr>
              <w:t xml:space="preserve"> Vargas.</w:t>
            </w:r>
          </w:p>
          <w:p w14:paraId="274F2520" w14:textId="5CCED405" w:rsidR="002E7F40" w:rsidRPr="00910541" w:rsidRDefault="004D12B2" w:rsidP="00DC04B6">
            <w:pPr>
              <w:pStyle w:val="Textonotapie"/>
              <w:numPr>
                <w:ilvl w:val="0"/>
                <w:numId w:val="17"/>
              </w:numPr>
            </w:pPr>
            <w:r w:rsidRPr="00DC04B6">
              <w:rPr>
                <w:rFonts w:ascii="Verdana" w:hAnsi="Verdana" w:cs="Arial"/>
                <w:color w:val="000000" w:themeColor="text1"/>
                <w:sz w:val="22"/>
                <w:szCs w:val="22"/>
              </w:rPr>
              <w:t xml:space="preserve">CONSEJO DE ESTADO. Sección Tercera. Subsección A. Sentencia del 24 de junio de 2015. </w:t>
            </w:r>
            <w:proofErr w:type="spellStart"/>
            <w:r w:rsidRPr="00DC04B6">
              <w:rPr>
                <w:rFonts w:ascii="Verdana" w:hAnsi="Verdana" w:cs="Arial"/>
                <w:color w:val="000000" w:themeColor="text1"/>
                <w:sz w:val="22"/>
                <w:szCs w:val="22"/>
              </w:rPr>
              <w:t>Exp</w:t>
            </w:r>
            <w:proofErr w:type="spellEnd"/>
            <w:r w:rsidRPr="00DC04B6">
              <w:rPr>
                <w:rFonts w:ascii="Verdana" w:hAnsi="Verdana" w:cs="Arial"/>
                <w:color w:val="000000" w:themeColor="text1"/>
                <w:sz w:val="22"/>
                <w:szCs w:val="22"/>
              </w:rPr>
              <w:t>. 40.635. Consejero Ponente: Hernán Andrade Rincón (E)</w:t>
            </w:r>
          </w:p>
        </w:tc>
      </w:tr>
    </w:tbl>
    <w:p w14:paraId="1743FD6C" w14:textId="77777777" w:rsidR="002E7F40" w:rsidRPr="0072077A" w:rsidRDefault="002E7F40" w:rsidP="002E7F40">
      <w:pPr>
        <w:widowControl w:val="0"/>
        <w:autoSpaceDE w:val="0"/>
        <w:autoSpaceDN w:val="0"/>
        <w:spacing w:after="0" w:line="276" w:lineRule="auto"/>
        <w:jc w:val="both"/>
        <w:rPr>
          <w:rFonts w:ascii="Verdana" w:hAnsi="Verdana" w:cs="Arial"/>
        </w:rPr>
      </w:pPr>
    </w:p>
    <w:p w14:paraId="265DE4BD" w14:textId="77777777" w:rsidR="002E7F40" w:rsidRPr="0072077A" w:rsidRDefault="002E7F40" w:rsidP="002E7F4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2077A">
        <w:rPr>
          <w:rFonts w:ascii="Verdana" w:eastAsia="Century Gothic" w:hAnsi="Verdana" w:cs="Century Gothic"/>
          <w:b/>
          <w:bCs/>
        </w:rPr>
        <w:t>Doctrina de la Agencia Nacional de Contratación Pública:</w:t>
      </w:r>
    </w:p>
    <w:p w14:paraId="7B1CEB97" w14:textId="77777777" w:rsidR="002E7F40" w:rsidRPr="0072077A" w:rsidRDefault="002E7F40" w:rsidP="002E7F40">
      <w:pPr>
        <w:widowControl w:val="0"/>
        <w:autoSpaceDE w:val="0"/>
        <w:autoSpaceDN w:val="0"/>
        <w:spacing w:after="0" w:line="276" w:lineRule="auto"/>
        <w:jc w:val="both"/>
        <w:rPr>
          <w:rFonts w:ascii="Verdana" w:hAnsi="Verdana" w:cs="Arial"/>
        </w:rPr>
      </w:pPr>
    </w:p>
    <w:p w14:paraId="1F870442" w14:textId="77777777" w:rsidR="002E7F40" w:rsidRDefault="002E7F40" w:rsidP="002E7F40">
      <w:pPr>
        <w:widowControl w:val="0"/>
        <w:autoSpaceDE w:val="0"/>
        <w:autoSpaceDN w:val="0"/>
        <w:spacing w:after="0" w:line="276" w:lineRule="auto"/>
        <w:jc w:val="both"/>
        <w:rPr>
          <w:rFonts w:ascii="Verdana" w:hAnsi="Verdana" w:cs="Arial"/>
          <w:shd w:val="clear" w:color="auto" w:fill="FFFFFF"/>
        </w:rPr>
      </w:pPr>
      <w:r w:rsidRPr="0072077A">
        <w:rPr>
          <w:rFonts w:ascii="Verdana" w:eastAsia="Calibri" w:hAnsi="Verdana" w:cs="Arial"/>
          <w:lang w:val="es-ES_tradnl" w:eastAsia="es-ES_tradnl"/>
        </w:rPr>
        <w:t>Sobre el régimen de inhabilidades e incompatibilidades se pronunció esta Subdirección en los conceptos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20211, entre otros</w:t>
      </w:r>
      <w:r>
        <w:rPr>
          <w:rFonts w:ascii="Verdana" w:eastAsia="Calibri" w:hAnsi="Verdana" w:cs="Arial"/>
          <w:lang w:val="es-ES_tradnl" w:eastAsia="es-ES_tradnl"/>
        </w:rPr>
        <w:t>.</w:t>
      </w:r>
      <w:r w:rsidRPr="0023510A">
        <w:rPr>
          <w:rFonts w:ascii="Verdana" w:hAnsi="Verdana" w:cs="Arial"/>
          <w:shd w:val="clear" w:color="auto" w:fill="FFFFFF"/>
        </w:rPr>
        <w:t xml:space="preserve"> </w:t>
      </w:r>
      <w:r w:rsidRPr="00C02094">
        <w:rPr>
          <w:rFonts w:ascii="Verdana" w:hAnsi="Verdana" w:cs="Arial"/>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ooltip="Dirección URL original: https://relatoria.colombiacompra.gov.co/. Haga clic o pulse si confía en este vínculo." w:history="1">
        <w:r w:rsidRPr="00C02094">
          <w:rPr>
            <w:rStyle w:val="Hipervnculo"/>
            <w:rFonts w:ascii="Verdana" w:hAnsi="Verdana" w:cs="Arial"/>
            <w:shd w:val="clear" w:color="auto" w:fill="FFFFFF"/>
          </w:rPr>
          <w:t>https://relatoria.colombiacompra.gov.co/</w:t>
        </w:r>
      </w:hyperlink>
      <w:r w:rsidRPr="00C02094">
        <w:rPr>
          <w:rFonts w:ascii="Verdana" w:hAnsi="Verdana" w:cs="Arial"/>
          <w:shd w:val="clear" w:color="auto" w:fill="FFFFFF"/>
        </w:rPr>
        <w:t xml:space="preserve">  </w:t>
      </w:r>
    </w:p>
    <w:p w14:paraId="19BB09F5" w14:textId="77777777" w:rsidR="002E7F40" w:rsidRPr="00505CD6" w:rsidRDefault="002E7F40" w:rsidP="002E7F40">
      <w:pPr>
        <w:widowControl w:val="0"/>
        <w:autoSpaceDE w:val="0"/>
        <w:autoSpaceDN w:val="0"/>
        <w:spacing w:after="0" w:line="276" w:lineRule="auto"/>
        <w:jc w:val="both"/>
        <w:rPr>
          <w:rFonts w:ascii="Verdana" w:hAnsi="Verdana" w:cs="Arial"/>
          <w:color w:val="000000" w:themeColor="text1"/>
          <w:shd w:val="clear" w:color="auto" w:fill="FFFFFF"/>
        </w:rPr>
      </w:pPr>
    </w:p>
    <w:p w14:paraId="3779B566" w14:textId="77777777" w:rsidR="002E7F40" w:rsidRPr="00363352" w:rsidRDefault="002E7F40" w:rsidP="002E7F40">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xml:space="preserve">. Esta guía es un instrumento clave para integrar buenas prácticas en la contratación estatal, promoviendo los Objetivos de Desarrollo Sostenible (ODS) a través de criterios y obligaciones </w:t>
      </w:r>
      <w:r w:rsidRPr="00505CD6">
        <w:rPr>
          <w:rFonts w:ascii="Verdana" w:hAnsi="Verdana" w:cs="Arial"/>
          <w:color w:val="000000" w:themeColor="text1"/>
          <w:shd w:val="clear" w:color="auto" w:fill="FFFFFF"/>
        </w:rPr>
        <w:lastRenderedPageBreak/>
        <w:t>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363352">
        <w:rPr>
          <w:rFonts w:ascii="Verdana" w:hAnsi="Verdana"/>
        </w:rPr>
        <w:t>.</w:t>
      </w:r>
    </w:p>
    <w:p w14:paraId="5330E923" w14:textId="77777777" w:rsidR="002E7F40" w:rsidRPr="00363352" w:rsidRDefault="002E7F40" w:rsidP="002E7F40">
      <w:pPr>
        <w:widowControl w:val="0"/>
        <w:autoSpaceDE w:val="0"/>
        <w:autoSpaceDN w:val="0"/>
        <w:spacing w:after="0" w:line="276" w:lineRule="auto"/>
        <w:jc w:val="both"/>
        <w:rPr>
          <w:rFonts w:ascii="Verdana" w:hAnsi="Verdana"/>
        </w:rPr>
      </w:pPr>
    </w:p>
    <w:p w14:paraId="166CD0D0" w14:textId="77777777" w:rsidR="002E7F40" w:rsidRPr="00505CD6" w:rsidRDefault="002E7F40" w:rsidP="002E7F40">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7938105" w14:textId="77777777" w:rsidR="002E7F40" w:rsidRDefault="002E7F40" w:rsidP="002E7F40">
      <w:pPr>
        <w:spacing w:after="0" w:line="276" w:lineRule="auto"/>
        <w:rPr>
          <w:rFonts w:ascii="Verdana" w:eastAsia="Times New Roman" w:hAnsi="Verdana" w:cs="Arial"/>
          <w:lang w:eastAsia="es-CO"/>
        </w:rPr>
      </w:pPr>
    </w:p>
    <w:p w14:paraId="20C98545" w14:textId="77777777" w:rsidR="002E7F40" w:rsidRDefault="002E7F40" w:rsidP="002E7F40">
      <w:pPr>
        <w:spacing w:after="0" w:line="276" w:lineRule="auto"/>
        <w:rPr>
          <w:rFonts w:ascii="Verdana" w:hAnsi="Verdana"/>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E0A637B" w14:textId="51C43F7F" w:rsidR="002E7F40" w:rsidRPr="00960F72" w:rsidRDefault="0006598F" w:rsidP="002E7F40">
      <w:pPr>
        <w:spacing w:line="276" w:lineRule="auto"/>
        <w:jc w:val="center"/>
        <w:rPr>
          <w:rFonts w:ascii="Verdana" w:hAnsi="Verdana"/>
        </w:rPr>
      </w:pPr>
      <w:r>
        <w:rPr>
          <w:rFonts w:ascii="Verdana" w:hAnsi="Verdana"/>
          <w:noProof/>
        </w:rPr>
        <w:drawing>
          <wp:inline distT="0" distB="0" distL="0" distR="0" wp14:anchorId="70C4BCF5" wp14:editId="60A841BD">
            <wp:extent cx="3639058" cy="1343212"/>
            <wp:effectExtent l="0" t="0" r="0" b="0"/>
            <wp:docPr id="177078738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787389"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E7F40" w:rsidRPr="00960F72" w14:paraId="1F17254B" w14:textId="77777777" w:rsidTr="00F108B5">
        <w:trPr>
          <w:trHeight w:val="315"/>
        </w:trPr>
        <w:tc>
          <w:tcPr>
            <w:tcW w:w="893" w:type="dxa"/>
            <w:vAlign w:val="center"/>
            <w:hideMark/>
          </w:tcPr>
          <w:p w14:paraId="1F976776" w14:textId="77777777" w:rsidR="002E7F40" w:rsidRPr="00960F72" w:rsidRDefault="002E7F40" w:rsidP="00F108B5">
            <w:pPr>
              <w:contextualSpacing/>
              <w:rPr>
                <w:rFonts w:ascii="Verdana" w:hAnsi="Verdana" w:cs="Arial"/>
                <w:sz w:val="16"/>
                <w:szCs w:val="16"/>
                <w:lang w:eastAsia="es-ES"/>
              </w:rPr>
            </w:pPr>
            <w:r w:rsidRPr="00960F72">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E68E46D" w14:textId="77777777" w:rsidR="002E7F40" w:rsidRPr="00960F72" w:rsidRDefault="002E7F40" w:rsidP="00F108B5">
            <w:pPr>
              <w:contextualSpacing/>
              <w:rPr>
                <w:rFonts w:ascii="Verdana" w:hAnsi="Verdana"/>
                <w:sz w:val="16"/>
                <w:szCs w:val="16"/>
              </w:rPr>
            </w:pPr>
            <w:r w:rsidRPr="00960F72">
              <w:rPr>
                <w:rFonts w:ascii="Verdana" w:hAnsi="Verdana"/>
                <w:sz w:val="16"/>
                <w:szCs w:val="16"/>
              </w:rPr>
              <w:t>Gloria Elizabeth Arango Builes</w:t>
            </w:r>
          </w:p>
          <w:p w14:paraId="690FD2CE" w14:textId="77777777" w:rsidR="002E7F40" w:rsidRPr="00960F72" w:rsidRDefault="002E7F40" w:rsidP="00F108B5">
            <w:pPr>
              <w:contextualSpacing/>
              <w:rPr>
                <w:rFonts w:ascii="Verdana" w:eastAsia="Arial" w:hAnsi="Verdana" w:cs="Arial"/>
                <w:sz w:val="16"/>
                <w:szCs w:val="16"/>
              </w:rPr>
            </w:pPr>
            <w:r w:rsidRPr="00960F72">
              <w:rPr>
                <w:rFonts w:ascii="Verdana" w:hAnsi="Verdana"/>
                <w:sz w:val="16"/>
                <w:szCs w:val="16"/>
              </w:rPr>
              <w:t>Contratista de la Subdirección de Gestión Contractual</w:t>
            </w:r>
          </w:p>
        </w:tc>
      </w:tr>
      <w:tr w:rsidR="002E7F40" w:rsidRPr="00960F72" w14:paraId="1E95C56A" w14:textId="77777777" w:rsidTr="00F108B5">
        <w:trPr>
          <w:trHeight w:val="330"/>
        </w:trPr>
        <w:tc>
          <w:tcPr>
            <w:tcW w:w="893" w:type="dxa"/>
            <w:vAlign w:val="center"/>
            <w:hideMark/>
          </w:tcPr>
          <w:p w14:paraId="55FE7CC5" w14:textId="77777777" w:rsidR="002E7F40" w:rsidRPr="00960F72" w:rsidRDefault="002E7F40" w:rsidP="00F108B5">
            <w:pPr>
              <w:contextualSpacing/>
              <w:rPr>
                <w:rFonts w:ascii="Verdana" w:hAnsi="Verdana" w:cs="Arial"/>
                <w:sz w:val="16"/>
                <w:szCs w:val="16"/>
                <w:lang w:eastAsia="es-ES"/>
              </w:rPr>
            </w:pPr>
            <w:r w:rsidRPr="00960F7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F057932" w14:textId="77777777" w:rsidR="002E7F40" w:rsidRPr="00960F72" w:rsidRDefault="002E7F40" w:rsidP="00F108B5">
            <w:pPr>
              <w:spacing w:line="276" w:lineRule="auto"/>
              <w:contextualSpacing/>
              <w:jc w:val="both"/>
              <w:rPr>
                <w:rFonts w:ascii="Verdana" w:hAnsi="Verdana"/>
                <w:sz w:val="16"/>
                <w:szCs w:val="16"/>
              </w:rPr>
            </w:pPr>
            <w:r w:rsidRPr="00960F72">
              <w:rPr>
                <w:rFonts w:ascii="Verdana" w:hAnsi="Verdana"/>
                <w:sz w:val="16"/>
                <w:szCs w:val="16"/>
              </w:rPr>
              <w:t>Diana Lucía Saavedra Castañeda</w:t>
            </w:r>
          </w:p>
          <w:p w14:paraId="30072EA9" w14:textId="77777777" w:rsidR="002E7F40" w:rsidRPr="00960F72" w:rsidRDefault="002E7F40" w:rsidP="00F108B5">
            <w:pPr>
              <w:spacing w:line="276" w:lineRule="auto"/>
              <w:contextualSpacing/>
              <w:jc w:val="both"/>
              <w:rPr>
                <w:rFonts w:ascii="Verdana" w:hAnsi="Verdana" w:cstheme="minorHAnsi"/>
                <w:sz w:val="16"/>
                <w:szCs w:val="16"/>
              </w:rPr>
            </w:pPr>
            <w:r w:rsidRPr="00960F72">
              <w:rPr>
                <w:rStyle w:val="normaltextrun"/>
                <w:rFonts w:ascii="Verdana" w:eastAsia="Arial" w:hAnsi="Verdana"/>
                <w:sz w:val="16"/>
                <w:szCs w:val="16"/>
              </w:rPr>
              <w:t>Contratita de la</w:t>
            </w:r>
            <w:r w:rsidRPr="00960F72">
              <w:rPr>
                <w:rStyle w:val="normaltextrun"/>
                <w:rFonts w:ascii="Verdana" w:eastAsia="Arial" w:hAnsi="Verdana" w:cs="Arial"/>
                <w:sz w:val="16"/>
                <w:szCs w:val="16"/>
              </w:rPr>
              <w:t xml:space="preserve"> Subdirección de Gestión Contractual</w:t>
            </w:r>
          </w:p>
        </w:tc>
      </w:tr>
      <w:tr w:rsidR="002E7F40" w:rsidRPr="00960F72" w14:paraId="3E9401B1" w14:textId="77777777" w:rsidTr="00F108B5">
        <w:trPr>
          <w:trHeight w:val="330"/>
        </w:trPr>
        <w:tc>
          <w:tcPr>
            <w:tcW w:w="893" w:type="dxa"/>
            <w:vAlign w:val="center"/>
          </w:tcPr>
          <w:p w14:paraId="72C339F0" w14:textId="77777777" w:rsidR="002E7F40" w:rsidRPr="00960F72" w:rsidRDefault="002E7F40" w:rsidP="00F108B5">
            <w:pPr>
              <w:contextualSpacing/>
              <w:rPr>
                <w:rFonts w:ascii="Verdana" w:hAnsi="Verdana" w:cs="Arial"/>
                <w:sz w:val="16"/>
                <w:szCs w:val="16"/>
                <w:lang w:eastAsia="es-ES"/>
              </w:rPr>
            </w:pPr>
            <w:r w:rsidRPr="00960F7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692A280" w14:textId="77777777" w:rsidR="002E7F40" w:rsidRPr="00960F72" w:rsidRDefault="002E7F40" w:rsidP="00F108B5">
            <w:pPr>
              <w:contextualSpacing/>
              <w:rPr>
                <w:rFonts w:ascii="Verdana" w:eastAsia="Calibri" w:hAnsi="Verdana" w:cs="Arial"/>
                <w:sz w:val="16"/>
                <w:szCs w:val="16"/>
                <w:lang w:eastAsia="es-ES"/>
              </w:rPr>
            </w:pPr>
            <w:r w:rsidRPr="00960F72">
              <w:rPr>
                <w:rFonts w:ascii="Verdana" w:eastAsia="Calibri" w:hAnsi="Verdana" w:cs="Arial"/>
                <w:sz w:val="16"/>
                <w:szCs w:val="16"/>
                <w:lang w:eastAsia="es-ES"/>
              </w:rPr>
              <w:t xml:space="preserve">Carolina Quintero </w:t>
            </w:r>
            <w:proofErr w:type="spellStart"/>
            <w:r w:rsidRPr="00960F72">
              <w:rPr>
                <w:rFonts w:ascii="Verdana" w:eastAsia="Calibri" w:hAnsi="Verdana" w:cs="Arial"/>
                <w:sz w:val="16"/>
                <w:szCs w:val="16"/>
                <w:lang w:eastAsia="es-ES"/>
              </w:rPr>
              <w:t>Gacharná</w:t>
            </w:r>
            <w:proofErr w:type="spellEnd"/>
          </w:p>
          <w:p w14:paraId="0270DB26" w14:textId="77777777" w:rsidR="002E7F40" w:rsidRPr="00960F72" w:rsidRDefault="002E7F40" w:rsidP="00F108B5">
            <w:pPr>
              <w:spacing w:line="276" w:lineRule="auto"/>
              <w:contextualSpacing/>
              <w:jc w:val="both"/>
              <w:rPr>
                <w:rFonts w:ascii="Verdana" w:hAnsi="Verdana"/>
                <w:sz w:val="16"/>
                <w:szCs w:val="16"/>
              </w:rPr>
            </w:pPr>
            <w:r w:rsidRPr="00960F72">
              <w:rPr>
                <w:rFonts w:ascii="Verdana" w:eastAsia="Calibri" w:hAnsi="Verdana" w:cs="Arial"/>
                <w:sz w:val="16"/>
                <w:szCs w:val="16"/>
                <w:lang w:eastAsia="es-ES"/>
              </w:rPr>
              <w:t xml:space="preserve">Subdirectora de Gestión </w:t>
            </w:r>
            <w:proofErr w:type="spellStart"/>
            <w:r w:rsidRPr="00960F72">
              <w:rPr>
                <w:rFonts w:ascii="Verdana" w:eastAsia="Calibri" w:hAnsi="Verdana" w:cs="Arial"/>
                <w:sz w:val="16"/>
                <w:szCs w:val="16"/>
                <w:lang w:eastAsia="es-ES"/>
              </w:rPr>
              <w:t>Contratual</w:t>
            </w:r>
            <w:proofErr w:type="spellEnd"/>
            <w:r w:rsidRPr="00960F72">
              <w:rPr>
                <w:rFonts w:ascii="Verdana" w:eastAsia="Calibri" w:hAnsi="Verdana" w:cs="Arial"/>
                <w:sz w:val="16"/>
                <w:szCs w:val="16"/>
                <w:lang w:eastAsia="es-ES"/>
              </w:rPr>
              <w:t xml:space="preserve"> - ANCP – CCE</w:t>
            </w:r>
          </w:p>
        </w:tc>
      </w:tr>
    </w:tbl>
    <w:p w14:paraId="4F11C8AE" w14:textId="77777777" w:rsidR="002E7F40" w:rsidRPr="00960F72" w:rsidRDefault="002E7F40" w:rsidP="002E7F40"/>
    <w:p w14:paraId="784CA2D5" w14:textId="77777777" w:rsidR="002E7F40" w:rsidRPr="00960F72" w:rsidRDefault="002E7F40" w:rsidP="002E7F40"/>
    <w:p w14:paraId="2F0FCD9A" w14:textId="77777777" w:rsidR="002E7F40" w:rsidRPr="00960F72" w:rsidRDefault="002E7F40" w:rsidP="002E7F40"/>
    <w:p w14:paraId="0C4F491E" w14:textId="77777777" w:rsidR="002E7F40" w:rsidRPr="00960F72" w:rsidRDefault="002E7F40" w:rsidP="002E7F40"/>
    <w:p w14:paraId="58B4B1E7" w14:textId="77777777" w:rsidR="002E7F40" w:rsidRPr="00960F72" w:rsidRDefault="002E7F40" w:rsidP="002E7F40"/>
    <w:p w14:paraId="2719D8FD" w14:textId="77777777" w:rsidR="002E7F40" w:rsidRPr="003B6CA8" w:rsidRDefault="002E7F40" w:rsidP="002E7F40"/>
    <w:p w14:paraId="25A6353B" w14:textId="77777777" w:rsidR="002E7F40" w:rsidRPr="00B2454C" w:rsidRDefault="002E7F40" w:rsidP="002E7F40"/>
    <w:p w14:paraId="7454F1AC" w14:textId="77777777" w:rsidR="002E7F40" w:rsidRPr="00E4193C" w:rsidRDefault="002E7F40" w:rsidP="002E7F40"/>
    <w:sectPr w:rsidR="002E7F40" w:rsidRPr="00E4193C"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899141" w14:textId="77777777" w:rsidR="00E66C3B" w:rsidRDefault="00E66C3B" w:rsidP="004A1847">
      <w:pPr>
        <w:spacing w:after="0" w:line="240" w:lineRule="auto"/>
      </w:pPr>
      <w:r>
        <w:separator/>
      </w:r>
    </w:p>
  </w:endnote>
  <w:endnote w:type="continuationSeparator" w:id="0">
    <w:p w14:paraId="7B5F815D" w14:textId="77777777" w:rsidR="00E66C3B" w:rsidRDefault="00E66C3B" w:rsidP="004A1847">
      <w:pPr>
        <w:spacing w:after="0" w:line="240" w:lineRule="auto"/>
      </w:pPr>
      <w:r>
        <w:continuationSeparator/>
      </w:r>
    </w:p>
  </w:endnote>
  <w:endnote w:type="continuationNotice" w:id="1">
    <w:p w14:paraId="11F40024" w14:textId="77777777" w:rsidR="00E66C3B" w:rsidRDefault="00E66C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3DDDD5" w14:textId="77777777" w:rsidR="00E66C3B" w:rsidRDefault="00E66C3B" w:rsidP="004A1847">
      <w:pPr>
        <w:spacing w:after="0" w:line="240" w:lineRule="auto"/>
      </w:pPr>
      <w:r>
        <w:separator/>
      </w:r>
    </w:p>
  </w:footnote>
  <w:footnote w:type="continuationSeparator" w:id="0">
    <w:p w14:paraId="783841AB" w14:textId="77777777" w:rsidR="00E66C3B" w:rsidRDefault="00E66C3B" w:rsidP="004A1847">
      <w:pPr>
        <w:spacing w:after="0" w:line="240" w:lineRule="auto"/>
      </w:pPr>
      <w:r>
        <w:continuationSeparator/>
      </w:r>
    </w:p>
  </w:footnote>
  <w:footnote w:type="continuationNotice" w:id="1">
    <w:p w14:paraId="1B8E52FE" w14:textId="77777777" w:rsidR="00E66C3B" w:rsidRDefault="00E66C3B">
      <w:pPr>
        <w:spacing w:after="0" w:line="240" w:lineRule="auto"/>
      </w:pPr>
    </w:p>
  </w:footnote>
  <w:footnote w:id="2">
    <w:p w14:paraId="1D5F0B86" w14:textId="77777777" w:rsidR="002E7F40" w:rsidRPr="00CB7835" w:rsidRDefault="002E7F40" w:rsidP="004A4705">
      <w:pPr>
        <w:pStyle w:val="Textonotapie"/>
        <w:ind w:firstLine="709"/>
        <w:contextualSpacing/>
        <w:jc w:val="both"/>
        <w:rPr>
          <w:rFonts w:ascii="Verdana" w:hAnsi="Verdana" w:cs="Arial"/>
          <w:sz w:val="16"/>
          <w:szCs w:val="16"/>
        </w:rPr>
      </w:pPr>
      <w:r w:rsidRPr="00CB7835">
        <w:rPr>
          <w:rStyle w:val="Refdenotaalpie"/>
          <w:rFonts w:ascii="Verdana" w:hAnsi="Verdana" w:cs="Arial"/>
          <w:sz w:val="16"/>
          <w:szCs w:val="16"/>
        </w:rPr>
        <w:footnoteRef/>
      </w:r>
      <w:r w:rsidRPr="00CB7835">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44784F0C" w14:textId="7453AEC8" w:rsidR="002E7F40" w:rsidRPr="00CB7835" w:rsidRDefault="002E7F40" w:rsidP="004A4705">
      <w:pPr>
        <w:pStyle w:val="Textonotapie"/>
        <w:ind w:firstLine="709"/>
        <w:contextualSpacing/>
        <w:jc w:val="both"/>
        <w:rPr>
          <w:rFonts w:ascii="Verdana" w:hAnsi="Verdana" w:cs="Arial"/>
          <w:sz w:val="16"/>
          <w:szCs w:val="16"/>
        </w:rPr>
      </w:pPr>
      <w:r w:rsidRPr="00CB7835">
        <w:rPr>
          <w:rFonts w:ascii="Verdana" w:hAnsi="Verdana" w:cs="Arial"/>
          <w:sz w:val="16"/>
          <w:szCs w:val="16"/>
        </w:rPr>
        <w:t>“Las personas jurídicas nacionales y extranjeras deberán acreditar que su duración no será inferior a la del plazo del contrato y un año más”.</w:t>
      </w:r>
    </w:p>
  </w:footnote>
  <w:footnote w:id="3">
    <w:p w14:paraId="567D5500" w14:textId="77777777" w:rsidR="002E7F40" w:rsidRPr="00CB7835" w:rsidRDefault="002E7F40" w:rsidP="004A4705">
      <w:pPr>
        <w:pStyle w:val="Textonotapie"/>
        <w:ind w:firstLine="709"/>
        <w:contextualSpacing/>
        <w:jc w:val="both"/>
        <w:rPr>
          <w:rFonts w:ascii="Verdana" w:hAnsi="Verdana" w:cs="Arial"/>
          <w:sz w:val="16"/>
          <w:szCs w:val="16"/>
        </w:rPr>
      </w:pPr>
      <w:r w:rsidRPr="00CB7835">
        <w:rPr>
          <w:rStyle w:val="Refdenotaalpie"/>
          <w:rFonts w:ascii="Verdana" w:hAnsi="Verdana" w:cs="Arial"/>
          <w:sz w:val="16"/>
          <w:szCs w:val="16"/>
        </w:rPr>
        <w:footnoteRef/>
      </w:r>
      <w:r w:rsidRPr="00CB7835">
        <w:rPr>
          <w:rFonts w:ascii="Verdana" w:hAnsi="Verdana" w:cs="Arial"/>
          <w:sz w:val="16"/>
          <w:szCs w:val="16"/>
        </w:rPr>
        <w:t xml:space="preserve"> Código Civil: “Artículo 1502. Requisitos para obligarse. Para que una persona se obligue a otra por un acto o declaración de voluntad, es necesario:</w:t>
      </w:r>
    </w:p>
    <w:p w14:paraId="2132D272" w14:textId="77777777" w:rsidR="002E7F40" w:rsidRPr="00CB7835" w:rsidRDefault="002E7F40" w:rsidP="004A4705">
      <w:pPr>
        <w:pStyle w:val="Textonotapie"/>
        <w:ind w:firstLine="709"/>
        <w:contextualSpacing/>
        <w:jc w:val="both"/>
        <w:rPr>
          <w:rFonts w:ascii="Verdana" w:hAnsi="Verdana" w:cs="Arial"/>
          <w:sz w:val="16"/>
          <w:szCs w:val="16"/>
        </w:rPr>
      </w:pPr>
      <w:r w:rsidRPr="00CB7835">
        <w:rPr>
          <w:rFonts w:ascii="Verdana" w:hAnsi="Verdana" w:cs="Arial"/>
          <w:sz w:val="16"/>
          <w:szCs w:val="16"/>
        </w:rPr>
        <w:t>“1o.) que sea legalmente capaz.</w:t>
      </w:r>
    </w:p>
    <w:p w14:paraId="35C0130A" w14:textId="77777777" w:rsidR="002E7F40" w:rsidRPr="00CB7835" w:rsidRDefault="002E7F40" w:rsidP="004A4705">
      <w:pPr>
        <w:pStyle w:val="Textonotapie"/>
        <w:ind w:firstLine="709"/>
        <w:contextualSpacing/>
        <w:jc w:val="both"/>
        <w:rPr>
          <w:rFonts w:ascii="Verdana" w:hAnsi="Verdana" w:cs="Arial"/>
          <w:sz w:val="16"/>
          <w:szCs w:val="16"/>
        </w:rPr>
      </w:pPr>
      <w:r w:rsidRPr="00CB7835">
        <w:rPr>
          <w:rFonts w:ascii="Verdana" w:hAnsi="Verdana" w:cs="Arial"/>
          <w:sz w:val="16"/>
          <w:szCs w:val="16"/>
        </w:rPr>
        <w:t>[…]</w:t>
      </w:r>
    </w:p>
    <w:p w14:paraId="24A7463E" w14:textId="77777777" w:rsidR="002E7F40" w:rsidRPr="00CB7835" w:rsidRDefault="002E7F40" w:rsidP="004A4705">
      <w:pPr>
        <w:pStyle w:val="Textonotapie"/>
        <w:ind w:firstLine="709"/>
        <w:contextualSpacing/>
        <w:jc w:val="both"/>
        <w:rPr>
          <w:rFonts w:ascii="Verdana" w:hAnsi="Verdana" w:cs="Arial"/>
          <w:sz w:val="16"/>
          <w:szCs w:val="16"/>
        </w:rPr>
      </w:pPr>
      <w:r w:rsidRPr="00CB7835">
        <w:rPr>
          <w:rFonts w:ascii="Verdana" w:hAnsi="Verdana" w:cs="Arial"/>
          <w:sz w:val="16"/>
          <w:szCs w:val="16"/>
        </w:rPr>
        <w:t>“La capacidad legal de una persona consiste en poderse obligar por sí misma, sin el ministerio o la autorización de otra”.</w:t>
      </w:r>
    </w:p>
  </w:footnote>
  <w:footnote w:id="4">
    <w:p w14:paraId="3A345A76" w14:textId="518B42E0" w:rsidR="002E7F40" w:rsidRPr="004A4705" w:rsidRDefault="002E7F40" w:rsidP="004A4705">
      <w:pPr>
        <w:pStyle w:val="Textonotapie"/>
        <w:ind w:firstLine="709"/>
        <w:contextualSpacing/>
        <w:jc w:val="both"/>
        <w:rPr>
          <w:rFonts w:ascii="Verdana" w:hAnsi="Verdana" w:cs="Arial"/>
          <w:sz w:val="16"/>
          <w:szCs w:val="16"/>
          <w:lang w:val="es-ES"/>
        </w:rPr>
      </w:pPr>
      <w:r w:rsidRPr="00CB7835">
        <w:rPr>
          <w:rStyle w:val="Refdenotaalpie"/>
          <w:rFonts w:ascii="Verdana" w:hAnsi="Verdana" w:cs="Arial"/>
          <w:sz w:val="16"/>
          <w:szCs w:val="16"/>
        </w:rPr>
        <w:footnoteRef/>
      </w:r>
      <w:r w:rsidRPr="00CB7835">
        <w:rPr>
          <w:rFonts w:ascii="Verdana" w:hAnsi="Verdana" w:cs="Arial"/>
          <w:sz w:val="16"/>
          <w:szCs w:val="16"/>
        </w:rPr>
        <w:t xml:space="preserve"> </w:t>
      </w:r>
      <w:r w:rsidRPr="00CB7835">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CB7835">
        <w:rPr>
          <w:rFonts w:ascii="Verdana" w:hAnsi="Verdana" w:cs="Arial"/>
          <w:i/>
          <w:iCs/>
          <w:sz w:val="16"/>
          <w:szCs w:val="16"/>
          <w:lang w:val="es-ES"/>
        </w:rPr>
        <w:t>el régimen de inhabilidades e incompatibilidades</w:t>
      </w:r>
      <w:r w:rsidRPr="00CB7835">
        <w:rPr>
          <w:rFonts w:ascii="Verdana" w:hAnsi="Verdana" w:cs="Arial"/>
          <w:sz w:val="16"/>
          <w:szCs w:val="16"/>
          <w:lang w:val="es-ES"/>
        </w:rPr>
        <w:t xml:space="preserve"> (1) y la obligación de ciertos proponentes de inscribirse en el </w:t>
      </w:r>
      <w:r w:rsidRPr="00CB7835">
        <w:rPr>
          <w:rFonts w:ascii="Verdana" w:hAnsi="Verdana" w:cs="Arial"/>
          <w:i/>
          <w:iCs/>
          <w:sz w:val="16"/>
          <w:szCs w:val="16"/>
          <w:lang w:val="es-ES"/>
        </w:rPr>
        <w:t>registro único</w:t>
      </w:r>
      <w:r w:rsidRPr="00CB7835">
        <w:rPr>
          <w:rFonts w:ascii="Verdana" w:hAnsi="Verdana" w:cs="Arial"/>
          <w:sz w:val="16"/>
          <w:szCs w:val="16"/>
          <w:lang w:val="es-ES"/>
        </w:rPr>
        <w:t xml:space="preserve"> (2)” (BENAVIDES, José Luis. El contrato estatal. Entre el Derecho público y el Derecho privado. 2ª ed. Bogotá: Universidad Externado de Colombia, 2004. p. 278).</w:t>
      </w:r>
    </w:p>
  </w:footnote>
  <w:footnote w:id="5">
    <w:p w14:paraId="79D167E4" w14:textId="3102A9A4" w:rsidR="002E7F40" w:rsidRPr="004A4705" w:rsidRDefault="002E7F40" w:rsidP="004A4705">
      <w:pPr>
        <w:pStyle w:val="Textonotapie"/>
        <w:ind w:firstLine="709"/>
        <w:contextualSpacing/>
        <w:jc w:val="both"/>
        <w:rPr>
          <w:rFonts w:ascii="Verdana" w:hAnsi="Verdana" w:cs="Arial"/>
          <w:sz w:val="16"/>
          <w:szCs w:val="16"/>
        </w:rPr>
      </w:pPr>
      <w:r w:rsidRPr="00CB7835">
        <w:rPr>
          <w:rStyle w:val="Refdenotaalpie"/>
          <w:rFonts w:ascii="Verdana" w:hAnsi="Verdana" w:cs="Arial"/>
          <w:sz w:val="16"/>
          <w:szCs w:val="16"/>
        </w:rPr>
        <w:footnoteRef/>
      </w:r>
      <w:r w:rsidRPr="00CB7835">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w:t>
      </w:r>
      <w:r w:rsidRPr="004A4705">
        <w:rPr>
          <w:rFonts w:ascii="Verdana" w:hAnsi="Verdana" w:cs="Arial"/>
          <w:sz w:val="16"/>
          <w:szCs w:val="16"/>
        </w:rPr>
        <w:t xml:space="preserve"> serían innecesarias los intentos y las elucubraciones y explicaciones, algunas novedosas que podrían ensayarse. (DÁVILA VINUEZA, Luis Guillermo. Régimen jurídico de la contratación estatal. 3ª ed. Bogotá: Legis, 2016. p. 148)</w:t>
      </w:r>
    </w:p>
  </w:footnote>
  <w:footnote w:id="6">
    <w:p w14:paraId="14A57008" w14:textId="199DE3BB" w:rsidR="002E7F40" w:rsidRPr="004A4705" w:rsidRDefault="002E7F40" w:rsidP="004A4705">
      <w:pPr>
        <w:pStyle w:val="Textonotapie"/>
        <w:ind w:firstLine="709"/>
        <w:contextualSpacing/>
        <w:jc w:val="both"/>
        <w:rPr>
          <w:rFonts w:ascii="Verdana" w:hAnsi="Verdana" w:cs="Arial"/>
          <w:sz w:val="16"/>
          <w:szCs w:val="16"/>
          <w:lang w:val="es-ES"/>
        </w:rPr>
      </w:pPr>
      <w:r w:rsidRPr="004A4705">
        <w:rPr>
          <w:rStyle w:val="Refdenotaalpie"/>
          <w:rFonts w:ascii="Verdana" w:hAnsi="Verdana" w:cs="Arial"/>
          <w:sz w:val="16"/>
          <w:szCs w:val="16"/>
        </w:rPr>
        <w:footnoteRef/>
      </w:r>
      <w:r w:rsidRPr="004A4705">
        <w:rPr>
          <w:rFonts w:ascii="Verdana" w:hAnsi="Verdana" w:cs="Arial"/>
          <w:sz w:val="16"/>
          <w:szCs w:val="16"/>
        </w:rPr>
        <w:t xml:space="preserve"> </w:t>
      </w:r>
      <w:r w:rsidRPr="004A4705">
        <w:rPr>
          <w:rFonts w:ascii="Verdana" w:hAnsi="Verdana" w:cs="Arial"/>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7">
    <w:p w14:paraId="6CEBD0B7" w14:textId="5C7A8894" w:rsidR="002E7F40" w:rsidRPr="004A4705" w:rsidRDefault="002E7F40" w:rsidP="004A4705">
      <w:pPr>
        <w:pStyle w:val="Textonotapie"/>
        <w:ind w:firstLine="709"/>
        <w:contextualSpacing/>
        <w:jc w:val="both"/>
        <w:rPr>
          <w:rFonts w:ascii="Verdana" w:hAnsi="Verdana" w:cs="Arial"/>
          <w:sz w:val="16"/>
          <w:szCs w:val="16"/>
          <w:lang w:val="es-ES"/>
        </w:rPr>
      </w:pPr>
      <w:r w:rsidRPr="004A4705">
        <w:rPr>
          <w:rStyle w:val="Refdenotaalpie"/>
          <w:rFonts w:ascii="Verdana" w:hAnsi="Verdana" w:cs="Arial"/>
          <w:sz w:val="16"/>
          <w:szCs w:val="16"/>
        </w:rPr>
        <w:footnoteRef/>
      </w:r>
      <w:r w:rsidRPr="004A4705">
        <w:rPr>
          <w:rFonts w:ascii="Verdana" w:hAnsi="Verdana" w:cs="Arial"/>
          <w:sz w:val="16"/>
          <w:szCs w:val="16"/>
        </w:rPr>
        <w:t xml:space="preserve"> </w:t>
      </w:r>
      <w:r w:rsidRPr="004A4705">
        <w:rPr>
          <w:rFonts w:ascii="Verdana" w:hAnsi="Verdana" w:cs="Arial"/>
          <w:sz w:val="16"/>
          <w:szCs w:val="16"/>
          <w:lang w:val="es-ES"/>
        </w:rPr>
        <w:t>Ibídem. p. 69.</w:t>
      </w:r>
    </w:p>
  </w:footnote>
  <w:footnote w:id="8">
    <w:p w14:paraId="42A68496" w14:textId="703A6CC9" w:rsidR="002E7F40" w:rsidRPr="00CB7835" w:rsidRDefault="002E7F40" w:rsidP="004A4705">
      <w:pPr>
        <w:pStyle w:val="Textonotapie"/>
        <w:ind w:firstLine="709"/>
        <w:contextualSpacing/>
        <w:jc w:val="both"/>
        <w:rPr>
          <w:rFonts w:ascii="Verdana" w:hAnsi="Verdana" w:cs="Arial"/>
          <w:color w:val="000000" w:themeColor="text1"/>
          <w:sz w:val="16"/>
          <w:szCs w:val="16"/>
          <w:lang w:val="es-ES"/>
        </w:rPr>
      </w:pPr>
      <w:r w:rsidRPr="00CB7835">
        <w:rPr>
          <w:rStyle w:val="Refdenotaalpie"/>
          <w:rFonts w:ascii="Verdana" w:hAnsi="Verdana" w:cs="Arial"/>
          <w:color w:val="000000" w:themeColor="text1"/>
          <w:sz w:val="16"/>
          <w:szCs w:val="16"/>
        </w:rPr>
        <w:footnoteRef/>
      </w:r>
      <w:r w:rsidRPr="00CB7835">
        <w:rPr>
          <w:rFonts w:ascii="Verdana" w:hAnsi="Verdana" w:cs="Arial"/>
          <w:color w:val="000000" w:themeColor="text1"/>
          <w:sz w:val="16"/>
          <w:szCs w:val="16"/>
        </w:rPr>
        <w:t xml:space="preserve"> </w:t>
      </w:r>
      <w:r w:rsidRPr="00CB7835">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9">
    <w:p w14:paraId="7442A5F0" w14:textId="5EA2BD76" w:rsidR="002E7F40" w:rsidRPr="00CB7835" w:rsidRDefault="002E7F40" w:rsidP="004A4705">
      <w:pPr>
        <w:pStyle w:val="Textonotapie"/>
        <w:ind w:firstLine="709"/>
        <w:contextualSpacing/>
        <w:jc w:val="both"/>
        <w:rPr>
          <w:rFonts w:ascii="Verdana" w:hAnsi="Verdana" w:cs="Arial"/>
          <w:color w:val="000000" w:themeColor="text1"/>
          <w:sz w:val="16"/>
          <w:szCs w:val="16"/>
          <w:lang w:val="es-ES"/>
        </w:rPr>
      </w:pPr>
      <w:r w:rsidRPr="00CB7835">
        <w:rPr>
          <w:rStyle w:val="Refdenotaalpie"/>
          <w:rFonts w:ascii="Verdana" w:hAnsi="Verdana" w:cs="Arial"/>
          <w:color w:val="000000" w:themeColor="text1"/>
          <w:sz w:val="16"/>
          <w:szCs w:val="16"/>
        </w:rPr>
        <w:footnoteRef/>
      </w:r>
      <w:r w:rsidRPr="00CB7835">
        <w:rPr>
          <w:rFonts w:ascii="Verdana" w:hAnsi="Verdana" w:cs="Arial"/>
          <w:color w:val="000000" w:themeColor="text1"/>
          <w:sz w:val="16"/>
          <w:szCs w:val="16"/>
        </w:rPr>
        <w:t xml:space="preserve"> </w:t>
      </w:r>
      <w:r w:rsidRPr="00CB7835">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footnote>
  <w:footnote w:id="10">
    <w:p w14:paraId="3BE4DFA0" w14:textId="77777777" w:rsidR="002E7F40" w:rsidRPr="004A4705" w:rsidRDefault="002E7F40" w:rsidP="004A4705">
      <w:pPr>
        <w:pStyle w:val="Textonotapie"/>
        <w:ind w:firstLine="709"/>
        <w:contextualSpacing/>
        <w:jc w:val="both"/>
        <w:rPr>
          <w:rFonts w:ascii="Verdana" w:hAnsi="Verdana" w:cs="Arial"/>
          <w:color w:val="000000" w:themeColor="text1"/>
          <w:sz w:val="16"/>
          <w:szCs w:val="16"/>
          <w:lang w:val="es-ES"/>
        </w:rPr>
      </w:pPr>
      <w:r w:rsidRPr="00CB7835">
        <w:rPr>
          <w:rStyle w:val="Refdenotaalpie"/>
          <w:rFonts w:ascii="Verdana" w:hAnsi="Verdana" w:cs="Arial"/>
          <w:color w:val="000000" w:themeColor="text1"/>
          <w:sz w:val="16"/>
          <w:szCs w:val="16"/>
        </w:rPr>
        <w:footnoteRef/>
      </w:r>
      <w:r w:rsidRPr="00CB7835">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footnote>
  <w:footnote w:id="11">
    <w:p w14:paraId="5663C548" w14:textId="77777777" w:rsidR="002E7F40" w:rsidRPr="00CB7835" w:rsidRDefault="002E7F40" w:rsidP="004A4705">
      <w:pPr>
        <w:pStyle w:val="Textonotapie"/>
        <w:ind w:firstLine="709"/>
        <w:contextualSpacing/>
        <w:jc w:val="both"/>
        <w:rPr>
          <w:rFonts w:ascii="Verdana" w:hAnsi="Verdana" w:cs="Arial"/>
          <w:color w:val="000000" w:themeColor="text1"/>
          <w:sz w:val="16"/>
          <w:szCs w:val="16"/>
          <w:lang w:val="es-ES"/>
        </w:rPr>
      </w:pPr>
      <w:r w:rsidRPr="00CB7835">
        <w:rPr>
          <w:rStyle w:val="Refdenotaalpie"/>
          <w:rFonts w:ascii="Verdana" w:hAnsi="Verdana" w:cs="Arial"/>
          <w:color w:val="000000" w:themeColor="text1"/>
          <w:sz w:val="16"/>
          <w:szCs w:val="16"/>
        </w:rPr>
        <w:footnoteRef/>
      </w:r>
      <w:r w:rsidRPr="00CB7835">
        <w:rPr>
          <w:rFonts w:ascii="Verdana" w:hAnsi="Verdana" w:cs="Arial"/>
          <w:color w:val="000000" w:themeColor="text1"/>
          <w:sz w:val="16"/>
          <w:szCs w:val="16"/>
        </w:rPr>
        <w:t xml:space="preserve"> CONSEJO DE ESTADO. Sección Tercera. Subsección C. Sentencia del 22 de mayo de 2013. Exp. 24.057. Consejera Ponente: Olga Melida Valle De La Hoz.</w:t>
      </w:r>
    </w:p>
  </w:footnote>
  <w:footnote w:id="12">
    <w:p w14:paraId="4C9431EC" w14:textId="77777777" w:rsidR="002E7F40" w:rsidRPr="00CB7835" w:rsidRDefault="002E7F40" w:rsidP="004A4705">
      <w:pPr>
        <w:pStyle w:val="Textonotapie"/>
        <w:contextualSpacing/>
        <w:rPr>
          <w:rFonts w:ascii="Verdana" w:hAnsi="Verdana"/>
          <w:sz w:val="16"/>
          <w:szCs w:val="16"/>
        </w:rPr>
      </w:pPr>
    </w:p>
    <w:p w14:paraId="6C4C119C" w14:textId="77777777" w:rsidR="002E7F40" w:rsidRPr="00CB7835" w:rsidRDefault="002E7F40" w:rsidP="004A4705">
      <w:pPr>
        <w:pStyle w:val="Textonotapie"/>
        <w:ind w:firstLine="709"/>
        <w:contextualSpacing/>
        <w:jc w:val="both"/>
        <w:rPr>
          <w:rFonts w:ascii="Verdana" w:hAnsi="Verdana"/>
          <w:sz w:val="16"/>
          <w:szCs w:val="16"/>
        </w:rPr>
      </w:pPr>
      <w:r w:rsidRPr="00CB7835">
        <w:rPr>
          <w:rStyle w:val="Refdenotaalpie"/>
          <w:rFonts w:ascii="Verdana" w:hAnsi="Verdana"/>
          <w:sz w:val="16"/>
          <w:szCs w:val="16"/>
        </w:rPr>
        <w:footnoteRef/>
      </w:r>
      <w:r w:rsidRPr="00CB7835">
        <w:rPr>
          <w:rFonts w:ascii="Verdana" w:hAnsi="Verdana"/>
          <w:sz w:val="16"/>
          <w:szCs w:val="16"/>
        </w:rPr>
        <w:t xml:space="preserve"> Ley 80 de 1993: “Artículo 8º. de las inhabilidades e incompatibilidades para contratar.</w:t>
      </w:r>
    </w:p>
    <w:p w14:paraId="3D4C7692" w14:textId="77777777" w:rsidR="002E7F40" w:rsidRPr="00CB7835" w:rsidRDefault="002E7F40" w:rsidP="004A4705">
      <w:pPr>
        <w:pStyle w:val="Textonotapie"/>
        <w:ind w:firstLine="709"/>
        <w:contextualSpacing/>
        <w:jc w:val="both"/>
        <w:rPr>
          <w:rFonts w:ascii="Verdana" w:hAnsi="Verdana"/>
          <w:sz w:val="16"/>
          <w:szCs w:val="16"/>
        </w:rPr>
      </w:pPr>
      <w:r w:rsidRPr="00CB7835">
        <w:rPr>
          <w:rFonts w:ascii="Verdana" w:hAnsi="Verdana"/>
          <w:sz w:val="16"/>
          <w:szCs w:val="16"/>
        </w:rPr>
        <w:t>1º. Son inhábiles para participar en licitaciones o concursos y para celebrar contratos con las entidades estatales:</w:t>
      </w:r>
    </w:p>
    <w:p w14:paraId="396DA445" w14:textId="77777777" w:rsidR="002E7F40" w:rsidRPr="00CB7835" w:rsidRDefault="002E7F40" w:rsidP="004A4705">
      <w:pPr>
        <w:pStyle w:val="Textonotapie"/>
        <w:ind w:firstLine="709"/>
        <w:contextualSpacing/>
        <w:jc w:val="both"/>
        <w:rPr>
          <w:rFonts w:ascii="Verdana" w:hAnsi="Verdana"/>
          <w:sz w:val="16"/>
          <w:szCs w:val="16"/>
        </w:rPr>
      </w:pPr>
      <w:r w:rsidRPr="00CB7835">
        <w:rPr>
          <w:rFonts w:ascii="Verdana" w:hAnsi="Verdana"/>
          <w:sz w:val="16"/>
          <w:szCs w:val="16"/>
        </w:rPr>
        <w:t>[…]</w:t>
      </w:r>
    </w:p>
    <w:p w14:paraId="3E43ADC1" w14:textId="77777777" w:rsidR="002E7F40" w:rsidRPr="00CB7835" w:rsidRDefault="002E7F40" w:rsidP="004A4705">
      <w:pPr>
        <w:pStyle w:val="Textonotapie"/>
        <w:ind w:firstLine="709"/>
        <w:contextualSpacing/>
        <w:jc w:val="both"/>
        <w:rPr>
          <w:rFonts w:ascii="Verdana" w:hAnsi="Verdana"/>
          <w:sz w:val="16"/>
          <w:szCs w:val="16"/>
        </w:rPr>
      </w:pPr>
      <w:r w:rsidRPr="00CB7835">
        <w:rPr>
          <w:rFonts w:ascii="Verdana" w:hAnsi="Verdana"/>
          <w:sz w:val="16"/>
          <w:szCs w:val="16"/>
        </w:rPr>
        <w:t>d) Quienes en sentencia judicial hayan sido condenados a la pena accesoria de interdicción de derechos y funciones públicas y quienes hayan sido sancionados disciplinariamente con destitución.</w:t>
      </w:r>
    </w:p>
    <w:p w14:paraId="456D91EA" w14:textId="77777777" w:rsidR="002E7F40" w:rsidRPr="00CB7835" w:rsidRDefault="002E7F40" w:rsidP="004A4705">
      <w:pPr>
        <w:pStyle w:val="Textonotapie"/>
        <w:ind w:firstLine="709"/>
        <w:contextualSpacing/>
        <w:jc w:val="both"/>
        <w:rPr>
          <w:rFonts w:ascii="Verdana" w:hAnsi="Verdana"/>
          <w:sz w:val="16"/>
          <w:szCs w:val="16"/>
        </w:rPr>
      </w:pPr>
      <w:r w:rsidRPr="00CB7835">
        <w:rPr>
          <w:rFonts w:ascii="Verdana" w:hAnsi="Verdana"/>
          <w:sz w:val="16"/>
          <w:szCs w:val="16"/>
        </w:rPr>
        <w:t>[….]</w:t>
      </w:r>
    </w:p>
    <w:p w14:paraId="17839ED1" w14:textId="77777777" w:rsidR="002E7F40" w:rsidRPr="00CB7835" w:rsidRDefault="002E7F40" w:rsidP="004A4705">
      <w:pPr>
        <w:pStyle w:val="Textonotapie"/>
        <w:ind w:firstLine="709"/>
        <w:contextualSpacing/>
        <w:jc w:val="both"/>
        <w:rPr>
          <w:rFonts w:ascii="Verdana" w:hAnsi="Verdana"/>
          <w:sz w:val="16"/>
          <w:szCs w:val="16"/>
        </w:rPr>
      </w:pPr>
      <w:r w:rsidRPr="00CB7835">
        <w:rPr>
          <w:rFonts w:ascii="Verdana" w:hAnsi="Verdana"/>
          <w:sz w:val="16"/>
          <w:szCs w:val="16"/>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2F70857A" w14:textId="77777777" w:rsidR="002E7F40" w:rsidRPr="00CB7835" w:rsidRDefault="002E7F40" w:rsidP="004A4705">
      <w:pPr>
        <w:pStyle w:val="Textonotapie"/>
        <w:ind w:firstLine="709"/>
        <w:contextualSpacing/>
        <w:jc w:val="both"/>
        <w:rPr>
          <w:rFonts w:ascii="Verdana" w:hAnsi="Verdana"/>
          <w:sz w:val="16"/>
          <w:szCs w:val="16"/>
        </w:rPr>
      </w:pPr>
      <w:r w:rsidRPr="00CB7835">
        <w:rPr>
          <w:rFonts w:ascii="Verdana" w:hAnsi="Verdana"/>
          <w:sz w:val="16"/>
          <w:szCs w:val="16"/>
        </w:rPr>
        <w:t>Esta inhabilidad procederá preventivamente aún en los casos en los que esté pendiente la decisión sobre la impugnación de la sentencia condenatoria.</w:t>
      </w:r>
    </w:p>
    <w:p w14:paraId="0ABD7317" w14:textId="77777777" w:rsidR="002E7F40" w:rsidRPr="00CB7835" w:rsidRDefault="002E7F40" w:rsidP="004A4705">
      <w:pPr>
        <w:pStyle w:val="Textonotapie"/>
        <w:ind w:firstLine="709"/>
        <w:contextualSpacing/>
        <w:jc w:val="both"/>
        <w:rPr>
          <w:rFonts w:ascii="Verdana" w:hAnsi="Verdana"/>
          <w:sz w:val="16"/>
          <w:szCs w:val="16"/>
        </w:rPr>
      </w:pPr>
      <w:r w:rsidRPr="00CB7835">
        <w:rPr>
          <w:rFonts w:ascii="Verdana" w:hAnsi="Verdana"/>
          <w:sz w:val="16"/>
          <w:szCs w:val="16"/>
        </w:rPr>
        <w:t>Asimismo, la inhabilidad se extenderá a las sociedades de las que hagan parte dichas personas en calidad de administradores, represen­tantes legales, miembros de junta directiva o de socios controlantes, a sus</w:t>
      </w:r>
      <w:r w:rsidRPr="004A4705">
        <w:rPr>
          <w:rFonts w:ascii="Verdana" w:hAnsi="Verdana"/>
          <w:sz w:val="16"/>
          <w:szCs w:val="16"/>
        </w:rPr>
        <w:t xml:space="preserve"> </w:t>
      </w:r>
      <w:r w:rsidRPr="00CB7835">
        <w:rPr>
          <w:rFonts w:ascii="Verdana" w:hAnsi="Verdana"/>
          <w:sz w:val="16"/>
          <w:szCs w:val="16"/>
        </w:rPr>
        <w:t>matrices y a sus subordinadas, a los grupos empresariales a los que estas pertenezcan cuando la conducta delictiva haya sido parte de una política del grupo y a las sucursales de sociedades extranjeras, con ex­cepción de las sociedades anónimas abiertas.</w:t>
      </w:r>
    </w:p>
    <w:p w14:paraId="6CE9D32C" w14:textId="53B3ED3E" w:rsidR="002E7F40" w:rsidRPr="004A4705" w:rsidRDefault="002E7F40" w:rsidP="004A4705">
      <w:pPr>
        <w:pStyle w:val="Textonotapie"/>
        <w:ind w:firstLine="709"/>
        <w:contextualSpacing/>
        <w:jc w:val="both"/>
        <w:rPr>
          <w:rFonts w:ascii="Verdana" w:hAnsi="Verdana"/>
          <w:sz w:val="16"/>
          <w:szCs w:val="16"/>
        </w:rPr>
      </w:pPr>
      <w:r w:rsidRPr="00CB7835">
        <w:rPr>
          <w:rFonts w:ascii="Verdana" w:hAnsi="Verdana"/>
          <w:sz w:val="16"/>
          <w:szCs w:val="16"/>
        </w:rPr>
        <w:t>También se considerarán inhabilitadas para contratar, las personas jurídicas sobre las cuales se haya ordenado la suspensión de la perso­nería jurídica en los términos de ley, o cuyos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footnote>
  <w:footnote w:id="13">
    <w:p w14:paraId="38BD1A05" w14:textId="4F7369A7" w:rsidR="008D7634" w:rsidRPr="004A4705" w:rsidRDefault="008D7634" w:rsidP="004A4705">
      <w:pPr>
        <w:pStyle w:val="NormalWeb"/>
        <w:spacing w:before="0" w:beforeAutospacing="0" w:after="0" w:afterAutospacing="0"/>
        <w:ind w:firstLine="709"/>
        <w:contextualSpacing/>
        <w:jc w:val="both"/>
        <w:rPr>
          <w:rFonts w:ascii="Verdana" w:hAnsi="Verdana" w:cs="Arial"/>
          <w:sz w:val="16"/>
          <w:szCs w:val="16"/>
        </w:rPr>
      </w:pPr>
      <w:r w:rsidRPr="004A4705">
        <w:rPr>
          <w:rStyle w:val="Refdenotaalpie"/>
          <w:rFonts w:ascii="Verdana" w:hAnsi="Verdana" w:cs="Arial"/>
          <w:sz w:val="16"/>
          <w:szCs w:val="16"/>
        </w:rPr>
        <w:footnoteRef/>
      </w:r>
      <w:r w:rsidRPr="004A4705">
        <w:rPr>
          <w:rFonts w:ascii="Verdana" w:hAnsi="Verdana" w:cs="Arial"/>
          <w:sz w:val="16"/>
          <w:szCs w:val="16"/>
        </w:rPr>
        <w:t xml:space="preserve"> Ley 599 del 2000: </w:t>
      </w:r>
      <w:r w:rsidR="00525230">
        <w:rPr>
          <w:rFonts w:ascii="Verdana" w:hAnsi="Verdana" w:cs="Arial"/>
          <w:sz w:val="16"/>
          <w:szCs w:val="16"/>
        </w:rPr>
        <w:t>“</w:t>
      </w:r>
      <w:r w:rsidRPr="004A4705">
        <w:rPr>
          <w:rStyle w:val="Textoennegrita"/>
          <w:rFonts w:ascii="Verdana" w:hAnsi="Verdana" w:cs="Arial"/>
          <w:sz w:val="16"/>
          <w:szCs w:val="16"/>
        </w:rPr>
        <w:t xml:space="preserve">Artículo 44. </w:t>
      </w:r>
      <w:r w:rsidRPr="004A4705">
        <w:rPr>
          <w:rStyle w:val="nfasis"/>
          <w:rFonts w:ascii="Verdana" w:hAnsi="Verdana" w:cs="Arial"/>
          <w:sz w:val="16"/>
          <w:szCs w:val="16"/>
        </w:rPr>
        <w:t>La inhabilitación para el ejercicio de derechos y funciones públicas</w:t>
      </w:r>
      <w:r w:rsidRPr="004A4705">
        <w:rPr>
          <w:rFonts w:ascii="Verdana" w:hAnsi="Verdana" w:cs="Arial"/>
          <w:sz w:val="16"/>
          <w:szCs w:val="16"/>
        </w:rPr>
        <w:t>. La pena de inhabilitación para el ejercicio de derechos y funciones públicas priva al penado de la facultad de elegir y ser elegido, del ejercicio de cualquier otro derecho político, función pública, dignidades y honores que confieren las entidades oficiales. </w:t>
      </w:r>
    </w:p>
    <w:p w14:paraId="499C0044" w14:textId="77777777" w:rsidR="008D7634" w:rsidRPr="004A4705" w:rsidRDefault="008D7634" w:rsidP="004A4705">
      <w:pPr>
        <w:pStyle w:val="NormalWeb"/>
        <w:spacing w:before="0" w:beforeAutospacing="0" w:after="0" w:afterAutospacing="0"/>
        <w:ind w:firstLine="709"/>
        <w:contextualSpacing/>
        <w:jc w:val="both"/>
        <w:rPr>
          <w:rFonts w:ascii="Verdana" w:hAnsi="Verdana" w:cs="Arial"/>
          <w:sz w:val="16"/>
          <w:szCs w:val="16"/>
        </w:rPr>
      </w:pPr>
      <w:r w:rsidRPr="004A4705">
        <w:rPr>
          <w:rFonts w:ascii="Verdana" w:hAnsi="Verdana" w:cs="Arial"/>
          <w:sz w:val="16"/>
          <w:szCs w:val="16"/>
        </w:rPr>
        <w:t>[…]</w:t>
      </w:r>
    </w:p>
    <w:p w14:paraId="00C3115D" w14:textId="115361CD" w:rsidR="008D7634" w:rsidRPr="004A4705" w:rsidRDefault="008D7634" w:rsidP="004A4705">
      <w:pPr>
        <w:pStyle w:val="NormalWeb"/>
        <w:spacing w:before="0" w:beforeAutospacing="0" w:after="0" w:afterAutospacing="0"/>
        <w:ind w:firstLine="709"/>
        <w:contextualSpacing/>
        <w:jc w:val="both"/>
        <w:rPr>
          <w:rFonts w:ascii="Verdana" w:hAnsi="Verdana" w:cs="Arial"/>
          <w:sz w:val="16"/>
          <w:szCs w:val="16"/>
        </w:rPr>
      </w:pPr>
      <w:r w:rsidRPr="004A4705">
        <w:rPr>
          <w:rFonts w:ascii="Verdana" w:hAnsi="Verdana" w:cs="Arial"/>
          <w:sz w:val="16"/>
          <w:szCs w:val="16"/>
        </w:rPr>
        <w:t>Artículo 52. Las penas accesorias. Las penas privativas de otros derechos, que pueden imponerse como principales, serán accesorias y las impondrá el Juez cuando tengan relación directa con la realización de la conducta punible, por haber abusado de ellos o haber facilitado su comisión, o cuando la restricción del derecho contribuya a la prevención de conductas similares a la que fue objeto de condena. </w:t>
      </w:r>
    </w:p>
    <w:p w14:paraId="567DDC66" w14:textId="70993DA1" w:rsidR="008D7634" w:rsidRPr="004A4705" w:rsidRDefault="008D7634" w:rsidP="004A4705">
      <w:pPr>
        <w:spacing w:after="0" w:line="240" w:lineRule="auto"/>
        <w:ind w:firstLine="709"/>
        <w:contextualSpacing/>
        <w:jc w:val="both"/>
        <w:rPr>
          <w:rFonts w:ascii="Verdana" w:eastAsia="Times New Roman" w:hAnsi="Verdana" w:cs="Arial"/>
          <w:sz w:val="16"/>
          <w:szCs w:val="16"/>
          <w:lang w:eastAsia="es-CO"/>
        </w:rPr>
      </w:pPr>
      <w:r w:rsidRPr="004A4705">
        <w:rPr>
          <w:rFonts w:ascii="Verdana" w:eastAsia="Times New Roman" w:hAnsi="Verdana" w:cs="Arial"/>
          <w:sz w:val="16"/>
          <w:szCs w:val="16"/>
          <w:lang w:eastAsia="es-CO"/>
        </w:rPr>
        <w:t>En la imposición de las penas accesorias se observará estrictamente lo dispuesto en el artículo 59. </w:t>
      </w:r>
    </w:p>
    <w:p w14:paraId="357D1710" w14:textId="0A4F1879" w:rsidR="008D7634" w:rsidRPr="004A4705" w:rsidRDefault="008D7634" w:rsidP="004A4705">
      <w:pPr>
        <w:spacing w:after="0" w:line="240" w:lineRule="auto"/>
        <w:ind w:firstLine="709"/>
        <w:contextualSpacing/>
        <w:jc w:val="both"/>
        <w:rPr>
          <w:rFonts w:ascii="Verdana" w:eastAsia="Times New Roman" w:hAnsi="Verdana" w:cs="Arial"/>
          <w:sz w:val="16"/>
          <w:szCs w:val="16"/>
          <w:lang w:eastAsia="es-CO"/>
        </w:rPr>
      </w:pPr>
      <w:r w:rsidRPr="004A4705">
        <w:rPr>
          <w:rFonts w:ascii="Verdana" w:eastAsia="Times New Roman" w:hAnsi="Verdana" w:cs="Arial"/>
          <w:sz w:val="16"/>
          <w:szCs w:val="16"/>
          <w:lang w:eastAsia="es-CO"/>
        </w:rPr>
        <w:t>En todo caso, la pena de prisión conllevará la accesoria de inhabilitación para el ejercicio de derechos y funciones públicas, por un tiempo igual al de la pena a que accede y hasta por una tercera parte más, sin exceder el máximo fijado en la Ley, sin perjuicio de la excepción a que alude el inciso 2 del artículo 51</w:t>
      </w:r>
      <w:r w:rsidR="00D86872">
        <w:rPr>
          <w:rFonts w:ascii="Verdana" w:eastAsia="Times New Roman" w:hAnsi="Verdana" w:cs="Arial"/>
          <w:sz w:val="16"/>
          <w:szCs w:val="16"/>
          <w:lang w:eastAsia="es-CO"/>
        </w:rPr>
        <w:t>”</w:t>
      </w:r>
      <w:r w:rsidRPr="004A4705">
        <w:rPr>
          <w:rFonts w:ascii="Verdana" w:eastAsia="Times New Roman" w:hAnsi="Verdana" w:cs="Arial"/>
          <w:sz w:val="16"/>
          <w:szCs w:val="16"/>
          <w:lang w:eastAsia="es-CO"/>
        </w:rPr>
        <w:t>. </w:t>
      </w:r>
    </w:p>
    <w:p w14:paraId="1AEA963C" w14:textId="0FF64E18" w:rsidR="008D7634" w:rsidRPr="004A4705" w:rsidRDefault="008D7634" w:rsidP="004A4705">
      <w:pPr>
        <w:pStyle w:val="Textonotapie"/>
        <w:contextualSpacing/>
        <w:jc w:val="both"/>
        <w:rPr>
          <w:rFonts w:ascii="Verdana" w:hAnsi="Verdana" w:cs="Arial"/>
          <w:sz w:val="16"/>
          <w:szCs w:val="16"/>
        </w:rPr>
      </w:pPr>
    </w:p>
  </w:footnote>
  <w:footnote w:id="14">
    <w:p w14:paraId="349231F9" w14:textId="6816846D" w:rsidR="008D7634" w:rsidRPr="004A4705" w:rsidRDefault="008D7634" w:rsidP="004A4705">
      <w:pPr>
        <w:shd w:val="clear" w:color="auto" w:fill="FFFFFF"/>
        <w:spacing w:after="0" w:line="240" w:lineRule="auto"/>
        <w:ind w:firstLine="709"/>
        <w:contextualSpacing/>
        <w:jc w:val="both"/>
        <w:rPr>
          <w:rFonts w:ascii="Verdana" w:eastAsia="Times New Roman" w:hAnsi="Verdana" w:cs="Arial"/>
          <w:sz w:val="16"/>
          <w:szCs w:val="16"/>
          <w:lang w:eastAsia="es-CO"/>
        </w:rPr>
      </w:pPr>
      <w:r w:rsidRPr="004A4705">
        <w:rPr>
          <w:rStyle w:val="Refdenotaalpie"/>
          <w:rFonts w:ascii="Verdana" w:hAnsi="Verdana" w:cs="Arial"/>
          <w:sz w:val="16"/>
          <w:szCs w:val="16"/>
        </w:rPr>
        <w:footnoteRef/>
      </w:r>
      <w:r w:rsidRPr="004A4705">
        <w:rPr>
          <w:rFonts w:ascii="Verdana" w:hAnsi="Verdana" w:cs="Arial"/>
          <w:sz w:val="16"/>
          <w:szCs w:val="16"/>
        </w:rPr>
        <w:t xml:space="preserve"> Ley 1952 de 2019: </w:t>
      </w:r>
      <w:r w:rsidR="00D86872">
        <w:rPr>
          <w:rFonts w:ascii="Verdana" w:hAnsi="Verdana" w:cs="Arial"/>
          <w:sz w:val="16"/>
          <w:szCs w:val="16"/>
        </w:rPr>
        <w:t>“</w:t>
      </w:r>
      <w:r w:rsidRPr="004A4705">
        <w:rPr>
          <w:rFonts w:ascii="Verdana" w:eastAsia="Times New Roman" w:hAnsi="Verdana" w:cs="Arial"/>
          <w:sz w:val="16"/>
          <w:szCs w:val="16"/>
          <w:lang w:eastAsia="es-CO"/>
        </w:rPr>
        <w:t>Artículo</w:t>
      </w:r>
      <w:bookmarkStart w:id="0" w:name="49"/>
      <w:bookmarkEnd w:id="0"/>
      <w:r w:rsidRPr="004A4705">
        <w:rPr>
          <w:rFonts w:ascii="Verdana" w:eastAsia="Times New Roman" w:hAnsi="Verdana" w:cs="Arial"/>
          <w:sz w:val="16"/>
          <w:szCs w:val="16"/>
          <w:lang w:eastAsia="es-CO"/>
        </w:rPr>
        <w:t> 49. definición de las sanciones.</w:t>
      </w:r>
    </w:p>
    <w:p w14:paraId="6793DD72" w14:textId="191C1481" w:rsidR="008D7634" w:rsidRPr="004A4705" w:rsidRDefault="008D7634" w:rsidP="004A4705">
      <w:pPr>
        <w:shd w:val="clear" w:color="auto" w:fill="FFFFFF"/>
        <w:spacing w:after="0" w:line="240" w:lineRule="auto"/>
        <w:ind w:firstLine="709"/>
        <w:contextualSpacing/>
        <w:jc w:val="both"/>
        <w:rPr>
          <w:rFonts w:ascii="Verdana" w:eastAsia="Times New Roman" w:hAnsi="Verdana" w:cs="Arial"/>
          <w:sz w:val="16"/>
          <w:szCs w:val="16"/>
          <w:lang w:eastAsia="es-CO"/>
        </w:rPr>
      </w:pPr>
      <w:r w:rsidRPr="004A4705">
        <w:rPr>
          <w:rFonts w:ascii="Verdana" w:eastAsia="Times New Roman" w:hAnsi="Verdana" w:cs="Arial"/>
          <w:sz w:val="16"/>
          <w:szCs w:val="16"/>
          <w:lang w:eastAsia="es-CO"/>
        </w:rPr>
        <w:t>1. La destitución e inhabilidad general implica:</w:t>
      </w:r>
    </w:p>
    <w:p w14:paraId="2EA33CE6" w14:textId="065DCA02" w:rsidR="008D7634" w:rsidRPr="004A4705" w:rsidRDefault="008D7634" w:rsidP="004A4705">
      <w:pPr>
        <w:shd w:val="clear" w:color="auto" w:fill="FFFFFF"/>
        <w:spacing w:after="0" w:line="240" w:lineRule="auto"/>
        <w:ind w:firstLine="709"/>
        <w:contextualSpacing/>
        <w:jc w:val="both"/>
        <w:rPr>
          <w:rFonts w:ascii="Verdana" w:eastAsia="Times New Roman" w:hAnsi="Verdana" w:cs="Arial"/>
          <w:sz w:val="16"/>
          <w:szCs w:val="16"/>
          <w:lang w:eastAsia="es-CO"/>
        </w:rPr>
      </w:pPr>
      <w:r w:rsidRPr="004A4705">
        <w:rPr>
          <w:rFonts w:ascii="Verdana" w:eastAsia="Times New Roman" w:hAnsi="Verdana" w:cs="Arial"/>
          <w:sz w:val="16"/>
          <w:szCs w:val="16"/>
          <w:lang w:eastAsia="es-CO"/>
        </w:rPr>
        <w:t>a) La terminación de la relación del servidor público o del particular con la administración, sin que importe que sea de libre nombramiento y remoción, de carrera o elección; o</w:t>
      </w:r>
    </w:p>
    <w:p w14:paraId="47641F44" w14:textId="7F7B0C61" w:rsidR="008D7634" w:rsidRPr="004A4705" w:rsidRDefault="008D7634" w:rsidP="004A4705">
      <w:pPr>
        <w:shd w:val="clear" w:color="auto" w:fill="FFFFFF"/>
        <w:spacing w:after="0" w:line="240" w:lineRule="auto"/>
        <w:ind w:firstLine="709"/>
        <w:contextualSpacing/>
        <w:jc w:val="both"/>
        <w:rPr>
          <w:rFonts w:ascii="Verdana" w:eastAsia="Times New Roman" w:hAnsi="Verdana" w:cs="Arial"/>
          <w:sz w:val="16"/>
          <w:szCs w:val="16"/>
          <w:lang w:eastAsia="es-CO"/>
        </w:rPr>
      </w:pPr>
      <w:r w:rsidRPr="004A4705">
        <w:rPr>
          <w:rFonts w:ascii="Verdana" w:eastAsia="Times New Roman" w:hAnsi="Verdana" w:cs="Arial"/>
          <w:sz w:val="16"/>
          <w:szCs w:val="16"/>
          <w:lang w:eastAsia="es-CO"/>
        </w:rPr>
        <w:t>b) La desvinculación del cargo, en los casos previstos en la Constitución Política y la ley; o</w:t>
      </w:r>
    </w:p>
    <w:p w14:paraId="67105A21" w14:textId="5094FC84" w:rsidR="008D7634" w:rsidRPr="004A4705" w:rsidRDefault="008D7634" w:rsidP="004A4705">
      <w:pPr>
        <w:shd w:val="clear" w:color="auto" w:fill="FFFFFF"/>
        <w:spacing w:after="0" w:line="240" w:lineRule="auto"/>
        <w:ind w:firstLine="709"/>
        <w:contextualSpacing/>
        <w:jc w:val="both"/>
        <w:rPr>
          <w:rFonts w:ascii="Verdana" w:eastAsia="Times New Roman" w:hAnsi="Verdana" w:cs="Arial"/>
          <w:sz w:val="16"/>
          <w:szCs w:val="16"/>
          <w:lang w:eastAsia="es-CO"/>
        </w:rPr>
      </w:pPr>
      <w:r w:rsidRPr="004A4705">
        <w:rPr>
          <w:rFonts w:ascii="Verdana" w:eastAsia="Times New Roman" w:hAnsi="Verdana" w:cs="Arial"/>
          <w:sz w:val="16"/>
          <w:szCs w:val="16"/>
          <w:lang w:eastAsia="es-CO"/>
        </w:rPr>
        <w:t>c) La terminación del contrato de trabajo; y</w:t>
      </w:r>
    </w:p>
    <w:p w14:paraId="3ACB8BA5" w14:textId="09C09282" w:rsidR="008D7634" w:rsidRPr="004A4705" w:rsidRDefault="008D7634" w:rsidP="004A4705">
      <w:pPr>
        <w:shd w:val="clear" w:color="auto" w:fill="FFFFFF"/>
        <w:spacing w:after="0" w:line="240" w:lineRule="auto"/>
        <w:ind w:firstLine="709"/>
        <w:contextualSpacing/>
        <w:jc w:val="both"/>
        <w:rPr>
          <w:rFonts w:ascii="Verdana" w:eastAsia="Times New Roman" w:hAnsi="Verdana" w:cs="Arial"/>
          <w:sz w:val="16"/>
          <w:szCs w:val="16"/>
          <w:lang w:eastAsia="es-CO"/>
        </w:rPr>
      </w:pPr>
      <w:r w:rsidRPr="004A4705">
        <w:rPr>
          <w:rFonts w:ascii="Verdana" w:eastAsia="Times New Roman" w:hAnsi="Verdana" w:cs="Arial"/>
          <w:sz w:val="16"/>
          <w:szCs w:val="16"/>
          <w:lang w:eastAsia="es-CO"/>
        </w:rPr>
        <w:t>d) En todos los casos anteriores, la imposibilidad de ejercer la función publica en cualquier cargo o función, por el termino señalado en el fallo, y la exclusión del escalafón o carrera […]</w:t>
      </w:r>
      <w:r w:rsidR="00D86872">
        <w:rPr>
          <w:rFonts w:ascii="Verdana" w:eastAsia="Times New Roman" w:hAnsi="Verdana" w:cs="Arial"/>
          <w:sz w:val="16"/>
          <w:szCs w:val="16"/>
          <w:lang w:eastAsia="es-CO"/>
        </w:rPr>
        <w:t>”</w:t>
      </w:r>
      <w:r w:rsidRPr="004A4705">
        <w:rPr>
          <w:rFonts w:ascii="Verdana" w:eastAsia="Times New Roman" w:hAnsi="Verdana" w:cs="Arial"/>
          <w:sz w:val="16"/>
          <w:szCs w:val="16"/>
          <w:lang w:eastAsia="es-CO"/>
        </w:rPr>
        <w:t>.</w:t>
      </w:r>
    </w:p>
  </w:footnote>
  <w:footnote w:id="15">
    <w:p w14:paraId="2DB8F975" w14:textId="77777777" w:rsidR="008D7634" w:rsidRPr="004A4705" w:rsidRDefault="008D7634" w:rsidP="004A4705">
      <w:pPr>
        <w:pStyle w:val="Textonotapie"/>
        <w:ind w:firstLine="709"/>
        <w:contextualSpacing/>
        <w:jc w:val="both"/>
        <w:rPr>
          <w:rFonts w:ascii="Verdana" w:hAnsi="Verdana" w:cs="Arial"/>
          <w:sz w:val="16"/>
          <w:szCs w:val="16"/>
          <w:lang w:val="es-ES"/>
        </w:rPr>
      </w:pPr>
      <w:r w:rsidRPr="004A4705">
        <w:rPr>
          <w:rStyle w:val="Refdenotaalpie"/>
          <w:rFonts w:ascii="Verdana" w:hAnsi="Verdana" w:cs="Arial"/>
          <w:sz w:val="16"/>
          <w:szCs w:val="16"/>
        </w:rPr>
        <w:footnoteRef/>
      </w:r>
      <w:r w:rsidRPr="004A4705">
        <w:rPr>
          <w:rFonts w:ascii="Verdana" w:hAnsi="Verdana" w:cs="Arial"/>
          <w:sz w:val="16"/>
          <w:szCs w:val="16"/>
        </w:rPr>
        <w:t xml:space="preserve"> </w:t>
      </w:r>
      <w:r w:rsidRPr="004A4705">
        <w:rPr>
          <w:rFonts w:ascii="Verdana" w:hAnsi="Verdana" w:cs="Arial"/>
          <w:sz w:val="16"/>
          <w:szCs w:val="16"/>
          <w:lang w:val="es-ES"/>
        </w:rPr>
        <w:t xml:space="preserve">Corte Constitucional. Sentencia C-489 de 26 de septiembre de 1996. Magistrado Ponente: Antonio Barrera Carbonell.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CF64647"/>
    <w:multiLevelType w:val="hybridMultilevel"/>
    <w:tmpl w:val="47E2407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22A66549"/>
    <w:multiLevelType w:val="hybridMultilevel"/>
    <w:tmpl w:val="E5F205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3917235"/>
    <w:multiLevelType w:val="hybridMultilevel"/>
    <w:tmpl w:val="77BCC2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82E5D0B"/>
    <w:multiLevelType w:val="hybridMultilevel"/>
    <w:tmpl w:val="69CE72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341274352">
    <w:abstractNumId w:val="0"/>
  </w:num>
  <w:num w:numId="17" w16cid:durableId="2139764406">
    <w:abstractNumId w:val="3"/>
  </w:num>
  <w:num w:numId="18" w16cid:durableId="803348058">
    <w:abstractNumId w:val="4"/>
  </w:num>
  <w:num w:numId="19" w16cid:durableId="585380331">
    <w:abstractNumId w:val="9"/>
  </w:num>
  <w:num w:numId="20" w16cid:durableId="18459769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976"/>
    <w:rsid w:val="00016F78"/>
    <w:rsid w:val="00046945"/>
    <w:rsid w:val="00061B2A"/>
    <w:rsid w:val="0006598F"/>
    <w:rsid w:val="00082362"/>
    <w:rsid w:val="000A683E"/>
    <w:rsid w:val="000B19B9"/>
    <w:rsid w:val="000D0334"/>
    <w:rsid w:val="000D6794"/>
    <w:rsid w:val="000F6486"/>
    <w:rsid w:val="00103728"/>
    <w:rsid w:val="00125105"/>
    <w:rsid w:val="00127233"/>
    <w:rsid w:val="00153988"/>
    <w:rsid w:val="001E4177"/>
    <w:rsid w:val="001F7DC6"/>
    <w:rsid w:val="00220EEC"/>
    <w:rsid w:val="002421BB"/>
    <w:rsid w:val="00245CC7"/>
    <w:rsid w:val="0025796E"/>
    <w:rsid w:val="002633DD"/>
    <w:rsid w:val="002707A2"/>
    <w:rsid w:val="00292362"/>
    <w:rsid w:val="002951A0"/>
    <w:rsid w:val="002962BC"/>
    <w:rsid w:val="002A093D"/>
    <w:rsid w:val="002A0DD0"/>
    <w:rsid w:val="002A49AC"/>
    <w:rsid w:val="002A64FD"/>
    <w:rsid w:val="002C7A84"/>
    <w:rsid w:val="002E4FD9"/>
    <w:rsid w:val="002E7F40"/>
    <w:rsid w:val="00307C59"/>
    <w:rsid w:val="00310680"/>
    <w:rsid w:val="00322A85"/>
    <w:rsid w:val="00324168"/>
    <w:rsid w:val="003448F4"/>
    <w:rsid w:val="00360762"/>
    <w:rsid w:val="00374F5E"/>
    <w:rsid w:val="00377E3E"/>
    <w:rsid w:val="00390A14"/>
    <w:rsid w:val="00392E24"/>
    <w:rsid w:val="003A779E"/>
    <w:rsid w:val="003A77F3"/>
    <w:rsid w:val="003D0F4D"/>
    <w:rsid w:val="003D5B0D"/>
    <w:rsid w:val="003E0499"/>
    <w:rsid w:val="003F3941"/>
    <w:rsid w:val="00406575"/>
    <w:rsid w:val="00414C74"/>
    <w:rsid w:val="0042722E"/>
    <w:rsid w:val="0044528D"/>
    <w:rsid w:val="00485A30"/>
    <w:rsid w:val="004A1847"/>
    <w:rsid w:val="004A305D"/>
    <w:rsid w:val="004A4705"/>
    <w:rsid w:val="004D12B2"/>
    <w:rsid w:val="004E3F75"/>
    <w:rsid w:val="004F21C4"/>
    <w:rsid w:val="004F685F"/>
    <w:rsid w:val="00525230"/>
    <w:rsid w:val="005566E8"/>
    <w:rsid w:val="00574867"/>
    <w:rsid w:val="00577631"/>
    <w:rsid w:val="00591460"/>
    <w:rsid w:val="005A79D3"/>
    <w:rsid w:val="005C3777"/>
    <w:rsid w:val="005C5CDC"/>
    <w:rsid w:val="005D476C"/>
    <w:rsid w:val="00605341"/>
    <w:rsid w:val="006219F8"/>
    <w:rsid w:val="006302F7"/>
    <w:rsid w:val="00665D70"/>
    <w:rsid w:val="006900D9"/>
    <w:rsid w:val="006922F7"/>
    <w:rsid w:val="006A760C"/>
    <w:rsid w:val="00706C16"/>
    <w:rsid w:val="00756841"/>
    <w:rsid w:val="00756BE8"/>
    <w:rsid w:val="00761241"/>
    <w:rsid w:val="007649AB"/>
    <w:rsid w:val="00771D0C"/>
    <w:rsid w:val="007833AC"/>
    <w:rsid w:val="007B268C"/>
    <w:rsid w:val="007B7171"/>
    <w:rsid w:val="007C0C0F"/>
    <w:rsid w:val="007C3DC2"/>
    <w:rsid w:val="007D5DCC"/>
    <w:rsid w:val="007E5497"/>
    <w:rsid w:val="00806F5F"/>
    <w:rsid w:val="00820278"/>
    <w:rsid w:val="00867F95"/>
    <w:rsid w:val="008843B6"/>
    <w:rsid w:val="00891928"/>
    <w:rsid w:val="00891F86"/>
    <w:rsid w:val="00897A3A"/>
    <w:rsid w:val="008A446D"/>
    <w:rsid w:val="008D180B"/>
    <w:rsid w:val="008D7634"/>
    <w:rsid w:val="008F0EA7"/>
    <w:rsid w:val="00910541"/>
    <w:rsid w:val="00923EEF"/>
    <w:rsid w:val="009419F9"/>
    <w:rsid w:val="00946091"/>
    <w:rsid w:val="0095685E"/>
    <w:rsid w:val="0095759C"/>
    <w:rsid w:val="00961B09"/>
    <w:rsid w:val="00965334"/>
    <w:rsid w:val="0097093E"/>
    <w:rsid w:val="0098577E"/>
    <w:rsid w:val="009A0DFA"/>
    <w:rsid w:val="009B25A8"/>
    <w:rsid w:val="009B2D26"/>
    <w:rsid w:val="009C71D7"/>
    <w:rsid w:val="009C71FA"/>
    <w:rsid w:val="009C72E7"/>
    <w:rsid w:val="009D3058"/>
    <w:rsid w:val="009F3A13"/>
    <w:rsid w:val="00A122D3"/>
    <w:rsid w:val="00A17F13"/>
    <w:rsid w:val="00A20739"/>
    <w:rsid w:val="00A33C78"/>
    <w:rsid w:val="00A62789"/>
    <w:rsid w:val="00AB0ADB"/>
    <w:rsid w:val="00B00C0E"/>
    <w:rsid w:val="00B01B1A"/>
    <w:rsid w:val="00B06BDA"/>
    <w:rsid w:val="00B44A47"/>
    <w:rsid w:val="00B72CD3"/>
    <w:rsid w:val="00B72FFF"/>
    <w:rsid w:val="00BA52DC"/>
    <w:rsid w:val="00BC0660"/>
    <w:rsid w:val="00BC3D36"/>
    <w:rsid w:val="00BD7F72"/>
    <w:rsid w:val="00C04E46"/>
    <w:rsid w:val="00C04FB3"/>
    <w:rsid w:val="00C279DA"/>
    <w:rsid w:val="00C330EB"/>
    <w:rsid w:val="00C37C31"/>
    <w:rsid w:val="00C754BE"/>
    <w:rsid w:val="00C76B1C"/>
    <w:rsid w:val="00CB6357"/>
    <w:rsid w:val="00CC1B26"/>
    <w:rsid w:val="00CE4CB0"/>
    <w:rsid w:val="00D23696"/>
    <w:rsid w:val="00D423A2"/>
    <w:rsid w:val="00D520D8"/>
    <w:rsid w:val="00D63AC2"/>
    <w:rsid w:val="00D64A20"/>
    <w:rsid w:val="00D658FB"/>
    <w:rsid w:val="00D7383B"/>
    <w:rsid w:val="00D86872"/>
    <w:rsid w:val="00DA231B"/>
    <w:rsid w:val="00DC04B6"/>
    <w:rsid w:val="00DC39FC"/>
    <w:rsid w:val="00DE0933"/>
    <w:rsid w:val="00DF5254"/>
    <w:rsid w:val="00E16408"/>
    <w:rsid w:val="00E20894"/>
    <w:rsid w:val="00E245AB"/>
    <w:rsid w:val="00E2764C"/>
    <w:rsid w:val="00E27F2E"/>
    <w:rsid w:val="00E32ACE"/>
    <w:rsid w:val="00E40B2A"/>
    <w:rsid w:val="00E44C63"/>
    <w:rsid w:val="00E50AFE"/>
    <w:rsid w:val="00E61583"/>
    <w:rsid w:val="00E66C3B"/>
    <w:rsid w:val="00E72D8F"/>
    <w:rsid w:val="00E75C92"/>
    <w:rsid w:val="00E771DC"/>
    <w:rsid w:val="00E82814"/>
    <w:rsid w:val="00E84CB8"/>
    <w:rsid w:val="00E8772A"/>
    <w:rsid w:val="00E90F6B"/>
    <w:rsid w:val="00E92C27"/>
    <w:rsid w:val="00EA0E3D"/>
    <w:rsid w:val="00EC38A7"/>
    <w:rsid w:val="00ED5877"/>
    <w:rsid w:val="00EE1AA8"/>
    <w:rsid w:val="00EE31CA"/>
    <w:rsid w:val="00F15911"/>
    <w:rsid w:val="00F15FB3"/>
    <w:rsid w:val="00F30A02"/>
    <w:rsid w:val="00F31EDC"/>
    <w:rsid w:val="00F4133E"/>
    <w:rsid w:val="00F462B3"/>
    <w:rsid w:val="00F5664F"/>
    <w:rsid w:val="00F66059"/>
    <w:rsid w:val="00F666C4"/>
    <w:rsid w:val="00F76AFC"/>
    <w:rsid w:val="00F82D17"/>
    <w:rsid w:val="00F83F94"/>
    <w:rsid w:val="00F9008B"/>
    <w:rsid w:val="00FA47C0"/>
    <w:rsid w:val="00FB5DD1"/>
    <w:rsid w:val="00FC2980"/>
    <w:rsid w:val="00FC2B5D"/>
    <w:rsid w:val="00FE16D9"/>
    <w:rsid w:val="00FF1449"/>
    <w:rsid w:val="0E7FB6B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E7F4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E7F40"/>
    <w:rPr>
      <w:rFonts w:ascii="Geomanist Light" w:hAnsi="Geomanist Light"/>
      <w:lang w:val="es-ES"/>
    </w:rPr>
  </w:style>
  <w:style w:type="character" w:styleId="Textoennegrita">
    <w:name w:val="Strong"/>
    <w:basedOn w:val="Fuentedeprrafopredeter"/>
    <w:uiPriority w:val="22"/>
    <w:qFormat/>
    <w:rsid w:val="002633DD"/>
    <w:rPr>
      <w:b/>
      <w:bCs/>
    </w:rPr>
  </w:style>
  <w:style w:type="character" w:styleId="nfasis">
    <w:name w:val="Emphasis"/>
    <w:basedOn w:val="Fuentedeprrafopredeter"/>
    <w:uiPriority w:val="20"/>
    <w:qFormat/>
    <w:rsid w:val="002633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diana.saavedra%40colombiacompra.gov.co%7C5aad36a736844ec87b2108dcc1fa4639%7C7b09041e245149d08cb179d5e3d8c1be%7C0%7C0%7C638598527919381538%7CUnknown%7CTWFpbGZsb3d8eyJWIjoiMC4wLjAwMDAiLCJQIjoiV2luMzIiLCJBTiI6Ik1haWwiLCJXVCI6Mn0%3D%7C0%7C%7C%7C&amp;sdata=SERqhYSkJwg8ErCStGLk4AEF5F37T6rV9QxmABE7T84%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cretariogeneral@concejodepasto.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E828D1-1B65-4670-B678-5C57AC38A5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infopath/2007/PartnerControls"/>
    <ds:schemaRef ds:uri="http://purl.org/dc/terms/"/>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a6cb9e4b-f1d1-4245-83ec-6cad768d538a"/>
    <ds:schemaRef ds:uri="9d85dbaf-23eb-4e57-a637-93dcacc8b1a1"/>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16</Pages>
  <Words>5139</Words>
  <Characters>28265</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2025-10-10T16:37:00Z</dcterms:created>
  <dcterms:modified xsi:type="dcterms:W3CDTF">2025-10-10T16:37:00Z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