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03304" w14:textId="77777777" w:rsidR="00B52507" w:rsidRPr="00C919A3" w:rsidRDefault="00B52507" w:rsidP="00C919A3">
      <w:pPr>
        <w:snapToGrid w:val="0"/>
        <w:spacing w:after="0" w:line="240" w:lineRule="auto"/>
        <w:contextualSpacing/>
        <w:rPr>
          <w:rFonts w:ascii="Verdana" w:hAnsi="Verdana" w:cs="Arial"/>
          <w:b/>
        </w:rPr>
      </w:pPr>
      <w:r w:rsidRPr="00C919A3">
        <w:rPr>
          <w:rFonts w:ascii="Verdana" w:hAnsi="Verdana" w:cs="Arial"/>
          <w:b/>
        </w:rPr>
        <w:t>ANTICIPO – Definición</w:t>
      </w:r>
    </w:p>
    <w:p w14:paraId="6EE0F7E1" w14:textId="77777777" w:rsidR="00C919A3" w:rsidRDefault="00C919A3" w:rsidP="00C919A3">
      <w:pPr>
        <w:shd w:val="clear" w:color="auto" w:fill="FFFFFF"/>
        <w:snapToGrid w:val="0"/>
        <w:contextualSpacing/>
        <w:jc w:val="both"/>
        <w:textAlignment w:val="baseline"/>
        <w:rPr>
          <w:rFonts w:ascii="Verdana" w:eastAsia="Arial" w:hAnsi="Verdana" w:cs="Arial"/>
          <w:sz w:val="20"/>
          <w:szCs w:val="20"/>
          <w:lang w:eastAsia="es-ES" w:bidi="es-ES"/>
        </w:rPr>
      </w:pPr>
    </w:p>
    <w:p w14:paraId="31E7CEDE" w14:textId="5083E47A" w:rsidR="00B2561F" w:rsidRPr="00C919A3" w:rsidRDefault="00B2561F" w:rsidP="00C919A3">
      <w:pPr>
        <w:shd w:val="clear" w:color="auto" w:fill="FFFFFF"/>
        <w:snapToGrid w:val="0"/>
        <w:spacing w:after="0" w:line="240" w:lineRule="auto"/>
        <w:contextualSpacing/>
        <w:jc w:val="both"/>
        <w:textAlignment w:val="baseline"/>
        <w:rPr>
          <w:rFonts w:ascii="Verdana" w:eastAsia="Calibri" w:hAnsi="Verdana" w:cs="Arial"/>
          <w:bCs/>
          <w:sz w:val="20"/>
          <w:szCs w:val="20"/>
        </w:rPr>
      </w:pPr>
      <w:r w:rsidRPr="00C919A3">
        <w:rPr>
          <w:rFonts w:ascii="Verdana" w:eastAsia="Arial" w:hAnsi="Verdana" w:cs="Arial"/>
          <w:sz w:val="20"/>
          <w:szCs w:val="20"/>
          <w:lang w:eastAsia="es-ES" w:bidi="es-ES"/>
        </w:rPr>
        <w:t xml:space="preserve">Esta institución es un mecanismo de apalancamiento financiero que implica un endeudamiento, que posibilita que la entidad contratante le entregue </w:t>
      </w:r>
      <w:r w:rsidRPr="00C919A3">
        <w:rPr>
          <w:rFonts w:ascii="Verdana" w:eastAsia="Arial" w:hAnsi="Verdana" w:cs="Arial"/>
          <w:i/>
          <w:sz w:val="20"/>
          <w:szCs w:val="20"/>
          <w:lang w:eastAsia="es-ES" w:bidi="es-ES"/>
        </w:rPr>
        <w:t xml:space="preserve">ex ante </w:t>
      </w:r>
      <w:r w:rsidRPr="00C919A3">
        <w:rPr>
          <w:rFonts w:ascii="Verdana" w:eastAsia="Arial" w:hAnsi="Verdana" w:cs="Arial"/>
          <w:sz w:val="20"/>
          <w:szCs w:val="20"/>
          <w:lang w:eastAsia="es-ES" w:bidi="es-ES"/>
        </w:rPr>
        <w:t xml:space="preserve">una suma de dinero al contratista, con el propósito de iniciar la ejecución del proyecto, la cual es amortizada y debitada de la contraprestación pactada. Mientras el pago anticipado </w:t>
      </w:r>
      <w:r w:rsidRPr="00C919A3">
        <w:rPr>
          <w:rFonts w:ascii="Verdana" w:eastAsia="Arial" w:hAnsi="Verdana" w:cs="Arial"/>
          <w:sz w:val="20"/>
          <w:szCs w:val="20"/>
          <w:lang w:val="es-ES" w:eastAsia="es-ES" w:bidi="es-ES"/>
        </w:rPr>
        <w:t>es un pago efectivo del precio que se efectúa y se causa en forma anticipada. Por tanto, los recursos se integran al patrimonio del contratista desde su desembolso.</w:t>
      </w:r>
      <w:r w:rsidRPr="00C919A3">
        <w:rPr>
          <w:rFonts w:ascii="Bookman Old Style" w:eastAsia="Calibri" w:hAnsi="Bookman Old Style" w:cs="Times New Roman"/>
          <w:sz w:val="20"/>
          <w:szCs w:val="20"/>
          <w:lang w:val="es-ES"/>
        </w:rPr>
        <w:t xml:space="preserve"> </w:t>
      </w:r>
    </w:p>
    <w:p w14:paraId="2B45EE02" w14:textId="77777777" w:rsidR="00C919A3" w:rsidRDefault="00C919A3" w:rsidP="00C919A3">
      <w:pPr>
        <w:snapToGrid w:val="0"/>
        <w:contextualSpacing/>
        <w:rPr>
          <w:rFonts w:ascii="Verdana" w:eastAsia="Calibri" w:hAnsi="Verdana" w:cs="Arial"/>
          <w:bCs/>
          <w:sz w:val="20"/>
          <w:szCs w:val="20"/>
        </w:rPr>
      </w:pPr>
    </w:p>
    <w:p w14:paraId="34F4185D" w14:textId="7D6F20B0" w:rsidR="00B52507" w:rsidRPr="00C919A3" w:rsidRDefault="00B52507" w:rsidP="00C919A3">
      <w:pPr>
        <w:snapToGrid w:val="0"/>
        <w:spacing w:after="0" w:line="240" w:lineRule="auto"/>
        <w:contextualSpacing/>
        <w:jc w:val="both"/>
        <w:rPr>
          <w:rFonts w:ascii="Verdana" w:eastAsia="Calibri" w:hAnsi="Verdana" w:cs="Arial"/>
          <w:b/>
        </w:rPr>
      </w:pPr>
      <w:r w:rsidRPr="00C919A3">
        <w:rPr>
          <w:rFonts w:ascii="Verdana" w:eastAsia="Calibri" w:hAnsi="Verdana" w:cs="Arial"/>
          <w:b/>
        </w:rPr>
        <w:t>PAGO ANTICIPADO Y/O ANTICIPO – Límites – Aplicación – Con</w:t>
      </w:r>
      <w:r w:rsidR="00B2561F" w:rsidRPr="00C919A3">
        <w:rPr>
          <w:rFonts w:ascii="Verdana" w:eastAsia="Calibri" w:hAnsi="Verdana" w:cs="Arial"/>
          <w:b/>
        </w:rPr>
        <w:t>venios</w:t>
      </w:r>
      <w:r w:rsidRPr="00C919A3">
        <w:rPr>
          <w:rFonts w:ascii="Verdana" w:eastAsia="Calibri" w:hAnsi="Verdana" w:cs="Arial"/>
          <w:b/>
        </w:rPr>
        <w:t xml:space="preserve"> interadministrativos</w:t>
      </w:r>
    </w:p>
    <w:p w14:paraId="0E340379" w14:textId="77777777" w:rsidR="00C919A3" w:rsidRDefault="00C919A3" w:rsidP="00C919A3">
      <w:pPr>
        <w:shd w:val="clear" w:color="auto" w:fill="FFFFFF" w:themeFill="background1"/>
        <w:snapToGrid w:val="0"/>
        <w:contextualSpacing/>
        <w:jc w:val="both"/>
        <w:textAlignment w:val="baseline"/>
        <w:rPr>
          <w:rFonts w:ascii="Verdana" w:eastAsia="Times New Roman" w:hAnsi="Verdana" w:cs="Arial"/>
          <w:bCs/>
          <w:sz w:val="20"/>
          <w:szCs w:val="20"/>
          <w:lang w:val="es-ES" w:eastAsia="es-CO"/>
        </w:rPr>
      </w:pPr>
    </w:p>
    <w:p w14:paraId="191AB690" w14:textId="06457170" w:rsidR="00B2561F" w:rsidRPr="00C919A3" w:rsidRDefault="00B2561F" w:rsidP="00C919A3">
      <w:pPr>
        <w:shd w:val="clear" w:color="auto" w:fill="FFFFFF" w:themeFill="background1"/>
        <w:snapToGrid w:val="0"/>
        <w:spacing w:after="0" w:line="240" w:lineRule="auto"/>
        <w:contextualSpacing/>
        <w:jc w:val="both"/>
        <w:textAlignment w:val="baseline"/>
        <w:rPr>
          <w:rFonts w:ascii="Verdana" w:eastAsia="Arial" w:hAnsi="Verdana" w:cs="Arial"/>
          <w:sz w:val="20"/>
          <w:szCs w:val="20"/>
          <w:lang w:eastAsia="es-ES" w:bidi="es-ES"/>
        </w:rPr>
      </w:pPr>
      <w:r w:rsidRPr="00C919A3">
        <w:rPr>
          <w:rFonts w:ascii="Verdana" w:eastAsia="Times New Roman" w:hAnsi="Verdana" w:cs="Arial"/>
          <w:bCs/>
          <w:sz w:val="20"/>
          <w:szCs w:val="20"/>
          <w:lang w:val="es-ES" w:eastAsia="es-CO"/>
        </w:rPr>
        <w:t>L</w:t>
      </w:r>
      <w:r w:rsidRPr="00C919A3">
        <w:rPr>
          <w:rFonts w:ascii="Verdana" w:eastAsia="Calibri" w:hAnsi="Verdana" w:cs="Arial"/>
          <w:bCs/>
          <w:sz w:val="20"/>
          <w:szCs w:val="20"/>
        </w:rPr>
        <w:t>os convenios interadministrativos tienen una finalidad asociativa, según la cual las partes asumen objetivos comunes. Tal como lo ha señalado el Consejo de Estado, no tienen un interés puramente económico, de modo que no se constituye el pago de una contraprestación como resultado del cumplimiento de ciertas actividades u obligaciones. Por otra parte, e</w:t>
      </w:r>
      <w:r w:rsidRPr="00C919A3">
        <w:rPr>
          <w:rFonts w:ascii="Verdana" w:eastAsia="Arial" w:hAnsi="Verdana" w:cs="Arial"/>
          <w:sz w:val="20"/>
          <w:szCs w:val="20"/>
          <w:lang w:eastAsia="es-ES" w:bidi="es-ES"/>
        </w:rPr>
        <w:t xml:space="preserve">n materia de contratación pública, el anticipo ha sido definido como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 </w:t>
      </w:r>
    </w:p>
    <w:p w14:paraId="52970270" w14:textId="77777777" w:rsidR="00C919A3" w:rsidRDefault="00C919A3" w:rsidP="00C919A3">
      <w:pPr>
        <w:shd w:val="clear" w:color="auto" w:fill="FFFFFF" w:themeFill="background1"/>
        <w:snapToGrid w:val="0"/>
        <w:contextualSpacing/>
        <w:jc w:val="both"/>
        <w:textAlignment w:val="baseline"/>
        <w:rPr>
          <w:rFonts w:ascii="Verdana" w:eastAsia="Arial" w:hAnsi="Verdana" w:cs="Arial"/>
          <w:sz w:val="20"/>
          <w:szCs w:val="20"/>
          <w:lang w:eastAsia="es-ES" w:bidi="es-ES"/>
        </w:rPr>
      </w:pPr>
    </w:p>
    <w:p w14:paraId="4A0BF3AD" w14:textId="014F19A2" w:rsidR="00B2561F" w:rsidRPr="00C919A3" w:rsidRDefault="00B2561F" w:rsidP="00C919A3">
      <w:pPr>
        <w:shd w:val="clear" w:color="auto" w:fill="FFFFFF" w:themeFill="background1"/>
        <w:snapToGrid w:val="0"/>
        <w:spacing w:after="0" w:line="240" w:lineRule="auto"/>
        <w:contextualSpacing/>
        <w:jc w:val="both"/>
        <w:textAlignment w:val="baseline"/>
        <w:rPr>
          <w:rFonts w:ascii="Verdana" w:eastAsia="Arial" w:hAnsi="Verdana" w:cs="Arial"/>
          <w:sz w:val="20"/>
          <w:szCs w:val="20"/>
          <w:lang w:eastAsia="es-ES" w:bidi="es-ES"/>
        </w:rPr>
      </w:pPr>
      <w:r w:rsidRPr="00C919A3">
        <w:rPr>
          <w:rFonts w:ascii="Verdana" w:eastAsia="Arial" w:hAnsi="Verdana" w:cs="Arial"/>
          <w:sz w:val="20"/>
          <w:szCs w:val="20"/>
          <w:lang w:eastAsia="es-ES" w:bidi="es-ES"/>
        </w:rPr>
        <w:t>[…]</w:t>
      </w:r>
      <w:r w:rsidR="00C919A3">
        <w:rPr>
          <w:rFonts w:ascii="Verdana" w:eastAsia="Arial" w:hAnsi="Verdana" w:cs="Arial"/>
          <w:sz w:val="20"/>
          <w:szCs w:val="20"/>
          <w:lang w:eastAsia="es-ES" w:bidi="es-ES"/>
        </w:rPr>
        <w:t xml:space="preserve"> </w:t>
      </w:r>
      <w:r w:rsidRPr="00C919A3">
        <w:rPr>
          <w:rFonts w:ascii="Verdana" w:eastAsia="Arial" w:hAnsi="Verdana" w:cs="Arial"/>
          <w:sz w:val="20"/>
          <w:szCs w:val="20"/>
          <w:lang w:eastAsia="es-ES" w:bidi="es-ES"/>
        </w:rPr>
        <w:t xml:space="preserve">Conforme a lo expresado,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 como los convenios interadministrativos, que se caractericen por no recibir </w:t>
      </w:r>
      <w:r w:rsidRPr="00C919A3">
        <w:rPr>
          <w:rFonts w:ascii="Verdana" w:eastAsia="Calibri" w:hAnsi="Verdana" w:cs="Arial"/>
          <w:bCs/>
          <w:sz w:val="20"/>
          <w:szCs w:val="20"/>
        </w:rPr>
        <w:t xml:space="preserve">una contraprestación económica, </w:t>
      </w:r>
      <w:r w:rsidRPr="00C919A3">
        <w:rPr>
          <w:rFonts w:ascii="Verdana" w:eastAsia="Calibri" w:hAnsi="Verdana" w:cs="Arial"/>
          <w:bCs/>
          <w:i/>
          <w:iCs/>
          <w:sz w:val="20"/>
          <w:szCs w:val="20"/>
        </w:rPr>
        <w:t>no es aplicable la remisión integral al anticipo o pago anticipado</w:t>
      </w:r>
      <w:r w:rsidRPr="00C919A3">
        <w:rPr>
          <w:rFonts w:ascii="Verdana" w:eastAsia="Calibri" w:hAnsi="Verdana" w:cs="Arial"/>
          <w:bCs/>
          <w:sz w:val="20"/>
          <w:szCs w:val="20"/>
        </w:rPr>
        <w:t>, lo cual implica que tampoco lo es la limitación porcentual que al respecto establece el artículo 40 de la Ley 80 de 1993.</w:t>
      </w:r>
    </w:p>
    <w:p w14:paraId="5ABCD3EB" w14:textId="77777777" w:rsidR="00B2561F" w:rsidRPr="00C919A3" w:rsidRDefault="00B2561F" w:rsidP="00C919A3">
      <w:pPr>
        <w:snapToGrid w:val="0"/>
        <w:spacing w:after="0" w:line="240" w:lineRule="auto"/>
        <w:contextualSpacing/>
        <w:rPr>
          <w:rFonts w:ascii="Verdana" w:eastAsia="Calibri" w:hAnsi="Verdana" w:cs="Arial"/>
          <w:bCs/>
          <w:sz w:val="20"/>
          <w:szCs w:val="20"/>
        </w:rPr>
      </w:pPr>
    </w:p>
    <w:p w14:paraId="71582BC4" w14:textId="77777777" w:rsidR="00B52507" w:rsidRDefault="00B52507" w:rsidP="00FC7BA5">
      <w:pPr>
        <w:spacing w:after="0"/>
        <w:rPr>
          <w:rFonts w:ascii="Verdana" w:hAnsi="Verdana"/>
        </w:rPr>
      </w:pPr>
    </w:p>
    <w:p w14:paraId="6F1AC38D" w14:textId="77777777" w:rsidR="00C919A3" w:rsidRDefault="00C919A3" w:rsidP="00FC7BA5">
      <w:pPr>
        <w:spacing w:after="0"/>
        <w:rPr>
          <w:rFonts w:ascii="Verdana" w:hAnsi="Verdana"/>
        </w:rPr>
      </w:pPr>
    </w:p>
    <w:p w14:paraId="7E9D6ACB" w14:textId="77777777" w:rsidR="00C919A3" w:rsidRDefault="00C919A3" w:rsidP="00FC7BA5">
      <w:pPr>
        <w:spacing w:after="0"/>
        <w:rPr>
          <w:rFonts w:ascii="Verdana" w:hAnsi="Verdana"/>
        </w:rPr>
      </w:pPr>
    </w:p>
    <w:p w14:paraId="243A4370" w14:textId="77777777" w:rsidR="00C919A3" w:rsidRDefault="00C919A3" w:rsidP="00FC7BA5">
      <w:pPr>
        <w:spacing w:after="0"/>
        <w:rPr>
          <w:rFonts w:ascii="Verdana" w:hAnsi="Verdana"/>
        </w:rPr>
      </w:pPr>
    </w:p>
    <w:p w14:paraId="4AA29EAF" w14:textId="77777777" w:rsidR="00C919A3" w:rsidRDefault="00C919A3" w:rsidP="00FC7BA5">
      <w:pPr>
        <w:spacing w:after="0"/>
        <w:rPr>
          <w:rFonts w:ascii="Verdana" w:hAnsi="Verdana"/>
        </w:rPr>
      </w:pPr>
    </w:p>
    <w:p w14:paraId="4FBF65D1" w14:textId="77777777" w:rsidR="00C919A3" w:rsidRDefault="00C919A3" w:rsidP="00FC7BA5">
      <w:pPr>
        <w:spacing w:after="0"/>
        <w:rPr>
          <w:rFonts w:ascii="Verdana" w:hAnsi="Verdana"/>
        </w:rPr>
      </w:pPr>
    </w:p>
    <w:p w14:paraId="4F8E8FF1" w14:textId="77777777" w:rsidR="00C919A3" w:rsidRDefault="00C919A3" w:rsidP="00FC7BA5">
      <w:pPr>
        <w:spacing w:after="0"/>
        <w:rPr>
          <w:rFonts w:ascii="Verdana" w:hAnsi="Verdana"/>
        </w:rPr>
      </w:pPr>
    </w:p>
    <w:p w14:paraId="2980BF73" w14:textId="77777777" w:rsidR="00C919A3" w:rsidRDefault="00C919A3" w:rsidP="00FC7BA5">
      <w:pPr>
        <w:spacing w:after="0"/>
        <w:rPr>
          <w:rFonts w:ascii="Verdana" w:hAnsi="Verdana"/>
        </w:rPr>
      </w:pPr>
    </w:p>
    <w:p w14:paraId="0BE80983" w14:textId="77777777" w:rsidR="00C919A3" w:rsidRDefault="00C919A3" w:rsidP="00FC7BA5">
      <w:pPr>
        <w:spacing w:after="0"/>
        <w:rPr>
          <w:rFonts w:ascii="Verdana" w:hAnsi="Verdana"/>
        </w:rPr>
      </w:pPr>
    </w:p>
    <w:p w14:paraId="2093D79C" w14:textId="77777777" w:rsidR="00C919A3" w:rsidRDefault="00C919A3" w:rsidP="00FC7BA5">
      <w:pPr>
        <w:spacing w:after="0"/>
        <w:rPr>
          <w:rFonts w:ascii="Verdana" w:hAnsi="Verdana"/>
        </w:rPr>
      </w:pPr>
    </w:p>
    <w:p w14:paraId="7772B9C3" w14:textId="77777777" w:rsidR="00C919A3" w:rsidRDefault="00C919A3" w:rsidP="00FC7BA5">
      <w:pPr>
        <w:spacing w:after="0"/>
        <w:rPr>
          <w:rFonts w:ascii="Verdana" w:hAnsi="Verdana"/>
        </w:rPr>
      </w:pPr>
    </w:p>
    <w:p w14:paraId="41B84A79" w14:textId="62C33FC8" w:rsidR="00FC7BA5" w:rsidRPr="00661383" w:rsidRDefault="00FC7BA5" w:rsidP="00FC7BA5">
      <w:pPr>
        <w:spacing w:after="0"/>
        <w:rPr>
          <w:rFonts w:ascii="Verdana" w:hAnsi="Verdana"/>
        </w:rPr>
      </w:pPr>
      <w:r w:rsidRPr="00661383">
        <w:rPr>
          <w:rFonts w:ascii="Verdana" w:hAnsi="Verdana"/>
        </w:rPr>
        <w:lastRenderedPageBreak/>
        <w:t xml:space="preserve">Bogotá D.C., </w:t>
      </w:r>
      <w:r w:rsidR="00B52507">
        <w:rPr>
          <w:rFonts w:ascii="Verdana" w:hAnsi="Verdana"/>
        </w:rPr>
        <w:t>07 de octubre de 2025</w:t>
      </w:r>
      <w:r w:rsidRPr="00661383">
        <w:rPr>
          <w:rFonts w:ascii="Verdana" w:hAnsi="Verdana"/>
        </w:rPr>
        <w:tab/>
      </w:r>
    </w:p>
    <w:p w14:paraId="560DDCE5" w14:textId="1AB21B49" w:rsidR="00FC7BA5" w:rsidRPr="00661383" w:rsidRDefault="00FC7BA5" w:rsidP="00FC7BA5">
      <w:pPr>
        <w:spacing w:after="0"/>
        <w:rPr>
          <w:rFonts w:ascii="Verdana" w:hAnsi="Verdana"/>
          <w:lang w:val="es-ES"/>
        </w:rPr>
      </w:pPr>
    </w:p>
    <w:p w14:paraId="6CE02E55" w14:textId="3DCD78B1" w:rsidR="00FC7BA5" w:rsidRPr="00661383" w:rsidRDefault="00C919A3" w:rsidP="00FC7BA5">
      <w:pPr>
        <w:spacing w:after="0" w:line="240" w:lineRule="auto"/>
        <w:rPr>
          <w:rFonts w:ascii="Verdana" w:hAnsi="Verdana"/>
          <w:lang w:val="es-ES"/>
        </w:rPr>
      </w:pPr>
      <w:bookmarkStart w:id="0" w:name="_Hlk143780582"/>
      <w:r>
        <w:rPr>
          <w:rFonts w:ascii="Verdana" w:eastAsia="Calibri" w:hAnsi="Verdana" w:cs="Arial"/>
          <w:b/>
          <w:noProof/>
          <w:color w:val="000000" w:themeColor="text1"/>
          <w:lang w:eastAsia="es-ES"/>
        </w:rPr>
        <w:drawing>
          <wp:anchor distT="0" distB="0" distL="114300" distR="114300" simplePos="0" relativeHeight="251660288" behindDoc="0" locked="0" layoutInCell="1" allowOverlap="1" wp14:anchorId="31E3179E" wp14:editId="1F74A3FE">
            <wp:simplePos x="0" y="0"/>
            <wp:positionH relativeFrom="column">
              <wp:posOffset>2825750</wp:posOffset>
            </wp:positionH>
            <wp:positionV relativeFrom="page">
              <wp:posOffset>1706880</wp:posOffset>
            </wp:positionV>
            <wp:extent cx="2517775" cy="665480"/>
            <wp:effectExtent l="0" t="0" r="0" b="0"/>
            <wp:wrapSquare wrapText="bothSides"/>
            <wp:docPr id="953355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355107" name="Picture 953355107"/>
                    <pic:cNvPicPr/>
                  </pic:nvPicPr>
                  <pic:blipFill>
                    <a:blip r:embed="rId10">
                      <a:extLst>
                        <a:ext uri="{28A0092B-C50C-407E-A947-70E740481C1C}">
                          <a14:useLocalDpi xmlns:a14="http://schemas.microsoft.com/office/drawing/2010/main" val="0"/>
                        </a:ext>
                      </a:extLst>
                    </a:blip>
                    <a:stretch>
                      <a:fillRect/>
                    </a:stretch>
                  </pic:blipFill>
                  <pic:spPr>
                    <a:xfrm>
                      <a:off x="0" y="0"/>
                      <a:ext cx="2517775" cy="665480"/>
                    </a:xfrm>
                    <a:prstGeom prst="rect">
                      <a:avLst/>
                    </a:prstGeom>
                  </pic:spPr>
                </pic:pic>
              </a:graphicData>
            </a:graphic>
            <wp14:sizeRelH relativeFrom="page">
              <wp14:pctWidth>0</wp14:pctWidth>
            </wp14:sizeRelH>
            <wp14:sizeRelV relativeFrom="page">
              <wp14:pctHeight>0</wp14:pctHeight>
            </wp14:sizeRelV>
          </wp:anchor>
        </w:drawing>
      </w:r>
      <w:r w:rsidR="00FC7BA5" w:rsidRPr="00661383">
        <w:rPr>
          <w:rFonts w:ascii="Verdana" w:eastAsia="Calibri" w:hAnsi="Verdana" w:cs="Arial"/>
          <w:color w:val="000000" w:themeColor="text1"/>
          <w:lang w:val="es-ES" w:eastAsia="es-ES"/>
        </w:rPr>
        <w:t>Señor</w:t>
      </w:r>
    </w:p>
    <w:p w14:paraId="6F5E575B" w14:textId="6051F6F1" w:rsidR="00FC7BA5" w:rsidRPr="00D67A24" w:rsidRDefault="00B52507" w:rsidP="00FC7BA5">
      <w:pPr>
        <w:spacing w:after="0"/>
        <w:rPr>
          <w:rFonts w:ascii="Verdana" w:eastAsia="Calibri" w:hAnsi="Verdana" w:cs="Arial"/>
          <w:b/>
          <w:color w:val="000000" w:themeColor="text1"/>
          <w:lang w:eastAsia="es-ES"/>
        </w:rPr>
      </w:pPr>
      <w:r w:rsidRPr="00661383">
        <w:rPr>
          <w:rFonts w:ascii="Verdana" w:eastAsia="Calibri" w:hAnsi="Verdana" w:cs="Arial"/>
          <w:b/>
          <w:color w:val="000000" w:themeColor="text1"/>
          <w:lang w:eastAsia="es-ES"/>
        </w:rPr>
        <w:t>Iván</w:t>
      </w:r>
      <w:r w:rsidR="00FC7BA5" w:rsidRPr="00661383">
        <w:rPr>
          <w:rFonts w:ascii="Verdana" w:eastAsia="Calibri" w:hAnsi="Verdana" w:cs="Arial"/>
          <w:b/>
          <w:color w:val="000000" w:themeColor="text1"/>
          <w:lang w:eastAsia="es-ES"/>
        </w:rPr>
        <w:t xml:space="preserve"> Darío Gutiérrez Cardozo </w:t>
      </w:r>
    </w:p>
    <w:p w14:paraId="114A2E3B" w14:textId="77777777" w:rsidR="00FC7BA5" w:rsidRPr="00661383" w:rsidRDefault="00E103BB" w:rsidP="00FC7BA5">
      <w:pPr>
        <w:spacing w:after="0" w:line="240" w:lineRule="auto"/>
        <w:rPr>
          <w:rFonts w:ascii="Verdana" w:eastAsia="Calibri" w:hAnsi="Verdana" w:cs="Arial"/>
          <w:color w:val="000000" w:themeColor="text1"/>
          <w:lang w:eastAsia="es-ES"/>
        </w:rPr>
      </w:pPr>
      <w:hyperlink r:id="rId11" w:history="1">
        <w:r w:rsidR="00FC7BA5" w:rsidRPr="00D67A24">
          <w:rPr>
            <w:rStyle w:val="Hipervnculo"/>
            <w:rFonts w:ascii="Verdana" w:eastAsia="Calibri" w:hAnsi="Verdana" w:cs="Arial"/>
            <w:lang w:eastAsia="es-ES"/>
          </w:rPr>
          <w:t>ivandariog@hotmail.com</w:t>
        </w:r>
      </w:hyperlink>
    </w:p>
    <w:p w14:paraId="65DC3DC3" w14:textId="77777777" w:rsidR="00FC7BA5" w:rsidRPr="004D1CBF" w:rsidRDefault="00FC7BA5" w:rsidP="00FC7BA5">
      <w:pPr>
        <w:spacing w:after="0" w:line="240" w:lineRule="auto"/>
        <w:rPr>
          <w:rFonts w:ascii="Verdana" w:eastAsia="Calibri" w:hAnsi="Verdana" w:cs="Arial"/>
          <w:color w:val="000000" w:themeColor="text1"/>
          <w:lang w:eastAsia="es-ES"/>
        </w:rPr>
      </w:pPr>
      <w:r w:rsidRPr="00661383">
        <w:rPr>
          <w:rFonts w:ascii="Verdana" w:eastAsia="Calibri" w:hAnsi="Verdana" w:cs="Arial"/>
          <w:color w:val="000000" w:themeColor="text1"/>
          <w:lang w:eastAsia="es-ES"/>
        </w:rPr>
        <w:t>Neiva, Huila</w:t>
      </w:r>
    </w:p>
    <w:p w14:paraId="4D3A41BF" w14:textId="77777777" w:rsidR="00FC7BA5" w:rsidRPr="00661383" w:rsidRDefault="00FC7BA5" w:rsidP="00FC7BA5">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C7BA5" w:rsidRPr="00661383" w14:paraId="50862EA4" w14:textId="77777777" w:rsidTr="00045987">
        <w:trPr>
          <w:trHeight w:val="300"/>
        </w:trPr>
        <w:tc>
          <w:tcPr>
            <w:tcW w:w="2410" w:type="dxa"/>
          </w:tcPr>
          <w:p w14:paraId="4EF92968" w14:textId="77777777" w:rsidR="00FC7BA5" w:rsidRPr="00661383" w:rsidRDefault="00FC7BA5" w:rsidP="00045987">
            <w:pPr>
              <w:ind w:left="-142"/>
              <w:jc w:val="both"/>
              <w:rPr>
                <w:rFonts w:ascii="Verdana" w:eastAsia="Calibri" w:hAnsi="Verdana" w:cs="Arial"/>
                <w:b/>
                <w:bCs/>
                <w:color w:val="000000" w:themeColor="text1"/>
                <w:lang w:val="es-ES" w:eastAsia="es-ES_tradnl"/>
              </w:rPr>
            </w:pPr>
          </w:p>
        </w:tc>
        <w:tc>
          <w:tcPr>
            <w:tcW w:w="6100" w:type="dxa"/>
          </w:tcPr>
          <w:p w14:paraId="47B65FA2" w14:textId="77777777" w:rsidR="00FC7BA5" w:rsidRPr="00661383" w:rsidRDefault="00FC7BA5" w:rsidP="00045987">
            <w:pPr>
              <w:ind w:left="3"/>
              <w:jc w:val="both"/>
              <w:rPr>
                <w:rFonts w:ascii="Verdana" w:eastAsia="Calibri" w:hAnsi="Verdana" w:cs="Arial"/>
                <w:b/>
                <w:bCs/>
                <w:color w:val="000000" w:themeColor="text1"/>
                <w:lang w:val="es-ES" w:eastAsia="es-ES"/>
              </w:rPr>
            </w:pPr>
            <w:r w:rsidRPr="00661383">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1229</w:t>
            </w:r>
            <w:r w:rsidRPr="00661383">
              <w:rPr>
                <w:rFonts w:ascii="Verdana" w:eastAsia="Calibri" w:hAnsi="Verdana" w:cs="Arial"/>
                <w:b/>
                <w:bCs/>
                <w:color w:val="000000" w:themeColor="text1"/>
                <w:lang w:val="es-ES" w:eastAsia="es-ES"/>
              </w:rPr>
              <w:t xml:space="preserve"> de 2025</w:t>
            </w:r>
          </w:p>
          <w:p w14:paraId="3A7FB66C" w14:textId="77777777" w:rsidR="00FC7BA5" w:rsidRPr="00661383" w:rsidRDefault="00FC7BA5" w:rsidP="00045987">
            <w:pPr>
              <w:ind w:left="3"/>
              <w:jc w:val="both"/>
              <w:rPr>
                <w:rFonts w:ascii="Verdana" w:eastAsia="Calibri" w:hAnsi="Verdana" w:cs="Arial"/>
                <w:b/>
                <w:bCs/>
                <w:color w:val="000000" w:themeColor="text1"/>
                <w:lang w:val="es-ES" w:eastAsia="es-ES"/>
              </w:rPr>
            </w:pPr>
          </w:p>
        </w:tc>
      </w:tr>
      <w:tr w:rsidR="00FC7BA5" w:rsidRPr="00661383" w14:paraId="28E7D27B" w14:textId="77777777" w:rsidTr="00045987">
        <w:trPr>
          <w:trHeight w:val="300"/>
        </w:trPr>
        <w:tc>
          <w:tcPr>
            <w:tcW w:w="2410" w:type="dxa"/>
          </w:tcPr>
          <w:p w14:paraId="46B82883" w14:textId="77777777" w:rsidR="00FC7BA5" w:rsidRPr="00661383" w:rsidRDefault="00FC7BA5" w:rsidP="00045987">
            <w:pPr>
              <w:ind w:left="424" w:firstLine="142"/>
              <w:jc w:val="both"/>
              <w:rPr>
                <w:rFonts w:ascii="Verdana" w:eastAsia="Calibri" w:hAnsi="Verdana" w:cs="Arial"/>
                <w:color w:val="000000" w:themeColor="text1"/>
                <w:lang w:val="es-ES" w:eastAsia="es-ES_tradnl"/>
              </w:rPr>
            </w:pPr>
            <w:r w:rsidRPr="00661383">
              <w:rPr>
                <w:rFonts w:ascii="Verdana" w:eastAsia="Calibri" w:hAnsi="Verdana" w:cs="Arial"/>
                <w:b/>
                <w:color w:val="000000" w:themeColor="text1"/>
                <w:lang w:val="es-ES" w:eastAsia="es-ES_tradnl"/>
              </w:rPr>
              <w:t>Temas:</w:t>
            </w:r>
            <w:r w:rsidRPr="00661383">
              <w:rPr>
                <w:rFonts w:ascii="Verdana" w:eastAsia="Calibri" w:hAnsi="Verdana" w:cs="Arial"/>
                <w:color w:val="000000" w:themeColor="text1"/>
                <w:lang w:val="es-ES" w:eastAsia="es-ES_tradnl"/>
              </w:rPr>
              <w:t xml:space="preserve">                  </w:t>
            </w:r>
          </w:p>
        </w:tc>
        <w:tc>
          <w:tcPr>
            <w:tcW w:w="6100" w:type="dxa"/>
          </w:tcPr>
          <w:p w14:paraId="21F708C0" w14:textId="78A28E39" w:rsidR="00FC7BA5" w:rsidRDefault="00FC7BA5" w:rsidP="00045987">
            <w:pPr>
              <w:jc w:val="both"/>
              <w:rPr>
                <w:rFonts w:ascii="Verdana" w:eastAsia="Calibri" w:hAnsi="Verdana" w:cs="Arial"/>
                <w:bCs/>
              </w:rPr>
            </w:pPr>
            <w:r w:rsidRPr="00E9090B">
              <w:rPr>
                <w:rFonts w:ascii="Verdana" w:hAnsi="Verdana" w:cs="Arial"/>
                <w:bCs/>
              </w:rPr>
              <w:t>ANTICIPO – Definición</w:t>
            </w:r>
            <w:r w:rsidR="00B2561F">
              <w:rPr>
                <w:rFonts w:ascii="Verdana" w:hAnsi="Verdana" w:cs="Arial"/>
                <w:bCs/>
              </w:rPr>
              <w:t xml:space="preserve"> </w:t>
            </w:r>
            <w:r w:rsidRPr="00E9090B">
              <w:rPr>
                <w:rFonts w:ascii="Verdana" w:hAnsi="Verdana" w:cs="Arial"/>
                <w:bCs/>
              </w:rPr>
              <w:t xml:space="preserve">/ </w:t>
            </w:r>
            <w:r w:rsidRPr="00E9090B">
              <w:rPr>
                <w:rFonts w:ascii="Verdana" w:eastAsia="Calibri" w:hAnsi="Verdana" w:cs="Arial"/>
                <w:bCs/>
              </w:rPr>
              <w:t>PAGO ANTICIPADO Y/O ANTICIPO – Límites – Aplicación</w:t>
            </w:r>
            <w:r>
              <w:rPr>
                <w:rFonts w:ascii="Verdana" w:eastAsia="Calibri" w:hAnsi="Verdana" w:cs="Arial"/>
                <w:bCs/>
              </w:rPr>
              <w:t xml:space="preserve"> </w:t>
            </w:r>
            <w:r w:rsidRPr="00E9090B">
              <w:rPr>
                <w:rFonts w:ascii="Verdana" w:eastAsia="Calibri" w:hAnsi="Verdana" w:cs="Arial"/>
                <w:bCs/>
              </w:rPr>
              <w:t>–</w:t>
            </w:r>
            <w:r>
              <w:rPr>
                <w:rFonts w:ascii="Verdana" w:eastAsia="Calibri" w:hAnsi="Verdana" w:cs="Arial"/>
                <w:bCs/>
              </w:rPr>
              <w:t xml:space="preserve"> Con</w:t>
            </w:r>
            <w:r w:rsidR="00B2561F">
              <w:rPr>
                <w:rFonts w:ascii="Verdana" w:eastAsia="Calibri" w:hAnsi="Verdana" w:cs="Arial"/>
                <w:bCs/>
              </w:rPr>
              <w:t>venios</w:t>
            </w:r>
            <w:r>
              <w:rPr>
                <w:rFonts w:ascii="Verdana" w:eastAsia="Calibri" w:hAnsi="Verdana" w:cs="Arial"/>
                <w:bCs/>
              </w:rPr>
              <w:t xml:space="preserve"> interadministrativos</w:t>
            </w:r>
          </w:p>
          <w:p w14:paraId="1D177B74" w14:textId="77777777" w:rsidR="00FC7BA5" w:rsidRPr="00661383" w:rsidRDefault="00FC7BA5" w:rsidP="00045987">
            <w:pPr>
              <w:jc w:val="both"/>
              <w:rPr>
                <w:rFonts w:ascii="Verdana" w:eastAsia="Calibri" w:hAnsi="Verdana" w:cs="Arial"/>
                <w:lang w:val="es-ES" w:eastAsia="es-ES"/>
              </w:rPr>
            </w:pPr>
          </w:p>
        </w:tc>
      </w:tr>
      <w:tr w:rsidR="00FC7BA5" w:rsidRPr="00661383" w14:paraId="0CAF7834" w14:textId="77777777" w:rsidTr="00045987">
        <w:tc>
          <w:tcPr>
            <w:tcW w:w="2410" w:type="dxa"/>
          </w:tcPr>
          <w:p w14:paraId="60827B25" w14:textId="77777777" w:rsidR="00FC7BA5" w:rsidRPr="00661383" w:rsidRDefault="00FC7BA5" w:rsidP="00045987">
            <w:pPr>
              <w:ind w:left="561"/>
              <w:jc w:val="both"/>
              <w:rPr>
                <w:rFonts w:ascii="Verdana" w:eastAsia="Calibri" w:hAnsi="Verdana" w:cs="Arial"/>
                <w:b/>
                <w:color w:val="000000" w:themeColor="text1"/>
                <w:lang w:val="es-ES" w:eastAsia="es-ES_tradnl"/>
              </w:rPr>
            </w:pPr>
            <w:r w:rsidRPr="00661383">
              <w:rPr>
                <w:rFonts w:ascii="Verdana" w:eastAsia="Calibri" w:hAnsi="Verdana" w:cs="Arial"/>
                <w:b/>
                <w:color w:val="000000" w:themeColor="text1"/>
                <w:lang w:val="es-ES" w:eastAsia="es-ES_tradnl"/>
              </w:rPr>
              <w:t xml:space="preserve"> Radicación:</w:t>
            </w:r>
            <w:r w:rsidRPr="00661383">
              <w:rPr>
                <w:rFonts w:ascii="Verdana" w:eastAsia="Calibri" w:hAnsi="Verdana" w:cs="Arial"/>
                <w:color w:val="000000" w:themeColor="text1"/>
                <w:lang w:val="es-ES" w:eastAsia="es-ES_tradnl"/>
              </w:rPr>
              <w:t xml:space="preserve">              </w:t>
            </w:r>
          </w:p>
        </w:tc>
        <w:tc>
          <w:tcPr>
            <w:tcW w:w="6100" w:type="dxa"/>
          </w:tcPr>
          <w:p w14:paraId="08BB18B4" w14:textId="77777777" w:rsidR="00FC7BA5" w:rsidRPr="00661383" w:rsidRDefault="00FC7BA5" w:rsidP="00045987">
            <w:pPr>
              <w:ind w:left="3"/>
              <w:jc w:val="both"/>
              <w:rPr>
                <w:rFonts w:ascii="Verdana" w:hAnsi="Verdana"/>
                <w:color w:val="000000"/>
                <w:lang w:val="es-ES"/>
              </w:rPr>
            </w:pPr>
            <w:r w:rsidRPr="00661383">
              <w:rPr>
                <w:rFonts w:ascii="Verdana" w:eastAsia="Calibri" w:hAnsi="Verdana" w:cs="Arial"/>
                <w:color w:val="000000" w:themeColor="text1"/>
                <w:lang w:val="es-ES" w:eastAsia="es-ES"/>
              </w:rPr>
              <w:t>Respuesta a consulta con radicado No. 1_2025_08_29_009301</w:t>
            </w:r>
          </w:p>
        </w:tc>
      </w:tr>
    </w:tbl>
    <w:p w14:paraId="42A308F4" w14:textId="77777777" w:rsidR="00FC7BA5" w:rsidRPr="00661383" w:rsidRDefault="00FC7BA5" w:rsidP="00FC7BA5">
      <w:pPr>
        <w:spacing w:after="0" w:line="276" w:lineRule="auto"/>
        <w:jc w:val="both"/>
        <w:rPr>
          <w:rFonts w:ascii="Verdana" w:eastAsia="Calibri" w:hAnsi="Verdana" w:cs="Arial"/>
          <w:color w:val="000000" w:themeColor="text1"/>
          <w:lang w:val="es-ES" w:eastAsia="es-ES"/>
        </w:rPr>
      </w:pPr>
    </w:p>
    <w:p w14:paraId="039B5CF9" w14:textId="77777777" w:rsidR="00FC7BA5" w:rsidRPr="00661383" w:rsidRDefault="00FC7BA5" w:rsidP="00FC7BA5">
      <w:pPr>
        <w:spacing w:after="0" w:line="276" w:lineRule="auto"/>
        <w:jc w:val="both"/>
        <w:rPr>
          <w:rFonts w:ascii="Verdana" w:eastAsia="Calibri" w:hAnsi="Verdana" w:cs="Arial"/>
          <w:color w:val="000000" w:themeColor="text1"/>
          <w:lang w:val="es-ES" w:eastAsia="es-ES"/>
        </w:rPr>
      </w:pPr>
    </w:p>
    <w:p w14:paraId="7A4A783F" w14:textId="77777777" w:rsidR="00FC7BA5" w:rsidRPr="00661383" w:rsidRDefault="00FC7BA5" w:rsidP="00FC7BA5">
      <w:pPr>
        <w:spacing w:after="0" w:line="276" w:lineRule="auto"/>
        <w:jc w:val="both"/>
        <w:rPr>
          <w:rFonts w:ascii="Verdana" w:eastAsia="Calibri" w:hAnsi="Verdana" w:cs="Arial"/>
          <w:color w:val="000000" w:themeColor="text1"/>
          <w:lang w:val="es-ES" w:eastAsia="es-ES"/>
        </w:rPr>
      </w:pPr>
      <w:r w:rsidRPr="00661383">
        <w:rPr>
          <w:rFonts w:ascii="Verdana" w:eastAsia="Calibri" w:hAnsi="Verdana" w:cs="Arial"/>
          <w:color w:val="000000" w:themeColor="text1"/>
          <w:lang w:val="es-ES" w:eastAsia="es-ES"/>
        </w:rPr>
        <w:t xml:space="preserve">Estimado señor Gutiérrez: </w:t>
      </w:r>
    </w:p>
    <w:p w14:paraId="15F40725" w14:textId="77777777" w:rsidR="00FC7BA5" w:rsidRPr="00661383" w:rsidRDefault="00FC7BA5" w:rsidP="00FC7BA5">
      <w:pPr>
        <w:tabs>
          <w:tab w:val="left" w:pos="3768"/>
        </w:tabs>
        <w:spacing w:after="0" w:line="276" w:lineRule="auto"/>
        <w:jc w:val="both"/>
        <w:rPr>
          <w:rFonts w:ascii="Verdana" w:eastAsia="Calibri" w:hAnsi="Verdana" w:cs="Arial"/>
          <w:color w:val="000000" w:themeColor="text1"/>
          <w:lang w:val="es-ES" w:eastAsia="es-ES"/>
        </w:rPr>
      </w:pPr>
      <w:r w:rsidRPr="00661383">
        <w:rPr>
          <w:rFonts w:ascii="Verdana" w:eastAsia="Calibri" w:hAnsi="Verdana" w:cs="Arial"/>
          <w:color w:val="000000" w:themeColor="text1"/>
          <w:lang w:val="es-ES" w:eastAsia="es-ES"/>
        </w:rPr>
        <w:tab/>
      </w:r>
    </w:p>
    <w:p w14:paraId="4DC2CC77" w14:textId="77777777" w:rsidR="00FC7BA5" w:rsidRPr="00661383" w:rsidRDefault="00FC7BA5" w:rsidP="00FC7BA5">
      <w:pPr>
        <w:spacing w:after="0" w:line="276" w:lineRule="auto"/>
        <w:jc w:val="both"/>
        <w:rPr>
          <w:rFonts w:ascii="Verdana" w:eastAsia="Calibri" w:hAnsi="Verdana" w:cs="Arial"/>
          <w:color w:val="000000" w:themeColor="text1"/>
          <w:lang w:val="es-ES" w:eastAsia="es-ES"/>
        </w:rPr>
      </w:pPr>
      <w:r w:rsidRPr="00661383">
        <w:rPr>
          <w:rFonts w:ascii="Verdana" w:eastAsia="Calibri" w:hAnsi="Verdana" w:cs="Arial"/>
          <w:color w:val="000000" w:themeColor="text1"/>
          <w:lang w:val="es-ES" w:eastAsia="es-ES"/>
        </w:rPr>
        <w:t>En ejercicio de la competencia otorgada por los artículos 3, numeral 5º, y 11, numeral 8º, del Decreto Ley 4170 de 2011,</w:t>
      </w:r>
      <w:r w:rsidRPr="00661383">
        <w:rPr>
          <w:rFonts w:ascii="Verdana" w:eastAsia="Arial MT" w:hAnsi="Verdana" w:cs="Arial MT"/>
          <w:color w:val="000000" w:themeColor="text1"/>
          <w:lang w:val="es-ES" w:eastAsia="es-ES"/>
        </w:rPr>
        <w:t xml:space="preserve"> </w:t>
      </w:r>
      <w:r w:rsidRPr="00661383">
        <w:rPr>
          <w:rFonts w:ascii="Verdana" w:hAnsi="Verdana" w:cs="Arial"/>
          <w:color w:val="000000" w:themeColor="text1"/>
          <w:lang w:val="es-ES"/>
        </w:rPr>
        <w:t xml:space="preserve">así como lo establecido en el artículo 4 de la Resolución 1707 de 2018 expedida por esta Entidad, </w:t>
      </w:r>
      <w:r w:rsidRPr="00661383">
        <w:rPr>
          <w:rFonts w:ascii="Verdana" w:eastAsia="Calibri" w:hAnsi="Verdana" w:cs="Arial"/>
          <w:color w:val="000000" w:themeColor="text1"/>
          <w:lang w:val="es-ES" w:eastAsia="es-ES"/>
        </w:rPr>
        <w:t xml:space="preserve">la Agencia Nacional de Contratación Pública – Colombia Compra Eficiente– responde su solicitud de consulta de fecha 29 de agosto de 2025, en la cual manifiesta lo siguiente: </w:t>
      </w:r>
    </w:p>
    <w:p w14:paraId="452AC9A5" w14:textId="77777777" w:rsidR="00FC7BA5" w:rsidRPr="00661383" w:rsidRDefault="00FC7BA5" w:rsidP="00FC7BA5">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1586A5AC" w14:textId="77777777" w:rsidR="00FC7BA5" w:rsidRPr="00661383" w:rsidRDefault="00FC7BA5" w:rsidP="00FC7BA5">
      <w:pPr>
        <w:spacing w:before="120" w:after="120"/>
        <w:ind w:left="709" w:right="709"/>
        <w:contextualSpacing/>
        <w:jc w:val="both"/>
        <w:rPr>
          <w:rFonts w:ascii="Verdana" w:eastAsia="Century Gothic" w:hAnsi="Verdana" w:cs="Century Gothic"/>
          <w:i/>
          <w:color w:val="000000" w:themeColor="text1"/>
          <w:sz w:val="20"/>
          <w:szCs w:val="20"/>
        </w:rPr>
      </w:pPr>
      <w:r w:rsidRPr="00661383">
        <w:rPr>
          <w:rFonts w:ascii="Verdana" w:eastAsia="Century Gothic" w:hAnsi="Verdana" w:cs="Century Gothic"/>
          <w:i/>
          <w:iCs/>
          <w:color w:val="000000" w:themeColor="text1"/>
          <w:sz w:val="20"/>
          <w:szCs w:val="20"/>
          <w:lang w:val="es-ES"/>
        </w:rPr>
        <w:t>“</w:t>
      </w:r>
      <w:proofErr w:type="spellStart"/>
      <w:r w:rsidRPr="00661383">
        <w:rPr>
          <w:rFonts w:ascii="Verdana" w:eastAsia="Century Gothic" w:hAnsi="Verdana" w:cs="Century Gothic"/>
          <w:i/>
          <w:color w:val="000000" w:themeColor="text1"/>
          <w:sz w:val="20"/>
          <w:szCs w:val="20"/>
        </w:rPr>
        <w:t>estan</w:t>
      </w:r>
      <w:proofErr w:type="spellEnd"/>
      <w:r w:rsidRPr="00661383">
        <w:rPr>
          <w:rFonts w:ascii="Verdana" w:eastAsia="Century Gothic" w:hAnsi="Verdana" w:cs="Century Gothic"/>
          <w:i/>
          <w:color w:val="000000" w:themeColor="text1"/>
          <w:sz w:val="20"/>
          <w:szCs w:val="20"/>
        </w:rPr>
        <w:t xml:space="preserve"> sujetos los contratos interadministrativos a </w:t>
      </w:r>
      <w:proofErr w:type="gramStart"/>
      <w:r w:rsidRPr="00661383">
        <w:rPr>
          <w:rFonts w:ascii="Verdana" w:eastAsia="Century Gothic" w:hAnsi="Verdana" w:cs="Century Gothic"/>
          <w:i/>
          <w:color w:val="000000" w:themeColor="text1"/>
          <w:sz w:val="20"/>
          <w:szCs w:val="20"/>
        </w:rPr>
        <w:t>la reglas</w:t>
      </w:r>
      <w:proofErr w:type="gramEnd"/>
      <w:r w:rsidRPr="00661383">
        <w:rPr>
          <w:rFonts w:ascii="Verdana" w:eastAsia="Century Gothic" w:hAnsi="Verdana" w:cs="Century Gothic"/>
          <w:i/>
          <w:color w:val="000000" w:themeColor="text1"/>
          <w:sz w:val="20"/>
          <w:szCs w:val="20"/>
        </w:rPr>
        <w:t xml:space="preserve"> del anticipo, en cuanto a que este no puede exceder el 50 % del valor del contrato y si esto mismo aplica a los convenios interadministrativos donde hay aportes mutuos de las entidades estatales o sin por el contrario en estos casos se puede hacer un solo desembolso de los recursos</w:t>
      </w:r>
      <w:r w:rsidRPr="00661383">
        <w:rPr>
          <w:rFonts w:ascii="Verdana" w:eastAsia="Century Gothic" w:hAnsi="Verdana" w:cs="Century Gothic"/>
          <w:i/>
          <w:iCs/>
          <w:color w:val="000000" w:themeColor="text1"/>
          <w:sz w:val="20"/>
          <w:szCs w:val="20"/>
          <w:lang w:val="es-ES"/>
        </w:rPr>
        <w:t>”</w:t>
      </w:r>
    </w:p>
    <w:p w14:paraId="698E6C15" w14:textId="77777777" w:rsidR="00FC7BA5" w:rsidRPr="00661383" w:rsidRDefault="00FC7BA5" w:rsidP="00FC7BA5">
      <w:pPr>
        <w:spacing w:before="120" w:after="120"/>
        <w:ind w:left="709" w:right="709"/>
        <w:contextualSpacing/>
        <w:jc w:val="both"/>
        <w:rPr>
          <w:rFonts w:ascii="Verdana" w:hAnsi="Verdana"/>
          <w:i/>
          <w:iCs/>
          <w:sz w:val="20"/>
          <w:szCs w:val="20"/>
          <w:lang w:val="es-ES"/>
        </w:rPr>
      </w:pPr>
    </w:p>
    <w:p w14:paraId="17D54F1A" w14:textId="77777777" w:rsidR="00FC7BA5" w:rsidRPr="00661383" w:rsidRDefault="00FC7BA5" w:rsidP="00FC7BA5">
      <w:pPr>
        <w:spacing w:after="120" w:line="276" w:lineRule="auto"/>
        <w:ind w:firstLine="708"/>
        <w:jc w:val="both"/>
        <w:rPr>
          <w:rFonts w:ascii="Verdana" w:eastAsia="Calibri" w:hAnsi="Verdana" w:cs="Arial"/>
          <w:color w:val="000000" w:themeColor="text1"/>
          <w:lang w:val="es-ES" w:eastAsia="es-ES"/>
        </w:rPr>
      </w:pPr>
      <w:r w:rsidRPr="0066138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661383">
        <w:rPr>
          <w:rFonts w:ascii="Verdana" w:eastAsia="Calibri" w:hAnsi="Verdana" w:cs="Arial"/>
          <w:color w:val="000000" w:themeColor="text1"/>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661383">
        <w:rPr>
          <w:rFonts w:ascii="Verdana" w:hAnsi="Verdana"/>
          <w:lang w:val="es-ES"/>
        </w:rPr>
        <w:tab/>
      </w:r>
    </w:p>
    <w:p w14:paraId="6D485A61" w14:textId="77777777" w:rsidR="00FC7BA5" w:rsidRPr="00661383" w:rsidRDefault="00FC7BA5" w:rsidP="00FC7BA5">
      <w:pPr>
        <w:spacing w:after="0" w:line="276" w:lineRule="auto"/>
        <w:ind w:firstLine="709"/>
        <w:jc w:val="both"/>
        <w:rPr>
          <w:rFonts w:ascii="Verdana" w:eastAsia="Calibri" w:hAnsi="Verdana" w:cs="Arial"/>
          <w:color w:val="000000" w:themeColor="text1"/>
          <w:lang w:val="es-ES" w:eastAsia="es-ES"/>
        </w:rPr>
      </w:pPr>
      <w:r w:rsidRPr="0066138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BC03573" w14:textId="77777777" w:rsidR="00FC7BA5" w:rsidRPr="00661383" w:rsidRDefault="00FC7BA5" w:rsidP="00FC7BA5">
      <w:pPr>
        <w:spacing w:after="0" w:line="276" w:lineRule="auto"/>
        <w:ind w:firstLine="709"/>
        <w:jc w:val="both"/>
        <w:rPr>
          <w:rFonts w:ascii="Verdana" w:eastAsia="Calibri" w:hAnsi="Verdana" w:cs="Arial"/>
          <w:color w:val="000000" w:themeColor="text1"/>
          <w:lang w:val="es-ES" w:eastAsia="es-ES"/>
        </w:rPr>
      </w:pPr>
    </w:p>
    <w:p w14:paraId="67CF3A24" w14:textId="77777777" w:rsidR="00FC7BA5" w:rsidRPr="00661383" w:rsidRDefault="00FC7BA5" w:rsidP="00FC7BA5">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661383">
        <w:rPr>
          <w:rFonts w:ascii="Verdana" w:eastAsia="Century Gothic" w:hAnsi="Verdana" w:cs="Century Gothic"/>
          <w:b/>
          <w:color w:val="000000" w:themeColor="text1"/>
          <w:lang w:val="es-ES"/>
        </w:rPr>
        <w:t>1.Problema planteado:</w:t>
      </w:r>
    </w:p>
    <w:p w14:paraId="13F66E38" w14:textId="77777777" w:rsidR="00FC7BA5" w:rsidRPr="00661383" w:rsidRDefault="00FC7BA5" w:rsidP="00FC7BA5">
      <w:pPr>
        <w:tabs>
          <w:tab w:val="left" w:pos="426"/>
        </w:tabs>
        <w:spacing w:after="0" w:line="276" w:lineRule="auto"/>
        <w:jc w:val="both"/>
        <w:rPr>
          <w:rFonts w:ascii="Verdana" w:eastAsia="Century Gothic" w:hAnsi="Verdana" w:cs="Century Gothic"/>
          <w:color w:val="000000" w:themeColor="text1"/>
          <w:lang w:val="es-ES"/>
        </w:rPr>
      </w:pPr>
    </w:p>
    <w:p w14:paraId="6FEF0679" w14:textId="6FCB3656" w:rsidR="00FC7BA5" w:rsidRPr="00661383" w:rsidRDefault="00FC7BA5" w:rsidP="00FC7BA5">
      <w:pPr>
        <w:spacing w:after="0" w:line="276" w:lineRule="auto"/>
        <w:jc w:val="both"/>
        <w:rPr>
          <w:rFonts w:ascii="Verdana" w:eastAsia="Century Gothic" w:hAnsi="Verdana" w:cs="Century Gothic"/>
          <w:color w:val="000000" w:themeColor="text1"/>
          <w:lang w:val="es-ES"/>
        </w:rPr>
      </w:pPr>
      <w:r w:rsidRPr="00661383">
        <w:rPr>
          <w:rFonts w:ascii="Verdana" w:eastAsia="Century Gothic" w:hAnsi="Verdana" w:cs="Century Gothic"/>
          <w:color w:val="000000" w:themeColor="text1"/>
          <w:lang w:val="es-ES"/>
        </w:rPr>
        <w:t xml:space="preserve">De acuerdo con el contenido de su solicitud, esta Agencia resolverá el siguiente problema jurídico: </w:t>
      </w:r>
      <w:r w:rsidRPr="000E743E">
        <w:rPr>
          <w:rFonts w:ascii="Verdana" w:eastAsia="Century Gothic" w:hAnsi="Verdana" w:cs="Century Gothic"/>
        </w:rPr>
        <w:t>¿</w:t>
      </w:r>
      <w:r>
        <w:rPr>
          <w:rFonts w:ascii="Verdana" w:eastAsia="Century Gothic" w:hAnsi="Verdana" w:cs="Century Gothic"/>
        </w:rPr>
        <w:t>E</w:t>
      </w:r>
      <w:r w:rsidRPr="000E743E">
        <w:rPr>
          <w:rFonts w:ascii="Verdana" w:eastAsia="Century Gothic" w:hAnsi="Verdana" w:cs="Century Gothic"/>
        </w:rPr>
        <w:t>l límite establecido en el artículo</w:t>
      </w:r>
      <w:r>
        <w:rPr>
          <w:rFonts w:ascii="Verdana" w:eastAsia="Century Gothic" w:hAnsi="Verdana" w:cs="Century Gothic"/>
        </w:rPr>
        <w:t xml:space="preserve"> </w:t>
      </w:r>
      <w:r w:rsidRPr="000E743E">
        <w:rPr>
          <w:rFonts w:ascii="Verdana" w:eastAsia="Century Gothic" w:hAnsi="Verdana" w:cs="Century Gothic"/>
        </w:rPr>
        <w:t xml:space="preserve">40 de la </w:t>
      </w:r>
      <w:r w:rsidR="006D12CA">
        <w:rPr>
          <w:rFonts w:ascii="Verdana" w:eastAsia="Century Gothic" w:hAnsi="Verdana" w:cs="Century Gothic"/>
        </w:rPr>
        <w:t>L</w:t>
      </w:r>
      <w:r w:rsidRPr="000E743E">
        <w:rPr>
          <w:rFonts w:ascii="Verdana" w:eastAsia="Century Gothic" w:hAnsi="Verdana" w:cs="Century Gothic"/>
        </w:rPr>
        <w:t xml:space="preserve">ey 80 de 1993 para el pago anticipado y la entrega de anticipos </w:t>
      </w:r>
      <w:r>
        <w:rPr>
          <w:rFonts w:ascii="Verdana" w:eastAsia="Century Gothic" w:hAnsi="Verdana" w:cs="Century Gothic"/>
        </w:rPr>
        <w:t xml:space="preserve">es procedente </w:t>
      </w:r>
      <w:r w:rsidRPr="000E743E">
        <w:rPr>
          <w:rFonts w:ascii="Verdana" w:eastAsia="Century Gothic" w:hAnsi="Verdana" w:cs="Century Gothic"/>
        </w:rPr>
        <w:t>en la celebración de con</w:t>
      </w:r>
      <w:r w:rsidR="00427B57">
        <w:rPr>
          <w:rFonts w:ascii="Verdana" w:eastAsia="Century Gothic" w:hAnsi="Verdana" w:cs="Century Gothic"/>
        </w:rPr>
        <w:t>venios</w:t>
      </w:r>
      <w:r w:rsidRPr="000E743E">
        <w:rPr>
          <w:rFonts w:ascii="Verdana" w:eastAsia="Century Gothic" w:hAnsi="Verdana" w:cs="Century Gothic"/>
        </w:rPr>
        <w:t xml:space="preserve"> interadministrativos?</w:t>
      </w:r>
    </w:p>
    <w:p w14:paraId="3FD84FA3" w14:textId="77777777" w:rsidR="00FC7BA5" w:rsidRPr="00661383" w:rsidRDefault="00FC7BA5" w:rsidP="00FC7BA5">
      <w:pPr>
        <w:spacing w:after="0" w:line="276" w:lineRule="auto"/>
        <w:jc w:val="both"/>
        <w:rPr>
          <w:rFonts w:ascii="Verdana" w:eastAsia="Calibri" w:hAnsi="Verdana" w:cs="Arial"/>
          <w:color w:val="000000" w:themeColor="text1"/>
          <w:lang w:val="es-ES"/>
        </w:rPr>
      </w:pPr>
    </w:p>
    <w:p w14:paraId="6873E778" w14:textId="77777777" w:rsidR="00FC7BA5" w:rsidRPr="00661383" w:rsidRDefault="00FC7BA5" w:rsidP="00FC7BA5">
      <w:pPr>
        <w:tabs>
          <w:tab w:val="left" w:pos="142"/>
          <w:tab w:val="left" w:pos="284"/>
        </w:tabs>
        <w:spacing w:after="0" w:line="276" w:lineRule="auto"/>
        <w:jc w:val="both"/>
        <w:rPr>
          <w:rFonts w:ascii="Verdana" w:eastAsia="Century Gothic" w:hAnsi="Verdana" w:cs="Century Gothic"/>
          <w:b/>
          <w:color w:val="000000" w:themeColor="text1"/>
          <w:lang w:val="es-ES"/>
        </w:rPr>
      </w:pPr>
      <w:r w:rsidRPr="00661383">
        <w:rPr>
          <w:rFonts w:ascii="Verdana" w:eastAsia="Century Gothic" w:hAnsi="Verdana" w:cs="Century Gothic"/>
          <w:b/>
          <w:color w:val="000000" w:themeColor="text1"/>
          <w:lang w:val="es-ES"/>
        </w:rPr>
        <w:t>2.Respuesta:</w:t>
      </w:r>
    </w:p>
    <w:p w14:paraId="4183DCD5" w14:textId="77777777" w:rsidR="00FC7BA5" w:rsidRPr="00661383" w:rsidRDefault="00FC7BA5" w:rsidP="00FC7BA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C7BA5" w:rsidRPr="00661383" w14:paraId="6F7DAD4E" w14:textId="77777777" w:rsidTr="00045987">
        <w:tc>
          <w:tcPr>
            <w:tcW w:w="8828" w:type="dxa"/>
          </w:tcPr>
          <w:p w14:paraId="7ABBA2FA" w14:textId="77777777" w:rsidR="00FC7BA5" w:rsidRDefault="00FC7BA5" w:rsidP="6758D957">
            <w:pPr>
              <w:shd w:val="clear" w:color="auto" w:fill="FFFFFF" w:themeFill="background1"/>
              <w:spacing w:before="120" w:after="120" w:line="276" w:lineRule="auto"/>
              <w:jc w:val="both"/>
              <w:textAlignment w:val="baseline"/>
              <w:rPr>
                <w:rFonts w:ascii="Verdana" w:eastAsia="Arial" w:hAnsi="Verdana" w:cs="Arial"/>
                <w:lang w:eastAsia="es-ES" w:bidi="es-ES"/>
              </w:rPr>
            </w:pPr>
            <w:r>
              <w:rPr>
                <w:rFonts w:ascii="Verdana" w:eastAsia="Times New Roman" w:hAnsi="Verdana" w:cs="Arial"/>
                <w:bCs/>
                <w:lang w:val="es-ES" w:eastAsia="es-CO"/>
              </w:rPr>
              <w:t>No. L</w:t>
            </w:r>
            <w:r>
              <w:rPr>
                <w:rFonts w:ascii="Verdana" w:eastAsia="Calibri" w:hAnsi="Verdana" w:cs="Arial"/>
                <w:bCs/>
              </w:rPr>
              <w:t>os convenios interadministrativos tienen una finalidad asociativa, según la cual las partes asumen objetivos comunes. Tal como lo ha señalado el Consejo de Estado, no tienen un interés puramente económico, de modo que no se constituye el pago de una contraprestación como resultado del cumplimiento de ciertas actividades u obligaciones. Por otra parte, e</w:t>
            </w:r>
            <w:r w:rsidRPr="00E9090B">
              <w:rPr>
                <w:rFonts w:ascii="Verdana" w:eastAsia="Arial" w:hAnsi="Verdana" w:cs="Arial"/>
                <w:lang w:eastAsia="es-ES" w:bidi="es-ES"/>
              </w:rPr>
              <w:t>n materia de contratación pública, el anticipo ha sido definido como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9090B">
              <w:rPr>
                <w:rFonts w:ascii="Verdana" w:eastAsia="Arial" w:hAnsi="Verdana" w:cs="Arial"/>
                <w:vertAlign w:val="superscript"/>
                <w:lang w:eastAsia="es-ES" w:bidi="es-ES"/>
              </w:rPr>
              <w:footnoteReference w:id="2"/>
            </w:r>
            <w:r w:rsidRPr="00E9090B">
              <w:rPr>
                <w:rFonts w:ascii="Verdana" w:eastAsia="Arial" w:hAnsi="Verdana" w:cs="Arial"/>
                <w:lang w:eastAsia="es-ES" w:bidi="es-ES"/>
              </w:rPr>
              <w:t xml:space="preserve">. </w:t>
            </w:r>
          </w:p>
          <w:p w14:paraId="0B685B97" w14:textId="77777777" w:rsidR="00FC7BA5" w:rsidRPr="00587DE0" w:rsidRDefault="00FC7BA5" w:rsidP="00045987">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Arial" w:hAnsi="Verdana" w:cs="Arial"/>
                <w:lang w:eastAsia="es-ES" w:bidi="es-ES"/>
              </w:rPr>
              <w:t xml:space="preserve">Esta institución es un mecanismo de apalancamiento financiero que implica un endeudamiento, que posibilita que la entidad contratante le </w:t>
            </w:r>
            <w:r w:rsidRPr="00E9090B">
              <w:rPr>
                <w:rFonts w:ascii="Verdana" w:eastAsia="Arial" w:hAnsi="Verdana" w:cs="Arial"/>
                <w:lang w:eastAsia="es-ES" w:bidi="es-ES"/>
              </w:rPr>
              <w:lastRenderedPageBreak/>
              <w:t xml:space="preserve">entregue </w:t>
            </w:r>
            <w:r w:rsidRPr="00E9090B">
              <w:rPr>
                <w:rFonts w:ascii="Verdana" w:eastAsia="Arial" w:hAnsi="Verdana" w:cs="Arial"/>
                <w:i/>
                <w:lang w:eastAsia="es-ES" w:bidi="es-ES"/>
              </w:rPr>
              <w:t xml:space="preserve">ex ante </w:t>
            </w:r>
            <w:r w:rsidRPr="00E9090B">
              <w:rPr>
                <w:rFonts w:ascii="Verdana" w:eastAsia="Arial" w:hAnsi="Verdana" w:cs="Arial"/>
                <w:lang w:eastAsia="es-ES" w:bidi="es-ES"/>
              </w:rPr>
              <w:t xml:space="preserve">una suma de dinero al contratista, con el propósito de iniciar la ejecución del proyecto, la cual es amortizada y debitada de la contraprestación pactada. Mientras el pago anticipado </w:t>
            </w:r>
            <w:r w:rsidRPr="00E9090B">
              <w:rPr>
                <w:rFonts w:ascii="Verdana" w:eastAsia="Arial" w:hAnsi="Verdana" w:cs="Arial"/>
                <w:lang w:val="es-ES" w:eastAsia="es-ES" w:bidi="es-ES"/>
              </w:rPr>
              <w:t>es un pago efectivo del precio que se efectúa y se causa en forma anticipada. Por tanto, los recursos se integran al patrimonio del contratista desde su desembolso.</w:t>
            </w:r>
            <w:r w:rsidRPr="00E9090B">
              <w:rPr>
                <w:rFonts w:ascii="Bookman Old Style" w:eastAsia="Calibri" w:hAnsi="Bookman Old Style" w:cs="Times New Roman"/>
                <w:sz w:val="20"/>
                <w:szCs w:val="20"/>
                <w:lang w:val="es-ES"/>
              </w:rPr>
              <w:t xml:space="preserve"> </w:t>
            </w:r>
          </w:p>
          <w:p w14:paraId="3D8E729E" w14:textId="77777777" w:rsidR="00FC7BA5" w:rsidRPr="00E9090B" w:rsidRDefault="00FC7BA5" w:rsidP="00045987">
            <w:pPr>
              <w:tabs>
                <w:tab w:val="left" w:pos="284"/>
              </w:tabs>
              <w:spacing w:after="120" w:line="276" w:lineRule="auto"/>
              <w:jc w:val="both"/>
              <w:rPr>
                <w:rFonts w:ascii="Verdana" w:eastAsia="Calibri" w:hAnsi="Verdana" w:cs="Arial"/>
                <w:bCs/>
              </w:rPr>
            </w:pPr>
            <w:r w:rsidRPr="00E9090B">
              <w:rPr>
                <w:rFonts w:ascii="Verdana" w:eastAsia="Arial" w:hAnsi="Verdana" w:cs="Arial"/>
                <w:lang w:eastAsia="es-ES" w:bidi="es-ES"/>
              </w:rPr>
              <w:tab/>
            </w:r>
            <w:r w:rsidRPr="00E9090B">
              <w:rPr>
                <w:rFonts w:ascii="Verdana" w:eastAsia="Arial" w:hAnsi="Verdana" w:cs="Arial"/>
                <w:lang w:eastAsia="es-ES" w:bidi="es-ES"/>
              </w:rPr>
              <w:tab/>
              <w:t>Conforme a lo expresado,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w:t>
            </w:r>
            <w:r>
              <w:rPr>
                <w:rFonts w:ascii="Verdana" w:eastAsia="Arial" w:hAnsi="Verdana" w:cs="Arial"/>
                <w:lang w:eastAsia="es-ES" w:bidi="es-ES"/>
              </w:rPr>
              <w:t>,</w:t>
            </w:r>
            <w:r w:rsidRPr="00E9090B">
              <w:rPr>
                <w:rFonts w:ascii="Verdana" w:eastAsia="Arial" w:hAnsi="Verdana" w:cs="Arial"/>
                <w:lang w:eastAsia="es-ES" w:bidi="es-ES"/>
              </w:rPr>
              <w:t xml:space="preserve"> como los convenios</w:t>
            </w:r>
            <w:r>
              <w:rPr>
                <w:rFonts w:ascii="Verdana" w:eastAsia="Arial" w:hAnsi="Verdana" w:cs="Arial"/>
                <w:lang w:eastAsia="es-ES" w:bidi="es-ES"/>
              </w:rPr>
              <w:t xml:space="preserve"> interadministrativos</w:t>
            </w:r>
            <w:r w:rsidRPr="00E9090B">
              <w:rPr>
                <w:rFonts w:ascii="Verdana" w:eastAsia="Arial" w:hAnsi="Verdana" w:cs="Arial"/>
                <w:lang w:eastAsia="es-ES" w:bidi="es-ES"/>
              </w:rPr>
              <w:t xml:space="preserve">, que se caractericen por no recibir </w:t>
            </w:r>
            <w:r w:rsidRPr="00E9090B">
              <w:rPr>
                <w:rFonts w:ascii="Verdana" w:eastAsia="Calibri" w:hAnsi="Verdana" w:cs="Arial"/>
                <w:bCs/>
              </w:rPr>
              <w:t xml:space="preserve">una contraprestación económica, </w:t>
            </w:r>
            <w:r w:rsidRPr="001F6566">
              <w:rPr>
                <w:rFonts w:ascii="Verdana" w:eastAsia="Calibri" w:hAnsi="Verdana" w:cs="Arial"/>
                <w:bCs/>
                <w:i/>
                <w:iCs/>
              </w:rPr>
              <w:t>no es aplicable la remisión integral al anticipo o pago anticipado</w:t>
            </w:r>
            <w:r>
              <w:rPr>
                <w:rFonts w:ascii="Verdana" w:eastAsia="Calibri" w:hAnsi="Verdana" w:cs="Arial"/>
                <w:bCs/>
              </w:rPr>
              <w:t>, lo cual implica que tampoco lo es la limitación porcentual que al respecto establece el artículo 40 de la Ley 80 de 1993.</w:t>
            </w:r>
          </w:p>
          <w:p w14:paraId="1CCFEB2C" w14:textId="77777777" w:rsidR="00FC7BA5" w:rsidRPr="004D1CBF" w:rsidRDefault="00FC7BA5" w:rsidP="00045987">
            <w:pPr>
              <w:spacing w:after="120" w:line="276" w:lineRule="auto"/>
              <w:ind w:firstLine="709"/>
              <w:jc w:val="both"/>
              <w:rPr>
                <w:rFonts w:ascii="Verdana" w:eastAsia="Calibri" w:hAnsi="Verdana" w:cs="Arial"/>
                <w:bCs/>
                <w:lang w:val="es-ES_tradnl"/>
              </w:rPr>
            </w:pPr>
            <w:r w:rsidRPr="00E9090B">
              <w:rPr>
                <w:rFonts w:ascii="Verdana" w:eastAsia="Calibri" w:hAnsi="Verdana" w:cs="Arial"/>
                <w:bCs/>
                <w:lang w:val="es-ES_tradnl" w:bidi="es-ES"/>
              </w:rPr>
              <w:t xml:space="preserve">Sin embargo, </w:t>
            </w:r>
            <w:r>
              <w:rPr>
                <w:rFonts w:ascii="Verdana" w:eastAsia="Calibri" w:hAnsi="Verdana" w:cs="Arial"/>
                <w:bCs/>
                <w:lang w:val="es-ES_tradnl" w:bidi="es-ES"/>
              </w:rPr>
              <w:t xml:space="preserve">esto </w:t>
            </w:r>
            <w:r w:rsidRPr="00E9090B">
              <w:rPr>
                <w:rFonts w:ascii="Verdana" w:eastAsia="Calibri" w:hAnsi="Verdana" w:cs="Arial"/>
                <w:bCs/>
                <w:lang w:val="es-ES_tradnl" w:bidi="es-ES"/>
              </w:rPr>
              <w:t xml:space="preserve">no implica que, </w:t>
            </w:r>
            <w:r>
              <w:rPr>
                <w:rFonts w:ascii="Verdana" w:eastAsia="Calibri" w:hAnsi="Verdana" w:cs="Arial"/>
                <w:bCs/>
                <w:lang w:val="es-ES_tradnl" w:bidi="es-ES"/>
              </w:rPr>
              <w:t xml:space="preserve">en el marco del convenio, </w:t>
            </w:r>
            <w:r w:rsidRPr="00E9090B">
              <w:rPr>
                <w:rFonts w:ascii="Verdana" w:eastAsia="Calibri" w:hAnsi="Verdana" w:cs="Arial"/>
                <w:bCs/>
                <w:lang w:val="es-ES_tradnl" w:bidi="es-ES"/>
              </w:rPr>
              <w:t xml:space="preserve">las partes no puedan establecer cláusulas que garanticen el desembolso temprano de recursos, de manera que las entidades que actúan como ejecutoras puedan contar con los recursos necesarios para comenzar el inicio de la ejecución de los proyectos a su cargo. </w:t>
            </w:r>
            <w:r>
              <w:rPr>
                <w:rFonts w:ascii="Verdana" w:eastAsia="Calibri" w:hAnsi="Verdana" w:cs="Arial"/>
                <w:bCs/>
                <w:lang w:val="es-ES_tradnl" w:bidi="es-ES"/>
              </w:rPr>
              <w:t>En estos casos</w:t>
            </w:r>
            <w:r w:rsidRPr="00E9090B">
              <w:rPr>
                <w:rFonts w:ascii="Verdana" w:eastAsia="Calibri" w:hAnsi="Verdana" w:cs="Arial"/>
                <w:bCs/>
                <w:lang w:val="es-ES_tradnl" w:bidi="es-ES"/>
              </w:rPr>
              <w:t xml:space="preserve">, se recomienda establecer giros vinculados a las fases del proyecto y el cronograma de ejecución, al igual que condiciones administrativas claras y concisas para los desembolsos, que faciliten el entendimiento entre partes del convenio. </w:t>
            </w:r>
            <w:r w:rsidRPr="00E9090B">
              <w:rPr>
                <w:rFonts w:ascii="Verdana" w:eastAsia="Calibri" w:hAnsi="Verdana" w:cs="Arial"/>
                <w:bCs/>
                <w:lang w:val="es-ES_tradnl"/>
              </w:rPr>
              <w:t xml:space="preserve">Conforme lo expuesto, dichas estipulaciones no deben entenderse como una contraprestación para algunas de las partes o no pueden destinarse a remunerar a la entidad pública que participe del convenio. </w:t>
            </w:r>
          </w:p>
        </w:tc>
      </w:tr>
    </w:tbl>
    <w:p w14:paraId="436E7DA0" w14:textId="77777777" w:rsidR="00FC7BA5" w:rsidRPr="00661383" w:rsidRDefault="00FC7BA5" w:rsidP="00FC7BA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0D6395F" w14:textId="77777777" w:rsidR="00FC7BA5" w:rsidRPr="00661383" w:rsidRDefault="00FC7BA5" w:rsidP="00FC7BA5">
      <w:pPr>
        <w:tabs>
          <w:tab w:val="left" w:pos="142"/>
          <w:tab w:val="left" w:pos="284"/>
        </w:tabs>
        <w:spacing w:after="0" w:line="276" w:lineRule="auto"/>
        <w:jc w:val="both"/>
        <w:rPr>
          <w:rFonts w:ascii="Verdana" w:eastAsia="Century Gothic" w:hAnsi="Verdana" w:cs="Century Gothic"/>
          <w:b/>
          <w:color w:val="000000" w:themeColor="text1"/>
          <w:lang w:val="es-ES"/>
        </w:rPr>
      </w:pPr>
      <w:r w:rsidRPr="00661383">
        <w:rPr>
          <w:rFonts w:ascii="Verdana" w:eastAsia="Century Gothic" w:hAnsi="Verdana" w:cs="Century Gothic"/>
          <w:b/>
          <w:color w:val="000000" w:themeColor="text1"/>
          <w:lang w:val="es-ES"/>
        </w:rPr>
        <w:t>3.Razones de la respuesta:</w:t>
      </w:r>
    </w:p>
    <w:p w14:paraId="3563A79C" w14:textId="77777777" w:rsidR="00FC7BA5" w:rsidRPr="00661383" w:rsidRDefault="00FC7BA5" w:rsidP="00FC7BA5">
      <w:pPr>
        <w:spacing w:after="0" w:line="276" w:lineRule="auto"/>
        <w:jc w:val="both"/>
        <w:rPr>
          <w:rFonts w:ascii="Verdana" w:eastAsia="Calibri" w:hAnsi="Verdana" w:cs="Arial"/>
          <w:color w:val="000000" w:themeColor="text1"/>
          <w:lang w:val="es-ES"/>
        </w:rPr>
      </w:pPr>
    </w:p>
    <w:p w14:paraId="4B21EB0E" w14:textId="77777777" w:rsidR="00FC7BA5" w:rsidRDefault="00FC7BA5" w:rsidP="00FC7BA5">
      <w:pPr>
        <w:spacing w:after="0" w:line="276" w:lineRule="auto"/>
        <w:jc w:val="both"/>
        <w:rPr>
          <w:rFonts w:ascii="Verdana" w:eastAsia="Calibri" w:hAnsi="Verdana" w:cs="Arial"/>
          <w:lang w:val="es-ES"/>
        </w:rPr>
      </w:pPr>
      <w:bookmarkStart w:id="1" w:name="_Hlk102983874"/>
      <w:bookmarkStart w:id="2" w:name="_Hlk102388095"/>
      <w:r w:rsidRPr="00661383">
        <w:rPr>
          <w:rFonts w:ascii="Verdana" w:eastAsia="Calibri" w:hAnsi="Verdana" w:cs="Arial"/>
          <w:lang w:val="es-ES"/>
        </w:rPr>
        <w:t>Lo anterior se sustenta en las siguientes consideraciones:</w:t>
      </w:r>
    </w:p>
    <w:p w14:paraId="6F436627" w14:textId="77777777" w:rsidR="00FC7BA5" w:rsidRDefault="00FC7BA5" w:rsidP="00FC7BA5">
      <w:pPr>
        <w:spacing w:after="0" w:line="276" w:lineRule="auto"/>
        <w:jc w:val="both"/>
        <w:rPr>
          <w:rFonts w:ascii="Verdana" w:eastAsia="Calibri" w:hAnsi="Verdana" w:cs="Arial"/>
          <w:lang w:val="es-ES"/>
        </w:rPr>
      </w:pPr>
    </w:p>
    <w:p w14:paraId="07B2DFDB" w14:textId="77777777" w:rsidR="00FC7BA5" w:rsidRPr="00E9090B" w:rsidRDefault="00FC7BA5" w:rsidP="00FC7BA5">
      <w:pPr>
        <w:snapToGrid w:val="0"/>
        <w:spacing w:after="120" w:line="276" w:lineRule="auto"/>
        <w:jc w:val="both"/>
        <w:rPr>
          <w:rFonts w:ascii="Verdana" w:eastAsia="Calibri" w:hAnsi="Verdana" w:cs="Arial"/>
          <w:lang w:val="es-ES"/>
        </w:rPr>
      </w:pPr>
      <w:r>
        <w:rPr>
          <w:rFonts w:ascii="Verdana" w:eastAsia="Calibri" w:hAnsi="Verdana" w:cs="Arial"/>
          <w:lang w:val="es-ES"/>
        </w:rPr>
        <w:t xml:space="preserve">i) </w:t>
      </w:r>
      <w:r w:rsidRPr="00E9090B">
        <w:rPr>
          <w:rFonts w:ascii="Verdana" w:eastAsia="Calibri" w:hAnsi="Verdana" w:cs="Arial"/>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w:t>
      </w:r>
      <w:r w:rsidRPr="00E9090B">
        <w:rPr>
          <w:rFonts w:ascii="Verdana" w:eastAsia="Calibri" w:hAnsi="Verdana" w:cs="Arial"/>
          <w:lang w:val="es-ES"/>
        </w:rPr>
        <w:lastRenderedPageBreak/>
        <w:t xml:space="preserve">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7442876F" w14:textId="77777777" w:rsidR="00FC7BA5" w:rsidRPr="00E9090B" w:rsidRDefault="00FC7BA5" w:rsidP="00FC7BA5">
      <w:pPr>
        <w:spacing w:before="120" w:after="12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 Ahora bien, para distinguir o diferenciar el pago anticipado y anticipo, se acude a lo expresado en la Subsección C de la Sección Tercera del Consejo de Estado, que expresó:</w:t>
      </w:r>
    </w:p>
    <w:p w14:paraId="375293FA" w14:textId="77777777" w:rsidR="00FC7BA5" w:rsidRPr="00E9090B" w:rsidRDefault="00FC7BA5" w:rsidP="00FC7BA5">
      <w:pPr>
        <w:spacing w:after="0" w:line="240" w:lineRule="auto"/>
        <w:ind w:firstLine="709"/>
        <w:jc w:val="both"/>
        <w:rPr>
          <w:rFonts w:ascii="Arial" w:eastAsia="Calibri" w:hAnsi="Arial" w:cs="Arial"/>
          <w:lang w:val="es-ES"/>
        </w:rPr>
      </w:pPr>
    </w:p>
    <w:p w14:paraId="7603B1F6" w14:textId="77777777" w:rsidR="00FC7BA5" w:rsidRPr="00E9090B" w:rsidRDefault="00FC7BA5" w:rsidP="00FC7BA5">
      <w:pPr>
        <w:spacing w:after="0" w:line="240" w:lineRule="auto"/>
        <w:ind w:left="709" w:right="709"/>
        <w:jc w:val="both"/>
        <w:rPr>
          <w:rFonts w:ascii="Verdana" w:eastAsia="Calibri" w:hAnsi="Verdana" w:cs="Arial"/>
          <w:sz w:val="21"/>
          <w:szCs w:val="21"/>
          <w:lang w:val="es-ES"/>
        </w:rPr>
      </w:pPr>
      <w:r w:rsidRPr="00E9090B">
        <w:rPr>
          <w:rFonts w:ascii="Verdana" w:eastAsia="Calibri" w:hAnsi="Verdana" w:cs="Arial"/>
          <w:sz w:val="21"/>
          <w:szCs w:val="21"/>
          <w:lang w:val="es-ES"/>
        </w:rPr>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E9090B">
        <w:rPr>
          <w:rFonts w:ascii="Verdana" w:eastAsia="Calibri" w:hAnsi="Verdana" w:cs="Arial"/>
          <w:sz w:val="21"/>
          <w:szCs w:val="21"/>
          <w:vertAlign w:val="superscript"/>
          <w:lang w:val="es-ES"/>
        </w:rPr>
        <w:footnoteReference w:id="3"/>
      </w:r>
      <w:r w:rsidRPr="00E9090B">
        <w:rPr>
          <w:rFonts w:ascii="Verdana" w:eastAsia="Calibri" w:hAnsi="Verdana" w:cs="Arial"/>
          <w:sz w:val="21"/>
          <w:szCs w:val="21"/>
          <w:lang w:val="es-ES"/>
        </w:rPr>
        <w:t>.</w:t>
      </w:r>
    </w:p>
    <w:p w14:paraId="06CF29E6" w14:textId="77777777" w:rsidR="00FC7BA5" w:rsidRPr="00E9090B" w:rsidRDefault="00FC7BA5" w:rsidP="00FC7BA5">
      <w:pPr>
        <w:spacing w:after="0" w:line="276" w:lineRule="auto"/>
        <w:ind w:firstLine="709"/>
        <w:jc w:val="both"/>
        <w:rPr>
          <w:rFonts w:ascii="Arial" w:eastAsia="Calibri" w:hAnsi="Arial" w:cs="Arial"/>
          <w:lang w:val="es-ES"/>
        </w:rPr>
      </w:pPr>
    </w:p>
    <w:p w14:paraId="54871606" w14:textId="77777777" w:rsidR="00FC7BA5" w:rsidRPr="00E9090B" w:rsidRDefault="00FC7BA5" w:rsidP="00FC7BA5">
      <w:pPr>
        <w:tabs>
          <w:tab w:val="left" w:pos="0"/>
        </w:tabs>
        <w:spacing w:after="120" w:line="276" w:lineRule="auto"/>
        <w:jc w:val="both"/>
        <w:rPr>
          <w:rFonts w:ascii="Verdana" w:hAnsi="Verdana" w:cs="Arial"/>
        </w:rPr>
      </w:pPr>
      <w:r w:rsidRPr="00E9090B">
        <w:rPr>
          <w:rFonts w:ascii="Verdana" w:eastAsia="Calibri" w:hAnsi="Verdana" w:cs="Arial"/>
          <w:lang w:val="es-ES"/>
        </w:rPr>
        <w:tab/>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E9090B">
        <w:rPr>
          <w:rFonts w:ascii="Verdana" w:eastAsia="Calibri" w:hAnsi="Verdana" w:cs="Arial"/>
          <w:lang w:val="es-ES"/>
        </w:rPr>
        <w:t>ii</w:t>
      </w:r>
      <w:proofErr w:type="spellEnd"/>
      <w:r w:rsidRPr="00E9090B">
        <w:rPr>
          <w:rFonts w:ascii="Verdana" w:eastAsia="Calibri" w:hAnsi="Verdana" w:cs="Arial"/>
          <w:lang w:val="es-ES"/>
        </w:rPr>
        <w:t>)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w:t>
      </w:r>
      <w:r w:rsidRPr="00E9090B">
        <w:rPr>
          <w:rFonts w:ascii="Verdana" w:hAnsi="Verdana" w:cs="Arial"/>
          <w:lang w:bidi="es-ES"/>
        </w:rPr>
        <w:lastRenderedPageBreak/>
        <w:t>retribución parcial que el contratista recibe en los contratos de ejecución sucesiva”</w:t>
      </w:r>
      <w:r w:rsidRPr="00E9090B">
        <w:rPr>
          <w:rFonts w:ascii="Verdana" w:hAnsi="Verdana" w:cs="Arial"/>
          <w:vertAlign w:val="superscript"/>
          <w:lang w:bidi="es-ES"/>
        </w:rPr>
        <w:footnoteReference w:id="4"/>
      </w:r>
      <w:r w:rsidRPr="00E9090B">
        <w:rPr>
          <w:rFonts w:ascii="Verdana" w:hAnsi="Verdana" w:cs="Arial"/>
          <w:lang w:bidi="es-ES"/>
        </w:rPr>
        <w:t>.</w:t>
      </w:r>
    </w:p>
    <w:p w14:paraId="5D64CA3B" w14:textId="77777777" w:rsidR="00FC7BA5" w:rsidRPr="00E9090B" w:rsidRDefault="00FC7BA5" w:rsidP="00FC7BA5">
      <w:pPr>
        <w:spacing w:after="0" w:line="276" w:lineRule="auto"/>
        <w:ind w:firstLine="709"/>
        <w:jc w:val="both"/>
        <w:rPr>
          <w:rFonts w:ascii="Verdana" w:hAnsi="Verdana" w:cs="Arial"/>
        </w:rPr>
      </w:pPr>
      <w:r w:rsidRPr="00E9090B">
        <w:rPr>
          <w:rFonts w:ascii="Verdana" w:hAnsi="Verdana" w:cs="Arial"/>
          <w:lang w:eastAsia="en-GB"/>
        </w:rPr>
        <w:t>Para entender un poco más sobre sus diferencias, se precisa que la institución jurídica del anticipo está prevista en dos (2) preceptos normativos: el</w:t>
      </w:r>
      <w:r w:rsidRPr="00E9090B">
        <w:rPr>
          <w:rFonts w:ascii="Verdana" w:hAnsi="Verdana" w:cs="Arial"/>
        </w:rPr>
        <w:t xml:space="preserve"> inciso primero del parágrafo del artículo 40 de la Ley 80 de 1993 que establece un límite cuantitativo y en el artículo 91 de la Ley 1474 de 2011. Este último artículo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E9090B">
        <w:rPr>
          <w:rFonts w:ascii="Verdana" w:hAnsi="Verdana"/>
        </w:rPr>
        <w:t xml:space="preserve"> </w:t>
      </w:r>
      <w:r w:rsidRPr="00E9090B">
        <w:rPr>
          <w:rFonts w:ascii="Verdana" w:hAnsi="Verdana" w:cs="Arial"/>
        </w:rPr>
        <w:t>Aunque las normas citadas no definen el anticipo, el Consejo de Estado ha precisado su naturaleza jurídica fijando parámetros para su aplicación</w:t>
      </w:r>
      <w:r w:rsidRPr="00E9090B">
        <w:rPr>
          <w:vertAlign w:val="superscript"/>
        </w:rPr>
        <w:footnoteReference w:id="5"/>
      </w:r>
      <w:r w:rsidRPr="00E9090B">
        <w:rPr>
          <w:rFonts w:ascii="Verdana" w:hAnsi="Verdana" w:cs="Arial"/>
        </w:rPr>
        <w:t>. En uno de sus pronunciamientos, el Consejo de Estado se refirió al anticipo como:</w:t>
      </w:r>
    </w:p>
    <w:p w14:paraId="7EAF2268" w14:textId="77777777" w:rsidR="00FC7BA5" w:rsidRPr="00E9090B" w:rsidRDefault="00FC7BA5" w:rsidP="00FC7BA5">
      <w:pPr>
        <w:spacing w:after="0" w:line="276" w:lineRule="auto"/>
        <w:jc w:val="both"/>
        <w:rPr>
          <w:rFonts w:ascii="Verdana" w:hAnsi="Verdana" w:cs="Arial"/>
        </w:rPr>
      </w:pPr>
    </w:p>
    <w:p w14:paraId="1FC7DBFB" w14:textId="77777777" w:rsidR="00FC7BA5" w:rsidRPr="00E9090B" w:rsidRDefault="00FC7BA5" w:rsidP="00FC7BA5">
      <w:pPr>
        <w:spacing w:after="0" w:line="240" w:lineRule="auto"/>
        <w:ind w:left="709" w:right="709"/>
        <w:jc w:val="both"/>
        <w:rPr>
          <w:rFonts w:ascii="Verdana" w:hAnsi="Verdana" w:cs="Arial"/>
          <w:sz w:val="21"/>
          <w:szCs w:val="21"/>
        </w:rPr>
      </w:pPr>
      <w:r w:rsidRPr="00E9090B">
        <w:rPr>
          <w:rFonts w:ascii="Verdana" w:hAnsi="Verdana" w:cs="Arial"/>
          <w:sz w:val="21"/>
          <w:szCs w:val="21"/>
        </w:rPr>
        <w:t>“[…]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9090B">
        <w:rPr>
          <w:sz w:val="21"/>
          <w:szCs w:val="21"/>
          <w:vertAlign w:val="superscript"/>
        </w:rPr>
        <w:footnoteReference w:id="6"/>
      </w:r>
      <w:r w:rsidRPr="00E9090B">
        <w:rPr>
          <w:rFonts w:ascii="Verdana" w:hAnsi="Verdana" w:cs="Arial"/>
          <w:sz w:val="21"/>
          <w:szCs w:val="21"/>
        </w:rPr>
        <w:t>.</w:t>
      </w:r>
    </w:p>
    <w:p w14:paraId="514EEABF" w14:textId="77777777" w:rsidR="00FC7BA5" w:rsidRPr="00E9090B" w:rsidRDefault="00FC7BA5" w:rsidP="00FC7BA5">
      <w:pPr>
        <w:spacing w:after="0" w:line="240" w:lineRule="auto"/>
        <w:ind w:left="709" w:right="709"/>
        <w:jc w:val="both"/>
        <w:rPr>
          <w:rFonts w:ascii="Verdana" w:hAnsi="Verdana"/>
          <w:sz w:val="21"/>
          <w:szCs w:val="21"/>
        </w:rPr>
      </w:pPr>
    </w:p>
    <w:p w14:paraId="5B9094ED" w14:textId="77777777" w:rsidR="00FC7BA5" w:rsidRPr="00E9090B" w:rsidRDefault="00FC7BA5" w:rsidP="00FC7BA5">
      <w:pPr>
        <w:tabs>
          <w:tab w:val="left" w:pos="0"/>
        </w:tabs>
        <w:spacing w:after="120" w:line="276" w:lineRule="auto"/>
        <w:jc w:val="both"/>
        <w:rPr>
          <w:rFonts w:ascii="Verdana" w:hAnsi="Verdana" w:cs="Arial"/>
        </w:rPr>
      </w:pPr>
      <w:r w:rsidRPr="00E9090B">
        <w:rPr>
          <w:rFonts w:ascii="Verdana" w:hAnsi="Verdana" w:cs="Arial"/>
        </w:rPr>
        <w:tab/>
        <w:t xml:space="preserve">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w:t>
      </w:r>
      <w:r w:rsidRPr="00E9090B">
        <w:rPr>
          <w:rFonts w:ascii="Verdana" w:hAnsi="Verdana" w:cs="Arial"/>
        </w:rPr>
        <w:lastRenderedPageBreak/>
        <w:t>prestaciones del contratista, y hace razonable el amparo del buen manejo y correcta inversión de estos recursos dentro de la garantía única de cumplimiento”</w:t>
      </w:r>
      <w:r w:rsidRPr="00E9090B">
        <w:rPr>
          <w:vertAlign w:val="superscript"/>
        </w:rPr>
        <w:footnoteReference w:id="7"/>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8"/>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9"/>
      </w:r>
      <w:r w:rsidRPr="00E9090B">
        <w:rPr>
          <w:rFonts w:ascii="Verdana" w:hAnsi="Verdana" w:cs="Arial"/>
        </w:rPr>
        <w:t xml:space="preserve">. </w:t>
      </w:r>
    </w:p>
    <w:p w14:paraId="54AE2562" w14:textId="77777777" w:rsidR="00FC7BA5" w:rsidRPr="00E9090B" w:rsidRDefault="00FC7BA5" w:rsidP="00FC7BA5">
      <w:pPr>
        <w:tabs>
          <w:tab w:val="left" w:pos="0"/>
        </w:tabs>
        <w:spacing w:after="120" w:line="276" w:lineRule="auto"/>
        <w:jc w:val="both"/>
        <w:rPr>
          <w:rFonts w:ascii="Verdana" w:hAnsi="Verdana" w:cs="Arial"/>
        </w:rPr>
      </w:pPr>
      <w:r w:rsidRPr="00E9090B">
        <w:rPr>
          <w:rFonts w:ascii="Verdana" w:hAnsi="Verdana" w:cs="Arial"/>
        </w:rPr>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37DCFFE9" w14:textId="77777777" w:rsidR="00FC7BA5" w:rsidRPr="00E9090B" w:rsidRDefault="00FC7BA5" w:rsidP="00FC7BA5">
      <w:pPr>
        <w:spacing w:after="120" w:line="276" w:lineRule="auto"/>
        <w:ind w:firstLine="708"/>
        <w:jc w:val="both"/>
        <w:rPr>
          <w:rFonts w:ascii="Verdana" w:hAnsi="Verdana" w:cs="Arial"/>
          <w:sz w:val="21"/>
          <w:szCs w:val="21"/>
        </w:rPr>
      </w:pPr>
      <w:r w:rsidRPr="00E9090B">
        <w:rPr>
          <w:rFonts w:ascii="Verdana" w:eastAsia="Calibri" w:hAnsi="Verdana" w:cs="Arial"/>
        </w:rPr>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10"/>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w:t>
      </w:r>
      <w:r w:rsidRPr="00E9090B">
        <w:rPr>
          <w:rFonts w:ascii="Verdana" w:eastAsia="Calibri" w:hAnsi="Verdana" w:cs="Arial"/>
        </w:rPr>
        <w:lastRenderedPageBreak/>
        <w:t xml:space="preserve">destinación diferente a la que este lo use, en el marco de su libertad y autonomía. </w:t>
      </w:r>
    </w:p>
    <w:p w14:paraId="34526948" w14:textId="77777777" w:rsidR="00FC7BA5" w:rsidRPr="00E9090B" w:rsidRDefault="00FC7BA5" w:rsidP="00FC7BA5">
      <w:pPr>
        <w:tabs>
          <w:tab w:val="left" w:pos="0"/>
        </w:tabs>
        <w:spacing w:after="120" w:line="276" w:lineRule="auto"/>
        <w:jc w:val="both"/>
        <w:rPr>
          <w:rFonts w:ascii="Verdana" w:hAnsi="Verdana" w:cs="Arial"/>
        </w:rPr>
      </w:pPr>
      <w:r w:rsidRPr="00E9090B">
        <w:rPr>
          <w:rFonts w:ascii="Verdana" w:hAnsi="Verdana" w:cs="Arial"/>
        </w:rPr>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589DCE9D" w14:textId="77777777" w:rsidR="00FC7BA5" w:rsidRDefault="00FC7BA5" w:rsidP="00FC7BA5">
      <w:pPr>
        <w:spacing w:after="0" w:line="276" w:lineRule="auto"/>
        <w:ind w:firstLine="708"/>
        <w:jc w:val="both"/>
        <w:rPr>
          <w:rFonts w:ascii="Verdana" w:eastAsia="Arial" w:hAnsi="Verdana" w:cs="Arial"/>
          <w:lang w:val="es-ES" w:eastAsia="es-ES" w:bidi="es-ES"/>
        </w:rPr>
      </w:pPr>
      <w:r>
        <w:rPr>
          <w:rFonts w:ascii="Verdana" w:hAnsi="Verdana" w:cs="Arial"/>
        </w:rPr>
        <w:t xml:space="preserve">En efecto, </w:t>
      </w:r>
      <w:r w:rsidRPr="00E9090B">
        <w:rPr>
          <w:rFonts w:ascii="Verdana" w:hAnsi="Verdana" w:cs="Arial"/>
        </w:rPr>
        <w:t xml:space="preserve">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w:t>
      </w:r>
      <w:proofErr w:type="spellStart"/>
      <w:r w:rsidRPr="00E9090B">
        <w:rPr>
          <w:rFonts w:ascii="Verdana" w:hAnsi="Verdana" w:cs="Arial"/>
        </w:rPr>
        <w:t>ii</w:t>
      </w:r>
      <w:proofErr w:type="spellEnd"/>
      <w:r w:rsidRPr="00E9090B">
        <w:rPr>
          <w:rFonts w:ascii="Verdana" w:hAnsi="Verdana" w:cs="Arial"/>
        </w:rPr>
        <w:t xml:space="preserve">) el uso indebido del anticipo; y </w:t>
      </w:r>
      <w:proofErr w:type="spellStart"/>
      <w:r w:rsidRPr="00E9090B">
        <w:rPr>
          <w:rFonts w:ascii="Verdana" w:hAnsi="Verdana" w:cs="Arial"/>
        </w:rPr>
        <w:t>iii</w:t>
      </w:r>
      <w:proofErr w:type="spellEnd"/>
      <w:r w:rsidRPr="00E9090B">
        <w:rPr>
          <w:rFonts w:ascii="Verdana" w:hAnsi="Verdana" w:cs="Arial"/>
        </w:rPr>
        <w:t>) la apropiación indebida de los recursos recibidos en calidad de anticipo</w:t>
      </w:r>
      <w:r w:rsidRPr="00E9090B">
        <w:rPr>
          <w:vertAlign w:val="superscript"/>
        </w:rPr>
        <w:footnoteReference w:id="11"/>
      </w:r>
      <w:r w:rsidRPr="00E9090B">
        <w:rPr>
          <w:rFonts w:ascii="Verdana" w:hAnsi="Verdana" w:cs="Arial"/>
        </w:rPr>
        <w:t xml:space="preserve">. Por otro lado, frente al pago anticipado se </w:t>
      </w:r>
      <w:r w:rsidRPr="00E9090B">
        <w:rPr>
          <w:rFonts w:ascii="Verdana" w:hAnsi="Verdana" w:cs="Arial"/>
        </w:rPr>
        <w:lastRenderedPageBreak/>
        <w:t xml:space="preserve">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390C469C" w14:textId="77777777" w:rsidR="00FC7BA5" w:rsidRPr="00E9090B" w:rsidRDefault="00FC7BA5" w:rsidP="00FC7BA5">
      <w:pPr>
        <w:spacing w:after="0" w:line="276" w:lineRule="auto"/>
        <w:ind w:firstLine="708"/>
        <w:jc w:val="both"/>
        <w:rPr>
          <w:rFonts w:ascii="Verdana" w:hAnsi="Verdana" w:cs="Arial"/>
        </w:rPr>
      </w:pPr>
    </w:p>
    <w:p w14:paraId="26FDA5E4" w14:textId="77777777" w:rsidR="00FC7BA5" w:rsidRPr="00B57A1B" w:rsidRDefault="00FC7BA5" w:rsidP="00FC7BA5">
      <w:pPr>
        <w:tabs>
          <w:tab w:val="left" w:pos="7851"/>
        </w:tabs>
        <w:spacing w:after="120" w:line="276" w:lineRule="auto"/>
        <w:jc w:val="both"/>
        <w:rPr>
          <w:rFonts w:ascii="Arial" w:hAnsi="Arial" w:cs="Arial"/>
          <w:b/>
        </w:rPr>
      </w:pPr>
      <w:proofErr w:type="spellStart"/>
      <w:r>
        <w:rPr>
          <w:rFonts w:ascii="Verdana" w:eastAsia="Calibri" w:hAnsi="Verdana" w:cs="Arial"/>
        </w:rPr>
        <w:t>ii</w:t>
      </w:r>
      <w:proofErr w:type="spellEnd"/>
      <w:r>
        <w:rPr>
          <w:rFonts w:ascii="Verdana" w:eastAsia="Calibri" w:hAnsi="Verdana" w:cs="Arial"/>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12"/>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6BD1DFC9" w14:textId="77777777" w:rsidR="00FC7BA5" w:rsidRPr="00B57A1B" w:rsidRDefault="00FC7BA5" w:rsidP="00FC7BA5">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6D83188E" w14:textId="77777777" w:rsidR="00FC7BA5" w:rsidRPr="00B57A1B" w:rsidRDefault="00FC7BA5" w:rsidP="00FC7BA5">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w:t>
      </w:r>
      <w:r w:rsidRPr="00B57A1B">
        <w:rPr>
          <w:rFonts w:ascii="Verdana" w:eastAsiaTheme="minorEastAsia" w:hAnsi="Verdana" w:cs="Arial"/>
          <w:lang w:eastAsia="es-CO"/>
        </w:rPr>
        <w:lastRenderedPageBreak/>
        <w:t>ley, deba adelantarse un procedimiento con pluralidad de oferentes</w:t>
      </w:r>
      <w:r w:rsidRPr="00B57A1B">
        <w:rPr>
          <w:rFonts w:ascii="Verdana" w:eastAsiaTheme="minorEastAsia" w:hAnsi="Verdana" w:cs="Arial"/>
          <w:vertAlign w:val="superscript"/>
          <w:lang w:eastAsia="es-CO"/>
        </w:rPr>
        <w:footnoteReference w:id="13"/>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5951E736" w14:textId="77777777" w:rsidR="00FC7BA5" w:rsidRPr="00B57A1B" w:rsidRDefault="00FC7BA5" w:rsidP="00FC7BA5">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14"/>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361FE48D" w14:textId="77777777" w:rsidR="00FC7BA5" w:rsidRPr="00B57A1B" w:rsidRDefault="00FC7BA5" w:rsidP="00FC7BA5">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008FB836" w14:textId="77777777" w:rsidR="00FC7BA5" w:rsidRPr="00B57A1B" w:rsidRDefault="00FC7BA5" w:rsidP="00FC7BA5">
      <w:pPr>
        <w:spacing w:after="0" w:line="276" w:lineRule="auto"/>
        <w:ind w:firstLine="709"/>
        <w:jc w:val="both"/>
        <w:rPr>
          <w:rFonts w:ascii="Verdana" w:eastAsiaTheme="minorEastAsia" w:hAnsi="Verdana" w:cs="Arial"/>
          <w:lang w:eastAsia="es-CO"/>
        </w:rPr>
      </w:pPr>
    </w:p>
    <w:p w14:paraId="249AB1EE" w14:textId="77777777" w:rsidR="00FC7BA5" w:rsidRPr="00B57A1B" w:rsidRDefault="00FC7BA5" w:rsidP="00FC7BA5">
      <w:pPr>
        <w:spacing w:after="0" w:line="240" w:lineRule="auto"/>
        <w:ind w:left="709" w:right="709"/>
        <w:jc w:val="both"/>
        <w:rPr>
          <w:rFonts w:ascii="Verdana" w:eastAsiaTheme="minorEastAsia" w:hAnsi="Verdana" w:cs="Arial"/>
          <w:sz w:val="21"/>
          <w:szCs w:val="21"/>
          <w:lang w:eastAsia="es-CO"/>
        </w:rPr>
      </w:pPr>
      <w:r w:rsidRPr="00B57A1B">
        <w:rPr>
          <w:rFonts w:ascii="Verdana" w:eastAsiaTheme="minorEastAsia" w:hAnsi="Verdana" w:cs="Arial"/>
          <w:sz w:val="21"/>
          <w:szCs w:val="21"/>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5DA8C7C9" w14:textId="77777777" w:rsidR="00FC7BA5" w:rsidRPr="00B57A1B" w:rsidRDefault="00FC7BA5" w:rsidP="00FC7BA5">
      <w:pPr>
        <w:spacing w:after="0" w:line="240" w:lineRule="auto"/>
        <w:ind w:left="709" w:right="709"/>
        <w:contextualSpacing/>
        <w:jc w:val="both"/>
        <w:rPr>
          <w:rFonts w:ascii="Verdana" w:eastAsiaTheme="minorEastAsia" w:hAnsi="Verdana" w:cs="Arial"/>
          <w:sz w:val="21"/>
          <w:szCs w:val="21"/>
          <w:lang w:val="es-ES" w:eastAsia="es-CO"/>
        </w:rPr>
      </w:pPr>
      <w:proofErr w:type="spellStart"/>
      <w:proofErr w:type="gramStart"/>
      <w:r>
        <w:rPr>
          <w:rFonts w:ascii="Verdana" w:eastAsiaTheme="minorEastAsia" w:hAnsi="Verdana" w:cs="Arial"/>
          <w:sz w:val="21"/>
          <w:szCs w:val="21"/>
          <w:lang w:val="es-ES" w:eastAsia="es-CO"/>
        </w:rPr>
        <w:t>a.</w:t>
      </w:r>
      <w:r w:rsidRPr="00B57A1B">
        <w:rPr>
          <w:rFonts w:ascii="Verdana" w:eastAsiaTheme="minorEastAsia" w:hAnsi="Verdana" w:cs="Arial"/>
          <w:sz w:val="21"/>
          <w:szCs w:val="21"/>
          <w:lang w:val="es-ES" w:eastAsia="es-CO"/>
        </w:rPr>
        <w:t>El</w:t>
      </w:r>
      <w:proofErr w:type="spellEnd"/>
      <w:proofErr w:type="gramEnd"/>
      <w:r w:rsidRPr="00B57A1B">
        <w:rPr>
          <w:rFonts w:ascii="Verdana" w:eastAsiaTheme="minorEastAsia" w:hAnsi="Verdana" w:cs="Arial"/>
          <w:sz w:val="21"/>
          <w:szCs w:val="21"/>
          <w:lang w:val="es-ES" w:eastAsia="es-CO"/>
        </w:rPr>
        <w:t xml:space="preserve"> objeto de los contratos lo constituyen obligaciones de contenido patrimonial y, por </w:t>
      </w:r>
      <w:r w:rsidRPr="00B57A1B">
        <w:rPr>
          <w:rFonts w:ascii="Verdana" w:eastAsiaTheme="minorEastAsia" w:hAnsi="Verdana" w:cs="Arial"/>
          <w:sz w:val="21"/>
          <w:szCs w:val="21"/>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2F054492" w14:textId="77777777" w:rsidR="00FC7BA5" w:rsidRPr="00B57A1B" w:rsidRDefault="00FC7BA5" w:rsidP="00FC7BA5">
      <w:pPr>
        <w:spacing w:after="0" w:line="240" w:lineRule="auto"/>
        <w:ind w:left="709" w:right="709"/>
        <w:contextualSpacing/>
        <w:jc w:val="both"/>
        <w:rPr>
          <w:rFonts w:ascii="Verdana" w:eastAsiaTheme="minorEastAsia" w:hAnsi="Verdana" w:cs="Arial"/>
          <w:sz w:val="21"/>
          <w:szCs w:val="21"/>
          <w:lang w:val="es-ES" w:eastAsia="es-CO"/>
        </w:rPr>
      </w:pPr>
      <w:proofErr w:type="spellStart"/>
      <w:r>
        <w:rPr>
          <w:rFonts w:ascii="Verdana" w:eastAsiaTheme="minorEastAsia" w:hAnsi="Verdana" w:cs="Arial"/>
          <w:sz w:val="21"/>
          <w:szCs w:val="21"/>
          <w:lang w:eastAsia="es-CO"/>
        </w:rPr>
        <w:lastRenderedPageBreak/>
        <w:t>b.</w:t>
      </w:r>
      <w:r w:rsidRPr="00B57A1B">
        <w:rPr>
          <w:rFonts w:ascii="Verdana" w:eastAsiaTheme="minorEastAsia" w:hAnsi="Verdana" w:cs="Arial"/>
          <w:sz w:val="21"/>
          <w:szCs w:val="21"/>
          <w:lang w:eastAsia="es-CO"/>
        </w:rPr>
        <w:t>Los</w:t>
      </w:r>
      <w:proofErr w:type="spellEnd"/>
      <w:r w:rsidRPr="00B57A1B">
        <w:rPr>
          <w:rFonts w:ascii="Verdana" w:eastAsiaTheme="minorEastAsia" w:hAnsi="Verdana" w:cs="Arial"/>
          <w:sz w:val="21"/>
          <w:szCs w:val="21"/>
          <w:lang w:eastAsia="es-CO"/>
        </w:rPr>
        <w:t xml:space="preserve">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78246F66" w14:textId="77777777" w:rsidR="00FC7BA5" w:rsidRPr="00B57A1B" w:rsidRDefault="00FC7BA5" w:rsidP="00FC7BA5">
      <w:pPr>
        <w:spacing w:after="0" w:line="240" w:lineRule="auto"/>
        <w:ind w:left="709" w:right="709"/>
        <w:contextualSpacing/>
        <w:jc w:val="both"/>
        <w:rPr>
          <w:rFonts w:ascii="Verdana" w:eastAsiaTheme="minorEastAsia" w:hAnsi="Verdana" w:cs="Arial"/>
          <w:sz w:val="21"/>
          <w:szCs w:val="21"/>
          <w:lang w:val="es-ES" w:eastAsia="es-CO"/>
        </w:rPr>
      </w:pPr>
      <w:proofErr w:type="spellStart"/>
      <w:r>
        <w:rPr>
          <w:rFonts w:ascii="Verdana" w:eastAsiaTheme="minorEastAsia" w:hAnsi="Verdana" w:cs="Arial"/>
          <w:sz w:val="21"/>
          <w:szCs w:val="21"/>
          <w:lang w:eastAsia="es-CO"/>
        </w:rPr>
        <w:t>c.</w:t>
      </w:r>
      <w:r w:rsidRPr="00B57A1B">
        <w:rPr>
          <w:rFonts w:ascii="Verdana" w:eastAsiaTheme="minorEastAsia" w:hAnsi="Verdana" w:cs="Arial"/>
          <w:sz w:val="21"/>
          <w:szCs w:val="21"/>
          <w:lang w:eastAsia="es-CO"/>
        </w:rPr>
        <w:t>Los</w:t>
      </w:r>
      <w:proofErr w:type="spellEnd"/>
      <w:r w:rsidRPr="00B57A1B">
        <w:rPr>
          <w:rFonts w:ascii="Verdana" w:eastAsiaTheme="minorEastAsia" w:hAnsi="Verdana" w:cs="Arial"/>
          <w:sz w:val="21"/>
          <w:szCs w:val="21"/>
          <w:lang w:eastAsia="es-CO"/>
        </w:rPr>
        <w:t xml:space="preserve">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B57A1B">
        <w:rPr>
          <w:rFonts w:ascii="Verdana" w:eastAsiaTheme="minorEastAsia" w:hAnsi="Verdana" w:cs="Arial"/>
          <w:sz w:val="21"/>
          <w:szCs w:val="21"/>
          <w:vertAlign w:val="superscript"/>
          <w:lang w:eastAsia="es-CO"/>
        </w:rPr>
        <w:footnoteReference w:id="15"/>
      </w:r>
      <w:r w:rsidRPr="00B57A1B">
        <w:rPr>
          <w:rFonts w:ascii="Verdana" w:eastAsiaTheme="minorEastAsia" w:hAnsi="Verdana" w:cs="Arial"/>
          <w:sz w:val="21"/>
          <w:szCs w:val="21"/>
          <w:lang w:eastAsia="es-CO"/>
        </w:rPr>
        <w:t>.</w:t>
      </w:r>
    </w:p>
    <w:p w14:paraId="28D29E82" w14:textId="77777777" w:rsidR="00FC7BA5" w:rsidRPr="00B57A1B" w:rsidRDefault="00FC7BA5" w:rsidP="00FC7BA5">
      <w:pPr>
        <w:spacing w:after="0" w:line="276" w:lineRule="auto"/>
        <w:ind w:right="709"/>
        <w:jc w:val="both"/>
        <w:rPr>
          <w:rFonts w:ascii="Verdana" w:eastAsia="Times New Roman" w:hAnsi="Verdana" w:cs="Arial"/>
          <w:lang w:eastAsia="es-ES_tradnl"/>
        </w:rPr>
      </w:pPr>
    </w:p>
    <w:p w14:paraId="33179DD8" w14:textId="77777777" w:rsidR="00FC7BA5" w:rsidRPr="00B57A1B" w:rsidRDefault="00FC7BA5" w:rsidP="00FC7BA5">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2C0F3F49" w14:textId="77777777" w:rsidR="00FC7BA5" w:rsidRPr="00B57A1B" w:rsidRDefault="00FC7BA5" w:rsidP="00FC7BA5">
      <w:pPr>
        <w:spacing w:after="0" w:line="276" w:lineRule="auto"/>
        <w:ind w:firstLine="709"/>
        <w:jc w:val="both"/>
        <w:rPr>
          <w:rFonts w:ascii="Verdana" w:eastAsiaTheme="minorEastAsia" w:hAnsi="Verdana" w:cs="Arial"/>
          <w:lang w:eastAsia="es-CO"/>
        </w:rPr>
      </w:pPr>
    </w:p>
    <w:p w14:paraId="5FFBA8DC" w14:textId="77777777" w:rsidR="00FC7BA5" w:rsidRPr="00B57A1B" w:rsidRDefault="00FC7BA5" w:rsidP="00FC7BA5">
      <w:pPr>
        <w:spacing w:after="0" w:line="240" w:lineRule="auto"/>
        <w:ind w:left="709" w:right="709"/>
        <w:jc w:val="both"/>
        <w:rPr>
          <w:rFonts w:ascii="Verdana" w:eastAsiaTheme="minorEastAsia" w:hAnsi="Verdana" w:cs="Arial"/>
          <w:lang w:eastAsia="es-CO"/>
        </w:rPr>
      </w:pPr>
      <w:r w:rsidRPr="00B57A1B">
        <w:rPr>
          <w:rFonts w:ascii="Verdana" w:eastAsiaTheme="minorEastAsia" w:hAnsi="Verdana" w:cs="Arial"/>
          <w:sz w:val="21"/>
          <w:szCs w:val="21"/>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5489FBDA" w14:textId="77777777" w:rsidR="00FC7BA5" w:rsidRPr="00B57A1B" w:rsidRDefault="00FC7BA5" w:rsidP="00FC7BA5">
      <w:pPr>
        <w:spacing w:after="0" w:line="240" w:lineRule="auto"/>
        <w:ind w:left="709" w:right="709"/>
        <w:jc w:val="both"/>
        <w:rPr>
          <w:rFonts w:ascii="Verdana" w:eastAsiaTheme="minorEastAsia" w:hAnsi="Verdana" w:cs="Arial"/>
          <w:sz w:val="21"/>
          <w:szCs w:val="21"/>
          <w:lang w:eastAsia="es-CO"/>
        </w:rPr>
      </w:pPr>
      <w:r w:rsidRPr="00B57A1B">
        <w:rPr>
          <w:rFonts w:ascii="Verdana" w:eastAsiaTheme="minorEastAsia" w:hAnsi="Verdana" w:cs="Arial"/>
          <w:sz w:val="21"/>
          <w:szCs w:val="21"/>
          <w:lang w:eastAsia="es-CO"/>
        </w:rPr>
        <w:t>[…]</w:t>
      </w:r>
    </w:p>
    <w:p w14:paraId="4C8FC4AB" w14:textId="77777777" w:rsidR="00FC7BA5" w:rsidRDefault="00FC7BA5" w:rsidP="00FC7BA5">
      <w:pPr>
        <w:autoSpaceDE w:val="0"/>
        <w:autoSpaceDN w:val="0"/>
        <w:adjustRightInd w:val="0"/>
        <w:spacing w:after="0" w:line="240" w:lineRule="auto"/>
        <w:ind w:left="709" w:right="709"/>
        <w:jc w:val="both"/>
        <w:rPr>
          <w:rFonts w:ascii="Verdana" w:hAnsi="Verdana" w:cs="Weiss"/>
          <w:sz w:val="21"/>
          <w:szCs w:val="21"/>
        </w:rPr>
      </w:pPr>
      <w:r w:rsidRPr="00B57A1B">
        <w:rPr>
          <w:rFonts w:ascii="Verdana" w:hAnsi="Verdana" w:cs="Weiss"/>
          <w:sz w:val="21"/>
          <w:szCs w:val="21"/>
        </w:rPr>
        <w:t xml:space="preserve">El contrato interadministrativo, por su parte, es también celebrado entre dos entidades públicas con capacidad de tener relaciones interadministrativas, con la particularidad de que el contrato es </w:t>
      </w:r>
      <w:r w:rsidRPr="00B57A1B">
        <w:rPr>
          <w:rFonts w:ascii="Verdana" w:hAnsi="Verdana" w:cs="Weiss"/>
          <w:sz w:val="21"/>
          <w:szCs w:val="21"/>
        </w:rPr>
        <w:lastRenderedPageBreak/>
        <w:t>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57A1B">
        <w:rPr>
          <w:rFonts w:ascii="Verdana" w:hAnsi="Verdana" w:cs="Weiss"/>
          <w:sz w:val="21"/>
          <w:szCs w:val="21"/>
          <w:vertAlign w:val="superscript"/>
        </w:rPr>
        <w:footnoteReference w:id="16"/>
      </w:r>
      <w:r w:rsidRPr="00B57A1B">
        <w:rPr>
          <w:rFonts w:ascii="Verdana" w:hAnsi="Verdana" w:cs="Weiss"/>
          <w:sz w:val="21"/>
          <w:szCs w:val="21"/>
        </w:rPr>
        <w:t>.</w:t>
      </w:r>
    </w:p>
    <w:p w14:paraId="4278B23B" w14:textId="77777777" w:rsidR="00FC7BA5" w:rsidRPr="004F1B4D" w:rsidRDefault="00FC7BA5" w:rsidP="00FC7BA5">
      <w:pPr>
        <w:autoSpaceDE w:val="0"/>
        <w:autoSpaceDN w:val="0"/>
        <w:adjustRightInd w:val="0"/>
        <w:spacing w:after="0" w:line="240" w:lineRule="auto"/>
        <w:ind w:left="709" w:right="709"/>
        <w:jc w:val="both"/>
        <w:rPr>
          <w:rFonts w:ascii="Verdana" w:hAnsi="Verdana" w:cs="Weiss"/>
          <w:sz w:val="21"/>
          <w:szCs w:val="21"/>
        </w:rPr>
      </w:pPr>
    </w:p>
    <w:p w14:paraId="2B5A60AB" w14:textId="77777777" w:rsidR="00FC7BA5" w:rsidRDefault="00FC7BA5" w:rsidP="00FC7BA5">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7"/>
      </w:r>
      <w:r w:rsidRPr="00B57A1B">
        <w:rPr>
          <w:rFonts w:ascii="Verdana" w:eastAsiaTheme="minorEastAsia" w:hAnsi="Verdana" w:cs="Arial"/>
          <w:lang w:eastAsia="es-CO"/>
        </w:rPr>
        <w:t xml:space="preserve">. De esta manera, el Consejo de Estado expresa:  </w:t>
      </w:r>
    </w:p>
    <w:p w14:paraId="453B54CA" w14:textId="77777777" w:rsidR="00FC7BA5" w:rsidRPr="001166CD" w:rsidRDefault="00FC7BA5" w:rsidP="00FC7BA5">
      <w:pPr>
        <w:spacing w:after="0" w:line="276" w:lineRule="auto"/>
        <w:ind w:firstLine="709"/>
        <w:jc w:val="both"/>
        <w:rPr>
          <w:rFonts w:ascii="Verdana" w:eastAsiaTheme="minorEastAsia" w:hAnsi="Verdana" w:cs="Arial"/>
          <w:lang w:eastAsia="es-CO"/>
        </w:rPr>
      </w:pPr>
    </w:p>
    <w:p w14:paraId="1030ACF7" w14:textId="77777777" w:rsidR="00FC7BA5" w:rsidRPr="00705ADF" w:rsidRDefault="00FC7BA5" w:rsidP="00FC7BA5">
      <w:pPr>
        <w:widowControl w:val="0"/>
        <w:autoSpaceDE w:val="0"/>
        <w:autoSpaceDN w:val="0"/>
        <w:spacing w:after="0" w:line="240" w:lineRule="auto"/>
        <w:ind w:left="709" w:right="709"/>
        <w:jc w:val="both"/>
        <w:rPr>
          <w:rFonts w:ascii="Verdana" w:eastAsia="Arial MT" w:hAnsi="Verdana" w:cs="Arial MT"/>
          <w:sz w:val="21"/>
          <w:szCs w:val="21"/>
        </w:rPr>
      </w:pPr>
      <w:r w:rsidRPr="00B57A1B">
        <w:rPr>
          <w:rFonts w:ascii="Verdana" w:eastAsia="Arial MT" w:hAnsi="Verdana" w:cs="Arial MT"/>
          <w:i/>
          <w:iCs/>
          <w:sz w:val="21"/>
          <w:szCs w:val="21"/>
        </w:rPr>
        <w:t>“</w:t>
      </w:r>
      <w:r w:rsidRPr="00705ADF">
        <w:rPr>
          <w:rFonts w:ascii="Verdana" w:eastAsia="Arial MT" w:hAnsi="Verdana" w:cs="Arial MT"/>
          <w:sz w:val="21"/>
          <w:szCs w:val="21"/>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36684291" w14:textId="77777777" w:rsidR="00FC7BA5" w:rsidRPr="00705ADF" w:rsidRDefault="00FC7BA5" w:rsidP="00FC7BA5">
      <w:pPr>
        <w:widowControl w:val="0"/>
        <w:autoSpaceDE w:val="0"/>
        <w:autoSpaceDN w:val="0"/>
        <w:spacing w:after="0" w:line="240" w:lineRule="auto"/>
        <w:ind w:left="709" w:right="709"/>
        <w:jc w:val="both"/>
        <w:rPr>
          <w:rFonts w:ascii="Verdana" w:eastAsia="Arial MT" w:hAnsi="Verdana" w:cs="Arial MT"/>
          <w:sz w:val="21"/>
          <w:szCs w:val="21"/>
        </w:rPr>
      </w:pPr>
    </w:p>
    <w:p w14:paraId="58CE8F6A" w14:textId="77777777" w:rsidR="00FC7BA5" w:rsidRPr="00705ADF" w:rsidRDefault="00FC7BA5" w:rsidP="00FC7BA5">
      <w:pPr>
        <w:widowControl w:val="0"/>
        <w:autoSpaceDE w:val="0"/>
        <w:autoSpaceDN w:val="0"/>
        <w:spacing w:after="0" w:line="240" w:lineRule="auto"/>
        <w:ind w:left="709" w:right="709"/>
        <w:jc w:val="both"/>
        <w:rPr>
          <w:rFonts w:ascii="Verdana" w:eastAsia="Arial MT" w:hAnsi="Verdana" w:cs="Arial MT"/>
          <w:sz w:val="21"/>
          <w:szCs w:val="21"/>
        </w:rPr>
      </w:pPr>
      <w:r w:rsidRPr="00705ADF">
        <w:rPr>
          <w:rFonts w:ascii="Verdana" w:eastAsia="Arial MT" w:hAnsi="Verdana" w:cs="Arial MT"/>
          <w:sz w:val="21"/>
          <w:szCs w:val="21"/>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0760AE14" w14:textId="77777777" w:rsidR="00FC7BA5" w:rsidRPr="00705ADF" w:rsidRDefault="00FC7BA5" w:rsidP="00FC7BA5">
      <w:pPr>
        <w:widowControl w:val="0"/>
        <w:autoSpaceDE w:val="0"/>
        <w:autoSpaceDN w:val="0"/>
        <w:spacing w:after="0" w:line="240" w:lineRule="auto"/>
        <w:ind w:left="709" w:right="709"/>
        <w:jc w:val="both"/>
        <w:rPr>
          <w:rFonts w:ascii="Verdana" w:eastAsia="Arial MT" w:hAnsi="Verdana" w:cs="Arial MT"/>
          <w:sz w:val="21"/>
          <w:szCs w:val="21"/>
        </w:rPr>
      </w:pPr>
    </w:p>
    <w:p w14:paraId="2302DD34" w14:textId="77777777" w:rsidR="00FC7BA5" w:rsidRPr="00705ADF" w:rsidRDefault="00FC7BA5" w:rsidP="00FC7BA5">
      <w:pPr>
        <w:widowControl w:val="0"/>
        <w:autoSpaceDE w:val="0"/>
        <w:autoSpaceDN w:val="0"/>
        <w:spacing w:after="0" w:line="240" w:lineRule="auto"/>
        <w:ind w:left="709" w:right="709"/>
        <w:jc w:val="both"/>
        <w:rPr>
          <w:rFonts w:ascii="Verdana" w:eastAsia="Arial MT" w:hAnsi="Verdana" w:cs="Arial MT"/>
          <w:sz w:val="21"/>
          <w:szCs w:val="21"/>
          <w:lang w:val="es-ES"/>
        </w:rPr>
      </w:pPr>
      <w:r w:rsidRPr="00705ADF">
        <w:rPr>
          <w:rFonts w:ascii="Verdana" w:eastAsia="Arial MT" w:hAnsi="Verdana" w:cs="Arial MT"/>
          <w:sz w:val="21"/>
          <w:szCs w:val="21"/>
        </w:rPr>
        <w:lastRenderedPageBreak/>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705ADF">
        <w:rPr>
          <w:rFonts w:ascii="Verdana" w:eastAsia="Arial MT" w:hAnsi="Verdana" w:cs="Arial MT"/>
          <w:sz w:val="21"/>
          <w:szCs w:val="21"/>
          <w:vertAlign w:val="superscript"/>
        </w:rPr>
        <w:footnoteReference w:id="18"/>
      </w:r>
      <w:r w:rsidRPr="00705ADF">
        <w:rPr>
          <w:rFonts w:ascii="Verdana" w:eastAsia="Arial MT" w:hAnsi="Verdana" w:cs="Arial MT"/>
          <w:sz w:val="21"/>
          <w:szCs w:val="21"/>
        </w:rPr>
        <w:t>.</w:t>
      </w:r>
    </w:p>
    <w:p w14:paraId="3FECE69D" w14:textId="77777777" w:rsidR="00FC7BA5" w:rsidRPr="00B57A1B" w:rsidRDefault="00FC7BA5" w:rsidP="00FC7BA5">
      <w:pPr>
        <w:spacing w:after="0" w:line="276" w:lineRule="auto"/>
        <w:ind w:firstLine="708"/>
        <w:jc w:val="both"/>
        <w:rPr>
          <w:rFonts w:ascii="Verdana" w:eastAsiaTheme="minorEastAsia" w:hAnsi="Verdana" w:cs="Arial"/>
          <w:lang w:val="es-ES" w:eastAsia="es-CO"/>
        </w:rPr>
      </w:pPr>
    </w:p>
    <w:p w14:paraId="7E57DCE3" w14:textId="77777777" w:rsidR="00FC7BA5" w:rsidRDefault="00FC7BA5" w:rsidP="00FC7BA5">
      <w:pPr>
        <w:shd w:val="clear" w:color="auto" w:fill="FFFFFF"/>
        <w:spacing w:after="120" w:line="276" w:lineRule="auto"/>
        <w:ind w:firstLine="708"/>
        <w:jc w:val="both"/>
        <w:textAlignment w:val="baseline"/>
        <w:rPr>
          <w:rFonts w:ascii="Verdana" w:eastAsia="Calibri" w:hAnsi="Verdana" w:cs="Arial"/>
          <w:bCs/>
        </w:rPr>
      </w:pPr>
      <w:r w:rsidRPr="00E9090B">
        <w:rPr>
          <w:rFonts w:ascii="Verdana" w:eastAsia="Calibri" w:hAnsi="Verdana" w:cs="Arial"/>
          <w:bCs/>
        </w:rPr>
        <w:t xml:space="preserve">Por lo tanto, según el marco jurídico </w:t>
      </w:r>
      <w:r>
        <w:rPr>
          <w:rFonts w:ascii="Verdana" w:eastAsia="Calibri" w:hAnsi="Verdana" w:cs="Arial"/>
          <w:bCs/>
        </w:rPr>
        <w:t>expuesto, los convenios interadministrativos tienen una finalidad asociativa, según la cual las partes asumen objetivos comunes. Tal como lo ha señalado el Consejo de Estado, los convenios no tienen un interés puramente económico, de modo que no se constituye el pago de una contraprestación como resultado del cumplimiento de ciertas actividades u obligaciones.</w:t>
      </w:r>
    </w:p>
    <w:p w14:paraId="0BC1F817" w14:textId="77777777" w:rsidR="00FC7BA5" w:rsidRPr="00587DE0" w:rsidRDefault="00FC7BA5" w:rsidP="00FC7BA5">
      <w:pPr>
        <w:shd w:val="clear" w:color="auto" w:fill="FFFFFF"/>
        <w:spacing w:after="120" w:line="276" w:lineRule="auto"/>
        <w:ind w:firstLine="708"/>
        <w:jc w:val="both"/>
        <w:textAlignment w:val="baseline"/>
        <w:rPr>
          <w:rFonts w:ascii="Verdana" w:eastAsia="Calibri" w:hAnsi="Verdana" w:cs="Arial"/>
          <w:bCs/>
        </w:rPr>
      </w:pPr>
      <w:r>
        <w:rPr>
          <w:rFonts w:ascii="Verdana" w:eastAsia="Calibri" w:hAnsi="Verdana" w:cs="Arial"/>
          <w:lang w:val="es-ES_tradnl"/>
        </w:rPr>
        <w:t>Frente a esta definición</w:t>
      </w:r>
      <w:r w:rsidRPr="00E9090B">
        <w:rPr>
          <w:rFonts w:ascii="Verdana" w:eastAsia="Calibri" w:hAnsi="Verdana" w:cs="Arial"/>
          <w:lang w:val="es-ES_tradnl"/>
        </w:rPr>
        <w:t>, es necesario revisar si los anticipos o los pagos anticipados son procedentes en los convenios</w:t>
      </w:r>
      <w:r>
        <w:rPr>
          <w:rFonts w:ascii="Verdana" w:eastAsia="Calibri" w:hAnsi="Verdana" w:cs="Arial"/>
          <w:lang w:val="es-ES_tradnl"/>
        </w:rPr>
        <w:t xml:space="preserve"> interadministrativos</w:t>
      </w:r>
      <w:r w:rsidRPr="00E9090B">
        <w:rPr>
          <w:rFonts w:ascii="Verdana" w:eastAsia="Calibri" w:hAnsi="Verdana" w:cs="Arial"/>
          <w:lang w:val="es-ES_tradnl"/>
        </w:rPr>
        <w:t xml:space="preserve">. </w:t>
      </w:r>
      <w:r w:rsidRPr="00E9090B">
        <w:rPr>
          <w:rFonts w:ascii="Verdana" w:eastAsia="Arial" w:hAnsi="Verdana" w:cs="Arial"/>
          <w:lang w:eastAsia="es-ES" w:bidi="es-ES"/>
        </w:rPr>
        <w:t>En materia de contratación pública, el anticipo ha sido definido como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9090B">
        <w:rPr>
          <w:rFonts w:ascii="Verdana" w:eastAsia="Arial" w:hAnsi="Verdana" w:cs="Arial"/>
          <w:vertAlign w:val="superscript"/>
          <w:lang w:eastAsia="es-ES" w:bidi="es-ES"/>
        </w:rPr>
        <w:footnoteReference w:id="19"/>
      </w:r>
      <w:r w:rsidRPr="00E9090B">
        <w:rPr>
          <w:rFonts w:ascii="Verdana" w:eastAsia="Arial" w:hAnsi="Verdana" w:cs="Arial"/>
          <w:lang w:eastAsia="es-ES" w:bidi="es-ES"/>
        </w:rPr>
        <w:t xml:space="preserve">. Esta institución es un mecanismo de apalancamiento financiero que implica un endeudamiento, que posibilita que la entidad contratante le entregue </w:t>
      </w:r>
      <w:r w:rsidRPr="00E9090B">
        <w:rPr>
          <w:rFonts w:ascii="Verdana" w:eastAsia="Arial" w:hAnsi="Verdana" w:cs="Arial"/>
          <w:i/>
          <w:lang w:eastAsia="es-ES" w:bidi="es-ES"/>
        </w:rPr>
        <w:t xml:space="preserve">ex ante </w:t>
      </w:r>
      <w:r w:rsidRPr="00E9090B">
        <w:rPr>
          <w:rFonts w:ascii="Verdana" w:eastAsia="Arial" w:hAnsi="Verdana" w:cs="Arial"/>
          <w:lang w:eastAsia="es-ES" w:bidi="es-ES"/>
        </w:rPr>
        <w:t xml:space="preserve">una suma de dinero al contratista, con el propósito de iniciar la ejecución del proyecto, la cual es amortizada y debitada de la contraprestación pactada. Mientras el pago anticipado </w:t>
      </w:r>
      <w:r w:rsidRPr="00E9090B">
        <w:rPr>
          <w:rFonts w:ascii="Verdana" w:eastAsia="Arial" w:hAnsi="Verdana" w:cs="Arial"/>
          <w:lang w:val="es-ES" w:eastAsia="es-ES" w:bidi="es-ES"/>
        </w:rPr>
        <w:t>es un pago efectivo del precio que se efectúa y se causa en forma anticipada. Por tanto, los recursos se integran al patrimonio del contratista desde su desembolso.</w:t>
      </w:r>
      <w:r w:rsidRPr="00E9090B">
        <w:rPr>
          <w:rFonts w:ascii="Bookman Old Style" w:eastAsia="Calibri" w:hAnsi="Bookman Old Style" w:cs="Times New Roman"/>
          <w:sz w:val="20"/>
          <w:szCs w:val="20"/>
          <w:lang w:val="es-ES"/>
        </w:rPr>
        <w:t xml:space="preserve"> </w:t>
      </w:r>
    </w:p>
    <w:p w14:paraId="2B573524" w14:textId="77777777" w:rsidR="00FC7BA5" w:rsidRPr="00E9090B" w:rsidRDefault="00FC7BA5" w:rsidP="00FC7BA5">
      <w:pPr>
        <w:tabs>
          <w:tab w:val="left" w:pos="284"/>
        </w:tabs>
        <w:spacing w:line="276" w:lineRule="auto"/>
        <w:jc w:val="both"/>
        <w:rPr>
          <w:rFonts w:ascii="Verdana" w:eastAsia="Calibri" w:hAnsi="Verdana" w:cs="Arial"/>
          <w:bCs/>
        </w:rPr>
      </w:pPr>
      <w:r w:rsidRPr="00E9090B">
        <w:rPr>
          <w:rFonts w:ascii="Verdana" w:eastAsia="Arial" w:hAnsi="Verdana" w:cs="Arial"/>
          <w:lang w:eastAsia="es-ES" w:bidi="es-ES"/>
        </w:rPr>
        <w:lastRenderedPageBreak/>
        <w:tab/>
      </w:r>
      <w:r w:rsidRPr="00E9090B">
        <w:rPr>
          <w:rFonts w:ascii="Verdana" w:eastAsia="Arial" w:hAnsi="Verdana" w:cs="Arial"/>
          <w:lang w:eastAsia="es-ES" w:bidi="es-ES"/>
        </w:rPr>
        <w:tab/>
        <w:t>Conforme a lo expresado, el anticipo, al igual que el pago anticipado, son conceptos vinculados a la contraprestación que suelen recibir los contratistas en el marco de los contratos conmutativos que ejecutan como una manifestación de la actividad económica que ejercen. Esto significa que, en relaciones jurídico-negociales colaborativas</w:t>
      </w:r>
      <w:r>
        <w:rPr>
          <w:rFonts w:ascii="Verdana" w:eastAsia="Arial" w:hAnsi="Verdana" w:cs="Arial"/>
          <w:lang w:eastAsia="es-ES" w:bidi="es-ES"/>
        </w:rPr>
        <w:t>,</w:t>
      </w:r>
      <w:r w:rsidRPr="00E9090B">
        <w:rPr>
          <w:rFonts w:ascii="Verdana" w:eastAsia="Arial" w:hAnsi="Verdana" w:cs="Arial"/>
          <w:lang w:eastAsia="es-ES" w:bidi="es-ES"/>
        </w:rPr>
        <w:t xml:space="preserve"> como los convenios</w:t>
      </w:r>
      <w:r>
        <w:rPr>
          <w:rFonts w:ascii="Verdana" w:eastAsia="Arial" w:hAnsi="Verdana" w:cs="Arial"/>
          <w:lang w:eastAsia="es-ES" w:bidi="es-ES"/>
        </w:rPr>
        <w:t xml:space="preserve"> interadministrativos</w:t>
      </w:r>
      <w:r w:rsidRPr="00E9090B">
        <w:rPr>
          <w:rFonts w:ascii="Verdana" w:eastAsia="Arial" w:hAnsi="Verdana" w:cs="Arial"/>
          <w:lang w:eastAsia="es-ES" w:bidi="es-ES"/>
        </w:rPr>
        <w:t xml:space="preserve">, que se caractericen por no recibir </w:t>
      </w:r>
      <w:r w:rsidRPr="00E9090B">
        <w:rPr>
          <w:rFonts w:ascii="Verdana" w:eastAsia="Calibri" w:hAnsi="Verdana" w:cs="Arial"/>
          <w:bCs/>
        </w:rPr>
        <w:t xml:space="preserve">una contraprestación económica, </w:t>
      </w:r>
      <w:r w:rsidRPr="001F6566">
        <w:rPr>
          <w:rFonts w:ascii="Verdana" w:eastAsia="Calibri" w:hAnsi="Verdana" w:cs="Arial"/>
          <w:bCs/>
          <w:i/>
          <w:iCs/>
        </w:rPr>
        <w:t>no es aplicable la remisión integral al anticipo o pago anticipado</w:t>
      </w:r>
      <w:r>
        <w:rPr>
          <w:rFonts w:ascii="Verdana" w:eastAsia="Calibri" w:hAnsi="Verdana" w:cs="Arial"/>
          <w:bCs/>
        </w:rPr>
        <w:t>, lo cual implica que no es aplicable la limitación porcentual que al respecto establece el artículo 40 de la Ley 80 de 1993.</w:t>
      </w:r>
    </w:p>
    <w:p w14:paraId="4B9E750D" w14:textId="77777777" w:rsidR="00FC7BA5" w:rsidRDefault="00FC7BA5" w:rsidP="00FC7BA5">
      <w:pPr>
        <w:spacing w:after="120" w:line="276" w:lineRule="auto"/>
        <w:ind w:firstLine="709"/>
        <w:jc w:val="both"/>
        <w:rPr>
          <w:rFonts w:ascii="Verdana" w:eastAsia="Calibri" w:hAnsi="Verdana" w:cs="Arial"/>
          <w:bCs/>
          <w:lang w:val="es-ES_tradnl"/>
        </w:rPr>
      </w:pPr>
      <w:r w:rsidRPr="00E9090B">
        <w:rPr>
          <w:rFonts w:ascii="Verdana" w:eastAsia="Calibri" w:hAnsi="Verdana" w:cs="Arial"/>
          <w:bCs/>
          <w:lang w:val="es-ES_tradnl" w:bidi="es-ES"/>
        </w:rPr>
        <w:t xml:space="preserve">Sin embargo, </w:t>
      </w:r>
      <w:r>
        <w:rPr>
          <w:rFonts w:ascii="Verdana" w:eastAsia="Calibri" w:hAnsi="Verdana" w:cs="Arial"/>
          <w:bCs/>
          <w:lang w:val="es-ES_tradnl" w:bidi="es-ES"/>
        </w:rPr>
        <w:t xml:space="preserve">esto </w:t>
      </w:r>
      <w:r w:rsidRPr="00E9090B">
        <w:rPr>
          <w:rFonts w:ascii="Verdana" w:eastAsia="Calibri" w:hAnsi="Verdana" w:cs="Arial"/>
          <w:bCs/>
          <w:lang w:val="es-ES_tradnl" w:bidi="es-ES"/>
        </w:rPr>
        <w:t xml:space="preserve">no implica que, </w:t>
      </w:r>
      <w:r>
        <w:rPr>
          <w:rFonts w:ascii="Verdana" w:eastAsia="Calibri" w:hAnsi="Verdana" w:cs="Arial"/>
          <w:bCs/>
          <w:lang w:val="es-ES_tradnl" w:bidi="es-ES"/>
        </w:rPr>
        <w:t xml:space="preserve">en el marco del convenio, </w:t>
      </w:r>
      <w:r w:rsidRPr="00E9090B">
        <w:rPr>
          <w:rFonts w:ascii="Verdana" w:eastAsia="Calibri" w:hAnsi="Verdana" w:cs="Arial"/>
          <w:bCs/>
          <w:lang w:val="es-ES_tradnl" w:bidi="es-ES"/>
        </w:rPr>
        <w:t xml:space="preserve">las partes no puedan establecer cláusulas que garanticen el desembolso temprano de recursos, de manera que las entidades que actúan como ejecutoras puedan contar con los recursos necesarios para comenzar el inicio de la ejecución de los proyectos a su cargo. </w:t>
      </w:r>
      <w:r>
        <w:rPr>
          <w:rFonts w:ascii="Verdana" w:eastAsia="Calibri" w:hAnsi="Verdana" w:cs="Arial"/>
          <w:bCs/>
          <w:lang w:val="es-ES_tradnl" w:bidi="es-ES"/>
        </w:rPr>
        <w:t>En estos casos</w:t>
      </w:r>
      <w:r w:rsidRPr="00E9090B">
        <w:rPr>
          <w:rFonts w:ascii="Verdana" w:eastAsia="Calibri" w:hAnsi="Verdana" w:cs="Arial"/>
          <w:bCs/>
          <w:lang w:val="es-ES_tradnl" w:bidi="es-ES"/>
        </w:rPr>
        <w:t xml:space="preserve">, se recomienda establecer giros vinculados a las fases del proyecto y el cronograma de ejecución, al igual que condiciones administrativas claras y concisas para los desembolsos, que faciliten el entendimiento entre partes del convenio. </w:t>
      </w:r>
      <w:r w:rsidRPr="00E9090B">
        <w:rPr>
          <w:rFonts w:ascii="Verdana" w:eastAsia="Calibri" w:hAnsi="Verdana" w:cs="Arial"/>
          <w:bCs/>
          <w:lang w:val="es-ES_tradnl"/>
        </w:rPr>
        <w:t xml:space="preserve">Conforme lo expuesto, dichas estipulaciones no deben entenderse como una contraprestación para algunas de las partes o no pueden destinarse a remunerar a la entidad pública que participe del convenio. </w:t>
      </w:r>
    </w:p>
    <w:p w14:paraId="18FD5ECC" w14:textId="77777777" w:rsidR="00FC7BA5" w:rsidRPr="00E9090B" w:rsidRDefault="00FC7BA5" w:rsidP="00FC7BA5">
      <w:pPr>
        <w:spacing w:after="120" w:line="276" w:lineRule="auto"/>
        <w:ind w:firstLine="709"/>
        <w:jc w:val="both"/>
        <w:rPr>
          <w:rFonts w:ascii="Verdana" w:eastAsia="Arial" w:hAnsi="Verdana" w:cs="Arial"/>
          <w:lang w:eastAsia="es-ES" w:bidi="es-ES"/>
        </w:rPr>
      </w:pPr>
      <w:r w:rsidRPr="00E9090B">
        <w:rPr>
          <w:rFonts w:ascii="Verdana" w:eastAsia="Arial" w:hAnsi="Verdana" w:cs="Arial"/>
          <w:bCs/>
          <w:lang w:val="es-ES_tradnl" w:eastAsia="es-ES" w:bidi="es-ES"/>
        </w:rPr>
        <w:t>En todo caso</w:t>
      </w:r>
      <w:r w:rsidRPr="00E9090B">
        <w:rPr>
          <w:rFonts w:ascii="Verdana" w:eastAsia="Arial" w:hAnsi="Verdana" w:cs="Arial"/>
          <w:lang w:eastAsia="es-ES" w:bidi="es-ES"/>
        </w:rPr>
        <w:t>, las entidades públicas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que sea acorde con el principio de juridicidad, sin que sea atribución de esta Agencia validarla.</w:t>
      </w:r>
    </w:p>
    <w:p w14:paraId="4B2A813D" w14:textId="77777777" w:rsidR="00FC7BA5" w:rsidRPr="00661383" w:rsidRDefault="00FC7BA5" w:rsidP="00FC7BA5">
      <w:pPr>
        <w:spacing w:after="0" w:line="276" w:lineRule="auto"/>
        <w:jc w:val="both"/>
        <w:rPr>
          <w:rFonts w:ascii="Verdana" w:eastAsia="Calibri" w:hAnsi="Verdana" w:cs="Arial"/>
          <w:lang w:val="es-ES"/>
        </w:rPr>
      </w:pPr>
    </w:p>
    <w:bookmarkEnd w:id="1"/>
    <w:bookmarkEnd w:id="2"/>
    <w:p w14:paraId="38ACE5CA" w14:textId="77777777" w:rsidR="00FC7BA5" w:rsidRPr="00661383" w:rsidRDefault="00FC7BA5" w:rsidP="00FC7BA5">
      <w:pPr>
        <w:tabs>
          <w:tab w:val="left" w:pos="142"/>
          <w:tab w:val="left" w:pos="284"/>
        </w:tabs>
        <w:spacing w:after="0" w:line="276" w:lineRule="auto"/>
        <w:jc w:val="both"/>
        <w:rPr>
          <w:rFonts w:ascii="Verdana" w:eastAsia="Century Gothic" w:hAnsi="Verdana" w:cs="Century Gothic"/>
          <w:b/>
          <w:color w:val="000000" w:themeColor="text1"/>
          <w:lang w:val="es-ES"/>
        </w:rPr>
      </w:pPr>
      <w:r w:rsidRPr="00661383">
        <w:rPr>
          <w:rFonts w:ascii="Verdana" w:eastAsia="Century Gothic" w:hAnsi="Verdana" w:cs="Century Gothic"/>
          <w:b/>
          <w:color w:val="000000" w:themeColor="text1"/>
          <w:lang w:val="es-ES"/>
        </w:rPr>
        <w:t>4.Referencias normativas, jurisprudenciales y otras fuentes:</w:t>
      </w:r>
    </w:p>
    <w:p w14:paraId="5BF84E0C" w14:textId="77777777" w:rsidR="00FC7BA5" w:rsidRPr="00661383" w:rsidRDefault="00FC7BA5" w:rsidP="00FC7BA5">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C7BA5" w:rsidRPr="00661383" w14:paraId="444C2EB9" w14:textId="77777777" w:rsidTr="00045987">
        <w:trPr>
          <w:trHeight w:val="870"/>
        </w:trPr>
        <w:tc>
          <w:tcPr>
            <w:tcW w:w="8647" w:type="dxa"/>
          </w:tcPr>
          <w:p w14:paraId="5FD71021"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s="Arial"/>
              </w:rPr>
              <w:t>Ley 80 de 1993, artículo 40.</w:t>
            </w:r>
          </w:p>
          <w:p w14:paraId="58929FCC"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s="Arial"/>
              </w:rPr>
              <w:t>Ley 1474 de 2011, artículo 91.</w:t>
            </w:r>
          </w:p>
          <w:p w14:paraId="0C093ED6"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s="Arial"/>
              </w:rPr>
              <w:t>Decreto 1082 de 2015, artículo 2.2.1.2.3.1.7.</w:t>
            </w:r>
          </w:p>
          <w:p w14:paraId="59BC5688"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s="Arial"/>
              </w:rPr>
              <w:lastRenderedPageBreak/>
              <w:t xml:space="preserve">Consejo de Estado. Sección Tercera. Subsección C. Sentencia del 29 de abril de 2015. </w:t>
            </w:r>
            <w:proofErr w:type="spellStart"/>
            <w:r w:rsidRPr="001166CD">
              <w:rPr>
                <w:rFonts w:ascii="Verdana" w:hAnsi="Verdana" w:cs="Arial"/>
              </w:rPr>
              <w:t>Exp</w:t>
            </w:r>
            <w:proofErr w:type="spellEnd"/>
            <w:r w:rsidRPr="001166CD">
              <w:rPr>
                <w:rFonts w:ascii="Verdana" w:hAnsi="Verdana" w:cs="Arial"/>
              </w:rPr>
              <w:t xml:space="preserve">. 31.620. Consejera Ponente: Olga Mélida Valle De </w:t>
            </w:r>
            <w:proofErr w:type="spellStart"/>
            <w:r w:rsidRPr="001166CD">
              <w:rPr>
                <w:rFonts w:ascii="Verdana" w:hAnsi="Verdana" w:cs="Arial"/>
              </w:rPr>
              <w:t>De</w:t>
            </w:r>
            <w:proofErr w:type="spellEnd"/>
            <w:r w:rsidRPr="001166CD">
              <w:rPr>
                <w:rFonts w:ascii="Verdana" w:hAnsi="Verdana" w:cs="Arial"/>
              </w:rPr>
              <w:t xml:space="preserve"> La Hoz (E).</w:t>
            </w:r>
          </w:p>
          <w:p w14:paraId="2950817D"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s="Arial"/>
              </w:rPr>
              <w:t>Consejo de Estado. Sala de lo Contencioso Administrativo. Sección Tercera – Subsección A. Sentencia del 16 de mayo de 2019. Rad. (40102). C.P: María Adriana Marín</w:t>
            </w:r>
          </w:p>
          <w:p w14:paraId="10846956"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s="Arial"/>
              </w:rPr>
              <w:t>Consejo de Estado. Sala de lo Contencioso Administrativo. Sección Tercera –</w:t>
            </w:r>
            <w:r w:rsidRPr="001166CD">
              <w:rPr>
                <w:rFonts w:ascii="Verdana" w:hAnsi="Verdana"/>
                <w:color w:val="000000" w:themeColor="text1"/>
              </w:rPr>
              <w:t xml:space="preserve"> Subsección C. Sentencia del 2 de octubre del 2020. Rad. 63644. CP. Jaime Enrique Rodríguez Nava.</w:t>
            </w:r>
          </w:p>
          <w:p w14:paraId="42C9C250" w14:textId="77777777" w:rsidR="00FC7BA5" w:rsidRPr="001166CD"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color w:val="000000" w:themeColor="text1"/>
              </w:rPr>
              <w:t xml:space="preserve">Consejo de Estado. Sección Tercera. Sentencia de 22 de junio de 2001. </w:t>
            </w:r>
            <w:proofErr w:type="spellStart"/>
            <w:r w:rsidRPr="001166CD">
              <w:rPr>
                <w:rFonts w:ascii="Verdana" w:hAnsi="Verdana"/>
                <w:color w:val="000000" w:themeColor="text1"/>
              </w:rPr>
              <w:t>Exp</w:t>
            </w:r>
            <w:proofErr w:type="spellEnd"/>
            <w:r w:rsidRPr="001166CD">
              <w:rPr>
                <w:rFonts w:ascii="Verdana" w:hAnsi="Verdana"/>
                <w:color w:val="000000" w:themeColor="text1"/>
              </w:rPr>
              <w:t>. 13436, C.P. Ricardo Hoyos Duque</w:t>
            </w:r>
          </w:p>
          <w:p w14:paraId="51304822" w14:textId="77777777" w:rsidR="00FC7BA5" w:rsidRPr="00661383" w:rsidRDefault="00FC7BA5" w:rsidP="00045987">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1166CD">
              <w:rPr>
                <w:rFonts w:ascii="Verdana" w:hAnsi="Verdana"/>
                <w:lang w:val="pt-BR"/>
              </w:rPr>
              <w:t xml:space="preserve">CORTE CONSTITUCIONAL. Sentencia C-671 de 2005. </w:t>
            </w:r>
            <w:r w:rsidRPr="001166CD">
              <w:rPr>
                <w:rFonts w:ascii="Verdana" w:hAnsi="Verdana"/>
              </w:rPr>
              <w:t>M.P. Álvaro Tafur Galvis.</w:t>
            </w:r>
          </w:p>
        </w:tc>
      </w:tr>
    </w:tbl>
    <w:p w14:paraId="39A9380A" w14:textId="77777777" w:rsidR="00FC7BA5" w:rsidRPr="00661383" w:rsidRDefault="00FC7BA5" w:rsidP="00FC7BA5">
      <w:pPr>
        <w:widowControl w:val="0"/>
        <w:autoSpaceDE w:val="0"/>
        <w:autoSpaceDN w:val="0"/>
        <w:spacing w:after="0" w:line="276" w:lineRule="auto"/>
        <w:jc w:val="both"/>
        <w:rPr>
          <w:rFonts w:ascii="Verdana" w:hAnsi="Verdana" w:cs="Arial"/>
          <w:color w:val="000000" w:themeColor="text1"/>
          <w:lang w:val="es-ES"/>
        </w:rPr>
      </w:pPr>
    </w:p>
    <w:p w14:paraId="2BD7A064" w14:textId="77777777" w:rsidR="00FC7BA5" w:rsidRPr="00661383" w:rsidRDefault="00FC7BA5" w:rsidP="00FC7BA5">
      <w:pPr>
        <w:tabs>
          <w:tab w:val="left" w:pos="142"/>
          <w:tab w:val="left" w:pos="284"/>
        </w:tabs>
        <w:spacing w:after="0" w:line="276" w:lineRule="auto"/>
        <w:jc w:val="both"/>
        <w:rPr>
          <w:rFonts w:ascii="Verdana" w:eastAsia="Century Gothic" w:hAnsi="Verdana" w:cs="Century Gothic"/>
          <w:b/>
          <w:color w:val="000000" w:themeColor="text1"/>
          <w:lang w:val="es-ES"/>
        </w:rPr>
      </w:pPr>
      <w:r w:rsidRPr="00661383">
        <w:rPr>
          <w:rFonts w:ascii="Verdana" w:eastAsia="Century Gothic" w:hAnsi="Verdana" w:cs="Century Gothic"/>
          <w:b/>
          <w:color w:val="000000" w:themeColor="text1"/>
          <w:lang w:val="es-ES"/>
        </w:rPr>
        <w:t>5.Doctrina de la Agencia Nacional de Contratación Pública:</w:t>
      </w:r>
    </w:p>
    <w:p w14:paraId="0A30DE1E" w14:textId="77777777" w:rsidR="00FC7BA5" w:rsidRPr="00661383" w:rsidRDefault="00FC7BA5" w:rsidP="00FC7BA5">
      <w:pPr>
        <w:widowControl w:val="0"/>
        <w:autoSpaceDE w:val="0"/>
        <w:autoSpaceDN w:val="0"/>
        <w:spacing w:after="0" w:line="276" w:lineRule="auto"/>
        <w:jc w:val="both"/>
        <w:rPr>
          <w:rFonts w:ascii="Verdana" w:hAnsi="Verdana" w:cs="Arial"/>
          <w:color w:val="000000" w:themeColor="text1"/>
          <w:lang w:val="es-ES"/>
        </w:rPr>
      </w:pPr>
    </w:p>
    <w:p w14:paraId="0FC5EACF" w14:textId="77777777" w:rsidR="00FC7BA5" w:rsidRPr="00661383" w:rsidRDefault="00FC7BA5" w:rsidP="00FC7BA5">
      <w:pPr>
        <w:spacing w:after="120"/>
        <w:jc w:val="both"/>
        <w:rPr>
          <w:rFonts w:ascii="Verdana" w:hAnsi="Verdana" w:cs="Arial"/>
          <w:color w:val="000000" w:themeColor="text1"/>
          <w:shd w:val="clear" w:color="auto" w:fill="FFFFFF"/>
          <w:lang w:val="es-ES"/>
        </w:rPr>
      </w:pPr>
      <w:r w:rsidRPr="00661383">
        <w:rPr>
          <w:rFonts w:ascii="Verdana" w:eastAsia="Calibri" w:hAnsi="Verdana" w:cs="Arial"/>
          <w:lang w:val="es-ES"/>
        </w:rPr>
        <w:t xml:space="preserve">La Agencia Nacional de Contratación Pública – Colombia Compra Eficiente se ha </w:t>
      </w:r>
      <w:r>
        <w:rPr>
          <w:rFonts w:ascii="Verdana" w:eastAsia="Calibri" w:hAnsi="Verdana" w:cs="Arial"/>
          <w:lang w:val="es-ES"/>
        </w:rPr>
        <w:t xml:space="preserve">referido </w:t>
      </w:r>
      <w:proofErr w:type="gramStart"/>
      <w:r>
        <w:rPr>
          <w:rFonts w:ascii="Verdana" w:hAnsi="Verdana" w:cs="Arial"/>
          <w:bCs/>
          <w:shd w:val="clear" w:color="auto" w:fill="FFFFFF"/>
        </w:rPr>
        <w:t xml:space="preserve">sobre  </w:t>
      </w:r>
      <w:r w:rsidRPr="00E9090B">
        <w:rPr>
          <w:rFonts w:ascii="Verdana" w:hAnsi="Verdana" w:cs="Arial"/>
          <w:bCs/>
          <w:shd w:val="clear" w:color="auto" w:fill="FFFFFF"/>
        </w:rPr>
        <w:t>los</w:t>
      </w:r>
      <w:proofErr w:type="gramEnd"/>
      <w:r w:rsidRPr="00E9090B">
        <w:rPr>
          <w:rFonts w:ascii="Verdana" w:hAnsi="Verdana" w:cs="Arial"/>
          <w:bCs/>
          <w:shd w:val="clear" w:color="auto" w:fill="FFFFFF"/>
        </w:rPr>
        <w:t xml:space="preserve"> anticipos y los pagos anticipados en </w:t>
      </w:r>
      <w:r>
        <w:rPr>
          <w:rFonts w:ascii="Verdana" w:hAnsi="Verdana" w:cs="Arial"/>
          <w:bCs/>
          <w:shd w:val="clear" w:color="auto" w:fill="FFFFFF"/>
        </w:rPr>
        <w:t>distintos</w:t>
      </w:r>
      <w:r w:rsidRPr="00E9090B">
        <w:rPr>
          <w:rFonts w:ascii="Verdana" w:hAnsi="Verdana" w:cs="Arial"/>
          <w:bCs/>
          <w:shd w:val="clear" w:color="auto" w:fill="FFFFFF"/>
        </w:rPr>
        <w:t xml:space="preserve"> convenios</w:t>
      </w:r>
      <w:r>
        <w:rPr>
          <w:rFonts w:ascii="Verdana" w:hAnsi="Verdana" w:cs="Arial"/>
          <w:bCs/>
          <w:shd w:val="clear" w:color="auto" w:fill="FFFFFF"/>
        </w:rPr>
        <w:t xml:space="preserve"> en los concepto número</w:t>
      </w:r>
      <w:r>
        <w:rPr>
          <w:rFonts w:ascii="Verdana" w:eastAsia="Calibri" w:hAnsi="Verdana" w:cs="Arial"/>
          <w:lang w:val="es-ES"/>
        </w:rPr>
        <w:t xml:space="preserve"> </w:t>
      </w:r>
      <w:r w:rsidRPr="00E9090B">
        <w:rPr>
          <w:rFonts w:ascii="Verdana" w:hAnsi="Verdana" w:cs="Arial"/>
          <w:bCs/>
          <w:shd w:val="clear" w:color="auto" w:fill="FFFFFF"/>
        </w:rPr>
        <w:t xml:space="preserve">C-037 del 5 de abril de 2023, C-197 del 28 de marzo de 2025, C-341 del 27 de agosto de 2024, </w:t>
      </w:r>
      <w:r>
        <w:rPr>
          <w:rFonts w:ascii="Verdana" w:hAnsi="Verdana" w:cs="Arial"/>
          <w:bCs/>
          <w:shd w:val="clear" w:color="auto" w:fill="FFFFFF"/>
        </w:rPr>
        <w:t>C</w:t>
      </w:r>
      <w:r w:rsidRPr="00777D16">
        <w:rPr>
          <w:rFonts w:ascii="Verdana" w:hAnsi="Verdana" w:cs="Arial"/>
          <w:lang w:val="es-MX" w:eastAsia="es-ES" w:bidi="es-ES"/>
        </w:rPr>
        <w:t>-557 del 17 de junio de 2025,</w:t>
      </w:r>
      <w:r>
        <w:rPr>
          <w:rFonts w:ascii="Verdana" w:hAnsi="Verdana" w:cs="Arial"/>
          <w:b/>
          <w:bCs/>
          <w:lang w:val="es-MX" w:eastAsia="es-ES" w:bidi="es-ES"/>
        </w:rPr>
        <w:t xml:space="preserve"> </w:t>
      </w:r>
      <w:r w:rsidRPr="00E9090B">
        <w:rPr>
          <w:rFonts w:ascii="Verdana" w:hAnsi="Verdana" w:cs="Arial"/>
          <w:bCs/>
          <w:shd w:val="clear" w:color="auto" w:fill="FFFFFF"/>
        </w:rPr>
        <w:t>entre otros</w:t>
      </w:r>
      <w:r w:rsidRPr="00661383">
        <w:rPr>
          <w:rFonts w:ascii="Verdana" w:hAnsi="Verdana" w:cs="Arial"/>
          <w:shd w:val="clear" w:color="auto" w:fill="FFFFFF"/>
          <w:lang w:val="es-ES"/>
        </w:rPr>
        <w:t>. Estos</w:t>
      </w:r>
      <w:r w:rsidRPr="00661383">
        <w:rPr>
          <w:rFonts w:ascii="Verdana" w:hAnsi="Verdana"/>
          <w:lang w:val="es-ES"/>
        </w:rPr>
        <w:t xml:space="preserve"> y otros se encuentran disponibles para consulta en el Sistema de relatoría de la Agencia, al cual se puede acceder a través del siguiente enlace:</w:t>
      </w:r>
      <w:r w:rsidRPr="00661383">
        <w:rPr>
          <w:rFonts w:ascii="Verdana" w:hAnsi="Verdana" w:cs="Arial"/>
          <w:shd w:val="clear" w:color="auto" w:fill="FFFFFF"/>
          <w:lang w:val="es-ES"/>
        </w:rPr>
        <w:t xml:space="preserve"> </w:t>
      </w:r>
      <w:hyperlink r:id="rId12" w:history="1">
        <w:r w:rsidRPr="00661383">
          <w:rPr>
            <w:rFonts w:ascii="Verdana" w:hAnsi="Verdana" w:cs="Arial"/>
            <w:color w:val="0000FF"/>
            <w:u w:val="single"/>
            <w:shd w:val="clear" w:color="auto" w:fill="FFFFFF"/>
            <w:lang w:val="es-ES"/>
          </w:rPr>
          <w:t>https://relatoria.colombiacompra.gov.co/busqueda/concept os</w:t>
        </w:r>
      </w:hyperlink>
      <w:r w:rsidRPr="00661383">
        <w:rPr>
          <w:rFonts w:ascii="Verdana" w:hAnsi="Verdana" w:cs="Arial"/>
          <w:shd w:val="clear" w:color="auto" w:fill="FFFFFF"/>
          <w:lang w:val="es-ES"/>
        </w:rPr>
        <w:t>.</w:t>
      </w:r>
      <w:r w:rsidRPr="00661383">
        <w:rPr>
          <w:rFonts w:ascii="Verdana" w:hAnsi="Verdana" w:cs="Arial"/>
          <w:color w:val="FF0000"/>
          <w:shd w:val="clear" w:color="auto" w:fill="FFFFFF"/>
          <w:lang w:val="es-ES"/>
        </w:rPr>
        <w:t xml:space="preserve"> </w:t>
      </w:r>
      <w:r w:rsidRPr="00661383">
        <w:rPr>
          <w:rFonts w:ascii="Verdana" w:hAnsi="Verdana" w:cs="Arial"/>
          <w:color w:val="000000" w:themeColor="text1"/>
          <w:shd w:val="clear" w:color="auto" w:fill="FFFFFF"/>
          <w:lang w:val="es-ES"/>
        </w:rPr>
        <w:t>  </w:t>
      </w:r>
    </w:p>
    <w:p w14:paraId="36CDCCBC" w14:textId="77777777" w:rsidR="00FC7BA5" w:rsidRPr="00661383" w:rsidRDefault="00FC7BA5" w:rsidP="00FC7BA5">
      <w:pPr>
        <w:spacing w:after="0"/>
        <w:jc w:val="both"/>
        <w:rPr>
          <w:rFonts w:ascii="Verdana" w:eastAsia="Calibri" w:hAnsi="Verdana" w:cs="Arial"/>
          <w:b/>
          <w:bCs/>
          <w:color w:val="000000" w:themeColor="text1"/>
          <w:lang w:val="es-ES"/>
        </w:rPr>
      </w:pPr>
    </w:p>
    <w:bookmarkEnd w:id="0"/>
    <w:p w14:paraId="1034115B" w14:textId="77777777" w:rsidR="00FC7BA5" w:rsidRPr="00FB3BB7" w:rsidRDefault="00FC7BA5" w:rsidP="00FC7BA5">
      <w:pPr>
        <w:spacing w:after="0" w:line="276" w:lineRule="auto"/>
        <w:contextualSpacing/>
        <w:jc w:val="both"/>
        <w:rPr>
          <w:rFonts w:ascii="Verdana" w:hAnsi="Verdana"/>
          <w:lang w:val="es-ES"/>
        </w:rPr>
      </w:pPr>
      <w:r w:rsidRPr="00FB3BB7">
        <w:rPr>
          <w:rFonts w:ascii="Verdana" w:hAnsi="Verdana"/>
          <w:lang w:val="es-ES"/>
        </w:rPr>
        <w:t>También le contamos que ya se encuentra disponible la </w:t>
      </w:r>
      <w:r w:rsidRPr="00FB3BB7">
        <w:rPr>
          <w:rFonts w:ascii="Verdana" w:hAnsi="Verdana"/>
          <w:b/>
          <w:bCs/>
          <w:lang w:val="es-ES"/>
        </w:rPr>
        <w:t>Guía de lineamientos de transparencia y selección objetiva para el departamento de La Guajira – Objetivo sexto constitucional de la Sentencia T-302 del 2017. </w:t>
      </w:r>
      <w:r w:rsidRPr="00FB3BB7">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B3BB7">
        <w:rPr>
          <w:rFonts w:ascii="Verdana" w:hAnsi="Verdana"/>
          <w:lang w:val="es-ES"/>
        </w:rPr>
        <w:t>Wayúu</w:t>
      </w:r>
      <w:proofErr w:type="spellEnd"/>
      <w:r w:rsidRPr="00FB3BB7">
        <w:rPr>
          <w:rFonts w:ascii="Verdana" w:hAnsi="Verdana"/>
          <w:lang w:val="es-ES"/>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FB3BB7">
          <w:rPr>
            <w:rStyle w:val="Hipervnculo"/>
            <w:rFonts w:ascii="Verdana" w:hAnsi="Verdana"/>
            <w:lang w:val="es-ES"/>
          </w:rPr>
          <w:t>Guía de lineamientos de transparencia y selección objetiva para el departamento de La Guajira – Objetivo sexto constitucional de la Sentencia T-302 del 2017</w:t>
        </w:r>
      </w:hyperlink>
      <w:r w:rsidRPr="00FB3BB7">
        <w:rPr>
          <w:rFonts w:ascii="Verdana" w:hAnsi="Verdana"/>
          <w:u w:val="single"/>
          <w:lang w:val="es-ES"/>
        </w:rPr>
        <w:t>"</w:t>
      </w:r>
    </w:p>
    <w:p w14:paraId="388A875B" w14:textId="77777777" w:rsidR="00FC7BA5" w:rsidRPr="00FB3BB7" w:rsidRDefault="00FC7BA5" w:rsidP="00FC7B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57789D9" w14:textId="77777777" w:rsidR="00FC7BA5" w:rsidRPr="00FB3BB7" w:rsidRDefault="00FC7BA5" w:rsidP="00FC7BA5">
      <w:pPr>
        <w:spacing w:after="0" w:line="276" w:lineRule="auto"/>
        <w:jc w:val="both"/>
        <w:rPr>
          <w:rFonts w:ascii="Verdana" w:hAnsi="Verdana"/>
        </w:rPr>
      </w:pPr>
      <w:r w:rsidRPr="00FB3BB7">
        <w:rPr>
          <w:rFonts w:ascii="Verdana" w:hAnsi="Verdana"/>
        </w:rPr>
        <w:t xml:space="preserve">Por último, lo invitamos a seguirnos en las redes sociales en las cuales se difunde información institucional: </w:t>
      </w:r>
    </w:p>
    <w:p w14:paraId="45F010DD" w14:textId="77777777" w:rsidR="00FC7BA5" w:rsidRPr="00FB3BB7" w:rsidRDefault="00FC7BA5" w:rsidP="00FC7BA5">
      <w:pPr>
        <w:spacing w:after="0" w:line="276" w:lineRule="auto"/>
        <w:jc w:val="both"/>
        <w:rPr>
          <w:rFonts w:ascii="Verdana" w:hAnsi="Verdana"/>
        </w:rPr>
      </w:pPr>
    </w:p>
    <w:p w14:paraId="25C3CF9E" w14:textId="77777777" w:rsidR="00FC7BA5" w:rsidRPr="00FB3BB7" w:rsidRDefault="00FC7BA5" w:rsidP="00FC7BA5">
      <w:pPr>
        <w:spacing w:after="0" w:line="276" w:lineRule="auto"/>
        <w:jc w:val="both"/>
        <w:rPr>
          <w:rFonts w:ascii="Verdana" w:hAnsi="Verdana"/>
        </w:rPr>
      </w:pPr>
      <w:r w:rsidRPr="00FB3BB7">
        <w:rPr>
          <w:rFonts w:ascii="Verdana" w:hAnsi="Verdana"/>
        </w:rPr>
        <w:t xml:space="preserve">Twitter: </w:t>
      </w:r>
      <w:r w:rsidRPr="00FB3BB7">
        <w:rPr>
          <w:rStyle w:val="Hipervnculo"/>
          <w:rFonts w:ascii="Verdana" w:hAnsi="Verdana" w:cs="Arial"/>
          <w:shd w:val="clear" w:color="auto" w:fill="FFFFFF"/>
        </w:rPr>
        <w:t>@colombiacompra</w:t>
      </w:r>
      <w:r w:rsidRPr="00FB3BB7">
        <w:rPr>
          <w:rFonts w:ascii="Verdana" w:hAnsi="Verdana"/>
          <w:color w:val="4472C4" w:themeColor="accent1"/>
        </w:rPr>
        <w:t xml:space="preserve"> </w:t>
      </w:r>
    </w:p>
    <w:p w14:paraId="6400B85D" w14:textId="77777777" w:rsidR="00FC7BA5" w:rsidRPr="00FB3BB7" w:rsidRDefault="00FC7BA5" w:rsidP="00FC7BA5">
      <w:pPr>
        <w:spacing w:after="0" w:line="276" w:lineRule="auto"/>
        <w:jc w:val="both"/>
        <w:rPr>
          <w:rFonts w:ascii="Verdana" w:hAnsi="Verdana"/>
        </w:rPr>
      </w:pPr>
      <w:r w:rsidRPr="00FB3BB7">
        <w:rPr>
          <w:rFonts w:ascii="Verdana" w:hAnsi="Verdana"/>
        </w:rPr>
        <w:t xml:space="preserve">Facebook: </w:t>
      </w:r>
      <w:proofErr w:type="spellStart"/>
      <w:r w:rsidRPr="00FB3BB7">
        <w:rPr>
          <w:rStyle w:val="Hipervnculo"/>
          <w:rFonts w:ascii="Verdana" w:hAnsi="Verdana" w:cs="Arial"/>
          <w:shd w:val="clear" w:color="auto" w:fill="FFFFFF"/>
        </w:rPr>
        <w:t>ColombiaCompraEficiente</w:t>
      </w:r>
      <w:proofErr w:type="spellEnd"/>
    </w:p>
    <w:p w14:paraId="0AADAB12" w14:textId="77777777" w:rsidR="00FC7BA5" w:rsidRPr="00FB3BB7" w:rsidRDefault="00FC7BA5" w:rsidP="00FC7BA5">
      <w:pPr>
        <w:spacing w:after="0" w:line="276" w:lineRule="auto"/>
        <w:jc w:val="both"/>
        <w:rPr>
          <w:rFonts w:ascii="Verdana" w:hAnsi="Verdana"/>
        </w:rPr>
      </w:pPr>
      <w:r w:rsidRPr="00FB3BB7">
        <w:rPr>
          <w:rFonts w:ascii="Verdana" w:hAnsi="Verdana"/>
        </w:rPr>
        <w:t xml:space="preserve">LinkedIn: </w:t>
      </w:r>
      <w:r w:rsidRPr="00FB3BB7">
        <w:rPr>
          <w:rStyle w:val="Hipervnculo"/>
          <w:rFonts w:ascii="Verdana" w:hAnsi="Verdana" w:cs="Arial"/>
          <w:shd w:val="clear" w:color="auto" w:fill="FFFFFF"/>
        </w:rPr>
        <w:t xml:space="preserve">Agencia Nacional de Contratación Pública - Colombia Compra Eficiente </w:t>
      </w:r>
      <w:r w:rsidRPr="00FB3BB7">
        <w:rPr>
          <w:rFonts w:ascii="Verdana" w:hAnsi="Verdana"/>
        </w:rPr>
        <w:t xml:space="preserve">Instagram: </w:t>
      </w:r>
      <w:r w:rsidRPr="00FB3BB7">
        <w:rPr>
          <w:rStyle w:val="Hipervnculo"/>
          <w:rFonts w:ascii="Verdana" w:hAnsi="Verdana" w:cs="Arial"/>
          <w:shd w:val="clear" w:color="auto" w:fill="FFFFFF"/>
        </w:rPr>
        <w:t>@colombiacompraeficiente_cce</w:t>
      </w:r>
    </w:p>
    <w:p w14:paraId="43887880" w14:textId="77777777" w:rsidR="00FC7BA5" w:rsidRPr="00FB3BB7" w:rsidRDefault="00FC7BA5" w:rsidP="00FC7BA5">
      <w:pPr>
        <w:widowControl w:val="0"/>
        <w:autoSpaceDE w:val="0"/>
        <w:autoSpaceDN w:val="0"/>
        <w:spacing w:after="0" w:line="276" w:lineRule="auto"/>
        <w:jc w:val="both"/>
        <w:rPr>
          <w:rFonts w:ascii="Verdana" w:hAnsi="Verdana" w:cs="Arial"/>
          <w:color w:val="000000" w:themeColor="text1"/>
        </w:rPr>
      </w:pPr>
    </w:p>
    <w:p w14:paraId="6583B1B8" w14:textId="77777777" w:rsidR="00FC7BA5" w:rsidRPr="00FB3BB7" w:rsidRDefault="00FC7BA5" w:rsidP="00FC7BA5">
      <w:pPr>
        <w:widowControl w:val="0"/>
        <w:autoSpaceDE w:val="0"/>
        <w:autoSpaceDN w:val="0"/>
        <w:spacing w:after="0" w:line="276" w:lineRule="auto"/>
        <w:jc w:val="both"/>
        <w:rPr>
          <w:rFonts w:ascii="Verdana" w:hAnsi="Verdana" w:cs="Arial"/>
          <w:color w:val="000000" w:themeColor="text1"/>
          <w:lang w:val="es-ES_tradnl"/>
        </w:rPr>
      </w:pPr>
      <w:r w:rsidRPr="00FB3BB7">
        <w:rPr>
          <w:rFonts w:ascii="Verdana" w:hAnsi="Verdana" w:cs="Arial"/>
          <w:color w:val="000000" w:themeColor="text1"/>
        </w:rPr>
        <w:t xml:space="preserve">Este concepto tiene el alcance previsto en el artículo 28 del Código de Procedimiento Administrativo y de lo Contencioso Administrativo </w:t>
      </w:r>
      <w:r w:rsidRPr="00FB3BB7">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845DD47" w14:textId="3D837529" w:rsidR="00FC7BA5" w:rsidRPr="00FB3BB7" w:rsidRDefault="00FC7BA5" w:rsidP="00FC7BA5">
      <w:pPr>
        <w:widowControl w:val="0"/>
        <w:autoSpaceDE w:val="0"/>
        <w:autoSpaceDN w:val="0"/>
        <w:spacing w:after="0" w:line="276" w:lineRule="auto"/>
        <w:jc w:val="both"/>
        <w:rPr>
          <w:rFonts w:ascii="Verdana" w:hAnsi="Verdana" w:cs="Arial"/>
          <w:color w:val="000000" w:themeColor="text1"/>
        </w:rPr>
      </w:pPr>
    </w:p>
    <w:p w14:paraId="7B46A2D0" w14:textId="7371AF3A" w:rsidR="00FC7BA5" w:rsidRPr="00FB3BB7" w:rsidRDefault="00FC7BA5" w:rsidP="00FC7BA5">
      <w:pPr>
        <w:spacing w:after="0" w:line="276" w:lineRule="auto"/>
        <w:rPr>
          <w:rFonts w:ascii="Verdana" w:hAnsi="Verdana" w:cs="Arial"/>
          <w:color w:val="000000" w:themeColor="text1"/>
          <w:lang w:eastAsia="es-CO"/>
        </w:rPr>
      </w:pPr>
      <w:r w:rsidRPr="00FB3BB7">
        <w:rPr>
          <w:rFonts w:ascii="Verdana" w:eastAsia="Times New Roman" w:hAnsi="Verdana" w:cs="Arial"/>
          <w:color w:val="000000" w:themeColor="text1"/>
          <w:lang w:eastAsia="es-CO"/>
        </w:rPr>
        <w:t>Atentamente,</w:t>
      </w:r>
      <w:r w:rsidRPr="00FB3BB7">
        <w:rPr>
          <w:rFonts w:ascii="Verdana" w:hAnsi="Verdana" w:cs="Arial"/>
          <w:color w:val="000000" w:themeColor="text1"/>
          <w:lang w:eastAsia="es-CO"/>
        </w:rPr>
        <w:t xml:space="preserve"> </w:t>
      </w:r>
    </w:p>
    <w:p w14:paraId="5FE10457" w14:textId="2EDBF0C4" w:rsidR="00FC7BA5" w:rsidRDefault="00903A51" w:rsidP="00FC7BA5">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anchor distT="0" distB="0" distL="114300" distR="114300" simplePos="0" relativeHeight="251659264" behindDoc="0" locked="0" layoutInCell="1" allowOverlap="1" wp14:anchorId="5D9BF0EA" wp14:editId="66ECFC32">
            <wp:simplePos x="0" y="0"/>
            <wp:positionH relativeFrom="column">
              <wp:posOffset>1102659</wp:posOffset>
            </wp:positionH>
            <wp:positionV relativeFrom="paragraph">
              <wp:posOffset>121808</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2308B252" w14:textId="52C6C763" w:rsidR="00903A51" w:rsidRPr="00FB3BB7" w:rsidRDefault="00903A51" w:rsidP="00FC7BA5">
      <w:pPr>
        <w:spacing w:line="276" w:lineRule="auto"/>
        <w:jc w:val="center"/>
        <w:rPr>
          <w:rFonts w:ascii="Verdana" w:hAnsi="Verdana" w:cs="Arial"/>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C7BA5" w:rsidRPr="00FB3BB7" w14:paraId="6CEBE3B3" w14:textId="77777777" w:rsidTr="00045987">
        <w:trPr>
          <w:trHeight w:val="315"/>
        </w:trPr>
        <w:tc>
          <w:tcPr>
            <w:tcW w:w="893" w:type="dxa"/>
            <w:vAlign w:val="center"/>
            <w:hideMark/>
          </w:tcPr>
          <w:p w14:paraId="56706455" w14:textId="77777777" w:rsidR="00FC7BA5" w:rsidRPr="00FB3BB7" w:rsidRDefault="00FC7BA5" w:rsidP="00045987">
            <w:pPr>
              <w:contextualSpacing/>
              <w:rPr>
                <w:rFonts w:ascii="Verdana" w:hAnsi="Verdana" w:cs="Arial"/>
                <w:sz w:val="16"/>
                <w:szCs w:val="16"/>
                <w:lang w:val="es-ES" w:eastAsia="es-ES"/>
              </w:rPr>
            </w:pPr>
            <w:r w:rsidRPr="00FB3BB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C5EBD8" w14:textId="77777777" w:rsidR="00FC7BA5" w:rsidRPr="00FB3BB7" w:rsidRDefault="00FC7BA5" w:rsidP="00045987">
            <w:pPr>
              <w:contextualSpacing/>
              <w:rPr>
                <w:rFonts w:ascii="Verdana" w:eastAsia="Arial" w:hAnsi="Verdana" w:cs="Arial"/>
                <w:color w:val="000000" w:themeColor="text1"/>
                <w:sz w:val="16"/>
                <w:szCs w:val="16"/>
              </w:rPr>
            </w:pPr>
            <w:r w:rsidRPr="00FB3BB7">
              <w:rPr>
                <w:rFonts w:ascii="Verdana" w:eastAsia="Arial" w:hAnsi="Verdana" w:cs="Arial"/>
                <w:color w:val="000000" w:themeColor="text1"/>
                <w:sz w:val="16"/>
                <w:szCs w:val="16"/>
              </w:rPr>
              <w:t>Anamaría Bonilla Prieto</w:t>
            </w:r>
          </w:p>
          <w:p w14:paraId="33F58494" w14:textId="77777777" w:rsidR="00FC7BA5" w:rsidRPr="00FB3BB7" w:rsidRDefault="00FC7BA5" w:rsidP="00045987">
            <w:pPr>
              <w:contextualSpacing/>
              <w:rPr>
                <w:rFonts w:ascii="Verdana" w:eastAsia="Arial" w:hAnsi="Verdana" w:cs="Arial"/>
                <w:sz w:val="16"/>
                <w:szCs w:val="16"/>
              </w:rPr>
            </w:pPr>
            <w:r w:rsidRPr="00FB3BB7">
              <w:rPr>
                <w:rStyle w:val="normaltextrun"/>
                <w:rFonts w:ascii="Verdana" w:eastAsia="Arial" w:hAnsi="Verdana" w:cs="Arial"/>
                <w:color w:val="000000" w:themeColor="text1"/>
                <w:sz w:val="16"/>
                <w:szCs w:val="16"/>
              </w:rPr>
              <w:t xml:space="preserve">Contratista de la Subdirección </w:t>
            </w:r>
            <w:r w:rsidRPr="00FB3BB7">
              <w:rPr>
                <w:rStyle w:val="normaltextrun"/>
                <w:rFonts w:ascii="Verdana" w:eastAsia="Arial" w:hAnsi="Verdana" w:cs="Arial"/>
                <w:sz w:val="16"/>
                <w:szCs w:val="16"/>
              </w:rPr>
              <w:t>de Gestión Contractual</w:t>
            </w:r>
          </w:p>
        </w:tc>
      </w:tr>
      <w:tr w:rsidR="00FC7BA5" w:rsidRPr="00FB3BB7" w14:paraId="73F2206B" w14:textId="77777777" w:rsidTr="00045987">
        <w:trPr>
          <w:trHeight w:val="330"/>
        </w:trPr>
        <w:tc>
          <w:tcPr>
            <w:tcW w:w="893" w:type="dxa"/>
            <w:vAlign w:val="center"/>
            <w:hideMark/>
          </w:tcPr>
          <w:p w14:paraId="308B443D" w14:textId="77777777" w:rsidR="00FC7BA5" w:rsidRPr="00FB3BB7" w:rsidRDefault="00FC7BA5" w:rsidP="00045987">
            <w:pPr>
              <w:contextualSpacing/>
              <w:rPr>
                <w:rFonts w:ascii="Verdana" w:hAnsi="Verdana" w:cs="Arial"/>
                <w:sz w:val="16"/>
                <w:szCs w:val="16"/>
                <w:lang w:val="es-ES" w:eastAsia="es-ES"/>
              </w:rPr>
            </w:pPr>
            <w:r w:rsidRPr="00FB3BB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C59586" w14:textId="77777777" w:rsidR="00FC7BA5" w:rsidRPr="00FB3BB7" w:rsidRDefault="00FC7BA5" w:rsidP="00045987">
            <w:pPr>
              <w:spacing w:line="276" w:lineRule="auto"/>
              <w:contextualSpacing/>
              <w:textAlignment w:val="baseline"/>
              <w:rPr>
                <w:rFonts w:ascii="Verdana" w:eastAsia="Times New Roman" w:hAnsi="Verdana" w:cs="Arial"/>
                <w:sz w:val="16"/>
                <w:szCs w:val="16"/>
                <w:lang w:val="es-ES" w:eastAsia="es-ES_tradnl"/>
              </w:rPr>
            </w:pPr>
            <w:r w:rsidRPr="00FB3BB7">
              <w:rPr>
                <w:rFonts w:ascii="Verdana" w:eastAsia="Times New Roman" w:hAnsi="Verdana" w:cs="Arial"/>
                <w:sz w:val="16"/>
                <w:szCs w:val="16"/>
                <w:lang w:val="es-ES" w:eastAsia="es-ES_tradnl"/>
              </w:rPr>
              <w:t>Alejandro Sarmiento Cantillo</w:t>
            </w:r>
          </w:p>
          <w:p w14:paraId="5C062CD0" w14:textId="77777777" w:rsidR="00FC7BA5" w:rsidRPr="00FB3BB7" w:rsidRDefault="00FC7BA5" w:rsidP="00045987">
            <w:pPr>
              <w:pStyle w:val="paragraph"/>
              <w:spacing w:before="0" w:beforeAutospacing="0" w:after="0" w:afterAutospacing="0"/>
              <w:contextualSpacing/>
              <w:textAlignment w:val="baseline"/>
              <w:rPr>
                <w:rFonts w:ascii="Verdana" w:hAnsi="Verdana" w:cs="Segoe UI"/>
                <w:sz w:val="16"/>
                <w:szCs w:val="16"/>
              </w:rPr>
            </w:pPr>
            <w:r w:rsidRPr="00FB3BB7">
              <w:rPr>
                <w:rFonts w:ascii="Verdana" w:hAnsi="Verdana" w:cs="Arial"/>
                <w:sz w:val="16"/>
                <w:szCs w:val="16"/>
                <w:lang w:val="es-ES"/>
              </w:rPr>
              <w:t xml:space="preserve">Gestor T1 – 15 </w:t>
            </w:r>
            <w:r w:rsidRPr="00FB3BB7">
              <w:rPr>
                <w:rStyle w:val="normaltextrun"/>
                <w:rFonts w:ascii="Verdana" w:hAnsi="Verdana" w:cs="Arial"/>
                <w:sz w:val="16"/>
                <w:szCs w:val="16"/>
                <w:lang w:val="es-ES"/>
              </w:rPr>
              <w:t>de la Subdirección de Gestión Contractual</w:t>
            </w:r>
            <w:r w:rsidRPr="00FB3BB7">
              <w:rPr>
                <w:rStyle w:val="eop"/>
                <w:rFonts w:ascii="Verdana" w:hAnsi="Verdana" w:cs="Arial"/>
                <w:sz w:val="16"/>
                <w:szCs w:val="16"/>
              </w:rPr>
              <w:t> </w:t>
            </w:r>
          </w:p>
        </w:tc>
      </w:tr>
      <w:tr w:rsidR="00FC7BA5" w:rsidRPr="00FB3BB7" w14:paraId="67F42FB3" w14:textId="77777777" w:rsidTr="00045987">
        <w:trPr>
          <w:trHeight w:val="300"/>
        </w:trPr>
        <w:tc>
          <w:tcPr>
            <w:tcW w:w="893" w:type="dxa"/>
            <w:vAlign w:val="center"/>
          </w:tcPr>
          <w:p w14:paraId="2AD2A88D" w14:textId="77777777" w:rsidR="00FC7BA5" w:rsidRPr="00FB3BB7" w:rsidRDefault="00FC7BA5" w:rsidP="00045987">
            <w:pPr>
              <w:contextualSpacing/>
              <w:rPr>
                <w:rFonts w:ascii="Verdana" w:hAnsi="Verdana" w:cs="Arial"/>
                <w:sz w:val="16"/>
                <w:szCs w:val="16"/>
                <w:lang w:val="es-ES" w:eastAsia="es-ES"/>
              </w:rPr>
            </w:pPr>
            <w:r w:rsidRPr="00FB3BB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98F07A" w14:textId="77777777" w:rsidR="00FC7BA5" w:rsidRPr="00FB3BB7" w:rsidRDefault="00FC7BA5" w:rsidP="00045987">
            <w:pPr>
              <w:contextualSpacing/>
              <w:rPr>
                <w:rFonts w:ascii="Verdana" w:eastAsia="Calibri" w:hAnsi="Verdana" w:cs="Arial"/>
                <w:sz w:val="16"/>
                <w:szCs w:val="16"/>
                <w:lang w:val="pt-BR" w:eastAsia="es-ES"/>
              </w:rPr>
            </w:pPr>
            <w:r w:rsidRPr="00FB3BB7">
              <w:rPr>
                <w:rFonts w:ascii="Verdana" w:eastAsia="Calibri" w:hAnsi="Verdana" w:cs="Arial"/>
                <w:sz w:val="16"/>
                <w:szCs w:val="16"/>
                <w:lang w:val="pt-BR" w:eastAsia="es-ES"/>
              </w:rPr>
              <w:t>Carolina Quintero Gacharná</w:t>
            </w:r>
          </w:p>
          <w:p w14:paraId="7C4E6E8E" w14:textId="77777777" w:rsidR="00FC7BA5" w:rsidRPr="00FB3BB7" w:rsidRDefault="00FC7BA5" w:rsidP="00045987">
            <w:pPr>
              <w:contextualSpacing/>
              <w:rPr>
                <w:rFonts w:ascii="Verdana" w:eastAsia="Calibri" w:hAnsi="Verdana" w:cs="Arial"/>
                <w:sz w:val="16"/>
                <w:szCs w:val="16"/>
                <w:lang w:val="pt-BR" w:eastAsia="es-ES"/>
              </w:rPr>
            </w:pPr>
            <w:r w:rsidRPr="00FB3BB7">
              <w:rPr>
                <w:rFonts w:ascii="Verdana" w:eastAsia="Calibri" w:hAnsi="Verdana" w:cs="Arial"/>
                <w:sz w:val="16"/>
                <w:szCs w:val="16"/>
                <w:lang w:eastAsia="es-ES"/>
              </w:rPr>
              <w:t>Subdirectora</w:t>
            </w:r>
            <w:r w:rsidRPr="00FB3BB7">
              <w:rPr>
                <w:rFonts w:ascii="Verdana" w:eastAsia="Calibri" w:hAnsi="Verdana" w:cs="Arial"/>
                <w:sz w:val="16"/>
                <w:szCs w:val="16"/>
                <w:lang w:val="pt-BR" w:eastAsia="es-ES"/>
              </w:rPr>
              <w:t xml:space="preserve"> de Gestión Contractual ANCP – CCE</w:t>
            </w:r>
          </w:p>
        </w:tc>
      </w:tr>
    </w:tbl>
    <w:p w14:paraId="1DD6D872" w14:textId="77777777" w:rsidR="00FC7BA5" w:rsidRPr="00FB3BB7" w:rsidRDefault="00FC7BA5" w:rsidP="00FC7BA5">
      <w:pPr>
        <w:spacing w:after="0"/>
        <w:rPr>
          <w:rFonts w:ascii="Verdana" w:hAnsi="Verdana"/>
        </w:rPr>
      </w:pPr>
    </w:p>
    <w:p w14:paraId="563A4EE6" w14:textId="77777777" w:rsidR="00FC7BA5" w:rsidRPr="00661383" w:rsidRDefault="00FC7BA5" w:rsidP="00FC7BA5">
      <w:pPr>
        <w:spacing w:after="0" w:line="240" w:lineRule="auto"/>
        <w:textAlignment w:val="baseline"/>
        <w:rPr>
          <w:rFonts w:ascii="Verdana" w:eastAsia="Times New Roman" w:hAnsi="Verdana" w:cs="Segoe UI"/>
          <w:b/>
          <w:bCs/>
          <w:color w:val="46589C"/>
          <w:lang w:val="es-ES" w:eastAsia="es-CO"/>
        </w:rPr>
      </w:pPr>
    </w:p>
    <w:p w14:paraId="15F1C452" w14:textId="77777777" w:rsidR="00FC7BA5" w:rsidRPr="00661383" w:rsidRDefault="00FC7BA5" w:rsidP="00FC7BA5">
      <w:pPr>
        <w:rPr>
          <w:rFonts w:ascii="Verdana" w:hAnsi="Verdana"/>
          <w:lang w:val="es-ES"/>
        </w:rPr>
      </w:pPr>
    </w:p>
    <w:p w14:paraId="77052D71" w14:textId="77777777" w:rsidR="00FC7BA5" w:rsidRPr="00661383" w:rsidRDefault="00FC7BA5" w:rsidP="00FC7BA5">
      <w:pPr>
        <w:rPr>
          <w:rFonts w:ascii="Verdana" w:hAnsi="Verdana"/>
          <w:lang w:val="es-ES"/>
        </w:rPr>
      </w:pPr>
    </w:p>
    <w:p w14:paraId="0F293BF4" w14:textId="4193AE5D" w:rsidR="00127233" w:rsidRPr="00FC7BA5" w:rsidRDefault="00127233" w:rsidP="00FC7BA5"/>
    <w:sectPr w:rsidR="00127233" w:rsidRPr="00FC7BA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E737B" w14:textId="77777777" w:rsidR="008236FA" w:rsidRDefault="008236FA" w:rsidP="004A1847">
      <w:pPr>
        <w:spacing w:after="0" w:line="240" w:lineRule="auto"/>
      </w:pPr>
      <w:r>
        <w:separator/>
      </w:r>
    </w:p>
  </w:endnote>
  <w:endnote w:type="continuationSeparator" w:id="0">
    <w:p w14:paraId="25A39BA0" w14:textId="77777777" w:rsidR="008236FA" w:rsidRDefault="008236FA" w:rsidP="004A1847">
      <w:pPr>
        <w:spacing w:after="0" w:line="240" w:lineRule="auto"/>
      </w:pPr>
      <w:r>
        <w:continuationSeparator/>
      </w:r>
    </w:p>
  </w:endnote>
  <w:endnote w:type="continuationNotice" w:id="1">
    <w:p w14:paraId="67A6337B" w14:textId="77777777" w:rsidR="008236FA" w:rsidRDefault="008236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02FF" w:usb1="4000ACFF" w:usb2="00000001"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Weiss">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9B900" w14:textId="77777777" w:rsidR="008236FA" w:rsidRDefault="008236FA" w:rsidP="004A1847">
      <w:pPr>
        <w:spacing w:after="0" w:line="240" w:lineRule="auto"/>
      </w:pPr>
      <w:r>
        <w:separator/>
      </w:r>
    </w:p>
  </w:footnote>
  <w:footnote w:type="continuationSeparator" w:id="0">
    <w:p w14:paraId="1335ACB7" w14:textId="77777777" w:rsidR="008236FA" w:rsidRDefault="008236FA" w:rsidP="004A1847">
      <w:pPr>
        <w:spacing w:after="0" w:line="240" w:lineRule="auto"/>
      </w:pPr>
      <w:r>
        <w:continuationSeparator/>
      </w:r>
    </w:p>
  </w:footnote>
  <w:footnote w:type="continuationNotice" w:id="1">
    <w:p w14:paraId="74F22985" w14:textId="77777777" w:rsidR="008236FA" w:rsidRDefault="008236FA">
      <w:pPr>
        <w:spacing w:after="0" w:line="240" w:lineRule="auto"/>
      </w:pPr>
    </w:p>
  </w:footnote>
  <w:footnote w:id="2">
    <w:p w14:paraId="5A9F3775" w14:textId="77777777" w:rsidR="00FC7BA5" w:rsidRPr="004F3389" w:rsidRDefault="00FC7BA5" w:rsidP="00FC7BA5">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Sección Tercera – Subsección A. Sentencia del 16</w:t>
      </w:r>
      <w:r>
        <w:rPr>
          <w:rFonts w:ascii="Verdana" w:hAnsi="Verdana"/>
          <w:color w:val="000000" w:themeColor="text1"/>
          <w:sz w:val="16"/>
          <w:szCs w:val="16"/>
        </w:rPr>
        <w:t xml:space="preserve"> de mayo de 2019. Exp. 40102</w:t>
      </w:r>
      <w:r w:rsidRPr="004F3389">
        <w:rPr>
          <w:rFonts w:ascii="Verdana" w:hAnsi="Verdana"/>
          <w:color w:val="000000" w:themeColor="text1"/>
          <w:sz w:val="16"/>
          <w:szCs w:val="16"/>
        </w:rPr>
        <w:t>. C.P: María Adriana Marín.</w:t>
      </w:r>
    </w:p>
    <w:p w14:paraId="291F6549" w14:textId="77777777" w:rsidR="00FC7BA5" w:rsidRPr="004F3389" w:rsidRDefault="00FC7BA5" w:rsidP="00FC7BA5">
      <w:pPr>
        <w:pStyle w:val="Textonotapie"/>
        <w:ind w:firstLine="709"/>
        <w:jc w:val="both"/>
        <w:rPr>
          <w:rFonts w:ascii="Verdana" w:hAnsi="Verdana"/>
          <w:color w:val="000000" w:themeColor="text1"/>
          <w:sz w:val="16"/>
          <w:szCs w:val="16"/>
        </w:rPr>
      </w:pPr>
    </w:p>
  </w:footnote>
  <w:footnote w:id="3">
    <w:p w14:paraId="347D7CEF" w14:textId="77777777" w:rsidR="00FC7BA5" w:rsidRPr="004F3389" w:rsidRDefault="00FC7BA5" w:rsidP="00FC7BA5">
      <w:pPr>
        <w:pStyle w:val="Textonotapie"/>
        <w:ind w:firstLine="709"/>
        <w:jc w:val="both"/>
        <w:rPr>
          <w:rFonts w:ascii="Verdana" w:hAnsi="Verdana" w:cs="Vrinda"/>
          <w:sz w:val="16"/>
          <w:szCs w:val="16"/>
        </w:rPr>
      </w:pPr>
      <w:r w:rsidRPr="004F3389">
        <w:rPr>
          <w:rStyle w:val="Refdenotaalpie"/>
          <w:rFonts w:ascii="Verdana" w:hAnsi="Verdana" w:cs="Vrinda"/>
          <w:sz w:val="16"/>
          <w:szCs w:val="16"/>
        </w:rPr>
        <w:footnoteRef/>
      </w:r>
      <w:r w:rsidRPr="004F3389">
        <w:rPr>
          <w:rFonts w:ascii="Verdana" w:hAnsi="Verdana" w:cs="Vrinda"/>
          <w:sz w:val="16"/>
          <w:szCs w:val="16"/>
        </w:rPr>
        <w:t xml:space="preserve"> Consejo de Estado. Sección Tercera. Subsección C. Sentencia del 29 de abril de 2015. Exp. 31.620. Consejera Ponente: Olga Mélida Valle De De La Hoz (E).</w:t>
      </w:r>
    </w:p>
    <w:p w14:paraId="4D2EA761" w14:textId="77777777" w:rsidR="00FC7BA5" w:rsidRPr="004F3389" w:rsidRDefault="00FC7BA5" w:rsidP="00FC7BA5">
      <w:pPr>
        <w:pStyle w:val="Textonotapie"/>
        <w:ind w:firstLine="709"/>
        <w:jc w:val="both"/>
        <w:rPr>
          <w:rFonts w:ascii="Verdana" w:hAnsi="Verdana" w:cs="Vrinda"/>
          <w:sz w:val="16"/>
          <w:szCs w:val="16"/>
          <w:lang w:val="es-CO"/>
        </w:rPr>
      </w:pPr>
    </w:p>
  </w:footnote>
  <w:footnote w:id="4">
    <w:p w14:paraId="11D803D1" w14:textId="77777777" w:rsidR="00FC7BA5" w:rsidRPr="004F3389" w:rsidRDefault="00FC7BA5" w:rsidP="00FC7BA5">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w:t>
      </w:r>
      <w:r w:rsidRPr="004F3389">
        <w:rPr>
          <w:rFonts w:ascii="Verdana" w:hAnsi="Verdana"/>
          <w:sz w:val="16"/>
          <w:szCs w:val="16"/>
          <w:lang w:val="es-ES" w:bidi="es-ES"/>
        </w:rPr>
        <w:t xml:space="preserve">(Cfr. Sección Tercera. Sentencia del 22 de junio de 2001. Radicado 13.436. </w:t>
      </w:r>
      <w:r w:rsidRPr="004F3389">
        <w:rPr>
          <w:rFonts w:ascii="Verdana" w:hAnsi="Verdana"/>
          <w:i/>
          <w:sz w:val="16"/>
          <w:szCs w:val="16"/>
          <w:lang w:val="es-ES" w:bidi="es-ES"/>
        </w:rPr>
        <w:t>Citada en</w:t>
      </w:r>
      <w:r w:rsidRPr="004F3389">
        <w:rPr>
          <w:rFonts w:ascii="Verdana" w:hAnsi="Verdana"/>
          <w:sz w:val="16"/>
          <w:szCs w:val="16"/>
          <w:lang w:val="es-ES" w:bidi="es-ES"/>
        </w:rPr>
        <w:t>: Sección Cuarta. Sentencia del 23 de septiembre de 2013. Radicado 18.752. Consejero Ponente: Jorge Octavio Ramírez Ramírez).</w:t>
      </w:r>
    </w:p>
  </w:footnote>
  <w:footnote w:id="5">
    <w:p w14:paraId="271718A8" w14:textId="77777777" w:rsidR="00FC7BA5" w:rsidRPr="004F3389" w:rsidRDefault="00FC7BA5" w:rsidP="00FC7BA5">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Sala de lo Contencioso Administrativo. Sección Tercera – Subsección A. Sentencia del 16 de mayo de 2019. Rad. (40102). C.P: María Adriana Marín [cita No. 35]. </w:t>
      </w:r>
    </w:p>
  </w:footnote>
  <w:footnote w:id="6">
    <w:p w14:paraId="3C19B38F" w14:textId="77777777" w:rsidR="00FC7BA5" w:rsidRPr="004F3389" w:rsidRDefault="00FC7BA5" w:rsidP="00FC7BA5">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Sala de lo Contencioso Administrativo. Sección Tercera – Subsección A. Sentencia del 16 de mayo de 2019. Rad. (40102). C.P: María Adriana Marín</w:t>
      </w:r>
    </w:p>
  </w:footnote>
  <w:footnote w:id="7">
    <w:p w14:paraId="410A3636" w14:textId="77777777" w:rsidR="00FC7BA5" w:rsidRPr="004F3389" w:rsidRDefault="00FC7BA5" w:rsidP="00FC7BA5">
      <w:pPr>
        <w:pStyle w:val="Textonotapie"/>
        <w:ind w:firstLine="709"/>
        <w:jc w:val="both"/>
        <w:rPr>
          <w:rFonts w:ascii="Verdana" w:hAnsi="Verdana"/>
          <w:color w:val="000000" w:themeColor="text1"/>
          <w:sz w:val="16"/>
          <w:szCs w:val="16"/>
          <w:lang w:val="es-CO"/>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Sala de lo Contencioso Administrativo. Sección Tercera – Subsección C. Sentencia del 2 de octubre del 2020. Rad. 63644. CP. Jaime Enrique Rodríguez Nava. </w:t>
      </w:r>
    </w:p>
  </w:footnote>
  <w:footnote w:id="8">
    <w:p w14:paraId="3FCE9779" w14:textId="77777777" w:rsidR="00FC7BA5" w:rsidRPr="004F3389" w:rsidRDefault="00FC7BA5" w:rsidP="00FC7BA5">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Sección Tercera. Sentencia de 22 de junio de 2001. Exp. 13436, C.P. Ricardo Hoyos Duque</w:t>
      </w:r>
    </w:p>
  </w:footnote>
  <w:footnote w:id="9">
    <w:p w14:paraId="7395DF56" w14:textId="77777777" w:rsidR="00FC7BA5" w:rsidRPr="004F3389" w:rsidRDefault="00FC7BA5" w:rsidP="00FC7BA5">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4F3389">
        <w:rPr>
          <w:rFonts w:ascii="Verdana" w:eastAsia="Calibri" w:hAnsi="Verdana"/>
          <w:color w:val="000000" w:themeColor="text1"/>
          <w:sz w:val="16"/>
          <w:szCs w:val="16"/>
        </w:rPr>
        <w:t>” (</w:t>
      </w:r>
      <w:r w:rsidRPr="004F3389">
        <w:rPr>
          <w:rFonts w:ascii="Verdana" w:hAnsi="Verdana"/>
          <w:color w:val="000000" w:themeColor="text1"/>
          <w:sz w:val="16"/>
          <w:szCs w:val="16"/>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4F3389">
        <w:rPr>
          <w:rFonts w:ascii="Verdana" w:eastAsia="Calibri" w:hAnsi="Verdana"/>
          <w:color w:val="000000" w:themeColor="text1"/>
          <w:sz w:val="16"/>
          <w:szCs w:val="16"/>
        </w:rPr>
        <w:t>”</w:t>
      </w:r>
      <w:r w:rsidRPr="004F3389">
        <w:rPr>
          <w:rFonts w:ascii="Verdana" w:hAnsi="Verdana"/>
          <w:color w:val="000000" w:themeColor="text1"/>
          <w:sz w:val="16"/>
          <w:szCs w:val="16"/>
        </w:rPr>
        <w:t xml:space="preserve"> (MATALLANA CAMACHO, Ernesto. Manual de Contratación de la Administración Pública. Reforma de la Ley 80 de 1993. Bogotá: Universidad Externado de Colombia, 4 ed., 2015, p. 921 y ss).</w:t>
      </w:r>
    </w:p>
  </w:footnote>
  <w:footnote w:id="10">
    <w:p w14:paraId="57A5D309" w14:textId="77777777" w:rsidR="00FC7BA5" w:rsidRPr="004F3389" w:rsidRDefault="00FC7BA5" w:rsidP="00FC7BA5">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DÁVILA VINUEZA, Luis Guillermo. Régimen jurídico de la contratación estatal. Bogotá: Legis, 2016. p. 600.</w:t>
      </w:r>
    </w:p>
  </w:footnote>
  <w:footnote w:id="11">
    <w:p w14:paraId="0F9DF696"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Style w:val="Refdenotaalpie"/>
          <w:rFonts w:ascii="Verdana" w:hAnsi="Verdana" w:cs="Arial"/>
          <w:color w:val="000000" w:themeColor="text1"/>
          <w:sz w:val="16"/>
          <w:szCs w:val="16"/>
        </w:rPr>
        <w:footnoteRef/>
      </w:r>
      <w:r w:rsidRPr="004F3389">
        <w:rPr>
          <w:rFonts w:ascii="Verdana" w:hAnsi="Verdana"/>
          <w:color w:val="000000" w:themeColor="text1"/>
          <w:sz w:val="16"/>
          <w:szCs w:val="16"/>
        </w:rPr>
        <w:t xml:space="preserve"> </w:t>
      </w:r>
      <w:r w:rsidRPr="004F3389">
        <w:rPr>
          <w:rFonts w:ascii="Verdana" w:hAnsi="Verdana" w:cs="Arial"/>
          <w:color w:val="000000" w:themeColor="text1"/>
          <w:sz w:val="16"/>
          <w:szCs w:val="16"/>
        </w:rPr>
        <w:t>ARTÍCULO 2.2.1.2.3.1.7. Garantía de cumplimiento. La garantía de cumplimiento del contrato debe cubrir:</w:t>
      </w:r>
    </w:p>
    <w:p w14:paraId="3A0984B3"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1. Buen manejo y correcta inversión del anticipo. Este amparo cubre los perjuicios sufridos por la Entidad Estatal con ocasión de: (i) la no inversión del anticipo; (</w:t>
      </w:r>
      <w:r w:rsidRPr="004F3389">
        <w:rPr>
          <w:rFonts w:ascii="Verdana" w:hAnsi="Verdana" w:cs="Arial"/>
          <w:color w:val="000000" w:themeColor="text1"/>
          <w:sz w:val="16"/>
          <w:szCs w:val="16"/>
        </w:rPr>
        <w:t>ii) el uso indebido del anticipo; y (iii) la apropiación indebida de los recursos recibidos en calidad de anticipo.</w:t>
      </w:r>
    </w:p>
    <w:p w14:paraId="1A34A750"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71036B32"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 Cumplimiento del contrato. Este amparo cubre a la Entidad Estatal de los perjuicios derivados de:</w:t>
      </w:r>
    </w:p>
    <w:p w14:paraId="2B3453C7"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3.1. El incumplimiento total o parcial del contrato, cuando el incumplimiento es imputable al contratista;</w:t>
      </w:r>
    </w:p>
    <w:p w14:paraId="117EC174"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3.2. El cumplimiento tardío o defectuoso del contrato, cuando el incumplimiento es imputable al contratista;</w:t>
      </w:r>
    </w:p>
    <w:p w14:paraId="46D02F8B"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3.3. Los daños imputables al contratista por entregas parciales de la obra, cuando el contrato no prevé entregas parciales; y</w:t>
      </w:r>
    </w:p>
    <w:p w14:paraId="3BBCCE60"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3.4. El pago del valor de las multas y de la cláusula penal pecuniaria.</w:t>
      </w:r>
    </w:p>
    <w:p w14:paraId="5545FB69"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78CAD05F"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La Entidad Estatal no debe exigir una garantía para cubrir este Riesgo en los contratos que se ejecuten fuera del territorio nacional con personal contratado bajo un régimen jurídico distinto al colombiano.</w:t>
      </w:r>
    </w:p>
    <w:p w14:paraId="17A8B590" w14:textId="77777777" w:rsidR="00FC7BA5" w:rsidRPr="004F3389" w:rsidRDefault="00FC7BA5" w:rsidP="00FC7BA5">
      <w:pPr>
        <w:pStyle w:val="Sinespaciado"/>
        <w:ind w:firstLine="708"/>
        <w:jc w:val="both"/>
        <w:rPr>
          <w:rFonts w:ascii="Verdana" w:eastAsia="Calibri" w:hAnsi="Verdana" w:cs="Arial"/>
          <w:color w:val="000000" w:themeColor="text1"/>
          <w:sz w:val="16"/>
          <w:szCs w:val="16"/>
          <w:lang w:val="es-ES"/>
        </w:rPr>
      </w:pPr>
      <w:r w:rsidRPr="004F3389">
        <w:rPr>
          <w:rFonts w:ascii="Verdana" w:hAnsi="Verdana" w:cs="Arial"/>
          <w:color w:val="000000" w:themeColor="text1"/>
          <w:sz w:val="16"/>
          <w:szCs w:val="16"/>
        </w:rPr>
        <w:t>5. Estabilidad y calidad de la obra. Este amparo cubre a la Entidad Estatal de los perjuicios ocasionados por cualquier tipo de daño o deterioro, imputable al contratista, sufrido por la obra entregada a satisfacción.</w:t>
      </w:r>
    </w:p>
    <w:p w14:paraId="3E4A2244"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6. Calidad del servicio. Este amparo cubre a la Entidad Estatal por los perjuicios derivados de la deficiente calidad del servicio prestado.</w:t>
      </w:r>
    </w:p>
    <w:p w14:paraId="3D115316"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7. Calidad y correcto funcionamiento de los bienes. Este amparo debe cubrir la calidad y el correcto funcionamiento de los bienes que recibe la Entidad Estatal en cumplimiento de un contrato.</w:t>
      </w:r>
    </w:p>
    <w:p w14:paraId="5CAD384D" w14:textId="77777777" w:rsidR="00FC7BA5" w:rsidRPr="004F3389" w:rsidRDefault="00FC7BA5" w:rsidP="00FC7BA5">
      <w:pPr>
        <w:pStyle w:val="Sinespaciado"/>
        <w:ind w:firstLine="708"/>
        <w:jc w:val="both"/>
        <w:rPr>
          <w:rFonts w:ascii="Verdana" w:hAnsi="Verdana" w:cs="Arial"/>
          <w:color w:val="000000" w:themeColor="text1"/>
          <w:sz w:val="16"/>
          <w:szCs w:val="16"/>
        </w:rPr>
      </w:pPr>
      <w:r w:rsidRPr="004F3389">
        <w:rPr>
          <w:rFonts w:ascii="Verdana" w:hAnsi="Verdana" w:cs="Arial"/>
          <w:color w:val="000000" w:themeColor="text1"/>
          <w:sz w:val="16"/>
          <w:szCs w:val="16"/>
        </w:rPr>
        <w:t>8. Los demás incumplimientos de obligaciones que la Entidad Estatal considere deben ser amparados de manera proporcional y acorde a la naturaleza del contrato.</w:t>
      </w:r>
    </w:p>
  </w:footnote>
  <w:footnote w:id="12">
    <w:p w14:paraId="7C55BC7C" w14:textId="77777777" w:rsidR="00FC7BA5" w:rsidRPr="00C73ECC" w:rsidRDefault="00FC7BA5" w:rsidP="00FC7BA5">
      <w:pPr>
        <w:spacing w:after="0" w:line="240" w:lineRule="auto"/>
        <w:ind w:firstLine="709"/>
        <w:contextualSpacing/>
        <w:jc w:val="both"/>
        <w:rPr>
          <w:rFonts w:ascii="Verdana" w:hAnsi="Verdana" w:cs="Arial"/>
          <w:sz w:val="14"/>
          <w:szCs w:val="14"/>
        </w:rPr>
      </w:pPr>
      <w:r w:rsidRPr="00C73ECC">
        <w:rPr>
          <w:rStyle w:val="Refdenotaalpie"/>
          <w:rFonts w:ascii="Verdana" w:hAnsi="Verdana" w:cs="Arial"/>
          <w:sz w:val="14"/>
          <w:szCs w:val="14"/>
        </w:rPr>
        <w:footnoteRef/>
      </w:r>
      <w:r w:rsidRPr="00C73ECC">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02CCB13" w14:textId="77777777" w:rsidR="00FC7BA5" w:rsidRPr="00C73ECC" w:rsidRDefault="00FC7BA5" w:rsidP="00FC7BA5">
      <w:pPr>
        <w:spacing w:after="0" w:line="240" w:lineRule="auto"/>
        <w:ind w:firstLine="709"/>
        <w:contextualSpacing/>
        <w:jc w:val="both"/>
        <w:rPr>
          <w:rFonts w:ascii="Verdana" w:hAnsi="Verdana" w:cs="Arial"/>
          <w:sz w:val="14"/>
          <w:szCs w:val="14"/>
        </w:rPr>
      </w:pPr>
      <w:r w:rsidRPr="00C73ECC">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C73ECC">
        <w:rPr>
          <w:rFonts w:ascii="Verdana" w:hAnsi="Verdana" w:cs="Arial"/>
          <w:spacing w:val="-1"/>
          <w:sz w:val="14"/>
          <w:szCs w:val="14"/>
        </w:rPr>
        <w:t xml:space="preserve"> </w:t>
      </w:r>
      <w:r w:rsidRPr="00C73ECC">
        <w:rPr>
          <w:rFonts w:ascii="Verdana" w:hAnsi="Verdana" w:cs="Arial"/>
          <w:sz w:val="14"/>
          <w:szCs w:val="14"/>
        </w:rPr>
        <w:t>Estatales”.</w:t>
      </w:r>
    </w:p>
  </w:footnote>
  <w:footnote w:id="13">
    <w:p w14:paraId="51774C47" w14:textId="77777777" w:rsidR="00FC7BA5" w:rsidRPr="00C73ECC" w:rsidRDefault="00FC7BA5" w:rsidP="00FC7BA5">
      <w:pPr>
        <w:spacing w:after="0" w:line="240" w:lineRule="auto"/>
        <w:ind w:firstLine="709"/>
        <w:contextualSpacing/>
        <w:jc w:val="both"/>
        <w:rPr>
          <w:rFonts w:ascii="Verdana" w:hAnsi="Verdana" w:cs="Arial"/>
          <w:sz w:val="14"/>
          <w:szCs w:val="14"/>
        </w:rPr>
      </w:pPr>
      <w:r w:rsidRPr="00C73ECC">
        <w:rPr>
          <w:rStyle w:val="Refdenotaalpie"/>
          <w:rFonts w:ascii="Verdana" w:hAnsi="Verdana" w:cs="Arial"/>
          <w:sz w:val="14"/>
          <w:szCs w:val="14"/>
        </w:rPr>
        <w:footnoteRef/>
      </w:r>
      <w:r w:rsidRPr="00C73ECC">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C73ECC">
        <w:rPr>
          <w:rFonts w:ascii="Verdana" w:hAnsi="Verdana" w:cs="Arial"/>
          <w:spacing w:val="-6"/>
          <w:sz w:val="14"/>
          <w:szCs w:val="14"/>
        </w:rPr>
        <w:t xml:space="preserve"> </w:t>
      </w:r>
      <w:r w:rsidRPr="00C73ECC">
        <w:rPr>
          <w:rFonts w:ascii="Verdana" w:hAnsi="Verdana" w:cs="Arial"/>
          <w:sz w:val="14"/>
          <w:szCs w:val="14"/>
        </w:rPr>
        <w:t>artículo”.</w:t>
      </w:r>
    </w:p>
  </w:footnote>
  <w:footnote w:id="14">
    <w:p w14:paraId="68B6185C" w14:textId="77777777" w:rsidR="00FC7BA5" w:rsidRPr="00C73ECC" w:rsidRDefault="00FC7BA5" w:rsidP="00FC7BA5">
      <w:pPr>
        <w:pStyle w:val="Textonotapie"/>
        <w:ind w:firstLine="708"/>
        <w:rPr>
          <w:sz w:val="14"/>
          <w:szCs w:val="14"/>
        </w:rPr>
      </w:pPr>
      <w:r w:rsidRPr="00C73ECC">
        <w:rPr>
          <w:rStyle w:val="Refdenotaalpie"/>
          <w:sz w:val="14"/>
          <w:szCs w:val="14"/>
        </w:rPr>
        <w:footnoteRef/>
      </w:r>
      <w:r w:rsidRPr="00C73ECC">
        <w:rPr>
          <w:sz w:val="14"/>
          <w:szCs w:val="14"/>
          <w:lang w:val="pt-BR"/>
        </w:rPr>
        <w:t xml:space="preserve"> CORTE CONSTITUCIONAL. Sentencia C-671 de 2005. </w:t>
      </w:r>
      <w:r w:rsidRPr="00C73ECC">
        <w:rPr>
          <w:sz w:val="14"/>
          <w:szCs w:val="14"/>
        </w:rPr>
        <w:t xml:space="preserve">M.P. Álvaro Tafur Galvis. </w:t>
      </w:r>
    </w:p>
  </w:footnote>
  <w:footnote w:id="15">
    <w:p w14:paraId="2CD15E1C" w14:textId="77777777" w:rsidR="00FC7BA5" w:rsidRPr="00C73ECC" w:rsidRDefault="00FC7BA5" w:rsidP="00FC7BA5">
      <w:pPr>
        <w:pStyle w:val="Textonotapie"/>
        <w:ind w:firstLine="708"/>
        <w:jc w:val="both"/>
        <w:rPr>
          <w:rFonts w:ascii="Verdana" w:hAnsi="Verdana"/>
          <w:sz w:val="14"/>
          <w:szCs w:val="14"/>
          <w:lang w:val="es-CO"/>
        </w:rPr>
      </w:pPr>
      <w:r w:rsidRPr="00C73ECC">
        <w:rPr>
          <w:rStyle w:val="Refdenotaalpie"/>
          <w:rFonts w:ascii="Verdana" w:hAnsi="Verdana"/>
          <w:sz w:val="14"/>
          <w:szCs w:val="14"/>
        </w:rPr>
        <w:footnoteRef/>
      </w:r>
      <w:r w:rsidRPr="00C73ECC">
        <w:rPr>
          <w:rFonts w:ascii="Verdana" w:hAnsi="Verdana"/>
          <w:sz w:val="14"/>
          <w:szCs w:val="14"/>
        </w:rPr>
        <w:t xml:space="preserve"> </w:t>
      </w:r>
      <w:r w:rsidRPr="00C73ECC">
        <w:rPr>
          <w:rFonts w:ascii="Verdana" w:hAnsi="Verdana"/>
          <w:sz w:val="14"/>
          <w:szCs w:val="14"/>
          <w:lang w:val="es-CO"/>
        </w:rPr>
        <w:t xml:space="preserve">CONSEJO DE ESTADO, Sala de Consulta y Servicio Civil. Concepto no. 2257 del 26 de julio de 2016, C.P. Álvaro Namén Vargas; CONSEJO DE ESTADO, Sección Tercera, Subsección A. Sentencia del 23 de junio de 2010. C.P. Mauricio Fajardo Gómez. </w:t>
      </w:r>
      <w:r w:rsidRPr="00C73ECC">
        <w:rPr>
          <w:rFonts w:ascii="Verdana" w:hAnsi="Verdana"/>
          <w:sz w:val="14"/>
          <w:szCs w:val="14"/>
          <w:lang w:val="es-CO"/>
        </w:rPr>
        <w:t xml:space="preserve">Exp 17860; Sección Tercera. Auto del 4 de octubre de 2024. C.P. Fredy Ibarra Martínez. Exp </w:t>
      </w:r>
      <w:r w:rsidRPr="00C73ECC">
        <w:rPr>
          <w:rFonts w:ascii="Verdana" w:hAnsi="Verdana"/>
          <w:bCs/>
          <w:sz w:val="14"/>
          <w:szCs w:val="14"/>
        </w:rPr>
        <w:t xml:space="preserve">70313. </w:t>
      </w:r>
    </w:p>
  </w:footnote>
  <w:footnote w:id="16">
    <w:p w14:paraId="77142618" w14:textId="77777777" w:rsidR="00FC7BA5" w:rsidRPr="00C73ECC" w:rsidRDefault="00FC7BA5" w:rsidP="00FC7BA5">
      <w:pPr>
        <w:pStyle w:val="Textonotapie"/>
        <w:ind w:firstLine="708"/>
        <w:jc w:val="both"/>
        <w:rPr>
          <w:rFonts w:ascii="Verdana" w:hAnsi="Verdana"/>
          <w:sz w:val="14"/>
          <w:szCs w:val="14"/>
          <w:lang w:val="es-CO"/>
        </w:rPr>
      </w:pPr>
      <w:r w:rsidRPr="00C73ECC">
        <w:rPr>
          <w:rStyle w:val="Refdenotaalpie"/>
          <w:rFonts w:ascii="Verdana" w:hAnsi="Verdana"/>
          <w:sz w:val="14"/>
          <w:szCs w:val="14"/>
        </w:rPr>
        <w:footnoteRef/>
      </w:r>
      <w:r w:rsidRPr="00C73ECC">
        <w:rPr>
          <w:rFonts w:ascii="Verdana" w:hAnsi="Verdana"/>
          <w:sz w:val="14"/>
          <w:szCs w:val="14"/>
        </w:rPr>
        <w:t xml:space="preserve"> SANTOS RODRÍGUEZ, Jorge Enrique. Consideraciones sobre los contratos y convenios interadministrativos. En: Revista Digital de Derecho Administrativo, 2008. p.p. 10-11. De igual forma, Augusto Ramón Chavéz Marín expresa: “</w:t>
      </w:r>
      <w:r w:rsidRPr="00C73ECC">
        <w:rPr>
          <w:rFonts w:ascii="Verdana" w:hAnsi="Verdana"/>
          <w:sz w:val="14"/>
          <w:szCs w:val="14"/>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17">
    <w:p w14:paraId="5B066353" w14:textId="77777777" w:rsidR="00FC7BA5" w:rsidRPr="00C73ECC" w:rsidRDefault="00FC7BA5" w:rsidP="00FC7BA5">
      <w:pPr>
        <w:pStyle w:val="Textonotapie"/>
        <w:ind w:firstLine="708"/>
        <w:jc w:val="both"/>
        <w:rPr>
          <w:rFonts w:ascii="Verdana" w:hAnsi="Verdana"/>
          <w:sz w:val="14"/>
          <w:szCs w:val="14"/>
          <w:lang w:val="es-ES"/>
        </w:rPr>
      </w:pPr>
      <w:r w:rsidRPr="00C73ECC">
        <w:rPr>
          <w:rStyle w:val="Refdenotaalpie"/>
          <w:rFonts w:ascii="Verdana" w:hAnsi="Verdana"/>
          <w:sz w:val="14"/>
          <w:szCs w:val="14"/>
        </w:rPr>
        <w:footnoteRef/>
      </w:r>
      <w:r w:rsidRPr="00C73ECC">
        <w:rPr>
          <w:rFonts w:ascii="Verdana" w:hAnsi="Verdana"/>
          <w:sz w:val="14"/>
          <w:szCs w:val="14"/>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18">
    <w:p w14:paraId="1F1D43B1" w14:textId="77777777" w:rsidR="00FC7BA5" w:rsidRPr="00C73ECC" w:rsidRDefault="00FC7BA5" w:rsidP="00FC7BA5">
      <w:pPr>
        <w:pStyle w:val="Textonotapie"/>
        <w:ind w:firstLine="708"/>
        <w:jc w:val="both"/>
        <w:rPr>
          <w:rFonts w:ascii="Verdana" w:hAnsi="Verdana"/>
          <w:sz w:val="14"/>
          <w:szCs w:val="14"/>
          <w:lang w:val="es-ES"/>
        </w:rPr>
      </w:pPr>
      <w:r w:rsidRPr="00C73ECC">
        <w:rPr>
          <w:rStyle w:val="Refdenotaalpie"/>
          <w:rFonts w:ascii="Verdana" w:hAnsi="Verdana"/>
          <w:sz w:val="14"/>
          <w:szCs w:val="14"/>
        </w:rPr>
        <w:footnoteRef/>
      </w:r>
      <w:r w:rsidRPr="00C73ECC">
        <w:rPr>
          <w:rFonts w:ascii="Verdana" w:hAnsi="Verdana"/>
          <w:sz w:val="14"/>
          <w:szCs w:val="14"/>
        </w:rPr>
        <w:t xml:space="preserve"> </w:t>
      </w:r>
      <w:r w:rsidRPr="00C73ECC">
        <w:rPr>
          <w:rFonts w:ascii="Verdana" w:hAnsi="Verdana"/>
          <w:sz w:val="14"/>
          <w:szCs w:val="14"/>
          <w:lang w:val="es-CO"/>
        </w:rPr>
        <w:t xml:space="preserve">CONSEJO DE ESTADO. Sección Tercera, Subsección A. Sentencia del 14 de junio de 2019, C.P.: Marta Nubia Velásquez Rico. Rad.: 25000-23-37-000-2010-02552-01 (AP); CONSEJO DE ESTADO. Sección Tercera, Subsección A. Sentencia del 25 de mayo de 2025. C.P. María Adriana Marín Hernández. </w:t>
      </w:r>
      <w:r w:rsidRPr="00C73ECC">
        <w:rPr>
          <w:rFonts w:ascii="Verdana" w:hAnsi="Verdana"/>
          <w:sz w:val="14"/>
          <w:szCs w:val="14"/>
          <w:lang w:val="es-CO"/>
        </w:rPr>
        <w:t xml:space="preserve">Exp. 70.504. </w:t>
      </w:r>
    </w:p>
  </w:footnote>
  <w:footnote w:id="19">
    <w:p w14:paraId="40BA9D4A" w14:textId="77777777" w:rsidR="00FC7BA5" w:rsidRPr="004F3389" w:rsidRDefault="00FC7BA5" w:rsidP="00FC7BA5">
      <w:pPr>
        <w:pStyle w:val="Textonotapie"/>
        <w:ind w:firstLine="709"/>
        <w:jc w:val="both"/>
        <w:rPr>
          <w:rFonts w:ascii="Verdana" w:hAnsi="Verdana"/>
          <w:color w:val="000000" w:themeColor="text1"/>
          <w:sz w:val="16"/>
          <w:szCs w:val="16"/>
        </w:rPr>
      </w:pPr>
      <w:r w:rsidRPr="004F3389">
        <w:rPr>
          <w:rStyle w:val="Refdenotaalpie"/>
          <w:rFonts w:ascii="Verdana" w:hAnsi="Verdana"/>
          <w:color w:val="000000" w:themeColor="text1"/>
          <w:sz w:val="16"/>
          <w:szCs w:val="16"/>
        </w:rPr>
        <w:footnoteRef/>
      </w:r>
      <w:r w:rsidRPr="004F3389">
        <w:rPr>
          <w:rFonts w:ascii="Verdana" w:hAnsi="Verdana"/>
          <w:color w:val="000000" w:themeColor="text1"/>
          <w:sz w:val="16"/>
          <w:szCs w:val="16"/>
        </w:rPr>
        <w:t xml:space="preserve"> Consejo de Estado. Sección Tercera – Subsección A. Sentencia del 16</w:t>
      </w:r>
      <w:r>
        <w:rPr>
          <w:rFonts w:ascii="Verdana" w:hAnsi="Verdana"/>
          <w:color w:val="000000" w:themeColor="text1"/>
          <w:sz w:val="16"/>
          <w:szCs w:val="16"/>
        </w:rPr>
        <w:t xml:space="preserve"> de mayo de 2019. Exp. 40102</w:t>
      </w:r>
      <w:r w:rsidRPr="004F3389">
        <w:rPr>
          <w:rFonts w:ascii="Verdana" w:hAnsi="Verdana"/>
          <w:color w:val="000000" w:themeColor="text1"/>
          <w:sz w:val="16"/>
          <w:szCs w:val="16"/>
        </w:rPr>
        <w:t>. C.P: María Adriana Marín.</w:t>
      </w:r>
    </w:p>
    <w:p w14:paraId="5230FE5E" w14:textId="77777777" w:rsidR="00FC7BA5" w:rsidRPr="004F3389" w:rsidRDefault="00FC7BA5" w:rsidP="00FC7BA5">
      <w:pPr>
        <w:pStyle w:val="Textonotapie"/>
        <w:ind w:firstLine="709"/>
        <w:jc w:val="both"/>
        <w:rPr>
          <w:rFonts w:ascii="Verdana" w:hAnsi="Verdana"/>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0" type="#_x0000_t75" style="width:11pt;height: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4"/>
  </w:num>
  <w:num w:numId="8">
    <w:abstractNumId w:val="11"/>
  </w:num>
  <w:num w:numId="9">
    <w:abstractNumId w:val="6"/>
  </w:num>
  <w:num w:numId="10">
    <w:abstractNumId w:val="10"/>
  </w:num>
  <w:num w:numId="11">
    <w:abstractNumId w:val="7"/>
  </w:num>
  <w:num w:numId="12">
    <w:abstractNumId w:val="0"/>
  </w:num>
  <w:num w:numId="13">
    <w:abstractNumId w:val="2"/>
  </w:num>
  <w:num w:numId="14">
    <w:abstractNumId w:val="13"/>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5987"/>
    <w:rsid w:val="00046945"/>
    <w:rsid w:val="00061B2A"/>
    <w:rsid w:val="00082362"/>
    <w:rsid w:val="000A683E"/>
    <w:rsid w:val="000B19B9"/>
    <w:rsid w:val="000D0334"/>
    <w:rsid w:val="000F6486"/>
    <w:rsid w:val="00125105"/>
    <w:rsid w:val="00127233"/>
    <w:rsid w:val="00180F4B"/>
    <w:rsid w:val="00193FFF"/>
    <w:rsid w:val="001E4177"/>
    <w:rsid w:val="001F7DC6"/>
    <w:rsid w:val="00207CB4"/>
    <w:rsid w:val="002421BB"/>
    <w:rsid w:val="0025796E"/>
    <w:rsid w:val="002707A2"/>
    <w:rsid w:val="00271DB8"/>
    <w:rsid w:val="002951A0"/>
    <w:rsid w:val="002962BC"/>
    <w:rsid w:val="002A093D"/>
    <w:rsid w:val="002A0DD0"/>
    <w:rsid w:val="002A49AC"/>
    <w:rsid w:val="002A64FD"/>
    <w:rsid w:val="002C7A84"/>
    <w:rsid w:val="002E4FD9"/>
    <w:rsid w:val="00322A85"/>
    <w:rsid w:val="00324168"/>
    <w:rsid w:val="0032600C"/>
    <w:rsid w:val="003448F4"/>
    <w:rsid w:val="003658DB"/>
    <w:rsid w:val="00374F5E"/>
    <w:rsid w:val="00377E3E"/>
    <w:rsid w:val="003A779E"/>
    <w:rsid w:val="003C70E6"/>
    <w:rsid w:val="003D0F4D"/>
    <w:rsid w:val="003D5B0D"/>
    <w:rsid w:val="003E0499"/>
    <w:rsid w:val="003F3941"/>
    <w:rsid w:val="00406575"/>
    <w:rsid w:val="00414C74"/>
    <w:rsid w:val="0042722E"/>
    <w:rsid w:val="00427B57"/>
    <w:rsid w:val="004435B8"/>
    <w:rsid w:val="0044528D"/>
    <w:rsid w:val="00485B3F"/>
    <w:rsid w:val="004A1847"/>
    <w:rsid w:val="004A305D"/>
    <w:rsid w:val="004F21C4"/>
    <w:rsid w:val="004F685F"/>
    <w:rsid w:val="0055578B"/>
    <w:rsid w:val="005566E8"/>
    <w:rsid w:val="00574867"/>
    <w:rsid w:val="00591460"/>
    <w:rsid w:val="005C3777"/>
    <w:rsid w:val="005C5CDC"/>
    <w:rsid w:val="005D476C"/>
    <w:rsid w:val="006219F8"/>
    <w:rsid w:val="006302F7"/>
    <w:rsid w:val="00665D70"/>
    <w:rsid w:val="006900D9"/>
    <w:rsid w:val="006A760C"/>
    <w:rsid w:val="006D12CA"/>
    <w:rsid w:val="006F0DE0"/>
    <w:rsid w:val="00706C16"/>
    <w:rsid w:val="00742E36"/>
    <w:rsid w:val="00756841"/>
    <w:rsid w:val="007649AB"/>
    <w:rsid w:val="00771D0C"/>
    <w:rsid w:val="007833AC"/>
    <w:rsid w:val="007B268C"/>
    <w:rsid w:val="007B7171"/>
    <w:rsid w:val="007C0C0F"/>
    <w:rsid w:val="007C3DC2"/>
    <w:rsid w:val="007E5497"/>
    <w:rsid w:val="00806F5F"/>
    <w:rsid w:val="00820278"/>
    <w:rsid w:val="008236FA"/>
    <w:rsid w:val="00826C26"/>
    <w:rsid w:val="00867F95"/>
    <w:rsid w:val="008843B6"/>
    <w:rsid w:val="00891928"/>
    <w:rsid w:val="00897A3A"/>
    <w:rsid w:val="008A446D"/>
    <w:rsid w:val="008D180B"/>
    <w:rsid w:val="008F0EA7"/>
    <w:rsid w:val="00903A51"/>
    <w:rsid w:val="00907A56"/>
    <w:rsid w:val="00923EEF"/>
    <w:rsid w:val="009419F9"/>
    <w:rsid w:val="0095685E"/>
    <w:rsid w:val="00961B09"/>
    <w:rsid w:val="00965334"/>
    <w:rsid w:val="0097093E"/>
    <w:rsid w:val="009A0DFA"/>
    <w:rsid w:val="009B25A8"/>
    <w:rsid w:val="009B2D26"/>
    <w:rsid w:val="009C71FA"/>
    <w:rsid w:val="009C72E7"/>
    <w:rsid w:val="009D2512"/>
    <w:rsid w:val="009D3058"/>
    <w:rsid w:val="009F3A13"/>
    <w:rsid w:val="00A122D3"/>
    <w:rsid w:val="00A17F13"/>
    <w:rsid w:val="00A20739"/>
    <w:rsid w:val="00A33C78"/>
    <w:rsid w:val="00AB0ADB"/>
    <w:rsid w:val="00B00C0E"/>
    <w:rsid w:val="00B01B1A"/>
    <w:rsid w:val="00B2561F"/>
    <w:rsid w:val="00B44A47"/>
    <w:rsid w:val="00B52507"/>
    <w:rsid w:val="00B66482"/>
    <w:rsid w:val="00B72CD3"/>
    <w:rsid w:val="00B72FFF"/>
    <w:rsid w:val="00BB5A9B"/>
    <w:rsid w:val="00BC3D36"/>
    <w:rsid w:val="00BD7F72"/>
    <w:rsid w:val="00C04FB3"/>
    <w:rsid w:val="00C330EB"/>
    <w:rsid w:val="00C754BE"/>
    <w:rsid w:val="00C76B1C"/>
    <w:rsid w:val="00C919A3"/>
    <w:rsid w:val="00C94A08"/>
    <w:rsid w:val="00CA71D8"/>
    <w:rsid w:val="00CB6357"/>
    <w:rsid w:val="00CC1B26"/>
    <w:rsid w:val="00CD5E54"/>
    <w:rsid w:val="00CF6712"/>
    <w:rsid w:val="00D3051F"/>
    <w:rsid w:val="00D423A2"/>
    <w:rsid w:val="00D520D8"/>
    <w:rsid w:val="00D63AC2"/>
    <w:rsid w:val="00D7383B"/>
    <w:rsid w:val="00D96FDF"/>
    <w:rsid w:val="00DA231B"/>
    <w:rsid w:val="00DC39FC"/>
    <w:rsid w:val="00DF5254"/>
    <w:rsid w:val="00E103BB"/>
    <w:rsid w:val="00E16408"/>
    <w:rsid w:val="00E20894"/>
    <w:rsid w:val="00E245AB"/>
    <w:rsid w:val="00E2764C"/>
    <w:rsid w:val="00E27F2E"/>
    <w:rsid w:val="00E4448D"/>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C7BA5"/>
    <w:rsid w:val="00FF1449"/>
    <w:rsid w:val="6758D95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2EBE7047-4B08-AF40-853F-873C6462D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C7BA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C7BA5"/>
    <w:rPr>
      <w:rFonts w:ascii="Geomanist Light" w:hAnsi="Geomanist Light"/>
      <w:lang w:val="es-ES"/>
    </w:rPr>
  </w:style>
  <w:style w:type="paragraph" w:styleId="Sinespaciado">
    <w:name w:val="No Spacing"/>
    <w:uiPriority w:val="1"/>
    <w:qFormat/>
    <w:rsid w:val="00FC7B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9B75577-189D-4298-9745-E0441C96B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http://purl.org/dc/elements/1.1/"/>
    <ds:schemaRef ds:uri="a6cb9e4b-f1d1-4245-83ec-6cad768d538a"/>
    <ds:schemaRef ds:uri="9d85dbaf-23eb-4e57-a637-93dcacc8b1a1"/>
    <ds:schemaRef ds:uri="http://schemas.microsoft.com/office/2006/metadata/propertie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16</Pages>
  <Words>5018</Words>
  <Characters>27601</Characters>
  <Application>Microsoft Office Word</Application>
  <DocSecurity>0</DocSecurity>
  <Lines>230</Lines>
  <Paragraphs>65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32554</CharactersWithSpaces>
  <SharedDoc>false</SharedDoc>
  <HLinks>
    <vt:vector size="18" baseType="variant">
      <vt:variant>
        <vt:i4>8126526</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7209021</vt:i4>
      </vt:variant>
      <vt:variant>
        <vt:i4>3</vt:i4>
      </vt:variant>
      <vt:variant>
        <vt:i4>0</vt:i4>
      </vt:variant>
      <vt:variant>
        <vt:i4>5</vt:i4>
      </vt:variant>
      <vt:variant>
        <vt:lpwstr>https://relatoria.colombiacompra.gov.co/busqueda/concept os</vt:lpwstr>
      </vt:variant>
      <vt:variant>
        <vt:lpwstr/>
      </vt:variant>
      <vt:variant>
        <vt:i4>7929935</vt:i4>
      </vt:variant>
      <vt:variant>
        <vt:i4>0</vt:i4>
      </vt:variant>
      <vt:variant>
        <vt:i4>0</vt:i4>
      </vt:variant>
      <vt:variant>
        <vt:i4>5</vt:i4>
      </vt:variant>
      <vt:variant>
        <vt:lpwstr>mailto:ivandariog@hotmail.com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2023-01-10T18:18:00Z</cp:lastPrinted>
  <dcterms:created xsi:type="dcterms:W3CDTF">2025-10-16T23:06:00Z</dcterms:created>
  <dcterms:modified xsi:type="dcterms:W3CDTF">2025-10-16T23:06:00Z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