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E7FDA" w14:textId="77777777" w:rsidR="005C5101" w:rsidRPr="002A7748" w:rsidRDefault="005C5101" w:rsidP="005C5101">
      <w:pPr>
        <w:spacing w:after="120" w:line="276" w:lineRule="auto"/>
        <w:rPr>
          <w:rFonts w:ascii="Verdana" w:eastAsia="Calibri" w:hAnsi="Verdana" w:cs="Arial"/>
          <w:b/>
          <w:bCs/>
          <w:lang w:val="es-ES" w:eastAsia="es-ES"/>
        </w:rPr>
      </w:pPr>
      <w:bookmarkStart w:id="0" w:name="_Hlk143780582"/>
      <w:r w:rsidRPr="009F65BA">
        <w:rPr>
          <w:rFonts w:ascii="Verdana" w:eastAsia="Calibri" w:hAnsi="Verdana" w:cs="Arial"/>
          <w:b/>
          <w:bCs/>
          <w:lang w:val="es-ES" w:eastAsia="es-ES"/>
        </w:rPr>
        <w:t xml:space="preserve">ACTIVIDADES DE CIENCIA, TECNOLOGÍA E INNOVACIÓN ― Regulación </w:t>
      </w:r>
    </w:p>
    <w:p w14:paraId="1427216A" w14:textId="4638E3F3" w:rsidR="005C5101" w:rsidRPr="007538A1" w:rsidRDefault="005C5101" w:rsidP="005C5101">
      <w:pPr>
        <w:spacing w:after="120" w:line="240" w:lineRule="auto"/>
        <w:jc w:val="both"/>
        <w:rPr>
          <w:rFonts w:ascii="Verdana" w:eastAsia="Times New Roman" w:hAnsi="Verdana" w:cs="Arial"/>
          <w:sz w:val="20"/>
          <w:szCs w:val="20"/>
          <w:lang w:eastAsia="es-ES_tradnl"/>
        </w:rPr>
      </w:pPr>
      <w:r w:rsidRPr="00FD7970">
        <w:rPr>
          <w:rFonts w:ascii="Verdana" w:eastAsia="Times New Roman" w:hAnsi="Verdana" w:cs="Arial"/>
          <w:sz w:val="20"/>
          <w:szCs w:val="20"/>
          <w:lang w:eastAsia="es-ES_tradnl"/>
        </w:rPr>
        <w:t xml:space="preserve">Las actividades de ciencia, tecnología e innovación están previstas en cuatro (4) cuerpos normativos: </w:t>
      </w:r>
      <w:r w:rsidRPr="00FD7970">
        <w:rPr>
          <w:rFonts w:ascii="Verdana" w:eastAsia="Times New Roman" w:hAnsi="Verdana" w:cs="Arial"/>
          <w:b/>
          <w:bCs/>
          <w:sz w:val="20"/>
          <w:szCs w:val="20"/>
          <w:lang w:eastAsia="es-ES_tradnl"/>
        </w:rPr>
        <w:t>i)</w:t>
      </w:r>
      <w:r w:rsidRPr="00FD7970">
        <w:rPr>
          <w:rFonts w:ascii="Verdana" w:eastAsia="Times New Roman" w:hAnsi="Verdana" w:cs="Arial"/>
          <w:sz w:val="20"/>
          <w:szCs w:val="20"/>
          <w:lang w:eastAsia="es-ES_tradnl"/>
        </w:rPr>
        <w:t xml:space="preserve"> el </w:t>
      </w:r>
      <w:r w:rsidRPr="00FD7970">
        <w:rPr>
          <w:rFonts w:ascii="Verdana" w:eastAsia="Times New Roman" w:hAnsi="Verdana" w:cs="Arial"/>
          <w:i/>
          <w:iCs/>
          <w:sz w:val="20"/>
          <w:szCs w:val="20"/>
          <w:lang w:eastAsia="es-ES_tradnl"/>
        </w:rPr>
        <w:t>Decreto Ley 393 de 1991</w:t>
      </w:r>
      <w:r w:rsidRPr="00FD7970">
        <w:rPr>
          <w:rFonts w:ascii="Verdana" w:eastAsia="Times New Roman" w:hAnsi="Verdana" w:cs="Arial"/>
          <w:sz w:val="20"/>
          <w:szCs w:val="20"/>
          <w:lang w:eastAsia="es-ES_tradnl"/>
        </w:rPr>
        <w:t xml:space="preserve">, que prevé dos (2) formas de asociación para que las entidades ejecuten actividades científicas y tecnológicas, proyectos de investigación y creación de tecnologías: a) crear personas jurídicas civiles, comerciales y sin ánimo de lucro y b) celebrar convenios especiales de cooperación; </w:t>
      </w:r>
      <w:proofErr w:type="spellStart"/>
      <w:r w:rsidRPr="00FD7970">
        <w:rPr>
          <w:rFonts w:ascii="Verdana" w:eastAsia="Times New Roman" w:hAnsi="Verdana" w:cs="Arial"/>
          <w:b/>
          <w:bCs/>
          <w:sz w:val="20"/>
          <w:szCs w:val="20"/>
          <w:lang w:eastAsia="es-ES_tradnl"/>
        </w:rPr>
        <w:t>ii</w:t>
      </w:r>
      <w:proofErr w:type="spellEnd"/>
      <w:r w:rsidRPr="00FD7970">
        <w:rPr>
          <w:rFonts w:ascii="Verdana" w:eastAsia="Times New Roman" w:hAnsi="Verdana" w:cs="Arial"/>
          <w:b/>
          <w:bCs/>
          <w:sz w:val="20"/>
          <w:szCs w:val="20"/>
          <w:lang w:eastAsia="es-ES_tradnl"/>
        </w:rPr>
        <w:t>)</w:t>
      </w:r>
      <w:r w:rsidRPr="00FD7970">
        <w:rPr>
          <w:rFonts w:ascii="Verdana" w:eastAsia="Times New Roman" w:hAnsi="Verdana" w:cs="Arial"/>
          <w:sz w:val="20"/>
          <w:szCs w:val="20"/>
          <w:lang w:eastAsia="es-ES_tradnl"/>
        </w:rPr>
        <w:t xml:space="preserve"> el </w:t>
      </w:r>
      <w:r w:rsidRPr="00FD7970">
        <w:rPr>
          <w:rFonts w:ascii="Verdana" w:eastAsia="Times New Roman" w:hAnsi="Verdana" w:cs="Arial"/>
          <w:i/>
          <w:iCs/>
          <w:sz w:val="20"/>
          <w:szCs w:val="20"/>
          <w:lang w:eastAsia="es-ES_tradnl"/>
        </w:rPr>
        <w:t>Decreto Ley 591 de 1991</w:t>
      </w:r>
      <w:r w:rsidRPr="00FD7970">
        <w:rPr>
          <w:rFonts w:ascii="Verdana" w:eastAsia="Times New Roman" w:hAnsi="Verdana" w:cs="Arial"/>
          <w:sz w:val="20"/>
          <w:szCs w:val="20"/>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a) contratos de financiamiento, b) contratos de administración de proyectos y c) convenios especiales de cooperación; </w:t>
      </w:r>
      <w:proofErr w:type="spellStart"/>
      <w:r w:rsidRPr="00FD7970">
        <w:rPr>
          <w:rFonts w:ascii="Verdana" w:eastAsia="Times New Roman" w:hAnsi="Verdana" w:cs="Arial"/>
          <w:b/>
          <w:bCs/>
          <w:sz w:val="20"/>
          <w:szCs w:val="20"/>
          <w:lang w:eastAsia="es-ES_tradnl"/>
        </w:rPr>
        <w:t>iii</w:t>
      </w:r>
      <w:proofErr w:type="spellEnd"/>
      <w:r w:rsidRPr="00FD7970">
        <w:rPr>
          <w:rFonts w:ascii="Verdana" w:eastAsia="Times New Roman" w:hAnsi="Verdana" w:cs="Arial"/>
          <w:b/>
          <w:bCs/>
          <w:sz w:val="20"/>
          <w:szCs w:val="20"/>
          <w:lang w:eastAsia="es-ES_tradnl"/>
        </w:rPr>
        <w:t>)</w:t>
      </w:r>
      <w:r w:rsidRPr="00FD7970">
        <w:rPr>
          <w:rFonts w:ascii="Verdana" w:eastAsia="Times New Roman" w:hAnsi="Verdana" w:cs="Arial"/>
          <w:sz w:val="20"/>
          <w:szCs w:val="20"/>
          <w:lang w:eastAsia="es-ES_tradnl"/>
        </w:rPr>
        <w:t xml:space="preserve"> la </w:t>
      </w:r>
      <w:r w:rsidRPr="00FD7970">
        <w:rPr>
          <w:rFonts w:ascii="Verdana" w:eastAsia="Times New Roman" w:hAnsi="Verdana" w:cs="Arial"/>
          <w:i/>
          <w:iCs/>
          <w:sz w:val="20"/>
          <w:szCs w:val="20"/>
          <w:lang w:eastAsia="es-ES_tradnl"/>
        </w:rPr>
        <w:t>Ley 1286 de 2009</w:t>
      </w:r>
      <w:r w:rsidRPr="00FD7970">
        <w:rPr>
          <w:rFonts w:ascii="Verdana" w:eastAsia="Times New Roman" w:hAnsi="Verdana" w:cs="Arial"/>
          <w:sz w:val="20"/>
          <w:szCs w:val="20"/>
          <w:lang w:eastAsia="es-ES_tradnl"/>
        </w:rPr>
        <w:t xml:space="preserve">; </w:t>
      </w:r>
      <w:proofErr w:type="spellStart"/>
      <w:r w:rsidRPr="00FD7970">
        <w:rPr>
          <w:rFonts w:ascii="Verdana" w:eastAsia="Times New Roman" w:hAnsi="Verdana" w:cs="Arial"/>
          <w:b/>
          <w:bCs/>
          <w:sz w:val="20"/>
          <w:szCs w:val="20"/>
          <w:lang w:eastAsia="es-ES_tradnl"/>
        </w:rPr>
        <w:t>iv</w:t>
      </w:r>
      <w:proofErr w:type="spellEnd"/>
      <w:r w:rsidRPr="00FD7970">
        <w:rPr>
          <w:rFonts w:ascii="Verdana" w:eastAsia="Times New Roman" w:hAnsi="Verdana" w:cs="Arial"/>
          <w:b/>
          <w:bCs/>
          <w:sz w:val="20"/>
          <w:szCs w:val="20"/>
          <w:lang w:eastAsia="es-ES_tradnl"/>
        </w:rPr>
        <w:t>)</w:t>
      </w:r>
      <w:r w:rsidRPr="00FD7970">
        <w:rPr>
          <w:rFonts w:ascii="Verdana" w:eastAsia="Times New Roman" w:hAnsi="Verdana" w:cs="Arial"/>
          <w:sz w:val="20"/>
          <w:szCs w:val="20"/>
          <w:lang w:eastAsia="es-ES_tradnl"/>
        </w:rPr>
        <w:t xml:space="preserve"> </w:t>
      </w:r>
      <w:r w:rsidR="00EB26C7" w:rsidRPr="00EB26C7">
        <w:rPr>
          <w:rFonts w:ascii="Verdana" w:eastAsia="Times New Roman" w:hAnsi="Verdana" w:cs="Arial"/>
          <w:sz w:val="20"/>
          <w:szCs w:val="20"/>
          <w:lang w:eastAsia="es-ES_tradnl"/>
        </w:rPr>
        <w:t>el Documento CONPES 4069 de 2021, donde se define cuáles son estas actividades de los actores del Sistema Nacional de Ciencia, Tecnología e Innovación</w:t>
      </w:r>
      <w:r w:rsidRPr="00FD7970">
        <w:rPr>
          <w:rFonts w:ascii="Verdana" w:eastAsia="Times New Roman" w:hAnsi="Verdana" w:cs="Arial"/>
          <w:sz w:val="20"/>
          <w:szCs w:val="20"/>
          <w:lang w:eastAsia="es-ES_tradnl"/>
        </w:rPr>
        <w:t>.</w:t>
      </w:r>
    </w:p>
    <w:p w14:paraId="3C398D24" w14:textId="77777777" w:rsidR="005C5101" w:rsidRPr="002A7748" w:rsidRDefault="005C5101" w:rsidP="005C5101">
      <w:pPr>
        <w:spacing w:after="120" w:line="276" w:lineRule="auto"/>
        <w:rPr>
          <w:rFonts w:ascii="Verdana" w:eastAsia="Calibri" w:hAnsi="Verdana" w:cs="Arial"/>
          <w:b/>
          <w:bCs/>
          <w:lang w:val="es-ES" w:eastAsia="es-ES"/>
        </w:rPr>
      </w:pPr>
      <w:r w:rsidRPr="002A7748">
        <w:rPr>
          <w:rFonts w:ascii="Verdana" w:eastAsia="Calibri" w:hAnsi="Verdana" w:cs="Arial"/>
          <w:b/>
          <w:bCs/>
          <w:lang w:val="es-ES" w:eastAsia="es-ES"/>
        </w:rPr>
        <w:t xml:space="preserve">ACTIVIDADES DE CIENCIA, TECNOLOGÍA E INNOVACIÓN ― Decreto 393 de 1991 ― Formas de asociación </w:t>
      </w:r>
    </w:p>
    <w:p w14:paraId="1D1CBD44" w14:textId="0C2ECE55" w:rsidR="005C5101" w:rsidRPr="007538A1" w:rsidRDefault="005C5101" w:rsidP="005C5101">
      <w:pPr>
        <w:spacing w:after="120" w:line="240" w:lineRule="auto"/>
        <w:jc w:val="both"/>
        <w:rPr>
          <w:rFonts w:ascii="Verdana" w:eastAsia="Times New Roman" w:hAnsi="Verdana" w:cs="Arial"/>
          <w:sz w:val="20"/>
          <w:szCs w:val="20"/>
          <w:lang w:eastAsia="es-ES_tradnl"/>
        </w:rPr>
      </w:pPr>
      <w:r w:rsidRPr="007B0B6F">
        <w:rPr>
          <w:rFonts w:ascii="Verdana" w:eastAsia="Times New Roman" w:hAnsi="Verdana" w:cs="Arial"/>
          <w:sz w:val="20"/>
          <w:szCs w:val="20"/>
          <w:lang w:eastAsia="es-ES_tradnl"/>
        </w:rPr>
        <w:t xml:space="preserve">(…) </w:t>
      </w:r>
      <w:r w:rsidRPr="007B0B6F">
        <w:rPr>
          <w:rFonts w:ascii="Verdana" w:eastAsia="Times New Roman" w:hAnsi="Verdana" w:cs="Arial"/>
          <w:b/>
          <w:bCs/>
          <w:sz w:val="20"/>
          <w:szCs w:val="20"/>
          <w:lang w:eastAsia="es-ES_tradnl"/>
        </w:rPr>
        <w:t>i)</w:t>
      </w:r>
      <w:r w:rsidRPr="007B0B6F">
        <w:rPr>
          <w:rFonts w:ascii="Verdana" w:eastAsia="Times New Roman" w:hAnsi="Verdana" w:cs="Arial"/>
          <w:sz w:val="20"/>
          <w:szCs w:val="20"/>
          <w:lang w:eastAsia="es-ES_tradnl"/>
        </w:rPr>
        <w:t xml:space="preserve"> el </w:t>
      </w:r>
      <w:r w:rsidRPr="007B0B6F">
        <w:rPr>
          <w:rFonts w:ascii="Verdana" w:eastAsia="Times New Roman" w:hAnsi="Verdana" w:cs="Arial"/>
          <w:i/>
          <w:iCs/>
          <w:sz w:val="20"/>
          <w:szCs w:val="20"/>
          <w:lang w:eastAsia="es-ES_tradnl"/>
        </w:rPr>
        <w:t>Decreto Ley 393 de 1991</w:t>
      </w:r>
      <w:r w:rsidRPr="007B0B6F">
        <w:rPr>
          <w:rFonts w:ascii="Verdana" w:eastAsia="Times New Roman" w:hAnsi="Verdana" w:cs="Arial"/>
          <w:sz w:val="20"/>
          <w:szCs w:val="20"/>
          <w:lang w:eastAsia="es-ES_tradnl"/>
        </w:rPr>
        <w:t>, que prevé dos (2) formas de asociación para que las entidades ejecuten actividades científicas y tecnológicas, proyectos de investigación y creación de tecnologías: a) crear personas jurídicas civiles, comerciales y sin ánimo de lucro y b) celebrar convenios especiales de cooperación. (…)</w:t>
      </w:r>
    </w:p>
    <w:p w14:paraId="72958AB4" w14:textId="77777777" w:rsidR="005C5101" w:rsidRPr="002A7748" w:rsidRDefault="005C5101" w:rsidP="005C5101">
      <w:pPr>
        <w:spacing w:after="120" w:line="276" w:lineRule="auto"/>
        <w:rPr>
          <w:rFonts w:ascii="Verdana" w:eastAsia="Calibri" w:hAnsi="Verdana" w:cs="Arial"/>
          <w:b/>
          <w:bCs/>
          <w:lang w:val="es-ES" w:eastAsia="es-ES"/>
        </w:rPr>
      </w:pPr>
      <w:r w:rsidRPr="002A7748">
        <w:rPr>
          <w:rFonts w:ascii="Verdana" w:eastAsia="Calibri" w:hAnsi="Verdana" w:cs="Arial"/>
          <w:b/>
          <w:bCs/>
          <w:lang w:val="es-ES" w:eastAsia="es-ES"/>
        </w:rPr>
        <w:t xml:space="preserve">CONVENIO ESPECIAL DE COOPERACIÓN ― Reglas ― Régimen jurídico </w:t>
      </w:r>
    </w:p>
    <w:p w14:paraId="3AB9B5AD" w14:textId="463D60E5" w:rsidR="005C5101" w:rsidRPr="007B0B6F" w:rsidRDefault="005C5101" w:rsidP="005C5101">
      <w:pPr>
        <w:spacing w:after="120" w:line="240" w:lineRule="auto"/>
        <w:jc w:val="both"/>
        <w:rPr>
          <w:rFonts w:ascii="Verdana" w:eastAsia="Calibri" w:hAnsi="Verdana" w:cs="Arial"/>
          <w:sz w:val="20"/>
          <w:szCs w:val="20"/>
          <w:lang w:eastAsia="es-ES_tradnl"/>
        </w:rPr>
      </w:pPr>
      <w:r w:rsidRPr="007B0B6F">
        <w:rPr>
          <w:rFonts w:ascii="Verdana" w:eastAsia="Calibri" w:hAnsi="Verdana" w:cs="Arial"/>
          <w:sz w:val="20"/>
          <w:szCs w:val="20"/>
          <w:lang w:eastAsia="es-ES_tradnl"/>
        </w:rPr>
        <w:t xml:space="preserve">Las reglas para la celebración de este convenio están enlistadas en los artículos 7 y 8 del Decreto 393 de 1991: i) inexistencia de solidaridad entre sus partes, </w:t>
      </w:r>
      <w:proofErr w:type="spellStart"/>
      <w:r w:rsidRPr="007B0B6F">
        <w:rPr>
          <w:rFonts w:ascii="Verdana" w:eastAsia="Calibri" w:hAnsi="Verdana" w:cs="Arial"/>
          <w:sz w:val="20"/>
          <w:szCs w:val="20"/>
          <w:lang w:eastAsia="es-ES_tradnl"/>
        </w:rPr>
        <w:t>ii</w:t>
      </w:r>
      <w:proofErr w:type="spellEnd"/>
      <w:r w:rsidRPr="007B0B6F">
        <w:rPr>
          <w:rFonts w:ascii="Verdana" w:eastAsia="Calibri" w:hAnsi="Verdana" w:cs="Arial"/>
          <w:sz w:val="20"/>
          <w:szCs w:val="20"/>
          <w:lang w:eastAsia="es-ES_tradnl"/>
        </w:rPr>
        <w:t xml:space="preserve">) regular la propiedad y los derechos sobre los resultados del convenio, </w:t>
      </w:r>
      <w:proofErr w:type="spellStart"/>
      <w:r w:rsidRPr="007B0B6F">
        <w:rPr>
          <w:rFonts w:ascii="Verdana" w:eastAsia="Calibri" w:hAnsi="Verdana" w:cs="Arial"/>
          <w:sz w:val="20"/>
          <w:szCs w:val="20"/>
          <w:lang w:eastAsia="es-ES_tradnl"/>
        </w:rPr>
        <w:t>iii</w:t>
      </w:r>
      <w:proofErr w:type="spellEnd"/>
      <w:r w:rsidRPr="007B0B6F">
        <w:rPr>
          <w:rFonts w:ascii="Verdana" w:eastAsia="Calibri" w:hAnsi="Verdana" w:cs="Arial"/>
          <w:sz w:val="20"/>
          <w:szCs w:val="20"/>
          <w:lang w:eastAsia="es-ES_tradnl"/>
        </w:rPr>
        <w:t xml:space="preserve">) definir las obligaciones de las partes, </w:t>
      </w:r>
      <w:proofErr w:type="spellStart"/>
      <w:r w:rsidRPr="007B0B6F">
        <w:rPr>
          <w:rFonts w:ascii="Verdana" w:eastAsia="Calibri" w:hAnsi="Verdana" w:cs="Arial"/>
          <w:sz w:val="20"/>
          <w:szCs w:val="20"/>
          <w:lang w:eastAsia="es-ES_tradnl"/>
        </w:rPr>
        <w:t>iv</w:t>
      </w:r>
      <w:proofErr w:type="spellEnd"/>
      <w:r w:rsidRPr="007B0B6F">
        <w:rPr>
          <w:rFonts w:ascii="Verdana" w:eastAsia="Calibri" w:hAnsi="Verdana" w:cs="Arial"/>
          <w:sz w:val="20"/>
          <w:szCs w:val="20"/>
          <w:lang w:eastAsia="es-ES_tradnl"/>
        </w:rPr>
        <w:t xml:space="preserve">) determinar la forma de administración de los aportes, v) el régimen jurídico es el derecho privado, salvo lo expresamente regulado en EGCAP –, vi) debe ser escrito, </w:t>
      </w:r>
      <w:proofErr w:type="spellStart"/>
      <w:r w:rsidRPr="007B0B6F">
        <w:rPr>
          <w:rFonts w:ascii="Verdana" w:eastAsia="Calibri" w:hAnsi="Verdana" w:cs="Arial"/>
          <w:sz w:val="20"/>
          <w:szCs w:val="20"/>
          <w:lang w:eastAsia="es-ES_tradnl"/>
        </w:rPr>
        <w:t>vii</w:t>
      </w:r>
      <w:proofErr w:type="spellEnd"/>
      <w:r w:rsidRPr="007B0B6F">
        <w:rPr>
          <w:rFonts w:ascii="Verdana" w:eastAsia="Calibri" w:hAnsi="Verdana" w:cs="Arial"/>
          <w:sz w:val="20"/>
          <w:szCs w:val="20"/>
          <w:lang w:eastAsia="es-ES_tradnl"/>
        </w:rPr>
        <w:t xml:space="preserve">) señalar el objeto y el plazo e </w:t>
      </w:r>
      <w:proofErr w:type="spellStart"/>
      <w:r w:rsidRPr="007B0B6F">
        <w:rPr>
          <w:rFonts w:ascii="Verdana" w:eastAsia="Calibri" w:hAnsi="Verdana" w:cs="Arial"/>
          <w:sz w:val="20"/>
          <w:szCs w:val="20"/>
          <w:lang w:eastAsia="es-ES_tradnl"/>
        </w:rPr>
        <w:t>viii</w:t>
      </w:r>
      <w:proofErr w:type="spellEnd"/>
      <w:r w:rsidRPr="007B0B6F">
        <w:rPr>
          <w:rFonts w:ascii="Verdana" w:eastAsia="Calibri" w:hAnsi="Verdana" w:cs="Arial"/>
          <w:sz w:val="20"/>
          <w:szCs w:val="20"/>
          <w:lang w:eastAsia="es-ES_tradnl"/>
        </w:rPr>
        <w:t>) incluir cláusulas de cesión y terminación.</w:t>
      </w:r>
    </w:p>
    <w:p w14:paraId="788799D5" w14:textId="43F7265A" w:rsidR="005C5101" w:rsidRPr="007538A1" w:rsidRDefault="005C5101" w:rsidP="005C5101">
      <w:pPr>
        <w:pStyle w:val="Textoindependiente"/>
        <w:spacing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CONTRATO ESTATAL</w:t>
      </w:r>
      <w:r w:rsidRPr="00396DBB">
        <w:rPr>
          <w:rFonts w:ascii="Verdana" w:hAnsi="Verdana" w:cs="Arial"/>
          <w:b/>
          <w:color w:val="000000" w:themeColor="text1"/>
          <w:lang w:val="es-ES_tradnl"/>
        </w:rPr>
        <w:t xml:space="preserve"> – </w:t>
      </w:r>
      <w:r>
        <w:rPr>
          <w:rFonts w:ascii="Verdana" w:hAnsi="Verdana" w:cs="Arial"/>
          <w:b/>
          <w:color w:val="000000" w:themeColor="text1"/>
          <w:lang w:val="es-ES_tradnl"/>
        </w:rPr>
        <w:t>Régimen jurídico</w:t>
      </w:r>
      <w:r w:rsidRPr="00396DBB">
        <w:rPr>
          <w:rFonts w:ascii="Verdana" w:hAnsi="Verdana" w:cs="Arial"/>
          <w:b/>
          <w:color w:val="000000" w:themeColor="text1"/>
          <w:lang w:val="es-ES_tradnl"/>
        </w:rPr>
        <w:t xml:space="preserve"> </w:t>
      </w:r>
    </w:p>
    <w:p w14:paraId="05258AC7" w14:textId="77777777" w:rsidR="005C5101" w:rsidRDefault="005C5101" w:rsidP="005C5101">
      <w:pPr>
        <w:spacing w:after="120" w:line="240" w:lineRule="auto"/>
        <w:jc w:val="both"/>
        <w:rPr>
          <w:rFonts w:ascii="Verdana" w:eastAsia="Arial" w:hAnsi="Verdana" w:cs="Arial"/>
          <w:color w:val="000000" w:themeColor="text1"/>
          <w:sz w:val="20"/>
          <w:szCs w:val="20"/>
        </w:rPr>
      </w:pPr>
      <w:r>
        <w:rPr>
          <w:rFonts w:ascii="Verdana" w:eastAsia="Arial" w:hAnsi="Verdana" w:cs="Arial"/>
          <w:color w:val="000000" w:themeColor="text1"/>
          <w:sz w:val="20"/>
          <w:szCs w:val="20"/>
          <w:lang w:val="es-ES"/>
        </w:rPr>
        <w:t>E</w:t>
      </w:r>
      <w:r w:rsidRPr="00FB1576">
        <w:rPr>
          <w:rFonts w:ascii="Verdana" w:eastAsia="Arial" w:hAnsi="Verdana" w:cs="Arial"/>
          <w:color w:val="000000" w:themeColor="text1"/>
          <w:sz w:val="20"/>
          <w:szCs w:val="20"/>
          <w:lang w:val="es-ES"/>
        </w:rPr>
        <w:t xml:space="preserv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FB1576">
        <w:rPr>
          <w:rFonts w:ascii="Verdana" w:eastAsia="Arial" w:hAnsi="Verdana" w:cs="Arial"/>
          <w:color w:val="000000" w:themeColor="text1"/>
          <w:sz w:val="20"/>
          <w:szCs w:val="20"/>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0C499FD4" w14:textId="77777777" w:rsidR="005C5101" w:rsidRDefault="005C5101" w:rsidP="005C5101">
      <w:pPr>
        <w:spacing w:after="120" w:line="240" w:lineRule="auto"/>
        <w:jc w:val="both"/>
        <w:rPr>
          <w:rFonts w:ascii="Verdana" w:eastAsia="Arial" w:hAnsi="Verdana" w:cs="Arial"/>
          <w:color w:val="000000" w:themeColor="text1"/>
          <w:sz w:val="20"/>
          <w:szCs w:val="20"/>
        </w:rPr>
      </w:pPr>
    </w:p>
    <w:p w14:paraId="3858DF24" w14:textId="4C193B92" w:rsidR="005C5101" w:rsidRPr="007538A1" w:rsidRDefault="005C5101" w:rsidP="005C5101">
      <w:pPr>
        <w:spacing w:after="120" w:line="240" w:lineRule="auto"/>
        <w:jc w:val="both"/>
        <w:rPr>
          <w:rFonts w:ascii="Verdana" w:eastAsia="Arial" w:hAnsi="Verdana" w:cs="Arial"/>
          <w:color w:val="000000" w:themeColor="text1"/>
          <w:sz w:val="20"/>
          <w:szCs w:val="20"/>
        </w:rPr>
      </w:pPr>
      <w:r w:rsidRPr="00BE364D">
        <w:rPr>
          <w:rFonts w:ascii="Verdana" w:eastAsia="Arial" w:hAnsi="Verdana" w:cs="Arial"/>
          <w:color w:val="000000" w:themeColor="text1"/>
          <w:sz w:val="20"/>
          <w:szCs w:val="20"/>
        </w:rPr>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w:t>
      </w:r>
      <w:r w:rsidRPr="00BE364D">
        <w:rPr>
          <w:rFonts w:ascii="Verdana" w:eastAsia="Arial" w:hAnsi="Verdana" w:cs="Arial"/>
          <w:color w:val="000000" w:themeColor="text1"/>
          <w:sz w:val="20"/>
          <w:szCs w:val="20"/>
        </w:rPr>
        <w:lastRenderedPageBreak/>
        <w:t>cláusulas exorbitantes y tipologías contractuales–. Por ello, con excepción de las materias expresamente reguladas en el Estatuto de Contratación, es posible la aplicación de las normas de derecho privado. Esta precisión es importante, porque el comodato se encuentra tipificado en el Código Civil y allí se encuentra gran parte de su régimen jurídico.</w:t>
      </w:r>
      <w:r w:rsidRPr="00FB1576">
        <w:rPr>
          <w:rFonts w:ascii="Verdana" w:eastAsia="Arial" w:hAnsi="Verdana" w:cs="Arial"/>
          <w:color w:val="000000" w:themeColor="text1"/>
          <w:sz w:val="20"/>
          <w:szCs w:val="20"/>
        </w:rPr>
        <w:t xml:space="preserve"> </w:t>
      </w:r>
    </w:p>
    <w:p w14:paraId="5F803C49" w14:textId="23F7FD68" w:rsidR="005C5101" w:rsidRPr="007538A1" w:rsidRDefault="005C5101" w:rsidP="005C5101">
      <w:pPr>
        <w:spacing w:after="12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CONTRATO DE COMODATO</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Reglas vigentes </w:t>
      </w:r>
      <w:r w:rsidRPr="00396DBB">
        <w:rPr>
          <w:rFonts w:ascii="Verdana" w:eastAsia="Calibri" w:hAnsi="Verdana" w:cs="Arial"/>
          <w:b/>
          <w:color w:val="000000" w:themeColor="text1"/>
          <w:lang w:val="es-ES_tradnl"/>
        </w:rPr>
        <w:t xml:space="preserve"> </w:t>
      </w:r>
    </w:p>
    <w:p w14:paraId="5595A831" w14:textId="77777777" w:rsidR="005C5101" w:rsidRDefault="005C5101" w:rsidP="005C5101">
      <w:pPr>
        <w:spacing w:after="120" w:line="240" w:lineRule="auto"/>
        <w:jc w:val="both"/>
        <w:rPr>
          <w:rFonts w:ascii="Verdana" w:hAnsi="Verdana" w:cs="Arial"/>
          <w:color w:val="000000" w:themeColor="text1"/>
          <w:sz w:val="20"/>
          <w:szCs w:val="20"/>
        </w:rPr>
      </w:pPr>
      <w:r>
        <w:rPr>
          <w:rFonts w:ascii="Verdana" w:hAnsi="Verdana" w:cs="Arial"/>
          <w:color w:val="000000" w:themeColor="text1"/>
          <w:sz w:val="20"/>
          <w:szCs w:val="20"/>
        </w:rPr>
        <w:t>E</w:t>
      </w:r>
      <w:r w:rsidRPr="00BE364D">
        <w:rPr>
          <w:rFonts w:ascii="Verdana" w:hAnsi="Verdana" w:cs="Arial"/>
          <w:color w:val="000000" w:themeColor="text1"/>
          <w:sz w:val="20"/>
          <w:szCs w:val="20"/>
        </w:rPr>
        <w:t xml:space="preserve">l marco jurídico vigente de los contratos de comodato se rige por las siguiente reglas: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BE364D">
        <w:rPr>
          <w:rFonts w:ascii="Verdana" w:hAnsi="Verdana" w:cs="Arial"/>
          <w:color w:val="000000" w:themeColor="text1"/>
          <w:sz w:val="20"/>
          <w:szCs w:val="20"/>
        </w:rPr>
        <w:t>ii</w:t>
      </w:r>
      <w:proofErr w:type="spellEnd"/>
      <w:r w:rsidRPr="00BE364D">
        <w:rPr>
          <w:rFonts w:ascii="Verdana" w:hAnsi="Verdana" w:cs="Arial"/>
          <w:color w:val="000000" w:themeColor="text1"/>
          <w:sz w:val="20"/>
          <w:szCs w:val="20"/>
        </w:rPr>
        <w:t xml:space="preserve">) las entidades estatales pueden celebrar contratos de comodato de bienes muebles entre sí, de acuerdo con las reglas del Código Civil; </w:t>
      </w:r>
      <w:proofErr w:type="spellStart"/>
      <w:r w:rsidRPr="00BE364D">
        <w:rPr>
          <w:rFonts w:ascii="Verdana" w:hAnsi="Verdana" w:cs="Arial"/>
          <w:color w:val="000000" w:themeColor="text1"/>
          <w:sz w:val="20"/>
          <w:szCs w:val="20"/>
        </w:rPr>
        <w:t>iii</w:t>
      </w:r>
      <w:proofErr w:type="spellEnd"/>
      <w:r w:rsidRPr="00BE364D">
        <w:rPr>
          <w:rFonts w:ascii="Verdana" w:hAnsi="Verdana" w:cs="Arial"/>
          <w:color w:val="000000" w:themeColor="text1"/>
          <w:sz w:val="20"/>
          <w:szCs w:val="20"/>
        </w:rPr>
        <w:t>) en virtud del artículo 355 de la Constitución Política,</w:t>
      </w:r>
      <w:r>
        <w:rPr>
          <w:rFonts w:ascii="Verdana" w:hAnsi="Verdana" w:cs="Arial"/>
          <w:color w:val="000000" w:themeColor="text1"/>
          <w:sz w:val="20"/>
          <w:szCs w:val="20"/>
        </w:rPr>
        <w:t xml:space="preserve"> </w:t>
      </w:r>
      <w:r w:rsidRPr="00B60FA2">
        <w:rPr>
          <w:rFonts w:ascii="Verdana" w:hAnsi="Verdana" w:cs="Arial"/>
          <w:color w:val="000000" w:themeColor="text1"/>
          <w:sz w:val="20"/>
          <w:szCs w:val="20"/>
        </w:rPr>
        <w:t>de acuerdo con el procedimiento establecido en el Decreto 092 de 2017,</w:t>
      </w:r>
      <w:r>
        <w:rPr>
          <w:rFonts w:ascii="Verdana" w:hAnsi="Verdana" w:cs="Arial"/>
          <w:color w:val="000000" w:themeColor="text1"/>
          <w:sz w:val="20"/>
          <w:szCs w:val="20"/>
        </w:rPr>
        <w:t xml:space="preserve"> </w:t>
      </w:r>
      <w:r w:rsidRPr="00BE364D">
        <w:rPr>
          <w:rFonts w:ascii="Verdana" w:hAnsi="Verdana" w:cs="Arial"/>
          <w:color w:val="000000" w:themeColor="text1"/>
          <w:sz w:val="20"/>
          <w:szCs w:val="20"/>
        </w:rPr>
        <w:t xml:space="preserve">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BE364D">
        <w:rPr>
          <w:rFonts w:ascii="Verdana" w:hAnsi="Verdana" w:cs="Arial"/>
          <w:color w:val="000000" w:themeColor="text1"/>
          <w:sz w:val="20"/>
          <w:szCs w:val="20"/>
        </w:rPr>
        <w:t>iv</w:t>
      </w:r>
      <w:proofErr w:type="spellEnd"/>
      <w:r w:rsidRPr="00BE364D">
        <w:rPr>
          <w:rFonts w:ascii="Verdana" w:hAnsi="Verdana" w:cs="Arial"/>
          <w:color w:val="000000" w:themeColor="text1"/>
          <w:sz w:val="20"/>
          <w:szCs w:val="20"/>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0CF049BC" w14:textId="77777777" w:rsidR="005C5101" w:rsidRDefault="005C5101" w:rsidP="00E245AB">
      <w:pPr>
        <w:spacing w:after="0"/>
        <w:rPr>
          <w:rFonts w:ascii="Verdana" w:hAnsi="Verdana"/>
        </w:rPr>
      </w:pPr>
    </w:p>
    <w:p w14:paraId="0E05449E" w14:textId="77777777" w:rsidR="005C5101" w:rsidRDefault="005C5101" w:rsidP="00E245AB">
      <w:pPr>
        <w:spacing w:after="0"/>
        <w:rPr>
          <w:rFonts w:ascii="Verdana" w:hAnsi="Verdana"/>
        </w:rPr>
      </w:pPr>
    </w:p>
    <w:p w14:paraId="7DB9B587" w14:textId="77777777" w:rsidR="005C5101" w:rsidRDefault="005C5101" w:rsidP="00E245AB">
      <w:pPr>
        <w:spacing w:after="0"/>
        <w:rPr>
          <w:rFonts w:ascii="Verdana" w:hAnsi="Verdana"/>
        </w:rPr>
      </w:pPr>
    </w:p>
    <w:p w14:paraId="417D4D15" w14:textId="77777777" w:rsidR="005C5101" w:rsidRDefault="005C5101" w:rsidP="00E245AB">
      <w:pPr>
        <w:spacing w:after="0"/>
        <w:rPr>
          <w:rFonts w:ascii="Verdana" w:hAnsi="Verdana"/>
        </w:rPr>
      </w:pPr>
    </w:p>
    <w:p w14:paraId="33EE949D" w14:textId="77777777" w:rsidR="005210FC" w:rsidRDefault="005210FC" w:rsidP="00E245AB">
      <w:pPr>
        <w:spacing w:after="0"/>
        <w:rPr>
          <w:rFonts w:ascii="Verdana" w:hAnsi="Verdana"/>
        </w:rPr>
      </w:pPr>
    </w:p>
    <w:p w14:paraId="2F33857A" w14:textId="77777777" w:rsidR="005210FC" w:rsidRDefault="005210FC" w:rsidP="00E245AB">
      <w:pPr>
        <w:spacing w:after="0"/>
        <w:rPr>
          <w:rFonts w:ascii="Verdana" w:hAnsi="Verdana"/>
        </w:rPr>
      </w:pPr>
    </w:p>
    <w:p w14:paraId="65807B2E" w14:textId="77777777" w:rsidR="005210FC" w:rsidRDefault="005210FC" w:rsidP="00E245AB">
      <w:pPr>
        <w:spacing w:after="0"/>
        <w:rPr>
          <w:rFonts w:ascii="Verdana" w:hAnsi="Verdana"/>
        </w:rPr>
      </w:pPr>
    </w:p>
    <w:p w14:paraId="3492C4F8" w14:textId="77777777" w:rsidR="005210FC" w:rsidRDefault="005210FC" w:rsidP="00E245AB">
      <w:pPr>
        <w:spacing w:after="0"/>
        <w:rPr>
          <w:rFonts w:ascii="Verdana" w:hAnsi="Verdana"/>
        </w:rPr>
      </w:pPr>
    </w:p>
    <w:p w14:paraId="05223EC4" w14:textId="77777777" w:rsidR="007538A1" w:rsidRDefault="007538A1" w:rsidP="00E245AB">
      <w:pPr>
        <w:spacing w:after="0"/>
        <w:rPr>
          <w:rFonts w:ascii="Verdana" w:hAnsi="Verdana"/>
        </w:rPr>
      </w:pPr>
    </w:p>
    <w:p w14:paraId="49B89D66" w14:textId="77777777" w:rsidR="007538A1" w:rsidRDefault="007538A1" w:rsidP="00E245AB">
      <w:pPr>
        <w:spacing w:after="0"/>
        <w:rPr>
          <w:rFonts w:ascii="Verdana" w:hAnsi="Verdana"/>
        </w:rPr>
      </w:pPr>
    </w:p>
    <w:p w14:paraId="74B6E62F" w14:textId="77777777" w:rsidR="007538A1" w:rsidRDefault="007538A1" w:rsidP="00E245AB">
      <w:pPr>
        <w:spacing w:after="0"/>
        <w:rPr>
          <w:rFonts w:ascii="Verdana" w:hAnsi="Verdana"/>
        </w:rPr>
      </w:pPr>
    </w:p>
    <w:p w14:paraId="306A0A8A" w14:textId="77777777" w:rsidR="007538A1" w:rsidRDefault="007538A1" w:rsidP="00E245AB">
      <w:pPr>
        <w:spacing w:after="0"/>
        <w:rPr>
          <w:rFonts w:ascii="Verdana" w:hAnsi="Verdana"/>
        </w:rPr>
      </w:pPr>
    </w:p>
    <w:p w14:paraId="34081BE1" w14:textId="77777777" w:rsidR="007538A1" w:rsidRDefault="007538A1" w:rsidP="00E245AB">
      <w:pPr>
        <w:spacing w:after="0"/>
        <w:rPr>
          <w:rFonts w:ascii="Verdana" w:hAnsi="Verdana"/>
        </w:rPr>
      </w:pPr>
    </w:p>
    <w:p w14:paraId="5DD4B6F9" w14:textId="77777777" w:rsidR="007538A1" w:rsidRDefault="007538A1" w:rsidP="00E245AB">
      <w:pPr>
        <w:spacing w:after="0"/>
        <w:rPr>
          <w:rFonts w:ascii="Verdana" w:hAnsi="Verdana"/>
        </w:rPr>
      </w:pPr>
    </w:p>
    <w:p w14:paraId="7207B996" w14:textId="77777777" w:rsidR="007538A1" w:rsidRDefault="007538A1" w:rsidP="00E245AB">
      <w:pPr>
        <w:spacing w:after="0"/>
        <w:rPr>
          <w:rFonts w:ascii="Verdana" w:hAnsi="Verdana"/>
        </w:rPr>
      </w:pPr>
    </w:p>
    <w:p w14:paraId="3FE2184B" w14:textId="447C5CFA" w:rsidR="00E245AB" w:rsidRPr="0044528D" w:rsidRDefault="00897A3A" w:rsidP="00E245AB">
      <w:pPr>
        <w:spacing w:after="0"/>
        <w:rPr>
          <w:rFonts w:ascii="Verdana" w:hAnsi="Verdana"/>
        </w:rPr>
      </w:pPr>
      <w:r w:rsidRPr="0044528D">
        <w:rPr>
          <w:rFonts w:ascii="Verdana" w:hAnsi="Verdana"/>
        </w:rPr>
        <w:lastRenderedPageBreak/>
        <w:t xml:space="preserve">Bogotá D.C., </w:t>
      </w:r>
      <w:r w:rsidR="004467CB">
        <w:rPr>
          <w:rFonts w:ascii="Verdana" w:hAnsi="Verdana"/>
        </w:rPr>
        <w:t>9 octubre 2025</w:t>
      </w:r>
      <w:r w:rsidR="00891928" w:rsidRPr="0044528D">
        <w:rPr>
          <w:rFonts w:ascii="Verdana" w:hAnsi="Verdana"/>
        </w:rPr>
        <w:tab/>
      </w:r>
    </w:p>
    <w:p w14:paraId="5FCADBF9" w14:textId="4AA4B281" w:rsidR="00E245AB" w:rsidRDefault="00E245AB" w:rsidP="00E245AB">
      <w:pPr>
        <w:spacing w:after="0"/>
        <w:rPr>
          <w:rFonts w:ascii="Verdana" w:hAnsi="Verdana"/>
        </w:rPr>
      </w:pPr>
    </w:p>
    <w:p w14:paraId="65441770" w14:textId="2B60DE79" w:rsidR="00AD0252" w:rsidRDefault="007538A1" w:rsidP="00F45D9C">
      <w:pPr>
        <w:spacing w:after="0" w:line="240" w:lineRule="auto"/>
        <w:jc w:val="both"/>
        <w:rPr>
          <w:rFonts w:ascii="Verdana" w:eastAsia="Calibri" w:hAnsi="Verdana" w:cs="Arial"/>
          <w:lang w:eastAsia="es-ES"/>
        </w:rPr>
      </w:pPr>
      <w:bookmarkStart w:id="1" w:name="_Hlk186494164"/>
      <w:r w:rsidRPr="000D40DF">
        <w:rPr>
          <w:rFonts w:ascii="Verdana" w:eastAsia="Calibri" w:hAnsi="Verdana" w:cs="Arial"/>
          <w:noProof/>
          <w:lang w:eastAsia="es-ES"/>
        </w:rPr>
        <w:drawing>
          <wp:anchor distT="0" distB="0" distL="114300" distR="114300" simplePos="0" relativeHeight="251658240" behindDoc="1" locked="0" layoutInCell="1" allowOverlap="1" wp14:anchorId="77CCECB2" wp14:editId="3E43991B">
            <wp:simplePos x="0" y="0"/>
            <wp:positionH relativeFrom="margin">
              <wp:align>right</wp:align>
            </wp:positionH>
            <wp:positionV relativeFrom="paragraph">
              <wp:posOffset>5715</wp:posOffset>
            </wp:positionV>
            <wp:extent cx="3132816" cy="834887"/>
            <wp:effectExtent l="0" t="0" r="0" b="3810"/>
            <wp:wrapNone/>
            <wp:docPr id="133800794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00794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32816" cy="834887"/>
                    </a:xfrm>
                    <a:prstGeom prst="rect">
                      <a:avLst/>
                    </a:prstGeom>
                  </pic:spPr>
                </pic:pic>
              </a:graphicData>
            </a:graphic>
            <wp14:sizeRelH relativeFrom="margin">
              <wp14:pctWidth>0</wp14:pctWidth>
            </wp14:sizeRelH>
            <wp14:sizeRelV relativeFrom="margin">
              <wp14:pctHeight>0</wp14:pctHeight>
            </wp14:sizeRelV>
          </wp:anchor>
        </w:drawing>
      </w:r>
    </w:p>
    <w:p w14:paraId="7E84193C" w14:textId="7676A2F4" w:rsidR="00F45D9C" w:rsidRPr="003248CC" w:rsidRDefault="00F45D9C" w:rsidP="00F45D9C">
      <w:pPr>
        <w:spacing w:after="0" w:line="240" w:lineRule="auto"/>
        <w:jc w:val="both"/>
        <w:rPr>
          <w:rFonts w:ascii="Verdana" w:eastAsia="Calibri" w:hAnsi="Verdana" w:cs="Arial"/>
          <w:lang w:eastAsia="es-ES"/>
        </w:rPr>
      </w:pPr>
      <w:r w:rsidRPr="003248CC">
        <w:rPr>
          <w:rFonts w:ascii="Verdana" w:eastAsia="Calibri" w:hAnsi="Verdana" w:cs="Arial"/>
          <w:lang w:eastAsia="es-ES"/>
        </w:rPr>
        <w:t>Señor</w:t>
      </w:r>
      <w:r w:rsidR="000D40DF" w:rsidRPr="000D40DF">
        <w:rPr>
          <w:noProof/>
        </w:rPr>
        <w:t xml:space="preserve"> </w:t>
      </w:r>
    </w:p>
    <w:p w14:paraId="2CC91459" w14:textId="77777777" w:rsidR="00F45D9C" w:rsidRDefault="00F45D9C" w:rsidP="00F45D9C">
      <w:pPr>
        <w:spacing w:after="0" w:line="240" w:lineRule="auto"/>
        <w:rPr>
          <w:rFonts w:ascii="Verdana" w:eastAsia="Calibri" w:hAnsi="Verdana" w:cs="Arial"/>
          <w:b/>
          <w:lang w:eastAsia="es-ES"/>
        </w:rPr>
      </w:pPr>
      <w:r w:rsidRPr="004E6064">
        <w:rPr>
          <w:rFonts w:ascii="Verdana" w:eastAsia="Calibri" w:hAnsi="Verdana" w:cs="Arial"/>
          <w:b/>
          <w:lang w:eastAsia="es-ES"/>
        </w:rPr>
        <w:t>Iván Darío Gutiérrez Cardozo</w:t>
      </w:r>
    </w:p>
    <w:p w14:paraId="391E766B" w14:textId="77777777" w:rsidR="00F45D9C" w:rsidRPr="00CD0826" w:rsidRDefault="00F45D9C" w:rsidP="00F45D9C">
      <w:pPr>
        <w:spacing w:after="0" w:line="240" w:lineRule="auto"/>
        <w:rPr>
          <w:rFonts w:ascii="Verdana" w:eastAsia="Calibri" w:hAnsi="Verdana" w:cs="Arial"/>
          <w:lang w:eastAsia="es-ES"/>
        </w:rPr>
      </w:pPr>
      <w:hyperlink r:id="rId11" w:history="1">
        <w:r w:rsidRPr="008D7983">
          <w:rPr>
            <w:rStyle w:val="Hipervnculo"/>
            <w:rFonts w:ascii="Verdana" w:hAnsi="Verdana"/>
          </w:rPr>
          <w:t>ivandariog@hotmail.com</w:t>
        </w:r>
      </w:hyperlink>
      <w:r>
        <w:rPr>
          <w:rFonts w:ascii="Verdana" w:hAnsi="Verdana"/>
        </w:rPr>
        <w:t xml:space="preserve"> </w:t>
      </w:r>
      <w:r w:rsidRPr="00E64D37">
        <w:rPr>
          <w:rFonts w:ascii="Verdana" w:hAnsi="Verdana"/>
        </w:rPr>
        <w:t xml:space="preserve"> </w:t>
      </w:r>
      <w:hyperlink r:id="rId12" w:history="1"/>
      <w:r w:rsidRPr="00CD0826">
        <w:rPr>
          <w:rFonts w:ascii="Verdana" w:eastAsia="Calibri" w:hAnsi="Verdana" w:cs="Arial"/>
          <w:lang w:eastAsia="es-ES"/>
        </w:rPr>
        <w:t xml:space="preserve"> </w:t>
      </w:r>
    </w:p>
    <w:p w14:paraId="60B1C9C6" w14:textId="77777777" w:rsidR="00F45D9C" w:rsidRDefault="00F45D9C" w:rsidP="00F45D9C">
      <w:pPr>
        <w:spacing w:after="0" w:line="240" w:lineRule="auto"/>
        <w:rPr>
          <w:rFonts w:ascii="Verdana" w:hAnsi="Verdana"/>
        </w:rPr>
      </w:pPr>
      <w:r>
        <w:rPr>
          <w:rFonts w:ascii="Verdana" w:hAnsi="Verdana"/>
        </w:rPr>
        <w:t>Neiva, Huila.</w:t>
      </w:r>
    </w:p>
    <w:p w14:paraId="1F96A825" w14:textId="77777777" w:rsidR="00F45D9C" w:rsidRPr="00256658" w:rsidRDefault="00F45D9C" w:rsidP="00F45D9C">
      <w:pPr>
        <w:spacing w:after="0" w:line="240" w:lineRule="auto"/>
        <w:rPr>
          <w:rFonts w:ascii="Verdana" w:eastAsia="Calibri" w:hAnsi="Verdana" w:cs="Arial"/>
          <w:lang w:eastAsia="es-ES"/>
        </w:rPr>
      </w:pPr>
    </w:p>
    <w:p w14:paraId="71BD468A" w14:textId="77777777" w:rsidR="00F45D9C" w:rsidRPr="003248CC" w:rsidRDefault="00F45D9C" w:rsidP="00F45D9C">
      <w:pPr>
        <w:spacing w:after="0" w:line="240" w:lineRule="auto"/>
        <w:rPr>
          <w:rFonts w:ascii="Verdana" w:eastAsia="Calibri" w:hAnsi="Verdana" w:cs="Arial"/>
          <w:b/>
          <w:bCs/>
          <w:color w:val="000000"/>
          <w:lang w:eastAsia="es-ES_tradnl"/>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F45D9C" w:rsidRPr="003248CC" w14:paraId="4B65F699" w14:textId="77777777" w:rsidTr="006C04F2">
        <w:trPr>
          <w:trHeight w:val="360"/>
        </w:trPr>
        <w:tc>
          <w:tcPr>
            <w:tcW w:w="2689" w:type="dxa"/>
          </w:tcPr>
          <w:p w14:paraId="054817B2" w14:textId="77777777" w:rsidR="00F45D9C" w:rsidRPr="003248CC" w:rsidRDefault="00F45D9C" w:rsidP="006C04F2">
            <w:pPr>
              <w:jc w:val="both"/>
              <w:rPr>
                <w:rFonts w:ascii="Verdana" w:eastAsia="Calibri" w:hAnsi="Verdana" w:cs="Arial"/>
                <w:b/>
                <w:bCs/>
                <w:color w:val="7030A0"/>
                <w:lang w:eastAsia="es-ES_tradnl"/>
              </w:rPr>
            </w:pPr>
          </w:p>
        </w:tc>
        <w:tc>
          <w:tcPr>
            <w:tcW w:w="6242" w:type="dxa"/>
          </w:tcPr>
          <w:p w14:paraId="39C1A902" w14:textId="77777777" w:rsidR="00F45D9C" w:rsidRDefault="00F45D9C" w:rsidP="006C04F2">
            <w:pPr>
              <w:jc w:val="both"/>
              <w:rPr>
                <w:rFonts w:ascii="Verdana" w:eastAsia="Calibri" w:hAnsi="Verdana" w:cs="Arial"/>
                <w:b/>
                <w:bCs/>
                <w:lang w:eastAsia="es-ES"/>
              </w:rPr>
            </w:pPr>
            <w:r w:rsidRPr="003248CC">
              <w:rPr>
                <w:rFonts w:ascii="Verdana" w:eastAsia="Calibri" w:hAnsi="Verdana" w:cs="Arial"/>
                <w:b/>
                <w:bCs/>
                <w:lang w:eastAsia="es-ES"/>
              </w:rPr>
              <w:t>Concepto C –</w:t>
            </w:r>
            <w:r>
              <w:rPr>
                <w:rFonts w:ascii="Verdana" w:eastAsia="Calibri" w:hAnsi="Verdana" w:cs="Arial"/>
                <w:b/>
                <w:bCs/>
                <w:lang w:eastAsia="es-ES"/>
              </w:rPr>
              <w:t xml:space="preserve">1231 </w:t>
            </w:r>
            <w:r w:rsidRPr="003248CC">
              <w:rPr>
                <w:rFonts w:ascii="Verdana" w:eastAsia="Calibri" w:hAnsi="Verdana" w:cs="Arial"/>
                <w:b/>
                <w:bCs/>
                <w:lang w:eastAsia="es-ES"/>
              </w:rPr>
              <w:t>de 2025</w:t>
            </w:r>
          </w:p>
          <w:p w14:paraId="557D850C" w14:textId="77777777" w:rsidR="00F45D9C" w:rsidRPr="003248CC" w:rsidRDefault="00F45D9C" w:rsidP="006C04F2">
            <w:pPr>
              <w:jc w:val="both"/>
              <w:rPr>
                <w:rFonts w:ascii="Verdana" w:eastAsia="Calibri" w:hAnsi="Verdana" w:cs="Arial"/>
                <w:b/>
                <w:bCs/>
                <w:lang w:eastAsia="es-ES"/>
              </w:rPr>
            </w:pPr>
          </w:p>
        </w:tc>
      </w:tr>
      <w:tr w:rsidR="00F45D9C" w:rsidRPr="003248CC" w14:paraId="47E1E962" w14:textId="77777777" w:rsidTr="006C04F2">
        <w:trPr>
          <w:trHeight w:val="1853"/>
        </w:trPr>
        <w:tc>
          <w:tcPr>
            <w:tcW w:w="2689" w:type="dxa"/>
          </w:tcPr>
          <w:p w14:paraId="21B2323C" w14:textId="77777777" w:rsidR="00F45D9C" w:rsidRPr="003248CC" w:rsidRDefault="00F45D9C" w:rsidP="006C04F2">
            <w:pPr>
              <w:jc w:val="both"/>
              <w:rPr>
                <w:rFonts w:ascii="Verdana" w:eastAsia="Calibri" w:hAnsi="Verdana" w:cs="Arial"/>
                <w:color w:val="000000"/>
                <w:lang w:eastAsia="es-ES_tradnl"/>
              </w:rPr>
            </w:pPr>
            <w:r w:rsidRPr="003248CC">
              <w:rPr>
                <w:rFonts w:ascii="Verdana" w:eastAsia="Calibri" w:hAnsi="Verdana" w:cs="Arial"/>
                <w:b/>
                <w:color w:val="000000"/>
                <w:lang w:eastAsia="es-ES_tradnl"/>
              </w:rPr>
              <w:t>Temas:</w:t>
            </w:r>
            <w:r w:rsidRPr="003248CC">
              <w:rPr>
                <w:rFonts w:ascii="Verdana" w:eastAsia="Calibri" w:hAnsi="Verdana" w:cs="Arial"/>
                <w:color w:val="000000"/>
                <w:lang w:eastAsia="es-ES_tradnl"/>
              </w:rPr>
              <w:t xml:space="preserve">                   </w:t>
            </w:r>
          </w:p>
        </w:tc>
        <w:tc>
          <w:tcPr>
            <w:tcW w:w="6242" w:type="dxa"/>
          </w:tcPr>
          <w:p w14:paraId="02C8F865" w14:textId="5084E159" w:rsidR="00F6601F" w:rsidRPr="00F6601F" w:rsidRDefault="00F45D9C" w:rsidP="00F6601F">
            <w:pPr>
              <w:jc w:val="both"/>
              <w:rPr>
                <w:rFonts w:ascii="Verdana" w:eastAsia="Calibri" w:hAnsi="Verdana" w:cs="Arial"/>
                <w:lang w:val="es-ES" w:eastAsia="es-ES"/>
              </w:rPr>
            </w:pPr>
            <w:r w:rsidRPr="005F3ADC">
              <w:rPr>
                <w:rFonts w:ascii="Verdana" w:eastAsia="Calibri" w:hAnsi="Verdana" w:cs="Arial"/>
                <w:lang w:val="es-ES" w:eastAsia="es-ES"/>
              </w:rPr>
              <w:t>ACTIVIDADES DE CIENCIA, TECNOLOGÍA E INNOVACIÓN ― Regulación / ACTIVIDADES DE CIENCIA, TECNOLOGÍA E INNOVACIÓN ― Decreto 393 de 1991 ― Formas de asociación / CONVENIO ESPECIAL DE COOPERACIÓN ― Reglas ― Régimen jurídico</w:t>
            </w:r>
            <w:r w:rsidR="00F6601F">
              <w:rPr>
                <w:rFonts w:ascii="Verdana" w:eastAsia="Calibri" w:hAnsi="Verdana" w:cs="Arial"/>
                <w:lang w:val="es-ES" w:eastAsia="es-ES"/>
              </w:rPr>
              <w:t xml:space="preserve"> / </w:t>
            </w:r>
            <w:r w:rsidR="00F6601F" w:rsidRPr="00F6601F">
              <w:rPr>
                <w:rFonts w:ascii="Verdana" w:eastAsia="Calibri" w:hAnsi="Verdana" w:cs="Arial"/>
                <w:lang w:val="es-ES" w:eastAsia="es-ES"/>
              </w:rPr>
              <w:t xml:space="preserve">CONTRATO ESTATAL – Régimen jurídico </w:t>
            </w:r>
            <w:r w:rsidR="00F6601F">
              <w:rPr>
                <w:rFonts w:ascii="Verdana" w:eastAsia="Calibri" w:hAnsi="Verdana" w:cs="Arial"/>
                <w:lang w:val="es-ES" w:eastAsia="es-ES"/>
              </w:rPr>
              <w:t>/</w:t>
            </w:r>
            <w:r w:rsidR="00F6601F">
              <w:t xml:space="preserve"> </w:t>
            </w:r>
            <w:r w:rsidR="00F6601F" w:rsidRPr="00F6601F">
              <w:rPr>
                <w:rFonts w:ascii="Verdana" w:eastAsia="Calibri" w:hAnsi="Verdana" w:cs="Arial"/>
                <w:lang w:val="es-ES" w:eastAsia="es-ES"/>
              </w:rPr>
              <w:t xml:space="preserve">CONTRATO DE COMODATO – Reglas vigentes  </w:t>
            </w:r>
          </w:p>
          <w:p w14:paraId="4C3DFBCB" w14:textId="72EDEACB" w:rsidR="00F45D9C" w:rsidRPr="00F6601F" w:rsidRDefault="00F45D9C" w:rsidP="00F6601F">
            <w:pPr>
              <w:jc w:val="both"/>
              <w:rPr>
                <w:rFonts w:ascii="Verdana" w:eastAsia="Calibri" w:hAnsi="Verdana" w:cs="Arial"/>
                <w:lang w:val="es-ES" w:eastAsia="es-ES_tradnl"/>
              </w:rPr>
            </w:pPr>
          </w:p>
          <w:p w14:paraId="00F165FA" w14:textId="77777777" w:rsidR="00F45D9C" w:rsidRPr="00CE5CA7" w:rsidRDefault="00F45D9C" w:rsidP="00F6601F">
            <w:pPr>
              <w:jc w:val="both"/>
              <w:rPr>
                <w:rFonts w:ascii="Verdana" w:eastAsia="Calibri" w:hAnsi="Verdana" w:cs="Arial"/>
                <w:lang w:val="es-ES_tradnl" w:eastAsia="es-ES"/>
              </w:rPr>
            </w:pPr>
          </w:p>
        </w:tc>
      </w:tr>
      <w:tr w:rsidR="00F45D9C" w:rsidRPr="003248CC" w14:paraId="6E50966A" w14:textId="77777777" w:rsidTr="006C04F2">
        <w:tc>
          <w:tcPr>
            <w:tcW w:w="2689" w:type="dxa"/>
          </w:tcPr>
          <w:p w14:paraId="40C32BF8" w14:textId="77777777" w:rsidR="00F45D9C" w:rsidRPr="003248CC" w:rsidRDefault="00F45D9C" w:rsidP="006C04F2">
            <w:pPr>
              <w:jc w:val="both"/>
              <w:rPr>
                <w:rFonts w:ascii="Verdana" w:eastAsia="Calibri" w:hAnsi="Verdana" w:cs="Arial"/>
                <w:b/>
                <w:lang w:eastAsia="es-ES_tradnl"/>
              </w:rPr>
            </w:pPr>
            <w:r w:rsidRPr="003248CC">
              <w:rPr>
                <w:rFonts w:ascii="Verdana" w:eastAsia="Calibri" w:hAnsi="Verdana" w:cs="Arial"/>
                <w:b/>
                <w:lang w:eastAsia="es-ES_tradnl"/>
              </w:rPr>
              <w:t>Radicación:</w:t>
            </w:r>
            <w:r w:rsidRPr="003248CC">
              <w:rPr>
                <w:rFonts w:ascii="Verdana" w:eastAsia="Calibri" w:hAnsi="Verdana" w:cs="Arial"/>
                <w:lang w:eastAsia="es-ES_tradnl"/>
              </w:rPr>
              <w:t xml:space="preserve">               </w:t>
            </w:r>
          </w:p>
        </w:tc>
        <w:tc>
          <w:tcPr>
            <w:tcW w:w="6242" w:type="dxa"/>
          </w:tcPr>
          <w:p w14:paraId="1A7AA675" w14:textId="62AE36BA" w:rsidR="00F45D9C" w:rsidRPr="003248CC" w:rsidRDefault="00F45D9C" w:rsidP="006C04F2">
            <w:pPr>
              <w:jc w:val="both"/>
              <w:rPr>
                <w:rFonts w:ascii="Verdana" w:eastAsia="Calibri" w:hAnsi="Verdana" w:cs="Arial"/>
                <w:lang w:eastAsia="es-ES_tradnl"/>
              </w:rPr>
            </w:pPr>
            <w:r w:rsidRPr="003248CC">
              <w:rPr>
                <w:rFonts w:ascii="Verdana" w:eastAsia="Calibri" w:hAnsi="Verdana" w:cs="Arial"/>
                <w:lang w:eastAsia="es-ES_tradnl"/>
              </w:rPr>
              <w:t xml:space="preserve">Respuesta a la consulta con radicado No. </w:t>
            </w:r>
            <w:r w:rsidRPr="008076FF">
              <w:rPr>
                <w:rFonts w:ascii="Verdana" w:eastAsia="Calibri" w:hAnsi="Verdana" w:cs="Arial"/>
                <w:lang w:eastAsia="es-ES_tradnl"/>
              </w:rPr>
              <w:t>1_2025_08_29_009308</w:t>
            </w:r>
          </w:p>
        </w:tc>
      </w:tr>
    </w:tbl>
    <w:p w14:paraId="24A75E64" w14:textId="77777777" w:rsidR="00F45D9C" w:rsidRPr="003248CC" w:rsidRDefault="00F45D9C" w:rsidP="00F45D9C">
      <w:pPr>
        <w:spacing w:after="0" w:line="240" w:lineRule="auto"/>
        <w:jc w:val="both"/>
        <w:rPr>
          <w:rFonts w:ascii="Verdana" w:eastAsia="Calibri" w:hAnsi="Verdana" w:cs="Arial"/>
          <w:color w:val="000000"/>
          <w:lang w:eastAsia="es-ES_tradnl"/>
        </w:rPr>
      </w:pPr>
    </w:p>
    <w:p w14:paraId="43DCDBCC" w14:textId="77777777" w:rsidR="00F45D9C" w:rsidRPr="003248CC" w:rsidRDefault="00F45D9C" w:rsidP="00F45D9C">
      <w:pPr>
        <w:spacing w:after="0" w:line="240" w:lineRule="auto"/>
        <w:jc w:val="both"/>
        <w:rPr>
          <w:rFonts w:ascii="Verdana" w:eastAsia="Calibri" w:hAnsi="Verdana" w:cs="Arial"/>
          <w:color w:val="000000"/>
          <w:lang w:eastAsia="es-ES_tradnl"/>
        </w:rPr>
      </w:pPr>
    </w:p>
    <w:p w14:paraId="0AE9072A" w14:textId="77777777" w:rsidR="00F45D9C" w:rsidRPr="003248CC" w:rsidRDefault="00F45D9C" w:rsidP="00010209">
      <w:pPr>
        <w:spacing w:after="0" w:line="276" w:lineRule="auto"/>
        <w:jc w:val="both"/>
        <w:rPr>
          <w:rFonts w:ascii="Verdana" w:eastAsia="Calibri" w:hAnsi="Verdana" w:cs="Arial"/>
          <w:lang w:eastAsia="es-ES"/>
        </w:rPr>
      </w:pPr>
      <w:r w:rsidRPr="003248CC">
        <w:rPr>
          <w:rFonts w:ascii="Verdana" w:eastAsia="Calibri" w:hAnsi="Verdana" w:cs="Arial"/>
          <w:lang w:eastAsia="es-ES"/>
        </w:rPr>
        <w:t>Estimad</w:t>
      </w:r>
      <w:r>
        <w:rPr>
          <w:rFonts w:ascii="Verdana" w:eastAsia="Calibri" w:hAnsi="Verdana" w:cs="Arial"/>
          <w:lang w:eastAsia="es-ES"/>
        </w:rPr>
        <w:t>o</w:t>
      </w:r>
      <w:r w:rsidRPr="003248CC">
        <w:rPr>
          <w:rFonts w:ascii="Verdana" w:eastAsia="Calibri" w:hAnsi="Verdana" w:cs="Arial"/>
          <w:lang w:eastAsia="es-ES"/>
        </w:rPr>
        <w:t xml:space="preserve"> señor </w:t>
      </w:r>
      <w:r>
        <w:rPr>
          <w:rFonts w:ascii="Verdana" w:eastAsia="Calibri" w:hAnsi="Verdana" w:cs="Arial"/>
          <w:lang w:eastAsia="es-ES"/>
        </w:rPr>
        <w:t>Gutiérrez</w:t>
      </w:r>
      <w:r w:rsidRPr="003248CC">
        <w:rPr>
          <w:rFonts w:ascii="Verdana" w:eastAsia="Calibri" w:hAnsi="Verdana" w:cs="Arial"/>
          <w:lang w:eastAsia="es-ES"/>
        </w:rPr>
        <w:t xml:space="preserve">: </w:t>
      </w:r>
    </w:p>
    <w:p w14:paraId="28C498DF" w14:textId="77777777" w:rsidR="00F45D9C" w:rsidRPr="003248CC" w:rsidRDefault="00F45D9C" w:rsidP="00010209">
      <w:pPr>
        <w:tabs>
          <w:tab w:val="left" w:pos="3768"/>
        </w:tabs>
        <w:spacing w:after="0" w:line="276" w:lineRule="auto"/>
        <w:jc w:val="both"/>
        <w:rPr>
          <w:rFonts w:ascii="Verdana" w:eastAsia="Calibri" w:hAnsi="Verdana" w:cs="Arial"/>
          <w:color w:val="000000" w:themeColor="text1"/>
          <w:lang w:eastAsia="es-ES"/>
        </w:rPr>
      </w:pPr>
      <w:r w:rsidRPr="003248CC">
        <w:rPr>
          <w:rFonts w:ascii="Verdana" w:eastAsia="Calibri" w:hAnsi="Verdana" w:cs="Arial"/>
          <w:color w:val="000000" w:themeColor="text1"/>
          <w:lang w:eastAsia="es-ES"/>
        </w:rPr>
        <w:tab/>
      </w:r>
    </w:p>
    <w:p w14:paraId="68D395F6" w14:textId="77777777" w:rsidR="00010209" w:rsidRDefault="00F45D9C" w:rsidP="00010209">
      <w:pPr>
        <w:spacing w:after="0" w:line="276" w:lineRule="auto"/>
        <w:jc w:val="both"/>
        <w:rPr>
          <w:rFonts w:ascii="Verdana" w:eastAsia="Calibri" w:hAnsi="Verdana" w:cs="Arial"/>
          <w:lang w:eastAsia="es-ES"/>
        </w:rPr>
      </w:pPr>
      <w:r w:rsidRPr="003248CC">
        <w:rPr>
          <w:rFonts w:ascii="Verdana" w:eastAsia="Calibri" w:hAnsi="Verdana" w:cs="Arial"/>
          <w:color w:val="000000" w:themeColor="text1"/>
          <w:lang w:eastAsia="es-ES"/>
        </w:rPr>
        <w:t>En ejercicio de la competencia otorgada por los artículos 3, numeral 5º, y 11, numeral 8º, del Decreto Ley 4170 de 2011,</w:t>
      </w:r>
      <w:r w:rsidRPr="003248CC">
        <w:rPr>
          <w:rFonts w:ascii="Verdana" w:eastAsia="Arial MT" w:hAnsi="Verdana" w:cs="Arial MT"/>
          <w:lang w:eastAsia="es-ES"/>
        </w:rPr>
        <w:t xml:space="preserve"> </w:t>
      </w:r>
      <w:r w:rsidRPr="003248CC">
        <w:rPr>
          <w:rFonts w:ascii="Verdana" w:hAnsi="Verdana" w:cs="Arial"/>
        </w:rPr>
        <w:t xml:space="preserve">así como lo establecido en el artículo 4 de la Resolución 1707 de 2018 expedida por esta Entidad, </w:t>
      </w:r>
      <w:r w:rsidRPr="003248CC">
        <w:rPr>
          <w:rFonts w:ascii="Verdana" w:eastAsia="Calibri" w:hAnsi="Verdana" w:cs="Arial"/>
          <w:color w:val="000000" w:themeColor="text1"/>
          <w:lang w:eastAsia="es-ES"/>
        </w:rPr>
        <w:t xml:space="preserve">la Agencia Nacional de Contratación Pública – Colombia Compra Eficiente responde su solicitud del </w:t>
      </w:r>
      <w:r>
        <w:rPr>
          <w:rFonts w:ascii="Verdana" w:eastAsia="Calibri" w:hAnsi="Verdana" w:cs="Arial"/>
          <w:color w:val="000000" w:themeColor="text1"/>
          <w:lang w:eastAsia="es-ES"/>
        </w:rPr>
        <w:t>29 de agosto</w:t>
      </w:r>
      <w:r w:rsidRPr="003248CC">
        <w:rPr>
          <w:rFonts w:ascii="Verdana" w:eastAsia="Calibri" w:hAnsi="Verdana" w:cs="Arial"/>
          <w:lang w:eastAsia="es-ES"/>
        </w:rPr>
        <w:t xml:space="preserve"> de 2025, en la cual consulta sobre lo siguiente:</w:t>
      </w:r>
    </w:p>
    <w:p w14:paraId="192968D9" w14:textId="3C10BA9B" w:rsidR="00F45D9C" w:rsidRDefault="00F45D9C" w:rsidP="00A772A0">
      <w:pPr>
        <w:spacing w:after="0" w:line="276" w:lineRule="auto"/>
        <w:jc w:val="both"/>
        <w:rPr>
          <w:rFonts w:ascii="Verdana" w:eastAsia="Calibri" w:hAnsi="Verdana" w:cs="Arial"/>
          <w:i/>
          <w:iCs/>
          <w:lang w:eastAsia="es-ES"/>
        </w:rPr>
      </w:pPr>
      <w:r w:rsidRPr="003248CC">
        <w:rPr>
          <w:rFonts w:ascii="Verdana" w:eastAsia="Calibri" w:hAnsi="Verdana" w:cs="Arial"/>
          <w:i/>
          <w:iCs/>
          <w:lang w:eastAsia="es-ES"/>
        </w:rPr>
        <w:t xml:space="preserve"> </w:t>
      </w:r>
      <w:bookmarkStart w:id="2" w:name="_Hlk95313578"/>
    </w:p>
    <w:bookmarkEnd w:id="2"/>
    <w:p w14:paraId="64A80B65" w14:textId="77777777" w:rsidR="00F45D9C" w:rsidRDefault="00F45D9C" w:rsidP="00F45D9C">
      <w:pPr>
        <w:spacing w:after="0" w:line="240" w:lineRule="auto"/>
        <w:ind w:left="709" w:right="618"/>
        <w:jc w:val="both"/>
        <w:rPr>
          <w:rFonts w:ascii="Verdana" w:hAnsi="Verdana"/>
          <w:sz w:val="20"/>
          <w:szCs w:val="20"/>
        </w:rPr>
      </w:pPr>
      <w:r>
        <w:rPr>
          <w:rFonts w:ascii="Verdana" w:eastAsia="Arial" w:hAnsi="Verdana" w:cs="Arial"/>
          <w:i/>
          <w:iCs/>
          <w:color w:val="000000"/>
          <w:sz w:val="20"/>
          <w:szCs w:val="20"/>
        </w:rPr>
        <w:t>“</w:t>
      </w:r>
      <w:r w:rsidRPr="0068644F">
        <w:rPr>
          <w:rFonts w:ascii="Verdana" w:eastAsia="Arial" w:hAnsi="Verdana" w:cs="Arial"/>
          <w:i/>
          <w:iCs/>
          <w:color w:val="000000"/>
          <w:sz w:val="20"/>
          <w:szCs w:val="20"/>
        </w:rPr>
        <w:t xml:space="preserve">los convenios especiales de </w:t>
      </w:r>
      <w:proofErr w:type="spellStart"/>
      <w:r w:rsidRPr="0068644F">
        <w:rPr>
          <w:rFonts w:ascii="Verdana" w:eastAsia="Arial" w:hAnsi="Verdana" w:cs="Arial"/>
          <w:i/>
          <w:iCs/>
          <w:color w:val="000000"/>
          <w:sz w:val="20"/>
          <w:szCs w:val="20"/>
        </w:rPr>
        <w:t>cooperacion</w:t>
      </w:r>
      <w:proofErr w:type="spellEnd"/>
      <w:r w:rsidRPr="0068644F">
        <w:rPr>
          <w:rFonts w:ascii="Verdana" w:eastAsia="Arial" w:hAnsi="Verdana" w:cs="Arial"/>
          <w:i/>
          <w:iCs/>
          <w:color w:val="000000"/>
          <w:sz w:val="20"/>
          <w:szCs w:val="20"/>
        </w:rPr>
        <w:t xml:space="preserve">, en el marco de ciencia y </w:t>
      </w:r>
      <w:proofErr w:type="spellStart"/>
      <w:r w:rsidRPr="0068644F">
        <w:rPr>
          <w:rFonts w:ascii="Verdana" w:eastAsia="Arial" w:hAnsi="Verdana" w:cs="Arial"/>
          <w:i/>
          <w:iCs/>
          <w:color w:val="000000"/>
          <w:sz w:val="20"/>
          <w:szCs w:val="20"/>
        </w:rPr>
        <w:t>tecnologia</w:t>
      </w:r>
      <w:proofErr w:type="spellEnd"/>
      <w:r w:rsidRPr="0068644F">
        <w:rPr>
          <w:rFonts w:ascii="Verdana" w:eastAsia="Arial" w:hAnsi="Verdana" w:cs="Arial"/>
          <w:i/>
          <w:iCs/>
          <w:color w:val="000000"/>
          <w:sz w:val="20"/>
          <w:szCs w:val="20"/>
        </w:rPr>
        <w:t xml:space="preserve"> que</w:t>
      </w:r>
      <w:r>
        <w:rPr>
          <w:rFonts w:ascii="Verdana" w:eastAsia="Arial" w:hAnsi="Verdana" w:cs="Arial"/>
          <w:i/>
          <w:iCs/>
          <w:color w:val="000000"/>
          <w:sz w:val="20"/>
          <w:szCs w:val="20"/>
        </w:rPr>
        <w:t xml:space="preserve"> </w:t>
      </w:r>
      <w:proofErr w:type="spellStart"/>
      <w:r w:rsidRPr="0068644F">
        <w:rPr>
          <w:rFonts w:ascii="Verdana" w:eastAsia="Arial" w:hAnsi="Verdana" w:cs="Arial"/>
          <w:i/>
          <w:iCs/>
          <w:color w:val="000000"/>
          <w:sz w:val="20"/>
          <w:szCs w:val="20"/>
        </w:rPr>
        <w:t>regimen</w:t>
      </w:r>
      <w:proofErr w:type="spellEnd"/>
      <w:r w:rsidRPr="0068644F">
        <w:rPr>
          <w:rFonts w:ascii="Verdana" w:eastAsia="Arial" w:hAnsi="Verdana" w:cs="Arial"/>
          <w:i/>
          <w:iCs/>
          <w:color w:val="000000"/>
          <w:sz w:val="20"/>
          <w:szCs w:val="20"/>
        </w:rPr>
        <w:t xml:space="preserve"> contractual tienen? </w:t>
      </w:r>
      <w:proofErr w:type="spellStart"/>
      <w:r w:rsidRPr="0068644F">
        <w:rPr>
          <w:rFonts w:ascii="Verdana" w:eastAsia="Arial" w:hAnsi="Verdana" w:cs="Arial"/>
          <w:i/>
          <w:iCs/>
          <w:color w:val="000000"/>
          <w:sz w:val="20"/>
          <w:szCs w:val="20"/>
        </w:rPr>
        <w:t>teniendose</w:t>
      </w:r>
      <w:proofErr w:type="spellEnd"/>
      <w:r w:rsidRPr="0068644F">
        <w:rPr>
          <w:rFonts w:ascii="Verdana" w:eastAsia="Arial" w:hAnsi="Verdana" w:cs="Arial"/>
          <w:i/>
          <w:iCs/>
          <w:color w:val="000000"/>
          <w:sz w:val="20"/>
          <w:szCs w:val="20"/>
        </w:rPr>
        <w:t xml:space="preserve"> que la </w:t>
      </w:r>
      <w:proofErr w:type="spellStart"/>
      <w:r w:rsidRPr="0068644F">
        <w:rPr>
          <w:rFonts w:ascii="Verdana" w:eastAsia="Arial" w:hAnsi="Verdana" w:cs="Arial"/>
          <w:i/>
          <w:iCs/>
          <w:color w:val="000000"/>
          <w:sz w:val="20"/>
          <w:szCs w:val="20"/>
        </w:rPr>
        <w:t>mayoria</w:t>
      </w:r>
      <w:proofErr w:type="spellEnd"/>
      <w:r w:rsidRPr="0068644F">
        <w:rPr>
          <w:rFonts w:ascii="Verdana" w:eastAsia="Arial" w:hAnsi="Verdana" w:cs="Arial"/>
          <w:i/>
          <w:iCs/>
          <w:color w:val="000000"/>
          <w:sz w:val="20"/>
          <w:szCs w:val="20"/>
        </w:rPr>
        <w:t xml:space="preserve"> de persona </w:t>
      </w:r>
      <w:proofErr w:type="spellStart"/>
      <w:r w:rsidRPr="0068644F">
        <w:rPr>
          <w:rFonts w:ascii="Verdana" w:eastAsia="Arial" w:hAnsi="Verdana" w:cs="Arial"/>
          <w:i/>
          <w:iCs/>
          <w:color w:val="000000"/>
          <w:sz w:val="20"/>
          <w:szCs w:val="20"/>
        </w:rPr>
        <w:t>juridicas</w:t>
      </w:r>
      <w:proofErr w:type="spellEnd"/>
      <w:r w:rsidRPr="0068644F">
        <w:rPr>
          <w:rFonts w:ascii="Verdana" w:eastAsia="Arial" w:hAnsi="Verdana" w:cs="Arial"/>
          <w:i/>
          <w:iCs/>
          <w:color w:val="000000"/>
          <w:sz w:val="20"/>
          <w:szCs w:val="20"/>
        </w:rPr>
        <w:t xml:space="preserve"> de ese</w:t>
      </w:r>
      <w:r>
        <w:rPr>
          <w:rFonts w:ascii="Verdana" w:eastAsia="Arial" w:hAnsi="Verdana" w:cs="Arial"/>
          <w:i/>
          <w:iCs/>
          <w:color w:val="000000"/>
          <w:sz w:val="20"/>
          <w:szCs w:val="20"/>
        </w:rPr>
        <w:t xml:space="preserve"> </w:t>
      </w:r>
      <w:r w:rsidRPr="0068644F">
        <w:rPr>
          <w:rFonts w:ascii="Verdana" w:eastAsia="Arial" w:hAnsi="Verdana" w:cs="Arial"/>
          <w:i/>
          <w:iCs/>
          <w:color w:val="000000"/>
          <w:sz w:val="20"/>
          <w:szCs w:val="20"/>
        </w:rPr>
        <w:t xml:space="preserve">sector son ESALES, que </w:t>
      </w:r>
      <w:proofErr w:type="spellStart"/>
      <w:r w:rsidRPr="0068644F">
        <w:rPr>
          <w:rFonts w:ascii="Verdana" w:eastAsia="Arial" w:hAnsi="Verdana" w:cs="Arial"/>
          <w:i/>
          <w:iCs/>
          <w:color w:val="000000"/>
          <w:sz w:val="20"/>
          <w:szCs w:val="20"/>
        </w:rPr>
        <w:t>deberia</w:t>
      </w:r>
      <w:proofErr w:type="spellEnd"/>
      <w:r w:rsidRPr="0068644F">
        <w:rPr>
          <w:rFonts w:ascii="Verdana" w:eastAsia="Arial" w:hAnsi="Verdana" w:cs="Arial"/>
          <w:i/>
          <w:iCs/>
          <w:color w:val="000000"/>
          <w:sz w:val="20"/>
          <w:szCs w:val="20"/>
        </w:rPr>
        <w:t xml:space="preserve"> aplicarse el decreto 092 de 2017 o la ley de ciencia</w:t>
      </w:r>
      <w:r>
        <w:rPr>
          <w:rFonts w:ascii="Verdana" w:eastAsia="Arial" w:hAnsi="Verdana" w:cs="Arial"/>
          <w:i/>
          <w:iCs/>
          <w:color w:val="000000"/>
          <w:sz w:val="20"/>
          <w:szCs w:val="20"/>
        </w:rPr>
        <w:t xml:space="preserve"> </w:t>
      </w:r>
      <w:r w:rsidRPr="0068644F">
        <w:rPr>
          <w:rFonts w:ascii="Verdana" w:eastAsia="Arial" w:hAnsi="Verdana" w:cs="Arial"/>
          <w:i/>
          <w:iCs/>
          <w:color w:val="000000"/>
          <w:sz w:val="20"/>
          <w:szCs w:val="20"/>
        </w:rPr>
        <w:t xml:space="preserve">y </w:t>
      </w:r>
      <w:proofErr w:type="spellStart"/>
      <w:r w:rsidRPr="0068644F">
        <w:rPr>
          <w:rFonts w:ascii="Verdana" w:eastAsia="Arial" w:hAnsi="Verdana" w:cs="Arial"/>
          <w:i/>
          <w:iCs/>
          <w:color w:val="000000"/>
          <w:sz w:val="20"/>
          <w:szCs w:val="20"/>
        </w:rPr>
        <w:t>tecnologia</w:t>
      </w:r>
      <w:proofErr w:type="spellEnd"/>
      <w:r w:rsidRPr="0068644F">
        <w:rPr>
          <w:rFonts w:ascii="Verdana" w:eastAsia="Arial" w:hAnsi="Verdana" w:cs="Arial"/>
          <w:i/>
          <w:iCs/>
          <w:color w:val="000000"/>
          <w:sz w:val="20"/>
          <w:szCs w:val="20"/>
        </w:rPr>
        <w:t xml:space="preserve">, de igual modo en la </w:t>
      </w:r>
      <w:proofErr w:type="spellStart"/>
      <w:r w:rsidRPr="0068644F">
        <w:rPr>
          <w:rFonts w:ascii="Verdana" w:eastAsia="Arial" w:hAnsi="Verdana" w:cs="Arial"/>
          <w:i/>
          <w:iCs/>
          <w:color w:val="000000"/>
          <w:sz w:val="20"/>
          <w:szCs w:val="20"/>
        </w:rPr>
        <w:t>mayoria</w:t>
      </w:r>
      <w:proofErr w:type="spellEnd"/>
      <w:r w:rsidRPr="0068644F">
        <w:rPr>
          <w:rFonts w:ascii="Verdana" w:eastAsia="Arial" w:hAnsi="Verdana" w:cs="Arial"/>
          <w:i/>
          <w:iCs/>
          <w:color w:val="000000"/>
          <w:sz w:val="20"/>
          <w:szCs w:val="20"/>
        </w:rPr>
        <w:t xml:space="preserve"> de esos convenios de ciencia y </w:t>
      </w:r>
      <w:r>
        <w:rPr>
          <w:rFonts w:ascii="Verdana" w:eastAsia="Arial" w:hAnsi="Verdana" w:cs="Arial"/>
          <w:i/>
          <w:iCs/>
          <w:color w:val="000000"/>
          <w:sz w:val="20"/>
          <w:szCs w:val="20"/>
        </w:rPr>
        <w:t xml:space="preserve">tecnología </w:t>
      </w:r>
      <w:r w:rsidRPr="0068644F">
        <w:rPr>
          <w:rFonts w:ascii="Verdana" w:eastAsia="Arial" w:hAnsi="Verdana" w:cs="Arial"/>
          <w:i/>
          <w:iCs/>
          <w:color w:val="000000"/>
          <w:sz w:val="20"/>
          <w:szCs w:val="20"/>
        </w:rPr>
        <w:t xml:space="preserve">se disponen de bienes adquiridos </w:t>
      </w:r>
      <w:proofErr w:type="spellStart"/>
      <w:r w:rsidRPr="0068644F">
        <w:rPr>
          <w:rFonts w:ascii="Verdana" w:eastAsia="Arial" w:hAnsi="Verdana" w:cs="Arial"/>
          <w:i/>
          <w:iCs/>
          <w:color w:val="000000"/>
          <w:sz w:val="20"/>
          <w:szCs w:val="20"/>
        </w:rPr>
        <w:t>particularamente</w:t>
      </w:r>
      <w:proofErr w:type="spellEnd"/>
      <w:r w:rsidRPr="0068644F">
        <w:rPr>
          <w:rFonts w:ascii="Verdana" w:eastAsia="Arial" w:hAnsi="Verdana" w:cs="Arial"/>
          <w:i/>
          <w:iCs/>
          <w:color w:val="000000"/>
          <w:sz w:val="20"/>
          <w:szCs w:val="20"/>
        </w:rPr>
        <w:t xml:space="preserve"> </w:t>
      </w:r>
      <w:proofErr w:type="spellStart"/>
      <w:r w:rsidRPr="0068644F">
        <w:rPr>
          <w:rFonts w:ascii="Verdana" w:eastAsia="Arial" w:hAnsi="Verdana" w:cs="Arial"/>
          <w:i/>
          <w:iCs/>
          <w:color w:val="000000"/>
          <w:sz w:val="20"/>
          <w:szCs w:val="20"/>
        </w:rPr>
        <w:t>entregandolos</w:t>
      </w:r>
      <w:proofErr w:type="spellEnd"/>
      <w:r w:rsidRPr="0068644F">
        <w:rPr>
          <w:rFonts w:ascii="Verdana" w:eastAsia="Arial" w:hAnsi="Verdana" w:cs="Arial"/>
          <w:i/>
          <w:iCs/>
          <w:color w:val="000000"/>
          <w:sz w:val="20"/>
          <w:szCs w:val="20"/>
        </w:rPr>
        <w:t xml:space="preserve"> en comodatos,</w:t>
      </w:r>
      <w:r>
        <w:rPr>
          <w:rFonts w:ascii="Verdana" w:eastAsia="Arial" w:hAnsi="Verdana" w:cs="Arial"/>
          <w:i/>
          <w:iCs/>
          <w:color w:val="000000"/>
          <w:sz w:val="20"/>
          <w:szCs w:val="20"/>
        </w:rPr>
        <w:t xml:space="preserve"> </w:t>
      </w:r>
      <w:r w:rsidRPr="0068644F">
        <w:rPr>
          <w:rFonts w:ascii="Verdana" w:eastAsia="Arial" w:hAnsi="Verdana" w:cs="Arial"/>
          <w:i/>
          <w:iCs/>
          <w:color w:val="000000"/>
          <w:sz w:val="20"/>
          <w:szCs w:val="20"/>
        </w:rPr>
        <w:t xml:space="preserve">entendiendo que son ESALES </w:t>
      </w:r>
      <w:proofErr w:type="spellStart"/>
      <w:r w:rsidRPr="0068644F">
        <w:rPr>
          <w:rFonts w:ascii="Verdana" w:eastAsia="Arial" w:hAnsi="Verdana" w:cs="Arial"/>
          <w:i/>
          <w:iCs/>
          <w:color w:val="000000"/>
          <w:sz w:val="20"/>
          <w:szCs w:val="20"/>
        </w:rPr>
        <w:t>respestuosmanete</w:t>
      </w:r>
      <w:proofErr w:type="spellEnd"/>
      <w:r w:rsidRPr="0068644F">
        <w:rPr>
          <w:rFonts w:ascii="Verdana" w:eastAsia="Arial" w:hAnsi="Verdana" w:cs="Arial"/>
          <w:i/>
          <w:iCs/>
          <w:color w:val="000000"/>
          <w:sz w:val="20"/>
          <w:szCs w:val="20"/>
        </w:rPr>
        <w:t xml:space="preserve"> indago cual </w:t>
      </w:r>
      <w:proofErr w:type="spellStart"/>
      <w:r w:rsidRPr="0068644F">
        <w:rPr>
          <w:rFonts w:ascii="Verdana" w:eastAsia="Arial" w:hAnsi="Verdana" w:cs="Arial"/>
          <w:i/>
          <w:iCs/>
          <w:color w:val="000000"/>
          <w:sz w:val="20"/>
          <w:szCs w:val="20"/>
        </w:rPr>
        <w:t>seria</w:t>
      </w:r>
      <w:proofErr w:type="spellEnd"/>
      <w:r w:rsidRPr="0068644F">
        <w:rPr>
          <w:rFonts w:ascii="Verdana" w:eastAsia="Arial" w:hAnsi="Verdana" w:cs="Arial"/>
          <w:i/>
          <w:iCs/>
          <w:color w:val="000000"/>
          <w:sz w:val="20"/>
          <w:szCs w:val="20"/>
        </w:rPr>
        <w:t xml:space="preserve"> el </w:t>
      </w:r>
      <w:proofErr w:type="spellStart"/>
      <w:r w:rsidRPr="0068644F">
        <w:rPr>
          <w:rFonts w:ascii="Verdana" w:eastAsia="Arial" w:hAnsi="Verdana" w:cs="Arial"/>
          <w:i/>
          <w:iCs/>
          <w:color w:val="000000"/>
          <w:sz w:val="20"/>
          <w:szCs w:val="20"/>
        </w:rPr>
        <w:t>regimen</w:t>
      </w:r>
      <w:proofErr w:type="spellEnd"/>
      <w:r w:rsidRPr="0068644F">
        <w:rPr>
          <w:rFonts w:ascii="Verdana" w:eastAsia="Arial" w:hAnsi="Verdana" w:cs="Arial"/>
          <w:i/>
          <w:iCs/>
          <w:color w:val="000000"/>
          <w:sz w:val="20"/>
          <w:szCs w:val="20"/>
        </w:rPr>
        <w:t xml:space="preserve"> de</w:t>
      </w:r>
      <w:r>
        <w:rPr>
          <w:rFonts w:ascii="Verdana" w:eastAsia="Arial" w:hAnsi="Verdana" w:cs="Arial"/>
          <w:i/>
          <w:iCs/>
          <w:color w:val="000000"/>
          <w:sz w:val="20"/>
          <w:szCs w:val="20"/>
        </w:rPr>
        <w:t xml:space="preserve"> </w:t>
      </w:r>
      <w:r w:rsidRPr="0068644F">
        <w:rPr>
          <w:rFonts w:ascii="Verdana" w:eastAsia="Arial" w:hAnsi="Verdana" w:cs="Arial"/>
          <w:i/>
          <w:iCs/>
          <w:color w:val="000000"/>
          <w:sz w:val="20"/>
          <w:szCs w:val="20"/>
        </w:rPr>
        <w:t xml:space="preserve">ese comodato si </w:t>
      </w:r>
      <w:proofErr w:type="spellStart"/>
      <w:r w:rsidRPr="0068644F">
        <w:rPr>
          <w:rFonts w:ascii="Verdana" w:eastAsia="Arial" w:hAnsi="Verdana" w:cs="Arial"/>
          <w:i/>
          <w:iCs/>
          <w:color w:val="000000"/>
          <w:sz w:val="20"/>
          <w:szCs w:val="20"/>
        </w:rPr>
        <w:t>seria</w:t>
      </w:r>
      <w:proofErr w:type="spellEnd"/>
      <w:r w:rsidRPr="0068644F">
        <w:rPr>
          <w:rFonts w:ascii="Verdana" w:eastAsia="Arial" w:hAnsi="Verdana" w:cs="Arial"/>
          <w:i/>
          <w:iCs/>
          <w:color w:val="000000"/>
          <w:sz w:val="20"/>
          <w:szCs w:val="20"/>
        </w:rPr>
        <w:t xml:space="preserve"> de derecho privado o se </w:t>
      </w:r>
      <w:proofErr w:type="spellStart"/>
      <w:r w:rsidRPr="0068644F">
        <w:rPr>
          <w:rFonts w:ascii="Verdana" w:eastAsia="Arial" w:hAnsi="Verdana" w:cs="Arial"/>
          <w:i/>
          <w:iCs/>
          <w:color w:val="000000"/>
          <w:sz w:val="20"/>
          <w:szCs w:val="20"/>
        </w:rPr>
        <w:t>regiria</w:t>
      </w:r>
      <w:proofErr w:type="spellEnd"/>
      <w:r w:rsidRPr="0068644F">
        <w:rPr>
          <w:rFonts w:ascii="Verdana" w:eastAsia="Arial" w:hAnsi="Verdana" w:cs="Arial"/>
          <w:i/>
          <w:iCs/>
          <w:color w:val="000000"/>
          <w:sz w:val="20"/>
          <w:szCs w:val="20"/>
        </w:rPr>
        <w:t xml:space="preserve"> por el decreto 092 de 2017</w:t>
      </w:r>
      <w:r w:rsidRPr="00A058CA">
        <w:rPr>
          <w:rFonts w:ascii="Verdana" w:hAnsi="Verdana"/>
          <w:sz w:val="20"/>
          <w:szCs w:val="20"/>
        </w:rPr>
        <w:t>”</w:t>
      </w:r>
    </w:p>
    <w:p w14:paraId="1DCA153C" w14:textId="77777777" w:rsidR="00F45D9C" w:rsidRPr="00A058CA" w:rsidRDefault="00F45D9C" w:rsidP="00F45D9C">
      <w:pPr>
        <w:spacing w:after="0" w:line="276" w:lineRule="auto"/>
        <w:ind w:left="709" w:right="618"/>
        <w:jc w:val="both"/>
        <w:rPr>
          <w:rFonts w:ascii="Verdana" w:hAnsi="Verdana"/>
          <w:sz w:val="20"/>
          <w:szCs w:val="20"/>
        </w:rPr>
      </w:pPr>
    </w:p>
    <w:p w14:paraId="6C9D55B8" w14:textId="77777777" w:rsidR="00F45D9C" w:rsidRDefault="00F45D9C" w:rsidP="00F45D9C">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AEE5326" w14:textId="77777777" w:rsidR="00F45D9C" w:rsidRDefault="00F45D9C" w:rsidP="00F45D9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sidRPr="00A76482">
        <w:rPr>
          <w:rFonts w:ascii="Verdana" w:eastAsia="Calibri" w:hAnsi="Verdana" w:cs="Arial"/>
          <w:lang w:val="es-ES" w:eastAsia="es-ES"/>
        </w:rPr>
        <w:t xml:space="preserve">el (los) problema(s) jurídico(s) de </w:t>
      </w:r>
      <w:r>
        <w:rPr>
          <w:rFonts w:ascii="Verdana" w:eastAsia="Calibri" w:hAnsi="Verdana" w:cs="Arial"/>
          <w:color w:val="000000"/>
          <w:lang w:val="es-ES" w:eastAsia="es-ES"/>
        </w:rPr>
        <w:t>su</w:t>
      </w:r>
      <w:r w:rsidRPr="00593A5F">
        <w:rPr>
          <w:rFonts w:ascii="Verdana" w:eastAsia="Calibri" w:hAnsi="Verdana" w:cs="Arial"/>
          <w:color w:val="000000"/>
          <w:lang w:val="es-ES" w:eastAsia="es-ES"/>
        </w:rPr>
        <w:t xml:space="preserve"> consulta. </w:t>
      </w:r>
    </w:p>
    <w:p w14:paraId="53F8DACE" w14:textId="77777777" w:rsidR="00F45D9C" w:rsidRPr="00593A5F" w:rsidRDefault="00F45D9C" w:rsidP="00F45D9C">
      <w:pPr>
        <w:spacing w:after="0" w:line="276" w:lineRule="auto"/>
        <w:ind w:firstLine="709"/>
        <w:jc w:val="both"/>
        <w:rPr>
          <w:rFonts w:ascii="Verdana" w:eastAsia="Calibri" w:hAnsi="Verdana" w:cs="Arial"/>
          <w:color w:val="000000"/>
          <w:lang w:val="es-ES" w:eastAsia="es-ES"/>
        </w:rPr>
      </w:pPr>
    </w:p>
    <w:p w14:paraId="0CEEF05F" w14:textId="49ED14A8" w:rsidR="00F45D9C" w:rsidRPr="00593A5F" w:rsidRDefault="0005343D" w:rsidP="00F45D9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00F45D9C" w:rsidRPr="00593A5F">
        <w:rPr>
          <w:rFonts w:ascii="Verdana" w:eastAsia="Century Gothic" w:hAnsi="Verdana" w:cs="Century Gothic"/>
          <w:b/>
          <w:bCs/>
        </w:rPr>
        <w:t>Problema planteado:</w:t>
      </w:r>
    </w:p>
    <w:p w14:paraId="458836B1" w14:textId="77777777" w:rsidR="00F45D9C" w:rsidRPr="00593A5F" w:rsidRDefault="00F45D9C" w:rsidP="00F45D9C">
      <w:pPr>
        <w:tabs>
          <w:tab w:val="left" w:pos="426"/>
        </w:tabs>
        <w:spacing w:after="0" w:line="276" w:lineRule="auto"/>
        <w:jc w:val="both"/>
        <w:rPr>
          <w:rFonts w:ascii="Verdana" w:eastAsia="Century Gothic" w:hAnsi="Verdana" w:cs="Century Gothic"/>
          <w:lang w:val="es-ES"/>
        </w:rPr>
      </w:pPr>
    </w:p>
    <w:p w14:paraId="15A6F766" w14:textId="77777777" w:rsidR="00F45D9C" w:rsidRDefault="00F45D9C" w:rsidP="00F45D9C">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(los) siguientes</w:t>
      </w:r>
      <w:r>
        <w:rPr>
          <w:rFonts w:ascii="Verdana" w:eastAsia="Century Gothic" w:hAnsi="Verdana" w:cs="Century Gothic"/>
        </w:rPr>
        <w:t xml:space="preserve"> </w:t>
      </w:r>
      <w:r w:rsidRPr="00593A5F">
        <w:rPr>
          <w:rFonts w:ascii="Verdana" w:eastAsia="Century Gothic" w:hAnsi="Verdana" w:cs="Century Gothic"/>
        </w:rPr>
        <w:t>problemas jurídico</w:t>
      </w:r>
      <w:r>
        <w:rPr>
          <w:rFonts w:ascii="Verdana" w:eastAsia="Century Gothic" w:hAnsi="Verdana" w:cs="Century Gothic"/>
        </w:rPr>
        <w:t>s:</w:t>
      </w:r>
      <w:r>
        <w:rPr>
          <w:rFonts w:ascii="Verdana" w:eastAsia="Calibri" w:hAnsi="Verdana" w:cs="Arial"/>
          <w:lang w:eastAsia="es-ES"/>
        </w:rPr>
        <w:t xml:space="preserve"> </w:t>
      </w:r>
      <w:r w:rsidRPr="00A967EB">
        <w:rPr>
          <w:rFonts w:ascii="Verdana" w:eastAsia="Century Gothic" w:hAnsi="Verdana" w:cs="Century Gothic"/>
        </w:rPr>
        <w:t>¿</w:t>
      </w:r>
      <w:r>
        <w:rPr>
          <w:rFonts w:ascii="Verdana" w:eastAsia="Century Gothic" w:hAnsi="Verdana" w:cs="Century Gothic"/>
        </w:rPr>
        <w:t>Cuál es el régimen contractual de los convenios</w:t>
      </w:r>
      <w:r w:rsidRPr="00D3139E">
        <w:t xml:space="preserve"> </w:t>
      </w:r>
      <w:r w:rsidRPr="00D3139E">
        <w:rPr>
          <w:rFonts w:ascii="Verdana" w:eastAsia="Century Gothic" w:hAnsi="Verdana" w:cs="Century Gothic"/>
        </w:rPr>
        <w:t>especiales de cooperación</w:t>
      </w:r>
      <w:r>
        <w:rPr>
          <w:rFonts w:ascii="Verdana" w:eastAsia="Century Gothic" w:hAnsi="Verdana" w:cs="Century Gothic"/>
        </w:rPr>
        <w:t xml:space="preserve"> </w:t>
      </w:r>
      <w:r w:rsidRPr="00D3139E">
        <w:rPr>
          <w:rFonts w:ascii="Verdana" w:eastAsia="Century Gothic" w:hAnsi="Verdana" w:cs="Century Gothic"/>
        </w:rPr>
        <w:t>en el marco de ciencia y tecnología?</w:t>
      </w:r>
      <w:r>
        <w:rPr>
          <w:rFonts w:ascii="Verdana" w:eastAsia="Century Gothic" w:hAnsi="Verdana" w:cs="Century Gothic"/>
        </w:rPr>
        <w:t xml:space="preserve"> y ¿cuál es el marco jurídico vigente del contrato de comodato en el sistema de compras públicas?</w:t>
      </w:r>
    </w:p>
    <w:p w14:paraId="416DC864" w14:textId="77777777" w:rsidR="00F45D9C" w:rsidRDefault="00F45D9C" w:rsidP="00F45D9C">
      <w:pPr>
        <w:spacing w:after="0" w:line="276" w:lineRule="auto"/>
        <w:jc w:val="both"/>
        <w:rPr>
          <w:rFonts w:ascii="Verdana" w:eastAsia="Century Gothic" w:hAnsi="Verdana" w:cs="Century Gothic"/>
        </w:rPr>
      </w:pPr>
    </w:p>
    <w:p w14:paraId="2BAD70FB" w14:textId="77777777" w:rsidR="00F45D9C" w:rsidRPr="003248CC" w:rsidRDefault="00F45D9C" w:rsidP="00F45D9C">
      <w:pPr>
        <w:numPr>
          <w:ilvl w:val="0"/>
          <w:numId w:val="16"/>
        </w:numPr>
        <w:tabs>
          <w:tab w:val="left" w:pos="142"/>
          <w:tab w:val="left" w:pos="284"/>
        </w:tabs>
        <w:spacing w:after="0" w:line="276" w:lineRule="auto"/>
        <w:jc w:val="both"/>
        <w:rPr>
          <w:rFonts w:ascii="Verdana" w:eastAsia="Century Gothic" w:hAnsi="Verdana" w:cs="Century Gothic"/>
          <w:b/>
          <w:bCs/>
        </w:rPr>
      </w:pPr>
      <w:r w:rsidRPr="003248CC">
        <w:rPr>
          <w:rFonts w:ascii="Verdana" w:eastAsia="Century Gothic" w:hAnsi="Verdana" w:cs="Century Gothic"/>
          <w:b/>
          <w:bCs/>
        </w:rPr>
        <w:t>Respuestas:</w:t>
      </w:r>
    </w:p>
    <w:p w14:paraId="37D4200E" w14:textId="77777777" w:rsidR="00F45D9C" w:rsidRPr="003248CC" w:rsidRDefault="00F45D9C" w:rsidP="00F45D9C">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45D9C" w:rsidRPr="003248CC" w14:paraId="1F15ABCA" w14:textId="77777777" w:rsidTr="006C04F2">
        <w:trPr>
          <w:jc w:val="center"/>
        </w:trPr>
        <w:tc>
          <w:tcPr>
            <w:tcW w:w="8828" w:type="dxa"/>
          </w:tcPr>
          <w:p w14:paraId="5FDE8EE1" w14:textId="77777777" w:rsidR="00F45D9C" w:rsidRDefault="00F45D9C" w:rsidP="006C04F2">
            <w:pPr>
              <w:spacing w:line="276" w:lineRule="auto"/>
              <w:ind w:firstLine="708"/>
              <w:jc w:val="both"/>
              <w:rPr>
                <w:rFonts w:ascii="Verdana" w:eastAsia="Calibri" w:hAnsi="Verdana" w:cs="Arial"/>
                <w:lang w:eastAsia="es-ES_tradnl"/>
              </w:rPr>
            </w:pPr>
            <w:bookmarkStart w:id="3" w:name="_Hlk188022505"/>
            <w:bookmarkStart w:id="4" w:name="_Hlk171694685"/>
            <w:r>
              <w:rPr>
                <w:rFonts w:ascii="Verdana" w:hAnsi="Verdana"/>
                <w:lang w:val="es-ES"/>
              </w:rPr>
              <w:t xml:space="preserve">i. </w:t>
            </w:r>
            <w:r w:rsidRPr="00C706E2">
              <w:rPr>
                <w:rFonts w:ascii="Verdana" w:eastAsia="Calibri" w:hAnsi="Verdana" w:cs="Times New Roman"/>
                <w:iCs/>
              </w:rPr>
              <w:t xml:space="preserve">Respecto al </w:t>
            </w:r>
            <w:r>
              <w:rPr>
                <w:rFonts w:ascii="Verdana" w:eastAsia="Calibri" w:hAnsi="Verdana" w:cs="Times New Roman"/>
                <w:iCs/>
              </w:rPr>
              <w:t>primer</w:t>
            </w:r>
            <w:r w:rsidRPr="00C706E2">
              <w:rPr>
                <w:rFonts w:ascii="Verdana" w:eastAsia="Calibri" w:hAnsi="Verdana" w:cs="Times New Roman"/>
                <w:iCs/>
              </w:rPr>
              <w:t xml:space="preserve"> interrogante</w:t>
            </w:r>
            <w:r>
              <w:rPr>
                <w:rFonts w:ascii="Verdana" w:eastAsia="Calibri" w:hAnsi="Verdana" w:cs="Times New Roman"/>
                <w:iCs/>
              </w:rPr>
              <w:t>,</w:t>
            </w:r>
            <w:r w:rsidRPr="00C706E2">
              <w:rPr>
                <w:rFonts w:ascii="Verdana" w:eastAsia="Calibri" w:hAnsi="Verdana" w:cs="Times New Roman"/>
                <w:iCs/>
              </w:rPr>
              <w:t xml:space="preserve"> </w:t>
            </w:r>
            <w:r w:rsidRPr="00D87550">
              <w:rPr>
                <w:rFonts w:ascii="Verdana" w:eastAsia="Calibri" w:hAnsi="Verdana" w:cs="Arial"/>
                <w:lang w:eastAsia="es-ES_tradnl"/>
              </w:rPr>
              <w:t xml:space="preserve">el Decreto Ley 393 de 1991 establece dos (2) formas de asociación para que las entidades ejecuten actividades científicas y tecnológicas, proyectos de investigación y creación de tecnologías: i) crear personas jurídicas civiles, comerciales y sin ánimo de lucro y </w:t>
            </w:r>
            <w:proofErr w:type="spellStart"/>
            <w:r w:rsidRPr="00D87550">
              <w:rPr>
                <w:rFonts w:ascii="Verdana" w:eastAsia="Calibri" w:hAnsi="Verdana" w:cs="Arial"/>
                <w:lang w:eastAsia="es-ES_tradnl"/>
              </w:rPr>
              <w:t>ii</w:t>
            </w:r>
            <w:proofErr w:type="spellEnd"/>
            <w:r w:rsidRPr="00D87550">
              <w:rPr>
                <w:rFonts w:ascii="Verdana" w:eastAsia="Calibri" w:hAnsi="Verdana" w:cs="Arial"/>
                <w:lang w:eastAsia="es-ES_tradnl"/>
              </w:rPr>
              <w:t>) celebrar convenios especiales de cooperación.</w:t>
            </w:r>
          </w:p>
          <w:p w14:paraId="781C26C0" w14:textId="77777777" w:rsidR="00F45D9C" w:rsidRDefault="00F45D9C" w:rsidP="006C04F2">
            <w:pPr>
              <w:spacing w:line="276" w:lineRule="auto"/>
              <w:ind w:firstLine="708"/>
              <w:jc w:val="both"/>
              <w:rPr>
                <w:rFonts w:ascii="Verdana" w:eastAsia="Calibri" w:hAnsi="Verdana" w:cs="Arial"/>
                <w:lang w:eastAsia="es-ES_tradnl"/>
              </w:rPr>
            </w:pPr>
            <w:r w:rsidRPr="00D87550">
              <w:rPr>
                <w:rFonts w:ascii="Verdana" w:eastAsia="Calibri" w:hAnsi="Verdana" w:cs="Arial"/>
                <w:lang w:eastAsia="es-ES_tradnl"/>
              </w:rPr>
              <w:t xml:space="preserve"> </w:t>
            </w:r>
          </w:p>
          <w:p w14:paraId="6B078BDC" w14:textId="77777777" w:rsidR="00F45D9C" w:rsidRPr="00D87550" w:rsidRDefault="00F45D9C" w:rsidP="006C04F2">
            <w:pPr>
              <w:spacing w:after="120" w:line="276" w:lineRule="auto"/>
              <w:ind w:firstLine="709"/>
              <w:jc w:val="both"/>
              <w:rPr>
                <w:rFonts w:ascii="Verdana" w:eastAsia="Calibri" w:hAnsi="Verdana" w:cs="Arial"/>
                <w:b/>
                <w:bCs/>
                <w:szCs w:val="24"/>
                <w:lang w:eastAsia="es-ES_tradnl"/>
              </w:rPr>
            </w:pPr>
            <w:r w:rsidRPr="00D87550">
              <w:rPr>
                <w:rFonts w:ascii="Verdana" w:eastAsia="Calibri" w:hAnsi="Verdana" w:cs="Arial"/>
                <w:szCs w:val="24"/>
                <w:lang w:eastAsia="es-ES_tradnl"/>
              </w:rPr>
              <w:t>De manera puntual y teniendo en cuenta el objeto de</w:t>
            </w:r>
            <w:r>
              <w:rPr>
                <w:rFonts w:ascii="Verdana" w:eastAsia="Calibri" w:hAnsi="Verdana" w:cs="Arial"/>
                <w:szCs w:val="24"/>
                <w:lang w:eastAsia="es-ES_tradnl"/>
              </w:rPr>
              <w:t xml:space="preserve"> su consulta es </w:t>
            </w:r>
            <w:r w:rsidRPr="00D87550">
              <w:rPr>
                <w:rFonts w:ascii="Verdana" w:eastAsia="Calibri" w:hAnsi="Verdana" w:cs="Arial"/>
                <w:szCs w:val="24"/>
                <w:lang w:eastAsia="es-ES_tradnl"/>
              </w:rPr>
              <w:t xml:space="preserve">referente al </w:t>
            </w:r>
            <w:r w:rsidRPr="00A772A0">
              <w:rPr>
                <w:rFonts w:ascii="Verdana" w:eastAsia="Calibri" w:hAnsi="Verdana" w:cs="Arial"/>
                <w:i/>
                <w:iCs/>
                <w:szCs w:val="24"/>
                <w:lang w:eastAsia="es-ES_tradnl"/>
              </w:rPr>
              <w:t>convenio especial de cooperación</w:t>
            </w:r>
            <w:r w:rsidRPr="00D87550">
              <w:rPr>
                <w:rFonts w:ascii="Verdana" w:eastAsia="Calibri" w:hAnsi="Verdana" w:cs="Arial"/>
                <w:szCs w:val="24"/>
                <w:lang w:eastAsia="es-ES_tradnl"/>
              </w:rPr>
              <w:t xml:space="preserve">, se indica que es un tipo de </w:t>
            </w:r>
            <w:r w:rsidRPr="00D87550">
              <w:rPr>
                <w:rFonts w:ascii="Verdana" w:eastAsia="Calibri" w:hAnsi="Verdana" w:cs="Arial"/>
                <w:szCs w:val="24"/>
                <w:lang w:eastAsia="es-ES_tradnl"/>
              </w:rPr>
              <w:lastRenderedPageBreak/>
              <w:t xml:space="preserve">contrato que </w:t>
            </w:r>
            <w:r w:rsidRPr="00352832">
              <w:rPr>
                <w:rFonts w:ascii="Verdana" w:eastAsia="Calibri" w:hAnsi="Verdana" w:cs="Arial"/>
                <w:szCs w:val="24"/>
                <w:lang w:eastAsia="es-ES_tradnl"/>
              </w:rPr>
              <w:t>puede celebrar la nación y sus entidades descentralizadas, con</w:t>
            </w:r>
            <w:r w:rsidRPr="00D87550">
              <w:rPr>
                <w:rFonts w:ascii="Verdana" w:eastAsia="Calibri" w:hAnsi="Verdana" w:cs="Arial"/>
                <w:szCs w:val="24"/>
                <w:lang w:eastAsia="es-ES_tradnl"/>
              </w:rPr>
              <w:t xml:space="preserve"> particulares y otras entidades estatales, cuyos aportes pueden ser </w:t>
            </w:r>
            <w:r w:rsidRPr="00C63988">
              <w:rPr>
                <w:rFonts w:ascii="Verdana" w:eastAsia="Calibri" w:hAnsi="Verdana" w:cs="Arial"/>
                <w:szCs w:val="24"/>
                <w:lang w:eastAsia="es-ES_tradnl"/>
              </w:rPr>
              <w:t>en dinero, en especie o de industria, entendiéndose por aportes en especie o de industria, entre otros, conocimiento, patentes, material bibliográfico, instalaciones, equipos, y trabajo de científicos, investigadores, técnicos y demás personas que el objeto requiera</w:t>
            </w:r>
            <w:r>
              <w:rPr>
                <w:rFonts w:ascii="Verdana" w:eastAsia="Calibri" w:hAnsi="Verdana" w:cs="Arial"/>
                <w:szCs w:val="24"/>
                <w:lang w:eastAsia="es-ES_tradnl"/>
              </w:rPr>
              <w:t xml:space="preserve"> </w:t>
            </w:r>
            <w:r w:rsidRPr="00D87550">
              <w:rPr>
                <w:rFonts w:ascii="Verdana" w:eastAsia="Calibri" w:hAnsi="Verdana" w:cs="Arial"/>
                <w:szCs w:val="24"/>
                <w:lang w:eastAsia="es-ES_tradnl"/>
              </w:rPr>
              <w:t xml:space="preserve">para cumplir los propósitos establecidos en el artículo </w:t>
            </w:r>
            <w:r>
              <w:rPr>
                <w:rFonts w:ascii="Verdana" w:eastAsia="Calibri" w:hAnsi="Verdana" w:cs="Arial"/>
                <w:szCs w:val="24"/>
                <w:lang w:eastAsia="es-ES_tradnl"/>
              </w:rPr>
              <w:t xml:space="preserve">2 </w:t>
            </w:r>
            <w:r w:rsidRPr="00D87550">
              <w:rPr>
                <w:rFonts w:ascii="Verdana" w:eastAsia="Calibri" w:hAnsi="Verdana" w:cs="Arial"/>
                <w:szCs w:val="24"/>
                <w:lang w:eastAsia="es-ES_tradnl"/>
              </w:rPr>
              <w:t>del Decreto Ley 393 de 1991. En ese sentido, este convenio especial de cooperación tiene como finalidad la de fomentar las actividades de ciencia, tecnología e innovación.</w:t>
            </w:r>
          </w:p>
          <w:p w14:paraId="1B8D575B" w14:textId="77777777" w:rsidR="00F45D9C" w:rsidRPr="00D87550" w:rsidRDefault="00F45D9C" w:rsidP="006C04F2">
            <w:pPr>
              <w:spacing w:after="120" w:line="276" w:lineRule="auto"/>
              <w:ind w:firstLine="708"/>
              <w:jc w:val="both"/>
              <w:rPr>
                <w:rFonts w:ascii="Verdana" w:eastAsia="Calibri" w:hAnsi="Verdana" w:cs="Arial"/>
                <w:lang w:eastAsia="es-ES_tradnl"/>
              </w:rPr>
            </w:pPr>
            <w:r>
              <w:rPr>
                <w:rFonts w:ascii="Verdana" w:eastAsia="Times New Roman" w:hAnsi="Verdana" w:cs="Times New Roman"/>
                <w:lang w:eastAsia="es-ES_tradnl"/>
              </w:rPr>
              <w:t>E</w:t>
            </w:r>
            <w:r w:rsidRPr="00D87550">
              <w:rPr>
                <w:rFonts w:ascii="Verdana" w:eastAsia="Times New Roman" w:hAnsi="Verdana" w:cs="Times New Roman"/>
                <w:lang w:eastAsia="es-ES_tradnl"/>
              </w:rPr>
              <w:t>n virtud de lo expresamente señalado en el parágrafo del numeral 2 del artículo 14 de la Ley 80 de 1993, en este tipo de contratos, es decir en los que tienen por objeto el desarrollo directo de actividades científicas y tecnológicas, no se incorporarán cláusulas excepcionales</w:t>
            </w:r>
            <w:r w:rsidRPr="00D87550">
              <w:rPr>
                <w:rFonts w:ascii="Verdana" w:hAnsi="Verdana"/>
                <w:vertAlign w:val="superscript"/>
                <w:lang w:eastAsia="es-ES_tradnl"/>
              </w:rPr>
              <w:footnoteReference w:id="1"/>
            </w:r>
            <w:r w:rsidRPr="00D87550">
              <w:rPr>
                <w:rFonts w:ascii="Verdana" w:eastAsia="Times New Roman" w:hAnsi="Verdana" w:cs="Times New Roman"/>
                <w:lang w:eastAsia="es-ES_tradnl"/>
              </w:rPr>
              <w:t>. Además, la selección del contratista se adelantará mediante la modalidad de contratación directa consagrada en el literal e), numeral 4, artículo 2 de la Ley 1150 de 2007.</w:t>
            </w:r>
          </w:p>
          <w:p w14:paraId="185D0F35" w14:textId="77777777" w:rsidR="00F45D9C" w:rsidRPr="00D87550" w:rsidRDefault="00F45D9C" w:rsidP="006C04F2">
            <w:pPr>
              <w:spacing w:before="120" w:line="276" w:lineRule="auto"/>
              <w:ind w:firstLine="708"/>
              <w:jc w:val="both"/>
              <w:rPr>
                <w:rFonts w:ascii="Verdana" w:eastAsia="Calibri" w:hAnsi="Verdana" w:cs="Arial"/>
                <w:szCs w:val="24"/>
                <w:lang w:eastAsia="es-ES_tradnl"/>
              </w:rPr>
            </w:pPr>
            <w:r w:rsidRPr="00D87550">
              <w:rPr>
                <w:rFonts w:ascii="Verdana" w:eastAsia="Calibri" w:hAnsi="Verdana" w:cs="Arial"/>
                <w:szCs w:val="24"/>
                <w:lang w:eastAsia="es-ES_tradnl"/>
              </w:rPr>
              <w:t>De igual forma, el convenio especial de cooperación requiere su publicación en el Diario Oficial y trámites presupuestales propios de las entidades. La Corte Constitucional definió este convenio señalando que “constituyen modalidades especiales de asociación, según calificación que hace tanto la ley de facultades (Ley 29 de 1992, artículo 11) como el decreto del cual hacen parte las normas acusadas, y sometidos al régimen del derecho privado”</w:t>
            </w:r>
            <w:r w:rsidRPr="00D87550">
              <w:rPr>
                <w:rFonts w:ascii="Verdana" w:hAnsi="Verdana"/>
                <w:vertAlign w:val="superscript"/>
                <w:lang w:eastAsia="es-ES_tradnl"/>
              </w:rPr>
              <w:footnoteReference w:id="2"/>
            </w:r>
            <w:r w:rsidRPr="00D87550">
              <w:rPr>
                <w:rFonts w:ascii="Verdana" w:eastAsia="Calibri" w:hAnsi="Verdana" w:cs="Arial"/>
                <w:szCs w:val="24"/>
                <w:lang w:eastAsia="es-ES_tradnl"/>
              </w:rPr>
              <w:t xml:space="preserve"> </w:t>
            </w:r>
          </w:p>
          <w:p w14:paraId="451D333A" w14:textId="77777777" w:rsidR="00F45D9C" w:rsidRPr="00D87550" w:rsidRDefault="00F45D9C" w:rsidP="006C04F2">
            <w:pPr>
              <w:pStyle w:val="Prrafodelista"/>
              <w:spacing w:line="276" w:lineRule="auto"/>
              <w:ind w:right="709"/>
              <w:jc w:val="both"/>
              <w:rPr>
                <w:rFonts w:ascii="Verdana" w:eastAsia="Calibri" w:hAnsi="Verdana" w:cs="Arial"/>
                <w:lang w:eastAsia="es-ES_tradnl"/>
              </w:rPr>
            </w:pPr>
          </w:p>
          <w:p w14:paraId="0C432325" w14:textId="77777777" w:rsidR="00F45D9C" w:rsidRPr="00D87550" w:rsidRDefault="00F45D9C" w:rsidP="006C04F2">
            <w:pPr>
              <w:spacing w:line="276" w:lineRule="auto"/>
              <w:ind w:firstLine="708"/>
              <w:jc w:val="both"/>
              <w:rPr>
                <w:rFonts w:ascii="Verdana" w:eastAsia="Calibri" w:hAnsi="Verdana" w:cs="Arial"/>
                <w:szCs w:val="24"/>
                <w:lang w:eastAsia="es-ES_tradnl"/>
              </w:rPr>
            </w:pPr>
            <w:r w:rsidRPr="00D87550">
              <w:rPr>
                <w:rFonts w:ascii="Verdana" w:eastAsia="Calibri" w:hAnsi="Verdana" w:cs="Arial"/>
                <w:szCs w:val="24"/>
                <w:lang w:eastAsia="es-ES_tradnl"/>
              </w:rPr>
              <w:t xml:space="preserve">Así las cosas, es claro que se trata de un régimen excepcional a la aplicación de la Ley 80 de 1993, el cual tiene origen en la especialidad de la materia, debido a que la Constitución Política otorga un carácter especial a las actividades de ciencia, tecnología e innovación, y el decreto citado desarrolla esto admitiendo un régimen jurídico diferente, es decir, el derecho privado. Lo anterior se corrobora en la Circular Externa Única expedida por la Agencia Nacional de Contratación Pública – Colombia Compra Eficiente que hace </w:t>
            </w:r>
            <w:r w:rsidRPr="00D87550">
              <w:rPr>
                <w:rFonts w:ascii="Verdana" w:eastAsia="Calibri" w:hAnsi="Verdana" w:cs="Arial"/>
                <w:szCs w:val="24"/>
                <w:lang w:eastAsia="es-ES_tradnl"/>
              </w:rPr>
              <w:lastRenderedPageBreak/>
              <w:t>referencia a que este convenio puede incluir temas relativos a administración o financiamiento, que también tendrían el régimen privado del convenio</w:t>
            </w:r>
            <w:r w:rsidRPr="00D87550">
              <w:rPr>
                <w:rFonts w:ascii="Verdana" w:hAnsi="Verdana"/>
                <w:vertAlign w:val="superscript"/>
                <w:lang w:eastAsia="es-ES_tradnl"/>
              </w:rPr>
              <w:footnoteReference w:id="3"/>
            </w:r>
            <w:r w:rsidRPr="00D87550">
              <w:rPr>
                <w:rFonts w:ascii="Verdana" w:eastAsia="Calibri" w:hAnsi="Verdana" w:cs="Arial"/>
                <w:szCs w:val="24"/>
                <w:lang w:eastAsia="es-ES_tradnl"/>
              </w:rPr>
              <w:t>.</w:t>
            </w:r>
          </w:p>
          <w:bookmarkEnd w:id="3"/>
          <w:p w14:paraId="7B355945" w14:textId="77777777" w:rsidR="00AE0537" w:rsidRDefault="00AE0537" w:rsidP="00A772A0">
            <w:pPr>
              <w:spacing w:line="276" w:lineRule="auto"/>
              <w:jc w:val="both"/>
              <w:rPr>
                <w:rFonts w:ascii="Verdana" w:hAnsi="Verdana"/>
              </w:rPr>
            </w:pPr>
          </w:p>
          <w:p w14:paraId="77D0C4AA" w14:textId="490FB8E7" w:rsidR="00F45D9C" w:rsidRPr="00702642" w:rsidRDefault="00F45D9C" w:rsidP="006C04F2">
            <w:pPr>
              <w:spacing w:after="120" w:line="276" w:lineRule="auto"/>
              <w:jc w:val="both"/>
              <w:rPr>
                <w:rFonts w:ascii="Verdana" w:eastAsia="Calibri" w:hAnsi="Verdana" w:cs="Arial"/>
                <w:bCs/>
                <w:color w:val="000000"/>
                <w:lang w:eastAsia="es-CO"/>
              </w:rPr>
            </w:pPr>
            <w:proofErr w:type="spellStart"/>
            <w:r>
              <w:rPr>
                <w:rFonts w:ascii="Verdana" w:hAnsi="Verdana"/>
              </w:rPr>
              <w:t>ii</w:t>
            </w:r>
            <w:proofErr w:type="spellEnd"/>
            <w:r>
              <w:rPr>
                <w:rFonts w:ascii="Verdana" w:hAnsi="Verdana"/>
              </w:rPr>
              <w:t xml:space="preserve">. </w:t>
            </w:r>
            <w:r w:rsidRPr="001D1954">
              <w:rPr>
                <w:rFonts w:ascii="Verdana" w:eastAsia="Calibri" w:hAnsi="Verdana" w:cs="Arial"/>
                <w:lang w:val="es-ES"/>
              </w:rPr>
              <w:t xml:space="preserve">Conforme a la interpretación de las normas generales del sistema de compras públicas, se encuentra que el marco jurídico vigente de los contratos de comodato se rige por las siguiente reglas: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1D1954">
              <w:rPr>
                <w:rFonts w:ascii="Verdana" w:eastAsia="Calibri" w:hAnsi="Verdana" w:cs="Arial"/>
                <w:lang w:val="es-ES"/>
              </w:rPr>
              <w:t>ii</w:t>
            </w:r>
            <w:proofErr w:type="spellEnd"/>
            <w:r w:rsidRPr="001D1954">
              <w:rPr>
                <w:rFonts w:ascii="Verdana" w:eastAsia="Calibri" w:hAnsi="Verdana" w:cs="Arial"/>
                <w:lang w:val="es-ES"/>
              </w:rPr>
              <w:t xml:space="preserve">) las entidades estatales pueden celebrar contratos de comodato de bienes muebles entre sí, de acuerdo con las reglas del Código Civil; </w:t>
            </w:r>
            <w:proofErr w:type="spellStart"/>
            <w:r w:rsidRPr="001D1954">
              <w:rPr>
                <w:rFonts w:ascii="Verdana" w:eastAsia="Calibri" w:hAnsi="Verdana" w:cs="Arial"/>
                <w:lang w:val="es-ES"/>
              </w:rPr>
              <w:t>iii</w:t>
            </w:r>
            <w:proofErr w:type="spellEnd"/>
            <w:r w:rsidRPr="001D1954">
              <w:rPr>
                <w:rFonts w:ascii="Verdana" w:eastAsia="Calibri" w:hAnsi="Verdana" w:cs="Arial"/>
                <w:lang w:val="es-ES"/>
              </w:rPr>
              <w:t xml:space="preserve">) en virtud del artículo 355 de la Constitución Política, de acuerdo con el procedimiento establecido en el Decreto 092 de 2017,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1D1954">
              <w:rPr>
                <w:rFonts w:ascii="Verdana" w:eastAsia="Calibri" w:hAnsi="Verdana" w:cs="Arial"/>
                <w:lang w:val="es-ES"/>
              </w:rPr>
              <w:t>iv</w:t>
            </w:r>
            <w:proofErr w:type="spellEnd"/>
            <w:r w:rsidRPr="001D1954">
              <w:rPr>
                <w:rFonts w:ascii="Verdana" w:eastAsia="Calibri" w:hAnsi="Verdana" w:cs="Arial"/>
                <w:lang w:val="es-ES"/>
              </w:rPr>
              <w:t xml:space="preserve">)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w:t>
            </w:r>
            <w:r w:rsidRPr="00451A01">
              <w:rPr>
                <w:rFonts w:ascii="Verdana" w:eastAsia="Calibri" w:hAnsi="Verdana" w:cs="Arial"/>
                <w:bCs/>
                <w:color w:val="000000"/>
                <w:lang w:eastAsia="es-CO"/>
              </w:rPr>
              <w:t xml:space="preserve"> </w:t>
            </w:r>
          </w:p>
        </w:tc>
      </w:tr>
    </w:tbl>
    <w:p w14:paraId="1D6C2BF1" w14:textId="77777777" w:rsidR="00F45D9C" w:rsidRPr="003248CC" w:rsidRDefault="00F45D9C" w:rsidP="00F45D9C">
      <w:pPr>
        <w:tabs>
          <w:tab w:val="left" w:pos="142"/>
          <w:tab w:val="left" w:pos="284"/>
        </w:tabs>
        <w:spacing w:after="0" w:line="276" w:lineRule="auto"/>
        <w:jc w:val="both"/>
        <w:rPr>
          <w:rFonts w:ascii="Verdana" w:eastAsia="Century Gothic" w:hAnsi="Verdana" w:cs="Century Gothic"/>
          <w:b/>
          <w:bCs/>
        </w:rPr>
      </w:pPr>
    </w:p>
    <w:bookmarkEnd w:id="4"/>
    <w:p w14:paraId="59DE81EF" w14:textId="77777777" w:rsidR="00F45D9C" w:rsidRPr="003248CC" w:rsidRDefault="00F45D9C" w:rsidP="00F45D9C">
      <w:pPr>
        <w:numPr>
          <w:ilvl w:val="0"/>
          <w:numId w:val="16"/>
        </w:numPr>
        <w:tabs>
          <w:tab w:val="left" w:pos="142"/>
          <w:tab w:val="left" w:pos="284"/>
        </w:tabs>
        <w:spacing w:after="0" w:line="276" w:lineRule="auto"/>
        <w:jc w:val="both"/>
        <w:rPr>
          <w:rFonts w:ascii="Verdana" w:eastAsia="Century Gothic" w:hAnsi="Verdana" w:cs="Century Gothic"/>
          <w:b/>
          <w:bCs/>
        </w:rPr>
      </w:pPr>
      <w:r w:rsidRPr="003248CC">
        <w:rPr>
          <w:rFonts w:ascii="Verdana" w:eastAsia="Century Gothic" w:hAnsi="Verdana" w:cs="Century Gothic"/>
          <w:b/>
          <w:bCs/>
        </w:rPr>
        <w:t>Razones de las respuestas:</w:t>
      </w:r>
    </w:p>
    <w:p w14:paraId="482B8F4E" w14:textId="77777777" w:rsidR="00F45D9C" w:rsidRPr="003248CC" w:rsidRDefault="00F45D9C" w:rsidP="00F45D9C">
      <w:pPr>
        <w:spacing w:after="0" w:line="276" w:lineRule="auto"/>
        <w:jc w:val="both"/>
        <w:rPr>
          <w:rFonts w:ascii="Verdana" w:eastAsia="Calibri" w:hAnsi="Verdana" w:cs="Arial"/>
          <w:color w:val="7030A0"/>
        </w:rPr>
      </w:pPr>
    </w:p>
    <w:p w14:paraId="4A25893D" w14:textId="77777777" w:rsidR="00F45D9C" w:rsidRPr="003248CC" w:rsidRDefault="00F45D9C" w:rsidP="00F45D9C">
      <w:pPr>
        <w:spacing w:after="0" w:line="276" w:lineRule="auto"/>
        <w:jc w:val="both"/>
        <w:rPr>
          <w:rFonts w:ascii="Verdana" w:eastAsia="Calibri" w:hAnsi="Verdana" w:cs="Arial"/>
        </w:rPr>
      </w:pPr>
      <w:r w:rsidRPr="003248CC">
        <w:rPr>
          <w:rFonts w:ascii="Verdana" w:eastAsia="Calibri" w:hAnsi="Verdana" w:cs="Arial"/>
        </w:rPr>
        <w:t>Lo anterior se sustenta en las siguientes consideraciones:</w:t>
      </w:r>
    </w:p>
    <w:p w14:paraId="1D0EC433" w14:textId="77777777" w:rsidR="00F45D9C" w:rsidRDefault="00F45D9C" w:rsidP="00F45D9C">
      <w:pPr>
        <w:widowControl w:val="0"/>
        <w:autoSpaceDE w:val="0"/>
        <w:autoSpaceDN w:val="0"/>
        <w:spacing w:after="0" w:line="276" w:lineRule="auto"/>
        <w:jc w:val="both"/>
        <w:rPr>
          <w:rFonts w:ascii="Verdana" w:eastAsia="Calibri" w:hAnsi="Verdana" w:cs="Arial"/>
          <w:lang w:val="es-ES"/>
        </w:rPr>
      </w:pPr>
    </w:p>
    <w:p w14:paraId="5A89A69A" w14:textId="77777777" w:rsidR="00F45D9C" w:rsidRPr="007B0B6F" w:rsidRDefault="00F45D9C" w:rsidP="00A772A0">
      <w:pPr>
        <w:spacing w:after="120" w:line="276" w:lineRule="auto"/>
        <w:jc w:val="both"/>
        <w:rPr>
          <w:rFonts w:ascii="Verdana" w:eastAsia="Times New Roman" w:hAnsi="Verdana" w:cs="Arial"/>
          <w:szCs w:val="24"/>
          <w:lang w:eastAsia="es-ES_tradnl"/>
        </w:rPr>
      </w:pPr>
      <w:r>
        <w:rPr>
          <w:rFonts w:ascii="Verdana" w:eastAsia="Times New Roman" w:hAnsi="Verdana" w:cs="Arial"/>
          <w:szCs w:val="24"/>
          <w:lang w:eastAsia="es-ES_tradnl"/>
        </w:rPr>
        <w:t xml:space="preserve">i. </w:t>
      </w:r>
      <w:r w:rsidRPr="00D87550">
        <w:rPr>
          <w:rFonts w:ascii="Verdana" w:eastAsia="Times New Roman" w:hAnsi="Verdana" w:cs="Arial"/>
          <w:szCs w:val="24"/>
          <w:lang w:eastAsia="es-ES_tradnl"/>
        </w:rPr>
        <w:t xml:space="preserve">Las actividades de ciencia, tecnología e innovación están previstas en cuatro (4) cuerpos normativos: </w:t>
      </w:r>
      <w:r w:rsidRPr="00D87550">
        <w:rPr>
          <w:rFonts w:ascii="Verdana" w:eastAsia="Times New Roman" w:hAnsi="Verdana" w:cs="Arial"/>
          <w:b/>
          <w:bCs/>
          <w:szCs w:val="24"/>
          <w:lang w:eastAsia="es-ES_tradnl"/>
        </w:rPr>
        <w:t>i)</w:t>
      </w:r>
      <w:r w:rsidRPr="00D87550">
        <w:rPr>
          <w:rFonts w:ascii="Verdana" w:eastAsia="Times New Roman" w:hAnsi="Verdana" w:cs="Arial"/>
          <w:szCs w:val="24"/>
          <w:lang w:eastAsia="es-ES_tradnl"/>
        </w:rPr>
        <w:t xml:space="preserve"> el </w:t>
      </w:r>
      <w:r w:rsidRPr="00D87550">
        <w:rPr>
          <w:rFonts w:ascii="Verdana" w:eastAsia="Times New Roman" w:hAnsi="Verdana" w:cs="Arial"/>
          <w:i/>
          <w:iCs/>
          <w:szCs w:val="24"/>
          <w:lang w:eastAsia="es-ES_tradnl"/>
        </w:rPr>
        <w:t>Decreto Ley 393 de 1991</w:t>
      </w:r>
      <w:r w:rsidRPr="00D87550">
        <w:rPr>
          <w:rFonts w:ascii="Verdana" w:eastAsia="Times New Roman" w:hAnsi="Verdana" w:cs="Arial"/>
          <w:szCs w:val="24"/>
          <w:lang w:eastAsia="es-ES_tradnl"/>
        </w:rPr>
        <w:t xml:space="preserve">, que prevé dos (2) formas </w:t>
      </w:r>
      <w:r w:rsidRPr="00D87550">
        <w:rPr>
          <w:rFonts w:ascii="Verdana" w:eastAsia="Times New Roman" w:hAnsi="Verdana" w:cs="Arial"/>
          <w:szCs w:val="24"/>
          <w:lang w:eastAsia="es-ES_tradnl"/>
        </w:rPr>
        <w:lastRenderedPageBreak/>
        <w:t xml:space="preserve">de asociación para que las entidades ejecuten actividades científicas y tecnológicas, proyectos de investigación y creación de tecnologías: a) crear personas jurídicas civiles, comerciales y sin ánimo de lucro y b) celebrar convenios especiales de cooperación; </w:t>
      </w:r>
      <w:proofErr w:type="spellStart"/>
      <w:r w:rsidRPr="00D87550">
        <w:rPr>
          <w:rFonts w:ascii="Verdana" w:eastAsia="Times New Roman" w:hAnsi="Verdana" w:cs="Arial"/>
          <w:b/>
          <w:bCs/>
          <w:szCs w:val="24"/>
          <w:lang w:eastAsia="es-ES_tradnl"/>
        </w:rPr>
        <w:t>ii</w:t>
      </w:r>
      <w:proofErr w:type="spellEnd"/>
      <w:r w:rsidRPr="00D87550">
        <w:rPr>
          <w:rFonts w:ascii="Verdana" w:eastAsia="Times New Roman" w:hAnsi="Verdana" w:cs="Arial"/>
          <w:b/>
          <w:bCs/>
          <w:szCs w:val="24"/>
          <w:lang w:eastAsia="es-ES_tradnl"/>
        </w:rPr>
        <w:t>)</w:t>
      </w:r>
      <w:r w:rsidRPr="00D87550">
        <w:rPr>
          <w:rFonts w:ascii="Verdana" w:eastAsia="Times New Roman" w:hAnsi="Verdana" w:cs="Arial"/>
          <w:szCs w:val="24"/>
          <w:lang w:eastAsia="es-ES_tradnl"/>
        </w:rPr>
        <w:t xml:space="preserve"> el </w:t>
      </w:r>
      <w:r w:rsidRPr="00D87550">
        <w:rPr>
          <w:rFonts w:ascii="Verdana" w:eastAsia="Times New Roman" w:hAnsi="Verdana" w:cs="Arial"/>
          <w:i/>
          <w:iCs/>
          <w:szCs w:val="24"/>
          <w:lang w:eastAsia="es-ES_tradnl"/>
        </w:rPr>
        <w:t>Decreto Ley 591 de 1991</w:t>
      </w:r>
      <w:r w:rsidRPr="00D87550">
        <w:rPr>
          <w:rFonts w:ascii="Verdana" w:eastAsia="Times New Roman" w:hAnsi="Verdana" w:cs="Arial"/>
          <w:szCs w:val="24"/>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a) contratos de financiamiento, b) contratos de administración de proyectos y c) convenios especiales de cooperación; </w:t>
      </w:r>
      <w:proofErr w:type="spellStart"/>
      <w:r w:rsidRPr="00D87550">
        <w:rPr>
          <w:rFonts w:ascii="Verdana" w:eastAsia="Times New Roman" w:hAnsi="Verdana" w:cs="Arial"/>
          <w:b/>
          <w:bCs/>
          <w:szCs w:val="24"/>
          <w:lang w:eastAsia="es-ES_tradnl"/>
        </w:rPr>
        <w:t>iii</w:t>
      </w:r>
      <w:proofErr w:type="spellEnd"/>
      <w:r w:rsidRPr="00D87550">
        <w:rPr>
          <w:rFonts w:ascii="Verdana" w:eastAsia="Times New Roman" w:hAnsi="Verdana" w:cs="Arial"/>
          <w:b/>
          <w:bCs/>
          <w:szCs w:val="24"/>
          <w:lang w:eastAsia="es-ES_tradnl"/>
        </w:rPr>
        <w:t>)</w:t>
      </w:r>
      <w:r w:rsidRPr="00D87550">
        <w:rPr>
          <w:rFonts w:ascii="Verdana" w:eastAsia="Times New Roman" w:hAnsi="Verdana" w:cs="Arial"/>
          <w:szCs w:val="24"/>
          <w:lang w:eastAsia="es-ES_tradnl"/>
        </w:rPr>
        <w:t xml:space="preserve"> la </w:t>
      </w:r>
      <w:r w:rsidRPr="00D87550">
        <w:rPr>
          <w:rFonts w:ascii="Verdana" w:eastAsia="Times New Roman" w:hAnsi="Verdana" w:cs="Arial"/>
          <w:i/>
          <w:iCs/>
          <w:szCs w:val="24"/>
          <w:lang w:eastAsia="es-ES_tradnl"/>
        </w:rPr>
        <w:t>Ley 1286 de 2009</w:t>
      </w:r>
      <w:r w:rsidRPr="00D87550">
        <w:rPr>
          <w:rFonts w:ascii="Verdana" w:hAnsi="Verdana"/>
          <w:vertAlign w:val="superscript"/>
          <w:lang w:eastAsia="es-ES_tradnl"/>
        </w:rPr>
        <w:footnoteReference w:id="4"/>
      </w:r>
      <w:r w:rsidRPr="00D87550">
        <w:rPr>
          <w:rFonts w:ascii="Verdana" w:eastAsia="Times New Roman" w:hAnsi="Verdana" w:cs="Arial"/>
          <w:szCs w:val="24"/>
          <w:lang w:eastAsia="es-ES_tradnl"/>
        </w:rPr>
        <w:t xml:space="preserve">; </w:t>
      </w:r>
      <w:proofErr w:type="spellStart"/>
      <w:r w:rsidRPr="00D87550">
        <w:rPr>
          <w:rFonts w:ascii="Verdana" w:eastAsia="Times New Roman" w:hAnsi="Verdana" w:cs="Arial"/>
          <w:b/>
          <w:bCs/>
          <w:szCs w:val="24"/>
          <w:lang w:eastAsia="es-ES_tradnl"/>
        </w:rPr>
        <w:t>iv</w:t>
      </w:r>
      <w:proofErr w:type="spellEnd"/>
      <w:r w:rsidRPr="00CD5485">
        <w:rPr>
          <w:rFonts w:ascii="Verdana" w:eastAsia="Times New Roman" w:hAnsi="Verdana" w:cs="Arial"/>
          <w:b/>
          <w:bCs/>
          <w:szCs w:val="24"/>
          <w:lang w:eastAsia="es-ES_tradnl"/>
        </w:rPr>
        <w:t>)</w:t>
      </w:r>
      <w:r w:rsidRPr="00CD5485">
        <w:rPr>
          <w:rFonts w:ascii="Verdana" w:eastAsia="Times New Roman" w:hAnsi="Verdana" w:cs="Arial"/>
          <w:szCs w:val="24"/>
          <w:lang w:eastAsia="es-ES_tradnl"/>
        </w:rPr>
        <w:t xml:space="preserve"> el Documento CONPES 4069 de 2021, donde se define cuáles son estas actividades de los actores del Sistema Nacional de Ciencia, Tecnología e Innovación.</w:t>
      </w:r>
    </w:p>
    <w:p w14:paraId="6DC9461F" w14:textId="77777777" w:rsidR="00F45D9C" w:rsidRPr="00D87550" w:rsidRDefault="00F45D9C" w:rsidP="00F45D9C">
      <w:pPr>
        <w:spacing w:after="120" w:line="276" w:lineRule="auto"/>
        <w:ind w:firstLine="709"/>
        <w:jc w:val="both"/>
        <w:rPr>
          <w:rFonts w:ascii="Verdana" w:eastAsia="Times New Roman" w:hAnsi="Verdana" w:cs="Arial"/>
          <w:szCs w:val="24"/>
          <w:lang w:eastAsia="es-ES_tradnl"/>
        </w:rPr>
      </w:pPr>
      <w:r w:rsidRPr="00D87550">
        <w:rPr>
          <w:rFonts w:ascii="Verdana" w:eastAsia="Times New Roman" w:hAnsi="Verdana" w:cs="Arial"/>
          <w:szCs w:val="24"/>
          <w:lang w:eastAsia="es-ES_tradnl"/>
        </w:rPr>
        <w:t>Así las cosas, para contratar las actividades de ciencia tecnología e innovación las normas prevén tipos de contrato cuya aplicación depende de las características del objeto que se ejecutará. También es necesario tener en cuenta que el literal e) del numeral 4 del artículo 4 de la Ley 1150 de 2007 señala como causal de contratación directa “Los contratos para el desarrollo de actividades científicas y tecnológicas”.</w:t>
      </w:r>
      <w:r w:rsidRPr="00D87550">
        <w:rPr>
          <w:rFonts w:ascii="Verdana" w:eastAsia="Calibri" w:hAnsi="Verdana" w:cs="Arial"/>
          <w:szCs w:val="24"/>
          <w:lang w:eastAsia="es-ES_tradnl"/>
        </w:rPr>
        <w:t xml:space="preserve"> </w:t>
      </w:r>
    </w:p>
    <w:p w14:paraId="5D940DD8" w14:textId="77777777" w:rsidR="00F45D9C" w:rsidRDefault="00F45D9C" w:rsidP="00F45D9C">
      <w:pPr>
        <w:spacing w:after="120" w:line="276" w:lineRule="auto"/>
        <w:ind w:firstLine="709"/>
        <w:jc w:val="both"/>
        <w:rPr>
          <w:rFonts w:ascii="Verdana" w:eastAsia="Calibri" w:hAnsi="Verdana" w:cs="Arial"/>
          <w:lang w:eastAsia="es-ES_tradnl"/>
        </w:rPr>
      </w:pPr>
      <w:r w:rsidRPr="00D87550">
        <w:rPr>
          <w:rFonts w:ascii="Verdana" w:eastAsia="Calibri" w:hAnsi="Verdana" w:cs="Arial"/>
          <w:lang w:eastAsia="es-ES_tradnl"/>
        </w:rPr>
        <w:t xml:space="preserve">Ahora bien, el Decreto Ley 393 de 1991 establece dos (2) formas de asociación para que las entidades ejecuten actividades científicas y tecnológicas, proyectos de investigación y creación de tecnologías: i) crear personas jurídicas civiles, comerciales y sin ánimo de lucro y </w:t>
      </w:r>
      <w:proofErr w:type="spellStart"/>
      <w:r w:rsidRPr="00D87550">
        <w:rPr>
          <w:rFonts w:ascii="Verdana" w:eastAsia="Calibri" w:hAnsi="Verdana" w:cs="Arial"/>
          <w:lang w:eastAsia="es-ES_tradnl"/>
        </w:rPr>
        <w:t>ii</w:t>
      </w:r>
      <w:proofErr w:type="spellEnd"/>
      <w:r w:rsidRPr="00D87550">
        <w:rPr>
          <w:rFonts w:ascii="Verdana" w:eastAsia="Calibri" w:hAnsi="Verdana" w:cs="Arial"/>
          <w:lang w:eastAsia="es-ES_tradnl"/>
        </w:rPr>
        <w:t xml:space="preserve">) celebrar convenios especiales de cooperación. </w:t>
      </w:r>
    </w:p>
    <w:p w14:paraId="13E3F79B" w14:textId="77777777" w:rsidR="00F45D9C" w:rsidRPr="00D87550" w:rsidRDefault="00F45D9C" w:rsidP="00F45D9C">
      <w:pPr>
        <w:spacing w:after="120" w:line="276" w:lineRule="auto"/>
        <w:ind w:firstLine="709"/>
        <w:jc w:val="both"/>
        <w:rPr>
          <w:rFonts w:ascii="Verdana" w:eastAsia="Calibri" w:hAnsi="Verdana" w:cs="Arial"/>
          <w:b/>
          <w:bCs/>
          <w:szCs w:val="24"/>
          <w:lang w:eastAsia="es-ES_tradnl"/>
        </w:rPr>
      </w:pPr>
      <w:r w:rsidRPr="00D87550">
        <w:rPr>
          <w:rFonts w:ascii="Verdana" w:eastAsia="Calibri" w:hAnsi="Verdana" w:cs="Arial"/>
          <w:szCs w:val="24"/>
          <w:lang w:eastAsia="es-ES_tradnl"/>
        </w:rPr>
        <w:t>De manera puntual y teniendo en cuenta el objeto de</w:t>
      </w:r>
      <w:r>
        <w:rPr>
          <w:rFonts w:ascii="Verdana" w:eastAsia="Calibri" w:hAnsi="Verdana" w:cs="Arial"/>
          <w:szCs w:val="24"/>
          <w:lang w:eastAsia="es-ES_tradnl"/>
        </w:rPr>
        <w:t xml:space="preserve"> su consulta es </w:t>
      </w:r>
      <w:r w:rsidRPr="00D87550">
        <w:rPr>
          <w:rFonts w:ascii="Verdana" w:eastAsia="Calibri" w:hAnsi="Verdana" w:cs="Arial"/>
          <w:szCs w:val="24"/>
          <w:lang w:eastAsia="es-ES_tradnl"/>
        </w:rPr>
        <w:t xml:space="preserve">referente al </w:t>
      </w:r>
      <w:r w:rsidRPr="00A772A0">
        <w:rPr>
          <w:rFonts w:ascii="Verdana" w:eastAsia="Calibri" w:hAnsi="Verdana" w:cs="Arial"/>
          <w:i/>
          <w:iCs/>
          <w:szCs w:val="24"/>
          <w:lang w:eastAsia="es-ES_tradnl"/>
        </w:rPr>
        <w:t>convenio especial de cooperación</w:t>
      </w:r>
      <w:r w:rsidRPr="00D87550">
        <w:rPr>
          <w:rFonts w:ascii="Verdana" w:eastAsia="Calibri" w:hAnsi="Verdana" w:cs="Arial"/>
          <w:szCs w:val="24"/>
          <w:lang w:eastAsia="es-ES_tradnl"/>
        </w:rPr>
        <w:t xml:space="preserve">, se indica que es un tipo de contrato que </w:t>
      </w:r>
      <w:r w:rsidRPr="00352832">
        <w:rPr>
          <w:rFonts w:ascii="Verdana" w:eastAsia="Calibri" w:hAnsi="Verdana" w:cs="Arial"/>
          <w:szCs w:val="24"/>
          <w:lang w:eastAsia="es-ES_tradnl"/>
        </w:rPr>
        <w:t>puede celebrar la nación y sus entidades descentralizadas, con</w:t>
      </w:r>
      <w:r w:rsidRPr="00D87550">
        <w:rPr>
          <w:rFonts w:ascii="Verdana" w:eastAsia="Calibri" w:hAnsi="Verdana" w:cs="Arial"/>
          <w:szCs w:val="24"/>
          <w:lang w:eastAsia="es-ES_tradnl"/>
        </w:rPr>
        <w:t xml:space="preserve"> particulares y otras entidades estatales, cuyos aportes pueden ser </w:t>
      </w:r>
      <w:r w:rsidRPr="00C63988">
        <w:rPr>
          <w:rFonts w:ascii="Verdana" w:eastAsia="Calibri" w:hAnsi="Verdana" w:cs="Arial"/>
          <w:szCs w:val="24"/>
          <w:lang w:eastAsia="es-ES_tradnl"/>
        </w:rPr>
        <w:t>en dinero, en especie o de industria, entendiéndose por aportes en especie o de industria, entre otros, conocimiento, patentes, material bibliográfico, instalaciones, equipos, y trabajo de científicos, investigadores, técnicos y demás personas que el objeto requiera</w:t>
      </w:r>
      <w:r>
        <w:rPr>
          <w:rFonts w:ascii="Verdana" w:eastAsia="Calibri" w:hAnsi="Verdana" w:cs="Arial"/>
          <w:szCs w:val="24"/>
          <w:lang w:eastAsia="es-ES_tradnl"/>
        </w:rPr>
        <w:t xml:space="preserve"> </w:t>
      </w:r>
      <w:r w:rsidRPr="00D87550">
        <w:rPr>
          <w:rFonts w:ascii="Verdana" w:eastAsia="Calibri" w:hAnsi="Verdana" w:cs="Arial"/>
          <w:szCs w:val="24"/>
          <w:lang w:eastAsia="es-ES_tradnl"/>
        </w:rPr>
        <w:t xml:space="preserve">para cumplir los propósitos establecidos en el artículo </w:t>
      </w:r>
      <w:r>
        <w:rPr>
          <w:rFonts w:ascii="Verdana" w:eastAsia="Calibri" w:hAnsi="Verdana" w:cs="Arial"/>
          <w:szCs w:val="24"/>
          <w:lang w:eastAsia="es-ES_tradnl"/>
        </w:rPr>
        <w:t xml:space="preserve">2 </w:t>
      </w:r>
      <w:r w:rsidRPr="00D87550">
        <w:rPr>
          <w:rFonts w:ascii="Verdana" w:eastAsia="Calibri" w:hAnsi="Verdana" w:cs="Arial"/>
          <w:szCs w:val="24"/>
          <w:lang w:eastAsia="es-ES_tradnl"/>
        </w:rPr>
        <w:t xml:space="preserve">del Decreto Ley 393 de 1991. En ese sentido, este convenio especial de cooperación </w:t>
      </w:r>
      <w:r w:rsidRPr="00D87550">
        <w:rPr>
          <w:rFonts w:ascii="Verdana" w:eastAsia="Calibri" w:hAnsi="Verdana" w:cs="Arial"/>
          <w:szCs w:val="24"/>
          <w:lang w:eastAsia="es-ES_tradnl"/>
        </w:rPr>
        <w:lastRenderedPageBreak/>
        <w:t>tiene como finalidad la de fomentar las actividades de ciencia, tecnología e innovación.</w:t>
      </w:r>
    </w:p>
    <w:p w14:paraId="2B9EAA82" w14:textId="77777777" w:rsidR="00F45D9C" w:rsidRPr="00D87550" w:rsidRDefault="00F45D9C" w:rsidP="00F45D9C">
      <w:pPr>
        <w:spacing w:after="120" w:line="276" w:lineRule="auto"/>
        <w:ind w:firstLine="709"/>
        <w:jc w:val="both"/>
        <w:rPr>
          <w:rFonts w:ascii="Verdana" w:eastAsia="Calibri" w:hAnsi="Verdana" w:cs="Arial"/>
          <w:lang w:eastAsia="es-ES_tradnl"/>
        </w:rPr>
      </w:pPr>
      <w:r w:rsidRPr="00D87550">
        <w:rPr>
          <w:rFonts w:ascii="Verdana" w:eastAsia="Calibri" w:hAnsi="Verdana" w:cs="Arial"/>
          <w:lang w:eastAsia="es-ES_tradnl"/>
        </w:rPr>
        <w:t xml:space="preserve">Las </w:t>
      </w:r>
      <w:r w:rsidRPr="00A772A0">
        <w:rPr>
          <w:rFonts w:ascii="Verdana" w:eastAsia="Calibri" w:hAnsi="Verdana" w:cs="Arial"/>
          <w:lang w:eastAsia="es-ES_tradnl"/>
        </w:rPr>
        <w:t>reglas para la celebración</w:t>
      </w:r>
      <w:r w:rsidRPr="00371C1C">
        <w:rPr>
          <w:rFonts w:ascii="Verdana" w:eastAsia="Calibri" w:hAnsi="Verdana" w:cs="Arial"/>
          <w:lang w:eastAsia="es-ES_tradnl"/>
        </w:rPr>
        <w:t xml:space="preserve"> de este convenio están enlistadas en los </w:t>
      </w:r>
      <w:r w:rsidRPr="00A772A0">
        <w:rPr>
          <w:rFonts w:ascii="Verdana" w:eastAsia="Calibri" w:hAnsi="Verdana" w:cs="Arial"/>
          <w:lang w:eastAsia="es-ES_tradnl"/>
        </w:rPr>
        <w:t>artículos 7 y 8 del Decreto 393 de 1991</w:t>
      </w:r>
      <w:r w:rsidRPr="00371C1C">
        <w:rPr>
          <w:rFonts w:ascii="Verdana" w:eastAsia="Calibri" w:hAnsi="Verdana" w:cs="Arial"/>
          <w:lang w:eastAsia="es-ES_tradnl"/>
        </w:rPr>
        <w:t>:</w:t>
      </w:r>
      <w:r w:rsidRPr="00D87550">
        <w:rPr>
          <w:rFonts w:ascii="Verdana" w:eastAsia="Calibri" w:hAnsi="Verdana" w:cs="Arial"/>
          <w:lang w:eastAsia="es-ES_tradnl"/>
        </w:rPr>
        <w:t xml:space="preserve"> i) inexistencia de solidaridad entre sus partes, </w:t>
      </w:r>
      <w:proofErr w:type="spellStart"/>
      <w:r w:rsidRPr="00D87550">
        <w:rPr>
          <w:rFonts w:ascii="Verdana" w:eastAsia="Calibri" w:hAnsi="Verdana" w:cs="Arial"/>
          <w:lang w:eastAsia="es-ES_tradnl"/>
        </w:rPr>
        <w:t>ii</w:t>
      </w:r>
      <w:proofErr w:type="spellEnd"/>
      <w:r w:rsidRPr="00D87550">
        <w:rPr>
          <w:rFonts w:ascii="Verdana" w:eastAsia="Calibri" w:hAnsi="Verdana" w:cs="Arial"/>
          <w:lang w:eastAsia="es-ES_tradnl"/>
        </w:rPr>
        <w:t xml:space="preserve">) regular la propiedad y los derechos sobre los resultados del convenio, </w:t>
      </w:r>
      <w:proofErr w:type="spellStart"/>
      <w:r w:rsidRPr="00D87550">
        <w:rPr>
          <w:rFonts w:ascii="Verdana" w:eastAsia="Calibri" w:hAnsi="Verdana" w:cs="Arial"/>
          <w:lang w:eastAsia="es-ES_tradnl"/>
        </w:rPr>
        <w:t>iii</w:t>
      </w:r>
      <w:proofErr w:type="spellEnd"/>
      <w:r w:rsidRPr="00D87550">
        <w:rPr>
          <w:rFonts w:ascii="Verdana" w:eastAsia="Calibri" w:hAnsi="Verdana" w:cs="Arial"/>
          <w:lang w:eastAsia="es-ES_tradnl"/>
        </w:rPr>
        <w:t xml:space="preserve">) definir las obligaciones de las partes, </w:t>
      </w:r>
      <w:proofErr w:type="spellStart"/>
      <w:r w:rsidRPr="00D87550">
        <w:rPr>
          <w:rFonts w:ascii="Verdana" w:eastAsia="Calibri" w:hAnsi="Verdana" w:cs="Arial"/>
          <w:lang w:eastAsia="es-ES_tradnl"/>
        </w:rPr>
        <w:t>iv</w:t>
      </w:r>
      <w:proofErr w:type="spellEnd"/>
      <w:r w:rsidRPr="00D87550">
        <w:rPr>
          <w:rFonts w:ascii="Verdana" w:eastAsia="Calibri" w:hAnsi="Verdana" w:cs="Arial"/>
          <w:lang w:eastAsia="es-ES_tradnl"/>
        </w:rPr>
        <w:t xml:space="preserve">) determinar la forma de administración de los aportes, v) el régimen jurídico es el derecho privado, salvo lo expresamente regulado en EGCAP –, vi) debe ser escrito, </w:t>
      </w:r>
      <w:proofErr w:type="spellStart"/>
      <w:r w:rsidRPr="00D87550">
        <w:rPr>
          <w:rFonts w:ascii="Verdana" w:eastAsia="Calibri" w:hAnsi="Verdana" w:cs="Arial"/>
          <w:lang w:eastAsia="es-ES_tradnl"/>
        </w:rPr>
        <w:t>vii</w:t>
      </w:r>
      <w:proofErr w:type="spellEnd"/>
      <w:r w:rsidRPr="00D87550">
        <w:rPr>
          <w:rFonts w:ascii="Verdana" w:eastAsia="Calibri" w:hAnsi="Verdana" w:cs="Arial"/>
          <w:lang w:eastAsia="es-ES_tradnl"/>
        </w:rPr>
        <w:t xml:space="preserve">) señalar el objeto y el plazo e </w:t>
      </w:r>
      <w:proofErr w:type="spellStart"/>
      <w:r w:rsidRPr="00D87550">
        <w:rPr>
          <w:rFonts w:ascii="Verdana" w:eastAsia="Calibri" w:hAnsi="Verdana" w:cs="Arial"/>
          <w:lang w:eastAsia="es-ES_tradnl"/>
        </w:rPr>
        <w:t>viii</w:t>
      </w:r>
      <w:proofErr w:type="spellEnd"/>
      <w:r w:rsidRPr="00D87550">
        <w:rPr>
          <w:rFonts w:ascii="Verdana" w:eastAsia="Calibri" w:hAnsi="Verdana" w:cs="Arial"/>
          <w:lang w:eastAsia="es-ES_tradnl"/>
        </w:rPr>
        <w:t>) incluir cláusulas de cesión y terminación.</w:t>
      </w:r>
    </w:p>
    <w:p w14:paraId="010015B9" w14:textId="77777777" w:rsidR="00F45D9C" w:rsidRPr="00D87550" w:rsidRDefault="00F45D9C" w:rsidP="00F45D9C">
      <w:pPr>
        <w:spacing w:after="120" w:line="276" w:lineRule="auto"/>
        <w:ind w:firstLine="709"/>
        <w:jc w:val="both"/>
        <w:rPr>
          <w:rFonts w:ascii="Verdana" w:eastAsia="Calibri" w:hAnsi="Verdana" w:cs="Arial"/>
          <w:lang w:eastAsia="es-ES_tradnl"/>
        </w:rPr>
      </w:pPr>
      <w:r w:rsidRPr="00D87550">
        <w:rPr>
          <w:rFonts w:ascii="Verdana" w:eastAsia="Times New Roman" w:hAnsi="Verdana" w:cs="Times New Roman"/>
          <w:lang w:eastAsia="es-ES_tradnl"/>
        </w:rPr>
        <w:t>Vale la pena agregar que, en virtud de lo expresamente señalado en el parágrafo del numeral 2 del artículo 14 de la Ley 80 de 1993, en este tipo de contratos, es decir en los que tienen por objeto el desarrollo directo de actividades científicas y tecnológicas, no se incorporarán cláusulas excepcionales</w:t>
      </w:r>
      <w:r w:rsidRPr="00D87550">
        <w:rPr>
          <w:rFonts w:ascii="Verdana" w:hAnsi="Verdana"/>
          <w:vertAlign w:val="superscript"/>
          <w:lang w:eastAsia="es-ES_tradnl"/>
        </w:rPr>
        <w:footnoteReference w:id="5"/>
      </w:r>
      <w:r w:rsidRPr="00D87550">
        <w:rPr>
          <w:rFonts w:ascii="Verdana" w:eastAsia="Times New Roman" w:hAnsi="Verdana" w:cs="Times New Roman"/>
          <w:lang w:eastAsia="es-ES_tradnl"/>
        </w:rPr>
        <w:t>. Además, la selección del contratista se adelantará mediante la modalidad de contratación directa consagrada en el literal e), numeral 4, artículo 2 de la Ley 1150 de 2007.</w:t>
      </w:r>
    </w:p>
    <w:p w14:paraId="7B4DFB2C" w14:textId="77777777" w:rsidR="00F45D9C" w:rsidRPr="00D87550" w:rsidRDefault="00F45D9C" w:rsidP="00F45D9C">
      <w:pPr>
        <w:spacing w:before="120" w:after="120" w:line="276" w:lineRule="auto"/>
        <w:ind w:firstLine="709"/>
        <w:jc w:val="both"/>
        <w:rPr>
          <w:rFonts w:ascii="Verdana" w:eastAsia="Calibri" w:hAnsi="Verdana" w:cs="Arial"/>
          <w:szCs w:val="24"/>
          <w:lang w:eastAsia="es-ES_tradnl"/>
        </w:rPr>
      </w:pPr>
      <w:r w:rsidRPr="00D87550">
        <w:rPr>
          <w:rFonts w:ascii="Verdana" w:eastAsia="Calibri" w:hAnsi="Verdana" w:cs="Arial"/>
          <w:szCs w:val="24"/>
          <w:lang w:eastAsia="es-ES_tradnl"/>
        </w:rPr>
        <w:t>De igual forma, el convenio especial de cooperación requiere su publicación en el Diario Oficial y trámites presupuestales propios de las entidades. La Corte Constitucional definió este convenio señalando que “constituyen modalidades especiales de asociación, según calificación que hace tanto la ley de facultades (Ley 29 de 1992, artículo 11) como el decreto del cual hacen parte las normas acusadas, y sometidos al régimen del derecho privado”</w:t>
      </w:r>
      <w:r w:rsidRPr="00D87550">
        <w:rPr>
          <w:rFonts w:ascii="Verdana" w:hAnsi="Verdana"/>
          <w:vertAlign w:val="superscript"/>
          <w:lang w:eastAsia="es-ES_tradnl"/>
        </w:rPr>
        <w:footnoteReference w:id="6"/>
      </w:r>
      <w:r w:rsidRPr="00D87550">
        <w:rPr>
          <w:rFonts w:ascii="Verdana" w:eastAsia="Calibri" w:hAnsi="Verdana" w:cs="Arial"/>
          <w:szCs w:val="24"/>
          <w:lang w:eastAsia="es-ES_tradnl"/>
        </w:rPr>
        <w:t xml:space="preserve"> </w:t>
      </w:r>
    </w:p>
    <w:p w14:paraId="79A9C430" w14:textId="77777777" w:rsidR="00F45D9C" w:rsidRPr="00D87550" w:rsidRDefault="00F45D9C" w:rsidP="00A772A0">
      <w:pPr>
        <w:spacing w:before="120" w:after="0" w:line="276" w:lineRule="auto"/>
        <w:ind w:firstLine="709"/>
        <w:jc w:val="both"/>
        <w:rPr>
          <w:rFonts w:ascii="Verdana" w:eastAsia="Calibri" w:hAnsi="Verdana" w:cs="Arial"/>
          <w:szCs w:val="24"/>
          <w:lang w:eastAsia="es-ES_tradnl"/>
        </w:rPr>
      </w:pPr>
      <w:r w:rsidRPr="00D87550">
        <w:rPr>
          <w:rFonts w:ascii="Verdana" w:eastAsia="Calibri" w:hAnsi="Verdana" w:cs="Arial"/>
          <w:szCs w:val="24"/>
          <w:lang w:eastAsia="es-ES_tradnl"/>
        </w:rPr>
        <w:t>Además, esa Corporación revisó la constitucionalidad del artículo 6 del Decreto 393 de 1991, que define el convenio especial de cooperación, puesto que el actor consideraba que se violaba la competencia del Congreso para expedir el EGCAP:</w:t>
      </w:r>
    </w:p>
    <w:p w14:paraId="00D85EE7" w14:textId="77777777" w:rsidR="00F45D9C" w:rsidRPr="00D87550" w:rsidRDefault="00F45D9C" w:rsidP="00F45D9C">
      <w:pPr>
        <w:pStyle w:val="Prrafodelista"/>
        <w:spacing w:after="120" w:line="276" w:lineRule="auto"/>
        <w:ind w:firstLine="709"/>
        <w:jc w:val="both"/>
        <w:rPr>
          <w:rFonts w:ascii="Verdana" w:eastAsia="Calibri" w:hAnsi="Verdana" w:cs="Arial"/>
          <w:szCs w:val="24"/>
          <w:lang w:eastAsia="es-ES_tradnl"/>
        </w:rPr>
      </w:pPr>
    </w:p>
    <w:p w14:paraId="07BD61F8" w14:textId="77777777" w:rsidR="00F45D9C" w:rsidRPr="00E35ED3" w:rsidRDefault="00F45D9C" w:rsidP="00F45D9C">
      <w:pPr>
        <w:pStyle w:val="Prrafodelista"/>
        <w:spacing w:after="0" w:line="240" w:lineRule="auto"/>
        <w:ind w:left="1134" w:right="900"/>
        <w:jc w:val="both"/>
        <w:rPr>
          <w:rFonts w:ascii="Verdana" w:eastAsia="Calibri" w:hAnsi="Verdana" w:cs="Arial"/>
          <w:sz w:val="20"/>
          <w:szCs w:val="20"/>
          <w:lang w:eastAsia="es-ES_tradnl"/>
        </w:rPr>
      </w:pPr>
      <w:r w:rsidRPr="00E35ED3">
        <w:rPr>
          <w:rFonts w:ascii="Verdana" w:eastAsia="Calibri" w:hAnsi="Verdana" w:cs="Arial"/>
          <w:sz w:val="20"/>
          <w:szCs w:val="20"/>
          <w:lang w:eastAsia="es-ES_tradnl"/>
        </w:rPr>
        <w:t xml:space="preserve">“El inciso final del art. 150 de la Constitución si bien faculta al Congreso para "expedir el estatuto general de la contratación pública y en especial de la administración nacional", no alude a un estatuto único; pero además el decreto 393 no constituye propiamente un estatuto de contratación. Simplemente prevé entre los mecanismos de asociación para el fomento de la investigación uno especial consistente en la celebración de convenios de </w:t>
      </w:r>
      <w:r w:rsidRPr="00E35ED3">
        <w:rPr>
          <w:rFonts w:ascii="Verdana" w:eastAsia="Calibri" w:hAnsi="Verdana" w:cs="Arial"/>
          <w:sz w:val="20"/>
          <w:szCs w:val="20"/>
          <w:lang w:eastAsia="es-ES_tradnl"/>
        </w:rPr>
        <w:lastRenderedPageBreak/>
        <w:t>cooperación; de ahí la razón por la cual la ley 80 de 1993 no se ocupó de derogar tal reglamentación”</w:t>
      </w:r>
      <w:r w:rsidRPr="00E35ED3">
        <w:rPr>
          <w:rFonts w:ascii="Verdana" w:hAnsi="Verdana"/>
          <w:sz w:val="20"/>
          <w:szCs w:val="20"/>
          <w:vertAlign w:val="superscript"/>
          <w:lang w:eastAsia="es-ES_tradnl"/>
        </w:rPr>
        <w:footnoteReference w:id="7"/>
      </w:r>
      <w:r w:rsidRPr="00E35ED3">
        <w:rPr>
          <w:rFonts w:ascii="Verdana" w:eastAsia="Calibri" w:hAnsi="Verdana" w:cs="Arial"/>
          <w:sz w:val="20"/>
          <w:szCs w:val="20"/>
          <w:lang w:eastAsia="es-ES_tradnl"/>
        </w:rPr>
        <w:t>.</w:t>
      </w:r>
    </w:p>
    <w:p w14:paraId="0764145B" w14:textId="77777777" w:rsidR="00F45D9C" w:rsidRPr="00D87550" w:rsidRDefault="00F45D9C" w:rsidP="00F45D9C">
      <w:pPr>
        <w:pStyle w:val="Prrafodelista"/>
        <w:spacing w:after="0" w:line="276" w:lineRule="auto"/>
        <w:ind w:right="709"/>
        <w:jc w:val="both"/>
        <w:rPr>
          <w:rFonts w:ascii="Verdana" w:eastAsia="Calibri" w:hAnsi="Verdana" w:cs="Arial"/>
          <w:lang w:eastAsia="es-ES_tradnl"/>
        </w:rPr>
      </w:pPr>
    </w:p>
    <w:p w14:paraId="256D9AF3" w14:textId="77777777" w:rsidR="00F45D9C" w:rsidRPr="00D87550" w:rsidRDefault="00F45D9C" w:rsidP="00F45D9C">
      <w:pPr>
        <w:spacing w:after="120" w:line="276" w:lineRule="auto"/>
        <w:ind w:firstLine="709"/>
        <w:jc w:val="both"/>
        <w:rPr>
          <w:rFonts w:ascii="Verdana" w:eastAsia="Calibri" w:hAnsi="Verdana" w:cs="Arial"/>
          <w:szCs w:val="24"/>
          <w:lang w:eastAsia="es-ES_tradnl"/>
        </w:rPr>
      </w:pPr>
      <w:r w:rsidRPr="00D87550">
        <w:rPr>
          <w:rFonts w:ascii="Verdana" w:eastAsia="Calibri" w:hAnsi="Verdana" w:cs="Arial"/>
          <w:szCs w:val="24"/>
          <w:lang w:eastAsia="es-ES_tradnl"/>
        </w:rPr>
        <w:t>Así las cosas, es claro que se trata de un régimen excepcional a la aplicación de la Ley 80 de 1993, el cual tiene origen en la especialidad de la materia, debido a que la Constitución Política otorga un carácter especial a las actividades de ciencia, tecnología e innovación, y el decreto citado desarrolla esto admitiendo un régimen jurídico diferente, es decir, el derecho privado. Lo anterior se corrobora en la Circular Externa Única expedida por la Agencia Nacional de Contratación Pública – Colombia Compra Eficiente que hace referencia a que este convenio puede incluir temas relativos a administración o financiamiento, que también tendrían el régimen privado del convenio</w:t>
      </w:r>
      <w:r w:rsidRPr="00D87550">
        <w:rPr>
          <w:rFonts w:ascii="Verdana" w:hAnsi="Verdana"/>
          <w:vertAlign w:val="superscript"/>
          <w:lang w:eastAsia="es-ES_tradnl"/>
        </w:rPr>
        <w:footnoteReference w:id="8"/>
      </w:r>
      <w:r w:rsidRPr="00D87550">
        <w:rPr>
          <w:rFonts w:ascii="Verdana" w:eastAsia="Calibri" w:hAnsi="Verdana" w:cs="Arial"/>
          <w:szCs w:val="24"/>
          <w:lang w:eastAsia="es-ES_tradnl"/>
        </w:rPr>
        <w:t>.</w:t>
      </w:r>
    </w:p>
    <w:p w14:paraId="78DE1ABA" w14:textId="77777777" w:rsidR="00F45D9C" w:rsidRDefault="00F45D9C" w:rsidP="00371C1C">
      <w:pPr>
        <w:shd w:val="clear" w:color="auto" w:fill="FFFFFF"/>
        <w:spacing w:before="120" w:after="0" w:line="276" w:lineRule="auto"/>
        <w:ind w:firstLine="709"/>
        <w:jc w:val="both"/>
        <w:rPr>
          <w:rFonts w:ascii="Verdana" w:hAnsi="Verdana" w:cs="Arial"/>
          <w:lang w:eastAsia="es-ES_tradnl"/>
        </w:rPr>
      </w:pPr>
      <w:r w:rsidRPr="00B26706">
        <w:rPr>
          <w:rFonts w:ascii="Verdana" w:hAnsi="Verdana" w:cs="Arial"/>
          <w:lang w:eastAsia="es-ES_tradnl"/>
        </w:rPr>
        <w:t xml:space="preserve">De conformidad con lo anterior, las entidades, como responsables de estructurar sus procedimientos de selección, deben definir si el objeto a contratar se encuadra en aquellas actividades consideradas científicas y tecnológicas y, en ejercicio de una debida diligencia, consultar al Ministerio </w:t>
      </w:r>
      <w:r w:rsidRPr="00BD7441">
        <w:rPr>
          <w:rFonts w:ascii="Verdana" w:hAnsi="Verdana" w:cs="Arial"/>
          <w:lang w:eastAsia="es-ES_tradnl"/>
        </w:rPr>
        <w:t>de Ciencia, Tecnología, e Innovación</w:t>
      </w:r>
      <w:r>
        <w:rPr>
          <w:rFonts w:ascii="Verdana" w:hAnsi="Verdana" w:cs="Arial"/>
          <w:lang w:eastAsia="es-ES_tradnl"/>
        </w:rPr>
        <w:t xml:space="preserve"> </w:t>
      </w:r>
      <w:r w:rsidRPr="00B26706">
        <w:rPr>
          <w:rFonts w:ascii="Verdana" w:hAnsi="Verdana" w:cs="Arial"/>
          <w:lang w:eastAsia="es-ES_tradnl"/>
        </w:rPr>
        <w:t>sobre su calificación. Se resalta que el régimen de las actividades de ciencia, tecnología e innovación se define a partir de las normas citadas, pero corresponde al Ministerio, como autoridad competente, catalogar las actividades cuando las entidades presenten dudas respecto de un objeto contractual que pretendan satisfacer. Adicionalmente, corresponde a las entidades adelantar una debida planeación para determinar y justificar la modalidad de contratación y la tipología contractual que adopten para la satisfacción de su necesidad.</w:t>
      </w:r>
    </w:p>
    <w:p w14:paraId="5DD64697" w14:textId="77777777" w:rsidR="00371C1C" w:rsidRPr="00B26706" w:rsidRDefault="00371C1C" w:rsidP="00A772A0">
      <w:pPr>
        <w:shd w:val="clear" w:color="auto" w:fill="FFFFFF"/>
        <w:spacing w:after="0" w:line="276" w:lineRule="auto"/>
        <w:ind w:firstLine="709"/>
        <w:jc w:val="both"/>
        <w:rPr>
          <w:rFonts w:ascii="Verdana" w:hAnsi="Verdana" w:cs="Arial"/>
          <w:lang w:eastAsia="es-ES_tradnl"/>
        </w:rPr>
      </w:pPr>
    </w:p>
    <w:p w14:paraId="7BB44DD6" w14:textId="77777777" w:rsidR="00F45D9C" w:rsidRPr="00CB68C5" w:rsidRDefault="00F45D9C" w:rsidP="00A772A0">
      <w:pPr>
        <w:spacing w:after="120" w:line="276" w:lineRule="auto"/>
        <w:jc w:val="both"/>
        <w:rPr>
          <w:rFonts w:ascii="Verdana" w:hAnsi="Verdana" w:cs="Arial"/>
        </w:rPr>
      </w:pPr>
      <w:proofErr w:type="spellStart"/>
      <w:r w:rsidRPr="00503E37">
        <w:rPr>
          <w:rFonts w:ascii="Verdana" w:eastAsia="Calibri" w:hAnsi="Verdana" w:cs="Arial"/>
          <w:lang w:val="es-ES"/>
        </w:rPr>
        <w:t>ii</w:t>
      </w:r>
      <w:proofErr w:type="spellEnd"/>
      <w:r w:rsidRPr="00503E37">
        <w:rPr>
          <w:rFonts w:ascii="Verdana" w:eastAsia="Calibri" w:hAnsi="Verdana" w:cs="Arial"/>
          <w:lang w:val="es-ES"/>
        </w:rPr>
        <w:t>. Frente al segundo problema jurídico,</w:t>
      </w:r>
      <w:r>
        <w:rPr>
          <w:rFonts w:ascii="Arial" w:hAnsi="Arial" w:cs="Arial"/>
          <w:color w:val="000000" w:themeColor="text1"/>
        </w:rPr>
        <w:t xml:space="preserve"> </w:t>
      </w:r>
      <w:bookmarkStart w:id="5" w:name="_Hlk121750800"/>
      <w:r>
        <w:rPr>
          <w:rFonts w:ascii="Arial" w:hAnsi="Arial" w:cs="Arial"/>
          <w:color w:val="000000" w:themeColor="text1"/>
        </w:rPr>
        <w:t>e</w:t>
      </w:r>
      <w:r w:rsidRPr="00CB68C5">
        <w:rPr>
          <w:rFonts w:ascii="Verdana" w:eastAsia="Calibri" w:hAnsi="Verdana" w:cs="Arial"/>
          <w:lang w:val="es-ES"/>
        </w:rPr>
        <w:t xml:space="preserv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 xml:space="preserve">el inciso primero del artículo 13 dispone que “Los contratos que celebren las entidades a que se refiere el artículo 2o. del presente estatuto se regirán por las disposiciones </w:t>
      </w:r>
      <w:r w:rsidRPr="00CB68C5">
        <w:rPr>
          <w:rFonts w:ascii="Verdana" w:hAnsi="Verdana" w:cs="Arial"/>
        </w:rPr>
        <w:lastRenderedPageBreak/>
        <w:t xml:space="preserve">comerciales y civiles pertinentes, salvo en las materias particularmente reguladas en esta ley”. </w:t>
      </w:r>
    </w:p>
    <w:p w14:paraId="4F1B0181" w14:textId="77777777" w:rsidR="00F45D9C" w:rsidRPr="00CB68C5" w:rsidRDefault="00F45D9C" w:rsidP="00F45D9C">
      <w:pPr>
        <w:spacing w:after="120" w:line="276" w:lineRule="auto"/>
        <w:ind w:firstLine="709"/>
        <w:jc w:val="both"/>
        <w:rPr>
          <w:rFonts w:ascii="Verdana" w:hAnsi="Verdana" w:cs="Arial"/>
        </w:rPr>
      </w:pPr>
      <w:r w:rsidRPr="00CB68C5">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5A1587F4" w14:textId="77777777" w:rsidR="00F45D9C" w:rsidRDefault="00F45D9C" w:rsidP="00371C1C">
      <w:pPr>
        <w:spacing w:after="0" w:line="276" w:lineRule="auto"/>
        <w:ind w:firstLine="709"/>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CB68C5">
        <w:rPr>
          <w:rStyle w:val="Refdenotaalpie"/>
          <w:rFonts w:ascii="Verdana" w:hAnsi="Verdana" w:cs="Arial"/>
        </w:rPr>
        <w:footnoteReference w:id="9"/>
      </w:r>
      <w:r w:rsidRPr="00CB68C5">
        <w:rPr>
          <w:rFonts w:ascii="Verdana" w:hAnsi="Verdana" w:cs="Arial"/>
        </w:rPr>
        <w:t>. Para la doctrina, la mixtura del régimen contractual:</w:t>
      </w:r>
    </w:p>
    <w:p w14:paraId="46AB522B" w14:textId="77777777" w:rsidR="00371C1C" w:rsidRPr="00CB68C5" w:rsidRDefault="00371C1C" w:rsidP="00A772A0">
      <w:pPr>
        <w:spacing w:after="0" w:line="276" w:lineRule="auto"/>
        <w:ind w:firstLine="709"/>
        <w:jc w:val="both"/>
        <w:rPr>
          <w:rFonts w:ascii="Verdana" w:hAnsi="Verdana" w:cs="Arial"/>
        </w:rPr>
      </w:pPr>
    </w:p>
    <w:p w14:paraId="070D9088" w14:textId="77777777" w:rsidR="00F45D9C" w:rsidRPr="00A772A0" w:rsidRDefault="00F45D9C" w:rsidP="00F45D9C">
      <w:pPr>
        <w:spacing w:after="0" w:line="240" w:lineRule="auto"/>
        <w:ind w:left="709" w:right="709"/>
        <w:jc w:val="both"/>
        <w:rPr>
          <w:rFonts w:ascii="Verdana" w:hAnsi="Verdana" w:cs="Arial"/>
          <w:sz w:val="20"/>
          <w:szCs w:val="20"/>
        </w:rPr>
      </w:pPr>
      <w:r w:rsidRPr="00A772A0">
        <w:rPr>
          <w:rFonts w:ascii="Verdana" w:hAnsi="Verdana" w:cs="Arial"/>
          <w:sz w:val="20"/>
          <w:szCs w:val="20"/>
        </w:rPr>
        <w:t xml:space="preserve">“[…] no hace otra cosa que aprovechar ciertos principios rectores de la contratación general </w:t>
      </w:r>
      <w:proofErr w:type="gramStart"/>
      <w:r w:rsidRPr="00A772A0">
        <w:rPr>
          <w:rFonts w:ascii="Verdana" w:hAnsi="Verdana" w:cs="Arial"/>
          <w:sz w:val="20"/>
          <w:szCs w:val="20"/>
        </w:rPr>
        <w:t>que</w:t>
      </w:r>
      <w:proofErr w:type="gramEnd"/>
      <w:r w:rsidRPr="00A772A0">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2E6E72AC" w14:textId="77777777" w:rsidR="00F45D9C" w:rsidRPr="00A772A0" w:rsidRDefault="00F45D9C" w:rsidP="00F45D9C">
      <w:pPr>
        <w:spacing w:after="0" w:line="240" w:lineRule="auto"/>
        <w:ind w:right="709"/>
        <w:jc w:val="both"/>
        <w:rPr>
          <w:rFonts w:ascii="Verdana" w:hAnsi="Verdana" w:cs="Arial"/>
          <w:sz w:val="20"/>
          <w:szCs w:val="20"/>
        </w:rPr>
      </w:pPr>
      <w:r w:rsidRPr="00A772A0">
        <w:rPr>
          <w:rFonts w:ascii="Verdana" w:hAnsi="Verdana" w:cs="Arial"/>
          <w:sz w:val="20"/>
          <w:szCs w:val="20"/>
        </w:rPr>
        <w:tab/>
      </w:r>
    </w:p>
    <w:p w14:paraId="5E31EBFA" w14:textId="77777777" w:rsidR="00F45D9C" w:rsidRPr="00A772A0" w:rsidRDefault="00F45D9C" w:rsidP="00F45D9C">
      <w:pPr>
        <w:spacing w:after="0" w:line="240" w:lineRule="auto"/>
        <w:ind w:left="709" w:right="709"/>
        <w:jc w:val="both"/>
        <w:rPr>
          <w:rFonts w:ascii="Verdana" w:hAnsi="Verdana" w:cs="Arial"/>
          <w:sz w:val="20"/>
          <w:szCs w:val="20"/>
        </w:rPr>
      </w:pPr>
      <w:r w:rsidRPr="00A772A0">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A772A0">
        <w:rPr>
          <w:rStyle w:val="Refdenotaalpie"/>
          <w:rFonts w:ascii="Verdana" w:hAnsi="Verdana" w:cs="Arial"/>
          <w:sz w:val="20"/>
          <w:szCs w:val="20"/>
        </w:rPr>
        <w:footnoteReference w:id="10"/>
      </w:r>
      <w:r w:rsidRPr="00A772A0">
        <w:rPr>
          <w:rFonts w:ascii="Verdana" w:hAnsi="Verdana" w:cs="Arial"/>
          <w:sz w:val="20"/>
          <w:szCs w:val="20"/>
        </w:rPr>
        <w:t xml:space="preserve">. </w:t>
      </w:r>
    </w:p>
    <w:p w14:paraId="3C36B834" w14:textId="77777777" w:rsidR="00F45D9C" w:rsidRPr="00CB68C5" w:rsidRDefault="00F45D9C" w:rsidP="00F45D9C">
      <w:pPr>
        <w:spacing w:after="120" w:line="276" w:lineRule="auto"/>
        <w:ind w:left="709" w:right="709" w:firstLine="709"/>
        <w:jc w:val="both"/>
        <w:rPr>
          <w:rFonts w:ascii="Verdana" w:hAnsi="Verdana" w:cs="Arial"/>
        </w:rPr>
      </w:pPr>
      <w:r w:rsidRPr="00CB68C5">
        <w:rPr>
          <w:rFonts w:ascii="Verdana" w:hAnsi="Verdana" w:cs="Arial"/>
        </w:rPr>
        <w:t xml:space="preserve"> </w:t>
      </w:r>
    </w:p>
    <w:p w14:paraId="1A456953" w14:textId="77777777" w:rsidR="00F45D9C" w:rsidRDefault="00F45D9C" w:rsidP="00F45D9C">
      <w:pPr>
        <w:spacing w:after="120" w:line="276" w:lineRule="auto"/>
        <w:ind w:firstLine="709"/>
        <w:jc w:val="both"/>
        <w:rPr>
          <w:rFonts w:ascii="Verdana" w:hAnsi="Verdana" w:cs="Arial"/>
        </w:rPr>
      </w:pPr>
      <w:r w:rsidRPr="00CB68C5">
        <w:rPr>
          <w:rFonts w:ascii="Verdana" w:hAnsi="Verdana" w:cs="Arial"/>
        </w:rPr>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w:t>
      </w:r>
      <w:r w:rsidRPr="00CB68C5">
        <w:rPr>
          <w:rFonts w:ascii="Verdana" w:hAnsi="Verdana" w:cs="Arial"/>
        </w:rPr>
        <w:lastRenderedPageBreak/>
        <w:t>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r w:rsidRPr="00CB68C5">
        <w:rPr>
          <w:rFonts w:ascii="Verdana" w:hAnsi="Verdana" w:cs="Arial"/>
        </w:rPr>
        <w:t xml:space="preserve">Esta precisión es importante, porque </w:t>
      </w:r>
      <w:r>
        <w:rPr>
          <w:rFonts w:ascii="Verdana" w:hAnsi="Verdana" w:cs="Arial"/>
        </w:rPr>
        <w:t>el comodato</w:t>
      </w:r>
      <w:r w:rsidRPr="00CB68C5">
        <w:rPr>
          <w:rFonts w:ascii="Verdana" w:hAnsi="Verdana" w:cs="Arial"/>
        </w:rPr>
        <w:t xml:space="preserve"> se encuentra tipificad</w:t>
      </w:r>
      <w:r>
        <w:rPr>
          <w:rFonts w:ascii="Verdana" w:hAnsi="Verdana" w:cs="Arial"/>
        </w:rPr>
        <w:t>o</w:t>
      </w:r>
      <w:r w:rsidRPr="00CB68C5">
        <w:rPr>
          <w:rFonts w:ascii="Verdana" w:hAnsi="Verdana" w:cs="Arial"/>
        </w:rPr>
        <w:t xml:space="preserve"> en el Código Civil y allí se encuentra gran parte de su régimen jurídico</w:t>
      </w:r>
      <w:r>
        <w:rPr>
          <w:rFonts w:ascii="Verdana" w:hAnsi="Verdana" w:cs="Arial"/>
        </w:rPr>
        <w:t>.</w:t>
      </w:r>
    </w:p>
    <w:p w14:paraId="73E66519" w14:textId="77777777" w:rsidR="00F45D9C" w:rsidRPr="00222802" w:rsidRDefault="00F45D9C" w:rsidP="00F45D9C">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El comodato está previsto en el título XXIX del Código Civil, en cuyo artículo 2200 lo define como aquel en que </w:t>
      </w:r>
      <w:r>
        <w:rPr>
          <w:rFonts w:ascii="Verdana" w:eastAsia="Calibri" w:hAnsi="Verdana" w:cs="Arial"/>
          <w:bCs/>
          <w:color w:val="000000" w:themeColor="text1"/>
        </w:rPr>
        <w:t>“</w:t>
      </w:r>
      <w:r w:rsidRPr="00222802">
        <w:rPr>
          <w:rFonts w:ascii="Verdana" w:eastAsia="Calibri" w:hAnsi="Verdana" w:cs="Arial"/>
          <w:bCs/>
          <w:color w:val="000000" w:themeColor="text1"/>
        </w:rPr>
        <w:t>[…] una de las partes entrega a la otra gratuitamente una especie mueble o raíz, para que haga uso de ella y con cargo de restituir la misma especie después de terminar el uso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bookmarkEnd w:id="5"/>
      <w:r w:rsidRPr="00222802">
        <w:rPr>
          <w:rFonts w:ascii="Verdana" w:eastAsia="Calibri" w:hAnsi="Verdana" w:cs="Arial"/>
          <w:bCs/>
          <w:color w:val="000000" w:themeColor="text1"/>
        </w:rPr>
        <w:t>En virtud de esta definición, se desprende su carácter de contrato nominado, principal, real, unilateral y gratuito</w:t>
      </w:r>
      <w:r w:rsidRPr="00222802">
        <w:rPr>
          <w:rFonts w:ascii="Verdana" w:eastAsia="Calibri" w:hAnsi="Verdana" w:cs="Arial"/>
          <w:bCs/>
          <w:color w:val="000000" w:themeColor="text1"/>
          <w:vertAlign w:val="superscript"/>
        </w:rPr>
        <w:footnoteReference w:id="11"/>
      </w:r>
      <w:r w:rsidRPr="00222802">
        <w:rPr>
          <w:rFonts w:ascii="Verdana" w:eastAsia="Calibri" w:hAnsi="Verdana" w:cs="Arial"/>
          <w:bCs/>
          <w:color w:val="000000" w:themeColor="text1"/>
        </w:rPr>
        <w:t xml:space="preserve">. También se le ha denominado a este negocio jurídico como préstamo de uso, aunque con características propias y completamente diferente al préstamo de consumo. </w:t>
      </w:r>
    </w:p>
    <w:p w14:paraId="68C16904" w14:textId="7DBB07EB" w:rsidR="00F45D9C" w:rsidRPr="00222802" w:rsidRDefault="00F45D9C" w:rsidP="00F45D9C">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De igual manera, el</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artículo 2201</w:t>
      </w:r>
      <w:r>
        <w:rPr>
          <w:rFonts w:ascii="Verdana" w:eastAsia="Calibri" w:hAnsi="Verdana" w:cs="Arial"/>
          <w:bCs/>
          <w:color w:val="000000" w:themeColor="text1"/>
        </w:rPr>
        <w:t xml:space="preserve"> del </w:t>
      </w:r>
      <w:r w:rsidRPr="00222802">
        <w:rPr>
          <w:rFonts w:ascii="Verdana" w:eastAsia="Calibri" w:hAnsi="Verdana" w:cs="Arial"/>
          <w:bCs/>
          <w:color w:val="000000" w:themeColor="text1"/>
        </w:rPr>
        <w:t xml:space="preserve">Código Civil regula lo relacionado con los derechos del comodante. Al respecto, establece que el comodato no trasfiere el dominio de la cosa dada en comodato y, por ello, </w:t>
      </w:r>
      <w:r>
        <w:rPr>
          <w:rFonts w:ascii="Verdana" w:eastAsia="Calibri" w:hAnsi="Verdana" w:cs="Arial"/>
          <w:bCs/>
          <w:color w:val="000000" w:themeColor="text1"/>
        </w:rPr>
        <w:t>“E</w:t>
      </w:r>
      <w:r w:rsidRPr="00222802">
        <w:rPr>
          <w:rFonts w:ascii="Verdana" w:eastAsia="Calibri" w:hAnsi="Verdana" w:cs="Arial"/>
          <w:bCs/>
          <w:color w:val="000000" w:themeColor="text1"/>
        </w:rPr>
        <w:t xml:space="preserve">l </w:t>
      </w:r>
      <w:r w:rsidR="00C021F8" w:rsidRPr="00222802">
        <w:rPr>
          <w:rFonts w:ascii="Verdana" w:eastAsia="Calibri" w:hAnsi="Verdana" w:cs="Arial"/>
          <w:bCs/>
          <w:color w:val="000000" w:themeColor="text1"/>
        </w:rPr>
        <w:t xml:space="preserve">comodante </w:t>
      </w:r>
      <w:r w:rsidR="00C021F8">
        <w:rPr>
          <w:rFonts w:ascii="Verdana" w:eastAsia="Calibri" w:hAnsi="Verdana" w:cs="Arial"/>
          <w:bCs/>
          <w:color w:val="000000" w:themeColor="text1"/>
        </w:rPr>
        <w:t>conserva</w:t>
      </w:r>
      <w:r w:rsidRPr="00222802">
        <w:rPr>
          <w:rFonts w:ascii="Verdana" w:eastAsia="Calibri" w:hAnsi="Verdana" w:cs="Arial"/>
          <w:bCs/>
          <w:color w:val="000000" w:themeColor="text1"/>
        </w:rPr>
        <w:t xml:space="preserve"> sobre la cosa prestada todos los derechos que antes tenía, pero no su ejercicio, en cuanto fuere incompatible con el uso concedido al comodatario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P</w:t>
      </w:r>
      <w:r w:rsidRPr="00222802">
        <w:rPr>
          <w:rFonts w:ascii="Verdana" w:eastAsia="Calibri" w:hAnsi="Verdana" w:cs="Arial"/>
          <w:bCs/>
          <w:color w:val="000000" w:themeColor="text1"/>
        </w:rPr>
        <w:t xml:space="preserve">or lo tanto, </w:t>
      </w:r>
      <w:bookmarkStart w:id="6" w:name="_Hlk121750901"/>
      <w:r w:rsidRPr="00222802">
        <w:rPr>
          <w:rFonts w:ascii="Verdana" w:eastAsia="Calibri" w:hAnsi="Verdana" w:cs="Arial"/>
          <w:bCs/>
          <w:color w:val="000000" w:themeColor="text1"/>
        </w:rPr>
        <w:t>el comodatario es un mero tenedor de la cosa y</w:t>
      </w:r>
      <w:r>
        <w:rPr>
          <w:rFonts w:ascii="Verdana" w:eastAsia="Calibri" w:hAnsi="Verdana" w:cs="Arial"/>
          <w:bCs/>
          <w:color w:val="000000" w:themeColor="text1"/>
        </w:rPr>
        <w:t xml:space="preserve">, en los términos del </w:t>
      </w:r>
      <w:r w:rsidRPr="00222802">
        <w:rPr>
          <w:rFonts w:ascii="Verdana" w:eastAsia="Calibri" w:hAnsi="Verdana" w:cs="Arial"/>
          <w:bCs/>
          <w:color w:val="000000" w:themeColor="text1"/>
        </w:rPr>
        <w:t>artículo 2205</w:t>
      </w:r>
      <w:r>
        <w:rPr>
          <w:rFonts w:ascii="Verdana" w:eastAsia="Calibri" w:hAnsi="Verdana" w:cs="Arial"/>
          <w:bCs/>
          <w:color w:val="000000" w:themeColor="text1"/>
        </w:rPr>
        <w:t xml:space="preserve"> </w:t>
      </w:r>
      <w:r w:rsidRPr="009F2D84">
        <w:rPr>
          <w:rFonts w:ascii="Verdana" w:eastAsia="Calibri" w:hAnsi="Verdana" w:cs="Arial"/>
          <w:bCs/>
          <w:i/>
          <w:iCs/>
          <w:color w:val="000000" w:themeColor="text1"/>
        </w:rPr>
        <w:t>ibidem</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está obligado a la restitución del bien entregado en comodato al vencimiento del plazo o cuando se ha cumplido el servicio para el cual ha sido prestada</w:t>
      </w:r>
      <w:bookmarkEnd w:id="6"/>
      <w:r w:rsidRPr="00222802">
        <w:rPr>
          <w:rStyle w:val="Refdenotaalpie"/>
          <w:rFonts w:ascii="Verdana" w:eastAsia="Calibri" w:hAnsi="Verdana" w:cs="Arial"/>
          <w:bCs/>
          <w:color w:val="000000" w:themeColor="text1"/>
        </w:rPr>
        <w:footnoteReference w:id="12"/>
      </w:r>
      <w:r w:rsidRPr="00222802">
        <w:rPr>
          <w:rFonts w:ascii="Verdana" w:eastAsia="Calibri" w:hAnsi="Verdana" w:cs="Arial"/>
          <w:bCs/>
          <w:color w:val="000000" w:themeColor="text1"/>
        </w:rPr>
        <w:t xml:space="preserve">. </w:t>
      </w:r>
    </w:p>
    <w:p w14:paraId="5EE69EE2" w14:textId="77777777" w:rsidR="00F45D9C" w:rsidRDefault="00F45D9C" w:rsidP="00F45D9C">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lastRenderedPageBreak/>
        <w:t xml:space="preserve">Conforme al </w:t>
      </w:r>
      <w:r w:rsidRPr="00222802">
        <w:rPr>
          <w:rFonts w:ascii="Verdana" w:eastAsia="Calibri" w:hAnsi="Verdana" w:cs="Arial"/>
          <w:bCs/>
          <w:color w:val="000000" w:themeColor="text1"/>
        </w:rPr>
        <w:t>artículo 2202</w:t>
      </w:r>
      <w:r>
        <w:rPr>
          <w:rFonts w:ascii="Verdana" w:eastAsia="Calibri" w:hAnsi="Verdana" w:cs="Arial"/>
          <w:bCs/>
          <w:color w:val="000000" w:themeColor="text1"/>
        </w:rPr>
        <w:t xml:space="preserve"> del Código Civil</w:t>
      </w:r>
      <w:r w:rsidRPr="00222802">
        <w:rPr>
          <w:rFonts w:ascii="Verdana" w:eastAsia="Calibri" w:hAnsi="Verdana" w:cs="Arial"/>
          <w:bCs/>
          <w:color w:val="000000" w:themeColor="text1"/>
        </w:rPr>
        <w:t>, el comodatario tendrá la obligación de emplear la cosa para el uso convenido, o a falta de acuerdo, está obligado a usar la cosa bajo el uso ordinario</w:t>
      </w:r>
      <w:r w:rsidRPr="00222802">
        <w:rPr>
          <w:rStyle w:val="Refdenotaalpie"/>
          <w:rFonts w:ascii="Verdana" w:eastAsia="Calibri" w:hAnsi="Verdana" w:cs="Arial"/>
          <w:bCs/>
          <w:color w:val="000000" w:themeColor="text1"/>
        </w:rPr>
        <w:footnoteReference w:id="13"/>
      </w:r>
      <w:r w:rsidRPr="00222802">
        <w:rPr>
          <w:rFonts w:ascii="Verdana" w:eastAsia="Calibri" w:hAnsi="Verdana" w:cs="Arial"/>
          <w:bCs/>
          <w:color w:val="000000" w:themeColor="text1"/>
        </w:rPr>
        <w:t xml:space="preserve">. De incumplir esta obligación, el comodante podrá exigir la reparación de perjuicios y la restitución inmediata de la cosa. A propósito de las características del contrato de comodato, la Sala de Consulta y Servicio Civil del Consejo de Estado </w:t>
      </w:r>
      <w:r>
        <w:rPr>
          <w:rFonts w:ascii="Verdana" w:eastAsia="Calibri" w:hAnsi="Verdana" w:cs="Arial"/>
          <w:bCs/>
          <w:color w:val="000000" w:themeColor="text1"/>
        </w:rPr>
        <w:t>explica que</w:t>
      </w:r>
      <w:r w:rsidRPr="00222802">
        <w:rPr>
          <w:rFonts w:ascii="Verdana" w:eastAsia="Calibri" w:hAnsi="Verdana" w:cs="Arial"/>
          <w:bCs/>
          <w:color w:val="000000" w:themeColor="text1"/>
        </w:rPr>
        <w:t xml:space="preserve">: </w:t>
      </w:r>
    </w:p>
    <w:p w14:paraId="506A3B89" w14:textId="77777777" w:rsidR="00F45D9C" w:rsidRPr="00C021F8" w:rsidRDefault="00F45D9C" w:rsidP="00C021F8">
      <w:pPr>
        <w:spacing w:after="0" w:line="240" w:lineRule="auto"/>
        <w:ind w:firstLine="709"/>
        <w:jc w:val="both"/>
        <w:rPr>
          <w:rFonts w:ascii="Verdana" w:eastAsia="Calibri" w:hAnsi="Verdana" w:cs="Arial"/>
          <w:bCs/>
          <w:color w:val="000000" w:themeColor="text1"/>
          <w:sz w:val="20"/>
          <w:szCs w:val="20"/>
        </w:rPr>
      </w:pPr>
    </w:p>
    <w:p w14:paraId="167AE524" w14:textId="77777777" w:rsidR="00F45D9C" w:rsidRPr="00C021F8" w:rsidRDefault="00F45D9C" w:rsidP="00C021F8">
      <w:pPr>
        <w:spacing w:line="240" w:lineRule="auto"/>
        <w:ind w:left="709" w:right="709"/>
        <w:contextualSpacing/>
        <w:jc w:val="both"/>
        <w:rPr>
          <w:rFonts w:ascii="Verdana" w:hAnsi="Verdana" w:cs="Arial"/>
          <w:color w:val="000000" w:themeColor="text1"/>
          <w:sz w:val="20"/>
          <w:szCs w:val="20"/>
        </w:rPr>
      </w:pPr>
      <w:r w:rsidRPr="00C021F8">
        <w:rPr>
          <w:rFonts w:ascii="Verdana" w:hAnsi="Verdana" w:cs="Arial"/>
          <w:color w:val="000000" w:themeColor="text1"/>
          <w:sz w:val="20"/>
          <w:szCs w:val="20"/>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03B55EEA" w14:textId="77777777" w:rsidR="00F45D9C" w:rsidRPr="00C021F8" w:rsidRDefault="00F45D9C" w:rsidP="00C021F8">
      <w:pPr>
        <w:spacing w:after="120" w:line="240" w:lineRule="auto"/>
        <w:ind w:left="709" w:right="709"/>
        <w:contextualSpacing/>
        <w:jc w:val="both"/>
        <w:rPr>
          <w:rFonts w:ascii="Verdana" w:hAnsi="Verdana" w:cs="Arial"/>
          <w:color w:val="000000" w:themeColor="text1"/>
          <w:sz w:val="20"/>
          <w:szCs w:val="20"/>
        </w:rPr>
      </w:pPr>
      <w:r w:rsidRPr="00C021F8">
        <w:rPr>
          <w:rFonts w:ascii="Verdana" w:hAnsi="Verdana" w:cs="Arial"/>
          <w:color w:val="000000" w:themeColor="text1"/>
          <w:sz w:val="20"/>
          <w:szCs w:val="20"/>
        </w:rPr>
        <w:t xml:space="preserve">[…] </w:t>
      </w:r>
    </w:p>
    <w:p w14:paraId="6006D966" w14:textId="77777777" w:rsidR="00F45D9C" w:rsidRPr="00C021F8" w:rsidRDefault="00F45D9C" w:rsidP="00C021F8">
      <w:pPr>
        <w:spacing w:after="120" w:line="240" w:lineRule="auto"/>
        <w:ind w:left="709" w:right="709"/>
        <w:contextualSpacing/>
        <w:jc w:val="both"/>
        <w:rPr>
          <w:rFonts w:ascii="Verdana" w:hAnsi="Verdana" w:cs="Arial"/>
          <w:color w:val="000000" w:themeColor="text1"/>
          <w:sz w:val="20"/>
          <w:szCs w:val="20"/>
        </w:rPr>
      </w:pPr>
    </w:p>
    <w:p w14:paraId="01CF0636" w14:textId="77777777" w:rsidR="00F45D9C" w:rsidRPr="00C021F8" w:rsidRDefault="00F45D9C" w:rsidP="00C021F8">
      <w:pPr>
        <w:spacing w:after="0" w:line="240" w:lineRule="auto"/>
        <w:ind w:left="709" w:right="709"/>
        <w:contextualSpacing/>
        <w:jc w:val="both"/>
        <w:rPr>
          <w:rFonts w:ascii="Verdana" w:hAnsi="Verdana" w:cs="Arial"/>
          <w:color w:val="000000" w:themeColor="text1"/>
          <w:sz w:val="20"/>
          <w:szCs w:val="20"/>
        </w:rPr>
      </w:pPr>
      <w:r w:rsidRPr="00C021F8">
        <w:rPr>
          <w:rFonts w:ascii="Verdana" w:hAnsi="Verdana" w:cs="Arial"/>
          <w:color w:val="000000" w:themeColor="text1"/>
          <w:sz w:val="20"/>
          <w:szCs w:val="20"/>
        </w:rPr>
        <w:t>La Sala retoma algunos aspectos analizados en consultas anteriores sobre las características del contrato en comento y precisa lo siguiente con el fin de comprender el alcance de esta figura:</w:t>
      </w:r>
    </w:p>
    <w:p w14:paraId="7E2DE529" w14:textId="77777777" w:rsidR="00F45D9C" w:rsidRPr="00C021F8" w:rsidRDefault="00F45D9C" w:rsidP="00C021F8">
      <w:pPr>
        <w:spacing w:line="240" w:lineRule="auto"/>
        <w:ind w:left="709" w:right="709"/>
        <w:contextualSpacing/>
        <w:jc w:val="both"/>
        <w:rPr>
          <w:rFonts w:ascii="Verdana" w:eastAsia="Calibri" w:hAnsi="Verdana" w:cs="Arial"/>
          <w:bCs/>
          <w:color w:val="000000" w:themeColor="text1"/>
          <w:sz w:val="20"/>
          <w:szCs w:val="20"/>
        </w:rPr>
      </w:pPr>
    </w:p>
    <w:p w14:paraId="41BD41CB" w14:textId="77777777" w:rsidR="00F45D9C" w:rsidRPr="00C021F8" w:rsidRDefault="00F45D9C" w:rsidP="00C021F8">
      <w:pPr>
        <w:numPr>
          <w:ilvl w:val="0"/>
          <w:numId w:val="18"/>
        </w:numPr>
        <w:tabs>
          <w:tab w:val="clear" w:pos="720"/>
          <w:tab w:val="num" w:pos="1068"/>
        </w:tabs>
        <w:spacing w:after="120" w:line="240" w:lineRule="auto"/>
        <w:ind w:left="1066" w:right="709" w:hanging="357"/>
        <w:contextualSpacing/>
        <w:jc w:val="both"/>
        <w:rPr>
          <w:rFonts w:ascii="Verdana" w:eastAsia="Calibri" w:hAnsi="Verdana" w:cs="Arial"/>
          <w:bCs/>
          <w:color w:val="000000" w:themeColor="text1"/>
          <w:sz w:val="20"/>
          <w:szCs w:val="20"/>
        </w:rPr>
      </w:pPr>
      <w:r w:rsidRPr="00C021F8">
        <w:rPr>
          <w:rFonts w:ascii="Verdana" w:eastAsia="Calibri" w:hAnsi="Verdana" w:cs="Arial"/>
          <w:bCs/>
          <w:color w:val="000000" w:themeColor="text1"/>
          <w:sz w:val="20"/>
          <w:szCs w:val="20"/>
        </w:rPr>
        <w:t>El comodato se clasifica dentro de los denominados contratos traslaticios del uso y disfrute de un bien.</w:t>
      </w:r>
    </w:p>
    <w:p w14:paraId="1491E8E2" w14:textId="77777777" w:rsidR="00F45D9C" w:rsidRPr="00C021F8" w:rsidRDefault="00F45D9C" w:rsidP="00C021F8">
      <w:pPr>
        <w:tabs>
          <w:tab w:val="num" w:pos="1068"/>
        </w:tabs>
        <w:spacing w:after="120" w:line="240" w:lineRule="auto"/>
        <w:ind w:left="1066" w:right="709"/>
        <w:contextualSpacing/>
        <w:jc w:val="both"/>
        <w:rPr>
          <w:rFonts w:ascii="Verdana" w:eastAsia="Calibri" w:hAnsi="Verdana" w:cs="Arial"/>
          <w:bCs/>
          <w:color w:val="000000" w:themeColor="text1"/>
          <w:sz w:val="20"/>
          <w:szCs w:val="20"/>
        </w:rPr>
      </w:pPr>
    </w:p>
    <w:p w14:paraId="3C9FDB4D" w14:textId="77777777" w:rsidR="00F45D9C" w:rsidRPr="00C021F8" w:rsidRDefault="00F45D9C" w:rsidP="00C021F8">
      <w:pPr>
        <w:numPr>
          <w:ilvl w:val="0"/>
          <w:numId w:val="18"/>
        </w:numPr>
        <w:spacing w:after="120" w:line="240" w:lineRule="auto"/>
        <w:ind w:left="1069" w:right="709"/>
        <w:contextualSpacing/>
        <w:jc w:val="both"/>
        <w:rPr>
          <w:rFonts w:ascii="Verdana" w:eastAsia="Calibri" w:hAnsi="Verdana" w:cs="Arial"/>
          <w:bCs/>
          <w:color w:val="000000" w:themeColor="text1"/>
          <w:sz w:val="20"/>
          <w:szCs w:val="20"/>
        </w:rPr>
      </w:pPr>
      <w:r w:rsidRPr="00C021F8">
        <w:rPr>
          <w:rFonts w:ascii="Verdana" w:eastAsia="Calibri" w:hAnsi="Verdana" w:cs="Arial"/>
          <w:bCs/>
          <w:color w:val="000000" w:themeColor="text1"/>
          <w:sz w:val="20"/>
          <w:szCs w:val="20"/>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C021F8">
        <w:rPr>
          <w:rStyle w:val="Refdenotaalpie"/>
          <w:rFonts w:ascii="Verdana" w:eastAsia="Calibri" w:hAnsi="Verdana" w:cs="Arial"/>
          <w:bCs/>
          <w:color w:val="000000" w:themeColor="text1"/>
          <w:sz w:val="20"/>
          <w:szCs w:val="20"/>
        </w:rPr>
        <w:footnoteReference w:id="14"/>
      </w:r>
      <w:r w:rsidRPr="00C021F8">
        <w:rPr>
          <w:rFonts w:ascii="Verdana" w:eastAsia="Calibri" w:hAnsi="Verdana" w:cs="Arial"/>
          <w:bCs/>
          <w:color w:val="000000" w:themeColor="text1"/>
          <w:sz w:val="20"/>
          <w:szCs w:val="20"/>
        </w:rPr>
        <w:t>.</w:t>
      </w:r>
    </w:p>
    <w:p w14:paraId="5BACF176" w14:textId="77777777" w:rsidR="00F45D9C" w:rsidRPr="00222802" w:rsidRDefault="00F45D9C" w:rsidP="00F45D9C">
      <w:pPr>
        <w:spacing w:after="120" w:line="276" w:lineRule="auto"/>
        <w:ind w:firstLine="709"/>
        <w:jc w:val="both"/>
        <w:rPr>
          <w:rFonts w:ascii="Verdana" w:eastAsia="Calibri" w:hAnsi="Verdana" w:cs="Arial"/>
          <w:bCs/>
          <w:color w:val="000000" w:themeColor="text1"/>
        </w:rPr>
      </w:pPr>
    </w:p>
    <w:p w14:paraId="14B82991" w14:textId="77777777" w:rsidR="00F45D9C" w:rsidRPr="00222802" w:rsidRDefault="00F45D9C" w:rsidP="00F45D9C">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 bien el artículo 1452 del Código Civil dispone que no existe donación en el comodato, implica un auxilio en favor de terceros. Para estos efectos, la jurisprudencia considera que el contrato </w:t>
      </w:r>
      <w:r>
        <w:rPr>
          <w:rFonts w:ascii="Verdana" w:eastAsia="Calibri" w:hAnsi="Verdana" w:cs="Arial"/>
          <w:bCs/>
          <w:color w:val="000000" w:themeColor="text1"/>
        </w:rPr>
        <w:t>“</w:t>
      </w:r>
      <w:r w:rsidRPr="001E075A">
        <w:rPr>
          <w:rFonts w:ascii="Verdana" w:eastAsia="Calibri" w:hAnsi="Verdana" w:cs="Arial"/>
          <w:bCs/>
          <w:iCs/>
          <w:color w:val="000000" w:themeColor="text1"/>
        </w:rPr>
        <w:t xml:space="preserve">Es tal vez una de las más elementales pero contundentes muestras de solidaridad, ayuda y auxilio, como que se trata </w:t>
      </w:r>
      <w:r w:rsidRPr="001E075A">
        <w:rPr>
          <w:rFonts w:ascii="Verdana" w:eastAsia="Calibri" w:hAnsi="Verdana" w:cs="Arial"/>
          <w:bCs/>
          <w:iCs/>
          <w:color w:val="000000" w:themeColor="text1"/>
        </w:rPr>
        <w:lastRenderedPageBreak/>
        <w:t xml:space="preserve">de un acto de cortesía, benevolencia, beneficencia o complacencia que no tiene el lucro como inspiración esencial y que facilita al comodatario la satisfacción de sus necesidades […] No en vano, comodato viene del latín </w:t>
      </w:r>
      <w:proofErr w:type="spellStart"/>
      <w:r w:rsidRPr="001E075A">
        <w:rPr>
          <w:rFonts w:ascii="Verdana" w:eastAsia="Calibri" w:hAnsi="Verdana" w:cs="Arial"/>
          <w:bCs/>
          <w:i/>
          <w:color w:val="000000" w:themeColor="text1"/>
        </w:rPr>
        <w:t>commodatum</w:t>
      </w:r>
      <w:proofErr w:type="spellEnd"/>
      <w:r w:rsidRPr="001E075A">
        <w:rPr>
          <w:rFonts w:ascii="Verdana" w:eastAsia="Calibri" w:hAnsi="Verdana" w:cs="Arial"/>
          <w:bCs/>
          <w:iCs/>
          <w:color w:val="000000" w:themeColor="text1"/>
        </w:rPr>
        <w:t xml:space="preserve">, expresión que conjuga los términos </w:t>
      </w:r>
      <w:proofErr w:type="spellStart"/>
      <w:r w:rsidRPr="001E075A">
        <w:rPr>
          <w:rFonts w:ascii="Verdana" w:eastAsia="Calibri" w:hAnsi="Verdana" w:cs="Arial"/>
          <w:bCs/>
          <w:i/>
          <w:color w:val="000000" w:themeColor="text1"/>
        </w:rPr>
        <w:t>commodum</w:t>
      </w:r>
      <w:proofErr w:type="spellEnd"/>
      <w:r w:rsidRPr="001E075A">
        <w:rPr>
          <w:rFonts w:ascii="Verdana" w:eastAsia="Calibri" w:hAnsi="Verdana" w:cs="Arial"/>
          <w:bCs/>
          <w:iCs/>
          <w:color w:val="000000" w:themeColor="text1"/>
        </w:rPr>
        <w:t xml:space="preserve"> -utilidad, provecho- y </w:t>
      </w:r>
      <w:r w:rsidRPr="001E075A">
        <w:rPr>
          <w:rFonts w:ascii="Verdana" w:eastAsia="Calibri" w:hAnsi="Verdana" w:cs="Arial"/>
          <w:bCs/>
          <w:i/>
          <w:color w:val="000000" w:themeColor="text1"/>
        </w:rPr>
        <w:t>datum</w:t>
      </w:r>
      <w:r w:rsidRPr="001E075A">
        <w:rPr>
          <w:rFonts w:ascii="Verdana" w:eastAsia="Calibri" w:hAnsi="Verdana" w:cs="Arial"/>
          <w:bCs/>
          <w:iCs/>
          <w:color w:val="000000" w:themeColor="text1"/>
        </w:rPr>
        <w:t xml:space="preserve"> -dar-, es decir, entregar para utilidad de otro (</w:t>
      </w:r>
      <w:proofErr w:type="spellStart"/>
      <w:r w:rsidRPr="001E075A">
        <w:rPr>
          <w:rFonts w:ascii="Verdana" w:eastAsia="Calibri" w:hAnsi="Verdana" w:cs="Arial"/>
          <w:bCs/>
          <w:i/>
          <w:color w:val="000000" w:themeColor="text1"/>
        </w:rPr>
        <w:t>utendum</w:t>
      </w:r>
      <w:proofErr w:type="spellEnd"/>
      <w:r w:rsidRPr="001E075A">
        <w:rPr>
          <w:rFonts w:ascii="Verdana" w:eastAsia="Calibri" w:hAnsi="Verdana" w:cs="Arial"/>
          <w:bCs/>
          <w:i/>
          <w:color w:val="000000" w:themeColor="text1"/>
        </w:rPr>
        <w:t xml:space="preserve"> </w:t>
      </w:r>
      <w:proofErr w:type="spellStart"/>
      <w:r w:rsidRPr="001E075A">
        <w:rPr>
          <w:rFonts w:ascii="Verdana" w:eastAsia="Calibri" w:hAnsi="Verdana" w:cs="Arial"/>
          <w:bCs/>
          <w:i/>
          <w:color w:val="000000" w:themeColor="text1"/>
        </w:rPr>
        <w:t>dare</w:t>
      </w:r>
      <w:proofErr w:type="spellEnd"/>
      <w:r w:rsidRPr="001E075A">
        <w:rPr>
          <w:rFonts w:ascii="Verdana" w:eastAsia="Calibri" w:hAnsi="Verdana" w:cs="Arial"/>
          <w:bCs/>
          <w:iCs/>
          <w:color w:val="000000" w:themeColor="text1"/>
        </w:rPr>
        <w:t>)</w:t>
      </w:r>
      <w:r>
        <w:rPr>
          <w:rFonts w:ascii="Verdana" w:eastAsia="Calibri" w:hAnsi="Verdana" w:cs="Arial"/>
          <w:bCs/>
          <w:color w:val="000000" w:themeColor="text1"/>
        </w:rPr>
        <w:t>”</w:t>
      </w:r>
      <w:r w:rsidRPr="00222802">
        <w:rPr>
          <w:rFonts w:ascii="Verdana" w:eastAsia="Calibri" w:hAnsi="Verdana"/>
          <w:vertAlign w:val="superscript"/>
        </w:rPr>
        <w:footnoteReference w:id="15"/>
      </w:r>
      <w:bookmarkStart w:id="9" w:name="_Hlk35263504"/>
      <w:r w:rsidRPr="00222802">
        <w:rPr>
          <w:rFonts w:ascii="Verdana" w:eastAsia="Calibri" w:hAnsi="Verdana" w:cs="Arial"/>
          <w:bCs/>
          <w:color w:val="000000" w:themeColor="text1"/>
        </w:rPr>
        <w:t xml:space="preserve">. </w:t>
      </w:r>
    </w:p>
    <w:p w14:paraId="781F5027" w14:textId="77777777" w:rsidR="00F45D9C" w:rsidRPr="00222802" w:rsidRDefault="00F45D9C" w:rsidP="00F45D9C">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Sin perjuicio de lo anterior, resulta relevante resaltar que </w:t>
      </w:r>
      <w:bookmarkStart w:id="10" w:name="_Hlk121742558"/>
      <w:r w:rsidRPr="00222802">
        <w:rPr>
          <w:rFonts w:ascii="Verdana" w:eastAsia="Calibri" w:hAnsi="Verdana" w:cs="Arial"/>
          <w:bCs/>
          <w:color w:val="000000" w:themeColor="text1"/>
        </w:rPr>
        <w:t>esta tipología contractual es restrictiva en la contratación pública, cuando se pretende celebrar con particulares, máxime cuando el ordenamiento s</w:t>
      </w:r>
      <w:r>
        <w:rPr>
          <w:rFonts w:ascii="Verdana" w:eastAsia="Calibri" w:hAnsi="Verdana" w:cs="Arial"/>
          <w:bCs/>
          <w:color w:val="000000" w:themeColor="text1"/>
        </w:rPr>
        <w:t>ó</w:t>
      </w:r>
      <w:r w:rsidRPr="00222802">
        <w:rPr>
          <w:rFonts w:ascii="Verdana" w:eastAsia="Calibri" w:hAnsi="Verdana" w:cs="Arial"/>
          <w:bCs/>
          <w:color w:val="000000" w:themeColor="text1"/>
        </w:rPr>
        <w:t>lo permite donaciones y auxilios a favor de entidades estatales.</w:t>
      </w:r>
      <w:bookmarkEnd w:id="10"/>
      <w:r w:rsidRPr="00222802">
        <w:rPr>
          <w:rFonts w:ascii="Verdana" w:eastAsia="Calibri" w:hAnsi="Verdana" w:cs="Arial"/>
          <w:bCs/>
          <w:color w:val="000000" w:themeColor="text1"/>
        </w:rPr>
        <w:t xml:space="preserve"> Al respecto, es importante destacar que el artículo 38 de la Ley 9 de 1989</w:t>
      </w:r>
      <w:bookmarkEnd w:id="9"/>
      <w:r w:rsidRPr="00222802">
        <w:rPr>
          <w:rFonts w:ascii="Verdana" w:eastAsia="Calibri" w:hAnsi="Verdana" w:cs="Arial"/>
          <w:bCs/>
          <w:color w:val="000000" w:themeColor="text1"/>
        </w:rPr>
        <w:t xml:space="preserve"> </w:t>
      </w:r>
      <w:r>
        <w:rPr>
          <w:rFonts w:ascii="Verdana" w:eastAsia="Calibri" w:hAnsi="Verdana" w:cs="Arial"/>
          <w:bCs/>
          <w:color w:val="000000" w:themeColor="text1"/>
        </w:rPr>
        <w:t>prescribe que</w:t>
      </w:r>
      <w:r w:rsidRPr="00222802">
        <w:rPr>
          <w:rFonts w:ascii="Verdana" w:eastAsia="Calibri" w:hAnsi="Verdana" w:cs="Arial"/>
          <w:bCs/>
          <w:color w:val="000000" w:themeColor="text1"/>
        </w:rPr>
        <w:t>:</w:t>
      </w:r>
    </w:p>
    <w:p w14:paraId="6452D603" w14:textId="77777777" w:rsidR="00F45D9C" w:rsidRPr="00C021F8" w:rsidRDefault="00F45D9C" w:rsidP="00C021F8">
      <w:pPr>
        <w:pStyle w:val="Prrafodelista"/>
        <w:spacing w:after="120" w:line="240" w:lineRule="auto"/>
        <w:ind w:left="709" w:right="709"/>
        <w:jc w:val="both"/>
        <w:rPr>
          <w:rFonts w:ascii="Verdana" w:eastAsia="Calibri" w:hAnsi="Verdana" w:cs="Arial"/>
          <w:bCs/>
          <w:color w:val="000000" w:themeColor="text1"/>
          <w:sz w:val="20"/>
          <w:szCs w:val="20"/>
          <w:lang w:val="es-ES_tradnl"/>
        </w:rPr>
      </w:pPr>
      <w:r w:rsidRPr="00C021F8">
        <w:rPr>
          <w:rFonts w:ascii="Verdana" w:eastAsia="Calibri" w:hAnsi="Verdana" w:cs="Arial"/>
          <w:bCs/>
          <w:i/>
          <w:color w:val="000000" w:themeColor="text1"/>
          <w:sz w:val="20"/>
          <w:szCs w:val="20"/>
          <w:lang w:val="es-ES_tradnl"/>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r w:rsidRPr="00C021F8">
        <w:rPr>
          <w:rFonts w:ascii="Verdana" w:eastAsia="Calibri" w:hAnsi="Verdana" w:cs="Arial"/>
          <w:bCs/>
          <w:color w:val="000000" w:themeColor="text1"/>
          <w:sz w:val="20"/>
          <w:szCs w:val="20"/>
          <w:lang w:val="es-ES_tradnl"/>
        </w:rPr>
        <w:t>.</w:t>
      </w:r>
    </w:p>
    <w:p w14:paraId="58E91604" w14:textId="77777777" w:rsidR="00F45D9C" w:rsidRPr="00C021F8" w:rsidRDefault="00F45D9C" w:rsidP="00C021F8">
      <w:pPr>
        <w:pStyle w:val="Prrafodelista"/>
        <w:spacing w:after="120" w:line="240" w:lineRule="auto"/>
        <w:ind w:left="709" w:right="709"/>
        <w:jc w:val="both"/>
        <w:rPr>
          <w:rFonts w:ascii="Verdana" w:eastAsia="Calibri" w:hAnsi="Verdana" w:cs="Arial"/>
          <w:bCs/>
          <w:color w:val="000000" w:themeColor="text1"/>
          <w:sz w:val="20"/>
          <w:szCs w:val="20"/>
          <w:lang w:val="es-ES_tradnl"/>
        </w:rPr>
      </w:pPr>
    </w:p>
    <w:p w14:paraId="00FE8AFF" w14:textId="77777777" w:rsidR="00F45D9C" w:rsidRPr="00C021F8" w:rsidRDefault="00F45D9C" w:rsidP="00C021F8">
      <w:pPr>
        <w:pStyle w:val="Prrafodelista"/>
        <w:spacing w:line="240" w:lineRule="auto"/>
        <w:ind w:left="709" w:right="709"/>
        <w:jc w:val="both"/>
        <w:rPr>
          <w:rFonts w:ascii="Verdana" w:eastAsia="Calibri" w:hAnsi="Verdana" w:cs="Arial"/>
          <w:bCs/>
          <w:color w:val="000000" w:themeColor="text1"/>
          <w:sz w:val="20"/>
          <w:szCs w:val="20"/>
          <w:lang w:val="es-ES_tradnl"/>
        </w:rPr>
      </w:pPr>
      <w:r w:rsidRPr="00C021F8">
        <w:rPr>
          <w:rFonts w:ascii="Verdana" w:eastAsia="Calibri" w:hAnsi="Verdana" w:cs="Arial"/>
          <w:bCs/>
          <w:color w:val="000000" w:themeColor="text1"/>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fuera de texto)</w:t>
      </w:r>
    </w:p>
    <w:p w14:paraId="40270F8F" w14:textId="77777777" w:rsidR="00F45D9C" w:rsidRPr="00222802" w:rsidRDefault="00F45D9C" w:rsidP="00C021F8">
      <w:pPr>
        <w:pStyle w:val="Prrafodelista"/>
        <w:spacing w:after="0" w:line="240" w:lineRule="auto"/>
        <w:jc w:val="both"/>
        <w:rPr>
          <w:rFonts w:ascii="Verdana" w:eastAsia="Calibri" w:hAnsi="Verdana" w:cs="Arial"/>
          <w:bCs/>
          <w:color w:val="000000" w:themeColor="text1"/>
          <w:lang w:val="es-ES_tradnl"/>
        </w:rPr>
      </w:pPr>
    </w:p>
    <w:p w14:paraId="358CC043" w14:textId="77777777" w:rsidR="00F45D9C" w:rsidRPr="00222802" w:rsidRDefault="00F45D9C" w:rsidP="00F45D9C">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Esta norma</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 xml:space="preserve">es congruente con </w:t>
      </w:r>
      <w:r w:rsidRPr="00222802">
        <w:rPr>
          <w:rFonts w:ascii="Verdana" w:eastAsia="Calibri" w:hAnsi="Verdana" w:cs="Arial"/>
          <w:bCs/>
          <w:color w:val="000000" w:themeColor="text1"/>
        </w:rPr>
        <w:t xml:space="preserve">el artículo 355 de la Constitución Política de 1991, el cual dispone que </w:t>
      </w:r>
      <w:r>
        <w:rPr>
          <w:rFonts w:ascii="Verdana" w:eastAsia="Calibri" w:hAnsi="Verdana" w:cs="Arial"/>
          <w:bCs/>
          <w:color w:val="000000" w:themeColor="text1"/>
        </w:rPr>
        <w:t>“</w:t>
      </w:r>
      <w:r w:rsidRPr="00222802">
        <w:rPr>
          <w:rFonts w:ascii="Verdana" w:eastAsia="Calibri" w:hAnsi="Verdana" w:cs="Arial"/>
          <w:bCs/>
          <w:color w:val="000000" w:themeColor="text1"/>
        </w:rPr>
        <w:t>Ninguna de las ramas u órganos del poder público podrá decretar auxilios o donaciones en favor de personas naturales o jurídicas de derecho privado</w:t>
      </w:r>
      <w:r>
        <w:rPr>
          <w:rFonts w:ascii="Verdana" w:eastAsia="Calibri" w:hAnsi="Verdana" w:cs="Arial"/>
          <w:bCs/>
          <w:color w:val="000000" w:themeColor="text1"/>
        </w:rPr>
        <w:t>”</w:t>
      </w:r>
      <w:r w:rsidRPr="00222802">
        <w:rPr>
          <w:rFonts w:ascii="Verdana" w:eastAsia="Calibri" w:hAnsi="Verdana" w:cs="Arial"/>
          <w:bCs/>
          <w:color w:val="000000" w:themeColor="text1"/>
        </w:rPr>
        <w:t>.</w:t>
      </w:r>
      <w:r>
        <w:rPr>
          <w:rFonts w:ascii="Verdana" w:eastAsia="Calibri" w:hAnsi="Verdana" w:cs="Arial"/>
          <w:bCs/>
          <w:color w:val="000000" w:themeColor="text1"/>
        </w:rPr>
        <w:t xml:space="preserve"> No obstante, el inciso segundo también señala lo siguiente: “</w:t>
      </w:r>
      <w:r w:rsidRPr="00CE3BCB">
        <w:rPr>
          <w:rFonts w:ascii="Verdana" w:eastAsia="Calibri" w:hAnsi="Verdana" w:cs="Arial"/>
          <w:bCs/>
          <w:color w:val="000000" w:themeColor="text1"/>
        </w:rPr>
        <w:t>El Gobierno, en los niveles nacional, departamental, distrital y municipal podrá, con recursos de los respectivos presupuestos, celebrará contratos con entidades privadas sin ánimo de lucro y de reconocida idoneidad con el fin de impulsar programas y actividades de interés público acordes con el Plan Nacional y con los planes seccionales de Desarrollo</w:t>
      </w:r>
      <w:r>
        <w:rPr>
          <w:rFonts w:ascii="Verdana" w:eastAsia="Calibri" w:hAnsi="Verdana" w:cs="Arial"/>
          <w:bCs/>
          <w:color w:val="000000" w:themeColor="text1"/>
        </w:rPr>
        <w:t xml:space="preserve"> […]”</w:t>
      </w:r>
      <w:r w:rsidRPr="00CE3BCB">
        <w:rPr>
          <w:rFonts w:ascii="Verdana" w:eastAsia="Calibri" w:hAnsi="Verdana" w:cs="Arial"/>
          <w:bCs/>
          <w:color w:val="000000" w:themeColor="text1"/>
        </w:rPr>
        <w:t>.</w:t>
      </w:r>
    </w:p>
    <w:p w14:paraId="73B88B13" w14:textId="77777777" w:rsidR="00F45D9C" w:rsidRPr="00222802" w:rsidRDefault="00F45D9C" w:rsidP="00F45D9C">
      <w:pPr>
        <w:widowControl w:val="0"/>
        <w:autoSpaceDE w:val="0"/>
        <w:autoSpaceDN w:val="0"/>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Mediante </w:t>
      </w:r>
      <w:r>
        <w:rPr>
          <w:rFonts w:ascii="Verdana" w:eastAsia="Calibri" w:hAnsi="Verdana" w:cs="Arial"/>
          <w:bCs/>
          <w:color w:val="000000" w:themeColor="text1"/>
        </w:rPr>
        <w:t>C</w:t>
      </w:r>
      <w:r w:rsidRPr="00222802">
        <w:rPr>
          <w:rFonts w:ascii="Verdana" w:eastAsia="Calibri" w:hAnsi="Verdana" w:cs="Arial"/>
          <w:bCs/>
          <w:color w:val="000000" w:themeColor="text1"/>
        </w:rPr>
        <w:t>oncepto</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 xml:space="preserve">415140000909 de 2015, la </w:t>
      </w:r>
      <w:r>
        <w:rPr>
          <w:rFonts w:ascii="Verdana" w:eastAsia="Calibri" w:hAnsi="Verdana" w:cs="Arial"/>
          <w:bCs/>
          <w:color w:val="000000" w:themeColor="text1"/>
        </w:rPr>
        <w:t>ANCP – CCE</w:t>
      </w:r>
      <w:r w:rsidRPr="00222802">
        <w:rPr>
          <w:rFonts w:ascii="Verdana" w:eastAsia="Calibri" w:hAnsi="Verdana" w:cs="Arial"/>
          <w:bCs/>
          <w:color w:val="000000" w:themeColor="text1"/>
        </w:rPr>
        <w:t xml:space="preserve"> explicó que el artículo 38 de la Ley 9 de 1989 contiene una restricción al texto constitucional del artículo 355, toda vez que tratándose de bienes inmuebles establece dos (2) condiciones a las que están sujetas las entidades estatales para celebrar el </w:t>
      </w:r>
      <w:r w:rsidRPr="00222802">
        <w:rPr>
          <w:rFonts w:ascii="Verdana" w:eastAsia="Calibri" w:hAnsi="Verdana" w:cs="Arial"/>
          <w:bCs/>
          <w:color w:val="000000" w:themeColor="text1"/>
        </w:rPr>
        <w:lastRenderedPageBreak/>
        <w:t xml:space="preserve">contrato de comodato: i) el tiempo de duración del contrato y </w:t>
      </w:r>
      <w:proofErr w:type="spellStart"/>
      <w:r w:rsidRPr="00222802">
        <w:rPr>
          <w:rFonts w:ascii="Verdana" w:eastAsia="Calibri" w:hAnsi="Verdana" w:cs="Arial"/>
          <w:bCs/>
          <w:color w:val="000000" w:themeColor="text1"/>
        </w:rPr>
        <w:t>ii</w:t>
      </w:r>
      <w:proofErr w:type="spellEnd"/>
      <w:r w:rsidRPr="00222802">
        <w:rPr>
          <w:rFonts w:ascii="Verdana" w:eastAsia="Calibri" w:hAnsi="Verdana" w:cs="Arial"/>
          <w:bCs/>
          <w:color w:val="000000" w:themeColor="text1"/>
        </w:rPr>
        <w:t xml:space="preserve">) las personas 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 </w:t>
      </w:r>
    </w:p>
    <w:p w14:paraId="09BC55B6" w14:textId="77777777" w:rsidR="00F45D9C" w:rsidRPr="00222802" w:rsidRDefault="00F45D9C" w:rsidP="00F45D9C">
      <w:pPr>
        <w:widowControl w:val="0"/>
        <w:autoSpaceDE w:val="0"/>
        <w:autoSpaceDN w:val="0"/>
        <w:spacing w:after="120" w:line="276" w:lineRule="auto"/>
        <w:ind w:firstLine="709"/>
        <w:jc w:val="both"/>
        <w:rPr>
          <w:rFonts w:ascii="Verdana" w:eastAsia="Calibri" w:hAnsi="Verdana" w:cs="Arial"/>
          <w:bCs/>
          <w:color w:val="000000" w:themeColor="text1"/>
        </w:rPr>
      </w:pPr>
      <w:bookmarkStart w:id="11" w:name="_Hlk121751380"/>
      <w:r w:rsidRPr="00222802">
        <w:rPr>
          <w:rFonts w:ascii="Verdana" w:eastAsia="Calibri" w:hAnsi="Verdana" w:cs="Arial"/>
          <w:bCs/>
          <w:color w:val="000000" w:themeColor="text1"/>
        </w:rPr>
        <w:t xml:space="preserve">El supuesto antes </w:t>
      </w:r>
      <w:r>
        <w:rPr>
          <w:rFonts w:ascii="Verdana" w:eastAsia="Calibri" w:hAnsi="Verdana" w:cs="Arial"/>
          <w:bCs/>
          <w:color w:val="000000" w:themeColor="text1"/>
        </w:rPr>
        <w:t>descrito</w:t>
      </w:r>
      <w:r w:rsidRPr="00222802">
        <w:rPr>
          <w:rFonts w:ascii="Verdana" w:eastAsia="Calibri" w:hAnsi="Verdana" w:cs="Arial"/>
          <w:bCs/>
          <w:color w:val="000000" w:themeColor="text1"/>
        </w:rPr>
        <w:t xml:space="preserve"> hace referencia al caso cuando la entidad estatal tiene la condición de comodante</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E</w:t>
      </w:r>
      <w:r w:rsidRPr="00222802">
        <w:rPr>
          <w:rFonts w:ascii="Verdana" w:eastAsia="Calibri" w:hAnsi="Verdana" w:cs="Arial"/>
          <w:bCs/>
          <w:color w:val="000000" w:themeColor="text1"/>
        </w:rPr>
        <w:t xml:space="preserve">s decir, cuando la entidad tiene el dominio de la cosa y la entrega a otra persona –que deben ser a otras entidades públicas, sindicatos, cooperativas, asociaciones y fundaciones que no repartan utilidades entre sus asociados o fundadores ni adjudiquen sus activos en el momento de su liquidación a los mismos, juntas de acción comunal, fondos de empleados, conforme lo expuesto anteriormente– para que esta haga uso de ella. </w:t>
      </w:r>
    </w:p>
    <w:p w14:paraId="1930D9B2" w14:textId="77777777" w:rsidR="00F45D9C" w:rsidRPr="00222802" w:rsidRDefault="00F45D9C" w:rsidP="00F45D9C">
      <w:pPr>
        <w:widowControl w:val="0"/>
        <w:autoSpaceDE w:val="0"/>
        <w:autoSpaceDN w:val="0"/>
        <w:spacing w:after="120" w:line="276" w:lineRule="auto"/>
        <w:ind w:firstLine="709"/>
        <w:jc w:val="both"/>
        <w:rPr>
          <w:rFonts w:ascii="Verdana" w:hAnsi="Verdana" w:cs="Arial"/>
          <w:color w:val="000000" w:themeColor="text1"/>
        </w:rPr>
      </w:pPr>
      <w:r w:rsidRPr="00222802">
        <w:rPr>
          <w:rFonts w:ascii="Verdana" w:eastAsia="Calibri" w:hAnsi="Verdana" w:cs="Arial"/>
          <w:bCs/>
          <w:color w:val="000000" w:themeColor="text1"/>
        </w:rPr>
        <w:t xml:space="preserve">Ahora bien, la prohibición transcrita en los párrafos anteriores no aplicaría para el supuesto de hecho en el cual la entidad estatal tenga la condición de comodataria, pues en este caso la entidad estatal no entregaría un bien a otra persona, sino que por el contrario a la entidad estatal le entregarían el bien para su uso. Esta postura se basa en dos (2) argumentos: i) </w:t>
      </w:r>
      <w:r>
        <w:rPr>
          <w:rFonts w:ascii="Verdana" w:eastAsia="Calibri" w:hAnsi="Verdana" w:cs="Arial"/>
          <w:bCs/>
          <w:color w:val="000000" w:themeColor="text1"/>
        </w:rPr>
        <w:t>d</w:t>
      </w:r>
      <w:r w:rsidRPr="00222802">
        <w:rPr>
          <w:rFonts w:ascii="Verdana" w:eastAsia="Calibri" w:hAnsi="Verdana" w:cs="Arial"/>
          <w:bCs/>
          <w:color w:val="000000" w:themeColor="text1"/>
        </w:rPr>
        <w:t>e acuerdo c</w:t>
      </w:r>
      <w:r>
        <w:rPr>
          <w:rFonts w:ascii="Verdana" w:eastAsia="Calibri" w:hAnsi="Verdana" w:cs="Arial"/>
          <w:bCs/>
          <w:color w:val="000000" w:themeColor="text1"/>
        </w:rPr>
        <w:t>on</w:t>
      </w:r>
      <w:r w:rsidRPr="00222802">
        <w:rPr>
          <w:rFonts w:ascii="Verdana" w:hAnsi="Verdana" w:cs="Arial"/>
          <w:color w:val="000000" w:themeColor="text1"/>
        </w:rPr>
        <w:t xml:space="preserve"> el artículo 32 de la Ley 80 de 1993, las entidades públicas en ejercicio de la autonomía de la voluntad pueden celebrar contratos con particulares para satisfacer sus necesidades que estén asociadas con el logro del interés público, siempre que no estén prohibidas por la Constitución y la Ley; </w:t>
      </w:r>
      <w:proofErr w:type="spellStart"/>
      <w:r w:rsidRPr="00222802">
        <w:rPr>
          <w:rFonts w:ascii="Verdana" w:hAnsi="Verdana" w:cs="Arial"/>
          <w:color w:val="000000" w:themeColor="text1"/>
        </w:rPr>
        <w:t>ii</w:t>
      </w:r>
      <w:proofErr w:type="spellEnd"/>
      <w:r w:rsidRPr="00222802">
        <w:rPr>
          <w:rFonts w:ascii="Verdana" w:hAnsi="Verdana" w:cs="Arial"/>
          <w:color w:val="000000" w:themeColor="text1"/>
        </w:rPr>
        <w:t xml:space="preserve">) en el supuesto que la entidad estatal actúe como comodatario no está entregando sus bienes en favor de un particular, por el contrario estaría recibiendo un bien </w:t>
      </w:r>
      <w:r w:rsidRPr="00222802">
        <w:rPr>
          <w:rFonts w:ascii="Verdana" w:eastAsia="Calibri" w:hAnsi="Verdana" w:cs="Arial"/>
          <w:bCs/>
          <w:color w:val="000000" w:themeColor="text1"/>
        </w:rPr>
        <w:t xml:space="preserve">para que haga uso del mismo, y con cargo de restituir la misma especie después de terminar el uso. </w:t>
      </w:r>
    </w:p>
    <w:bookmarkEnd w:id="11"/>
    <w:p w14:paraId="021C4C72" w14:textId="77777777" w:rsidR="00F45D9C" w:rsidRDefault="00F45D9C" w:rsidP="00F45D9C">
      <w:pPr>
        <w:widowControl w:val="0"/>
        <w:autoSpaceDE w:val="0"/>
        <w:autoSpaceDN w:val="0"/>
        <w:spacing w:after="120" w:line="276" w:lineRule="auto"/>
        <w:ind w:firstLine="709"/>
        <w:jc w:val="both"/>
        <w:rPr>
          <w:rFonts w:ascii="Verdana" w:hAnsi="Verdana" w:cs="Arial"/>
          <w:color w:val="000000" w:themeColor="text1"/>
        </w:rPr>
      </w:pPr>
      <w:r w:rsidRPr="00222802">
        <w:rPr>
          <w:rFonts w:ascii="Verdana" w:hAnsi="Verdana" w:cs="Arial"/>
          <w:color w:val="000000" w:themeColor="text1"/>
        </w:rPr>
        <w:t xml:space="preserve">En síntesis,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222802">
        <w:rPr>
          <w:rFonts w:ascii="Verdana" w:hAnsi="Verdana" w:cs="Arial"/>
          <w:color w:val="000000" w:themeColor="text1"/>
        </w:rPr>
        <w:t>ii</w:t>
      </w:r>
      <w:proofErr w:type="spellEnd"/>
      <w:r w:rsidRPr="00222802">
        <w:rPr>
          <w:rFonts w:ascii="Verdana" w:hAnsi="Verdana" w:cs="Arial"/>
          <w:color w:val="000000" w:themeColor="text1"/>
        </w:rPr>
        <w:t>)</w:t>
      </w:r>
      <w:r>
        <w:rPr>
          <w:rFonts w:ascii="Verdana" w:hAnsi="Verdana" w:cs="Arial"/>
          <w:color w:val="000000" w:themeColor="text1"/>
        </w:rPr>
        <w:t xml:space="preserve"> l</w:t>
      </w:r>
      <w:r w:rsidRPr="00222802">
        <w:rPr>
          <w:rFonts w:ascii="Verdana" w:hAnsi="Verdana" w:cs="Arial"/>
          <w:color w:val="000000" w:themeColor="text1"/>
        </w:rPr>
        <w:t>as entidades estatales pueden celebrar contrato</w:t>
      </w:r>
      <w:r>
        <w:rPr>
          <w:rFonts w:ascii="Verdana" w:hAnsi="Verdana" w:cs="Arial"/>
          <w:color w:val="000000" w:themeColor="text1"/>
        </w:rPr>
        <w:t>s</w:t>
      </w:r>
      <w:r w:rsidRPr="00222802">
        <w:rPr>
          <w:rFonts w:ascii="Verdana" w:hAnsi="Verdana" w:cs="Arial"/>
          <w:color w:val="000000" w:themeColor="text1"/>
        </w:rPr>
        <w:t xml:space="preserve"> de comodato de bienes muebles entre sí, de acuerdo con las reglas del Código Civil; </w:t>
      </w:r>
      <w:proofErr w:type="spellStart"/>
      <w:r w:rsidRPr="00222802">
        <w:rPr>
          <w:rFonts w:ascii="Verdana" w:hAnsi="Verdana" w:cs="Arial"/>
          <w:color w:val="000000" w:themeColor="text1"/>
        </w:rPr>
        <w:t>iii</w:t>
      </w:r>
      <w:proofErr w:type="spellEnd"/>
      <w:r w:rsidRPr="00222802">
        <w:rPr>
          <w:rFonts w:ascii="Verdana" w:hAnsi="Verdana" w:cs="Arial"/>
          <w:color w:val="000000" w:themeColor="text1"/>
        </w:rPr>
        <w:t>) en virtud del artículo 355 de la Constitución Política,</w:t>
      </w:r>
      <w:r>
        <w:rPr>
          <w:rFonts w:ascii="Verdana" w:hAnsi="Verdana" w:cs="Arial"/>
          <w:color w:val="000000" w:themeColor="text1"/>
        </w:rPr>
        <w:t xml:space="preserve"> de acuerdo con el procedimiento establecido en el Decreto </w:t>
      </w:r>
      <w:r>
        <w:rPr>
          <w:rFonts w:ascii="Verdana" w:hAnsi="Verdana" w:cs="Arial"/>
          <w:color w:val="000000" w:themeColor="text1"/>
        </w:rPr>
        <w:lastRenderedPageBreak/>
        <w:t>092 de 2017,</w:t>
      </w:r>
      <w:r w:rsidRPr="00222802">
        <w:rPr>
          <w:rFonts w:ascii="Verdana" w:hAnsi="Verdana" w:cs="Arial"/>
          <w:color w:val="000000" w:themeColor="text1"/>
        </w:rPr>
        <w:t xml:space="preserve">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222802">
        <w:rPr>
          <w:rFonts w:ascii="Verdana" w:hAnsi="Verdana" w:cs="Arial"/>
          <w:color w:val="000000" w:themeColor="text1"/>
        </w:rPr>
        <w:t>iv</w:t>
      </w:r>
      <w:proofErr w:type="spellEnd"/>
      <w:r w:rsidRPr="00222802">
        <w:rPr>
          <w:rFonts w:ascii="Verdana" w:hAnsi="Verdana" w:cs="Arial"/>
          <w:color w:val="000000" w:themeColor="text1"/>
        </w:rPr>
        <w:t xml:space="preserve">)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w:t>
      </w:r>
    </w:p>
    <w:p w14:paraId="12AD6F88" w14:textId="77777777" w:rsidR="00F45D9C" w:rsidRPr="006162A9" w:rsidRDefault="00F45D9C" w:rsidP="00F45D9C">
      <w:pPr>
        <w:widowControl w:val="0"/>
        <w:autoSpaceDE w:val="0"/>
        <w:autoSpaceDN w:val="0"/>
        <w:spacing w:after="120" w:line="276" w:lineRule="auto"/>
        <w:ind w:firstLine="709"/>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de comodato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229C7E24" w14:textId="77777777" w:rsidR="00F45D9C" w:rsidRPr="00301910" w:rsidRDefault="00F45D9C" w:rsidP="00F45D9C">
      <w:pPr>
        <w:spacing w:before="120" w:after="12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689FEB5D" w14:textId="77777777" w:rsidR="00F45D9C" w:rsidRPr="00000956" w:rsidRDefault="00F45D9C" w:rsidP="00F45D9C">
      <w:pPr>
        <w:widowControl w:val="0"/>
        <w:autoSpaceDE w:val="0"/>
        <w:autoSpaceDN w:val="0"/>
        <w:spacing w:after="120" w:line="276" w:lineRule="auto"/>
        <w:ind w:firstLine="709"/>
        <w:jc w:val="both"/>
        <w:rPr>
          <w:rFonts w:ascii="Verdana" w:hAnsi="Verdana" w:cs="Arial"/>
          <w:color w:val="000000" w:themeColor="text1"/>
          <w:lang w:val="es-ES"/>
        </w:rPr>
      </w:pPr>
      <w:r w:rsidRPr="003248CC">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A154924" w14:textId="77777777" w:rsidR="00F45D9C" w:rsidRPr="006C246D" w:rsidRDefault="00F45D9C" w:rsidP="00F45D9C">
      <w:pPr>
        <w:spacing w:after="0" w:line="276" w:lineRule="auto"/>
        <w:ind w:firstLine="708"/>
        <w:jc w:val="both"/>
        <w:rPr>
          <w:rFonts w:ascii="Verdana" w:eastAsia="Calibri" w:hAnsi="Verdana" w:cs="Arial"/>
          <w:bCs/>
          <w:lang w:eastAsia="es-ES_tradnl"/>
        </w:rPr>
      </w:pPr>
    </w:p>
    <w:p w14:paraId="7DA3DBAA" w14:textId="77777777" w:rsidR="00F45D9C" w:rsidRPr="003248CC" w:rsidRDefault="00F45D9C" w:rsidP="00F45D9C">
      <w:pPr>
        <w:numPr>
          <w:ilvl w:val="0"/>
          <w:numId w:val="16"/>
        </w:numPr>
        <w:tabs>
          <w:tab w:val="left" w:pos="142"/>
          <w:tab w:val="left" w:pos="284"/>
        </w:tabs>
        <w:spacing w:after="0" w:line="276" w:lineRule="auto"/>
        <w:jc w:val="both"/>
        <w:rPr>
          <w:rFonts w:ascii="Verdana" w:eastAsia="Century Gothic" w:hAnsi="Verdana" w:cs="Century Gothic"/>
          <w:b/>
          <w:bCs/>
        </w:rPr>
      </w:pPr>
      <w:r w:rsidRPr="003248CC">
        <w:rPr>
          <w:rFonts w:ascii="Verdana" w:eastAsia="Century Gothic" w:hAnsi="Verdana" w:cs="Century Gothic"/>
          <w:b/>
          <w:bCs/>
        </w:rPr>
        <w:t>Referencias normativas y jurisprudenciales:</w:t>
      </w:r>
    </w:p>
    <w:p w14:paraId="122F170D" w14:textId="77777777" w:rsidR="00F45D9C" w:rsidRPr="003248CC" w:rsidRDefault="00F45D9C" w:rsidP="00F45D9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45D9C" w:rsidRPr="00F01E90" w14:paraId="1246AFD1" w14:textId="77777777" w:rsidTr="006C04F2">
        <w:trPr>
          <w:trHeight w:val="856"/>
          <w:jc w:val="center"/>
        </w:trPr>
        <w:tc>
          <w:tcPr>
            <w:tcW w:w="8647" w:type="dxa"/>
          </w:tcPr>
          <w:p w14:paraId="37C02769" w14:textId="77777777" w:rsidR="00371C1C" w:rsidRPr="00F01E90" w:rsidRDefault="00371C1C" w:rsidP="00A772A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1E90">
              <w:rPr>
                <w:rFonts w:ascii="Verdana" w:hAnsi="Verdana" w:cs="Arial"/>
              </w:rPr>
              <w:lastRenderedPageBreak/>
              <w:t>Constitución Política de 1991, artículos 313 y 355.</w:t>
            </w:r>
          </w:p>
          <w:p w14:paraId="352BE86B" w14:textId="2D3F3B88" w:rsidR="00F45D9C" w:rsidRPr="00F01E90" w:rsidRDefault="00F01E90" w:rsidP="00A772A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1E90">
              <w:rPr>
                <w:rFonts w:ascii="Verdana" w:hAnsi="Verdana" w:cs="Arial"/>
              </w:rPr>
              <w:t xml:space="preserve">Código Civil, artículos </w:t>
            </w:r>
            <w:r w:rsidRPr="00F01E90">
              <w:rPr>
                <w:rFonts w:ascii="Verdana" w:eastAsia="Calibri" w:hAnsi="Verdana" w:cs="Arial"/>
                <w:bCs/>
                <w:color w:val="000000" w:themeColor="text1"/>
              </w:rPr>
              <w:t>2200 al 2220</w:t>
            </w:r>
            <w:r w:rsidRPr="00F01E90">
              <w:rPr>
                <w:rFonts w:ascii="Verdana" w:hAnsi="Verdana" w:cs="Arial"/>
              </w:rPr>
              <w:t>.</w:t>
            </w:r>
            <w:r w:rsidR="00F45D9C" w:rsidRPr="00F01E90">
              <w:rPr>
                <w:rFonts w:ascii="Verdana" w:hAnsi="Verdana" w:cs="Arial"/>
              </w:rPr>
              <w:t>Ley 9 de 1989, artículo 38.</w:t>
            </w:r>
          </w:p>
          <w:p w14:paraId="7080131B" w14:textId="77777777" w:rsidR="00F45D9C" w:rsidRPr="00F01E90" w:rsidRDefault="00F45D9C" w:rsidP="00A772A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1E90">
              <w:rPr>
                <w:rFonts w:ascii="Verdana" w:hAnsi="Verdana" w:cs="Arial"/>
              </w:rPr>
              <w:t>Ley 80 de 1993, artículos 13, 32 y 40.</w:t>
            </w:r>
          </w:p>
          <w:p w14:paraId="7C69E286" w14:textId="77777777" w:rsidR="00F45D9C" w:rsidRPr="00F01E90" w:rsidRDefault="00F45D9C" w:rsidP="00A772A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1E90">
              <w:rPr>
                <w:rFonts w:ascii="Verdana" w:hAnsi="Verdana" w:cs="Arial"/>
              </w:rPr>
              <w:t xml:space="preserve">Ley 489 de 1998, artículo 96. </w:t>
            </w:r>
          </w:p>
          <w:p w14:paraId="34F4937E" w14:textId="77777777" w:rsidR="00F01E90" w:rsidRPr="00F01E90" w:rsidRDefault="00F01E90" w:rsidP="00A772A0">
            <w:pPr>
              <w:pStyle w:val="Prrafodelista"/>
              <w:widowControl w:val="0"/>
              <w:numPr>
                <w:ilvl w:val="0"/>
                <w:numId w:val="17"/>
              </w:numPr>
              <w:autoSpaceDE w:val="0"/>
              <w:autoSpaceDN w:val="0"/>
              <w:spacing w:after="120" w:line="276" w:lineRule="auto"/>
              <w:ind w:left="714" w:right="49" w:hanging="357"/>
              <w:contextualSpacing w:val="0"/>
              <w:rPr>
                <w:rFonts w:ascii="Verdana" w:eastAsia="Times New Roman" w:hAnsi="Verdana" w:cs="Arial"/>
                <w:lang w:val="es-ES_tradnl" w:eastAsia="es-ES"/>
              </w:rPr>
            </w:pPr>
            <w:r w:rsidRPr="00F01E90">
              <w:rPr>
                <w:rFonts w:ascii="Verdana" w:eastAsia="Times New Roman" w:hAnsi="Verdana" w:cs="Arial"/>
                <w:lang w:val="es-ES_tradnl" w:eastAsia="es-ES"/>
              </w:rPr>
              <w:t>Decreto Ley 393 de 1991: Artículo 2, 7 y 8.</w:t>
            </w:r>
          </w:p>
          <w:p w14:paraId="572A713A" w14:textId="2E49C48D" w:rsidR="00F45D9C" w:rsidRPr="00A772A0" w:rsidRDefault="00F45D9C" w:rsidP="00A772A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1E90">
              <w:rPr>
                <w:rFonts w:ascii="Verdana" w:hAnsi="Verdana" w:cs="Arial"/>
              </w:rPr>
              <w:t>Decreto 092 de 2017, artículos 5 y 8.</w:t>
            </w:r>
          </w:p>
        </w:tc>
      </w:tr>
    </w:tbl>
    <w:p w14:paraId="3CD38E10" w14:textId="77777777" w:rsidR="00F45D9C" w:rsidRPr="00371C1C" w:rsidRDefault="00F45D9C" w:rsidP="00371C1C">
      <w:pPr>
        <w:widowControl w:val="0"/>
        <w:autoSpaceDE w:val="0"/>
        <w:autoSpaceDN w:val="0"/>
        <w:spacing w:after="0" w:line="276" w:lineRule="auto"/>
        <w:jc w:val="both"/>
        <w:rPr>
          <w:rFonts w:ascii="Verdana" w:hAnsi="Verdana" w:cs="Arial"/>
        </w:rPr>
      </w:pPr>
    </w:p>
    <w:p w14:paraId="1AFDCAF0" w14:textId="77777777" w:rsidR="00F45D9C" w:rsidRPr="00371C1C" w:rsidRDefault="00F45D9C" w:rsidP="00371C1C">
      <w:pPr>
        <w:numPr>
          <w:ilvl w:val="0"/>
          <w:numId w:val="16"/>
        </w:numPr>
        <w:tabs>
          <w:tab w:val="left" w:pos="142"/>
          <w:tab w:val="left" w:pos="284"/>
        </w:tabs>
        <w:spacing w:after="0" w:line="276" w:lineRule="auto"/>
        <w:jc w:val="both"/>
        <w:rPr>
          <w:rFonts w:ascii="Verdana" w:eastAsia="Century Gothic" w:hAnsi="Verdana" w:cs="Century Gothic"/>
          <w:b/>
          <w:bCs/>
        </w:rPr>
      </w:pPr>
      <w:r w:rsidRPr="00371C1C">
        <w:rPr>
          <w:rFonts w:ascii="Verdana" w:eastAsia="Century Gothic" w:hAnsi="Verdana" w:cs="Century Gothic"/>
          <w:b/>
          <w:bCs/>
        </w:rPr>
        <w:t>Doctrina de la Agencia Nacional de Contratación Pública:</w:t>
      </w:r>
    </w:p>
    <w:p w14:paraId="155F2BD6" w14:textId="77777777" w:rsidR="00F45D9C" w:rsidRPr="00371C1C" w:rsidRDefault="00F45D9C" w:rsidP="00371C1C">
      <w:pPr>
        <w:widowControl w:val="0"/>
        <w:autoSpaceDE w:val="0"/>
        <w:autoSpaceDN w:val="0"/>
        <w:spacing w:after="0" w:line="276" w:lineRule="auto"/>
        <w:jc w:val="both"/>
        <w:rPr>
          <w:rFonts w:ascii="Verdana" w:hAnsi="Verdana" w:cs="Arial"/>
        </w:rPr>
      </w:pPr>
    </w:p>
    <w:p w14:paraId="7F2171A0" w14:textId="77777777" w:rsidR="00F45D9C" w:rsidRPr="00A772A0" w:rsidRDefault="00F45D9C" w:rsidP="00A772A0">
      <w:pPr>
        <w:widowControl w:val="0"/>
        <w:autoSpaceDE w:val="0"/>
        <w:autoSpaceDN w:val="0"/>
        <w:spacing w:after="0" w:line="276" w:lineRule="auto"/>
        <w:jc w:val="both"/>
        <w:rPr>
          <w:rFonts w:ascii="Verdana" w:hAnsi="Verdana"/>
        </w:rPr>
      </w:pPr>
      <w:r w:rsidRPr="00371C1C">
        <w:rPr>
          <w:rStyle w:val="normaltextrun"/>
          <w:rFonts w:ascii="Verdana" w:hAnsi="Verdana" w:cs="Arial"/>
          <w:shd w:val="clear" w:color="auto" w:fill="FFFFFF"/>
          <w:lang w:val="es-ES"/>
        </w:rPr>
        <w:t>Sobre las actividades relacionadas con ciencia, tecnología e innovación y los contratos y convenios para contratarlas se pronunció esta Subdirección en los conceptos C-066 del 3 de marzo de 2020, C-084 del 11 de marzo de 2020, C-236 del 6 de abril de 2020, C-036 del 1 de marzo de 2021, C-656 del 30 de noviembre de 2021, C-164 del 22 de marzo de 2022, C-131 del 28 de marzo de 2022, C-207 del 19 de abril de 2022, C-049 del 9 de mayo de 2024, C-097 del 28 de junio de 2024, C-544 del 07 de octubre de 2024, C-502 del 4 de junio de 2024, C-746 del 2 de diciembre de 2024 y C-1072 del 10 de septiembre de 2025</w:t>
      </w:r>
      <w:r w:rsidRPr="00371C1C">
        <w:rPr>
          <w:rFonts w:ascii="Verdana" w:eastAsia="Calibri" w:hAnsi="Verdana" w:cs="Arial"/>
          <w:bCs/>
          <w:color w:val="000000" w:themeColor="text1"/>
          <w:lang w:val="es-ES_tradnl" w:eastAsia="es-ES_tradnl"/>
        </w:rPr>
        <w:t>. S</w:t>
      </w:r>
      <w:r w:rsidRPr="00371C1C">
        <w:rPr>
          <w:rFonts w:ascii="Verdana" w:hAnsi="Verdana" w:cs="Arial"/>
          <w:shd w:val="clear" w:color="auto" w:fill="FFFFFF"/>
        </w:rPr>
        <w:t xml:space="preserve">obre el contrato de comodato, Esta Subdirección se ha pronunciado en los Conceptos </w:t>
      </w:r>
      <w:r w:rsidRPr="00371C1C">
        <w:rPr>
          <w:rFonts w:ascii="Verdana" w:eastAsia="Calibri" w:hAnsi="Verdana" w:cs="Arial"/>
          <w:bCs/>
          <w:color w:val="000000" w:themeColor="text1"/>
        </w:rPr>
        <w:t>415140000909 de 2015,</w:t>
      </w:r>
      <w:r w:rsidRPr="00371C1C">
        <w:rPr>
          <w:rFonts w:ascii="Verdana" w:hAnsi="Verdana" w:cs="Arial"/>
          <w:shd w:val="clear" w:color="auto" w:fill="FFFFFF"/>
        </w:rPr>
        <w:t xml:space="preserve"> C-014 del 24 de marzo de 2020, C-012 del 18 de febrero de 2022, C-799 del 12 de diciembre de 2022, C-161 del 6 de junio de 2023, C-270 del 12 de julio de 2023, C-685 del 14 de noviembre de 2024, C-785 del 11 de diciembre de 2024, C-286 del 1˚ de abril de 2025 y C-1213 del 8 septiembre de 2025.</w:t>
      </w:r>
      <w:r w:rsidRPr="00371C1C">
        <w:rPr>
          <w:rFonts w:ascii="Verdana" w:eastAsia="Calibri" w:hAnsi="Verdana" w:cs="Arial"/>
          <w:bCs/>
          <w:color w:val="000000" w:themeColor="text1"/>
          <w:lang w:val="es-ES_tradnl" w:eastAsia="es-ES_tradnl"/>
        </w:rPr>
        <w:t xml:space="preserve"> </w:t>
      </w:r>
      <w:r w:rsidRPr="00371C1C">
        <w:rPr>
          <w:rFonts w:ascii="Verdana" w:hAnsi="Verdana" w:cs="Arial"/>
          <w:shd w:val="clear" w:color="auto" w:fill="FFFFFF"/>
        </w:rPr>
        <w:t>Es</w:t>
      </w:r>
      <w:r w:rsidRPr="00371C1C">
        <w:rPr>
          <w:rFonts w:ascii="Verdana" w:hAnsi="Verdana"/>
        </w:rPr>
        <w:t>tos y otros conceptos se encuentran disponibles para consulta en el Sistema de relatoría de la Agencia, al cual se puede acceder a través del siguiente enlace:</w:t>
      </w:r>
      <w:hyperlink r:id="rId13" w:history="1">
        <w:r w:rsidRPr="00371C1C">
          <w:rPr>
            <w:rStyle w:val="Hipervnculo"/>
            <w:rFonts w:ascii="Verdana" w:eastAsia="Times New Roman" w:hAnsi="Verdana" w:cs="Times New Roman"/>
            <w:bdr w:val="none" w:sz="0" w:space="0" w:color="auto" w:frame="1"/>
            <w:lang w:eastAsia="es-CO"/>
          </w:rPr>
          <w:t>https://relatoria.colombiacompra.gov.co/busqueda/conceptos</w:t>
        </w:r>
      </w:hyperlink>
    </w:p>
    <w:p w14:paraId="411112DE" w14:textId="77777777" w:rsidR="00F45D9C" w:rsidRPr="00371C1C" w:rsidRDefault="00F45D9C" w:rsidP="00A772A0">
      <w:pPr>
        <w:widowControl w:val="0"/>
        <w:autoSpaceDE w:val="0"/>
        <w:autoSpaceDN w:val="0"/>
        <w:spacing w:after="0" w:line="276" w:lineRule="auto"/>
        <w:jc w:val="both"/>
        <w:rPr>
          <w:rStyle w:val="Hipervnculo"/>
          <w:rFonts w:ascii="Verdana" w:eastAsia="Times New Roman" w:hAnsi="Verdana" w:cs="Times New Roman"/>
          <w:bdr w:val="none" w:sz="0" w:space="0" w:color="auto" w:frame="1"/>
          <w:lang w:eastAsia="es-CO"/>
        </w:rPr>
      </w:pPr>
      <w:r w:rsidRPr="00371C1C">
        <w:rPr>
          <w:rStyle w:val="Hipervnculo"/>
          <w:rFonts w:ascii="Verdana" w:eastAsia="Times New Roman" w:hAnsi="Verdana" w:cs="Times New Roman"/>
          <w:bdr w:val="none" w:sz="0" w:space="0" w:color="auto" w:frame="1"/>
          <w:lang w:eastAsia="es-CO"/>
        </w:rPr>
        <w:t xml:space="preserve"> </w:t>
      </w:r>
    </w:p>
    <w:p w14:paraId="70A6E4DB" w14:textId="77777777" w:rsidR="00F45D9C" w:rsidRPr="00371C1C" w:rsidRDefault="00F45D9C" w:rsidP="00A772A0">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371C1C">
        <w:rPr>
          <w:rFonts w:ascii="Verdana" w:eastAsia="Times New Roman" w:hAnsi="Verdana" w:cs="Times New Roman"/>
          <w:color w:val="000000"/>
          <w:bdr w:val="none" w:sz="0" w:space="0" w:color="auto" w:frame="1"/>
          <w:lang w:eastAsia="es-CO"/>
        </w:rPr>
        <w:t xml:space="preserve">También le contamos que ya se encuentra disponible la </w:t>
      </w:r>
      <w:r w:rsidRPr="00371C1C">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371C1C">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371C1C">
        <w:rPr>
          <w:rFonts w:ascii="Verdana" w:eastAsia="Times New Roman" w:hAnsi="Verdana" w:cs="Times New Roman"/>
          <w:color w:val="000000"/>
          <w:bdr w:val="none" w:sz="0" w:space="0" w:color="auto" w:frame="1"/>
          <w:lang w:eastAsia="es-CO"/>
        </w:rPr>
        <w:t>Wayúu</w:t>
      </w:r>
      <w:proofErr w:type="spellEnd"/>
      <w:r w:rsidRPr="00371C1C">
        <w:rPr>
          <w:rFonts w:ascii="Verdana" w:eastAsia="Times New Roman" w:hAnsi="Verdana" w:cs="Times New Roman"/>
          <w:color w:val="000000"/>
          <w:bdr w:val="none" w:sz="0" w:space="0" w:color="auto" w:frame="1"/>
          <w:lang w:eastAsia="es-CO"/>
        </w:rPr>
        <w:t xml:space="preserve">. </w:t>
      </w:r>
      <w:r w:rsidRPr="00371C1C">
        <w:rPr>
          <w:rFonts w:ascii="Verdana" w:eastAsia="Times New Roman" w:hAnsi="Verdana" w:cs="Times New Roman"/>
          <w:color w:val="000000"/>
          <w:bdr w:val="none" w:sz="0" w:space="0" w:color="auto" w:frame="1"/>
          <w:lang w:eastAsia="es-CO"/>
        </w:rPr>
        <w:lastRenderedPageBreak/>
        <w:t xml:space="preserve">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371C1C">
          <w:rPr>
            <w:rStyle w:val="Hipervnculo"/>
            <w:rFonts w:ascii="Verdana" w:eastAsia="Times New Roman" w:hAnsi="Verdana" w:cs="Times New Roman"/>
            <w:bdr w:val="none" w:sz="0" w:space="0" w:color="auto" w:frame="1"/>
            <w:lang w:eastAsia="es-CO"/>
          </w:rPr>
          <w:t>Guía de lineamientos de transparencia y selección objetiva para el departamento de La Guajira – Objetivo sexto constitucional de la Sentencia T-302 del 2017</w:t>
        </w:r>
      </w:hyperlink>
    </w:p>
    <w:p w14:paraId="4DA6A95B" w14:textId="77777777" w:rsidR="00F45D9C" w:rsidRPr="00371C1C" w:rsidRDefault="00F45D9C" w:rsidP="00371C1C">
      <w:pPr>
        <w:widowControl w:val="0"/>
        <w:autoSpaceDE w:val="0"/>
        <w:autoSpaceDN w:val="0"/>
        <w:spacing w:after="0" w:line="276" w:lineRule="auto"/>
        <w:jc w:val="both"/>
        <w:rPr>
          <w:rFonts w:ascii="Verdana" w:hAnsi="Verdana" w:cs="Arial"/>
        </w:rPr>
      </w:pPr>
    </w:p>
    <w:p w14:paraId="0DBBF562" w14:textId="77777777" w:rsidR="00F45D9C" w:rsidRPr="00371C1C" w:rsidRDefault="00F45D9C" w:rsidP="00371C1C">
      <w:pPr>
        <w:spacing w:after="0" w:line="276" w:lineRule="auto"/>
        <w:jc w:val="both"/>
        <w:rPr>
          <w:rFonts w:ascii="Verdana" w:eastAsia="Times New Roman" w:hAnsi="Verdana" w:cs="Arial"/>
          <w:lang w:eastAsia="es-CO"/>
        </w:rPr>
      </w:pPr>
      <w:bookmarkStart w:id="12" w:name="_Hlk117695077"/>
      <w:bookmarkEnd w:id="1"/>
      <w:r w:rsidRPr="00371C1C">
        <w:rPr>
          <w:rFonts w:ascii="Verdana" w:eastAsia="Times New Roman" w:hAnsi="Verdana" w:cs="Arial"/>
          <w:lang w:eastAsia="es-CO"/>
        </w:rPr>
        <w:t>Atentamente,</w:t>
      </w:r>
    </w:p>
    <w:bookmarkEnd w:id="12"/>
    <w:p w14:paraId="7EC16499" w14:textId="2CFCFEC2" w:rsidR="00F45D9C" w:rsidRDefault="00E9439A" w:rsidP="00F45D9C">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00C6116D" wp14:editId="499737D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5C3D4408" w14:textId="77777777" w:rsidR="00F45D9C" w:rsidRDefault="00F45D9C" w:rsidP="00F45D9C">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45D9C" w:rsidRPr="007A0E81" w14:paraId="53947011" w14:textId="77777777" w:rsidTr="006C04F2">
        <w:trPr>
          <w:trHeight w:val="315"/>
        </w:trPr>
        <w:tc>
          <w:tcPr>
            <w:tcW w:w="893" w:type="dxa"/>
            <w:vAlign w:val="center"/>
            <w:hideMark/>
          </w:tcPr>
          <w:p w14:paraId="3567C9E3" w14:textId="77777777" w:rsidR="00F45D9C" w:rsidRPr="007A0E81" w:rsidRDefault="00F45D9C" w:rsidP="006C04F2">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69B8E147" w14:textId="77777777" w:rsidR="00F45D9C" w:rsidRPr="007A0E81" w:rsidRDefault="00F45D9C" w:rsidP="006C04F2">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74A75C7F" w14:textId="77777777" w:rsidR="00F45D9C" w:rsidRPr="007A0E81" w:rsidRDefault="00F45D9C" w:rsidP="006C04F2">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F45D9C" w:rsidRPr="007A0E81" w14:paraId="027F029A" w14:textId="77777777" w:rsidTr="006C04F2">
        <w:trPr>
          <w:trHeight w:val="330"/>
        </w:trPr>
        <w:tc>
          <w:tcPr>
            <w:tcW w:w="893" w:type="dxa"/>
            <w:vAlign w:val="center"/>
            <w:hideMark/>
          </w:tcPr>
          <w:p w14:paraId="009C26CE" w14:textId="77777777" w:rsidR="00F45D9C" w:rsidRPr="007A0E81" w:rsidRDefault="00F45D9C" w:rsidP="006C04F2">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01894C29" w14:textId="77777777" w:rsidR="00F45D9C" w:rsidRPr="007A0E81" w:rsidRDefault="00F45D9C" w:rsidP="006C04F2">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0B3B7187" w14:textId="77777777" w:rsidR="00F45D9C" w:rsidRPr="007A0E81" w:rsidRDefault="00F45D9C" w:rsidP="006C04F2">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F45D9C" w:rsidRPr="007A0E81" w14:paraId="3E0A91D3" w14:textId="77777777" w:rsidTr="006C04F2">
        <w:trPr>
          <w:trHeight w:val="300"/>
        </w:trPr>
        <w:tc>
          <w:tcPr>
            <w:tcW w:w="893" w:type="dxa"/>
            <w:vAlign w:val="center"/>
          </w:tcPr>
          <w:p w14:paraId="5D937BC6" w14:textId="77777777" w:rsidR="00F45D9C" w:rsidRPr="007A0E81" w:rsidRDefault="00F45D9C" w:rsidP="006C04F2">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E0033A7" w14:textId="77777777" w:rsidR="00F45D9C" w:rsidRPr="007A0E81" w:rsidRDefault="00F45D9C" w:rsidP="006C04F2">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Carolina Quintero Gacharná</w:t>
            </w:r>
          </w:p>
          <w:p w14:paraId="68CA9031" w14:textId="77777777" w:rsidR="00F45D9C" w:rsidRPr="007A0E81" w:rsidRDefault="00F45D9C" w:rsidP="006C04F2">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36892651" w14:textId="77777777" w:rsidR="00F45D9C" w:rsidRPr="00E74941" w:rsidRDefault="00F45D9C" w:rsidP="00F45D9C">
      <w:pPr>
        <w:spacing w:after="0" w:line="240" w:lineRule="auto"/>
        <w:rPr>
          <w:rFonts w:ascii="Verdana" w:eastAsia="Aptos" w:hAnsi="Verdana" w:cs="Arial"/>
          <w:color w:val="000000"/>
          <w:lang w:eastAsia="es-CO"/>
        </w:rPr>
      </w:pPr>
    </w:p>
    <w:p w14:paraId="468FC306" w14:textId="77777777" w:rsidR="00F45D9C" w:rsidRDefault="00F45D9C" w:rsidP="00F45D9C">
      <w:pPr>
        <w:spacing w:after="0" w:line="240" w:lineRule="auto"/>
      </w:pPr>
    </w:p>
    <w:p w14:paraId="6669E70A" w14:textId="77777777" w:rsidR="00F45D9C" w:rsidRPr="0044528D" w:rsidRDefault="00F45D9C" w:rsidP="00E245AB">
      <w:pPr>
        <w:spacing w:after="0"/>
        <w:rPr>
          <w:rFonts w:ascii="Verdana" w:hAnsi="Verdana"/>
        </w:rPr>
      </w:pPr>
    </w:p>
    <w:bookmarkEnd w:id="0"/>
    <w:sectPr w:rsidR="00F45D9C"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6C435" w14:textId="77777777" w:rsidR="009B25A8" w:rsidRDefault="009B25A8" w:rsidP="004A1847">
      <w:pPr>
        <w:spacing w:after="0" w:line="240" w:lineRule="auto"/>
      </w:pPr>
      <w:r>
        <w:separator/>
      </w:r>
    </w:p>
  </w:endnote>
  <w:endnote w:type="continuationSeparator" w:id="0">
    <w:p w14:paraId="617FB421"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0F458" w14:textId="77777777" w:rsidR="009B25A8" w:rsidRDefault="009B25A8" w:rsidP="004A1847">
      <w:pPr>
        <w:spacing w:after="0" w:line="240" w:lineRule="auto"/>
      </w:pPr>
      <w:r>
        <w:separator/>
      </w:r>
    </w:p>
  </w:footnote>
  <w:footnote w:type="continuationSeparator" w:id="0">
    <w:p w14:paraId="6CA5F531" w14:textId="77777777" w:rsidR="009B25A8" w:rsidRDefault="009B25A8" w:rsidP="004A1847">
      <w:pPr>
        <w:spacing w:after="0" w:line="240" w:lineRule="auto"/>
      </w:pPr>
      <w:r>
        <w:continuationSeparator/>
      </w:r>
    </w:p>
  </w:footnote>
  <w:footnote w:id="1">
    <w:p w14:paraId="1A0E12FE" w14:textId="77777777" w:rsidR="00F45D9C" w:rsidRPr="00EF6E71" w:rsidRDefault="00F45D9C" w:rsidP="00F45D9C">
      <w:pPr>
        <w:pStyle w:val="Textonotapie"/>
        <w:ind w:firstLine="708"/>
        <w:contextualSpacing/>
        <w:jc w:val="both"/>
        <w:rPr>
          <w:rFonts w:ascii="Verdana" w:hAnsi="Verdana"/>
          <w:sz w:val="18"/>
          <w:szCs w:val="18"/>
        </w:rPr>
      </w:pPr>
      <w:r w:rsidRPr="00EF6E71">
        <w:rPr>
          <w:rStyle w:val="Refdenotaalpie"/>
          <w:rFonts w:ascii="Verdana" w:hAnsi="Verdana"/>
          <w:sz w:val="18"/>
          <w:szCs w:val="18"/>
        </w:rPr>
        <w:footnoteRef/>
      </w:r>
      <w:r w:rsidRPr="00EF6E71">
        <w:rPr>
          <w:rFonts w:ascii="Verdana" w:hAnsi="Verdana"/>
          <w:sz w:val="18"/>
          <w:szCs w:val="18"/>
        </w:rPr>
        <w:t xml:space="preserve"> </w:t>
      </w:r>
      <w:r w:rsidRPr="00571171">
        <w:rPr>
          <w:rFonts w:ascii="Verdana" w:hAnsi="Verdana"/>
          <w:sz w:val="14"/>
          <w:szCs w:val="14"/>
        </w:rPr>
        <w:t>Consejo de Estado. Sala de los Contencioso Administrativo. Sección Tercera. Radicado: 25000-23-36-000-2012-00568-02 (61269). Consejero Ponente: Nicolás Yepes Corales. 24 de enero de 2024.</w:t>
      </w:r>
    </w:p>
  </w:footnote>
  <w:footnote w:id="2">
    <w:p w14:paraId="28FB64AE" w14:textId="77777777" w:rsidR="00F45D9C" w:rsidRPr="00EF6E71" w:rsidRDefault="00F45D9C" w:rsidP="00F45D9C">
      <w:pPr>
        <w:pStyle w:val="Textonotapie"/>
        <w:ind w:firstLine="708"/>
        <w:contextualSpacing/>
        <w:jc w:val="both"/>
        <w:rPr>
          <w:rFonts w:ascii="Verdana" w:hAnsi="Verdana" w:cs="Arial"/>
          <w:color w:val="000000"/>
          <w:sz w:val="18"/>
          <w:szCs w:val="18"/>
        </w:rPr>
      </w:pPr>
      <w:r w:rsidRPr="00EF6E71">
        <w:rPr>
          <w:rStyle w:val="Refdenotaalpie"/>
          <w:rFonts w:ascii="Verdana" w:hAnsi="Verdana" w:cs="Arial"/>
          <w:color w:val="000000"/>
          <w:sz w:val="18"/>
          <w:szCs w:val="18"/>
        </w:rPr>
        <w:footnoteRef/>
      </w:r>
      <w:r w:rsidRPr="00EF6E71">
        <w:rPr>
          <w:rFonts w:ascii="Verdana" w:hAnsi="Verdana" w:cs="Arial"/>
          <w:color w:val="000000"/>
          <w:sz w:val="18"/>
          <w:szCs w:val="18"/>
        </w:rPr>
        <w:t xml:space="preserve"> </w:t>
      </w:r>
      <w:r w:rsidRPr="00571171">
        <w:rPr>
          <w:rFonts w:ascii="Verdana" w:hAnsi="Verdana"/>
          <w:sz w:val="14"/>
          <w:szCs w:val="14"/>
        </w:rPr>
        <w:t>Corte Constitucional. Sentencia C-316 de 1995 del 19 de julio de 1995. Magistrado Ponente: Antonio Barrera Carbonell.</w:t>
      </w:r>
    </w:p>
  </w:footnote>
  <w:footnote w:id="3">
    <w:p w14:paraId="4F5228D9" w14:textId="77777777" w:rsidR="00F45D9C" w:rsidRPr="00EF6E71" w:rsidRDefault="00F45D9C" w:rsidP="00F45D9C">
      <w:pPr>
        <w:pStyle w:val="Textonotapie"/>
        <w:ind w:firstLine="708"/>
        <w:contextualSpacing/>
        <w:jc w:val="both"/>
        <w:rPr>
          <w:rFonts w:ascii="Verdana" w:hAnsi="Verdana" w:cs="Arial"/>
          <w:color w:val="000000"/>
          <w:sz w:val="18"/>
          <w:szCs w:val="18"/>
        </w:rPr>
      </w:pPr>
      <w:r w:rsidRPr="00EF6E71">
        <w:rPr>
          <w:rStyle w:val="Refdenotaalpie"/>
          <w:rFonts w:ascii="Verdana" w:hAnsi="Verdana" w:cs="Arial"/>
          <w:color w:val="000000"/>
          <w:sz w:val="18"/>
          <w:szCs w:val="18"/>
        </w:rPr>
        <w:footnoteRef/>
      </w:r>
      <w:r w:rsidRPr="00EF6E71">
        <w:rPr>
          <w:rFonts w:ascii="Verdana" w:hAnsi="Verdana" w:cs="Arial"/>
          <w:color w:val="000000"/>
          <w:sz w:val="18"/>
          <w:szCs w:val="18"/>
        </w:rPr>
        <w:t xml:space="preserve"> </w:t>
      </w:r>
      <w:r w:rsidRPr="00571171">
        <w:rPr>
          <w:rFonts w:ascii="Verdana" w:hAnsi="Verdana"/>
          <w:sz w:val="14"/>
          <w:szCs w:val="14"/>
        </w:rPr>
        <w:t>Agencia Nacional de Contratación Pública – Colombia Compra Eficiente. Circular Externa Única: “El convenio especial de cooperación está sujeto a las normas de derecho privado, de acuerdo con lo previsto en el Decreto–Ley 393 de 1991. Si el convenio respectivo introduce líneas de acción relativas a la administración de proyectos o financiamiento, se somete al mismo régimen privado del convenio”.</w:t>
      </w:r>
    </w:p>
  </w:footnote>
  <w:footnote w:id="4">
    <w:p w14:paraId="1DF5EB2B" w14:textId="77777777" w:rsidR="00F45D9C" w:rsidRPr="00571171" w:rsidRDefault="00F45D9C" w:rsidP="00F45D9C">
      <w:pPr>
        <w:pStyle w:val="Textonotapie"/>
        <w:ind w:firstLine="708"/>
        <w:contextualSpacing/>
        <w:jc w:val="both"/>
        <w:rPr>
          <w:rFonts w:ascii="Verdana" w:hAnsi="Verdana"/>
          <w:sz w:val="14"/>
          <w:szCs w:val="14"/>
        </w:rPr>
      </w:pPr>
      <w:r w:rsidRPr="00EF6E71">
        <w:rPr>
          <w:rStyle w:val="Refdenotaalpie"/>
          <w:rFonts w:ascii="Verdana" w:hAnsi="Verdana" w:cs="Arial"/>
          <w:sz w:val="18"/>
          <w:szCs w:val="18"/>
        </w:rPr>
        <w:footnoteRef/>
      </w:r>
      <w:r w:rsidRPr="00EF6E71">
        <w:rPr>
          <w:rFonts w:ascii="Verdana" w:hAnsi="Verdana" w:cs="Arial"/>
          <w:sz w:val="18"/>
          <w:szCs w:val="18"/>
        </w:rPr>
        <w:t xml:space="preserve"> </w:t>
      </w:r>
      <w:r w:rsidRPr="00571171">
        <w:rPr>
          <w:rFonts w:ascii="Verdana" w:hAnsi="Verdana"/>
          <w:sz w:val="14"/>
          <w:szCs w:val="14"/>
        </w:rPr>
        <w:t>Por la cual se modifica la Ley 29 de 1990, se transforma a Colciencias en Departamento Administrativo, se fortalece el Sistema Nacional de Ciencia, Tecnología e Innovación&lt;</w:t>
      </w:r>
      <w:hyperlink r:id="rId1" w:anchor="1" w:history="1">
        <w:r w:rsidRPr="00571171">
          <w:rPr>
            <w:rFonts w:ascii="Verdana" w:hAnsi="Verdana"/>
            <w:sz w:val="14"/>
            <w:szCs w:val="14"/>
          </w:rPr>
          <w:t>1</w:t>
        </w:r>
      </w:hyperlink>
      <w:r w:rsidRPr="00571171">
        <w:rPr>
          <w:rFonts w:ascii="Verdana" w:hAnsi="Verdana"/>
          <w:sz w:val="14"/>
          <w:szCs w:val="14"/>
        </w:rPr>
        <w:t>&gt; en Colombia y se dictan otras disposiciones.</w:t>
      </w:r>
    </w:p>
    <w:p w14:paraId="7E4B9E65" w14:textId="77777777" w:rsidR="00F45D9C" w:rsidRPr="00EF6E71" w:rsidRDefault="00F45D9C" w:rsidP="00F45D9C">
      <w:pPr>
        <w:pStyle w:val="Textonotapie"/>
        <w:ind w:firstLine="708"/>
        <w:contextualSpacing/>
        <w:jc w:val="both"/>
        <w:rPr>
          <w:rFonts w:ascii="Verdana" w:hAnsi="Verdana" w:cs="Arial"/>
          <w:color w:val="000000" w:themeColor="text1"/>
          <w:sz w:val="18"/>
          <w:szCs w:val="18"/>
        </w:rPr>
      </w:pPr>
    </w:p>
  </w:footnote>
  <w:footnote w:id="5">
    <w:p w14:paraId="3608775D" w14:textId="77777777" w:rsidR="00F45D9C" w:rsidRPr="00EF6E71" w:rsidRDefault="00F45D9C" w:rsidP="00F45D9C">
      <w:pPr>
        <w:pStyle w:val="Textonotapie"/>
        <w:ind w:firstLine="708"/>
        <w:contextualSpacing/>
        <w:jc w:val="both"/>
        <w:rPr>
          <w:rFonts w:ascii="Verdana" w:hAnsi="Verdana"/>
          <w:sz w:val="18"/>
          <w:szCs w:val="18"/>
        </w:rPr>
      </w:pPr>
      <w:r w:rsidRPr="00EF6E71">
        <w:rPr>
          <w:rStyle w:val="Refdenotaalpie"/>
          <w:rFonts w:ascii="Verdana" w:hAnsi="Verdana"/>
          <w:sz w:val="18"/>
          <w:szCs w:val="18"/>
        </w:rPr>
        <w:footnoteRef/>
      </w:r>
      <w:r w:rsidRPr="00EF6E71">
        <w:rPr>
          <w:rFonts w:ascii="Verdana" w:hAnsi="Verdana"/>
          <w:sz w:val="18"/>
          <w:szCs w:val="18"/>
        </w:rPr>
        <w:t xml:space="preserve"> </w:t>
      </w:r>
      <w:r w:rsidRPr="00571171">
        <w:rPr>
          <w:rFonts w:ascii="Verdana" w:hAnsi="Verdana"/>
          <w:sz w:val="14"/>
          <w:szCs w:val="14"/>
        </w:rPr>
        <w:t>Consejo de Estado. Sala de los Contencioso Administrativo. Sección Tercera. Radicado: 25000-23-36-000-2012-00568-02 (61269). Consejero Ponente: Nicolás Yepes Corales. 24 de enero de 2024.</w:t>
      </w:r>
    </w:p>
  </w:footnote>
  <w:footnote w:id="6">
    <w:p w14:paraId="7DD7E932" w14:textId="77777777" w:rsidR="00F45D9C" w:rsidRPr="00EF6E71" w:rsidRDefault="00F45D9C" w:rsidP="00F45D9C">
      <w:pPr>
        <w:pStyle w:val="Textonotapie"/>
        <w:ind w:firstLine="708"/>
        <w:contextualSpacing/>
        <w:jc w:val="both"/>
        <w:rPr>
          <w:rFonts w:ascii="Verdana" w:hAnsi="Verdana" w:cs="Arial"/>
          <w:color w:val="000000"/>
          <w:sz w:val="18"/>
          <w:szCs w:val="18"/>
        </w:rPr>
      </w:pPr>
      <w:r w:rsidRPr="00EF6E71">
        <w:rPr>
          <w:rStyle w:val="Refdenotaalpie"/>
          <w:rFonts w:ascii="Verdana" w:hAnsi="Verdana" w:cs="Arial"/>
          <w:color w:val="000000"/>
          <w:sz w:val="18"/>
          <w:szCs w:val="18"/>
        </w:rPr>
        <w:footnoteRef/>
      </w:r>
      <w:r w:rsidRPr="00EF6E71">
        <w:rPr>
          <w:rFonts w:ascii="Verdana" w:hAnsi="Verdana" w:cs="Arial"/>
          <w:color w:val="000000"/>
          <w:sz w:val="18"/>
          <w:szCs w:val="18"/>
        </w:rPr>
        <w:t xml:space="preserve"> </w:t>
      </w:r>
      <w:r w:rsidRPr="00571171">
        <w:rPr>
          <w:rFonts w:ascii="Verdana" w:hAnsi="Verdana"/>
          <w:sz w:val="14"/>
          <w:szCs w:val="14"/>
        </w:rPr>
        <w:t>Corte Constitucional. Sentencia C-316 de 1995 del 19 de julio de 1995. Magistrado Ponente: Antonio Barrera Carbonell.</w:t>
      </w:r>
    </w:p>
  </w:footnote>
  <w:footnote w:id="7">
    <w:p w14:paraId="5F1A2F21" w14:textId="77777777" w:rsidR="00F45D9C" w:rsidRPr="00EF6E71" w:rsidRDefault="00F45D9C" w:rsidP="00F45D9C">
      <w:pPr>
        <w:pStyle w:val="Textonotapie"/>
        <w:contextualSpacing/>
        <w:jc w:val="both"/>
        <w:rPr>
          <w:rFonts w:ascii="Verdana" w:hAnsi="Verdana" w:cs="Arial"/>
          <w:color w:val="000000"/>
          <w:sz w:val="18"/>
          <w:szCs w:val="18"/>
        </w:rPr>
      </w:pPr>
    </w:p>
    <w:p w14:paraId="0A8EEA85" w14:textId="77777777" w:rsidR="00F45D9C" w:rsidRPr="00EF6E71" w:rsidRDefault="00F45D9C" w:rsidP="00F45D9C">
      <w:pPr>
        <w:pStyle w:val="Textonotapie"/>
        <w:ind w:firstLine="708"/>
        <w:contextualSpacing/>
        <w:jc w:val="both"/>
        <w:rPr>
          <w:rFonts w:ascii="Verdana" w:hAnsi="Verdana" w:cs="Arial"/>
          <w:color w:val="000000"/>
          <w:sz w:val="18"/>
          <w:szCs w:val="18"/>
        </w:rPr>
      </w:pPr>
      <w:r w:rsidRPr="00EF6E71">
        <w:rPr>
          <w:rStyle w:val="Refdenotaalpie"/>
          <w:rFonts w:ascii="Verdana" w:hAnsi="Verdana" w:cs="Arial"/>
          <w:color w:val="000000"/>
          <w:sz w:val="18"/>
          <w:szCs w:val="18"/>
        </w:rPr>
        <w:footnoteRef/>
      </w:r>
      <w:r w:rsidRPr="00EF6E71">
        <w:rPr>
          <w:rFonts w:ascii="Verdana" w:hAnsi="Verdana" w:cs="Arial"/>
          <w:color w:val="000000"/>
          <w:sz w:val="18"/>
          <w:szCs w:val="18"/>
        </w:rPr>
        <w:t xml:space="preserve"> </w:t>
      </w:r>
      <w:r w:rsidRPr="00571171">
        <w:rPr>
          <w:rFonts w:ascii="Verdana" w:hAnsi="Verdana"/>
          <w:sz w:val="14"/>
          <w:szCs w:val="14"/>
        </w:rPr>
        <w:t>Ibidem</w:t>
      </w:r>
      <w:r w:rsidRPr="00EF6E71">
        <w:rPr>
          <w:rFonts w:ascii="Verdana" w:hAnsi="Verdana" w:cs="Arial"/>
          <w:i/>
          <w:iCs/>
          <w:color w:val="000000"/>
          <w:sz w:val="18"/>
          <w:szCs w:val="18"/>
        </w:rPr>
        <w:t>.</w:t>
      </w:r>
    </w:p>
    <w:p w14:paraId="27C7A884" w14:textId="77777777" w:rsidR="00F45D9C" w:rsidRPr="00EF6E71" w:rsidRDefault="00F45D9C" w:rsidP="00F45D9C">
      <w:pPr>
        <w:pStyle w:val="Textonotapie"/>
        <w:ind w:firstLine="708"/>
        <w:contextualSpacing/>
        <w:jc w:val="both"/>
        <w:rPr>
          <w:rFonts w:ascii="Verdana" w:hAnsi="Verdana" w:cs="Arial"/>
          <w:color w:val="000000"/>
          <w:sz w:val="18"/>
          <w:szCs w:val="18"/>
          <w:lang w:val="es-ES"/>
        </w:rPr>
      </w:pPr>
    </w:p>
  </w:footnote>
  <w:footnote w:id="8">
    <w:p w14:paraId="31988C46" w14:textId="77777777" w:rsidR="00F45D9C" w:rsidRPr="00EF6E71" w:rsidRDefault="00F45D9C" w:rsidP="00F45D9C">
      <w:pPr>
        <w:pStyle w:val="Textonotapie"/>
        <w:ind w:firstLine="708"/>
        <w:contextualSpacing/>
        <w:jc w:val="both"/>
        <w:rPr>
          <w:rFonts w:ascii="Verdana" w:hAnsi="Verdana" w:cs="Arial"/>
          <w:color w:val="000000"/>
          <w:sz w:val="18"/>
          <w:szCs w:val="18"/>
        </w:rPr>
      </w:pPr>
      <w:r w:rsidRPr="00EF6E71">
        <w:rPr>
          <w:rStyle w:val="Refdenotaalpie"/>
          <w:rFonts w:ascii="Verdana" w:hAnsi="Verdana" w:cs="Arial"/>
          <w:color w:val="000000"/>
          <w:sz w:val="18"/>
          <w:szCs w:val="18"/>
        </w:rPr>
        <w:footnoteRef/>
      </w:r>
      <w:r w:rsidRPr="00EF6E71">
        <w:rPr>
          <w:rFonts w:ascii="Verdana" w:hAnsi="Verdana" w:cs="Arial"/>
          <w:color w:val="000000"/>
          <w:sz w:val="18"/>
          <w:szCs w:val="18"/>
        </w:rPr>
        <w:t xml:space="preserve"> </w:t>
      </w:r>
      <w:r w:rsidRPr="00571171">
        <w:rPr>
          <w:rFonts w:ascii="Verdana" w:hAnsi="Verdana"/>
          <w:sz w:val="14"/>
          <w:szCs w:val="14"/>
        </w:rPr>
        <w:t>Agencia Nacional de Contratación Pública – Colombia Compra Eficiente. Circular Externa Única: “El convenio especial de cooperación está sujeto a las normas de derecho privado, de acuerdo con lo previsto en el Decreto–Ley 393 de 1991. Si el convenio respectivo introduce líneas de acción relativas a la administración de proyectos o financiamiento, se somete al mismo régimen privado del convenio”.</w:t>
      </w:r>
    </w:p>
  </w:footnote>
  <w:footnote w:id="9">
    <w:p w14:paraId="444A155F" w14:textId="77777777" w:rsidR="00F45D9C" w:rsidRPr="00D90575" w:rsidRDefault="00F45D9C" w:rsidP="00F45D9C">
      <w:pPr>
        <w:pStyle w:val="Textonotapie"/>
        <w:ind w:firstLine="708"/>
        <w:jc w:val="both"/>
        <w:rPr>
          <w:rFonts w:ascii="Verdana" w:hAnsi="Verdana" w:cs="Arial"/>
          <w:sz w:val="16"/>
          <w:szCs w:val="16"/>
          <w:lang w:val="es-ES"/>
        </w:rPr>
      </w:pPr>
      <w:r w:rsidRPr="00D90575">
        <w:rPr>
          <w:rStyle w:val="Refdenotaalpie"/>
          <w:rFonts w:ascii="Verdana" w:hAnsi="Verdana" w:cs="Arial"/>
          <w:sz w:val="16"/>
          <w:szCs w:val="16"/>
        </w:rPr>
        <w:footnoteRef/>
      </w:r>
      <w:r w:rsidRPr="00D90575">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10">
    <w:p w14:paraId="6922C356" w14:textId="77777777" w:rsidR="00F45D9C" w:rsidRPr="00D90575" w:rsidRDefault="00F45D9C" w:rsidP="00F45D9C">
      <w:pPr>
        <w:pStyle w:val="Textonotapie"/>
        <w:ind w:firstLine="708"/>
        <w:jc w:val="both"/>
        <w:rPr>
          <w:rFonts w:ascii="Verdana" w:hAnsi="Verdana" w:cs="Arial"/>
          <w:sz w:val="16"/>
          <w:szCs w:val="16"/>
          <w:lang w:val="es-ES"/>
        </w:rPr>
      </w:pPr>
      <w:r w:rsidRPr="00D90575">
        <w:rPr>
          <w:rStyle w:val="Refdenotaalpie"/>
          <w:rFonts w:ascii="Verdana" w:hAnsi="Verdana" w:cs="Arial"/>
          <w:sz w:val="16"/>
          <w:szCs w:val="16"/>
        </w:rPr>
        <w:footnoteRef/>
      </w:r>
      <w:r w:rsidRPr="00D90575">
        <w:rPr>
          <w:rFonts w:ascii="Verdana" w:hAnsi="Verdana" w:cs="Arial"/>
          <w:sz w:val="16"/>
          <w:szCs w:val="16"/>
        </w:rPr>
        <w:t xml:space="preserve"> BETANCUR JARAMILLO, Carlos. Derecho procesal administrativo. Octava edición. Medellín: Señal Editora, 2013. p. 627. </w:t>
      </w:r>
    </w:p>
  </w:footnote>
  <w:footnote w:id="11">
    <w:p w14:paraId="75ACB4AC" w14:textId="77777777" w:rsidR="00F45D9C" w:rsidRPr="00D90575" w:rsidRDefault="00F45D9C" w:rsidP="00F45D9C">
      <w:pPr>
        <w:pStyle w:val="Textonotapie"/>
        <w:ind w:firstLine="709"/>
        <w:contextualSpacing/>
        <w:jc w:val="both"/>
        <w:rPr>
          <w:rFonts w:ascii="Verdana" w:hAnsi="Verdana" w:cs="Arial"/>
          <w:sz w:val="16"/>
          <w:szCs w:val="16"/>
        </w:rPr>
      </w:pPr>
      <w:r w:rsidRPr="00D90575">
        <w:rPr>
          <w:rFonts w:ascii="Verdana" w:hAnsi="Verdana" w:cs="Arial"/>
          <w:sz w:val="16"/>
          <w:szCs w:val="16"/>
          <w:vertAlign w:val="superscript"/>
        </w:rPr>
        <w:footnoteRef/>
      </w:r>
      <w:r w:rsidRPr="00D90575">
        <w:rPr>
          <w:rFonts w:ascii="Verdana" w:hAnsi="Verdana" w:cs="Arial"/>
          <w:sz w:val="16"/>
          <w:szCs w:val="16"/>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D90575">
        <w:rPr>
          <w:rFonts w:ascii="Verdana" w:hAnsi="Verdana" w:cs="Arial"/>
          <w:sz w:val="16"/>
          <w:szCs w:val="16"/>
          <w:lang w:val="es-ES"/>
        </w:rPr>
        <w:t xml:space="preserve"> </w:t>
      </w:r>
      <w:r w:rsidRPr="00D90575">
        <w:rPr>
          <w:rFonts w:ascii="Verdana" w:hAnsi="Verdana" w:cs="Arial"/>
          <w:sz w:val="16"/>
          <w:szCs w:val="16"/>
        </w:rPr>
        <w:t>(arts.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tiene enunciación y regulación legal” (CORTE SUPREMA DE JUSTICIA. Sala de Casación Civil. Sentencia del 23 de mayo de 2018. Exp. 76001310301220080040401. M.P. Luis Armando Tolosa Villabona).</w:t>
      </w:r>
    </w:p>
  </w:footnote>
  <w:footnote w:id="12">
    <w:p w14:paraId="7D9C230A" w14:textId="77777777" w:rsidR="00F45D9C" w:rsidRPr="00D90575" w:rsidRDefault="00F45D9C" w:rsidP="00F45D9C">
      <w:pPr>
        <w:pStyle w:val="Textonotapie"/>
        <w:ind w:firstLine="708"/>
        <w:contextualSpacing/>
        <w:jc w:val="both"/>
        <w:rPr>
          <w:rFonts w:ascii="Verdana" w:hAnsi="Verdana" w:cs="Arial"/>
          <w:sz w:val="16"/>
          <w:szCs w:val="16"/>
          <w:lang w:val="es-CO"/>
        </w:rPr>
      </w:pPr>
      <w:r w:rsidRPr="00D90575">
        <w:rPr>
          <w:rStyle w:val="Refdenotaalpie"/>
          <w:rFonts w:ascii="Verdana" w:hAnsi="Verdana" w:cs="Arial"/>
          <w:sz w:val="16"/>
          <w:szCs w:val="16"/>
        </w:rPr>
        <w:footnoteRef/>
      </w:r>
      <w:r w:rsidRPr="00D90575">
        <w:rPr>
          <w:rFonts w:ascii="Verdana" w:hAnsi="Verdana" w:cs="Arial"/>
          <w:sz w:val="16"/>
          <w:szCs w:val="16"/>
        </w:rPr>
        <w:t xml:space="preserve"> </w:t>
      </w:r>
      <w:bookmarkStart w:id="7" w:name="2205"/>
      <w:r w:rsidRPr="00D90575">
        <w:rPr>
          <w:rFonts w:ascii="Verdana" w:hAnsi="Verdana" w:cs="Arial"/>
          <w:sz w:val="16"/>
          <w:szCs w:val="16"/>
        </w:rPr>
        <w:t>“</w:t>
      </w:r>
      <w:r w:rsidRPr="00D90575">
        <w:rPr>
          <w:rFonts w:ascii="Verdana" w:hAnsi="Verdana" w:cs="Arial"/>
          <w:sz w:val="16"/>
          <w:szCs w:val="16"/>
          <w:lang w:val="es-CO"/>
        </w:rPr>
        <w:t>ARTÍCULO 2205. &lt;TERMINO PARA LA RESTITUCION DE LA COSA PRESTADA&gt;.</w:t>
      </w:r>
      <w:bookmarkEnd w:id="7"/>
      <w:r w:rsidRPr="00D90575">
        <w:rPr>
          <w:rFonts w:ascii="Verdana" w:hAnsi="Verdana" w:cs="Arial"/>
          <w:sz w:val="16"/>
          <w:szCs w:val="16"/>
          <w:lang w:val="es-CO"/>
        </w:rPr>
        <w:t> El comodatario es obligado a restituir la cosa prestada en el tiempo convenido, o a falta de convención, después del uso para que ha sido prestada.</w:t>
      </w:r>
    </w:p>
    <w:p w14:paraId="69F940E0" w14:textId="77777777" w:rsidR="00F45D9C" w:rsidRPr="00D90575" w:rsidRDefault="00F45D9C" w:rsidP="00F45D9C">
      <w:pPr>
        <w:pStyle w:val="Textonotapie"/>
        <w:contextualSpacing/>
        <w:jc w:val="both"/>
        <w:rPr>
          <w:rFonts w:ascii="Verdana" w:hAnsi="Verdana" w:cs="Arial"/>
          <w:sz w:val="16"/>
          <w:szCs w:val="16"/>
          <w:lang w:val="es-CO"/>
        </w:rPr>
      </w:pPr>
      <w:r w:rsidRPr="00D90575">
        <w:rPr>
          <w:rFonts w:ascii="Verdana" w:hAnsi="Verdana" w:cs="Arial"/>
          <w:sz w:val="16"/>
          <w:szCs w:val="16"/>
          <w:lang w:val="es-CO"/>
        </w:rPr>
        <w:t>Pero podrá exigirse la restitución aún antes del tiempo estipulado en tres casos:</w:t>
      </w:r>
    </w:p>
    <w:p w14:paraId="1A3AB029" w14:textId="77777777" w:rsidR="00F45D9C" w:rsidRPr="00D90575" w:rsidRDefault="00F45D9C" w:rsidP="00F45D9C">
      <w:pPr>
        <w:pStyle w:val="Textonotapie"/>
        <w:ind w:firstLine="708"/>
        <w:contextualSpacing/>
        <w:jc w:val="both"/>
        <w:rPr>
          <w:rFonts w:ascii="Verdana" w:hAnsi="Verdana" w:cs="Arial"/>
          <w:sz w:val="16"/>
          <w:szCs w:val="16"/>
          <w:lang w:val="es-CO"/>
        </w:rPr>
      </w:pPr>
      <w:r w:rsidRPr="00D90575">
        <w:rPr>
          <w:rFonts w:ascii="Verdana" w:hAnsi="Verdana" w:cs="Arial"/>
          <w:sz w:val="16"/>
          <w:szCs w:val="16"/>
          <w:lang w:val="es-CO"/>
        </w:rPr>
        <w:t>1. Si muere el comodatario, a menos que la cosa haya sido prestada para un servicio particular que no pueda diferirse o suspenderse.</w:t>
      </w:r>
    </w:p>
    <w:p w14:paraId="5884E61E" w14:textId="77777777" w:rsidR="00F45D9C" w:rsidRPr="00D90575" w:rsidRDefault="00F45D9C" w:rsidP="00F45D9C">
      <w:pPr>
        <w:pStyle w:val="Textonotapie"/>
        <w:ind w:firstLine="708"/>
        <w:contextualSpacing/>
        <w:jc w:val="both"/>
        <w:rPr>
          <w:rFonts w:ascii="Verdana" w:hAnsi="Verdana" w:cs="Arial"/>
          <w:sz w:val="16"/>
          <w:szCs w:val="16"/>
          <w:lang w:val="es-CO"/>
        </w:rPr>
      </w:pPr>
      <w:r w:rsidRPr="00D90575">
        <w:rPr>
          <w:rFonts w:ascii="Verdana" w:hAnsi="Verdana" w:cs="Arial"/>
          <w:sz w:val="16"/>
          <w:szCs w:val="16"/>
          <w:lang w:val="es-CO"/>
        </w:rPr>
        <w:t>2. Si sobreviene al comodante una necesidad imprevista y urgente de la cosa.</w:t>
      </w:r>
    </w:p>
    <w:p w14:paraId="7D7CE2D6" w14:textId="77777777" w:rsidR="00F45D9C" w:rsidRPr="00D90575" w:rsidRDefault="00F45D9C" w:rsidP="00F45D9C">
      <w:pPr>
        <w:pStyle w:val="Textonotapie"/>
        <w:ind w:firstLine="708"/>
        <w:contextualSpacing/>
        <w:jc w:val="both"/>
        <w:rPr>
          <w:rFonts w:ascii="Verdana" w:hAnsi="Verdana" w:cs="Arial"/>
          <w:sz w:val="16"/>
          <w:szCs w:val="16"/>
          <w:lang w:val="es-CO"/>
        </w:rPr>
      </w:pPr>
      <w:r w:rsidRPr="00D90575">
        <w:rPr>
          <w:rFonts w:ascii="Verdana" w:hAnsi="Verdana" w:cs="Arial"/>
          <w:sz w:val="16"/>
          <w:szCs w:val="16"/>
          <w:lang w:val="es-CO"/>
        </w:rPr>
        <w:t>3. Si ha terminado o no tiene lugar el servicio para el cual se ha prestado la cosa</w:t>
      </w:r>
      <w:r w:rsidRPr="00D90575">
        <w:rPr>
          <w:rFonts w:ascii="Verdana" w:hAnsi="Verdana" w:cs="Arial"/>
          <w:sz w:val="16"/>
          <w:szCs w:val="16"/>
        </w:rPr>
        <w:t>”.</w:t>
      </w:r>
    </w:p>
  </w:footnote>
  <w:footnote w:id="13">
    <w:p w14:paraId="3B17390F" w14:textId="77777777" w:rsidR="00F45D9C" w:rsidRPr="00D90575" w:rsidRDefault="00F45D9C" w:rsidP="00F45D9C">
      <w:pPr>
        <w:pStyle w:val="Textonotapie"/>
        <w:ind w:firstLine="708"/>
        <w:contextualSpacing/>
        <w:jc w:val="both"/>
        <w:rPr>
          <w:rFonts w:ascii="Verdana" w:hAnsi="Verdana" w:cs="Arial"/>
          <w:sz w:val="16"/>
          <w:szCs w:val="16"/>
          <w:lang w:val="es-CO"/>
        </w:rPr>
      </w:pPr>
      <w:r w:rsidRPr="00D90575">
        <w:rPr>
          <w:rStyle w:val="Refdenotaalpie"/>
          <w:rFonts w:ascii="Verdana" w:hAnsi="Verdana" w:cs="Arial"/>
          <w:sz w:val="16"/>
          <w:szCs w:val="16"/>
        </w:rPr>
        <w:footnoteRef/>
      </w:r>
      <w:r w:rsidRPr="00D90575">
        <w:rPr>
          <w:rFonts w:ascii="Verdana" w:hAnsi="Verdana" w:cs="Arial"/>
          <w:sz w:val="16"/>
          <w:szCs w:val="16"/>
        </w:rPr>
        <w:t xml:space="preserve"> </w:t>
      </w:r>
      <w:bookmarkStart w:id="8" w:name="2202"/>
      <w:r w:rsidRPr="00D90575">
        <w:rPr>
          <w:rFonts w:ascii="Verdana" w:hAnsi="Verdana" w:cs="Arial"/>
          <w:sz w:val="16"/>
          <w:szCs w:val="16"/>
        </w:rPr>
        <w:t>“</w:t>
      </w:r>
      <w:r w:rsidRPr="00D90575">
        <w:rPr>
          <w:rFonts w:ascii="Verdana" w:hAnsi="Verdana" w:cs="Arial"/>
          <w:sz w:val="16"/>
          <w:szCs w:val="16"/>
          <w:lang w:val="es-CO"/>
        </w:rPr>
        <w:t>ARTÍCULO 2202. &lt;LIMITACIONES DEL COMODATARIO&gt;.</w:t>
      </w:r>
      <w:bookmarkEnd w:id="8"/>
      <w:r w:rsidRPr="00D90575">
        <w:rPr>
          <w:rFonts w:ascii="Verdana" w:hAnsi="Verdana" w:cs="Arial"/>
          <w:sz w:val="16"/>
          <w:szCs w:val="16"/>
          <w:lang w:val="es-CO"/>
        </w:rPr>
        <w:t> El comodatario no puede emplear la cosa sino en el uso convenido, o falta de convención en el uso ordinario de las de su clase.</w:t>
      </w:r>
    </w:p>
    <w:p w14:paraId="04F4BE1C" w14:textId="77777777" w:rsidR="00F45D9C" w:rsidRPr="00D90575" w:rsidRDefault="00F45D9C" w:rsidP="00F45D9C">
      <w:pPr>
        <w:pStyle w:val="Textonotapie"/>
        <w:ind w:firstLine="708"/>
        <w:contextualSpacing/>
        <w:jc w:val="both"/>
        <w:rPr>
          <w:rFonts w:ascii="Verdana" w:hAnsi="Verdana" w:cs="Arial"/>
          <w:sz w:val="16"/>
          <w:szCs w:val="16"/>
          <w:lang w:val="es-CO"/>
        </w:rPr>
      </w:pPr>
      <w:r w:rsidRPr="00D90575">
        <w:rPr>
          <w:rFonts w:ascii="Verdana" w:hAnsi="Verdana" w:cs="Arial"/>
          <w:sz w:val="16"/>
          <w:szCs w:val="16"/>
          <w:lang w:val="es-CO"/>
        </w:rPr>
        <w:t>En el caso de contravención podrá el comodante exigir la reparación de todo perjuicio, y la restitución inmediata, aún cuando para la restitución se haya estipulado plazo</w:t>
      </w:r>
      <w:r w:rsidRPr="00D90575">
        <w:rPr>
          <w:rFonts w:ascii="Verdana" w:hAnsi="Verdana" w:cs="Arial"/>
          <w:sz w:val="16"/>
          <w:szCs w:val="16"/>
        </w:rPr>
        <w:t>”.</w:t>
      </w:r>
    </w:p>
  </w:footnote>
  <w:footnote w:id="14">
    <w:p w14:paraId="3C2DDA7D" w14:textId="77777777" w:rsidR="00F45D9C" w:rsidRPr="00D90575" w:rsidRDefault="00F45D9C" w:rsidP="00F45D9C">
      <w:pPr>
        <w:pStyle w:val="Textonotapie"/>
        <w:ind w:firstLine="708"/>
        <w:contextualSpacing/>
        <w:jc w:val="both"/>
        <w:rPr>
          <w:rFonts w:ascii="Verdana" w:hAnsi="Verdana" w:cs="Arial"/>
          <w:sz w:val="16"/>
          <w:szCs w:val="16"/>
        </w:rPr>
      </w:pPr>
      <w:r w:rsidRPr="00D90575">
        <w:rPr>
          <w:rStyle w:val="Refdenotaalpie"/>
          <w:rFonts w:ascii="Verdana" w:hAnsi="Verdana" w:cs="Arial"/>
          <w:sz w:val="16"/>
          <w:szCs w:val="16"/>
        </w:rPr>
        <w:footnoteRef/>
      </w:r>
      <w:r w:rsidRPr="00D90575">
        <w:rPr>
          <w:rFonts w:ascii="Verdana" w:hAnsi="Verdana" w:cs="Arial"/>
          <w:sz w:val="16"/>
          <w:szCs w:val="16"/>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15">
    <w:p w14:paraId="4623CE98" w14:textId="77777777" w:rsidR="00F45D9C" w:rsidRPr="00D90575" w:rsidRDefault="00F45D9C" w:rsidP="00F45D9C">
      <w:pPr>
        <w:pStyle w:val="Textonotapie"/>
        <w:ind w:firstLine="708"/>
        <w:contextualSpacing/>
        <w:jc w:val="both"/>
        <w:rPr>
          <w:rFonts w:ascii="Verdana" w:hAnsi="Verdana" w:cs="Arial"/>
          <w:sz w:val="16"/>
          <w:szCs w:val="16"/>
          <w:lang w:val="es-ES"/>
        </w:rPr>
      </w:pPr>
      <w:r w:rsidRPr="00D90575">
        <w:rPr>
          <w:rStyle w:val="Refdenotaalpie"/>
          <w:rFonts w:ascii="Verdana" w:hAnsi="Verdana" w:cs="Arial"/>
          <w:sz w:val="16"/>
          <w:szCs w:val="16"/>
        </w:rPr>
        <w:footnoteRef/>
      </w:r>
      <w:r w:rsidRPr="00D90575">
        <w:rPr>
          <w:rFonts w:ascii="Verdana" w:hAnsi="Verdana" w:cs="Arial"/>
          <w:sz w:val="16"/>
          <w:szCs w:val="16"/>
        </w:rPr>
        <w:t xml:space="preserve"> CORTE SUPREMA DE JUSTICIA. Sala de Casación Civil. Sentencia del 4 de agosto de 2008. Exp. 68001310300920000071001. M.P. Edgardo Villamil Portilla.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F444DB"/>
    <w:multiLevelType w:val="hybridMultilevel"/>
    <w:tmpl w:val="92EE34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330140246">
    <w:abstractNumId w:val="0"/>
  </w:num>
  <w:num w:numId="17" w16cid:durableId="2000301726">
    <w:abstractNumId w:val="4"/>
  </w:num>
  <w:num w:numId="18" w16cid:durableId="658970328">
    <w:abstractNumId w:val="11"/>
  </w:num>
  <w:num w:numId="19" w16cid:durableId="6790895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209"/>
    <w:rsid w:val="00016F78"/>
    <w:rsid w:val="00046945"/>
    <w:rsid w:val="00050985"/>
    <w:rsid w:val="0005343D"/>
    <w:rsid w:val="00061B2A"/>
    <w:rsid w:val="00082362"/>
    <w:rsid w:val="000A683E"/>
    <w:rsid w:val="000B19B9"/>
    <w:rsid w:val="000D0334"/>
    <w:rsid w:val="000D40DF"/>
    <w:rsid w:val="000D6794"/>
    <w:rsid w:val="000F6486"/>
    <w:rsid w:val="00125105"/>
    <w:rsid w:val="00127233"/>
    <w:rsid w:val="00152E82"/>
    <w:rsid w:val="001E4177"/>
    <w:rsid w:val="001F7DC6"/>
    <w:rsid w:val="002421BB"/>
    <w:rsid w:val="0025796E"/>
    <w:rsid w:val="002707A2"/>
    <w:rsid w:val="002951A0"/>
    <w:rsid w:val="002962BC"/>
    <w:rsid w:val="002A093D"/>
    <w:rsid w:val="002A0DD0"/>
    <w:rsid w:val="002A49AC"/>
    <w:rsid w:val="002A64FD"/>
    <w:rsid w:val="002C7A84"/>
    <w:rsid w:val="002E1B14"/>
    <w:rsid w:val="002E4FD9"/>
    <w:rsid w:val="00322A85"/>
    <w:rsid w:val="00324168"/>
    <w:rsid w:val="003448F4"/>
    <w:rsid w:val="00371C1C"/>
    <w:rsid w:val="00374F5E"/>
    <w:rsid w:val="00377E3E"/>
    <w:rsid w:val="003A779E"/>
    <w:rsid w:val="003D0F4D"/>
    <w:rsid w:val="003D5B0D"/>
    <w:rsid w:val="003E0499"/>
    <w:rsid w:val="003F3941"/>
    <w:rsid w:val="00406575"/>
    <w:rsid w:val="00414C74"/>
    <w:rsid w:val="0042722E"/>
    <w:rsid w:val="0044528D"/>
    <w:rsid w:val="004467CB"/>
    <w:rsid w:val="004A1847"/>
    <w:rsid w:val="004A305D"/>
    <w:rsid w:val="004E6044"/>
    <w:rsid w:val="004F21C4"/>
    <w:rsid w:val="004F685F"/>
    <w:rsid w:val="005210FC"/>
    <w:rsid w:val="005566E8"/>
    <w:rsid w:val="00574867"/>
    <w:rsid w:val="00591460"/>
    <w:rsid w:val="005C3777"/>
    <w:rsid w:val="005C5101"/>
    <w:rsid w:val="005C5CDC"/>
    <w:rsid w:val="005D476C"/>
    <w:rsid w:val="006219F8"/>
    <w:rsid w:val="006302F7"/>
    <w:rsid w:val="00650A61"/>
    <w:rsid w:val="00665D70"/>
    <w:rsid w:val="006900D9"/>
    <w:rsid w:val="006A760C"/>
    <w:rsid w:val="00706C16"/>
    <w:rsid w:val="007538A1"/>
    <w:rsid w:val="00756841"/>
    <w:rsid w:val="007649AB"/>
    <w:rsid w:val="00771D0C"/>
    <w:rsid w:val="007833AC"/>
    <w:rsid w:val="007B268C"/>
    <w:rsid w:val="007B7171"/>
    <w:rsid w:val="007C0C0F"/>
    <w:rsid w:val="007C3DC2"/>
    <w:rsid w:val="007E5497"/>
    <w:rsid w:val="00806F5F"/>
    <w:rsid w:val="00820278"/>
    <w:rsid w:val="008319BD"/>
    <w:rsid w:val="00867F95"/>
    <w:rsid w:val="008843B6"/>
    <w:rsid w:val="00891928"/>
    <w:rsid w:val="00894341"/>
    <w:rsid w:val="00897A3A"/>
    <w:rsid w:val="008A446D"/>
    <w:rsid w:val="008D180B"/>
    <w:rsid w:val="008D1A6F"/>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2B65"/>
    <w:rsid w:val="00A17F13"/>
    <w:rsid w:val="00A20739"/>
    <w:rsid w:val="00A33C78"/>
    <w:rsid w:val="00A772A0"/>
    <w:rsid w:val="00AB0ADB"/>
    <w:rsid w:val="00AD01C2"/>
    <w:rsid w:val="00AD0252"/>
    <w:rsid w:val="00AE0537"/>
    <w:rsid w:val="00B00C0E"/>
    <w:rsid w:val="00B01B1A"/>
    <w:rsid w:val="00B44A47"/>
    <w:rsid w:val="00B72CD3"/>
    <w:rsid w:val="00B72FFF"/>
    <w:rsid w:val="00B86192"/>
    <w:rsid w:val="00BA3BA8"/>
    <w:rsid w:val="00BC3D36"/>
    <w:rsid w:val="00BD7F72"/>
    <w:rsid w:val="00C021F8"/>
    <w:rsid w:val="00C04FB3"/>
    <w:rsid w:val="00C17D68"/>
    <w:rsid w:val="00C330EB"/>
    <w:rsid w:val="00C754BE"/>
    <w:rsid w:val="00C76B1C"/>
    <w:rsid w:val="00CB6357"/>
    <w:rsid w:val="00CC1B26"/>
    <w:rsid w:val="00D27350"/>
    <w:rsid w:val="00D423A2"/>
    <w:rsid w:val="00D520D8"/>
    <w:rsid w:val="00D63AC2"/>
    <w:rsid w:val="00D7383B"/>
    <w:rsid w:val="00DA231B"/>
    <w:rsid w:val="00DC39FC"/>
    <w:rsid w:val="00DC5FCC"/>
    <w:rsid w:val="00DF254A"/>
    <w:rsid w:val="00DF5254"/>
    <w:rsid w:val="00E16408"/>
    <w:rsid w:val="00E20894"/>
    <w:rsid w:val="00E245AB"/>
    <w:rsid w:val="00E2764C"/>
    <w:rsid w:val="00E27F2E"/>
    <w:rsid w:val="00E50AFE"/>
    <w:rsid w:val="00E75C92"/>
    <w:rsid w:val="00E771DC"/>
    <w:rsid w:val="00E8772A"/>
    <w:rsid w:val="00E90F6B"/>
    <w:rsid w:val="00E92C27"/>
    <w:rsid w:val="00E9439A"/>
    <w:rsid w:val="00EA0E3D"/>
    <w:rsid w:val="00EB26C7"/>
    <w:rsid w:val="00EC38A7"/>
    <w:rsid w:val="00EE1AA8"/>
    <w:rsid w:val="00F01E90"/>
    <w:rsid w:val="00F31EDC"/>
    <w:rsid w:val="00F45D9C"/>
    <w:rsid w:val="00F462B3"/>
    <w:rsid w:val="00F5664F"/>
    <w:rsid w:val="00F57A14"/>
    <w:rsid w:val="00F6601F"/>
    <w:rsid w:val="00F666C4"/>
    <w:rsid w:val="00F76AFC"/>
    <w:rsid w:val="00FA47C0"/>
    <w:rsid w:val="00FB577D"/>
    <w:rsid w:val="00FB5DD1"/>
    <w:rsid w:val="00FC2B5D"/>
    <w:rsid w:val="00FE4F41"/>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uiPriority w:val="1"/>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45D9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F45D9C"/>
    <w:rPr>
      <w:rFonts w:ascii="Geomanist Light" w:hAnsi="Geomanist Light"/>
      <w:lang w:val="es-ES"/>
    </w:rPr>
  </w:style>
  <w:style w:type="paragraph" w:styleId="Textoindependiente">
    <w:name w:val="Body Text"/>
    <w:basedOn w:val="Normal"/>
    <w:link w:val="TextoindependienteCar"/>
    <w:uiPriority w:val="99"/>
    <w:unhideWhenUsed/>
    <w:rsid w:val="00F45D9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F45D9C"/>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onavarretebaena@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seolaya@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286_200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9BE9E8E-5624-4EA3-B5C9-5BDC4CE5D6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microsoft.com/office/infopath/2007/PartnerControls"/>
    <ds:schemaRef ds:uri="9d85dbaf-23eb-4e57-a637-93dcacc8b1a1"/>
    <ds:schemaRef ds:uri="http://purl.org/dc/terms/"/>
    <ds:schemaRef ds:uri="http://schemas.openxmlformats.org/package/2006/metadata/core-properties"/>
    <ds:schemaRef ds:uri="a6cb9e4b-f1d1-4245-83ec-6cad768d538a"/>
    <ds:schemaRef ds:uri="http://schemas.microsoft.com/office/2006/documentManagement/types"/>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17</Pages>
  <Words>5738</Words>
  <Characters>31561</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37225</CharactersWithSpaces>
  <SharedDoc>false</SharedDoc>
  <HLinks>
    <vt:vector size="30" baseType="variant">
      <vt:variant>
        <vt:i4>3801139</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589866</vt:i4>
      </vt:variant>
      <vt:variant>
        <vt:i4>3</vt:i4>
      </vt:variant>
      <vt:variant>
        <vt:i4>0</vt:i4>
      </vt:variant>
      <vt:variant>
        <vt:i4>5</vt:i4>
      </vt:variant>
      <vt:variant>
        <vt:lpwstr>mailto:onavarretebaena@gmail.com</vt:lpwstr>
      </vt:variant>
      <vt:variant>
        <vt:lpwstr/>
      </vt:variant>
      <vt:variant>
        <vt:i4>1114148</vt:i4>
      </vt:variant>
      <vt:variant>
        <vt:i4>0</vt:i4>
      </vt:variant>
      <vt:variant>
        <vt:i4>0</vt:i4>
      </vt:variant>
      <vt:variant>
        <vt:i4>5</vt:i4>
      </vt:variant>
      <vt:variant>
        <vt:lpwstr>mailto:juanseolaya@gmail.com</vt:lpwstr>
      </vt:variant>
      <vt:variant>
        <vt:lpwstr/>
      </vt:variant>
      <vt:variant>
        <vt:i4>3604501</vt:i4>
      </vt:variant>
      <vt:variant>
        <vt:i4>0</vt:i4>
      </vt:variant>
      <vt:variant>
        <vt:i4>0</vt:i4>
      </vt:variant>
      <vt:variant>
        <vt:i4>5</vt:i4>
      </vt:variant>
      <vt:variant>
        <vt:lpwstr>http://www.secretariasenado.gov.co/senado/basedoc/ley_1286_2009.html</vt:lpwstr>
      </vt:variant>
      <vt:variant>
        <vt:lpwstr>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2025-10-10T15:12:00Z</dcterms:created>
  <dcterms:modified xsi:type="dcterms:W3CDTF">2025-10-10T15:12:00Z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