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2DD45" w14:textId="77777777" w:rsidR="00C20FD9" w:rsidRDefault="00C20FD9" w:rsidP="00C20FD9">
      <w:pPr>
        <w:pStyle w:val="NormalWeb"/>
        <w:jc w:val="both"/>
        <w:rPr>
          <w:rFonts w:ascii="Verdana" w:hAnsi="Verdana"/>
          <w:b/>
          <w:bCs/>
          <w:sz w:val="22"/>
          <w:szCs w:val="22"/>
        </w:rPr>
      </w:pPr>
      <w:bookmarkStart w:id="0" w:name="_Hlk143780582"/>
      <w:r w:rsidRPr="00C20FD9">
        <w:rPr>
          <w:rFonts w:ascii="Verdana" w:hAnsi="Verdana"/>
          <w:b/>
          <w:bCs/>
          <w:sz w:val="22"/>
          <w:szCs w:val="22"/>
        </w:rPr>
        <w:t>EXPERIENCIA – NATURALEZA Y DOBLE FUNCIÓN</w:t>
      </w:r>
    </w:p>
    <w:p w14:paraId="75ED0B6C" w14:textId="560E49D2" w:rsidR="00C20FD9" w:rsidRPr="00C20FD9" w:rsidRDefault="00C20FD9" w:rsidP="00C20FD9">
      <w:pPr>
        <w:pStyle w:val="NormalWeb"/>
        <w:jc w:val="both"/>
        <w:rPr>
          <w:rFonts w:ascii="Verdana" w:hAnsi="Verdana"/>
          <w:sz w:val="22"/>
          <w:szCs w:val="22"/>
        </w:rPr>
      </w:pPr>
      <w:r w:rsidRPr="00C20FD9">
        <w:rPr>
          <w:rFonts w:ascii="Verdana" w:hAnsi="Verdana"/>
          <w:sz w:val="22"/>
          <w:szCs w:val="22"/>
        </w:rPr>
        <w:t xml:space="preserve"> </w:t>
      </w:r>
      <w:r w:rsidRPr="00C20FD9">
        <w:rPr>
          <w:rStyle w:val="citation-111"/>
          <w:rFonts w:ascii="Verdana" w:hAnsi="Verdana"/>
          <w:sz w:val="22"/>
          <w:szCs w:val="22"/>
        </w:rPr>
        <w:t>La experiencia, entendida como el conocimiento previo del proponente en actividades similares al objeto contractual</w:t>
      </w:r>
      <w:r w:rsidRPr="00C20FD9">
        <w:rPr>
          <w:rFonts w:ascii="Verdana" w:hAnsi="Verdana"/>
          <w:sz w:val="22"/>
          <w:szCs w:val="22"/>
        </w:rPr>
        <w:t xml:space="preserve">, cumple una doble función. </w:t>
      </w:r>
      <w:r w:rsidRPr="00C20FD9">
        <w:rPr>
          <w:rStyle w:val="citation-110"/>
          <w:rFonts w:ascii="Verdana" w:hAnsi="Verdana"/>
          <w:sz w:val="22"/>
          <w:szCs w:val="22"/>
        </w:rPr>
        <w:t xml:space="preserve">Primero, como Requisito Habilitante, es una condición de "pasa o no pasa" que establece un umbral mínimo de idoneidad para participar </w:t>
      </w:r>
      <w:r w:rsidRPr="00C20FD9">
        <w:rPr>
          <w:rFonts w:ascii="Verdana" w:hAnsi="Verdana"/>
          <w:sz w:val="22"/>
          <w:szCs w:val="22"/>
        </w:rPr>
        <w:t xml:space="preserve">. </w:t>
      </w:r>
      <w:r w:rsidRPr="00C20FD9">
        <w:rPr>
          <w:rStyle w:val="citation-109"/>
          <w:rFonts w:ascii="Verdana" w:hAnsi="Verdana"/>
          <w:sz w:val="22"/>
          <w:szCs w:val="22"/>
        </w:rPr>
        <w:t xml:space="preserve">Segundo, como Factor de Puntuación, se usa para valorar los aspectos técnicos de la oferta y asignar un puntaje, siendo característico del Concurso de Méritos </w:t>
      </w:r>
      <w:r w:rsidRPr="00C20FD9">
        <w:rPr>
          <w:rFonts w:ascii="Verdana" w:hAnsi="Verdana"/>
          <w:sz w:val="22"/>
          <w:szCs w:val="22"/>
        </w:rPr>
        <w:t xml:space="preserve">. </w:t>
      </w:r>
      <w:r w:rsidRPr="00C20FD9">
        <w:rPr>
          <w:rStyle w:val="citation-108"/>
          <w:rFonts w:ascii="Verdana" w:hAnsi="Verdana"/>
          <w:sz w:val="22"/>
          <w:szCs w:val="22"/>
        </w:rPr>
        <w:t>La definición de cómo se exige la experiencia es una potestad de la Entidad Estatal en su planeación</w:t>
      </w:r>
      <w:r w:rsidRPr="00C20FD9">
        <w:rPr>
          <w:rFonts w:ascii="Verdana" w:hAnsi="Verdana"/>
          <w:sz w:val="22"/>
          <w:szCs w:val="22"/>
        </w:rPr>
        <w:t>.</w:t>
      </w:r>
    </w:p>
    <w:p w14:paraId="6CAE7A04" w14:textId="77777777" w:rsidR="00C20FD9" w:rsidRDefault="00C20FD9" w:rsidP="00C20FD9">
      <w:pPr>
        <w:pStyle w:val="NormalWeb"/>
        <w:jc w:val="both"/>
        <w:rPr>
          <w:rFonts w:ascii="Verdana" w:hAnsi="Verdana"/>
          <w:sz w:val="22"/>
          <w:szCs w:val="22"/>
        </w:rPr>
      </w:pPr>
      <w:r w:rsidRPr="00C20FD9">
        <w:rPr>
          <w:rFonts w:ascii="Verdana" w:hAnsi="Verdana"/>
          <w:b/>
          <w:bCs/>
          <w:sz w:val="22"/>
          <w:szCs w:val="22"/>
        </w:rPr>
        <w:t>CÓMPUTO DE LA EXPERIENCIA PROFESIONAL – REGLA GENERAL Y EXCEPCIONES</w:t>
      </w:r>
      <w:r w:rsidRPr="00C20FD9">
        <w:rPr>
          <w:rFonts w:ascii="Verdana" w:hAnsi="Verdana"/>
          <w:sz w:val="22"/>
          <w:szCs w:val="22"/>
        </w:rPr>
        <w:t xml:space="preserve"> </w:t>
      </w:r>
    </w:p>
    <w:p w14:paraId="21DC182F" w14:textId="23F798D2" w:rsidR="00C20FD9" w:rsidRPr="00C20FD9" w:rsidRDefault="00C20FD9" w:rsidP="00C20FD9">
      <w:pPr>
        <w:pStyle w:val="NormalWeb"/>
        <w:jc w:val="both"/>
        <w:rPr>
          <w:rFonts w:ascii="Verdana" w:hAnsi="Verdana"/>
          <w:sz w:val="22"/>
          <w:szCs w:val="22"/>
        </w:rPr>
      </w:pPr>
      <w:r w:rsidRPr="00C20FD9">
        <w:rPr>
          <w:rFonts w:ascii="Verdana" w:hAnsi="Verdana"/>
          <w:sz w:val="22"/>
          <w:szCs w:val="22"/>
        </w:rPr>
        <w:t xml:space="preserve">El cómputo de la experiencia profesional tiene una regla general y excepciones. </w:t>
      </w:r>
      <w:r w:rsidRPr="00C20FD9">
        <w:rPr>
          <w:rStyle w:val="citation-107"/>
          <w:rFonts w:ascii="Verdana" w:hAnsi="Verdana"/>
          <w:sz w:val="22"/>
          <w:szCs w:val="22"/>
        </w:rPr>
        <w:t xml:space="preserve">La regla general, según el Decreto 019 de 2012, es que se contabiliza desde la terminación y aprobación del pénsum académico </w:t>
      </w:r>
      <w:r w:rsidRPr="00C20FD9">
        <w:rPr>
          <w:rFonts w:ascii="Verdana" w:hAnsi="Verdana"/>
          <w:sz w:val="22"/>
          <w:szCs w:val="22"/>
        </w:rPr>
        <w:t xml:space="preserve">. </w:t>
      </w:r>
      <w:r w:rsidRPr="00C20FD9">
        <w:rPr>
          <w:rStyle w:val="citation-106"/>
          <w:rFonts w:ascii="Verdana" w:hAnsi="Verdana"/>
          <w:sz w:val="22"/>
          <w:szCs w:val="22"/>
        </w:rPr>
        <w:t xml:space="preserve">No obstante, para profesiones con regulación especial como la ingeniería (Ley 842 de 2003), la experiencia se computa por regla especial a partir de la fecha de expedición de la matrícula profesional </w:t>
      </w:r>
      <w:r w:rsidRPr="00C20FD9">
        <w:rPr>
          <w:rFonts w:ascii="Verdana" w:hAnsi="Verdana"/>
          <w:sz w:val="22"/>
          <w:szCs w:val="22"/>
        </w:rPr>
        <w:t xml:space="preserve">. </w:t>
      </w:r>
      <w:r w:rsidRPr="00C20FD9">
        <w:rPr>
          <w:rStyle w:val="citation-105"/>
          <w:rFonts w:ascii="Verdana" w:hAnsi="Verdana"/>
          <w:sz w:val="22"/>
          <w:szCs w:val="22"/>
        </w:rPr>
        <w:t>También se permite contar las prácticas laborales como experiencia profesional, conforme a la Ley 1955 de 2019</w:t>
      </w:r>
      <w:r w:rsidRPr="00C20FD9">
        <w:rPr>
          <w:rFonts w:ascii="Verdana" w:hAnsi="Verdana"/>
          <w:sz w:val="22"/>
          <w:szCs w:val="22"/>
        </w:rPr>
        <w:t>.</w:t>
      </w:r>
    </w:p>
    <w:p w14:paraId="1D556F5E" w14:textId="77777777" w:rsidR="00C20FD9" w:rsidRDefault="00C20FD9" w:rsidP="00C20FD9">
      <w:pPr>
        <w:pStyle w:val="NormalWeb"/>
        <w:jc w:val="both"/>
        <w:rPr>
          <w:rFonts w:ascii="Verdana" w:hAnsi="Verdana"/>
          <w:sz w:val="22"/>
          <w:szCs w:val="22"/>
        </w:rPr>
      </w:pPr>
      <w:r w:rsidRPr="00C20FD9">
        <w:rPr>
          <w:rFonts w:ascii="Verdana" w:hAnsi="Verdana"/>
          <w:b/>
          <w:bCs/>
          <w:sz w:val="22"/>
          <w:szCs w:val="22"/>
        </w:rPr>
        <w:t>ACREDITACIÓN DE LA EXPERIENCIA – CERTIFICACIONES</w:t>
      </w:r>
      <w:r w:rsidRPr="00C20FD9">
        <w:rPr>
          <w:rFonts w:ascii="Verdana" w:hAnsi="Verdana"/>
          <w:sz w:val="22"/>
          <w:szCs w:val="22"/>
        </w:rPr>
        <w:t xml:space="preserve"> </w:t>
      </w:r>
    </w:p>
    <w:p w14:paraId="139896C6" w14:textId="719E3A98" w:rsidR="00C20FD9" w:rsidRPr="00C20FD9" w:rsidRDefault="00C20FD9" w:rsidP="00C20FD9">
      <w:pPr>
        <w:pStyle w:val="NormalWeb"/>
        <w:jc w:val="both"/>
        <w:rPr>
          <w:rFonts w:ascii="Verdana" w:hAnsi="Verdana"/>
          <w:sz w:val="22"/>
          <w:szCs w:val="22"/>
        </w:rPr>
      </w:pPr>
      <w:r w:rsidRPr="00C20FD9">
        <w:rPr>
          <w:rStyle w:val="citation-104"/>
          <w:rFonts w:ascii="Verdana" w:hAnsi="Verdana"/>
          <w:sz w:val="22"/>
          <w:szCs w:val="22"/>
        </w:rPr>
        <w:t xml:space="preserve">La acreditación de la experiencia debe realizarse a través de documentos expedidos por el tercero que recibió el bien o servicio, como actas de liquidación o certificaciones </w:t>
      </w:r>
      <w:r w:rsidRPr="00C20FD9">
        <w:rPr>
          <w:rFonts w:ascii="Verdana" w:hAnsi="Verdana"/>
          <w:sz w:val="22"/>
          <w:szCs w:val="22"/>
        </w:rPr>
        <w:t xml:space="preserve">. </w:t>
      </w:r>
      <w:r w:rsidRPr="00C20FD9">
        <w:rPr>
          <w:rStyle w:val="citation-103"/>
          <w:rFonts w:ascii="Verdana" w:hAnsi="Verdana"/>
          <w:sz w:val="22"/>
          <w:szCs w:val="22"/>
        </w:rPr>
        <w:t>Se prohíben las auto-certificaciones, entendidas como las expedidas por el mismo proponente o su grupo empresarial</w:t>
      </w:r>
      <w:r w:rsidRPr="00C20FD9">
        <w:rPr>
          <w:rFonts w:ascii="Verdana" w:hAnsi="Verdana"/>
          <w:sz w:val="22"/>
          <w:szCs w:val="22"/>
        </w:rPr>
        <w:t xml:space="preserve">. </w:t>
      </w:r>
      <w:r w:rsidRPr="00C20FD9">
        <w:rPr>
          <w:rStyle w:val="citation-102"/>
          <w:rFonts w:ascii="Verdana" w:hAnsi="Verdana"/>
          <w:sz w:val="22"/>
          <w:szCs w:val="22"/>
        </w:rPr>
        <w:t>Sin embargo, no se considera auto-certificación si una persona jurídica distinta (un "tercero en sentido subjetivo") certifica al proponente, incluso si comparten representante legal</w:t>
      </w:r>
      <w:r w:rsidRPr="00C20FD9">
        <w:rPr>
          <w:rFonts w:ascii="Verdana" w:hAnsi="Verdana"/>
          <w:sz w:val="22"/>
          <w:szCs w:val="22"/>
        </w:rPr>
        <w:t>.</w:t>
      </w:r>
    </w:p>
    <w:p w14:paraId="3A0C13AA" w14:textId="77777777" w:rsidR="00C20FD9" w:rsidRPr="00C20FD9" w:rsidRDefault="00C20FD9" w:rsidP="00C20FD9">
      <w:pPr>
        <w:pStyle w:val="Textoindependiente"/>
        <w:spacing w:before="168"/>
        <w:jc w:val="both"/>
        <w:rPr>
          <w:lang w:val="es-CO"/>
        </w:rPr>
      </w:pPr>
    </w:p>
    <w:p w14:paraId="538A89C1" w14:textId="77777777" w:rsidR="00C20FD9" w:rsidRDefault="00C20FD9" w:rsidP="00BA7DDD">
      <w:pPr>
        <w:pStyle w:val="Textoindependiente"/>
        <w:spacing w:before="168"/>
      </w:pPr>
    </w:p>
    <w:p w14:paraId="41221459" w14:textId="77777777" w:rsidR="00C20FD9" w:rsidRDefault="00C20FD9" w:rsidP="00BA7DDD">
      <w:pPr>
        <w:pStyle w:val="Textoindependiente"/>
        <w:spacing w:before="168"/>
      </w:pPr>
    </w:p>
    <w:p w14:paraId="1102B93A" w14:textId="77777777" w:rsidR="00C20FD9" w:rsidRDefault="00C20FD9" w:rsidP="00BA7DDD">
      <w:pPr>
        <w:pStyle w:val="Textoindependiente"/>
        <w:spacing w:before="168"/>
      </w:pPr>
    </w:p>
    <w:p w14:paraId="038E6080" w14:textId="77777777" w:rsidR="00C20FD9" w:rsidRDefault="00C20FD9" w:rsidP="00BA7DDD">
      <w:pPr>
        <w:pStyle w:val="Textoindependiente"/>
        <w:spacing w:before="168"/>
      </w:pPr>
    </w:p>
    <w:p w14:paraId="39941CF5" w14:textId="77777777" w:rsidR="00C20FD9" w:rsidRDefault="00C20FD9" w:rsidP="00BA7DDD">
      <w:pPr>
        <w:pStyle w:val="Textoindependiente"/>
        <w:spacing w:before="168"/>
      </w:pPr>
    </w:p>
    <w:p w14:paraId="48EF02DE" w14:textId="77777777" w:rsidR="00C20FD9" w:rsidRDefault="00C20FD9" w:rsidP="00BA7DDD">
      <w:pPr>
        <w:pStyle w:val="Textoindependiente"/>
        <w:spacing w:before="168"/>
      </w:pPr>
    </w:p>
    <w:p w14:paraId="07047848" w14:textId="77777777" w:rsidR="00C20FD9" w:rsidRDefault="00C20FD9" w:rsidP="00BA7DDD">
      <w:pPr>
        <w:pStyle w:val="Textoindependiente"/>
        <w:spacing w:before="168"/>
      </w:pPr>
    </w:p>
    <w:p w14:paraId="3FE2184B" w14:textId="0A34A42C" w:rsidR="00E245AB" w:rsidRPr="0044528D" w:rsidRDefault="00BA7DDD" w:rsidP="00BA7DDD">
      <w:pPr>
        <w:pStyle w:val="Textoindependiente"/>
        <w:spacing w:before="168"/>
      </w:pPr>
      <w:r>
        <w:t>Bogotá</w:t>
      </w:r>
      <w:r>
        <w:rPr>
          <w:spacing w:val="-6"/>
        </w:rPr>
        <w:t xml:space="preserve"> </w:t>
      </w:r>
      <w:r>
        <w:t>D.C.,</w:t>
      </w:r>
      <w:r>
        <w:rPr>
          <w:spacing w:val="-4"/>
        </w:rPr>
        <w:t xml:space="preserve"> </w:t>
      </w:r>
      <w:r>
        <w:t>10</w:t>
      </w:r>
      <w:r>
        <w:rPr>
          <w:spacing w:val="-3"/>
        </w:rPr>
        <w:t xml:space="preserve"> </w:t>
      </w:r>
      <w:proofErr w:type="gramStart"/>
      <w:r>
        <w:t>Octubre</w:t>
      </w:r>
      <w:proofErr w:type="gramEnd"/>
      <w:r>
        <w:rPr>
          <w:spacing w:val="-2"/>
        </w:rPr>
        <w:t xml:space="preserve"> </w:t>
      </w:r>
      <w:r>
        <w:rPr>
          <w:spacing w:val="-4"/>
        </w:rPr>
        <w:t>2025</w:t>
      </w:r>
      <w:r>
        <w:rPr>
          <w:noProof/>
        </w:rPr>
        <w:drawing>
          <wp:anchor distT="0" distB="0" distL="0" distR="0" simplePos="0" relativeHeight="251659264" behindDoc="0" locked="0" layoutInCell="1" allowOverlap="1" wp14:anchorId="3A4DF18B" wp14:editId="066CAE35">
            <wp:simplePos x="0" y="0"/>
            <wp:positionH relativeFrom="page">
              <wp:posOffset>4323520</wp:posOffset>
            </wp:positionH>
            <wp:positionV relativeFrom="paragraph">
              <wp:posOffset>-110050</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p>
    <w:p w14:paraId="5FCADBF9" w14:textId="77777777" w:rsidR="00E245AB" w:rsidRPr="0044528D" w:rsidRDefault="00E245AB" w:rsidP="00E245AB">
      <w:pPr>
        <w:spacing w:after="0"/>
        <w:rPr>
          <w:rFonts w:ascii="Verdana" w:hAnsi="Verdana"/>
        </w:rPr>
      </w:pPr>
    </w:p>
    <w:bookmarkEnd w:id="0"/>
    <w:p w14:paraId="1E0AD0A6" w14:textId="77777777" w:rsidR="004A09F3" w:rsidRPr="00AB18AB" w:rsidRDefault="004A09F3" w:rsidP="004A09F3">
      <w:pPr>
        <w:spacing w:after="0" w:line="276" w:lineRule="auto"/>
        <w:jc w:val="both"/>
        <w:rPr>
          <w:rFonts w:ascii="Verdana" w:eastAsia="Calibri" w:hAnsi="Verdana" w:cs="Arial"/>
          <w:lang w:val="es-ES" w:eastAsia="es-ES"/>
        </w:rPr>
      </w:pPr>
      <w:r w:rsidRPr="00AB18AB">
        <w:rPr>
          <w:rFonts w:ascii="Verdana" w:eastAsia="Calibri" w:hAnsi="Verdana" w:cs="Arial"/>
          <w:lang w:val="es-ES" w:eastAsia="es-ES"/>
        </w:rPr>
        <w:t>Señora</w:t>
      </w:r>
    </w:p>
    <w:p w14:paraId="1FF335FE" w14:textId="77777777" w:rsidR="004A09F3" w:rsidRPr="00A0791B" w:rsidRDefault="004A09F3" w:rsidP="004A09F3">
      <w:pPr>
        <w:spacing w:after="0" w:line="276" w:lineRule="auto"/>
        <w:rPr>
          <w:rFonts w:ascii="Verdana" w:eastAsia="Calibri" w:hAnsi="Verdana" w:cs="Arial"/>
          <w:b/>
          <w:bCs/>
          <w:lang w:val="es-ES_tradnl" w:eastAsia="es-ES_tradnl"/>
        </w:rPr>
      </w:pPr>
      <w:r w:rsidRPr="00A0791B">
        <w:rPr>
          <w:rFonts w:ascii="Verdana" w:eastAsia="Calibri" w:hAnsi="Verdana" w:cs="Arial"/>
          <w:b/>
          <w:bCs/>
          <w:lang w:val="es-ES_tradnl" w:eastAsia="es-ES_tradnl"/>
        </w:rPr>
        <w:t xml:space="preserve">Cristina Vásquez Hernández </w:t>
      </w:r>
    </w:p>
    <w:p w14:paraId="506B01E7" w14:textId="77777777" w:rsidR="004A09F3" w:rsidRPr="00AB18AB" w:rsidRDefault="004A09F3" w:rsidP="004A09F3">
      <w:pPr>
        <w:spacing w:after="0" w:line="276" w:lineRule="auto"/>
        <w:rPr>
          <w:rFonts w:ascii="Verdana" w:eastAsia="Calibri" w:hAnsi="Verdana" w:cs="Arial"/>
          <w:u w:val="single"/>
          <w:lang w:val="es-ES" w:eastAsia="es-ES"/>
        </w:rPr>
      </w:pPr>
      <w:hyperlink r:id="rId11" w:history="1">
        <w:r w:rsidRPr="00AB18AB">
          <w:rPr>
            <w:rStyle w:val="Hipervnculo"/>
            <w:rFonts w:ascii="Verdana" w:eastAsia="Calibri" w:hAnsi="Verdana" w:cs="Arial"/>
            <w:lang w:val="es-ES" w:eastAsia="es-ES"/>
          </w:rPr>
          <w:t>cristinavs53@gmail.com</w:t>
        </w:r>
      </w:hyperlink>
      <w:r w:rsidRPr="00AB18AB">
        <w:rPr>
          <w:rFonts w:ascii="Verdana" w:eastAsia="Calibri" w:hAnsi="Verdana" w:cs="Arial"/>
          <w:u w:val="single"/>
          <w:lang w:val="es-ES" w:eastAsia="es-ES"/>
        </w:rPr>
        <w:t xml:space="preserve"> </w:t>
      </w:r>
    </w:p>
    <w:p w14:paraId="3434D056" w14:textId="77777777" w:rsidR="004A09F3" w:rsidRPr="00AB18AB" w:rsidRDefault="004A09F3" w:rsidP="004A09F3">
      <w:pPr>
        <w:spacing w:after="0" w:line="276" w:lineRule="auto"/>
        <w:rPr>
          <w:rFonts w:ascii="Verdana" w:eastAsia="Calibri" w:hAnsi="Verdana" w:cs="Arial"/>
          <w:lang w:val="es-ES" w:eastAsia="es-ES"/>
        </w:rPr>
      </w:pPr>
      <w:r w:rsidRPr="00AB18AB">
        <w:rPr>
          <w:rFonts w:ascii="Verdana" w:eastAsia="Calibri" w:hAnsi="Verdana" w:cs="Arial"/>
          <w:lang w:val="es-ES" w:eastAsia="es-ES"/>
        </w:rPr>
        <w:t>Chía, Cundinamarca</w:t>
      </w:r>
    </w:p>
    <w:p w14:paraId="69294FC7" w14:textId="77777777" w:rsidR="004A09F3" w:rsidRPr="00AB18AB" w:rsidRDefault="004A09F3" w:rsidP="004A09F3">
      <w:pPr>
        <w:spacing w:after="0" w:line="276" w:lineRule="auto"/>
        <w:rPr>
          <w:rFonts w:ascii="Verdana" w:eastAsia="Calibri" w:hAnsi="Verdana" w:cs="Arial"/>
          <w:color w:val="000000"/>
          <w:lang w:val="es-ES_tradnl" w:eastAsia="es-ES_tradnl"/>
        </w:rPr>
      </w:pPr>
    </w:p>
    <w:p w14:paraId="70E66BA4" w14:textId="77777777" w:rsidR="004A09F3" w:rsidRPr="00AB18AB" w:rsidRDefault="004A09F3" w:rsidP="004A09F3">
      <w:pPr>
        <w:spacing w:after="0" w:line="276" w:lineRule="auto"/>
        <w:rPr>
          <w:rFonts w:ascii="Verdana" w:eastAsia="Calibri" w:hAnsi="Verdana" w:cs="Arial"/>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27"/>
        <w:gridCol w:w="6662"/>
      </w:tblGrid>
      <w:tr w:rsidR="004A09F3" w:rsidRPr="00AB18AB" w14:paraId="2CD0D900" w14:textId="77777777" w:rsidTr="007C4002">
        <w:trPr>
          <w:trHeight w:val="68"/>
        </w:trPr>
        <w:tc>
          <w:tcPr>
            <w:tcW w:w="2127" w:type="dxa"/>
          </w:tcPr>
          <w:p w14:paraId="52BC776D" w14:textId="77777777" w:rsidR="004A09F3" w:rsidRPr="00AB18AB" w:rsidRDefault="004A09F3" w:rsidP="00B66D77">
            <w:pPr>
              <w:spacing w:line="276" w:lineRule="auto"/>
              <w:jc w:val="both"/>
              <w:rPr>
                <w:rFonts w:ascii="Verdana" w:eastAsia="Calibri" w:hAnsi="Verdana" w:cs="Arial"/>
                <w:color w:val="7030A0"/>
                <w:lang w:val="es-ES_tradnl" w:eastAsia="es-ES_tradnl"/>
              </w:rPr>
            </w:pPr>
          </w:p>
        </w:tc>
        <w:tc>
          <w:tcPr>
            <w:tcW w:w="6662" w:type="dxa"/>
          </w:tcPr>
          <w:p w14:paraId="350B1CEB" w14:textId="77777777" w:rsidR="004A09F3" w:rsidRDefault="004A09F3" w:rsidP="00B66D77">
            <w:pPr>
              <w:spacing w:line="276" w:lineRule="auto"/>
              <w:jc w:val="both"/>
              <w:rPr>
                <w:rFonts w:ascii="Verdana" w:eastAsia="Calibri" w:hAnsi="Verdana" w:cs="Arial"/>
                <w:b/>
                <w:bCs/>
                <w:lang w:val="es-ES" w:eastAsia="es-ES"/>
              </w:rPr>
            </w:pPr>
            <w:r w:rsidRPr="00A0791B">
              <w:rPr>
                <w:rFonts w:ascii="Verdana" w:eastAsia="Calibri" w:hAnsi="Verdana" w:cs="Arial"/>
                <w:b/>
                <w:bCs/>
                <w:lang w:val="es-ES" w:eastAsia="es-ES"/>
              </w:rPr>
              <w:t>Concepto C-1232</w:t>
            </w:r>
            <w:r w:rsidRPr="00A0791B">
              <w:rPr>
                <w:rFonts w:ascii="Verdana" w:eastAsia="Calibri" w:hAnsi="Verdana" w:cs="Arial"/>
                <w:b/>
                <w:bCs/>
                <w:color w:val="7030A0"/>
                <w:lang w:val="es-ES" w:eastAsia="es-ES"/>
              </w:rPr>
              <w:t xml:space="preserve"> </w:t>
            </w:r>
            <w:r w:rsidRPr="00A0791B">
              <w:rPr>
                <w:rFonts w:ascii="Verdana" w:eastAsia="Calibri" w:hAnsi="Verdana" w:cs="Arial"/>
                <w:b/>
                <w:bCs/>
                <w:lang w:val="es-ES" w:eastAsia="es-ES"/>
              </w:rPr>
              <w:t>de 2025</w:t>
            </w:r>
          </w:p>
          <w:p w14:paraId="233E6C63" w14:textId="77777777" w:rsidR="004A09F3" w:rsidRPr="00A0791B" w:rsidRDefault="004A09F3" w:rsidP="00B66D77">
            <w:pPr>
              <w:spacing w:line="276" w:lineRule="auto"/>
              <w:jc w:val="both"/>
              <w:rPr>
                <w:rFonts w:ascii="Verdana" w:eastAsia="Calibri" w:hAnsi="Verdana" w:cs="Arial"/>
                <w:b/>
                <w:bCs/>
                <w:color w:val="7030A0"/>
                <w:lang w:val="es-ES" w:eastAsia="es-ES"/>
              </w:rPr>
            </w:pPr>
          </w:p>
        </w:tc>
      </w:tr>
      <w:tr w:rsidR="004A09F3" w:rsidRPr="00A0791B" w14:paraId="76D18A42" w14:textId="77777777" w:rsidTr="00B66D77">
        <w:trPr>
          <w:trHeight w:val="884"/>
        </w:trPr>
        <w:tc>
          <w:tcPr>
            <w:tcW w:w="2127" w:type="dxa"/>
          </w:tcPr>
          <w:p w14:paraId="63218FF7" w14:textId="77777777" w:rsidR="004A09F3" w:rsidRPr="00A0791B" w:rsidRDefault="004A09F3" w:rsidP="00B66D77">
            <w:pPr>
              <w:spacing w:line="276" w:lineRule="auto"/>
              <w:jc w:val="both"/>
              <w:rPr>
                <w:rFonts w:ascii="Verdana" w:eastAsia="Calibri" w:hAnsi="Verdana" w:cs="Arial"/>
                <w:b/>
                <w:bCs/>
                <w:color w:val="000000"/>
                <w:lang w:val="es-ES_tradnl" w:eastAsia="es-ES_tradnl"/>
              </w:rPr>
            </w:pPr>
            <w:r w:rsidRPr="00A0791B">
              <w:rPr>
                <w:rFonts w:ascii="Verdana" w:eastAsia="Calibri" w:hAnsi="Verdana" w:cs="Arial"/>
                <w:b/>
                <w:bCs/>
                <w:color w:val="000000"/>
                <w:lang w:val="es-ES_tradnl" w:eastAsia="es-ES_tradnl"/>
              </w:rPr>
              <w:t xml:space="preserve">Temas:                   </w:t>
            </w:r>
          </w:p>
        </w:tc>
        <w:tc>
          <w:tcPr>
            <w:tcW w:w="6662" w:type="dxa"/>
          </w:tcPr>
          <w:p w14:paraId="199CF510" w14:textId="77777777" w:rsidR="004A09F3" w:rsidRPr="00A0791B" w:rsidRDefault="004A09F3" w:rsidP="00B66D77">
            <w:pPr>
              <w:spacing w:line="276" w:lineRule="auto"/>
              <w:jc w:val="both"/>
              <w:rPr>
                <w:rFonts w:ascii="Verdana" w:hAnsi="Verdana"/>
              </w:rPr>
            </w:pPr>
            <w:r w:rsidRPr="00A0791B">
              <w:rPr>
                <w:rFonts w:ascii="Verdana" w:hAnsi="Verdana"/>
              </w:rPr>
              <w:t>EXPERIENCIA – Concepto, Naturaleza y Acreditación / DOCUMENTOS TIPO – Experiencia Habilitante y Ponderable / CÓMPUTO EXPERIENCIA PROFESIONAL – Inicio y Prácticas Laborales.</w:t>
            </w:r>
          </w:p>
          <w:p w14:paraId="357223BB" w14:textId="77777777" w:rsidR="004A09F3" w:rsidRPr="00A0791B" w:rsidRDefault="004A09F3" w:rsidP="00B66D77">
            <w:pPr>
              <w:spacing w:line="276" w:lineRule="auto"/>
              <w:jc w:val="both"/>
              <w:rPr>
                <w:rFonts w:ascii="Verdana" w:eastAsia="Calibri" w:hAnsi="Verdana" w:cs="Arial"/>
                <w:b/>
                <w:bCs/>
                <w:lang w:val="es-ES" w:eastAsia="es-ES"/>
              </w:rPr>
            </w:pPr>
          </w:p>
        </w:tc>
      </w:tr>
      <w:tr w:rsidR="004A09F3" w:rsidRPr="00AB18AB" w14:paraId="4C7C6B7A" w14:textId="77777777" w:rsidTr="00B66D77">
        <w:tc>
          <w:tcPr>
            <w:tcW w:w="2127" w:type="dxa"/>
          </w:tcPr>
          <w:p w14:paraId="5FB1F133" w14:textId="77777777" w:rsidR="004A09F3" w:rsidRPr="00A0791B" w:rsidRDefault="004A09F3" w:rsidP="00B66D77">
            <w:pPr>
              <w:spacing w:line="276" w:lineRule="auto"/>
              <w:jc w:val="both"/>
              <w:rPr>
                <w:rFonts w:ascii="Verdana" w:eastAsia="Calibri" w:hAnsi="Verdana" w:cs="Arial"/>
                <w:b/>
                <w:bCs/>
                <w:color w:val="000000" w:themeColor="text1"/>
                <w:lang w:val="es-ES_tradnl" w:eastAsia="es-ES_tradnl"/>
              </w:rPr>
            </w:pPr>
            <w:r w:rsidRPr="00A0791B">
              <w:rPr>
                <w:rFonts w:ascii="Verdana" w:eastAsia="Calibri" w:hAnsi="Verdana" w:cs="Arial"/>
                <w:b/>
                <w:bCs/>
                <w:color w:val="000000" w:themeColor="text1"/>
                <w:lang w:val="es-ES_tradnl" w:eastAsia="es-ES_tradnl"/>
              </w:rPr>
              <w:t xml:space="preserve">Radicación:               </w:t>
            </w:r>
          </w:p>
        </w:tc>
        <w:tc>
          <w:tcPr>
            <w:tcW w:w="6662" w:type="dxa"/>
          </w:tcPr>
          <w:p w14:paraId="487F08AB" w14:textId="77777777" w:rsidR="004A09F3" w:rsidRPr="00AB18AB" w:rsidRDefault="004A09F3" w:rsidP="00B66D77">
            <w:pPr>
              <w:spacing w:line="276" w:lineRule="auto"/>
              <w:jc w:val="both"/>
              <w:rPr>
                <w:rFonts w:ascii="Verdana" w:eastAsia="Calibri" w:hAnsi="Verdana" w:cs="Arial"/>
                <w:color w:val="000000" w:themeColor="text1"/>
                <w:lang w:val="es-ES_tradnl" w:eastAsia="es-ES_tradnl"/>
              </w:rPr>
            </w:pPr>
            <w:r w:rsidRPr="00AB18AB">
              <w:rPr>
                <w:rFonts w:ascii="Verdana" w:eastAsia="Calibri" w:hAnsi="Verdana" w:cs="Arial"/>
                <w:color w:val="000000" w:themeColor="text1"/>
                <w:lang w:val="es-ES_tradnl" w:eastAsia="es-ES_tradnl"/>
              </w:rPr>
              <w:t xml:space="preserve">Respuesta a consulta con radicado No. </w:t>
            </w:r>
            <w:r w:rsidRPr="00AB18AB">
              <w:rPr>
                <w:rFonts w:ascii="Verdana" w:hAnsi="Verdana" w:cs="Segoe UI"/>
                <w:color w:val="000000" w:themeColor="text1"/>
                <w:shd w:val="clear" w:color="auto" w:fill="FFFFFF"/>
              </w:rPr>
              <w:t>1_2025_08_29_009318</w:t>
            </w:r>
          </w:p>
        </w:tc>
      </w:tr>
    </w:tbl>
    <w:p w14:paraId="51489D23" w14:textId="77777777" w:rsidR="004A09F3" w:rsidRPr="007C4002" w:rsidRDefault="004A09F3" w:rsidP="004A09F3">
      <w:pPr>
        <w:spacing w:after="0" w:line="276" w:lineRule="auto"/>
        <w:jc w:val="both"/>
        <w:rPr>
          <w:rFonts w:ascii="Verdana" w:eastAsia="Calibri" w:hAnsi="Verdana" w:cs="Arial"/>
          <w:color w:val="000000"/>
          <w:lang w:eastAsia="es-ES_tradnl"/>
        </w:rPr>
      </w:pPr>
    </w:p>
    <w:p w14:paraId="69C11F27" w14:textId="77777777" w:rsidR="004A09F3" w:rsidRPr="00AB18AB" w:rsidRDefault="004A09F3" w:rsidP="004A09F3">
      <w:pPr>
        <w:spacing w:after="0" w:line="276" w:lineRule="auto"/>
        <w:jc w:val="both"/>
        <w:rPr>
          <w:rFonts w:ascii="Verdana" w:eastAsia="Calibri" w:hAnsi="Verdana" w:cs="Arial"/>
          <w:color w:val="000000" w:themeColor="text1"/>
          <w:lang w:val="es-ES" w:eastAsia="es-ES"/>
        </w:rPr>
      </w:pPr>
      <w:r w:rsidRPr="00AB18AB">
        <w:rPr>
          <w:rFonts w:ascii="Verdana" w:eastAsia="Calibri" w:hAnsi="Verdana" w:cs="Arial"/>
          <w:color w:val="000000" w:themeColor="text1"/>
          <w:lang w:val="es-ES" w:eastAsia="es-ES"/>
        </w:rPr>
        <w:t xml:space="preserve">Estimada señora Vásquez: </w:t>
      </w:r>
    </w:p>
    <w:p w14:paraId="30D51A66" w14:textId="77777777" w:rsidR="004A09F3" w:rsidRPr="00AB18AB" w:rsidRDefault="004A09F3" w:rsidP="004A09F3">
      <w:pPr>
        <w:tabs>
          <w:tab w:val="left" w:pos="3768"/>
        </w:tabs>
        <w:spacing w:after="0" w:line="276" w:lineRule="auto"/>
        <w:jc w:val="both"/>
        <w:rPr>
          <w:rFonts w:ascii="Verdana" w:eastAsia="Calibri" w:hAnsi="Verdana" w:cs="Arial"/>
          <w:color w:val="000000" w:themeColor="text1"/>
          <w:lang w:val="es-ES" w:eastAsia="es-ES"/>
        </w:rPr>
      </w:pPr>
      <w:r w:rsidRPr="00AB18AB">
        <w:rPr>
          <w:rFonts w:ascii="Verdana" w:eastAsia="Calibri" w:hAnsi="Verdana" w:cs="Arial"/>
          <w:color w:val="000000" w:themeColor="text1"/>
          <w:lang w:val="es-ES" w:eastAsia="es-ES"/>
        </w:rPr>
        <w:tab/>
      </w:r>
    </w:p>
    <w:p w14:paraId="7A627EDD" w14:textId="77777777" w:rsidR="004A09F3" w:rsidRPr="00AB18AB" w:rsidRDefault="004A09F3" w:rsidP="004A09F3">
      <w:pPr>
        <w:spacing w:after="0" w:line="276" w:lineRule="auto"/>
        <w:jc w:val="both"/>
        <w:rPr>
          <w:rFonts w:ascii="Verdana" w:eastAsia="Calibri" w:hAnsi="Verdana" w:cs="Arial"/>
          <w:color w:val="7030A0"/>
          <w:lang w:val="es-ES" w:eastAsia="es-ES"/>
        </w:rPr>
      </w:pPr>
      <w:r w:rsidRPr="00AB18AB">
        <w:rPr>
          <w:rFonts w:ascii="Verdana" w:eastAsia="Calibri" w:hAnsi="Verdana" w:cs="Arial"/>
          <w:color w:val="000000" w:themeColor="text1"/>
          <w:lang w:val="es-ES" w:eastAsia="es-ES"/>
        </w:rPr>
        <w:t>En ejercicio de la competencia otorgada por los artículos 3, numeral 5º, y 11, numeral 8º, del Decreto Ley 4170 de 2011,</w:t>
      </w:r>
      <w:r w:rsidRPr="00AB18AB">
        <w:rPr>
          <w:rFonts w:ascii="Verdana" w:eastAsia="Arial MT" w:hAnsi="Verdana" w:cs="Arial MT"/>
          <w:lang w:val="es-ES" w:eastAsia="es-ES"/>
        </w:rPr>
        <w:t xml:space="preserve"> </w:t>
      </w:r>
      <w:r w:rsidRPr="00AB18AB">
        <w:rPr>
          <w:rFonts w:ascii="Verdana" w:hAnsi="Verdana" w:cs="Arial"/>
        </w:rPr>
        <w:t xml:space="preserve">así como lo establecido en el artículo 4 de la Resolución 1707 de 2018 expedida por esta Entidad, </w:t>
      </w:r>
      <w:r w:rsidRPr="00AB18AB">
        <w:rPr>
          <w:rFonts w:ascii="Verdana" w:eastAsia="Calibri" w:hAnsi="Verdana" w:cs="Arial"/>
          <w:color w:val="000000" w:themeColor="text1"/>
          <w:lang w:val="es-ES" w:eastAsia="es-ES"/>
        </w:rPr>
        <w:t>la Agencia Nacional de Contratación Pública – Colombia Compra Eficiente– responde su solicitud de consulta de fecha 29 de agosto de 2025, en la cual manifiesta lo siguiente:</w:t>
      </w:r>
    </w:p>
    <w:p w14:paraId="2FA9CCE3" w14:textId="77777777" w:rsidR="004A09F3" w:rsidRPr="00AB18AB" w:rsidRDefault="004A09F3" w:rsidP="007C4002">
      <w:pPr>
        <w:pStyle w:val="Prrafodelista"/>
        <w:tabs>
          <w:tab w:val="left" w:pos="142"/>
          <w:tab w:val="left" w:pos="284"/>
        </w:tabs>
        <w:spacing w:after="0" w:line="276" w:lineRule="auto"/>
        <w:ind w:left="0"/>
        <w:jc w:val="both"/>
        <w:rPr>
          <w:rFonts w:ascii="Verdana" w:eastAsia="Century Gothic" w:hAnsi="Verdana" w:cs="Century Gothic"/>
        </w:rPr>
      </w:pPr>
    </w:p>
    <w:p w14:paraId="2025E9D2" w14:textId="77777777" w:rsidR="004A09F3" w:rsidRPr="007C4002" w:rsidRDefault="004A09F3" w:rsidP="007C4002">
      <w:pPr>
        <w:spacing w:after="0" w:line="240" w:lineRule="auto"/>
        <w:ind w:left="709" w:right="709"/>
        <w:jc w:val="both"/>
        <w:rPr>
          <w:rFonts w:ascii="Verdana" w:eastAsia="Century Gothic" w:hAnsi="Verdana" w:cs="Century Gothic"/>
          <w:color w:val="000000" w:themeColor="text1"/>
          <w:sz w:val="20"/>
          <w:szCs w:val="20"/>
          <w:lang w:val="es-ES"/>
        </w:rPr>
      </w:pPr>
      <w:r w:rsidRPr="007C4002">
        <w:rPr>
          <w:rFonts w:ascii="Verdana" w:eastAsia="Century Gothic" w:hAnsi="Verdana" w:cs="Century Gothic"/>
          <w:color w:val="000000" w:themeColor="text1"/>
          <w:sz w:val="20"/>
          <w:szCs w:val="20"/>
          <w:lang w:val="es-ES"/>
        </w:rPr>
        <w:t>“¿Para los contratos estatales -régimen de Ley 80 y regímenes exceptuados- es posible aplicar lo estipulado por el Decreto 1083 de 2015 en cuanto a la experiencia, su certificación y demás, que dicha norma refiere? ¿Sería correcto afirmar que la mera expedición de la tarjeta profesional, es decir, su fecha de expedición y a la fecha de presentación de la oferta, sirve de cómputo para acreditar la experiencia, por tanto, la mera presentación de la tarjeta sirve como prueba de la experiencia exigida? ¿Si uno de los profesionales, creo una persona jurídica, el ejercicio de dicha persona jurídica vale para certificar la experiencia del profesional?</w:t>
      </w:r>
    </w:p>
    <w:p w14:paraId="6987F075" w14:textId="77777777" w:rsidR="004A09F3" w:rsidRPr="00AB18AB" w:rsidRDefault="004A09F3" w:rsidP="004A09F3">
      <w:pPr>
        <w:spacing w:after="0" w:line="276" w:lineRule="auto"/>
        <w:ind w:left="709" w:right="709"/>
        <w:jc w:val="both"/>
        <w:rPr>
          <w:rFonts w:ascii="Verdana" w:eastAsia="Century Gothic" w:hAnsi="Verdana" w:cs="Century Gothic"/>
          <w:color w:val="000000" w:themeColor="text1"/>
          <w:lang w:val="es-ES"/>
        </w:rPr>
      </w:pPr>
    </w:p>
    <w:p w14:paraId="1F20AA2C" w14:textId="77777777" w:rsidR="004A09F3" w:rsidRPr="00AB18AB" w:rsidRDefault="004A09F3" w:rsidP="004A09F3">
      <w:pPr>
        <w:spacing w:after="120" w:line="276" w:lineRule="auto"/>
        <w:ind w:firstLine="709"/>
        <w:jc w:val="both"/>
        <w:rPr>
          <w:rFonts w:ascii="Verdana" w:eastAsia="Calibri" w:hAnsi="Verdana" w:cs="Arial"/>
          <w:color w:val="000000"/>
          <w:lang w:val="es-ES_tradnl" w:eastAsia="es-ES_tradnl"/>
        </w:rPr>
      </w:pPr>
      <w:r w:rsidRPr="00AB18AB">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B18AB">
        <w:rPr>
          <w:rFonts w:ascii="Verdana" w:eastAsia="Calibri" w:hAnsi="Verdana" w:cs="Arial"/>
          <w:color w:val="000000"/>
          <w:lang w:val="es-ES_tradnl" w:eastAsia="es-ES_tradnl"/>
        </w:rPr>
        <w:tab/>
      </w:r>
    </w:p>
    <w:p w14:paraId="432D2284" w14:textId="77777777" w:rsidR="004A09F3" w:rsidRPr="00AB18AB" w:rsidRDefault="004A09F3" w:rsidP="004A09F3">
      <w:pPr>
        <w:spacing w:after="0" w:line="276" w:lineRule="auto"/>
        <w:ind w:firstLine="709"/>
        <w:jc w:val="both"/>
        <w:rPr>
          <w:rFonts w:ascii="Verdana" w:eastAsia="Calibri" w:hAnsi="Verdana" w:cs="Arial"/>
          <w:color w:val="000000"/>
          <w:lang w:val="es-ES" w:eastAsia="es-ES"/>
        </w:rPr>
      </w:pPr>
      <w:r w:rsidRPr="00AB18AB">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el</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problema</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jurídico</w:t>
      </w:r>
      <w:r w:rsidRPr="00AB18AB">
        <w:rPr>
          <w:rFonts w:ascii="Verdana" w:eastAsia="Calibri" w:hAnsi="Verdana" w:cs="Arial"/>
          <w:color w:val="7030A0"/>
          <w:lang w:val="es-ES" w:eastAsia="es-ES"/>
        </w:rPr>
        <w:t xml:space="preserve"> </w:t>
      </w:r>
      <w:r w:rsidRPr="00AB18AB">
        <w:rPr>
          <w:rFonts w:ascii="Verdana" w:eastAsia="Calibri" w:hAnsi="Verdana" w:cs="Arial"/>
          <w:color w:val="000000"/>
          <w:lang w:val="es-ES" w:eastAsia="es-ES"/>
        </w:rPr>
        <w:t xml:space="preserve">de su consulta. </w:t>
      </w:r>
    </w:p>
    <w:p w14:paraId="3591F533" w14:textId="77777777" w:rsidR="004A09F3" w:rsidRPr="00A0791B" w:rsidRDefault="004A09F3" w:rsidP="004A09F3">
      <w:pPr>
        <w:spacing w:after="0" w:line="276" w:lineRule="auto"/>
        <w:ind w:firstLine="709"/>
        <w:jc w:val="both"/>
        <w:rPr>
          <w:rFonts w:ascii="Verdana" w:eastAsia="Calibri" w:hAnsi="Verdana" w:cs="Arial"/>
          <w:b/>
          <w:bCs/>
          <w:color w:val="000000"/>
          <w:lang w:val="es-ES" w:eastAsia="es-ES"/>
        </w:rPr>
      </w:pPr>
    </w:p>
    <w:p w14:paraId="1798B7E3" w14:textId="71BC5134" w:rsidR="004A09F3" w:rsidRPr="004A09F3" w:rsidRDefault="004A09F3" w:rsidP="004A09F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0791B">
        <w:rPr>
          <w:rFonts w:ascii="Verdana" w:eastAsia="Century Gothic" w:hAnsi="Verdana" w:cs="Century Gothic"/>
          <w:b/>
          <w:bCs/>
        </w:rPr>
        <w:t>Problema planteado:</w:t>
      </w:r>
    </w:p>
    <w:p w14:paraId="58D32CB8" w14:textId="77777777" w:rsidR="004A09F3" w:rsidRPr="00AB18AB" w:rsidRDefault="004A09F3" w:rsidP="004A09F3">
      <w:pPr>
        <w:tabs>
          <w:tab w:val="left" w:pos="426"/>
        </w:tabs>
        <w:spacing w:after="0" w:line="276" w:lineRule="auto"/>
        <w:jc w:val="both"/>
        <w:rPr>
          <w:rFonts w:ascii="Verdana" w:eastAsia="Century Gothic" w:hAnsi="Verdana" w:cs="Century Gothic"/>
          <w:lang w:val="es-ES"/>
        </w:rPr>
      </w:pPr>
    </w:p>
    <w:p w14:paraId="386783F5" w14:textId="77777777" w:rsidR="004A09F3" w:rsidRPr="0060049B" w:rsidRDefault="004A09F3" w:rsidP="004A09F3">
      <w:pPr>
        <w:spacing w:after="0" w:line="276" w:lineRule="auto"/>
        <w:jc w:val="both"/>
        <w:rPr>
          <w:rFonts w:ascii="Verdana" w:eastAsia="Calibri" w:hAnsi="Verdana" w:cs="Arial"/>
          <w:color w:val="7030A0"/>
          <w:lang w:val="es-ES"/>
        </w:rPr>
      </w:pPr>
      <w:r w:rsidRPr="00AB18AB">
        <w:rPr>
          <w:rFonts w:ascii="Verdana" w:eastAsia="Century Gothic" w:hAnsi="Verdana" w:cs="Century Gothic"/>
        </w:rPr>
        <w:t xml:space="preserve">De acuerdo con el contenido de su solicitud, esta Agencia resolverá el siguiente problema jurídico: </w:t>
      </w:r>
      <w:r w:rsidRPr="0060049B">
        <w:rPr>
          <w:rFonts w:ascii="Verdana" w:eastAsia="Century Gothic" w:hAnsi="Verdana" w:cs="Century Gothic"/>
        </w:rPr>
        <w:t>¿</w:t>
      </w:r>
      <w:r w:rsidRPr="0060049B">
        <w:rPr>
          <w:rFonts w:ascii="Verdana" w:hAnsi="Verdana"/>
        </w:rPr>
        <w:t>Cuáles son los criterios para la definición, acreditación, cómputo y valoración de la experiencia en los procesos de contratación estatal en Colombia</w:t>
      </w:r>
      <w:r w:rsidRPr="0060049B">
        <w:rPr>
          <w:rFonts w:ascii="Verdana" w:eastAsia="Century Gothic" w:hAnsi="Verdana" w:cs="Century Gothic"/>
        </w:rPr>
        <w:t>?</w:t>
      </w:r>
    </w:p>
    <w:p w14:paraId="763E242B" w14:textId="77777777" w:rsidR="004A09F3" w:rsidRPr="00A0791B" w:rsidRDefault="004A09F3" w:rsidP="004A09F3">
      <w:pPr>
        <w:spacing w:after="0" w:line="276" w:lineRule="auto"/>
        <w:jc w:val="both"/>
        <w:rPr>
          <w:rFonts w:ascii="Verdana" w:eastAsia="Calibri" w:hAnsi="Verdana" w:cs="Arial"/>
          <w:b/>
          <w:bCs/>
          <w:color w:val="7030A0"/>
          <w:lang w:val="es-ES"/>
        </w:rPr>
      </w:pPr>
    </w:p>
    <w:p w14:paraId="48FE817A" w14:textId="77777777" w:rsidR="004A09F3" w:rsidRPr="00A0791B"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0791B">
        <w:rPr>
          <w:rFonts w:ascii="Verdana" w:eastAsia="Century Gothic" w:hAnsi="Verdana" w:cs="Century Gothic"/>
          <w:b/>
          <w:bCs/>
        </w:rPr>
        <w:t>Respuesta:</w:t>
      </w:r>
    </w:p>
    <w:p w14:paraId="66BA08E6" w14:textId="77777777" w:rsidR="004A09F3" w:rsidRPr="00AB18AB" w:rsidRDefault="004A09F3" w:rsidP="004A09F3">
      <w:pPr>
        <w:tabs>
          <w:tab w:val="left" w:pos="142"/>
          <w:tab w:val="left" w:pos="284"/>
        </w:tabs>
        <w:spacing w:after="0" w:line="276" w:lineRule="auto"/>
        <w:jc w:val="both"/>
        <w:rPr>
          <w:rFonts w:ascii="Verdana" w:eastAsia="Century Gothic" w:hAnsi="Verdana" w:cs="Century Gothic"/>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09F3" w:rsidRPr="00AB18AB" w14:paraId="22BCE845" w14:textId="77777777" w:rsidTr="00B66D77">
        <w:tc>
          <w:tcPr>
            <w:tcW w:w="8828" w:type="dxa"/>
          </w:tcPr>
          <w:p w14:paraId="50B9DB81" w14:textId="36ECE8E2" w:rsidR="00D32AB1" w:rsidRPr="00D32AB1" w:rsidRDefault="00D32AB1" w:rsidP="00D32AB1">
            <w:pPr>
              <w:spacing w:before="120" w:after="120" w:line="276" w:lineRule="auto"/>
              <w:jc w:val="both"/>
              <w:rPr>
                <w:rFonts w:ascii="Verdana" w:hAnsi="Verdana"/>
              </w:rPr>
            </w:pPr>
            <w:r>
              <w:rPr>
                <w:rFonts w:ascii="Verdana" w:eastAsia="Calibri" w:hAnsi="Verdana" w:cs="Arial"/>
                <w:color w:val="000000"/>
                <w:lang w:val="es-ES" w:eastAsia="es-ES_tradnl"/>
              </w:rPr>
              <w:t>L</w:t>
            </w:r>
            <w:r w:rsidRPr="00D32AB1">
              <w:rPr>
                <w:rFonts w:ascii="Verdana" w:eastAsia="Calibri" w:hAnsi="Verdana" w:cs="Arial"/>
                <w:color w:val="000000"/>
                <w:lang w:val="es-ES" w:eastAsia="es-ES_tradnl"/>
              </w:rPr>
              <w:t xml:space="preserve">a experiencia entendida </w:t>
            </w:r>
            <w:r w:rsidRPr="00D32AB1">
              <w:rPr>
                <w:rStyle w:val="citation-356"/>
                <w:rFonts w:ascii="Verdana" w:hAnsi="Verdana"/>
              </w:rPr>
              <w:t>como el conocimiento del proponente derivado de su participación previa en actividades iguales o similares a las previstas en el objeto del contrato</w:t>
            </w:r>
            <w:r w:rsidRPr="00D32AB1">
              <w:rPr>
                <w:rFonts w:ascii="Verdana" w:hAnsi="Verdana"/>
              </w:rPr>
              <w:t>, cumple una doble función, dependiendo de la modalidad de selección y la naturaleza del contrato a celebrar:</w:t>
            </w:r>
          </w:p>
          <w:p w14:paraId="0526B9F6" w14:textId="77777777" w:rsidR="00D32AB1" w:rsidRPr="00D32AB1" w:rsidRDefault="00D32AB1" w:rsidP="00D32AB1">
            <w:pPr>
              <w:spacing w:before="120" w:after="120" w:line="276" w:lineRule="auto"/>
              <w:ind w:firstLine="709"/>
              <w:jc w:val="both"/>
              <w:rPr>
                <w:rFonts w:ascii="Verdana" w:hAnsi="Verdana"/>
              </w:rPr>
            </w:pPr>
            <w:r w:rsidRPr="00D32AB1">
              <w:rPr>
                <w:rFonts w:ascii="Verdana" w:hAnsi="Verdana"/>
              </w:rPr>
              <w:t>En primer lugar</w:t>
            </w:r>
            <w:r w:rsidRPr="00D32AB1">
              <w:rPr>
                <w:rFonts w:ascii="Verdana" w:hAnsi="Verdana"/>
                <w:i/>
                <w:iCs/>
              </w:rPr>
              <w:t xml:space="preserve">, </w:t>
            </w:r>
            <w:r w:rsidRPr="00D32AB1">
              <w:rPr>
                <w:rFonts w:ascii="Verdana" w:hAnsi="Verdana"/>
              </w:rPr>
              <w:t>c</w:t>
            </w:r>
            <w:r w:rsidRPr="00D32AB1">
              <w:rPr>
                <w:rStyle w:val="citation-355"/>
                <w:rFonts w:ascii="Verdana" w:hAnsi="Verdana"/>
              </w:rPr>
              <w:t>omo Requisito Habilitante, la experiencia actúa como una condición de "pasa o no pasa"</w:t>
            </w:r>
            <w:r w:rsidRPr="00D32AB1">
              <w:rPr>
                <w:rFonts w:ascii="Verdana" w:hAnsi="Verdana"/>
              </w:rPr>
              <w:t>. La entidad estatal, en ejercicio de su potestad de planeación, establece un umbral mínimo de experiencia que los proponentes deben cumplir y acreditar para poder participar en el procedimiento de selección.</w:t>
            </w:r>
            <w:r w:rsidRPr="00D32AB1">
              <w:rPr>
                <w:rStyle w:val="citation-354"/>
                <w:rFonts w:ascii="Verdana" w:hAnsi="Verdana"/>
              </w:rPr>
              <w:t xml:space="preserve"> De acuerdo con el artículo 5, numeral 1, de la Ley </w:t>
            </w:r>
            <w:r w:rsidRPr="00D32AB1">
              <w:rPr>
                <w:rStyle w:val="citation-354"/>
                <w:rFonts w:ascii="Verdana" w:hAnsi="Verdana"/>
              </w:rPr>
              <w:lastRenderedPageBreak/>
              <w:t>1150 de 2007, la experiencia es uno de los requisitos, junto con la capacidad jurídica y financiera, que serán objeto de verificación para habilitar a los proponentes</w:t>
            </w:r>
            <w:r w:rsidRPr="00D32AB1">
              <w:rPr>
                <w:rFonts w:ascii="Verdana" w:hAnsi="Verdana"/>
              </w:rPr>
              <w:t>. S</w:t>
            </w:r>
            <w:r w:rsidRPr="00D32AB1">
              <w:rPr>
                <w:rStyle w:val="citation-353"/>
                <w:rFonts w:ascii="Verdana" w:hAnsi="Verdana"/>
              </w:rPr>
              <w:t>u cumplimiento es indispensable para que una oferta sea considerada para la evaluación</w:t>
            </w:r>
            <w:r w:rsidRPr="00D32AB1">
              <w:rPr>
                <w:rFonts w:ascii="Verdana" w:hAnsi="Verdana"/>
              </w:rPr>
              <w:t xml:space="preserve">. </w:t>
            </w:r>
            <w:r w:rsidRPr="00D32AB1">
              <w:rPr>
                <w:rStyle w:val="citation-352"/>
                <w:rFonts w:ascii="Verdana" w:hAnsi="Verdana"/>
              </w:rPr>
              <w:t>El fundamento de esta exigencia radica en la inconveniencia de adjudicar un contrato a un proponente que no cuenta con la idoneidad mínima para ejecutarlo</w:t>
            </w:r>
            <w:r w:rsidRPr="00D32AB1">
              <w:rPr>
                <w:rFonts w:ascii="Verdana" w:hAnsi="Verdana"/>
              </w:rPr>
              <w:t xml:space="preserve">. </w:t>
            </w:r>
            <w:r w:rsidRPr="00D32AB1">
              <w:rPr>
                <w:rStyle w:val="citation-351"/>
                <w:rFonts w:ascii="Verdana" w:hAnsi="Verdana"/>
              </w:rPr>
              <w:t>Las ofertas que no cumplan este requisito o no logren subsanarse, deberán rechazarse</w:t>
            </w:r>
            <w:r w:rsidRPr="00D32AB1">
              <w:rPr>
                <w:rFonts w:ascii="Verdana" w:hAnsi="Verdana"/>
              </w:rPr>
              <w:t xml:space="preserve">. Este es el rol típico de la experiencia en modalidades como la Licitación de Obra Pública. </w:t>
            </w:r>
          </w:p>
          <w:p w14:paraId="39B8BA88" w14:textId="77777777" w:rsidR="00D32AB1" w:rsidRPr="00D32AB1" w:rsidRDefault="00D32AB1" w:rsidP="00D32AB1">
            <w:pPr>
              <w:spacing w:before="120" w:after="120" w:line="276" w:lineRule="auto"/>
              <w:ind w:firstLine="709"/>
              <w:jc w:val="both"/>
              <w:rPr>
                <w:rFonts w:ascii="Verdana" w:hAnsi="Verdana"/>
              </w:rPr>
            </w:pPr>
            <w:r w:rsidRPr="00D32AB1">
              <w:rPr>
                <w:rFonts w:ascii="Verdana" w:hAnsi="Verdana"/>
              </w:rPr>
              <w:t xml:space="preserve">En segundo lugar, la experiencia se entiende como un factor de puntuación destinado a valorar los aspectos técnicos de la oferta. </w:t>
            </w:r>
            <w:r w:rsidRPr="00D32AB1">
              <w:rPr>
                <w:rStyle w:val="citation-462"/>
                <w:rFonts w:ascii="Verdana" w:hAnsi="Verdana"/>
              </w:rPr>
              <w:t>En este sentido, el artículo 5, numeral 4, de la Ley 1150 de 2007, regula este enfoque para la selección de consultores, permitiendo valorar la experiencia específica del oferente y de su equipo de trabajo para asignar un puntaje</w:t>
            </w:r>
            <w:r w:rsidRPr="00D32AB1">
              <w:rPr>
                <w:rFonts w:ascii="Verdana" w:hAnsi="Verdana"/>
              </w:rPr>
              <w:t xml:space="preserve">. </w:t>
            </w:r>
            <w:r w:rsidRPr="00D32AB1">
              <w:rPr>
                <w:rStyle w:val="citation-461"/>
                <w:rFonts w:ascii="Verdana" w:hAnsi="Verdana"/>
              </w:rPr>
              <w:t>Este enfoque es característico de la modalidad de Concurso de Méritos, utilizada para la selección de consultores e interventores, donde la ley prohíbe explícitamente incluir el precio como factor de escogencia</w:t>
            </w:r>
            <w:r w:rsidRPr="00D32AB1">
              <w:rPr>
                <w:rFonts w:ascii="Verdana" w:hAnsi="Verdana"/>
              </w:rPr>
              <w:t>.</w:t>
            </w:r>
          </w:p>
          <w:p w14:paraId="7ED8B4AA" w14:textId="77777777" w:rsidR="00D32AB1" w:rsidRPr="00D32AB1" w:rsidRDefault="00D32AB1" w:rsidP="00D32AB1">
            <w:pPr>
              <w:spacing w:after="240" w:line="276" w:lineRule="auto"/>
              <w:ind w:firstLine="708"/>
              <w:jc w:val="both"/>
              <w:rPr>
                <w:rFonts w:ascii="Verdana" w:hAnsi="Verdana" w:cs="Arial"/>
              </w:rPr>
            </w:pPr>
            <w:r w:rsidRPr="00D32AB1">
              <w:rPr>
                <w:rFonts w:ascii="Verdana" w:hAnsi="Verdana" w:cs="Arial"/>
              </w:rPr>
              <w:t>El numeral 4° del artículo 5° de la Ley 1150 de 2007 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p>
          <w:p w14:paraId="5A97E5FA" w14:textId="77777777" w:rsidR="00D32AB1" w:rsidRPr="00D32AB1" w:rsidRDefault="00D32AB1" w:rsidP="00D32AB1">
            <w:pPr>
              <w:spacing w:after="240" w:line="276" w:lineRule="auto"/>
              <w:ind w:firstLine="708"/>
              <w:jc w:val="both"/>
              <w:rPr>
                <w:rFonts w:ascii="Verdana" w:hAnsi="Verdana" w:cs="ArialMT"/>
              </w:rPr>
            </w:pPr>
            <w:r w:rsidRPr="00D32AB1">
              <w:rPr>
                <w:rFonts w:ascii="Verdana" w:hAnsi="Verdana" w:cs="Arial"/>
              </w:rPr>
              <w:t>El procedimiento de selección de concurso de méritos, aplicable para la escogencia de consultores, está reglamentado por el artículo 2.2.1.2.1.3.2. del Decreto 1082 de 2015, modificado por el Decreto 399 de 2021. El numeral 1 dispone que “La Entidad Estatal en los pliegos de condiciones debe indicar la forma como calificará, entre otros, los siguientes criterios: a) la experiencia del interesado y del equipo de trabajo y b) la formación académica del equipo de trabajo” (Énfasis fuera de texto). Conforme a esto, los factores ponderables en un proceso de selección de concurso de méritos – esto es, los que determinan la escogencia entre los proponentes habilitados –, son los indicados en la norma citada, sin perjuicio de que existan otros establecidos por la ley, de manera que de acuerdo con este marco jurídico en los pliegos de condiciones se definirán los criterios de asignación de puntaje.</w:t>
            </w:r>
          </w:p>
          <w:p w14:paraId="105E8A34" w14:textId="77777777" w:rsidR="00D32AB1" w:rsidRPr="00D32AB1"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lastRenderedPageBreak/>
              <w:t xml:space="preserve">Un ejemplo claro de lo anterior se encuentra en los Documentos Tipo para Concursos de Méritos de Interventoría de Obras Públicas, donde se exige una experiencia mínima habilitante equivalente al 100% del presupuesto oficial en SMMLV. Si un proponente debe subsanar este requisito, se habilitará pero obtendrá cero (0) puntos por el factor de experiencia. Para los proponentes que sí cumplen, la experiencia se pondera para asignar un puntaje, utilizando un método aleatorio basado en la Tasa Representativa del Mercado (TRM) para seleccionar la fórmula de cálculo. </w:t>
            </w:r>
          </w:p>
          <w:p w14:paraId="15E8B353" w14:textId="77777777" w:rsidR="00D32AB1" w:rsidRPr="00D32AB1"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La definición del requisito de experiencia, tanto como requisito habilitante como puntuable, es una potestad de las Entidades Estatales durante la etapa de planeación, quienes deben asegurarse de que sean adecuados y proporcionales a la naturaleza y valor del contrato. </w:t>
            </w:r>
          </w:p>
          <w:p w14:paraId="1B34471A" w14:textId="77777777" w:rsidR="00D32AB1" w:rsidRPr="00D32AB1" w:rsidRDefault="00D32AB1" w:rsidP="00D32AB1">
            <w:pPr>
              <w:spacing w:before="120" w:after="120" w:line="276" w:lineRule="auto"/>
              <w:ind w:firstLine="709"/>
              <w:jc w:val="both"/>
              <w:rPr>
                <w:rFonts w:ascii="Verdana" w:eastAsia="Calibri" w:hAnsi="Verdana" w:cs="Arial"/>
                <w:lang w:val="es-MX"/>
              </w:rPr>
            </w:pPr>
            <w:r w:rsidRPr="00D32AB1">
              <w:rPr>
                <w:rFonts w:ascii="Verdana" w:eastAsia="Times New Roman" w:hAnsi="Verdana" w:cs="Times New Roman"/>
                <w:lang w:eastAsia="es-MX"/>
              </w:rPr>
              <w:t>Ahora bien, en relación con l</w:t>
            </w:r>
            <w:r w:rsidRPr="00D32AB1">
              <w:rPr>
                <w:rFonts w:ascii="Verdana" w:eastAsia="Calibri" w:hAnsi="Verdana" w:cs="Arial"/>
                <w:lang w:val="es-MX"/>
              </w:rPr>
              <w:t>a experiencia profesional esta se debe verificar 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r w:rsidRPr="00D32AB1">
              <w:rPr>
                <w:rFonts w:ascii="Verdana" w:eastAsia="Calibri" w:hAnsi="Verdana" w:cs="Arial"/>
                <w:vertAlign w:val="superscript"/>
                <w:lang w:val="es-MX"/>
              </w:rPr>
              <w:footnoteReference w:id="1"/>
            </w:r>
            <w:r w:rsidRPr="00D32AB1">
              <w:rPr>
                <w:rFonts w:ascii="Verdana" w:eastAsia="Calibri" w:hAnsi="Verdana" w:cs="Arial"/>
                <w:lang w:val="es-MX"/>
              </w:rPr>
              <w:t>.</w:t>
            </w:r>
          </w:p>
          <w:p w14:paraId="3F988304"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Conforme con lo anterior, el cómputo de la experiencia profesional, por regla general, comienza con la terminación y aprobación del pénsum académico de educación superior, y siempre que el profesional acredite que trabajó. No obstante, existen ciertas excepciones, por ejemplo, frente a las profesiones relacionadas con temas de salud, la experiencia profesional se cuenta desde la inscripción o registro, es decir, a partir de la expedición de la tarjeta profesional.</w:t>
            </w:r>
          </w:p>
          <w:p w14:paraId="58E710BC"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 xml:space="preserve">Ahora bien, 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w:t>
            </w:r>
            <w:r w:rsidRPr="00D32AB1">
              <w:rPr>
                <w:rFonts w:ascii="Verdana" w:eastAsia="Calibri" w:hAnsi="Verdana" w:cs="Arial"/>
                <w:lang w:val="es-MX"/>
              </w:rPr>
              <w:lastRenderedPageBreak/>
              <w:t>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3379E5CC"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6671935B"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2E2EF881"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5B003CA9"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D32AB1">
              <w:rPr>
                <w:rFonts w:ascii="Verdana" w:eastAsia="Calibri" w:hAnsi="Verdana" w:cs="Arial"/>
                <w:vertAlign w:val="superscript"/>
                <w:lang w:val="es-MX"/>
              </w:rPr>
              <w:footnoteReference w:id="2"/>
            </w:r>
            <w:r w:rsidRPr="00D32AB1">
              <w:rPr>
                <w:rFonts w:ascii="Verdana" w:eastAsia="Calibri" w:hAnsi="Verdana" w:cs="Arial"/>
                <w:lang w:val="es-MX"/>
              </w:rPr>
              <w:t xml:space="preserve">, la práctica laboral es una actividad </w:t>
            </w:r>
            <w:r w:rsidRPr="00D32AB1">
              <w:rPr>
                <w:rFonts w:ascii="Verdana" w:eastAsia="Calibri" w:hAnsi="Verdana" w:cs="Arial"/>
                <w:lang w:val="es-MX"/>
              </w:rPr>
              <w:lastRenderedPageBreak/>
              <w:t>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33240A65"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artículo 192 de la Ley 1955 de 2019</w:t>
            </w:r>
            <w:r w:rsidRPr="00D32AB1">
              <w:rPr>
                <w:rFonts w:ascii="Verdana" w:eastAsia="Calibri" w:hAnsi="Verdana" w:cs="Arial"/>
                <w:vertAlign w:val="superscript"/>
                <w:lang w:val="es-MX"/>
              </w:rPr>
              <w:footnoteReference w:id="3"/>
            </w:r>
            <w:r w:rsidRPr="00D32AB1">
              <w:rPr>
                <w:rFonts w:ascii="Verdana" w:eastAsia="Calibri" w:hAnsi="Verdana" w:cs="Arial"/>
                <w:lang w:val="es-MX"/>
              </w:rPr>
              <w:t xml:space="preserve"> establece que el tiempo de la práctica laboral que el estudiante realice para optar por su título profesional, tecnológico o técnico cuenta como experiencia laboral. Sin embargo, solo se computan como experiencia las prácticas laborales realizadas durante los veinticuatro (24) meses anteriores a la entrada en vigencia de dicha ley y las que se realicen con posterioridad. </w:t>
            </w:r>
          </w:p>
          <w:p w14:paraId="08AF86DB" w14:textId="77777777" w:rsidR="00D32AB1" w:rsidRPr="00D32AB1" w:rsidRDefault="00D32AB1" w:rsidP="00D32AB1">
            <w:pPr>
              <w:spacing w:before="120" w:after="120" w:line="276" w:lineRule="auto"/>
              <w:ind w:right="51" w:firstLine="708"/>
              <w:jc w:val="both"/>
              <w:rPr>
                <w:rFonts w:ascii="Verdana" w:eastAsia="Calibri" w:hAnsi="Verdana" w:cs="Arial"/>
                <w:lang w:val="es-MX"/>
              </w:rPr>
            </w:pPr>
            <w:r w:rsidRPr="00D32AB1">
              <w:rPr>
                <w:rFonts w:ascii="Verdana" w:eastAsia="Times New Roman" w:hAnsi="Verdana" w:cs="Times New Roman"/>
                <w:lang w:eastAsia="es-MX"/>
              </w:rPr>
              <w:t>Finalmente, la acreditación de la experiencia debe realizarse a través de documentos expedidos por el tercero que recibió la obra, bien o servicio. Los Documentos Tipo listan como válidos, entre otros, el acta de liquidación, el acta de terminación o recibo definitivo, o las certificaciones de experiencia contractual.</w:t>
            </w:r>
          </w:p>
          <w:p w14:paraId="624240CD" w14:textId="51C4401C" w:rsidR="004A09F3" w:rsidRPr="0060049B" w:rsidRDefault="00D32AB1" w:rsidP="00D32AB1">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Adicionalmente, es crucial abordar la prohibición de las auto certificaciones, entendidas como aquellas expedidas por el mismo proponente o su grupo empresarial para demostrar su propia experiencia. Esta Agencia ha aclarado que no se configura una auto certificación cuando la entidad que certifica es una persona jurídica distinta a la que se presenta como proponente, incluso si ambas comparten el mismo representante legal; en este caso, se aplica una noción de “tercero en sentido subjetivo”; y la certificación es válida. Esto permite que un profesional acredite la experiencia obtenida a </w:t>
            </w:r>
            <w:r w:rsidRPr="00D32AB1">
              <w:rPr>
                <w:rFonts w:ascii="Verdana" w:eastAsia="Times New Roman" w:hAnsi="Verdana" w:cs="Times New Roman"/>
                <w:lang w:eastAsia="es-MX"/>
              </w:rPr>
              <w:lastRenderedPageBreak/>
              <w:t xml:space="preserve">través de su propia empresa, siempre que la certificación sea emitida por sus clientes. Por el contrario, si la empresa que certifica y la que es certificada pertenece al mismo grupo empresarial, donde existe una unidad de propósito y dirección, se considera que no hay una independencia real, configurándose una auto certificación inválida. </w:t>
            </w:r>
            <w:r w:rsidR="004A09F3">
              <w:rPr>
                <w:rFonts w:ascii="Verdana" w:eastAsia="Times New Roman" w:hAnsi="Verdana" w:cs="Times New Roman"/>
                <w:lang w:eastAsia="es-MX"/>
              </w:rPr>
              <w:t xml:space="preserve"> </w:t>
            </w:r>
          </w:p>
        </w:tc>
      </w:tr>
    </w:tbl>
    <w:p w14:paraId="442752D8" w14:textId="77777777" w:rsidR="004A09F3" w:rsidRPr="00AB18AB" w:rsidRDefault="004A09F3" w:rsidP="004A09F3">
      <w:pPr>
        <w:tabs>
          <w:tab w:val="left" w:pos="142"/>
          <w:tab w:val="left" w:pos="284"/>
        </w:tabs>
        <w:spacing w:after="0" w:line="276" w:lineRule="auto"/>
        <w:jc w:val="both"/>
        <w:rPr>
          <w:rFonts w:ascii="Verdana" w:eastAsia="Century Gothic" w:hAnsi="Verdana" w:cs="Century Gothic"/>
          <w:lang w:val="es-ES"/>
        </w:rPr>
      </w:pPr>
    </w:p>
    <w:p w14:paraId="33A1EFA7" w14:textId="77777777" w:rsidR="004A09F3" w:rsidRPr="00A0791B"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0791B">
        <w:rPr>
          <w:rFonts w:ascii="Verdana" w:eastAsia="Century Gothic" w:hAnsi="Verdana" w:cs="Century Gothic"/>
          <w:b/>
          <w:bCs/>
        </w:rPr>
        <w:t>Razones de la respuesta:</w:t>
      </w:r>
    </w:p>
    <w:p w14:paraId="6673A292" w14:textId="77777777" w:rsidR="004A09F3" w:rsidRPr="00AB18AB" w:rsidRDefault="004A09F3" w:rsidP="004A09F3">
      <w:pPr>
        <w:spacing w:after="0" w:line="276" w:lineRule="auto"/>
        <w:jc w:val="both"/>
        <w:rPr>
          <w:rFonts w:ascii="Verdana" w:eastAsia="Calibri" w:hAnsi="Verdana" w:cs="Arial"/>
          <w:color w:val="7030A0"/>
          <w:lang w:val="es-ES"/>
        </w:rPr>
      </w:pPr>
    </w:p>
    <w:p w14:paraId="7D30B11F" w14:textId="77777777" w:rsidR="004A09F3" w:rsidRPr="00AB18AB" w:rsidRDefault="004A09F3" w:rsidP="004A09F3">
      <w:pPr>
        <w:spacing w:after="0" w:line="276" w:lineRule="auto"/>
        <w:jc w:val="both"/>
        <w:rPr>
          <w:rFonts w:ascii="Verdana" w:eastAsia="Calibri" w:hAnsi="Verdana" w:cs="Arial"/>
          <w:lang w:val="es-ES"/>
        </w:rPr>
      </w:pPr>
      <w:r w:rsidRPr="00AB18AB">
        <w:rPr>
          <w:rFonts w:ascii="Verdana" w:eastAsia="Calibri" w:hAnsi="Verdana" w:cs="Arial"/>
          <w:lang w:val="es-ES"/>
        </w:rPr>
        <w:t xml:space="preserve">Lo anterior se sustenta en las siguientes consideraciones: </w:t>
      </w:r>
    </w:p>
    <w:p w14:paraId="4D20617A" w14:textId="77777777" w:rsidR="00212B4E" w:rsidRPr="00D84E89" w:rsidRDefault="00212B4E" w:rsidP="00212B4E">
      <w:pPr>
        <w:spacing w:after="0" w:line="276" w:lineRule="auto"/>
        <w:jc w:val="both"/>
        <w:rPr>
          <w:rFonts w:ascii="Verdana" w:eastAsia="Calibri" w:hAnsi="Verdana" w:cs="Arial"/>
          <w:lang w:val="es-ES"/>
        </w:rPr>
      </w:pPr>
    </w:p>
    <w:p w14:paraId="41F7FB5A" w14:textId="77777777" w:rsidR="006150B3" w:rsidRDefault="00E03DA1" w:rsidP="006150B3">
      <w:pPr>
        <w:spacing w:before="120" w:after="120" w:line="276" w:lineRule="auto"/>
        <w:jc w:val="both"/>
        <w:rPr>
          <w:rFonts w:ascii="Verdana" w:eastAsia="Calibri" w:hAnsi="Verdana" w:cs="Arial"/>
          <w:lang w:eastAsia="es-CO"/>
        </w:rPr>
      </w:pPr>
      <w:r>
        <w:rPr>
          <w:rFonts w:ascii="Verdana" w:eastAsia="Calibri" w:hAnsi="Verdana" w:cs="Arial"/>
          <w:color w:val="000000"/>
          <w:lang w:val="es-ES" w:eastAsia="es-ES_tradnl"/>
        </w:rPr>
        <w:t>En primer lugar, debe señalarse que, tal y c</w:t>
      </w:r>
      <w:r w:rsidR="001D4139" w:rsidRPr="00D84E89">
        <w:rPr>
          <w:rFonts w:ascii="Verdana" w:eastAsia="Calibri" w:hAnsi="Verdana" w:cs="Arial"/>
          <w:lang w:val="es-ES"/>
        </w:rPr>
        <w:t xml:space="preserve">omo lo indica </w:t>
      </w:r>
      <w:r w:rsidR="001D4139" w:rsidRPr="00D84E89">
        <w:rPr>
          <w:rFonts w:ascii="Verdana" w:eastAsia="Calibri" w:hAnsi="Verdana" w:cs="Arial"/>
          <w:lang w:eastAsia="es-CO"/>
        </w:rPr>
        <w:t>el “</w:t>
      </w:r>
      <w:r w:rsidR="001D4139" w:rsidRPr="00D84E89">
        <w:rPr>
          <w:rFonts w:ascii="Verdana" w:eastAsia="Calibri" w:hAnsi="Verdana" w:cs="Arial"/>
          <w:i/>
          <w:iCs/>
          <w:lang w:eastAsia="es-CO"/>
        </w:rPr>
        <w:t>Manual para determinar y verificar requisitos habilitantes en los procesos de contratación”</w:t>
      </w:r>
      <w:r w:rsidR="001D4139" w:rsidRPr="00D84E89">
        <w:rPr>
          <w:rStyle w:val="Refdenotaalpie"/>
          <w:rFonts w:ascii="Verdana" w:eastAsia="Calibri" w:hAnsi="Verdana" w:cs="Arial"/>
          <w:i/>
          <w:iCs/>
          <w:lang w:eastAsia="es-CO"/>
        </w:rPr>
        <w:footnoteReference w:id="4"/>
      </w:r>
      <w:r w:rsidR="001D4139" w:rsidRPr="00D84E89">
        <w:rPr>
          <w:rFonts w:ascii="Verdana" w:eastAsia="Calibri" w:hAnsi="Verdana" w:cs="Arial"/>
          <w:i/>
          <w:iCs/>
          <w:lang w:eastAsia="es-CO"/>
        </w:rPr>
        <w:t>,</w:t>
      </w:r>
      <w:r w:rsidR="001D4139" w:rsidRPr="00D84E89">
        <w:rPr>
          <w:rFonts w:ascii="Verdana" w:eastAsia="Calibri" w:hAnsi="Verdana" w:cs="Arial"/>
          <w:lang w:eastAsia="es-CO"/>
        </w:rPr>
        <w:t xml:space="preserve"> expedido por la Agencia Nacional de Contratación Pública, la experiencia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001D4139" w:rsidRPr="00D84E89">
        <w:rPr>
          <w:rFonts w:ascii="Verdana" w:eastAsia="Calibri" w:hAnsi="Verdana" w:cs="Arial"/>
          <w:vertAlign w:val="superscript"/>
          <w:lang w:eastAsia="es-CO"/>
        </w:rPr>
        <w:footnoteReference w:id="5"/>
      </w:r>
      <w:r w:rsidR="001D4139" w:rsidRPr="00D84E89">
        <w:rPr>
          <w:rFonts w:ascii="Verdana" w:eastAsia="Calibri" w:hAnsi="Verdana" w:cs="Arial"/>
          <w:lang w:eastAsia="es-CO"/>
        </w:rPr>
        <w:t xml:space="preserve">. </w:t>
      </w:r>
    </w:p>
    <w:p w14:paraId="39D7C7F5" w14:textId="3A434698" w:rsidR="004A09F3" w:rsidRPr="00AB18AB" w:rsidRDefault="004A09F3" w:rsidP="006150B3">
      <w:pPr>
        <w:spacing w:before="120" w:after="120" w:line="276" w:lineRule="auto"/>
        <w:ind w:firstLine="708"/>
        <w:jc w:val="both"/>
        <w:rPr>
          <w:rFonts w:ascii="Verdana" w:eastAsia="Calibri" w:hAnsi="Verdana" w:cs="Arial"/>
          <w:color w:val="000000"/>
          <w:lang w:val="es-ES" w:eastAsia="es-ES_tradnl"/>
        </w:rPr>
      </w:pPr>
      <w:r w:rsidRPr="00AB18AB">
        <w:rPr>
          <w:rFonts w:ascii="Verdana" w:eastAsia="Calibri" w:hAnsi="Verdana" w:cs="Arial"/>
          <w:color w:val="000000"/>
          <w:lang w:val="es-ES" w:eastAsia="es-ES_tradnl"/>
        </w:rPr>
        <w:t xml:space="preserve">Para este fin, la Entidad Estatal, como responsable de la estructuración de su procedimiento de selección, es autónoma para determinar los requisitos para acreditar la experiencia de acuerdo con el objeto contractual que pretende satisfacer. No obstante, en atención a lo dispuesto en el artículo 2.2.1.1.1.6.2 </w:t>
      </w:r>
      <w:r w:rsidRPr="00AB18AB">
        <w:rPr>
          <w:rFonts w:ascii="Verdana" w:eastAsia="Calibri" w:hAnsi="Verdana" w:cs="Arial"/>
          <w:color w:val="000000"/>
          <w:lang w:val="es-ES" w:eastAsia="es-ES_tradnl"/>
        </w:rPr>
        <w:lastRenderedPageBreak/>
        <w:t>del Decreto 1082 de 2015, debe establecerla con sustento en el estudio del sector</w:t>
      </w:r>
      <w:r w:rsidRPr="00AB18AB">
        <w:rPr>
          <w:rFonts w:ascii="Verdana" w:hAnsi="Verdana" w:cs="Arial"/>
          <w:color w:val="000000"/>
          <w:vertAlign w:val="superscript"/>
          <w:lang w:val="es-ES" w:eastAsia="es-ES_tradnl"/>
        </w:rPr>
        <w:footnoteReference w:id="6"/>
      </w:r>
      <w:r w:rsidRPr="00AB18AB">
        <w:rPr>
          <w:rFonts w:ascii="Verdana" w:eastAsia="Calibri" w:hAnsi="Verdana" w:cs="Arial"/>
          <w:color w:val="000000"/>
          <w:lang w:val="es-ES" w:eastAsia="es-ES_tradnl"/>
        </w:rPr>
        <w:t xml:space="preserve"> y sus componentes, como la identificación de riesgos, el mercado y precio del bien, obra o servicio a contratar</w:t>
      </w:r>
      <w:r w:rsidRPr="00AB18AB">
        <w:rPr>
          <w:rFonts w:ascii="Verdana" w:hAnsi="Verdana" w:cs="Arial"/>
          <w:color w:val="000000"/>
          <w:vertAlign w:val="superscript"/>
          <w:lang w:val="es-ES" w:eastAsia="es-ES_tradnl"/>
        </w:rPr>
        <w:footnoteReference w:id="7"/>
      </w:r>
      <w:r w:rsidRPr="00AB18AB">
        <w:rPr>
          <w:rFonts w:ascii="Verdana" w:eastAsia="Calibri" w:hAnsi="Verdana" w:cs="Arial"/>
          <w:color w:val="000000"/>
          <w:lang w:val="es-ES" w:eastAsia="es-ES_tradnl"/>
        </w:rPr>
        <w:t>.</w:t>
      </w:r>
    </w:p>
    <w:p w14:paraId="261ECFB5" w14:textId="77777777" w:rsidR="004A09F3" w:rsidRPr="00D32AB1" w:rsidRDefault="004A09F3" w:rsidP="004A09F3">
      <w:pPr>
        <w:spacing w:before="120" w:after="120" w:line="276" w:lineRule="auto"/>
        <w:ind w:firstLine="709"/>
        <w:jc w:val="both"/>
        <w:rPr>
          <w:rFonts w:ascii="Verdana" w:hAnsi="Verdana"/>
        </w:rPr>
      </w:pPr>
      <w:r w:rsidRPr="00AB18AB">
        <w:rPr>
          <w:rFonts w:ascii="Verdana" w:eastAsia="Calibri" w:hAnsi="Verdana" w:cs="Arial"/>
          <w:color w:val="000000"/>
          <w:lang w:val="es-ES" w:eastAsia="es-ES_tradnl"/>
        </w:rPr>
        <w:t xml:space="preserve">En este sentido, </w:t>
      </w:r>
      <w:r w:rsidRPr="00D32AB1">
        <w:rPr>
          <w:rFonts w:ascii="Verdana" w:eastAsia="Calibri" w:hAnsi="Verdana" w:cs="Arial"/>
          <w:color w:val="000000"/>
          <w:lang w:val="es-ES" w:eastAsia="es-ES_tradnl"/>
        </w:rPr>
        <w:t xml:space="preserve">la experiencia entendida </w:t>
      </w:r>
      <w:r w:rsidRPr="00D32AB1">
        <w:rPr>
          <w:rStyle w:val="citation-356"/>
          <w:rFonts w:ascii="Verdana" w:hAnsi="Verdana"/>
        </w:rPr>
        <w:t>como el conocimiento del proponente derivado de su participación previa en actividades iguales o similares a las previstas en el objeto del contrato</w:t>
      </w:r>
      <w:r w:rsidRPr="00D32AB1">
        <w:rPr>
          <w:rFonts w:ascii="Verdana" w:hAnsi="Verdana"/>
        </w:rPr>
        <w:t>, cumple una doble función, dependiendo de la modalidad de selección y la naturaleza del contrato a celebrar:</w:t>
      </w:r>
    </w:p>
    <w:p w14:paraId="07131418" w14:textId="77777777" w:rsidR="004A09F3" w:rsidRPr="00D32AB1" w:rsidRDefault="004A09F3" w:rsidP="004A09F3">
      <w:pPr>
        <w:spacing w:before="120" w:after="120" w:line="276" w:lineRule="auto"/>
        <w:ind w:firstLine="709"/>
        <w:jc w:val="both"/>
        <w:rPr>
          <w:rFonts w:ascii="Verdana" w:hAnsi="Verdana"/>
        </w:rPr>
      </w:pPr>
      <w:r w:rsidRPr="00D32AB1">
        <w:rPr>
          <w:rFonts w:ascii="Verdana" w:hAnsi="Verdana"/>
        </w:rPr>
        <w:t>En primer lugar</w:t>
      </w:r>
      <w:r w:rsidRPr="00D32AB1">
        <w:rPr>
          <w:rFonts w:ascii="Verdana" w:hAnsi="Verdana"/>
          <w:i/>
          <w:iCs/>
        </w:rPr>
        <w:t xml:space="preserve">, </w:t>
      </w:r>
      <w:r w:rsidRPr="00D32AB1">
        <w:rPr>
          <w:rFonts w:ascii="Verdana" w:hAnsi="Verdana"/>
        </w:rPr>
        <w:t>c</w:t>
      </w:r>
      <w:r w:rsidRPr="00D32AB1">
        <w:rPr>
          <w:rStyle w:val="citation-355"/>
          <w:rFonts w:ascii="Verdana" w:hAnsi="Verdana"/>
        </w:rPr>
        <w:t>omo Requisito Habilitante, la experiencia actúa como una condición de "pasa o no pasa"</w:t>
      </w:r>
      <w:r w:rsidRPr="00D32AB1">
        <w:rPr>
          <w:rFonts w:ascii="Verdana" w:hAnsi="Verdana"/>
        </w:rPr>
        <w:t>. La entidad estatal, en ejercicio de su potestad de planeación, establece un umbral mínimo de experiencia que los proponentes deben cumplir y acreditar para poder participar en el procedimiento de selección.</w:t>
      </w:r>
      <w:r w:rsidRPr="00D32AB1">
        <w:rPr>
          <w:rStyle w:val="citation-354"/>
          <w:rFonts w:ascii="Verdana" w:hAnsi="Verdana"/>
        </w:rPr>
        <w:t xml:space="preserve"> De acuerdo con el artículo 5, numeral 1, de la Ley 1150 de 2007, la experiencia es uno de los requisitos, junto con la capacidad jurídica y financiera, que serán objeto de verificación para habilitar a los proponentes</w:t>
      </w:r>
      <w:r w:rsidRPr="00D32AB1">
        <w:rPr>
          <w:rFonts w:ascii="Verdana" w:hAnsi="Verdana"/>
        </w:rPr>
        <w:t>. S</w:t>
      </w:r>
      <w:r w:rsidRPr="00D32AB1">
        <w:rPr>
          <w:rStyle w:val="citation-353"/>
          <w:rFonts w:ascii="Verdana" w:hAnsi="Verdana"/>
        </w:rPr>
        <w:t>u cumplimiento es indispensable para que una oferta sea considerada para la evaluación</w:t>
      </w:r>
      <w:r w:rsidRPr="00D32AB1">
        <w:rPr>
          <w:rFonts w:ascii="Verdana" w:hAnsi="Verdana"/>
        </w:rPr>
        <w:t xml:space="preserve">. </w:t>
      </w:r>
      <w:r w:rsidRPr="00D32AB1">
        <w:rPr>
          <w:rStyle w:val="citation-352"/>
          <w:rFonts w:ascii="Verdana" w:hAnsi="Verdana"/>
        </w:rPr>
        <w:t>El fundamento de esta exigencia radica en la inconveniencia de adjudicar un contrato a un proponente que no cuenta con la idoneidad mínima para ejecutarlo</w:t>
      </w:r>
      <w:r w:rsidRPr="00D32AB1">
        <w:rPr>
          <w:rFonts w:ascii="Verdana" w:hAnsi="Verdana"/>
        </w:rPr>
        <w:t xml:space="preserve">. </w:t>
      </w:r>
      <w:r w:rsidRPr="00D32AB1">
        <w:rPr>
          <w:rStyle w:val="citation-351"/>
          <w:rFonts w:ascii="Verdana" w:hAnsi="Verdana"/>
        </w:rPr>
        <w:t>Las ofertas que no cumplan este requisito o no logren subsanarse, deberán rechazarse</w:t>
      </w:r>
      <w:r w:rsidRPr="00D32AB1">
        <w:rPr>
          <w:rFonts w:ascii="Verdana" w:hAnsi="Verdana"/>
        </w:rPr>
        <w:t xml:space="preserve">. Este es el rol típico de la experiencia en modalidades como la Licitación de Obra Pública. </w:t>
      </w:r>
    </w:p>
    <w:p w14:paraId="01F69F2F" w14:textId="26680B17" w:rsidR="004A09F3" w:rsidRPr="00D32AB1" w:rsidRDefault="004A09F3" w:rsidP="004A09F3">
      <w:pPr>
        <w:spacing w:before="120" w:after="120" w:line="276" w:lineRule="auto"/>
        <w:ind w:firstLine="709"/>
        <w:jc w:val="both"/>
        <w:rPr>
          <w:rFonts w:ascii="Verdana" w:hAnsi="Verdana"/>
        </w:rPr>
      </w:pPr>
      <w:r w:rsidRPr="00D32AB1">
        <w:rPr>
          <w:rFonts w:ascii="Verdana" w:hAnsi="Verdana"/>
        </w:rPr>
        <w:t xml:space="preserve">En segundo lugar, </w:t>
      </w:r>
      <w:r w:rsidR="00212B4E" w:rsidRPr="00D32AB1">
        <w:rPr>
          <w:rFonts w:ascii="Verdana" w:hAnsi="Verdana"/>
        </w:rPr>
        <w:t>la experiencia se entiende</w:t>
      </w:r>
      <w:r w:rsidRPr="00D32AB1">
        <w:rPr>
          <w:rFonts w:ascii="Verdana" w:hAnsi="Verdana"/>
        </w:rPr>
        <w:t xml:space="preserve"> como un factor de puntuación destinado a valorar los aspectos técnicos de la oferta. </w:t>
      </w:r>
      <w:r w:rsidRPr="00D32AB1">
        <w:rPr>
          <w:rStyle w:val="citation-462"/>
          <w:rFonts w:ascii="Verdana" w:hAnsi="Verdana"/>
        </w:rPr>
        <w:t>En este sentido, el artículo 5, numeral 4, de la Ley 1150 de 2007, regula este enfoque para la selección de consultores, permitiendo valorar la experiencia específica del oferente y de su equipo de trabajo para asignar un puntaje</w:t>
      </w:r>
      <w:r w:rsidRPr="00D32AB1">
        <w:rPr>
          <w:rFonts w:ascii="Verdana" w:hAnsi="Verdana"/>
        </w:rPr>
        <w:t xml:space="preserve">. </w:t>
      </w:r>
      <w:r w:rsidRPr="00D32AB1">
        <w:rPr>
          <w:rStyle w:val="citation-461"/>
          <w:rFonts w:ascii="Verdana" w:hAnsi="Verdana"/>
        </w:rPr>
        <w:t xml:space="preserve">Este enfoque es característico de la modalidad de Concurso de Méritos, utilizada para la selección </w:t>
      </w:r>
      <w:r w:rsidRPr="00D32AB1">
        <w:rPr>
          <w:rStyle w:val="citation-461"/>
          <w:rFonts w:ascii="Verdana" w:hAnsi="Verdana"/>
        </w:rPr>
        <w:lastRenderedPageBreak/>
        <w:t>de consultores e interventores, donde la ley prohíbe explícitamente incluir el precio como factor de escogencia</w:t>
      </w:r>
      <w:r w:rsidRPr="00D32AB1">
        <w:rPr>
          <w:rFonts w:ascii="Verdana" w:hAnsi="Verdana"/>
        </w:rPr>
        <w:t>.</w:t>
      </w:r>
    </w:p>
    <w:p w14:paraId="46BA5E50" w14:textId="77777777" w:rsidR="00935D06" w:rsidRPr="00D32AB1" w:rsidRDefault="00935D06" w:rsidP="00935D06">
      <w:pPr>
        <w:spacing w:after="240" w:line="276" w:lineRule="auto"/>
        <w:ind w:firstLine="708"/>
        <w:jc w:val="both"/>
        <w:rPr>
          <w:rFonts w:ascii="Verdana" w:hAnsi="Verdana" w:cs="Arial"/>
        </w:rPr>
      </w:pPr>
      <w:r w:rsidRPr="00D32AB1">
        <w:rPr>
          <w:rFonts w:ascii="Verdana" w:hAnsi="Verdana" w:cs="Arial"/>
        </w:rPr>
        <w:t>El numeral 4° del artículo 5° de la Ley 1150 de 2007 contiene una regulación especial del deber de selección objetiva aplicable a procesos de selección de consultores. Esta disposición indica que en estos procesos la escogencia se hará con base en factores de calificación destinados a valorar los aspectos técnicos de la oferta, permitiéndose valorar la experiencia específica del oferente y su equipo de trabajo, proscribiéndose además el precio como factor de evaluación.</w:t>
      </w:r>
    </w:p>
    <w:p w14:paraId="76C0F182" w14:textId="5744B537" w:rsidR="00935D06" w:rsidRPr="00D32AB1" w:rsidRDefault="00935D06" w:rsidP="00935D06">
      <w:pPr>
        <w:spacing w:after="240" w:line="276" w:lineRule="auto"/>
        <w:ind w:firstLine="708"/>
        <w:jc w:val="both"/>
        <w:rPr>
          <w:rFonts w:ascii="Verdana" w:hAnsi="Verdana" w:cs="ArialMT"/>
        </w:rPr>
      </w:pPr>
      <w:r w:rsidRPr="00D32AB1">
        <w:rPr>
          <w:rFonts w:ascii="Verdana" w:hAnsi="Verdana" w:cs="Arial"/>
        </w:rPr>
        <w:t xml:space="preserve">El procedimiento de selección de concurso de méritos, aplicable para la escogencia de consultores, está reglamentado por el artículo 2.2.1.2.1.3.2. del Decreto 1082 de 2015, modificado por el Decreto 399 de 2021. El numeral 1 dispone que </w:t>
      </w:r>
      <w:r w:rsidR="00577B15" w:rsidRPr="00D32AB1">
        <w:rPr>
          <w:rFonts w:ascii="Verdana" w:hAnsi="Verdana" w:cs="Arial"/>
        </w:rPr>
        <w:t>“</w:t>
      </w:r>
      <w:r w:rsidRPr="00D32AB1">
        <w:rPr>
          <w:rFonts w:ascii="Verdana" w:hAnsi="Verdana" w:cs="Arial"/>
        </w:rPr>
        <w:t>La Entidad Estatal en los pliegos de condiciones debe indicar la forma como calificará, entre otros, los siguientes criterios: a) la experiencia del interesado y del equipo de trabajo y b) la formación académica del equipo de trabajo</w:t>
      </w:r>
      <w:r w:rsidR="00577B15" w:rsidRPr="00D32AB1">
        <w:rPr>
          <w:rFonts w:ascii="Verdana" w:hAnsi="Verdana" w:cs="Arial"/>
        </w:rPr>
        <w:t>”</w:t>
      </w:r>
      <w:r w:rsidRPr="00D32AB1">
        <w:rPr>
          <w:rFonts w:ascii="Verdana" w:hAnsi="Verdana" w:cs="Arial"/>
        </w:rPr>
        <w:t xml:space="preserve"> (Énfasis fuera de texto). Conforme a esto, los factores ponderables en un proceso de selección de concurso de méritos – esto es, los que determinan la escogencia entre los proponentes habilitados –, son los indicados en la norma citada, sin perjuicio de que existan otros establecidos por la ley, de manera que de acuerdo con este marco jurídico en los pliegos de condiciones se definirán los criterios de asignación de puntaje.</w:t>
      </w:r>
    </w:p>
    <w:p w14:paraId="7ACCC88B" w14:textId="77777777" w:rsidR="00F336B5" w:rsidRPr="00D32AB1" w:rsidRDefault="004A09F3" w:rsidP="00F336B5">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Un ejemplo claro de </w:t>
      </w:r>
      <w:r w:rsidR="006316C2" w:rsidRPr="00D32AB1">
        <w:rPr>
          <w:rFonts w:ascii="Verdana" w:eastAsia="Times New Roman" w:hAnsi="Verdana" w:cs="Times New Roman"/>
          <w:lang w:eastAsia="es-MX"/>
        </w:rPr>
        <w:t xml:space="preserve">lo </w:t>
      </w:r>
      <w:r w:rsidR="00F62AB6" w:rsidRPr="00D32AB1">
        <w:rPr>
          <w:rFonts w:ascii="Verdana" w:eastAsia="Times New Roman" w:hAnsi="Verdana" w:cs="Times New Roman"/>
          <w:lang w:eastAsia="es-MX"/>
        </w:rPr>
        <w:t>anterior</w:t>
      </w:r>
      <w:r w:rsidR="006316C2" w:rsidRPr="00D32AB1">
        <w:rPr>
          <w:rFonts w:ascii="Verdana" w:eastAsia="Times New Roman" w:hAnsi="Verdana" w:cs="Times New Roman"/>
          <w:lang w:eastAsia="es-MX"/>
        </w:rPr>
        <w:t xml:space="preserve"> </w:t>
      </w:r>
      <w:r w:rsidRPr="00D32AB1">
        <w:rPr>
          <w:rFonts w:ascii="Verdana" w:eastAsia="Times New Roman" w:hAnsi="Verdana" w:cs="Times New Roman"/>
          <w:lang w:eastAsia="es-MX"/>
        </w:rPr>
        <w:t xml:space="preserve">se encuentra en los Documentos Tipo para Concursos de Méritos de Interventoría de Obras Públicas, donde se exige una experiencia mínima habilitante equivalente al 100% del presupuesto oficial en SMMLV. Si un proponente debe subsanar este requisito, se habilitará pero obtendrá cero (0) puntos por el factor de experiencia. Para los proponentes que sí cumplen, la experiencia se pondera para asignar un puntaje, utilizando un método aleatorio basado en la Tasa Representativa del Mercado (TRM) para seleccionar la fórmula de cálculo. </w:t>
      </w:r>
    </w:p>
    <w:p w14:paraId="3133FAE3" w14:textId="6AAFF166" w:rsidR="00F336B5" w:rsidRPr="00D32AB1" w:rsidRDefault="00F336B5" w:rsidP="00F336B5">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La definición del requisito de experiencia, tanto como requisito habilitante como puntuable, es una potestad de las Entidades Estatales durante la etapa de planeación, quienes deben asegurarse de que sean adecuados y proporcionales a la naturaleza y valor del contrato. </w:t>
      </w:r>
    </w:p>
    <w:p w14:paraId="068365B4" w14:textId="69A22E34" w:rsidR="00C021AF" w:rsidRPr="00D32AB1" w:rsidRDefault="00F336B5" w:rsidP="006B276E">
      <w:pPr>
        <w:spacing w:before="120" w:after="120" w:line="276" w:lineRule="auto"/>
        <w:ind w:firstLine="709"/>
        <w:jc w:val="both"/>
        <w:rPr>
          <w:rFonts w:ascii="Verdana" w:eastAsia="Calibri" w:hAnsi="Verdana" w:cs="Arial"/>
          <w:lang w:val="es-MX"/>
        </w:rPr>
      </w:pPr>
      <w:r w:rsidRPr="00D32AB1">
        <w:rPr>
          <w:rFonts w:ascii="Verdana" w:eastAsia="Times New Roman" w:hAnsi="Verdana" w:cs="Times New Roman"/>
          <w:lang w:eastAsia="es-MX"/>
        </w:rPr>
        <w:lastRenderedPageBreak/>
        <w:t xml:space="preserve">Ahora bien, en relación con </w:t>
      </w:r>
      <w:r w:rsidR="006B276E" w:rsidRPr="00D32AB1">
        <w:rPr>
          <w:rFonts w:ascii="Verdana" w:eastAsia="Times New Roman" w:hAnsi="Verdana" w:cs="Times New Roman"/>
          <w:lang w:eastAsia="es-MX"/>
        </w:rPr>
        <w:t>l</w:t>
      </w:r>
      <w:r w:rsidR="00C021AF" w:rsidRPr="00D32AB1">
        <w:rPr>
          <w:rFonts w:ascii="Verdana" w:eastAsia="Calibri" w:hAnsi="Verdana" w:cs="Arial"/>
          <w:lang w:val="es-MX"/>
        </w:rPr>
        <w:t xml:space="preserve">a experiencia profesional </w:t>
      </w:r>
      <w:r w:rsidR="006B276E" w:rsidRPr="00D32AB1">
        <w:rPr>
          <w:rFonts w:ascii="Verdana" w:eastAsia="Calibri" w:hAnsi="Verdana" w:cs="Arial"/>
          <w:lang w:val="es-MX"/>
        </w:rPr>
        <w:t xml:space="preserve">esta </w:t>
      </w:r>
      <w:r w:rsidR="00C021AF" w:rsidRPr="00D32AB1">
        <w:rPr>
          <w:rFonts w:ascii="Verdana" w:eastAsia="Calibri" w:hAnsi="Verdana" w:cs="Arial"/>
          <w:lang w:val="es-MX"/>
        </w:rPr>
        <w:t>se debe verificar</w:t>
      </w:r>
      <w:r w:rsidR="006B276E" w:rsidRPr="00D32AB1">
        <w:rPr>
          <w:rFonts w:ascii="Verdana" w:eastAsia="Calibri" w:hAnsi="Verdana" w:cs="Arial"/>
          <w:lang w:val="es-MX"/>
        </w:rPr>
        <w:t xml:space="preserve"> </w:t>
      </w:r>
      <w:r w:rsidR="00C021AF" w:rsidRPr="00D32AB1">
        <w:rPr>
          <w:rFonts w:ascii="Verdana" w:eastAsia="Calibri" w:hAnsi="Verdana" w:cs="Arial"/>
          <w:lang w:val="es-MX"/>
        </w:rPr>
        <w:t>de acuerdo con lo regulado en el artículo 229 del Decreto 019 de 2012. En virtud de esta norma, el ejercicio de las diferentes profesiones acreditadas por el Ministerio de Educación Nacional se contabiliza a partir de la terminación y aprobación del pénsum académico de educación superior, salvo las excepciones contempladas en la ley</w:t>
      </w:r>
      <w:r w:rsidR="00C021AF" w:rsidRPr="00D32AB1">
        <w:rPr>
          <w:rFonts w:ascii="Verdana" w:eastAsia="Calibri" w:hAnsi="Verdana" w:cs="Arial"/>
          <w:vertAlign w:val="superscript"/>
          <w:lang w:val="es-MX"/>
        </w:rPr>
        <w:footnoteReference w:id="8"/>
      </w:r>
      <w:r w:rsidR="00C021AF" w:rsidRPr="00D32AB1">
        <w:rPr>
          <w:rFonts w:ascii="Verdana" w:eastAsia="Calibri" w:hAnsi="Verdana" w:cs="Arial"/>
          <w:lang w:val="es-MX"/>
        </w:rPr>
        <w:t>.</w:t>
      </w:r>
    </w:p>
    <w:p w14:paraId="70CCB652" w14:textId="77777777" w:rsidR="0023512F" w:rsidRPr="00D32AB1" w:rsidRDefault="00C021A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 xml:space="preserve">Conforme con lo anterior, el cómputo de la experiencia profesional, por regla general, comienza con la terminación y aprobación del pénsum académico de educación superior, y siempre que el profesional acredite que trabajó. </w:t>
      </w:r>
      <w:r w:rsidR="006B276E" w:rsidRPr="00D32AB1">
        <w:rPr>
          <w:rFonts w:ascii="Verdana" w:eastAsia="Calibri" w:hAnsi="Verdana" w:cs="Arial"/>
          <w:lang w:val="es-MX"/>
        </w:rPr>
        <w:t xml:space="preserve">No obstante, </w:t>
      </w:r>
      <w:r w:rsidR="001379D1" w:rsidRPr="00D32AB1">
        <w:rPr>
          <w:rFonts w:ascii="Verdana" w:eastAsia="Calibri" w:hAnsi="Verdana" w:cs="Arial"/>
          <w:lang w:val="es-MX"/>
        </w:rPr>
        <w:t>existen ciertas excepciones</w:t>
      </w:r>
      <w:r w:rsidR="009723A2" w:rsidRPr="00D32AB1">
        <w:rPr>
          <w:rFonts w:ascii="Verdana" w:eastAsia="Calibri" w:hAnsi="Verdana" w:cs="Arial"/>
          <w:lang w:val="es-MX"/>
        </w:rPr>
        <w:t>, por ejemplo, f</w:t>
      </w:r>
      <w:r w:rsidR="006B276E" w:rsidRPr="00D32AB1">
        <w:rPr>
          <w:rFonts w:ascii="Verdana" w:eastAsia="Calibri" w:hAnsi="Verdana" w:cs="Arial"/>
          <w:lang w:val="es-MX"/>
        </w:rPr>
        <w:t>rente a</w:t>
      </w:r>
      <w:r w:rsidRPr="00D32AB1">
        <w:rPr>
          <w:rFonts w:ascii="Verdana" w:eastAsia="Calibri" w:hAnsi="Verdana" w:cs="Arial"/>
          <w:lang w:val="es-MX"/>
        </w:rPr>
        <w:t xml:space="preserve"> las profesiones relacionadas con temas de salud, la experiencia profesional se cuenta desde la inscripción o registro, es decir, a partir de la expedición de la tarjeta profesional.</w:t>
      </w:r>
    </w:p>
    <w:p w14:paraId="1237964B" w14:textId="46CE3B7B"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Ahora bien, para el caso particular de la profesión de ingeniería, esta tiene como componente que, con la expedición de la Ley 842 de 2003, se cuenta con una norma de carácter especial que regula lo atinente al ejercicio legal de la profesión de ingeniería. profesiones afines y auxiliares. Dicha norma agregó un elemento que no se contemplaba en la regla general, mediante su artículo 12, el cual establece que, para el ejercicio de profesiones como la ingeniería o alguna de sus profesiones afines o auxiliares, quien las ejerza debe contar con la tarjeta o matrícula profesional correspondiente. En este orden de ideas, la experiencia profesional se debe computar, por regla especial, a partir de la fecha de expedición de la matrícula profesional o del certificado de inscripción profesional.</w:t>
      </w:r>
    </w:p>
    <w:p w14:paraId="798D6A99"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mismo compendio normativo establece en el artículo 6 que, para ejercer la ingeniería y sus profesiones afines o auxiliares en el territorio nacional, es necesario estar matriculado o inscrito en el registro profesional correspondiente, el cual es expedido por el Consejo Profesional Nacional de Ingeniería (COPNIA). Este trámite requiere la presentación de la tarjeta profesional, que es el documento que acredita dicha inscripción.</w:t>
      </w:r>
    </w:p>
    <w:p w14:paraId="413F67FE"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lastRenderedPageBreak/>
        <w:t>En este sentido, esta Subdirección, haciendo un juicio valorativo de la normatividad que comprende la materia y analizando los diferentes pronunciamientos expedidos, considera que, para la celebración de contratos de prestación de servicios profesionales que tengan como objeto el ejercicio de profesiones sujetas a regulación especial, como es el caso de las profesiones relacionadas con la ingeniería, estos deberán suscribirse conforme al mandato legal, razón por la cual no son aplicables los lineamientos generales del Decreto Ley 19 de 2012.</w:t>
      </w:r>
    </w:p>
    <w:p w14:paraId="38855138" w14:textId="77777777" w:rsidR="0023512F" w:rsidRPr="00D32AB1" w:rsidRDefault="0023512F" w:rsidP="0023512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Sin perjuicio de lo anterior, en los casos en los que el objeto del contrato requiera el ejercicio de profesiones sujetas a regulación especial, en razón de la alta responsabilidad y el riesgo social que implica su ejercicio para la sociedad (Sentencia C-296 del 18 de abril de 2012, Magistrado Ponente: Juan Carlos Henao Pérez), como es el caso de las profesiones relacionadas con la ingeniería o alguna de sus profesiones afines o auxiliares, la Entidad Estatal debe remitirse a lo establecido en la regulación específica acerca del cómputo de la experiencia (artículo 12 de la Ley 842 de 2003).</w:t>
      </w:r>
    </w:p>
    <w:p w14:paraId="53C9F71E" w14:textId="19B704AB" w:rsidR="00C021AF" w:rsidRPr="00D32AB1" w:rsidRDefault="00C021AF" w:rsidP="00C021AF">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Por otro lado, es importante señalar que a partir de la Ley 1955 de 2019 se permite contar como experiencia profesional las prácticas laborales realizadas por estudiantes para obtener el título de grado. De acuerdo con el artículo 15 de la Ley 1780 de 2016</w:t>
      </w:r>
      <w:r w:rsidRPr="00D32AB1">
        <w:rPr>
          <w:rFonts w:ascii="Verdana" w:eastAsia="Calibri" w:hAnsi="Verdana" w:cs="Arial"/>
          <w:vertAlign w:val="superscript"/>
          <w:lang w:val="es-MX"/>
        </w:rPr>
        <w:footnoteReference w:id="9"/>
      </w:r>
      <w:r w:rsidRPr="00D32AB1">
        <w:rPr>
          <w:rFonts w:ascii="Verdana" w:eastAsia="Calibri" w:hAnsi="Verdana" w:cs="Arial"/>
          <w:lang w:val="es-MX"/>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w:t>
      </w:r>
    </w:p>
    <w:p w14:paraId="71EA0009" w14:textId="77777777" w:rsidR="00D32AB1" w:rsidRPr="00D32AB1" w:rsidRDefault="00C021AF" w:rsidP="00D32AB1">
      <w:pPr>
        <w:spacing w:before="120" w:after="120" w:line="276" w:lineRule="auto"/>
        <w:ind w:right="51" w:firstLine="708"/>
        <w:jc w:val="both"/>
        <w:rPr>
          <w:rFonts w:ascii="Verdana" w:eastAsia="Calibri" w:hAnsi="Verdana" w:cs="Arial"/>
          <w:lang w:val="es-MX"/>
        </w:rPr>
      </w:pPr>
      <w:r w:rsidRPr="00D32AB1">
        <w:rPr>
          <w:rFonts w:ascii="Verdana" w:eastAsia="Calibri" w:hAnsi="Verdana" w:cs="Arial"/>
          <w:lang w:val="es-MX"/>
        </w:rPr>
        <w:t>El artículo 192 de la Ley 1955 de 2019</w:t>
      </w:r>
      <w:r w:rsidRPr="00D32AB1">
        <w:rPr>
          <w:rFonts w:ascii="Verdana" w:eastAsia="Calibri" w:hAnsi="Verdana" w:cs="Arial"/>
          <w:vertAlign w:val="superscript"/>
          <w:lang w:val="es-MX"/>
        </w:rPr>
        <w:footnoteReference w:id="10"/>
      </w:r>
      <w:r w:rsidRPr="00D32AB1">
        <w:rPr>
          <w:rFonts w:ascii="Verdana" w:eastAsia="Calibri" w:hAnsi="Verdana" w:cs="Arial"/>
          <w:lang w:val="es-MX"/>
        </w:rPr>
        <w:t xml:space="preserve"> establece que el tiempo de la práctica laboral que el estudiante realice para optar por su título profesional, </w:t>
      </w:r>
      <w:r w:rsidRPr="00D32AB1">
        <w:rPr>
          <w:rFonts w:ascii="Verdana" w:eastAsia="Calibri" w:hAnsi="Verdana" w:cs="Arial"/>
          <w:lang w:val="es-MX"/>
        </w:rPr>
        <w:lastRenderedPageBreak/>
        <w:t>tecnológico o técnico cuenta como experiencia laboral. Sin embargo, solo se computan como experiencia las prácticas laborales realizadas durante los veinticuatro (24) meses anteriores a la entrada en vigencia de dicha ley y las que se realicen con posterioridad</w:t>
      </w:r>
      <w:r w:rsidR="009723A2" w:rsidRPr="00D32AB1">
        <w:rPr>
          <w:rFonts w:ascii="Verdana" w:eastAsia="Calibri" w:hAnsi="Verdana" w:cs="Arial"/>
          <w:lang w:val="es-MX"/>
        </w:rPr>
        <w:t xml:space="preserve">. </w:t>
      </w:r>
    </w:p>
    <w:p w14:paraId="10C40A59" w14:textId="10F0689D" w:rsidR="004A09F3" w:rsidRPr="00D32AB1" w:rsidRDefault="009379C8" w:rsidP="00D32AB1">
      <w:pPr>
        <w:spacing w:before="120" w:after="120" w:line="276" w:lineRule="auto"/>
        <w:ind w:right="51" w:firstLine="708"/>
        <w:jc w:val="both"/>
        <w:rPr>
          <w:rFonts w:ascii="Verdana" w:eastAsia="Calibri" w:hAnsi="Verdana" w:cs="Arial"/>
          <w:lang w:val="es-MX"/>
        </w:rPr>
      </w:pPr>
      <w:r w:rsidRPr="00D32AB1">
        <w:rPr>
          <w:rFonts w:ascii="Verdana" w:eastAsia="Times New Roman" w:hAnsi="Verdana" w:cs="Times New Roman"/>
          <w:lang w:eastAsia="es-MX"/>
        </w:rPr>
        <w:t>Finalmente, l</w:t>
      </w:r>
      <w:r w:rsidR="004A09F3" w:rsidRPr="00D32AB1">
        <w:rPr>
          <w:rFonts w:ascii="Verdana" w:eastAsia="Times New Roman" w:hAnsi="Verdana" w:cs="Times New Roman"/>
          <w:lang w:eastAsia="es-MX"/>
        </w:rPr>
        <w:t>a acreditación de la experiencia debe realizarse a través de documentos expedidos por el tercero que recibió la obra, bien o servicio. Los Documentos Tipo listan como válidos, entre otros, el acta de liquidación, el acta de terminación o recibo definitivo, o las certificaciones de experiencia contractual.</w:t>
      </w:r>
    </w:p>
    <w:p w14:paraId="4BCDAE48" w14:textId="77777777" w:rsidR="004A09F3" w:rsidRPr="00D32AB1" w:rsidRDefault="004A09F3" w:rsidP="004A09F3">
      <w:pPr>
        <w:spacing w:before="120" w:after="120" w:line="276" w:lineRule="auto"/>
        <w:ind w:firstLine="709"/>
        <w:jc w:val="both"/>
        <w:rPr>
          <w:rFonts w:ascii="Verdana" w:eastAsia="Times New Roman" w:hAnsi="Verdana" w:cs="Times New Roman"/>
          <w:lang w:eastAsia="es-MX"/>
        </w:rPr>
      </w:pPr>
      <w:r w:rsidRPr="00D32AB1">
        <w:rPr>
          <w:rFonts w:ascii="Verdana" w:eastAsia="Times New Roman" w:hAnsi="Verdana" w:cs="Times New Roman"/>
          <w:lang w:eastAsia="es-MX"/>
        </w:rPr>
        <w:t xml:space="preserve">Adicionalmente, es crucial abordar la prohibición de las auto certificaciones, entendidas como aquellas expedidas por el mismo proponente o su grupo empresarial para demostrar su propia experiencia. Esta Agencia ha aclarado que no se configura una auto certificación cuando la entidad que certifica es una persona jurídica distinta a la que se presenta como proponente, incluso si ambas comparten el mismo representante legal; en este caso, se aplica una noción de “tercero en sentido subjetivo”; y la certificación es válida. Esto permite que un profesional acredite la experiencia obtenida a través de su propia empresa, siempre que la certificación sea emitida por sus clientes. Por el contrario, si la empresa que certifica y la que es certificada pertenece al mismo grupo empresarial, donde existe una unidad de propósito y dirección, se considera que no hay una independencia real, configurándose una auto certificación inválida. </w:t>
      </w:r>
    </w:p>
    <w:p w14:paraId="23ACEBCC" w14:textId="77777777" w:rsidR="004A09F3" w:rsidRDefault="004A09F3" w:rsidP="004A09F3">
      <w:pPr>
        <w:numPr>
          <w:ilvl w:val="0"/>
          <w:numId w:val="16"/>
        </w:numPr>
        <w:tabs>
          <w:tab w:val="left" w:pos="142"/>
          <w:tab w:val="left" w:pos="284"/>
        </w:tabs>
        <w:spacing w:after="0" w:line="276" w:lineRule="auto"/>
        <w:ind w:left="357" w:hanging="357"/>
        <w:jc w:val="both"/>
        <w:rPr>
          <w:rFonts w:ascii="Verdana" w:eastAsia="Century Gothic" w:hAnsi="Verdana" w:cs="Century Gothic"/>
          <w:b/>
          <w:bCs/>
        </w:rPr>
      </w:pPr>
      <w:r w:rsidRPr="0075418A">
        <w:rPr>
          <w:rFonts w:ascii="Verdana" w:eastAsia="Century Gothic" w:hAnsi="Verdana" w:cs="Century Gothic"/>
          <w:b/>
          <w:bCs/>
        </w:rPr>
        <w:t>Referencias normativas, jurisprudenciales y otras fuentes:</w:t>
      </w:r>
    </w:p>
    <w:p w14:paraId="3BDEA556" w14:textId="77777777" w:rsidR="004A09F3" w:rsidRPr="00825C8B" w:rsidRDefault="004A09F3" w:rsidP="004A09F3">
      <w:pPr>
        <w:tabs>
          <w:tab w:val="left" w:pos="142"/>
          <w:tab w:val="left" w:pos="284"/>
        </w:tabs>
        <w:spacing w:after="0" w:line="276" w:lineRule="auto"/>
        <w:ind w:left="357"/>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09F3" w:rsidRPr="00AB18AB" w14:paraId="6B15BEAB" w14:textId="77777777" w:rsidTr="00B66D77">
        <w:trPr>
          <w:trHeight w:val="870"/>
        </w:trPr>
        <w:tc>
          <w:tcPr>
            <w:tcW w:w="8647" w:type="dxa"/>
          </w:tcPr>
          <w:p w14:paraId="67799EDE" w14:textId="77777777" w:rsidR="004A09F3" w:rsidRPr="00406044" w:rsidRDefault="004A09F3" w:rsidP="004A09F3">
            <w:pPr>
              <w:pStyle w:val="Prrafodelista"/>
              <w:widowControl w:val="0"/>
              <w:numPr>
                <w:ilvl w:val="0"/>
                <w:numId w:val="18"/>
              </w:numPr>
              <w:autoSpaceDE w:val="0"/>
              <w:autoSpaceDN w:val="0"/>
              <w:spacing w:line="276" w:lineRule="auto"/>
              <w:jc w:val="both"/>
              <w:rPr>
                <w:rFonts w:ascii="Verdana" w:hAnsi="Verdana" w:cs="Arial"/>
              </w:rPr>
            </w:pPr>
            <w:r w:rsidRPr="00AB18AB">
              <w:rPr>
                <w:rFonts w:ascii="Verdana" w:hAnsi="Verdana" w:cs="Arial"/>
              </w:rPr>
              <w:t xml:space="preserve">Decreto 1082 de 2015. Artículos: </w:t>
            </w:r>
            <w:r w:rsidRPr="00AB18AB">
              <w:rPr>
                <w:rFonts w:ascii="Verdana" w:eastAsia="Calibri" w:hAnsi="Verdana" w:cs="Arial"/>
              </w:rPr>
              <w:t xml:space="preserve">2.2.1.1.1.6.1, </w:t>
            </w:r>
            <w:r w:rsidRPr="00AB18AB">
              <w:rPr>
                <w:rFonts w:ascii="Verdana" w:eastAsia="Calibri" w:hAnsi="Verdana" w:cs="Arial"/>
                <w:color w:val="000000" w:themeColor="text1"/>
              </w:rPr>
              <w:t>2.2.1.1.1.6.2.</w:t>
            </w:r>
          </w:p>
          <w:p w14:paraId="3FD0A78E" w14:textId="77777777" w:rsidR="004A09F3" w:rsidRPr="00927E7B" w:rsidRDefault="004A09F3"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Calibri" w:hAnsi="Verdana" w:cs="Arial"/>
                <w:color w:val="000000" w:themeColor="text1"/>
              </w:rPr>
              <w:t xml:space="preserve">Ley 80 de 1993. Artículo: 7. </w:t>
            </w:r>
          </w:p>
          <w:p w14:paraId="2AA6DDF0" w14:textId="5E9D0306" w:rsidR="00927E7B" w:rsidRPr="00406044" w:rsidRDefault="00927E7B"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Times New Roman" w:hAnsi="Verdana" w:cs="Times New Roman"/>
                <w:lang w:eastAsia="es-MX"/>
              </w:rPr>
              <w:t>Ley 842 de 2003, articulo 20.</w:t>
            </w:r>
          </w:p>
          <w:p w14:paraId="58268612" w14:textId="77777777" w:rsidR="00CD440A" w:rsidRPr="00AB18AB" w:rsidRDefault="00CD440A" w:rsidP="00CD440A">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AB18AB">
              <w:rPr>
                <w:rFonts w:ascii="Verdana" w:eastAsia="Calibri" w:hAnsi="Verdana" w:cs="Arial"/>
                <w:lang w:val="es-ES_tradnl"/>
              </w:rPr>
              <w:t xml:space="preserve">Ley 2022 de 2020, artículo 1. </w:t>
            </w:r>
          </w:p>
          <w:p w14:paraId="58F25487" w14:textId="77777777" w:rsidR="00CD440A" w:rsidRPr="00AB18AB" w:rsidRDefault="00CD440A" w:rsidP="00CD440A">
            <w:pPr>
              <w:widowControl w:val="0"/>
              <w:numPr>
                <w:ilvl w:val="0"/>
                <w:numId w:val="17"/>
              </w:numPr>
              <w:autoSpaceDE w:val="0"/>
              <w:autoSpaceDN w:val="0"/>
              <w:spacing w:line="276" w:lineRule="auto"/>
              <w:jc w:val="both"/>
              <w:rPr>
                <w:rFonts w:ascii="Verdana" w:eastAsia="Calibri" w:hAnsi="Verdana" w:cs="Arial"/>
              </w:rPr>
            </w:pPr>
            <w:r w:rsidRPr="00AB18AB">
              <w:rPr>
                <w:rFonts w:ascii="Verdana" w:eastAsia="Calibri" w:hAnsi="Verdana" w:cs="Arial"/>
              </w:rPr>
              <w:t>Ley 1150 de 2007, artículo 2.</w:t>
            </w:r>
          </w:p>
          <w:p w14:paraId="42B8C48F" w14:textId="77777777" w:rsidR="00CD440A" w:rsidRPr="00CD440A" w:rsidRDefault="00CD440A" w:rsidP="00CD440A">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hAnsi="Verdana" w:cs="Arial"/>
              </w:rPr>
              <w:lastRenderedPageBreak/>
              <w:t>Corte Constitucional, sentencia C-414 del 22 de septiembre de 1996, M.P. Antonio Barrera Carbonell.</w:t>
            </w:r>
          </w:p>
          <w:p w14:paraId="455970D9" w14:textId="77777777" w:rsidR="004A09F3" w:rsidRPr="00AB18AB" w:rsidRDefault="004A09F3" w:rsidP="004A09F3">
            <w:pPr>
              <w:pStyle w:val="Prrafodelista"/>
              <w:widowControl w:val="0"/>
              <w:numPr>
                <w:ilvl w:val="0"/>
                <w:numId w:val="17"/>
              </w:numPr>
              <w:autoSpaceDE w:val="0"/>
              <w:autoSpaceDN w:val="0"/>
              <w:spacing w:line="276" w:lineRule="auto"/>
              <w:jc w:val="both"/>
              <w:rPr>
                <w:rFonts w:ascii="Verdana" w:hAnsi="Verdana" w:cs="Arial"/>
              </w:rPr>
            </w:pPr>
            <w:r w:rsidRPr="00AB18AB">
              <w:rPr>
                <w:rFonts w:ascii="Verdana" w:eastAsia="Calibri" w:hAnsi="Verdana" w:cs="Arial"/>
                <w:color w:val="000000" w:themeColor="text1"/>
              </w:rPr>
              <w:t xml:space="preserve">Manual </w:t>
            </w:r>
            <w:r w:rsidRPr="00AB18AB">
              <w:rPr>
                <w:rFonts w:ascii="Verdana" w:eastAsia="Calibri" w:hAnsi="Verdana" w:cs="Arial"/>
              </w:rPr>
              <w:t>para determinar y verificar los requisitos habilitantes en los procesos de contratación</w:t>
            </w:r>
            <w:r w:rsidRPr="00AB18AB">
              <w:rPr>
                <w:rFonts w:ascii="Verdana" w:hAnsi="Verdana" w:cs="Arial"/>
              </w:rPr>
              <w:t xml:space="preserve"> en: </w:t>
            </w:r>
            <w:hyperlink r:id="rId12" w:history="1">
              <w:r w:rsidRPr="00AB18AB">
                <w:rPr>
                  <w:rStyle w:val="Hipervnculo"/>
                  <w:rFonts w:ascii="Verdana" w:hAnsi="Verdana" w:cs="Arial"/>
                </w:rPr>
                <w:t>https://www.colombiacompra.gov.co/wp-content/uploads/2024/08/cce-eicp-ma-04._manual_requisitos_habilitantes_v3_29-09-2023.pdf</w:t>
              </w:r>
            </w:hyperlink>
          </w:p>
          <w:p w14:paraId="45B5D0BD" w14:textId="01DF16FE" w:rsidR="004A09F3" w:rsidRPr="00927E7B" w:rsidRDefault="004A09F3" w:rsidP="00927E7B">
            <w:pPr>
              <w:widowControl w:val="0"/>
              <w:numPr>
                <w:ilvl w:val="0"/>
                <w:numId w:val="17"/>
              </w:numPr>
              <w:autoSpaceDE w:val="0"/>
              <w:autoSpaceDN w:val="0"/>
              <w:spacing w:line="276" w:lineRule="auto"/>
              <w:contextualSpacing/>
              <w:jc w:val="both"/>
              <w:rPr>
                <w:rFonts w:ascii="Verdana" w:hAnsi="Verdana" w:cs="Arial"/>
              </w:rPr>
            </w:pPr>
            <w:r w:rsidRPr="00AB18AB">
              <w:rPr>
                <w:rFonts w:ascii="Verdana" w:eastAsia="Calibri" w:hAnsi="Verdana" w:cs="Arial"/>
                <w:lang w:val="es-ES_tradnl"/>
              </w:rPr>
              <w:t xml:space="preserve">Documentos Tipo. Disponibles en: </w:t>
            </w:r>
            <w:hyperlink r:id="rId13" w:history="1">
              <w:r w:rsidRPr="00AB18AB">
                <w:rPr>
                  <w:rFonts w:ascii="Verdana" w:eastAsia="Calibri" w:hAnsi="Verdana" w:cs="Arial"/>
                  <w:color w:val="0000FF"/>
                  <w:u w:val="single"/>
                  <w:lang w:val="es-ES_tradnl"/>
                </w:rPr>
                <w:t>https://www.colombiacompra.gov.co/documentos-tipo/documentos-tipo</w:t>
              </w:r>
            </w:hyperlink>
            <w:r w:rsidRPr="00AB18AB">
              <w:rPr>
                <w:rFonts w:ascii="Verdana" w:eastAsia="Calibri" w:hAnsi="Verdana" w:cs="Arial"/>
                <w:lang w:val="es-ES_tradnl"/>
              </w:rPr>
              <w:t>.</w:t>
            </w:r>
          </w:p>
        </w:tc>
      </w:tr>
    </w:tbl>
    <w:p w14:paraId="3C40A86C" w14:textId="77777777" w:rsidR="004A09F3" w:rsidRPr="00AB18AB" w:rsidRDefault="004A09F3" w:rsidP="004A09F3">
      <w:pPr>
        <w:widowControl w:val="0"/>
        <w:autoSpaceDE w:val="0"/>
        <w:autoSpaceDN w:val="0"/>
        <w:spacing w:after="0" w:line="276" w:lineRule="auto"/>
        <w:jc w:val="both"/>
        <w:rPr>
          <w:rFonts w:ascii="Verdana" w:hAnsi="Verdana" w:cs="Arial"/>
        </w:rPr>
      </w:pPr>
    </w:p>
    <w:p w14:paraId="2605DFDA" w14:textId="3818CF59" w:rsidR="004A09F3" w:rsidRPr="004A09F3" w:rsidRDefault="004A09F3" w:rsidP="004A0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A09F3">
        <w:rPr>
          <w:rFonts w:ascii="Verdana" w:eastAsia="Century Gothic" w:hAnsi="Verdana" w:cs="Century Gothic"/>
          <w:b/>
          <w:bCs/>
        </w:rPr>
        <w:t>Doctrina de la Agencia Nacional de Contratación Pública:</w:t>
      </w:r>
    </w:p>
    <w:p w14:paraId="4A6982CA" w14:textId="61728622" w:rsidR="004A09F3" w:rsidRPr="00AB18AB" w:rsidRDefault="004A09F3" w:rsidP="004A09F3">
      <w:pPr>
        <w:widowControl w:val="0"/>
        <w:autoSpaceDE w:val="0"/>
        <w:autoSpaceDN w:val="0"/>
        <w:spacing w:after="0" w:line="276" w:lineRule="auto"/>
        <w:jc w:val="both"/>
        <w:rPr>
          <w:rFonts w:ascii="Verdana" w:eastAsia="Calibri" w:hAnsi="Verdana" w:cs="Arial"/>
          <w:shd w:val="clear" w:color="auto" w:fill="FFFFFF"/>
        </w:rPr>
      </w:pPr>
      <w:r w:rsidRPr="00AB18AB">
        <w:rPr>
          <w:rFonts w:ascii="Verdana" w:eastAsia="Calibri" w:hAnsi="Verdana" w:cs="Arial"/>
          <w:shd w:val="clear" w:color="auto" w:fill="FFFFFF"/>
        </w:rPr>
        <w:t>L</w:t>
      </w:r>
      <w:r w:rsidRPr="00AB18AB">
        <w:rPr>
          <w:rFonts w:ascii="Verdana" w:eastAsia="Calibri" w:hAnsi="Verdana" w:cs="Arial"/>
          <w:shd w:val="clear" w:color="auto" w:fill="FFFFFF"/>
          <w:lang w:val="es-ES"/>
        </w:rPr>
        <w:t xml:space="preserve">a Agencia Nacional de Contratación Pública – Colombia Compra Eficiente, se ha pronunciado </w:t>
      </w:r>
      <w:r w:rsidRPr="00AB18AB">
        <w:rPr>
          <w:rFonts w:ascii="Verdana" w:hAnsi="Verdana" w:cs="Arial"/>
          <w:shd w:val="clear" w:color="auto" w:fill="FFFFFF"/>
        </w:rPr>
        <w:t xml:space="preserve">sobre la acreditación de experiencia por parte de integrantes de proponentes plurales, en los conceptos </w:t>
      </w:r>
      <w:r w:rsidRPr="00AB18AB">
        <w:rPr>
          <w:rFonts w:ascii="Verdana" w:hAnsi="Verdana"/>
          <w:lang w:val="es-ES"/>
        </w:rPr>
        <w:t xml:space="preserve">C- 124 del 12 de mayo de 2023, C-167 del 5 de junio de 2023, </w:t>
      </w:r>
      <w:r w:rsidRPr="00AB18AB">
        <w:rPr>
          <w:rFonts w:ascii="Verdana" w:hAnsi="Verdana" w:cs="Arial"/>
          <w:shd w:val="clear" w:color="auto" w:fill="FFFFFF"/>
        </w:rPr>
        <w:t>C-648 del 6 de noviembre de 2024, C-1002 del 30 de enero de 2025, C-128 del 26 de junio de 2025, C-568 del 24 de junio de 2025</w:t>
      </w:r>
      <w:r w:rsidRPr="00AB18AB">
        <w:rPr>
          <w:rStyle w:val="normaltextrun"/>
          <w:rFonts w:ascii="Verdana" w:hAnsi="Verdana" w:cs="Arial"/>
          <w:shd w:val="clear" w:color="auto" w:fill="FFFFFF"/>
          <w:lang w:val="es-ES"/>
        </w:rPr>
        <w:t>, C-698 del 14 de julio de 2025, C-1156 de 2025. entre otros.</w:t>
      </w:r>
      <w:r w:rsidRPr="00AB18AB">
        <w:rPr>
          <w:rFonts w:ascii="Verdana" w:eastAsia="Calibri" w:hAnsi="Verdana" w:cs="Arial"/>
          <w:shd w:val="clear" w:color="auto" w:fill="FFFFFF"/>
        </w:rPr>
        <w:t xml:space="preserve"> </w:t>
      </w:r>
    </w:p>
    <w:p w14:paraId="4CCB5BFE" w14:textId="77777777" w:rsidR="004A09F3" w:rsidRPr="00AB18AB" w:rsidRDefault="004A09F3" w:rsidP="004A09F3">
      <w:pPr>
        <w:widowControl w:val="0"/>
        <w:autoSpaceDE w:val="0"/>
        <w:autoSpaceDN w:val="0"/>
        <w:spacing w:after="0" w:line="276" w:lineRule="auto"/>
        <w:jc w:val="both"/>
        <w:rPr>
          <w:rFonts w:ascii="Verdana" w:eastAsia="Calibri" w:hAnsi="Verdana" w:cs="Arial"/>
          <w:shd w:val="clear" w:color="auto" w:fill="FFFFFF"/>
        </w:rPr>
      </w:pPr>
    </w:p>
    <w:p w14:paraId="30950C98" w14:textId="77777777" w:rsidR="004A09F3" w:rsidRPr="00AB18AB" w:rsidRDefault="004A09F3" w:rsidP="004A09F3">
      <w:pPr>
        <w:widowControl w:val="0"/>
        <w:autoSpaceDE w:val="0"/>
        <w:autoSpaceDN w:val="0"/>
        <w:spacing w:after="0" w:line="276" w:lineRule="auto"/>
        <w:jc w:val="both"/>
        <w:rPr>
          <w:rFonts w:ascii="Verdana" w:eastAsia="Times New Roman" w:hAnsi="Verdana" w:cs="Arial"/>
          <w:shd w:val="clear" w:color="auto" w:fill="FFFFFF"/>
          <w:lang w:val="es-ES"/>
        </w:rPr>
      </w:pPr>
      <w:r w:rsidRPr="00AB18AB">
        <w:rPr>
          <w:rFonts w:ascii="Verdana" w:eastAsia="Calibri" w:hAnsi="Verdana" w:cs="Arial"/>
          <w:shd w:val="clear" w:color="auto" w:fill="FFFFFF"/>
        </w:rPr>
        <w:t>Respecto a</w:t>
      </w:r>
      <w:r w:rsidRPr="00AB18AB">
        <w:rPr>
          <w:rFonts w:ascii="Verdana" w:eastAsia="Calibri" w:hAnsi="Verdana" w:cs="Arial"/>
          <w:shd w:val="clear" w:color="auto" w:fill="FFFFFF"/>
          <w:lang w:val="es-ES"/>
        </w:rPr>
        <w:t xml:space="preserve">l fundamento normativo de los documentos tipo en los conceptos,  </w:t>
      </w:r>
      <w:r w:rsidRPr="00AB18AB">
        <w:rPr>
          <w:rFonts w:ascii="Verdana" w:hAnsi="Verdana" w:cs="Arial"/>
          <w:shd w:val="clear" w:color="auto" w:fill="FFFFFF"/>
        </w:rPr>
        <w:t xml:space="preserve">esta Subdirección se ha pronunciado en los conceptos </w:t>
      </w:r>
      <w:r w:rsidRPr="00AB18AB">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y C-753 del 4 de enero </w:t>
      </w:r>
      <w:r w:rsidRPr="00AB18AB">
        <w:rPr>
          <w:rFonts w:ascii="Verdana" w:eastAsia="Times New Roman" w:hAnsi="Verdana" w:cs="Arial"/>
          <w:shd w:val="clear" w:color="auto" w:fill="FFFFFF"/>
          <w:lang w:val="es-ES"/>
        </w:rPr>
        <w:lastRenderedPageBreak/>
        <w:t xml:space="preserve">de 2024. </w:t>
      </w:r>
    </w:p>
    <w:p w14:paraId="6110FD95" w14:textId="77777777" w:rsidR="004A09F3" w:rsidRPr="00AB18AB" w:rsidRDefault="004A09F3" w:rsidP="004A09F3">
      <w:pPr>
        <w:widowControl w:val="0"/>
        <w:autoSpaceDE w:val="0"/>
        <w:autoSpaceDN w:val="0"/>
        <w:spacing w:after="0" w:line="276" w:lineRule="auto"/>
        <w:jc w:val="both"/>
        <w:rPr>
          <w:rFonts w:ascii="Verdana" w:eastAsia="Calibri" w:hAnsi="Verdana" w:cs="Times New Roman"/>
          <w:lang w:val="es-ES"/>
        </w:rPr>
      </w:pPr>
    </w:p>
    <w:p w14:paraId="63DD1937" w14:textId="77777777" w:rsidR="004A09F3" w:rsidRPr="00AB18AB" w:rsidRDefault="004A09F3" w:rsidP="004A09F3">
      <w:pPr>
        <w:widowControl w:val="0"/>
        <w:autoSpaceDE w:val="0"/>
        <w:autoSpaceDN w:val="0"/>
        <w:spacing w:after="0" w:line="276" w:lineRule="auto"/>
        <w:jc w:val="both"/>
        <w:rPr>
          <w:rFonts w:ascii="Verdana" w:eastAsia="Arial" w:hAnsi="Verdana" w:cs="Arial"/>
          <w:lang w:val="es-MX" w:eastAsia="es-ES"/>
        </w:rPr>
      </w:pPr>
      <w:r w:rsidRPr="00AB18A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41D35E3" w14:textId="77777777" w:rsidR="004A09F3" w:rsidRPr="00AB18AB" w:rsidRDefault="004A09F3" w:rsidP="004A09F3">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AB18AB">
          <w:rPr>
            <w:rStyle w:val="Hipervnculo"/>
            <w:rFonts w:ascii="Verdana" w:eastAsia="Calibri" w:hAnsi="Verdana" w:cs="Times New Roman"/>
            <w:lang w:val="es-ES"/>
          </w:rPr>
          <w:t>https://relatoria.colombiacompra.gov.co/busqueda/conceptos</w:t>
        </w:r>
      </w:hyperlink>
      <w:r w:rsidRPr="00AB18AB">
        <w:rPr>
          <w:rFonts w:ascii="Verdana" w:eastAsia="Calibri" w:hAnsi="Verdana" w:cs="Times New Roman"/>
        </w:rPr>
        <w:t>.</w:t>
      </w:r>
    </w:p>
    <w:p w14:paraId="5FA91650" w14:textId="77777777" w:rsidR="004A09F3" w:rsidRPr="00AB18AB" w:rsidRDefault="004A09F3" w:rsidP="004A09F3">
      <w:pPr>
        <w:widowControl w:val="0"/>
        <w:autoSpaceDE w:val="0"/>
        <w:autoSpaceDN w:val="0"/>
        <w:spacing w:after="0" w:line="276" w:lineRule="auto"/>
        <w:jc w:val="both"/>
        <w:rPr>
          <w:rFonts w:ascii="Verdana" w:hAnsi="Verdana" w:cs="Arial"/>
          <w:color w:val="000000" w:themeColor="text1"/>
          <w:shd w:val="clear" w:color="auto" w:fill="FFFFFF"/>
        </w:rPr>
      </w:pPr>
    </w:p>
    <w:p w14:paraId="74C9D486" w14:textId="77777777" w:rsidR="004A09F3" w:rsidRPr="00AB18AB" w:rsidRDefault="004A09F3" w:rsidP="004A09F3">
      <w:pPr>
        <w:widowControl w:val="0"/>
        <w:autoSpaceDE w:val="0"/>
        <w:autoSpaceDN w:val="0"/>
        <w:spacing w:after="0" w:line="276" w:lineRule="auto"/>
        <w:jc w:val="both"/>
        <w:rPr>
          <w:rFonts w:ascii="Verdana" w:hAnsi="Verdana"/>
        </w:rPr>
      </w:pPr>
      <w:r w:rsidRPr="00AB18AB">
        <w:rPr>
          <w:rFonts w:ascii="Verdana" w:hAnsi="Verdana" w:cs="Arial"/>
          <w:color w:val="000000" w:themeColor="text1"/>
          <w:shd w:val="clear" w:color="auto" w:fill="FFFFFF"/>
        </w:rPr>
        <w:t>También, te contamos que ya publicamos la nueva Guía de Contratación Pública Sostenible y Socialmente Responsable.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AB18AB">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AB18AB">
        <w:rPr>
          <w:rFonts w:ascii="Verdana" w:hAnsi="Verdana"/>
        </w:rPr>
        <w:t>.</w:t>
      </w:r>
    </w:p>
    <w:p w14:paraId="7DEB143C" w14:textId="77777777" w:rsidR="004A09F3" w:rsidRPr="00AB18AB" w:rsidRDefault="004A09F3" w:rsidP="004A09F3">
      <w:pPr>
        <w:widowControl w:val="0"/>
        <w:autoSpaceDE w:val="0"/>
        <w:autoSpaceDN w:val="0"/>
        <w:spacing w:after="0" w:line="276" w:lineRule="auto"/>
        <w:jc w:val="both"/>
        <w:rPr>
          <w:rFonts w:ascii="Verdana" w:hAnsi="Verdana"/>
        </w:rPr>
      </w:pPr>
    </w:p>
    <w:p w14:paraId="3E742FDE" w14:textId="77777777" w:rsidR="004A09F3" w:rsidRPr="00AB18AB" w:rsidRDefault="004A09F3" w:rsidP="004A09F3">
      <w:pPr>
        <w:widowControl w:val="0"/>
        <w:autoSpaceDE w:val="0"/>
        <w:autoSpaceDN w:val="0"/>
        <w:spacing w:after="0" w:line="276" w:lineRule="auto"/>
        <w:jc w:val="both"/>
        <w:rPr>
          <w:rFonts w:ascii="Verdana" w:hAnsi="Verdana" w:cs="Arial"/>
          <w:lang w:val="es-ES_tradnl"/>
        </w:rPr>
      </w:pPr>
      <w:r w:rsidRPr="00AB18AB">
        <w:rPr>
          <w:rFonts w:ascii="Verdana" w:hAnsi="Verdana" w:cs="Arial"/>
        </w:rPr>
        <w:t xml:space="preserve">Este concepto tiene el alcance previsto en el artículo 28 del Código de Procedimiento Administrativo y de lo Contencioso Administrativo </w:t>
      </w:r>
      <w:r w:rsidRPr="00AB18AB">
        <w:rPr>
          <w:rFonts w:ascii="Verdana" w:hAnsi="Verdana" w:cs="Arial"/>
          <w:lang w:val="es-ES_tradnl"/>
        </w:rPr>
        <w:t>y las expresiones aquí utilizadas con mayúscula inicial deben ser entendidas con el significado que les otorga el artículo 2.2.1.1.1.3.1. del Decreto 1082 de 2015.</w:t>
      </w:r>
    </w:p>
    <w:p w14:paraId="0A5D2B0C" w14:textId="77777777" w:rsidR="004A09F3" w:rsidRPr="00AB18AB" w:rsidRDefault="004A09F3" w:rsidP="004A09F3">
      <w:pPr>
        <w:widowControl w:val="0"/>
        <w:autoSpaceDE w:val="0"/>
        <w:autoSpaceDN w:val="0"/>
        <w:spacing w:after="0" w:line="276" w:lineRule="auto"/>
        <w:jc w:val="both"/>
        <w:rPr>
          <w:rFonts w:ascii="Verdana" w:hAnsi="Verdana" w:cs="Arial"/>
        </w:rPr>
      </w:pPr>
    </w:p>
    <w:p w14:paraId="33492535" w14:textId="77777777" w:rsidR="004A09F3" w:rsidRPr="00AB18AB" w:rsidRDefault="004A09F3" w:rsidP="004A09F3">
      <w:pPr>
        <w:spacing w:after="0" w:line="276" w:lineRule="auto"/>
        <w:jc w:val="both"/>
        <w:rPr>
          <w:rFonts w:ascii="Verdana" w:hAnsi="Verdana"/>
          <w:noProof/>
        </w:rPr>
      </w:pPr>
      <w:r w:rsidRPr="00AB18AB">
        <w:rPr>
          <w:rFonts w:ascii="Verdana" w:eastAsia="Times New Roman" w:hAnsi="Verdana" w:cs="Arial"/>
          <w:lang w:eastAsia="es-CO"/>
        </w:rPr>
        <w:t>Atentamente,</w:t>
      </w:r>
      <w:r w:rsidRPr="00AB18AB">
        <w:rPr>
          <w:rFonts w:ascii="Verdana" w:hAnsi="Verdana" w:cs="Arial"/>
          <w:lang w:eastAsia="es-CO"/>
        </w:rPr>
        <w:t xml:space="preserve"> </w:t>
      </w:r>
    </w:p>
    <w:p w14:paraId="18251E6D" w14:textId="77777777" w:rsidR="004A09F3" w:rsidRPr="00AB18AB" w:rsidRDefault="004A09F3" w:rsidP="004A09F3">
      <w:pPr>
        <w:pStyle w:val="Prrafodelista"/>
        <w:tabs>
          <w:tab w:val="left" w:pos="142"/>
          <w:tab w:val="left" w:pos="284"/>
        </w:tabs>
        <w:spacing w:after="0" w:line="276" w:lineRule="auto"/>
        <w:ind w:left="0"/>
        <w:contextualSpacing w:val="0"/>
        <w:jc w:val="both"/>
        <w:rPr>
          <w:rFonts w:ascii="Verdana" w:eastAsia="Century Gothic" w:hAnsi="Verdana" w:cs="Century Gothic"/>
        </w:rPr>
      </w:pPr>
    </w:p>
    <w:p w14:paraId="630CE99A" w14:textId="77777777" w:rsidR="004A09F3" w:rsidRPr="00AB18AB" w:rsidRDefault="004A09F3" w:rsidP="004A09F3">
      <w:pPr>
        <w:widowControl w:val="0"/>
        <w:autoSpaceDE w:val="0"/>
        <w:autoSpaceDN w:val="0"/>
        <w:spacing w:after="0" w:line="276" w:lineRule="auto"/>
        <w:jc w:val="both"/>
        <w:rPr>
          <w:rFonts w:ascii="Verdana" w:hAnsi="Verdana" w:cs="Arial"/>
        </w:rPr>
      </w:pPr>
    </w:p>
    <w:p w14:paraId="016AA705" w14:textId="6A21A7CB" w:rsidR="004A09F3" w:rsidRPr="00AB18AB" w:rsidRDefault="00C20FD9" w:rsidP="004A09F3">
      <w:pPr>
        <w:spacing w:line="276" w:lineRule="auto"/>
        <w:jc w:val="center"/>
        <w:rPr>
          <w:rFonts w:ascii="Verdana" w:hAnsi="Verdana" w:cs="Arial"/>
          <w:color w:val="000000"/>
          <w:lang w:val="es-ES_tradnl" w:eastAsia="es-CO"/>
        </w:rPr>
      </w:pPr>
      <w:r>
        <w:rPr>
          <w:noProof/>
        </w:rPr>
        <w:drawing>
          <wp:inline distT="0" distB="0" distL="0" distR="0" wp14:anchorId="282F0BB6" wp14:editId="2FE10D59">
            <wp:extent cx="3716020" cy="1602105"/>
            <wp:effectExtent l="0" t="0" r="0" b="0"/>
            <wp:docPr id="48927859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6020" cy="1602105"/>
                    </a:xfrm>
                    <a:prstGeom prst="rect">
                      <a:avLst/>
                    </a:prstGeom>
                    <a:noFill/>
                    <a:ln>
                      <a:noFill/>
                    </a:ln>
                  </pic:spPr>
                </pic:pic>
              </a:graphicData>
            </a:graphic>
          </wp:inline>
        </w:drawing>
      </w:r>
    </w:p>
    <w:p w14:paraId="739617C5" w14:textId="77777777" w:rsidR="004A09F3" w:rsidRPr="00AB18AB" w:rsidRDefault="004A09F3" w:rsidP="004A09F3">
      <w:pPr>
        <w:spacing w:after="0" w:line="276"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4A09F3" w:rsidRPr="004A09F3" w14:paraId="025F4F1B" w14:textId="77777777" w:rsidTr="00B66D77">
        <w:trPr>
          <w:trHeight w:val="315"/>
        </w:trPr>
        <w:tc>
          <w:tcPr>
            <w:tcW w:w="893" w:type="dxa"/>
            <w:vAlign w:val="center"/>
            <w:hideMark/>
          </w:tcPr>
          <w:p w14:paraId="601AE02B"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0216C3BE" w14:textId="77777777" w:rsidR="004A09F3" w:rsidRPr="004A09F3" w:rsidRDefault="004A09F3" w:rsidP="00B66D77">
            <w:pPr>
              <w:spacing w:line="276" w:lineRule="auto"/>
              <w:contextualSpacing/>
              <w:rPr>
                <w:rStyle w:val="normaltextrun"/>
                <w:rFonts w:ascii="Verdana" w:eastAsia="Arial" w:hAnsi="Verdana" w:cs="Arial"/>
                <w:sz w:val="18"/>
                <w:szCs w:val="18"/>
              </w:rPr>
            </w:pPr>
            <w:r w:rsidRPr="004A09F3">
              <w:rPr>
                <w:rStyle w:val="normaltextrun"/>
                <w:rFonts w:ascii="Verdana" w:eastAsia="Arial" w:hAnsi="Verdana" w:cs="Arial"/>
                <w:sz w:val="18"/>
                <w:szCs w:val="18"/>
              </w:rPr>
              <w:t>Andrea del Pilar Garzón Sánchez.</w:t>
            </w:r>
          </w:p>
          <w:p w14:paraId="3E5FF5A3" w14:textId="77777777" w:rsidR="004A09F3" w:rsidRPr="004A09F3" w:rsidRDefault="004A09F3" w:rsidP="00B66D77">
            <w:pPr>
              <w:spacing w:line="276" w:lineRule="auto"/>
              <w:contextualSpacing/>
              <w:rPr>
                <w:rFonts w:ascii="Verdana" w:eastAsia="Arial" w:hAnsi="Verdana" w:cs="Arial"/>
                <w:color w:val="7030A0"/>
                <w:sz w:val="18"/>
                <w:szCs w:val="18"/>
              </w:rPr>
            </w:pPr>
            <w:r w:rsidRPr="004A09F3">
              <w:rPr>
                <w:rStyle w:val="normaltextrun"/>
                <w:rFonts w:ascii="Verdana" w:eastAsia="Arial" w:hAnsi="Verdana" w:cs="Arial"/>
                <w:sz w:val="18"/>
                <w:szCs w:val="18"/>
              </w:rPr>
              <w:t>Contratista de la Subdirección de Gestión Contractual</w:t>
            </w:r>
          </w:p>
        </w:tc>
      </w:tr>
      <w:tr w:rsidR="004A09F3" w:rsidRPr="004A09F3" w14:paraId="25E17F5C" w14:textId="77777777" w:rsidTr="00B66D77">
        <w:trPr>
          <w:trHeight w:val="330"/>
        </w:trPr>
        <w:tc>
          <w:tcPr>
            <w:tcW w:w="893" w:type="dxa"/>
            <w:vAlign w:val="center"/>
            <w:hideMark/>
          </w:tcPr>
          <w:p w14:paraId="1D6A5D9B"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95CFE4" w14:textId="77777777" w:rsidR="004A09F3" w:rsidRPr="004A09F3" w:rsidRDefault="004A09F3" w:rsidP="00B66D77">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4A09F3">
              <w:rPr>
                <w:rStyle w:val="normaltextrun"/>
                <w:rFonts w:ascii="Verdana" w:hAnsi="Verdana" w:cs="Arial"/>
                <w:sz w:val="18"/>
                <w:szCs w:val="18"/>
                <w:lang w:val="es-ES"/>
              </w:rPr>
              <w:t xml:space="preserve">Diana Lucia Saavedra </w:t>
            </w:r>
          </w:p>
          <w:p w14:paraId="52551A5F" w14:textId="77777777" w:rsidR="004A09F3" w:rsidRPr="004A09F3" w:rsidRDefault="004A09F3" w:rsidP="00B66D77">
            <w:pPr>
              <w:pStyle w:val="paragraph"/>
              <w:spacing w:before="0" w:beforeAutospacing="0" w:after="0" w:afterAutospacing="0" w:line="276" w:lineRule="auto"/>
              <w:contextualSpacing/>
              <w:textAlignment w:val="baseline"/>
              <w:rPr>
                <w:rFonts w:ascii="Verdana" w:hAnsi="Verdana" w:cs="Segoe UI"/>
                <w:sz w:val="18"/>
                <w:szCs w:val="18"/>
              </w:rPr>
            </w:pPr>
            <w:r w:rsidRPr="004A09F3">
              <w:rPr>
                <w:rStyle w:val="normaltextrun"/>
                <w:rFonts w:ascii="Verdana" w:hAnsi="Verdana" w:cs="Arial"/>
                <w:sz w:val="18"/>
                <w:szCs w:val="18"/>
                <w:lang w:val="es-ES"/>
              </w:rPr>
              <w:t>Contratista de la Subdirección de Gestión Contractual</w:t>
            </w:r>
            <w:r w:rsidRPr="004A09F3">
              <w:rPr>
                <w:rStyle w:val="eop"/>
                <w:rFonts w:ascii="Verdana" w:hAnsi="Verdana" w:cs="Arial"/>
                <w:sz w:val="18"/>
                <w:szCs w:val="18"/>
              </w:rPr>
              <w:t> </w:t>
            </w:r>
          </w:p>
        </w:tc>
      </w:tr>
      <w:tr w:rsidR="004A09F3" w:rsidRPr="004A09F3" w14:paraId="582BE1E5" w14:textId="77777777" w:rsidTr="00B66D77">
        <w:trPr>
          <w:trHeight w:val="300"/>
        </w:trPr>
        <w:tc>
          <w:tcPr>
            <w:tcW w:w="893" w:type="dxa"/>
            <w:vAlign w:val="center"/>
          </w:tcPr>
          <w:p w14:paraId="56DFC5E3" w14:textId="77777777" w:rsidR="004A09F3" w:rsidRPr="004A09F3" w:rsidRDefault="004A09F3" w:rsidP="00B66D77">
            <w:pPr>
              <w:spacing w:line="276" w:lineRule="auto"/>
              <w:contextualSpacing/>
              <w:rPr>
                <w:rFonts w:ascii="Verdana" w:hAnsi="Verdana" w:cs="Arial"/>
                <w:sz w:val="18"/>
                <w:szCs w:val="18"/>
                <w:lang w:val="es-ES" w:eastAsia="es-ES"/>
              </w:rPr>
            </w:pPr>
            <w:r w:rsidRPr="004A09F3">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B76AA8" w14:textId="77777777" w:rsidR="004A09F3" w:rsidRPr="004A09F3" w:rsidRDefault="004A09F3" w:rsidP="00B66D77">
            <w:pPr>
              <w:spacing w:line="276" w:lineRule="auto"/>
              <w:contextualSpacing/>
              <w:rPr>
                <w:rFonts w:ascii="Verdana" w:eastAsia="Calibri" w:hAnsi="Verdana" w:cs="Arial"/>
                <w:sz w:val="18"/>
                <w:szCs w:val="18"/>
                <w:lang w:val="pt-BR" w:eastAsia="es-ES"/>
              </w:rPr>
            </w:pPr>
            <w:r w:rsidRPr="004A09F3">
              <w:rPr>
                <w:rFonts w:ascii="Verdana" w:eastAsia="Calibri" w:hAnsi="Verdana" w:cs="Arial"/>
                <w:sz w:val="18"/>
                <w:szCs w:val="18"/>
                <w:lang w:val="pt-BR" w:eastAsia="es-ES"/>
              </w:rPr>
              <w:t xml:space="preserve">Carolina Quintero </w:t>
            </w:r>
            <w:proofErr w:type="spellStart"/>
            <w:r w:rsidRPr="004A09F3">
              <w:rPr>
                <w:rFonts w:ascii="Verdana" w:eastAsia="Calibri" w:hAnsi="Verdana" w:cs="Arial"/>
                <w:sz w:val="18"/>
                <w:szCs w:val="18"/>
                <w:lang w:val="pt-BR" w:eastAsia="es-ES"/>
              </w:rPr>
              <w:t>Gacharná</w:t>
            </w:r>
            <w:proofErr w:type="spellEnd"/>
          </w:p>
          <w:p w14:paraId="54839D06" w14:textId="77777777" w:rsidR="004A09F3" w:rsidRPr="004A09F3" w:rsidRDefault="004A09F3" w:rsidP="00B66D77">
            <w:pPr>
              <w:spacing w:line="276" w:lineRule="auto"/>
              <w:contextualSpacing/>
              <w:rPr>
                <w:rFonts w:ascii="Verdana" w:eastAsia="Calibri" w:hAnsi="Verdana" w:cs="Arial"/>
                <w:sz w:val="18"/>
                <w:szCs w:val="18"/>
                <w:lang w:val="pt-BR" w:eastAsia="es-ES"/>
              </w:rPr>
            </w:pPr>
            <w:r w:rsidRPr="004A09F3">
              <w:rPr>
                <w:rFonts w:ascii="Verdana" w:eastAsia="Calibri" w:hAnsi="Verdana" w:cs="Arial"/>
                <w:sz w:val="18"/>
                <w:szCs w:val="18"/>
                <w:lang w:eastAsia="es-ES"/>
              </w:rPr>
              <w:t>Subdirectora</w:t>
            </w:r>
            <w:r w:rsidRPr="004A09F3">
              <w:rPr>
                <w:rFonts w:ascii="Verdana" w:eastAsia="Calibri" w:hAnsi="Verdana" w:cs="Arial"/>
                <w:sz w:val="18"/>
                <w:szCs w:val="18"/>
                <w:lang w:val="pt-BR" w:eastAsia="es-ES"/>
              </w:rPr>
              <w:t xml:space="preserve"> de Gestión </w:t>
            </w:r>
            <w:proofErr w:type="spellStart"/>
            <w:r w:rsidRPr="004A09F3">
              <w:rPr>
                <w:rFonts w:ascii="Verdana" w:eastAsia="Calibri" w:hAnsi="Verdana" w:cs="Arial"/>
                <w:sz w:val="18"/>
                <w:szCs w:val="18"/>
                <w:lang w:val="pt-BR" w:eastAsia="es-ES"/>
              </w:rPr>
              <w:t>Contractual</w:t>
            </w:r>
            <w:proofErr w:type="spellEnd"/>
            <w:r w:rsidRPr="004A09F3">
              <w:rPr>
                <w:rFonts w:ascii="Verdana" w:eastAsia="Calibri" w:hAnsi="Verdana" w:cs="Arial"/>
                <w:sz w:val="18"/>
                <w:szCs w:val="18"/>
                <w:lang w:val="pt-BR" w:eastAsia="es-ES"/>
              </w:rPr>
              <w:t xml:space="preserve"> ANCP – CCE</w:t>
            </w:r>
          </w:p>
        </w:tc>
      </w:tr>
    </w:tbl>
    <w:p w14:paraId="2685EB8E" w14:textId="77777777" w:rsidR="004A09F3" w:rsidRPr="00AB18AB" w:rsidRDefault="004A09F3" w:rsidP="004A09F3">
      <w:pPr>
        <w:spacing w:line="276" w:lineRule="auto"/>
        <w:rPr>
          <w:rFonts w:ascii="Verdana" w:hAnsi="Verdana"/>
        </w:rPr>
      </w:pPr>
    </w:p>
    <w:p w14:paraId="0465BA6D" w14:textId="77777777" w:rsidR="00E245AB" w:rsidRPr="0044528D" w:rsidRDefault="00E245AB" w:rsidP="004A09F3">
      <w:pPr>
        <w:spacing w:after="0" w:line="276" w:lineRule="auto"/>
        <w:jc w:val="both"/>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43981" w14:textId="77777777" w:rsidR="00602916" w:rsidRDefault="00602916" w:rsidP="004A1847">
      <w:pPr>
        <w:spacing w:after="0" w:line="240" w:lineRule="auto"/>
      </w:pPr>
      <w:r>
        <w:separator/>
      </w:r>
    </w:p>
  </w:endnote>
  <w:endnote w:type="continuationSeparator" w:id="0">
    <w:p w14:paraId="06CC4203" w14:textId="77777777" w:rsidR="00602916" w:rsidRDefault="0060291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Segoe UI">
    <w:panose1 w:val="020B0604020202020204"/>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rialMT">
    <w:altName w:val="Klee One"/>
    <w:panose1 w:val="020B0604020202020204"/>
    <w:charset w:val="00"/>
    <w:family w:val="auto"/>
    <w:notTrueType/>
    <w:pitch w:val="default"/>
    <w:sig w:usb0="00000003" w:usb1="00000000" w:usb2="00000000" w:usb3="00000000" w:csb0="00000001"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7C7A9" w14:textId="77777777" w:rsidR="00602916" w:rsidRDefault="00602916" w:rsidP="004A1847">
      <w:pPr>
        <w:spacing w:after="0" w:line="240" w:lineRule="auto"/>
      </w:pPr>
      <w:r>
        <w:separator/>
      </w:r>
    </w:p>
  </w:footnote>
  <w:footnote w:type="continuationSeparator" w:id="0">
    <w:p w14:paraId="4BC02D9B" w14:textId="77777777" w:rsidR="00602916" w:rsidRDefault="00602916" w:rsidP="004A1847">
      <w:pPr>
        <w:spacing w:after="0" w:line="240" w:lineRule="auto"/>
      </w:pPr>
      <w:r>
        <w:continuationSeparator/>
      </w:r>
    </w:p>
  </w:footnote>
  <w:footnote w:id="1">
    <w:p w14:paraId="204FB835" w14:textId="77777777" w:rsidR="00D32AB1" w:rsidRPr="00285AC2" w:rsidRDefault="00D32AB1" w:rsidP="00D32AB1">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2D5A942F" w14:textId="77777777" w:rsidR="00D32AB1" w:rsidRPr="00285AC2" w:rsidRDefault="00D32AB1" w:rsidP="00D32AB1">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06F39B21" w14:textId="77777777" w:rsidR="00D32AB1" w:rsidRPr="00285AC2" w:rsidRDefault="00D32AB1" w:rsidP="00D32AB1">
      <w:pPr>
        <w:pStyle w:val="Textonotapie"/>
        <w:ind w:firstLine="708"/>
        <w:jc w:val="both"/>
        <w:rPr>
          <w:rFonts w:ascii="Arial" w:hAnsi="Arial" w:cs="Arial"/>
          <w:color w:val="000000"/>
          <w:sz w:val="14"/>
          <w:szCs w:val="14"/>
          <w:lang w:val="es-CO"/>
        </w:rPr>
      </w:pPr>
    </w:p>
  </w:footnote>
  <w:footnote w:id="2">
    <w:p w14:paraId="4A93027A" w14:textId="77777777" w:rsidR="00D32AB1" w:rsidRPr="00285AC2" w:rsidRDefault="00D32AB1" w:rsidP="00D32AB1">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04D2D2B9" w14:textId="77777777" w:rsidR="00D32AB1" w:rsidRPr="00E268CA" w:rsidRDefault="00D32AB1" w:rsidP="00D32AB1">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3">
    <w:p w14:paraId="26EAB2DD"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r w:rsidRPr="00E268CA">
        <w:rPr>
          <w:rFonts w:ascii="Verdana" w:hAnsi="Verdana" w:cs="Arial"/>
          <w:bCs/>
          <w:color w:val="000000"/>
          <w:sz w:val="14"/>
          <w:szCs w:val="14"/>
        </w:rPr>
        <w:t xml:space="preserve"> “Artículo 192. Prácticas Laborales.</w:t>
      </w:r>
      <w:r w:rsidRPr="00E268CA">
        <w:rPr>
          <w:rFonts w:ascii="Verdana" w:hAnsi="Verdana" w:cs="Arial"/>
          <w:color w:val="000000"/>
          <w:sz w:val="14"/>
          <w:szCs w:val="14"/>
        </w:rPr>
        <w:t> Además de lo previsto en el artículo </w:t>
      </w:r>
      <w:hyperlink r:id="rId1"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14DC8FD8"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6C8716DA"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15848AAE"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18C8F4D4" w14:textId="77777777" w:rsidR="00D32AB1" w:rsidRPr="00E268CA" w:rsidRDefault="00D32AB1" w:rsidP="00D32AB1">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706524A8" w14:textId="77777777" w:rsidR="00D32AB1" w:rsidRPr="003C068C" w:rsidRDefault="00D32AB1" w:rsidP="00D32AB1">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 w:id="4">
    <w:p w14:paraId="3812336B" w14:textId="77777777" w:rsidR="001D4139" w:rsidRPr="00212B4E" w:rsidRDefault="001D4139" w:rsidP="00212B4E">
      <w:pPr>
        <w:pStyle w:val="Textonotapie"/>
        <w:ind w:firstLine="709"/>
        <w:rPr>
          <w:rFonts w:ascii="Verdana" w:hAnsi="Verdana"/>
          <w:sz w:val="16"/>
          <w:szCs w:val="16"/>
        </w:rPr>
      </w:pPr>
      <w:r w:rsidRPr="00212B4E">
        <w:rPr>
          <w:rStyle w:val="Refdenotaalpie"/>
          <w:rFonts w:ascii="Verdana" w:hAnsi="Verdana"/>
          <w:sz w:val="16"/>
          <w:szCs w:val="16"/>
        </w:rPr>
        <w:footnoteRef/>
      </w:r>
      <w:r w:rsidRPr="00212B4E">
        <w:rPr>
          <w:rFonts w:ascii="Verdana" w:hAnsi="Verdana"/>
          <w:sz w:val="16"/>
          <w:szCs w:val="16"/>
        </w:rPr>
        <w:t xml:space="preserve"> En </w:t>
      </w:r>
      <w:hyperlink r:id="rId2" w:history="1">
        <w:r w:rsidRPr="00212B4E">
          <w:rPr>
            <w:rStyle w:val="Hipervnculo"/>
            <w:rFonts w:ascii="Verdana" w:hAnsi="Verdana"/>
            <w:sz w:val="16"/>
            <w:szCs w:val="16"/>
            <w:lang w:val="es-CO"/>
          </w:rPr>
          <w:t>cce-eicp-ma-04._manual_requisitos_habilitantes_v3_29-09-2023.pdf</w:t>
        </w:r>
      </w:hyperlink>
    </w:p>
    <w:p w14:paraId="2D4B5568" w14:textId="77777777" w:rsidR="001D4139" w:rsidRPr="00212B4E" w:rsidRDefault="001D4139" w:rsidP="00212B4E">
      <w:pPr>
        <w:pStyle w:val="Textonotapie"/>
        <w:ind w:firstLine="709"/>
        <w:rPr>
          <w:rFonts w:ascii="Verdana" w:hAnsi="Verdana"/>
          <w:sz w:val="16"/>
          <w:szCs w:val="16"/>
        </w:rPr>
      </w:pPr>
    </w:p>
  </w:footnote>
  <w:footnote w:id="5">
    <w:p w14:paraId="3E183FD6" w14:textId="77777777" w:rsidR="001D4139" w:rsidRPr="00212B4E" w:rsidRDefault="001D4139" w:rsidP="00212B4E">
      <w:pPr>
        <w:pStyle w:val="Textonotapie"/>
        <w:ind w:firstLine="708"/>
        <w:jc w:val="both"/>
        <w:rPr>
          <w:rFonts w:ascii="Verdana" w:hAnsi="Verdana" w:cs="Arial"/>
          <w:sz w:val="16"/>
          <w:szCs w:val="16"/>
        </w:rPr>
      </w:pPr>
      <w:r w:rsidRPr="00212B4E">
        <w:rPr>
          <w:rStyle w:val="Refdenotaalpie"/>
          <w:rFonts w:ascii="Verdana" w:hAnsi="Verdana" w:cs="Arial"/>
          <w:sz w:val="16"/>
          <w:szCs w:val="16"/>
        </w:rPr>
        <w:footnoteRef/>
      </w:r>
      <w:r w:rsidRPr="00212B4E">
        <w:rPr>
          <w:rFonts w:ascii="Verdana" w:hAnsi="Verdana" w:cs="Arial"/>
          <w:sz w:val="16"/>
          <w:szCs w:val="16"/>
        </w:rPr>
        <w:t xml:space="preserve"> Colombia Compra Eficiente, Manual para determinar y verificar requisitos habilitantes en los procesos de contratación: </w:t>
      </w:r>
    </w:p>
    <w:p w14:paraId="4355D267"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w:t>
      </w:r>
    </w:p>
    <w:p w14:paraId="4E759534"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0FE9D94A"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1941A6DB" w14:textId="77777777" w:rsidR="001D4139" w:rsidRPr="00212B4E" w:rsidRDefault="001D4139" w:rsidP="00212B4E">
      <w:pPr>
        <w:pStyle w:val="Textonotapie"/>
        <w:ind w:firstLine="708"/>
        <w:jc w:val="both"/>
        <w:rPr>
          <w:rFonts w:ascii="Verdana" w:hAnsi="Verdana" w:cs="Arial"/>
          <w:sz w:val="16"/>
          <w:szCs w:val="16"/>
        </w:rPr>
      </w:pPr>
      <w:r w:rsidRPr="00212B4E">
        <w:rPr>
          <w:rFonts w:ascii="Verdana" w:hAnsi="Verdana" w:cs="Arial"/>
          <w:sz w:val="16"/>
          <w:szCs w:val="16"/>
        </w:rPr>
        <w:t>[...]”.</w:t>
      </w:r>
    </w:p>
    <w:p w14:paraId="06AAD12A" w14:textId="77777777" w:rsidR="001D4139" w:rsidRPr="00212B4E" w:rsidRDefault="001D4139" w:rsidP="00212B4E">
      <w:pPr>
        <w:pStyle w:val="Textonotapie"/>
        <w:ind w:firstLine="708"/>
        <w:jc w:val="both"/>
        <w:rPr>
          <w:rFonts w:ascii="Verdana" w:hAnsi="Verdana" w:cs="Arial"/>
          <w:sz w:val="16"/>
          <w:szCs w:val="16"/>
        </w:rPr>
      </w:pPr>
    </w:p>
  </w:footnote>
  <w:footnote w:id="6">
    <w:p w14:paraId="6226F52C"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vertAlign w:val="superscript"/>
          <w:lang w:val="es-ES_tradnl" w:eastAsia="es-ES_tradnl"/>
        </w:rPr>
        <w:t xml:space="preserve"> </w:t>
      </w:r>
      <w:r w:rsidRPr="00C91AF4">
        <w:rPr>
          <w:rFonts w:ascii="Verdana" w:eastAsia="Calibri" w:hAnsi="Verdana" w:cs="Arial"/>
          <w:color w:val="000000"/>
          <w:sz w:val="16"/>
          <w:szCs w:val="16"/>
          <w:lang w:val="es-ES_tradnl" w:eastAsia="es-ES_tradnl"/>
        </w:rPr>
        <w:t>Para la realización de los respectivos análisis del sector de los Procesos de Contratación, esta Agencia recomienda tener en cuenta la última modificación de la “Guía de Elaboración de Estudios del Sector”, que puede ser consultada en el siguiente enlace:</w:t>
      </w:r>
      <w:r w:rsidRPr="00C91AF4">
        <w:rPr>
          <w:rFonts w:ascii="Verdana" w:hAnsi="Verdana"/>
          <w:sz w:val="16"/>
          <w:szCs w:val="16"/>
        </w:rPr>
        <w:t xml:space="preserve"> </w:t>
      </w:r>
      <w:hyperlink r:id="rId3" w:history="1">
        <w:r w:rsidRPr="00C91AF4">
          <w:rPr>
            <w:rStyle w:val="Hipervnculo"/>
            <w:rFonts w:ascii="Verdana" w:eastAsia="Calibri" w:hAnsi="Verdana" w:cs="Arial"/>
            <w:sz w:val="16"/>
            <w:szCs w:val="16"/>
            <w:lang w:val="es-ES_tradnl" w:eastAsia="es-ES_tradnl"/>
          </w:rPr>
          <w:t>https://www.colombiacompra.gov.co/manuales-guias-y-pliegos-tipo/manuales-y-guias</w:t>
        </w:r>
      </w:hyperlink>
      <w:r w:rsidRPr="00C91AF4">
        <w:rPr>
          <w:rFonts w:ascii="Verdana" w:eastAsia="Calibri" w:hAnsi="Verdana" w:cs="Arial"/>
          <w:color w:val="000000"/>
          <w:sz w:val="16"/>
          <w:szCs w:val="16"/>
          <w:lang w:val="es-ES_tradnl" w:eastAsia="es-ES_tradnl"/>
        </w:rPr>
        <w:t>.</w:t>
      </w:r>
    </w:p>
    <w:p w14:paraId="0B988CAD"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p>
  </w:footnote>
  <w:footnote w:id="7">
    <w:p w14:paraId="76598DB4"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r w:rsidRPr="00C91AF4">
        <w:rPr>
          <w:rFonts w:ascii="Verdana" w:eastAsia="Calibri" w:hAnsi="Verdana" w:cs="Arial"/>
          <w:color w:val="000000"/>
          <w:sz w:val="16"/>
          <w:szCs w:val="16"/>
          <w:vertAlign w:val="superscript"/>
          <w:lang w:val="es-ES_tradnl" w:eastAsia="es-ES_tradnl"/>
        </w:rPr>
        <w:footnoteRef/>
      </w:r>
      <w:r w:rsidRPr="00C91AF4">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49E2FD2" w14:textId="77777777" w:rsidR="004A09F3" w:rsidRPr="00C91AF4" w:rsidRDefault="004A09F3" w:rsidP="004A09F3">
      <w:pPr>
        <w:pStyle w:val="Textonotapie"/>
        <w:ind w:firstLine="709"/>
        <w:contextualSpacing/>
        <w:jc w:val="both"/>
        <w:rPr>
          <w:rFonts w:ascii="Verdana" w:eastAsia="Calibri" w:hAnsi="Verdana" w:cs="Arial"/>
          <w:color w:val="000000"/>
          <w:sz w:val="16"/>
          <w:szCs w:val="16"/>
          <w:lang w:val="es-ES_tradnl" w:eastAsia="es-ES_tradnl"/>
        </w:rPr>
      </w:pPr>
    </w:p>
  </w:footnote>
  <w:footnote w:id="8">
    <w:p w14:paraId="300F9B5F" w14:textId="77777777" w:rsidR="00C021AF" w:rsidRPr="00285AC2" w:rsidRDefault="00C021AF" w:rsidP="00C021AF">
      <w:pPr>
        <w:ind w:right="51" w:firstLine="708"/>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Decreto 019 de 2012: “Artículo 229. Experiencia profesional. Para el ejercicio de las diferentes profesiones acreditadas por el Ministerio de Educación Nacional, la experiencia profesional se computará a partir de la terminación y aprobación del pensum académico de educación superior.</w:t>
      </w:r>
    </w:p>
    <w:p w14:paraId="61C84AD3" w14:textId="77777777" w:rsidR="00C021AF" w:rsidRPr="00285AC2" w:rsidRDefault="00C021AF" w:rsidP="00C021AF">
      <w:pPr>
        <w:ind w:right="51" w:firstLine="708"/>
        <w:jc w:val="both"/>
        <w:rPr>
          <w:rFonts w:ascii="Verdana" w:eastAsia="Calibri" w:hAnsi="Verdana" w:cs="Arial"/>
          <w:color w:val="000000"/>
          <w:sz w:val="14"/>
          <w:szCs w:val="14"/>
        </w:rPr>
      </w:pPr>
      <w:r w:rsidRPr="00285AC2">
        <w:rPr>
          <w:rFonts w:ascii="Verdana" w:eastAsia="Calibri" w:hAnsi="Verdana" w:cs="Arial"/>
          <w:color w:val="000000"/>
          <w:sz w:val="14"/>
          <w:szCs w:val="14"/>
        </w:rPr>
        <w:t>“Se exceptúan de esta condición las profesiones relacionadas con el sistema de seguridad social en salud en las cuales la experiencia profesional se computará a partir de la inscripción o registro profesional”.</w:t>
      </w:r>
    </w:p>
    <w:p w14:paraId="5BEB6D26" w14:textId="77777777" w:rsidR="00C021AF" w:rsidRPr="00285AC2" w:rsidRDefault="00C021AF" w:rsidP="00C021AF">
      <w:pPr>
        <w:pStyle w:val="Textonotapie"/>
        <w:ind w:firstLine="708"/>
        <w:jc w:val="both"/>
        <w:rPr>
          <w:rFonts w:ascii="Arial" w:hAnsi="Arial" w:cs="Arial"/>
          <w:color w:val="000000"/>
          <w:sz w:val="14"/>
          <w:szCs w:val="14"/>
          <w:lang w:val="es-CO"/>
        </w:rPr>
      </w:pPr>
    </w:p>
  </w:footnote>
  <w:footnote w:id="9">
    <w:p w14:paraId="71C7253E" w14:textId="77777777" w:rsidR="00C021AF" w:rsidRPr="00285AC2" w:rsidRDefault="00C021AF" w:rsidP="00C021AF">
      <w:pPr>
        <w:spacing w:after="0"/>
        <w:ind w:firstLine="709"/>
        <w:jc w:val="both"/>
        <w:rPr>
          <w:rFonts w:ascii="Verdana" w:eastAsia="Calibri" w:hAnsi="Verdana" w:cs="Arial"/>
          <w:color w:val="000000"/>
          <w:sz w:val="14"/>
          <w:szCs w:val="14"/>
        </w:rPr>
      </w:pPr>
      <w:r w:rsidRPr="00285AC2">
        <w:rPr>
          <w:rStyle w:val="Refdenotaalpie"/>
          <w:rFonts w:ascii="Verdana" w:hAnsi="Verdana" w:cs="Arial"/>
          <w:color w:val="000000"/>
          <w:sz w:val="14"/>
          <w:szCs w:val="14"/>
        </w:rPr>
        <w:footnoteRef/>
      </w:r>
      <w:r w:rsidRPr="00285AC2">
        <w:rPr>
          <w:rFonts w:ascii="Verdana" w:hAnsi="Verdana" w:cs="Arial"/>
          <w:color w:val="000000"/>
          <w:sz w:val="14"/>
          <w:szCs w:val="14"/>
        </w:rPr>
        <w:t xml:space="preserve"> </w:t>
      </w:r>
      <w:r w:rsidRPr="00285AC2">
        <w:rPr>
          <w:rFonts w:ascii="Verdana" w:eastAsia="Calibri" w:hAnsi="Verdana" w:cs="Arial"/>
          <w:color w:val="000000"/>
          <w:sz w:val="14"/>
          <w:szCs w:val="14"/>
        </w:rPr>
        <w:t>Ley 1780 de 2016: “Artículo 15. Naturaleza, definición y reglamentación de la práctica laboral.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7FEC9E93" w14:textId="77777777" w:rsidR="00C021AF" w:rsidRPr="00E268CA" w:rsidRDefault="00C021AF" w:rsidP="00C021AF">
      <w:pPr>
        <w:spacing w:after="0"/>
        <w:ind w:firstLine="709"/>
        <w:jc w:val="both"/>
        <w:rPr>
          <w:rFonts w:ascii="Verdana" w:hAnsi="Verdana" w:cs="Arial"/>
          <w:color w:val="000000"/>
          <w:sz w:val="14"/>
          <w:szCs w:val="14"/>
        </w:rPr>
      </w:pPr>
      <w:r w:rsidRPr="00285AC2">
        <w:rPr>
          <w:rFonts w:ascii="Verdana" w:eastAsia="Calibri" w:hAnsi="Verdana" w:cs="Arial"/>
          <w:color w:val="000000"/>
          <w:sz w:val="14"/>
          <w:szCs w:val="14"/>
        </w:rPr>
        <w:t>“Por tratarse de una actividad formativa, la práctica laboral no constituye relación de trabajo”.</w:t>
      </w:r>
    </w:p>
  </w:footnote>
  <w:footnote w:id="10">
    <w:p w14:paraId="338C72B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Refdenotaalpie"/>
          <w:rFonts w:ascii="Verdana" w:hAnsi="Verdana" w:cs="Arial"/>
          <w:color w:val="000000"/>
          <w:sz w:val="14"/>
          <w:szCs w:val="14"/>
        </w:rPr>
        <w:footnoteRef/>
      </w:r>
      <w:bookmarkStart w:id="1" w:name="192"/>
      <w:r w:rsidRPr="00E268CA">
        <w:rPr>
          <w:rFonts w:ascii="Verdana" w:hAnsi="Verdana" w:cs="Arial"/>
          <w:bCs/>
          <w:color w:val="000000"/>
          <w:sz w:val="14"/>
          <w:szCs w:val="14"/>
        </w:rPr>
        <w:t xml:space="preserve"> “Artículo 192. Prácticas Laborales.</w:t>
      </w:r>
      <w:bookmarkEnd w:id="1"/>
      <w:r w:rsidRPr="00E268CA">
        <w:rPr>
          <w:rFonts w:ascii="Verdana" w:hAnsi="Verdana" w:cs="Arial"/>
          <w:color w:val="000000"/>
          <w:sz w:val="14"/>
          <w:szCs w:val="14"/>
        </w:rPr>
        <w:t> Además de lo previsto en el artículo </w:t>
      </w:r>
      <w:hyperlink r:id="rId4" w:anchor="15" w:history="1">
        <w:r w:rsidRPr="00E268CA">
          <w:rPr>
            <w:rStyle w:val="Hipervnculo"/>
            <w:rFonts w:ascii="Verdana" w:eastAsiaTheme="majorEastAsia" w:hAnsi="Verdana" w:cs="Arial"/>
            <w:color w:val="000000"/>
            <w:sz w:val="14"/>
            <w:szCs w:val="14"/>
          </w:rPr>
          <w:t>15</w:t>
        </w:r>
      </w:hyperlink>
      <w:r w:rsidRPr="00E268CA">
        <w:rPr>
          <w:rFonts w:ascii="Verdana" w:hAnsi="Verdana" w:cs="Arial"/>
          <w:color w:val="000000"/>
          <w:sz w:val="14"/>
          <w:szCs w:val="14"/>
        </w:rPr>
        <w:t xml:space="preserve"> de la Ley 1780 de 2016, las prácticas laborales podrán desarrollarse por estudiantes de educación superior de posgrado, de educación para el trabajo y desarrollo humano, de formación profesional integral del SENA, así como de toda la oferta de formación por competencias. </w:t>
      </w:r>
    </w:p>
    <w:p w14:paraId="2E191C4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1o.</w:t>
      </w:r>
      <w:r w:rsidRPr="00E268CA">
        <w:rPr>
          <w:rFonts w:ascii="Verdana" w:hAnsi="Verdana" w:cs="Arial"/>
          <w:color w:val="000000"/>
          <w:sz w:val="14"/>
          <w:szCs w:val="14"/>
        </w:rPr>
        <w:t> El tiempo de la práctica laboral que el estudiante realice para optar a su título de profesional, tecnológico o técnico cuenta como experiencia laboral, sin perjuicio de las disposiciones vigentes en la materia.</w:t>
      </w:r>
    </w:p>
    <w:p w14:paraId="145E0B03"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2o.</w:t>
      </w:r>
      <w:r w:rsidRPr="00E268CA">
        <w:rPr>
          <w:rFonts w:ascii="Verdana" w:hAnsi="Verdana" w:cs="Arial"/>
          <w:color w:val="000000"/>
          <w:sz w:val="14"/>
          <w:szCs w:val="14"/>
        </w:rPr>
        <w:t xml:space="preserve"> Las prácticas laborales realizadas durante los veinticuatro (24) meses anteriores a la entrada en vigencia de la presente Ley, serán tenidas en cuenta al momento de contabilizar el tiempo de experiencia laboral. </w:t>
      </w:r>
    </w:p>
    <w:p w14:paraId="76D92F4E"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Style w:val="baj"/>
          <w:rFonts w:ascii="Verdana" w:hAnsi="Verdana" w:cs="Arial"/>
          <w:bCs/>
          <w:color w:val="000000"/>
          <w:sz w:val="14"/>
          <w:szCs w:val="14"/>
        </w:rPr>
        <w:t>“PARÁGRAFO 3o.</w:t>
      </w:r>
      <w:r w:rsidRPr="00E268CA">
        <w:rPr>
          <w:rFonts w:ascii="Verdana" w:hAnsi="Verdana" w:cs="Arial"/>
          <w:color w:val="000000"/>
          <w:sz w:val="14"/>
          <w:szCs w:val="14"/>
        </w:rPr>
        <w:t> Se exceptúan de lo dispuesto en el presente artículo, los estudiantes de posgrado del sector salud.</w:t>
      </w:r>
    </w:p>
    <w:p w14:paraId="04F8AC8A" w14:textId="77777777" w:rsidR="00C021AF" w:rsidRPr="00E268CA" w:rsidRDefault="00C021AF" w:rsidP="00C021AF">
      <w:pPr>
        <w:pStyle w:val="NormalWeb"/>
        <w:spacing w:after="0" w:afterAutospacing="0"/>
        <w:ind w:firstLine="709"/>
        <w:jc w:val="both"/>
        <w:rPr>
          <w:rFonts w:ascii="Verdana" w:hAnsi="Verdana" w:cs="Arial"/>
          <w:color w:val="000000"/>
          <w:sz w:val="14"/>
          <w:szCs w:val="14"/>
        </w:rPr>
      </w:pPr>
      <w:r w:rsidRPr="00E268CA">
        <w:rPr>
          <w:rFonts w:ascii="Verdana" w:hAnsi="Verdana" w:cs="Arial"/>
          <w:color w:val="000000"/>
          <w:sz w:val="14"/>
          <w:szCs w:val="14"/>
        </w:rPr>
        <w:t>“</w:t>
      </w:r>
      <w:r w:rsidRPr="00E268CA">
        <w:rPr>
          <w:rStyle w:val="baj"/>
          <w:rFonts w:ascii="Verdana" w:hAnsi="Verdana" w:cs="Arial"/>
          <w:bCs/>
          <w:color w:val="000000"/>
          <w:sz w:val="14"/>
          <w:szCs w:val="14"/>
        </w:rPr>
        <w:t>PARÁGRAFO 4o</w:t>
      </w:r>
      <w:r w:rsidRPr="00E268CA">
        <w:rPr>
          <w:rStyle w:val="baj"/>
          <w:rFonts w:ascii="Verdana" w:hAnsi="Verdana" w:cs="Arial"/>
          <w:b/>
          <w:bCs/>
          <w:color w:val="000000"/>
          <w:sz w:val="14"/>
          <w:szCs w:val="14"/>
        </w:rPr>
        <w:t>.</w:t>
      </w:r>
      <w:r w:rsidRPr="00E268CA">
        <w:rPr>
          <w:rFonts w:ascii="Verdana" w:hAnsi="Verdana" w:cs="Arial"/>
          <w:color w:val="000000"/>
          <w:sz w:val="14"/>
          <w:szCs w:val="14"/>
        </w:rPr>
        <w:t> En el sector público se generarán oportunidades de prácticas laborales para estudiantes de administración pública”.</w:t>
      </w:r>
    </w:p>
    <w:p w14:paraId="52FFDE82" w14:textId="77777777" w:rsidR="00C021AF" w:rsidRPr="003C068C" w:rsidRDefault="00C021AF" w:rsidP="00C021AF">
      <w:pPr>
        <w:pStyle w:val="Textonotapie"/>
        <w:ind w:firstLine="709"/>
        <w:jc w:val="both"/>
        <w:rPr>
          <w:rFonts w:ascii="Arial" w:hAnsi="Arial" w:cs="Arial"/>
          <w:color w:val="000000"/>
          <w:sz w:val="19"/>
          <w:szCs w:val="19"/>
          <w:lang w:val="es-CO"/>
        </w:rPr>
      </w:pPr>
      <w:r w:rsidRPr="003C068C">
        <w:rPr>
          <w:rFonts w:ascii="Arial" w:hAnsi="Arial" w:cs="Arial"/>
          <w:color w:val="000000"/>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9"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FC877C5"/>
    <w:multiLevelType w:val="hybridMultilevel"/>
    <w:tmpl w:val="49F24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3212816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E2B"/>
    <w:rsid w:val="00025D44"/>
    <w:rsid w:val="00046945"/>
    <w:rsid w:val="00061B2A"/>
    <w:rsid w:val="00082362"/>
    <w:rsid w:val="000A683E"/>
    <w:rsid w:val="000B19B9"/>
    <w:rsid w:val="000D0334"/>
    <w:rsid w:val="000D450D"/>
    <w:rsid w:val="000D6794"/>
    <w:rsid w:val="000F6486"/>
    <w:rsid w:val="00123495"/>
    <w:rsid w:val="00125105"/>
    <w:rsid w:val="00127233"/>
    <w:rsid w:val="001379D1"/>
    <w:rsid w:val="0016136C"/>
    <w:rsid w:val="00166738"/>
    <w:rsid w:val="001D4139"/>
    <w:rsid w:val="001E4177"/>
    <w:rsid w:val="001F7DC6"/>
    <w:rsid w:val="00212B4E"/>
    <w:rsid w:val="0023512F"/>
    <w:rsid w:val="002421BB"/>
    <w:rsid w:val="0025796E"/>
    <w:rsid w:val="002639E2"/>
    <w:rsid w:val="002707A2"/>
    <w:rsid w:val="00273C90"/>
    <w:rsid w:val="002951A0"/>
    <w:rsid w:val="002962BC"/>
    <w:rsid w:val="002A093D"/>
    <w:rsid w:val="002A0DD0"/>
    <w:rsid w:val="002A49AC"/>
    <w:rsid w:val="002A64FD"/>
    <w:rsid w:val="002C7A84"/>
    <w:rsid w:val="002E4FD9"/>
    <w:rsid w:val="003063F3"/>
    <w:rsid w:val="00322A85"/>
    <w:rsid w:val="00324168"/>
    <w:rsid w:val="00331F32"/>
    <w:rsid w:val="00336AD2"/>
    <w:rsid w:val="003448F4"/>
    <w:rsid w:val="00374F5E"/>
    <w:rsid w:val="00377E3E"/>
    <w:rsid w:val="003A418F"/>
    <w:rsid w:val="003A779E"/>
    <w:rsid w:val="003A7C4A"/>
    <w:rsid w:val="003D0F4D"/>
    <w:rsid w:val="003D5B0D"/>
    <w:rsid w:val="003E0499"/>
    <w:rsid w:val="003F3941"/>
    <w:rsid w:val="00406575"/>
    <w:rsid w:val="00414C74"/>
    <w:rsid w:val="0042722E"/>
    <w:rsid w:val="0044528D"/>
    <w:rsid w:val="00453ABC"/>
    <w:rsid w:val="004A09F3"/>
    <w:rsid w:val="004A1847"/>
    <w:rsid w:val="004A305D"/>
    <w:rsid w:val="004D4AE7"/>
    <w:rsid w:val="004F21C4"/>
    <w:rsid w:val="004F685F"/>
    <w:rsid w:val="00504015"/>
    <w:rsid w:val="005454D9"/>
    <w:rsid w:val="005566E8"/>
    <w:rsid w:val="00574867"/>
    <w:rsid w:val="00577B15"/>
    <w:rsid w:val="00591460"/>
    <w:rsid w:val="005C3777"/>
    <w:rsid w:val="005C5CDC"/>
    <w:rsid w:val="005D476C"/>
    <w:rsid w:val="00602916"/>
    <w:rsid w:val="006150B3"/>
    <w:rsid w:val="00615487"/>
    <w:rsid w:val="006219F8"/>
    <w:rsid w:val="006302F7"/>
    <w:rsid w:val="006316C2"/>
    <w:rsid w:val="00661ADD"/>
    <w:rsid w:val="00665D70"/>
    <w:rsid w:val="006900D9"/>
    <w:rsid w:val="006A760C"/>
    <w:rsid w:val="006B276E"/>
    <w:rsid w:val="006D77F4"/>
    <w:rsid w:val="00704E75"/>
    <w:rsid w:val="00706C16"/>
    <w:rsid w:val="00716711"/>
    <w:rsid w:val="00756841"/>
    <w:rsid w:val="007649AB"/>
    <w:rsid w:val="00771D0C"/>
    <w:rsid w:val="007833AC"/>
    <w:rsid w:val="007B268C"/>
    <w:rsid w:val="007B7171"/>
    <w:rsid w:val="007C0C0F"/>
    <w:rsid w:val="007C3DC2"/>
    <w:rsid w:val="007C4002"/>
    <w:rsid w:val="007E3DA3"/>
    <w:rsid w:val="007E5497"/>
    <w:rsid w:val="00806F5F"/>
    <w:rsid w:val="00811AD6"/>
    <w:rsid w:val="00820278"/>
    <w:rsid w:val="00867F95"/>
    <w:rsid w:val="008843B6"/>
    <w:rsid w:val="00891928"/>
    <w:rsid w:val="00897A3A"/>
    <w:rsid w:val="008A446D"/>
    <w:rsid w:val="008D180B"/>
    <w:rsid w:val="008F0EA7"/>
    <w:rsid w:val="00923EEF"/>
    <w:rsid w:val="00927E7B"/>
    <w:rsid w:val="00935D06"/>
    <w:rsid w:val="009379C8"/>
    <w:rsid w:val="00937B48"/>
    <w:rsid w:val="009419F9"/>
    <w:rsid w:val="0095685E"/>
    <w:rsid w:val="00961B09"/>
    <w:rsid w:val="00965334"/>
    <w:rsid w:val="0097093E"/>
    <w:rsid w:val="009723A2"/>
    <w:rsid w:val="009A0DFA"/>
    <w:rsid w:val="009B25A8"/>
    <w:rsid w:val="009B2D26"/>
    <w:rsid w:val="009C71FA"/>
    <w:rsid w:val="009C72E7"/>
    <w:rsid w:val="009D3058"/>
    <w:rsid w:val="009F3A13"/>
    <w:rsid w:val="00A05DF1"/>
    <w:rsid w:val="00A122D3"/>
    <w:rsid w:val="00A17F13"/>
    <w:rsid w:val="00A20739"/>
    <w:rsid w:val="00A32295"/>
    <w:rsid w:val="00A33C78"/>
    <w:rsid w:val="00A76954"/>
    <w:rsid w:val="00A87617"/>
    <w:rsid w:val="00AB0ADB"/>
    <w:rsid w:val="00AC1B5D"/>
    <w:rsid w:val="00AC40AB"/>
    <w:rsid w:val="00AE4C1A"/>
    <w:rsid w:val="00B00C0E"/>
    <w:rsid w:val="00B01B1A"/>
    <w:rsid w:val="00B05797"/>
    <w:rsid w:val="00B16454"/>
    <w:rsid w:val="00B26F64"/>
    <w:rsid w:val="00B309F8"/>
    <w:rsid w:val="00B33C8A"/>
    <w:rsid w:val="00B3751B"/>
    <w:rsid w:val="00B44A47"/>
    <w:rsid w:val="00B72CD3"/>
    <w:rsid w:val="00B72FFF"/>
    <w:rsid w:val="00BA201F"/>
    <w:rsid w:val="00BA7DDD"/>
    <w:rsid w:val="00BC3D36"/>
    <w:rsid w:val="00BD7F72"/>
    <w:rsid w:val="00C021AF"/>
    <w:rsid w:val="00C04FB3"/>
    <w:rsid w:val="00C20FD9"/>
    <w:rsid w:val="00C252B4"/>
    <w:rsid w:val="00C330EB"/>
    <w:rsid w:val="00C3492E"/>
    <w:rsid w:val="00C45D08"/>
    <w:rsid w:val="00C62545"/>
    <w:rsid w:val="00C754BE"/>
    <w:rsid w:val="00C76B1C"/>
    <w:rsid w:val="00C94503"/>
    <w:rsid w:val="00CB6357"/>
    <w:rsid w:val="00CC1B26"/>
    <w:rsid w:val="00CD440A"/>
    <w:rsid w:val="00CD71DB"/>
    <w:rsid w:val="00D32AB1"/>
    <w:rsid w:val="00D423A2"/>
    <w:rsid w:val="00D520D8"/>
    <w:rsid w:val="00D63AC2"/>
    <w:rsid w:val="00D7383B"/>
    <w:rsid w:val="00D7773C"/>
    <w:rsid w:val="00D84DF6"/>
    <w:rsid w:val="00D909F3"/>
    <w:rsid w:val="00DA231B"/>
    <w:rsid w:val="00DC39FC"/>
    <w:rsid w:val="00DF5254"/>
    <w:rsid w:val="00E02186"/>
    <w:rsid w:val="00E03DA1"/>
    <w:rsid w:val="00E16408"/>
    <w:rsid w:val="00E20894"/>
    <w:rsid w:val="00E245AB"/>
    <w:rsid w:val="00E2764C"/>
    <w:rsid w:val="00E27F2E"/>
    <w:rsid w:val="00E35BB8"/>
    <w:rsid w:val="00E50AFE"/>
    <w:rsid w:val="00E75C92"/>
    <w:rsid w:val="00E771DC"/>
    <w:rsid w:val="00E8772A"/>
    <w:rsid w:val="00E90F6B"/>
    <w:rsid w:val="00E92C27"/>
    <w:rsid w:val="00EA0E3D"/>
    <w:rsid w:val="00EC38A7"/>
    <w:rsid w:val="00EC68DE"/>
    <w:rsid w:val="00EE1AA8"/>
    <w:rsid w:val="00F31EDC"/>
    <w:rsid w:val="00F336B5"/>
    <w:rsid w:val="00F4212C"/>
    <w:rsid w:val="00F462B3"/>
    <w:rsid w:val="00F5664F"/>
    <w:rsid w:val="00F62AB6"/>
    <w:rsid w:val="00F666C4"/>
    <w:rsid w:val="00F76AFC"/>
    <w:rsid w:val="00F8047B"/>
    <w:rsid w:val="00FA47C0"/>
    <w:rsid w:val="00FB5DD1"/>
    <w:rsid w:val="00FC2B5D"/>
    <w:rsid w:val="00FD2FF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D413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D4139"/>
    <w:rPr>
      <w:rFonts w:ascii="Geomanist Light" w:hAnsi="Geomanist Light"/>
      <w:lang w:val="es-ES"/>
    </w:rPr>
  </w:style>
  <w:style w:type="character" w:customStyle="1" w:styleId="citation-222">
    <w:name w:val="citation-222"/>
    <w:basedOn w:val="Fuentedeprrafopredeter"/>
    <w:rsid w:val="001D4139"/>
  </w:style>
  <w:style w:type="character" w:styleId="Refdecomentario">
    <w:name w:val="annotation reference"/>
    <w:basedOn w:val="Fuentedeprrafopredeter"/>
    <w:uiPriority w:val="99"/>
    <w:semiHidden/>
    <w:unhideWhenUsed/>
    <w:rsid w:val="004D4AE7"/>
    <w:rPr>
      <w:sz w:val="16"/>
      <w:szCs w:val="16"/>
    </w:rPr>
  </w:style>
  <w:style w:type="paragraph" w:styleId="Textocomentario">
    <w:name w:val="annotation text"/>
    <w:basedOn w:val="Normal"/>
    <w:link w:val="TextocomentarioCar"/>
    <w:uiPriority w:val="99"/>
    <w:unhideWhenUsed/>
    <w:rsid w:val="004D4AE7"/>
    <w:pPr>
      <w:spacing w:line="240" w:lineRule="auto"/>
    </w:pPr>
    <w:rPr>
      <w:sz w:val="20"/>
      <w:szCs w:val="20"/>
    </w:rPr>
  </w:style>
  <w:style w:type="character" w:customStyle="1" w:styleId="TextocomentarioCar">
    <w:name w:val="Texto comentario Car"/>
    <w:basedOn w:val="Fuentedeprrafopredeter"/>
    <w:link w:val="Textocomentario"/>
    <w:uiPriority w:val="99"/>
    <w:rsid w:val="004D4AE7"/>
    <w:rPr>
      <w:sz w:val="20"/>
      <w:szCs w:val="20"/>
    </w:rPr>
  </w:style>
  <w:style w:type="paragraph" w:styleId="Asuntodelcomentario">
    <w:name w:val="annotation subject"/>
    <w:basedOn w:val="Textocomentario"/>
    <w:next w:val="Textocomentario"/>
    <w:link w:val="AsuntodelcomentarioCar"/>
    <w:uiPriority w:val="99"/>
    <w:semiHidden/>
    <w:unhideWhenUsed/>
    <w:rsid w:val="004D4AE7"/>
    <w:rPr>
      <w:b/>
      <w:bCs/>
    </w:rPr>
  </w:style>
  <w:style w:type="character" w:customStyle="1" w:styleId="AsuntodelcomentarioCar">
    <w:name w:val="Asunto del comentario Car"/>
    <w:basedOn w:val="TextocomentarioCar"/>
    <w:link w:val="Asuntodelcomentario"/>
    <w:uiPriority w:val="99"/>
    <w:semiHidden/>
    <w:rsid w:val="004D4AE7"/>
    <w:rPr>
      <w:b/>
      <w:bCs/>
      <w:sz w:val="20"/>
      <w:szCs w:val="20"/>
    </w:rPr>
  </w:style>
  <w:style w:type="character" w:customStyle="1" w:styleId="citation-356">
    <w:name w:val="citation-356"/>
    <w:basedOn w:val="Fuentedeprrafopredeter"/>
    <w:rsid w:val="004A09F3"/>
  </w:style>
  <w:style w:type="character" w:customStyle="1" w:styleId="citation-355">
    <w:name w:val="citation-355"/>
    <w:basedOn w:val="Fuentedeprrafopredeter"/>
    <w:rsid w:val="004A09F3"/>
  </w:style>
  <w:style w:type="character" w:customStyle="1" w:styleId="citation-354">
    <w:name w:val="citation-354"/>
    <w:basedOn w:val="Fuentedeprrafopredeter"/>
    <w:rsid w:val="004A09F3"/>
  </w:style>
  <w:style w:type="character" w:customStyle="1" w:styleId="citation-353">
    <w:name w:val="citation-353"/>
    <w:basedOn w:val="Fuentedeprrafopredeter"/>
    <w:rsid w:val="004A09F3"/>
  </w:style>
  <w:style w:type="character" w:customStyle="1" w:styleId="citation-352">
    <w:name w:val="citation-352"/>
    <w:basedOn w:val="Fuentedeprrafopredeter"/>
    <w:rsid w:val="004A09F3"/>
  </w:style>
  <w:style w:type="character" w:customStyle="1" w:styleId="citation-351">
    <w:name w:val="citation-351"/>
    <w:basedOn w:val="Fuentedeprrafopredeter"/>
    <w:rsid w:val="004A09F3"/>
  </w:style>
  <w:style w:type="character" w:customStyle="1" w:styleId="citation-462">
    <w:name w:val="citation-462"/>
    <w:basedOn w:val="Fuentedeprrafopredeter"/>
    <w:rsid w:val="004A09F3"/>
  </w:style>
  <w:style w:type="character" w:customStyle="1" w:styleId="citation-461">
    <w:name w:val="citation-461"/>
    <w:basedOn w:val="Fuentedeprrafopredeter"/>
    <w:rsid w:val="004A09F3"/>
  </w:style>
  <w:style w:type="character" w:customStyle="1" w:styleId="baj">
    <w:name w:val="b_aj"/>
    <w:basedOn w:val="Fuentedeprrafopredeter"/>
    <w:rsid w:val="003A7C4A"/>
  </w:style>
  <w:style w:type="paragraph" w:styleId="Textoindependiente">
    <w:name w:val="Body Text"/>
    <w:basedOn w:val="Normal"/>
    <w:link w:val="TextoindependienteCar"/>
    <w:uiPriority w:val="1"/>
    <w:qFormat/>
    <w:rsid w:val="00BA7DD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A7DDD"/>
    <w:rPr>
      <w:rFonts w:ascii="Verdana" w:eastAsia="Verdana" w:hAnsi="Verdana" w:cs="Verdana"/>
      <w:lang w:val="es-ES"/>
    </w:rPr>
  </w:style>
  <w:style w:type="character" w:customStyle="1" w:styleId="citation-111">
    <w:name w:val="citation-111"/>
    <w:basedOn w:val="Fuentedeprrafopredeter"/>
    <w:rsid w:val="00C20FD9"/>
  </w:style>
  <w:style w:type="character" w:customStyle="1" w:styleId="citation-110">
    <w:name w:val="citation-110"/>
    <w:basedOn w:val="Fuentedeprrafopredeter"/>
    <w:rsid w:val="00C20FD9"/>
  </w:style>
  <w:style w:type="character" w:customStyle="1" w:styleId="citation-109">
    <w:name w:val="citation-109"/>
    <w:basedOn w:val="Fuentedeprrafopredeter"/>
    <w:rsid w:val="00C20FD9"/>
  </w:style>
  <w:style w:type="character" w:customStyle="1" w:styleId="citation-108">
    <w:name w:val="citation-108"/>
    <w:basedOn w:val="Fuentedeprrafopredeter"/>
    <w:rsid w:val="00C20FD9"/>
  </w:style>
  <w:style w:type="character" w:customStyle="1" w:styleId="citation-107">
    <w:name w:val="citation-107"/>
    <w:basedOn w:val="Fuentedeprrafopredeter"/>
    <w:rsid w:val="00C20FD9"/>
  </w:style>
  <w:style w:type="character" w:customStyle="1" w:styleId="citation-106">
    <w:name w:val="citation-106"/>
    <w:basedOn w:val="Fuentedeprrafopredeter"/>
    <w:rsid w:val="00C20FD9"/>
  </w:style>
  <w:style w:type="character" w:customStyle="1" w:styleId="citation-105">
    <w:name w:val="citation-105"/>
    <w:basedOn w:val="Fuentedeprrafopredeter"/>
    <w:rsid w:val="00C20FD9"/>
  </w:style>
  <w:style w:type="character" w:customStyle="1" w:styleId="citation-104">
    <w:name w:val="citation-104"/>
    <w:basedOn w:val="Fuentedeprrafopredeter"/>
    <w:rsid w:val="00C20FD9"/>
  </w:style>
  <w:style w:type="character" w:customStyle="1" w:styleId="citation-103">
    <w:name w:val="citation-103"/>
    <w:basedOn w:val="Fuentedeprrafopredeter"/>
    <w:rsid w:val="00C20FD9"/>
  </w:style>
  <w:style w:type="character" w:customStyle="1" w:styleId="citation-102">
    <w:name w:val="citation-102"/>
    <w:basedOn w:val="Fuentedeprrafopredeter"/>
    <w:rsid w:val="00C20F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istinavs53@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manuales-guias-y-pliegos-tipo/manuales-y-guias" TargetMode="External"/><Relationship Id="rId2" Type="http://schemas.openxmlformats.org/officeDocument/2006/relationships/hyperlink" Target="https://www.colombiacompra.gov.co/wp-content/uploads/2024/08/cce-eicp-ma-04._manual_requisitos_habilitantes_v3_29-09-2023.pdf" TargetMode="External"/><Relationship Id="rId1" Type="http://schemas.openxmlformats.org/officeDocument/2006/relationships/hyperlink" Target="http://www.secretariasenado.gov.co/senado/basedoc/ley_1780_2016.html" TargetMode="External"/><Relationship Id="rId4" Type="http://schemas.openxmlformats.org/officeDocument/2006/relationships/hyperlink" Target="http://www.secretariasenado.gov.co/senado/basedoc/ley_1780_2016.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746204D-6992-4386-B18D-2BE8BCEFD12F}"/>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16</Pages>
  <Words>4702</Words>
  <Characters>25865</Characters>
  <Application>Microsoft Office Word</Application>
  <DocSecurity>0</DocSecurity>
  <Lines>215</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30506</CharactersWithSpaces>
  <SharedDoc>false</SharedDoc>
  <HLinks>
    <vt:vector size="54" baseType="variant">
      <vt:variant>
        <vt:i4>7733357</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4653144</vt:i4>
      </vt:variant>
      <vt:variant>
        <vt:i4>6</vt:i4>
      </vt:variant>
      <vt:variant>
        <vt:i4>0</vt:i4>
      </vt:variant>
      <vt:variant>
        <vt:i4>5</vt:i4>
      </vt:variant>
      <vt:variant>
        <vt:lpwstr>https://www.colombiacompra.gov.co/documentos-tipo/documentos-tipo</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3407882</vt:i4>
      </vt:variant>
      <vt:variant>
        <vt:i4>0</vt:i4>
      </vt:variant>
      <vt:variant>
        <vt:i4>0</vt:i4>
      </vt:variant>
      <vt:variant>
        <vt:i4>5</vt:i4>
      </vt:variant>
      <vt:variant>
        <vt:lpwstr>mailto:cristinavs53@gmail.com</vt:lpwstr>
      </vt:variant>
      <vt:variant>
        <vt:lpwstr/>
      </vt:variant>
      <vt:variant>
        <vt:i4>26</vt:i4>
      </vt:variant>
      <vt:variant>
        <vt:i4>9</vt:i4>
      </vt:variant>
      <vt:variant>
        <vt:i4>0</vt:i4>
      </vt:variant>
      <vt:variant>
        <vt:i4>5</vt:i4>
      </vt:variant>
      <vt:variant>
        <vt:lpwstr>http://www.secretariasenado.gov.co/senado/basedoc/ley_1780_2016.html</vt:lpwstr>
      </vt:variant>
      <vt:variant>
        <vt:lpwstr>15</vt:lpwstr>
      </vt:variant>
      <vt:variant>
        <vt:i4>5111895</vt:i4>
      </vt:variant>
      <vt:variant>
        <vt:i4>6</vt:i4>
      </vt:variant>
      <vt:variant>
        <vt:i4>0</vt:i4>
      </vt:variant>
      <vt:variant>
        <vt:i4>5</vt:i4>
      </vt:variant>
      <vt:variant>
        <vt:lpwstr>https://www.colombiacompra.gov.co/manuales-guias-y-pliegos-tipo/manuales-y-guias</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26</vt:i4>
      </vt:variant>
      <vt:variant>
        <vt:i4>0</vt:i4>
      </vt:variant>
      <vt:variant>
        <vt:i4>0</vt:i4>
      </vt:variant>
      <vt:variant>
        <vt:i4>5</vt:i4>
      </vt:variant>
      <vt:variant>
        <vt:lpwstr>http://www.secretariasenado.gov.co/senado/basedoc/ley_1780_2016.html</vt:lpwstr>
      </vt:variant>
      <vt:variant>
        <vt:lpwstr>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2</cp:revision>
  <cp:lastPrinted>2023-01-10T21:18:00Z</cp:lastPrinted>
  <dcterms:created xsi:type="dcterms:W3CDTF">2025-10-21T16:23:00Z</dcterms:created>
  <dcterms:modified xsi:type="dcterms:W3CDTF">2025-10-21T16:23:00Z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