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2DD45" w14:textId="77777777" w:rsidR="00C20FD9" w:rsidRDefault="00C20FD9" w:rsidP="00C20FD9">
      <w:pPr>
        <w:pStyle w:val="NormalWeb"/>
        <w:jc w:val="both"/>
        <w:rPr>
          <w:rFonts w:ascii="Verdana" w:hAnsi="Verdana"/>
          <w:b/>
          <w:bCs/>
          <w:sz w:val="22"/>
          <w:szCs w:val="22"/>
        </w:rPr>
      </w:pPr>
      <w:bookmarkStart w:id="0" w:name="_Hlk143780582"/>
      <w:r w:rsidRPr="00C20FD9">
        <w:rPr>
          <w:rFonts w:ascii="Verdana" w:hAnsi="Verdana"/>
          <w:b/>
          <w:bCs/>
          <w:sz w:val="22"/>
          <w:szCs w:val="22"/>
        </w:rPr>
        <w:t>EXPERIENCIA – NATURALEZA Y DOBLE FUNCIÓN</w:t>
      </w:r>
    </w:p>
    <w:p w14:paraId="75ED0B6C" w14:textId="560E49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 </w:t>
      </w:r>
      <w:r w:rsidRPr="00C20FD9">
        <w:rPr>
          <w:rStyle w:val="citation-111"/>
          <w:rFonts w:ascii="Verdana" w:hAnsi="Verdana"/>
          <w:sz w:val="22"/>
          <w:szCs w:val="22"/>
        </w:rPr>
        <w:t>La experiencia, entendida como el conocimiento previo del proponente en actividades similares al objeto contractual</w:t>
      </w:r>
      <w:r w:rsidRPr="00C20FD9">
        <w:rPr>
          <w:rFonts w:ascii="Verdana" w:hAnsi="Verdana"/>
          <w:sz w:val="22"/>
          <w:szCs w:val="22"/>
        </w:rPr>
        <w:t xml:space="preserve">, cumple una doble función. </w:t>
      </w:r>
      <w:r w:rsidRPr="00C20FD9">
        <w:rPr>
          <w:rStyle w:val="citation-110"/>
          <w:rFonts w:ascii="Verdana" w:hAnsi="Verdana"/>
          <w:sz w:val="22"/>
          <w:szCs w:val="22"/>
        </w:rPr>
        <w:t xml:space="preserve">Primero, como Requisito Habilitante, es una condición de "pasa o no pasa" que establece un umbral mínimo de idoneidad para participar </w:t>
      </w:r>
      <w:r w:rsidRPr="00C20FD9">
        <w:rPr>
          <w:rFonts w:ascii="Verdana" w:hAnsi="Verdana"/>
          <w:sz w:val="22"/>
          <w:szCs w:val="22"/>
        </w:rPr>
        <w:t xml:space="preserve">. </w:t>
      </w:r>
      <w:r w:rsidRPr="00C20FD9">
        <w:rPr>
          <w:rStyle w:val="citation-109"/>
          <w:rFonts w:ascii="Verdana" w:hAnsi="Verdana"/>
          <w:sz w:val="22"/>
          <w:szCs w:val="22"/>
        </w:rPr>
        <w:t xml:space="preserve">Segundo, como Factor de Puntuación, se usa para valorar los aspectos técnicos de la oferta y asignar un puntaje, siendo característico del Concurso de Méritos </w:t>
      </w:r>
      <w:r w:rsidRPr="00C20FD9">
        <w:rPr>
          <w:rFonts w:ascii="Verdana" w:hAnsi="Verdana"/>
          <w:sz w:val="22"/>
          <w:szCs w:val="22"/>
        </w:rPr>
        <w:t xml:space="preserve">. </w:t>
      </w:r>
      <w:r w:rsidRPr="00C20FD9">
        <w:rPr>
          <w:rStyle w:val="citation-108"/>
          <w:rFonts w:ascii="Verdana" w:hAnsi="Verdana"/>
          <w:sz w:val="22"/>
          <w:szCs w:val="22"/>
        </w:rPr>
        <w:t>La definición de cómo se exige la experiencia es una potestad de la Entidad Estatal en su planeación</w:t>
      </w:r>
      <w:r w:rsidRPr="00C20FD9">
        <w:rPr>
          <w:rFonts w:ascii="Verdana" w:hAnsi="Verdana"/>
          <w:sz w:val="22"/>
          <w:szCs w:val="22"/>
        </w:rPr>
        <w:t>.</w:t>
      </w:r>
    </w:p>
    <w:p w14:paraId="6CAE7A04"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CÓMPUTO DE LA EXPERIENCIA PROFESIONAL – REGLA GENERAL Y EXCEPCIONES</w:t>
      </w:r>
      <w:r w:rsidRPr="00C20FD9">
        <w:rPr>
          <w:rFonts w:ascii="Verdana" w:hAnsi="Verdana"/>
          <w:sz w:val="22"/>
          <w:szCs w:val="22"/>
        </w:rPr>
        <w:t xml:space="preserve"> </w:t>
      </w:r>
    </w:p>
    <w:p w14:paraId="21DC182F" w14:textId="23F798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El cómputo de la experiencia profesional tiene una regla general y excepciones. </w:t>
      </w:r>
      <w:r w:rsidRPr="00C20FD9">
        <w:rPr>
          <w:rStyle w:val="citation-107"/>
          <w:rFonts w:ascii="Verdana" w:hAnsi="Verdana"/>
          <w:sz w:val="22"/>
          <w:szCs w:val="22"/>
        </w:rPr>
        <w:t xml:space="preserve">La regla general, según el Decreto 019 de 2012, es que se contabiliza desde la terminación y aprobación del pénsum académico </w:t>
      </w:r>
      <w:r w:rsidRPr="00C20FD9">
        <w:rPr>
          <w:rFonts w:ascii="Verdana" w:hAnsi="Verdana"/>
          <w:sz w:val="22"/>
          <w:szCs w:val="22"/>
        </w:rPr>
        <w:t xml:space="preserve">. </w:t>
      </w:r>
      <w:r w:rsidRPr="00C20FD9">
        <w:rPr>
          <w:rStyle w:val="citation-106"/>
          <w:rFonts w:ascii="Verdana" w:hAnsi="Verdana"/>
          <w:sz w:val="22"/>
          <w:szCs w:val="22"/>
        </w:rPr>
        <w:t xml:space="preserve">No obstante, para profesiones con regulación especial como la ingeniería (Ley 842 de 2003), la experiencia se computa por regla especial a partir de la fecha de expedición de la matrícula profesional </w:t>
      </w:r>
      <w:r w:rsidRPr="00C20FD9">
        <w:rPr>
          <w:rFonts w:ascii="Verdana" w:hAnsi="Verdana"/>
          <w:sz w:val="22"/>
          <w:szCs w:val="22"/>
        </w:rPr>
        <w:t xml:space="preserve">. </w:t>
      </w:r>
      <w:r w:rsidRPr="00C20FD9">
        <w:rPr>
          <w:rStyle w:val="citation-105"/>
          <w:rFonts w:ascii="Verdana" w:hAnsi="Verdana"/>
          <w:sz w:val="22"/>
          <w:szCs w:val="22"/>
        </w:rPr>
        <w:t>También se permite contar las prácticas laborales como experiencia profesional, conforme a la Ley 1955 de 2019</w:t>
      </w:r>
      <w:r w:rsidRPr="00C20FD9">
        <w:rPr>
          <w:rFonts w:ascii="Verdana" w:hAnsi="Verdana"/>
          <w:sz w:val="22"/>
          <w:szCs w:val="22"/>
        </w:rPr>
        <w:t>.</w:t>
      </w:r>
    </w:p>
    <w:p w14:paraId="1D556F5E"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ACREDITACIÓN DE LA EXPERIENCIA – CERTIFICACIONES</w:t>
      </w:r>
      <w:r w:rsidRPr="00C20FD9">
        <w:rPr>
          <w:rFonts w:ascii="Verdana" w:hAnsi="Verdana"/>
          <w:sz w:val="22"/>
          <w:szCs w:val="22"/>
        </w:rPr>
        <w:t xml:space="preserve"> </w:t>
      </w:r>
    </w:p>
    <w:p w14:paraId="139896C6" w14:textId="719E3A98" w:rsidR="00C20FD9" w:rsidRPr="00C20FD9" w:rsidRDefault="00C20FD9" w:rsidP="00C20FD9">
      <w:pPr>
        <w:pStyle w:val="NormalWeb"/>
        <w:jc w:val="both"/>
        <w:rPr>
          <w:rFonts w:ascii="Verdana" w:hAnsi="Verdana"/>
          <w:sz w:val="22"/>
          <w:szCs w:val="22"/>
        </w:rPr>
      </w:pPr>
      <w:r w:rsidRPr="00C20FD9">
        <w:rPr>
          <w:rStyle w:val="citation-104"/>
          <w:rFonts w:ascii="Verdana" w:hAnsi="Verdana"/>
          <w:sz w:val="22"/>
          <w:szCs w:val="22"/>
        </w:rPr>
        <w:t xml:space="preserve">La acreditación de la experiencia debe realizarse a través de documentos expedidos por el tercero que recibió el bien o servicio, como actas de liquidación o certificaciones </w:t>
      </w:r>
      <w:r w:rsidRPr="00C20FD9">
        <w:rPr>
          <w:rFonts w:ascii="Verdana" w:hAnsi="Verdana"/>
          <w:sz w:val="22"/>
          <w:szCs w:val="22"/>
        </w:rPr>
        <w:t xml:space="preserve">. </w:t>
      </w:r>
      <w:r w:rsidRPr="00C20FD9">
        <w:rPr>
          <w:rStyle w:val="citation-103"/>
          <w:rFonts w:ascii="Verdana" w:hAnsi="Verdana"/>
          <w:sz w:val="22"/>
          <w:szCs w:val="22"/>
        </w:rPr>
        <w:t>Se prohíben las auto-certificaciones, entendidas como las expedidas por el mismo proponente o su grupo empresarial</w:t>
      </w:r>
      <w:r w:rsidRPr="00C20FD9">
        <w:rPr>
          <w:rFonts w:ascii="Verdana" w:hAnsi="Verdana"/>
          <w:sz w:val="22"/>
          <w:szCs w:val="22"/>
        </w:rPr>
        <w:t xml:space="preserve">. </w:t>
      </w:r>
      <w:r w:rsidRPr="00C20FD9">
        <w:rPr>
          <w:rStyle w:val="citation-102"/>
          <w:rFonts w:ascii="Verdana" w:hAnsi="Verdana"/>
          <w:sz w:val="22"/>
          <w:szCs w:val="22"/>
        </w:rPr>
        <w:t>Sin embargo, no se considera auto-certificación si una persona jurídica distinta (un "tercero en sentido subjetivo") certifica al proponente, incluso si comparten representante legal</w:t>
      </w:r>
      <w:r w:rsidRPr="00C20FD9">
        <w:rPr>
          <w:rFonts w:ascii="Verdana" w:hAnsi="Verdana"/>
          <w:sz w:val="22"/>
          <w:szCs w:val="22"/>
        </w:rPr>
        <w:t>.</w:t>
      </w:r>
    </w:p>
    <w:p w14:paraId="3A0C13AA" w14:textId="77777777" w:rsidR="00C20FD9" w:rsidRPr="00C20FD9" w:rsidRDefault="00C20FD9" w:rsidP="00C20FD9">
      <w:pPr>
        <w:pStyle w:val="Textoindependiente"/>
        <w:spacing w:before="168"/>
        <w:jc w:val="both"/>
        <w:rPr>
          <w:lang w:val="es-CO"/>
        </w:rPr>
      </w:pPr>
    </w:p>
    <w:p w14:paraId="538A89C1" w14:textId="77777777" w:rsidR="00C20FD9" w:rsidRDefault="00C20FD9" w:rsidP="00BA7DDD">
      <w:pPr>
        <w:pStyle w:val="Textoindependiente"/>
        <w:spacing w:before="168"/>
      </w:pPr>
    </w:p>
    <w:p w14:paraId="41221459" w14:textId="77777777" w:rsidR="00C20FD9" w:rsidRDefault="00C20FD9" w:rsidP="00BA7DDD">
      <w:pPr>
        <w:pStyle w:val="Textoindependiente"/>
        <w:spacing w:before="168"/>
      </w:pPr>
    </w:p>
    <w:p w14:paraId="1102B93A" w14:textId="77777777" w:rsidR="00C20FD9" w:rsidRDefault="00C20FD9" w:rsidP="00BA7DDD">
      <w:pPr>
        <w:pStyle w:val="Textoindependiente"/>
        <w:spacing w:before="168"/>
      </w:pPr>
    </w:p>
    <w:p w14:paraId="038E6080" w14:textId="77777777" w:rsidR="00C20FD9" w:rsidRDefault="00C20FD9" w:rsidP="00BA7DDD">
      <w:pPr>
        <w:pStyle w:val="Textoindependiente"/>
        <w:spacing w:before="168"/>
      </w:pPr>
    </w:p>
    <w:p w14:paraId="39941CF5" w14:textId="77777777" w:rsidR="00C20FD9" w:rsidRDefault="00C20FD9" w:rsidP="00BA7DDD">
      <w:pPr>
        <w:pStyle w:val="Textoindependiente"/>
        <w:spacing w:before="168"/>
      </w:pPr>
    </w:p>
    <w:p w14:paraId="48EF02DE" w14:textId="77777777" w:rsidR="00C20FD9" w:rsidRDefault="00C20FD9" w:rsidP="00BA7DDD">
      <w:pPr>
        <w:pStyle w:val="Textoindependiente"/>
        <w:spacing w:before="168"/>
      </w:pPr>
    </w:p>
    <w:p w14:paraId="07047848" w14:textId="77777777" w:rsidR="00C20FD9" w:rsidRDefault="00C20FD9" w:rsidP="00BA7DDD">
      <w:pPr>
        <w:pStyle w:val="Textoindependiente"/>
        <w:spacing w:before="168"/>
      </w:pPr>
    </w:p>
    <w:p w14:paraId="3FE2184B" w14:textId="0A34A42C" w:rsidR="00E245AB" w:rsidRPr="0044528D" w:rsidRDefault="00BA7DDD" w:rsidP="00BA7DDD">
      <w:pPr>
        <w:pStyle w:val="Textoindependiente"/>
        <w:spacing w:before="168"/>
      </w:pPr>
      <w:r>
        <w:t>Bogotá</w:t>
      </w:r>
      <w:r>
        <w:rPr>
          <w:spacing w:val="-6"/>
        </w:rPr>
        <w:t xml:space="preserve"> </w:t>
      </w:r>
      <w:r>
        <w:t>D.C.,</w:t>
      </w:r>
      <w:r>
        <w:rPr>
          <w:spacing w:val="-4"/>
        </w:rPr>
        <w:t xml:space="preserve"> </w:t>
      </w:r>
      <w:r>
        <w:t>10</w:t>
      </w:r>
      <w:r>
        <w:rPr>
          <w:spacing w:val="-3"/>
        </w:rPr>
        <w:t xml:space="preserve"> </w:t>
      </w:r>
      <w:proofErr w:type="gramStart"/>
      <w:r>
        <w:t>Octubre</w:t>
      </w:r>
      <w:proofErr w:type="gramEnd"/>
      <w:r>
        <w:rPr>
          <w:spacing w:val="-2"/>
        </w:rPr>
        <w:t xml:space="preserve"> </w:t>
      </w:r>
      <w:r>
        <w:rPr>
          <w:spacing w:val="-4"/>
        </w:rPr>
        <w:t>2025</w:t>
      </w:r>
      <w:r>
        <w:rPr>
          <w:noProof/>
        </w:rPr>
        <w:drawing>
          <wp:anchor distT="0" distB="0" distL="0" distR="0" simplePos="0" relativeHeight="251659264" behindDoc="0" locked="0" layoutInCell="1" allowOverlap="1" wp14:anchorId="3A4DF18B" wp14:editId="066CAE35">
            <wp:simplePos x="0" y="0"/>
            <wp:positionH relativeFrom="page">
              <wp:posOffset>4323520</wp:posOffset>
            </wp:positionH>
            <wp:positionV relativeFrom="paragraph">
              <wp:posOffset>-110050</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p>
    <w:p w14:paraId="5FCADBF9" w14:textId="77777777" w:rsidR="00E245AB" w:rsidRPr="0044528D" w:rsidRDefault="00E245AB" w:rsidP="00E245AB">
      <w:pPr>
        <w:spacing w:after="0"/>
        <w:rPr>
          <w:rFonts w:ascii="Verdana" w:hAnsi="Verdana"/>
        </w:rPr>
      </w:pPr>
    </w:p>
    <w:bookmarkEnd w:id="0"/>
    <w:p w14:paraId="1E0AD0A6" w14:textId="77777777" w:rsidR="004A09F3" w:rsidRPr="00AB18AB" w:rsidRDefault="004A09F3" w:rsidP="004A09F3">
      <w:pPr>
        <w:spacing w:after="0" w:line="276" w:lineRule="auto"/>
        <w:jc w:val="both"/>
        <w:rPr>
          <w:rFonts w:ascii="Verdana" w:eastAsia="Calibri" w:hAnsi="Verdana" w:cs="Arial"/>
          <w:lang w:val="es-ES" w:eastAsia="es-ES"/>
        </w:rPr>
      </w:pPr>
      <w:r w:rsidRPr="00AB18AB">
        <w:rPr>
          <w:rFonts w:ascii="Verdana" w:eastAsia="Calibri" w:hAnsi="Verdana" w:cs="Arial"/>
          <w:lang w:val="es-ES" w:eastAsia="es-ES"/>
        </w:rPr>
        <w:t>Señora</w:t>
      </w:r>
    </w:p>
    <w:p w14:paraId="1FF335FE" w14:textId="77777777" w:rsidR="004A09F3" w:rsidRPr="00A0791B" w:rsidRDefault="004A09F3" w:rsidP="004A09F3">
      <w:pPr>
        <w:spacing w:after="0" w:line="276" w:lineRule="auto"/>
        <w:rPr>
          <w:rFonts w:ascii="Verdana" w:eastAsia="Calibri" w:hAnsi="Verdana" w:cs="Arial"/>
          <w:b/>
          <w:bCs/>
          <w:lang w:val="es-ES_tradnl" w:eastAsia="es-ES_tradnl"/>
        </w:rPr>
      </w:pPr>
      <w:r w:rsidRPr="00A0791B">
        <w:rPr>
          <w:rFonts w:ascii="Verdana" w:eastAsia="Calibri" w:hAnsi="Verdana" w:cs="Arial"/>
          <w:b/>
          <w:bCs/>
          <w:lang w:val="es-ES_tradnl" w:eastAsia="es-ES_tradnl"/>
        </w:rPr>
        <w:t xml:space="preserve">Cristina Vásquez Hernández </w:t>
      </w:r>
    </w:p>
    <w:p w14:paraId="506B01E7" w14:textId="77777777" w:rsidR="004A09F3" w:rsidRPr="00AB18AB" w:rsidRDefault="004A09F3" w:rsidP="004A09F3">
      <w:pPr>
        <w:spacing w:after="0" w:line="276" w:lineRule="auto"/>
        <w:rPr>
          <w:rFonts w:ascii="Verdana" w:eastAsia="Calibri" w:hAnsi="Verdana" w:cs="Arial"/>
          <w:u w:val="single"/>
          <w:lang w:val="es-ES" w:eastAsia="es-ES"/>
        </w:rPr>
      </w:pPr>
      <w:hyperlink r:id="rId11" w:history="1">
        <w:r w:rsidRPr="00AB18AB">
          <w:rPr>
            <w:rStyle w:val="Hipervnculo"/>
            <w:rFonts w:ascii="Verdana" w:eastAsia="Calibri" w:hAnsi="Verdana" w:cs="Arial"/>
            <w:lang w:val="es-ES" w:eastAsia="es-ES"/>
          </w:rPr>
          <w:t>cristinavs53@gmail.com</w:t>
        </w:r>
      </w:hyperlink>
      <w:r w:rsidRPr="00AB18AB">
        <w:rPr>
          <w:rFonts w:ascii="Verdana" w:eastAsia="Calibri" w:hAnsi="Verdana" w:cs="Arial"/>
          <w:u w:val="single"/>
          <w:lang w:val="es-ES" w:eastAsia="es-ES"/>
        </w:rPr>
        <w:t xml:space="preserve"> </w:t>
      </w:r>
    </w:p>
    <w:p w14:paraId="3434D056" w14:textId="77777777" w:rsidR="004A09F3" w:rsidRPr="00AB18AB" w:rsidRDefault="004A09F3" w:rsidP="004A09F3">
      <w:pPr>
        <w:spacing w:after="0" w:line="276" w:lineRule="auto"/>
        <w:rPr>
          <w:rFonts w:ascii="Verdana" w:eastAsia="Calibri" w:hAnsi="Verdana" w:cs="Arial"/>
          <w:lang w:val="es-ES" w:eastAsia="es-ES"/>
        </w:rPr>
      </w:pPr>
      <w:r w:rsidRPr="00AB18AB">
        <w:rPr>
          <w:rFonts w:ascii="Verdana" w:eastAsia="Calibri" w:hAnsi="Verdana" w:cs="Arial"/>
          <w:lang w:val="es-ES" w:eastAsia="es-ES"/>
        </w:rPr>
        <w:t>Chía, Cundinamarca</w:t>
      </w:r>
    </w:p>
    <w:p w14:paraId="69294FC7" w14:textId="77777777" w:rsidR="004A09F3" w:rsidRPr="00AB18AB" w:rsidRDefault="004A09F3" w:rsidP="004A09F3">
      <w:pPr>
        <w:spacing w:after="0" w:line="276" w:lineRule="auto"/>
        <w:rPr>
          <w:rFonts w:ascii="Verdana" w:eastAsia="Calibri" w:hAnsi="Verdana" w:cs="Arial"/>
          <w:color w:val="000000"/>
          <w:lang w:val="es-ES_tradnl" w:eastAsia="es-ES_tradnl"/>
        </w:rPr>
      </w:pPr>
    </w:p>
    <w:p w14:paraId="70E66BA4" w14:textId="77777777" w:rsidR="004A09F3" w:rsidRPr="00AB18AB" w:rsidRDefault="004A09F3" w:rsidP="004A09F3">
      <w:pPr>
        <w:spacing w:after="0" w:line="276" w:lineRule="auto"/>
        <w:rPr>
          <w:rFonts w:ascii="Verdana" w:eastAsia="Calibri" w:hAnsi="Verdana" w:cs="Arial"/>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27"/>
        <w:gridCol w:w="6662"/>
      </w:tblGrid>
      <w:tr w:rsidR="004A09F3" w:rsidRPr="00AB18AB" w14:paraId="2CD0D900" w14:textId="77777777" w:rsidTr="007C4002">
        <w:trPr>
          <w:trHeight w:val="68"/>
        </w:trPr>
        <w:tc>
          <w:tcPr>
            <w:tcW w:w="2127" w:type="dxa"/>
          </w:tcPr>
          <w:p w14:paraId="52BC776D" w14:textId="77777777" w:rsidR="004A09F3" w:rsidRPr="00AB18AB" w:rsidRDefault="004A09F3" w:rsidP="00B66D77">
            <w:pPr>
              <w:spacing w:line="276" w:lineRule="auto"/>
              <w:jc w:val="both"/>
              <w:rPr>
                <w:rFonts w:ascii="Verdana" w:eastAsia="Calibri" w:hAnsi="Verdana" w:cs="Arial"/>
                <w:color w:val="7030A0"/>
                <w:lang w:val="es-ES_tradnl" w:eastAsia="es-ES_tradnl"/>
              </w:rPr>
            </w:pPr>
          </w:p>
        </w:tc>
        <w:tc>
          <w:tcPr>
            <w:tcW w:w="6662" w:type="dxa"/>
          </w:tcPr>
          <w:p w14:paraId="350B1CEB" w14:textId="77777777" w:rsidR="004A09F3" w:rsidRDefault="004A09F3" w:rsidP="00B66D77">
            <w:pPr>
              <w:spacing w:line="276" w:lineRule="auto"/>
              <w:jc w:val="both"/>
              <w:rPr>
                <w:rFonts w:ascii="Verdana" w:eastAsia="Calibri" w:hAnsi="Verdana" w:cs="Arial"/>
                <w:b/>
                <w:bCs/>
                <w:lang w:val="es-ES" w:eastAsia="es-ES"/>
              </w:rPr>
            </w:pPr>
            <w:r w:rsidRPr="00A0791B">
              <w:rPr>
                <w:rFonts w:ascii="Verdana" w:eastAsia="Calibri" w:hAnsi="Verdana" w:cs="Arial"/>
                <w:b/>
                <w:bCs/>
                <w:lang w:val="es-ES" w:eastAsia="es-ES"/>
              </w:rPr>
              <w:t>Concepto C-1232</w:t>
            </w:r>
            <w:r w:rsidRPr="00A0791B">
              <w:rPr>
                <w:rFonts w:ascii="Verdana" w:eastAsia="Calibri" w:hAnsi="Verdana" w:cs="Arial"/>
                <w:b/>
                <w:bCs/>
                <w:color w:val="7030A0"/>
                <w:lang w:val="es-ES" w:eastAsia="es-ES"/>
              </w:rPr>
              <w:t xml:space="preserve"> </w:t>
            </w:r>
            <w:r w:rsidRPr="00A0791B">
              <w:rPr>
                <w:rFonts w:ascii="Verdana" w:eastAsia="Calibri" w:hAnsi="Verdana" w:cs="Arial"/>
                <w:b/>
                <w:bCs/>
                <w:lang w:val="es-ES" w:eastAsia="es-ES"/>
              </w:rPr>
              <w:t>de 2025</w:t>
            </w:r>
          </w:p>
          <w:p w14:paraId="233E6C63" w14:textId="77777777" w:rsidR="004A09F3" w:rsidRPr="00A0791B" w:rsidRDefault="004A09F3" w:rsidP="00B66D77">
            <w:pPr>
              <w:spacing w:line="276" w:lineRule="auto"/>
              <w:jc w:val="both"/>
              <w:rPr>
                <w:rFonts w:ascii="Verdana" w:eastAsia="Calibri" w:hAnsi="Verdana" w:cs="Arial"/>
                <w:b/>
                <w:bCs/>
                <w:color w:val="7030A0"/>
                <w:lang w:val="es-ES" w:eastAsia="es-ES"/>
              </w:rPr>
            </w:pPr>
          </w:p>
        </w:tc>
      </w:tr>
      <w:tr w:rsidR="004A09F3" w:rsidRPr="00A0791B" w14:paraId="76D18A42" w14:textId="77777777" w:rsidTr="00B66D77">
        <w:trPr>
          <w:trHeight w:val="884"/>
        </w:trPr>
        <w:tc>
          <w:tcPr>
            <w:tcW w:w="2127" w:type="dxa"/>
          </w:tcPr>
          <w:p w14:paraId="63218FF7" w14:textId="77777777" w:rsidR="004A09F3" w:rsidRPr="00A0791B" w:rsidRDefault="004A09F3" w:rsidP="00B66D77">
            <w:pPr>
              <w:spacing w:line="276" w:lineRule="auto"/>
              <w:jc w:val="both"/>
              <w:rPr>
                <w:rFonts w:ascii="Verdana" w:eastAsia="Calibri" w:hAnsi="Verdana" w:cs="Arial"/>
                <w:b/>
                <w:bCs/>
                <w:color w:val="000000"/>
                <w:lang w:val="es-ES_tradnl" w:eastAsia="es-ES_tradnl"/>
              </w:rPr>
            </w:pPr>
            <w:r w:rsidRPr="00A0791B">
              <w:rPr>
                <w:rFonts w:ascii="Verdana" w:eastAsia="Calibri" w:hAnsi="Verdana" w:cs="Arial"/>
                <w:b/>
                <w:bCs/>
                <w:color w:val="000000"/>
                <w:lang w:val="es-ES_tradnl" w:eastAsia="es-ES_tradnl"/>
              </w:rPr>
              <w:t xml:space="preserve">Temas:                   </w:t>
            </w:r>
          </w:p>
        </w:tc>
        <w:tc>
          <w:tcPr>
            <w:tcW w:w="6662" w:type="dxa"/>
          </w:tcPr>
          <w:p w14:paraId="199CF510" w14:textId="77777777" w:rsidR="004A09F3" w:rsidRPr="00A0791B" w:rsidRDefault="004A09F3" w:rsidP="00B66D77">
            <w:pPr>
              <w:spacing w:line="276" w:lineRule="auto"/>
              <w:jc w:val="both"/>
              <w:rPr>
                <w:rFonts w:ascii="Verdana" w:hAnsi="Verdana"/>
              </w:rPr>
            </w:pPr>
            <w:r w:rsidRPr="00A0791B">
              <w:rPr>
                <w:rFonts w:ascii="Verdana" w:hAnsi="Verdana"/>
              </w:rPr>
              <w:t>EXPERIENCIA – Concepto, Naturaleza y Acreditación / DOCUMENTOS TIPO – Experiencia Habilitante y Ponderable / CÓMPUTO EXPERIENCIA PROFESIONAL – Inicio y Prácticas Laborales.</w:t>
            </w:r>
          </w:p>
          <w:p w14:paraId="357223BB" w14:textId="77777777" w:rsidR="004A09F3" w:rsidRPr="00A0791B" w:rsidRDefault="004A09F3" w:rsidP="00B66D77">
            <w:pPr>
              <w:spacing w:line="276" w:lineRule="auto"/>
              <w:jc w:val="both"/>
              <w:rPr>
                <w:rFonts w:ascii="Verdana" w:eastAsia="Calibri" w:hAnsi="Verdana" w:cs="Arial"/>
                <w:b/>
                <w:bCs/>
                <w:lang w:val="es-ES" w:eastAsia="es-ES"/>
              </w:rPr>
            </w:pPr>
          </w:p>
        </w:tc>
      </w:tr>
      <w:tr w:rsidR="004A09F3" w:rsidRPr="00AB18AB" w14:paraId="4C7C6B7A" w14:textId="77777777" w:rsidTr="00B66D77">
        <w:tc>
          <w:tcPr>
            <w:tcW w:w="2127" w:type="dxa"/>
          </w:tcPr>
          <w:p w14:paraId="5FB1F133" w14:textId="77777777" w:rsidR="004A09F3" w:rsidRPr="00A0791B" w:rsidRDefault="004A09F3" w:rsidP="00B66D77">
            <w:pPr>
              <w:spacing w:line="276" w:lineRule="auto"/>
              <w:jc w:val="both"/>
              <w:rPr>
                <w:rFonts w:ascii="Verdana" w:eastAsia="Calibri" w:hAnsi="Verdana" w:cs="Arial"/>
                <w:b/>
                <w:bCs/>
                <w:color w:val="000000" w:themeColor="text1"/>
                <w:lang w:val="es-ES_tradnl" w:eastAsia="es-ES_tradnl"/>
              </w:rPr>
            </w:pPr>
            <w:r w:rsidRPr="00A0791B">
              <w:rPr>
                <w:rFonts w:ascii="Verdana" w:eastAsia="Calibri" w:hAnsi="Verdana" w:cs="Arial"/>
                <w:b/>
                <w:bCs/>
                <w:color w:val="000000" w:themeColor="text1"/>
                <w:lang w:val="es-ES_tradnl" w:eastAsia="es-ES_tradnl"/>
              </w:rPr>
              <w:t xml:space="preserve">Radicación:               </w:t>
            </w:r>
          </w:p>
        </w:tc>
        <w:tc>
          <w:tcPr>
            <w:tcW w:w="6662" w:type="dxa"/>
          </w:tcPr>
          <w:p w14:paraId="487F08AB" w14:textId="77777777" w:rsidR="004A09F3" w:rsidRPr="00AB18AB" w:rsidRDefault="004A09F3" w:rsidP="00B66D77">
            <w:pPr>
              <w:spacing w:line="276" w:lineRule="auto"/>
              <w:jc w:val="both"/>
              <w:rPr>
                <w:rFonts w:ascii="Verdana" w:eastAsia="Calibri" w:hAnsi="Verdana" w:cs="Arial"/>
                <w:color w:val="000000" w:themeColor="text1"/>
                <w:lang w:val="es-ES_tradnl" w:eastAsia="es-ES_tradnl"/>
              </w:rPr>
            </w:pPr>
            <w:r w:rsidRPr="00AB18AB">
              <w:rPr>
                <w:rFonts w:ascii="Verdana" w:eastAsia="Calibri" w:hAnsi="Verdana" w:cs="Arial"/>
                <w:color w:val="000000" w:themeColor="text1"/>
                <w:lang w:val="es-ES_tradnl" w:eastAsia="es-ES_tradnl"/>
              </w:rPr>
              <w:t xml:space="preserve">Respuesta a consulta con radicado No. </w:t>
            </w:r>
            <w:r w:rsidRPr="00AB18AB">
              <w:rPr>
                <w:rFonts w:ascii="Verdana" w:hAnsi="Verdana" w:cs="Segoe UI"/>
                <w:color w:val="000000" w:themeColor="text1"/>
                <w:shd w:val="clear" w:color="auto" w:fill="FFFFFF"/>
              </w:rPr>
              <w:t>1_2025_08_29_009318</w:t>
            </w:r>
          </w:p>
        </w:tc>
      </w:tr>
    </w:tbl>
    <w:p w14:paraId="51489D23" w14:textId="77777777" w:rsidR="004A09F3" w:rsidRPr="007C4002" w:rsidRDefault="004A09F3" w:rsidP="004A09F3">
      <w:pPr>
        <w:spacing w:after="0" w:line="276" w:lineRule="auto"/>
        <w:jc w:val="both"/>
        <w:rPr>
          <w:rFonts w:ascii="Verdana" w:eastAsia="Calibri" w:hAnsi="Verdana" w:cs="Arial"/>
          <w:color w:val="000000"/>
          <w:lang w:eastAsia="es-ES_tradnl"/>
        </w:rPr>
      </w:pPr>
    </w:p>
    <w:p w14:paraId="69C11F27" w14:textId="77777777" w:rsidR="004A09F3" w:rsidRPr="00AB18AB" w:rsidRDefault="004A09F3" w:rsidP="004A09F3">
      <w:pPr>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 xml:space="preserve">Estimada señora Vásquez: </w:t>
      </w:r>
    </w:p>
    <w:p w14:paraId="30D51A66" w14:textId="77777777" w:rsidR="004A09F3" w:rsidRPr="00AB18AB" w:rsidRDefault="004A09F3" w:rsidP="004A09F3">
      <w:pPr>
        <w:tabs>
          <w:tab w:val="left" w:pos="3768"/>
        </w:tabs>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ab/>
      </w:r>
    </w:p>
    <w:p w14:paraId="7A627EDD" w14:textId="77777777" w:rsidR="004A09F3" w:rsidRPr="00AB18AB" w:rsidRDefault="004A09F3" w:rsidP="004A09F3">
      <w:pPr>
        <w:spacing w:after="0" w:line="276" w:lineRule="auto"/>
        <w:jc w:val="both"/>
        <w:rPr>
          <w:rFonts w:ascii="Verdana" w:eastAsia="Calibri" w:hAnsi="Verdana" w:cs="Arial"/>
          <w:color w:val="7030A0"/>
          <w:lang w:val="es-ES" w:eastAsia="es-ES"/>
        </w:rPr>
      </w:pPr>
      <w:r w:rsidRPr="00AB18AB">
        <w:rPr>
          <w:rFonts w:ascii="Verdana" w:eastAsia="Calibri" w:hAnsi="Verdana" w:cs="Arial"/>
          <w:color w:val="000000" w:themeColor="text1"/>
          <w:lang w:val="es-ES" w:eastAsia="es-ES"/>
        </w:rPr>
        <w:t>En ejercicio de la competencia otorgada por los artículos 3, numeral 5º, y 11, numeral 8º, del Decreto Ley 4170 de 2011,</w:t>
      </w:r>
      <w:r w:rsidRPr="00AB18AB">
        <w:rPr>
          <w:rFonts w:ascii="Verdana" w:eastAsia="Arial MT" w:hAnsi="Verdana" w:cs="Arial MT"/>
          <w:lang w:val="es-ES" w:eastAsia="es-ES"/>
        </w:rPr>
        <w:t xml:space="preserve"> </w:t>
      </w:r>
      <w:r w:rsidRPr="00AB18AB">
        <w:rPr>
          <w:rFonts w:ascii="Verdana" w:hAnsi="Verdana" w:cs="Arial"/>
        </w:rPr>
        <w:t xml:space="preserve">así como lo establecido en el artículo 4 de la Resolución 1707 de 2018 expedida por esta Entidad, </w:t>
      </w:r>
      <w:r w:rsidRPr="00AB18AB">
        <w:rPr>
          <w:rFonts w:ascii="Verdana" w:eastAsia="Calibri" w:hAnsi="Verdana" w:cs="Arial"/>
          <w:color w:val="000000" w:themeColor="text1"/>
          <w:lang w:val="es-ES" w:eastAsia="es-ES"/>
        </w:rPr>
        <w:t>la Agencia Nacional de Contratación Pública – Colombia Compra Eficiente– responde su solicitud de consulta de fecha 29 de agosto de 2025, en la cual manifiesta lo siguiente:</w:t>
      </w:r>
    </w:p>
    <w:p w14:paraId="2FA9CCE3" w14:textId="77777777" w:rsidR="004A09F3" w:rsidRPr="00AB18AB" w:rsidRDefault="004A09F3" w:rsidP="007C4002">
      <w:pPr>
        <w:pStyle w:val="Prrafodelista"/>
        <w:tabs>
          <w:tab w:val="left" w:pos="142"/>
          <w:tab w:val="left" w:pos="284"/>
        </w:tabs>
        <w:spacing w:after="0" w:line="276" w:lineRule="auto"/>
        <w:ind w:left="0"/>
        <w:jc w:val="both"/>
        <w:rPr>
          <w:rFonts w:ascii="Verdana" w:eastAsia="Century Gothic" w:hAnsi="Verdana" w:cs="Century Gothic"/>
        </w:rPr>
      </w:pPr>
    </w:p>
    <w:p w14:paraId="2025E9D2" w14:textId="77777777" w:rsidR="004A09F3" w:rsidRPr="007C4002" w:rsidRDefault="004A09F3" w:rsidP="007C4002">
      <w:pPr>
        <w:spacing w:after="0" w:line="240" w:lineRule="auto"/>
        <w:ind w:left="709" w:right="709"/>
        <w:jc w:val="both"/>
        <w:rPr>
          <w:rFonts w:ascii="Verdana" w:eastAsia="Century Gothic" w:hAnsi="Verdana" w:cs="Century Gothic"/>
          <w:color w:val="000000" w:themeColor="text1"/>
          <w:sz w:val="20"/>
          <w:szCs w:val="20"/>
          <w:lang w:val="es-ES"/>
        </w:rPr>
      </w:pPr>
      <w:r w:rsidRPr="007C4002">
        <w:rPr>
          <w:rFonts w:ascii="Verdana" w:eastAsia="Century Gothic" w:hAnsi="Verdana" w:cs="Century Gothic"/>
          <w:color w:val="000000" w:themeColor="text1"/>
          <w:sz w:val="20"/>
          <w:szCs w:val="20"/>
          <w:lang w:val="es-ES"/>
        </w:rPr>
        <w:t>“¿Para los contratos estatales -régimen de Ley 80 y regímenes exceptuados- es posible aplicar lo estipulado por el Decreto 1083 de 2015 en cuanto a la experiencia, su certificación y demás, que dicha norma refiere? ¿Sería correcto afirmar que la mera expedición de la tarjeta profesional, es decir, su fecha de expedición y a la fecha de presentación de la oferta, sirve de cómputo para acreditar la experiencia, por tanto, la mera presentación de la tarjeta sirve como prueba de la experiencia exigida? ¿Si uno de los profesionales, creo una persona jurídica, el ejercicio de dicha persona jurídica vale para certificar la experiencia del profesional?</w:t>
      </w:r>
    </w:p>
    <w:p w14:paraId="6987F075" w14:textId="77777777" w:rsidR="004A09F3" w:rsidRPr="00AB18AB" w:rsidRDefault="004A09F3" w:rsidP="004A09F3">
      <w:pPr>
        <w:spacing w:after="0" w:line="276" w:lineRule="auto"/>
        <w:ind w:left="709" w:right="709"/>
        <w:jc w:val="both"/>
        <w:rPr>
          <w:rFonts w:ascii="Verdana" w:eastAsia="Century Gothic" w:hAnsi="Verdana" w:cs="Century Gothic"/>
          <w:color w:val="000000" w:themeColor="text1"/>
          <w:lang w:val="es-ES"/>
        </w:rPr>
      </w:pPr>
    </w:p>
    <w:p w14:paraId="1F20AA2C" w14:textId="77777777" w:rsidR="004A09F3" w:rsidRPr="00AB18AB" w:rsidRDefault="004A09F3" w:rsidP="004A09F3">
      <w:pPr>
        <w:spacing w:after="120" w:line="276" w:lineRule="auto"/>
        <w:ind w:firstLine="709"/>
        <w:jc w:val="both"/>
        <w:rPr>
          <w:rFonts w:ascii="Verdana" w:eastAsia="Calibri" w:hAnsi="Verdana" w:cs="Arial"/>
          <w:color w:val="000000"/>
          <w:lang w:val="es-ES_tradnl" w:eastAsia="es-ES_tradnl"/>
        </w:rPr>
      </w:pPr>
      <w:r w:rsidRPr="00AB18AB">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B18AB">
        <w:rPr>
          <w:rFonts w:ascii="Verdana" w:eastAsia="Calibri" w:hAnsi="Verdana" w:cs="Arial"/>
          <w:color w:val="000000"/>
          <w:lang w:val="es-ES_tradnl" w:eastAsia="es-ES_tradnl"/>
        </w:rPr>
        <w:tab/>
      </w:r>
    </w:p>
    <w:p w14:paraId="432D2284" w14:textId="77777777" w:rsidR="004A09F3" w:rsidRPr="00AB18AB" w:rsidRDefault="004A09F3" w:rsidP="004A09F3">
      <w:pPr>
        <w:spacing w:after="0" w:line="276" w:lineRule="auto"/>
        <w:ind w:firstLine="709"/>
        <w:jc w:val="both"/>
        <w:rPr>
          <w:rFonts w:ascii="Verdana" w:eastAsia="Calibri" w:hAnsi="Verdana" w:cs="Arial"/>
          <w:color w:val="000000"/>
          <w:lang w:val="es-ES" w:eastAsia="es-ES"/>
        </w:rPr>
      </w:pPr>
      <w:r w:rsidRPr="00AB18AB">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el</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problema</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jurídico</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 xml:space="preserve">de su consulta. </w:t>
      </w:r>
    </w:p>
    <w:p w14:paraId="3591F533" w14:textId="77777777" w:rsidR="004A09F3" w:rsidRPr="00A0791B" w:rsidRDefault="004A09F3" w:rsidP="004A09F3">
      <w:pPr>
        <w:spacing w:after="0" w:line="276" w:lineRule="auto"/>
        <w:ind w:firstLine="709"/>
        <w:jc w:val="both"/>
        <w:rPr>
          <w:rFonts w:ascii="Verdana" w:eastAsia="Calibri" w:hAnsi="Verdana" w:cs="Arial"/>
          <w:b/>
          <w:bCs/>
          <w:color w:val="000000"/>
          <w:lang w:val="es-ES" w:eastAsia="es-ES"/>
        </w:rPr>
      </w:pPr>
    </w:p>
    <w:p w14:paraId="1798B7E3" w14:textId="71BC5134" w:rsidR="004A09F3" w:rsidRPr="004A09F3" w:rsidRDefault="004A09F3" w:rsidP="004A09F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0791B">
        <w:rPr>
          <w:rFonts w:ascii="Verdana" w:eastAsia="Century Gothic" w:hAnsi="Verdana" w:cs="Century Gothic"/>
          <w:b/>
          <w:bCs/>
        </w:rPr>
        <w:t>Problema planteado:</w:t>
      </w:r>
    </w:p>
    <w:p w14:paraId="58D32CB8" w14:textId="77777777" w:rsidR="004A09F3" w:rsidRPr="00AB18AB" w:rsidRDefault="004A09F3" w:rsidP="004A09F3">
      <w:pPr>
        <w:tabs>
          <w:tab w:val="left" w:pos="426"/>
        </w:tabs>
        <w:spacing w:after="0" w:line="276" w:lineRule="auto"/>
        <w:jc w:val="both"/>
        <w:rPr>
          <w:rFonts w:ascii="Verdana" w:eastAsia="Century Gothic" w:hAnsi="Verdana" w:cs="Century Gothic"/>
          <w:lang w:val="es-ES"/>
        </w:rPr>
      </w:pPr>
    </w:p>
    <w:p w14:paraId="386783F5" w14:textId="77777777" w:rsidR="004A09F3" w:rsidRPr="0060049B" w:rsidRDefault="004A09F3" w:rsidP="004A09F3">
      <w:pPr>
        <w:spacing w:after="0" w:line="276" w:lineRule="auto"/>
        <w:jc w:val="both"/>
        <w:rPr>
          <w:rFonts w:ascii="Verdana" w:eastAsia="Calibri" w:hAnsi="Verdana" w:cs="Arial"/>
          <w:color w:val="7030A0"/>
          <w:lang w:val="es-ES"/>
        </w:rPr>
      </w:pPr>
      <w:r w:rsidRPr="00AB18AB">
        <w:rPr>
          <w:rFonts w:ascii="Verdana" w:eastAsia="Century Gothic" w:hAnsi="Verdana" w:cs="Century Gothic"/>
        </w:rPr>
        <w:t xml:space="preserve">De acuerdo con el contenido de su solicitud, esta Agencia resolverá el siguiente problema jurídico: </w:t>
      </w:r>
      <w:r w:rsidRPr="0060049B">
        <w:rPr>
          <w:rFonts w:ascii="Verdana" w:eastAsia="Century Gothic" w:hAnsi="Verdana" w:cs="Century Gothic"/>
        </w:rPr>
        <w:t>¿</w:t>
      </w:r>
      <w:r w:rsidRPr="0060049B">
        <w:rPr>
          <w:rFonts w:ascii="Verdana" w:hAnsi="Verdana"/>
        </w:rPr>
        <w:t>Cuáles son los criterios para la definición, acreditación, cómputo y valoración de la experiencia en los procesos de contratación estatal en Colombia</w:t>
      </w:r>
      <w:r w:rsidRPr="0060049B">
        <w:rPr>
          <w:rFonts w:ascii="Verdana" w:eastAsia="Century Gothic" w:hAnsi="Verdana" w:cs="Century Gothic"/>
        </w:rPr>
        <w:t>?</w:t>
      </w:r>
    </w:p>
    <w:p w14:paraId="763E242B" w14:textId="77777777" w:rsidR="004A09F3" w:rsidRPr="00A0791B" w:rsidRDefault="004A09F3" w:rsidP="004A09F3">
      <w:pPr>
        <w:spacing w:after="0" w:line="276" w:lineRule="auto"/>
        <w:jc w:val="both"/>
        <w:rPr>
          <w:rFonts w:ascii="Verdana" w:eastAsia="Calibri" w:hAnsi="Verdana" w:cs="Arial"/>
          <w:b/>
          <w:bCs/>
          <w:color w:val="7030A0"/>
          <w:lang w:val="es-ES"/>
        </w:rPr>
      </w:pPr>
    </w:p>
    <w:p w14:paraId="48FE817A"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Respuesta:</w:t>
      </w:r>
    </w:p>
    <w:p w14:paraId="66BA08E6"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09F3" w:rsidRPr="00AB18AB" w14:paraId="22BCE845" w14:textId="77777777" w:rsidTr="00B66D77">
        <w:tc>
          <w:tcPr>
            <w:tcW w:w="8828" w:type="dxa"/>
          </w:tcPr>
          <w:p w14:paraId="50B9DB81" w14:textId="36ECE8E2" w:rsidR="00D32AB1" w:rsidRPr="00D32AB1" w:rsidRDefault="00D32AB1" w:rsidP="00D32AB1">
            <w:pPr>
              <w:spacing w:before="120" w:after="120" w:line="276" w:lineRule="auto"/>
              <w:jc w:val="both"/>
              <w:rPr>
                <w:rFonts w:ascii="Verdana" w:hAnsi="Verdana"/>
              </w:rPr>
            </w:pPr>
            <w:r>
              <w:rPr>
                <w:rFonts w:ascii="Verdana" w:eastAsia="Calibri" w:hAnsi="Verdana" w:cs="Arial"/>
                <w:color w:val="000000"/>
                <w:lang w:val="es-ES" w:eastAsia="es-ES_tradnl"/>
              </w:rPr>
              <w:t>L</w:t>
            </w:r>
            <w:r w:rsidRPr="00D32AB1">
              <w:rPr>
                <w:rFonts w:ascii="Verdana" w:eastAsia="Calibri" w:hAnsi="Verdana" w:cs="Arial"/>
                <w:color w:val="000000"/>
                <w:lang w:val="es-ES" w:eastAsia="es-ES_tradnl"/>
              </w:rPr>
              <w:t xml:space="preserve">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526B9F6"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w:t>
            </w:r>
            <w:r w:rsidRPr="00D32AB1">
              <w:rPr>
                <w:rStyle w:val="citation-354"/>
                <w:rFonts w:ascii="Verdana" w:hAnsi="Verdana"/>
              </w:rPr>
              <w:lastRenderedPageBreak/>
              <w:t>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39B8BA88"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 xml:space="preserve">En segundo lugar, la experiencia se entiende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Este enfoque es característico de la modalidad de Concurso de Méritos, utilizada para la selección de consultores e interventores, donde la ley prohíbe explícitamente incluir el precio como factor de escogencia</w:t>
            </w:r>
            <w:r w:rsidRPr="00D32AB1">
              <w:rPr>
                <w:rFonts w:ascii="Verdana" w:hAnsi="Verdana"/>
              </w:rPr>
              <w:t>.</w:t>
            </w:r>
          </w:p>
          <w:p w14:paraId="7ED8B4AA" w14:textId="77777777" w:rsidR="00D32AB1" w:rsidRPr="00D32AB1" w:rsidRDefault="00D32AB1" w:rsidP="00D32AB1">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5A97E5FA" w14:textId="77777777" w:rsidR="00D32AB1" w:rsidRPr="00D32AB1" w:rsidRDefault="00D32AB1" w:rsidP="00D32AB1">
            <w:pPr>
              <w:spacing w:after="240" w:line="276" w:lineRule="auto"/>
              <w:ind w:firstLine="708"/>
              <w:jc w:val="both"/>
              <w:rPr>
                <w:rFonts w:ascii="Verdana" w:hAnsi="Verdana" w:cs="ArialMT"/>
              </w:rPr>
            </w:pPr>
            <w:r w:rsidRPr="00D32AB1">
              <w:rPr>
                <w:rFonts w:ascii="Verdana" w:hAnsi="Verdana" w:cs="Arial"/>
              </w:rPr>
              <w:t>El procedimiento de selección de concurso de méritos, aplicable para la escogencia de consultores, está reglamentado por el artículo 2.2.1.2.1.3.2. del Decreto 1082 de 2015, modificado por el Decreto 399 de 2021. El numeral 1 dispone que “La Entidad Estatal en los pliegos de condiciones debe indicar la forma como calificará, entre otros, los siguientes criterios: a) la experiencia del interesado y del equipo de trabajo y b) la formación académica del equipo de trabajo” (Énfasis fuera de texto). Conforme a esto, los factores ponderables en un proceso de selección de concurso de méritos – esto es, los que determinan 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105E8A34"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lastRenderedPageBreak/>
              <w:t xml:space="preserve">Un ejemplo claro de lo anterior 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15E8B353"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1B34471A" w14:textId="77777777" w:rsidR="00D32AB1" w:rsidRPr="00D32AB1" w:rsidRDefault="00D32AB1" w:rsidP="00D32AB1">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t>Ahora bien, en relación con l</w:t>
            </w:r>
            <w:r w:rsidRPr="00D32AB1">
              <w:rPr>
                <w:rFonts w:ascii="Verdana" w:eastAsia="Calibri" w:hAnsi="Verdana" w:cs="Arial"/>
                <w:lang w:val="es-MX"/>
              </w:rPr>
              <w:t>a experiencia profesional esta se debe verificar 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Pr="00D32AB1">
              <w:rPr>
                <w:rFonts w:ascii="Verdana" w:eastAsia="Calibri" w:hAnsi="Verdana" w:cs="Arial"/>
                <w:vertAlign w:val="superscript"/>
                <w:lang w:val="es-MX"/>
              </w:rPr>
              <w:footnoteReference w:id="1"/>
            </w:r>
            <w:r w:rsidRPr="00D32AB1">
              <w:rPr>
                <w:rFonts w:ascii="Verdana" w:eastAsia="Calibri" w:hAnsi="Verdana" w:cs="Arial"/>
                <w:lang w:val="es-MX"/>
              </w:rPr>
              <w:t>.</w:t>
            </w:r>
          </w:p>
          <w:p w14:paraId="3F988304"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Conforme con lo anterior, el cómputo de la experiencia profesional, por regla general, comienza con la terminación y aprobación del pénsum académico de educación superior, y siempre que el profesional acredite que trabajó. No obstante, existen ciertas excepciones, por ejemplo, frente a las profesiones relacionadas con temas de salud, la experiencia profesional se cuenta desde la inscripción o registro, es decir, a partir de la expedición de la tarjeta profesional.</w:t>
            </w:r>
          </w:p>
          <w:p w14:paraId="58E710BC" w14:textId="6E65CD4E" w:rsidR="00D32AB1" w:rsidRPr="00D32AB1" w:rsidRDefault="000A29CD" w:rsidP="00D32AB1">
            <w:pPr>
              <w:spacing w:before="120" w:after="120" w:line="276" w:lineRule="auto"/>
              <w:ind w:right="51" w:firstLine="708"/>
              <w:jc w:val="both"/>
              <w:rPr>
                <w:rFonts w:ascii="Verdana" w:eastAsia="Calibri" w:hAnsi="Verdana" w:cs="Arial"/>
                <w:lang w:val="es-MX"/>
              </w:rPr>
            </w:pPr>
            <w:r>
              <w:rPr>
                <w:rFonts w:ascii="Verdana" w:eastAsia="Calibri" w:hAnsi="Verdana" w:cs="Arial"/>
                <w:lang w:val="es-MX"/>
              </w:rPr>
              <w:t>P</w:t>
            </w:r>
            <w:r w:rsidR="00D32AB1" w:rsidRPr="00D32AB1">
              <w:rPr>
                <w:rFonts w:ascii="Verdana" w:eastAsia="Calibri" w:hAnsi="Verdana" w:cs="Arial"/>
                <w:lang w:val="es-MX"/>
              </w:rPr>
              <w:t xml:space="preserve">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w:t>
            </w:r>
            <w:r w:rsidR="00D32AB1" w:rsidRPr="00D32AB1">
              <w:rPr>
                <w:rFonts w:ascii="Verdana" w:eastAsia="Calibri" w:hAnsi="Verdana" w:cs="Arial"/>
                <w:lang w:val="es-MX"/>
              </w:rPr>
              <w:lastRenderedPageBreak/>
              <w:t>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3379E5CC"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5B003CA9"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D32AB1">
              <w:rPr>
                <w:rFonts w:ascii="Verdana" w:eastAsia="Calibri" w:hAnsi="Verdana" w:cs="Arial"/>
                <w:vertAlign w:val="superscript"/>
                <w:lang w:val="es-MX"/>
              </w:rPr>
              <w:footnoteReference w:id="2"/>
            </w:r>
            <w:r w:rsidRPr="00D32AB1">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33240A65"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3"/>
            </w:r>
            <w:r w:rsidRPr="00D32AB1">
              <w:rPr>
                <w:rFonts w:ascii="Verdana" w:eastAsia="Calibri" w:hAnsi="Verdana" w:cs="Arial"/>
                <w:lang w:val="es-MX"/>
              </w:rPr>
              <w:t xml:space="preserve"> establece que el tiempo de la práctica laboral que el estudiante realice para optar por su título profesional, </w:t>
            </w:r>
            <w:r w:rsidRPr="00D32AB1">
              <w:rPr>
                <w:rFonts w:ascii="Verdana" w:eastAsia="Calibri" w:hAnsi="Verdana" w:cs="Arial"/>
                <w:lang w:val="es-MX"/>
              </w:rPr>
              <w:lastRenderedPageBreak/>
              <w:t xml:space="preserve">tecnológico o técnico cuenta como experiencia laboral. Sin embargo, solo se computan como experiencia las prácticas laborales realizadas durante los veinticuatro (24) meses anteriores a la entrada en vigencia de dicha ley y las que se realicen con posterioridad. </w:t>
            </w:r>
          </w:p>
          <w:p w14:paraId="08AF86DB"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624240CD" w14:textId="51C4401C" w:rsidR="004A09F3" w:rsidRPr="0060049B"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r w:rsidR="004A09F3">
              <w:rPr>
                <w:rFonts w:ascii="Verdana" w:eastAsia="Times New Roman" w:hAnsi="Verdana" w:cs="Times New Roman"/>
                <w:lang w:eastAsia="es-MX"/>
              </w:rPr>
              <w:t xml:space="preserve"> </w:t>
            </w:r>
          </w:p>
        </w:tc>
      </w:tr>
    </w:tbl>
    <w:p w14:paraId="442752D8"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p w14:paraId="33A1EFA7"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Razones de la respuesta:</w:t>
      </w:r>
    </w:p>
    <w:p w14:paraId="6673A292" w14:textId="77777777" w:rsidR="004A09F3" w:rsidRPr="00AB18AB" w:rsidRDefault="004A09F3" w:rsidP="004A09F3">
      <w:pPr>
        <w:spacing w:after="0" w:line="276" w:lineRule="auto"/>
        <w:jc w:val="both"/>
        <w:rPr>
          <w:rFonts w:ascii="Verdana" w:eastAsia="Calibri" w:hAnsi="Verdana" w:cs="Arial"/>
          <w:color w:val="7030A0"/>
          <w:lang w:val="es-ES"/>
        </w:rPr>
      </w:pPr>
    </w:p>
    <w:p w14:paraId="7D30B11F" w14:textId="77777777" w:rsidR="004A09F3" w:rsidRPr="00AB18AB" w:rsidRDefault="004A09F3" w:rsidP="004A09F3">
      <w:pPr>
        <w:spacing w:after="0" w:line="276" w:lineRule="auto"/>
        <w:jc w:val="both"/>
        <w:rPr>
          <w:rFonts w:ascii="Verdana" w:eastAsia="Calibri" w:hAnsi="Verdana" w:cs="Arial"/>
          <w:lang w:val="es-ES"/>
        </w:rPr>
      </w:pPr>
      <w:r w:rsidRPr="00AB18AB">
        <w:rPr>
          <w:rFonts w:ascii="Verdana" w:eastAsia="Calibri" w:hAnsi="Verdana" w:cs="Arial"/>
          <w:lang w:val="es-ES"/>
        </w:rPr>
        <w:t xml:space="preserve">Lo anterior se sustenta en las siguientes consideraciones: </w:t>
      </w:r>
    </w:p>
    <w:p w14:paraId="4D20617A" w14:textId="77777777" w:rsidR="00212B4E" w:rsidRPr="00D84E89" w:rsidRDefault="00212B4E" w:rsidP="00212B4E">
      <w:pPr>
        <w:spacing w:after="0" w:line="276" w:lineRule="auto"/>
        <w:jc w:val="both"/>
        <w:rPr>
          <w:rFonts w:ascii="Verdana" w:eastAsia="Calibri" w:hAnsi="Verdana" w:cs="Arial"/>
          <w:lang w:val="es-ES"/>
        </w:rPr>
      </w:pPr>
    </w:p>
    <w:p w14:paraId="41F7FB5A" w14:textId="77777777" w:rsidR="006150B3" w:rsidRDefault="00E03DA1" w:rsidP="006150B3">
      <w:pPr>
        <w:spacing w:before="120" w:after="120" w:line="276" w:lineRule="auto"/>
        <w:jc w:val="both"/>
        <w:rPr>
          <w:rFonts w:ascii="Verdana" w:eastAsia="Calibri" w:hAnsi="Verdana" w:cs="Arial"/>
          <w:lang w:eastAsia="es-CO"/>
        </w:rPr>
      </w:pPr>
      <w:r>
        <w:rPr>
          <w:rFonts w:ascii="Verdana" w:eastAsia="Calibri" w:hAnsi="Verdana" w:cs="Arial"/>
          <w:color w:val="000000"/>
          <w:lang w:val="es-ES" w:eastAsia="es-ES_tradnl"/>
        </w:rPr>
        <w:t>En primer lugar, debe señalarse que, tal y c</w:t>
      </w:r>
      <w:r w:rsidR="001D4139" w:rsidRPr="00D84E89">
        <w:rPr>
          <w:rFonts w:ascii="Verdana" w:eastAsia="Calibri" w:hAnsi="Verdana" w:cs="Arial"/>
          <w:lang w:val="es-ES"/>
        </w:rPr>
        <w:t xml:space="preserve">omo lo indica </w:t>
      </w:r>
      <w:r w:rsidR="001D4139" w:rsidRPr="00D84E89">
        <w:rPr>
          <w:rFonts w:ascii="Verdana" w:eastAsia="Calibri" w:hAnsi="Verdana" w:cs="Arial"/>
          <w:lang w:eastAsia="es-CO"/>
        </w:rPr>
        <w:t>el “</w:t>
      </w:r>
      <w:r w:rsidR="001D4139" w:rsidRPr="00D84E89">
        <w:rPr>
          <w:rFonts w:ascii="Verdana" w:eastAsia="Calibri" w:hAnsi="Verdana" w:cs="Arial"/>
          <w:i/>
          <w:iCs/>
          <w:lang w:eastAsia="es-CO"/>
        </w:rPr>
        <w:t>Manual para determinar y verificar requisitos habilitantes en los procesos de contratación”</w:t>
      </w:r>
      <w:r w:rsidR="001D4139" w:rsidRPr="00D84E89">
        <w:rPr>
          <w:rStyle w:val="Refdenotaalpie"/>
          <w:rFonts w:ascii="Verdana" w:eastAsia="Calibri" w:hAnsi="Verdana" w:cs="Arial"/>
          <w:i/>
          <w:iCs/>
          <w:lang w:eastAsia="es-CO"/>
        </w:rPr>
        <w:footnoteReference w:id="4"/>
      </w:r>
      <w:r w:rsidR="001D4139" w:rsidRPr="00D84E89">
        <w:rPr>
          <w:rFonts w:ascii="Verdana" w:eastAsia="Calibri" w:hAnsi="Verdana" w:cs="Arial"/>
          <w:i/>
          <w:iCs/>
          <w:lang w:eastAsia="es-CO"/>
        </w:rPr>
        <w:t>,</w:t>
      </w:r>
      <w:r w:rsidR="001D4139" w:rsidRPr="00D84E89">
        <w:rPr>
          <w:rFonts w:ascii="Verdana" w:eastAsia="Calibri" w:hAnsi="Verdana" w:cs="Arial"/>
          <w:lang w:eastAsia="es-CO"/>
        </w:rPr>
        <w:t xml:space="preserve"> expedido por la Agencia Nacional de Contratación Pública, la experiencia debe ser entendida como el conocimiento del proponente derivado de su participación </w:t>
      </w:r>
      <w:r w:rsidR="001D4139" w:rsidRPr="00D84E89">
        <w:rPr>
          <w:rFonts w:ascii="Verdana" w:eastAsia="Calibri" w:hAnsi="Verdana" w:cs="Arial"/>
          <w:lang w:eastAsia="es-CO"/>
        </w:rPr>
        <w:lastRenderedPageBreak/>
        <w:t>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001D4139" w:rsidRPr="00D84E89">
        <w:rPr>
          <w:rFonts w:ascii="Verdana" w:eastAsia="Calibri" w:hAnsi="Verdana" w:cs="Arial"/>
          <w:vertAlign w:val="superscript"/>
          <w:lang w:eastAsia="es-CO"/>
        </w:rPr>
        <w:footnoteReference w:id="5"/>
      </w:r>
      <w:r w:rsidR="001D4139" w:rsidRPr="00D84E89">
        <w:rPr>
          <w:rFonts w:ascii="Verdana" w:eastAsia="Calibri" w:hAnsi="Verdana" w:cs="Arial"/>
          <w:lang w:eastAsia="es-CO"/>
        </w:rPr>
        <w:t xml:space="preserve">. </w:t>
      </w:r>
    </w:p>
    <w:p w14:paraId="39D7C7F5" w14:textId="3A434698" w:rsidR="004A09F3" w:rsidRPr="00AB18AB" w:rsidRDefault="004A09F3" w:rsidP="006150B3">
      <w:pPr>
        <w:spacing w:before="120" w:after="120" w:line="276" w:lineRule="auto"/>
        <w:ind w:firstLine="708"/>
        <w:jc w:val="both"/>
        <w:rPr>
          <w:rFonts w:ascii="Verdana" w:eastAsia="Calibri" w:hAnsi="Verdana" w:cs="Arial"/>
          <w:color w:val="000000"/>
          <w:lang w:val="es-ES" w:eastAsia="es-ES_tradnl"/>
        </w:rPr>
      </w:pPr>
      <w:r w:rsidRPr="00AB18AB">
        <w:rPr>
          <w:rFonts w:ascii="Verdana" w:eastAsia="Calibri" w:hAnsi="Verdana" w:cs="Arial"/>
          <w:color w:val="000000"/>
          <w:lang w:val="es-ES" w:eastAsia="es-ES_tradnl"/>
        </w:rPr>
        <w:t>Para este fin, la Entidad Estatal, como responsable de la estructuración de su procedimiento de selección, es autónoma para determinar los requisitos para acreditar la experiencia de acuerdo con el objeto contractual que pretende satisfacer. No obstante, en atención a lo dispuesto en el artículo 2.2.1.1.1.6.2 del Decreto 1082 de 2015, debe establecerla con sustento en el estudio del sector</w:t>
      </w:r>
      <w:r w:rsidRPr="00AB18AB">
        <w:rPr>
          <w:rFonts w:ascii="Verdana" w:hAnsi="Verdana" w:cs="Arial"/>
          <w:color w:val="000000"/>
          <w:vertAlign w:val="superscript"/>
          <w:lang w:val="es-ES" w:eastAsia="es-ES_tradnl"/>
        </w:rPr>
        <w:footnoteReference w:id="6"/>
      </w:r>
      <w:r w:rsidRPr="00AB18AB">
        <w:rPr>
          <w:rFonts w:ascii="Verdana" w:eastAsia="Calibri" w:hAnsi="Verdana" w:cs="Arial"/>
          <w:color w:val="000000"/>
          <w:lang w:val="es-ES" w:eastAsia="es-ES_tradnl"/>
        </w:rPr>
        <w:t xml:space="preserve"> y sus componentes, como la identificación de riesgos, el mercado y precio del bien, obra o servicio a contratar</w:t>
      </w:r>
      <w:r w:rsidRPr="00AB18AB">
        <w:rPr>
          <w:rFonts w:ascii="Verdana" w:hAnsi="Verdana" w:cs="Arial"/>
          <w:color w:val="000000"/>
          <w:vertAlign w:val="superscript"/>
          <w:lang w:val="es-ES" w:eastAsia="es-ES_tradnl"/>
        </w:rPr>
        <w:footnoteReference w:id="7"/>
      </w:r>
      <w:r w:rsidRPr="00AB18AB">
        <w:rPr>
          <w:rFonts w:ascii="Verdana" w:eastAsia="Calibri" w:hAnsi="Verdana" w:cs="Arial"/>
          <w:color w:val="000000"/>
          <w:lang w:val="es-ES" w:eastAsia="es-ES_tradnl"/>
        </w:rPr>
        <w:t>.</w:t>
      </w:r>
    </w:p>
    <w:p w14:paraId="261ECFB5" w14:textId="77777777" w:rsidR="004A09F3" w:rsidRPr="00D32AB1" w:rsidRDefault="004A09F3" w:rsidP="004A09F3">
      <w:pPr>
        <w:spacing w:before="120" w:after="120" w:line="276" w:lineRule="auto"/>
        <w:ind w:firstLine="709"/>
        <w:jc w:val="both"/>
        <w:rPr>
          <w:rFonts w:ascii="Verdana" w:hAnsi="Verdana"/>
        </w:rPr>
      </w:pPr>
      <w:r w:rsidRPr="00AB18AB">
        <w:rPr>
          <w:rFonts w:ascii="Verdana" w:eastAsia="Calibri" w:hAnsi="Verdana" w:cs="Arial"/>
          <w:color w:val="000000"/>
          <w:lang w:val="es-ES" w:eastAsia="es-ES_tradnl"/>
        </w:rPr>
        <w:t xml:space="preserve">En este sentido, </w:t>
      </w:r>
      <w:r w:rsidRPr="00D32AB1">
        <w:rPr>
          <w:rFonts w:ascii="Verdana" w:eastAsia="Calibri" w:hAnsi="Verdana" w:cs="Arial"/>
          <w:color w:val="000000"/>
          <w:lang w:val="es-ES" w:eastAsia="es-ES_tradnl"/>
        </w:rPr>
        <w:t xml:space="preserve">la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7131418" w14:textId="77777777" w:rsidR="004A09F3" w:rsidRPr="00D32AB1" w:rsidRDefault="004A09F3" w:rsidP="004A09F3">
      <w:pPr>
        <w:spacing w:before="120" w:after="120" w:line="276" w:lineRule="auto"/>
        <w:ind w:firstLine="709"/>
        <w:jc w:val="both"/>
        <w:rPr>
          <w:rFonts w:ascii="Verdana" w:hAnsi="Verdana"/>
        </w:rPr>
      </w:pPr>
      <w:r w:rsidRPr="00D32AB1">
        <w:rPr>
          <w:rFonts w:ascii="Verdana" w:hAnsi="Verdana"/>
        </w:rPr>
        <w:lastRenderedPageBreak/>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01F69F2F" w14:textId="26680B17" w:rsidR="004A09F3" w:rsidRPr="00D32AB1" w:rsidRDefault="004A09F3" w:rsidP="004A09F3">
      <w:pPr>
        <w:spacing w:before="120" w:after="120" w:line="276" w:lineRule="auto"/>
        <w:ind w:firstLine="709"/>
        <w:jc w:val="both"/>
        <w:rPr>
          <w:rFonts w:ascii="Verdana" w:hAnsi="Verdana"/>
        </w:rPr>
      </w:pPr>
      <w:r w:rsidRPr="00D32AB1">
        <w:rPr>
          <w:rFonts w:ascii="Verdana" w:hAnsi="Verdana"/>
        </w:rPr>
        <w:t xml:space="preserve">En segundo lugar, </w:t>
      </w:r>
      <w:r w:rsidR="00212B4E" w:rsidRPr="00D32AB1">
        <w:rPr>
          <w:rFonts w:ascii="Verdana" w:hAnsi="Verdana"/>
        </w:rPr>
        <w:t>la experiencia se entiende</w:t>
      </w:r>
      <w:r w:rsidRPr="00D32AB1">
        <w:rPr>
          <w:rFonts w:ascii="Verdana" w:hAnsi="Verdana"/>
        </w:rPr>
        <w:t xml:space="preserv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Este enfoque es característico de la modalidad de Concurso de Méritos, utilizada para la selección de consultores e interventores, donde la ley prohíbe explícitamente incluir el precio como factor de escogencia</w:t>
      </w:r>
      <w:r w:rsidRPr="00D32AB1">
        <w:rPr>
          <w:rFonts w:ascii="Verdana" w:hAnsi="Verdana"/>
        </w:rPr>
        <w:t>.</w:t>
      </w:r>
    </w:p>
    <w:p w14:paraId="46BA5E50" w14:textId="77777777" w:rsidR="00935D06" w:rsidRPr="00D32AB1" w:rsidRDefault="00935D06" w:rsidP="00935D06">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76C0F182" w14:textId="5744B537" w:rsidR="00935D06" w:rsidRPr="00D32AB1" w:rsidRDefault="00935D06" w:rsidP="00935D06">
      <w:pPr>
        <w:spacing w:after="240" w:line="276" w:lineRule="auto"/>
        <w:ind w:firstLine="708"/>
        <w:jc w:val="both"/>
        <w:rPr>
          <w:rFonts w:ascii="Verdana" w:hAnsi="Verdana" w:cs="ArialMT"/>
        </w:rPr>
      </w:pPr>
      <w:r w:rsidRPr="00D32AB1">
        <w:rPr>
          <w:rFonts w:ascii="Verdana" w:hAnsi="Verdana" w:cs="Arial"/>
        </w:rPr>
        <w:t xml:space="preserve">El procedimiento de selección de concurso de méritos, aplicable para la escogencia de consultores, está reglamentado por el artículo 2.2.1.2.1.3.2. del Decreto 1082 de 2015, modificado por el Decreto 399 de 2021. El numeral 1 dispone que </w:t>
      </w:r>
      <w:r w:rsidR="00577B15" w:rsidRPr="00D32AB1">
        <w:rPr>
          <w:rFonts w:ascii="Verdana" w:hAnsi="Verdana" w:cs="Arial"/>
        </w:rPr>
        <w:t>“</w:t>
      </w:r>
      <w:r w:rsidRPr="00D32AB1">
        <w:rPr>
          <w:rFonts w:ascii="Verdana" w:hAnsi="Verdana" w:cs="Arial"/>
        </w:rPr>
        <w:t>La Entidad Estatal en los pliegos de condiciones debe indicar la forma como calificará, entre otros, los siguientes criterios: a) la experiencia del interesado y del equipo de trabajo y b) la formación académica del equipo de trabajo</w:t>
      </w:r>
      <w:r w:rsidR="00577B15" w:rsidRPr="00D32AB1">
        <w:rPr>
          <w:rFonts w:ascii="Verdana" w:hAnsi="Verdana" w:cs="Arial"/>
        </w:rPr>
        <w:t>”</w:t>
      </w:r>
      <w:r w:rsidRPr="00D32AB1">
        <w:rPr>
          <w:rFonts w:ascii="Verdana" w:hAnsi="Verdana" w:cs="Arial"/>
        </w:rPr>
        <w:t xml:space="preserve"> (Énfasis fuera de texto). Conforme a esto, los factores ponderables en un proceso de selección de concurso de méritos – esto es, los que determinan </w:t>
      </w:r>
      <w:r w:rsidRPr="00D32AB1">
        <w:rPr>
          <w:rFonts w:ascii="Verdana" w:hAnsi="Verdana" w:cs="Arial"/>
        </w:rPr>
        <w:lastRenderedPageBreak/>
        <w:t>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7ACCC88B" w14:textId="77777777" w:rsidR="00F336B5" w:rsidRPr="00D32AB1" w:rsidRDefault="004A09F3"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Un ejemplo claro de </w:t>
      </w:r>
      <w:r w:rsidR="006316C2" w:rsidRPr="00D32AB1">
        <w:rPr>
          <w:rFonts w:ascii="Verdana" w:eastAsia="Times New Roman" w:hAnsi="Verdana" w:cs="Times New Roman"/>
          <w:lang w:eastAsia="es-MX"/>
        </w:rPr>
        <w:t xml:space="preserve">lo </w:t>
      </w:r>
      <w:r w:rsidR="00F62AB6" w:rsidRPr="00D32AB1">
        <w:rPr>
          <w:rFonts w:ascii="Verdana" w:eastAsia="Times New Roman" w:hAnsi="Verdana" w:cs="Times New Roman"/>
          <w:lang w:eastAsia="es-MX"/>
        </w:rPr>
        <w:t>anterior</w:t>
      </w:r>
      <w:r w:rsidR="006316C2" w:rsidRPr="00D32AB1">
        <w:rPr>
          <w:rFonts w:ascii="Verdana" w:eastAsia="Times New Roman" w:hAnsi="Verdana" w:cs="Times New Roman"/>
          <w:lang w:eastAsia="es-MX"/>
        </w:rPr>
        <w:t xml:space="preserve"> </w:t>
      </w:r>
      <w:r w:rsidRPr="00D32AB1">
        <w:rPr>
          <w:rFonts w:ascii="Verdana" w:eastAsia="Times New Roman" w:hAnsi="Verdana" w:cs="Times New Roman"/>
          <w:lang w:eastAsia="es-MX"/>
        </w:rPr>
        <w:t xml:space="preserve">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3133FAE3" w14:textId="6AAFF166" w:rsidR="00F336B5" w:rsidRPr="00D32AB1" w:rsidRDefault="00F336B5"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068365B4" w14:textId="69A22E34" w:rsidR="00C021AF" w:rsidRPr="00D32AB1" w:rsidRDefault="00F336B5" w:rsidP="006B276E">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t xml:space="preserve">Ahora bien, en relación con </w:t>
      </w:r>
      <w:r w:rsidR="006B276E" w:rsidRPr="00D32AB1">
        <w:rPr>
          <w:rFonts w:ascii="Verdana" w:eastAsia="Times New Roman" w:hAnsi="Verdana" w:cs="Times New Roman"/>
          <w:lang w:eastAsia="es-MX"/>
        </w:rPr>
        <w:t>l</w:t>
      </w:r>
      <w:r w:rsidR="00C021AF" w:rsidRPr="00D32AB1">
        <w:rPr>
          <w:rFonts w:ascii="Verdana" w:eastAsia="Calibri" w:hAnsi="Verdana" w:cs="Arial"/>
          <w:lang w:val="es-MX"/>
        </w:rPr>
        <w:t xml:space="preserve">a experiencia profesional </w:t>
      </w:r>
      <w:r w:rsidR="006B276E" w:rsidRPr="00D32AB1">
        <w:rPr>
          <w:rFonts w:ascii="Verdana" w:eastAsia="Calibri" w:hAnsi="Verdana" w:cs="Arial"/>
          <w:lang w:val="es-MX"/>
        </w:rPr>
        <w:t xml:space="preserve">esta </w:t>
      </w:r>
      <w:r w:rsidR="00C021AF" w:rsidRPr="00D32AB1">
        <w:rPr>
          <w:rFonts w:ascii="Verdana" w:eastAsia="Calibri" w:hAnsi="Verdana" w:cs="Arial"/>
          <w:lang w:val="es-MX"/>
        </w:rPr>
        <w:t>se debe verificar</w:t>
      </w:r>
      <w:r w:rsidR="006B276E" w:rsidRPr="00D32AB1">
        <w:rPr>
          <w:rFonts w:ascii="Verdana" w:eastAsia="Calibri" w:hAnsi="Verdana" w:cs="Arial"/>
          <w:lang w:val="es-MX"/>
        </w:rPr>
        <w:t xml:space="preserve"> </w:t>
      </w:r>
      <w:r w:rsidR="00C021AF" w:rsidRPr="00D32AB1">
        <w:rPr>
          <w:rFonts w:ascii="Verdana" w:eastAsia="Calibri" w:hAnsi="Verdana" w:cs="Arial"/>
          <w:lang w:val="es-MX"/>
        </w:rPr>
        <w:t>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00C021AF" w:rsidRPr="00D32AB1">
        <w:rPr>
          <w:rFonts w:ascii="Verdana" w:eastAsia="Calibri" w:hAnsi="Verdana" w:cs="Arial"/>
          <w:vertAlign w:val="superscript"/>
          <w:lang w:val="es-MX"/>
        </w:rPr>
        <w:footnoteReference w:id="8"/>
      </w:r>
      <w:r w:rsidR="00C021AF" w:rsidRPr="00D32AB1">
        <w:rPr>
          <w:rFonts w:ascii="Verdana" w:eastAsia="Calibri" w:hAnsi="Verdana" w:cs="Arial"/>
          <w:lang w:val="es-MX"/>
        </w:rPr>
        <w:t>.</w:t>
      </w:r>
    </w:p>
    <w:p w14:paraId="70CCB652" w14:textId="77777777" w:rsidR="0023512F" w:rsidRPr="00D32AB1" w:rsidRDefault="00C021A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Conforme con lo anterior, el cómputo de la experiencia profesional, por regla general, comienza con la terminación y aprobación del pénsum académico de educación superior, y siempre que el profesional acredite que trabajó. </w:t>
      </w:r>
      <w:r w:rsidR="006B276E" w:rsidRPr="00D32AB1">
        <w:rPr>
          <w:rFonts w:ascii="Verdana" w:eastAsia="Calibri" w:hAnsi="Verdana" w:cs="Arial"/>
          <w:lang w:val="es-MX"/>
        </w:rPr>
        <w:t xml:space="preserve">No obstante, </w:t>
      </w:r>
      <w:r w:rsidR="001379D1" w:rsidRPr="00D32AB1">
        <w:rPr>
          <w:rFonts w:ascii="Verdana" w:eastAsia="Calibri" w:hAnsi="Verdana" w:cs="Arial"/>
          <w:lang w:val="es-MX"/>
        </w:rPr>
        <w:t>existen ciertas excepciones</w:t>
      </w:r>
      <w:r w:rsidR="009723A2" w:rsidRPr="00D32AB1">
        <w:rPr>
          <w:rFonts w:ascii="Verdana" w:eastAsia="Calibri" w:hAnsi="Verdana" w:cs="Arial"/>
          <w:lang w:val="es-MX"/>
        </w:rPr>
        <w:t>, por ejemplo, f</w:t>
      </w:r>
      <w:r w:rsidR="006B276E" w:rsidRPr="00D32AB1">
        <w:rPr>
          <w:rFonts w:ascii="Verdana" w:eastAsia="Calibri" w:hAnsi="Verdana" w:cs="Arial"/>
          <w:lang w:val="es-MX"/>
        </w:rPr>
        <w:t>rente a</w:t>
      </w:r>
      <w:r w:rsidRPr="00D32AB1">
        <w:rPr>
          <w:rFonts w:ascii="Verdana" w:eastAsia="Calibri" w:hAnsi="Verdana" w:cs="Arial"/>
          <w:lang w:val="es-MX"/>
        </w:rPr>
        <w:t xml:space="preserve"> las profesiones relacionadas con temas de salud, la experiencia profesional se cuenta desde la inscripción o registro, es decir, a partir de la expedición de la tarjeta profesional.</w:t>
      </w:r>
    </w:p>
    <w:p w14:paraId="1237964B" w14:textId="46CE3B7B"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lastRenderedPageBreak/>
        <w:t>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798D6A99"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413F67FE"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38855138"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53C9F71E" w14:textId="19B704AB" w:rsidR="00C021AF" w:rsidRPr="00D32AB1" w:rsidRDefault="00C021AF" w:rsidP="00C021A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Por otro lado, es importante señalar que a partir de la Ley 1955 de 2019 se permite contar como experiencia profesional las prácticas laborales realizadas por estudiantes para obtener el título de grado. De acuerdo con el </w:t>
      </w:r>
      <w:r w:rsidRPr="00D32AB1">
        <w:rPr>
          <w:rFonts w:ascii="Verdana" w:eastAsia="Calibri" w:hAnsi="Verdana" w:cs="Arial"/>
          <w:lang w:val="es-MX"/>
        </w:rPr>
        <w:lastRenderedPageBreak/>
        <w:t>artículo 15 de la Ley 1780 de 2016</w:t>
      </w:r>
      <w:r w:rsidRPr="00D32AB1">
        <w:rPr>
          <w:rFonts w:ascii="Verdana" w:eastAsia="Calibri" w:hAnsi="Verdana" w:cs="Arial"/>
          <w:vertAlign w:val="superscript"/>
          <w:lang w:val="es-MX"/>
        </w:rPr>
        <w:footnoteReference w:id="9"/>
      </w:r>
      <w:r w:rsidRPr="00D32AB1">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71EA0009" w14:textId="77777777" w:rsidR="00D32AB1" w:rsidRPr="00D32AB1" w:rsidRDefault="00C021AF"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10"/>
      </w:r>
      <w:r w:rsidRPr="00D32AB1">
        <w:rPr>
          <w:rFonts w:ascii="Verdana" w:eastAsia="Calibri" w:hAnsi="Verdana" w:cs="Arial"/>
          <w:lang w:val="es-MX"/>
        </w:rPr>
        <w:t xml:space="preserve"> establece que el tiempo de la práctica laboral que el estudiante realice para optar por su título profesional, tecnológico o técnico cuenta como experiencia laboral. Sin embargo, solo se computan como experiencia las prácticas laborales realizadas durante los veinticuatro (24) meses anteriores a la entrada en vigencia de dicha ley y las que se realicen con posterioridad</w:t>
      </w:r>
      <w:r w:rsidR="009723A2" w:rsidRPr="00D32AB1">
        <w:rPr>
          <w:rFonts w:ascii="Verdana" w:eastAsia="Calibri" w:hAnsi="Verdana" w:cs="Arial"/>
          <w:lang w:val="es-MX"/>
        </w:rPr>
        <w:t xml:space="preserve">. </w:t>
      </w:r>
    </w:p>
    <w:p w14:paraId="10C40A59" w14:textId="10F0689D" w:rsidR="004A09F3" w:rsidRPr="00D32AB1" w:rsidRDefault="009379C8"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w:t>
      </w:r>
      <w:r w:rsidR="004A09F3" w:rsidRPr="00D32AB1">
        <w:rPr>
          <w:rFonts w:ascii="Verdana" w:eastAsia="Times New Roman" w:hAnsi="Verdana" w:cs="Times New Roman"/>
          <w:lang w:eastAsia="es-MX"/>
        </w:rPr>
        <w:t>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4BCDAE48" w14:textId="77777777" w:rsidR="004A09F3" w:rsidRPr="00D32AB1" w:rsidRDefault="004A09F3" w:rsidP="004A09F3">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w:t>
      </w:r>
      <w:r w:rsidRPr="00D32AB1">
        <w:rPr>
          <w:rFonts w:ascii="Verdana" w:eastAsia="Times New Roman" w:hAnsi="Verdana" w:cs="Times New Roman"/>
          <w:lang w:eastAsia="es-MX"/>
        </w:rPr>
        <w:lastRenderedPageBreak/>
        <w:t xml:space="preserve">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p>
    <w:p w14:paraId="23ACEBCC" w14:textId="77777777" w:rsidR="004A09F3" w:rsidRDefault="004A09F3" w:rsidP="004A09F3">
      <w:pPr>
        <w:numPr>
          <w:ilvl w:val="0"/>
          <w:numId w:val="16"/>
        </w:numPr>
        <w:tabs>
          <w:tab w:val="left" w:pos="142"/>
          <w:tab w:val="left" w:pos="284"/>
        </w:tabs>
        <w:spacing w:after="0" w:line="276" w:lineRule="auto"/>
        <w:ind w:left="357" w:hanging="357"/>
        <w:jc w:val="both"/>
        <w:rPr>
          <w:rFonts w:ascii="Verdana" w:eastAsia="Century Gothic" w:hAnsi="Verdana" w:cs="Century Gothic"/>
          <w:b/>
          <w:bCs/>
        </w:rPr>
      </w:pPr>
      <w:r w:rsidRPr="0075418A">
        <w:rPr>
          <w:rFonts w:ascii="Verdana" w:eastAsia="Century Gothic" w:hAnsi="Verdana" w:cs="Century Gothic"/>
          <w:b/>
          <w:bCs/>
        </w:rPr>
        <w:t>Referencias normativas, jurisprudenciales y otras fuentes:</w:t>
      </w:r>
    </w:p>
    <w:p w14:paraId="3BDEA556" w14:textId="77777777" w:rsidR="004A09F3" w:rsidRPr="00825C8B" w:rsidRDefault="004A09F3" w:rsidP="004A09F3">
      <w:pPr>
        <w:tabs>
          <w:tab w:val="left" w:pos="142"/>
          <w:tab w:val="left" w:pos="284"/>
        </w:tabs>
        <w:spacing w:after="0" w:line="276" w:lineRule="auto"/>
        <w:ind w:left="357"/>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09F3" w:rsidRPr="00AB18AB" w14:paraId="6B15BEAB" w14:textId="77777777" w:rsidTr="00B66D77">
        <w:trPr>
          <w:trHeight w:val="870"/>
        </w:trPr>
        <w:tc>
          <w:tcPr>
            <w:tcW w:w="8647" w:type="dxa"/>
          </w:tcPr>
          <w:p w14:paraId="67799EDE" w14:textId="77777777" w:rsidR="004A09F3" w:rsidRPr="00406044" w:rsidRDefault="004A09F3" w:rsidP="004A09F3">
            <w:pPr>
              <w:pStyle w:val="Prrafodelista"/>
              <w:widowControl w:val="0"/>
              <w:numPr>
                <w:ilvl w:val="0"/>
                <w:numId w:val="18"/>
              </w:numPr>
              <w:autoSpaceDE w:val="0"/>
              <w:autoSpaceDN w:val="0"/>
              <w:spacing w:line="276" w:lineRule="auto"/>
              <w:jc w:val="both"/>
              <w:rPr>
                <w:rFonts w:ascii="Verdana" w:hAnsi="Verdana" w:cs="Arial"/>
              </w:rPr>
            </w:pPr>
            <w:r w:rsidRPr="00AB18AB">
              <w:rPr>
                <w:rFonts w:ascii="Verdana" w:hAnsi="Verdana" w:cs="Arial"/>
              </w:rPr>
              <w:t xml:space="preserve">Decreto 1082 de 2015. Artículos: </w:t>
            </w:r>
            <w:r w:rsidRPr="00AB18AB">
              <w:rPr>
                <w:rFonts w:ascii="Verdana" w:eastAsia="Calibri" w:hAnsi="Verdana" w:cs="Arial"/>
              </w:rPr>
              <w:t xml:space="preserve">2.2.1.1.1.6.1, </w:t>
            </w:r>
            <w:r w:rsidRPr="00AB18AB">
              <w:rPr>
                <w:rFonts w:ascii="Verdana" w:eastAsia="Calibri" w:hAnsi="Verdana" w:cs="Arial"/>
                <w:color w:val="000000" w:themeColor="text1"/>
              </w:rPr>
              <w:t>2.2.1.1.1.6.2.</w:t>
            </w:r>
          </w:p>
          <w:p w14:paraId="3FD0A78E" w14:textId="77777777" w:rsidR="004A09F3" w:rsidRPr="00927E7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Ley 80 de 1993. Artículo: 7. </w:t>
            </w:r>
          </w:p>
          <w:p w14:paraId="2AA6DDF0" w14:textId="5E9D0306" w:rsidR="00927E7B" w:rsidRPr="00406044" w:rsidRDefault="00927E7B"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Times New Roman" w:hAnsi="Verdana" w:cs="Times New Roman"/>
                <w:lang w:eastAsia="es-MX"/>
              </w:rPr>
              <w:t>Ley 842 de 2003, articulo 20.</w:t>
            </w:r>
          </w:p>
          <w:p w14:paraId="58268612" w14:textId="77777777" w:rsidR="00CD440A" w:rsidRPr="00AB18AB" w:rsidRDefault="00CD440A" w:rsidP="00CD440A">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AB18AB">
              <w:rPr>
                <w:rFonts w:ascii="Verdana" w:eastAsia="Calibri" w:hAnsi="Verdana" w:cs="Arial"/>
                <w:lang w:val="es-ES_tradnl"/>
              </w:rPr>
              <w:t xml:space="preserve">Ley 2022 de 2020, artículo 1. </w:t>
            </w:r>
          </w:p>
          <w:p w14:paraId="58F25487" w14:textId="77777777" w:rsidR="00CD440A" w:rsidRPr="00AB18AB" w:rsidRDefault="00CD440A" w:rsidP="00CD440A">
            <w:pPr>
              <w:widowControl w:val="0"/>
              <w:numPr>
                <w:ilvl w:val="0"/>
                <w:numId w:val="17"/>
              </w:numPr>
              <w:autoSpaceDE w:val="0"/>
              <w:autoSpaceDN w:val="0"/>
              <w:spacing w:line="276" w:lineRule="auto"/>
              <w:jc w:val="both"/>
              <w:rPr>
                <w:rFonts w:ascii="Verdana" w:eastAsia="Calibri" w:hAnsi="Verdana" w:cs="Arial"/>
              </w:rPr>
            </w:pPr>
            <w:r w:rsidRPr="00AB18AB">
              <w:rPr>
                <w:rFonts w:ascii="Verdana" w:eastAsia="Calibri" w:hAnsi="Verdana" w:cs="Arial"/>
              </w:rPr>
              <w:t>Ley 1150 de 2007, artículo 2.</w:t>
            </w:r>
          </w:p>
          <w:p w14:paraId="42B8C48F" w14:textId="77777777" w:rsidR="00CD440A" w:rsidRPr="00CD440A" w:rsidRDefault="00CD440A" w:rsidP="00CD440A">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hAnsi="Verdana" w:cs="Arial"/>
              </w:rPr>
              <w:t>Corte Constitucional, sentencia C-414 del 22 de septiembre de 1996, M.P. Antonio Barrera Carbonell.</w:t>
            </w:r>
          </w:p>
          <w:p w14:paraId="455970D9" w14:textId="77777777" w:rsidR="004A09F3" w:rsidRPr="00AB18A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Manual </w:t>
            </w:r>
            <w:r w:rsidRPr="00AB18AB">
              <w:rPr>
                <w:rFonts w:ascii="Verdana" w:eastAsia="Calibri" w:hAnsi="Verdana" w:cs="Arial"/>
              </w:rPr>
              <w:t>para determinar y verificar los requisitos habilitantes en los procesos de contratación</w:t>
            </w:r>
            <w:r w:rsidRPr="00AB18AB">
              <w:rPr>
                <w:rFonts w:ascii="Verdana" w:hAnsi="Verdana" w:cs="Arial"/>
              </w:rPr>
              <w:t xml:space="preserve"> en: </w:t>
            </w:r>
            <w:hyperlink r:id="rId12" w:history="1">
              <w:r w:rsidRPr="00AB18AB">
                <w:rPr>
                  <w:rStyle w:val="Hipervnculo"/>
                  <w:rFonts w:ascii="Verdana" w:hAnsi="Verdana" w:cs="Arial"/>
                </w:rPr>
                <w:t>https://www.colombiacompra.gov.co/wp-content/uploads/2024/08/cce-eicp-ma-04._manual_requisitos_habilitantes_v3_29-09-2023.pdf</w:t>
              </w:r>
            </w:hyperlink>
          </w:p>
          <w:p w14:paraId="45B5D0BD" w14:textId="01DF16FE" w:rsidR="004A09F3" w:rsidRPr="00927E7B" w:rsidRDefault="004A09F3" w:rsidP="00927E7B">
            <w:pPr>
              <w:widowControl w:val="0"/>
              <w:numPr>
                <w:ilvl w:val="0"/>
                <w:numId w:val="17"/>
              </w:numPr>
              <w:autoSpaceDE w:val="0"/>
              <w:autoSpaceDN w:val="0"/>
              <w:spacing w:line="276" w:lineRule="auto"/>
              <w:contextualSpacing/>
              <w:jc w:val="both"/>
              <w:rPr>
                <w:rFonts w:ascii="Verdana" w:hAnsi="Verdana" w:cs="Arial"/>
              </w:rPr>
            </w:pPr>
            <w:r w:rsidRPr="00AB18AB">
              <w:rPr>
                <w:rFonts w:ascii="Verdana" w:eastAsia="Calibri" w:hAnsi="Verdana" w:cs="Arial"/>
                <w:lang w:val="es-ES_tradnl"/>
              </w:rPr>
              <w:t xml:space="preserve">Documentos Tipo. Disponibles en: </w:t>
            </w:r>
            <w:hyperlink r:id="rId13" w:history="1">
              <w:r w:rsidRPr="00AB18AB">
                <w:rPr>
                  <w:rFonts w:ascii="Verdana" w:eastAsia="Calibri" w:hAnsi="Verdana" w:cs="Arial"/>
                  <w:color w:val="0000FF"/>
                  <w:u w:val="single"/>
                  <w:lang w:val="es-ES_tradnl"/>
                </w:rPr>
                <w:t>https://www.colombiacompra.gov.co/documentos-tipo/documentos-tipo</w:t>
              </w:r>
            </w:hyperlink>
            <w:r w:rsidRPr="00AB18AB">
              <w:rPr>
                <w:rFonts w:ascii="Verdana" w:eastAsia="Calibri" w:hAnsi="Verdana" w:cs="Arial"/>
                <w:lang w:val="es-ES_tradnl"/>
              </w:rPr>
              <w:t>.</w:t>
            </w:r>
          </w:p>
        </w:tc>
      </w:tr>
    </w:tbl>
    <w:p w14:paraId="3C40A86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2605DFDA" w14:textId="3818CF59" w:rsidR="004A09F3" w:rsidRPr="004A09F3"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A09F3">
        <w:rPr>
          <w:rFonts w:ascii="Verdana" w:eastAsia="Century Gothic" w:hAnsi="Verdana" w:cs="Century Gothic"/>
          <w:b/>
          <w:bCs/>
        </w:rPr>
        <w:t>Doctrina de la Agencia Nacional de Contratación Pública:</w:t>
      </w:r>
    </w:p>
    <w:p w14:paraId="4A6982CA" w14:textId="61728622"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r w:rsidRPr="00AB18AB">
        <w:rPr>
          <w:rFonts w:ascii="Verdana" w:eastAsia="Calibri" w:hAnsi="Verdana" w:cs="Arial"/>
          <w:shd w:val="clear" w:color="auto" w:fill="FFFFFF"/>
        </w:rPr>
        <w:t>L</w:t>
      </w:r>
      <w:r w:rsidRPr="00AB18AB">
        <w:rPr>
          <w:rFonts w:ascii="Verdana" w:eastAsia="Calibri" w:hAnsi="Verdana" w:cs="Arial"/>
          <w:shd w:val="clear" w:color="auto" w:fill="FFFFFF"/>
          <w:lang w:val="es-ES"/>
        </w:rPr>
        <w:t xml:space="preserve">a Agencia Nacional de Contratación Pública – Colombia Compra Eficiente, se ha pronunciado </w:t>
      </w:r>
      <w:r w:rsidRPr="00AB18AB">
        <w:rPr>
          <w:rFonts w:ascii="Verdana" w:hAnsi="Verdana" w:cs="Arial"/>
          <w:shd w:val="clear" w:color="auto" w:fill="FFFFFF"/>
        </w:rPr>
        <w:t xml:space="preserve">sobre la acreditación de experiencia por parte de integrantes de proponentes plurales, en los conceptos </w:t>
      </w:r>
      <w:r w:rsidRPr="00AB18AB">
        <w:rPr>
          <w:rFonts w:ascii="Verdana" w:hAnsi="Verdana"/>
          <w:lang w:val="es-ES"/>
        </w:rPr>
        <w:t xml:space="preserve">C- 124 del 12 de mayo de 2023, C-167 del 5 de junio de 2023, </w:t>
      </w:r>
      <w:r w:rsidRPr="00AB18AB">
        <w:rPr>
          <w:rFonts w:ascii="Verdana" w:hAnsi="Verdana" w:cs="Arial"/>
          <w:shd w:val="clear" w:color="auto" w:fill="FFFFFF"/>
        </w:rPr>
        <w:t>C-648 del 6 de noviembre de 2024, C-1002 del 30 de enero de 2025, C-128 del 26 de junio de 2025, C-568 del 24 de junio de 2025</w:t>
      </w:r>
      <w:r w:rsidRPr="00AB18AB">
        <w:rPr>
          <w:rStyle w:val="normaltextrun"/>
          <w:rFonts w:ascii="Verdana" w:hAnsi="Verdana" w:cs="Arial"/>
          <w:shd w:val="clear" w:color="auto" w:fill="FFFFFF"/>
          <w:lang w:val="es-ES"/>
        </w:rPr>
        <w:t>, C-698 del 14 de julio de 2025, C-1156 de 2025. entre otros.</w:t>
      </w:r>
      <w:r w:rsidRPr="00AB18AB">
        <w:rPr>
          <w:rFonts w:ascii="Verdana" w:eastAsia="Calibri" w:hAnsi="Verdana" w:cs="Arial"/>
          <w:shd w:val="clear" w:color="auto" w:fill="FFFFFF"/>
        </w:rPr>
        <w:t xml:space="preserve"> </w:t>
      </w:r>
    </w:p>
    <w:p w14:paraId="4CCB5BFE" w14:textId="77777777"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p>
    <w:p w14:paraId="30950C98" w14:textId="77777777" w:rsidR="004A09F3" w:rsidRPr="00AB18AB" w:rsidRDefault="004A09F3" w:rsidP="004A09F3">
      <w:pPr>
        <w:widowControl w:val="0"/>
        <w:autoSpaceDE w:val="0"/>
        <w:autoSpaceDN w:val="0"/>
        <w:spacing w:after="0" w:line="276" w:lineRule="auto"/>
        <w:jc w:val="both"/>
        <w:rPr>
          <w:rFonts w:ascii="Verdana" w:eastAsia="Times New Roman" w:hAnsi="Verdana" w:cs="Arial"/>
          <w:shd w:val="clear" w:color="auto" w:fill="FFFFFF"/>
          <w:lang w:val="es-ES"/>
        </w:rPr>
      </w:pPr>
      <w:r w:rsidRPr="00AB18AB">
        <w:rPr>
          <w:rFonts w:ascii="Verdana" w:eastAsia="Calibri" w:hAnsi="Verdana" w:cs="Arial"/>
          <w:shd w:val="clear" w:color="auto" w:fill="FFFFFF"/>
        </w:rPr>
        <w:t>Respecto a</w:t>
      </w:r>
      <w:r w:rsidRPr="00AB18AB">
        <w:rPr>
          <w:rFonts w:ascii="Verdana" w:eastAsia="Calibri" w:hAnsi="Verdana" w:cs="Arial"/>
          <w:shd w:val="clear" w:color="auto" w:fill="FFFFFF"/>
          <w:lang w:val="es-ES"/>
        </w:rPr>
        <w:t xml:space="preserve">l fundamento normativo de los documentos tipo en los conceptos,  </w:t>
      </w:r>
      <w:r w:rsidRPr="00AB18AB">
        <w:rPr>
          <w:rFonts w:ascii="Verdana" w:hAnsi="Verdana" w:cs="Arial"/>
          <w:shd w:val="clear" w:color="auto" w:fill="FFFFFF"/>
        </w:rPr>
        <w:t xml:space="preserve">esta Subdirección se ha pronunciado en los conceptos </w:t>
      </w:r>
      <w:r w:rsidRPr="00AB18AB">
        <w:rPr>
          <w:rFonts w:ascii="Verdana" w:eastAsia="Times New Roman" w:hAnsi="Verdana" w:cs="Arial"/>
          <w:shd w:val="clear" w:color="auto" w:fill="FFFFFF"/>
          <w:lang w:val="es-ES"/>
        </w:rPr>
        <w:t xml:space="preserve">C-653 del 9 de noviembre </w:t>
      </w:r>
      <w:r w:rsidRPr="00AB18AB">
        <w:rPr>
          <w:rFonts w:ascii="Verdana" w:eastAsia="Times New Roman" w:hAnsi="Verdana" w:cs="Arial"/>
          <w:shd w:val="clear" w:color="auto" w:fill="FFFFFF"/>
          <w:lang w:val="es-ES"/>
        </w:rPr>
        <w:lastRenderedPageBreak/>
        <w:t xml:space="preserve">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y C-753 del 4 de enero de 2024. </w:t>
      </w:r>
    </w:p>
    <w:p w14:paraId="6110FD95" w14:textId="77777777" w:rsidR="004A09F3" w:rsidRPr="00AB18AB" w:rsidRDefault="004A09F3" w:rsidP="004A09F3">
      <w:pPr>
        <w:widowControl w:val="0"/>
        <w:autoSpaceDE w:val="0"/>
        <w:autoSpaceDN w:val="0"/>
        <w:spacing w:after="0" w:line="276" w:lineRule="auto"/>
        <w:jc w:val="both"/>
        <w:rPr>
          <w:rFonts w:ascii="Verdana" w:eastAsia="Calibri" w:hAnsi="Verdana" w:cs="Times New Roman"/>
          <w:lang w:val="es-ES"/>
        </w:rPr>
      </w:pPr>
    </w:p>
    <w:p w14:paraId="63DD1937" w14:textId="77777777" w:rsidR="004A09F3" w:rsidRPr="00AB18AB" w:rsidRDefault="004A09F3" w:rsidP="004A09F3">
      <w:pPr>
        <w:widowControl w:val="0"/>
        <w:autoSpaceDE w:val="0"/>
        <w:autoSpaceDN w:val="0"/>
        <w:spacing w:after="0" w:line="276" w:lineRule="auto"/>
        <w:jc w:val="both"/>
        <w:rPr>
          <w:rFonts w:ascii="Verdana" w:eastAsia="Arial" w:hAnsi="Verdana" w:cs="Arial"/>
          <w:lang w:val="es-MX" w:eastAsia="es-ES"/>
        </w:rPr>
      </w:pPr>
      <w:r w:rsidRPr="00AB18A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41D35E3" w14:textId="77777777" w:rsidR="004A09F3" w:rsidRPr="00AB18AB" w:rsidRDefault="004A09F3" w:rsidP="004A09F3">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AB18AB">
          <w:rPr>
            <w:rStyle w:val="Hipervnculo"/>
            <w:rFonts w:ascii="Verdana" w:eastAsia="Calibri" w:hAnsi="Verdana" w:cs="Times New Roman"/>
            <w:lang w:val="es-ES"/>
          </w:rPr>
          <w:t>https://relatoria.colombiacompra.gov.co/busqueda/conceptos</w:t>
        </w:r>
      </w:hyperlink>
      <w:r w:rsidRPr="00AB18AB">
        <w:rPr>
          <w:rFonts w:ascii="Verdana" w:eastAsia="Calibri" w:hAnsi="Verdana" w:cs="Times New Roman"/>
        </w:rPr>
        <w:t>.</w:t>
      </w:r>
    </w:p>
    <w:p w14:paraId="5FA91650" w14:textId="77777777" w:rsidR="004A09F3" w:rsidRPr="00AB18AB" w:rsidRDefault="004A09F3" w:rsidP="004A09F3">
      <w:pPr>
        <w:widowControl w:val="0"/>
        <w:autoSpaceDE w:val="0"/>
        <w:autoSpaceDN w:val="0"/>
        <w:spacing w:after="0" w:line="276" w:lineRule="auto"/>
        <w:jc w:val="both"/>
        <w:rPr>
          <w:rFonts w:ascii="Verdana" w:hAnsi="Verdana" w:cs="Arial"/>
          <w:color w:val="000000" w:themeColor="text1"/>
          <w:shd w:val="clear" w:color="auto" w:fill="FFFFFF"/>
        </w:rPr>
      </w:pPr>
    </w:p>
    <w:p w14:paraId="74C9D486" w14:textId="77777777" w:rsidR="004A09F3" w:rsidRPr="00AB18AB" w:rsidRDefault="004A09F3" w:rsidP="004A09F3">
      <w:pPr>
        <w:widowControl w:val="0"/>
        <w:autoSpaceDE w:val="0"/>
        <w:autoSpaceDN w:val="0"/>
        <w:spacing w:after="0" w:line="276" w:lineRule="auto"/>
        <w:jc w:val="both"/>
        <w:rPr>
          <w:rFonts w:ascii="Verdana" w:hAnsi="Verdana"/>
        </w:rPr>
      </w:pPr>
      <w:r w:rsidRPr="00AB18AB">
        <w:rPr>
          <w:rFonts w:ascii="Verdana" w:hAnsi="Verdana" w:cs="Arial"/>
          <w:color w:val="000000" w:themeColor="text1"/>
          <w:shd w:val="clear" w:color="auto" w:fill="FFFFFF"/>
        </w:rPr>
        <w:t>También, te contamos que ya publicamos la nueva Guía de Contratación Pública Sostenible y Socialmente Responsable.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AB18AB">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AB18AB">
        <w:rPr>
          <w:rFonts w:ascii="Verdana" w:hAnsi="Verdana"/>
        </w:rPr>
        <w:t>.</w:t>
      </w:r>
    </w:p>
    <w:p w14:paraId="7DEB143C" w14:textId="77777777" w:rsidR="004A09F3" w:rsidRPr="00AB18AB" w:rsidRDefault="004A09F3" w:rsidP="004A09F3">
      <w:pPr>
        <w:widowControl w:val="0"/>
        <w:autoSpaceDE w:val="0"/>
        <w:autoSpaceDN w:val="0"/>
        <w:spacing w:after="0" w:line="276" w:lineRule="auto"/>
        <w:jc w:val="both"/>
        <w:rPr>
          <w:rFonts w:ascii="Verdana" w:hAnsi="Verdana"/>
        </w:rPr>
      </w:pPr>
    </w:p>
    <w:p w14:paraId="3E742FDE" w14:textId="77777777" w:rsidR="004A09F3" w:rsidRPr="00AB18AB" w:rsidRDefault="004A09F3" w:rsidP="004A09F3">
      <w:pPr>
        <w:widowControl w:val="0"/>
        <w:autoSpaceDE w:val="0"/>
        <w:autoSpaceDN w:val="0"/>
        <w:spacing w:after="0" w:line="276" w:lineRule="auto"/>
        <w:jc w:val="both"/>
        <w:rPr>
          <w:rFonts w:ascii="Verdana" w:hAnsi="Verdana" w:cs="Arial"/>
          <w:lang w:val="es-ES_tradnl"/>
        </w:rPr>
      </w:pPr>
      <w:r w:rsidRPr="00AB18AB">
        <w:rPr>
          <w:rFonts w:ascii="Verdana" w:hAnsi="Verdana" w:cs="Arial"/>
        </w:rPr>
        <w:t xml:space="preserve">Este concepto tiene el alcance previsto en el artículo 28 del Código de Procedimiento Administrativo y de lo Contencioso Administrativo </w:t>
      </w:r>
      <w:r w:rsidRPr="00AB18AB">
        <w:rPr>
          <w:rFonts w:ascii="Verdana" w:hAnsi="Verdana" w:cs="Arial"/>
          <w:lang w:val="es-ES_tradnl"/>
        </w:rPr>
        <w:t>y las expresiones aquí utilizadas con mayúscula inicial deben ser entendidas con el significado que les otorga el artículo 2.2.1.1.1.3.1. del Decreto 1082 de 2015.</w:t>
      </w:r>
    </w:p>
    <w:p w14:paraId="0A5D2B0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33492535" w14:textId="77777777" w:rsidR="004A09F3" w:rsidRPr="00AB18AB" w:rsidRDefault="004A09F3" w:rsidP="004A09F3">
      <w:pPr>
        <w:spacing w:after="0" w:line="276" w:lineRule="auto"/>
        <w:jc w:val="both"/>
        <w:rPr>
          <w:rFonts w:ascii="Verdana" w:hAnsi="Verdana"/>
          <w:noProof/>
        </w:rPr>
      </w:pPr>
      <w:r w:rsidRPr="00AB18AB">
        <w:rPr>
          <w:rFonts w:ascii="Verdana" w:eastAsia="Times New Roman" w:hAnsi="Verdana" w:cs="Arial"/>
          <w:lang w:eastAsia="es-CO"/>
        </w:rPr>
        <w:t>Atentamente,</w:t>
      </w:r>
      <w:r w:rsidRPr="00AB18AB">
        <w:rPr>
          <w:rFonts w:ascii="Verdana" w:hAnsi="Verdana" w:cs="Arial"/>
          <w:lang w:eastAsia="es-CO"/>
        </w:rPr>
        <w:t xml:space="preserve"> </w:t>
      </w:r>
    </w:p>
    <w:p w14:paraId="18251E6D" w14:textId="77777777" w:rsidR="004A09F3" w:rsidRPr="00AB18AB" w:rsidRDefault="004A09F3" w:rsidP="004A09F3">
      <w:pPr>
        <w:pStyle w:val="Prrafodelista"/>
        <w:tabs>
          <w:tab w:val="left" w:pos="142"/>
          <w:tab w:val="left" w:pos="284"/>
        </w:tabs>
        <w:spacing w:after="0" w:line="276" w:lineRule="auto"/>
        <w:ind w:left="0"/>
        <w:contextualSpacing w:val="0"/>
        <w:jc w:val="both"/>
        <w:rPr>
          <w:rFonts w:ascii="Verdana" w:eastAsia="Century Gothic" w:hAnsi="Verdana" w:cs="Century Gothic"/>
        </w:rPr>
      </w:pPr>
    </w:p>
    <w:p w14:paraId="630CE99A" w14:textId="77777777" w:rsidR="004A09F3" w:rsidRPr="00AB18AB" w:rsidRDefault="004A09F3" w:rsidP="004A09F3">
      <w:pPr>
        <w:widowControl w:val="0"/>
        <w:autoSpaceDE w:val="0"/>
        <w:autoSpaceDN w:val="0"/>
        <w:spacing w:after="0" w:line="276" w:lineRule="auto"/>
        <w:jc w:val="both"/>
        <w:rPr>
          <w:rFonts w:ascii="Verdana" w:hAnsi="Verdana" w:cs="Arial"/>
        </w:rPr>
      </w:pPr>
    </w:p>
    <w:p w14:paraId="016AA705" w14:textId="6A21A7CB" w:rsidR="004A09F3" w:rsidRPr="00AB18AB" w:rsidRDefault="00C20FD9" w:rsidP="004A09F3">
      <w:pPr>
        <w:spacing w:line="276" w:lineRule="auto"/>
        <w:jc w:val="center"/>
        <w:rPr>
          <w:rFonts w:ascii="Verdana" w:hAnsi="Verdana" w:cs="Arial"/>
          <w:color w:val="000000"/>
          <w:lang w:val="es-ES_tradnl" w:eastAsia="es-CO"/>
        </w:rPr>
      </w:pPr>
      <w:r>
        <w:rPr>
          <w:noProof/>
        </w:rPr>
        <w:drawing>
          <wp:inline distT="0" distB="0" distL="0" distR="0" wp14:anchorId="282F0BB6" wp14:editId="2FE10D59">
            <wp:extent cx="3716020" cy="1602105"/>
            <wp:effectExtent l="0" t="0" r="0" b="0"/>
            <wp:docPr id="4892785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6020" cy="1602105"/>
                    </a:xfrm>
                    <a:prstGeom prst="rect">
                      <a:avLst/>
                    </a:prstGeom>
                    <a:noFill/>
                    <a:ln>
                      <a:noFill/>
                    </a:ln>
                  </pic:spPr>
                </pic:pic>
              </a:graphicData>
            </a:graphic>
          </wp:inline>
        </w:drawing>
      </w:r>
    </w:p>
    <w:p w14:paraId="739617C5" w14:textId="77777777" w:rsidR="004A09F3" w:rsidRPr="00AB18AB" w:rsidRDefault="004A09F3" w:rsidP="004A09F3">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4A09F3" w:rsidRPr="004A09F3" w14:paraId="025F4F1B" w14:textId="77777777" w:rsidTr="00B66D77">
        <w:trPr>
          <w:trHeight w:val="315"/>
        </w:trPr>
        <w:tc>
          <w:tcPr>
            <w:tcW w:w="893" w:type="dxa"/>
            <w:vAlign w:val="center"/>
            <w:hideMark/>
          </w:tcPr>
          <w:p w14:paraId="601AE02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0216C3BE" w14:textId="77777777" w:rsidR="004A09F3" w:rsidRPr="004A09F3" w:rsidRDefault="004A09F3" w:rsidP="00B66D77">
            <w:pPr>
              <w:spacing w:line="276" w:lineRule="auto"/>
              <w:contextualSpacing/>
              <w:rPr>
                <w:rStyle w:val="normaltextrun"/>
                <w:rFonts w:ascii="Verdana" w:eastAsia="Arial" w:hAnsi="Verdana" w:cs="Arial"/>
                <w:sz w:val="18"/>
                <w:szCs w:val="18"/>
              </w:rPr>
            </w:pPr>
            <w:r w:rsidRPr="004A09F3">
              <w:rPr>
                <w:rStyle w:val="normaltextrun"/>
                <w:rFonts w:ascii="Verdana" w:eastAsia="Arial" w:hAnsi="Verdana" w:cs="Arial"/>
                <w:sz w:val="18"/>
                <w:szCs w:val="18"/>
              </w:rPr>
              <w:t>Andrea del Pilar Garzón Sánchez.</w:t>
            </w:r>
          </w:p>
          <w:p w14:paraId="3E5FF5A3" w14:textId="77777777" w:rsidR="004A09F3" w:rsidRPr="004A09F3" w:rsidRDefault="004A09F3" w:rsidP="00B66D77">
            <w:pPr>
              <w:spacing w:line="276" w:lineRule="auto"/>
              <w:contextualSpacing/>
              <w:rPr>
                <w:rFonts w:ascii="Verdana" w:eastAsia="Arial" w:hAnsi="Verdana" w:cs="Arial"/>
                <w:color w:val="7030A0"/>
                <w:sz w:val="18"/>
                <w:szCs w:val="18"/>
              </w:rPr>
            </w:pPr>
            <w:r w:rsidRPr="004A09F3">
              <w:rPr>
                <w:rStyle w:val="normaltextrun"/>
                <w:rFonts w:ascii="Verdana" w:eastAsia="Arial" w:hAnsi="Verdana" w:cs="Arial"/>
                <w:sz w:val="18"/>
                <w:szCs w:val="18"/>
              </w:rPr>
              <w:t>Contratista de la Subdirección de Gestión Contractual</w:t>
            </w:r>
          </w:p>
        </w:tc>
      </w:tr>
      <w:tr w:rsidR="004A09F3" w:rsidRPr="004A09F3" w14:paraId="25E17F5C" w14:textId="77777777" w:rsidTr="00B66D77">
        <w:trPr>
          <w:trHeight w:val="330"/>
        </w:trPr>
        <w:tc>
          <w:tcPr>
            <w:tcW w:w="893" w:type="dxa"/>
            <w:vAlign w:val="center"/>
            <w:hideMark/>
          </w:tcPr>
          <w:p w14:paraId="1D6A5D9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95CFE4" w14:textId="77777777" w:rsidR="004A09F3" w:rsidRPr="004A09F3" w:rsidRDefault="004A09F3"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4A09F3">
              <w:rPr>
                <w:rStyle w:val="normaltextrun"/>
                <w:rFonts w:ascii="Verdana" w:hAnsi="Verdana" w:cs="Arial"/>
                <w:sz w:val="18"/>
                <w:szCs w:val="18"/>
                <w:lang w:val="es-ES"/>
              </w:rPr>
              <w:t xml:space="preserve">Diana Lucia Saavedra </w:t>
            </w:r>
          </w:p>
          <w:p w14:paraId="52551A5F" w14:textId="77777777" w:rsidR="004A09F3" w:rsidRPr="004A09F3" w:rsidRDefault="004A09F3" w:rsidP="00B66D77">
            <w:pPr>
              <w:pStyle w:val="paragraph"/>
              <w:spacing w:before="0" w:beforeAutospacing="0" w:after="0" w:afterAutospacing="0" w:line="276" w:lineRule="auto"/>
              <w:contextualSpacing/>
              <w:textAlignment w:val="baseline"/>
              <w:rPr>
                <w:rFonts w:ascii="Verdana" w:hAnsi="Verdana" w:cs="Segoe UI"/>
                <w:sz w:val="18"/>
                <w:szCs w:val="18"/>
              </w:rPr>
            </w:pPr>
            <w:r w:rsidRPr="004A09F3">
              <w:rPr>
                <w:rStyle w:val="normaltextrun"/>
                <w:rFonts w:ascii="Verdana" w:hAnsi="Verdana" w:cs="Arial"/>
                <w:sz w:val="18"/>
                <w:szCs w:val="18"/>
                <w:lang w:val="es-ES"/>
              </w:rPr>
              <w:t>Contratista de la Subdirección de Gestión Contractual</w:t>
            </w:r>
            <w:r w:rsidRPr="004A09F3">
              <w:rPr>
                <w:rStyle w:val="eop"/>
                <w:rFonts w:ascii="Verdana" w:hAnsi="Verdana" w:cs="Arial"/>
                <w:sz w:val="18"/>
                <w:szCs w:val="18"/>
              </w:rPr>
              <w:t> </w:t>
            </w:r>
          </w:p>
        </w:tc>
      </w:tr>
      <w:tr w:rsidR="004A09F3" w:rsidRPr="004A09F3" w14:paraId="582BE1E5" w14:textId="77777777" w:rsidTr="00B66D77">
        <w:trPr>
          <w:trHeight w:val="300"/>
        </w:trPr>
        <w:tc>
          <w:tcPr>
            <w:tcW w:w="893" w:type="dxa"/>
            <w:vAlign w:val="center"/>
          </w:tcPr>
          <w:p w14:paraId="56DFC5E3"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B76AA8"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val="pt-BR" w:eastAsia="es-ES"/>
              </w:rPr>
              <w:t xml:space="preserve">Carolina Quintero </w:t>
            </w:r>
            <w:proofErr w:type="spellStart"/>
            <w:r w:rsidRPr="004A09F3">
              <w:rPr>
                <w:rFonts w:ascii="Verdana" w:eastAsia="Calibri" w:hAnsi="Verdana" w:cs="Arial"/>
                <w:sz w:val="18"/>
                <w:szCs w:val="18"/>
                <w:lang w:val="pt-BR" w:eastAsia="es-ES"/>
              </w:rPr>
              <w:t>Gacharná</w:t>
            </w:r>
            <w:proofErr w:type="spellEnd"/>
          </w:p>
          <w:p w14:paraId="54839D06"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eastAsia="es-ES"/>
              </w:rPr>
              <w:t>Subdirectora</w:t>
            </w:r>
            <w:r w:rsidRPr="004A09F3">
              <w:rPr>
                <w:rFonts w:ascii="Verdana" w:eastAsia="Calibri" w:hAnsi="Verdana" w:cs="Arial"/>
                <w:sz w:val="18"/>
                <w:szCs w:val="18"/>
                <w:lang w:val="pt-BR" w:eastAsia="es-ES"/>
              </w:rPr>
              <w:t xml:space="preserve"> de Gestión </w:t>
            </w:r>
            <w:proofErr w:type="spellStart"/>
            <w:r w:rsidRPr="004A09F3">
              <w:rPr>
                <w:rFonts w:ascii="Verdana" w:eastAsia="Calibri" w:hAnsi="Verdana" w:cs="Arial"/>
                <w:sz w:val="18"/>
                <w:szCs w:val="18"/>
                <w:lang w:val="pt-BR" w:eastAsia="es-ES"/>
              </w:rPr>
              <w:t>Contractual</w:t>
            </w:r>
            <w:proofErr w:type="spellEnd"/>
            <w:r w:rsidRPr="004A09F3">
              <w:rPr>
                <w:rFonts w:ascii="Verdana" w:eastAsia="Calibri" w:hAnsi="Verdana" w:cs="Arial"/>
                <w:sz w:val="18"/>
                <w:szCs w:val="18"/>
                <w:lang w:val="pt-BR" w:eastAsia="es-ES"/>
              </w:rPr>
              <w:t xml:space="preserve"> ANCP – CCE</w:t>
            </w:r>
          </w:p>
        </w:tc>
      </w:tr>
    </w:tbl>
    <w:p w14:paraId="2685EB8E" w14:textId="77777777" w:rsidR="004A09F3" w:rsidRPr="00AB18AB" w:rsidRDefault="004A09F3" w:rsidP="004A09F3">
      <w:pPr>
        <w:spacing w:line="276" w:lineRule="auto"/>
        <w:rPr>
          <w:rFonts w:ascii="Verdana" w:hAnsi="Verdana"/>
        </w:rPr>
      </w:pPr>
    </w:p>
    <w:p w14:paraId="0465BA6D" w14:textId="77777777" w:rsidR="00E245AB" w:rsidRPr="0044528D" w:rsidRDefault="00E245AB" w:rsidP="004A09F3">
      <w:pPr>
        <w:spacing w:after="0" w:line="276" w:lineRule="auto"/>
        <w:jc w:val="both"/>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8D84D" w14:textId="77777777" w:rsidR="001F55FF" w:rsidRDefault="001F55FF" w:rsidP="004A1847">
      <w:pPr>
        <w:spacing w:after="0" w:line="240" w:lineRule="auto"/>
      </w:pPr>
      <w:r>
        <w:separator/>
      </w:r>
    </w:p>
  </w:endnote>
  <w:endnote w:type="continuationSeparator" w:id="0">
    <w:p w14:paraId="1ADC0AE4" w14:textId="77777777" w:rsidR="001F55FF" w:rsidRDefault="001F55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Klee One"/>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8CFFF" w14:textId="77777777" w:rsidR="001F55FF" w:rsidRDefault="001F55FF" w:rsidP="004A1847">
      <w:pPr>
        <w:spacing w:after="0" w:line="240" w:lineRule="auto"/>
      </w:pPr>
      <w:r>
        <w:separator/>
      </w:r>
    </w:p>
  </w:footnote>
  <w:footnote w:type="continuationSeparator" w:id="0">
    <w:p w14:paraId="70F6F6CB" w14:textId="77777777" w:rsidR="001F55FF" w:rsidRDefault="001F55FF" w:rsidP="004A1847">
      <w:pPr>
        <w:spacing w:after="0" w:line="240" w:lineRule="auto"/>
      </w:pPr>
      <w:r>
        <w:continuationSeparator/>
      </w:r>
    </w:p>
  </w:footnote>
  <w:footnote w:id="1">
    <w:p w14:paraId="204FB835"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2D5A942F"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06F39B21" w14:textId="77777777" w:rsidR="00D32AB1" w:rsidRPr="00285AC2" w:rsidRDefault="00D32AB1" w:rsidP="00D32AB1">
      <w:pPr>
        <w:pStyle w:val="Textonotapie"/>
        <w:ind w:firstLine="708"/>
        <w:jc w:val="both"/>
        <w:rPr>
          <w:rFonts w:ascii="Arial" w:hAnsi="Arial" w:cs="Arial"/>
          <w:color w:val="000000"/>
          <w:sz w:val="14"/>
          <w:szCs w:val="14"/>
          <w:lang w:val="es-CO"/>
        </w:rPr>
      </w:pPr>
    </w:p>
  </w:footnote>
  <w:footnote w:id="2">
    <w:p w14:paraId="4A93027A" w14:textId="77777777" w:rsidR="00D32AB1" w:rsidRPr="00285AC2" w:rsidRDefault="00D32AB1" w:rsidP="00D32AB1">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04D2D2B9" w14:textId="77777777" w:rsidR="00D32AB1" w:rsidRPr="00E268CA" w:rsidRDefault="00D32AB1" w:rsidP="00D32AB1">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3">
    <w:p w14:paraId="26EAB2DD"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bCs/>
          <w:color w:val="000000"/>
          <w:sz w:val="14"/>
          <w:szCs w:val="14"/>
        </w:rPr>
        <w:t xml:space="preserve"> “Artículo 192. Prácticas Laborales.</w:t>
      </w:r>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14DC8FD8"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6C8716DA"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15848AAE"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18C8F4D4"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706524A8" w14:textId="77777777" w:rsidR="00D32AB1" w:rsidRPr="003C068C" w:rsidRDefault="00D32AB1" w:rsidP="00D32AB1">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4">
    <w:p w14:paraId="3812336B" w14:textId="77777777" w:rsidR="001D4139" w:rsidRPr="00212B4E" w:rsidRDefault="001D4139" w:rsidP="00212B4E">
      <w:pPr>
        <w:pStyle w:val="Textonotapie"/>
        <w:ind w:firstLine="709"/>
        <w:rPr>
          <w:rFonts w:ascii="Verdana" w:hAnsi="Verdana"/>
          <w:sz w:val="16"/>
          <w:szCs w:val="16"/>
        </w:rPr>
      </w:pPr>
      <w:r w:rsidRPr="00212B4E">
        <w:rPr>
          <w:rStyle w:val="Refdenotaalpie"/>
          <w:rFonts w:ascii="Verdana" w:hAnsi="Verdana"/>
          <w:sz w:val="16"/>
          <w:szCs w:val="16"/>
        </w:rPr>
        <w:footnoteRef/>
      </w:r>
      <w:r w:rsidRPr="00212B4E">
        <w:rPr>
          <w:rFonts w:ascii="Verdana" w:hAnsi="Verdana"/>
          <w:sz w:val="16"/>
          <w:szCs w:val="16"/>
        </w:rPr>
        <w:t xml:space="preserve"> En </w:t>
      </w:r>
      <w:hyperlink r:id="rId2" w:history="1">
        <w:r w:rsidRPr="00212B4E">
          <w:rPr>
            <w:rStyle w:val="Hipervnculo"/>
            <w:rFonts w:ascii="Verdana" w:hAnsi="Verdana"/>
            <w:sz w:val="16"/>
            <w:szCs w:val="16"/>
            <w:lang w:val="es-CO"/>
          </w:rPr>
          <w:t>cce-eicp-ma-04._manual_requisitos_habilitantes_v3_29-09-2023.pdf</w:t>
        </w:r>
      </w:hyperlink>
    </w:p>
    <w:p w14:paraId="2D4B5568" w14:textId="77777777" w:rsidR="001D4139" w:rsidRPr="00212B4E" w:rsidRDefault="001D4139" w:rsidP="00212B4E">
      <w:pPr>
        <w:pStyle w:val="Textonotapie"/>
        <w:ind w:firstLine="709"/>
        <w:rPr>
          <w:rFonts w:ascii="Verdana" w:hAnsi="Verdana"/>
          <w:sz w:val="16"/>
          <w:szCs w:val="16"/>
        </w:rPr>
      </w:pPr>
    </w:p>
  </w:footnote>
  <w:footnote w:id="5">
    <w:p w14:paraId="3E183FD6" w14:textId="77777777" w:rsidR="001D4139" w:rsidRPr="00212B4E" w:rsidRDefault="001D4139" w:rsidP="00212B4E">
      <w:pPr>
        <w:pStyle w:val="Textonotapie"/>
        <w:ind w:firstLine="708"/>
        <w:jc w:val="both"/>
        <w:rPr>
          <w:rFonts w:ascii="Verdana" w:hAnsi="Verdana" w:cs="Arial"/>
          <w:sz w:val="16"/>
          <w:szCs w:val="16"/>
        </w:rPr>
      </w:pPr>
      <w:r w:rsidRPr="00212B4E">
        <w:rPr>
          <w:rStyle w:val="Refdenotaalpie"/>
          <w:rFonts w:ascii="Verdana" w:hAnsi="Verdana" w:cs="Arial"/>
          <w:sz w:val="16"/>
          <w:szCs w:val="16"/>
        </w:rPr>
        <w:footnoteRef/>
      </w:r>
      <w:r w:rsidRPr="00212B4E">
        <w:rPr>
          <w:rFonts w:ascii="Verdana" w:hAnsi="Verdana" w:cs="Arial"/>
          <w:sz w:val="16"/>
          <w:szCs w:val="16"/>
        </w:rPr>
        <w:t xml:space="preserve"> Colombia Compra Eficiente, Manual para determinar y verificar requisitos habilitantes en los procesos de contratación: </w:t>
      </w:r>
    </w:p>
    <w:p w14:paraId="4355D267"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4E759534"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0FE9D94A"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941A6DB"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06AAD12A" w14:textId="77777777" w:rsidR="001D4139" w:rsidRPr="00212B4E" w:rsidRDefault="001D4139" w:rsidP="00212B4E">
      <w:pPr>
        <w:pStyle w:val="Textonotapie"/>
        <w:ind w:firstLine="708"/>
        <w:jc w:val="both"/>
        <w:rPr>
          <w:rFonts w:ascii="Verdana" w:hAnsi="Verdana" w:cs="Arial"/>
          <w:sz w:val="16"/>
          <w:szCs w:val="16"/>
        </w:rPr>
      </w:pPr>
    </w:p>
  </w:footnote>
  <w:footnote w:id="6">
    <w:p w14:paraId="6226F52C"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vertAlign w:val="superscript"/>
          <w:lang w:val="es-ES_tradnl" w:eastAsia="es-ES_tradnl"/>
        </w:rPr>
        <w:t xml:space="preserve"> </w:t>
      </w:r>
      <w:r w:rsidRPr="00C91AF4">
        <w:rPr>
          <w:rFonts w:ascii="Verdana" w:eastAsia="Calibri" w:hAnsi="Verdana" w:cs="Arial"/>
          <w:color w:val="000000"/>
          <w:sz w:val="16"/>
          <w:szCs w:val="16"/>
          <w:lang w:val="es-ES_tradnl" w:eastAsia="es-ES_tradnl"/>
        </w:rPr>
        <w:t>Para la realización de los respectivos análisis del sector de los Procesos de Contratación, esta Agencia recomienda tener en cuenta la última modificación de la “Guía de Elaboración de Estudios del Sector”, que puede ser consultada en el siguiente enlace:</w:t>
      </w:r>
      <w:r w:rsidRPr="00C91AF4">
        <w:rPr>
          <w:rFonts w:ascii="Verdana" w:hAnsi="Verdana"/>
          <w:sz w:val="16"/>
          <w:szCs w:val="16"/>
        </w:rPr>
        <w:t xml:space="preserve"> </w:t>
      </w:r>
      <w:hyperlink r:id="rId3" w:history="1">
        <w:r w:rsidRPr="00C91AF4">
          <w:rPr>
            <w:rStyle w:val="Hipervnculo"/>
            <w:rFonts w:ascii="Verdana" w:eastAsia="Calibri" w:hAnsi="Verdana" w:cs="Arial"/>
            <w:sz w:val="16"/>
            <w:szCs w:val="16"/>
            <w:lang w:val="es-ES_tradnl" w:eastAsia="es-ES_tradnl"/>
          </w:rPr>
          <w:t>https://www.colombiacompra.gov.co/manuales-guias-y-pliegos-tipo/manuales-y-guias</w:t>
        </w:r>
      </w:hyperlink>
      <w:r w:rsidRPr="00C91AF4">
        <w:rPr>
          <w:rFonts w:ascii="Verdana" w:eastAsia="Calibri" w:hAnsi="Verdana" w:cs="Arial"/>
          <w:color w:val="000000"/>
          <w:sz w:val="16"/>
          <w:szCs w:val="16"/>
          <w:lang w:val="es-ES_tradnl" w:eastAsia="es-ES_tradnl"/>
        </w:rPr>
        <w:t>.</w:t>
      </w:r>
    </w:p>
    <w:p w14:paraId="0B988CAD"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7">
    <w:p w14:paraId="76598DB4"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49E2FD2"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8">
    <w:p w14:paraId="300F9B5F"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61C84AD3"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5BEB6D26" w14:textId="77777777" w:rsidR="00C021AF" w:rsidRPr="00285AC2" w:rsidRDefault="00C021AF" w:rsidP="00C021AF">
      <w:pPr>
        <w:pStyle w:val="Textonotapie"/>
        <w:ind w:firstLine="708"/>
        <w:jc w:val="both"/>
        <w:rPr>
          <w:rFonts w:ascii="Arial" w:hAnsi="Arial" w:cs="Arial"/>
          <w:color w:val="000000"/>
          <w:sz w:val="14"/>
          <w:szCs w:val="14"/>
          <w:lang w:val="es-CO"/>
        </w:rPr>
      </w:pPr>
    </w:p>
  </w:footnote>
  <w:footnote w:id="9">
    <w:p w14:paraId="71C7253E" w14:textId="77777777" w:rsidR="00C021AF" w:rsidRPr="00285AC2" w:rsidRDefault="00C021AF" w:rsidP="00C021AF">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7FEC9E93" w14:textId="77777777" w:rsidR="00C021AF" w:rsidRPr="00E268CA" w:rsidRDefault="00C021AF" w:rsidP="00C021AF">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10">
    <w:p w14:paraId="338C72B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bookmarkStart w:id="1" w:name="192"/>
      <w:r w:rsidRPr="00E268CA">
        <w:rPr>
          <w:rFonts w:ascii="Verdana" w:hAnsi="Verdana" w:cs="Arial"/>
          <w:bCs/>
          <w:color w:val="000000"/>
          <w:sz w:val="14"/>
          <w:szCs w:val="14"/>
        </w:rPr>
        <w:t xml:space="preserve"> “Artículo 192. Prácticas Laborales.</w:t>
      </w:r>
      <w:bookmarkEnd w:id="1"/>
      <w:r w:rsidRPr="00E268CA">
        <w:rPr>
          <w:rFonts w:ascii="Verdana" w:hAnsi="Verdana" w:cs="Arial"/>
          <w:color w:val="000000"/>
          <w:sz w:val="14"/>
          <w:szCs w:val="14"/>
        </w:rPr>
        <w:t> Además de lo previsto en el artículo </w:t>
      </w:r>
      <w:hyperlink r:id="rId4"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2E191C4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145E0B0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76D92F4E"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04F8AC8A"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52FFDE82" w14:textId="77777777" w:rsidR="00C021AF" w:rsidRPr="003C068C" w:rsidRDefault="00C021AF" w:rsidP="00C021AF">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FC877C5"/>
    <w:multiLevelType w:val="hybridMultilevel"/>
    <w:tmpl w:val="49F24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3212816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E2B"/>
    <w:rsid w:val="00025D44"/>
    <w:rsid w:val="00046945"/>
    <w:rsid w:val="00061B2A"/>
    <w:rsid w:val="00082362"/>
    <w:rsid w:val="000A29CD"/>
    <w:rsid w:val="000A683E"/>
    <w:rsid w:val="000B19B9"/>
    <w:rsid w:val="000D0334"/>
    <w:rsid w:val="000D450D"/>
    <w:rsid w:val="000D6794"/>
    <w:rsid w:val="000F6486"/>
    <w:rsid w:val="00123495"/>
    <w:rsid w:val="00125105"/>
    <w:rsid w:val="00127233"/>
    <w:rsid w:val="001379D1"/>
    <w:rsid w:val="0016136C"/>
    <w:rsid w:val="00166738"/>
    <w:rsid w:val="001D4139"/>
    <w:rsid w:val="001E4177"/>
    <w:rsid w:val="001F55FF"/>
    <w:rsid w:val="001F7DC6"/>
    <w:rsid w:val="00212B4E"/>
    <w:rsid w:val="0023512F"/>
    <w:rsid w:val="002421BB"/>
    <w:rsid w:val="0025796E"/>
    <w:rsid w:val="002639E2"/>
    <w:rsid w:val="002707A2"/>
    <w:rsid w:val="00273C90"/>
    <w:rsid w:val="002951A0"/>
    <w:rsid w:val="002962BC"/>
    <w:rsid w:val="002A093D"/>
    <w:rsid w:val="002A0DD0"/>
    <w:rsid w:val="002A49AC"/>
    <w:rsid w:val="002A64FD"/>
    <w:rsid w:val="002C7A84"/>
    <w:rsid w:val="002E4FD9"/>
    <w:rsid w:val="003063F3"/>
    <w:rsid w:val="00322A85"/>
    <w:rsid w:val="00324168"/>
    <w:rsid w:val="00331F32"/>
    <w:rsid w:val="00336AD2"/>
    <w:rsid w:val="003448F4"/>
    <w:rsid w:val="00374F5E"/>
    <w:rsid w:val="00377E3E"/>
    <w:rsid w:val="003A418F"/>
    <w:rsid w:val="003A779E"/>
    <w:rsid w:val="003A7C4A"/>
    <w:rsid w:val="003D0F4D"/>
    <w:rsid w:val="003D5B0D"/>
    <w:rsid w:val="003E0499"/>
    <w:rsid w:val="003F3941"/>
    <w:rsid w:val="00406575"/>
    <w:rsid w:val="00414C74"/>
    <w:rsid w:val="0042722E"/>
    <w:rsid w:val="0044528D"/>
    <w:rsid w:val="00453ABC"/>
    <w:rsid w:val="004A09F3"/>
    <w:rsid w:val="004A1847"/>
    <w:rsid w:val="004A305D"/>
    <w:rsid w:val="004D4AE7"/>
    <w:rsid w:val="004F21C4"/>
    <w:rsid w:val="004F685F"/>
    <w:rsid w:val="00504015"/>
    <w:rsid w:val="005454D9"/>
    <w:rsid w:val="005566E8"/>
    <w:rsid w:val="00574867"/>
    <w:rsid w:val="00577B15"/>
    <w:rsid w:val="00591460"/>
    <w:rsid w:val="005C3777"/>
    <w:rsid w:val="005C5CDC"/>
    <w:rsid w:val="005D476C"/>
    <w:rsid w:val="00602916"/>
    <w:rsid w:val="006150B3"/>
    <w:rsid w:val="00615487"/>
    <w:rsid w:val="006219F8"/>
    <w:rsid w:val="006302F7"/>
    <w:rsid w:val="006316C2"/>
    <w:rsid w:val="00661ADD"/>
    <w:rsid w:val="00665D70"/>
    <w:rsid w:val="006900D9"/>
    <w:rsid w:val="006A760C"/>
    <w:rsid w:val="006B276E"/>
    <w:rsid w:val="006D2B3C"/>
    <w:rsid w:val="006D77F4"/>
    <w:rsid w:val="00704E75"/>
    <w:rsid w:val="00706C16"/>
    <w:rsid w:val="00716711"/>
    <w:rsid w:val="00750FCC"/>
    <w:rsid w:val="00756841"/>
    <w:rsid w:val="007649AB"/>
    <w:rsid w:val="00771D0C"/>
    <w:rsid w:val="007833AC"/>
    <w:rsid w:val="007B268C"/>
    <w:rsid w:val="007B7171"/>
    <w:rsid w:val="007C0C0F"/>
    <w:rsid w:val="007C3DC2"/>
    <w:rsid w:val="007C4002"/>
    <w:rsid w:val="007E3DA3"/>
    <w:rsid w:val="007E5497"/>
    <w:rsid w:val="00806F5F"/>
    <w:rsid w:val="00811AD6"/>
    <w:rsid w:val="00820278"/>
    <w:rsid w:val="00867F95"/>
    <w:rsid w:val="008843B6"/>
    <w:rsid w:val="00891928"/>
    <w:rsid w:val="00897A3A"/>
    <w:rsid w:val="008A446D"/>
    <w:rsid w:val="008D180B"/>
    <w:rsid w:val="008F0EA7"/>
    <w:rsid w:val="00923EEF"/>
    <w:rsid w:val="00927E7B"/>
    <w:rsid w:val="00935D06"/>
    <w:rsid w:val="009379C8"/>
    <w:rsid w:val="00937B48"/>
    <w:rsid w:val="009419F9"/>
    <w:rsid w:val="0095685E"/>
    <w:rsid w:val="00961B09"/>
    <w:rsid w:val="00965334"/>
    <w:rsid w:val="0097093E"/>
    <w:rsid w:val="009723A2"/>
    <w:rsid w:val="009A0DFA"/>
    <w:rsid w:val="009B25A8"/>
    <w:rsid w:val="009B2D26"/>
    <w:rsid w:val="009C71FA"/>
    <w:rsid w:val="009C72E7"/>
    <w:rsid w:val="009D3058"/>
    <w:rsid w:val="009F3A13"/>
    <w:rsid w:val="00A05DF1"/>
    <w:rsid w:val="00A122D3"/>
    <w:rsid w:val="00A17F13"/>
    <w:rsid w:val="00A20739"/>
    <w:rsid w:val="00A32295"/>
    <w:rsid w:val="00A33C78"/>
    <w:rsid w:val="00A76954"/>
    <w:rsid w:val="00A87617"/>
    <w:rsid w:val="00AB0ADB"/>
    <w:rsid w:val="00AC1B5D"/>
    <w:rsid w:val="00AC40AB"/>
    <w:rsid w:val="00AE4C1A"/>
    <w:rsid w:val="00B00C0E"/>
    <w:rsid w:val="00B01B1A"/>
    <w:rsid w:val="00B05797"/>
    <w:rsid w:val="00B16454"/>
    <w:rsid w:val="00B26F64"/>
    <w:rsid w:val="00B309F8"/>
    <w:rsid w:val="00B33C8A"/>
    <w:rsid w:val="00B3751B"/>
    <w:rsid w:val="00B44A47"/>
    <w:rsid w:val="00B72CD3"/>
    <w:rsid w:val="00B72FFF"/>
    <w:rsid w:val="00BA201F"/>
    <w:rsid w:val="00BA7DDD"/>
    <w:rsid w:val="00BC3D36"/>
    <w:rsid w:val="00BD7F72"/>
    <w:rsid w:val="00BE260C"/>
    <w:rsid w:val="00C021AF"/>
    <w:rsid w:val="00C04FB3"/>
    <w:rsid w:val="00C20FD9"/>
    <w:rsid w:val="00C252B4"/>
    <w:rsid w:val="00C330EB"/>
    <w:rsid w:val="00C3492E"/>
    <w:rsid w:val="00C45D08"/>
    <w:rsid w:val="00C62545"/>
    <w:rsid w:val="00C754BE"/>
    <w:rsid w:val="00C76B1C"/>
    <w:rsid w:val="00C94503"/>
    <w:rsid w:val="00CB6357"/>
    <w:rsid w:val="00CC1B26"/>
    <w:rsid w:val="00CD440A"/>
    <w:rsid w:val="00CD71DB"/>
    <w:rsid w:val="00D32AB1"/>
    <w:rsid w:val="00D423A2"/>
    <w:rsid w:val="00D520D8"/>
    <w:rsid w:val="00D63AC2"/>
    <w:rsid w:val="00D7383B"/>
    <w:rsid w:val="00D7773C"/>
    <w:rsid w:val="00D84DF6"/>
    <w:rsid w:val="00D909F3"/>
    <w:rsid w:val="00DA231B"/>
    <w:rsid w:val="00DC39FC"/>
    <w:rsid w:val="00DF5254"/>
    <w:rsid w:val="00E02186"/>
    <w:rsid w:val="00E03DA1"/>
    <w:rsid w:val="00E16408"/>
    <w:rsid w:val="00E20894"/>
    <w:rsid w:val="00E245AB"/>
    <w:rsid w:val="00E2764C"/>
    <w:rsid w:val="00E27F2E"/>
    <w:rsid w:val="00E35BB8"/>
    <w:rsid w:val="00E50AFE"/>
    <w:rsid w:val="00E75C92"/>
    <w:rsid w:val="00E771DC"/>
    <w:rsid w:val="00E81C8C"/>
    <w:rsid w:val="00E8772A"/>
    <w:rsid w:val="00E90F6B"/>
    <w:rsid w:val="00E92C27"/>
    <w:rsid w:val="00EA0E3D"/>
    <w:rsid w:val="00EC38A7"/>
    <w:rsid w:val="00EC68DE"/>
    <w:rsid w:val="00EE1AA8"/>
    <w:rsid w:val="00F05370"/>
    <w:rsid w:val="00F31EDC"/>
    <w:rsid w:val="00F336B5"/>
    <w:rsid w:val="00F4212C"/>
    <w:rsid w:val="00F462B3"/>
    <w:rsid w:val="00F5664F"/>
    <w:rsid w:val="00F62AB6"/>
    <w:rsid w:val="00F666C4"/>
    <w:rsid w:val="00F76AFC"/>
    <w:rsid w:val="00F8047B"/>
    <w:rsid w:val="00FA47C0"/>
    <w:rsid w:val="00FB5DD1"/>
    <w:rsid w:val="00FC2B5D"/>
    <w:rsid w:val="00FD2FF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413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D4139"/>
    <w:rPr>
      <w:rFonts w:ascii="Geomanist Light" w:hAnsi="Geomanist Light"/>
      <w:lang w:val="es-ES"/>
    </w:rPr>
  </w:style>
  <w:style w:type="character" w:customStyle="1" w:styleId="citation-222">
    <w:name w:val="citation-222"/>
    <w:basedOn w:val="Fuentedeprrafopredeter"/>
    <w:rsid w:val="001D4139"/>
  </w:style>
  <w:style w:type="character" w:styleId="Refdecomentario">
    <w:name w:val="annotation reference"/>
    <w:basedOn w:val="Fuentedeprrafopredeter"/>
    <w:uiPriority w:val="99"/>
    <w:semiHidden/>
    <w:unhideWhenUsed/>
    <w:rsid w:val="004D4AE7"/>
    <w:rPr>
      <w:sz w:val="16"/>
      <w:szCs w:val="16"/>
    </w:rPr>
  </w:style>
  <w:style w:type="paragraph" w:styleId="Textocomentario">
    <w:name w:val="annotation text"/>
    <w:basedOn w:val="Normal"/>
    <w:link w:val="TextocomentarioCar"/>
    <w:uiPriority w:val="99"/>
    <w:unhideWhenUsed/>
    <w:rsid w:val="004D4AE7"/>
    <w:pPr>
      <w:spacing w:line="240" w:lineRule="auto"/>
    </w:pPr>
    <w:rPr>
      <w:sz w:val="20"/>
      <w:szCs w:val="20"/>
    </w:rPr>
  </w:style>
  <w:style w:type="character" w:customStyle="1" w:styleId="TextocomentarioCar">
    <w:name w:val="Texto comentario Car"/>
    <w:basedOn w:val="Fuentedeprrafopredeter"/>
    <w:link w:val="Textocomentario"/>
    <w:uiPriority w:val="99"/>
    <w:rsid w:val="004D4AE7"/>
    <w:rPr>
      <w:sz w:val="20"/>
      <w:szCs w:val="20"/>
    </w:rPr>
  </w:style>
  <w:style w:type="paragraph" w:styleId="Asuntodelcomentario">
    <w:name w:val="annotation subject"/>
    <w:basedOn w:val="Textocomentario"/>
    <w:next w:val="Textocomentario"/>
    <w:link w:val="AsuntodelcomentarioCar"/>
    <w:uiPriority w:val="99"/>
    <w:semiHidden/>
    <w:unhideWhenUsed/>
    <w:rsid w:val="004D4AE7"/>
    <w:rPr>
      <w:b/>
      <w:bCs/>
    </w:rPr>
  </w:style>
  <w:style w:type="character" w:customStyle="1" w:styleId="AsuntodelcomentarioCar">
    <w:name w:val="Asunto del comentario Car"/>
    <w:basedOn w:val="TextocomentarioCar"/>
    <w:link w:val="Asuntodelcomentario"/>
    <w:uiPriority w:val="99"/>
    <w:semiHidden/>
    <w:rsid w:val="004D4AE7"/>
    <w:rPr>
      <w:b/>
      <w:bCs/>
      <w:sz w:val="20"/>
      <w:szCs w:val="20"/>
    </w:rPr>
  </w:style>
  <w:style w:type="character" w:customStyle="1" w:styleId="citation-356">
    <w:name w:val="citation-356"/>
    <w:basedOn w:val="Fuentedeprrafopredeter"/>
    <w:rsid w:val="004A09F3"/>
  </w:style>
  <w:style w:type="character" w:customStyle="1" w:styleId="citation-355">
    <w:name w:val="citation-355"/>
    <w:basedOn w:val="Fuentedeprrafopredeter"/>
    <w:rsid w:val="004A09F3"/>
  </w:style>
  <w:style w:type="character" w:customStyle="1" w:styleId="citation-354">
    <w:name w:val="citation-354"/>
    <w:basedOn w:val="Fuentedeprrafopredeter"/>
    <w:rsid w:val="004A09F3"/>
  </w:style>
  <w:style w:type="character" w:customStyle="1" w:styleId="citation-353">
    <w:name w:val="citation-353"/>
    <w:basedOn w:val="Fuentedeprrafopredeter"/>
    <w:rsid w:val="004A09F3"/>
  </w:style>
  <w:style w:type="character" w:customStyle="1" w:styleId="citation-352">
    <w:name w:val="citation-352"/>
    <w:basedOn w:val="Fuentedeprrafopredeter"/>
    <w:rsid w:val="004A09F3"/>
  </w:style>
  <w:style w:type="character" w:customStyle="1" w:styleId="citation-351">
    <w:name w:val="citation-351"/>
    <w:basedOn w:val="Fuentedeprrafopredeter"/>
    <w:rsid w:val="004A09F3"/>
  </w:style>
  <w:style w:type="character" w:customStyle="1" w:styleId="citation-462">
    <w:name w:val="citation-462"/>
    <w:basedOn w:val="Fuentedeprrafopredeter"/>
    <w:rsid w:val="004A09F3"/>
  </w:style>
  <w:style w:type="character" w:customStyle="1" w:styleId="citation-461">
    <w:name w:val="citation-461"/>
    <w:basedOn w:val="Fuentedeprrafopredeter"/>
    <w:rsid w:val="004A09F3"/>
  </w:style>
  <w:style w:type="character" w:customStyle="1" w:styleId="baj">
    <w:name w:val="b_aj"/>
    <w:basedOn w:val="Fuentedeprrafopredeter"/>
    <w:rsid w:val="003A7C4A"/>
  </w:style>
  <w:style w:type="paragraph" w:styleId="Textoindependiente">
    <w:name w:val="Body Text"/>
    <w:basedOn w:val="Normal"/>
    <w:link w:val="TextoindependienteCar"/>
    <w:uiPriority w:val="1"/>
    <w:qFormat/>
    <w:rsid w:val="00BA7DD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7DDD"/>
    <w:rPr>
      <w:rFonts w:ascii="Verdana" w:eastAsia="Verdana" w:hAnsi="Verdana" w:cs="Verdana"/>
      <w:lang w:val="es-ES"/>
    </w:rPr>
  </w:style>
  <w:style w:type="character" w:customStyle="1" w:styleId="citation-111">
    <w:name w:val="citation-111"/>
    <w:basedOn w:val="Fuentedeprrafopredeter"/>
    <w:rsid w:val="00C20FD9"/>
  </w:style>
  <w:style w:type="character" w:customStyle="1" w:styleId="citation-110">
    <w:name w:val="citation-110"/>
    <w:basedOn w:val="Fuentedeprrafopredeter"/>
    <w:rsid w:val="00C20FD9"/>
  </w:style>
  <w:style w:type="character" w:customStyle="1" w:styleId="citation-109">
    <w:name w:val="citation-109"/>
    <w:basedOn w:val="Fuentedeprrafopredeter"/>
    <w:rsid w:val="00C20FD9"/>
  </w:style>
  <w:style w:type="character" w:customStyle="1" w:styleId="citation-108">
    <w:name w:val="citation-108"/>
    <w:basedOn w:val="Fuentedeprrafopredeter"/>
    <w:rsid w:val="00C20FD9"/>
  </w:style>
  <w:style w:type="character" w:customStyle="1" w:styleId="citation-107">
    <w:name w:val="citation-107"/>
    <w:basedOn w:val="Fuentedeprrafopredeter"/>
    <w:rsid w:val="00C20FD9"/>
  </w:style>
  <w:style w:type="character" w:customStyle="1" w:styleId="citation-106">
    <w:name w:val="citation-106"/>
    <w:basedOn w:val="Fuentedeprrafopredeter"/>
    <w:rsid w:val="00C20FD9"/>
  </w:style>
  <w:style w:type="character" w:customStyle="1" w:styleId="citation-105">
    <w:name w:val="citation-105"/>
    <w:basedOn w:val="Fuentedeprrafopredeter"/>
    <w:rsid w:val="00C20FD9"/>
  </w:style>
  <w:style w:type="character" w:customStyle="1" w:styleId="citation-104">
    <w:name w:val="citation-104"/>
    <w:basedOn w:val="Fuentedeprrafopredeter"/>
    <w:rsid w:val="00C20FD9"/>
  </w:style>
  <w:style w:type="character" w:customStyle="1" w:styleId="citation-103">
    <w:name w:val="citation-103"/>
    <w:basedOn w:val="Fuentedeprrafopredeter"/>
    <w:rsid w:val="00C20FD9"/>
  </w:style>
  <w:style w:type="character" w:customStyle="1" w:styleId="citation-102">
    <w:name w:val="citation-102"/>
    <w:basedOn w:val="Fuentedeprrafopredeter"/>
    <w:rsid w:val="00C20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istinavs53@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manuales-guias-y-pliegos-tipo/manuales-y-guias" TargetMode="External"/><Relationship Id="rId2" Type="http://schemas.openxmlformats.org/officeDocument/2006/relationships/hyperlink" Target="https://www.colombiacompra.gov.co/wp-content/uploads/2024/08/cce-eicp-ma-04._manual_requisitos_habilitantes_v3_29-09-2023.pdf" TargetMode="External"/><Relationship Id="rId1" Type="http://schemas.openxmlformats.org/officeDocument/2006/relationships/hyperlink" Target="http://www.secretariasenado.gov.co/senado/basedoc/ley_1780_2016.html" TargetMode="External"/><Relationship Id="rId4"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315F06-2DD8-4048-8AEC-07EFED508A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15</Pages>
  <Words>4602</Words>
  <Characters>24807</Characters>
  <Application>Microsoft Office Word</Application>
  <DocSecurity>0</DocSecurity>
  <Lines>477</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29303</CharactersWithSpaces>
  <SharedDoc>false</SharedDoc>
  <HLinks>
    <vt:vector size="54"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4653144</vt:i4>
      </vt:variant>
      <vt:variant>
        <vt:i4>6</vt:i4>
      </vt:variant>
      <vt:variant>
        <vt:i4>0</vt:i4>
      </vt:variant>
      <vt:variant>
        <vt:i4>5</vt:i4>
      </vt:variant>
      <vt:variant>
        <vt:lpwstr>https://www.colombiacompra.gov.co/documentos-tipo/documentos-tipo</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3407882</vt:i4>
      </vt:variant>
      <vt:variant>
        <vt:i4>0</vt:i4>
      </vt:variant>
      <vt:variant>
        <vt:i4>0</vt:i4>
      </vt:variant>
      <vt:variant>
        <vt:i4>5</vt:i4>
      </vt:variant>
      <vt:variant>
        <vt:lpwstr>mailto:cristinavs53@gmail.com</vt:lpwstr>
      </vt:variant>
      <vt:variant>
        <vt:lpwstr/>
      </vt:variant>
      <vt:variant>
        <vt:i4>26</vt:i4>
      </vt:variant>
      <vt:variant>
        <vt:i4>9</vt:i4>
      </vt:variant>
      <vt:variant>
        <vt:i4>0</vt:i4>
      </vt:variant>
      <vt:variant>
        <vt:i4>5</vt:i4>
      </vt:variant>
      <vt:variant>
        <vt:lpwstr>http://www.secretariasenado.gov.co/senado/basedoc/ley_1780_2016.html</vt:lpwstr>
      </vt:variant>
      <vt:variant>
        <vt:lpwstr>15</vt:lpwstr>
      </vt:variant>
      <vt:variant>
        <vt:i4>5111895</vt:i4>
      </vt:variant>
      <vt:variant>
        <vt:i4>6</vt:i4>
      </vt:variant>
      <vt:variant>
        <vt:i4>0</vt:i4>
      </vt:variant>
      <vt:variant>
        <vt:i4>5</vt:i4>
      </vt:variant>
      <vt:variant>
        <vt:lpwstr>https://www.colombiacompra.gov.co/manuales-guias-y-pliegos-tipo/manuales-y-guias</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26</vt:i4>
      </vt:variant>
      <vt:variant>
        <vt:i4>0</vt:i4>
      </vt:variant>
      <vt:variant>
        <vt:i4>0</vt:i4>
      </vt:variant>
      <vt:variant>
        <vt:i4>5</vt:i4>
      </vt:variant>
      <vt:variant>
        <vt:lpwstr>http://www.secretariasenado.gov.co/senado/basedoc/ley_1780_2016.html</vt:lpwstr>
      </vt:variant>
      <vt:variant>
        <vt:lpwstr>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2025-10-21T16:23:00Z</dcterms:created>
  <dcterms:modified xsi:type="dcterms:W3CDTF">2026-03-06T16:41:00Z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