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5FB84" w14:textId="77777777" w:rsidR="00E5014D" w:rsidRPr="00BE151B" w:rsidRDefault="00E5014D" w:rsidP="00E5014D">
      <w:pPr>
        <w:spacing w:after="0" w:line="240" w:lineRule="auto"/>
        <w:jc w:val="both"/>
        <w:rPr>
          <w:rFonts w:ascii="Verdana" w:eastAsia="Calibri" w:hAnsi="Verdana" w:cs="Arial"/>
          <w:b/>
          <w:bCs/>
          <w:color w:val="000000"/>
          <w:kern w:val="2"/>
          <w14:ligatures w14:val="standardContextual"/>
        </w:rPr>
      </w:pPr>
      <w:bookmarkStart w:id="0" w:name="_Hlk181166130"/>
      <w:bookmarkStart w:id="1" w:name="_Hlk209714638"/>
      <w:r w:rsidRPr="00BE151B">
        <w:rPr>
          <w:rFonts w:ascii="Verdana" w:eastAsia="Calibri" w:hAnsi="Verdana" w:cs="Arial"/>
          <w:b/>
          <w:bCs/>
          <w:color w:val="000000"/>
          <w:kern w:val="2"/>
          <w14:ligatures w14:val="standardContextual"/>
        </w:rPr>
        <w:t xml:space="preserve">INHABILIDADES E INCOMPATIBILIDADES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Concepto </w:t>
      </w:r>
      <w:r w:rsidRPr="00BE151B">
        <w:rPr>
          <w:rFonts w:ascii="Verdana" w:eastAsia="Calibri" w:hAnsi="Verdana" w:cs="Arial"/>
          <w:b/>
          <w:color w:val="000000"/>
          <w:kern w:val="2"/>
          <w14:ligatures w14:val="standardContextual"/>
        </w:rPr>
        <w:t xml:space="preserve">– </w:t>
      </w:r>
      <w:r w:rsidRPr="00BE151B">
        <w:rPr>
          <w:rFonts w:ascii="Verdana" w:eastAsia="Calibri" w:hAnsi="Verdana" w:cs="Arial"/>
          <w:b/>
          <w:bCs/>
          <w:color w:val="000000"/>
          <w:kern w:val="2"/>
          <w14:ligatures w14:val="standardContextual"/>
        </w:rPr>
        <w:t xml:space="preserve">Principio de legalidad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Interpretación restrictiva</w:t>
      </w:r>
    </w:p>
    <w:p w14:paraId="454EB345" w14:textId="77777777" w:rsidR="00E5014D" w:rsidRPr="00BE151B" w:rsidRDefault="00E5014D" w:rsidP="00E5014D">
      <w:pPr>
        <w:spacing w:after="0" w:line="240" w:lineRule="auto"/>
        <w:jc w:val="both"/>
        <w:rPr>
          <w:rFonts w:ascii="Verdana" w:eastAsia="Calibri" w:hAnsi="Verdana" w:cs="Arial"/>
          <w:b/>
          <w:bCs/>
          <w:color w:val="000000"/>
          <w:kern w:val="2"/>
          <w14:ligatures w14:val="standardContextual"/>
        </w:rPr>
      </w:pPr>
    </w:p>
    <w:p w14:paraId="7740405F" w14:textId="77777777" w:rsidR="00E5014D" w:rsidRPr="00BE151B" w:rsidRDefault="00E5014D" w:rsidP="00E5014D">
      <w:pPr>
        <w:spacing w:after="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 xml:space="preserve">Las </w:t>
      </w:r>
      <w:r w:rsidRPr="00BE151B">
        <w:rPr>
          <w:rFonts w:ascii="Verdana" w:eastAsia="Calibri" w:hAnsi="Verdana" w:cs="Arial"/>
          <w:i/>
          <w:iCs/>
          <w:color w:val="000000"/>
          <w:kern w:val="2"/>
          <w:sz w:val="20"/>
          <w:szCs w:val="20"/>
          <w14:ligatures w14:val="standardContextual"/>
        </w:rPr>
        <w:t>inhabilidades</w:t>
      </w:r>
      <w:r w:rsidRPr="00BE151B">
        <w:rPr>
          <w:rFonts w:ascii="Verdana" w:eastAsia="Calibri" w:hAnsi="Verdana" w:cs="Arial"/>
          <w:color w:val="000000"/>
          <w:kern w:val="2"/>
          <w:sz w:val="20"/>
          <w:szCs w:val="20"/>
          <w14:ligatures w14:val="standardContextual"/>
        </w:rPr>
        <w:t xml:space="preserve"> son prohibiciones para concurrir a los procedimientos de selección y para contratar con el Estado, que se derivan de:  i) la existencia de comportamientos reprochables o sanciones anteriormente impuestas, </w:t>
      </w:r>
      <w:proofErr w:type="spellStart"/>
      <w:r w:rsidRPr="00BE151B">
        <w:rPr>
          <w:rFonts w:ascii="Verdana" w:eastAsia="Calibri" w:hAnsi="Verdana" w:cs="Arial"/>
          <w:color w:val="000000"/>
          <w:kern w:val="2"/>
          <w:sz w:val="20"/>
          <w:szCs w:val="20"/>
          <w14:ligatures w14:val="standardContextual"/>
        </w:rPr>
        <w:t>ii</w:t>
      </w:r>
      <w:proofErr w:type="spellEnd"/>
      <w:r w:rsidRPr="00BE151B">
        <w:rPr>
          <w:rFonts w:ascii="Verdana" w:eastAsia="Calibri" w:hAnsi="Verdana" w:cs="Arial"/>
          <w:color w:val="000000"/>
          <w:kern w:val="2"/>
          <w:sz w:val="20"/>
          <w:szCs w:val="20"/>
          <w14:ligatures w14:val="standardContextual"/>
        </w:rPr>
        <w:t xml:space="preserve">) vínculos personales relativos al parentesco o al estado civil o </w:t>
      </w:r>
      <w:proofErr w:type="spellStart"/>
      <w:r w:rsidRPr="00BE151B">
        <w:rPr>
          <w:rFonts w:ascii="Verdana" w:eastAsia="Calibri" w:hAnsi="Verdana" w:cs="Arial"/>
          <w:color w:val="000000"/>
          <w:kern w:val="2"/>
          <w:sz w:val="20"/>
          <w:szCs w:val="20"/>
          <w14:ligatures w14:val="standardContextual"/>
        </w:rPr>
        <w:t>iii</w:t>
      </w:r>
      <w:proofErr w:type="spellEnd"/>
      <w:r w:rsidRPr="00BE151B">
        <w:rPr>
          <w:rFonts w:ascii="Verdana" w:eastAsia="Calibri" w:hAnsi="Verdana" w:cs="Arial"/>
          <w:color w:val="000000"/>
          <w:kern w:val="2"/>
          <w:sz w:val="20"/>
          <w:szCs w:val="20"/>
          <w14:ligatures w14:val="standardContextual"/>
        </w:rPr>
        <w:t xml:space="preserve">) una actividad u oficio que se desempeñó en el pasado. De otro lado, las </w:t>
      </w:r>
      <w:r w:rsidRPr="00BE151B">
        <w:rPr>
          <w:rFonts w:ascii="Verdana" w:eastAsia="Calibri" w:hAnsi="Verdana" w:cs="Arial"/>
          <w:i/>
          <w:iCs/>
          <w:color w:val="000000"/>
          <w:kern w:val="2"/>
          <w:sz w:val="20"/>
          <w:szCs w:val="20"/>
          <w14:ligatures w14:val="standardContextual"/>
        </w:rPr>
        <w:t>incompatibilidades</w:t>
      </w:r>
      <w:r w:rsidRPr="00BE151B">
        <w:rPr>
          <w:rFonts w:ascii="Verdana" w:eastAsia="Calibri" w:hAnsi="Verdana" w:cs="Arial"/>
          <w:color w:val="000000"/>
          <w:kern w:val="2"/>
          <w:sz w:val="20"/>
          <w:szCs w:val="20"/>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76F26256" w14:textId="77777777" w:rsidR="00E5014D" w:rsidRPr="00BE151B" w:rsidRDefault="00E5014D" w:rsidP="00E5014D">
      <w:pPr>
        <w:spacing w:after="12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w:t>
      </w:r>
    </w:p>
    <w:p w14:paraId="4BB377C0" w14:textId="77777777" w:rsidR="00E5014D" w:rsidRPr="00BE151B" w:rsidRDefault="00E5014D" w:rsidP="00E5014D">
      <w:pPr>
        <w:spacing w:after="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3F05D9FD" w14:textId="77777777" w:rsidR="00E5014D" w:rsidRPr="00BE151B" w:rsidRDefault="00E5014D" w:rsidP="00E5014D">
      <w:pPr>
        <w:spacing w:after="0" w:line="240" w:lineRule="auto"/>
        <w:jc w:val="both"/>
        <w:rPr>
          <w:rFonts w:ascii="Verdana" w:eastAsia="Calibri" w:hAnsi="Verdana" w:cs="Arial"/>
          <w:color w:val="000000"/>
          <w:kern w:val="2"/>
          <w:sz w:val="20"/>
          <w:szCs w:val="20"/>
          <w14:ligatures w14:val="standardContextual"/>
        </w:rPr>
      </w:pPr>
    </w:p>
    <w:p w14:paraId="5E88A58F" w14:textId="77777777" w:rsidR="00E5014D" w:rsidRDefault="00E5014D" w:rsidP="00E5014D">
      <w:pPr>
        <w:spacing w:after="0" w:line="240" w:lineRule="auto"/>
        <w:jc w:val="both"/>
        <w:rPr>
          <w:rFonts w:ascii="Verdana" w:eastAsia="Calibri" w:hAnsi="Verdana" w:cs="Arial"/>
          <w:b/>
          <w:color w:val="000000"/>
          <w:kern w:val="2"/>
          <w14:ligatures w14:val="standardContextual"/>
        </w:rPr>
      </w:pPr>
      <w:r w:rsidRPr="0078487A">
        <w:rPr>
          <w:rFonts w:ascii="Verdana" w:eastAsia="Calibri" w:hAnsi="Verdana" w:cs="Arial"/>
          <w:b/>
          <w:color w:val="000000"/>
          <w:kern w:val="2"/>
          <w14:ligatures w14:val="standardContextual"/>
        </w:rPr>
        <w:t>INHABILIDADES E INCOMPATIBILIDADES – Ley 80 de 1993 – Numeral 2, literal A) – Exservidor público – Niveles directivo, asesor o ejecutivo - Elemento temporal (1) un año</w:t>
      </w:r>
    </w:p>
    <w:p w14:paraId="3B44594F" w14:textId="77777777" w:rsidR="00E5014D" w:rsidRPr="00BE151B" w:rsidRDefault="00E5014D" w:rsidP="00E5014D">
      <w:pPr>
        <w:spacing w:after="0" w:line="240" w:lineRule="auto"/>
        <w:jc w:val="both"/>
        <w:rPr>
          <w:rFonts w:ascii="Verdana" w:eastAsia="Calibri" w:hAnsi="Verdana" w:cs="Arial"/>
          <w:b/>
          <w:color w:val="000000"/>
          <w:kern w:val="2"/>
          <w14:ligatures w14:val="standardContextual"/>
        </w:rPr>
      </w:pPr>
    </w:p>
    <w:p w14:paraId="4822F6ED" w14:textId="77777777" w:rsidR="00E5014D" w:rsidRDefault="00E5014D" w:rsidP="00E5014D">
      <w:pPr>
        <w:spacing w:after="0" w:line="240" w:lineRule="auto"/>
        <w:jc w:val="both"/>
        <w:rPr>
          <w:rFonts w:ascii="Verdana" w:eastAsia="Calibri" w:hAnsi="Verdana" w:cs="Arial"/>
          <w:color w:val="000000"/>
          <w:kern w:val="2"/>
          <w:sz w:val="20"/>
          <w:szCs w:val="20"/>
          <w14:ligatures w14:val="standardContextual"/>
        </w:rPr>
      </w:pPr>
      <w:r w:rsidRPr="00E2445B">
        <w:rPr>
          <w:rFonts w:ascii="Verdana" w:eastAsia="Calibri" w:hAnsi="Verdana" w:cs="Arial"/>
          <w:color w:val="000000"/>
          <w:kern w:val="2"/>
          <w:sz w:val="20"/>
          <w:szCs w:val="20"/>
          <w14:ligatures w14:val="standardContextual"/>
        </w:rPr>
        <w:t xml:space="preserve">Los literales a) y f) prohíben a las entidades públicas contratar, para la primera, con i) miembros de la junta o consejo directivo o </w:t>
      </w:r>
      <w:proofErr w:type="spellStart"/>
      <w:r w:rsidRPr="00E2445B">
        <w:rPr>
          <w:rFonts w:ascii="Verdana" w:eastAsia="Calibri" w:hAnsi="Verdana" w:cs="Arial"/>
          <w:color w:val="000000"/>
          <w:kern w:val="2"/>
          <w:sz w:val="20"/>
          <w:szCs w:val="20"/>
          <w14:ligatures w14:val="standardContextual"/>
        </w:rPr>
        <w:t>ii</w:t>
      </w:r>
      <w:proofErr w:type="spellEnd"/>
      <w:r w:rsidRPr="00E2445B">
        <w:rPr>
          <w:rFonts w:ascii="Verdana" w:eastAsia="Calibri" w:hAnsi="Verdana" w:cs="Arial"/>
          <w:color w:val="000000"/>
          <w:kern w:val="2"/>
          <w:sz w:val="20"/>
          <w:szCs w:val="20"/>
          <w14:ligatures w14:val="standardContextual"/>
        </w:rPr>
        <w:t>) servidores públicos, en cualquiera de sus clasificaciones, sean estos miembros de corporaciones públicas, sean empleados y/o trabajadores del Estado y/o de sus entidades descentralizadas territorialmente y/o por servicios, que hubiesen ejercido funciones en los niveles directivo, asesor o ejecutivo, en los que su vinculación hubiere terminado dentro del año inmediatamente anterior en la entidad contratante.</w:t>
      </w:r>
    </w:p>
    <w:p w14:paraId="0067CA07" w14:textId="77777777" w:rsidR="00E5014D" w:rsidRDefault="00E5014D" w:rsidP="00E5014D">
      <w:pPr>
        <w:spacing w:after="0" w:line="240" w:lineRule="auto"/>
        <w:jc w:val="both"/>
        <w:rPr>
          <w:rFonts w:ascii="Verdana" w:eastAsia="Calibri" w:hAnsi="Verdana" w:cs="Arial"/>
          <w:color w:val="000000"/>
          <w:kern w:val="2"/>
          <w:sz w:val="20"/>
          <w:szCs w:val="20"/>
          <w14:ligatures w14:val="standardContextual"/>
        </w:rPr>
      </w:pPr>
    </w:p>
    <w:p w14:paraId="28BE1F8C" w14:textId="77777777" w:rsidR="00E5014D" w:rsidRPr="00DA5964" w:rsidRDefault="00E5014D" w:rsidP="00E5014D">
      <w:pPr>
        <w:spacing w:after="0" w:line="240" w:lineRule="auto"/>
        <w:jc w:val="both"/>
        <w:rPr>
          <w:rFonts w:ascii="Verdana" w:eastAsia="Calibri" w:hAnsi="Verdana" w:cs="Arial"/>
          <w:b/>
          <w:color w:val="000000"/>
          <w:kern w:val="2"/>
          <w14:ligatures w14:val="standardContextual"/>
        </w:rPr>
      </w:pPr>
      <w:r w:rsidRPr="00DA5964">
        <w:rPr>
          <w:rFonts w:ascii="Verdana" w:eastAsia="Calibri" w:hAnsi="Verdana" w:cs="Arial"/>
          <w:b/>
          <w:color w:val="000000"/>
          <w:kern w:val="2"/>
          <w14:ligatures w14:val="standardContextual"/>
        </w:rPr>
        <w:t>INHABILIDADES E INCOMPATIBILIDADES – Ley 80 de 1993 – Numeral 2, literal F) – Contratación directa e indirecta – Exservidor público – Cargo Directivo – Elemento temporal (2) dos años – Sociedades</w:t>
      </w:r>
    </w:p>
    <w:p w14:paraId="20CD0FC2" w14:textId="77777777" w:rsidR="00E5014D" w:rsidRPr="00E2445B" w:rsidRDefault="00E5014D" w:rsidP="00E5014D">
      <w:pPr>
        <w:spacing w:after="0" w:line="240" w:lineRule="auto"/>
        <w:jc w:val="both"/>
        <w:rPr>
          <w:rFonts w:ascii="Verdana" w:eastAsia="Calibri" w:hAnsi="Verdana" w:cs="Arial"/>
          <w:color w:val="000000"/>
          <w:kern w:val="2"/>
          <w:sz w:val="20"/>
          <w:szCs w:val="20"/>
          <w14:ligatures w14:val="standardContextual"/>
        </w:rPr>
      </w:pPr>
    </w:p>
    <w:p w14:paraId="75E25BCA" w14:textId="77777777" w:rsidR="00E5014D" w:rsidRPr="00BE151B" w:rsidRDefault="00E5014D" w:rsidP="00E5014D">
      <w:pPr>
        <w:spacing w:after="0" w:line="240" w:lineRule="auto"/>
        <w:jc w:val="both"/>
        <w:rPr>
          <w:rFonts w:ascii="Verdana" w:eastAsia="Calibri" w:hAnsi="Verdana" w:cs="Arial"/>
          <w:color w:val="000000"/>
          <w:kern w:val="2"/>
          <w:sz w:val="20"/>
          <w:szCs w:val="20"/>
          <w14:ligatures w14:val="standardContextual"/>
        </w:rPr>
      </w:pPr>
      <w:r w:rsidRPr="00E2445B">
        <w:rPr>
          <w:rFonts w:ascii="Verdana" w:eastAsia="Calibri" w:hAnsi="Verdana" w:cs="Arial"/>
          <w:color w:val="000000"/>
          <w:kern w:val="2"/>
          <w:sz w:val="20"/>
          <w:szCs w:val="20"/>
          <w14:ligatures w14:val="standardContextual"/>
        </w:rPr>
        <w:t xml:space="preserve">Para la segunda, dicha prohibición recae en exservidores públicos que hubiesen ejercido cargos en el nivel directivo en entidades del Estado y las sociedades en las cuales dichos exservidores púbicos hagan parte o estén vinculados a cualquier título, dentro de los (2) dos años siguientes al retiro del ejercicio del cargo público, cuando el contrato que pretenden suscribir (sea el exservidor público persona natural o sea la sociedad en la que estos hagan parte o estén vinculados a la persona jurídica) establezcan por objeto contractual uno que tenga relación directa con el sector al cual prestó sus servicios. Según el inciso segundo del literal f), dicha incompatibilidad opera para las personas que </w:t>
      </w:r>
      <w:r w:rsidRPr="00E2445B">
        <w:rPr>
          <w:rFonts w:ascii="Verdana" w:eastAsia="Calibri" w:hAnsi="Verdana" w:cs="Arial"/>
          <w:color w:val="000000"/>
          <w:kern w:val="2"/>
          <w:sz w:val="20"/>
          <w:szCs w:val="20"/>
          <w14:ligatures w14:val="standardContextual"/>
        </w:rPr>
        <w:lastRenderedPageBreak/>
        <w:t>se encuentren dentro del primer grado de consanguinidad, primero de afinidad, o primero civil del exempleado público.</w:t>
      </w:r>
    </w:p>
    <w:p w14:paraId="07E85E2E" w14:textId="77777777" w:rsidR="00E5014D" w:rsidRPr="00BE151B" w:rsidRDefault="00E5014D" w:rsidP="00E5014D">
      <w:pPr>
        <w:spacing w:after="0" w:line="240" w:lineRule="auto"/>
        <w:jc w:val="both"/>
        <w:rPr>
          <w:rFonts w:ascii="Verdana" w:eastAsia="Calibri" w:hAnsi="Verdana" w:cs="Arial"/>
          <w:color w:val="000000"/>
          <w:kern w:val="2"/>
          <w:sz w:val="20"/>
          <w:szCs w:val="20"/>
          <w14:ligatures w14:val="standardContextual"/>
        </w:rPr>
      </w:pPr>
    </w:p>
    <w:p w14:paraId="7871BFAF" w14:textId="77777777" w:rsidR="00E5014D" w:rsidRDefault="00E5014D" w:rsidP="00E5014D">
      <w:pPr>
        <w:spacing w:after="0" w:line="240" w:lineRule="auto"/>
        <w:rPr>
          <w:rFonts w:ascii="Verdana" w:eastAsia="Times New Roman" w:hAnsi="Verdana" w:cs="Arial"/>
          <w:lang w:eastAsia="es-ES_tradnl"/>
        </w:rPr>
      </w:pPr>
    </w:p>
    <w:p w14:paraId="3ED38686" w14:textId="77777777" w:rsidR="00E5014D" w:rsidRDefault="00E5014D" w:rsidP="00E5014D">
      <w:pPr>
        <w:spacing w:after="0" w:line="240" w:lineRule="auto"/>
        <w:rPr>
          <w:rFonts w:ascii="Verdana" w:eastAsia="Times New Roman" w:hAnsi="Verdana" w:cs="Arial"/>
          <w:lang w:eastAsia="es-ES_tradnl"/>
        </w:rPr>
      </w:pPr>
    </w:p>
    <w:p w14:paraId="4F766BB8" w14:textId="77777777" w:rsidR="00EC5C8D" w:rsidRDefault="00EC5C8D" w:rsidP="00103B90">
      <w:pPr>
        <w:spacing w:after="0" w:line="240" w:lineRule="auto"/>
        <w:rPr>
          <w:rFonts w:ascii="Verdana" w:hAnsi="Verdana"/>
        </w:rPr>
      </w:pPr>
    </w:p>
    <w:p w14:paraId="75630637" w14:textId="77777777" w:rsidR="00E5014D" w:rsidRDefault="00E5014D" w:rsidP="00103B90">
      <w:pPr>
        <w:spacing w:after="0" w:line="240" w:lineRule="auto"/>
        <w:rPr>
          <w:rFonts w:ascii="Verdana" w:hAnsi="Verdana"/>
        </w:rPr>
      </w:pPr>
    </w:p>
    <w:p w14:paraId="559DE1E4" w14:textId="77777777" w:rsidR="00E5014D" w:rsidRDefault="00E5014D" w:rsidP="00103B90">
      <w:pPr>
        <w:spacing w:after="0" w:line="240" w:lineRule="auto"/>
        <w:rPr>
          <w:rFonts w:ascii="Verdana" w:hAnsi="Verdana"/>
        </w:rPr>
      </w:pPr>
    </w:p>
    <w:p w14:paraId="1F3B73E5" w14:textId="77777777" w:rsidR="00E5014D" w:rsidRDefault="00E5014D" w:rsidP="00103B90">
      <w:pPr>
        <w:spacing w:after="0" w:line="240" w:lineRule="auto"/>
        <w:rPr>
          <w:rFonts w:ascii="Verdana" w:hAnsi="Verdana"/>
        </w:rPr>
      </w:pPr>
    </w:p>
    <w:p w14:paraId="301BC61E" w14:textId="77777777" w:rsidR="00E5014D" w:rsidRDefault="00E5014D" w:rsidP="00103B90">
      <w:pPr>
        <w:spacing w:after="0" w:line="240" w:lineRule="auto"/>
        <w:rPr>
          <w:rFonts w:ascii="Verdana" w:hAnsi="Verdana"/>
        </w:rPr>
      </w:pPr>
    </w:p>
    <w:p w14:paraId="01DC30DB" w14:textId="77777777" w:rsidR="00E5014D" w:rsidRDefault="00E5014D" w:rsidP="00103B90">
      <w:pPr>
        <w:spacing w:after="0" w:line="240" w:lineRule="auto"/>
        <w:rPr>
          <w:rFonts w:ascii="Verdana" w:hAnsi="Verdana"/>
        </w:rPr>
      </w:pPr>
    </w:p>
    <w:p w14:paraId="139B5572" w14:textId="77777777" w:rsidR="00E5014D" w:rsidRDefault="00E5014D" w:rsidP="00103B90">
      <w:pPr>
        <w:spacing w:after="0" w:line="240" w:lineRule="auto"/>
        <w:rPr>
          <w:rFonts w:ascii="Verdana" w:hAnsi="Verdana"/>
        </w:rPr>
      </w:pPr>
    </w:p>
    <w:p w14:paraId="5DD1E839" w14:textId="77777777" w:rsidR="00E5014D" w:rsidRDefault="00E5014D" w:rsidP="00103B90">
      <w:pPr>
        <w:spacing w:after="0" w:line="240" w:lineRule="auto"/>
        <w:rPr>
          <w:rFonts w:ascii="Verdana" w:hAnsi="Verdana"/>
        </w:rPr>
      </w:pPr>
    </w:p>
    <w:p w14:paraId="5C236282" w14:textId="77777777" w:rsidR="00E5014D" w:rsidRDefault="00E5014D" w:rsidP="00103B90">
      <w:pPr>
        <w:spacing w:after="0" w:line="240" w:lineRule="auto"/>
        <w:rPr>
          <w:rFonts w:ascii="Verdana" w:hAnsi="Verdana"/>
        </w:rPr>
      </w:pPr>
    </w:p>
    <w:p w14:paraId="59E415F2" w14:textId="77777777" w:rsidR="00E5014D" w:rsidRDefault="00E5014D" w:rsidP="00103B90">
      <w:pPr>
        <w:spacing w:after="0" w:line="240" w:lineRule="auto"/>
        <w:rPr>
          <w:rFonts w:ascii="Verdana" w:hAnsi="Verdana"/>
        </w:rPr>
      </w:pPr>
    </w:p>
    <w:p w14:paraId="6C99591B" w14:textId="77777777" w:rsidR="00E5014D" w:rsidRDefault="00E5014D" w:rsidP="00103B90">
      <w:pPr>
        <w:spacing w:after="0" w:line="240" w:lineRule="auto"/>
        <w:rPr>
          <w:rFonts w:ascii="Verdana" w:hAnsi="Verdana"/>
        </w:rPr>
      </w:pPr>
    </w:p>
    <w:p w14:paraId="577C205B" w14:textId="77777777" w:rsidR="00E5014D" w:rsidRDefault="00E5014D" w:rsidP="00103B90">
      <w:pPr>
        <w:spacing w:after="0" w:line="240" w:lineRule="auto"/>
        <w:rPr>
          <w:rFonts w:ascii="Verdana" w:hAnsi="Verdana"/>
        </w:rPr>
      </w:pPr>
    </w:p>
    <w:p w14:paraId="194AF2B3" w14:textId="77777777" w:rsidR="00E5014D" w:rsidRDefault="00E5014D" w:rsidP="00103B90">
      <w:pPr>
        <w:spacing w:after="0" w:line="240" w:lineRule="auto"/>
        <w:rPr>
          <w:rFonts w:ascii="Verdana" w:hAnsi="Verdana"/>
        </w:rPr>
      </w:pPr>
    </w:p>
    <w:p w14:paraId="16A5223C" w14:textId="77777777" w:rsidR="00E5014D" w:rsidRDefault="00E5014D" w:rsidP="00103B90">
      <w:pPr>
        <w:spacing w:after="0" w:line="240" w:lineRule="auto"/>
        <w:rPr>
          <w:rFonts w:ascii="Verdana" w:hAnsi="Verdana"/>
        </w:rPr>
      </w:pPr>
    </w:p>
    <w:p w14:paraId="3AB845D3" w14:textId="77777777" w:rsidR="00E5014D" w:rsidRDefault="00E5014D" w:rsidP="00103B90">
      <w:pPr>
        <w:spacing w:after="0" w:line="240" w:lineRule="auto"/>
        <w:rPr>
          <w:rFonts w:ascii="Verdana" w:hAnsi="Verdana"/>
        </w:rPr>
      </w:pPr>
    </w:p>
    <w:p w14:paraId="355D30F2" w14:textId="77777777" w:rsidR="00E5014D" w:rsidRDefault="00E5014D" w:rsidP="00103B90">
      <w:pPr>
        <w:spacing w:after="0" w:line="240" w:lineRule="auto"/>
        <w:rPr>
          <w:rFonts w:ascii="Verdana" w:hAnsi="Verdana"/>
        </w:rPr>
      </w:pPr>
    </w:p>
    <w:p w14:paraId="478586D2" w14:textId="77777777" w:rsidR="00E5014D" w:rsidRDefault="00E5014D" w:rsidP="00103B90">
      <w:pPr>
        <w:spacing w:after="0" w:line="240" w:lineRule="auto"/>
        <w:rPr>
          <w:rFonts w:ascii="Verdana" w:hAnsi="Verdana"/>
        </w:rPr>
      </w:pPr>
    </w:p>
    <w:p w14:paraId="45E1EF3A" w14:textId="77777777" w:rsidR="00E5014D" w:rsidRDefault="00E5014D" w:rsidP="00103B90">
      <w:pPr>
        <w:spacing w:after="0" w:line="240" w:lineRule="auto"/>
        <w:rPr>
          <w:rFonts w:ascii="Verdana" w:hAnsi="Verdana"/>
        </w:rPr>
      </w:pPr>
    </w:p>
    <w:p w14:paraId="216D8449" w14:textId="77777777" w:rsidR="00E5014D" w:rsidRDefault="00E5014D" w:rsidP="00103B90">
      <w:pPr>
        <w:spacing w:after="0" w:line="240" w:lineRule="auto"/>
        <w:rPr>
          <w:rFonts w:ascii="Verdana" w:hAnsi="Verdana"/>
        </w:rPr>
      </w:pPr>
    </w:p>
    <w:p w14:paraId="0B299AC7" w14:textId="77777777" w:rsidR="00E5014D" w:rsidRDefault="00E5014D" w:rsidP="00103B90">
      <w:pPr>
        <w:spacing w:after="0" w:line="240" w:lineRule="auto"/>
        <w:rPr>
          <w:rFonts w:ascii="Verdana" w:hAnsi="Verdana"/>
        </w:rPr>
      </w:pPr>
    </w:p>
    <w:p w14:paraId="29212477" w14:textId="77777777" w:rsidR="00E5014D" w:rsidRDefault="00E5014D" w:rsidP="00103B90">
      <w:pPr>
        <w:spacing w:after="0" w:line="240" w:lineRule="auto"/>
        <w:rPr>
          <w:rFonts w:ascii="Verdana" w:hAnsi="Verdana"/>
        </w:rPr>
      </w:pPr>
    </w:p>
    <w:p w14:paraId="21863E30" w14:textId="77777777" w:rsidR="00E5014D" w:rsidRDefault="00E5014D" w:rsidP="00103B90">
      <w:pPr>
        <w:spacing w:after="0" w:line="240" w:lineRule="auto"/>
        <w:rPr>
          <w:rFonts w:ascii="Verdana" w:hAnsi="Verdana"/>
        </w:rPr>
      </w:pPr>
    </w:p>
    <w:p w14:paraId="1814C629" w14:textId="77777777" w:rsidR="00E5014D" w:rsidRDefault="00E5014D" w:rsidP="00103B90">
      <w:pPr>
        <w:spacing w:after="0" w:line="240" w:lineRule="auto"/>
        <w:rPr>
          <w:rFonts w:ascii="Verdana" w:hAnsi="Verdana"/>
        </w:rPr>
      </w:pPr>
    </w:p>
    <w:p w14:paraId="392A1206" w14:textId="77777777" w:rsidR="00E5014D" w:rsidRDefault="00E5014D" w:rsidP="00103B90">
      <w:pPr>
        <w:spacing w:after="0" w:line="240" w:lineRule="auto"/>
        <w:rPr>
          <w:rFonts w:ascii="Verdana" w:hAnsi="Verdana"/>
        </w:rPr>
      </w:pPr>
    </w:p>
    <w:p w14:paraId="58B0758E" w14:textId="77777777" w:rsidR="00E5014D" w:rsidRDefault="00E5014D" w:rsidP="00103B90">
      <w:pPr>
        <w:spacing w:after="0" w:line="240" w:lineRule="auto"/>
        <w:rPr>
          <w:rFonts w:ascii="Verdana" w:hAnsi="Verdana"/>
        </w:rPr>
      </w:pPr>
    </w:p>
    <w:p w14:paraId="3F669274" w14:textId="77777777" w:rsidR="00E5014D" w:rsidRDefault="00E5014D" w:rsidP="00103B90">
      <w:pPr>
        <w:spacing w:after="0" w:line="240" w:lineRule="auto"/>
        <w:rPr>
          <w:rFonts w:ascii="Verdana" w:hAnsi="Verdana"/>
        </w:rPr>
      </w:pPr>
    </w:p>
    <w:p w14:paraId="61D7F921" w14:textId="77777777" w:rsidR="00E5014D" w:rsidRDefault="00E5014D" w:rsidP="00103B90">
      <w:pPr>
        <w:spacing w:after="0" w:line="240" w:lineRule="auto"/>
        <w:rPr>
          <w:rFonts w:ascii="Verdana" w:hAnsi="Verdana"/>
        </w:rPr>
      </w:pPr>
    </w:p>
    <w:p w14:paraId="237CFC0C" w14:textId="77777777" w:rsidR="00E5014D" w:rsidRDefault="00E5014D" w:rsidP="00103B90">
      <w:pPr>
        <w:spacing w:after="0" w:line="240" w:lineRule="auto"/>
        <w:rPr>
          <w:rFonts w:ascii="Verdana" w:hAnsi="Verdana"/>
        </w:rPr>
      </w:pPr>
    </w:p>
    <w:p w14:paraId="4269A983" w14:textId="77777777" w:rsidR="00E5014D" w:rsidRDefault="00E5014D" w:rsidP="00103B90">
      <w:pPr>
        <w:spacing w:after="0" w:line="240" w:lineRule="auto"/>
        <w:rPr>
          <w:rFonts w:ascii="Verdana" w:hAnsi="Verdana"/>
        </w:rPr>
      </w:pPr>
    </w:p>
    <w:p w14:paraId="044E8000" w14:textId="77777777" w:rsidR="00E5014D" w:rsidRDefault="00E5014D" w:rsidP="00103B90">
      <w:pPr>
        <w:spacing w:after="0" w:line="240" w:lineRule="auto"/>
        <w:rPr>
          <w:rFonts w:ascii="Verdana" w:hAnsi="Verdana"/>
        </w:rPr>
      </w:pPr>
    </w:p>
    <w:p w14:paraId="28D510F5" w14:textId="77777777" w:rsidR="00E5014D" w:rsidRDefault="00E5014D" w:rsidP="00103B90">
      <w:pPr>
        <w:spacing w:after="0" w:line="240" w:lineRule="auto"/>
        <w:rPr>
          <w:rFonts w:ascii="Verdana" w:hAnsi="Verdana"/>
        </w:rPr>
      </w:pPr>
    </w:p>
    <w:p w14:paraId="21BF6621" w14:textId="77777777" w:rsidR="00E5014D" w:rsidRDefault="00E5014D" w:rsidP="00103B90">
      <w:pPr>
        <w:spacing w:after="0" w:line="240" w:lineRule="auto"/>
        <w:rPr>
          <w:rFonts w:ascii="Verdana" w:hAnsi="Verdana"/>
        </w:rPr>
      </w:pPr>
    </w:p>
    <w:p w14:paraId="780A9D58" w14:textId="77777777" w:rsidR="00E5014D" w:rsidRDefault="00E5014D" w:rsidP="00103B90">
      <w:pPr>
        <w:spacing w:after="0" w:line="240" w:lineRule="auto"/>
        <w:rPr>
          <w:rFonts w:ascii="Verdana" w:hAnsi="Verdana"/>
        </w:rPr>
      </w:pPr>
    </w:p>
    <w:p w14:paraId="1153CEF5" w14:textId="77777777" w:rsidR="00E5014D" w:rsidRDefault="00E5014D" w:rsidP="00103B90">
      <w:pPr>
        <w:spacing w:after="0" w:line="240" w:lineRule="auto"/>
        <w:rPr>
          <w:rFonts w:ascii="Verdana" w:hAnsi="Verdana"/>
        </w:rPr>
      </w:pPr>
    </w:p>
    <w:p w14:paraId="7E105C16" w14:textId="77777777" w:rsidR="00E5014D" w:rsidRDefault="00E5014D" w:rsidP="00103B90">
      <w:pPr>
        <w:spacing w:after="0" w:line="240" w:lineRule="auto"/>
        <w:rPr>
          <w:rFonts w:ascii="Verdana" w:hAnsi="Verdana"/>
        </w:rPr>
      </w:pPr>
    </w:p>
    <w:p w14:paraId="1E0E134D" w14:textId="77777777" w:rsidR="00EC5C8D" w:rsidRDefault="00EC5C8D" w:rsidP="00103B90">
      <w:pPr>
        <w:spacing w:after="0" w:line="240" w:lineRule="auto"/>
        <w:rPr>
          <w:rFonts w:ascii="Verdana" w:hAnsi="Verdana"/>
        </w:rPr>
      </w:pPr>
    </w:p>
    <w:p w14:paraId="38F97FD3" w14:textId="77777777" w:rsidR="00EC5C8D" w:rsidRDefault="00EC5C8D" w:rsidP="00103B90">
      <w:pPr>
        <w:spacing w:after="0" w:line="240" w:lineRule="auto"/>
        <w:rPr>
          <w:rFonts w:ascii="Verdana" w:hAnsi="Verdana"/>
        </w:rPr>
      </w:pPr>
    </w:p>
    <w:p w14:paraId="44153E91" w14:textId="77777777" w:rsidR="00EC5C8D" w:rsidRDefault="00EC5C8D"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589162ED" w:rsidR="00A64017" w:rsidRDefault="00832E68" w:rsidP="00103B90">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7198B82" wp14:editId="769B07C9">
            <wp:simplePos x="0" y="0"/>
            <wp:positionH relativeFrom="column">
              <wp:posOffset>2928864</wp:posOffset>
            </wp:positionH>
            <wp:positionV relativeFrom="paragraph">
              <wp:posOffset>38540</wp:posOffset>
            </wp:positionV>
            <wp:extent cx="2626360" cy="782955"/>
            <wp:effectExtent l="0" t="0" r="2540" b="0"/>
            <wp:wrapNone/>
            <wp:docPr id="19456990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6360" cy="782955"/>
                    </a:xfrm>
                    <a:prstGeom prst="rect">
                      <a:avLst/>
                    </a:prstGeom>
                    <a:noFill/>
                    <a:ln>
                      <a:noFill/>
                    </a:ln>
                  </pic:spPr>
                </pic:pic>
              </a:graphicData>
            </a:graphic>
            <wp14:sizeRelH relativeFrom="page">
              <wp14:pctWidth>0</wp14:pctWidth>
            </wp14:sizeRelH>
            <wp14:sizeRelV relativeFrom="page">
              <wp14:pctHeight>0</wp14:pctHeight>
            </wp14:sizeRelV>
          </wp:anchor>
        </w:drawing>
      </w:r>
      <w:r w:rsidR="00A800B4">
        <w:rPr>
          <w:rFonts w:ascii="Verdana" w:hAnsi="Verdana"/>
        </w:rPr>
        <w:t>B</w:t>
      </w:r>
      <w:r w:rsidR="00A64017" w:rsidRPr="0044528D">
        <w:rPr>
          <w:rFonts w:ascii="Verdana" w:hAnsi="Verdana"/>
        </w:rPr>
        <w:t xml:space="preserve">ogotá D.C., </w:t>
      </w:r>
      <w:r w:rsidR="00611FA8">
        <w:rPr>
          <w:rFonts w:ascii="Verdana" w:hAnsi="Verdana"/>
        </w:rPr>
        <w:t>10</w:t>
      </w:r>
      <w:r w:rsidR="00324E0B">
        <w:rPr>
          <w:rFonts w:ascii="Verdana" w:hAnsi="Verdana"/>
        </w:rPr>
        <w:t xml:space="preserve"> </w:t>
      </w:r>
      <w:r w:rsidR="00763E4A">
        <w:rPr>
          <w:rFonts w:ascii="Verdana" w:hAnsi="Verdana"/>
        </w:rPr>
        <w:t xml:space="preserve">de </w:t>
      </w:r>
      <w:r w:rsidR="00611FA8">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2517E66C" w:rsidR="00A64017" w:rsidRDefault="00A64017" w:rsidP="00103B90">
      <w:pPr>
        <w:spacing w:after="0" w:line="240" w:lineRule="auto"/>
        <w:rPr>
          <w:rFonts w:ascii="Verdana" w:hAnsi="Verdana"/>
        </w:rPr>
      </w:pPr>
    </w:p>
    <w:p w14:paraId="6CEF9775" w14:textId="0E1F0F0F" w:rsidR="00611FA8" w:rsidRDefault="00611FA8" w:rsidP="00611FA8">
      <w:pPr>
        <w:spacing w:after="0" w:line="240" w:lineRule="auto"/>
        <w:jc w:val="right"/>
        <w:rPr>
          <w:rFonts w:ascii="Verdana" w:hAnsi="Verdana"/>
        </w:rPr>
      </w:pPr>
    </w:p>
    <w:p w14:paraId="24B08334" w14:textId="2FBC7701" w:rsidR="00331CD0" w:rsidRDefault="00331CD0" w:rsidP="00331CD0">
      <w:pPr>
        <w:spacing w:after="0" w:line="240" w:lineRule="auto"/>
        <w:jc w:val="right"/>
        <w:rPr>
          <w:rFonts w:ascii="Verdana" w:hAnsi="Verdana"/>
        </w:rPr>
      </w:pPr>
    </w:p>
    <w:p w14:paraId="6EF9D4E0" w14:textId="5C93F0C8"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FA3CFE">
        <w:rPr>
          <w:rFonts w:ascii="Verdana" w:eastAsia="Calibri" w:hAnsi="Verdana" w:cs="Arial"/>
          <w:lang w:eastAsia="es-ES"/>
        </w:rPr>
        <w:t>a</w:t>
      </w:r>
      <w:r w:rsidRPr="00631045">
        <w:rPr>
          <w:rFonts w:ascii="Verdana" w:eastAsia="Calibri" w:hAnsi="Verdana" w:cs="Arial"/>
          <w:lang w:eastAsia="es-ES"/>
        </w:rPr>
        <w:tab/>
      </w:r>
    </w:p>
    <w:p w14:paraId="200679A4" w14:textId="0537EE78" w:rsidR="00FA3CFE" w:rsidRDefault="00847C37" w:rsidP="00A64017">
      <w:pPr>
        <w:spacing w:after="0" w:line="240" w:lineRule="auto"/>
        <w:rPr>
          <w:rFonts w:ascii="Verdana" w:eastAsia="Calibri" w:hAnsi="Verdana" w:cs="Arial"/>
          <w:b/>
          <w:bCs/>
          <w:lang w:eastAsia="es-ES"/>
        </w:rPr>
      </w:pPr>
      <w:r>
        <w:rPr>
          <w:rFonts w:ascii="Verdana" w:eastAsia="Calibri" w:hAnsi="Verdana" w:cs="Arial"/>
          <w:b/>
          <w:bCs/>
          <w:lang w:eastAsia="es-ES"/>
        </w:rPr>
        <w:t>SONIA SMITH NI</w:t>
      </w:r>
      <w:r w:rsidR="00CC08E9">
        <w:rPr>
          <w:rFonts w:ascii="Verdana" w:eastAsia="Calibri" w:hAnsi="Verdana" w:cs="Arial"/>
          <w:b/>
          <w:bCs/>
          <w:lang w:eastAsia="es-ES"/>
        </w:rPr>
        <w:t>Ñ</w:t>
      </w:r>
      <w:r>
        <w:rPr>
          <w:rFonts w:ascii="Verdana" w:eastAsia="Calibri" w:hAnsi="Verdana" w:cs="Arial"/>
          <w:b/>
          <w:bCs/>
          <w:lang w:eastAsia="es-ES"/>
        </w:rPr>
        <w:t>O SUAREZ</w:t>
      </w:r>
    </w:p>
    <w:p w14:paraId="1FD85336" w14:textId="6B670D6C" w:rsidR="00A64017" w:rsidRPr="00964DAB" w:rsidRDefault="00B052C6" w:rsidP="00A64017">
      <w:pPr>
        <w:spacing w:after="0" w:line="240" w:lineRule="auto"/>
        <w:rPr>
          <w:rFonts w:ascii="Verdana" w:hAnsi="Verdana"/>
        </w:rPr>
      </w:pPr>
      <w:hyperlink r:id="rId12" w:history="1">
        <w:r w:rsidR="00964DAB" w:rsidRPr="00F22204">
          <w:rPr>
            <w:rStyle w:val="Hipervnculo"/>
            <w:rFonts w:ascii="Verdana" w:hAnsi="Verdana"/>
          </w:rPr>
          <w:t>secretariajuridica@fusagasuga-cundinamarca.gov.co</w:t>
        </w:r>
      </w:hyperlink>
      <w:r w:rsidR="00964DAB">
        <w:rPr>
          <w:rFonts w:ascii="Verdana" w:hAnsi="Verdana"/>
        </w:rPr>
        <w:t xml:space="preserve"> </w:t>
      </w:r>
      <w:r w:rsidR="0057166B" w:rsidRPr="00964DAB">
        <w:rPr>
          <w:rFonts w:ascii="Verdana" w:hAnsi="Verdana"/>
        </w:rPr>
        <w:t xml:space="preserve"> </w:t>
      </w:r>
      <w:r w:rsidR="00631045" w:rsidRPr="00964DAB">
        <w:rPr>
          <w:rFonts w:ascii="Verdana" w:hAnsi="Verdana"/>
        </w:rPr>
        <w:t xml:space="preserve"> </w:t>
      </w:r>
    </w:p>
    <w:p w14:paraId="48FCFCCF" w14:textId="2FFF24EB" w:rsidR="00A64017" w:rsidRDefault="00CC08E9" w:rsidP="00A64017">
      <w:pPr>
        <w:spacing w:after="0" w:line="240" w:lineRule="auto"/>
        <w:rPr>
          <w:rFonts w:ascii="Verdana" w:hAnsi="Verdana"/>
        </w:rPr>
      </w:pPr>
      <w:r>
        <w:rPr>
          <w:rFonts w:ascii="Verdana" w:hAnsi="Verdana"/>
        </w:rPr>
        <w:t>Fusagasugá</w:t>
      </w:r>
      <w:r w:rsidR="0057166B">
        <w:rPr>
          <w:rFonts w:ascii="Verdana" w:hAnsi="Verdana"/>
        </w:rPr>
        <w:t xml:space="preserve"> (</w:t>
      </w:r>
      <w:r>
        <w:rPr>
          <w:rFonts w:ascii="Verdana" w:hAnsi="Verdana"/>
        </w:rPr>
        <w:t>Cundinamarca</w:t>
      </w:r>
      <w:r w:rsidR="0057166B">
        <w:rPr>
          <w:rFonts w:ascii="Verdana" w:hAnsi="Verdana"/>
        </w:rPr>
        <w:t>)</w:t>
      </w:r>
      <w:r w:rsidR="00324E0B" w:rsidRPr="00631045">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47"/>
        <w:gridCol w:w="319"/>
      </w:tblGrid>
      <w:tr w:rsidR="00A64017" w:rsidRPr="00593A5F" w14:paraId="01D86018" w14:textId="77777777" w:rsidTr="00611FA8">
        <w:trPr>
          <w:trHeight w:val="273"/>
        </w:trPr>
        <w:tc>
          <w:tcPr>
            <w:tcW w:w="2410"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366" w:type="dxa"/>
            <w:gridSpan w:val="2"/>
          </w:tcPr>
          <w:p w14:paraId="00E37139" w14:textId="72E75B4D" w:rsidR="00A64017" w:rsidRDefault="00A64017" w:rsidP="00A15B1F">
            <w:pPr>
              <w:jc w:val="both"/>
              <w:rPr>
                <w:rFonts w:ascii="Verdana" w:eastAsia="Calibri" w:hAnsi="Verdana" w:cs="Arial"/>
                <w:b/>
                <w:bCs/>
                <w:lang w:val="es-ES" w:eastAsia="es-ES"/>
              </w:rPr>
            </w:pPr>
            <w:r w:rsidRPr="00500848">
              <w:rPr>
                <w:rFonts w:ascii="Verdana" w:eastAsia="Calibri" w:hAnsi="Verdana" w:cs="Arial"/>
                <w:b/>
                <w:bCs/>
                <w:lang w:val="es-ES" w:eastAsia="es-ES"/>
              </w:rPr>
              <w:t xml:space="preserve">Concepto C- </w:t>
            </w:r>
            <w:r w:rsidR="0057166B" w:rsidRPr="00500848">
              <w:rPr>
                <w:rFonts w:ascii="Verdana" w:eastAsia="Calibri" w:hAnsi="Verdana" w:cs="Arial"/>
                <w:b/>
                <w:bCs/>
                <w:lang w:val="es-ES" w:eastAsia="es-ES"/>
              </w:rPr>
              <w:t>12</w:t>
            </w:r>
            <w:r w:rsidR="00847C37" w:rsidRPr="00500848">
              <w:rPr>
                <w:rFonts w:ascii="Verdana" w:eastAsia="Calibri" w:hAnsi="Verdana" w:cs="Arial"/>
                <w:b/>
                <w:bCs/>
                <w:lang w:val="es-ES" w:eastAsia="es-ES"/>
              </w:rPr>
              <w:t>33</w:t>
            </w:r>
            <w:r w:rsidRPr="00500848">
              <w:rPr>
                <w:rFonts w:ascii="Verdana" w:eastAsia="Calibri" w:hAnsi="Verdana" w:cs="Arial"/>
                <w:b/>
                <w:bCs/>
                <w:lang w:val="es-ES" w:eastAsia="es-ES"/>
              </w:rPr>
              <w:t xml:space="preserve"> de 2025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611FA8">
        <w:trPr>
          <w:trHeight w:val="1583"/>
        </w:trPr>
        <w:tc>
          <w:tcPr>
            <w:tcW w:w="2410"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366" w:type="dxa"/>
            <w:gridSpan w:val="2"/>
          </w:tcPr>
          <w:p w14:paraId="19616245" w14:textId="7994F654" w:rsidR="00500848" w:rsidRPr="009A0091" w:rsidRDefault="00500848" w:rsidP="00500848">
            <w:pPr>
              <w:jc w:val="both"/>
              <w:rPr>
                <w:rFonts w:ascii="Verdana" w:eastAsia="Calibri" w:hAnsi="Verdana" w:cs="Arial"/>
                <w:color w:val="000000"/>
                <w:kern w:val="2"/>
                <w14:ligatures w14:val="standardContextual"/>
              </w:rPr>
            </w:pPr>
            <w:r w:rsidRPr="009A0091">
              <w:rPr>
                <w:rFonts w:ascii="Verdana" w:eastAsia="Calibri" w:hAnsi="Verdana" w:cs="Arial"/>
                <w:color w:val="000000"/>
                <w:kern w:val="2"/>
                <w14:ligatures w14:val="standardContextual"/>
              </w:rPr>
              <w:t>INHABILIDADES E INCOMPATIBILIDADES – Concepto – Principio de legalidad – Interpretación restrictiva / INHABILIDADES E INCOMPATIBILIDADES – Ley 80 de 1993 – Numeral 2, literal A) – Exservidor público – Niveles directivo, asesor o ejecutivo - Elemento temporal (1) un año / INHABILIDADES E INCOMPATIBILIDADES – Ley 80 de 1993 – Numeral 2, literal F) – Contratación directa e indirecta – Exservidor público – Cargo Directivo – Elemento temporal (2) dos años – Sociedades</w:t>
            </w:r>
            <w:r>
              <w:rPr>
                <w:rFonts w:ascii="Verdana" w:eastAsia="Calibri" w:hAnsi="Verdana" w:cs="Arial"/>
                <w:color w:val="000000"/>
                <w:kern w:val="2"/>
                <w14:ligatures w14:val="standardContextual"/>
              </w:rPr>
              <w:t>.</w:t>
            </w: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611FA8">
        <w:trPr>
          <w:trHeight w:val="545"/>
        </w:trPr>
        <w:tc>
          <w:tcPr>
            <w:tcW w:w="2410"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366" w:type="dxa"/>
            <w:gridSpan w:val="2"/>
          </w:tcPr>
          <w:p w14:paraId="7F568F0F" w14:textId="34836251"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847C37" w:rsidRPr="00847C37">
              <w:rPr>
                <w:rFonts w:ascii="Verdana" w:eastAsia="Calibri" w:hAnsi="Verdana" w:cs="Arial"/>
                <w:lang w:val="es-ES_tradnl" w:eastAsia="es-ES_tradnl"/>
              </w:rPr>
              <w:t>1_2025_09_01_009358</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26F15ED3"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FA3CFE">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FA3CFE">
        <w:rPr>
          <w:rFonts w:ascii="Verdana" w:eastAsia="Calibri" w:hAnsi="Verdana" w:cs="Arial"/>
          <w:lang w:val="es-ES" w:eastAsia="es-ES"/>
        </w:rPr>
        <w:t>a</w:t>
      </w:r>
      <w:r>
        <w:rPr>
          <w:rFonts w:ascii="Verdana" w:eastAsia="Calibri" w:hAnsi="Verdana" w:cs="Arial"/>
          <w:lang w:val="es-ES" w:eastAsia="es-ES"/>
        </w:rPr>
        <w:t xml:space="preserve"> </w:t>
      </w:r>
      <w:r w:rsidR="00CC08E9" w:rsidRPr="00CC08E9">
        <w:rPr>
          <w:rFonts w:ascii="Verdana" w:eastAsia="Calibri" w:hAnsi="Verdana" w:cs="Arial"/>
          <w:lang w:val="es-ES" w:eastAsia="es-ES"/>
        </w:rPr>
        <w:t>Niño</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EA2DFC3"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trasladada por el Departamento Administrativo de la Función Pública y radicada 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26</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49690274"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p>
    <w:p w14:paraId="5C8FF41B"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1. El señor Fernando Giraldo se desempeñó como </w:t>
      </w:r>
      <w:proofErr w:type="gramStart"/>
      <w:r w:rsidRPr="002316DB">
        <w:rPr>
          <w:rFonts w:ascii="Verdana" w:eastAsia="Century Gothic" w:hAnsi="Verdana" w:cs="Century Gothic"/>
          <w:i/>
          <w:iCs/>
          <w:sz w:val="20"/>
          <w:szCs w:val="20"/>
        </w:rPr>
        <w:t>Secretario</w:t>
      </w:r>
      <w:proofErr w:type="gramEnd"/>
      <w:r w:rsidRPr="002316DB">
        <w:rPr>
          <w:rFonts w:ascii="Verdana" w:eastAsia="Century Gothic" w:hAnsi="Verdana" w:cs="Century Gothic"/>
          <w:i/>
          <w:iCs/>
          <w:sz w:val="20"/>
          <w:szCs w:val="20"/>
        </w:rPr>
        <w:t xml:space="preserve"> de Planeación Municipal, cargo de nivel directivo, hasta el 31 de julio de 2024. </w:t>
      </w:r>
    </w:p>
    <w:p w14:paraId="73DBA6AE"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2. La Administración Municipal tiene interés en vincularlo nuevamente mediante un contrato de prestación de servicios profesionales, cuyo objeto y actividades se detallan a continuación: </w:t>
      </w:r>
    </w:p>
    <w:p w14:paraId="4C964C6F"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Objeto contractual: </w:t>
      </w:r>
    </w:p>
    <w:p w14:paraId="3CFF1577"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lastRenderedPageBreak/>
        <w:t xml:space="preserve">Prestación de servicios profesionales para el fortalecimiento de capacidades institucionales y la gobernanza, y para la articulación interinstitucional, en el marco de las competencias constitucionales y legales del Municipio. </w:t>
      </w:r>
    </w:p>
    <w:p w14:paraId="09B55AAE" w14:textId="77777777" w:rsidR="002316DB" w:rsidRDefault="002316DB"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AD030A6" w14:textId="767D6AE2" w:rsidR="002316DB" w:rsidRDefault="002316DB"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p>
    <w:p w14:paraId="6528AA92" w14:textId="77777777" w:rsidR="002316DB" w:rsidRDefault="002316DB"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854FFAE"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3. Se ha advertido la posible aplicación de las inhabilidades previstas en el artículo 8 de la Ley 80 de 1993, particularmente en sus literales a) y f).</w:t>
      </w:r>
    </w:p>
    <w:p w14:paraId="77936385" w14:textId="77777777" w:rsid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FE16EA3" w14:textId="012806A4"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PROBLEMA JURÍDICO</w:t>
      </w:r>
    </w:p>
    <w:p w14:paraId="680847B3" w14:textId="565E0E13" w:rsid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¿Se encuentra inhabilitado el señor Fernando Giraldo para contratar con el Municipio de Fusagasugá, en virtud de los literales a) y f) del artículo 8 de la Ley 80 de 1993, teniendo en cuenta que el contrato proyectado tiene un objeto y unas actividades diferentes y ajenas a las funciones propias del sector administrativo de Planeación?</w:t>
      </w:r>
    </w:p>
    <w:p w14:paraId="651C0BFD" w14:textId="77777777" w:rsid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284D199" w14:textId="77777777" w:rsid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CONSIDERACIONES </w:t>
      </w:r>
    </w:p>
    <w:p w14:paraId="632C91C7"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C69A31C"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El literal a) del artículo 8 de la Ley 80 de 1993 establece una inhabilidad de un (1) año, para exservidores de nivel directivo, asesor o ejecutivo, frente a la misma entidad en la cual ejercieron funciones. </w:t>
      </w:r>
    </w:p>
    <w:p w14:paraId="5BA362C7"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El literal f), adicionado por la Ley 1474 de 2011, prevé una inhabilidad de dos (2) años, cuando el objeto contractual tenga relación con el sector administrativo al cual pertenecía la dependencia en la que laboró el exservidor. </w:t>
      </w:r>
    </w:p>
    <w:p w14:paraId="261164EE"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La jurisprudencia del Consejo de Estado y el Concepto 020851 de 2024 del DAFP han precisado que: </w:t>
      </w:r>
    </w:p>
    <w:p w14:paraId="0459C2E0"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a. El literal a) opera por un (1) año frente a la misma entidad. </w:t>
      </w:r>
    </w:p>
    <w:p w14:paraId="0295B8A3"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b. El literal f) aplica por dos (2) años únicamente cuando el objeto contractual tenga relación directa con el sector donde se ejerció el cargo. </w:t>
      </w:r>
    </w:p>
    <w:p w14:paraId="44D8ED9A"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c. En este caso, el contrato proyectado se orienta al fortalecimiento institucional, gobernanza, transparencia y articulación interinstitucional, actividades distintas y sin conexión directa con las funciones técnicas y administrativas del sector Planeación. </w:t>
      </w:r>
    </w:p>
    <w:p w14:paraId="5120031D"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4245C08"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SOLICITUD </w:t>
      </w:r>
    </w:p>
    <w:p w14:paraId="11EB7959"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Con fundamento en lo anterior, este despacho solicita a ese Departamento Administrativo precisar: </w:t>
      </w:r>
    </w:p>
    <w:p w14:paraId="119B0807"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1. ¿La inhabilidad aplicable al caso del señor Fernando Giraldo corresponde únicamente a la prevista en el literal a) (un año), de manera que podría contratar con el Municipio de Fusagasugá a partir del 1º de agosto de 2025? </w:t>
      </w:r>
    </w:p>
    <w:p w14:paraId="038FACF8" w14:textId="77777777" w:rsidR="002316DB" w:rsidRPr="002316DB" w:rsidRDefault="002316DB" w:rsidP="002316DB">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2. ¿O, por el contrario, debe entenderse que también le es aplicable el literal f), con una restricción de dos años, aun cuando el objeto contractual proyectado no tenga relación con el sector de Planeación? </w:t>
      </w:r>
    </w:p>
    <w:p w14:paraId="237FA97D" w14:textId="77777777" w:rsidR="002316DB" w:rsidRPr="00B350FE" w:rsidRDefault="002316DB"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643ED0F7"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1EB76868"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sidR="002A128A" w:rsidRPr="002A128A">
        <w:t xml:space="preserve"> </w:t>
      </w:r>
      <w:r w:rsidR="002A128A">
        <w:rPr>
          <w:rFonts w:ascii="Verdana" w:eastAsia="Century Gothic" w:hAnsi="Verdana" w:cs="Century Gothic"/>
        </w:rPr>
        <w:t xml:space="preserve">De acuerdo con lo previsto en </w:t>
      </w:r>
      <w:r w:rsidR="002A128A" w:rsidRPr="002A128A">
        <w:rPr>
          <w:rFonts w:ascii="Verdana" w:eastAsia="Century Gothic" w:hAnsi="Verdana" w:cs="Century Gothic"/>
        </w:rPr>
        <w:t>los literales a) y f) del artículo 8</w:t>
      </w:r>
      <w:r w:rsidR="002A128A">
        <w:rPr>
          <w:rFonts w:ascii="Verdana" w:eastAsia="Century Gothic" w:hAnsi="Verdana" w:cs="Century Gothic"/>
        </w:rPr>
        <w:t>º</w:t>
      </w:r>
      <w:r w:rsidR="002A128A" w:rsidRPr="002A128A">
        <w:rPr>
          <w:rFonts w:ascii="Verdana" w:eastAsia="Century Gothic" w:hAnsi="Verdana" w:cs="Century Gothic"/>
        </w:rPr>
        <w:t xml:space="preserve"> de la Ley 80 de </w:t>
      </w:r>
      <w:proofErr w:type="gramStart"/>
      <w:r w:rsidR="002A128A" w:rsidRPr="002A128A">
        <w:rPr>
          <w:rFonts w:ascii="Verdana" w:eastAsia="Century Gothic" w:hAnsi="Verdana" w:cs="Century Gothic"/>
        </w:rPr>
        <w:t>1993</w:t>
      </w:r>
      <w:r w:rsidR="002A128A">
        <w:rPr>
          <w:rFonts w:ascii="Verdana" w:eastAsia="Century Gothic" w:hAnsi="Verdana" w:cs="Century Gothic"/>
        </w:rPr>
        <w:t xml:space="preserve"> </w:t>
      </w:r>
      <w:r w:rsidR="002A128A">
        <w:rPr>
          <w:rFonts w:ascii="Verdana" w:eastAsia="Calibri" w:hAnsi="Verdana" w:cs="Arial"/>
          <w:lang w:eastAsia="es-ES"/>
        </w:rPr>
        <w:t xml:space="preserve"> </w:t>
      </w:r>
      <w:r w:rsidR="002A128A" w:rsidRPr="006905C0">
        <w:rPr>
          <w:rFonts w:ascii="Verdana" w:eastAsia="Century Gothic" w:hAnsi="Verdana" w:cs="Century Gothic"/>
        </w:rPr>
        <w:t>¿</w:t>
      </w:r>
      <w:proofErr w:type="gramEnd"/>
      <w:r w:rsidR="002A128A">
        <w:rPr>
          <w:rFonts w:ascii="Verdana" w:eastAsia="Century Gothic" w:hAnsi="Verdana" w:cs="Century Gothic"/>
        </w:rPr>
        <w:t>e</w:t>
      </w:r>
      <w:r w:rsidR="002A128A" w:rsidRPr="002A128A">
        <w:rPr>
          <w:rFonts w:ascii="Verdana" w:eastAsia="Century Gothic" w:hAnsi="Verdana" w:cs="Century Gothic"/>
        </w:rPr>
        <w:t xml:space="preserve">stá inhabilitado para contratar con </w:t>
      </w:r>
      <w:r w:rsidR="002A128A">
        <w:rPr>
          <w:rFonts w:ascii="Verdana" w:eastAsia="Century Gothic" w:hAnsi="Verdana" w:cs="Century Gothic"/>
        </w:rPr>
        <w:t>un</w:t>
      </w:r>
      <w:r w:rsidR="002A128A" w:rsidRPr="002A128A">
        <w:rPr>
          <w:rFonts w:ascii="Verdana" w:eastAsia="Century Gothic" w:hAnsi="Verdana" w:cs="Century Gothic"/>
        </w:rPr>
        <w:t xml:space="preserve"> municipio quien ocupó un cargo directivo hasta hace menos de un año</w:t>
      </w:r>
      <w:r w:rsidR="006905C0" w:rsidRPr="006905C0">
        <w:rPr>
          <w:rFonts w:ascii="Verdana" w:eastAsia="Century Gothic" w:hAnsi="Verdana" w:cs="Century Gothic"/>
        </w:rPr>
        <w:t>?</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024C3E69" w14:textId="77777777" w:rsidR="00274CA6" w:rsidRDefault="009C3869" w:rsidP="00274CA6">
            <w:pPr>
              <w:spacing w:after="120" w:line="276" w:lineRule="auto"/>
              <w:jc w:val="both"/>
              <w:rPr>
                <w:rFonts w:ascii="Verdana" w:eastAsia="Arial MT" w:hAnsi="Verdana" w:cs="Arial"/>
                <w:lang w:eastAsia="es-ES" w:bidi="es-ES"/>
              </w:rPr>
            </w:pPr>
            <w:r>
              <w:rPr>
                <w:rFonts w:ascii="Verdana" w:eastAsia="Calibri" w:hAnsi="Verdana" w:cs="Arial"/>
                <w:lang w:val="es-ES_tradnl" w:eastAsia="es-ES"/>
              </w:rPr>
              <w:t xml:space="preserve">          </w:t>
            </w:r>
            <w:r w:rsidR="00274CA6">
              <w:rPr>
                <w:rFonts w:ascii="Verdana" w:eastAsia="Arial MT" w:hAnsi="Verdana" w:cs="Arial"/>
                <w:lang w:eastAsia="es-ES" w:bidi="es-ES"/>
              </w:rPr>
              <w:t>En atención a lo dispuesto en el literal a) del numeral 2 del artículo 8 de la Ley 80 de 1993 se configura incompatibilidad para contratar con una entidad determinada en quienes fueron miembros de junta o consejo directivo, así como en los exservidores públicos de los niveles directivo, asesor o ejecutivo. Esta restricción a la capacidad rige únicamente respecto de la entidad contratante a la que estuvo vinculado el respectivo miembro de junta o servidor, durante el año siguiente a la fecha de retiro.</w:t>
            </w:r>
          </w:p>
          <w:p w14:paraId="4202E0F1" w14:textId="77777777" w:rsidR="00274CA6" w:rsidRDefault="00274CA6" w:rsidP="00274CA6">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lastRenderedPageBreak/>
              <w:t>Por otro lado, de conformidad con el literal f) del numeral 2 del artículo 8 de la 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w:t>
            </w:r>
            <w:r w:rsidRPr="00867319">
              <w:rPr>
                <w:rFonts w:ascii="Verdana" w:eastAsia="Arial MT" w:hAnsi="Verdana" w:cs="Arial"/>
                <w:lang w:eastAsia="es-ES" w:bidi="es-ES"/>
              </w:rPr>
              <w:t xml:space="preserve"> objeto</w:t>
            </w:r>
            <w:r>
              <w:rPr>
                <w:rFonts w:ascii="Verdana" w:eastAsia="Arial MT" w:hAnsi="Verdana" w:cs="Arial"/>
                <w:lang w:eastAsia="es-ES" w:bidi="es-ES"/>
              </w:rPr>
              <w:t>s contractuales</w:t>
            </w:r>
            <w:r w:rsidRPr="00867319">
              <w:rPr>
                <w:rFonts w:ascii="Verdana" w:eastAsia="Arial MT" w:hAnsi="Verdana" w:cs="Arial"/>
                <w:lang w:eastAsia="es-ES" w:bidi="es-ES"/>
              </w:rPr>
              <w:t xml:space="preserve"> que desarrollen</w:t>
            </w:r>
            <w:r>
              <w:rPr>
                <w:rFonts w:ascii="Verdana" w:eastAsia="Arial MT" w:hAnsi="Verdana" w:cs="Arial"/>
                <w:lang w:eastAsia="es-ES" w:bidi="es-ES"/>
              </w:rPr>
              <w:t xml:space="preserve"> y</w:t>
            </w:r>
            <w:r w:rsidRPr="00867319">
              <w:rPr>
                <w:rFonts w:ascii="Verdana" w:eastAsia="Arial MT" w:hAnsi="Verdana" w:cs="Arial"/>
                <w:lang w:eastAsia="es-ES" w:bidi="es-ES"/>
              </w:rPr>
              <w:t xml:space="preserve"> tenga relación con el sector al cual</w:t>
            </w:r>
            <w:r>
              <w:rPr>
                <w:rFonts w:ascii="Verdana" w:eastAsia="Arial MT" w:hAnsi="Verdana" w:cs="Arial"/>
                <w:lang w:eastAsia="es-ES" w:bidi="es-ES"/>
              </w:rPr>
              <w:t xml:space="preserve"> el ex funcionario del nivel directivo </w:t>
            </w:r>
            <w:r w:rsidRPr="00867319">
              <w:rPr>
                <w:rFonts w:ascii="Verdana" w:eastAsia="Arial MT" w:hAnsi="Verdana" w:cs="Arial"/>
                <w:lang w:eastAsia="es-ES" w:bidi="es-ES"/>
              </w:rPr>
              <w:t>prest</w:t>
            </w:r>
            <w:r>
              <w:rPr>
                <w:rFonts w:ascii="Verdana" w:eastAsia="Arial MT" w:hAnsi="Verdana" w:cs="Arial"/>
                <w:lang w:eastAsia="es-ES" w:bidi="es-ES"/>
              </w:rPr>
              <w:t>ó</w:t>
            </w:r>
            <w:r w:rsidRPr="00867319">
              <w:rPr>
                <w:rFonts w:ascii="Verdana" w:eastAsia="Arial MT" w:hAnsi="Verdana" w:cs="Arial"/>
                <w:lang w:eastAsia="es-ES" w:bidi="es-ES"/>
              </w:rPr>
              <w:t xml:space="preserve"> sus servicios</w:t>
            </w:r>
            <w:r>
              <w:rPr>
                <w:rFonts w:ascii="Verdana" w:eastAsia="Arial MT" w:hAnsi="Verdana" w:cs="Arial"/>
                <w:lang w:eastAsia="es-ES" w:bidi="es-ES"/>
              </w:rPr>
              <w:t xml:space="preserve"> y se extenderá durante los dos años siguientes a su retiro. </w:t>
            </w:r>
          </w:p>
          <w:p w14:paraId="585A81B8" w14:textId="6233A2E9" w:rsidR="00274CA6" w:rsidRDefault="00274CA6" w:rsidP="00274CA6">
            <w:pPr>
              <w:spacing w:line="276" w:lineRule="auto"/>
              <w:jc w:val="both"/>
              <w:rPr>
                <w:rFonts w:ascii="Verdana" w:eastAsia="Calibri" w:hAnsi="Verdana" w:cs="Arial"/>
                <w:lang w:val="es-ES_tradnl" w:eastAsia="es-ES_tradnl"/>
              </w:rPr>
            </w:pPr>
            <w:r>
              <w:rPr>
                <w:rFonts w:ascii="Verdana" w:hAnsi="Verdana"/>
              </w:rPr>
              <w:t xml:space="preserve">         </w:t>
            </w:r>
            <w:proofErr w:type="spellStart"/>
            <w:r>
              <w:rPr>
                <w:rFonts w:ascii="Verdana" w:hAnsi="Verdana"/>
              </w:rPr>
              <w:t>Asi</w:t>
            </w:r>
            <w:proofErr w:type="spellEnd"/>
            <w:r>
              <w:rPr>
                <w:rFonts w:ascii="Verdana" w:hAnsi="Verdana"/>
              </w:rPr>
              <w:t xml:space="preserve"> las cosas</w:t>
            </w:r>
            <w:r w:rsidRPr="006168EB">
              <w:rPr>
                <w:rFonts w:ascii="Verdana" w:hAnsi="Verdana"/>
              </w:rPr>
              <w:t xml:space="preserve">, queda claro que </w:t>
            </w:r>
            <w:r w:rsidRPr="006168EB">
              <w:rPr>
                <w:rFonts w:ascii="Verdana" w:eastAsia="Calibri" w:hAnsi="Verdana" w:cs="Arial"/>
                <w:lang w:val="es-ES_tradnl" w:eastAsia="es-ES_tradnl"/>
              </w:rPr>
              <w:t>no se pueden celebrar contratos estatales cuyo objeto se relacione con el sector en el cual se desempeñó el exempleado público durante los términos establecidos anteriormente. Dicho de otro modo, tras haber dejado el cargo el servidor público, comienza a correr el término en el cual se aplica la restricción. Esto significa que cuando tal período haya transcurrido, en principio, los sujetos a los que se refiere</w:t>
            </w:r>
            <w:r>
              <w:rPr>
                <w:rFonts w:ascii="Verdana" w:eastAsia="Calibri" w:hAnsi="Verdana" w:cs="Arial"/>
                <w:lang w:val="es-ES_tradnl" w:eastAsia="es-ES_tradnl"/>
              </w:rPr>
              <w:t>n</w:t>
            </w:r>
            <w:r w:rsidRPr="006168EB">
              <w:rPr>
                <w:rFonts w:ascii="Verdana" w:eastAsia="Calibri" w:hAnsi="Verdana" w:cs="Arial"/>
                <w:lang w:val="es-ES_tradnl" w:eastAsia="es-ES_tradnl"/>
              </w:rPr>
              <w:t xml:space="preserve"> las causales mencionadas recobran la capacidad para celebrar contratos estatales, salvo que estén afectados por otras causales de inhabilidad o de incompatibilidad.</w:t>
            </w:r>
          </w:p>
          <w:p w14:paraId="4FED5380" w14:textId="65B03C89"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04E63109" w14:textId="77777777" w:rsidR="00FA0AFB" w:rsidRPr="001157F6" w:rsidRDefault="00C653EC" w:rsidP="00FA0AFB">
      <w:pPr>
        <w:spacing w:line="276" w:lineRule="auto"/>
        <w:jc w:val="both"/>
        <w:rPr>
          <w:rFonts w:ascii="Verdana" w:eastAsia="Calibri" w:hAnsi="Verdana" w:cs="Arial"/>
          <w:color w:val="000000"/>
          <w:lang w:val="es-ES_tradnl" w:eastAsia="es-ES_tradnl"/>
        </w:rPr>
      </w:pPr>
      <w:bookmarkStart w:id="4" w:name="_Hlk108519028"/>
      <w:r>
        <w:rPr>
          <w:rFonts w:ascii="Verdana" w:eastAsia="Calibri" w:hAnsi="Verdana" w:cs="Arial"/>
          <w:color w:val="000000" w:themeColor="text1"/>
        </w:rPr>
        <w:t xml:space="preserve">        </w:t>
      </w:r>
      <w:r w:rsidRPr="00905A2C">
        <w:rPr>
          <w:rFonts w:ascii="Verdana" w:eastAsia="Calibri" w:hAnsi="Verdana" w:cs="Arial"/>
          <w:bCs/>
          <w:lang w:eastAsia="es-MX"/>
        </w:rPr>
        <w:t xml:space="preserve">A través de la actividad contractual, el Estado adquiere bienes, obras y servicios para cumplir los fines que le impone el ordenamiento jurídico, </w:t>
      </w:r>
      <w:r w:rsidR="00FA0AFB" w:rsidRPr="0023441C">
        <w:rPr>
          <w:rFonts w:ascii="Verdana" w:eastAsia="Times New Roman" w:hAnsi="Verdana" w:cs="Arial"/>
          <w:color w:val="000000" w:themeColor="text1"/>
          <w:lang w:val="es-ES_tradnl" w:eastAsia="es-CO"/>
        </w:rPr>
        <w:t xml:space="preserve">La contratación Estatal constituye un instrumento a través del cual las Entidades Públicas realizan el aprovisionamiento de sus bienes, obras y </w:t>
      </w:r>
      <w:r w:rsidR="00FA0AFB" w:rsidRPr="004A615F">
        <w:rPr>
          <w:rFonts w:ascii="Verdana" w:eastAsia="Arial" w:hAnsi="Verdana" w:cs="Arial"/>
          <w:lang w:eastAsia="es-ES_tradnl"/>
        </w:rPr>
        <w:t>El</w:t>
      </w:r>
      <w:r w:rsidR="00FA0AFB">
        <w:rPr>
          <w:rFonts w:ascii="Verdana" w:eastAsia="Arial" w:hAnsi="Verdana" w:cs="Arial"/>
          <w:lang w:eastAsia="es-ES_tradnl"/>
        </w:rPr>
        <w:t xml:space="preserve"> </w:t>
      </w:r>
      <w:r w:rsidR="00FA0AFB" w:rsidRPr="001157F6">
        <w:rPr>
          <w:rFonts w:ascii="Verdana" w:eastAsia="Calibri" w:hAnsi="Verdana" w:cs="Arial"/>
          <w:color w:val="000000"/>
          <w:lang w:val="es-ES_tradnl" w:eastAsia="es-ES_tradnl"/>
        </w:rPr>
        <w:t xml:space="preserve">En la contratación estatal la </w:t>
      </w:r>
      <w:r w:rsidR="00FA0AFB" w:rsidRPr="008D4E30">
        <w:rPr>
          <w:rFonts w:ascii="Verdana" w:eastAsia="Calibri" w:hAnsi="Verdana" w:cs="Arial"/>
          <w:color w:val="000000"/>
          <w:lang w:val="es-ES_tradnl" w:eastAsia="es-ES_tradnl"/>
        </w:rPr>
        <w:t>capacidad</w:t>
      </w:r>
      <w:r w:rsidR="00FA0AFB" w:rsidRPr="001157F6">
        <w:rPr>
          <w:rFonts w:ascii="Verdana" w:eastAsia="Calibri" w:hAnsi="Verdana" w:cs="Arial"/>
          <w:color w:val="000000"/>
          <w:lang w:val="es-ES_tradnl" w:eastAsia="es-ES_tradnl"/>
        </w:rPr>
        <w:t xml:space="preserve"> también es un requisito de validez de los contratos, tanto en el régimen de las entidades sujetas al Estatuto General de Contratación de la Administración Pública</w:t>
      </w:r>
      <w:r w:rsidR="00FA0AFB" w:rsidRPr="001157F6">
        <w:rPr>
          <w:rFonts w:ascii="Verdana" w:eastAsia="Calibri" w:hAnsi="Verdana" w:cs="Arial"/>
          <w:color w:val="000000"/>
          <w:vertAlign w:val="superscript"/>
          <w:lang w:val="es-ES_tradnl" w:eastAsia="es-ES_tradnl"/>
        </w:rPr>
        <w:footnoteReference w:id="1"/>
      </w:r>
      <w:r w:rsidR="00FA0AFB" w:rsidRPr="001157F6">
        <w:rPr>
          <w:rFonts w:ascii="Verdana" w:eastAsia="Calibri" w:hAnsi="Verdana" w:cs="Arial"/>
          <w:color w:val="000000"/>
          <w:lang w:val="es-ES_tradnl" w:eastAsia="es-ES_tradnl"/>
        </w:rPr>
        <w:t xml:space="preserve"> como en el de las entidades exceptuadas de aquel</w:t>
      </w:r>
      <w:r w:rsidR="00FA0AFB" w:rsidRPr="001157F6">
        <w:rPr>
          <w:rFonts w:ascii="Verdana" w:eastAsia="Calibri" w:hAnsi="Verdana" w:cs="Arial"/>
          <w:color w:val="000000"/>
          <w:vertAlign w:val="superscript"/>
          <w:lang w:val="es-ES_tradnl" w:eastAsia="es-ES_tradnl"/>
        </w:rPr>
        <w:footnoteReference w:id="2"/>
      </w:r>
      <w:r w:rsidR="00FA0AFB" w:rsidRPr="001157F6">
        <w:rPr>
          <w:rFonts w:ascii="Verdana" w:eastAsia="Calibri" w:hAnsi="Verdana" w:cs="Arial"/>
          <w:color w:val="000000"/>
          <w:lang w:val="es-ES_tradnl" w:eastAsia="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00FA0AFB" w:rsidRPr="001157F6">
        <w:rPr>
          <w:rFonts w:ascii="Verdana" w:eastAsia="Calibri" w:hAnsi="Verdana" w:cs="Arial"/>
          <w:color w:val="000000"/>
          <w:vertAlign w:val="superscript"/>
          <w:lang w:val="es-ES_tradnl" w:eastAsia="es-ES_tradnl"/>
        </w:rPr>
        <w:footnoteReference w:id="3"/>
      </w:r>
      <w:r w:rsidR="00FA0AFB" w:rsidRPr="001157F6">
        <w:rPr>
          <w:rFonts w:ascii="Verdana" w:eastAsia="Calibri" w:hAnsi="Verdana" w:cs="Arial"/>
          <w:color w:val="000000"/>
          <w:lang w:val="es-ES_tradnl" w:eastAsia="es-ES_tradnl"/>
        </w:rPr>
        <w:t>–, se destaca el régimen de inhabilidades e incompatibilidades como un conjunto de enunciados normativos que imponen restricciones para los sujetos que, eventualmente, pretendan participar en los procedimientos de selección o celebrar contratos con las entidades estatales</w:t>
      </w:r>
      <w:r w:rsidR="00FA0AFB" w:rsidRPr="001157F6">
        <w:rPr>
          <w:rFonts w:ascii="Verdana" w:eastAsia="Calibri" w:hAnsi="Verdana" w:cs="Arial"/>
          <w:color w:val="000000"/>
          <w:vertAlign w:val="superscript"/>
          <w:lang w:val="es-ES_tradnl" w:eastAsia="es-ES_tradnl"/>
        </w:rPr>
        <w:footnoteReference w:id="4"/>
      </w:r>
      <w:r w:rsidR="00FA0AFB" w:rsidRPr="001157F6">
        <w:rPr>
          <w:rFonts w:ascii="Verdana" w:eastAsia="Calibri" w:hAnsi="Verdana" w:cs="Arial"/>
          <w:color w:val="000000"/>
          <w:lang w:val="es-ES_tradnl" w:eastAsia="es-ES_tradnl"/>
        </w:rPr>
        <w:t>.</w:t>
      </w:r>
    </w:p>
    <w:p w14:paraId="0DF3E0F1" w14:textId="77777777" w:rsidR="00FA0AFB" w:rsidRDefault="00FA0AFB" w:rsidP="00FA0AFB">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lastRenderedPageBreak/>
        <w:t>Las inhabilidades son prohibiciones para concurrir a los procedimientos de selección y para contratar con el Estado, que se derivan: i) de la existencia de comportamientos reprochables o de sanciones anteriormente impuestas</w:t>
      </w:r>
      <w:r w:rsidRPr="4552CAB1">
        <w:rPr>
          <w:rFonts w:ascii="Verdana" w:eastAsia="Calibri" w:hAnsi="Verdana" w:cs="Arial"/>
          <w:color w:val="000000"/>
          <w:vertAlign w:val="superscript"/>
          <w:lang w:val="es-ES" w:eastAsia="es-ES"/>
        </w:rPr>
        <w:footnoteReference w:id="5"/>
      </w:r>
      <w:r w:rsidRPr="4552CAB1">
        <w:rPr>
          <w:rFonts w:ascii="Verdana" w:eastAsia="Calibri" w:hAnsi="Verdana" w:cs="Arial"/>
          <w:color w:val="000000"/>
          <w:lang w:val="es-ES" w:eastAsia="es-ES"/>
        </w:rPr>
        <w:t xml:space="preserve">, </w:t>
      </w:r>
      <w:proofErr w:type="spellStart"/>
      <w:r w:rsidRPr="4552CAB1">
        <w:rPr>
          <w:rFonts w:ascii="Verdana" w:eastAsia="Calibri" w:hAnsi="Verdana" w:cs="Arial"/>
          <w:color w:val="000000"/>
          <w:lang w:val="es-ES" w:eastAsia="es-ES"/>
        </w:rPr>
        <w:t>ii</w:t>
      </w:r>
      <w:proofErr w:type="spellEnd"/>
      <w:r w:rsidRPr="4552CAB1">
        <w:rPr>
          <w:rFonts w:ascii="Verdana" w:eastAsia="Calibri" w:hAnsi="Verdana" w:cs="Arial"/>
          <w:color w:val="000000"/>
          <w:lang w:val="es-ES" w:eastAsia="es-ES"/>
        </w:rPr>
        <w:t>) de vínculos personales relativos al parentesco o al estado civil</w:t>
      </w:r>
      <w:r w:rsidRPr="4552CAB1">
        <w:rPr>
          <w:rFonts w:ascii="Verdana" w:eastAsia="Calibri" w:hAnsi="Verdana" w:cs="Arial"/>
          <w:color w:val="000000"/>
          <w:vertAlign w:val="superscript"/>
          <w:lang w:val="es-ES" w:eastAsia="es-ES"/>
        </w:rPr>
        <w:footnoteReference w:id="6"/>
      </w:r>
      <w:r w:rsidRPr="4552CAB1">
        <w:rPr>
          <w:rFonts w:ascii="Verdana" w:eastAsia="Calibri" w:hAnsi="Verdana" w:cs="Arial"/>
          <w:color w:val="000000"/>
          <w:lang w:val="es-ES" w:eastAsia="es-ES"/>
        </w:rPr>
        <w:t xml:space="preserve"> o </w:t>
      </w:r>
      <w:proofErr w:type="spellStart"/>
      <w:r w:rsidRPr="4552CAB1">
        <w:rPr>
          <w:rFonts w:ascii="Verdana" w:eastAsia="Calibri" w:hAnsi="Verdana" w:cs="Arial"/>
          <w:color w:val="000000"/>
          <w:lang w:val="es-ES" w:eastAsia="es-ES"/>
        </w:rPr>
        <w:t>iii</w:t>
      </w:r>
      <w:proofErr w:type="spellEnd"/>
      <w:r w:rsidRPr="4552CAB1">
        <w:rPr>
          <w:rFonts w:ascii="Verdana" w:eastAsia="Calibri" w:hAnsi="Verdana" w:cs="Arial"/>
          <w:color w:val="000000"/>
          <w:lang w:val="es-ES" w:eastAsia="es-ES"/>
        </w:rPr>
        <w:t>) de una actividad u oficio que se desempeñó en el pasado</w:t>
      </w:r>
      <w:r w:rsidRPr="4552CAB1">
        <w:rPr>
          <w:rFonts w:ascii="Verdana" w:eastAsia="Calibri" w:hAnsi="Verdana" w:cs="Arial"/>
          <w:color w:val="000000"/>
          <w:vertAlign w:val="superscript"/>
          <w:lang w:val="es-ES" w:eastAsia="es-ES"/>
        </w:rPr>
        <w:footnoteReference w:id="7"/>
      </w:r>
      <w:r w:rsidRPr="4552CAB1">
        <w:rPr>
          <w:rFonts w:ascii="Verdana" w:eastAsia="Calibri" w:hAnsi="Verdana" w:cs="Arial"/>
          <w:color w:val="000000"/>
          <w:lang w:val="es-ES" w:eastAsia="es-ES"/>
        </w:rPr>
        <w:t xml:space="preserve">. De otro lado, las </w:t>
      </w:r>
      <w:r w:rsidRPr="4552CAB1">
        <w:rPr>
          <w:rFonts w:ascii="Verdana" w:eastAsia="Calibri" w:hAnsi="Verdana" w:cs="Arial"/>
          <w:color w:val="000000"/>
          <w:lang w:val="es-ES" w:eastAsia="es-ES"/>
        </w:rPr>
        <w:lastRenderedPageBreak/>
        <w:t>incompatibilidades son prohibiciones para participar en los procedimientos de selección y para celebrar contratos estatales, fundadas en la calidad que ostenta el sujeto interesado en realizar alguna de dichas actividades, que no puede coexistir con su calidad de proponente o contratista del Estado</w:t>
      </w:r>
      <w:r w:rsidRPr="4552CAB1">
        <w:rPr>
          <w:rFonts w:ascii="Verdana" w:eastAsia="Calibri" w:hAnsi="Verdana" w:cs="Arial"/>
          <w:color w:val="000000"/>
          <w:vertAlign w:val="superscript"/>
          <w:lang w:val="es-ES" w:eastAsia="es-ES"/>
        </w:rPr>
        <w:footnoteReference w:id="8"/>
      </w:r>
      <w:r w:rsidRPr="4552CAB1">
        <w:rPr>
          <w:rFonts w:ascii="Verdana" w:eastAsia="Calibri" w:hAnsi="Verdana" w:cs="Arial"/>
          <w:color w:val="000000"/>
          <w:lang w:val="es-ES" w:eastAsia="es-ES"/>
        </w:rPr>
        <w:t xml:space="preserve">. </w:t>
      </w:r>
    </w:p>
    <w:p w14:paraId="600939A4" w14:textId="77777777" w:rsidR="00FA0AFB" w:rsidRDefault="00FA0AFB" w:rsidP="00FA0AFB">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lang w:val="es-ES" w:eastAsia="es-ES"/>
        </w:rPr>
        <w:t>El régimen de inhabilidades e incompatibilidades en la contratación pública responde a la tendencia, vigente desde hace varias décadas en nuestro país, pero que se ha reforzado en los últimos años, de asegurar que la actividad de provisión de los bienes y servicios por parte de las entidades estatales se efectúe cumpliendo con los principios de la función administrativa y de la gestión fiscal, especialmente con probidad y transparencia. Es por ello que, como lo ha destacado la doctrina, las inhabilidades e incompatibilidades se han convertido en herramientas en la lucha contra la corrupción, adoptando paulatinamente un cariz sancionatorio o “</w:t>
      </w:r>
      <w:proofErr w:type="spellStart"/>
      <w:r w:rsidRPr="4552CAB1">
        <w:rPr>
          <w:rFonts w:ascii="Verdana" w:eastAsia="Calibri" w:hAnsi="Verdana" w:cs="Arial"/>
          <w:color w:val="000000"/>
          <w:lang w:val="es-ES" w:eastAsia="es-ES"/>
        </w:rPr>
        <w:t>neopunitivo</w:t>
      </w:r>
      <w:proofErr w:type="spellEnd"/>
      <w:r w:rsidRPr="4552CAB1">
        <w:rPr>
          <w:rFonts w:ascii="Verdana" w:eastAsia="Calibri" w:hAnsi="Verdana" w:cs="Arial"/>
          <w:color w:val="000000"/>
          <w:lang w:val="es-ES" w:eastAsia="es-ES"/>
        </w:rPr>
        <w:t>”</w:t>
      </w:r>
      <w:r w:rsidRPr="4552CAB1">
        <w:rPr>
          <w:rFonts w:ascii="Verdana" w:eastAsia="Calibri" w:hAnsi="Verdana" w:cs="Arial"/>
          <w:color w:val="000000"/>
          <w:vertAlign w:val="superscript"/>
          <w:lang w:val="es-ES" w:eastAsia="es-ES"/>
        </w:rPr>
        <w:footnoteReference w:id="9"/>
      </w:r>
      <w:r w:rsidRPr="4552CAB1">
        <w:rPr>
          <w:rFonts w:ascii="Verdana" w:eastAsia="Calibri" w:hAnsi="Verdana" w:cs="Arial"/>
          <w:color w:val="000000"/>
          <w:lang w:val="es-ES" w:eastAsia="es-ES"/>
        </w:rPr>
        <w:t xml:space="preserve">. Si bien no todas las causales de inhabilidad y de incompatibilidad son consecuencia de una medida de reproche ni de una sanción previa, como ya se explicó, es indiscutible que en los años más recientes </w:t>
      </w:r>
      <w:r w:rsidRPr="4552CAB1">
        <w:rPr>
          <w:rFonts w:ascii="Verdana" w:eastAsia="Calibri" w:hAnsi="Verdana" w:cs="Arial"/>
          <w:color w:val="000000"/>
          <w:lang w:val="es-ES" w:eastAsia="es-ES"/>
        </w:rPr>
        <w:lastRenderedPageBreak/>
        <w:t>los lamentables hechos de corrupción han generado, como respuesta del legislador, un incremento de las restricciones a la capacidad contractual, dirigidas a prevenir este tipo de situaciones o a sancionar tales conductas.</w:t>
      </w:r>
    </w:p>
    <w:p w14:paraId="5CF53C57" w14:textId="77777777" w:rsidR="00FA0AFB" w:rsidRPr="00EC1259" w:rsidRDefault="00FA0AFB" w:rsidP="00FA0AFB">
      <w:pPr>
        <w:spacing w:before="120" w:after="120" w:line="276" w:lineRule="auto"/>
        <w:ind w:firstLine="709"/>
        <w:jc w:val="both"/>
        <w:rPr>
          <w:rFonts w:ascii="Verdana" w:eastAsia="Calibri" w:hAnsi="Verdana" w:cs="Arial"/>
          <w:color w:val="000000"/>
          <w:lang w:val="es-ES_tradnl" w:eastAsia="es-ES_tradnl"/>
        </w:rPr>
      </w:pPr>
      <w:r w:rsidRPr="002F166B">
        <w:rPr>
          <w:rFonts w:ascii="Verdana" w:eastAsia="Calibri" w:hAnsi="Verdana" w:cs="Arial"/>
          <w:color w:val="000000"/>
          <w:szCs w:val="24"/>
          <w:lang w:val="es-ES_tradnl" w:eastAsia="es-ES_tradnl"/>
        </w:rPr>
        <w:t>Ahora bien, las inhabilidades e incompatibilidades como ya se mencionó, al ser restricciones o límites especiales a la capacidad para presentar ofertas y celebrar contratos estatales, solo pueden tipificarse en la ley o sea, deben satisfacer el principio de legalidad y su interpretación debe ser restrictiva</w:t>
      </w:r>
      <w:r w:rsidRPr="002F166B">
        <w:rPr>
          <w:rFonts w:ascii="Verdana" w:eastAsia="Calibri" w:hAnsi="Verdana" w:cs="Arial"/>
          <w:color w:val="000000"/>
          <w:szCs w:val="24"/>
          <w:vertAlign w:val="superscript"/>
          <w:lang w:val="es-ES_tradnl" w:eastAsia="es-ES_tradnl"/>
        </w:rPr>
        <w:footnoteReference w:id="10"/>
      </w:r>
      <w:r w:rsidRPr="002F166B">
        <w:rPr>
          <w:rFonts w:ascii="Verdana" w:eastAsia="Calibri" w:hAnsi="Verdana" w:cs="Arial"/>
          <w:color w:val="000000"/>
          <w:szCs w:val="24"/>
          <w:lang w:val="es-ES_tradnl" w:eastAsia="es-ES_tradnl"/>
        </w:rPr>
        <w:t>,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4718C7CC" w14:textId="77777777" w:rsidR="00FA0AFB" w:rsidRDefault="00FA0AFB" w:rsidP="00FA0AFB">
      <w:pPr>
        <w:spacing w:before="120" w:after="120" w:line="276" w:lineRule="auto"/>
        <w:ind w:firstLine="709"/>
        <w:jc w:val="both"/>
        <w:rPr>
          <w:rFonts w:ascii="Verdana" w:eastAsia="Calibri" w:hAnsi="Verdana" w:cs="Arial"/>
          <w:color w:val="000000"/>
          <w:szCs w:val="24"/>
          <w:lang w:val="es-ES_tradnl" w:eastAsia="es-ES_tradnl"/>
        </w:rPr>
      </w:pPr>
      <w:r w:rsidRPr="002F166B">
        <w:rPr>
          <w:rFonts w:ascii="Verdana" w:eastAsia="Calibri" w:hAnsi="Verdana" w:cs="Arial"/>
          <w:color w:val="000000"/>
          <w:szCs w:val="24"/>
          <w:lang w:val="es-ES_tradnl" w:eastAsia="es-ES_tradnl"/>
        </w:rPr>
        <w:t>En efecto, el máximo tribunal constitucional ha indicado que, al precisar el sentido de este tipo de normas, “</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w:t>
      </w:r>
      <w:r w:rsidRPr="002F166B">
        <w:rPr>
          <w:rFonts w:ascii="Verdana" w:eastAsia="Calibri" w:hAnsi="Verdana" w:cs="Arial"/>
          <w:color w:val="000000"/>
          <w:szCs w:val="24"/>
          <w:lang w:val="es-ES_tradnl" w:eastAsia="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2F166B">
        <w:rPr>
          <w:rFonts w:ascii="Verdana" w:eastAsia="Calibri" w:hAnsi="Verdana" w:cs="Arial"/>
          <w:color w:val="000000"/>
          <w:szCs w:val="24"/>
          <w:vertAlign w:val="superscript"/>
          <w:lang w:val="es-ES_tradnl" w:eastAsia="es-ES_tradnl"/>
        </w:rPr>
        <w:footnoteReference w:id="11"/>
      </w:r>
      <w:r w:rsidRPr="002F166B">
        <w:rPr>
          <w:rFonts w:ascii="Verdana" w:eastAsia="Calibri" w:hAnsi="Verdana" w:cs="Arial"/>
          <w:color w:val="000000"/>
          <w:szCs w:val="24"/>
          <w:lang w:val="es-ES_tradnl" w:eastAsia="es-ES_tradnl"/>
        </w:rPr>
        <w:t xml:space="preserve">. Por su parte, el Consejo de Estado ha acogido también este criterio, considerando como expresa la Sala de Consulta y Servicio Civil que </w:t>
      </w:r>
      <w:r>
        <w:rPr>
          <w:rFonts w:ascii="Verdana" w:eastAsia="Calibri" w:hAnsi="Verdana" w:cs="Arial"/>
          <w:color w:val="000000"/>
          <w:szCs w:val="24"/>
          <w:lang w:val="es-ES_tradnl" w:eastAsia="es-ES_tradnl"/>
        </w:rPr>
        <w:t>l</w:t>
      </w:r>
      <w:r w:rsidRPr="002F166B">
        <w:rPr>
          <w:rFonts w:ascii="Verdana" w:eastAsia="Calibri" w:hAnsi="Verdana" w:cs="Arial"/>
          <w:color w:val="000000"/>
          <w:szCs w:val="24"/>
          <w:lang w:val="es-ES_tradnl" w:eastAsia="es-ES_tradnl"/>
        </w:rPr>
        <w:t>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2F166B">
        <w:rPr>
          <w:rFonts w:ascii="Verdana" w:eastAsia="Calibri" w:hAnsi="Verdana" w:cs="Arial"/>
          <w:color w:val="000000"/>
          <w:szCs w:val="24"/>
          <w:vertAlign w:val="superscript"/>
          <w:lang w:val="es-ES_tradnl" w:eastAsia="es-ES_tradnl"/>
        </w:rPr>
        <w:footnoteReference w:id="12"/>
      </w:r>
      <w:r w:rsidRPr="002F166B">
        <w:rPr>
          <w:rFonts w:ascii="Verdana" w:eastAsia="Calibri" w:hAnsi="Verdana" w:cs="Arial"/>
          <w:color w:val="000000"/>
          <w:szCs w:val="24"/>
          <w:lang w:val="es-ES_tradnl" w:eastAsia="es-ES_tradnl"/>
        </w:rPr>
        <w:t>. En tal sentido, la Sección Tercera ha señalado que:</w:t>
      </w:r>
    </w:p>
    <w:p w14:paraId="1CB5B00F" w14:textId="77777777" w:rsidR="00FA0AFB" w:rsidRPr="00EC1259" w:rsidRDefault="00FA0AFB" w:rsidP="00FA0AFB">
      <w:pPr>
        <w:spacing w:before="120" w:after="120" w:line="276" w:lineRule="auto"/>
        <w:ind w:left="709" w:right="709"/>
        <w:jc w:val="both"/>
        <w:rPr>
          <w:rFonts w:ascii="Verdana" w:eastAsia="Calibri" w:hAnsi="Verdana" w:cs="Arial"/>
          <w:color w:val="000000"/>
          <w:szCs w:val="24"/>
          <w:lang w:val="es-ES_tradnl" w:eastAsia="es-ES_tradnl"/>
        </w:rPr>
      </w:pP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w:t>
      </w:r>
      <w:r>
        <w:rPr>
          <w:rFonts w:ascii="Verdana" w:eastAsia="Times New Roman" w:hAnsi="Verdana" w:cs="Arial"/>
          <w:color w:val="000000"/>
          <w:sz w:val="20"/>
          <w:szCs w:val="20"/>
          <w:lang w:val="es-ES_tradnl" w:eastAsia="es-ES_tradnl"/>
        </w:rPr>
        <w:t>)</w:t>
      </w:r>
      <w:r w:rsidRPr="002F166B">
        <w:rPr>
          <w:rFonts w:ascii="Verdana" w:eastAsia="Times New Roman" w:hAnsi="Verdana" w:cs="Arial"/>
          <w:color w:val="000000"/>
          <w:sz w:val="20"/>
          <w:szCs w:val="20"/>
          <w:lang w:val="es-ES_tradnl" w:eastAsia="es-ES_tradnl"/>
        </w:rPr>
        <w:t xml:space="preserve"> de conformidad con la jurisprudencia uniforme y reiterada de esta Corporación, la aplicación de las normas que contemplan inhabilidades e incompatibilidades, como en general de todas aquellas que comportan </w:t>
      </w:r>
      <w:r w:rsidRPr="002F166B">
        <w:rPr>
          <w:rFonts w:ascii="Verdana" w:eastAsia="Times New Roman" w:hAnsi="Verdana" w:cs="Arial"/>
          <w:color w:val="000000"/>
          <w:sz w:val="20"/>
          <w:szCs w:val="20"/>
          <w:lang w:val="es-ES_tradnl" w:eastAsia="es-ES_tradnl"/>
        </w:rPr>
        <w:lastRenderedPageBreak/>
        <w:t>prohibiciones o limitaciones, deben responder a una interpretación restrictiva que no permite su extensión, por vía de la figura de la analogía, a supuestos no contemplados por el ordenamiento</w:t>
      </w:r>
      <w:r w:rsidRPr="002F166B">
        <w:rPr>
          <w:rFonts w:ascii="Verdana" w:eastAsia="Times New Roman" w:hAnsi="Verdana" w:cs="Arial"/>
          <w:color w:val="000000"/>
          <w:sz w:val="20"/>
          <w:szCs w:val="20"/>
          <w:vertAlign w:val="superscript"/>
          <w:lang w:val="es-ES_tradnl" w:eastAsia="es-ES_tradnl"/>
        </w:rPr>
        <w:footnoteReference w:id="13"/>
      </w:r>
      <w:r w:rsidRPr="002F166B">
        <w:rPr>
          <w:rFonts w:ascii="Verdana" w:eastAsia="Times New Roman" w:hAnsi="Verdana" w:cs="Arial"/>
          <w:color w:val="000000"/>
          <w:sz w:val="20"/>
          <w:szCs w:val="20"/>
          <w:lang w:val="es-ES_tradnl" w:eastAsia="es-ES_tradnl"/>
        </w:rPr>
        <w:t>.</w:t>
      </w:r>
    </w:p>
    <w:p w14:paraId="012FE5DA" w14:textId="77777777" w:rsidR="00FA0AFB" w:rsidRPr="001A1E71" w:rsidRDefault="00FA0AFB" w:rsidP="00FA0AFB">
      <w:pPr>
        <w:spacing w:line="276" w:lineRule="auto"/>
        <w:jc w:val="both"/>
        <w:rPr>
          <w:rFonts w:ascii="Verdana" w:eastAsia="Calibri" w:hAnsi="Verdana" w:cs="Arial"/>
          <w:color w:val="000000"/>
          <w:szCs w:val="24"/>
          <w:lang w:val="es-ES_tradnl" w:eastAsia="es-ES_tradnl"/>
        </w:rPr>
      </w:pPr>
      <w:r w:rsidRPr="001A1E71">
        <w:rPr>
          <w:rFonts w:ascii="Verdana" w:eastAsia="Calibri" w:hAnsi="Verdana" w:cs="Arial"/>
          <w:color w:val="000000"/>
          <w:szCs w:val="24"/>
          <w:lang w:val="es-ES_tradnl" w:eastAsia="es-ES_tradnl"/>
        </w:rPr>
        <w:t>También ha dicho que:</w:t>
      </w:r>
    </w:p>
    <w:p w14:paraId="25918ABA" w14:textId="77777777" w:rsidR="00FA0AFB" w:rsidRDefault="00FA0AFB" w:rsidP="00FA0AFB">
      <w:pPr>
        <w:spacing w:before="120" w:after="120" w:line="276" w:lineRule="auto"/>
        <w:ind w:left="709" w:right="709"/>
        <w:jc w:val="both"/>
        <w:rPr>
          <w:rFonts w:ascii="Verdana" w:eastAsia="Times New Roman" w:hAnsi="Verdana" w:cs="Arial"/>
          <w:color w:val="000000"/>
          <w:sz w:val="20"/>
          <w:szCs w:val="20"/>
          <w:lang w:val="es-ES" w:eastAsia="es-ES"/>
        </w:rPr>
      </w:pPr>
      <w:r w:rsidRPr="4552CAB1">
        <w:rPr>
          <w:rFonts w:ascii="Verdana" w:eastAsia="Times New Roman" w:hAnsi="Verdana" w:cs="Arial"/>
          <w:color w:val="000000"/>
          <w:sz w:val="20"/>
          <w:szCs w:val="20"/>
          <w:lang w:val="es-ES" w:eastAsia="es-ES"/>
        </w:rPr>
        <w:t xml:space="preserve">(…) la aplicación de estos preceptos exige una interpretación restrictiva, dado que según el principio hermenéutico </w:t>
      </w:r>
      <w:r w:rsidRPr="4552CAB1">
        <w:rPr>
          <w:rFonts w:ascii="Verdana" w:eastAsia="Times New Roman" w:hAnsi="Verdana" w:cs="Arial"/>
          <w:i/>
          <w:color w:val="000000"/>
          <w:sz w:val="20"/>
          <w:szCs w:val="20"/>
          <w:lang w:val="es-ES" w:eastAsia="es-ES"/>
        </w:rPr>
        <w:t xml:space="preserve">pro </w:t>
      </w:r>
      <w:proofErr w:type="spellStart"/>
      <w:r w:rsidRPr="4552CAB1">
        <w:rPr>
          <w:rFonts w:ascii="Verdana" w:eastAsia="Times New Roman" w:hAnsi="Verdana" w:cs="Arial"/>
          <w:i/>
          <w:color w:val="000000"/>
          <w:sz w:val="20"/>
          <w:szCs w:val="20"/>
          <w:lang w:val="es-ES" w:eastAsia="es-ES"/>
        </w:rPr>
        <w:t>libertate</w:t>
      </w:r>
      <w:proofErr w:type="spellEnd"/>
      <w:r w:rsidRPr="4552CAB1">
        <w:rPr>
          <w:rFonts w:ascii="Verdana" w:eastAsia="Times New Roman" w:hAnsi="Verdana" w:cs="Arial"/>
          <w:color w:val="000000"/>
          <w:sz w:val="20"/>
          <w:szCs w:val="20"/>
          <w:lang w:val="es-ES" w:eastAsia="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4552CAB1">
        <w:rPr>
          <w:rFonts w:ascii="Verdana" w:eastAsia="Times New Roman" w:hAnsi="Verdana" w:cs="Arial"/>
          <w:color w:val="000000"/>
          <w:sz w:val="20"/>
          <w:szCs w:val="20"/>
          <w:vertAlign w:val="superscript"/>
          <w:lang w:val="es-ES" w:eastAsia="es-ES"/>
        </w:rPr>
        <w:footnoteReference w:id="14"/>
      </w:r>
      <w:r w:rsidRPr="4552CAB1">
        <w:rPr>
          <w:rFonts w:ascii="Verdana" w:eastAsia="Times New Roman" w:hAnsi="Verdana" w:cs="Arial"/>
          <w:color w:val="000000"/>
          <w:sz w:val="20"/>
          <w:szCs w:val="20"/>
          <w:lang w:val="es-ES" w:eastAsia="es-ES"/>
        </w:rPr>
        <w:t>.</w:t>
      </w:r>
    </w:p>
    <w:p w14:paraId="5B83D3B1" w14:textId="77777777" w:rsidR="00FA0AFB" w:rsidRDefault="00FA0AFB" w:rsidP="00FA0AFB">
      <w:pPr>
        <w:spacing w:before="120" w:after="120" w:line="276" w:lineRule="auto"/>
        <w:ind w:firstLine="709"/>
        <w:jc w:val="both"/>
        <w:rPr>
          <w:rFonts w:ascii="Verdana" w:eastAsia="Times New Roman" w:hAnsi="Verdana" w:cs="Arial"/>
          <w:color w:val="000000"/>
          <w:shd w:val="clear" w:color="auto" w:fill="FFFFFF"/>
          <w:lang w:val="es-ES" w:eastAsia="es-ES_tradnl"/>
        </w:rPr>
      </w:pPr>
      <w:r w:rsidRPr="002F166B">
        <w:rPr>
          <w:rFonts w:ascii="Verdana" w:eastAsia="Calibri" w:hAnsi="Verdana" w:cs="Arial"/>
          <w:color w:val="000000"/>
          <w:szCs w:val="24"/>
          <w:lang w:val="es-ES_tradnl" w:eastAsia="es-ES_tradnl"/>
        </w:rPr>
        <w:t xml:space="preserve">Como se aprecia, el principio </w:t>
      </w:r>
      <w:r w:rsidRPr="002F166B">
        <w:rPr>
          <w:rFonts w:ascii="Verdana" w:eastAsia="Calibri" w:hAnsi="Verdana" w:cs="Arial"/>
          <w:i/>
          <w:iCs/>
          <w:color w:val="000000"/>
          <w:szCs w:val="24"/>
          <w:lang w:val="es-ES_tradnl" w:eastAsia="es-ES_tradnl"/>
        </w:rPr>
        <w:t xml:space="preserve">pro </w:t>
      </w:r>
      <w:proofErr w:type="spellStart"/>
      <w:r w:rsidRPr="002F166B">
        <w:rPr>
          <w:rFonts w:ascii="Verdana" w:eastAsia="Calibri" w:hAnsi="Verdana" w:cs="Arial"/>
          <w:i/>
          <w:iCs/>
          <w:color w:val="000000"/>
          <w:szCs w:val="24"/>
          <w:lang w:val="es-ES_tradnl" w:eastAsia="es-ES_tradnl"/>
        </w:rPr>
        <w:t>libertate</w:t>
      </w:r>
      <w:proofErr w:type="spellEnd"/>
      <w:r w:rsidRPr="002F166B">
        <w:rPr>
          <w:rFonts w:ascii="Verdana" w:eastAsia="Calibri" w:hAnsi="Verdana" w:cs="Arial"/>
          <w:color w:val="000000"/>
          <w:szCs w:val="24"/>
          <w:lang w:val="es-ES_tradnl" w:eastAsia="es-ES_tradnl"/>
        </w:rPr>
        <w:t xml:space="preserve"> es el que debe dirigir la interpretación de las disposiciones normativas que consagran restricciones de derechos, como sucede con las causales de inhabilidad e incompatibilidad en la contratación estatal. </w:t>
      </w:r>
      <w:r w:rsidRPr="002F166B">
        <w:rPr>
          <w:rFonts w:ascii="Verdana" w:eastAsia="Times New Roman" w:hAnsi="Verdana" w:cs="Arial"/>
          <w:color w:val="000000"/>
          <w:shd w:val="clear" w:color="auto" w:fill="FFFFFF"/>
          <w:lang w:val="es-ES" w:eastAsia="es-ES_tradnl"/>
        </w:rPr>
        <w:t>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6B5D15A3" w14:textId="77777777" w:rsidR="00FA0AFB" w:rsidRPr="003F4FB4" w:rsidRDefault="00FA0AFB" w:rsidP="00FA0AFB">
      <w:pPr>
        <w:spacing w:before="120" w:after="120" w:line="276" w:lineRule="auto"/>
        <w:ind w:firstLine="709"/>
        <w:jc w:val="both"/>
        <w:rPr>
          <w:rFonts w:ascii="Verdana" w:eastAsia="Times New Roman" w:hAnsi="Verdana" w:cs="Arial"/>
          <w:color w:val="000000"/>
          <w:shd w:val="clear" w:color="auto" w:fill="FFFFFF"/>
          <w:lang w:val="es-ES" w:eastAsia="es-ES_tradnl"/>
        </w:rPr>
      </w:pPr>
      <w:r>
        <w:rPr>
          <w:rFonts w:ascii="Verdana" w:eastAsia="Times New Roman" w:hAnsi="Verdana" w:cs="Arial"/>
          <w:color w:val="000000"/>
          <w:shd w:val="clear" w:color="auto" w:fill="FFFFFF"/>
          <w:lang w:val="es-ES" w:eastAsia="es-ES_tradnl"/>
        </w:rPr>
        <w:t xml:space="preserve">En ese orden de ideas, </w:t>
      </w:r>
      <w:r w:rsidRPr="0022076A">
        <w:rPr>
          <w:rFonts w:ascii="Verdana" w:eastAsia="Calibri" w:hAnsi="Verdana" w:cs="Arial"/>
          <w:color w:val="000000"/>
          <w:lang w:val="es-ES_tradnl" w:eastAsia="es-ES_tradnl"/>
        </w:rPr>
        <w:t>La Ley 1474 de 2011, “Por la cual se dictan normas orientadas a fortalecer los mecanismos de prevención, investigación y sanción de actos de corrupción y la efectividad del control de la gestión pública”, prevé en el artículo 4 una restricción que prohíbe a los exempleados públicos celebrar contratos estatales tras la dejación del cargo, en un ámbito y en un período definidos por el legislador, extendiendo la prohibición a algunos otros sujetos vinculados a estos. La norma establece:</w:t>
      </w:r>
    </w:p>
    <w:p w14:paraId="6D13F8C3" w14:textId="77777777" w:rsidR="00FA0AFB" w:rsidRPr="0022076A" w:rsidRDefault="00FA0AFB" w:rsidP="00FA0AFB">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Adiciónese un literal f) al numeral 2 del artículo 8o de la Ley 80 de 1993, el cual quedará así:</w:t>
      </w:r>
    </w:p>
    <w:p w14:paraId="323B3612" w14:textId="77777777" w:rsidR="00FA0AFB" w:rsidRPr="0022076A" w:rsidRDefault="00FA0AFB" w:rsidP="00FA0AFB">
      <w:pPr>
        <w:ind w:left="709" w:right="709"/>
        <w:jc w:val="both"/>
        <w:rPr>
          <w:rFonts w:ascii="Verdana" w:eastAsia="Calibri" w:hAnsi="Verdana" w:cs="Arial"/>
          <w:color w:val="000000"/>
          <w:sz w:val="20"/>
          <w:szCs w:val="20"/>
          <w:lang w:val="es-ES_tradnl" w:eastAsia="es-ES_tradnl"/>
        </w:rPr>
      </w:pPr>
      <w:r w:rsidRPr="0022076A">
        <w:rPr>
          <w:rFonts w:ascii="Verdana" w:eastAsia="Calibri" w:hAnsi="Verdana" w:cs="Arial"/>
          <w:color w:val="000000"/>
          <w:sz w:val="20"/>
          <w:szCs w:val="20"/>
          <w:lang w:val="es-ES_tradnl" w:eastAsia="es-ES_tradnl"/>
        </w:rPr>
        <w:t xml:space="preserve">Directa o indirectamente las personas que hayan ejercido cargos en el nivel directivo en entidades del Estado y las sociedades en las cuales estos hagan parte o estén vinculados a cualquier título, durante los dos (2) años </w:t>
      </w:r>
      <w:r w:rsidRPr="0022076A">
        <w:rPr>
          <w:rFonts w:ascii="Verdana" w:eastAsia="Calibri" w:hAnsi="Verdana" w:cs="Arial"/>
          <w:color w:val="000000"/>
          <w:sz w:val="20"/>
          <w:szCs w:val="20"/>
          <w:lang w:val="es-ES_tradnl" w:eastAsia="es-ES_tradnl"/>
        </w:rPr>
        <w:lastRenderedPageBreak/>
        <w:t>siguientes al retiro del ejercicio del cargo público, cuando el objeto que desarrollen tenga relación con el sector al cual prestaron sus servicios.</w:t>
      </w:r>
    </w:p>
    <w:p w14:paraId="2496134D" w14:textId="77777777" w:rsidR="00FA0AFB" w:rsidRDefault="00FA0AFB" w:rsidP="00FA0AFB">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incompatibilidad también operará para las personas que se encuentren dentro del primer grado de consanguinidad, primero de afinidad, o primero civil del ex empleado público.</w:t>
      </w:r>
    </w:p>
    <w:p w14:paraId="2C6F44BE"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Como se observa, esta disposición normativa prevé una restricción para la contratación estatal, compuesta por los siguientes elementos:</w:t>
      </w:r>
    </w:p>
    <w:p w14:paraId="43AD09B6"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lang w:val="es-ES_tradnl" w:eastAsia="es-ES_tradnl"/>
        </w:rPr>
        <w:t>Sus destinatarios. Es decir, los sujetos en los que radica la prohibición son: a) las personas naturales que hayan ejercido cargos en el nivel directivo en las entidades estatales a quienes el segundo inciso califica como exempleados públicos, b) las</w:t>
      </w:r>
      <w:r w:rsidRPr="0022076A">
        <w:rPr>
          <w:rFonts w:ascii="Verdana" w:eastAsia="Calibri" w:hAnsi="Verdana" w:cs="Arial"/>
          <w:color w:val="000000"/>
          <w:lang w:val="es-ES_tradnl" w:eastAsia="es-ES_tradnl"/>
        </w:rPr>
        <w:t xml:space="preserve"> sociedades de las cuales dichos exempleados públicos hagan parte o estén vinculados a cualquier título, y </w:t>
      </w:r>
      <w:r w:rsidRPr="00E40972">
        <w:rPr>
          <w:rFonts w:ascii="Verdana" w:eastAsia="Calibri" w:hAnsi="Verdana" w:cs="Arial"/>
          <w:color w:val="000000"/>
          <w:lang w:val="es-ES_tradnl" w:eastAsia="es-ES_tradnl"/>
        </w:rPr>
        <w:t>c) sus parientes dentro del primer grado de consanguinidad, primero de afinidad o primero civil. También cabe destacar que la norma en comento dice que a estos sujetos les aplica la prohibición cuando pretendan contratar directa o indirectamente; lo que implica que no pueden valerse de intermediarios para intentar eludir esta restricción.</w:t>
      </w:r>
    </w:p>
    <w:p w14:paraId="605A590A"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22076A">
        <w:rPr>
          <w:rFonts w:ascii="Verdana" w:eastAsia="Calibri" w:hAnsi="Verdana" w:cs="Arial"/>
          <w:color w:val="000000"/>
          <w:lang w:val="es-ES_tradnl" w:eastAsia="es-ES_tradnl"/>
        </w:rPr>
        <w:t>Ahora bien, la Corte Constitucional, en la Sentencia C-257 del 7 de mayo de 2013</w:t>
      </w:r>
      <w:r w:rsidRPr="0022076A">
        <w:rPr>
          <w:rFonts w:ascii="Verdana" w:eastAsia="Calibri" w:hAnsi="Verdana" w:cs="Arial"/>
          <w:color w:val="000000"/>
          <w:vertAlign w:val="superscript"/>
          <w:lang w:val="es-ES_tradnl" w:eastAsia="es-ES_tradnl"/>
        </w:rPr>
        <w:footnoteReference w:id="15"/>
      </w:r>
      <w:r w:rsidRPr="0022076A">
        <w:rPr>
          <w:rFonts w:ascii="Verdana" w:eastAsia="Calibri" w:hAnsi="Verdana" w:cs="Arial"/>
          <w:color w:val="000000"/>
          <w:lang w:val="es-ES_tradnl" w:eastAsia="es-ES_tradnl"/>
        </w:rPr>
        <w:t xml:space="preserve">, hizo una importante precisión en relación con las </w:t>
      </w:r>
      <w:r w:rsidRPr="00E40972">
        <w:rPr>
          <w:rFonts w:ascii="Verdana" w:eastAsia="Calibri" w:hAnsi="Verdana" w:cs="Arial"/>
          <w:color w:val="000000"/>
          <w:lang w:val="es-ES_tradnl" w:eastAsia="es-ES_tradnl"/>
        </w:rPr>
        <w:t>sociedades</w:t>
      </w:r>
      <w:r w:rsidRPr="0022076A">
        <w:rPr>
          <w:rFonts w:ascii="Verdana" w:eastAsia="Calibri" w:hAnsi="Verdana" w:cs="Arial"/>
          <w:color w:val="000000"/>
          <w:lang w:val="es-ES_tradnl" w:eastAsia="es-ES_tradnl"/>
        </w:rPr>
        <w:t>, como sujetos pasivos de la prohibición, en el sentido de que se debe tener en cuenta el nivel de influencia que puede ostentar el exempleado público o sus parientes, en los grados señalados en el artículo 4 de la Ley 1474 de 2011, para determinar si la restricción aplica o no al tipo societario. En tal sentido, el máximo tribunal indicó:</w:t>
      </w:r>
    </w:p>
    <w:p w14:paraId="0516D13E" w14:textId="77777777" w:rsidR="00FA0AFB" w:rsidRDefault="00FA0AFB" w:rsidP="00FA0AFB">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 xml:space="preserve">“(…) tratándose de sociedades anónimas por acciones, dadas sus características esenciales, la restricción no podría aplicarse, pues en estos casos no existe posibilidad de control sobre los accionistas que puedan acceder a la compra de acciones, y que lo pueden hacer con plena libertad, incluso en el mercado bursátil abierto, en razón de la capacidad económica y voluntad del inversionista y no por sus condiciones personales y de manera particular por su condición de ex servidor público. Esta circunstancia de suyo no implica que la norma deba ser declarada inconstitucional o la necesidad de que la Corte profiera una sentencia condicionada, pues de lo que se trata en este caso es de fijar el alcance material de la proposición normativa objeto de control. </w:t>
      </w:r>
    </w:p>
    <w:p w14:paraId="5765ED9F" w14:textId="77777777" w:rsidR="00FA0AFB" w:rsidRPr="00E40972" w:rsidRDefault="00FA0AFB" w:rsidP="00FA0AFB">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 xml:space="preserve">“Para la Corte es claro que la prohibición establecida en el artículo 4 de la ley 1474 de 2011, que adiciona el literal F al numeral 2 del artículo 8 de la Ley 80 de 1993, no aplica respecto de aquellos tipos societarios en </w:t>
      </w:r>
      <w:r w:rsidRPr="00E40972">
        <w:rPr>
          <w:rFonts w:ascii="Verdana" w:eastAsia="Calibri" w:hAnsi="Verdana" w:cs="Arial"/>
          <w:color w:val="000000"/>
          <w:sz w:val="20"/>
          <w:szCs w:val="20"/>
          <w:lang w:val="es-ES_tradnl" w:eastAsia="es-ES_tradnl"/>
        </w:rPr>
        <w:lastRenderedPageBreak/>
        <w:t>donde la forma de vinculación de los socios hace imposible un control directo y efectivo sobre su ingreso y sobre las calidades personales de los mismos.</w:t>
      </w:r>
    </w:p>
    <w:p w14:paraId="7C59CC24" w14:textId="77777777" w:rsidR="00FA0AFB" w:rsidRDefault="00FA0AFB" w:rsidP="00FA0AFB">
      <w:pPr>
        <w:ind w:left="709" w:right="709"/>
        <w:jc w:val="both"/>
        <w:rPr>
          <w:rFonts w:ascii="Verdana" w:eastAsia="Calibri" w:hAnsi="Verdana" w:cs="Arial"/>
          <w:color w:val="000000"/>
          <w:sz w:val="20"/>
          <w:szCs w:val="20"/>
          <w:lang w:val="es-ES" w:eastAsia="es-ES"/>
        </w:rPr>
      </w:pPr>
      <w:r w:rsidRPr="4552CAB1">
        <w:rPr>
          <w:rFonts w:ascii="Verdana" w:eastAsia="Calibri" w:hAnsi="Verdana" w:cs="Arial"/>
          <w:color w:val="000000" w:themeColor="text1"/>
          <w:sz w:val="20"/>
          <w:szCs w:val="20"/>
          <w:lang w:val="es-ES" w:eastAsia="es-ES"/>
        </w:rPr>
        <w:t>“Esta hipó tesis es distinta, se aclara, a la del ex servidor público que tiene la condición de directivo o representante legal de este tipo de sociedades y pretende en nombre de aquella contratar con la entidad a la cual estuvo vinculado y cuyo objeto tenga relación con las funciones públicas que desempeñó”.</w:t>
      </w:r>
    </w:p>
    <w:p w14:paraId="1BF98A0D"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E40972">
        <w:rPr>
          <w:rFonts w:ascii="Verdana" w:eastAsia="Calibri" w:hAnsi="Verdana" w:cs="Arial"/>
          <w:color w:val="000000"/>
          <w:szCs w:val="24"/>
          <w:lang w:val="es-ES_tradnl" w:eastAsia="es-ES_tradnl"/>
        </w:rPr>
        <w:t>Más allá del lenguaje empleado por el legislador en torno a la consideración de inhabilidad o incompatibilidad de la causal analizada, lo importante es comprender el alcance de la restricción a la capacidad contractual prevista en la norma. En otras palabras, independientemente de la denominación, lo cierto es que luego de la dejación del cargo directivo en la entidad estatal, ni el exempleado público, ni las sociedades en las que haga parte con el matiz introducido por la Corte Constitucional, comentado previamente, ni sus parientes cercanos en las tipologías y grados referidos podrán contratar con la entidad en la cual aquel estuvo vinculado, ni con las demás del sector relacionado con el objeto del contrato.</w:t>
      </w:r>
    </w:p>
    <w:p w14:paraId="4F31C9B2" w14:textId="77777777" w:rsidR="00FA0AFB" w:rsidRPr="003E006C" w:rsidRDefault="00FA0AFB" w:rsidP="00FA0AFB">
      <w:pPr>
        <w:spacing w:before="120" w:after="120" w:line="276" w:lineRule="auto"/>
        <w:ind w:firstLine="709"/>
        <w:jc w:val="both"/>
        <w:rPr>
          <w:rFonts w:ascii="Verdana" w:eastAsia="Calibri" w:hAnsi="Verdana" w:cs="Arial"/>
          <w:color w:val="000000"/>
          <w:lang w:val="es-ES" w:eastAsia="es-ES"/>
        </w:rPr>
      </w:pPr>
      <w:r w:rsidRPr="4552CAB1">
        <w:rPr>
          <w:rFonts w:ascii="Verdana" w:eastAsia="Calibri" w:hAnsi="Verdana" w:cs="Arial"/>
          <w:color w:val="000000" w:themeColor="text1"/>
          <w:lang w:val="es-ES" w:eastAsia="es-ES"/>
        </w:rPr>
        <w:t xml:space="preserve">La finalidad de la causal es evitar que las personas que han ejercido cargos directivos en las entidades estatales se valgan de esa circunstancia privilegiada para asegurarse para ellas, para las sociedades de las que hagan parte o para sus parientes cercanos un contrato con entidades del mismo sector una vez finalice su relación laboral. Así lo señaló la Corte Constitucional en la Sentencia C-257 de 2013 mencionada con anterioridad, en la cual se declaró exequible la norma que se analiza, es decir, el artículo 4 de la Ley 1474 de 2011, indicando que:  </w:t>
      </w:r>
    </w:p>
    <w:p w14:paraId="44139B9D" w14:textId="77777777" w:rsidR="00FA0AFB" w:rsidRDefault="00FA0AFB" w:rsidP="00FA0AFB">
      <w:pPr>
        <w:ind w:left="709" w:right="709"/>
        <w:jc w:val="both"/>
        <w:rPr>
          <w:rFonts w:ascii="Verdana" w:eastAsia="Calibri" w:hAnsi="Verdana" w:cs="Arial"/>
          <w:color w:val="000000"/>
          <w:sz w:val="20"/>
          <w:szCs w:val="20"/>
          <w:lang w:val="es-ES_tradnl" w:eastAsia="es-ES_tradnl"/>
        </w:rPr>
      </w:pPr>
      <w:r w:rsidRPr="00E40972">
        <w:rPr>
          <w:rFonts w:ascii="Verdana" w:eastAsia="Calibri" w:hAnsi="Verdana" w:cs="Arial"/>
          <w:color w:val="000000"/>
          <w:sz w:val="20"/>
          <w:szCs w:val="20"/>
          <w:lang w:val="es-ES_tradnl" w:eastAsia="es-ES_tradnl"/>
        </w:rPr>
        <w:t xml:space="preserve"> “Es claro que la norma  señala que la inhabilidad se aplica  en relación con aquellos servidores públicos que desempeñaron funciones de dirección para  evitar  que puedan utilizar los vínculos, influencia y ascendencia que estos ex directivos –o sus familiares cercanos– puedan tener con la entidad y sus funcionarios encargados de los procesos de selección,  precisamente por el rol de jerarquía y mando que ejerció, con lo cual se trata de poner a salvo los principios constitucionales de la administración pública ya referidos”</w:t>
      </w:r>
      <w:r w:rsidRPr="00E40972">
        <w:rPr>
          <w:rFonts w:ascii="Verdana" w:eastAsia="Calibri" w:hAnsi="Verdana" w:cs="Arial"/>
          <w:color w:val="000000"/>
          <w:sz w:val="20"/>
          <w:szCs w:val="20"/>
          <w:vertAlign w:val="superscript"/>
          <w:lang w:val="es-ES_tradnl" w:eastAsia="es-ES_tradnl"/>
        </w:rPr>
        <w:footnoteReference w:id="16"/>
      </w:r>
      <w:r w:rsidRPr="00E40972">
        <w:rPr>
          <w:rFonts w:ascii="Verdana" w:eastAsia="Calibri" w:hAnsi="Verdana" w:cs="Arial"/>
          <w:color w:val="000000"/>
          <w:sz w:val="20"/>
          <w:szCs w:val="20"/>
          <w:lang w:val="es-ES_tradnl" w:eastAsia="es-ES_tradnl"/>
        </w:rPr>
        <w:t>.</w:t>
      </w:r>
    </w:p>
    <w:p w14:paraId="3F45A9BB" w14:textId="77777777" w:rsidR="00FA0AFB" w:rsidRDefault="00FA0AFB" w:rsidP="00FA0AFB">
      <w:pPr>
        <w:spacing w:before="120" w:after="120" w:line="276" w:lineRule="auto"/>
        <w:ind w:firstLine="709"/>
        <w:jc w:val="both"/>
        <w:rPr>
          <w:rFonts w:ascii="Verdana" w:eastAsia="Calibri" w:hAnsi="Verdana" w:cs="Arial"/>
          <w:lang w:val="es-ES" w:eastAsia="es-ES"/>
        </w:rPr>
      </w:pPr>
      <w:r w:rsidRPr="4552CAB1">
        <w:rPr>
          <w:rFonts w:ascii="Verdana" w:eastAsia="Calibri" w:hAnsi="Verdana" w:cs="Arial"/>
          <w:color w:val="000000"/>
          <w:lang w:val="es-ES" w:eastAsia="es-ES"/>
        </w:rPr>
        <w:lastRenderedPageBreak/>
        <w:t xml:space="preserve">El objeto de la causal es prohibir la celebración de contratos estatales por parte de los sujetos indicados, “cuando el objeto que desarrollen tenga relación con el sector al cual prestaron sus servicios”. Es decir, la norma consagra un criterio mixto funcional y orgánico, pues alude a la relación del objeto contractual con el sector en el que los exempleados se desempeñaron. Aunque la causal no define el concepto sector, el contexto normativo en el que se ubica permite concluir que por aquel debe entenderse “sector administrativo”. Ello a partir de una “interpretación contextual” o “sistemática”. </w:t>
      </w:r>
      <w:r w:rsidRPr="4552CAB1">
        <w:rPr>
          <w:rFonts w:ascii="Verdana" w:eastAsia="Calibri" w:hAnsi="Verdana" w:cs="Arial"/>
          <w:lang w:val="es-ES" w:eastAsia="es-ES"/>
        </w:rPr>
        <w:t xml:space="preserve">Como dice </w:t>
      </w:r>
      <w:proofErr w:type="spellStart"/>
      <w:r w:rsidRPr="4552CAB1">
        <w:rPr>
          <w:rFonts w:ascii="Verdana" w:eastAsia="Calibri" w:hAnsi="Verdana" w:cs="Arial"/>
          <w:lang w:val="es-ES" w:eastAsia="es-ES"/>
        </w:rPr>
        <w:t>Guastini</w:t>
      </w:r>
      <w:proofErr w:type="spellEnd"/>
      <w:r w:rsidRPr="4552CAB1">
        <w:rPr>
          <w:rFonts w:ascii="Verdana" w:eastAsia="Calibri" w:hAnsi="Verdana" w:cs="Arial"/>
          <w:lang w:val="es-ES" w:eastAsia="es-ES"/>
        </w:rPr>
        <w:t>, la interpretación literal suele ser una “(…) interpretación no contextual o a-contextual”</w:t>
      </w:r>
      <w:r w:rsidRPr="4552CAB1">
        <w:rPr>
          <w:rFonts w:ascii="Verdana" w:eastAsia="Calibri" w:hAnsi="Verdana" w:cs="Arial"/>
          <w:vertAlign w:val="superscript"/>
          <w:lang w:val="es-ES" w:eastAsia="es-ES"/>
        </w:rPr>
        <w:footnoteReference w:id="17"/>
      </w:r>
      <w:r w:rsidRPr="4552CAB1">
        <w:rPr>
          <w:rFonts w:ascii="Verdana" w:eastAsia="Calibri" w:hAnsi="Verdana" w:cs="Arial"/>
          <w:lang w:val="es-ES" w:eastAsia="es-ES"/>
        </w:rPr>
        <w:t>, es decir, una “(…) interpretación que, para acreditar el significado elegido (el significado “objetivo” del texto), no aduce más que las reglas semánticas y sintácticas de la lengua”</w:t>
      </w:r>
      <w:r w:rsidRPr="4552CAB1">
        <w:rPr>
          <w:rFonts w:ascii="Verdana" w:eastAsia="Calibri" w:hAnsi="Verdana" w:cs="Arial"/>
          <w:vertAlign w:val="superscript"/>
          <w:lang w:val="es-ES" w:eastAsia="es-ES"/>
        </w:rPr>
        <w:footnoteReference w:id="18"/>
      </w:r>
      <w:r w:rsidRPr="4552CAB1">
        <w:rPr>
          <w:rFonts w:ascii="Verdana" w:eastAsia="Calibri" w:hAnsi="Verdana" w:cs="Arial"/>
          <w:lang w:val="es-ES" w:eastAsia="es-ES"/>
        </w:rPr>
        <w:t xml:space="preserve">. Se diferencia de la “interpretación contextual”, es decir, de “(…) aquella interpretación que, para acreditar el significado elegido, aduce elementos </w:t>
      </w:r>
      <w:proofErr w:type="spellStart"/>
      <w:r w:rsidRPr="4552CAB1">
        <w:rPr>
          <w:rFonts w:ascii="Verdana" w:eastAsia="Calibri" w:hAnsi="Verdana" w:cs="Arial"/>
          <w:lang w:val="es-ES" w:eastAsia="es-ES"/>
        </w:rPr>
        <w:t>extra-textuales</w:t>
      </w:r>
      <w:proofErr w:type="spellEnd"/>
      <w:r w:rsidRPr="4552CAB1">
        <w:rPr>
          <w:rFonts w:ascii="Verdana" w:eastAsia="Calibri" w:hAnsi="Verdana" w:cs="Arial"/>
          <w:lang w:val="es-ES" w:eastAsia="es-ES"/>
        </w:rPr>
        <w:t>”</w:t>
      </w:r>
      <w:r w:rsidRPr="4552CAB1">
        <w:rPr>
          <w:rFonts w:ascii="Verdana" w:eastAsia="Calibri" w:hAnsi="Verdana" w:cs="Arial"/>
          <w:vertAlign w:val="superscript"/>
          <w:lang w:val="es-ES" w:eastAsia="es-ES"/>
        </w:rPr>
        <w:footnoteReference w:id="19"/>
      </w:r>
      <w:r w:rsidRPr="4552CAB1">
        <w:rPr>
          <w:rFonts w:ascii="Verdana" w:eastAsia="Calibri" w:hAnsi="Verdana" w:cs="Arial"/>
          <w:lang w:val="es-ES" w:eastAsia="es-ES"/>
        </w:rPr>
        <w:t>, como, por ejemplo, los antecedentes legislativos. Una exigencia de la interpretación contextual es el argumento de “interpretación sistemática”. Al respecto, el mencionado autor señala:</w:t>
      </w:r>
    </w:p>
    <w:p w14:paraId="6E8D40A6" w14:textId="77777777" w:rsidR="00FA0AFB" w:rsidRDefault="00FA0AFB" w:rsidP="00FA0AFB">
      <w:pPr>
        <w:ind w:left="709" w:right="709"/>
        <w:jc w:val="both"/>
        <w:rPr>
          <w:rFonts w:ascii="Verdana" w:eastAsia="Calibri" w:hAnsi="Verdana" w:cs="Arial"/>
          <w:sz w:val="20"/>
          <w:szCs w:val="20"/>
          <w:lang w:val="es-ES_tradnl" w:eastAsia="es-ES_tradnl"/>
        </w:rPr>
      </w:pPr>
      <w:r w:rsidRPr="00C6544D">
        <w:rPr>
          <w:rFonts w:ascii="Verdana" w:eastAsia="Calibri" w:hAnsi="Verdana" w:cs="Arial"/>
          <w:sz w:val="20"/>
          <w:szCs w:val="20"/>
          <w:lang w:val="es-ES_tradnl" w:eastAsia="es-ES_tradnl"/>
        </w:rPr>
        <w:t xml:space="preserve"> “En la práctica, se usa un argumento de tipo sistemático siempre que, para acreditar la interpretación escogida, se alega no el texto de la disposición interpretada aisladamente considerada, sino algún elemento del contexto en el que la disposición está colocada. Tal contexto puede ser más o menos extenso: los otros apartados de un mismo artículo, los otros artículos de una misma ley, el conjunto de las leyes que se refieren a una misma materia, etc., hasta llegar a la totalidad de las disposiciones que componen un ordenamiento jurídico”</w:t>
      </w:r>
      <w:r w:rsidRPr="00C6544D">
        <w:rPr>
          <w:rFonts w:ascii="Verdana" w:eastAsia="Calibri" w:hAnsi="Verdana" w:cs="Arial"/>
          <w:sz w:val="20"/>
          <w:szCs w:val="20"/>
          <w:vertAlign w:val="superscript"/>
          <w:lang w:val="es-ES_tradnl" w:eastAsia="es-ES_tradnl"/>
        </w:rPr>
        <w:footnoteReference w:id="20"/>
      </w:r>
      <w:r w:rsidRPr="00C6544D">
        <w:rPr>
          <w:rFonts w:ascii="Verdana" w:eastAsia="Calibri" w:hAnsi="Verdana" w:cs="Arial"/>
          <w:sz w:val="20"/>
          <w:szCs w:val="20"/>
          <w:lang w:val="es-ES_tradnl" w:eastAsia="es-ES_tradnl"/>
        </w:rPr>
        <w:t>.</w:t>
      </w:r>
    </w:p>
    <w:p w14:paraId="3BF618B7"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lang w:val="es-ES_tradnl" w:eastAsia="es-ES_tradnl"/>
        </w:rPr>
        <w:t xml:space="preserve">El ordenamiento jurídico colombiano se acoge la posibilidad de la interpretación sistemática que es consecuencia, según se ha visto, de una interpretación contextual, cuando se presenten dudas en el sentido literal de un texto normativo. En esta línea, el artículo 30 del Código Civil señala que “El contexto de la ley servirá para ilustrar el sentido de cada una de sus partes, de manera que haya entre todas ellas la debida correspondencia y armonía” y que </w:t>
      </w:r>
      <w:r w:rsidRPr="00C6544D">
        <w:rPr>
          <w:rFonts w:ascii="Verdana" w:eastAsia="Calibri" w:hAnsi="Verdana" w:cs="Arial"/>
          <w:lang w:val="es-ES_tradnl" w:eastAsia="es-ES_tradnl"/>
        </w:rPr>
        <w:lastRenderedPageBreak/>
        <w:t>“Los pasajes oscuros de una ley pueden ser ilustrados por medio de otras leyes, particularmente si versan sobre el mismo asunto”</w:t>
      </w:r>
      <w:r w:rsidRPr="00C6544D">
        <w:rPr>
          <w:rFonts w:ascii="Verdana" w:eastAsia="Calibri" w:hAnsi="Verdana" w:cs="Arial"/>
          <w:vertAlign w:val="superscript"/>
          <w:lang w:val="es-ES_tradnl" w:eastAsia="es-ES_tradnl"/>
        </w:rPr>
        <w:footnoteReference w:id="21"/>
      </w:r>
      <w:r w:rsidRPr="00C6544D">
        <w:rPr>
          <w:rFonts w:ascii="Verdana" w:eastAsia="Calibri" w:hAnsi="Verdana" w:cs="Arial"/>
          <w:lang w:val="es-ES_tradnl" w:eastAsia="es-ES_tradnl"/>
        </w:rPr>
        <w:t>.</w:t>
      </w:r>
    </w:p>
    <w:p w14:paraId="6B1EFA6C" w14:textId="77777777" w:rsidR="00FA0AFB" w:rsidRDefault="00FA0AFB" w:rsidP="00FA0AFB">
      <w:pPr>
        <w:spacing w:before="120" w:after="120" w:line="276" w:lineRule="auto"/>
        <w:ind w:firstLine="709"/>
        <w:jc w:val="both"/>
        <w:rPr>
          <w:rFonts w:ascii="Verdana" w:eastAsia="Calibri" w:hAnsi="Verdana" w:cs="Arial"/>
          <w:color w:val="000000"/>
          <w:lang w:val="es-ES_tradnl" w:eastAsia="es-ES_tradnl"/>
        </w:rPr>
      </w:pPr>
      <w:r w:rsidRPr="00C6544D">
        <w:rPr>
          <w:rFonts w:ascii="Verdana" w:eastAsia="Calibri" w:hAnsi="Verdana" w:cs="Arial"/>
          <w:color w:val="000000"/>
          <w:szCs w:val="24"/>
          <w:lang w:val="es-ES_tradnl" w:eastAsia="es-ES_tradnl"/>
        </w:rPr>
        <w:t>Pues bien, con fundamento en una interpretación contextual o sistemática, puede afirmarse que el literal f) que contiene la causal objeto de análisis se agregó al listado previsto en el numeral 2 del artículo 8 de la Ley 80 de 1993, y que el literal e) o sea, el literal inmediatamente anterior emplea el concepto “sector administrativo”</w:t>
      </w:r>
      <w:r w:rsidRPr="00C6544D">
        <w:rPr>
          <w:rFonts w:ascii="Verdana" w:eastAsia="Calibri" w:hAnsi="Verdana" w:cs="Arial"/>
          <w:color w:val="000000"/>
          <w:szCs w:val="24"/>
          <w:vertAlign w:val="superscript"/>
          <w:lang w:val="es-ES_tradnl" w:eastAsia="es-ES_tradnl"/>
        </w:rPr>
        <w:footnoteReference w:id="22"/>
      </w:r>
      <w:r w:rsidRPr="00C6544D">
        <w:rPr>
          <w:rFonts w:ascii="Verdana" w:eastAsia="Calibri" w:hAnsi="Verdana" w:cs="Arial"/>
          <w:color w:val="000000"/>
          <w:szCs w:val="24"/>
          <w:lang w:val="es-ES_tradnl" w:eastAsia="es-ES_tradnl"/>
        </w:rPr>
        <w:t>. Por tanto, si el artículo 4 de la Ley 1474 de 2011 adicionó una causal posterior a la del literal e), incluyendo la palabra sector, es legítimo interpretarla en el contexto normativo al cual fue agregada, para entender que dicha palabra debe entenderse como sector administrativo, pues es a este al que se refiere el legislador en el ámbito del artículo 8, numeral 2, de la Ley 80 de 1993</w:t>
      </w:r>
      <w:r w:rsidRPr="00C6544D">
        <w:rPr>
          <w:rFonts w:ascii="Verdana" w:eastAsia="Calibri" w:hAnsi="Verdana" w:cs="Arial"/>
          <w:color w:val="000000"/>
          <w:szCs w:val="24"/>
          <w:vertAlign w:val="superscript"/>
          <w:lang w:val="es-ES_tradnl" w:eastAsia="es-ES_tradnl"/>
        </w:rPr>
        <w:footnoteReference w:id="23"/>
      </w:r>
      <w:r w:rsidRPr="00C6544D">
        <w:rPr>
          <w:rFonts w:ascii="Verdana" w:eastAsia="Calibri" w:hAnsi="Verdana" w:cs="Arial"/>
          <w:color w:val="000000"/>
          <w:szCs w:val="24"/>
          <w:lang w:val="es-ES_tradnl" w:eastAsia="es-ES_tradnl"/>
        </w:rPr>
        <w:t>. Ahora bien, esta interpretación solo es posible prima facie para las entidades del orden o nivel nacional.</w:t>
      </w:r>
    </w:p>
    <w:p w14:paraId="1E79E830" w14:textId="6B545370" w:rsidR="00FA0AFB" w:rsidRDefault="00E5014D" w:rsidP="00FA0AFB">
      <w:pPr>
        <w:spacing w:before="120" w:after="120" w:line="276" w:lineRule="auto"/>
        <w:ind w:firstLine="708"/>
        <w:jc w:val="both"/>
        <w:rPr>
          <w:rFonts w:ascii="Verdana" w:eastAsia="Calibri" w:hAnsi="Verdana" w:cs="Arial"/>
          <w:color w:val="000000"/>
          <w:lang w:val="es-ES" w:eastAsia="es-ES"/>
        </w:rPr>
      </w:pPr>
      <w:r>
        <w:rPr>
          <w:rFonts w:ascii="Verdana" w:eastAsia="Calibri" w:hAnsi="Verdana" w:cs="Arial"/>
          <w:color w:val="000000" w:themeColor="text1"/>
          <w:lang w:val="es-ES" w:eastAsia="es-ES"/>
        </w:rPr>
        <w:t>Por último</w:t>
      </w:r>
      <w:r w:rsidR="00FA0AFB" w:rsidRPr="4552CAB1">
        <w:rPr>
          <w:rFonts w:ascii="Verdana" w:eastAsia="Calibri" w:hAnsi="Verdana" w:cs="Arial"/>
          <w:color w:val="000000" w:themeColor="text1"/>
          <w:lang w:val="es-ES" w:eastAsia="es-ES"/>
        </w:rPr>
        <w:t xml:space="preserve">, en cuanto al período en el cual rige la prohibición, el segundo inciso del literal f) del artículo 8, numeral 2, de la Ley 80 de 1993, adicionado por el artículo 4 de la Ley 1474 de 2011, señala que, en tal caso, no se pueden celebrar contratos estatales cuyo objeto se relacione con el sector en el cual se desempeñó el exempleado público “durante los dos (2) años siguientes al retiro del ejercicio del cargo público”. Dicho de otro modo, tras haber dejado el cargo el servidor público, comienza a correr un término de dos años en el cual se aplica la restricción. Esto significa que cuando tal período haya transcurrido, en principio, los sujetos a los que se refiere la causal recobran la capacidad para </w:t>
      </w:r>
      <w:r w:rsidR="00FA0AFB" w:rsidRPr="4552CAB1">
        <w:rPr>
          <w:rFonts w:ascii="Verdana" w:eastAsia="Calibri" w:hAnsi="Verdana" w:cs="Arial"/>
          <w:color w:val="000000" w:themeColor="text1"/>
          <w:lang w:val="es-ES" w:eastAsia="es-ES"/>
        </w:rPr>
        <w:lastRenderedPageBreak/>
        <w:t>celebrar contratos estatales, salvo que estén afectados por otras causales de inhabilidad o de incompatibilidad.</w:t>
      </w:r>
    </w:p>
    <w:bookmarkEnd w:id="4"/>
    <w:p w14:paraId="1569DA98" w14:textId="77777777"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4509F798" w14:textId="77777777" w:rsidR="00342217" w:rsidRPr="00175E6D" w:rsidRDefault="00342217" w:rsidP="00342217">
            <w:pPr>
              <w:pStyle w:val="Prrafodelista"/>
              <w:widowControl w:val="0"/>
              <w:numPr>
                <w:ilvl w:val="0"/>
                <w:numId w:val="21"/>
              </w:numPr>
              <w:autoSpaceDE w:val="0"/>
              <w:autoSpaceDN w:val="0"/>
              <w:spacing w:line="276" w:lineRule="auto"/>
              <w:jc w:val="both"/>
              <w:rPr>
                <w:rFonts w:ascii="Verdana" w:hAnsi="Verdana" w:cs="Arial"/>
              </w:rPr>
            </w:pPr>
            <w:r w:rsidRPr="00175E6D">
              <w:rPr>
                <w:rFonts w:ascii="Verdana" w:hAnsi="Verdana" w:cs="Arial"/>
              </w:rPr>
              <w:t>Ley 1474 de 2011 - Artículo 4</w:t>
            </w:r>
            <w:r>
              <w:rPr>
                <w:rFonts w:ascii="Verdana" w:hAnsi="Verdana" w:cs="Arial"/>
              </w:rPr>
              <w:t>.</w:t>
            </w:r>
          </w:p>
          <w:p w14:paraId="2A6C693F"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Pr>
                <w:rFonts w:ascii="Verdana" w:hAnsi="Verdana" w:cs="Arial"/>
              </w:rPr>
              <w:t>Ley 80 de 1993 - Artículo 6, A</w:t>
            </w:r>
            <w:r w:rsidRPr="00F81A46">
              <w:rPr>
                <w:rFonts w:ascii="Verdana" w:hAnsi="Verdana" w:cs="Arial"/>
              </w:rPr>
              <w:t>rtículo</w:t>
            </w:r>
            <w:r>
              <w:rPr>
                <w:rFonts w:ascii="Verdana" w:hAnsi="Verdana" w:cs="Arial"/>
              </w:rPr>
              <w:t xml:space="preserve"> 8 - Numeral 2, Literal a, d, e, f.</w:t>
            </w:r>
          </w:p>
          <w:p w14:paraId="1C0E665D"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sidRPr="0070729B">
              <w:rPr>
                <w:rFonts w:ascii="Verdana" w:hAnsi="Verdana" w:cs="Arial"/>
              </w:rPr>
              <w:t>Ley 1150 de 2007</w:t>
            </w:r>
            <w:r>
              <w:rPr>
                <w:rFonts w:ascii="Verdana" w:hAnsi="Verdana" w:cs="Arial"/>
              </w:rPr>
              <w:t xml:space="preserve"> - Artículo 6.</w:t>
            </w:r>
          </w:p>
          <w:p w14:paraId="6F79B468"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sidRPr="0070729B">
              <w:rPr>
                <w:rFonts w:ascii="Verdana" w:hAnsi="Verdana" w:cs="Arial"/>
              </w:rPr>
              <w:t>Código Civil</w:t>
            </w:r>
            <w:r>
              <w:rPr>
                <w:rFonts w:ascii="Verdana" w:hAnsi="Verdana" w:cs="Arial"/>
              </w:rPr>
              <w:t xml:space="preserve"> - Artículo 1502.</w:t>
            </w:r>
          </w:p>
          <w:p w14:paraId="2B0AE395"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sidRPr="0070729B">
              <w:rPr>
                <w:rFonts w:ascii="Verdana" w:hAnsi="Verdana" w:cs="Arial"/>
              </w:rPr>
              <w:t>Ley 1474 de 2011</w:t>
            </w:r>
            <w:r>
              <w:rPr>
                <w:rFonts w:ascii="Verdana" w:hAnsi="Verdana" w:cs="Arial"/>
              </w:rPr>
              <w:t>.</w:t>
            </w:r>
          </w:p>
          <w:p w14:paraId="5BC990E3"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Pr>
                <w:rFonts w:ascii="Verdana" w:hAnsi="Verdana" w:cs="Arial"/>
              </w:rPr>
              <w:t>Constitución Política - Artículo 29.</w:t>
            </w:r>
          </w:p>
          <w:p w14:paraId="5EC8326C"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 xml:space="preserve">BARRETO ROZO, Antonio Alejandro. Inhabilidades de la contratación estatal, efectos y </w:t>
            </w:r>
            <w:proofErr w:type="spellStart"/>
            <w:r w:rsidRPr="0070729B">
              <w:rPr>
                <w:rFonts w:ascii="Verdana" w:hAnsi="Verdana" w:cs="Arial"/>
              </w:rPr>
              <w:t>neopunitivismo</w:t>
            </w:r>
            <w:proofErr w:type="spellEnd"/>
            <w:r w:rsidRPr="0070729B">
              <w:rPr>
                <w:rFonts w:ascii="Verdana" w:hAnsi="Verdana" w:cs="Arial"/>
              </w:rPr>
              <w:t xml:space="preserve"> en el Estatuto Anticorrupción. En: ALVIAR GARCÍA, Helena (Coordinadora). Nuevas tendencias del Derecho administrativo. Bogotá: Universidad de los Andes; Temis, 2016. pp. 63-99.</w:t>
            </w:r>
          </w:p>
          <w:p w14:paraId="414350E5"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Corte Constitucional. Sentencia T-1039 de 2006. M</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xml:space="preserve"> Humberto Sierra Porto.</w:t>
            </w:r>
          </w:p>
          <w:p w14:paraId="4E833E1A"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Consejo de Estado. Sala de Consulta y Servicio Civil. Concepto del 30 de abril de 2015. Expediente: 2.251. C</w:t>
            </w:r>
            <w:r>
              <w:rPr>
                <w:rFonts w:ascii="Verdana" w:hAnsi="Verdana" w:cs="Arial"/>
              </w:rPr>
              <w:t>.</w:t>
            </w:r>
            <w:r w:rsidRPr="0070729B">
              <w:rPr>
                <w:rFonts w:ascii="Verdana" w:hAnsi="Verdana" w:cs="Arial"/>
              </w:rPr>
              <w:t xml:space="preserve"> P: Álvaro </w:t>
            </w:r>
            <w:proofErr w:type="spellStart"/>
            <w:r w:rsidRPr="0070729B">
              <w:rPr>
                <w:rFonts w:ascii="Verdana" w:hAnsi="Verdana" w:cs="Arial"/>
              </w:rPr>
              <w:t>Namén</w:t>
            </w:r>
            <w:proofErr w:type="spellEnd"/>
            <w:r w:rsidRPr="0070729B">
              <w:rPr>
                <w:rFonts w:ascii="Verdana" w:hAnsi="Verdana" w:cs="Arial"/>
              </w:rPr>
              <w:t xml:space="preserve"> Vargas.</w:t>
            </w:r>
          </w:p>
          <w:p w14:paraId="1BF24E47"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lastRenderedPageBreak/>
              <w:t xml:space="preserve">Consejo de Estado. Sección Tercera. Subsección A. Sentencia del 24 de junio de 2015. </w:t>
            </w:r>
            <w:proofErr w:type="spellStart"/>
            <w:r w:rsidRPr="0070729B">
              <w:rPr>
                <w:rFonts w:ascii="Verdana" w:hAnsi="Verdana" w:cs="Arial"/>
              </w:rPr>
              <w:t>Exp</w:t>
            </w:r>
            <w:proofErr w:type="spellEnd"/>
            <w:r w:rsidRPr="0070729B">
              <w:rPr>
                <w:rFonts w:ascii="Verdana" w:hAnsi="Verdana" w:cs="Arial"/>
              </w:rPr>
              <w:t>. 40.635. C</w:t>
            </w:r>
            <w:r>
              <w:rPr>
                <w:rFonts w:ascii="Verdana" w:hAnsi="Verdana" w:cs="Arial"/>
              </w:rPr>
              <w:t>.</w:t>
            </w:r>
            <w:r w:rsidRPr="0070729B">
              <w:rPr>
                <w:rFonts w:ascii="Verdana" w:hAnsi="Verdana" w:cs="Arial"/>
              </w:rPr>
              <w:t xml:space="preserve"> P</w:t>
            </w:r>
            <w:r>
              <w:rPr>
                <w:rFonts w:ascii="Verdana" w:hAnsi="Verdana" w:cs="Arial"/>
              </w:rPr>
              <w:t>.</w:t>
            </w:r>
            <w:r w:rsidRPr="0070729B">
              <w:rPr>
                <w:rFonts w:ascii="Verdana" w:hAnsi="Verdana" w:cs="Arial"/>
              </w:rPr>
              <w:t>: Hernán Andrade Rincón (E).</w:t>
            </w:r>
          </w:p>
          <w:p w14:paraId="39B1C3AC" w14:textId="77777777" w:rsidR="00342217" w:rsidRDefault="00342217" w:rsidP="00342217">
            <w:pPr>
              <w:widowControl w:val="0"/>
              <w:numPr>
                <w:ilvl w:val="0"/>
                <w:numId w:val="17"/>
              </w:numPr>
              <w:autoSpaceDE w:val="0"/>
              <w:autoSpaceDN w:val="0"/>
              <w:spacing w:after="160" w:line="276" w:lineRule="auto"/>
              <w:contextualSpacing/>
              <w:jc w:val="both"/>
              <w:rPr>
                <w:rFonts w:ascii="Verdana" w:hAnsi="Verdana" w:cs="Arial"/>
              </w:rPr>
            </w:pPr>
            <w:r w:rsidRPr="0070729B">
              <w:rPr>
                <w:rFonts w:ascii="Verdana" w:hAnsi="Verdana" w:cs="Arial"/>
              </w:rPr>
              <w:t xml:space="preserve">Consejo de Estado. Sección Tercera. Subsección C. Sentencia del 22 de mayo de 2013. </w:t>
            </w:r>
            <w:proofErr w:type="spellStart"/>
            <w:r w:rsidRPr="0070729B">
              <w:rPr>
                <w:rFonts w:ascii="Verdana" w:hAnsi="Verdana" w:cs="Arial"/>
              </w:rPr>
              <w:t>Exp</w:t>
            </w:r>
            <w:proofErr w:type="spellEnd"/>
            <w:r w:rsidRPr="0070729B">
              <w:rPr>
                <w:rFonts w:ascii="Verdana" w:hAnsi="Verdana" w:cs="Arial"/>
              </w:rPr>
              <w:t>. 24.057. C</w:t>
            </w:r>
            <w:r>
              <w:rPr>
                <w:rFonts w:ascii="Verdana" w:hAnsi="Verdana" w:cs="Arial"/>
              </w:rPr>
              <w:t>.</w:t>
            </w:r>
            <w:r w:rsidRPr="0070729B">
              <w:rPr>
                <w:rFonts w:ascii="Verdana" w:hAnsi="Verdana" w:cs="Arial"/>
              </w:rPr>
              <w:t xml:space="preserve"> P: Olga </w:t>
            </w:r>
            <w:proofErr w:type="spellStart"/>
            <w:r w:rsidRPr="0070729B">
              <w:rPr>
                <w:rFonts w:ascii="Verdana" w:hAnsi="Verdana" w:cs="Arial"/>
              </w:rPr>
              <w:t>Melida</w:t>
            </w:r>
            <w:proofErr w:type="spellEnd"/>
            <w:r w:rsidRPr="0070729B">
              <w:rPr>
                <w:rFonts w:ascii="Verdana" w:hAnsi="Verdana" w:cs="Arial"/>
              </w:rPr>
              <w:t xml:space="preserve"> Valle De La Hoz.</w:t>
            </w:r>
          </w:p>
          <w:p w14:paraId="73AC7B11"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Corte Constitucional. Sentencia C-257 del 7 de mayo de 2013. M</w:t>
            </w:r>
            <w:r>
              <w:rPr>
                <w:rFonts w:ascii="Verdana" w:hAnsi="Verdana" w:cs="Arial"/>
              </w:rPr>
              <w:t>.</w:t>
            </w:r>
            <w:r w:rsidRPr="0070729B">
              <w:rPr>
                <w:rFonts w:ascii="Verdana" w:hAnsi="Verdana" w:cs="Arial"/>
              </w:rPr>
              <w:t>P: Jaime Córdoba Triviño</w:t>
            </w:r>
          </w:p>
          <w:p w14:paraId="3AFA365C" w14:textId="77777777" w:rsidR="00342217" w:rsidRPr="0070729B" w:rsidRDefault="00342217" w:rsidP="00342217">
            <w:pPr>
              <w:widowControl w:val="0"/>
              <w:numPr>
                <w:ilvl w:val="0"/>
                <w:numId w:val="17"/>
              </w:numPr>
              <w:autoSpaceDE w:val="0"/>
              <w:autoSpaceDN w:val="0"/>
              <w:spacing w:line="276" w:lineRule="auto"/>
              <w:contextualSpacing/>
              <w:jc w:val="both"/>
              <w:rPr>
                <w:rFonts w:ascii="Verdana" w:hAnsi="Verdana" w:cs="Arial"/>
              </w:rPr>
            </w:pPr>
            <w:r w:rsidRPr="0070729B">
              <w:rPr>
                <w:rFonts w:ascii="Verdana" w:hAnsi="Verdana" w:cs="Arial"/>
              </w:rPr>
              <w:t xml:space="preserve">GUASTINI, </w:t>
            </w:r>
            <w:proofErr w:type="spellStart"/>
            <w:r w:rsidRPr="0070729B">
              <w:rPr>
                <w:rFonts w:ascii="Verdana" w:hAnsi="Verdana" w:cs="Arial"/>
              </w:rPr>
              <w:t>Riccardo</w:t>
            </w:r>
            <w:proofErr w:type="spellEnd"/>
            <w:r w:rsidRPr="0070729B">
              <w:rPr>
                <w:rFonts w:ascii="Verdana" w:hAnsi="Verdana" w:cs="Arial"/>
              </w:rPr>
              <w:t>. Interpretar y argumentar. Madrid: Centro de Estudios Políticos y Constitucionales, 2017, p. 110.</w:t>
            </w:r>
          </w:p>
          <w:p w14:paraId="41B92B91" w14:textId="2C043294" w:rsidR="00C91AF4" w:rsidRPr="006E65CC" w:rsidRDefault="00342217" w:rsidP="00342217">
            <w:pPr>
              <w:pStyle w:val="Prrafodelista"/>
              <w:widowControl w:val="0"/>
              <w:autoSpaceDE w:val="0"/>
              <w:autoSpaceDN w:val="0"/>
              <w:ind w:left="714"/>
              <w:jc w:val="both"/>
              <w:rPr>
                <w:rFonts w:ascii="Verdana" w:hAnsi="Verdana" w:cs="Arial"/>
              </w:rPr>
            </w:pPr>
            <w:r w:rsidRPr="0070729B">
              <w:rPr>
                <w:rFonts w:ascii="Verdana" w:hAnsi="Verdana" w:cs="Arial"/>
              </w:rPr>
              <w:t>Corte Constitucional. Al respecto, puede verse la sentencia C-054 de 2016, M.P. Luis Ernesto Vargas Silva.</w:t>
            </w: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7FA69488" w:rsidR="00A64017" w:rsidRPr="002A22D8" w:rsidRDefault="00342217" w:rsidP="00A64017">
      <w:pPr>
        <w:widowControl w:val="0"/>
        <w:autoSpaceDE w:val="0"/>
        <w:autoSpaceDN w:val="0"/>
        <w:spacing w:after="0" w:line="276" w:lineRule="auto"/>
        <w:jc w:val="both"/>
        <w:rPr>
          <w:rFonts w:ascii="Verdana" w:hAnsi="Verdana" w:cs="Arial"/>
          <w:bCs/>
          <w:shd w:val="clear" w:color="auto" w:fill="FFFFFF"/>
        </w:rPr>
      </w:pPr>
      <w:r w:rsidRPr="00F668C2">
        <w:rPr>
          <w:rFonts w:ascii="Verdana" w:hAnsi="Verdana" w:cs="Arial"/>
        </w:rPr>
        <w:t>La Agencia Nacional de Contratación Pública – Colombia Compra Eficiente se ha pronunciado</w:t>
      </w:r>
      <w:r w:rsidRPr="00F668C2">
        <w:rPr>
          <w:rFonts w:ascii="Verdana" w:hAnsi="Verdana" w:cs="Arial"/>
          <w:shd w:val="clear" w:color="auto" w:fill="FFFFFF"/>
          <w:lang w:val="es-ES"/>
        </w:rPr>
        <w:t xml:space="preserve"> sobre</w:t>
      </w:r>
      <w:r>
        <w:rPr>
          <w:rFonts w:ascii="Verdana" w:hAnsi="Verdana" w:cs="Arial"/>
          <w:shd w:val="clear" w:color="auto" w:fill="FFFFFF"/>
          <w:lang w:val="es-ES"/>
        </w:rPr>
        <w:t xml:space="preserve"> las inhabilidades e incompatibilidades de los empleados públicos</w:t>
      </w:r>
      <w:r w:rsidRPr="00F668C2">
        <w:rPr>
          <w:rFonts w:ascii="Verdana" w:eastAsia="Century Gothic" w:hAnsi="Verdana" w:cs="Century Gothic"/>
          <w:color w:val="000000" w:themeColor="text1"/>
        </w:rPr>
        <w:t>,</w:t>
      </w:r>
      <w:r>
        <w:rPr>
          <w:rFonts w:ascii="Verdana" w:eastAsia="Century Gothic" w:hAnsi="Verdana" w:cs="Century Gothic"/>
          <w:color w:val="000000" w:themeColor="text1"/>
        </w:rPr>
        <w:t xml:space="preserve"> límites a la capacidad jurídica de los ex empleados públicos en los conceptos; </w:t>
      </w:r>
      <w:r w:rsidRPr="00BE151B">
        <w:rPr>
          <w:rFonts w:ascii="Verdana" w:eastAsia="Calibri" w:hAnsi="Verdana" w:cs="Arial"/>
        </w:rPr>
        <w:t xml:space="preserve">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w:t>
      </w:r>
      <w:r w:rsidRPr="00BE151B">
        <w:rPr>
          <w:rFonts w:ascii="Verdana" w:eastAsia="Calibri" w:hAnsi="Verdana" w:cs="Arial"/>
        </w:rPr>
        <w:lastRenderedPageBreak/>
        <w:t>del 5 de julio de 2023, C−010 del 31 de enero de 2024</w:t>
      </w:r>
      <w:r>
        <w:rPr>
          <w:rFonts w:ascii="Verdana" w:eastAsia="Calibri" w:hAnsi="Verdana" w:cs="Arial"/>
        </w:rPr>
        <w:t xml:space="preserve">, </w:t>
      </w:r>
      <w:r w:rsidRPr="00BE151B">
        <w:rPr>
          <w:rFonts w:ascii="Verdana" w:eastAsia="Calibri" w:hAnsi="Verdana" w:cs="Arial"/>
        </w:rPr>
        <w:t>C-039 del 23 de abril de 2024</w:t>
      </w:r>
      <w:r>
        <w:rPr>
          <w:rFonts w:ascii="Verdana" w:hAnsi="Verdana" w:cs="Arial"/>
        </w:rPr>
        <w:t>, C-624 del 30 de octubre de 2025 y C-887 del 15 de agosto de 2025</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B052C6"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158B7036" w:rsidR="00331CD0" w:rsidRDefault="00331CD0" w:rsidP="00A64017">
      <w:pPr>
        <w:spacing w:line="276" w:lineRule="auto"/>
        <w:jc w:val="center"/>
        <w:rPr>
          <w:noProof/>
        </w:rPr>
      </w:pPr>
    </w:p>
    <w:p w14:paraId="739D7CE1" w14:textId="0425345A" w:rsidR="00611FA8" w:rsidRDefault="00611FA8" w:rsidP="00A64017">
      <w:pPr>
        <w:spacing w:line="276" w:lineRule="auto"/>
        <w:jc w:val="center"/>
        <w:rPr>
          <w:noProof/>
        </w:rPr>
      </w:pPr>
      <w:r>
        <w:rPr>
          <w:noProof/>
        </w:rPr>
        <w:drawing>
          <wp:inline distT="0" distB="0" distL="0" distR="0" wp14:anchorId="3979CAED" wp14:editId="6BDBAA58">
            <wp:extent cx="2451106" cy="1052218"/>
            <wp:effectExtent l="0" t="0" r="6350" b="0"/>
            <wp:docPr id="15705400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60377" cy="1056198"/>
                    </a:xfrm>
                    <a:prstGeom prst="rect">
                      <a:avLst/>
                    </a:prstGeom>
                    <a:noFill/>
                    <a:ln>
                      <a:noFill/>
                    </a:ln>
                  </pic:spPr>
                </pic:pic>
              </a:graphicData>
            </a:graphic>
          </wp:inline>
        </w:drawing>
      </w:r>
    </w:p>
    <w:p w14:paraId="1D168B7C" w14:textId="20828FE1" w:rsidR="00331CD0" w:rsidRDefault="00331CD0"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2D93B" w14:textId="0AF32DE6" w:rsidR="00A64017" w:rsidRDefault="00A64017" w:rsidP="00A15B1F">
            <w:pPr>
              <w:spacing w:line="276" w:lineRule="auto"/>
              <w:contextualSpacing/>
              <w:jc w:val="both"/>
              <w:rPr>
                <w:rFonts w:ascii="Verdana" w:hAnsi="Verdana"/>
                <w:sz w:val="16"/>
                <w:szCs w:val="16"/>
              </w:rPr>
            </w:pPr>
            <w:r>
              <w:rPr>
                <w:rFonts w:ascii="Verdana" w:hAnsi="Verdana"/>
                <w:sz w:val="16"/>
                <w:szCs w:val="16"/>
              </w:rPr>
              <w:t>Diana Lucia Saavedra</w:t>
            </w:r>
            <w:r w:rsidR="00E25A6A">
              <w:rPr>
                <w:rFonts w:ascii="Verdana" w:hAnsi="Verdana"/>
                <w:sz w:val="16"/>
                <w:szCs w:val="16"/>
              </w:rPr>
              <w:t xml:space="preserve"> Castañeda</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B1DCE" w14:textId="77777777" w:rsidR="00B052C6" w:rsidRDefault="00B052C6" w:rsidP="004A1847">
      <w:pPr>
        <w:spacing w:after="0" w:line="240" w:lineRule="auto"/>
      </w:pPr>
      <w:r>
        <w:separator/>
      </w:r>
    </w:p>
  </w:endnote>
  <w:endnote w:type="continuationSeparator" w:id="0">
    <w:p w14:paraId="22FBF902" w14:textId="77777777" w:rsidR="00B052C6" w:rsidRDefault="00B052C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067D9" w14:textId="77777777" w:rsidR="00B052C6" w:rsidRDefault="00B052C6" w:rsidP="004A1847">
      <w:pPr>
        <w:spacing w:after="0" w:line="240" w:lineRule="auto"/>
      </w:pPr>
      <w:r>
        <w:separator/>
      </w:r>
    </w:p>
  </w:footnote>
  <w:footnote w:type="continuationSeparator" w:id="0">
    <w:p w14:paraId="083E91C7" w14:textId="77777777" w:rsidR="00B052C6" w:rsidRDefault="00B052C6" w:rsidP="004A1847">
      <w:pPr>
        <w:spacing w:after="0" w:line="240" w:lineRule="auto"/>
      </w:pPr>
      <w:r>
        <w:continuationSeparator/>
      </w:r>
    </w:p>
  </w:footnote>
  <w:footnote w:id="1">
    <w:p w14:paraId="6E93B866" w14:textId="77777777" w:rsidR="00FA0AFB" w:rsidRPr="0078715D" w:rsidRDefault="00FA0AFB" w:rsidP="00FA0AFB">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3416023D" w14:textId="77777777" w:rsidR="00FA0AFB" w:rsidRPr="0078715D" w:rsidRDefault="00FA0AFB" w:rsidP="00FA0AFB">
      <w:pPr>
        <w:pStyle w:val="Textonotapie"/>
        <w:ind w:firstLine="709"/>
        <w:jc w:val="both"/>
        <w:rPr>
          <w:rFonts w:ascii="Verdana" w:hAnsi="Verdana"/>
          <w:color w:val="000000"/>
          <w:sz w:val="16"/>
          <w:szCs w:val="16"/>
        </w:rPr>
      </w:pPr>
      <w:r w:rsidRPr="0078715D">
        <w:rPr>
          <w:rFonts w:ascii="Verdana" w:hAnsi="Verdana"/>
          <w:color w:val="000000"/>
          <w:sz w:val="16"/>
          <w:szCs w:val="16"/>
        </w:rPr>
        <w:t>Las personas jurídicas nacionales y extranjeras deberán acreditar que su duración no será inferior a la del plazo del contrato y un año más”.</w:t>
      </w:r>
    </w:p>
    <w:p w14:paraId="4B60A844" w14:textId="77777777" w:rsidR="00FA0AFB" w:rsidRPr="0078715D" w:rsidRDefault="00FA0AFB" w:rsidP="00FA0AFB">
      <w:pPr>
        <w:pStyle w:val="Textonotapie"/>
        <w:ind w:firstLine="709"/>
        <w:jc w:val="both"/>
        <w:rPr>
          <w:rFonts w:ascii="Verdana" w:hAnsi="Verdana"/>
          <w:color w:val="000000"/>
          <w:sz w:val="16"/>
          <w:szCs w:val="16"/>
        </w:rPr>
      </w:pPr>
    </w:p>
  </w:footnote>
  <w:footnote w:id="2">
    <w:p w14:paraId="562404D4" w14:textId="77777777" w:rsidR="00FA0AFB" w:rsidRPr="0078715D" w:rsidRDefault="00FA0AFB" w:rsidP="00FA0AFB">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3EDA27D6" w14:textId="77777777" w:rsidR="00FA0AFB" w:rsidRPr="0078715D" w:rsidRDefault="00FA0AFB" w:rsidP="00FA0AFB">
      <w:pPr>
        <w:pStyle w:val="Textonotapie"/>
        <w:ind w:firstLine="709"/>
        <w:jc w:val="both"/>
        <w:rPr>
          <w:rFonts w:ascii="Verdana" w:hAnsi="Verdana"/>
          <w:color w:val="000000"/>
          <w:sz w:val="16"/>
          <w:szCs w:val="16"/>
        </w:rPr>
      </w:pPr>
      <w:r w:rsidRPr="0078715D">
        <w:rPr>
          <w:rFonts w:ascii="Verdana" w:hAnsi="Verdana"/>
          <w:color w:val="000000"/>
          <w:sz w:val="16"/>
          <w:szCs w:val="16"/>
        </w:rPr>
        <w:t>1o.) que sea legalmente capaz.</w:t>
      </w:r>
    </w:p>
    <w:p w14:paraId="52370905" w14:textId="77777777" w:rsidR="00FA0AFB" w:rsidRPr="0078715D" w:rsidRDefault="00FA0AFB" w:rsidP="00FA0AFB">
      <w:pPr>
        <w:pStyle w:val="Textonotapie"/>
        <w:ind w:firstLine="709"/>
        <w:jc w:val="both"/>
        <w:rPr>
          <w:rFonts w:ascii="Verdana" w:hAnsi="Verdana"/>
          <w:color w:val="000000"/>
          <w:sz w:val="16"/>
          <w:szCs w:val="16"/>
        </w:rPr>
      </w:pPr>
      <w:r w:rsidRPr="0078715D">
        <w:rPr>
          <w:rFonts w:ascii="Verdana" w:hAnsi="Verdana"/>
          <w:color w:val="000000"/>
          <w:sz w:val="16"/>
          <w:szCs w:val="16"/>
        </w:rPr>
        <w:t>[…]</w:t>
      </w:r>
    </w:p>
    <w:p w14:paraId="2461DB36" w14:textId="77777777" w:rsidR="00FA0AFB" w:rsidRPr="0078715D" w:rsidRDefault="00FA0AFB" w:rsidP="00FA0AFB">
      <w:pPr>
        <w:pStyle w:val="Textonotapie"/>
        <w:ind w:firstLine="709"/>
        <w:jc w:val="both"/>
        <w:rPr>
          <w:rFonts w:ascii="Verdana" w:hAnsi="Verdana"/>
          <w:color w:val="000000"/>
          <w:sz w:val="16"/>
          <w:szCs w:val="16"/>
        </w:rPr>
      </w:pPr>
      <w:r w:rsidRPr="0078715D">
        <w:rPr>
          <w:rFonts w:ascii="Verdana" w:hAnsi="Verdana"/>
          <w:color w:val="000000"/>
          <w:sz w:val="16"/>
          <w:szCs w:val="16"/>
        </w:rPr>
        <w:t>La capacidad legal de una persona consiste en poderse obligar por sí misma, sin el</w:t>
      </w:r>
      <w:r w:rsidRPr="0078715D">
        <w:rPr>
          <w:rFonts w:ascii="Verdana" w:hAnsi="Verdana"/>
          <w:color w:val="000000"/>
          <w:sz w:val="16"/>
          <w:szCs w:val="16"/>
        </w:rPr>
        <w:t xml:space="preserve"> ministerio o la autorización de otra”.</w:t>
      </w:r>
    </w:p>
  </w:footnote>
  <w:footnote w:id="3">
    <w:p w14:paraId="59236AA7" w14:textId="77777777" w:rsidR="00FA0AFB" w:rsidRPr="0078715D" w:rsidRDefault="00FA0AFB" w:rsidP="00FA0AFB">
      <w:pPr>
        <w:pStyle w:val="Textonotapie"/>
        <w:ind w:firstLine="709"/>
        <w:jc w:val="both"/>
        <w:rPr>
          <w:rFonts w:ascii="Verdana" w:hAnsi="Verdana"/>
          <w:color w:val="000000"/>
          <w:sz w:val="16"/>
          <w:szCs w:val="16"/>
        </w:rPr>
      </w:pPr>
    </w:p>
    <w:p w14:paraId="3EBF5FCF"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Los incisos 1 y 2 de dicho artículo disponen: </w:t>
      </w:r>
      <w:r w:rsidRPr="0078715D">
        <w:rPr>
          <w:rFonts w:ascii="Verdana" w:hAnsi="Verdana"/>
          <w:color w:val="000000"/>
          <w:sz w:val="16"/>
          <w:szCs w:val="16"/>
          <w:lang w:val="es-ES"/>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ECB6B8E"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Fonts w:ascii="Verdana" w:hAnsi="Verdana"/>
          <w:color w:val="000000"/>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CE9FAE1" w14:textId="77777777" w:rsidR="00FA0AFB" w:rsidRPr="0078715D" w:rsidRDefault="00FA0AFB" w:rsidP="00FA0AFB">
      <w:pPr>
        <w:pStyle w:val="Textonotapie"/>
        <w:ind w:firstLine="709"/>
        <w:jc w:val="both"/>
        <w:rPr>
          <w:rFonts w:ascii="Verdana" w:hAnsi="Verdana"/>
          <w:color w:val="000000"/>
          <w:sz w:val="16"/>
          <w:szCs w:val="16"/>
        </w:rPr>
      </w:pPr>
    </w:p>
  </w:footnote>
  <w:footnote w:id="4">
    <w:p w14:paraId="674A70D6"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8715D">
        <w:rPr>
          <w:rFonts w:ascii="Verdana" w:hAnsi="Verdana"/>
          <w:i/>
          <w:color w:val="000000"/>
          <w:sz w:val="16"/>
          <w:szCs w:val="16"/>
          <w:lang w:val="es-ES"/>
        </w:rPr>
        <w:t>el régimen de inhabilidades e incompatibilidades</w:t>
      </w:r>
      <w:r w:rsidRPr="0078715D">
        <w:rPr>
          <w:rFonts w:ascii="Verdana" w:hAnsi="Verdana"/>
          <w:color w:val="000000"/>
          <w:sz w:val="16"/>
          <w:szCs w:val="16"/>
          <w:lang w:val="es-ES"/>
        </w:rPr>
        <w:t xml:space="preserve"> (1) y la obligación de ciertos proponentes de inscribirse en el </w:t>
      </w:r>
      <w:r w:rsidRPr="0078715D">
        <w:rPr>
          <w:rFonts w:ascii="Verdana" w:hAnsi="Verdana"/>
          <w:i/>
          <w:color w:val="000000"/>
          <w:sz w:val="16"/>
          <w:szCs w:val="16"/>
          <w:lang w:val="es-ES"/>
        </w:rPr>
        <w:t>registro único</w:t>
      </w:r>
      <w:r w:rsidRPr="0078715D">
        <w:rPr>
          <w:rFonts w:ascii="Verdana" w:hAnsi="Verdana"/>
          <w:color w:val="000000"/>
          <w:sz w:val="16"/>
          <w:szCs w:val="16"/>
          <w:lang w:val="es-ES"/>
        </w:rPr>
        <w:t xml:space="preserve"> (2)” (BENAVIDES, José Luis. El contrato estatal. Entre el Derecho público y el Derecho privado. 2ª ed. Bogotá: Universidad Externado de Colombia, 2004. p. 278). </w:t>
      </w:r>
    </w:p>
    <w:p w14:paraId="2DD7BF8C"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5">
    <w:p w14:paraId="48DC36B9" w14:textId="77777777" w:rsidR="00FA0AFB" w:rsidRPr="0078715D" w:rsidRDefault="00FA0AFB" w:rsidP="00FA0AFB">
      <w:pPr>
        <w:ind w:firstLine="709"/>
        <w:jc w:val="both"/>
        <w:rPr>
          <w:rFonts w:ascii="Verdana" w:hAnsi="Verdana" w:cs="Arial"/>
          <w:color w:val="000000"/>
          <w:sz w:val="16"/>
          <w:szCs w:val="16"/>
          <w:lang w:val="es-ES"/>
        </w:rPr>
      </w:pPr>
      <w:r w:rsidRPr="0078715D">
        <w:rPr>
          <w:rStyle w:val="Refdenotaalpie"/>
          <w:rFonts w:ascii="Verdana" w:hAnsi="Verdana" w:cs="Arial"/>
          <w:color w:val="000000"/>
          <w:sz w:val="16"/>
          <w:szCs w:val="16"/>
        </w:rPr>
        <w:footnoteRef/>
      </w:r>
      <w:r w:rsidRPr="0078715D">
        <w:rPr>
          <w:rFonts w:ascii="Verdana" w:hAnsi="Verdana" w:cs="Arial"/>
          <w:color w:val="000000"/>
          <w:sz w:val="16"/>
          <w:szCs w:val="16"/>
        </w:rPr>
        <w:t xml:space="preserve"> </w:t>
      </w:r>
      <w:r w:rsidRPr="0078715D">
        <w:rPr>
          <w:rFonts w:ascii="Verdana" w:hAnsi="Verdana" w:cs="Arial"/>
          <w:color w:val="000000"/>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footnote>
  <w:footnote w:id="6">
    <w:p w14:paraId="432C4161"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3D50ED7"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7">
    <w:p w14:paraId="6FA71775"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783BDD09"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8">
    <w:p w14:paraId="2B9B9416" w14:textId="77777777" w:rsidR="00FA0AFB" w:rsidRPr="0078715D" w:rsidRDefault="00FA0AFB" w:rsidP="00FA0AFB">
      <w:pPr>
        <w:ind w:firstLine="709"/>
        <w:jc w:val="both"/>
        <w:rPr>
          <w:rFonts w:ascii="Verdana" w:hAnsi="Verdana" w:cs="Arial"/>
          <w:color w:val="000000"/>
          <w:sz w:val="16"/>
          <w:szCs w:val="16"/>
          <w:lang w:val="es-ES"/>
        </w:rPr>
      </w:pPr>
      <w:r w:rsidRPr="0078715D">
        <w:rPr>
          <w:rStyle w:val="Refdenotaalpie"/>
          <w:rFonts w:ascii="Verdana" w:hAnsi="Verdana" w:cs="Arial"/>
          <w:color w:val="000000"/>
          <w:sz w:val="16"/>
          <w:szCs w:val="16"/>
        </w:rPr>
        <w:footnoteRef/>
      </w:r>
      <w:r w:rsidRPr="0078715D">
        <w:rPr>
          <w:rFonts w:ascii="Verdana" w:hAnsi="Verdana" w:cs="Arial"/>
          <w:color w:val="000000"/>
          <w:sz w:val="16"/>
          <w:szCs w:val="16"/>
        </w:rPr>
        <w:t xml:space="preserve"> </w:t>
      </w:r>
      <w:r w:rsidRPr="0078715D">
        <w:rPr>
          <w:rFonts w:ascii="Verdana" w:hAnsi="Verdana" w:cs="Arial"/>
          <w:color w:val="000000"/>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9">
    <w:p w14:paraId="0A8CE68A"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5A74E7BD"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10">
    <w:p w14:paraId="51EB32EC"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Ibíd., p. 69.</w:t>
      </w:r>
    </w:p>
  </w:footnote>
  <w:footnote w:id="11">
    <w:p w14:paraId="470D6BD7" w14:textId="77777777" w:rsidR="00FA0AFB" w:rsidRPr="0078715D" w:rsidRDefault="00FA0AFB" w:rsidP="00FA0AFB">
      <w:pPr>
        <w:pStyle w:val="Textonotapie"/>
        <w:ind w:firstLine="709"/>
        <w:jc w:val="both"/>
        <w:rPr>
          <w:rFonts w:ascii="Verdana" w:hAnsi="Verdana"/>
          <w:color w:val="000000"/>
          <w:sz w:val="16"/>
          <w:szCs w:val="16"/>
        </w:rPr>
      </w:pPr>
    </w:p>
    <w:p w14:paraId="68EEE45B"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2">
    <w:p w14:paraId="2FBB5B50" w14:textId="77777777" w:rsidR="00FA0AFB" w:rsidRPr="0078715D" w:rsidRDefault="00FA0AFB" w:rsidP="00FA0AFB">
      <w:pPr>
        <w:pStyle w:val="Textonotapie"/>
        <w:ind w:firstLine="709"/>
        <w:jc w:val="both"/>
        <w:rPr>
          <w:rFonts w:ascii="Verdana" w:hAnsi="Verdana"/>
          <w:color w:val="000000"/>
          <w:sz w:val="16"/>
          <w:szCs w:val="16"/>
          <w:lang w:val="es-ES"/>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w:t>
      </w:r>
      <w:r w:rsidRPr="0078715D">
        <w:rPr>
          <w:rFonts w:ascii="Verdana" w:hAnsi="Verdana"/>
          <w:color w:val="000000"/>
          <w:sz w:val="16"/>
          <w:szCs w:val="16"/>
          <w:lang w:val="es-ES"/>
        </w:rPr>
        <w:t>Consejo de Estado. Sala de Consulta y Servicio Civil. Concepto del 30 de abril de 2015. Expediente: 2.251. Consejero Ponente: Álvaro Namén Vargas.</w:t>
      </w:r>
    </w:p>
    <w:p w14:paraId="41AAE740"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13">
    <w:p w14:paraId="54765E43" w14:textId="77777777" w:rsidR="00FA0AFB" w:rsidRPr="0078715D" w:rsidRDefault="00FA0AFB" w:rsidP="00FA0AFB">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Consejo de Estado. Sección Tercera. Subsección A. Sentencia del 24 de junio de 2015. Exp. 40.635. Consejero Ponente: Hernán Andrade Rincón (E).</w:t>
      </w:r>
    </w:p>
    <w:p w14:paraId="5C0B0C47" w14:textId="77777777" w:rsidR="00FA0AFB" w:rsidRPr="0078715D" w:rsidRDefault="00FA0AFB" w:rsidP="00FA0AFB">
      <w:pPr>
        <w:pStyle w:val="Textonotapie"/>
        <w:ind w:firstLine="709"/>
        <w:jc w:val="both"/>
        <w:rPr>
          <w:rFonts w:ascii="Verdana" w:hAnsi="Verdana"/>
          <w:color w:val="000000"/>
          <w:sz w:val="16"/>
          <w:szCs w:val="16"/>
        </w:rPr>
      </w:pPr>
    </w:p>
  </w:footnote>
  <w:footnote w:id="14">
    <w:p w14:paraId="2EE2D4C3" w14:textId="77777777" w:rsidR="00FA0AFB" w:rsidRPr="0078715D" w:rsidRDefault="00FA0AFB" w:rsidP="00FA0AFB">
      <w:pPr>
        <w:pStyle w:val="Textonotapie"/>
        <w:ind w:firstLine="709"/>
        <w:jc w:val="both"/>
        <w:rPr>
          <w:rFonts w:ascii="Verdana" w:hAnsi="Verdana"/>
          <w:color w:val="000000"/>
          <w:sz w:val="16"/>
          <w:szCs w:val="16"/>
        </w:rPr>
      </w:pPr>
      <w:r w:rsidRPr="0078715D">
        <w:rPr>
          <w:rStyle w:val="Refdenotaalpie"/>
          <w:rFonts w:ascii="Verdana" w:hAnsi="Verdana"/>
          <w:color w:val="000000"/>
          <w:sz w:val="16"/>
          <w:szCs w:val="16"/>
        </w:rPr>
        <w:footnoteRef/>
      </w:r>
      <w:r w:rsidRPr="0078715D">
        <w:rPr>
          <w:rFonts w:ascii="Verdana" w:hAnsi="Verdana"/>
          <w:color w:val="000000"/>
          <w:sz w:val="16"/>
          <w:szCs w:val="16"/>
        </w:rPr>
        <w:t xml:space="preserve"> Consejo de Estado. Sección Tercera. Subsección C. Sentencia del 22 de mayo de 2013. Exp. 24.057. Consejera Ponente: Olga Melida Valle De De La Hoz.</w:t>
      </w:r>
    </w:p>
    <w:p w14:paraId="4F0915EE" w14:textId="77777777" w:rsidR="00FA0AFB" w:rsidRPr="0078715D" w:rsidRDefault="00FA0AFB" w:rsidP="00FA0AFB">
      <w:pPr>
        <w:pStyle w:val="Textonotapie"/>
        <w:ind w:firstLine="709"/>
        <w:jc w:val="both"/>
        <w:rPr>
          <w:rFonts w:ascii="Verdana" w:hAnsi="Verdana"/>
          <w:color w:val="000000"/>
          <w:sz w:val="16"/>
          <w:szCs w:val="16"/>
          <w:lang w:val="es-ES"/>
        </w:rPr>
      </w:pPr>
    </w:p>
  </w:footnote>
  <w:footnote w:id="15">
    <w:p w14:paraId="2A9B242D" w14:textId="77777777" w:rsidR="00FA0AFB" w:rsidRPr="0078715D" w:rsidRDefault="00FA0AFB" w:rsidP="00FA0AFB">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Magistrado Ponente: Jaime Córdoba Triviño.</w:t>
      </w:r>
    </w:p>
  </w:footnote>
  <w:footnote w:id="16">
    <w:p w14:paraId="1CC7AE96" w14:textId="77777777" w:rsidR="00FA0AFB" w:rsidRPr="0078715D" w:rsidRDefault="00FA0AFB" w:rsidP="00FA0AFB">
      <w:pPr>
        <w:pStyle w:val="Textonotapie"/>
        <w:jc w:val="both"/>
        <w:rPr>
          <w:rFonts w:ascii="Verdana" w:hAnsi="Verdana"/>
          <w:sz w:val="16"/>
          <w:szCs w:val="16"/>
        </w:rPr>
      </w:pPr>
    </w:p>
    <w:p w14:paraId="33817AF9" w14:textId="77777777" w:rsidR="00FA0AFB" w:rsidRPr="0078715D" w:rsidRDefault="00FA0AFB" w:rsidP="00FA0AFB">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Ibíd.</w:t>
      </w:r>
    </w:p>
    <w:p w14:paraId="09576B11" w14:textId="77777777" w:rsidR="00FA0AFB" w:rsidRPr="0078715D" w:rsidRDefault="00FA0AFB" w:rsidP="00FA0AFB">
      <w:pPr>
        <w:pStyle w:val="Textonotapie"/>
        <w:ind w:firstLine="709"/>
        <w:jc w:val="both"/>
        <w:rPr>
          <w:rFonts w:ascii="Verdana" w:hAnsi="Verdana"/>
          <w:sz w:val="16"/>
          <w:szCs w:val="16"/>
          <w:lang w:val="es-ES"/>
        </w:rPr>
      </w:pPr>
    </w:p>
  </w:footnote>
  <w:footnote w:id="17">
    <w:p w14:paraId="79B31F06" w14:textId="77777777" w:rsidR="00FA0AFB" w:rsidRPr="0078715D" w:rsidRDefault="00FA0AFB" w:rsidP="00FA0AFB">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GUASTINI, Riccardo. Interpretar y argumentar. Madrid: Centro de Estudios Políticos y Constitucionales, 2017, p. 110.</w:t>
      </w:r>
    </w:p>
  </w:footnote>
  <w:footnote w:id="18">
    <w:p w14:paraId="67BA1DB1" w14:textId="77777777" w:rsidR="00FA0AFB" w:rsidRPr="0078715D" w:rsidRDefault="00FA0AFB" w:rsidP="00FA0AFB">
      <w:pPr>
        <w:pStyle w:val="Textonotapie"/>
        <w:jc w:val="both"/>
        <w:rPr>
          <w:rFonts w:ascii="Verdana" w:hAnsi="Verdana"/>
          <w:sz w:val="16"/>
          <w:szCs w:val="16"/>
        </w:rPr>
      </w:pPr>
    </w:p>
    <w:p w14:paraId="6A11FA85" w14:textId="77777777" w:rsidR="00FA0AFB" w:rsidRPr="0078715D" w:rsidRDefault="00FA0AFB" w:rsidP="00FA0AFB">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110.</w:t>
      </w:r>
    </w:p>
    <w:p w14:paraId="4EC4BDBF" w14:textId="77777777" w:rsidR="00FA0AFB" w:rsidRPr="0078715D" w:rsidRDefault="00FA0AFB" w:rsidP="00FA0AFB">
      <w:pPr>
        <w:pStyle w:val="Textonotapie"/>
        <w:ind w:firstLine="709"/>
        <w:jc w:val="both"/>
        <w:rPr>
          <w:rFonts w:ascii="Verdana" w:hAnsi="Verdana"/>
          <w:sz w:val="16"/>
          <w:szCs w:val="16"/>
        </w:rPr>
      </w:pPr>
    </w:p>
  </w:footnote>
  <w:footnote w:id="19">
    <w:p w14:paraId="6CB024C5" w14:textId="77777777" w:rsidR="00FA0AFB" w:rsidRPr="0078715D" w:rsidRDefault="00FA0AFB" w:rsidP="00FA0AFB">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110.</w:t>
      </w:r>
    </w:p>
  </w:footnote>
  <w:footnote w:id="20">
    <w:p w14:paraId="3C7F9858" w14:textId="77777777" w:rsidR="00FA0AFB" w:rsidRPr="0078715D" w:rsidRDefault="00FA0AFB" w:rsidP="00FA0AFB">
      <w:pPr>
        <w:pStyle w:val="Textonotapie"/>
        <w:ind w:firstLine="709"/>
        <w:jc w:val="both"/>
        <w:rPr>
          <w:rFonts w:ascii="Verdana" w:hAnsi="Verdana"/>
          <w:sz w:val="16"/>
          <w:szCs w:val="16"/>
        </w:rPr>
      </w:pPr>
    </w:p>
    <w:p w14:paraId="06044EB3" w14:textId="77777777" w:rsidR="00FA0AFB" w:rsidRPr="0078715D" w:rsidRDefault="00FA0AFB" w:rsidP="00FA0AFB">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Ibíd., p. 290.</w:t>
      </w:r>
    </w:p>
    <w:p w14:paraId="6E4BDDA0" w14:textId="77777777" w:rsidR="00FA0AFB" w:rsidRPr="0078715D" w:rsidRDefault="00FA0AFB" w:rsidP="00FA0AFB">
      <w:pPr>
        <w:pStyle w:val="Textonotapie"/>
        <w:ind w:firstLine="709"/>
        <w:jc w:val="both"/>
        <w:rPr>
          <w:rFonts w:ascii="Verdana" w:hAnsi="Verdana"/>
          <w:sz w:val="16"/>
          <w:szCs w:val="16"/>
        </w:rPr>
      </w:pPr>
    </w:p>
  </w:footnote>
  <w:footnote w:id="21">
    <w:p w14:paraId="6F823098" w14:textId="77777777" w:rsidR="00FA0AFB" w:rsidRPr="0078715D" w:rsidRDefault="00FA0AFB" w:rsidP="00FA0AFB">
      <w:pPr>
        <w:pStyle w:val="Textonotapie"/>
        <w:ind w:firstLine="709"/>
        <w:jc w:val="both"/>
        <w:rPr>
          <w:rFonts w:ascii="Verdana" w:hAnsi="Verdana"/>
          <w:sz w:val="16"/>
          <w:szCs w:val="16"/>
        </w:rPr>
      </w:pPr>
      <w:r w:rsidRPr="0078715D">
        <w:rPr>
          <w:rStyle w:val="Refdenotaalpie"/>
          <w:rFonts w:ascii="Verdana" w:hAnsi="Verdana"/>
          <w:sz w:val="16"/>
          <w:szCs w:val="16"/>
        </w:rPr>
        <w:footnoteRef/>
      </w:r>
      <w:r w:rsidRPr="0078715D">
        <w:rPr>
          <w:rFonts w:ascii="Verdana" w:hAnsi="Verdana"/>
          <w:sz w:val="16"/>
          <w:szCs w:val="16"/>
        </w:rPr>
        <w:t xml:space="preserve"> Este criterio también ha sido admitido por la Corte Constitucional. Al respecto, puede verse la sentencia C-054 de 2016, M.P. Luis Ernesto Vargas Silva.</w:t>
      </w:r>
    </w:p>
  </w:footnote>
  <w:footnote w:id="22">
    <w:p w14:paraId="708F1F97" w14:textId="77777777" w:rsidR="00FA0AFB" w:rsidRPr="0078715D" w:rsidRDefault="00FA0AFB" w:rsidP="00FA0AFB">
      <w:pPr>
        <w:pStyle w:val="Textonotapie"/>
        <w:jc w:val="both"/>
        <w:rPr>
          <w:rFonts w:ascii="Verdana" w:hAnsi="Verdana"/>
          <w:sz w:val="16"/>
          <w:szCs w:val="16"/>
        </w:rPr>
      </w:pPr>
    </w:p>
    <w:p w14:paraId="3DBBE51B" w14:textId="77777777" w:rsidR="00FA0AFB" w:rsidRPr="0078715D" w:rsidRDefault="00FA0AFB" w:rsidP="00FA0AFB">
      <w:pPr>
        <w:pStyle w:val="Textonotapie"/>
        <w:ind w:firstLine="709"/>
        <w:jc w:val="both"/>
        <w:rPr>
          <w:rFonts w:ascii="Verdana" w:hAnsi="Verdana"/>
          <w:sz w:val="16"/>
          <w:szCs w:val="16"/>
          <w:lang w:val="es-CO"/>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La causal prevista en el literal e) del numeral 2 del artículo 8 de la Ley 80 de 1993 dispone que tampoco podrán participar en procedimientos de selección ni celebrar contratos estatales: “</w:t>
      </w:r>
      <w:r w:rsidRPr="0078715D">
        <w:rPr>
          <w:rFonts w:ascii="Verdana" w:hAnsi="Verdana"/>
          <w:sz w:val="16"/>
          <w:szCs w:val="16"/>
          <w:lang w:val="es-CO"/>
        </w:rPr>
        <w:t>Los miembros de las juntas o consejos directivos. Esta incompatibilidad sólo se predica respecto de la entidad a la cual prestan sus servicios y de las del sector administrativo al que la misma esté adscrita o vinculada”.</w:t>
      </w:r>
    </w:p>
    <w:p w14:paraId="6C512362" w14:textId="77777777" w:rsidR="00FA0AFB" w:rsidRPr="0078715D" w:rsidRDefault="00FA0AFB" w:rsidP="00FA0AFB">
      <w:pPr>
        <w:pStyle w:val="Textonotapie"/>
        <w:ind w:firstLine="709"/>
        <w:jc w:val="both"/>
        <w:rPr>
          <w:rFonts w:ascii="Verdana" w:hAnsi="Verdana"/>
          <w:sz w:val="16"/>
          <w:szCs w:val="16"/>
          <w:lang w:val="es-CO"/>
        </w:rPr>
      </w:pPr>
    </w:p>
  </w:footnote>
  <w:footnote w:id="23">
    <w:p w14:paraId="7FC759FD" w14:textId="77777777" w:rsidR="00FA0AFB" w:rsidRPr="0078715D" w:rsidRDefault="00FA0AFB" w:rsidP="00FA0AFB">
      <w:pPr>
        <w:pStyle w:val="Textonotapie"/>
        <w:ind w:firstLine="709"/>
        <w:jc w:val="both"/>
        <w:rPr>
          <w:rFonts w:ascii="Verdana" w:hAnsi="Verdana"/>
          <w:sz w:val="16"/>
          <w:szCs w:val="16"/>
          <w:lang w:val="es-ES"/>
        </w:rPr>
      </w:pPr>
      <w:r w:rsidRPr="0078715D">
        <w:rPr>
          <w:rStyle w:val="Refdenotaalpie"/>
          <w:rFonts w:ascii="Verdana" w:hAnsi="Verdana"/>
          <w:sz w:val="16"/>
          <w:szCs w:val="16"/>
        </w:rPr>
        <w:footnoteRef/>
      </w:r>
      <w:r w:rsidRPr="0078715D">
        <w:rPr>
          <w:rFonts w:ascii="Verdana" w:hAnsi="Verdana"/>
          <w:sz w:val="16"/>
          <w:szCs w:val="16"/>
        </w:rPr>
        <w:t xml:space="preserve"> </w:t>
      </w:r>
      <w:r w:rsidRPr="0078715D">
        <w:rPr>
          <w:rFonts w:ascii="Verdana" w:hAnsi="Verdana"/>
          <w:sz w:val="16"/>
          <w:szCs w:val="16"/>
          <w:lang w:val="es-ES"/>
        </w:rPr>
        <w:t xml:space="preserve">Esta interpretación ha sido sostenida por la doctrina, al afirmar que el artículo 4 de la Ley 1474 de 2011 extendió la causal prevista en el artículo 8, numeral 2, literal a) de la Ley 80 de 1993 “[…] hasta dos años para contratos que tengan por objeto asuntos relacionados con el sector al cual prestaron sus servicios las personas que ocuparon cargos del nivel directivo exclusivamente, </w:t>
      </w:r>
      <w:r w:rsidRPr="0078715D">
        <w:rPr>
          <w:rFonts w:ascii="Verdana" w:hAnsi="Verdana"/>
          <w:i/>
          <w:sz w:val="16"/>
          <w:szCs w:val="16"/>
          <w:lang w:val="es-ES"/>
        </w:rPr>
        <w:t>entendiéndose por tal la concepción que se hizo en el anterior numeral cuando nos referíamos a lo que abarca el sector administrativo para efectos de la aplicación del literal e)</w:t>
      </w:r>
      <w:r w:rsidRPr="0078715D">
        <w:rPr>
          <w:rFonts w:ascii="Verdana" w:hAnsi="Verdana"/>
          <w:sz w:val="16"/>
          <w:szCs w:val="16"/>
          <w:lang w:val="es-ES"/>
        </w:rPr>
        <w:t>, numeral 2 del artículo 8º de la Ley 80 de 1993. Es decir, que el ex gerente del SENA, no podría suscribir ningún contrato con esa entidad ni con ninguna de las adscritas o vinculadas al Ministerio de Trabajo ni con este. […]” [énfasis fuera del texto original] (DÁVILA VINUEZA. Luis Guillermo. Régimen jurídico de la contratación estatal. 3ª ed. Bogotá: Legis, 2016. p. 192). Obsérvese que este autor interpreta el concepto de “sector”, contenido en el literal f), de la misma manera que en el literal e) es decir, como “sector administrativo”. Por otra parte, el ejemplo que brinda sobre la aplicación de la causal en el sector administrativo se refiere a entidades nacionales.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7"/>
  </w:num>
  <w:num w:numId="8">
    <w:abstractNumId w:val="16"/>
  </w:num>
  <w:num w:numId="9">
    <w:abstractNumId w:val="10"/>
  </w:num>
  <w:num w:numId="10">
    <w:abstractNumId w:val="15"/>
  </w:num>
  <w:num w:numId="11">
    <w:abstractNumId w:val="11"/>
  </w:num>
  <w:num w:numId="12">
    <w:abstractNumId w:val="1"/>
  </w:num>
  <w:num w:numId="13">
    <w:abstractNumId w:val="5"/>
  </w:num>
  <w:num w:numId="14">
    <w:abstractNumId w:val="18"/>
  </w:num>
  <w:num w:numId="15">
    <w:abstractNumId w:val="13"/>
  </w:num>
  <w:num w:numId="16">
    <w:abstractNumId w:val="0"/>
  </w:num>
  <w:num w:numId="17">
    <w:abstractNumId w:val="12"/>
  </w:num>
  <w:num w:numId="18">
    <w:abstractNumId w:val="3"/>
  </w:num>
  <w:num w:numId="19">
    <w:abstractNumId w:val="9"/>
  </w:num>
  <w:num w:numId="20">
    <w:abstractNumId w:val="4"/>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82362"/>
    <w:rsid w:val="0008627A"/>
    <w:rsid w:val="000A683E"/>
    <w:rsid w:val="000B19B9"/>
    <w:rsid w:val="000B4FA5"/>
    <w:rsid w:val="000B5583"/>
    <w:rsid w:val="000D0334"/>
    <w:rsid w:val="000F2222"/>
    <w:rsid w:val="000F6486"/>
    <w:rsid w:val="00103B90"/>
    <w:rsid w:val="00125105"/>
    <w:rsid w:val="00127233"/>
    <w:rsid w:val="0013630D"/>
    <w:rsid w:val="001511A0"/>
    <w:rsid w:val="00194937"/>
    <w:rsid w:val="001D1756"/>
    <w:rsid w:val="001E4177"/>
    <w:rsid w:val="001F663F"/>
    <w:rsid w:val="001F7DC6"/>
    <w:rsid w:val="00203306"/>
    <w:rsid w:val="00203E0B"/>
    <w:rsid w:val="00205479"/>
    <w:rsid w:val="00215206"/>
    <w:rsid w:val="002316DB"/>
    <w:rsid w:val="00240FC9"/>
    <w:rsid w:val="002421BB"/>
    <w:rsid w:val="00242FED"/>
    <w:rsid w:val="0025796E"/>
    <w:rsid w:val="002707A2"/>
    <w:rsid w:val="00274CA6"/>
    <w:rsid w:val="002951A0"/>
    <w:rsid w:val="002962BC"/>
    <w:rsid w:val="002A093D"/>
    <w:rsid w:val="002A0DD0"/>
    <w:rsid w:val="002A128A"/>
    <w:rsid w:val="002A22D8"/>
    <w:rsid w:val="002A49AC"/>
    <w:rsid w:val="002A64FD"/>
    <w:rsid w:val="002A7DD8"/>
    <w:rsid w:val="002C0393"/>
    <w:rsid w:val="002C7A84"/>
    <w:rsid w:val="002E4FD9"/>
    <w:rsid w:val="00302C65"/>
    <w:rsid w:val="00310DA4"/>
    <w:rsid w:val="00322A85"/>
    <w:rsid w:val="00323054"/>
    <w:rsid w:val="00324168"/>
    <w:rsid w:val="00324E0B"/>
    <w:rsid w:val="00331CD0"/>
    <w:rsid w:val="00342217"/>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722E"/>
    <w:rsid w:val="0044528D"/>
    <w:rsid w:val="00487F18"/>
    <w:rsid w:val="0049089A"/>
    <w:rsid w:val="00493AF3"/>
    <w:rsid w:val="004A1847"/>
    <w:rsid w:val="004A305D"/>
    <w:rsid w:val="004B50C2"/>
    <w:rsid w:val="004C63BA"/>
    <w:rsid w:val="004D2AAA"/>
    <w:rsid w:val="004F21C4"/>
    <w:rsid w:val="004F685F"/>
    <w:rsid w:val="00500848"/>
    <w:rsid w:val="005566E8"/>
    <w:rsid w:val="00567040"/>
    <w:rsid w:val="0057166B"/>
    <w:rsid w:val="00574867"/>
    <w:rsid w:val="005806A6"/>
    <w:rsid w:val="00591460"/>
    <w:rsid w:val="005B3816"/>
    <w:rsid w:val="005B3FB2"/>
    <w:rsid w:val="005B65F1"/>
    <w:rsid w:val="005C3777"/>
    <w:rsid w:val="005C5CDC"/>
    <w:rsid w:val="005C7DAB"/>
    <w:rsid w:val="005D476C"/>
    <w:rsid w:val="005F5058"/>
    <w:rsid w:val="00611FA8"/>
    <w:rsid w:val="0061329B"/>
    <w:rsid w:val="006219F8"/>
    <w:rsid w:val="00631045"/>
    <w:rsid w:val="00637BBF"/>
    <w:rsid w:val="00665D70"/>
    <w:rsid w:val="00675FED"/>
    <w:rsid w:val="0068074B"/>
    <w:rsid w:val="006900D9"/>
    <w:rsid w:val="006905C0"/>
    <w:rsid w:val="006B2C02"/>
    <w:rsid w:val="006D7121"/>
    <w:rsid w:val="00706C16"/>
    <w:rsid w:val="0072552A"/>
    <w:rsid w:val="0073141C"/>
    <w:rsid w:val="00756841"/>
    <w:rsid w:val="00763E4A"/>
    <w:rsid w:val="007649AB"/>
    <w:rsid w:val="00771D0C"/>
    <w:rsid w:val="007733E9"/>
    <w:rsid w:val="00782CD7"/>
    <w:rsid w:val="007833AC"/>
    <w:rsid w:val="007B268C"/>
    <w:rsid w:val="007B7171"/>
    <w:rsid w:val="007C0C0F"/>
    <w:rsid w:val="007C3DC2"/>
    <w:rsid w:val="007E5497"/>
    <w:rsid w:val="007F332E"/>
    <w:rsid w:val="007F7470"/>
    <w:rsid w:val="00806F5F"/>
    <w:rsid w:val="00820278"/>
    <w:rsid w:val="00826A46"/>
    <w:rsid w:val="00832E68"/>
    <w:rsid w:val="00836334"/>
    <w:rsid w:val="00847C37"/>
    <w:rsid w:val="00853C28"/>
    <w:rsid w:val="00862660"/>
    <w:rsid w:val="00867F95"/>
    <w:rsid w:val="008843B6"/>
    <w:rsid w:val="00891928"/>
    <w:rsid w:val="008A30DF"/>
    <w:rsid w:val="008A446D"/>
    <w:rsid w:val="008B22D4"/>
    <w:rsid w:val="008B5BD4"/>
    <w:rsid w:val="008D180B"/>
    <w:rsid w:val="008E2432"/>
    <w:rsid w:val="008F0EA7"/>
    <w:rsid w:val="00916515"/>
    <w:rsid w:val="00923EEF"/>
    <w:rsid w:val="00927EF1"/>
    <w:rsid w:val="0093441F"/>
    <w:rsid w:val="009419F9"/>
    <w:rsid w:val="009552F8"/>
    <w:rsid w:val="0095685E"/>
    <w:rsid w:val="00961B09"/>
    <w:rsid w:val="00964DAB"/>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81AFE"/>
    <w:rsid w:val="00AA1AB8"/>
    <w:rsid w:val="00AB0ADB"/>
    <w:rsid w:val="00AC19F6"/>
    <w:rsid w:val="00AD1D1F"/>
    <w:rsid w:val="00B01B1A"/>
    <w:rsid w:val="00B023E1"/>
    <w:rsid w:val="00B0429C"/>
    <w:rsid w:val="00B052C6"/>
    <w:rsid w:val="00B23BA1"/>
    <w:rsid w:val="00B2560E"/>
    <w:rsid w:val="00B350FE"/>
    <w:rsid w:val="00B403F3"/>
    <w:rsid w:val="00B41E30"/>
    <w:rsid w:val="00B45CE8"/>
    <w:rsid w:val="00B54B1C"/>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08E9"/>
    <w:rsid w:val="00CC1B26"/>
    <w:rsid w:val="00CE429E"/>
    <w:rsid w:val="00CE58F3"/>
    <w:rsid w:val="00D3590B"/>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736C"/>
    <w:rsid w:val="00F30C63"/>
    <w:rsid w:val="00F31EDC"/>
    <w:rsid w:val="00F462B3"/>
    <w:rsid w:val="00F5664F"/>
    <w:rsid w:val="00F666C4"/>
    <w:rsid w:val="00F76AFC"/>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cretariajuridica@fusagasuga-cundinamarc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5AF0689B-9485-4AB5-A6D3-BB13920B87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542</TotalTime>
  <Pages>18</Pages>
  <Words>5392</Words>
  <Characters>29658</Characters>
  <Application>Microsoft Office Word</Application>
  <DocSecurity>0</DocSecurity>
  <Lines>247</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37</cp:revision>
  <cp:lastPrinted>2023-01-10T21:18:00Z</cp:lastPrinted>
  <dcterms:created xsi:type="dcterms:W3CDTF">2025-08-19T14:54:00Z</dcterms:created>
  <dcterms:modified xsi:type="dcterms:W3CDTF">2025-10-23T22:47:00Z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