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CCD72" w14:textId="77777777" w:rsidR="009A6251" w:rsidRPr="00C865D4" w:rsidRDefault="009A6251" w:rsidP="009A6251">
      <w:pPr>
        <w:spacing w:after="0"/>
        <w:rPr>
          <w:rFonts w:ascii="Verdana" w:hAnsi="Verdana"/>
        </w:rPr>
      </w:pPr>
      <w:bookmarkStart w:id="0" w:name="_Hlk143780582"/>
      <w:r w:rsidRPr="00C865D4">
        <w:rPr>
          <w:rFonts w:ascii="Verdana" w:hAnsi="Verdana"/>
          <w:b/>
          <w:bCs/>
          <w:color w:val="000000"/>
          <w:sz w:val="20"/>
          <w:szCs w:val="20"/>
        </w:rPr>
        <w:t xml:space="preserve">DOCUMENTOS TIPO – Fundamento normativo – Obligatoriedad </w:t>
      </w:r>
    </w:p>
    <w:p w14:paraId="7EE26F38" w14:textId="77777777" w:rsidR="009A6251" w:rsidRPr="00C865D4" w:rsidRDefault="009A6251" w:rsidP="009A6251">
      <w:pPr>
        <w:spacing w:after="0" w:line="276" w:lineRule="auto"/>
        <w:jc w:val="both"/>
        <w:rPr>
          <w:rFonts w:ascii="Verdana" w:eastAsia="Calibri" w:hAnsi="Verdana" w:cs="Arial"/>
          <w:b/>
          <w:bCs/>
          <w:lang w:val="es-ES_tradnl"/>
        </w:rPr>
      </w:pPr>
    </w:p>
    <w:p w14:paraId="4FD1AB42" w14:textId="77777777" w:rsidR="009A6251" w:rsidRPr="000D1A82" w:rsidRDefault="009A6251" w:rsidP="009A6251">
      <w:pPr>
        <w:snapToGrid w:val="0"/>
        <w:spacing w:after="0" w:line="240" w:lineRule="auto"/>
        <w:jc w:val="both"/>
        <w:rPr>
          <w:rFonts w:ascii="Verdana" w:eastAsia="Times New Roman" w:hAnsi="Verdana" w:cs="Arial"/>
          <w:sz w:val="20"/>
          <w:szCs w:val="20"/>
          <w:shd w:val="clear" w:color="auto" w:fill="FFFFFF"/>
          <w:lang w:val="es-ES_tradnl" w:eastAsia="es-ES_tradnl"/>
        </w:rPr>
      </w:pPr>
      <w:r w:rsidRPr="00C865D4">
        <w:rPr>
          <w:rFonts w:ascii="Verdana" w:eastAsia="Times New Roman" w:hAnsi="Verdana" w:cs="Arial"/>
          <w:sz w:val="20"/>
          <w:szCs w:val="20"/>
          <w:shd w:val="clear" w:color="auto" w:fill="FFFFFF"/>
          <w:lang w:val="es-ES_tradnl" w:eastAsia="es-ES_tradnl"/>
        </w:rPr>
        <w:t xml:space="preserve">Los documentos tipo expedidos por la Agencia Nacional de Contratación Pública </w:t>
      </w:r>
      <w:r w:rsidRPr="00C865D4">
        <w:rPr>
          <w:rFonts w:ascii="Verdana" w:eastAsia="Times New Roman" w:hAnsi="Verdana" w:cs="Arial"/>
          <w:sz w:val="20"/>
          <w:szCs w:val="20"/>
          <w:shd w:val="clear" w:color="auto" w:fill="FFFFFF"/>
          <w:lang w:val="es-ES_tradnl" w:eastAsia="es-ES_tradnl"/>
        </w:rPr>
        <w:sym w:font="Symbol" w:char="F02D"/>
      </w:r>
      <w:r w:rsidRPr="00C865D4">
        <w:rPr>
          <w:rFonts w:ascii="Verdana" w:eastAsia="Times New Roman" w:hAnsi="Verdana" w:cs="Arial"/>
          <w:sz w:val="20"/>
          <w:szCs w:val="20"/>
          <w:shd w:val="clear" w:color="auto" w:fill="FFFFFF"/>
          <w:lang w:val="es-ES_tradnl" w:eastAsia="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39A3DCD1" w14:textId="77777777" w:rsidR="009A6251" w:rsidRDefault="009A6251" w:rsidP="009A6251">
      <w:pPr>
        <w:spacing w:after="0" w:line="276" w:lineRule="auto"/>
        <w:jc w:val="both"/>
        <w:rPr>
          <w:rFonts w:ascii="Verdana" w:eastAsia="Geomanist Light" w:hAnsi="Verdana" w:cs="Arial"/>
          <w:lang w:val="es-ES_tradnl"/>
        </w:rPr>
      </w:pPr>
    </w:p>
    <w:p w14:paraId="5E5B0F99" w14:textId="77777777" w:rsidR="009A6251" w:rsidRPr="00CD4D9D" w:rsidRDefault="009A6251" w:rsidP="009A6251">
      <w:pPr>
        <w:spacing w:after="0" w:line="276" w:lineRule="auto"/>
        <w:jc w:val="both"/>
        <w:rPr>
          <w:rFonts w:ascii="Verdana" w:eastAsia="Aptos" w:hAnsi="Verdana" w:cs="Arial"/>
          <w:b/>
          <w:bCs/>
          <w:kern w:val="2"/>
          <w:lang w:val="es-MX"/>
          <w14:ligatures w14:val="standardContextual"/>
        </w:rPr>
      </w:pPr>
      <w:r w:rsidRPr="00CD4D9D">
        <w:rPr>
          <w:rFonts w:ascii="Verdana" w:eastAsia="Aptos" w:hAnsi="Verdana" w:cs="Arial"/>
          <w:b/>
          <w:bCs/>
          <w:kern w:val="2"/>
          <w:lang w:val="es-MX"/>
          <w14:ligatures w14:val="standardContextual"/>
        </w:rPr>
        <w:t>PRECIOS ARTIFICIALMENTE BAJOS – Noci</w:t>
      </w:r>
      <w:r w:rsidRPr="00CD4D9D">
        <w:rPr>
          <w:rFonts w:ascii="Verdana" w:eastAsia="Aptos" w:hAnsi="Verdana" w:cs="Arial" w:hint="eastAsia"/>
          <w:b/>
          <w:bCs/>
          <w:kern w:val="2"/>
          <w:lang w:val="es-MX"/>
          <w14:ligatures w14:val="standardContextual"/>
        </w:rPr>
        <w:t>ó</w:t>
      </w:r>
      <w:r w:rsidRPr="00CD4D9D">
        <w:rPr>
          <w:rFonts w:ascii="Verdana" w:eastAsia="Aptos" w:hAnsi="Verdana" w:cs="Arial"/>
          <w:b/>
          <w:bCs/>
          <w:kern w:val="2"/>
          <w:lang w:val="es-MX"/>
          <w14:ligatures w14:val="standardContextual"/>
        </w:rPr>
        <w:t>n</w:t>
      </w:r>
    </w:p>
    <w:p w14:paraId="667239F8" w14:textId="77777777" w:rsidR="009A6251" w:rsidRPr="00CD4D9D" w:rsidRDefault="009A6251" w:rsidP="009A6251">
      <w:pPr>
        <w:spacing w:after="0" w:line="276" w:lineRule="auto"/>
        <w:jc w:val="both"/>
        <w:rPr>
          <w:rFonts w:ascii="Verdana" w:eastAsia="Aptos" w:hAnsi="Verdana" w:cs="Arial"/>
          <w:b/>
          <w:bCs/>
          <w:kern w:val="2"/>
          <w:lang w:val="es-MX"/>
          <w14:ligatures w14:val="standardContextual"/>
        </w:rPr>
      </w:pPr>
    </w:p>
    <w:p w14:paraId="4726D3AF" w14:textId="77777777" w:rsidR="009A6251" w:rsidRPr="00CD4D9D" w:rsidRDefault="009A6251" w:rsidP="009A6251">
      <w:pPr>
        <w:widowControl w:val="0"/>
        <w:autoSpaceDE w:val="0"/>
        <w:autoSpaceDN w:val="0"/>
        <w:spacing w:after="0" w:line="240" w:lineRule="auto"/>
        <w:jc w:val="both"/>
        <w:rPr>
          <w:rFonts w:ascii="Verdana" w:eastAsia="Arial" w:hAnsi="Verdana" w:cs="Arial"/>
          <w:sz w:val="20"/>
          <w:szCs w:val="20"/>
          <w:lang w:val="es-ES" w:eastAsia="es-ES" w:bidi="es-ES"/>
        </w:rPr>
      </w:pPr>
      <w:r w:rsidRPr="001C0193">
        <w:rPr>
          <w:rFonts w:ascii="Verdana" w:eastAsia="Arial" w:hAnsi="Verdana" w:cs="Arial"/>
          <w:sz w:val="20"/>
          <w:szCs w:val="20"/>
          <w:lang w:val="es-ES" w:eastAsia="es-ES" w:bidi="es-ES"/>
        </w:rPr>
        <w:t>Por su parte, el artículo 2.2.1.1.2.2.4. del Decreto 1082 de 2015 establece que cuando el valor de una oferta parezca artificialmente bajo, la entidad debe requerir al oferente para que explique las razones que sustentan el valor ofrecido. Frente a estas explicaciones le corresponde al comité evaluador analizarlas y recomendar si sebe rechazar la oferta o continuar con el análisis de la oferta durante la evaluación de las ofertas</w:t>
      </w:r>
      <w:r>
        <w:rPr>
          <w:rFonts w:ascii="Verdana" w:eastAsia="Arial" w:hAnsi="Verdana" w:cs="Arial"/>
          <w:sz w:val="20"/>
          <w:szCs w:val="20"/>
          <w:lang w:val="es-ES" w:eastAsia="es-ES" w:bidi="es-ES"/>
        </w:rPr>
        <w:t>.</w:t>
      </w:r>
    </w:p>
    <w:p w14:paraId="3793AC54" w14:textId="77777777" w:rsidR="009A6251" w:rsidRPr="00C865D4" w:rsidRDefault="009A6251" w:rsidP="009A6251">
      <w:pPr>
        <w:spacing w:after="0" w:line="276" w:lineRule="auto"/>
        <w:jc w:val="both"/>
        <w:rPr>
          <w:rFonts w:ascii="Verdana" w:eastAsia="Geomanist Light" w:hAnsi="Verdana" w:cs="Arial"/>
          <w:lang w:val="es-ES_tradnl"/>
        </w:rPr>
      </w:pPr>
    </w:p>
    <w:p w14:paraId="3746DE7E" w14:textId="77777777" w:rsidR="009A6251" w:rsidRPr="00CD4D9D" w:rsidRDefault="009A6251" w:rsidP="009A6251">
      <w:pPr>
        <w:spacing w:after="0"/>
        <w:jc w:val="both"/>
        <w:rPr>
          <w:rFonts w:ascii="Verdana" w:hAnsi="Verdana"/>
        </w:rPr>
      </w:pPr>
      <w:r w:rsidRPr="00CD4D9D">
        <w:rPr>
          <w:rFonts w:ascii="Verdana" w:eastAsia="Calibri" w:hAnsi="Verdana" w:cs="Arial"/>
          <w:b/>
          <w:kern w:val="2"/>
          <w14:ligatures w14:val="standardContextual"/>
        </w:rPr>
        <w:t xml:space="preserve">DOCUMENTOS TIPO DE INFRAESTRUCTURA DE TRANSPORTE – Numeral 4.1.4. – Ponderación de la propuesta económica – TRM </w:t>
      </w:r>
    </w:p>
    <w:p w14:paraId="34D268A8" w14:textId="77777777" w:rsidR="009A6251" w:rsidRPr="00CD4D9D" w:rsidRDefault="009A6251" w:rsidP="009A6251">
      <w:pPr>
        <w:tabs>
          <w:tab w:val="left" w:pos="-142"/>
        </w:tabs>
        <w:autoSpaceDE w:val="0"/>
        <w:autoSpaceDN w:val="0"/>
        <w:adjustRightInd w:val="0"/>
        <w:spacing w:after="0" w:line="276" w:lineRule="auto"/>
        <w:jc w:val="both"/>
        <w:outlineLvl w:val="2"/>
        <w:rPr>
          <w:rFonts w:ascii="Verdana" w:eastAsia="Calibri" w:hAnsi="Verdana" w:cs="Arial"/>
          <w:color w:val="000000"/>
          <w:lang w:val="es-MX"/>
        </w:rPr>
      </w:pPr>
    </w:p>
    <w:p w14:paraId="0705C98E"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r w:rsidRPr="007C2213">
        <w:rPr>
          <w:rFonts w:ascii="Verdana" w:eastAsia="Calibri" w:hAnsi="Verdana" w:cs="Arial"/>
          <w:sz w:val="20"/>
          <w:szCs w:val="20"/>
          <w:lang w:val="x-none" w:eastAsia="es-ES"/>
        </w:rPr>
        <w:t>Los “Documentos Tipo – Versión 3” de licitación de infraestructura de transporte establecen, en el numeral 4.1.4. “determinación del método para la ponderación de la propuesta económica”, cuatro (4) alternativas para escoger el método de ponderación de las propuestas económicas,</w:t>
      </w:r>
      <w:r>
        <w:rPr>
          <w:rFonts w:ascii="Verdana" w:eastAsia="Calibri" w:hAnsi="Verdana" w:cs="Arial"/>
          <w:sz w:val="20"/>
          <w:szCs w:val="20"/>
          <w:lang w:val="x-none" w:eastAsia="es-ES"/>
        </w:rPr>
        <w:t xml:space="preserve"> </w:t>
      </w:r>
      <w:r w:rsidRPr="007C2213">
        <w:rPr>
          <w:rFonts w:ascii="Verdana" w:eastAsia="Calibri" w:hAnsi="Verdana" w:cs="Arial"/>
          <w:sz w:val="20"/>
          <w:szCs w:val="20"/>
          <w:lang w:val="x-none" w:eastAsia="es-ES"/>
        </w:rPr>
        <w:t>a saber: i) mediana con valor absoluto; ii) media geométrica; iii) media aritmética baja, y iv) menor valor. A partir de estas alternativas, la entidad, para establecer el método de ponderación, tomará los centavos de la Tasa de Cambio Representativa del Mercado (TRM), certificada por la Superintendencia Financiera de Colombia.</w:t>
      </w:r>
    </w:p>
    <w:p w14:paraId="0411FBDF"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40F83EBA" w14:textId="77777777" w:rsidR="009A6251" w:rsidRPr="00CD4D9D" w:rsidRDefault="009A6251" w:rsidP="009A6251">
      <w:pPr>
        <w:spacing w:after="0"/>
        <w:jc w:val="both"/>
        <w:rPr>
          <w:rFonts w:ascii="Verdana" w:hAnsi="Verdana"/>
        </w:rPr>
      </w:pPr>
      <w:r w:rsidRPr="00CD4D9D">
        <w:rPr>
          <w:rFonts w:ascii="Verdana" w:eastAsia="Calibri" w:hAnsi="Verdana" w:cs="Arial"/>
          <w:b/>
          <w:kern w:val="2"/>
          <w14:ligatures w14:val="standardContextual"/>
        </w:rPr>
        <w:t>DOCUMENTOS TIPO DE INFRAESTRUCTURA DE TRANSPORTE – Numeral 4.1.4.</w:t>
      </w:r>
      <w:r>
        <w:rPr>
          <w:rFonts w:ascii="Verdana" w:eastAsia="Calibri" w:hAnsi="Verdana" w:cs="Arial"/>
          <w:b/>
          <w:kern w:val="2"/>
          <w14:ligatures w14:val="standardContextual"/>
        </w:rPr>
        <w:t xml:space="preserve"> </w:t>
      </w:r>
      <w:r w:rsidRPr="00CD4D9D">
        <w:rPr>
          <w:rFonts w:ascii="Verdana" w:eastAsia="Calibri" w:hAnsi="Verdana" w:cs="Arial"/>
          <w:b/>
          <w:kern w:val="2"/>
          <w14:ligatures w14:val="standardContextual"/>
        </w:rPr>
        <w:t>–</w:t>
      </w:r>
      <w:r>
        <w:rPr>
          <w:rFonts w:ascii="Verdana" w:eastAsia="Calibri" w:hAnsi="Verdana" w:cs="Arial"/>
          <w:b/>
          <w:kern w:val="2"/>
          <w14:ligatures w14:val="standardContextual"/>
        </w:rPr>
        <w:t xml:space="preserve"> </w:t>
      </w:r>
      <w:r w:rsidRPr="00CD4D9D">
        <w:rPr>
          <w:rFonts w:ascii="Verdana" w:eastAsia="Calibri" w:hAnsi="Verdana" w:cs="Arial"/>
          <w:b/>
          <w:kern w:val="2"/>
          <w14:ligatures w14:val="standardContextual"/>
        </w:rPr>
        <w:t xml:space="preserve">Ponderación de la propuesta económica – </w:t>
      </w:r>
      <w:r>
        <w:rPr>
          <w:rFonts w:ascii="Verdana" w:eastAsia="Calibri" w:hAnsi="Verdana" w:cs="Arial"/>
          <w:b/>
          <w:kern w:val="2"/>
          <w14:ligatures w14:val="standardContextual"/>
        </w:rPr>
        <w:t>Reglas</w:t>
      </w:r>
    </w:p>
    <w:p w14:paraId="0E8B3F90"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0F123090" w14:textId="77777777" w:rsidR="009A6251" w:rsidRPr="005C6D53" w:rsidRDefault="009A6251" w:rsidP="009A6251">
      <w:pPr>
        <w:spacing w:after="0" w:line="276" w:lineRule="auto"/>
        <w:jc w:val="both"/>
        <w:textAlignment w:val="baseline"/>
        <w:rPr>
          <w:rFonts w:ascii="Verdana" w:eastAsia="Times New Roman" w:hAnsi="Verdana" w:cs="Arial"/>
          <w:sz w:val="20"/>
          <w:szCs w:val="20"/>
          <w:lang w:eastAsia="es-CO"/>
        </w:rPr>
      </w:pPr>
      <w:r w:rsidRPr="005C6D53">
        <w:rPr>
          <w:rFonts w:ascii="Verdana" w:eastAsia="Times New Roman" w:hAnsi="Verdana" w:cs="Arial"/>
          <w:sz w:val="20"/>
          <w:szCs w:val="20"/>
          <w:lang w:eastAsia="es-CO"/>
        </w:rPr>
        <w:t>El numeral 4.1.4 establece que el día de la audiencia efectiva de adjudicación, la entidad responderá y resolverá las observaciones presentadas al informe de evaluación y dará apertura de las ofertas económicas contenidas en los sobres No. 2. Además, “(…) verificará, si procede, determinará las correcciones aritméticas y solicitará la justificación de precios artificialmente bajos a que haya lugar, si es necesario, la entidad se pronunciará sobre las ofertas requeridas en los términos del numeral 4.1.3”.</w:t>
      </w:r>
    </w:p>
    <w:p w14:paraId="47DDAF19" w14:textId="77777777" w:rsidR="009A6251" w:rsidRPr="005C6D53" w:rsidRDefault="009A6251" w:rsidP="009A6251">
      <w:pPr>
        <w:spacing w:after="0" w:line="276" w:lineRule="auto"/>
        <w:jc w:val="both"/>
        <w:textAlignment w:val="baseline"/>
        <w:rPr>
          <w:rFonts w:ascii="Verdana" w:eastAsia="Times New Roman" w:hAnsi="Verdana" w:cs="Arial"/>
          <w:sz w:val="20"/>
          <w:szCs w:val="20"/>
          <w:lang w:eastAsia="es-CO"/>
        </w:rPr>
      </w:pPr>
    </w:p>
    <w:p w14:paraId="1E93210F" w14:textId="77777777" w:rsidR="009A6251" w:rsidRPr="005C6D53" w:rsidRDefault="009A6251" w:rsidP="009A6251">
      <w:pPr>
        <w:spacing w:after="0" w:line="276" w:lineRule="auto"/>
        <w:jc w:val="both"/>
        <w:textAlignment w:val="baseline"/>
        <w:rPr>
          <w:rFonts w:ascii="Verdana" w:eastAsia="Times New Roman" w:hAnsi="Verdana" w:cs="Arial"/>
          <w:sz w:val="20"/>
          <w:szCs w:val="20"/>
          <w:lang w:eastAsia="es-CO"/>
        </w:rPr>
      </w:pPr>
      <w:r w:rsidRPr="005C6D53">
        <w:rPr>
          <w:rFonts w:ascii="Verdana" w:eastAsia="Times New Roman" w:hAnsi="Verdana" w:cs="Arial"/>
          <w:sz w:val="20"/>
          <w:szCs w:val="20"/>
          <w:lang w:eastAsia="es-CO"/>
        </w:rPr>
        <w:t>Agotado el procedimiento anterior, la entidad definirá el método de ponderación de las propuestas de acuerdo con las siguientes reglas:</w:t>
      </w:r>
    </w:p>
    <w:p w14:paraId="0D680129" w14:textId="77777777" w:rsidR="009A6251" w:rsidRPr="005C6D53" w:rsidRDefault="009A6251" w:rsidP="009A6251">
      <w:pPr>
        <w:pStyle w:val="Prrafodelista"/>
        <w:rPr>
          <w:rFonts w:ascii="Verdana" w:eastAsia="Times New Roman" w:hAnsi="Verdana" w:cs="Arial"/>
          <w:sz w:val="20"/>
          <w:szCs w:val="20"/>
          <w:lang w:eastAsia="es-CO"/>
        </w:rPr>
      </w:pPr>
    </w:p>
    <w:p w14:paraId="6A014B06" w14:textId="77777777" w:rsidR="009A6251" w:rsidRPr="005C6D53" w:rsidRDefault="009A6251" w:rsidP="009A6251">
      <w:pPr>
        <w:pStyle w:val="Prrafodelista"/>
        <w:numPr>
          <w:ilvl w:val="0"/>
          <w:numId w:val="23"/>
        </w:numPr>
        <w:spacing w:after="0" w:line="276" w:lineRule="auto"/>
        <w:jc w:val="both"/>
        <w:textAlignment w:val="baseline"/>
        <w:rPr>
          <w:rFonts w:ascii="Verdana" w:eastAsia="Times New Roman" w:hAnsi="Verdana" w:cs="Arial"/>
          <w:sz w:val="20"/>
          <w:szCs w:val="20"/>
          <w:lang w:eastAsia="es-CO"/>
        </w:rPr>
      </w:pPr>
      <w:r w:rsidRPr="005C6D53">
        <w:rPr>
          <w:rFonts w:ascii="Verdana" w:hAnsi="Verdana"/>
          <w:sz w:val="20"/>
          <w:szCs w:val="20"/>
        </w:rPr>
        <w:t>Deberá pronunciarse sobre las propuestas que han sido rechazadas y las que se encuentran validas.</w:t>
      </w:r>
    </w:p>
    <w:p w14:paraId="4EA809CF" w14:textId="77777777" w:rsidR="009A6251" w:rsidRPr="005C6D53" w:rsidRDefault="009A6251" w:rsidP="009A6251">
      <w:pPr>
        <w:pStyle w:val="Prrafodelista"/>
        <w:numPr>
          <w:ilvl w:val="0"/>
          <w:numId w:val="23"/>
        </w:numPr>
        <w:spacing w:after="0" w:line="276" w:lineRule="auto"/>
        <w:jc w:val="both"/>
        <w:textAlignment w:val="baseline"/>
        <w:rPr>
          <w:rFonts w:ascii="Verdana" w:eastAsia="Times New Roman" w:hAnsi="Verdana" w:cs="Arial"/>
          <w:sz w:val="20"/>
          <w:szCs w:val="20"/>
          <w:lang w:eastAsia="es-CO"/>
        </w:rPr>
      </w:pPr>
      <w:r w:rsidRPr="005C6D53">
        <w:rPr>
          <w:rFonts w:ascii="Verdana" w:hAnsi="Verdana"/>
          <w:sz w:val="20"/>
          <w:szCs w:val="20"/>
        </w:rPr>
        <w:t>Si este pronunciamiento, se realiza hasta las 3:00 pm, la entidad tomará la TRM que rija para el día hábil siguiente.</w:t>
      </w:r>
    </w:p>
    <w:p w14:paraId="1F8D21DE" w14:textId="77777777" w:rsidR="009A6251" w:rsidRPr="005C6D53" w:rsidRDefault="009A6251" w:rsidP="009A6251">
      <w:pPr>
        <w:pStyle w:val="Prrafodelista"/>
        <w:numPr>
          <w:ilvl w:val="0"/>
          <w:numId w:val="23"/>
        </w:numPr>
        <w:jc w:val="both"/>
        <w:rPr>
          <w:rFonts w:ascii="Verdana" w:hAnsi="Verdana"/>
          <w:sz w:val="20"/>
          <w:szCs w:val="20"/>
          <w:lang w:val="es-MX"/>
        </w:rPr>
      </w:pPr>
      <w:r w:rsidRPr="005C6D53">
        <w:rPr>
          <w:rFonts w:ascii="Verdana" w:hAnsi="Verdana"/>
          <w:sz w:val="20"/>
          <w:szCs w:val="20"/>
        </w:rPr>
        <w:t>Si el pronunciamiento se da después de las 3:00 pm, la entidad tomará la TRM que rija para el segundo día hábil siguiente.</w:t>
      </w:r>
    </w:p>
    <w:p w14:paraId="0459090F" w14:textId="77777777" w:rsidR="009A6251" w:rsidRPr="005C6D53" w:rsidRDefault="009A6251" w:rsidP="009A6251">
      <w:pPr>
        <w:pStyle w:val="Prrafodelista"/>
        <w:ind w:left="1080"/>
        <w:jc w:val="both"/>
        <w:rPr>
          <w:rFonts w:ascii="Verdana" w:hAnsi="Verdana"/>
          <w:sz w:val="20"/>
          <w:szCs w:val="20"/>
          <w:lang w:val="es-MX"/>
        </w:rPr>
      </w:pPr>
    </w:p>
    <w:p w14:paraId="66BD3BE5" w14:textId="77777777" w:rsidR="009A6251" w:rsidRPr="005C6D53" w:rsidRDefault="009A6251" w:rsidP="009A6251">
      <w:pPr>
        <w:spacing w:after="0" w:line="276" w:lineRule="auto"/>
        <w:jc w:val="both"/>
        <w:rPr>
          <w:rFonts w:ascii="Verdana" w:hAnsi="Verdana" w:cs="Arial"/>
          <w:sz w:val="20"/>
          <w:szCs w:val="20"/>
        </w:rPr>
      </w:pPr>
      <w:r w:rsidRPr="005C6D53">
        <w:rPr>
          <w:rFonts w:ascii="Verdana" w:eastAsia="Calibri" w:hAnsi="Verdana" w:cs="Arial"/>
          <w:sz w:val="20"/>
          <w:szCs w:val="20"/>
        </w:rPr>
        <w:t xml:space="preserve">En este sentido, el numeral 4.1.4 al regular el mecanismo de escogencia del método de ponderación, dispone las reglas que debe seguir la entidad para determinarlo. Lo cual, inicia con el pronunciamiento de la Entidad sobre las propuestas rechazadas y las válidas. </w:t>
      </w:r>
    </w:p>
    <w:p w14:paraId="04AFA9EB" w14:textId="77777777" w:rsidR="009A6251" w:rsidRPr="005C6D53" w:rsidRDefault="009A6251" w:rsidP="009A6251">
      <w:pPr>
        <w:pStyle w:val="Prrafodelista"/>
        <w:spacing w:after="0" w:line="276" w:lineRule="auto"/>
        <w:contextualSpacing w:val="0"/>
        <w:jc w:val="both"/>
        <w:rPr>
          <w:rFonts w:ascii="Verdana" w:hAnsi="Verdana" w:cs="Arial"/>
          <w:sz w:val="20"/>
          <w:szCs w:val="20"/>
        </w:rPr>
      </w:pPr>
    </w:p>
    <w:p w14:paraId="62165B29" w14:textId="77777777" w:rsidR="009A6251" w:rsidRPr="005C6D53" w:rsidRDefault="009A6251" w:rsidP="009A6251">
      <w:pPr>
        <w:spacing w:after="0" w:line="276" w:lineRule="auto"/>
        <w:jc w:val="both"/>
        <w:rPr>
          <w:rFonts w:ascii="Verdana" w:hAnsi="Verdana" w:cs="Arial"/>
          <w:sz w:val="20"/>
          <w:szCs w:val="20"/>
        </w:rPr>
      </w:pPr>
      <w:r w:rsidRPr="005C6D53">
        <w:rPr>
          <w:rFonts w:ascii="Verdana" w:eastAsia="Calibri" w:hAnsi="Verdana" w:cs="Arial"/>
          <w:sz w:val="20"/>
          <w:szCs w:val="20"/>
        </w:rPr>
        <w:t>Ahora bien, si este pronunciamiento se realiza antes de las 3:00 p.m., la regla contenida en el numeral 4.1.4 establece que se tomará la TRM vigente para el día hábil siguiente. De este modo, fijar una hora límite para el pronunciamiento garantiza que las entidades estatales no puedan conocer anticipadamente la TRM que determinará el método de ponderación, ya que esta es publicada por la Superfinanciera en un momento posterior al pronunciamiento, usualmente entre las 4:00 p.m. y las 6:00 p.m.</w:t>
      </w:r>
    </w:p>
    <w:p w14:paraId="0EB415FB" w14:textId="77777777" w:rsidR="009A6251" w:rsidRPr="005C6D53" w:rsidRDefault="009A6251" w:rsidP="009A6251">
      <w:pPr>
        <w:pStyle w:val="Prrafodelista"/>
        <w:spacing w:after="0"/>
        <w:contextualSpacing w:val="0"/>
        <w:rPr>
          <w:rFonts w:ascii="Verdana" w:eastAsia="Calibri" w:hAnsi="Verdana" w:cs="Arial"/>
          <w:sz w:val="20"/>
          <w:szCs w:val="20"/>
        </w:rPr>
      </w:pPr>
    </w:p>
    <w:p w14:paraId="2DBBE8BF" w14:textId="77777777" w:rsidR="009A6251" w:rsidRPr="005C6D53" w:rsidRDefault="009A6251" w:rsidP="009A6251">
      <w:pPr>
        <w:spacing w:after="0" w:line="276" w:lineRule="auto"/>
        <w:jc w:val="both"/>
        <w:rPr>
          <w:rFonts w:ascii="Verdana" w:hAnsi="Verdana" w:cs="Arial"/>
          <w:sz w:val="20"/>
          <w:szCs w:val="20"/>
        </w:rPr>
      </w:pPr>
      <w:r w:rsidRPr="005C6D53">
        <w:rPr>
          <w:rFonts w:ascii="Verdana" w:eastAsia="Calibri" w:hAnsi="Verdana" w:cs="Arial"/>
          <w:sz w:val="20"/>
          <w:szCs w:val="20"/>
        </w:rPr>
        <w:t>No obstante, si el pronunciamiento de la entidad sobre las propuestas rechazadas y válidas se realiza después de las 3:00 p.m., la regla establece que se tomará la TRM vigente para el segundo día hábil siguiente. Esta disposición busca evitar que la entidad conozca previamente la TRM que determinará el método de ponderación de las ofertas, dado que la Superintendencia la publicaría antes del pronunciamiento de la entidad.</w:t>
      </w:r>
    </w:p>
    <w:p w14:paraId="1CDCA175"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572AD693"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2176B3C6"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61DB7BC2"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3C27B099"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59AE9F5E"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1B24C56C"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6CB685C4"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31369F9F"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17967480"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02000EE5"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57482A1A"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06840928"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1260089E"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09375B03"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2BAB2BC0"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60BA3E4A" w14:textId="77777777" w:rsidR="009A6251"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63F4790B" w14:textId="77777777" w:rsidR="009A6251" w:rsidRPr="00CD4D9D" w:rsidRDefault="009A6251" w:rsidP="009A6251">
      <w:pPr>
        <w:tabs>
          <w:tab w:val="left" w:pos="-142"/>
        </w:tabs>
        <w:autoSpaceDE w:val="0"/>
        <w:autoSpaceDN w:val="0"/>
        <w:adjustRightInd w:val="0"/>
        <w:spacing w:after="0" w:line="240" w:lineRule="auto"/>
        <w:jc w:val="both"/>
        <w:outlineLvl w:val="2"/>
        <w:rPr>
          <w:rFonts w:ascii="Verdana" w:eastAsia="Calibri" w:hAnsi="Verdana" w:cs="Arial"/>
          <w:sz w:val="20"/>
          <w:szCs w:val="20"/>
          <w:lang w:val="x-none" w:eastAsia="es-ES"/>
        </w:rPr>
      </w:pPr>
    </w:p>
    <w:p w14:paraId="34D484DF" w14:textId="77777777" w:rsidR="009A6251" w:rsidRDefault="009A6251" w:rsidP="009A6251">
      <w:pPr>
        <w:spacing w:after="0" w:line="240" w:lineRule="auto"/>
        <w:rPr>
          <w:rFonts w:ascii="Verdana" w:eastAsia="Geomanist Light" w:hAnsi="Verdana" w:cs="Arial"/>
          <w:lang w:val="es-MX"/>
        </w:rPr>
      </w:pPr>
    </w:p>
    <w:p w14:paraId="57FA2BBD" w14:textId="1C095C32" w:rsidR="009A6251" w:rsidRDefault="009A6251" w:rsidP="009A6251">
      <w:pPr>
        <w:spacing w:after="0" w:line="240" w:lineRule="auto"/>
        <w:rPr>
          <w:rFonts w:ascii="Verdana" w:eastAsia="Geomanist Light" w:hAnsi="Verdana" w:cs="Arial"/>
          <w:lang w:val="es-MX"/>
        </w:rPr>
      </w:pPr>
      <w:r w:rsidRPr="00C865D4">
        <w:rPr>
          <w:rFonts w:ascii="Verdana" w:eastAsia="Geomanist Light" w:hAnsi="Verdana" w:cs="Arial"/>
          <w:lang w:val="es-MX"/>
        </w:rPr>
        <w:lastRenderedPageBreak/>
        <w:t>Bogotá D.C., </w:t>
      </w:r>
      <w:r w:rsidR="00783A10">
        <w:rPr>
          <w:rFonts w:ascii="Verdana" w:eastAsia="Geomanist Light" w:hAnsi="Verdana" w:cs="Arial"/>
          <w:lang w:val="es-MX"/>
        </w:rPr>
        <w:t>07</w:t>
      </w:r>
      <w:r w:rsidR="00605CF5">
        <w:rPr>
          <w:rFonts w:ascii="Verdana" w:eastAsia="Geomanist Light" w:hAnsi="Verdana" w:cs="Arial"/>
          <w:lang w:val="es-MX"/>
        </w:rPr>
        <w:t xml:space="preserve"> de </w:t>
      </w:r>
      <w:r w:rsidR="00783A10">
        <w:rPr>
          <w:rFonts w:ascii="Verdana" w:eastAsia="Geomanist Light" w:hAnsi="Verdana" w:cs="Arial"/>
          <w:lang w:val="es-MX"/>
        </w:rPr>
        <w:t>octubre</w:t>
      </w:r>
      <w:r w:rsidR="00605CF5">
        <w:rPr>
          <w:rFonts w:ascii="Verdana" w:eastAsia="Geomanist Light" w:hAnsi="Verdana" w:cs="Arial"/>
          <w:lang w:val="es-MX"/>
        </w:rPr>
        <w:t xml:space="preserve"> de 2025</w:t>
      </w:r>
    </w:p>
    <w:p w14:paraId="336CCB80" w14:textId="230F3880" w:rsidR="009A6251" w:rsidRDefault="002A4CAA" w:rsidP="00CF02B2">
      <w:pPr>
        <w:spacing w:after="0" w:line="240" w:lineRule="auto"/>
        <w:jc w:val="right"/>
        <w:rPr>
          <w:rFonts w:ascii="Verdana" w:eastAsia="Calibri" w:hAnsi="Verdana" w:cs="Arial"/>
          <w:lang w:val="es-MX" w:eastAsia="es-ES"/>
        </w:rPr>
      </w:pPr>
      <w:r>
        <w:rPr>
          <w:noProof/>
        </w:rPr>
        <w:drawing>
          <wp:inline distT="0" distB="0" distL="0" distR="0" wp14:anchorId="19F73AF4" wp14:editId="3C9D5BD0">
            <wp:extent cx="2705100" cy="666750"/>
            <wp:effectExtent l="0" t="0" r="0" b="0"/>
            <wp:docPr id="14773228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322801" name=""/>
                    <pic:cNvPicPr/>
                  </pic:nvPicPr>
                  <pic:blipFill>
                    <a:blip r:embed="rId10"/>
                    <a:stretch>
                      <a:fillRect/>
                    </a:stretch>
                  </pic:blipFill>
                  <pic:spPr>
                    <a:xfrm>
                      <a:off x="0" y="0"/>
                      <a:ext cx="2705100" cy="666750"/>
                    </a:xfrm>
                    <a:prstGeom prst="rect">
                      <a:avLst/>
                    </a:prstGeom>
                  </pic:spPr>
                </pic:pic>
              </a:graphicData>
            </a:graphic>
          </wp:inline>
        </w:drawing>
      </w:r>
    </w:p>
    <w:p w14:paraId="6FC7BF2B" w14:textId="77777777" w:rsidR="009A6251" w:rsidRPr="00C865D4" w:rsidRDefault="009A6251" w:rsidP="009A6251">
      <w:pPr>
        <w:spacing w:after="0" w:line="240" w:lineRule="auto"/>
        <w:rPr>
          <w:rFonts w:ascii="Verdana" w:hAnsi="Verdana"/>
        </w:rPr>
      </w:pPr>
      <w:r w:rsidRPr="00C865D4">
        <w:rPr>
          <w:rFonts w:ascii="Verdana" w:eastAsia="Calibri" w:hAnsi="Verdana" w:cs="Arial"/>
          <w:lang w:val="es-ES" w:eastAsia="es-ES"/>
        </w:rPr>
        <w:t>Señor</w:t>
      </w:r>
    </w:p>
    <w:p w14:paraId="5CFDD45F" w14:textId="2637D031" w:rsidR="009A6251" w:rsidRDefault="0057154C" w:rsidP="009A6251">
      <w:pPr>
        <w:spacing w:after="0" w:line="240" w:lineRule="auto"/>
        <w:rPr>
          <w:rFonts w:ascii="Verdana" w:eastAsia="Calibri" w:hAnsi="Verdana" w:cs="Arial"/>
          <w:b/>
          <w:bCs/>
          <w:lang w:eastAsia="es-ES_tradnl"/>
        </w:rPr>
      </w:pPr>
      <w:r>
        <w:rPr>
          <w:rFonts w:ascii="Verdana" w:eastAsia="Calibri" w:hAnsi="Verdana" w:cs="Arial"/>
          <w:b/>
          <w:bCs/>
          <w:lang w:eastAsia="es-ES_tradnl"/>
        </w:rPr>
        <w:t>Marco A Rendon</w:t>
      </w:r>
    </w:p>
    <w:p w14:paraId="41D0DE53" w14:textId="0095B303" w:rsidR="0057154C" w:rsidRDefault="0057154C" w:rsidP="009A6251">
      <w:pPr>
        <w:spacing w:after="0" w:line="240" w:lineRule="auto"/>
        <w:rPr>
          <w:rFonts w:ascii="Verdana" w:eastAsia="Calibri" w:hAnsi="Verdana" w:cs="Arial"/>
          <w:b/>
          <w:bCs/>
          <w:lang w:eastAsia="es-ES_tradnl"/>
        </w:rPr>
      </w:pPr>
      <w:hyperlink r:id="rId11" w:history="1">
        <w:r w:rsidRPr="00304DE8">
          <w:rPr>
            <w:rStyle w:val="Hipervnculo"/>
            <w:rFonts w:ascii="Verdana" w:eastAsia="Calibri" w:hAnsi="Verdana" w:cs="Arial"/>
            <w:b/>
            <w:bCs/>
            <w:lang w:eastAsia="es-ES_tradnl"/>
          </w:rPr>
          <w:t>marcorendon021@gmail.com</w:t>
        </w:r>
      </w:hyperlink>
    </w:p>
    <w:p w14:paraId="10C9352E" w14:textId="23E1FAE1" w:rsidR="009A6251" w:rsidRDefault="009A6251" w:rsidP="009A6251">
      <w:pPr>
        <w:spacing w:after="0" w:line="240" w:lineRule="auto"/>
        <w:rPr>
          <w:rFonts w:ascii="Verdana" w:eastAsia="Calibri" w:hAnsi="Verdana" w:cs="Arial"/>
          <w:b/>
          <w:bCs/>
          <w:lang w:val="es-ES_tradnl" w:eastAsia="es-ES_tradnl"/>
        </w:rPr>
      </w:pPr>
      <w:r>
        <w:rPr>
          <w:rFonts w:ascii="Verdana" w:eastAsia="Calibri" w:hAnsi="Verdana" w:cs="Arial"/>
          <w:lang w:eastAsia="es-ES_tradnl"/>
        </w:rPr>
        <w:t>P</w:t>
      </w:r>
      <w:r w:rsidR="0057154C">
        <w:rPr>
          <w:rFonts w:ascii="Verdana" w:eastAsia="Calibri" w:hAnsi="Verdana" w:cs="Arial"/>
          <w:lang w:eastAsia="es-ES_tradnl"/>
        </w:rPr>
        <w:t>ereira</w:t>
      </w:r>
      <w:r>
        <w:rPr>
          <w:rFonts w:ascii="Verdana" w:eastAsia="Calibri" w:hAnsi="Verdana" w:cs="Arial"/>
          <w:lang w:eastAsia="es-ES_tradnl"/>
        </w:rPr>
        <w:t xml:space="preserve">, </w:t>
      </w:r>
      <w:r w:rsidR="0057154C">
        <w:rPr>
          <w:rFonts w:ascii="Verdana" w:eastAsia="Calibri" w:hAnsi="Verdana" w:cs="Arial"/>
          <w:lang w:eastAsia="es-ES_tradnl"/>
        </w:rPr>
        <w:t>Risaralda</w:t>
      </w:r>
      <w:r>
        <w:rPr>
          <w:rFonts w:ascii="Verdana" w:eastAsia="Calibri" w:hAnsi="Verdana" w:cs="Arial"/>
          <w:lang w:eastAsia="es-ES_tradnl"/>
        </w:rPr>
        <w:t xml:space="preserve"> </w:t>
      </w:r>
    </w:p>
    <w:p w14:paraId="1209D212" w14:textId="77777777" w:rsidR="009A6251" w:rsidRPr="00C865D4" w:rsidRDefault="009A6251" w:rsidP="009A6251">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379"/>
      </w:tblGrid>
      <w:tr w:rsidR="009A6251" w:rsidRPr="00C865D4" w14:paraId="191102D5" w14:textId="77777777" w:rsidTr="003573D0">
        <w:trPr>
          <w:trHeight w:val="229"/>
        </w:trPr>
        <w:tc>
          <w:tcPr>
            <w:tcW w:w="2410" w:type="dxa"/>
          </w:tcPr>
          <w:p w14:paraId="1DCCC466" w14:textId="77777777" w:rsidR="009A6251" w:rsidRPr="00C865D4" w:rsidRDefault="009A6251" w:rsidP="003573D0">
            <w:pPr>
              <w:jc w:val="both"/>
              <w:rPr>
                <w:rFonts w:ascii="Verdana" w:eastAsia="Calibri" w:hAnsi="Verdana" w:cs="Arial"/>
                <w:b/>
                <w:bCs/>
                <w:lang w:val="es-ES_tradnl" w:eastAsia="es-ES_tradnl"/>
              </w:rPr>
            </w:pPr>
          </w:p>
        </w:tc>
        <w:tc>
          <w:tcPr>
            <w:tcW w:w="6379" w:type="dxa"/>
          </w:tcPr>
          <w:p w14:paraId="539737F3" w14:textId="019E26A2" w:rsidR="009A6251" w:rsidRDefault="009A6251" w:rsidP="003573D0">
            <w:pPr>
              <w:jc w:val="both"/>
              <w:rPr>
                <w:rFonts w:ascii="Verdana" w:eastAsia="Calibri" w:hAnsi="Verdana" w:cs="Arial"/>
                <w:b/>
                <w:bCs/>
                <w:lang w:val="es-ES" w:eastAsia="es-ES"/>
              </w:rPr>
            </w:pPr>
            <w:r w:rsidRPr="00C865D4">
              <w:rPr>
                <w:rFonts w:ascii="Verdana" w:eastAsia="Calibri" w:hAnsi="Verdana" w:cs="Arial"/>
                <w:b/>
                <w:bCs/>
                <w:lang w:val="es-ES" w:eastAsia="es-ES"/>
              </w:rPr>
              <w:t>Concepto C-</w:t>
            </w:r>
            <w:r w:rsidR="0057154C">
              <w:rPr>
                <w:rFonts w:ascii="Verdana" w:eastAsia="Calibri" w:hAnsi="Verdana" w:cs="Arial"/>
                <w:b/>
                <w:bCs/>
                <w:lang w:val="es-ES" w:eastAsia="es-ES"/>
              </w:rPr>
              <w:t>1235</w:t>
            </w:r>
            <w:r w:rsidRPr="00C865D4">
              <w:rPr>
                <w:rFonts w:ascii="Verdana" w:eastAsia="Calibri" w:hAnsi="Verdana" w:cs="Arial"/>
                <w:b/>
                <w:bCs/>
                <w:lang w:val="es-ES" w:eastAsia="es-ES"/>
              </w:rPr>
              <w:t xml:space="preserve"> de 2025</w:t>
            </w:r>
          </w:p>
          <w:p w14:paraId="6B4A3646" w14:textId="77777777" w:rsidR="009A6251" w:rsidRPr="00C865D4" w:rsidRDefault="009A6251" w:rsidP="003573D0">
            <w:pPr>
              <w:jc w:val="both"/>
              <w:rPr>
                <w:rFonts w:ascii="Verdana" w:eastAsia="Calibri" w:hAnsi="Verdana" w:cs="Arial"/>
                <w:b/>
                <w:bCs/>
                <w:lang w:val="es-ES" w:eastAsia="es-ES"/>
              </w:rPr>
            </w:pPr>
          </w:p>
        </w:tc>
      </w:tr>
      <w:tr w:rsidR="009A6251" w:rsidRPr="00C865D4" w14:paraId="5CB394D1" w14:textId="77777777" w:rsidTr="003573D0">
        <w:trPr>
          <w:trHeight w:val="884"/>
        </w:trPr>
        <w:tc>
          <w:tcPr>
            <w:tcW w:w="2410" w:type="dxa"/>
          </w:tcPr>
          <w:p w14:paraId="3CA67255" w14:textId="77777777" w:rsidR="009A6251" w:rsidRPr="00C865D4" w:rsidRDefault="009A6251" w:rsidP="003573D0">
            <w:pPr>
              <w:jc w:val="both"/>
              <w:rPr>
                <w:rFonts w:ascii="Verdana" w:eastAsia="Calibri" w:hAnsi="Verdana" w:cs="Arial"/>
                <w:lang w:val="es-ES_tradnl" w:eastAsia="es-ES_tradnl"/>
              </w:rPr>
            </w:pPr>
            <w:r w:rsidRPr="00C865D4">
              <w:rPr>
                <w:rFonts w:ascii="Verdana" w:eastAsia="Calibri" w:hAnsi="Verdana" w:cs="Arial"/>
                <w:b/>
                <w:lang w:val="es-ES_tradnl" w:eastAsia="es-ES_tradnl"/>
              </w:rPr>
              <w:t>Temas:</w:t>
            </w:r>
            <w:r w:rsidRPr="00C865D4">
              <w:rPr>
                <w:rFonts w:ascii="Verdana" w:eastAsia="Calibri" w:hAnsi="Verdana" w:cs="Arial"/>
                <w:lang w:val="es-ES_tradnl" w:eastAsia="es-ES_tradnl"/>
              </w:rPr>
              <w:t xml:space="preserve">                   </w:t>
            </w:r>
          </w:p>
        </w:tc>
        <w:tc>
          <w:tcPr>
            <w:tcW w:w="6379" w:type="dxa"/>
          </w:tcPr>
          <w:p w14:paraId="587CEF42" w14:textId="77777777" w:rsidR="009A6251" w:rsidRPr="0059712A" w:rsidRDefault="009A6251" w:rsidP="003573D0">
            <w:pPr>
              <w:jc w:val="both"/>
              <w:rPr>
                <w:rFonts w:ascii="Verdana" w:hAnsi="Verdana"/>
              </w:rPr>
            </w:pPr>
            <w:r w:rsidRPr="000B6B61">
              <w:rPr>
                <w:rFonts w:ascii="Verdana" w:hAnsi="Verdana"/>
                <w:color w:val="000000"/>
                <w:sz w:val="20"/>
                <w:szCs w:val="20"/>
              </w:rPr>
              <w:t xml:space="preserve">DOCUMENTOS TIPO – Fundamento normativo – Obligatoriedad </w:t>
            </w:r>
            <w:r w:rsidRPr="000B6B61">
              <w:rPr>
                <w:rFonts w:ascii="Verdana" w:hAnsi="Verdana"/>
              </w:rPr>
              <w:t xml:space="preserve">/ </w:t>
            </w:r>
            <w:r w:rsidRPr="000B6B61">
              <w:rPr>
                <w:rFonts w:ascii="Verdana" w:eastAsia="Calibri" w:hAnsi="Verdana" w:cs="Arial"/>
                <w:lang w:val="es-ES_tradnl"/>
              </w:rPr>
              <w:t xml:space="preserve">DOCUMENTOS TIPO – Inalterabilidad / </w:t>
            </w:r>
            <w:r w:rsidRPr="000B6B61">
              <w:rPr>
                <w:rFonts w:ascii="Verdana" w:eastAsia="Aptos" w:hAnsi="Verdana" w:cs="Arial"/>
                <w:kern w:val="2"/>
                <w:lang w:val="es-MX"/>
                <w14:ligatures w14:val="standardContextual"/>
              </w:rPr>
              <w:t>PRECIOS ARTIFICIALMENTE BAJOS – Noci</w:t>
            </w:r>
            <w:r w:rsidRPr="000B6B61">
              <w:rPr>
                <w:rFonts w:ascii="Verdana" w:eastAsia="Aptos" w:hAnsi="Verdana" w:cs="Arial" w:hint="eastAsia"/>
                <w:kern w:val="2"/>
                <w:lang w:val="es-MX"/>
                <w14:ligatures w14:val="standardContextual"/>
              </w:rPr>
              <w:t>ó</w:t>
            </w:r>
            <w:r w:rsidRPr="000B6B61">
              <w:rPr>
                <w:rFonts w:ascii="Verdana" w:eastAsia="Aptos" w:hAnsi="Verdana" w:cs="Arial"/>
                <w:kern w:val="2"/>
                <w:lang w:val="es-MX"/>
                <w14:ligatures w14:val="standardContextual"/>
              </w:rPr>
              <w:t xml:space="preserve">n / </w:t>
            </w:r>
            <w:r w:rsidRPr="000B6B61">
              <w:rPr>
                <w:rFonts w:ascii="Verdana" w:eastAsia="Calibri" w:hAnsi="Verdana" w:cs="Arial"/>
                <w:kern w:val="2"/>
                <w14:ligatures w14:val="standardContextual"/>
              </w:rPr>
              <w:t xml:space="preserve">DOCUMENTOS TIPO DE INFRAESTRUCTURA DE TRANSPORTE – Numeral 4.1.4. – Ponderación de la propuesta económica – TRM </w:t>
            </w:r>
            <w:r w:rsidRPr="000B6B61">
              <w:rPr>
                <w:rFonts w:ascii="Verdana" w:hAnsi="Verdana"/>
              </w:rPr>
              <w:t xml:space="preserve">/ </w:t>
            </w:r>
            <w:r w:rsidRPr="000B6B61">
              <w:rPr>
                <w:rFonts w:ascii="Verdana" w:eastAsia="Calibri" w:hAnsi="Verdana" w:cs="Arial"/>
                <w:kern w:val="2"/>
                <w14:ligatures w14:val="standardContextual"/>
              </w:rPr>
              <w:t>DOCUMENTOS TIPO DE INFRAESTRUCTURA DE TRANSPORTE – Numeral 4.1.4. – Ponderación de la propuesta económica – Reglas</w:t>
            </w:r>
          </w:p>
          <w:p w14:paraId="4BF3A2A6" w14:textId="77777777" w:rsidR="009A6251" w:rsidRPr="00C865D4" w:rsidRDefault="009A6251" w:rsidP="003573D0">
            <w:pPr>
              <w:jc w:val="both"/>
              <w:rPr>
                <w:rFonts w:ascii="Verdana" w:eastAsia="Calibri" w:hAnsi="Verdana" w:cs="Arial"/>
                <w:lang w:val="es-ES" w:eastAsia="es-ES"/>
              </w:rPr>
            </w:pPr>
          </w:p>
        </w:tc>
      </w:tr>
      <w:tr w:rsidR="009A6251" w:rsidRPr="00C865D4" w14:paraId="6599DA4C" w14:textId="77777777" w:rsidTr="003573D0">
        <w:tc>
          <w:tcPr>
            <w:tcW w:w="2410" w:type="dxa"/>
          </w:tcPr>
          <w:p w14:paraId="7060FFF2" w14:textId="77777777" w:rsidR="009A6251" w:rsidRPr="00C865D4" w:rsidRDefault="009A6251" w:rsidP="003573D0">
            <w:pPr>
              <w:jc w:val="both"/>
              <w:rPr>
                <w:rFonts w:ascii="Verdana" w:eastAsia="Calibri" w:hAnsi="Verdana" w:cs="Arial"/>
                <w:b/>
                <w:lang w:val="es-ES_tradnl" w:eastAsia="es-ES_tradnl"/>
              </w:rPr>
            </w:pPr>
            <w:r w:rsidRPr="00C865D4">
              <w:rPr>
                <w:rFonts w:ascii="Verdana" w:eastAsia="Calibri" w:hAnsi="Verdana" w:cs="Arial"/>
                <w:b/>
                <w:lang w:val="es-ES_tradnl" w:eastAsia="es-ES_tradnl"/>
              </w:rPr>
              <w:t>Radicación:</w:t>
            </w:r>
            <w:r w:rsidRPr="00C865D4">
              <w:rPr>
                <w:rFonts w:ascii="Verdana" w:eastAsia="Calibri" w:hAnsi="Verdana" w:cs="Arial"/>
                <w:lang w:val="es-ES_tradnl" w:eastAsia="es-ES_tradnl"/>
              </w:rPr>
              <w:t xml:space="preserve">               </w:t>
            </w:r>
          </w:p>
        </w:tc>
        <w:tc>
          <w:tcPr>
            <w:tcW w:w="6379" w:type="dxa"/>
          </w:tcPr>
          <w:p w14:paraId="5447E7F1" w14:textId="16B9B300" w:rsidR="009A6251" w:rsidRPr="00C865D4" w:rsidRDefault="009A6251" w:rsidP="003573D0">
            <w:pPr>
              <w:ind w:left="708" w:hanging="708"/>
              <w:jc w:val="both"/>
              <w:rPr>
                <w:rFonts w:ascii="Verdana" w:eastAsia="Calibri" w:hAnsi="Verdana" w:cs="Arial"/>
                <w:lang w:val="es-ES_tradnl" w:eastAsia="es-ES_tradnl"/>
              </w:rPr>
            </w:pPr>
            <w:r w:rsidRPr="00C865D4">
              <w:rPr>
                <w:rFonts w:ascii="Verdana" w:eastAsia="Calibri" w:hAnsi="Verdana" w:cs="Arial"/>
                <w:lang w:val="es-ES_tradnl" w:eastAsia="es-ES_tradnl"/>
              </w:rPr>
              <w:t>Respuesta a consulta con radicado No.</w:t>
            </w:r>
            <w:r w:rsidR="0057154C">
              <w:rPr>
                <w:rFonts w:ascii="Verdana" w:eastAsia="Calibri" w:hAnsi="Verdana" w:cs="Arial"/>
                <w:lang w:val="es-ES_tradnl" w:eastAsia="es-ES_tradnl"/>
              </w:rPr>
              <w:t xml:space="preserve"> </w:t>
            </w:r>
            <w:r w:rsidR="0057154C" w:rsidRPr="0057154C">
              <w:rPr>
                <w:rFonts w:ascii="Verdana" w:eastAsia="Calibri" w:hAnsi="Verdana" w:cs="Arial"/>
                <w:lang w:val="es-ES_tradnl" w:eastAsia="es-ES_tradnl"/>
              </w:rPr>
              <w:t>1_2025_08_30_009345</w:t>
            </w:r>
          </w:p>
        </w:tc>
      </w:tr>
    </w:tbl>
    <w:p w14:paraId="5A5875F7" w14:textId="77777777" w:rsidR="009A6251" w:rsidRPr="00C865D4" w:rsidRDefault="009A6251" w:rsidP="009A6251">
      <w:pPr>
        <w:spacing w:after="0" w:line="240" w:lineRule="auto"/>
        <w:jc w:val="both"/>
        <w:rPr>
          <w:rFonts w:ascii="Verdana" w:eastAsia="Calibri" w:hAnsi="Verdana" w:cs="Arial"/>
          <w:lang w:val="es-ES_tradnl" w:eastAsia="es-ES_tradnl"/>
        </w:rPr>
      </w:pPr>
    </w:p>
    <w:p w14:paraId="0EB27533" w14:textId="77777777" w:rsidR="009A6251" w:rsidRPr="00C865D4" w:rsidRDefault="009A6251" w:rsidP="009A6251">
      <w:pPr>
        <w:spacing w:after="0" w:line="240" w:lineRule="auto"/>
        <w:jc w:val="both"/>
        <w:rPr>
          <w:rFonts w:ascii="Verdana" w:eastAsia="Calibri" w:hAnsi="Verdana" w:cs="Arial"/>
          <w:lang w:val="es-ES_tradnl" w:eastAsia="es-ES_tradnl"/>
        </w:rPr>
      </w:pPr>
    </w:p>
    <w:p w14:paraId="6F46F1A7" w14:textId="4F90BD87" w:rsidR="009A6251" w:rsidRPr="00E5674F" w:rsidRDefault="009A6251" w:rsidP="009A6251">
      <w:pPr>
        <w:spacing w:after="0" w:line="276" w:lineRule="auto"/>
        <w:jc w:val="both"/>
        <w:rPr>
          <w:rFonts w:ascii="Verdana" w:eastAsia="Calibri" w:hAnsi="Verdana" w:cs="Arial"/>
          <w:lang w:val="es-ES" w:eastAsia="es-ES"/>
        </w:rPr>
      </w:pPr>
      <w:r w:rsidRPr="00C865D4">
        <w:rPr>
          <w:rFonts w:ascii="Verdana" w:eastAsia="Calibri" w:hAnsi="Verdana" w:cs="Arial"/>
          <w:lang w:val="es-ES" w:eastAsia="es-ES"/>
        </w:rPr>
        <w:t>Estimado señor</w:t>
      </w:r>
      <w:r>
        <w:rPr>
          <w:rFonts w:ascii="Verdana" w:eastAsia="Calibri" w:hAnsi="Verdana" w:cs="Arial"/>
          <w:lang w:eastAsia="es-ES_tradnl"/>
        </w:rPr>
        <w:t xml:space="preserve"> </w:t>
      </w:r>
      <w:r w:rsidR="0057154C" w:rsidRPr="0057154C">
        <w:rPr>
          <w:rFonts w:ascii="Verdana" w:eastAsia="Calibri" w:hAnsi="Verdana" w:cs="Arial"/>
          <w:lang w:eastAsia="es-ES_tradnl"/>
        </w:rPr>
        <w:t>Rendon</w:t>
      </w:r>
      <w:r w:rsidRPr="00E5674F">
        <w:rPr>
          <w:rFonts w:ascii="Verdana" w:eastAsia="Calibri" w:hAnsi="Verdana" w:cs="Arial"/>
          <w:lang w:val="es-ES" w:eastAsia="es-ES"/>
        </w:rPr>
        <w:t xml:space="preserve">: </w:t>
      </w:r>
    </w:p>
    <w:p w14:paraId="0FB1827D" w14:textId="77777777" w:rsidR="009A6251" w:rsidRPr="00C865D4" w:rsidRDefault="009A6251" w:rsidP="009A6251">
      <w:pPr>
        <w:tabs>
          <w:tab w:val="left" w:pos="3768"/>
        </w:tabs>
        <w:spacing w:after="0" w:line="276" w:lineRule="auto"/>
        <w:jc w:val="both"/>
        <w:rPr>
          <w:rFonts w:ascii="Verdana" w:eastAsia="Calibri" w:hAnsi="Verdana" w:cs="Arial"/>
          <w:lang w:val="es-ES" w:eastAsia="es-ES"/>
        </w:rPr>
      </w:pPr>
      <w:r w:rsidRPr="00C865D4">
        <w:rPr>
          <w:rFonts w:ascii="Verdana" w:eastAsia="Calibri" w:hAnsi="Verdana" w:cs="Arial"/>
          <w:lang w:val="es-ES" w:eastAsia="es-ES"/>
        </w:rPr>
        <w:tab/>
      </w:r>
    </w:p>
    <w:p w14:paraId="27E7C1C4" w14:textId="3FB20DBE" w:rsidR="009A6251" w:rsidRPr="00C865D4" w:rsidRDefault="009A6251" w:rsidP="009A6251">
      <w:pPr>
        <w:spacing w:after="0" w:line="276" w:lineRule="auto"/>
        <w:jc w:val="both"/>
        <w:rPr>
          <w:rFonts w:ascii="Verdana" w:eastAsia="Calibri" w:hAnsi="Verdana" w:cs="Arial"/>
          <w:lang w:val="es-ES" w:eastAsia="es-ES"/>
        </w:rPr>
      </w:pPr>
      <w:r w:rsidRPr="00C865D4">
        <w:rPr>
          <w:rFonts w:ascii="Verdana" w:eastAsia="Calibri" w:hAnsi="Verdana" w:cs="Arial"/>
          <w:lang w:val="es-ES" w:eastAsia="es-ES"/>
        </w:rPr>
        <w:t>En ejercicio de la competencia otorgada por los artículos 3, numeral 5º, y 11, numeral 8º, del Decreto Ley 4170 de 2011,</w:t>
      </w:r>
      <w:r w:rsidRPr="00C865D4">
        <w:rPr>
          <w:rFonts w:ascii="Verdana" w:eastAsia="Arial MT" w:hAnsi="Verdana" w:cs="Arial MT"/>
          <w:lang w:val="es-ES" w:eastAsia="es-ES"/>
        </w:rPr>
        <w:t xml:space="preserve"> </w:t>
      </w:r>
      <w:r w:rsidRPr="00C865D4">
        <w:rPr>
          <w:rFonts w:ascii="Verdana" w:hAnsi="Verdana" w:cs="Arial"/>
        </w:rPr>
        <w:t xml:space="preserve">así como lo establecido en el artículo 4 de la Resolución 1707 de 2018 expedida por esta Entidad, </w:t>
      </w:r>
      <w:r w:rsidRPr="00C865D4">
        <w:rPr>
          <w:rFonts w:ascii="Verdana" w:eastAsia="Calibri" w:hAnsi="Verdana" w:cs="Arial"/>
          <w:lang w:val="es-ES" w:eastAsia="es-ES"/>
        </w:rPr>
        <w:t xml:space="preserve">la Agencia Nacional de Contratación Pública – Colombia Compra Eficiente– responde su solicitud de consulta del </w:t>
      </w:r>
      <w:r w:rsidR="0057154C">
        <w:rPr>
          <w:rFonts w:ascii="Verdana" w:eastAsia="Calibri" w:hAnsi="Verdana" w:cs="Arial"/>
          <w:lang w:val="es-ES" w:eastAsia="es-ES"/>
        </w:rPr>
        <w:t>30</w:t>
      </w:r>
      <w:r w:rsidRPr="00C865D4">
        <w:rPr>
          <w:rFonts w:ascii="Verdana" w:eastAsia="Calibri" w:hAnsi="Verdana" w:cs="Arial"/>
          <w:lang w:val="es-ES" w:eastAsia="es-ES"/>
        </w:rPr>
        <w:t xml:space="preserve"> de </w:t>
      </w:r>
      <w:r w:rsidR="0057154C">
        <w:rPr>
          <w:rFonts w:ascii="Verdana" w:eastAsia="Calibri" w:hAnsi="Verdana" w:cs="Arial"/>
          <w:lang w:val="es-ES" w:eastAsia="es-ES"/>
        </w:rPr>
        <w:t>agosto</w:t>
      </w:r>
      <w:r w:rsidRPr="00C865D4">
        <w:rPr>
          <w:rFonts w:ascii="Verdana" w:eastAsia="Calibri" w:hAnsi="Verdana" w:cs="Arial"/>
          <w:lang w:val="es-ES" w:eastAsia="es-ES"/>
        </w:rPr>
        <w:t xml:space="preserve"> de 2025, en la cual manifiesta lo siguiente: </w:t>
      </w:r>
    </w:p>
    <w:p w14:paraId="01013334" w14:textId="77777777" w:rsidR="009A6251" w:rsidRPr="00C865D4" w:rsidRDefault="009A6251" w:rsidP="009A6251">
      <w:pPr>
        <w:tabs>
          <w:tab w:val="left" w:pos="142"/>
          <w:tab w:val="left" w:pos="284"/>
        </w:tabs>
        <w:spacing w:after="0" w:line="276" w:lineRule="auto"/>
        <w:ind w:left="709" w:right="709"/>
        <w:jc w:val="both"/>
        <w:rPr>
          <w:rFonts w:ascii="Verdana" w:eastAsia="Century Gothic" w:hAnsi="Verdana" w:cs="Century Gothic"/>
          <w:b/>
          <w:bCs/>
        </w:rPr>
      </w:pPr>
    </w:p>
    <w:p w14:paraId="261611CE" w14:textId="69B60AF9" w:rsidR="009A6251" w:rsidRPr="000B6935" w:rsidRDefault="009A6251" w:rsidP="009A6251">
      <w:pPr>
        <w:spacing w:after="120" w:line="240" w:lineRule="auto"/>
        <w:ind w:left="709" w:right="709"/>
        <w:jc w:val="both"/>
        <w:rPr>
          <w:rFonts w:ascii="Verdana" w:eastAsia="Aptos" w:hAnsi="Verdana" w:cs="Times New Roman"/>
          <w:sz w:val="21"/>
          <w:szCs w:val="21"/>
        </w:rPr>
      </w:pPr>
      <w:r>
        <w:rPr>
          <w:rFonts w:ascii="Verdana" w:eastAsia="Century Gothic" w:hAnsi="Verdana" w:cs="Century Gothic"/>
          <w:sz w:val="21"/>
          <w:szCs w:val="21"/>
          <w:lang w:val="es-ES"/>
        </w:rPr>
        <w:t>“</w:t>
      </w:r>
      <w:r w:rsidR="0057154C" w:rsidRPr="0057154C">
        <w:rPr>
          <w:rFonts w:ascii="Verdana" w:eastAsia="Century Gothic" w:hAnsi="Verdana" w:cs="Century Gothic"/>
          <w:i/>
          <w:iCs/>
          <w:sz w:val="21"/>
          <w:szCs w:val="21"/>
        </w:rPr>
        <w:t xml:space="preserve">En caso de que se realicen nuevos pronunciamientos sobre los proponentes válidos y rechazados, ¿la TRM aplicable será la determinada en el primer pronunciamiento, o deberá aplicarse la correspondiente al último pronunciamiento realizado en la fecha en que se corrija o reinicie la </w:t>
      </w:r>
      <w:proofErr w:type="gramStart"/>
      <w:r w:rsidR="0057154C" w:rsidRPr="0057154C">
        <w:rPr>
          <w:rFonts w:ascii="Verdana" w:eastAsia="Century Gothic" w:hAnsi="Verdana" w:cs="Century Gothic"/>
          <w:i/>
          <w:iCs/>
          <w:sz w:val="21"/>
          <w:szCs w:val="21"/>
        </w:rPr>
        <w:t>audiencia?.</w:t>
      </w:r>
      <w:proofErr w:type="gramEnd"/>
      <w:r w:rsidRPr="0057154C">
        <w:rPr>
          <w:rFonts w:ascii="Verdana" w:hAnsi="Verdana"/>
          <w:i/>
          <w:iCs/>
          <w:sz w:val="21"/>
          <w:szCs w:val="21"/>
        </w:rPr>
        <w:t>”.</w:t>
      </w:r>
      <w:r>
        <w:rPr>
          <w:rFonts w:ascii="Verdana" w:hAnsi="Verdana"/>
          <w:sz w:val="21"/>
          <w:szCs w:val="21"/>
        </w:rPr>
        <w:t xml:space="preserve"> (Sic)</w:t>
      </w:r>
      <w:r w:rsidRPr="00C865D4">
        <w:rPr>
          <w:rFonts w:ascii="Verdana" w:eastAsia="Aptos" w:hAnsi="Verdana" w:cs="Times New Roman"/>
          <w:sz w:val="21"/>
          <w:szCs w:val="21"/>
        </w:rPr>
        <w:t xml:space="preserve"> </w:t>
      </w:r>
    </w:p>
    <w:p w14:paraId="37B5E35B" w14:textId="77777777" w:rsidR="009A6251" w:rsidRPr="00C865D4" w:rsidRDefault="009A6251" w:rsidP="009A6251">
      <w:pPr>
        <w:spacing w:after="0" w:line="276" w:lineRule="auto"/>
        <w:ind w:left="709" w:right="709"/>
        <w:jc w:val="both"/>
        <w:rPr>
          <w:rFonts w:ascii="Verdana" w:eastAsia="Century Gothic" w:hAnsi="Verdana" w:cs="Century Gothic"/>
          <w:sz w:val="20"/>
          <w:szCs w:val="20"/>
          <w:lang w:val="es-ES"/>
        </w:rPr>
      </w:pPr>
    </w:p>
    <w:p w14:paraId="57DFDF07" w14:textId="77777777" w:rsidR="009A6251" w:rsidRPr="009322DA" w:rsidRDefault="009A6251" w:rsidP="009A6251">
      <w:pPr>
        <w:spacing w:after="120" w:line="276" w:lineRule="auto"/>
        <w:ind w:firstLine="709"/>
        <w:jc w:val="both"/>
        <w:rPr>
          <w:rFonts w:ascii="Verdana" w:eastAsia="Calibri" w:hAnsi="Verdana" w:cs="Arial"/>
          <w:szCs w:val="24"/>
          <w:lang w:val="es-ES_tradnl" w:eastAsia="es-ES_tradnl"/>
        </w:rPr>
      </w:pPr>
      <w:r w:rsidRPr="009322DA">
        <w:rPr>
          <w:rFonts w:ascii="Verdana" w:eastAsia="Calibri" w:hAnsi="Verdana" w:cs="Arial"/>
          <w:lang w:val="es-ES" w:eastAsia="es-ES"/>
        </w:rPr>
        <w:t xml:space="preserve">De manera preliminar, resulta necesario resaltar que esta entidad solo tiene competencia para responder consultas sobre la aplicación de normas de </w:t>
      </w:r>
      <w:r w:rsidRPr="009322DA">
        <w:rPr>
          <w:rFonts w:ascii="Verdana" w:eastAsia="Calibri" w:hAnsi="Verdana" w:cs="Arial"/>
          <w:lang w:val="es-ES" w:eastAsia="es-ES"/>
        </w:rPr>
        <w:lastRenderedPageBreak/>
        <w:t xml:space="preserve">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322DA">
        <w:rPr>
          <w:rFonts w:ascii="Verdana" w:eastAsia="Calibri" w:hAnsi="Verdana" w:cs="Arial"/>
          <w:szCs w:val="24"/>
          <w:lang w:val="es-ES_tradnl" w:eastAsia="es-ES_tradnl"/>
        </w:rPr>
        <w:tab/>
      </w:r>
    </w:p>
    <w:p w14:paraId="427C0448" w14:textId="77777777" w:rsidR="009A6251" w:rsidRPr="009322DA" w:rsidRDefault="009A6251" w:rsidP="009A6251">
      <w:pPr>
        <w:spacing w:after="0" w:line="276" w:lineRule="auto"/>
        <w:ind w:firstLine="708"/>
        <w:jc w:val="both"/>
        <w:rPr>
          <w:rFonts w:ascii="Verdana" w:eastAsia="Calibri" w:hAnsi="Verdana" w:cs="Arial"/>
          <w:lang w:val="es-ES" w:eastAsia="es-ES"/>
        </w:rPr>
      </w:pPr>
      <w:r w:rsidRPr="009322D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ABD17D9" w14:textId="77777777" w:rsidR="009A6251" w:rsidRPr="00C865D4" w:rsidRDefault="009A6251" w:rsidP="009A6251">
      <w:pPr>
        <w:spacing w:after="0" w:line="276" w:lineRule="auto"/>
        <w:jc w:val="both"/>
        <w:rPr>
          <w:rFonts w:ascii="Verdana" w:eastAsia="Calibri" w:hAnsi="Verdana" w:cs="Arial"/>
          <w:lang w:val="es-ES" w:eastAsia="es-ES"/>
        </w:rPr>
      </w:pPr>
    </w:p>
    <w:p w14:paraId="3348A391" w14:textId="77777777" w:rsidR="009A6251" w:rsidRPr="00C865D4" w:rsidRDefault="009A6251" w:rsidP="009A6251">
      <w:pPr>
        <w:numPr>
          <w:ilvl w:val="0"/>
          <w:numId w:val="19"/>
        </w:numPr>
        <w:tabs>
          <w:tab w:val="left" w:pos="142"/>
          <w:tab w:val="left" w:pos="284"/>
        </w:tabs>
        <w:spacing w:after="0" w:line="276" w:lineRule="auto"/>
        <w:jc w:val="both"/>
        <w:rPr>
          <w:rFonts w:ascii="Verdana" w:eastAsia="Century Gothic" w:hAnsi="Verdana" w:cs="Century Gothic"/>
          <w:b/>
          <w:bCs/>
        </w:rPr>
      </w:pPr>
      <w:r w:rsidRPr="00C865D4">
        <w:rPr>
          <w:rFonts w:ascii="Verdana" w:eastAsia="Century Gothic" w:hAnsi="Verdana" w:cs="Century Gothic"/>
          <w:b/>
          <w:bCs/>
        </w:rPr>
        <w:t>Problema planteado:</w:t>
      </w:r>
    </w:p>
    <w:p w14:paraId="04B7D350" w14:textId="77777777" w:rsidR="009A6251" w:rsidRPr="00C865D4" w:rsidRDefault="009A6251" w:rsidP="009A6251">
      <w:pPr>
        <w:tabs>
          <w:tab w:val="left" w:pos="426"/>
        </w:tabs>
        <w:spacing w:after="0" w:line="276" w:lineRule="auto"/>
        <w:jc w:val="both"/>
        <w:rPr>
          <w:rFonts w:ascii="Verdana" w:eastAsia="Century Gothic" w:hAnsi="Verdana" w:cs="Century Gothic"/>
          <w:lang w:val="es-ES"/>
        </w:rPr>
      </w:pPr>
    </w:p>
    <w:p w14:paraId="1B324B2D" w14:textId="07D0C0AF" w:rsidR="009A6251" w:rsidRPr="00C865D4" w:rsidRDefault="009A6251" w:rsidP="009A6251">
      <w:pPr>
        <w:spacing w:after="0" w:line="276" w:lineRule="auto"/>
        <w:jc w:val="both"/>
        <w:rPr>
          <w:rFonts w:ascii="Verdana" w:eastAsia="Calibri" w:hAnsi="Verdana" w:cs="Arial"/>
          <w:bCs/>
          <w:lang w:val="es-ES_tradnl" w:eastAsia="es-ES_tradnl"/>
        </w:rPr>
      </w:pPr>
      <w:r w:rsidRPr="006C304A">
        <w:rPr>
          <w:rFonts w:ascii="Verdana" w:eastAsia="Century Gothic" w:hAnsi="Verdana" w:cs="Century Gothic"/>
        </w:rPr>
        <w:t>De acuerdo con el contenido de su solicitud, esta Agencia resolverá el siguiente problema jurídico:</w:t>
      </w:r>
      <w:r w:rsidRPr="006C304A">
        <w:rPr>
          <w:rFonts w:ascii="Verdana" w:eastAsia="Calibri" w:hAnsi="Verdana" w:cs="Arial"/>
          <w:bCs/>
          <w:lang w:val="es-ES_tradnl" w:eastAsia="es-ES_tradnl"/>
        </w:rPr>
        <w:t xml:space="preserve"> ¿</w:t>
      </w:r>
      <w:r>
        <w:rPr>
          <w:rFonts w:ascii="Verdana" w:eastAsia="Calibri" w:hAnsi="Verdana" w:cs="Arial"/>
          <w:bCs/>
          <w:lang w:val="es-ES_tradnl" w:eastAsia="es-ES_tradnl"/>
        </w:rPr>
        <w:t>Cómo operan las reglas para definir el método de ponderación de las propuestas</w:t>
      </w:r>
      <w:r w:rsidR="00C43E7C">
        <w:rPr>
          <w:rFonts w:ascii="Verdana" w:eastAsia="Calibri" w:hAnsi="Verdana" w:cs="Arial"/>
          <w:bCs/>
          <w:lang w:val="es-ES_tradnl" w:eastAsia="es-ES_tradnl"/>
        </w:rPr>
        <w:t xml:space="preserve">, </w:t>
      </w:r>
      <w:r w:rsidR="008429BB">
        <w:rPr>
          <w:rFonts w:ascii="Verdana" w:eastAsia="Calibri" w:hAnsi="Verdana" w:cs="Arial"/>
          <w:bCs/>
          <w:lang w:val="es-ES_tradnl" w:eastAsia="es-ES_tradnl"/>
        </w:rPr>
        <w:t>si debe mantenerse la TRM fijada en el primer pronunciamiento, por el contrario, aplicarse la vigencia en la fecha del último pronunciamiento</w:t>
      </w:r>
      <w:r w:rsidR="00C43E7C">
        <w:rPr>
          <w:rFonts w:ascii="Verdana" w:eastAsia="Calibri" w:hAnsi="Verdana" w:cs="Arial"/>
          <w:bCs/>
          <w:lang w:val="es-ES_tradnl" w:eastAsia="es-ES_tradnl"/>
        </w:rPr>
        <w:t>,</w:t>
      </w:r>
      <w:r>
        <w:rPr>
          <w:rFonts w:ascii="Verdana" w:eastAsia="Calibri" w:hAnsi="Verdana" w:cs="Arial"/>
          <w:bCs/>
          <w:lang w:val="es-ES_tradnl" w:eastAsia="es-ES_tradnl"/>
        </w:rPr>
        <w:t xml:space="preserve"> en los documentos tipo de licitación de obra pública de infraestructura de transporte – versión 4</w:t>
      </w:r>
      <w:r w:rsidRPr="006C304A">
        <w:rPr>
          <w:rFonts w:ascii="Verdana" w:eastAsia="Calibri" w:hAnsi="Verdana" w:cs="Arial"/>
          <w:bCs/>
          <w:lang w:val="es-ES_tradnl" w:eastAsia="es-ES_tradnl"/>
        </w:rPr>
        <w:t>?</w:t>
      </w:r>
      <w:r w:rsidRPr="00C865D4">
        <w:rPr>
          <w:rFonts w:ascii="Verdana" w:eastAsia="Calibri" w:hAnsi="Verdana" w:cs="Arial"/>
          <w:bCs/>
          <w:lang w:val="es-ES_tradnl" w:eastAsia="es-ES_tradnl"/>
        </w:rPr>
        <w:t xml:space="preserve"> </w:t>
      </w:r>
    </w:p>
    <w:p w14:paraId="737AD024" w14:textId="77777777" w:rsidR="009A6251" w:rsidRPr="00C865D4" w:rsidRDefault="009A6251" w:rsidP="009A6251">
      <w:pPr>
        <w:spacing w:after="0" w:line="276" w:lineRule="auto"/>
        <w:jc w:val="both"/>
        <w:rPr>
          <w:rFonts w:ascii="Verdana" w:eastAsia="Century Gothic" w:hAnsi="Verdana" w:cs="Century Gothic"/>
        </w:rPr>
      </w:pPr>
    </w:p>
    <w:p w14:paraId="498FEA44" w14:textId="77777777" w:rsidR="009A6251" w:rsidRPr="00C865D4" w:rsidRDefault="009A6251" w:rsidP="009A6251">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C865D4">
        <w:rPr>
          <w:rFonts w:ascii="Verdana" w:eastAsia="Century Gothic" w:hAnsi="Verdana" w:cs="Century Gothic"/>
          <w:b/>
          <w:bCs/>
          <w:lang w:val="es-ES"/>
        </w:rPr>
        <w:t>Respuestas:</w:t>
      </w:r>
    </w:p>
    <w:p w14:paraId="311B0FD7" w14:textId="77777777" w:rsidR="009A6251" w:rsidRPr="00C865D4" w:rsidRDefault="009A6251" w:rsidP="009A6251">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A6251" w:rsidRPr="00C865D4" w14:paraId="7E08FD45" w14:textId="77777777" w:rsidTr="003573D0">
        <w:trPr>
          <w:trHeight w:val="40"/>
        </w:trPr>
        <w:tc>
          <w:tcPr>
            <w:tcW w:w="8828" w:type="dxa"/>
            <w:tcBorders>
              <w:top w:val="dotted" w:sz="4" w:space="0" w:color="auto"/>
              <w:left w:val="dotted" w:sz="4" w:space="0" w:color="auto"/>
              <w:bottom w:val="dotted" w:sz="4" w:space="0" w:color="auto"/>
              <w:right w:val="dotted" w:sz="4" w:space="0" w:color="auto"/>
            </w:tcBorders>
          </w:tcPr>
          <w:p w14:paraId="763B7C7A" w14:textId="77777777" w:rsidR="009A6251" w:rsidRPr="00853E3F" w:rsidRDefault="009A6251" w:rsidP="003573D0">
            <w:pPr>
              <w:spacing w:line="276" w:lineRule="auto"/>
              <w:jc w:val="both"/>
              <w:textAlignment w:val="baseline"/>
              <w:rPr>
                <w:rFonts w:ascii="Verdana" w:eastAsia="Times New Roman" w:hAnsi="Verdana" w:cs="Arial"/>
                <w:lang w:eastAsia="es-CO"/>
              </w:rPr>
            </w:pPr>
            <w:r>
              <w:rPr>
                <w:rFonts w:ascii="Verdana" w:eastAsia="Times New Roman" w:hAnsi="Verdana" w:cs="Arial"/>
                <w:lang w:eastAsia="es-CO"/>
              </w:rPr>
              <w:t xml:space="preserve">El </w:t>
            </w:r>
            <w:r w:rsidRPr="00853E3F">
              <w:rPr>
                <w:rFonts w:ascii="Verdana" w:eastAsia="Times New Roman" w:hAnsi="Verdana" w:cs="Arial"/>
                <w:lang w:eastAsia="es-CO"/>
              </w:rPr>
              <w:t>numeral 4.1.4 establece que el día de la audiencia efectiva de adjudicación, la entidad responderá y resolverá las observaciones presentadas al informe de evaluación y dará apertura de las ofertas económicas contenidas en los sobres No. 2. Además, “(…) verificará, si procede, determinará las correcciones aritméticas y solicitará la justificación de precios artificialmente bajos a que haya lugar, si es necesario, la entidad se pronunciará sobre las ofertas requeridas en los términos del numeral 4.1.3”.</w:t>
            </w:r>
          </w:p>
          <w:p w14:paraId="63233833" w14:textId="77777777" w:rsidR="009A6251" w:rsidRPr="004B408D" w:rsidRDefault="009A6251" w:rsidP="003573D0">
            <w:pPr>
              <w:pStyle w:val="Prrafodelista"/>
              <w:rPr>
                <w:rFonts w:ascii="Verdana" w:eastAsia="Times New Roman" w:hAnsi="Verdana" w:cs="Arial"/>
                <w:lang w:eastAsia="es-CO"/>
              </w:rPr>
            </w:pPr>
          </w:p>
          <w:p w14:paraId="592FDB4F" w14:textId="77777777" w:rsidR="009A6251" w:rsidRPr="00D5774F" w:rsidRDefault="009A6251" w:rsidP="003573D0">
            <w:pPr>
              <w:spacing w:line="276" w:lineRule="auto"/>
              <w:jc w:val="both"/>
              <w:textAlignment w:val="baseline"/>
              <w:rPr>
                <w:rFonts w:ascii="Verdana" w:eastAsia="Times New Roman" w:hAnsi="Verdana" w:cs="Arial"/>
                <w:lang w:eastAsia="es-CO"/>
              </w:rPr>
            </w:pPr>
            <w:r w:rsidRPr="00D5774F">
              <w:rPr>
                <w:rFonts w:ascii="Verdana" w:eastAsia="Times New Roman" w:hAnsi="Verdana" w:cs="Arial"/>
                <w:lang w:eastAsia="es-CO"/>
              </w:rPr>
              <w:t>Agotado el procedimiento anterior, la entidad definirá el método de ponderación de las propuestas de acuerdo con las siguientes reglas:</w:t>
            </w:r>
          </w:p>
          <w:p w14:paraId="1BFD5D4A" w14:textId="77777777" w:rsidR="009A6251" w:rsidRPr="004B408D" w:rsidRDefault="009A6251" w:rsidP="003573D0">
            <w:pPr>
              <w:pStyle w:val="Prrafodelista"/>
              <w:rPr>
                <w:rFonts w:ascii="Verdana" w:eastAsia="Times New Roman" w:hAnsi="Verdana" w:cs="Arial"/>
                <w:lang w:eastAsia="es-CO"/>
              </w:rPr>
            </w:pPr>
          </w:p>
          <w:p w14:paraId="61F08F76" w14:textId="77777777" w:rsidR="009A6251" w:rsidRPr="00D57D75" w:rsidRDefault="009A6251" w:rsidP="009A6251">
            <w:pPr>
              <w:pStyle w:val="Prrafodelista"/>
              <w:numPr>
                <w:ilvl w:val="0"/>
                <w:numId w:val="23"/>
              </w:numPr>
              <w:spacing w:line="276" w:lineRule="auto"/>
              <w:jc w:val="both"/>
              <w:textAlignment w:val="baseline"/>
              <w:rPr>
                <w:rFonts w:ascii="Verdana" w:eastAsia="Times New Roman" w:hAnsi="Verdana" w:cs="Arial"/>
                <w:lang w:eastAsia="es-CO"/>
              </w:rPr>
            </w:pPr>
            <w:r>
              <w:t>Deberá pronunciarse sobre las propuestas que han sido rechazadas y las que se encuentran validas.</w:t>
            </w:r>
          </w:p>
          <w:p w14:paraId="64BC88D1" w14:textId="77777777" w:rsidR="009A6251" w:rsidRPr="004B408D" w:rsidRDefault="009A6251" w:rsidP="009A6251">
            <w:pPr>
              <w:pStyle w:val="Prrafodelista"/>
              <w:numPr>
                <w:ilvl w:val="0"/>
                <w:numId w:val="23"/>
              </w:numPr>
              <w:spacing w:line="276" w:lineRule="auto"/>
              <w:jc w:val="both"/>
              <w:textAlignment w:val="baseline"/>
              <w:rPr>
                <w:rFonts w:ascii="Verdana" w:eastAsia="Times New Roman" w:hAnsi="Verdana" w:cs="Arial"/>
                <w:lang w:eastAsia="es-CO"/>
              </w:rPr>
            </w:pPr>
            <w:r>
              <w:t xml:space="preserve">Si este pronunciamiento, </w:t>
            </w:r>
            <w:r w:rsidRPr="00D20F9D">
              <w:t>se</w:t>
            </w:r>
            <w:r>
              <w:t xml:space="preserve"> realiza</w:t>
            </w:r>
            <w:r w:rsidRPr="00D20F9D">
              <w:t xml:space="preserve"> </w:t>
            </w:r>
            <w:r>
              <w:t xml:space="preserve">hasta </w:t>
            </w:r>
            <w:r w:rsidRPr="00D20F9D">
              <w:t>las 3:00 pm, la entidad tomará la TRM que rija para el día hábil siguiente</w:t>
            </w:r>
            <w:r>
              <w:t>.</w:t>
            </w:r>
          </w:p>
          <w:p w14:paraId="2FD9A9CC" w14:textId="77777777" w:rsidR="009A6251" w:rsidRPr="004B408D" w:rsidRDefault="009A6251" w:rsidP="009A6251">
            <w:pPr>
              <w:pStyle w:val="Prrafodelista"/>
              <w:numPr>
                <w:ilvl w:val="0"/>
                <w:numId w:val="23"/>
              </w:numPr>
              <w:jc w:val="both"/>
              <w:rPr>
                <w:lang w:val="es-MX"/>
              </w:rPr>
            </w:pPr>
            <w:r>
              <w:t xml:space="preserve">Si el pronunciamiento se da después de las </w:t>
            </w:r>
            <w:r w:rsidRPr="00D20F9D">
              <w:t>3:0</w:t>
            </w:r>
            <w:r>
              <w:t>0</w:t>
            </w:r>
            <w:r w:rsidRPr="00D20F9D">
              <w:t xml:space="preserve"> pm, la entidad tomará la TRM que rija para el segundo día hábil siguiente</w:t>
            </w:r>
            <w:r>
              <w:t>.</w:t>
            </w:r>
          </w:p>
          <w:p w14:paraId="4C53B1DA" w14:textId="77777777" w:rsidR="009A6251" w:rsidRDefault="009A6251" w:rsidP="003573D0">
            <w:pPr>
              <w:pStyle w:val="Prrafodelista"/>
              <w:ind w:left="1080"/>
              <w:jc w:val="both"/>
              <w:rPr>
                <w:lang w:val="es-MX"/>
              </w:rPr>
            </w:pPr>
          </w:p>
          <w:p w14:paraId="41DAE19F" w14:textId="77777777" w:rsidR="009A6251" w:rsidRPr="00D5774F" w:rsidRDefault="009A6251" w:rsidP="003573D0">
            <w:pPr>
              <w:spacing w:line="276" w:lineRule="auto"/>
              <w:jc w:val="both"/>
              <w:rPr>
                <w:rFonts w:ascii="Verdana" w:hAnsi="Verdana" w:cs="Arial"/>
              </w:rPr>
            </w:pPr>
            <w:r w:rsidRPr="00D5774F">
              <w:rPr>
                <w:rFonts w:ascii="Verdana" w:eastAsia="Calibri" w:hAnsi="Verdana" w:cs="Arial"/>
              </w:rPr>
              <w:t xml:space="preserve">En este sentido, el numeral 4.1.4 al regular el mecanismo de escogencia del método de ponderación, dispone las reglas que debe seguir la entidad para determinarlo. Lo cual, inicia con el pronunciamiento de la Entidad sobre las propuestas </w:t>
            </w:r>
            <w:r>
              <w:rPr>
                <w:rFonts w:ascii="Verdana" w:eastAsia="Calibri" w:hAnsi="Verdana" w:cs="Arial"/>
              </w:rPr>
              <w:t xml:space="preserve">u ofertas económicas </w:t>
            </w:r>
            <w:r w:rsidRPr="00D5774F">
              <w:rPr>
                <w:rFonts w:ascii="Verdana" w:eastAsia="Calibri" w:hAnsi="Verdana" w:cs="Arial"/>
              </w:rPr>
              <w:t xml:space="preserve">rechazadas y las válidas. </w:t>
            </w:r>
          </w:p>
          <w:p w14:paraId="050E5A0C" w14:textId="77777777" w:rsidR="009A6251" w:rsidRPr="0033254E" w:rsidRDefault="009A6251" w:rsidP="003573D0">
            <w:pPr>
              <w:pStyle w:val="Prrafodelista"/>
              <w:spacing w:line="276" w:lineRule="auto"/>
              <w:contextualSpacing w:val="0"/>
              <w:jc w:val="both"/>
              <w:rPr>
                <w:rFonts w:ascii="Verdana" w:hAnsi="Verdana" w:cs="Arial"/>
              </w:rPr>
            </w:pPr>
          </w:p>
          <w:p w14:paraId="12A12434" w14:textId="77777777" w:rsidR="009A6251" w:rsidRPr="00D5774F" w:rsidRDefault="009A6251" w:rsidP="003573D0">
            <w:pPr>
              <w:spacing w:line="276" w:lineRule="auto"/>
              <w:jc w:val="both"/>
              <w:rPr>
                <w:rFonts w:ascii="Verdana" w:hAnsi="Verdana" w:cs="Arial"/>
              </w:rPr>
            </w:pPr>
            <w:r w:rsidRPr="00D5774F">
              <w:rPr>
                <w:rFonts w:ascii="Verdana" w:eastAsia="Calibri" w:hAnsi="Verdana" w:cs="Arial"/>
              </w:rPr>
              <w:t>Ahora bien, si este pronunciamiento se realiza antes de las 3:00 p.m., la regla contenida en el numeral 4.1.4 establece que se tomará la TRM vigente para el día hábil siguiente. De este modo, fijar una hora límite para el pronunciamiento garantiza que las entidades estatales no puedan conocer anticipadamente la TRM que determinará el método de ponderación, ya que esta es publicada por la Superfinanciera en un momento posterior al pronunciamiento, usualmente entre las 4:00 p.m. y las 6:00 p.m.</w:t>
            </w:r>
          </w:p>
          <w:p w14:paraId="4AF687F3" w14:textId="77777777" w:rsidR="009A6251" w:rsidRPr="0033254E" w:rsidRDefault="009A6251" w:rsidP="003573D0">
            <w:pPr>
              <w:pStyle w:val="Prrafodelista"/>
              <w:contextualSpacing w:val="0"/>
              <w:rPr>
                <w:rFonts w:ascii="Verdana" w:eastAsia="Calibri" w:hAnsi="Verdana" w:cs="Arial"/>
              </w:rPr>
            </w:pPr>
          </w:p>
          <w:p w14:paraId="6ECA63CB" w14:textId="77777777" w:rsidR="009A6251" w:rsidRPr="00D5774F" w:rsidRDefault="009A6251" w:rsidP="003573D0">
            <w:pPr>
              <w:spacing w:line="276" w:lineRule="auto"/>
              <w:jc w:val="both"/>
              <w:rPr>
                <w:rFonts w:ascii="Verdana" w:hAnsi="Verdana" w:cs="Arial"/>
              </w:rPr>
            </w:pPr>
            <w:r w:rsidRPr="00D5774F">
              <w:rPr>
                <w:rFonts w:ascii="Verdana" w:eastAsia="Calibri" w:hAnsi="Verdana" w:cs="Arial"/>
              </w:rPr>
              <w:t>No obstante, si el pronunciamiento de la entidad sobre las propuestas rechazadas y válidas se realiza después de las 3:00 p.m., la regla establece que se tomará la TRM vigente para el segundo día hábil siguiente. Esta disposición busca evitar que la entidad conozca previamente la TRM que determinará el método de ponderación de las ofertas, dado que la Superintendencia la publicaría antes del pronunciamiento de la entidad.</w:t>
            </w:r>
          </w:p>
          <w:p w14:paraId="65635FE0" w14:textId="77777777" w:rsidR="009A6251" w:rsidRPr="0033254E" w:rsidRDefault="009A6251" w:rsidP="003573D0">
            <w:pPr>
              <w:pStyle w:val="Prrafodelista"/>
              <w:rPr>
                <w:rFonts w:ascii="Verdana" w:hAnsi="Verdana" w:cs="Arial"/>
              </w:rPr>
            </w:pPr>
          </w:p>
          <w:p w14:paraId="3061FB67" w14:textId="77777777" w:rsidR="009A6251" w:rsidRPr="00D5774F" w:rsidRDefault="009A6251" w:rsidP="003573D0">
            <w:pPr>
              <w:spacing w:line="276" w:lineRule="auto"/>
              <w:jc w:val="both"/>
              <w:textAlignment w:val="baseline"/>
              <w:rPr>
                <w:rFonts w:ascii="Verdana" w:eastAsia="Times New Roman" w:hAnsi="Verdana" w:cs="Arial"/>
                <w:lang w:eastAsia="es-CO"/>
              </w:rPr>
            </w:pPr>
            <w:r w:rsidRPr="00D5774F">
              <w:rPr>
                <w:rFonts w:ascii="Verdana" w:eastAsia="Times New Roman" w:hAnsi="Verdana" w:cs="Arial"/>
                <w:lang w:eastAsia="es-CO"/>
              </w:rPr>
              <w:t xml:space="preserve">En ese orden de ideas, el numeral 4.1.4 establece que, para poder cumplir con estos supuestos, atendiendo a las particularidades de cada proceso, la entidad podrá suspender la audiencia y reiniciarla cuando lo estime conveniente. Además, señala que definido el método de ponderación de la oferta este seguirá rigiendo aun cuando se suspenda la audiencia. </w:t>
            </w:r>
          </w:p>
          <w:p w14:paraId="39F66EE4" w14:textId="77777777" w:rsidR="009A6251" w:rsidRPr="00156F46" w:rsidRDefault="009A6251" w:rsidP="003573D0">
            <w:pPr>
              <w:pStyle w:val="Prrafodelista"/>
              <w:spacing w:line="276" w:lineRule="auto"/>
              <w:contextualSpacing w:val="0"/>
              <w:jc w:val="both"/>
              <w:textAlignment w:val="baseline"/>
              <w:rPr>
                <w:rFonts w:ascii="Arial" w:eastAsia="Times New Roman" w:hAnsi="Arial" w:cs="Arial"/>
                <w:lang w:eastAsia="es-CO"/>
              </w:rPr>
            </w:pPr>
          </w:p>
          <w:p w14:paraId="3E08FDD1" w14:textId="77777777" w:rsidR="009A6251" w:rsidRPr="00D5774F" w:rsidRDefault="009A6251" w:rsidP="003573D0">
            <w:pPr>
              <w:spacing w:line="276" w:lineRule="auto"/>
              <w:jc w:val="both"/>
              <w:textAlignment w:val="baseline"/>
              <w:rPr>
                <w:rFonts w:ascii="Verdana" w:eastAsia="Times New Roman" w:hAnsi="Verdana" w:cs="Arial"/>
                <w:lang w:eastAsia="es-CO"/>
              </w:rPr>
            </w:pPr>
            <w:r w:rsidRPr="00D5774F">
              <w:rPr>
                <w:rFonts w:ascii="Arial" w:eastAsia="Times New Roman" w:hAnsi="Arial" w:cs="Arial"/>
                <w:lang w:eastAsia="es-CO"/>
              </w:rPr>
              <w:t>C</w:t>
            </w:r>
            <w:r w:rsidRPr="00D5774F">
              <w:rPr>
                <w:rFonts w:ascii="Verdana" w:eastAsia="Times New Roman" w:hAnsi="Verdana" w:cs="Arial"/>
                <w:lang w:eastAsia="es-CO"/>
              </w:rPr>
              <w:t xml:space="preserve">oncretamente, en relación con la pregunta planteada en su solicitud, referente al supuesto en que una entidad requiera más de un día para determinar si las propuestas presentan precios artificialmente bajos, y cómo operarían en ese caso las reglas para establecer el método de ponderación de </w:t>
            </w:r>
            <w:r w:rsidRPr="00D5774F">
              <w:rPr>
                <w:rFonts w:ascii="Verdana" w:eastAsia="Times New Roman" w:hAnsi="Verdana" w:cs="Arial"/>
                <w:lang w:eastAsia="es-CO"/>
              </w:rPr>
              <w:lastRenderedPageBreak/>
              <w:t>las ofertas, debe indicarse que, de acuerdo con el inciso segundo del numeral 4.1.3, “(…) la solicitud de justificación de los precios artificialmente bajos deberá realizarse por la entidad posterior a la apertura del Sobre No. 2 y previo al método de ponderación de las ofertas (…)”. Por su parte, el inciso tercero señala que “(…) cuando algún oferente no responda al requerimiento de justificación de la entidad, o esta determine que alguna oferta económica se encuentra inmersa en un precio artificialmente bajo, se rechazará (…)”.</w:t>
            </w:r>
          </w:p>
          <w:p w14:paraId="79FDFE5C" w14:textId="77777777" w:rsidR="009A6251" w:rsidRPr="00054EB8" w:rsidRDefault="009A6251" w:rsidP="003573D0">
            <w:pPr>
              <w:pStyle w:val="Prrafodelista"/>
              <w:rPr>
                <w:rFonts w:ascii="Arial" w:eastAsia="Times New Roman" w:hAnsi="Arial" w:cs="Arial"/>
                <w:lang w:eastAsia="es-CO"/>
              </w:rPr>
            </w:pPr>
          </w:p>
          <w:p w14:paraId="2013FB8C" w14:textId="77777777" w:rsidR="009A6251" w:rsidRPr="00D507FD" w:rsidRDefault="009A6251" w:rsidP="003573D0">
            <w:pPr>
              <w:spacing w:line="276" w:lineRule="auto"/>
              <w:jc w:val="both"/>
              <w:textAlignment w:val="baseline"/>
              <w:rPr>
                <w:rFonts w:ascii="Verdana" w:eastAsia="Times New Roman" w:hAnsi="Verdana" w:cs="Arial"/>
                <w:lang w:eastAsia="es-CO"/>
              </w:rPr>
            </w:pPr>
            <w:r w:rsidRPr="00D507FD">
              <w:rPr>
                <w:rFonts w:ascii="Verdana" w:eastAsia="Times New Roman" w:hAnsi="Verdana" w:cs="Arial"/>
                <w:lang w:eastAsia="es-CO"/>
              </w:rPr>
              <w:t xml:space="preserve">De esta forma, conforme con lo establecido en los incisos segundo y tercero del numeral 4.1.3, y con las reglas aplicables para determinar el método de ponderación de las ofertas contenidas en el numeral 4.1.4, el pronunciamiento que debe realizar la entidad sobre las propuestas </w:t>
            </w:r>
            <w:r>
              <w:rPr>
                <w:rFonts w:ascii="Verdana" w:eastAsia="Times New Roman" w:hAnsi="Verdana" w:cs="Arial"/>
                <w:lang w:eastAsia="es-CO"/>
              </w:rPr>
              <w:t xml:space="preserve">u ofertas económicas </w:t>
            </w:r>
            <w:r w:rsidRPr="00D507FD">
              <w:rPr>
                <w:rFonts w:ascii="Verdana" w:eastAsia="Times New Roman" w:hAnsi="Verdana" w:cs="Arial"/>
                <w:lang w:eastAsia="es-CO"/>
              </w:rPr>
              <w:t>rechazadas y válidas</w:t>
            </w:r>
            <w:r>
              <w:rPr>
                <w:rFonts w:ascii="Verdana" w:eastAsia="Times New Roman" w:hAnsi="Verdana" w:cs="Arial"/>
                <w:lang w:eastAsia="es-CO"/>
              </w:rPr>
              <w:t>,</w:t>
            </w:r>
            <w:r w:rsidRPr="00D507FD">
              <w:rPr>
                <w:rFonts w:ascii="Verdana" w:eastAsia="Times New Roman" w:hAnsi="Verdana" w:cs="Arial"/>
                <w:lang w:eastAsia="es-CO"/>
              </w:rPr>
              <w:t xml:space="preserve"> incluye el relacionado con las ofertas consideradas artificialmente bajas. En este supuesto, si dicho pronunciamiento se efectúa hasta las 3:00 p.m., la entidad deberá tomar la TRM vigente para el día hábil siguiente. En cambio, si se realiza después de las 3:00 p.m., se aplicará la TRM correspondiente al segundo día hábil siguiente.</w:t>
            </w:r>
          </w:p>
          <w:p w14:paraId="39A5E188" w14:textId="77777777" w:rsidR="009A6251" w:rsidRPr="0033254E" w:rsidRDefault="009A6251" w:rsidP="003573D0">
            <w:pPr>
              <w:spacing w:line="276" w:lineRule="auto"/>
              <w:jc w:val="both"/>
              <w:textAlignment w:val="baseline"/>
              <w:rPr>
                <w:rFonts w:ascii="Verdana" w:eastAsia="Times New Roman" w:hAnsi="Verdana" w:cs="Arial"/>
                <w:lang w:eastAsia="es-CO"/>
              </w:rPr>
            </w:pPr>
          </w:p>
          <w:p w14:paraId="2BC9F6AC" w14:textId="77777777" w:rsidR="009A6251" w:rsidRPr="00D507FD" w:rsidRDefault="009A6251" w:rsidP="003573D0">
            <w:pPr>
              <w:spacing w:line="276" w:lineRule="auto"/>
              <w:jc w:val="both"/>
              <w:textAlignment w:val="baseline"/>
              <w:rPr>
                <w:rFonts w:ascii="Verdana" w:eastAsia="Times New Roman" w:hAnsi="Verdana" w:cs="Arial"/>
                <w:lang w:eastAsia="es-CO"/>
              </w:rPr>
            </w:pPr>
            <w:r w:rsidRPr="00D507FD">
              <w:rPr>
                <w:rFonts w:ascii="Verdana" w:eastAsia="Times New Roman" w:hAnsi="Verdana" w:cs="Arial"/>
                <w:lang w:eastAsia="es-CO"/>
              </w:rPr>
              <w:t>Estos cambios en el mecanismo para definir de forma aleatoria el método de ponderación de las ofertas económicas, garantizan mayor transparencia en la ponderación. Así, se incorporó en los documentos tipo de licitación de obra pública de infraestructura de transporte – versión 4 reglas sobre la TRM y el manejo de precios artificialmente bajos, con el propósito de que aquella no sea conocida en un tiempo prematuro.</w:t>
            </w:r>
          </w:p>
        </w:tc>
      </w:tr>
    </w:tbl>
    <w:p w14:paraId="39E949A3" w14:textId="77777777" w:rsidR="009A6251" w:rsidRPr="00C865D4" w:rsidRDefault="009A6251" w:rsidP="009A6251">
      <w:pPr>
        <w:tabs>
          <w:tab w:val="left" w:pos="142"/>
          <w:tab w:val="left" w:pos="284"/>
        </w:tabs>
        <w:spacing w:after="0" w:line="276" w:lineRule="auto"/>
        <w:jc w:val="both"/>
        <w:rPr>
          <w:rFonts w:ascii="Verdana" w:eastAsia="Century Gothic" w:hAnsi="Verdana" w:cs="Century Gothic"/>
          <w:b/>
          <w:bCs/>
          <w:lang w:val="es-ES"/>
        </w:rPr>
      </w:pPr>
    </w:p>
    <w:p w14:paraId="45BAB893" w14:textId="77777777" w:rsidR="009A6251" w:rsidRPr="00C865D4" w:rsidRDefault="009A6251" w:rsidP="009A6251">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C865D4">
        <w:rPr>
          <w:rFonts w:ascii="Verdana" w:eastAsia="Century Gothic" w:hAnsi="Verdana" w:cs="Century Gothic"/>
          <w:b/>
          <w:bCs/>
          <w:lang w:val="es-ES"/>
        </w:rPr>
        <w:t>Razones de la respuesta:</w:t>
      </w:r>
    </w:p>
    <w:p w14:paraId="2747A862" w14:textId="77777777" w:rsidR="009A6251" w:rsidRPr="00C865D4" w:rsidRDefault="009A6251" w:rsidP="009A6251">
      <w:pPr>
        <w:spacing w:after="0" w:line="276" w:lineRule="auto"/>
        <w:jc w:val="both"/>
        <w:rPr>
          <w:rFonts w:ascii="Verdana" w:eastAsia="Calibri" w:hAnsi="Verdana" w:cs="Arial"/>
          <w:lang w:val="es-ES"/>
        </w:rPr>
      </w:pPr>
    </w:p>
    <w:p w14:paraId="03138E4C" w14:textId="77777777" w:rsidR="009A6251" w:rsidRPr="00C865D4" w:rsidRDefault="009A6251" w:rsidP="009A6251">
      <w:pPr>
        <w:spacing w:after="0" w:line="276" w:lineRule="auto"/>
        <w:jc w:val="both"/>
        <w:rPr>
          <w:rFonts w:ascii="Verdana" w:eastAsia="Calibri" w:hAnsi="Verdana" w:cs="Arial"/>
          <w:lang w:val="es-ES"/>
        </w:rPr>
      </w:pPr>
      <w:r w:rsidRPr="00C865D4">
        <w:rPr>
          <w:rFonts w:ascii="Verdana" w:eastAsia="Calibri" w:hAnsi="Verdana" w:cs="Arial"/>
          <w:lang w:val="es-ES"/>
        </w:rPr>
        <w:t xml:space="preserve">Lo anterior se sustenta en las siguientes consideraciones: </w:t>
      </w:r>
    </w:p>
    <w:p w14:paraId="2046B328" w14:textId="77777777" w:rsidR="009A6251" w:rsidRPr="00C865D4" w:rsidRDefault="009A6251" w:rsidP="009A6251">
      <w:pPr>
        <w:spacing w:after="0" w:line="276" w:lineRule="auto"/>
        <w:jc w:val="both"/>
        <w:rPr>
          <w:rFonts w:ascii="Verdana" w:eastAsia="Calibri" w:hAnsi="Verdana" w:cs="Arial"/>
          <w:lang w:val="es-ES"/>
        </w:rPr>
      </w:pPr>
    </w:p>
    <w:p w14:paraId="5353CC31" w14:textId="77777777" w:rsidR="009A6251" w:rsidRPr="00C865D4" w:rsidRDefault="009A6251" w:rsidP="009A6251">
      <w:pPr>
        <w:numPr>
          <w:ilvl w:val="0"/>
          <w:numId w:val="17"/>
        </w:numPr>
        <w:spacing w:after="0" w:line="276" w:lineRule="auto"/>
        <w:jc w:val="both"/>
        <w:rPr>
          <w:rFonts w:ascii="Verdana" w:eastAsia="Calibri" w:hAnsi="Verdana" w:cs="Arial"/>
          <w:lang w:val="es-ES_tradnl" w:eastAsia="es-ES"/>
        </w:rPr>
      </w:pPr>
      <w:bookmarkStart w:id="1" w:name="_Hlk113022941"/>
      <w:r w:rsidRPr="00C865D4">
        <w:rPr>
          <w:rFonts w:ascii="Verdana" w:eastAsia="Calibri" w:hAnsi="Verdana" w:cs="Arial"/>
          <w:lang w:val="es-ES_tradnl" w:eastAsia="es-ES"/>
        </w:rPr>
        <w:t xml:space="preserve">La </w:t>
      </w:r>
      <w:bookmarkStart w:id="2" w:name="_Hlk176876754"/>
      <w:r w:rsidRPr="00C865D4">
        <w:rPr>
          <w:rFonts w:ascii="Verdana" w:eastAsia="Calibri" w:hAnsi="Verdana" w:cs="Arial"/>
          <w:lang w:val="es-ES_tradnl" w:eastAsia="es-ES"/>
        </w:rPr>
        <w:t>Ley 2022 de 2020, modificó el contenido del parágrafo 7 del artículo 2 de la Ley 1150 de 2007, que había sido adicionado por la Ley 1882 de 2018</w:t>
      </w:r>
      <w:bookmarkEnd w:id="2"/>
      <w:r w:rsidRPr="00C865D4">
        <w:rPr>
          <w:vertAlign w:val="superscript"/>
          <w:lang w:val="es-ES_tradnl" w:eastAsia="es-ES"/>
        </w:rPr>
        <w:footnoteReference w:id="1"/>
      </w:r>
      <w:r w:rsidRPr="00C865D4">
        <w:rPr>
          <w:rFonts w:ascii="Verdana" w:eastAsia="Calibri" w:hAnsi="Verdana" w:cs="Arial"/>
          <w:lang w:val="es-ES_tradnl" w:eastAsia="es-ES"/>
        </w:rPr>
        <w:t xml:space="preserve">. Con esta modificación, si bien se mantuvo el mandato de aplicación </w:t>
      </w:r>
      <w:r w:rsidRPr="00C865D4">
        <w:rPr>
          <w:rFonts w:ascii="Verdana" w:eastAsia="Calibri" w:hAnsi="Verdana" w:cs="Arial"/>
          <w:lang w:val="es-ES_tradnl" w:eastAsia="es-ES"/>
        </w:rPr>
        <w:lastRenderedPageBreak/>
        <w:t xml:space="preserve">obligatoria de los Documentos Tipo por parte de las entidades sometidas al </w:t>
      </w:r>
      <w:r w:rsidRPr="00C865D4">
        <w:rPr>
          <w:rFonts w:ascii="Verdana" w:eastAsia="Calibri" w:hAnsi="Verdana" w:cs="Arial"/>
          <w:bCs/>
          <w:lang w:val="es-ES_tradnl" w:eastAsia="es-ES_tradnl"/>
        </w:rPr>
        <w:t>EGCAP</w:t>
      </w:r>
      <w:r w:rsidRPr="00C865D4">
        <w:rPr>
          <w:rFonts w:ascii="Verdana" w:eastAsia="Calibri" w:hAnsi="Verdana" w:cs="Arial"/>
          <w:lang w:val="es-ES_tradnl" w:eastAsia="es-ES"/>
        </w:rPr>
        <w:t xml:space="preserve">, se atribuyó a la </w:t>
      </w:r>
      <w:r w:rsidRPr="00C865D4">
        <w:rPr>
          <w:rFonts w:ascii="Verdana" w:eastAsia="Calibri" w:hAnsi="Verdana" w:cs="Arial"/>
          <w:lang w:val="es-ES_tradnl" w:eastAsia="es-ES_tradnl"/>
        </w:rPr>
        <w:t xml:space="preserve">Agencia Nacional de Contratación Pública – Colombia Compra Eficiente la competencia para su expedición. </w:t>
      </w:r>
    </w:p>
    <w:p w14:paraId="50CD494B" w14:textId="77777777" w:rsidR="009A6251" w:rsidRPr="00C865D4" w:rsidRDefault="009A6251" w:rsidP="009A6251">
      <w:pPr>
        <w:spacing w:before="120" w:after="120" w:line="276" w:lineRule="auto"/>
        <w:ind w:left="720"/>
        <w:contextualSpacing/>
        <w:jc w:val="both"/>
        <w:rPr>
          <w:rFonts w:ascii="Verdana" w:eastAsia="Calibri" w:hAnsi="Verdana" w:cs="Arial"/>
          <w:lang w:val="es-ES_tradnl" w:eastAsia="es-ES"/>
        </w:rPr>
      </w:pPr>
    </w:p>
    <w:p w14:paraId="6E81A5C0" w14:textId="77777777" w:rsidR="009A6251" w:rsidRDefault="009A6251" w:rsidP="009A6251">
      <w:pPr>
        <w:numPr>
          <w:ilvl w:val="0"/>
          <w:numId w:val="17"/>
        </w:numPr>
        <w:spacing w:after="0" w:line="240" w:lineRule="auto"/>
        <w:ind w:left="714" w:hanging="357"/>
        <w:jc w:val="both"/>
        <w:rPr>
          <w:rFonts w:ascii="Verdana" w:hAnsi="Verdana" w:cs="Arial"/>
          <w:lang w:val="es-ES"/>
        </w:rPr>
      </w:pPr>
      <w:r w:rsidRPr="00C865D4">
        <w:rPr>
          <w:rFonts w:ascii="Verdana" w:hAnsi="Verdana" w:cs="Arial"/>
          <w:lang w:val="es-ES"/>
        </w:rPr>
        <w:t>Con sustento en esta competencia, esta Agencia ha expedido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7EC098FA" w14:textId="77777777" w:rsidR="009A6251" w:rsidRPr="00210050" w:rsidRDefault="009A6251" w:rsidP="009A6251">
      <w:pPr>
        <w:snapToGrid w:val="0"/>
        <w:spacing w:after="0" w:line="276" w:lineRule="auto"/>
        <w:jc w:val="both"/>
        <w:rPr>
          <w:rFonts w:ascii="Verdana" w:eastAsia="Calibri" w:hAnsi="Verdana" w:cs="Arial"/>
          <w:kern w:val="2"/>
          <w14:ligatures w14:val="standardContextual"/>
        </w:rPr>
      </w:pPr>
    </w:p>
    <w:p w14:paraId="3DB9B41E" w14:textId="77777777" w:rsidR="009A6251" w:rsidRDefault="009A6251" w:rsidP="009A6251">
      <w:pPr>
        <w:pStyle w:val="Prrafodelista"/>
        <w:numPr>
          <w:ilvl w:val="0"/>
          <w:numId w:val="17"/>
        </w:numPr>
        <w:snapToGrid w:val="0"/>
        <w:spacing w:after="0" w:line="276" w:lineRule="auto"/>
        <w:contextualSpacing w:val="0"/>
        <w:jc w:val="both"/>
        <w:rPr>
          <w:rFonts w:ascii="Verdana" w:eastAsia="Calibri" w:hAnsi="Verdana" w:cs="Arial"/>
          <w:kern w:val="2"/>
          <w14:ligatures w14:val="standardContextual"/>
        </w:rPr>
      </w:pPr>
      <w:r w:rsidRPr="00D215A4">
        <w:rPr>
          <w:rFonts w:ascii="Verdana" w:eastAsia="Calibri" w:hAnsi="Verdana" w:cs="Arial"/>
          <w:kern w:val="2"/>
          <w14:ligatures w14:val="standardContextual"/>
        </w:rPr>
        <w:t xml:space="preserve">En ejercicio de su competencia, esta agencia estableció un procedimiento para recibir y revisar los comentarios de todos los partícipes del sistema de la compra pública en el primero y parte del segundo semestre del año 2024. Como consecuencia de ello, se expidieron los diferentes actos administrativos por medio de los cuales se adoptaron los documentos tipo del sector de infraestructura de transporte y en simultaneo se publicaron </w:t>
      </w:r>
      <w:r w:rsidRPr="00D215A4">
        <w:rPr>
          <w:rFonts w:ascii="Verdana" w:eastAsia="Calibri" w:hAnsi="Verdana" w:cs="Arial"/>
          <w:kern w:val="2"/>
          <w14:ligatures w14:val="standardContextual"/>
        </w:rPr>
        <w:lastRenderedPageBreak/>
        <w:t>las respuestas a todas las observaciones y/o comentarios realizados a los proyectos de documentos tipo.</w:t>
      </w:r>
    </w:p>
    <w:p w14:paraId="183FC223" w14:textId="77777777" w:rsidR="009A6251" w:rsidRPr="00210050" w:rsidRDefault="009A6251" w:rsidP="009A6251">
      <w:pPr>
        <w:snapToGrid w:val="0"/>
        <w:spacing w:after="0" w:line="276" w:lineRule="auto"/>
        <w:jc w:val="both"/>
        <w:rPr>
          <w:rFonts w:ascii="Verdana" w:eastAsia="Calibri" w:hAnsi="Verdana" w:cs="Arial"/>
          <w:kern w:val="2"/>
          <w14:ligatures w14:val="standardContextual"/>
        </w:rPr>
      </w:pPr>
    </w:p>
    <w:p w14:paraId="61076705" w14:textId="77777777" w:rsidR="009A6251" w:rsidRPr="008609BE" w:rsidRDefault="009A6251" w:rsidP="009A6251">
      <w:pPr>
        <w:numPr>
          <w:ilvl w:val="0"/>
          <w:numId w:val="17"/>
        </w:numPr>
        <w:spacing w:after="0" w:line="276" w:lineRule="auto"/>
        <w:ind w:left="714" w:hanging="357"/>
        <w:jc w:val="both"/>
        <w:rPr>
          <w:rFonts w:ascii="Verdana" w:hAnsi="Verdana" w:cs="Arial"/>
          <w:lang w:val="es-ES"/>
        </w:rPr>
      </w:pPr>
      <w:r w:rsidRPr="00A72D84">
        <w:rPr>
          <w:rFonts w:ascii="Verdana" w:hAnsi="Verdana" w:cs="Arial"/>
          <w:lang w:val="es-ES"/>
        </w:rPr>
        <w:t xml:space="preserve">Los Documentos tipo para la contratación de obra pública de infraestructura de transporte fueron modificados después de surtir el procedimiento interno establecido por esta agencia. En relación con los documentos tipo de licitación de obra pública de infraestructura de transporte, mediante la Resolución 465 del 10 de septiembre de 2024, se adoptó la versión 4 de estos documentos. </w:t>
      </w:r>
    </w:p>
    <w:bookmarkEnd w:id="1"/>
    <w:p w14:paraId="74080E65" w14:textId="77777777" w:rsidR="009A6251" w:rsidRPr="000919C5" w:rsidRDefault="009A6251" w:rsidP="009A6251">
      <w:pPr>
        <w:spacing w:after="0"/>
        <w:rPr>
          <w:rFonts w:ascii="Verdana" w:eastAsia="Calibri" w:hAnsi="Verdana" w:cs="Arial"/>
        </w:rPr>
      </w:pPr>
    </w:p>
    <w:p w14:paraId="741D21E3" w14:textId="77777777" w:rsidR="009A6251" w:rsidRPr="00210050" w:rsidRDefault="009A6251" w:rsidP="009A6251">
      <w:pPr>
        <w:widowControl w:val="0"/>
        <w:numPr>
          <w:ilvl w:val="0"/>
          <w:numId w:val="21"/>
        </w:numPr>
        <w:autoSpaceDE w:val="0"/>
        <w:autoSpaceDN w:val="0"/>
        <w:spacing w:after="0" w:line="276" w:lineRule="auto"/>
        <w:jc w:val="both"/>
        <w:rPr>
          <w:rFonts w:ascii="Verdana" w:eastAsia="Arial" w:hAnsi="Verdana" w:cs="Arial"/>
          <w:lang w:val="es-ES" w:eastAsia="es-ES" w:bidi="es-ES"/>
        </w:rPr>
      </w:pPr>
      <w:r>
        <w:rPr>
          <w:rFonts w:ascii="Verdana" w:eastAsia="Arial" w:hAnsi="Verdana" w:cs="Arial"/>
          <w:lang w:val="es-ES" w:eastAsia="es-ES" w:bidi="es-ES"/>
        </w:rPr>
        <w:t>L</w:t>
      </w:r>
      <w:r w:rsidRPr="00210050">
        <w:rPr>
          <w:rFonts w:ascii="Verdana" w:eastAsia="Arial" w:hAnsi="Verdana" w:cs="Arial"/>
          <w:lang w:val="es-ES" w:eastAsia="es-ES" w:bidi="es-ES"/>
        </w:rPr>
        <w:t>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r w:rsidRPr="00210050">
        <w:rPr>
          <w:rFonts w:ascii="Verdana" w:eastAsia="Arial" w:hAnsi="Verdana" w:cs="Arial"/>
          <w:vertAlign w:val="superscript"/>
          <w:lang w:val="es-ES" w:eastAsia="es-ES" w:bidi="es-ES"/>
        </w:rPr>
        <w:footnoteReference w:id="2"/>
      </w:r>
      <w:r w:rsidRPr="00210050">
        <w:rPr>
          <w:rFonts w:ascii="Verdana" w:eastAsia="Arial" w:hAnsi="Verdana" w:cs="Arial"/>
          <w:lang w:val="es-ES" w:eastAsia="es-ES" w:bidi="es-ES"/>
        </w:rPr>
        <w:t>.</w:t>
      </w:r>
    </w:p>
    <w:p w14:paraId="1CAA0292" w14:textId="77777777" w:rsidR="009A6251" w:rsidRPr="00210050" w:rsidRDefault="009A6251" w:rsidP="009A6251">
      <w:pPr>
        <w:widowControl w:val="0"/>
        <w:autoSpaceDE w:val="0"/>
        <w:autoSpaceDN w:val="0"/>
        <w:spacing w:after="0" w:line="276" w:lineRule="auto"/>
        <w:ind w:left="720"/>
        <w:rPr>
          <w:rFonts w:ascii="Verdana" w:eastAsia="Arial" w:hAnsi="Verdana" w:cs="Arial"/>
          <w:lang w:val="es-ES" w:eastAsia="es-ES" w:bidi="es-ES"/>
        </w:rPr>
      </w:pPr>
    </w:p>
    <w:p w14:paraId="41314D51" w14:textId="77777777" w:rsidR="009A6251" w:rsidRPr="00210050" w:rsidRDefault="009A6251" w:rsidP="009A6251">
      <w:pPr>
        <w:widowControl w:val="0"/>
        <w:numPr>
          <w:ilvl w:val="0"/>
          <w:numId w:val="21"/>
        </w:numPr>
        <w:autoSpaceDE w:val="0"/>
        <w:autoSpaceDN w:val="0"/>
        <w:spacing w:after="0" w:line="276" w:lineRule="auto"/>
        <w:jc w:val="both"/>
        <w:rPr>
          <w:rFonts w:ascii="Verdana" w:eastAsia="Arial" w:hAnsi="Verdana" w:cs="Arial"/>
          <w:lang w:val="es-ES" w:eastAsia="es-ES" w:bidi="es-ES"/>
        </w:rPr>
      </w:pPr>
      <w:r w:rsidRPr="00210050">
        <w:rPr>
          <w:rFonts w:ascii="Verdana" w:eastAsia="Arial" w:hAnsi="Verdana" w:cs="Arial"/>
          <w:lang w:val="es-ES" w:eastAsia="es-ES" w:bidi="es-ES"/>
        </w:rPr>
        <w:t>El Consejo de Estado, Sección Tercera, sentencia 4 de junio de 2008, radicado No. 17.783, Magistrada Ponente: Myriam Guerrero de Escobar, define el precio artificialmente bajo como aquel que no tiene sustento o fundamento en su</w:t>
      </w:r>
      <w:r w:rsidRPr="00210050">
        <w:rPr>
          <w:rFonts w:ascii="Verdana" w:eastAsia="Arial" w:hAnsi="Verdana" w:cs="Arial"/>
          <w:spacing w:val="-45"/>
          <w:lang w:val="es-ES" w:eastAsia="es-ES" w:bidi="es-ES"/>
        </w:rPr>
        <w:t xml:space="preserve"> </w:t>
      </w:r>
      <w:r w:rsidRPr="00210050">
        <w:rPr>
          <w:rFonts w:ascii="Verdana" w:eastAsia="Arial" w:hAnsi="Verdana" w:cs="Arial"/>
          <w:lang w:val="es-ES" w:eastAsia="es-ES" w:bidi="es-ES"/>
        </w:rPr>
        <w:t>estructuración dentro del tráfico comercial:</w:t>
      </w:r>
    </w:p>
    <w:p w14:paraId="1B6FF1B2" w14:textId="77777777" w:rsidR="009A6251" w:rsidRPr="00210050" w:rsidRDefault="009A6251" w:rsidP="009A6251">
      <w:pPr>
        <w:widowControl w:val="0"/>
        <w:autoSpaceDE w:val="0"/>
        <w:autoSpaceDN w:val="0"/>
        <w:spacing w:after="0" w:line="276" w:lineRule="auto"/>
        <w:ind w:left="720"/>
        <w:rPr>
          <w:rFonts w:ascii="Verdana" w:eastAsia="Arial" w:hAnsi="Verdana" w:cs="Arial"/>
          <w:lang w:val="es-ES" w:eastAsia="es-ES" w:bidi="es-ES"/>
        </w:rPr>
      </w:pPr>
    </w:p>
    <w:p w14:paraId="30980844" w14:textId="77777777" w:rsidR="009A6251" w:rsidRPr="00210050" w:rsidRDefault="009A6251" w:rsidP="009A6251">
      <w:pPr>
        <w:spacing w:after="0" w:line="240" w:lineRule="auto"/>
        <w:ind w:left="720" w:right="709"/>
        <w:jc w:val="both"/>
        <w:rPr>
          <w:rFonts w:ascii="Verdana" w:eastAsia="Aptos" w:hAnsi="Verdana" w:cs="Times New Roman"/>
          <w:kern w:val="2"/>
          <w:sz w:val="21"/>
          <w:szCs w:val="21"/>
          <w14:ligatures w14:val="standardContextual"/>
        </w:rPr>
      </w:pPr>
      <w:r w:rsidRPr="00210050">
        <w:rPr>
          <w:rFonts w:ascii="Verdana" w:eastAsia="Aptos" w:hAnsi="Verdana" w:cs="Times New Roman"/>
          <w:kern w:val="2"/>
          <w:sz w:val="21"/>
          <w:szCs w:val="21"/>
          <w14:ligatures w14:val="standardContextual"/>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w:t>
      </w:r>
      <w:r w:rsidRPr="00210050">
        <w:rPr>
          <w:rFonts w:ascii="Verdana" w:eastAsia="Aptos" w:hAnsi="Verdana" w:cs="Times New Roman"/>
          <w:spacing w:val="-8"/>
          <w:kern w:val="2"/>
          <w:sz w:val="21"/>
          <w:szCs w:val="21"/>
          <w14:ligatures w14:val="standardContextual"/>
        </w:rPr>
        <w:t xml:space="preserve"> </w:t>
      </w:r>
      <w:r w:rsidRPr="00210050">
        <w:rPr>
          <w:rFonts w:ascii="Verdana" w:eastAsia="Aptos" w:hAnsi="Verdana" w:cs="Times New Roman"/>
          <w:kern w:val="2"/>
          <w:sz w:val="21"/>
          <w:szCs w:val="21"/>
          <w14:ligatures w14:val="standardContextual"/>
        </w:rPr>
        <w:t>[…]”.</w:t>
      </w:r>
    </w:p>
    <w:p w14:paraId="5381E0EF" w14:textId="77777777" w:rsidR="009A6251" w:rsidRPr="00210050" w:rsidRDefault="009A6251" w:rsidP="009A6251">
      <w:pPr>
        <w:widowControl w:val="0"/>
        <w:autoSpaceDE w:val="0"/>
        <w:autoSpaceDN w:val="0"/>
        <w:spacing w:after="0" w:line="276" w:lineRule="auto"/>
        <w:ind w:left="720"/>
        <w:jc w:val="both"/>
        <w:rPr>
          <w:rFonts w:ascii="Verdana" w:eastAsia="Arial" w:hAnsi="Verdana" w:cs="Arial"/>
          <w:lang w:val="es-ES" w:eastAsia="es-ES" w:bidi="es-ES"/>
        </w:rPr>
      </w:pPr>
    </w:p>
    <w:p w14:paraId="389F0E8F" w14:textId="77777777" w:rsidR="009A6251" w:rsidRPr="00210050" w:rsidRDefault="009A6251" w:rsidP="009A6251">
      <w:pPr>
        <w:widowControl w:val="0"/>
        <w:numPr>
          <w:ilvl w:val="0"/>
          <w:numId w:val="21"/>
        </w:numPr>
        <w:autoSpaceDE w:val="0"/>
        <w:autoSpaceDN w:val="0"/>
        <w:spacing w:after="0" w:line="276" w:lineRule="auto"/>
        <w:jc w:val="both"/>
        <w:rPr>
          <w:rFonts w:ascii="Verdana" w:eastAsia="Arial" w:hAnsi="Verdana" w:cs="Arial"/>
          <w:lang w:val="es-ES" w:eastAsia="es-ES" w:bidi="es-ES"/>
        </w:rPr>
      </w:pPr>
      <w:r w:rsidRPr="00210050">
        <w:rPr>
          <w:rFonts w:ascii="Verdana" w:eastAsia="Arial" w:hAnsi="Verdana" w:cs="Arial"/>
          <w:lang w:val="es-ES" w:eastAsia="es-ES" w:bidi="es-ES"/>
        </w:rPr>
        <w:t xml:space="preserve">Por su parte, el artículo 2.2.1.1.2.2.4. del Decreto 1082 de 2015 establece que cuando el valor de una oferta parezca artificialmente bajo, la entidad debe requerir al oferente para que explique las razones que sustentan el valor ofrecido. Frente a estas explicaciones le corresponde al comité </w:t>
      </w:r>
      <w:r w:rsidRPr="00210050">
        <w:rPr>
          <w:rFonts w:ascii="Verdana" w:eastAsia="Arial" w:hAnsi="Verdana" w:cs="Arial"/>
          <w:lang w:val="es-ES" w:eastAsia="es-ES" w:bidi="es-ES"/>
        </w:rPr>
        <w:lastRenderedPageBreak/>
        <w:t>evaluador analizarlas y recomendar si sebe rechazar la oferta o continuar con el análisis de la oferta durante la evaluación de las ofertas</w:t>
      </w:r>
      <w:r w:rsidRPr="00210050">
        <w:rPr>
          <w:rFonts w:ascii="Verdana" w:eastAsia="Arial" w:hAnsi="Verdana" w:cs="Arial"/>
          <w:vertAlign w:val="superscript"/>
          <w:lang w:val="es-ES" w:eastAsia="es-ES" w:bidi="es-ES"/>
        </w:rPr>
        <w:footnoteReference w:id="3"/>
      </w:r>
      <w:r w:rsidRPr="00210050">
        <w:rPr>
          <w:rFonts w:ascii="Verdana" w:eastAsia="Arial" w:hAnsi="Verdana" w:cs="Arial"/>
          <w:lang w:val="es-ES" w:eastAsia="es-ES" w:bidi="es-ES"/>
        </w:rPr>
        <w:t>.</w:t>
      </w:r>
    </w:p>
    <w:p w14:paraId="48FE66B4" w14:textId="77777777" w:rsidR="009A6251" w:rsidRPr="00210050" w:rsidRDefault="009A6251" w:rsidP="009A6251">
      <w:pPr>
        <w:widowControl w:val="0"/>
        <w:autoSpaceDE w:val="0"/>
        <w:autoSpaceDN w:val="0"/>
        <w:spacing w:after="0" w:line="276" w:lineRule="auto"/>
        <w:ind w:left="720"/>
        <w:rPr>
          <w:rFonts w:ascii="Verdana" w:eastAsia="Arial" w:hAnsi="Verdana" w:cs="Arial"/>
          <w:lang w:val="es-ES" w:eastAsia="es-ES" w:bidi="es-ES"/>
        </w:rPr>
      </w:pPr>
    </w:p>
    <w:p w14:paraId="62B6F0AA" w14:textId="77777777" w:rsidR="009A6251" w:rsidRPr="00210050" w:rsidRDefault="009A6251" w:rsidP="009A6251">
      <w:pPr>
        <w:widowControl w:val="0"/>
        <w:numPr>
          <w:ilvl w:val="0"/>
          <w:numId w:val="21"/>
        </w:numPr>
        <w:autoSpaceDE w:val="0"/>
        <w:autoSpaceDN w:val="0"/>
        <w:spacing w:after="0" w:line="276" w:lineRule="auto"/>
        <w:jc w:val="both"/>
        <w:rPr>
          <w:rFonts w:ascii="Verdana" w:eastAsia="Arial" w:hAnsi="Verdana" w:cs="Arial"/>
          <w:lang w:val="es-ES" w:eastAsia="es-ES" w:bidi="es-ES"/>
        </w:rPr>
      </w:pPr>
      <w:r w:rsidRPr="00210050">
        <w:rPr>
          <w:rFonts w:ascii="Verdana" w:eastAsia="Arial" w:hAnsi="Verdana" w:cs="Arial"/>
          <w:lang w:val="es-ES" w:eastAsia="es-ES" w:bidi="es-ES"/>
        </w:rPr>
        <w:t>El artículo citado también dispone que “cuando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14:paraId="1F3B8B77" w14:textId="77777777" w:rsidR="009A6251" w:rsidRPr="00210050" w:rsidRDefault="009A6251" w:rsidP="009A6251">
      <w:pPr>
        <w:widowControl w:val="0"/>
        <w:autoSpaceDE w:val="0"/>
        <w:autoSpaceDN w:val="0"/>
        <w:spacing w:after="0" w:line="276" w:lineRule="auto"/>
        <w:ind w:right="310"/>
        <w:jc w:val="both"/>
        <w:rPr>
          <w:rFonts w:ascii="Verdana" w:eastAsia="Arial" w:hAnsi="Verdana" w:cs="Arial"/>
          <w:lang w:val="es-ES" w:eastAsia="es-ES" w:bidi="es-ES"/>
        </w:rPr>
      </w:pPr>
    </w:p>
    <w:p w14:paraId="4A6228AD" w14:textId="77777777" w:rsidR="009A6251" w:rsidRPr="00210050" w:rsidRDefault="009A6251" w:rsidP="009A6251">
      <w:pPr>
        <w:numPr>
          <w:ilvl w:val="0"/>
          <w:numId w:val="20"/>
        </w:numPr>
        <w:spacing w:after="0" w:line="276" w:lineRule="auto"/>
        <w:jc w:val="both"/>
        <w:rPr>
          <w:rFonts w:ascii="Verdana" w:eastAsia="Calibri" w:hAnsi="Verdana" w:cs="Arial"/>
        </w:rPr>
      </w:pPr>
      <w:r w:rsidRPr="00210050">
        <w:rPr>
          <w:rFonts w:ascii="Verdana" w:eastAsia="Calibri" w:hAnsi="Verdana" w:cs="Arial"/>
        </w:rPr>
        <w:t xml:space="preserve">En línea con lo anterior, el numeral 4.1.3 “precio artificialmente bajo” del Documento Base de los documentos tipo de </w:t>
      </w:r>
      <w:r>
        <w:rPr>
          <w:rFonts w:ascii="Verdana" w:eastAsia="Calibri" w:hAnsi="Verdana" w:cs="Arial"/>
        </w:rPr>
        <w:t xml:space="preserve">licitación de obra pública de </w:t>
      </w:r>
      <w:r w:rsidRPr="00210050">
        <w:rPr>
          <w:rFonts w:ascii="Verdana" w:eastAsia="Calibri" w:hAnsi="Verdana" w:cs="Arial"/>
        </w:rPr>
        <w:t xml:space="preserve">infraestructura de transporte, establece lo siguiente: </w:t>
      </w:r>
    </w:p>
    <w:p w14:paraId="32BF4386" w14:textId="77777777" w:rsidR="009A6251" w:rsidRDefault="009A6251" w:rsidP="009A6251">
      <w:pPr>
        <w:spacing w:after="0" w:line="276" w:lineRule="auto"/>
        <w:jc w:val="both"/>
        <w:rPr>
          <w:rFonts w:ascii="Verdana" w:eastAsia="Calibri" w:hAnsi="Verdana" w:cs="Arial"/>
        </w:rPr>
      </w:pPr>
    </w:p>
    <w:p w14:paraId="6E8E3AE0" w14:textId="77777777" w:rsidR="009A6251" w:rsidRPr="00BD4973" w:rsidRDefault="009A6251" w:rsidP="009A6251">
      <w:pPr>
        <w:ind w:left="709" w:right="709"/>
        <w:jc w:val="both"/>
        <w:rPr>
          <w:rFonts w:ascii="Verdana" w:hAnsi="Verdana"/>
          <w:sz w:val="21"/>
          <w:szCs w:val="21"/>
          <w:lang w:val="es-MX"/>
        </w:rPr>
      </w:pPr>
      <w:r w:rsidRPr="00BD4973">
        <w:rPr>
          <w:rFonts w:ascii="Verdana" w:hAnsi="Verdana"/>
          <w:sz w:val="21"/>
          <w:szCs w:val="21"/>
          <w:lang w:val="es-MX"/>
        </w:rPr>
        <w:t xml:space="preserve">“En el evento en el que el precio de una oferta, al momento de su evaluación, no parezca suficiente para garantizar una correcta ejecución del contrato, de acuerdo con la información recogida durante la etapa de planeación y particularmente durante el estudio del sector, la entidad aplicará el proceso descrito en el artículo 2.2.1.1.2.2.4. del Decreto 1082 de 2015, además podrá acudir a los parámetros definidos en la Guía para el manejo de ofertas artificialmente bajas en procesos de Contratación de Colombia Compra Eficiente, como un criterio metodológico. </w:t>
      </w:r>
    </w:p>
    <w:p w14:paraId="6175A35A" w14:textId="77777777" w:rsidR="009A6251" w:rsidRPr="00BD4973" w:rsidRDefault="009A6251" w:rsidP="009A6251">
      <w:pPr>
        <w:ind w:left="709" w:right="709"/>
        <w:jc w:val="both"/>
        <w:rPr>
          <w:rFonts w:ascii="Verdana" w:hAnsi="Verdana"/>
          <w:sz w:val="21"/>
          <w:szCs w:val="21"/>
          <w:lang w:val="es-MX"/>
        </w:rPr>
      </w:pPr>
      <w:r w:rsidRPr="00BD4973">
        <w:rPr>
          <w:rFonts w:ascii="Verdana" w:hAnsi="Verdana"/>
          <w:sz w:val="21"/>
          <w:szCs w:val="21"/>
          <w:lang w:val="es-MX"/>
        </w:rPr>
        <w:t xml:space="preserve">La solicitud de justificación de precios artificialmente bajos deberá realizarse por la entidad con posterioridad a la apertura del Sobre No 2 y previo a determinar el método de ponderación de las ofertas económicas, para ello la entidad deberá determinar el tiempo de traslado que otorgará a los oferentes requeridos para que alleguen sus justificaciones. </w:t>
      </w:r>
    </w:p>
    <w:p w14:paraId="790896D3" w14:textId="77777777" w:rsidR="009A6251" w:rsidRDefault="009A6251" w:rsidP="009A6251">
      <w:pPr>
        <w:spacing w:after="0"/>
        <w:ind w:left="709" w:right="709"/>
        <w:jc w:val="both"/>
        <w:rPr>
          <w:rFonts w:ascii="Verdana" w:hAnsi="Verdana"/>
          <w:sz w:val="21"/>
          <w:szCs w:val="21"/>
          <w:lang w:val="es-MX"/>
        </w:rPr>
      </w:pPr>
      <w:r w:rsidRPr="00BD4973">
        <w:rPr>
          <w:rFonts w:ascii="Verdana" w:hAnsi="Verdana"/>
          <w:sz w:val="21"/>
          <w:szCs w:val="21"/>
          <w:lang w:val="es-MX"/>
        </w:rPr>
        <w:lastRenderedPageBreak/>
        <w:t xml:space="preserve">Por lo anterior, cuando algún oferente no responda al requerimiento de justificación de la entidad o esta determine que alguna oferta económica se encuentra inmersa en un precio artificialmente bajo, se rechazará y, en consecuencia, no se considerará al proponente dentro del orden de elegibilidad del proceso”. </w:t>
      </w:r>
    </w:p>
    <w:p w14:paraId="598F0267" w14:textId="77777777" w:rsidR="009A6251" w:rsidRDefault="009A6251" w:rsidP="009A6251">
      <w:pPr>
        <w:spacing w:after="0"/>
        <w:ind w:left="709" w:right="709"/>
        <w:jc w:val="both"/>
        <w:rPr>
          <w:rFonts w:ascii="Verdana" w:hAnsi="Verdana"/>
          <w:sz w:val="21"/>
          <w:szCs w:val="21"/>
          <w:lang w:val="es-MX"/>
        </w:rPr>
      </w:pPr>
    </w:p>
    <w:p w14:paraId="5E5C1D08" w14:textId="77777777" w:rsidR="009A6251" w:rsidRDefault="009A6251" w:rsidP="009A6251">
      <w:pPr>
        <w:numPr>
          <w:ilvl w:val="0"/>
          <w:numId w:val="22"/>
        </w:numPr>
        <w:tabs>
          <w:tab w:val="left" w:pos="-142"/>
        </w:tabs>
        <w:autoSpaceDE w:val="0"/>
        <w:autoSpaceDN w:val="0"/>
        <w:adjustRightInd w:val="0"/>
        <w:spacing w:after="0" w:line="276" w:lineRule="auto"/>
        <w:jc w:val="both"/>
        <w:outlineLvl w:val="2"/>
        <w:rPr>
          <w:rFonts w:ascii="Verdana" w:eastAsia="Calibri" w:hAnsi="Verdana" w:cs="Arial"/>
          <w:lang w:val="x-none" w:eastAsia="es-ES"/>
        </w:rPr>
      </w:pPr>
      <w:r>
        <w:rPr>
          <w:rFonts w:ascii="Verdana" w:eastAsia="Calibri" w:hAnsi="Verdana" w:cs="Arial"/>
        </w:rPr>
        <w:t xml:space="preserve">Por su parte, el numeral </w:t>
      </w:r>
      <w:bookmarkStart w:id="3" w:name="_Toc32147369"/>
      <w:bookmarkStart w:id="4" w:name="_Toc84413953"/>
      <w:bookmarkStart w:id="5" w:name="_Hlk511666009"/>
      <w:r w:rsidRPr="00CD4D9D">
        <w:rPr>
          <w:rFonts w:ascii="Verdana" w:eastAsia="Calibri" w:hAnsi="Verdana" w:cs="Arial"/>
          <w:lang w:eastAsia="es-ES"/>
        </w:rPr>
        <w:t>4.1.4. “</w:t>
      </w:r>
      <w:r w:rsidRPr="00CD4D9D">
        <w:rPr>
          <w:rFonts w:ascii="Verdana" w:eastAsia="Arial" w:hAnsi="Verdana" w:cs="Arial"/>
          <w:lang w:eastAsia="es-ES"/>
        </w:rPr>
        <w:t>determinación del método para la ponderación de la propuesta económica</w:t>
      </w:r>
      <w:bookmarkEnd w:id="3"/>
      <w:bookmarkEnd w:id="4"/>
      <w:bookmarkEnd w:id="5"/>
      <w:r w:rsidRPr="00CD4D9D">
        <w:rPr>
          <w:rFonts w:ascii="Verdana" w:eastAsia="Arial" w:hAnsi="Verdana" w:cs="Arial"/>
          <w:lang w:eastAsia="es-ES"/>
        </w:rPr>
        <w:t>”,</w:t>
      </w:r>
      <w:r>
        <w:rPr>
          <w:rFonts w:ascii="Verdana" w:eastAsia="Arial" w:hAnsi="Verdana" w:cs="Arial"/>
          <w:lang w:eastAsia="es-ES"/>
        </w:rPr>
        <w:t xml:space="preserve"> contenido en el documento base de los documentos tipo de licitación de obra pública de infraestructura de transporte – versión 4, contiene </w:t>
      </w:r>
      <w:r w:rsidRPr="00CD4D9D">
        <w:rPr>
          <w:rFonts w:ascii="Verdana" w:eastAsia="Calibri" w:hAnsi="Verdana" w:cs="Arial"/>
          <w:lang w:val="x-none" w:eastAsia="es-ES"/>
        </w:rPr>
        <w:t>cuatro</w:t>
      </w:r>
      <w:r w:rsidRPr="00CD4D9D">
        <w:rPr>
          <w:rFonts w:ascii="Verdana" w:eastAsia="Calibri" w:hAnsi="Verdana" w:cs="Arial"/>
          <w:lang w:val="es-MX" w:eastAsia="es-ES"/>
        </w:rPr>
        <w:t xml:space="preserve"> (4)</w:t>
      </w:r>
      <w:r w:rsidRPr="00CD4D9D">
        <w:rPr>
          <w:rFonts w:ascii="Verdana" w:eastAsia="Calibri" w:hAnsi="Verdana" w:cs="Arial"/>
          <w:lang w:val="x-none" w:eastAsia="es-ES"/>
        </w:rPr>
        <w:t xml:space="preserve"> alternativas para escoger el método de ponderación de la</w:t>
      </w:r>
      <w:r w:rsidRPr="00CD4D9D">
        <w:rPr>
          <w:rFonts w:ascii="Verdana" w:eastAsia="Calibri" w:hAnsi="Verdana" w:cs="Arial"/>
          <w:lang w:eastAsia="es-ES"/>
        </w:rPr>
        <w:t>s</w:t>
      </w:r>
      <w:r w:rsidRPr="00CD4D9D">
        <w:rPr>
          <w:rFonts w:ascii="Verdana" w:eastAsia="Calibri" w:hAnsi="Verdana" w:cs="Arial"/>
          <w:lang w:val="x-none" w:eastAsia="es-ES"/>
        </w:rPr>
        <w:t xml:space="preserve"> propuesta</w:t>
      </w:r>
      <w:r w:rsidRPr="00CD4D9D">
        <w:rPr>
          <w:rFonts w:ascii="Verdana" w:eastAsia="Calibri" w:hAnsi="Verdana" w:cs="Arial"/>
          <w:lang w:eastAsia="es-ES"/>
        </w:rPr>
        <w:t>s</w:t>
      </w:r>
      <w:r w:rsidRPr="00CD4D9D">
        <w:rPr>
          <w:rFonts w:ascii="Verdana" w:eastAsia="Calibri" w:hAnsi="Verdana" w:cs="Arial"/>
          <w:lang w:val="x-none" w:eastAsia="es-ES"/>
        </w:rPr>
        <w:t xml:space="preserve"> económica</w:t>
      </w:r>
      <w:r w:rsidRPr="00CD4D9D">
        <w:rPr>
          <w:rFonts w:ascii="Verdana" w:eastAsia="Calibri" w:hAnsi="Verdana" w:cs="Arial"/>
          <w:lang w:eastAsia="es-ES"/>
        </w:rPr>
        <w:t>s</w:t>
      </w:r>
      <w:r w:rsidRPr="00CD4D9D">
        <w:rPr>
          <w:rFonts w:ascii="Verdana" w:eastAsia="Calibri" w:hAnsi="Verdana" w:cs="Arial"/>
          <w:lang w:val="x-none" w:eastAsia="es-ES"/>
        </w:rPr>
        <w:t>, a saber: i) mediana con valor absoluto; ii) media geométrica; iii) media aritmética baja, y iv) menor valor.</w:t>
      </w:r>
      <w:r w:rsidRPr="00CD4D9D">
        <w:rPr>
          <w:rFonts w:ascii="Verdana" w:eastAsia="Calibri" w:hAnsi="Verdana" w:cs="Arial"/>
          <w:lang w:eastAsia="es-ES"/>
        </w:rPr>
        <w:t xml:space="preserve"> A partir de estas alternativas</w:t>
      </w:r>
      <w:r w:rsidRPr="00CD4D9D">
        <w:rPr>
          <w:rFonts w:ascii="Verdana" w:eastAsia="Calibri" w:hAnsi="Verdana" w:cs="Arial"/>
          <w:lang w:val="x-none" w:eastAsia="es-ES"/>
        </w:rPr>
        <w:t>, la entidad</w:t>
      </w:r>
      <w:r w:rsidRPr="00CD4D9D">
        <w:rPr>
          <w:rFonts w:ascii="Verdana" w:eastAsia="Calibri" w:hAnsi="Verdana" w:cs="Arial"/>
          <w:lang w:val="es-ES" w:eastAsia="es-ES"/>
        </w:rPr>
        <w:t>,</w:t>
      </w:r>
      <w:r w:rsidRPr="00CD4D9D">
        <w:rPr>
          <w:rFonts w:ascii="Verdana" w:eastAsia="Calibri" w:hAnsi="Verdana" w:cs="Arial"/>
          <w:lang w:val="x-none" w:eastAsia="es-ES"/>
        </w:rPr>
        <w:t xml:space="preserve"> para establecer el método de ponderación</w:t>
      </w:r>
      <w:r w:rsidRPr="00CD4D9D">
        <w:rPr>
          <w:rFonts w:ascii="Verdana" w:eastAsia="Calibri" w:hAnsi="Verdana" w:cs="Arial"/>
          <w:lang w:val="es-ES" w:eastAsia="es-ES"/>
        </w:rPr>
        <w:t>,</w:t>
      </w:r>
      <w:r w:rsidRPr="00CD4D9D">
        <w:rPr>
          <w:rFonts w:ascii="Verdana" w:eastAsia="Calibri" w:hAnsi="Verdana" w:cs="Arial"/>
          <w:lang w:val="x-none" w:eastAsia="es-ES"/>
        </w:rPr>
        <w:t xml:space="preserve"> tomará los centavos de la Tasa de Cambio Representativa del Mercado (TRM), certificada por la Superintendencia Financiera de Colombia</w:t>
      </w:r>
      <w:r w:rsidRPr="00CD4D9D">
        <w:rPr>
          <w:rFonts w:ascii="Verdana" w:eastAsia="Calibri" w:hAnsi="Verdana" w:cs="Arial"/>
          <w:color w:val="3A3A3A"/>
          <w:lang w:val="x-none" w:eastAsia="es-ES"/>
        </w:rPr>
        <w:t>.</w:t>
      </w:r>
      <w:r w:rsidRPr="00CD4D9D">
        <w:rPr>
          <w:rFonts w:ascii="Verdana" w:eastAsia="Calibri" w:hAnsi="Verdana" w:cs="Arial"/>
          <w:lang w:val="x-none" w:eastAsia="es-ES"/>
        </w:rPr>
        <w:t xml:space="preserve"> </w:t>
      </w:r>
      <w:r>
        <w:rPr>
          <w:rFonts w:ascii="Verdana" w:eastAsia="Calibri" w:hAnsi="Verdana" w:cs="Arial"/>
          <w:lang w:val="x-none" w:eastAsia="es-ES"/>
        </w:rPr>
        <w:t>Al respecto, el documento base señala lo siguiente:</w:t>
      </w:r>
    </w:p>
    <w:p w14:paraId="0ED2A02A" w14:textId="77777777" w:rsidR="009A6251" w:rsidRDefault="009A6251" w:rsidP="009A6251">
      <w:pPr>
        <w:tabs>
          <w:tab w:val="left" w:pos="-142"/>
        </w:tabs>
        <w:autoSpaceDE w:val="0"/>
        <w:autoSpaceDN w:val="0"/>
        <w:adjustRightInd w:val="0"/>
        <w:spacing w:after="0" w:line="276" w:lineRule="auto"/>
        <w:ind w:left="720"/>
        <w:jc w:val="both"/>
        <w:outlineLvl w:val="2"/>
        <w:rPr>
          <w:rFonts w:ascii="Verdana" w:eastAsia="Calibri" w:hAnsi="Verdana" w:cs="Arial"/>
          <w:lang w:val="x-none" w:eastAsia="es-ES"/>
        </w:rPr>
      </w:pPr>
    </w:p>
    <w:p w14:paraId="41572015" w14:textId="77777777" w:rsidR="009A6251" w:rsidRPr="00BD4973" w:rsidRDefault="009A6251" w:rsidP="009A6251">
      <w:pPr>
        <w:ind w:left="709" w:right="709"/>
        <w:jc w:val="both"/>
        <w:rPr>
          <w:rFonts w:ascii="Verdana" w:hAnsi="Verdana"/>
          <w:sz w:val="21"/>
          <w:szCs w:val="21"/>
          <w:lang w:val="es-MX"/>
        </w:rPr>
      </w:pPr>
      <w:r w:rsidRPr="00BD4973">
        <w:rPr>
          <w:rFonts w:ascii="Verdana" w:hAnsi="Verdana"/>
          <w:sz w:val="21"/>
          <w:szCs w:val="21"/>
          <w:lang w:val="es-MX"/>
        </w:rPr>
        <w:t>“La entidad seleccionará el método de ponderación de la propuesta económica de acuerdo con las siguientes alternativas:</w:t>
      </w:r>
    </w:p>
    <w:tbl>
      <w:tblPr>
        <w:tblStyle w:val="Tablaconcuadrcula"/>
        <w:tblW w:w="0" w:type="auto"/>
        <w:jc w:val="center"/>
        <w:tblLook w:val="04A0" w:firstRow="1" w:lastRow="0" w:firstColumn="1" w:lastColumn="0" w:noHBand="0" w:noVBand="1"/>
      </w:tblPr>
      <w:tblGrid>
        <w:gridCol w:w="2573"/>
        <w:gridCol w:w="2644"/>
      </w:tblGrid>
      <w:tr w:rsidR="009A6251" w:rsidRPr="00BD4973" w14:paraId="0D3558ED" w14:textId="77777777" w:rsidTr="003573D0">
        <w:trPr>
          <w:trHeight w:val="20"/>
          <w:tblHeader/>
          <w:jc w:val="center"/>
        </w:trPr>
        <w:tc>
          <w:tcPr>
            <w:tcW w:w="1560"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4676A1A4" w14:textId="77777777" w:rsidR="009A6251" w:rsidRPr="00B21006" w:rsidRDefault="009A6251" w:rsidP="003573D0">
            <w:pPr>
              <w:spacing w:line="276" w:lineRule="auto"/>
              <w:ind w:left="709" w:right="709"/>
              <w:jc w:val="both"/>
              <w:rPr>
                <w:rFonts w:ascii="Verdana" w:hAnsi="Verdana" w:cs="Arial"/>
                <w:b/>
                <w:bCs/>
                <w:color w:val="FFFFFF" w:themeColor="background1"/>
                <w:sz w:val="18"/>
                <w:szCs w:val="18"/>
              </w:rPr>
            </w:pPr>
            <w:bookmarkStart w:id="6" w:name="_Hlk511666058"/>
            <w:r w:rsidRPr="00B21006">
              <w:rPr>
                <w:rFonts w:ascii="Verdana" w:hAnsi="Verdana" w:cs="Arial"/>
                <w:b/>
                <w:bCs/>
                <w:color w:val="FFFFFF" w:themeColor="background1"/>
                <w:sz w:val="18"/>
                <w:szCs w:val="18"/>
              </w:rPr>
              <w:t>Concepto</w:t>
            </w:r>
          </w:p>
        </w:tc>
        <w:tc>
          <w:tcPr>
            <w:tcW w:w="198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023EC84" w14:textId="77777777" w:rsidR="009A6251" w:rsidRPr="00B21006" w:rsidRDefault="009A6251" w:rsidP="003573D0">
            <w:pPr>
              <w:spacing w:line="276" w:lineRule="auto"/>
              <w:ind w:left="709" w:right="709"/>
              <w:jc w:val="both"/>
              <w:rPr>
                <w:rFonts w:ascii="Verdana" w:hAnsi="Verdana" w:cs="Arial"/>
                <w:b/>
                <w:bCs/>
                <w:color w:val="FFFFFF" w:themeColor="background1"/>
                <w:sz w:val="18"/>
                <w:szCs w:val="18"/>
              </w:rPr>
            </w:pPr>
            <w:r w:rsidRPr="00B21006">
              <w:rPr>
                <w:rFonts w:ascii="Verdana" w:hAnsi="Verdana" w:cs="Arial"/>
                <w:b/>
                <w:bCs/>
                <w:color w:val="FFFFFF" w:themeColor="background1"/>
                <w:sz w:val="18"/>
                <w:szCs w:val="18"/>
              </w:rPr>
              <w:t>Método</w:t>
            </w:r>
          </w:p>
        </w:tc>
      </w:tr>
      <w:tr w:rsidR="009A6251" w:rsidRPr="00BD4973" w14:paraId="456F4B63" w14:textId="77777777" w:rsidTr="003573D0">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hideMark/>
          </w:tcPr>
          <w:p w14:paraId="52A12ED3" w14:textId="77777777" w:rsidR="009A6251" w:rsidRPr="00B21006" w:rsidRDefault="009A6251" w:rsidP="003573D0">
            <w:pPr>
              <w:spacing w:line="276" w:lineRule="auto"/>
              <w:ind w:left="709" w:right="709"/>
              <w:jc w:val="both"/>
              <w:rPr>
                <w:rFonts w:ascii="Verdana" w:hAnsi="Verdana" w:cs="Arial"/>
                <w:sz w:val="18"/>
                <w:szCs w:val="18"/>
                <w:lang w:val="es-ES"/>
              </w:rPr>
            </w:pPr>
            <w:r w:rsidRPr="00B21006">
              <w:rPr>
                <w:rFonts w:ascii="Verdana" w:hAnsi="Verdana" w:cs="Arial"/>
                <w:sz w:val="18"/>
                <w:szCs w:val="18"/>
                <w:lang w:val="es-ES"/>
              </w:rPr>
              <w:t>1</w:t>
            </w:r>
          </w:p>
        </w:tc>
        <w:tc>
          <w:tcPr>
            <w:tcW w:w="1984" w:type="dxa"/>
            <w:tcBorders>
              <w:top w:val="single" w:sz="4" w:space="0" w:color="auto"/>
              <w:left w:val="single" w:sz="4" w:space="0" w:color="auto"/>
              <w:bottom w:val="single" w:sz="4" w:space="0" w:color="auto"/>
              <w:right w:val="double" w:sz="4" w:space="0" w:color="auto"/>
            </w:tcBorders>
            <w:vAlign w:val="center"/>
            <w:hideMark/>
          </w:tcPr>
          <w:p w14:paraId="0C8E2D5F" w14:textId="77777777" w:rsidR="009A6251" w:rsidRPr="00B21006" w:rsidRDefault="009A6251" w:rsidP="003573D0">
            <w:pPr>
              <w:spacing w:line="276" w:lineRule="auto"/>
              <w:ind w:left="709" w:right="709"/>
              <w:jc w:val="both"/>
              <w:rPr>
                <w:rFonts w:ascii="Verdana" w:hAnsi="Verdana" w:cs="Arial"/>
                <w:sz w:val="18"/>
                <w:szCs w:val="18"/>
                <w:lang w:val="es-ES"/>
              </w:rPr>
            </w:pPr>
            <w:r w:rsidRPr="00B21006">
              <w:rPr>
                <w:rFonts w:ascii="Verdana" w:hAnsi="Verdana" w:cs="Arial"/>
                <w:sz w:val="18"/>
                <w:szCs w:val="18"/>
                <w:lang w:val="es-ES"/>
              </w:rPr>
              <w:t>Mediana con valor absoluto</w:t>
            </w:r>
          </w:p>
        </w:tc>
      </w:tr>
      <w:tr w:rsidR="009A6251" w:rsidRPr="00BD4973" w14:paraId="10705709" w14:textId="77777777" w:rsidTr="003573D0">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hideMark/>
          </w:tcPr>
          <w:p w14:paraId="59ABDF71" w14:textId="77777777" w:rsidR="009A6251" w:rsidRPr="00B21006" w:rsidRDefault="009A6251" w:rsidP="003573D0">
            <w:pPr>
              <w:spacing w:line="276" w:lineRule="auto"/>
              <w:ind w:left="709" w:right="709"/>
              <w:jc w:val="both"/>
              <w:rPr>
                <w:rFonts w:ascii="Verdana" w:hAnsi="Verdana" w:cs="Arial"/>
                <w:sz w:val="18"/>
                <w:szCs w:val="18"/>
                <w:lang w:val="es-ES"/>
              </w:rPr>
            </w:pPr>
            <w:r w:rsidRPr="00B21006">
              <w:rPr>
                <w:rFonts w:ascii="Verdana" w:hAnsi="Verdana" w:cs="Arial"/>
                <w:sz w:val="18"/>
                <w:szCs w:val="18"/>
                <w:lang w:val="es-ES"/>
              </w:rPr>
              <w:t>2</w:t>
            </w:r>
          </w:p>
        </w:tc>
        <w:tc>
          <w:tcPr>
            <w:tcW w:w="1984" w:type="dxa"/>
            <w:tcBorders>
              <w:top w:val="single" w:sz="4" w:space="0" w:color="auto"/>
              <w:left w:val="single" w:sz="4" w:space="0" w:color="auto"/>
              <w:bottom w:val="single" w:sz="4" w:space="0" w:color="auto"/>
              <w:right w:val="double" w:sz="4" w:space="0" w:color="auto"/>
            </w:tcBorders>
            <w:vAlign w:val="center"/>
            <w:hideMark/>
          </w:tcPr>
          <w:p w14:paraId="31A7E105" w14:textId="77777777" w:rsidR="009A6251" w:rsidRPr="00B21006" w:rsidRDefault="009A6251" w:rsidP="003573D0">
            <w:pPr>
              <w:spacing w:line="276" w:lineRule="auto"/>
              <w:ind w:left="709" w:right="709"/>
              <w:jc w:val="both"/>
              <w:rPr>
                <w:rFonts w:ascii="Verdana" w:hAnsi="Verdana" w:cs="Arial"/>
                <w:sz w:val="18"/>
                <w:szCs w:val="18"/>
                <w:lang w:val="es-ES"/>
              </w:rPr>
            </w:pPr>
            <w:r w:rsidRPr="00B21006">
              <w:rPr>
                <w:rFonts w:ascii="Verdana" w:hAnsi="Verdana" w:cs="Arial"/>
                <w:sz w:val="18"/>
                <w:szCs w:val="18"/>
                <w:lang w:val="es-ES"/>
              </w:rPr>
              <w:t>Media geométrica</w:t>
            </w:r>
          </w:p>
        </w:tc>
      </w:tr>
      <w:tr w:rsidR="009A6251" w:rsidRPr="00BD4973" w14:paraId="4907BDE5" w14:textId="77777777" w:rsidTr="003573D0">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tcPr>
          <w:p w14:paraId="40C79C0F" w14:textId="77777777" w:rsidR="009A6251" w:rsidRPr="00B21006" w:rsidRDefault="009A6251" w:rsidP="003573D0">
            <w:pPr>
              <w:spacing w:line="276" w:lineRule="auto"/>
              <w:ind w:left="709" w:right="709"/>
              <w:jc w:val="both"/>
              <w:rPr>
                <w:rFonts w:ascii="Verdana" w:hAnsi="Verdana" w:cs="Arial"/>
                <w:sz w:val="18"/>
                <w:szCs w:val="18"/>
                <w:lang w:val="es-ES"/>
              </w:rPr>
            </w:pPr>
            <w:r w:rsidRPr="00B21006">
              <w:rPr>
                <w:rFonts w:ascii="Verdana" w:hAnsi="Verdana" w:cs="Arial"/>
                <w:sz w:val="18"/>
                <w:szCs w:val="18"/>
                <w:lang w:val="es-ES"/>
              </w:rPr>
              <w:t>3</w:t>
            </w:r>
          </w:p>
        </w:tc>
        <w:tc>
          <w:tcPr>
            <w:tcW w:w="1984" w:type="dxa"/>
            <w:tcBorders>
              <w:top w:val="single" w:sz="4" w:space="0" w:color="auto"/>
              <w:left w:val="single" w:sz="4" w:space="0" w:color="auto"/>
              <w:bottom w:val="single" w:sz="4" w:space="0" w:color="auto"/>
              <w:right w:val="double" w:sz="4" w:space="0" w:color="auto"/>
            </w:tcBorders>
            <w:vAlign w:val="center"/>
          </w:tcPr>
          <w:p w14:paraId="44BAB03C" w14:textId="77777777" w:rsidR="009A6251" w:rsidRPr="00B21006" w:rsidRDefault="009A6251" w:rsidP="003573D0">
            <w:pPr>
              <w:spacing w:line="276" w:lineRule="auto"/>
              <w:ind w:left="709" w:right="709"/>
              <w:jc w:val="both"/>
              <w:rPr>
                <w:rFonts w:ascii="Verdana" w:hAnsi="Verdana" w:cs="Arial"/>
                <w:sz w:val="18"/>
                <w:szCs w:val="18"/>
                <w:lang w:val="es-ES"/>
              </w:rPr>
            </w:pPr>
            <w:r w:rsidRPr="00B21006">
              <w:rPr>
                <w:rFonts w:ascii="Verdana" w:hAnsi="Verdana" w:cs="Arial"/>
                <w:sz w:val="18"/>
                <w:szCs w:val="18"/>
                <w:lang w:val="es-ES"/>
              </w:rPr>
              <w:t>Media aritmética baja</w:t>
            </w:r>
          </w:p>
        </w:tc>
      </w:tr>
      <w:tr w:rsidR="009A6251" w:rsidRPr="00BD4973" w14:paraId="59E3BF6C" w14:textId="77777777" w:rsidTr="003573D0">
        <w:trPr>
          <w:trHeight w:val="20"/>
          <w:jc w:val="center"/>
        </w:trPr>
        <w:tc>
          <w:tcPr>
            <w:tcW w:w="1560" w:type="dxa"/>
            <w:tcBorders>
              <w:top w:val="single" w:sz="4" w:space="0" w:color="auto"/>
              <w:left w:val="double" w:sz="4" w:space="0" w:color="auto"/>
              <w:bottom w:val="double" w:sz="4" w:space="0" w:color="auto"/>
              <w:right w:val="single" w:sz="4" w:space="0" w:color="auto"/>
            </w:tcBorders>
            <w:vAlign w:val="center"/>
          </w:tcPr>
          <w:p w14:paraId="490CDAB3" w14:textId="77777777" w:rsidR="009A6251" w:rsidRPr="00B21006" w:rsidRDefault="009A6251" w:rsidP="003573D0">
            <w:pPr>
              <w:spacing w:line="276" w:lineRule="auto"/>
              <w:ind w:left="709" w:right="709"/>
              <w:jc w:val="both"/>
              <w:rPr>
                <w:rFonts w:ascii="Verdana" w:hAnsi="Verdana" w:cs="Arial"/>
                <w:sz w:val="18"/>
                <w:szCs w:val="18"/>
                <w:lang w:val="es-ES"/>
              </w:rPr>
            </w:pPr>
            <w:r w:rsidRPr="00B21006">
              <w:rPr>
                <w:rFonts w:ascii="Verdana" w:hAnsi="Verdana" w:cs="Arial"/>
                <w:sz w:val="18"/>
                <w:szCs w:val="18"/>
                <w:lang w:val="es-ES"/>
              </w:rPr>
              <w:t>4</w:t>
            </w:r>
          </w:p>
        </w:tc>
        <w:tc>
          <w:tcPr>
            <w:tcW w:w="1984" w:type="dxa"/>
            <w:tcBorders>
              <w:top w:val="single" w:sz="4" w:space="0" w:color="auto"/>
              <w:left w:val="single" w:sz="4" w:space="0" w:color="auto"/>
              <w:bottom w:val="double" w:sz="4" w:space="0" w:color="auto"/>
              <w:right w:val="double" w:sz="4" w:space="0" w:color="auto"/>
            </w:tcBorders>
            <w:vAlign w:val="center"/>
          </w:tcPr>
          <w:p w14:paraId="0D2EDD12" w14:textId="77777777" w:rsidR="009A6251" w:rsidRPr="00B21006" w:rsidRDefault="009A6251" w:rsidP="003573D0">
            <w:pPr>
              <w:spacing w:line="276" w:lineRule="auto"/>
              <w:ind w:left="709" w:right="709"/>
              <w:jc w:val="both"/>
              <w:rPr>
                <w:rFonts w:ascii="Verdana" w:hAnsi="Verdana" w:cs="Arial"/>
                <w:sz w:val="18"/>
                <w:szCs w:val="18"/>
                <w:lang w:val="es-ES"/>
              </w:rPr>
            </w:pPr>
            <w:r w:rsidRPr="00B21006">
              <w:rPr>
                <w:rFonts w:ascii="Verdana" w:hAnsi="Verdana" w:cs="Arial"/>
                <w:sz w:val="18"/>
                <w:szCs w:val="18"/>
                <w:lang w:val="es-ES"/>
              </w:rPr>
              <w:t>Menor valor</w:t>
            </w:r>
          </w:p>
        </w:tc>
      </w:tr>
    </w:tbl>
    <w:bookmarkEnd w:id="6"/>
    <w:p w14:paraId="113381CE" w14:textId="77777777" w:rsidR="009A6251" w:rsidRPr="00BD4973" w:rsidRDefault="009A6251" w:rsidP="009A6251">
      <w:pPr>
        <w:ind w:left="709" w:right="709"/>
        <w:jc w:val="both"/>
        <w:rPr>
          <w:rFonts w:ascii="Verdana" w:hAnsi="Verdana"/>
          <w:sz w:val="21"/>
          <w:szCs w:val="21"/>
          <w:lang w:val="es-MX"/>
        </w:rPr>
      </w:pPr>
      <w:r w:rsidRPr="00BD4973">
        <w:rPr>
          <w:rFonts w:ascii="Verdana" w:hAnsi="Verdana"/>
          <w:sz w:val="21"/>
          <w:szCs w:val="21"/>
          <w:lang w:val="es-MX"/>
        </w:rPr>
        <w:t>Para determinar el método de ponderación, la entidad tomará los centavos de la Tasa de Cambio Representativa del Mercado (TRM), certificada por la Superintendencia Financiera de Colombia (en su sitio web: https://www.superfinanciera.gov.co/publicacion/60819).</w:t>
      </w:r>
    </w:p>
    <w:p w14:paraId="00078113" w14:textId="77777777" w:rsidR="009A6251" w:rsidRPr="00BD4973" w:rsidRDefault="009A6251" w:rsidP="009A6251">
      <w:pPr>
        <w:ind w:left="709" w:right="709"/>
        <w:jc w:val="both"/>
        <w:rPr>
          <w:rFonts w:ascii="Verdana" w:hAnsi="Verdana"/>
          <w:sz w:val="21"/>
          <w:szCs w:val="21"/>
          <w:lang w:val="es-MX"/>
        </w:rPr>
      </w:pPr>
      <w:r w:rsidRPr="00BD4973">
        <w:rPr>
          <w:rFonts w:ascii="Verdana" w:hAnsi="Verdana"/>
          <w:sz w:val="21"/>
          <w:szCs w:val="21"/>
        </w:rPr>
        <w:t xml:space="preserve">El día de la audiencia efectiva de adjudicación, la entidad iniciará respondiendo y resolviendo las observaciones presentadas al informe de evaluación, de conformidad con el numeral 2.6. Después, la entidad iniciará la apertura de los sobres de las ofertas económicas, verificará, si procede, determinará las correcciones aritméticas y solicitará la </w:t>
      </w:r>
      <w:r w:rsidRPr="00BD4973">
        <w:rPr>
          <w:rFonts w:ascii="Verdana" w:hAnsi="Verdana"/>
          <w:sz w:val="21"/>
          <w:szCs w:val="21"/>
        </w:rPr>
        <w:lastRenderedPageBreak/>
        <w:t>justificación de precios artificialmente bajos a que haya lugar, si es necesario, la entidad se pronunciará sobre las ofertas requeridas en los términos del numeral 4.1.3. Posteriormente, la entidad definirá el método de ponderación de las propuestas de acuerdo con las siguientes reglas:</w:t>
      </w:r>
      <w:r w:rsidRPr="00BD4973">
        <w:rPr>
          <w:rFonts w:ascii="Verdana" w:hAnsi="Verdana"/>
          <w:sz w:val="21"/>
          <w:szCs w:val="21"/>
          <w:lang w:val="es-MX"/>
        </w:rPr>
        <w:t> </w:t>
      </w:r>
    </w:p>
    <w:p w14:paraId="3AEF6316" w14:textId="77777777" w:rsidR="009A6251" w:rsidRPr="00BD4973" w:rsidRDefault="009A6251" w:rsidP="009A6251">
      <w:pPr>
        <w:pStyle w:val="Prrafodelista"/>
        <w:ind w:left="1416" w:right="709"/>
        <w:jc w:val="both"/>
        <w:rPr>
          <w:rFonts w:ascii="Verdana" w:hAnsi="Verdana"/>
          <w:sz w:val="21"/>
          <w:szCs w:val="21"/>
          <w:lang w:val="es-MX"/>
        </w:rPr>
      </w:pPr>
      <w:r w:rsidRPr="00BD4973">
        <w:rPr>
          <w:rFonts w:ascii="Verdana" w:hAnsi="Verdana"/>
          <w:sz w:val="21"/>
          <w:szCs w:val="21"/>
        </w:rPr>
        <w:t>Una vez agotado el procedimiento anterior, la Entidad deberá pronunciarse sobre las propuestas que han sido rechazadas y las que se encuentran validas. Si este pronunciamiento, se realiza hasta las 3:00 pm, la entidad tomará la TRM que rija para el día hábil siguiente.</w:t>
      </w:r>
      <w:r w:rsidRPr="00BD4973" w:rsidDel="007C178D">
        <w:rPr>
          <w:rFonts w:ascii="Verdana" w:hAnsi="Verdana"/>
          <w:sz w:val="21"/>
          <w:szCs w:val="21"/>
        </w:rPr>
        <w:t xml:space="preserve"> </w:t>
      </w:r>
      <w:r w:rsidRPr="00BD4973">
        <w:rPr>
          <w:rFonts w:ascii="Verdana" w:hAnsi="Verdana"/>
          <w:sz w:val="21"/>
          <w:szCs w:val="21"/>
        </w:rPr>
        <w:t>En caso contrario, cuando el pronunciamiento se dé después de las 3:00 pm, la entidad tomará la TRM que rija para el segundo día hábil siguiente.</w:t>
      </w:r>
    </w:p>
    <w:p w14:paraId="0CB90AC7" w14:textId="77777777" w:rsidR="009A6251" w:rsidRPr="00BD4973" w:rsidRDefault="009A6251" w:rsidP="009A6251">
      <w:pPr>
        <w:ind w:left="709" w:right="709"/>
        <w:jc w:val="both"/>
        <w:rPr>
          <w:rFonts w:ascii="Verdana" w:hAnsi="Verdana"/>
          <w:sz w:val="21"/>
          <w:szCs w:val="21"/>
          <w:lang w:val="es-MX"/>
        </w:rPr>
      </w:pPr>
      <w:r w:rsidRPr="00BD4973">
        <w:rPr>
          <w:rFonts w:ascii="Verdana" w:hAnsi="Verdana"/>
          <w:sz w:val="21"/>
          <w:szCs w:val="21"/>
        </w:rPr>
        <w:t>En este sentido, atendiendo a las circunstancias anteriores y las particularidades de cada caso, la entidad podrá optar por suspender la audiencia y reiniciarla cuando lo considere conveniente.</w:t>
      </w:r>
    </w:p>
    <w:p w14:paraId="31DF35DB" w14:textId="77777777" w:rsidR="009A6251" w:rsidRPr="00BD4973" w:rsidRDefault="009A6251" w:rsidP="009A6251">
      <w:pPr>
        <w:ind w:left="709" w:right="709"/>
        <w:jc w:val="both"/>
        <w:rPr>
          <w:rFonts w:ascii="Verdana" w:hAnsi="Verdana"/>
          <w:sz w:val="21"/>
          <w:szCs w:val="21"/>
          <w:lang w:val="es-MX"/>
        </w:rPr>
      </w:pPr>
      <w:r w:rsidRPr="00BD4973">
        <w:rPr>
          <w:rFonts w:ascii="Verdana" w:hAnsi="Verdana"/>
          <w:sz w:val="21"/>
          <w:szCs w:val="21"/>
        </w:rPr>
        <w:t>Una vez definido el método de ponderación de la oferta económica el mismo seguirá rigiendo aun cuando la entidad deba suspender la audiencia.</w:t>
      </w:r>
    </w:p>
    <w:p w14:paraId="5B21E9EC" w14:textId="77777777" w:rsidR="009A6251" w:rsidRPr="00BD4973" w:rsidRDefault="009A6251" w:rsidP="009A6251">
      <w:pPr>
        <w:ind w:left="709" w:right="709"/>
        <w:jc w:val="both"/>
        <w:rPr>
          <w:rFonts w:ascii="Verdana" w:hAnsi="Verdana"/>
          <w:sz w:val="21"/>
          <w:szCs w:val="21"/>
          <w:lang w:val="es-MX"/>
        </w:rPr>
      </w:pPr>
      <w:r w:rsidRPr="00BD4973">
        <w:rPr>
          <w:rFonts w:ascii="Verdana" w:hAnsi="Verdana"/>
          <w:sz w:val="21"/>
          <w:szCs w:val="21"/>
        </w:rPr>
        <w:t>Al momento de definir o modificar el cronograma del Proceso de Contratación la entidad deberá verificar que el día hábil siguiente a la fecha de apertura de las ofertas económicas no corresponda a un día festivo en Estados Unidos, con el objetivo de no afectar el proceso de definición del método de ponderación de las propuestas.</w:t>
      </w:r>
      <w:r w:rsidRPr="00BD4973">
        <w:rPr>
          <w:rFonts w:ascii="Verdana" w:hAnsi="Verdana"/>
          <w:sz w:val="21"/>
          <w:szCs w:val="21"/>
          <w:lang w:val="es-MX"/>
        </w:rPr>
        <w:t> </w:t>
      </w:r>
    </w:p>
    <w:p w14:paraId="3F17FAFF" w14:textId="77777777" w:rsidR="009A6251" w:rsidRPr="00BD4973" w:rsidRDefault="009A6251" w:rsidP="009A6251">
      <w:pPr>
        <w:ind w:left="709" w:right="709"/>
        <w:jc w:val="both"/>
        <w:rPr>
          <w:rFonts w:ascii="Verdana" w:hAnsi="Verdana"/>
          <w:sz w:val="21"/>
          <w:szCs w:val="21"/>
          <w:lang w:val="es-MX"/>
        </w:rPr>
      </w:pPr>
      <w:r w:rsidRPr="00BD4973">
        <w:rPr>
          <w:rFonts w:ascii="Verdana" w:hAnsi="Verdana"/>
          <w:sz w:val="21"/>
          <w:szCs w:val="21"/>
          <w:lang w:val="es-MX"/>
        </w:rPr>
        <w:t>El método de ponderación se determinará de acuerdo con los rangos del siguiente cuadro:</w:t>
      </w:r>
    </w:p>
    <w:tbl>
      <w:tblPr>
        <w:tblW w:w="0" w:type="auto"/>
        <w:tblInd w:w="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61"/>
        <w:gridCol w:w="2349"/>
        <w:gridCol w:w="3079"/>
      </w:tblGrid>
      <w:tr w:rsidR="009A6251" w:rsidRPr="00BD4973" w14:paraId="63841785" w14:textId="77777777" w:rsidTr="003573D0">
        <w:trPr>
          <w:trHeight w:val="12"/>
          <w:tblHeader/>
        </w:trPr>
        <w:tc>
          <w:tcPr>
            <w:tcW w:w="0" w:type="auto"/>
            <w:tcBorders>
              <w:top w:val="double" w:sz="4" w:space="0" w:color="auto"/>
              <w:left w:val="double" w:sz="4" w:space="0" w:color="auto"/>
              <w:bottom w:val="single" w:sz="4" w:space="0" w:color="auto"/>
              <w:right w:val="single" w:sz="4" w:space="0" w:color="auto"/>
            </w:tcBorders>
            <w:shd w:val="clear" w:color="auto" w:fill="262626" w:themeFill="text1" w:themeFillTint="D9"/>
            <w:vAlign w:val="center"/>
            <w:hideMark/>
          </w:tcPr>
          <w:p w14:paraId="1604D092" w14:textId="77777777" w:rsidR="009A6251" w:rsidRPr="00B21006" w:rsidRDefault="009A6251" w:rsidP="003573D0">
            <w:pPr>
              <w:spacing w:after="0" w:line="276" w:lineRule="auto"/>
              <w:ind w:left="709" w:right="709"/>
              <w:jc w:val="both"/>
              <w:rPr>
                <w:rFonts w:ascii="Verdana" w:eastAsia="Arial,Calibri" w:hAnsi="Verdana" w:cs="Arial"/>
                <w:b/>
                <w:bCs/>
                <w:color w:val="FFFFFF" w:themeColor="background1"/>
                <w:sz w:val="16"/>
                <w:szCs w:val="16"/>
              </w:rPr>
            </w:pPr>
            <w:r w:rsidRPr="00B21006">
              <w:rPr>
                <w:rFonts w:ascii="Verdana" w:hAnsi="Verdana" w:cs="Arial"/>
                <w:b/>
                <w:bCs/>
                <w:color w:val="FFFFFF" w:themeColor="background1"/>
                <w:sz w:val="16"/>
                <w:szCs w:val="16"/>
              </w:rPr>
              <w:t>Rango</w:t>
            </w:r>
            <w:r w:rsidRPr="00B21006">
              <w:rPr>
                <w:rFonts w:ascii="Verdana" w:eastAsia="Arial,Calibri" w:hAnsi="Verdana" w:cs="Arial"/>
                <w:b/>
                <w:bCs/>
                <w:color w:val="FFFFFF" w:themeColor="background1"/>
                <w:sz w:val="16"/>
                <w:szCs w:val="16"/>
              </w:rPr>
              <w:t xml:space="preserve"> </w:t>
            </w:r>
            <w:r w:rsidRPr="00B21006">
              <w:rPr>
                <w:rFonts w:ascii="Verdana" w:hAnsi="Verdana" w:cs="Arial"/>
                <w:b/>
                <w:bCs/>
                <w:color w:val="FFFFFF" w:themeColor="background1"/>
                <w:sz w:val="16"/>
                <w:szCs w:val="16"/>
              </w:rPr>
              <w:t>(inclusive)</w:t>
            </w:r>
          </w:p>
        </w:tc>
        <w:tc>
          <w:tcPr>
            <w:tcW w:w="0" w:type="auto"/>
            <w:tcBorders>
              <w:top w:val="double" w:sz="4" w:space="0" w:color="auto"/>
              <w:left w:val="single" w:sz="4" w:space="0" w:color="auto"/>
              <w:bottom w:val="single" w:sz="4" w:space="0" w:color="auto"/>
              <w:right w:val="single" w:sz="4" w:space="0" w:color="auto"/>
            </w:tcBorders>
            <w:shd w:val="clear" w:color="auto" w:fill="262626" w:themeFill="text1" w:themeFillTint="D9"/>
            <w:vAlign w:val="center"/>
            <w:hideMark/>
          </w:tcPr>
          <w:p w14:paraId="51C232E6" w14:textId="77777777" w:rsidR="009A6251" w:rsidRPr="00B21006" w:rsidRDefault="009A6251" w:rsidP="003573D0">
            <w:pPr>
              <w:spacing w:after="0" w:line="276" w:lineRule="auto"/>
              <w:ind w:left="709" w:right="709"/>
              <w:jc w:val="both"/>
              <w:rPr>
                <w:rFonts w:ascii="Verdana" w:eastAsia="Arial,Calibri" w:hAnsi="Verdana" w:cs="Arial"/>
                <w:b/>
                <w:bCs/>
                <w:color w:val="FFFFFF" w:themeColor="background1"/>
                <w:sz w:val="16"/>
                <w:szCs w:val="16"/>
              </w:rPr>
            </w:pPr>
            <w:r w:rsidRPr="00B21006">
              <w:rPr>
                <w:rFonts w:ascii="Verdana" w:hAnsi="Verdana" w:cs="Arial"/>
                <w:b/>
                <w:bCs/>
                <w:color w:val="FFFFFF" w:themeColor="background1"/>
                <w:sz w:val="16"/>
                <w:szCs w:val="16"/>
              </w:rPr>
              <w:t>Número</w:t>
            </w:r>
          </w:p>
        </w:tc>
        <w:tc>
          <w:tcPr>
            <w:tcW w:w="3079" w:type="dxa"/>
            <w:tcBorders>
              <w:top w:val="double" w:sz="4" w:space="0" w:color="auto"/>
              <w:left w:val="single" w:sz="4" w:space="0" w:color="auto"/>
              <w:bottom w:val="single" w:sz="4" w:space="0" w:color="auto"/>
              <w:right w:val="double" w:sz="4" w:space="0" w:color="auto"/>
            </w:tcBorders>
            <w:shd w:val="clear" w:color="auto" w:fill="262626" w:themeFill="text1" w:themeFillTint="D9"/>
            <w:vAlign w:val="center"/>
            <w:hideMark/>
          </w:tcPr>
          <w:p w14:paraId="222794CC" w14:textId="77777777" w:rsidR="009A6251" w:rsidRPr="00B21006" w:rsidRDefault="009A6251" w:rsidP="003573D0">
            <w:pPr>
              <w:spacing w:after="0" w:line="276" w:lineRule="auto"/>
              <w:ind w:left="709" w:right="709"/>
              <w:jc w:val="both"/>
              <w:rPr>
                <w:rFonts w:ascii="Verdana" w:eastAsia="Arial,Calibri" w:hAnsi="Verdana" w:cs="Arial"/>
                <w:b/>
                <w:bCs/>
                <w:color w:val="FFFFFF" w:themeColor="background1"/>
                <w:sz w:val="16"/>
                <w:szCs w:val="16"/>
              </w:rPr>
            </w:pPr>
            <w:r w:rsidRPr="00B21006">
              <w:rPr>
                <w:rFonts w:ascii="Verdana" w:hAnsi="Verdana" w:cs="Arial"/>
                <w:b/>
                <w:bCs/>
                <w:color w:val="FFFFFF" w:themeColor="background1"/>
                <w:sz w:val="16"/>
                <w:szCs w:val="16"/>
              </w:rPr>
              <w:t>Método</w:t>
            </w:r>
          </w:p>
        </w:tc>
      </w:tr>
      <w:tr w:rsidR="009A6251" w:rsidRPr="00BD4973" w14:paraId="5D97F6CA" w14:textId="77777777" w:rsidTr="003573D0">
        <w:trPr>
          <w:trHeight w:val="12"/>
        </w:trPr>
        <w:tc>
          <w:tcPr>
            <w:tcW w:w="0" w:type="auto"/>
            <w:tcBorders>
              <w:top w:val="single" w:sz="4" w:space="0" w:color="auto"/>
              <w:left w:val="double" w:sz="4" w:space="0" w:color="auto"/>
              <w:bottom w:val="single" w:sz="4" w:space="0" w:color="auto"/>
              <w:right w:val="single" w:sz="4" w:space="0" w:color="auto"/>
            </w:tcBorders>
            <w:vAlign w:val="center"/>
            <w:hideMark/>
          </w:tcPr>
          <w:p w14:paraId="5D87391C" w14:textId="77777777" w:rsidR="009A6251" w:rsidRPr="00B21006" w:rsidRDefault="009A6251" w:rsidP="003573D0">
            <w:pPr>
              <w:spacing w:after="0" w:line="276" w:lineRule="auto"/>
              <w:ind w:left="709" w:right="709"/>
              <w:jc w:val="both"/>
              <w:rPr>
                <w:rFonts w:ascii="Verdana" w:hAnsi="Verdana" w:cs="Arial"/>
                <w:sz w:val="16"/>
                <w:szCs w:val="16"/>
                <w:lang w:val="es-ES" w:eastAsia="es-CO"/>
              </w:rPr>
            </w:pPr>
            <w:r w:rsidRPr="00B21006">
              <w:rPr>
                <w:rFonts w:ascii="Verdana" w:hAnsi="Verdana" w:cs="Arial"/>
                <w:sz w:val="16"/>
                <w:szCs w:val="16"/>
                <w:lang w:val="es-ES" w:eastAsia="es-CO"/>
              </w:rPr>
              <w:t>De 0.00 a 0.24</w:t>
            </w:r>
          </w:p>
        </w:tc>
        <w:tc>
          <w:tcPr>
            <w:tcW w:w="0" w:type="auto"/>
            <w:tcBorders>
              <w:top w:val="single" w:sz="4" w:space="0" w:color="auto"/>
              <w:left w:val="single" w:sz="4" w:space="0" w:color="auto"/>
              <w:bottom w:val="single" w:sz="4" w:space="0" w:color="auto"/>
              <w:right w:val="single" w:sz="4" w:space="0" w:color="auto"/>
            </w:tcBorders>
            <w:vAlign w:val="center"/>
            <w:hideMark/>
          </w:tcPr>
          <w:p w14:paraId="27A6C150" w14:textId="77777777" w:rsidR="009A6251" w:rsidRPr="00B21006" w:rsidRDefault="009A6251" w:rsidP="003573D0">
            <w:pPr>
              <w:spacing w:after="0" w:line="276" w:lineRule="auto"/>
              <w:ind w:left="709" w:right="709"/>
              <w:jc w:val="both"/>
              <w:rPr>
                <w:rFonts w:ascii="Verdana" w:eastAsia="Arial,Times New Roman" w:hAnsi="Verdana" w:cs="Arial"/>
                <w:sz w:val="16"/>
                <w:szCs w:val="16"/>
                <w:lang w:val="es-ES" w:eastAsia="es-CO"/>
              </w:rPr>
            </w:pPr>
            <w:r w:rsidRPr="00B21006">
              <w:rPr>
                <w:rFonts w:ascii="Verdana" w:hAnsi="Verdana" w:cs="Arial"/>
                <w:sz w:val="16"/>
                <w:szCs w:val="16"/>
                <w:lang w:val="es-ES" w:eastAsia="es-CO"/>
              </w:rPr>
              <w:t>1</w:t>
            </w:r>
          </w:p>
        </w:tc>
        <w:tc>
          <w:tcPr>
            <w:tcW w:w="3079" w:type="dxa"/>
            <w:tcBorders>
              <w:top w:val="single" w:sz="4" w:space="0" w:color="auto"/>
              <w:left w:val="single" w:sz="4" w:space="0" w:color="auto"/>
              <w:bottom w:val="single" w:sz="4" w:space="0" w:color="auto"/>
              <w:right w:val="double" w:sz="4" w:space="0" w:color="auto"/>
            </w:tcBorders>
            <w:vAlign w:val="center"/>
            <w:hideMark/>
          </w:tcPr>
          <w:p w14:paraId="4352E13F" w14:textId="77777777" w:rsidR="009A6251" w:rsidRPr="00B21006" w:rsidRDefault="009A6251" w:rsidP="003573D0">
            <w:pPr>
              <w:spacing w:after="0" w:line="276" w:lineRule="auto"/>
              <w:ind w:left="709" w:right="709"/>
              <w:jc w:val="both"/>
              <w:rPr>
                <w:rFonts w:ascii="Verdana" w:eastAsia="Arial,Times New Roman" w:hAnsi="Verdana" w:cs="Arial"/>
                <w:sz w:val="16"/>
                <w:szCs w:val="16"/>
                <w:lang w:val="es-ES" w:eastAsia="es-CO"/>
              </w:rPr>
            </w:pPr>
            <w:r w:rsidRPr="00B21006">
              <w:rPr>
                <w:rFonts w:ascii="Verdana" w:hAnsi="Verdana" w:cs="Arial"/>
                <w:sz w:val="16"/>
                <w:szCs w:val="16"/>
                <w:lang w:val="es-ES" w:eastAsia="es-CO"/>
              </w:rPr>
              <w:t>Mediana con valor absoluto</w:t>
            </w:r>
          </w:p>
        </w:tc>
      </w:tr>
      <w:tr w:rsidR="009A6251" w:rsidRPr="00BD4973" w14:paraId="1ED05229" w14:textId="77777777" w:rsidTr="003573D0">
        <w:trPr>
          <w:trHeight w:val="26"/>
        </w:trPr>
        <w:tc>
          <w:tcPr>
            <w:tcW w:w="0" w:type="auto"/>
            <w:tcBorders>
              <w:top w:val="single" w:sz="4" w:space="0" w:color="auto"/>
              <w:left w:val="double" w:sz="4" w:space="0" w:color="auto"/>
              <w:bottom w:val="single" w:sz="4" w:space="0" w:color="auto"/>
              <w:right w:val="single" w:sz="4" w:space="0" w:color="auto"/>
            </w:tcBorders>
            <w:vAlign w:val="center"/>
            <w:hideMark/>
          </w:tcPr>
          <w:p w14:paraId="29E39979" w14:textId="77777777" w:rsidR="009A6251" w:rsidRPr="00B21006" w:rsidRDefault="009A6251" w:rsidP="003573D0">
            <w:pPr>
              <w:spacing w:after="0" w:line="276" w:lineRule="auto"/>
              <w:ind w:left="709" w:right="709"/>
              <w:jc w:val="both"/>
              <w:rPr>
                <w:rFonts w:ascii="Verdana" w:hAnsi="Verdana" w:cs="Arial"/>
                <w:sz w:val="16"/>
                <w:szCs w:val="16"/>
                <w:lang w:val="es-ES" w:eastAsia="es-CO"/>
              </w:rPr>
            </w:pPr>
            <w:r w:rsidRPr="00B21006">
              <w:rPr>
                <w:rFonts w:ascii="Verdana" w:hAnsi="Verdana" w:cs="Arial"/>
                <w:sz w:val="16"/>
                <w:szCs w:val="16"/>
                <w:lang w:val="es-ES" w:eastAsia="es-CO"/>
              </w:rPr>
              <w:t>De 0.25 a 0.49</w:t>
            </w:r>
          </w:p>
        </w:tc>
        <w:tc>
          <w:tcPr>
            <w:tcW w:w="0" w:type="auto"/>
            <w:tcBorders>
              <w:top w:val="single" w:sz="4" w:space="0" w:color="auto"/>
              <w:left w:val="single" w:sz="4" w:space="0" w:color="auto"/>
              <w:bottom w:val="single" w:sz="4" w:space="0" w:color="auto"/>
              <w:right w:val="single" w:sz="4" w:space="0" w:color="auto"/>
            </w:tcBorders>
            <w:vAlign w:val="center"/>
            <w:hideMark/>
          </w:tcPr>
          <w:p w14:paraId="1B8374A0" w14:textId="77777777" w:rsidR="009A6251" w:rsidRPr="00B21006" w:rsidRDefault="009A6251" w:rsidP="003573D0">
            <w:pPr>
              <w:spacing w:after="0" w:line="276" w:lineRule="auto"/>
              <w:ind w:left="709" w:right="709"/>
              <w:jc w:val="both"/>
              <w:rPr>
                <w:rFonts w:ascii="Verdana" w:eastAsia="Arial,Times New Roman" w:hAnsi="Verdana" w:cs="Arial"/>
                <w:sz w:val="16"/>
                <w:szCs w:val="16"/>
                <w:lang w:val="es-ES" w:eastAsia="es-CO"/>
              </w:rPr>
            </w:pPr>
            <w:r w:rsidRPr="00B21006">
              <w:rPr>
                <w:rFonts w:ascii="Verdana" w:eastAsia="Arial,Times New Roman" w:hAnsi="Verdana" w:cs="Arial"/>
                <w:sz w:val="16"/>
                <w:szCs w:val="16"/>
                <w:lang w:val="es-ES" w:eastAsia="es-CO"/>
              </w:rPr>
              <w:t>2</w:t>
            </w:r>
          </w:p>
        </w:tc>
        <w:tc>
          <w:tcPr>
            <w:tcW w:w="3079" w:type="dxa"/>
            <w:tcBorders>
              <w:top w:val="single" w:sz="4" w:space="0" w:color="auto"/>
              <w:left w:val="single" w:sz="4" w:space="0" w:color="auto"/>
              <w:bottom w:val="single" w:sz="4" w:space="0" w:color="auto"/>
              <w:right w:val="double" w:sz="4" w:space="0" w:color="auto"/>
            </w:tcBorders>
            <w:vAlign w:val="center"/>
            <w:hideMark/>
          </w:tcPr>
          <w:p w14:paraId="1D1DE469" w14:textId="77777777" w:rsidR="009A6251" w:rsidRPr="00B21006" w:rsidRDefault="009A6251" w:rsidP="003573D0">
            <w:pPr>
              <w:spacing w:after="0" w:line="276" w:lineRule="auto"/>
              <w:ind w:left="709" w:right="709"/>
              <w:jc w:val="both"/>
              <w:rPr>
                <w:rFonts w:ascii="Verdana" w:eastAsia="Arial,Times New Roman" w:hAnsi="Verdana" w:cs="Arial"/>
                <w:sz w:val="16"/>
                <w:szCs w:val="16"/>
                <w:lang w:val="es-ES" w:eastAsia="es-CO"/>
              </w:rPr>
            </w:pPr>
            <w:r w:rsidRPr="00B21006">
              <w:rPr>
                <w:rFonts w:ascii="Verdana" w:hAnsi="Verdana" w:cs="Arial"/>
                <w:sz w:val="16"/>
                <w:szCs w:val="16"/>
                <w:lang w:val="es-ES" w:eastAsia="es-CO"/>
              </w:rPr>
              <w:t>Media geométrica</w:t>
            </w:r>
          </w:p>
        </w:tc>
      </w:tr>
      <w:tr w:rsidR="009A6251" w:rsidRPr="00BD4973" w14:paraId="44D3B217" w14:textId="77777777" w:rsidTr="003573D0">
        <w:trPr>
          <w:trHeight w:val="12"/>
        </w:trPr>
        <w:tc>
          <w:tcPr>
            <w:tcW w:w="0" w:type="auto"/>
            <w:tcBorders>
              <w:top w:val="single" w:sz="4" w:space="0" w:color="auto"/>
              <w:left w:val="double" w:sz="4" w:space="0" w:color="auto"/>
              <w:bottom w:val="single" w:sz="4" w:space="0" w:color="auto"/>
              <w:right w:val="single" w:sz="4" w:space="0" w:color="auto"/>
            </w:tcBorders>
            <w:vAlign w:val="center"/>
          </w:tcPr>
          <w:p w14:paraId="38ECA358" w14:textId="77777777" w:rsidR="009A6251" w:rsidRPr="00B21006" w:rsidRDefault="009A6251" w:rsidP="003573D0">
            <w:pPr>
              <w:spacing w:after="0" w:line="276" w:lineRule="auto"/>
              <w:ind w:left="709" w:right="709"/>
              <w:jc w:val="both"/>
              <w:rPr>
                <w:rFonts w:ascii="Verdana" w:hAnsi="Verdana" w:cs="Arial"/>
                <w:sz w:val="16"/>
                <w:szCs w:val="16"/>
                <w:lang w:val="es-ES" w:eastAsia="es-CO"/>
              </w:rPr>
            </w:pPr>
            <w:r w:rsidRPr="00B21006">
              <w:rPr>
                <w:rFonts w:ascii="Verdana" w:hAnsi="Verdana" w:cs="Arial"/>
                <w:sz w:val="16"/>
                <w:szCs w:val="16"/>
                <w:lang w:val="es-ES" w:eastAsia="es-CO"/>
              </w:rPr>
              <w:t>De 0.50 a 0.74</w:t>
            </w:r>
          </w:p>
        </w:tc>
        <w:tc>
          <w:tcPr>
            <w:tcW w:w="0" w:type="auto"/>
            <w:tcBorders>
              <w:top w:val="single" w:sz="4" w:space="0" w:color="auto"/>
              <w:left w:val="single" w:sz="4" w:space="0" w:color="auto"/>
              <w:bottom w:val="single" w:sz="4" w:space="0" w:color="auto"/>
              <w:right w:val="single" w:sz="4" w:space="0" w:color="auto"/>
            </w:tcBorders>
            <w:vAlign w:val="center"/>
          </w:tcPr>
          <w:p w14:paraId="69434680" w14:textId="77777777" w:rsidR="009A6251" w:rsidRPr="00B21006" w:rsidRDefault="009A6251" w:rsidP="003573D0">
            <w:pPr>
              <w:spacing w:after="0" w:line="276" w:lineRule="auto"/>
              <w:ind w:left="709" w:right="709"/>
              <w:jc w:val="both"/>
              <w:rPr>
                <w:rFonts w:ascii="Verdana" w:hAnsi="Verdana" w:cs="Arial"/>
                <w:sz w:val="16"/>
                <w:szCs w:val="16"/>
                <w:lang w:val="es-ES" w:eastAsia="es-CO"/>
              </w:rPr>
            </w:pPr>
            <w:r w:rsidRPr="00B21006">
              <w:rPr>
                <w:rFonts w:ascii="Verdana" w:hAnsi="Verdana" w:cs="Arial"/>
                <w:sz w:val="16"/>
                <w:szCs w:val="16"/>
                <w:lang w:val="es-ES" w:eastAsia="es-CO"/>
              </w:rPr>
              <w:t>3</w:t>
            </w:r>
          </w:p>
        </w:tc>
        <w:tc>
          <w:tcPr>
            <w:tcW w:w="3079" w:type="dxa"/>
            <w:tcBorders>
              <w:top w:val="single" w:sz="4" w:space="0" w:color="auto"/>
              <w:left w:val="single" w:sz="4" w:space="0" w:color="auto"/>
              <w:bottom w:val="single" w:sz="4" w:space="0" w:color="auto"/>
              <w:right w:val="double" w:sz="4" w:space="0" w:color="auto"/>
            </w:tcBorders>
            <w:vAlign w:val="center"/>
          </w:tcPr>
          <w:p w14:paraId="54F48D0B" w14:textId="77777777" w:rsidR="009A6251" w:rsidRPr="00B21006" w:rsidRDefault="009A6251" w:rsidP="003573D0">
            <w:pPr>
              <w:spacing w:after="0" w:line="276" w:lineRule="auto"/>
              <w:ind w:left="709" w:right="709"/>
              <w:jc w:val="both"/>
              <w:rPr>
                <w:rFonts w:ascii="Verdana" w:hAnsi="Verdana" w:cs="Arial"/>
                <w:sz w:val="16"/>
                <w:szCs w:val="16"/>
                <w:lang w:val="es-ES" w:eastAsia="es-CO"/>
              </w:rPr>
            </w:pPr>
            <w:r w:rsidRPr="00B21006">
              <w:rPr>
                <w:rFonts w:ascii="Verdana" w:hAnsi="Verdana" w:cs="Arial"/>
                <w:sz w:val="16"/>
                <w:szCs w:val="16"/>
                <w:lang w:val="es-ES" w:eastAsia="es-CO"/>
              </w:rPr>
              <w:t>Media aritmética baja</w:t>
            </w:r>
          </w:p>
        </w:tc>
      </w:tr>
      <w:tr w:rsidR="009A6251" w:rsidRPr="00BD4973" w14:paraId="41C09833" w14:textId="77777777" w:rsidTr="003573D0">
        <w:trPr>
          <w:trHeight w:val="12"/>
        </w:trPr>
        <w:tc>
          <w:tcPr>
            <w:tcW w:w="0" w:type="auto"/>
            <w:tcBorders>
              <w:top w:val="single" w:sz="4" w:space="0" w:color="auto"/>
              <w:left w:val="double" w:sz="4" w:space="0" w:color="auto"/>
              <w:bottom w:val="double" w:sz="4" w:space="0" w:color="auto"/>
              <w:right w:val="single" w:sz="4" w:space="0" w:color="auto"/>
            </w:tcBorders>
            <w:vAlign w:val="center"/>
          </w:tcPr>
          <w:p w14:paraId="0864070F" w14:textId="77777777" w:rsidR="009A6251" w:rsidRPr="00B21006" w:rsidRDefault="009A6251" w:rsidP="003573D0">
            <w:pPr>
              <w:spacing w:after="0" w:line="276" w:lineRule="auto"/>
              <w:ind w:left="709" w:right="709"/>
              <w:jc w:val="both"/>
              <w:rPr>
                <w:rFonts w:ascii="Verdana" w:hAnsi="Verdana" w:cs="Arial"/>
                <w:sz w:val="16"/>
                <w:szCs w:val="16"/>
                <w:lang w:val="es-ES" w:eastAsia="es-CO"/>
              </w:rPr>
            </w:pPr>
            <w:r w:rsidRPr="00B21006">
              <w:rPr>
                <w:rFonts w:ascii="Verdana" w:hAnsi="Verdana" w:cs="Arial"/>
                <w:sz w:val="16"/>
                <w:szCs w:val="16"/>
                <w:lang w:val="es-ES" w:eastAsia="es-CO"/>
              </w:rPr>
              <w:t>De 0.75 a 0.99</w:t>
            </w:r>
          </w:p>
        </w:tc>
        <w:tc>
          <w:tcPr>
            <w:tcW w:w="0" w:type="auto"/>
            <w:tcBorders>
              <w:top w:val="single" w:sz="4" w:space="0" w:color="auto"/>
              <w:left w:val="single" w:sz="4" w:space="0" w:color="auto"/>
              <w:bottom w:val="double" w:sz="4" w:space="0" w:color="auto"/>
              <w:right w:val="single" w:sz="4" w:space="0" w:color="auto"/>
            </w:tcBorders>
            <w:vAlign w:val="center"/>
          </w:tcPr>
          <w:p w14:paraId="006F70BE" w14:textId="77777777" w:rsidR="009A6251" w:rsidRPr="00B21006" w:rsidRDefault="009A6251" w:rsidP="003573D0">
            <w:pPr>
              <w:spacing w:after="0" w:line="276" w:lineRule="auto"/>
              <w:ind w:left="709" w:right="709"/>
              <w:jc w:val="both"/>
              <w:rPr>
                <w:rFonts w:ascii="Verdana" w:hAnsi="Verdana" w:cs="Arial"/>
                <w:sz w:val="16"/>
                <w:szCs w:val="16"/>
                <w:lang w:val="es-ES" w:eastAsia="es-CO"/>
              </w:rPr>
            </w:pPr>
            <w:r w:rsidRPr="00B21006">
              <w:rPr>
                <w:rFonts w:ascii="Verdana" w:hAnsi="Verdana" w:cs="Arial"/>
                <w:sz w:val="16"/>
                <w:szCs w:val="16"/>
                <w:lang w:val="es-ES" w:eastAsia="es-CO"/>
              </w:rPr>
              <w:t>4</w:t>
            </w:r>
          </w:p>
        </w:tc>
        <w:tc>
          <w:tcPr>
            <w:tcW w:w="3079" w:type="dxa"/>
            <w:tcBorders>
              <w:top w:val="single" w:sz="4" w:space="0" w:color="auto"/>
              <w:left w:val="single" w:sz="4" w:space="0" w:color="auto"/>
              <w:bottom w:val="double" w:sz="4" w:space="0" w:color="auto"/>
              <w:right w:val="double" w:sz="4" w:space="0" w:color="auto"/>
            </w:tcBorders>
            <w:vAlign w:val="center"/>
          </w:tcPr>
          <w:p w14:paraId="4E44D588" w14:textId="77777777" w:rsidR="009A6251" w:rsidRPr="00B21006" w:rsidRDefault="009A6251" w:rsidP="003573D0">
            <w:pPr>
              <w:spacing w:after="0" w:line="276" w:lineRule="auto"/>
              <w:ind w:left="709" w:right="709"/>
              <w:jc w:val="both"/>
              <w:rPr>
                <w:rFonts w:ascii="Verdana" w:hAnsi="Verdana" w:cs="Arial"/>
                <w:sz w:val="16"/>
                <w:szCs w:val="16"/>
                <w:lang w:val="es-ES" w:eastAsia="es-CO"/>
              </w:rPr>
            </w:pPr>
            <w:r w:rsidRPr="00B21006">
              <w:rPr>
                <w:rFonts w:ascii="Verdana" w:hAnsi="Verdana" w:cs="Arial"/>
                <w:sz w:val="16"/>
                <w:szCs w:val="16"/>
                <w:lang w:val="es-ES" w:eastAsia="es-CO"/>
              </w:rPr>
              <w:t>Menor valor</w:t>
            </w:r>
          </w:p>
        </w:tc>
      </w:tr>
    </w:tbl>
    <w:p w14:paraId="149BC102" w14:textId="77777777" w:rsidR="009A6251" w:rsidRPr="00BD4973" w:rsidRDefault="009A6251" w:rsidP="009A6251">
      <w:pPr>
        <w:ind w:left="709" w:right="709"/>
        <w:jc w:val="both"/>
        <w:rPr>
          <w:rFonts w:ascii="Verdana" w:hAnsi="Verdana"/>
          <w:sz w:val="21"/>
          <w:szCs w:val="21"/>
          <w:lang w:val="es-MX"/>
        </w:rPr>
      </w:pPr>
    </w:p>
    <w:p w14:paraId="36483375" w14:textId="77777777" w:rsidR="009A6251" w:rsidRPr="00BD4973" w:rsidRDefault="009A6251" w:rsidP="009A6251">
      <w:pPr>
        <w:ind w:left="709" w:right="709"/>
        <w:jc w:val="both"/>
        <w:rPr>
          <w:rFonts w:ascii="Verdana" w:hAnsi="Verdana"/>
          <w:sz w:val="21"/>
          <w:szCs w:val="21"/>
          <w:lang w:val="es-MX"/>
        </w:rPr>
      </w:pPr>
      <w:r w:rsidRPr="00BD4973">
        <w:rPr>
          <w:rFonts w:ascii="Verdana" w:hAnsi="Verdana"/>
          <w:sz w:val="21"/>
          <w:szCs w:val="21"/>
          <w:lang w:val="es-MX"/>
        </w:rPr>
        <w:t>En todos los casos se tendrá en cuenta hasta el séptimo (7°) decimal del valor obtenido como puntaje y las fórmulas se aplicarán con las propuestas que no han sido rechazadas y se encuentran válidas.</w:t>
      </w:r>
    </w:p>
    <w:p w14:paraId="0AEADF28" w14:textId="77777777" w:rsidR="009A6251" w:rsidRPr="00BD4973" w:rsidRDefault="009A6251" w:rsidP="009A6251">
      <w:pPr>
        <w:ind w:left="709" w:right="709"/>
        <w:jc w:val="both"/>
        <w:rPr>
          <w:rFonts w:ascii="Verdana" w:hAnsi="Verdana"/>
          <w:sz w:val="21"/>
          <w:szCs w:val="21"/>
          <w:lang w:val="es-MX"/>
        </w:rPr>
      </w:pPr>
      <w:r w:rsidRPr="00BD4973">
        <w:rPr>
          <w:rFonts w:ascii="Verdana" w:hAnsi="Verdana"/>
          <w:sz w:val="21"/>
          <w:szCs w:val="21"/>
          <w:highlight w:val="lightGray"/>
          <w:lang w:val="es-MX"/>
        </w:rPr>
        <w:lastRenderedPageBreak/>
        <w:t>[En los procesos de contratación estructurados por lotes, la TRM definirá el método con el cual se asignará el puntaje para el primer lote o segmento a adjudicar, según el orden definido por la entidad. Para la adjudicación del segundo lote o segmento se tomará el siguiente método de acuerdo con la tabla anterior, en orden ascendente de acuerdo con la numeración definida para los rangos, y así sucesivamente; teniendo en cuenta que se reiniciará desde el primer método en caso de agotarse el último método]</w:t>
      </w:r>
    </w:p>
    <w:p w14:paraId="6F7FB83A" w14:textId="77777777" w:rsidR="009A6251" w:rsidRPr="00BD4973" w:rsidRDefault="009A6251" w:rsidP="009A6251">
      <w:pPr>
        <w:spacing w:after="0"/>
        <w:ind w:left="709" w:right="709"/>
        <w:jc w:val="both"/>
        <w:rPr>
          <w:rFonts w:ascii="Verdana" w:hAnsi="Verdana"/>
          <w:sz w:val="21"/>
          <w:szCs w:val="21"/>
          <w:lang w:val="es-MX"/>
        </w:rPr>
      </w:pPr>
      <w:r w:rsidRPr="00BD4973">
        <w:rPr>
          <w:rFonts w:ascii="Verdana" w:hAnsi="Verdana"/>
          <w:sz w:val="21"/>
          <w:szCs w:val="21"/>
          <w:lang w:val="es-MX"/>
        </w:rPr>
        <w:t>Las propuestas que al aplicar las fórmulas obtengan puntajes negativos obtienen cero (0) puntos en la oferta económica”.</w:t>
      </w:r>
    </w:p>
    <w:p w14:paraId="11CB79D7" w14:textId="77777777" w:rsidR="009A6251" w:rsidRDefault="009A6251" w:rsidP="009A6251">
      <w:pPr>
        <w:spacing w:after="0"/>
        <w:ind w:left="709" w:right="709"/>
        <w:jc w:val="both"/>
        <w:rPr>
          <w:lang w:val="es-MX"/>
        </w:rPr>
      </w:pPr>
    </w:p>
    <w:p w14:paraId="460DEED1" w14:textId="77777777" w:rsidR="009A6251" w:rsidRDefault="009A6251" w:rsidP="009A6251">
      <w:pPr>
        <w:pStyle w:val="Prrafodelista"/>
        <w:numPr>
          <w:ilvl w:val="0"/>
          <w:numId w:val="22"/>
        </w:numPr>
        <w:spacing w:after="0" w:line="276" w:lineRule="auto"/>
        <w:jc w:val="both"/>
        <w:rPr>
          <w:rFonts w:ascii="Verdana" w:eastAsia="Calibri" w:hAnsi="Verdana" w:cs="Arial"/>
          <w:color w:val="000000"/>
          <w:lang w:val="es-ES_tradnl"/>
        </w:rPr>
      </w:pPr>
      <w:r>
        <w:rPr>
          <w:rFonts w:ascii="Verdana" w:eastAsia="Calibri" w:hAnsi="Verdana" w:cs="Arial"/>
          <w:color w:val="000000"/>
          <w:lang w:val="es-ES_tradnl"/>
        </w:rPr>
        <w:t xml:space="preserve">La </w:t>
      </w:r>
      <w:r w:rsidRPr="00DE5CED">
        <w:rPr>
          <w:rFonts w:ascii="Verdana" w:eastAsia="Calibri" w:hAnsi="Verdana" w:cs="Arial"/>
          <w:color w:val="000000"/>
          <w:lang w:val="es-ES_tradnl"/>
        </w:rPr>
        <w:t xml:space="preserve">Tasa de Cambio Representativa del Mercado – TRM </w:t>
      </w:r>
      <w:r>
        <w:rPr>
          <w:rFonts w:ascii="Verdana" w:eastAsia="Calibri" w:hAnsi="Verdana" w:cs="Arial"/>
          <w:color w:val="000000"/>
          <w:lang w:val="es-ES_tradnl"/>
        </w:rPr>
        <w:t>“</w:t>
      </w:r>
      <w:r w:rsidRPr="00DE5CED">
        <w:rPr>
          <w:rFonts w:ascii="Verdana" w:eastAsia="Calibri" w:hAnsi="Verdana" w:cs="Arial"/>
        </w:rPr>
        <w:t>es el promedio ponderado por monto de las</w:t>
      </w:r>
      <w:r w:rsidRPr="00DE5CED">
        <w:rPr>
          <w:rFonts w:ascii="Arial" w:eastAsia="Calibri" w:hAnsi="Arial" w:cs="Arial"/>
        </w:rPr>
        <w:t xml:space="preserve"> </w:t>
      </w:r>
      <w:r w:rsidRPr="00DE5CED">
        <w:rPr>
          <w:rFonts w:ascii="Verdana" w:eastAsia="Calibri" w:hAnsi="Verdana" w:cs="Arial"/>
        </w:rPr>
        <w:t>operaciones de compra y venta de dólares de los Estados Unidos de América a cambio de moneda legal colombiana, pactadas para cumplimiento en ambas monedas el mismo día de su negociación, efectuadas por los Intermediarios del Mercado Cambiario (IMC) entre las 7:30 a.m. y la 1:00 p.m.</w:t>
      </w:r>
      <w:r>
        <w:rPr>
          <w:rFonts w:ascii="Verdana" w:eastAsia="Calibri" w:hAnsi="Verdana" w:cs="Arial"/>
          <w:color w:val="000000"/>
          <w:lang w:val="es-ES_tradnl"/>
        </w:rPr>
        <w:t>”</w:t>
      </w:r>
      <w:r w:rsidRPr="00DE5CED">
        <w:rPr>
          <w:color w:val="000000"/>
          <w:vertAlign w:val="superscript"/>
          <w:lang w:val="es-ES_tradnl"/>
        </w:rPr>
        <w:footnoteReference w:id="4"/>
      </w:r>
      <w:r w:rsidRPr="00DE5CED">
        <w:rPr>
          <w:rFonts w:ascii="Verdana" w:eastAsia="Calibri" w:hAnsi="Verdana" w:cs="Arial"/>
          <w:color w:val="000000"/>
          <w:lang w:val="es-ES_tradnl"/>
        </w:rPr>
        <w:t xml:space="preserve">, definida por la Superintendencia Financiera, es decir, denota la relación entre la moneda colombiana y el dólar. Por su parte, el Banco de la República ha definido la tasa de cambio representativa del mercado como </w:t>
      </w:r>
      <w:r>
        <w:rPr>
          <w:rFonts w:ascii="Verdana" w:eastAsia="Calibri" w:hAnsi="Verdana" w:cs="Arial"/>
          <w:color w:val="000000"/>
          <w:lang w:val="es-ES_tradnl"/>
        </w:rPr>
        <w:t>“</w:t>
      </w:r>
      <w:r w:rsidRPr="00DE5CED">
        <w:rPr>
          <w:rFonts w:ascii="Verdana" w:eastAsia="Calibri" w:hAnsi="Verdana" w:cs="Arial"/>
          <w:color w:val="000000"/>
          <w:lang w:val="es-ES_tradnl"/>
        </w:rPr>
        <w:t>la cantidad de pesos colombianos por un dólar de los Estados Unidos</w:t>
      </w:r>
      <w:r>
        <w:rPr>
          <w:rFonts w:ascii="Verdana" w:eastAsia="Calibri" w:hAnsi="Verdana" w:cs="Arial"/>
          <w:color w:val="000000"/>
          <w:lang w:val="es-ES_tradnl"/>
        </w:rPr>
        <w:t>”</w:t>
      </w:r>
      <w:r w:rsidRPr="00DE5CED">
        <w:rPr>
          <w:color w:val="000000"/>
          <w:vertAlign w:val="superscript"/>
          <w:lang w:val="es-ES_tradnl"/>
        </w:rPr>
        <w:footnoteReference w:id="5"/>
      </w:r>
      <w:r w:rsidRPr="00DE5CED">
        <w:rPr>
          <w:rFonts w:ascii="Verdana" w:eastAsia="Calibri" w:hAnsi="Verdana" w:cs="Arial"/>
          <w:color w:val="000000"/>
          <w:lang w:val="es-ES_tradnl"/>
        </w:rPr>
        <w:t xml:space="preserve">, de donde se desprende que la TRM es un valor que se origina en la fluctuación del mercado. </w:t>
      </w:r>
    </w:p>
    <w:p w14:paraId="1F8FAD3B" w14:textId="77777777" w:rsidR="009A6251" w:rsidRPr="00DE5CED" w:rsidRDefault="009A6251" w:rsidP="009A6251">
      <w:pPr>
        <w:pStyle w:val="Prrafodelista"/>
        <w:spacing w:after="0" w:line="276" w:lineRule="auto"/>
        <w:jc w:val="both"/>
        <w:rPr>
          <w:rFonts w:ascii="Verdana" w:eastAsia="Calibri" w:hAnsi="Verdana" w:cs="Arial"/>
          <w:color w:val="000000"/>
          <w:lang w:val="es-ES_tradnl"/>
        </w:rPr>
      </w:pPr>
    </w:p>
    <w:p w14:paraId="65F57A16" w14:textId="77777777" w:rsidR="009A6251" w:rsidRDefault="009A6251" w:rsidP="009A6251">
      <w:pPr>
        <w:pStyle w:val="Prrafodelista"/>
        <w:numPr>
          <w:ilvl w:val="0"/>
          <w:numId w:val="22"/>
        </w:numPr>
        <w:spacing w:after="0" w:line="276" w:lineRule="auto"/>
        <w:jc w:val="both"/>
        <w:rPr>
          <w:rFonts w:ascii="Verdana" w:eastAsia="Calibri" w:hAnsi="Verdana" w:cs="Arial"/>
        </w:rPr>
      </w:pPr>
      <w:r w:rsidRPr="00DE5CED">
        <w:rPr>
          <w:rFonts w:ascii="Verdana" w:eastAsia="Calibri" w:hAnsi="Verdana" w:cs="Arial"/>
        </w:rPr>
        <w:t xml:space="preserve">De conformidad con lo anterior, se puede concluir que el método aleatorio para seleccionar la fórmula de ponderación de la oferta económica desestimula actos de corrupción, puesto que no es posible manipular la TRM para conocer con anticipación la fórmula aplicable y poder adjudicar al proponente por razones subjetivas. </w:t>
      </w:r>
    </w:p>
    <w:p w14:paraId="15598D0A" w14:textId="77777777" w:rsidR="009A6251" w:rsidRPr="00DE5CED" w:rsidRDefault="009A6251" w:rsidP="009A6251">
      <w:pPr>
        <w:spacing w:after="0" w:line="276" w:lineRule="auto"/>
        <w:jc w:val="both"/>
        <w:rPr>
          <w:rFonts w:ascii="Verdana" w:eastAsia="Calibri" w:hAnsi="Verdana" w:cs="Arial"/>
        </w:rPr>
      </w:pPr>
    </w:p>
    <w:p w14:paraId="27847374" w14:textId="77777777" w:rsidR="009A6251" w:rsidRDefault="009A6251" w:rsidP="009A6251">
      <w:pPr>
        <w:pStyle w:val="Prrafodelista"/>
        <w:numPr>
          <w:ilvl w:val="0"/>
          <w:numId w:val="22"/>
        </w:numPr>
        <w:spacing w:after="0" w:line="276" w:lineRule="auto"/>
        <w:jc w:val="both"/>
        <w:textAlignment w:val="baseline"/>
        <w:rPr>
          <w:rFonts w:ascii="Verdana" w:eastAsia="Times New Roman" w:hAnsi="Verdana" w:cs="Arial"/>
          <w:lang w:eastAsia="es-CO"/>
        </w:rPr>
      </w:pPr>
      <w:r w:rsidRPr="00DE5CED">
        <w:rPr>
          <w:rFonts w:ascii="Verdana" w:eastAsia="Times New Roman" w:hAnsi="Verdana" w:cs="Arial"/>
          <w:lang w:eastAsia="es-CO"/>
        </w:rPr>
        <w:t xml:space="preserve">Para responder a su consulta, debe advertirse entonces que, el numeral 4.1.4 establece que </w:t>
      </w:r>
      <w:r>
        <w:rPr>
          <w:rFonts w:ascii="Verdana" w:eastAsia="Times New Roman" w:hAnsi="Verdana" w:cs="Arial"/>
          <w:lang w:eastAsia="es-CO"/>
        </w:rPr>
        <w:t>e</w:t>
      </w:r>
      <w:r w:rsidRPr="00DE5CED">
        <w:rPr>
          <w:rFonts w:ascii="Verdana" w:eastAsia="Times New Roman" w:hAnsi="Verdana" w:cs="Arial"/>
          <w:lang w:eastAsia="es-CO"/>
        </w:rPr>
        <w:t xml:space="preserve">l día de la audiencia efectiva de adjudicación, la entidad </w:t>
      </w:r>
      <w:r>
        <w:rPr>
          <w:rFonts w:ascii="Verdana" w:eastAsia="Times New Roman" w:hAnsi="Verdana" w:cs="Arial"/>
          <w:lang w:eastAsia="es-CO"/>
        </w:rPr>
        <w:t xml:space="preserve">responderá y resolverá </w:t>
      </w:r>
      <w:r w:rsidRPr="00DE5CED">
        <w:rPr>
          <w:rFonts w:ascii="Verdana" w:eastAsia="Times New Roman" w:hAnsi="Verdana" w:cs="Arial"/>
          <w:lang w:eastAsia="es-CO"/>
        </w:rPr>
        <w:t>las observaciones presentadas al informe de evaluación</w:t>
      </w:r>
      <w:r>
        <w:rPr>
          <w:rFonts w:ascii="Verdana" w:eastAsia="Times New Roman" w:hAnsi="Verdana" w:cs="Arial"/>
          <w:lang w:eastAsia="es-CO"/>
        </w:rPr>
        <w:t xml:space="preserve"> y dará apertura de las ofertas económicas contenidas en </w:t>
      </w:r>
      <w:r>
        <w:rPr>
          <w:rFonts w:ascii="Verdana" w:eastAsia="Times New Roman" w:hAnsi="Verdana" w:cs="Arial"/>
          <w:lang w:eastAsia="es-CO"/>
        </w:rPr>
        <w:lastRenderedPageBreak/>
        <w:t xml:space="preserve">los sobres No. 2. Además, “(…) </w:t>
      </w:r>
      <w:r w:rsidRPr="00DE5CED">
        <w:rPr>
          <w:rFonts w:ascii="Verdana" w:eastAsia="Times New Roman" w:hAnsi="Verdana" w:cs="Arial"/>
          <w:lang w:eastAsia="es-CO"/>
        </w:rPr>
        <w:t>verificará, si procede, determinará las correcciones aritméticas y solicitará la justificación de precios artificialmente bajos a que haya lugar, si es necesario, la entidad se pronunciará sobre las ofertas requeridas en los términos del numeral 4.1.3</w:t>
      </w:r>
      <w:r>
        <w:rPr>
          <w:rFonts w:ascii="Verdana" w:eastAsia="Times New Roman" w:hAnsi="Verdana" w:cs="Arial"/>
          <w:lang w:eastAsia="es-CO"/>
        </w:rPr>
        <w:t>”</w:t>
      </w:r>
      <w:r w:rsidRPr="00DE5CED">
        <w:rPr>
          <w:rFonts w:ascii="Verdana" w:eastAsia="Times New Roman" w:hAnsi="Verdana" w:cs="Arial"/>
          <w:lang w:eastAsia="es-CO"/>
        </w:rPr>
        <w:t>.</w:t>
      </w:r>
    </w:p>
    <w:p w14:paraId="1F4DF32C" w14:textId="77777777" w:rsidR="009A6251" w:rsidRPr="004B408D" w:rsidRDefault="009A6251" w:rsidP="009A6251">
      <w:pPr>
        <w:pStyle w:val="Prrafodelista"/>
        <w:rPr>
          <w:rFonts w:ascii="Verdana" w:eastAsia="Times New Roman" w:hAnsi="Verdana" w:cs="Arial"/>
          <w:lang w:eastAsia="es-CO"/>
        </w:rPr>
      </w:pPr>
    </w:p>
    <w:p w14:paraId="0C76A426" w14:textId="77777777" w:rsidR="009A6251" w:rsidRDefault="009A6251" w:rsidP="009A6251">
      <w:pPr>
        <w:pStyle w:val="Prrafodelista"/>
        <w:numPr>
          <w:ilvl w:val="0"/>
          <w:numId w:val="22"/>
        </w:numPr>
        <w:spacing w:after="0" w:line="276" w:lineRule="auto"/>
        <w:jc w:val="both"/>
        <w:textAlignment w:val="baseline"/>
        <w:rPr>
          <w:rFonts w:ascii="Verdana" w:eastAsia="Times New Roman" w:hAnsi="Verdana" w:cs="Arial"/>
          <w:lang w:eastAsia="es-CO"/>
        </w:rPr>
      </w:pPr>
      <w:r>
        <w:rPr>
          <w:rFonts w:ascii="Verdana" w:eastAsia="Times New Roman" w:hAnsi="Verdana" w:cs="Arial"/>
          <w:lang w:eastAsia="es-CO"/>
        </w:rPr>
        <w:t>Agotado el procedimiento anterior, la entidad definirá el método de ponderación de las propuestas de acuerdo con las siguientes reglas:</w:t>
      </w:r>
    </w:p>
    <w:p w14:paraId="3E83EC05" w14:textId="77777777" w:rsidR="009A6251" w:rsidRPr="004B408D" w:rsidRDefault="009A6251" w:rsidP="009A6251">
      <w:pPr>
        <w:pStyle w:val="Prrafodelista"/>
        <w:rPr>
          <w:rFonts w:ascii="Verdana" w:eastAsia="Times New Roman" w:hAnsi="Verdana" w:cs="Arial"/>
          <w:lang w:eastAsia="es-CO"/>
        </w:rPr>
      </w:pPr>
    </w:p>
    <w:p w14:paraId="660247B7" w14:textId="77777777" w:rsidR="009A6251" w:rsidRPr="00D57D75" w:rsidRDefault="009A6251" w:rsidP="009A6251">
      <w:pPr>
        <w:pStyle w:val="Prrafodelista"/>
        <w:numPr>
          <w:ilvl w:val="0"/>
          <w:numId w:val="23"/>
        </w:numPr>
        <w:spacing w:after="0" w:line="276" w:lineRule="auto"/>
        <w:jc w:val="both"/>
        <w:textAlignment w:val="baseline"/>
        <w:rPr>
          <w:rFonts w:ascii="Verdana" w:eastAsia="Times New Roman" w:hAnsi="Verdana" w:cs="Arial"/>
          <w:lang w:eastAsia="es-CO"/>
        </w:rPr>
      </w:pPr>
      <w:r>
        <w:t>Deberá pronunciarse sobre las propuestas que han sido rechazadas y las que se encuentran validas.</w:t>
      </w:r>
    </w:p>
    <w:p w14:paraId="008637C3" w14:textId="77777777" w:rsidR="009A6251" w:rsidRPr="004B408D" w:rsidRDefault="009A6251" w:rsidP="009A6251">
      <w:pPr>
        <w:pStyle w:val="Prrafodelista"/>
        <w:numPr>
          <w:ilvl w:val="0"/>
          <w:numId w:val="23"/>
        </w:numPr>
        <w:spacing w:after="0" w:line="276" w:lineRule="auto"/>
        <w:jc w:val="both"/>
        <w:textAlignment w:val="baseline"/>
        <w:rPr>
          <w:rFonts w:ascii="Verdana" w:eastAsia="Times New Roman" w:hAnsi="Verdana" w:cs="Arial"/>
          <w:lang w:eastAsia="es-CO"/>
        </w:rPr>
      </w:pPr>
      <w:r>
        <w:t xml:space="preserve">Si este pronunciamiento, </w:t>
      </w:r>
      <w:r w:rsidRPr="00D20F9D">
        <w:t>se</w:t>
      </w:r>
      <w:r>
        <w:t xml:space="preserve"> realiza</w:t>
      </w:r>
      <w:r w:rsidRPr="00D20F9D">
        <w:t xml:space="preserve"> </w:t>
      </w:r>
      <w:r>
        <w:t xml:space="preserve">hasta </w:t>
      </w:r>
      <w:r w:rsidRPr="00D20F9D">
        <w:t>las 3:00 pm, la entidad tomará la TRM que rija para el día hábil siguiente</w:t>
      </w:r>
      <w:r>
        <w:t>.</w:t>
      </w:r>
    </w:p>
    <w:p w14:paraId="3815E61E" w14:textId="77777777" w:rsidR="009A6251" w:rsidRPr="004B408D" w:rsidRDefault="009A6251" w:rsidP="009A6251">
      <w:pPr>
        <w:pStyle w:val="Prrafodelista"/>
        <w:numPr>
          <w:ilvl w:val="0"/>
          <w:numId w:val="23"/>
        </w:numPr>
        <w:jc w:val="both"/>
        <w:rPr>
          <w:lang w:val="es-MX"/>
        </w:rPr>
      </w:pPr>
      <w:r>
        <w:t xml:space="preserve">Si el pronunciamiento se da después de las </w:t>
      </w:r>
      <w:r w:rsidRPr="00D20F9D">
        <w:t>3:0</w:t>
      </w:r>
      <w:r>
        <w:t>0</w:t>
      </w:r>
      <w:r w:rsidRPr="00D20F9D">
        <w:t xml:space="preserve"> pm, la entidad tomará la TRM que rija para el segundo día hábil siguiente</w:t>
      </w:r>
      <w:r>
        <w:t>.</w:t>
      </w:r>
    </w:p>
    <w:p w14:paraId="3B29E22B" w14:textId="77777777" w:rsidR="009A6251" w:rsidRDefault="009A6251" w:rsidP="009A6251">
      <w:pPr>
        <w:pStyle w:val="Prrafodelista"/>
        <w:ind w:left="1080"/>
        <w:jc w:val="both"/>
        <w:rPr>
          <w:lang w:val="es-MX"/>
        </w:rPr>
      </w:pPr>
    </w:p>
    <w:p w14:paraId="50D665AF" w14:textId="77777777" w:rsidR="009A6251" w:rsidRPr="0033254E" w:rsidRDefault="009A6251" w:rsidP="009A6251">
      <w:pPr>
        <w:pStyle w:val="Prrafodelista"/>
        <w:numPr>
          <w:ilvl w:val="0"/>
          <w:numId w:val="24"/>
        </w:numPr>
        <w:spacing w:after="120" w:line="276" w:lineRule="auto"/>
        <w:jc w:val="both"/>
        <w:rPr>
          <w:rFonts w:ascii="Verdana" w:hAnsi="Verdana" w:cs="Arial"/>
        </w:rPr>
      </w:pPr>
      <w:r w:rsidRPr="0033254E">
        <w:rPr>
          <w:rFonts w:ascii="Verdana" w:eastAsia="Calibri" w:hAnsi="Verdana" w:cs="Arial"/>
        </w:rPr>
        <w:t>En este sentido, el numeral 4.1.4 al regular el mecanismo de escogencia del método de ponderación, dispone las reglas que debe seguir la entidad para determinarlo. Lo cual, inicia co</w:t>
      </w:r>
      <w:r>
        <w:rPr>
          <w:rFonts w:ascii="Verdana" w:eastAsia="Calibri" w:hAnsi="Verdana" w:cs="Arial"/>
        </w:rPr>
        <w:t>n el pronunciamiento de la entidad</w:t>
      </w:r>
      <w:r w:rsidRPr="0033254E">
        <w:rPr>
          <w:rFonts w:ascii="Verdana" w:eastAsia="Calibri" w:hAnsi="Verdana" w:cs="Arial"/>
        </w:rPr>
        <w:t xml:space="preserve"> sobre las propuestas </w:t>
      </w:r>
      <w:r>
        <w:rPr>
          <w:rFonts w:ascii="Verdana" w:eastAsia="Calibri" w:hAnsi="Verdana" w:cs="Arial"/>
        </w:rPr>
        <w:t xml:space="preserve">u ofertas económicas </w:t>
      </w:r>
      <w:r w:rsidRPr="0033254E">
        <w:rPr>
          <w:rFonts w:ascii="Verdana" w:eastAsia="Calibri" w:hAnsi="Verdana" w:cs="Arial"/>
        </w:rPr>
        <w:t xml:space="preserve">rechazadas y las válidas. </w:t>
      </w:r>
    </w:p>
    <w:p w14:paraId="4C07D127" w14:textId="77777777" w:rsidR="009A6251" w:rsidRPr="0033254E" w:rsidRDefault="009A6251" w:rsidP="009A6251">
      <w:pPr>
        <w:pStyle w:val="Prrafodelista"/>
        <w:spacing w:after="120" w:line="276" w:lineRule="auto"/>
        <w:jc w:val="both"/>
        <w:rPr>
          <w:rFonts w:ascii="Verdana" w:hAnsi="Verdana" w:cs="Arial"/>
        </w:rPr>
      </w:pPr>
    </w:p>
    <w:p w14:paraId="62EF9231" w14:textId="77777777" w:rsidR="009A6251" w:rsidRPr="0033254E" w:rsidRDefault="009A6251" w:rsidP="009A6251">
      <w:pPr>
        <w:pStyle w:val="Prrafodelista"/>
        <w:numPr>
          <w:ilvl w:val="0"/>
          <w:numId w:val="24"/>
        </w:numPr>
        <w:spacing w:after="0" w:line="276" w:lineRule="auto"/>
        <w:contextualSpacing w:val="0"/>
        <w:jc w:val="both"/>
        <w:rPr>
          <w:rFonts w:ascii="Verdana" w:hAnsi="Verdana" w:cs="Arial"/>
        </w:rPr>
      </w:pPr>
      <w:r w:rsidRPr="0033254E">
        <w:rPr>
          <w:rFonts w:ascii="Verdana" w:eastAsia="Calibri" w:hAnsi="Verdana" w:cs="Arial"/>
        </w:rPr>
        <w:t>Ahora bien, si este pronunciamiento se realiza antes de las 3:00 p.m., la regla contenida en el numeral 4.1.4 establece que se tomará la TRM vigente para el día hábil siguiente. De este modo, fijar una hora límite para el pronunciamiento garantiza que las entidades estatales no puedan conocer anticipadamente la TRM que determinará el método de ponderación, ya que esta es publicada por la Superfinanciera en un momento posterior al pronunciamiento, usualmente entre las 4:00 p.m. y las 6:00 p.m.</w:t>
      </w:r>
    </w:p>
    <w:p w14:paraId="1BC85784" w14:textId="77777777" w:rsidR="009A6251" w:rsidRPr="0033254E" w:rsidRDefault="009A6251" w:rsidP="009A6251">
      <w:pPr>
        <w:pStyle w:val="Prrafodelista"/>
        <w:rPr>
          <w:rFonts w:ascii="Verdana" w:eastAsia="Calibri" w:hAnsi="Verdana" w:cs="Arial"/>
        </w:rPr>
      </w:pPr>
    </w:p>
    <w:p w14:paraId="6FD22423" w14:textId="77777777" w:rsidR="009A6251" w:rsidRPr="0033254E" w:rsidRDefault="009A6251" w:rsidP="009A6251">
      <w:pPr>
        <w:pStyle w:val="Prrafodelista"/>
        <w:numPr>
          <w:ilvl w:val="0"/>
          <w:numId w:val="24"/>
        </w:numPr>
        <w:spacing w:after="0" w:line="276" w:lineRule="auto"/>
        <w:contextualSpacing w:val="0"/>
        <w:jc w:val="both"/>
        <w:rPr>
          <w:rFonts w:ascii="Verdana" w:hAnsi="Verdana" w:cs="Arial"/>
        </w:rPr>
      </w:pPr>
      <w:r w:rsidRPr="0033254E">
        <w:rPr>
          <w:rFonts w:ascii="Verdana" w:eastAsia="Calibri" w:hAnsi="Verdana" w:cs="Arial"/>
        </w:rPr>
        <w:t>No obstante, si el pronunciamiento de la entidad sobre las propuestas rechazadas y válidas se realiza después de las 3:00 p.m., la regla establece que se tomará la TRM vigente para el segundo día hábil siguiente. Esta disposición busca evitar que la entidad conozca previamente la TRM que determinará el método de ponderación de las ofertas, dado que la Superintendencia la publicaría antes del pronunciamiento de la entidad.</w:t>
      </w:r>
    </w:p>
    <w:p w14:paraId="6BC153F7" w14:textId="77777777" w:rsidR="009A6251" w:rsidRPr="0033254E" w:rsidRDefault="009A6251" w:rsidP="009A6251">
      <w:pPr>
        <w:pStyle w:val="Prrafodelista"/>
        <w:rPr>
          <w:rFonts w:ascii="Verdana" w:hAnsi="Verdana" w:cs="Arial"/>
        </w:rPr>
      </w:pPr>
    </w:p>
    <w:p w14:paraId="72BF114E" w14:textId="77777777" w:rsidR="009A6251" w:rsidRPr="0033254E" w:rsidRDefault="009A6251" w:rsidP="009A6251">
      <w:pPr>
        <w:pStyle w:val="Prrafodelista"/>
        <w:numPr>
          <w:ilvl w:val="0"/>
          <w:numId w:val="24"/>
        </w:numPr>
        <w:spacing w:after="0" w:line="276" w:lineRule="auto"/>
        <w:contextualSpacing w:val="0"/>
        <w:jc w:val="both"/>
        <w:textAlignment w:val="baseline"/>
        <w:rPr>
          <w:rFonts w:ascii="Verdana" w:eastAsia="Times New Roman" w:hAnsi="Verdana" w:cs="Arial"/>
          <w:lang w:eastAsia="es-CO"/>
        </w:rPr>
      </w:pPr>
      <w:r w:rsidRPr="0033254E">
        <w:rPr>
          <w:rFonts w:ascii="Verdana" w:eastAsia="Times New Roman" w:hAnsi="Verdana" w:cs="Arial"/>
          <w:lang w:eastAsia="es-CO"/>
        </w:rPr>
        <w:lastRenderedPageBreak/>
        <w:t xml:space="preserve">En ese orden de ideas, el numeral 4.1.4 establece que, para poder cumplir con estos supuestos, atendiendo a las particularidades de cada proceso, la entidad podrá suspender la audiencia y reiniciarla cuando lo estime conveniente. Además, señala que definido el método de ponderación de la oferta este seguirá rigiendo aun cuando se suspenda la audiencia. </w:t>
      </w:r>
    </w:p>
    <w:p w14:paraId="2707D0CD" w14:textId="77777777" w:rsidR="009A6251" w:rsidRPr="00156F46" w:rsidRDefault="009A6251" w:rsidP="009A6251">
      <w:pPr>
        <w:pStyle w:val="Prrafodelista"/>
        <w:spacing w:after="0" w:line="276" w:lineRule="auto"/>
        <w:contextualSpacing w:val="0"/>
        <w:jc w:val="both"/>
        <w:textAlignment w:val="baseline"/>
        <w:rPr>
          <w:rFonts w:ascii="Arial" w:eastAsia="Times New Roman" w:hAnsi="Arial" w:cs="Arial"/>
          <w:lang w:eastAsia="es-CO"/>
        </w:rPr>
      </w:pPr>
    </w:p>
    <w:p w14:paraId="71E21EDD" w14:textId="77777777" w:rsidR="009A6251" w:rsidRPr="0033254E" w:rsidRDefault="009A6251" w:rsidP="009A6251">
      <w:pPr>
        <w:pStyle w:val="Prrafodelista"/>
        <w:numPr>
          <w:ilvl w:val="0"/>
          <w:numId w:val="24"/>
        </w:numPr>
        <w:spacing w:after="0" w:line="276" w:lineRule="auto"/>
        <w:contextualSpacing w:val="0"/>
        <w:jc w:val="both"/>
        <w:textAlignment w:val="baseline"/>
        <w:rPr>
          <w:rFonts w:ascii="Verdana" w:eastAsia="Times New Roman" w:hAnsi="Verdana" w:cs="Arial"/>
          <w:lang w:eastAsia="es-CO"/>
        </w:rPr>
      </w:pPr>
      <w:r w:rsidRPr="0033254E">
        <w:rPr>
          <w:rFonts w:ascii="Arial" w:eastAsia="Times New Roman" w:hAnsi="Arial" w:cs="Arial"/>
          <w:lang w:eastAsia="es-CO"/>
        </w:rPr>
        <w:t>C</w:t>
      </w:r>
      <w:r w:rsidRPr="0033254E">
        <w:rPr>
          <w:rFonts w:ascii="Verdana" w:eastAsia="Times New Roman" w:hAnsi="Verdana" w:cs="Arial"/>
          <w:lang w:eastAsia="es-CO"/>
        </w:rPr>
        <w:t xml:space="preserve">oncretamente, en relación con la pregunta planteada en su solicitud, referente al supuesto en que una entidad requiera más de un día para determinar si las propuestas presentan precios artificialmente bajos, y cómo operarían en ese caso las reglas para establecer el método de ponderación de las ofertas, debe indicarse </w:t>
      </w:r>
      <w:r>
        <w:rPr>
          <w:rFonts w:ascii="Verdana" w:eastAsia="Times New Roman" w:hAnsi="Verdana" w:cs="Arial"/>
          <w:lang w:eastAsia="es-CO"/>
        </w:rPr>
        <w:t>que, d</w:t>
      </w:r>
      <w:r w:rsidRPr="0033254E">
        <w:rPr>
          <w:rFonts w:ascii="Verdana" w:eastAsia="Times New Roman" w:hAnsi="Verdana" w:cs="Arial"/>
          <w:lang w:eastAsia="es-CO"/>
        </w:rPr>
        <w:t>e acuerdo con el inciso segundo del numeral 4.1.3, “(…) la solicitud de justificación de los precios artificialmente bajos deberá realizarse por la entidad posterior a la apertura del Sobre No. 2 y previo al método de ponderación de las ofertas (…)”. Por su parte, el inciso tercero señala que “(…) cuando algún oferente no responda al requerimiento de justificación de la entidad, o esta determine que alguna oferta económica se encuentra inmersa en un precio artificialmente bajo, se rechazará (…)”.</w:t>
      </w:r>
    </w:p>
    <w:p w14:paraId="0AC6EEB0" w14:textId="77777777" w:rsidR="009A6251" w:rsidRPr="00054EB8" w:rsidRDefault="009A6251" w:rsidP="009A6251">
      <w:pPr>
        <w:pStyle w:val="Prrafodelista"/>
        <w:rPr>
          <w:rFonts w:ascii="Arial" w:eastAsia="Times New Roman" w:hAnsi="Arial" w:cs="Arial"/>
          <w:lang w:eastAsia="es-CO"/>
        </w:rPr>
      </w:pPr>
    </w:p>
    <w:p w14:paraId="0CBF86B8" w14:textId="77777777" w:rsidR="009A6251" w:rsidRPr="0033254E" w:rsidRDefault="009A6251" w:rsidP="009A6251">
      <w:pPr>
        <w:pStyle w:val="Prrafodelista"/>
        <w:numPr>
          <w:ilvl w:val="0"/>
          <w:numId w:val="24"/>
        </w:numPr>
        <w:spacing w:after="0" w:line="276" w:lineRule="auto"/>
        <w:contextualSpacing w:val="0"/>
        <w:jc w:val="both"/>
        <w:textAlignment w:val="baseline"/>
        <w:rPr>
          <w:rFonts w:ascii="Verdana" w:eastAsia="Times New Roman" w:hAnsi="Verdana" w:cs="Arial"/>
          <w:lang w:eastAsia="es-CO"/>
        </w:rPr>
      </w:pPr>
      <w:r w:rsidRPr="0033254E">
        <w:rPr>
          <w:rFonts w:ascii="Verdana" w:eastAsia="Times New Roman" w:hAnsi="Verdana" w:cs="Arial"/>
          <w:lang w:eastAsia="es-CO"/>
        </w:rPr>
        <w:t xml:space="preserve">De esta forma, conforme con lo establecido en los incisos segundo y tercero del numeral 4.1.3, y con las reglas aplicables para determinar el método de ponderación de las ofertas contenidas en el numeral 4.1.4, el pronunciamiento que debe realizar la entidad sobre las propuestas </w:t>
      </w:r>
      <w:r>
        <w:rPr>
          <w:rFonts w:ascii="Verdana" w:eastAsia="Times New Roman" w:hAnsi="Verdana" w:cs="Arial"/>
          <w:lang w:eastAsia="es-CO"/>
        </w:rPr>
        <w:t xml:space="preserve">u ofertas económicas </w:t>
      </w:r>
      <w:r w:rsidRPr="0033254E">
        <w:rPr>
          <w:rFonts w:ascii="Verdana" w:eastAsia="Times New Roman" w:hAnsi="Verdana" w:cs="Arial"/>
          <w:lang w:eastAsia="es-CO"/>
        </w:rPr>
        <w:t>rechazadas y válidas</w:t>
      </w:r>
      <w:r>
        <w:rPr>
          <w:rFonts w:ascii="Verdana" w:eastAsia="Times New Roman" w:hAnsi="Verdana" w:cs="Arial"/>
          <w:lang w:eastAsia="es-CO"/>
        </w:rPr>
        <w:t>,</w:t>
      </w:r>
      <w:r w:rsidRPr="0033254E">
        <w:rPr>
          <w:rFonts w:ascii="Verdana" w:eastAsia="Times New Roman" w:hAnsi="Verdana" w:cs="Arial"/>
          <w:lang w:eastAsia="es-CO"/>
        </w:rPr>
        <w:t xml:space="preserve"> incluye el relacionado con las ofertas consideradas artificialmente bajas. En este supuesto, si dicho pronunciamiento se efectúa hasta las 3:00 p.m., la entidad deberá tomar la TRM vigente para el día hábil siguiente. En cambio, si se realiza después de las 3:00 p.m., se aplicará la TRM correspondiente al segundo día hábil siguiente.</w:t>
      </w:r>
    </w:p>
    <w:p w14:paraId="2A9FFDD6" w14:textId="77777777" w:rsidR="009A6251" w:rsidRPr="0033254E" w:rsidRDefault="009A6251" w:rsidP="009A6251">
      <w:pPr>
        <w:spacing w:after="0" w:line="276" w:lineRule="auto"/>
        <w:jc w:val="both"/>
        <w:textAlignment w:val="baseline"/>
        <w:rPr>
          <w:rFonts w:ascii="Verdana" w:eastAsia="Times New Roman" w:hAnsi="Verdana" w:cs="Arial"/>
          <w:lang w:eastAsia="es-CO"/>
        </w:rPr>
      </w:pPr>
    </w:p>
    <w:p w14:paraId="56D9CF09" w14:textId="77777777" w:rsidR="009A6251" w:rsidRPr="0033254E" w:rsidRDefault="009A6251" w:rsidP="009A6251">
      <w:pPr>
        <w:pStyle w:val="Prrafodelista"/>
        <w:numPr>
          <w:ilvl w:val="0"/>
          <w:numId w:val="24"/>
        </w:numPr>
        <w:spacing w:after="0" w:line="276" w:lineRule="auto"/>
        <w:jc w:val="both"/>
        <w:textAlignment w:val="baseline"/>
        <w:rPr>
          <w:rFonts w:ascii="Verdana" w:eastAsia="Times New Roman" w:hAnsi="Verdana" w:cs="Arial"/>
          <w:lang w:eastAsia="es-CO"/>
        </w:rPr>
      </w:pPr>
      <w:r w:rsidRPr="0033254E">
        <w:rPr>
          <w:rFonts w:ascii="Verdana" w:eastAsia="Times New Roman" w:hAnsi="Verdana" w:cs="Arial"/>
          <w:lang w:eastAsia="es-CO"/>
        </w:rPr>
        <w:t>Estos cambios en el mecanismo para definir de forma aleatoria el método de ponderación de las ofertas económicas, garantizan mayor transparencia en la ponderación. Así, se incorporó en los documentos tipo de licitación de obra pública de infraestructura de transporte – versión 4 reglas sobre la TRM y el manejo de precios artificialmente bajos, con el propósito de que aquella no sea conocida en un tiempo prematuro.</w:t>
      </w:r>
    </w:p>
    <w:p w14:paraId="7CE8735E" w14:textId="77777777" w:rsidR="009A6251" w:rsidRPr="0033254E" w:rsidRDefault="009A6251" w:rsidP="009A6251">
      <w:pPr>
        <w:spacing w:after="0" w:line="276" w:lineRule="auto"/>
        <w:ind w:left="720"/>
        <w:contextualSpacing/>
        <w:jc w:val="both"/>
        <w:rPr>
          <w:rFonts w:ascii="Verdana" w:eastAsia="Times New Roman" w:hAnsi="Verdana" w:cs="Arial"/>
          <w:lang w:eastAsia="es-CO"/>
        </w:rPr>
      </w:pPr>
    </w:p>
    <w:p w14:paraId="7C9EDAF3" w14:textId="77777777" w:rsidR="009A6251" w:rsidRPr="0033254E" w:rsidRDefault="009A6251" w:rsidP="009A6251">
      <w:pPr>
        <w:pStyle w:val="Prrafodelista"/>
        <w:numPr>
          <w:ilvl w:val="0"/>
          <w:numId w:val="24"/>
        </w:numPr>
        <w:spacing w:after="0" w:line="276" w:lineRule="auto"/>
        <w:contextualSpacing w:val="0"/>
        <w:jc w:val="both"/>
        <w:textAlignment w:val="baseline"/>
        <w:rPr>
          <w:rFonts w:ascii="Verdana" w:eastAsia="Times New Roman" w:hAnsi="Verdana" w:cs="Arial"/>
          <w:lang w:eastAsia="es-CO"/>
        </w:rPr>
      </w:pPr>
      <w:r w:rsidRPr="0033254E">
        <w:rPr>
          <w:rFonts w:ascii="Verdana" w:eastAsia="Times New Roman" w:hAnsi="Verdana" w:cs="Arial"/>
          <w:lang w:eastAsia="es-CO"/>
        </w:rPr>
        <w:lastRenderedPageBreak/>
        <w:t>Sin perjuicio de lo anterior, corresponderá a cada entidad estatal tomar las medidas más adecuadas, de acuerdo con las circunstancias particulares relacionadas con cada proceso contractual, con la finalidad de adelantar de la mejor manera posible sus procedimientos de selección, optando por aquellas que mejor garanticen los principios de la contratación estatal.</w:t>
      </w:r>
    </w:p>
    <w:p w14:paraId="75429B94" w14:textId="77777777" w:rsidR="009A6251" w:rsidRPr="00C865D4" w:rsidRDefault="009A6251" w:rsidP="009A6251">
      <w:pPr>
        <w:spacing w:after="0" w:line="276" w:lineRule="auto"/>
        <w:contextualSpacing/>
        <w:jc w:val="both"/>
        <w:rPr>
          <w:rFonts w:ascii="Verdana" w:eastAsia="Calibri" w:hAnsi="Verdana" w:cs="Arial"/>
          <w:lang w:val="es-ES_tradnl"/>
        </w:rPr>
      </w:pPr>
    </w:p>
    <w:p w14:paraId="17576DFC" w14:textId="77777777" w:rsidR="009A6251" w:rsidRPr="00C865D4" w:rsidRDefault="009A6251" w:rsidP="009A6251">
      <w:pPr>
        <w:numPr>
          <w:ilvl w:val="0"/>
          <w:numId w:val="19"/>
        </w:numPr>
        <w:tabs>
          <w:tab w:val="left" w:pos="142"/>
          <w:tab w:val="left" w:pos="284"/>
        </w:tabs>
        <w:spacing w:after="0" w:line="276" w:lineRule="auto"/>
        <w:ind w:left="357" w:hanging="357"/>
        <w:jc w:val="both"/>
        <w:rPr>
          <w:rFonts w:ascii="Verdana" w:eastAsia="Century Gothic" w:hAnsi="Verdana" w:cs="Century Gothic"/>
          <w:b/>
          <w:bCs/>
          <w:lang w:val="es-ES_tradnl"/>
        </w:rPr>
      </w:pPr>
      <w:r w:rsidRPr="00C865D4">
        <w:rPr>
          <w:rFonts w:ascii="Verdana" w:eastAsia="Century Gothic" w:hAnsi="Verdana" w:cs="Century Gothic"/>
          <w:b/>
          <w:bCs/>
          <w:lang w:val="es-ES_tradnl"/>
        </w:rPr>
        <w:t>Referencias normativas, jurisprudenciales y otras fuentes:</w:t>
      </w:r>
    </w:p>
    <w:p w14:paraId="102321B5" w14:textId="77777777" w:rsidR="009A6251" w:rsidRPr="00C865D4" w:rsidRDefault="009A6251" w:rsidP="009A6251">
      <w:pPr>
        <w:spacing w:after="0"/>
        <w:ind w:left="-15840"/>
        <w:jc w:val="both"/>
        <w:rPr>
          <w:rFonts w:ascii="Verdana" w:eastAsia="Calibri" w:hAnsi="Verdana" w:cs="Arial"/>
          <w:b/>
          <w:bCs/>
        </w:rPr>
      </w:pPr>
      <w:r w:rsidRPr="00C865D4">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A6251" w:rsidRPr="00C865D4" w14:paraId="35EFE07B" w14:textId="77777777" w:rsidTr="003573D0">
        <w:trPr>
          <w:trHeight w:val="870"/>
        </w:trPr>
        <w:tc>
          <w:tcPr>
            <w:tcW w:w="8647" w:type="dxa"/>
            <w:tcBorders>
              <w:top w:val="dotted" w:sz="4" w:space="0" w:color="auto"/>
              <w:left w:val="dotted" w:sz="4" w:space="0" w:color="auto"/>
              <w:bottom w:val="dotted" w:sz="4" w:space="0" w:color="auto"/>
              <w:right w:val="dotted" w:sz="4" w:space="0" w:color="auto"/>
            </w:tcBorders>
          </w:tcPr>
          <w:p w14:paraId="2ED0E955" w14:textId="77777777" w:rsidR="009A6251" w:rsidRPr="00C865D4" w:rsidRDefault="009A6251" w:rsidP="003573D0">
            <w:pPr>
              <w:ind w:left="720"/>
              <w:contextualSpacing/>
              <w:jc w:val="both"/>
              <w:rPr>
                <w:rFonts w:ascii="Verdana" w:eastAsia="Calibri" w:hAnsi="Verdana" w:cs="Arial"/>
                <w:bCs/>
              </w:rPr>
            </w:pPr>
          </w:p>
          <w:p w14:paraId="1F942DC9" w14:textId="77777777" w:rsidR="009A6251" w:rsidRPr="00C865D4" w:rsidRDefault="009A6251" w:rsidP="009A6251">
            <w:pPr>
              <w:widowControl w:val="0"/>
              <w:numPr>
                <w:ilvl w:val="0"/>
                <w:numId w:val="18"/>
              </w:numPr>
              <w:autoSpaceDE w:val="0"/>
              <w:autoSpaceDN w:val="0"/>
              <w:spacing w:line="276" w:lineRule="auto"/>
              <w:ind w:left="714" w:hanging="357"/>
              <w:jc w:val="both"/>
              <w:rPr>
                <w:rFonts w:ascii="Verdana" w:eastAsia="Calibri" w:hAnsi="Verdana" w:cs="Arial"/>
                <w:lang w:val="es-ES_tradnl"/>
              </w:rPr>
            </w:pPr>
            <w:r w:rsidRPr="00C865D4">
              <w:rPr>
                <w:rFonts w:ascii="Verdana" w:eastAsia="Calibri" w:hAnsi="Verdana" w:cs="Arial"/>
                <w:lang w:val="es-ES_tradnl"/>
              </w:rPr>
              <w:t xml:space="preserve">Ley 2022 de 2020, artículo 1. </w:t>
            </w:r>
          </w:p>
          <w:p w14:paraId="12AD2B93" w14:textId="77777777" w:rsidR="009A6251" w:rsidRPr="00C865D4" w:rsidRDefault="009A6251" w:rsidP="009A6251">
            <w:pPr>
              <w:widowControl w:val="0"/>
              <w:numPr>
                <w:ilvl w:val="0"/>
                <w:numId w:val="18"/>
              </w:numPr>
              <w:autoSpaceDE w:val="0"/>
              <w:autoSpaceDN w:val="0"/>
              <w:spacing w:line="276" w:lineRule="auto"/>
              <w:jc w:val="both"/>
              <w:rPr>
                <w:rFonts w:ascii="Verdana" w:eastAsia="Calibri" w:hAnsi="Verdana" w:cs="Arial"/>
              </w:rPr>
            </w:pPr>
            <w:r w:rsidRPr="00C865D4">
              <w:rPr>
                <w:rFonts w:ascii="Verdana" w:eastAsia="Calibri" w:hAnsi="Verdana" w:cs="Arial"/>
              </w:rPr>
              <w:t>Ley 1150 de 2007, artículo 2.</w:t>
            </w:r>
          </w:p>
          <w:p w14:paraId="186D58AF" w14:textId="77777777" w:rsidR="009A6251" w:rsidRPr="00C865D4" w:rsidRDefault="009A6251" w:rsidP="009A6251">
            <w:pPr>
              <w:widowControl w:val="0"/>
              <w:numPr>
                <w:ilvl w:val="0"/>
                <w:numId w:val="18"/>
              </w:numPr>
              <w:autoSpaceDE w:val="0"/>
              <w:autoSpaceDN w:val="0"/>
              <w:spacing w:line="276" w:lineRule="auto"/>
              <w:contextualSpacing/>
              <w:jc w:val="both"/>
              <w:rPr>
                <w:rFonts w:ascii="Verdana" w:hAnsi="Verdana" w:cs="Arial"/>
              </w:rPr>
            </w:pPr>
            <w:r w:rsidRPr="00C865D4">
              <w:rPr>
                <w:rFonts w:ascii="Verdana" w:eastAsia="Calibri" w:hAnsi="Verdana" w:cs="Arial"/>
                <w:lang w:val="es-ES_tradnl"/>
              </w:rPr>
              <w:t xml:space="preserve">Documentos Tipo. Disponibles en: </w:t>
            </w:r>
            <w:hyperlink r:id="rId12" w:history="1">
              <w:r w:rsidRPr="00C865D4">
                <w:rPr>
                  <w:rFonts w:ascii="Verdana" w:eastAsia="Calibri" w:hAnsi="Verdana" w:cs="Arial"/>
                  <w:color w:val="0000FF"/>
                  <w:u w:val="single"/>
                  <w:lang w:val="es-ES_tradnl"/>
                </w:rPr>
                <w:t>https://www.colombiacompra.gov.co/documentos-tipo/documentos-tipo</w:t>
              </w:r>
            </w:hyperlink>
            <w:r w:rsidRPr="00C865D4">
              <w:rPr>
                <w:rFonts w:ascii="Verdana" w:eastAsia="Calibri" w:hAnsi="Verdana" w:cs="Arial"/>
                <w:lang w:val="es-ES_tradnl"/>
              </w:rPr>
              <w:t>.</w:t>
            </w:r>
          </w:p>
        </w:tc>
      </w:tr>
    </w:tbl>
    <w:p w14:paraId="4E839D48" w14:textId="77777777" w:rsidR="009A6251" w:rsidRPr="00C865D4" w:rsidRDefault="009A6251" w:rsidP="009A6251">
      <w:pPr>
        <w:tabs>
          <w:tab w:val="left" w:pos="142"/>
          <w:tab w:val="left" w:pos="284"/>
        </w:tabs>
        <w:spacing w:after="0" w:line="276" w:lineRule="auto"/>
        <w:jc w:val="both"/>
        <w:rPr>
          <w:rFonts w:ascii="Verdana" w:eastAsia="Calibri" w:hAnsi="Verdana" w:cs="Arial"/>
        </w:rPr>
      </w:pPr>
    </w:p>
    <w:p w14:paraId="2A35C1C1" w14:textId="77777777" w:rsidR="009A6251" w:rsidRPr="00C865D4" w:rsidRDefault="009A6251" w:rsidP="009A6251">
      <w:pPr>
        <w:tabs>
          <w:tab w:val="left" w:pos="142"/>
          <w:tab w:val="left" w:pos="284"/>
        </w:tabs>
        <w:spacing w:after="0" w:line="276" w:lineRule="auto"/>
        <w:jc w:val="both"/>
        <w:rPr>
          <w:rFonts w:ascii="Verdana" w:eastAsia="Century Gothic" w:hAnsi="Verdana" w:cs="Century Gothic"/>
          <w:b/>
          <w:bCs/>
          <w:lang w:val="es-ES"/>
        </w:rPr>
      </w:pPr>
      <w:r w:rsidRPr="00C865D4">
        <w:rPr>
          <w:rFonts w:ascii="Verdana" w:eastAsia="Calibri" w:hAnsi="Verdana" w:cs="Arial"/>
          <w:b/>
          <w:bCs/>
        </w:rPr>
        <w:t>5</w:t>
      </w:r>
      <w:r w:rsidRPr="00C865D4">
        <w:rPr>
          <w:rFonts w:ascii="Verdana" w:eastAsia="Calibri" w:hAnsi="Verdana" w:cs="Arial"/>
        </w:rPr>
        <w:t>.</w:t>
      </w:r>
      <w:r w:rsidRPr="00C865D4">
        <w:rPr>
          <w:rFonts w:ascii="Verdana" w:eastAsia="Century Gothic" w:hAnsi="Verdana" w:cs="Century Gothic"/>
          <w:b/>
          <w:bCs/>
          <w:lang w:val="es-ES"/>
        </w:rPr>
        <w:t>Doctrina de la Agencia Nacional de Contratación Pública:</w:t>
      </w:r>
    </w:p>
    <w:p w14:paraId="6B56C07C" w14:textId="77777777" w:rsidR="009A6251" w:rsidRPr="00C865D4" w:rsidRDefault="009A6251" w:rsidP="009A6251">
      <w:pPr>
        <w:widowControl w:val="0"/>
        <w:autoSpaceDE w:val="0"/>
        <w:autoSpaceDN w:val="0"/>
        <w:spacing w:after="0" w:line="276" w:lineRule="auto"/>
        <w:jc w:val="both"/>
        <w:rPr>
          <w:rFonts w:ascii="Verdana" w:eastAsia="Calibri" w:hAnsi="Verdana" w:cs="Arial"/>
        </w:rPr>
      </w:pPr>
    </w:p>
    <w:p w14:paraId="7A2337CD" w14:textId="77777777" w:rsidR="009A6251" w:rsidRPr="00C865D4" w:rsidRDefault="009A6251" w:rsidP="009A6251">
      <w:pPr>
        <w:widowControl w:val="0"/>
        <w:autoSpaceDE w:val="0"/>
        <w:autoSpaceDN w:val="0"/>
        <w:spacing w:after="0" w:line="276" w:lineRule="auto"/>
        <w:jc w:val="both"/>
        <w:rPr>
          <w:rFonts w:ascii="Verdana" w:eastAsia="Times New Roman" w:hAnsi="Verdana" w:cs="Arial"/>
          <w:shd w:val="clear" w:color="auto" w:fill="FFFFFF"/>
          <w:lang w:val="es-ES"/>
        </w:rPr>
      </w:pPr>
      <w:r w:rsidRPr="00C865D4">
        <w:rPr>
          <w:rFonts w:ascii="Verdana" w:eastAsia="Calibri" w:hAnsi="Verdana" w:cs="Arial"/>
          <w:shd w:val="clear" w:color="auto" w:fill="FFFFFF"/>
        </w:rPr>
        <w:t>L</w:t>
      </w:r>
      <w:r w:rsidRPr="00C865D4">
        <w:rPr>
          <w:rFonts w:ascii="Verdana" w:eastAsia="Calibri" w:hAnsi="Verdana" w:cs="Arial"/>
          <w:shd w:val="clear" w:color="auto" w:fill="FFFFFF"/>
          <w:lang w:val="es-ES"/>
        </w:rPr>
        <w:t xml:space="preserve">a Agencia Nacional de Contratación Pública – Colombia Compra Eficiente, se ha pronunciado sobre el fundamento normativo de los documentos tipo en los conceptos: </w:t>
      </w:r>
      <w:r w:rsidRPr="00C865D4">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y C-753 del 4 de enero de 2024. </w:t>
      </w:r>
    </w:p>
    <w:p w14:paraId="34209CE6" w14:textId="77777777" w:rsidR="009A6251" w:rsidRPr="00C865D4" w:rsidRDefault="009A6251" w:rsidP="009A6251">
      <w:pPr>
        <w:widowControl w:val="0"/>
        <w:autoSpaceDE w:val="0"/>
        <w:autoSpaceDN w:val="0"/>
        <w:spacing w:after="0" w:line="276" w:lineRule="auto"/>
        <w:jc w:val="both"/>
        <w:rPr>
          <w:rFonts w:ascii="Verdana" w:eastAsia="Times New Roman" w:hAnsi="Verdana" w:cs="Arial"/>
          <w:shd w:val="clear" w:color="auto" w:fill="FFFFFF"/>
          <w:lang w:val="es-ES"/>
        </w:rPr>
      </w:pPr>
    </w:p>
    <w:p w14:paraId="622FECE8" w14:textId="77777777" w:rsidR="009A6251" w:rsidRPr="00C865D4" w:rsidRDefault="009A6251" w:rsidP="009A6251">
      <w:pPr>
        <w:widowControl w:val="0"/>
        <w:autoSpaceDE w:val="0"/>
        <w:autoSpaceDN w:val="0"/>
        <w:spacing w:after="0" w:line="276" w:lineRule="auto"/>
        <w:jc w:val="both"/>
        <w:rPr>
          <w:rFonts w:ascii="Verdana" w:eastAsia="Times New Roman" w:hAnsi="Verdana" w:cs="Arial"/>
          <w:shd w:val="clear" w:color="auto" w:fill="FFFFFF"/>
          <w:lang w:val="es-ES"/>
        </w:rPr>
      </w:pPr>
      <w:r w:rsidRPr="00C865D4">
        <w:rPr>
          <w:rFonts w:ascii="Verdana" w:eastAsia="Calibri"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C865D4">
          <w:rPr>
            <w:rFonts w:ascii="Verdana" w:eastAsia="Calibri" w:hAnsi="Verdana" w:cs="Arial"/>
            <w:color w:val="000000" w:themeColor="text1"/>
            <w:u w:val="single"/>
            <w:shd w:val="clear" w:color="auto" w:fill="FFFFFF"/>
          </w:rPr>
          <w:t>https://relatoria.colombiacompra.gov.co/</w:t>
        </w:r>
      </w:hyperlink>
      <w:r w:rsidRPr="00C865D4">
        <w:rPr>
          <w:rFonts w:ascii="Verdana" w:eastAsia="Calibri" w:hAnsi="Verdana" w:cs="Arial"/>
          <w:color w:val="000000" w:themeColor="text1"/>
          <w:shd w:val="clear" w:color="auto" w:fill="FFFFFF"/>
        </w:rPr>
        <w:t> .</w:t>
      </w:r>
    </w:p>
    <w:p w14:paraId="63A079D0" w14:textId="77777777" w:rsidR="009A6251" w:rsidRDefault="009A6251" w:rsidP="009A6251">
      <w:pPr>
        <w:spacing w:after="0" w:line="240" w:lineRule="auto"/>
        <w:jc w:val="both"/>
        <w:rPr>
          <w:rFonts w:ascii="Verdana" w:eastAsia="Calibri" w:hAnsi="Verdana" w:cs="Arial"/>
          <w:color w:val="000000" w:themeColor="text1"/>
          <w:shd w:val="clear" w:color="auto" w:fill="FFFFFF"/>
        </w:rPr>
      </w:pPr>
    </w:p>
    <w:p w14:paraId="1E6E123B" w14:textId="77777777" w:rsidR="009A6251" w:rsidRPr="00091AE1" w:rsidRDefault="009A6251" w:rsidP="009A6251">
      <w:pPr>
        <w:spacing w:after="0" w:line="240" w:lineRule="auto"/>
        <w:jc w:val="both"/>
        <w:rPr>
          <w:rFonts w:ascii="Verdana" w:eastAsia="Calibri" w:hAnsi="Verdana" w:cs="Arial"/>
          <w:color w:val="000000" w:themeColor="text1"/>
          <w:shd w:val="clear" w:color="auto" w:fill="FFFFFF"/>
        </w:rPr>
      </w:pPr>
      <w:r w:rsidRPr="00091AE1">
        <w:rPr>
          <w:rFonts w:ascii="Verdana" w:eastAsia="Calibri" w:hAnsi="Verdana" w:cs="Arial"/>
          <w:color w:val="000000" w:themeColor="text1"/>
          <w:shd w:val="clear" w:color="auto" w:fill="FFFFFF"/>
        </w:rPr>
        <w:t>La Agencia Nacional de Contratación Pública – Colombia Compra Eficiente invita a las Entidades Estatales, a los actores del Sistema de Compra Pública y a la ciudadanía en general a conocer y participar en la actualización de la </w:t>
      </w:r>
      <w:r w:rsidRPr="00091AE1">
        <w:rPr>
          <w:rFonts w:ascii="Verdana" w:eastAsia="Calibri" w:hAnsi="Verdana" w:cs="Arial"/>
          <w:b/>
          <w:bCs/>
          <w:i/>
          <w:iCs/>
          <w:color w:val="000000" w:themeColor="text1"/>
          <w:shd w:val="clear" w:color="auto" w:fill="FFFFFF"/>
        </w:rPr>
        <w:t>Guía para la Elaboración de Estudios del Sector</w:t>
      </w:r>
      <w:r w:rsidRPr="00091AE1">
        <w:rPr>
          <w:rFonts w:ascii="Verdana" w:eastAsia="Calibri" w:hAnsi="Verdana" w:cs="Arial"/>
          <w:color w:val="000000" w:themeColor="text1"/>
          <w:shd w:val="clear" w:color="auto" w:fill="FFFFFF"/>
        </w:rPr>
        <w:t>. Esta herramienta orientadora facilita el análisis del mercado del bien, obra o servicio a contratar, y tiene como propósito promover procesos de contratación más eficientes, competitivos, sostenibles e inclusivos. La guía se encuentra disponible para consulta y comentarios hasta el 22 de mayo de 2025, a través del siguiente enlace: </w:t>
      </w:r>
      <w:hyperlink r:id="rId14" w:tooltip="Dirección URL original: https://www.colombiacompra.gov.co/archivos/convocatoria/participacion-ciudadana-proyecto-de-la-guia-para-la-elaboracion-de-estudios-del-sector. Haga clic o pulse si confía en este vínculo." w:history="1">
        <w:r w:rsidRPr="00091AE1">
          <w:rPr>
            <w:rStyle w:val="Hipervnculo"/>
            <w:rFonts w:ascii="Verdana" w:eastAsia="Calibri" w:hAnsi="Verdana" w:cs="Arial"/>
            <w:shd w:val="clear" w:color="auto" w:fill="FFFFFF"/>
          </w:rPr>
          <w:t>https://www.colombiacompra.gov.co/archivos/convocatoria/participacion-ciudadana-proyecto-de-la-guia-para-la-</w:t>
        </w:r>
      </w:hyperlink>
    </w:p>
    <w:p w14:paraId="7FBE29F6" w14:textId="77777777" w:rsidR="009A6251" w:rsidRPr="00091AE1" w:rsidRDefault="009A6251" w:rsidP="009A6251">
      <w:pPr>
        <w:spacing w:after="0" w:line="240" w:lineRule="auto"/>
        <w:jc w:val="both"/>
        <w:rPr>
          <w:rFonts w:ascii="Verdana" w:eastAsia="Calibri" w:hAnsi="Verdana" w:cs="Arial"/>
          <w:color w:val="000000" w:themeColor="text1"/>
          <w:shd w:val="clear" w:color="auto" w:fill="FFFFFF"/>
        </w:rPr>
      </w:pPr>
    </w:p>
    <w:p w14:paraId="3D5CBBFA" w14:textId="77777777" w:rsidR="009A6251" w:rsidRDefault="009A6251" w:rsidP="009A6251">
      <w:pPr>
        <w:spacing w:after="0" w:line="240" w:lineRule="auto"/>
        <w:jc w:val="both"/>
        <w:rPr>
          <w:rFonts w:ascii="Verdana" w:eastAsia="Calibri" w:hAnsi="Verdana" w:cs="Arial"/>
          <w:color w:val="000000" w:themeColor="text1"/>
          <w:u w:val="single"/>
          <w:shd w:val="clear" w:color="auto" w:fill="FFFFFF"/>
        </w:rPr>
      </w:pPr>
      <w:r w:rsidRPr="00091AE1">
        <w:rPr>
          <w:rFonts w:ascii="Verdana" w:eastAsia="Calibri" w:hAnsi="Verdana" w:cs="Arial"/>
          <w:color w:val="000000" w:themeColor="text1"/>
          <w:shd w:val="clear" w:color="auto" w:fill="FFFFFF"/>
        </w:rPr>
        <w:t>De otra parte, te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23 de mayo de 2025.  Puede consultar la información en el siguiente enlace: </w:t>
      </w:r>
      <w:hyperlink r:id="rId15" w:tooltip="Dirección URL original: https://www.colombiacompra.gov.co/normativa-y-relatoria/documentos-tipo. Haga clic o pulse si confía en este vínculo." w:history="1">
        <w:r w:rsidRPr="00091AE1">
          <w:rPr>
            <w:rStyle w:val="Hipervnculo"/>
            <w:rFonts w:ascii="Verdana" w:eastAsia="Calibri" w:hAnsi="Verdana" w:cs="Arial"/>
            <w:shd w:val="clear" w:color="auto" w:fill="FFFFFF"/>
          </w:rPr>
          <w:t>Documentos Tipo – ANCP Colombia Compra Eficiente</w:t>
        </w:r>
      </w:hyperlink>
      <w:r w:rsidRPr="00091AE1">
        <w:rPr>
          <w:rFonts w:ascii="Verdana" w:eastAsia="Calibri" w:hAnsi="Verdana" w:cs="Arial"/>
          <w:color w:val="000000" w:themeColor="text1"/>
          <w:u w:val="single"/>
          <w:shd w:val="clear" w:color="auto" w:fill="FFFFFF"/>
        </w:rPr>
        <w:t> </w:t>
      </w:r>
    </w:p>
    <w:p w14:paraId="005C10CA" w14:textId="77777777" w:rsidR="00CF02B2" w:rsidRPr="00091AE1" w:rsidRDefault="00CF02B2" w:rsidP="009A6251">
      <w:pPr>
        <w:spacing w:after="0" w:line="240" w:lineRule="auto"/>
        <w:jc w:val="both"/>
        <w:rPr>
          <w:rFonts w:ascii="Verdana" w:eastAsia="Calibri" w:hAnsi="Verdana" w:cs="Arial"/>
          <w:color w:val="000000" w:themeColor="text1"/>
          <w:shd w:val="clear" w:color="auto" w:fill="FFFFFF"/>
        </w:rPr>
      </w:pPr>
    </w:p>
    <w:p w14:paraId="29A4382B" w14:textId="77777777" w:rsidR="009A6251" w:rsidRPr="00C865D4" w:rsidRDefault="009A6251" w:rsidP="009A6251">
      <w:pPr>
        <w:spacing w:after="0" w:line="240" w:lineRule="auto"/>
        <w:jc w:val="both"/>
        <w:rPr>
          <w:rFonts w:ascii="Verdana" w:eastAsia="Calibri" w:hAnsi="Verdana" w:cs="Arial"/>
          <w:color w:val="000000" w:themeColor="text1"/>
          <w:shd w:val="clear" w:color="auto" w:fill="FFFFFF"/>
        </w:rPr>
      </w:pPr>
      <w:r w:rsidRPr="00091AE1">
        <w:rPr>
          <w:rFonts w:ascii="Verdana" w:eastAsia="Calibri" w:hAnsi="Verdana" w:cs="Arial"/>
          <w:color w:val="000000" w:themeColor="text1"/>
          <w:shd w:val="clear" w:color="auto" w:fill="FFFFFF"/>
        </w:rPr>
        <w:t>También le contamos que ya se encuentra disponible la </w:t>
      </w:r>
      <w:r w:rsidRPr="00091AE1">
        <w:rPr>
          <w:rFonts w:ascii="Verdana" w:eastAsia="Calibri"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091AE1">
        <w:rPr>
          <w:rFonts w:ascii="Verdana" w:eastAsia="Calibri" w:hAnsi="Verdana" w:cs="Arial"/>
          <w:color w:val="000000" w:themeColor="text1"/>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91AE1">
        <w:rPr>
          <w:rFonts w:ascii="Verdana" w:eastAsia="Calibri" w:hAnsi="Verdana" w:cs="Arial"/>
          <w:color w:val="000000" w:themeColor="text1"/>
          <w:shd w:val="clear" w:color="auto" w:fill="FFFFFF"/>
        </w:rPr>
        <w:t>Wayúu</w:t>
      </w:r>
      <w:proofErr w:type="spellEnd"/>
      <w:r w:rsidRPr="00091AE1">
        <w:rPr>
          <w:rFonts w:ascii="Verdana" w:eastAsia="Calibri" w:hAnsi="Verdana" w:cs="Arial"/>
          <w:color w:val="000000" w:themeColor="text1"/>
          <w:shd w:val="clear" w:color="auto" w:fill="FFFFFF"/>
        </w:rPr>
        <w:t>. Puede consultar la guía en el siguiente enlace: </w:t>
      </w:r>
      <w:hyperlink r:id="rId16" w:tooltip="Dirección URL original: https://www.colombiacompra.gov.co/wp-content/uploads/2025/05/GUIA-DE-LINEAMIENTOS-DE-TRANSPARENCIA-Y-SELECCION-OBJETIVA-1.0.pdf. Haga clic o pulse si confía en este vínculo." w:history="1">
        <w:r w:rsidRPr="00091AE1">
          <w:rPr>
            <w:rStyle w:val="Hipervnculo"/>
            <w:rFonts w:ascii="Verdana" w:eastAsia="Calibri" w:hAnsi="Verdana" w:cs="Arial"/>
            <w:shd w:val="clear" w:color="auto" w:fill="FFFFFF"/>
          </w:rPr>
          <w:t>Guía de lineamientos de transparencia y selección objetiva para el departamento de La Guajira – Objetivo sexto constitucional de la Sentencia T-302 del 2017</w:t>
        </w:r>
      </w:hyperlink>
      <w:r w:rsidRPr="00091AE1">
        <w:rPr>
          <w:rFonts w:ascii="Verdana" w:eastAsia="Calibri" w:hAnsi="Verdana" w:cs="Arial"/>
          <w:color w:val="000000" w:themeColor="text1"/>
          <w:u w:val="single"/>
          <w:shd w:val="clear" w:color="auto" w:fill="FFFFFF"/>
        </w:rPr>
        <w:t>"</w:t>
      </w:r>
    </w:p>
    <w:p w14:paraId="1C0B9500" w14:textId="77777777" w:rsidR="009A6251" w:rsidRPr="00C865D4" w:rsidRDefault="009A6251" w:rsidP="009A6251">
      <w:pPr>
        <w:spacing w:after="0"/>
        <w:jc w:val="both"/>
        <w:rPr>
          <w:rFonts w:ascii="Verdana" w:hAnsi="Verdana"/>
          <w:color w:val="212121"/>
        </w:rPr>
      </w:pPr>
    </w:p>
    <w:p w14:paraId="035FF081" w14:textId="77777777" w:rsidR="009A6251" w:rsidRPr="00C865D4" w:rsidRDefault="009A6251" w:rsidP="009A6251">
      <w:pPr>
        <w:spacing w:after="0" w:line="240" w:lineRule="auto"/>
        <w:jc w:val="both"/>
        <w:rPr>
          <w:rFonts w:ascii="Calibri" w:eastAsia="Calibri" w:hAnsi="Calibri" w:cs="Times New Roman"/>
        </w:rPr>
      </w:pPr>
      <w:r w:rsidRPr="00C865D4">
        <w:rPr>
          <w:rFonts w:ascii="Verdana" w:hAnsi="Verdana"/>
        </w:rPr>
        <w:t xml:space="preserve">Por último, lo invitamos a seguirnos en las redes sociales en las cuales se difunde información institucional: </w:t>
      </w:r>
    </w:p>
    <w:p w14:paraId="129A2DA1" w14:textId="77777777" w:rsidR="009A6251" w:rsidRPr="00C865D4" w:rsidRDefault="009A6251" w:rsidP="009A6251">
      <w:pPr>
        <w:spacing w:after="0" w:line="240" w:lineRule="auto"/>
        <w:jc w:val="both"/>
        <w:rPr>
          <w:rFonts w:ascii="Verdana" w:hAnsi="Verdana"/>
        </w:rPr>
      </w:pPr>
    </w:p>
    <w:p w14:paraId="3FD525C5" w14:textId="77777777" w:rsidR="009A6251" w:rsidRPr="00C865D4" w:rsidRDefault="009A6251" w:rsidP="009A6251">
      <w:pPr>
        <w:spacing w:after="0" w:line="240" w:lineRule="auto"/>
        <w:jc w:val="both"/>
        <w:rPr>
          <w:rFonts w:ascii="Verdana" w:hAnsi="Verdana"/>
        </w:rPr>
      </w:pPr>
      <w:r w:rsidRPr="00C865D4">
        <w:rPr>
          <w:rFonts w:ascii="Verdana" w:hAnsi="Verdana"/>
        </w:rPr>
        <w:t xml:space="preserve">Twitter: </w:t>
      </w:r>
      <w:r w:rsidRPr="00C865D4">
        <w:rPr>
          <w:rFonts w:ascii="Verdana" w:eastAsia="Calibri" w:hAnsi="Verdana" w:cs="Times New Roman"/>
          <w:color w:val="4472C4" w:themeColor="accent1"/>
          <w:u w:val="single"/>
        </w:rPr>
        <w:t>@colombiacompra</w:t>
      </w:r>
      <w:r w:rsidRPr="00C865D4">
        <w:rPr>
          <w:rFonts w:ascii="Verdana" w:eastAsia="Calibri" w:hAnsi="Verdana" w:cs="Times New Roman"/>
          <w:color w:val="4472C4" w:themeColor="accent1"/>
        </w:rPr>
        <w:t xml:space="preserve"> </w:t>
      </w:r>
    </w:p>
    <w:p w14:paraId="6F16DDD1" w14:textId="77777777" w:rsidR="009A6251" w:rsidRPr="00C865D4" w:rsidRDefault="009A6251" w:rsidP="009A6251">
      <w:pPr>
        <w:spacing w:after="0" w:line="240" w:lineRule="auto"/>
        <w:jc w:val="both"/>
        <w:rPr>
          <w:rFonts w:ascii="Verdana" w:hAnsi="Verdana"/>
        </w:rPr>
      </w:pPr>
      <w:r w:rsidRPr="00C865D4">
        <w:rPr>
          <w:rFonts w:ascii="Verdana" w:hAnsi="Verdana"/>
        </w:rPr>
        <w:lastRenderedPageBreak/>
        <w:t xml:space="preserve">Facebook: </w:t>
      </w:r>
      <w:proofErr w:type="spellStart"/>
      <w:r w:rsidRPr="00C865D4">
        <w:rPr>
          <w:rFonts w:ascii="Verdana" w:eastAsia="Calibri" w:hAnsi="Verdana" w:cs="Times New Roman"/>
          <w:color w:val="4472C4" w:themeColor="accent1"/>
          <w:u w:val="single"/>
        </w:rPr>
        <w:t>ColombiaCompraEficiente</w:t>
      </w:r>
      <w:proofErr w:type="spellEnd"/>
    </w:p>
    <w:p w14:paraId="5B48804D" w14:textId="77777777" w:rsidR="009A6251" w:rsidRPr="00C865D4" w:rsidRDefault="009A6251" w:rsidP="009A6251">
      <w:pPr>
        <w:spacing w:after="0" w:line="240" w:lineRule="auto"/>
        <w:jc w:val="both"/>
        <w:rPr>
          <w:rFonts w:ascii="Verdana" w:hAnsi="Verdana"/>
        </w:rPr>
      </w:pPr>
      <w:r w:rsidRPr="00C865D4">
        <w:rPr>
          <w:rFonts w:ascii="Verdana" w:hAnsi="Verdana"/>
        </w:rPr>
        <w:t xml:space="preserve">LinkedIn: </w:t>
      </w:r>
      <w:r w:rsidRPr="00C865D4">
        <w:rPr>
          <w:rFonts w:ascii="Verdana" w:eastAsia="Calibri" w:hAnsi="Verdana" w:cs="Times New Roman"/>
          <w:color w:val="4472C4" w:themeColor="accent1"/>
          <w:u w:val="single"/>
        </w:rPr>
        <w:t>Agencia Nacional de Contratación Pública - Colombia Compra Eficiente</w:t>
      </w:r>
      <w:r w:rsidRPr="00C865D4">
        <w:rPr>
          <w:rFonts w:ascii="Verdana" w:eastAsia="Calibri" w:hAnsi="Verdana" w:cs="Times New Roman"/>
          <w:color w:val="4472C4" w:themeColor="accent1"/>
        </w:rPr>
        <w:t xml:space="preserve"> </w:t>
      </w:r>
      <w:r w:rsidRPr="00C865D4">
        <w:rPr>
          <w:rFonts w:ascii="Verdana" w:hAnsi="Verdana"/>
        </w:rPr>
        <w:t xml:space="preserve">Instagram: </w:t>
      </w:r>
      <w:r w:rsidRPr="00C865D4">
        <w:rPr>
          <w:rFonts w:ascii="Verdana" w:eastAsia="Calibri" w:hAnsi="Verdana" w:cs="Times New Roman"/>
          <w:color w:val="4472C4" w:themeColor="accent1"/>
          <w:u w:val="single"/>
        </w:rPr>
        <w:t>@colombiacompraeficiente_cce</w:t>
      </w:r>
    </w:p>
    <w:p w14:paraId="076F010A" w14:textId="77777777" w:rsidR="009A6251" w:rsidRPr="00C865D4" w:rsidRDefault="009A6251" w:rsidP="009A6251">
      <w:pPr>
        <w:widowControl w:val="0"/>
        <w:autoSpaceDE w:val="0"/>
        <w:autoSpaceDN w:val="0"/>
        <w:spacing w:after="0" w:line="276" w:lineRule="auto"/>
        <w:jc w:val="both"/>
        <w:rPr>
          <w:rFonts w:ascii="Verdana" w:hAnsi="Verdana"/>
        </w:rPr>
      </w:pPr>
    </w:p>
    <w:p w14:paraId="488781CC" w14:textId="77777777" w:rsidR="009A6251" w:rsidRPr="00C865D4" w:rsidRDefault="009A6251" w:rsidP="009A6251">
      <w:pPr>
        <w:widowControl w:val="0"/>
        <w:autoSpaceDE w:val="0"/>
        <w:autoSpaceDN w:val="0"/>
        <w:spacing w:after="0" w:line="276" w:lineRule="auto"/>
        <w:jc w:val="both"/>
        <w:rPr>
          <w:rFonts w:ascii="Verdana" w:eastAsia="Calibri" w:hAnsi="Verdana" w:cs="Arial"/>
          <w:lang w:val="es-ES_tradnl"/>
        </w:rPr>
      </w:pPr>
      <w:r w:rsidRPr="00C865D4">
        <w:rPr>
          <w:rFonts w:ascii="Verdana" w:eastAsia="Calibri" w:hAnsi="Verdana" w:cs="Arial"/>
        </w:rPr>
        <w:t>Este concepto tiene el alcance previsto en el artículo 28 del Código de Procedimiento Administrativo y de lo Contencioso Administrativo.</w:t>
      </w:r>
    </w:p>
    <w:p w14:paraId="118B4C8C" w14:textId="77777777" w:rsidR="009A6251" w:rsidRPr="00C865D4" w:rsidRDefault="009A6251" w:rsidP="009A6251">
      <w:pPr>
        <w:widowControl w:val="0"/>
        <w:autoSpaceDE w:val="0"/>
        <w:autoSpaceDN w:val="0"/>
        <w:spacing w:after="0" w:line="276" w:lineRule="auto"/>
        <w:jc w:val="both"/>
        <w:rPr>
          <w:rFonts w:ascii="Verdana" w:eastAsia="Calibri" w:hAnsi="Verdana" w:cs="Arial"/>
        </w:rPr>
      </w:pPr>
    </w:p>
    <w:p w14:paraId="28045DBE" w14:textId="77777777" w:rsidR="009A6251" w:rsidRPr="00C865D4" w:rsidRDefault="009A6251" w:rsidP="009A6251">
      <w:pPr>
        <w:spacing w:after="0" w:line="240" w:lineRule="auto"/>
        <w:rPr>
          <w:rFonts w:ascii="Verdana" w:eastAsia="Calibri" w:hAnsi="Verdana" w:cs="Arial"/>
          <w:lang w:eastAsia="es-CO"/>
        </w:rPr>
      </w:pPr>
      <w:r w:rsidRPr="00C865D4">
        <w:rPr>
          <w:rFonts w:ascii="Verdana" w:eastAsia="Times New Roman" w:hAnsi="Verdana" w:cs="Arial"/>
          <w:lang w:eastAsia="es-CO"/>
        </w:rPr>
        <w:t>Atentamente,</w:t>
      </w:r>
      <w:r w:rsidRPr="00C865D4">
        <w:rPr>
          <w:rFonts w:ascii="Verdana" w:eastAsia="Calibri" w:hAnsi="Verdana" w:cs="Arial"/>
          <w:lang w:eastAsia="es-CO"/>
        </w:rPr>
        <w:t xml:space="preserve"> </w:t>
      </w:r>
    </w:p>
    <w:p w14:paraId="4A8D156B" w14:textId="77777777" w:rsidR="009A6251" w:rsidRPr="00C865D4" w:rsidRDefault="009A6251" w:rsidP="009A6251">
      <w:pPr>
        <w:tabs>
          <w:tab w:val="left" w:pos="1320"/>
        </w:tabs>
        <w:rPr>
          <w:rFonts w:ascii="Century Gothic" w:hAnsi="Century Gothic"/>
        </w:rPr>
      </w:pPr>
    </w:p>
    <w:p w14:paraId="217B8A15" w14:textId="7FB3A876" w:rsidR="009A6251" w:rsidRPr="00C865D4" w:rsidRDefault="002A4CAA" w:rsidP="009A6251">
      <w:pPr>
        <w:tabs>
          <w:tab w:val="left" w:pos="1320"/>
        </w:tabs>
        <w:jc w:val="center"/>
        <w:rPr>
          <w:rFonts w:ascii="Century Gothic" w:hAnsi="Century Gothic"/>
        </w:rPr>
      </w:pPr>
      <w:r>
        <w:rPr>
          <w:rFonts w:ascii="Century Gothic" w:hAnsi="Century Gothic"/>
          <w:noProof/>
        </w:rPr>
        <w:drawing>
          <wp:inline distT="0" distB="0" distL="0" distR="0" wp14:anchorId="2A52AB02" wp14:editId="3E2C79B2">
            <wp:extent cx="3965413" cy="1704975"/>
            <wp:effectExtent l="0" t="0" r="0" b="0"/>
            <wp:docPr id="7284310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431038" name="Imagen 728431038"/>
                    <pic:cNvPicPr/>
                  </pic:nvPicPr>
                  <pic:blipFill>
                    <a:blip r:embed="rId17">
                      <a:extLst>
                        <a:ext uri="{28A0092B-C50C-407E-A947-70E740481C1C}">
                          <a14:useLocalDpi xmlns:a14="http://schemas.microsoft.com/office/drawing/2010/main" val="0"/>
                        </a:ext>
                      </a:extLst>
                    </a:blip>
                    <a:stretch>
                      <a:fillRect/>
                    </a:stretch>
                  </pic:blipFill>
                  <pic:spPr>
                    <a:xfrm>
                      <a:off x="0" y="0"/>
                      <a:ext cx="3969083" cy="1706553"/>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A6251" w:rsidRPr="00C865D4" w14:paraId="5716C38B" w14:textId="77777777" w:rsidTr="003573D0">
        <w:trPr>
          <w:trHeight w:val="315"/>
        </w:trPr>
        <w:tc>
          <w:tcPr>
            <w:tcW w:w="893" w:type="dxa"/>
            <w:vAlign w:val="center"/>
            <w:hideMark/>
          </w:tcPr>
          <w:p w14:paraId="1B6D03CD" w14:textId="77777777" w:rsidR="009A6251" w:rsidRPr="00C865D4" w:rsidRDefault="009A6251" w:rsidP="003573D0">
            <w:pPr>
              <w:rPr>
                <w:rFonts w:ascii="Verdana" w:eastAsia="Calibri" w:hAnsi="Verdana" w:cs="Arial"/>
                <w:sz w:val="16"/>
                <w:szCs w:val="16"/>
                <w:lang w:val="es-ES_tradnl" w:eastAsia="es-ES"/>
              </w:rPr>
            </w:pPr>
            <w:r w:rsidRPr="00C865D4">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40377D7B" w14:textId="658D0510" w:rsidR="009A6251" w:rsidRPr="00C865D4" w:rsidRDefault="00783A10" w:rsidP="003573D0">
            <w:pPr>
              <w:rPr>
                <w:rFonts w:ascii="Verdana" w:eastAsia="Arial" w:hAnsi="Verdana" w:cs="Arial"/>
                <w:sz w:val="16"/>
                <w:szCs w:val="16"/>
                <w:lang w:val="es-ES"/>
              </w:rPr>
            </w:pPr>
            <w:r>
              <w:rPr>
                <w:rFonts w:ascii="Verdana" w:eastAsia="Arial" w:hAnsi="Verdana" w:cs="Arial"/>
                <w:sz w:val="16"/>
                <w:szCs w:val="16"/>
                <w:lang w:val="es-ES"/>
              </w:rPr>
              <w:t>Karol Andrea Gonzalez Marin</w:t>
            </w:r>
            <w:r w:rsidR="009A6251" w:rsidRPr="00C865D4">
              <w:rPr>
                <w:rFonts w:ascii="Verdana" w:eastAsia="Arial" w:hAnsi="Verdana" w:cs="Arial"/>
                <w:sz w:val="16"/>
                <w:szCs w:val="16"/>
                <w:lang w:val="es-ES"/>
              </w:rPr>
              <w:t xml:space="preserve"> </w:t>
            </w:r>
          </w:p>
          <w:p w14:paraId="2BD59F64" w14:textId="77777777" w:rsidR="009A6251" w:rsidRPr="00C865D4" w:rsidRDefault="009A6251" w:rsidP="003573D0">
            <w:pPr>
              <w:rPr>
                <w:rFonts w:ascii="Verdana" w:eastAsia="Arial" w:hAnsi="Verdana" w:cs="Arial"/>
                <w:sz w:val="16"/>
                <w:szCs w:val="16"/>
                <w:lang w:val="es-ES_tradnl"/>
              </w:rPr>
            </w:pPr>
            <w:r w:rsidRPr="00C865D4">
              <w:rPr>
                <w:rFonts w:ascii="Verdana" w:eastAsia="Arial" w:hAnsi="Verdana" w:cs="Arial"/>
                <w:sz w:val="16"/>
                <w:szCs w:val="16"/>
                <w:lang w:val="es-ES_tradnl"/>
              </w:rPr>
              <w:t>Contratista de la Subdirección de Gestión Contractual</w:t>
            </w:r>
          </w:p>
          <w:p w14:paraId="3D5092A6" w14:textId="77777777" w:rsidR="009A6251" w:rsidRPr="00C865D4" w:rsidRDefault="009A6251" w:rsidP="003573D0">
            <w:pPr>
              <w:rPr>
                <w:rFonts w:ascii="Verdana" w:eastAsia="Arial" w:hAnsi="Verdana" w:cs="Arial"/>
                <w:sz w:val="16"/>
                <w:szCs w:val="16"/>
                <w:lang w:val="es-ES_tradnl"/>
              </w:rPr>
            </w:pPr>
          </w:p>
        </w:tc>
      </w:tr>
      <w:tr w:rsidR="009A6251" w:rsidRPr="00C865D4" w14:paraId="36FD3EA0" w14:textId="77777777" w:rsidTr="003573D0">
        <w:trPr>
          <w:trHeight w:val="330"/>
        </w:trPr>
        <w:tc>
          <w:tcPr>
            <w:tcW w:w="893" w:type="dxa"/>
            <w:vAlign w:val="center"/>
            <w:hideMark/>
          </w:tcPr>
          <w:p w14:paraId="1F589226" w14:textId="77777777" w:rsidR="009A6251" w:rsidRPr="00C865D4" w:rsidRDefault="009A6251" w:rsidP="003573D0">
            <w:pPr>
              <w:rPr>
                <w:rFonts w:ascii="Verdana" w:eastAsia="Calibri" w:hAnsi="Verdana" w:cs="Arial"/>
                <w:sz w:val="16"/>
                <w:szCs w:val="16"/>
                <w:lang w:val="es-ES_tradnl" w:eastAsia="es-ES"/>
              </w:rPr>
            </w:pPr>
            <w:r w:rsidRPr="00C865D4">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23EB8FCD" w14:textId="77777777" w:rsidR="009A6251" w:rsidRPr="00C865D4" w:rsidRDefault="009A6251" w:rsidP="003573D0">
            <w:pPr>
              <w:textAlignment w:val="baseline"/>
              <w:rPr>
                <w:rFonts w:ascii="Verdana" w:eastAsia="Times New Roman" w:hAnsi="Verdana" w:cs="Segoe UI"/>
                <w:sz w:val="16"/>
                <w:szCs w:val="16"/>
                <w:lang w:eastAsia="es-ES_tradnl"/>
              </w:rPr>
            </w:pPr>
            <w:r>
              <w:rPr>
                <w:rFonts w:ascii="Verdana" w:eastAsia="Times New Roman" w:hAnsi="Verdana" w:cs="Segoe UI"/>
                <w:sz w:val="16"/>
                <w:szCs w:val="16"/>
                <w:lang w:eastAsia="es-ES_tradnl"/>
              </w:rPr>
              <w:t>Alejandro Gamboa Cárdenas</w:t>
            </w:r>
          </w:p>
          <w:p w14:paraId="1EF876B4" w14:textId="77777777" w:rsidR="009A6251" w:rsidRPr="00C865D4" w:rsidRDefault="009A6251" w:rsidP="003573D0">
            <w:pPr>
              <w:rPr>
                <w:rFonts w:ascii="Verdana" w:eastAsia="Arial" w:hAnsi="Verdana" w:cs="Arial"/>
                <w:sz w:val="16"/>
                <w:szCs w:val="16"/>
                <w:lang w:val="es-ES_tradnl"/>
              </w:rPr>
            </w:pPr>
            <w:r w:rsidRPr="00C865D4">
              <w:rPr>
                <w:rFonts w:ascii="Verdana" w:eastAsia="Arial" w:hAnsi="Verdana" w:cs="Arial"/>
                <w:sz w:val="16"/>
                <w:szCs w:val="16"/>
                <w:lang w:val="es-ES_tradnl"/>
              </w:rPr>
              <w:t>Contratista de la Subdirección de Gestión Contractual</w:t>
            </w:r>
          </w:p>
          <w:p w14:paraId="24F9EA99" w14:textId="621A9A06" w:rsidR="00783A10" w:rsidRDefault="00783A10" w:rsidP="003573D0">
            <w:pPr>
              <w:textAlignment w:val="baseline"/>
              <w:rPr>
                <w:rFonts w:ascii="Verdana" w:eastAsia="Times New Roman" w:hAnsi="Verdana" w:cs="Segoe UI"/>
                <w:sz w:val="16"/>
                <w:szCs w:val="16"/>
                <w:lang w:val="es-ES_tradnl" w:eastAsia="es-ES_tradnl"/>
              </w:rPr>
            </w:pPr>
            <w:r w:rsidRPr="00783A10">
              <w:rPr>
                <w:rFonts w:ascii="Verdana" w:eastAsia="Times New Roman" w:hAnsi="Verdana" w:cs="Segoe UI"/>
                <w:sz w:val="16"/>
                <w:szCs w:val="16"/>
                <w:lang w:val="es-ES_tradnl" w:eastAsia="es-ES_tradnl"/>
              </w:rPr>
              <w:t xml:space="preserve">Adriana López </w:t>
            </w:r>
          </w:p>
          <w:p w14:paraId="286EA002" w14:textId="65AFD136" w:rsidR="009A6251" w:rsidRPr="00C865D4" w:rsidRDefault="009A6251" w:rsidP="003573D0">
            <w:pPr>
              <w:textAlignment w:val="baseline"/>
              <w:rPr>
                <w:rFonts w:ascii="Verdana" w:eastAsia="Times New Roman" w:hAnsi="Verdana" w:cs="Segoe UI"/>
                <w:sz w:val="16"/>
                <w:szCs w:val="16"/>
                <w:lang w:val="es-ES_tradnl" w:eastAsia="es-ES_tradnl"/>
              </w:rPr>
            </w:pPr>
            <w:r w:rsidRPr="00C865D4">
              <w:rPr>
                <w:rFonts w:ascii="Verdana" w:eastAsia="Times New Roman" w:hAnsi="Verdana" w:cs="Arial"/>
                <w:sz w:val="16"/>
                <w:szCs w:val="16"/>
                <w:lang w:val="es-ES_tradnl" w:eastAsia="es-ES_tradnl"/>
              </w:rPr>
              <w:t>Contratista de la Subdirección de Gestión Contractual </w:t>
            </w:r>
          </w:p>
        </w:tc>
      </w:tr>
      <w:tr w:rsidR="009A6251" w:rsidRPr="00C865D4" w14:paraId="608614F6" w14:textId="77777777" w:rsidTr="003573D0">
        <w:trPr>
          <w:trHeight w:val="300"/>
        </w:trPr>
        <w:tc>
          <w:tcPr>
            <w:tcW w:w="893" w:type="dxa"/>
            <w:vAlign w:val="center"/>
          </w:tcPr>
          <w:p w14:paraId="2C58480F" w14:textId="77777777" w:rsidR="009A6251" w:rsidRPr="00C865D4" w:rsidRDefault="009A6251" w:rsidP="003573D0">
            <w:pPr>
              <w:rPr>
                <w:rFonts w:ascii="Verdana" w:eastAsia="Calibri" w:hAnsi="Verdana" w:cs="Arial"/>
                <w:sz w:val="16"/>
                <w:szCs w:val="16"/>
                <w:lang w:val="es-ES_tradnl" w:eastAsia="es-ES"/>
              </w:rPr>
            </w:pPr>
            <w:r w:rsidRPr="00C865D4">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51D1294F" w14:textId="77777777" w:rsidR="009A6251" w:rsidRPr="00C865D4" w:rsidRDefault="009A6251" w:rsidP="003573D0">
            <w:pPr>
              <w:rPr>
                <w:rFonts w:ascii="Verdana" w:eastAsia="Calibri" w:hAnsi="Verdana" w:cs="Arial"/>
                <w:sz w:val="16"/>
                <w:szCs w:val="16"/>
                <w:lang w:val="es-ES" w:eastAsia="es-ES"/>
              </w:rPr>
            </w:pPr>
            <w:r w:rsidRPr="00C865D4">
              <w:rPr>
                <w:rFonts w:ascii="Verdana" w:eastAsia="Calibri" w:hAnsi="Verdana" w:cs="Arial"/>
                <w:sz w:val="16"/>
                <w:szCs w:val="16"/>
                <w:lang w:val="es-ES" w:eastAsia="es-ES"/>
              </w:rPr>
              <w:t xml:space="preserve">Carolina Quintero </w:t>
            </w:r>
            <w:proofErr w:type="spellStart"/>
            <w:r w:rsidRPr="00C865D4">
              <w:rPr>
                <w:rFonts w:ascii="Verdana" w:eastAsia="Calibri" w:hAnsi="Verdana" w:cs="Arial"/>
                <w:sz w:val="16"/>
                <w:szCs w:val="16"/>
                <w:lang w:val="es-ES" w:eastAsia="es-ES"/>
              </w:rPr>
              <w:t>Gacharná</w:t>
            </w:r>
            <w:proofErr w:type="spellEnd"/>
          </w:p>
          <w:p w14:paraId="602AAEF0" w14:textId="77777777" w:rsidR="009A6251" w:rsidRPr="00C865D4" w:rsidRDefault="009A6251" w:rsidP="003573D0">
            <w:pPr>
              <w:rPr>
                <w:rFonts w:ascii="Verdana" w:eastAsia="Calibri" w:hAnsi="Verdana" w:cs="Arial"/>
                <w:sz w:val="16"/>
                <w:szCs w:val="16"/>
                <w:lang w:val="es-ES_tradnl" w:eastAsia="es-ES"/>
              </w:rPr>
            </w:pPr>
            <w:r w:rsidRPr="00C865D4">
              <w:rPr>
                <w:rFonts w:ascii="Verdana" w:eastAsia="Calibri" w:hAnsi="Verdana" w:cs="Arial"/>
                <w:sz w:val="16"/>
                <w:szCs w:val="16"/>
                <w:lang w:val="es-ES_tradnl" w:eastAsia="es-ES"/>
              </w:rPr>
              <w:t>Subdirectora de Gestión Contractual ANCP – CCE</w:t>
            </w:r>
          </w:p>
        </w:tc>
      </w:tr>
      <w:bookmarkEnd w:id="0"/>
    </w:tbl>
    <w:p w14:paraId="12DF112A" w14:textId="77777777" w:rsidR="009A6251" w:rsidRPr="00C865D4" w:rsidRDefault="009A6251" w:rsidP="009A6251">
      <w:pPr>
        <w:tabs>
          <w:tab w:val="left" w:pos="1320"/>
        </w:tabs>
        <w:rPr>
          <w:rFonts w:ascii="Century Gothic" w:hAnsi="Century Gothic"/>
        </w:rPr>
      </w:pPr>
    </w:p>
    <w:p w14:paraId="3900974D" w14:textId="77777777" w:rsidR="003D5B0D" w:rsidRPr="00BF64A7" w:rsidRDefault="003D5B0D" w:rsidP="00BF64A7"/>
    <w:sectPr w:rsidR="003D5B0D" w:rsidRPr="00BF64A7"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C05A22" w14:textId="77777777" w:rsidR="008F7E47" w:rsidRDefault="008F7E47" w:rsidP="004A1847">
      <w:pPr>
        <w:spacing w:after="0" w:line="240" w:lineRule="auto"/>
      </w:pPr>
      <w:r>
        <w:separator/>
      </w:r>
    </w:p>
  </w:endnote>
  <w:endnote w:type="continuationSeparator" w:id="0">
    <w:p w14:paraId="2A11DC92" w14:textId="77777777" w:rsidR="008F7E47" w:rsidRDefault="008F7E4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Calibri">
    <w:altName w:val="Times New Roman"/>
    <w:charset w:val="00"/>
    <w:family w:val="roman"/>
    <w:pitch w:val="default"/>
  </w:font>
  <w:font w:name="Arial,Times New Roman">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4551E3" w14:textId="77777777" w:rsidR="008F7E47" w:rsidRDefault="008F7E47" w:rsidP="004A1847">
      <w:pPr>
        <w:spacing w:after="0" w:line="240" w:lineRule="auto"/>
      </w:pPr>
      <w:r>
        <w:separator/>
      </w:r>
    </w:p>
  </w:footnote>
  <w:footnote w:type="continuationSeparator" w:id="0">
    <w:p w14:paraId="6D367014" w14:textId="77777777" w:rsidR="008F7E47" w:rsidRDefault="008F7E47" w:rsidP="004A1847">
      <w:pPr>
        <w:spacing w:after="0" w:line="240" w:lineRule="auto"/>
      </w:pPr>
      <w:r>
        <w:continuationSeparator/>
      </w:r>
    </w:p>
  </w:footnote>
  <w:footnote w:id="1">
    <w:p w14:paraId="2658E488" w14:textId="77777777" w:rsidR="009A6251" w:rsidRPr="00671E64" w:rsidRDefault="009A6251" w:rsidP="009A6251">
      <w:pPr>
        <w:pStyle w:val="NormalWeb"/>
        <w:spacing w:before="0" w:beforeAutospacing="0" w:after="0" w:afterAutospacing="0"/>
        <w:ind w:firstLine="708"/>
        <w:contextualSpacing/>
        <w:jc w:val="both"/>
        <w:rPr>
          <w:rFonts w:ascii="Verdana" w:hAnsi="Verdana" w:cs="Arial"/>
          <w:color w:val="000000" w:themeColor="text1"/>
          <w:sz w:val="18"/>
          <w:szCs w:val="18"/>
        </w:rPr>
      </w:pPr>
      <w:r w:rsidRPr="00671E64">
        <w:rPr>
          <w:rStyle w:val="Refdenotaalpie"/>
          <w:rFonts w:ascii="Verdana" w:eastAsiaTheme="majorEastAsia" w:hAnsi="Verdana" w:cs="Arial"/>
          <w:color w:val="000000" w:themeColor="text1"/>
          <w:sz w:val="18"/>
          <w:szCs w:val="18"/>
        </w:rPr>
        <w:footnoteRef/>
      </w:r>
      <w:r w:rsidRPr="00671E64">
        <w:rPr>
          <w:rFonts w:ascii="Verdana" w:hAnsi="Verdana" w:cs="Arial"/>
          <w:color w:val="000000" w:themeColor="text1"/>
          <w:sz w:val="18"/>
          <w:szCs w:val="18"/>
        </w:rPr>
        <w:t xml:space="preserve"> Ley 2022 de 2020: “</w:t>
      </w:r>
      <w:r w:rsidRPr="00671E64">
        <w:rPr>
          <w:rStyle w:val="Textoennegrita"/>
          <w:rFonts w:ascii="Verdana" w:hAnsi="Verdana" w:cs="Arial"/>
          <w:color w:val="000000" w:themeColor="text1"/>
          <w:sz w:val="18"/>
          <w:szCs w:val="18"/>
        </w:rPr>
        <w:t xml:space="preserve">Artículo 1º. </w:t>
      </w:r>
      <w:r w:rsidRPr="00671E64">
        <w:rPr>
          <w:rFonts w:ascii="Verdana" w:hAnsi="Verdana" w:cs="Arial"/>
          <w:color w:val="000000" w:themeColor="text1"/>
          <w:sz w:val="18"/>
          <w:szCs w:val="18"/>
        </w:rPr>
        <w:t>Modifíquese el artículo 4º de la Ley 1882 de 2018, el cual quedará así:</w:t>
      </w:r>
    </w:p>
    <w:p w14:paraId="3B43F792" w14:textId="77777777" w:rsidR="009A6251" w:rsidRPr="00671E64" w:rsidRDefault="009A6251" w:rsidP="009A6251">
      <w:pPr>
        <w:pStyle w:val="NormalWeb"/>
        <w:spacing w:before="0" w:beforeAutospacing="0" w:after="0" w:afterAutospacing="0"/>
        <w:ind w:firstLine="708"/>
        <w:contextualSpacing/>
        <w:jc w:val="both"/>
        <w:rPr>
          <w:rFonts w:ascii="Verdana" w:hAnsi="Verdana" w:cs="Arial"/>
          <w:color w:val="000000" w:themeColor="text1"/>
          <w:sz w:val="18"/>
          <w:szCs w:val="18"/>
        </w:rPr>
      </w:pPr>
      <w:r w:rsidRPr="00671E64">
        <w:rPr>
          <w:rStyle w:val="Textoennegrita"/>
          <w:rFonts w:ascii="Verdana" w:hAnsi="Verdana" w:cs="Arial"/>
          <w:color w:val="000000" w:themeColor="text1"/>
          <w:sz w:val="18"/>
          <w:szCs w:val="18"/>
        </w:rPr>
        <w:t xml:space="preserve">“Artículo 4º. </w:t>
      </w:r>
      <w:r w:rsidRPr="00671E64">
        <w:rPr>
          <w:rFonts w:ascii="Verdana" w:hAnsi="Verdana" w:cs="Arial"/>
          <w:color w:val="000000" w:themeColor="text1"/>
          <w:sz w:val="18"/>
          <w:szCs w:val="18"/>
        </w:rPr>
        <w:t>Adiciónese el siguiente parágrafo al artículo 2º de la Ley 1150 de 2007.</w:t>
      </w:r>
    </w:p>
    <w:p w14:paraId="397D5E6D" w14:textId="77777777" w:rsidR="009A6251" w:rsidRPr="00671E64" w:rsidRDefault="009A6251" w:rsidP="009A6251">
      <w:pPr>
        <w:pStyle w:val="NormalWeb"/>
        <w:spacing w:before="0" w:beforeAutospacing="0" w:after="0" w:afterAutospacing="0"/>
        <w:ind w:firstLine="708"/>
        <w:contextualSpacing/>
        <w:jc w:val="both"/>
        <w:rPr>
          <w:rFonts w:ascii="Verdana" w:hAnsi="Verdana" w:cs="Arial"/>
          <w:color w:val="000000" w:themeColor="text1"/>
          <w:sz w:val="18"/>
          <w:szCs w:val="18"/>
        </w:rPr>
      </w:pPr>
      <w:r w:rsidRPr="00671E64">
        <w:rPr>
          <w:rStyle w:val="Textoennegrita"/>
          <w:rFonts w:ascii="Verdana" w:hAnsi="Verdana" w:cs="Arial"/>
          <w:color w:val="000000" w:themeColor="text1"/>
          <w:sz w:val="18"/>
          <w:szCs w:val="18"/>
        </w:rPr>
        <w:t xml:space="preserve">Parágrafo 7º. </w:t>
      </w:r>
      <w:r w:rsidRPr="00671E64">
        <w:rPr>
          <w:rFonts w:ascii="Verdana" w:hAnsi="Verdana" w:cs="Arial"/>
          <w:color w:val="000000" w:themeColor="text1"/>
          <w:sz w:val="18"/>
          <w:szCs w:val="18"/>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199C52E4" w14:textId="77777777" w:rsidR="009A6251" w:rsidRPr="00671E64" w:rsidRDefault="009A6251" w:rsidP="009A6251">
      <w:pPr>
        <w:pStyle w:val="NormalWeb"/>
        <w:spacing w:before="0" w:beforeAutospacing="0" w:after="0" w:afterAutospacing="0"/>
        <w:ind w:firstLine="708"/>
        <w:contextualSpacing/>
        <w:jc w:val="both"/>
        <w:rPr>
          <w:rFonts w:ascii="Verdana" w:hAnsi="Verdana" w:cs="Arial"/>
          <w:color w:val="000000" w:themeColor="text1"/>
          <w:sz w:val="18"/>
          <w:szCs w:val="18"/>
        </w:rPr>
      </w:pPr>
      <w:r w:rsidRPr="00671E64">
        <w:rPr>
          <w:rFonts w:ascii="Verdana" w:hAnsi="Verdana" w:cs="Arial"/>
          <w:color w:val="000000" w:themeColor="text1"/>
          <w:sz w:val="18"/>
          <w:szCs w:val="18"/>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D24BFC2" w14:textId="77777777" w:rsidR="009A6251" w:rsidRPr="00671E64" w:rsidRDefault="009A6251" w:rsidP="009A6251">
      <w:pPr>
        <w:pStyle w:val="NormalWeb"/>
        <w:spacing w:before="0" w:beforeAutospacing="0" w:after="0" w:afterAutospacing="0"/>
        <w:ind w:firstLine="708"/>
        <w:contextualSpacing/>
        <w:jc w:val="both"/>
        <w:rPr>
          <w:rFonts w:ascii="Verdana" w:hAnsi="Verdana" w:cs="Arial"/>
          <w:color w:val="000000" w:themeColor="text1"/>
          <w:sz w:val="18"/>
          <w:szCs w:val="18"/>
        </w:rPr>
      </w:pPr>
      <w:r w:rsidRPr="00671E64">
        <w:rPr>
          <w:rFonts w:ascii="Verdana" w:hAnsi="Verdana" w:cs="Arial"/>
          <w:color w:val="000000" w:themeColor="text1"/>
          <w:sz w:val="18"/>
          <w:szCs w:val="18"/>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25DD4188" w14:textId="77777777" w:rsidR="009A6251" w:rsidRPr="00671E64" w:rsidRDefault="009A6251" w:rsidP="009A6251">
      <w:pPr>
        <w:pStyle w:val="NormalWeb"/>
        <w:spacing w:before="0" w:beforeAutospacing="0" w:after="0" w:afterAutospacing="0"/>
        <w:ind w:firstLine="708"/>
        <w:contextualSpacing/>
        <w:jc w:val="both"/>
        <w:rPr>
          <w:rFonts w:ascii="Verdana" w:hAnsi="Verdana" w:cs="Arial"/>
          <w:color w:val="000000" w:themeColor="text1"/>
          <w:sz w:val="18"/>
          <w:szCs w:val="18"/>
        </w:rPr>
      </w:pPr>
      <w:r w:rsidRPr="00671E64">
        <w:rPr>
          <w:rFonts w:ascii="Verdana" w:hAnsi="Verdana" w:cs="Arial"/>
          <w:color w:val="000000" w:themeColor="text1"/>
          <w:sz w:val="18"/>
          <w:szCs w:val="18"/>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3427BFE5" w14:textId="77777777" w:rsidR="009A6251" w:rsidRPr="00671E64" w:rsidRDefault="009A6251" w:rsidP="009A6251">
      <w:pPr>
        <w:pStyle w:val="NormalWeb"/>
        <w:spacing w:before="0" w:beforeAutospacing="0" w:after="0" w:afterAutospacing="0"/>
        <w:ind w:firstLine="708"/>
        <w:contextualSpacing/>
        <w:jc w:val="both"/>
        <w:rPr>
          <w:rFonts w:ascii="Verdana" w:hAnsi="Verdana" w:cs="Arial"/>
          <w:color w:val="000000" w:themeColor="text1"/>
          <w:sz w:val="18"/>
          <w:szCs w:val="18"/>
        </w:rPr>
      </w:pPr>
      <w:r w:rsidRPr="00671E64">
        <w:rPr>
          <w:rFonts w:ascii="Verdana" w:hAnsi="Verdana" w:cs="Arial"/>
          <w:color w:val="000000" w:themeColor="text1"/>
          <w:sz w:val="18"/>
          <w:szCs w:val="18"/>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2">
    <w:p w14:paraId="73F98496" w14:textId="77777777" w:rsidR="009A6251" w:rsidRPr="00764E8B" w:rsidRDefault="009A6251" w:rsidP="009A6251">
      <w:pPr>
        <w:spacing w:after="0" w:line="240" w:lineRule="auto"/>
        <w:ind w:firstLine="709"/>
        <w:jc w:val="both"/>
        <w:rPr>
          <w:rFonts w:ascii="Verdana" w:hAnsi="Verdana"/>
          <w:sz w:val="16"/>
          <w:szCs w:val="16"/>
        </w:rPr>
      </w:pPr>
      <w:r w:rsidRPr="00764E8B">
        <w:rPr>
          <w:rStyle w:val="Refdenotaalpie"/>
          <w:rFonts w:ascii="Verdana" w:hAnsi="Verdana"/>
          <w:sz w:val="16"/>
          <w:szCs w:val="16"/>
        </w:rPr>
        <w:footnoteRef/>
      </w:r>
      <w:r w:rsidRPr="00764E8B">
        <w:rPr>
          <w:rFonts w:ascii="Verdana" w:hAnsi="Verdana"/>
          <w:sz w:val="16"/>
          <w:szCs w:val="16"/>
        </w:rPr>
        <w:t xml:space="preserve"> Ley 80 de 1993: “Artículo 26. Del Principio de Responsabilidad. En virtud de este principio:</w:t>
      </w:r>
    </w:p>
    <w:p w14:paraId="46606AE0" w14:textId="77777777" w:rsidR="009A6251" w:rsidRPr="00764E8B" w:rsidRDefault="009A6251" w:rsidP="009A6251">
      <w:pPr>
        <w:spacing w:after="0" w:line="240" w:lineRule="auto"/>
        <w:ind w:firstLine="709"/>
        <w:jc w:val="both"/>
        <w:rPr>
          <w:rFonts w:ascii="Verdana" w:hAnsi="Verdana"/>
          <w:sz w:val="16"/>
          <w:szCs w:val="16"/>
        </w:rPr>
      </w:pPr>
      <w:r w:rsidRPr="00764E8B">
        <w:rPr>
          <w:rFonts w:ascii="Verdana" w:hAnsi="Verdana"/>
          <w:sz w:val="16"/>
          <w:szCs w:val="16"/>
        </w:rPr>
        <w:t>[…]</w:t>
      </w:r>
    </w:p>
    <w:p w14:paraId="7BF0DAEE" w14:textId="77777777" w:rsidR="009A6251" w:rsidRPr="00764E8B" w:rsidRDefault="009A6251" w:rsidP="009A6251">
      <w:pPr>
        <w:spacing w:after="0" w:line="240" w:lineRule="auto"/>
        <w:ind w:firstLine="709"/>
        <w:jc w:val="both"/>
        <w:rPr>
          <w:rFonts w:ascii="Verdana" w:hAnsi="Verdana"/>
          <w:sz w:val="16"/>
          <w:szCs w:val="16"/>
        </w:rPr>
      </w:pPr>
      <w:r w:rsidRPr="00764E8B">
        <w:rPr>
          <w:rFonts w:ascii="Verdana" w:hAnsi="Verdana"/>
          <w:sz w:val="16"/>
          <w:szCs w:val="16"/>
        </w:rPr>
        <w:t>6o. Los contratistas responderán cuando formulen propuestas en las que se fijen condiciones económicas y de contratación artificialmente bajas con el propósito de obtener la adjudicación del contrato”.</w:t>
      </w:r>
    </w:p>
    <w:p w14:paraId="620BC835" w14:textId="77777777" w:rsidR="009A6251" w:rsidRPr="00764E8B" w:rsidRDefault="009A6251" w:rsidP="009A6251">
      <w:pPr>
        <w:pStyle w:val="Textonotapie"/>
        <w:ind w:firstLine="709"/>
        <w:jc w:val="both"/>
        <w:rPr>
          <w:rFonts w:ascii="Verdana" w:hAnsi="Verdana"/>
          <w:sz w:val="16"/>
          <w:szCs w:val="16"/>
        </w:rPr>
      </w:pPr>
    </w:p>
  </w:footnote>
  <w:footnote w:id="3">
    <w:p w14:paraId="790C7AE2" w14:textId="77777777" w:rsidR="009A6251" w:rsidRPr="00764E8B" w:rsidRDefault="009A6251" w:rsidP="009A6251">
      <w:pPr>
        <w:spacing w:after="0" w:line="240" w:lineRule="auto"/>
        <w:ind w:firstLine="709"/>
        <w:jc w:val="both"/>
        <w:rPr>
          <w:rFonts w:ascii="Verdana" w:hAnsi="Verdana"/>
          <w:sz w:val="16"/>
          <w:szCs w:val="16"/>
        </w:rPr>
      </w:pPr>
      <w:r w:rsidRPr="00764E8B">
        <w:rPr>
          <w:rStyle w:val="Refdenotaalpie"/>
          <w:rFonts w:ascii="Verdana" w:hAnsi="Verdana"/>
          <w:sz w:val="16"/>
          <w:szCs w:val="16"/>
        </w:rPr>
        <w:footnoteRef/>
      </w:r>
      <w:r w:rsidRPr="00764E8B">
        <w:rPr>
          <w:rFonts w:ascii="Verdana" w:hAnsi="Verdana"/>
          <w:sz w:val="16"/>
          <w:szCs w:val="16"/>
        </w:rPr>
        <w:t xml:space="preserve"> Decreto 1082 de 2015: “Artículo 2.2.1.1.2.2.4. Oferta con valor artificialmente bajo</w:t>
      </w:r>
      <w:r w:rsidRPr="00764E8B">
        <w:rPr>
          <w:rFonts w:ascii="Verdana" w:hAnsi="Verdana"/>
          <w:b/>
          <w:i/>
          <w:sz w:val="16"/>
          <w:szCs w:val="16"/>
        </w:rPr>
        <w:t xml:space="preserve">. </w:t>
      </w:r>
      <w:r w:rsidRPr="00764E8B">
        <w:rPr>
          <w:rFonts w:ascii="Verdana" w:hAnsi="Verdana"/>
          <w:sz w:val="16"/>
          <w:szCs w:val="16"/>
        </w:rPr>
        <w:t>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Analizadas las explicaciones, el comité evaluador de que trata el artículo anterior, o quien haga la evaluación de las ofertas, debe recomendar rechazar la oferta o continuar con el análisis de la misma en la evaluación de las</w:t>
      </w:r>
      <w:r w:rsidRPr="00764E8B">
        <w:rPr>
          <w:rFonts w:ascii="Verdana" w:hAnsi="Verdana"/>
          <w:spacing w:val="-21"/>
          <w:sz w:val="16"/>
          <w:szCs w:val="16"/>
        </w:rPr>
        <w:t xml:space="preserve"> </w:t>
      </w:r>
      <w:r w:rsidRPr="00764E8B">
        <w:rPr>
          <w:rFonts w:ascii="Verdana" w:hAnsi="Verdana"/>
          <w:sz w:val="16"/>
          <w:szCs w:val="16"/>
        </w:rPr>
        <w:t>ofertas.</w:t>
      </w:r>
    </w:p>
    <w:p w14:paraId="6ED323F0" w14:textId="77777777" w:rsidR="009A6251" w:rsidRPr="00764E8B" w:rsidRDefault="009A6251" w:rsidP="009A6251">
      <w:pPr>
        <w:spacing w:after="0" w:line="240" w:lineRule="auto"/>
        <w:ind w:firstLine="709"/>
        <w:jc w:val="both"/>
        <w:rPr>
          <w:rFonts w:ascii="Verdana" w:hAnsi="Verdana"/>
          <w:sz w:val="16"/>
          <w:szCs w:val="16"/>
        </w:rPr>
      </w:pPr>
      <w:r w:rsidRPr="00764E8B">
        <w:rPr>
          <w:rFonts w:ascii="Verdana" w:hAnsi="Verdana"/>
          <w:sz w:val="16"/>
          <w:szCs w:val="16"/>
        </w:rPr>
        <w:t>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14:paraId="3516A77F" w14:textId="77777777" w:rsidR="009A6251" w:rsidRPr="00764E8B" w:rsidRDefault="009A6251" w:rsidP="009A6251">
      <w:pPr>
        <w:spacing w:after="0" w:line="240" w:lineRule="auto"/>
        <w:ind w:firstLine="709"/>
        <w:jc w:val="both"/>
        <w:rPr>
          <w:rFonts w:ascii="Verdana" w:hAnsi="Verdana"/>
          <w:sz w:val="16"/>
          <w:szCs w:val="16"/>
        </w:rPr>
      </w:pPr>
      <w:r w:rsidRPr="00764E8B">
        <w:rPr>
          <w:rFonts w:ascii="Verdana" w:hAnsi="Verdana"/>
          <w:sz w:val="16"/>
          <w:szCs w:val="16"/>
        </w:rPr>
        <w:t>En la subasta inversa esta disposición es aplicable sobre el precio obtenido al final de la misma”.</w:t>
      </w:r>
    </w:p>
    <w:p w14:paraId="41248FF9" w14:textId="77777777" w:rsidR="009A6251" w:rsidRPr="00764E8B" w:rsidRDefault="009A6251" w:rsidP="009A6251">
      <w:pPr>
        <w:pStyle w:val="Textonotapie"/>
        <w:ind w:firstLine="709"/>
        <w:jc w:val="both"/>
        <w:rPr>
          <w:rFonts w:ascii="Verdana" w:hAnsi="Verdana"/>
          <w:sz w:val="16"/>
          <w:szCs w:val="16"/>
        </w:rPr>
      </w:pPr>
    </w:p>
  </w:footnote>
  <w:footnote w:id="4">
    <w:p w14:paraId="32B41F52" w14:textId="77777777" w:rsidR="009A6251" w:rsidRPr="005A5BF9" w:rsidRDefault="009A6251" w:rsidP="009A6251">
      <w:pPr>
        <w:pStyle w:val="Textonotapie"/>
        <w:ind w:firstLine="708"/>
        <w:jc w:val="both"/>
        <w:rPr>
          <w:rFonts w:ascii="Arial" w:hAnsi="Arial" w:cs="Arial"/>
          <w:color w:val="000000" w:themeColor="text1"/>
          <w:sz w:val="19"/>
          <w:szCs w:val="19"/>
        </w:rPr>
      </w:pPr>
      <w:r w:rsidRPr="005A0B35">
        <w:rPr>
          <w:rStyle w:val="Refdenotaalpie"/>
          <w:rFonts w:ascii="Arial" w:hAnsi="Arial" w:cs="Arial"/>
          <w:color w:val="000000" w:themeColor="text1"/>
          <w:sz w:val="19"/>
          <w:szCs w:val="19"/>
        </w:rPr>
        <w:footnoteRef/>
      </w:r>
      <w:r w:rsidRPr="005A0B35">
        <w:rPr>
          <w:rFonts w:ascii="Arial" w:hAnsi="Arial" w:cs="Arial"/>
          <w:color w:val="000000" w:themeColor="text1"/>
          <w:sz w:val="19"/>
          <w:szCs w:val="19"/>
        </w:rPr>
        <w:t xml:space="preserve"> Banco </w:t>
      </w:r>
      <w:r>
        <w:rPr>
          <w:rFonts w:ascii="Arial" w:hAnsi="Arial" w:cs="Arial"/>
          <w:color w:val="000000" w:themeColor="text1"/>
          <w:sz w:val="19"/>
          <w:szCs w:val="19"/>
        </w:rPr>
        <w:t>d</w:t>
      </w:r>
      <w:r w:rsidRPr="005A0B35">
        <w:rPr>
          <w:rFonts w:ascii="Arial" w:hAnsi="Arial" w:cs="Arial"/>
          <w:color w:val="000000" w:themeColor="text1"/>
          <w:sz w:val="19"/>
          <w:szCs w:val="19"/>
        </w:rPr>
        <w:t xml:space="preserve">e </w:t>
      </w:r>
      <w:r>
        <w:rPr>
          <w:rFonts w:ascii="Arial" w:hAnsi="Arial" w:cs="Arial"/>
          <w:color w:val="000000" w:themeColor="text1"/>
          <w:sz w:val="19"/>
          <w:szCs w:val="19"/>
        </w:rPr>
        <w:t>l</w:t>
      </w:r>
      <w:r w:rsidRPr="005A0B35">
        <w:rPr>
          <w:rFonts w:ascii="Arial" w:hAnsi="Arial" w:cs="Arial"/>
          <w:color w:val="000000" w:themeColor="text1"/>
          <w:sz w:val="19"/>
          <w:szCs w:val="19"/>
        </w:rPr>
        <w:t xml:space="preserve">a República. </w:t>
      </w:r>
      <w:r w:rsidRPr="00A2737D">
        <w:rPr>
          <w:rFonts w:ascii="Arial" w:hAnsi="Arial" w:cs="Arial"/>
          <w:color w:val="000000" w:themeColor="text1"/>
          <w:sz w:val="19"/>
          <w:szCs w:val="19"/>
        </w:rPr>
        <w:t>Circular Reglamentaria Externa – DOAM</w:t>
      </w:r>
      <w:r w:rsidRPr="002E0FAD">
        <w:rPr>
          <w:rFonts w:ascii="Arial" w:hAnsi="Arial" w:cs="Arial"/>
          <w:color w:val="000000" w:themeColor="text1"/>
          <w:sz w:val="19"/>
          <w:szCs w:val="19"/>
        </w:rPr>
        <w:t>- 146 de 4 de noviembre de 2020</w:t>
      </w:r>
      <w:r w:rsidRPr="005A5BF9">
        <w:rPr>
          <w:rFonts w:ascii="Arial" w:hAnsi="Arial" w:cs="Arial"/>
          <w:color w:val="000000" w:themeColor="text1"/>
          <w:sz w:val="19"/>
          <w:szCs w:val="19"/>
        </w:rPr>
        <w:t xml:space="preserve">. </w:t>
      </w:r>
    </w:p>
    <w:p w14:paraId="43225ACA" w14:textId="77777777" w:rsidR="009A6251" w:rsidRPr="005A5BF9" w:rsidRDefault="009A6251" w:rsidP="009A6251">
      <w:pPr>
        <w:pStyle w:val="Textonotapie"/>
        <w:ind w:firstLine="708"/>
        <w:jc w:val="both"/>
        <w:rPr>
          <w:rFonts w:ascii="Arial" w:hAnsi="Arial" w:cs="Arial"/>
          <w:color w:val="000000" w:themeColor="text1"/>
          <w:sz w:val="19"/>
          <w:szCs w:val="19"/>
        </w:rPr>
      </w:pPr>
    </w:p>
  </w:footnote>
  <w:footnote w:id="5">
    <w:p w14:paraId="1801D499" w14:textId="77777777" w:rsidR="009A6251" w:rsidRPr="002E0FAD" w:rsidRDefault="009A6251" w:rsidP="009A6251">
      <w:pPr>
        <w:pStyle w:val="Textonotapie"/>
        <w:ind w:firstLine="708"/>
        <w:jc w:val="both"/>
        <w:rPr>
          <w:rFonts w:ascii="Arial" w:hAnsi="Arial" w:cs="Arial"/>
          <w:color w:val="000000" w:themeColor="text1"/>
          <w:sz w:val="19"/>
          <w:szCs w:val="19"/>
        </w:rPr>
      </w:pPr>
      <w:r w:rsidRPr="005A0B35">
        <w:rPr>
          <w:rStyle w:val="Refdenotaalpie"/>
          <w:rFonts w:ascii="Arial" w:hAnsi="Arial" w:cs="Arial"/>
          <w:color w:val="000000" w:themeColor="text1"/>
          <w:sz w:val="19"/>
          <w:szCs w:val="19"/>
        </w:rPr>
        <w:footnoteRef/>
      </w:r>
      <w:r w:rsidRPr="005A0B35">
        <w:rPr>
          <w:rFonts w:ascii="Arial" w:hAnsi="Arial" w:cs="Arial"/>
          <w:color w:val="000000" w:themeColor="text1"/>
          <w:sz w:val="19"/>
          <w:szCs w:val="19"/>
        </w:rPr>
        <w:t xml:space="preserve"> Banco </w:t>
      </w:r>
      <w:r>
        <w:rPr>
          <w:rFonts w:ascii="Arial" w:hAnsi="Arial" w:cs="Arial"/>
          <w:color w:val="000000" w:themeColor="text1"/>
          <w:sz w:val="19"/>
          <w:szCs w:val="19"/>
        </w:rPr>
        <w:t>d</w:t>
      </w:r>
      <w:r w:rsidRPr="005A0B35">
        <w:rPr>
          <w:rFonts w:ascii="Arial" w:hAnsi="Arial" w:cs="Arial"/>
          <w:color w:val="000000" w:themeColor="text1"/>
          <w:sz w:val="19"/>
          <w:szCs w:val="19"/>
        </w:rPr>
        <w:t xml:space="preserve">e </w:t>
      </w:r>
      <w:r>
        <w:rPr>
          <w:rFonts w:ascii="Arial" w:hAnsi="Arial" w:cs="Arial"/>
          <w:color w:val="000000" w:themeColor="text1"/>
          <w:sz w:val="19"/>
          <w:szCs w:val="19"/>
        </w:rPr>
        <w:t>l</w:t>
      </w:r>
      <w:r w:rsidRPr="005A0B35">
        <w:rPr>
          <w:rFonts w:ascii="Arial" w:hAnsi="Arial" w:cs="Arial"/>
          <w:color w:val="000000" w:themeColor="text1"/>
          <w:sz w:val="19"/>
          <w:szCs w:val="19"/>
        </w:rPr>
        <w:t xml:space="preserve">a República. Disponible en línea: </w:t>
      </w:r>
      <w:hyperlink r:id="rId1" w:history="1">
        <w:r w:rsidRPr="005A5BF9">
          <w:rPr>
            <w:rStyle w:val="Hipervnculo"/>
            <w:rFonts w:ascii="Arial" w:hAnsi="Arial" w:cs="Arial"/>
            <w:color w:val="000000" w:themeColor="text1"/>
            <w:sz w:val="19"/>
            <w:szCs w:val="19"/>
          </w:rPr>
          <w:t>https://www.banrep.gov.co/es/estadisticas/trm</w:t>
        </w:r>
      </w:hyperlink>
      <w:r w:rsidRPr="005A0B35">
        <w:rPr>
          <w:rStyle w:val="Hipervnculo"/>
          <w:rFonts w:ascii="Arial" w:hAnsi="Arial" w:cs="Arial"/>
          <w:color w:val="000000" w:themeColor="text1"/>
          <w:sz w:val="19"/>
          <w:szCs w:val="19"/>
        </w:rPr>
        <w:t>. Consultado el 3 de diciembre de 2021.</w:t>
      </w:r>
      <w:r w:rsidRPr="00A2737D">
        <w:rPr>
          <w:rStyle w:val="Hipervnculo"/>
          <w:rFonts w:ascii="Arial" w:hAnsi="Arial" w:cs="Arial"/>
          <w:color w:val="000000" w:themeColor="text1"/>
          <w:sz w:val="19"/>
          <w:szCs w:val="19"/>
        </w:rPr>
        <w:t xml:space="preserve"> </w:t>
      </w:r>
      <w:r w:rsidRPr="002E0FAD">
        <w:rPr>
          <w:rFonts w:ascii="Arial" w:hAnsi="Arial" w:cs="Arial"/>
          <w:color w:val="000000" w:themeColor="text1"/>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364ED1"/>
    <w:multiLevelType w:val="hybridMultilevel"/>
    <w:tmpl w:val="695666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B3784E"/>
    <w:multiLevelType w:val="hybridMultilevel"/>
    <w:tmpl w:val="F9FCF2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2" w15:restartNumberingAfterBreak="0">
    <w:nsid w:val="48FF1356"/>
    <w:multiLevelType w:val="hybridMultilevel"/>
    <w:tmpl w:val="8D2C4418"/>
    <w:lvl w:ilvl="0" w:tplc="A5A2BD24">
      <w:start w:val="1"/>
      <w:numFmt w:val="lowerRoman"/>
      <w:lvlText w:val="%1)"/>
      <w:lvlJc w:val="left"/>
      <w:pPr>
        <w:ind w:left="1080" w:hanging="360"/>
      </w:pPr>
      <w:rPr>
        <w:rFonts w:asciiTheme="minorHAnsi" w:eastAsiaTheme="minorHAnsi" w:hAnsiTheme="minorHAnsi" w:cstheme="minorBidi"/>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4A74137A"/>
    <w:multiLevelType w:val="hybridMultilevel"/>
    <w:tmpl w:val="B010EF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62902FB"/>
    <w:multiLevelType w:val="hybridMultilevel"/>
    <w:tmpl w:val="FFFFFFFF"/>
    <w:lvl w:ilvl="0" w:tplc="97A661EA">
      <w:start w:val="5"/>
      <w:numFmt w:val="bullet"/>
      <w:lvlText w:val=""/>
      <w:lvlJc w:val="left"/>
      <w:pPr>
        <w:ind w:left="720" w:hanging="360"/>
      </w:pPr>
      <w:rPr>
        <w:rFonts w:ascii="Symbol" w:eastAsia="Times New Roman"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FBF0C28"/>
    <w:multiLevelType w:val="hybridMultilevel"/>
    <w:tmpl w:val="6C7A08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8"/>
  </w:num>
  <w:num w:numId="7" w16cid:durableId="1946422806">
    <w:abstractNumId w:val="7"/>
  </w:num>
  <w:num w:numId="8" w16cid:durableId="152644682">
    <w:abstractNumId w:val="17"/>
  </w:num>
  <w:num w:numId="9" w16cid:durableId="1317221377">
    <w:abstractNumId w:val="9"/>
  </w:num>
  <w:num w:numId="10" w16cid:durableId="1471245386">
    <w:abstractNumId w:val="16"/>
  </w:num>
  <w:num w:numId="11" w16cid:durableId="289172385">
    <w:abstractNumId w:val="10"/>
  </w:num>
  <w:num w:numId="12" w16cid:durableId="1470781324">
    <w:abstractNumId w:val="1"/>
  </w:num>
  <w:num w:numId="13" w16cid:durableId="1512908409">
    <w:abstractNumId w:val="4"/>
  </w:num>
  <w:num w:numId="14" w16cid:durableId="895897244">
    <w:abstractNumId w:val="19"/>
  </w:num>
  <w:num w:numId="15" w16cid:durableId="390349800">
    <w:abstractNumId w:val="14"/>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4567968">
    <w:abstractNumId w:val="15"/>
  </w:num>
  <w:num w:numId="18" w16cid:durableId="827985604">
    <w:abstractNumId w:val="11"/>
  </w:num>
  <w:num w:numId="19" w16cid:durableId="341274352">
    <w:abstractNumId w:val="0"/>
  </w:num>
  <w:num w:numId="20" w16cid:durableId="295986491">
    <w:abstractNumId w:val="13"/>
  </w:num>
  <w:num w:numId="21" w16cid:durableId="1075012050">
    <w:abstractNumId w:val="20"/>
  </w:num>
  <w:num w:numId="22" w16cid:durableId="553586568">
    <w:abstractNumId w:val="3"/>
  </w:num>
  <w:num w:numId="23" w16cid:durableId="1534684230">
    <w:abstractNumId w:val="12"/>
  </w:num>
  <w:num w:numId="24" w16cid:durableId="2837361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71BD"/>
    <w:rsid w:val="000A683E"/>
    <w:rsid w:val="000B19B9"/>
    <w:rsid w:val="000D0334"/>
    <w:rsid w:val="000F6486"/>
    <w:rsid w:val="00125105"/>
    <w:rsid w:val="00127233"/>
    <w:rsid w:val="001511A0"/>
    <w:rsid w:val="001E4177"/>
    <w:rsid w:val="001F7312"/>
    <w:rsid w:val="001F7DC6"/>
    <w:rsid w:val="002421BB"/>
    <w:rsid w:val="0025796E"/>
    <w:rsid w:val="002707A2"/>
    <w:rsid w:val="002951A0"/>
    <w:rsid w:val="002962BC"/>
    <w:rsid w:val="002A093D"/>
    <w:rsid w:val="002A0DD0"/>
    <w:rsid w:val="002A49AC"/>
    <w:rsid w:val="002A4CAA"/>
    <w:rsid w:val="002A64FD"/>
    <w:rsid w:val="002C7A84"/>
    <w:rsid w:val="002E4FD9"/>
    <w:rsid w:val="00322A85"/>
    <w:rsid w:val="00324168"/>
    <w:rsid w:val="00326C48"/>
    <w:rsid w:val="00327559"/>
    <w:rsid w:val="00327EC7"/>
    <w:rsid w:val="003448F4"/>
    <w:rsid w:val="003670C6"/>
    <w:rsid w:val="00374F5E"/>
    <w:rsid w:val="00377E3E"/>
    <w:rsid w:val="003A39F3"/>
    <w:rsid w:val="003A779E"/>
    <w:rsid w:val="003D0F4D"/>
    <w:rsid w:val="003D5B0D"/>
    <w:rsid w:val="003E0499"/>
    <w:rsid w:val="003F3941"/>
    <w:rsid w:val="00406575"/>
    <w:rsid w:val="00414C74"/>
    <w:rsid w:val="0042722E"/>
    <w:rsid w:val="0044528D"/>
    <w:rsid w:val="004A1847"/>
    <w:rsid w:val="004A305D"/>
    <w:rsid w:val="004D066B"/>
    <w:rsid w:val="004F21C4"/>
    <w:rsid w:val="004F685F"/>
    <w:rsid w:val="005566E8"/>
    <w:rsid w:val="0057154C"/>
    <w:rsid w:val="00574867"/>
    <w:rsid w:val="00591460"/>
    <w:rsid w:val="005B3816"/>
    <w:rsid w:val="005C3777"/>
    <w:rsid w:val="005C5CDC"/>
    <w:rsid w:val="005D476C"/>
    <w:rsid w:val="00605CF5"/>
    <w:rsid w:val="006219F8"/>
    <w:rsid w:val="00665D70"/>
    <w:rsid w:val="006900D9"/>
    <w:rsid w:val="00706C16"/>
    <w:rsid w:val="00727128"/>
    <w:rsid w:val="00756841"/>
    <w:rsid w:val="007649AB"/>
    <w:rsid w:val="00771D0C"/>
    <w:rsid w:val="007833AC"/>
    <w:rsid w:val="00783A10"/>
    <w:rsid w:val="007B268C"/>
    <w:rsid w:val="007B7171"/>
    <w:rsid w:val="007C0C0F"/>
    <w:rsid w:val="007C3DC2"/>
    <w:rsid w:val="007E5497"/>
    <w:rsid w:val="00806F5F"/>
    <w:rsid w:val="00820278"/>
    <w:rsid w:val="008429BB"/>
    <w:rsid w:val="00867F95"/>
    <w:rsid w:val="008843B6"/>
    <w:rsid w:val="00891928"/>
    <w:rsid w:val="008A446D"/>
    <w:rsid w:val="008D180B"/>
    <w:rsid w:val="008F0EA7"/>
    <w:rsid w:val="008F7E47"/>
    <w:rsid w:val="00923EEF"/>
    <w:rsid w:val="009419F9"/>
    <w:rsid w:val="0095685E"/>
    <w:rsid w:val="00961B09"/>
    <w:rsid w:val="00965334"/>
    <w:rsid w:val="0097093E"/>
    <w:rsid w:val="00986AC5"/>
    <w:rsid w:val="009A0DFA"/>
    <w:rsid w:val="009A6251"/>
    <w:rsid w:val="009B2D26"/>
    <w:rsid w:val="009C71FA"/>
    <w:rsid w:val="009C72E7"/>
    <w:rsid w:val="009D3058"/>
    <w:rsid w:val="009F3A13"/>
    <w:rsid w:val="00A122D3"/>
    <w:rsid w:val="00A17F13"/>
    <w:rsid w:val="00A20739"/>
    <w:rsid w:val="00A33C78"/>
    <w:rsid w:val="00AB0ADB"/>
    <w:rsid w:val="00B01B1A"/>
    <w:rsid w:val="00B66319"/>
    <w:rsid w:val="00B72CD3"/>
    <w:rsid w:val="00B72FFF"/>
    <w:rsid w:val="00BC3D36"/>
    <w:rsid w:val="00BD7F72"/>
    <w:rsid w:val="00BF64A7"/>
    <w:rsid w:val="00C04FB3"/>
    <w:rsid w:val="00C330EB"/>
    <w:rsid w:val="00C41061"/>
    <w:rsid w:val="00C43E7C"/>
    <w:rsid w:val="00C754BE"/>
    <w:rsid w:val="00C76B1C"/>
    <w:rsid w:val="00CB6357"/>
    <w:rsid w:val="00CC1B26"/>
    <w:rsid w:val="00CF02B2"/>
    <w:rsid w:val="00D375E0"/>
    <w:rsid w:val="00D423A2"/>
    <w:rsid w:val="00D520D8"/>
    <w:rsid w:val="00D63AC2"/>
    <w:rsid w:val="00D7383B"/>
    <w:rsid w:val="00DA231B"/>
    <w:rsid w:val="00DC39FC"/>
    <w:rsid w:val="00DF5254"/>
    <w:rsid w:val="00E16408"/>
    <w:rsid w:val="00E20894"/>
    <w:rsid w:val="00E245AB"/>
    <w:rsid w:val="00E2764C"/>
    <w:rsid w:val="00E27F2E"/>
    <w:rsid w:val="00E50AFE"/>
    <w:rsid w:val="00E71678"/>
    <w:rsid w:val="00E75C92"/>
    <w:rsid w:val="00E771DC"/>
    <w:rsid w:val="00E8772A"/>
    <w:rsid w:val="00E90F6B"/>
    <w:rsid w:val="00E92C27"/>
    <w:rsid w:val="00EA0E3D"/>
    <w:rsid w:val="00EC38A7"/>
    <w:rsid w:val="00ED7384"/>
    <w:rsid w:val="00EE1AA8"/>
    <w:rsid w:val="00F31EDC"/>
    <w:rsid w:val="00F462B3"/>
    <w:rsid w:val="00F53248"/>
    <w:rsid w:val="00F5664F"/>
    <w:rsid w:val="00F666C4"/>
    <w:rsid w:val="00F76AFC"/>
    <w:rsid w:val="00FA47C0"/>
    <w:rsid w:val="00FB5DD1"/>
    <w:rsid w:val="00FC2B5D"/>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A6251"/>
    <w:pPr>
      <w:spacing w:line="240" w:lineRule="exact"/>
    </w:pPr>
    <w:rPr>
      <w:vertAlign w:val="superscript"/>
    </w:rPr>
  </w:style>
  <w:style w:type="table" w:customStyle="1" w:styleId="Tablaconcuadrcula1">
    <w:name w:val="Tabla con cuadrícula1"/>
    <w:basedOn w:val="Tablanormal"/>
    <w:next w:val="Tablaconcuadrcula"/>
    <w:uiPriority w:val="39"/>
    <w:qFormat/>
    <w:rsid w:val="009A62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9A6251"/>
    <w:rPr>
      <w:b/>
      <w:bC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9A6251"/>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52440347">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corendon021@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normativa-y-relatoria%2Fdocumentos-tipo&amp;data=05%7C02%7Ccarlos.castrillon%40colombiacompra.gov.co%7C7cfff6dece924643582c08dd97bfed90%7C7b09041e245149d08cb179d5e3d8c1be%7C0%7C0%7C638833572791279343%7CUnknown%7CTWFpbGZsb3d8eyJFbXB0eU1hcGkiOnRydWUsIlYiOiIwLjAuMDAwMCIsIlAiOiJXaW4zMiIsIkFOIjoiTWFpbCIsIldUIjoyfQ%3D%3D%7C0%7C%7C%7C&amp;sdata=47Uz4IOYsgnD93wzIAxFBd4IE%2F0cu6nWd7qQuWuWIoU%3D&amp;reserved=0"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archivos%2Fconvocatoria%2Fparticipacion-ciudadana-proyecto-de-la-guia-para-la-elaboracion-de-estudios-del-sector&amp;data=05%7C02%7Ccarlos.castrillon%40colombiacompra.gov.co%7C7cfff6dece924643582c08dd97bfed90%7C7b09041e245149d08cb179d5e3d8c1be%7C0%7C0%7C638833572791256997%7CUnknown%7CTWFpbGZsb3d8eyJFbXB0eU1hcGkiOnRydWUsIlYiOiIwLjAuMDAwMCIsIlAiOiJXaW4zMiIsIkFOIjoiTWFpbCIsIldUIjoyfQ%3D%3D%7C0%7C%7C%7C&amp;sdata=VlGVgVWuuBuNxRVxi5od1flSbPE8xsjvWAhykoiD0qg%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banrep.gov.co/es/estadisticas/tr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purl.org/dc/dcmitype/"/>
    <ds:schemaRef ds:uri="9d85dbaf-23eb-4e57-a637-93dcacc8b1a1"/>
    <ds:schemaRef ds:uri="http://www.w3.org/XML/1998/namespace"/>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a6cb9e4b-f1d1-4245-83ec-6cad768d538a"/>
    <ds:schemaRef ds:uri="http://purl.org/dc/terms/"/>
    <ds:schemaRef ds:uri="http://purl.org/dc/elements/1.1/"/>
  </ds:schemaRefs>
</ds:datastoreItem>
</file>

<file path=customXml/itemProps2.xml><?xml version="1.0" encoding="utf-8"?>
<ds:datastoreItem xmlns:ds="http://schemas.openxmlformats.org/officeDocument/2006/customXml" ds:itemID="{DD032188-5425-4E12-9F5C-ED118BEEC6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17</Pages>
  <Words>5410</Words>
  <Characters>29761</Characters>
  <Application>Microsoft Office Word</Application>
  <DocSecurity>0</DocSecurity>
  <Lines>248</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2025-10-09T16:04:00Z</dcterms:created>
  <dcterms:modified xsi:type="dcterms:W3CDTF">2025-10-09T16:04:00Z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