
<file path=[Content_Types].xml><?xml version="1.0" encoding="utf-8"?>
<Types xmlns="http://schemas.openxmlformats.org/package/2006/content-types">
  <Default Extension="emf" ContentType="image/x-emf"/>
  <Default Extension="gif" ContentType="image/gif"/>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customXml/itemProps4.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392E311F" w14:textId="77777777" w:rsidR="00457B75" w:rsidRPr="00682C93" w:rsidRDefault="00457B75" w:rsidP="0029325F">
      <w:pPr>
        <w:spacing w:after="0" w:line="240" w:lineRule="auto"/>
        <w:jc w:val="both"/>
        <w:rPr>
          <w:rFonts w:ascii="Verdana" w:hAnsi="Verdana" w:cs="Arial"/>
          <w:b/>
          <w:lang w:val="es-MX" w:eastAsia="es-ES_tradnl"/>
        </w:rPr>
      </w:pPr>
      <w:bookmarkStart w:id="0" w:name="_Hlk143780582"/>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Finalidad </w:t>
      </w:r>
    </w:p>
    <w:p w14:paraId="3C1F40B6" w14:textId="77777777" w:rsidR="00457B75" w:rsidRDefault="00457B75" w:rsidP="0029325F">
      <w:pPr>
        <w:spacing w:after="0" w:line="240" w:lineRule="auto"/>
        <w:jc w:val="both"/>
        <w:rPr>
          <w:rFonts w:ascii="Verdana" w:hAnsi="Verdana" w:cs="Arial"/>
          <w:b/>
          <w:lang w:val="es-MX" w:eastAsia="es-ES_tradnl"/>
        </w:rPr>
      </w:pPr>
    </w:p>
    <w:p w14:paraId="160266C7" w14:textId="77777777" w:rsidR="00457B75" w:rsidRDefault="00457B75" w:rsidP="0029325F">
      <w:pPr>
        <w:spacing w:after="0" w:line="240" w:lineRule="auto"/>
        <w:jc w:val="both"/>
        <w:rPr>
          <w:rFonts w:ascii="Verdana" w:eastAsia="Times New Roman" w:hAnsi="Verdana" w:cs="Arial"/>
          <w:sz w:val="20"/>
          <w:lang w:val="es-MX" w:eastAsia="es-CO"/>
        </w:rPr>
      </w:pPr>
      <w:r w:rsidRPr="00682C93">
        <w:rPr>
          <w:rFonts w:ascii="Verdana" w:eastAsia="Times New Roman" w:hAnsi="Verdana" w:cs="Arial"/>
          <w:sz w:val="20"/>
          <w:lang w:val="es-MX" w:eastAsia="es-CO"/>
        </w:rPr>
        <w:t>En este contexto, la Ley de Garantías Electorales establece el marco jurídico para el desarrollo de las elecciones, procurando condiciones de igualdad y transparencia para los aspirantes. Paralelamente, se incluyen restricciones en las actuaciones de los servidores públicos, evitando interferencias en la contienda electoral, así como la posible desviación de recursos públicos en aspiraciones electorales. Por ello, varias de las disposiciones de la Ley 996 de 2005, al contener normas prohibitivas, no admiten una interpretación amplia, sino que deben interpretarse restrictivamente.</w:t>
      </w:r>
    </w:p>
    <w:p w14:paraId="752D9FE7" w14:textId="77777777" w:rsidR="00457B75" w:rsidRPr="00682C93" w:rsidRDefault="00457B75" w:rsidP="0029325F">
      <w:pPr>
        <w:spacing w:after="0" w:line="240" w:lineRule="auto"/>
        <w:jc w:val="both"/>
        <w:rPr>
          <w:rFonts w:ascii="Verdana" w:hAnsi="Verdana" w:cs="Arial"/>
          <w:b/>
          <w:sz w:val="20"/>
          <w:lang w:val="es-MX" w:eastAsia="es-ES_tradnl"/>
        </w:rPr>
      </w:pPr>
    </w:p>
    <w:p w14:paraId="725C6949"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w:t>
      </w:r>
      <w:r w:rsidRPr="00682C93">
        <w:rPr>
          <w:rFonts w:ascii="Verdana" w:hAnsi="Verdana" w:cs="Arial"/>
          <w:b/>
          <w:bCs/>
          <w:lang w:val="es-MX" w:eastAsia="es-ES_tradnl"/>
        </w:rPr>
        <w:t>‒</w:t>
      </w:r>
      <w:r w:rsidRPr="00682C93">
        <w:rPr>
          <w:rFonts w:ascii="Verdana" w:hAnsi="Verdana" w:cs="Arial"/>
          <w:b/>
          <w:lang w:val="es-MX" w:eastAsia="es-ES_tradnl"/>
        </w:rPr>
        <w:t xml:space="preserve"> Tipos de restricciones </w:t>
      </w:r>
      <w:r w:rsidRPr="00682C93">
        <w:rPr>
          <w:rFonts w:ascii="Verdana" w:hAnsi="Verdana" w:cs="Arial"/>
          <w:b/>
          <w:bCs/>
          <w:lang w:val="es-MX" w:eastAsia="es-ES_tradnl"/>
        </w:rPr>
        <w:t>‒</w:t>
      </w:r>
      <w:r w:rsidRPr="00682C93">
        <w:rPr>
          <w:rFonts w:ascii="Verdana" w:hAnsi="Verdana" w:cs="Arial"/>
          <w:b/>
          <w:lang w:val="es-MX" w:eastAsia="es-ES_tradnl"/>
        </w:rPr>
        <w:t xml:space="preserve"> Ámbito temporal – celebración- límite</w:t>
      </w:r>
    </w:p>
    <w:p w14:paraId="5E4005D6" w14:textId="77777777" w:rsidR="00457B75" w:rsidRDefault="00457B75" w:rsidP="0029325F">
      <w:pPr>
        <w:spacing w:after="0" w:line="240" w:lineRule="auto"/>
        <w:jc w:val="both"/>
        <w:rPr>
          <w:rFonts w:ascii="Verdana" w:hAnsi="Verdana" w:cs="Arial"/>
          <w:b/>
          <w:lang w:val="es-MX" w:eastAsia="es-ES_tradnl"/>
        </w:rPr>
      </w:pPr>
    </w:p>
    <w:p w14:paraId="592CC75F" w14:textId="77777777" w:rsidR="00457B75" w:rsidRPr="00E41F23" w:rsidRDefault="00457B75" w:rsidP="0029325F">
      <w:pPr>
        <w:spacing w:after="0" w:line="240" w:lineRule="auto"/>
        <w:jc w:val="both"/>
        <w:rPr>
          <w:rFonts w:ascii="Verdana" w:eastAsia="Calibri" w:hAnsi="Verdana" w:cs="Arial"/>
          <w:sz w:val="20"/>
        </w:rPr>
      </w:pPr>
      <w:r w:rsidRPr="00E41F23">
        <w:rPr>
          <w:rFonts w:ascii="Verdana" w:eastAsia="Calibri" w:hAnsi="Verdana" w:cs="Arial"/>
          <w:sz w:val="20"/>
        </w:rPr>
        <w:t xml:space="preserve">Por un lado, el </w:t>
      </w:r>
      <w:r w:rsidRPr="00E41F23">
        <w:rPr>
          <w:rFonts w:ascii="Verdana" w:eastAsia="Calibri" w:hAnsi="Verdana" w:cs="Arial"/>
          <w:i/>
          <w:iCs/>
          <w:sz w:val="20"/>
        </w:rPr>
        <w:t>artículo 33 de la Ley 996 de 2005</w:t>
      </w:r>
      <w:r w:rsidRPr="00E41F23">
        <w:rPr>
          <w:rFonts w:ascii="Verdana" w:eastAsia="Calibri" w:hAnsi="Verdana" w:cs="Arial"/>
          <w:sz w:val="20"/>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p>
    <w:p w14:paraId="25E95F2E" w14:textId="77777777" w:rsidR="00457B75" w:rsidRPr="00E41F23" w:rsidRDefault="00457B75" w:rsidP="0029325F">
      <w:pPr>
        <w:spacing w:after="0" w:line="240" w:lineRule="auto"/>
        <w:jc w:val="both"/>
        <w:rPr>
          <w:rFonts w:ascii="Verdana" w:eastAsia="Calibri" w:hAnsi="Verdana" w:cs="Arial"/>
          <w:sz w:val="20"/>
        </w:rPr>
      </w:pPr>
    </w:p>
    <w:p w14:paraId="04F52F1F" w14:textId="77777777" w:rsidR="00457B75" w:rsidRDefault="00457B75" w:rsidP="0029325F">
      <w:pPr>
        <w:widowControl w:val="0"/>
        <w:autoSpaceDE w:val="0"/>
        <w:autoSpaceDN w:val="0"/>
        <w:spacing w:after="0" w:line="240" w:lineRule="auto"/>
        <w:ind w:right="113"/>
        <w:jc w:val="both"/>
        <w:rPr>
          <w:rFonts w:ascii="Verdana" w:eastAsia="Arial" w:hAnsi="Verdana" w:cs="Arial"/>
          <w:sz w:val="20"/>
          <w:lang w:val="es-ES" w:eastAsia="es-ES" w:bidi="es-ES"/>
        </w:rPr>
      </w:pPr>
      <w:r w:rsidRPr="00E41F23">
        <w:rPr>
          <w:rFonts w:ascii="Verdana" w:eastAsia="Calibri" w:hAnsi="Verdana" w:cs="Arial"/>
          <w:sz w:val="20"/>
        </w:rPr>
        <w:t xml:space="preserve">Por otro lado, </w:t>
      </w:r>
      <w:r w:rsidRPr="00E41F23">
        <w:rPr>
          <w:rFonts w:ascii="Verdana" w:eastAsia="Calibri" w:hAnsi="Verdana" w:cs="Arial"/>
          <w:i/>
          <w:iCs/>
          <w:sz w:val="20"/>
        </w:rPr>
        <w:t>el parágrafo del artículo 38 de la Ley 996 de 2005</w:t>
      </w:r>
      <w:r w:rsidRPr="00E41F23">
        <w:rPr>
          <w:rFonts w:ascii="Verdana" w:eastAsia="Calibri" w:hAnsi="Verdana" w:cs="Arial"/>
          <w:sz w:val="20"/>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41F23">
        <w:rPr>
          <w:rFonts w:ascii="Verdana" w:eastAsia="Calibri" w:hAnsi="Verdana" w:cs="Arial"/>
          <w:sz w:val="20"/>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41F23">
        <w:rPr>
          <w:rFonts w:ascii="Verdana" w:eastAsia="Calibri" w:hAnsi="Verdana" w:cs="Arial"/>
          <w:sz w:val="20"/>
        </w:rPr>
        <w:t>”</w:t>
      </w:r>
      <w:r w:rsidRPr="00E41F23">
        <w:rPr>
          <w:rFonts w:ascii="Verdana" w:eastAsia="Calibri" w:hAnsi="Verdana" w:cs="Arial"/>
          <w:sz w:val="20"/>
          <w:lang w:val="es-MX"/>
        </w:rPr>
        <w:t>.</w:t>
      </w:r>
      <w:r w:rsidRPr="00E41F23">
        <w:rPr>
          <w:rFonts w:ascii="Verdana" w:eastAsia="Arial" w:hAnsi="Verdana" w:cs="Arial"/>
          <w:sz w:val="20"/>
          <w:lang w:val="es-ES" w:eastAsia="es-ES" w:bidi="es-ES"/>
        </w:rPr>
        <w:t xml:space="preserve"> </w:t>
      </w:r>
    </w:p>
    <w:p w14:paraId="4D1D6FB5" w14:textId="77777777" w:rsidR="00457B75" w:rsidRPr="00E41F23" w:rsidRDefault="00457B75" w:rsidP="0029325F">
      <w:pPr>
        <w:widowControl w:val="0"/>
        <w:autoSpaceDE w:val="0"/>
        <w:autoSpaceDN w:val="0"/>
        <w:spacing w:after="0" w:line="240" w:lineRule="auto"/>
        <w:ind w:right="113"/>
        <w:jc w:val="both"/>
        <w:rPr>
          <w:rFonts w:ascii="Verdana" w:eastAsia="Arial" w:hAnsi="Verdana" w:cs="Arial"/>
          <w:sz w:val="20"/>
          <w:lang w:val="es-ES" w:eastAsia="es-ES" w:bidi="es-ES"/>
        </w:rPr>
      </w:pPr>
    </w:p>
    <w:p w14:paraId="7D535C79" w14:textId="77777777" w:rsidR="00457B75" w:rsidRPr="00E41F23" w:rsidRDefault="00457B75" w:rsidP="0029325F">
      <w:pPr>
        <w:spacing w:after="0" w:line="240" w:lineRule="auto"/>
        <w:jc w:val="both"/>
        <w:rPr>
          <w:rFonts w:ascii="Verdana" w:eastAsia="Times New Roman" w:hAnsi="Verdana" w:cs="Arial"/>
          <w:bCs/>
          <w:sz w:val="20"/>
          <w:lang w:val="es-ES" w:eastAsia="es-CO"/>
        </w:rPr>
      </w:pPr>
      <w:r w:rsidRPr="00E41F23">
        <w:rPr>
          <w:rFonts w:ascii="Verdana" w:eastAsia="Times New Roman" w:hAnsi="Verdana" w:cs="Arial"/>
          <w:bCs/>
          <w:sz w:val="20"/>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E41F23">
        <w:rPr>
          <w:rFonts w:ascii="Verdana" w:eastAsia="Times New Roman" w:hAnsi="Verdana" w:cs="Arial"/>
          <w:bCs/>
          <w:sz w:val="20"/>
          <w:lang w:val="es-ES" w:eastAsia="es-CO"/>
        </w:rPr>
        <w:t xml:space="preserve">la existencia de los contratos estatales, es decir, la producción de efectos jurídicos en los términos del artículo 1501 </w:t>
      </w:r>
      <w:proofErr w:type="spellStart"/>
      <w:r w:rsidRPr="00E41F23">
        <w:rPr>
          <w:rFonts w:ascii="Verdana" w:eastAsia="Times New Roman" w:hAnsi="Verdana" w:cs="Arial"/>
          <w:bCs/>
          <w:i/>
          <w:sz w:val="20"/>
          <w:lang w:val="es-ES" w:eastAsia="es-CO"/>
        </w:rPr>
        <w:t>ibídem</w:t>
      </w:r>
      <w:proofErr w:type="spellEnd"/>
      <w:r w:rsidRPr="00E41F23">
        <w:rPr>
          <w:rFonts w:ascii="Verdana" w:eastAsia="Times New Roman" w:hAnsi="Verdana" w:cs="Arial"/>
          <w:bCs/>
          <w:sz w:val="20"/>
          <w:lang w:val="es-ES" w:eastAsia="es-CO"/>
        </w:rPr>
        <w:t xml:space="preserve">, depende de la regulación del inciso primero de los artículos 39 y 41 de la Ley 80 de 1993.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 </w:t>
      </w:r>
    </w:p>
    <w:p w14:paraId="020F997A" w14:textId="77777777" w:rsidR="00457B75" w:rsidRPr="003F2A9C" w:rsidRDefault="00457B75" w:rsidP="0029325F">
      <w:pPr>
        <w:spacing w:after="0" w:line="240" w:lineRule="auto"/>
        <w:jc w:val="both"/>
        <w:rPr>
          <w:rFonts w:ascii="Verdana" w:hAnsi="Verdana" w:cs="Arial"/>
          <w:b/>
          <w:sz w:val="20"/>
          <w:lang w:val="es-MX" w:eastAsia="es-ES_tradnl"/>
        </w:rPr>
      </w:pPr>
    </w:p>
    <w:p w14:paraId="2B7F9931"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LEY DE GARANTÍAS ELECTORALES – Prohibición artículo 33 – Contratación directa – Alcance </w:t>
      </w:r>
    </w:p>
    <w:p w14:paraId="5924A54C" w14:textId="77777777" w:rsidR="00457B75" w:rsidRDefault="00457B75" w:rsidP="0029325F">
      <w:pPr>
        <w:spacing w:after="0" w:line="240" w:lineRule="auto"/>
        <w:jc w:val="both"/>
        <w:rPr>
          <w:rFonts w:ascii="Verdana" w:hAnsi="Verdana" w:cs="Arial"/>
          <w:b/>
          <w:lang w:val="es-MX" w:eastAsia="es-ES_tradnl"/>
        </w:rPr>
      </w:pPr>
    </w:p>
    <w:p w14:paraId="6DE643CD" w14:textId="77777777" w:rsidR="00457B75" w:rsidRPr="00E41F23" w:rsidRDefault="00457B75" w:rsidP="0029325F">
      <w:pPr>
        <w:spacing w:after="0" w:line="240" w:lineRule="auto"/>
        <w:jc w:val="both"/>
        <w:rPr>
          <w:rFonts w:ascii="Verdana" w:eastAsia="Times New Roman" w:hAnsi="Verdana" w:cs="Arial"/>
          <w:bCs/>
          <w:sz w:val="20"/>
          <w:lang w:eastAsia="x-none"/>
        </w:rPr>
      </w:pPr>
      <w:r w:rsidRPr="00E41F23">
        <w:rPr>
          <w:rFonts w:ascii="Verdana" w:eastAsia="Times New Roman" w:hAnsi="Verdana" w:cs="Arial"/>
          <w:sz w:val="20"/>
          <w:lang w:eastAsia="x-none"/>
        </w:rPr>
        <w:lastRenderedPageBreak/>
        <w:t xml:space="preserve">De acuerdo con el citado concepto, la prohibición del artículo 33 de la Ley de Garantías Electorales se refiere a </w:t>
      </w:r>
      <w:r w:rsidRPr="00E41F23">
        <w:rPr>
          <w:rFonts w:ascii="Verdana" w:eastAsia="Times New Roman" w:hAnsi="Verdana" w:cs="Arial"/>
          <w:sz w:val="18"/>
          <w:szCs w:val="19"/>
          <w:lang w:eastAsia="en-GB"/>
        </w:rPr>
        <w:t>“</w:t>
      </w:r>
      <w:r w:rsidRPr="00E41F23">
        <w:rPr>
          <w:rFonts w:ascii="Verdana" w:eastAsia="Times New Roman" w:hAnsi="Verdana" w:cs="Arial"/>
          <w:sz w:val="20"/>
          <w:lang w:eastAsia="x-none"/>
        </w:rPr>
        <w:t>cualquier sistema que no implique convocatoria pública y posibilidad de pluralidad de oferentes</w:t>
      </w:r>
      <w:r w:rsidRPr="00E41F23">
        <w:rPr>
          <w:rFonts w:ascii="Verdana" w:eastAsia="Times New Roman" w:hAnsi="Verdana" w:cs="Arial"/>
          <w:sz w:val="20"/>
          <w:lang w:eastAsia="en-GB"/>
        </w:rPr>
        <w:t>”</w:t>
      </w:r>
      <w:r w:rsidRPr="00E41F23">
        <w:rPr>
          <w:rFonts w:ascii="Verdana" w:eastAsia="Times New Roman" w:hAnsi="Verdana" w:cs="Arial"/>
          <w:sz w:val="20"/>
          <w:lang w:eastAsia="x-none"/>
        </w:rPr>
        <w:t xml:space="preserve">, por lo que excluye las demás modalidades de contratación previstas en la Ley 1150 de 2007, es decir, la licitación pública, la selección abreviada, el concurso de méritos </w:t>
      </w:r>
      <w:r w:rsidRPr="00E41F23">
        <w:rPr>
          <w:rFonts w:ascii="Verdana" w:eastAsia="Times New Roman" w:hAnsi="Verdana" w:cs="Arial"/>
          <w:sz w:val="20"/>
          <w:lang w:val="es-ES_tradnl" w:eastAsia="x-none"/>
        </w:rPr>
        <w:t>y la mínima cuantía</w:t>
      </w:r>
      <w:r w:rsidRPr="00E41F23" w:rsidDel="00A85D9F">
        <w:rPr>
          <w:rFonts w:ascii="Verdana" w:eastAsia="Times New Roman" w:hAnsi="Verdana" w:cs="Arial"/>
          <w:sz w:val="20"/>
          <w:lang w:eastAsia="x-none"/>
        </w:rPr>
        <w:t xml:space="preserve"> </w:t>
      </w:r>
      <w:r w:rsidRPr="00E41F23">
        <w:rPr>
          <w:rFonts w:ascii="Verdana" w:eastAsia="Times New Roman" w:hAnsi="Verdana" w:cs="Arial"/>
          <w:sz w:val="20"/>
          <w:lang w:eastAsia="x-none"/>
        </w:rPr>
        <w:t xml:space="preserve">u otros previstos en normas especiales. Esta posición es congruente con la expedición de la Ley 1150 de 2007 que, entre otras reformas, introdujo la selección abreviada, rediseñó el concurso de méritos y sistematizó las causales de contratación directa, </w:t>
      </w:r>
      <w:r w:rsidRPr="00E41F23">
        <w:rPr>
          <w:rFonts w:ascii="Verdana" w:eastAsia="Calibri" w:hAnsi="Verdana" w:cs="Arial"/>
          <w:sz w:val="20"/>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35C3FE98" w14:textId="77777777" w:rsidR="00457B75" w:rsidRPr="00E41F23" w:rsidRDefault="00457B75" w:rsidP="0029325F">
      <w:pPr>
        <w:spacing w:after="0" w:line="240" w:lineRule="auto"/>
        <w:jc w:val="both"/>
        <w:rPr>
          <w:rFonts w:ascii="Verdana" w:hAnsi="Verdana" w:cs="Arial"/>
          <w:b/>
          <w:lang w:eastAsia="es-ES_tradnl"/>
        </w:rPr>
      </w:pPr>
    </w:p>
    <w:p w14:paraId="3B0ACF15"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LEY DE GARANTÍAS ELECTORALES – Excepciones</w:t>
      </w:r>
    </w:p>
    <w:p w14:paraId="28B72582" w14:textId="77777777" w:rsidR="00457B75" w:rsidRPr="00E41F23" w:rsidRDefault="00457B75" w:rsidP="0029325F">
      <w:pPr>
        <w:spacing w:after="0" w:line="240" w:lineRule="auto"/>
        <w:jc w:val="both"/>
        <w:rPr>
          <w:rFonts w:ascii="Verdana" w:hAnsi="Verdana" w:cs="Arial"/>
          <w:b/>
          <w:sz w:val="20"/>
          <w:lang w:val="es-MX" w:eastAsia="es-ES_tradnl"/>
        </w:rPr>
      </w:pPr>
    </w:p>
    <w:p w14:paraId="1526ADA4" w14:textId="77777777" w:rsidR="00457B75" w:rsidRPr="00E41F23" w:rsidRDefault="00457B75" w:rsidP="0029325F">
      <w:pPr>
        <w:spacing w:after="0" w:line="240" w:lineRule="auto"/>
        <w:jc w:val="both"/>
        <w:rPr>
          <w:rFonts w:ascii="Verdana" w:eastAsia="Times New Roman" w:hAnsi="Verdana" w:cs="Arial"/>
          <w:bCs/>
          <w:sz w:val="20"/>
          <w:lang w:val="es-MX" w:eastAsia="es-CO"/>
        </w:rPr>
      </w:pPr>
      <w:r w:rsidRPr="00E41F23">
        <w:rPr>
          <w:rFonts w:ascii="Verdana" w:eastAsia="Times New Roman" w:hAnsi="Verdana" w:cs="Arial"/>
          <w:bCs/>
          <w:sz w:val="20"/>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E41F23">
        <w:rPr>
          <w:rFonts w:ascii="Verdana" w:eastAsia="Times New Roman" w:hAnsi="Verdana" w:cs="Arial"/>
          <w:bCs/>
          <w:sz w:val="20"/>
          <w:lang w:val="es-MX" w:eastAsia="x-none"/>
        </w:rPr>
        <w:t>ii</w:t>
      </w:r>
      <w:proofErr w:type="spellEnd"/>
      <w:r w:rsidRPr="00E41F23">
        <w:rPr>
          <w:rFonts w:ascii="Verdana" w:eastAsia="Times New Roman" w:hAnsi="Verdana" w:cs="Arial"/>
          <w:bCs/>
          <w:sz w:val="20"/>
          <w:lang w:val="es-MX" w:eastAsia="x-none"/>
        </w:rPr>
        <w:t xml:space="preserve">) los contratos de crédito público; </w:t>
      </w:r>
      <w:proofErr w:type="spellStart"/>
      <w:r w:rsidRPr="00E41F23">
        <w:rPr>
          <w:rFonts w:ascii="Verdana" w:eastAsia="Times New Roman" w:hAnsi="Verdana" w:cs="Arial"/>
          <w:bCs/>
          <w:sz w:val="20"/>
          <w:lang w:val="es-MX" w:eastAsia="x-none"/>
        </w:rPr>
        <w:t>iii</w:t>
      </w:r>
      <w:proofErr w:type="spellEnd"/>
      <w:r w:rsidRPr="00E41F23">
        <w:rPr>
          <w:rFonts w:ascii="Verdana" w:eastAsia="Times New Roman" w:hAnsi="Verdana" w:cs="Arial"/>
          <w:bCs/>
          <w:sz w:val="20"/>
          <w:lang w:val="es-MX" w:eastAsia="x-none"/>
        </w:rPr>
        <w:t xml:space="preserve">) los requeridos para cubrir las emergencias educativas, sanitarias y desastres; </w:t>
      </w:r>
      <w:proofErr w:type="spellStart"/>
      <w:r w:rsidRPr="00E41F23">
        <w:rPr>
          <w:rFonts w:ascii="Verdana" w:eastAsia="Times New Roman" w:hAnsi="Verdana" w:cs="Arial"/>
          <w:bCs/>
          <w:sz w:val="20"/>
          <w:lang w:val="es-MX" w:eastAsia="x-none"/>
        </w:rPr>
        <w:t>iv</w:t>
      </w:r>
      <w:proofErr w:type="spellEnd"/>
      <w:r w:rsidRPr="00E41F23">
        <w:rPr>
          <w:rFonts w:ascii="Verdana" w:eastAsia="Times New Roman" w:hAnsi="Verdana" w:cs="Arial"/>
          <w:bCs/>
          <w:sz w:val="20"/>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E41F23">
        <w:rPr>
          <w:rFonts w:ascii="Verdana" w:eastAsia="Times New Roman" w:hAnsi="Verdana" w:cs="Arial"/>
          <w:bCs/>
          <w:sz w:val="20"/>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07E03603" w14:textId="77777777" w:rsidR="00457B75" w:rsidRPr="00682C93" w:rsidRDefault="00457B75" w:rsidP="0029325F">
      <w:pPr>
        <w:spacing w:after="0" w:line="240" w:lineRule="auto"/>
        <w:jc w:val="both"/>
        <w:rPr>
          <w:rFonts w:ascii="Verdana" w:hAnsi="Verdana" w:cs="Arial"/>
          <w:b/>
          <w:lang w:val="es-MX" w:eastAsia="es-ES_tradnl"/>
        </w:rPr>
      </w:pPr>
    </w:p>
    <w:p w14:paraId="3F84C4DE" w14:textId="77777777" w:rsidR="00457B75" w:rsidRPr="00682C93" w:rsidRDefault="00457B75" w:rsidP="0029325F">
      <w:pPr>
        <w:spacing w:after="0" w:line="240" w:lineRule="auto"/>
        <w:jc w:val="both"/>
        <w:rPr>
          <w:rFonts w:ascii="Verdana" w:hAnsi="Verdana" w:cs="Arial"/>
          <w:b/>
          <w:lang w:val="es-MX" w:eastAsia="es-ES_tradnl"/>
        </w:rPr>
      </w:pPr>
      <w:r w:rsidRPr="00682C93">
        <w:rPr>
          <w:rFonts w:ascii="Verdana" w:hAnsi="Verdana" w:cs="Arial"/>
          <w:b/>
          <w:lang w:val="es-MX" w:eastAsia="es-ES_tradnl"/>
        </w:rPr>
        <w:t xml:space="preserve"> LEY DE GARANTÍAS ELECTORALES – Prohibición del artículo 33 – Destinatarios </w:t>
      </w:r>
    </w:p>
    <w:p w14:paraId="63813FD4" w14:textId="77777777" w:rsidR="00457B75" w:rsidRDefault="00457B75" w:rsidP="0029325F">
      <w:pPr>
        <w:spacing w:after="0" w:line="240" w:lineRule="auto"/>
        <w:rPr>
          <w:rFonts w:ascii="Verdana" w:hAnsi="Verdana" w:cs="Arial"/>
          <w:lang w:val="es-MX" w:eastAsia="es-ES_tradnl"/>
        </w:rPr>
      </w:pPr>
    </w:p>
    <w:p w14:paraId="707A9748" w14:textId="77777777" w:rsidR="00457B75" w:rsidRPr="00E41F23" w:rsidRDefault="00457B75" w:rsidP="0029325F">
      <w:pPr>
        <w:spacing w:after="0" w:line="240" w:lineRule="auto"/>
        <w:jc w:val="both"/>
        <w:rPr>
          <w:rFonts w:ascii="Verdana" w:hAnsi="Verdana" w:cs="Arial"/>
          <w:sz w:val="20"/>
          <w:lang w:val="es-MX" w:eastAsia="es-ES_tradnl"/>
        </w:rPr>
      </w:pPr>
      <w:r w:rsidRPr="00E41F23">
        <w:rPr>
          <w:rFonts w:ascii="Verdana" w:eastAsia="Calibri" w:hAnsi="Verdana" w:cs="Arial"/>
          <w:sz w:val="20"/>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E41F23">
        <w:rPr>
          <w:rFonts w:ascii="Verdana" w:eastAsia="Times New Roman" w:hAnsi="Verdana" w:cs="Arial"/>
          <w:bCs/>
          <w:sz w:val="20"/>
          <w:lang w:val="es-MX" w:eastAsia="x-none"/>
        </w:rPr>
        <w:t>establecimientos de crédito, las sociedades de servicios financieros y las entidades aseguradoras</w:t>
      </w:r>
      <w:r w:rsidRPr="00E41F23">
        <w:rPr>
          <w:rFonts w:ascii="Verdana" w:eastAsia="Calibri" w:hAnsi="Verdana" w:cs="Arial"/>
          <w:sz w:val="20"/>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2A0A9B3F" w14:textId="77777777" w:rsidR="00457B75" w:rsidRDefault="00457B75" w:rsidP="0029325F">
      <w:pPr>
        <w:spacing w:after="0" w:line="240" w:lineRule="auto"/>
        <w:rPr>
          <w:rFonts w:ascii="Verdana" w:hAnsi="Verdana"/>
        </w:rPr>
      </w:pPr>
    </w:p>
    <w:p w14:paraId="73F27D8D" w14:textId="77777777" w:rsidR="00457B75" w:rsidRDefault="00457B75" w:rsidP="0029325F">
      <w:pPr>
        <w:spacing w:after="0" w:line="240" w:lineRule="auto"/>
        <w:rPr>
          <w:rFonts w:ascii="Verdana" w:hAnsi="Verdana"/>
        </w:rPr>
      </w:pPr>
    </w:p>
    <w:p w14:paraId="0FD3FCE8" w14:textId="63827CBE" w:rsidR="00A17597" w:rsidRPr="00A17597" w:rsidRDefault="00A17597" w:rsidP="0029325F">
      <w:pPr>
        <w:spacing w:after="0" w:line="240" w:lineRule="auto"/>
        <w:jc w:val="both"/>
        <w:rPr>
          <w:rFonts w:ascii="Verdana" w:hAnsi="Verdana"/>
          <w:b/>
        </w:rPr>
      </w:pPr>
    </w:p>
    <w:p w14:paraId="7ACA4BF4" w14:textId="77777777" w:rsidR="00A17597" w:rsidRPr="00A17597" w:rsidRDefault="00A17597" w:rsidP="0029325F">
      <w:pPr>
        <w:spacing w:after="0" w:line="240" w:lineRule="auto"/>
        <w:jc w:val="both"/>
        <w:rPr>
          <w:rFonts w:ascii="Verdana" w:hAnsi="Verdana"/>
          <w:b/>
        </w:rPr>
      </w:pPr>
      <w:r w:rsidRPr="00A17597">
        <w:rPr>
          <w:rFonts w:ascii="Verdana" w:hAnsi="Verdana"/>
          <w:b/>
        </w:rPr>
        <w:t xml:space="preserve"> SISTEMA GENERAL DE REGALÍAS – Objeto – Aplicación – Ley de Garantías Electorales </w:t>
      </w:r>
    </w:p>
    <w:p w14:paraId="7344B1FF" w14:textId="0C77AFD7" w:rsidR="00A17597" w:rsidRDefault="00A17597" w:rsidP="0029325F">
      <w:pPr>
        <w:spacing w:after="0" w:line="240" w:lineRule="auto"/>
        <w:jc w:val="both"/>
        <w:rPr>
          <w:rFonts w:ascii="Verdana" w:hAnsi="Verdana"/>
          <w:b/>
        </w:rPr>
      </w:pPr>
    </w:p>
    <w:p w14:paraId="5822200F" w14:textId="527BFCC7" w:rsidR="00E4556D" w:rsidRPr="005C70EF" w:rsidRDefault="00E4556D" w:rsidP="0029325F">
      <w:pPr>
        <w:spacing w:after="0" w:line="240" w:lineRule="auto"/>
        <w:jc w:val="both"/>
        <w:rPr>
          <w:rFonts w:ascii="Verdana" w:hAnsi="Verdana"/>
          <w:bCs/>
          <w:sz w:val="20"/>
        </w:rPr>
      </w:pPr>
      <w:r w:rsidRPr="005C70EF">
        <w:rPr>
          <w:rFonts w:ascii="Verdana" w:hAnsi="Verdana"/>
          <w:bCs/>
          <w:sz w:val="20"/>
          <w:lang w:val="es-MX"/>
        </w:rPr>
        <w:t>Teniendo en cuenta esta precisión, es necesario revisar si lo dispuesto en el Sistema General de Regalías le aplica la Ley 996 de 2005 –Ley de Garantías Electorales-. Para ello, es importante señalar que la Ley 2056 de 2020, “</w:t>
      </w:r>
      <w:r w:rsidRPr="005C70EF">
        <w:rPr>
          <w:rFonts w:ascii="Verdana" w:hAnsi="Verdana"/>
          <w:bCs/>
          <w:sz w:val="20"/>
        </w:rPr>
        <w:t>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799D3056" w14:textId="77777777" w:rsidR="00E4556D" w:rsidRPr="005C70EF" w:rsidRDefault="00E4556D" w:rsidP="0029325F">
      <w:pPr>
        <w:spacing w:after="0" w:line="240" w:lineRule="auto"/>
        <w:jc w:val="both"/>
        <w:rPr>
          <w:rFonts w:ascii="Verdana" w:hAnsi="Verdana"/>
          <w:bCs/>
          <w:sz w:val="20"/>
        </w:rPr>
      </w:pPr>
    </w:p>
    <w:p w14:paraId="3034B7B7" w14:textId="77777777" w:rsidR="00E4556D" w:rsidRPr="005C70EF" w:rsidRDefault="00E4556D" w:rsidP="0029325F">
      <w:pPr>
        <w:spacing w:after="0" w:line="240" w:lineRule="auto"/>
        <w:jc w:val="both"/>
        <w:rPr>
          <w:rFonts w:ascii="Verdana" w:hAnsi="Verdana"/>
          <w:bCs/>
          <w:sz w:val="20"/>
          <w:lang w:val="es-MX"/>
        </w:rPr>
      </w:pPr>
      <w:r w:rsidRPr="005C70EF">
        <w:rPr>
          <w:rFonts w:ascii="Verdana" w:hAnsi="Verdana"/>
          <w:bCs/>
          <w:sz w:val="20"/>
        </w:rPr>
        <w:t xml:space="preserve">Dentro de este marco normativo </w:t>
      </w:r>
      <w:r w:rsidRPr="005C70EF">
        <w:rPr>
          <w:rFonts w:ascii="Verdana" w:hAnsi="Verdana"/>
          <w:bCs/>
          <w:sz w:val="20"/>
          <w:lang w:val="es-ES"/>
        </w:rPr>
        <w:t xml:space="preserve">no se establece una excepción a lo dispuesto en el artículo 33 de la Ley 996 de 2005 </w:t>
      </w:r>
      <w:r w:rsidRPr="005C70EF">
        <w:rPr>
          <w:rFonts w:ascii="Verdana" w:hAnsi="Verdana"/>
          <w:bCs/>
          <w:sz w:val="20"/>
          <w:lang w:val="es-MX"/>
        </w:rPr>
        <w:t xml:space="preserve">que restringe la contratación directa en el periodo preelectoral a las elecciones presidenciales por el tipo de recurso que pretende ejecutarse. En otras palabras, esta normatividad especial para la ejecución de recursos del Sistema General de Regalías, no implica que esté exonerada de la restricción, pues el legislador no hizo distinción del tipo de recursos al establecer la prohibición.  </w:t>
      </w:r>
    </w:p>
    <w:p w14:paraId="66A190F0" w14:textId="77777777" w:rsidR="00E4556D" w:rsidRPr="00E4556D" w:rsidRDefault="00E4556D" w:rsidP="0029325F">
      <w:pPr>
        <w:spacing w:after="0" w:line="240" w:lineRule="auto"/>
        <w:jc w:val="both"/>
        <w:rPr>
          <w:rFonts w:ascii="Verdana" w:hAnsi="Verdana"/>
          <w:b/>
          <w:lang w:val="es-MX"/>
        </w:rPr>
      </w:pPr>
    </w:p>
    <w:p w14:paraId="41239FD2" w14:textId="0C13EBAB" w:rsidR="00A17597" w:rsidRPr="00A17597" w:rsidRDefault="00A17597" w:rsidP="0029325F">
      <w:pPr>
        <w:spacing w:after="0" w:line="240" w:lineRule="auto"/>
        <w:jc w:val="both"/>
        <w:rPr>
          <w:rFonts w:ascii="Verdana" w:hAnsi="Verdana"/>
          <w:b/>
        </w:rPr>
      </w:pPr>
      <w:r w:rsidRPr="00A17597">
        <w:rPr>
          <w:rFonts w:ascii="Verdana" w:hAnsi="Verdana"/>
          <w:b/>
        </w:rPr>
        <w:t xml:space="preserve">LEY DE GARANTÍAS ELECTORALES – Contratos y convenios interadministrativos – Criterio orgánico </w:t>
      </w:r>
    </w:p>
    <w:p w14:paraId="47251151" w14:textId="585961AF" w:rsidR="00A17597" w:rsidRDefault="00A17597" w:rsidP="0029325F">
      <w:pPr>
        <w:spacing w:after="0" w:line="240" w:lineRule="auto"/>
        <w:jc w:val="both"/>
        <w:rPr>
          <w:rFonts w:ascii="Verdana" w:hAnsi="Verdana"/>
          <w:b/>
        </w:rPr>
      </w:pPr>
    </w:p>
    <w:p w14:paraId="784EA452" w14:textId="0963E1A5" w:rsidR="005C70EF" w:rsidRDefault="005C70EF" w:rsidP="0029325F">
      <w:pPr>
        <w:spacing w:after="0" w:line="240" w:lineRule="auto"/>
        <w:jc w:val="both"/>
        <w:rPr>
          <w:rFonts w:ascii="Verdana" w:hAnsi="Verdana"/>
          <w:sz w:val="20"/>
        </w:rPr>
      </w:pPr>
      <w:r w:rsidRPr="005C70EF">
        <w:rPr>
          <w:rFonts w:ascii="Verdana" w:hAnsi="Verdana"/>
          <w:sz w:val="20"/>
          <w:lang w:val="es-MX"/>
        </w:rPr>
        <w:t xml:space="preserve">Sobre este aspecto, es importante señalar que esta Subdirección, en los conceptos emitidos sobre la aplicación de la Ley de Garantías Electorales, ha defendido y mantenido la postura acerca de que la prohibición señalada en </w:t>
      </w:r>
      <w:r w:rsidRPr="005C70EF">
        <w:rPr>
          <w:rFonts w:ascii="Verdana" w:hAnsi="Verdana"/>
          <w:sz w:val="20"/>
          <w:lang w:bidi="es-ES"/>
        </w:rPr>
        <w:t>e</w:t>
      </w:r>
      <w:r w:rsidRPr="005C70EF">
        <w:rPr>
          <w:rFonts w:ascii="Verdana" w:hAnsi="Verdana"/>
          <w:sz w:val="20"/>
        </w:rPr>
        <w:t xml:space="preserve">l parágrafo del artículo 38 cobija tanto a los convenios como a los contratos interadministrativos. Esta tesis se fundamenta en que si bien actualmente el Estatuto General de Contratación de la Administración Pública – en adelante EGCAP – se refiere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57D43C2D" w14:textId="77777777" w:rsidR="005C70EF" w:rsidRPr="005C70EF" w:rsidRDefault="005C70EF" w:rsidP="0029325F">
      <w:pPr>
        <w:spacing w:after="0" w:line="240" w:lineRule="auto"/>
        <w:jc w:val="both"/>
        <w:rPr>
          <w:rFonts w:ascii="Verdana" w:hAnsi="Verdana"/>
          <w:sz w:val="20"/>
        </w:rPr>
      </w:pPr>
    </w:p>
    <w:p w14:paraId="7C02E375" w14:textId="09F7C30A" w:rsidR="005C70EF" w:rsidRPr="005C70EF" w:rsidRDefault="005C70EF" w:rsidP="0029325F">
      <w:pPr>
        <w:spacing w:after="0" w:line="240" w:lineRule="auto"/>
        <w:jc w:val="both"/>
        <w:rPr>
          <w:rFonts w:ascii="Verdana" w:hAnsi="Verdana"/>
          <w:sz w:val="20"/>
        </w:rPr>
      </w:pPr>
      <w:r w:rsidRPr="005C70EF">
        <w:rPr>
          <w:rFonts w:ascii="Verdana" w:hAnsi="Verdana"/>
          <w:sz w:val="20"/>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5C70EF">
        <w:rPr>
          <w:rFonts w:ascii="Verdana" w:hAnsi="Verdana"/>
          <w:sz w:val="20"/>
          <w:lang w:bidi="es-ES"/>
        </w:rPr>
        <w:t>el legislador y el ordenamiento jurídico, en general, en distintas ocasiones utiliza de forma indistinta los conceptos de contrato o convenio para referirse a la misma institución jurídica. Incluso, la Corte Constitucional fundamenta la posibilidad de celebrar convenios interadministrativos de forma directa, con fundamento en la causal establecida en la Ley 1150 de 2007 respecto a los contratos interadministrativos.</w:t>
      </w:r>
    </w:p>
    <w:p w14:paraId="78055B20" w14:textId="77777777" w:rsidR="005C70EF" w:rsidRPr="00A17597" w:rsidRDefault="005C70EF" w:rsidP="0029325F">
      <w:pPr>
        <w:spacing w:after="0" w:line="240" w:lineRule="auto"/>
        <w:jc w:val="both"/>
        <w:rPr>
          <w:rFonts w:ascii="Verdana" w:hAnsi="Verdana"/>
          <w:b/>
        </w:rPr>
      </w:pPr>
    </w:p>
    <w:p w14:paraId="1539E251" w14:textId="77777777" w:rsidR="00A17597" w:rsidRPr="00A17597" w:rsidRDefault="00A17597" w:rsidP="0029325F">
      <w:pPr>
        <w:spacing w:after="0" w:line="240" w:lineRule="auto"/>
        <w:jc w:val="both"/>
        <w:rPr>
          <w:rFonts w:ascii="Verdana" w:hAnsi="Verdana"/>
          <w:b/>
        </w:rPr>
      </w:pPr>
      <w:r w:rsidRPr="00A17597">
        <w:rPr>
          <w:rFonts w:ascii="Verdana" w:hAnsi="Verdana"/>
          <w:b/>
        </w:rPr>
        <w:lastRenderedPageBreak/>
        <w:t>CONTRATOS Y CONVENIOS INTERADMINISTRATIVOS – Circular Externa Única – Auto de suspensión –numeral 16.2</w:t>
      </w:r>
    </w:p>
    <w:p w14:paraId="6B8684B5" w14:textId="7D41CAAE" w:rsidR="00A17597" w:rsidRDefault="00A17597" w:rsidP="0029325F">
      <w:pPr>
        <w:spacing w:after="0" w:line="240" w:lineRule="auto"/>
        <w:jc w:val="both"/>
        <w:rPr>
          <w:rFonts w:ascii="Verdana" w:hAnsi="Verdana"/>
          <w:b/>
        </w:rPr>
      </w:pPr>
    </w:p>
    <w:p w14:paraId="5465B01F" w14:textId="77777777" w:rsidR="005C70EF" w:rsidRPr="00A17C8D" w:rsidRDefault="005C70EF" w:rsidP="0029325F">
      <w:pPr>
        <w:spacing w:after="0" w:line="240" w:lineRule="auto"/>
        <w:jc w:val="both"/>
        <w:rPr>
          <w:rFonts w:ascii="Verdana" w:hAnsi="Verdana"/>
          <w:sz w:val="20"/>
        </w:rPr>
      </w:pPr>
      <w:r w:rsidRPr="00A17C8D">
        <w:rPr>
          <w:rFonts w:ascii="Verdana" w:hAnsi="Verdana"/>
          <w:sz w:val="20"/>
          <w:lang w:val="es-MX"/>
        </w:rPr>
        <w:t xml:space="preserve">[…] conviene señalar que, mediante auto de 4 de octubre del 2024, el Consejo de Estado, Sección Tercera, decretó medida de suspensión provisional parcial del </w:t>
      </w:r>
      <w:r w:rsidRPr="00A17C8D">
        <w:rPr>
          <w:rFonts w:ascii="Verdana" w:hAnsi="Verdana"/>
          <w:sz w:val="20"/>
        </w:rPr>
        <w:t xml:space="preserve">numeral 16.2 de la Circular Externa Única de 2022 expedida por la Agencia Nacional de Contratación Pública -Colombia Compra Eficiente-, concretamente, respecto de los siguientes apartes normativos </w:t>
      </w:r>
    </w:p>
    <w:p w14:paraId="5C22801C" w14:textId="77777777" w:rsidR="005C70EF" w:rsidRPr="00A17C8D" w:rsidRDefault="005C70EF" w:rsidP="0029325F">
      <w:pPr>
        <w:spacing w:after="0" w:line="240" w:lineRule="auto"/>
        <w:jc w:val="both"/>
        <w:rPr>
          <w:rFonts w:ascii="Verdana" w:hAnsi="Verdana"/>
          <w:sz w:val="20"/>
        </w:rPr>
      </w:pPr>
    </w:p>
    <w:p w14:paraId="32998CC3" w14:textId="77777777" w:rsidR="005C70EF" w:rsidRPr="00A17C8D" w:rsidRDefault="005C70EF" w:rsidP="0029325F">
      <w:pPr>
        <w:spacing w:after="0" w:line="240" w:lineRule="auto"/>
        <w:jc w:val="both"/>
        <w:rPr>
          <w:rFonts w:ascii="Verdana" w:hAnsi="Verdana"/>
          <w:i/>
          <w:iCs/>
          <w:sz w:val="20"/>
        </w:rPr>
      </w:pPr>
      <w:r w:rsidRPr="00A17C8D">
        <w:rPr>
          <w:rFonts w:ascii="Verdana" w:hAnsi="Verdana"/>
          <w:sz w:val="20"/>
          <w:lang w:val="es-MX"/>
        </w:rPr>
        <w:t xml:space="preserve">De conformidad con los argumentos de dicha providencia, se parte de la distinción entre los conceptos </w:t>
      </w:r>
      <w:r w:rsidRPr="00A17C8D">
        <w:rPr>
          <w:rFonts w:ascii="Verdana" w:hAnsi="Verdana"/>
          <w:sz w:val="20"/>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A17C8D">
        <w:rPr>
          <w:rFonts w:ascii="Verdana" w:hAnsi="Verdana"/>
          <w:i/>
          <w:iCs/>
          <w:sz w:val="20"/>
        </w:rPr>
        <w:t xml:space="preserve">“si el legislador no diferenció al establecer la prohibición o la restricción, mal haría el reglamento en aplicar un efecto expansivo o extensivo para incluir una categoría no cobijada con la limitación, (…)”. </w:t>
      </w:r>
      <w:r w:rsidRPr="00A17C8D">
        <w:rPr>
          <w:rFonts w:ascii="Verdana" w:hAnsi="Verdana"/>
          <w:sz w:val="20"/>
        </w:rPr>
        <w:t xml:space="preserve">Por tal motivo, para efectos de decretar la medida de suspensión provisional de los apartes señalados del numeral 16.2 de la Circular Externa Única, argumentó que </w:t>
      </w:r>
      <w:r w:rsidRPr="00A17C8D">
        <w:rPr>
          <w:rFonts w:ascii="Verdana" w:hAnsi="Verdana"/>
          <w:i/>
          <w:iCs/>
          <w:sz w:val="20"/>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47B9DF78" w14:textId="77777777" w:rsidR="005C70EF" w:rsidRPr="00A17C8D" w:rsidRDefault="005C70EF" w:rsidP="0029325F">
      <w:pPr>
        <w:spacing w:after="0" w:line="240" w:lineRule="auto"/>
        <w:jc w:val="both"/>
        <w:rPr>
          <w:rFonts w:ascii="Verdana" w:hAnsi="Verdana"/>
          <w:i/>
          <w:iCs/>
          <w:sz w:val="20"/>
          <w:lang w:val="es-MX"/>
        </w:rPr>
      </w:pPr>
    </w:p>
    <w:p w14:paraId="40BED523" w14:textId="77777777" w:rsidR="005C70EF" w:rsidRPr="00A17C8D" w:rsidRDefault="005C70EF" w:rsidP="0029325F">
      <w:pPr>
        <w:spacing w:after="0" w:line="240" w:lineRule="auto"/>
        <w:jc w:val="both"/>
        <w:rPr>
          <w:rFonts w:ascii="Verdana" w:hAnsi="Verdana"/>
          <w:sz w:val="20"/>
          <w:lang w:val="es-MX"/>
        </w:rPr>
      </w:pPr>
      <w:r w:rsidRPr="00A17C8D">
        <w:rPr>
          <w:rFonts w:ascii="Verdana" w:hAnsi="Verdana"/>
          <w:sz w:val="20"/>
          <w:lang w:val="es-MX"/>
        </w:rPr>
        <w:t xml:space="preserve">Bajo este contexto, esta Agencia debe manifestar que, si bien respeta y acata las decisiones proferidas por el Consejo de Estado, como es el caso del auto de suspensión provisional parcial del numeral </w:t>
      </w:r>
      <w:r w:rsidRPr="00A17C8D">
        <w:rPr>
          <w:rFonts w:ascii="Verdana" w:hAnsi="Verdana"/>
          <w:sz w:val="20"/>
        </w:rPr>
        <w:t>16.2 de la Circular Externa Única</w:t>
      </w:r>
      <w:r w:rsidRPr="00A17C8D">
        <w:rPr>
          <w:rFonts w:ascii="Verdana" w:hAnsi="Verdana"/>
          <w:sz w:val="20"/>
          <w:lang w:val="es-MX"/>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evitar cualquier tipo de arbitrariedad, de ventaja injustificada, de uso irregular de los recursos del Estado en las campañas políticas, o que los recursos del Estado se ejecuten para lograr apoyos indebidos mediante la suscripción de contratos y/o convenios, que para efectos de la Ley de Garantías tienen la misma connotación y propósitos. </w:t>
      </w:r>
    </w:p>
    <w:p w14:paraId="600979FB" w14:textId="77777777" w:rsidR="005C70EF" w:rsidRPr="005C70EF" w:rsidRDefault="005C70EF" w:rsidP="0029325F">
      <w:pPr>
        <w:spacing w:after="0" w:line="240" w:lineRule="auto"/>
        <w:jc w:val="both"/>
        <w:rPr>
          <w:rFonts w:ascii="Verdana" w:hAnsi="Verdana"/>
          <w:b/>
          <w:lang w:val="es-MX"/>
        </w:rPr>
      </w:pPr>
    </w:p>
    <w:p w14:paraId="14DB9FF8" w14:textId="5EC459AD" w:rsidR="00A17597" w:rsidRPr="00A17597" w:rsidRDefault="00A17597" w:rsidP="0029325F">
      <w:pPr>
        <w:spacing w:after="0" w:line="240" w:lineRule="auto"/>
        <w:jc w:val="both"/>
        <w:rPr>
          <w:rFonts w:ascii="Verdana" w:hAnsi="Verdana"/>
          <w:b/>
        </w:rPr>
      </w:pPr>
      <w:r w:rsidRPr="00A17597">
        <w:rPr>
          <w:rFonts w:ascii="Verdana" w:hAnsi="Verdana"/>
          <w:b/>
        </w:rPr>
        <w:t xml:space="preserve"> LEY DE GARANTÍAS ELECTORALES – Contratos y convenios interadministrativos – Sistema General de Regalías.</w:t>
      </w:r>
    </w:p>
    <w:p w14:paraId="2BF7C45A" w14:textId="77777777" w:rsidR="00A17597" w:rsidRDefault="00A17597" w:rsidP="0029325F">
      <w:pPr>
        <w:spacing w:after="0" w:line="240" w:lineRule="auto"/>
        <w:jc w:val="both"/>
        <w:rPr>
          <w:rFonts w:ascii="Verdana" w:hAnsi="Verdana"/>
        </w:rPr>
      </w:pPr>
    </w:p>
    <w:p w14:paraId="54DE5E6A" w14:textId="6E13FE9B" w:rsidR="005C70EF" w:rsidRPr="00A17C8D" w:rsidRDefault="005C70EF" w:rsidP="0029325F">
      <w:pPr>
        <w:spacing w:after="0" w:line="240" w:lineRule="auto"/>
        <w:jc w:val="both"/>
        <w:rPr>
          <w:rFonts w:ascii="Verdana" w:hAnsi="Verdana"/>
          <w:bCs/>
          <w:sz w:val="20"/>
          <w:szCs w:val="20"/>
        </w:rPr>
      </w:pPr>
      <w:r w:rsidRPr="00A17C8D">
        <w:rPr>
          <w:rFonts w:ascii="Verdana" w:hAnsi="Verdana"/>
          <w:sz w:val="20"/>
          <w:szCs w:val="20"/>
          <w:lang w:bidi="es-ES"/>
        </w:rPr>
        <w:t xml:space="preserve">De acuerdo a lo expuesto, </w:t>
      </w:r>
      <w:r w:rsidRPr="00A17C8D">
        <w:rPr>
          <w:rFonts w:ascii="Verdana" w:hAnsi="Verdana"/>
          <w:bCs/>
          <w:sz w:val="20"/>
          <w:szCs w:val="20"/>
          <w:lang w:val="es-MX"/>
        </w:rPr>
        <w:t>es pertinente revisar si lo prescrito en el Sistema General de Regalías le aplica el artículo 38 de la Ley 996 de 2005 –Ley de Garantías Electorales-. En tal sentido, es importante señalar que la Ley 2056 de 2020, “</w:t>
      </w:r>
      <w:r w:rsidRPr="00A17C8D">
        <w:rPr>
          <w:rFonts w:ascii="Verdana" w:hAnsi="Verdana"/>
          <w:bCs/>
          <w:sz w:val="20"/>
          <w:szCs w:val="20"/>
        </w:rPr>
        <w:t xml:space="preserve">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w:t>
      </w:r>
      <w:r w:rsidRPr="00A17C8D">
        <w:rPr>
          <w:rFonts w:ascii="Verdana" w:hAnsi="Verdana"/>
          <w:bCs/>
          <w:sz w:val="20"/>
          <w:szCs w:val="20"/>
        </w:rPr>
        <w:lastRenderedPageBreak/>
        <w:t>beneficiarios. Este conjunto de ingresos, asignaciones, órganos, procedimientos, y regulaciones constituye el Sistema General de Regalías”.</w:t>
      </w:r>
    </w:p>
    <w:p w14:paraId="101B6757" w14:textId="77777777" w:rsidR="005C70EF" w:rsidRPr="00A17C8D" w:rsidRDefault="005C70EF" w:rsidP="0029325F">
      <w:pPr>
        <w:spacing w:after="0" w:line="240" w:lineRule="auto"/>
        <w:jc w:val="both"/>
        <w:rPr>
          <w:rFonts w:ascii="Verdana" w:hAnsi="Verdana"/>
          <w:bCs/>
          <w:sz w:val="20"/>
          <w:szCs w:val="20"/>
        </w:rPr>
      </w:pPr>
    </w:p>
    <w:p w14:paraId="71D8DB60" w14:textId="77777777" w:rsidR="005C70EF" w:rsidRPr="00A17C8D" w:rsidRDefault="005C70EF" w:rsidP="0029325F">
      <w:pPr>
        <w:spacing w:after="0" w:line="240" w:lineRule="auto"/>
        <w:jc w:val="both"/>
        <w:rPr>
          <w:rFonts w:ascii="Verdana" w:hAnsi="Verdana"/>
          <w:bCs/>
          <w:sz w:val="20"/>
          <w:szCs w:val="20"/>
          <w:lang w:val="es-MX"/>
        </w:rPr>
      </w:pPr>
      <w:r w:rsidRPr="00A17C8D">
        <w:rPr>
          <w:rFonts w:ascii="Verdana" w:hAnsi="Verdana"/>
          <w:bCs/>
          <w:sz w:val="20"/>
          <w:szCs w:val="20"/>
        </w:rPr>
        <w:t xml:space="preserve">Dentro de este marco normativo del Sistema General de Regalías </w:t>
      </w:r>
      <w:r w:rsidRPr="00A17C8D">
        <w:rPr>
          <w:rFonts w:ascii="Verdana" w:hAnsi="Verdana"/>
          <w:bCs/>
          <w:sz w:val="20"/>
          <w:szCs w:val="20"/>
          <w:lang w:bidi="es-ES"/>
        </w:rPr>
        <w:t xml:space="preserve">no se establece una excepción a lo dispuesto en el artículo 38 de la Ley 996 de 2005 </w:t>
      </w:r>
      <w:r w:rsidRPr="00A17C8D">
        <w:rPr>
          <w:rFonts w:ascii="Verdana" w:hAnsi="Verdana"/>
          <w:bCs/>
          <w:sz w:val="20"/>
          <w:szCs w:val="20"/>
          <w:lang w:val="es-MX"/>
        </w:rPr>
        <w:t xml:space="preserve">que restringe a los </w:t>
      </w:r>
      <w:proofErr w:type="gramStart"/>
      <w:r w:rsidRPr="00A17C8D">
        <w:rPr>
          <w:rFonts w:ascii="Verdana" w:hAnsi="Verdana"/>
          <w:bCs/>
          <w:sz w:val="20"/>
          <w:szCs w:val="20"/>
          <w:lang w:val="es-MX"/>
        </w:rPr>
        <w:t>Alcaldes</w:t>
      </w:r>
      <w:proofErr w:type="gramEnd"/>
      <w:r w:rsidRPr="00A17C8D">
        <w:rPr>
          <w:rFonts w:ascii="Verdana" w:hAnsi="Verdana"/>
          <w:bCs/>
          <w:sz w:val="20"/>
          <w:szCs w:val="20"/>
          <w:lang w:val="es-MX"/>
        </w:rPr>
        <w:t xml:space="preserve">, Gobernadores, Secretarios, Gerentes y Directores de las entidades del orden municipal, departamental o distrital celebrar </w:t>
      </w:r>
      <w:r w:rsidRPr="00A17C8D">
        <w:rPr>
          <w:rFonts w:ascii="Verdana" w:hAnsi="Verdana"/>
          <w:bCs/>
          <w:i/>
          <w:iCs/>
          <w:sz w:val="20"/>
          <w:szCs w:val="20"/>
          <w:lang w:val="es-MX"/>
        </w:rPr>
        <w:t>convenios interadministrativos</w:t>
      </w:r>
      <w:r w:rsidRPr="00A17C8D">
        <w:rPr>
          <w:rFonts w:ascii="Verdana" w:hAnsi="Verdana"/>
          <w:bCs/>
          <w:sz w:val="20"/>
          <w:szCs w:val="20"/>
          <w:lang w:val="es-MX"/>
        </w:rPr>
        <w:t xml:space="preserve"> para la ejecución de recursos públicos en las elecciones. En esta línea, si una o ambas partes de la relación contractual es una entidad de aquellas descritas en el parágrafo </w:t>
      </w:r>
      <w:r w:rsidRPr="00A17C8D">
        <w:rPr>
          <w:rFonts w:ascii="Verdana" w:hAnsi="Verdana"/>
          <w:bCs/>
          <w:i/>
          <w:sz w:val="20"/>
          <w:szCs w:val="20"/>
          <w:lang w:val="es-MX"/>
        </w:rPr>
        <w:t>ibidem</w:t>
      </w:r>
      <w:r w:rsidRPr="00A17C8D">
        <w:rPr>
          <w:rFonts w:ascii="Verdana" w:hAnsi="Verdana"/>
          <w:bCs/>
          <w:sz w:val="20"/>
          <w:szCs w:val="20"/>
          <w:lang w:val="es-MX"/>
        </w:rPr>
        <w:t xml:space="preserve">, no podrá celebrar tales </w:t>
      </w:r>
      <w:r w:rsidRPr="00A17C8D">
        <w:rPr>
          <w:rFonts w:ascii="Verdana" w:hAnsi="Verdana"/>
          <w:bCs/>
          <w:i/>
          <w:iCs/>
          <w:sz w:val="20"/>
          <w:szCs w:val="20"/>
          <w:lang w:val="es-MX"/>
        </w:rPr>
        <w:t>convenios para la ejecución de recursos del Sistema General de Regalías</w:t>
      </w:r>
      <w:r w:rsidRPr="00A17C8D">
        <w:rPr>
          <w:rFonts w:ascii="Verdana" w:hAnsi="Verdana"/>
          <w:bCs/>
          <w:sz w:val="20"/>
          <w:szCs w:val="20"/>
          <w:lang w:val="es-MX"/>
        </w:rPr>
        <w:t xml:space="preserve"> durante la aplicación de la Ley de Garantías Electorales, toda vez que la citada disposición se refiere a dicha tipología contractual sin que el legislador hubiere contemplado excepciones a esta. Es importante precisar, como se expuso en apartados anteriores, para esta Agencia tal restricción también aplicaría a los contratos interadministrativos. </w:t>
      </w:r>
      <w:r w:rsidRPr="00A17C8D">
        <w:rPr>
          <w:rFonts w:ascii="Verdana" w:hAnsi="Verdana"/>
          <w:bCs/>
          <w:sz w:val="20"/>
          <w:szCs w:val="20"/>
        </w:rPr>
        <w:t>A juicio de la Entidad, excluir los contratos interadministrativos del alcance de la Ley de Garantías Electorales desvirtúa el objetivo esencial de la norma: prevenir el uso indebido de recursos públicos en campañas políticas, evitando ventajas injustificadas o apoyos indebidos mediante convenios o contratos, que comparten propósito y connotación en dicho marco legal.</w:t>
      </w:r>
    </w:p>
    <w:p w14:paraId="08F2177B" w14:textId="0043E54B" w:rsidR="00A17597" w:rsidRDefault="00A17597" w:rsidP="0029325F">
      <w:pPr>
        <w:spacing w:after="0" w:line="240" w:lineRule="auto"/>
        <w:jc w:val="both"/>
        <w:rPr>
          <w:rFonts w:ascii="Verdana" w:hAnsi="Verdana"/>
          <w:lang w:val="es-MX"/>
        </w:rPr>
      </w:pPr>
    </w:p>
    <w:p w14:paraId="47C02B3D" w14:textId="4A153185" w:rsidR="005C70EF" w:rsidRDefault="005C70EF" w:rsidP="0029325F">
      <w:pPr>
        <w:spacing w:after="0" w:line="240" w:lineRule="auto"/>
        <w:jc w:val="both"/>
        <w:rPr>
          <w:rFonts w:ascii="Verdana" w:hAnsi="Verdana"/>
          <w:lang w:val="es-MX"/>
        </w:rPr>
      </w:pPr>
    </w:p>
    <w:p w14:paraId="2A1988DE" w14:textId="05117D5F" w:rsidR="005C70EF" w:rsidRDefault="005C70EF" w:rsidP="0029325F">
      <w:pPr>
        <w:spacing w:after="0" w:line="240" w:lineRule="auto"/>
        <w:jc w:val="both"/>
        <w:rPr>
          <w:rFonts w:ascii="Verdana" w:hAnsi="Verdana"/>
          <w:lang w:val="es-MX"/>
        </w:rPr>
      </w:pPr>
    </w:p>
    <w:p w14:paraId="0B03614F" w14:textId="156B5598" w:rsidR="005C70EF" w:rsidRDefault="005C70EF" w:rsidP="0029325F">
      <w:pPr>
        <w:spacing w:after="0" w:line="240" w:lineRule="auto"/>
        <w:jc w:val="both"/>
        <w:rPr>
          <w:rFonts w:ascii="Verdana" w:hAnsi="Verdana"/>
          <w:lang w:val="es-MX"/>
        </w:rPr>
      </w:pPr>
    </w:p>
    <w:p w14:paraId="51BF643C" w14:textId="0EE21233" w:rsidR="005C70EF" w:rsidRDefault="005C70EF" w:rsidP="0029325F">
      <w:pPr>
        <w:spacing w:after="0" w:line="240" w:lineRule="auto"/>
        <w:jc w:val="both"/>
        <w:rPr>
          <w:rFonts w:ascii="Verdana" w:hAnsi="Verdana"/>
          <w:lang w:val="es-MX"/>
        </w:rPr>
      </w:pPr>
    </w:p>
    <w:p w14:paraId="11E0FA0F" w14:textId="394604AA" w:rsidR="005C70EF" w:rsidRDefault="005C70EF" w:rsidP="0029325F">
      <w:pPr>
        <w:spacing w:after="0" w:line="240" w:lineRule="auto"/>
        <w:jc w:val="both"/>
        <w:rPr>
          <w:rFonts w:ascii="Verdana" w:hAnsi="Verdana"/>
          <w:lang w:val="es-MX"/>
        </w:rPr>
      </w:pPr>
    </w:p>
    <w:p w14:paraId="4E2DCC77" w14:textId="53F4611C" w:rsidR="005C70EF" w:rsidRDefault="005C70EF" w:rsidP="00A17597">
      <w:pPr>
        <w:spacing w:after="0" w:line="240" w:lineRule="auto"/>
        <w:jc w:val="both"/>
        <w:rPr>
          <w:rFonts w:ascii="Verdana" w:hAnsi="Verdana"/>
          <w:lang w:val="es-MX"/>
        </w:rPr>
      </w:pPr>
    </w:p>
    <w:p w14:paraId="613E5047" w14:textId="4F61C2B0" w:rsidR="005C70EF" w:rsidRDefault="005C70EF" w:rsidP="00A17597">
      <w:pPr>
        <w:spacing w:after="0" w:line="240" w:lineRule="auto"/>
        <w:jc w:val="both"/>
        <w:rPr>
          <w:rFonts w:ascii="Verdana" w:hAnsi="Verdana"/>
          <w:lang w:val="es-MX"/>
        </w:rPr>
      </w:pPr>
    </w:p>
    <w:p w14:paraId="7476B965" w14:textId="3113D96D" w:rsidR="005C70EF" w:rsidRDefault="005C70EF" w:rsidP="00A17597">
      <w:pPr>
        <w:spacing w:after="0" w:line="240" w:lineRule="auto"/>
        <w:jc w:val="both"/>
        <w:rPr>
          <w:rFonts w:ascii="Verdana" w:hAnsi="Verdana"/>
          <w:lang w:val="es-MX"/>
        </w:rPr>
      </w:pPr>
    </w:p>
    <w:p w14:paraId="6188E5B7" w14:textId="63B17D2D" w:rsidR="005C70EF" w:rsidRDefault="005C70EF" w:rsidP="00A17597">
      <w:pPr>
        <w:spacing w:after="0" w:line="240" w:lineRule="auto"/>
        <w:jc w:val="both"/>
        <w:rPr>
          <w:rFonts w:ascii="Verdana" w:hAnsi="Verdana"/>
          <w:lang w:val="es-MX"/>
        </w:rPr>
      </w:pPr>
    </w:p>
    <w:p w14:paraId="2B1C19FD" w14:textId="54D8113C" w:rsidR="005C70EF" w:rsidRDefault="005C70EF" w:rsidP="00A17597">
      <w:pPr>
        <w:spacing w:after="0" w:line="240" w:lineRule="auto"/>
        <w:jc w:val="both"/>
        <w:rPr>
          <w:rFonts w:ascii="Verdana" w:hAnsi="Verdana"/>
          <w:lang w:val="es-MX"/>
        </w:rPr>
      </w:pPr>
    </w:p>
    <w:p w14:paraId="001A0038" w14:textId="48D72E91" w:rsidR="005C70EF" w:rsidRDefault="005C70EF" w:rsidP="00A17597">
      <w:pPr>
        <w:spacing w:after="0" w:line="240" w:lineRule="auto"/>
        <w:jc w:val="both"/>
        <w:rPr>
          <w:rFonts w:ascii="Verdana" w:hAnsi="Verdana"/>
          <w:lang w:val="es-MX"/>
        </w:rPr>
      </w:pPr>
    </w:p>
    <w:p w14:paraId="02225529" w14:textId="5B3DB357" w:rsidR="005C70EF" w:rsidRDefault="005C70EF" w:rsidP="00A17597">
      <w:pPr>
        <w:spacing w:after="0" w:line="240" w:lineRule="auto"/>
        <w:jc w:val="both"/>
        <w:rPr>
          <w:rFonts w:ascii="Verdana" w:hAnsi="Verdana"/>
          <w:lang w:val="es-MX"/>
        </w:rPr>
      </w:pPr>
    </w:p>
    <w:p w14:paraId="6915FF33" w14:textId="347BF7BB" w:rsidR="005C70EF" w:rsidRDefault="005C70EF" w:rsidP="00A17597">
      <w:pPr>
        <w:spacing w:after="0" w:line="240" w:lineRule="auto"/>
        <w:jc w:val="both"/>
        <w:rPr>
          <w:rFonts w:ascii="Verdana" w:hAnsi="Verdana"/>
          <w:lang w:val="es-MX"/>
        </w:rPr>
      </w:pPr>
    </w:p>
    <w:p w14:paraId="12DB9ADA" w14:textId="7F4C88CA" w:rsidR="005C70EF" w:rsidRDefault="005C70EF" w:rsidP="00A17597">
      <w:pPr>
        <w:spacing w:after="0" w:line="240" w:lineRule="auto"/>
        <w:jc w:val="both"/>
        <w:rPr>
          <w:rFonts w:ascii="Verdana" w:hAnsi="Verdana"/>
          <w:lang w:val="es-MX"/>
        </w:rPr>
      </w:pPr>
    </w:p>
    <w:p w14:paraId="3628B155" w14:textId="58C26442" w:rsidR="005C70EF" w:rsidRDefault="005C70EF" w:rsidP="00A17597">
      <w:pPr>
        <w:spacing w:after="0" w:line="240" w:lineRule="auto"/>
        <w:jc w:val="both"/>
        <w:rPr>
          <w:rFonts w:ascii="Verdana" w:hAnsi="Verdana"/>
          <w:lang w:val="es-MX"/>
        </w:rPr>
      </w:pPr>
    </w:p>
    <w:p w14:paraId="348D1FC1" w14:textId="4DFF9D2E" w:rsidR="005C70EF" w:rsidRDefault="005C70EF" w:rsidP="00A17597">
      <w:pPr>
        <w:spacing w:after="0" w:line="240" w:lineRule="auto"/>
        <w:jc w:val="both"/>
        <w:rPr>
          <w:rFonts w:ascii="Verdana" w:hAnsi="Verdana"/>
          <w:lang w:val="es-MX"/>
        </w:rPr>
      </w:pPr>
    </w:p>
    <w:p w14:paraId="623DC2FA" w14:textId="0ACEEB5F" w:rsidR="005C70EF" w:rsidRDefault="005C70EF" w:rsidP="00A17597">
      <w:pPr>
        <w:spacing w:after="0" w:line="240" w:lineRule="auto"/>
        <w:jc w:val="both"/>
        <w:rPr>
          <w:rFonts w:ascii="Verdana" w:hAnsi="Verdana"/>
          <w:lang w:val="es-MX"/>
        </w:rPr>
      </w:pPr>
    </w:p>
    <w:p w14:paraId="3F2842ED" w14:textId="043674B4" w:rsidR="005C70EF" w:rsidRDefault="005C70EF" w:rsidP="00A17597">
      <w:pPr>
        <w:spacing w:after="0" w:line="240" w:lineRule="auto"/>
        <w:jc w:val="both"/>
        <w:rPr>
          <w:rFonts w:ascii="Verdana" w:hAnsi="Verdana"/>
          <w:lang w:val="es-MX"/>
        </w:rPr>
      </w:pPr>
    </w:p>
    <w:p w14:paraId="3827DC68" w14:textId="28605CED" w:rsidR="005C70EF" w:rsidRDefault="005C70EF" w:rsidP="00A17597">
      <w:pPr>
        <w:spacing w:after="0" w:line="240" w:lineRule="auto"/>
        <w:jc w:val="both"/>
        <w:rPr>
          <w:rFonts w:ascii="Verdana" w:hAnsi="Verdana"/>
          <w:lang w:val="es-MX"/>
        </w:rPr>
      </w:pPr>
    </w:p>
    <w:p w14:paraId="13D9B2B6" w14:textId="43F61B47" w:rsidR="005C70EF" w:rsidRDefault="005C70EF" w:rsidP="00A17597">
      <w:pPr>
        <w:spacing w:after="0" w:line="240" w:lineRule="auto"/>
        <w:jc w:val="both"/>
        <w:rPr>
          <w:rFonts w:ascii="Verdana" w:hAnsi="Verdana"/>
          <w:lang w:val="es-MX"/>
        </w:rPr>
      </w:pPr>
    </w:p>
    <w:p w14:paraId="538158C5" w14:textId="6EC5BA6C" w:rsidR="005C70EF" w:rsidRDefault="005C70EF" w:rsidP="00A17597">
      <w:pPr>
        <w:spacing w:after="0" w:line="240" w:lineRule="auto"/>
        <w:jc w:val="both"/>
        <w:rPr>
          <w:rFonts w:ascii="Verdana" w:hAnsi="Verdana"/>
          <w:lang w:val="es-MX"/>
        </w:rPr>
      </w:pPr>
    </w:p>
    <w:p w14:paraId="328DA4BE" w14:textId="2C52DE97" w:rsidR="00A17C8D" w:rsidRDefault="00A17C8D" w:rsidP="00A17597">
      <w:pPr>
        <w:spacing w:after="0" w:line="240" w:lineRule="auto"/>
        <w:jc w:val="both"/>
        <w:rPr>
          <w:rFonts w:ascii="Verdana" w:hAnsi="Verdana"/>
          <w:lang w:val="es-MX"/>
        </w:rPr>
      </w:pPr>
    </w:p>
    <w:p w14:paraId="02322246" w14:textId="1E123112" w:rsidR="00A17C8D" w:rsidRDefault="00A17C8D" w:rsidP="00A17597">
      <w:pPr>
        <w:spacing w:after="0" w:line="240" w:lineRule="auto"/>
        <w:jc w:val="both"/>
        <w:rPr>
          <w:rFonts w:ascii="Verdana" w:hAnsi="Verdana"/>
          <w:lang w:val="es-MX"/>
        </w:rPr>
      </w:pPr>
    </w:p>
    <w:p w14:paraId="3AF1363D" w14:textId="77777777" w:rsidR="00A17C8D" w:rsidRDefault="00A17C8D" w:rsidP="00A17597">
      <w:pPr>
        <w:spacing w:after="0" w:line="240" w:lineRule="auto"/>
        <w:jc w:val="both"/>
        <w:rPr>
          <w:rFonts w:ascii="Verdana" w:hAnsi="Verdana"/>
          <w:lang w:val="es-MX"/>
        </w:rPr>
      </w:pPr>
    </w:p>
    <w:p w14:paraId="7D8D25BB" w14:textId="77777777" w:rsidR="005C70EF" w:rsidRPr="005C70EF" w:rsidRDefault="005C70EF" w:rsidP="00A17597">
      <w:pPr>
        <w:spacing w:after="0" w:line="240" w:lineRule="auto"/>
        <w:jc w:val="both"/>
        <w:rPr>
          <w:rFonts w:ascii="Verdana" w:hAnsi="Verdana"/>
          <w:lang w:val="es-MX"/>
        </w:rPr>
      </w:pPr>
    </w:p>
    <w:p w14:paraId="6AE36B2C" w14:textId="22F4EED2" w:rsidR="0079105E" w:rsidRPr="0044528D" w:rsidRDefault="00A17597" w:rsidP="00A17597">
      <w:pPr>
        <w:spacing w:after="0" w:line="240" w:lineRule="auto"/>
        <w:jc w:val="both"/>
        <w:rPr>
          <w:rFonts w:ascii="Verdana" w:hAnsi="Verdana"/>
        </w:rPr>
      </w:pPr>
      <w:r w:rsidRPr="00A17597">
        <w:rPr>
          <w:rFonts w:ascii="Verdana" w:hAnsi="Verdana"/>
        </w:rPr>
        <w:lastRenderedPageBreak/>
        <w:t xml:space="preserve"> </w:t>
      </w:r>
      <w:r w:rsidR="008E7CDC">
        <w:rPr>
          <w:rFonts w:ascii="Verdana" w:hAnsi="Verdana"/>
        </w:rPr>
        <w:t>Bogotá D.C., 27 de octubre de 2025</w:t>
      </w:r>
      <w:r w:rsidR="0079105E" w:rsidRPr="0044528D">
        <w:rPr>
          <w:rFonts w:ascii="Verdana" w:hAnsi="Verdana"/>
        </w:rPr>
        <w:tab/>
      </w:r>
      <w:r w:rsidR="0079105E" w:rsidRPr="0044528D">
        <w:rPr>
          <w:rFonts w:ascii="Verdana" w:hAnsi="Verdana"/>
        </w:rPr>
        <w:tab/>
      </w:r>
    </w:p>
    <w:p w14:paraId="3193795C" w14:textId="297AA24A" w:rsidR="0079105E" w:rsidRDefault="0029325F" w:rsidP="0079105E">
      <w:pPr>
        <w:spacing w:after="0"/>
        <w:rPr>
          <w:rFonts w:ascii="Verdana" w:hAnsi="Verdana"/>
        </w:rPr>
      </w:pPr>
      <w:r w:rsidRPr="0029325F">
        <w:rPr>
          <w:rFonts w:ascii="Verdana" w:hAnsi="Verdana"/>
          <w:noProof/>
          <w:lang w:val="en-US"/>
        </w:rPr>
        <w:drawing>
          <wp:anchor distT="0" distB="0" distL="114300" distR="114300" simplePos="0" relativeHeight="251658240" behindDoc="0" locked="0" layoutInCell="1" allowOverlap="1" wp14:anchorId="61ABC5B3" wp14:editId="3EDB6397">
            <wp:simplePos x="0" y="0"/>
            <wp:positionH relativeFrom="margin">
              <wp:posOffset>2792095</wp:posOffset>
            </wp:positionH>
            <wp:positionV relativeFrom="paragraph">
              <wp:posOffset>17145</wp:posOffset>
            </wp:positionV>
            <wp:extent cx="2860040" cy="777875"/>
            <wp:effectExtent l="0" t="0" r="0" b="3175"/>
            <wp:wrapSquare wrapText="bothSides"/>
            <wp:docPr id="3" name="Imagen 3"/>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1">
                      <a:extLst>
                        <a:ext uri="{28A0092B-C50C-407E-A947-70E740481C1C}">
                          <a14:useLocalDpi xmlns:a14="http://schemas.microsoft.com/office/drawing/2010/main" val="0"/>
                        </a:ext>
                      </a:extLst>
                    </a:blip>
                    <a:srcRect/>
                    <a:stretch>
                      <a:fillRect/>
                    </a:stretch>
                  </pic:blipFill>
                  <pic:spPr bwMode="auto">
                    <a:xfrm>
                      <a:off x="0" y="0"/>
                      <a:ext cx="2860040" cy="777875"/>
                    </a:xfrm>
                    <a:prstGeom prst="rect">
                      <a:avLst/>
                    </a:prstGeom>
                    <a:noFill/>
                    <a:ln>
                      <a:noFill/>
                    </a:ln>
                  </pic:spPr>
                </pic:pic>
              </a:graphicData>
            </a:graphic>
            <wp14:sizeRelH relativeFrom="margin">
              <wp14:pctWidth>0</wp14:pctWidth>
            </wp14:sizeRelH>
            <wp14:sizeRelV relativeFrom="margin">
              <wp14:pctHeight>0</wp14:pctHeight>
            </wp14:sizeRelV>
          </wp:anchor>
        </w:drawing>
      </w:r>
    </w:p>
    <w:p w14:paraId="01A39A5D" w14:textId="77777777" w:rsidR="0079105E" w:rsidRPr="005D3C67" w:rsidRDefault="0079105E" w:rsidP="0079105E">
      <w:pPr>
        <w:spacing w:after="0"/>
        <w:rPr>
          <w:rFonts w:ascii="Verdana" w:hAnsi="Verdana"/>
        </w:rPr>
      </w:pPr>
    </w:p>
    <w:p w14:paraId="7C659063" w14:textId="77777777" w:rsidR="0079105E" w:rsidRPr="007215D5" w:rsidRDefault="0079105E" w:rsidP="0079105E">
      <w:pPr>
        <w:spacing w:after="0" w:line="240" w:lineRule="auto"/>
        <w:rPr>
          <w:rFonts w:ascii="Verdana" w:eastAsia="Calibri" w:hAnsi="Verdana" w:cs="Times New Roman"/>
          <w:lang w:val="es-MX"/>
        </w:rPr>
      </w:pPr>
      <w:r w:rsidRPr="007215D5">
        <w:rPr>
          <w:rFonts w:ascii="Verdana" w:eastAsia="Calibri" w:hAnsi="Verdana" w:cs="Times New Roman"/>
          <w:lang w:val="es-MX"/>
        </w:rPr>
        <w:t>Señor</w:t>
      </w:r>
      <w:r>
        <w:rPr>
          <w:rFonts w:ascii="Verdana" w:eastAsia="Calibri" w:hAnsi="Verdana" w:cs="Times New Roman"/>
          <w:lang w:val="es-MX"/>
        </w:rPr>
        <w:t>a</w:t>
      </w:r>
    </w:p>
    <w:p w14:paraId="5F61256B" w14:textId="77777777" w:rsidR="0079105E" w:rsidRDefault="0079105E" w:rsidP="0079105E">
      <w:pPr>
        <w:spacing w:after="0" w:line="240" w:lineRule="auto"/>
        <w:rPr>
          <w:rFonts w:ascii="Verdana" w:eastAsia="Calibri" w:hAnsi="Verdana" w:cs="Times New Roman"/>
          <w:b/>
        </w:rPr>
      </w:pPr>
      <w:r>
        <w:rPr>
          <w:rFonts w:ascii="Verdana" w:eastAsia="Calibri" w:hAnsi="Verdana" w:cs="Times New Roman"/>
          <w:b/>
        </w:rPr>
        <w:t>Adriana Marcela Silva Olaya</w:t>
      </w:r>
    </w:p>
    <w:p w14:paraId="2CE55E34" w14:textId="77777777" w:rsidR="0079105E" w:rsidRDefault="009A6353" w:rsidP="0079105E">
      <w:pPr>
        <w:spacing w:after="0" w:line="240" w:lineRule="auto"/>
        <w:rPr>
          <w:rFonts w:ascii="Verdana" w:eastAsia="Calibri" w:hAnsi="Verdana" w:cs="Times New Roman"/>
        </w:rPr>
      </w:pPr>
      <w:hyperlink r:id="rId12" w:history="1">
        <w:r w:rsidR="0079105E" w:rsidRPr="0066245F">
          <w:rPr>
            <w:rStyle w:val="Hipervnculo"/>
            <w:rFonts w:ascii="Verdana" w:eastAsia="Calibri" w:hAnsi="Verdana" w:cs="Times New Roman"/>
          </w:rPr>
          <w:t>adr.silva@udla.edu.co</w:t>
        </w:r>
      </w:hyperlink>
    </w:p>
    <w:p w14:paraId="765BACAE" w14:textId="77777777" w:rsidR="0079105E" w:rsidRDefault="0079105E" w:rsidP="0079105E">
      <w:pPr>
        <w:spacing w:after="0" w:line="240" w:lineRule="auto"/>
        <w:rPr>
          <w:rFonts w:ascii="Verdana" w:eastAsia="Calibri" w:hAnsi="Verdana" w:cs="Times New Roman"/>
        </w:rPr>
      </w:pPr>
      <w:r>
        <w:rPr>
          <w:rFonts w:ascii="Verdana" w:eastAsia="Calibri" w:hAnsi="Verdana" w:cs="Times New Roman"/>
        </w:rPr>
        <w:t xml:space="preserve">Bogotá D.C. </w:t>
      </w:r>
    </w:p>
    <w:p w14:paraId="35FC8D77" w14:textId="77777777" w:rsidR="0079105E" w:rsidRDefault="0079105E" w:rsidP="0079105E">
      <w:pPr>
        <w:spacing w:after="0" w:line="256" w:lineRule="auto"/>
        <w:rPr>
          <w:rFonts w:ascii="Verdana" w:eastAsia="Calibri" w:hAnsi="Verdana" w:cs="Times New Roman"/>
        </w:rPr>
      </w:pPr>
    </w:p>
    <w:p w14:paraId="34CBEA9E" w14:textId="77777777" w:rsidR="0079105E" w:rsidRPr="00A12CB6" w:rsidRDefault="0079105E" w:rsidP="0079105E">
      <w:pPr>
        <w:spacing w:after="0" w:line="256" w:lineRule="auto"/>
        <w:rPr>
          <w:rFonts w:ascii="Verdana" w:eastAsia="Calibri" w:hAnsi="Verdana" w:cs="Times New Roman"/>
        </w:rPr>
      </w:pPr>
    </w:p>
    <w:p w14:paraId="0DF487D1" w14:textId="77777777" w:rsidR="0079105E" w:rsidRPr="00A12CB6" w:rsidRDefault="0079105E" w:rsidP="0079105E">
      <w:pPr>
        <w:spacing w:after="0" w:line="256" w:lineRule="auto"/>
        <w:rPr>
          <w:rFonts w:ascii="Verdana" w:eastAsia="Calibri" w:hAnsi="Verdana" w:cs="Times New Roman"/>
          <w:b/>
          <w:bCs/>
          <w:lang w:val="es-ES"/>
        </w:rPr>
      </w:pPr>
      <w:r w:rsidRPr="00A12CB6">
        <w:rPr>
          <w:rFonts w:ascii="Verdana" w:eastAsia="Calibri" w:hAnsi="Verdana" w:cs="Times New Roman"/>
          <w:b/>
          <w:bCs/>
          <w:lang w:val="es-ES"/>
        </w:rPr>
        <w:t xml:space="preserve">                  </w:t>
      </w:r>
      <w:r>
        <w:rPr>
          <w:rFonts w:ascii="Verdana" w:eastAsia="Calibri" w:hAnsi="Verdana" w:cs="Times New Roman"/>
          <w:b/>
          <w:bCs/>
          <w:lang w:val="es-ES"/>
        </w:rPr>
        <w:t xml:space="preserve">                  Concepto C- 1236 de 2025</w:t>
      </w:r>
    </w:p>
    <w:p w14:paraId="790B1D49" w14:textId="77777777" w:rsidR="0079105E" w:rsidRPr="00A12CB6" w:rsidRDefault="0079105E" w:rsidP="0079105E">
      <w:pPr>
        <w:spacing w:after="0" w:line="256" w:lineRule="auto"/>
        <w:rPr>
          <w:rFonts w:ascii="Verdana" w:eastAsia="Calibri" w:hAnsi="Verdana" w:cs="Times New Roman"/>
          <w:lang w:val="es-ES_tradnl"/>
        </w:rPr>
      </w:pPr>
    </w:p>
    <w:tbl>
      <w:tblPr>
        <w:tblStyle w:val="Tablaconcuadrcula1"/>
        <w:tblW w:w="15163" w:type="dxa"/>
        <w:tblInd w:w="0"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685"/>
        <w:gridCol w:w="6241"/>
        <w:gridCol w:w="6237"/>
      </w:tblGrid>
      <w:tr w:rsidR="0079105E" w:rsidRPr="00A12CB6" w14:paraId="1EF3AB0A" w14:textId="77777777" w:rsidTr="008E7CDC">
        <w:trPr>
          <w:trHeight w:val="645"/>
        </w:trPr>
        <w:tc>
          <w:tcPr>
            <w:tcW w:w="2685" w:type="dxa"/>
            <w:hideMark/>
          </w:tcPr>
          <w:p w14:paraId="3A6F7AD9" w14:textId="77777777" w:rsidR="0079105E" w:rsidRPr="00A12CB6" w:rsidRDefault="0079105E" w:rsidP="00223A48">
            <w:pPr>
              <w:spacing w:line="256" w:lineRule="auto"/>
              <w:rPr>
                <w:rFonts w:ascii="Verdana" w:hAnsi="Verdana"/>
                <w:b/>
                <w:bCs/>
                <w:lang w:val="es-ES_tradnl"/>
              </w:rPr>
            </w:pPr>
            <w:r w:rsidRPr="00A12CB6">
              <w:rPr>
                <w:rFonts w:ascii="Verdana" w:hAnsi="Verdana"/>
                <w:b/>
                <w:bCs/>
                <w:lang w:val="es-ES_tradnl"/>
              </w:rPr>
              <w:t xml:space="preserve">Temas:                   </w:t>
            </w:r>
          </w:p>
        </w:tc>
        <w:tc>
          <w:tcPr>
            <w:tcW w:w="6241" w:type="dxa"/>
            <w:hideMark/>
          </w:tcPr>
          <w:p w14:paraId="61C89E16" w14:textId="77777777" w:rsidR="0079105E" w:rsidRPr="00B74FAE" w:rsidRDefault="0079105E" w:rsidP="00223A48">
            <w:pPr>
              <w:spacing w:line="276" w:lineRule="auto"/>
              <w:jc w:val="both"/>
              <w:rPr>
                <w:rFonts w:ascii="Verdana" w:hAnsi="Verdana" w:cs="Arial"/>
                <w:lang w:val="es-MX" w:eastAsia="es-ES_tradnl"/>
              </w:rPr>
            </w:pPr>
            <w:r w:rsidRPr="00273620">
              <w:rPr>
                <w:rFonts w:ascii="Verdana" w:hAnsi="Verdana" w:cs="Arial"/>
                <w:lang w:val="es-MX" w:eastAsia="es-ES_tradnl"/>
              </w:rPr>
              <w:t xml:space="preserve">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Finalidad / LEY DE GARANTÍAS ELECTORALES </w:t>
            </w:r>
            <w:r w:rsidRPr="00273620">
              <w:rPr>
                <w:rFonts w:ascii="Verdana" w:hAnsi="Verdana" w:cs="Arial"/>
                <w:bCs/>
                <w:lang w:val="es-MX" w:eastAsia="es-ES_tradnl"/>
              </w:rPr>
              <w:t>‒</w:t>
            </w:r>
            <w:r w:rsidRPr="00273620">
              <w:rPr>
                <w:rFonts w:ascii="Verdana" w:hAnsi="Verdana" w:cs="Arial"/>
                <w:lang w:val="es-MX" w:eastAsia="es-ES_tradnl"/>
              </w:rPr>
              <w:t xml:space="preserve"> Tipos de restricciones </w:t>
            </w:r>
            <w:r w:rsidRPr="00273620">
              <w:rPr>
                <w:rFonts w:ascii="Verdana" w:hAnsi="Verdana" w:cs="Arial"/>
                <w:bCs/>
                <w:lang w:val="es-MX" w:eastAsia="es-ES_tradnl"/>
              </w:rPr>
              <w:t>‒</w:t>
            </w:r>
            <w:r w:rsidRPr="00273620">
              <w:rPr>
                <w:rFonts w:ascii="Verdana" w:hAnsi="Verdana" w:cs="Arial"/>
                <w:lang w:val="es-MX" w:eastAsia="es-ES_tradnl"/>
              </w:rPr>
              <w:t xml:space="preserve"> Ámbito temporal</w:t>
            </w:r>
            <w:r>
              <w:rPr>
                <w:rFonts w:ascii="Verdana" w:hAnsi="Verdana" w:cs="Arial"/>
                <w:lang w:val="es-MX" w:eastAsia="es-ES_tradnl"/>
              </w:rPr>
              <w:t xml:space="preserve"> – celebración- límite / LEY DE GARANTÍAS ELECTORALES – Prohibición artículo 33 – Contratación directa – Alcance / LEY DE GARANTÍAS ELECTORALES – Excepciones / LEY DE GARANTÍAS ELECTORALES – Prohibición del artículo 33 – Destinatarios / SISTEMA GENERAL DE REGALÍAS – Objeto – Aplicación – Ley de Garantías Electorales / </w:t>
            </w:r>
            <w:r w:rsidRPr="00B74FAE">
              <w:rPr>
                <w:rFonts w:ascii="Verdana" w:hAnsi="Verdana" w:cs="Arial"/>
                <w:lang w:val="es-MX" w:eastAsia="es-ES_tradnl"/>
              </w:rPr>
              <w:t>LEY DE GARANTÍAS ELECTORALES – Contratos y convenios interadministrativos – Criterio orgánico</w:t>
            </w:r>
            <w:r>
              <w:rPr>
                <w:rFonts w:ascii="Verdana" w:hAnsi="Verdana" w:cs="Arial"/>
                <w:lang w:val="es-MX" w:eastAsia="es-ES_tradnl"/>
              </w:rPr>
              <w:t xml:space="preserve"> / </w:t>
            </w:r>
            <w:r w:rsidRPr="00B74FAE">
              <w:rPr>
                <w:rFonts w:ascii="Verdana" w:hAnsi="Verdana" w:cs="Arial"/>
                <w:lang w:val="es-MX" w:eastAsia="es-ES_tradnl"/>
              </w:rPr>
              <w:t>CONTRATOS Y CONVENIOS INTERADMINISTRATIVOS – Circular Externa Única – A</w:t>
            </w:r>
            <w:r>
              <w:rPr>
                <w:rFonts w:ascii="Verdana" w:hAnsi="Verdana" w:cs="Arial"/>
                <w:lang w:val="es-MX" w:eastAsia="es-ES_tradnl"/>
              </w:rPr>
              <w:t xml:space="preserve">uto de suspensión –numeral 16.2 / LEY DE GARANTÍAS ELECTORALES – Contratos y convenios interadministrativos – Sistema General de Regalías. </w:t>
            </w:r>
          </w:p>
        </w:tc>
        <w:tc>
          <w:tcPr>
            <w:tcW w:w="6237" w:type="dxa"/>
          </w:tcPr>
          <w:p w14:paraId="6865A83A" w14:textId="77777777" w:rsidR="0079105E" w:rsidRPr="00A12CB6" w:rsidRDefault="0079105E" w:rsidP="00223A48">
            <w:pPr>
              <w:spacing w:line="256" w:lineRule="auto"/>
              <w:rPr>
                <w:rFonts w:ascii="Verdana" w:hAnsi="Verdana"/>
              </w:rPr>
            </w:pPr>
          </w:p>
        </w:tc>
      </w:tr>
      <w:tr w:rsidR="0079105E" w:rsidRPr="00A12CB6" w14:paraId="52C8036B" w14:textId="77777777" w:rsidTr="008E7CDC">
        <w:tc>
          <w:tcPr>
            <w:tcW w:w="2685" w:type="dxa"/>
          </w:tcPr>
          <w:p w14:paraId="04F55CAD" w14:textId="77777777" w:rsidR="0079105E" w:rsidRDefault="0079105E" w:rsidP="00223A48">
            <w:pPr>
              <w:spacing w:line="256" w:lineRule="auto"/>
              <w:rPr>
                <w:rFonts w:ascii="Verdana" w:hAnsi="Verdana"/>
                <w:b/>
                <w:bCs/>
                <w:lang w:val="es-ES_tradnl"/>
              </w:rPr>
            </w:pPr>
          </w:p>
          <w:p w14:paraId="53F11B9C" w14:textId="77777777" w:rsidR="0079105E" w:rsidRDefault="0079105E" w:rsidP="00223A48">
            <w:pPr>
              <w:spacing w:line="256" w:lineRule="auto"/>
              <w:rPr>
                <w:rFonts w:ascii="Verdana" w:hAnsi="Verdana"/>
                <w:b/>
                <w:bCs/>
                <w:lang w:val="es-ES_tradnl"/>
              </w:rPr>
            </w:pPr>
          </w:p>
          <w:p w14:paraId="63BD0371" w14:textId="77777777" w:rsidR="0079105E" w:rsidRPr="00A12CB6" w:rsidRDefault="0079105E" w:rsidP="00223A48">
            <w:pPr>
              <w:spacing w:line="256" w:lineRule="auto"/>
              <w:rPr>
                <w:rFonts w:ascii="Verdana" w:hAnsi="Verdana"/>
                <w:b/>
                <w:bCs/>
                <w:lang w:val="es-ES_tradnl"/>
              </w:rPr>
            </w:pPr>
            <w:r w:rsidRPr="00A12CB6">
              <w:rPr>
                <w:rFonts w:ascii="Verdana" w:hAnsi="Verdana"/>
                <w:b/>
                <w:bCs/>
                <w:lang w:val="es-ES_tradnl"/>
              </w:rPr>
              <w:t xml:space="preserve">Radicación:               </w:t>
            </w:r>
          </w:p>
        </w:tc>
        <w:tc>
          <w:tcPr>
            <w:tcW w:w="6241" w:type="dxa"/>
          </w:tcPr>
          <w:p w14:paraId="6539E2BC" w14:textId="77777777" w:rsidR="0079105E" w:rsidRPr="00273620" w:rsidRDefault="0079105E" w:rsidP="00223A48">
            <w:pPr>
              <w:spacing w:line="257" w:lineRule="auto"/>
              <w:jc w:val="both"/>
              <w:rPr>
                <w:rFonts w:ascii="Verdana" w:hAnsi="Verdana"/>
                <w:lang w:val="es-ES_tradnl"/>
              </w:rPr>
            </w:pPr>
          </w:p>
          <w:p w14:paraId="78BC3A95" w14:textId="77777777" w:rsidR="0079105E" w:rsidRPr="00273620" w:rsidRDefault="0079105E" w:rsidP="00223A48">
            <w:pPr>
              <w:spacing w:line="257" w:lineRule="auto"/>
              <w:jc w:val="both"/>
              <w:rPr>
                <w:rFonts w:ascii="Verdana" w:hAnsi="Verdana"/>
                <w:lang w:val="es-ES_tradnl"/>
              </w:rPr>
            </w:pPr>
          </w:p>
          <w:p w14:paraId="682062BC" w14:textId="77777777" w:rsidR="0079105E" w:rsidRPr="00273620" w:rsidRDefault="0079105E" w:rsidP="00223A48">
            <w:pPr>
              <w:spacing w:line="257" w:lineRule="auto"/>
              <w:jc w:val="both"/>
              <w:rPr>
                <w:rFonts w:ascii="Verdana" w:hAnsi="Verdana"/>
              </w:rPr>
            </w:pPr>
            <w:r w:rsidRPr="00273620">
              <w:rPr>
                <w:rFonts w:ascii="Verdana" w:hAnsi="Verdana"/>
                <w:lang w:val="es-ES_tradnl"/>
              </w:rPr>
              <w:t xml:space="preserve">Respuesta a consulta con radicado No. </w:t>
            </w:r>
            <w:r w:rsidRPr="00F77655">
              <w:rPr>
                <w:rFonts w:ascii="Verdana" w:hAnsi="Verdana"/>
              </w:rPr>
              <w:t>1_2025_10_09_011356</w:t>
            </w:r>
            <w:r w:rsidRPr="00273620">
              <w:rPr>
                <w:rFonts w:ascii="Verdana" w:hAnsi="Verdana"/>
              </w:rPr>
              <w:t xml:space="preserve"> </w:t>
            </w:r>
          </w:p>
          <w:p w14:paraId="3D78A2D5" w14:textId="77777777" w:rsidR="0079105E" w:rsidRPr="00273620" w:rsidRDefault="0079105E" w:rsidP="00223A48">
            <w:pPr>
              <w:spacing w:line="257" w:lineRule="auto"/>
              <w:jc w:val="both"/>
              <w:rPr>
                <w:rFonts w:ascii="Verdana" w:hAnsi="Verdana"/>
              </w:rPr>
            </w:pPr>
          </w:p>
        </w:tc>
        <w:tc>
          <w:tcPr>
            <w:tcW w:w="6237" w:type="dxa"/>
          </w:tcPr>
          <w:p w14:paraId="580BABBB" w14:textId="77777777" w:rsidR="0079105E" w:rsidRPr="00A12CB6" w:rsidRDefault="0079105E" w:rsidP="00223A48">
            <w:pPr>
              <w:spacing w:line="256" w:lineRule="auto"/>
              <w:rPr>
                <w:rFonts w:ascii="Verdana" w:hAnsi="Verdana"/>
                <w:lang w:val="es-ES_tradnl"/>
              </w:rPr>
            </w:pPr>
          </w:p>
        </w:tc>
      </w:tr>
    </w:tbl>
    <w:p w14:paraId="5E37FB95" w14:textId="77777777" w:rsidR="0079105E" w:rsidRPr="00A12CB6" w:rsidRDefault="0079105E" w:rsidP="0079105E">
      <w:pPr>
        <w:spacing w:after="0" w:line="256" w:lineRule="auto"/>
        <w:rPr>
          <w:rFonts w:ascii="Verdana" w:eastAsia="Calibri" w:hAnsi="Verdana" w:cs="Times New Roman"/>
          <w:lang w:val="es-ES"/>
        </w:rPr>
      </w:pPr>
      <w:r>
        <w:rPr>
          <w:rFonts w:ascii="Verdana" w:eastAsia="Calibri" w:hAnsi="Verdana" w:cs="Times New Roman"/>
          <w:lang w:val="es-ES"/>
        </w:rPr>
        <w:t xml:space="preserve">Estimada Señora Silva: </w:t>
      </w:r>
      <w:r w:rsidRPr="00A12CB6">
        <w:rPr>
          <w:rFonts w:ascii="Verdana" w:eastAsia="Calibri" w:hAnsi="Verdana" w:cs="Times New Roman"/>
          <w:lang w:val="es-ES"/>
        </w:rPr>
        <w:t xml:space="preserve"> </w:t>
      </w:r>
    </w:p>
    <w:p w14:paraId="24BB698F" w14:textId="77777777" w:rsidR="0079105E" w:rsidRPr="00A12CB6" w:rsidRDefault="0079105E" w:rsidP="0079105E">
      <w:pPr>
        <w:spacing w:after="0" w:line="256" w:lineRule="auto"/>
        <w:rPr>
          <w:rFonts w:ascii="Verdana" w:eastAsia="Calibri" w:hAnsi="Verdana" w:cs="Times New Roman"/>
          <w:lang w:val="es-ES"/>
        </w:rPr>
      </w:pPr>
    </w:p>
    <w:p w14:paraId="44CD520A" w14:textId="77777777" w:rsidR="0079105E" w:rsidRDefault="0079105E" w:rsidP="0079105E">
      <w:pPr>
        <w:spacing w:after="0" w:line="276" w:lineRule="auto"/>
        <w:jc w:val="both"/>
        <w:rPr>
          <w:rFonts w:ascii="Verdana" w:eastAsia="Calibri" w:hAnsi="Verdana" w:cs="Times New Roman"/>
        </w:rPr>
      </w:pPr>
      <w:r w:rsidRPr="005D3C67">
        <w:rPr>
          <w:rFonts w:ascii="Verdana" w:eastAsia="Calibri" w:hAnsi="Verdana" w:cs="Times New Roman"/>
          <w:bCs/>
          <w:lang w:val="es-ES" w:bidi="es-ES"/>
        </w:rPr>
        <w:t xml:space="preserve">En ejercicio de la competencia otorgada por los artículos 3, numeral 5º, y 11, numeral 8º, del Decreto Ley 4170 de 2011, </w:t>
      </w:r>
      <w:r w:rsidRPr="005D3C67">
        <w:rPr>
          <w:rFonts w:ascii="Verdana" w:eastAsia="Calibri" w:hAnsi="Verdana" w:cs="Times New Roman"/>
          <w:bCs/>
        </w:rPr>
        <w:t xml:space="preserve">así como lo establecido por la Resolución 469 de 2025 expedida por esta Entidad, </w:t>
      </w:r>
      <w:r w:rsidRPr="005D3C67">
        <w:rPr>
          <w:rFonts w:ascii="Verdana" w:eastAsia="Calibri" w:hAnsi="Verdana" w:cs="Times New Roman"/>
          <w:bCs/>
          <w:lang w:val="es-ES" w:bidi="es-ES"/>
        </w:rPr>
        <w:t>la Agencia Nacional de Contratación Pública – Colombia Compra Eficiente–</w:t>
      </w:r>
      <w:r>
        <w:rPr>
          <w:rFonts w:ascii="Verdana" w:eastAsia="Calibri" w:hAnsi="Verdana" w:cs="Times New Roman"/>
          <w:lang w:val="es-ES"/>
        </w:rPr>
        <w:t xml:space="preserve"> </w:t>
      </w:r>
      <w:r w:rsidRPr="00A12061">
        <w:rPr>
          <w:rFonts w:ascii="Verdana" w:eastAsia="Calibri" w:hAnsi="Verdana" w:cs="Times New Roman"/>
          <w:lang w:val="es-ES"/>
        </w:rPr>
        <w:t>responde la solicit</w:t>
      </w:r>
      <w:r>
        <w:rPr>
          <w:rFonts w:ascii="Verdana" w:eastAsia="Calibri" w:hAnsi="Verdana" w:cs="Times New Roman"/>
          <w:lang w:val="es-ES"/>
        </w:rPr>
        <w:t>ud de consulta presentada el 9 de octubre de 2025, en la cual manifiesta</w:t>
      </w:r>
      <w:r w:rsidRPr="00A12061">
        <w:rPr>
          <w:rFonts w:ascii="Verdana" w:eastAsia="Calibri" w:hAnsi="Verdana" w:cs="Times New Roman"/>
          <w:lang w:val="es-ES"/>
        </w:rPr>
        <w:t>:</w:t>
      </w:r>
      <w:r w:rsidRPr="000D6D0E">
        <w:rPr>
          <w:rFonts w:ascii="Verdana" w:eastAsia="Calibri" w:hAnsi="Verdana" w:cs="Times New Roman"/>
        </w:rPr>
        <w:t xml:space="preserve"> </w:t>
      </w:r>
    </w:p>
    <w:p w14:paraId="13D1213A" w14:textId="77777777" w:rsidR="0079105E" w:rsidRPr="004252BF" w:rsidRDefault="0079105E" w:rsidP="0079105E">
      <w:pPr>
        <w:spacing w:after="0" w:line="276" w:lineRule="auto"/>
        <w:ind w:right="709"/>
        <w:jc w:val="both"/>
        <w:rPr>
          <w:rFonts w:ascii="Verdana" w:eastAsia="Calibri" w:hAnsi="Verdana" w:cs="Times New Roman"/>
          <w:iCs/>
          <w:sz w:val="20"/>
        </w:rPr>
      </w:pPr>
    </w:p>
    <w:p w14:paraId="58F46E82" w14:textId="77777777" w:rsidR="0079105E" w:rsidRPr="00F64FF9" w:rsidRDefault="0079105E" w:rsidP="0079105E">
      <w:pPr>
        <w:pStyle w:val="Prrafodelista"/>
        <w:spacing w:after="0" w:line="240" w:lineRule="auto"/>
        <w:ind w:right="709"/>
        <w:jc w:val="both"/>
        <w:rPr>
          <w:rFonts w:ascii="Verdana" w:eastAsia="Calibri" w:hAnsi="Verdana" w:cs="Times New Roman"/>
          <w:iCs/>
          <w:sz w:val="20"/>
          <w:szCs w:val="20"/>
        </w:rPr>
      </w:pPr>
      <w:r w:rsidRPr="00F64FF9">
        <w:rPr>
          <w:rFonts w:ascii="Verdana" w:eastAsia="Calibri" w:hAnsi="Verdana" w:cs="Times New Roman"/>
          <w:i/>
          <w:iCs/>
          <w:sz w:val="20"/>
          <w:szCs w:val="20"/>
        </w:rPr>
        <w:lastRenderedPageBreak/>
        <w:t xml:space="preserve">“(…) En atención a la comunicación recibida el 15 de septiembre del presente año, mediante la cual se notifica a la Universidad de la Amazonia la aprobación del proyecto BPIN 2024000100096, denominado </w:t>
      </w:r>
      <w:r w:rsidRPr="00F64FF9">
        <w:rPr>
          <w:rFonts w:ascii="Verdana" w:eastAsia="Calibri" w:hAnsi="Verdana" w:cs="Times New Roman"/>
          <w:b/>
          <w:bCs/>
          <w:i/>
          <w:iCs/>
          <w:sz w:val="20"/>
          <w:szCs w:val="20"/>
        </w:rPr>
        <w:t>FORTALECIMIENTO DE LAS CAPACIDADES EN CTEI PARA LA UTILIZACIÓN DE BIOCHAR DERIVADO DE SUBPRODUCTOS AGROPECUARIOS EN LA MITIGACIÓN AL CAMBIO CLIMÁTICO Y LA PROVISIÓN DE OTROS SERVICIOS ECOSISTÉMICOS EN LOS DEPARTAMENTOS DE CALDAS, CASANARE, CAQUETÁ, CÓRDOBA, CUNDINAMARCA Y NARIÑO</w:t>
      </w:r>
      <w:r w:rsidRPr="00F64FF9">
        <w:rPr>
          <w:rFonts w:ascii="Verdana" w:eastAsia="Calibri" w:hAnsi="Verdana" w:cs="Times New Roman"/>
          <w:i/>
          <w:iCs/>
          <w:sz w:val="20"/>
          <w:szCs w:val="20"/>
        </w:rPr>
        <w:t xml:space="preserve">, me permito solicitar que se nos informe si la Ley de Garantías Electorales es aplicable a este tipo de proyectos. </w:t>
      </w:r>
    </w:p>
    <w:p w14:paraId="34405329" w14:textId="77777777" w:rsidR="0079105E" w:rsidRPr="00F64FF9" w:rsidRDefault="0079105E" w:rsidP="0079105E">
      <w:pPr>
        <w:pStyle w:val="Prrafodelista"/>
        <w:spacing w:after="0" w:line="240" w:lineRule="auto"/>
        <w:ind w:right="709"/>
        <w:contextualSpacing w:val="0"/>
        <w:jc w:val="both"/>
        <w:rPr>
          <w:rFonts w:ascii="Verdana" w:eastAsia="Calibri" w:hAnsi="Verdana" w:cs="Times New Roman"/>
          <w:iCs/>
          <w:sz w:val="20"/>
          <w:szCs w:val="20"/>
          <w:lang w:val="es-CO"/>
        </w:rPr>
      </w:pPr>
      <w:r w:rsidRPr="00F64FF9">
        <w:rPr>
          <w:rFonts w:ascii="Verdana" w:eastAsia="Calibri" w:hAnsi="Verdana" w:cs="Times New Roman"/>
          <w:i/>
          <w:iCs/>
          <w:sz w:val="20"/>
          <w:szCs w:val="20"/>
        </w:rPr>
        <w:t xml:space="preserve">De acuerdo con la notificación, la entidad ejecutora debe iniciar la ejecución del proyecto dentro de los seis (6) meses siguientes a la publicación del Acuerdo de aprobación por parte del OCAD; no obstante, en caso de resultar aplicable la referida Ley de Garantías, dicho plazo podría verse restringido. Agradecemos su </w:t>
      </w:r>
      <w:r>
        <w:rPr>
          <w:rFonts w:ascii="Verdana" w:eastAsia="Calibri" w:hAnsi="Verdana" w:cs="Times New Roman"/>
          <w:i/>
          <w:iCs/>
          <w:sz w:val="20"/>
          <w:szCs w:val="20"/>
        </w:rPr>
        <w:t xml:space="preserve">orientación al respecto. (Sic)” </w:t>
      </w:r>
      <w:r w:rsidRPr="00CF2D08">
        <w:rPr>
          <w:rFonts w:ascii="Verdana" w:eastAsia="Calibri" w:hAnsi="Verdana" w:cs="Times New Roman"/>
          <w:iCs/>
          <w:sz w:val="20"/>
          <w:szCs w:val="20"/>
        </w:rPr>
        <w:t>(énfasis dentro de texto)</w:t>
      </w:r>
    </w:p>
    <w:p w14:paraId="22C30EE2" w14:textId="77777777" w:rsidR="0079105E" w:rsidRPr="0038606D" w:rsidRDefault="0079105E" w:rsidP="0079105E">
      <w:pPr>
        <w:spacing w:after="0" w:line="240" w:lineRule="auto"/>
        <w:ind w:right="709"/>
        <w:jc w:val="both"/>
        <w:rPr>
          <w:rFonts w:ascii="Verdana" w:eastAsia="Calibri" w:hAnsi="Verdana" w:cs="Times New Roman"/>
          <w:i/>
          <w:iCs/>
          <w:sz w:val="20"/>
        </w:rPr>
      </w:pPr>
    </w:p>
    <w:p w14:paraId="301EB66A" w14:textId="77777777" w:rsidR="0079105E" w:rsidRPr="00A12CB6" w:rsidRDefault="0079105E" w:rsidP="0079105E">
      <w:pPr>
        <w:spacing w:after="120" w:line="276" w:lineRule="auto"/>
        <w:ind w:firstLine="709"/>
        <w:jc w:val="both"/>
        <w:rPr>
          <w:rFonts w:ascii="Verdana" w:eastAsia="Calibri" w:hAnsi="Verdana" w:cs="Times New Roman"/>
          <w:lang w:val="es-ES"/>
        </w:rPr>
      </w:pPr>
      <w:r w:rsidRPr="00A12CB6">
        <w:rPr>
          <w:rFonts w:ascii="Verdana" w:eastAsia="Calibri" w:hAnsi="Verdana" w:cs="Times New Roman"/>
          <w:lang w:val="es-ES"/>
        </w:rPr>
        <w:t>De manera preliminar, resulta necesario acotar que esta entidad solo tiene competencia para responder consultas sobre la aplicación de normas de carácter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ni a determinar grados de responsabilidad por las actuaciones de los diferentes participes del sistema de compra pública.</w:t>
      </w:r>
    </w:p>
    <w:p w14:paraId="2548D0D5" w14:textId="77777777" w:rsidR="0079105E" w:rsidRPr="00A12CB6" w:rsidRDefault="0079105E" w:rsidP="0079105E">
      <w:pPr>
        <w:spacing w:after="0" w:line="276" w:lineRule="auto"/>
        <w:ind w:firstLine="708"/>
        <w:jc w:val="both"/>
        <w:rPr>
          <w:rFonts w:ascii="Verdana" w:eastAsia="Calibri" w:hAnsi="Verdana" w:cs="Times New Roman"/>
          <w:lang w:val="es-ES"/>
        </w:rPr>
      </w:pPr>
      <w:r w:rsidRPr="00A12CB6">
        <w:rPr>
          <w:rFonts w:ascii="Verdana" w:eastAsia="Calibri" w:hAnsi="Verdana" w:cs="Times New Roman"/>
          <w:lang w:val="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w:t>
      </w:r>
      <w:r>
        <w:rPr>
          <w:rFonts w:ascii="Verdana" w:eastAsia="Calibri" w:hAnsi="Verdana" w:cs="Times New Roman"/>
          <w:lang w:val="es-ES"/>
        </w:rPr>
        <w:t xml:space="preserve">s generales relacionadas con el problema jurídico de su consulta. </w:t>
      </w:r>
    </w:p>
    <w:p w14:paraId="75804A6D" w14:textId="77777777" w:rsidR="0079105E" w:rsidRPr="00A12CB6" w:rsidRDefault="0079105E" w:rsidP="0079105E">
      <w:pPr>
        <w:spacing w:after="0" w:line="276" w:lineRule="auto"/>
        <w:rPr>
          <w:rFonts w:ascii="Verdana" w:eastAsia="Calibri" w:hAnsi="Verdana" w:cs="Times New Roman"/>
          <w:lang w:val="es-ES"/>
        </w:rPr>
      </w:pPr>
    </w:p>
    <w:p w14:paraId="55B429A3" w14:textId="77777777" w:rsidR="0079105E" w:rsidRPr="00A12CB6" w:rsidRDefault="0079105E" w:rsidP="0079105E">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Problema planteado:</w:t>
      </w:r>
    </w:p>
    <w:p w14:paraId="7BAE3DBC" w14:textId="77777777" w:rsidR="0079105E" w:rsidRPr="00A12CB6" w:rsidRDefault="0079105E" w:rsidP="0079105E">
      <w:pPr>
        <w:spacing w:after="0" w:line="276" w:lineRule="auto"/>
        <w:rPr>
          <w:rFonts w:ascii="Verdana" w:eastAsia="Calibri" w:hAnsi="Verdana" w:cs="Times New Roman"/>
        </w:rPr>
      </w:pPr>
    </w:p>
    <w:p w14:paraId="6683483C" w14:textId="77777777" w:rsidR="0079105E" w:rsidRPr="008A0221" w:rsidRDefault="0079105E" w:rsidP="0079105E">
      <w:pPr>
        <w:spacing w:after="0" w:line="276" w:lineRule="auto"/>
        <w:jc w:val="both"/>
        <w:rPr>
          <w:rFonts w:ascii="Verdana" w:eastAsia="Calibri" w:hAnsi="Verdana" w:cs="Times New Roman"/>
          <w:iCs/>
        </w:rPr>
      </w:pPr>
      <w:r w:rsidRPr="134495F9">
        <w:rPr>
          <w:rFonts w:ascii="Verdana" w:eastAsia="Calibri" w:hAnsi="Verdana" w:cs="Times New Roman"/>
        </w:rPr>
        <w:t>De acuerdo con el contenido de sus solicitudes, esta Agencia procede a resolver</w:t>
      </w:r>
      <w:r>
        <w:rPr>
          <w:rFonts w:ascii="Verdana" w:eastAsia="Calibri" w:hAnsi="Verdana" w:cs="Times New Roman"/>
        </w:rPr>
        <w:t xml:space="preserve"> el siguiente problema jurídico</w:t>
      </w:r>
      <w:r w:rsidRPr="134495F9">
        <w:rPr>
          <w:rFonts w:ascii="Verdana" w:eastAsia="Calibri" w:hAnsi="Verdana" w:cs="Times New Roman"/>
        </w:rPr>
        <w:t>:</w:t>
      </w:r>
      <w:r>
        <w:rPr>
          <w:rFonts w:ascii="Verdana" w:eastAsia="Calibri" w:hAnsi="Verdana" w:cs="Times New Roman"/>
          <w:iCs/>
          <w:lang w:val="es-ES"/>
        </w:rPr>
        <w:t xml:space="preserve"> ¿Es procedente las restricciones reguladas en la </w:t>
      </w:r>
      <w:r>
        <w:rPr>
          <w:rFonts w:ascii="Verdana" w:eastAsia="Calibri" w:hAnsi="Verdana" w:cs="Times New Roman"/>
          <w:iCs/>
          <w:lang w:val="es-ES"/>
        </w:rPr>
        <w:lastRenderedPageBreak/>
        <w:t xml:space="preserve">Ley 996 de 2005 </w:t>
      </w:r>
      <w:r>
        <w:rPr>
          <w:rFonts w:ascii="Verdana" w:eastAsia="Calibri" w:hAnsi="Verdana" w:cs="Times New Roman"/>
          <w:bCs/>
          <w:iCs/>
        </w:rPr>
        <w:t xml:space="preserve">frente a </w:t>
      </w:r>
      <w:r w:rsidRPr="005D3C67">
        <w:rPr>
          <w:rFonts w:ascii="Verdana" w:eastAsia="Calibri" w:hAnsi="Verdana" w:cs="Times New Roman"/>
          <w:bCs/>
          <w:iCs/>
        </w:rPr>
        <w:t xml:space="preserve">los procesos contractuales financiados con recursos del Sistema </w:t>
      </w:r>
      <w:r>
        <w:rPr>
          <w:rFonts w:ascii="Verdana" w:eastAsia="Calibri" w:hAnsi="Verdana" w:cs="Times New Roman"/>
          <w:bCs/>
          <w:iCs/>
        </w:rPr>
        <w:t>General de Regalías</w:t>
      </w:r>
      <w:r>
        <w:rPr>
          <w:rFonts w:ascii="Verdana" w:eastAsia="Calibri" w:hAnsi="Verdana" w:cs="Times New Roman"/>
          <w:iCs/>
        </w:rPr>
        <w:t>?</w:t>
      </w:r>
    </w:p>
    <w:p w14:paraId="55771836" w14:textId="77777777" w:rsidR="0079105E" w:rsidRPr="008A0221" w:rsidRDefault="0079105E" w:rsidP="0079105E">
      <w:pPr>
        <w:spacing w:after="0" w:line="276" w:lineRule="auto"/>
        <w:jc w:val="both"/>
        <w:rPr>
          <w:rFonts w:ascii="Verdana" w:eastAsia="Calibri" w:hAnsi="Verdana" w:cs="Times New Roman"/>
          <w:i/>
          <w:iCs/>
        </w:rPr>
      </w:pPr>
    </w:p>
    <w:p w14:paraId="54E8B778" w14:textId="77777777" w:rsidR="0079105E" w:rsidRDefault="0079105E" w:rsidP="0079105E">
      <w:pPr>
        <w:numPr>
          <w:ilvl w:val="0"/>
          <w:numId w:val="19"/>
        </w:numPr>
        <w:spacing w:after="0" w:line="276" w:lineRule="auto"/>
        <w:contextualSpacing/>
        <w:rPr>
          <w:rFonts w:ascii="Verdana" w:eastAsia="Calibri" w:hAnsi="Verdana" w:cs="Times New Roman"/>
          <w:b/>
          <w:bCs/>
          <w:lang w:val="es-ES"/>
        </w:rPr>
      </w:pPr>
      <w:r w:rsidRPr="00A12CB6">
        <w:rPr>
          <w:rFonts w:ascii="Verdana" w:eastAsia="Calibri" w:hAnsi="Verdana" w:cs="Times New Roman"/>
          <w:b/>
          <w:bCs/>
          <w:lang w:val="es-ES"/>
        </w:rPr>
        <w:t>Respuesta:</w:t>
      </w:r>
    </w:p>
    <w:p w14:paraId="7ED346FD" w14:textId="77777777" w:rsidR="0079105E" w:rsidRPr="00A12CB6" w:rsidRDefault="0079105E" w:rsidP="0079105E">
      <w:pPr>
        <w:spacing w:after="0" w:line="276" w:lineRule="auto"/>
        <w:rPr>
          <w:rFonts w:ascii="Verdana" w:eastAsia="Calibri" w:hAnsi="Verdana" w:cs="Times New Roman"/>
          <w:b/>
          <w:bCs/>
          <w:lang w:val="es-ES"/>
        </w:rPr>
      </w:pPr>
    </w:p>
    <w:tbl>
      <w:tblPr>
        <w:tblStyle w:val="Tablaconcuadrcula"/>
        <w:tblW w:w="8784"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784"/>
      </w:tblGrid>
      <w:tr w:rsidR="0079105E" w:rsidRPr="001205D1" w14:paraId="03E0EB34" w14:textId="77777777" w:rsidTr="00223A48">
        <w:trPr>
          <w:trHeight w:val="618"/>
          <w:jc w:val="center"/>
        </w:trPr>
        <w:tc>
          <w:tcPr>
            <w:tcW w:w="8784" w:type="dxa"/>
            <w:tcBorders>
              <w:bottom w:val="single" w:sz="4" w:space="0" w:color="auto"/>
            </w:tcBorders>
          </w:tcPr>
          <w:p w14:paraId="0A57544B" w14:textId="77777777" w:rsidR="0079105E" w:rsidRDefault="0079105E" w:rsidP="00223A48">
            <w:pPr>
              <w:spacing w:before="120" w:after="120" w:line="276" w:lineRule="auto"/>
              <w:jc w:val="both"/>
              <w:rPr>
                <w:rFonts w:ascii="Verdana" w:eastAsia="Times New Roman" w:hAnsi="Verdana" w:cs="Arial"/>
                <w:bCs/>
                <w:lang w:val="es-MX" w:eastAsia="x-none"/>
              </w:rPr>
            </w:pPr>
            <w:r>
              <w:rPr>
                <w:rFonts w:ascii="Verdana" w:eastAsia="Calibri" w:hAnsi="Verdana" w:cs="Times New Roman"/>
              </w:rPr>
              <w:t xml:space="preserve">En cuanto al problema jurídico, objeto de consulta, se precisa que </w:t>
            </w:r>
            <w:r>
              <w:rPr>
                <w:rFonts w:ascii="Verdana" w:eastAsia="Calibri" w:hAnsi="Verdana" w:cs="Arial"/>
                <w:lang w:val="es-MX"/>
              </w:rPr>
              <w:t>la restricción prevista en el artículo 33 de la</w:t>
            </w:r>
            <w:r w:rsidRPr="0057193B">
              <w:rPr>
                <w:rFonts w:ascii="Verdana" w:eastAsia="Calibri" w:hAnsi="Verdana" w:cs="Arial"/>
                <w:lang w:val="es-MX"/>
              </w:rPr>
              <w:t xml:space="preserve">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 </w:t>
            </w:r>
          </w:p>
          <w:p w14:paraId="534988CD" w14:textId="77777777" w:rsidR="0079105E" w:rsidRPr="009A35DF" w:rsidRDefault="0079105E" w:rsidP="00223A48">
            <w:pPr>
              <w:spacing w:after="120" w:line="276" w:lineRule="auto"/>
              <w:ind w:firstLine="709"/>
              <w:jc w:val="both"/>
              <w:rPr>
                <w:rFonts w:ascii="Verdana" w:eastAsia="Times New Roman" w:hAnsi="Verdana" w:cs="Arial"/>
                <w:bCs/>
                <w:lang w:val="es-ES" w:eastAsia="x-none"/>
              </w:rPr>
            </w:pPr>
            <w:r>
              <w:rPr>
                <w:rFonts w:ascii="Verdana" w:eastAsia="Times New Roman" w:hAnsi="Verdana" w:cs="Arial"/>
                <w:bCs/>
                <w:lang w:val="es-ES" w:eastAsia="x-none"/>
              </w:rPr>
              <w:t xml:space="preserve">En esta cuestión, la Ley 2056 de 2020, </w:t>
            </w:r>
            <w:r w:rsidRPr="009A35DF">
              <w:rPr>
                <w:rFonts w:ascii="Verdana" w:eastAsia="Times New Roman" w:hAnsi="Verdana" w:cs="Arial"/>
                <w:bCs/>
                <w:lang w:val="es-ES" w:eastAsia="x-none"/>
              </w:rPr>
              <w:t>“</w:t>
            </w:r>
            <w:r w:rsidRPr="009A35DF">
              <w:rPr>
                <w:rFonts w:ascii="Verdana" w:eastAsia="Times New Roman" w:hAnsi="Verdana" w:cs="Arial"/>
                <w:bCs/>
                <w:lang w:eastAsia="x-none"/>
              </w:rPr>
              <w:t xml:space="preserve">por la cual se regula la organización y el funcionamiento del Sistema General de Regalías” no </w:t>
            </w:r>
            <w:r>
              <w:rPr>
                <w:rFonts w:ascii="Verdana" w:eastAsia="Times New Roman" w:hAnsi="Verdana" w:cs="Arial"/>
                <w:bCs/>
                <w:lang w:eastAsia="x-none"/>
              </w:rPr>
              <w:t xml:space="preserve">establece </w:t>
            </w:r>
            <w:r w:rsidRPr="009A35DF">
              <w:rPr>
                <w:rFonts w:ascii="Verdana" w:eastAsia="Times New Roman" w:hAnsi="Verdana" w:cs="Arial"/>
                <w:bCs/>
                <w:lang w:eastAsia="x-none"/>
              </w:rPr>
              <w:t xml:space="preserve">excepciones </w:t>
            </w:r>
            <w:r>
              <w:rPr>
                <w:rFonts w:ascii="Verdana" w:eastAsia="Times New Roman" w:hAnsi="Verdana" w:cs="Arial"/>
                <w:bCs/>
                <w:lang w:eastAsia="x-none"/>
              </w:rPr>
              <w:t xml:space="preserve">al </w:t>
            </w:r>
            <w:r>
              <w:rPr>
                <w:rFonts w:ascii="Verdana" w:eastAsia="Times New Roman" w:hAnsi="Verdana" w:cs="Arial"/>
                <w:bCs/>
                <w:lang w:val="es-ES" w:eastAsia="x-none"/>
              </w:rPr>
              <w:t xml:space="preserve">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la ejecución de un cierto tipo de recursos</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Esto, sin perjuicio de las </w:t>
            </w:r>
            <w:r w:rsidRPr="0057193B">
              <w:rPr>
                <w:rFonts w:ascii="Verdana" w:eastAsia="Times New Roman" w:hAnsi="Verdana" w:cs="Arial"/>
                <w:bCs/>
                <w:lang w:val="es-MX" w:eastAsia="x-none"/>
              </w:rPr>
              <w:t>excepciones a la prohibición establecidas en el inciso</w:t>
            </w:r>
            <w:r>
              <w:rPr>
                <w:rFonts w:ascii="Verdana" w:eastAsia="Times New Roman" w:hAnsi="Verdana" w:cs="Arial"/>
                <w:bCs/>
                <w:lang w:val="es-MX" w:eastAsia="x-none"/>
              </w:rPr>
              <w:t xml:space="preserve"> segundo del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xml:space="preserve">)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w:t>
            </w:r>
            <w:r>
              <w:rPr>
                <w:rFonts w:ascii="Verdana" w:eastAsia="Times New Roman" w:hAnsi="Verdana" w:cs="Arial"/>
                <w:bCs/>
                <w:lang w:val="es-MX" w:eastAsia="x-none"/>
              </w:rPr>
              <w:t>de las mencionadas excepciones.</w:t>
            </w:r>
          </w:p>
          <w:p w14:paraId="47120C38" w14:textId="77777777" w:rsidR="0079105E" w:rsidRDefault="0079105E" w:rsidP="00223A48">
            <w:pPr>
              <w:spacing w:before="120" w:after="120" w:line="276" w:lineRule="auto"/>
              <w:ind w:firstLine="709"/>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Además, 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 Ahora bien</w:t>
            </w:r>
            <w:r w:rsidRPr="0057193B">
              <w:rPr>
                <w:rFonts w:ascii="Verdana" w:eastAsia="Times New Roman" w:hAnsi="Verdana" w:cs="Arial"/>
                <w:bCs/>
                <w:lang w:val="es-MX" w:eastAsia="x-none"/>
              </w:rPr>
              <w:t xml:space="preserve">, </w:t>
            </w:r>
            <w:r>
              <w:rPr>
                <w:rFonts w:ascii="Verdana" w:eastAsia="Times New Roman" w:hAnsi="Verdana" w:cs="Arial"/>
                <w:bCs/>
                <w:lang w:val="es-MX" w:eastAsia="x-none"/>
              </w:rPr>
              <w:t xml:space="preserve">se </w:t>
            </w:r>
            <w:r>
              <w:rPr>
                <w:rFonts w:ascii="Verdana" w:eastAsia="Times New Roman" w:hAnsi="Verdana" w:cs="Arial"/>
                <w:bCs/>
                <w:lang w:val="es-MX" w:eastAsia="x-none"/>
              </w:rPr>
              <w:lastRenderedPageBreak/>
              <w:t xml:space="preserve">reitera que </w:t>
            </w:r>
            <w:r w:rsidRPr="0057193B">
              <w:rPr>
                <w:rFonts w:ascii="Verdana" w:eastAsia="Times New Roman" w:hAnsi="Verdana" w:cs="Arial"/>
                <w:bCs/>
                <w:lang w:val="es-MX" w:eastAsia="es-CO"/>
              </w:rPr>
              <w:t>las prórrogas, modificaciones o adiciones de los contratos suscritos antes de la entrada en vigencia de las prohibiciones anotadas, así como la cesión de los mismos, pueden tener lugar en el período de aplicación de la Ley de Garantías, sin que haga nugatoria la restricción de la contratación directa y siempre que cumplan los principios de planeación, transpa</w:t>
            </w:r>
            <w:r>
              <w:rPr>
                <w:rFonts w:ascii="Verdana" w:eastAsia="Times New Roman" w:hAnsi="Verdana" w:cs="Arial"/>
                <w:bCs/>
                <w:lang w:val="es-MX" w:eastAsia="es-CO"/>
              </w:rPr>
              <w:t>rencia y responsabilidad. Así mismo</w:t>
            </w:r>
            <w:r w:rsidRPr="0057193B">
              <w:rPr>
                <w:rFonts w:ascii="Verdana" w:eastAsia="Times New Roman" w:hAnsi="Verdana" w:cs="Arial"/>
                <w:bCs/>
                <w:lang w:val="es-MX" w:eastAsia="es-CO"/>
              </w:rPr>
              <w:t>, también es posible que contratos celebrados previamente se continúen ejecutando con normalidad.</w:t>
            </w:r>
          </w:p>
          <w:p w14:paraId="1A6BA1D4" w14:textId="77777777" w:rsidR="0079105E" w:rsidRDefault="0079105E" w:rsidP="00223A48">
            <w:pPr>
              <w:spacing w:after="120" w:line="276" w:lineRule="auto"/>
              <w:ind w:firstLine="709"/>
              <w:jc w:val="both"/>
              <w:rPr>
                <w:rFonts w:ascii="Verdana" w:eastAsia="Arial" w:hAnsi="Verdana" w:cs="Arial"/>
                <w:bCs/>
                <w:lang w:val="es-MX" w:eastAsia="es-ES" w:bidi="es-ES"/>
              </w:rPr>
            </w:pPr>
            <w:r>
              <w:rPr>
                <w:rFonts w:ascii="Verdana" w:eastAsia="Arial" w:hAnsi="Verdana" w:cs="Arial"/>
                <w:bCs/>
                <w:lang w:eastAsia="es-ES" w:bidi="es-ES"/>
              </w:rPr>
              <w:t>Ahora bien, d</w:t>
            </w:r>
            <w:r w:rsidRPr="00660153">
              <w:rPr>
                <w:rFonts w:ascii="Verdana" w:eastAsia="Arial" w:hAnsi="Verdana" w:cs="Arial"/>
                <w:bCs/>
                <w:lang w:eastAsia="es-ES" w:bidi="es-ES"/>
              </w:rPr>
              <w:t>entro de este marco normativo</w:t>
            </w:r>
            <w:r>
              <w:rPr>
                <w:rFonts w:ascii="Verdana" w:eastAsia="Arial" w:hAnsi="Verdana" w:cs="Arial"/>
                <w:bCs/>
                <w:lang w:eastAsia="es-ES" w:bidi="es-ES"/>
              </w:rPr>
              <w:t xml:space="preserve"> del Sistema General de Regalías</w:t>
            </w:r>
            <w:r w:rsidRPr="00660153">
              <w:rPr>
                <w:rFonts w:ascii="Verdana" w:eastAsia="Arial" w:hAnsi="Verdana" w:cs="Arial"/>
                <w:bCs/>
                <w:lang w:eastAsia="es-ES" w:bidi="es-ES"/>
              </w:rPr>
              <w:t xml:space="preserve"> </w:t>
            </w:r>
            <w:r>
              <w:rPr>
                <w:rFonts w:ascii="Verdana" w:eastAsia="Arial" w:hAnsi="Verdana" w:cs="Arial"/>
                <w:bCs/>
                <w:lang w:val="es-ES" w:eastAsia="es-ES" w:bidi="es-ES"/>
              </w:rPr>
              <w:t xml:space="preserve">tampoco se </w:t>
            </w:r>
            <w:r w:rsidRPr="00660153">
              <w:rPr>
                <w:rFonts w:ascii="Verdana" w:eastAsia="Arial" w:hAnsi="Verdana" w:cs="Arial"/>
                <w:bCs/>
                <w:lang w:val="es-ES" w:eastAsia="es-ES" w:bidi="es-ES"/>
              </w:rPr>
              <w:t xml:space="preserve">establece una excepción </w:t>
            </w:r>
            <w:r>
              <w:rPr>
                <w:rFonts w:ascii="Verdana" w:eastAsia="Arial" w:hAnsi="Verdana" w:cs="Arial"/>
                <w:bCs/>
                <w:lang w:val="es-ES" w:eastAsia="es-ES" w:bidi="es-ES"/>
              </w:rPr>
              <w:t>a lo dispuesto en el artículo 38</w:t>
            </w:r>
            <w:r w:rsidRPr="00660153">
              <w:rPr>
                <w:rFonts w:ascii="Verdana" w:eastAsia="Arial" w:hAnsi="Verdana" w:cs="Arial"/>
                <w:bCs/>
                <w:lang w:val="es-ES" w:eastAsia="es-ES" w:bidi="es-ES"/>
              </w:rPr>
              <w:t xml:space="preserve"> de la Ley 996 de 2005 </w:t>
            </w:r>
            <w:r>
              <w:rPr>
                <w:rFonts w:ascii="Verdana" w:eastAsia="Arial" w:hAnsi="Verdana" w:cs="Arial"/>
                <w:bCs/>
                <w:lang w:val="es-MX" w:eastAsia="es-ES" w:bidi="es-ES"/>
              </w:rPr>
              <w:t xml:space="preserve">que restringe </w:t>
            </w:r>
            <w:r w:rsidRPr="0064722F">
              <w:rPr>
                <w:rFonts w:ascii="Verdana" w:eastAsia="Arial" w:hAnsi="Verdana" w:cs="Arial"/>
                <w:bCs/>
                <w:lang w:val="es-MX" w:eastAsia="es-ES" w:bidi="es-ES"/>
              </w:rPr>
              <w:t xml:space="preserve">a los </w:t>
            </w:r>
            <w:proofErr w:type="gramStart"/>
            <w:r w:rsidRPr="0064722F">
              <w:rPr>
                <w:rFonts w:ascii="Verdana" w:eastAsia="Arial" w:hAnsi="Verdana" w:cs="Arial"/>
                <w:bCs/>
                <w:lang w:val="es-MX" w:eastAsia="es-ES" w:bidi="es-ES"/>
              </w:rPr>
              <w:t>Alcaldes</w:t>
            </w:r>
            <w:proofErr w:type="gramEnd"/>
            <w:r w:rsidRPr="0064722F">
              <w:rPr>
                <w:rFonts w:ascii="Verdana" w:eastAsia="Arial" w:hAnsi="Verdana" w:cs="Arial"/>
                <w:bCs/>
                <w:lang w:val="es-MX" w:eastAsia="es-ES" w:bidi="es-ES"/>
              </w:rPr>
              <w:t xml:space="preserve">, Gobernadores, Secretarios, Gerentes y Directores de las entidades del orden municipal, departamental o distrital celebrar </w:t>
            </w:r>
            <w:r w:rsidRPr="0064722F">
              <w:rPr>
                <w:rFonts w:ascii="Verdana" w:eastAsia="Arial" w:hAnsi="Verdana" w:cs="Arial"/>
                <w:bCs/>
                <w:i/>
                <w:iCs/>
                <w:lang w:val="es-MX" w:eastAsia="es-ES" w:bidi="es-ES"/>
              </w:rPr>
              <w:t>convenios interadministrativos</w:t>
            </w:r>
            <w:r w:rsidRPr="0064722F">
              <w:rPr>
                <w:rFonts w:ascii="Verdana" w:eastAsia="Arial" w:hAnsi="Verdana" w:cs="Arial"/>
                <w:bCs/>
                <w:lang w:val="es-MX" w:eastAsia="es-ES" w:bidi="es-ES"/>
              </w:rPr>
              <w:t xml:space="preserve"> para la ejecución de recursos públicos</w:t>
            </w:r>
            <w:r>
              <w:rPr>
                <w:rFonts w:ascii="Verdana" w:eastAsia="Arial" w:hAnsi="Verdana" w:cs="Arial"/>
                <w:bCs/>
                <w:lang w:val="es-MX" w:eastAsia="es-ES" w:bidi="es-ES"/>
              </w:rPr>
              <w:t xml:space="preserve"> en las elecciones</w:t>
            </w:r>
            <w:r w:rsidRPr="0064722F">
              <w:rPr>
                <w:rFonts w:ascii="Verdana" w:eastAsia="Arial" w:hAnsi="Verdana" w:cs="Arial"/>
                <w:bCs/>
                <w:lang w:val="es-MX" w:eastAsia="es-ES" w:bidi="es-ES"/>
              </w:rPr>
              <w:t>.</w:t>
            </w:r>
            <w:r>
              <w:rPr>
                <w:rFonts w:ascii="Verdana" w:eastAsia="Arial" w:hAnsi="Verdana" w:cs="Arial"/>
                <w:bCs/>
                <w:lang w:val="es-MX" w:eastAsia="es-ES" w:bidi="es-ES"/>
              </w:rPr>
              <w:t xml:space="preserve"> En esta línea</w:t>
            </w:r>
            <w:r w:rsidRPr="0064722F">
              <w:rPr>
                <w:rFonts w:ascii="Verdana" w:eastAsia="Arial" w:hAnsi="Verdana" w:cs="Arial"/>
                <w:bCs/>
                <w:lang w:val="es-MX" w:eastAsia="es-ES" w:bidi="es-ES"/>
              </w:rPr>
              <w:t xml:space="preserve">, si una o ambas partes de la relación contractual es una entidad de aquellas descritas en el parágrafo </w:t>
            </w:r>
            <w:r w:rsidRPr="0064722F">
              <w:rPr>
                <w:rFonts w:ascii="Verdana" w:eastAsia="Arial" w:hAnsi="Verdana" w:cs="Arial"/>
                <w:bCs/>
                <w:i/>
                <w:lang w:val="es-MX" w:eastAsia="es-ES" w:bidi="es-ES"/>
              </w:rPr>
              <w:t>ibidem</w:t>
            </w:r>
            <w:r w:rsidRPr="0064722F">
              <w:rPr>
                <w:rFonts w:ascii="Verdana" w:eastAsia="Arial" w:hAnsi="Verdana" w:cs="Arial"/>
                <w:bCs/>
                <w:lang w:val="es-MX" w:eastAsia="es-ES" w:bidi="es-ES"/>
              </w:rPr>
              <w:t xml:space="preserve">, no podrá celebrar tales </w:t>
            </w:r>
            <w:r w:rsidRPr="0064722F">
              <w:rPr>
                <w:rFonts w:ascii="Verdana" w:eastAsia="Arial" w:hAnsi="Verdana" w:cs="Arial"/>
                <w:bCs/>
                <w:i/>
                <w:iCs/>
                <w:lang w:val="es-MX" w:eastAsia="es-ES" w:bidi="es-ES"/>
              </w:rPr>
              <w:t>convenios</w:t>
            </w:r>
            <w:r>
              <w:rPr>
                <w:rFonts w:ascii="Verdana" w:eastAsia="Arial" w:hAnsi="Verdana" w:cs="Arial"/>
                <w:bCs/>
                <w:i/>
                <w:iCs/>
                <w:lang w:val="es-MX" w:eastAsia="es-ES" w:bidi="es-ES"/>
              </w:rPr>
              <w:t xml:space="preserve"> para la ejecución de recursos del Sistema General de Regalías</w:t>
            </w:r>
            <w:r w:rsidRPr="0064722F">
              <w:rPr>
                <w:rFonts w:ascii="Verdana" w:eastAsia="Arial" w:hAnsi="Verdana" w:cs="Arial"/>
                <w:bCs/>
                <w:lang w:val="es-MX" w:eastAsia="es-ES" w:bidi="es-ES"/>
              </w:rPr>
              <w:t xml:space="preserve"> durante la aplicación de la Ley de Garantías Electorales, toda vez que la citada disposición se refiere a dicha tipología contractual sin que el legislador hubiere c</w:t>
            </w:r>
            <w:r>
              <w:rPr>
                <w:rFonts w:ascii="Verdana" w:eastAsia="Arial" w:hAnsi="Verdana" w:cs="Arial"/>
                <w:bCs/>
                <w:lang w:val="es-MX" w:eastAsia="es-ES" w:bidi="es-ES"/>
              </w:rPr>
              <w:t>ontemplado excepciones a esta</w:t>
            </w:r>
            <w:r w:rsidRPr="0064722F">
              <w:rPr>
                <w:rFonts w:ascii="Verdana" w:eastAsia="Arial" w:hAnsi="Verdana" w:cs="Arial"/>
                <w:bCs/>
                <w:lang w:val="es-MX" w:eastAsia="es-ES" w:bidi="es-ES"/>
              </w:rPr>
              <w:t xml:space="preserve">. </w:t>
            </w:r>
          </w:p>
          <w:p w14:paraId="2E2C018E" w14:textId="77777777" w:rsidR="0079105E" w:rsidRDefault="0079105E" w:rsidP="00223A48">
            <w:pPr>
              <w:spacing w:after="120" w:line="276" w:lineRule="auto"/>
              <w:ind w:firstLine="709"/>
              <w:jc w:val="both"/>
              <w:rPr>
                <w:rFonts w:ascii="Verdana" w:eastAsia="Arial" w:hAnsi="Verdana" w:cs="Arial"/>
                <w:bCs/>
                <w:lang w:eastAsia="es-ES" w:bidi="es-ES"/>
              </w:rPr>
            </w:pPr>
            <w:r>
              <w:rPr>
                <w:rFonts w:ascii="Verdana" w:eastAsia="Arial" w:hAnsi="Verdana" w:cs="Arial"/>
                <w:bCs/>
                <w:lang w:val="es-MX" w:eastAsia="es-ES" w:bidi="es-ES"/>
              </w:rPr>
              <w:t>Es importante precisar, como se expuso en las razones de la respuesta</w:t>
            </w:r>
            <w:r w:rsidRPr="00FF6BC9">
              <w:rPr>
                <w:rFonts w:ascii="Verdana" w:eastAsia="Arial" w:hAnsi="Verdana" w:cs="Arial"/>
                <w:bCs/>
                <w:lang w:val="es-MX" w:eastAsia="es-ES" w:bidi="es-ES"/>
              </w:rPr>
              <w:t xml:space="preserve">, para esta Agencia tal restricción también </w:t>
            </w:r>
            <w:r>
              <w:rPr>
                <w:rFonts w:ascii="Verdana" w:eastAsia="Arial" w:hAnsi="Verdana" w:cs="Arial"/>
                <w:bCs/>
                <w:lang w:val="es-MX" w:eastAsia="es-ES" w:bidi="es-ES"/>
              </w:rPr>
              <w:t xml:space="preserve">aplicaría </w:t>
            </w:r>
            <w:r w:rsidRPr="00FF6BC9">
              <w:rPr>
                <w:rFonts w:ascii="Verdana" w:eastAsia="Arial" w:hAnsi="Verdana" w:cs="Arial"/>
                <w:bCs/>
                <w:lang w:val="es-MX" w:eastAsia="es-ES" w:bidi="es-ES"/>
              </w:rPr>
              <w:t>a los</w:t>
            </w:r>
            <w:r>
              <w:rPr>
                <w:rFonts w:ascii="Verdana" w:eastAsia="Arial" w:hAnsi="Verdana" w:cs="Arial"/>
                <w:bCs/>
                <w:lang w:val="es-MX" w:eastAsia="es-ES" w:bidi="es-ES"/>
              </w:rPr>
              <w:t xml:space="preserve"> contratos interadministrativos. </w:t>
            </w:r>
            <w:r w:rsidRPr="00982D5D">
              <w:rPr>
                <w:rFonts w:ascii="Verdana" w:eastAsia="Arial" w:hAnsi="Verdana" w:cs="Arial"/>
                <w:bCs/>
                <w:lang w:eastAsia="es-ES" w:bidi="es-ES"/>
              </w:rPr>
              <w:t>A juicio de la Entidad, excluir los contratos interadministrativos del alcance de la Ley de Garantías Electorales desvirtúa el objetivo esencial de la norma: prevenir el uso indebido de recursos públicos en campañas políticas, evitando ventajas injustificadas o apoyos indebidos mediante convenios o contratos, que comparten propósito y c</w:t>
            </w:r>
            <w:r>
              <w:rPr>
                <w:rFonts w:ascii="Verdana" w:eastAsia="Arial" w:hAnsi="Verdana" w:cs="Arial"/>
                <w:bCs/>
                <w:lang w:eastAsia="es-ES" w:bidi="es-ES"/>
              </w:rPr>
              <w:t xml:space="preserve">onnotación en dicho marco legal. </w:t>
            </w:r>
          </w:p>
          <w:p w14:paraId="69447F9F" w14:textId="77777777" w:rsidR="0079105E" w:rsidRPr="00F62736" w:rsidRDefault="0079105E" w:rsidP="00223A48">
            <w:pPr>
              <w:spacing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tc>
      </w:tr>
    </w:tbl>
    <w:p w14:paraId="66ABE7B4" w14:textId="1C9BD4C4" w:rsidR="0079105E" w:rsidRDefault="0079105E" w:rsidP="0079105E">
      <w:pPr>
        <w:spacing w:after="0" w:line="276" w:lineRule="auto"/>
        <w:jc w:val="both"/>
        <w:rPr>
          <w:rFonts w:ascii="Verdana" w:eastAsia="Calibri" w:hAnsi="Verdana" w:cs="Arial"/>
          <w:bCs/>
          <w:color w:val="000000" w:themeColor="text1"/>
        </w:rPr>
      </w:pPr>
    </w:p>
    <w:p w14:paraId="213E3374" w14:textId="77777777" w:rsidR="0079105E" w:rsidRPr="00A12CB6" w:rsidRDefault="0079105E" w:rsidP="0079105E">
      <w:pPr>
        <w:spacing w:after="0" w:line="276" w:lineRule="auto"/>
        <w:jc w:val="both"/>
        <w:rPr>
          <w:rFonts w:ascii="Verdana" w:eastAsia="Calibri" w:hAnsi="Verdana" w:cs="Arial"/>
          <w:bCs/>
          <w:color w:val="000000" w:themeColor="text1"/>
        </w:rPr>
      </w:pPr>
    </w:p>
    <w:p w14:paraId="6BE4DEF9" w14:textId="77777777" w:rsidR="0079105E" w:rsidRPr="0093558D" w:rsidRDefault="0079105E" w:rsidP="0079105E">
      <w:pPr>
        <w:numPr>
          <w:ilvl w:val="0"/>
          <w:numId w:val="19"/>
        </w:numPr>
        <w:tabs>
          <w:tab w:val="left" w:pos="2268"/>
        </w:tabs>
        <w:spacing w:after="0" w:line="276" w:lineRule="auto"/>
        <w:rPr>
          <w:rFonts w:ascii="Verdana" w:eastAsia="Calibri" w:hAnsi="Verdana" w:cs="Times New Roman"/>
          <w:b/>
          <w:bCs/>
          <w:lang w:val="es-ES"/>
        </w:rPr>
      </w:pPr>
      <w:r w:rsidRPr="134495F9">
        <w:rPr>
          <w:rFonts w:ascii="Verdana" w:eastAsia="Calibri" w:hAnsi="Verdana" w:cs="Times New Roman"/>
          <w:b/>
          <w:bCs/>
          <w:lang w:val="es-ES"/>
        </w:rPr>
        <w:lastRenderedPageBreak/>
        <w:t>Razones de la respuesta:</w:t>
      </w:r>
    </w:p>
    <w:p w14:paraId="464AD697" w14:textId="77777777" w:rsidR="0079105E" w:rsidRPr="00A12CB6" w:rsidRDefault="0079105E" w:rsidP="0079105E">
      <w:pPr>
        <w:spacing w:after="0" w:line="276" w:lineRule="auto"/>
        <w:rPr>
          <w:rFonts w:ascii="Verdana" w:eastAsia="Calibri" w:hAnsi="Verdana" w:cs="Times New Roman"/>
          <w:b/>
          <w:bCs/>
          <w:lang w:val="es-ES"/>
        </w:rPr>
      </w:pPr>
    </w:p>
    <w:p w14:paraId="40173A7E" w14:textId="77777777" w:rsidR="0079105E" w:rsidRPr="00A12CB6" w:rsidRDefault="0079105E" w:rsidP="0079105E">
      <w:pPr>
        <w:spacing w:after="0" w:line="276" w:lineRule="auto"/>
        <w:jc w:val="both"/>
        <w:rPr>
          <w:rFonts w:ascii="Verdana" w:eastAsia="Calibri" w:hAnsi="Verdana" w:cs="Arial"/>
          <w:lang w:val="es-ES"/>
        </w:rPr>
      </w:pPr>
      <w:r w:rsidRPr="00A12CB6">
        <w:rPr>
          <w:rFonts w:ascii="Verdana" w:eastAsia="Calibri" w:hAnsi="Verdana" w:cs="Arial"/>
          <w:lang w:val="es-ES"/>
        </w:rPr>
        <w:t xml:space="preserve">Lo anterior se sustenta en las siguientes consideraciones: </w:t>
      </w:r>
    </w:p>
    <w:p w14:paraId="562BD33B" w14:textId="77777777" w:rsidR="0079105E" w:rsidRPr="00E2397D" w:rsidRDefault="0079105E" w:rsidP="0079105E">
      <w:pPr>
        <w:spacing w:after="0" w:line="276" w:lineRule="auto"/>
        <w:jc w:val="both"/>
        <w:rPr>
          <w:rFonts w:ascii="Verdana" w:eastAsia="Calibri" w:hAnsi="Verdana" w:cs="Arial"/>
          <w:color w:val="000000" w:themeColor="text1"/>
        </w:rPr>
      </w:pPr>
    </w:p>
    <w:p w14:paraId="6A536801" w14:textId="77777777" w:rsidR="0079105E" w:rsidRPr="002D6B43" w:rsidRDefault="0079105E" w:rsidP="0079105E">
      <w:pPr>
        <w:tabs>
          <w:tab w:val="left" w:pos="426"/>
        </w:tabs>
        <w:spacing w:after="120" w:line="276" w:lineRule="auto"/>
        <w:jc w:val="both"/>
        <w:rPr>
          <w:rFonts w:ascii="Verdana" w:eastAsia="Times New Roman" w:hAnsi="Verdana" w:cs="Arial"/>
          <w:lang w:eastAsia="es-CO"/>
        </w:rPr>
      </w:pPr>
      <w:r w:rsidRPr="002D6B43">
        <w:rPr>
          <w:rFonts w:ascii="Verdana" w:eastAsia="Calibri" w:hAnsi="Verdana" w:cs="Arial"/>
        </w:rPr>
        <w:t>i. El ordenamiento jurídico colombiano contempla previsiones claras para evitar la obtención de beneficios personales en asuntos propios de la administración pública</w:t>
      </w:r>
      <w:r w:rsidRPr="002D6B43">
        <w:rPr>
          <w:rFonts w:ascii="Verdana" w:eastAsia="Calibri" w:hAnsi="Verdana" w:cs="Arial"/>
          <w:i/>
        </w:rPr>
        <w:t xml:space="preserve">. </w:t>
      </w:r>
      <w:r w:rsidRPr="002D6B43">
        <w:rPr>
          <w:rFonts w:ascii="Verdana" w:eastAsia="Calibri" w:hAnsi="Verdana" w:cs="Arial"/>
        </w:rPr>
        <w:t>Por ejemplo, el artículo 127 de la Constitución Política establece una prohibición contractual a los servidores públicos y, en cuanto a aspectos políticos, establece restricciones a ciertos empleados del Estado, incluso en época no electoral</w:t>
      </w:r>
      <w:r w:rsidRPr="001924B7">
        <w:rPr>
          <w:rFonts w:ascii="Verdana" w:hAnsi="Verdana"/>
          <w:vertAlign w:val="superscript"/>
        </w:rPr>
        <w:footnoteReference w:id="2"/>
      </w:r>
      <w:r w:rsidRPr="002D6B43">
        <w:rPr>
          <w:rFonts w:ascii="Verdana" w:eastAsia="Calibri" w:hAnsi="Verdana" w:cs="Arial"/>
        </w:rPr>
        <w:t xml:space="preserve">. </w:t>
      </w:r>
    </w:p>
    <w:p w14:paraId="1CC9EBF2" w14:textId="77777777" w:rsidR="0079105E" w:rsidRPr="006B14B5" w:rsidRDefault="0079105E" w:rsidP="0079105E">
      <w:pPr>
        <w:tabs>
          <w:tab w:val="left" w:pos="426"/>
        </w:tabs>
        <w:spacing w:after="0" w:line="276" w:lineRule="auto"/>
        <w:ind w:firstLine="709"/>
        <w:jc w:val="both"/>
        <w:rPr>
          <w:rFonts w:ascii="Verdana" w:eastAsia="Calibri" w:hAnsi="Verdana" w:cs="Arial"/>
          <w:lang w:val="es-ES_tradnl"/>
        </w:rPr>
      </w:pPr>
      <w:r w:rsidRPr="00E2397D">
        <w:rPr>
          <w:rFonts w:ascii="Verdana" w:eastAsia="Times New Roman" w:hAnsi="Verdana" w:cs="Arial"/>
          <w:lang w:eastAsia="es-CO"/>
        </w:rPr>
        <w:t>En el mismo sentido</w:t>
      </w:r>
      <w:r w:rsidRPr="00E2397D">
        <w:rPr>
          <w:rFonts w:ascii="Verdana" w:eastAsia="Times New Roman" w:hAnsi="Verdana" w:cs="Arial"/>
          <w:lang w:val="es-MX" w:eastAsia="es-CO"/>
        </w:rPr>
        <w:t xml:space="preserve">, </w:t>
      </w:r>
      <w:bookmarkStart w:id="1" w:name="_Hlk99576829"/>
      <w:r w:rsidRPr="00E2397D">
        <w:rPr>
          <w:rFonts w:ascii="Verdana" w:eastAsia="Times New Roman" w:hAnsi="Verdana" w:cs="Arial"/>
          <w:lang w:val="es-MX" w:eastAsia="es-CO"/>
        </w:rPr>
        <w:t>la Ley 996 de 2005, conocida como “Ley de Garantías Electorales”, se suma al andamiaje de orden constitucional y legal que se ha ocupado de evitar la injerencia inadecuada de intereses particulares en el ejercicio de la función pública. Esta Ley tiene como propósito evitar cualquier tipo de arbitrariedad, de ventaja injustificada, de uso irregular de los recursos del Estado en las campañas o falta de garantías en la elección presidencial</w:t>
      </w:r>
      <w:r w:rsidRPr="00E2397D">
        <w:rPr>
          <w:rFonts w:ascii="Verdana" w:eastAsia="Times New Roman" w:hAnsi="Verdana" w:cs="Arial"/>
          <w:vertAlign w:val="superscript"/>
          <w:lang w:val="es-MX" w:eastAsia="es-CO"/>
        </w:rPr>
        <w:footnoteReference w:id="3"/>
      </w:r>
      <w:r w:rsidRPr="00E2397D">
        <w:rPr>
          <w:rFonts w:ascii="Verdana" w:eastAsia="Times New Roman" w:hAnsi="Verdana" w:cs="Arial"/>
          <w:lang w:val="es-MX" w:eastAsia="es-CO"/>
        </w:rPr>
        <w:t>. En esta medida, introduce limitaciones para realizar nombramientos, postulaciones, contrataciones o cualquier otro tipo de actividad que implique destinación de recursos públicos bajo el devenir propio de las Entidades Estatales.</w:t>
      </w:r>
      <w:r w:rsidRPr="00E2397D">
        <w:rPr>
          <w:rFonts w:ascii="Verdana" w:eastAsia="Calibri" w:hAnsi="Verdana" w:cs="Arial"/>
          <w:lang w:val="es-ES_tradnl"/>
        </w:rPr>
        <w:t xml:space="preserve"> </w:t>
      </w:r>
      <w:bookmarkEnd w:id="1"/>
      <w:r w:rsidRPr="00E2397D">
        <w:rPr>
          <w:rFonts w:ascii="Verdana" w:eastAsia="Times New Roman" w:hAnsi="Verdana" w:cs="Arial"/>
          <w:lang w:val="es-MX" w:eastAsia="es-CO"/>
        </w:rPr>
        <w:t>En armonía con lo anterior, la Corte Constitucional ha abordado la definición de la Ley de Garantías Electorales. De esta manera, explica que tiene como propósito:</w:t>
      </w:r>
    </w:p>
    <w:p w14:paraId="096D66E1" w14:textId="77777777" w:rsidR="0079105E" w:rsidRPr="00E2397D" w:rsidRDefault="0079105E" w:rsidP="0079105E">
      <w:pPr>
        <w:spacing w:after="0" w:line="276" w:lineRule="auto"/>
        <w:ind w:right="709"/>
        <w:contextualSpacing/>
        <w:jc w:val="both"/>
        <w:rPr>
          <w:rFonts w:ascii="Verdana" w:eastAsia="Times New Roman" w:hAnsi="Verdana" w:cs="Arial"/>
          <w:lang w:val="es-ES" w:eastAsia="es-CO"/>
        </w:rPr>
      </w:pPr>
    </w:p>
    <w:p w14:paraId="45106F8C" w14:textId="77777777" w:rsidR="0079105E" w:rsidRPr="00E2397D" w:rsidRDefault="0079105E" w:rsidP="007910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ES" w:eastAsia="es-CO"/>
        </w:rPr>
        <w:t xml:space="preserve">“[…] </w:t>
      </w:r>
      <w:r w:rsidRPr="00E2397D">
        <w:rPr>
          <w:rFonts w:ascii="Verdana" w:eastAsia="Times New Roman" w:hAnsi="Verdana" w:cs="Arial"/>
          <w:sz w:val="20"/>
          <w:szCs w:val="20"/>
          <w:lang w:val="es-MX" w:eastAsia="es-CO"/>
        </w:rPr>
        <w:t>la definición de reglas claras que permitan acceder a los canales de expresión democrática de manera efectiva e igualitaria. El objetivo de una ley de garantías es definir esas reglas.</w:t>
      </w:r>
    </w:p>
    <w:p w14:paraId="22943556" w14:textId="77777777" w:rsidR="0079105E" w:rsidRPr="00E2397D" w:rsidRDefault="0079105E" w:rsidP="0079105E">
      <w:pPr>
        <w:spacing w:after="0" w:line="240" w:lineRule="auto"/>
        <w:ind w:left="709" w:right="709"/>
        <w:contextualSpacing/>
        <w:jc w:val="both"/>
        <w:rPr>
          <w:rFonts w:ascii="Verdana" w:eastAsia="Times New Roman" w:hAnsi="Verdana" w:cs="Arial"/>
          <w:sz w:val="20"/>
          <w:szCs w:val="20"/>
          <w:lang w:val="es-MX" w:eastAsia="es-CO"/>
        </w:rPr>
      </w:pPr>
      <w:r>
        <w:rPr>
          <w:rFonts w:ascii="Verdana" w:eastAsia="Times New Roman" w:hAnsi="Verdana" w:cs="Arial"/>
          <w:sz w:val="20"/>
          <w:szCs w:val="20"/>
          <w:lang w:val="es-MX" w:eastAsia="es-CO"/>
        </w:rPr>
        <w:t xml:space="preserve">[…] </w:t>
      </w:r>
    </w:p>
    <w:p w14:paraId="2ACEF82A" w14:textId="77777777" w:rsidR="0079105E" w:rsidRPr="00E2397D" w:rsidRDefault="0079105E" w:rsidP="007910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Una ley de garantías electorales es una guía para el ejercicio equitativo y transparente de la democracia representativa. Un estatuto diseñado para asegurar que la contienda democrática se cumpla en condiciones igualitarias y transparentes para a los electores. Una ley de garantías busca afianzar la neutralidad de los servidores públicos que organizan y supervisan las disputas electorales, e intenta garantizar el acceso igualitario a los canales de comunicación de los candidatos. Igualmente, </w:t>
      </w:r>
      <w:r w:rsidRPr="00E2397D">
        <w:rPr>
          <w:rFonts w:ascii="Verdana" w:eastAsia="Times New Roman" w:hAnsi="Verdana" w:cs="Arial"/>
          <w:sz w:val="20"/>
          <w:szCs w:val="20"/>
          <w:lang w:val="es-MX" w:eastAsia="es-CO"/>
        </w:rPr>
        <w:lastRenderedPageBreak/>
        <w:t>una ley de garantías debe permitir que, en el debate democrático, sean las ideas y las propuestas las que definan el ascenso al poder, y no el músculo económico de los que se lo disputan”.</w:t>
      </w:r>
      <w:r w:rsidRPr="00E2397D">
        <w:rPr>
          <w:rFonts w:ascii="Verdana" w:eastAsia="Calibri" w:hAnsi="Verdana" w:cs="Arial"/>
          <w:sz w:val="20"/>
          <w:szCs w:val="20"/>
          <w:vertAlign w:val="superscript"/>
          <w:lang w:val="es-MX"/>
        </w:rPr>
        <w:footnoteReference w:id="4"/>
      </w:r>
    </w:p>
    <w:p w14:paraId="61132784" w14:textId="77777777" w:rsidR="0079105E" w:rsidRPr="00E2397D" w:rsidRDefault="0079105E" w:rsidP="0079105E">
      <w:pPr>
        <w:spacing w:after="0" w:line="276" w:lineRule="auto"/>
        <w:ind w:firstLine="709"/>
        <w:jc w:val="both"/>
        <w:rPr>
          <w:rFonts w:ascii="Verdana" w:eastAsia="Times New Roman" w:hAnsi="Verdana" w:cs="Arial"/>
          <w:lang w:val="es-MX" w:eastAsia="es-CO"/>
        </w:rPr>
      </w:pPr>
      <w:bookmarkStart w:id="2" w:name="_Hlk78818186"/>
    </w:p>
    <w:p w14:paraId="36DFDF00" w14:textId="77777777" w:rsidR="0079105E" w:rsidRPr="00E2397D" w:rsidRDefault="0079105E" w:rsidP="0079105E">
      <w:pPr>
        <w:spacing w:after="0" w:line="276" w:lineRule="auto"/>
        <w:ind w:firstLine="709"/>
        <w:jc w:val="both"/>
        <w:rPr>
          <w:rFonts w:ascii="Verdana" w:eastAsia="Times New Roman" w:hAnsi="Verdana" w:cs="Arial"/>
          <w:lang w:val="es-MX" w:eastAsia="es-CO"/>
        </w:rPr>
      </w:pPr>
      <w:r w:rsidRPr="00E2397D">
        <w:rPr>
          <w:rFonts w:ascii="Verdana" w:eastAsia="Times New Roman" w:hAnsi="Verdana" w:cs="Arial"/>
          <w:lang w:val="es-MX" w:eastAsia="es-CO"/>
        </w:rPr>
        <w:t>En este contexto, la Ley de Garantías Electorales establece el marco jurídico para el desarrollo de las elecciones, procurando condiciones de igualdad y transparencia para los aspirantes. Paralelamente,</w:t>
      </w:r>
      <w:r>
        <w:rPr>
          <w:rFonts w:ascii="Verdana" w:eastAsia="Times New Roman" w:hAnsi="Verdana" w:cs="Arial"/>
          <w:lang w:val="es-MX" w:eastAsia="es-CO"/>
        </w:rPr>
        <w:t xml:space="preserve"> se incluyen restricciones en las actuaciones</w:t>
      </w:r>
      <w:r w:rsidRPr="00E2397D">
        <w:rPr>
          <w:rFonts w:ascii="Verdana" w:eastAsia="Times New Roman" w:hAnsi="Verdana" w:cs="Arial"/>
          <w:lang w:val="es-MX" w:eastAsia="es-CO"/>
        </w:rPr>
        <w:t xml:space="preserve"> de los servidores públicos, evitando interferencias en la contienda electoral, así como la posible desviación de recursos públicos en aspiraciones electorales. </w:t>
      </w:r>
      <w:bookmarkEnd w:id="2"/>
      <w:r w:rsidRPr="00E2397D">
        <w:rPr>
          <w:rFonts w:ascii="Verdana" w:eastAsia="Times New Roman" w:hAnsi="Verdana" w:cs="Arial"/>
          <w:lang w:val="es-MX" w:eastAsia="es-CO"/>
        </w:rPr>
        <w:t>Por ello, varias de las disposiciones de la Ley 996 de 2005, al contener normas prohibitivas, no admiten una interpretación amplia, sino que deben interpretarse restrictivamente. En efecto, la Sala de Consulta y Servicio Civil del Consejo de Estado, pre</w:t>
      </w:r>
      <w:r>
        <w:rPr>
          <w:rFonts w:ascii="Verdana" w:eastAsia="Times New Roman" w:hAnsi="Verdana" w:cs="Arial"/>
          <w:lang w:val="es-MX" w:eastAsia="es-CO"/>
        </w:rPr>
        <w:t>cisó</w:t>
      </w:r>
      <w:r w:rsidRPr="00E2397D">
        <w:rPr>
          <w:rFonts w:ascii="Verdana" w:eastAsia="Times New Roman" w:hAnsi="Verdana" w:cs="Arial"/>
          <w:lang w:val="es-MX" w:eastAsia="es-CO"/>
        </w:rPr>
        <w:t>:</w:t>
      </w:r>
    </w:p>
    <w:p w14:paraId="457AD9FE" w14:textId="77777777" w:rsidR="0079105E" w:rsidRPr="00886C02" w:rsidRDefault="0079105E" w:rsidP="0079105E">
      <w:pPr>
        <w:spacing w:after="0" w:line="276" w:lineRule="auto"/>
        <w:ind w:firstLine="709"/>
        <w:jc w:val="both"/>
        <w:rPr>
          <w:rFonts w:ascii="Verdana" w:eastAsia="Times New Roman" w:hAnsi="Verdana" w:cs="Arial"/>
          <w:lang w:val="es-MX" w:eastAsia="es-CO"/>
        </w:rPr>
      </w:pPr>
    </w:p>
    <w:p w14:paraId="1509BAB2" w14:textId="77777777" w:rsidR="0079105E" w:rsidRPr="00E2397D" w:rsidRDefault="0079105E" w:rsidP="007910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 xml:space="preserve">“No está de más recordar que las prohibiciones, en tanto limitan la libertad y los derechos de las personas, son de origen constitucional y legal; la tipificación de sus causas, vigencia, naturaleza y efectos es rígida y taxativa; y su aplicación es restrictiva, de manera que excluye la analogía </w:t>
      </w:r>
      <w:proofErr w:type="spellStart"/>
      <w:r w:rsidRPr="00E2397D">
        <w:rPr>
          <w:rFonts w:ascii="Verdana" w:eastAsia="Times New Roman" w:hAnsi="Verdana" w:cs="Arial"/>
          <w:sz w:val="20"/>
          <w:szCs w:val="20"/>
          <w:lang w:val="es-MX" w:eastAsia="es-CO"/>
        </w:rPr>
        <w:t>legis</w:t>
      </w:r>
      <w:proofErr w:type="spellEnd"/>
      <w:r w:rsidRPr="00E2397D">
        <w:rPr>
          <w:rFonts w:ascii="Verdana" w:eastAsia="Times New Roman" w:hAnsi="Verdana" w:cs="Arial"/>
          <w:sz w:val="20"/>
          <w:szCs w:val="20"/>
          <w:lang w:val="es-MX" w:eastAsia="es-CO"/>
        </w:rPr>
        <w:t xml:space="preserve"> o iuris y la interpretación extensiva. Las normas legales de contenido prohibitivo hacen parte de un conjunto de disposiciones que integran un régimen jurídico imperativo y de orden público, razón por la cual no son disponibles ni pueden ser derogadas, modificadas, ampliadas o adicionadas por acuerdo o convenio o acto unilateral.</w:t>
      </w:r>
    </w:p>
    <w:p w14:paraId="314BF4D7" w14:textId="77777777" w:rsidR="0079105E" w:rsidRPr="00E2397D" w:rsidRDefault="0079105E" w:rsidP="0079105E">
      <w:pPr>
        <w:spacing w:after="0" w:line="240" w:lineRule="auto"/>
        <w:ind w:right="709"/>
        <w:contextualSpacing/>
        <w:jc w:val="both"/>
        <w:rPr>
          <w:rFonts w:ascii="Verdana" w:eastAsia="Times New Roman" w:hAnsi="Verdana" w:cs="Arial"/>
          <w:lang w:val="es-MX" w:eastAsia="es-CO"/>
        </w:rPr>
      </w:pPr>
    </w:p>
    <w:p w14:paraId="49FC9C18" w14:textId="77777777" w:rsidR="0079105E" w:rsidRPr="00E2397D" w:rsidRDefault="0079105E" w:rsidP="0079105E">
      <w:pPr>
        <w:spacing w:after="0" w:line="240" w:lineRule="auto"/>
        <w:ind w:left="709" w:right="709"/>
        <w:contextualSpacing/>
        <w:jc w:val="both"/>
        <w:rPr>
          <w:rFonts w:ascii="Verdana" w:eastAsia="Times New Roman" w:hAnsi="Verdana" w:cs="Arial"/>
          <w:sz w:val="20"/>
          <w:szCs w:val="20"/>
          <w:lang w:val="es-MX" w:eastAsia="es-CO"/>
        </w:rPr>
      </w:pPr>
      <w:r w:rsidRPr="00E2397D">
        <w:rPr>
          <w:rFonts w:ascii="Verdana" w:eastAsia="Times New Roman" w:hAnsi="Verdana" w:cs="Arial"/>
          <w:sz w:val="20"/>
          <w:szCs w:val="20"/>
          <w:lang w:val="es-MX" w:eastAsia="es-CO"/>
        </w:rPr>
        <w:t>La jurisprudencia de la Corte Constitucional</w:t>
      </w:r>
      <w:r w:rsidRPr="00E2397D">
        <w:rPr>
          <w:rFonts w:ascii="Verdana" w:eastAsia="Times New Roman" w:hAnsi="Verdana" w:cs="Arial"/>
          <w:sz w:val="20"/>
          <w:szCs w:val="20"/>
          <w:vertAlign w:val="superscript"/>
          <w:lang w:val="es-MX" w:eastAsia="es-CO"/>
        </w:rPr>
        <w:footnoteReference w:id="5"/>
      </w:r>
      <w:r w:rsidRPr="00E2397D">
        <w:rPr>
          <w:rFonts w:ascii="Verdana" w:eastAsia="Times New Roman" w:hAnsi="Verdana" w:cs="Arial"/>
          <w:sz w:val="20"/>
          <w:szCs w:val="20"/>
          <w:lang w:val="es-MX" w:eastAsia="es-CO"/>
        </w:rPr>
        <w:t> y del Consejo de Estado</w:t>
      </w:r>
      <w:r w:rsidRPr="00E2397D">
        <w:rPr>
          <w:rFonts w:ascii="Verdana" w:eastAsia="Times New Roman" w:hAnsi="Verdana" w:cs="Arial"/>
          <w:sz w:val="20"/>
          <w:szCs w:val="20"/>
          <w:vertAlign w:val="superscript"/>
          <w:lang w:val="es-MX" w:eastAsia="es-CO"/>
        </w:rPr>
        <w:footnoteReference w:id="6"/>
      </w:r>
      <w:r w:rsidRPr="00E2397D">
        <w:rPr>
          <w:rFonts w:ascii="Verdana" w:eastAsia="Times New Roman" w:hAnsi="Verdana" w:cs="Arial"/>
          <w:sz w:val="20"/>
          <w:szCs w:val="20"/>
          <w:lang w:val="es-MX" w:eastAsia="es-CO"/>
        </w:rPr>
        <w:t>, coinciden en que las normas que establecen prohibiciones deben estar de manera explícita en la Constitución o en la ley y no podrán ser excesivas ni desproporcionadas. No pueden interpretarse extensivamente sino siempre en forma restrictiva o estricta; es decir, en la aplicación de las normas prohibitivas, el intérprete solamente habrá de tener en cuenta lo que en ellas expresamente se menciona y, por tanto, no le es permitido ampliar el natural y obvio alcance de los supuestos que contemplan, pues como entrañan una limitación -así fuere justificada- a la libertad de actuar o capacidad de obrar, sobrepasar sus precisos términos comporta el desconocimiento de la voluntad del legislador”</w:t>
      </w:r>
      <w:r w:rsidRPr="00E2397D">
        <w:rPr>
          <w:rFonts w:ascii="Verdana" w:eastAsia="Times New Roman" w:hAnsi="Verdana" w:cs="Arial"/>
          <w:sz w:val="20"/>
          <w:szCs w:val="20"/>
          <w:vertAlign w:val="superscript"/>
          <w:lang w:val="es-MX" w:eastAsia="es-CO"/>
        </w:rPr>
        <w:footnoteReference w:id="7"/>
      </w:r>
      <w:r w:rsidRPr="00E2397D">
        <w:rPr>
          <w:rFonts w:ascii="Verdana" w:eastAsia="Times New Roman" w:hAnsi="Verdana" w:cs="Arial"/>
          <w:sz w:val="20"/>
          <w:szCs w:val="20"/>
          <w:lang w:val="es-MX" w:eastAsia="es-CO"/>
        </w:rPr>
        <w:t>.</w:t>
      </w:r>
    </w:p>
    <w:p w14:paraId="7AFD2333" w14:textId="77777777" w:rsidR="0079105E" w:rsidRPr="00E2397D" w:rsidRDefault="0079105E" w:rsidP="0079105E">
      <w:pPr>
        <w:spacing w:after="0" w:line="276" w:lineRule="auto"/>
        <w:jc w:val="both"/>
        <w:rPr>
          <w:rFonts w:ascii="Verdana" w:eastAsia="Calibri" w:hAnsi="Verdana" w:cs="Arial"/>
          <w:bCs/>
          <w:lang w:val="es-ES_tradnl"/>
        </w:rPr>
      </w:pPr>
    </w:p>
    <w:p w14:paraId="5C3C5D9A" w14:textId="77777777" w:rsidR="0079105E" w:rsidRDefault="0079105E" w:rsidP="0079105E">
      <w:pPr>
        <w:spacing w:after="0" w:line="276" w:lineRule="auto"/>
        <w:ind w:firstLine="709"/>
        <w:jc w:val="both"/>
        <w:rPr>
          <w:rFonts w:ascii="Verdana" w:eastAsia="Arial" w:hAnsi="Verdana" w:cs="Arial"/>
          <w:lang w:val="es-ES" w:eastAsia="es-ES" w:bidi="es-ES"/>
        </w:rPr>
      </w:pPr>
      <w:r w:rsidRPr="00E2397D">
        <w:rPr>
          <w:rFonts w:ascii="Verdana" w:eastAsia="Times New Roman" w:hAnsi="Verdana" w:cs="Arial"/>
          <w:lang w:val="es-MX" w:eastAsia="es-CO"/>
        </w:rPr>
        <w:lastRenderedPageBreak/>
        <w:t>De</w:t>
      </w:r>
      <w:r w:rsidRPr="00E2397D">
        <w:rPr>
          <w:rFonts w:ascii="Verdana" w:eastAsia="Arial" w:hAnsi="Verdana" w:cs="Arial"/>
          <w:lang w:val="es-ES" w:eastAsia="es-ES" w:bidi="es-ES"/>
        </w:rPr>
        <w:t xml:space="preserve"> conformidad con lo anterior, </w:t>
      </w:r>
      <w:bookmarkStart w:id="3" w:name="_Hlk77236098"/>
      <w:bookmarkStart w:id="4" w:name="_Hlk100679383"/>
      <w:r w:rsidRPr="00E2397D">
        <w:rPr>
          <w:rFonts w:ascii="Verdana" w:eastAsia="Arial" w:hAnsi="Verdana" w:cs="Arial"/>
          <w:lang w:val="es-ES" w:eastAsia="es-ES" w:bidi="es-ES"/>
        </w:rPr>
        <w:t>la L</w:t>
      </w:r>
      <w:r>
        <w:rPr>
          <w:rFonts w:ascii="Verdana" w:eastAsia="Arial" w:hAnsi="Verdana" w:cs="Arial"/>
          <w:lang w:val="es-ES" w:eastAsia="es-ES" w:bidi="es-ES"/>
        </w:rPr>
        <w:t>ey de Garantías Electorales estableció</w:t>
      </w:r>
      <w:r w:rsidRPr="00E2397D">
        <w:rPr>
          <w:rFonts w:ascii="Verdana" w:eastAsia="Arial" w:hAnsi="Verdana" w:cs="Arial"/>
          <w:lang w:val="es-ES" w:eastAsia="es-ES" w:bidi="es-ES"/>
        </w:rPr>
        <w:t xml:space="preserve"> una serie de regulaciones y prohibiciones dirigidas a los servidores públicos. Con la finalidad de preservar la igualdad entre los candidatos en las elecciones, aumentó las garantías en materia de contratación, de forma que no exista siquiera sospecha de que, por ese medio, en los periodos previos a la contienda electoral, se altere las condiciones de igualdad entre los candidatos. </w:t>
      </w:r>
    </w:p>
    <w:p w14:paraId="12DFC360" w14:textId="77777777" w:rsidR="0079105E" w:rsidRPr="00E2397D" w:rsidRDefault="0079105E" w:rsidP="0079105E">
      <w:pPr>
        <w:spacing w:after="0" w:line="276" w:lineRule="auto"/>
        <w:ind w:firstLine="709"/>
        <w:jc w:val="both"/>
        <w:rPr>
          <w:rFonts w:ascii="Verdana" w:eastAsia="Arial" w:hAnsi="Verdana" w:cs="Arial"/>
          <w:lang w:val="es-ES" w:eastAsia="es-ES" w:bidi="es-ES"/>
        </w:rPr>
      </w:pPr>
    </w:p>
    <w:p w14:paraId="2D56F8F7" w14:textId="77777777" w:rsidR="0079105E" w:rsidRPr="00E2397D" w:rsidRDefault="0079105E" w:rsidP="0079105E">
      <w:pPr>
        <w:spacing w:after="120" w:line="276" w:lineRule="auto"/>
        <w:jc w:val="both"/>
        <w:rPr>
          <w:rFonts w:ascii="Verdana" w:eastAsia="Arial" w:hAnsi="Verdana" w:cs="Arial"/>
          <w:lang w:val="es-ES" w:eastAsia="es-ES" w:bidi="es-ES"/>
        </w:rPr>
      </w:pPr>
      <w:proofErr w:type="spellStart"/>
      <w:r w:rsidRPr="00E2397D">
        <w:rPr>
          <w:rFonts w:ascii="Verdana" w:eastAsia="Arial" w:hAnsi="Verdana" w:cs="Arial"/>
          <w:lang w:val="es-ES" w:eastAsia="es-ES" w:bidi="es-ES"/>
        </w:rPr>
        <w:t>ii</w:t>
      </w:r>
      <w:proofErr w:type="spellEnd"/>
      <w:r w:rsidRPr="00E2397D">
        <w:rPr>
          <w:rFonts w:ascii="Verdana" w:eastAsia="Arial" w:hAnsi="Verdana" w:cs="Arial"/>
          <w:lang w:val="es-ES" w:eastAsia="es-ES" w:bidi="es-ES"/>
        </w:rPr>
        <w:t>. Precisado el propósito de la Ley, es pertinente señalar que las restricciones consagradas en la citada Ley se dirigen a dos (2) tipos de campañas electorales claramente diferenciadas: las presidenciales y las demás que se adelanten para la elección de los demás cargos de elección popular, tanto a nivel nacional como territorial.</w:t>
      </w:r>
      <w:bookmarkEnd w:id="3"/>
    </w:p>
    <w:p w14:paraId="7C99F351" w14:textId="77777777" w:rsidR="0079105E" w:rsidRPr="00E2397D" w:rsidRDefault="0079105E" w:rsidP="0079105E">
      <w:pPr>
        <w:spacing w:after="120" w:line="276" w:lineRule="auto"/>
        <w:ind w:firstLine="708"/>
        <w:jc w:val="both"/>
        <w:rPr>
          <w:rFonts w:ascii="Verdana" w:eastAsia="Calibri" w:hAnsi="Verdana" w:cs="Arial"/>
        </w:rPr>
      </w:pPr>
      <w:r w:rsidRPr="00E2397D">
        <w:rPr>
          <w:rFonts w:ascii="Verdana" w:eastAsia="Calibri" w:hAnsi="Verdana" w:cs="Arial"/>
        </w:rPr>
        <w:t xml:space="preserve">Por un lado, el </w:t>
      </w:r>
      <w:r w:rsidRPr="00E2397D">
        <w:rPr>
          <w:rFonts w:ascii="Verdana" w:eastAsia="Calibri" w:hAnsi="Verdana" w:cs="Arial"/>
          <w:i/>
          <w:iCs/>
        </w:rPr>
        <w:t>artículo 33 de la Ley 996 de 2005</w:t>
      </w:r>
      <w:r w:rsidRPr="00E2397D">
        <w:rPr>
          <w:rFonts w:ascii="Verdana" w:eastAsia="Calibri" w:hAnsi="Verdana" w:cs="Arial"/>
        </w:rPr>
        <w:t xml:space="preserve"> prohíbe “[…] la contratación directa por parte de todos los entes del Estado” durante los cuatro (4) meses anteriores a las elecciones presidenciales, salvo “[…]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E2397D">
        <w:rPr>
          <w:rFonts w:ascii="Verdana" w:eastAsia="Calibri" w:hAnsi="Verdana" w:cs="Arial"/>
          <w:vertAlign w:val="superscript"/>
        </w:rPr>
        <w:footnoteReference w:id="8"/>
      </w:r>
      <w:r w:rsidRPr="00E2397D">
        <w:rPr>
          <w:rFonts w:ascii="Verdana" w:eastAsia="Calibri" w:hAnsi="Verdana" w:cs="Arial"/>
        </w:rPr>
        <w:t>.</w:t>
      </w:r>
    </w:p>
    <w:p w14:paraId="39187797" w14:textId="77777777" w:rsidR="0079105E" w:rsidRDefault="0079105E" w:rsidP="0079105E">
      <w:pPr>
        <w:widowControl w:val="0"/>
        <w:autoSpaceDE w:val="0"/>
        <w:autoSpaceDN w:val="0"/>
        <w:spacing w:after="120" w:line="276" w:lineRule="auto"/>
        <w:ind w:right="113" w:firstLine="709"/>
        <w:jc w:val="both"/>
        <w:rPr>
          <w:rFonts w:ascii="Verdana" w:eastAsia="Arial" w:hAnsi="Verdana" w:cs="Arial"/>
          <w:lang w:val="es-ES" w:eastAsia="es-ES" w:bidi="es-ES"/>
        </w:rPr>
      </w:pPr>
      <w:r w:rsidRPr="00E2397D">
        <w:rPr>
          <w:rFonts w:ascii="Verdana" w:eastAsia="Calibri" w:hAnsi="Verdana" w:cs="Arial"/>
        </w:rPr>
        <w:t xml:space="preserve">Por otro lado, </w:t>
      </w:r>
      <w:r w:rsidRPr="00E2397D">
        <w:rPr>
          <w:rFonts w:ascii="Verdana" w:eastAsia="Calibri" w:hAnsi="Verdana" w:cs="Arial"/>
          <w:i/>
          <w:iCs/>
        </w:rPr>
        <w:t>el parágrafo del artículo 38 de la Ley 996 de 2005</w:t>
      </w:r>
      <w:r w:rsidRPr="00E2397D">
        <w:rPr>
          <w:rFonts w:ascii="Verdana" w:eastAsia="Calibri" w:hAnsi="Verdana" w:cs="Arial"/>
        </w:rPr>
        <w:t xml:space="preserve"> prevé una restricción, aplicable respecto de cualquier tipo de contienda electoral, que prohíbe a los gobernadores, alcaldes municipales o distritales, secretarios, gerentes y directores de entidades descentralizadas del orden municipal, departamental o distrital “[…] </w:t>
      </w:r>
      <w:r w:rsidRPr="00E2397D">
        <w:rPr>
          <w:rFonts w:ascii="Verdana" w:eastAsia="Calibri" w:hAnsi="Verdana" w:cs="Arial"/>
          <w:lang w:val="es-MX"/>
        </w:rPr>
        <w:t>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E2397D">
        <w:rPr>
          <w:rFonts w:ascii="Verdana" w:eastAsia="Calibri" w:hAnsi="Verdana" w:cs="Arial"/>
        </w:rPr>
        <w:t>”</w:t>
      </w:r>
      <w:bookmarkEnd w:id="4"/>
      <w:r w:rsidRPr="00E2397D">
        <w:rPr>
          <w:rFonts w:ascii="Verdana" w:eastAsia="Calibri" w:hAnsi="Verdana" w:cs="Arial"/>
          <w:vertAlign w:val="superscript"/>
        </w:rPr>
        <w:footnoteReference w:id="9"/>
      </w:r>
      <w:r w:rsidRPr="00E2397D">
        <w:rPr>
          <w:rFonts w:ascii="Verdana" w:eastAsia="Calibri" w:hAnsi="Verdana" w:cs="Arial"/>
          <w:lang w:val="es-MX"/>
        </w:rPr>
        <w:t>.</w:t>
      </w:r>
      <w:r w:rsidRPr="00E2397D">
        <w:rPr>
          <w:rFonts w:ascii="Verdana" w:eastAsia="Arial" w:hAnsi="Verdana" w:cs="Arial"/>
          <w:lang w:val="es-ES" w:eastAsia="es-ES" w:bidi="es-ES"/>
        </w:rPr>
        <w:t xml:space="preserve"> </w:t>
      </w:r>
    </w:p>
    <w:p w14:paraId="7AB0BDC9" w14:textId="77777777" w:rsidR="0079105E" w:rsidRDefault="0079105E" w:rsidP="0079105E">
      <w:pPr>
        <w:spacing w:after="120" w:line="276" w:lineRule="auto"/>
        <w:ind w:firstLine="708"/>
        <w:jc w:val="both"/>
        <w:rPr>
          <w:rFonts w:ascii="Verdana" w:eastAsia="Times New Roman" w:hAnsi="Verdana" w:cs="Arial"/>
          <w:bCs/>
          <w:lang w:eastAsia="es-CO"/>
        </w:rPr>
      </w:pPr>
      <w:r>
        <w:rPr>
          <w:rFonts w:ascii="Verdana" w:eastAsia="Times New Roman" w:hAnsi="Verdana" w:cs="Arial"/>
          <w:bCs/>
          <w:lang w:val="es-MX" w:eastAsia="es-CO"/>
        </w:rPr>
        <w:lastRenderedPageBreak/>
        <w:t>Para entender el momento de aplicación de estas restricciones, es preciso señalar que el vocablo “celebrar” es definido por el Diccionario Panhispánico del Español Jurídico como:</w:t>
      </w:r>
      <w:r w:rsidRPr="00116894">
        <w:rPr>
          <w:rFonts w:ascii="Verdana" w:eastAsia="Times New Roman" w:hAnsi="Verdana" w:cs="Arial"/>
          <w:bCs/>
          <w:lang w:val="es-MX" w:eastAsia="es-CO"/>
        </w:rPr>
        <w:t xml:space="preserve"> “</w:t>
      </w:r>
      <w:r w:rsidRPr="00116894">
        <w:rPr>
          <w:rFonts w:ascii="Verdana" w:eastAsia="Times New Roman" w:hAnsi="Verdana" w:cs="Arial"/>
          <w:bCs/>
          <w:lang w:eastAsia="es-CO"/>
        </w:rPr>
        <w:t>1. </w:t>
      </w:r>
      <w:r w:rsidRPr="00116894">
        <w:rPr>
          <w:rFonts w:ascii="Verdana" w:eastAsia="Times New Roman" w:hAnsi="Verdana" w:cs="Arial"/>
          <w:bCs/>
          <w:i/>
          <w:iCs/>
          <w:lang w:eastAsia="es-CO"/>
        </w:rPr>
        <w:t>Gral.</w:t>
      </w:r>
      <w:r>
        <w:rPr>
          <w:rFonts w:ascii="Verdana" w:eastAsia="Times New Roman" w:hAnsi="Verdana" w:cs="Arial"/>
          <w:bCs/>
          <w:lang w:eastAsia="es-CO"/>
        </w:rPr>
        <w:t xml:space="preserve"> </w:t>
      </w:r>
      <w:r w:rsidRPr="00116894">
        <w:rPr>
          <w:rFonts w:ascii="Verdana" w:eastAsia="Times New Roman" w:hAnsi="Verdana" w:cs="Arial"/>
          <w:bCs/>
          <w:lang w:eastAsia="es-CO"/>
        </w:rPr>
        <w:t>Otorgar o firmar un contrato. 2</w:t>
      </w:r>
      <w:r>
        <w:rPr>
          <w:rFonts w:ascii="Verdana" w:eastAsia="Times New Roman" w:hAnsi="Verdana" w:cs="Arial"/>
          <w:bCs/>
          <w:lang w:eastAsia="es-CO"/>
        </w:rPr>
        <w:t xml:space="preserve">. </w:t>
      </w:r>
      <w:proofErr w:type="spellStart"/>
      <w:r w:rsidRPr="00116894">
        <w:rPr>
          <w:rFonts w:ascii="Verdana" w:eastAsia="Times New Roman" w:hAnsi="Verdana" w:cs="Arial"/>
          <w:bCs/>
          <w:i/>
          <w:iCs/>
          <w:lang w:eastAsia="es-CO"/>
        </w:rPr>
        <w:t>Proc</w:t>
      </w:r>
      <w:proofErr w:type="spellEnd"/>
      <w:r w:rsidRPr="00116894">
        <w:rPr>
          <w:rFonts w:ascii="Verdana" w:eastAsia="Times New Roman" w:hAnsi="Verdana" w:cs="Arial"/>
          <w:bCs/>
          <w:i/>
          <w:iCs/>
          <w:lang w:eastAsia="es-CO"/>
        </w:rPr>
        <w:t>.</w:t>
      </w:r>
      <w:r>
        <w:rPr>
          <w:rFonts w:ascii="Verdana" w:eastAsia="Times New Roman" w:hAnsi="Verdana" w:cs="Arial"/>
          <w:bCs/>
          <w:lang w:eastAsia="es-CO"/>
        </w:rPr>
        <w:t xml:space="preserve"> </w:t>
      </w:r>
      <w:r w:rsidRPr="00116894">
        <w:rPr>
          <w:rFonts w:ascii="Verdana" w:eastAsia="Times New Roman" w:hAnsi="Verdana" w:cs="Arial"/>
          <w:bCs/>
          <w:lang w:eastAsia="es-CO"/>
        </w:rPr>
        <w:t>Realizar los actos procesa</w:t>
      </w:r>
      <w:r>
        <w:rPr>
          <w:rFonts w:ascii="Verdana" w:eastAsia="Times New Roman" w:hAnsi="Verdana" w:cs="Arial"/>
          <w:bCs/>
          <w:lang w:eastAsia="es-CO"/>
        </w:rPr>
        <w:t xml:space="preserve">les propios de un juicio o vista”. Dentro de las dos definiciones, la que se acerca a la expresión “celebrar” en el contexto de la Ley de Garantías Electorales es la primera, esto es, al perfeccionamiento del contrato. </w:t>
      </w:r>
    </w:p>
    <w:p w14:paraId="696DB15E" w14:textId="77777777" w:rsidR="0079105E" w:rsidRDefault="0079105E" w:rsidP="007910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eastAsia="es-CO"/>
        </w:rPr>
        <w:t xml:space="preserve">En efecto, el concepto de celebración en el marco de la contratación estatal se relaciona con el perfeccionamiento, es decir, con los requisitos para que exista un contrato estatal. Al respecto, se destaca que en entidades sometidas al Estatuto General de Contratación de la Administración Pública </w:t>
      </w:r>
      <w:r w:rsidRPr="00447D82">
        <w:rPr>
          <w:rFonts w:ascii="Verdana" w:eastAsia="Times New Roman" w:hAnsi="Verdana" w:cs="Arial"/>
          <w:bCs/>
          <w:lang w:val="es-ES" w:eastAsia="es-CO"/>
        </w:rPr>
        <w:t xml:space="preserve">la existencia de los contratos estatales, es decir, la producción de efectos jurídicos en los términos del artículo 1501 </w:t>
      </w:r>
      <w:proofErr w:type="spellStart"/>
      <w:r w:rsidRPr="00447D82">
        <w:rPr>
          <w:rFonts w:ascii="Verdana" w:eastAsia="Times New Roman" w:hAnsi="Verdana" w:cs="Arial"/>
          <w:bCs/>
          <w:i/>
          <w:lang w:val="es-ES" w:eastAsia="es-CO"/>
        </w:rPr>
        <w:t>ibídem</w:t>
      </w:r>
      <w:proofErr w:type="spellEnd"/>
      <w:r w:rsidRPr="00447D82">
        <w:rPr>
          <w:rFonts w:ascii="Verdana" w:eastAsia="Times New Roman" w:hAnsi="Verdana" w:cs="Arial"/>
          <w:bCs/>
          <w:lang w:val="es-ES" w:eastAsia="es-CO"/>
        </w:rPr>
        <w:t>, depende de la regulación del inciso primero d</w:t>
      </w:r>
      <w:r>
        <w:rPr>
          <w:rFonts w:ascii="Verdana" w:eastAsia="Times New Roman" w:hAnsi="Verdana" w:cs="Arial"/>
          <w:bCs/>
          <w:lang w:val="es-ES" w:eastAsia="es-CO"/>
        </w:rPr>
        <w:t>e los artículos 39 y 41 de la Ley 80 de 1993</w:t>
      </w:r>
      <w:r w:rsidRPr="00447D82">
        <w:rPr>
          <w:rFonts w:ascii="Verdana" w:eastAsia="Times New Roman" w:hAnsi="Verdana" w:cs="Arial"/>
          <w:bCs/>
          <w:lang w:val="es-ES" w:eastAsia="es-CO"/>
        </w:rPr>
        <w:t>. Por un lado, “Los contratos que celebren las entidades estatales constarán por escrito y no requerirán ser elevados a escritura pública, con excepción de aquellos que impliquen mutación del dominio o imposición de gravámenes y servidumbres sobre bienes inmuebles y, en general, aquellos que conforme a las normas legales vigentes deban cumplir con dicha formalidad”. Por otra parte, “Los contratos del Estado se perfeccionan cuando se logre acuerdo sobre el objeto y la contraprestación y éste se eleve a escrito”.</w:t>
      </w:r>
      <w:r>
        <w:rPr>
          <w:rFonts w:ascii="Verdana" w:eastAsia="Times New Roman" w:hAnsi="Verdana" w:cs="Arial"/>
          <w:bCs/>
          <w:lang w:val="es-ES" w:eastAsia="es-CO"/>
        </w:rPr>
        <w:t xml:space="preserve"> </w:t>
      </w:r>
    </w:p>
    <w:p w14:paraId="303A4BF9" w14:textId="77777777" w:rsidR="0079105E" w:rsidRDefault="0079105E" w:rsidP="007910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De este modo, esta Agencia precisa que el concepto “celebrar” para efectos de las restricciones en la contratación dispuesta por la Ley de Garantías Electorales se refiere a los requisitos de perfeccionamiento del contrato estatal. Por tanto, no se refiere a los requisitos de ejecución, es decir, aquellas condiciones para iniciar un contrato, como es la aprobación de las garantías o el registro presupuestal, o en algunos casos, la firma del acta de inicio, si así se determinó. </w:t>
      </w:r>
    </w:p>
    <w:p w14:paraId="47816DB7" w14:textId="77777777" w:rsidR="0079105E" w:rsidRPr="00894384" w:rsidRDefault="0079105E" w:rsidP="0079105E">
      <w:pPr>
        <w:spacing w:after="120" w:line="276" w:lineRule="auto"/>
        <w:ind w:firstLine="708"/>
        <w:jc w:val="both"/>
        <w:rPr>
          <w:rFonts w:ascii="Verdana" w:eastAsia="Times New Roman" w:hAnsi="Verdana" w:cs="Arial"/>
          <w:bCs/>
          <w:lang w:val="es-ES" w:eastAsia="es-CO"/>
        </w:rPr>
      </w:pPr>
      <w:r>
        <w:rPr>
          <w:rFonts w:ascii="Verdana" w:eastAsia="Times New Roman" w:hAnsi="Verdana" w:cs="Arial"/>
          <w:bCs/>
          <w:lang w:val="es-ES" w:eastAsia="es-CO"/>
        </w:rPr>
        <w:t xml:space="preserve">Así mismo, </w:t>
      </w:r>
      <w:r>
        <w:rPr>
          <w:rFonts w:ascii="Verdana" w:eastAsia="Times New Roman" w:hAnsi="Verdana" w:cs="Arial"/>
          <w:bCs/>
          <w:lang w:val="es-MX" w:eastAsia="es-CO"/>
        </w:rPr>
        <w:t>c</w:t>
      </w:r>
      <w:r w:rsidRPr="00894384">
        <w:rPr>
          <w:rFonts w:ascii="Verdana" w:eastAsia="Times New Roman" w:hAnsi="Verdana" w:cs="Arial"/>
          <w:bCs/>
          <w:lang w:val="es-MX" w:eastAsia="es-CO"/>
        </w:rPr>
        <w:t xml:space="preserve">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w:t>
      </w:r>
      <w:r w:rsidRPr="00894384">
        <w:rPr>
          <w:rFonts w:ascii="Verdana" w:eastAsia="Times New Roman" w:hAnsi="Verdana" w:cs="Arial"/>
          <w:bCs/>
          <w:lang w:val="es-MX" w:eastAsia="es-CO"/>
        </w:rPr>
        <w:lastRenderedPageBreak/>
        <w:t>sin que ello haga nugatoria la restricción de la contratación directa y siempre que cumplan los principios de planeación, transparencia y responsabilidad</w:t>
      </w:r>
      <w:r w:rsidRPr="00894384">
        <w:rPr>
          <w:rFonts w:ascii="Verdana" w:eastAsia="Times New Roman" w:hAnsi="Verdana" w:cs="Arial"/>
          <w:bCs/>
          <w:vertAlign w:val="superscript"/>
          <w:lang w:val="es-MX" w:eastAsia="es-CO"/>
        </w:rPr>
        <w:footnoteReference w:id="10"/>
      </w:r>
      <w:r w:rsidRPr="00894384">
        <w:rPr>
          <w:rFonts w:ascii="Verdana" w:eastAsia="Times New Roman" w:hAnsi="Verdana" w:cs="Arial"/>
          <w:bCs/>
          <w:lang w:val="es-MX" w:eastAsia="es-CO"/>
        </w:rPr>
        <w:t xml:space="preserve">. </w:t>
      </w:r>
    </w:p>
    <w:p w14:paraId="4B5AF2A7" w14:textId="77777777" w:rsidR="0079105E" w:rsidRPr="00E2397D" w:rsidRDefault="0079105E" w:rsidP="0079105E">
      <w:pPr>
        <w:widowControl w:val="0"/>
        <w:autoSpaceDE w:val="0"/>
        <w:autoSpaceDN w:val="0"/>
        <w:spacing w:after="0" w:line="276" w:lineRule="auto"/>
        <w:ind w:right="113" w:firstLine="708"/>
        <w:contextualSpacing/>
        <w:jc w:val="both"/>
        <w:rPr>
          <w:rFonts w:ascii="Verdana" w:eastAsia="Arial" w:hAnsi="Verdana" w:cs="Arial"/>
          <w:lang w:val="es-ES" w:eastAsia="es-ES" w:bidi="es-ES"/>
        </w:rPr>
      </w:pPr>
      <w:r w:rsidRPr="00E2397D">
        <w:rPr>
          <w:rFonts w:ascii="Verdana" w:eastAsia="Arial" w:hAnsi="Verdana" w:cs="Arial"/>
          <w:lang w:val="es-ES" w:eastAsia="es-ES" w:bidi="es-ES"/>
        </w:rPr>
        <w:t>La Sala de Consulta y Servicio Civil del Consejo de Estado ha aclarado la distinción en la aplicación de las prohibiciones de la Ley 996 de 2005, dependiendo del tipo de elección que se trate. Al respecto, consid</w:t>
      </w:r>
      <w:r>
        <w:rPr>
          <w:rFonts w:ascii="Verdana" w:eastAsia="Arial" w:hAnsi="Verdana" w:cs="Arial"/>
          <w:lang w:val="es-ES" w:eastAsia="es-ES" w:bidi="es-ES"/>
        </w:rPr>
        <w:t>era</w:t>
      </w:r>
      <w:r w:rsidRPr="00E2397D">
        <w:rPr>
          <w:rFonts w:ascii="Verdana" w:eastAsia="Arial" w:hAnsi="Verdana" w:cs="Arial"/>
          <w:lang w:val="es-ES" w:eastAsia="es-ES" w:bidi="es-ES"/>
        </w:rPr>
        <w:t>:</w:t>
      </w:r>
    </w:p>
    <w:p w14:paraId="7B1BBD17" w14:textId="77777777" w:rsidR="0079105E" w:rsidRPr="00E2397D" w:rsidRDefault="0079105E" w:rsidP="0079105E">
      <w:pPr>
        <w:widowControl w:val="0"/>
        <w:autoSpaceDE w:val="0"/>
        <w:autoSpaceDN w:val="0"/>
        <w:spacing w:after="0" w:line="240" w:lineRule="auto"/>
        <w:ind w:left="805" w:right="812"/>
        <w:contextualSpacing/>
        <w:jc w:val="both"/>
        <w:rPr>
          <w:rFonts w:ascii="Verdana" w:eastAsia="Arial" w:hAnsi="Verdana" w:cs="Arial"/>
          <w:lang w:val="es-ES" w:eastAsia="es-ES" w:bidi="es-ES"/>
        </w:rPr>
      </w:pPr>
    </w:p>
    <w:p w14:paraId="7232260C" w14:textId="77777777" w:rsidR="0079105E" w:rsidRPr="00E2397D" w:rsidRDefault="0079105E" w:rsidP="0079105E">
      <w:pPr>
        <w:widowControl w:val="0"/>
        <w:autoSpaceDE w:val="0"/>
        <w:autoSpaceDN w:val="0"/>
        <w:spacing w:after="0" w:line="240" w:lineRule="auto"/>
        <w:ind w:left="709" w:right="709"/>
        <w:jc w:val="both"/>
        <w:rPr>
          <w:rFonts w:ascii="Verdana" w:eastAsia="Arial" w:hAnsi="Verdana" w:cs="Arial"/>
          <w:sz w:val="20"/>
          <w:szCs w:val="20"/>
          <w:lang w:eastAsia="es-ES" w:bidi="es-ES"/>
        </w:rPr>
      </w:pPr>
      <w:r w:rsidRPr="00E2397D">
        <w:rPr>
          <w:rFonts w:ascii="Verdana" w:eastAsia="Arial" w:hAnsi="Verdana" w:cs="Arial"/>
          <w:sz w:val="20"/>
          <w:szCs w:val="20"/>
          <w:lang w:eastAsia="es-ES" w:bidi="es-ES"/>
        </w:rPr>
        <w:t xml:space="preserve">“La interpretación sistemática de las disposiciones consagradas en los artículos 32, 33 y el parágrafo del artículo 38 de la ley 996 de 2.005 lleva a concluir que dichas normas contienen restricciones y prohibiciones para periodos preelectorales diferentes; las dos primeras, de manera específica para los cuatro meses anteriores a la elección presidencial; el último, de manera más genérica para los cuatro meses anteriores a las elecciones  para cualquier cargo de elección popular a que se refiere la ley –incluido el de Presidente de la República-; de manera que dichas restricciones no se excluyen sino que </w:t>
      </w:r>
      <w:bookmarkStart w:id="7" w:name="_Hlk76109421"/>
      <w:r w:rsidRPr="00E2397D">
        <w:rPr>
          <w:rFonts w:ascii="Verdana" w:eastAsia="Arial" w:hAnsi="Verdana" w:cs="Arial"/>
          <w:sz w:val="20"/>
          <w:szCs w:val="20"/>
          <w:lang w:eastAsia="es-ES" w:bidi="es-ES"/>
        </w:rPr>
        <w:t>se integran parcialmente</w:t>
      </w:r>
      <w:bookmarkEnd w:id="7"/>
      <w:r w:rsidRPr="00E2397D">
        <w:rPr>
          <w:rFonts w:ascii="Verdana" w:eastAsia="Arial" w:hAnsi="Verdana" w:cs="Arial"/>
          <w:sz w:val="20"/>
          <w:szCs w:val="20"/>
          <w:lang w:eastAsia="es-ES" w:bidi="es-ES"/>
        </w:rPr>
        <w:t xml:space="preserve">, lo que permite concluir que en periodo preelectoral para elección de Presidente de la República, a todos los entes del Estado, incluidos los territoriales, se aplican las restricciones de los artículos 32 y 33 con sus excepciones, así como las del parágrafo del artículo 38. En cambio, para elecciones en general, excluyendo las correspondientes a </w:t>
      </w:r>
      <w:proofErr w:type="gramStart"/>
      <w:r w:rsidRPr="00E2397D">
        <w:rPr>
          <w:rFonts w:ascii="Verdana" w:eastAsia="Arial" w:hAnsi="Verdana" w:cs="Arial"/>
          <w:sz w:val="20"/>
          <w:szCs w:val="20"/>
          <w:lang w:eastAsia="es-ES" w:bidi="es-ES"/>
        </w:rPr>
        <w:t>Presidente</w:t>
      </w:r>
      <w:proofErr w:type="gramEnd"/>
      <w:r w:rsidRPr="00E2397D">
        <w:rPr>
          <w:rFonts w:ascii="Verdana" w:eastAsia="Arial" w:hAnsi="Verdana" w:cs="Arial"/>
          <w:sz w:val="20"/>
          <w:szCs w:val="20"/>
          <w:lang w:eastAsia="es-ES" w:bidi="es-ES"/>
        </w:rPr>
        <w:t xml:space="preserve"> de la República, a las autoridades territoriales allí mencionadas sólo se aplican las restricciones contenidas en el parágrafo del artículo 38”.</w:t>
      </w:r>
      <w:r w:rsidRPr="00E2397D">
        <w:rPr>
          <w:rFonts w:ascii="Verdana" w:eastAsia="Arial" w:hAnsi="Verdana" w:cs="Arial"/>
          <w:sz w:val="20"/>
          <w:szCs w:val="20"/>
          <w:vertAlign w:val="superscript"/>
          <w:lang w:eastAsia="es-ES" w:bidi="es-ES"/>
        </w:rPr>
        <w:footnoteReference w:id="11"/>
      </w:r>
    </w:p>
    <w:p w14:paraId="08EA7C98" w14:textId="77777777" w:rsidR="0079105E" w:rsidRPr="00E2397D" w:rsidRDefault="0079105E" w:rsidP="0079105E">
      <w:pPr>
        <w:widowControl w:val="0"/>
        <w:autoSpaceDE w:val="0"/>
        <w:autoSpaceDN w:val="0"/>
        <w:spacing w:after="0" w:line="276" w:lineRule="auto"/>
        <w:contextualSpacing/>
        <w:rPr>
          <w:rFonts w:ascii="Verdana" w:eastAsia="Arial" w:hAnsi="Verdana" w:cs="Arial"/>
          <w:lang w:val="es-ES" w:eastAsia="es-ES" w:bidi="es-ES"/>
        </w:rPr>
      </w:pPr>
    </w:p>
    <w:p w14:paraId="26BA8BCB" w14:textId="77777777" w:rsidR="0079105E" w:rsidRPr="00E2397D" w:rsidRDefault="0079105E" w:rsidP="0079105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De conformidad con lo anterior, </w:t>
      </w:r>
      <w:bookmarkStart w:id="8" w:name="_Hlk77236420"/>
      <w:bookmarkStart w:id="9" w:name="_Hlk78818435"/>
      <w:bookmarkStart w:id="10" w:name="_Hlk75780333"/>
      <w:r w:rsidRPr="00E2397D">
        <w:rPr>
          <w:rFonts w:ascii="Verdana" w:eastAsia="Arial" w:hAnsi="Verdana" w:cs="Arial"/>
          <w:lang w:val="es-ES" w:eastAsia="es-ES" w:bidi="es-ES"/>
        </w:rPr>
        <w:t xml:space="preserve">la Ley 996 de 2005 establece dos (2) tipos de restricciones en materia de contratación, las cuales coinciden parcialmente. </w:t>
      </w:r>
      <w:r w:rsidRPr="00E2397D">
        <w:rPr>
          <w:rFonts w:ascii="Verdana" w:eastAsia="Arial" w:hAnsi="Verdana" w:cs="Arial"/>
          <w:i/>
          <w:lang w:val="es-ES" w:eastAsia="es-ES" w:bidi="es-ES"/>
        </w:rPr>
        <w:t>En primer lugar</w:t>
      </w:r>
      <w:r w:rsidRPr="00E2397D">
        <w:rPr>
          <w:rFonts w:ascii="Verdana" w:eastAsia="Arial" w:hAnsi="Verdana" w:cs="Arial"/>
          <w:lang w:val="es-ES" w:eastAsia="es-ES" w:bidi="es-ES"/>
        </w:rPr>
        <w:t xml:space="preserve">, la del artículo 33 que </w:t>
      </w:r>
      <w:r>
        <w:rPr>
          <w:rFonts w:ascii="Verdana" w:eastAsia="Arial" w:hAnsi="Verdana" w:cs="Arial"/>
          <w:lang w:val="es-ES" w:eastAsia="es-ES" w:bidi="es-ES"/>
        </w:rPr>
        <w:t xml:space="preserve">aplica </w:t>
      </w:r>
      <w:r w:rsidRPr="00E2397D">
        <w:rPr>
          <w:rFonts w:ascii="Verdana" w:eastAsia="Arial" w:hAnsi="Verdana" w:cs="Arial"/>
          <w:lang w:val="es-ES" w:eastAsia="es-ES" w:bidi="es-ES"/>
        </w:rPr>
        <w:t xml:space="preserve">solo respecto de las elecciones presidenciales, en virtud de la cual queda proscrita la contratación directa dentro de los cuatro (4) meses anteriores a la celebración de los comicios, salvo las citadas excepciones. Sin embargo, si ningún candidato obtiene la mitad más uno de los votos que, de manera secreta y directa, depositen los ciudadanos, se celebrará una nueva votación que tendrá lugar tres (3) semanas más tarde, en la que sólo participarán los dos candidatos que hubieren obtenido las votaciones más altas, de conformidad con el artículo 190 de la Constitución Política. Para estos efectos, la restricción se extenderá hasta la fecha en la que se realice la segunda vuelta. </w:t>
      </w:r>
      <w:r w:rsidRPr="00E2397D">
        <w:rPr>
          <w:rFonts w:ascii="Verdana" w:eastAsia="Arial" w:hAnsi="Verdana" w:cs="Arial"/>
          <w:i/>
          <w:lang w:val="es-ES" w:eastAsia="es-ES" w:bidi="es-ES"/>
        </w:rPr>
        <w:t>En segundo lugar</w:t>
      </w:r>
      <w:r w:rsidRPr="00E2397D">
        <w:rPr>
          <w:rFonts w:ascii="Verdana" w:eastAsia="Arial" w:hAnsi="Verdana" w:cs="Arial"/>
          <w:lang w:val="es-ES" w:eastAsia="es-ES" w:bidi="es-ES"/>
        </w:rPr>
        <w:t xml:space="preserve">, también se encuentra la prohibición del parágrafo del artículo 38, el cual debe aplicarse respecto de cualquier tipo de contienda electoral, y que prohíbe la celebración de convenios </w:t>
      </w:r>
      <w:r w:rsidRPr="00E2397D">
        <w:rPr>
          <w:rFonts w:ascii="Verdana" w:eastAsia="Arial" w:hAnsi="Verdana" w:cs="Arial"/>
          <w:lang w:val="es-ES" w:eastAsia="es-ES" w:bidi="es-ES"/>
        </w:rPr>
        <w:lastRenderedPageBreak/>
        <w:t>interadministrativos que impliquen la ejecución de recursos públicos dentro de los cuatro (4) meses anteriores a la respectiva jornada de votaciones.</w:t>
      </w:r>
      <w:bookmarkEnd w:id="8"/>
    </w:p>
    <w:bookmarkEnd w:id="9"/>
    <w:p w14:paraId="5D91A38A" w14:textId="77777777" w:rsidR="0079105E" w:rsidRPr="00E2397D" w:rsidRDefault="0079105E" w:rsidP="0079105E">
      <w:pPr>
        <w:spacing w:after="12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Ambas restricciones no son excluyentes, lo que permite concluir que</w:t>
      </w:r>
      <w:r>
        <w:rPr>
          <w:rFonts w:ascii="Verdana" w:eastAsia="Arial" w:hAnsi="Verdana" w:cs="Arial"/>
          <w:lang w:val="es-ES" w:eastAsia="es-ES" w:bidi="es-ES"/>
        </w:rPr>
        <w:t>,</w:t>
      </w:r>
      <w:r w:rsidRPr="00E2397D">
        <w:rPr>
          <w:rFonts w:ascii="Verdana" w:eastAsia="Arial" w:hAnsi="Verdana" w:cs="Arial"/>
          <w:lang w:val="es-ES" w:eastAsia="es-ES" w:bidi="es-ES"/>
        </w:rPr>
        <w:t xml:space="preserve"> en el período preelectoral para elección de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a todos los entes del Estado, incluidos los territoriales, aplican las restricciones del artículo 33 con sus excepciones, así como las del parágrafo del artículo 38. En cambio, tratándose de elecciones en general, excluyendo las correspondientes al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de la República, las autoridades allí mencionadas sólo deben aplicar las restricciones contenidas en el parágrafo del artículo 38.</w:t>
      </w:r>
    </w:p>
    <w:bookmarkEnd w:id="10"/>
    <w:p w14:paraId="373BD933" w14:textId="77777777" w:rsidR="0079105E" w:rsidRDefault="0079105E" w:rsidP="0079105E">
      <w:pPr>
        <w:spacing w:after="0" w:line="276" w:lineRule="auto"/>
        <w:ind w:firstLine="709"/>
        <w:jc w:val="both"/>
        <w:rPr>
          <w:rFonts w:ascii="Verdana" w:eastAsia="Arial" w:hAnsi="Verdana" w:cs="Arial"/>
          <w:lang w:val="es-ES" w:eastAsia="es-ES" w:bidi="es-ES"/>
        </w:rPr>
      </w:pPr>
      <w:r w:rsidRPr="00E2397D">
        <w:rPr>
          <w:rFonts w:ascii="Verdana" w:eastAsia="Arial" w:hAnsi="Verdana" w:cs="Arial"/>
          <w:lang w:val="es-ES" w:eastAsia="es-ES" w:bidi="es-ES"/>
        </w:rPr>
        <w:t xml:space="preserve">La Corte Constitucional, en la Sentencia C-1153 del 11 de noviembre de 2005, señaló que, para que la garantía sea plena, era necesario que la prohibición se aplicara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o el Vicepresidente desde que éstos –estando en ejercicio de su cargo– manifiesten el interés de ser candidato presidencial, lo cual debe ocurrir seis (6) meses antes de la elección en primera vuelta, de acuerdo con el artículo 9 de la Ley 996 de 2005. Sin embargo, el condicionamiento impuesto por la Corte Constitucional, relacionado con el momento en que estas restricciones empiezan a regir para el </w:t>
      </w:r>
      <w:proofErr w:type="gramStart"/>
      <w:r w:rsidRPr="00E2397D">
        <w:rPr>
          <w:rFonts w:ascii="Verdana" w:eastAsia="Arial" w:hAnsi="Verdana" w:cs="Arial"/>
          <w:lang w:val="es-ES" w:eastAsia="es-ES" w:bidi="es-ES"/>
        </w:rPr>
        <w:t>Presidente</w:t>
      </w:r>
      <w:proofErr w:type="gramEnd"/>
      <w:r w:rsidRPr="00E2397D">
        <w:rPr>
          <w:rFonts w:ascii="Verdana" w:eastAsia="Arial" w:hAnsi="Verdana" w:cs="Arial"/>
          <w:lang w:val="es-ES" w:eastAsia="es-ES" w:bidi="es-ES"/>
        </w:rPr>
        <w:t xml:space="preserve"> y el Vicepresidente de la República, ha perdido vigencia ante la prohibición de la reelección presidencial, restablecida por el Acto Legislativo 2 de 2015. Esto excepto para el </w:t>
      </w:r>
      <w:proofErr w:type="gramStart"/>
      <w:r w:rsidRPr="00E2397D">
        <w:rPr>
          <w:rFonts w:ascii="Verdana" w:eastAsia="Arial" w:hAnsi="Verdana" w:cs="Arial"/>
          <w:lang w:val="es-ES" w:eastAsia="es-ES" w:bidi="es-ES"/>
        </w:rPr>
        <w:t>Vicepresidente</w:t>
      </w:r>
      <w:proofErr w:type="gramEnd"/>
      <w:r w:rsidRPr="00E2397D">
        <w:rPr>
          <w:rFonts w:ascii="Verdana" w:eastAsia="Arial" w:hAnsi="Verdana" w:cs="Arial"/>
          <w:lang w:val="es-ES" w:eastAsia="es-ES" w:bidi="es-ES"/>
        </w:rPr>
        <w:t xml:space="preserve"> que no haya ejercido la presidencia o que la haya ejercido por un tiempo inferior a tres (3) meses durante el respectivo cuatrienio, en forma continua o discontinua, conforme al artículo 197 de la Constitución Política. </w:t>
      </w:r>
    </w:p>
    <w:p w14:paraId="0E083ADE" w14:textId="77777777" w:rsidR="0079105E" w:rsidRPr="00E2397D" w:rsidRDefault="0079105E" w:rsidP="0079105E">
      <w:pPr>
        <w:spacing w:after="120" w:line="276" w:lineRule="auto"/>
        <w:ind w:firstLine="708"/>
        <w:jc w:val="both"/>
        <w:rPr>
          <w:rFonts w:ascii="Verdana" w:eastAsia="Arial" w:hAnsi="Verdana" w:cs="Arial"/>
          <w:lang w:val="es-ES" w:eastAsia="es-ES" w:bidi="es-ES"/>
        </w:rPr>
      </w:pPr>
      <w:r w:rsidRPr="00E2397D">
        <w:rPr>
          <w:rFonts w:ascii="Verdana" w:eastAsia="Arial" w:hAnsi="Verdana" w:cs="Arial"/>
          <w:lang w:val="es-ES" w:eastAsia="es-ES" w:bidi="es-ES"/>
        </w:rPr>
        <w:t xml:space="preserve"> </w:t>
      </w:r>
      <w:bookmarkStart w:id="11" w:name="_Hlk78820161"/>
    </w:p>
    <w:p w14:paraId="6CC7191C" w14:textId="77777777" w:rsidR="0079105E" w:rsidRPr="0057193B" w:rsidRDefault="0079105E" w:rsidP="0079105E">
      <w:pPr>
        <w:spacing w:line="276" w:lineRule="auto"/>
        <w:jc w:val="both"/>
        <w:rPr>
          <w:rFonts w:ascii="Verdana" w:eastAsia="Times New Roman" w:hAnsi="Verdana" w:cs="Arial"/>
          <w:bCs/>
          <w:lang w:val="es-MX" w:eastAsia="es-CO"/>
        </w:rPr>
      </w:pPr>
      <w:proofErr w:type="spellStart"/>
      <w:r>
        <w:rPr>
          <w:rFonts w:ascii="Verdana" w:eastAsia="Arial" w:hAnsi="Verdana" w:cs="Arial"/>
          <w:lang w:val="es-ES" w:eastAsia="es-ES" w:bidi="es-ES"/>
        </w:rPr>
        <w:t>iii</w:t>
      </w:r>
      <w:proofErr w:type="spellEnd"/>
      <w:r>
        <w:rPr>
          <w:rFonts w:ascii="Verdana" w:eastAsia="Arial" w:hAnsi="Verdana" w:cs="Arial"/>
          <w:lang w:val="es-ES" w:eastAsia="es-ES" w:bidi="es-ES"/>
        </w:rPr>
        <w:t>.</w:t>
      </w:r>
      <w:r w:rsidRPr="0057193B">
        <w:rPr>
          <w:rFonts w:ascii="Verdana" w:eastAsia="Arial" w:hAnsi="Verdana" w:cs="Arial"/>
          <w:lang w:val="es-ES" w:eastAsia="es-ES" w:bidi="es-ES"/>
        </w:rPr>
        <w:t xml:space="preserve"> </w:t>
      </w:r>
      <w:r w:rsidRPr="0057193B">
        <w:rPr>
          <w:rFonts w:ascii="Verdana" w:eastAsia="Times New Roman" w:hAnsi="Verdana" w:cs="Arial"/>
          <w:bCs/>
          <w:lang w:val="es-MX" w:eastAsia="x-none"/>
        </w:rPr>
        <w:t xml:space="preserve">El ámbito material de la prohibición contenida en el artículo 33 de la ley 996 de 2005 está delimitado por la expresión </w:t>
      </w:r>
      <w:r>
        <w:rPr>
          <w:rFonts w:ascii="Verdana" w:eastAsia="Calibri" w:hAnsi="Verdana" w:cs="Arial"/>
          <w:bCs/>
          <w:sz w:val="20"/>
          <w:szCs w:val="20"/>
          <w:lang w:val="es-MX"/>
        </w:rPr>
        <w:t>“</w:t>
      </w:r>
      <w:r w:rsidRPr="0057193B">
        <w:rPr>
          <w:rFonts w:ascii="Verdana" w:eastAsia="Times New Roman" w:hAnsi="Verdana" w:cs="Arial"/>
          <w:bCs/>
          <w:lang w:val="es-MX" w:eastAsia="x-none"/>
        </w:rPr>
        <w:t>queda prohibida la contratación directa</w:t>
      </w:r>
      <w:r>
        <w:rPr>
          <w:rFonts w:ascii="Verdana" w:eastAsia="Calibri" w:hAnsi="Verdana" w:cs="Arial"/>
          <w:sz w:val="20"/>
          <w:szCs w:val="20"/>
          <w:lang w:val="es-MX"/>
        </w:rPr>
        <w:t>”</w:t>
      </w:r>
      <w:r w:rsidRPr="0057193B">
        <w:rPr>
          <w:rFonts w:ascii="Verdana" w:eastAsia="Times New Roman" w:hAnsi="Verdana" w:cs="Arial"/>
          <w:bCs/>
          <w:lang w:val="es-MX" w:eastAsia="x-none"/>
        </w:rPr>
        <w:t xml:space="preserve">. </w:t>
      </w:r>
      <w:r w:rsidRPr="0057193B">
        <w:rPr>
          <w:rFonts w:ascii="Verdana" w:eastAsia="Times New Roman" w:hAnsi="Verdana" w:cs="Arial"/>
          <w:lang w:val="es-MX" w:eastAsia="es-CO"/>
        </w:rPr>
        <w:t xml:space="preserve"> A propósito de </w:t>
      </w:r>
      <w:r w:rsidRPr="0057193B">
        <w:rPr>
          <w:rFonts w:ascii="Verdana" w:eastAsia="Times New Roman" w:hAnsi="Verdana" w:cs="Arial"/>
          <w:lang w:eastAsia="es-CO"/>
        </w:rPr>
        <w:t>esta restricción de la Ley de Garantías Electorales, la Sala de Consulta y Servicio Civil del Consejo de Estado ha considerado que:</w:t>
      </w:r>
    </w:p>
    <w:p w14:paraId="2D1B256F" w14:textId="77777777" w:rsidR="0079105E" w:rsidRPr="0057193B" w:rsidRDefault="0079105E" w:rsidP="0079105E">
      <w:pPr>
        <w:spacing w:after="0" w:line="240" w:lineRule="auto"/>
        <w:ind w:left="708" w:right="709"/>
        <w:jc w:val="both"/>
        <w:rPr>
          <w:rFonts w:ascii="Verdana" w:eastAsia="Calibri" w:hAnsi="Verdana" w:cs="Arial"/>
          <w:sz w:val="21"/>
          <w:szCs w:val="21"/>
          <w:lang w:val="es-MX"/>
        </w:rPr>
      </w:pPr>
    </w:p>
    <w:p w14:paraId="0577DA49" w14:textId="77777777" w:rsidR="0079105E" w:rsidRPr="0057193B" w:rsidRDefault="0079105E" w:rsidP="0079105E">
      <w:pPr>
        <w:spacing w:after="120" w:line="240" w:lineRule="auto"/>
        <w:ind w:left="709" w:right="709"/>
        <w:jc w:val="both"/>
        <w:rPr>
          <w:rFonts w:ascii="Verdana" w:eastAsia="Calibri" w:hAnsi="Verdana" w:cs="Arial"/>
          <w:sz w:val="21"/>
          <w:szCs w:val="21"/>
          <w:lang w:val="es-MX"/>
        </w:rPr>
      </w:pPr>
      <w:r w:rsidRPr="0057193B">
        <w:rPr>
          <w:rFonts w:ascii="Verdana" w:eastAsia="Calibri" w:hAnsi="Verdana" w:cs="Arial"/>
          <w:sz w:val="21"/>
          <w:szCs w:val="21"/>
          <w:lang w:val="es-MX"/>
        </w:rPr>
        <w:t xml:space="preserve">La contratación directa es un mecanismo de selección de carácter excepcional, en virtud del cual las entidades públicas pueden contratar mediante un trámite simplificado, ágil y expedito sin necesidad de realizar previamente un proceso de licitación pública o concurso, únicamente en los casos en que expresa y taxativamente señale la ley </w:t>
      </w:r>
      <w:r w:rsidRPr="0057193B">
        <w:rPr>
          <w:rFonts w:ascii="Verdana" w:eastAsia="Calibri" w:hAnsi="Verdana" w:cs="Arial"/>
          <w:sz w:val="21"/>
          <w:szCs w:val="21"/>
          <w:lang w:val="es-MX"/>
        </w:rPr>
        <w:lastRenderedPageBreak/>
        <w:t>(numeral 4, artículo 2, ley 1150 de 2007), y cumpliendo siempre los principios que rigen la contratación pública</w:t>
      </w:r>
      <w:r w:rsidRPr="0057193B">
        <w:rPr>
          <w:rFonts w:ascii="Verdana" w:eastAsia="Times New Roman" w:hAnsi="Verdana" w:cs="Arial"/>
          <w:vertAlign w:val="superscript"/>
          <w:lang w:eastAsia="es-CO"/>
        </w:rPr>
        <w:footnoteReference w:id="12"/>
      </w:r>
      <w:r w:rsidRPr="0057193B">
        <w:rPr>
          <w:rFonts w:ascii="Verdana" w:eastAsia="Calibri" w:hAnsi="Verdana" w:cs="Arial"/>
          <w:sz w:val="21"/>
          <w:szCs w:val="21"/>
          <w:lang w:val="es-MX"/>
        </w:rPr>
        <w:t>.</w:t>
      </w:r>
    </w:p>
    <w:p w14:paraId="61FDD685" w14:textId="77777777" w:rsidR="0079105E" w:rsidRPr="0057193B" w:rsidRDefault="0079105E" w:rsidP="0079105E">
      <w:pPr>
        <w:spacing w:after="0" w:line="240" w:lineRule="auto"/>
        <w:ind w:left="708" w:right="709"/>
        <w:jc w:val="both"/>
        <w:rPr>
          <w:rFonts w:ascii="Verdana" w:eastAsia="Calibri" w:hAnsi="Verdana" w:cs="Arial"/>
          <w:sz w:val="21"/>
          <w:szCs w:val="21"/>
          <w:lang w:val="es-MX"/>
        </w:rPr>
      </w:pPr>
      <w:r w:rsidRPr="0057193B">
        <w:rPr>
          <w:rFonts w:ascii="Verdana" w:eastAsia="Calibri" w:hAnsi="Verdana" w:cs="Arial"/>
          <w:sz w:val="21"/>
          <w:szCs w:val="21"/>
          <w:lang w:val="es-MX"/>
        </w:rPr>
        <w:t xml:space="preserve">Esta Sala ha entendido </w:t>
      </w:r>
      <w:proofErr w:type="gramStart"/>
      <w:r w:rsidRPr="0057193B">
        <w:rPr>
          <w:rFonts w:ascii="Verdana" w:eastAsia="Calibri" w:hAnsi="Verdana" w:cs="Arial"/>
          <w:sz w:val="21"/>
          <w:szCs w:val="21"/>
          <w:lang w:val="es-MX"/>
        </w:rPr>
        <w:t>que</w:t>
      </w:r>
      <w:proofErr w:type="gramEnd"/>
      <w:r w:rsidRPr="0057193B">
        <w:rPr>
          <w:rFonts w:ascii="Verdana" w:eastAsia="Calibri" w:hAnsi="Verdana" w:cs="Arial"/>
          <w:sz w:val="21"/>
          <w:szCs w:val="21"/>
          <w:lang w:val="es-MX"/>
        </w:rPr>
        <w:t xml:space="preserve"> para los efectos de la ley de garantías, y dada su finalidad, el enunciado ´contratación directa´ es sinónimo de cualquier sistema que no implique convocatoria pública y posibilidad de pluralidad de oferentes, y que, además, no necesariamente hace referencia al procedimiento especial regulado por la ley de contratación estatal, sino a cualquier otro que prescinda de un proceso de licitación pública o concurso</w:t>
      </w:r>
      <w:r w:rsidRPr="0057193B">
        <w:rPr>
          <w:rFonts w:ascii="Verdana" w:eastAsia="Times New Roman" w:hAnsi="Verdana" w:cs="Arial"/>
          <w:sz w:val="21"/>
          <w:szCs w:val="21"/>
          <w:vertAlign w:val="superscript"/>
          <w:lang w:val="es-MX"/>
        </w:rPr>
        <w:footnoteReference w:id="13"/>
      </w:r>
      <w:r w:rsidRPr="0057193B">
        <w:rPr>
          <w:rFonts w:ascii="Verdana" w:eastAsia="Times New Roman" w:hAnsi="Verdana" w:cs="Arial"/>
          <w:sz w:val="21"/>
          <w:szCs w:val="21"/>
          <w:vertAlign w:val="superscript"/>
          <w:lang w:val="es-MX"/>
        </w:rPr>
        <w:t>.</w:t>
      </w:r>
      <w:r w:rsidRPr="0057193B">
        <w:rPr>
          <w:rFonts w:ascii="Verdana" w:eastAsia="Calibri" w:hAnsi="Verdana" w:cs="Arial"/>
          <w:sz w:val="21"/>
          <w:szCs w:val="21"/>
          <w:lang w:val="es-MX"/>
        </w:rPr>
        <w:t xml:space="preserve"> Por tanto, no son materia de la prohibición las demás modalidades de selección previstas en la ley 1150 de 2007, siendo estas, la licitación pública, el concurso de méritos y la selección abreviada, razón por la cual en ese periodo preelectoral de que trata la disposición pueden las entidades públicas seguir contratando bajo estos sistemas. [...]</w:t>
      </w:r>
      <w:r w:rsidRPr="0057193B">
        <w:rPr>
          <w:rFonts w:ascii="Verdana" w:eastAsia="Times New Roman" w:hAnsi="Verdana" w:cs="Arial"/>
          <w:vertAlign w:val="superscript"/>
          <w:lang w:eastAsia="es-CO"/>
        </w:rPr>
        <w:footnoteReference w:id="14"/>
      </w:r>
      <w:r w:rsidRPr="0057193B">
        <w:rPr>
          <w:rFonts w:ascii="Verdana" w:eastAsia="Calibri" w:hAnsi="Verdana" w:cs="Arial"/>
          <w:sz w:val="21"/>
          <w:szCs w:val="21"/>
          <w:lang w:val="es-MX"/>
        </w:rPr>
        <w:t xml:space="preserve"> .</w:t>
      </w:r>
    </w:p>
    <w:p w14:paraId="621B8867" w14:textId="77777777" w:rsidR="0079105E" w:rsidRPr="0057193B" w:rsidRDefault="0079105E" w:rsidP="0079105E">
      <w:pPr>
        <w:shd w:val="clear" w:color="auto" w:fill="FFFFFF"/>
        <w:spacing w:after="0" w:line="276" w:lineRule="auto"/>
        <w:ind w:firstLine="709"/>
        <w:jc w:val="both"/>
        <w:rPr>
          <w:rFonts w:ascii="Verdana" w:eastAsia="Times New Roman" w:hAnsi="Verdana" w:cs="Arial"/>
          <w:lang w:eastAsia="x-none"/>
        </w:rPr>
      </w:pPr>
    </w:p>
    <w:p w14:paraId="554CBA53" w14:textId="77777777" w:rsidR="0079105E" w:rsidRPr="0057193B" w:rsidRDefault="0079105E" w:rsidP="0079105E">
      <w:pPr>
        <w:spacing w:after="120" w:line="276" w:lineRule="auto"/>
        <w:ind w:firstLine="708"/>
        <w:jc w:val="both"/>
        <w:rPr>
          <w:rFonts w:ascii="Verdana" w:eastAsia="Times New Roman" w:hAnsi="Verdana" w:cs="Arial"/>
          <w:bCs/>
          <w:lang w:eastAsia="x-none"/>
        </w:rPr>
      </w:pPr>
      <w:r w:rsidRPr="0057193B">
        <w:rPr>
          <w:rFonts w:ascii="Verdana" w:eastAsia="Times New Roman" w:hAnsi="Verdana" w:cs="Arial"/>
          <w:lang w:eastAsia="x-none"/>
        </w:rPr>
        <w:t xml:space="preserve">De acuerdo con el citado concepto, la prohibición del artículo 33 de la Ley de Garantías Electorales se refiere a </w:t>
      </w:r>
      <w:r>
        <w:rPr>
          <w:rFonts w:ascii="Verdana" w:eastAsia="Times New Roman" w:hAnsi="Verdana" w:cs="Arial"/>
          <w:sz w:val="19"/>
          <w:szCs w:val="19"/>
          <w:lang w:eastAsia="en-GB"/>
        </w:rPr>
        <w:t>“</w:t>
      </w:r>
      <w:r w:rsidRPr="0057193B">
        <w:rPr>
          <w:rFonts w:ascii="Verdana" w:eastAsia="Times New Roman" w:hAnsi="Verdana" w:cs="Arial"/>
          <w:lang w:eastAsia="x-none"/>
        </w:rPr>
        <w:t>cualquier sistema que no implique convocatoria pública y posibilidad de pluralidad de oferentes</w:t>
      </w:r>
      <w:r>
        <w:rPr>
          <w:rFonts w:ascii="Verdana" w:eastAsia="Times New Roman" w:hAnsi="Verdana" w:cs="Arial"/>
          <w:lang w:eastAsia="en-GB"/>
        </w:rPr>
        <w:t>”</w:t>
      </w:r>
      <w:r w:rsidRPr="0057193B">
        <w:rPr>
          <w:rFonts w:ascii="Verdana" w:eastAsia="Times New Roman" w:hAnsi="Verdana" w:cs="Arial"/>
          <w:lang w:eastAsia="x-none"/>
        </w:rPr>
        <w:t xml:space="preserve">, por lo que excluye las demás modalidades de contratación previstas en la Ley 1150 de 2007, es decir, la licitación pública, la selección abreviada, el concurso de méritos </w:t>
      </w:r>
      <w:r w:rsidRPr="0057193B">
        <w:rPr>
          <w:rFonts w:ascii="Verdana" w:eastAsia="Times New Roman" w:hAnsi="Verdana" w:cs="Arial"/>
          <w:lang w:val="es-ES_tradnl" w:eastAsia="x-none"/>
        </w:rPr>
        <w:t>y la mínima cuantía</w:t>
      </w:r>
      <w:r w:rsidRPr="0057193B" w:rsidDel="00A85D9F">
        <w:rPr>
          <w:rFonts w:ascii="Verdana" w:eastAsia="Times New Roman" w:hAnsi="Verdana" w:cs="Arial"/>
          <w:lang w:eastAsia="x-none"/>
        </w:rPr>
        <w:t xml:space="preserve"> </w:t>
      </w:r>
      <w:r w:rsidRPr="0057193B">
        <w:rPr>
          <w:rFonts w:ascii="Verdana" w:eastAsia="Times New Roman" w:hAnsi="Verdana" w:cs="Arial"/>
          <w:lang w:eastAsia="x-none"/>
        </w:rPr>
        <w:t>u otros previstos en normas especiales. Esta posición es congruente con la expedición de la Ley 1150 de 2007 que, entre otras reformas, introdujo la selección abreviada, rediseñó el concurso de méritos</w:t>
      </w:r>
      <w:r w:rsidRPr="0057193B">
        <w:rPr>
          <w:rFonts w:ascii="Verdana" w:eastAsia="Times New Roman" w:hAnsi="Verdana" w:cs="Arial"/>
          <w:vertAlign w:val="superscript"/>
          <w:lang w:val="en-GB" w:eastAsia="x-none"/>
        </w:rPr>
        <w:footnoteReference w:id="15"/>
      </w:r>
      <w:r w:rsidRPr="0057193B">
        <w:rPr>
          <w:rFonts w:ascii="Verdana" w:eastAsia="Times New Roman" w:hAnsi="Verdana" w:cs="Arial"/>
          <w:lang w:eastAsia="x-none"/>
        </w:rPr>
        <w:t xml:space="preserve"> y sistematizó las causales de contratación directa</w:t>
      </w:r>
      <w:r w:rsidRPr="0057193B">
        <w:rPr>
          <w:rFonts w:ascii="Verdana" w:eastAsia="Times New Roman" w:hAnsi="Verdana" w:cs="Arial"/>
          <w:vertAlign w:val="superscript"/>
          <w:lang w:val="en-GB" w:eastAsia="x-none"/>
        </w:rPr>
        <w:footnoteReference w:id="16"/>
      </w:r>
      <w:r w:rsidRPr="0057193B">
        <w:rPr>
          <w:rFonts w:ascii="Verdana" w:eastAsia="Times New Roman" w:hAnsi="Verdana" w:cs="Arial"/>
          <w:lang w:eastAsia="x-none"/>
        </w:rPr>
        <w:t xml:space="preserve">, </w:t>
      </w:r>
      <w:r w:rsidRPr="0057193B">
        <w:rPr>
          <w:rFonts w:ascii="Verdana" w:eastAsia="Calibri" w:hAnsi="Verdana" w:cs="Arial"/>
          <w:szCs w:val="24"/>
          <w:lang w:eastAsia="x-none"/>
        </w:rPr>
        <w:t>además lo es con la posterior creación de la modalidad de mínima cuantía establecida actualmente en el numeral 5 del artículo 2 de la Ley 1150 de 2007, de acuerdo con las modificaciones realizadas por leyes posteriores.</w:t>
      </w:r>
    </w:p>
    <w:p w14:paraId="7B94D2FF" w14:textId="77777777" w:rsidR="0079105E" w:rsidRPr="0057193B" w:rsidRDefault="0079105E" w:rsidP="0079105E">
      <w:pPr>
        <w:spacing w:after="120" w:line="276" w:lineRule="auto"/>
        <w:ind w:firstLine="708"/>
        <w:jc w:val="both"/>
        <w:rPr>
          <w:rFonts w:ascii="Verdana" w:eastAsia="Times New Roman" w:hAnsi="Verdana" w:cs="Arial"/>
          <w:lang w:val="es-MX" w:eastAsia="x-none"/>
        </w:rPr>
      </w:pPr>
      <w:r w:rsidRPr="0057193B">
        <w:rPr>
          <w:rFonts w:ascii="Verdana" w:eastAsia="Times New Roman" w:hAnsi="Verdana" w:cs="Arial"/>
          <w:lang w:eastAsia="x-none"/>
        </w:rPr>
        <w:t xml:space="preserve">De esta forma, con fundamento en la evolución de la normativa sobre la contratación pública, se ha depurado la noción de </w:t>
      </w:r>
      <w:r w:rsidRPr="0057193B">
        <w:rPr>
          <w:rFonts w:ascii="Verdana" w:eastAsia="Times New Roman" w:hAnsi="Verdana" w:cs="Arial"/>
          <w:sz w:val="19"/>
          <w:szCs w:val="19"/>
          <w:lang w:eastAsia="en-GB"/>
        </w:rPr>
        <w:t>«</w:t>
      </w:r>
      <w:r w:rsidRPr="0057193B">
        <w:rPr>
          <w:rFonts w:ascii="Verdana" w:eastAsia="Times New Roman" w:hAnsi="Verdana" w:cs="Arial"/>
          <w:lang w:eastAsia="x-none"/>
        </w:rPr>
        <w:t>contratación directa</w:t>
      </w:r>
      <w:r w:rsidRPr="0057193B">
        <w:rPr>
          <w:rFonts w:ascii="Verdana" w:eastAsia="Times New Roman" w:hAnsi="Verdana" w:cs="Arial"/>
          <w:lang w:eastAsia="en-GB"/>
        </w:rPr>
        <w:t>»</w:t>
      </w:r>
      <w:r w:rsidRPr="0057193B">
        <w:rPr>
          <w:rFonts w:ascii="Verdana" w:eastAsia="Times New Roman" w:hAnsi="Verdana" w:cs="Arial"/>
          <w:lang w:eastAsia="x-none"/>
        </w:rPr>
        <w:t xml:space="preserve">, precisando el Consejo de Estado –en el concepto citado– que, «aun cuando no coincide única y exactamente con la regulación que de dicho sistema de selección hace el artículo 2º de la Ley 1150 de 2007, tampoco puede afirmarse que sea cualquier procedimiento de contratación distinto de la licitación pública, pues esto sería tanto como desconocer que el legislador, no solo en el Estatuto </w:t>
      </w:r>
      <w:r w:rsidRPr="0057193B">
        <w:rPr>
          <w:rFonts w:ascii="Verdana" w:eastAsia="Times New Roman" w:hAnsi="Verdana" w:cs="Arial"/>
          <w:lang w:eastAsia="x-none"/>
        </w:rPr>
        <w:lastRenderedPageBreak/>
        <w:t>General de la Contratación de la Administración Pública, sino también en leyes especiales e, incluso, en el derecho privado</w:t>
      </w:r>
      <w:r w:rsidRPr="0057193B">
        <w:rPr>
          <w:rFonts w:ascii="Verdana" w:eastAsia="Times New Roman" w:hAnsi="Verdana" w:cs="Arial"/>
          <w:vertAlign w:val="superscript"/>
          <w:lang w:val="en-GB" w:eastAsia="x-none"/>
        </w:rPr>
        <w:footnoteReference w:id="17"/>
      </w:r>
      <w:r w:rsidRPr="0057193B">
        <w:rPr>
          <w:rFonts w:ascii="Verdana" w:eastAsia="Times New Roman" w:hAnsi="Verdana" w:cs="Arial"/>
          <w:lang w:eastAsia="x-none"/>
        </w:rPr>
        <w:t>, han establecido sistemas de contratación que implican convocatoria pública y participación de varios oferentes</w:t>
      </w:r>
      <w:r w:rsidRPr="0057193B">
        <w:rPr>
          <w:rFonts w:ascii="Verdana" w:eastAsia="Times New Roman" w:hAnsi="Verdana" w:cs="Arial"/>
          <w:lang w:eastAsia="en-GB"/>
        </w:rPr>
        <w:t>»</w:t>
      </w:r>
      <w:r w:rsidRPr="0057193B">
        <w:rPr>
          <w:rFonts w:ascii="Verdana" w:eastAsia="Times New Roman" w:hAnsi="Verdana" w:cs="Arial"/>
          <w:lang w:eastAsia="x-none"/>
        </w:rPr>
        <w:t xml:space="preserve">. </w:t>
      </w:r>
    </w:p>
    <w:p w14:paraId="176F8078" w14:textId="77777777" w:rsidR="0079105E" w:rsidRPr="0057193B" w:rsidRDefault="0079105E" w:rsidP="007910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E</w:t>
      </w:r>
      <w:r w:rsidRPr="0057193B">
        <w:rPr>
          <w:rFonts w:ascii="Verdana" w:eastAsia="Times New Roman" w:hAnsi="Verdana" w:cs="Arial"/>
          <w:lang w:eastAsia="x-none"/>
        </w:rPr>
        <w:t>n efecto, vale la pena mencionar que, en algunos sistemas de contratación, utilizados por entidades públicas con regímenes especiales, o sujetas al derecho privado, la convocatoria o invitación para contratar puede limitarse a aquellas personas que previamente se hayan inscrito en una lista de precalificados o de simples interesados, o en un determinado registro o banco de datos de proveedores. En estos casos, lo determinante para considerar que dicho sistema no constituye «contratación directa», es que la convocatoria para inscribirse en forma previa se haga de manera pública, y que se permita la participación de una pluralidad de oferentes</w:t>
      </w:r>
      <w:r w:rsidRPr="0057193B">
        <w:rPr>
          <w:rFonts w:ascii="Verdana" w:eastAsia="Times New Roman" w:hAnsi="Verdana" w:cs="Arial"/>
          <w:vertAlign w:val="superscript"/>
          <w:lang w:eastAsia="x-none"/>
        </w:rPr>
        <w:footnoteReference w:id="18"/>
      </w:r>
      <w:r w:rsidRPr="0057193B">
        <w:rPr>
          <w:rFonts w:ascii="Verdana" w:eastAsia="Times New Roman" w:hAnsi="Verdana" w:cs="Arial"/>
          <w:lang w:eastAsia="x-none"/>
        </w:rPr>
        <w:t xml:space="preserve">. </w:t>
      </w:r>
    </w:p>
    <w:p w14:paraId="2BA02A93" w14:textId="77777777" w:rsidR="0079105E" w:rsidRPr="0057193B" w:rsidRDefault="0079105E" w:rsidP="007910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se advierte de lo anterior, el Consejo de Estado realiza una interpretación amplia de la contratación directa, para efectos de aplicar las restricciones establecidas en la Ley de Garantías, al señalar que no solo aplica frente a las entidades sometidas al Estatuto general de Contratación de la Administración Pública, sino también frente a las entidades que tengan un régimen especial de contratación. No obstante, también se observa que luego de la expedición de Ley 1150 de 2007, el Consejo de Estado comenzó a delimitar con mayor precisión el término de «contratación directa».</w:t>
      </w:r>
    </w:p>
    <w:p w14:paraId="3A8E1EF9" w14:textId="77777777" w:rsidR="0079105E" w:rsidRPr="0057193B" w:rsidRDefault="0079105E" w:rsidP="0079105E">
      <w:pPr>
        <w:spacing w:after="12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 xml:space="preserve"> Así las cosas, ha de entenderse que, para los efectos de la Ley de Garantías Electorales y, en particular, para la prohibición o restricción tempora</w:t>
      </w:r>
      <w:r>
        <w:rPr>
          <w:rFonts w:ascii="Verdana" w:eastAsia="Times New Roman" w:hAnsi="Verdana" w:cs="Arial"/>
          <w:bCs/>
          <w:lang w:val="es-MX" w:eastAsia="x-none"/>
        </w:rPr>
        <w:t>l contenida en su artículo 33, “contratación directa”</w:t>
      </w:r>
      <w:r w:rsidRPr="0057193B">
        <w:rPr>
          <w:rFonts w:ascii="Verdana" w:eastAsia="Times New Roman" w:hAnsi="Verdana" w:cs="Arial"/>
          <w:bCs/>
          <w:lang w:val="es-MX" w:eastAsia="x-none"/>
        </w:rPr>
        <w:t xml:space="preserve"> es cualquier sistema de selección o procedimiento de contratación utilizado por las entidades estatales que no incluya la convocatoria pública en alguna de sus etapas, ni permita la participación de una pluralidad de oferentes</w:t>
      </w:r>
      <w:r w:rsidRPr="0057193B">
        <w:rPr>
          <w:rFonts w:ascii="Verdana" w:eastAsia="Times New Roman" w:hAnsi="Verdana" w:cs="Arial"/>
          <w:vertAlign w:val="superscript"/>
          <w:lang w:eastAsia="x-none"/>
        </w:rPr>
        <w:footnoteReference w:id="19"/>
      </w:r>
      <w:r w:rsidRPr="0057193B">
        <w:rPr>
          <w:rFonts w:ascii="Verdana" w:eastAsia="Times New Roman" w:hAnsi="Verdana" w:cs="Arial"/>
          <w:bCs/>
          <w:lang w:val="es-MX" w:eastAsia="x-none"/>
        </w:rPr>
        <w:t>.</w:t>
      </w:r>
      <w:r w:rsidRPr="0057193B">
        <w:rPr>
          <w:rFonts w:ascii="Verdana" w:eastAsia="Times New Roman" w:hAnsi="Verdana" w:cs="Arial"/>
          <w:vertAlign w:val="superscript"/>
          <w:lang w:eastAsia="x-none"/>
        </w:rPr>
        <w:t xml:space="preserve"> </w:t>
      </w:r>
    </w:p>
    <w:p w14:paraId="7946FA90" w14:textId="77777777" w:rsidR="0079105E" w:rsidRPr="0057193B" w:rsidRDefault="0079105E" w:rsidP="0079105E">
      <w:pPr>
        <w:spacing w:after="120" w:line="276" w:lineRule="auto"/>
        <w:ind w:firstLine="708"/>
        <w:jc w:val="both"/>
        <w:rPr>
          <w:rFonts w:ascii="Verdana" w:eastAsia="Times New Roman" w:hAnsi="Verdana" w:cs="Arial"/>
          <w:lang w:eastAsia="x-none"/>
        </w:rPr>
      </w:pPr>
      <w:r w:rsidRPr="0057193B">
        <w:rPr>
          <w:rFonts w:ascii="Verdana" w:eastAsia="Times New Roman" w:hAnsi="Verdana" w:cs="Arial"/>
          <w:bCs/>
          <w:lang w:val="es-MX" w:eastAsia="x-none"/>
        </w:rPr>
        <w:t>De lo anterior se desprende que la restricción aplica, sin perjuicio de las excepciones establecidas en la misma ley, para celebrar cualquier contrato de forma directa, esto es, sin que exista un proceso abierto y competitivo.</w:t>
      </w:r>
      <w:r w:rsidRPr="0057193B">
        <w:rPr>
          <w:rFonts w:ascii="Verdana" w:eastAsia="Times New Roman" w:hAnsi="Verdana" w:cs="Arial"/>
          <w:lang w:eastAsia="x-none"/>
        </w:rPr>
        <w:t xml:space="preserve"> Por tanto, no son materia de la prohibición las demás modalidades de selección previstas en la Ley 1150 de 2007, es decir, la licitación pública, el concurso de méritos, la </w:t>
      </w:r>
      <w:r w:rsidRPr="0057193B">
        <w:rPr>
          <w:rFonts w:ascii="Verdana" w:eastAsia="Times New Roman" w:hAnsi="Verdana" w:cs="Arial"/>
          <w:lang w:eastAsia="x-none"/>
        </w:rPr>
        <w:lastRenderedPageBreak/>
        <w:t>selección abreviada y la mínima cuantía, razón por la cual en ese período preelectoral de que trata la disposición las entidades públicas pueden seguir contratando bajo estos sistemas.</w:t>
      </w:r>
    </w:p>
    <w:p w14:paraId="33076AC9" w14:textId="77777777" w:rsidR="0079105E" w:rsidRPr="00447D82" w:rsidRDefault="0079105E" w:rsidP="007910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es-CO"/>
        </w:rPr>
        <w:t>Como en otras oportunidades lo ha manifestado esta Agencia,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0"/>
      </w:r>
      <w:r w:rsidRPr="0057193B">
        <w:rPr>
          <w:rFonts w:ascii="Verdana" w:eastAsia="Times New Roman" w:hAnsi="Verdana" w:cs="Arial"/>
          <w:bCs/>
          <w:lang w:val="es-MX" w:eastAsia="es-CO"/>
        </w:rPr>
        <w:t>. Además, también es posible que contratos celebrados previamente se continúen ejecutando con normalidad.</w:t>
      </w:r>
      <w:r>
        <w:rPr>
          <w:rFonts w:ascii="Verdana" w:eastAsia="Times New Roman" w:hAnsi="Verdana" w:cs="Arial"/>
          <w:bCs/>
          <w:lang w:val="es-MX" w:eastAsia="es-CO"/>
        </w:rPr>
        <w:t xml:space="preserve"> </w:t>
      </w:r>
    </w:p>
    <w:p w14:paraId="3E988041" w14:textId="77777777" w:rsidR="0079105E" w:rsidRPr="0057193B" w:rsidRDefault="0079105E" w:rsidP="0079105E">
      <w:pPr>
        <w:spacing w:after="120" w:line="276" w:lineRule="auto"/>
        <w:ind w:firstLine="708"/>
        <w:jc w:val="both"/>
        <w:rPr>
          <w:rFonts w:ascii="Verdana" w:eastAsia="Times New Roman" w:hAnsi="Verdana" w:cs="Arial"/>
          <w:bCs/>
          <w:lang w:val="es-MX" w:eastAsia="es-CO"/>
        </w:rPr>
      </w:pPr>
      <w:r w:rsidRPr="0057193B">
        <w:rPr>
          <w:rFonts w:ascii="Verdana" w:eastAsia="Times New Roman" w:hAnsi="Verdana" w:cs="Arial"/>
          <w:bCs/>
          <w:lang w:val="es-MX" w:eastAsia="x-none"/>
        </w:rPr>
        <w:t xml:space="preserve">De otro lado, las excepciones a la restricción prevista en la Ley de Garantías, con fundamento en las cuales podrán las entidades públicas adelantar procedimientos de selección directa en períodos previos a la contienda electoral por la Presidencia, se encuentran consagradas expresamente en el inciso final del citado artículo 33 de la Ley 996 de 2005 en lo referente a i) la defensa y seguridad del Estado; </w:t>
      </w:r>
      <w:proofErr w:type="spellStart"/>
      <w:r w:rsidRPr="0057193B">
        <w:rPr>
          <w:rFonts w:ascii="Verdana" w:eastAsia="Times New Roman" w:hAnsi="Verdana" w:cs="Arial"/>
          <w:bCs/>
          <w:lang w:val="es-MX" w:eastAsia="x-none"/>
        </w:rPr>
        <w:t>ii</w:t>
      </w:r>
      <w:proofErr w:type="spellEnd"/>
      <w:r w:rsidRPr="0057193B">
        <w:rPr>
          <w:rFonts w:ascii="Verdana" w:eastAsia="Times New Roman" w:hAnsi="Verdana" w:cs="Arial"/>
          <w:bCs/>
          <w:lang w:val="es-MX" w:eastAsia="x-none"/>
        </w:rPr>
        <w:t xml:space="preserve">) los contratos de crédito público; </w:t>
      </w:r>
      <w:proofErr w:type="spellStart"/>
      <w:r w:rsidRPr="0057193B">
        <w:rPr>
          <w:rFonts w:ascii="Verdana" w:eastAsia="Times New Roman" w:hAnsi="Verdana" w:cs="Arial"/>
          <w:bCs/>
          <w:lang w:val="es-MX" w:eastAsia="x-none"/>
        </w:rPr>
        <w:t>iii</w:t>
      </w:r>
      <w:proofErr w:type="spellEnd"/>
      <w:r w:rsidRPr="0057193B">
        <w:rPr>
          <w:rFonts w:ascii="Verdana" w:eastAsia="Times New Roman" w:hAnsi="Verdana" w:cs="Arial"/>
          <w:bCs/>
          <w:lang w:val="es-MX" w:eastAsia="x-none"/>
        </w:rPr>
        <w:t xml:space="preserve">) los requeridos para cubrir las emergencias educativas, sanitarias y desastres; </w:t>
      </w:r>
      <w:proofErr w:type="spellStart"/>
      <w:r w:rsidRPr="0057193B">
        <w:rPr>
          <w:rFonts w:ascii="Verdana" w:eastAsia="Times New Roman" w:hAnsi="Verdana" w:cs="Arial"/>
          <w:bCs/>
          <w:lang w:val="es-MX" w:eastAsia="x-none"/>
        </w:rPr>
        <w:t>iv</w:t>
      </w:r>
      <w:proofErr w:type="spellEnd"/>
      <w:r w:rsidRPr="0057193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w:t>
      </w:r>
      <w:r w:rsidRPr="0057193B">
        <w:rPr>
          <w:rFonts w:ascii="Verdana" w:eastAsia="Times New Roman" w:hAnsi="Verdana" w:cs="Arial"/>
          <w:bCs/>
          <w:lang w:val="es-MX" w:eastAsia="es-CO"/>
        </w:rPr>
        <w:t xml:space="preserve">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7B7D1247" w14:textId="77777777" w:rsidR="0079105E" w:rsidRPr="0057193B" w:rsidRDefault="0079105E" w:rsidP="007910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En esta labor es importante tener en cuenta, como lo anotó la Corte Constitucional, en Sentencia C-11</w:t>
      </w:r>
      <w:r>
        <w:rPr>
          <w:rFonts w:ascii="Verdana" w:eastAsia="Times New Roman" w:hAnsi="Verdana" w:cs="Arial"/>
          <w:bCs/>
          <w:lang w:val="es-MX" w:eastAsia="x-none"/>
        </w:rPr>
        <w:t>53 de noviembre 11 de 2005 que “</w:t>
      </w:r>
      <w:r w:rsidRPr="0057193B">
        <w:rPr>
          <w:rFonts w:ascii="Verdana" w:eastAsia="Times New Roman" w:hAnsi="Verdana" w:cs="Arial"/>
          <w:bCs/>
          <w:lang w:val="es-MX" w:eastAsia="x-none"/>
        </w:rPr>
        <w:t xml:space="preserve">si bien la limitación garantiza la igualdad de condiciones, también es necesario que tal limitación que pretende la igualdad no termine yendo en detrimento de intereses públicos, cuya garantía está en cabeza del ejecutivo, como son los inmersos en </w:t>
      </w:r>
      <w:r w:rsidRPr="0057193B">
        <w:rPr>
          <w:rFonts w:ascii="Verdana" w:eastAsia="Times New Roman" w:hAnsi="Verdana" w:cs="Arial"/>
          <w:bCs/>
          <w:lang w:val="es-MX" w:eastAsia="x-none"/>
        </w:rPr>
        <w:lastRenderedPageBreak/>
        <w:t>las excepciones para</w:t>
      </w:r>
      <w:r>
        <w:rPr>
          <w:rFonts w:ascii="Verdana" w:eastAsia="Times New Roman" w:hAnsi="Verdana" w:cs="Arial"/>
          <w:bCs/>
          <w:lang w:val="es-MX" w:eastAsia="x-none"/>
        </w:rPr>
        <w:t xml:space="preserve"> la prohibición de contratación”</w:t>
      </w:r>
      <w:r w:rsidRPr="0057193B">
        <w:rPr>
          <w:rFonts w:ascii="Verdana" w:eastAsia="Calibri" w:hAnsi="Verdana" w:cs="Arial"/>
          <w:vertAlign w:val="superscript"/>
          <w:lang w:val="es-MX"/>
        </w:rPr>
        <w:footnoteReference w:id="21"/>
      </w:r>
      <w:r w:rsidRPr="0057193B">
        <w:rPr>
          <w:rFonts w:ascii="Verdana" w:eastAsia="Times New Roman" w:hAnsi="Verdana" w:cs="Arial"/>
          <w:bCs/>
          <w:lang w:val="es-MX" w:eastAsia="x-none"/>
        </w:rPr>
        <w:t>. De ahí que la Corte haya señalado que las excepciones a la restricción protegen diversos tipos de urgencias de defensa, salud, educación, infraestructura vial y de servicios públicos y ecológicas, que tienden a no limitar desproporcionadamente la acción del Estado en el cumplimiento de sus fines, en procura de la igualdad entre los candidatos como garantía electoral.</w:t>
      </w:r>
    </w:p>
    <w:p w14:paraId="083337BD" w14:textId="77777777" w:rsidR="0079105E" w:rsidRPr="0057193B" w:rsidRDefault="0079105E" w:rsidP="0079105E">
      <w:pPr>
        <w:spacing w:after="0" w:line="276" w:lineRule="auto"/>
        <w:ind w:firstLine="708"/>
        <w:jc w:val="both"/>
        <w:rPr>
          <w:rFonts w:ascii="Verdana" w:eastAsia="Times New Roman" w:hAnsi="Verdana" w:cs="Arial"/>
          <w:bCs/>
          <w:lang w:val="es-MX" w:eastAsia="x-none"/>
        </w:rPr>
      </w:pPr>
      <w:r w:rsidRPr="0057193B">
        <w:rPr>
          <w:rFonts w:ascii="Verdana" w:eastAsia="Times New Roman" w:hAnsi="Verdana" w:cs="Arial"/>
          <w:bCs/>
          <w:lang w:val="es-MX" w:eastAsia="x-none"/>
        </w:rPr>
        <w:t>En relación con los destinatarios de la restricción analizada, el artículo 33 de la Ley 996 de 2005 los señala expresamente</w:t>
      </w:r>
      <w:r>
        <w:rPr>
          <w:rFonts w:ascii="Verdana" w:eastAsia="Times New Roman" w:hAnsi="Verdana" w:cs="Arial"/>
          <w:bCs/>
          <w:lang w:val="es-MX" w:eastAsia="x-none"/>
        </w:rPr>
        <w:t>, en el sentido de que son “todos los entes del Estado”</w:t>
      </w:r>
      <w:r w:rsidRPr="0057193B">
        <w:rPr>
          <w:rFonts w:ascii="Verdana" w:eastAsia="Times New Roman" w:hAnsi="Verdana" w:cs="Arial"/>
          <w:bCs/>
          <w:lang w:val="es-MX" w:eastAsia="x-none"/>
        </w:rPr>
        <w:t>, expresión que contempla a los diferentes organismos o entidades autorizadas por la ley para suscribir contratos.</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En efecto, tal como lo ha sostenido el</w:t>
      </w:r>
      <w:r>
        <w:rPr>
          <w:rFonts w:ascii="Verdana" w:eastAsia="Times New Roman" w:hAnsi="Verdana" w:cs="Arial"/>
          <w:bCs/>
          <w:lang w:val="es-MX" w:eastAsia="x-none"/>
        </w:rPr>
        <w:t xml:space="preserve"> Consejo de Estado, el vocablo “todos”</w:t>
      </w:r>
      <w:r w:rsidRPr="0057193B">
        <w:rPr>
          <w:rFonts w:ascii="Verdana" w:eastAsia="Times New Roman" w:hAnsi="Verdana" w:cs="Arial"/>
          <w:bCs/>
          <w:lang w:val="es-MX" w:eastAsia="x-none"/>
        </w:rPr>
        <w:t xml:space="preserve"> utilizado por el legislador comprende</w:t>
      </w:r>
      <w:r w:rsidRPr="0057193B">
        <w:rPr>
          <w:rFonts w:ascii="Verdana" w:eastAsia="Calibri" w:hAnsi="Verdana" w:cs="Arial"/>
          <w:sz w:val="24"/>
          <w:lang w:val="es-MX"/>
        </w:rPr>
        <w:t xml:space="preserve"> </w:t>
      </w:r>
      <w:r w:rsidRPr="0057193B">
        <w:rPr>
          <w:rFonts w:ascii="Verdana" w:eastAsia="Times New Roman" w:hAnsi="Verdana" w:cs="Arial"/>
          <w:bCs/>
          <w:lang w:val="es-MX" w:eastAsia="x-none"/>
        </w:rPr>
        <w:t xml:space="preserve">a la totalidad de los entes del Estado, sin distinción del régimen jurídico, forma de organización o naturaleza, su pertenencia a una u otra rama del poder público o su autonomía, e incluso si las entidades estatales tienen régimen especial de contratación y están exceptuadas del ámbito de aplicación del Estatuto General de Contratación de la Administración Pública. </w:t>
      </w:r>
      <w:r w:rsidRPr="0057193B">
        <w:rPr>
          <w:rFonts w:ascii="Verdana" w:eastAsia="Times New Roman" w:hAnsi="Verdana" w:cs="Arial"/>
          <w:bCs/>
          <w:lang w:val="es-ES_tradnl" w:eastAsia="x-none"/>
        </w:rPr>
        <w:t xml:space="preserve">La Sala de Consulta y Servicio Civil del Consejo de Estado, en Concepto 1727 de fecha 20 de febrero de 2006, consideró que: </w:t>
      </w:r>
    </w:p>
    <w:p w14:paraId="2FEE1093" w14:textId="77777777" w:rsidR="0079105E" w:rsidRPr="0057193B" w:rsidRDefault="0079105E" w:rsidP="0079105E">
      <w:pPr>
        <w:spacing w:after="0" w:line="276" w:lineRule="auto"/>
        <w:jc w:val="both"/>
        <w:rPr>
          <w:rFonts w:ascii="Verdana" w:eastAsia="Times New Roman" w:hAnsi="Verdana" w:cs="Arial"/>
          <w:bCs/>
          <w:lang w:val="es-MX" w:eastAsia="x-none"/>
        </w:rPr>
      </w:pPr>
    </w:p>
    <w:p w14:paraId="5AFE92BF" w14:textId="77777777" w:rsidR="0079105E" w:rsidRPr="0057193B" w:rsidRDefault="0079105E" w:rsidP="0079105E">
      <w:pPr>
        <w:spacing w:after="0" w:line="240" w:lineRule="auto"/>
        <w:ind w:left="708" w:right="709"/>
        <w:jc w:val="both"/>
        <w:rPr>
          <w:rFonts w:ascii="Verdana" w:eastAsia="Times New Roman" w:hAnsi="Verdana" w:cs="Arial"/>
          <w:bCs/>
          <w:sz w:val="21"/>
          <w:szCs w:val="21"/>
          <w:lang w:val="es-MX" w:eastAsia="es-CO"/>
        </w:rPr>
      </w:pPr>
      <w:r w:rsidRPr="0057193B">
        <w:rPr>
          <w:rFonts w:ascii="Verdana" w:eastAsia="Times New Roman" w:hAnsi="Verdana" w:cs="Arial"/>
          <w:bCs/>
          <w:sz w:val="21"/>
          <w:szCs w:val="21"/>
          <w:lang w:val="es-MX" w:eastAsia="x-none"/>
        </w:rPr>
        <w:t>El artículo 33 de la ley 996 de 2005, efectivamente se aplica incluso a las entidades estatales con régimen especial de contratación y que están exceptuadas del ámbito de aplicación del Estatuto General de Contratación de la Administración Pública, como por ejemplo los prestadores de servicios públicos domiciliarios (empresas de servicios públicos oficiales y empresas industriales y comerciales del Estado) y a los municipios prestadores directos, incluyendo las excepciones contenidas en el segundo inciso de esta norma</w:t>
      </w:r>
      <w:r w:rsidRPr="0057193B">
        <w:rPr>
          <w:rFonts w:ascii="Verdana" w:eastAsia="Times New Roman" w:hAnsi="Verdana" w:cs="Arial"/>
          <w:bCs/>
          <w:sz w:val="21"/>
          <w:szCs w:val="21"/>
          <w:vertAlign w:val="superscript"/>
          <w:lang w:val="es-MX" w:eastAsia="x-none"/>
        </w:rPr>
        <w:footnoteReference w:id="22"/>
      </w:r>
      <w:r w:rsidRPr="0057193B">
        <w:rPr>
          <w:rFonts w:ascii="Verdana" w:eastAsia="Times New Roman" w:hAnsi="Verdana" w:cs="Arial"/>
          <w:bCs/>
          <w:sz w:val="21"/>
          <w:szCs w:val="21"/>
          <w:lang w:val="es-MX" w:eastAsia="x-none"/>
        </w:rPr>
        <w:t>.</w:t>
      </w:r>
      <w:r w:rsidRPr="0057193B">
        <w:rPr>
          <w:rFonts w:ascii="Verdana" w:eastAsia="Times New Roman" w:hAnsi="Verdana" w:cs="Arial"/>
          <w:bCs/>
          <w:sz w:val="21"/>
          <w:szCs w:val="21"/>
          <w:lang w:val="es-MX" w:eastAsia="es-CO"/>
        </w:rPr>
        <w:t xml:space="preserve"> </w:t>
      </w:r>
    </w:p>
    <w:p w14:paraId="73507DD4" w14:textId="77777777" w:rsidR="0079105E" w:rsidRPr="0057193B" w:rsidRDefault="0079105E" w:rsidP="0079105E">
      <w:pPr>
        <w:spacing w:after="0" w:line="276" w:lineRule="auto"/>
        <w:ind w:firstLine="708"/>
        <w:jc w:val="both"/>
        <w:rPr>
          <w:rFonts w:ascii="Verdana" w:eastAsia="Times New Roman" w:hAnsi="Verdana" w:cs="Arial"/>
          <w:bCs/>
          <w:lang w:val="es-MX" w:eastAsia="es-CO"/>
        </w:rPr>
      </w:pPr>
    </w:p>
    <w:p w14:paraId="71F8230D" w14:textId="77777777" w:rsidR="0079105E" w:rsidRPr="0057193B" w:rsidRDefault="0079105E" w:rsidP="0079105E">
      <w:pPr>
        <w:spacing w:after="0" w:line="276" w:lineRule="auto"/>
        <w:ind w:firstLine="708"/>
        <w:jc w:val="both"/>
        <w:rPr>
          <w:rFonts w:ascii="Verdana" w:eastAsia="Calibri" w:hAnsi="Verdana" w:cs="Arial"/>
          <w:lang w:val="es-MX"/>
        </w:rPr>
      </w:pPr>
      <w:r w:rsidRPr="0057193B">
        <w:rPr>
          <w:rFonts w:ascii="Verdana" w:eastAsia="Times New Roman" w:hAnsi="Verdana" w:cs="Arial"/>
          <w:bCs/>
          <w:lang w:val="es-MX" w:eastAsia="x-none"/>
        </w:rPr>
        <w:t>De igual forma, en Concepto con radicado 1738 del 6 de abril de 2006, esa m</w:t>
      </w:r>
      <w:r>
        <w:rPr>
          <w:rFonts w:ascii="Verdana" w:eastAsia="Times New Roman" w:hAnsi="Verdana" w:cs="Arial"/>
          <w:bCs/>
          <w:lang w:val="es-MX" w:eastAsia="x-none"/>
        </w:rPr>
        <w:t>isma Corporación manifestó que “</w:t>
      </w:r>
      <w:r w:rsidRPr="0057193B">
        <w:rPr>
          <w:rFonts w:ascii="Verdana" w:eastAsia="Times New Roman" w:hAnsi="Verdana" w:cs="Arial"/>
          <w:bCs/>
          <w:lang w:val="es-MX" w:eastAsia="x-none"/>
        </w:rPr>
        <w:t xml:space="preserve">Las restricciones de la Ley de Garantías en materia de contratación directa y celebración de convenios interadministrativos, se aplican a las empresas industriales y comerciales del Estado y a las Sociedades de Economía Mixta, salvo cuando la celebración de un </w:t>
      </w:r>
      <w:r w:rsidRPr="0057193B">
        <w:rPr>
          <w:rFonts w:ascii="Verdana" w:eastAsia="Times New Roman" w:hAnsi="Verdana" w:cs="Arial"/>
          <w:bCs/>
          <w:lang w:val="es-MX" w:eastAsia="x-none"/>
        </w:rPr>
        <w:lastRenderedPageBreak/>
        <w:t xml:space="preserve">convenio interadministrativo sea ordenada, para </w:t>
      </w:r>
      <w:r>
        <w:rPr>
          <w:rFonts w:ascii="Verdana" w:eastAsia="Times New Roman" w:hAnsi="Verdana" w:cs="Arial"/>
          <w:bCs/>
          <w:lang w:val="es-MX" w:eastAsia="x-none"/>
        </w:rPr>
        <w:t>ambas partes, por el Legislador”</w:t>
      </w:r>
      <w:r w:rsidRPr="0057193B">
        <w:rPr>
          <w:rFonts w:ascii="Verdana" w:eastAsia="Calibri" w:hAnsi="Verdana" w:cs="Arial"/>
          <w:sz w:val="24"/>
          <w:vertAlign w:val="superscript"/>
          <w:lang w:val="es-MX"/>
        </w:rPr>
        <w:footnoteReference w:id="23"/>
      </w:r>
      <w:r w:rsidRPr="0057193B">
        <w:rPr>
          <w:rFonts w:ascii="Verdana" w:eastAsia="Times New Roman" w:hAnsi="Verdana" w:cs="Arial"/>
          <w:bCs/>
          <w:lang w:val="es-MX" w:eastAsia="x-none"/>
        </w:rPr>
        <w:t>.</w:t>
      </w:r>
      <w:r w:rsidRPr="0057193B">
        <w:rPr>
          <w:rFonts w:ascii="Verdana" w:eastAsia="Calibri" w:hAnsi="Verdana" w:cs="Arial"/>
          <w:lang w:val="es-MX"/>
        </w:rPr>
        <w:t xml:space="preserve"> Además, la Sala de Consulta y Servicio Civil del Consejo de Estado realizó la siguiente distinción, retomando el pronunciamiento de la misma sala del 20 de febrero de 2006, citado anteriormente:</w:t>
      </w:r>
    </w:p>
    <w:p w14:paraId="57659F6F" w14:textId="77777777" w:rsidR="0079105E" w:rsidRPr="0057193B" w:rsidRDefault="0079105E" w:rsidP="0079105E">
      <w:pPr>
        <w:spacing w:after="0" w:line="276" w:lineRule="auto"/>
        <w:jc w:val="both"/>
        <w:rPr>
          <w:rFonts w:ascii="Verdana" w:eastAsia="Calibri" w:hAnsi="Verdana" w:cs="Arial"/>
          <w:lang w:val="es-MX"/>
        </w:rPr>
      </w:pPr>
    </w:p>
    <w:p w14:paraId="70A24CF3" w14:textId="77777777" w:rsidR="0079105E" w:rsidRPr="001924B7" w:rsidRDefault="0079105E" w:rsidP="0079105E">
      <w:pPr>
        <w:spacing w:after="0" w:line="240" w:lineRule="auto"/>
        <w:ind w:left="708" w:right="709"/>
        <w:jc w:val="both"/>
        <w:rPr>
          <w:rFonts w:ascii="Verdana" w:eastAsia="Calibri" w:hAnsi="Verdana" w:cs="Arial"/>
          <w:sz w:val="20"/>
          <w:szCs w:val="20"/>
          <w:lang w:val="es-MX"/>
        </w:rPr>
      </w:pPr>
      <w:r w:rsidRPr="001924B7">
        <w:rPr>
          <w:rFonts w:ascii="Verdana" w:eastAsia="Calibri" w:hAnsi="Verdana" w:cs="Arial"/>
          <w:sz w:val="20"/>
          <w:szCs w:val="20"/>
          <w:lang w:val="es-MX"/>
        </w:rPr>
        <w:t>En el concepto No. 1727 de fecha 20 de febrero de 2006, ésta Sala distinguió dos clases de contratos en relación con las empresas de servicios públicos domiciliarios: unos, en los que la posición de la empresa es la de consumidora de las prestaciones objeto del contrato, que utiliza para la prestación de los servicios a su cargo, y los otros, en los que la empresa entrega esos servicios a los usuarios, conforme a unas reglas uniformes para todos ellos y sin que haya privilegios o tratos desiguales. En los primeros contratos, es claro que la empresa debe adquirir esos bienes previa licitación pública, según se expuso anteriormente, pero en el segundo caso, 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p>
    <w:p w14:paraId="1D6EE823" w14:textId="77777777" w:rsidR="0079105E" w:rsidRPr="001924B7" w:rsidRDefault="0079105E" w:rsidP="0079105E">
      <w:pPr>
        <w:spacing w:after="0" w:line="240" w:lineRule="auto"/>
        <w:ind w:left="708" w:right="709"/>
        <w:jc w:val="both"/>
        <w:rPr>
          <w:rFonts w:ascii="Verdana" w:eastAsia="Calibri" w:hAnsi="Verdana" w:cs="Arial"/>
          <w:sz w:val="20"/>
          <w:szCs w:val="20"/>
          <w:lang w:val="es-MX"/>
        </w:rPr>
      </w:pPr>
    </w:p>
    <w:p w14:paraId="42CC42E2" w14:textId="77777777" w:rsidR="0079105E" w:rsidRPr="001924B7" w:rsidRDefault="0079105E" w:rsidP="0079105E">
      <w:pPr>
        <w:spacing w:after="0" w:line="240" w:lineRule="auto"/>
        <w:ind w:left="708" w:right="709"/>
        <w:jc w:val="both"/>
        <w:rPr>
          <w:rFonts w:ascii="Verdana" w:eastAsia="Calibri" w:hAnsi="Verdana" w:cs="Arial"/>
          <w:sz w:val="20"/>
          <w:szCs w:val="20"/>
          <w:lang w:val="es-MX"/>
        </w:rPr>
      </w:pPr>
      <w:r w:rsidRPr="001924B7">
        <w:rPr>
          <w:rFonts w:ascii="Verdana" w:eastAsia="Times New Roman" w:hAnsi="Verdana" w:cs="Arial"/>
          <w:bCs/>
          <w:sz w:val="20"/>
          <w:szCs w:val="20"/>
          <w:lang w:val="es-MX" w:eastAsia="x-none"/>
        </w:rPr>
        <w:t>Aplicando este razonamiento a los establecimientos de crédito, a las sociedades de servicios financieros y a las entidades aseguradoras, encontramos que no pueden adquirir los suministros de bienes y servicios necesarios para la realización de su actividad por contratación directa sino por el mecanismo de la licitación pública, pero es obvio que si una de éstas entidades va a prestar un servicio financiero o de seguros a un particular, lo puede hacer, pues éstos se ofrecen a toda la comunidad en condiciones de igualdad. Si se supusiera que está prohibida su contratación directa, significaría la parálisis de tal actividad de interés público, lo que de ninguna manera es lo querido por la ley 996 de 2005</w:t>
      </w:r>
      <w:r w:rsidRPr="001924B7">
        <w:rPr>
          <w:rFonts w:ascii="Verdana" w:eastAsia="Calibri" w:hAnsi="Verdana" w:cs="Arial"/>
          <w:sz w:val="20"/>
          <w:szCs w:val="20"/>
          <w:vertAlign w:val="superscript"/>
          <w:lang w:val="es-MX"/>
        </w:rPr>
        <w:footnoteReference w:id="24"/>
      </w:r>
      <w:r w:rsidRPr="001924B7">
        <w:rPr>
          <w:rFonts w:ascii="Verdana" w:eastAsia="Times New Roman" w:hAnsi="Verdana" w:cs="Arial"/>
          <w:bCs/>
          <w:sz w:val="20"/>
          <w:szCs w:val="20"/>
          <w:lang w:val="es-MX" w:eastAsia="x-none"/>
        </w:rPr>
        <w:t>.</w:t>
      </w:r>
    </w:p>
    <w:p w14:paraId="312EAC79" w14:textId="77777777" w:rsidR="0079105E" w:rsidRPr="0057193B" w:rsidRDefault="0079105E" w:rsidP="0079105E">
      <w:pPr>
        <w:spacing w:after="0" w:line="276" w:lineRule="auto"/>
        <w:jc w:val="both"/>
        <w:rPr>
          <w:rFonts w:ascii="Verdana" w:eastAsia="Calibri" w:hAnsi="Verdana" w:cs="Arial"/>
          <w:lang w:val="es-MX"/>
        </w:rPr>
      </w:pPr>
    </w:p>
    <w:p w14:paraId="669B65A9" w14:textId="77777777" w:rsidR="0079105E" w:rsidRPr="0057193B" w:rsidRDefault="0079105E" w:rsidP="0079105E">
      <w:pPr>
        <w:spacing w:after="120" w:line="276" w:lineRule="auto"/>
        <w:ind w:firstLine="709"/>
        <w:jc w:val="both"/>
        <w:rPr>
          <w:rFonts w:ascii="Verdana" w:eastAsia="Times New Roman" w:hAnsi="Verdana" w:cs="Arial"/>
          <w:lang w:eastAsia="es-CO"/>
        </w:rPr>
      </w:pPr>
      <w:r w:rsidRPr="0057193B">
        <w:rPr>
          <w:rFonts w:ascii="Verdana" w:eastAsia="Calibri" w:hAnsi="Verdana" w:cs="Arial"/>
          <w:lang w:val="es-MX"/>
        </w:rPr>
        <w:t xml:space="preserve">De acuerdo con estos pronunciamientos de la Sala de Consulta y Servicio Civil del Consejo de Estado, la prohibición de la contratación directa también aplica frente a las entidades exceptuadas de la aplicación del EGCAP y que se rigen en materia contractual por el derecho privado. Sin embargo, señaló que algunas de estas entidades, como sucede con las empresas de servicios públicos domiciliarios, los </w:t>
      </w:r>
      <w:r w:rsidRPr="0057193B">
        <w:rPr>
          <w:rFonts w:ascii="Verdana" w:eastAsia="Times New Roman" w:hAnsi="Verdana" w:cs="Arial"/>
          <w:bCs/>
          <w:lang w:val="es-MX" w:eastAsia="x-none"/>
        </w:rPr>
        <w:t xml:space="preserve">establecimientos de crédito, las sociedades de servicios </w:t>
      </w:r>
      <w:r w:rsidRPr="0057193B">
        <w:rPr>
          <w:rFonts w:ascii="Verdana" w:eastAsia="Times New Roman" w:hAnsi="Verdana" w:cs="Arial"/>
          <w:bCs/>
          <w:lang w:val="es-MX" w:eastAsia="x-none"/>
        </w:rPr>
        <w:lastRenderedPageBreak/>
        <w:t>financieros y las entidades aseguradoras</w:t>
      </w:r>
      <w:r w:rsidRPr="0057193B">
        <w:rPr>
          <w:rFonts w:ascii="Verdana" w:eastAsia="Calibri" w:hAnsi="Verdana" w:cs="Arial"/>
          <w:lang w:val="es-MX"/>
        </w:rPr>
        <w:t xml:space="preserve"> no pueden adquirir los suministros de bienes y servicios necesarios para la realización de su actividad por contratación directa, sino por mecanismos competitivos que impliquen convocatoria pública y la posibilidad de la existencia de pluralidad de oferentes, pero indicó que en estos casos </w:t>
      </w:r>
      <w:r>
        <w:rPr>
          <w:rFonts w:ascii="Verdana" w:eastAsia="Calibri" w:hAnsi="Verdana" w:cs="Arial"/>
          <w:lang w:val="es-MX"/>
        </w:rPr>
        <w:t>“</w:t>
      </w:r>
      <w:r w:rsidRPr="0057193B">
        <w:rPr>
          <w:rFonts w:ascii="Verdana" w:eastAsia="Calibri" w:hAnsi="Verdana" w:cs="Arial"/>
          <w:lang w:val="es-MX"/>
        </w:rPr>
        <w:t>las empresas no pueden dejar de entregar los servicios públicos a su cargo a nuevas personas, ni dejar de renovar los contratos existentes, pues significaría la parálisis de una actividad propia de la administración, que incluso podría desconocer los derechos fundamentales</w:t>
      </w:r>
      <w:r>
        <w:rPr>
          <w:rFonts w:ascii="Verdana" w:eastAsia="Calibri" w:hAnsi="Verdana" w:cs="Arial"/>
          <w:lang w:val="es-MX"/>
        </w:rPr>
        <w:t>”</w:t>
      </w:r>
      <w:r w:rsidRPr="0057193B">
        <w:rPr>
          <w:rFonts w:ascii="Verdana" w:eastAsia="Calibri" w:hAnsi="Verdana" w:cs="Arial"/>
          <w:vertAlign w:val="superscript"/>
          <w:lang w:val="es-MX"/>
        </w:rPr>
        <w:footnoteReference w:id="25"/>
      </w:r>
      <w:r w:rsidRPr="0057193B">
        <w:rPr>
          <w:rFonts w:ascii="Verdana" w:eastAsia="Calibri" w:hAnsi="Verdana" w:cs="Arial"/>
          <w:lang w:val="es-MX"/>
        </w:rPr>
        <w:t>.</w:t>
      </w:r>
      <w:r w:rsidRPr="0057193B">
        <w:rPr>
          <w:rFonts w:ascii="Verdana" w:eastAsia="Times New Roman" w:hAnsi="Verdana" w:cs="Arial"/>
          <w:lang w:eastAsia="es-CO"/>
        </w:rPr>
        <w:t xml:space="preserve"> </w:t>
      </w:r>
    </w:p>
    <w:p w14:paraId="7297FE13" w14:textId="77777777" w:rsidR="0079105E" w:rsidRDefault="0079105E" w:rsidP="007910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lang w:eastAsia="es-CO"/>
        </w:rPr>
        <w:t>Sin perjuicio de estos pronunciamientos de la Sala de Consulta y Servicio Civil</w:t>
      </w:r>
      <w:r w:rsidRPr="0057193B">
        <w:rPr>
          <w:rFonts w:ascii="Verdana" w:eastAsia="Calibri" w:hAnsi="Verdana" w:cs="Arial"/>
          <w:lang w:val="es-MX"/>
        </w:rPr>
        <w:t xml:space="preserve">, como la ha señalado esa misma Corporación, la restricción prevista en la Ley 996 de 2005 </w:t>
      </w:r>
      <w:r w:rsidRPr="0057193B">
        <w:rPr>
          <w:rFonts w:ascii="Verdana" w:eastAsia="Times New Roman" w:hAnsi="Verdana" w:cs="Arial"/>
          <w:bCs/>
          <w:lang w:val="es-MX" w:eastAsia="x-none"/>
        </w:rPr>
        <w:t>cobija a cualquier entidad pública independiente del régimen jurídico, que pueda mediante la contratación directa romper el equilibrio entre los candidatos en desarrollo de las elecciones presidenciales. Tampoco existe un supuesto de exoneración a la prohibición por tener un régimen especial de los actos o contratos</w:t>
      </w:r>
      <w:r>
        <w:rPr>
          <w:rFonts w:ascii="Verdana" w:eastAsia="Times New Roman" w:hAnsi="Verdana" w:cs="Arial"/>
          <w:bCs/>
          <w:lang w:val="es-MX" w:eastAsia="x-none"/>
        </w:rPr>
        <w:t xml:space="preserve"> o por la ejecución de un cierto tipo de recursos en sus contrataciones</w:t>
      </w:r>
      <w:r w:rsidRPr="0057193B">
        <w:rPr>
          <w:rFonts w:ascii="Verdana" w:eastAsia="Times New Roman" w:hAnsi="Verdana" w:cs="Arial"/>
          <w:bCs/>
          <w:lang w:val="es-MX" w:eastAsia="x-none"/>
        </w:rPr>
        <w:t>, pues, la posibilidad de que lo</w:t>
      </w:r>
      <w:r>
        <w:rPr>
          <w:rFonts w:ascii="Verdana" w:eastAsia="Times New Roman" w:hAnsi="Verdana" w:cs="Arial"/>
          <w:bCs/>
          <w:lang w:val="es-MX" w:eastAsia="x-none"/>
        </w:rPr>
        <w:t>s entes del Estado usen</w:t>
      </w:r>
      <w:r w:rsidRPr="0057193B">
        <w:rPr>
          <w:rFonts w:ascii="Verdana" w:eastAsia="Times New Roman" w:hAnsi="Verdana" w:cs="Arial"/>
          <w:bCs/>
          <w:lang w:val="es-MX" w:eastAsia="x-none"/>
        </w:rPr>
        <w:t xml:space="preserve"> la contratación con fines políticos, esto es, con la intención de influir a los electores y alterar la voluntad popular en las contiendas electorales, puede presentarse tanto en la contratación regulada por la Ley 80 de 1993 como en la regida por normas especiales.</w:t>
      </w:r>
    </w:p>
    <w:p w14:paraId="4BFB1E81" w14:textId="77777777" w:rsidR="0079105E" w:rsidRDefault="0079105E" w:rsidP="0079105E">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Teniendo en cuenta esta precisión, es necesario revisar si lo dispuesto en el Sistema General de Regalías le aplica la Ley 996 de 2005 –Ley de Garantías Electorales-. Para ello, es importante señalar que la Ley 2056 de 2020, </w:t>
      </w:r>
      <w:r w:rsidRPr="003B7D6C">
        <w:rPr>
          <w:rFonts w:ascii="Verdana" w:eastAsia="Times New Roman" w:hAnsi="Verdana" w:cs="Arial"/>
          <w:bCs/>
          <w:lang w:val="es-MX" w:eastAsia="x-none"/>
        </w:rPr>
        <w:t>“</w:t>
      </w:r>
      <w:r w:rsidRPr="003B7D6C">
        <w:rPr>
          <w:rFonts w:ascii="Verdana" w:eastAsia="Times New Roman" w:hAnsi="Verdana" w:cs="Arial"/>
          <w:bCs/>
          <w:lang w:eastAsia="x-none"/>
        </w:rPr>
        <w:t xml:space="preserve">por la cual se regula la organización y el funcionamiento del Sistema General de Regalías”, </w:t>
      </w:r>
      <w:r>
        <w:rPr>
          <w:rFonts w:ascii="Verdana" w:eastAsia="Times New Roman" w:hAnsi="Verdana" w:cs="Arial"/>
          <w:bCs/>
          <w:lang w:eastAsia="x-none"/>
        </w:rPr>
        <w:t xml:space="preserve">tiene por objeto: “[…] </w:t>
      </w:r>
      <w:r w:rsidRPr="003B7D6C">
        <w:rPr>
          <w:rFonts w:ascii="Verdana" w:eastAsia="Times New Roman" w:hAnsi="Verdana" w:cs="Arial"/>
          <w:bCs/>
          <w:lang w:eastAsia="x-none"/>
        </w:rPr>
        <w:t>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r>
        <w:rPr>
          <w:rFonts w:ascii="Verdana" w:eastAsia="Times New Roman" w:hAnsi="Verdana" w:cs="Arial"/>
          <w:bCs/>
          <w:lang w:eastAsia="x-none"/>
        </w:rPr>
        <w:t>”.</w:t>
      </w:r>
    </w:p>
    <w:p w14:paraId="7BCE2196" w14:textId="77777777" w:rsidR="0079105E" w:rsidRDefault="0079105E" w:rsidP="0079105E">
      <w:pPr>
        <w:spacing w:after="120" w:line="276" w:lineRule="auto"/>
        <w:ind w:firstLine="709"/>
        <w:jc w:val="both"/>
        <w:rPr>
          <w:rFonts w:ascii="Verdana" w:eastAsia="Times New Roman" w:hAnsi="Verdana" w:cs="Arial"/>
          <w:bCs/>
          <w:lang w:val="es-MX" w:eastAsia="x-none"/>
        </w:rPr>
      </w:pPr>
      <w:r>
        <w:rPr>
          <w:rFonts w:ascii="Verdana" w:eastAsia="Times New Roman" w:hAnsi="Verdana" w:cs="Arial"/>
          <w:bCs/>
          <w:lang w:eastAsia="x-none"/>
        </w:rPr>
        <w:t xml:space="preserve">Dentro de este marco normativo </w:t>
      </w:r>
      <w:r>
        <w:rPr>
          <w:rFonts w:ascii="Verdana" w:eastAsia="Times New Roman" w:hAnsi="Verdana" w:cs="Arial"/>
          <w:bCs/>
          <w:lang w:val="es-ES" w:eastAsia="x-none"/>
        </w:rPr>
        <w:t xml:space="preserve">no se establece una excepción a lo dispuesto en el artículo 33 de la Ley 996 de 2005 </w:t>
      </w:r>
      <w:r w:rsidRPr="0057193B">
        <w:rPr>
          <w:rFonts w:ascii="Verdana" w:eastAsia="Times New Roman" w:hAnsi="Verdana" w:cs="Arial"/>
          <w:bCs/>
          <w:lang w:val="es-MX" w:eastAsia="x-none"/>
        </w:rPr>
        <w:t>que restringe la contratación directa en el periodo preelectoral a las elecciones presidenciales</w:t>
      </w:r>
      <w:r>
        <w:rPr>
          <w:rFonts w:ascii="Verdana" w:eastAsia="Times New Roman" w:hAnsi="Verdana" w:cs="Arial"/>
          <w:bCs/>
          <w:lang w:val="es-MX" w:eastAsia="x-none"/>
        </w:rPr>
        <w:t xml:space="preserve"> por el tipo de recurso que pretende ejecutarse</w:t>
      </w:r>
      <w:r w:rsidRPr="0057193B">
        <w:rPr>
          <w:rFonts w:ascii="Verdana" w:eastAsia="Times New Roman" w:hAnsi="Verdana" w:cs="Arial"/>
          <w:bCs/>
          <w:lang w:val="es-MX" w:eastAsia="x-none"/>
        </w:rPr>
        <w:t>.</w:t>
      </w:r>
      <w:r>
        <w:rPr>
          <w:rFonts w:ascii="Verdana" w:eastAsia="Times New Roman" w:hAnsi="Verdana" w:cs="Arial"/>
          <w:bCs/>
          <w:lang w:val="es-MX" w:eastAsia="x-none"/>
        </w:rPr>
        <w:t xml:space="preserve"> En otras palabras, esta normatividad especial para la ejecución de recursos del Sistema General de Regalías, no implica que </w:t>
      </w:r>
      <w:r>
        <w:rPr>
          <w:rFonts w:ascii="Verdana" w:eastAsia="Times New Roman" w:hAnsi="Verdana" w:cs="Arial"/>
          <w:bCs/>
          <w:lang w:val="es-MX" w:eastAsia="x-none"/>
        </w:rPr>
        <w:lastRenderedPageBreak/>
        <w:t xml:space="preserve">esté exonerada de la restricción, pues el legislador no hizo distinción del tipo de recursos al establecer la prohibición. </w:t>
      </w:r>
      <w:r w:rsidRPr="0057193B">
        <w:rPr>
          <w:rFonts w:ascii="Verdana" w:eastAsia="Times New Roman" w:hAnsi="Verdana" w:cs="Arial"/>
          <w:bCs/>
          <w:lang w:val="es-MX" w:eastAsia="x-none"/>
        </w:rPr>
        <w:t xml:space="preserve"> </w:t>
      </w:r>
    </w:p>
    <w:p w14:paraId="2DEB78D2" w14:textId="77777777" w:rsidR="0079105E" w:rsidRPr="003B7D6C" w:rsidRDefault="0079105E" w:rsidP="0079105E">
      <w:pPr>
        <w:spacing w:after="120" w:line="276" w:lineRule="auto"/>
        <w:ind w:firstLine="709"/>
        <w:jc w:val="both"/>
        <w:rPr>
          <w:rFonts w:ascii="Verdana" w:eastAsia="Times New Roman" w:hAnsi="Verdana" w:cs="Arial"/>
          <w:bCs/>
          <w:lang w:eastAsia="x-none"/>
        </w:rPr>
      </w:pPr>
      <w:r>
        <w:rPr>
          <w:rFonts w:ascii="Verdana" w:eastAsia="Times New Roman" w:hAnsi="Verdana" w:cs="Arial"/>
          <w:bCs/>
          <w:lang w:val="es-MX" w:eastAsia="x-none"/>
        </w:rPr>
        <w:t xml:space="preserve">Esto, sin perjuicio de </w:t>
      </w:r>
      <w:r w:rsidRPr="0057193B">
        <w:rPr>
          <w:rFonts w:ascii="Verdana" w:eastAsia="Times New Roman" w:hAnsi="Verdana" w:cs="Arial"/>
          <w:bCs/>
          <w:lang w:val="es-MX" w:eastAsia="x-none"/>
        </w:rPr>
        <w:t>las excepciones a la prohibición establecidas en el inciso</w:t>
      </w:r>
      <w:r>
        <w:rPr>
          <w:rFonts w:ascii="Verdana" w:eastAsia="Times New Roman" w:hAnsi="Verdana" w:cs="Arial"/>
          <w:bCs/>
          <w:lang w:val="es-MX" w:eastAsia="x-none"/>
        </w:rPr>
        <w:t xml:space="preserve"> segundo del mismo artículo 33, como son: </w:t>
      </w:r>
      <w:r w:rsidRPr="00333EDB">
        <w:rPr>
          <w:rFonts w:ascii="Verdana" w:eastAsia="Times New Roman" w:hAnsi="Verdana" w:cs="Arial"/>
          <w:bCs/>
          <w:lang w:val="es-MX" w:eastAsia="x-none"/>
        </w:rPr>
        <w:t xml:space="preserve">i) la defensa y seguridad del Estado; </w:t>
      </w:r>
      <w:proofErr w:type="spellStart"/>
      <w:r w:rsidRPr="00333EDB">
        <w:rPr>
          <w:rFonts w:ascii="Verdana" w:eastAsia="Times New Roman" w:hAnsi="Verdana" w:cs="Arial"/>
          <w:bCs/>
          <w:lang w:val="es-MX" w:eastAsia="x-none"/>
        </w:rPr>
        <w:t>ii</w:t>
      </w:r>
      <w:proofErr w:type="spellEnd"/>
      <w:r w:rsidRPr="00333EDB">
        <w:rPr>
          <w:rFonts w:ascii="Verdana" w:eastAsia="Times New Roman" w:hAnsi="Verdana" w:cs="Arial"/>
          <w:bCs/>
          <w:lang w:val="es-MX" w:eastAsia="x-none"/>
        </w:rPr>
        <w:t xml:space="preserve">) los contratos de crédito público; </w:t>
      </w:r>
      <w:proofErr w:type="spellStart"/>
      <w:r w:rsidRPr="00333EDB">
        <w:rPr>
          <w:rFonts w:ascii="Verdana" w:eastAsia="Times New Roman" w:hAnsi="Verdana" w:cs="Arial"/>
          <w:bCs/>
          <w:lang w:val="es-MX" w:eastAsia="x-none"/>
        </w:rPr>
        <w:t>iii</w:t>
      </w:r>
      <w:proofErr w:type="spellEnd"/>
      <w:r w:rsidRPr="00333EDB">
        <w:rPr>
          <w:rFonts w:ascii="Verdana" w:eastAsia="Times New Roman" w:hAnsi="Verdana" w:cs="Arial"/>
          <w:bCs/>
          <w:lang w:val="es-MX" w:eastAsia="x-none"/>
        </w:rPr>
        <w:t xml:space="preserve">) los requeridos para cubrir las emergencias educativas, sanitarias y desastres; </w:t>
      </w:r>
      <w:proofErr w:type="spellStart"/>
      <w:r w:rsidRPr="00333EDB">
        <w:rPr>
          <w:rFonts w:ascii="Verdana" w:eastAsia="Times New Roman" w:hAnsi="Verdana" w:cs="Arial"/>
          <w:bCs/>
          <w:lang w:val="es-MX" w:eastAsia="x-none"/>
        </w:rPr>
        <w:t>iv</w:t>
      </w:r>
      <w:proofErr w:type="spellEnd"/>
      <w:r w:rsidRPr="00333EDB">
        <w:rPr>
          <w:rFonts w:ascii="Verdana" w:eastAsia="Times New Roman" w:hAnsi="Verdana" w:cs="Arial"/>
          <w:bCs/>
          <w:lang w:val="es-MX" w:eastAsia="x-none"/>
        </w:rPr>
        <w:t>) los utilizados para la reconstrucción de vías, puentes, carreteras, infraestructura energética y de comunicaciones, en caso de que hayan sido objeto de atentados, acciones terroristas, desastres naturales o casos de fuerza mayor; y, v) los que deban realizar las entidades sanitarias y hospitalarias. Es responsabilidad del respectivo ente del Estado, examinar en cada caso la naturaleza de las actividades que adelanta y determinar si las mismas se enmarcan en alguna de las mencionadas excepciones, de manera que se le permita realizar la contratación que necesite en forma directa.</w:t>
      </w:r>
    </w:p>
    <w:p w14:paraId="3D86D78C" w14:textId="77777777" w:rsidR="0079105E" w:rsidRPr="00351223" w:rsidRDefault="0079105E" w:rsidP="0079105E">
      <w:pPr>
        <w:spacing w:after="120" w:line="276" w:lineRule="auto"/>
        <w:ind w:firstLine="709"/>
        <w:jc w:val="both"/>
        <w:rPr>
          <w:rFonts w:ascii="Verdana" w:eastAsia="Times New Roman" w:hAnsi="Verdana" w:cs="Arial"/>
          <w:bCs/>
          <w:lang w:eastAsia="x-none"/>
        </w:rPr>
      </w:pPr>
      <w:r w:rsidRPr="0057193B">
        <w:rPr>
          <w:rFonts w:ascii="Verdana" w:eastAsia="Times New Roman" w:hAnsi="Verdana" w:cs="Arial"/>
          <w:bCs/>
          <w:lang w:val="es-MX" w:eastAsia="x-none"/>
        </w:rPr>
        <w:t xml:space="preserve">Además, se reitera que la restricción aplica frente a la contratación directa, entendida como cualquier sistema de selección o procedimiento de </w:t>
      </w:r>
      <w:r>
        <w:rPr>
          <w:rFonts w:ascii="Verdana" w:eastAsia="Times New Roman" w:hAnsi="Verdana" w:cs="Arial"/>
          <w:bCs/>
          <w:lang w:val="es-MX" w:eastAsia="x-none"/>
        </w:rPr>
        <w:t>contratación utilizada</w:t>
      </w:r>
      <w:r w:rsidRPr="0057193B">
        <w:rPr>
          <w:rFonts w:ascii="Verdana" w:eastAsia="Times New Roman" w:hAnsi="Verdana" w:cs="Arial"/>
          <w:bCs/>
          <w:lang w:val="es-MX" w:eastAsia="x-none"/>
        </w:rPr>
        <w:t xml:space="preserve"> por las entidades estatales que no incluya la convocatoria pública en alguna de sus etapas, ni permita la participación de una pluralidad de oferentes</w:t>
      </w:r>
      <w:r>
        <w:rPr>
          <w:rFonts w:ascii="Verdana" w:eastAsia="Times New Roman" w:hAnsi="Verdana" w:cs="Arial"/>
          <w:bCs/>
          <w:lang w:val="es-MX" w:eastAsia="x-none"/>
        </w:rPr>
        <w:t>, ya sea en aplicación de normas del Estatuto General de Contratación de la Administración Pública, así como de regímenes especiales. Por tanto,</w:t>
      </w:r>
      <w:r w:rsidRPr="0057193B">
        <w:rPr>
          <w:rFonts w:ascii="Verdana" w:eastAsia="Times New Roman" w:hAnsi="Verdana" w:cs="Arial"/>
          <w:bCs/>
          <w:lang w:val="es-MX" w:eastAsia="x-none"/>
        </w:rPr>
        <w:t xml:space="preserve"> las entidades que se rigen por el derecho privado podrán celebrar contratos de acuerdo con los procedimientos contractuales desarrollados en sus manuales de contratación, bajo el entendido que estos permitan la participación de una pluralidad de oferentes. </w:t>
      </w:r>
    </w:p>
    <w:p w14:paraId="7907E5BB" w14:textId="77777777" w:rsidR="0079105E" w:rsidRPr="004C2E9A" w:rsidRDefault="0079105E" w:rsidP="0079105E">
      <w:pPr>
        <w:spacing w:after="120" w:line="276" w:lineRule="auto"/>
        <w:ind w:firstLine="709"/>
        <w:jc w:val="both"/>
        <w:rPr>
          <w:rFonts w:ascii="Verdana" w:eastAsia="Times New Roman" w:hAnsi="Verdana" w:cs="Arial"/>
          <w:bCs/>
          <w:lang w:val="es-MX" w:eastAsia="x-none"/>
        </w:rPr>
      </w:pPr>
      <w:r w:rsidRPr="0057193B">
        <w:rPr>
          <w:rFonts w:ascii="Verdana" w:eastAsia="Times New Roman" w:hAnsi="Verdana" w:cs="Arial"/>
          <w:bCs/>
          <w:lang w:val="es-MX" w:eastAsia="x-none"/>
        </w:rPr>
        <w:t>Finalmente, se reitera, c</w:t>
      </w:r>
      <w:r w:rsidRPr="0057193B">
        <w:rPr>
          <w:rFonts w:ascii="Verdana" w:eastAsia="Times New Roman" w:hAnsi="Verdana" w:cs="Arial"/>
          <w:bCs/>
          <w:lang w:val="es-MX" w:eastAsia="es-CO"/>
        </w:rPr>
        <w:t>omo en otras oportunidades lo ha manifestado esta Agencia, que las prórrogas, modificaciones o adiciones de los contratos suscritos antes de la entrada en vigencia de las prohibiciones anotadas, así como la cesión de los mismos, pueden tener lugar en el período de aplicación de la Ley de Garantías, sin que ello haga nugatoria la restricción de la contratación directa y siempre que cumplan los principios de planeación, transparencia y responsabilidad</w:t>
      </w:r>
      <w:r w:rsidRPr="0057193B">
        <w:rPr>
          <w:rFonts w:ascii="Verdana" w:eastAsia="Times New Roman" w:hAnsi="Verdana" w:cs="Arial"/>
          <w:bCs/>
          <w:vertAlign w:val="superscript"/>
          <w:lang w:val="es-MX" w:eastAsia="es-CO"/>
        </w:rPr>
        <w:footnoteReference w:id="26"/>
      </w:r>
      <w:r w:rsidRPr="0057193B">
        <w:rPr>
          <w:rFonts w:ascii="Verdana" w:eastAsia="Times New Roman" w:hAnsi="Verdana" w:cs="Arial"/>
          <w:bCs/>
          <w:lang w:val="es-MX" w:eastAsia="es-CO"/>
        </w:rPr>
        <w:t>. Además, también es posible que contratos celebrados previamente se continúen ejecutando con normalidad.</w:t>
      </w:r>
    </w:p>
    <w:p w14:paraId="3F0528E6" w14:textId="77777777" w:rsidR="0079105E" w:rsidRDefault="0079105E" w:rsidP="0079105E">
      <w:pPr>
        <w:spacing w:after="120" w:line="276" w:lineRule="auto"/>
        <w:ind w:firstLine="708"/>
        <w:jc w:val="both"/>
        <w:rPr>
          <w:rFonts w:ascii="Verdana" w:eastAsia="Times New Roman" w:hAnsi="Verdana" w:cs="Arial"/>
          <w:color w:val="000000"/>
          <w:lang w:val="es-ES" w:eastAsia="es-ES"/>
        </w:rPr>
      </w:pPr>
      <w:r w:rsidRPr="006B14B5">
        <w:rPr>
          <w:rFonts w:ascii="Verdana" w:eastAsia="Times New Roman" w:hAnsi="Verdana" w:cs="Arial"/>
          <w:color w:val="000000"/>
          <w:lang w:val="es-ES" w:eastAsia="es-ES"/>
        </w:rPr>
        <w:t xml:space="preserve">Dentro de este marco, la entidad contratante definirá en cada caso concreto lo relacionado con el tema objeto de consulta. Al tratarse de un análisis que debe realizarse a un asunto particular y concreto, esta Agencia no puede </w:t>
      </w:r>
      <w:r w:rsidRPr="006B14B5">
        <w:rPr>
          <w:rFonts w:ascii="Verdana" w:eastAsia="Times New Roman" w:hAnsi="Verdana" w:cs="Arial"/>
          <w:color w:val="000000"/>
          <w:lang w:val="es-ES" w:eastAsia="es-ES"/>
        </w:rPr>
        <w:lastRenderedPageBreak/>
        <w:t xml:space="preserve">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w:t>
      </w:r>
      <w:r>
        <w:rPr>
          <w:rFonts w:ascii="Verdana" w:eastAsia="Times New Roman" w:hAnsi="Verdana" w:cs="Arial"/>
          <w:color w:val="000000"/>
          <w:lang w:val="es-ES" w:eastAsia="es-ES"/>
        </w:rPr>
        <w:t>establecerá</w:t>
      </w:r>
      <w:r w:rsidRPr="006B14B5">
        <w:rPr>
          <w:rFonts w:ascii="Verdana" w:eastAsia="Times New Roman" w:hAnsi="Verdana" w:cs="Arial"/>
          <w:color w:val="000000"/>
          <w:lang w:val="es-ES" w:eastAsia="es-ES"/>
        </w:rPr>
        <w:t xml:space="preserve"> la forma de adelantar su gestión contractual, sin que sea atribución de la Agencia Nacional de Contratación Pública - Colombia Compra Eficiente</w:t>
      </w:r>
      <w:r>
        <w:rPr>
          <w:rFonts w:ascii="Verdana" w:eastAsia="Times New Roman" w:hAnsi="Verdana" w:cs="Arial"/>
          <w:color w:val="000000"/>
          <w:lang w:val="es-ES" w:eastAsia="es-ES"/>
        </w:rPr>
        <w:t xml:space="preserve"> validarla</w:t>
      </w:r>
      <w:r w:rsidRPr="006B14B5">
        <w:rPr>
          <w:rFonts w:ascii="Verdana" w:eastAsia="Times New Roman" w:hAnsi="Verdana" w:cs="Arial"/>
          <w:color w:val="000000"/>
          <w:lang w:val="es-ES" w:eastAsia="es-ES"/>
        </w:rPr>
        <w:t xml:space="preserve">. </w:t>
      </w:r>
    </w:p>
    <w:p w14:paraId="43FEE409" w14:textId="77777777" w:rsidR="0079105E" w:rsidRDefault="0079105E" w:rsidP="0079105E">
      <w:pPr>
        <w:spacing w:after="120" w:line="276" w:lineRule="auto"/>
        <w:jc w:val="both"/>
        <w:rPr>
          <w:rFonts w:ascii="Verdana" w:eastAsia="Times New Roman" w:hAnsi="Verdana" w:cs="Arial"/>
          <w:color w:val="000000"/>
          <w:lang w:val="es-ES" w:eastAsia="es-ES"/>
        </w:rPr>
      </w:pPr>
    </w:p>
    <w:p w14:paraId="247EF700" w14:textId="77777777" w:rsidR="0079105E" w:rsidRPr="00E2397D" w:rsidRDefault="0079105E" w:rsidP="0079105E">
      <w:pPr>
        <w:spacing w:after="120" w:line="276" w:lineRule="auto"/>
        <w:jc w:val="both"/>
        <w:rPr>
          <w:rFonts w:ascii="Verdana" w:eastAsia="Times New Roman" w:hAnsi="Verdana" w:cs="Arial"/>
          <w:lang w:val="es-MX" w:eastAsia="x-none"/>
        </w:rPr>
      </w:pPr>
      <w:proofErr w:type="spellStart"/>
      <w:r>
        <w:rPr>
          <w:rFonts w:ascii="Verdana" w:eastAsia="Arial" w:hAnsi="Verdana" w:cs="Arial"/>
          <w:lang w:val="es-ES" w:eastAsia="es-ES" w:bidi="es-ES"/>
        </w:rPr>
        <w:t>iv</w:t>
      </w:r>
      <w:proofErr w:type="spellEnd"/>
      <w:r w:rsidRPr="00E2397D">
        <w:rPr>
          <w:rFonts w:ascii="Verdana" w:eastAsia="Arial" w:hAnsi="Verdana" w:cs="Arial"/>
          <w:lang w:val="es-ES" w:eastAsia="es-ES" w:bidi="es-ES"/>
        </w:rPr>
        <w:t xml:space="preserve">. Ahora bien, </w:t>
      </w:r>
      <w:r w:rsidRPr="00E2397D">
        <w:rPr>
          <w:rFonts w:ascii="Verdana" w:eastAsia="Calibri" w:hAnsi="Verdana" w:cs="Arial"/>
          <w:lang w:eastAsia="es-ES" w:bidi="es-ES"/>
        </w:rPr>
        <w:t xml:space="preserve">para </w:t>
      </w:r>
      <w:r>
        <w:rPr>
          <w:rFonts w:ascii="Verdana" w:eastAsia="Calibri" w:hAnsi="Verdana" w:cs="Arial"/>
          <w:lang w:eastAsia="es-ES" w:bidi="es-ES"/>
        </w:rPr>
        <w:t xml:space="preserve">responder al problema jurídico </w:t>
      </w:r>
      <w:r w:rsidRPr="00E2397D">
        <w:rPr>
          <w:rFonts w:ascii="Verdana" w:eastAsia="Calibri" w:hAnsi="Verdana" w:cs="Arial"/>
          <w:lang w:eastAsia="es-ES" w:bidi="es-ES"/>
        </w:rPr>
        <w:t xml:space="preserve">planteado resulta necesario precisar el alcance de la prohibición </w:t>
      </w:r>
      <w:r w:rsidRPr="00E2397D">
        <w:rPr>
          <w:rFonts w:ascii="Verdana" w:eastAsia="Arial" w:hAnsi="Verdana" w:cs="Arial"/>
          <w:lang w:val="es-ES" w:eastAsia="es-ES" w:bidi="es-ES"/>
        </w:rPr>
        <w:t>establecida en e</w:t>
      </w:r>
      <w:r w:rsidRPr="00E2397D">
        <w:rPr>
          <w:rFonts w:ascii="Verdana" w:eastAsia="Calibri" w:hAnsi="Verdana" w:cs="Arial"/>
        </w:rPr>
        <w:t>l parágrafo del artículo 38 de la Ley 996 de 2005. La citada norm</w:t>
      </w:r>
      <w:r>
        <w:rPr>
          <w:rFonts w:ascii="Verdana" w:eastAsia="Calibri" w:hAnsi="Verdana" w:cs="Arial"/>
        </w:rPr>
        <w:t xml:space="preserve">a dispone: </w:t>
      </w:r>
      <w:r w:rsidRPr="00E2397D">
        <w:rPr>
          <w:rFonts w:ascii="Verdana" w:eastAsia="Calibri" w:hAnsi="Verdana" w:cs="Arial"/>
        </w:rPr>
        <w:t xml:space="preserve">“[l]os Gobernadores, </w:t>
      </w:r>
      <w:proofErr w:type="gramStart"/>
      <w:r w:rsidRPr="00E2397D">
        <w:rPr>
          <w:rFonts w:ascii="Verdana" w:eastAsia="Calibri" w:hAnsi="Verdana" w:cs="Arial"/>
        </w:rPr>
        <w:t>Alcaldes</w:t>
      </w:r>
      <w:proofErr w:type="gramEnd"/>
      <w:r w:rsidRPr="00E2397D">
        <w:rPr>
          <w:rFonts w:ascii="Verdana" w:eastAsia="Calibri" w:hAnsi="Verdana" w:cs="Arial"/>
        </w:rPr>
        <w:t xml:space="preserve"> Municipales y/o Distritales, Secretarios, Gerentes y directores de Entidades Descentralizadas del orden Municipal, Departamental o Distrital, dentro de los cuatro (4) meses anteriores a las elecciones, no podrán celebrar </w:t>
      </w:r>
      <w:r w:rsidRPr="00E2397D">
        <w:rPr>
          <w:rFonts w:ascii="Verdana" w:eastAsia="Calibri" w:hAnsi="Verdana" w:cs="Arial"/>
          <w:i/>
          <w:iCs/>
        </w:rPr>
        <w:t>convenios interadministrativos</w:t>
      </w:r>
      <w:r w:rsidRPr="00E2397D">
        <w:rPr>
          <w:rFonts w:ascii="Verdana" w:eastAsia="Calibri" w:hAnsi="Verdana" w:cs="Arial"/>
        </w:rPr>
        <w:t xml:space="preserve"> para la ejecución de recursos públicos”.</w:t>
      </w:r>
      <w:r w:rsidRPr="00E2397D">
        <w:rPr>
          <w:rFonts w:ascii="Verdana" w:eastAsia="Times New Roman" w:hAnsi="Verdana" w:cs="Arial"/>
          <w:lang w:val="es-MX" w:eastAsia="x-none"/>
        </w:rPr>
        <w:t xml:space="preserve"> [Énfasis fuera del texto original]</w:t>
      </w:r>
    </w:p>
    <w:p w14:paraId="35D68AA6" w14:textId="77777777" w:rsidR="0079105E" w:rsidRPr="00E2397D" w:rsidRDefault="0079105E" w:rsidP="0079105E">
      <w:pPr>
        <w:spacing w:after="120" w:line="276" w:lineRule="auto"/>
        <w:ind w:firstLine="709"/>
        <w:jc w:val="both"/>
        <w:rPr>
          <w:rFonts w:ascii="Verdana" w:eastAsia="Calibri" w:hAnsi="Verdana" w:cs="Arial"/>
          <w:lang w:bidi="es-ES"/>
        </w:rPr>
      </w:pPr>
      <w:r w:rsidRPr="00E2397D">
        <w:rPr>
          <w:rFonts w:ascii="Verdana" w:eastAsia="Times New Roman" w:hAnsi="Verdana" w:cs="Arial"/>
          <w:lang w:val="es-MX" w:eastAsia="x-none"/>
        </w:rPr>
        <w:t xml:space="preserve">Sobre este aspecto, es importante señalar que esta Subdirección, en los conceptos emitidos sobre la aplicación de la Ley de Garantías Electorales, ha defendido y mantenido la postura acerca de que la prohibición señalada en </w:t>
      </w:r>
      <w:r w:rsidRPr="00E2397D">
        <w:rPr>
          <w:rFonts w:ascii="Verdana" w:eastAsia="Arial" w:hAnsi="Verdana" w:cs="Arial"/>
          <w:lang w:val="es-ES" w:eastAsia="es-ES" w:bidi="es-ES"/>
        </w:rPr>
        <w:t>e</w:t>
      </w:r>
      <w:r w:rsidRPr="00E2397D">
        <w:rPr>
          <w:rFonts w:ascii="Verdana" w:eastAsia="Calibri" w:hAnsi="Verdana" w:cs="Arial"/>
        </w:rPr>
        <w:t xml:space="preserve">l parágrafo del artículo 38 cobija tanto a los convenios como a los contratos interadministrativos. Esta tesis se fundamenta en que </w:t>
      </w:r>
      <w:r w:rsidRPr="00E2397D">
        <w:rPr>
          <w:rFonts w:ascii="Verdana" w:eastAsia="Calibri" w:hAnsi="Verdana" w:cs="Arial"/>
          <w:lang w:bidi="es-ES"/>
        </w:rPr>
        <w:t>si bien actualmente el Estatuto General de Contratación de la Administración Públ</w:t>
      </w:r>
      <w:r>
        <w:rPr>
          <w:rFonts w:ascii="Verdana" w:eastAsia="Calibri" w:hAnsi="Verdana" w:cs="Arial"/>
          <w:lang w:bidi="es-ES"/>
        </w:rPr>
        <w:t>ica – en adelante EGCAP – se refiere</w:t>
      </w:r>
      <w:r w:rsidRPr="00E2397D">
        <w:rPr>
          <w:rFonts w:ascii="Verdana" w:eastAsia="Calibri" w:hAnsi="Verdana" w:cs="Arial"/>
          <w:lang w:bidi="es-ES"/>
        </w:rPr>
        <w:t xml:space="preserve"> de manera expresa al contrato interadministrativo o en términos generales a los interadministrativos y no al convenio, no por esto puede concluirse que se trate de figuras totalmente diferentes, pues las Entidades del Estado, en el marco de la Ley 80 de 1993, pueden acordar entre sí diferentes tipos de obligaciones, siempre que su objeto de creación les permita cumplirlas, con el objetivo común de materializar los fines del Estado. </w:t>
      </w:r>
    </w:p>
    <w:p w14:paraId="0291DF5F" w14:textId="77777777" w:rsidR="0079105E" w:rsidRPr="00E2397D" w:rsidRDefault="0079105E" w:rsidP="0079105E">
      <w:pPr>
        <w:spacing w:after="120" w:line="276" w:lineRule="auto"/>
        <w:ind w:firstLine="709"/>
        <w:jc w:val="both"/>
        <w:rPr>
          <w:rFonts w:ascii="Verdana" w:eastAsia="Calibri" w:hAnsi="Verdana" w:cs="Arial"/>
          <w:lang w:bidi="es-ES"/>
        </w:rPr>
      </w:pPr>
      <w:r w:rsidRPr="00E2397D">
        <w:rPr>
          <w:rFonts w:ascii="Verdana" w:eastAsia="Calibri" w:hAnsi="Verdana" w:cs="Arial"/>
          <w:lang w:bidi="es-ES"/>
        </w:rPr>
        <w:t xml:space="preserve">Por este motivo, se argumenta en dichos conceptos que cuando la Ley 80 de 1993 se refiere a contratos interadministrativos de la misma forma lo hace frente a los convenios, entre otras razones, porque este cuerpo normativo faculta a las Entidades Públicas a celebrar los demás acuerdos que permitan la autonomía de la voluntad y requieran el cumplimiento de los fines estatales. Además, se señala que </w:t>
      </w:r>
      <w:r w:rsidRPr="00E2397D">
        <w:rPr>
          <w:rFonts w:ascii="Verdana" w:eastAsia="Arial" w:hAnsi="Verdana" w:cs="Arial"/>
          <w:lang w:val="es-ES" w:eastAsia="es-ES" w:bidi="es-ES"/>
        </w:rPr>
        <w:t xml:space="preserve">el legislador y el ordenamiento jurídico, en general, en distintas ocasiones utiliza de forma indistinta los conceptos de contrato o </w:t>
      </w:r>
      <w:r w:rsidRPr="00E2397D">
        <w:rPr>
          <w:rFonts w:ascii="Verdana" w:eastAsia="Arial" w:hAnsi="Verdana" w:cs="Arial"/>
          <w:lang w:val="es-ES" w:eastAsia="es-ES" w:bidi="es-ES"/>
        </w:rPr>
        <w:lastRenderedPageBreak/>
        <w:t>convenio para referirse a la misma institución jurídica</w:t>
      </w:r>
      <w:r w:rsidRPr="00E2397D">
        <w:rPr>
          <w:rFonts w:ascii="Verdana" w:eastAsia="Arial" w:hAnsi="Verdana" w:cs="Arial"/>
          <w:vertAlign w:val="superscript"/>
          <w:lang w:val="es-ES" w:eastAsia="es-ES" w:bidi="es-ES"/>
        </w:rPr>
        <w:footnoteReference w:id="27"/>
      </w:r>
      <w:r w:rsidRPr="00E2397D">
        <w:rPr>
          <w:rFonts w:ascii="Verdana" w:eastAsia="Arial" w:hAnsi="Verdana" w:cs="Arial"/>
          <w:lang w:val="es-ES" w:eastAsia="es-ES" w:bidi="es-ES"/>
        </w:rPr>
        <w:t>. Incluso, la Corte Constitucional fundamenta la posibilidad de celebrar convenios interadministrativos de forma directa, con fundamento en la causal establecida en la Ley 1150 de 2007 respecto a los contratos interadministrativos</w:t>
      </w:r>
      <w:r w:rsidRPr="00E2397D">
        <w:rPr>
          <w:rFonts w:ascii="Verdana" w:eastAsia="Arial" w:hAnsi="Verdana" w:cs="Arial"/>
          <w:vertAlign w:val="superscript"/>
          <w:lang w:val="es-ES" w:eastAsia="es-ES" w:bidi="es-ES"/>
        </w:rPr>
        <w:footnoteReference w:id="28"/>
      </w:r>
      <w:r w:rsidRPr="00E2397D">
        <w:rPr>
          <w:rFonts w:ascii="Verdana" w:eastAsia="Arial" w:hAnsi="Verdana" w:cs="Arial"/>
          <w:lang w:val="es-ES" w:eastAsia="es-ES" w:bidi="es-ES"/>
        </w:rPr>
        <w:t>.</w:t>
      </w:r>
    </w:p>
    <w:p w14:paraId="3132E38E" w14:textId="77777777" w:rsidR="0079105E" w:rsidRPr="00E2397D" w:rsidRDefault="0079105E" w:rsidP="0079105E">
      <w:pPr>
        <w:widowControl w:val="0"/>
        <w:autoSpaceDE w:val="0"/>
        <w:autoSpaceDN w:val="0"/>
        <w:spacing w:after="0" w:line="276" w:lineRule="auto"/>
        <w:ind w:firstLine="709"/>
        <w:contextualSpacing/>
        <w:jc w:val="both"/>
        <w:rPr>
          <w:rFonts w:ascii="Verdana" w:eastAsia="Arial" w:hAnsi="Verdana" w:cs="Arial"/>
          <w:lang w:val="es-ES" w:eastAsia="es-ES" w:bidi="es-ES"/>
        </w:rPr>
      </w:pPr>
      <w:r w:rsidRPr="00E2397D">
        <w:rPr>
          <w:rFonts w:ascii="Verdana" w:eastAsia="Calibri" w:hAnsi="Verdana" w:cs="Arial"/>
          <w:lang w:val="es-ES" w:bidi="es-ES"/>
        </w:rPr>
        <w:t>De este modo, en la Circular Externa</w:t>
      </w:r>
      <w:r w:rsidRPr="00E2397D">
        <w:rPr>
          <w:rFonts w:ascii="Verdana" w:eastAsia="Arial" w:hAnsi="Verdana" w:cs="Arial"/>
          <w:lang w:val="es-ES" w:eastAsia="es-ES" w:bidi="es-ES"/>
        </w:rPr>
        <w:t xml:space="preserve"> Única de Colombia Compra Eficiente, pese a reconocer que se han realizado algunas distinciones jurisprudenciales en torno a los contratos y convenios interadministrativos, relacionados con el alcance de las obligaciones que los caracterizan, se señaló que no existe una definición legal que diferencie los conceptos de convenio o de contrato. En este sentido, la Circular, refiriéndose al parágrafo del artículo 38 de la Ley 996 de 2005, expresa lo siguiente en el numeral 16.2:</w:t>
      </w:r>
    </w:p>
    <w:p w14:paraId="0850803B" w14:textId="77777777" w:rsidR="0079105E" w:rsidRPr="00E2397D" w:rsidRDefault="0079105E" w:rsidP="0079105E">
      <w:pPr>
        <w:widowControl w:val="0"/>
        <w:autoSpaceDE w:val="0"/>
        <w:autoSpaceDN w:val="0"/>
        <w:spacing w:after="0" w:line="276" w:lineRule="auto"/>
        <w:contextualSpacing/>
        <w:jc w:val="both"/>
        <w:rPr>
          <w:rFonts w:ascii="Verdana" w:eastAsia="Arial" w:hAnsi="Verdana" w:cs="Arial"/>
          <w:lang w:val="es-ES" w:eastAsia="es-ES" w:bidi="es-ES"/>
        </w:rPr>
      </w:pPr>
    </w:p>
    <w:p w14:paraId="1354000C" w14:textId="77777777" w:rsidR="0079105E" w:rsidRPr="00E2397D" w:rsidRDefault="0079105E" w:rsidP="0079105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ES_tradnl"/>
        </w:rPr>
        <w:t xml:space="preserve">“Esta restricción es aplicable tanto a los convenios como a los contratos interadministrativos. Toda vez que, al no existir definición legal que diferencie el concepto de convenio del concepto de contrato, la denominación prevista por la Ley 80 de 1993 y la Ley 1150 de 2007 </w:t>
      </w:r>
      <w:r w:rsidRPr="00E2397D">
        <w:rPr>
          <w:rFonts w:ascii="Verdana" w:eastAsia="Calibri" w:hAnsi="Verdana" w:cs="Arial"/>
          <w:sz w:val="20"/>
          <w:szCs w:val="20"/>
          <w:lang w:val="es-MX"/>
        </w:rPr>
        <w:t>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w:t>
      </w:r>
    </w:p>
    <w:p w14:paraId="18929112" w14:textId="77777777" w:rsidR="0079105E" w:rsidRPr="00E2397D" w:rsidRDefault="0079105E" w:rsidP="0079105E">
      <w:pPr>
        <w:spacing w:after="0" w:line="240" w:lineRule="auto"/>
        <w:ind w:left="709" w:right="709"/>
        <w:jc w:val="both"/>
        <w:rPr>
          <w:rFonts w:ascii="Verdana" w:eastAsia="Calibri" w:hAnsi="Verdana" w:cs="Arial"/>
          <w:sz w:val="20"/>
          <w:szCs w:val="20"/>
          <w:lang w:val="es-MX"/>
        </w:rPr>
      </w:pPr>
    </w:p>
    <w:p w14:paraId="49D428AB" w14:textId="77777777" w:rsidR="0079105E" w:rsidRPr="00E2397D" w:rsidRDefault="0079105E" w:rsidP="0079105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t>No obstante, por vía jurisprudencial se ha establecido que en los contratos interadministrativos existe una contraprestación directa a favor de la entidad que ha entregado el bien o prestado el servicio a la Entidad contratante, habilitado para ello por su objeto legal como entidad ejecutora, como quiera que las obligaciones asignadas legalmente a aquella entidad pública están directamente relacionadas con el objeto contractual. Por su parte, en los convenios interadministrativos las entidades se asocian con el fin de cooperar en el cumplimiento de funciones administrativas o de prestar conjuntamente servicios que se hallen a su cargo, sin que exista una contraprestación para ninguna de las entidades ni la prestación de un servicio a cargo de alguna de ellas y en favor de la otra parte del convenio.</w:t>
      </w:r>
    </w:p>
    <w:p w14:paraId="6B290CBF" w14:textId="77777777" w:rsidR="0079105E" w:rsidRPr="00E2397D" w:rsidRDefault="0079105E" w:rsidP="0079105E">
      <w:pPr>
        <w:spacing w:after="0" w:line="240" w:lineRule="auto"/>
        <w:ind w:left="709" w:right="709"/>
        <w:jc w:val="both"/>
        <w:rPr>
          <w:rFonts w:ascii="Verdana" w:eastAsia="Calibri" w:hAnsi="Verdana" w:cs="Arial"/>
          <w:sz w:val="20"/>
          <w:szCs w:val="20"/>
          <w:lang w:val="es-MX"/>
        </w:rPr>
      </w:pPr>
    </w:p>
    <w:p w14:paraId="20DAF96B" w14:textId="77777777" w:rsidR="0079105E" w:rsidRPr="00E2397D" w:rsidRDefault="0079105E" w:rsidP="0079105E">
      <w:pPr>
        <w:spacing w:after="0" w:line="240" w:lineRule="auto"/>
        <w:ind w:left="709" w:right="709"/>
        <w:jc w:val="both"/>
        <w:rPr>
          <w:rFonts w:ascii="Verdana" w:eastAsia="Calibri" w:hAnsi="Verdana" w:cs="Arial"/>
          <w:sz w:val="20"/>
          <w:szCs w:val="20"/>
          <w:lang w:val="es-MX"/>
        </w:rPr>
      </w:pPr>
      <w:r w:rsidRPr="00E2397D">
        <w:rPr>
          <w:rFonts w:ascii="Verdana" w:eastAsia="Calibri" w:hAnsi="Verdana" w:cs="Arial"/>
          <w:sz w:val="20"/>
          <w:szCs w:val="20"/>
          <w:lang w:val="es-MX"/>
        </w:rPr>
        <w:lastRenderedPageBreak/>
        <w:t>En el contexto de la Ley de Garantías, las restricciones además de propender por la igualdad de los candidatos están encaminadas a evitar que por medio de la contratación se altere la voluntad popular, lo cual se puede lograr a través de contratos o convenios.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w:t>
      </w:r>
    </w:p>
    <w:p w14:paraId="0B9F456E" w14:textId="77777777" w:rsidR="0079105E" w:rsidRPr="00E2397D" w:rsidRDefault="0079105E" w:rsidP="0079105E">
      <w:pPr>
        <w:widowControl w:val="0"/>
        <w:autoSpaceDE w:val="0"/>
        <w:autoSpaceDN w:val="0"/>
        <w:spacing w:after="0" w:line="276" w:lineRule="auto"/>
        <w:contextualSpacing/>
        <w:jc w:val="both"/>
        <w:rPr>
          <w:rFonts w:ascii="Verdana" w:eastAsia="Arial" w:hAnsi="Verdana" w:cs="Arial"/>
          <w:lang w:val="es-ES" w:eastAsia="es-ES" w:bidi="es-ES"/>
        </w:rPr>
      </w:pPr>
    </w:p>
    <w:p w14:paraId="78375257" w14:textId="77777777" w:rsidR="0079105E" w:rsidRPr="00E2397D" w:rsidRDefault="0079105E" w:rsidP="0079105E">
      <w:pPr>
        <w:spacing w:after="120" w:line="276" w:lineRule="auto"/>
        <w:ind w:firstLine="709"/>
        <w:jc w:val="both"/>
        <w:rPr>
          <w:rFonts w:ascii="Verdana" w:eastAsia="Arial" w:hAnsi="Verdana" w:cs="Arial"/>
          <w:lang w:val="es-MX" w:eastAsia="es-ES" w:bidi="es-ES"/>
        </w:rPr>
      </w:pPr>
      <w:r w:rsidRPr="00E2397D">
        <w:rPr>
          <w:rFonts w:ascii="Verdana" w:eastAsia="Arial" w:hAnsi="Verdana" w:cs="Arial"/>
          <w:lang w:val="es-ES" w:eastAsia="es-ES" w:bidi="es-ES"/>
        </w:rPr>
        <w:t>Con base en lo expuesto, debido a que no existe una definición legal que diferencie los conceptos de contrato y convenio, esta Agencia ha partido de su asimilación para la aplicación de la Ley de Garantías Electorales, por lo que la interpretación que se ha efectuado d</w:t>
      </w:r>
      <w:r w:rsidRPr="00E2397D">
        <w:rPr>
          <w:rFonts w:ascii="Verdana" w:eastAsia="Arial" w:hAnsi="Verdana" w:cs="Arial"/>
          <w:lang w:val="es-MX" w:eastAsia="es-ES" w:bidi="es-ES"/>
        </w:rPr>
        <w:t>el parágrafo del artículo 38 de la Ley 996 de 2005 es que prohíbe a los alcaldes, gobernadores, secretarios, gerentes y directores de las entidades del orden municipal, departamental o distrital celebrar convenios y contratos interadministrativos para la ejecución de recursos públicos.</w:t>
      </w:r>
    </w:p>
    <w:p w14:paraId="7D5EDB72" w14:textId="77777777" w:rsidR="0079105E" w:rsidRPr="00E2397D" w:rsidRDefault="0079105E" w:rsidP="0079105E">
      <w:pPr>
        <w:spacing w:after="0" w:line="276" w:lineRule="auto"/>
        <w:ind w:firstLine="709"/>
        <w:jc w:val="both"/>
      </w:pPr>
      <w:r w:rsidRPr="00E2397D">
        <w:rPr>
          <w:rFonts w:ascii="Verdana" w:eastAsia="Arial" w:hAnsi="Verdana" w:cs="Arial"/>
          <w:lang w:val="es-MX" w:eastAsia="es-ES" w:bidi="es-ES"/>
        </w:rPr>
        <w:t xml:space="preserve">No obstante, conviene señalar que, mediante auto de 4 de octubre del 2024, el Consejo de Estado, Sección Tercera, decretó medida de suspensión provisional parcial del </w:t>
      </w:r>
      <w:r w:rsidRPr="00E2397D">
        <w:rPr>
          <w:rFonts w:ascii="Verdana" w:hAnsi="Verdana"/>
        </w:rPr>
        <w:t>numeral 16.2 de la Circular Externa Única de 2022 expedida por la Agencia Nacional de Contratación Pública -Colombia Compra Eficiente-, concretamente, respecto de los siguientes apartes normativos</w:t>
      </w:r>
      <w:r w:rsidRPr="00E2397D">
        <w:rPr>
          <w:rFonts w:ascii="Verdana" w:hAnsi="Verdana"/>
          <w:vertAlign w:val="superscript"/>
        </w:rPr>
        <w:footnoteReference w:id="29"/>
      </w:r>
      <w:r w:rsidRPr="00E2397D">
        <w:rPr>
          <w:rFonts w:ascii="Verdana" w:hAnsi="Verdana"/>
        </w:rPr>
        <w:t>:</w:t>
      </w:r>
      <w:r w:rsidRPr="00E2397D">
        <w:t xml:space="preserve"> </w:t>
      </w:r>
    </w:p>
    <w:p w14:paraId="3B15B0C1" w14:textId="77777777" w:rsidR="0079105E" w:rsidRPr="00E2397D" w:rsidRDefault="0079105E" w:rsidP="0079105E">
      <w:pPr>
        <w:spacing w:after="0" w:line="276" w:lineRule="auto"/>
        <w:ind w:firstLine="709"/>
        <w:jc w:val="both"/>
      </w:pPr>
    </w:p>
    <w:p w14:paraId="4A2ABE32" w14:textId="77777777" w:rsidR="0079105E" w:rsidRPr="00E2397D" w:rsidRDefault="0079105E" w:rsidP="0079105E">
      <w:pPr>
        <w:spacing w:after="0" w:line="240" w:lineRule="auto"/>
        <w:ind w:left="709" w:right="709"/>
        <w:jc w:val="both"/>
        <w:rPr>
          <w:rFonts w:ascii="Verdana" w:eastAsia="Calibri" w:hAnsi="Verdana" w:cs="Arial"/>
          <w:sz w:val="20"/>
          <w:szCs w:val="20"/>
        </w:rPr>
      </w:pPr>
      <w:r w:rsidRPr="00E2397D">
        <w:rPr>
          <w:rFonts w:ascii="Verdana" w:eastAsia="Calibri" w:hAnsi="Verdana" w:cs="Arial"/>
          <w:sz w:val="20"/>
          <w:szCs w:val="20"/>
          <w:lang w:val="es-MX"/>
        </w:rPr>
        <w:t>i)</w:t>
      </w:r>
      <w:r w:rsidRPr="00E2397D">
        <w:rPr>
          <w:rFonts w:ascii="Verdana" w:eastAsia="Calibri" w:hAnsi="Verdana" w:cs="Arial"/>
          <w:sz w:val="20"/>
          <w:szCs w:val="20"/>
        </w:rPr>
        <w:t xml:space="preserve"> el inciso segundo 2 que dispone: “Esta restricción es aplicable tanto a los convenios como a los contratos interadministrativos, toda vez que, al no existir definición legal que diferencie el concepto de convenio del concepto de contrato, la denominación prevista por la Ley 80 de 1993 y la Ley 1150 de 2007 para tal fin se entenderán en el mismo sentido. Es así como el Decreto 1082 de 2015 trata indistintamente a los convenios y contratos interadministrativos, al establecer la contratación directa como la modalidad de selección para la contratación entre entidades públicas a través de estas dos figuras jurídicas” y, </w:t>
      </w:r>
    </w:p>
    <w:p w14:paraId="64CF5516" w14:textId="77777777" w:rsidR="0079105E" w:rsidRPr="00E2397D" w:rsidRDefault="0079105E" w:rsidP="0079105E">
      <w:pPr>
        <w:spacing w:after="0" w:line="240" w:lineRule="auto"/>
        <w:ind w:left="709" w:right="709"/>
        <w:jc w:val="both"/>
        <w:rPr>
          <w:rFonts w:ascii="Verdana" w:eastAsia="Calibri" w:hAnsi="Verdana" w:cs="Arial"/>
          <w:sz w:val="20"/>
          <w:szCs w:val="20"/>
        </w:rPr>
      </w:pPr>
    </w:p>
    <w:p w14:paraId="01000D6E" w14:textId="77777777" w:rsidR="0079105E" w:rsidRPr="00E2397D" w:rsidRDefault="0079105E" w:rsidP="0079105E">
      <w:pPr>
        <w:spacing w:after="0" w:line="240" w:lineRule="auto"/>
        <w:ind w:left="709" w:right="709"/>
        <w:jc w:val="both"/>
        <w:rPr>
          <w:rFonts w:ascii="Verdana" w:hAnsi="Verdana"/>
          <w:sz w:val="20"/>
          <w:szCs w:val="20"/>
        </w:rPr>
      </w:pPr>
      <w:proofErr w:type="spellStart"/>
      <w:r w:rsidRPr="00E2397D">
        <w:rPr>
          <w:rFonts w:ascii="Verdana" w:hAnsi="Verdana"/>
          <w:sz w:val="20"/>
          <w:szCs w:val="20"/>
        </w:rPr>
        <w:t>ii</w:t>
      </w:r>
      <w:proofErr w:type="spellEnd"/>
      <w:r w:rsidRPr="00E2397D">
        <w:rPr>
          <w:rFonts w:ascii="Verdana" w:hAnsi="Verdana"/>
          <w:sz w:val="20"/>
          <w:szCs w:val="20"/>
        </w:rPr>
        <w:t xml:space="preserve">) la expresión y el siguiente párrafo contenidos en el inciso cuarto “contratos” y “En este sentido, la prohibición que establece el parágrafo del artículo 38 de la Ley de Garantías consiste en evitar que los recursos del Estado se ejecuten para lograr apoyos indebidos mediante la suscripción de contratos y/o convenios, que, para efectos de la Ley de Garantías, tienen la misma connotación y propósito”. </w:t>
      </w:r>
    </w:p>
    <w:p w14:paraId="7A0FDFAB" w14:textId="77777777" w:rsidR="0079105E" w:rsidRPr="00E2397D" w:rsidRDefault="0079105E" w:rsidP="0079105E">
      <w:pPr>
        <w:spacing w:after="0" w:line="276" w:lineRule="auto"/>
        <w:ind w:left="709" w:right="709"/>
        <w:jc w:val="both"/>
        <w:rPr>
          <w:rFonts w:ascii="Verdana" w:hAnsi="Verdana"/>
        </w:rPr>
      </w:pPr>
    </w:p>
    <w:p w14:paraId="4E04917E" w14:textId="77777777" w:rsidR="0079105E" w:rsidRPr="00E2397D" w:rsidRDefault="0079105E" w:rsidP="0079105E">
      <w:pPr>
        <w:spacing w:after="120" w:line="276" w:lineRule="auto"/>
        <w:ind w:firstLine="709"/>
        <w:jc w:val="both"/>
        <w:rPr>
          <w:rFonts w:ascii="Verdana" w:eastAsia="Arial" w:hAnsi="Verdana" w:cs="Arial"/>
          <w:i/>
          <w:iCs/>
          <w:lang w:val="es-MX" w:eastAsia="es-ES" w:bidi="es-ES"/>
        </w:rPr>
      </w:pPr>
      <w:r w:rsidRPr="00E2397D">
        <w:rPr>
          <w:rFonts w:ascii="Verdana" w:eastAsia="Arial" w:hAnsi="Verdana" w:cs="Arial"/>
          <w:lang w:val="es-MX" w:eastAsia="es-ES" w:bidi="es-ES"/>
        </w:rPr>
        <w:lastRenderedPageBreak/>
        <w:t xml:space="preserve">De conformidad con los argumentos de dicha providencia, se parte de la distinción entre los conceptos </w:t>
      </w:r>
      <w:r w:rsidRPr="00E2397D">
        <w:rPr>
          <w:rFonts w:ascii="Verdana" w:eastAsia="Arial" w:hAnsi="Verdana" w:cs="Arial"/>
          <w:lang w:eastAsia="es-ES" w:bidi="es-ES"/>
        </w:rPr>
        <w:t xml:space="preserve">de “convenio” y “contrato” interadministrativos, para diferenciarlos en su naturaleza, contenido y alcance, lo cual ha servido de fundamento para que tanto la Sección Tercera como también la Sala de Consulta y Servicio Civil de esa Corporación hayan realzado la distinción entre uno y otro negocio jurídico. En este sentido, en relación con el parágrafo del artículo 38 de la Ley 996 de 2005 concluyó que </w:t>
      </w:r>
      <w:r w:rsidRPr="00E2397D">
        <w:rPr>
          <w:rFonts w:ascii="Verdana" w:eastAsia="Arial" w:hAnsi="Verdana" w:cs="Arial"/>
          <w:i/>
          <w:iCs/>
          <w:lang w:eastAsia="es-ES" w:bidi="es-ES"/>
        </w:rPr>
        <w:t xml:space="preserve">“si el legislador no diferenció al establecer la prohibición o la restricción, mal haría el reglamento en aplicar un efecto expansivo o extensivo para incluir una categoría no cobijada con la limitación, (…)”. </w:t>
      </w:r>
      <w:r w:rsidRPr="00E2397D">
        <w:rPr>
          <w:rFonts w:ascii="Verdana" w:eastAsia="Arial" w:hAnsi="Verdana" w:cs="Arial"/>
          <w:lang w:eastAsia="es-ES" w:bidi="es-ES"/>
        </w:rPr>
        <w:t xml:space="preserve">Por tal motivo, para efectos de decretar la medida de suspensión provisional de los apartes señalados del numeral 16.2 de la Circular Externa Única, argumentó que </w:t>
      </w:r>
      <w:r w:rsidRPr="00E2397D">
        <w:rPr>
          <w:rFonts w:ascii="Verdana" w:eastAsia="Arial" w:hAnsi="Verdana" w:cs="Arial"/>
          <w:i/>
          <w:iCs/>
          <w:lang w:eastAsia="es-ES" w:bidi="es-ES"/>
        </w:rPr>
        <w:t xml:space="preserve">“con independencia del propósito loable o plausible de la disposición ya que, procura que no se usen los recursos estatales para incidir o afectar la contienda electoral, no cabe duda de que la entidad demandada incorporó en la prohibición una categoría que no quedó comprendida expresa e inequívocamente en la ley”. </w:t>
      </w:r>
    </w:p>
    <w:p w14:paraId="204E6338" w14:textId="77777777" w:rsidR="0079105E" w:rsidRPr="00E2397D" w:rsidRDefault="0079105E" w:rsidP="0079105E">
      <w:pPr>
        <w:spacing w:after="120" w:line="276" w:lineRule="auto"/>
        <w:ind w:firstLine="709"/>
        <w:jc w:val="both"/>
        <w:rPr>
          <w:rFonts w:ascii="Verdana" w:eastAsia="Calibri" w:hAnsi="Verdana" w:cs="Arial"/>
          <w:lang w:val="es-MX"/>
        </w:rPr>
      </w:pPr>
      <w:r w:rsidRPr="00E2397D">
        <w:rPr>
          <w:rFonts w:ascii="Verdana" w:eastAsia="Arial" w:hAnsi="Verdana" w:cs="Arial"/>
          <w:lang w:val="es-MX" w:eastAsia="es-ES" w:bidi="es-ES"/>
        </w:rPr>
        <w:t xml:space="preserve">Bajo este contexto, esta Agencia debe manifestar que, si bien respeta y acata las decisiones proferidas por el Consejo de Estado, como es el caso del auto de suspensión provisional parcial del numeral </w:t>
      </w:r>
      <w:r w:rsidRPr="00E2397D">
        <w:rPr>
          <w:rFonts w:ascii="Verdana" w:eastAsia="Arial" w:hAnsi="Verdana" w:cs="Arial"/>
          <w:lang w:eastAsia="es-ES" w:bidi="es-ES"/>
        </w:rPr>
        <w:t>16.2 de la Circular Externa Única</w:t>
      </w:r>
      <w:r w:rsidRPr="00E2397D">
        <w:rPr>
          <w:rFonts w:ascii="Verdana" w:eastAsia="Arial" w:hAnsi="Verdana" w:cs="Arial"/>
          <w:lang w:val="es-MX" w:eastAsia="es-ES" w:bidi="es-ES"/>
        </w:rPr>
        <w:t xml:space="preserve">, no comparte los argumentos expuestos por dicha Corporación. Esto, en la medida que, a juicio de esta Entidad, señalar que la Ley de Garantías Electorales no aplica para el caso de los contratos interadministrativos deja sin efecto el propósito buscado por la norma, que no es otro que </w:t>
      </w:r>
      <w:r w:rsidRPr="00E2397D">
        <w:rPr>
          <w:rFonts w:ascii="Verdana" w:eastAsia="Times New Roman" w:hAnsi="Verdana" w:cs="Arial"/>
          <w:lang w:val="es-MX" w:eastAsia="es-CO"/>
        </w:rPr>
        <w:t xml:space="preserve">evitar cualquier tipo de arbitrariedad, de ventaja injustificada, de uso irregular de los recursos del Estado en las campañas políticas, o que </w:t>
      </w:r>
      <w:r w:rsidRPr="00E2397D">
        <w:rPr>
          <w:rFonts w:ascii="Verdana" w:eastAsia="Calibri" w:hAnsi="Verdana" w:cs="Arial"/>
          <w:lang w:val="es-MX"/>
        </w:rPr>
        <w:t xml:space="preserve">los recursos del Estado se ejecuten para lograr apoyos indebidos mediante la suscripción de contratos y/o convenios, que para efectos de la Ley de Garantías tienen la misma connotación y propósitos. </w:t>
      </w:r>
    </w:p>
    <w:p w14:paraId="7A412A04" w14:textId="77777777" w:rsidR="0079105E" w:rsidRPr="00E2397D" w:rsidRDefault="0079105E" w:rsidP="0079105E">
      <w:pPr>
        <w:spacing w:after="120" w:line="276" w:lineRule="auto"/>
        <w:ind w:firstLine="709"/>
        <w:jc w:val="both"/>
        <w:rPr>
          <w:rFonts w:ascii="Verdana" w:eastAsia="Arial" w:hAnsi="Verdana" w:cs="Arial"/>
          <w:lang w:val="es-MX" w:eastAsia="es-ES" w:bidi="es-ES"/>
        </w:rPr>
      </w:pPr>
      <w:r w:rsidRPr="00E2397D">
        <w:rPr>
          <w:rFonts w:ascii="Verdana" w:eastAsia="Calibri" w:hAnsi="Verdana" w:cs="Arial"/>
        </w:rPr>
        <w:t xml:space="preserve">Conforme a lo anterior, si bien la Agencia es respetuosa de las providencias proferidas por las autoridades judiciales, es necesario expresar el desacuerdo con el decreto de medida cautelar de suspensión provisional y la oposición a que se declare la nulidad del numeral </w:t>
      </w:r>
      <w:r w:rsidRPr="00E2397D">
        <w:rPr>
          <w:rFonts w:ascii="Verdana" w:eastAsia="Arial" w:hAnsi="Verdana" w:cs="Arial"/>
          <w:lang w:eastAsia="es-ES" w:bidi="es-ES"/>
        </w:rPr>
        <w:t xml:space="preserve">16.2 de la Circular Externa Única. Al señalar que los contratos interadministrativos deberían estar sujetos a las restricciones consagradas en el parágrafo del artículo 38, la Agencia busca proteger la transparencia, igualdad e integridad del proceso electoral. Así las cosas, </w:t>
      </w:r>
      <w:r w:rsidRPr="00E2397D">
        <w:rPr>
          <w:rFonts w:ascii="Verdana" w:eastAsia="Calibri" w:hAnsi="Verdana" w:cs="Arial"/>
          <w:lang w:val="es-MX"/>
        </w:rPr>
        <w:t xml:space="preserve">a la fecha, se espera la decisión final respecto a la declaratoria de nulidad del numeral 16.2 de la Circular Externa Única que adopte el Consejo de Estado. </w:t>
      </w:r>
    </w:p>
    <w:p w14:paraId="30F5D104" w14:textId="77777777" w:rsidR="0079105E" w:rsidRPr="00E2397D" w:rsidRDefault="0079105E" w:rsidP="0079105E">
      <w:pPr>
        <w:spacing w:after="120" w:line="276" w:lineRule="auto"/>
        <w:ind w:firstLine="709"/>
        <w:jc w:val="both"/>
        <w:rPr>
          <w:rFonts w:ascii="Verdana" w:eastAsia="Times New Roman" w:hAnsi="Verdana" w:cs="Arial"/>
          <w:lang w:val="es-MX" w:eastAsia="es-CO"/>
        </w:rPr>
      </w:pPr>
      <w:r w:rsidRPr="00E2397D">
        <w:rPr>
          <w:rFonts w:ascii="Verdana" w:eastAsia="Arial" w:hAnsi="Verdana" w:cs="Arial"/>
          <w:lang w:val="es-MX" w:eastAsia="es-ES" w:bidi="es-ES"/>
        </w:rPr>
        <w:lastRenderedPageBreak/>
        <w:t>De esta manera, s</w:t>
      </w:r>
      <w:proofErr w:type="spellStart"/>
      <w:r w:rsidRPr="00E2397D">
        <w:rPr>
          <w:rFonts w:ascii="Verdana" w:eastAsia="Times New Roman" w:hAnsi="Verdana" w:cs="Arial"/>
          <w:lang w:eastAsia="es-CO"/>
        </w:rPr>
        <w:t>e</w:t>
      </w:r>
      <w:proofErr w:type="spellEnd"/>
      <w:r w:rsidRPr="00E2397D">
        <w:rPr>
          <w:rFonts w:ascii="Verdana" w:eastAsia="Times New Roman" w:hAnsi="Verdana" w:cs="Arial"/>
          <w:lang w:eastAsia="es-CO"/>
        </w:rPr>
        <w:t xml:space="preserve"> observa entonces que </w:t>
      </w:r>
      <w:r w:rsidRPr="00E2397D">
        <w:rPr>
          <w:rFonts w:ascii="Verdana" w:eastAsia="Times New Roman" w:hAnsi="Verdana" w:cs="Arial"/>
          <w:lang w:val="es-MX" w:eastAsia="es-CO"/>
        </w:rPr>
        <w:t xml:space="preserve">el parágrafo del artículo 38 de la Ley 996 de 2005 prohíbe a los </w:t>
      </w:r>
      <w:proofErr w:type="gramStart"/>
      <w:r w:rsidRPr="00E2397D">
        <w:rPr>
          <w:rFonts w:ascii="Verdana" w:eastAsia="Times New Roman" w:hAnsi="Verdana" w:cs="Arial"/>
          <w:lang w:val="es-MX" w:eastAsia="es-CO"/>
        </w:rPr>
        <w:t>Alcaldes</w:t>
      </w:r>
      <w:proofErr w:type="gramEnd"/>
      <w:r w:rsidRPr="00E2397D">
        <w:rPr>
          <w:rFonts w:ascii="Verdana" w:eastAsia="Times New Roman" w:hAnsi="Verdana" w:cs="Arial"/>
          <w:lang w:val="es-MX" w:eastAsia="es-CO"/>
        </w:rPr>
        <w:t xml:space="preserve">, Gobernadores, Secretarios, Gerentes y Directores de las entidades del orden municipal, departamental o distrital celebrar </w:t>
      </w:r>
      <w:r w:rsidRPr="00E2397D">
        <w:rPr>
          <w:rFonts w:ascii="Verdana" w:eastAsia="Times New Roman" w:hAnsi="Verdana" w:cs="Arial"/>
          <w:i/>
          <w:iCs/>
          <w:lang w:val="es-MX" w:eastAsia="es-CO"/>
        </w:rPr>
        <w:t>convenios interadministrativos</w:t>
      </w:r>
      <w:r w:rsidRPr="00E2397D">
        <w:rPr>
          <w:rFonts w:ascii="Verdana" w:eastAsia="Times New Roman" w:hAnsi="Verdana" w:cs="Arial"/>
          <w:lang w:val="es-MX" w:eastAsia="es-CO"/>
        </w:rPr>
        <w:t xml:space="preserve"> para la ejecución de recursos públicos. En este sentido, si una o ambas partes de la relación contractual es una entidad de aquellas descritas en el parágrafo </w:t>
      </w:r>
      <w:r w:rsidRPr="00E2397D">
        <w:rPr>
          <w:rFonts w:ascii="Verdana" w:eastAsia="Times New Roman" w:hAnsi="Verdana" w:cs="Arial"/>
          <w:i/>
          <w:lang w:val="es-MX" w:eastAsia="es-CO"/>
        </w:rPr>
        <w:t>ibidem</w:t>
      </w:r>
      <w:r w:rsidRPr="00E2397D">
        <w:rPr>
          <w:rFonts w:ascii="Verdana" w:eastAsia="Times New Roman" w:hAnsi="Verdana" w:cs="Arial"/>
          <w:lang w:val="es-MX" w:eastAsia="es-CO"/>
        </w:rPr>
        <w:t xml:space="preserve">, no podrá celebrar tales </w:t>
      </w:r>
      <w:r w:rsidRPr="00E2397D">
        <w:rPr>
          <w:rFonts w:ascii="Verdana" w:eastAsia="Times New Roman" w:hAnsi="Verdana" w:cs="Arial"/>
          <w:i/>
          <w:iCs/>
          <w:lang w:val="es-MX" w:eastAsia="es-CO"/>
        </w:rPr>
        <w:t>convenios</w:t>
      </w:r>
      <w:r w:rsidRPr="00E2397D">
        <w:rPr>
          <w:rFonts w:ascii="Verdana" w:eastAsia="Times New Roman" w:hAnsi="Verdana" w:cs="Arial"/>
          <w:lang w:val="es-MX" w:eastAsia="es-CO"/>
        </w:rPr>
        <w:t xml:space="preserve"> durante la aplicación de la Ley de Garantías Electorales, toda vez que la citada disposición </w:t>
      </w:r>
      <w:r>
        <w:rPr>
          <w:rFonts w:ascii="Verdana" w:eastAsia="Times New Roman" w:hAnsi="Verdana" w:cs="Arial"/>
          <w:lang w:val="es-MX" w:eastAsia="es-CO"/>
        </w:rPr>
        <w:t xml:space="preserve">se refiere </w:t>
      </w:r>
      <w:r w:rsidRPr="00E2397D">
        <w:rPr>
          <w:rFonts w:ascii="Verdana" w:eastAsia="Times New Roman" w:hAnsi="Verdana" w:cs="Arial"/>
          <w:lang w:val="es-MX" w:eastAsia="es-CO"/>
        </w:rPr>
        <w:t xml:space="preserve">a dicha tipología contractual sin que el legislador hubiere contemplado un efecto extensivo a otra tipología. </w:t>
      </w:r>
    </w:p>
    <w:p w14:paraId="61606024" w14:textId="77777777" w:rsidR="0079105E" w:rsidRDefault="0079105E" w:rsidP="0079105E">
      <w:pPr>
        <w:spacing w:after="120" w:line="276" w:lineRule="auto"/>
        <w:ind w:firstLine="709"/>
        <w:jc w:val="both"/>
        <w:rPr>
          <w:rFonts w:ascii="Verdana" w:eastAsia="Arial" w:hAnsi="Verdana" w:cs="Arial"/>
          <w:lang w:val="es-ES" w:eastAsia="es-ES" w:bidi="es-ES"/>
        </w:rPr>
      </w:pPr>
      <w:r>
        <w:rPr>
          <w:rFonts w:ascii="Verdana" w:eastAsia="Arial" w:hAnsi="Verdana" w:cs="Arial"/>
          <w:lang w:val="es-ES" w:eastAsia="es-ES" w:bidi="es-ES"/>
        </w:rPr>
        <w:t>E</w:t>
      </w:r>
      <w:r w:rsidRPr="00E2397D">
        <w:rPr>
          <w:rFonts w:ascii="Verdana" w:eastAsia="Arial" w:hAnsi="Verdana" w:cs="Arial"/>
          <w:lang w:val="es-ES" w:eastAsia="es-ES" w:bidi="es-ES"/>
        </w:rPr>
        <w:t>s importante resaltar que la Sala de Consulta y Servicio Civil del Consejo de Estado se ha pronunciado en el sentido de que no se les aplica la restricción contemplada en el artículo 38 de la Ley de Garantías a los convenios interadministrativos que deben celebrarse en virtud de un fallo judicial. Esto en la medida que la obligatoriedad y la fuerza vinculante de las sentencias ejecutoriadas proferidas por los funcionarios investidos del poder judicial emanan de la autonomía conferida a estos por la Constitución y del derecho que tienen los ciudadanos al acceso y oportuna administración de justicia</w:t>
      </w:r>
      <w:r w:rsidRPr="00E2397D">
        <w:rPr>
          <w:rFonts w:ascii="Verdana" w:eastAsia="Arial" w:hAnsi="Verdana" w:cs="Arial"/>
          <w:vertAlign w:val="superscript"/>
          <w:lang w:val="es-ES" w:eastAsia="es-ES" w:bidi="es-ES"/>
        </w:rPr>
        <w:footnoteReference w:id="30"/>
      </w:r>
      <w:r w:rsidRPr="00E2397D">
        <w:rPr>
          <w:rFonts w:ascii="Verdana" w:eastAsia="Arial" w:hAnsi="Verdana" w:cs="Arial"/>
          <w:lang w:val="es-ES" w:eastAsia="es-ES" w:bidi="es-ES"/>
        </w:rPr>
        <w:t>.</w:t>
      </w:r>
    </w:p>
    <w:p w14:paraId="49552F2D" w14:textId="77777777" w:rsidR="0079105E" w:rsidRPr="002D284C" w:rsidRDefault="0079105E" w:rsidP="0079105E">
      <w:pPr>
        <w:spacing w:after="120" w:line="276" w:lineRule="auto"/>
        <w:ind w:firstLine="709"/>
        <w:jc w:val="both"/>
        <w:rPr>
          <w:rFonts w:ascii="Verdana" w:eastAsia="Arial" w:hAnsi="Verdana" w:cs="Arial"/>
          <w:bCs/>
          <w:lang w:eastAsia="es-ES" w:bidi="es-ES"/>
        </w:rPr>
      </w:pPr>
      <w:r>
        <w:rPr>
          <w:rFonts w:ascii="Verdana" w:eastAsia="Arial" w:hAnsi="Verdana" w:cs="Arial"/>
          <w:lang w:val="es-ES" w:eastAsia="es-ES" w:bidi="es-ES"/>
        </w:rPr>
        <w:t xml:space="preserve">De acuerdo a lo expuesto, </w:t>
      </w:r>
      <w:r>
        <w:rPr>
          <w:rFonts w:ascii="Verdana" w:eastAsia="Arial" w:hAnsi="Verdana" w:cs="Arial"/>
          <w:bCs/>
          <w:lang w:val="es-MX" w:eastAsia="es-ES" w:bidi="es-ES"/>
        </w:rPr>
        <w:t xml:space="preserve">es pertinente revisar si lo prescrito </w:t>
      </w:r>
      <w:r w:rsidRPr="002D284C">
        <w:rPr>
          <w:rFonts w:ascii="Verdana" w:eastAsia="Arial" w:hAnsi="Verdana" w:cs="Arial"/>
          <w:bCs/>
          <w:lang w:val="es-MX" w:eastAsia="es-ES" w:bidi="es-ES"/>
        </w:rPr>
        <w:t xml:space="preserve">en el Sistema </w:t>
      </w:r>
      <w:r>
        <w:rPr>
          <w:rFonts w:ascii="Verdana" w:eastAsia="Arial" w:hAnsi="Verdana" w:cs="Arial"/>
          <w:bCs/>
          <w:lang w:val="es-MX" w:eastAsia="es-ES" w:bidi="es-ES"/>
        </w:rPr>
        <w:t>General de Regalías le aplica el artículo 38 de la</w:t>
      </w:r>
      <w:r w:rsidRPr="002D284C">
        <w:rPr>
          <w:rFonts w:ascii="Verdana" w:eastAsia="Arial" w:hAnsi="Verdana" w:cs="Arial"/>
          <w:bCs/>
          <w:lang w:val="es-MX" w:eastAsia="es-ES" w:bidi="es-ES"/>
        </w:rPr>
        <w:t xml:space="preserve"> Ley 996 de 2005 –Ley de G</w:t>
      </w:r>
      <w:r>
        <w:rPr>
          <w:rFonts w:ascii="Verdana" w:eastAsia="Arial" w:hAnsi="Verdana" w:cs="Arial"/>
          <w:bCs/>
          <w:lang w:val="es-MX" w:eastAsia="es-ES" w:bidi="es-ES"/>
        </w:rPr>
        <w:t>arantías Electorales-. En tal sentido</w:t>
      </w:r>
      <w:r w:rsidRPr="002D284C">
        <w:rPr>
          <w:rFonts w:ascii="Verdana" w:eastAsia="Arial" w:hAnsi="Verdana" w:cs="Arial"/>
          <w:bCs/>
          <w:lang w:val="es-MX" w:eastAsia="es-ES" w:bidi="es-ES"/>
        </w:rPr>
        <w:t>, es importante señalar que la Ley 2056 de 2020, “</w:t>
      </w:r>
      <w:r w:rsidRPr="002D284C">
        <w:rPr>
          <w:rFonts w:ascii="Verdana" w:eastAsia="Arial" w:hAnsi="Verdana" w:cs="Arial"/>
          <w:bCs/>
          <w:lang w:eastAsia="es-ES" w:bidi="es-ES"/>
        </w:rPr>
        <w:t>por la cual se regula la organización y el funcionamiento del Sistema General de Regalías”, tiene por objeto: “[…] determinar la distribución, objetivos, fines, administración, ejecución, control, el uso eficiente y la destinación de los ingresos provenientes de la explotación de los recursos naturales no renovables precisando las condiciones de participación de sus beneficiarios. Este conjunto de ingresos, asignaciones, órganos, procedimientos, y regulaciones constituye el Sistema General de Regalías”.</w:t>
      </w:r>
    </w:p>
    <w:p w14:paraId="63FFB2FA" w14:textId="77777777" w:rsidR="0079105E" w:rsidRPr="00FF6BC9" w:rsidRDefault="0079105E" w:rsidP="0079105E">
      <w:pPr>
        <w:spacing w:after="120" w:line="276" w:lineRule="auto"/>
        <w:ind w:firstLine="709"/>
        <w:jc w:val="both"/>
        <w:rPr>
          <w:rFonts w:ascii="Verdana" w:eastAsia="Arial" w:hAnsi="Verdana" w:cs="Arial"/>
          <w:bCs/>
          <w:lang w:val="es-MX" w:eastAsia="es-ES" w:bidi="es-ES"/>
        </w:rPr>
      </w:pPr>
      <w:r w:rsidRPr="00660153">
        <w:rPr>
          <w:rFonts w:ascii="Verdana" w:eastAsia="Arial" w:hAnsi="Verdana" w:cs="Arial"/>
          <w:bCs/>
          <w:lang w:eastAsia="es-ES" w:bidi="es-ES"/>
        </w:rPr>
        <w:t>Dentro de este marco normativo</w:t>
      </w:r>
      <w:r>
        <w:rPr>
          <w:rFonts w:ascii="Verdana" w:eastAsia="Arial" w:hAnsi="Verdana" w:cs="Arial"/>
          <w:bCs/>
          <w:lang w:eastAsia="es-ES" w:bidi="es-ES"/>
        </w:rPr>
        <w:t xml:space="preserve"> del Sistema General de Regalías</w:t>
      </w:r>
      <w:r w:rsidRPr="00660153">
        <w:rPr>
          <w:rFonts w:ascii="Verdana" w:eastAsia="Arial" w:hAnsi="Verdana" w:cs="Arial"/>
          <w:bCs/>
          <w:lang w:eastAsia="es-ES" w:bidi="es-ES"/>
        </w:rPr>
        <w:t xml:space="preserve"> </w:t>
      </w:r>
      <w:r w:rsidRPr="00660153">
        <w:rPr>
          <w:rFonts w:ascii="Verdana" w:eastAsia="Arial" w:hAnsi="Verdana" w:cs="Arial"/>
          <w:bCs/>
          <w:lang w:val="es-ES" w:eastAsia="es-ES" w:bidi="es-ES"/>
        </w:rPr>
        <w:t xml:space="preserve">no se establece una excepción </w:t>
      </w:r>
      <w:r>
        <w:rPr>
          <w:rFonts w:ascii="Verdana" w:eastAsia="Arial" w:hAnsi="Verdana" w:cs="Arial"/>
          <w:bCs/>
          <w:lang w:val="es-ES" w:eastAsia="es-ES" w:bidi="es-ES"/>
        </w:rPr>
        <w:t>a lo dispuesto en el artículo 38</w:t>
      </w:r>
      <w:r w:rsidRPr="00660153">
        <w:rPr>
          <w:rFonts w:ascii="Verdana" w:eastAsia="Arial" w:hAnsi="Verdana" w:cs="Arial"/>
          <w:bCs/>
          <w:lang w:val="es-ES" w:eastAsia="es-ES" w:bidi="es-ES"/>
        </w:rPr>
        <w:t xml:space="preserve"> de la Ley 996 de 2005 </w:t>
      </w:r>
      <w:r>
        <w:rPr>
          <w:rFonts w:ascii="Verdana" w:eastAsia="Arial" w:hAnsi="Verdana" w:cs="Arial"/>
          <w:bCs/>
          <w:lang w:val="es-MX" w:eastAsia="es-ES" w:bidi="es-ES"/>
        </w:rPr>
        <w:t xml:space="preserve">que restringe </w:t>
      </w:r>
      <w:r w:rsidRPr="0064722F">
        <w:rPr>
          <w:rFonts w:ascii="Verdana" w:eastAsia="Arial" w:hAnsi="Verdana" w:cs="Arial"/>
          <w:bCs/>
          <w:lang w:val="es-MX" w:eastAsia="es-ES" w:bidi="es-ES"/>
        </w:rPr>
        <w:t xml:space="preserve">a los </w:t>
      </w:r>
      <w:proofErr w:type="gramStart"/>
      <w:r w:rsidRPr="0064722F">
        <w:rPr>
          <w:rFonts w:ascii="Verdana" w:eastAsia="Arial" w:hAnsi="Verdana" w:cs="Arial"/>
          <w:bCs/>
          <w:lang w:val="es-MX" w:eastAsia="es-ES" w:bidi="es-ES"/>
        </w:rPr>
        <w:t>Alcaldes</w:t>
      </w:r>
      <w:proofErr w:type="gramEnd"/>
      <w:r w:rsidRPr="0064722F">
        <w:rPr>
          <w:rFonts w:ascii="Verdana" w:eastAsia="Arial" w:hAnsi="Verdana" w:cs="Arial"/>
          <w:bCs/>
          <w:lang w:val="es-MX" w:eastAsia="es-ES" w:bidi="es-ES"/>
        </w:rPr>
        <w:t xml:space="preserve">, Gobernadores, Secretarios, Gerentes y Directores de las entidades del orden municipal, departamental o distrital celebrar </w:t>
      </w:r>
      <w:r w:rsidRPr="0064722F">
        <w:rPr>
          <w:rFonts w:ascii="Verdana" w:eastAsia="Arial" w:hAnsi="Verdana" w:cs="Arial"/>
          <w:bCs/>
          <w:i/>
          <w:iCs/>
          <w:lang w:val="es-MX" w:eastAsia="es-ES" w:bidi="es-ES"/>
        </w:rPr>
        <w:t>convenios interadministrativos</w:t>
      </w:r>
      <w:r w:rsidRPr="0064722F">
        <w:rPr>
          <w:rFonts w:ascii="Verdana" w:eastAsia="Arial" w:hAnsi="Verdana" w:cs="Arial"/>
          <w:bCs/>
          <w:lang w:val="es-MX" w:eastAsia="es-ES" w:bidi="es-ES"/>
        </w:rPr>
        <w:t xml:space="preserve"> para la ejecución de recursos públicos</w:t>
      </w:r>
      <w:r>
        <w:rPr>
          <w:rFonts w:ascii="Verdana" w:eastAsia="Arial" w:hAnsi="Verdana" w:cs="Arial"/>
          <w:bCs/>
          <w:lang w:val="es-MX" w:eastAsia="es-ES" w:bidi="es-ES"/>
        </w:rPr>
        <w:t xml:space="preserve"> en las elecciones</w:t>
      </w:r>
      <w:r w:rsidRPr="0064722F">
        <w:rPr>
          <w:rFonts w:ascii="Verdana" w:eastAsia="Arial" w:hAnsi="Verdana" w:cs="Arial"/>
          <w:bCs/>
          <w:lang w:val="es-MX" w:eastAsia="es-ES" w:bidi="es-ES"/>
        </w:rPr>
        <w:t>.</w:t>
      </w:r>
      <w:r>
        <w:rPr>
          <w:rFonts w:ascii="Verdana" w:eastAsia="Arial" w:hAnsi="Verdana" w:cs="Arial"/>
          <w:bCs/>
          <w:lang w:val="es-MX" w:eastAsia="es-ES" w:bidi="es-ES"/>
        </w:rPr>
        <w:t xml:space="preserve"> En esta línea</w:t>
      </w:r>
      <w:r w:rsidRPr="0064722F">
        <w:rPr>
          <w:rFonts w:ascii="Verdana" w:eastAsia="Arial" w:hAnsi="Verdana" w:cs="Arial"/>
          <w:bCs/>
          <w:lang w:val="es-MX" w:eastAsia="es-ES" w:bidi="es-ES"/>
        </w:rPr>
        <w:t xml:space="preserve">, si una o ambas partes de la relación contractual es una entidad de aquellas descritas en el parágrafo </w:t>
      </w:r>
      <w:r w:rsidRPr="0064722F">
        <w:rPr>
          <w:rFonts w:ascii="Verdana" w:eastAsia="Arial" w:hAnsi="Verdana" w:cs="Arial"/>
          <w:bCs/>
          <w:i/>
          <w:lang w:val="es-MX" w:eastAsia="es-ES" w:bidi="es-ES"/>
        </w:rPr>
        <w:t>ibidem</w:t>
      </w:r>
      <w:r w:rsidRPr="0064722F">
        <w:rPr>
          <w:rFonts w:ascii="Verdana" w:eastAsia="Arial" w:hAnsi="Verdana" w:cs="Arial"/>
          <w:bCs/>
          <w:lang w:val="es-MX" w:eastAsia="es-ES" w:bidi="es-ES"/>
        </w:rPr>
        <w:t xml:space="preserve">, no podrá celebrar tales </w:t>
      </w:r>
      <w:r w:rsidRPr="0064722F">
        <w:rPr>
          <w:rFonts w:ascii="Verdana" w:eastAsia="Arial" w:hAnsi="Verdana" w:cs="Arial"/>
          <w:bCs/>
          <w:i/>
          <w:iCs/>
          <w:lang w:val="es-MX" w:eastAsia="es-ES" w:bidi="es-ES"/>
        </w:rPr>
        <w:t>convenios</w:t>
      </w:r>
      <w:r>
        <w:rPr>
          <w:rFonts w:ascii="Verdana" w:eastAsia="Arial" w:hAnsi="Verdana" w:cs="Arial"/>
          <w:bCs/>
          <w:i/>
          <w:iCs/>
          <w:lang w:val="es-MX" w:eastAsia="es-ES" w:bidi="es-ES"/>
        </w:rPr>
        <w:t xml:space="preserve"> para la ejecución de recursos del Sistema General de Regalías</w:t>
      </w:r>
      <w:r w:rsidRPr="0064722F">
        <w:rPr>
          <w:rFonts w:ascii="Verdana" w:eastAsia="Arial" w:hAnsi="Verdana" w:cs="Arial"/>
          <w:bCs/>
          <w:lang w:val="es-MX" w:eastAsia="es-ES" w:bidi="es-ES"/>
        </w:rPr>
        <w:t xml:space="preserve"> durante </w:t>
      </w:r>
      <w:r w:rsidRPr="0064722F">
        <w:rPr>
          <w:rFonts w:ascii="Verdana" w:eastAsia="Arial" w:hAnsi="Verdana" w:cs="Arial"/>
          <w:bCs/>
          <w:lang w:val="es-MX" w:eastAsia="es-ES" w:bidi="es-ES"/>
        </w:rPr>
        <w:lastRenderedPageBreak/>
        <w:t>la aplicación de la Ley de Garantías Electorales, toda vez que la citada disposición se refiere a dicha tipología contractual sin que el legislador hubiere c</w:t>
      </w:r>
      <w:r>
        <w:rPr>
          <w:rFonts w:ascii="Verdana" w:eastAsia="Arial" w:hAnsi="Verdana" w:cs="Arial"/>
          <w:bCs/>
          <w:lang w:val="es-MX" w:eastAsia="es-ES" w:bidi="es-ES"/>
        </w:rPr>
        <w:t>ontemplado excepciones a esta</w:t>
      </w:r>
      <w:r w:rsidRPr="0064722F">
        <w:rPr>
          <w:rFonts w:ascii="Verdana" w:eastAsia="Arial" w:hAnsi="Verdana" w:cs="Arial"/>
          <w:bCs/>
          <w:lang w:val="es-MX" w:eastAsia="es-ES" w:bidi="es-ES"/>
        </w:rPr>
        <w:t xml:space="preserve">. </w:t>
      </w:r>
      <w:bookmarkEnd w:id="11"/>
      <w:r>
        <w:rPr>
          <w:rFonts w:ascii="Verdana" w:eastAsia="Arial" w:hAnsi="Verdana" w:cs="Arial"/>
          <w:bCs/>
          <w:lang w:val="es-MX" w:eastAsia="es-ES" w:bidi="es-ES"/>
        </w:rPr>
        <w:t>Es importante precisar, como se expuso en apartados anteriores</w:t>
      </w:r>
      <w:r w:rsidRPr="00FF6BC9">
        <w:rPr>
          <w:rFonts w:ascii="Verdana" w:eastAsia="Arial" w:hAnsi="Verdana" w:cs="Arial"/>
          <w:bCs/>
          <w:lang w:val="es-MX" w:eastAsia="es-ES" w:bidi="es-ES"/>
        </w:rPr>
        <w:t xml:space="preserve">, para esta Agencia tal restricción también </w:t>
      </w:r>
      <w:r>
        <w:rPr>
          <w:rFonts w:ascii="Verdana" w:eastAsia="Arial" w:hAnsi="Verdana" w:cs="Arial"/>
          <w:bCs/>
          <w:lang w:val="es-MX" w:eastAsia="es-ES" w:bidi="es-ES"/>
        </w:rPr>
        <w:t xml:space="preserve">aplicaría </w:t>
      </w:r>
      <w:r w:rsidRPr="00FF6BC9">
        <w:rPr>
          <w:rFonts w:ascii="Verdana" w:eastAsia="Arial" w:hAnsi="Verdana" w:cs="Arial"/>
          <w:bCs/>
          <w:lang w:val="es-MX" w:eastAsia="es-ES" w:bidi="es-ES"/>
        </w:rPr>
        <w:t>a los</w:t>
      </w:r>
      <w:r>
        <w:rPr>
          <w:rFonts w:ascii="Verdana" w:eastAsia="Arial" w:hAnsi="Verdana" w:cs="Arial"/>
          <w:bCs/>
          <w:lang w:val="es-MX" w:eastAsia="es-ES" w:bidi="es-ES"/>
        </w:rPr>
        <w:t xml:space="preserve"> contratos interadministrativos. </w:t>
      </w:r>
      <w:r w:rsidRPr="00982D5D">
        <w:rPr>
          <w:rFonts w:ascii="Verdana" w:eastAsia="Arial" w:hAnsi="Verdana" w:cs="Arial"/>
          <w:bCs/>
          <w:lang w:eastAsia="es-ES" w:bidi="es-ES"/>
        </w:rPr>
        <w:t>A juicio de la Entidad, excluir los contratos interadministrativos del alcance de la Ley de Garantías Electorales desvirtúa el objetivo esencial de la norma: prevenir el uso indebido de recursos públicos en campañas políticas, evitando ventajas injustificadas o apoyos indebidos mediante convenios o contratos, que comparten propósito y c</w:t>
      </w:r>
      <w:r>
        <w:rPr>
          <w:rFonts w:ascii="Verdana" w:eastAsia="Arial" w:hAnsi="Verdana" w:cs="Arial"/>
          <w:bCs/>
          <w:lang w:eastAsia="es-ES" w:bidi="es-ES"/>
        </w:rPr>
        <w:t>onnotación en dicho marco legal.</w:t>
      </w:r>
    </w:p>
    <w:p w14:paraId="638214A8" w14:textId="77777777" w:rsidR="0079105E" w:rsidRPr="00982D5D" w:rsidRDefault="0079105E" w:rsidP="0079105E">
      <w:pPr>
        <w:spacing w:after="120" w:line="276" w:lineRule="auto"/>
        <w:jc w:val="both"/>
        <w:rPr>
          <w:rFonts w:ascii="Verdana" w:eastAsia="Calibri" w:hAnsi="Verdana" w:cs="Arial"/>
          <w:bCs/>
          <w:iCs/>
          <w:lang w:val="es-MX" w:eastAsia="es-ES_tradnl"/>
        </w:rPr>
      </w:pPr>
    </w:p>
    <w:p w14:paraId="105F6A32" w14:textId="77777777" w:rsidR="0079105E" w:rsidRPr="008D191C" w:rsidRDefault="0079105E" w:rsidP="0079105E">
      <w:pPr>
        <w:spacing w:after="120" w:line="276" w:lineRule="auto"/>
        <w:jc w:val="both"/>
        <w:rPr>
          <w:rFonts w:ascii="Verdana" w:hAnsi="Verdana"/>
        </w:rPr>
      </w:pPr>
      <w:r>
        <w:rPr>
          <w:rFonts w:ascii="Verdana" w:eastAsia="Calibri" w:hAnsi="Verdana" w:cs="Arial"/>
          <w:bCs/>
          <w:iCs/>
          <w:lang w:val="es-ES" w:eastAsia="es-ES_tradnl"/>
        </w:rPr>
        <w:t xml:space="preserve">v. </w:t>
      </w:r>
      <w:r w:rsidRPr="008D191C">
        <w:rPr>
          <w:rFonts w:ascii="Verdana" w:eastAsia="Calibri" w:hAnsi="Verdana" w:cs="Arial"/>
          <w:bCs/>
          <w:color w:val="000000" w:themeColor="text1"/>
        </w:rPr>
        <w:t>Al margen de la explicación precedente debe advertirse que el análisis requerido para resolver problemas específicos en torno a la gestión contractual de las entidades públicas debe ser realizado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3779A8A0" w14:textId="77777777" w:rsidR="0079105E" w:rsidRPr="008D191C" w:rsidRDefault="0079105E" w:rsidP="0079105E">
      <w:pPr>
        <w:spacing w:after="0" w:line="276" w:lineRule="auto"/>
        <w:ind w:firstLine="708"/>
        <w:jc w:val="both"/>
        <w:rPr>
          <w:rFonts w:ascii="Verdana" w:eastAsia="Calibri" w:hAnsi="Verdana" w:cs="Arial"/>
          <w:bCs/>
          <w:color w:val="000000" w:themeColor="text1"/>
        </w:rPr>
      </w:pPr>
      <w:r w:rsidRPr="008D191C">
        <w:rPr>
          <w:rFonts w:ascii="Verdana" w:eastAsia="Calibri" w:hAnsi="Verdana" w:cs="Arial"/>
          <w:bCs/>
          <w:color w:val="000000" w:themeColor="text1"/>
        </w:rPr>
        <w:t xml:space="preserve">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 </w:t>
      </w:r>
    </w:p>
    <w:p w14:paraId="5146DF43" w14:textId="77777777" w:rsidR="0079105E" w:rsidRPr="0030488C" w:rsidRDefault="0079105E" w:rsidP="0079105E">
      <w:pPr>
        <w:spacing w:after="120" w:line="276" w:lineRule="auto"/>
        <w:ind w:firstLine="709"/>
        <w:jc w:val="both"/>
        <w:rPr>
          <w:rFonts w:ascii="Verdana" w:eastAsia="Arial" w:hAnsi="Verdana" w:cs="Arial"/>
          <w:bCs/>
          <w:lang w:eastAsia="es-ES" w:bidi="es-ES"/>
        </w:rPr>
      </w:pPr>
    </w:p>
    <w:p w14:paraId="26EFDEB7" w14:textId="77777777" w:rsidR="0079105E" w:rsidRPr="008853C1" w:rsidRDefault="0079105E" w:rsidP="0079105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8853C1">
        <w:rPr>
          <w:rFonts w:ascii="Verdana" w:eastAsia="Century Gothic" w:hAnsi="Verdana" w:cs="Century Gothic"/>
          <w:b/>
          <w:bCs/>
        </w:rPr>
        <w:t>Referencias normativas</w:t>
      </w:r>
      <w:r>
        <w:rPr>
          <w:rFonts w:ascii="Verdana" w:eastAsia="Century Gothic" w:hAnsi="Verdana" w:cs="Century Gothic"/>
          <w:b/>
          <w:bCs/>
        </w:rPr>
        <w:t>, jurisprudenciales y otras fuentes</w:t>
      </w:r>
      <w:r w:rsidRPr="008853C1">
        <w:rPr>
          <w:rFonts w:ascii="Verdana" w:eastAsia="Century Gothic" w:hAnsi="Verdana" w:cs="Century Gothic"/>
          <w:b/>
          <w:bCs/>
        </w:rPr>
        <w:t xml:space="preserve"> </w:t>
      </w:r>
    </w:p>
    <w:p w14:paraId="5B3FCFFF" w14:textId="77777777" w:rsidR="0079105E" w:rsidRPr="00E2397D" w:rsidRDefault="0079105E" w:rsidP="0079105E">
      <w:pPr>
        <w:widowControl w:val="0"/>
        <w:autoSpaceDE w:val="0"/>
        <w:autoSpaceDN w:val="0"/>
        <w:spacing w:after="0" w:line="276" w:lineRule="auto"/>
        <w:jc w:val="both"/>
        <w:rPr>
          <w:rFonts w:ascii="Verdana" w:hAnsi="Verdana" w:cs="Arial"/>
        </w:rPr>
      </w:pPr>
    </w:p>
    <w:tbl>
      <w:tblPr>
        <w:tblStyle w:val="Tablaconcuadrcula"/>
        <w:tblW w:w="8647" w:type="dxa"/>
        <w:jc w:val="center"/>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79105E" w:rsidRPr="00810249" w14:paraId="221D2B0B" w14:textId="77777777" w:rsidTr="00223A48">
        <w:trPr>
          <w:trHeight w:val="477"/>
          <w:jc w:val="center"/>
        </w:trPr>
        <w:tc>
          <w:tcPr>
            <w:tcW w:w="8647" w:type="dxa"/>
          </w:tcPr>
          <w:p w14:paraId="3A1B4859" w14:textId="77777777" w:rsidR="0079105E" w:rsidRPr="00AB51C6" w:rsidRDefault="0079105E" w:rsidP="0079105E">
            <w:pPr>
              <w:widowControl w:val="0"/>
              <w:numPr>
                <w:ilvl w:val="0"/>
                <w:numId w:val="20"/>
              </w:numPr>
              <w:autoSpaceDE w:val="0"/>
              <w:autoSpaceDN w:val="0"/>
              <w:spacing w:before="120" w:after="120" w:line="276" w:lineRule="auto"/>
              <w:ind w:left="714" w:hanging="357"/>
              <w:jc w:val="both"/>
              <w:rPr>
                <w:rFonts w:ascii="Verdana" w:eastAsia="Arial MT" w:hAnsi="Verdana" w:cs="Arial"/>
                <w:lang w:val="es-ES" w:eastAsia="es-ES" w:bidi="es-ES"/>
              </w:rPr>
            </w:pPr>
            <w:r w:rsidRPr="00E2397D">
              <w:rPr>
                <w:rFonts w:ascii="Verdana" w:eastAsia="Arial MT" w:hAnsi="Verdana" w:cs="Arial"/>
                <w:lang w:eastAsia="es-ES" w:bidi="es-ES"/>
              </w:rPr>
              <w:t>Constitución Política: Artículo 127.</w:t>
            </w:r>
          </w:p>
          <w:p w14:paraId="43B34896" w14:textId="77777777" w:rsidR="0079105E" w:rsidRPr="00EC214E" w:rsidRDefault="0079105E" w:rsidP="0079105E">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sidRPr="00E2397D">
              <w:rPr>
                <w:rFonts w:ascii="Verdana" w:eastAsia="Arial MT" w:hAnsi="Verdana" w:cs="Arial"/>
                <w:bCs/>
                <w:lang w:val="es-ES" w:eastAsia="es-ES" w:bidi="es-ES"/>
              </w:rPr>
              <w:t>Ley 996 de 2005: artículos 33 y 38 parágrafo.</w:t>
            </w:r>
          </w:p>
          <w:p w14:paraId="4FF47C8E" w14:textId="77777777" w:rsidR="0079105E" w:rsidRPr="00AB51C6" w:rsidRDefault="0079105E" w:rsidP="0079105E">
            <w:pPr>
              <w:widowControl w:val="0"/>
              <w:numPr>
                <w:ilvl w:val="0"/>
                <w:numId w:val="20"/>
              </w:numPr>
              <w:autoSpaceDE w:val="0"/>
              <w:autoSpaceDN w:val="0"/>
              <w:spacing w:after="120" w:line="276" w:lineRule="auto"/>
              <w:ind w:left="714" w:hanging="357"/>
              <w:jc w:val="both"/>
              <w:rPr>
                <w:rFonts w:ascii="Verdana" w:eastAsia="Arial MT" w:hAnsi="Verdana" w:cs="Arial"/>
                <w:lang w:val="es-ES" w:eastAsia="es-ES" w:bidi="es-ES"/>
              </w:rPr>
            </w:pPr>
            <w:r>
              <w:rPr>
                <w:rFonts w:ascii="Verdana" w:eastAsia="Arial MT" w:hAnsi="Verdana" w:cs="Arial"/>
                <w:bCs/>
                <w:lang w:val="es-ES" w:eastAsia="es-ES" w:bidi="es-ES"/>
              </w:rPr>
              <w:lastRenderedPageBreak/>
              <w:t xml:space="preserve">Ley 2056 de 2020, artículo 1. </w:t>
            </w:r>
          </w:p>
          <w:p w14:paraId="715B3A29" w14:textId="77777777" w:rsidR="0079105E" w:rsidRPr="00CC0106"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 xml:space="preserve">Colombia Compra Eficiente. Circular Externa Única. </w:t>
            </w:r>
          </w:p>
          <w:p w14:paraId="53D32A49" w14:textId="77777777" w:rsidR="0079105E" w:rsidRPr="0030488C"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20</w:t>
            </w:r>
            <w:r>
              <w:rPr>
                <w:rFonts w:ascii="Verdana" w:eastAsia="Calibri" w:hAnsi="Verdana" w:cs="Arial"/>
                <w:lang w:val="es-ES"/>
              </w:rPr>
              <w:t xml:space="preserve"> de febrero de 2006. Radicado. 1727</w:t>
            </w:r>
            <w:r w:rsidRPr="00CC0106">
              <w:rPr>
                <w:rFonts w:ascii="Verdana" w:eastAsia="Calibri" w:hAnsi="Verdana" w:cs="Arial"/>
                <w:lang w:val="es-ES"/>
              </w:rPr>
              <w:t>. C.P. Enrique José Arboleda Perdomo.</w:t>
            </w:r>
          </w:p>
          <w:p w14:paraId="670A01DE" w14:textId="77777777" w:rsidR="0079105E" w:rsidRPr="00CC0106"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Concepto de 6 de ab</w:t>
            </w:r>
            <w:r>
              <w:rPr>
                <w:rFonts w:ascii="Verdana" w:eastAsia="Calibri" w:hAnsi="Verdana" w:cs="Arial"/>
                <w:lang w:val="es-ES"/>
              </w:rPr>
              <w:t xml:space="preserve">ril de 2006. Radicado. </w:t>
            </w:r>
            <w:r w:rsidRPr="00CC0106">
              <w:rPr>
                <w:rFonts w:ascii="Verdana" w:eastAsia="Calibri" w:hAnsi="Verdana" w:cs="Arial"/>
                <w:lang w:val="es-ES"/>
              </w:rPr>
              <w:t xml:space="preserve">1738. C.P. Enrique José Arboleda Perdomo. </w:t>
            </w:r>
          </w:p>
          <w:p w14:paraId="05F68934" w14:textId="77777777" w:rsidR="0079105E" w:rsidRPr="0030488C" w:rsidRDefault="0079105E" w:rsidP="0079105E">
            <w:pPr>
              <w:widowControl w:val="0"/>
              <w:numPr>
                <w:ilvl w:val="0"/>
                <w:numId w:val="20"/>
              </w:numPr>
              <w:autoSpaceDE w:val="0"/>
              <w:autoSpaceDN w:val="0"/>
              <w:spacing w:after="120" w:line="276" w:lineRule="auto"/>
              <w:jc w:val="both"/>
              <w:rPr>
                <w:rFonts w:ascii="Verdana" w:eastAsia="Calibri" w:hAnsi="Verdana" w:cs="Arial"/>
              </w:rPr>
            </w:pPr>
            <w:r w:rsidRPr="0030488C">
              <w:rPr>
                <w:rFonts w:ascii="Verdana" w:eastAsia="Calibri" w:hAnsi="Verdana" w:cs="Arial"/>
              </w:rPr>
              <w:t xml:space="preserve">Consejo de Estado. Sala de Consulta y Servicio Civil. Concepto del 15 de noviembre de 2007. </w:t>
            </w:r>
            <w:r>
              <w:rPr>
                <w:rFonts w:ascii="Verdana" w:eastAsia="Calibri" w:hAnsi="Verdana" w:cs="Arial"/>
              </w:rPr>
              <w:t xml:space="preserve">Rad. 1863. </w:t>
            </w:r>
            <w:r w:rsidRPr="0030488C">
              <w:rPr>
                <w:rFonts w:ascii="Verdana" w:eastAsia="Calibri" w:hAnsi="Verdana" w:cs="Arial"/>
              </w:rPr>
              <w:t xml:space="preserve">C.P. Luis Fernando Álvarez Jaramillo. </w:t>
            </w:r>
          </w:p>
          <w:p w14:paraId="5DFA446A" w14:textId="77777777" w:rsidR="0079105E"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 xml:space="preserve">Consejo de Estado, Sala de Consulta y Servicio Civil de fecha 24 de julio de 2013, Radicado 2166, C. P. Álvaro </w:t>
            </w:r>
            <w:proofErr w:type="spellStart"/>
            <w:r w:rsidRPr="000F46C6">
              <w:rPr>
                <w:rFonts w:ascii="Verdana" w:eastAsia="Calibri" w:hAnsi="Verdana" w:cs="Arial"/>
                <w:lang w:val="es-ES"/>
              </w:rPr>
              <w:t>Namén</w:t>
            </w:r>
            <w:proofErr w:type="spellEnd"/>
            <w:r w:rsidRPr="000F46C6">
              <w:rPr>
                <w:rFonts w:ascii="Verdana" w:eastAsia="Calibri" w:hAnsi="Verdana" w:cs="Arial"/>
                <w:lang w:val="es-ES"/>
              </w:rPr>
              <w:t xml:space="preserve"> Vargas.  </w:t>
            </w:r>
          </w:p>
          <w:p w14:paraId="651F7D02" w14:textId="77777777" w:rsidR="0079105E" w:rsidRPr="000F46C6"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0F46C6">
              <w:rPr>
                <w:rFonts w:ascii="Verdana" w:eastAsia="Calibri" w:hAnsi="Verdana" w:cs="Arial"/>
                <w:lang w:val="es-ES"/>
              </w:rPr>
              <w:t>Consejo de Estado. Sala de Consulta y Servicio Civil. Concepto del 2 de septiembr</w:t>
            </w:r>
            <w:r>
              <w:rPr>
                <w:rFonts w:ascii="Verdana" w:eastAsia="Calibri" w:hAnsi="Verdana" w:cs="Arial"/>
                <w:lang w:val="es-ES"/>
              </w:rPr>
              <w:t>e de 2013. Radicado</w:t>
            </w:r>
            <w:r w:rsidRPr="000F46C6">
              <w:rPr>
                <w:rFonts w:ascii="Verdana" w:eastAsia="Calibri" w:hAnsi="Verdana" w:cs="Arial"/>
                <w:lang w:val="es-ES"/>
              </w:rPr>
              <w:t>:</w:t>
            </w:r>
            <w:r>
              <w:rPr>
                <w:rFonts w:ascii="Verdana" w:eastAsia="Calibri" w:hAnsi="Verdana" w:cs="Arial"/>
                <w:lang w:val="es-ES"/>
              </w:rPr>
              <w:t xml:space="preserve"> 2168. C.P.</w:t>
            </w:r>
            <w:r w:rsidRPr="000F46C6">
              <w:rPr>
                <w:rFonts w:ascii="Verdana" w:eastAsia="Calibri" w:hAnsi="Verdana" w:cs="Arial"/>
                <w:lang w:val="es-ES"/>
              </w:rPr>
              <w:t xml:space="preserve"> Álvaro </w:t>
            </w:r>
            <w:proofErr w:type="spellStart"/>
            <w:r w:rsidRPr="000F46C6">
              <w:rPr>
                <w:rFonts w:ascii="Verdana" w:eastAsia="Calibri" w:hAnsi="Verdana" w:cs="Arial"/>
                <w:lang w:val="es-ES"/>
              </w:rPr>
              <w:t>Namén</w:t>
            </w:r>
            <w:proofErr w:type="spellEnd"/>
            <w:r w:rsidRPr="000F46C6">
              <w:rPr>
                <w:rFonts w:ascii="Verdana" w:eastAsia="Calibri" w:hAnsi="Verdana" w:cs="Arial"/>
                <w:lang w:val="es-ES"/>
              </w:rPr>
              <w:t xml:space="preserve"> Vargas. </w:t>
            </w:r>
          </w:p>
          <w:p w14:paraId="040BA227" w14:textId="77777777" w:rsidR="0079105E"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CC0106">
              <w:rPr>
                <w:rFonts w:ascii="Verdana" w:eastAsia="Calibri" w:hAnsi="Verdana" w:cs="Arial"/>
                <w:lang w:val="es-ES"/>
              </w:rPr>
              <w:t>Consejo de Estado. Sala de Consulta y Servicio Civil. Conc</w:t>
            </w:r>
            <w:r>
              <w:rPr>
                <w:rFonts w:ascii="Verdana" w:eastAsia="Calibri" w:hAnsi="Verdana" w:cs="Arial"/>
                <w:lang w:val="es-ES"/>
              </w:rPr>
              <w:t>epto del 08 de mayo de 2018. Radicado</w:t>
            </w:r>
            <w:r w:rsidRPr="00CC0106">
              <w:rPr>
                <w:rFonts w:ascii="Verdana" w:eastAsia="Calibri" w:hAnsi="Verdana" w:cs="Arial"/>
                <w:lang w:val="es-ES"/>
              </w:rPr>
              <w:t xml:space="preserve">. 2.382. C.P. Álvaro </w:t>
            </w:r>
            <w:proofErr w:type="spellStart"/>
            <w:r w:rsidRPr="00CC0106">
              <w:rPr>
                <w:rFonts w:ascii="Verdana" w:eastAsia="Calibri" w:hAnsi="Verdana" w:cs="Arial"/>
                <w:lang w:val="es-ES"/>
              </w:rPr>
              <w:t>Namén</w:t>
            </w:r>
            <w:proofErr w:type="spellEnd"/>
            <w:r w:rsidRPr="00CC0106">
              <w:rPr>
                <w:rFonts w:ascii="Verdana" w:eastAsia="Calibri" w:hAnsi="Verdana" w:cs="Arial"/>
                <w:lang w:val="es-ES"/>
              </w:rPr>
              <w:t xml:space="preserve"> Vargas.</w:t>
            </w:r>
          </w:p>
          <w:p w14:paraId="4D585F46" w14:textId="77777777" w:rsidR="0079105E" w:rsidRPr="0030488C" w:rsidRDefault="0079105E" w:rsidP="0079105E">
            <w:pPr>
              <w:widowControl w:val="0"/>
              <w:numPr>
                <w:ilvl w:val="0"/>
                <w:numId w:val="20"/>
              </w:numPr>
              <w:autoSpaceDE w:val="0"/>
              <w:autoSpaceDN w:val="0"/>
              <w:spacing w:after="120" w:line="276" w:lineRule="auto"/>
              <w:jc w:val="both"/>
              <w:rPr>
                <w:rFonts w:ascii="Verdana" w:eastAsia="Calibri" w:hAnsi="Verdana" w:cs="Arial"/>
              </w:rPr>
            </w:pPr>
            <w:r w:rsidRPr="0030488C">
              <w:rPr>
                <w:rFonts w:ascii="Verdana" w:eastAsia="Calibri" w:hAnsi="Verdana" w:cs="Arial"/>
              </w:rPr>
              <w:t xml:space="preserve">Consejo de Estado, Sección Tercera. Auto del 4 de octubre de 2024. </w:t>
            </w:r>
            <w:proofErr w:type="spellStart"/>
            <w:r w:rsidRPr="0030488C">
              <w:rPr>
                <w:rFonts w:ascii="Verdana" w:eastAsia="Calibri" w:hAnsi="Verdana" w:cs="Arial"/>
              </w:rPr>
              <w:t>Exp</w:t>
            </w:r>
            <w:proofErr w:type="spellEnd"/>
            <w:r w:rsidRPr="0030488C">
              <w:rPr>
                <w:rFonts w:ascii="Verdana" w:eastAsia="Calibri" w:hAnsi="Verdana" w:cs="Arial"/>
              </w:rPr>
              <w:t>. 70.313. C.P: Fredy Ibarra Martínez</w:t>
            </w:r>
          </w:p>
          <w:p w14:paraId="524BE79B" w14:textId="77777777" w:rsidR="0079105E" w:rsidRPr="000F46C6" w:rsidRDefault="0079105E" w:rsidP="0079105E">
            <w:pPr>
              <w:widowControl w:val="0"/>
              <w:numPr>
                <w:ilvl w:val="0"/>
                <w:numId w:val="20"/>
              </w:numPr>
              <w:autoSpaceDE w:val="0"/>
              <w:autoSpaceDN w:val="0"/>
              <w:spacing w:after="120" w:line="276" w:lineRule="auto"/>
              <w:jc w:val="both"/>
              <w:rPr>
                <w:rFonts w:ascii="Verdana" w:eastAsia="Calibri" w:hAnsi="Verdana" w:cs="Arial"/>
                <w:lang w:val="es-ES"/>
              </w:rPr>
            </w:pPr>
            <w:r w:rsidRPr="00810249">
              <w:rPr>
                <w:rFonts w:ascii="Verdana" w:eastAsia="Calibri" w:hAnsi="Verdana" w:cs="Arial"/>
                <w:lang w:val="pt-BR"/>
              </w:rPr>
              <w:t xml:space="preserve">Corte Constitucional. Sentencia C -1153 de 2005. </w:t>
            </w:r>
            <w:r w:rsidRPr="000F46C6">
              <w:rPr>
                <w:rFonts w:ascii="Verdana" w:eastAsia="Calibri" w:hAnsi="Verdana" w:cs="Arial"/>
                <w:lang w:val="es-ES"/>
              </w:rPr>
              <w:t xml:space="preserve">M.P. Marco Gerardo Monroy Cabra. </w:t>
            </w:r>
          </w:p>
          <w:p w14:paraId="450103B8" w14:textId="77777777" w:rsidR="0079105E" w:rsidRDefault="0079105E" w:rsidP="0079105E">
            <w:pPr>
              <w:widowControl w:val="0"/>
              <w:numPr>
                <w:ilvl w:val="0"/>
                <w:numId w:val="20"/>
              </w:numPr>
              <w:autoSpaceDE w:val="0"/>
              <w:autoSpaceDN w:val="0"/>
              <w:spacing w:after="120" w:line="276" w:lineRule="auto"/>
              <w:jc w:val="both"/>
              <w:rPr>
                <w:rFonts w:ascii="Verdana" w:eastAsia="Calibri" w:hAnsi="Verdana" w:cs="Arial"/>
                <w:lang w:val="pt-BR"/>
              </w:rPr>
            </w:pPr>
            <w:r w:rsidRPr="000F46C6">
              <w:rPr>
                <w:rFonts w:ascii="Verdana" w:eastAsia="Calibri" w:hAnsi="Verdana" w:cs="Arial"/>
                <w:lang w:val="pt-BR"/>
              </w:rPr>
              <w:t>Corte Constitucional. Sentencia C-671 de 2015. M.P. Alberto Rojas Ríos</w:t>
            </w:r>
            <w:r>
              <w:rPr>
                <w:rFonts w:ascii="Verdana" w:eastAsia="Calibri" w:hAnsi="Verdana" w:cs="Arial"/>
                <w:lang w:val="pt-BR"/>
              </w:rPr>
              <w:t xml:space="preserve">. </w:t>
            </w:r>
          </w:p>
          <w:p w14:paraId="52F87E96" w14:textId="77777777" w:rsidR="0079105E" w:rsidRPr="00810249" w:rsidRDefault="0079105E" w:rsidP="0079105E">
            <w:pPr>
              <w:widowControl w:val="0"/>
              <w:numPr>
                <w:ilvl w:val="0"/>
                <w:numId w:val="20"/>
              </w:numPr>
              <w:autoSpaceDE w:val="0"/>
              <w:autoSpaceDN w:val="0"/>
              <w:spacing w:after="120" w:line="276" w:lineRule="auto"/>
              <w:jc w:val="both"/>
              <w:rPr>
                <w:rFonts w:ascii="Verdana" w:eastAsia="Calibri" w:hAnsi="Verdana" w:cs="Arial"/>
                <w:lang w:val="pt-BR"/>
              </w:rPr>
            </w:pPr>
            <w:r>
              <w:rPr>
                <w:rFonts w:ascii="Verdana" w:eastAsia="Calibri" w:hAnsi="Verdana" w:cs="Arial"/>
                <w:lang w:val="pt-BR"/>
              </w:rPr>
              <w:t xml:space="preserve">Agencia Nacional de </w:t>
            </w:r>
            <w:proofErr w:type="spellStart"/>
            <w:r>
              <w:rPr>
                <w:rFonts w:ascii="Verdana" w:eastAsia="Calibri" w:hAnsi="Verdana" w:cs="Arial"/>
                <w:lang w:val="pt-BR"/>
              </w:rPr>
              <w:t>Contratación</w:t>
            </w:r>
            <w:proofErr w:type="spellEnd"/>
            <w:r>
              <w:rPr>
                <w:rFonts w:ascii="Verdana" w:eastAsia="Calibri" w:hAnsi="Verdana" w:cs="Arial"/>
                <w:lang w:val="pt-BR"/>
              </w:rPr>
              <w:t xml:space="preserve"> Pública – </w:t>
            </w:r>
            <w:proofErr w:type="spellStart"/>
            <w:r>
              <w:rPr>
                <w:rFonts w:ascii="Verdana" w:eastAsia="Calibri" w:hAnsi="Verdana" w:cs="Arial"/>
                <w:lang w:val="pt-BR"/>
              </w:rPr>
              <w:t>Colombia</w:t>
            </w:r>
            <w:proofErr w:type="spellEnd"/>
            <w:r>
              <w:rPr>
                <w:rFonts w:ascii="Verdana" w:eastAsia="Calibri" w:hAnsi="Verdana" w:cs="Arial"/>
                <w:lang w:val="pt-BR"/>
              </w:rPr>
              <w:t xml:space="preserve"> Compra Eficiente. Circular Externa Única. </w:t>
            </w:r>
          </w:p>
        </w:tc>
      </w:tr>
    </w:tbl>
    <w:p w14:paraId="540903B6" w14:textId="77777777" w:rsidR="0079105E" w:rsidRPr="00810249" w:rsidRDefault="0079105E" w:rsidP="0079105E">
      <w:pPr>
        <w:widowControl w:val="0"/>
        <w:autoSpaceDE w:val="0"/>
        <w:autoSpaceDN w:val="0"/>
        <w:spacing w:after="0" w:line="276" w:lineRule="auto"/>
        <w:jc w:val="both"/>
        <w:rPr>
          <w:rFonts w:ascii="Verdana" w:hAnsi="Verdana" w:cs="Arial"/>
          <w:lang w:val="pt-BR"/>
        </w:rPr>
      </w:pPr>
    </w:p>
    <w:p w14:paraId="78E0383A" w14:textId="77777777" w:rsidR="0079105E" w:rsidRPr="00AB70DD" w:rsidRDefault="0079105E" w:rsidP="0079105E">
      <w:pPr>
        <w:pStyle w:val="Prrafodelista"/>
        <w:numPr>
          <w:ilvl w:val="0"/>
          <w:numId w:val="19"/>
        </w:numPr>
        <w:tabs>
          <w:tab w:val="left" w:pos="142"/>
          <w:tab w:val="left" w:pos="284"/>
        </w:tabs>
        <w:spacing w:after="0" w:line="276" w:lineRule="auto"/>
        <w:contextualSpacing w:val="0"/>
        <w:jc w:val="both"/>
        <w:rPr>
          <w:rFonts w:ascii="Verdana" w:eastAsia="Century Gothic" w:hAnsi="Verdana" w:cs="Century Gothic"/>
          <w:b/>
          <w:bCs/>
        </w:rPr>
      </w:pPr>
      <w:r w:rsidRPr="00AB70DD">
        <w:rPr>
          <w:rFonts w:ascii="Verdana" w:eastAsia="Century Gothic" w:hAnsi="Verdana" w:cs="Century Gothic"/>
          <w:b/>
          <w:bCs/>
        </w:rPr>
        <w:t>Doctrina de la Agencia Nacional de Contratación Pública:</w:t>
      </w:r>
    </w:p>
    <w:p w14:paraId="4CDA047A" w14:textId="77777777" w:rsidR="0079105E" w:rsidRPr="00AB70DD" w:rsidRDefault="0079105E" w:rsidP="0079105E">
      <w:pPr>
        <w:widowControl w:val="0"/>
        <w:autoSpaceDE w:val="0"/>
        <w:autoSpaceDN w:val="0"/>
        <w:spacing w:after="0" w:line="276" w:lineRule="auto"/>
        <w:jc w:val="both"/>
        <w:rPr>
          <w:rFonts w:ascii="Verdana" w:hAnsi="Verdana" w:cs="Arial"/>
        </w:rPr>
      </w:pPr>
    </w:p>
    <w:p w14:paraId="62EA9C74" w14:textId="77777777" w:rsidR="0079105E" w:rsidRPr="00982D5D" w:rsidRDefault="0079105E" w:rsidP="0079105E">
      <w:pPr>
        <w:widowControl w:val="0"/>
        <w:autoSpaceDE w:val="0"/>
        <w:autoSpaceDN w:val="0"/>
        <w:spacing w:after="0" w:line="276" w:lineRule="auto"/>
        <w:jc w:val="both"/>
        <w:rPr>
          <w:rFonts w:ascii="Verdana" w:hAnsi="Verdana" w:cs="Arial"/>
          <w:bCs/>
          <w:shd w:val="clear" w:color="auto" w:fill="FFFFFF"/>
        </w:rPr>
      </w:pPr>
      <w:r w:rsidRPr="00AB70DD">
        <w:rPr>
          <w:rFonts w:ascii="Verdana" w:hAnsi="Verdana" w:cs="Arial"/>
          <w:shd w:val="clear" w:color="auto" w:fill="FFFFFF"/>
          <w:lang w:val="es-ES"/>
        </w:rPr>
        <w:t xml:space="preserve">Sobre la finalidad y propósito de la Ley de Garantías Electorales, la ANCP- CCE se ha pronunciado en los Conceptos 4201913000004536 de 17 de julio de 2019, 4201912000005556 del 12 de septiembre de 2019, 4201913000005175 del 13 de septiembre de 2019, 4201913000006452 del 07 de octubre de 2019, 4201913000005082 del 17 de octubre de 2019, 4201913000006306 del 21 de </w:t>
      </w:r>
      <w:r w:rsidRPr="00AB70DD">
        <w:rPr>
          <w:rFonts w:ascii="Verdana" w:hAnsi="Verdana" w:cs="Arial"/>
          <w:shd w:val="clear" w:color="auto" w:fill="FFFFFF"/>
          <w:lang w:val="es-ES"/>
        </w:rPr>
        <w:lastRenderedPageBreak/>
        <w:t>octubre de 2019, 4201912000006552 del 07 de noviembre de 2019, 4201913000006604 del 17 de diciembre de 2019,  C-227 del 24 de mayo de 2021 y 396 del 13 de agosto de 2021, C-439 del 27 de agosto de 2021, C-456 del 3 de septiembre, C-481 del 9 de septiembre de 2021, C- 528 del 27 de septiembre de 2021, C-550 del 5 de octubre de 2021 y C-523 del 10 de octubre de 2021, C-606 del 28 de octubre de 2021 y C-614 del 2 de noviembre de 2021, C-636 del 16 de noviembre de 2021, 681 del 7 de diciembre de 2021, C-686 del 21 de diciembre de 2021, C-697 del 3 de enero de 2022,</w:t>
      </w:r>
      <w:r>
        <w:rPr>
          <w:rFonts w:ascii="Verdana" w:hAnsi="Verdana" w:cs="Arial"/>
          <w:shd w:val="clear" w:color="auto" w:fill="FFFFFF"/>
          <w:lang w:val="es-ES"/>
        </w:rPr>
        <w:t xml:space="preserve"> </w:t>
      </w:r>
      <w:r w:rsidRPr="00AB51C6">
        <w:rPr>
          <w:rFonts w:ascii="Verdana" w:hAnsi="Verdana" w:cs="Arial"/>
          <w:shd w:val="clear" w:color="auto" w:fill="FFFFFF"/>
          <w:lang w:val="es-ES"/>
        </w:rPr>
        <w:t>C-317 del 25 de abril de 2025, C-510 del 4 de junio de 2025,</w:t>
      </w:r>
      <w:r>
        <w:rPr>
          <w:rFonts w:ascii="Verdana" w:hAnsi="Verdana" w:cs="Arial"/>
          <w:shd w:val="clear" w:color="auto" w:fill="FFFFFF"/>
          <w:lang w:val="es-ES"/>
        </w:rPr>
        <w:t xml:space="preserve"> 646 del 26 de junio de 2025, C-957 del 23 de agosto de 2025, C-975 del 28 de agosto de 2025, C-1015 del 4 de septiembre de 2025, C-1096 del 28 de agosto de 2025, C-1170 del 16 de septiembre de 2025, entre otros.</w:t>
      </w:r>
      <w:r w:rsidRPr="00AB70DD">
        <w:rPr>
          <w:rFonts w:ascii="Verdana" w:hAnsi="Verdana" w:cs="Arial"/>
          <w:shd w:val="clear" w:color="auto" w:fill="FFFFFF"/>
          <w:lang w:val="es-ES"/>
        </w:rPr>
        <w:t xml:space="preserve"> </w:t>
      </w:r>
      <w:r w:rsidRPr="00982D5D">
        <w:rPr>
          <w:rFonts w:ascii="Verdana" w:eastAsia="Calibri" w:hAnsi="Verdana" w:cs="Times New Roman"/>
        </w:rPr>
        <w:t>Estos y otros conceptos se encuentran disponibles para consulta en el Sistema de Relatoría de la Agencia, en el cual también podrás encontrar jurisprudencia del Consejo de Estado, laudos arbitrales y la normativa de la contratación concordada con la doctrina de la Subdirección de Gestión Contractual, accede a través del siguiente enlace:</w:t>
      </w:r>
    </w:p>
    <w:p w14:paraId="5D80E9B4" w14:textId="77777777" w:rsidR="0079105E" w:rsidRPr="00982D5D" w:rsidRDefault="009A6353" w:rsidP="0079105E">
      <w:pPr>
        <w:spacing w:after="0" w:line="256" w:lineRule="auto"/>
        <w:jc w:val="both"/>
        <w:rPr>
          <w:rFonts w:ascii="Verdana" w:eastAsia="Calibri" w:hAnsi="Verdana" w:cs="Times New Roman"/>
        </w:rPr>
      </w:pPr>
      <w:hyperlink r:id="rId13" w:history="1">
        <w:r w:rsidR="0079105E" w:rsidRPr="00982D5D">
          <w:rPr>
            <w:rFonts w:ascii="Verdana" w:eastAsia="Calibri" w:hAnsi="Verdana" w:cs="Times New Roman"/>
            <w:color w:val="0000FF"/>
            <w:u w:val="single"/>
            <w:lang w:val="es-ES"/>
          </w:rPr>
          <w:t>https://relatoria.colombiacompra.gov.co/busqueda/conceptos</w:t>
        </w:r>
      </w:hyperlink>
      <w:r w:rsidR="0079105E" w:rsidRPr="00982D5D">
        <w:rPr>
          <w:rFonts w:ascii="Verdana" w:eastAsia="Calibri" w:hAnsi="Verdana" w:cs="Times New Roman"/>
        </w:rPr>
        <w:t xml:space="preserve">. </w:t>
      </w:r>
    </w:p>
    <w:p w14:paraId="359276E2" w14:textId="77777777" w:rsidR="0079105E" w:rsidRPr="00CB2288" w:rsidRDefault="0079105E" w:rsidP="0079105E">
      <w:pPr>
        <w:spacing w:after="0"/>
        <w:jc w:val="both"/>
        <w:rPr>
          <w:rFonts w:ascii="Verdana" w:hAnsi="Verdana"/>
          <w:lang w:val="es-ES"/>
        </w:rPr>
      </w:pPr>
    </w:p>
    <w:p w14:paraId="4EE7836F" w14:textId="77777777" w:rsidR="0079105E" w:rsidRDefault="0079105E" w:rsidP="0079105E">
      <w:pPr>
        <w:spacing w:after="0" w:line="256" w:lineRule="auto"/>
        <w:jc w:val="both"/>
        <w:rPr>
          <w:rFonts w:ascii="Verdana" w:eastAsia="Calibri" w:hAnsi="Verdana" w:cs="Times New Roman"/>
        </w:rPr>
      </w:pPr>
      <w:r w:rsidRPr="00EC0E3F">
        <w:rPr>
          <w:rFonts w:ascii="Verdana" w:eastAsia="Calibri" w:hAnsi="Verdana" w:cs="Times New Roman"/>
        </w:rPr>
        <w:t xml:space="preserve">Te informamos que ya se encuentra disponible la </w:t>
      </w:r>
      <w:r w:rsidRPr="00EC0E3F">
        <w:rPr>
          <w:rFonts w:ascii="Verdana" w:eastAsia="Calibri" w:hAnsi="Verdana" w:cs="Times New Roman"/>
          <w:b/>
          <w:bCs/>
        </w:rPr>
        <w:t xml:space="preserve">Guía de lineamientos de transparencia y selección objetiva para el departamento de La Guajira – Objetivo sexto constitucional de la Sentencia T-302 del 2017. </w:t>
      </w:r>
      <w:r w:rsidRPr="00EC0E3F">
        <w:rPr>
          <w:rFonts w:ascii="Verdana" w:eastAsia="Calibri" w:hAnsi="Verdana" w:cs="Times New Roman"/>
        </w:rPr>
        <w:t xml:space="preserve">Esta Guía se expedide en el marco del cumplimiento de la orden proferida por la Honorable Corte Constitucional en la Sentencia T-302 del 2017. Con su implementación se busca contribuir a la superación del Estado de Cosas Inconstitucional declarado por la situación de vulneración masiva y recurrente de los derechos fundamentales de los niños y de las niñas del Pueblo </w:t>
      </w:r>
      <w:proofErr w:type="spellStart"/>
      <w:r w:rsidRPr="00EC0E3F">
        <w:rPr>
          <w:rFonts w:ascii="Verdana" w:eastAsia="Calibri" w:hAnsi="Verdana" w:cs="Times New Roman"/>
        </w:rPr>
        <w:t>Wayúu</w:t>
      </w:r>
      <w:proofErr w:type="spellEnd"/>
      <w:r w:rsidRPr="00EC0E3F">
        <w:rPr>
          <w:rFonts w:ascii="Verdana" w:eastAsia="Calibri" w:hAnsi="Verdana" w:cs="Times New Roman"/>
        </w:rPr>
        <w:t xml:space="preserve">. Puede consultar la guía en el siguiente enlace: Guía de lineamientos de transparencia y selección objetiva para el departamento de La Guajira – Objetivo sexto constitucional de la Sentencia T-302 del 2017". </w:t>
      </w:r>
    </w:p>
    <w:p w14:paraId="22AA102B" w14:textId="77777777" w:rsidR="0079105E" w:rsidRPr="00CF2D08" w:rsidRDefault="0079105E" w:rsidP="0079105E">
      <w:pPr>
        <w:spacing w:after="0" w:line="256" w:lineRule="auto"/>
        <w:jc w:val="both"/>
        <w:rPr>
          <w:rFonts w:ascii="Verdana" w:eastAsia="Calibri" w:hAnsi="Verdana" w:cs="Times New Roman"/>
        </w:rPr>
      </w:pPr>
    </w:p>
    <w:p w14:paraId="713B091A" w14:textId="77777777" w:rsidR="0079105E" w:rsidRPr="00AB70DD" w:rsidRDefault="0079105E" w:rsidP="0079105E">
      <w:pPr>
        <w:spacing w:after="0" w:line="256" w:lineRule="auto"/>
        <w:jc w:val="both"/>
        <w:rPr>
          <w:rFonts w:ascii="Verdana" w:eastAsia="Calibri" w:hAnsi="Verdana" w:cs="Times New Roman"/>
          <w:bCs/>
          <w:lang w:val="es-ES_tradnl"/>
        </w:rPr>
      </w:pPr>
      <w:r w:rsidRPr="00AB70DD">
        <w:rPr>
          <w:rFonts w:ascii="Verdana" w:eastAsia="Calibri" w:hAnsi="Verdana" w:cs="Times New Roman"/>
          <w:lang w:val="es-ES_tradnl"/>
        </w:rPr>
        <w:t>Este concepto tiene el alcance previsto en el artículo 28 del Código de Procedimiento Administrativo y de lo Contencioso Administrativo y las expresiones utilizadas con mayúscula inicial deben ser entendidas con el significado que les otorga el artículo 2.2.1.1.1.3.1 del Decreto 1082 de 2015.</w:t>
      </w:r>
    </w:p>
    <w:p w14:paraId="00D90F3A" w14:textId="77777777" w:rsidR="0079105E" w:rsidRPr="00AB70DD" w:rsidRDefault="0079105E" w:rsidP="0079105E">
      <w:pPr>
        <w:spacing w:after="0" w:line="256" w:lineRule="auto"/>
        <w:jc w:val="both"/>
        <w:rPr>
          <w:rFonts w:ascii="Verdana" w:eastAsia="Calibri" w:hAnsi="Verdana" w:cs="Times New Roman"/>
        </w:rPr>
      </w:pPr>
    </w:p>
    <w:p w14:paraId="2229E363" w14:textId="77777777" w:rsidR="0079105E" w:rsidRPr="00AB70DD" w:rsidRDefault="0079105E" w:rsidP="0079105E">
      <w:pPr>
        <w:spacing w:after="0" w:line="256" w:lineRule="auto"/>
        <w:jc w:val="both"/>
        <w:rPr>
          <w:rFonts w:ascii="Verdana" w:eastAsia="Calibri" w:hAnsi="Verdana" w:cs="Times New Roman"/>
        </w:rPr>
      </w:pPr>
      <w:r w:rsidRPr="00AB70DD">
        <w:rPr>
          <w:rFonts w:ascii="Verdana" w:eastAsia="Calibri" w:hAnsi="Verdana" w:cs="Times New Roman"/>
        </w:rPr>
        <w:t>Atentamente,</w:t>
      </w:r>
    </w:p>
    <w:p w14:paraId="3C051319" w14:textId="77777777" w:rsidR="0079105E" w:rsidRDefault="0079105E" w:rsidP="0079105E">
      <w:pPr>
        <w:spacing w:after="0" w:line="256" w:lineRule="auto"/>
        <w:rPr>
          <w:rFonts w:ascii="Century Gothic" w:hAnsi="Century Gothic"/>
          <w:noProof/>
          <w:lang w:val="en-US"/>
        </w:rPr>
      </w:pPr>
    </w:p>
    <w:p w14:paraId="29BA8C06" w14:textId="5C9BEB86" w:rsidR="0079105E" w:rsidRPr="00045117" w:rsidRDefault="008E7CDC" w:rsidP="0079105E">
      <w:pPr>
        <w:spacing w:after="0" w:line="256" w:lineRule="auto"/>
        <w:jc w:val="center"/>
        <w:rPr>
          <w:rFonts w:ascii="Century Gothic" w:hAnsi="Century Gothic"/>
          <w:noProof/>
          <w:lang w:val="en-US"/>
        </w:rPr>
      </w:pPr>
      <w:r w:rsidRPr="002C3AD6">
        <w:rPr>
          <w:rFonts w:ascii="Century Gothic" w:hAnsi="Century Gothic"/>
          <w:noProof/>
          <w:lang w:val="en-US"/>
        </w:rPr>
        <w:lastRenderedPageBreak/>
        <w:drawing>
          <wp:inline distT="0" distB="0" distL="0" distR="0" wp14:anchorId="64A76771" wp14:editId="05384C3F">
            <wp:extent cx="3279697" cy="1217463"/>
            <wp:effectExtent l="0" t="0" r="0" b="1905"/>
            <wp:docPr id="2" name="Imagen 1" descr="Texto&#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780277293" name="Imagen 1" descr="Texto&#10;&#10;Descripción generada automáticamente"/>
                    <pic:cNvPicPr/>
                  </pic:nvPicPr>
                  <pic:blipFill>
                    <a:blip r:embed="rId14"/>
                    <a:stretch>
                      <a:fillRect/>
                    </a:stretch>
                  </pic:blipFill>
                  <pic:spPr>
                    <a:xfrm>
                      <a:off x="0" y="0"/>
                      <a:ext cx="3312722" cy="1229722"/>
                    </a:xfrm>
                    <a:prstGeom prst="rect">
                      <a:avLst/>
                    </a:prstGeom>
                  </pic:spPr>
                </pic:pic>
              </a:graphicData>
            </a:graphic>
          </wp:inline>
        </w:drawing>
      </w:r>
    </w:p>
    <w:p w14:paraId="749A8D8E" w14:textId="77777777" w:rsidR="0079105E" w:rsidRPr="00045117" w:rsidRDefault="0079105E" w:rsidP="0079105E">
      <w:pPr>
        <w:spacing w:after="0" w:line="256" w:lineRule="auto"/>
        <w:jc w:val="center"/>
        <w:rPr>
          <w:rFonts w:ascii="Century Gothic" w:hAnsi="Century Gothic"/>
          <w:noProof/>
          <w:lang w:val="en-US"/>
        </w:rPr>
      </w:pPr>
    </w:p>
    <w:tbl>
      <w:tblPr>
        <w:tblW w:w="5754" w:type="dxa"/>
        <w:tblBorders>
          <w:top w:val="outset" w:sz="6" w:space="0" w:color="auto"/>
          <w:left w:val="outset" w:sz="6" w:space="0" w:color="auto"/>
          <w:bottom w:val="outset" w:sz="6" w:space="0" w:color="auto"/>
          <w:right w:val="outset" w:sz="6" w:space="0" w:color="auto"/>
        </w:tblBorders>
        <w:tblCellMar>
          <w:left w:w="0" w:type="dxa"/>
          <w:right w:w="0" w:type="dxa"/>
        </w:tblCellMar>
        <w:tblLook w:val="04A0" w:firstRow="1" w:lastRow="0" w:firstColumn="1" w:lastColumn="0" w:noHBand="0" w:noVBand="1"/>
      </w:tblPr>
      <w:tblGrid>
        <w:gridCol w:w="817"/>
        <w:gridCol w:w="4937"/>
      </w:tblGrid>
      <w:tr w:rsidR="0079105E" w:rsidRPr="00045117" w14:paraId="7177BD74" w14:textId="77777777" w:rsidTr="00223A48">
        <w:trPr>
          <w:trHeight w:val="409"/>
        </w:trPr>
        <w:tc>
          <w:tcPr>
            <w:tcW w:w="817" w:type="dxa"/>
            <w:tcBorders>
              <w:top w:val="nil"/>
              <w:left w:val="nil"/>
              <w:bottom w:val="nil"/>
              <w:right w:val="nil"/>
            </w:tcBorders>
            <w:vAlign w:val="center"/>
            <w:hideMark/>
          </w:tcPr>
          <w:p w14:paraId="68357672"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Elaboró: </w:t>
            </w:r>
          </w:p>
        </w:tc>
        <w:tc>
          <w:tcPr>
            <w:tcW w:w="4937" w:type="dxa"/>
            <w:tcBorders>
              <w:top w:val="nil"/>
              <w:left w:val="nil"/>
              <w:bottom w:val="dotted" w:sz="6" w:space="0" w:color="7F7F7F" w:themeColor="text1" w:themeTint="80"/>
              <w:right w:val="nil"/>
            </w:tcBorders>
            <w:vAlign w:val="center"/>
            <w:hideMark/>
          </w:tcPr>
          <w:p w14:paraId="660DE8F9"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José Luis Sánchez Cardona</w:t>
            </w:r>
          </w:p>
          <w:p w14:paraId="3EAF986F"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Contratista de la Subdirección de Gestión Contractual</w:t>
            </w:r>
          </w:p>
        </w:tc>
      </w:tr>
      <w:tr w:rsidR="0079105E" w:rsidRPr="00045117" w14:paraId="094070AD" w14:textId="77777777" w:rsidTr="00223A48">
        <w:trPr>
          <w:trHeight w:val="409"/>
        </w:trPr>
        <w:tc>
          <w:tcPr>
            <w:tcW w:w="817" w:type="dxa"/>
            <w:tcBorders>
              <w:top w:val="nil"/>
              <w:left w:val="nil"/>
              <w:bottom w:val="nil"/>
              <w:right w:val="nil"/>
            </w:tcBorders>
            <w:vAlign w:val="center"/>
            <w:hideMark/>
          </w:tcPr>
          <w:p w14:paraId="19ABF0E5"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Revisó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74454E71"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Alejandro Sarmiento Cantillo</w:t>
            </w:r>
          </w:p>
          <w:p w14:paraId="21DF294F"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Gestor T1-15 de la Subdirección de Gestión Contractual </w:t>
            </w:r>
          </w:p>
        </w:tc>
      </w:tr>
      <w:tr w:rsidR="0079105E" w:rsidRPr="00045117" w14:paraId="535B00D1" w14:textId="77777777" w:rsidTr="00223A48">
        <w:trPr>
          <w:trHeight w:val="389"/>
        </w:trPr>
        <w:tc>
          <w:tcPr>
            <w:tcW w:w="817" w:type="dxa"/>
            <w:tcBorders>
              <w:top w:val="nil"/>
              <w:left w:val="nil"/>
              <w:bottom w:val="nil"/>
              <w:right w:val="nil"/>
            </w:tcBorders>
            <w:vAlign w:val="center"/>
            <w:hideMark/>
          </w:tcPr>
          <w:p w14:paraId="082F6070"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Aprobó: </w:t>
            </w:r>
          </w:p>
        </w:tc>
        <w:tc>
          <w:tcPr>
            <w:tcW w:w="4937" w:type="dxa"/>
            <w:tcBorders>
              <w:top w:val="dotted" w:sz="6" w:space="0" w:color="7F7F7F" w:themeColor="text1" w:themeTint="80"/>
              <w:left w:val="nil"/>
              <w:bottom w:val="dotted" w:sz="6" w:space="0" w:color="7F7F7F" w:themeColor="text1" w:themeTint="80"/>
              <w:right w:val="nil"/>
            </w:tcBorders>
            <w:vAlign w:val="center"/>
            <w:hideMark/>
          </w:tcPr>
          <w:p w14:paraId="1C935606"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 xml:space="preserve">Carolina Quintero </w:t>
            </w:r>
            <w:proofErr w:type="spellStart"/>
            <w:r w:rsidRPr="00045117">
              <w:rPr>
                <w:rFonts w:ascii="Verdana" w:eastAsia="Calibri" w:hAnsi="Verdana" w:cs="Times New Roman"/>
                <w:sz w:val="16"/>
                <w:szCs w:val="16"/>
              </w:rPr>
              <w:t>Gacharná</w:t>
            </w:r>
            <w:proofErr w:type="spellEnd"/>
          </w:p>
          <w:p w14:paraId="5B57D388" w14:textId="77777777" w:rsidR="0079105E" w:rsidRPr="00045117" w:rsidRDefault="0079105E" w:rsidP="00223A48">
            <w:pPr>
              <w:spacing w:after="0" w:line="256" w:lineRule="auto"/>
              <w:rPr>
                <w:rFonts w:ascii="Verdana" w:eastAsia="Calibri" w:hAnsi="Verdana" w:cs="Times New Roman"/>
                <w:sz w:val="16"/>
                <w:szCs w:val="16"/>
              </w:rPr>
            </w:pPr>
            <w:r w:rsidRPr="00045117">
              <w:rPr>
                <w:rFonts w:ascii="Verdana" w:eastAsia="Calibri" w:hAnsi="Verdana" w:cs="Times New Roman"/>
                <w:sz w:val="16"/>
                <w:szCs w:val="16"/>
              </w:rPr>
              <w:t>Subdirectora de Gestión Contractual ANCP – CCE</w:t>
            </w:r>
          </w:p>
        </w:tc>
      </w:tr>
    </w:tbl>
    <w:p w14:paraId="653B27CB" w14:textId="77777777" w:rsidR="0079105E" w:rsidRPr="0044528D" w:rsidRDefault="0079105E" w:rsidP="0079105E">
      <w:pPr>
        <w:spacing w:after="0"/>
        <w:rPr>
          <w:rFonts w:ascii="Verdana" w:hAnsi="Verdana"/>
        </w:rPr>
      </w:pPr>
    </w:p>
    <w:p w14:paraId="297276BB" w14:textId="77777777" w:rsidR="0079105E" w:rsidRPr="0035242B" w:rsidRDefault="0079105E" w:rsidP="0079105E"/>
    <w:p w14:paraId="2741B190" w14:textId="77777777" w:rsidR="0079105E" w:rsidRPr="0044528D" w:rsidRDefault="0079105E" w:rsidP="0079105E">
      <w:pPr>
        <w:spacing w:after="0"/>
        <w:jc w:val="both"/>
        <w:rPr>
          <w:rStyle w:val="Hipervnculo"/>
          <w:rFonts w:ascii="Verdana" w:hAnsi="Verdana"/>
        </w:rPr>
      </w:pPr>
    </w:p>
    <w:p w14:paraId="1E459BAF" w14:textId="77777777" w:rsidR="0079105E" w:rsidRPr="0044528D" w:rsidRDefault="0079105E" w:rsidP="0079105E">
      <w:pPr>
        <w:spacing w:after="0"/>
        <w:jc w:val="both"/>
        <w:rPr>
          <w:rStyle w:val="Hipervnculo"/>
          <w:rFonts w:ascii="Verdana" w:hAnsi="Verdana"/>
        </w:rPr>
      </w:pPr>
    </w:p>
    <w:bookmarkEnd w:id="0"/>
    <w:p w14:paraId="6F724F27" w14:textId="77777777" w:rsidR="0079105E" w:rsidRPr="0044528D" w:rsidRDefault="0079105E" w:rsidP="0079105E">
      <w:pPr>
        <w:spacing w:after="0"/>
        <w:jc w:val="both"/>
        <w:rPr>
          <w:rStyle w:val="Hipervnculo"/>
          <w:rFonts w:ascii="Verdana" w:hAnsi="Verdana"/>
        </w:rPr>
      </w:pPr>
    </w:p>
    <w:p w14:paraId="531E177E" w14:textId="37B5D66C" w:rsidR="007D7CFD" w:rsidRDefault="007D7CFD" w:rsidP="0035242B">
      <w:pPr>
        <w:rPr>
          <w:rFonts w:ascii="Verdana" w:hAnsi="Verdana"/>
        </w:rPr>
      </w:pPr>
    </w:p>
    <w:p w14:paraId="55EFC9D8" w14:textId="77777777" w:rsidR="0079105E" w:rsidRPr="0035242B" w:rsidRDefault="0079105E" w:rsidP="0035242B"/>
    <w:sectPr w:rsidR="0079105E" w:rsidRPr="0035242B" w:rsidSect="007C0C0F">
      <w:headerReference w:type="default" r:id="rId15"/>
      <w:footerReference w:type="default" r:id="rId16"/>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BA8DC5C" w14:textId="77777777" w:rsidR="00C64813" w:rsidRDefault="00C64813" w:rsidP="004A1847">
      <w:pPr>
        <w:spacing w:after="0" w:line="240" w:lineRule="auto"/>
      </w:pPr>
      <w:r>
        <w:separator/>
      </w:r>
    </w:p>
  </w:endnote>
  <w:endnote w:type="continuationSeparator" w:id="0">
    <w:p w14:paraId="30891166" w14:textId="77777777" w:rsidR="00C64813" w:rsidRDefault="00C64813" w:rsidP="004A1847">
      <w:pPr>
        <w:spacing w:after="0" w:line="240" w:lineRule="auto"/>
      </w:pPr>
      <w:r>
        <w:continuationSeparator/>
      </w:r>
    </w:p>
  </w:endnote>
  <w:endnote w:type="continuationNotice" w:id="1">
    <w:p w14:paraId="1A1DFE37" w14:textId="77777777" w:rsidR="00C64813" w:rsidRDefault="00C6481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Times New Roman">
    <w:panose1 w:val="02020603050405020304"/>
    <w:charset w:val="00"/>
    <w:family w:val="roman"/>
    <w:pitch w:val="variable"/>
    <w:sig w:usb0="E0002AFF" w:usb1="C0007843" w:usb2="00000009" w:usb3="00000000" w:csb0="000001FF" w:csb1="00000000"/>
  </w:font>
  <w:font w:name="Symbol">
    <w:panose1 w:val="05050102010706020507"/>
    <w:charset w:val="02"/>
    <w:family w:val="roman"/>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AFF" w:usb1="C0007843" w:usb2="00000009" w:usb3="00000000" w:csb0="000001FF" w:csb1="00000000"/>
  </w:font>
  <w:font w:name="Calibri">
    <w:panose1 w:val="020F0502020204030204"/>
    <w:charset w:val="00"/>
    <w:family w:val="swiss"/>
    <w:pitch w:val="variable"/>
    <w:sig w:usb0="E00002FF" w:usb1="4000ACFF" w:usb2="00000001" w:usb3="00000000" w:csb0="0000019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Segoe UI">
    <w:panose1 w:val="020B0502040204020203"/>
    <w:charset w:val="00"/>
    <w:family w:val="swiss"/>
    <w:pitch w:val="variable"/>
    <w:sig w:usb0="E4002EFF" w:usb1="C000E47F" w:usb2="00000009" w:usb3="00000000" w:csb0="000001FF" w:csb1="00000000"/>
  </w:font>
  <w:font w:name="Verdana">
    <w:panose1 w:val="020B0604030504040204"/>
    <w:charset w:val="00"/>
    <w:family w:val="swiss"/>
    <w:pitch w:val="variable"/>
    <w:sig w:usb0="A00006FF" w:usb1="4000205B" w:usb2="00000010" w:usb3="00000000" w:csb0="0000019F" w:csb1="00000000"/>
  </w:font>
  <w:font w:name="Century Gothic">
    <w:panose1 w:val="020B0502020202020204"/>
    <w:charset w:val="00"/>
    <w:family w:val="swiss"/>
    <w:pitch w:val="variable"/>
    <w:sig w:usb0="00000287" w:usb1="00000000" w:usb2="00000000" w:usb3="00000000" w:csb0="0000009F" w:csb1="00000000"/>
  </w:font>
  <w:font w:name="Arial MT">
    <w:altName w:val="Arial"/>
    <w:charset w:val="01"/>
    <w:family w:val="swiss"/>
    <w:pitch w:val="variable"/>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Arial Nova">
    <w:altName w:val="Arial Nova"/>
    <w:charset w:val="00"/>
    <w:family w:val="swiss"/>
    <w:pitch w:val="variable"/>
    <w:sig w:usb0="0000028F" w:usb1="00000002" w:usb2="00000000" w:usb3="00000000" w:csb0="0000019F" w:csb1="00000000"/>
  </w:font>
  <w:font w:name="Calibri Light">
    <w:panose1 w:val="020F0302020204030204"/>
    <w:charset w:val="00"/>
    <w:family w:val="swiss"/>
    <w:pitch w:val="variable"/>
    <w:sig w:usb0="A00002EF" w:usb1="4000207B"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18911A32" w14:textId="6CE791A4" w:rsidR="00505795" w:rsidRDefault="00505795">
    <w:pPr>
      <w:pStyle w:val="Piedepgina"/>
    </w:pPr>
  </w:p>
  <w:p w14:paraId="594D6D9F" w14:textId="5E5D99D9" w:rsidR="00505795" w:rsidRPr="00174B77" w:rsidRDefault="00505795" w:rsidP="00D520D8">
    <w:pPr>
      <w:pBdr>
        <w:top w:val="single" w:sz="4" w:space="1" w:color="auto"/>
      </w:pBdr>
      <w:spacing w:after="0"/>
      <w:rPr>
        <w:rFonts w:ascii="Verdana" w:hAnsi="Verdana"/>
        <w:b/>
        <w:bCs/>
        <w:sz w:val="20"/>
        <w:szCs w:val="20"/>
      </w:rPr>
    </w:pPr>
    <w:r>
      <w:rPr>
        <w:rFonts w:ascii="Verdana" w:hAnsi="Verdana"/>
        <w:b/>
        <w:bCs/>
        <w:sz w:val="20"/>
        <w:szCs w:val="20"/>
      </w:rPr>
      <w:t>A</w:t>
    </w:r>
    <w:r w:rsidRPr="008E4D59">
      <w:rPr>
        <w:rFonts w:ascii="Verdana" w:hAnsi="Verdana"/>
        <w:b/>
        <w:bCs/>
        <w:sz w:val="20"/>
        <w:szCs w:val="20"/>
      </w:rPr>
      <w:t>gencia Nacional de Contratación</w:t>
    </w:r>
    <w:r>
      <w:rPr>
        <w:rFonts w:ascii="Verdana" w:hAnsi="Verdana"/>
        <w:b/>
        <w:bCs/>
        <w:sz w:val="20"/>
        <w:szCs w:val="20"/>
      </w:rPr>
      <w:t xml:space="preserve"> </w:t>
    </w:r>
    <w:r w:rsidRPr="008E4D59">
      <w:rPr>
        <w:rFonts w:ascii="Verdana" w:hAnsi="Verdana"/>
        <w:b/>
        <w:bCs/>
        <w:sz w:val="20"/>
        <w:szCs w:val="20"/>
      </w:rPr>
      <w:t>Pública</w:t>
    </w:r>
    <w:r>
      <w:rPr>
        <w:rFonts w:ascii="Verdana" w:hAnsi="Verdana"/>
        <w:b/>
        <w:bCs/>
        <w:sz w:val="20"/>
        <w:szCs w:val="20"/>
      </w:rPr>
      <w:t xml:space="preserve">                                              </w:t>
    </w:r>
    <w:r w:rsidRPr="002E1330">
      <w:rPr>
        <w:rFonts w:ascii="Verdana" w:eastAsiaTheme="majorEastAsia" w:hAnsi="Verdana" w:cstheme="majorBidi"/>
        <w:b/>
        <w:bCs/>
        <w:sz w:val="16"/>
        <w:szCs w:val="16"/>
        <w:lang w:val="es-ES"/>
      </w:rPr>
      <w:t xml:space="preserve">pág. </w:t>
    </w:r>
    <w:r w:rsidRPr="002E1330">
      <w:rPr>
        <w:rFonts w:ascii="Verdana" w:eastAsiaTheme="minorEastAsia" w:hAnsi="Verdana"/>
        <w:b/>
        <w:bCs/>
        <w:sz w:val="16"/>
        <w:szCs w:val="16"/>
      </w:rPr>
      <w:fldChar w:fldCharType="begin"/>
    </w:r>
    <w:r w:rsidRPr="002E1330">
      <w:rPr>
        <w:rFonts w:ascii="Verdana" w:hAnsi="Verdana"/>
        <w:b/>
        <w:bCs/>
        <w:sz w:val="16"/>
        <w:szCs w:val="16"/>
      </w:rPr>
      <w:instrText>PAGE    \* MERGEFORMAT</w:instrText>
    </w:r>
    <w:r w:rsidRPr="002E1330">
      <w:rPr>
        <w:rFonts w:ascii="Verdana" w:eastAsiaTheme="minorEastAsia" w:hAnsi="Verdana"/>
        <w:b/>
        <w:bCs/>
        <w:sz w:val="16"/>
        <w:szCs w:val="16"/>
      </w:rPr>
      <w:fldChar w:fldCharType="separate"/>
    </w:r>
    <w:r w:rsidR="00A17C8D" w:rsidRPr="00A17C8D">
      <w:rPr>
        <w:rFonts w:ascii="Verdana" w:eastAsiaTheme="minorEastAsia" w:hAnsi="Verdana"/>
        <w:b/>
        <w:bCs/>
        <w:noProof/>
        <w:sz w:val="16"/>
        <w:szCs w:val="16"/>
      </w:rPr>
      <w:t>7</w:t>
    </w:r>
    <w:r w:rsidRPr="002E1330">
      <w:rPr>
        <w:rFonts w:ascii="Verdana" w:eastAsiaTheme="majorEastAsia" w:hAnsi="Verdana" w:cstheme="majorBidi"/>
        <w:b/>
        <w:bCs/>
        <w:sz w:val="16"/>
        <w:szCs w:val="16"/>
      </w:rPr>
      <w:fldChar w:fldCharType="end"/>
    </w:r>
    <w:r>
      <w:rPr>
        <w:rFonts w:ascii="Verdana" w:hAnsi="Verdana"/>
        <w:b/>
        <w:bCs/>
        <w:sz w:val="20"/>
        <w:szCs w:val="20"/>
      </w:rPr>
      <w:t xml:space="preserve">              </w:t>
    </w:r>
    <w:r w:rsidRPr="008E4D59">
      <w:rPr>
        <w:rFonts w:ascii="Verdana" w:hAnsi="Verdana"/>
        <w:b/>
        <w:bCs/>
        <w:sz w:val="20"/>
        <w:szCs w:val="20"/>
      </w:rPr>
      <w:t xml:space="preserve">Colombia Compra Eficiente         </w:t>
    </w:r>
    <w:r w:rsidRPr="008E4D59">
      <w:rPr>
        <w:rFonts w:ascii="Verdana" w:hAnsi="Verdana"/>
        <w:b/>
        <w:bCs/>
        <w:sz w:val="20"/>
        <w:szCs w:val="20"/>
        <w:lang w:val="es-ES"/>
      </w:rPr>
      <w:t xml:space="preserve"> </w:t>
    </w:r>
    <w:r>
      <w:rPr>
        <w:rFonts w:ascii="Verdana" w:hAnsi="Verdana"/>
        <w:b/>
        <w:bCs/>
        <w:sz w:val="20"/>
        <w:szCs w:val="20"/>
      </w:rPr>
      <w:t xml:space="preserve">                                                  </w:t>
    </w:r>
  </w:p>
  <w:p w14:paraId="0A735DD5" w14:textId="77777777" w:rsidR="00505795" w:rsidRDefault="00505795" w:rsidP="00D520D8">
    <w:pPr>
      <w:spacing w:after="0"/>
      <w:jc w:val="both"/>
      <w:rPr>
        <w:rFonts w:ascii="Verdana" w:hAnsi="Verdana"/>
        <w:sz w:val="18"/>
        <w:szCs w:val="18"/>
      </w:rPr>
    </w:pPr>
    <w:r w:rsidRPr="00E41027">
      <w:rPr>
        <w:rFonts w:ascii="Verdana" w:hAnsi="Verdana"/>
        <w:sz w:val="18"/>
        <w:szCs w:val="18"/>
      </w:rPr>
      <w:t>Dirección: Carrera 7 # 26 – 20 - Bogotá, Colombia</w:t>
    </w:r>
  </w:p>
  <w:p w14:paraId="06E36B88" w14:textId="77777777" w:rsidR="00505795" w:rsidRPr="00E41027" w:rsidRDefault="00505795" w:rsidP="00D520D8">
    <w:pPr>
      <w:spacing w:after="0"/>
      <w:jc w:val="both"/>
      <w:rPr>
        <w:rFonts w:ascii="Verdana" w:hAnsi="Verdana"/>
        <w:sz w:val="18"/>
        <w:szCs w:val="18"/>
      </w:rPr>
    </w:pPr>
    <w:r w:rsidRPr="00E41027">
      <w:rPr>
        <w:rFonts w:ascii="Verdana" w:hAnsi="Verdana"/>
        <w:sz w:val="18"/>
        <w:szCs w:val="18"/>
      </w:rPr>
      <w:t>Mesa de servicio: (+57) 601 7456788</w:t>
    </w:r>
  </w:p>
  <w:p w14:paraId="744661F5" w14:textId="593AA28F" w:rsidR="00505795" w:rsidRDefault="00505795" w:rsidP="0025796E">
    <w:pPr>
      <w:pBdr>
        <w:top w:val="nil"/>
        <w:left w:val="nil"/>
        <w:bottom w:val="nil"/>
        <w:right w:val="nil"/>
        <w:between w:val="nil"/>
      </w:pBdr>
      <w:tabs>
        <w:tab w:val="center" w:pos="4419"/>
        <w:tab w:val="right" w:pos="8838"/>
        <w:tab w:val="center" w:pos="5400"/>
      </w:tabs>
      <w:spacing w:after="0"/>
    </w:pPr>
    <w:r w:rsidRPr="00E41027">
      <w:rPr>
        <w:rFonts w:ascii="Verdana" w:hAnsi="Verdana"/>
        <w:sz w:val="18"/>
        <w:szCs w:val="18"/>
      </w:rPr>
      <w:t>Atención al ciudadano:</w:t>
    </w:r>
    <w:r>
      <w:rPr>
        <w:rFonts w:ascii="Verdana" w:hAnsi="Verdana"/>
        <w:sz w:val="18"/>
        <w:szCs w:val="18"/>
      </w:rPr>
      <w:t xml:space="preserve"> </w:t>
    </w:r>
    <w:r w:rsidRPr="00E41027">
      <w:rPr>
        <w:rFonts w:ascii="Verdana" w:hAnsi="Verdana"/>
        <w:sz w:val="18"/>
        <w:szCs w:val="18"/>
      </w:rPr>
      <w:t>(+57) 601 7956600</w:t>
    </w:r>
    <w:r>
      <w:rPr>
        <w:rFonts w:ascii="Verdana" w:hAnsi="Verdana"/>
        <w:sz w:val="18"/>
        <w:szCs w:val="18"/>
      </w:rPr>
      <w:t xml:space="preserve">          </w:t>
    </w:r>
    <w:r w:rsidRPr="004A305D">
      <w:rPr>
        <w:rFonts w:ascii="Century Gothic" w:eastAsia="Geo" w:hAnsi="Century Gothic" w:cs="Geo"/>
        <w:b/>
        <w:color w:val="000000"/>
        <w:sz w:val="16"/>
        <w:szCs w:val="16"/>
        <w:lang w:eastAsia="es-CO"/>
      </w:rPr>
      <w:t xml:space="preserve">Código: </w:t>
    </w:r>
    <w:r w:rsidRPr="004A305D">
      <w:rPr>
        <w:rFonts w:ascii="Century Gothic" w:eastAsia="Geo" w:hAnsi="Century Gothic" w:cs="Geo"/>
        <w:bCs/>
        <w:color w:val="000000"/>
        <w:sz w:val="16"/>
        <w:szCs w:val="16"/>
        <w:lang w:eastAsia="es-CO"/>
      </w:rPr>
      <w:t>CCE-</w:t>
    </w:r>
    <w:r>
      <w:rPr>
        <w:rFonts w:ascii="Century Gothic" w:eastAsia="Geo" w:hAnsi="Century Gothic" w:cs="Geo"/>
        <w:bCs/>
        <w:color w:val="000000"/>
        <w:sz w:val="16"/>
        <w:szCs w:val="16"/>
        <w:lang w:eastAsia="es-CO"/>
      </w:rPr>
      <w:t>REC</w:t>
    </w:r>
    <w:r w:rsidRPr="004A305D">
      <w:rPr>
        <w:rFonts w:ascii="Century Gothic" w:eastAsia="Geo" w:hAnsi="Century Gothic" w:cs="Geo"/>
        <w:bCs/>
        <w:color w:val="000000"/>
        <w:sz w:val="16"/>
        <w:szCs w:val="16"/>
        <w:lang w:eastAsia="es-CO"/>
      </w:rPr>
      <w:t>-FM-</w:t>
    </w:r>
    <w:r>
      <w:rPr>
        <w:rFonts w:ascii="Century Gothic" w:eastAsia="Geo" w:hAnsi="Century Gothic" w:cs="Geo"/>
        <w:bCs/>
        <w:color w:val="000000"/>
        <w:sz w:val="16"/>
        <w:szCs w:val="16"/>
        <w:lang w:eastAsia="es-CO"/>
      </w:rPr>
      <w:t xml:space="preserve">17 </w:t>
    </w:r>
    <w:r w:rsidRPr="004A305D">
      <w:rPr>
        <w:rFonts w:ascii="Century Gothic" w:eastAsia="Geo" w:hAnsi="Century Gothic" w:cs="Geo"/>
        <w:b/>
        <w:color w:val="000000"/>
        <w:sz w:val="16"/>
        <w:szCs w:val="16"/>
        <w:lang w:eastAsia="es-CO"/>
      </w:rPr>
      <w:t>Versión</w:t>
    </w:r>
    <w:r w:rsidRPr="004A305D">
      <w:rPr>
        <w:rFonts w:ascii="Century Gothic" w:eastAsia="Arial Nova" w:hAnsi="Century Gothic" w:cs="Arial Nova"/>
        <w:b/>
        <w:color w:val="000000"/>
        <w:sz w:val="16"/>
        <w:szCs w:val="16"/>
        <w:lang w:eastAsia="es-CO"/>
      </w:rPr>
      <w:t xml:space="preserve">: </w:t>
    </w:r>
    <w:r w:rsidRPr="004A305D">
      <w:rPr>
        <w:rFonts w:ascii="Century Gothic" w:eastAsia="Geo" w:hAnsi="Century Gothic" w:cs="Geo"/>
        <w:sz w:val="16"/>
        <w:szCs w:val="16"/>
        <w:lang w:eastAsia="es-CO"/>
      </w:rPr>
      <w:t>0</w:t>
    </w:r>
    <w:r>
      <w:rPr>
        <w:rFonts w:ascii="Century Gothic" w:eastAsia="Geo" w:hAnsi="Century Gothic" w:cs="Geo"/>
        <w:sz w:val="16"/>
        <w:szCs w:val="16"/>
        <w:lang w:eastAsia="es-CO"/>
      </w:rPr>
      <w:t>2</w:t>
    </w:r>
    <w:r w:rsidRPr="004A305D">
      <w:rPr>
        <w:rFonts w:ascii="Century Gothic" w:eastAsia="Geo" w:hAnsi="Century Gothic" w:cs="Geo"/>
        <w:sz w:val="16"/>
        <w:szCs w:val="16"/>
        <w:lang w:eastAsia="es-CO"/>
      </w:rPr>
      <w:t xml:space="preserve"> </w:t>
    </w:r>
    <w:r>
      <w:rPr>
        <w:rFonts w:ascii="Century Gothic" w:eastAsia="Geo" w:hAnsi="Century Gothic" w:cs="Geo"/>
        <w:sz w:val="16"/>
        <w:szCs w:val="16"/>
        <w:lang w:eastAsia="es-CO"/>
      </w:rPr>
      <w:t>Fecha: 31-08-2023</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3C77BEC5" w14:textId="77777777" w:rsidR="00C64813" w:rsidRDefault="00C64813" w:rsidP="004A1847">
      <w:pPr>
        <w:spacing w:after="0" w:line="240" w:lineRule="auto"/>
      </w:pPr>
      <w:r>
        <w:separator/>
      </w:r>
    </w:p>
  </w:footnote>
  <w:footnote w:type="continuationSeparator" w:id="0">
    <w:p w14:paraId="65CE44FF" w14:textId="77777777" w:rsidR="00C64813" w:rsidRDefault="00C64813" w:rsidP="004A1847">
      <w:pPr>
        <w:spacing w:after="0" w:line="240" w:lineRule="auto"/>
      </w:pPr>
      <w:r>
        <w:continuationSeparator/>
      </w:r>
    </w:p>
  </w:footnote>
  <w:footnote w:type="continuationNotice" w:id="1">
    <w:p w14:paraId="068C12F8" w14:textId="77777777" w:rsidR="00C64813" w:rsidRDefault="00C64813">
      <w:pPr>
        <w:spacing w:after="0" w:line="240" w:lineRule="auto"/>
      </w:pPr>
    </w:p>
  </w:footnote>
  <w:footnote w:id="2">
    <w:p w14:paraId="2610536F"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El artículo 127 de la Constitución Política señala: “Los servidores públicos no podrán celebrar, por si o por interpuesta persona, o en representación de otro, contrato alguno con entidades públicas o con personas privadas que manejen o administren recursos públicos, salvo las excepciones legales. </w:t>
      </w:r>
    </w:p>
    <w:p w14:paraId="5B5D814B" w14:textId="77777777" w:rsidR="0079105E" w:rsidRPr="00F95083" w:rsidRDefault="0079105E" w:rsidP="0079105E">
      <w:pPr>
        <w:pStyle w:val="Textonotapie"/>
        <w:ind w:firstLine="709"/>
        <w:jc w:val="both"/>
        <w:rPr>
          <w:rFonts w:ascii="Verdana" w:hAnsi="Verdana" w:cs="Arial"/>
          <w:sz w:val="15"/>
          <w:szCs w:val="15"/>
        </w:rPr>
      </w:pPr>
      <w:r w:rsidRPr="00F95083">
        <w:rPr>
          <w:rFonts w:ascii="Verdana" w:hAnsi="Verdana" w:cs="Arial"/>
          <w:sz w:val="15"/>
          <w:szCs w:val="15"/>
        </w:rPr>
        <w:t>A los empleados del Estado que se desempeñen en la Rama Judicial, en los órganos electorales, de control y de seguridad les está prohibido tomar parte en las actividades de los partidos y movimientos y en las controversias políticas, sin perjuicio de ejercer libremente el derecho al sufragio. A los miembros de la Fuerza Pública en servicio activo se les aplican las limitaciones contempladas en el artículo 219 de la Constitución. Los empleados no contemplados en esta prohibición solo podrán participar en dichas actividades y controversias en las condiciones que señale la Ley Estatutaria”.</w:t>
      </w:r>
    </w:p>
  </w:footnote>
  <w:footnote w:id="3">
    <w:p w14:paraId="2D360E63"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Gaceta del Congreso de la República No. 71 del 2005.</w:t>
      </w:r>
    </w:p>
  </w:footnote>
  <w:footnote w:id="4">
    <w:p w14:paraId="0DD2B446" w14:textId="77777777" w:rsidR="0079105E" w:rsidRPr="00F95083" w:rsidRDefault="0079105E" w:rsidP="0079105E">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 C- 1153 de 2005, M.P. Marco Gerardo Monroy Cabra.</w:t>
      </w:r>
    </w:p>
  </w:footnote>
  <w:footnote w:id="5">
    <w:p w14:paraId="675A9FC5" w14:textId="77777777" w:rsidR="0079105E" w:rsidRPr="00F95083" w:rsidRDefault="0079105E" w:rsidP="0079105E">
      <w:pPr>
        <w:pStyle w:val="Textonotapie"/>
        <w:ind w:firstLine="709"/>
        <w:jc w:val="both"/>
        <w:rPr>
          <w:rFonts w:ascii="Verdana" w:hAnsi="Verdana" w:cs="Arial"/>
          <w:sz w:val="15"/>
          <w:szCs w:val="15"/>
          <w:lang w:val="pt-BR"/>
        </w:rPr>
      </w:pPr>
      <w:r w:rsidRPr="00F95083">
        <w:rPr>
          <w:rStyle w:val="Refdenotaalpie"/>
          <w:rFonts w:ascii="Verdana" w:hAnsi="Verdana" w:cs="Arial"/>
          <w:sz w:val="15"/>
          <w:szCs w:val="15"/>
        </w:rPr>
        <w:footnoteRef/>
      </w:r>
      <w:r w:rsidRPr="00F95083">
        <w:rPr>
          <w:rFonts w:ascii="Verdana" w:hAnsi="Verdana" w:cs="Arial"/>
          <w:sz w:val="15"/>
          <w:szCs w:val="15"/>
          <w:lang w:val="pt-BR"/>
        </w:rPr>
        <w:t xml:space="preserve"> Corte Constitucional. Sentencias: C-233 de 4 de abril de 2002, expediente: D-3704; C-551 de 9 de julio de 2003, expediente: CRF-001 de 9 de julio de 2003; C-652 de 5 de agosto de 2003, expediente: D-4330; C-353 de 20 de mayo de 2009, expediente: D-7518, C-541 de 30 de junio de 2010, expediente: DD7966; entre otras.</w:t>
      </w:r>
    </w:p>
  </w:footnote>
  <w:footnote w:id="6">
    <w:p w14:paraId="1AB02734" w14:textId="77777777" w:rsidR="0079105E" w:rsidRPr="00F95083" w:rsidRDefault="0079105E" w:rsidP="0079105E">
      <w:pPr>
        <w:pStyle w:val="Textonotapie"/>
        <w:ind w:firstLine="709"/>
        <w:jc w:val="both"/>
        <w:rPr>
          <w:rFonts w:ascii="Verdana" w:hAnsi="Verdana" w:cs="Arial"/>
          <w:sz w:val="15"/>
          <w:szCs w:val="15"/>
          <w:lang w:val="es-CO"/>
        </w:rPr>
      </w:pPr>
      <w:r w:rsidRPr="00F95083">
        <w:rPr>
          <w:rStyle w:val="Refdenotaalpie"/>
          <w:rFonts w:ascii="Verdana" w:hAnsi="Verdana" w:cs="Arial"/>
          <w:sz w:val="15"/>
          <w:szCs w:val="15"/>
        </w:rPr>
        <w:footnoteRef/>
      </w:r>
      <w:r w:rsidRPr="00F95083">
        <w:rPr>
          <w:rFonts w:ascii="Verdana" w:hAnsi="Verdana" w:cs="Arial"/>
          <w:sz w:val="15"/>
          <w:szCs w:val="15"/>
          <w:lang w:val="es-CO"/>
        </w:rPr>
        <w:t xml:space="preserve"> Consejo de Estado, Sala de lo Contencioso Administrativo, Sección Primera. Sentencia de 3 de marzo de 2005, expediente número 2004-00823-01(PI). Ver también, de la Sección Tercera. Sentencia de 22 de enero de 2002, expediente número 2001-0148-01 y, Sección Tercera. Sentencia de 20 de noviembre de 2001, expediente número 2001-0130-01(PI), entre otras.</w:t>
      </w:r>
    </w:p>
  </w:footnote>
  <w:footnote w:id="7">
    <w:p w14:paraId="72DCB92C"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de fecha 24 de julio de 2013, radicado 2166, C. P. Álvaro Namén Vargas.  </w:t>
      </w:r>
    </w:p>
  </w:footnote>
  <w:footnote w:id="8">
    <w:p w14:paraId="18B8D189" w14:textId="77777777" w:rsidR="0079105E" w:rsidRPr="00F95083" w:rsidRDefault="0079105E" w:rsidP="0079105E">
      <w:pPr>
        <w:spacing w:after="0" w:line="240" w:lineRule="auto"/>
        <w:ind w:firstLine="709"/>
        <w:jc w:val="both"/>
        <w:rPr>
          <w:rFonts w:ascii="Verdana" w:eastAsia="Times New Roman"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5" w:name="33"/>
      <w:r w:rsidRPr="00F95083">
        <w:rPr>
          <w:rFonts w:ascii="Verdana" w:eastAsia="Calibri" w:hAnsi="Verdana" w:cs="Arial"/>
          <w:color w:val="000000"/>
          <w:sz w:val="15"/>
          <w:szCs w:val="15"/>
        </w:rPr>
        <w:t>“</w:t>
      </w:r>
      <w:r w:rsidRPr="00F95083">
        <w:rPr>
          <w:rFonts w:ascii="Verdana" w:eastAsia="Times New Roman" w:hAnsi="Verdana" w:cs="Arial"/>
          <w:sz w:val="15"/>
          <w:szCs w:val="15"/>
        </w:rPr>
        <w:t>Artículo 33. Restricciones a la contratación pública.</w:t>
      </w:r>
      <w:bookmarkEnd w:id="5"/>
      <w:r w:rsidRPr="00F95083">
        <w:rPr>
          <w:rFonts w:ascii="Verdana" w:eastAsia="Times New Roman" w:hAnsi="Verdana" w:cs="Arial"/>
          <w:sz w:val="15"/>
          <w:szCs w:val="15"/>
        </w:rPr>
        <w:t> Durante los cuatro (4) meses anteriores a la elección presidencial y hasta la realización de la elección en la segunda vuelta, si fuere el caso, queda prohibida la contratación directa por parte de todos los entes del Estado.</w:t>
      </w:r>
    </w:p>
    <w:p w14:paraId="054B34B0" w14:textId="77777777" w:rsidR="0079105E" w:rsidRPr="00F95083" w:rsidRDefault="0079105E" w:rsidP="0079105E">
      <w:pPr>
        <w:spacing w:after="0" w:line="240" w:lineRule="auto"/>
        <w:ind w:firstLine="709"/>
        <w:jc w:val="both"/>
        <w:rPr>
          <w:rFonts w:ascii="Verdana" w:eastAsia="Times New Roman" w:hAnsi="Verdana" w:cs="Arial"/>
          <w:sz w:val="15"/>
          <w:szCs w:val="15"/>
        </w:rPr>
      </w:pPr>
      <w:r w:rsidRPr="00F95083">
        <w:rPr>
          <w:rFonts w:ascii="Verdana" w:eastAsia="Times New Roman" w:hAnsi="Verdana" w:cs="Arial"/>
          <w:sz w:val="15"/>
          <w:szCs w:val="15"/>
        </w:rPr>
        <w:t>Queda exceptuado lo referente a la defensa y seguridad del Estado, los contratos de crédito público, los requeridos para cubrir las emergencias educativas, sanitarias y desastres, así como también los utilizados para la reconstrucción de vías, puentes, carreteras, infraestructura energética y de comunicaciones, en caso de que hayan sido objeto de atentados, acciones terroristas, desastres naturales o casos de fuerza mayor, y los que deban realizar las entidades sanitarias y hospitalarias</w:t>
      </w:r>
      <w:r w:rsidRPr="00F95083">
        <w:rPr>
          <w:rFonts w:ascii="Verdana" w:eastAsia="Calibri" w:hAnsi="Verdana" w:cs="Arial"/>
          <w:color w:val="000000"/>
          <w:sz w:val="15"/>
          <w:szCs w:val="15"/>
        </w:rPr>
        <w:t>”</w:t>
      </w:r>
      <w:r w:rsidRPr="00F95083">
        <w:rPr>
          <w:rFonts w:ascii="Verdana" w:eastAsia="Times New Roman" w:hAnsi="Verdana" w:cs="Arial"/>
          <w:sz w:val="15"/>
          <w:szCs w:val="15"/>
        </w:rPr>
        <w:t>.</w:t>
      </w:r>
    </w:p>
  </w:footnote>
  <w:footnote w:id="9">
    <w:p w14:paraId="3130F517" w14:textId="77777777" w:rsidR="0079105E" w:rsidRPr="00F95083" w:rsidRDefault="0079105E" w:rsidP="0079105E">
      <w:pPr>
        <w:pStyle w:val="NormalWeb"/>
        <w:spacing w:before="0" w:beforeAutospacing="0" w:after="0" w:afterAutospacing="0"/>
        <w:ind w:firstLine="709"/>
        <w:jc w:val="both"/>
        <w:rPr>
          <w:rFonts w:ascii="Verdana" w:hAnsi="Verdana" w:cs="Arial"/>
          <w:sz w:val="15"/>
          <w:szCs w:val="15"/>
          <w:lang w:val="es-MX"/>
        </w:rPr>
      </w:pPr>
      <w:r w:rsidRPr="00F95083">
        <w:rPr>
          <w:rStyle w:val="Refdenotaalpie"/>
          <w:rFonts w:ascii="Verdana" w:hAnsi="Verdana" w:cs="Arial"/>
          <w:sz w:val="15"/>
          <w:szCs w:val="15"/>
        </w:rPr>
        <w:footnoteRef/>
      </w:r>
      <w:r w:rsidRPr="00F95083">
        <w:rPr>
          <w:rFonts w:ascii="Verdana" w:hAnsi="Verdana" w:cs="Arial"/>
          <w:sz w:val="15"/>
          <w:szCs w:val="15"/>
        </w:rPr>
        <w:t xml:space="preserve"> </w:t>
      </w:r>
      <w:bookmarkStart w:id="6" w:name="38"/>
      <w:r w:rsidRPr="00F95083">
        <w:rPr>
          <w:rFonts w:ascii="Verdana" w:eastAsia="Calibri" w:hAnsi="Verdana" w:cs="Arial"/>
          <w:color w:val="000000"/>
          <w:sz w:val="15"/>
          <w:szCs w:val="15"/>
        </w:rPr>
        <w:t>“</w:t>
      </w:r>
      <w:r w:rsidRPr="00F95083">
        <w:rPr>
          <w:rFonts w:ascii="Verdana" w:hAnsi="Verdana" w:cs="Arial"/>
          <w:sz w:val="15"/>
          <w:szCs w:val="15"/>
          <w:lang w:val="es-MX"/>
        </w:rPr>
        <w:t>Artículo 38. Prohibiciones para los servidores públicos. A los empleados del Estado les está prohibido:</w:t>
      </w:r>
      <w:bookmarkEnd w:id="6"/>
      <w:r w:rsidRPr="00F95083">
        <w:rPr>
          <w:rFonts w:ascii="Verdana" w:hAnsi="Verdana" w:cs="Arial"/>
          <w:sz w:val="15"/>
          <w:szCs w:val="15"/>
          <w:lang w:val="es-MX"/>
        </w:rPr>
        <w:t xml:space="preserve"> […]</w:t>
      </w:r>
    </w:p>
    <w:p w14:paraId="3E375330" w14:textId="77777777" w:rsidR="0079105E" w:rsidRPr="00F95083" w:rsidRDefault="0079105E" w:rsidP="0079105E">
      <w:pPr>
        <w:pStyle w:val="NormalWeb"/>
        <w:spacing w:before="0" w:beforeAutospacing="0" w:after="0" w:afterAutospacing="0"/>
        <w:ind w:firstLine="709"/>
        <w:jc w:val="both"/>
        <w:rPr>
          <w:rFonts w:ascii="Verdana" w:hAnsi="Verdana" w:cs="Arial"/>
          <w:sz w:val="15"/>
          <w:szCs w:val="15"/>
          <w:lang w:val="es-MX"/>
        </w:rPr>
      </w:pPr>
      <w:r w:rsidRPr="00F95083">
        <w:rPr>
          <w:rStyle w:val="baj"/>
          <w:rFonts w:ascii="Verdana" w:hAnsi="Verdana" w:cs="Arial"/>
          <w:sz w:val="15"/>
          <w:szCs w:val="15"/>
          <w:lang w:val="es-MX"/>
        </w:rPr>
        <w:t>Parágrafo.</w:t>
      </w:r>
      <w:r w:rsidRPr="00F95083">
        <w:rPr>
          <w:rFonts w:ascii="Verdana" w:hAnsi="Verdana" w:cs="Arial"/>
          <w:sz w:val="15"/>
          <w:szCs w:val="15"/>
          <w:lang w:val="es-MX"/>
        </w:rPr>
        <w:t> Los gobernadores, alcaldes municipales y/o distritales, secretarios, gerentes y directores de entidades descentralizadas del orden municipal, departamental o distrital, dentro de los cuatro (4) meses anteriores a las elecciones, no podrán celebrar convenios interadministrativos para la ejecución de recursos públicos, ni participar, promover y destinar recursos públicos de las entidades a su cargo, como tampoco de las que participen como miembros de sus juntas directivas, en o para reuniones de carácter proselitista</w:t>
      </w:r>
      <w:r w:rsidRPr="00F95083">
        <w:rPr>
          <w:rFonts w:ascii="Verdana" w:eastAsia="Calibri" w:hAnsi="Verdana" w:cs="Arial"/>
          <w:color w:val="000000"/>
          <w:sz w:val="15"/>
          <w:szCs w:val="15"/>
        </w:rPr>
        <w:t>”</w:t>
      </w:r>
      <w:r w:rsidRPr="00F95083">
        <w:rPr>
          <w:rFonts w:ascii="Verdana" w:hAnsi="Verdana" w:cs="Arial"/>
          <w:sz w:val="15"/>
          <w:szCs w:val="15"/>
          <w:lang w:val="es-MX"/>
        </w:rPr>
        <w:t>.</w:t>
      </w:r>
    </w:p>
  </w:footnote>
  <w:footnote w:id="10">
    <w:p w14:paraId="6B7F3E7D" w14:textId="77777777" w:rsidR="0079105E" w:rsidRPr="00F95083" w:rsidRDefault="0079105E" w:rsidP="0079105E">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w:t>
      </w:r>
    </w:p>
  </w:footnote>
  <w:footnote w:id="11">
    <w:p w14:paraId="0B8D2A63" w14:textId="77777777" w:rsidR="0079105E" w:rsidRPr="00F95083" w:rsidRDefault="0079105E" w:rsidP="0079105E">
      <w:pPr>
        <w:spacing w:after="0" w:line="240" w:lineRule="auto"/>
        <w:ind w:left="100" w:right="244"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17 de febrero de 2015. C.P. William Zambrano Cetina. Radicación No. 11001-03-06-000-2015-00164-00(2269).</w:t>
      </w:r>
    </w:p>
  </w:footnote>
  <w:footnote w:id="12">
    <w:p w14:paraId="419FDDE0" w14:textId="77777777" w:rsidR="0079105E" w:rsidRPr="00F95083" w:rsidRDefault="0079105E" w:rsidP="0079105E">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[25] </w:t>
      </w:r>
      <w:r w:rsidRPr="00F95083">
        <w:rPr>
          <w:rFonts w:ascii="Verdana" w:hAnsi="Verdana" w:cs="Arial"/>
          <w:sz w:val="15"/>
          <w:szCs w:val="15"/>
        </w:rPr>
        <w:t>Cfr. Consejo de Estado. Sección Tercera. Sentencia de 3 de diciembre de 2007. Radicados: 24.715, 25.206, 25.409, 24.524, 27.834, 25.410, 26.105, 28.244, 31.447 -acumulados-“.</w:t>
      </w:r>
    </w:p>
  </w:footnote>
  <w:footnote w:id="13">
    <w:p w14:paraId="2D0F9FE9" w14:textId="77777777" w:rsidR="0079105E" w:rsidRPr="00F95083" w:rsidRDefault="0079105E" w:rsidP="0079105E">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[26] </w:t>
      </w:r>
      <w:r w:rsidRPr="00F95083">
        <w:rPr>
          <w:rFonts w:ascii="Verdana" w:hAnsi="Verdana" w:cs="Arial"/>
          <w:sz w:val="15"/>
          <w:szCs w:val="15"/>
        </w:rPr>
        <w:t>Al respecto ver el concepto 1712 de 2 de febrero de 2006. Consejo de Estado Sala de Consulta y Servicio Civil”.</w:t>
      </w:r>
    </w:p>
  </w:footnote>
  <w:footnote w:id="14">
    <w:p w14:paraId="4B7676B3"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2 de septiembre de 2013. Radicación número: 11001-03-06-000-2013-00412-00 (2168). Consejero Ponente: Álvaro Namén Vargas.</w:t>
      </w:r>
    </w:p>
  </w:footnote>
  <w:footnote w:id="15">
    <w:p w14:paraId="1AB48EB1" w14:textId="77777777" w:rsidR="0079105E" w:rsidRPr="00F95083" w:rsidRDefault="0079105E" w:rsidP="0079105E">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sz w:val="15"/>
          <w:szCs w:val="15"/>
          <w:lang w:val="es-ES"/>
        </w:rPr>
        <w:t xml:space="preserve">Artículo 2. </w:t>
      </w:r>
    </w:p>
  </w:footnote>
  <w:footnote w:id="16">
    <w:p w14:paraId="1BD2D1BA" w14:textId="77777777" w:rsidR="0079105E" w:rsidRPr="00F95083" w:rsidRDefault="0079105E" w:rsidP="0079105E">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Fonts w:ascii="Verdana" w:hAnsi="Verdana" w:cs="Arial"/>
          <w:sz w:val="15"/>
          <w:szCs w:val="15"/>
        </w:rPr>
        <w:t xml:space="preserve"> </w:t>
      </w:r>
      <w:r w:rsidRPr="00F95083">
        <w:rPr>
          <w:rFonts w:ascii="Verdana" w:hAnsi="Verdana" w:cs="Arial"/>
          <w:i/>
          <w:sz w:val="15"/>
          <w:szCs w:val="15"/>
          <w:lang w:val="es-ES"/>
        </w:rPr>
        <w:t>Ídem</w:t>
      </w:r>
      <w:r w:rsidRPr="00F95083">
        <w:rPr>
          <w:rFonts w:ascii="Verdana" w:hAnsi="Verdana" w:cs="Arial"/>
          <w:sz w:val="15"/>
          <w:szCs w:val="15"/>
          <w:lang w:val="es-ES"/>
        </w:rPr>
        <w:t>.</w:t>
      </w:r>
    </w:p>
  </w:footnote>
  <w:footnote w:id="17">
    <w:p w14:paraId="01C4939B" w14:textId="77777777" w:rsidR="0079105E" w:rsidRPr="00F95083" w:rsidRDefault="0079105E" w:rsidP="0079105E">
      <w:pPr>
        <w:pStyle w:val="Textonotapie"/>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 xml:space="preserve">“[…] A este respecto, cabe recordar que el artículo 860 del Código de Comercio regula la licitación en el derecho privado”. </w:t>
      </w:r>
    </w:p>
  </w:footnote>
  <w:footnote w:id="18">
    <w:p w14:paraId="6D5F5C46" w14:textId="77777777" w:rsidR="0079105E" w:rsidRPr="00F95083" w:rsidRDefault="0079105E" w:rsidP="0079105E">
      <w:pPr>
        <w:shd w:val="clear" w:color="auto" w:fill="FFFFFF"/>
        <w:spacing w:after="0" w:line="240" w:lineRule="auto"/>
        <w:ind w:firstLine="709"/>
        <w:jc w:val="both"/>
        <w:rPr>
          <w:rFonts w:ascii="Verdana" w:hAnsi="Verdana" w:cs="Arial"/>
          <w:sz w:val="15"/>
          <w:szCs w:val="15"/>
          <w:lang w:val="es-ES"/>
        </w:rPr>
      </w:pPr>
      <w:r w:rsidRPr="00F95083">
        <w:rPr>
          <w:rStyle w:val="Refdenotaalpie"/>
          <w:rFonts w:ascii="Verdana" w:hAnsi="Verdana" w:cs="Arial"/>
          <w:sz w:val="15"/>
          <w:szCs w:val="15"/>
        </w:rPr>
        <w:footnoteRef/>
      </w:r>
      <w:r w:rsidRPr="00F95083">
        <w:rPr>
          <w:rStyle w:val="Refdenotaalpie"/>
          <w:rFonts w:ascii="Verdana" w:hAnsi="Verdana" w:cs="Arial"/>
          <w:sz w:val="15"/>
          <w:szCs w:val="15"/>
        </w:rPr>
        <w:t xml:space="preserve"> </w:t>
      </w:r>
      <w:r w:rsidRPr="00F95083">
        <w:rPr>
          <w:rFonts w:ascii="Verdana" w:hAnsi="Verdana" w:cs="Arial"/>
          <w:sz w:val="15"/>
          <w:szCs w:val="15"/>
          <w:lang w:val="es-ES"/>
        </w:rPr>
        <w:t>Consejo de Estado. Sala de Consulta y Servicio Civil, Concepto de 8 de mayo de 2018. Radicación Número: 11001-03-06-000-2018-00095-00(2382). C.P. Álvaro Namén Vargas.</w:t>
      </w:r>
    </w:p>
  </w:footnote>
  <w:footnote w:id="19">
    <w:p w14:paraId="7E63E7C2"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del 08 de mayo de 2018. Exp. 2.382. C.P. Álvaro Namén Vargas.</w:t>
      </w:r>
    </w:p>
  </w:footnote>
  <w:footnote w:id="20">
    <w:p w14:paraId="59BEF7D5" w14:textId="77777777" w:rsidR="0079105E" w:rsidRPr="00F95083" w:rsidRDefault="0079105E" w:rsidP="0079105E">
      <w:pPr>
        <w:pStyle w:val="Textonotapie"/>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Colombia Compra Eficiente. Circular Externa Única. Numeral 16.5. En este sentido, la Agencia ha expresado: “[…] las prórrogas, modificaciones o adiciones, y la cesión de los contratos suscritos antes del período de la campaña electoral, pueden realizarse en cualquier tiempo antes o después del comienzo de la aplicación de la Ley de Garantías, siempre y cuando el contrato se encuentre vigente y se observen las demás disposiciones conforme a las cuales deben realizarse dichas actuaciones”.</w:t>
      </w:r>
    </w:p>
  </w:footnote>
  <w:footnote w:id="21">
    <w:p w14:paraId="0E36980C" w14:textId="77777777" w:rsidR="0079105E" w:rsidRPr="00F95083" w:rsidRDefault="0079105E" w:rsidP="0079105E">
      <w:pPr>
        <w:pStyle w:val="Textonotapie"/>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La Corte Constitucional mediante Sentencia C-1153-05 de 11 de noviembre de 2005, Magistrado Ponente Marco Gerardo Monroy Cabra, efectuó el Control constitucional al Proyecto de Ley Estatutaria N° 216/05 Senado, N° 235-Cámara que dio lugar a la Ley de Garantías Electorales.</w:t>
      </w:r>
    </w:p>
  </w:footnote>
  <w:footnote w:id="22">
    <w:p w14:paraId="5F73CCE3" w14:textId="77777777" w:rsidR="0079105E" w:rsidRPr="00F95083" w:rsidRDefault="0079105E" w:rsidP="0079105E">
      <w:pPr>
        <w:spacing w:after="0" w:line="240" w:lineRule="auto"/>
        <w:ind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20 de febrero de 2006. Radicación Número: 11001-03-06-000-2006-00026-00 (1727). C.P. Enrique José Arboleda Perdomo. Conceptuó que para las entidades que contratan por el derecho privado, estaba prohibida la contratación diferente de la licitación pública regulada por el código de comercio, criterio que luego se extendió para aquellos procesos que, en algunos sistemas de contratación utilizados por entidades públicas con regímenes especiales y establecidos en sus manuales de contratación, utilicen convocatoria de manera pública y se permita la participación de una pluralidad de oferentes.</w:t>
      </w:r>
    </w:p>
  </w:footnote>
  <w:footnote w:id="23">
    <w:p w14:paraId="78881A12" w14:textId="77777777" w:rsidR="0079105E" w:rsidRPr="00CB2288" w:rsidRDefault="0079105E" w:rsidP="0079105E">
      <w:pPr>
        <w:pStyle w:val="Textonotapie"/>
        <w:ind w:right="51" w:firstLine="709"/>
        <w:jc w:val="both"/>
        <w:rPr>
          <w:rFonts w:ascii="Verdana" w:eastAsia="Times New Roman" w:hAnsi="Verdana" w:cs="Arial"/>
          <w:bCs/>
          <w:sz w:val="15"/>
          <w:szCs w:val="15"/>
          <w:lang w:eastAsia="x-none"/>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 (1738). C.P. Enrique José Arboleda Perdomo:</w:t>
      </w:r>
      <w:r w:rsidRPr="00F95083">
        <w:rPr>
          <w:rFonts w:ascii="Verdana" w:eastAsia="Times New Roman" w:hAnsi="Verdana" w:cs="Arial"/>
          <w:bCs/>
          <w:sz w:val="15"/>
          <w:szCs w:val="15"/>
          <w:lang w:eastAsia="x-none"/>
        </w:rPr>
        <w:t xml:space="preserve"> “</w:t>
      </w:r>
      <w:r w:rsidRPr="00F95083">
        <w:rPr>
          <w:rFonts w:ascii="Verdana" w:hAnsi="Verdana" w:cs="Arial"/>
          <w:sz w:val="15"/>
          <w:szCs w:val="15"/>
        </w:rPr>
        <w:t>Si bien en el tema del concepto del que se extractaron los párrafos transcritos, se hacía referencia a las empresas de servicios públicos domiciliarios mixtas, la explicación dada cobija también a las empresas industriales y comerciales del estado y a las de crédito, pues todas ellas hacen parte de la definición de administración pública de la ley 489 de 1998, y además encajan dentro de la noción de todos los entes del Estado que trae la ley 996 de 2005 en el artículo 33, de manera que no es lógico pretender exonerarse de ésta prohibición alegando un régimen especial de los actos o contratos</w:t>
      </w:r>
      <w:r w:rsidRPr="00F95083">
        <w:rPr>
          <w:rFonts w:ascii="Verdana" w:eastAsia="Times New Roman" w:hAnsi="Verdana" w:cs="Arial"/>
          <w:bCs/>
          <w:sz w:val="15"/>
          <w:szCs w:val="15"/>
          <w:lang w:eastAsia="x-none"/>
        </w:rPr>
        <w:t>”.</w:t>
      </w:r>
    </w:p>
  </w:footnote>
  <w:footnote w:id="24">
    <w:p w14:paraId="185D1D2D" w14:textId="77777777" w:rsidR="0079105E" w:rsidRPr="00F95083" w:rsidRDefault="0079105E" w:rsidP="0079105E">
      <w:pPr>
        <w:spacing w:after="0" w:line="240" w:lineRule="auto"/>
        <w:ind w:firstLine="708"/>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Concepto de 6 de abril de 2006. Radicación Número: 11001-03-06-000-2006-00038-00(1738). Consejero Ponente: Enrique José Arboleda Perdomo. </w:t>
      </w:r>
    </w:p>
  </w:footnote>
  <w:footnote w:id="25">
    <w:p w14:paraId="47350BE8" w14:textId="77777777" w:rsidR="0079105E" w:rsidRPr="00F95083" w:rsidRDefault="0079105E" w:rsidP="0079105E">
      <w:pPr>
        <w:pStyle w:val="Textonotapie"/>
        <w:ind w:right="51" w:firstLine="709"/>
        <w:jc w:val="both"/>
        <w:rPr>
          <w:rFonts w:ascii="Verdana" w:hAnsi="Verdana" w:cs="Arial"/>
          <w:sz w:val="15"/>
          <w:szCs w:val="15"/>
        </w:rPr>
      </w:pPr>
      <w:r w:rsidRPr="00F95083">
        <w:rPr>
          <w:rStyle w:val="Refdenotaalpie"/>
          <w:rFonts w:ascii="Verdana" w:hAnsi="Verdana" w:cs="Arial"/>
          <w:sz w:val="15"/>
          <w:szCs w:val="15"/>
        </w:rPr>
        <w:footnoteRef/>
      </w:r>
      <w:r w:rsidRPr="00F95083">
        <w:rPr>
          <w:rFonts w:ascii="Verdana" w:hAnsi="Verdana" w:cs="Arial"/>
          <w:sz w:val="15"/>
          <w:szCs w:val="15"/>
        </w:rPr>
        <w:t xml:space="preserve"> Consejo de Estado. Sala de Consulta y Servicio Civil, ídem.</w:t>
      </w:r>
    </w:p>
  </w:footnote>
  <w:footnote w:id="26">
    <w:p w14:paraId="5916A4D6" w14:textId="77777777" w:rsidR="0079105E" w:rsidRPr="003F2A9C" w:rsidRDefault="0079105E" w:rsidP="0079105E">
      <w:pPr>
        <w:pStyle w:val="Textonotapie"/>
        <w:ind w:firstLine="708"/>
        <w:jc w:val="both"/>
        <w:rPr>
          <w:rFonts w:ascii="Arial" w:hAnsi="Arial" w:cs="Arial"/>
          <w:sz w:val="16"/>
          <w:szCs w:val="16"/>
        </w:rPr>
      </w:pPr>
      <w:r w:rsidRPr="003F2A9C">
        <w:rPr>
          <w:rStyle w:val="Refdenotaalpie"/>
          <w:rFonts w:ascii="Verdana" w:hAnsi="Verdana" w:cs="Arial"/>
          <w:sz w:val="16"/>
          <w:szCs w:val="16"/>
        </w:rPr>
        <w:footnoteRef/>
      </w:r>
      <w:r w:rsidRPr="003F2A9C">
        <w:rPr>
          <w:rFonts w:ascii="Verdana" w:hAnsi="Verdana" w:cs="Arial"/>
          <w:sz w:val="16"/>
          <w:szCs w:val="16"/>
        </w:rPr>
        <w:t xml:space="preserve"> Colombia Compra Eficiente. Circular Externa Única. Numeral 15.5.</w:t>
      </w:r>
    </w:p>
  </w:footnote>
  <w:footnote w:id="27">
    <w:p w14:paraId="54BE929D" w14:textId="77777777" w:rsidR="0079105E" w:rsidRPr="00897C82" w:rsidRDefault="0079105E" w:rsidP="0079105E">
      <w:pPr>
        <w:pStyle w:val="Textonotapie"/>
        <w:ind w:firstLine="708"/>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Es lo que sucede, por ejemplo, con el Decreto 092 de 2017, que en su desarrollo hace referencia tanto a los “contratos” como a los “convenios”. </w:t>
      </w:r>
    </w:p>
  </w:footnote>
  <w:footnote w:id="28">
    <w:p w14:paraId="2E0B67F4" w14:textId="77777777" w:rsidR="0079105E" w:rsidRPr="00897C82" w:rsidRDefault="0079105E" w:rsidP="0079105E">
      <w:pPr>
        <w:pStyle w:val="Textonotapie"/>
        <w:ind w:firstLine="708"/>
        <w:jc w:val="both"/>
        <w:rPr>
          <w:rFonts w:ascii="Verdana" w:hAnsi="Verdana" w:cs="Arial"/>
          <w:sz w:val="16"/>
          <w:szCs w:val="16"/>
          <w:lang w:val="pt-BR"/>
        </w:rPr>
      </w:pPr>
      <w:r w:rsidRPr="00897C82">
        <w:rPr>
          <w:rStyle w:val="Refdenotaalpie"/>
          <w:rFonts w:ascii="Verdana" w:hAnsi="Verdana" w:cs="Arial"/>
          <w:sz w:val="16"/>
          <w:szCs w:val="16"/>
        </w:rPr>
        <w:footnoteRef/>
      </w:r>
      <w:r w:rsidRPr="00897C82">
        <w:rPr>
          <w:rFonts w:ascii="Verdana" w:hAnsi="Verdana" w:cs="Arial"/>
          <w:sz w:val="16"/>
          <w:szCs w:val="16"/>
        </w:rPr>
        <w:t xml:space="preserve"> A pesar de que la norma se refiere únicamente a los contratos interadministrativos, esto no implica que la excepción a la licitación pública sólo se aplique a éstos y no a los convenios interadministrativos, puesto que ello conduciría a una interpretación irrazonable según la cual esta modalidad contractual, cuyo objeto y finalidad sólo interesa a la administración, deba ser celebrado siguiendo el procedimiento de selección objetiva y en la cual únicamente será proponente aquélla. En tal sentido, la causal de contratación directa es aplicable a los convenios y a los contratos interadministrativos”. </w:t>
      </w:r>
      <w:r w:rsidRPr="00897C82">
        <w:rPr>
          <w:rFonts w:ascii="Verdana" w:hAnsi="Verdana" w:cs="Arial"/>
          <w:sz w:val="16"/>
          <w:szCs w:val="16"/>
          <w:lang w:val="pt-BR"/>
        </w:rPr>
        <w:t>(Corte Constitucional. Sentencia C-671 de 2015. M.P. Alberto Rojas Ríos).</w:t>
      </w:r>
    </w:p>
  </w:footnote>
  <w:footnote w:id="29">
    <w:p w14:paraId="069FCA18" w14:textId="77777777" w:rsidR="0079105E" w:rsidRPr="00897C82" w:rsidRDefault="0079105E" w:rsidP="0079105E">
      <w:pPr>
        <w:pStyle w:val="Textonotapie"/>
        <w:ind w:firstLine="709"/>
        <w:rPr>
          <w:rFonts w:ascii="Verdana" w:hAnsi="Verdana"/>
          <w:sz w:val="16"/>
          <w:szCs w:val="16"/>
          <w:lang w:val="es-CO"/>
        </w:rPr>
      </w:pPr>
      <w:r w:rsidRPr="00897C82">
        <w:rPr>
          <w:rStyle w:val="Refdenotaalpie"/>
          <w:rFonts w:ascii="Verdana" w:hAnsi="Verdana"/>
          <w:sz w:val="16"/>
          <w:szCs w:val="16"/>
        </w:rPr>
        <w:footnoteRef/>
      </w:r>
      <w:r w:rsidRPr="00897C82">
        <w:rPr>
          <w:rFonts w:ascii="Verdana" w:hAnsi="Verdana"/>
          <w:sz w:val="16"/>
          <w:szCs w:val="16"/>
          <w:lang w:val="es-CO"/>
        </w:rPr>
        <w:t xml:space="preserve"> </w:t>
      </w:r>
      <w:r w:rsidRPr="00897C82">
        <w:rPr>
          <w:rFonts w:ascii="Verdana" w:hAnsi="Verdana" w:cs="Arial"/>
          <w:sz w:val="16"/>
          <w:szCs w:val="16"/>
          <w:lang w:val="es-CO"/>
        </w:rPr>
        <w:t>Consejo de Estado, Sección Tercera. Auto del 4 de octubre de 2024. Exp. 70.313. C.P: Fredy Ibarra Martínez</w:t>
      </w:r>
    </w:p>
  </w:footnote>
  <w:footnote w:id="30">
    <w:p w14:paraId="3B18B503" w14:textId="77777777" w:rsidR="0079105E" w:rsidRPr="00897C82" w:rsidRDefault="0079105E" w:rsidP="0079105E">
      <w:pPr>
        <w:pStyle w:val="Textonotapie"/>
        <w:ind w:firstLine="709"/>
        <w:jc w:val="both"/>
        <w:rPr>
          <w:rFonts w:ascii="Verdana" w:hAnsi="Verdana" w:cs="Arial"/>
          <w:sz w:val="16"/>
          <w:szCs w:val="16"/>
        </w:rPr>
      </w:pPr>
      <w:r w:rsidRPr="00897C82">
        <w:rPr>
          <w:rStyle w:val="Refdenotaalpie"/>
          <w:rFonts w:ascii="Verdana" w:hAnsi="Verdana" w:cs="Arial"/>
          <w:sz w:val="16"/>
          <w:szCs w:val="16"/>
        </w:rPr>
        <w:footnoteRef/>
      </w:r>
      <w:r w:rsidRPr="00897C82">
        <w:rPr>
          <w:rFonts w:ascii="Verdana" w:hAnsi="Verdana" w:cs="Arial"/>
          <w:sz w:val="16"/>
          <w:szCs w:val="16"/>
        </w:rPr>
        <w:t xml:space="preserve"> Consejo de Estado. Sala de Consulta y Servicio Civil. Concepto del 15 de noviembre de 2007. Expediente número 1863. Consejero Ponente: Luis Fernando Álvarez Jaramillo.</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35F4D03" w14:textId="0903BF04" w:rsidR="00505795" w:rsidRDefault="00505795">
    <w:pPr>
      <w:pStyle w:val="Encabezado"/>
    </w:pPr>
    <w:r>
      <w:rPr>
        <w:rFonts w:ascii="Geomanist Bold" w:hAnsi="Geomanist Bold"/>
        <w:b/>
        <w:bCs/>
        <w:noProof/>
        <w:color w:val="002060"/>
        <w:sz w:val="24"/>
        <w:szCs w:val="24"/>
        <w:lang w:val="en-US"/>
      </w:rPr>
      <w:drawing>
        <wp:anchor distT="0" distB="0" distL="114300" distR="114300" simplePos="0" relativeHeight="251658241" behindDoc="1" locked="0" layoutInCell="1" allowOverlap="1" wp14:anchorId="6FC3B35F" wp14:editId="12DD542F">
          <wp:simplePos x="0" y="0"/>
          <wp:positionH relativeFrom="margin">
            <wp:align>center</wp:align>
          </wp:positionH>
          <wp:positionV relativeFrom="paragraph">
            <wp:posOffset>-345440</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Pr>
        <w:rFonts w:ascii="Geomanist Bold" w:hAnsi="Geomanist Bold"/>
        <w:b/>
        <w:bCs/>
        <w:noProof/>
        <w:color w:val="002060"/>
        <w:sz w:val="24"/>
        <w:szCs w:val="24"/>
        <w:lang w:val="en-US"/>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505795" w:rsidRDefault="00505795">
    <w:pPr>
      <w:pStyle w:val="Encabezado"/>
    </w:pPr>
  </w:p>
  <w:p w14:paraId="3079FC11" w14:textId="77777777" w:rsidR="00505795" w:rsidRDefault="00505795" w:rsidP="004A305D">
    <w:pPr>
      <w:spacing w:after="0"/>
      <w:rPr>
        <w:rFonts w:ascii="Verdana" w:hAnsi="Verdana"/>
        <w:b/>
        <w:bCs/>
      </w:rPr>
    </w:pPr>
  </w:p>
  <w:p w14:paraId="5E18350A" w14:textId="705F7B76" w:rsidR="00505795" w:rsidRPr="004A305D" w:rsidRDefault="00505795" w:rsidP="00B01B1A">
    <w:pPr>
      <w:spacing w:after="0" w:line="120" w:lineRule="auto"/>
      <w:rPr>
        <w:rFonts w:ascii="Century Gothic" w:eastAsia="Geo" w:hAnsi="Century Gothic" w:cs="Geo"/>
        <w:sz w:val="16"/>
        <w:szCs w:val="16"/>
        <w:lang w:eastAsia="es-CO"/>
      </w:rPr>
    </w:pPr>
  </w:p>
  <w:p w14:paraId="1FD1C243" w14:textId="6D74A3CF" w:rsidR="00505795" w:rsidRDefault="00505795" w:rsidP="00061B2A">
    <w:pPr>
      <w:pStyle w:val="Encabezado"/>
      <w:spacing w:line="120" w:lineRule="auto"/>
    </w:pP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66" type="#_x0000_t75" style="width:11.25pt;height:11.25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3520020"/>
    <w:multiLevelType w:val="hybridMultilevel"/>
    <w:tmpl w:val="D6F4F646"/>
    <w:lvl w:ilvl="0" w:tplc="240A0001">
      <w:start w:val="1"/>
      <w:numFmt w:val="bullet"/>
      <w:lvlText w:val=""/>
      <w:lvlJc w:val="left"/>
      <w:pPr>
        <w:ind w:left="360" w:hanging="360"/>
      </w:pPr>
      <w:rPr>
        <w:rFonts w:ascii="Symbol" w:hAnsi="Symbol" w:hint="default"/>
      </w:rPr>
    </w:lvl>
    <w:lvl w:ilvl="1" w:tplc="240A0003" w:tentative="1">
      <w:start w:val="1"/>
      <w:numFmt w:val="bullet"/>
      <w:lvlText w:val="o"/>
      <w:lvlJc w:val="left"/>
      <w:pPr>
        <w:ind w:left="1080" w:hanging="360"/>
      </w:pPr>
      <w:rPr>
        <w:rFonts w:ascii="Courier New" w:hAnsi="Courier New" w:cs="Courier New" w:hint="default"/>
      </w:rPr>
    </w:lvl>
    <w:lvl w:ilvl="2" w:tplc="240A0005" w:tentative="1">
      <w:start w:val="1"/>
      <w:numFmt w:val="bullet"/>
      <w:lvlText w:val=""/>
      <w:lvlJc w:val="left"/>
      <w:pPr>
        <w:ind w:left="1800" w:hanging="360"/>
      </w:pPr>
      <w:rPr>
        <w:rFonts w:ascii="Wingdings" w:hAnsi="Wingdings" w:hint="default"/>
      </w:rPr>
    </w:lvl>
    <w:lvl w:ilvl="3" w:tplc="240A0001" w:tentative="1">
      <w:start w:val="1"/>
      <w:numFmt w:val="bullet"/>
      <w:lvlText w:val=""/>
      <w:lvlJc w:val="left"/>
      <w:pPr>
        <w:ind w:left="2520" w:hanging="360"/>
      </w:pPr>
      <w:rPr>
        <w:rFonts w:ascii="Symbol" w:hAnsi="Symbol" w:hint="default"/>
      </w:rPr>
    </w:lvl>
    <w:lvl w:ilvl="4" w:tplc="240A0003" w:tentative="1">
      <w:start w:val="1"/>
      <w:numFmt w:val="bullet"/>
      <w:lvlText w:val="o"/>
      <w:lvlJc w:val="left"/>
      <w:pPr>
        <w:ind w:left="3240" w:hanging="360"/>
      </w:pPr>
      <w:rPr>
        <w:rFonts w:ascii="Courier New" w:hAnsi="Courier New" w:cs="Courier New" w:hint="default"/>
      </w:rPr>
    </w:lvl>
    <w:lvl w:ilvl="5" w:tplc="240A0005" w:tentative="1">
      <w:start w:val="1"/>
      <w:numFmt w:val="bullet"/>
      <w:lvlText w:val=""/>
      <w:lvlJc w:val="left"/>
      <w:pPr>
        <w:ind w:left="3960" w:hanging="360"/>
      </w:pPr>
      <w:rPr>
        <w:rFonts w:ascii="Wingdings" w:hAnsi="Wingdings" w:hint="default"/>
      </w:rPr>
    </w:lvl>
    <w:lvl w:ilvl="6" w:tplc="240A0001" w:tentative="1">
      <w:start w:val="1"/>
      <w:numFmt w:val="bullet"/>
      <w:lvlText w:val=""/>
      <w:lvlJc w:val="left"/>
      <w:pPr>
        <w:ind w:left="4680" w:hanging="360"/>
      </w:pPr>
      <w:rPr>
        <w:rFonts w:ascii="Symbol" w:hAnsi="Symbol" w:hint="default"/>
      </w:rPr>
    </w:lvl>
    <w:lvl w:ilvl="7" w:tplc="240A0003" w:tentative="1">
      <w:start w:val="1"/>
      <w:numFmt w:val="bullet"/>
      <w:lvlText w:val="o"/>
      <w:lvlJc w:val="left"/>
      <w:pPr>
        <w:ind w:left="5400" w:hanging="360"/>
      </w:pPr>
      <w:rPr>
        <w:rFonts w:ascii="Courier New" w:hAnsi="Courier New" w:cs="Courier New" w:hint="default"/>
      </w:rPr>
    </w:lvl>
    <w:lvl w:ilvl="8" w:tplc="240A0005" w:tentative="1">
      <w:start w:val="1"/>
      <w:numFmt w:val="bullet"/>
      <w:lvlText w:val=""/>
      <w:lvlJc w:val="left"/>
      <w:pPr>
        <w:ind w:left="6120" w:hanging="360"/>
      </w:pPr>
      <w:rPr>
        <w:rFonts w:ascii="Wingdings" w:hAnsi="Wingdings" w:hint="default"/>
      </w:rPr>
    </w:lvl>
  </w:abstractNum>
  <w:abstractNum w:abstractNumId="3"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4" w15:restartNumberingAfterBreak="0">
    <w:nsid w:val="117A1800"/>
    <w:multiLevelType w:val="hybridMultilevel"/>
    <w:tmpl w:val="9C3292AA"/>
    <w:lvl w:ilvl="0" w:tplc="080A0001">
      <w:start w:val="1"/>
      <w:numFmt w:val="bullet"/>
      <w:lvlText w:val=""/>
      <w:lvlJc w:val="left"/>
      <w:pPr>
        <w:ind w:left="720" w:hanging="360"/>
      </w:pPr>
      <w:rPr>
        <w:rFonts w:ascii="Symbol" w:hAnsi="Symbol" w:hint="default"/>
      </w:rPr>
    </w:lvl>
    <w:lvl w:ilvl="1" w:tplc="080A0003">
      <w:start w:val="1"/>
      <w:numFmt w:val="bullet"/>
      <w:lvlText w:val="o"/>
      <w:lvlJc w:val="left"/>
      <w:pPr>
        <w:ind w:left="1440" w:hanging="360"/>
      </w:pPr>
      <w:rPr>
        <w:rFonts w:ascii="Courier New" w:hAnsi="Courier New" w:cs="Courier New" w:hint="default"/>
      </w:rPr>
    </w:lvl>
    <w:lvl w:ilvl="2" w:tplc="080A0005">
      <w:start w:val="1"/>
      <w:numFmt w:val="bullet"/>
      <w:lvlText w:val=""/>
      <w:lvlJc w:val="left"/>
      <w:pPr>
        <w:ind w:left="2160" w:hanging="360"/>
      </w:pPr>
      <w:rPr>
        <w:rFonts w:ascii="Wingdings" w:hAnsi="Wingdings" w:hint="default"/>
      </w:rPr>
    </w:lvl>
    <w:lvl w:ilvl="3" w:tplc="080A0001">
      <w:start w:val="1"/>
      <w:numFmt w:val="bullet"/>
      <w:lvlText w:val=""/>
      <w:lvlJc w:val="left"/>
      <w:pPr>
        <w:ind w:left="2880" w:hanging="360"/>
      </w:pPr>
      <w:rPr>
        <w:rFonts w:ascii="Symbol" w:hAnsi="Symbol" w:hint="default"/>
      </w:rPr>
    </w:lvl>
    <w:lvl w:ilvl="4" w:tplc="080A0003">
      <w:start w:val="1"/>
      <w:numFmt w:val="bullet"/>
      <w:lvlText w:val="o"/>
      <w:lvlJc w:val="left"/>
      <w:pPr>
        <w:ind w:left="3600" w:hanging="360"/>
      </w:pPr>
      <w:rPr>
        <w:rFonts w:ascii="Courier New" w:hAnsi="Courier New" w:cs="Courier New" w:hint="default"/>
      </w:rPr>
    </w:lvl>
    <w:lvl w:ilvl="5" w:tplc="080A0005">
      <w:start w:val="1"/>
      <w:numFmt w:val="bullet"/>
      <w:lvlText w:val=""/>
      <w:lvlJc w:val="left"/>
      <w:pPr>
        <w:ind w:left="4320" w:hanging="360"/>
      </w:pPr>
      <w:rPr>
        <w:rFonts w:ascii="Wingdings" w:hAnsi="Wingdings" w:hint="default"/>
      </w:rPr>
    </w:lvl>
    <w:lvl w:ilvl="6" w:tplc="080A0001">
      <w:start w:val="1"/>
      <w:numFmt w:val="bullet"/>
      <w:lvlText w:val=""/>
      <w:lvlJc w:val="left"/>
      <w:pPr>
        <w:ind w:left="5040" w:hanging="360"/>
      </w:pPr>
      <w:rPr>
        <w:rFonts w:ascii="Symbol" w:hAnsi="Symbol" w:hint="default"/>
      </w:rPr>
    </w:lvl>
    <w:lvl w:ilvl="7" w:tplc="080A0003">
      <w:start w:val="1"/>
      <w:numFmt w:val="bullet"/>
      <w:lvlText w:val="o"/>
      <w:lvlJc w:val="left"/>
      <w:pPr>
        <w:ind w:left="5760" w:hanging="360"/>
      </w:pPr>
      <w:rPr>
        <w:rFonts w:ascii="Courier New" w:hAnsi="Courier New" w:cs="Courier New" w:hint="default"/>
      </w:rPr>
    </w:lvl>
    <w:lvl w:ilvl="8" w:tplc="080A0005">
      <w:start w:val="1"/>
      <w:numFmt w:val="bullet"/>
      <w:lvlText w:val=""/>
      <w:lvlJc w:val="left"/>
      <w:pPr>
        <w:ind w:left="6480" w:hanging="360"/>
      </w:pPr>
      <w:rPr>
        <w:rFonts w:ascii="Wingdings" w:hAnsi="Wingdings" w:hint="default"/>
      </w:rPr>
    </w:lvl>
  </w:abstractNum>
  <w:abstractNum w:abstractNumId="5" w15:restartNumberingAfterBreak="0">
    <w:nsid w:val="151B5B4E"/>
    <w:multiLevelType w:val="hybridMultilevel"/>
    <w:tmpl w:val="C3923F82"/>
    <w:lvl w:ilvl="0" w:tplc="ECBA3926">
      <w:start w:val="1"/>
      <w:numFmt w:val="decimal"/>
      <w:lvlText w:val="%1."/>
      <w:lvlJc w:val="left"/>
      <w:pPr>
        <w:ind w:left="1069" w:hanging="360"/>
      </w:pPr>
      <w:rPr>
        <w:rFonts w:hint="default"/>
      </w:rPr>
    </w:lvl>
    <w:lvl w:ilvl="1" w:tplc="04090019" w:tentative="1">
      <w:start w:val="1"/>
      <w:numFmt w:val="lowerLetter"/>
      <w:lvlText w:val="%2."/>
      <w:lvlJc w:val="left"/>
      <w:pPr>
        <w:ind w:left="1789" w:hanging="360"/>
      </w:pPr>
    </w:lvl>
    <w:lvl w:ilvl="2" w:tplc="0409001B" w:tentative="1">
      <w:start w:val="1"/>
      <w:numFmt w:val="lowerRoman"/>
      <w:lvlText w:val="%3."/>
      <w:lvlJc w:val="right"/>
      <w:pPr>
        <w:ind w:left="2509" w:hanging="180"/>
      </w:pPr>
    </w:lvl>
    <w:lvl w:ilvl="3" w:tplc="0409000F" w:tentative="1">
      <w:start w:val="1"/>
      <w:numFmt w:val="decimal"/>
      <w:lvlText w:val="%4."/>
      <w:lvlJc w:val="left"/>
      <w:pPr>
        <w:ind w:left="3229" w:hanging="360"/>
      </w:pPr>
    </w:lvl>
    <w:lvl w:ilvl="4" w:tplc="04090019" w:tentative="1">
      <w:start w:val="1"/>
      <w:numFmt w:val="lowerLetter"/>
      <w:lvlText w:val="%5."/>
      <w:lvlJc w:val="left"/>
      <w:pPr>
        <w:ind w:left="3949" w:hanging="360"/>
      </w:pPr>
    </w:lvl>
    <w:lvl w:ilvl="5" w:tplc="0409001B" w:tentative="1">
      <w:start w:val="1"/>
      <w:numFmt w:val="lowerRoman"/>
      <w:lvlText w:val="%6."/>
      <w:lvlJc w:val="right"/>
      <w:pPr>
        <w:ind w:left="4669" w:hanging="180"/>
      </w:pPr>
    </w:lvl>
    <w:lvl w:ilvl="6" w:tplc="0409000F" w:tentative="1">
      <w:start w:val="1"/>
      <w:numFmt w:val="decimal"/>
      <w:lvlText w:val="%7."/>
      <w:lvlJc w:val="left"/>
      <w:pPr>
        <w:ind w:left="5389" w:hanging="360"/>
      </w:pPr>
    </w:lvl>
    <w:lvl w:ilvl="7" w:tplc="04090019" w:tentative="1">
      <w:start w:val="1"/>
      <w:numFmt w:val="lowerLetter"/>
      <w:lvlText w:val="%8."/>
      <w:lvlJc w:val="left"/>
      <w:pPr>
        <w:ind w:left="6109" w:hanging="360"/>
      </w:pPr>
    </w:lvl>
    <w:lvl w:ilvl="8" w:tplc="0409001B" w:tentative="1">
      <w:start w:val="1"/>
      <w:numFmt w:val="lowerRoman"/>
      <w:lvlText w:val="%9."/>
      <w:lvlJc w:val="right"/>
      <w:pPr>
        <w:ind w:left="6829" w:hanging="180"/>
      </w:pPr>
    </w:lvl>
  </w:abstractNum>
  <w:abstractNum w:abstractNumId="6" w15:restartNumberingAfterBreak="0">
    <w:nsid w:val="1CAC2B7C"/>
    <w:multiLevelType w:val="hybridMultilevel"/>
    <w:tmpl w:val="6E08C6B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7" w15:restartNumberingAfterBreak="0">
    <w:nsid w:val="23036501"/>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8"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2CDBF6B6"/>
    <w:multiLevelType w:val="hybridMultilevel"/>
    <w:tmpl w:val="E00CB3DE"/>
    <w:lvl w:ilvl="0" w:tplc="FFFFFFFF">
      <w:start w:val="1"/>
      <w:numFmt w:val="bullet"/>
      <w:lvlText w:val="•"/>
      <w:lvlJc w:val="left"/>
    </w:lvl>
    <w:lvl w:ilvl="1" w:tplc="FFFFFFFF">
      <w:numFmt w:val="decimal"/>
      <w:lvlText w:val=""/>
      <w:lvlJc w:val="left"/>
    </w:lvl>
    <w:lvl w:ilvl="2" w:tplc="FFFFFFFF">
      <w:numFmt w:val="decimal"/>
      <w:lvlText w:val=""/>
      <w:lvlJc w:val="left"/>
    </w:lvl>
    <w:lvl w:ilvl="3" w:tplc="FFFFFFFF">
      <w:numFmt w:val="decimal"/>
      <w:lvlText w:val=""/>
      <w:lvlJc w:val="left"/>
    </w:lvl>
    <w:lvl w:ilvl="4" w:tplc="FFFFFFFF">
      <w:numFmt w:val="decimal"/>
      <w:lvlText w:val=""/>
      <w:lvlJc w:val="left"/>
    </w:lvl>
    <w:lvl w:ilvl="5" w:tplc="FFFFFFFF">
      <w:numFmt w:val="decimal"/>
      <w:lvlText w:val=""/>
      <w:lvlJc w:val="left"/>
    </w:lvl>
    <w:lvl w:ilvl="6" w:tplc="FFFFFFFF">
      <w:numFmt w:val="decimal"/>
      <w:lvlText w:val=""/>
      <w:lvlJc w:val="left"/>
    </w:lvl>
    <w:lvl w:ilvl="7" w:tplc="FFFFFFFF">
      <w:numFmt w:val="decimal"/>
      <w:lvlText w:val=""/>
      <w:lvlJc w:val="left"/>
    </w:lvl>
    <w:lvl w:ilvl="8" w:tplc="FFFFFFFF">
      <w:numFmt w:val="decimal"/>
      <w:lvlText w:val=""/>
      <w:lvlJc w:val="left"/>
    </w:lvl>
  </w:abstractNum>
  <w:abstractNum w:abstractNumId="10" w15:restartNumberingAfterBreak="0">
    <w:nsid w:val="2D5425A2"/>
    <w:multiLevelType w:val="hybridMultilevel"/>
    <w:tmpl w:val="405C6ADC"/>
    <w:lvl w:ilvl="0" w:tplc="E4762024">
      <w:start w:val="1"/>
      <w:numFmt w:val="upperRoman"/>
      <w:lvlText w:val="%1."/>
      <w:lvlJc w:val="left"/>
      <w:pPr>
        <w:ind w:left="1080" w:hanging="720"/>
      </w:pPr>
      <w:rPr>
        <w:rFonts w:hint="default"/>
        <w:lang w:val="es-CO"/>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1"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12"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14"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5"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6" w15:restartNumberingAfterBreak="0">
    <w:nsid w:val="39D726F5"/>
    <w:multiLevelType w:val="hybridMultilevel"/>
    <w:tmpl w:val="7BDC1A10"/>
    <w:lvl w:ilvl="0" w:tplc="040A0001">
      <w:start w:val="1"/>
      <w:numFmt w:val="bullet"/>
      <w:lvlText w:val=""/>
      <w:lvlJc w:val="left"/>
      <w:pPr>
        <w:ind w:left="720" w:hanging="360"/>
      </w:pPr>
      <w:rPr>
        <w:rFonts w:ascii="Symbol" w:hAnsi="Symbol" w:hint="default"/>
      </w:rPr>
    </w:lvl>
    <w:lvl w:ilvl="1" w:tplc="040A0003" w:tentative="1">
      <w:start w:val="1"/>
      <w:numFmt w:val="bullet"/>
      <w:lvlText w:val="o"/>
      <w:lvlJc w:val="left"/>
      <w:pPr>
        <w:ind w:left="1440" w:hanging="360"/>
      </w:pPr>
      <w:rPr>
        <w:rFonts w:ascii="Courier New" w:hAnsi="Courier New" w:cs="Courier New" w:hint="default"/>
      </w:rPr>
    </w:lvl>
    <w:lvl w:ilvl="2" w:tplc="040A0005" w:tentative="1">
      <w:start w:val="1"/>
      <w:numFmt w:val="bullet"/>
      <w:lvlText w:val=""/>
      <w:lvlJc w:val="left"/>
      <w:pPr>
        <w:ind w:left="2160" w:hanging="360"/>
      </w:pPr>
      <w:rPr>
        <w:rFonts w:ascii="Wingdings" w:hAnsi="Wingdings" w:hint="default"/>
      </w:rPr>
    </w:lvl>
    <w:lvl w:ilvl="3" w:tplc="040A0001" w:tentative="1">
      <w:start w:val="1"/>
      <w:numFmt w:val="bullet"/>
      <w:lvlText w:val=""/>
      <w:lvlJc w:val="left"/>
      <w:pPr>
        <w:ind w:left="2880" w:hanging="360"/>
      </w:pPr>
      <w:rPr>
        <w:rFonts w:ascii="Symbol" w:hAnsi="Symbol" w:hint="default"/>
      </w:rPr>
    </w:lvl>
    <w:lvl w:ilvl="4" w:tplc="040A0003" w:tentative="1">
      <w:start w:val="1"/>
      <w:numFmt w:val="bullet"/>
      <w:lvlText w:val="o"/>
      <w:lvlJc w:val="left"/>
      <w:pPr>
        <w:ind w:left="3600" w:hanging="360"/>
      </w:pPr>
      <w:rPr>
        <w:rFonts w:ascii="Courier New" w:hAnsi="Courier New" w:cs="Courier New" w:hint="default"/>
      </w:rPr>
    </w:lvl>
    <w:lvl w:ilvl="5" w:tplc="040A0005" w:tentative="1">
      <w:start w:val="1"/>
      <w:numFmt w:val="bullet"/>
      <w:lvlText w:val=""/>
      <w:lvlJc w:val="left"/>
      <w:pPr>
        <w:ind w:left="4320" w:hanging="360"/>
      </w:pPr>
      <w:rPr>
        <w:rFonts w:ascii="Wingdings" w:hAnsi="Wingdings" w:hint="default"/>
      </w:rPr>
    </w:lvl>
    <w:lvl w:ilvl="6" w:tplc="040A0001" w:tentative="1">
      <w:start w:val="1"/>
      <w:numFmt w:val="bullet"/>
      <w:lvlText w:val=""/>
      <w:lvlJc w:val="left"/>
      <w:pPr>
        <w:ind w:left="5040" w:hanging="360"/>
      </w:pPr>
      <w:rPr>
        <w:rFonts w:ascii="Symbol" w:hAnsi="Symbol" w:hint="default"/>
      </w:rPr>
    </w:lvl>
    <w:lvl w:ilvl="7" w:tplc="040A0003" w:tentative="1">
      <w:start w:val="1"/>
      <w:numFmt w:val="bullet"/>
      <w:lvlText w:val="o"/>
      <w:lvlJc w:val="left"/>
      <w:pPr>
        <w:ind w:left="5760" w:hanging="360"/>
      </w:pPr>
      <w:rPr>
        <w:rFonts w:ascii="Courier New" w:hAnsi="Courier New" w:cs="Courier New" w:hint="default"/>
      </w:rPr>
    </w:lvl>
    <w:lvl w:ilvl="8" w:tplc="040A0005" w:tentative="1">
      <w:start w:val="1"/>
      <w:numFmt w:val="bullet"/>
      <w:lvlText w:val=""/>
      <w:lvlJc w:val="left"/>
      <w:pPr>
        <w:ind w:left="6480" w:hanging="360"/>
      </w:pPr>
      <w:rPr>
        <w:rFonts w:ascii="Wingdings" w:hAnsi="Wingdings" w:hint="default"/>
      </w:rPr>
    </w:lvl>
  </w:abstractNum>
  <w:abstractNum w:abstractNumId="17" w15:restartNumberingAfterBreak="0">
    <w:nsid w:val="39EF4B51"/>
    <w:multiLevelType w:val="hybridMultilevel"/>
    <w:tmpl w:val="8B70B366"/>
    <w:lvl w:ilvl="0" w:tplc="240A0001">
      <w:start w:val="1"/>
      <w:numFmt w:val="bullet"/>
      <w:lvlText w:val=""/>
      <w:lvlJc w:val="left"/>
      <w:pPr>
        <w:ind w:left="720" w:hanging="360"/>
      </w:pPr>
      <w:rPr>
        <w:rFonts w:ascii="Symbol" w:hAnsi="Symbol" w:hint="default"/>
      </w:rPr>
    </w:lvl>
    <w:lvl w:ilvl="1" w:tplc="240A0003" w:tentative="1">
      <w:start w:val="1"/>
      <w:numFmt w:val="bullet"/>
      <w:lvlText w:val="o"/>
      <w:lvlJc w:val="left"/>
      <w:pPr>
        <w:ind w:left="1440" w:hanging="360"/>
      </w:pPr>
      <w:rPr>
        <w:rFonts w:ascii="Courier New" w:hAnsi="Courier New" w:cs="Courier New" w:hint="default"/>
      </w:rPr>
    </w:lvl>
    <w:lvl w:ilvl="2" w:tplc="240A0005" w:tentative="1">
      <w:start w:val="1"/>
      <w:numFmt w:val="bullet"/>
      <w:lvlText w:val=""/>
      <w:lvlJc w:val="left"/>
      <w:pPr>
        <w:ind w:left="2160" w:hanging="360"/>
      </w:pPr>
      <w:rPr>
        <w:rFonts w:ascii="Wingdings" w:hAnsi="Wingdings" w:hint="default"/>
      </w:rPr>
    </w:lvl>
    <w:lvl w:ilvl="3" w:tplc="240A0001" w:tentative="1">
      <w:start w:val="1"/>
      <w:numFmt w:val="bullet"/>
      <w:lvlText w:val=""/>
      <w:lvlJc w:val="left"/>
      <w:pPr>
        <w:ind w:left="2880" w:hanging="360"/>
      </w:pPr>
      <w:rPr>
        <w:rFonts w:ascii="Symbol" w:hAnsi="Symbol" w:hint="default"/>
      </w:rPr>
    </w:lvl>
    <w:lvl w:ilvl="4" w:tplc="240A0003" w:tentative="1">
      <w:start w:val="1"/>
      <w:numFmt w:val="bullet"/>
      <w:lvlText w:val="o"/>
      <w:lvlJc w:val="left"/>
      <w:pPr>
        <w:ind w:left="3600" w:hanging="360"/>
      </w:pPr>
      <w:rPr>
        <w:rFonts w:ascii="Courier New" w:hAnsi="Courier New" w:cs="Courier New" w:hint="default"/>
      </w:rPr>
    </w:lvl>
    <w:lvl w:ilvl="5" w:tplc="240A0005" w:tentative="1">
      <w:start w:val="1"/>
      <w:numFmt w:val="bullet"/>
      <w:lvlText w:val=""/>
      <w:lvlJc w:val="left"/>
      <w:pPr>
        <w:ind w:left="4320" w:hanging="360"/>
      </w:pPr>
      <w:rPr>
        <w:rFonts w:ascii="Wingdings" w:hAnsi="Wingdings" w:hint="default"/>
      </w:rPr>
    </w:lvl>
    <w:lvl w:ilvl="6" w:tplc="240A0001" w:tentative="1">
      <w:start w:val="1"/>
      <w:numFmt w:val="bullet"/>
      <w:lvlText w:val=""/>
      <w:lvlJc w:val="left"/>
      <w:pPr>
        <w:ind w:left="5040" w:hanging="360"/>
      </w:pPr>
      <w:rPr>
        <w:rFonts w:ascii="Symbol" w:hAnsi="Symbol" w:hint="default"/>
      </w:rPr>
    </w:lvl>
    <w:lvl w:ilvl="7" w:tplc="240A0003" w:tentative="1">
      <w:start w:val="1"/>
      <w:numFmt w:val="bullet"/>
      <w:lvlText w:val="o"/>
      <w:lvlJc w:val="left"/>
      <w:pPr>
        <w:ind w:left="5760" w:hanging="360"/>
      </w:pPr>
      <w:rPr>
        <w:rFonts w:ascii="Courier New" w:hAnsi="Courier New" w:cs="Courier New" w:hint="default"/>
      </w:rPr>
    </w:lvl>
    <w:lvl w:ilvl="8" w:tplc="240A0005" w:tentative="1">
      <w:start w:val="1"/>
      <w:numFmt w:val="bullet"/>
      <w:lvlText w:val=""/>
      <w:lvlJc w:val="left"/>
      <w:pPr>
        <w:ind w:left="6480" w:hanging="360"/>
      </w:pPr>
      <w:rPr>
        <w:rFonts w:ascii="Wingdings" w:hAnsi="Wingdings" w:hint="default"/>
      </w:rPr>
    </w:lvl>
  </w:abstractNum>
  <w:abstractNum w:abstractNumId="18" w15:restartNumberingAfterBreak="0">
    <w:nsid w:val="3A4771A8"/>
    <w:multiLevelType w:val="hybridMultilevel"/>
    <w:tmpl w:val="0E1245A2"/>
    <w:lvl w:ilvl="0" w:tplc="89122320">
      <w:start w:val="1"/>
      <w:numFmt w:val="lowerRoman"/>
      <w:lvlText w:val="%1."/>
      <w:lvlJc w:val="left"/>
      <w:pPr>
        <w:ind w:left="1080" w:hanging="720"/>
      </w:pPr>
      <w:rPr>
        <w:rFonts w:eastAsia="Calibri" w:cs="Times New Roman"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19" w15:restartNumberingAfterBreak="0">
    <w:nsid w:val="45D655E8"/>
    <w:multiLevelType w:val="hybridMultilevel"/>
    <w:tmpl w:val="0C9E4C5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20" w15:restartNumberingAfterBreak="0">
    <w:nsid w:val="495A4E35"/>
    <w:multiLevelType w:val="hybridMultilevel"/>
    <w:tmpl w:val="2F4615FC"/>
    <w:lvl w:ilvl="0" w:tplc="04090001">
      <w:start w:val="1"/>
      <w:numFmt w:val="bullet"/>
      <w:lvlText w:val=""/>
      <w:lvlJc w:val="left"/>
      <w:pPr>
        <w:ind w:left="720" w:hanging="360"/>
      </w:pPr>
      <w:rPr>
        <w:rFonts w:ascii="Symbol" w:hAnsi="Symbol" w:hint="default"/>
      </w:rPr>
    </w:lvl>
    <w:lvl w:ilvl="1" w:tplc="04090003" w:tentative="1">
      <w:start w:val="1"/>
      <w:numFmt w:val="bullet"/>
      <w:lvlText w:val="o"/>
      <w:lvlJc w:val="left"/>
      <w:pPr>
        <w:ind w:left="1440" w:hanging="360"/>
      </w:pPr>
      <w:rPr>
        <w:rFonts w:ascii="Courier New" w:hAnsi="Courier New" w:cs="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cs="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cs="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1" w15:restartNumberingAfterBreak="0">
    <w:nsid w:val="51E463C4"/>
    <w:multiLevelType w:val="hybridMultilevel"/>
    <w:tmpl w:val="2F4A9DAC"/>
    <w:lvl w:ilvl="0" w:tplc="080A0001">
      <w:start w:val="1"/>
      <w:numFmt w:val="bullet"/>
      <w:lvlText w:val=""/>
      <w:lvlJc w:val="left"/>
      <w:pPr>
        <w:ind w:left="360" w:hanging="360"/>
      </w:pPr>
      <w:rPr>
        <w:rFonts w:ascii="Symbol" w:hAnsi="Symbol" w:hint="default"/>
      </w:rPr>
    </w:lvl>
    <w:lvl w:ilvl="1" w:tplc="080A0003">
      <w:start w:val="1"/>
      <w:numFmt w:val="bullet"/>
      <w:lvlText w:val="o"/>
      <w:lvlJc w:val="left"/>
      <w:pPr>
        <w:ind w:left="1080" w:hanging="360"/>
      </w:pPr>
      <w:rPr>
        <w:rFonts w:ascii="Courier New" w:hAnsi="Courier New" w:cs="Courier New" w:hint="default"/>
      </w:rPr>
    </w:lvl>
    <w:lvl w:ilvl="2" w:tplc="080A0005">
      <w:start w:val="1"/>
      <w:numFmt w:val="bullet"/>
      <w:lvlText w:val=""/>
      <w:lvlJc w:val="left"/>
      <w:pPr>
        <w:ind w:left="1800" w:hanging="360"/>
      </w:pPr>
      <w:rPr>
        <w:rFonts w:ascii="Wingdings" w:hAnsi="Wingdings" w:hint="default"/>
      </w:rPr>
    </w:lvl>
    <w:lvl w:ilvl="3" w:tplc="080A0001">
      <w:start w:val="1"/>
      <w:numFmt w:val="bullet"/>
      <w:lvlText w:val=""/>
      <w:lvlJc w:val="left"/>
      <w:pPr>
        <w:ind w:left="2520" w:hanging="360"/>
      </w:pPr>
      <w:rPr>
        <w:rFonts w:ascii="Symbol" w:hAnsi="Symbol" w:hint="default"/>
      </w:rPr>
    </w:lvl>
    <w:lvl w:ilvl="4" w:tplc="080A0003">
      <w:start w:val="1"/>
      <w:numFmt w:val="bullet"/>
      <w:lvlText w:val="o"/>
      <w:lvlJc w:val="left"/>
      <w:pPr>
        <w:ind w:left="3240" w:hanging="360"/>
      </w:pPr>
      <w:rPr>
        <w:rFonts w:ascii="Courier New" w:hAnsi="Courier New" w:cs="Courier New" w:hint="default"/>
      </w:rPr>
    </w:lvl>
    <w:lvl w:ilvl="5" w:tplc="080A0005">
      <w:start w:val="1"/>
      <w:numFmt w:val="bullet"/>
      <w:lvlText w:val=""/>
      <w:lvlJc w:val="left"/>
      <w:pPr>
        <w:ind w:left="3960" w:hanging="360"/>
      </w:pPr>
      <w:rPr>
        <w:rFonts w:ascii="Wingdings" w:hAnsi="Wingdings" w:hint="default"/>
      </w:rPr>
    </w:lvl>
    <w:lvl w:ilvl="6" w:tplc="080A0001">
      <w:start w:val="1"/>
      <w:numFmt w:val="bullet"/>
      <w:lvlText w:val=""/>
      <w:lvlJc w:val="left"/>
      <w:pPr>
        <w:ind w:left="4680" w:hanging="360"/>
      </w:pPr>
      <w:rPr>
        <w:rFonts w:ascii="Symbol" w:hAnsi="Symbol" w:hint="default"/>
      </w:rPr>
    </w:lvl>
    <w:lvl w:ilvl="7" w:tplc="080A0003">
      <w:start w:val="1"/>
      <w:numFmt w:val="bullet"/>
      <w:lvlText w:val="o"/>
      <w:lvlJc w:val="left"/>
      <w:pPr>
        <w:ind w:left="5400" w:hanging="360"/>
      </w:pPr>
      <w:rPr>
        <w:rFonts w:ascii="Courier New" w:hAnsi="Courier New" w:cs="Courier New" w:hint="default"/>
      </w:rPr>
    </w:lvl>
    <w:lvl w:ilvl="8" w:tplc="080A0005">
      <w:start w:val="1"/>
      <w:numFmt w:val="bullet"/>
      <w:lvlText w:val=""/>
      <w:lvlJc w:val="left"/>
      <w:pPr>
        <w:ind w:left="6120" w:hanging="360"/>
      </w:pPr>
      <w:rPr>
        <w:rFonts w:ascii="Wingdings" w:hAnsi="Wingdings" w:hint="default"/>
      </w:rPr>
    </w:lvl>
  </w:abstractNum>
  <w:abstractNum w:abstractNumId="22" w15:restartNumberingAfterBreak="0">
    <w:nsid w:val="5AE07B1E"/>
    <w:multiLevelType w:val="multilevel"/>
    <w:tmpl w:val="6F14CB5E"/>
    <w:lvl w:ilvl="0">
      <w:start w:val="1"/>
      <w:numFmt w:val="decimal"/>
      <w:lvlText w:val="%1."/>
      <w:lvlJc w:val="left"/>
      <w:pPr>
        <w:ind w:left="360" w:hanging="360"/>
      </w:pPr>
      <w:rPr>
        <w:rFonts w:hint="default"/>
        <w:b/>
        <w:bCs/>
      </w:rPr>
    </w:lvl>
    <w:lvl w:ilvl="1">
      <w:start w:val="1"/>
      <w:numFmt w:val="decimal"/>
      <w:isLgl/>
      <w:lvlText w:val="%1.%2"/>
      <w:lvlJc w:val="left"/>
      <w:pPr>
        <w:ind w:left="372" w:hanging="372"/>
      </w:pPr>
      <w:rPr>
        <w:rFonts w:hint="default"/>
      </w:rPr>
    </w:lvl>
    <w:lvl w:ilvl="2">
      <w:start w:val="1"/>
      <w:numFmt w:val="decimal"/>
      <w:isLgl/>
      <w:lvlText w:val="%1.%2.%3"/>
      <w:lvlJc w:val="left"/>
      <w:pPr>
        <w:ind w:left="720" w:hanging="720"/>
      </w:pPr>
      <w:rPr>
        <w:rFonts w:hint="default"/>
      </w:rPr>
    </w:lvl>
    <w:lvl w:ilvl="3">
      <w:start w:val="1"/>
      <w:numFmt w:val="decimal"/>
      <w:isLgl/>
      <w:lvlText w:val="%1.%2.%3.%4"/>
      <w:lvlJc w:val="left"/>
      <w:pPr>
        <w:ind w:left="720" w:hanging="720"/>
      </w:pPr>
      <w:rPr>
        <w:rFonts w:hint="default"/>
      </w:rPr>
    </w:lvl>
    <w:lvl w:ilvl="4">
      <w:start w:val="1"/>
      <w:numFmt w:val="decimal"/>
      <w:isLgl/>
      <w:lvlText w:val="%1.%2.%3.%4.%5"/>
      <w:lvlJc w:val="left"/>
      <w:pPr>
        <w:ind w:left="1080" w:hanging="1080"/>
      </w:pPr>
      <w:rPr>
        <w:rFonts w:hint="default"/>
      </w:rPr>
    </w:lvl>
    <w:lvl w:ilvl="5">
      <w:start w:val="1"/>
      <w:numFmt w:val="decimal"/>
      <w:isLgl/>
      <w:lvlText w:val="%1.%2.%3.%4.%5.%6"/>
      <w:lvlJc w:val="left"/>
      <w:pPr>
        <w:ind w:left="1080" w:hanging="1080"/>
      </w:pPr>
      <w:rPr>
        <w:rFonts w:hint="default"/>
      </w:rPr>
    </w:lvl>
    <w:lvl w:ilvl="6">
      <w:start w:val="1"/>
      <w:numFmt w:val="decimal"/>
      <w:isLgl/>
      <w:lvlText w:val="%1.%2.%3.%4.%5.%6.%7"/>
      <w:lvlJc w:val="left"/>
      <w:pPr>
        <w:ind w:left="1440" w:hanging="1440"/>
      </w:pPr>
      <w:rPr>
        <w:rFonts w:hint="default"/>
      </w:rPr>
    </w:lvl>
    <w:lvl w:ilvl="7">
      <w:start w:val="1"/>
      <w:numFmt w:val="decimal"/>
      <w:isLgl/>
      <w:lvlText w:val="%1.%2.%3.%4.%5.%6.%7.%8"/>
      <w:lvlJc w:val="left"/>
      <w:pPr>
        <w:ind w:left="1440" w:hanging="1440"/>
      </w:pPr>
      <w:rPr>
        <w:rFonts w:hint="default"/>
      </w:rPr>
    </w:lvl>
    <w:lvl w:ilvl="8">
      <w:start w:val="1"/>
      <w:numFmt w:val="decimal"/>
      <w:isLgl/>
      <w:lvlText w:val="%1.%2.%3.%4.%5.%6.%7.%8.%9"/>
      <w:lvlJc w:val="left"/>
      <w:pPr>
        <w:ind w:left="1800" w:hanging="1800"/>
      </w:pPr>
      <w:rPr>
        <w:rFonts w:hint="default"/>
      </w:rPr>
    </w:lvl>
  </w:abstractNum>
  <w:abstractNum w:abstractNumId="23" w15:restartNumberingAfterBreak="0">
    <w:nsid w:val="636C03B0"/>
    <w:multiLevelType w:val="hybridMultilevel"/>
    <w:tmpl w:val="87183FAA"/>
    <w:lvl w:ilvl="0" w:tplc="240A0007">
      <w:start w:val="1"/>
      <w:numFmt w:val="bullet"/>
      <w:lvlText w:val=""/>
      <w:lvlPicBulletId w:val="0"/>
      <w:lvlJc w:val="left"/>
      <w:pPr>
        <w:ind w:left="785" w:hanging="360"/>
      </w:pPr>
      <w:rPr>
        <w:rFonts w:ascii="Symbol" w:hAnsi="Symbol" w:hint="default"/>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24"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5"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6"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7"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28" w15:restartNumberingAfterBreak="0">
    <w:nsid w:val="7C5E69C5"/>
    <w:multiLevelType w:val="hybridMultilevel"/>
    <w:tmpl w:val="D1EA8408"/>
    <w:lvl w:ilvl="0" w:tplc="04090001">
      <w:start w:val="1"/>
      <w:numFmt w:val="bullet"/>
      <w:lvlText w:val=""/>
      <w:lvlJc w:val="left"/>
      <w:pPr>
        <w:ind w:left="1428" w:hanging="360"/>
      </w:pPr>
      <w:rPr>
        <w:rFonts w:ascii="Symbol" w:hAnsi="Symbol" w:hint="default"/>
      </w:rPr>
    </w:lvl>
    <w:lvl w:ilvl="1" w:tplc="04090003" w:tentative="1">
      <w:start w:val="1"/>
      <w:numFmt w:val="bullet"/>
      <w:lvlText w:val="o"/>
      <w:lvlJc w:val="left"/>
      <w:pPr>
        <w:ind w:left="2148" w:hanging="360"/>
      </w:pPr>
      <w:rPr>
        <w:rFonts w:ascii="Courier New" w:hAnsi="Courier New" w:cs="Courier New" w:hint="default"/>
      </w:rPr>
    </w:lvl>
    <w:lvl w:ilvl="2" w:tplc="04090005" w:tentative="1">
      <w:start w:val="1"/>
      <w:numFmt w:val="bullet"/>
      <w:lvlText w:val=""/>
      <w:lvlJc w:val="left"/>
      <w:pPr>
        <w:ind w:left="2868" w:hanging="360"/>
      </w:pPr>
      <w:rPr>
        <w:rFonts w:ascii="Wingdings" w:hAnsi="Wingdings" w:hint="default"/>
      </w:rPr>
    </w:lvl>
    <w:lvl w:ilvl="3" w:tplc="04090001" w:tentative="1">
      <w:start w:val="1"/>
      <w:numFmt w:val="bullet"/>
      <w:lvlText w:val=""/>
      <w:lvlJc w:val="left"/>
      <w:pPr>
        <w:ind w:left="3588" w:hanging="360"/>
      </w:pPr>
      <w:rPr>
        <w:rFonts w:ascii="Symbol" w:hAnsi="Symbol" w:hint="default"/>
      </w:rPr>
    </w:lvl>
    <w:lvl w:ilvl="4" w:tplc="04090003" w:tentative="1">
      <w:start w:val="1"/>
      <w:numFmt w:val="bullet"/>
      <w:lvlText w:val="o"/>
      <w:lvlJc w:val="left"/>
      <w:pPr>
        <w:ind w:left="4308" w:hanging="360"/>
      </w:pPr>
      <w:rPr>
        <w:rFonts w:ascii="Courier New" w:hAnsi="Courier New" w:cs="Courier New" w:hint="default"/>
      </w:rPr>
    </w:lvl>
    <w:lvl w:ilvl="5" w:tplc="04090005" w:tentative="1">
      <w:start w:val="1"/>
      <w:numFmt w:val="bullet"/>
      <w:lvlText w:val=""/>
      <w:lvlJc w:val="left"/>
      <w:pPr>
        <w:ind w:left="5028" w:hanging="360"/>
      </w:pPr>
      <w:rPr>
        <w:rFonts w:ascii="Wingdings" w:hAnsi="Wingdings" w:hint="default"/>
      </w:rPr>
    </w:lvl>
    <w:lvl w:ilvl="6" w:tplc="04090001" w:tentative="1">
      <w:start w:val="1"/>
      <w:numFmt w:val="bullet"/>
      <w:lvlText w:val=""/>
      <w:lvlJc w:val="left"/>
      <w:pPr>
        <w:ind w:left="5748" w:hanging="360"/>
      </w:pPr>
      <w:rPr>
        <w:rFonts w:ascii="Symbol" w:hAnsi="Symbol" w:hint="default"/>
      </w:rPr>
    </w:lvl>
    <w:lvl w:ilvl="7" w:tplc="04090003" w:tentative="1">
      <w:start w:val="1"/>
      <w:numFmt w:val="bullet"/>
      <w:lvlText w:val="o"/>
      <w:lvlJc w:val="left"/>
      <w:pPr>
        <w:ind w:left="6468" w:hanging="360"/>
      </w:pPr>
      <w:rPr>
        <w:rFonts w:ascii="Courier New" w:hAnsi="Courier New" w:cs="Courier New" w:hint="default"/>
      </w:rPr>
    </w:lvl>
    <w:lvl w:ilvl="8" w:tplc="04090005" w:tentative="1">
      <w:start w:val="1"/>
      <w:numFmt w:val="bullet"/>
      <w:lvlText w:val=""/>
      <w:lvlJc w:val="left"/>
      <w:pPr>
        <w:ind w:left="7188" w:hanging="360"/>
      </w:pPr>
      <w:rPr>
        <w:rFonts w:ascii="Wingdings" w:hAnsi="Wingdings" w:hint="default"/>
      </w:rPr>
    </w:lvl>
  </w:abstractNum>
  <w:num w:numId="1">
    <w:abstractNumId w:val="13"/>
  </w:num>
  <w:num w:numId="2">
    <w:abstractNumId w:val="3"/>
  </w:num>
  <w:num w:numId="3">
    <w:abstractNumId w:val="11"/>
  </w:num>
  <w:num w:numId="4">
    <w:abstractNumId w:val="13"/>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3"/>
  </w:num>
  <w:num w:numId="6">
    <w:abstractNumId w:val="26"/>
  </w:num>
  <w:num w:numId="7">
    <w:abstractNumId w:val="12"/>
  </w:num>
  <w:num w:numId="8">
    <w:abstractNumId w:val="25"/>
  </w:num>
  <w:num w:numId="9">
    <w:abstractNumId w:val="14"/>
  </w:num>
  <w:num w:numId="10">
    <w:abstractNumId w:val="24"/>
  </w:num>
  <w:num w:numId="11">
    <w:abstractNumId w:val="15"/>
  </w:num>
  <w:num w:numId="12">
    <w:abstractNumId w:val="1"/>
  </w:num>
  <w:num w:numId="13">
    <w:abstractNumId w:val="8"/>
  </w:num>
  <w:num w:numId="14">
    <w:abstractNumId w:val="27"/>
  </w:num>
  <w:num w:numId="15">
    <w:abstractNumId w:val="23"/>
  </w:num>
  <w:num w:numId="16">
    <w:abstractNumId w:val="0"/>
    <w:lvlOverride w:ilvl="0">
      <w:startOverride w:val="1"/>
    </w:lvlOverride>
    <w:lvlOverride w:ilvl="1">
      <w:startOverride w:val="2"/>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abstractNumId w:val="4"/>
  </w:num>
  <w:num w:numId="18">
    <w:abstractNumId w:val="22"/>
  </w:num>
  <w:num w:numId="19">
    <w:abstractNumId w:val="10"/>
  </w:num>
  <w:num w:numId="20">
    <w:abstractNumId w:val="16"/>
  </w:num>
  <w:num w:numId="21">
    <w:abstractNumId w:val="28"/>
  </w:num>
  <w:num w:numId="22">
    <w:abstractNumId w:val="19"/>
  </w:num>
  <w:num w:numId="23">
    <w:abstractNumId w:val="7"/>
  </w:num>
  <w:num w:numId="24">
    <w:abstractNumId w:val="17"/>
  </w:num>
  <w:num w:numId="25">
    <w:abstractNumId w:val="2"/>
  </w:num>
  <w:num w:numId="26">
    <w:abstractNumId w:val="5"/>
  </w:num>
  <w:num w:numId="27">
    <w:abstractNumId w:val="20"/>
  </w:num>
  <w:num w:numId="28">
    <w:abstractNumId w:val="6"/>
  </w:num>
  <w:num w:numId="29">
    <w:abstractNumId w:val="9"/>
  </w:num>
  <w:num w:numId="30">
    <w:abstractNumId w:val="0"/>
  </w:num>
  <w:num w:numId="31">
    <w:abstractNumId w:val="18"/>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80"/>
  <w:proofState w:spelling="clean" w:grammar="clean"/>
  <w:defaultTabStop w:val="708"/>
  <w:hyphenationZone w:val="425"/>
  <w:characterSpacingControl w:val="doNotCompress"/>
  <w:hdrShapeDefaults>
    <o:shapedefaults v:ext="edit" spidmax="2049"/>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1"/>
  </w:compat>
  <w:rsids>
    <w:rsidRoot w:val="004A1847"/>
    <w:rsid w:val="000039A2"/>
    <w:rsid w:val="000062F3"/>
    <w:rsid w:val="0000797D"/>
    <w:rsid w:val="0001328B"/>
    <w:rsid w:val="00016FFB"/>
    <w:rsid w:val="000224F2"/>
    <w:rsid w:val="00023C3E"/>
    <w:rsid w:val="0002653B"/>
    <w:rsid w:val="00034682"/>
    <w:rsid w:val="00035E21"/>
    <w:rsid w:val="00040B74"/>
    <w:rsid w:val="00042856"/>
    <w:rsid w:val="0004434A"/>
    <w:rsid w:val="0005281E"/>
    <w:rsid w:val="00052A4B"/>
    <w:rsid w:val="00055421"/>
    <w:rsid w:val="00055502"/>
    <w:rsid w:val="0005682C"/>
    <w:rsid w:val="00056D71"/>
    <w:rsid w:val="0005788D"/>
    <w:rsid w:val="00057D91"/>
    <w:rsid w:val="00061B2A"/>
    <w:rsid w:val="00062BAF"/>
    <w:rsid w:val="000630B9"/>
    <w:rsid w:val="000643B2"/>
    <w:rsid w:val="00065E80"/>
    <w:rsid w:val="00066BB4"/>
    <w:rsid w:val="0007022C"/>
    <w:rsid w:val="00071DE6"/>
    <w:rsid w:val="000754B0"/>
    <w:rsid w:val="00077439"/>
    <w:rsid w:val="000774B8"/>
    <w:rsid w:val="00080FE4"/>
    <w:rsid w:val="00082362"/>
    <w:rsid w:val="0008328D"/>
    <w:rsid w:val="00084D78"/>
    <w:rsid w:val="0009387A"/>
    <w:rsid w:val="0009387B"/>
    <w:rsid w:val="000963C6"/>
    <w:rsid w:val="000974AC"/>
    <w:rsid w:val="0009762F"/>
    <w:rsid w:val="000A31B9"/>
    <w:rsid w:val="000A3330"/>
    <w:rsid w:val="000A36D8"/>
    <w:rsid w:val="000A3D63"/>
    <w:rsid w:val="000A683A"/>
    <w:rsid w:val="000A683E"/>
    <w:rsid w:val="000B19B9"/>
    <w:rsid w:val="000B3001"/>
    <w:rsid w:val="000B7DDA"/>
    <w:rsid w:val="000C2889"/>
    <w:rsid w:val="000C3673"/>
    <w:rsid w:val="000C538B"/>
    <w:rsid w:val="000D0152"/>
    <w:rsid w:val="000D0334"/>
    <w:rsid w:val="000D0B4D"/>
    <w:rsid w:val="000D3B29"/>
    <w:rsid w:val="000E06F4"/>
    <w:rsid w:val="000E1AC7"/>
    <w:rsid w:val="000E4CE4"/>
    <w:rsid w:val="000F46C6"/>
    <w:rsid w:val="000F6486"/>
    <w:rsid w:val="000F669F"/>
    <w:rsid w:val="001063B3"/>
    <w:rsid w:val="00107ACA"/>
    <w:rsid w:val="001114A9"/>
    <w:rsid w:val="00111979"/>
    <w:rsid w:val="001154D1"/>
    <w:rsid w:val="00116537"/>
    <w:rsid w:val="00116894"/>
    <w:rsid w:val="00120766"/>
    <w:rsid w:val="00122FA6"/>
    <w:rsid w:val="001240BD"/>
    <w:rsid w:val="00125105"/>
    <w:rsid w:val="001268F7"/>
    <w:rsid w:val="00127233"/>
    <w:rsid w:val="001276D9"/>
    <w:rsid w:val="001372FC"/>
    <w:rsid w:val="0014317D"/>
    <w:rsid w:val="00143E81"/>
    <w:rsid w:val="00143FD9"/>
    <w:rsid w:val="00145047"/>
    <w:rsid w:val="00146C57"/>
    <w:rsid w:val="00150ADA"/>
    <w:rsid w:val="001569A8"/>
    <w:rsid w:val="00162D09"/>
    <w:rsid w:val="0016332F"/>
    <w:rsid w:val="0016642E"/>
    <w:rsid w:val="001717E9"/>
    <w:rsid w:val="0017238A"/>
    <w:rsid w:val="001800BA"/>
    <w:rsid w:val="00180A30"/>
    <w:rsid w:val="00185EE9"/>
    <w:rsid w:val="00187F79"/>
    <w:rsid w:val="00196F32"/>
    <w:rsid w:val="00197274"/>
    <w:rsid w:val="001A0B04"/>
    <w:rsid w:val="001A237A"/>
    <w:rsid w:val="001A26CF"/>
    <w:rsid w:val="001A2919"/>
    <w:rsid w:val="001B2CFE"/>
    <w:rsid w:val="001C0E85"/>
    <w:rsid w:val="001C222E"/>
    <w:rsid w:val="001C22F9"/>
    <w:rsid w:val="001C3AEC"/>
    <w:rsid w:val="001D1C29"/>
    <w:rsid w:val="001D2CCC"/>
    <w:rsid w:val="001E3C06"/>
    <w:rsid w:val="001E4177"/>
    <w:rsid w:val="001F0A0F"/>
    <w:rsid w:val="001F218E"/>
    <w:rsid w:val="001F4EFD"/>
    <w:rsid w:val="001F59AB"/>
    <w:rsid w:val="001F5E13"/>
    <w:rsid w:val="001F6D11"/>
    <w:rsid w:val="001F7DC6"/>
    <w:rsid w:val="00202886"/>
    <w:rsid w:val="00205784"/>
    <w:rsid w:val="00210946"/>
    <w:rsid w:val="00213510"/>
    <w:rsid w:val="0021372A"/>
    <w:rsid w:val="00215CEF"/>
    <w:rsid w:val="00217A08"/>
    <w:rsid w:val="00220B77"/>
    <w:rsid w:val="00221D27"/>
    <w:rsid w:val="00230EF3"/>
    <w:rsid w:val="00237233"/>
    <w:rsid w:val="002421BB"/>
    <w:rsid w:val="00245707"/>
    <w:rsid w:val="00246A81"/>
    <w:rsid w:val="00251A5F"/>
    <w:rsid w:val="00252B30"/>
    <w:rsid w:val="0025796E"/>
    <w:rsid w:val="002603E5"/>
    <w:rsid w:val="002638B2"/>
    <w:rsid w:val="002660F2"/>
    <w:rsid w:val="002664BB"/>
    <w:rsid w:val="002707A2"/>
    <w:rsid w:val="00273620"/>
    <w:rsid w:val="00277150"/>
    <w:rsid w:val="002826F0"/>
    <w:rsid w:val="002835A6"/>
    <w:rsid w:val="002844ED"/>
    <w:rsid w:val="00286FAD"/>
    <w:rsid w:val="0029325F"/>
    <w:rsid w:val="002951A0"/>
    <w:rsid w:val="002962BC"/>
    <w:rsid w:val="002A093D"/>
    <w:rsid w:val="002A0DD0"/>
    <w:rsid w:val="002A1D2F"/>
    <w:rsid w:val="002A49AC"/>
    <w:rsid w:val="002A64FD"/>
    <w:rsid w:val="002A6BBF"/>
    <w:rsid w:val="002B1E57"/>
    <w:rsid w:val="002B1F7F"/>
    <w:rsid w:val="002B290B"/>
    <w:rsid w:val="002B61F2"/>
    <w:rsid w:val="002B7AD9"/>
    <w:rsid w:val="002C110E"/>
    <w:rsid w:val="002C379A"/>
    <w:rsid w:val="002C765E"/>
    <w:rsid w:val="002C7A84"/>
    <w:rsid w:val="002D13A1"/>
    <w:rsid w:val="002D284C"/>
    <w:rsid w:val="002D3F0D"/>
    <w:rsid w:val="002D7677"/>
    <w:rsid w:val="002E1D98"/>
    <w:rsid w:val="002E2C3F"/>
    <w:rsid w:val="002E4FD9"/>
    <w:rsid w:val="002E6F15"/>
    <w:rsid w:val="002F13FD"/>
    <w:rsid w:val="002F53FB"/>
    <w:rsid w:val="00300AD4"/>
    <w:rsid w:val="00303544"/>
    <w:rsid w:val="00303985"/>
    <w:rsid w:val="003039C1"/>
    <w:rsid w:val="0030488C"/>
    <w:rsid w:val="00310DBE"/>
    <w:rsid w:val="00310E5C"/>
    <w:rsid w:val="003119D8"/>
    <w:rsid w:val="0031430F"/>
    <w:rsid w:val="00320BBD"/>
    <w:rsid w:val="003226F7"/>
    <w:rsid w:val="00322A85"/>
    <w:rsid w:val="00324168"/>
    <w:rsid w:val="00325755"/>
    <w:rsid w:val="0033032A"/>
    <w:rsid w:val="00330C97"/>
    <w:rsid w:val="0033192A"/>
    <w:rsid w:val="00333EDB"/>
    <w:rsid w:val="00334C6A"/>
    <w:rsid w:val="00336C05"/>
    <w:rsid w:val="003409C8"/>
    <w:rsid w:val="00342675"/>
    <w:rsid w:val="00343512"/>
    <w:rsid w:val="003448F4"/>
    <w:rsid w:val="00345330"/>
    <w:rsid w:val="00350480"/>
    <w:rsid w:val="00351223"/>
    <w:rsid w:val="003522B9"/>
    <w:rsid w:val="0035242B"/>
    <w:rsid w:val="003528DF"/>
    <w:rsid w:val="00352C12"/>
    <w:rsid w:val="00354BCA"/>
    <w:rsid w:val="00354FEA"/>
    <w:rsid w:val="00362DEE"/>
    <w:rsid w:val="0036594E"/>
    <w:rsid w:val="003665EE"/>
    <w:rsid w:val="0037010E"/>
    <w:rsid w:val="003734F4"/>
    <w:rsid w:val="00374F5E"/>
    <w:rsid w:val="0037527B"/>
    <w:rsid w:val="00377E3E"/>
    <w:rsid w:val="003815B3"/>
    <w:rsid w:val="003815E8"/>
    <w:rsid w:val="00386D13"/>
    <w:rsid w:val="00391392"/>
    <w:rsid w:val="00392A49"/>
    <w:rsid w:val="00393812"/>
    <w:rsid w:val="003A26D1"/>
    <w:rsid w:val="003A3B30"/>
    <w:rsid w:val="003A40E2"/>
    <w:rsid w:val="003A477B"/>
    <w:rsid w:val="003A779E"/>
    <w:rsid w:val="003B005A"/>
    <w:rsid w:val="003B0636"/>
    <w:rsid w:val="003B6385"/>
    <w:rsid w:val="003B78C4"/>
    <w:rsid w:val="003C3FA5"/>
    <w:rsid w:val="003D0F4D"/>
    <w:rsid w:val="003D1B5E"/>
    <w:rsid w:val="003D5B0D"/>
    <w:rsid w:val="003E0499"/>
    <w:rsid w:val="003E40F2"/>
    <w:rsid w:val="003E7EAA"/>
    <w:rsid w:val="003F2A9C"/>
    <w:rsid w:val="003F3941"/>
    <w:rsid w:val="00400676"/>
    <w:rsid w:val="004008A9"/>
    <w:rsid w:val="0040480E"/>
    <w:rsid w:val="00404C4F"/>
    <w:rsid w:val="00406575"/>
    <w:rsid w:val="004069AB"/>
    <w:rsid w:val="00410906"/>
    <w:rsid w:val="00413C3D"/>
    <w:rsid w:val="0041655A"/>
    <w:rsid w:val="004252BF"/>
    <w:rsid w:val="00426FD7"/>
    <w:rsid w:val="0042722E"/>
    <w:rsid w:val="00427DA0"/>
    <w:rsid w:val="00440391"/>
    <w:rsid w:val="004405A4"/>
    <w:rsid w:val="004426AD"/>
    <w:rsid w:val="00442C7F"/>
    <w:rsid w:val="0044528D"/>
    <w:rsid w:val="0044798F"/>
    <w:rsid w:val="00447D82"/>
    <w:rsid w:val="00450920"/>
    <w:rsid w:val="004530EA"/>
    <w:rsid w:val="00454D48"/>
    <w:rsid w:val="004554F9"/>
    <w:rsid w:val="00457B75"/>
    <w:rsid w:val="0046004D"/>
    <w:rsid w:val="00461A6A"/>
    <w:rsid w:val="004633DE"/>
    <w:rsid w:val="00465E71"/>
    <w:rsid w:val="00466040"/>
    <w:rsid w:val="00471654"/>
    <w:rsid w:val="004734BD"/>
    <w:rsid w:val="00475854"/>
    <w:rsid w:val="00480BAF"/>
    <w:rsid w:val="00482608"/>
    <w:rsid w:val="00483749"/>
    <w:rsid w:val="00484809"/>
    <w:rsid w:val="00484BB1"/>
    <w:rsid w:val="00493A76"/>
    <w:rsid w:val="00495BC7"/>
    <w:rsid w:val="004A0980"/>
    <w:rsid w:val="004A0B8B"/>
    <w:rsid w:val="004A1847"/>
    <w:rsid w:val="004A305D"/>
    <w:rsid w:val="004A3312"/>
    <w:rsid w:val="004A66E3"/>
    <w:rsid w:val="004B01B2"/>
    <w:rsid w:val="004B3755"/>
    <w:rsid w:val="004B740F"/>
    <w:rsid w:val="004C2796"/>
    <w:rsid w:val="004C28C6"/>
    <w:rsid w:val="004C2E9A"/>
    <w:rsid w:val="004C4B37"/>
    <w:rsid w:val="004D026D"/>
    <w:rsid w:val="004D23A7"/>
    <w:rsid w:val="004E221E"/>
    <w:rsid w:val="004E2892"/>
    <w:rsid w:val="004E4C0B"/>
    <w:rsid w:val="004E505B"/>
    <w:rsid w:val="004E7CE7"/>
    <w:rsid w:val="004F01CB"/>
    <w:rsid w:val="004F21C4"/>
    <w:rsid w:val="004F3012"/>
    <w:rsid w:val="004F3B9E"/>
    <w:rsid w:val="004F5559"/>
    <w:rsid w:val="004F685F"/>
    <w:rsid w:val="004F7EC9"/>
    <w:rsid w:val="00504CBE"/>
    <w:rsid w:val="00505795"/>
    <w:rsid w:val="00514598"/>
    <w:rsid w:val="005163B5"/>
    <w:rsid w:val="0052543A"/>
    <w:rsid w:val="00525FDB"/>
    <w:rsid w:val="0052785C"/>
    <w:rsid w:val="00533E1B"/>
    <w:rsid w:val="00540A3E"/>
    <w:rsid w:val="00540C2D"/>
    <w:rsid w:val="0054335F"/>
    <w:rsid w:val="0054709C"/>
    <w:rsid w:val="00552502"/>
    <w:rsid w:val="00554BD4"/>
    <w:rsid w:val="00556143"/>
    <w:rsid w:val="005566E8"/>
    <w:rsid w:val="00560CB5"/>
    <w:rsid w:val="00564F8B"/>
    <w:rsid w:val="005655EF"/>
    <w:rsid w:val="0057193B"/>
    <w:rsid w:val="00574122"/>
    <w:rsid w:val="00574867"/>
    <w:rsid w:val="00577D09"/>
    <w:rsid w:val="0058087F"/>
    <w:rsid w:val="00591460"/>
    <w:rsid w:val="00592628"/>
    <w:rsid w:val="00597C75"/>
    <w:rsid w:val="005A0868"/>
    <w:rsid w:val="005A0CFB"/>
    <w:rsid w:val="005A111B"/>
    <w:rsid w:val="005A282F"/>
    <w:rsid w:val="005A2AC9"/>
    <w:rsid w:val="005A6C21"/>
    <w:rsid w:val="005B2CCE"/>
    <w:rsid w:val="005B58C1"/>
    <w:rsid w:val="005B6033"/>
    <w:rsid w:val="005C3777"/>
    <w:rsid w:val="005C5CDC"/>
    <w:rsid w:val="005C70EF"/>
    <w:rsid w:val="005D17C8"/>
    <w:rsid w:val="005D2B2B"/>
    <w:rsid w:val="005D3C67"/>
    <w:rsid w:val="005D476C"/>
    <w:rsid w:val="005D5F91"/>
    <w:rsid w:val="005D7B25"/>
    <w:rsid w:val="005E6B74"/>
    <w:rsid w:val="005F3CE0"/>
    <w:rsid w:val="005F7C43"/>
    <w:rsid w:val="00601DFC"/>
    <w:rsid w:val="00605A00"/>
    <w:rsid w:val="00610812"/>
    <w:rsid w:val="00612CE7"/>
    <w:rsid w:val="00615F46"/>
    <w:rsid w:val="0062005D"/>
    <w:rsid w:val="006219F8"/>
    <w:rsid w:val="00623BBA"/>
    <w:rsid w:val="0063165E"/>
    <w:rsid w:val="00632C08"/>
    <w:rsid w:val="0064722F"/>
    <w:rsid w:val="00650FF7"/>
    <w:rsid w:val="00656421"/>
    <w:rsid w:val="00660153"/>
    <w:rsid w:val="00660F6A"/>
    <w:rsid w:val="00663B19"/>
    <w:rsid w:val="00665032"/>
    <w:rsid w:val="00665D70"/>
    <w:rsid w:val="00671DAC"/>
    <w:rsid w:val="006747C7"/>
    <w:rsid w:val="006827AC"/>
    <w:rsid w:val="00682C93"/>
    <w:rsid w:val="006859A3"/>
    <w:rsid w:val="006900D9"/>
    <w:rsid w:val="006920AE"/>
    <w:rsid w:val="00697B17"/>
    <w:rsid w:val="006A0008"/>
    <w:rsid w:val="006A10DF"/>
    <w:rsid w:val="006A3147"/>
    <w:rsid w:val="006B14B5"/>
    <w:rsid w:val="006B25DE"/>
    <w:rsid w:val="006B4CA3"/>
    <w:rsid w:val="006C0240"/>
    <w:rsid w:val="006C238E"/>
    <w:rsid w:val="006C5595"/>
    <w:rsid w:val="006D12F8"/>
    <w:rsid w:val="006D4E33"/>
    <w:rsid w:val="006E41C6"/>
    <w:rsid w:val="006F0D40"/>
    <w:rsid w:val="006F2501"/>
    <w:rsid w:val="00700975"/>
    <w:rsid w:val="00704D9B"/>
    <w:rsid w:val="00705E5F"/>
    <w:rsid w:val="00706C16"/>
    <w:rsid w:val="00711C85"/>
    <w:rsid w:val="00713695"/>
    <w:rsid w:val="0071458F"/>
    <w:rsid w:val="00715BB9"/>
    <w:rsid w:val="0071627C"/>
    <w:rsid w:val="007215D5"/>
    <w:rsid w:val="00723A7F"/>
    <w:rsid w:val="00723F2B"/>
    <w:rsid w:val="007312C3"/>
    <w:rsid w:val="00737C53"/>
    <w:rsid w:val="00737DFA"/>
    <w:rsid w:val="00737DFD"/>
    <w:rsid w:val="007534CA"/>
    <w:rsid w:val="00756841"/>
    <w:rsid w:val="0076066F"/>
    <w:rsid w:val="00762AA9"/>
    <w:rsid w:val="007649AB"/>
    <w:rsid w:val="007670E3"/>
    <w:rsid w:val="00771D0C"/>
    <w:rsid w:val="00771FD2"/>
    <w:rsid w:val="0078274D"/>
    <w:rsid w:val="00783102"/>
    <w:rsid w:val="007833AC"/>
    <w:rsid w:val="00784D58"/>
    <w:rsid w:val="00786FBF"/>
    <w:rsid w:val="00790AB7"/>
    <w:rsid w:val="0079105E"/>
    <w:rsid w:val="007913EA"/>
    <w:rsid w:val="00791769"/>
    <w:rsid w:val="00796340"/>
    <w:rsid w:val="007A23EA"/>
    <w:rsid w:val="007A5189"/>
    <w:rsid w:val="007B0D88"/>
    <w:rsid w:val="007B268C"/>
    <w:rsid w:val="007B7171"/>
    <w:rsid w:val="007B7D02"/>
    <w:rsid w:val="007C0C0F"/>
    <w:rsid w:val="007C2E67"/>
    <w:rsid w:val="007C3DC2"/>
    <w:rsid w:val="007C4E2B"/>
    <w:rsid w:val="007D0457"/>
    <w:rsid w:val="007D124A"/>
    <w:rsid w:val="007D43C9"/>
    <w:rsid w:val="007D7CFD"/>
    <w:rsid w:val="007E5497"/>
    <w:rsid w:val="007F28CA"/>
    <w:rsid w:val="007F52A4"/>
    <w:rsid w:val="007F60FB"/>
    <w:rsid w:val="007F7B94"/>
    <w:rsid w:val="00800789"/>
    <w:rsid w:val="00800B7D"/>
    <w:rsid w:val="00804981"/>
    <w:rsid w:val="00806F5F"/>
    <w:rsid w:val="00811270"/>
    <w:rsid w:val="00811E4F"/>
    <w:rsid w:val="008163D7"/>
    <w:rsid w:val="00820278"/>
    <w:rsid w:val="00834554"/>
    <w:rsid w:val="00834B31"/>
    <w:rsid w:val="00840ADC"/>
    <w:rsid w:val="00841A23"/>
    <w:rsid w:val="00843902"/>
    <w:rsid w:val="00843928"/>
    <w:rsid w:val="00843BF7"/>
    <w:rsid w:val="008449B3"/>
    <w:rsid w:val="00846276"/>
    <w:rsid w:val="00850E23"/>
    <w:rsid w:val="00851137"/>
    <w:rsid w:val="00853978"/>
    <w:rsid w:val="0085432F"/>
    <w:rsid w:val="00855525"/>
    <w:rsid w:val="00856C43"/>
    <w:rsid w:val="00864209"/>
    <w:rsid w:val="0087325B"/>
    <w:rsid w:val="00877EBA"/>
    <w:rsid w:val="0088002A"/>
    <w:rsid w:val="00881ABA"/>
    <w:rsid w:val="008841E9"/>
    <w:rsid w:val="008843B6"/>
    <w:rsid w:val="00884F68"/>
    <w:rsid w:val="008853C1"/>
    <w:rsid w:val="00886C02"/>
    <w:rsid w:val="00886C89"/>
    <w:rsid w:val="00887569"/>
    <w:rsid w:val="00891928"/>
    <w:rsid w:val="00894384"/>
    <w:rsid w:val="00894B8B"/>
    <w:rsid w:val="008961BA"/>
    <w:rsid w:val="008A00A4"/>
    <w:rsid w:val="008A0221"/>
    <w:rsid w:val="008A446D"/>
    <w:rsid w:val="008A7A64"/>
    <w:rsid w:val="008A7F08"/>
    <w:rsid w:val="008B2F0E"/>
    <w:rsid w:val="008B5A2E"/>
    <w:rsid w:val="008D01B8"/>
    <w:rsid w:val="008D180B"/>
    <w:rsid w:val="008D1BDB"/>
    <w:rsid w:val="008D6CDA"/>
    <w:rsid w:val="008D7227"/>
    <w:rsid w:val="008E1F92"/>
    <w:rsid w:val="008E7333"/>
    <w:rsid w:val="008E7B09"/>
    <w:rsid w:val="008E7CDC"/>
    <w:rsid w:val="008F0EA7"/>
    <w:rsid w:val="008F1CA9"/>
    <w:rsid w:val="008F7BB9"/>
    <w:rsid w:val="00904692"/>
    <w:rsid w:val="00910097"/>
    <w:rsid w:val="00911C7C"/>
    <w:rsid w:val="0091561E"/>
    <w:rsid w:val="00920849"/>
    <w:rsid w:val="00922F57"/>
    <w:rsid w:val="00923EEF"/>
    <w:rsid w:val="009325CC"/>
    <w:rsid w:val="0093558D"/>
    <w:rsid w:val="009411F5"/>
    <w:rsid w:val="009419F9"/>
    <w:rsid w:val="00945B9F"/>
    <w:rsid w:val="00950BE2"/>
    <w:rsid w:val="00953AA4"/>
    <w:rsid w:val="00955305"/>
    <w:rsid w:val="0095685E"/>
    <w:rsid w:val="009572D9"/>
    <w:rsid w:val="009600D2"/>
    <w:rsid w:val="00961409"/>
    <w:rsid w:val="00961B09"/>
    <w:rsid w:val="00962300"/>
    <w:rsid w:val="00965334"/>
    <w:rsid w:val="0097093E"/>
    <w:rsid w:val="00972162"/>
    <w:rsid w:val="009725F1"/>
    <w:rsid w:val="00976025"/>
    <w:rsid w:val="00976F04"/>
    <w:rsid w:val="009800BE"/>
    <w:rsid w:val="00982D5D"/>
    <w:rsid w:val="00982E41"/>
    <w:rsid w:val="00983B79"/>
    <w:rsid w:val="00983EEA"/>
    <w:rsid w:val="009844CF"/>
    <w:rsid w:val="00984649"/>
    <w:rsid w:val="009858BE"/>
    <w:rsid w:val="00993688"/>
    <w:rsid w:val="009A0DFA"/>
    <w:rsid w:val="009A3C2C"/>
    <w:rsid w:val="009A4A40"/>
    <w:rsid w:val="009A53D3"/>
    <w:rsid w:val="009A6353"/>
    <w:rsid w:val="009B2D26"/>
    <w:rsid w:val="009B3595"/>
    <w:rsid w:val="009B5228"/>
    <w:rsid w:val="009B6C8C"/>
    <w:rsid w:val="009B77A5"/>
    <w:rsid w:val="009B780F"/>
    <w:rsid w:val="009B7C63"/>
    <w:rsid w:val="009C2DD0"/>
    <w:rsid w:val="009C3AC7"/>
    <w:rsid w:val="009C6159"/>
    <w:rsid w:val="009C71FA"/>
    <w:rsid w:val="009C72E7"/>
    <w:rsid w:val="009D0555"/>
    <w:rsid w:val="009D1086"/>
    <w:rsid w:val="009D3058"/>
    <w:rsid w:val="009D3A11"/>
    <w:rsid w:val="009D44C4"/>
    <w:rsid w:val="009D6427"/>
    <w:rsid w:val="009D67FD"/>
    <w:rsid w:val="009E4636"/>
    <w:rsid w:val="009E5A30"/>
    <w:rsid w:val="009E7C05"/>
    <w:rsid w:val="009F3831"/>
    <w:rsid w:val="009F3832"/>
    <w:rsid w:val="009F3A13"/>
    <w:rsid w:val="009F4AB2"/>
    <w:rsid w:val="009F73F7"/>
    <w:rsid w:val="00A02465"/>
    <w:rsid w:val="00A03415"/>
    <w:rsid w:val="00A04A81"/>
    <w:rsid w:val="00A122D3"/>
    <w:rsid w:val="00A14D3D"/>
    <w:rsid w:val="00A17597"/>
    <w:rsid w:val="00A17C8D"/>
    <w:rsid w:val="00A17F13"/>
    <w:rsid w:val="00A20739"/>
    <w:rsid w:val="00A211D0"/>
    <w:rsid w:val="00A23361"/>
    <w:rsid w:val="00A24433"/>
    <w:rsid w:val="00A2443A"/>
    <w:rsid w:val="00A25580"/>
    <w:rsid w:val="00A332DD"/>
    <w:rsid w:val="00A339A9"/>
    <w:rsid w:val="00A33C78"/>
    <w:rsid w:val="00A34B38"/>
    <w:rsid w:val="00A34D87"/>
    <w:rsid w:val="00A35538"/>
    <w:rsid w:val="00A3685A"/>
    <w:rsid w:val="00A3783B"/>
    <w:rsid w:val="00A37BC4"/>
    <w:rsid w:val="00A42050"/>
    <w:rsid w:val="00A43292"/>
    <w:rsid w:val="00A445C0"/>
    <w:rsid w:val="00A52D82"/>
    <w:rsid w:val="00A56959"/>
    <w:rsid w:val="00A56FCA"/>
    <w:rsid w:val="00A6004A"/>
    <w:rsid w:val="00A613C2"/>
    <w:rsid w:val="00A7332E"/>
    <w:rsid w:val="00A745FA"/>
    <w:rsid w:val="00A74DE6"/>
    <w:rsid w:val="00A75866"/>
    <w:rsid w:val="00A8086A"/>
    <w:rsid w:val="00A80F32"/>
    <w:rsid w:val="00A828F1"/>
    <w:rsid w:val="00A830AD"/>
    <w:rsid w:val="00A87F7D"/>
    <w:rsid w:val="00A9244C"/>
    <w:rsid w:val="00A94D14"/>
    <w:rsid w:val="00A95106"/>
    <w:rsid w:val="00A95A1A"/>
    <w:rsid w:val="00AA1328"/>
    <w:rsid w:val="00AA23BB"/>
    <w:rsid w:val="00AB08D6"/>
    <w:rsid w:val="00AB0ADB"/>
    <w:rsid w:val="00AB3FD1"/>
    <w:rsid w:val="00AB51C6"/>
    <w:rsid w:val="00AC0DF9"/>
    <w:rsid w:val="00AC0EAB"/>
    <w:rsid w:val="00AC4701"/>
    <w:rsid w:val="00AC49A2"/>
    <w:rsid w:val="00AD73E2"/>
    <w:rsid w:val="00AE2631"/>
    <w:rsid w:val="00AE3D6C"/>
    <w:rsid w:val="00AF1BEC"/>
    <w:rsid w:val="00AF54CA"/>
    <w:rsid w:val="00B009B8"/>
    <w:rsid w:val="00B01B1A"/>
    <w:rsid w:val="00B0268A"/>
    <w:rsid w:val="00B0410F"/>
    <w:rsid w:val="00B07DDD"/>
    <w:rsid w:val="00B14E03"/>
    <w:rsid w:val="00B26B98"/>
    <w:rsid w:val="00B35201"/>
    <w:rsid w:val="00B35ADC"/>
    <w:rsid w:val="00B37C24"/>
    <w:rsid w:val="00B40FBC"/>
    <w:rsid w:val="00B427E2"/>
    <w:rsid w:val="00B46F27"/>
    <w:rsid w:val="00B47728"/>
    <w:rsid w:val="00B47FD7"/>
    <w:rsid w:val="00B51F75"/>
    <w:rsid w:val="00B52169"/>
    <w:rsid w:val="00B53E27"/>
    <w:rsid w:val="00B558AF"/>
    <w:rsid w:val="00B615BA"/>
    <w:rsid w:val="00B62D8B"/>
    <w:rsid w:val="00B72CD3"/>
    <w:rsid w:val="00B72FFF"/>
    <w:rsid w:val="00B74FAE"/>
    <w:rsid w:val="00B76CEB"/>
    <w:rsid w:val="00B80CC6"/>
    <w:rsid w:val="00B8257D"/>
    <w:rsid w:val="00B82B8B"/>
    <w:rsid w:val="00B86FE2"/>
    <w:rsid w:val="00B91186"/>
    <w:rsid w:val="00B93423"/>
    <w:rsid w:val="00B93E58"/>
    <w:rsid w:val="00B948E8"/>
    <w:rsid w:val="00BA0A22"/>
    <w:rsid w:val="00BA2EF4"/>
    <w:rsid w:val="00BA6BE0"/>
    <w:rsid w:val="00BB22DA"/>
    <w:rsid w:val="00BB2C9D"/>
    <w:rsid w:val="00BC0036"/>
    <w:rsid w:val="00BC05A6"/>
    <w:rsid w:val="00BC3D36"/>
    <w:rsid w:val="00BC4B34"/>
    <w:rsid w:val="00BC7498"/>
    <w:rsid w:val="00BD424C"/>
    <w:rsid w:val="00BD4BCA"/>
    <w:rsid w:val="00BD7F72"/>
    <w:rsid w:val="00BE03BC"/>
    <w:rsid w:val="00BE0A18"/>
    <w:rsid w:val="00BE27D3"/>
    <w:rsid w:val="00BF0D99"/>
    <w:rsid w:val="00BF1201"/>
    <w:rsid w:val="00BF1D4A"/>
    <w:rsid w:val="00BF230F"/>
    <w:rsid w:val="00C002E3"/>
    <w:rsid w:val="00C012CC"/>
    <w:rsid w:val="00C04FB3"/>
    <w:rsid w:val="00C06C4F"/>
    <w:rsid w:val="00C106DF"/>
    <w:rsid w:val="00C147D0"/>
    <w:rsid w:val="00C159C1"/>
    <w:rsid w:val="00C16346"/>
    <w:rsid w:val="00C21B15"/>
    <w:rsid w:val="00C21B8C"/>
    <w:rsid w:val="00C32523"/>
    <w:rsid w:val="00C3281B"/>
    <w:rsid w:val="00C330EB"/>
    <w:rsid w:val="00C34712"/>
    <w:rsid w:val="00C371C9"/>
    <w:rsid w:val="00C40E9F"/>
    <w:rsid w:val="00C41481"/>
    <w:rsid w:val="00C42469"/>
    <w:rsid w:val="00C46D91"/>
    <w:rsid w:val="00C47A07"/>
    <w:rsid w:val="00C47B74"/>
    <w:rsid w:val="00C50855"/>
    <w:rsid w:val="00C51623"/>
    <w:rsid w:val="00C57281"/>
    <w:rsid w:val="00C57E63"/>
    <w:rsid w:val="00C64813"/>
    <w:rsid w:val="00C65D65"/>
    <w:rsid w:val="00C66D80"/>
    <w:rsid w:val="00C67703"/>
    <w:rsid w:val="00C7173F"/>
    <w:rsid w:val="00C730B6"/>
    <w:rsid w:val="00C7352F"/>
    <w:rsid w:val="00C7482D"/>
    <w:rsid w:val="00C754BE"/>
    <w:rsid w:val="00C76466"/>
    <w:rsid w:val="00C76B1C"/>
    <w:rsid w:val="00C82239"/>
    <w:rsid w:val="00C90209"/>
    <w:rsid w:val="00C915DD"/>
    <w:rsid w:val="00C91B94"/>
    <w:rsid w:val="00C92665"/>
    <w:rsid w:val="00CA3FE3"/>
    <w:rsid w:val="00CA4272"/>
    <w:rsid w:val="00CA6A9D"/>
    <w:rsid w:val="00CA7F6B"/>
    <w:rsid w:val="00CB6357"/>
    <w:rsid w:val="00CC0106"/>
    <w:rsid w:val="00CC0FA3"/>
    <w:rsid w:val="00CC1B26"/>
    <w:rsid w:val="00CC49F7"/>
    <w:rsid w:val="00CC54DB"/>
    <w:rsid w:val="00CC7787"/>
    <w:rsid w:val="00CD087D"/>
    <w:rsid w:val="00CD41CB"/>
    <w:rsid w:val="00CD5EE0"/>
    <w:rsid w:val="00CE02A2"/>
    <w:rsid w:val="00CE031F"/>
    <w:rsid w:val="00CE3273"/>
    <w:rsid w:val="00CE509A"/>
    <w:rsid w:val="00CE5414"/>
    <w:rsid w:val="00CF241F"/>
    <w:rsid w:val="00CF2D08"/>
    <w:rsid w:val="00CF7826"/>
    <w:rsid w:val="00D0157A"/>
    <w:rsid w:val="00D02088"/>
    <w:rsid w:val="00D036D8"/>
    <w:rsid w:val="00D038ED"/>
    <w:rsid w:val="00D06D26"/>
    <w:rsid w:val="00D10B75"/>
    <w:rsid w:val="00D13351"/>
    <w:rsid w:val="00D15E25"/>
    <w:rsid w:val="00D20368"/>
    <w:rsid w:val="00D22361"/>
    <w:rsid w:val="00D22598"/>
    <w:rsid w:val="00D26924"/>
    <w:rsid w:val="00D35468"/>
    <w:rsid w:val="00D413F6"/>
    <w:rsid w:val="00D4231B"/>
    <w:rsid w:val="00D423A2"/>
    <w:rsid w:val="00D45E4A"/>
    <w:rsid w:val="00D520D8"/>
    <w:rsid w:val="00D52961"/>
    <w:rsid w:val="00D55048"/>
    <w:rsid w:val="00D56C6D"/>
    <w:rsid w:val="00D57FA4"/>
    <w:rsid w:val="00D62DE7"/>
    <w:rsid w:val="00D63AC2"/>
    <w:rsid w:val="00D665B4"/>
    <w:rsid w:val="00D7080D"/>
    <w:rsid w:val="00D7383B"/>
    <w:rsid w:val="00D7609E"/>
    <w:rsid w:val="00D80722"/>
    <w:rsid w:val="00D81A63"/>
    <w:rsid w:val="00D81D25"/>
    <w:rsid w:val="00D85C60"/>
    <w:rsid w:val="00D86C54"/>
    <w:rsid w:val="00D91F8B"/>
    <w:rsid w:val="00D94C40"/>
    <w:rsid w:val="00D961D5"/>
    <w:rsid w:val="00DA231B"/>
    <w:rsid w:val="00DA23A0"/>
    <w:rsid w:val="00DA7D04"/>
    <w:rsid w:val="00DA7F66"/>
    <w:rsid w:val="00DB186F"/>
    <w:rsid w:val="00DB77B8"/>
    <w:rsid w:val="00DB7C49"/>
    <w:rsid w:val="00DC39FC"/>
    <w:rsid w:val="00DC4385"/>
    <w:rsid w:val="00DC484F"/>
    <w:rsid w:val="00DC4C27"/>
    <w:rsid w:val="00DC51BC"/>
    <w:rsid w:val="00DC6452"/>
    <w:rsid w:val="00DC78A7"/>
    <w:rsid w:val="00DC793F"/>
    <w:rsid w:val="00DE3BDD"/>
    <w:rsid w:val="00DE4629"/>
    <w:rsid w:val="00DE58C9"/>
    <w:rsid w:val="00DE6EAA"/>
    <w:rsid w:val="00DE7C00"/>
    <w:rsid w:val="00DF11FD"/>
    <w:rsid w:val="00DF5254"/>
    <w:rsid w:val="00E052F2"/>
    <w:rsid w:val="00E12426"/>
    <w:rsid w:val="00E14EB2"/>
    <w:rsid w:val="00E16408"/>
    <w:rsid w:val="00E20894"/>
    <w:rsid w:val="00E2397D"/>
    <w:rsid w:val="00E23B70"/>
    <w:rsid w:val="00E245AB"/>
    <w:rsid w:val="00E26239"/>
    <w:rsid w:val="00E2764C"/>
    <w:rsid w:val="00E27F2E"/>
    <w:rsid w:val="00E35539"/>
    <w:rsid w:val="00E413EA"/>
    <w:rsid w:val="00E41D93"/>
    <w:rsid w:val="00E41F23"/>
    <w:rsid w:val="00E4556D"/>
    <w:rsid w:val="00E47F28"/>
    <w:rsid w:val="00E50AFE"/>
    <w:rsid w:val="00E52E49"/>
    <w:rsid w:val="00E577AC"/>
    <w:rsid w:val="00E578B6"/>
    <w:rsid w:val="00E6117F"/>
    <w:rsid w:val="00E61547"/>
    <w:rsid w:val="00E61702"/>
    <w:rsid w:val="00E75B66"/>
    <w:rsid w:val="00E75C92"/>
    <w:rsid w:val="00E761BC"/>
    <w:rsid w:val="00E76808"/>
    <w:rsid w:val="00E770CD"/>
    <w:rsid w:val="00E771DC"/>
    <w:rsid w:val="00E77478"/>
    <w:rsid w:val="00E77E1B"/>
    <w:rsid w:val="00E8013F"/>
    <w:rsid w:val="00E847D2"/>
    <w:rsid w:val="00E85AA8"/>
    <w:rsid w:val="00E870E5"/>
    <w:rsid w:val="00E8772A"/>
    <w:rsid w:val="00E90F6B"/>
    <w:rsid w:val="00E91079"/>
    <w:rsid w:val="00E92C27"/>
    <w:rsid w:val="00E92E10"/>
    <w:rsid w:val="00EA0E3D"/>
    <w:rsid w:val="00EA14C6"/>
    <w:rsid w:val="00EA1CD8"/>
    <w:rsid w:val="00EA29F8"/>
    <w:rsid w:val="00EA393B"/>
    <w:rsid w:val="00EA39A5"/>
    <w:rsid w:val="00EA65CD"/>
    <w:rsid w:val="00EB2C4B"/>
    <w:rsid w:val="00EB3BB3"/>
    <w:rsid w:val="00EB5D9B"/>
    <w:rsid w:val="00EB7319"/>
    <w:rsid w:val="00EB7E00"/>
    <w:rsid w:val="00EC1A2C"/>
    <w:rsid w:val="00EC1FE1"/>
    <w:rsid w:val="00EC214E"/>
    <w:rsid w:val="00EC38A7"/>
    <w:rsid w:val="00ED042A"/>
    <w:rsid w:val="00ED0D4A"/>
    <w:rsid w:val="00EE1AA8"/>
    <w:rsid w:val="00EE6DCD"/>
    <w:rsid w:val="00EF26C3"/>
    <w:rsid w:val="00EF419E"/>
    <w:rsid w:val="00EF489F"/>
    <w:rsid w:val="00F00796"/>
    <w:rsid w:val="00F11213"/>
    <w:rsid w:val="00F11BAA"/>
    <w:rsid w:val="00F177C1"/>
    <w:rsid w:val="00F17EB6"/>
    <w:rsid w:val="00F238F2"/>
    <w:rsid w:val="00F248A2"/>
    <w:rsid w:val="00F260AA"/>
    <w:rsid w:val="00F27B26"/>
    <w:rsid w:val="00F30B1C"/>
    <w:rsid w:val="00F31EDC"/>
    <w:rsid w:val="00F34D02"/>
    <w:rsid w:val="00F34E84"/>
    <w:rsid w:val="00F37ED5"/>
    <w:rsid w:val="00F40890"/>
    <w:rsid w:val="00F40BAD"/>
    <w:rsid w:val="00F462B3"/>
    <w:rsid w:val="00F50DC9"/>
    <w:rsid w:val="00F5184B"/>
    <w:rsid w:val="00F5491E"/>
    <w:rsid w:val="00F55081"/>
    <w:rsid w:val="00F55168"/>
    <w:rsid w:val="00F5664F"/>
    <w:rsid w:val="00F61ABB"/>
    <w:rsid w:val="00F626C4"/>
    <w:rsid w:val="00F64D9E"/>
    <w:rsid w:val="00F64FF9"/>
    <w:rsid w:val="00F664EC"/>
    <w:rsid w:val="00F666C4"/>
    <w:rsid w:val="00F7684C"/>
    <w:rsid w:val="00F76AFC"/>
    <w:rsid w:val="00F77655"/>
    <w:rsid w:val="00F80CBE"/>
    <w:rsid w:val="00F85198"/>
    <w:rsid w:val="00F85237"/>
    <w:rsid w:val="00F90C89"/>
    <w:rsid w:val="00F939CB"/>
    <w:rsid w:val="00F9479C"/>
    <w:rsid w:val="00F95083"/>
    <w:rsid w:val="00F965EE"/>
    <w:rsid w:val="00F97949"/>
    <w:rsid w:val="00FA1110"/>
    <w:rsid w:val="00FA1361"/>
    <w:rsid w:val="00FA34EC"/>
    <w:rsid w:val="00FA358D"/>
    <w:rsid w:val="00FA47C0"/>
    <w:rsid w:val="00FA5F1F"/>
    <w:rsid w:val="00FB4425"/>
    <w:rsid w:val="00FB5615"/>
    <w:rsid w:val="00FB5DD1"/>
    <w:rsid w:val="00FB5F87"/>
    <w:rsid w:val="00FC07B5"/>
    <w:rsid w:val="00FC2B5D"/>
    <w:rsid w:val="00FD00BB"/>
    <w:rsid w:val="00FD00E9"/>
    <w:rsid w:val="00FD03E3"/>
    <w:rsid w:val="00FD108E"/>
    <w:rsid w:val="00FD653F"/>
    <w:rsid w:val="00FE122A"/>
    <w:rsid w:val="00FE20E6"/>
    <w:rsid w:val="00FE3927"/>
    <w:rsid w:val="00FF1187"/>
    <w:rsid w:val="00FF1449"/>
    <w:rsid w:val="00FF6BC9"/>
    <w:rsid w:val="00FF74EA"/>
    <w:rsid w:val="0FB71FC4"/>
    <w:rsid w:val="2832C13D"/>
    <w:rsid w:val="5CEADB7B"/>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1" w:unhideWhenUsed="1" w:qFormat="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2" w:semiHidden="1" w:unhideWhenUsed="1"/>
    <w:lsdException w:name="Table Web 1"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79105E"/>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iPriority w:val="99"/>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customStyle="1" w:styleId="Mencinsinresolver1">
    <w:name w:val="Mención sin resolver1"/>
    <w:basedOn w:val="Fuentedeprrafopredeter"/>
    <w:uiPriority w:val="99"/>
    <w:semiHidden/>
    <w:unhideWhenUsed/>
    <w:rsid w:val="001F7DC6"/>
    <w:rPr>
      <w:color w:val="605E5C"/>
      <w:shd w:val="clear" w:color="auto" w:fill="E1DFDD"/>
    </w:rPr>
  </w:style>
  <w:style w:type="paragraph" w:styleId="NormalWeb">
    <w:name w:val="Normal (Web)"/>
    <w:basedOn w:val="Normal"/>
    <w:link w:val="NormalWebCar"/>
    <w:uiPriority w:val="99"/>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table" w:customStyle="1" w:styleId="Tablaconcuadrcula1">
    <w:name w:val="Tabla con cuadrícula1"/>
    <w:basedOn w:val="Tablanormal"/>
    <w:next w:val="Tablaconcuadrcula"/>
    <w:uiPriority w:val="39"/>
    <w:qFormat/>
    <w:rsid w:val="0008328D"/>
    <w:pPr>
      <w:spacing w:after="0" w:line="240" w:lineRule="auto"/>
    </w:pPr>
    <w:rPr>
      <w:rFonts w:ascii="Calibri" w:eastAsia="Calibri" w:hAnsi="Calibri" w:cs="Times New Roman"/>
    </w:rPr>
    <w:tblPr>
      <w:tblInd w:w="0" w:type="nil"/>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customStyle="1" w:styleId="Appelnotedebasde">
    <w:name w:val="Appel note de bas de..."/>
    <w:basedOn w:val="Normal"/>
    <w:link w:val="Refdenotaalpie"/>
    <w:uiPriority w:val="99"/>
    <w:rsid w:val="0008328D"/>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08328D"/>
    <w:rPr>
      <w:rFonts w:ascii="Geomanist Light" w:hAnsi="Geomanist Light"/>
      <w:lang w:val="es-ES"/>
    </w:rPr>
  </w:style>
  <w:style w:type="character" w:styleId="Textoennegrita">
    <w:name w:val="Strong"/>
    <w:basedOn w:val="Fuentedeprrafopredeter"/>
    <w:uiPriority w:val="22"/>
    <w:qFormat/>
    <w:rsid w:val="0008328D"/>
    <w:rPr>
      <w:b/>
      <w:bCs/>
    </w:rPr>
  </w:style>
  <w:style w:type="paragraph" w:customStyle="1" w:styleId="fn1">
    <w:name w:val="fn1"/>
    <w:basedOn w:val="Normal"/>
    <w:next w:val="Textonotapie"/>
    <w:uiPriority w:val="99"/>
    <w:unhideWhenUsed/>
    <w:qFormat/>
    <w:rsid w:val="004F3012"/>
    <w:pPr>
      <w:spacing w:after="0" w:line="240" w:lineRule="auto"/>
    </w:pPr>
    <w:rPr>
      <w:sz w:val="20"/>
      <w:szCs w:val="20"/>
      <w:lang w:val="es-MX"/>
    </w:rPr>
  </w:style>
  <w:style w:type="paragraph" w:styleId="Textoindependiente">
    <w:name w:val="Body Text"/>
    <w:basedOn w:val="Normal"/>
    <w:link w:val="TextoindependienteCar"/>
    <w:uiPriority w:val="1"/>
    <w:qFormat/>
    <w:rsid w:val="00FF74EA"/>
    <w:pPr>
      <w:widowControl w:val="0"/>
      <w:autoSpaceDE w:val="0"/>
      <w:autoSpaceDN w:val="0"/>
      <w:spacing w:after="0" w:line="240" w:lineRule="auto"/>
    </w:pPr>
    <w:rPr>
      <w:rFonts w:ascii="Arial" w:eastAsia="Arial" w:hAnsi="Arial" w:cs="Arial"/>
      <w:lang w:val="es-ES"/>
    </w:rPr>
  </w:style>
  <w:style w:type="character" w:customStyle="1" w:styleId="TextoindependienteCar">
    <w:name w:val="Texto independiente Car"/>
    <w:basedOn w:val="Fuentedeprrafopredeter"/>
    <w:link w:val="Textoindependiente"/>
    <w:uiPriority w:val="99"/>
    <w:rsid w:val="00FF74EA"/>
    <w:rPr>
      <w:rFonts w:ascii="Arial" w:eastAsia="Arial" w:hAnsi="Arial" w:cs="Arial"/>
      <w:lang w:val="es-ES"/>
    </w:rPr>
  </w:style>
  <w:style w:type="character" w:customStyle="1" w:styleId="NormalWebCar">
    <w:name w:val="Normal (Web) Car"/>
    <w:link w:val="NormalWeb"/>
    <w:uiPriority w:val="99"/>
    <w:locked/>
    <w:rsid w:val="00FF74EA"/>
    <w:rPr>
      <w:rFonts w:ascii="Times New Roman" w:eastAsia="Times New Roman" w:hAnsi="Times New Roman" w:cs="Times New Roman"/>
      <w:sz w:val="24"/>
      <w:szCs w:val="24"/>
      <w:lang w:eastAsia="es-CO"/>
    </w:rPr>
  </w:style>
  <w:style w:type="character" w:styleId="nfasis">
    <w:name w:val="Emphasis"/>
    <w:basedOn w:val="Fuentedeprrafopredeter"/>
    <w:uiPriority w:val="20"/>
    <w:qFormat/>
    <w:rsid w:val="00A24433"/>
    <w:rPr>
      <w:i/>
      <w:iCs/>
    </w:rPr>
  </w:style>
  <w:style w:type="character" w:styleId="Refdecomentario">
    <w:name w:val="annotation reference"/>
    <w:basedOn w:val="Fuentedeprrafopredeter"/>
    <w:uiPriority w:val="99"/>
    <w:semiHidden/>
    <w:unhideWhenUsed/>
    <w:rsid w:val="0052785C"/>
    <w:rPr>
      <w:sz w:val="16"/>
      <w:szCs w:val="16"/>
    </w:rPr>
  </w:style>
  <w:style w:type="paragraph" w:styleId="Textocomentario">
    <w:name w:val="annotation text"/>
    <w:basedOn w:val="Normal"/>
    <w:link w:val="TextocomentarioCar"/>
    <w:uiPriority w:val="99"/>
    <w:unhideWhenUsed/>
    <w:rsid w:val="0052785C"/>
    <w:pPr>
      <w:spacing w:line="240" w:lineRule="auto"/>
    </w:pPr>
    <w:rPr>
      <w:sz w:val="20"/>
      <w:szCs w:val="20"/>
    </w:rPr>
  </w:style>
  <w:style w:type="character" w:customStyle="1" w:styleId="TextocomentarioCar">
    <w:name w:val="Texto comentario Car"/>
    <w:basedOn w:val="Fuentedeprrafopredeter"/>
    <w:link w:val="Textocomentario"/>
    <w:uiPriority w:val="99"/>
    <w:rsid w:val="0052785C"/>
    <w:rPr>
      <w:sz w:val="20"/>
      <w:szCs w:val="20"/>
    </w:rPr>
  </w:style>
  <w:style w:type="paragraph" w:styleId="Asuntodelcomentario">
    <w:name w:val="annotation subject"/>
    <w:basedOn w:val="Textocomentario"/>
    <w:next w:val="Textocomentario"/>
    <w:link w:val="AsuntodelcomentarioCar"/>
    <w:uiPriority w:val="99"/>
    <w:semiHidden/>
    <w:unhideWhenUsed/>
    <w:rsid w:val="0052785C"/>
    <w:rPr>
      <w:b/>
      <w:bCs/>
    </w:rPr>
  </w:style>
  <w:style w:type="character" w:customStyle="1" w:styleId="AsuntodelcomentarioCar">
    <w:name w:val="Asunto del comentario Car"/>
    <w:basedOn w:val="TextocomentarioCar"/>
    <w:link w:val="Asuntodelcomentario"/>
    <w:uiPriority w:val="99"/>
    <w:semiHidden/>
    <w:rsid w:val="0052785C"/>
    <w:rPr>
      <w:b/>
      <w:bCs/>
      <w:sz w:val="20"/>
      <w:szCs w:val="20"/>
    </w:rPr>
  </w:style>
  <w:style w:type="paragraph" w:styleId="Textodeglobo">
    <w:name w:val="Balloon Text"/>
    <w:basedOn w:val="Normal"/>
    <w:link w:val="TextodegloboCar"/>
    <w:uiPriority w:val="99"/>
    <w:semiHidden/>
    <w:unhideWhenUsed/>
    <w:rsid w:val="00120766"/>
    <w:pPr>
      <w:spacing w:after="0" w:line="240" w:lineRule="auto"/>
    </w:pPr>
    <w:rPr>
      <w:rFonts w:ascii="Segoe UI" w:hAnsi="Segoe UI" w:cs="Segoe UI"/>
      <w:sz w:val="18"/>
      <w:szCs w:val="18"/>
    </w:rPr>
  </w:style>
  <w:style w:type="character" w:customStyle="1" w:styleId="TextodegloboCar">
    <w:name w:val="Texto de globo Car"/>
    <w:basedOn w:val="Fuentedeprrafopredeter"/>
    <w:link w:val="Textodeglobo"/>
    <w:uiPriority w:val="99"/>
    <w:semiHidden/>
    <w:rsid w:val="00120766"/>
    <w:rPr>
      <w:rFonts w:ascii="Segoe UI" w:hAnsi="Segoe UI" w:cs="Segoe UI"/>
      <w:sz w:val="18"/>
      <w:szCs w:val="18"/>
    </w:rPr>
  </w:style>
  <w:style w:type="paragraph" w:styleId="Subttulo">
    <w:name w:val="Subtitle"/>
    <w:basedOn w:val="Normal"/>
    <w:next w:val="Normal"/>
    <w:link w:val="SubttuloCar"/>
    <w:uiPriority w:val="11"/>
    <w:qFormat/>
    <w:rsid w:val="00AC0DF9"/>
    <w:pPr>
      <w:numPr>
        <w:ilvl w:val="1"/>
      </w:numPr>
    </w:pPr>
    <w:rPr>
      <w:rFonts w:eastAsiaTheme="minorEastAsia"/>
      <w:color w:val="5A5A5A" w:themeColor="text1" w:themeTint="A5"/>
      <w:spacing w:val="15"/>
    </w:rPr>
  </w:style>
  <w:style w:type="character" w:customStyle="1" w:styleId="SubttuloCar">
    <w:name w:val="Subtítulo Car"/>
    <w:basedOn w:val="Fuentedeprrafopredeter"/>
    <w:link w:val="Subttulo"/>
    <w:uiPriority w:val="11"/>
    <w:rsid w:val="00AC0DF9"/>
    <w:rPr>
      <w:rFonts w:eastAsiaTheme="minorEastAsia"/>
      <w:color w:val="5A5A5A" w:themeColor="text1" w:themeTint="A5"/>
      <w:spacing w:val="15"/>
    </w:rPr>
  </w:style>
  <w:style w:type="character" w:customStyle="1" w:styleId="baj">
    <w:name w:val="b_aj"/>
    <w:basedOn w:val="Fuentedeprrafopredeter"/>
    <w:rsid w:val="00E2397D"/>
  </w:style>
  <w:style w:type="paragraph" w:customStyle="1" w:styleId="Textoindependiente1">
    <w:name w:val="Texto independiente1"/>
    <w:basedOn w:val="Normal"/>
    <w:next w:val="Textoindependiente"/>
    <w:uiPriority w:val="99"/>
    <w:unhideWhenUsed/>
    <w:rsid w:val="006B14B5"/>
    <w:pPr>
      <w:spacing w:after="120"/>
    </w:pPr>
    <w:rPr>
      <w:kern w:val="2"/>
      <w:sz w:val="24"/>
      <w:szCs w:val="24"/>
      <w14:ligatures w14:val="standardContextual"/>
    </w:rPr>
  </w:style>
  <w:style w:type="paragraph" w:customStyle="1" w:styleId="Textoindependiente2">
    <w:name w:val="Texto independiente2"/>
    <w:basedOn w:val="Normal"/>
    <w:next w:val="Textoindependiente"/>
    <w:uiPriority w:val="99"/>
    <w:semiHidden/>
    <w:unhideWhenUsed/>
    <w:rsid w:val="006B14B5"/>
    <w:pPr>
      <w:spacing w:after="120"/>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203835437">
      <w:bodyDiv w:val="1"/>
      <w:marLeft w:val="0"/>
      <w:marRight w:val="0"/>
      <w:marTop w:val="0"/>
      <w:marBottom w:val="0"/>
      <w:divBdr>
        <w:top w:val="none" w:sz="0" w:space="0" w:color="auto"/>
        <w:left w:val="none" w:sz="0" w:space="0" w:color="auto"/>
        <w:bottom w:val="none" w:sz="0" w:space="0" w:color="auto"/>
        <w:right w:val="none" w:sz="0" w:space="0" w:color="auto"/>
      </w:divBdr>
    </w:div>
    <w:div w:id="207377614">
      <w:bodyDiv w:val="1"/>
      <w:marLeft w:val="0"/>
      <w:marRight w:val="0"/>
      <w:marTop w:val="0"/>
      <w:marBottom w:val="0"/>
      <w:divBdr>
        <w:top w:val="none" w:sz="0" w:space="0" w:color="auto"/>
        <w:left w:val="none" w:sz="0" w:space="0" w:color="auto"/>
        <w:bottom w:val="none" w:sz="0" w:space="0" w:color="auto"/>
        <w:right w:val="none" w:sz="0" w:space="0" w:color="auto"/>
      </w:divBdr>
    </w:div>
    <w:div w:id="460877566">
      <w:bodyDiv w:val="1"/>
      <w:marLeft w:val="0"/>
      <w:marRight w:val="0"/>
      <w:marTop w:val="0"/>
      <w:marBottom w:val="0"/>
      <w:divBdr>
        <w:top w:val="none" w:sz="0" w:space="0" w:color="auto"/>
        <w:left w:val="none" w:sz="0" w:space="0" w:color="auto"/>
        <w:bottom w:val="none" w:sz="0" w:space="0" w:color="auto"/>
        <w:right w:val="none" w:sz="0" w:space="0" w:color="auto"/>
      </w:divBdr>
    </w:div>
    <w:div w:id="502475250">
      <w:bodyDiv w:val="1"/>
      <w:marLeft w:val="0"/>
      <w:marRight w:val="0"/>
      <w:marTop w:val="0"/>
      <w:marBottom w:val="0"/>
      <w:divBdr>
        <w:top w:val="none" w:sz="0" w:space="0" w:color="auto"/>
        <w:left w:val="none" w:sz="0" w:space="0" w:color="auto"/>
        <w:bottom w:val="none" w:sz="0" w:space="0" w:color="auto"/>
        <w:right w:val="none" w:sz="0" w:space="0" w:color="auto"/>
      </w:divBdr>
    </w:div>
    <w:div w:id="513416965">
      <w:bodyDiv w:val="1"/>
      <w:marLeft w:val="0"/>
      <w:marRight w:val="0"/>
      <w:marTop w:val="0"/>
      <w:marBottom w:val="0"/>
      <w:divBdr>
        <w:top w:val="none" w:sz="0" w:space="0" w:color="auto"/>
        <w:left w:val="none" w:sz="0" w:space="0" w:color="auto"/>
        <w:bottom w:val="none" w:sz="0" w:space="0" w:color="auto"/>
        <w:right w:val="none" w:sz="0" w:space="0" w:color="auto"/>
      </w:divBdr>
    </w:div>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48189111">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823744084">
      <w:bodyDiv w:val="1"/>
      <w:marLeft w:val="0"/>
      <w:marRight w:val="0"/>
      <w:marTop w:val="0"/>
      <w:marBottom w:val="0"/>
      <w:divBdr>
        <w:top w:val="none" w:sz="0" w:space="0" w:color="auto"/>
        <w:left w:val="none" w:sz="0" w:space="0" w:color="auto"/>
        <w:bottom w:val="none" w:sz="0" w:space="0" w:color="auto"/>
        <w:right w:val="none" w:sz="0" w:space="0" w:color="auto"/>
      </w:divBdr>
      <w:divsChild>
        <w:div w:id="1665283950">
          <w:marLeft w:val="0"/>
          <w:marRight w:val="0"/>
          <w:marTop w:val="0"/>
          <w:marBottom w:val="160"/>
          <w:divBdr>
            <w:top w:val="none" w:sz="0" w:space="0" w:color="auto"/>
            <w:left w:val="none" w:sz="0" w:space="0" w:color="auto"/>
            <w:bottom w:val="none" w:sz="0" w:space="0" w:color="auto"/>
            <w:right w:val="none" w:sz="0" w:space="0" w:color="auto"/>
          </w:divBdr>
        </w:div>
        <w:div w:id="133375842">
          <w:marLeft w:val="0"/>
          <w:marRight w:val="0"/>
          <w:marTop w:val="0"/>
          <w:marBottom w:val="160"/>
          <w:divBdr>
            <w:top w:val="none" w:sz="0" w:space="0" w:color="auto"/>
            <w:left w:val="none" w:sz="0" w:space="0" w:color="auto"/>
            <w:bottom w:val="none" w:sz="0" w:space="0" w:color="auto"/>
            <w:right w:val="none" w:sz="0" w:space="0" w:color="auto"/>
          </w:divBdr>
        </w:div>
        <w:div w:id="1806265997">
          <w:marLeft w:val="0"/>
          <w:marRight w:val="0"/>
          <w:marTop w:val="0"/>
          <w:marBottom w:val="160"/>
          <w:divBdr>
            <w:top w:val="none" w:sz="0" w:space="0" w:color="auto"/>
            <w:left w:val="none" w:sz="0" w:space="0" w:color="auto"/>
            <w:bottom w:val="none" w:sz="0" w:space="0" w:color="auto"/>
            <w:right w:val="none" w:sz="0" w:space="0" w:color="auto"/>
          </w:divBdr>
        </w:div>
      </w:divsChild>
    </w:div>
    <w:div w:id="828248822">
      <w:bodyDiv w:val="1"/>
      <w:marLeft w:val="0"/>
      <w:marRight w:val="0"/>
      <w:marTop w:val="0"/>
      <w:marBottom w:val="0"/>
      <w:divBdr>
        <w:top w:val="none" w:sz="0" w:space="0" w:color="auto"/>
        <w:left w:val="none" w:sz="0" w:space="0" w:color="auto"/>
        <w:bottom w:val="none" w:sz="0" w:space="0" w:color="auto"/>
        <w:right w:val="none" w:sz="0" w:space="0" w:color="auto"/>
      </w:divBdr>
    </w:div>
    <w:div w:id="910313656">
      <w:bodyDiv w:val="1"/>
      <w:marLeft w:val="0"/>
      <w:marRight w:val="0"/>
      <w:marTop w:val="0"/>
      <w:marBottom w:val="0"/>
      <w:divBdr>
        <w:top w:val="none" w:sz="0" w:space="0" w:color="auto"/>
        <w:left w:val="none" w:sz="0" w:space="0" w:color="auto"/>
        <w:bottom w:val="none" w:sz="0" w:space="0" w:color="auto"/>
        <w:right w:val="none" w:sz="0" w:space="0" w:color="auto"/>
      </w:divBdr>
    </w:div>
    <w:div w:id="930629713">
      <w:bodyDiv w:val="1"/>
      <w:marLeft w:val="0"/>
      <w:marRight w:val="0"/>
      <w:marTop w:val="0"/>
      <w:marBottom w:val="0"/>
      <w:divBdr>
        <w:top w:val="none" w:sz="0" w:space="0" w:color="auto"/>
        <w:left w:val="none" w:sz="0" w:space="0" w:color="auto"/>
        <w:bottom w:val="none" w:sz="0" w:space="0" w:color="auto"/>
        <w:right w:val="none" w:sz="0" w:space="0" w:color="auto"/>
      </w:divBdr>
      <w:divsChild>
        <w:div w:id="1038821504">
          <w:marLeft w:val="0"/>
          <w:marRight w:val="0"/>
          <w:marTop w:val="0"/>
          <w:marBottom w:val="0"/>
          <w:divBdr>
            <w:top w:val="none" w:sz="0" w:space="0" w:color="auto"/>
            <w:left w:val="none" w:sz="0" w:space="0" w:color="auto"/>
            <w:bottom w:val="none" w:sz="0" w:space="0" w:color="auto"/>
            <w:right w:val="none" w:sz="0" w:space="0" w:color="auto"/>
          </w:divBdr>
        </w:div>
      </w:divsChild>
    </w:div>
    <w:div w:id="939751492">
      <w:bodyDiv w:val="1"/>
      <w:marLeft w:val="0"/>
      <w:marRight w:val="0"/>
      <w:marTop w:val="0"/>
      <w:marBottom w:val="0"/>
      <w:divBdr>
        <w:top w:val="none" w:sz="0" w:space="0" w:color="auto"/>
        <w:left w:val="none" w:sz="0" w:space="0" w:color="auto"/>
        <w:bottom w:val="none" w:sz="0" w:space="0" w:color="auto"/>
        <w:right w:val="none" w:sz="0" w:space="0" w:color="auto"/>
      </w:divBdr>
    </w:div>
    <w:div w:id="1002976885">
      <w:bodyDiv w:val="1"/>
      <w:marLeft w:val="0"/>
      <w:marRight w:val="0"/>
      <w:marTop w:val="0"/>
      <w:marBottom w:val="0"/>
      <w:divBdr>
        <w:top w:val="none" w:sz="0" w:space="0" w:color="auto"/>
        <w:left w:val="none" w:sz="0" w:space="0" w:color="auto"/>
        <w:bottom w:val="none" w:sz="0" w:space="0" w:color="auto"/>
        <w:right w:val="none" w:sz="0" w:space="0" w:color="auto"/>
      </w:divBdr>
    </w:div>
    <w:div w:id="1025399029">
      <w:bodyDiv w:val="1"/>
      <w:marLeft w:val="0"/>
      <w:marRight w:val="0"/>
      <w:marTop w:val="0"/>
      <w:marBottom w:val="0"/>
      <w:divBdr>
        <w:top w:val="none" w:sz="0" w:space="0" w:color="auto"/>
        <w:left w:val="none" w:sz="0" w:space="0" w:color="auto"/>
        <w:bottom w:val="none" w:sz="0" w:space="0" w:color="auto"/>
        <w:right w:val="none" w:sz="0" w:space="0" w:color="auto"/>
      </w:divBdr>
    </w:div>
    <w:div w:id="1078407130">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36013034">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1343514720">
      <w:bodyDiv w:val="1"/>
      <w:marLeft w:val="0"/>
      <w:marRight w:val="0"/>
      <w:marTop w:val="0"/>
      <w:marBottom w:val="0"/>
      <w:divBdr>
        <w:top w:val="none" w:sz="0" w:space="0" w:color="auto"/>
        <w:left w:val="none" w:sz="0" w:space="0" w:color="auto"/>
        <w:bottom w:val="none" w:sz="0" w:space="0" w:color="auto"/>
        <w:right w:val="none" w:sz="0" w:space="0" w:color="auto"/>
      </w:divBdr>
    </w:div>
    <w:div w:id="1381632463">
      <w:bodyDiv w:val="1"/>
      <w:marLeft w:val="0"/>
      <w:marRight w:val="0"/>
      <w:marTop w:val="0"/>
      <w:marBottom w:val="0"/>
      <w:divBdr>
        <w:top w:val="none" w:sz="0" w:space="0" w:color="auto"/>
        <w:left w:val="none" w:sz="0" w:space="0" w:color="auto"/>
        <w:bottom w:val="none" w:sz="0" w:space="0" w:color="auto"/>
        <w:right w:val="none" w:sz="0" w:space="0" w:color="auto"/>
      </w:divBdr>
    </w:div>
    <w:div w:id="1388527428">
      <w:bodyDiv w:val="1"/>
      <w:marLeft w:val="0"/>
      <w:marRight w:val="0"/>
      <w:marTop w:val="0"/>
      <w:marBottom w:val="0"/>
      <w:divBdr>
        <w:top w:val="none" w:sz="0" w:space="0" w:color="auto"/>
        <w:left w:val="none" w:sz="0" w:space="0" w:color="auto"/>
        <w:bottom w:val="none" w:sz="0" w:space="0" w:color="auto"/>
        <w:right w:val="none" w:sz="0" w:space="0" w:color="auto"/>
      </w:divBdr>
      <w:divsChild>
        <w:div w:id="1126967197">
          <w:marLeft w:val="0"/>
          <w:marRight w:val="0"/>
          <w:marTop w:val="0"/>
          <w:marBottom w:val="160"/>
          <w:divBdr>
            <w:top w:val="none" w:sz="0" w:space="0" w:color="auto"/>
            <w:left w:val="none" w:sz="0" w:space="0" w:color="auto"/>
            <w:bottom w:val="none" w:sz="0" w:space="0" w:color="auto"/>
            <w:right w:val="none" w:sz="0" w:space="0" w:color="auto"/>
          </w:divBdr>
        </w:div>
        <w:div w:id="1450123274">
          <w:marLeft w:val="0"/>
          <w:marRight w:val="0"/>
          <w:marTop w:val="0"/>
          <w:marBottom w:val="160"/>
          <w:divBdr>
            <w:top w:val="none" w:sz="0" w:space="0" w:color="auto"/>
            <w:left w:val="none" w:sz="0" w:space="0" w:color="auto"/>
            <w:bottom w:val="none" w:sz="0" w:space="0" w:color="auto"/>
            <w:right w:val="none" w:sz="0" w:space="0" w:color="auto"/>
          </w:divBdr>
        </w:div>
        <w:div w:id="522205550">
          <w:marLeft w:val="0"/>
          <w:marRight w:val="0"/>
          <w:marTop w:val="0"/>
          <w:marBottom w:val="160"/>
          <w:divBdr>
            <w:top w:val="none" w:sz="0" w:space="0" w:color="auto"/>
            <w:left w:val="none" w:sz="0" w:space="0" w:color="auto"/>
            <w:bottom w:val="none" w:sz="0" w:space="0" w:color="auto"/>
            <w:right w:val="none" w:sz="0" w:space="0" w:color="auto"/>
          </w:divBdr>
        </w:div>
      </w:divsChild>
    </w:div>
    <w:div w:id="1390762709">
      <w:bodyDiv w:val="1"/>
      <w:marLeft w:val="0"/>
      <w:marRight w:val="0"/>
      <w:marTop w:val="0"/>
      <w:marBottom w:val="0"/>
      <w:divBdr>
        <w:top w:val="none" w:sz="0" w:space="0" w:color="auto"/>
        <w:left w:val="none" w:sz="0" w:space="0" w:color="auto"/>
        <w:bottom w:val="none" w:sz="0" w:space="0" w:color="auto"/>
        <w:right w:val="none" w:sz="0" w:space="0" w:color="auto"/>
      </w:divBdr>
    </w:div>
    <w:div w:id="1471678187">
      <w:bodyDiv w:val="1"/>
      <w:marLeft w:val="0"/>
      <w:marRight w:val="0"/>
      <w:marTop w:val="0"/>
      <w:marBottom w:val="0"/>
      <w:divBdr>
        <w:top w:val="none" w:sz="0" w:space="0" w:color="auto"/>
        <w:left w:val="none" w:sz="0" w:space="0" w:color="auto"/>
        <w:bottom w:val="none" w:sz="0" w:space="0" w:color="auto"/>
        <w:right w:val="none" w:sz="0" w:space="0" w:color="auto"/>
      </w:divBdr>
      <w:divsChild>
        <w:div w:id="331952033">
          <w:marLeft w:val="0"/>
          <w:marRight w:val="0"/>
          <w:marTop w:val="0"/>
          <w:marBottom w:val="0"/>
          <w:divBdr>
            <w:top w:val="none" w:sz="0" w:space="0" w:color="auto"/>
            <w:left w:val="none" w:sz="0" w:space="0" w:color="auto"/>
            <w:bottom w:val="none" w:sz="0" w:space="0" w:color="auto"/>
            <w:right w:val="none" w:sz="0" w:space="0" w:color="auto"/>
          </w:divBdr>
        </w:div>
        <w:div w:id="1549146269">
          <w:marLeft w:val="0"/>
          <w:marRight w:val="0"/>
          <w:marTop w:val="0"/>
          <w:marBottom w:val="0"/>
          <w:divBdr>
            <w:top w:val="none" w:sz="0" w:space="0" w:color="auto"/>
            <w:left w:val="none" w:sz="0" w:space="0" w:color="auto"/>
            <w:bottom w:val="none" w:sz="0" w:space="0" w:color="auto"/>
            <w:right w:val="none" w:sz="0" w:space="0" w:color="auto"/>
          </w:divBdr>
        </w:div>
      </w:divsChild>
    </w:div>
    <w:div w:id="1661929042">
      <w:bodyDiv w:val="1"/>
      <w:marLeft w:val="0"/>
      <w:marRight w:val="0"/>
      <w:marTop w:val="0"/>
      <w:marBottom w:val="0"/>
      <w:divBdr>
        <w:top w:val="none" w:sz="0" w:space="0" w:color="auto"/>
        <w:left w:val="none" w:sz="0" w:space="0" w:color="auto"/>
        <w:bottom w:val="none" w:sz="0" w:space="0" w:color="auto"/>
        <w:right w:val="none" w:sz="0" w:space="0" w:color="auto"/>
      </w:divBdr>
      <w:divsChild>
        <w:div w:id="1221401708">
          <w:marLeft w:val="0"/>
          <w:marRight w:val="0"/>
          <w:marTop w:val="0"/>
          <w:marBottom w:val="160"/>
          <w:divBdr>
            <w:top w:val="none" w:sz="0" w:space="0" w:color="auto"/>
            <w:left w:val="none" w:sz="0" w:space="0" w:color="auto"/>
            <w:bottom w:val="none" w:sz="0" w:space="0" w:color="auto"/>
            <w:right w:val="none" w:sz="0" w:space="0" w:color="auto"/>
          </w:divBdr>
        </w:div>
        <w:div w:id="1959291753">
          <w:marLeft w:val="0"/>
          <w:marRight w:val="0"/>
          <w:marTop w:val="0"/>
          <w:marBottom w:val="160"/>
          <w:divBdr>
            <w:top w:val="none" w:sz="0" w:space="0" w:color="auto"/>
            <w:left w:val="none" w:sz="0" w:space="0" w:color="auto"/>
            <w:bottom w:val="none" w:sz="0" w:space="0" w:color="auto"/>
            <w:right w:val="none" w:sz="0" w:space="0" w:color="auto"/>
          </w:divBdr>
        </w:div>
        <w:div w:id="1179394306">
          <w:marLeft w:val="0"/>
          <w:marRight w:val="0"/>
          <w:marTop w:val="0"/>
          <w:marBottom w:val="160"/>
          <w:divBdr>
            <w:top w:val="none" w:sz="0" w:space="0" w:color="auto"/>
            <w:left w:val="none" w:sz="0" w:space="0" w:color="auto"/>
            <w:bottom w:val="none" w:sz="0" w:space="0" w:color="auto"/>
            <w:right w:val="none" w:sz="0" w:space="0" w:color="auto"/>
          </w:divBdr>
        </w:div>
      </w:divsChild>
    </w:div>
    <w:div w:id="1786272649">
      <w:bodyDiv w:val="1"/>
      <w:marLeft w:val="0"/>
      <w:marRight w:val="0"/>
      <w:marTop w:val="0"/>
      <w:marBottom w:val="0"/>
      <w:divBdr>
        <w:top w:val="none" w:sz="0" w:space="0" w:color="auto"/>
        <w:left w:val="none" w:sz="0" w:space="0" w:color="auto"/>
        <w:bottom w:val="none" w:sz="0" w:space="0" w:color="auto"/>
        <w:right w:val="none" w:sz="0" w:space="0" w:color="auto"/>
      </w:divBdr>
    </w:div>
    <w:div w:id="2003848616">
      <w:bodyDiv w:val="1"/>
      <w:marLeft w:val="0"/>
      <w:marRight w:val="0"/>
      <w:marTop w:val="0"/>
      <w:marBottom w:val="0"/>
      <w:divBdr>
        <w:top w:val="none" w:sz="0" w:space="0" w:color="auto"/>
        <w:left w:val="none" w:sz="0" w:space="0" w:color="auto"/>
        <w:bottom w:val="none" w:sz="0" w:space="0" w:color="auto"/>
        <w:right w:val="none" w:sz="0" w:space="0" w:color="auto"/>
      </w:divBdr>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relyOnVML/>
  <w:allowPNG/>
</w:webSettings>
</file>

<file path=word/_rels/document.xml.rels><?xml version="1.0" encoding="UTF-8" standalone="yes"?>
<Relationships xmlns="http://schemas.openxmlformats.org/package/2006/relationships"><Relationship Id="rId8" Type="http://schemas.openxmlformats.org/officeDocument/2006/relationships/webSettings" Target="webSettings.xml"/><Relationship Id="rId13" Type="http://schemas.openxmlformats.org/officeDocument/2006/relationships/hyperlink" Target="https://relatoria.colombiacompra.gov.co/busqueda/conceptos" TargetMode="External"/><Relationship Id="rId18" Type="http://schemas.openxmlformats.org/officeDocument/2006/relationships/theme" Target="theme/theme1.xml"/><Relationship Id="rId3" Type="http://schemas.openxmlformats.org/officeDocument/2006/relationships/customXml" Target="../customXml/item3.xml"/><Relationship Id="rId7" Type="http://schemas.openxmlformats.org/officeDocument/2006/relationships/settings" Target="settings.xml"/><Relationship Id="rId12" Type="http://schemas.openxmlformats.org/officeDocument/2006/relationships/hyperlink" Target="mailto:adr.silva@udla.edu.co" TargetMode="External"/><Relationship Id="rId17" Type="http://schemas.openxmlformats.org/officeDocument/2006/relationships/fontTable" Target="fontTable.xml"/><Relationship Id="rId2" Type="http://schemas.openxmlformats.org/officeDocument/2006/relationships/customXml" Target="../customXml/item2.xml"/><Relationship Id="rId16" Type="http://schemas.openxmlformats.org/officeDocument/2006/relationships/footer" Target="footer1.xml"/><Relationship Id="rId1" Type="http://schemas.openxmlformats.org/officeDocument/2006/relationships/customXml" Target="../customXml/item1.xml"/><Relationship Id="rId6" Type="http://schemas.openxmlformats.org/officeDocument/2006/relationships/styles" Target="styles.xml"/><Relationship Id="rId11" Type="http://schemas.openxmlformats.org/officeDocument/2006/relationships/image" Target="media/image2.emf"/><Relationship Id="rId5" Type="http://schemas.openxmlformats.org/officeDocument/2006/relationships/numbering" Target="numbering.xml"/><Relationship Id="rId15" Type="http://schemas.openxmlformats.org/officeDocument/2006/relationships/header" Target="header1.xml"/><Relationship Id="rId10" Type="http://schemas.openxmlformats.org/officeDocument/2006/relationships/endnotes" Target="endnotes.xml"/><Relationship Id="rId4" Type="http://schemas.openxmlformats.org/officeDocument/2006/relationships/customXml" Target="../customXml/item4.xml"/><Relationship Id="rId9" Type="http://schemas.openxmlformats.org/officeDocument/2006/relationships/footnotes" Target="footnotes.xml"/><Relationship Id="rId14" Type="http://schemas.openxmlformats.org/officeDocument/2006/relationships/image" Target="media/image3.png"/></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_rels/item4.xml.rels><?xml version="1.0" encoding="UTF-8" standalone="yes"?>
<Relationships xmlns="http://schemas.openxmlformats.org/package/2006/relationships"><Relationship Id="rId1" Type="http://schemas.openxmlformats.org/officeDocument/2006/relationships/customXmlProps" Target="itemProps4.xml"/></Relationships>
</file>

<file path=customXml/item1.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e12b00258f526aca9cff1c58808bc7a0">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b730abbc8c4891a3f3c16b4680e17684"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SharedWithUsers xmlns="a6cb9e4b-f1d1-4245-83ec-6cad768d538a">
      <UserInfo>
        <DisplayName>Poxta IOIP</DisplayName>
        <AccountId>719</AccountId>
        <AccountType/>
      </UserInfo>
    </SharedWithUsers>
    <lcf76f155ced4ddcb4097134ff3c332f xmlns="9d85dbaf-23eb-4e57-a637-93dcacc8b1a1">
      <Terms xmlns="http://schemas.microsoft.com/office/infopath/2007/PartnerControls"/>
    </lcf76f155ced4ddcb4097134ff3c332f>
    <TaxCatchAll xmlns="a6cb9e4b-f1d1-4245-83ec-6cad768d538a" xsi:nil="true"/>
    <No xmlns="9d85dbaf-23eb-4e57-a637-93dcacc8b1a1" xsi:nil="true"/>
    <_Flow_SignoffStatus xmlns="9d85dbaf-23eb-4e57-a637-93dcacc8b1a1" xsi:nil="true"/>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4.xml><?xml version="1.0" encoding="utf-8"?>
<b:Sources xmlns:b="http://schemas.openxmlformats.org/officeDocument/2006/bibliography" xmlns="http://schemas.openxmlformats.org/officeDocument/2006/bibliography" SelectedStyle="\APASixthEditionOfficeOnline.xsl" StyleName="APA" Version="6"/>
</file>

<file path=customXml/itemProps1.xml><?xml version="1.0" encoding="utf-8"?>
<ds:datastoreItem xmlns:ds="http://schemas.openxmlformats.org/officeDocument/2006/customXml" ds:itemID="{2787CD3E-AB63-47CA-BE6A-506C10EBD3A0}">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9d85dbaf-23eb-4e57-a637-93dcacc8b1a1"/>
    <ds:schemaRef ds:uri="a6cb9e4b-f1d1-4245-83ec-6cad768d538a"/>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163618BE-28CB-4D69-955E-CDA788483BED}">
  <ds:schemaRefs>
    <ds:schemaRef ds:uri="9d85dbaf-23eb-4e57-a637-93dcacc8b1a1"/>
    <ds:schemaRef ds:uri="http://www.w3.org/XML/1998/namespace"/>
    <ds:schemaRef ds:uri="a6cb9e4b-f1d1-4245-83ec-6cad768d538a"/>
    <ds:schemaRef ds:uri="http://purl.org/dc/elements/1.1/"/>
    <ds:schemaRef ds:uri="http://purl.org/dc/dcmitype/"/>
    <ds:schemaRef ds:uri="http://schemas.microsoft.com/office/2006/metadata/properties"/>
    <ds:schemaRef ds:uri="http://purl.org/dc/terms/"/>
    <ds:schemaRef ds:uri="http://schemas.microsoft.com/office/2006/documentManagement/types"/>
    <ds:schemaRef ds:uri="http://schemas.microsoft.com/office/infopath/2007/PartnerControls"/>
    <ds:schemaRef ds:uri="http://schemas.openxmlformats.org/package/2006/metadata/core-properties"/>
  </ds:schemaRefs>
</ds:datastoreItem>
</file>

<file path=customXml/itemProps3.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4.xml><?xml version="1.0" encoding="utf-8"?>
<ds:datastoreItem xmlns:ds="http://schemas.openxmlformats.org/officeDocument/2006/customXml" ds:itemID="{061AE2C4-2296-4BF9-9655-BD5E369662B2}">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Template>
  <TotalTime>15</TotalTime>
  <Pages>31</Pages>
  <Words>11224</Words>
  <Characters>61736</Characters>
  <Application>Microsoft Office Word</Application>
  <DocSecurity>0</DocSecurity>
  <Lines>514</Lines>
  <Paragraphs>145</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72815</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Betty Elena Díaz Fernandez</cp:lastModifiedBy>
  <cp:revision>2</cp:revision>
  <cp:lastPrinted>2025-02-25T15:45:00Z</cp:lastPrinted>
  <dcterms:created xsi:type="dcterms:W3CDTF">2025-10-28T15:43:00Z</dcterms:created>
  <dcterms:modified xsi:type="dcterms:W3CDTF">2025-10-28T15:43:00Z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