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3F024" w14:textId="77777777" w:rsidR="00B11426" w:rsidRPr="00573698" w:rsidRDefault="00B11426" w:rsidP="00B11426">
      <w:pPr>
        <w:spacing w:after="0" w:line="240" w:lineRule="auto"/>
        <w:contextualSpacing/>
        <w:jc w:val="both"/>
        <w:rPr>
          <w:rFonts w:ascii="Verdana" w:eastAsia="Times New Roman" w:hAnsi="Verdana" w:cs="Arial"/>
          <w:b/>
          <w:bCs/>
          <w:lang w:eastAsia="es-MX"/>
        </w:rPr>
      </w:pPr>
      <w:bookmarkStart w:id="0" w:name="_Hlk181166130"/>
      <w:bookmarkStart w:id="1" w:name="_Hlk209714638"/>
      <w:r w:rsidRPr="00573698">
        <w:rPr>
          <w:rFonts w:ascii="Verdana" w:eastAsia="Times New Roman" w:hAnsi="Verdana" w:cs="Arial"/>
          <w:b/>
          <w:bCs/>
          <w:lang w:eastAsia="es-MX"/>
        </w:rPr>
        <w:t xml:space="preserve">REQUISITOS HABILITANTES – Concepto </w:t>
      </w:r>
    </w:p>
    <w:p w14:paraId="0890969F" w14:textId="77777777" w:rsidR="00B11426" w:rsidRPr="00573698" w:rsidRDefault="00B11426" w:rsidP="00B11426">
      <w:pPr>
        <w:spacing w:after="0" w:line="240" w:lineRule="auto"/>
        <w:contextualSpacing/>
        <w:jc w:val="both"/>
        <w:rPr>
          <w:rFonts w:ascii="Verdana" w:eastAsia="Times New Roman" w:hAnsi="Verdana" w:cs="Arial"/>
          <w:b/>
          <w:bCs/>
          <w:lang w:eastAsia="es-MX"/>
        </w:rPr>
      </w:pPr>
    </w:p>
    <w:p w14:paraId="2DEEFC06" w14:textId="77777777" w:rsidR="00B11426" w:rsidRPr="00B149A0" w:rsidRDefault="00B11426" w:rsidP="00B11426">
      <w:pPr>
        <w:spacing w:after="0" w:line="240" w:lineRule="auto"/>
        <w:contextualSpacing/>
        <w:jc w:val="both"/>
        <w:rPr>
          <w:rFonts w:ascii="Verdana" w:eastAsia="Calibri" w:hAnsi="Verdana" w:cs="Arial"/>
          <w:lang w:eastAsia="es-MX"/>
        </w:rPr>
      </w:pPr>
      <w:r w:rsidRPr="00573698">
        <w:rPr>
          <w:rFonts w:ascii="Verdana" w:eastAsia="Calibri" w:hAnsi="Verdana" w:cs="Arial"/>
          <w:lang w:eastAsia="es-MX"/>
        </w:rPr>
        <w:t>Los requisitos habilitantes se definen como aquellas exigencias de participación en los procedimientos de selección, establecidas en disposiciones normativas, de carácter legal o reglamentario, o contenidas en el acto administrativo que regula las</w:t>
      </w:r>
      <w:r w:rsidRPr="00B149A0">
        <w:rPr>
          <w:rFonts w:ascii="Verdana" w:eastAsia="Calibri" w:hAnsi="Verdana" w:cs="Arial"/>
          <w:lang w:eastAsia="es-MX"/>
        </w:rPr>
        <w:t xml:space="preserve"> reglas de la convocatoria es decir, en el Pliego de Condiciones o el documento equivalente a este. Se diferencian de los </w:t>
      </w:r>
      <w:r w:rsidRPr="00B149A0">
        <w:rPr>
          <w:rFonts w:ascii="Verdana" w:eastAsia="Calibri" w:hAnsi="Verdana" w:cs="Arial"/>
          <w:i/>
          <w:iCs/>
          <w:lang w:eastAsia="es-MX"/>
        </w:rPr>
        <w:t>criterios de evaluación</w:t>
      </w:r>
      <w:r w:rsidRPr="00B149A0">
        <w:rPr>
          <w:rFonts w:ascii="Verdana" w:eastAsia="Calibri" w:hAnsi="Verdana" w:cs="Arial"/>
          <w:lang w:eastAsia="es-MX"/>
        </w:rPr>
        <w:t xml:space="preserve"> – también conocidos como criterios de calificación – en que estos son los factores definidos por la Entidad Estatal para la asignación de puntaje en el momento de la comparación de las ofertas y que, a partir de su ponderación, permiten establecer el orden de elegibilidad y, por ende, la propuesta ganadora. </w:t>
      </w:r>
    </w:p>
    <w:p w14:paraId="444736BD"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7B0BD237" w14:textId="77777777" w:rsidR="00B11426" w:rsidRPr="00B149A0" w:rsidRDefault="00B11426" w:rsidP="00B11426">
      <w:pPr>
        <w:spacing w:after="0" w:line="240" w:lineRule="auto"/>
        <w:contextualSpacing/>
        <w:jc w:val="both"/>
        <w:rPr>
          <w:rFonts w:ascii="Verdana" w:eastAsia="Calibri" w:hAnsi="Verdana" w:cs="Arial"/>
          <w:lang w:eastAsia="es-MX"/>
        </w:rPr>
      </w:pPr>
      <w:r w:rsidRPr="00B149A0">
        <w:rPr>
          <w:rFonts w:ascii="Verdana" w:eastAsia="Times New Roman" w:hAnsi="Verdana" w:cs="Arial"/>
          <w:lang w:eastAsia="es-ES_tradnl"/>
        </w:rPr>
        <w:t xml:space="preserve">[…] </w:t>
      </w:r>
      <w:r w:rsidRPr="00B149A0">
        <w:rPr>
          <w:rFonts w:ascii="Verdana" w:eastAsia="Calibri" w:hAnsi="Verdana" w:cs="Arial"/>
          <w:lang w:eastAsia="es-MX"/>
        </w:rPr>
        <w:t xml:space="preserve">Específicamente, el numeral 1º del artículo referido establece que en los procesos de selección de contratistas serán objeto de verificación, como requisitos habilitantes, entre otros, los siguientes: i) la capacidad jurídica; </w:t>
      </w:r>
      <w:proofErr w:type="spellStart"/>
      <w:r w:rsidRPr="00B149A0">
        <w:rPr>
          <w:rFonts w:ascii="Verdana" w:eastAsia="Calibri" w:hAnsi="Verdana" w:cs="Arial"/>
          <w:lang w:eastAsia="es-MX"/>
        </w:rPr>
        <w:t>ii</w:t>
      </w:r>
      <w:proofErr w:type="spellEnd"/>
      <w:r w:rsidRPr="00B149A0">
        <w:rPr>
          <w:rFonts w:ascii="Verdana" w:eastAsia="Calibri" w:hAnsi="Verdana" w:cs="Arial"/>
          <w:lang w:eastAsia="es-MX"/>
        </w:rPr>
        <w:t xml:space="preserve">) la experiencia; </w:t>
      </w:r>
      <w:proofErr w:type="spellStart"/>
      <w:r w:rsidRPr="00B149A0">
        <w:rPr>
          <w:rFonts w:ascii="Verdana" w:eastAsia="Calibri" w:hAnsi="Verdana" w:cs="Arial"/>
          <w:lang w:eastAsia="es-MX"/>
        </w:rPr>
        <w:t>iii</w:t>
      </w:r>
      <w:proofErr w:type="spellEnd"/>
      <w:r w:rsidRPr="00B149A0">
        <w:rPr>
          <w:rFonts w:ascii="Verdana" w:eastAsia="Calibri" w:hAnsi="Verdana" w:cs="Arial"/>
          <w:lang w:eastAsia="es-MX"/>
        </w:rPr>
        <w:t xml:space="preserve">) la capacidad financiera y </w:t>
      </w:r>
      <w:proofErr w:type="spellStart"/>
      <w:r w:rsidRPr="00B149A0">
        <w:rPr>
          <w:rFonts w:ascii="Verdana" w:eastAsia="Calibri" w:hAnsi="Verdana" w:cs="Arial"/>
          <w:lang w:eastAsia="es-MX"/>
        </w:rPr>
        <w:t>iv</w:t>
      </w:r>
      <w:proofErr w:type="spellEnd"/>
      <w:r w:rsidRPr="00B149A0">
        <w:rPr>
          <w:rFonts w:ascii="Verdana" w:eastAsia="Calibri" w:hAnsi="Verdana" w:cs="Arial"/>
          <w:lang w:eastAsia="es-MX"/>
        </w:rPr>
        <w:t>) la capacidad de organización.</w:t>
      </w:r>
    </w:p>
    <w:p w14:paraId="0F8C74DB" w14:textId="77777777" w:rsidR="00B11426" w:rsidRPr="00B149A0" w:rsidRDefault="00B11426" w:rsidP="00B11426">
      <w:pPr>
        <w:spacing w:after="0" w:line="240" w:lineRule="auto"/>
        <w:contextualSpacing/>
        <w:jc w:val="both"/>
        <w:rPr>
          <w:rFonts w:ascii="Verdana" w:eastAsia="Calibri" w:hAnsi="Verdana" w:cs="Arial"/>
          <w:lang w:eastAsia="es-MX"/>
        </w:rPr>
      </w:pPr>
    </w:p>
    <w:p w14:paraId="1A6BA631" w14:textId="77777777" w:rsidR="00B11426" w:rsidRPr="00B149A0" w:rsidRDefault="00B11426" w:rsidP="00B11426">
      <w:pPr>
        <w:spacing w:after="0" w:line="240" w:lineRule="auto"/>
        <w:contextualSpacing/>
        <w:jc w:val="both"/>
        <w:rPr>
          <w:rFonts w:ascii="Verdana" w:eastAsia="Times New Roman" w:hAnsi="Verdana" w:cs="Arial"/>
          <w:b/>
          <w:bCs/>
          <w:lang w:eastAsia="es-MX"/>
        </w:rPr>
      </w:pPr>
      <w:r w:rsidRPr="00B149A0">
        <w:rPr>
          <w:rFonts w:ascii="Verdana" w:eastAsia="Times New Roman" w:hAnsi="Verdana" w:cs="Arial"/>
          <w:b/>
          <w:bCs/>
          <w:lang w:eastAsia="es-MX"/>
        </w:rPr>
        <w:t>REQUISITOS HABILITANTES – Carácter enunciativo – Artículo 5 de la Ley 1150 de 2007</w:t>
      </w:r>
    </w:p>
    <w:p w14:paraId="2ED354DB" w14:textId="77777777" w:rsidR="00B11426" w:rsidRPr="00B149A0" w:rsidRDefault="00B11426" w:rsidP="00B11426">
      <w:pPr>
        <w:spacing w:after="0" w:line="240" w:lineRule="auto"/>
        <w:contextualSpacing/>
        <w:jc w:val="both"/>
        <w:rPr>
          <w:rFonts w:ascii="Verdana" w:eastAsia="Times New Roman" w:hAnsi="Verdana" w:cs="Arial"/>
          <w:b/>
          <w:bCs/>
          <w:lang w:eastAsia="es-MX"/>
        </w:rPr>
      </w:pPr>
    </w:p>
    <w:p w14:paraId="7C6B3217" w14:textId="77777777" w:rsidR="00B11426" w:rsidRPr="00B149A0" w:rsidRDefault="00B11426" w:rsidP="00B11426">
      <w:pPr>
        <w:spacing w:after="0" w:line="240" w:lineRule="auto"/>
        <w:contextualSpacing/>
        <w:jc w:val="both"/>
        <w:rPr>
          <w:rFonts w:ascii="Verdana" w:eastAsia="Times New Roman" w:hAnsi="Verdana" w:cs="Arial"/>
          <w:lang w:eastAsia="es-MX"/>
        </w:rPr>
      </w:pPr>
      <w:r w:rsidRPr="00B149A0">
        <w:rPr>
          <w:rFonts w:ascii="Verdana" w:eastAsia="Times New Roman" w:hAnsi="Verdana" w:cs="Arial"/>
          <w:lang w:eastAsia="es-MX"/>
        </w:rPr>
        <w:t xml:space="preserve">La Agencia Nacional de Contratación Pública – Colombia Compra Eficiente ha defendido el carácter </w:t>
      </w:r>
      <w:r w:rsidRPr="00B149A0">
        <w:rPr>
          <w:rFonts w:ascii="Verdana" w:eastAsia="Times New Roman" w:hAnsi="Verdana" w:cs="Arial"/>
          <w:i/>
          <w:iCs/>
          <w:lang w:eastAsia="es-MX"/>
        </w:rPr>
        <w:t>enunciativo</w:t>
      </w:r>
      <w:r w:rsidRPr="00B149A0">
        <w:rPr>
          <w:rFonts w:ascii="Verdana" w:eastAsia="Times New Roman" w:hAnsi="Verdana" w:cs="Arial"/>
          <w:lang w:eastAsia="es-MX"/>
        </w:rPr>
        <w:t xml:space="preserve">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w:t>
      </w:r>
    </w:p>
    <w:p w14:paraId="376DA912" w14:textId="77777777" w:rsidR="00B11426" w:rsidRPr="00B149A0" w:rsidRDefault="00B11426" w:rsidP="00B11426">
      <w:pPr>
        <w:spacing w:after="0" w:line="240" w:lineRule="auto"/>
        <w:contextualSpacing/>
        <w:jc w:val="both"/>
        <w:rPr>
          <w:rFonts w:ascii="Verdana" w:eastAsia="Times New Roman" w:hAnsi="Verdana" w:cs="Arial"/>
          <w:lang w:eastAsia="es-MX"/>
        </w:rPr>
      </w:pPr>
    </w:p>
    <w:p w14:paraId="04FBF62D" w14:textId="77777777" w:rsidR="00B11426" w:rsidRPr="00B149A0" w:rsidRDefault="00B11426" w:rsidP="00B11426">
      <w:pPr>
        <w:spacing w:after="0" w:line="240" w:lineRule="auto"/>
        <w:contextualSpacing/>
        <w:jc w:val="both"/>
        <w:rPr>
          <w:rFonts w:ascii="Verdana" w:eastAsia="Times New Roman" w:hAnsi="Verdana" w:cs="Arial"/>
          <w:lang w:eastAsia="es-MX"/>
        </w:rPr>
      </w:pPr>
      <w:r w:rsidRPr="00B149A0">
        <w:rPr>
          <w:rFonts w:ascii="Verdana" w:eastAsia="Times New Roman" w:hAnsi="Verdana" w:cs="Arial"/>
          <w:lang w:eastAsia="es-MX"/>
        </w:rPr>
        <w:t xml:space="preserve">“[…]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511FDFA2" w14:textId="77777777" w:rsidR="00B11426" w:rsidRPr="00B149A0" w:rsidRDefault="00B11426" w:rsidP="00B11426">
      <w:pPr>
        <w:spacing w:after="0" w:line="240" w:lineRule="auto"/>
        <w:contextualSpacing/>
        <w:jc w:val="both"/>
        <w:rPr>
          <w:rFonts w:ascii="Verdana" w:eastAsia="Times New Roman" w:hAnsi="Verdana" w:cs="Arial"/>
          <w:lang w:eastAsia="es-MX"/>
        </w:rPr>
      </w:pPr>
    </w:p>
    <w:p w14:paraId="4ED32809" w14:textId="77777777" w:rsidR="00B11426" w:rsidRPr="00B149A0" w:rsidRDefault="00B11426" w:rsidP="00B11426">
      <w:pPr>
        <w:tabs>
          <w:tab w:val="left" w:pos="426"/>
        </w:tabs>
        <w:spacing w:after="0" w:line="240" w:lineRule="auto"/>
        <w:contextualSpacing/>
        <w:jc w:val="both"/>
        <w:rPr>
          <w:rFonts w:ascii="Verdana" w:eastAsia="Times New Roman" w:hAnsi="Verdana" w:cs="Arial"/>
          <w:lang w:eastAsia="es-MX"/>
        </w:rPr>
      </w:pPr>
      <w:r w:rsidRPr="00B149A0">
        <w:rPr>
          <w:rFonts w:ascii="Verdana" w:eastAsia="Times New Roman" w:hAnsi="Verdana" w:cs="Arial"/>
          <w:lang w:eastAsia="es-MX"/>
        </w:rPr>
        <w:t xml:space="preserve">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w:t>
      </w:r>
      <w:r w:rsidRPr="00B149A0">
        <w:rPr>
          <w:rFonts w:ascii="Verdana" w:eastAsia="Times New Roman" w:hAnsi="Verdana" w:cs="Arial"/>
          <w:lang w:eastAsia="es-MX"/>
        </w:rPr>
        <w:lastRenderedPageBreak/>
        <w:t xml:space="preserve">manera adecuada y proporcional a las características del objeto ofertado, procurando además ceñirse a la normativa que resulte aplicable. </w:t>
      </w:r>
    </w:p>
    <w:p w14:paraId="15B3C77A" w14:textId="77777777" w:rsidR="00B11426" w:rsidRPr="00B149A0" w:rsidRDefault="00B11426" w:rsidP="00B11426">
      <w:pPr>
        <w:spacing w:after="0" w:line="240" w:lineRule="auto"/>
        <w:contextualSpacing/>
        <w:jc w:val="both"/>
        <w:rPr>
          <w:rFonts w:ascii="Verdana" w:eastAsia="Calibri" w:hAnsi="Verdana" w:cs="Arial"/>
          <w:b/>
          <w:lang w:eastAsia="es-ES_tradnl"/>
        </w:rPr>
      </w:pPr>
    </w:p>
    <w:p w14:paraId="2CF83D82" w14:textId="77777777" w:rsidR="00B11426" w:rsidRPr="00B149A0" w:rsidRDefault="00B11426" w:rsidP="00B11426">
      <w:pPr>
        <w:spacing w:after="0" w:line="240" w:lineRule="auto"/>
        <w:contextualSpacing/>
        <w:jc w:val="both"/>
        <w:rPr>
          <w:rFonts w:ascii="Verdana" w:eastAsia="Calibri" w:hAnsi="Verdana" w:cs="Arial"/>
          <w:b/>
          <w:lang w:eastAsia="es-ES_tradnl"/>
        </w:rPr>
      </w:pPr>
      <w:r w:rsidRPr="00B149A0">
        <w:rPr>
          <w:rFonts w:ascii="Verdana" w:eastAsia="Calibri" w:hAnsi="Verdana" w:cs="Arial"/>
          <w:b/>
          <w:lang w:eastAsia="es-ES_tradnl"/>
        </w:rPr>
        <w:t xml:space="preserve">REQUISITOS HABILITANTES – Acreditación – RUP – Otros documentos </w:t>
      </w:r>
    </w:p>
    <w:p w14:paraId="4A5C61D1" w14:textId="77777777" w:rsidR="00B11426" w:rsidRPr="00B149A0" w:rsidRDefault="00B11426" w:rsidP="00B11426">
      <w:pPr>
        <w:spacing w:after="0" w:line="240" w:lineRule="auto"/>
        <w:contextualSpacing/>
        <w:jc w:val="both"/>
        <w:rPr>
          <w:rFonts w:ascii="Verdana" w:eastAsia="Calibri" w:hAnsi="Verdana" w:cs="Arial"/>
          <w:lang w:eastAsia="es-ES_tradnl"/>
        </w:rPr>
      </w:pPr>
    </w:p>
    <w:p w14:paraId="5521749A"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 xml:space="preserve">En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p w14:paraId="7F832470"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6519DD7D"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 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2C52E78B"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03897EE4" w14:textId="77777777" w:rsidR="00B11426" w:rsidRPr="00B149A0" w:rsidRDefault="00B11426" w:rsidP="00B11426">
      <w:pPr>
        <w:spacing w:after="0" w:line="240" w:lineRule="auto"/>
        <w:contextualSpacing/>
        <w:jc w:val="both"/>
        <w:rPr>
          <w:rFonts w:ascii="Verdana" w:eastAsia="Times New Roman" w:hAnsi="Verdana" w:cs="Arial"/>
          <w:bCs/>
          <w:lang w:eastAsia="x-none"/>
        </w:rPr>
      </w:pPr>
      <w:r w:rsidRPr="00B149A0">
        <w:rPr>
          <w:rFonts w:ascii="Verdana" w:eastAsia="Times New Roman" w:hAnsi="Verdana" w:cs="Arial"/>
          <w:lang w:eastAsia="es-ES_tradnl"/>
        </w:rPr>
        <w:t xml:space="preserve">[…] </w:t>
      </w:r>
      <w:r w:rsidRPr="00B149A0">
        <w:rPr>
          <w:rFonts w:ascii="Verdana" w:eastAsia="Times New Roman" w:hAnsi="Verdana" w:cs="Arial"/>
          <w:bCs/>
          <w:lang w:eastAsia="x-none"/>
        </w:rPr>
        <w:t xml:space="preserve">En conclusión, por regla general, el cumplimiento de los requisitos habilitantes determinados por la Entidad Estatal en cada proceso de contratación, entre ellos la capacidad jurídica, se debe verificar mediante el RUP el cual constituye plena prueba de las circunstancias de las que da cuenta. No obstante, en aquellos casos en los cuales no es obligatorio estar inscrito en el RUP o los eventos en los que la Entidad Estatal considere que, por el objeto, naturaleza o especificaciones del proceso, requiere información adicional a la contenida en el RUP, la entidad debe señalar en el Pliego de Condiciones–o en la Invitación– cuál es la información que se debe acreditar, así como los documentos que tendrá como válidos para tal fin. En consecuencia, el proponente deberá ceñirse a lo dispuesto por la entidad y allegar toda información ordenada, en los términos y la forma en que hayan sido señalados”. </w:t>
      </w:r>
    </w:p>
    <w:p w14:paraId="4CD59791"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39246BFE" w14:textId="77777777" w:rsidR="00B11426" w:rsidRPr="00B149A0" w:rsidRDefault="00B11426" w:rsidP="00B11426">
      <w:pPr>
        <w:spacing w:after="0" w:line="240" w:lineRule="auto"/>
        <w:contextualSpacing/>
        <w:jc w:val="both"/>
        <w:rPr>
          <w:rFonts w:ascii="Verdana" w:eastAsia="Calibri" w:hAnsi="Verdana" w:cs="Arial"/>
          <w:b/>
          <w:bCs/>
          <w:lang w:eastAsia="es-ES_tradnl"/>
        </w:rPr>
      </w:pPr>
      <w:r w:rsidRPr="00B149A0">
        <w:rPr>
          <w:rFonts w:ascii="Verdana" w:eastAsia="Calibri" w:hAnsi="Verdana" w:cs="Arial"/>
          <w:b/>
          <w:bCs/>
          <w:lang w:eastAsia="es-ES_tradnl"/>
        </w:rPr>
        <w:t xml:space="preserve">CAPACIDAD JURÍDICA – Registro Único Tributario – </w:t>
      </w:r>
    </w:p>
    <w:p w14:paraId="454FD2B4"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22531EA8" w14:textId="77777777" w:rsidR="00B11426" w:rsidRPr="00B149A0" w:rsidRDefault="00B11426" w:rsidP="00B11426">
      <w:pPr>
        <w:spacing w:after="0" w:line="240" w:lineRule="auto"/>
        <w:contextualSpacing/>
        <w:jc w:val="both"/>
        <w:rPr>
          <w:rFonts w:ascii="Verdana" w:eastAsia="Calibri" w:hAnsi="Verdana" w:cs="Arial"/>
          <w:lang w:eastAsia="es-ES"/>
        </w:rPr>
      </w:pPr>
      <w:r w:rsidRPr="00B149A0">
        <w:rPr>
          <w:rFonts w:ascii="Verdana" w:eastAsia="Calibri" w:hAnsi="Verdana" w:cs="Arial"/>
          <w:lang w:eastAsia="es-ES"/>
        </w:rPr>
        <w:lastRenderedPageBreak/>
        <w:t xml:space="preserve">La capacidad jurídica es la aptitud que recae en los sujeto activos o pasivos de las relaciones jurídicas. Para efectos de las relaciones contractuales en las que uno de los extremos de la relación sea una Entidad Estatal, la capacidad jurídica es la facultad que tiene una persona natural o jurídica para celebrar contratos con una Entidad Estatal. En otras palabras, es i) la capacidad de obligarse a cumplir el objeto del contrato y </w:t>
      </w:r>
      <w:proofErr w:type="spellStart"/>
      <w:r w:rsidRPr="00B149A0">
        <w:rPr>
          <w:rFonts w:ascii="Verdana" w:eastAsia="Calibri" w:hAnsi="Verdana" w:cs="Arial"/>
          <w:lang w:eastAsia="es-ES"/>
        </w:rPr>
        <w:t>ii</w:t>
      </w:r>
      <w:proofErr w:type="spellEnd"/>
      <w:r w:rsidRPr="00B149A0">
        <w:rPr>
          <w:rFonts w:ascii="Verdana" w:eastAsia="Calibri" w:hAnsi="Verdana" w:cs="Arial"/>
          <w:lang w:eastAsia="es-ES"/>
        </w:rPr>
        <w:t>) de no estar incursa en inhabilidades o incompatibilidades que impidan la celebración del contrato.</w:t>
      </w:r>
    </w:p>
    <w:p w14:paraId="69CBCFA5"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4AE9EB1F"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w:t>
      </w:r>
    </w:p>
    <w:p w14:paraId="0AEDD99C"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61C1E4E0" w14:textId="77777777" w:rsidR="00B11426" w:rsidRPr="00B149A0" w:rsidRDefault="00B11426" w:rsidP="00B11426">
      <w:pPr>
        <w:spacing w:after="0" w:line="240" w:lineRule="auto"/>
        <w:contextualSpacing/>
        <w:jc w:val="both"/>
        <w:rPr>
          <w:rFonts w:ascii="Verdana" w:eastAsia="Calibri" w:hAnsi="Verdana" w:cs="Arial"/>
          <w:lang w:eastAsia="es-ES_tradnl"/>
        </w:rPr>
      </w:pPr>
      <w:r w:rsidRPr="00B149A0">
        <w:rPr>
          <w:rFonts w:ascii="Verdana" w:eastAsia="Calibri" w:hAnsi="Verdana" w:cs="Arial"/>
          <w:lang w:eastAsia="es-ES_tradnl"/>
        </w:rPr>
        <w:t xml:space="preserve">Se concluye que, en el ordenamiento colombiano pueden celebrar contratos estatales las personas jurídicas que tengan dentro de su objeto social actividades relacionadas con el objeto a contratar. En el </w:t>
      </w:r>
      <w:r w:rsidRPr="00B149A0">
        <w:rPr>
          <w:rFonts w:ascii="Verdana" w:eastAsia="Times New Roman" w:hAnsi="Verdana" w:cs="Arial"/>
          <w:color w:val="000000" w:themeColor="text1"/>
          <w:lang w:eastAsia="es-ES_tradnl"/>
        </w:rPr>
        <w:t xml:space="preserve">RUES, administrado por las cámaras de comercio se encuentra el listado de las actividades económicas que conforman el objeto de las empresas, según los códigos de la Clasificación Industrial Internacional Uniforme (CIIU), en virtud de lo dispuesto en el artículo 11 de la Ley 590 de 2000 y el artículo 166 del Decreto 019 de 2012, por lo cual las Entidades Estatales pueden corroborar a través de este documento si la persona jurídica puede o no ejecutar el objeto contractual. </w:t>
      </w:r>
    </w:p>
    <w:p w14:paraId="66764FD9"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63E215F1"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De</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acuerdo</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con</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lo</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anterior,</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inscripción</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en</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RUT</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es</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una</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obligación</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asiste a las personas naturales y jurídicas, y que, tratándose de comerciantes, supone concordancia con las</w:t>
      </w:r>
      <w:r w:rsidRPr="00B149A0">
        <w:rPr>
          <w:rFonts w:ascii="Verdana" w:eastAsia="Times New Roman" w:hAnsi="Verdana" w:cs="Arial"/>
          <w:spacing w:val="1"/>
          <w:lang w:eastAsia="es-ES_tradnl"/>
        </w:rPr>
        <w:t xml:space="preserve"> </w:t>
      </w:r>
      <w:r w:rsidRPr="00B149A0">
        <w:rPr>
          <w:rFonts w:ascii="Verdana" w:eastAsia="Times New Roman" w:hAnsi="Verdana" w:cs="Arial"/>
          <w:spacing w:val="-1"/>
          <w:lang w:eastAsia="es-ES_tradnl"/>
        </w:rPr>
        <w:t>actividades</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que</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en</w:t>
      </w:r>
      <w:r w:rsidRPr="00B149A0">
        <w:rPr>
          <w:rFonts w:ascii="Verdana" w:eastAsia="Times New Roman" w:hAnsi="Verdana" w:cs="Arial"/>
          <w:spacing w:val="-14"/>
          <w:lang w:eastAsia="es-ES_tradnl"/>
        </w:rPr>
        <w:t xml:space="preserve"> </w:t>
      </w:r>
      <w:r w:rsidRPr="00B149A0">
        <w:rPr>
          <w:rFonts w:ascii="Verdana" w:eastAsia="Times New Roman" w:hAnsi="Verdana" w:cs="Arial"/>
          <w:spacing w:val="-1"/>
          <w:lang w:eastAsia="es-ES_tradnl"/>
        </w:rPr>
        <w:t>el</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marco</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de</w:t>
      </w:r>
      <w:r w:rsidRPr="00B149A0">
        <w:rPr>
          <w:rFonts w:ascii="Verdana" w:eastAsia="Times New Roman" w:hAnsi="Verdana" w:cs="Arial"/>
          <w:spacing w:val="-14"/>
          <w:lang w:eastAsia="es-ES_tradnl"/>
        </w:rPr>
        <w:t xml:space="preserve"> </w:t>
      </w:r>
      <w:r w:rsidRPr="00B149A0">
        <w:rPr>
          <w:rFonts w:ascii="Verdana" w:eastAsia="Times New Roman" w:hAnsi="Verdana" w:cs="Arial"/>
          <w:spacing w:val="-1"/>
          <w:lang w:eastAsia="es-ES_tradnl"/>
        </w:rPr>
        <w:t>las</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cuales</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se</w:t>
      </w:r>
      <w:r w:rsidRPr="00B149A0">
        <w:rPr>
          <w:rFonts w:ascii="Verdana" w:eastAsia="Times New Roman" w:hAnsi="Verdana" w:cs="Arial"/>
          <w:spacing w:val="-14"/>
          <w:lang w:eastAsia="es-ES_tradnl"/>
        </w:rPr>
        <w:t xml:space="preserve"> </w:t>
      </w:r>
      <w:r w:rsidRPr="00B149A0">
        <w:rPr>
          <w:rFonts w:ascii="Verdana" w:eastAsia="Times New Roman" w:hAnsi="Verdana" w:cs="Arial"/>
          <w:spacing w:val="-1"/>
          <w:lang w:eastAsia="es-ES_tradnl"/>
        </w:rPr>
        <w:t>ejerce</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el</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comercio.</w:t>
      </w:r>
      <w:r w:rsidRPr="00B149A0">
        <w:rPr>
          <w:rFonts w:ascii="Verdana" w:eastAsia="Times New Roman" w:hAnsi="Verdana" w:cs="Arial"/>
          <w:spacing w:val="-14"/>
          <w:lang w:eastAsia="es-ES_tradnl"/>
        </w:rPr>
        <w:t xml:space="preserve"> </w:t>
      </w:r>
      <w:r w:rsidRPr="00B149A0">
        <w:rPr>
          <w:rFonts w:ascii="Verdana" w:eastAsia="Times New Roman" w:hAnsi="Verdana" w:cs="Arial"/>
          <w:lang w:eastAsia="es-ES_tradnl"/>
        </w:rPr>
        <w:t>No</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obstante,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estima</w:t>
      </w:r>
      <w:r w:rsidRPr="00B149A0">
        <w:rPr>
          <w:rFonts w:ascii="Verdana" w:eastAsia="Times New Roman" w:hAnsi="Verdana" w:cs="Arial"/>
          <w:spacing w:val="-14"/>
          <w:lang w:eastAsia="es-ES_tradnl"/>
        </w:rPr>
        <w:t xml:space="preserve"> </w:t>
      </w:r>
      <w:r w:rsidRPr="00B149A0">
        <w:rPr>
          <w:rFonts w:ascii="Verdana" w:eastAsia="Times New Roman" w:hAnsi="Verdana" w:cs="Arial"/>
          <w:lang w:eastAsia="es-ES_tradnl"/>
        </w:rPr>
        <w:t>esta</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Agencia</w:t>
      </w:r>
      <w:r w:rsidRPr="00B149A0">
        <w:rPr>
          <w:rFonts w:ascii="Verdana" w:eastAsia="Times New Roman" w:hAnsi="Verdana" w:cs="Arial"/>
          <w:spacing w:val="-59"/>
          <w:lang w:eastAsia="es-ES_tradnl"/>
        </w:rPr>
        <w:t xml:space="preserve"> </w:t>
      </w:r>
      <w:r w:rsidRPr="00B149A0">
        <w:rPr>
          <w:rFonts w:ascii="Verdana" w:eastAsia="Times New Roman" w:hAnsi="Verdana" w:cs="Arial"/>
          <w:lang w:eastAsia="es-ES_tradnl"/>
        </w:rPr>
        <w:t>que ello no necesariamente condiciona la capacidad jurídica del proponente para obligarse en el</w:t>
      </w:r>
      <w:r w:rsidRPr="00B149A0">
        <w:rPr>
          <w:rFonts w:ascii="Verdana" w:eastAsia="Times New Roman" w:hAnsi="Verdana" w:cs="Arial"/>
          <w:spacing w:val="-60"/>
          <w:lang w:eastAsia="es-ES_tradnl"/>
        </w:rPr>
        <w:t xml:space="preserve"> </w:t>
      </w:r>
      <w:r w:rsidRPr="00B149A0">
        <w:rPr>
          <w:rFonts w:ascii="Verdana" w:eastAsia="Times New Roman" w:hAnsi="Verdana" w:cs="Arial"/>
          <w:lang w:eastAsia="es-ES_tradnl"/>
        </w:rPr>
        <w:t>marco de un contrato estatal y ejecutar el mismo, en la medida que se trata de una obligación</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tributaria</w:t>
      </w:r>
      <w:r w:rsidRPr="00B149A0">
        <w:rPr>
          <w:rFonts w:ascii="Verdana" w:eastAsia="Times New Roman" w:hAnsi="Verdana" w:cs="Arial"/>
          <w:spacing w:val="-14"/>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solo</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condicionará</w:t>
      </w:r>
      <w:r w:rsidRPr="00B149A0">
        <w:rPr>
          <w:rFonts w:ascii="Verdana" w:eastAsia="Times New Roman" w:hAnsi="Verdana" w:cs="Arial"/>
          <w:spacing w:val="-16"/>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capacidad</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jurídica</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en</w:t>
      </w:r>
      <w:r w:rsidRPr="00B149A0">
        <w:rPr>
          <w:rFonts w:ascii="Verdana" w:eastAsia="Times New Roman" w:hAnsi="Verdana" w:cs="Arial"/>
          <w:spacing w:val="-16"/>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caso</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en</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16"/>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se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trate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de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una</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actividad</w:t>
      </w:r>
      <w:r w:rsidRPr="00B149A0">
        <w:rPr>
          <w:rFonts w:ascii="Verdana" w:eastAsia="Times New Roman" w:hAnsi="Verdana" w:cs="Arial"/>
          <w:spacing w:val="-59"/>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solo</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pueda</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ser</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ejercida</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previa</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inscripción</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en</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RUT,</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asunto</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regido</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por</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normas</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tributarias.</w:t>
      </w:r>
    </w:p>
    <w:p w14:paraId="73709DC8"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4261FCB0"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Conforme a lo anterior, la validez de exigir la inscripción en el RUT de determinados</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códigos</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o</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actividades</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asociados</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al</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objeto</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contractual</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como</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requisito</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para</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acreditar</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capacidad jurídica, depende en primera medida de lo impuesto por las normas tributarias y comerciales, de</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suerte</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si</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tal</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normativa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indica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obligatoriedad</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del</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RUT</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para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ejercer</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actividad correspondiente, podría resultar valido el referido requisito. En todo caso, también es necesario</w:t>
      </w:r>
      <w:r w:rsidRPr="00B149A0">
        <w:rPr>
          <w:rFonts w:ascii="Verdana" w:eastAsia="Times New Roman" w:hAnsi="Verdana" w:cs="Arial"/>
          <w:spacing w:val="-59"/>
          <w:lang w:eastAsia="es-ES_tradnl"/>
        </w:rPr>
        <w:t xml:space="preserve"> </w:t>
      </w:r>
      <w:r w:rsidRPr="00B149A0">
        <w:rPr>
          <w:rFonts w:ascii="Verdana" w:eastAsia="Times New Roman" w:hAnsi="Verdana" w:cs="Arial"/>
          <w:lang w:eastAsia="es-ES_tradnl"/>
        </w:rPr>
        <w:t>verificar las particulares condiciones de la persona proponente a efectos de determinar</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si atención a las mismas se encuentra obligado a estar inscrito en RUT en los términos exigidos</w:t>
      </w:r>
      <w:r w:rsidRPr="00B149A0">
        <w:rPr>
          <w:rFonts w:ascii="Verdana" w:eastAsia="Times New Roman" w:hAnsi="Verdana" w:cs="Arial"/>
          <w:spacing w:val="-59"/>
          <w:lang w:eastAsia="es-ES_tradnl"/>
        </w:rPr>
        <w:t xml:space="preserve"> </w:t>
      </w:r>
      <w:r w:rsidRPr="00B149A0">
        <w:rPr>
          <w:rFonts w:ascii="Verdana" w:eastAsia="Times New Roman" w:hAnsi="Verdana" w:cs="Arial"/>
          <w:lang w:eastAsia="es-ES_tradnl"/>
        </w:rPr>
        <w:t>o</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si</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ello</w:t>
      </w:r>
      <w:r w:rsidRPr="00B149A0">
        <w:rPr>
          <w:rFonts w:ascii="Verdana" w:eastAsia="Times New Roman" w:hAnsi="Verdana" w:cs="Arial"/>
          <w:spacing w:val="-2"/>
          <w:lang w:eastAsia="es-ES_tradnl"/>
        </w:rPr>
        <w:t xml:space="preserve"> </w:t>
      </w:r>
      <w:r w:rsidRPr="00B149A0">
        <w:rPr>
          <w:rFonts w:ascii="Verdana" w:eastAsia="Times New Roman" w:hAnsi="Verdana" w:cs="Arial"/>
          <w:lang w:eastAsia="es-ES_tradnl"/>
        </w:rPr>
        <w:t>supone</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un</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impedimento</w:t>
      </w:r>
      <w:r w:rsidRPr="00B149A0">
        <w:rPr>
          <w:rFonts w:ascii="Verdana" w:eastAsia="Times New Roman" w:hAnsi="Verdana" w:cs="Arial"/>
          <w:spacing w:val="-2"/>
          <w:lang w:eastAsia="es-ES_tradnl"/>
        </w:rPr>
        <w:t xml:space="preserve"> </w:t>
      </w:r>
      <w:r w:rsidRPr="00B149A0">
        <w:rPr>
          <w:rFonts w:ascii="Verdana" w:eastAsia="Times New Roman" w:hAnsi="Verdana" w:cs="Arial"/>
          <w:lang w:eastAsia="es-ES_tradnl"/>
        </w:rPr>
        <w:t>para</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ejecutar</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2"/>
          <w:lang w:eastAsia="es-ES_tradnl"/>
        </w:rPr>
        <w:t xml:space="preserve"> </w:t>
      </w:r>
      <w:r w:rsidRPr="00B149A0">
        <w:rPr>
          <w:rFonts w:ascii="Verdana" w:eastAsia="Times New Roman" w:hAnsi="Verdana" w:cs="Arial"/>
          <w:lang w:eastAsia="es-ES_tradnl"/>
        </w:rPr>
        <w:t>contrato.</w:t>
      </w:r>
    </w:p>
    <w:p w14:paraId="4427CFAB" w14:textId="77777777" w:rsidR="00B11426" w:rsidRPr="00B149A0" w:rsidRDefault="00B11426" w:rsidP="00B11426">
      <w:pPr>
        <w:spacing w:after="0" w:line="240" w:lineRule="auto"/>
        <w:rPr>
          <w:rFonts w:ascii="Verdana" w:hAnsi="Verdana"/>
        </w:rPr>
      </w:pPr>
    </w:p>
    <w:p w14:paraId="4656A3E5" w14:textId="77777777" w:rsidR="00B11426" w:rsidRDefault="00B11426" w:rsidP="00B11426">
      <w:pPr>
        <w:spacing w:after="0" w:line="240" w:lineRule="auto"/>
        <w:rPr>
          <w:rFonts w:ascii="Verdana" w:hAnsi="Verdana"/>
        </w:rPr>
      </w:pPr>
    </w:p>
    <w:p w14:paraId="04DA5AB1" w14:textId="77777777" w:rsidR="00B11426" w:rsidRDefault="00B11426" w:rsidP="00B11426">
      <w:pPr>
        <w:spacing w:after="0" w:line="240" w:lineRule="auto"/>
        <w:rPr>
          <w:rFonts w:ascii="Verdana" w:hAnsi="Verdana"/>
        </w:rPr>
      </w:pPr>
    </w:p>
    <w:p w14:paraId="5DA19BED" w14:textId="388CDB2B" w:rsidR="00B11426" w:rsidRDefault="00B11426" w:rsidP="00B11426">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proofErr w:type="spellStart"/>
      <w:r>
        <w:rPr>
          <w:rFonts w:ascii="Verdana" w:hAnsi="Verdana"/>
        </w:rPr>
        <w:t>xxx</w:t>
      </w:r>
      <w:proofErr w:type="spellEnd"/>
      <w:r>
        <w:rPr>
          <w:rFonts w:ascii="Verdana" w:hAnsi="Verdana"/>
        </w:rPr>
        <w:t xml:space="preserve"> de </w:t>
      </w:r>
      <w:proofErr w:type="spellStart"/>
      <w:r>
        <w:rPr>
          <w:rFonts w:ascii="Verdana" w:hAnsi="Verdana"/>
        </w:rPr>
        <w:t>xxx</w:t>
      </w:r>
      <w:proofErr w:type="spellEnd"/>
      <w:r>
        <w:rPr>
          <w:rFonts w:ascii="Verdana" w:hAnsi="Verdana"/>
        </w:rPr>
        <w:t xml:space="preserve"> de </w:t>
      </w:r>
      <w:proofErr w:type="spellStart"/>
      <w:r>
        <w:rPr>
          <w:rFonts w:ascii="Verdana" w:hAnsi="Verdana"/>
        </w:rPr>
        <w:t>xxx</w:t>
      </w:r>
      <w:proofErr w:type="spellEnd"/>
      <w:r>
        <w:rPr>
          <w:rFonts w:ascii="Verdana" w:hAnsi="Verdana"/>
        </w:rPr>
        <w:t>.</w:t>
      </w:r>
    </w:p>
    <w:bookmarkEnd w:id="0"/>
    <w:p w14:paraId="1BE7CD62" w14:textId="77777777" w:rsidR="00B11426" w:rsidRDefault="00B11426" w:rsidP="00B11426">
      <w:pPr>
        <w:spacing w:after="0" w:line="240" w:lineRule="auto"/>
        <w:rPr>
          <w:rFonts w:ascii="Verdana" w:hAnsi="Verdana"/>
        </w:rPr>
      </w:pPr>
    </w:p>
    <w:p w14:paraId="26BEECDD" w14:textId="77777777" w:rsidR="00B11426" w:rsidRDefault="00B11426" w:rsidP="00B11426">
      <w:pPr>
        <w:spacing w:after="0" w:line="240" w:lineRule="auto"/>
        <w:rPr>
          <w:rFonts w:ascii="Verdana" w:hAnsi="Verdana"/>
        </w:rPr>
      </w:pPr>
    </w:p>
    <w:p w14:paraId="05919FF9" w14:textId="77777777" w:rsidR="00B11426" w:rsidRPr="00631045" w:rsidRDefault="00B11426" w:rsidP="00B11426">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EB2C416" w14:textId="77777777" w:rsidR="00B11426" w:rsidRPr="00F9591F" w:rsidRDefault="00B11426" w:rsidP="00B11426">
      <w:pPr>
        <w:spacing w:after="0" w:line="240" w:lineRule="auto"/>
        <w:rPr>
          <w:rFonts w:ascii="Verdana" w:eastAsia="Calibri" w:hAnsi="Verdana" w:cs="Arial"/>
          <w:b/>
          <w:bCs/>
          <w:lang w:eastAsia="es-ES"/>
        </w:rPr>
      </w:pPr>
      <w:r>
        <w:rPr>
          <w:rFonts w:ascii="Verdana" w:eastAsia="Calibri" w:hAnsi="Verdana" w:cs="Arial"/>
          <w:b/>
          <w:bCs/>
          <w:lang w:eastAsia="es-ES"/>
        </w:rPr>
        <w:t>ALVARO PÉREZ VIDES</w:t>
      </w:r>
    </w:p>
    <w:p w14:paraId="6B195568" w14:textId="77777777" w:rsidR="00B11426" w:rsidRPr="0056164A" w:rsidRDefault="00B11426" w:rsidP="00B11426">
      <w:pPr>
        <w:spacing w:after="0" w:line="240" w:lineRule="auto"/>
        <w:rPr>
          <w:rFonts w:ascii="Verdana" w:eastAsia="Calibri" w:hAnsi="Verdana" w:cs="Arial"/>
          <w:b/>
          <w:bCs/>
          <w:lang w:eastAsia="es-ES"/>
        </w:rPr>
      </w:pPr>
      <w:hyperlink r:id="rId10" w:history="1">
        <w:r w:rsidRPr="00887C3A">
          <w:rPr>
            <w:rStyle w:val="Hipervnculo"/>
            <w:rFonts w:ascii="Verdana" w:hAnsi="Verdana"/>
          </w:rPr>
          <w:t>alpevid@hotmail.com</w:t>
        </w:r>
      </w:hyperlink>
      <w:r>
        <w:rPr>
          <w:rFonts w:ascii="Verdana" w:hAnsi="Verdana"/>
        </w:rPr>
        <w:t xml:space="preserve"> </w:t>
      </w:r>
      <w:r>
        <w:rPr>
          <w:rFonts w:ascii="Verdana" w:eastAsia="Calibri" w:hAnsi="Verdana" w:cs="Arial"/>
          <w:b/>
          <w:bCs/>
          <w:lang w:eastAsia="es-ES"/>
        </w:rPr>
        <w:t xml:space="preserve"> </w:t>
      </w:r>
      <w:r w:rsidRPr="0056164A">
        <w:rPr>
          <w:rFonts w:ascii="Verdana" w:eastAsia="Calibri" w:hAnsi="Verdana" w:cs="Arial"/>
          <w:b/>
          <w:bCs/>
          <w:lang w:eastAsia="es-ES"/>
        </w:rPr>
        <w:t xml:space="preserve"> </w:t>
      </w:r>
    </w:p>
    <w:p w14:paraId="45EE79AE" w14:textId="77777777" w:rsidR="00B11426" w:rsidRDefault="00B11426" w:rsidP="00B11426">
      <w:pPr>
        <w:spacing w:after="0" w:line="240" w:lineRule="auto"/>
        <w:rPr>
          <w:rFonts w:ascii="Verdana" w:hAnsi="Verdana"/>
        </w:rPr>
      </w:pPr>
      <w:r>
        <w:rPr>
          <w:rFonts w:ascii="Verdana" w:hAnsi="Verdana"/>
        </w:rPr>
        <w:t xml:space="preserve">Bogotá D.C. </w:t>
      </w:r>
    </w:p>
    <w:p w14:paraId="68BEEEA3" w14:textId="77777777" w:rsidR="00B11426" w:rsidRPr="00FE3DEC" w:rsidRDefault="00B11426" w:rsidP="00B11426">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B11426" w:rsidRPr="00593A5F" w14:paraId="4ACE4C2C" w14:textId="77777777" w:rsidTr="00E11A84">
        <w:trPr>
          <w:trHeight w:val="273"/>
        </w:trPr>
        <w:tc>
          <w:tcPr>
            <w:tcW w:w="2295" w:type="dxa"/>
          </w:tcPr>
          <w:p w14:paraId="7FD5C8AA" w14:textId="77777777" w:rsidR="00B11426" w:rsidRPr="00E5644F" w:rsidRDefault="00B11426" w:rsidP="00E11A84">
            <w:pPr>
              <w:jc w:val="both"/>
              <w:rPr>
                <w:rFonts w:ascii="Verdana" w:eastAsia="Calibri" w:hAnsi="Verdana" w:cs="Arial"/>
                <w:b/>
                <w:bCs/>
                <w:color w:val="7030A0"/>
                <w:lang w:val="es-ES_tradnl" w:eastAsia="es-ES_tradnl"/>
              </w:rPr>
            </w:pPr>
          </w:p>
        </w:tc>
        <w:tc>
          <w:tcPr>
            <w:tcW w:w="6481" w:type="dxa"/>
            <w:gridSpan w:val="2"/>
          </w:tcPr>
          <w:p w14:paraId="47801FB6" w14:textId="77777777" w:rsidR="00B11426" w:rsidRDefault="00B11426" w:rsidP="00E11A8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1239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194D6FFF" w14:textId="77777777" w:rsidR="00B11426" w:rsidRPr="00E5644F" w:rsidRDefault="00B11426" w:rsidP="00E11A84">
            <w:pPr>
              <w:jc w:val="both"/>
              <w:rPr>
                <w:rFonts w:ascii="Verdana" w:eastAsia="Calibri" w:hAnsi="Verdana" w:cs="Arial"/>
                <w:b/>
                <w:bCs/>
                <w:color w:val="7030A0"/>
                <w:lang w:val="es-ES" w:eastAsia="es-ES"/>
              </w:rPr>
            </w:pPr>
          </w:p>
        </w:tc>
      </w:tr>
      <w:tr w:rsidR="00B11426" w:rsidRPr="00280D79" w14:paraId="4BB3F78B" w14:textId="77777777" w:rsidTr="00E11A84">
        <w:trPr>
          <w:trHeight w:val="1583"/>
        </w:trPr>
        <w:tc>
          <w:tcPr>
            <w:tcW w:w="2295" w:type="dxa"/>
          </w:tcPr>
          <w:p w14:paraId="674D1936" w14:textId="77777777" w:rsidR="00B11426" w:rsidRPr="00593A5F" w:rsidRDefault="00B11426" w:rsidP="00E11A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3CD15AB" w14:textId="77777777" w:rsidR="00B11426" w:rsidRPr="00960F72" w:rsidRDefault="00B11426" w:rsidP="00E11A84">
            <w:pPr>
              <w:autoSpaceDE w:val="0"/>
              <w:autoSpaceDN w:val="0"/>
              <w:adjustRightInd w:val="0"/>
              <w:contextualSpacing/>
              <w:jc w:val="both"/>
              <w:rPr>
                <w:rFonts w:ascii="Verdana" w:eastAsia="Calibri" w:hAnsi="Verdana" w:cs="Arial"/>
                <w:lang w:eastAsia="es-ES_tradnl"/>
              </w:rPr>
            </w:pPr>
            <w:r w:rsidRPr="00960F72">
              <w:rPr>
                <w:rFonts w:ascii="Verdana" w:hAnsi="Verdana" w:cs="Arial"/>
                <w:bCs/>
              </w:rPr>
              <w:t xml:space="preserve">REQUISITOS HABILITANTES – Concepto / REQUISITOS HABILITANTES – Carácter enunciativo – Artículo 5 de la Ley 1150 de 2007 / Requisitos Habilitantes – Acreditación – RUP – Otros documentos / Capacidad jurídica – Registro Único Tributario </w:t>
            </w:r>
          </w:p>
          <w:p w14:paraId="3DC50DEC" w14:textId="77777777" w:rsidR="00B11426" w:rsidRPr="00280D79" w:rsidRDefault="00B11426" w:rsidP="00E11A84">
            <w:pPr>
              <w:jc w:val="both"/>
              <w:rPr>
                <w:rFonts w:ascii="Verdana" w:eastAsia="Calibri" w:hAnsi="Verdana" w:cs="Arial"/>
                <w:b/>
                <w:highlight w:val="yellow"/>
                <w:lang w:val="es-ES" w:eastAsia="es-ES"/>
              </w:rPr>
            </w:pPr>
          </w:p>
        </w:tc>
      </w:tr>
      <w:tr w:rsidR="00B11426" w:rsidRPr="00593A5F" w14:paraId="4485E954" w14:textId="77777777" w:rsidTr="00E11A84">
        <w:trPr>
          <w:trHeight w:val="545"/>
        </w:trPr>
        <w:tc>
          <w:tcPr>
            <w:tcW w:w="2295" w:type="dxa"/>
          </w:tcPr>
          <w:p w14:paraId="522C5D0C" w14:textId="77777777" w:rsidR="00B11426" w:rsidRPr="006730E9" w:rsidRDefault="00B11426" w:rsidP="00E11A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0AFA6F21" w14:textId="77777777" w:rsidR="00B11426" w:rsidRPr="006730E9" w:rsidRDefault="00B11426" w:rsidP="00E11A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56164A">
              <w:rPr>
                <w:rFonts w:ascii="Verdana" w:eastAsia="Calibri" w:hAnsi="Verdana" w:cs="Arial"/>
                <w:lang w:val="es-ES_tradnl" w:eastAsia="es-ES_tradnl"/>
              </w:rPr>
              <w:t>1_2025_09_01_009366</w:t>
            </w:r>
            <w:r>
              <w:rPr>
                <w:rFonts w:ascii="Verdana" w:eastAsia="Calibri" w:hAnsi="Verdana" w:cs="Arial"/>
                <w:lang w:val="es-ES_tradnl" w:eastAsia="es-ES_tradnl"/>
              </w:rPr>
              <w:t xml:space="preserve"> acumulado con los radicados </w:t>
            </w:r>
            <w:r w:rsidRPr="0056164A">
              <w:rPr>
                <w:rFonts w:ascii="Verdana" w:eastAsia="Calibri" w:hAnsi="Verdana" w:cs="Arial"/>
                <w:lang w:val="es-ES_tradnl" w:eastAsia="es-ES_tradnl"/>
              </w:rPr>
              <w:t>1_2025_09_01_009381</w:t>
            </w:r>
            <w:r>
              <w:rPr>
                <w:rFonts w:ascii="Verdana" w:eastAsia="Calibri" w:hAnsi="Verdana" w:cs="Arial"/>
                <w:lang w:val="es-ES_tradnl" w:eastAsia="es-ES_tradnl"/>
              </w:rPr>
              <w:t xml:space="preserve"> y </w:t>
            </w:r>
            <w:r w:rsidRPr="0056164A">
              <w:rPr>
                <w:rFonts w:ascii="Verdana" w:eastAsia="Calibri" w:hAnsi="Verdana" w:cs="Arial"/>
                <w:lang w:val="es-ES_tradnl" w:eastAsia="es-ES_tradnl"/>
              </w:rPr>
              <w:t>1_2025_09_01_009392</w:t>
            </w:r>
          </w:p>
        </w:tc>
      </w:tr>
      <w:tr w:rsidR="00B11426" w:rsidRPr="00DB23D2" w14:paraId="3BADEF65" w14:textId="77777777" w:rsidTr="00E11A84">
        <w:trPr>
          <w:gridAfter w:val="1"/>
          <w:wAfter w:w="319" w:type="dxa"/>
          <w:trHeight w:val="242"/>
        </w:trPr>
        <w:tc>
          <w:tcPr>
            <w:tcW w:w="8457" w:type="dxa"/>
            <w:gridSpan w:val="2"/>
          </w:tcPr>
          <w:p w14:paraId="60551906" w14:textId="77777777" w:rsidR="00B11426" w:rsidRPr="00DB23D2" w:rsidRDefault="00B11426" w:rsidP="00E11A84">
            <w:pPr>
              <w:spacing w:line="276" w:lineRule="auto"/>
              <w:jc w:val="both"/>
              <w:rPr>
                <w:rFonts w:ascii="Verdana" w:eastAsia="Calibri" w:hAnsi="Verdana" w:cs="Arial"/>
                <w:lang w:val="es-ES_tradnl" w:eastAsia="es-ES"/>
              </w:rPr>
            </w:pPr>
          </w:p>
        </w:tc>
      </w:tr>
    </w:tbl>
    <w:p w14:paraId="1AC5C4F8" w14:textId="77777777" w:rsidR="00B11426" w:rsidRPr="006730E9" w:rsidRDefault="00B11426" w:rsidP="00B1142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Pérez;</w:t>
      </w:r>
    </w:p>
    <w:p w14:paraId="30221850" w14:textId="77777777" w:rsidR="00B11426" w:rsidRDefault="00B11426" w:rsidP="00B1142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270B9413" w14:textId="77777777" w:rsidR="00B11426" w:rsidRPr="006730E9" w:rsidRDefault="00B11426" w:rsidP="00B1142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01</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023C5CAC" w14:textId="77777777" w:rsidR="00B11426" w:rsidRPr="00326382" w:rsidRDefault="00B11426" w:rsidP="00B11426">
      <w:pPr>
        <w:spacing w:after="0" w:line="276" w:lineRule="auto"/>
        <w:ind w:left="709" w:right="474"/>
        <w:jc w:val="both"/>
        <w:rPr>
          <w:rFonts w:ascii="Verdana" w:hAnsi="Verdana" w:cs="Arial"/>
          <w:sz w:val="20"/>
          <w:szCs w:val="20"/>
          <w:shd w:val="clear" w:color="auto" w:fill="FFFFFF"/>
        </w:rPr>
      </w:pPr>
      <w:bookmarkStart w:id="2" w:name="_Hlk95313578"/>
    </w:p>
    <w:bookmarkEnd w:id="2"/>
    <w:p w14:paraId="60BBD5B3" w14:textId="77777777" w:rsidR="00B11426" w:rsidRDefault="00B11426" w:rsidP="00B11426">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21021C1B" w14:textId="77777777" w:rsidR="00B11426" w:rsidRPr="00D237B8" w:rsidRDefault="00B11426" w:rsidP="00B11426">
      <w:pPr>
        <w:tabs>
          <w:tab w:val="left" w:pos="142"/>
          <w:tab w:val="left" w:pos="567"/>
        </w:tabs>
        <w:spacing w:after="0" w:line="240" w:lineRule="auto"/>
        <w:ind w:left="709" w:right="709"/>
        <w:jc w:val="both"/>
        <w:rPr>
          <w:rFonts w:ascii="Verdana" w:eastAsia="Century Gothic" w:hAnsi="Verdana" w:cs="Century Gothic"/>
          <w:i/>
          <w:iCs/>
          <w:sz w:val="20"/>
          <w:szCs w:val="20"/>
        </w:rPr>
      </w:pPr>
      <w:r w:rsidRPr="0056164A">
        <w:rPr>
          <w:rFonts w:ascii="Verdana" w:eastAsia="Century Gothic" w:hAnsi="Verdana" w:cs="Century Gothic"/>
          <w:i/>
          <w:iCs/>
          <w:sz w:val="20"/>
          <w:szCs w:val="20"/>
        </w:rPr>
        <w:t>Necesito saber si una entidad sin ánimo de lucro que no haya renovado su registro de cámara de</w:t>
      </w:r>
      <w:r>
        <w:rPr>
          <w:rFonts w:ascii="Verdana" w:eastAsia="Century Gothic" w:hAnsi="Verdana" w:cs="Century Gothic"/>
          <w:i/>
          <w:iCs/>
          <w:sz w:val="20"/>
          <w:szCs w:val="20"/>
        </w:rPr>
        <w:t xml:space="preserve"> </w:t>
      </w:r>
      <w:r w:rsidRPr="0056164A">
        <w:rPr>
          <w:rFonts w:ascii="Verdana" w:eastAsia="Century Gothic" w:hAnsi="Verdana" w:cs="Century Gothic"/>
          <w:i/>
          <w:iCs/>
          <w:sz w:val="20"/>
          <w:szCs w:val="20"/>
        </w:rPr>
        <w:t>comercio y no cuente con el RUP puede participar en convocatorias públicas en igualdad de condiciones</w:t>
      </w:r>
      <w:r>
        <w:rPr>
          <w:rFonts w:ascii="Verdana" w:eastAsia="Century Gothic" w:hAnsi="Verdana" w:cs="Century Gothic"/>
          <w:i/>
          <w:iCs/>
          <w:sz w:val="20"/>
          <w:szCs w:val="20"/>
        </w:rPr>
        <w:t xml:space="preserve"> </w:t>
      </w:r>
      <w:r w:rsidRPr="0056164A">
        <w:rPr>
          <w:rFonts w:ascii="Verdana" w:eastAsia="Century Gothic" w:hAnsi="Verdana" w:cs="Century Gothic"/>
          <w:i/>
          <w:iCs/>
          <w:sz w:val="20"/>
          <w:szCs w:val="20"/>
        </w:rPr>
        <w:t>con oferentes que cumplan con su renovación de cámara de comercio y cuenten con su RUP y RUT y</w:t>
      </w:r>
      <w:r>
        <w:rPr>
          <w:rFonts w:ascii="Verdana" w:eastAsia="Century Gothic" w:hAnsi="Verdana" w:cs="Century Gothic"/>
          <w:i/>
          <w:iCs/>
          <w:sz w:val="20"/>
          <w:szCs w:val="20"/>
        </w:rPr>
        <w:t xml:space="preserve"> </w:t>
      </w:r>
      <w:r w:rsidRPr="0056164A">
        <w:rPr>
          <w:rFonts w:ascii="Verdana" w:eastAsia="Century Gothic" w:hAnsi="Verdana" w:cs="Century Gothic"/>
          <w:i/>
          <w:iCs/>
          <w:sz w:val="20"/>
          <w:szCs w:val="20"/>
        </w:rPr>
        <w:t>pueda ser seleccionado como ganador en dicha convocatoria</w:t>
      </w:r>
      <w:r w:rsidRPr="00D237B8">
        <w:rPr>
          <w:rFonts w:ascii="Verdana" w:eastAsia="Century Gothic" w:hAnsi="Verdana" w:cs="Century Gothic"/>
          <w:i/>
          <w:iCs/>
          <w:sz w:val="20"/>
          <w:szCs w:val="20"/>
        </w:rPr>
        <w:t xml:space="preserve">. </w:t>
      </w:r>
    </w:p>
    <w:p w14:paraId="68FD0DC0" w14:textId="77777777" w:rsidR="00B11426" w:rsidRPr="00EA70F7" w:rsidRDefault="00B11426" w:rsidP="00B11426">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4F0565B3" w14:textId="77777777" w:rsidR="00B11426" w:rsidRDefault="00B11426" w:rsidP="00B11426">
      <w:pPr>
        <w:spacing w:after="0" w:line="276" w:lineRule="auto"/>
        <w:ind w:firstLine="709"/>
        <w:jc w:val="both"/>
        <w:rPr>
          <w:rFonts w:ascii="Verdana" w:eastAsia="Calibri" w:hAnsi="Verdana" w:cs="Arial"/>
          <w:lang w:val="es-ES" w:eastAsia="es-ES"/>
        </w:rPr>
      </w:pPr>
    </w:p>
    <w:p w14:paraId="1D1B73E6" w14:textId="77777777" w:rsidR="00B11426" w:rsidRPr="00AA3B9F" w:rsidRDefault="00B11426" w:rsidP="00B11426">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AA3B9F">
        <w:rPr>
          <w:rFonts w:ascii="Verdana" w:eastAsia="Calibri" w:hAnsi="Verdana" w:cs="Arial"/>
          <w:lang w:val="es-ES" w:eastAsia="es-ES"/>
        </w:rPr>
        <w:lastRenderedPageBreak/>
        <w:t xml:space="preserve">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4139F94C" w14:textId="77777777" w:rsidR="00B11426" w:rsidRDefault="00B11426" w:rsidP="00B11426">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681DC208" w14:textId="77777777" w:rsidR="00B11426" w:rsidRPr="00AA3B9F" w:rsidRDefault="00B11426" w:rsidP="00B11426">
      <w:pPr>
        <w:spacing w:after="0" w:line="276" w:lineRule="auto"/>
        <w:ind w:firstLine="709"/>
        <w:jc w:val="both"/>
        <w:rPr>
          <w:rFonts w:ascii="Verdana" w:eastAsia="Calibri" w:hAnsi="Verdana" w:cs="Arial"/>
          <w:lang w:val="es-ES" w:eastAsia="es-ES"/>
        </w:rPr>
      </w:pPr>
    </w:p>
    <w:p w14:paraId="58A99C8C" w14:textId="77777777" w:rsidR="00B11426" w:rsidRDefault="00B11426" w:rsidP="00B11426">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7DE7996C" w14:textId="77777777" w:rsidR="00B11426" w:rsidRDefault="00B11426" w:rsidP="00B1142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38F5BA06" w14:textId="77777777" w:rsidR="00B11426" w:rsidRDefault="00B11426" w:rsidP="00B11426">
      <w:pPr>
        <w:pStyle w:val="Prrafodelista"/>
        <w:tabs>
          <w:tab w:val="left" w:pos="142"/>
          <w:tab w:val="left" w:pos="284"/>
        </w:tabs>
        <w:spacing w:after="0" w:line="276" w:lineRule="auto"/>
        <w:ind w:left="0"/>
        <w:jc w:val="both"/>
        <w:rPr>
          <w:rFonts w:ascii="Verdana" w:eastAsia="Century Gothic" w:hAnsi="Verdana" w:cs="Century Gothic"/>
          <w:b/>
          <w:bCs/>
        </w:rPr>
      </w:pPr>
    </w:p>
    <w:p w14:paraId="45EE4056" w14:textId="7CD01D3B" w:rsidR="00B11426" w:rsidRDefault="00B11426" w:rsidP="00B11426">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1B319A">
        <w:rPr>
          <w:rFonts w:ascii="Verdana" w:eastAsia="Calibri" w:hAnsi="Verdana" w:cs="Arial"/>
          <w:lang w:eastAsia="es-ES"/>
        </w:rPr>
        <w:t>¿</w:t>
      </w:r>
      <w:r>
        <w:rPr>
          <w:rFonts w:ascii="Verdana" w:eastAsia="Calibri" w:hAnsi="Verdana" w:cs="Arial"/>
          <w:lang w:eastAsia="es-ES"/>
        </w:rPr>
        <w:t>L</w:t>
      </w:r>
      <w:r w:rsidRPr="00D80C98">
        <w:rPr>
          <w:rFonts w:ascii="Verdana" w:eastAsia="Calibri" w:hAnsi="Verdana" w:cs="Arial"/>
          <w:lang w:eastAsia="es-ES"/>
        </w:rPr>
        <w:t xml:space="preserve">a </w:t>
      </w:r>
      <w:r>
        <w:rPr>
          <w:rFonts w:ascii="Verdana" w:eastAsia="Calibri" w:hAnsi="Verdana" w:cs="Arial"/>
          <w:lang w:eastAsia="es-ES"/>
        </w:rPr>
        <w:t>no</w:t>
      </w:r>
      <w:r w:rsidRPr="00D80C98">
        <w:rPr>
          <w:rFonts w:ascii="Verdana" w:eastAsia="Calibri" w:hAnsi="Verdana" w:cs="Arial"/>
          <w:lang w:eastAsia="es-ES"/>
        </w:rPr>
        <w:t xml:space="preserve"> renovación del registro mercantil y de inscripción vigente en el RUP </w:t>
      </w:r>
      <w:proofErr w:type="spellStart"/>
      <w:r w:rsidRPr="00D80C98">
        <w:rPr>
          <w:rFonts w:ascii="Verdana" w:eastAsia="Calibri" w:hAnsi="Verdana" w:cs="Arial"/>
          <w:lang w:eastAsia="es-ES"/>
        </w:rPr>
        <w:t>impideque</w:t>
      </w:r>
      <w:proofErr w:type="spellEnd"/>
      <w:r w:rsidRPr="00D80C98">
        <w:rPr>
          <w:rFonts w:ascii="Verdana" w:eastAsia="Calibri" w:hAnsi="Verdana" w:cs="Arial"/>
          <w:lang w:eastAsia="es-ES"/>
        </w:rPr>
        <w:t xml:space="preserve"> </w:t>
      </w:r>
      <w:r>
        <w:rPr>
          <w:rFonts w:ascii="Verdana" w:eastAsia="Calibri" w:hAnsi="Verdana" w:cs="Arial"/>
          <w:lang w:eastAsia="es-ES"/>
        </w:rPr>
        <w:t>una</w:t>
      </w:r>
      <w:r w:rsidRPr="00D80C98">
        <w:rPr>
          <w:rFonts w:ascii="Verdana" w:eastAsia="Calibri" w:hAnsi="Verdana" w:cs="Arial"/>
          <w:lang w:eastAsia="es-ES"/>
        </w:rPr>
        <w:t xml:space="preserve"> ESAL participe y resulte </w:t>
      </w:r>
      <w:r w:rsidR="2DF3A540" w:rsidRPr="0CE63B89">
        <w:rPr>
          <w:rFonts w:ascii="Verdana" w:eastAsia="Calibri" w:hAnsi="Verdana" w:cs="Arial"/>
          <w:lang w:eastAsia="es-ES"/>
        </w:rPr>
        <w:t>adjudicatari</w:t>
      </w:r>
      <w:r w:rsidR="5F117928" w:rsidRPr="0CE63B89">
        <w:rPr>
          <w:rFonts w:ascii="Verdana" w:eastAsia="Calibri" w:hAnsi="Verdana" w:cs="Arial"/>
          <w:lang w:eastAsia="es-ES"/>
        </w:rPr>
        <w:t>a</w:t>
      </w:r>
      <w:r w:rsidRPr="00D80C98">
        <w:rPr>
          <w:rFonts w:ascii="Verdana" w:eastAsia="Calibri" w:hAnsi="Verdana" w:cs="Arial"/>
          <w:lang w:eastAsia="es-ES"/>
        </w:rPr>
        <w:t xml:space="preserve"> en un proceso</w:t>
      </w:r>
      <w:r w:rsidR="00D03DC5">
        <w:rPr>
          <w:rFonts w:ascii="Verdana" w:eastAsia="Calibri" w:hAnsi="Verdana" w:cs="Arial"/>
          <w:lang w:eastAsia="es-ES"/>
        </w:rPr>
        <w:t xml:space="preserve"> </w:t>
      </w:r>
      <w:r w:rsidR="712F6D4B" w:rsidRPr="0CE63B89">
        <w:rPr>
          <w:rFonts w:ascii="Verdana" w:eastAsia="Calibri" w:hAnsi="Verdana" w:cs="Arial"/>
          <w:lang w:eastAsia="es-ES"/>
        </w:rPr>
        <w:t>por</w:t>
      </w:r>
      <w:r w:rsidR="2CB8FFC2" w:rsidRPr="0CE63B89">
        <w:rPr>
          <w:rFonts w:ascii="Verdana" w:eastAsia="Calibri" w:hAnsi="Verdana" w:cs="Arial"/>
          <w:lang w:eastAsia="es-ES"/>
        </w:rPr>
        <w:t xml:space="preserve"> con</w:t>
      </w:r>
      <w:r w:rsidR="038A2670" w:rsidRPr="0CE63B89">
        <w:rPr>
          <w:rFonts w:ascii="Verdana" w:eastAsia="Calibri" w:hAnsi="Verdana" w:cs="Arial"/>
          <w:lang w:eastAsia="es-ES"/>
        </w:rPr>
        <w:t xml:space="preserve">vocatoria </w:t>
      </w:r>
      <w:r w:rsidRPr="00D80C98">
        <w:rPr>
          <w:rFonts w:ascii="Verdana" w:eastAsia="Calibri" w:hAnsi="Verdana" w:cs="Arial"/>
          <w:lang w:eastAsia="es-ES"/>
        </w:rPr>
        <w:t xml:space="preserve"> pública</w:t>
      </w:r>
      <w:r>
        <w:rPr>
          <w:rFonts w:ascii="Verdana" w:eastAsia="Calibri" w:hAnsi="Verdana" w:cs="Arial"/>
          <w:lang w:eastAsia="es-ES"/>
        </w:rPr>
        <w:t>?.</w:t>
      </w:r>
    </w:p>
    <w:p w14:paraId="6026FA02" w14:textId="77777777" w:rsidR="00B11426" w:rsidRDefault="00B11426" w:rsidP="00B11426">
      <w:pPr>
        <w:spacing w:after="0" w:line="276" w:lineRule="auto"/>
        <w:jc w:val="both"/>
        <w:rPr>
          <w:rFonts w:ascii="Verdana" w:eastAsia="Calibri" w:hAnsi="Verdana" w:cs="Arial"/>
          <w:lang w:eastAsia="es-ES"/>
        </w:rPr>
      </w:pPr>
    </w:p>
    <w:bookmarkEnd w:id="3"/>
    <w:p w14:paraId="5252059A" w14:textId="77777777" w:rsidR="00B11426" w:rsidRDefault="00B11426" w:rsidP="00B114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FADCDD9" w14:textId="77777777" w:rsidR="00B11426" w:rsidRPr="00593A5F" w:rsidRDefault="00B11426" w:rsidP="00B1142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11426" w:rsidRPr="00593A5F" w14:paraId="62B8584F" w14:textId="77777777" w:rsidTr="00E11A84">
        <w:tc>
          <w:tcPr>
            <w:tcW w:w="8828" w:type="dxa"/>
          </w:tcPr>
          <w:p w14:paraId="39BEBCB3" w14:textId="77777777" w:rsidR="00B11426" w:rsidRPr="004C7829" w:rsidRDefault="00B11426" w:rsidP="00E11A84">
            <w:pPr>
              <w:spacing w:line="276" w:lineRule="auto"/>
              <w:ind w:right="-58"/>
              <w:jc w:val="both"/>
              <w:rPr>
                <w:rFonts w:ascii="Verdana" w:eastAsia="Arial" w:hAnsi="Verdana" w:cs="Arial"/>
                <w:color w:val="000000"/>
              </w:rPr>
            </w:pPr>
            <w:r>
              <w:rPr>
                <w:rFonts w:ascii="Verdana" w:eastAsia="Arial" w:hAnsi="Verdana" w:cs="Arial"/>
                <w:color w:val="000000"/>
              </w:rPr>
              <w:t xml:space="preserve">          De manera preliminar es pertinente indicar que u</w:t>
            </w:r>
            <w:r w:rsidRPr="004C7829">
              <w:rPr>
                <w:rFonts w:ascii="Verdana" w:eastAsia="Arial" w:hAnsi="Verdana" w:cs="Arial"/>
                <w:color w:val="000000"/>
              </w:rPr>
              <w:t>na vez</w:t>
            </w:r>
            <w:r>
              <w:rPr>
                <w:rFonts w:ascii="Verdana" w:eastAsia="Arial" w:hAnsi="Verdana" w:cs="Arial"/>
                <w:color w:val="000000"/>
              </w:rPr>
              <w:t xml:space="preserve"> se determinen por parte de</w:t>
            </w:r>
            <w:r w:rsidRPr="004C7829">
              <w:rPr>
                <w:rFonts w:ascii="Verdana" w:eastAsia="Arial" w:hAnsi="Verdana" w:cs="Arial"/>
                <w:color w:val="000000"/>
              </w:rPr>
              <w:t xml:space="preserve"> la Entidad Estatal los requisitos habilitantes en los documentos del proceso, todos los oferentes que presenten propuestas deben acreditar su cumplimiento riguroso. </w:t>
            </w:r>
            <w:r>
              <w:rPr>
                <w:rFonts w:ascii="Verdana" w:eastAsia="Arial" w:hAnsi="Verdana" w:cs="Arial"/>
                <w:color w:val="000000"/>
              </w:rPr>
              <w:t>Así las cosas, p</w:t>
            </w:r>
            <w:r w:rsidRPr="004C7829">
              <w:rPr>
                <w:rFonts w:ascii="Verdana" w:eastAsia="Arial" w:hAnsi="Verdana" w:cs="Arial"/>
                <w:color w:val="000000"/>
              </w:rPr>
              <w:t>ara los procedimientos de selección que se rigen por el EGCAP (Leyes 80 de 1993 y 1150 de 2007), las Entidades Estatales están obligadas a efectuar la evaluación de las capacidades de los proponentes teniendo como referencia exclusiva la información que reposa en el Certificado del RUP, tal como lo establece el artículo 6.1 de la Ley 1150 de 2007.</w:t>
            </w:r>
          </w:p>
          <w:p w14:paraId="6559E1B6" w14:textId="77777777" w:rsidR="00B11426" w:rsidRPr="004C7829" w:rsidRDefault="00B11426" w:rsidP="00E11A84">
            <w:pPr>
              <w:spacing w:line="276" w:lineRule="auto"/>
              <w:ind w:right="-58"/>
              <w:jc w:val="both"/>
              <w:rPr>
                <w:rFonts w:ascii="Verdana" w:eastAsia="Arial" w:hAnsi="Verdana" w:cs="Arial"/>
                <w:color w:val="000000"/>
              </w:rPr>
            </w:pPr>
          </w:p>
          <w:p w14:paraId="4434F648" w14:textId="594A040C" w:rsidR="00B11426" w:rsidRPr="004C7829" w:rsidRDefault="00B11426" w:rsidP="00E11A84">
            <w:pPr>
              <w:spacing w:line="276" w:lineRule="auto"/>
              <w:ind w:right="-58"/>
              <w:jc w:val="both"/>
              <w:rPr>
                <w:rFonts w:ascii="Verdana" w:eastAsia="Arial" w:hAnsi="Verdana" w:cs="Arial"/>
                <w:color w:val="000000"/>
              </w:rPr>
            </w:pPr>
            <w:r w:rsidRPr="0CE63B89">
              <w:rPr>
                <w:rFonts w:ascii="Verdana" w:eastAsia="Arial" w:hAnsi="Verdana" w:cs="Arial"/>
                <w:color w:val="000000" w:themeColor="text1"/>
              </w:rPr>
              <w:lastRenderedPageBreak/>
              <w:t xml:space="preserve">          El RUP, que se inscribe y es gestionado por las Cámaras de Comercio, es un documento que constituye plena prueba de la información contenida, cubriendo las condiciones de experiencia, capacidad financiera y de organización. En este sentido, la capacidad jurídica y las demás condiciones habilitantes de las ESAL</w:t>
            </w:r>
            <w:r w:rsidR="73FBDE63" w:rsidRPr="0CE63B89">
              <w:rPr>
                <w:rFonts w:ascii="Verdana" w:eastAsia="Arial" w:hAnsi="Verdana" w:cs="Arial"/>
                <w:color w:val="000000" w:themeColor="text1"/>
              </w:rPr>
              <w:t xml:space="preserve"> necesarias para participar en procesos competitivos de convocatoria pública</w:t>
            </w:r>
            <w:r w:rsidRPr="0CE63B89">
              <w:rPr>
                <w:rFonts w:ascii="Verdana" w:eastAsia="Arial" w:hAnsi="Verdana" w:cs="Arial"/>
                <w:color w:val="000000" w:themeColor="text1"/>
              </w:rPr>
              <w:t>, al igual que las de cualquier otra persona jurídica, deben ser verificadas exclusivamente a través del RUP.</w:t>
            </w:r>
          </w:p>
          <w:p w14:paraId="3ED908F7" w14:textId="77777777" w:rsidR="00B11426" w:rsidRDefault="00B11426" w:rsidP="00E11A84">
            <w:pPr>
              <w:spacing w:line="276" w:lineRule="auto"/>
              <w:ind w:right="-58"/>
              <w:jc w:val="both"/>
              <w:rPr>
                <w:rFonts w:ascii="Verdana" w:eastAsia="Arial" w:hAnsi="Verdana" w:cs="Arial"/>
                <w:color w:val="000000"/>
              </w:rPr>
            </w:pPr>
          </w:p>
          <w:p w14:paraId="2739B948" w14:textId="77777777" w:rsidR="00B11426" w:rsidRPr="004C7829" w:rsidRDefault="00B11426" w:rsidP="00E11A84">
            <w:pPr>
              <w:spacing w:line="276" w:lineRule="auto"/>
              <w:ind w:right="-58"/>
              <w:jc w:val="both"/>
              <w:rPr>
                <w:rFonts w:ascii="Verdana" w:eastAsia="Arial" w:hAnsi="Verdana" w:cs="Arial"/>
                <w:color w:val="000000"/>
              </w:rPr>
            </w:pPr>
            <w:r>
              <w:rPr>
                <w:rFonts w:ascii="Verdana" w:eastAsia="Arial" w:hAnsi="Verdana" w:cs="Arial"/>
                <w:color w:val="000000"/>
              </w:rPr>
              <w:t xml:space="preserve">          </w:t>
            </w:r>
            <w:r w:rsidRPr="004C7829">
              <w:rPr>
                <w:rFonts w:ascii="Verdana" w:eastAsia="Arial" w:hAnsi="Verdana" w:cs="Arial"/>
                <w:color w:val="000000"/>
              </w:rPr>
              <w:t>La normativa exige que el RUP se mantenga vigente mediante una renovación anual. El artículo 2.2.1.1.1.5.1 del Decreto 1082 de 2015 es perentorio al prescribir que, si la persona inscrita en el RUP no presenta la información para renovar su registro en el plazo establecido, "cesan los efectos del RUP". Una vez que los efectos del RUP han cesado, el certificado pierde su valor como prueba de los requisitos habilitantes, y la ESAL queda inhabilitada para demostrar su aptitud para contratar con el Estado en cualquier procedimiento donde el RUP sea exigido.</w:t>
            </w:r>
          </w:p>
          <w:p w14:paraId="6C85D8EB" w14:textId="77777777" w:rsidR="00B11426" w:rsidRPr="004C7829" w:rsidRDefault="00B11426" w:rsidP="00E11A84">
            <w:pPr>
              <w:spacing w:line="276" w:lineRule="auto"/>
              <w:ind w:right="-58"/>
              <w:jc w:val="both"/>
              <w:rPr>
                <w:rFonts w:ascii="Verdana" w:eastAsia="Arial" w:hAnsi="Verdana" w:cs="Arial"/>
                <w:color w:val="000000"/>
              </w:rPr>
            </w:pPr>
          </w:p>
          <w:p w14:paraId="65DFA070" w14:textId="38C0ADDA" w:rsidR="00B11426" w:rsidRDefault="00B11426" w:rsidP="00E11A84">
            <w:pPr>
              <w:spacing w:line="276" w:lineRule="auto"/>
              <w:ind w:right="-58"/>
              <w:jc w:val="both"/>
              <w:rPr>
                <w:rFonts w:ascii="Verdana" w:eastAsia="Arial" w:hAnsi="Verdana" w:cs="Arial"/>
                <w:color w:val="000000"/>
              </w:rPr>
            </w:pPr>
            <w:r w:rsidRPr="0CE63B89">
              <w:rPr>
                <w:rFonts w:ascii="Verdana" w:eastAsia="Arial" w:hAnsi="Verdana" w:cs="Arial"/>
                <w:color w:val="000000" w:themeColor="text1"/>
              </w:rPr>
              <w:t xml:space="preserve">        </w:t>
            </w:r>
          </w:p>
          <w:p w14:paraId="4F1AC646" w14:textId="77777777" w:rsidR="00B11426" w:rsidRDefault="00B11426" w:rsidP="00E11A84">
            <w:pPr>
              <w:spacing w:line="276" w:lineRule="auto"/>
              <w:ind w:right="-58"/>
              <w:jc w:val="both"/>
              <w:rPr>
                <w:rFonts w:ascii="Verdana" w:eastAsia="Arial" w:hAnsi="Verdana" w:cs="Arial"/>
                <w:color w:val="000000"/>
              </w:rPr>
            </w:pPr>
          </w:p>
          <w:p w14:paraId="5135403F" w14:textId="61F608AE" w:rsidR="00B11426" w:rsidRDefault="00B11426" w:rsidP="00E11A84">
            <w:pPr>
              <w:spacing w:line="276" w:lineRule="auto"/>
              <w:ind w:right="-58"/>
              <w:jc w:val="both"/>
              <w:rPr>
                <w:rFonts w:ascii="Verdana" w:hAnsi="Verdana" w:cs="Arial"/>
                <w:lang w:eastAsia="es-ES"/>
              </w:rPr>
            </w:pPr>
            <w:r w:rsidRPr="0CE63B89">
              <w:rPr>
                <w:rFonts w:ascii="Verdana" w:hAnsi="Verdana" w:cs="Arial"/>
                <w:lang w:eastAsia="es-ES"/>
              </w:rPr>
              <w:t xml:space="preserve">       De igual manera  </w:t>
            </w:r>
            <w:r w:rsidR="7F0DD301" w:rsidRPr="0CE63B89">
              <w:rPr>
                <w:rFonts w:ascii="Verdana" w:hAnsi="Verdana" w:cs="Arial"/>
                <w:lang w:eastAsia="es-ES"/>
              </w:rPr>
              <w:t xml:space="preserve">y para efectos de verificar </w:t>
            </w:r>
            <w:r w:rsidRPr="0CE63B89">
              <w:rPr>
                <w:rFonts w:ascii="Verdana" w:hAnsi="Verdana" w:cs="Arial"/>
                <w:lang w:eastAsia="es-ES"/>
              </w:rPr>
              <w:t xml:space="preserve"> los requisitos habilitantes, incluidas las particularidades que deben considerar las Entidades Estatales respecto a las ESAL que participan en procesos competitivos y excepcionales, se recomienda  </w:t>
            </w:r>
            <w:proofErr w:type="spellStart"/>
            <w:r w:rsidR="2CB8FFC2" w:rsidRPr="0CE63B89">
              <w:rPr>
                <w:rFonts w:ascii="Verdana" w:hAnsi="Verdana" w:cs="Arial"/>
                <w:lang w:eastAsia="es-ES"/>
              </w:rPr>
              <w:t>consulta</w:t>
            </w:r>
            <w:r w:rsidR="0693A2BB" w:rsidRPr="0CE63B89">
              <w:rPr>
                <w:rFonts w:ascii="Verdana" w:hAnsi="Verdana" w:cs="Arial"/>
                <w:lang w:eastAsia="es-ES"/>
              </w:rPr>
              <w:t>r</w:t>
            </w:r>
            <w:r w:rsidRPr="0CE63B89">
              <w:rPr>
                <w:rFonts w:ascii="Verdana" w:hAnsi="Verdana" w:cs="Arial"/>
                <w:lang w:eastAsia="es-ES"/>
              </w:rPr>
              <w:t>el</w:t>
            </w:r>
            <w:proofErr w:type="spellEnd"/>
            <w:r w:rsidRPr="0CE63B89">
              <w:rPr>
                <w:rFonts w:ascii="Verdana" w:hAnsi="Verdana" w:cs="Arial"/>
                <w:lang w:eastAsia="es-ES"/>
              </w:rPr>
              <w:t xml:space="preserve"> Manual para determinar y verificar los requisitos habilitantes en los procesos de Contratación</w:t>
            </w:r>
            <w:r w:rsidRPr="0CE63B89">
              <w:rPr>
                <w:rStyle w:val="Refdenotaalpie"/>
                <w:rFonts w:ascii="Verdana" w:hAnsi="Verdana" w:cs="Arial"/>
                <w:lang w:eastAsia="es-ES"/>
              </w:rPr>
              <w:footnoteReference w:id="2"/>
            </w:r>
            <w:r w:rsidRPr="0CE63B89">
              <w:rPr>
                <w:rFonts w:ascii="Verdana" w:hAnsi="Verdana" w:cs="Arial"/>
                <w:lang w:eastAsia="es-ES"/>
              </w:rPr>
              <w:t>, expedido por la Agencia Nacional de Contratación Pública (Colombia Compra Eficiente). Este manual provee la guía oficial y las pautas para asegurar la correcta aplicación de las reglas del RUP, las excepciones legales y la valoración de la capacidad jurídica en todos los procedimientos de selección.</w:t>
            </w:r>
          </w:p>
          <w:p w14:paraId="02EEA268" w14:textId="77777777" w:rsidR="00B11426" w:rsidRPr="00C71956" w:rsidRDefault="00B11426" w:rsidP="00E11A84">
            <w:pPr>
              <w:pStyle w:val="Prrafodelista"/>
              <w:spacing w:before="120" w:after="120" w:line="276" w:lineRule="auto"/>
              <w:ind w:left="0" w:right="-58"/>
              <w:jc w:val="both"/>
              <w:rPr>
                <w:rFonts w:ascii="Verdana" w:eastAsia="Aptos" w:hAnsi="Verdana" w:cs="Arial"/>
                <w:shd w:val="clear" w:color="auto" w:fill="FFFFFF"/>
              </w:rPr>
            </w:pPr>
            <w:r>
              <w:rPr>
                <w:rFonts w:ascii="Verdana" w:eastAsia="Calibri" w:hAnsi="Verdana" w:cs="Arial"/>
                <w:lang w:eastAsia="es-ES"/>
              </w:rPr>
              <w:t xml:space="preserve">      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DB4737">
              <w:rPr>
                <w:rFonts w:ascii="Verdana" w:eastAsia="Calibri" w:hAnsi="Verdana" w:cs="Times New Roman"/>
              </w:rPr>
              <w:lastRenderedPageBreak/>
              <w:t>interesados de adoptar la decisión y, en caso de conflicto, a las autoridades judiciales, fiscales y disciplinarias.</w:t>
            </w:r>
            <w:r>
              <w:t xml:space="preserve"> </w:t>
            </w:r>
          </w:p>
          <w:p w14:paraId="17D92A61" w14:textId="77777777" w:rsidR="00B11426" w:rsidRDefault="00B11426" w:rsidP="00E11A84">
            <w:pPr>
              <w:spacing w:line="276" w:lineRule="auto"/>
              <w:ind w:right="-58"/>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13B805E" w14:textId="77777777" w:rsidR="00B11426" w:rsidRPr="00E529C2" w:rsidRDefault="00B11426" w:rsidP="00E11A84">
            <w:pPr>
              <w:spacing w:line="276" w:lineRule="auto"/>
              <w:jc w:val="both"/>
              <w:rPr>
                <w:rFonts w:ascii="Verdana" w:eastAsia="Calibri" w:hAnsi="Verdana" w:cs="Times New Roman"/>
                <w:lang w:val="es-ES"/>
              </w:rPr>
            </w:pPr>
          </w:p>
        </w:tc>
      </w:tr>
      <w:tr w:rsidR="00B11426" w:rsidRPr="00593A5F" w14:paraId="632A9988" w14:textId="77777777" w:rsidTr="00E11A84">
        <w:tc>
          <w:tcPr>
            <w:tcW w:w="8828" w:type="dxa"/>
          </w:tcPr>
          <w:p w14:paraId="5520B773" w14:textId="77777777" w:rsidR="00B11426" w:rsidRDefault="00B11426" w:rsidP="00E11A84">
            <w:pPr>
              <w:spacing w:after="120" w:line="276" w:lineRule="auto"/>
              <w:jc w:val="both"/>
              <w:rPr>
                <w:rFonts w:ascii="Verdana" w:eastAsia="Calibri" w:hAnsi="Verdana" w:cs="Arial"/>
                <w:bCs/>
                <w:lang w:eastAsia="es-ES_tradnl"/>
              </w:rPr>
            </w:pPr>
          </w:p>
        </w:tc>
      </w:tr>
    </w:tbl>
    <w:p w14:paraId="7450DFAD" w14:textId="77777777" w:rsidR="00B11426" w:rsidRDefault="00B11426" w:rsidP="00B11426">
      <w:pPr>
        <w:tabs>
          <w:tab w:val="left" w:pos="142"/>
          <w:tab w:val="left" w:pos="284"/>
        </w:tabs>
        <w:spacing w:after="0" w:line="276" w:lineRule="auto"/>
        <w:jc w:val="both"/>
        <w:rPr>
          <w:rFonts w:ascii="Verdana" w:eastAsia="Century Gothic" w:hAnsi="Verdana" w:cs="Century Gothic"/>
          <w:b/>
          <w:bCs/>
          <w:lang w:val="es-ES"/>
        </w:rPr>
      </w:pPr>
    </w:p>
    <w:p w14:paraId="5DA1F7EA" w14:textId="77777777" w:rsidR="00B11426" w:rsidRDefault="00B11426" w:rsidP="00B114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9B0C6D1" w14:textId="77777777" w:rsidR="00B11426" w:rsidRDefault="00B11426" w:rsidP="00B1142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DC80E99" w14:textId="77777777" w:rsidR="00B11426" w:rsidRPr="003D0085" w:rsidRDefault="00B11426" w:rsidP="00B11426">
      <w:pPr>
        <w:spacing w:after="120" w:line="276" w:lineRule="auto"/>
        <w:ind w:firstLine="708"/>
        <w:jc w:val="both"/>
        <w:rPr>
          <w:rFonts w:ascii="Verdana" w:eastAsia="Calibri" w:hAnsi="Verdana" w:cs="Arial"/>
          <w:lang w:val="es-ES" w:eastAsia="es-MX"/>
        </w:rPr>
      </w:pPr>
      <w:bookmarkStart w:id="4" w:name="_Hlk99546562"/>
      <w:r w:rsidRPr="7D9C0904">
        <w:rPr>
          <w:rFonts w:ascii="Verdana" w:eastAsia="Calibri" w:hAnsi="Verdana" w:cs="Arial"/>
          <w:lang w:val="es-ES" w:eastAsia="es-MX"/>
        </w:rPr>
        <w:t xml:space="preserve">De manera preliminar es pertinente indicar que los </w:t>
      </w:r>
      <w:r w:rsidRPr="7D9C0904">
        <w:rPr>
          <w:rFonts w:ascii="Verdana" w:eastAsia="Calibri" w:hAnsi="Verdana" w:cs="Arial"/>
          <w:i/>
          <w:iCs/>
          <w:lang w:val="es-ES" w:eastAsia="es-MX"/>
        </w:rPr>
        <w:t>requisitos habilitantes</w:t>
      </w:r>
      <w:r w:rsidRPr="7D9C0904">
        <w:rPr>
          <w:rFonts w:ascii="Verdana" w:eastAsia="Calibri" w:hAnsi="Verdana" w:cs="Arial"/>
          <w:lang w:val="es-ES"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w:t>
      </w:r>
    </w:p>
    <w:bookmarkEnd w:id="4"/>
    <w:p w14:paraId="7EE4F924" w14:textId="77777777" w:rsidR="00B11426" w:rsidRPr="003D0085" w:rsidRDefault="00B11426" w:rsidP="00B11426">
      <w:pPr>
        <w:spacing w:after="120" w:line="276" w:lineRule="auto"/>
        <w:ind w:firstLine="708"/>
        <w:jc w:val="both"/>
        <w:rPr>
          <w:rFonts w:ascii="Verdana" w:eastAsia="Calibri" w:hAnsi="Verdana" w:cs="Arial"/>
          <w:lang w:val="es-ES" w:eastAsia="es-MX"/>
        </w:rPr>
      </w:pPr>
      <w:r w:rsidRPr="7D9C0904">
        <w:rPr>
          <w:rFonts w:ascii="Verdana" w:eastAsia="Calibri" w:hAnsi="Verdana" w:cs="Arial"/>
          <w:lang w:val="es-ES" w:eastAsia="es-MX"/>
        </w:rPr>
        <w:t>Los requisitos habilitantes constituyen los requerimientos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3136DA22" w14:textId="77777777" w:rsidR="00B11426" w:rsidRPr="003D0085" w:rsidRDefault="00B11426" w:rsidP="00B11426">
      <w:pPr>
        <w:spacing w:after="120" w:line="276" w:lineRule="auto"/>
        <w:ind w:firstLine="708"/>
        <w:jc w:val="both"/>
        <w:rPr>
          <w:rFonts w:ascii="Verdana" w:eastAsia="Calibri" w:hAnsi="Verdana" w:cs="Arial"/>
          <w:lang w:val="es-ES_tradnl" w:eastAsia="es-MX"/>
        </w:rPr>
      </w:pPr>
      <w:r w:rsidRPr="003D0085">
        <w:rPr>
          <w:rFonts w:ascii="Verdana" w:eastAsia="Calibri" w:hAnsi="Verdana" w:cs="Arial"/>
          <w:lang w:val="es-ES_tradnl" w:eastAsia="es-MX"/>
        </w:rPr>
        <w:t xml:space="preserve">El mencionado artículo dispone que se considera: “[…]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w:t>
      </w:r>
      <w:r w:rsidRPr="003D0085">
        <w:rPr>
          <w:rFonts w:ascii="Verdana" w:eastAsia="Calibri" w:hAnsi="Verdana" w:cs="Arial"/>
          <w:lang w:val="es-ES_tradnl" w:eastAsia="es-MX"/>
        </w:rPr>
        <w:lastRenderedPageBreak/>
        <w:t xml:space="preserve">en los Pliegos de Condiciones o sus documentos equivalentes deberán tener en cuenta, entre otras cuestiones, los criterios establecidos en dicha disposición. </w:t>
      </w:r>
    </w:p>
    <w:p w14:paraId="205B0E2A" w14:textId="77777777" w:rsidR="00B11426" w:rsidRPr="003D0085" w:rsidRDefault="00B11426" w:rsidP="00B11426">
      <w:pPr>
        <w:spacing w:after="0" w:line="276" w:lineRule="auto"/>
        <w:ind w:firstLine="709"/>
        <w:contextualSpacing/>
        <w:jc w:val="both"/>
        <w:rPr>
          <w:rFonts w:ascii="Verdana" w:eastAsia="Calibri" w:hAnsi="Verdana" w:cs="Arial"/>
          <w:lang w:val="es-ES" w:eastAsia="es-MX"/>
        </w:rPr>
      </w:pPr>
      <w:r w:rsidRPr="7D9C0904">
        <w:rPr>
          <w:rFonts w:ascii="Verdana" w:eastAsia="Calibri" w:hAnsi="Verdana" w:cs="Arial"/>
          <w:lang w:val="es-ES" w:eastAsia="es-MX"/>
        </w:rPr>
        <w:t xml:space="preserve">Específicamente, el numeral 1º del artículo referido establece que en los procesos de selección de contratistas serán objeto de verificación, como requisitos habilitantes, entre otros, los siguientes: i) la capacidad jurídica; </w:t>
      </w:r>
      <w:proofErr w:type="spellStart"/>
      <w:r w:rsidRPr="7D9C0904">
        <w:rPr>
          <w:rFonts w:ascii="Verdana" w:eastAsia="Calibri" w:hAnsi="Verdana" w:cs="Arial"/>
          <w:lang w:val="es-ES" w:eastAsia="es-MX"/>
        </w:rPr>
        <w:t>ii</w:t>
      </w:r>
      <w:proofErr w:type="spellEnd"/>
      <w:r w:rsidRPr="7D9C0904">
        <w:rPr>
          <w:rFonts w:ascii="Verdana" w:eastAsia="Calibri" w:hAnsi="Verdana" w:cs="Arial"/>
          <w:lang w:val="es-ES" w:eastAsia="es-MX"/>
        </w:rPr>
        <w:t xml:space="preserve">) la experiencia; </w:t>
      </w:r>
      <w:proofErr w:type="spellStart"/>
      <w:r w:rsidRPr="7D9C0904">
        <w:rPr>
          <w:rFonts w:ascii="Verdana" w:eastAsia="Calibri" w:hAnsi="Verdana" w:cs="Arial"/>
          <w:lang w:val="es-ES" w:eastAsia="es-MX"/>
        </w:rPr>
        <w:t>iii</w:t>
      </w:r>
      <w:proofErr w:type="spellEnd"/>
      <w:r w:rsidRPr="7D9C0904">
        <w:rPr>
          <w:rFonts w:ascii="Verdana" w:eastAsia="Calibri" w:hAnsi="Verdana" w:cs="Arial"/>
          <w:lang w:val="es-ES" w:eastAsia="es-MX"/>
        </w:rPr>
        <w:t xml:space="preserve">) la capacidad financiera y </w:t>
      </w:r>
      <w:proofErr w:type="spellStart"/>
      <w:r w:rsidRPr="7D9C0904">
        <w:rPr>
          <w:rFonts w:ascii="Verdana" w:eastAsia="Calibri" w:hAnsi="Verdana" w:cs="Arial"/>
          <w:lang w:val="es-ES" w:eastAsia="es-MX"/>
        </w:rPr>
        <w:t>iv</w:t>
      </w:r>
      <w:proofErr w:type="spellEnd"/>
      <w:r w:rsidRPr="7D9C0904">
        <w:rPr>
          <w:rFonts w:ascii="Verdana" w:eastAsia="Calibri" w:hAnsi="Verdana" w:cs="Arial"/>
          <w:lang w:val="es-ES" w:eastAsia="es-MX"/>
        </w:rPr>
        <w:t xml:space="preserve">) la capacidad de organización. En efecto, la normativa citada dispone: </w:t>
      </w:r>
    </w:p>
    <w:p w14:paraId="603B237E" w14:textId="77777777" w:rsidR="00B11426" w:rsidRPr="003D0085" w:rsidRDefault="00B11426" w:rsidP="00B11426">
      <w:pPr>
        <w:spacing w:after="0" w:line="276" w:lineRule="auto"/>
        <w:ind w:firstLine="709"/>
        <w:jc w:val="both"/>
        <w:rPr>
          <w:rFonts w:ascii="Verdana" w:eastAsia="Calibri" w:hAnsi="Verdana" w:cs="Arial"/>
          <w:lang w:val="es-ES_tradnl" w:eastAsia="es-MX"/>
        </w:rPr>
      </w:pPr>
    </w:p>
    <w:p w14:paraId="57CD887E"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_tradnl" w:eastAsia="es-MX"/>
        </w:rPr>
      </w:pPr>
      <w:r w:rsidRPr="0050790C">
        <w:rPr>
          <w:rFonts w:ascii="Verdana" w:eastAsia="Calibri" w:hAnsi="Verdana" w:cs="Arial"/>
          <w:sz w:val="20"/>
          <w:szCs w:val="20"/>
          <w:lang w:val="es-ES_tradnl" w:eastAsia="es-MX"/>
        </w:rPr>
        <w:t xml:space="preserve">“Artículo 5. De la Selección Objetiva. </w:t>
      </w:r>
    </w:p>
    <w:p w14:paraId="02FA1CF3"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_tradnl" w:eastAsia="es-MX"/>
        </w:rPr>
      </w:pPr>
    </w:p>
    <w:p w14:paraId="50353B37"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_tradnl" w:eastAsia="es-MX"/>
        </w:rPr>
      </w:pPr>
      <w:r w:rsidRPr="0050790C">
        <w:rPr>
          <w:rFonts w:ascii="Verdana" w:eastAsia="Calibri" w:hAnsi="Verdana" w:cs="Arial"/>
          <w:sz w:val="20"/>
          <w:szCs w:val="20"/>
          <w:lang w:val="es-ES_tradnl" w:eastAsia="es-MX"/>
        </w:rPr>
        <w:t>[…]</w:t>
      </w:r>
    </w:p>
    <w:p w14:paraId="252D9BE1"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_tradnl"/>
        </w:rPr>
      </w:pPr>
    </w:p>
    <w:p w14:paraId="61C1CA9F"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
        </w:rPr>
      </w:pPr>
      <w:r w:rsidRPr="0050790C">
        <w:rPr>
          <w:rFonts w:ascii="Verdana" w:eastAsia="Calibri" w:hAnsi="Verdana" w:cs="Arial"/>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62872554" w14:textId="77777777" w:rsidR="00B11426" w:rsidRPr="003D0085" w:rsidRDefault="00B11426" w:rsidP="00B11426">
      <w:pPr>
        <w:spacing w:after="0" w:line="276" w:lineRule="auto"/>
        <w:ind w:left="709" w:right="709"/>
        <w:contextualSpacing/>
        <w:jc w:val="both"/>
        <w:rPr>
          <w:rFonts w:ascii="Verdana" w:eastAsia="Calibri" w:hAnsi="Verdana" w:cs="Arial"/>
          <w:lang w:val="es-ES_tradnl"/>
        </w:rPr>
      </w:pPr>
    </w:p>
    <w:p w14:paraId="75AFF31C" w14:textId="77777777" w:rsidR="00B11426" w:rsidRPr="003D0085" w:rsidRDefault="00B11426" w:rsidP="00B11426">
      <w:pPr>
        <w:spacing w:after="120" w:line="276" w:lineRule="auto"/>
        <w:ind w:firstLine="708"/>
        <w:jc w:val="both"/>
        <w:rPr>
          <w:rFonts w:ascii="Verdana" w:eastAsia="Times New Roman" w:hAnsi="Verdana" w:cs="Arial"/>
          <w:highlight w:val="cyan"/>
          <w:lang w:val="es-ES_tradnl" w:eastAsia="es-MX"/>
        </w:rPr>
      </w:pPr>
      <w:bookmarkStart w:id="5" w:name="_Hlk99547809"/>
      <w:bookmarkStart w:id="6" w:name="_Hlk99546625"/>
      <w:r w:rsidRPr="003D0085">
        <w:rPr>
          <w:rFonts w:ascii="Verdana" w:eastAsia="Times New Roman" w:hAnsi="Verdana" w:cs="Arial"/>
          <w:lang w:val="es-ES_tradnl" w:eastAsia="es-MX"/>
        </w:rPr>
        <w:t xml:space="preserve">La Agencia Nacional de Contratación Pública – Colombia Compra Eficiente ha defendido el carácter </w:t>
      </w:r>
      <w:bookmarkStart w:id="7" w:name="_Hlk99547799"/>
      <w:r w:rsidRPr="003D0085">
        <w:rPr>
          <w:rFonts w:ascii="Verdana" w:eastAsia="Times New Roman" w:hAnsi="Verdana" w:cs="Arial"/>
          <w:i/>
          <w:iCs/>
          <w:lang w:val="es-ES_tradnl" w:eastAsia="es-MX"/>
        </w:rPr>
        <w:t>enunciativo</w:t>
      </w:r>
      <w:r w:rsidRPr="003D0085">
        <w:rPr>
          <w:rFonts w:ascii="Verdana" w:eastAsia="Times New Roman" w:hAnsi="Verdana" w:cs="Arial"/>
          <w:lang w:val="es-ES_tradnl" w:eastAsia="es-MX"/>
        </w:rPr>
        <w:t xml:space="preserve">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 </w:t>
      </w:r>
      <w:bookmarkEnd w:id="5"/>
      <w:bookmarkEnd w:id="7"/>
      <w:r w:rsidRPr="003D0085">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como sucede, por ejemplo, con la capacidad residual a la que se refiere el artículo 6º, parágrafo 1, de la Ley 1150 de 2007</w:t>
      </w:r>
      <w:bookmarkEnd w:id="6"/>
      <w:r w:rsidRPr="003D0085">
        <w:rPr>
          <w:rFonts w:ascii="Verdana" w:eastAsia="Times New Roman" w:hAnsi="Verdana" w:cs="Arial"/>
          <w:vertAlign w:val="superscript"/>
          <w:lang w:val="es-ES_tradnl" w:eastAsia="es-MX"/>
        </w:rPr>
        <w:footnoteReference w:id="3"/>
      </w:r>
      <w:r w:rsidRPr="003D0085">
        <w:rPr>
          <w:rFonts w:ascii="Verdana" w:eastAsia="Times New Roman" w:hAnsi="Verdana" w:cs="Arial"/>
          <w:lang w:val="es-ES_tradnl" w:eastAsia="es-MX"/>
        </w:rPr>
        <w:t xml:space="preserve">. </w:t>
      </w:r>
    </w:p>
    <w:p w14:paraId="7A0E7314" w14:textId="77777777" w:rsidR="00B11426" w:rsidRPr="003D0085" w:rsidRDefault="00B11426" w:rsidP="00B11426">
      <w:pPr>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lastRenderedPageBreak/>
        <w:t>Por otro lado, en el “Manual para determinar y verificar los requisitos habilitantes en los Procesos de Contratación”</w:t>
      </w:r>
      <w:r w:rsidRPr="003D0085">
        <w:rPr>
          <w:rFonts w:ascii="Verdana" w:eastAsia="Calibri" w:hAnsi="Verdana" w:cs="Arial"/>
          <w:lang w:val="es-ES_tradnl" w:eastAsia="es-MX"/>
        </w:rPr>
        <w:t>,</w:t>
      </w:r>
      <w:r w:rsidRPr="003D0085">
        <w:rPr>
          <w:rFonts w:ascii="Verdana" w:eastAsia="Times New Roman" w:hAnsi="Verdana" w:cs="Arial"/>
          <w:lang w:val="es-ES_tradnl" w:eastAsia="es-MX"/>
        </w:rPr>
        <w:t xml:space="preserve"> expedido por la </w:t>
      </w:r>
      <w:r w:rsidRPr="003D0085">
        <w:rPr>
          <w:rFonts w:ascii="Verdana" w:eastAsia="Calibri" w:hAnsi="Verdana" w:cs="Arial"/>
          <w:lang w:val="es-ES_tradnl" w:eastAsia="es-MX"/>
        </w:rPr>
        <w:t>Agencia Nacional de Contratación Pública – Colombia Compra Eficiente</w:t>
      </w:r>
      <w:r w:rsidRPr="003D0085">
        <w:rPr>
          <w:rFonts w:ascii="Verdana" w:eastAsia="Times New Roman" w:hAnsi="Verdana" w:cs="Arial"/>
          <w:lang w:val="es-ES_tradnl" w:eastAsia="es-MX"/>
        </w:rPr>
        <w:t xml:space="preserve"> se determinaron los parámetros para establecer, acreditar y subsanar los requisitos habilitantes. Allí también se precisó que estos tienen como fin primordial medir “la aptitud del proponente para participar en un proceso de contratación como oferente y están referidos a su capacidad jurídica, financiera, organizacional y su experiencia”. De acuerdo con el Manual, su propósito consiste en “establecer unas condiciones mínimas para los proponentes de tal manera que la Entidad Estatal sólo evalúe las ofertas de aquellos que están en condiciones de cumplir con el objeto del Proceso de Contratación”. 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1761B47D" w14:textId="77777777" w:rsidR="00B11426" w:rsidRPr="003D0085" w:rsidRDefault="00B11426" w:rsidP="00B11426">
      <w:pPr>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1A55DA62" w14:textId="77777777" w:rsidR="00B11426" w:rsidRPr="003D0085" w:rsidRDefault="00B11426" w:rsidP="00B11426">
      <w:pPr>
        <w:tabs>
          <w:tab w:val="left" w:pos="426"/>
        </w:tabs>
        <w:spacing w:after="120" w:line="276" w:lineRule="auto"/>
        <w:ind w:firstLine="709"/>
        <w:jc w:val="both"/>
        <w:rPr>
          <w:rFonts w:ascii="Verdana" w:eastAsia="Times New Roman" w:hAnsi="Verdana" w:cs="Arial"/>
          <w:lang w:val="es-ES_tradnl" w:eastAsia="es-MX"/>
        </w:rPr>
      </w:pPr>
      <w:bookmarkStart w:id="8" w:name="_Hlk99548027"/>
      <w:r w:rsidRPr="003D0085">
        <w:rPr>
          <w:rFonts w:ascii="Verdana" w:eastAsia="Times New Roman" w:hAnsi="Verdana" w:cs="Arial"/>
          <w:lang w:val="es-ES_tradnl" w:eastAsia="es-MX"/>
        </w:rPr>
        <w:t xml:space="preserve">En ese sentido, si bien </w:t>
      </w:r>
      <w:r w:rsidRPr="003D0085">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bookmarkStart w:id="9" w:name="_Hlk34917473"/>
      <w:r w:rsidRPr="003D0085">
        <w:rPr>
          <w:rFonts w:ascii="Verdana" w:eastAsia="Times New Roman" w:hAnsi="Verdana" w:cs="Arial"/>
          <w:lang w:val="es-ES_tradnl" w:eastAsia="es-MX"/>
        </w:rPr>
        <w:t xml:space="preserve">En consecuencia, corresponde a las Entidades Estatales, durante la etapa de planeación del contrato estatal, estudiar y </w:t>
      </w:r>
      <w:r w:rsidRPr="003D0085">
        <w:rPr>
          <w:rFonts w:ascii="Verdana" w:eastAsia="Times New Roman" w:hAnsi="Verdana" w:cs="Arial"/>
          <w:bCs/>
          <w:iCs/>
          <w:lang w:val="es-ES_tradnl" w:eastAsia="es-MX"/>
        </w:rPr>
        <w:t>determinar</w:t>
      </w:r>
      <w:r w:rsidRPr="003D0085">
        <w:rPr>
          <w:rFonts w:ascii="Verdana" w:eastAsia="Times New Roman" w:hAnsi="Verdana" w:cs="Arial"/>
          <w:lang w:val="es-ES_tradnl" w:eastAsia="es-MX"/>
        </w:rPr>
        <w:t xml:space="preserve"> los requisitos habilitantes que establecerán en los Pliegos de Condiciones, los cuales deben fijarse de forma adecuada y proporcional. </w:t>
      </w:r>
    </w:p>
    <w:bookmarkEnd w:id="8"/>
    <w:p w14:paraId="6AA79334" w14:textId="77777777" w:rsidR="00B11426" w:rsidRPr="003D0085" w:rsidRDefault="00B11426" w:rsidP="00B11426">
      <w:pPr>
        <w:tabs>
          <w:tab w:val="left" w:pos="426"/>
        </w:tabs>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t>El Decreto 1082 de 2015 en su artículo 2.2.1.1.1.6.2 reglamenta los requisitos habilitantes, estableciendo que estos deben ser señalados en los Pliegos de Condiciones o en la invitación</w:t>
      </w:r>
      <w:r w:rsidRPr="003D0085">
        <w:rPr>
          <w:rFonts w:ascii="Verdana" w:eastAsia="Times New Roman" w:hAnsi="Verdana" w:cs="Arial"/>
          <w:vertAlign w:val="superscript"/>
          <w:lang w:val="es-ES_tradnl" w:eastAsia="es-MX"/>
        </w:rPr>
        <w:footnoteReference w:id="4"/>
      </w:r>
      <w:r w:rsidRPr="003D0085">
        <w:rPr>
          <w:rFonts w:ascii="Verdana" w:eastAsia="Times New Roman" w:hAnsi="Verdana" w:cs="Arial"/>
          <w:lang w:val="es-ES_tradnl" w:eastAsia="es-MX"/>
        </w:rPr>
        <w:t xml:space="preserve">, lo cual es concordante con el numeral </w:t>
      </w:r>
      <w:r w:rsidRPr="003D0085">
        <w:rPr>
          <w:rFonts w:ascii="Verdana" w:eastAsia="Times New Roman" w:hAnsi="Verdana" w:cs="Arial"/>
          <w:lang w:val="es-ES_tradnl" w:eastAsia="es-MX"/>
        </w:rPr>
        <w:lastRenderedPageBreak/>
        <w:t>5 del artículo 2.2.1.1.2.1.3, en el que se establece como uno de los componentes mínimos de los Pliegos de Condiciones</w:t>
      </w:r>
      <w:r w:rsidRPr="003D0085">
        <w:rPr>
          <w:rFonts w:ascii="Verdana" w:hAnsi="Verdana" w:cs="Arial"/>
          <w:color w:val="000000"/>
        </w:rPr>
        <w:t xml:space="preserve"> a las reglas aplicables a la presentación y evaluación de las ofertas, entre las que se inscriben las relativas a la acreditación de las condiciones habilitantes. </w:t>
      </w:r>
      <w:r w:rsidRPr="003D0085">
        <w:rPr>
          <w:rFonts w:ascii="Verdana" w:eastAsia="Times New Roman" w:hAnsi="Verdana" w:cs="Arial"/>
          <w:lang w:val="es-ES_tradnl" w:eastAsia="es-MX"/>
        </w:rPr>
        <w:t xml:space="preserve">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39C7152C" w14:textId="77777777" w:rsidR="00B11426" w:rsidRPr="003D0085" w:rsidRDefault="00B11426" w:rsidP="00B11426">
      <w:pPr>
        <w:tabs>
          <w:tab w:val="left" w:pos="426"/>
        </w:tabs>
        <w:spacing w:after="120" w:line="276" w:lineRule="auto"/>
        <w:ind w:firstLine="709"/>
        <w:jc w:val="both"/>
        <w:rPr>
          <w:rFonts w:ascii="Verdana" w:eastAsia="Times New Roman" w:hAnsi="Verdana" w:cs="Arial"/>
          <w:lang w:val="es-ES" w:eastAsia="es-MX"/>
        </w:rPr>
      </w:pPr>
      <w:r w:rsidRPr="7D9C0904">
        <w:rPr>
          <w:rFonts w:ascii="Verdana" w:eastAsia="Times New Roman" w:hAnsi="Verdana" w:cs="Arial"/>
          <w:lang w:val="es-ES" w:eastAsia="es-MX"/>
        </w:rPr>
        <w:t xml:space="preserve">Los mencionados criterios deben ser aplicados de manera tal que de la ponderación de </w:t>
      </w:r>
      <w:proofErr w:type="gramStart"/>
      <w:r w:rsidRPr="7D9C0904">
        <w:rPr>
          <w:rFonts w:ascii="Verdana" w:eastAsia="Times New Roman" w:hAnsi="Verdana" w:cs="Arial"/>
          <w:lang w:val="es-ES" w:eastAsia="es-MX"/>
        </w:rPr>
        <w:t>los mismos</w:t>
      </w:r>
      <w:proofErr w:type="gramEnd"/>
      <w:r w:rsidRPr="7D9C0904">
        <w:rPr>
          <w:rFonts w:ascii="Verdana" w:eastAsia="Times New Roman" w:hAnsi="Verdana" w:cs="Arial"/>
          <w:lang w:val="es-ES" w:eastAsia="es-MX"/>
        </w:rPr>
        <w:t xml:space="preserve"> resulten requisitos que permitan medir la aptitud de los oferentes para cumplir con el contrato y que, además de ser proporcionales y adecuados al objeto del contrato, no limiten la participación en el Proceso de Selección.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25840650" w14:textId="77777777" w:rsidR="00B11426" w:rsidRPr="003D0085" w:rsidRDefault="00B11426" w:rsidP="00B11426">
      <w:pPr>
        <w:tabs>
          <w:tab w:val="left" w:pos="426"/>
        </w:tabs>
        <w:spacing w:before="120" w:after="0" w:line="276" w:lineRule="auto"/>
        <w:ind w:firstLine="709"/>
        <w:jc w:val="both"/>
        <w:rPr>
          <w:rFonts w:ascii="Verdana" w:eastAsia="Times New Roman" w:hAnsi="Verdana" w:cs="Arial"/>
          <w:lang w:val="es-ES" w:eastAsia="es-MX"/>
        </w:rPr>
      </w:pPr>
      <w:bookmarkStart w:id="10" w:name="_Hlk99547936"/>
      <w:r w:rsidRPr="7D9C0904">
        <w:rPr>
          <w:rFonts w:ascii="Verdana" w:eastAsia="Times New Roman" w:hAnsi="Verdana" w:cs="Arial"/>
          <w:lang w:val="es-ES" w:eastAsia="es-MX"/>
        </w:rPr>
        <w:t xml:space="preserve">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w:t>
      </w:r>
      <w:r w:rsidRPr="7D9C0904">
        <w:rPr>
          <w:rFonts w:ascii="Verdana" w:eastAsia="Times New Roman" w:hAnsi="Verdana" w:cs="Arial"/>
          <w:lang w:val="es-ES" w:eastAsia="es-MX"/>
        </w:rPr>
        <w:lastRenderedPageBreak/>
        <w:t xml:space="preserve">fijen de manera adecuada y proporcional a las características del objeto ofertado, procurando además ceñirse a la normativa que resulte aplicable. </w:t>
      </w:r>
    </w:p>
    <w:bookmarkEnd w:id="9"/>
    <w:bookmarkEnd w:id="10"/>
    <w:p w14:paraId="54F2EFEC" w14:textId="77777777" w:rsidR="00B11426" w:rsidRPr="003D0085" w:rsidRDefault="00B11426" w:rsidP="00B11426">
      <w:pPr>
        <w:spacing w:after="0" w:line="276" w:lineRule="auto"/>
        <w:contextualSpacing/>
        <w:jc w:val="both"/>
        <w:rPr>
          <w:rFonts w:ascii="Verdana" w:eastAsia="Calibri" w:hAnsi="Verdana" w:cs="Arial"/>
          <w:bCs/>
          <w:lang w:val="es-ES_tradnl" w:eastAsia="es-MX"/>
        </w:rPr>
      </w:pPr>
    </w:p>
    <w:p w14:paraId="06EB07CE" w14:textId="77777777" w:rsidR="00B11426" w:rsidRPr="003D0085" w:rsidRDefault="00B11426" w:rsidP="00B11426">
      <w:pPr>
        <w:spacing w:after="120" w:line="276" w:lineRule="auto"/>
        <w:ind w:firstLine="708"/>
        <w:jc w:val="both"/>
        <w:rPr>
          <w:rFonts w:ascii="Verdana" w:hAnsi="Verdana" w:cs="Arial"/>
        </w:rPr>
      </w:pPr>
      <w:bookmarkStart w:id="11" w:name="_Hlk99548176"/>
      <w:r>
        <w:rPr>
          <w:rFonts w:ascii="Verdana" w:hAnsi="Verdana" w:cs="Arial"/>
        </w:rPr>
        <w:t>Ahora bien, e</w:t>
      </w:r>
      <w:r w:rsidRPr="003D0085">
        <w:rPr>
          <w:rFonts w:ascii="Verdana" w:hAnsi="Verdana" w:cs="Arial"/>
        </w:rPr>
        <w:t>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w:t>
      </w:r>
      <w:r w:rsidRPr="003D0085">
        <w:rPr>
          <w:rFonts w:ascii="Verdana" w:hAnsi="Verdana" w:cs="Arial"/>
          <w:vertAlign w:val="superscript"/>
        </w:rPr>
        <w:footnoteReference w:id="5"/>
      </w:r>
      <w:r w:rsidRPr="003D0085">
        <w:rPr>
          <w:rFonts w:ascii="Verdana" w:hAnsi="Verdana" w:cs="Arial"/>
        </w:rPr>
        <w:t xml:space="preserv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bookmarkEnd w:id="11"/>
    <w:p w14:paraId="01971FDD" w14:textId="77777777" w:rsidR="00B11426" w:rsidRDefault="00B11426" w:rsidP="00B11426">
      <w:pPr>
        <w:spacing w:after="120" w:line="276" w:lineRule="auto"/>
        <w:ind w:firstLine="708"/>
        <w:jc w:val="both"/>
        <w:rPr>
          <w:rFonts w:ascii="Verdana" w:hAnsi="Verdana" w:cs="Arial"/>
        </w:rPr>
      </w:pPr>
      <w:r w:rsidRPr="003D0085">
        <w:rPr>
          <w:rFonts w:ascii="Verdana" w:hAnsi="Verdana" w:cs="Arial"/>
        </w:rPr>
        <w:t>Dicha información debe tenerse en cuenta por las entidades en los Procedimientos de Contratación en los que es exigible el RUP</w:t>
      </w:r>
      <w:r w:rsidRPr="003D0085">
        <w:rPr>
          <w:rFonts w:ascii="Verdana" w:hAnsi="Verdana" w:cs="Arial"/>
          <w:vertAlign w:val="superscript"/>
        </w:rPr>
        <w:footnoteReference w:id="6"/>
      </w:r>
      <w:r w:rsidRPr="003D0085">
        <w:rPr>
          <w:rFonts w:ascii="Verdana" w:hAnsi="Verdana" w:cs="Arial"/>
        </w:rPr>
        <w:t>. Así las cosas,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3D0085">
        <w:rPr>
          <w:rFonts w:ascii="Verdana" w:hAnsi="Verdana" w:cs="Arial"/>
          <w:vertAlign w:val="superscript"/>
        </w:rPr>
        <w:footnoteReference w:id="7"/>
      </w:r>
      <w:r w:rsidRPr="003D0085">
        <w:rPr>
          <w:rFonts w:ascii="Verdana" w:hAnsi="Verdana" w:cs="Arial"/>
        </w:rPr>
        <w:t xml:space="preserve">. </w:t>
      </w:r>
    </w:p>
    <w:p w14:paraId="1DAE1357" w14:textId="29891C72" w:rsidR="00B11426" w:rsidRPr="004C7829" w:rsidRDefault="00B11426" w:rsidP="00B11426">
      <w:pPr>
        <w:spacing w:after="0" w:line="276" w:lineRule="auto"/>
        <w:ind w:right="-58"/>
        <w:jc w:val="both"/>
        <w:rPr>
          <w:rFonts w:ascii="Verdana" w:eastAsia="Arial" w:hAnsi="Verdana" w:cs="Arial"/>
          <w:color w:val="000000"/>
        </w:rPr>
      </w:pPr>
      <w:r w:rsidRPr="0CE63B89">
        <w:rPr>
          <w:rFonts w:ascii="Verdana" w:eastAsia="Arial" w:hAnsi="Verdana" w:cs="Arial"/>
          <w:color w:val="000000" w:themeColor="text1"/>
        </w:rPr>
        <w:lastRenderedPageBreak/>
        <w:t xml:space="preserve">          Ahora bien, la normativa exige que el RUP se mantenga vigente mediante una renovación anual. El artículo 2.2.1.1.1.5.1 del Decreto 1082 de 2015 es perentorio al prescribir que, si la persona inscrita en el RUP no presenta la información para renovar su registro en el plazo establecido, "cesan los efectos del RUP". Una vez que los efectos del RUP han </w:t>
      </w:r>
      <w:r w:rsidR="32689CB3" w:rsidRPr="0CE63B89">
        <w:rPr>
          <w:rFonts w:ascii="Verdana" w:eastAsia="Arial" w:hAnsi="Verdana" w:cs="Arial"/>
          <w:color w:val="000000" w:themeColor="text1"/>
        </w:rPr>
        <w:t>perdido vigencia</w:t>
      </w:r>
      <w:r w:rsidRPr="0CE63B89">
        <w:rPr>
          <w:rFonts w:ascii="Verdana" w:eastAsia="Arial" w:hAnsi="Verdana" w:cs="Arial"/>
          <w:color w:val="000000" w:themeColor="text1"/>
        </w:rPr>
        <w:t xml:space="preserve">, el certificado </w:t>
      </w:r>
      <w:r w:rsidR="564DDFC3" w:rsidRPr="0CE63B89">
        <w:rPr>
          <w:rFonts w:ascii="Verdana" w:eastAsia="Arial" w:hAnsi="Verdana" w:cs="Arial"/>
          <w:color w:val="000000" w:themeColor="text1"/>
        </w:rPr>
        <w:t xml:space="preserve">no </w:t>
      </w:r>
      <w:proofErr w:type="spellStart"/>
      <w:r w:rsidR="564DDFC3" w:rsidRPr="0CE63B89">
        <w:rPr>
          <w:rFonts w:ascii="Verdana" w:eastAsia="Arial" w:hAnsi="Verdana" w:cs="Arial"/>
          <w:color w:val="000000" w:themeColor="text1"/>
        </w:rPr>
        <w:t>ti</w:t>
      </w:r>
      <w:r w:rsidR="6D473407" w:rsidRPr="0CE63B89">
        <w:rPr>
          <w:rFonts w:ascii="Verdana" w:eastAsia="Arial" w:hAnsi="Verdana" w:cs="Arial"/>
          <w:color w:val="000000" w:themeColor="text1"/>
        </w:rPr>
        <w:t>ene</w:t>
      </w:r>
      <w:r w:rsidRPr="0CE63B89">
        <w:rPr>
          <w:rFonts w:ascii="Verdana" w:eastAsia="Arial" w:hAnsi="Verdana" w:cs="Arial"/>
          <w:color w:val="000000" w:themeColor="text1"/>
        </w:rPr>
        <w:t>valor</w:t>
      </w:r>
      <w:proofErr w:type="spellEnd"/>
      <w:r w:rsidRPr="0CE63B89">
        <w:rPr>
          <w:rFonts w:ascii="Verdana" w:eastAsia="Arial" w:hAnsi="Verdana" w:cs="Arial"/>
          <w:color w:val="000000" w:themeColor="text1"/>
        </w:rPr>
        <w:t xml:space="preserve"> como prueba de los requisitos habilitantes, y la ESAL queda inhabilitada para demostrar su aptitud para contratar con el Estado en cualquier procedimiento donde el RUP sea exigido.</w:t>
      </w:r>
    </w:p>
    <w:p w14:paraId="3A28B0F9" w14:textId="77777777" w:rsidR="00B11426" w:rsidRPr="004C7829" w:rsidRDefault="00B11426" w:rsidP="00B11426">
      <w:pPr>
        <w:spacing w:after="0" w:line="276" w:lineRule="auto"/>
        <w:ind w:right="-58"/>
        <w:jc w:val="both"/>
        <w:rPr>
          <w:rFonts w:ascii="Verdana" w:eastAsia="Arial" w:hAnsi="Verdana" w:cs="Arial"/>
          <w:color w:val="000000"/>
        </w:rPr>
      </w:pPr>
    </w:p>
    <w:p w14:paraId="461A008F" w14:textId="36C3916B" w:rsidR="00B11426" w:rsidRDefault="00B11426" w:rsidP="00B11426">
      <w:pPr>
        <w:spacing w:line="276" w:lineRule="auto"/>
        <w:ind w:right="-58"/>
        <w:jc w:val="both"/>
        <w:rPr>
          <w:rFonts w:ascii="Verdana" w:eastAsia="Arial" w:hAnsi="Verdana" w:cs="Arial"/>
          <w:color w:val="000000"/>
        </w:rPr>
      </w:pPr>
      <w:r w:rsidRPr="0CE63B89">
        <w:rPr>
          <w:rFonts w:ascii="Verdana" w:eastAsia="Arial" w:hAnsi="Verdana" w:cs="Arial"/>
          <w:color w:val="000000" w:themeColor="text1"/>
        </w:rPr>
        <w:t xml:space="preserve">         Adicionalmente, el registro de la ESAL ante la Cámara de Comercio es un requisito previo y fundamental para el RUP. Las Cámaras de Comercio están facultadas para negarse a realizar la inscripción, actualización o renovación del RUP si la información suministrada no coincide o si el proponente (incluida la ESAL) no ha cumplido con la obligación de mantener su registro de existencia y representación legal actualizado. </w:t>
      </w:r>
    </w:p>
    <w:p w14:paraId="383C36CB" w14:textId="4D9DA674" w:rsidR="6C4A55D4" w:rsidRDefault="00B11426" w:rsidP="00D03DC5">
      <w:pPr>
        <w:spacing w:line="276" w:lineRule="auto"/>
        <w:ind w:right="-58" w:firstLine="708"/>
        <w:jc w:val="both"/>
        <w:rPr>
          <w:rFonts w:ascii="Verdana" w:hAnsi="Verdana" w:cs="Arial"/>
          <w:lang w:eastAsia="es-ES"/>
        </w:rPr>
      </w:pPr>
      <w:r w:rsidRPr="0CE63B89">
        <w:rPr>
          <w:rFonts w:ascii="Verdana" w:hAnsi="Verdana" w:cs="Arial"/>
          <w:lang w:eastAsia="es-ES"/>
        </w:rPr>
        <w:t xml:space="preserve">       </w:t>
      </w:r>
      <w:r w:rsidR="6C4A55D4" w:rsidRPr="0CE63B89">
        <w:rPr>
          <w:rFonts w:ascii="Verdana" w:hAnsi="Verdana" w:cs="Arial"/>
          <w:lang w:eastAsia="es-ES"/>
        </w:rPr>
        <w:t>De igual manera y para efectos de verificar los requisitos habilitantes, incluidas las particularidades que deben considerar las Entidades Estatales respecto a las ESAL que participan en procesos competitivos y excepcionales, se recomienda  consultar el Manual para determinar y verificar los requisitos habilitantes en los procesos de Contratación</w:t>
      </w:r>
      <w:r w:rsidR="6C4A55D4" w:rsidRPr="0CE63B89">
        <w:rPr>
          <w:rStyle w:val="Refdenotaalpie"/>
          <w:rFonts w:ascii="Verdana" w:hAnsi="Verdana" w:cs="Arial"/>
          <w:lang w:eastAsia="es-ES"/>
        </w:rPr>
        <w:footnoteReference w:id="8"/>
      </w:r>
      <w:r w:rsidR="6C4A55D4" w:rsidRPr="0CE63B89">
        <w:rPr>
          <w:rFonts w:ascii="Verdana" w:hAnsi="Verdana" w:cs="Arial"/>
          <w:lang w:eastAsia="es-ES"/>
        </w:rPr>
        <w:t>, expedido por la Agencia Nacional de Contratación Pública (Colombia Compra Eficiente). Este manual provee la guía oficial y las pautas para asegurar la correcta aplicación de las reglas del RUP, las excepciones legales y la valoración de la capacidad jurídica en todos los procedimientos de selección.</w:t>
      </w:r>
    </w:p>
    <w:p w14:paraId="5A3566D0" w14:textId="2C95420D" w:rsidR="0CE63B89" w:rsidRDefault="0CE63B89" w:rsidP="0CE63B89">
      <w:pPr>
        <w:pStyle w:val="Prrafodelista"/>
        <w:spacing w:before="120" w:after="120" w:line="276" w:lineRule="auto"/>
        <w:ind w:left="0" w:firstLine="708"/>
        <w:jc w:val="both"/>
        <w:rPr>
          <w:rFonts w:ascii="Verdana" w:eastAsia="Calibri" w:hAnsi="Verdana" w:cs="Arial"/>
          <w:lang w:eastAsia="es-ES"/>
        </w:rPr>
      </w:pPr>
    </w:p>
    <w:p w14:paraId="48F4C92B" w14:textId="77777777" w:rsidR="00B11426" w:rsidRPr="00C71956" w:rsidRDefault="00B11426" w:rsidP="00B11426">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1D64C90" w14:textId="77777777" w:rsidR="00B11426" w:rsidRDefault="00B11426" w:rsidP="00B11426">
      <w:pPr>
        <w:spacing w:line="276" w:lineRule="auto"/>
        <w:jc w:val="both"/>
        <w:rPr>
          <w:rFonts w:ascii="Verdana" w:eastAsia="Calibri" w:hAnsi="Verdana" w:cs="Times New Roman"/>
          <w:lang w:val="es-ES"/>
        </w:rPr>
      </w:pPr>
      <w:r>
        <w:rPr>
          <w:rFonts w:ascii="Verdana" w:eastAsia="Calibri" w:hAnsi="Verdana" w:cs="Times New Roman"/>
          <w:lang w:val="es-ES"/>
        </w:rPr>
        <w:lastRenderedPageBreak/>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5441744" w14:textId="77777777" w:rsidR="00B11426" w:rsidRPr="0060676F" w:rsidRDefault="00B11426" w:rsidP="00B11426">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03D555B" w14:textId="77777777" w:rsidR="00B11426" w:rsidRPr="00593A5F" w:rsidRDefault="00B11426" w:rsidP="00B1142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11426" w:rsidRPr="00593A5F" w14:paraId="3169C886" w14:textId="77777777" w:rsidTr="00E11A84">
        <w:trPr>
          <w:trHeight w:val="870"/>
        </w:trPr>
        <w:tc>
          <w:tcPr>
            <w:tcW w:w="8647" w:type="dxa"/>
          </w:tcPr>
          <w:p w14:paraId="2C00731B" w14:textId="77777777" w:rsidR="00B11426"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Código de Comercio: Artículo 515.</w:t>
            </w:r>
          </w:p>
          <w:p w14:paraId="284C8DA1"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Ley 1150 de 2007: Artículo 5 y artículo 6. </w:t>
            </w:r>
          </w:p>
          <w:p w14:paraId="1BE22385"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Ley 1437 de 2011: Artículo 44. </w:t>
            </w:r>
          </w:p>
          <w:p w14:paraId="4D796A7A"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Decreto 1082 de 2015: Numeral 5 del artículo 2.2.1.1.2.1.3 y artículo 2.2.1.1.1.6.2. </w:t>
            </w:r>
          </w:p>
          <w:p w14:paraId="45F696E6"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Corte Constitucional. Sala Plena. Sentencia C 178 de 29 de abril de 1996. Magistrado Ponente: Antonio Barrera Carbonell. Expediente No. D-974.</w:t>
            </w:r>
          </w:p>
          <w:p w14:paraId="2007C176"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Consejo de Estado. Sección Tercera. Subsección A. Sentencia del 12 de febrero de 2014. </w:t>
            </w:r>
            <w:proofErr w:type="spellStart"/>
            <w:r w:rsidRPr="00960F72">
              <w:rPr>
                <w:rFonts w:ascii="Verdana" w:eastAsia="Calibri" w:hAnsi="Verdana" w:cs="Arial"/>
                <w:lang w:val="es-CO" w:eastAsia="es-MX"/>
              </w:rPr>
              <w:t>Exp</w:t>
            </w:r>
            <w:proofErr w:type="spellEnd"/>
            <w:r w:rsidRPr="00960F72">
              <w:rPr>
                <w:rFonts w:ascii="Verdana" w:eastAsia="Calibri" w:hAnsi="Verdana" w:cs="Arial"/>
                <w:lang w:val="es-CO" w:eastAsia="es-MX"/>
              </w:rPr>
              <w:t xml:space="preserve">. 31.753. C.P. Mauricio Fajardo Gómez. </w:t>
            </w:r>
          </w:p>
          <w:p w14:paraId="64957F6A"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Consejo de Estado. Sala de Consulta y Servicio Civil. Consejero Ponente: Álvaro </w:t>
            </w:r>
            <w:proofErr w:type="spellStart"/>
            <w:r w:rsidRPr="00960F72">
              <w:rPr>
                <w:rFonts w:ascii="Verdana" w:eastAsia="Calibri" w:hAnsi="Verdana" w:cs="Arial"/>
                <w:lang w:val="es-CO" w:eastAsia="es-MX"/>
              </w:rPr>
              <w:t>Namén</w:t>
            </w:r>
            <w:proofErr w:type="spellEnd"/>
            <w:r w:rsidRPr="00960F72">
              <w:rPr>
                <w:rFonts w:ascii="Verdana" w:eastAsia="Calibri" w:hAnsi="Verdana" w:cs="Arial"/>
                <w:lang w:val="es-CO" w:eastAsia="es-MX"/>
              </w:rPr>
              <w:t xml:space="preserve"> Vargas. Bogotá, 10 de agosto de 2015. Radicación número: 11001-03-06-000-2015-00118-00(2.260).</w:t>
            </w:r>
          </w:p>
          <w:p w14:paraId="56460483"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hAnsi="Verdana" w:cs="Arial"/>
                <w:color w:val="000000" w:themeColor="text1"/>
                <w:lang w:val="es-CO"/>
              </w:rPr>
            </w:pPr>
            <w:r w:rsidRPr="00960F72">
              <w:rPr>
                <w:rFonts w:ascii="Verdana" w:eastAsia="Calibri" w:hAnsi="Verdana" w:cs="Arial"/>
                <w:lang w:val="es-CO" w:eastAsia="es-MX"/>
              </w:rPr>
              <w:t xml:space="preserve">Agencia Nacional de Contratación Pública – Colombia Compra Eficiente. Manual para determinar y verificar los requisitos habilitantes en los Procesos de Contratación. Disponible en: </w:t>
            </w:r>
            <w:hyperlink r:id="rId11" w:history="1">
              <w:r w:rsidRPr="00960F72">
                <w:rPr>
                  <w:rStyle w:val="Hipervnculo"/>
                  <w:rFonts w:ascii="Verdana" w:eastAsia="Calibri" w:hAnsi="Verdana" w:cs="Arial"/>
                  <w:lang w:val="es-CO" w:eastAsia="es-MX"/>
                </w:rPr>
                <w:t>https://colombiacompra.gov.co/manuales-guias-y-pliegos-tipo/manuales-y-guias</w:t>
              </w:r>
            </w:hyperlink>
            <w:r w:rsidRPr="00960F72">
              <w:rPr>
                <w:rFonts w:ascii="Verdana" w:eastAsia="Calibri" w:hAnsi="Verdana" w:cs="Arial"/>
                <w:lang w:val="es-CO" w:eastAsia="es-MX"/>
              </w:rPr>
              <w:t xml:space="preserve"> </w:t>
            </w:r>
          </w:p>
          <w:p w14:paraId="5727EADB" w14:textId="77777777" w:rsidR="00B11426" w:rsidRPr="0003480F" w:rsidRDefault="00B11426" w:rsidP="00E11A84">
            <w:pPr>
              <w:widowControl w:val="0"/>
              <w:autoSpaceDE w:val="0"/>
              <w:autoSpaceDN w:val="0"/>
              <w:spacing w:after="120" w:line="276" w:lineRule="auto"/>
              <w:ind w:left="720"/>
              <w:jc w:val="both"/>
              <w:rPr>
                <w:rFonts w:ascii="Verdana" w:hAnsi="Verdana" w:cs="Arial"/>
                <w:color w:val="000000" w:themeColor="text1"/>
              </w:rPr>
            </w:pPr>
          </w:p>
        </w:tc>
      </w:tr>
    </w:tbl>
    <w:p w14:paraId="423E84E9" w14:textId="77777777" w:rsidR="00B11426" w:rsidRDefault="00B11426" w:rsidP="00B1142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37DBC61" w14:textId="77777777" w:rsidR="00B11426" w:rsidRDefault="00B11426" w:rsidP="00B11426">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9B0B7FF" w14:textId="77777777" w:rsidR="00B11426" w:rsidRPr="00593A5F" w:rsidRDefault="00B11426" w:rsidP="00B1142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B8F74B2" w14:textId="77777777" w:rsidR="00B11426" w:rsidRPr="00AE7E03" w:rsidRDefault="00B11426" w:rsidP="00B11426">
      <w:pPr>
        <w:widowControl w:val="0"/>
        <w:autoSpaceDE w:val="0"/>
        <w:autoSpaceDN w:val="0"/>
        <w:spacing w:after="0" w:line="276" w:lineRule="auto"/>
        <w:jc w:val="both"/>
        <w:rPr>
          <w:rFonts w:ascii="Verdana" w:eastAsia="Arial" w:hAnsi="Verdana" w:cs="Arial"/>
          <w:lang w:val="es-MX" w:eastAsia="es-ES"/>
        </w:rPr>
      </w:pPr>
      <w:r w:rsidRPr="00960F72">
        <w:rPr>
          <w:rFonts w:ascii="Verdana" w:eastAsia="Calibri" w:hAnsi="Verdana" w:cs="Arial"/>
          <w:color w:val="000000" w:themeColor="text1"/>
          <w:lang w:eastAsia="es-ES_tradnl"/>
        </w:rPr>
        <w:t xml:space="preserve">La Agencia Nacional de Contratación Pública – Colombia Compra Eficiente </w:t>
      </w:r>
      <w:r w:rsidRPr="00960F72">
        <w:rPr>
          <w:rFonts w:ascii="Verdana" w:eastAsia="Arial" w:hAnsi="Verdana" w:cs="Arial"/>
          <w:lang w:eastAsia="es-ES_tradnl"/>
        </w:rPr>
        <w:t>se ha referido a la determinación de los requisitos habilitantes</w:t>
      </w:r>
      <w:r>
        <w:rPr>
          <w:rFonts w:ascii="Verdana" w:eastAsia="Arial" w:hAnsi="Verdana" w:cs="Arial"/>
          <w:lang w:eastAsia="es-ES_tradnl"/>
        </w:rPr>
        <w:t xml:space="preserve"> y los Códigos CIIU </w:t>
      </w:r>
      <w:r w:rsidRPr="00960F72">
        <w:rPr>
          <w:rFonts w:ascii="Verdana" w:eastAsia="Arial" w:hAnsi="Verdana" w:cs="Arial"/>
          <w:lang w:eastAsia="es-ES_tradnl"/>
        </w:rPr>
        <w:t xml:space="preserve">  en los conceptos</w:t>
      </w:r>
      <w:r>
        <w:rPr>
          <w:rFonts w:ascii="Verdana" w:eastAsia="Arial" w:hAnsi="Verdana" w:cs="Arial"/>
          <w:lang w:eastAsia="es-ES_tradnl"/>
        </w:rPr>
        <w:t xml:space="preserve"> </w:t>
      </w:r>
      <w:r w:rsidRPr="00960F72">
        <w:rPr>
          <w:rFonts w:ascii="Verdana" w:eastAsia="Arial" w:hAnsi="Verdana" w:cs="Arial"/>
          <w:lang w:eastAsia="es-ES_tradnl"/>
        </w:rPr>
        <w:t xml:space="preserve">C-120 del 3 de marzo de 2020, C-204 del 31 de marzo de 2020, C-099 del 6 de abril  de 2020, C-195 del 13 de abril de 2020, C-013 del 17 de abril de 2020, C-330 del 27 de mayo de 2020 y C-396 de 16 de julio </w:t>
      </w:r>
      <w:r w:rsidRPr="00960F72">
        <w:rPr>
          <w:rFonts w:ascii="Verdana" w:hAnsi="Verdana" w:cs="Arial"/>
          <w:shd w:val="clear" w:color="auto" w:fill="FFFFFF"/>
        </w:rPr>
        <w:t xml:space="preserve">de 2020, </w:t>
      </w:r>
      <w:r w:rsidRPr="00960F72">
        <w:rPr>
          <w:rFonts w:ascii="Verdana" w:hAnsi="Verdana" w:cs="Arial"/>
          <w:shd w:val="clear" w:color="auto" w:fill="FFFFFF"/>
        </w:rPr>
        <w:lastRenderedPageBreak/>
        <w:t>C-142 del 30 de marzo de 2022,  C-337 de 18de agosto de 2023,Concepto C-483 del 26 de septiembre de 2024, Concepto C- 662 de 2024 del 29 de enero de 2025, C –043 del 28 de febrero de 2025, Concepto C- 116 del 1 de marzo de 2025</w:t>
      </w:r>
      <w:r>
        <w:rPr>
          <w:rFonts w:ascii="Verdana" w:hAnsi="Verdana" w:cs="Arial"/>
          <w:shd w:val="clear" w:color="auto" w:fill="FFFFFF"/>
        </w:rPr>
        <w:t xml:space="preserve">, </w:t>
      </w:r>
      <w:r w:rsidRPr="00960F72">
        <w:rPr>
          <w:rFonts w:ascii="Verdana" w:hAnsi="Verdana" w:cs="Arial"/>
          <w:shd w:val="clear" w:color="auto" w:fill="FFFFFF"/>
        </w:rPr>
        <w:t>C-662 de 2025</w:t>
      </w:r>
      <w:r>
        <w:rPr>
          <w:rFonts w:ascii="Verdana" w:hAnsi="Verdana" w:cs="Arial"/>
          <w:shd w:val="clear" w:color="auto" w:fill="FFFFFF"/>
        </w:rPr>
        <w:t xml:space="preserve"> y C-1175 del 26 de septiembre de 2025, </w:t>
      </w:r>
      <w:r w:rsidRPr="00960F72">
        <w:rPr>
          <w:rFonts w:ascii="Verdana" w:hAnsi="Verdana" w:cs="Arial"/>
          <w:shd w:val="clear" w:color="auto" w:fill="FFFFFF"/>
        </w:rPr>
        <w:t>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97CC04E" w14:textId="77777777" w:rsidR="00B11426" w:rsidRPr="0065720B" w:rsidRDefault="00B11426" w:rsidP="00B11426">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1EA62E7" w14:textId="77777777" w:rsidR="00B11426" w:rsidRPr="00505CD6" w:rsidRDefault="00B11426" w:rsidP="00B11426">
      <w:pPr>
        <w:widowControl w:val="0"/>
        <w:autoSpaceDE w:val="0"/>
        <w:autoSpaceDN w:val="0"/>
        <w:spacing w:after="0" w:line="276" w:lineRule="auto"/>
        <w:jc w:val="both"/>
        <w:rPr>
          <w:rFonts w:ascii="Verdana" w:hAnsi="Verdana" w:cs="Arial"/>
          <w:color w:val="000000" w:themeColor="text1"/>
          <w:shd w:val="clear" w:color="auto" w:fill="FFFFFF"/>
        </w:rPr>
      </w:pPr>
    </w:p>
    <w:p w14:paraId="37E10758" w14:textId="77777777" w:rsidR="00B11426" w:rsidRPr="00103B90" w:rsidRDefault="00B11426" w:rsidP="00B11426">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4EE38320" w14:textId="77777777" w:rsidR="00B11426" w:rsidRPr="00103B90" w:rsidRDefault="00B11426" w:rsidP="00B11426">
      <w:pPr>
        <w:widowControl w:val="0"/>
        <w:autoSpaceDE w:val="0"/>
        <w:autoSpaceDN w:val="0"/>
        <w:spacing w:after="0" w:line="276" w:lineRule="auto"/>
        <w:jc w:val="both"/>
        <w:rPr>
          <w:rFonts w:ascii="Verdana" w:hAnsi="Verdana"/>
        </w:rPr>
      </w:pPr>
    </w:p>
    <w:p w14:paraId="092A3965" w14:textId="77777777" w:rsidR="00B11426" w:rsidRPr="00505CD6" w:rsidRDefault="00B11426" w:rsidP="00B11426">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3E89835" w14:textId="77777777" w:rsidR="00B11426" w:rsidRPr="00505CD6" w:rsidRDefault="00B11426" w:rsidP="00B11426">
      <w:pPr>
        <w:widowControl w:val="0"/>
        <w:autoSpaceDE w:val="0"/>
        <w:autoSpaceDN w:val="0"/>
        <w:spacing w:after="0" w:line="276" w:lineRule="auto"/>
        <w:jc w:val="both"/>
        <w:rPr>
          <w:rFonts w:ascii="Verdana" w:hAnsi="Verdana" w:cs="Arial"/>
        </w:rPr>
      </w:pPr>
    </w:p>
    <w:p w14:paraId="7D23EBC9" w14:textId="77777777" w:rsidR="00B11426" w:rsidRDefault="00B11426" w:rsidP="00B11426">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619899C" w14:textId="77777777" w:rsidR="00B11426" w:rsidRDefault="00B11426" w:rsidP="00B11426">
      <w:pPr>
        <w:spacing w:line="276" w:lineRule="auto"/>
        <w:jc w:val="center"/>
        <w:rPr>
          <w:noProof/>
        </w:rPr>
      </w:pPr>
      <w:r>
        <w:rPr>
          <w:noProof/>
        </w:rPr>
        <w:drawing>
          <wp:inline distT="0" distB="0" distL="0" distR="0" wp14:anchorId="0311C237" wp14:editId="5B546E61">
            <wp:extent cx="3294287" cy="1457325"/>
            <wp:effectExtent l="0" t="0" r="1905" b="0"/>
            <wp:docPr id="381111604" name="Imagen 1"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111604" name="Imagen 1" descr="Texto&#10;&#10;Descripción generada automáticamente con confianza baj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11396" cy="1464894"/>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11426" w:rsidRPr="00593A5F" w14:paraId="6B5F3A43" w14:textId="77777777" w:rsidTr="00E11A84">
        <w:trPr>
          <w:trHeight w:val="315"/>
        </w:trPr>
        <w:tc>
          <w:tcPr>
            <w:tcW w:w="893" w:type="dxa"/>
            <w:vAlign w:val="center"/>
            <w:hideMark/>
          </w:tcPr>
          <w:p w14:paraId="7CC10ECB" w14:textId="77777777" w:rsidR="00B11426" w:rsidRPr="003751C7" w:rsidRDefault="00B11426"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617BE2" w14:textId="77777777" w:rsidR="00B11426" w:rsidRPr="007911EE" w:rsidRDefault="00B11426" w:rsidP="00E11A84">
            <w:pPr>
              <w:contextualSpacing/>
              <w:rPr>
                <w:rFonts w:ascii="Verdana" w:hAnsi="Verdana"/>
                <w:sz w:val="16"/>
                <w:szCs w:val="16"/>
              </w:rPr>
            </w:pPr>
            <w:r>
              <w:rPr>
                <w:rFonts w:ascii="Verdana" w:hAnsi="Verdana"/>
                <w:sz w:val="16"/>
                <w:szCs w:val="16"/>
              </w:rPr>
              <w:t>Daniel Eduardo Rojas Poveda</w:t>
            </w:r>
          </w:p>
          <w:p w14:paraId="57DA4393" w14:textId="77777777" w:rsidR="00B11426" w:rsidRPr="007911EE" w:rsidRDefault="00B11426"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B11426" w:rsidRPr="00593A5F" w14:paraId="30AF4C2B" w14:textId="77777777" w:rsidTr="00E11A84">
        <w:trPr>
          <w:trHeight w:val="330"/>
        </w:trPr>
        <w:tc>
          <w:tcPr>
            <w:tcW w:w="893" w:type="dxa"/>
            <w:vAlign w:val="center"/>
            <w:hideMark/>
          </w:tcPr>
          <w:p w14:paraId="3F4B10B4" w14:textId="77777777" w:rsidR="00B11426" w:rsidRPr="003751C7" w:rsidRDefault="00B11426"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CCA6AD" w14:textId="77777777" w:rsidR="00B11426" w:rsidRDefault="00B11426" w:rsidP="00E11A84">
            <w:pPr>
              <w:spacing w:line="276" w:lineRule="auto"/>
              <w:contextualSpacing/>
              <w:jc w:val="both"/>
              <w:rPr>
                <w:rFonts w:ascii="Verdana" w:hAnsi="Verdana"/>
                <w:sz w:val="16"/>
                <w:szCs w:val="16"/>
              </w:rPr>
            </w:pPr>
            <w:r w:rsidRPr="00CC5B4B">
              <w:rPr>
                <w:rFonts w:ascii="Verdana" w:hAnsi="Verdana"/>
                <w:sz w:val="16"/>
                <w:szCs w:val="16"/>
              </w:rPr>
              <w:t>Juan Carlos González</w:t>
            </w:r>
            <w:r>
              <w:rPr>
                <w:rFonts w:ascii="Verdana" w:hAnsi="Verdana"/>
                <w:sz w:val="16"/>
                <w:szCs w:val="16"/>
              </w:rPr>
              <w:t xml:space="preserve"> Vásquez</w:t>
            </w:r>
          </w:p>
          <w:p w14:paraId="6F231A27" w14:textId="77777777" w:rsidR="00B11426" w:rsidRPr="007911EE" w:rsidRDefault="00B11426"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B11426" w:rsidRPr="00593A5F" w14:paraId="6C1CC050" w14:textId="77777777" w:rsidTr="00E11A84">
        <w:trPr>
          <w:trHeight w:val="330"/>
        </w:trPr>
        <w:tc>
          <w:tcPr>
            <w:tcW w:w="893" w:type="dxa"/>
            <w:vAlign w:val="center"/>
          </w:tcPr>
          <w:p w14:paraId="5009ED27" w14:textId="77777777" w:rsidR="00B11426" w:rsidRPr="003751C7" w:rsidRDefault="00B11426"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7DBE1B6" w14:textId="77777777" w:rsidR="00B11426" w:rsidRDefault="00B11426" w:rsidP="00E11A8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396ED637" w14:textId="77777777" w:rsidR="00B11426" w:rsidRDefault="00B11426"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60AB014" w14:textId="77777777" w:rsidR="00B11426" w:rsidRPr="00F30C63" w:rsidRDefault="00B11426" w:rsidP="00B11426"/>
    <w:p w14:paraId="0F293BF4" w14:textId="1326968A" w:rsidR="00127233" w:rsidRPr="006E143F" w:rsidRDefault="00127233" w:rsidP="006E143F"/>
    <w:sectPr w:rsidR="00127233" w:rsidRPr="006E143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3AF9D" w14:textId="77777777" w:rsidR="00757AA9" w:rsidRDefault="00757AA9" w:rsidP="004A1847">
      <w:pPr>
        <w:spacing w:after="0" w:line="240" w:lineRule="auto"/>
      </w:pPr>
      <w:r>
        <w:separator/>
      </w:r>
    </w:p>
  </w:endnote>
  <w:endnote w:type="continuationSeparator" w:id="0">
    <w:p w14:paraId="1C6D5D4A" w14:textId="77777777" w:rsidR="00757AA9" w:rsidRDefault="00757AA9" w:rsidP="004A1847">
      <w:pPr>
        <w:spacing w:after="0" w:line="240" w:lineRule="auto"/>
      </w:pPr>
      <w:r>
        <w:continuationSeparator/>
      </w:r>
    </w:p>
  </w:endnote>
  <w:endnote w:type="continuationNotice" w:id="1">
    <w:p w14:paraId="71A19FB8" w14:textId="77777777" w:rsidR="00757AA9" w:rsidRDefault="00757A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1A54E" w14:textId="77777777" w:rsidR="00757AA9" w:rsidRDefault="00757AA9" w:rsidP="004A1847">
      <w:pPr>
        <w:spacing w:after="0" w:line="240" w:lineRule="auto"/>
      </w:pPr>
      <w:r>
        <w:separator/>
      </w:r>
    </w:p>
  </w:footnote>
  <w:footnote w:type="continuationSeparator" w:id="0">
    <w:p w14:paraId="011BF345" w14:textId="77777777" w:rsidR="00757AA9" w:rsidRDefault="00757AA9" w:rsidP="004A1847">
      <w:pPr>
        <w:spacing w:after="0" w:line="240" w:lineRule="auto"/>
      </w:pPr>
      <w:r>
        <w:continuationSeparator/>
      </w:r>
    </w:p>
  </w:footnote>
  <w:footnote w:type="continuationNotice" w:id="1">
    <w:p w14:paraId="2E8E3990" w14:textId="77777777" w:rsidR="00757AA9" w:rsidRDefault="00757AA9">
      <w:pPr>
        <w:spacing w:after="0" w:line="240" w:lineRule="auto"/>
      </w:pPr>
    </w:p>
  </w:footnote>
  <w:footnote w:id="2">
    <w:p w14:paraId="511B5422" w14:textId="77777777" w:rsidR="00B11426" w:rsidRPr="009A5D6C" w:rsidRDefault="00B11426" w:rsidP="00B11426">
      <w:pPr>
        <w:pStyle w:val="Textonotapie"/>
        <w:rPr>
          <w:rFonts w:ascii="Verdana" w:hAnsi="Verdana"/>
          <w:sz w:val="16"/>
          <w:szCs w:val="16"/>
          <w:lang w:val="es-ES"/>
        </w:rPr>
      </w:pPr>
      <w:r w:rsidRPr="009A5D6C">
        <w:rPr>
          <w:rStyle w:val="Refdenotaalpie"/>
          <w:rFonts w:ascii="Verdana" w:hAnsi="Verdana"/>
          <w:sz w:val="16"/>
          <w:szCs w:val="16"/>
        </w:rPr>
        <w:footnoteRef/>
      </w:r>
      <w:r w:rsidRPr="009A5D6C">
        <w:rPr>
          <w:rFonts w:ascii="Verdana" w:hAnsi="Verdana"/>
          <w:sz w:val="16"/>
          <w:szCs w:val="16"/>
        </w:rPr>
        <w:t xml:space="preserve"> </w:t>
      </w:r>
      <w:hyperlink r:id="rId1" w:history="1">
        <w:r w:rsidRPr="009A5D6C">
          <w:rPr>
            <w:rStyle w:val="Hipervnculo"/>
            <w:rFonts w:ascii="Verdana" w:hAnsi="Verdana"/>
            <w:sz w:val="16"/>
            <w:szCs w:val="16"/>
          </w:rPr>
          <w:t>https://www.colombiacompra.gov.co/archivos/manual/manual-para-determinar-y-verificar-los-requisitos-habilitantes-en-los-procesos-de-contratacion</w:t>
        </w:r>
      </w:hyperlink>
      <w:r w:rsidRPr="009A5D6C">
        <w:rPr>
          <w:rFonts w:ascii="Verdana" w:hAnsi="Verdana"/>
          <w:sz w:val="16"/>
          <w:szCs w:val="16"/>
        </w:rPr>
        <w:t xml:space="preserve"> </w:t>
      </w:r>
    </w:p>
  </w:footnote>
  <w:footnote w:id="3">
    <w:p w14:paraId="2077857A" w14:textId="77777777" w:rsidR="00B11426" w:rsidRDefault="00B11426" w:rsidP="00B11426">
      <w:pPr>
        <w:pStyle w:val="NormalWeb"/>
        <w:spacing w:after="0"/>
        <w:ind w:firstLine="708"/>
        <w:contextualSpacing/>
        <w:jc w:val="both"/>
        <w:rPr>
          <w:rFonts w:ascii="Verdana" w:hAnsi="Verdana" w:cs="Arial"/>
          <w:sz w:val="14"/>
          <w:szCs w:val="14"/>
        </w:rPr>
      </w:pPr>
      <w:r w:rsidRPr="008A2385">
        <w:rPr>
          <w:rStyle w:val="Refdenotaalpie"/>
          <w:rFonts w:ascii="Verdana" w:hAnsi="Verdana" w:cs="Arial"/>
          <w:sz w:val="14"/>
          <w:szCs w:val="14"/>
        </w:rPr>
        <w:footnoteRef/>
      </w:r>
      <w:r w:rsidRPr="008A2385">
        <w:rPr>
          <w:rFonts w:ascii="Verdana" w:hAnsi="Verdana" w:cs="Arial"/>
          <w:sz w:val="14"/>
          <w:szCs w:val="14"/>
        </w:rPr>
        <w:t xml:space="preserve"> </w:t>
      </w:r>
      <w:r w:rsidRPr="008A2385">
        <w:rPr>
          <w:rFonts w:ascii="Verdana" w:hAnsi="Verdana" w:cs="Arial"/>
          <w:sz w:val="14"/>
          <w:szCs w:val="14"/>
          <w:lang w:val="es-ES"/>
        </w:rPr>
        <w:t>“</w:t>
      </w:r>
      <w:r w:rsidRPr="008A2385">
        <w:rPr>
          <w:rFonts w:ascii="Verdana" w:hAnsi="Verdana" w:cs="Arial"/>
          <w:sz w:val="14"/>
          <w:szCs w:val="14"/>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24486D18" w14:textId="77777777" w:rsidR="00B11426" w:rsidRPr="00FD2DE8" w:rsidRDefault="00B11426" w:rsidP="00B11426">
      <w:pPr>
        <w:pStyle w:val="NormalWeb"/>
        <w:spacing w:after="0"/>
        <w:contextualSpacing/>
        <w:jc w:val="both"/>
        <w:rPr>
          <w:rFonts w:ascii="Verdana" w:hAnsi="Verdana" w:cs="Arial"/>
          <w:sz w:val="14"/>
          <w:szCs w:val="14"/>
        </w:rPr>
      </w:pPr>
      <w:r w:rsidRPr="008A2385">
        <w:rPr>
          <w:rFonts w:ascii="Verdana" w:hAnsi="Verdana" w:cs="Arial"/>
          <w:sz w:val="14"/>
          <w:szCs w:val="14"/>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4">
    <w:p w14:paraId="098DE80C" w14:textId="77777777" w:rsidR="00B11426" w:rsidRPr="0050790C" w:rsidRDefault="00B11426" w:rsidP="00B11426">
      <w:pPr>
        <w:pStyle w:val="NormalWeb"/>
        <w:spacing w:before="0" w:beforeAutospacing="0" w:after="0"/>
        <w:ind w:firstLine="709"/>
        <w:contextualSpacing/>
        <w:jc w:val="both"/>
        <w:rPr>
          <w:rFonts w:ascii="Verdana" w:hAnsi="Verdana" w:cs="Arial"/>
          <w:sz w:val="16"/>
          <w:szCs w:val="16"/>
          <w:lang w:val="es-ES"/>
        </w:rPr>
      </w:pPr>
      <w:r w:rsidRPr="0050790C">
        <w:rPr>
          <w:rStyle w:val="Refdenotaalpie"/>
          <w:rFonts w:ascii="Verdana" w:hAnsi="Verdana" w:cs="Arial"/>
          <w:sz w:val="16"/>
          <w:szCs w:val="16"/>
        </w:rPr>
        <w:footnoteRef/>
      </w:r>
      <w:r w:rsidRPr="0050790C">
        <w:rPr>
          <w:rStyle w:val="Refdenotaalpie"/>
          <w:rFonts w:ascii="Verdana" w:hAnsi="Verdana" w:cs="Arial"/>
          <w:sz w:val="16"/>
          <w:szCs w:val="16"/>
        </w:rPr>
        <w:t xml:space="preserve"> “</w:t>
      </w:r>
      <w:r w:rsidRPr="0050790C">
        <w:rPr>
          <w:rFonts w:ascii="Verdana" w:hAnsi="Verdana"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240BBBEC" w14:textId="77777777" w:rsidR="00B11426" w:rsidRPr="0050790C" w:rsidRDefault="00B11426" w:rsidP="00B11426">
      <w:pPr>
        <w:pStyle w:val="NormalWeb"/>
        <w:spacing w:after="0"/>
        <w:ind w:firstLine="709"/>
        <w:contextualSpacing/>
        <w:jc w:val="both"/>
        <w:rPr>
          <w:rFonts w:ascii="Verdana" w:hAnsi="Verdana" w:cs="Arial"/>
          <w:sz w:val="16"/>
          <w:szCs w:val="16"/>
          <w:lang w:val="es-ES"/>
        </w:rPr>
      </w:pPr>
      <w:r w:rsidRPr="0050790C">
        <w:rPr>
          <w:rFonts w:ascii="Verdana" w:hAnsi="Verdana" w:cs="Arial"/>
          <w:sz w:val="16"/>
          <w:szCs w:val="16"/>
          <w:lang w:val="es-ES"/>
        </w:rPr>
        <w:t>Parágrafo Transitorio. </w:t>
      </w:r>
      <w:hyperlink r:id="rId2" w:tgtFrame="_blank" w:history="1">
        <w:r w:rsidRPr="0050790C">
          <w:rPr>
            <w:rFonts w:ascii="Verdana" w:hAnsi="Verdana"/>
            <w:sz w:val="16"/>
            <w:szCs w:val="16"/>
          </w:rPr>
          <w:t>https://colaboracion.dnp.gov.co/CDT/Normatividad/DECRETO 579 DEL 31 DE MAYO DE 2021.pdf</w:t>
        </w:r>
      </w:hyperlink>
      <w:r w:rsidRPr="0050790C">
        <w:rPr>
          <w:rFonts w:ascii="Verdana" w:hAnsi="Verdana"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713522F9" w14:textId="77777777" w:rsidR="00B11426" w:rsidRPr="0050790C" w:rsidRDefault="00B11426" w:rsidP="00B11426">
      <w:pPr>
        <w:pStyle w:val="NormalWeb"/>
        <w:spacing w:after="0"/>
        <w:ind w:firstLine="709"/>
        <w:contextualSpacing/>
        <w:jc w:val="both"/>
        <w:rPr>
          <w:rFonts w:ascii="Verdana" w:hAnsi="Verdana" w:cs="Arial"/>
          <w:sz w:val="16"/>
          <w:szCs w:val="16"/>
          <w:lang w:val="es-ES"/>
        </w:rPr>
      </w:pPr>
      <w:r w:rsidRPr="0050790C">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índicadores, teniendo en cuenta el mejor año fiscal que se refleje en el regístro de cada proponente</w:t>
      </w:r>
      <w:r w:rsidRPr="0050790C">
        <w:rPr>
          <w:rFonts w:ascii="Arial" w:hAnsi="Arial" w:cs="Arial"/>
          <w:sz w:val="16"/>
          <w:szCs w:val="16"/>
          <w:lang w:val="es-ES"/>
        </w:rPr>
        <w:t>​</w:t>
      </w:r>
      <w:r w:rsidRPr="0050790C">
        <w:rPr>
          <w:rFonts w:ascii="Verdana" w:hAnsi="Verdana" w:cs="Arial"/>
          <w:sz w:val="16"/>
          <w:szCs w:val="16"/>
          <w:lang w:val="es-ES"/>
        </w:rPr>
        <w:t>.</w:t>
      </w:r>
    </w:p>
    <w:p w14:paraId="1E8BAD49" w14:textId="77777777" w:rsidR="00B11426" w:rsidRPr="00B208E1" w:rsidRDefault="00B11426" w:rsidP="00B11426">
      <w:pPr>
        <w:pStyle w:val="NormalWeb"/>
        <w:spacing w:after="0"/>
        <w:ind w:firstLine="709"/>
        <w:contextualSpacing/>
        <w:jc w:val="both"/>
        <w:rPr>
          <w:rFonts w:ascii="Arial" w:hAnsi="Arial" w:cs="Arial"/>
          <w:sz w:val="14"/>
          <w:szCs w:val="14"/>
          <w:lang w:val="es-ES"/>
        </w:rPr>
      </w:pPr>
    </w:p>
    <w:p w14:paraId="6F8382B0" w14:textId="77777777" w:rsidR="00B11426" w:rsidRPr="00B208E1" w:rsidRDefault="00B11426" w:rsidP="00B11426">
      <w:pPr>
        <w:pStyle w:val="NormalWeb"/>
        <w:spacing w:after="0"/>
        <w:ind w:firstLine="709"/>
        <w:contextualSpacing/>
        <w:jc w:val="both"/>
        <w:rPr>
          <w:rStyle w:val="Refdenotaalpie"/>
          <w:rFonts w:ascii="Arial" w:hAnsi="Arial" w:cs="Arial"/>
          <w:sz w:val="14"/>
          <w:szCs w:val="14"/>
        </w:rPr>
      </w:pPr>
    </w:p>
  </w:footnote>
  <w:footnote w:id="5">
    <w:p w14:paraId="23398A7B" w14:textId="77777777" w:rsidR="00B11426" w:rsidRPr="00B208E1" w:rsidRDefault="00B11426" w:rsidP="00B11426">
      <w:pPr>
        <w:pStyle w:val="Textonotapie"/>
        <w:ind w:firstLine="708"/>
        <w:contextualSpacing/>
        <w:jc w:val="both"/>
        <w:rPr>
          <w:rFonts w:ascii="Arial" w:hAnsi="Arial" w:cs="Arial"/>
          <w:sz w:val="14"/>
          <w:szCs w:val="14"/>
        </w:rPr>
      </w:pPr>
      <w:r w:rsidRPr="00B208E1">
        <w:rPr>
          <w:rStyle w:val="Refdenotaalpie"/>
          <w:rFonts w:ascii="Arial" w:hAnsi="Arial" w:cs="Arial"/>
          <w:sz w:val="14"/>
          <w:szCs w:val="14"/>
        </w:rPr>
        <w:footnoteRef/>
      </w:r>
      <w:r w:rsidRPr="00B208E1">
        <w:rPr>
          <w:rFonts w:ascii="Arial" w:hAnsi="Arial" w:cs="Arial"/>
          <w:sz w:val="14"/>
          <w:szCs w:val="14"/>
        </w:rPr>
        <w:t xml:space="preserve"> Ley 1150 de 2007: “Artículo 6. De la verificación de las condiciones de los proponentes.</w:t>
      </w:r>
    </w:p>
    <w:p w14:paraId="718263ED"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w:t>
      </w:r>
    </w:p>
    <w:p w14:paraId="324073BC"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“6.1. […]</w:t>
      </w:r>
    </w:p>
    <w:p w14:paraId="6DA4B7DB"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632E2E1D" w14:textId="77777777" w:rsidR="00B11426" w:rsidRPr="00B208E1" w:rsidRDefault="00B11426" w:rsidP="00B11426">
      <w:pPr>
        <w:pStyle w:val="Textonotapie"/>
        <w:contextualSpacing/>
        <w:jc w:val="both"/>
        <w:rPr>
          <w:rFonts w:ascii="Arial" w:hAnsi="Arial" w:cs="Arial"/>
          <w:sz w:val="14"/>
          <w:szCs w:val="14"/>
          <w:lang w:eastAsia="es-CO"/>
        </w:rPr>
      </w:pPr>
      <w:r w:rsidRPr="00B208E1">
        <w:rPr>
          <w:rFonts w:ascii="Arial" w:hAnsi="Arial" w:cs="Arial"/>
          <w:sz w:val="14"/>
          <w:szCs w:val="14"/>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7DABFB8D"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w:t>
      </w:r>
    </w:p>
    <w:p w14:paraId="49DE5B70" w14:textId="77777777" w:rsidR="00B11426" w:rsidRPr="00B208E1" w:rsidRDefault="00B11426" w:rsidP="00B11426">
      <w:pPr>
        <w:pStyle w:val="Textonotapie"/>
        <w:contextualSpacing/>
        <w:jc w:val="both"/>
        <w:rPr>
          <w:rFonts w:ascii="Arial" w:hAnsi="Arial" w:cs="Arial"/>
          <w:sz w:val="14"/>
          <w:szCs w:val="14"/>
          <w:lang w:val="es-ES"/>
        </w:rPr>
      </w:pPr>
    </w:p>
  </w:footnote>
  <w:footnote w:id="6">
    <w:p w14:paraId="7266C468"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Style w:val="Refdenotaalpie"/>
          <w:rFonts w:ascii="Arial" w:hAnsi="Arial" w:cs="Arial"/>
          <w:sz w:val="14"/>
          <w:szCs w:val="14"/>
        </w:rPr>
        <w:footnoteRef/>
      </w:r>
      <w:r w:rsidRPr="00B208E1">
        <w:rPr>
          <w:rFonts w:ascii="Arial" w:hAnsi="Arial" w:cs="Arial"/>
          <w:sz w:val="14"/>
          <w:szCs w:val="14"/>
        </w:rPr>
        <w:t xml:space="preserve"> Ley 1150 de 2007: “Artículo 5. De la selección objetiva.</w:t>
      </w:r>
      <w:r w:rsidRPr="00B208E1">
        <w:rPr>
          <w:rFonts w:ascii="Arial" w:hAnsi="Arial" w:cs="Arial"/>
          <w:sz w:val="14"/>
          <w:szCs w:val="14"/>
          <w:lang w:eastAsia="es-CO"/>
        </w:rPr>
        <w:t xml:space="preserve"> </w:t>
      </w:r>
    </w:p>
    <w:p w14:paraId="6B89B91F"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w:t>
      </w:r>
    </w:p>
    <w:p w14:paraId="1D8FD778" w14:textId="77777777" w:rsidR="00B11426" w:rsidRPr="00B208E1" w:rsidRDefault="00B11426" w:rsidP="00B11426">
      <w:pPr>
        <w:pStyle w:val="Textonotapie"/>
        <w:ind w:firstLine="708"/>
        <w:contextualSpacing/>
        <w:jc w:val="both"/>
        <w:rPr>
          <w:rFonts w:ascii="Arial" w:hAnsi="Arial" w:cs="Arial"/>
          <w:sz w:val="14"/>
          <w:szCs w:val="14"/>
          <w:lang w:val="es-ES"/>
        </w:rPr>
      </w:pPr>
      <w:r w:rsidRPr="00B208E1">
        <w:rPr>
          <w:rFonts w:ascii="Arial" w:hAnsi="Arial" w:cs="Arial"/>
          <w:sz w:val="14"/>
          <w:szCs w:val="14"/>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3249DE27" w14:textId="77777777" w:rsidR="00B11426" w:rsidRPr="00B208E1" w:rsidRDefault="00B11426" w:rsidP="00B11426">
      <w:pPr>
        <w:pStyle w:val="Textonotapie"/>
        <w:contextualSpacing/>
        <w:jc w:val="both"/>
        <w:rPr>
          <w:rFonts w:ascii="Arial" w:hAnsi="Arial" w:cs="Arial"/>
          <w:sz w:val="14"/>
          <w:szCs w:val="14"/>
          <w:lang w:val="es-ES"/>
        </w:rPr>
      </w:pPr>
    </w:p>
  </w:footnote>
  <w:footnote w:id="7">
    <w:p w14:paraId="56DC438D" w14:textId="77777777" w:rsidR="00B11426" w:rsidRPr="00B208E1" w:rsidRDefault="00B11426" w:rsidP="00B11426">
      <w:pPr>
        <w:pStyle w:val="Textonotapie"/>
        <w:ind w:firstLine="708"/>
        <w:contextualSpacing/>
        <w:jc w:val="both"/>
        <w:rPr>
          <w:rFonts w:ascii="Arial" w:hAnsi="Arial" w:cs="Arial"/>
          <w:sz w:val="14"/>
          <w:szCs w:val="14"/>
        </w:rPr>
      </w:pPr>
      <w:r w:rsidRPr="00B208E1">
        <w:rPr>
          <w:rStyle w:val="Refdenotaalpie"/>
          <w:rFonts w:ascii="Arial" w:hAnsi="Arial" w:cs="Arial"/>
          <w:sz w:val="14"/>
          <w:szCs w:val="14"/>
        </w:rPr>
        <w:footnoteRef/>
      </w:r>
      <w:r w:rsidRPr="00B208E1">
        <w:rPr>
          <w:rFonts w:ascii="Arial" w:hAnsi="Arial" w:cs="Arial"/>
          <w:sz w:val="14"/>
          <w:szCs w:val="14"/>
        </w:rPr>
        <w:t xml:space="preserve"> </w:t>
      </w:r>
      <w:r w:rsidRPr="00B208E1">
        <w:rPr>
          <w:rFonts w:ascii="Arial" w:hAnsi="Arial" w:cs="Arial"/>
          <w:sz w:val="14"/>
          <w:szCs w:val="14"/>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p w14:paraId="5B1859B4" w14:textId="77777777" w:rsidR="00B11426" w:rsidRPr="00B208E1" w:rsidRDefault="00B11426" w:rsidP="00B11426">
      <w:pPr>
        <w:pStyle w:val="Textonotapie"/>
        <w:ind w:firstLine="709"/>
        <w:contextualSpacing/>
        <w:jc w:val="both"/>
        <w:rPr>
          <w:rFonts w:ascii="Arial" w:hAnsi="Arial" w:cs="Arial"/>
          <w:sz w:val="14"/>
          <w:szCs w:val="14"/>
          <w:lang w:val="es-ES"/>
        </w:rPr>
      </w:pPr>
    </w:p>
  </w:footnote>
  <w:footnote w:id="8">
    <w:p w14:paraId="5D05E8C9" w14:textId="77777777" w:rsidR="0CE63B89" w:rsidRDefault="0CE63B89" w:rsidP="0CE63B89">
      <w:pPr>
        <w:pStyle w:val="Textonotapie"/>
        <w:rPr>
          <w:rFonts w:ascii="Verdana" w:hAnsi="Verdana"/>
          <w:sz w:val="16"/>
          <w:szCs w:val="16"/>
          <w:lang w:val="es-ES"/>
        </w:rPr>
      </w:pPr>
      <w:r w:rsidRPr="0CE63B89">
        <w:rPr>
          <w:rStyle w:val="Refdenotaalpie"/>
          <w:rFonts w:ascii="Verdana" w:hAnsi="Verdana"/>
          <w:sz w:val="16"/>
          <w:szCs w:val="16"/>
        </w:rPr>
        <w:footnoteRef/>
      </w:r>
      <w:r w:rsidRPr="0CE63B89">
        <w:rPr>
          <w:rFonts w:ascii="Verdana" w:hAnsi="Verdana"/>
          <w:sz w:val="16"/>
          <w:szCs w:val="16"/>
        </w:rPr>
        <w:t xml:space="preserve"> </w:t>
      </w:r>
      <w:hyperlink r:id="rId3">
        <w:r w:rsidRPr="0CE63B89">
          <w:rPr>
            <w:rStyle w:val="Hipervnculo"/>
            <w:rFonts w:ascii="Verdana" w:hAnsi="Verdana"/>
            <w:sz w:val="16"/>
            <w:szCs w:val="16"/>
          </w:rPr>
          <w:t>https://www.colombiacompra.gov.co/archivos/manual/manual-para-determinar-y-verificar-los-requisitos-habilitantes-en-los-procesos-de-contratacion</w:t>
        </w:r>
      </w:hyperlink>
      <w:r w:rsidRPr="0CE63B89">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319992168">
    <w:abstractNumId w:val="0"/>
  </w:num>
  <w:num w:numId="17" w16cid:durableId="3367379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trackRevisions/>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0696"/>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A6E71"/>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942F8"/>
    <w:rsid w:val="004A1847"/>
    <w:rsid w:val="004A305D"/>
    <w:rsid w:val="004F21C4"/>
    <w:rsid w:val="004F685F"/>
    <w:rsid w:val="005566E8"/>
    <w:rsid w:val="00573698"/>
    <w:rsid w:val="00574867"/>
    <w:rsid w:val="00591460"/>
    <w:rsid w:val="005C3777"/>
    <w:rsid w:val="005C5CDC"/>
    <w:rsid w:val="005D476C"/>
    <w:rsid w:val="006219F8"/>
    <w:rsid w:val="006302F7"/>
    <w:rsid w:val="006353CA"/>
    <w:rsid w:val="00652B9F"/>
    <w:rsid w:val="00665D70"/>
    <w:rsid w:val="0067632F"/>
    <w:rsid w:val="006900D9"/>
    <w:rsid w:val="006A760C"/>
    <w:rsid w:val="006E143F"/>
    <w:rsid w:val="00706C16"/>
    <w:rsid w:val="00756841"/>
    <w:rsid w:val="00757AA9"/>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0518"/>
    <w:rsid w:val="009B25A8"/>
    <w:rsid w:val="009B2D26"/>
    <w:rsid w:val="009C71FA"/>
    <w:rsid w:val="009C72E7"/>
    <w:rsid w:val="009D3058"/>
    <w:rsid w:val="009F3A13"/>
    <w:rsid w:val="00A122D3"/>
    <w:rsid w:val="00A17F13"/>
    <w:rsid w:val="00A20739"/>
    <w:rsid w:val="00A33C78"/>
    <w:rsid w:val="00AB0ADB"/>
    <w:rsid w:val="00B00C0E"/>
    <w:rsid w:val="00B01B1A"/>
    <w:rsid w:val="00B11426"/>
    <w:rsid w:val="00B149A0"/>
    <w:rsid w:val="00B44A47"/>
    <w:rsid w:val="00B72CD3"/>
    <w:rsid w:val="00B72FFF"/>
    <w:rsid w:val="00BC3D36"/>
    <w:rsid w:val="00BD7F72"/>
    <w:rsid w:val="00C04FB3"/>
    <w:rsid w:val="00C330EB"/>
    <w:rsid w:val="00C754BE"/>
    <w:rsid w:val="00C76B1C"/>
    <w:rsid w:val="00CB6357"/>
    <w:rsid w:val="00CC1B26"/>
    <w:rsid w:val="00D03DC5"/>
    <w:rsid w:val="00D14424"/>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038A2670"/>
    <w:rsid w:val="0693A2BB"/>
    <w:rsid w:val="0CE63B89"/>
    <w:rsid w:val="0DC2E778"/>
    <w:rsid w:val="120D57A0"/>
    <w:rsid w:val="14CBF913"/>
    <w:rsid w:val="17543976"/>
    <w:rsid w:val="17B053C8"/>
    <w:rsid w:val="189A62E1"/>
    <w:rsid w:val="1DD57828"/>
    <w:rsid w:val="2CB8FFC2"/>
    <w:rsid w:val="2D9F9C33"/>
    <w:rsid w:val="2DF3A540"/>
    <w:rsid w:val="32689CB3"/>
    <w:rsid w:val="32B5309B"/>
    <w:rsid w:val="3CD1ABC4"/>
    <w:rsid w:val="4AF260D9"/>
    <w:rsid w:val="564DDFC3"/>
    <w:rsid w:val="5965E641"/>
    <w:rsid w:val="5F117928"/>
    <w:rsid w:val="62B6BDB0"/>
    <w:rsid w:val="62F1A1B5"/>
    <w:rsid w:val="69D7B121"/>
    <w:rsid w:val="6C4A55D4"/>
    <w:rsid w:val="6D473407"/>
    <w:rsid w:val="703487F3"/>
    <w:rsid w:val="712F6D4B"/>
    <w:rsid w:val="73FBDE63"/>
    <w:rsid w:val="7F0DD30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11426"/>
    <w:rPr>
      <w:rFonts w:ascii="Geomanist Light" w:hAnsi="Geomanist Light"/>
      <w:lang w:val="es-ES"/>
    </w:rPr>
  </w:style>
  <w:style w:type="paragraph" w:customStyle="1" w:styleId="Appelnotedebasde">
    <w:name w:val="Appel note de bas de..."/>
    <w:basedOn w:val="Normal"/>
    <w:link w:val="Refdenotaalpie"/>
    <w:uiPriority w:val="99"/>
    <w:rsid w:val="00B11426"/>
    <w:pPr>
      <w:spacing w:line="240" w:lineRule="exact"/>
    </w:pPr>
    <w:rPr>
      <w:vertAlign w:val="superscript"/>
    </w:rPr>
  </w:style>
  <w:style w:type="character" w:customStyle="1" w:styleId="NormalWebCar">
    <w:name w:val="Normal (Web) Car"/>
    <w:link w:val="NormalWeb"/>
    <w:uiPriority w:val="99"/>
    <w:rsid w:val="00B1142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lombiacompra.gov.co/manuales-guias-y-pliegos-tipo/manuales-y-guia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alpevid@hot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archivos/manual/manual-para-determinar-y-verificar-los-requisitos-habilitantes-en-los-procesos-de-contratacion" TargetMode="External"/><Relationship Id="rId2" Type="http://schemas.openxmlformats.org/officeDocument/2006/relationships/hyperlink" Target="https://colaboracion.dnp.gov.co/CDT/Normatividad/DECRETO%20579%20DEL%2031%20DE%20MAYO%20DE%202021.pdf" TargetMode="External"/><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DF536DA-26CA-460E-B2FE-A5949BA2BA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15</Pages>
  <Words>4776</Words>
  <Characters>26271</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2025-10-15T15:52:00Z</dcterms:created>
  <dcterms:modified xsi:type="dcterms:W3CDTF">2025-10-15T15:52:00Z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