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7F0AD" w14:textId="77777777" w:rsidR="00C44D59" w:rsidRPr="00AB2A84" w:rsidRDefault="00C44D59" w:rsidP="00C44D59">
      <w:pPr>
        <w:spacing w:after="0" w:line="276" w:lineRule="auto"/>
        <w:contextualSpacing/>
        <w:jc w:val="both"/>
        <w:rPr>
          <w:rFonts w:ascii="Verdana" w:hAnsi="Verdana" w:cs="Arial"/>
          <w:b/>
          <w:lang w:eastAsia="es-ES"/>
        </w:rPr>
      </w:pPr>
      <w:bookmarkStart w:id="0" w:name="_Hlk181166130"/>
      <w:bookmarkStart w:id="1" w:name="_Hlk209714638"/>
      <w:r w:rsidRPr="00AB2A84">
        <w:rPr>
          <w:rFonts w:ascii="Verdana" w:hAnsi="Verdana" w:cs="Arial"/>
          <w:b/>
          <w:lang w:eastAsia="es-ES"/>
        </w:rPr>
        <w:t>RÉGIMEN DE INHABILIDADES E INCOMPATIBILIDADES – Concepto</w:t>
      </w:r>
    </w:p>
    <w:p w14:paraId="2648F843" w14:textId="77777777" w:rsidR="00C44D59" w:rsidRPr="00AB2A84" w:rsidRDefault="00C44D59" w:rsidP="00C44D59">
      <w:pPr>
        <w:spacing w:line="276" w:lineRule="auto"/>
        <w:contextualSpacing/>
        <w:jc w:val="both"/>
        <w:rPr>
          <w:rFonts w:ascii="Verdana" w:hAnsi="Verdana" w:cs="Arial"/>
          <w:b/>
          <w:lang w:eastAsia="es-ES"/>
        </w:rPr>
      </w:pPr>
    </w:p>
    <w:p w14:paraId="5868ECE4" w14:textId="77777777" w:rsidR="00C44D59" w:rsidRPr="0005486E" w:rsidRDefault="00C44D59" w:rsidP="00C44D59">
      <w:pPr>
        <w:spacing w:after="0" w:line="240" w:lineRule="auto"/>
        <w:jc w:val="both"/>
        <w:rPr>
          <w:rFonts w:ascii="Verdana" w:eastAsia="Arial MT" w:hAnsi="Verdana" w:cs="Arial"/>
          <w:lang w:eastAsia="es-ES" w:bidi="es-ES"/>
        </w:rPr>
      </w:pPr>
      <w:r w:rsidRPr="0005486E">
        <w:rPr>
          <w:rFonts w:ascii="Verdana" w:eastAsia="Calibri" w:hAnsi="Verdana" w:cs="Arial"/>
          <w:color w:val="000000" w:themeColor="text1"/>
          <w:lang w:val="es-ES"/>
        </w:rPr>
        <w:t xml:space="preserve">Las </w:t>
      </w:r>
      <w:r w:rsidRPr="0005486E">
        <w:rPr>
          <w:rFonts w:ascii="Verdana" w:eastAsia="Calibri" w:hAnsi="Verdana" w:cs="Arial"/>
          <w:i/>
          <w:iCs/>
          <w:color w:val="000000" w:themeColor="text1"/>
          <w:lang w:val="es-ES"/>
        </w:rPr>
        <w:t>inhabilidades</w:t>
      </w:r>
      <w:r w:rsidRPr="0005486E">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05486E">
        <w:rPr>
          <w:rFonts w:ascii="Verdana" w:eastAsia="Calibri" w:hAnsi="Verdana" w:cs="Arial"/>
          <w:color w:val="000000" w:themeColor="text1"/>
          <w:lang w:val="es-ES"/>
        </w:rPr>
        <w:t>ii</w:t>
      </w:r>
      <w:proofErr w:type="spellEnd"/>
      <w:r w:rsidRPr="0005486E">
        <w:rPr>
          <w:rFonts w:ascii="Verdana" w:eastAsia="Calibri" w:hAnsi="Verdana" w:cs="Arial"/>
          <w:color w:val="000000" w:themeColor="text1"/>
          <w:lang w:val="es-ES"/>
        </w:rPr>
        <w:t xml:space="preserve">) de vínculos personales relativos al parentesco o al estado civil, o </w:t>
      </w:r>
      <w:proofErr w:type="spellStart"/>
      <w:r w:rsidRPr="0005486E">
        <w:rPr>
          <w:rFonts w:ascii="Verdana" w:eastAsia="Calibri" w:hAnsi="Verdana" w:cs="Arial"/>
          <w:color w:val="000000" w:themeColor="text1"/>
          <w:lang w:val="es-ES"/>
        </w:rPr>
        <w:t>iii</w:t>
      </w:r>
      <w:proofErr w:type="spellEnd"/>
      <w:r w:rsidRPr="0005486E">
        <w:rPr>
          <w:rFonts w:ascii="Verdana" w:eastAsia="Calibri" w:hAnsi="Verdana" w:cs="Arial"/>
          <w:color w:val="000000" w:themeColor="text1"/>
          <w:lang w:val="es-ES"/>
        </w:rPr>
        <w:t xml:space="preserve">) de una actividad u oficio que se desempeñó en el pasado. De otro lado, las </w:t>
      </w:r>
      <w:r w:rsidRPr="0005486E">
        <w:rPr>
          <w:rFonts w:ascii="Verdana" w:eastAsia="Calibri" w:hAnsi="Verdana" w:cs="Arial"/>
          <w:i/>
          <w:iCs/>
          <w:color w:val="000000" w:themeColor="text1"/>
          <w:lang w:val="es-ES"/>
        </w:rPr>
        <w:t xml:space="preserve">incompatibilidades </w:t>
      </w:r>
      <w:r w:rsidRPr="0005486E">
        <w:rPr>
          <w:rFonts w:ascii="Verdana" w:eastAsia="Calibri" w:hAnsi="Verdana" w:cs="Arial"/>
          <w:color w:val="000000" w:themeColor="text1"/>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05486E">
        <w:rPr>
          <w:rFonts w:ascii="Verdana" w:eastAsia="Arial MT" w:hAnsi="Verdana" w:cs="Arial"/>
          <w:lang w:eastAsia="es-ES" w:bidi="es-ES"/>
        </w:rPr>
        <w:t xml:space="preserve">Por su parte, las situaciones de </w:t>
      </w:r>
      <w:r w:rsidRPr="0005486E">
        <w:rPr>
          <w:rFonts w:ascii="Verdana" w:eastAsia="Arial MT" w:hAnsi="Verdana" w:cs="Arial"/>
          <w:i/>
          <w:iCs/>
          <w:lang w:eastAsia="es-ES" w:bidi="es-ES"/>
        </w:rPr>
        <w:t>conflicto de interés</w:t>
      </w:r>
      <w:r w:rsidRPr="0005486E">
        <w:rPr>
          <w:rFonts w:ascii="Verdana" w:eastAsia="Arial MT" w:hAnsi="Verdana" w:cs="Arial"/>
          <w:lang w:eastAsia="es-ES" w:bidi="es-ES"/>
        </w:rPr>
        <w:t xml:space="preserve"> suelen expresarse en prohibiciones, similar a lo que ocurre con las inhabilidades e incompatibilidades. Estas se encuentran establecidas en el pliego de condiciones y en la minuta del contrato. </w:t>
      </w:r>
    </w:p>
    <w:p w14:paraId="4C54DCC4" w14:textId="77777777" w:rsidR="00C44D59" w:rsidRPr="00AB2A84" w:rsidRDefault="00C44D59" w:rsidP="00C44D59">
      <w:pPr>
        <w:spacing w:after="0" w:line="276" w:lineRule="auto"/>
        <w:contextualSpacing/>
        <w:jc w:val="both"/>
        <w:rPr>
          <w:rFonts w:ascii="Verdana" w:hAnsi="Verdana" w:cs="Arial"/>
          <w:b/>
          <w:lang w:eastAsia="es-ES"/>
        </w:rPr>
      </w:pPr>
    </w:p>
    <w:p w14:paraId="6EA6214B" w14:textId="77777777" w:rsidR="00C44D59" w:rsidRPr="00AB2A84" w:rsidRDefault="00C44D59" w:rsidP="00C44D59">
      <w:pPr>
        <w:spacing w:line="276" w:lineRule="auto"/>
        <w:contextualSpacing/>
        <w:jc w:val="both"/>
        <w:rPr>
          <w:rFonts w:ascii="Verdana" w:hAnsi="Verdana" w:cs="Arial"/>
          <w:b/>
          <w:lang w:eastAsia="es-ES"/>
        </w:rPr>
      </w:pPr>
      <w:r w:rsidRPr="00AB2A84">
        <w:rPr>
          <w:rFonts w:ascii="Verdana" w:hAnsi="Verdana" w:cs="Arial"/>
          <w:b/>
          <w:lang w:eastAsia="es-ES"/>
        </w:rPr>
        <w:t xml:space="preserve">REGIMEN DE INHABILIDADES E INCOMPATIBILIDADES – Interpretación restrictiva – principio </w:t>
      </w:r>
      <w:r w:rsidRPr="00AB2A84">
        <w:rPr>
          <w:rFonts w:ascii="Verdana" w:hAnsi="Verdana" w:cs="Arial"/>
          <w:b/>
          <w:i/>
          <w:iCs/>
          <w:lang w:eastAsia="es-ES"/>
        </w:rPr>
        <w:t xml:space="preserve">pro </w:t>
      </w:r>
      <w:proofErr w:type="spellStart"/>
      <w:r w:rsidRPr="00AB2A84">
        <w:rPr>
          <w:rFonts w:ascii="Verdana" w:hAnsi="Verdana" w:cs="Arial"/>
          <w:b/>
          <w:i/>
          <w:iCs/>
          <w:lang w:eastAsia="es-ES"/>
        </w:rPr>
        <w:t>libertate</w:t>
      </w:r>
      <w:proofErr w:type="spellEnd"/>
    </w:p>
    <w:p w14:paraId="76582F22" w14:textId="77777777" w:rsidR="00C44D59" w:rsidRPr="00AB2A84" w:rsidRDefault="00C44D59" w:rsidP="00C44D59">
      <w:pPr>
        <w:spacing w:after="0" w:line="276" w:lineRule="auto"/>
        <w:contextualSpacing/>
        <w:jc w:val="both"/>
        <w:rPr>
          <w:rFonts w:ascii="Verdana" w:hAnsi="Verdana" w:cs="Arial"/>
          <w:b/>
          <w:lang w:eastAsia="es-ES"/>
        </w:rPr>
      </w:pPr>
    </w:p>
    <w:p w14:paraId="301512FB" w14:textId="77777777" w:rsidR="00C44D59" w:rsidRPr="0005486E" w:rsidRDefault="00C44D59" w:rsidP="00C44D59">
      <w:pPr>
        <w:spacing w:after="120" w:line="240" w:lineRule="auto"/>
        <w:jc w:val="both"/>
        <w:rPr>
          <w:rFonts w:ascii="Verdana" w:eastAsia="Calibri" w:hAnsi="Verdana" w:cs="Arial"/>
          <w:color w:val="000000" w:themeColor="text1"/>
          <w:lang w:val="es-ES_tradnl"/>
        </w:rPr>
      </w:pPr>
      <w:r w:rsidRPr="0005486E">
        <w:rPr>
          <w:rFonts w:ascii="Verdana" w:eastAsia="Calibri" w:hAnsi="Verdana" w:cs="Arial"/>
          <w:color w:val="000000" w:themeColor="text1"/>
          <w:lang w:val="es-ES_tradnl"/>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05486E">
        <w:rPr>
          <w:rFonts w:ascii="Verdana" w:eastAsia="Calibri" w:hAnsi="Verdana" w:cs="Arial"/>
          <w:i/>
          <w:iCs/>
          <w:color w:val="000000" w:themeColor="text1"/>
          <w:lang w:val="es-ES_tradnl"/>
        </w:rPr>
        <w:t>restrictiva</w:t>
      </w:r>
      <w:r w:rsidRPr="0005486E">
        <w:rPr>
          <w:rFonts w:ascii="Verdana" w:eastAsia="Calibri" w:hAnsi="Verdana" w:cs="Arial"/>
          <w:color w:val="000000" w:themeColor="text1"/>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3385E2C1" w14:textId="77777777" w:rsidR="00C44D59" w:rsidRPr="0005486E" w:rsidRDefault="00C44D59" w:rsidP="00C44D59">
      <w:pPr>
        <w:spacing w:after="120" w:line="240" w:lineRule="auto"/>
        <w:jc w:val="both"/>
        <w:rPr>
          <w:rFonts w:ascii="Verdana" w:eastAsia="Calibri" w:hAnsi="Verdana" w:cs="Arial"/>
          <w:color w:val="000000" w:themeColor="text1"/>
          <w:lang w:val="es-ES"/>
        </w:rPr>
      </w:pPr>
      <w:r w:rsidRPr="0005486E">
        <w:rPr>
          <w:rFonts w:ascii="Verdana" w:hAnsi="Verdana" w:cs="Arial"/>
          <w:bCs/>
          <w:lang w:val="es-ES" w:eastAsia="es-ES"/>
        </w:rPr>
        <w:t>[…]</w:t>
      </w:r>
      <w:r w:rsidRPr="0005486E">
        <w:rPr>
          <w:rFonts w:ascii="Verdana" w:hAnsi="Verdana" w:cs="Arial"/>
          <w:b/>
          <w:lang w:val="es-ES" w:eastAsia="es-ES"/>
        </w:rPr>
        <w:t xml:space="preserve"> </w:t>
      </w:r>
      <w:r w:rsidRPr="0005486E">
        <w:rPr>
          <w:rFonts w:ascii="Verdana" w:eastAsia="Calibri" w:hAnsi="Verdana" w:cs="Arial"/>
          <w:color w:val="000000" w:themeColor="text1"/>
          <w:lang w:val="es-ES"/>
        </w:rPr>
        <w:t xml:space="preserve">Como se aprecia, el principio </w:t>
      </w:r>
      <w:r w:rsidRPr="0005486E">
        <w:rPr>
          <w:rFonts w:ascii="Verdana" w:eastAsia="Calibri" w:hAnsi="Verdana" w:cs="Arial"/>
          <w:i/>
          <w:color w:val="000000" w:themeColor="text1"/>
          <w:lang w:val="es-ES"/>
        </w:rPr>
        <w:t xml:space="preserve">pro </w:t>
      </w:r>
      <w:proofErr w:type="spellStart"/>
      <w:r w:rsidRPr="0005486E">
        <w:rPr>
          <w:rFonts w:ascii="Verdana" w:eastAsia="Calibri" w:hAnsi="Verdana" w:cs="Arial"/>
          <w:i/>
          <w:color w:val="000000" w:themeColor="text1"/>
          <w:lang w:val="es-ES"/>
        </w:rPr>
        <w:t>libertate</w:t>
      </w:r>
      <w:proofErr w:type="spellEnd"/>
      <w:r w:rsidRPr="0005486E">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3258C91A"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p>
    <w:p w14:paraId="1327ACC3"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r w:rsidRPr="00AB2A84">
        <w:rPr>
          <w:rFonts w:ascii="Verdana" w:eastAsia="Calibri" w:hAnsi="Verdana"/>
          <w:b/>
          <w:color w:val="000000" w:themeColor="text1"/>
          <w:lang w:val="es-ES_tradnl" w:eastAsia="es-ES_tradnl"/>
        </w:rPr>
        <w:t>INHABILIDAD PARA CONTRATAR – Contrato de Interventoría – Suscripción – Contratos previos – Alcance</w:t>
      </w:r>
    </w:p>
    <w:p w14:paraId="741B5ECC"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p>
    <w:p w14:paraId="5910AD85" w14:textId="77777777" w:rsidR="00C44D59" w:rsidRPr="0005486E" w:rsidRDefault="00C44D59" w:rsidP="00C44D59">
      <w:pPr>
        <w:spacing w:before="120" w:after="120" w:line="240" w:lineRule="auto"/>
        <w:jc w:val="both"/>
        <w:rPr>
          <w:rFonts w:ascii="Verdana" w:eastAsia="Calibri" w:hAnsi="Verdana" w:cs="Arial"/>
          <w:i/>
          <w:iCs/>
          <w:lang w:val="es-ES"/>
        </w:rPr>
      </w:pPr>
      <w:r w:rsidRPr="0005486E">
        <w:rPr>
          <w:rFonts w:ascii="Verdana" w:eastAsia="Calibri" w:hAnsi="Verdana" w:cs="Arial"/>
          <w:lang w:val="es-ES"/>
        </w:rPr>
        <w:t xml:space="preserve">De conformidad con lo establecido en el artículo 5 de la Ley 1474 de 2011 “Quien haya celebrado un contrato estatal de obra pública, de concesión, suministro de medicamentos y de alimentos o su cónyuge, compañero o compañera </w:t>
      </w:r>
      <w:r w:rsidRPr="0005486E">
        <w:rPr>
          <w:rFonts w:ascii="Verdana" w:eastAsia="Calibri" w:hAnsi="Verdana" w:cs="Arial"/>
          <w:lang w:val="es-ES"/>
        </w:rPr>
        <w:lastRenderedPageBreak/>
        <w:t xml:space="preserve">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w:t>
      </w:r>
      <w:r w:rsidRPr="0005486E">
        <w:rPr>
          <w:rFonts w:ascii="Verdana" w:eastAsia="Calibri" w:hAnsi="Verdana" w:cs="Arial"/>
          <w:i/>
          <w:iCs/>
          <w:lang w:val="es-ES"/>
        </w:rPr>
        <w:t xml:space="preserve">no podrán celebrar contratos de interventoría con la misma entidad”. </w:t>
      </w:r>
      <w:r w:rsidRPr="0005486E">
        <w:rPr>
          <w:rFonts w:ascii="Verdana" w:hAnsi="Verdana"/>
        </w:rPr>
        <w:t>De acuerdo con lo anterior, no podrá celebrar contratos de interventoría la persona –natural o jurídica–, consorcio o unión temporal que durante la presentación de ofertas conserve una relación contractual sin liquidar -de las tipologías mencionadas- con la misma entidad.</w:t>
      </w:r>
      <w:r w:rsidRPr="0005486E">
        <w:rPr>
          <w:rFonts w:ascii="Verdana" w:eastAsia="Calibri" w:hAnsi="Verdana" w:cs="Arial"/>
        </w:rPr>
        <w:t xml:space="preserve"> </w:t>
      </w:r>
    </w:p>
    <w:p w14:paraId="6FDDB96E" w14:textId="77777777" w:rsidR="00C44D59" w:rsidRPr="0005486E" w:rsidRDefault="00C44D59" w:rsidP="00C44D59">
      <w:pPr>
        <w:widowControl w:val="0"/>
        <w:autoSpaceDE w:val="0"/>
        <w:autoSpaceDN w:val="0"/>
        <w:spacing w:before="120" w:after="120" w:line="240" w:lineRule="auto"/>
        <w:jc w:val="both"/>
        <w:rPr>
          <w:rFonts w:ascii="Verdana" w:eastAsia="Calibri" w:hAnsi="Verdana" w:cs="Arial"/>
        </w:rPr>
      </w:pPr>
      <w:r w:rsidRPr="0005486E">
        <w:rPr>
          <w:rFonts w:ascii="Verdana" w:eastAsia="Century Gothic" w:hAnsi="Verdana" w:cs="Century Gothic"/>
          <w:bCs/>
        </w:rPr>
        <w:t xml:space="preserve">Según el criterio de interpretación restrictiva aplicable a las disposiciones del régimen de inhabilidades e incompatibilidades, no se advierte que se configure inhabilidad en el caso contrario, es decir, para quien ejecuta un contrato de interventoría y quiera celebrar un contrato de obra pública con la misma entidad. En este evento, no hay lugar a la aplicación de la prohibición prevista en el artículo 5 de la Ley 1474 de 2011, como quiera que no se configura el supuesto de hecho previsto en este artículo. </w:t>
      </w:r>
    </w:p>
    <w:p w14:paraId="281FA34E" w14:textId="77777777" w:rsidR="00C44D59" w:rsidRPr="00F16C82" w:rsidRDefault="00C44D59" w:rsidP="00C44D59">
      <w:pPr>
        <w:spacing w:after="0" w:line="276" w:lineRule="auto"/>
        <w:contextualSpacing/>
        <w:jc w:val="both"/>
        <w:rPr>
          <w:rFonts w:ascii="Verdana" w:hAnsi="Verdana" w:cs="Arial"/>
          <w:b/>
          <w:lang w:val="es-ES" w:eastAsia="es-ES"/>
        </w:rPr>
      </w:pPr>
    </w:p>
    <w:p w14:paraId="60C8A201" w14:textId="77777777" w:rsidR="00C44D59" w:rsidRDefault="00C44D59" w:rsidP="00C44D59">
      <w:pPr>
        <w:spacing w:after="0" w:line="276" w:lineRule="auto"/>
        <w:rPr>
          <w:rFonts w:ascii="Verdana" w:eastAsia="Geomanist Light" w:hAnsi="Verdana" w:cs="Arial"/>
          <w:color w:val="000000" w:themeColor="text1"/>
          <w:lang w:val="es-MX"/>
        </w:rPr>
      </w:pPr>
    </w:p>
    <w:p w14:paraId="0BFBE2D3" w14:textId="77777777" w:rsidR="00C44D59" w:rsidRDefault="00C44D59" w:rsidP="00C44D59">
      <w:pPr>
        <w:spacing w:after="0" w:line="276" w:lineRule="auto"/>
        <w:rPr>
          <w:rFonts w:ascii="Verdana" w:eastAsia="Geomanist Light" w:hAnsi="Verdana" w:cs="Arial"/>
          <w:color w:val="000000" w:themeColor="text1"/>
          <w:lang w:val="es-MX"/>
        </w:rPr>
      </w:pPr>
    </w:p>
    <w:p w14:paraId="59395FB0" w14:textId="77777777" w:rsidR="00C44D59" w:rsidRDefault="00C44D59" w:rsidP="00C44D59">
      <w:pPr>
        <w:spacing w:after="0" w:line="276" w:lineRule="auto"/>
        <w:rPr>
          <w:rFonts w:ascii="Verdana" w:eastAsia="Geomanist Light" w:hAnsi="Verdana" w:cs="Arial"/>
          <w:color w:val="000000" w:themeColor="text1"/>
          <w:lang w:val="es-MX"/>
        </w:rPr>
      </w:pPr>
    </w:p>
    <w:p w14:paraId="0918D522" w14:textId="77777777" w:rsidR="00C44D59" w:rsidRDefault="00C44D59" w:rsidP="00C44D59">
      <w:pPr>
        <w:spacing w:after="0" w:line="276" w:lineRule="auto"/>
        <w:rPr>
          <w:rFonts w:ascii="Verdana" w:eastAsia="Geomanist Light" w:hAnsi="Verdana" w:cs="Arial"/>
          <w:color w:val="000000" w:themeColor="text1"/>
          <w:lang w:val="es-MX"/>
        </w:rPr>
      </w:pPr>
    </w:p>
    <w:p w14:paraId="18B525F0" w14:textId="77777777" w:rsidR="00C44D59" w:rsidRDefault="00C44D59" w:rsidP="00C44D59">
      <w:pPr>
        <w:spacing w:after="0" w:line="276" w:lineRule="auto"/>
        <w:rPr>
          <w:rFonts w:ascii="Verdana" w:eastAsia="Geomanist Light" w:hAnsi="Verdana" w:cs="Arial"/>
          <w:color w:val="000000" w:themeColor="text1"/>
          <w:lang w:val="es-MX"/>
        </w:rPr>
      </w:pPr>
    </w:p>
    <w:p w14:paraId="787D1E95" w14:textId="77777777" w:rsidR="00C44D59" w:rsidRDefault="00C44D59" w:rsidP="00C44D59">
      <w:pPr>
        <w:spacing w:after="0" w:line="276" w:lineRule="auto"/>
        <w:rPr>
          <w:rFonts w:ascii="Verdana" w:eastAsia="Geomanist Light" w:hAnsi="Verdana" w:cs="Arial"/>
          <w:color w:val="000000" w:themeColor="text1"/>
          <w:lang w:val="es-MX"/>
        </w:rPr>
      </w:pPr>
    </w:p>
    <w:p w14:paraId="730B3562" w14:textId="77777777" w:rsidR="00C44D59" w:rsidRDefault="00C44D59" w:rsidP="00C44D59">
      <w:pPr>
        <w:spacing w:after="0" w:line="276" w:lineRule="auto"/>
        <w:rPr>
          <w:rFonts w:ascii="Verdana" w:eastAsia="Geomanist Light" w:hAnsi="Verdana" w:cs="Arial"/>
          <w:color w:val="000000" w:themeColor="text1"/>
          <w:lang w:val="es-MX"/>
        </w:rPr>
      </w:pPr>
    </w:p>
    <w:p w14:paraId="100BE92A" w14:textId="77777777" w:rsidR="00C44D59" w:rsidRDefault="00C44D59" w:rsidP="00C44D59">
      <w:pPr>
        <w:spacing w:after="0" w:line="276" w:lineRule="auto"/>
        <w:rPr>
          <w:rFonts w:ascii="Verdana" w:eastAsia="Geomanist Light" w:hAnsi="Verdana" w:cs="Arial"/>
          <w:color w:val="000000" w:themeColor="text1"/>
          <w:lang w:val="es-MX"/>
        </w:rPr>
      </w:pPr>
    </w:p>
    <w:p w14:paraId="33FCADC6" w14:textId="77777777" w:rsidR="00C44D59" w:rsidRDefault="00C44D59" w:rsidP="00C44D59">
      <w:pPr>
        <w:spacing w:after="0" w:line="276" w:lineRule="auto"/>
        <w:rPr>
          <w:rFonts w:ascii="Verdana" w:eastAsia="Geomanist Light" w:hAnsi="Verdana" w:cs="Arial"/>
          <w:color w:val="000000" w:themeColor="text1"/>
          <w:lang w:val="es-MX"/>
        </w:rPr>
      </w:pPr>
    </w:p>
    <w:p w14:paraId="7FA363A3" w14:textId="77777777" w:rsidR="00C44D59" w:rsidRDefault="00C44D59" w:rsidP="00C44D59">
      <w:pPr>
        <w:spacing w:after="0" w:line="276" w:lineRule="auto"/>
        <w:rPr>
          <w:rFonts w:ascii="Verdana" w:eastAsia="Geomanist Light" w:hAnsi="Verdana" w:cs="Arial"/>
          <w:color w:val="000000" w:themeColor="text1"/>
          <w:lang w:val="es-MX"/>
        </w:rPr>
      </w:pPr>
    </w:p>
    <w:p w14:paraId="3A3254D5" w14:textId="77777777" w:rsidR="00C44D59" w:rsidRDefault="00C44D59" w:rsidP="00C44D59">
      <w:pPr>
        <w:spacing w:after="0" w:line="276" w:lineRule="auto"/>
        <w:rPr>
          <w:rFonts w:ascii="Verdana" w:eastAsia="Geomanist Light" w:hAnsi="Verdana" w:cs="Arial"/>
          <w:color w:val="000000" w:themeColor="text1"/>
          <w:lang w:val="es-MX"/>
        </w:rPr>
      </w:pPr>
    </w:p>
    <w:p w14:paraId="37ED4985" w14:textId="77777777" w:rsidR="00C44D59" w:rsidRDefault="00C44D59" w:rsidP="00C44D59">
      <w:pPr>
        <w:spacing w:after="0" w:line="276" w:lineRule="auto"/>
        <w:rPr>
          <w:rFonts w:ascii="Verdana" w:eastAsia="Geomanist Light" w:hAnsi="Verdana" w:cs="Arial"/>
          <w:color w:val="000000" w:themeColor="text1"/>
          <w:lang w:val="es-MX"/>
        </w:rPr>
      </w:pPr>
    </w:p>
    <w:p w14:paraId="252A3A80" w14:textId="77777777" w:rsidR="00C44D59" w:rsidRDefault="00C44D59" w:rsidP="00C44D59">
      <w:pPr>
        <w:spacing w:after="0" w:line="276" w:lineRule="auto"/>
        <w:rPr>
          <w:rFonts w:ascii="Verdana" w:eastAsia="Geomanist Light" w:hAnsi="Verdana" w:cs="Arial"/>
          <w:color w:val="000000" w:themeColor="text1"/>
          <w:lang w:val="es-MX"/>
        </w:rPr>
      </w:pPr>
    </w:p>
    <w:p w14:paraId="60130967" w14:textId="77777777" w:rsidR="00C44D59" w:rsidRDefault="00C44D59" w:rsidP="00C44D59">
      <w:pPr>
        <w:spacing w:after="0" w:line="276" w:lineRule="auto"/>
        <w:rPr>
          <w:rFonts w:ascii="Verdana" w:eastAsia="Geomanist Light" w:hAnsi="Verdana" w:cs="Arial"/>
          <w:color w:val="000000" w:themeColor="text1"/>
          <w:lang w:val="es-MX"/>
        </w:rPr>
      </w:pPr>
    </w:p>
    <w:p w14:paraId="555CAA81" w14:textId="77777777" w:rsidR="00C44D59" w:rsidRDefault="00C44D59" w:rsidP="00C44D59">
      <w:pPr>
        <w:spacing w:after="0" w:line="276" w:lineRule="auto"/>
        <w:rPr>
          <w:rFonts w:ascii="Verdana" w:eastAsia="Geomanist Light" w:hAnsi="Verdana" w:cs="Arial"/>
          <w:color w:val="000000" w:themeColor="text1"/>
          <w:lang w:val="es-MX"/>
        </w:rPr>
      </w:pPr>
    </w:p>
    <w:p w14:paraId="5F05FAE4" w14:textId="77777777" w:rsidR="00C44D59" w:rsidRDefault="00C44D59" w:rsidP="00C44D59">
      <w:pPr>
        <w:spacing w:after="0" w:line="276" w:lineRule="auto"/>
        <w:rPr>
          <w:rFonts w:ascii="Verdana" w:eastAsia="Geomanist Light" w:hAnsi="Verdana" w:cs="Arial"/>
          <w:color w:val="000000" w:themeColor="text1"/>
          <w:lang w:val="es-MX"/>
        </w:rPr>
      </w:pPr>
    </w:p>
    <w:p w14:paraId="0376E97A" w14:textId="77777777" w:rsidR="00C44D59" w:rsidRDefault="00C44D59" w:rsidP="00C44D59">
      <w:pPr>
        <w:spacing w:after="0" w:line="276" w:lineRule="auto"/>
        <w:rPr>
          <w:rFonts w:ascii="Verdana" w:eastAsia="Geomanist Light" w:hAnsi="Verdana" w:cs="Arial"/>
          <w:color w:val="000000" w:themeColor="text1"/>
          <w:lang w:val="es-MX"/>
        </w:rPr>
      </w:pPr>
    </w:p>
    <w:p w14:paraId="03E7AF56" w14:textId="77777777" w:rsidR="00C44D59" w:rsidRDefault="00C44D59" w:rsidP="00C44D59">
      <w:pPr>
        <w:spacing w:after="0" w:line="240" w:lineRule="auto"/>
        <w:rPr>
          <w:rFonts w:ascii="Verdana" w:hAnsi="Verdana"/>
        </w:rPr>
      </w:pPr>
    </w:p>
    <w:p w14:paraId="6A3E2AB1" w14:textId="77777777" w:rsidR="00C44D59" w:rsidRDefault="00C44D59" w:rsidP="00C44D59">
      <w:pPr>
        <w:spacing w:after="0" w:line="240" w:lineRule="auto"/>
        <w:rPr>
          <w:rFonts w:ascii="Verdana" w:hAnsi="Verdana"/>
        </w:rPr>
      </w:pPr>
    </w:p>
    <w:p w14:paraId="6DF8A7D5" w14:textId="77777777" w:rsidR="00C44D59" w:rsidRDefault="00C44D59" w:rsidP="00C44D59">
      <w:pPr>
        <w:spacing w:after="0" w:line="240" w:lineRule="auto"/>
        <w:rPr>
          <w:rFonts w:ascii="Verdana" w:hAnsi="Verdana"/>
        </w:rPr>
      </w:pPr>
    </w:p>
    <w:p w14:paraId="774B86EB" w14:textId="77777777" w:rsidR="00C44D59" w:rsidRDefault="00C44D59" w:rsidP="00C44D59">
      <w:pPr>
        <w:spacing w:after="0" w:line="240" w:lineRule="auto"/>
        <w:rPr>
          <w:rFonts w:ascii="Verdana" w:hAnsi="Verdana"/>
        </w:rPr>
      </w:pPr>
    </w:p>
    <w:p w14:paraId="2783DEFB" w14:textId="77777777" w:rsidR="00C44D59" w:rsidRDefault="00C44D59" w:rsidP="00C44D59">
      <w:pPr>
        <w:spacing w:after="0" w:line="240" w:lineRule="auto"/>
        <w:rPr>
          <w:rFonts w:ascii="Verdana" w:hAnsi="Verdana"/>
        </w:rPr>
      </w:pPr>
    </w:p>
    <w:p w14:paraId="2F968480" w14:textId="21BF4E04" w:rsidR="00C44D59" w:rsidRDefault="00C44D59" w:rsidP="00C44D59">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1A606C">
        <w:rPr>
          <w:rFonts w:ascii="Verdana" w:hAnsi="Verdana"/>
        </w:rPr>
        <w:t>15</w:t>
      </w:r>
      <w:r>
        <w:rPr>
          <w:rFonts w:ascii="Verdana" w:hAnsi="Verdana"/>
        </w:rPr>
        <w:t xml:space="preserve"> de </w:t>
      </w:r>
      <w:r w:rsidR="001A606C">
        <w:rPr>
          <w:rFonts w:ascii="Verdana" w:hAnsi="Verdana"/>
        </w:rPr>
        <w:t>octubre</w:t>
      </w:r>
      <w:r>
        <w:rPr>
          <w:rFonts w:ascii="Verdana" w:hAnsi="Verdana"/>
        </w:rPr>
        <w:t xml:space="preserve"> de </w:t>
      </w:r>
      <w:r w:rsidR="001A606C">
        <w:rPr>
          <w:rFonts w:ascii="Verdana" w:hAnsi="Verdana"/>
        </w:rPr>
        <w:t>2025</w:t>
      </w:r>
      <w:r>
        <w:rPr>
          <w:rFonts w:ascii="Verdana" w:hAnsi="Verdana"/>
        </w:rPr>
        <w:t xml:space="preserve"> </w:t>
      </w:r>
    </w:p>
    <w:bookmarkEnd w:id="0"/>
    <w:p w14:paraId="3C65EA22" w14:textId="77777777" w:rsidR="00C44D59" w:rsidRDefault="00C44D59" w:rsidP="00C44D59">
      <w:pPr>
        <w:spacing w:after="0" w:line="240" w:lineRule="auto"/>
        <w:rPr>
          <w:rFonts w:ascii="Verdana" w:hAnsi="Verdana"/>
        </w:rPr>
      </w:pPr>
    </w:p>
    <w:p w14:paraId="78B59DA3" w14:textId="0A16E7BB" w:rsidR="00A0108B" w:rsidRDefault="00A0108B" w:rsidP="00A0108B">
      <w:pPr>
        <w:spacing w:after="0" w:line="240" w:lineRule="auto"/>
        <w:jc w:val="right"/>
        <w:rPr>
          <w:rFonts w:ascii="Verdana" w:hAnsi="Verdana"/>
        </w:rPr>
      </w:pPr>
      <w:r>
        <w:rPr>
          <w:rFonts w:ascii="Verdana" w:hAnsi="Verdana"/>
          <w:noProof/>
        </w:rPr>
        <w:drawing>
          <wp:inline distT="0" distB="0" distL="0" distR="0" wp14:anchorId="5A3E4DF2" wp14:editId="799CA946">
            <wp:extent cx="2226310" cy="712470"/>
            <wp:effectExtent l="0" t="0" r="2540" b="0"/>
            <wp:docPr id="1229836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26310" cy="712470"/>
                    </a:xfrm>
                    <a:prstGeom prst="rect">
                      <a:avLst/>
                    </a:prstGeom>
                    <a:noFill/>
                    <a:ln>
                      <a:noFill/>
                    </a:ln>
                  </pic:spPr>
                </pic:pic>
              </a:graphicData>
            </a:graphic>
          </wp:inline>
        </w:drawing>
      </w:r>
    </w:p>
    <w:p w14:paraId="2CD3E6B4" w14:textId="12127793" w:rsidR="00C44D59" w:rsidRDefault="00C44D59" w:rsidP="001A606C">
      <w:pPr>
        <w:spacing w:after="0" w:line="240" w:lineRule="auto"/>
        <w:jc w:val="right"/>
        <w:rPr>
          <w:rFonts w:ascii="Verdana" w:hAnsi="Verdana"/>
        </w:rPr>
      </w:pPr>
    </w:p>
    <w:p w14:paraId="2E7EC300" w14:textId="77777777" w:rsidR="001A606C" w:rsidRDefault="001A606C" w:rsidP="00C44D59">
      <w:pPr>
        <w:spacing w:after="0" w:line="240" w:lineRule="auto"/>
        <w:rPr>
          <w:rFonts w:ascii="Verdana" w:hAnsi="Verdana"/>
        </w:rPr>
      </w:pPr>
    </w:p>
    <w:p w14:paraId="584664C0" w14:textId="77777777" w:rsidR="00C44D59" w:rsidRPr="00631045" w:rsidRDefault="00C44D59" w:rsidP="00C44D59">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1F940008" w14:textId="77777777" w:rsidR="00C44D59" w:rsidRPr="00F9591F" w:rsidRDefault="00C44D59" w:rsidP="00C44D59">
      <w:pPr>
        <w:spacing w:after="0" w:line="240" w:lineRule="auto"/>
        <w:rPr>
          <w:rFonts w:ascii="Verdana" w:eastAsia="Calibri" w:hAnsi="Verdana" w:cs="Arial"/>
          <w:b/>
          <w:bCs/>
          <w:lang w:eastAsia="es-ES"/>
        </w:rPr>
      </w:pPr>
      <w:r w:rsidRPr="00FF5100">
        <w:rPr>
          <w:rFonts w:ascii="Verdana" w:eastAsia="Calibri" w:hAnsi="Verdana" w:cs="Arial"/>
          <w:b/>
          <w:bCs/>
          <w:lang w:eastAsia="es-ES"/>
        </w:rPr>
        <w:t>HUMBERTO RODRIGUEZ URREA</w:t>
      </w:r>
    </w:p>
    <w:p w14:paraId="0BD1E410" w14:textId="77777777" w:rsidR="00C44D59" w:rsidRPr="00FF5100" w:rsidRDefault="00F54699" w:rsidP="00C44D59">
      <w:pPr>
        <w:spacing w:after="0" w:line="240" w:lineRule="auto"/>
        <w:rPr>
          <w:rFonts w:ascii="Verdana" w:hAnsi="Verdana"/>
        </w:rPr>
      </w:pPr>
      <w:hyperlink r:id="rId11" w:history="1">
        <w:r w:rsidR="00C44D59" w:rsidRPr="00123265">
          <w:rPr>
            <w:rStyle w:val="Hipervnculo"/>
            <w:rFonts w:ascii="Verdana" w:eastAsia="Calibri" w:hAnsi="Verdana" w:cs="Arial"/>
            <w:lang w:eastAsia="es-ES"/>
          </w:rPr>
          <w:t>hru2002@hotmail.com</w:t>
        </w:r>
      </w:hyperlink>
      <w:r w:rsidR="00C44D59">
        <w:rPr>
          <w:rFonts w:ascii="Verdana" w:hAnsi="Verdana"/>
        </w:rPr>
        <w:t xml:space="preserve"> </w:t>
      </w:r>
      <w:r w:rsidR="00C44D59" w:rsidRPr="00FF5100">
        <w:rPr>
          <w:rFonts w:ascii="Verdana" w:hAnsi="Verdana"/>
        </w:rPr>
        <w:t xml:space="preserve"> </w:t>
      </w:r>
    </w:p>
    <w:p w14:paraId="0E26F349" w14:textId="77777777" w:rsidR="00C44D59" w:rsidRDefault="00C44D59" w:rsidP="00C44D59">
      <w:pPr>
        <w:spacing w:after="0" w:line="240" w:lineRule="auto"/>
        <w:rPr>
          <w:rFonts w:ascii="Verdana" w:hAnsi="Verdana"/>
        </w:rPr>
      </w:pPr>
      <w:r>
        <w:rPr>
          <w:rFonts w:ascii="Verdana" w:hAnsi="Verdana"/>
        </w:rPr>
        <w:t xml:space="preserve">Bogotá D.C. </w:t>
      </w:r>
    </w:p>
    <w:p w14:paraId="074FF736" w14:textId="77777777" w:rsidR="00C44D59" w:rsidRPr="00FE3DEC" w:rsidRDefault="00C44D59" w:rsidP="00C44D59">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44D59" w:rsidRPr="00593A5F" w14:paraId="3FE8E307" w14:textId="77777777" w:rsidTr="2E180929">
        <w:trPr>
          <w:trHeight w:val="273"/>
        </w:trPr>
        <w:tc>
          <w:tcPr>
            <w:tcW w:w="2295" w:type="dxa"/>
          </w:tcPr>
          <w:p w14:paraId="21CB953B" w14:textId="77777777" w:rsidR="00C44D59" w:rsidRPr="00E5644F" w:rsidRDefault="00C44D59" w:rsidP="00E11A84">
            <w:pPr>
              <w:jc w:val="both"/>
              <w:rPr>
                <w:rFonts w:ascii="Verdana" w:eastAsia="Calibri" w:hAnsi="Verdana" w:cs="Arial"/>
                <w:b/>
                <w:bCs/>
                <w:color w:val="7030A0"/>
                <w:lang w:val="es-ES_tradnl" w:eastAsia="es-ES_tradnl"/>
              </w:rPr>
            </w:pPr>
          </w:p>
        </w:tc>
        <w:tc>
          <w:tcPr>
            <w:tcW w:w="6481" w:type="dxa"/>
            <w:gridSpan w:val="2"/>
          </w:tcPr>
          <w:p w14:paraId="1A28BE45" w14:textId="4F97CA60" w:rsidR="00C44D59" w:rsidRDefault="00C44D59" w:rsidP="00E11A84">
            <w:pPr>
              <w:jc w:val="both"/>
              <w:rPr>
                <w:rFonts w:ascii="Verdana" w:eastAsia="Calibri" w:hAnsi="Verdana" w:cs="Arial"/>
                <w:b/>
                <w:bCs/>
                <w:lang w:val="es-ES" w:eastAsia="es-ES"/>
              </w:rPr>
            </w:pPr>
            <w:r w:rsidRPr="2E180929">
              <w:rPr>
                <w:rFonts w:ascii="Verdana" w:eastAsia="Calibri" w:hAnsi="Verdana" w:cs="Arial"/>
                <w:b/>
                <w:bCs/>
                <w:lang w:val="es-ES" w:eastAsia="es-ES"/>
              </w:rPr>
              <w:t>Concepto C- 12</w:t>
            </w:r>
            <w:r w:rsidR="6CF87577" w:rsidRPr="2E180929">
              <w:rPr>
                <w:rFonts w:ascii="Verdana" w:eastAsia="Calibri" w:hAnsi="Verdana" w:cs="Arial"/>
                <w:b/>
                <w:bCs/>
                <w:lang w:val="es-ES" w:eastAsia="es-ES"/>
              </w:rPr>
              <w:t>39A</w:t>
            </w:r>
            <w:r w:rsidRPr="2E180929">
              <w:rPr>
                <w:rFonts w:ascii="Verdana" w:eastAsia="Calibri" w:hAnsi="Verdana" w:cs="Arial"/>
                <w:b/>
                <w:bCs/>
                <w:lang w:val="es-ES" w:eastAsia="es-ES"/>
              </w:rPr>
              <w:t xml:space="preserve"> de 2025</w:t>
            </w:r>
          </w:p>
          <w:p w14:paraId="28181BA2" w14:textId="77777777" w:rsidR="00C44D59" w:rsidRPr="00E5644F" w:rsidRDefault="00C44D59" w:rsidP="00E11A84">
            <w:pPr>
              <w:jc w:val="both"/>
              <w:rPr>
                <w:rFonts w:ascii="Verdana" w:eastAsia="Calibri" w:hAnsi="Verdana" w:cs="Arial"/>
                <w:b/>
                <w:bCs/>
                <w:color w:val="7030A0"/>
                <w:lang w:val="es-ES" w:eastAsia="es-ES"/>
              </w:rPr>
            </w:pPr>
          </w:p>
        </w:tc>
      </w:tr>
      <w:tr w:rsidR="00C44D59" w:rsidRPr="00280D79" w14:paraId="0C6207EB" w14:textId="77777777" w:rsidTr="2E180929">
        <w:trPr>
          <w:trHeight w:val="1583"/>
        </w:trPr>
        <w:tc>
          <w:tcPr>
            <w:tcW w:w="2295" w:type="dxa"/>
          </w:tcPr>
          <w:p w14:paraId="645A60D4" w14:textId="77777777" w:rsidR="00C44D59" w:rsidRPr="00593A5F" w:rsidRDefault="00C44D59"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A418452" w14:textId="77777777" w:rsidR="00C44D59" w:rsidRDefault="00C44D59" w:rsidP="00E11A84">
            <w:pPr>
              <w:spacing w:line="276" w:lineRule="auto"/>
              <w:jc w:val="both"/>
              <w:rPr>
                <w:rFonts w:ascii="Verdana" w:hAnsi="Verdana" w:cs="Arial"/>
                <w:lang w:val="es-ES" w:eastAsia="es-ES"/>
              </w:rPr>
            </w:pPr>
            <w:r w:rsidRPr="00CD019F">
              <w:rPr>
                <w:rFonts w:ascii="Verdana" w:hAnsi="Verdana" w:cs="Arial"/>
                <w:bCs/>
                <w:lang w:eastAsia="es-ES"/>
              </w:rPr>
              <w:t xml:space="preserve">RÉGIMEN DE INHABILIDADES E INCOMPATIBILIDADES – Concepto </w:t>
            </w:r>
            <w:r>
              <w:rPr>
                <w:rFonts w:ascii="Verdana" w:hAnsi="Verdana" w:cs="Arial"/>
                <w:bCs/>
                <w:lang w:eastAsia="es-ES"/>
              </w:rPr>
              <w:t xml:space="preserve">/ </w:t>
            </w:r>
            <w:r w:rsidRPr="00CD019F">
              <w:rPr>
                <w:rFonts w:ascii="Verdana" w:hAnsi="Verdana" w:cs="Arial"/>
                <w:bCs/>
                <w:lang w:eastAsia="es-ES"/>
              </w:rPr>
              <w:t>REGIMEN DE INHABILIDADES E INCOMPATIBILIDADES – Interpretación restrictiva</w:t>
            </w:r>
            <w:r>
              <w:rPr>
                <w:rFonts w:ascii="Verdana" w:hAnsi="Verdana" w:cs="Arial"/>
                <w:bCs/>
                <w:lang w:eastAsia="es-ES"/>
              </w:rPr>
              <w:t xml:space="preserve"> –principio pro </w:t>
            </w:r>
            <w:proofErr w:type="spellStart"/>
            <w:r>
              <w:rPr>
                <w:rFonts w:ascii="Verdana" w:hAnsi="Verdana" w:cs="Arial"/>
                <w:bCs/>
                <w:lang w:eastAsia="es-ES"/>
              </w:rPr>
              <w:t>libertate</w:t>
            </w:r>
            <w:proofErr w:type="spellEnd"/>
            <w:r w:rsidRPr="00CD019F">
              <w:rPr>
                <w:rFonts w:ascii="Verdana" w:hAnsi="Verdana" w:cs="Arial"/>
                <w:lang w:val="es-ES" w:eastAsia="es-ES"/>
              </w:rPr>
              <w:t xml:space="preserve"> / </w:t>
            </w:r>
            <w:r w:rsidRPr="00C23CEB">
              <w:rPr>
                <w:rFonts w:ascii="Verdana" w:eastAsia="Calibri" w:hAnsi="Verdana"/>
                <w:color w:val="000000" w:themeColor="text1"/>
                <w:lang w:val="es-ES_tradnl" w:eastAsia="es-ES_tradnl"/>
              </w:rPr>
              <w:t>INHABILIDAD PARA CONTRATAR – Contrato de Interventoría – Suscripción – Contratos previos – Alcance</w:t>
            </w:r>
          </w:p>
          <w:p w14:paraId="3E7E3FCA" w14:textId="77777777" w:rsidR="00C44D59" w:rsidRPr="00280D79" w:rsidRDefault="00C44D59" w:rsidP="00E11A84">
            <w:pPr>
              <w:jc w:val="both"/>
              <w:rPr>
                <w:rFonts w:ascii="Verdana" w:eastAsia="Calibri" w:hAnsi="Verdana" w:cs="Arial"/>
                <w:b/>
                <w:highlight w:val="yellow"/>
                <w:lang w:val="es-ES" w:eastAsia="es-ES"/>
              </w:rPr>
            </w:pPr>
          </w:p>
        </w:tc>
      </w:tr>
      <w:tr w:rsidR="00C44D59" w:rsidRPr="00593A5F" w14:paraId="21769E20" w14:textId="77777777" w:rsidTr="2E180929">
        <w:trPr>
          <w:trHeight w:val="545"/>
        </w:trPr>
        <w:tc>
          <w:tcPr>
            <w:tcW w:w="2295" w:type="dxa"/>
          </w:tcPr>
          <w:p w14:paraId="27D68C8D" w14:textId="77777777" w:rsidR="00C44D59" w:rsidRPr="006730E9" w:rsidRDefault="00C44D59"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CDAD051" w14:textId="77777777" w:rsidR="00C44D59" w:rsidRPr="006730E9" w:rsidRDefault="00C44D59"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FF5100">
              <w:rPr>
                <w:rFonts w:ascii="Verdana" w:eastAsia="Calibri" w:hAnsi="Verdana" w:cs="Arial"/>
                <w:lang w:val="es-ES_tradnl" w:eastAsia="es-ES_tradnl"/>
              </w:rPr>
              <w:t>1_2025_09_04_009611</w:t>
            </w:r>
            <w:r>
              <w:rPr>
                <w:rFonts w:ascii="Verdana" w:eastAsia="Calibri" w:hAnsi="Verdana" w:cs="Arial"/>
                <w:lang w:val="es-ES_tradnl" w:eastAsia="es-ES_tradnl"/>
              </w:rPr>
              <w:t xml:space="preserve"> acumulada con el radicado No. </w:t>
            </w:r>
            <w:r w:rsidRPr="00E26F9C">
              <w:rPr>
                <w:rFonts w:ascii="Verdana" w:eastAsia="Calibri" w:hAnsi="Verdana" w:cs="Arial"/>
                <w:lang w:val="es-ES_tradnl" w:eastAsia="es-ES_tradnl"/>
              </w:rPr>
              <w:t>1_2025_09_04_009612</w:t>
            </w:r>
            <w:r>
              <w:rPr>
                <w:rFonts w:ascii="Verdana" w:eastAsia="Calibri" w:hAnsi="Verdana" w:cs="Arial"/>
                <w:lang w:val="es-ES_tradnl" w:eastAsia="es-ES_tradnl"/>
              </w:rPr>
              <w:t>.</w:t>
            </w:r>
          </w:p>
        </w:tc>
      </w:tr>
      <w:tr w:rsidR="00C44D59" w:rsidRPr="00DB23D2" w14:paraId="47D3BCAA" w14:textId="77777777" w:rsidTr="2E180929">
        <w:trPr>
          <w:gridAfter w:val="1"/>
          <w:wAfter w:w="319" w:type="dxa"/>
          <w:trHeight w:val="242"/>
        </w:trPr>
        <w:tc>
          <w:tcPr>
            <w:tcW w:w="8457" w:type="dxa"/>
            <w:gridSpan w:val="2"/>
          </w:tcPr>
          <w:p w14:paraId="5E9CFE46" w14:textId="77777777" w:rsidR="00C44D59" w:rsidRPr="00DB23D2" w:rsidRDefault="00C44D59" w:rsidP="00E11A84">
            <w:pPr>
              <w:spacing w:line="276" w:lineRule="auto"/>
              <w:jc w:val="both"/>
              <w:rPr>
                <w:rFonts w:ascii="Verdana" w:eastAsia="Calibri" w:hAnsi="Verdana" w:cs="Arial"/>
                <w:lang w:val="es-ES_tradnl" w:eastAsia="es-ES"/>
              </w:rPr>
            </w:pPr>
          </w:p>
        </w:tc>
      </w:tr>
    </w:tbl>
    <w:p w14:paraId="20F99B8E" w14:textId="77777777" w:rsidR="00C44D59" w:rsidRPr="006730E9" w:rsidRDefault="00C44D59" w:rsidP="00C44D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proofErr w:type="spellStart"/>
      <w:r>
        <w:rPr>
          <w:rFonts w:ascii="Verdana" w:eastAsia="Calibri" w:hAnsi="Verdana" w:cs="Arial"/>
          <w:lang w:val="es-ES" w:eastAsia="es-ES"/>
        </w:rPr>
        <w:t>Rodriguez</w:t>
      </w:r>
      <w:proofErr w:type="spellEnd"/>
      <w:r>
        <w:rPr>
          <w:rFonts w:ascii="Verdana" w:eastAsia="Calibri" w:hAnsi="Verdana" w:cs="Arial"/>
          <w:lang w:val="es-ES" w:eastAsia="es-ES"/>
        </w:rPr>
        <w:t>;</w:t>
      </w:r>
    </w:p>
    <w:p w14:paraId="22D1493D" w14:textId="77777777" w:rsidR="00C44D59" w:rsidRDefault="00C44D59" w:rsidP="00C44D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51F37AE8" w14:textId="77777777" w:rsidR="00C44D59" w:rsidRPr="006730E9" w:rsidRDefault="00C44D59" w:rsidP="00C44D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w:t>
      </w:r>
      <w:r>
        <w:rPr>
          <w:rFonts w:ascii="Verdana" w:eastAsia="Calibri" w:hAnsi="Verdana" w:cs="Arial"/>
          <w:lang w:val="es-ES" w:eastAsia="es-ES"/>
        </w:rPr>
        <w:t xml:space="preserve"> a</w:t>
      </w:r>
      <w:r w:rsidRPr="006730E9">
        <w:rPr>
          <w:rFonts w:ascii="Verdana" w:eastAsia="Calibri" w:hAnsi="Verdana" w:cs="Arial"/>
          <w:lang w:val="es-ES" w:eastAsia="es-ES"/>
        </w:rPr>
        <w:t xml:space="preserv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04</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4BEF6A5" w14:textId="77777777" w:rsidR="00C44D59" w:rsidRPr="00326382" w:rsidRDefault="00C44D59" w:rsidP="00C44D59">
      <w:pPr>
        <w:spacing w:after="0" w:line="276" w:lineRule="auto"/>
        <w:ind w:left="709" w:right="474"/>
        <w:jc w:val="both"/>
        <w:rPr>
          <w:rFonts w:ascii="Verdana" w:hAnsi="Verdana" w:cs="Arial"/>
          <w:sz w:val="20"/>
          <w:szCs w:val="20"/>
          <w:shd w:val="clear" w:color="auto" w:fill="FFFFFF"/>
        </w:rPr>
      </w:pPr>
      <w:bookmarkStart w:id="2" w:name="_Hlk95313578"/>
    </w:p>
    <w:bookmarkEnd w:id="2"/>
    <w:p w14:paraId="2D08BBAF" w14:textId="77777777" w:rsidR="00C44D59" w:rsidRDefault="00C44D59" w:rsidP="00C44D59">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4314F4B4" w14:textId="77777777" w:rsidR="00C44D59" w:rsidRPr="00FF5100"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proofErr w:type="spellStart"/>
      <w:r w:rsidRPr="00FF5100">
        <w:rPr>
          <w:rFonts w:ascii="Verdana" w:eastAsia="Century Gothic" w:hAnsi="Verdana" w:cs="Century Gothic"/>
          <w:i/>
          <w:iCs/>
          <w:sz w:val="20"/>
          <w:szCs w:val="20"/>
        </w:rPr>
        <w:t>Segun</w:t>
      </w:r>
      <w:proofErr w:type="spellEnd"/>
      <w:r w:rsidRPr="00FF5100">
        <w:rPr>
          <w:rFonts w:ascii="Verdana" w:eastAsia="Century Gothic" w:hAnsi="Verdana" w:cs="Century Gothic"/>
          <w:i/>
          <w:iCs/>
          <w:sz w:val="20"/>
          <w:szCs w:val="20"/>
        </w:rPr>
        <w:t xml:space="preserve"> la normatividad vigente y al </w:t>
      </w:r>
      <w:proofErr w:type="spellStart"/>
      <w:r w:rsidRPr="00FF5100">
        <w:rPr>
          <w:rFonts w:ascii="Verdana" w:eastAsia="Century Gothic" w:hAnsi="Verdana" w:cs="Century Gothic"/>
          <w:i/>
          <w:iCs/>
          <w:sz w:val="20"/>
          <w:szCs w:val="20"/>
        </w:rPr>
        <w:t>regimen</w:t>
      </w:r>
      <w:proofErr w:type="spellEnd"/>
      <w:r w:rsidRPr="00FF5100">
        <w:rPr>
          <w:rFonts w:ascii="Verdana" w:eastAsia="Century Gothic" w:hAnsi="Verdana" w:cs="Century Gothic"/>
          <w:i/>
          <w:iCs/>
          <w:sz w:val="20"/>
          <w:szCs w:val="20"/>
        </w:rPr>
        <w:t xml:space="preserve"> de inhabilidades a contratar con el estado, necesitamos saber si una misma empresa contratista del estado y con capacidad para ejecutar tanto contratos de </w:t>
      </w:r>
      <w:proofErr w:type="spellStart"/>
      <w:r w:rsidRPr="00FF5100">
        <w:rPr>
          <w:rFonts w:ascii="Verdana" w:eastAsia="Century Gothic" w:hAnsi="Verdana" w:cs="Century Gothic"/>
          <w:i/>
          <w:iCs/>
          <w:sz w:val="20"/>
          <w:szCs w:val="20"/>
        </w:rPr>
        <w:t>construccion</w:t>
      </w:r>
      <w:proofErr w:type="spellEnd"/>
      <w:r w:rsidRPr="00FF5100">
        <w:rPr>
          <w:rFonts w:ascii="Verdana" w:eastAsia="Century Gothic" w:hAnsi="Verdana" w:cs="Century Gothic"/>
          <w:i/>
          <w:iCs/>
          <w:sz w:val="20"/>
          <w:szCs w:val="20"/>
        </w:rPr>
        <w:t xml:space="preserve"> como de </w:t>
      </w:r>
      <w:proofErr w:type="spellStart"/>
      <w:r w:rsidRPr="00FF5100">
        <w:rPr>
          <w:rFonts w:ascii="Verdana" w:eastAsia="Century Gothic" w:hAnsi="Verdana" w:cs="Century Gothic"/>
          <w:i/>
          <w:iCs/>
          <w:sz w:val="20"/>
          <w:szCs w:val="20"/>
        </w:rPr>
        <w:t>interventorias</w:t>
      </w:r>
      <w:proofErr w:type="spellEnd"/>
      <w:r w:rsidRPr="00FF5100">
        <w:rPr>
          <w:rFonts w:ascii="Verdana" w:eastAsia="Century Gothic" w:hAnsi="Verdana" w:cs="Century Gothic"/>
          <w:i/>
          <w:iCs/>
          <w:sz w:val="20"/>
          <w:szCs w:val="20"/>
        </w:rPr>
        <w:t xml:space="preserve">, esta empresa puede licitar en LA MISMA ENTIDAD </w:t>
      </w:r>
      <w:r w:rsidRPr="00FF5100">
        <w:rPr>
          <w:rFonts w:ascii="Verdana" w:eastAsia="Century Gothic" w:hAnsi="Verdana" w:cs="Century Gothic"/>
          <w:i/>
          <w:iCs/>
          <w:sz w:val="20"/>
          <w:szCs w:val="20"/>
        </w:rPr>
        <w:lastRenderedPageBreak/>
        <w:t>sin generar un conflicto de intereses para la entidad participar en los diferentes procesos licitatorios que la entidad saca?</w:t>
      </w:r>
    </w:p>
    <w:p w14:paraId="60B12079" w14:textId="77777777" w:rsidR="00863DF8" w:rsidRPr="00FF5100" w:rsidRDefault="00863DF8"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5FC65D9" w14:textId="77777777" w:rsidR="00C44D59" w:rsidRPr="00FF5100"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r w:rsidRPr="00FF5100">
        <w:rPr>
          <w:rFonts w:ascii="Verdana" w:eastAsia="Century Gothic" w:hAnsi="Verdana" w:cs="Century Gothic"/>
          <w:i/>
          <w:iCs/>
          <w:sz w:val="20"/>
          <w:szCs w:val="20"/>
        </w:rPr>
        <w:t xml:space="preserve">las entidades son </w:t>
      </w:r>
      <w:proofErr w:type="spellStart"/>
      <w:r w:rsidRPr="00FF5100">
        <w:rPr>
          <w:rFonts w:ascii="Verdana" w:eastAsia="Century Gothic" w:hAnsi="Verdana" w:cs="Century Gothic"/>
          <w:i/>
          <w:iCs/>
          <w:sz w:val="20"/>
          <w:szCs w:val="20"/>
        </w:rPr>
        <w:t>autonomas</w:t>
      </w:r>
      <w:proofErr w:type="spellEnd"/>
      <w:r w:rsidRPr="00FF5100">
        <w:rPr>
          <w:rFonts w:ascii="Verdana" w:eastAsia="Century Gothic" w:hAnsi="Verdana" w:cs="Century Gothic"/>
          <w:i/>
          <w:iCs/>
          <w:sz w:val="20"/>
          <w:szCs w:val="20"/>
        </w:rPr>
        <w:t xml:space="preserve"> de descalificar a un contratista por que este se presenta en procesos de </w:t>
      </w:r>
      <w:proofErr w:type="spellStart"/>
      <w:r w:rsidRPr="00FF5100">
        <w:rPr>
          <w:rFonts w:ascii="Verdana" w:eastAsia="Century Gothic" w:hAnsi="Verdana" w:cs="Century Gothic"/>
          <w:i/>
          <w:iCs/>
          <w:sz w:val="20"/>
          <w:szCs w:val="20"/>
        </w:rPr>
        <w:t>interventoria</w:t>
      </w:r>
      <w:proofErr w:type="spellEnd"/>
      <w:r w:rsidRPr="00FF5100">
        <w:rPr>
          <w:rFonts w:ascii="Verdana" w:eastAsia="Century Gothic" w:hAnsi="Verdana" w:cs="Century Gothic"/>
          <w:i/>
          <w:iCs/>
          <w:sz w:val="20"/>
          <w:szCs w:val="20"/>
        </w:rPr>
        <w:t xml:space="preserve"> y/o </w:t>
      </w:r>
      <w:proofErr w:type="spellStart"/>
      <w:r w:rsidRPr="00FF5100">
        <w:rPr>
          <w:rFonts w:ascii="Verdana" w:eastAsia="Century Gothic" w:hAnsi="Verdana" w:cs="Century Gothic"/>
          <w:i/>
          <w:iCs/>
          <w:sz w:val="20"/>
          <w:szCs w:val="20"/>
        </w:rPr>
        <w:t>construccion</w:t>
      </w:r>
      <w:proofErr w:type="spellEnd"/>
      <w:r w:rsidRPr="00FF5100">
        <w:rPr>
          <w:rFonts w:ascii="Verdana" w:eastAsia="Century Gothic" w:hAnsi="Verdana" w:cs="Century Gothic"/>
          <w:i/>
          <w:iCs/>
          <w:sz w:val="20"/>
          <w:szCs w:val="20"/>
        </w:rPr>
        <w:t>?</w:t>
      </w:r>
    </w:p>
    <w:p w14:paraId="0EDC021D" w14:textId="77777777" w:rsidR="00C44D59" w:rsidRPr="00FF5100"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FF5100">
        <w:rPr>
          <w:rFonts w:ascii="Verdana" w:eastAsia="Century Gothic" w:hAnsi="Verdana" w:cs="Century Gothic"/>
          <w:i/>
          <w:iCs/>
          <w:sz w:val="20"/>
          <w:szCs w:val="20"/>
        </w:rPr>
        <w:t xml:space="preserve">En el caso de que la </w:t>
      </w:r>
      <w:proofErr w:type="spellStart"/>
      <w:r w:rsidRPr="00FF5100">
        <w:rPr>
          <w:rFonts w:ascii="Verdana" w:eastAsia="Century Gothic" w:hAnsi="Verdana" w:cs="Century Gothic"/>
          <w:i/>
          <w:iCs/>
          <w:sz w:val="20"/>
          <w:szCs w:val="20"/>
        </w:rPr>
        <w:t>endidad</w:t>
      </w:r>
      <w:proofErr w:type="spellEnd"/>
      <w:r w:rsidRPr="00FF5100">
        <w:rPr>
          <w:rFonts w:ascii="Verdana" w:eastAsia="Century Gothic" w:hAnsi="Verdana" w:cs="Century Gothic"/>
          <w:i/>
          <w:iCs/>
          <w:sz w:val="20"/>
          <w:szCs w:val="20"/>
        </w:rPr>
        <w:t xml:space="preserve"> no pueda legalmente descalificar a este contratista y si lo haga, en donde se debe colocar esta denuncia?</w:t>
      </w:r>
      <w:proofErr w:type="gramEnd"/>
    </w:p>
    <w:p w14:paraId="2949C291" w14:textId="77777777" w:rsidR="00C44D59" w:rsidRPr="00EA70F7"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0DB9F8B7" w14:textId="77777777" w:rsidR="00C44D59" w:rsidRDefault="00C44D59" w:rsidP="00C44D59">
      <w:pPr>
        <w:spacing w:after="0" w:line="276" w:lineRule="auto"/>
        <w:ind w:firstLine="709"/>
        <w:jc w:val="both"/>
        <w:rPr>
          <w:rFonts w:ascii="Verdana" w:eastAsia="Calibri" w:hAnsi="Verdana" w:cs="Arial"/>
          <w:lang w:val="es-ES" w:eastAsia="es-ES"/>
        </w:rPr>
      </w:pPr>
    </w:p>
    <w:p w14:paraId="32873543" w14:textId="77777777" w:rsidR="00C44D59" w:rsidRPr="00AA3B9F" w:rsidRDefault="00C44D59" w:rsidP="00C44D5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8130856" w14:textId="77777777" w:rsidR="00C44D59" w:rsidRDefault="00C44D59" w:rsidP="00C44D59">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1ABC7417" w14:textId="77777777" w:rsidR="00C44D59" w:rsidRPr="00D555B9" w:rsidRDefault="00C44D59" w:rsidP="00CA748C">
      <w:pPr>
        <w:tabs>
          <w:tab w:val="left" w:pos="142"/>
          <w:tab w:val="left" w:pos="284"/>
        </w:tabs>
        <w:spacing w:after="0" w:line="240" w:lineRule="auto"/>
        <w:ind w:right="1185"/>
        <w:jc w:val="both"/>
        <w:rPr>
          <w:rFonts w:ascii="Verdana" w:eastAsia="Century Gothic" w:hAnsi="Verdana" w:cs="Century Gothic"/>
          <w:i/>
        </w:rPr>
      </w:pPr>
    </w:p>
    <w:p w14:paraId="4ABE476F" w14:textId="77777777" w:rsidR="00C44D59" w:rsidRDefault="00C44D59" w:rsidP="00C44D5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0C74631" w14:textId="77777777" w:rsidR="00C44D59" w:rsidRDefault="00C44D59" w:rsidP="00C44D59">
      <w:pPr>
        <w:pStyle w:val="Prrafodelista"/>
        <w:tabs>
          <w:tab w:val="left" w:pos="142"/>
          <w:tab w:val="left" w:pos="284"/>
        </w:tabs>
        <w:spacing w:after="0" w:line="276" w:lineRule="auto"/>
        <w:ind w:left="0"/>
        <w:jc w:val="both"/>
        <w:rPr>
          <w:rFonts w:ascii="Verdana" w:eastAsia="Century Gothic" w:hAnsi="Verdana" w:cs="Century Gothic"/>
          <w:b/>
          <w:bCs/>
        </w:rPr>
      </w:pPr>
    </w:p>
    <w:p w14:paraId="77DC899C" w14:textId="77777777" w:rsidR="00C44D59" w:rsidRDefault="00C44D59" w:rsidP="00C44D59">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1B319A">
        <w:rPr>
          <w:rFonts w:ascii="Verdana" w:eastAsia="Calibri" w:hAnsi="Verdana" w:cs="Arial"/>
          <w:lang w:eastAsia="es-ES"/>
        </w:rPr>
        <w:t>¿</w:t>
      </w:r>
      <w:r>
        <w:rPr>
          <w:rFonts w:ascii="Verdana" w:eastAsia="Calibri" w:hAnsi="Verdana" w:cs="Arial"/>
          <w:lang w:eastAsia="es-ES"/>
        </w:rPr>
        <w:t>Existe alguna</w:t>
      </w:r>
      <w:r w:rsidRPr="004E44D9">
        <w:rPr>
          <w:rFonts w:ascii="Verdana" w:eastAsia="Calibri" w:hAnsi="Verdana" w:cs="Arial"/>
          <w:lang w:eastAsia="es-ES"/>
        </w:rPr>
        <w:t xml:space="preserve"> inhabilidad, incompatibilidad o conflicto de intereses </w:t>
      </w:r>
      <w:r>
        <w:rPr>
          <w:rFonts w:ascii="Verdana" w:eastAsia="Calibri" w:hAnsi="Verdana" w:cs="Arial"/>
          <w:lang w:eastAsia="es-ES"/>
        </w:rPr>
        <w:t>si un contratista participa</w:t>
      </w:r>
      <w:r w:rsidRPr="004E44D9">
        <w:rPr>
          <w:rFonts w:ascii="Verdana" w:eastAsia="Calibri" w:hAnsi="Verdana" w:cs="Arial"/>
          <w:lang w:eastAsia="es-ES"/>
        </w:rPr>
        <w:t xml:space="preserve"> en una licitación para la ejecución de una obra y, simultáneamente, en un concurso</w:t>
      </w:r>
      <w:r>
        <w:rPr>
          <w:rFonts w:ascii="Verdana" w:eastAsia="Calibri" w:hAnsi="Verdana" w:cs="Arial"/>
          <w:lang w:eastAsia="es-ES"/>
        </w:rPr>
        <w:t xml:space="preserve"> de méritos</w:t>
      </w:r>
      <w:r w:rsidRPr="004E44D9">
        <w:rPr>
          <w:rFonts w:ascii="Verdana" w:eastAsia="Calibri" w:hAnsi="Verdana" w:cs="Arial"/>
          <w:lang w:eastAsia="es-ES"/>
        </w:rPr>
        <w:t xml:space="preserve"> para la interventoría de una obra distinta, ambas convocadas por la misma entidad estatal?</w:t>
      </w:r>
    </w:p>
    <w:p w14:paraId="62980E45" w14:textId="77777777" w:rsidR="00C44D59" w:rsidRDefault="00C44D59" w:rsidP="00C44D59">
      <w:pPr>
        <w:spacing w:after="0" w:line="276" w:lineRule="auto"/>
        <w:jc w:val="both"/>
        <w:rPr>
          <w:rFonts w:ascii="Verdana" w:eastAsia="Calibri" w:hAnsi="Verdana" w:cs="Arial"/>
          <w:lang w:eastAsia="es-ES"/>
        </w:rPr>
      </w:pPr>
    </w:p>
    <w:bookmarkEnd w:id="3"/>
    <w:p w14:paraId="7E686852" w14:textId="77777777" w:rsidR="00C44D59" w:rsidRDefault="00C44D59" w:rsidP="00C44D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6770A47" w14:textId="77777777" w:rsidR="00C44D59" w:rsidRPr="00593A5F"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44D59" w:rsidRPr="00593A5F" w14:paraId="04B4F663" w14:textId="77777777" w:rsidTr="00E11A84">
        <w:tc>
          <w:tcPr>
            <w:tcW w:w="8828" w:type="dxa"/>
          </w:tcPr>
          <w:p w14:paraId="1FD1FC45" w14:textId="56DB3A8D" w:rsidR="00C44D59" w:rsidRPr="007372DD" w:rsidRDefault="00C44D59" w:rsidP="00CA748C">
            <w:pPr>
              <w:spacing w:after="120" w:line="276" w:lineRule="auto"/>
              <w:ind w:right="-58"/>
              <w:jc w:val="both"/>
              <w:rPr>
                <w:rFonts w:ascii="Verdana" w:eastAsia="Arial" w:hAnsi="Verdana" w:cs="Arial"/>
                <w:color w:val="000000"/>
              </w:rPr>
            </w:pPr>
            <w:r>
              <w:rPr>
                <w:rFonts w:ascii="Verdana" w:eastAsia="Arial" w:hAnsi="Verdana" w:cs="Arial"/>
                <w:color w:val="000000"/>
              </w:rPr>
              <w:lastRenderedPageBreak/>
              <w:t xml:space="preserve">De manera preliminar es pertinente indicar que </w:t>
            </w:r>
            <w:r w:rsidRPr="007372DD">
              <w:rPr>
                <w:rFonts w:ascii="Verdana" w:eastAsia="Arial" w:hAnsi="Verdana" w:cs="Arial"/>
                <w:color w:val="000000"/>
              </w:rPr>
              <w:t>el artículo 5 de la Ley 1474 de 2011, impide celebrar contratos de interventoría con una entidad cuando el proponente tiene vigente —o pendiente de liquidación— un contrato de obra, concesión o suministro de medicamentos o alimentos con esa misma entidad</w:t>
            </w:r>
            <w:r>
              <w:rPr>
                <w:rFonts w:ascii="Verdana" w:eastAsia="Arial" w:hAnsi="Verdana" w:cs="Arial"/>
                <w:color w:val="000000"/>
              </w:rPr>
              <w:t>, por lo que, s</w:t>
            </w:r>
            <w:r w:rsidRPr="00C40E2B">
              <w:rPr>
                <w:rFonts w:ascii="Verdana" w:eastAsia="Arial" w:hAnsi="Verdana" w:cs="Arial"/>
                <w:color w:val="000000"/>
              </w:rPr>
              <w:t xml:space="preserve">i no existe un contrato de esas tipologías en ejecución o sin liquidar, </w:t>
            </w:r>
            <w:r>
              <w:rPr>
                <w:rFonts w:ascii="Verdana" w:eastAsia="Arial" w:hAnsi="Verdana" w:cs="Arial"/>
                <w:color w:val="000000"/>
              </w:rPr>
              <w:t>el proponente</w:t>
            </w:r>
            <w:r w:rsidRPr="00C40E2B">
              <w:rPr>
                <w:rFonts w:ascii="Verdana" w:eastAsia="Arial" w:hAnsi="Verdana" w:cs="Arial"/>
                <w:color w:val="000000"/>
              </w:rPr>
              <w:t xml:space="preserve"> puede participar sin incurrir en ninguna inhabilidad.</w:t>
            </w:r>
          </w:p>
          <w:p w14:paraId="6534C0AD" w14:textId="77777777" w:rsidR="00C44D59" w:rsidRPr="007372DD" w:rsidRDefault="00C44D59" w:rsidP="00CA748C">
            <w:pPr>
              <w:spacing w:after="120" w:line="276" w:lineRule="auto"/>
              <w:ind w:right="-58"/>
              <w:jc w:val="both"/>
              <w:rPr>
                <w:rFonts w:ascii="Verdana" w:eastAsia="Arial" w:hAnsi="Verdana" w:cs="Arial"/>
                <w:color w:val="000000"/>
              </w:rPr>
            </w:pPr>
            <w:r>
              <w:rPr>
                <w:rFonts w:ascii="Verdana" w:eastAsia="Arial" w:hAnsi="Verdana" w:cs="Arial"/>
                <w:color w:val="000000"/>
              </w:rPr>
              <w:t xml:space="preserve">           Ahora bien, e</w:t>
            </w:r>
            <w:r w:rsidRPr="007372DD">
              <w:rPr>
                <w:rFonts w:ascii="Verdana" w:eastAsia="Arial" w:hAnsi="Verdana" w:cs="Arial"/>
                <w:color w:val="000000"/>
              </w:rPr>
              <w:t>l régimen de inhabilidades e incompatibilidades en la contratación estatal es de naturaleza taxativa y debe interpretarse de forma restrictiva. Así lo ha reiterado Colombia Compra Eficiente en diversos conceptos</w:t>
            </w:r>
            <w:r>
              <w:rPr>
                <w:rFonts w:ascii="Verdana" w:eastAsia="Arial" w:hAnsi="Verdana" w:cs="Arial"/>
                <w:color w:val="000000"/>
              </w:rPr>
              <w:t xml:space="preserve"> </w:t>
            </w:r>
            <w:r w:rsidRPr="007372DD">
              <w:rPr>
                <w:rFonts w:ascii="Verdana" w:eastAsia="Arial" w:hAnsi="Verdana" w:cs="Arial"/>
                <w:color w:val="000000"/>
              </w:rPr>
              <w:t>como C-524 de</w:t>
            </w:r>
            <w:r>
              <w:rPr>
                <w:rFonts w:ascii="Verdana" w:eastAsia="Arial" w:hAnsi="Verdana" w:cs="Arial"/>
                <w:color w:val="000000"/>
              </w:rPr>
              <w:t xml:space="preserve">l 06 de junio de 2025 y el </w:t>
            </w:r>
            <w:r w:rsidRPr="007372DD">
              <w:rPr>
                <w:rFonts w:ascii="Verdana" w:eastAsia="Arial" w:hAnsi="Verdana" w:cs="Arial"/>
                <w:color w:val="000000"/>
              </w:rPr>
              <w:t>C-669 de</w:t>
            </w:r>
            <w:r>
              <w:rPr>
                <w:rFonts w:ascii="Verdana" w:eastAsia="Arial" w:hAnsi="Verdana" w:cs="Arial"/>
                <w:color w:val="000000"/>
              </w:rPr>
              <w:t>l 01 de julio de</w:t>
            </w:r>
            <w:r w:rsidRPr="007372DD">
              <w:rPr>
                <w:rFonts w:ascii="Verdana" w:eastAsia="Arial" w:hAnsi="Verdana" w:cs="Arial"/>
                <w:color w:val="000000"/>
              </w:rPr>
              <w:t xml:space="preserve"> 202</w:t>
            </w:r>
            <w:r>
              <w:rPr>
                <w:rFonts w:ascii="Verdana" w:eastAsia="Arial" w:hAnsi="Verdana" w:cs="Arial"/>
                <w:color w:val="000000"/>
              </w:rPr>
              <w:t>5</w:t>
            </w:r>
            <w:r w:rsidRPr="007372DD">
              <w:rPr>
                <w:rFonts w:ascii="Verdana" w:eastAsia="Arial" w:hAnsi="Verdana" w:cs="Arial"/>
                <w:color w:val="000000"/>
              </w:rPr>
              <w:t xml:space="preserve">, en los que se advierte que las entidades no pueden ampliar ni crear causales de exclusión que no estén expresamente consagradas por la ley. </w:t>
            </w:r>
          </w:p>
          <w:p w14:paraId="624D39CA" w14:textId="77777777" w:rsidR="00C44D59" w:rsidRPr="00E44CB7" w:rsidRDefault="00C44D59" w:rsidP="00CA748C">
            <w:pPr>
              <w:spacing w:after="120" w:line="276" w:lineRule="auto"/>
              <w:ind w:right="-58"/>
              <w:jc w:val="both"/>
              <w:rPr>
                <w:rFonts w:ascii="Verdana" w:eastAsia="Arial" w:hAnsi="Verdana" w:cs="Arial"/>
                <w:color w:val="000000"/>
              </w:rPr>
            </w:pPr>
            <w:r>
              <w:rPr>
                <w:rFonts w:ascii="Verdana" w:eastAsia="Arial" w:hAnsi="Verdana" w:cs="Arial"/>
                <w:color w:val="000000"/>
              </w:rPr>
              <w:t xml:space="preserve">        </w:t>
            </w:r>
            <w:r w:rsidRPr="00E44CB7">
              <w:rPr>
                <w:rFonts w:ascii="Verdana" w:eastAsia="Arial" w:hAnsi="Verdana" w:cs="Arial"/>
                <w:color w:val="000000"/>
              </w:rPr>
              <w:t>En ese sentido, corresponderá a los equipos jurídicos de las entidades estatales, en el marco de su competencia y con fundamento en las disposiciones legales y doctrinales citadas, verificar en cada caso concreto si la participación de un proponente configura una situación de inhabilidad, incompatibilidad o conflicto de intereses, motivando debidamente su decisión y garantizando los principios de transparencia, imparcialidad y libre concurrencia en los procesos de contratación.</w:t>
            </w:r>
          </w:p>
          <w:p w14:paraId="19F3762A" w14:textId="77777777" w:rsidR="00C44D59" w:rsidRPr="007372DD" w:rsidRDefault="00C44D59" w:rsidP="00E11A84">
            <w:pPr>
              <w:spacing w:line="276" w:lineRule="auto"/>
              <w:ind w:right="-58"/>
              <w:jc w:val="both"/>
              <w:rPr>
                <w:rFonts w:ascii="Verdana" w:eastAsia="Arial" w:hAnsi="Verdana" w:cs="Arial"/>
                <w:color w:val="000000"/>
              </w:rPr>
            </w:pPr>
            <w:r>
              <w:rPr>
                <w:rFonts w:ascii="Verdana" w:eastAsia="Arial" w:hAnsi="Verdana" w:cs="Arial"/>
                <w:color w:val="000000"/>
              </w:rPr>
              <w:t xml:space="preserve">         Así las cosas</w:t>
            </w:r>
            <w:r w:rsidRPr="00E44CB7">
              <w:rPr>
                <w:rFonts w:ascii="Verdana" w:eastAsia="Arial" w:hAnsi="Verdana" w:cs="Arial"/>
                <w:color w:val="000000"/>
              </w:rPr>
              <w:t>, las entidades estatales sí deben analizar cada caso concreto para asegurarse de que no se genere un conflicto de intereses real o material. Este podría presentarse, por ejemplo, si la empresa que ejecuta una obra pretendiera también intervenir como interventora o supervisora de esa misma obra o de un contrato directamente relacionado, lo que afectaría la independencia técnica exigida en este tipo de contratos.</w:t>
            </w:r>
          </w:p>
          <w:p w14:paraId="2C08EFFE" w14:textId="77777777" w:rsidR="00C44D59" w:rsidRPr="00C71956" w:rsidRDefault="00C44D59" w:rsidP="00E11A84">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DEBA8BB" w14:textId="77777777" w:rsidR="00C44D59" w:rsidRPr="00E529C2" w:rsidRDefault="00C44D59" w:rsidP="00E11A84">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w:t>
            </w:r>
            <w:r w:rsidRPr="00DB4737">
              <w:rPr>
                <w:rFonts w:ascii="Verdana" w:eastAsia="Calibri" w:hAnsi="Verdana" w:cs="Times New Roman"/>
                <w:lang w:val="es-ES"/>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2A85DC9" w14:textId="77777777" w:rsidR="00C44D59" w:rsidRDefault="00C44D59" w:rsidP="00C44D59">
      <w:pPr>
        <w:tabs>
          <w:tab w:val="left" w:pos="142"/>
          <w:tab w:val="left" w:pos="284"/>
        </w:tabs>
        <w:spacing w:after="0" w:line="276" w:lineRule="auto"/>
        <w:jc w:val="both"/>
        <w:rPr>
          <w:rFonts w:ascii="Verdana" w:eastAsia="Century Gothic" w:hAnsi="Verdana" w:cs="Century Gothic"/>
          <w:b/>
          <w:bCs/>
          <w:lang w:val="es-ES"/>
        </w:rPr>
      </w:pPr>
    </w:p>
    <w:p w14:paraId="4022DEB5" w14:textId="77777777" w:rsidR="00C44D59" w:rsidRDefault="00C44D59" w:rsidP="00C44D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4C694CE" w14:textId="77777777" w:rsidR="00C44D59"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476E84" w14:textId="3CFD501F" w:rsidR="00C44D59" w:rsidRPr="00C23CEB" w:rsidRDefault="00C44D59" w:rsidP="00CA748C">
      <w:pPr>
        <w:snapToGrid w:val="0"/>
        <w:spacing w:after="120" w:line="276" w:lineRule="auto"/>
        <w:jc w:val="both"/>
        <w:rPr>
          <w:rFonts w:ascii="Verdana" w:eastAsia="Calibri" w:hAnsi="Verdana" w:cs="Arial"/>
          <w:color w:val="000000" w:themeColor="text1"/>
          <w:lang w:val="es-ES"/>
        </w:rPr>
      </w:pPr>
      <w:bookmarkStart w:id="4" w:name="_Hlk99546562"/>
      <w:r>
        <w:rPr>
          <w:rFonts w:ascii="Verdana" w:eastAsia="Calibri" w:hAnsi="Verdana" w:cs="Arial"/>
          <w:color w:val="000000" w:themeColor="text1"/>
          <w:lang w:val="es-ES"/>
        </w:rPr>
        <w:t>L</w:t>
      </w:r>
      <w:r w:rsidRPr="0C384551">
        <w:rPr>
          <w:rFonts w:ascii="Verdana" w:eastAsia="Calibri" w:hAnsi="Verdana" w:cs="Arial"/>
          <w:color w:val="000000" w:themeColor="text1"/>
          <w:lang w:val="es-ES"/>
        </w:rPr>
        <w:t xml:space="preserve">a </w:t>
      </w:r>
      <w:r w:rsidRPr="0C384551">
        <w:rPr>
          <w:rFonts w:ascii="Verdana" w:eastAsia="Calibri" w:hAnsi="Verdana" w:cs="Arial"/>
          <w:i/>
          <w:color w:val="000000" w:themeColor="text1"/>
          <w:lang w:val="es-ES"/>
        </w:rPr>
        <w:t>capacidad</w:t>
      </w:r>
      <w:r w:rsidRPr="0C384551">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Pública</w:t>
      </w:r>
      <w:r w:rsidRPr="0C384551">
        <w:rPr>
          <w:rFonts w:ascii="Verdana" w:eastAsia="Calibri" w:hAnsi="Verdana" w:cs="Arial"/>
          <w:color w:val="000000" w:themeColor="text1"/>
          <w:vertAlign w:val="superscript"/>
          <w:lang w:val="es-ES"/>
        </w:rPr>
        <w:footnoteReference w:id="2"/>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y </w:t>
      </w:r>
      <w:r w:rsidRPr="0C384551">
        <w:rPr>
          <w:rFonts w:ascii="Verdana" w:eastAsia="Calibri" w:hAnsi="Verdana" w:cs="Arial"/>
          <w:color w:val="000000" w:themeColor="text1"/>
          <w:lang w:val="es-ES"/>
        </w:rPr>
        <w:t xml:space="preserve">en el de las entidades exceptuadas de </w:t>
      </w:r>
      <w:r>
        <w:rPr>
          <w:rFonts w:ascii="Verdana" w:eastAsia="Calibri" w:hAnsi="Verdana" w:cs="Arial"/>
          <w:color w:val="000000" w:themeColor="text1"/>
          <w:lang w:val="es-ES"/>
        </w:rPr>
        <w:t>este</w:t>
      </w:r>
      <w:r w:rsidRPr="0C384551">
        <w:rPr>
          <w:rFonts w:ascii="Verdana" w:eastAsia="Calibri" w:hAnsi="Verdana" w:cs="Arial"/>
          <w:color w:val="000000" w:themeColor="text1"/>
          <w:vertAlign w:val="superscript"/>
          <w:lang w:val="es-ES"/>
        </w:rPr>
        <w:footnoteReference w:id="3"/>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Varias disposiciones y exigencias especiales integran la regulación de la capacidad, como es el caso de</w:t>
      </w:r>
      <w:r w:rsidRPr="0C384551">
        <w:rPr>
          <w:rFonts w:ascii="Verdana" w:eastAsia="Calibri" w:hAnsi="Verdana" w:cs="Arial"/>
          <w:color w:val="000000" w:themeColor="text1"/>
          <w:lang w:val="es-ES"/>
        </w:rPr>
        <w:t>l requisito de inscribirse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en el Registro Único de Proponentes (RUP), establecido en el artículo 6 de la Ley 1150 de 2007, </w:t>
      </w:r>
      <w:r>
        <w:rPr>
          <w:rFonts w:ascii="Verdana" w:eastAsia="Calibri" w:hAnsi="Verdana" w:cs="Arial"/>
          <w:color w:val="000000" w:themeColor="text1"/>
          <w:lang w:val="es-ES"/>
        </w:rPr>
        <w:t xml:space="preserve">así como </w:t>
      </w:r>
      <w:r w:rsidRPr="0C384551">
        <w:rPr>
          <w:rFonts w:ascii="Verdana" w:eastAsia="Calibri" w:hAnsi="Verdana" w:cs="Arial"/>
          <w:color w:val="000000" w:themeColor="text1"/>
          <w:lang w:val="es-ES"/>
        </w:rPr>
        <w:t>el régimen de inhabilidades e incompatibilidades</w:t>
      </w:r>
      <w:r>
        <w:rPr>
          <w:rFonts w:ascii="Verdana" w:eastAsia="Calibri" w:hAnsi="Verdana" w:cs="Arial"/>
          <w:color w:val="000000" w:themeColor="text1"/>
          <w:lang w:val="es-ES"/>
        </w:rPr>
        <w:t xml:space="preserve">. Este último se refiere al </w:t>
      </w:r>
      <w:r w:rsidRPr="0C384551">
        <w:rPr>
          <w:rFonts w:ascii="Verdana" w:eastAsia="Calibri" w:hAnsi="Verdana" w:cs="Arial"/>
          <w:color w:val="000000" w:themeColor="text1"/>
          <w:lang w:val="es-ES"/>
        </w:rPr>
        <w:t xml:space="preserve">conjunto de enunciados normativos </w:t>
      </w:r>
      <w:r w:rsidRPr="0C384551">
        <w:rPr>
          <w:rFonts w:ascii="Verdana" w:eastAsia="Calibri" w:hAnsi="Verdana" w:cs="Arial"/>
          <w:color w:val="000000" w:themeColor="text1"/>
          <w:lang w:val="es-ES"/>
        </w:rPr>
        <w:lastRenderedPageBreak/>
        <w:t>que imponen restricciones para los sujetos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pretendan participar en los procedimientos de selección o celebrar contratos con las entidades estatales</w:t>
      </w:r>
      <w:r w:rsidRPr="0C384551">
        <w:rPr>
          <w:rFonts w:ascii="Verdana" w:eastAsia="Calibri" w:hAnsi="Verdana" w:cs="Arial"/>
          <w:color w:val="000000" w:themeColor="text1"/>
          <w:vertAlign w:val="superscript"/>
          <w:lang w:val="es-ES"/>
        </w:rPr>
        <w:footnoteReference w:id="4"/>
      </w:r>
      <w:r w:rsidRPr="0C384551">
        <w:rPr>
          <w:rFonts w:ascii="Verdana" w:eastAsia="Calibri" w:hAnsi="Verdana" w:cs="Arial"/>
          <w:color w:val="000000" w:themeColor="text1"/>
          <w:lang w:val="es-ES"/>
        </w:rPr>
        <w:t>.</w:t>
      </w:r>
    </w:p>
    <w:p w14:paraId="4C6782F6" w14:textId="77777777" w:rsidR="00C44D59" w:rsidRDefault="00C44D59" w:rsidP="00C44D59">
      <w:pPr>
        <w:spacing w:after="120" w:line="276" w:lineRule="auto"/>
        <w:ind w:firstLine="709"/>
        <w:jc w:val="both"/>
        <w:rPr>
          <w:rFonts w:ascii="Verdana" w:eastAsia="Arial MT" w:hAnsi="Verdana" w:cs="Arial"/>
          <w:lang w:eastAsia="es-ES" w:bidi="es-ES"/>
        </w:rPr>
      </w:pPr>
      <w:r w:rsidRPr="0C384551">
        <w:rPr>
          <w:rFonts w:ascii="Verdana" w:eastAsia="Calibri" w:hAnsi="Verdana" w:cs="Arial"/>
          <w:color w:val="000000" w:themeColor="text1"/>
          <w:lang w:val="es-ES"/>
        </w:rPr>
        <w:t xml:space="preserve">Las </w:t>
      </w:r>
      <w:r w:rsidRPr="00605F5B">
        <w:rPr>
          <w:rFonts w:ascii="Verdana" w:eastAsia="Calibri" w:hAnsi="Verdana" w:cs="Arial"/>
          <w:i/>
          <w:iCs/>
          <w:color w:val="000000" w:themeColor="text1"/>
          <w:lang w:val="es-ES"/>
        </w:rPr>
        <w:t>inhabilidades</w:t>
      </w:r>
      <w:r w:rsidRPr="0C384551">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C384551">
        <w:rPr>
          <w:rFonts w:ascii="Verdana" w:eastAsia="Calibri" w:hAnsi="Verdana" w:cs="Arial"/>
          <w:color w:val="000000" w:themeColor="text1"/>
          <w:lang w:val="es-ES"/>
        </w:rPr>
        <w:t>ii</w:t>
      </w:r>
      <w:proofErr w:type="spellEnd"/>
      <w:r w:rsidRPr="0C384551">
        <w:rPr>
          <w:rFonts w:ascii="Verdana" w:eastAsia="Calibri" w:hAnsi="Verdana" w:cs="Arial"/>
          <w:color w:val="000000" w:themeColor="text1"/>
          <w:lang w:val="es-ES"/>
        </w:rPr>
        <w:t>) de vínculos personales relativos al parentesco o al estado civil</w:t>
      </w:r>
      <w:r>
        <w:rPr>
          <w:rFonts w:ascii="Verdana" w:eastAsia="Calibri" w:hAnsi="Verdana" w:cs="Arial"/>
          <w:color w:val="000000" w:themeColor="text1"/>
          <w:lang w:val="es-ES"/>
        </w:rPr>
        <w:t>,</w:t>
      </w:r>
      <w:r w:rsidRPr="0C384551">
        <w:rPr>
          <w:rFonts w:ascii="Verdana" w:eastAsia="Calibri" w:hAnsi="Verdana" w:cs="Arial"/>
          <w:color w:val="000000" w:themeColor="text1"/>
          <w:lang w:val="es-ES"/>
        </w:rPr>
        <w:t xml:space="preserve"> o </w:t>
      </w:r>
      <w:proofErr w:type="spellStart"/>
      <w:r w:rsidRPr="0C384551">
        <w:rPr>
          <w:rFonts w:ascii="Verdana" w:eastAsia="Calibri" w:hAnsi="Verdana" w:cs="Arial"/>
          <w:color w:val="000000" w:themeColor="text1"/>
          <w:lang w:val="es-ES"/>
        </w:rPr>
        <w:t>iii</w:t>
      </w:r>
      <w:proofErr w:type="spellEnd"/>
      <w:r w:rsidRPr="0C384551">
        <w:rPr>
          <w:rFonts w:ascii="Verdana" w:eastAsia="Calibri" w:hAnsi="Verdana" w:cs="Arial"/>
          <w:color w:val="000000" w:themeColor="text1"/>
          <w:lang w:val="es-ES"/>
        </w:rPr>
        <w:t xml:space="preserve">) de una actividad u oficio que se desempeñó en el pasado. De otro lado, las </w:t>
      </w:r>
      <w:r w:rsidRPr="00605F5B">
        <w:rPr>
          <w:rFonts w:ascii="Verdana" w:eastAsia="Calibri" w:hAnsi="Verdana" w:cs="Arial"/>
          <w:i/>
          <w:iCs/>
          <w:color w:val="000000" w:themeColor="text1"/>
          <w:lang w:val="es-ES"/>
        </w:rPr>
        <w:t xml:space="preserve">incompatibilidades </w:t>
      </w:r>
      <w:r w:rsidRPr="0C384551">
        <w:rPr>
          <w:rFonts w:ascii="Verdana" w:eastAsia="Calibri" w:hAnsi="Verdana" w:cs="Arial"/>
          <w:color w:val="000000" w:themeColor="text1"/>
          <w:lang w:val="es-ES"/>
        </w:rPr>
        <w:t>son prohibiciones para participar en los procedimientos de selección y para celebrar contratos estatales, fundadas en</w:t>
      </w:r>
      <w:r>
        <w:rPr>
          <w:rFonts w:ascii="Verdana" w:eastAsia="Calibri" w:hAnsi="Verdana" w:cs="Arial"/>
          <w:color w:val="000000" w:themeColor="text1"/>
          <w:lang w:val="es-ES"/>
        </w:rPr>
        <w:t xml:space="preserve"> que </w:t>
      </w:r>
      <w:r w:rsidRPr="0C384551">
        <w:rPr>
          <w:rFonts w:ascii="Verdana" w:eastAsia="Calibri" w:hAnsi="Verdana" w:cs="Arial"/>
          <w:color w:val="000000" w:themeColor="text1"/>
          <w:lang w:val="es-ES"/>
        </w:rPr>
        <w:t xml:space="preserve">el sujeto interesado </w:t>
      </w:r>
      <w:r>
        <w:rPr>
          <w:rFonts w:ascii="Verdana" w:eastAsia="Calibri" w:hAnsi="Verdana" w:cs="Arial"/>
          <w:color w:val="000000" w:themeColor="text1"/>
          <w:lang w:val="es-ES"/>
        </w:rPr>
        <w:t xml:space="preserve">ostenta </w:t>
      </w:r>
      <w:r w:rsidRPr="0C384551">
        <w:rPr>
          <w:rFonts w:ascii="Verdana" w:eastAsia="Calibri" w:hAnsi="Verdana" w:cs="Arial"/>
          <w:color w:val="000000" w:themeColor="text1"/>
          <w:lang w:val="es-ES"/>
        </w:rPr>
        <w:t xml:space="preserve">una calidad que no puede coexistir con </w:t>
      </w:r>
      <w:r>
        <w:rPr>
          <w:rFonts w:ascii="Verdana" w:eastAsia="Calibri" w:hAnsi="Verdana" w:cs="Arial"/>
          <w:color w:val="000000" w:themeColor="text1"/>
          <w:lang w:val="es-ES"/>
        </w:rPr>
        <w:t xml:space="preserve">el carácter de </w:t>
      </w:r>
      <w:r w:rsidRPr="0C384551">
        <w:rPr>
          <w:rFonts w:ascii="Verdana" w:eastAsia="Calibri" w:hAnsi="Verdana" w:cs="Arial"/>
          <w:color w:val="000000" w:themeColor="text1"/>
          <w:lang w:val="es-ES"/>
        </w:rPr>
        <w:t>proponente o contratista del Estado.</w:t>
      </w:r>
      <w:r>
        <w:rPr>
          <w:rFonts w:ascii="Verdana" w:eastAsia="Calibri" w:hAnsi="Verdana" w:cs="Arial"/>
          <w:color w:val="000000" w:themeColor="text1"/>
          <w:lang w:val="es-ES"/>
        </w:rPr>
        <w:t xml:space="preserve"> </w:t>
      </w:r>
      <w:r w:rsidRPr="00C23CEB">
        <w:rPr>
          <w:rFonts w:ascii="Verdana" w:eastAsia="Arial MT" w:hAnsi="Verdana" w:cs="Arial"/>
          <w:lang w:eastAsia="es-ES" w:bidi="es-ES"/>
        </w:rPr>
        <w:t xml:space="preserve">Por su parte, las situaciones de </w:t>
      </w:r>
      <w:r w:rsidRPr="0093191F">
        <w:rPr>
          <w:rFonts w:ascii="Verdana" w:eastAsia="Arial MT" w:hAnsi="Verdana" w:cs="Arial"/>
          <w:i/>
          <w:iCs/>
          <w:lang w:eastAsia="es-ES" w:bidi="es-ES"/>
        </w:rPr>
        <w:t>conflicto de interés</w:t>
      </w:r>
      <w:r w:rsidRPr="00C23CEB">
        <w:rPr>
          <w:rFonts w:ascii="Verdana" w:eastAsia="Arial MT" w:hAnsi="Verdana" w:cs="Arial"/>
          <w:lang w:eastAsia="es-ES" w:bidi="es-ES"/>
        </w:rPr>
        <w:t xml:space="preserve"> suelen expresarse en prohibiciones, similar a lo que ocurre con las inhabilidades e incompatibilidades</w:t>
      </w:r>
      <w:r>
        <w:rPr>
          <w:rFonts w:ascii="Verdana" w:eastAsia="Arial MT" w:hAnsi="Verdana" w:cs="Arial"/>
          <w:lang w:eastAsia="es-ES" w:bidi="es-ES"/>
        </w:rPr>
        <w:t>. Estas se encuentran establecidas</w:t>
      </w:r>
      <w:r w:rsidRPr="00C23CEB">
        <w:rPr>
          <w:rFonts w:ascii="Verdana" w:eastAsia="Arial MT" w:hAnsi="Verdana" w:cs="Arial"/>
          <w:lang w:eastAsia="es-ES" w:bidi="es-ES"/>
        </w:rPr>
        <w:t xml:space="preserve"> en el pliego de condiciones y en la minuta del contrato</w:t>
      </w:r>
      <w:r>
        <w:rPr>
          <w:rFonts w:ascii="Verdana" w:eastAsia="Arial MT" w:hAnsi="Verdana" w:cs="Arial"/>
          <w:lang w:eastAsia="es-ES" w:bidi="es-ES"/>
        </w:rPr>
        <w:t>.</w:t>
      </w:r>
      <w:r w:rsidRPr="00C23CEB">
        <w:rPr>
          <w:rFonts w:ascii="Verdana" w:eastAsia="Arial MT" w:hAnsi="Verdana" w:cs="Arial"/>
          <w:lang w:eastAsia="es-ES" w:bidi="es-ES"/>
        </w:rPr>
        <w:t xml:space="preserve"> </w:t>
      </w:r>
    </w:p>
    <w:p w14:paraId="3A17FC5F" w14:textId="77777777" w:rsidR="00C44D59" w:rsidRPr="0093191F" w:rsidRDefault="00C44D59" w:rsidP="00C44D59">
      <w:pPr>
        <w:spacing w:after="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La consagración de todas estas causales debe ser </w:t>
      </w:r>
      <w:r w:rsidRPr="00C23CEB">
        <w:rPr>
          <w:rFonts w:ascii="Verdana" w:eastAsia="Arial MT" w:hAnsi="Verdana" w:cs="Arial"/>
          <w:lang w:eastAsia="es-ES" w:bidi="es-ES"/>
        </w:rPr>
        <w:t>expresa y su interpretación restrictiva</w:t>
      </w:r>
      <w:r>
        <w:rPr>
          <w:rFonts w:ascii="Verdana" w:eastAsia="Arial MT" w:hAnsi="Verdana" w:cs="Arial"/>
          <w:lang w:eastAsia="es-ES" w:bidi="es-ES"/>
        </w:rPr>
        <w:t>.</w:t>
      </w:r>
      <w:r w:rsidRPr="00C23CEB">
        <w:rPr>
          <w:rFonts w:ascii="Verdana" w:eastAsia="Arial MT" w:hAnsi="Verdana" w:cs="Arial"/>
          <w:lang w:eastAsia="es-ES" w:bidi="es-ES"/>
        </w:rPr>
        <w:t xml:space="preserve"> </w:t>
      </w:r>
      <w:r>
        <w:rPr>
          <w:rFonts w:ascii="Verdana" w:eastAsia="Arial MT" w:hAnsi="Verdana" w:cs="Arial"/>
          <w:lang w:eastAsia="es-ES" w:bidi="es-ES"/>
        </w:rPr>
        <w:t>E</w:t>
      </w:r>
      <w:r w:rsidRPr="00C23CEB">
        <w:rPr>
          <w:rFonts w:ascii="Verdana" w:eastAsia="Arial MT" w:hAnsi="Verdana" w:cs="Arial"/>
          <w:lang w:eastAsia="es-ES" w:bidi="es-ES"/>
        </w:rPr>
        <w:t>n el caso de las inhabilidades e incompatibilidades</w:t>
      </w:r>
      <w:r>
        <w:rPr>
          <w:rFonts w:ascii="Verdana" w:eastAsia="Arial MT" w:hAnsi="Verdana" w:cs="Arial"/>
          <w:lang w:eastAsia="es-ES" w:bidi="es-ES"/>
        </w:rPr>
        <w:t xml:space="preserve">, su </w:t>
      </w:r>
      <w:r w:rsidRPr="00C23CEB">
        <w:rPr>
          <w:rFonts w:ascii="Verdana" w:eastAsia="Arial MT" w:hAnsi="Verdana" w:cs="Arial"/>
          <w:lang w:eastAsia="es-ES" w:bidi="es-ES"/>
        </w:rPr>
        <w:t xml:space="preserve">aplicación siempre debe estar ajustada a los 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en el caso de los conflictos de interés, la aplicación debe sujetarse a los presupuestos que señale la entidad contratante en los documentos referidos. De cualquier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hAnsi="Verdana" w:cs="Arial"/>
        </w:rPr>
        <w:t xml:space="preserve"> </w:t>
      </w:r>
    </w:p>
    <w:p w14:paraId="45399CA8"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El régimen de inhabilidades e incompatibilidades en la contratación pública responde a la tendencia</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de asegurar que la actividad de provisión de los bienes y servicios por parte de las entidades estatales se efectúe cumpliendo con los principios de la función administrativa y de la gestión fiscal, especialmente con probidad y transparencia. Es por ello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las inhabilidades e incompatibilidades se han convertido en herramientas en la lucha contra la corrupción, adoptando paulatinamente un cariz sancionatorio o “</w:t>
      </w:r>
      <w:proofErr w:type="spellStart"/>
      <w:r w:rsidRPr="0C384551">
        <w:rPr>
          <w:rFonts w:ascii="Verdana" w:eastAsia="Calibri" w:hAnsi="Verdana" w:cs="Arial"/>
          <w:color w:val="000000" w:themeColor="text1"/>
          <w:lang w:val="es-ES"/>
        </w:rPr>
        <w:t>neopunitivo</w:t>
      </w:r>
      <w:proofErr w:type="spellEnd"/>
      <w:r w:rsidRPr="0C384551">
        <w:rPr>
          <w:rFonts w:ascii="Verdana" w:eastAsia="Calibri" w:hAnsi="Verdana" w:cs="Arial"/>
          <w:color w:val="000000" w:themeColor="text1"/>
          <w:lang w:val="es-ES"/>
        </w:rPr>
        <w:t>”</w:t>
      </w:r>
      <w:r w:rsidRPr="0C384551">
        <w:rPr>
          <w:rFonts w:ascii="Verdana" w:eastAsia="Calibri" w:hAnsi="Verdana" w:cs="Arial"/>
          <w:color w:val="000000" w:themeColor="text1"/>
          <w:vertAlign w:val="superscript"/>
          <w:lang w:val="es-ES"/>
        </w:rPr>
        <w:footnoteReference w:id="5"/>
      </w:r>
      <w:r w:rsidRPr="0C384551">
        <w:rPr>
          <w:rFonts w:ascii="Verdana" w:eastAsia="Calibri" w:hAnsi="Verdana" w:cs="Arial"/>
          <w:color w:val="000000" w:themeColor="text1"/>
          <w:lang w:val="es-ES"/>
        </w:rPr>
        <w:t xml:space="preserve">. Si bien no todas las causales de inhabilidad y de incompatibilidad son consecuencia de una medida de reproche ni de una sanción previa, como ya se explicó, es indiscutible que en </w:t>
      </w:r>
      <w:r w:rsidRPr="0C384551">
        <w:rPr>
          <w:rFonts w:ascii="Verdana" w:eastAsia="Calibri" w:hAnsi="Verdana" w:cs="Arial"/>
          <w:color w:val="000000" w:themeColor="text1"/>
          <w:lang w:val="es-ES"/>
        </w:rPr>
        <w:lastRenderedPageBreak/>
        <w:t>los años más recientes los hechos de corrupción han generado, como respuesta del legislador, un incremento de las restricciones a la capacidad contractual, dirigidas a prevenir este tipo de situaciones o a sancionar tales conductas.</w:t>
      </w:r>
    </w:p>
    <w:p w14:paraId="4E3BB232"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Ahora bien, las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Pr>
          <w:rFonts w:ascii="Verdana" w:eastAsia="Calibri" w:hAnsi="Verdana" w:cs="Arial"/>
          <w:color w:val="000000" w:themeColor="text1"/>
          <w:lang w:val="es-ES_tradnl"/>
        </w:rPr>
        <w:t>. En consecuencia,</w:t>
      </w:r>
      <w:r w:rsidRPr="00C23CEB">
        <w:rPr>
          <w:rFonts w:ascii="Verdana" w:eastAsia="Calibri" w:hAnsi="Verdana" w:cs="Arial"/>
          <w:color w:val="000000" w:themeColor="text1"/>
          <w:lang w:val="es-ES_tradnl"/>
        </w:rPr>
        <w:t xml:space="preserve"> solo pueden tipificarse en la ley –o sea, deben satisfacer el principio de legalidad–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vertAlign w:val="superscript"/>
          <w:lang w:val="es-ES_tradnl"/>
        </w:rPr>
        <w:footnoteReference w:id="6"/>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t xml:space="preserve">los </w:t>
      </w:r>
      <w:r w:rsidRPr="00C23CEB">
        <w:rPr>
          <w:rFonts w:ascii="Verdana" w:eastAsia="Calibri" w:hAnsi="Verdana" w:cs="Arial"/>
          <w:color w:val="000000" w:themeColor="text1"/>
          <w:lang w:val="es-ES_tradnl"/>
        </w:rPr>
        <w:t xml:space="preserve">enunciados normativos podrían contemplar múltiples supuestos indeterminados, según el parecer o el sentido común de los operadores jurídicos, poniendo en riesgo principios como la igualdad, el debido proceso, la libre concurrencia y el ejercicio de la profesión u oficio. </w:t>
      </w:r>
      <w:r>
        <w:rPr>
          <w:rFonts w:ascii="Verdana" w:eastAsia="Calibri" w:hAnsi="Verdana" w:cs="Arial"/>
          <w:color w:val="000000" w:themeColor="text1"/>
          <w:lang w:val="es-ES_tradnl"/>
        </w:rPr>
        <w:t xml:space="preserve">Esta </w:t>
      </w:r>
      <w:r w:rsidRPr="00C23CEB">
        <w:rPr>
          <w:rFonts w:ascii="Verdana" w:eastAsia="Calibri" w:hAnsi="Verdana" w:cs="Arial"/>
          <w:color w:val="000000" w:themeColor="text1"/>
          <w:lang w:val="es-ES_tradnl"/>
        </w:rPr>
        <w:t xml:space="preserve">ha sido la postura al interior de la jurisprudencia, tanto de la Corte Constitucional como de la Sección Tercera del Consejo de Estado. </w:t>
      </w:r>
    </w:p>
    <w:p w14:paraId="633007D8" w14:textId="77777777" w:rsidR="00C44D59" w:rsidRPr="00C23CEB" w:rsidRDefault="00C44D59" w:rsidP="00C44D59">
      <w:pPr>
        <w:spacing w:after="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23CEB">
        <w:rPr>
          <w:rFonts w:ascii="Verdana" w:eastAsia="Calibri" w:hAnsi="Verdana" w:cs="Arial"/>
          <w:color w:val="000000" w:themeColor="text1"/>
          <w:vertAlign w:val="superscript"/>
          <w:lang w:val="es-ES_tradnl"/>
        </w:rPr>
        <w:footnoteReference w:id="7"/>
      </w:r>
      <w:r w:rsidRPr="00C23CEB">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w:t>
      </w:r>
      <w:r>
        <w:rPr>
          <w:rFonts w:ascii="Verdana" w:eastAsia="Calibri" w:hAnsi="Verdana" w:cs="Arial"/>
          <w:color w:val="000000" w:themeColor="text1"/>
          <w:lang w:val="es-ES_tradnl"/>
        </w:rPr>
        <w:t>,</w:t>
      </w:r>
      <w:r w:rsidRPr="00C23CEB">
        <w:rPr>
          <w:rFonts w:ascii="Verdana" w:eastAsia="Calibri" w:hAnsi="Verdana" w:cs="Arial"/>
          <w:color w:val="000000" w:themeColor="text1"/>
          <w:lang w:val="es-ES_tradnl"/>
        </w:rPr>
        <w:t xml:space="preserve"> lo que se traduce en que pueden hacer todo aquello que no les esté expresamente prohibido”</w:t>
      </w:r>
      <w:r w:rsidRPr="00C23CEB">
        <w:rPr>
          <w:rFonts w:ascii="Verdana" w:eastAsia="Calibri" w:hAnsi="Verdana" w:cs="Arial"/>
          <w:color w:val="000000" w:themeColor="text1"/>
          <w:vertAlign w:val="superscript"/>
          <w:lang w:val="es-ES_tradnl"/>
        </w:rPr>
        <w:footnoteReference w:id="8"/>
      </w:r>
      <w:r w:rsidRPr="00C23CEB">
        <w:rPr>
          <w:rFonts w:ascii="Verdana" w:eastAsia="Calibri" w:hAnsi="Verdana" w:cs="Arial"/>
          <w:color w:val="000000" w:themeColor="text1"/>
          <w:lang w:val="es-ES_tradnl"/>
        </w:rPr>
        <w:t>. En tal sentido, la Sección Tercera ha señalado que:</w:t>
      </w:r>
    </w:p>
    <w:p w14:paraId="44A9E7F3" w14:textId="77777777" w:rsidR="00C44D59" w:rsidRPr="00C23CEB" w:rsidRDefault="00C44D59" w:rsidP="00C44D59">
      <w:pPr>
        <w:spacing w:after="0" w:line="276" w:lineRule="auto"/>
        <w:ind w:firstLine="709"/>
        <w:jc w:val="both"/>
        <w:rPr>
          <w:rFonts w:ascii="Verdana" w:eastAsia="Calibri" w:hAnsi="Verdana" w:cs="Arial"/>
          <w:color w:val="000000" w:themeColor="text1"/>
          <w:lang w:val="es-ES_tradnl"/>
        </w:rPr>
      </w:pPr>
    </w:p>
    <w:p w14:paraId="45342021" w14:textId="77777777" w:rsidR="00C44D59" w:rsidRPr="00C23CEB" w:rsidRDefault="00C44D59" w:rsidP="00C44D59">
      <w:pPr>
        <w:spacing w:after="0" w:line="240" w:lineRule="auto"/>
        <w:ind w:left="709" w:right="709"/>
        <w:jc w:val="both"/>
        <w:rPr>
          <w:rFonts w:ascii="Verdana" w:hAnsi="Verdana" w:cs="Arial"/>
          <w:color w:val="000000" w:themeColor="text1"/>
          <w:sz w:val="20"/>
          <w:szCs w:val="20"/>
          <w:lang w:val="es-ES_tradnl"/>
        </w:rPr>
      </w:pPr>
      <w:r w:rsidRPr="00C23CEB">
        <w:rPr>
          <w:rFonts w:ascii="Verdana" w:hAnsi="Verdana" w:cs="Arial"/>
          <w:color w:val="000000" w:themeColor="text1"/>
          <w:sz w:val="20"/>
          <w:szCs w:val="20"/>
          <w:lang w:val="es-ES_tradnl"/>
        </w:rPr>
        <w:t xml:space="preserve">“[…] de conformidad con la jurisprudencia uniforme y reiterada de esta Corporación, la aplicación de las normas que contemplan inhabilidades e incompatibilidades, como en general de todas aquellas que comportan </w:t>
      </w:r>
      <w:r w:rsidRPr="00C23CEB">
        <w:rPr>
          <w:rFonts w:ascii="Verdana" w:hAnsi="Verdana" w:cs="Arial"/>
          <w:color w:val="000000" w:themeColor="text1"/>
          <w:sz w:val="20"/>
          <w:szCs w:val="20"/>
          <w:lang w:val="es-ES_tradnl"/>
        </w:rPr>
        <w:lastRenderedPageBreak/>
        <w:t>prohibiciones o limitaciones, deben responder a una interpretación restrictiva que no permite su extensión, por vía de la figura de la analogía, a supuestos no contemplados por el ordenamiento”</w:t>
      </w:r>
      <w:r w:rsidRPr="00C23CEB">
        <w:rPr>
          <w:rFonts w:ascii="Verdana" w:hAnsi="Verdana" w:cs="Arial"/>
          <w:color w:val="000000" w:themeColor="text1"/>
          <w:sz w:val="20"/>
          <w:szCs w:val="20"/>
          <w:vertAlign w:val="superscript"/>
          <w:lang w:val="es-ES_tradnl"/>
        </w:rPr>
        <w:footnoteReference w:id="9"/>
      </w:r>
      <w:r w:rsidRPr="00C23CEB">
        <w:rPr>
          <w:rFonts w:ascii="Verdana" w:hAnsi="Verdana" w:cs="Arial"/>
          <w:color w:val="000000" w:themeColor="text1"/>
          <w:sz w:val="20"/>
          <w:szCs w:val="20"/>
          <w:lang w:val="es-ES_tradnl"/>
        </w:rPr>
        <w:t>.</w:t>
      </w:r>
    </w:p>
    <w:p w14:paraId="7BC17D6F" w14:textId="77777777" w:rsidR="00C44D59" w:rsidRPr="00C23CEB" w:rsidRDefault="00C44D59" w:rsidP="00C44D59">
      <w:pPr>
        <w:spacing w:after="0" w:line="240" w:lineRule="auto"/>
        <w:ind w:left="709" w:right="709"/>
        <w:jc w:val="both"/>
        <w:rPr>
          <w:rFonts w:ascii="Verdana" w:hAnsi="Verdana" w:cs="Arial"/>
          <w:bCs/>
          <w:color w:val="000000" w:themeColor="text1"/>
          <w:sz w:val="20"/>
          <w:szCs w:val="20"/>
          <w:lang w:val="es-ES_tradnl"/>
        </w:rPr>
      </w:pPr>
    </w:p>
    <w:p w14:paraId="48F5F74C" w14:textId="77777777" w:rsidR="00C44D59" w:rsidRPr="002B401F" w:rsidRDefault="00C44D59" w:rsidP="00C44D59">
      <w:pPr>
        <w:spacing w:after="0" w:line="240" w:lineRule="auto"/>
        <w:ind w:firstLine="709"/>
        <w:jc w:val="both"/>
        <w:rPr>
          <w:rFonts w:ascii="Verdana" w:eastAsia="Calibri" w:hAnsi="Verdana" w:cs="Arial"/>
          <w:color w:val="000000" w:themeColor="text1"/>
          <w:lang w:val="es-ES"/>
        </w:rPr>
      </w:pPr>
      <w:r w:rsidRPr="002B401F">
        <w:rPr>
          <w:rFonts w:ascii="Verdana" w:eastAsia="Calibri" w:hAnsi="Verdana" w:cs="Arial"/>
          <w:color w:val="000000" w:themeColor="text1"/>
          <w:lang w:val="es-ES"/>
        </w:rPr>
        <w:t>También ha dicho que:</w:t>
      </w:r>
    </w:p>
    <w:p w14:paraId="1F1CEEB6" w14:textId="77777777" w:rsidR="00C44D59" w:rsidRPr="00C23CEB" w:rsidRDefault="00C44D59" w:rsidP="00C44D59">
      <w:pPr>
        <w:spacing w:after="0" w:line="240" w:lineRule="auto"/>
        <w:jc w:val="both"/>
        <w:rPr>
          <w:rFonts w:ascii="Verdana" w:eastAsia="Calibri" w:hAnsi="Verdana" w:cs="Arial"/>
          <w:color w:val="000000" w:themeColor="text1"/>
          <w:sz w:val="20"/>
          <w:szCs w:val="20"/>
          <w:lang w:val="es-ES_tradnl"/>
        </w:rPr>
      </w:pPr>
    </w:p>
    <w:p w14:paraId="33FE7643" w14:textId="77777777" w:rsidR="00C44D59" w:rsidRPr="00C23CEB" w:rsidRDefault="00C44D59" w:rsidP="00C44D59">
      <w:pPr>
        <w:spacing w:after="0" w:line="240" w:lineRule="auto"/>
        <w:ind w:left="709" w:right="709"/>
        <w:jc w:val="both"/>
        <w:rPr>
          <w:rFonts w:ascii="Verdana" w:hAnsi="Verdana" w:cs="Arial"/>
          <w:color w:val="000000" w:themeColor="text1"/>
          <w:sz w:val="20"/>
          <w:szCs w:val="20"/>
          <w:lang w:val="es-ES"/>
        </w:rPr>
      </w:pPr>
      <w:r w:rsidRPr="0C38455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C384551">
        <w:rPr>
          <w:rFonts w:ascii="Verdana" w:hAnsi="Verdana" w:cs="Arial"/>
          <w:i/>
          <w:color w:val="000000" w:themeColor="text1"/>
          <w:sz w:val="20"/>
          <w:szCs w:val="20"/>
          <w:lang w:val="es-ES"/>
        </w:rPr>
        <w:t xml:space="preserve">pro </w:t>
      </w:r>
      <w:proofErr w:type="spellStart"/>
      <w:r w:rsidRPr="0C384551">
        <w:rPr>
          <w:rFonts w:ascii="Verdana" w:hAnsi="Verdana" w:cs="Arial"/>
          <w:i/>
          <w:color w:val="000000" w:themeColor="text1"/>
          <w:sz w:val="20"/>
          <w:szCs w:val="20"/>
          <w:lang w:val="es-ES"/>
        </w:rPr>
        <w:t>libertate</w:t>
      </w:r>
      <w:proofErr w:type="spellEnd"/>
      <w:r w:rsidRPr="0C384551">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C384551">
        <w:rPr>
          <w:rFonts w:ascii="Verdana" w:hAnsi="Verdana" w:cs="Arial"/>
          <w:color w:val="000000" w:themeColor="text1"/>
          <w:sz w:val="20"/>
          <w:szCs w:val="20"/>
          <w:vertAlign w:val="superscript"/>
          <w:lang w:val="es-ES"/>
        </w:rPr>
        <w:footnoteReference w:id="10"/>
      </w:r>
      <w:r w:rsidRPr="0C384551">
        <w:rPr>
          <w:rFonts w:ascii="Verdana" w:hAnsi="Verdana" w:cs="Arial"/>
          <w:color w:val="000000" w:themeColor="text1"/>
          <w:sz w:val="20"/>
          <w:szCs w:val="20"/>
          <w:lang w:val="es-ES"/>
        </w:rPr>
        <w:t>.</w:t>
      </w:r>
    </w:p>
    <w:p w14:paraId="440BC061" w14:textId="77777777" w:rsidR="00C44D59" w:rsidRPr="00C23CEB" w:rsidRDefault="00C44D59" w:rsidP="00C44D59">
      <w:pPr>
        <w:spacing w:after="0" w:line="276" w:lineRule="auto"/>
        <w:ind w:left="709" w:right="709"/>
        <w:jc w:val="both"/>
        <w:rPr>
          <w:rFonts w:ascii="Verdana" w:hAnsi="Verdana" w:cs="Arial"/>
          <w:color w:val="000000" w:themeColor="text1"/>
          <w:lang w:val="es-ES_tradnl"/>
        </w:rPr>
      </w:pPr>
    </w:p>
    <w:p w14:paraId="11E0337D"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61240B9D"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_tradnl"/>
        </w:rPr>
      </w:pPr>
      <w:r w:rsidRPr="00C23CEB">
        <w:rPr>
          <w:rFonts w:ascii="Verdana" w:hAnsi="Verdana"/>
        </w:rPr>
        <w:t>Entre las inhabilidades e incompatibilidades para contratar con el Estado se encuentra la prevista en el artículo 5 de la Ley 1474 de 2011, que impide celebrar contratos de interventoría a quienes hayan celebrado con la misma entidad contratos de obra pública, de concesión, suministro de medicamentos y de alimentos. Esta prohibición se extiende al cónyuge, compañero o compañera permanente, pariente hasta el segundo grado de consanguinidad, segundo de afinidad y/o primero civil o sus socios en sociedades distintas de las anónimas</w:t>
      </w:r>
      <w:r w:rsidRPr="00C23CEB">
        <w:rPr>
          <w:rFonts w:ascii="Verdana" w:hAnsi="Verdana"/>
          <w:spacing w:val="-12"/>
        </w:rPr>
        <w:t xml:space="preserve"> </w:t>
      </w:r>
      <w:r w:rsidRPr="00C23CEB">
        <w:rPr>
          <w:rFonts w:ascii="Verdana" w:hAnsi="Verdana"/>
        </w:rPr>
        <w:t>abiertas</w:t>
      </w:r>
      <w:r w:rsidRPr="00C23CEB">
        <w:rPr>
          <w:rFonts w:ascii="Verdana" w:hAnsi="Verdana"/>
          <w:vertAlign w:val="superscript"/>
        </w:rPr>
        <w:footnoteReference w:id="11"/>
      </w:r>
      <w:r w:rsidRPr="00C23CEB">
        <w:rPr>
          <w:rFonts w:ascii="Verdana" w:hAnsi="Verdana"/>
        </w:rPr>
        <w:t>.</w:t>
      </w:r>
    </w:p>
    <w:p w14:paraId="3EDE71A2" w14:textId="77777777" w:rsidR="00C44D59" w:rsidRPr="00C23CEB" w:rsidRDefault="00C44D59" w:rsidP="00C44D59">
      <w:pPr>
        <w:widowControl w:val="0"/>
        <w:autoSpaceDE w:val="0"/>
        <w:autoSpaceDN w:val="0"/>
        <w:spacing w:after="120" w:line="276" w:lineRule="auto"/>
        <w:ind w:firstLine="709"/>
        <w:jc w:val="both"/>
        <w:rPr>
          <w:rFonts w:ascii="Verdana" w:hAnsi="Verdana"/>
        </w:rPr>
      </w:pPr>
      <w:r w:rsidRPr="00C23CEB">
        <w:rPr>
          <w:rFonts w:ascii="Verdana" w:hAnsi="Verdana"/>
        </w:rPr>
        <w:t xml:space="preserve">De conformidad con lo anterior, no podrá celebrar contratos de interventoría la persona –natural o jurídica–, consorcio o unión temporal que durante la presentación de ofertas conserve una relación contractual sin liquidar </w:t>
      </w:r>
      <w:r w:rsidRPr="00C23CEB">
        <w:rPr>
          <w:rFonts w:ascii="Verdana" w:hAnsi="Verdana"/>
        </w:rPr>
        <w:lastRenderedPageBreak/>
        <w:t>con la misma entidad</w:t>
      </w:r>
      <w:r w:rsidRPr="00C23CEB">
        <w:rPr>
          <w:rFonts w:ascii="Verdana" w:hAnsi="Verdana"/>
          <w:vertAlign w:val="superscript"/>
        </w:rPr>
        <w:footnoteReference w:id="12"/>
      </w:r>
      <w:r w:rsidRPr="00C23CEB">
        <w:rPr>
          <w:rFonts w:ascii="Verdana" w:hAnsi="Verdana"/>
        </w:rPr>
        <w:t>.</w:t>
      </w:r>
    </w:p>
    <w:p w14:paraId="76BA2765" w14:textId="77777777" w:rsidR="00C44D59" w:rsidRPr="00C23CEB" w:rsidRDefault="00C44D59" w:rsidP="00C44D59">
      <w:pPr>
        <w:widowControl w:val="0"/>
        <w:autoSpaceDE w:val="0"/>
        <w:autoSpaceDN w:val="0"/>
        <w:spacing w:after="0" w:line="276" w:lineRule="auto"/>
        <w:ind w:firstLine="709"/>
        <w:jc w:val="both"/>
        <w:rPr>
          <w:rFonts w:ascii="Verdana" w:eastAsia="Arial" w:hAnsi="Verdana" w:cs="Arial"/>
          <w:lang w:val="es-ES"/>
        </w:rPr>
      </w:pPr>
      <w:r>
        <w:rPr>
          <w:rFonts w:ascii="Verdana" w:hAnsi="Verdana"/>
        </w:rPr>
        <w:t>A</w:t>
      </w:r>
      <w:r w:rsidRPr="00C23CEB">
        <w:rPr>
          <w:rFonts w:ascii="Verdana" w:hAnsi="Verdana"/>
        </w:rPr>
        <w:t xml:space="preserve">l estudiar la constitucionalidad de esta norma, </w:t>
      </w:r>
      <w:r>
        <w:rPr>
          <w:rFonts w:ascii="Verdana" w:hAnsi="Verdana"/>
        </w:rPr>
        <w:t xml:space="preserve">la Corte </w:t>
      </w:r>
      <w:r w:rsidRPr="00C23CEB">
        <w:rPr>
          <w:rFonts w:ascii="Verdana" w:hAnsi="Verdana"/>
        </w:rPr>
        <w:t>expresó, en la sentencia C-618 de 2012,</w:t>
      </w:r>
      <w:r>
        <w:rPr>
          <w:rFonts w:ascii="Verdana" w:hAnsi="Verdana"/>
        </w:rPr>
        <w:t xml:space="preserve"> </w:t>
      </w:r>
      <w:r w:rsidRPr="00C23CEB">
        <w:rPr>
          <w:rFonts w:ascii="Verdana" w:hAnsi="Verdana"/>
        </w:rPr>
        <w:t>que esta prohibición no impide ni limita la participación de los proponentes para celebrar contratos estatales, sino que es una restricción que busca garantizar y salvaguardar el interés público y preservar la transparencia de la contratación pública sin que se privilegien intereses particulares. Al respecto, señaló:</w:t>
      </w:r>
    </w:p>
    <w:p w14:paraId="5E863BD6" w14:textId="77777777" w:rsidR="00C44D59" w:rsidRPr="00C23CEB" w:rsidRDefault="00C44D59" w:rsidP="00C44D59">
      <w:pPr>
        <w:widowControl w:val="0"/>
        <w:autoSpaceDE w:val="0"/>
        <w:autoSpaceDN w:val="0"/>
        <w:spacing w:before="4" w:after="0" w:line="240" w:lineRule="auto"/>
        <w:rPr>
          <w:rFonts w:ascii="Verdana" w:eastAsia="Arial" w:hAnsi="Verdana" w:cs="Arial"/>
          <w:sz w:val="25"/>
          <w:lang w:val="es-ES"/>
        </w:rPr>
      </w:pPr>
    </w:p>
    <w:p w14:paraId="5EB25B2E"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sz w:val="20"/>
          <w:szCs w:val="20"/>
        </w:rPr>
        <w:t>“Para la Corte no cabe duda que la relevancia de la restricción que la norma impugnada establece estriba en la necesidad de evitar la simultaneidad de contratos celebrados con la misma entidad y obedece a que el legislador consideró necesario imponerla para ciertos contratos que por su naturaleza y gran impacto, requieren de controles más estrictos, todo con el propósito de darle prevalencia al bien común propiciando que la actividad administrativa que subyace en la contratación estatal se desarrolle con imparcialidad y transparencia y sin la interferencia que podría derivarse de la participación de los particulares por su múltiple vinculación contractual en relación con un específico ente estatal a través de los instrumentos jurídicos que la norma escogió como referentes para establecer la</w:t>
      </w:r>
      <w:r w:rsidRPr="00C23CEB">
        <w:rPr>
          <w:rFonts w:ascii="Verdana" w:hAnsi="Verdana"/>
          <w:spacing w:val="-3"/>
          <w:sz w:val="20"/>
          <w:szCs w:val="20"/>
        </w:rPr>
        <w:t xml:space="preserve"> </w:t>
      </w:r>
      <w:r w:rsidRPr="00C23CEB">
        <w:rPr>
          <w:rFonts w:ascii="Verdana" w:hAnsi="Verdana"/>
          <w:sz w:val="20"/>
          <w:szCs w:val="20"/>
        </w:rPr>
        <w:t>prohibición.</w:t>
      </w:r>
    </w:p>
    <w:p w14:paraId="7B60D6C3"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cs="Arial"/>
          <w:color w:val="000000" w:themeColor="text1"/>
          <w:sz w:val="20"/>
          <w:szCs w:val="20"/>
          <w:lang w:val="es-ES_tradnl"/>
        </w:rPr>
        <w:t>[…]</w:t>
      </w:r>
    </w:p>
    <w:p w14:paraId="4D1BFBFD"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sz w:val="20"/>
          <w:szCs w:val="20"/>
        </w:rPr>
        <w:t>De esta forma encuentra la Corte igualmente oportuno acoger algunas de las consideraciones esbozadas por el Departamento Nacional de Planeación en cuanto señala que la limitación en una contratación determinada, como lo es la del contrato de interventoría, con una entidad específica, no implica la vulneración de los derechos de los interesados en adelantar las labores propias de la actividad respectiva (supervisión, coordinación y control realizado por una persona natural o jurídica, a los diferentes aspectos y etapas en que se desarrolla un contrato estatal) pues no se les estaría impidiendo que, respecto de otras entidades, puedan vincularse y ejercer el trabajo, la profesión u oficio a cuya supuesta restricción se oponen. Perspectiva bajo la cual la Corte encuentra válido que el legislador haya pretendido prevenir que una persona sea el interventor de contratos que hayan sido suscritos por ella o por familiares a objeto de concretar un fin constitucionalmente legítimo, cual es el de garantizar que la contratación estatal se realice con apego a los principios de eficiencia, eficacia, imparcialidad, transparencia y</w:t>
      </w:r>
      <w:r w:rsidRPr="00C23CEB">
        <w:rPr>
          <w:rFonts w:ascii="Verdana" w:hAnsi="Verdana"/>
          <w:spacing w:val="-6"/>
          <w:sz w:val="20"/>
          <w:szCs w:val="20"/>
        </w:rPr>
        <w:t xml:space="preserve"> </w:t>
      </w:r>
      <w:r w:rsidRPr="00C23CEB">
        <w:rPr>
          <w:rFonts w:ascii="Verdana" w:hAnsi="Verdana"/>
          <w:sz w:val="20"/>
          <w:szCs w:val="20"/>
        </w:rPr>
        <w:t>objetividad”</w:t>
      </w:r>
      <w:r>
        <w:rPr>
          <w:rStyle w:val="Refdenotaalpie"/>
          <w:rFonts w:ascii="Verdana" w:hAnsi="Verdana"/>
          <w:sz w:val="20"/>
          <w:szCs w:val="20"/>
        </w:rPr>
        <w:footnoteReference w:id="13"/>
      </w:r>
      <w:r w:rsidRPr="00C23CEB">
        <w:rPr>
          <w:rFonts w:ascii="Verdana" w:hAnsi="Verdana"/>
          <w:sz w:val="20"/>
          <w:szCs w:val="20"/>
        </w:rPr>
        <w:t>.</w:t>
      </w:r>
    </w:p>
    <w:p w14:paraId="459EEA35" w14:textId="77777777" w:rsidR="00C44D59" w:rsidRPr="00C23CEB" w:rsidRDefault="00C44D59" w:rsidP="00C44D59">
      <w:pPr>
        <w:widowControl w:val="0"/>
        <w:autoSpaceDE w:val="0"/>
        <w:autoSpaceDN w:val="0"/>
        <w:spacing w:after="0" w:line="276" w:lineRule="auto"/>
        <w:ind w:right="51" w:firstLine="709"/>
        <w:jc w:val="both"/>
        <w:rPr>
          <w:rFonts w:ascii="Verdana" w:eastAsia="Arial" w:hAnsi="Verdana" w:cs="Arial"/>
          <w:lang w:val="es-ES"/>
        </w:rPr>
      </w:pPr>
    </w:p>
    <w:p w14:paraId="7C8BD029" w14:textId="77777777" w:rsidR="00C44D59" w:rsidRPr="00C23CEB" w:rsidRDefault="00C44D59" w:rsidP="00C44D59">
      <w:pPr>
        <w:widowControl w:val="0"/>
        <w:autoSpaceDE w:val="0"/>
        <w:autoSpaceDN w:val="0"/>
        <w:spacing w:after="120" w:line="276" w:lineRule="auto"/>
        <w:ind w:right="51" w:firstLine="709"/>
        <w:jc w:val="both"/>
        <w:rPr>
          <w:rFonts w:ascii="Verdana" w:eastAsia="Arial" w:hAnsi="Verdana" w:cs="Arial"/>
        </w:rPr>
      </w:pPr>
      <w:r w:rsidRPr="00C23CEB">
        <w:rPr>
          <w:rFonts w:ascii="Verdana" w:eastAsia="Arial" w:hAnsi="Verdana" w:cs="Arial"/>
          <w:lang w:val="es-ES"/>
        </w:rPr>
        <w:t xml:space="preserve">De esta manera, la prohibición señalada constituye </w:t>
      </w:r>
      <w:r w:rsidRPr="00C23CEB">
        <w:rPr>
          <w:rFonts w:ascii="Verdana" w:eastAsia="Arial" w:hAnsi="Verdana" w:cs="Arial"/>
        </w:rPr>
        <w:t xml:space="preserve">un mecanismo </w:t>
      </w:r>
      <w:r w:rsidRPr="00C23CEB">
        <w:rPr>
          <w:rFonts w:ascii="Verdana" w:eastAsia="Arial" w:hAnsi="Verdana" w:cs="Arial"/>
        </w:rPr>
        <w:lastRenderedPageBreak/>
        <w:t>legítimo para asegurar la transparencia y la integridad en la contratación pública, que tiene como objetivo principal prevenir la corrupción y garantizar la aplicación efectiva de principios fundamentales como la independencia y la imparcialidad.</w:t>
      </w:r>
    </w:p>
    <w:p w14:paraId="1ABDBE17" w14:textId="77777777" w:rsidR="00C44D59" w:rsidRPr="00C23CEB" w:rsidRDefault="00C44D59" w:rsidP="00C44D59">
      <w:pPr>
        <w:widowControl w:val="0"/>
        <w:autoSpaceDE w:val="0"/>
        <w:autoSpaceDN w:val="0"/>
        <w:spacing w:after="120" w:line="276" w:lineRule="auto"/>
        <w:ind w:right="51" w:firstLine="709"/>
        <w:jc w:val="both"/>
        <w:rPr>
          <w:rFonts w:ascii="Verdana" w:eastAsia="Arial" w:hAnsi="Verdana" w:cs="Arial"/>
          <w:lang w:val="es-ES"/>
        </w:rPr>
      </w:pPr>
      <w:r w:rsidRPr="00C23CEB">
        <w:rPr>
          <w:rFonts w:ascii="Verdana" w:eastAsia="Arial" w:hAnsi="Verdana" w:cs="Arial"/>
          <w:lang w:val="es-ES"/>
        </w:rPr>
        <w:t xml:space="preserve">En este orden de ideas, la </w:t>
      </w:r>
      <w:r>
        <w:rPr>
          <w:rFonts w:ascii="Verdana" w:eastAsia="Arial" w:hAnsi="Verdana" w:cs="Arial"/>
          <w:lang w:val="es-ES"/>
        </w:rPr>
        <w:t xml:space="preserve">incompatibilidad </w:t>
      </w:r>
      <w:r w:rsidRPr="00C23CEB">
        <w:rPr>
          <w:rFonts w:ascii="Verdana" w:eastAsia="Arial" w:hAnsi="Verdana" w:cs="Arial"/>
          <w:lang w:val="es-ES"/>
        </w:rPr>
        <w:t xml:space="preserve">del artículo 5 de la Ley 1474 de 2011 se origina por el hecho de que el interesado en participar en un proceso que tiene por objeto celebrar un contrato de interventoría se encuentra ejecutando con la misma entidad contratos de </w:t>
      </w:r>
      <w:r w:rsidRPr="00587D30">
        <w:rPr>
          <w:rFonts w:ascii="Verdana" w:eastAsia="Arial" w:hAnsi="Verdana" w:cs="Arial"/>
          <w:i/>
          <w:iCs/>
          <w:lang w:val="es-ES"/>
        </w:rPr>
        <w:t>obra</w:t>
      </w:r>
      <w:r w:rsidRPr="00C23CEB">
        <w:rPr>
          <w:rFonts w:ascii="Verdana" w:eastAsia="Arial" w:hAnsi="Verdana" w:cs="Arial"/>
          <w:lang w:val="es-ES"/>
        </w:rPr>
        <w:t>, de concesión o de suministro de medicamentos y alimentos, o que habiéndose ejecutado no se han liquidado. Es decir, por haber suscrito uno estos contratos con anterioridad este contratista no puede suscribir contratos de interventoría con la misma entidad, sin que sea necesaria la existencia de relación entre la interventoría y los demás contratos previstos en esta</w:t>
      </w:r>
      <w:r w:rsidRPr="00C23CEB">
        <w:rPr>
          <w:rFonts w:ascii="Verdana" w:eastAsia="Arial" w:hAnsi="Verdana" w:cs="Arial"/>
          <w:spacing w:val="-5"/>
          <w:lang w:val="es-ES"/>
        </w:rPr>
        <w:t xml:space="preserve"> </w:t>
      </w:r>
      <w:r w:rsidRPr="00C23CEB">
        <w:rPr>
          <w:rFonts w:ascii="Verdana" w:eastAsia="Arial" w:hAnsi="Verdana" w:cs="Arial"/>
          <w:lang w:val="es-ES"/>
        </w:rPr>
        <w:t>norma.</w:t>
      </w:r>
    </w:p>
    <w:p w14:paraId="7C32424E" w14:textId="77777777" w:rsidR="00C44D59" w:rsidRDefault="00C44D59" w:rsidP="00C44D59">
      <w:pPr>
        <w:widowControl w:val="0"/>
        <w:autoSpaceDE w:val="0"/>
        <w:autoSpaceDN w:val="0"/>
        <w:spacing w:after="120" w:line="276" w:lineRule="auto"/>
        <w:ind w:right="51" w:firstLine="709"/>
        <w:jc w:val="both"/>
        <w:rPr>
          <w:rFonts w:ascii="Verdana" w:eastAsia="Century Gothic" w:hAnsi="Verdana" w:cs="Century Gothic"/>
          <w:bCs/>
        </w:rPr>
      </w:pPr>
      <w:r w:rsidRPr="00C23CEB">
        <w:rPr>
          <w:rFonts w:ascii="Verdana" w:eastAsia="Arial" w:hAnsi="Verdana" w:cs="Arial"/>
          <w:lang w:val="es-ES"/>
        </w:rPr>
        <w:t xml:space="preserve">Por otro lado, esta prohibición no puede extenderse a otros </w:t>
      </w:r>
      <w:r>
        <w:rPr>
          <w:rFonts w:ascii="Verdana" w:eastAsia="Arial" w:hAnsi="Verdana" w:cs="Arial"/>
          <w:lang w:val="es-ES"/>
        </w:rPr>
        <w:t xml:space="preserve">sujetos o </w:t>
      </w:r>
      <w:r w:rsidRPr="00C23CEB">
        <w:rPr>
          <w:rFonts w:ascii="Verdana" w:eastAsia="Arial" w:hAnsi="Verdana" w:cs="Arial"/>
          <w:lang w:val="es-ES"/>
        </w:rPr>
        <w:t>contratos que no est</w:t>
      </w:r>
      <w:r>
        <w:rPr>
          <w:rFonts w:ascii="Verdana" w:eastAsia="Arial" w:hAnsi="Verdana" w:cs="Arial"/>
          <w:lang w:val="es-ES"/>
        </w:rPr>
        <w:t>é</w:t>
      </w:r>
      <w:r w:rsidRPr="00C23CEB">
        <w:rPr>
          <w:rFonts w:ascii="Verdana" w:eastAsia="Arial" w:hAnsi="Verdana" w:cs="Arial"/>
          <w:lang w:val="es-ES"/>
        </w:rPr>
        <w:t>n previstos en el artículo 5 de la Ley 1474 de 2011</w:t>
      </w:r>
      <w:r w:rsidRPr="00787E23">
        <w:rPr>
          <w:rFonts w:ascii="Verdana" w:eastAsia="Arial" w:hAnsi="Verdana" w:cs="Arial"/>
          <w:lang w:val="es-ES"/>
        </w:rPr>
        <w:t xml:space="preserve"> </w:t>
      </w:r>
      <w:r w:rsidRPr="00C23CEB">
        <w:rPr>
          <w:rFonts w:ascii="Verdana" w:eastAsia="Arial" w:hAnsi="Verdana" w:cs="Arial"/>
          <w:lang w:val="es-ES"/>
        </w:rPr>
        <w:t>toda vez que, como se mencionó, las inhabilidades e incompatibilidades son de aplicación restrictiva</w:t>
      </w:r>
      <w:r>
        <w:rPr>
          <w:rFonts w:ascii="Verdana" w:eastAsia="Arial" w:hAnsi="Verdana" w:cs="Arial"/>
          <w:lang w:val="es-ES"/>
        </w:rPr>
        <w:t>. No se extiende</w:t>
      </w:r>
      <w:r w:rsidRPr="00C23CEB">
        <w:rPr>
          <w:rFonts w:ascii="Verdana" w:eastAsia="Arial" w:hAnsi="Verdana" w:cs="Arial"/>
          <w:lang w:val="es-ES"/>
        </w:rPr>
        <w:t xml:space="preserve"> a los contratos de obra, de concesión, de suministro de medicamentos y de alimentos que ya se encuentr</w:t>
      </w:r>
      <w:r>
        <w:rPr>
          <w:rFonts w:ascii="Verdana" w:eastAsia="Arial" w:hAnsi="Verdana" w:cs="Arial"/>
          <w:lang w:val="es-ES"/>
        </w:rPr>
        <w:t>e</w:t>
      </w:r>
      <w:r w:rsidRPr="00C23CEB">
        <w:rPr>
          <w:rFonts w:ascii="Verdana" w:eastAsia="Arial" w:hAnsi="Verdana" w:cs="Arial"/>
          <w:lang w:val="es-ES"/>
        </w:rPr>
        <w:t>n liquidados</w:t>
      </w:r>
      <w:r>
        <w:rPr>
          <w:rFonts w:ascii="Verdana" w:eastAsia="Arial" w:hAnsi="Verdana" w:cs="Arial"/>
          <w:lang w:val="es-ES"/>
        </w:rPr>
        <w:t xml:space="preserve">. Tampoco </w:t>
      </w:r>
      <w:r w:rsidRPr="00E0405E">
        <w:rPr>
          <w:rFonts w:ascii="Verdana" w:eastAsia="Century Gothic" w:hAnsi="Verdana" w:cs="Century Gothic"/>
          <w:bCs/>
        </w:rPr>
        <w:t xml:space="preserve">se advierte que se configure inhabilidad </w:t>
      </w:r>
      <w:r>
        <w:rPr>
          <w:rFonts w:ascii="Verdana" w:eastAsia="Century Gothic" w:hAnsi="Verdana" w:cs="Century Gothic"/>
          <w:bCs/>
        </w:rPr>
        <w:t xml:space="preserve">o incompatibilidad </w:t>
      </w:r>
      <w:r w:rsidRPr="00E0405E">
        <w:rPr>
          <w:rFonts w:ascii="Verdana" w:eastAsia="Century Gothic" w:hAnsi="Verdana" w:cs="Century Gothic"/>
          <w:bCs/>
        </w:rPr>
        <w:t xml:space="preserve">para </w:t>
      </w:r>
      <w:r>
        <w:rPr>
          <w:rFonts w:ascii="Verdana" w:eastAsia="Century Gothic" w:hAnsi="Verdana" w:cs="Century Gothic"/>
          <w:bCs/>
        </w:rPr>
        <w:t xml:space="preserve">quien ejecute un contrato de interventoría y pretenda celebrar un contrato de obra pública con la misma entidad. Es claro que el artículo 5 de la Ley 1474 de 2011 no contempló este último supuesto, pues se refirió a la prohibición de que quienes se encuentren ejecutando contratos de obra con una entidad suscriban contratos de interventoría con esta misma durante el plazo de ejecución y hasta la liquidación del primero. </w:t>
      </w:r>
    </w:p>
    <w:p w14:paraId="2F26B541" w14:textId="5CF79A0A" w:rsidR="00C44D59" w:rsidRPr="00E85292" w:rsidRDefault="00C44D59" w:rsidP="00C44D59">
      <w:pPr>
        <w:widowControl w:val="0"/>
        <w:autoSpaceDE w:val="0"/>
        <w:autoSpaceDN w:val="0"/>
        <w:spacing w:after="120" w:line="276" w:lineRule="auto"/>
        <w:ind w:right="51" w:firstLine="709"/>
        <w:jc w:val="both"/>
        <w:rPr>
          <w:rFonts w:ascii="Verdana" w:eastAsia="Century Gothic" w:hAnsi="Verdana" w:cs="Century Gothic"/>
          <w:bCs/>
        </w:rPr>
      </w:pPr>
      <w:r>
        <w:rPr>
          <w:rFonts w:ascii="Verdana" w:eastAsia="Century Gothic" w:hAnsi="Verdana" w:cs="Century Gothic"/>
          <w:bCs/>
        </w:rPr>
        <w:t xml:space="preserve">En efecto, no puede realizarse una interpretación extensiva del supuesto de la norma para contemplar un caso opuesto. </w:t>
      </w:r>
      <w:r w:rsidRPr="00E0405E">
        <w:rPr>
          <w:rFonts w:ascii="Verdana" w:eastAsia="Century Gothic" w:hAnsi="Verdana" w:cs="Century Gothic"/>
          <w:bCs/>
        </w:rPr>
        <w:t xml:space="preserve">En este evento, no hay lugar a la aplicación de la </w:t>
      </w:r>
      <w:r>
        <w:rPr>
          <w:rFonts w:ascii="Verdana" w:eastAsia="Century Gothic" w:hAnsi="Verdana" w:cs="Century Gothic"/>
          <w:bCs/>
        </w:rPr>
        <w:t xml:space="preserve">prohibición </w:t>
      </w:r>
      <w:r w:rsidRPr="00E0405E">
        <w:rPr>
          <w:rFonts w:ascii="Verdana" w:eastAsia="Century Gothic" w:hAnsi="Verdana" w:cs="Century Gothic"/>
          <w:bCs/>
        </w:rPr>
        <w:t xml:space="preserve">prevista en el artículo 5 de la Ley 1474 de 2011, </w:t>
      </w:r>
      <w:r>
        <w:rPr>
          <w:rFonts w:ascii="Verdana" w:eastAsia="Century Gothic" w:hAnsi="Verdana" w:cs="Century Gothic"/>
          <w:bCs/>
        </w:rPr>
        <w:t xml:space="preserve">pues el contrato de interventoría </w:t>
      </w:r>
      <w:r w:rsidRPr="00587D30">
        <w:rPr>
          <w:rFonts w:ascii="Verdana" w:eastAsia="Century Gothic" w:hAnsi="Verdana" w:cs="Century Gothic"/>
          <w:bCs/>
        </w:rPr>
        <w:t>no está incluido entre aquellos que generan la incompatibilidad</w:t>
      </w:r>
      <w:r>
        <w:rPr>
          <w:rFonts w:ascii="Verdana" w:eastAsia="Century Gothic" w:hAnsi="Verdana" w:cs="Century Gothic"/>
          <w:bCs/>
        </w:rPr>
        <w:t xml:space="preserve">, como es el caso de los </w:t>
      </w:r>
      <w:r w:rsidRPr="00587D30">
        <w:rPr>
          <w:rFonts w:ascii="Verdana" w:eastAsia="Century Gothic" w:hAnsi="Verdana" w:cs="Century Gothic"/>
          <w:bCs/>
        </w:rPr>
        <w:t>de obra, concesión y el de suministro de medicamentos y alimentos</w:t>
      </w:r>
      <w:r>
        <w:rPr>
          <w:rFonts w:ascii="Verdana" w:eastAsia="Century Gothic" w:hAnsi="Verdana" w:cs="Century Gothic"/>
          <w:bCs/>
        </w:rPr>
        <w:t xml:space="preserve">, de modo que </w:t>
      </w:r>
      <w:r w:rsidRPr="00587D30">
        <w:rPr>
          <w:rFonts w:ascii="Verdana" w:eastAsia="Century Gothic" w:hAnsi="Verdana" w:cs="Century Gothic"/>
          <w:bCs/>
        </w:rPr>
        <w:t>estarían excluidos de los efectos</w:t>
      </w:r>
      <w:r>
        <w:rPr>
          <w:rFonts w:ascii="Verdana" w:eastAsia="Century Gothic" w:hAnsi="Verdana" w:cs="Century Gothic"/>
          <w:bCs/>
        </w:rPr>
        <w:t xml:space="preserve"> allí dispuestos</w:t>
      </w:r>
      <w:r>
        <w:rPr>
          <w:rStyle w:val="Refdenotaalpie"/>
          <w:rFonts w:ascii="Verdana" w:eastAsia="Century Gothic" w:hAnsi="Verdana" w:cs="Century Gothic"/>
          <w:bCs/>
        </w:rPr>
        <w:footnoteReference w:id="14"/>
      </w:r>
      <w:r>
        <w:rPr>
          <w:rFonts w:ascii="Verdana" w:eastAsia="Century Gothic" w:hAnsi="Verdana" w:cs="Century Gothic"/>
          <w:bCs/>
        </w:rPr>
        <w:t>. Adicionalmente, la norma es clara en señalar que l</w:t>
      </w:r>
      <w:r w:rsidRPr="00587D30">
        <w:rPr>
          <w:rFonts w:ascii="Verdana" w:eastAsia="Century Gothic" w:hAnsi="Verdana" w:cs="Century Gothic"/>
          <w:bCs/>
        </w:rPr>
        <w:t xml:space="preserve">a persona y </w:t>
      </w:r>
      <w:r w:rsidRPr="00587D30">
        <w:rPr>
          <w:rFonts w:ascii="Verdana" w:eastAsia="Century Gothic" w:hAnsi="Verdana" w:cs="Century Gothic"/>
          <w:bCs/>
        </w:rPr>
        <w:lastRenderedPageBreak/>
        <w:t xml:space="preserve">sus familiares más cercanos y socios, no pueden celebrar contrato de interventoría durante la ejecución y liquidación de </w:t>
      </w:r>
      <w:r>
        <w:rPr>
          <w:rFonts w:ascii="Verdana" w:eastAsia="Century Gothic" w:hAnsi="Verdana" w:cs="Century Gothic"/>
          <w:bCs/>
        </w:rPr>
        <w:t xml:space="preserve">esos tres contratos </w:t>
      </w:r>
      <w:r w:rsidRPr="00587D30">
        <w:rPr>
          <w:rFonts w:ascii="Verdana" w:eastAsia="Century Gothic" w:hAnsi="Verdana" w:cs="Century Gothic"/>
          <w:bCs/>
        </w:rPr>
        <w:t>(concesión, obras públicas, y suministro de alimentos y medicamentos)</w:t>
      </w:r>
      <w:r>
        <w:rPr>
          <w:rFonts w:ascii="Verdana" w:eastAsia="Century Gothic" w:hAnsi="Verdana" w:cs="Century Gothic"/>
          <w:bCs/>
        </w:rPr>
        <w:t xml:space="preserve">, con lo cual determinó un orden para la incompatibilidad que implica, primero, la suscripción de uno de esos contratos y, luego, la suscripción del de interventoría. De esta forma, </w:t>
      </w:r>
      <w:r w:rsidRPr="00E0405E">
        <w:rPr>
          <w:rFonts w:ascii="Verdana" w:eastAsia="Century Gothic" w:hAnsi="Verdana" w:cs="Century Gothic"/>
          <w:bCs/>
        </w:rPr>
        <w:t xml:space="preserve">la norma </w:t>
      </w:r>
      <w:r>
        <w:rPr>
          <w:rFonts w:ascii="Verdana" w:eastAsia="Century Gothic" w:hAnsi="Verdana" w:cs="Century Gothic"/>
          <w:bCs/>
        </w:rPr>
        <w:t xml:space="preserve">no prohíbe a quien se encuentre ejecutando un </w:t>
      </w:r>
      <w:r w:rsidRPr="00E0405E">
        <w:rPr>
          <w:rFonts w:ascii="Verdana" w:eastAsia="Century Gothic" w:hAnsi="Verdana" w:cs="Century Gothic"/>
          <w:bCs/>
        </w:rPr>
        <w:t xml:space="preserve">contrato de </w:t>
      </w:r>
      <w:r>
        <w:rPr>
          <w:rFonts w:ascii="Verdana" w:eastAsia="Century Gothic" w:hAnsi="Verdana" w:cs="Century Gothic"/>
          <w:bCs/>
        </w:rPr>
        <w:t xml:space="preserve">interventoría celebrar, luego, un </w:t>
      </w:r>
      <w:r w:rsidRPr="00E0405E">
        <w:rPr>
          <w:rFonts w:ascii="Verdana" w:eastAsia="Century Gothic" w:hAnsi="Verdana" w:cs="Century Gothic"/>
          <w:bCs/>
        </w:rPr>
        <w:t>contrato de</w:t>
      </w:r>
      <w:r>
        <w:rPr>
          <w:rFonts w:ascii="Verdana" w:eastAsia="Century Gothic" w:hAnsi="Verdana" w:cs="Century Gothic"/>
          <w:bCs/>
        </w:rPr>
        <w:t xml:space="preserve"> obra con la misma entidad.</w:t>
      </w:r>
    </w:p>
    <w:p w14:paraId="6F693B54" w14:textId="4D65C5BD" w:rsidR="00C44D59" w:rsidRPr="00E44CB7" w:rsidRDefault="00C44D59" w:rsidP="00CA748C">
      <w:pPr>
        <w:spacing w:after="120" w:line="276" w:lineRule="auto"/>
        <w:ind w:firstLine="708"/>
        <w:jc w:val="both"/>
        <w:rPr>
          <w:rFonts w:ascii="Verdana" w:eastAsia="Arial" w:hAnsi="Verdana" w:cs="Arial"/>
          <w:color w:val="000000"/>
        </w:rPr>
      </w:pPr>
      <w:r w:rsidRPr="7D9C0904">
        <w:rPr>
          <w:rFonts w:ascii="Verdana" w:eastAsia="Calibri" w:hAnsi="Verdana" w:cs="Arial"/>
          <w:lang w:val="es-ES" w:eastAsia="es-MX"/>
        </w:rPr>
        <w:t xml:space="preserve"> </w:t>
      </w:r>
      <w:bookmarkEnd w:id="4"/>
      <w:r w:rsidRPr="00E44CB7">
        <w:rPr>
          <w:rFonts w:ascii="Verdana" w:eastAsia="Arial" w:hAnsi="Verdana" w:cs="Arial"/>
          <w:color w:val="000000"/>
        </w:rPr>
        <w:t>En ese sentido, corresponderá a los equipos jurídicos de las entidades estatales, en el marco de su competencia y con fundamento en las disposiciones legales y doctrinales citadas, verificar en cada caso concreto si la participación de un proponente configura una situación de inhabilidad, incompatibilidad o conflicto de intereses, motivando debidamente su decisión y garantizando los principios de transparencia, imparcialidad y libre concurrencia en los procesos de contratación.</w:t>
      </w:r>
    </w:p>
    <w:p w14:paraId="6E39BD59" w14:textId="77777777" w:rsidR="00C44D59" w:rsidRPr="007372DD" w:rsidRDefault="00C44D59" w:rsidP="00C44D59">
      <w:pPr>
        <w:spacing w:after="0" w:line="276" w:lineRule="auto"/>
        <w:ind w:right="-58"/>
        <w:jc w:val="both"/>
        <w:rPr>
          <w:rFonts w:ascii="Verdana" w:eastAsia="Arial" w:hAnsi="Verdana" w:cs="Arial"/>
          <w:color w:val="000000"/>
        </w:rPr>
      </w:pPr>
      <w:r>
        <w:rPr>
          <w:rFonts w:ascii="Verdana" w:eastAsia="Arial" w:hAnsi="Verdana" w:cs="Arial"/>
          <w:color w:val="000000"/>
        </w:rPr>
        <w:t xml:space="preserve">         </w:t>
      </w:r>
      <w:r w:rsidRPr="00E44CB7">
        <w:rPr>
          <w:rFonts w:ascii="Verdana" w:eastAsia="Arial" w:hAnsi="Verdana" w:cs="Arial"/>
          <w:color w:val="000000"/>
        </w:rPr>
        <w:t>Ahora bien, las entidades estatales sí deben analizar cada caso concreto para asegurarse de que no se genere un conflicto de intereses real o material. Este podría presentarse, por ejemplo, si la empresa que ejecuta una obra pretendiera también intervenir como interventora o supervisora de esa misma obra o de un contrato directamente relacionado, lo que afectaría la independencia técnica exigida en este tipo de contratos.</w:t>
      </w:r>
    </w:p>
    <w:p w14:paraId="3821F0C6" w14:textId="77777777" w:rsidR="00C44D59" w:rsidRPr="00C71956" w:rsidRDefault="00C44D59" w:rsidP="00C44D59">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91EB612" w14:textId="77777777" w:rsidR="00C44D59" w:rsidRDefault="00C44D59" w:rsidP="00C44D59">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A3B97B8" w14:textId="77777777" w:rsidR="00C44D59" w:rsidRPr="0060676F" w:rsidRDefault="00C44D59" w:rsidP="00C44D59">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B385D1C" w14:textId="77777777" w:rsidR="00C44D59" w:rsidRPr="00593A5F" w:rsidRDefault="00C44D59" w:rsidP="00C44D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44D59" w:rsidRPr="00593A5F" w14:paraId="460A4E91" w14:textId="77777777" w:rsidTr="00E11A84">
        <w:trPr>
          <w:trHeight w:val="870"/>
        </w:trPr>
        <w:tc>
          <w:tcPr>
            <w:tcW w:w="8647" w:type="dxa"/>
          </w:tcPr>
          <w:p w14:paraId="1C58F156"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Ley 80 de 1993: artículos 2, 6</w:t>
            </w:r>
            <w:r w:rsidRPr="00CF444D">
              <w:rPr>
                <w:rFonts w:ascii="Verdana" w:hAnsi="Verdana" w:cs="Arial"/>
                <w:noProof/>
                <w:color w:val="000000" w:themeColor="text1"/>
                <w:lang w:val="es-ES_tradnl"/>
              </w:rPr>
              <w:t xml:space="preserve"> y 8.</w:t>
            </w:r>
          </w:p>
          <w:p w14:paraId="1B2F34E1"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Ley 1474 de 2011: artículo 5</w:t>
            </w:r>
          </w:p>
          <w:p w14:paraId="7D0C5DE6"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Sección Tercera. Subsección C. Sentencia del 22 de mayo de 2013. Exp. 24.057. Consejera Ponente: Olga Melida Valle De De La Hoz.</w:t>
            </w:r>
          </w:p>
          <w:p w14:paraId="5E7B294E"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Sala de Consulta y Servicio Civil. Concepto del 30 de abril de 2015. Expediente: 2251. Consejero Ponente: Álvaro Namén Vargas.</w:t>
            </w:r>
          </w:p>
          <w:p w14:paraId="35EC6CC7"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Sección Tercera. Subsección A. Sentencia del 24 de junio de 2015. Exp. 40.635. Consejero Ponente: Hernán Andrade Rincón (E).</w:t>
            </w:r>
          </w:p>
          <w:p w14:paraId="4A15E728" w14:textId="77777777" w:rsidR="00C44D59" w:rsidRPr="00F74E7C" w:rsidRDefault="00C44D59" w:rsidP="00E11A84">
            <w:pPr>
              <w:numPr>
                <w:ilvl w:val="0"/>
                <w:numId w:val="17"/>
              </w:numPr>
              <w:spacing w:before="120" w:after="120" w:line="276" w:lineRule="auto"/>
              <w:jc w:val="both"/>
              <w:rPr>
                <w:rFonts w:ascii="Verdana" w:hAnsi="Verdana" w:cs="Arial"/>
                <w:color w:val="000000" w:themeColor="text1"/>
                <w:lang w:val="it-IT"/>
              </w:rPr>
            </w:pPr>
            <w:r w:rsidRPr="00C23CEB">
              <w:rPr>
                <w:rFonts w:ascii="Verdana" w:hAnsi="Verdana" w:cs="Arial"/>
                <w:noProof/>
                <w:color w:val="000000" w:themeColor="text1"/>
                <w:lang w:val="es-ES_tradnl"/>
              </w:rPr>
              <w:t xml:space="preserve">Corte Constitucional. Sentencia T-1039 de 2006. </w:t>
            </w:r>
            <w:r w:rsidRPr="00F74E7C">
              <w:rPr>
                <w:rFonts w:ascii="Verdana" w:hAnsi="Verdana" w:cs="Arial"/>
                <w:color w:val="000000" w:themeColor="text1"/>
                <w:lang w:val="it-IT"/>
              </w:rPr>
              <w:t>Magistrado Ponente: Humberto Sierra Porto.</w:t>
            </w:r>
          </w:p>
          <w:p w14:paraId="4551D3B4" w14:textId="77777777" w:rsidR="00C44D59" w:rsidRPr="00F74E7C" w:rsidRDefault="00C44D59" w:rsidP="00E11A84">
            <w:pPr>
              <w:numPr>
                <w:ilvl w:val="0"/>
                <w:numId w:val="17"/>
              </w:numPr>
              <w:spacing w:before="120" w:after="120" w:line="276" w:lineRule="auto"/>
              <w:jc w:val="both"/>
              <w:rPr>
                <w:rFonts w:ascii="Verdana" w:hAnsi="Verdana" w:cs="Arial"/>
                <w:color w:val="000000" w:themeColor="text1"/>
                <w:lang w:val="it-IT"/>
              </w:rPr>
            </w:pPr>
            <w:r w:rsidRPr="007B6CB3">
              <w:rPr>
                <w:rFonts w:ascii="Verdana" w:hAnsi="Verdana" w:cs="Arial"/>
                <w:noProof/>
                <w:color w:val="000000" w:themeColor="text1"/>
                <w:lang w:val="es-ES_tradnl"/>
              </w:rPr>
              <w:t>Corte Constitucional</w:t>
            </w:r>
            <w:r>
              <w:rPr>
                <w:rFonts w:ascii="Verdana" w:hAnsi="Verdana" w:cs="Arial"/>
                <w:noProof/>
                <w:color w:val="000000" w:themeColor="text1"/>
                <w:lang w:val="es-ES_tradnl"/>
              </w:rPr>
              <w:t>.</w:t>
            </w:r>
            <w:r w:rsidRPr="007B6CB3">
              <w:rPr>
                <w:rFonts w:ascii="Verdana" w:hAnsi="Verdana" w:cs="Arial"/>
                <w:noProof/>
                <w:color w:val="000000" w:themeColor="text1"/>
                <w:lang w:val="es-ES_tradnl"/>
              </w:rPr>
              <w:t xml:space="preserve"> Sentencia C-618 de 2012. </w:t>
            </w:r>
            <w:r w:rsidRPr="00F74E7C">
              <w:rPr>
                <w:rFonts w:ascii="Verdana" w:hAnsi="Verdana" w:cs="Arial"/>
                <w:color w:val="000000" w:themeColor="text1"/>
                <w:lang w:val="it-IT"/>
              </w:rPr>
              <w:t>Magistrado Ponente: Gabriel Eduardo Mendoza Mortello.</w:t>
            </w:r>
          </w:p>
          <w:p w14:paraId="6F3388FD"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BARRETO ROZO, Antonio Alejandro. Inhabilidades de la contratación estatal, efectos y neopunitivismo en el Estatuto Anticorrupción. En: ALVIAR GARCÍA, Helena (Coordinadora). Nuevas tendencias del Derecho administrativo. Bogotá: Universidad de los Andes; Temis, 2016.</w:t>
            </w:r>
          </w:p>
          <w:p w14:paraId="271B41A1" w14:textId="77777777" w:rsidR="00C44D59"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color w:val="000000" w:themeColor="text1"/>
                <w:lang w:val="es-MX"/>
              </w:rPr>
              <w:t>BENAVIDES, José Luis. El contrato estatal. Entre el Derecho público y el Derecho privado. 2ª ed. Bogotá: Universidad Externado de Colombia, 2004.</w:t>
            </w:r>
          </w:p>
          <w:p w14:paraId="5BB190BB" w14:textId="77777777" w:rsidR="00C44D59" w:rsidRPr="006F31E0"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6F31E0">
              <w:rPr>
                <w:rFonts w:ascii="Verdana" w:hAnsi="Verdana" w:cs="Arial"/>
                <w:noProof/>
                <w:color w:val="000000" w:themeColor="text1"/>
                <w:lang w:val="es-ES_tradnl"/>
              </w:rPr>
              <w:lastRenderedPageBreak/>
              <w:t>DÁVILA, Luis Guillermo. Régimen jurídico de la contratación estatal. 3ª ed., Legis: Bogotá, 2016. p. 187.</w:t>
            </w:r>
          </w:p>
        </w:tc>
      </w:tr>
    </w:tbl>
    <w:p w14:paraId="1474FB74" w14:textId="77777777" w:rsidR="00C44D59"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6DF3E65" w14:textId="77777777" w:rsidR="00C44D59" w:rsidRDefault="00C44D59" w:rsidP="00C44D59">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D699DCF" w14:textId="77777777" w:rsidR="00C44D59" w:rsidRPr="00593A5F"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D7BE00" w14:textId="77777777" w:rsidR="00C44D59" w:rsidRPr="00E53CEB" w:rsidRDefault="00C44D59" w:rsidP="00C44D59">
      <w:pPr>
        <w:widowControl w:val="0"/>
        <w:autoSpaceDE w:val="0"/>
        <w:autoSpaceDN w:val="0"/>
        <w:spacing w:after="0" w:line="276" w:lineRule="auto"/>
        <w:jc w:val="both"/>
        <w:rPr>
          <w:rFonts w:ascii="Verdana" w:hAnsi="Verdana" w:cs="Arial"/>
          <w:color w:val="000000" w:themeColor="text1"/>
          <w:shd w:val="clear" w:color="auto" w:fill="FFFFFF"/>
        </w:rPr>
      </w:pPr>
      <w:r w:rsidRPr="00F9120E">
        <w:rPr>
          <w:rStyle w:val="normaltextrun"/>
          <w:rFonts w:ascii="Verdana" w:hAnsi="Verdana" w:cs="Arial"/>
          <w:color w:val="000000" w:themeColor="text1"/>
          <w:shd w:val="clear" w:color="auto" w:fill="FFFFFF"/>
          <w:lang w:val="es-ES"/>
        </w:rPr>
        <w:t>La Agencia Nacional de Contratación Pública – Colombia Compra Eficiente se ha referido</w:t>
      </w:r>
      <w:r w:rsidRPr="00BD004E">
        <w:rPr>
          <w:rFonts w:ascii="Verdana" w:hAnsi="Verdana" w:cs="Arial"/>
        </w:rPr>
        <w:t xml:space="preserve"> </w:t>
      </w:r>
      <w:r>
        <w:rPr>
          <w:rFonts w:ascii="Verdana" w:hAnsi="Verdana" w:cs="Arial"/>
        </w:rPr>
        <w:t xml:space="preserve">a </w:t>
      </w:r>
      <w:r w:rsidRPr="00C23CEB">
        <w:rPr>
          <w:rFonts w:ascii="Verdana" w:hAnsi="Verdana" w:cs="Arial"/>
        </w:rPr>
        <w:t>la causal de inhabilidad del artículo 5 de la Ley 1474 de 2011 en los conceptos con radicado Nro. 2201913000008314 de 7 de noviembre de 2019, C-386 de 24 de julio de 2020, C-047 de 8 de marzo de 2021, C-515 de 07 de octubre de 2024, C-1030 de 31 de diciembre de 2024</w:t>
      </w:r>
      <w:r>
        <w:rPr>
          <w:rFonts w:ascii="Verdana" w:hAnsi="Verdana" w:cs="Arial"/>
        </w:rPr>
        <w:t xml:space="preserve">, </w:t>
      </w:r>
      <w:r w:rsidRPr="00C23CEB">
        <w:rPr>
          <w:rFonts w:ascii="Verdana" w:hAnsi="Verdana" w:cs="Arial"/>
        </w:rPr>
        <w:t>C-132 del 24 de febrero de 2025</w:t>
      </w:r>
      <w:r>
        <w:rPr>
          <w:rStyle w:val="normaltextrun"/>
          <w:rFonts w:ascii="Verdana" w:hAnsi="Verdana" w:cs="Arial"/>
          <w:color w:val="000000" w:themeColor="text1"/>
          <w:shd w:val="clear" w:color="auto" w:fill="FFFFFF"/>
          <w:lang w:val="es-ES"/>
        </w:rPr>
        <w:t xml:space="preserve">, C-435 del 14 de mayo de 2025, </w:t>
      </w:r>
      <w:r w:rsidRPr="00F9120E">
        <w:rPr>
          <w:rFonts w:ascii="Verdana" w:eastAsia="Calibri" w:hAnsi="Verdana" w:cs="Arial"/>
          <w:lang w:val="es-ES" w:eastAsia="es-ES"/>
        </w:rPr>
        <w:t xml:space="preserve">entre otros. </w:t>
      </w:r>
      <w:r w:rsidRPr="00EA4679">
        <w:rPr>
          <w:rFonts w:ascii="Verdana" w:eastAsia="Aptos" w:hAnsi="Verdana" w:cs="Arial"/>
          <w:shd w:val="clear" w:color="auto" w:fill="FFFFFF"/>
          <w:lang w:val="es-ES"/>
        </w:rPr>
        <w:t xml:space="preserve">Sobre los conflictos de interés en la contratación estatal, esta Subdirección se ha referido en los Conceptos </w:t>
      </w:r>
      <w:r w:rsidRPr="00EA4679">
        <w:rPr>
          <w:rFonts w:ascii="Verdana" w:eastAsia="Calibri" w:hAnsi="Verdana" w:cs="Arial"/>
          <w:lang w:val="es-ES_tradnl" w:eastAsia="es-MX"/>
        </w:rPr>
        <w:t>C-229 del 16 de abril de 2020, C-815 del 18 de febrero de 2021, C-449 del 31 de agosto de 2021, C-288 del 14 de julio de 2023, C-651 del 22 de octubre de 2024, C-680 del 15 de noviembre de 2024, C-693 del 19 de noviembre de 2024, C-839 del 13 de diciembre de 2024, C-400 del 7 de mayo de 2025, entre otros</w:t>
      </w:r>
      <w:r>
        <w:rPr>
          <w:rFonts w:ascii="Verdana" w:eastAsia="Calibri" w:hAnsi="Verdana" w:cs="Arial"/>
          <w:lang w:val="es-ES" w:eastAsia="es-ES"/>
        </w:rPr>
        <w:t>,</w:t>
      </w:r>
      <w:r>
        <w:rPr>
          <w:rFonts w:ascii="Verdana" w:hAnsi="Verdana" w:cs="Arial"/>
          <w:shd w:val="clear" w:color="auto" w:fill="FFFFFF"/>
        </w:rPr>
        <w:t xml:space="preserve"> </w:t>
      </w:r>
      <w:r w:rsidRPr="007372DD">
        <w:rPr>
          <w:rFonts w:ascii="Verdana" w:eastAsia="Arial" w:hAnsi="Verdana" w:cs="Arial"/>
          <w:color w:val="000000"/>
        </w:rPr>
        <w:t>C-524 de</w:t>
      </w:r>
      <w:r>
        <w:rPr>
          <w:rFonts w:ascii="Verdana" w:eastAsia="Arial" w:hAnsi="Verdana" w:cs="Arial"/>
          <w:color w:val="000000"/>
        </w:rPr>
        <w:t xml:space="preserve">l 06 de junio de 2025 y el </w:t>
      </w:r>
      <w:r w:rsidRPr="007372DD">
        <w:rPr>
          <w:rFonts w:ascii="Verdana" w:eastAsia="Arial" w:hAnsi="Verdana" w:cs="Arial"/>
          <w:color w:val="000000"/>
        </w:rPr>
        <w:t>C-669 de</w:t>
      </w:r>
      <w:r>
        <w:rPr>
          <w:rFonts w:ascii="Verdana" w:eastAsia="Arial" w:hAnsi="Verdana" w:cs="Arial"/>
          <w:color w:val="000000"/>
        </w:rPr>
        <w:t>l 01 de julio de</w:t>
      </w:r>
      <w:r w:rsidRPr="007372DD">
        <w:rPr>
          <w:rFonts w:ascii="Verdana" w:eastAsia="Arial" w:hAnsi="Verdana" w:cs="Arial"/>
          <w:color w:val="000000"/>
        </w:rPr>
        <w:t xml:space="preserve"> 202</w:t>
      </w:r>
      <w:r>
        <w:rPr>
          <w:rFonts w:ascii="Verdana" w:eastAsia="Arial" w:hAnsi="Verdana" w:cs="Arial"/>
          <w:color w:val="000000"/>
        </w:rPr>
        <w:t>5</w:t>
      </w:r>
      <w:r>
        <w:rPr>
          <w:rFonts w:ascii="Verdana" w:hAnsi="Verdana" w:cs="Arial"/>
          <w:color w:val="000000" w:themeColor="text1"/>
          <w:shd w:val="clear" w:color="auto" w:fill="FFFFFF"/>
        </w:rPr>
        <w:t xml:space="preserve">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AA101DC" w14:textId="77777777" w:rsidR="00C44D59" w:rsidRPr="0065720B" w:rsidRDefault="00F54699" w:rsidP="00C44D59">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C44D59" w:rsidRPr="00191357">
          <w:rPr>
            <w:rStyle w:val="Hipervnculo"/>
            <w:rFonts w:ascii="Verdana" w:eastAsia="Calibri" w:hAnsi="Verdana" w:cs="Times New Roman"/>
            <w:lang w:val="es-ES"/>
          </w:rPr>
          <w:t>https://relatoria.colombiacompra.gov.co/busqueda/conceptos</w:t>
        </w:r>
      </w:hyperlink>
      <w:r w:rsidR="00C44D59" w:rsidRPr="00185EE9">
        <w:rPr>
          <w:rFonts w:ascii="Verdana" w:eastAsia="Calibri" w:hAnsi="Verdana" w:cs="Times New Roman"/>
        </w:rPr>
        <w:t>.</w:t>
      </w:r>
    </w:p>
    <w:p w14:paraId="7DD11223" w14:textId="77777777" w:rsidR="00C44D59" w:rsidRDefault="00C44D59" w:rsidP="00C44D59">
      <w:pPr>
        <w:widowControl w:val="0"/>
        <w:autoSpaceDE w:val="0"/>
        <w:autoSpaceDN w:val="0"/>
        <w:spacing w:after="0" w:line="276" w:lineRule="auto"/>
        <w:jc w:val="both"/>
        <w:rPr>
          <w:rFonts w:ascii="Verdana" w:hAnsi="Verdana" w:cs="Arial"/>
          <w:color w:val="000000" w:themeColor="text1"/>
          <w:shd w:val="clear" w:color="auto" w:fill="FFFFFF"/>
        </w:rPr>
      </w:pPr>
    </w:p>
    <w:p w14:paraId="58B1B1EA" w14:textId="77777777" w:rsidR="00C44D59" w:rsidRPr="00103B90" w:rsidRDefault="00C44D59" w:rsidP="00C44D59">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40338BF" w14:textId="77777777" w:rsidR="00C44D59" w:rsidRPr="00103B90" w:rsidRDefault="00C44D59" w:rsidP="00C44D59">
      <w:pPr>
        <w:widowControl w:val="0"/>
        <w:autoSpaceDE w:val="0"/>
        <w:autoSpaceDN w:val="0"/>
        <w:spacing w:after="0" w:line="276" w:lineRule="auto"/>
        <w:jc w:val="both"/>
        <w:rPr>
          <w:rFonts w:ascii="Verdana" w:hAnsi="Verdana"/>
        </w:rPr>
      </w:pPr>
    </w:p>
    <w:p w14:paraId="7AA4CFF3" w14:textId="77777777" w:rsidR="00C44D59" w:rsidRPr="00505CD6" w:rsidRDefault="00C44D59" w:rsidP="00C44D5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 xml:space="preserve">y las expresiones aquí utilizadas con mayúscula inicial deben ser entendidas con el </w:t>
      </w:r>
      <w:r w:rsidRPr="00505CD6">
        <w:rPr>
          <w:rFonts w:ascii="Verdana" w:hAnsi="Verdana" w:cs="Arial"/>
          <w:lang w:val="es-ES_tradnl"/>
        </w:rPr>
        <w:lastRenderedPageBreak/>
        <w:t>significado que les otorga el artículo 2.2.1.1.1.3.1. del Decreto 1082 de 2015.</w:t>
      </w:r>
    </w:p>
    <w:p w14:paraId="1FCA91F1" w14:textId="77777777" w:rsidR="00C44D59" w:rsidRPr="00505CD6" w:rsidRDefault="00C44D59" w:rsidP="00C44D59">
      <w:pPr>
        <w:widowControl w:val="0"/>
        <w:autoSpaceDE w:val="0"/>
        <w:autoSpaceDN w:val="0"/>
        <w:spacing w:after="0" w:line="276" w:lineRule="auto"/>
        <w:jc w:val="both"/>
        <w:rPr>
          <w:rFonts w:ascii="Verdana" w:hAnsi="Verdana" w:cs="Arial"/>
        </w:rPr>
      </w:pPr>
    </w:p>
    <w:p w14:paraId="394D9D59" w14:textId="77777777" w:rsidR="00C44D59" w:rsidRPr="00CA748C" w:rsidRDefault="00C44D59" w:rsidP="00C44D59">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19A2E27" w14:textId="4320AC38" w:rsidR="00C44D59" w:rsidRDefault="00C44D59" w:rsidP="00C44D59">
      <w:pPr>
        <w:spacing w:line="276" w:lineRule="auto"/>
        <w:jc w:val="center"/>
        <w:rPr>
          <w:noProof/>
        </w:rPr>
      </w:pPr>
    </w:p>
    <w:p w14:paraId="426B7A2F" w14:textId="5B94A72F" w:rsidR="001A606C" w:rsidRDefault="001A606C" w:rsidP="00C44D59">
      <w:pPr>
        <w:spacing w:line="276" w:lineRule="auto"/>
        <w:jc w:val="center"/>
        <w:rPr>
          <w:noProof/>
        </w:rPr>
      </w:pPr>
      <w:r>
        <w:rPr>
          <w:noProof/>
        </w:rPr>
        <w:drawing>
          <wp:inline distT="0" distB="0" distL="0" distR="0" wp14:anchorId="44B43D65" wp14:editId="4DAA9C4E">
            <wp:extent cx="3202305" cy="1374694"/>
            <wp:effectExtent l="0" t="0" r="0" b="0"/>
            <wp:docPr id="10211040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20543" cy="1382523"/>
                    </a:xfrm>
                    <a:prstGeom prst="rect">
                      <a:avLst/>
                    </a:prstGeom>
                    <a:noFill/>
                    <a:ln>
                      <a:noFill/>
                    </a:ln>
                  </pic:spPr>
                </pic:pic>
              </a:graphicData>
            </a:graphic>
          </wp:inline>
        </w:drawing>
      </w:r>
    </w:p>
    <w:p w14:paraId="3BDD255E" w14:textId="77777777" w:rsidR="001A606C" w:rsidRDefault="001A606C" w:rsidP="00C44D59">
      <w:pPr>
        <w:spacing w:line="276" w:lineRule="auto"/>
        <w:jc w:val="center"/>
        <w:rPr>
          <w:noProof/>
        </w:rPr>
      </w:pPr>
    </w:p>
    <w:p w14:paraId="50635E5F" w14:textId="77777777" w:rsidR="001A606C" w:rsidRDefault="001A606C" w:rsidP="00C44D59">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44D59" w:rsidRPr="00593A5F" w14:paraId="67A86E44" w14:textId="77777777" w:rsidTr="00E11A84">
        <w:trPr>
          <w:trHeight w:val="315"/>
        </w:trPr>
        <w:tc>
          <w:tcPr>
            <w:tcW w:w="893" w:type="dxa"/>
            <w:vAlign w:val="center"/>
            <w:hideMark/>
          </w:tcPr>
          <w:p w14:paraId="42E991AB" w14:textId="77777777" w:rsidR="00C44D59" w:rsidRPr="003751C7" w:rsidRDefault="00C44D5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861E92" w14:textId="77777777" w:rsidR="00C44D59" w:rsidRPr="007911EE" w:rsidRDefault="00C44D59" w:rsidP="00E11A84">
            <w:pPr>
              <w:contextualSpacing/>
              <w:rPr>
                <w:rFonts w:ascii="Verdana" w:hAnsi="Verdana"/>
                <w:sz w:val="16"/>
                <w:szCs w:val="16"/>
              </w:rPr>
            </w:pPr>
            <w:r>
              <w:rPr>
                <w:rFonts w:ascii="Verdana" w:hAnsi="Verdana"/>
                <w:sz w:val="16"/>
                <w:szCs w:val="16"/>
              </w:rPr>
              <w:t>Daniel Eduardo Rojas Poveda</w:t>
            </w:r>
          </w:p>
          <w:p w14:paraId="554F8B86" w14:textId="77777777" w:rsidR="00C44D59" w:rsidRPr="007911EE" w:rsidRDefault="00C44D59"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44D59" w:rsidRPr="00593A5F" w14:paraId="324EA4F9" w14:textId="77777777" w:rsidTr="00E11A84">
        <w:trPr>
          <w:trHeight w:val="330"/>
        </w:trPr>
        <w:tc>
          <w:tcPr>
            <w:tcW w:w="893" w:type="dxa"/>
            <w:vAlign w:val="center"/>
            <w:hideMark/>
          </w:tcPr>
          <w:p w14:paraId="439B17B2" w14:textId="77777777" w:rsidR="00C44D59" w:rsidRPr="003751C7" w:rsidRDefault="00C44D5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E8DE35" w14:textId="77777777" w:rsidR="00C44D59" w:rsidRDefault="00C44D59" w:rsidP="00E11A84">
            <w:pPr>
              <w:spacing w:line="276" w:lineRule="auto"/>
              <w:contextualSpacing/>
              <w:jc w:val="both"/>
              <w:rPr>
                <w:rFonts w:ascii="Verdana" w:hAnsi="Verdana"/>
                <w:sz w:val="16"/>
                <w:szCs w:val="16"/>
              </w:rPr>
            </w:pPr>
            <w:r>
              <w:rPr>
                <w:rFonts w:ascii="Verdana" w:hAnsi="Verdana"/>
                <w:sz w:val="16"/>
                <w:szCs w:val="16"/>
              </w:rPr>
              <w:t>Diana Lucia Saavedra.</w:t>
            </w:r>
          </w:p>
          <w:p w14:paraId="13A1693A" w14:textId="77777777" w:rsidR="00C44D59" w:rsidRPr="007911EE" w:rsidRDefault="00C44D59"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44D59" w:rsidRPr="00593A5F" w14:paraId="5D3DD70C" w14:textId="77777777" w:rsidTr="00E11A84">
        <w:trPr>
          <w:trHeight w:val="330"/>
        </w:trPr>
        <w:tc>
          <w:tcPr>
            <w:tcW w:w="893" w:type="dxa"/>
            <w:vAlign w:val="center"/>
          </w:tcPr>
          <w:p w14:paraId="0E1BA234" w14:textId="77777777" w:rsidR="00C44D59" w:rsidRPr="003751C7" w:rsidRDefault="00C44D59"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2A4BC7" w14:textId="77777777" w:rsidR="00C44D59" w:rsidRDefault="00C44D59" w:rsidP="00E11A8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p>
          <w:p w14:paraId="52A9F58C" w14:textId="77777777" w:rsidR="00C44D59" w:rsidRDefault="00C44D59"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86FC360" w14:textId="77777777" w:rsidR="00C44D59" w:rsidRPr="00F30C63" w:rsidRDefault="00C44D59" w:rsidP="00C44D59"/>
    <w:p w14:paraId="0F293BF4" w14:textId="733DB46B" w:rsidR="00127233" w:rsidRPr="0063388B" w:rsidRDefault="00127233" w:rsidP="0063388B"/>
    <w:sectPr w:rsidR="00127233" w:rsidRPr="0063388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28C9B" w14:textId="77777777" w:rsidR="00134D50" w:rsidRDefault="00134D50" w:rsidP="004A1847">
      <w:pPr>
        <w:spacing w:after="0" w:line="240" w:lineRule="auto"/>
      </w:pPr>
      <w:r>
        <w:separator/>
      </w:r>
    </w:p>
  </w:endnote>
  <w:endnote w:type="continuationSeparator" w:id="0">
    <w:p w14:paraId="3B9A3E49" w14:textId="77777777" w:rsidR="00134D50" w:rsidRDefault="00134D50" w:rsidP="004A1847">
      <w:pPr>
        <w:spacing w:after="0" w:line="240" w:lineRule="auto"/>
      </w:pPr>
      <w:r>
        <w:continuationSeparator/>
      </w:r>
    </w:p>
  </w:endnote>
  <w:endnote w:type="continuationNotice" w:id="1">
    <w:p w14:paraId="6600C918" w14:textId="77777777" w:rsidR="00134D50" w:rsidRDefault="00134D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02FF" w:usb1="4000ACFF" w:usb2="00000001"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D738F" w14:textId="77777777" w:rsidR="00134D50" w:rsidRDefault="00134D50" w:rsidP="004A1847">
      <w:pPr>
        <w:spacing w:after="0" w:line="240" w:lineRule="auto"/>
      </w:pPr>
      <w:r>
        <w:separator/>
      </w:r>
    </w:p>
  </w:footnote>
  <w:footnote w:type="continuationSeparator" w:id="0">
    <w:p w14:paraId="70AE4F40" w14:textId="77777777" w:rsidR="00134D50" w:rsidRDefault="00134D50" w:rsidP="004A1847">
      <w:pPr>
        <w:spacing w:after="0" w:line="240" w:lineRule="auto"/>
      </w:pPr>
      <w:r>
        <w:continuationSeparator/>
      </w:r>
    </w:p>
  </w:footnote>
  <w:footnote w:type="continuationNotice" w:id="1">
    <w:p w14:paraId="65DB0219" w14:textId="77777777" w:rsidR="00134D50" w:rsidRDefault="00134D50">
      <w:pPr>
        <w:spacing w:after="0" w:line="240" w:lineRule="auto"/>
      </w:pPr>
    </w:p>
  </w:footnote>
  <w:footnote w:id="2">
    <w:p w14:paraId="6FF9EF79"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6264F409"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55F2D981"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608F1AB4"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 xml:space="preserve">PARÁGRAFO. Para efectos de la presente ley, la Corporación para la Reconstrucción de la Cuenca del Río Páez y Zonas Aledañas Nasa </w:t>
      </w:r>
      <w:proofErr w:type="spellStart"/>
      <w:r w:rsidRPr="00765327">
        <w:rPr>
          <w:rFonts w:ascii="Verdana" w:hAnsi="Verdana" w:cs="Arial"/>
          <w:color w:val="000000" w:themeColor="text1"/>
          <w:sz w:val="16"/>
          <w:szCs w:val="16"/>
        </w:rPr>
        <w:t>Ki'we</w:t>
      </w:r>
      <w:proofErr w:type="spellEnd"/>
      <w:r w:rsidRPr="00765327">
        <w:rPr>
          <w:rFonts w:ascii="Verdana" w:hAnsi="Verdana" w:cs="Arial"/>
          <w:color w:val="000000" w:themeColor="text1"/>
          <w:sz w:val="16"/>
          <w:szCs w:val="16"/>
        </w:rPr>
        <w:t xml:space="preserve"> podrá celebrar contratos para adelantar y ejecutar planes, programas y proyectos para la atención de las necesidades de los habitantes de las comunidades· étnicas de los municipios de Popayán, Almaguer, Bolívar, Buenos Aires, Cajibío, Caldono, Caloto, Corinto, El Tambo, </w:t>
      </w:r>
      <w:proofErr w:type="spellStart"/>
      <w:r w:rsidRPr="00765327">
        <w:rPr>
          <w:rFonts w:ascii="Verdana" w:hAnsi="Verdana" w:cs="Arial"/>
          <w:color w:val="000000" w:themeColor="text1"/>
          <w:sz w:val="16"/>
          <w:szCs w:val="16"/>
        </w:rPr>
        <w:t>Inzá</w:t>
      </w:r>
      <w:proofErr w:type="spellEnd"/>
      <w:r w:rsidRPr="00765327">
        <w:rPr>
          <w:rFonts w:ascii="Verdana" w:hAnsi="Verdana" w:cs="Arial"/>
          <w:color w:val="000000" w:themeColor="text1"/>
          <w:sz w:val="16"/>
          <w:szCs w:val="16"/>
        </w:rPr>
        <w:t xml:space="preserve">, </w:t>
      </w:r>
      <w:proofErr w:type="spellStart"/>
      <w:r w:rsidRPr="00765327">
        <w:rPr>
          <w:rFonts w:ascii="Verdana" w:hAnsi="Verdana" w:cs="Arial"/>
          <w:color w:val="000000" w:themeColor="text1"/>
          <w:sz w:val="16"/>
          <w:szCs w:val="16"/>
        </w:rPr>
        <w:t>Jambaló</w:t>
      </w:r>
      <w:proofErr w:type="spellEnd"/>
      <w:r w:rsidRPr="00765327">
        <w:rPr>
          <w:rFonts w:ascii="Verdana" w:hAnsi="Verdana" w:cs="Arial"/>
          <w:color w:val="000000" w:themeColor="text1"/>
          <w:sz w:val="16"/>
          <w:szCs w:val="16"/>
        </w:rPr>
        <w:t xml:space="preserve">, La Sierra, La Vega, Miranda, Páez, Patía, Piendamó, Puracé, Rosas, San Sebastián, Santander de Quilichao, Silvia, Sotará, Suárez, </w:t>
      </w:r>
      <w:proofErr w:type="spellStart"/>
      <w:r w:rsidRPr="00765327">
        <w:rPr>
          <w:rFonts w:ascii="Verdana" w:hAnsi="Verdana" w:cs="Arial"/>
          <w:color w:val="000000" w:themeColor="text1"/>
          <w:sz w:val="16"/>
          <w:szCs w:val="16"/>
        </w:rPr>
        <w:t>Toribío</w:t>
      </w:r>
      <w:proofErr w:type="spellEnd"/>
      <w:r w:rsidRPr="00765327">
        <w:rPr>
          <w:rFonts w:ascii="Verdana" w:hAnsi="Verdana" w:cs="Arial"/>
          <w:color w:val="000000" w:themeColor="text1"/>
          <w:sz w:val="16"/>
          <w:szCs w:val="16"/>
        </w:rPr>
        <w:t xml:space="preserve">, Totoró del departamento del Cauca y los municipios de Neiva, Gigante, Íquira, La Argentina, La Plata, Nátaga, Paicol, Pitalito, San Agustín, Tesalia, </w:t>
      </w:r>
      <w:proofErr w:type="spellStart"/>
      <w:r w:rsidRPr="00765327">
        <w:rPr>
          <w:rFonts w:ascii="Verdana" w:hAnsi="Verdana" w:cs="Arial"/>
          <w:color w:val="000000" w:themeColor="text1"/>
          <w:sz w:val="16"/>
          <w:szCs w:val="16"/>
        </w:rPr>
        <w:t>Villavieja</w:t>
      </w:r>
      <w:proofErr w:type="spellEnd"/>
      <w:r w:rsidRPr="00765327">
        <w:rPr>
          <w:rFonts w:ascii="Verdana" w:hAnsi="Verdana" w:cs="Arial"/>
          <w:color w:val="000000" w:themeColor="text1"/>
          <w:sz w:val="16"/>
          <w:szCs w:val="16"/>
        </w:rPr>
        <w:t>, Yaguará, Palermo y Rivera del departamento del Huila”.</w:t>
      </w:r>
    </w:p>
  </w:footnote>
  <w:footnote w:id="3">
    <w:p w14:paraId="6D005A5B"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419755A3"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1o.) que sea legalmente capaz.</w:t>
      </w:r>
    </w:p>
    <w:p w14:paraId="65BD1C5D"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w:t>
      </w:r>
    </w:p>
    <w:p w14:paraId="22F606EF"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 capacidad legal de una persona consiste en poderse obligar por sí misma, sin el ministerio o la autorización de otra”.</w:t>
      </w:r>
    </w:p>
  </w:footnote>
  <w:footnote w:id="4">
    <w:p w14:paraId="5374CEEC"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65327">
        <w:rPr>
          <w:rFonts w:ascii="Verdana" w:hAnsi="Verdana" w:cs="Arial"/>
          <w:i/>
          <w:iCs/>
          <w:color w:val="000000" w:themeColor="text1"/>
          <w:sz w:val="16"/>
          <w:szCs w:val="16"/>
          <w:lang w:val="es-ES"/>
        </w:rPr>
        <w:t>el régimen de inhabilidades e incompatibilidades</w:t>
      </w:r>
      <w:r w:rsidRPr="00765327">
        <w:rPr>
          <w:rFonts w:ascii="Verdana" w:hAnsi="Verdana" w:cs="Arial"/>
          <w:color w:val="000000" w:themeColor="text1"/>
          <w:sz w:val="16"/>
          <w:szCs w:val="16"/>
          <w:lang w:val="es-ES"/>
        </w:rPr>
        <w:t xml:space="preserve"> (1) y la obligación de ciertos proponentes de inscribirse en el </w:t>
      </w:r>
      <w:r w:rsidRPr="00765327">
        <w:rPr>
          <w:rFonts w:ascii="Verdana" w:hAnsi="Verdana" w:cs="Arial"/>
          <w:i/>
          <w:iCs/>
          <w:color w:val="000000" w:themeColor="text1"/>
          <w:sz w:val="16"/>
          <w:szCs w:val="16"/>
          <w:lang w:val="es-ES"/>
        </w:rPr>
        <w:t>registro único</w:t>
      </w:r>
      <w:r w:rsidRPr="00765327">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5">
    <w:p w14:paraId="4333143E"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BARRETO ROZO, Antonio Alejandro. Inhabilidades de la contratación estatal, efectos y </w:t>
      </w:r>
      <w:proofErr w:type="spellStart"/>
      <w:r w:rsidRPr="00765327">
        <w:rPr>
          <w:rFonts w:ascii="Verdana" w:hAnsi="Verdana" w:cs="Arial"/>
          <w:color w:val="000000" w:themeColor="text1"/>
          <w:sz w:val="16"/>
          <w:szCs w:val="16"/>
          <w:lang w:val="es-ES"/>
        </w:rPr>
        <w:t>neopunitivismo</w:t>
      </w:r>
      <w:proofErr w:type="spellEnd"/>
      <w:r w:rsidRPr="00765327">
        <w:rPr>
          <w:rFonts w:ascii="Verdana" w:hAnsi="Verdana" w:cs="Arial"/>
          <w:color w:val="000000" w:themeColor="text1"/>
          <w:sz w:val="16"/>
          <w:szCs w:val="16"/>
          <w:lang w:val="es-ES"/>
        </w:rPr>
        <w:t xml:space="preserve"> en el Estatuto Anticorrupción. En: ALVIAR GARCÍA, Helena (Coordinadora). Nuevas tendencias del Derecho administrativo. Bogotá: Universidad de los Andes; Temis, 2016. pp. 63-99.</w:t>
      </w:r>
    </w:p>
  </w:footnote>
  <w:footnote w:id="6">
    <w:p w14:paraId="199C6691"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proofErr w:type="spellStart"/>
      <w:r w:rsidRPr="00765327">
        <w:rPr>
          <w:rFonts w:ascii="Verdana" w:hAnsi="Verdana" w:cs="Arial"/>
          <w:color w:val="000000" w:themeColor="text1"/>
          <w:sz w:val="16"/>
          <w:szCs w:val="16"/>
          <w:lang w:val="es-ES"/>
        </w:rPr>
        <w:t>Ibíd</w:t>
      </w:r>
      <w:proofErr w:type="spellEnd"/>
      <w:r w:rsidRPr="00765327">
        <w:rPr>
          <w:rFonts w:ascii="Verdana" w:hAnsi="Verdana" w:cs="Arial"/>
          <w:color w:val="000000" w:themeColor="text1"/>
          <w:sz w:val="16"/>
          <w:szCs w:val="16"/>
          <w:lang w:val="es-ES"/>
        </w:rPr>
        <w:t>., p. 69.</w:t>
      </w:r>
    </w:p>
  </w:footnote>
  <w:footnote w:id="7">
    <w:p w14:paraId="20178C90"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8">
    <w:p w14:paraId="42783985"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Consejo de Estado. Sala de Consulta y Servicio Civil. Concepto del 30 de abril de 2015. Expediente: 2251. Consejero Ponente: Álvaro </w:t>
      </w:r>
      <w:proofErr w:type="spellStart"/>
      <w:r w:rsidRPr="00765327">
        <w:rPr>
          <w:rFonts w:ascii="Verdana" w:hAnsi="Verdana" w:cs="Arial"/>
          <w:color w:val="000000" w:themeColor="text1"/>
          <w:sz w:val="16"/>
          <w:szCs w:val="16"/>
          <w:lang w:val="es-ES"/>
        </w:rPr>
        <w:t>Namén</w:t>
      </w:r>
      <w:proofErr w:type="spellEnd"/>
      <w:r w:rsidRPr="00765327">
        <w:rPr>
          <w:rFonts w:ascii="Verdana" w:hAnsi="Verdana" w:cs="Arial"/>
          <w:color w:val="000000" w:themeColor="text1"/>
          <w:sz w:val="16"/>
          <w:szCs w:val="16"/>
          <w:lang w:val="es-ES"/>
        </w:rPr>
        <w:t xml:space="preserve"> Vargas.</w:t>
      </w:r>
    </w:p>
  </w:footnote>
  <w:footnote w:id="9">
    <w:p w14:paraId="1943688E"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A. Sentencia del 24 de junio de 2015. </w:t>
      </w:r>
      <w:proofErr w:type="spellStart"/>
      <w:r w:rsidRPr="00765327">
        <w:rPr>
          <w:rFonts w:ascii="Verdana" w:hAnsi="Verdana" w:cs="Arial"/>
          <w:color w:val="000000" w:themeColor="text1"/>
          <w:sz w:val="16"/>
          <w:szCs w:val="16"/>
        </w:rPr>
        <w:t>Exp</w:t>
      </w:r>
      <w:proofErr w:type="spellEnd"/>
      <w:r w:rsidRPr="00765327">
        <w:rPr>
          <w:rFonts w:ascii="Verdana" w:hAnsi="Verdana" w:cs="Arial"/>
          <w:color w:val="000000" w:themeColor="text1"/>
          <w:sz w:val="16"/>
          <w:szCs w:val="16"/>
        </w:rPr>
        <w:t>. 40.635. Consejero Ponente: Hernán Andrade Rincón (E).</w:t>
      </w:r>
    </w:p>
  </w:footnote>
  <w:footnote w:id="10">
    <w:p w14:paraId="4A0EBCC4"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C. Sentencia del 22 de mayo de 2013. </w:t>
      </w:r>
      <w:proofErr w:type="spellStart"/>
      <w:r w:rsidRPr="00765327">
        <w:rPr>
          <w:rFonts w:ascii="Verdana" w:hAnsi="Verdana" w:cs="Arial"/>
          <w:color w:val="000000" w:themeColor="text1"/>
          <w:sz w:val="16"/>
          <w:szCs w:val="16"/>
        </w:rPr>
        <w:t>Exp</w:t>
      </w:r>
      <w:proofErr w:type="spellEnd"/>
      <w:r w:rsidRPr="00765327">
        <w:rPr>
          <w:rFonts w:ascii="Verdana" w:hAnsi="Verdana" w:cs="Arial"/>
          <w:color w:val="000000" w:themeColor="text1"/>
          <w:sz w:val="16"/>
          <w:szCs w:val="16"/>
        </w:rPr>
        <w:t xml:space="preserve">. 24.057. Consejera Ponente: Olga </w:t>
      </w:r>
      <w:proofErr w:type="spellStart"/>
      <w:r w:rsidRPr="00765327">
        <w:rPr>
          <w:rFonts w:ascii="Verdana" w:hAnsi="Verdana" w:cs="Arial"/>
          <w:color w:val="000000" w:themeColor="text1"/>
          <w:sz w:val="16"/>
          <w:szCs w:val="16"/>
        </w:rPr>
        <w:t>Melida</w:t>
      </w:r>
      <w:proofErr w:type="spellEnd"/>
      <w:r w:rsidRPr="00765327">
        <w:rPr>
          <w:rFonts w:ascii="Verdana" w:hAnsi="Verdana" w:cs="Arial"/>
          <w:color w:val="000000" w:themeColor="text1"/>
          <w:sz w:val="16"/>
          <w:szCs w:val="16"/>
        </w:rPr>
        <w:t xml:space="preserve"> Valle De </w:t>
      </w:r>
      <w:proofErr w:type="spellStart"/>
      <w:r w:rsidRPr="00765327">
        <w:rPr>
          <w:rFonts w:ascii="Verdana" w:hAnsi="Verdana" w:cs="Arial"/>
          <w:color w:val="000000" w:themeColor="text1"/>
          <w:sz w:val="16"/>
          <w:szCs w:val="16"/>
        </w:rPr>
        <w:t>De</w:t>
      </w:r>
      <w:proofErr w:type="spellEnd"/>
      <w:r w:rsidRPr="00765327">
        <w:rPr>
          <w:rFonts w:ascii="Verdana" w:hAnsi="Verdana" w:cs="Arial"/>
          <w:color w:val="000000" w:themeColor="text1"/>
          <w:sz w:val="16"/>
          <w:szCs w:val="16"/>
        </w:rPr>
        <w:t xml:space="preserve"> La Hoz.</w:t>
      </w:r>
    </w:p>
  </w:footnote>
  <w:footnote w:id="11">
    <w:p w14:paraId="326C9959" w14:textId="77777777" w:rsidR="00C44D59" w:rsidRPr="00765327" w:rsidRDefault="00C44D59" w:rsidP="00C44D59">
      <w:pPr>
        <w:pStyle w:val="Textonotapie"/>
        <w:snapToGrid w:val="0"/>
        <w:ind w:firstLine="709"/>
        <w:jc w:val="both"/>
        <w:rPr>
          <w:rFonts w:ascii="Verdana" w:hAnsi="Verdana"/>
          <w:sz w:val="16"/>
          <w:szCs w:val="16"/>
          <w:lang w:val="es-ES_tradnl"/>
        </w:rPr>
      </w:pPr>
      <w:r w:rsidRPr="00765327">
        <w:rPr>
          <w:rStyle w:val="Refdenotaalpie"/>
          <w:rFonts w:ascii="Verdana" w:hAnsi="Verdana"/>
          <w:sz w:val="16"/>
          <w:szCs w:val="16"/>
        </w:rPr>
        <w:footnoteRef/>
      </w:r>
      <w:r w:rsidRPr="00765327">
        <w:rPr>
          <w:rFonts w:ascii="Verdana" w:hAnsi="Verdana"/>
          <w:sz w:val="16"/>
          <w:szCs w:val="16"/>
        </w:rPr>
        <w:t xml:space="preserve"> Ley 1474 de 2011: “Artículo 5o.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w:t>
      </w:r>
    </w:p>
  </w:footnote>
  <w:footnote w:id="12">
    <w:p w14:paraId="0B43C5A0" w14:textId="77777777" w:rsidR="00C44D59" w:rsidRPr="00765327" w:rsidRDefault="00C44D59" w:rsidP="00C44D59">
      <w:pPr>
        <w:snapToGrid w:val="0"/>
        <w:spacing w:after="0" w:line="240" w:lineRule="auto"/>
        <w:ind w:firstLine="709"/>
        <w:jc w:val="both"/>
        <w:rPr>
          <w:rFonts w:ascii="Verdana" w:hAnsi="Verdana"/>
          <w:sz w:val="16"/>
          <w:szCs w:val="16"/>
        </w:rPr>
      </w:pPr>
      <w:r w:rsidRPr="00765327">
        <w:rPr>
          <w:rStyle w:val="Refdenotaalpie"/>
          <w:rFonts w:ascii="Verdana" w:hAnsi="Verdana"/>
          <w:sz w:val="16"/>
          <w:szCs w:val="16"/>
        </w:rPr>
        <w:footnoteRef/>
      </w:r>
      <w:r w:rsidRPr="00765327">
        <w:rPr>
          <w:rFonts w:ascii="Verdana" w:hAnsi="Verdana"/>
          <w:sz w:val="16"/>
          <w:szCs w:val="16"/>
        </w:rPr>
        <w:t xml:space="preserve"> DÁVILA, Luis Guillermo. Régimen jurídico de la contratación estatal. 3ª ed., Legis: Bogotá, 2016. p. 187.</w:t>
      </w:r>
    </w:p>
    <w:p w14:paraId="420139E1" w14:textId="77777777" w:rsidR="00C44D59" w:rsidRPr="00765327" w:rsidRDefault="00C44D59" w:rsidP="00C44D59">
      <w:pPr>
        <w:pStyle w:val="Textonotapie"/>
        <w:snapToGrid w:val="0"/>
        <w:ind w:firstLine="709"/>
        <w:jc w:val="both"/>
        <w:rPr>
          <w:rFonts w:ascii="Verdana" w:hAnsi="Verdana"/>
          <w:sz w:val="16"/>
          <w:szCs w:val="16"/>
          <w:lang w:val="es-ES_tradnl"/>
        </w:rPr>
      </w:pPr>
    </w:p>
  </w:footnote>
  <w:footnote w:id="13">
    <w:p w14:paraId="441653C4" w14:textId="77777777" w:rsidR="00C44D59" w:rsidRPr="007B6CB3" w:rsidRDefault="00C44D59" w:rsidP="00C44D59">
      <w:pPr>
        <w:pStyle w:val="Textonotapie"/>
        <w:rPr>
          <w:rFonts w:ascii="Verdana" w:hAnsi="Verdana"/>
          <w:sz w:val="16"/>
          <w:szCs w:val="16"/>
          <w:lang w:val="es-ES"/>
        </w:rPr>
      </w:pPr>
      <w:r w:rsidRPr="007B6CB3">
        <w:rPr>
          <w:rStyle w:val="Refdenotaalpie"/>
          <w:rFonts w:ascii="Verdana" w:hAnsi="Verdana"/>
          <w:sz w:val="16"/>
          <w:szCs w:val="16"/>
        </w:rPr>
        <w:footnoteRef/>
      </w:r>
      <w:r w:rsidRPr="007B6CB3">
        <w:rPr>
          <w:rFonts w:ascii="Verdana" w:hAnsi="Verdana"/>
          <w:sz w:val="16"/>
          <w:szCs w:val="16"/>
        </w:rPr>
        <w:t xml:space="preserve"> </w:t>
      </w:r>
      <w:r w:rsidRPr="007B6CB3">
        <w:rPr>
          <w:rFonts w:ascii="Verdana" w:hAnsi="Verdana"/>
          <w:sz w:val="16"/>
          <w:szCs w:val="16"/>
          <w:lang w:val="es-ES"/>
        </w:rPr>
        <w:t xml:space="preserve"> Corte Constitucional, </w:t>
      </w:r>
      <w:r>
        <w:rPr>
          <w:rFonts w:ascii="Verdana" w:hAnsi="Verdana"/>
          <w:sz w:val="16"/>
          <w:szCs w:val="16"/>
        </w:rPr>
        <w:t>S</w:t>
      </w:r>
      <w:r w:rsidRPr="007B6CB3">
        <w:rPr>
          <w:rFonts w:ascii="Verdana" w:hAnsi="Verdana"/>
          <w:sz w:val="16"/>
          <w:szCs w:val="16"/>
        </w:rPr>
        <w:t xml:space="preserve">entencia C-618 de 2012, M.P. Gabriel Eduardo Mendoza </w:t>
      </w:r>
      <w:proofErr w:type="spellStart"/>
      <w:r w:rsidRPr="007B6CB3">
        <w:rPr>
          <w:rFonts w:ascii="Verdana" w:hAnsi="Verdana"/>
          <w:sz w:val="16"/>
          <w:szCs w:val="16"/>
        </w:rPr>
        <w:t>Mortello</w:t>
      </w:r>
      <w:proofErr w:type="spellEnd"/>
      <w:r w:rsidRPr="007B6CB3">
        <w:rPr>
          <w:rFonts w:ascii="Verdana" w:hAnsi="Verdana"/>
          <w:sz w:val="16"/>
          <w:szCs w:val="16"/>
        </w:rPr>
        <w:t>.</w:t>
      </w:r>
    </w:p>
  </w:footnote>
  <w:footnote w:id="14">
    <w:p w14:paraId="279856AE" w14:textId="77777777" w:rsidR="00C44D59" w:rsidRPr="00587D30" w:rsidRDefault="00C44D59" w:rsidP="00C44D59">
      <w:pPr>
        <w:pStyle w:val="Textonotapie"/>
        <w:ind w:firstLine="708"/>
        <w:jc w:val="both"/>
        <w:rPr>
          <w:rFonts w:ascii="Verdana" w:hAnsi="Verdana"/>
          <w:sz w:val="16"/>
          <w:szCs w:val="16"/>
          <w:lang w:val="es-ES"/>
        </w:rPr>
      </w:pPr>
      <w:r w:rsidRPr="00587D30">
        <w:rPr>
          <w:rStyle w:val="Refdenotaalpie"/>
          <w:rFonts w:ascii="Verdana" w:hAnsi="Verdana"/>
          <w:sz w:val="16"/>
          <w:szCs w:val="16"/>
        </w:rPr>
        <w:footnoteRef/>
      </w:r>
      <w:r w:rsidRPr="00587D30">
        <w:rPr>
          <w:rFonts w:ascii="Verdana" w:hAnsi="Verdana"/>
          <w:sz w:val="16"/>
          <w:szCs w:val="16"/>
        </w:rPr>
        <w:t xml:space="preserve"> </w:t>
      </w:r>
      <w:r w:rsidRPr="00587D30">
        <w:rPr>
          <w:rFonts w:ascii="Verdana" w:hAnsi="Verdana"/>
          <w:sz w:val="16"/>
          <w:szCs w:val="16"/>
          <w:lang w:val="es-ES"/>
        </w:rPr>
        <w:t>Lo anterior fue resaltado por la Corte Constitucional en la sentencia C-618 de 2012 en los siguientes términos: “</w:t>
      </w:r>
      <w:r w:rsidRPr="00587D30">
        <w:rPr>
          <w:rFonts w:ascii="Verdana" w:hAnsi="Verdana"/>
          <w:sz w:val="16"/>
          <w:szCs w:val="16"/>
          <w:lang w:val="es-CO"/>
        </w:rPr>
        <w:t>No puede perderse de vista que el contrato de interventoría no está incluido entre aquellos que generan la incompatibilidad que la norma impugnada consagra, cuales son precisamente el de obra, concesión y el de suministro de medicamentos y alimentos, siendo ello así, quienes se dediquen primordialmente a desarrollar actividades propias de la interventoría, bien sea como personas naturales o a través de sociedades constituidas con ese fin, claramente estarían excluidos de los efectos e implicaciones que de aquella se derivan, motivo por el cual, en principio, y obviamente con el lleno de los requisitos legales, podrían celebrar diversos contratos de interventoría con la misma entidad, lo que garantizaría a los particulares dedicados a la mencionada actividad la posibilidad de ensanchar sus perspectivas laborales, circunstancia que se constituye en una razón de peso para concluir en que no es clara la configuración de la inconstitucionalidad aducida con apoyo en la supuesta conculcación del derecho a escoger libremente profesión u oficio”.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BFD"/>
    <w:rsid w:val="00045174"/>
    <w:rsid w:val="00046945"/>
    <w:rsid w:val="0005486E"/>
    <w:rsid w:val="00061B2A"/>
    <w:rsid w:val="00082362"/>
    <w:rsid w:val="000A683E"/>
    <w:rsid w:val="000B19B9"/>
    <w:rsid w:val="000C1B74"/>
    <w:rsid w:val="000D0334"/>
    <w:rsid w:val="000F6486"/>
    <w:rsid w:val="00125105"/>
    <w:rsid w:val="00127233"/>
    <w:rsid w:val="00134D50"/>
    <w:rsid w:val="001A606C"/>
    <w:rsid w:val="001E4177"/>
    <w:rsid w:val="001F7DC6"/>
    <w:rsid w:val="00236FE3"/>
    <w:rsid w:val="002421BB"/>
    <w:rsid w:val="00254BCB"/>
    <w:rsid w:val="0025796E"/>
    <w:rsid w:val="002707A2"/>
    <w:rsid w:val="002951A0"/>
    <w:rsid w:val="002962BC"/>
    <w:rsid w:val="002A093D"/>
    <w:rsid w:val="002A0DD0"/>
    <w:rsid w:val="002A49AC"/>
    <w:rsid w:val="002A64FD"/>
    <w:rsid w:val="002C7A84"/>
    <w:rsid w:val="002E4FD9"/>
    <w:rsid w:val="00322A85"/>
    <w:rsid w:val="00324168"/>
    <w:rsid w:val="00335DED"/>
    <w:rsid w:val="003448F4"/>
    <w:rsid w:val="00374F5E"/>
    <w:rsid w:val="00377E3E"/>
    <w:rsid w:val="003804BA"/>
    <w:rsid w:val="00391D1B"/>
    <w:rsid w:val="003A779E"/>
    <w:rsid w:val="003D0F4D"/>
    <w:rsid w:val="003D5B0D"/>
    <w:rsid w:val="003E0499"/>
    <w:rsid w:val="003E097D"/>
    <w:rsid w:val="003F3941"/>
    <w:rsid w:val="00406575"/>
    <w:rsid w:val="00414C74"/>
    <w:rsid w:val="0042722E"/>
    <w:rsid w:val="0044528D"/>
    <w:rsid w:val="004670DF"/>
    <w:rsid w:val="00487FD1"/>
    <w:rsid w:val="004A1847"/>
    <w:rsid w:val="004A305D"/>
    <w:rsid w:val="004F21C4"/>
    <w:rsid w:val="004F685F"/>
    <w:rsid w:val="005566E8"/>
    <w:rsid w:val="005730C9"/>
    <w:rsid w:val="00574867"/>
    <w:rsid w:val="00591460"/>
    <w:rsid w:val="005C3777"/>
    <w:rsid w:val="005C5CDC"/>
    <w:rsid w:val="005D203E"/>
    <w:rsid w:val="005D476C"/>
    <w:rsid w:val="005F5058"/>
    <w:rsid w:val="006219F8"/>
    <w:rsid w:val="006302F7"/>
    <w:rsid w:val="0063388B"/>
    <w:rsid w:val="00653FFE"/>
    <w:rsid w:val="00665D70"/>
    <w:rsid w:val="006900D9"/>
    <w:rsid w:val="006A760C"/>
    <w:rsid w:val="006F67EA"/>
    <w:rsid w:val="00706C16"/>
    <w:rsid w:val="00756841"/>
    <w:rsid w:val="007649AB"/>
    <w:rsid w:val="00771D0C"/>
    <w:rsid w:val="007833AC"/>
    <w:rsid w:val="00794F27"/>
    <w:rsid w:val="007B268C"/>
    <w:rsid w:val="007B7171"/>
    <w:rsid w:val="007C0C0F"/>
    <w:rsid w:val="007C3DC2"/>
    <w:rsid w:val="007E5497"/>
    <w:rsid w:val="00806F5F"/>
    <w:rsid w:val="00820278"/>
    <w:rsid w:val="00863DF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D73E9"/>
    <w:rsid w:val="009F3A13"/>
    <w:rsid w:val="00A0108B"/>
    <w:rsid w:val="00A122D3"/>
    <w:rsid w:val="00A14CD5"/>
    <w:rsid w:val="00A17F13"/>
    <w:rsid w:val="00A20739"/>
    <w:rsid w:val="00A33C78"/>
    <w:rsid w:val="00A7771E"/>
    <w:rsid w:val="00AB0ADB"/>
    <w:rsid w:val="00AB2A84"/>
    <w:rsid w:val="00AE07C5"/>
    <w:rsid w:val="00AE1FBF"/>
    <w:rsid w:val="00B00C0E"/>
    <w:rsid w:val="00B01B1A"/>
    <w:rsid w:val="00B0210D"/>
    <w:rsid w:val="00B44A47"/>
    <w:rsid w:val="00B72CD3"/>
    <w:rsid w:val="00B72FFF"/>
    <w:rsid w:val="00B809BE"/>
    <w:rsid w:val="00B95D3C"/>
    <w:rsid w:val="00BB6C57"/>
    <w:rsid w:val="00BC3D36"/>
    <w:rsid w:val="00BD61F0"/>
    <w:rsid w:val="00BD7F72"/>
    <w:rsid w:val="00C0406F"/>
    <w:rsid w:val="00C04FB3"/>
    <w:rsid w:val="00C330EB"/>
    <w:rsid w:val="00C44D59"/>
    <w:rsid w:val="00C754BE"/>
    <w:rsid w:val="00C76B1C"/>
    <w:rsid w:val="00C95D37"/>
    <w:rsid w:val="00CA748C"/>
    <w:rsid w:val="00CB6357"/>
    <w:rsid w:val="00CC1B26"/>
    <w:rsid w:val="00CE04D3"/>
    <w:rsid w:val="00D423A2"/>
    <w:rsid w:val="00D520D8"/>
    <w:rsid w:val="00D555B9"/>
    <w:rsid w:val="00D55DC9"/>
    <w:rsid w:val="00D63AC2"/>
    <w:rsid w:val="00D7383B"/>
    <w:rsid w:val="00DA231B"/>
    <w:rsid w:val="00DB0B63"/>
    <w:rsid w:val="00DC39FC"/>
    <w:rsid w:val="00DF5254"/>
    <w:rsid w:val="00E16408"/>
    <w:rsid w:val="00E20894"/>
    <w:rsid w:val="00E245AB"/>
    <w:rsid w:val="00E2764C"/>
    <w:rsid w:val="00E27F2E"/>
    <w:rsid w:val="00E457D2"/>
    <w:rsid w:val="00E50AFE"/>
    <w:rsid w:val="00E75C92"/>
    <w:rsid w:val="00E771DC"/>
    <w:rsid w:val="00E8772A"/>
    <w:rsid w:val="00E90F6B"/>
    <w:rsid w:val="00E92C27"/>
    <w:rsid w:val="00EA0E3D"/>
    <w:rsid w:val="00EC38A7"/>
    <w:rsid w:val="00EE1AA8"/>
    <w:rsid w:val="00EE243C"/>
    <w:rsid w:val="00F036D3"/>
    <w:rsid w:val="00F31EDC"/>
    <w:rsid w:val="00F462B3"/>
    <w:rsid w:val="00F54699"/>
    <w:rsid w:val="00F5664F"/>
    <w:rsid w:val="00F6334E"/>
    <w:rsid w:val="00F666C4"/>
    <w:rsid w:val="00F74E7C"/>
    <w:rsid w:val="00F76AFC"/>
    <w:rsid w:val="00FA47C0"/>
    <w:rsid w:val="00FB5DD1"/>
    <w:rsid w:val="00FC2B5D"/>
    <w:rsid w:val="00FD33D5"/>
    <w:rsid w:val="00FF1449"/>
    <w:rsid w:val="2E180929"/>
    <w:rsid w:val="6CF8757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44D59"/>
    <w:rPr>
      <w:rFonts w:ascii="Geomanist Light" w:hAnsi="Geomanist Light"/>
      <w:lang w:val="es-ES"/>
    </w:rPr>
  </w:style>
  <w:style w:type="paragraph" w:customStyle="1" w:styleId="Appelnotedebasde">
    <w:name w:val="Appel note de bas de..."/>
    <w:basedOn w:val="Normal"/>
    <w:link w:val="Refdenotaalpie"/>
    <w:uiPriority w:val="99"/>
    <w:rsid w:val="00C44D5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ru2002@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terms/"/>
    <ds:schemaRef ds:uri="http://schemas.microsoft.com/office/2006/metadata/properties"/>
    <ds:schemaRef ds:uri="http://purl.org/dc/dcmitype/"/>
    <ds:schemaRef ds:uri="http://www.w3.org/XML/1998/namespace"/>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9d85dbaf-23eb-4e57-a637-93dcacc8b1a1"/>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2F2B252-F008-41B3-B24C-7CCD55E35D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15</Pages>
  <Words>4498</Words>
  <Characters>24743</Characters>
  <Application>Microsoft Office Word</Application>
  <DocSecurity>0</DocSecurity>
  <Lines>206</Lines>
  <Paragraphs>58</Paragraphs>
  <ScaleCrop>false</ScaleCrop>
  <Company/>
  <LinksUpToDate>false</LinksUpToDate>
  <CharactersWithSpaces>29183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2025-10-16T23:06:00Z</dcterms:created>
  <dcterms:modified xsi:type="dcterms:W3CDTF">2025-10-16T23:06:00Z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